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BC" w:rsidRDefault="007C17BC">
      <w:pPr>
        <w:autoSpaceDE w:val="0"/>
        <w:autoSpaceDN w:val="0"/>
        <w:adjustRightInd w:val="0"/>
        <w:spacing w:after="0" w:line="240" w:lineRule="auto"/>
        <w:jc w:val="center"/>
        <w:rPr>
          <w:rFonts w:ascii="Verdana" w:hAnsi="Verdana" w:cs="Verdana"/>
          <w:b/>
          <w:bCs/>
          <w:sz w:val="20"/>
          <w:szCs w:val="20"/>
        </w:rPr>
      </w:pPr>
    </w:p>
    <w:p w:rsidR="007C17BC" w:rsidRDefault="007C17BC">
      <w:pPr>
        <w:autoSpaceDE w:val="0"/>
        <w:autoSpaceDN w:val="0"/>
        <w:adjustRightInd w:val="0"/>
        <w:spacing w:after="0" w:line="240" w:lineRule="auto"/>
        <w:jc w:val="center"/>
        <w:rPr>
          <w:rFonts w:ascii="Verdana" w:hAnsi="Verdana" w:cs="Verdana"/>
          <w:b/>
          <w:bCs/>
          <w:sz w:val="20"/>
          <w:szCs w:val="20"/>
        </w:rPr>
      </w:pPr>
    </w:p>
    <w:p w:rsidR="007C17BC" w:rsidRDefault="007C17BC">
      <w:pPr>
        <w:autoSpaceDE w:val="0"/>
        <w:autoSpaceDN w:val="0"/>
        <w:adjustRightInd w:val="0"/>
        <w:spacing w:after="0" w:line="240" w:lineRule="auto"/>
        <w:jc w:val="center"/>
        <w:rPr>
          <w:rFonts w:ascii="Verdana" w:hAnsi="Verdana" w:cs="Verdana"/>
          <w:b/>
          <w:bCs/>
          <w:sz w:val="20"/>
          <w:szCs w:val="20"/>
        </w:rPr>
      </w:pPr>
    </w:p>
    <w:p w:rsidR="007C17BC" w:rsidRDefault="007C17BC">
      <w:pPr>
        <w:autoSpaceDE w:val="0"/>
        <w:autoSpaceDN w:val="0"/>
        <w:adjustRightInd w:val="0"/>
        <w:spacing w:after="0" w:line="240" w:lineRule="auto"/>
        <w:jc w:val="center"/>
        <w:rPr>
          <w:rFonts w:ascii="Verdana" w:hAnsi="Verdana" w:cs="Verdana"/>
          <w:b/>
          <w:bCs/>
          <w:sz w:val="20"/>
          <w:szCs w:val="20"/>
        </w:rPr>
      </w:pPr>
    </w:p>
    <w:p w:rsidR="007C17BC" w:rsidRDefault="007C17BC">
      <w:pPr>
        <w:autoSpaceDE w:val="0"/>
        <w:autoSpaceDN w:val="0"/>
        <w:adjustRightInd w:val="0"/>
        <w:spacing w:after="0" w:line="240" w:lineRule="auto"/>
        <w:jc w:val="center"/>
        <w:rPr>
          <w:rFonts w:ascii="Verdana" w:hAnsi="Verdana" w:cs="Verdana"/>
          <w:b/>
          <w:bCs/>
          <w:sz w:val="20"/>
          <w:szCs w:val="20"/>
        </w:rPr>
      </w:pPr>
    </w:p>
    <w:p w:rsidR="007C17BC" w:rsidRDefault="007C17BC">
      <w:pPr>
        <w:autoSpaceDE w:val="0"/>
        <w:autoSpaceDN w:val="0"/>
        <w:adjustRightInd w:val="0"/>
        <w:spacing w:after="0" w:line="240" w:lineRule="auto"/>
        <w:jc w:val="center"/>
        <w:rPr>
          <w:rFonts w:ascii="Verdana" w:hAnsi="Verdana" w:cs="Verdana"/>
          <w:b/>
          <w:bCs/>
          <w:sz w:val="20"/>
          <w:szCs w:val="20"/>
        </w:rPr>
      </w:pPr>
    </w:p>
    <w:p w:rsidR="007C17BC" w:rsidRDefault="007C17BC">
      <w:pPr>
        <w:autoSpaceDE w:val="0"/>
        <w:autoSpaceDN w:val="0"/>
        <w:adjustRightInd w:val="0"/>
        <w:spacing w:after="0" w:line="240" w:lineRule="auto"/>
        <w:jc w:val="center"/>
        <w:rPr>
          <w:rFonts w:ascii="Verdana" w:hAnsi="Verdana" w:cs="Verdana"/>
          <w:b/>
          <w:bCs/>
          <w:sz w:val="20"/>
          <w:szCs w:val="20"/>
        </w:rPr>
      </w:pPr>
    </w:p>
    <w:p w:rsidR="007804B2" w:rsidRDefault="007804B2" w:rsidP="00BF133C">
      <w:pPr>
        <w:autoSpaceDE w:val="0"/>
        <w:autoSpaceDN w:val="0"/>
        <w:adjustRightInd w:val="0"/>
        <w:spacing w:after="0" w:line="240" w:lineRule="auto"/>
        <w:jc w:val="center"/>
        <w:outlineLvl w:val="0"/>
        <w:rPr>
          <w:rFonts w:ascii="Verdana" w:hAnsi="Verdana" w:cs="Verdana"/>
          <w:b/>
          <w:bCs/>
          <w:sz w:val="20"/>
          <w:szCs w:val="20"/>
        </w:rPr>
      </w:pPr>
      <w:r w:rsidRPr="00BE7C7E">
        <w:rPr>
          <w:rFonts w:ascii="Verdana" w:hAnsi="Verdana" w:cs="Verdana"/>
          <w:b/>
          <w:bCs/>
          <w:sz w:val="20"/>
          <w:szCs w:val="20"/>
        </w:rPr>
        <w:t>RESOLUCIÓN DEL PRESIDENTE DE LA</w:t>
      </w:r>
    </w:p>
    <w:p w:rsidR="007804B2" w:rsidRDefault="007804B2" w:rsidP="00BF133C">
      <w:pPr>
        <w:autoSpaceDE w:val="0"/>
        <w:autoSpaceDN w:val="0"/>
        <w:adjustRightInd w:val="0"/>
        <w:spacing w:after="0" w:line="240" w:lineRule="auto"/>
        <w:jc w:val="center"/>
        <w:outlineLvl w:val="0"/>
        <w:rPr>
          <w:rFonts w:ascii="Verdana" w:hAnsi="Verdana" w:cs="Verdana"/>
          <w:b/>
          <w:bCs/>
          <w:sz w:val="20"/>
          <w:szCs w:val="20"/>
        </w:rPr>
      </w:pPr>
      <w:r w:rsidRPr="00BE7C7E">
        <w:rPr>
          <w:rFonts w:ascii="Verdana" w:hAnsi="Verdana" w:cs="Verdana"/>
          <w:b/>
          <w:bCs/>
          <w:sz w:val="20"/>
          <w:szCs w:val="20"/>
        </w:rPr>
        <w:t>CORTE INTERAMERICANA DE DERECHOS HUMANOS</w:t>
      </w:r>
    </w:p>
    <w:p w:rsidR="007804B2" w:rsidRDefault="007804B2">
      <w:pPr>
        <w:autoSpaceDE w:val="0"/>
        <w:autoSpaceDN w:val="0"/>
        <w:adjustRightInd w:val="0"/>
        <w:spacing w:after="0" w:line="240" w:lineRule="auto"/>
        <w:jc w:val="center"/>
        <w:rPr>
          <w:rFonts w:ascii="Verdana" w:hAnsi="Verdana" w:cs="Verdana"/>
          <w:b/>
          <w:bCs/>
          <w:sz w:val="20"/>
          <w:szCs w:val="20"/>
        </w:rPr>
      </w:pPr>
    </w:p>
    <w:p w:rsidR="007804B2" w:rsidRDefault="007804B2" w:rsidP="00BF133C">
      <w:pPr>
        <w:autoSpaceDE w:val="0"/>
        <w:autoSpaceDN w:val="0"/>
        <w:adjustRightInd w:val="0"/>
        <w:spacing w:after="0" w:line="240" w:lineRule="auto"/>
        <w:jc w:val="center"/>
        <w:outlineLvl w:val="0"/>
        <w:rPr>
          <w:rFonts w:ascii="Verdana" w:hAnsi="Verdana" w:cs="Verdana"/>
          <w:b/>
          <w:bCs/>
          <w:sz w:val="20"/>
          <w:szCs w:val="20"/>
        </w:rPr>
      </w:pPr>
      <w:r w:rsidRPr="00BE7C7E">
        <w:rPr>
          <w:rFonts w:ascii="Verdana" w:hAnsi="Verdana" w:cs="Verdana"/>
          <w:b/>
          <w:bCs/>
          <w:sz w:val="20"/>
          <w:szCs w:val="20"/>
        </w:rPr>
        <w:t xml:space="preserve">DE </w:t>
      </w:r>
      <w:r w:rsidR="00BF133C">
        <w:rPr>
          <w:rFonts w:ascii="Verdana" w:hAnsi="Verdana" w:cs="Verdana"/>
          <w:b/>
          <w:bCs/>
          <w:sz w:val="20"/>
          <w:szCs w:val="20"/>
        </w:rPr>
        <w:t>26</w:t>
      </w:r>
      <w:r w:rsidRPr="00BE7C7E">
        <w:rPr>
          <w:rFonts w:ascii="Verdana" w:hAnsi="Verdana" w:cs="Verdana"/>
          <w:b/>
          <w:bCs/>
          <w:sz w:val="20"/>
          <w:szCs w:val="20"/>
        </w:rPr>
        <w:t xml:space="preserve"> </w:t>
      </w:r>
      <w:r>
        <w:rPr>
          <w:rFonts w:ascii="Verdana" w:hAnsi="Verdana" w:cs="Verdana"/>
          <w:b/>
          <w:bCs/>
          <w:sz w:val="20"/>
          <w:szCs w:val="20"/>
        </w:rPr>
        <w:t xml:space="preserve">DE </w:t>
      </w:r>
      <w:r w:rsidRPr="00BE7C7E">
        <w:rPr>
          <w:rFonts w:ascii="Verdana" w:hAnsi="Verdana" w:cs="Verdana"/>
          <w:b/>
          <w:bCs/>
          <w:sz w:val="20"/>
          <w:szCs w:val="20"/>
        </w:rPr>
        <w:t xml:space="preserve">DICIEMBRE DE </w:t>
      </w:r>
      <w:r>
        <w:rPr>
          <w:rFonts w:ascii="Verdana" w:hAnsi="Verdana" w:cs="Verdana"/>
          <w:b/>
          <w:bCs/>
          <w:sz w:val="20"/>
          <w:szCs w:val="20"/>
        </w:rPr>
        <w:t>2013</w:t>
      </w:r>
    </w:p>
    <w:p w:rsidR="007804B2" w:rsidRDefault="007804B2">
      <w:pPr>
        <w:autoSpaceDE w:val="0"/>
        <w:autoSpaceDN w:val="0"/>
        <w:adjustRightInd w:val="0"/>
        <w:spacing w:after="0" w:line="240" w:lineRule="auto"/>
        <w:jc w:val="center"/>
        <w:rPr>
          <w:rFonts w:ascii="Verdana" w:hAnsi="Verdana" w:cs="Verdana"/>
          <w:b/>
          <w:bCs/>
          <w:sz w:val="20"/>
          <w:szCs w:val="20"/>
        </w:rPr>
      </w:pPr>
    </w:p>
    <w:p w:rsidR="007804B2" w:rsidRDefault="007804B2" w:rsidP="00BF133C">
      <w:pPr>
        <w:autoSpaceDE w:val="0"/>
        <w:autoSpaceDN w:val="0"/>
        <w:adjustRightInd w:val="0"/>
        <w:spacing w:after="0" w:line="240" w:lineRule="auto"/>
        <w:jc w:val="center"/>
        <w:outlineLvl w:val="0"/>
        <w:rPr>
          <w:rFonts w:ascii="Verdana" w:hAnsi="Verdana" w:cs="Verdana"/>
          <w:b/>
          <w:bCs/>
          <w:sz w:val="20"/>
          <w:szCs w:val="20"/>
        </w:rPr>
      </w:pPr>
      <w:r>
        <w:rPr>
          <w:rFonts w:ascii="Verdana" w:hAnsi="Verdana" w:cs="Verdana"/>
          <w:b/>
          <w:bCs/>
          <w:sz w:val="20"/>
          <w:szCs w:val="20"/>
        </w:rPr>
        <w:t xml:space="preserve">CASO HERMANOS LANDAETA MEJÍAS Y OTROS </w:t>
      </w:r>
      <w:r>
        <w:rPr>
          <w:rFonts w:ascii="Verdana" w:hAnsi="Verdana" w:cs="Verdana"/>
          <w:b/>
          <w:bCs/>
          <w:i/>
          <w:iCs/>
          <w:sz w:val="20"/>
          <w:szCs w:val="20"/>
        </w:rPr>
        <w:t xml:space="preserve">VS. </w:t>
      </w:r>
      <w:r>
        <w:rPr>
          <w:rFonts w:ascii="Verdana" w:hAnsi="Verdana" w:cs="Verdana"/>
          <w:b/>
          <w:bCs/>
          <w:sz w:val="20"/>
          <w:szCs w:val="20"/>
        </w:rPr>
        <w:t>VENEZUELA</w:t>
      </w:r>
    </w:p>
    <w:p w:rsidR="007804B2" w:rsidRDefault="007804B2">
      <w:pPr>
        <w:autoSpaceDE w:val="0"/>
        <w:autoSpaceDN w:val="0"/>
        <w:adjustRightInd w:val="0"/>
        <w:spacing w:after="0" w:line="240" w:lineRule="auto"/>
        <w:jc w:val="both"/>
        <w:rPr>
          <w:rFonts w:ascii="Verdana" w:hAnsi="Verdana" w:cs="Verdana"/>
          <w:b/>
          <w:bCs/>
          <w:sz w:val="20"/>
          <w:szCs w:val="20"/>
        </w:rPr>
      </w:pPr>
    </w:p>
    <w:p w:rsidR="007804B2" w:rsidRDefault="007804B2">
      <w:pPr>
        <w:autoSpaceDE w:val="0"/>
        <w:autoSpaceDN w:val="0"/>
        <w:adjustRightInd w:val="0"/>
        <w:spacing w:after="0" w:line="240" w:lineRule="auto"/>
        <w:jc w:val="both"/>
        <w:rPr>
          <w:rFonts w:ascii="Verdana" w:hAnsi="Verdana" w:cs="Verdana"/>
          <w:b/>
          <w:bCs/>
          <w:sz w:val="20"/>
          <w:szCs w:val="20"/>
        </w:rPr>
      </w:pPr>
    </w:p>
    <w:p w:rsidR="007804B2" w:rsidRDefault="007804B2" w:rsidP="00BF133C">
      <w:pPr>
        <w:autoSpaceDE w:val="0"/>
        <w:autoSpaceDN w:val="0"/>
        <w:adjustRightInd w:val="0"/>
        <w:spacing w:after="0" w:line="240" w:lineRule="auto"/>
        <w:jc w:val="both"/>
        <w:outlineLvl w:val="0"/>
        <w:rPr>
          <w:rFonts w:ascii="Verdana" w:hAnsi="Verdana" w:cs="Verdana"/>
          <w:b/>
          <w:bCs/>
          <w:sz w:val="20"/>
          <w:szCs w:val="20"/>
        </w:rPr>
      </w:pPr>
      <w:r>
        <w:rPr>
          <w:rFonts w:ascii="Verdana" w:hAnsi="Verdana" w:cs="Verdana"/>
          <w:b/>
          <w:bCs/>
          <w:sz w:val="20"/>
          <w:szCs w:val="20"/>
        </w:rPr>
        <w:t>VISTO:</w:t>
      </w:r>
    </w:p>
    <w:p w:rsidR="007804B2" w:rsidRDefault="007804B2">
      <w:pPr>
        <w:autoSpaceDE w:val="0"/>
        <w:autoSpaceDN w:val="0"/>
        <w:adjustRightInd w:val="0"/>
        <w:spacing w:after="0" w:line="240" w:lineRule="auto"/>
        <w:jc w:val="both"/>
        <w:rPr>
          <w:rFonts w:ascii="Verdana" w:hAnsi="Verdana" w:cs="Verdana"/>
          <w:b/>
          <w:bCs/>
          <w:sz w:val="20"/>
          <w:szCs w:val="20"/>
        </w:rPr>
      </w:pPr>
    </w:p>
    <w:p w:rsidR="007804B2" w:rsidRDefault="007804B2">
      <w:pPr>
        <w:autoSpaceDE w:val="0"/>
        <w:autoSpaceDN w:val="0"/>
        <w:adjustRightInd w:val="0"/>
        <w:spacing w:after="0" w:line="240" w:lineRule="auto"/>
        <w:jc w:val="both"/>
        <w:rPr>
          <w:rFonts w:ascii="Verdana" w:hAnsi="Verdana" w:cs="Verdana"/>
          <w:b/>
          <w:bCs/>
          <w:sz w:val="20"/>
          <w:szCs w:val="20"/>
        </w:rPr>
      </w:pPr>
    </w:p>
    <w:p w:rsidR="007804B2" w:rsidRDefault="007804B2">
      <w:pPr>
        <w:pStyle w:val="ListParagraph"/>
        <w:numPr>
          <w:ilvl w:val="0"/>
          <w:numId w:val="4"/>
        </w:numPr>
        <w:tabs>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El escrito de sometimiento del caso presentado por la Comisión Interamericana de Derechos Humanos (en adelante “la Comisión Interamericana” o “la Comisión”) ante la Corte Interamericana de Derechos Humanos (en adelante “la Corte Interamericana”, “la Corte” o “el Tribunal”) el 10 de julio de 2012, mediante el cual ofreció dos dictámenes periciales.</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4"/>
        </w:numPr>
        <w:tabs>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El escrito de solicitudes, argumentos y pruebas (en adelante el “escrito de solicitudes y argumentos”) presentado por los representantes de las presuntas víctimas (en adelante “los representantes”) el 26 de octubre de 2012, mediante el cual ofrecieron cinco declaraciones de presuntas víctimas y cinco dictámenes periciales.</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rsidP="00C53720">
      <w:pPr>
        <w:pStyle w:val="ListParagraph"/>
        <w:numPr>
          <w:ilvl w:val="0"/>
          <w:numId w:val="4"/>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El escrito de contestación a los escritos de sometimiento del caso y al de solicitudes y argumentos (en adelante “escrito de contestación”) presentado por el Estado de Venezuela (en adelante “el Estado”) el 28 de enero de 2013, mediante el cual ofreció una declaración testimonial y una dictamen pericial.</w:t>
      </w:r>
    </w:p>
    <w:p w:rsidR="007804B2" w:rsidRPr="00C53720" w:rsidRDefault="007804B2" w:rsidP="00C53720">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4"/>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La Resolución del Presidente de la Corte (en adelante “el Presidente”) de 13 de febrero de 2013 (en adelante “Resolución del Presidente”) sobre el Fondo de Asistencia de Víctimas.</w:t>
      </w:r>
    </w:p>
    <w:p w:rsidR="007804B2" w:rsidRDefault="007804B2">
      <w:pPr>
        <w:pStyle w:val="ListParagraph"/>
        <w:tabs>
          <w:tab w:val="left" w:pos="567"/>
        </w:tabs>
        <w:spacing w:after="0" w:line="240" w:lineRule="auto"/>
        <w:jc w:val="both"/>
        <w:rPr>
          <w:rFonts w:ascii="Verdana" w:hAnsi="Verdana" w:cs="Verdana"/>
          <w:sz w:val="20"/>
          <w:szCs w:val="20"/>
          <w:lang w:val="es-ES"/>
        </w:rPr>
      </w:pPr>
    </w:p>
    <w:p w:rsidR="007804B2" w:rsidRDefault="007804B2">
      <w:pPr>
        <w:pStyle w:val="ListParagraph"/>
        <w:numPr>
          <w:ilvl w:val="0"/>
          <w:numId w:val="4"/>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lang w:val="es-ES"/>
        </w:rPr>
        <w:t>Las notas de Secretaría de 2 de diciembre de 2013, mediante las cuales, de conformidad con el artículo 46.1 del Reglamento del Tribunal (en adelante “el Reglamento”), se solicitó al Estado, a los representantes y a la Comisión Interamericana que remitieran sus respectivas listas definitivas de declarantes (en adelante “listas definitivas”) y que por razones de economía procesal indicaran quiénes podrían rendir sus declaraciones ante fedatario público (</w:t>
      </w:r>
      <w:r>
        <w:rPr>
          <w:rFonts w:ascii="Verdana" w:hAnsi="Verdana" w:cs="Verdana"/>
          <w:i/>
          <w:iCs/>
          <w:sz w:val="20"/>
          <w:szCs w:val="20"/>
          <w:lang w:val="es-ES"/>
        </w:rPr>
        <w:t>affidávit</w:t>
      </w:r>
      <w:r>
        <w:rPr>
          <w:rFonts w:ascii="Verdana" w:hAnsi="Verdana" w:cs="Verdana"/>
          <w:sz w:val="20"/>
          <w:szCs w:val="20"/>
          <w:lang w:val="es-ES"/>
        </w:rPr>
        <w:t xml:space="preserve">) y quiénes deberían ser llamados a declarar en audiencia pública. </w:t>
      </w:r>
    </w:p>
    <w:p w:rsidR="007804B2" w:rsidRDefault="007804B2">
      <w:pPr>
        <w:pStyle w:val="ListParagraph"/>
        <w:tabs>
          <w:tab w:val="left" w:pos="567"/>
          <w:tab w:val="left" w:pos="7515"/>
        </w:tabs>
        <w:autoSpaceDE w:val="0"/>
        <w:autoSpaceDN w:val="0"/>
        <w:adjustRightInd w:val="0"/>
        <w:spacing w:after="0" w:line="240" w:lineRule="auto"/>
        <w:ind w:left="0"/>
        <w:jc w:val="both"/>
        <w:rPr>
          <w:rFonts w:ascii="Verdana" w:hAnsi="Verdana" w:cs="Verdana"/>
          <w:sz w:val="20"/>
          <w:szCs w:val="20"/>
        </w:rPr>
      </w:pPr>
      <w:r>
        <w:rPr>
          <w:rFonts w:ascii="Verdana" w:hAnsi="Verdana" w:cs="Verdana"/>
          <w:sz w:val="20"/>
          <w:szCs w:val="20"/>
        </w:rPr>
        <w:tab/>
      </w:r>
    </w:p>
    <w:p w:rsidR="007804B2" w:rsidRDefault="007804B2">
      <w:pPr>
        <w:pStyle w:val="ListParagraph"/>
        <w:numPr>
          <w:ilvl w:val="0"/>
          <w:numId w:val="4"/>
        </w:numPr>
        <w:tabs>
          <w:tab w:val="left" w:pos="567"/>
        </w:tabs>
        <w:autoSpaceDE w:val="0"/>
        <w:autoSpaceDN w:val="0"/>
        <w:adjustRightInd w:val="0"/>
        <w:spacing w:after="0" w:line="240" w:lineRule="auto"/>
        <w:ind w:left="0" w:firstLine="0"/>
        <w:jc w:val="both"/>
        <w:rPr>
          <w:rFonts w:ascii="Verdana" w:hAnsi="Verdana" w:cs="Verdana"/>
          <w:b/>
          <w:bCs/>
          <w:sz w:val="20"/>
          <w:szCs w:val="20"/>
        </w:rPr>
      </w:pPr>
      <w:r>
        <w:rPr>
          <w:rFonts w:ascii="Verdana" w:hAnsi="Verdana" w:cs="Verdana"/>
          <w:sz w:val="20"/>
          <w:szCs w:val="20"/>
        </w:rPr>
        <w:t xml:space="preserve">Los escritos de 4 y 11 de diciembre de 2013, mediante los cuales el Estado, la Comisión Interamericana y los representantes remitieron, respectivamente, sus listas definitivas, e indicaron quienes podrían rendir declaración en la audiencia pública sobre excepciones preliminares y los eventuales fondo, reparaciones y costas. El Estado confirmó las dos declaraciones anteriormente ofrecidas y solicitó que ambas sean rendidas en audiencia pública. La Comisión confirmó la prueba pericial anteriormente ofrecida y solicitó que uno de los peritos sea llamado a declarar en audiencia pública, </w:t>
      </w:r>
      <w:r>
        <w:rPr>
          <w:rFonts w:ascii="Verdana" w:hAnsi="Verdana" w:cs="Verdana"/>
          <w:sz w:val="20"/>
          <w:szCs w:val="20"/>
        </w:rPr>
        <w:lastRenderedPageBreak/>
        <w:t>mientras que el otro peritaje sea rendido ante fedatario público (</w:t>
      </w:r>
      <w:r>
        <w:rPr>
          <w:rFonts w:ascii="Verdana" w:hAnsi="Verdana" w:cs="Verdana"/>
          <w:i/>
          <w:iCs/>
          <w:sz w:val="20"/>
          <w:szCs w:val="20"/>
        </w:rPr>
        <w:t>affidávit</w:t>
      </w:r>
      <w:r>
        <w:rPr>
          <w:rFonts w:ascii="Verdana" w:hAnsi="Verdana" w:cs="Verdana"/>
          <w:sz w:val="20"/>
          <w:szCs w:val="20"/>
        </w:rPr>
        <w:t>). Los representantes solicitaron que una presunta víctima y un perito sean llamados a declarar en audiencia pública, e indicaron que las restantes cuatro declaraciones de presuntas víctimas y cuatro peritajes sean rendidos ante fedatario público (</w:t>
      </w:r>
      <w:r>
        <w:rPr>
          <w:rFonts w:ascii="Verdana" w:hAnsi="Verdana" w:cs="Verdana"/>
          <w:i/>
          <w:iCs/>
          <w:sz w:val="20"/>
          <w:szCs w:val="20"/>
        </w:rPr>
        <w:t>affidávit</w:t>
      </w:r>
      <w:r>
        <w:rPr>
          <w:rFonts w:ascii="Verdana" w:hAnsi="Verdana" w:cs="Verdana"/>
          <w:sz w:val="20"/>
          <w:szCs w:val="20"/>
        </w:rPr>
        <w:t xml:space="preserve">).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4"/>
        </w:numPr>
        <w:tabs>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Las notas de la Secretaría de 12 de diciembre de 2013, mediante las cuales, siguiendo instrucciones del Presidente, se transmitieron las listas definitivas a las partes y a la Comisión Interamericana, otorgándoseles un plazo hasta el 17 de diciembre de 2013 para presentar las observaciones que estimaran pertinentes a las mismas.</w:t>
      </w:r>
    </w:p>
    <w:p w:rsidR="007804B2" w:rsidRDefault="007804B2" w:rsidP="00E96D3D">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4"/>
        </w:numPr>
        <w:tabs>
          <w:tab w:val="left" w:pos="567"/>
        </w:tabs>
        <w:autoSpaceDE w:val="0"/>
        <w:autoSpaceDN w:val="0"/>
        <w:adjustRightInd w:val="0"/>
        <w:spacing w:after="0" w:line="240" w:lineRule="auto"/>
        <w:ind w:left="0" w:firstLine="0"/>
        <w:jc w:val="both"/>
        <w:rPr>
          <w:rFonts w:ascii="Verdana" w:hAnsi="Verdana" w:cs="Verdana"/>
          <w:sz w:val="20"/>
          <w:szCs w:val="20"/>
        </w:rPr>
      </w:pPr>
      <w:r w:rsidRPr="00DD421D">
        <w:rPr>
          <w:rFonts w:ascii="Verdana" w:hAnsi="Verdana" w:cs="Verdana"/>
          <w:sz w:val="20"/>
          <w:szCs w:val="20"/>
        </w:rPr>
        <w:t>El escrito de 16 diciembre de 2013, mediante el cual los represent</w:t>
      </w:r>
      <w:r w:rsidRPr="00BE7C7E">
        <w:rPr>
          <w:rFonts w:ascii="Verdana" w:hAnsi="Verdana" w:cs="Verdana"/>
          <w:sz w:val="20"/>
          <w:szCs w:val="20"/>
        </w:rPr>
        <w:t>ant</w:t>
      </w:r>
      <w:r w:rsidRPr="00DD421D">
        <w:rPr>
          <w:rFonts w:ascii="Verdana" w:hAnsi="Verdana" w:cs="Verdana"/>
          <w:sz w:val="20"/>
          <w:szCs w:val="20"/>
        </w:rPr>
        <w:t xml:space="preserve">es solicitaron la sustitución de uno de sus peritos.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4"/>
        </w:numPr>
        <w:tabs>
          <w:tab w:val="left" w:pos="567"/>
        </w:tabs>
        <w:autoSpaceDE w:val="0"/>
        <w:autoSpaceDN w:val="0"/>
        <w:adjustRightInd w:val="0"/>
        <w:spacing w:after="0" w:line="240" w:lineRule="auto"/>
        <w:ind w:left="0" w:firstLine="0"/>
        <w:jc w:val="both"/>
        <w:rPr>
          <w:rFonts w:ascii="Verdana" w:hAnsi="Verdana" w:cs="Verdana"/>
          <w:sz w:val="20"/>
          <w:szCs w:val="20"/>
        </w:rPr>
      </w:pPr>
      <w:r w:rsidRPr="00DD421D">
        <w:rPr>
          <w:rFonts w:ascii="Verdana" w:hAnsi="Verdana" w:cs="Verdana"/>
          <w:sz w:val="20"/>
          <w:szCs w:val="20"/>
        </w:rPr>
        <w:t xml:space="preserve">La nota de la Secretaría de 16 de diciembre de 2013, mediante la cual el Presidente otorgó </w:t>
      </w:r>
      <w:r w:rsidRPr="00BE7C7E">
        <w:rPr>
          <w:rFonts w:ascii="Verdana" w:hAnsi="Verdana" w:cs="Verdana"/>
          <w:sz w:val="20"/>
          <w:szCs w:val="20"/>
        </w:rPr>
        <w:t>plazo hasta el 1</w:t>
      </w:r>
      <w:r w:rsidRPr="00DD421D">
        <w:rPr>
          <w:rFonts w:ascii="Verdana" w:hAnsi="Verdana" w:cs="Verdana"/>
          <w:sz w:val="20"/>
          <w:szCs w:val="20"/>
        </w:rPr>
        <w:t>9 de diciembre</w:t>
      </w:r>
      <w:r w:rsidRPr="00BE7C7E">
        <w:rPr>
          <w:rFonts w:ascii="Verdana" w:hAnsi="Verdana" w:cs="Verdana"/>
          <w:sz w:val="20"/>
          <w:szCs w:val="20"/>
        </w:rPr>
        <w:t xml:space="preserve"> de 2013 para que el Estado presentara sus observaciones a la</w:t>
      </w:r>
      <w:r w:rsidRPr="00DD421D">
        <w:rPr>
          <w:rFonts w:ascii="Verdana" w:hAnsi="Verdana" w:cs="Verdana"/>
          <w:sz w:val="20"/>
          <w:szCs w:val="20"/>
        </w:rPr>
        <w:t xml:space="preserve"> solicitud de sustitución de un perito</w:t>
      </w:r>
      <w:r w:rsidRPr="00BE7C7E">
        <w:rPr>
          <w:rFonts w:ascii="Verdana" w:hAnsi="Verdana" w:cs="Verdana"/>
          <w:sz w:val="20"/>
          <w:szCs w:val="20"/>
        </w:rPr>
        <w:t xml:space="preserve"> efectuada por los re</w:t>
      </w:r>
      <w:r w:rsidRPr="00DD421D">
        <w:rPr>
          <w:rFonts w:ascii="Verdana" w:hAnsi="Verdana" w:cs="Verdana"/>
          <w:sz w:val="20"/>
          <w:szCs w:val="20"/>
        </w:rPr>
        <w:t>presentantes</w:t>
      </w:r>
      <w:r>
        <w:rPr>
          <w:rFonts w:ascii="Verdana" w:hAnsi="Verdana" w:cs="Verdana"/>
          <w:sz w:val="20"/>
          <w:szCs w:val="20"/>
        </w:rPr>
        <w:t>. Las observaciones del Estado fueron presentadas el 17 de diciembre de 2013.</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4"/>
        </w:numPr>
        <w:tabs>
          <w:tab w:val="left" w:pos="567"/>
        </w:tabs>
        <w:autoSpaceDE w:val="0"/>
        <w:autoSpaceDN w:val="0"/>
        <w:adjustRightInd w:val="0"/>
        <w:spacing w:after="0" w:line="240" w:lineRule="auto"/>
        <w:ind w:left="0" w:firstLine="0"/>
        <w:jc w:val="both"/>
        <w:rPr>
          <w:rFonts w:ascii="Verdana" w:hAnsi="Verdana" w:cs="Verdana"/>
          <w:sz w:val="20"/>
          <w:szCs w:val="20"/>
        </w:rPr>
      </w:pPr>
      <w:r w:rsidRPr="00B378E1">
        <w:rPr>
          <w:rFonts w:ascii="Verdana" w:hAnsi="Verdana" w:cs="Verdana"/>
          <w:sz w:val="20"/>
          <w:szCs w:val="20"/>
        </w:rPr>
        <w:t>Los</w:t>
      </w:r>
      <w:r w:rsidRPr="00DD421D">
        <w:rPr>
          <w:rFonts w:ascii="Verdana" w:hAnsi="Verdana" w:cs="Verdana"/>
          <w:sz w:val="20"/>
          <w:szCs w:val="20"/>
        </w:rPr>
        <w:t xml:space="preserve"> escrito</w:t>
      </w:r>
      <w:r w:rsidRPr="00B378E1">
        <w:rPr>
          <w:rFonts w:ascii="Verdana" w:hAnsi="Verdana" w:cs="Verdana"/>
          <w:sz w:val="20"/>
          <w:szCs w:val="20"/>
        </w:rPr>
        <w:t>s</w:t>
      </w:r>
      <w:r w:rsidRPr="00DD421D">
        <w:rPr>
          <w:rFonts w:ascii="Verdana" w:hAnsi="Verdana" w:cs="Verdana"/>
          <w:sz w:val="20"/>
          <w:szCs w:val="20"/>
        </w:rPr>
        <w:t xml:space="preserve"> de 17 de diciembre de 2013, mediante </w:t>
      </w:r>
      <w:r w:rsidRPr="00B378E1">
        <w:rPr>
          <w:rFonts w:ascii="Verdana" w:hAnsi="Verdana" w:cs="Verdana"/>
          <w:sz w:val="20"/>
          <w:szCs w:val="20"/>
        </w:rPr>
        <w:t>los</w:t>
      </w:r>
      <w:r w:rsidRPr="00DD421D">
        <w:rPr>
          <w:rFonts w:ascii="Verdana" w:hAnsi="Verdana" w:cs="Verdana"/>
          <w:sz w:val="20"/>
          <w:szCs w:val="20"/>
        </w:rPr>
        <w:t xml:space="preserve"> cual</w:t>
      </w:r>
      <w:r w:rsidRPr="00B378E1">
        <w:rPr>
          <w:rFonts w:ascii="Verdana" w:hAnsi="Verdana" w:cs="Verdana"/>
          <w:sz w:val="20"/>
          <w:szCs w:val="20"/>
        </w:rPr>
        <w:t xml:space="preserve">es el Estado, </w:t>
      </w:r>
      <w:r w:rsidRPr="00DD421D">
        <w:rPr>
          <w:rFonts w:ascii="Verdana" w:hAnsi="Verdana" w:cs="Verdana"/>
          <w:sz w:val="20"/>
          <w:szCs w:val="20"/>
        </w:rPr>
        <w:t xml:space="preserve">los representantes </w:t>
      </w:r>
      <w:r w:rsidRPr="00B378E1">
        <w:rPr>
          <w:rFonts w:ascii="Verdana" w:hAnsi="Verdana" w:cs="Verdana"/>
          <w:sz w:val="20"/>
          <w:szCs w:val="20"/>
        </w:rPr>
        <w:t xml:space="preserve">y la Comisión, </w:t>
      </w:r>
      <w:r w:rsidRPr="00DD421D">
        <w:rPr>
          <w:rFonts w:ascii="Verdana" w:hAnsi="Verdana" w:cs="Verdana"/>
          <w:sz w:val="20"/>
          <w:szCs w:val="20"/>
        </w:rPr>
        <w:t xml:space="preserve">presentaron sus observaciones a las listas </w:t>
      </w:r>
      <w:r w:rsidRPr="00B378E1">
        <w:rPr>
          <w:rFonts w:ascii="Verdana" w:hAnsi="Verdana" w:cs="Verdana"/>
          <w:sz w:val="20"/>
          <w:szCs w:val="20"/>
        </w:rPr>
        <w:t xml:space="preserve">definitivas. El Estado </w:t>
      </w:r>
      <w:r w:rsidRPr="00C852F4">
        <w:rPr>
          <w:rFonts w:ascii="Verdana" w:hAnsi="Verdana" w:cs="Verdana"/>
          <w:sz w:val="20"/>
          <w:szCs w:val="20"/>
        </w:rPr>
        <w:t>objetó las declaraciones de cinco presuntas víctimas</w:t>
      </w:r>
      <w:r w:rsidRPr="00B378E1">
        <w:rPr>
          <w:rFonts w:ascii="Verdana" w:hAnsi="Verdana" w:cs="Verdana"/>
          <w:sz w:val="20"/>
          <w:szCs w:val="20"/>
        </w:rPr>
        <w:t xml:space="preserve"> y recusó a los señores </w:t>
      </w:r>
      <w:r w:rsidRPr="00B378E1">
        <w:rPr>
          <w:rFonts w:ascii="Verdana" w:hAnsi="Verdana" w:cs="Verdana"/>
          <w:sz w:val="20"/>
          <w:szCs w:val="20"/>
          <w:lang w:val="es-CR"/>
        </w:rPr>
        <w:t xml:space="preserve">Magaly Vásquez, Claudia Carrillo y José Pablo </w:t>
      </w:r>
      <w:proofErr w:type="spellStart"/>
      <w:r w:rsidRPr="00B378E1">
        <w:rPr>
          <w:rFonts w:ascii="Verdana" w:hAnsi="Verdana" w:cs="Verdana"/>
          <w:sz w:val="20"/>
          <w:szCs w:val="20"/>
          <w:lang w:val="es-CR"/>
        </w:rPr>
        <w:t>Baraybar</w:t>
      </w:r>
      <w:proofErr w:type="spellEnd"/>
      <w:r w:rsidRPr="00B378E1">
        <w:rPr>
          <w:rFonts w:ascii="Verdana" w:hAnsi="Verdana" w:cs="Verdana"/>
          <w:sz w:val="20"/>
          <w:szCs w:val="20"/>
          <w:lang w:val="es-CR"/>
        </w:rPr>
        <w:t>, ofrecidos como peritos por los representantes. Los representantes recusaron a la señora</w:t>
      </w:r>
      <w:r w:rsidRPr="00B378E1">
        <w:rPr>
          <w:rFonts w:ascii="Verdana" w:hAnsi="Verdana" w:cs="Verdana"/>
          <w:sz w:val="20"/>
          <w:szCs w:val="20"/>
        </w:rPr>
        <w:t xml:space="preserve"> </w:t>
      </w:r>
      <w:proofErr w:type="spellStart"/>
      <w:r w:rsidRPr="00B378E1">
        <w:rPr>
          <w:rFonts w:ascii="Verdana" w:hAnsi="Verdana" w:cs="Verdana"/>
          <w:sz w:val="20"/>
          <w:szCs w:val="20"/>
        </w:rPr>
        <w:t>Desiree</w:t>
      </w:r>
      <w:proofErr w:type="spellEnd"/>
      <w:r w:rsidRPr="00B378E1">
        <w:rPr>
          <w:rFonts w:ascii="Verdana" w:hAnsi="Verdana" w:cs="Verdana"/>
          <w:sz w:val="20"/>
          <w:szCs w:val="20"/>
        </w:rPr>
        <w:t xml:space="preserve"> </w:t>
      </w:r>
      <w:proofErr w:type="spellStart"/>
      <w:r w:rsidRPr="00B378E1">
        <w:rPr>
          <w:rFonts w:ascii="Verdana" w:hAnsi="Verdana" w:cs="Verdana"/>
          <w:sz w:val="20"/>
          <w:szCs w:val="20"/>
        </w:rPr>
        <w:t>Noelis</w:t>
      </w:r>
      <w:proofErr w:type="spellEnd"/>
      <w:r w:rsidRPr="00B378E1">
        <w:rPr>
          <w:rFonts w:ascii="Verdana" w:hAnsi="Verdana" w:cs="Verdana"/>
          <w:sz w:val="20"/>
          <w:szCs w:val="20"/>
        </w:rPr>
        <w:t xml:space="preserve"> </w:t>
      </w:r>
      <w:proofErr w:type="spellStart"/>
      <w:r w:rsidRPr="00B378E1">
        <w:rPr>
          <w:rFonts w:ascii="Verdana" w:hAnsi="Verdana" w:cs="Verdana"/>
          <w:sz w:val="20"/>
          <w:szCs w:val="20"/>
        </w:rPr>
        <w:t>Boada</w:t>
      </w:r>
      <w:proofErr w:type="spellEnd"/>
      <w:r w:rsidRPr="00B378E1">
        <w:rPr>
          <w:rFonts w:ascii="Verdana" w:hAnsi="Verdana" w:cs="Verdana"/>
          <w:sz w:val="20"/>
          <w:szCs w:val="20"/>
        </w:rPr>
        <w:t xml:space="preserve"> Guevara, ofrecida como perita por el Estado. La Comisión manifestó que </w:t>
      </w:r>
      <w:r w:rsidRPr="00DD421D">
        <w:rPr>
          <w:rFonts w:ascii="Verdana" w:hAnsi="Verdana" w:cs="Verdana"/>
          <w:sz w:val="20"/>
          <w:szCs w:val="20"/>
          <w:lang w:val="es-CR"/>
        </w:rPr>
        <w:t xml:space="preserve">“no [tenía] observaciones que formular </w:t>
      </w:r>
      <w:r w:rsidRPr="00DD421D">
        <w:rPr>
          <w:rFonts w:ascii="Verdana" w:hAnsi="Verdana" w:cs="Verdana"/>
          <w:color w:val="000000"/>
          <w:sz w:val="20"/>
          <w:szCs w:val="20"/>
          <w:lang w:val="es-CR"/>
        </w:rPr>
        <w:t>[a las listas definitivas de declarantes de las partes]</w:t>
      </w:r>
      <w:r w:rsidRPr="00DD421D">
        <w:rPr>
          <w:rFonts w:ascii="Verdana" w:hAnsi="Verdana" w:cs="Verdana"/>
          <w:sz w:val="20"/>
          <w:szCs w:val="20"/>
          <w:lang w:val="es-CR"/>
        </w:rPr>
        <w:t xml:space="preserve">”, sin embargo </w:t>
      </w:r>
      <w:r w:rsidRPr="00DD421D">
        <w:rPr>
          <w:rFonts w:ascii="Verdana" w:hAnsi="Verdana" w:cs="Verdana"/>
          <w:color w:val="000000"/>
          <w:sz w:val="20"/>
          <w:szCs w:val="20"/>
          <w:lang w:val="es-CR"/>
        </w:rPr>
        <w:t xml:space="preserve">solicitó formular preguntas a los peritos Calixto Ávila y </w:t>
      </w:r>
      <w:proofErr w:type="spellStart"/>
      <w:r w:rsidRPr="00DD421D">
        <w:rPr>
          <w:rFonts w:ascii="Verdana" w:hAnsi="Verdana" w:cs="Verdana"/>
          <w:color w:val="000000"/>
          <w:sz w:val="20"/>
          <w:szCs w:val="20"/>
          <w:lang w:val="es-CR"/>
        </w:rPr>
        <w:t>Denotilia</w:t>
      </w:r>
      <w:proofErr w:type="spellEnd"/>
      <w:r w:rsidRPr="00DD421D">
        <w:rPr>
          <w:rFonts w:ascii="Verdana" w:hAnsi="Verdana" w:cs="Verdana"/>
          <w:color w:val="000000"/>
          <w:sz w:val="20"/>
          <w:szCs w:val="20"/>
          <w:lang w:val="es-CR"/>
        </w:rPr>
        <w:t xml:space="preserve"> Hernández, propuestos </w:t>
      </w:r>
      <w:r>
        <w:rPr>
          <w:rFonts w:ascii="Verdana" w:hAnsi="Verdana" w:cs="Verdana"/>
          <w:color w:val="000000"/>
          <w:sz w:val="20"/>
          <w:szCs w:val="20"/>
          <w:lang w:val="es-CR"/>
        </w:rPr>
        <w:t xml:space="preserve">como peritos </w:t>
      </w:r>
      <w:r w:rsidRPr="00DD421D">
        <w:rPr>
          <w:rFonts w:ascii="Verdana" w:hAnsi="Verdana" w:cs="Verdana"/>
          <w:color w:val="000000"/>
          <w:sz w:val="20"/>
          <w:szCs w:val="20"/>
          <w:lang w:val="es-CR"/>
        </w:rPr>
        <w:t>por los representantes de las presuntas víctimas.</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4"/>
        </w:numPr>
        <w:tabs>
          <w:tab w:val="left" w:pos="567"/>
        </w:tabs>
        <w:autoSpaceDE w:val="0"/>
        <w:autoSpaceDN w:val="0"/>
        <w:adjustRightInd w:val="0"/>
        <w:spacing w:after="0" w:line="240" w:lineRule="auto"/>
        <w:ind w:left="0" w:firstLine="0"/>
        <w:jc w:val="both"/>
        <w:rPr>
          <w:rFonts w:ascii="Verdana" w:hAnsi="Verdana" w:cs="Verdana"/>
          <w:sz w:val="20"/>
          <w:szCs w:val="20"/>
          <w:lang w:val="es-CR"/>
        </w:rPr>
      </w:pPr>
      <w:r w:rsidRPr="00B378E1">
        <w:rPr>
          <w:rFonts w:ascii="Verdana" w:hAnsi="Verdana" w:cs="Verdana"/>
          <w:sz w:val="20"/>
          <w:szCs w:val="20"/>
        </w:rPr>
        <w:t>Las notas de la Secretaría de 18 de diciembre de 2013, mediante las cuales, siguiendo instrucciones del Presidente, se transmitieron los referidos escritos de observaciones de los representantes y del Estado (</w:t>
      </w:r>
      <w:r w:rsidRPr="00B378E1">
        <w:rPr>
          <w:rFonts w:ascii="Verdana" w:hAnsi="Verdana" w:cs="Verdana"/>
          <w:i/>
          <w:iCs/>
          <w:sz w:val="20"/>
          <w:szCs w:val="20"/>
        </w:rPr>
        <w:t>supra</w:t>
      </w:r>
      <w:r w:rsidRPr="00B378E1">
        <w:rPr>
          <w:rFonts w:ascii="Verdana" w:hAnsi="Verdana" w:cs="Verdana"/>
          <w:sz w:val="20"/>
          <w:szCs w:val="20"/>
        </w:rPr>
        <w:t xml:space="preserve"> Visto 9) a los peritos recusados, y se les otorgó un plazo </w:t>
      </w:r>
      <w:proofErr w:type="spellStart"/>
      <w:r w:rsidRPr="00B378E1">
        <w:rPr>
          <w:rFonts w:ascii="Verdana" w:hAnsi="Verdana" w:cs="Verdana"/>
          <w:sz w:val="20"/>
          <w:szCs w:val="20"/>
        </w:rPr>
        <w:t>hast</w:t>
      </w:r>
      <w:proofErr w:type="spellEnd"/>
      <w:r w:rsidRPr="00B378E1">
        <w:rPr>
          <w:rFonts w:ascii="Verdana" w:hAnsi="Verdana" w:cs="Verdana"/>
          <w:sz w:val="20"/>
          <w:szCs w:val="20"/>
          <w:lang w:val="es-CR"/>
        </w:rPr>
        <w:t>a el 23 de diciembre de 2013 para que los mismos presentaran sus observaciones con respecto a las respectivas recusaciones en su contra.</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4"/>
        </w:numPr>
        <w:tabs>
          <w:tab w:val="left" w:pos="567"/>
        </w:tabs>
        <w:autoSpaceDE w:val="0"/>
        <w:autoSpaceDN w:val="0"/>
        <w:adjustRightInd w:val="0"/>
        <w:spacing w:after="0" w:line="240" w:lineRule="auto"/>
        <w:ind w:left="0" w:firstLine="0"/>
        <w:jc w:val="both"/>
        <w:rPr>
          <w:rFonts w:ascii="Verdana" w:hAnsi="Verdana" w:cs="Verdana"/>
          <w:sz w:val="20"/>
          <w:szCs w:val="20"/>
        </w:rPr>
      </w:pPr>
      <w:r w:rsidRPr="00DC1F57">
        <w:rPr>
          <w:rFonts w:ascii="Verdana" w:hAnsi="Verdana" w:cs="Verdana"/>
          <w:sz w:val="20"/>
          <w:szCs w:val="20"/>
        </w:rPr>
        <w:t xml:space="preserve">Los escritos presentados los días </w:t>
      </w:r>
      <w:r>
        <w:rPr>
          <w:rFonts w:ascii="Verdana" w:hAnsi="Verdana" w:cs="Verdana"/>
          <w:sz w:val="20"/>
          <w:szCs w:val="20"/>
        </w:rPr>
        <w:t xml:space="preserve">20, 21 </w:t>
      </w:r>
      <w:r w:rsidRPr="00C852F4">
        <w:rPr>
          <w:rFonts w:ascii="Verdana" w:hAnsi="Verdana" w:cs="Verdana"/>
          <w:sz w:val="20"/>
          <w:szCs w:val="20"/>
        </w:rPr>
        <w:t>y 23 de diciembre</w:t>
      </w:r>
      <w:r>
        <w:rPr>
          <w:rFonts w:ascii="Verdana" w:hAnsi="Verdana" w:cs="Verdana"/>
          <w:sz w:val="20"/>
          <w:szCs w:val="20"/>
        </w:rPr>
        <w:t xml:space="preserve"> de 2013</w:t>
      </w:r>
      <w:r w:rsidRPr="00DC1F57">
        <w:rPr>
          <w:rFonts w:ascii="Verdana" w:hAnsi="Verdana" w:cs="Verdana"/>
          <w:sz w:val="20"/>
          <w:szCs w:val="20"/>
        </w:rPr>
        <w:t xml:space="preserve">, mediante los cuales la señora </w:t>
      </w:r>
      <w:proofErr w:type="spellStart"/>
      <w:r w:rsidRPr="00DC1F57">
        <w:rPr>
          <w:rFonts w:ascii="Verdana" w:hAnsi="Verdana" w:cs="Verdana"/>
          <w:sz w:val="20"/>
          <w:szCs w:val="20"/>
        </w:rPr>
        <w:t>Desiree</w:t>
      </w:r>
      <w:proofErr w:type="spellEnd"/>
      <w:r w:rsidRPr="00DC1F57">
        <w:rPr>
          <w:rFonts w:ascii="Verdana" w:hAnsi="Verdana" w:cs="Verdana"/>
          <w:sz w:val="20"/>
          <w:szCs w:val="20"/>
        </w:rPr>
        <w:t xml:space="preserve"> </w:t>
      </w:r>
      <w:proofErr w:type="spellStart"/>
      <w:r w:rsidRPr="00DC1F57">
        <w:rPr>
          <w:rFonts w:ascii="Verdana" w:hAnsi="Verdana" w:cs="Verdana"/>
          <w:sz w:val="20"/>
          <w:szCs w:val="20"/>
        </w:rPr>
        <w:t>Noelis</w:t>
      </w:r>
      <w:proofErr w:type="spellEnd"/>
      <w:r w:rsidRPr="00DC1F57">
        <w:rPr>
          <w:rFonts w:ascii="Verdana" w:hAnsi="Verdana" w:cs="Verdana"/>
          <w:sz w:val="20"/>
          <w:szCs w:val="20"/>
        </w:rPr>
        <w:t xml:space="preserve"> </w:t>
      </w:r>
      <w:proofErr w:type="spellStart"/>
      <w:r w:rsidRPr="00DC1F57">
        <w:rPr>
          <w:rFonts w:ascii="Verdana" w:hAnsi="Verdana" w:cs="Verdana"/>
          <w:sz w:val="20"/>
          <w:szCs w:val="20"/>
        </w:rPr>
        <w:t>Boada</w:t>
      </w:r>
      <w:proofErr w:type="spellEnd"/>
      <w:r w:rsidRPr="00DC1F57">
        <w:rPr>
          <w:rFonts w:ascii="Verdana" w:hAnsi="Verdana" w:cs="Verdana"/>
          <w:sz w:val="20"/>
          <w:szCs w:val="20"/>
        </w:rPr>
        <w:t xml:space="preserve"> Guevara, ofrecida como perita por el Estado,</w:t>
      </w:r>
      <w:r>
        <w:rPr>
          <w:rFonts w:ascii="Verdana" w:hAnsi="Verdana" w:cs="Verdana"/>
          <w:sz w:val="20"/>
          <w:szCs w:val="20"/>
        </w:rPr>
        <w:t xml:space="preserve"> y</w:t>
      </w:r>
      <w:r w:rsidRPr="00DC1F57">
        <w:rPr>
          <w:rFonts w:ascii="Verdana" w:hAnsi="Verdana" w:cs="Verdana"/>
          <w:sz w:val="20"/>
          <w:szCs w:val="20"/>
        </w:rPr>
        <w:t xml:space="preserve"> los señores </w:t>
      </w:r>
      <w:r w:rsidRPr="00DD421D">
        <w:rPr>
          <w:rFonts w:ascii="Verdana" w:hAnsi="Verdana" w:cs="Verdana"/>
          <w:sz w:val="20"/>
          <w:szCs w:val="20"/>
          <w:lang w:val="es-CR"/>
        </w:rPr>
        <w:t xml:space="preserve">Magaly Vásquez, Claudia Carrillo y José Pablo </w:t>
      </w:r>
      <w:proofErr w:type="spellStart"/>
      <w:r w:rsidRPr="00DD421D">
        <w:rPr>
          <w:rFonts w:ascii="Verdana" w:hAnsi="Verdana" w:cs="Verdana"/>
          <w:sz w:val="20"/>
          <w:szCs w:val="20"/>
          <w:lang w:val="es-CR"/>
        </w:rPr>
        <w:t>Baraybar</w:t>
      </w:r>
      <w:proofErr w:type="spellEnd"/>
      <w:r w:rsidRPr="00DD421D">
        <w:rPr>
          <w:rFonts w:ascii="Verdana" w:hAnsi="Verdana" w:cs="Verdana"/>
          <w:sz w:val="20"/>
          <w:szCs w:val="20"/>
          <w:lang w:val="es-CR"/>
        </w:rPr>
        <w:t xml:space="preserve">, ofrecidos como peritos por los representantes, </w:t>
      </w:r>
      <w:r w:rsidRPr="00DC1F57">
        <w:rPr>
          <w:rFonts w:ascii="Verdana" w:hAnsi="Verdana" w:cs="Verdana"/>
          <w:sz w:val="20"/>
          <w:szCs w:val="20"/>
        </w:rPr>
        <w:t>remitieron sus observaciones respecto de las recusaciones planteadas en su contra.</w:t>
      </w:r>
    </w:p>
    <w:p w:rsidR="007804B2" w:rsidRDefault="007804B2">
      <w:pPr>
        <w:autoSpaceDE w:val="0"/>
        <w:autoSpaceDN w:val="0"/>
        <w:adjustRightInd w:val="0"/>
        <w:spacing w:after="0" w:line="240" w:lineRule="auto"/>
        <w:jc w:val="both"/>
        <w:rPr>
          <w:rFonts w:ascii="Verdana" w:hAnsi="Verdana" w:cs="Verdana"/>
          <w:sz w:val="20"/>
          <w:szCs w:val="20"/>
        </w:rPr>
      </w:pPr>
    </w:p>
    <w:p w:rsidR="007804B2" w:rsidRDefault="007804B2">
      <w:pPr>
        <w:autoSpaceDE w:val="0"/>
        <w:autoSpaceDN w:val="0"/>
        <w:adjustRightInd w:val="0"/>
        <w:spacing w:after="0" w:line="240" w:lineRule="auto"/>
        <w:jc w:val="both"/>
        <w:rPr>
          <w:rFonts w:ascii="Verdana" w:hAnsi="Verdana" w:cs="Verdana"/>
          <w:sz w:val="20"/>
          <w:szCs w:val="20"/>
        </w:rPr>
      </w:pPr>
    </w:p>
    <w:p w:rsidR="007804B2" w:rsidRDefault="007804B2" w:rsidP="00BF133C">
      <w:pPr>
        <w:autoSpaceDE w:val="0"/>
        <w:autoSpaceDN w:val="0"/>
        <w:adjustRightInd w:val="0"/>
        <w:spacing w:after="0" w:line="240" w:lineRule="auto"/>
        <w:jc w:val="both"/>
        <w:outlineLvl w:val="0"/>
        <w:rPr>
          <w:rFonts w:ascii="Verdana" w:hAnsi="Verdana" w:cs="Verdana"/>
          <w:b/>
          <w:bCs/>
          <w:sz w:val="20"/>
          <w:szCs w:val="20"/>
        </w:rPr>
      </w:pPr>
      <w:r w:rsidRPr="00BE7C7E">
        <w:rPr>
          <w:rFonts w:ascii="Verdana" w:hAnsi="Verdana" w:cs="Verdana"/>
          <w:b/>
          <w:bCs/>
          <w:sz w:val="20"/>
          <w:szCs w:val="20"/>
        </w:rPr>
        <w:t>CONSIDERANDO QUE:</w:t>
      </w:r>
    </w:p>
    <w:p w:rsidR="007804B2" w:rsidRPr="00BE7C7E" w:rsidRDefault="007804B2" w:rsidP="00BE7C7E">
      <w:pPr>
        <w:autoSpaceDE w:val="0"/>
        <w:autoSpaceDN w:val="0"/>
        <w:adjustRightInd w:val="0"/>
        <w:spacing w:after="0" w:line="240" w:lineRule="auto"/>
        <w:jc w:val="both"/>
        <w:rPr>
          <w:rFonts w:ascii="Verdana" w:hAnsi="Verdana" w:cs="Verdana"/>
          <w:b/>
          <w:bCs/>
          <w:sz w:val="20"/>
          <w:szCs w:val="20"/>
        </w:rPr>
      </w:pPr>
    </w:p>
    <w:p w:rsidR="007804B2" w:rsidRDefault="007804B2">
      <w:pPr>
        <w:pStyle w:val="ListParagraph"/>
        <w:numPr>
          <w:ilvl w:val="0"/>
          <w:numId w:val="5"/>
        </w:numPr>
        <w:tabs>
          <w:tab w:val="left"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El ofrecimiento y la admisión de la prueba, así como la citación de presuntas víctimas, testigos y peritos, se encuentran regulados en los artículos 35.1.f, 40.2.c, 41.1.c, 46, 50  y 57 del Reglamento del Tribunal.</w:t>
      </w:r>
      <w:r>
        <w:rPr>
          <w:rFonts w:ascii="Verdana" w:hAnsi="Verdana" w:cs="Verdana"/>
          <w:sz w:val="20"/>
          <w:szCs w:val="20"/>
        </w:rPr>
        <w:t xml:space="preserve">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La Comisión ofreció como prueba dos dictámenes periciales. Los representantes ofrecieron las declaraciones de cinco presuntas víctimas</w:t>
      </w:r>
      <w:r>
        <w:rPr>
          <w:rFonts w:ascii="Verdana" w:hAnsi="Verdana" w:cs="Verdana"/>
          <w:sz w:val="20"/>
          <w:szCs w:val="20"/>
          <w:lang w:val="es-CO"/>
        </w:rPr>
        <w:t xml:space="preserve"> y </w:t>
      </w:r>
      <w:r>
        <w:rPr>
          <w:rFonts w:ascii="Verdana" w:hAnsi="Verdana" w:cs="Verdana"/>
          <w:sz w:val="20"/>
          <w:szCs w:val="20"/>
        </w:rPr>
        <w:t xml:space="preserve">cinco peritos, y con posterioridad, solicitaron la sustitución de la declaración de uno de los peritos </w:t>
      </w:r>
      <w:r>
        <w:rPr>
          <w:rFonts w:ascii="Verdana" w:hAnsi="Verdana" w:cs="Verdana"/>
          <w:sz w:val="20"/>
          <w:szCs w:val="20"/>
        </w:rPr>
        <w:lastRenderedPageBreak/>
        <w:t>inicialmente propuesto. El Estado ofreció las declaraciones de un testigo y un perito. Todo ello en la debida oportunidad procesal (</w:t>
      </w:r>
      <w:r>
        <w:rPr>
          <w:rFonts w:ascii="Verdana" w:hAnsi="Verdana" w:cs="Verdana"/>
          <w:i/>
          <w:iCs/>
          <w:sz w:val="20"/>
          <w:szCs w:val="20"/>
        </w:rPr>
        <w:t xml:space="preserve">supra </w:t>
      </w:r>
      <w:r>
        <w:rPr>
          <w:rFonts w:ascii="Verdana" w:hAnsi="Verdana" w:cs="Verdana"/>
          <w:sz w:val="20"/>
          <w:szCs w:val="20"/>
        </w:rPr>
        <w:t xml:space="preserve">Vistos </w:t>
      </w:r>
      <w:r>
        <w:rPr>
          <w:rFonts w:ascii="Verdana" w:hAnsi="Verdana" w:cs="Verdana"/>
          <w:sz w:val="20"/>
          <w:szCs w:val="20"/>
          <w:lang w:val="es-CR"/>
        </w:rPr>
        <w:t>* a *</w:t>
      </w:r>
      <w:r>
        <w:rPr>
          <w:rFonts w:ascii="Verdana" w:hAnsi="Verdana" w:cs="Verdana"/>
          <w:sz w:val="20"/>
          <w:szCs w:val="20"/>
        </w:rPr>
        <w:t xml:space="preserve">).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La Corte garantizó a las partes el derecho de defensa respecto de los ofrecimientos probatorios realizados en sus escritos de sometimiento del caso, de solicitudes y argumentos, y de contestación, así como en las listas definitivas y en la solicitud de sustitución de declarante (</w:t>
      </w:r>
      <w:r>
        <w:rPr>
          <w:rFonts w:ascii="Verdana" w:hAnsi="Verdana" w:cs="Verdana"/>
          <w:i/>
          <w:iCs/>
          <w:sz w:val="20"/>
          <w:szCs w:val="20"/>
        </w:rPr>
        <w:t xml:space="preserve">supra </w:t>
      </w:r>
      <w:r>
        <w:rPr>
          <w:rFonts w:ascii="Verdana" w:hAnsi="Verdana" w:cs="Verdana"/>
          <w:sz w:val="20"/>
          <w:szCs w:val="20"/>
        </w:rPr>
        <w:t>Vistos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left"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El Estado objetó cinco declaraciones de presuntas víctimas y presentó recusaciones con respecto a tres peritos</w:t>
      </w:r>
      <w:r>
        <w:rPr>
          <w:rFonts w:ascii="Verdana" w:hAnsi="Verdana" w:cs="Verdana"/>
          <w:sz w:val="20"/>
          <w:szCs w:val="20"/>
        </w:rPr>
        <w:t>, todos ellos</w:t>
      </w:r>
      <w:r w:rsidRPr="00BE7C7E">
        <w:rPr>
          <w:rFonts w:ascii="Verdana" w:hAnsi="Verdana" w:cs="Verdana"/>
          <w:sz w:val="20"/>
          <w:szCs w:val="20"/>
        </w:rPr>
        <w:t xml:space="preserve"> ofrecidos por los representantes. Asimismo, los representantes presentaron una recusación con respecto a la perita ofrecida por el Estado. Por su parte, la Comisión manifestó no tener observaciones que formular a las listas definitivas del Estado y los representantes, no obstante, solicitó la oportunidad verbal o escrita de formular preguntas a dos peritos ofrecidos por los representantes.</w:t>
      </w:r>
    </w:p>
    <w:p w:rsidR="007804B2" w:rsidRDefault="007804B2">
      <w:pPr>
        <w:tabs>
          <w:tab w:val="left" w:pos="567"/>
        </w:tabs>
        <w:spacing w:after="0" w:line="240" w:lineRule="auto"/>
        <w:jc w:val="both"/>
        <w:rPr>
          <w:rFonts w:ascii="Verdana" w:hAnsi="Verdana" w:cs="Verdana"/>
          <w:sz w:val="20"/>
          <w:szCs w:val="20"/>
        </w:rPr>
      </w:pPr>
    </w:p>
    <w:p w:rsidR="007804B2" w:rsidRPr="005852CB" w:rsidRDefault="007804B2">
      <w:pPr>
        <w:pStyle w:val="ListParagraph"/>
        <w:numPr>
          <w:ilvl w:val="0"/>
          <w:numId w:val="5"/>
        </w:numPr>
        <w:tabs>
          <w:tab w:val="left" w:pos="567"/>
        </w:tabs>
        <w:autoSpaceDE w:val="0"/>
        <w:autoSpaceDN w:val="0"/>
        <w:adjustRightInd w:val="0"/>
        <w:spacing w:after="0" w:line="240" w:lineRule="auto"/>
        <w:ind w:left="0" w:firstLine="0"/>
        <w:jc w:val="both"/>
        <w:rPr>
          <w:rFonts w:ascii="Verdana" w:hAnsi="Verdana" w:cs="Verdana"/>
          <w:sz w:val="20"/>
          <w:szCs w:val="20"/>
        </w:rPr>
      </w:pPr>
      <w:r w:rsidRPr="005852CB">
        <w:rPr>
          <w:rFonts w:ascii="Verdana" w:hAnsi="Verdana" w:cs="Verdana"/>
          <w:sz w:val="20"/>
          <w:szCs w:val="20"/>
        </w:rPr>
        <w:t xml:space="preserve">En la presente Resolución, el Presidente </w:t>
      </w:r>
      <w:r w:rsidRPr="00B920A5">
        <w:rPr>
          <w:rFonts w:ascii="Verdana" w:hAnsi="Verdana" w:cs="Verdana"/>
          <w:sz w:val="20"/>
          <w:szCs w:val="20"/>
        </w:rPr>
        <w:t>considerará los siguientes asuntos</w:t>
      </w:r>
      <w:r w:rsidRPr="005852CB">
        <w:rPr>
          <w:rFonts w:ascii="Verdana" w:hAnsi="Verdana" w:cs="Verdana"/>
          <w:sz w:val="20"/>
          <w:szCs w:val="20"/>
        </w:rPr>
        <w:t xml:space="preserve"> sobre los cuales existe controversia o alguna solicitud o cuestión particular que resolver: a) la admisibilidad de la prueba pericial ofrecida por la Comisión Interamericana; b) la admisibilidad de las </w:t>
      </w:r>
      <w:r w:rsidRPr="005852CB">
        <w:rPr>
          <w:rFonts w:ascii="Verdana" w:hAnsi="Verdana" w:cs="Verdana"/>
          <w:sz w:val="20"/>
          <w:szCs w:val="20"/>
          <w:lang w:val="es-ES"/>
        </w:rPr>
        <w:t>declaraciones de presuntas víctimas y prueba pericial ofrecida por los representantes; c) la admisibilidad de la declaración testimonial y prueba pericial ofrecida por el Estado; d) la solicitud de la Comisión para formular preguntas a dos peritos ofrecidos por los representantes; e) la modalidad de las declaraciones y dictámenes periciales por recibir, f) la aplicación del Fondo de Asistencia Legal a Víctimas y g) los alegatos y observaciones finales orales y escritos.</w:t>
      </w:r>
    </w:p>
    <w:p w:rsidR="007804B2" w:rsidRDefault="007804B2">
      <w:pPr>
        <w:pStyle w:val="ListParagraph"/>
        <w:autoSpaceDE w:val="0"/>
        <w:autoSpaceDN w:val="0"/>
        <w:adjustRightInd w:val="0"/>
        <w:spacing w:after="0" w:line="240" w:lineRule="auto"/>
        <w:ind w:left="0"/>
        <w:jc w:val="both"/>
        <w:rPr>
          <w:rFonts w:ascii="Verdana" w:hAnsi="Verdana" w:cs="Verdana"/>
          <w:sz w:val="20"/>
          <w:szCs w:val="20"/>
          <w:lang w:val="es-CR"/>
        </w:rPr>
      </w:pPr>
    </w:p>
    <w:p w:rsidR="007804B2" w:rsidRDefault="007804B2">
      <w:pPr>
        <w:pStyle w:val="ListParagraph"/>
        <w:widowControl w:val="0"/>
        <w:numPr>
          <w:ilvl w:val="0"/>
          <w:numId w:val="16"/>
        </w:numPr>
        <w:tabs>
          <w:tab w:val="left" w:pos="567"/>
        </w:tabs>
        <w:autoSpaceDE w:val="0"/>
        <w:autoSpaceDN w:val="0"/>
        <w:adjustRightInd w:val="0"/>
        <w:spacing w:after="0" w:line="240" w:lineRule="auto"/>
        <w:ind w:left="0" w:right="22" w:firstLine="0"/>
        <w:jc w:val="both"/>
        <w:rPr>
          <w:rFonts w:ascii="Verdana" w:hAnsi="Verdana" w:cs="Verdana"/>
          <w:b/>
          <w:bCs/>
          <w:sz w:val="20"/>
          <w:szCs w:val="20"/>
          <w:lang w:val="es-ES"/>
        </w:rPr>
      </w:pPr>
      <w:r w:rsidRPr="00BE7C7E">
        <w:rPr>
          <w:rFonts w:ascii="Verdana" w:hAnsi="Verdana" w:cs="Verdana"/>
          <w:b/>
          <w:bCs/>
          <w:sz w:val="20"/>
          <w:szCs w:val="20"/>
          <w:lang w:val="es-ES"/>
        </w:rPr>
        <w:t>Prueba pericial ofrecida por la Comisión Interamericana</w:t>
      </w:r>
    </w:p>
    <w:p w:rsidR="007804B2" w:rsidRDefault="007804B2">
      <w:pPr>
        <w:pStyle w:val="ListParagraph"/>
        <w:spacing w:after="0" w:line="240" w:lineRule="auto"/>
        <w:ind w:left="0"/>
        <w:jc w:val="both"/>
        <w:rPr>
          <w:rFonts w:ascii="Verdana" w:hAnsi="Verdana" w:cs="Verdana"/>
          <w:sz w:val="20"/>
          <w:szCs w:val="20"/>
          <w:lang w:val="es-ES"/>
        </w:rPr>
      </w:pPr>
    </w:p>
    <w:p w:rsidR="007804B2" w:rsidRDefault="007804B2">
      <w:pPr>
        <w:pStyle w:val="ListParagraph"/>
        <w:numPr>
          <w:ilvl w:val="0"/>
          <w:numId w:val="5"/>
        </w:numPr>
        <w:tabs>
          <w:tab w:val="num"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 xml:space="preserve">De acuerdo a lo establecido en el artículo 35.1.f del Reglamento, la “eventual designación de peritos” podrá ser efectuada por la Comisión Interamericana “cuando se afecte de manera relevante el orden público interamericano de los derechos humanos”, cuyo fundamento y objeto tienen que ser adecuadamente sustentados. El sentido de esta disposición hace de la designación de peritos por parte de la Comisión un hecho excepcional, sujeta a ese requisito que no se cumple por el sólo hecho de que la prueba que se procura producir tenga relación con una alegada violación de derechos humanos. Tiene que estar afectado </w:t>
      </w:r>
      <w:r>
        <w:rPr>
          <w:rFonts w:ascii="Verdana" w:hAnsi="Verdana" w:cs="Verdana"/>
          <w:sz w:val="20"/>
          <w:szCs w:val="20"/>
        </w:rPr>
        <w:t>de “manera relevante el orden público interamericano de los derechos humanos”</w:t>
      </w:r>
      <w:r w:rsidRPr="00BE7C7E">
        <w:rPr>
          <w:rStyle w:val="FootnoteReference"/>
          <w:rFonts w:ascii="Verdana" w:hAnsi="Verdana" w:cs="Verdana"/>
          <w:sz w:val="20"/>
          <w:szCs w:val="20"/>
        </w:rPr>
        <w:footnoteReference w:id="1"/>
      </w:r>
      <w:r w:rsidRPr="00BE7C7E">
        <w:rPr>
          <w:rFonts w:ascii="Verdana" w:hAnsi="Verdana" w:cs="Verdana"/>
          <w:sz w:val="20"/>
          <w:szCs w:val="20"/>
        </w:rPr>
        <w:t xml:space="preserve">, correspondiéndole a la Comisión sustentar tal situación. </w:t>
      </w:r>
    </w:p>
    <w:p w:rsidR="007804B2" w:rsidRDefault="007804B2">
      <w:pPr>
        <w:pStyle w:val="ListParagraph"/>
        <w:tabs>
          <w:tab w:val="num"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num" w:pos="0"/>
          <w:tab w:val="num"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 xml:space="preserve">En el presente caso, la Comisión ofreció y ratificó los dictámenes periciales de los señores </w:t>
      </w:r>
      <w:r>
        <w:rPr>
          <w:rFonts w:ascii="Verdana" w:hAnsi="Verdana" w:cs="Verdana"/>
          <w:sz w:val="20"/>
          <w:szCs w:val="20"/>
        </w:rPr>
        <w:t xml:space="preserve">Hugo </w:t>
      </w:r>
      <w:proofErr w:type="spellStart"/>
      <w:r>
        <w:rPr>
          <w:rFonts w:ascii="Verdana" w:hAnsi="Verdana" w:cs="Verdana"/>
          <w:sz w:val="20"/>
          <w:szCs w:val="20"/>
        </w:rPr>
        <w:t>Fruhling</w:t>
      </w:r>
      <w:proofErr w:type="spellEnd"/>
      <w:r>
        <w:rPr>
          <w:rFonts w:ascii="Verdana" w:hAnsi="Verdana" w:cs="Verdana"/>
          <w:sz w:val="20"/>
          <w:szCs w:val="20"/>
        </w:rPr>
        <w:t xml:space="preserve"> y Diego </w:t>
      </w:r>
      <w:proofErr w:type="spellStart"/>
      <w:r>
        <w:rPr>
          <w:rFonts w:ascii="Verdana" w:hAnsi="Verdana" w:cs="Verdana"/>
          <w:sz w:val="20"/>
          <w:szCs w:val="20"/>
        </w:rPr>
        <w:t>Camaño</w:t>
      </w:r>
      <w:proofErr w:type="spellEnd"/>
      <w:r>
        <w:rPr>
          <w:rFonts w:ascii="Verdana" w:hAnsi="Verdana" w:cs="Verdana"/>
          <w:sz w:val="20"/>
          <w:szCs w:val="20"/>
        </w:rPr>
        <w:t>. La primera pericia ofrecida se refiere a “</w:t>
      </w:r>
      <w:r>
        <w:rPr>
          <w:rFonts w:ascii="Verdana" w:hAnsi="Verdana" w:cs="Verdana"/>
          <w:sz w:val="20"/>
          <w:szCs w:val="20"/>
          <w:lang w:val="es-CR"/>
        </w:rPr>
        <w:t>las obligaciones estatales para responder a contextos generales de ejecuciones extrajudiciales, desde una perspectiva integral, que incluya tanto el actuar de los funcionarios de seguridad involucrados directamente, como la respuesta investigativa e institucional que debe darse para enfrentar los diferentes elementos que favorecen la existencia y permanencia de problemáticas de esta naturaleza. El perito se referirá también a las medidas de no repetición que se consideran adecuadas frente a situaciones como las del presente caso</w:t>
      </w:r>
      <w:r>
        <w:rPr>
          <w:rFonts w:ascii="Verdana" w:hAnsi="Verdana" w:cs="Verdana"/>
          <w:sz w:val="20"/>
          <w:szCs w:val="20"/>
        </w:rPr>
        <w:t xml:space="preserve">”. La Comisión señaló que el peritaje propuesto </w:t>
      </w:r>
      <w:r>
        <w:rPr>
          <w:rFonts w:ascii="Verdana" w:hAnsi="Verdana" w:cs="Verdana"/>
          <w:sz w:val="20"/>
          <w:szCs w:val="20"/>
        </w:rPr>
        <w:lastRenderedPageBreak/>
        <w:t xml:space="preserve">se refiere a temas de orden público interamericano debido a que “el objeto del peritaje de Hugo </w:t>
      </w:r>
      <w:proofErr w:type="spellStart"/>
      <w:r>
        <w:rPr>
          <w:rFonts w:ascii="Verdana" w:hAnsi="Verdana" w:cs="Verdana"/>
          <w:sz w:val="20"/>
          <w:szCs w:val="20"/>
        </w:rPr>
        <w:t>Fruhling</w:t>
      </w:r>
      <w:proofErr w:type="spellEnd"/>
      <w:r>
        <w:rPr>
          <w:rFonts w:ascii="Verdana" w:hAnsi="Verdana" w:cs="Verdana"/>
          <w:sz w:val="20"/>
          <w:szCs w:val="20"/>
        </w:rPr>
        <w:t xml:space="preserve"> no [se refiere al] contexto en Venezuela sino que tiene la finalidad de ofrecer a la […] Corte elementos de análisis sobre el alcance de las obligaciones de los Estados para enfrentar situaciones generales o estructurales que dan lugar a hechos de grave violencia policial como los del presente caso. Así, el perito formulará su peritaje más allá del deber de respeto del derecho a la vida […] abordando […] las implicaciones del deber de garantía en el propio ámbito policial en términos de prevención y respuesta. Asimismo el perito analizará en detalle el rol del Poder Judicial, incluyendo los órganos investigativos, en el deber de garantía de una problemática como la que plantea al caso”. </w:t>
      </w:r>
    </w:p>
    <w:p w:rsidR="007804B2" w:rsidRDefault="007804B2">
      <w:pPr>
        <w:pStyle w:val="ListParagraph"/>
        <w:tabs>
          <w:tab w:val="num"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num" w:pos="0"/>
          <w:tab w:val="num"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La segunda pericia ofrecida se refiere a “</w:t>
      </w:r>
      <w:r w:rsidRPr="00BE7C7E">
        <w:rPr>
          <w:rFonts w:ascii="Verdana" w:hAnsi="Verdana" w:cs="Verdana"/>
          <w:sz w:val="20"/>
          <w:szCs w:val="20"/>
          <w:lang w:val="es-CR"/>
        </w:rPr>
        <w:t>las obligaciones estatales en materia de libertad personal cuando se trata de adolescentes. Específicamente, el perito analizará las obligaciones especiales que se derivan de los distintos extremos del artículo 7 de la Convención Americana aplicables al presente caso, cuando se trata de adolescentes inmediatamente después de la detención inicial</w:t>
      </w:r>
      <w:r w:rsidRPr="00BE7C7E">
        <w:rPr>
          <w:rFonts w:ascii="Verdana" w:hAnsi="Verdana" w:cs="Verdana"/>
          <w:sz w:val="20"/>
          <w:szCs w:val="20"/>
        </w:rPr>
        <w:t xml:space="preserve">”. </w:t>
      </w:r>
      <w:r>
        <w:rPr>
          <w:rFonts w:ascii="Verdana" w:hAnsi="Verdana" w:cs="Verdana"/>
          <w:sz w:val="20"/>
          <w:szCs w:val="20"/>
        </w:rPr>
        <w:t>Con respecto al interés público interamericano, la Comisión señaló que</w:t>
      </w:r>
      <w:r>
        <w:rPr>
          <w:rFonts w:ascii="Verdana" w:hAnsi="Verdana" w:cs="Verdana"/>
          <w:sz w:val="20"/>
          <w:szCs w:val="20"/>
          <w:lang w:val="es-CR" w:eastAsia="es-PE"/>
        </w:rPr>
        <w:t xml:space="preserve"> </w:t>
      </w:r>
      <w:r>
        <w:rPr>
          <w:rFonts w:ascii="Verdana" w:hAnsi="Verdana" w:cs="Verdana"/>
          <w:sz w:val="20"/>
          <w:szCs w:val="20"/>
        </w:rPr>
        <w:t>“</w:t>
      </w:r>
      <w:r>
        <w:rPr>
          <w:rFonts w:ascii="Verdana" w:hAnsi="Verdana" w:cs="Verdana"/>
          <w:sz w:val="20"/>
          <w:szCs w:val="20"/>
          <w:lang w:val="es-CR" w:eastAsia="es-PE"/>
        </w:rPr>
        <w:t>el presente caso también permitirá a la Corte profundizar en los derechos de los adolescentes, especialmente las medidas especiales de protección que deben adoptarse desde el momento mismo en que ingresa a custodia estatal tras una privación de libertad, para resguardar su seguridad personal frente a una situación de doble vulnerabilidad […]”.</w:t>
      </w:r>
    </w:p>
    <w:p w:rsidR="007804B2" w:rsidRDefault="007804B2">
      <w:pPr>
        <w:tabs>
          <w:tab w:val="num" w:pos="567"/>
        </w:tabs>
        <w:autoSpaceDE w:val="0"/>
        <w:autoSpaceDN w:val="0"/>
        <w:adjustRightInd w:val="0"/>
        <w:spacing w:after="0" w:line="240" w:lineRule="auto"/>
        <w:jc w:val="both"/>
        <w:rPr>
          <w:rFonts w:ascii="Verdana" w:hAnsi="Verdana" w:cs="Verdana"/>
          <w:sz w:val="20"/>
          <w:szCs w:val="20"/>
          <w:lang w:val="es-CR" w:eastAsia="es-PE"/>
        </w:rPr>
      </w:pPr>
    </w:p>
    <w:p w:rsidR="007804B2" w:rsidRDefault="007804B2">
      <w:pPr>
        <w:pStyle w:val="ListParagraph"/>
        <w:numPr>
          <w:ilvl w:val="0"/>
          <w:numId w:val="5"/>
        </w:numPr>
        <w:tabs>
          <w:tab w:val="num" w:pos="0"/>
          <w:tab w:val="num" w:pos="567"/>
        </w:tabs>
        <w:autoSpaceDE w:val="0"/>
        <w:autoSpaceDN w:val="0"/>
        <w:adjustRightInd w:val="0"/>
        <w:spacing w:after="0" w:line="240" w:lineRule="auto"/>
        <w:ind w:left="0" w:firstLine="0"/>
        <w:jc w:val="both"/>
        <w:rPr>
          <w:rFonts w:ascii="Verdana" w:hAnsi="Verdana" w:cs="Verdana"/>
          <w:sz w:val="20"/>
          <w:szCs w:val="20"/>
        </w:rPr>
      </w:pPr>
      <w:r w:rsidRPr="00DD421D">
        <w:rPr>
          <w:rFonts w:ascii="Verdana" w:hAnsi="Verdana" w:cs="Verdana"/>
          <w:sz w:val="20"/>
          <w:szCs w:val="20"/>
        </w:rPr>
        <w:t>Los representantes y el Estado indicaron que no tenían observaciones que presentar respecto del contenido de las mencionadas listas definitivas.</w:t>
      </w:r>
    </w:p>
    <w:p w:rsidR="007804B2" w:rsidRDefault="007804B2">
      <w:pPr>
        <w:pStyle w:val="ListParagraph"/>
        <w:tabs>
          <w:tab w:val="num" w:pos="567"/>
        </w:tabs>
        <w:spacing w:after="0" w:line="240" w:lineRule="auto"/>
        <w:jc w:val="both"/>
        <w:rPr>
          <w:rFonts w:ascii="Verdana" w:hAnsi="Verdana" w:cs="Verdana"/>
          <w:sz w:val="20"/>
          <w:szCs w:val="20"/>
          <w:lang w:val="es-ES"/>
        </w:rPr>
      </w:pPr>
    </w:p>
    <w:p w:rsidR="007804B2" w:rsidRDefault="007804B2">
      <w:pPr>
        <w:pStyle w:val="ListParagraph"/>
        <w:numPr>
          <w:ilvl w:val="0"/>
          <w:numId w:val="5"/>
        </w:numPr>
        <w:tabs>
          <w:tab w:val="num" w:pos="0"/>
          <w:tab w:val="num"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 xml:space="preserve">Con respecto a la declaración pericial del señor Hugo </w:t>
      </w:r>
      <w:proofErr w:type="spellStart"/>
      <w:r w:rsidRPr="00BE7C7E">
        <w:rPr>
          <w:rFonts w:ascii="Verdana" w:hAnsi="Verdana" w:cs="Verdana"/>
          <w:sz w:val="20"/>
          <w:szCs w:val="20"/>
        </w:rPr>
        <w:t>Fruhling</w:t>
      </w:r>
      <w:proofErr w:type="spellEnd"/>
      <w:r w:rsidRPr="00BE7C7E">
        <w:rPr>
          <w:rFonts w:ascii="Verdana" w:hAnsi="Verdana" w:cs="Verdana"/>
          <w:sz w:val="20"/>
          <w:szCs w:val="20"/>
        </w:rPr>
        <w:t>, el Presidente toma nota de lo señalado por la Comisión (</w:t>
      </w:r>
      <w:r w:rsidRPr="00BE7C7E">
        <w:rPr>
          <w:rFonts w:ascii="Verdana" w:hAnsi="Verdana" w:cs="Verdana"/>
          <w:i/>
          <w:iCs/>
          <w:sz w:val="20"/>
          <w:szCs w:val="20"/>
        </w:rPr>
        <w:t xml:space="preserve">supra Considerando </w:t>
      </w:r>
      <w:r w:rsidR="008C67B9">
        <w:rPr>
          <w:rFonts w:ascii="Verdana" w:hAnsi="Verdana" w:cs="Verdana"/>
          <w:iCs/>
          <w:sz w:val="20"/>
          <w:szCs w:val="20"/>
        </w:rPr>
        <w:t>7</w:t>
      </w:r>
      <w:r>
        <w:rPr>
          <w:rFonts w:ascii="Verdana" w:hAnsi="Verdana" w:cs="Verdana"/>
          <w:sz w:val="20"/>
          <w:szCs w:val="20"/>
        </w:rPr>
        <w:t>) y estima que, el objeto de dicho peritaje tiene relación con el orden público interamericano. Sin perjuicio de lo anterior y en vista de la vasta jurisprudencia del Tribunal sobre el tema propuesto, se recibirá este peritaje mediante declaración jurada rendida ante fedatario público (</w:t>
      </w:r>
      <w:r>
        <w:rPr>
          <w:rFonts w:ascii="Verdana" w:hAnsi="Verdana" w:cs="Verdana"/>
          <w:i/>
          <w:iCs/>
          <w:sz w:val="20"/>
          <w:szCs w:val="20"/>
        </w:rPr>
        <w:t>affidávit</w:t>
      </w:r>
      <w:r>
        <w:rPr>
          <w:rFonts w:ascii="Verdana" w:hAnsi="Verdana" w:cs="Verdana"/>
          <w:sz w:val="20"/>
          <w:szCs w:val="20"/>
        </w:rPr>
        <w:t>).</w:t>
      </w:r>
    </w:p>
    <w:p w:rsidR="007804B2" w:rsidRDefault="007804B2">
      <w:pPr>
        <w:pStyle w:val="ListParagraph"/>
        <w:tabs>
          <w:tab w:val="num" w:pos="567"/>
        </w:tabs>
        <w:autoSpaceDE w:val="0"/>
        <w:autoSpaceDN w:val="0"/>
        <w:adjustRightInd w:val="0"/>
        <w:spacing w:after="0" w:line="240" w:lineRule="auto"/>
        <w:ind w:left="0"/>
        <w:jc w:val="both"/>
        <w:rPr>
          <w:rFonts w:ascii="Verdana" w:hAnsi="Verdana" w:cs="Verdana"/>
          <w:sz w:val="20"/>
          <w:szCs w:val="20"/>
        </w:rPr>
      </w:pPr>
    </w:p>
    <w:p w:rsidR="007804B2" w:rsidRDefault="007804B2" w:rsidP="00E36B4D">
      <w:pPr>
        <w:pStyle w:val="ListParagraph"/>
        <w:numPr>
          <w:ilvl w:val="0"/>
          <w:numId w:val="5"/>
        </w:numPr>
        <w:tabs>
          <w:tab w:val="num" w:pos="0"/>
          <w:tab w:val="num" w:pos="567"/>
        </w:tabs>
        <w:autoSpaceDE w:val="0"/>
        <w:autoSpaceDN w:val="0"/>
        <w:adjustRightInd w:val="0"/>
        <w:spacing w:after="0" w:line="240" w:lineRule="auto"/>
        <w:ind w:left="0" w:firstLine="0"/>
        <w:jc w:val="both"/>
        <w:rPr>
          <w:rFonts w:ascii="Verdana" w:hAnsi="Verdana" w:cs="Verdana"/>
          <w:sz w:val="20"/>
          <w:szCs w:val="20"/>
        </w:rPr>
      </w:pPr>
      <w:r w:rsidRPr="00E36B4D">
        <w:rPr>
          <w:rFonts w:ascii="Verdana" w:hAnsi="Verdana" w:cs="Verdana"/>
          <w:sz w:val="20"/>
          <w:szCs w:val="20"/>
        </w:rPr>
        <w:t xml:space="preserve">Por su parte, con relación a la declaración pericial del señor Diego </w:t>
      </w:r>
      <w:proofErr w:type="spellStart"/>
      <w:r w:rsidRPr="00E36B4D">
        <w:rPr>
          <w:rFonts w:ascii="Verdana" w:hAnsi="Verdana" w:cs="Verdana"/>
          <w:sz w:val="20"/>
          <w:szCs w:val="20"/>
        </w:rPr>
        <w:t>Camaño</w:t>
      </w:r>
      <w:proofErr w:type="spellEnd"/>
      <w:r w:rsidRPr="00E36B4D">
        <w:rPr>
          <w:rFonts w:ascii="Verdana" w:hAnsi="Verdana" w:cs="Verdana"/>
          <w:sz w:val="20"/>
          <w:szCs w:val="20"/>
        </w:rPr>
        <w:t>, el Presidente toma nota de lo señalado por la Comisión (</w:t>
      </w:r>
      <w:r w:rsidRPr="00E36B4D">
        <w:rPr>
          <w:rFonts w:ascii="Verdana" w:hAnsi="Verdana" w:cs="Verdana"/>
          <w:i/>
          <w:iCs/>
          <w:sz w:val="20"/>
          <w:szCs w:val="20"/>
        </w:rPr>
        <w:t>supra Considerando</w:t>
      </w:r>
      <w:r w:rsidR="008C67B9">
        <w:rPr>
          <w:rFonts w:ascii="Verdana" w:hAnsi="Verdana" w:cs="Verdana"/>
          <w:i/>
          <w:iCs/>
          <w:sz w:val="20"/>
          <w:szCs w:val="20"/>
        </w:rPr>
        <w:t xml:space="preserve"> </w:t>
      </w:r>
      <w:r w:rsidR="008C67B9">
        <w:rPr>
          <w:rFonts w:ascii="Verdana" w:hAnsi="Verdana" w:cs="Verdana"/>
          <w:iCs/>
          <w:sz w:val="20"/>
          <w:szCs w:val="20"/>
        </w:rPr>
        <w:t>8</w:t>
      </w:r>
      <w:r w:rsidRPr="00E36B4D">
        <w:rPr>
          <w:rFonts w:ascii="Verdana" w:hAnsi="Verdana" w:cs="Verdana"/>
          <w:sz w:val="20"/>
          <w:szCs w:val="20"/>
        </w:rPr>
        <w:t xml:space="preserve">) y considera que el objeto del peritaje del señor </w:t>
      </w:r>
      <w:proofErr w:type="spellStart"/>
      <w:r w:rsidRPr="00E36B4D">
        <w:rPr>
          <w:rFonts w:ascii="Verdana" w:hAnsi="Verdana" w:cs="Verdana"/>
          <w:sz w:val="20"/>
          <w:szCs w:val="20"/>
        </w:rPr>
        <w:t>Camaño</w:t>
      </w:r>
      <w:proofErr w:type="spellEnd"/>
      <w:r w:rsidRPr="00E36B4D">
        <w:rPr>
          <w:rFonts w:ascii="Verdana" w:hAnsi="Verdana" w:cs="Verdana"/>
          <w:sz w:val="20"/>
          <w:szCs w:val="20"/>
        </w:rPr>
        <w:t xml:space="preserve"> resulta relevante al orden público interamericano. El análisis de </w:t>
      </w:r>
      <w:r w:rsidRPr="00E36B4D">
        <w:rPr>
          <w:rFonts w:ascii="Verdana" w:hAnsi="Verdana" w:cs="Verdana"/>
          <w:sz w:val="20"/>
          <w:szCs w:val="20"/>
          <w:lang w:val="es-CR"/>
        </w:rPr>
        <w:t>las obligaciones estatales en materia de libertad personal cuando se trata de adolescentes</w:t>
      </w:r>
      <w:r w:rsidRPr="00E36B4D">
        <w:rPr>
          <w:rFonts w:ascii="Verdana" w:hAnsi="Verdana" w:cs="Verdana"/>
          <w:sz w:val="20"/>
          <w:szCs w:val="20"/>
        </w:rPr>
        <w:t xml:space="preserve">, puede efectivamente tener un impacto sobre situaciones que ocurren en otros Estados Parte de la Convención. En este sentido, el objeto de este peritaje trasciende la controversia del presente caso y se refiere a conceptos relevantes para otros Estados Parte de la Convención. </w:t>
      </w:r>
    </w:p>
    <w:p w:rsidR="00E36B4D" w:rsidRPr="00E36B4D" w:rsidRDefault="00E36B4D" w:rsidP="00E36B4D">
      <w:pPr>
        <w:pStyle w:val="ListParagraph"/>
        <w:tabs>
          <w:tab w:val="num"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num" w:pos="0"/>
          <w:tab w:val="num"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El Presidente recuerda que el valor del dictamen pericial admitido será apreciado en la debida oportunidad, dentro del contexto del acervo probatorio existente y según las reglas de la sana crítica. De igual forma, el objeto y la modalidad del peritaje se determinará en la parte resolutiva de la presente Resolución (</w:t>
      </w:r>
      <w:r>
        <w:rPr>
          <w:rFonts w:ascii="Verdana" w:hAnsi="Verdana" w:cs="Verdana"/>
          <w:i/>
          <w:iCs/>
          <w:sz w:val="20"/>
          <w:szCs w:val="20"/>
        </w:rPr>
        <w:t>infra punto resolutivo</w:t>
      </w:r>
      <w:r w:rsidR="008C67B9">
        <w:rPr>
          <w:rFonts w:ascii="Verdana" w:hAnsi="Verdana" w:cs="Verdana"/>
          <w:i/>
          <w:iCs/>
          <w:sz w:val="20"/>
          <w:szCs w:val="20"/>
        </w:rPr>
        <w:t xml:space="preserve"> </w:t>
      </w:r>
      <w:r w:rsidR="008C67B9">
        <w:rPr>
          <w:rFonts w:ascii="Verdana" w:hAnsi="Verdana" w:cs="Verdana"/>
          <w:iCs/>
          <w:sz w:val="20"/>
          <w:szCs w:val="20"/>
        </w:rPr>
        <w:t>1</w:t>
      </w:r>
      <w:r>
        <w:rPr>
          <w:rFonts w:ascii="Verdana" w:hAnsi="Verdana" w:cs="Verdana"/>
          <w:i/>
          <w:iCs/>
          <w:sz w:val="20"/>
          <w:szCs w:val="20"/>
        </w:rPr>
        <w:t>).</w:t>
      </w:r>
    </w:p>
    <w:p w:rsidR="007804B2" w:rsidRDefault="007804B2">
      <w:pPr>
        <w:pStyle w:val="ListParagraph"/>
        <w:spacing w:after="0" w:line="240" w:lineRule="auto"/>
        <w:ind w:left="0"/>
        <w:jc w:val="both"/>
        <w:rPr>
          <w:rFonts w:ascii="Verdana" w:hAnsi="Verdana" w:cs="Verdana"/>
          <w:sz w:val="20"/>
          <w:szCs w:val="20"/>
          <w:lang w:val="es-ES"/>
        </w:rPr>
      </w:pPr>
    </w:p>
    <w:p w:rsidR="007804B2" w:rsidRDefault="007804B2">
      <w:pPr>
        <w:pStyle w:val="ListParagraph"/>
        <w:widowControl w:val="0"/>
        <w:numPr>
          <w:ilvl w:val="0"/>
          <w:numId w:val="16"/>
        </w:numPr>
        <w:tabs>
          <w:tab w:val="left" w:pos="567"/>
        </w:tabs>
        <w:autoSpaceDE w:val="0"/>
        <w:autoSpaceDN w:val="0"/>
        <w:adjustRightInd w:val="0"/>
        <w:spacing w:after="0" w:line="240" w:lineRule="auto"/>
        <w:ind w:left="0" w:right="22" w:firstLine="0"/>
        <w:jc w:val="both"/>
        <w:rPr>
          <w:rFonts w:ascii="Verdana" w:hAnsi="Verdana" w:cs="Verdana"/>
          <w:b/>
          <w:bCs/>
          <w:sz w:val="20"/>
          <w:szCs w:val="20"/>
          <w:lang w:val="es-ES"/>
        </w:rPr>
      </w:pPr>
      <w:r>
        <w:rPr>
          <w:rFonts w:ascii="Verdana" w:hAnsi="Verdana" w:cs="Verdana"/>
          <w:b/>
          <w:bCs/>
          <w:sz w:val="20"/>
          <w:szCs w:val="20"/>
          <w:lang w:val="es-ES"/>
        </w:rPr>
        <w:t>Declaraciones de presuntas víctimas y prueba pericial ofrecida por los representantes</w:t>
      </w:r>
    </w:p>
    <w:p w:rsidR="007804B2" w:rsidRDefault="007804B2">
      <w:pPr>
        <w:widowControl w:val="0"/>
        <w:autoSpaceDE w:val="0"/>
        <w:autoSpaceDN w:val="0"/>
        <w:adjustRightInd w:val="0"/>
        <w:spacing w:after="0" w:line="240" w:lineRule="auto"/>
        <w:ind w:right="22"/>
        <w:jc w:val="both"/>
        <w:rPr>
          <w:rFonts w:ascii="Verdana" w:hAnsi="Verdana" w:cs="Verdana"/>
          <w:i/>
          <w:iCs/>
          <w:sz w:val="20"/>
          <w:szCs w:val="20"/>
          <w:lang w:val="es-ES"/>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lastRenderedPageBreak/>
        <w:t>En su escrito de solicitudes y argumentos, los representantes ofrecieron cinco declaraciones de presuntas víctimas, a saber: Ignacio Landaeta Muñoz</w:t>
      </w:r>
      <w:r w:rsidRPr="00BE7C7E">
        <w:rPr>
          <w:rStyle w:val="FootnoteReference"/>
          <w:rFonts w:ascii="Verdana" w:hAnsi="Verdana" w:cs="Verdana"/>
          <w:sz w:val="20"/>
          <w:szCs w:val="20"/>
        </w:rPr>
        <w:footnoteReference w:id="2"/>
      </w:r>
      <w:r w:rsidRPr="00BE7C7E">
        <w:rPr>
          <w:rFonts w:ascii="Verdana" w:hAnsi="Verdana" w:cs="Verdana"/>
          <w:sz w:val="20"/>
          <w:szCs w:val="20"/>
        </w:rPr>
        <w:t>, María Magdalena Mejías</w:t>
      </w:r>
      <w:r w:rsidRPr="00BE7C7E">
        <w:rPr>
          <w:rStyle w:val="FootnoteReference"/>
          <w:rFonts w:ascii="Verdana" w:hAnsi="Verdana" w:cs="Verdana"/>
          <w:sz w:val="20"/>
          <w:szCs w:val="20"/>
        </w:rPr>
        <w:footnoteReference w:id="3"/>
      </w:r>
      <w:r w:rsidRPr="00BE7C7E">
        <w:rPr>
          <w:rFonts w:ascii="Verdana" w:hAnsi="Verdana" w:cs="Verdana"/>
          <w:sz w:val="20"/>
          <w:szCs w:val="20"/>
        </w:rPr>
        <w:t xml:space="preserve">, Victoria </w:t>
      </w:r>
      <w:proofErr w:type="spellStart"/>
      <w:r w:rsidRPr="00BE7C7E">
        <w:rPr>
          <w:rFonts w:ascii="Verdana" w:hAnsi="Verdana" w:cs="Verdana"/>
          <w:sz w:val="20"/>
          <w:szCs w:val="20"/>
        </w:rPr>
        <w:t>Eneri</w:t>
      </w:r>
      <w:proofErr w:type="spellEnd"/>
      <w:r w:rsidRPr="00BE7C7E">
        <w:rPr>
          <w:rFonts w:ascii="Verdana" w:hAnsi="Verdana" w:cs="Verdana"/>
          <w:sz w:val="20"/>
          <w:szCs w:val="20"/>
        </w:rPr>
        <w:t xml:space="preserve"> </w:t>
      </w:r>
      <w:proofErr w:type="spellStart"/>
      <w:r w:rsidRPr="00BE7C7E">
        <w:rPr>
          <w:rFonts w:ascii="Verdana" w:hAnsi="Verdana" w:cs="Verdana"/>
          <w:sz w:val="20"/>
          <w:szCs w:val="20"/>
        </w:rPr>
        <w:t>Landaeta</w:t>
      </w:r>
      <w:proofErr w:type="spellEnd"/>
      <w:r w:rsidRPr="00BE7C7E">
        <w:rPr>
          <w:rFonts w:ascii="Verdana" w:hAnsi="Verdana" w:cs="Verdana"/>
          <w:sz w:val="20"/>
          <w:szCs w:val="20"/>
        </w:rPr>
        <w:t xml:space="preserve"> Galindo</w:t>
      </w:r>
      <w:r w:rsidRPr="00BE7C7E">
        <w:rPr>
          <w:rStyle w:val="FootnoteReference"/>
          <w:rFonts w:ascii="Verdana" w:hAnsi="Verdana" w:cs="Verdana"/>
          <w:sz w:val="20"/>
          <w:szCs w:val="20"/>
        </w:rPr>
        <w:footnoteReference w:id="4"/>
      </w:r>
      <w:r w:rsidRPr="00BE7C7E">
        <w:rPr>
          <w:rFonts w:ascii="Verdana" w:hAnsi="Verdana" w:cs="Verdana"/>
          <w:sz w:val="20"/>
          <w:szCs w:val="20"/>
        </w:rPr>
        <w:t xml:space="preserve">, </w:t>
      </w:r>
      <w:proofErr w:type="spellStart"/>
      <w:r w:rsidRPr="00BE7C7E">
        <w:rPr>
          <w:rFonts w:ascii="Verdana" w:hAnsi="Verdana" w:cs="Verdana"/>
          <w:sz w:val="20"/>
          <w:szCs w:val="20"/>
        </w:rPr>
        <w:t>Leydis</w:t>
      </w:r>
      <w:proofErr w:type="spellEnd"/>
      <w:r w:rsidRPr="00BE7C7E">
        <w:rPr>
          <w:rFonts w:ascii="Verdana" w:hAnsi="Verdana" w:cs="Verdana"/>
          <w:sz w:val="20"/>
          <w:szCs w:val="20"/>
        </w:rPr>
        <w:t xml:space="preserve"> </w:t>
      </w:r>
      <w:proofErr w:type="spellStart"/>
      <w:r w:rsidRPr="00BE7C7E">
        <w:rPr>
          <w:rFonts w:ascii="Verdana" w:hAnsi="Verdana" w:cs="Verdana"/>
          <w:sz w:val="20"/>
          <w:szCs w:val="20"/>
        </w:rPr>
        <w:t>Rossimar</w:t>
      </w:r>
      <w:proofErr w:type="spellEnd"/>
      <w:r w:rsidRPr="00BE7C7E">
        <w:rPr>
          <w:rFonts w:ascii="Verdana" w:hAnsi="Verdana" w:cs="Verdana"/>
          <w:sz w:val="20"/>
          <w:szCs w:val="20"/>
        </w:rPr>
        <w:t xml:space="preserve"> </w:t>
      </w:r>
      <w:proofErr w:type="spellStart"/>
      <w:r w:rsidRPr="00BE7C7E">
        <w:rPr>
          <w:rFonts w:ascii="Verdana" w:hAnsi="Verdana" w:cs="Verdana"/>
          <w:sz w:val="20"/>
          <w:szCs w:val="20"/>
        </w:rPr>
        <w:t>Landaeta</w:t>
      </w:r>
      <w:proofErr w:type="spellEnd"/>
      <w:r w:rsidRPr="00BE7C7E">
        <w:rPr>
          <w:rFonts w:ascii="Verdana" w:hAnsi="Verdana" w:cs="Verdana"/>
          <w:sz w:val="20"/>
          <w:szCs w:val="20"/>
        </w:rPr>
        <w:t xml:space="preserve"> Galindo</w:t>
      </w:r>
      <w:r w:rsidRPr="00BE7C7E">
        <w:rPr>
          <w:rStyle w:val="FootnoteReference"/>
          <w:rFonts w:ascii="Verdana" w:hAnsi="Verdana" w:cs="Verdana"/>
          <w:sz w:val="20"/>
          <w:szCs w:val="20"/>
        </w:rPr>
        <w:footnoteReference w:id="5"/>
      </w:r>
      <w:r w:rsidRPr="00BE7C7E">
        <w:rPr>
          <w:rFonts w:ascii="Verdana" w:hAnsi="Verdana" w:cs="Verdana"/>
          <w:sz w:val="20"/>
          <w:szCs w:val="20"/>
        </w:rPr>
        <w:t xml:space="preserve"> y </w:t>
      </w:r>
      <w:proofErr w:type="spellStart"/>
      <w:r w:rsidRPr="00BE7C7E">
        <w:rPr>
          <w:rFonts w:ascii="Verdana" w:hAnsi="Verdana" w:cs="Verdana"/>
          <w:sz w:val="20"/>
          <w:szCs w:val="20"/>
        </w:rPr>
        <w:t>Francy</w:t>
      </w:r>
      <w:proofErr w:type="spellEnd"/>
      <w:r w:rsidRPr="00BE7C7E">
        <w:rPr>
          <w:rFonts w:ascii="Verdana" w:hAnsi="Verdana" w:cs="Verdana"/>
          <w:sz w:val="20"/>
          <w:szCs w:val="20"/>
        </w:rPr>
        <w:t xml:space="preserve"> </w:t>
      </w:r>
      <w:proofErr w:type="spellStart"/>
      <w:r w:rsidRPr="00BE7C7E">
        <w:rPr>
          <w:rFonts w:ascii="Verdana" w:hAnsi="Verdana" w:cs="Verdana"/>
          <w:sz w:val="20"/>
          <w:szCs w:val="20"/>
        </w:rPr>
        <w:t>Yelut</w:t>
      </w:r>
      <w:proofErr w:type="spellEnd"/>
      <w:r w:rsidRPr="00BE7C7E">
        <w:rPr>
          <w:rFonts w:ascii="Verdana" w:hAnsi="Verdana" w:cs="Verdana"/>
          <w:sz w:val="20"/>
          <w:szCs w:val="20"/>
        </w:rPr>
        <w:t xml:space="preserve"> Parra Guzmán</w:t>
      </w:r>
      <w:r w:rsidRPr="00BE7C7E">
        <w:rPr>
          <w:rStyle w:val="FootnoteReference"/>
          <w:rFonts w:ascii="Verdana" w:hAnsi="Verdana" w:cs="Verdana"/>
          <w:sz w:val="20"/>
          <w:szCs w:val="20"/>
        </w:rPr>
        <w:footnoteReference w:id="6"/>
      </w:r>
      <w:r w:rsidRPr="00BE7C7E">
        <w:rPr>
          <w:rFonts w:ascii="Verdana" w:hAnsi="Verdana" w:cs="Verdana"/>
          <w:sz w:val="20"/>
          <w:szCs w:val="20"/>
        </w:rPr>
        <w:t>. De igual forma, ofrecieron como prueba pericial cinco peritajes a ser rendidos por las siguientes personas: Magaly Mercedes Vásquez González</w:t>
      </w:r>
      <w:r w:rsidRPr="00BE7C7E">
        <w:rPr>
          <w:rStyle w:val="FootnoteReference"/>
          <w:rFonts w:ascii="Verdana" w:hAnsi="Verdana" w:cs="Verdana"/>
          <w:sz w:val="20"/>
          <w:szCs w:val="20"/>
        </w:rPr>
        <w:footnoteReference w:id="7"/>
      </w:r>
      <w:r w:rsidRPr="00BE7C7E">
        <w:rPr>
          <w:rFonts w:ascii="Verdana" w:hAnsi="Verdana" w:cs="Verdana"/>
          <w:sz w:val="20"/>
          <w:szCs w:val="20"/>
        </w:rPr>
        <w:t xml:space="preserve">, </w:t>
      </w:r>
      <w:proofErr w:type="spellStart"/>
      <w:r w:rsidRPr="00BE7C7E">
        <w:rPr>
          <w:rFonts w:ascii="Verdana" w:hAnsi="Verdana" w:cs="Verdana"/>
          <w:sz w:val="20"/>
          <w:szCs w:val="20"/>
        </w:rPr>
        <w:t>Fredy</w:t>
      </w:r>
      <w:proofErr w:type="spellEnd"/>
      <w:r w:rsidRPr="00BE7C7E">
        <w:rPr>
          <w:rFonts w:ascii="Verdana" w:hAnsi="Verdana" w:cs="Verdana"/>
          <w:sz w:val="20"/>
          <w:szCs w:val="20"/>
        </w:rPr>
        <w:t xml:space="preserve"> Armando </w:t>
      </w:r>
      <w:proofErr w:type="spellStart"/>
      <w:r w:rsidRPr="00BE7C7E">
        <w:rPr>
          <w:rFonts w:ascii="Verdana" w:hAnsi="Verdana" w:cs="Verdana"/>
          <w:sz w:val="20"/>
          <w:szCs w:val="20"/>
        </w:rPr>
        <w:t>Peccerelli</w:t>
      </w:r>
      <w:proofErr w:type="spellEnd"/>
      <w:r w:rsidRPr="00BE7C7E">
        <w:rPr>
          <w:rFonts w:ascii="Verdana" w:hAnsi="Verdana" w:cs="Verdana"/>
          <w:sz w:val="20"/>
          <w:szCs w:val="20"/>
        </w:rPr>
        <w:t xml:space="preserve"> </w:t>
      </w:r>
      <w:proofErr w:type="spellStart"/>
      <w:r w:rsidRPr="00BE7C7E">
        <w:rPr>
          <w:rFonts w:ascii="Verdana" w:hAnsi="Verdana" w:cs="Verdana"/>
          <w:sz w:val="20"/>
          <w:szCs w:val="20"/>
        </w:rPr>
        <w:t>Monterroso</w:t>
      </w:r>
      <w:proofErr w:type="spellEnd"/>
      <w:r w:rsidRPr="00BE7C7E">
        <w:rPr>
          <w:rStyle w:val="FootnoteReference"/>
          <w:rFonts w:ascii="Verdana" w:hAnsi="Verdana" w:cs="Verdana"/>
          <w:sz w:val="20"/>
          <w:szCs w:val="20"/>
        </w:rPr>
        <w:footnoteReference w:id="8"/>
      </w:r>
      <w:r w:rsidRPr="00BE7C7E">
        <w:rPr>
          <w:rFonts w:ascii="Verdana" w:hAnsi="Verdana" w:cs="Verdana"/>
          <w:sz w:val="20"/>
          <w:szCs w:val="20"/>
        </w:rPr>
        <w:t>, Claudia Carrillo</w:t>
      </w:r>
      <w:r w:rsidRPr="00BE7C7E">
        <w:rPr>
          <w:rStyle w:val="FootnoteReference"/>
          <w:rFonts w:ascii="Verdana" w:hAnsi="Verdana" w:cs="Verdana"/>
          <w:sz w:val="20"/>
          <w:szCs w:val="20"/>
        </w:rPr>
        <w:footnoteReference w:id="9"/>
      </w:r>
      <w:r w:rsidRPr="00BE7C7E">
        <w:rPr>
          <w:rFonts w:ascii="Verdana" w:hAnsi="Verdana" w:cs="Verdana"/>
          <w:sz w:val="20"/>
          <w:szCs w:val="20"/>
        </w:rPr>
        <w:t xml:space="preserve">, </w:t>
      </w:r>
      <w:proofErr w:type="spellStart"/>
      <w:r w:rsidRPr="00BE7C7E">
        <w:rPr>
          <w:rFonts w:ascii="Verdana" w:hAnsi="Verdana" w:cs="Verdana"/>
          <w:sz w:val="20"/>
          <w:szCs w:val="20"/>
        </w:rPr>
        <w:t>Denotil</w:t>
      </w:r>
      <w:r>
        <w:rPr>
          <w:rFonts w:ascii="Verdana" w:hAnsi="Verdana" w:cs="Verdana"/>
          <w:sz w:val="20"/>
          <w:szCs w:val="20"/>
        </w:rPr>
        <w:t>i</w:t>
      </w:r>
      <w:r w:rsidRPr="00BE7C7E">
        <w:rPr>
          <w:rFonts w:ascii="Verdana" w:hAnsi="Verdana" w:cs="Verdana"/>
          <w:sz w:val="20"/>
          <w:szCs w:val="20"/>
        </w:rPr>
        <w:t>a</w:t>
      </w:r>
      <w:proofErr w:type="spellEnd"/>
      <w:r w:rsidRPr="00BE7C7E">
        <w:rPr>
          <w:rFonts w:ascii="Verdana" w:hAnsi="Verdana" w:cs="Verdana"/>
          <w:sz w:val="20"/>
          <w:szCs w:val="20"/>
        </w:rPr>
        <w:t xml:space="preserve"> Hernández de Hernández</w:t>
      </w:r>
      <w:r w:rsidRPr="00BE7C7E">
        <w:rPr>
          <w:rStyle w:val="FootnoteReference"/>
          <w:rFonts w:ascii="Verdana" w:hAnsi="Verdana" w:cs="Verdana"/>
          <w:sz w:val="20"/>
          <w:szCs w:val="20"/>
        </w:rPr>
        <w:footnoteReference w:id="10"/>
      </w:r>
      <w:r w:rsidRPr="00BE7C7E">
        <w:rPr>
          <w:rFonts w:ascii="Verdana" w:hAnsi="Verdana" w:cs="Verdana"/>
          <w:sz w:val="20"/>
          <w:szCs w:val="20"/>
        </w:rPr>
        <w:t xml:space="preserve"> y Calixto Ávila</w:t>
      </w:r>
      <w:r w:rsidRPr="00BE7C7E">
        <w:rPr>
          <w:rStyle w:val="FootnoteReference"/>
          <w:rFonts w:ascii="Verdana" w:hAnsi="Verdana" w:cs="Verdana"/>
          <w:sz w:val="20"/>
          <w:szCs w:val="20"/>
        </w:rPr>
        <w:footnoteReference w:id="11"/>
      </w:r>
      <w:r w:rsidRPr="00BE7C7E">
        <w:rPr>
          <w:rFonts w:ascii="Verdana" w:hAnsi="Verdana" w:cs="Verdana"/>
          <w:sz w:val="20"/>
          <w:szCs w:val="20"/>
        </w:rPr>
        <w:t xml:space="preserve"> (</w:t>
      </w:r>
      <w:r w:rsidRPr="00BE7C7E">
        <w:rPr>
          <w:rFonts w:ascii="Verdana" w:hAnsi="Verdana" w:cs="Verdana"/>
          <w:i/>
          <w:iCs/>
          <w:sz w:val="20"/>
          <w:szCs w:val="20"/>
        </w:rPr>
        <w:t xml:space="preserve">supra Visto </w:t>
      </w:r>
      <w:r w:rsidR="008B6F08">
        <w:rPr>
          <w:rFonts w:ascii="Verdana" w:hAnsi="Verdana" w:cs="Verdana"/>
          <w:i/>
          <w:iCs/>
          <w:sz w:val="20"/>
          <w:szCs w:val="20"/>
        </w:rPr>
        <w:t>6</w:t>
      </w:r>
      <w:r w:rsidRPr="00BE7C7E">
        <w:rPr>
          <w:rFonts w:ascii="Verdana" w:hAnsi="Verdana" w:cs="Verdana"/>
          <w:sz w:val="20"/>
          <w:szCs w:val="20"/>
        </w:rPr>
        <w:t>).</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 xml:space="preserve">En la presentación de la lista definitiva, los representantes solicitaron que las declaraciones de </w:t>
      </w:r>
      <w:r>
        <w:rPr>
          <w:rFonts w:ascii="Verdana" w:hAnsi="Verdana" w:cs="Verdana"/>
          <w:sz w:val="20"/>
          <w:szCs w:val="20"/>
        </w:rPr>
        <w:t>Ignacio Landaeta Muñoz y Magaly Mercedes Vásquez González fueran recibidas durante la audiencia pública del presente caso, mientras que las demás declaraciones y peritajes podían ser aportadas mediante declaración jurada rendida ante fedatario público (</w:t>
      </w:r>
      <w:r>
        <w:rPr>
          <w:rFonts w:ascii="Verdana" w:hAnsi="Verdana" w:cs="Verdana"/>
          <w:i/>
          <w:iCs/>
          <w:sz w:val="20"/>
          <w:szCs w:val="20"/>
        </w:rPr>
        <w:t>affidávit</w:t>
      </w:r>
      <w:r>
        <w:rPr>
          <w:rFonts w:ascii="Verdana" w:hAnsi="Verdana" w:cs="Verdana"/>
          <w:sz w:val="20"/>
          <w:szCs w:val="20"/>
        </w:rPr>
        <w:t>).</w:t>
      </w:r>
    </w:p>
    <w:p w:rsidR="007804B2" w:rsidRDefault="007804B2" w:rsidP="005A7068">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rsidP="00BF133C">
      <w:pPr>
        <w:pStyle w:val="ListParagraph"/>
        <w:tabs>
          <w:tab w:val="left" w:pos="567"/>
        </w:tabs>
        <w:autoSpaceDE w:val="0"/>
        <w:autoSpaceDN w:val="0"/>
        <w:adjustRightInd w:val="0"/>
        <w:spacing w:after="0" w:line="240" w:lineRule="auto"/>
        <w:ind w:left="0"/>
        <w:jc w:val="both"/>
        <w:outlineLvl w:val="0"/>
        <w:rPr>
          <w:rFonts w:ascii="Verdana" w:hAnsi="Verdana" w:cs="Verdana"/>
          <w:sz w:val="20"/>
          <w:szCs w:val="20"/>
        </w:rPr>
      </w:pPr>
      <w:r>
        <w:rPr>
          <w:rFonts w:ascii="Verdana" w:hAnsi="Verdana" w:cs="Verdana"/>
          <w:b/>
          <w:bCs/>
          <w:sz w:val="20"/>
          <w:szCs w:val="20"/>
        </w:rPr>
        <w:tab/>
      </w:r>
      <w:r w:rsidRPr="00DD421D">
        <w:rPr>
          <w:rFonts w:ascii="Verdana" w:hAnsi="Verdana" w:cs="Verdana"/>
          <w:b/>
          <w:bCs/>
          <w:sz w:val="20"/>
          <w:szCs w:val="20"/>
        </w:rPr>
        <w:t>B.</w:t>
      </w:r>
      <w:r>
        <w:rPr>
          <w:rFonts w:ascii="Verdana" w:hAnsi="Verdana" w:cs="Verdana"/>
          <w:b/>
          <w:bCs/>
          <w:sz w:val="20"/>
          <w:szCs w:val="20"/>
        </w:rPr>
        <w:t>1</w:t>
      </w:r>
      <w:r w:rsidRPr="00DD421D">
        <w:rPr>
          <w:rFonts w:ascii="Verdana" w:hAnsi="Verdana" w:cs="Verdana"/>
          <w:b/>
          <w:bCs/>
          <w:sz w:val="20"/>
          <w:szCs w:val="20"/>
        </w:rPr>
        <w:t xml:space="preserve"> </w:t>
      </w:r>
      <w:r>
        <w:rPr>
          <w:rFonts w:ascii="Verdana" w:hAnsi="Verdana" w:cs="Verdana"/>
          <w:b/>
          <w:bCs/>
          <w:sz w:val="20"/>
          <w:szCs w:val="20"/>
        </w:rPr>
        <w:t>Solicitud de sustitución de una declaración pericial ofrecida por los representantes</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rsidP="00425D74">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Asimismo, mediante escrito de 16 de diciembre de 2013 (</w:t>
      </w:r>
      <w:r w:rsidRPr="00BE7C7E">
        <w:rPr>
          <w:rFonts w:ascii="Verdana" w:hAnsi="Verdana" w:cs="Verdana"/>
          <w:i/>
          <w:iCs/>
          <w:sz w:val="20"/>
          <w:szCs w:val="20"/>
        </w:rPr>
        <w:t>supra</w:t>
      </w:r>
      <w:r w:rsidRPr="00BE7C7E">
        <w:rPr>
          <w:rFonts w:ascii="Verdana" w:hAnsi="Verdana" w:cs="Verdana"/>
          <w:sz w:val="20"/>
          <w:szCs w:val="20"/>
        </w:rPr>
        <w:t xml:space="preserve"> Visto </w:t>
      </w:r>
      <w:r w:rsidR="008B6F08">
        <w:rPr>
          <w:rFonts w:ascii="Verdana" w:hAnsi="Verdana" w:cs="Verdana"/>
          <w:sz w:val="20"/>
          <w:szCs w:val="20"/>
        </w:rPr>
        <w:t>8</w:t>
      </w:r>
      <w:r w:rsidRPr="00BE7C7E">
        <w:rPr>
          <w:rFonts w:ascii="Verdana" w:hAnsi="Verdana" w:cs="Verdana"/>
          <w:sz w:val="20"/>
          <w:szCs w:val="20"/>
        </w:rPr>
        <w:t>),</w:t>
      </w:r>
      <w:r w:rsidRPr="00BE7C7E">
        <w:rPr>
          <w:rFonts w:ascii="Verdana" w:hAnsi="Verdana" w:cs="Verdana"/>
          <w:color w:val="FF0000"/>
          <w:sz w:val="20"/>
          <w:szCs w:val="20"/>
        </w:rPr>
        <w:t xml:space="preserve"> </w:t>
      </w:r>
      <w:r w:rsidRPr="00BE7C7E">
        <w:rPr>
          <w:rFonts w:ascii="Verdana" w:hAnsi="Verdana" w:cs="Verdana"/>
          <w:sz w:val="20"/>
          <w:szCs w:val="20"/>
        </w:rPr>
        <w:t xml:space="preserve">los representantes solicitaron formalmente la sustitución de la declaración pericial del señor </w:t>
      </w:r>
      <w:proofErr w:type="spellStart"/>
      <w:r>
        <w:rPr>
          <w:rFonts w:ascii="Verdana" w:hAnsi="Verdana" w:cs="Verdana"/>
          <w:sz w:val="20"/>
          <w:szCs w:val="20"/>
        </w:rPr>
        <w:t>Fredy</w:t>
      </w:r>
      <w:proofErr w:type="spellEnd"/>
      <w:r>
        <w:rPr>
          <w:rFonts w:ascii="Verdana" w:hAnsi="Verdana" w:cs="Verdana"/>
          <w:sz w:val="20"/>
          <w:szCs w:val="20"/>
        </w:rPr>
        <w:t xml:space="preserve"> Armando </w:t>
      </w:r>
      <w:proofErr w:type="spellStart"/>
      <w:r>
        <w:rPr>
          <w:rFonts w:ascii="Verdana" w:hAnsi="Verdana" w:cs="Verdana"/>
          <w:sz w:val="20"/>
          <w:szCs w:val="20"/>
        </w:rPr>
        <w:t>Peccerelli</w:t>
      </w:r>
      <w:proofErr w:type="spellEnd"/>
      <w:r>
        <w:rPr>
          <w:rFonts w:ascii="Verdana" w:hAnsi="Verdana" w:cs="Verdana"/>
          <w:sz w:val="20"/>
          <w:szCs w:val="20"/>
        </w:rPr>
        <w:t xml:space="preserve"> </w:t>
      </w:r>
      <w:proofErr w:type="spellStart"/>
      <w:r>
        <w:rPr>
          <w:rFonts w:ascii="Verdana" w:hAnsi="Verdana" w:cs="Verdana"/>
          <w:sz w:val="20"/>
          <w:szCs w:val="20"/>
        </w:rPr>
        <w:t>Monterroso</w:t>
      </w:r>
      <w:proofErr w:type="spellEnd"/>
      <w:r>
        <w:rPr>
          <w:rFonts w:ascii="Verdana" w:hAnsi="Verdana" w:cs="Verdana"/>
          <w:sz w:val="20"/>
          <w:szCs w:val="20"/>
        </w:rPr>
        <w:t xml:space="preserve"> por la del señor José Pablo </w:t>
      </w:r>
      <w:proofErr w:type="spellStart"/>
      <w:r>
        <w:rPr>
          <w:rFonts w:ascii="Verdana" w:hAnsi="Verdana" w:cs="Verdana"/>
          <w:sz w:val="20"/>
          <w:szCs w:val="20"/>
        </w:rPr>
        <w:t>Baraybar</w:t>
      </w:r>
      <w:proofErr w:type="spellEnd"/>
      <w:r>
        <w:rPr>
          <w:rFonts w:ascii="Verdana" w:hAnsi="Verdana" w:cs="Verdana"/>
          <w:sz w:val="20"/>
          <w:szCs w:val="20"/>
        </w:rPr>
        <w:t xml:space="preserve">, Director Ejecutivo del Equipo Peruano de Antropología, en virtud de que el señor </w:t>
      </w:r>
      <w:proofErr w:type="spellStart"/>
      <w:r>
        <w:rPr>
          <w:rFonts w:ascii="Verdana" w:hAnsi="Verdana" w:cs="Verdana"/>
          <w:sz w:val="20"/>
          <w:szCs w:val="20"/>
        </w:rPr>
        <w:t>Peccerelli</w:t>
      </w:r>
      <w:proofErr w:type="spellEnd"/>
      <w:r>
        <w:rPr>
          <w:rFonts w:ascii="Verdana" w:hAnsi="Verdana" w:cs="Verdana"/>
          <w:sz w:val="20"/>
          <w:szCs w:val="20"/>
        </w:rPr>
        <w:t xml:space="preserve"> “se </w:t>
      </w:r>
      <w:proofErr w:type="spellStart"/>
      <w:proofErr w:type="gramStart"/>
      <w:r>
        <w:rPr>
          <w:rFonts w:ascii="Verdana" w:hAnsi="Verdana" w:cs="Verdana"/>
          <w:sz w:val="20"/>
          <w:szCs w:val="20"/>
        </w:rPr>
        <w:t>encontr</w:t>
      </w:r>
      <w:proofErr w:type="spellEnd"/>
      <w:r>
        <w:rPr>
          <w:rFonts w:ascii="Verdana" w:hAnsi="Verdana" w:cs="Verdana"/>
          <w:sz w:val="20"/>
          <w:szCs w:val="20"/>
        </w:rPr>
        <w:t>[</w:t>
      </w:r>
      <w:proofErr w:type="gramEnd"/>
      <w:r>
        <w:rPr>
          <w:rFonts w:ascii="Verdana" w:hAnsi="Verdana" w:cs="Verdana"/>
          <w:sz w:val="20"/>
          <w:szCs w:val="20"/>
        </w:rPr>
        <w:t>aba] imposibilitado de cumplir esta función antes del mes de marzo del 2014”. El Presidente otorgó plazo al Estado hasta el 19 de diciembre de 2013 a fin de que presentara sus observaciones referentes a dicha solicitud de sustitución, las que fueron incluidas en el escrito de observaciones del 17 de diciembre de 2013 (</w:t>
      </w:r>
      <w:r w:rsidRPr="00B47FB9">
        <w:rPr>
          <w:rFonts w:ascii="Verdana" w:hAnsi="Verdana" w:cs="Verdana"/>
          <w:i/>
          <w:iCs/>
          <w:sz w:val="20"/>
          <w:szCs w:val="20"/>
        </w:rPr>
        <w:t>supra</w:t>
      </w:r>
      <w:r>
        <w:rPr>
          <w:rFonts w:ascii="Verdana" w:hAnsi="Verdana" w:cs="Verdana"/>
          <w:sz w:val="20"/>
          <w:szCs w:val="20"/>
        </w:rPr>
        <w:t xml:space="preserve"> Visto </w:t>
      </w:r>
      <w:r w:rsidR="008B6F08">
        <w:rPr>
          <w:rFonts w:ascii="Verdana" w:hAnsi="Verdana" w:cs="Verdana"/>
          <w:sz w:val="20"/>
          <w:szCs w:val="20"/>
        </w:rPr>
        <w:t>9</w:t>
      </w:r>
      <w:r>
        <w:rPr>
          <w:rFonts w:ascii="Verdana" w:hAnsi="Verdana" w:cs="Verdana"/>
          <w:sz w:val="20"/>
          <w:szCs w:val="20"/>
        </w:rPr>
        <w:t>). En sus observaciones, Venezuela no se opuso a la admisión de dicha sustitución, sin embargo, recusó al sustituto propuesto (</w:t>
      </w:r>
      <w:r w:rsidRPr="00B47FB9">
        <w:rPr>
          <w:rFonts w:ascii="Verdana" w:hAnsi="Verdana" w:cs="Verdana"/>
          <w:i/>
          <w:iCs/>
          <w:sz w:val="20"/>
          <w:szCs w:val="20"/>
        </w:rPr>
        <w:t>infra</w:t>
      </w:r>
      <w:r>
        <w:rPr>
          <w:rFonts w:ascii="Verdana" w:hAnsi="Verdana" w:cs="Verdana"/>
          <w:sz w:val="20"/>
          <w:szCs w:val="20"/>
        </w:rPr>
        <w:t xml:space="preserve"> Considerando </w:t>
      </w:r>
      <w:r w:rsidR="008B6F08">
        <w:rPr>
          <w:rFonts w:ascii="Verdana" w:hAnsi="Verdana" w:cs="Verdana"/>
          <w:sz w:val="20"/>
          <w:szCs w:val="20"/>
        </w:rPr>
        <w:t>25</w:t>
      </w:r>
      <w:r>
        <w:rPr>
          <w:rFonts w:ascii="Verdana" w:hAnsi="Verdana" w:cs="Verdana"/>
          <w:sz w:val="20"/>
          <w:szCs w:val="20"/>
        </w:rPr>
        <w:t>).</w:t>
      </w:r>
    </w:p>
    <w:p w:rsidR="007804B2" w:rsidRDefault="007804B2" w:rsidP="00425D74">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rsidP="00425D74">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425D74">
        <w:rPr>
          <w:rFonts w:ascii="Verdana" w:hAnsi="Verdana" w:cs="Verdana"/>
          <w:sz w:val="20"/>
          <w:szCs w:val="20"/>
        </w:rPr>
        <w:t>Corresponde entonces pasar a analizar si las solicitudes de sustitución observan los requerimientos estipulados en el artículo 49</w:t>
      </w:r>
      <w:r w:rsidRPr="00DD421D">
        <w:rPr>
          <w:rStyle w:val="FootnoteReference"/>
          <w:rFonts w:ascii="Verdana" w:hAnsi="Verdana" w:cs="Verdana"/>
          <w:sz w:val="20"/>
          <w:szCs w:val="20"/>
        </w:rPr>
        <w:footnoteReference w:id="12"/>
      </w:r>
      <w:r w:rsidRPr="00425D74">
        <w:rPr>
          <w:rFonts w:ascii="Verdana" w:hAnsi="Verdana" w:cs="Verdana"/>
          <w:sz w:val="20"/>
          <w:szCs w:val="20"/>
        </w:rPr>
        <w:t xml:space="preserve"> del Reglamento del Tribunal.</w:t>
      </w:r>
    </w:p>
    <w:p w:rsidR="007804B2" w:rsidRPr="00425D74" w:rsidRDefault="007804B2" w:rsidP="00425D74">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E36B4D" w:rsidP="00425D74">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E</w:t>
      </w:r>
      <w:r w:rsidR="007804B2" w:rsidRPr="00425D74">
        <w:rPr>
          <w:rFonts w:ascii="Verdana" w:hAnsi="Verdana" w:cs="Verdana"/>
          <w:sz w:val="20"/>
          <w:szCs w:val="20"/>
        </w:rPr>
        <w:t>n observancia de lo dispuesto en el artículo 49 del Reglamento del Tribunal, se otorgó al Estado la oportunidad de presentar observaciones respecto de dicha solicitud de sustitución (</w:t>
      </w:r>
      <w:r w:rsidR="007804B2" w:rsidRPr="00425D74">
        <w:rPr>
          <w:rFonts w:ascii="Verdana" w:hAnsi="Verdana" w:cs="Verdana"/>
          <w:i/>
          <w:iCs/>
          <w:sz w:val="20"/>
          <w:szCs w:val="20"/>
        </w:rPr>
        <w:t>supra</w:t>
      </w:r>
      <w:r w:rsidR="007804B2">
        <w:rPr>
          <w:rFonts w:ascii="Verdana" w:hAnsi="Verdana" w:cs="Verdana"/>
          <w:sz w:val="20"/>
          <w:szCs w:val="20"/>
        </w:rPr>
        <w:t xml:space="preserve"> Visto </w:t>
      </w:r>
      <w:r w:rsidR="008B6F08">
        <w:rPr>
          <w:rFonts w:ascii="Verdana" w:hAnsi="Verdana" w:cs="Verdana"/>
          <w:sz w:val="20"/>
          <w:szCs w:val="20"/>
        </w:rPr>
        <w:t>9</w:t>
      </w:r>
      <w:r w:rsidR="007804B2" w:rsidRPr="00425D74">
        <w:rPr>
          <w:rFonts w:ascii="Verdana" w:hAnsi="Verdana" w:cs="Verdana"/>
          <w:sz w:val="20"/>
          <w:szCs w:val="20"/>
        </w:rPr>
        <w:t xml:space="preserve">). </w:t>
      </w:r>
    </w:p>
    <w:p w:rsidR="007804B2" w:rsidRPr="00425D74" w:rsidRDefault="007804B2" w:rsidP="00425D74">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8B6F08" w:rsidP="003B4F2E">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lang w:val="es-CR"/>
        </w:rPr>
        <w:t>Respecto</w:t>
      </w:r>
      <w:r w:rsidR="007804B2" w:rsidRPr="003B4F2E">
        <w:rPr>
          <w:rFonts w:ascii="Verdana" w:hAnsi="Verdana" w:cs="Verdana"/>
          <w:sz w:val="20"/>
          <w:szCs w:val="20"/>
          <w:lang w:val="es-CR"/>
        </w:rPr>
        <w:t xml:space="preserve"> al requerimiento de que la </w:t>
      </w:r>
      <w:r w:rsidR="007804B2" w:rsidRPr="003B4F2E">
        <w:rPr>
          <w:rFonts w:ascii="Verdana" w:hAnsi="Verdana" w:cs="Verdana"/>
          <w:sz w:val="20"/>
          <w:szCs w:val="20"/>
        </w:rPr>
        <w:t>solicitud de sustitución sea “fundada”, el Presidente hace notar que los representantes explicaron</w:t>
      </w:r>
      <w:r w:rsidR="007804B2">
        <w:rPr>
          <w:rFonts w:ascii="Verdana" w:hAnsi="Verdana" w:cs="Verdana"/>
          <w:sz w:val="20"/>
          <w:szCs w:val="20"/>
        </w:rPr>
        <w:t xml:space="preserve"> </w:t>
      </w:r>
      <w:r w:rsidR="007804B2" w:rsidRPr="00425D74">
        <w:rPr>
          <w:rFonts w:ascii="Verdana" w:hAnsi="Verdana" w:cs="Verdana"/>
          <w:sz w:val="20"/>
          <w:szCs w:val="20"/>
        </w:rPr>
        <w:t>el motivo por el cual la persona inicialmente propuesta como perito no podría rendir su declaración</w:t>
      </w:r>
      <w:r w:rsidR="007804B2">
        <w:rPr>
          <w:rFonts w:ascii="Verdana" w:hAnsi="Verdana" w:cs="Verdana"/>
          <w:sz w:val="20"/>
          <w:szCs w:val="20"/>
        </w:rPr>
        <w:t>, ya que señalaron que el perito que solicita</w:t>
      </w:r>
      <w:r>
        <w:rPr>
          <w:rFonts w:ascii="Verdana" w:hAnsi="Verdana" w:cs="Verdana"/>
          <w:sz w:val="20"/>
          <w:szCs w:val="20"/>
        </w:rPr>
        <w:t>ron</w:t>
      </w:r>
      <w:r w:rsidR="007804B2" w:rsidRPr="003B4F2E">
        <w:rPr>
          <w:rFonts w:ascii="Verdana" w:hAnsi="Verdana" w:cs="Verdana"/>
          <w:sz w:val="20"/>
          <w:szCs w:val="20"/>
        </w:rPr>
        <w:t xml:space="preserve"> sustituir “se </w:t>
      </w:r>
      <w:proofErr w:type="spellStart"/>
      <w:r w:rsidR="007804B2" w:rsidRPr="003B4F2E">
        <w:rPr>
          <w:rFonts w:ascii="Verdana" w:hAnsi="Verdana" w:cs="Verdana"/>
          <w:sz w:val="20"/>
          <w:szCs w:val="20"/>
        </w:rPr>
        <w:t>encontr</w:t>
      </w:r>
      <w:proofErr w:type="spellEnd"/>
      <w:r w:rsidR="007804B2" w:rsidRPr="003B4F2E">
        <w:rPr>
          <w:rFonts w:ascii="Verdana" w:hAnsi="Verdana" w:cs="Verdana"/>
          <w:sz w:val="20"/>
          <w:szCs w:val="20"/>
        </w:rPr>
        <w:t>[aba] imposibilitado de cumplir esta función antes del mes de marzo del 2014”. Lo relevante para considerar una solicitud “fundada” es que se expliquen los motivos o razones por los cuales la persona ofrecida no podrá rendir la declaración</w:t>
      </w:r>
      <w:r w:rsidR="007804B2" w:rsidRPr="001648CF">
        <w:rPr>
          <w:rStyle w:val="FootnoteReference"/>
          <w:rFonts w:ascii="Verdana" w:hAnsi="Verdana" w:cs="Verdana"/>
          <w:sz w:val="20"/>
          <w:szCs w:val="20"/>
        </w:rPr>
        <w:footnoteReference w:id="13"/>
      </w:r>
      <w:r w:rsidR="007804B2" w:rsidRPr="003B4F2E">
        <w:rPr>
          <w:rFonts w:ascii="Verdana" w:hAnsi="Verdana" w:cs="Verdana"/>
          <w:sz w:val="20"/>
          <w:szCs w:val="20"/>
        </w:rPr>
        <w:t>, requisito que se cumplió en el presente caso</w:t>
      </w:r>
      <w:r w:rsidR="007804B2">
        <w:rPr>
          <w:rFonts w:ascii="Verdana" w:hAnsi="Verdana" w:cs="Verdana"/>
          <w:sz w:val="20"/>
          <w:szCs w:val="20"/>
        </w:rPr>
        <w:t>.</w:t>
      </w:r>
    </w:p>
    <w:p w:rsidR="007804B2" w:rsidRPr="003B4F2E" w:rsidRDefault="007804B2" w:rsidP="003B4F2E">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rsidP="00425D74">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425D74">
        <w:rPr>
          <w:rFonts w:ascii="Verdana" w:hAnsi="Verdana" w:cs="Verdana"/>
          <w:sz w:val="20"/>
          <w:szCs w:val="20"/>
        </w:rPr>
        <w:t>En cuanto a los requisitos de individualizar al sustituto y respetar el objeto del peritaje originalmente ofrecido, el Presidente constata que ambos se cumplen con respecto a la solicitud de sustitución d</w:t>
      </w:r>
      <w:r>
        <w:rPr>
          <w:rFonts w:ascii="Verdana" w:hAnsi="Verdana" w:cs="Verdana"/>
          <w:sz w:val="20"/>
          <w:szCs w:val="20"/>
        </w:rPr>
        <w:t xml:space="preserve">el señor </w:t>
      </w:r>
      <w:proofErr w:type="spellStart"/>
      <w:r>
        <w:rPr>
          <w:rFonts w:ascii="Verdana" w:hAnsi="Verdana" w:cs="Verdana"/>
          <w:sz w:val="20"/>
          <w:szCs w:val="20"/>
        </w:rPr>
        <w:t>Fredy</w:t>
      </w:r>
      <w:proofErr w:type="spellEnd"/>
      <w:r>
        <w:rPr>
          <w:rFonts w:ascii="Verdana" w:hAnsi="Verdana" w:cs="Verdana"/>
          <w:sz w:val="20"/>
          <w:szCs w:val="20"/>
        </w:rPr>
        <w:t xml:space="preserve"> Armando </w:t>
      </w:r>
      <w:proofErr w:type="spellStart"/>
      <w:r>
        <w:rPr>
          <w:rFonts w:ascii="Verdana" w:hAnsi="Verdana" w:cs="Verdana"/>
          <w:sz w:val="20"/>
          <w:szCs w:val="20"/>
        </w:rPr>
        <w:t>Peccerelli</w:t>
      </w:r>
      <w:proofErr w:type="spellEnd"/>
      <w:r>
        <w:rPr>
          <w:rFonts w:ascii="Verdana" w:hAnsi="Verdana" w:cs="Verdana"/>
          <w:sz w:val="20"/>
          <w:szCs w:val="20"/>
        </w:rPr>
        <w:t xml:space="preserve"> </w:t>
      </w:r>
      <w:proofErr w:type="spellStart"/>
      <w:r>
        <w:rPr>
          <w:rFonts w:ascii="Verdana" w:hAnsi="Verdana" w:cs="Verdana"/>
          <w:sz w:val="20"/>
          <w:szCs w:val="20"/>
        </w:rPr>
        <w:t>Monterroso</w:t>
      </w:r>
      <w:proofErr w:type="spellEnd"/>
      <w:r>
        <w:rPr>
          <w:rFonts w:ascii="Verdana" w:hAnsi="Verdana" w:cs="Verdana"/>
          <w:sz w:val="20"/>
          <w:szCs w:val="20"/>
        </w:rPr>
        <w:t xml:space="preserve"> por la del señor José Pablo </w:t>
      </w:r>
      <w:proofErr w:type="spellStart"/>
      <w:r>
        <w:rPr>
          <w:rFonts w:ascii="Verdana" w:hAnsi="Verdana" w:cs="Verdana"/>
          <w:sz w:val="20"/>
          <w:szCs w:val="20"/>
        </w:rPr>
        <w:t>Baraybar</w:t>
      </w:r>
      <w:proofErr w:type="spellEnd"/>
      <w:r w:rsidRPr="00425D74">
        <w:rPr>
          <w:rFonts w:ascii="Verdana" w:hAnsi="Verdana" w:cs="Verdana"/>
          <w:sz w:val="20"/>
          <w:szCs w:val="20"/>
        </w:rPr>
        <w:t xml:space="preserve">. El objeto del </w:t>
      </w:r>
      <w:r>
        <w:rPr>
          <w:rFonts w:ascii="Verdana" w:hAnsi="Verdana" w:cs="Verdana"/>
          <w:sz w:val="20"/>
          <w:szCs w:val="20"/>
        </w:rPr>
        <w:t xml:space="preserve">perito sustituto (José Pablo </w:t>
      </w:r>
      <w:proofErr w:type="spellStart"/>
      <w:r>
        <w:rPr>
          <w:rFonts w:ascii="Verdana" w:hAnsi="Verdana" w:cs="Verdana"/>
          <w:sz w:val="20"/>
          <w:szCs w:val="20"/>
        </w:rPr>
        <w:t>Baraybar</w:t>
      </w:r>
      <w:proofErr w:type="spellEnd"/>
      <w:r w:rsidRPr="00425D74">
        <w:rPr>
          <w:rFonts w:ascii="Verdana" w:hAnsi="Verdana" w:cs="Verdana"/>
          <w:sz w:val="20"/>
          <w:szCs w:val="20"/>
        </w:rPr>
        <w:t>) es el mismo que el del perito ofrecido en el escrito de solicitudes y argumentos  (</w:t>
      </w:r>
      <w:proofErr w:type="spellStart"/>
      <w:r>
        <w:rPr>
          <w:rFonts w:ascii="Verdana" w:hAnsi="Verdana" w:cs="Verdana"/>
          <w:sz w:val="20"/>
          <w:szCs w:val="20"/>
        </w:rPr>
        <w:t>Fredy</w:t>
      </w:r>
      <w:proofErr w:type="spellEnd"/>
      <w:r>
        <w:rPr>
          <w:rFonts w:ascii="Verdana" w:hAnsi="Verdana" w:cs="Verdana"/>
          <w:sz w:val="20"/>
          <w:szCs w:val="20"/>
        </w:rPr>
        <w:t xml:space="preserve"> Armando</w:t>
      </w:r>
      <w:r w:rsidR="008B6F08">
        <w:rPr>
          <w:rFonts w:ascii="Verdana" w:hAnsi="Verdana" w:cs="Verdana"/>
          <w:sz w:val="20"/>
          <w:szCs w:val="20"/>
        </w:rPr>
        <w:t xml:space="preserve"> </w:t>
      </w:r>
      <w:proofErr w:type="spellStart"/>
      <w:r w:rsidR="008B6F08">
        <w:rPr>
          <w:rFonts w:ascii="Verdana" w:hAnsi="Verdana" w:cs="Verdana"/>
          <w:sz w:val="20"/>
          <w:szCs w:val="20"/>
        </w:rPr>
        <w:t>Peccerelli</w:t>
      </w:r>
      <w:proofErr w:type="spellEnd"/>
      <w:r>
        <w:rPr>
          <w:rFonts w:ascii="Verdana" w:hAnsi="Verdana" w:cs="Verdana"/>
          <w:sz w:val="20"/>
          <w:szCs w:val="20"/>
        </w:rPr>
        <w:t xml:space="preserve"> </w:t>
      </w:r>
      <w:proofErr w:type="spellStart"/>
      <w:r>
        <w:rPr>
          <w:rFonts w:ascii="Verdana" w:hAnsi="Verdana" w:cs="Verdana"/>
          <w:sz w:val="20"/>
          <w:szCs w:val="20"/>
        </w:rPr>
        <w:t>Monterroso</w:t>
      </w:r>
      <w:proofErr w:type="spellEnd"/>
      <w:r w:rsidRPr="00425D74">
        <w:rPr>
          <w:rFonts w:ascii="Verdana" w:hAnsi="Verdana" w:cs="Verdana"/>
          <w:sz w:val="20"/>
          <w:szCs w:val="20"/>
        </w:rPr>
        <w:t xml:space="preserve">). </w:t>
      </w:r>
    </w:p>
    <w:p w:rsidR="007804B2" w:rsidRDefault="007804B2" w:rsidP="00425D74">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Pr="00DD0BD3" w:rsidRDefault="007804B2" w:rsidP="00DD0BD3">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425D74">
        <w:rPr>
          <w:rFonts w:ascii="Verdana" w:hAnsi="Verdana" w:cs="Verdana"/>
          <w:sz w:val="20"/>
          <w:szCs w:val="20"/>
        </w:rPr>
        <w:t>En virtud de las anteriores consideraciones, se admite la sustitución del peritaje d</w:t>
      </w:r>
      <w:r>
        <w:rPr>
          <w:rFonts w:ascii="Verdana" w:hAnsi="Verdana" w:cs="Verdana"/>
          <w:sz w:val="20"/>
          <w:szCs w:val="20"/>
        </w:rPr>
        <w:t xml:space="preserve">el señor </w:t>
      </w:r>
      <w:proofErr w:type="spellStart"/>
      <w:r>
        <w:rPr>
          <w:rFonts w:ascii="Verdana" w:hAnsi="Verdana" w:cs="Verdana"/>
          <w:sz w:val="20"/>
          <w:szCs w:val="20"/>
        </w:rPr>
        <w:t>Fredy</w:t>
      </w:r>
      <w:proofErr w:type="spellEnd"/>
      <w:r>
        <w:rPr>
          <w:rFonts w:ascii="Verdana" w:hAnsi="Verdana" w:cs="Verdana"/>
          <w:sz w:val="20"/>
          <w:szCs w:val="20"/>
        </w:rPr>
        <w:t xml:space="preserve"> Armando </w:t>
      </w:r>
      <w:proofErr w:type="spellStart"/>
      <w:r>
        <w:rPr>
          <w:rFonts w:ascii="Verdana" w:hAnsi="Verdana" w:cs="Verdana"/>
          <w:sz w:val="20"/>
          <w:szCs w:val="20"/>
        </w:rPr>
        <w:t>Peccerelli</w:t>
      </w:r>
      <w:proofErr w:type="spellEnd"/>
      <w:r>
        <w:rPr>
          <w:rFonts w:ascii="Verdana" w:hAnsi="Verdana" w:cs="Verdana"/>
          <w:sz w:val="20"/>
          <w:szCs w:val="20"/>
        </w:rPr>
        <w:t xml:space="preserve"> </w:t>
      </w:r>
      <w:proofErr w:type="spellStart"/>
      <w:r>
        <w:rPr>
          <w:rFonts w:ascii="Verdana" w:hAnsi="Verdana" w:cs="Verdana"/>
          <w:sz w:val="20"/>
          <w:szCs w:val="20"/>
        </w:rPr>
        <w:t>Monterroso</w:t>
      </w:r>
      <w:proofErr w:type="spellEnd"/>
      <w:r>
        <w:rPr>
          <w:rFonts w:ascii="Verdana" w:hAnsi="Verdana" w:cs="Verdana"/>
          <w:sz w:val="20"/>
          <w:szCs w:val="20"/>
        </w:rPr>
        <w:t xml:space="preserve"> por la del señor José Pablo </w:t>
      </w:r>
      <w:proofErr w:type="spellStart"/>
      <w:r>
        <w:rPr>
          <w:rFonts w:ascii="Verdana" w:hAnsi="Verdana" w:cs="Verdana"/>
          <w:sz w:val="20"/>
          <w:szCs w:val="20"/>
        </w:rPr>
        <w:t>Baraybar</w:t>
      </w:r>
      <w:proofErr w:type="spellEnd"/>
      <w:r w:rsidRPr="00425D74">
        <w:rPr>
          <w:rFonts w:ascii="Verdana" w:hAnsi="Verdana" w:cs="Verdana"/>
          <w:sz w:val="20"/>
          <w:szCs w:val="20"/>
        </w:rPr>
        <w:t xml:space="preserve"> </w:t>
      </w:r>
      <w:r>
        <w:rPr>
          <w:rFonts w:ascii="Verdana" w:hAnsi="Verdana" w:cs="Verdana"/>
          <w:sz w:val="20"/>
          <w:szCs w:val="20"/>
        </w:rPr>
        <w:t>solicitada</w:t>
      </w:r>
      <w:r w:rsidRPr="00425D74">
        <w:rPr>
          <w:rFonts w:ascii="Verdana" w:hAnsi="Verdana" w:cs="Verdana"/>
          <w:sz w:val="20"/>
          <w:szCs w:val="20"/>
        </w:rPr>
        <w:t xml:space="preserve"> por los representantes, de conformidad con el artículo 49 del Reglamento. Posteriormente (</w:t>
      </w:r>
      <w:r w:rsidRPr="00425D74">
        <w:rPr>
          <w:rFonts w:ascii="Verdana" w:hAnsi="Verdana" w:cs="Verdana"/>
          <w:i/>
          <w:iCs/>
          <w:sz w:val="20"/>
          <w:szCs w:val="20"/>
        </w:rPr>
        <w:t xml:space="preserve">infra </w:t>
      </w:r>
      <w:r>
        <w:rPr>
          <w:rFonts w:ascii="Verdana" w:hAnsi="Verdana" w:cs="Verdana"/>
          <w:sz w:val="20"/>
          <w:szCs w:val="20"/>
        </w:rPr>
        <w:t xml:space="preserve">Considerandos </w:t>
      </w:r>
      <w:r w:rsidR="008B6F08">
        <w:rPr>
          <w:rFonts w:ascii="Verdana" w:hAnsi="Verdana" w:cs="Verdana"/>
          <w:sz w:val="20"/>
          <w:szCs w:val="20"/>
        </w:rPr>
        <w:t>25</w:t>
      </w:r>
      <w:r>
        <w:rPr>
          <w:rFonts w:ascii="Verdana" w:hAnsi="Verdana" w:cs="Verdana"/>
          <w:sz w:val="20"/>
          <w:szCs w:val="20"/>
        </w:rPr>
        <w:t xml:space="preserve"> </w:t>
      </w:r>
      <w:r w:rsidR="008B6F08">
        <w:rPr>
          <w:rFonts w:ascii="Verdana" w:hAnsi="Verdana" w:cs="Verdana"/>
          <w:sz w:val="20"/>
          <w:szCs w:val="20"/>
        </w:rPr>
        <w:t>y 27 a 32</w:t>
      </w:r>
      <w:r w:rsidRPr="00425D74">
        <w:rPr>
          <w:rFonts w:ascii="Verdana" w:hAnsi="Verdana" w:cs="Verdana"/>
          <w:sz w:val="20"/>
          <w:szCs w:val="20"/>
        </w:rPr>
        <w:t xml:space="preserve">), se pronunciará sobre la recusación del Estado contra el señor </w:t>
      </w:r>
      <w:r>
        <w:rPr>
          <w:rFonts w:ascii="Verdana" w:hAnsi="Verdana" w:cs="Verdana"/>
          <w:sz w:val="20"/>
          <w:szCs w:val="20"/>
        </w:rPr>
        <w:t xml:space="preserve">José Pablo </w:t>
      </w:r>
      <w:proofErr w:type="spellStart"/>
      <w:r>
        <w:rPr>
          <w:rFonts w:ascii="Verdana" w:hAnsi="Verdana" w:cs="Verdana"/>
          <w:sz w:val="20"/>
          <w:szCs w:val="20"/>
        </w:rPr>
        <w:t>Baraybar</w:t>
      </w:r>
      <w:proofErr w:type="spellEnd"/>
      <w:r w:rsidRPr="00425D74">
        <w:rPr>
          <w:rFonts w:ascii="Verdana" w:hAnsi="Verdana" w:cs="Verdana"/>
          <w:sz w:val="20"/>
          <w:szCs w:val="20"/>
        </w:rPr>
        <w:t xml:space="preserve">. </w:t>
      </w:r>
    </w:p>
    <w:p w:rsidR="007804B2" w:rsidRDefault="007804B2" w:rsidP="00425D74">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Pr="00DD0BD3" w:rsidRDefault="007804B2" w:rsidP="00425D74">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DD0BD3">
        <w:rPr>
          <w:rFonts w:ascii="Verdana" w:hAnsi="Verdana" w:cs="Verdana"/>
          <w:sz w:val="20"/>
          <w:szCs w:val="20"/>
        </w:rPr>
        <w:t xml:space="preserve">Por otro lado, la Comisión Interamericana manifestó que no tenía observaciones que formular en relación con la presentación de la lista definitiva </w:t>
      </w:r>
      <w:r w:rsidR="008B6F08">
        <w:rPr>
          <w:rFonts w:ascii="Verdana" w:hAnsi="Verdana" w:cs="Verdana"/>
          <w:sz w:val="20"/>
          <w:szCs w:val="20"/>
        </w:rPr>
        <w:t>de</w:t>
      </w:r>
      <w:r w:rsidRPr="00DD0BD3">
        <w:rPr>
          <w:rFonts w:ascii="Verdana" w:hAnsi="Verdana" w:cs="Verdana"/>
          <w:sz w:val="20"/>
          <w:szCs w:val="20"/>
        </w:rPr>
        <w:t xml:space="preserve"> los representantes. Por su parte, el Estado, en el escrito de observaciones a la lista definitiva y a la solicitud</w:t>
      </w:r>
      <w:r w:rsidRPr="00DD0BD3">
        <w:rPr>
          <w:rFonts w:ascii="Garamond" w:hAnsi="Garamond" w:cs="Garamond"/>
          <w:sz w:val="24"/>
          <w:szCs w:val="24"/>
          <w:lang w:val="es-CR"/>
        </w:rPr>
        <w:t xml:space="preserve"> </w:t>
      </w:r>
      <w:r w:rsidRPr="00DD0BD3">
        <w:rPr>
          <w:rFonts w:ascii="Verdana" w:hAnsi="Verdana" w:cs="Verdana"/>
          <w:sz w:val="20"/>
          <w:szCs w:val="20"/>
          <w:lang w:val="es-CR"/>
        </w:rPr>
        <w:t>de sustitución de un perito,</w:t>
      </w:r>
      <w:r w:rsidRPr="00DD0BD3">
        <w:rPr>
          <w:rFonts w:ascii="Verdana" w:hAnsi="Verdana" w:cs="Verdana"/>
          <w:sz w:val="20"/>
          <w:szCs w:val="20"/>
        </w:rPr>
        <w:t xml:space="preserve"> objetó las cinco declaraciones de presuntas víctimas y presentó recusaciones contra tres peritos</w:t>
      </w:r>
      <w:r>
        <w:rPr>
          <w:rFonts w:ascii="Verdana" w:hAnsi="Verdana" w:cs="Verdana"/>
          <w:sz w:val="20"/>
          <w:szCs w:val="20"/>
        </w:rPr>
        <w:t>, lo</w:t>
      </w:r>
      <w:r w:rsidRPr="00DD0BD3">
        <w:rPr>
          <w:rFonts w:ascii="Verdana" w:hAnsi="Verdana" w:cs="Verdana"/>
          <w:sz w:val="20"/>
          <w:szCs w:val="20"/>
        </w:rPr>
        <w:t>s cuales se analizarán a continuación.</w:t>
      </w:r>
    </w:p>
    <w:p w:rsidR="007804B2" w:rsidRPr="00DD0BD3" w:rsidRDefault="007804B2" w:rsidP="00DD0BD3">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rsidP="00BF133C">
      <w:pPr>
        <w:tabs>
          <w:tab w:val="left" w:pos="567"/>
        </w:tabs>
        <w:autoSpaceDE w:val="0"/>
        <w:autoSpaceDN w:val="0"/>
        <w:adjustRightInd w:val="0"/>
        <w:spacing w:after="0" w:line="240" w:lineRule="auto"/>
        <w:jc w:val="both"/>
        <w:outlineLvl w:val="0"/>
        <w:rPr>
          <w:rFonts w:ascii="Verdana" w:hAnsi="Verdana" w:cs="Verdana"/>
          <w:b/>
          <w:bCs/>
          <w:sz w:val="20"/>
          <w:szCs w:val="20"/>
        </w:rPr>
      </w:pPr>
      <w:r w:rsidRPr="00DD421D">
        <w:rPr>
          <w:rFonts w:ascii="Verdana" w:hAnsi="Verdana" w:cs="Verdana"/>
          <w:b/>
          <w:bCs/>
          <w:sz w:val="20"/>
          <w:szCs w:val="20"/>
        </w:rPr>
        <w:tab/>
        <w:t>B.</w:t>
      </w:r>
      <w:r>
        <w:rPr>
          <w:rFonts w:ascii="Verdana" w:hAnsi="Verdana" w:cs="Verdana"/>
          <w:b/>
          <w:bCs/>
          <w:sz w:val="20"/>
          <w:szCs w:val="20"/>
        </w:rPr>
        <w:t>2</w:t>
      </w:r>
      <w:r w:rsidRPr="00DD421D">
        <w:rPr>
          <w:rFonts w:ascii="Verdana" w:hAnsi="Verdana" w:cs="Verdana"/>
          <w:b/>
          <w:bCs/>
          <w:sz w:val="20"/>
          <w:szCs w:val="20"/>
        </w:rPr>
        <w:t xml:space="preserve"> Objeciones del Estado a las declaraciones de las presuntas víctimas</w:t>
      </w:r>
      <w:r>
        <w:rPr>
          <w:rFonts w:ascii="Verdana" w:hAnsi="Verdana" w:cs="Verdana"/>
          <w:b/>
          <w:bCs/>
          <w:sz w:val="20"/>
          <w:szCs w:val="20"/>
        </w:rPr>
        <w:t xml:space="preserve"> ofrecidas por los representantes</w:t>
      </w:r>
    </w:p>
    <w:p w:rsidR="007804B2" w:rsidRDefault="007804B2">
      <w:pPr>
        <w:tabs>
          <w:tab w:val="left" w:pos="567"/>
        </w:tabs>
        <w:autoSpaceDE w:val="0"/>
        <w:autoSpaceDN w:val="0"/>
        <w:adjustRightInd w:val="0"/>
        <w:spacing w:after="0" w:line="240" w:lineRule="auto"/>
        <w:jc w:val="both"/>
        <w:rPr>
          <w:rFonts w:ascii="Verdana" w:hAnsi="Verdana" w:cs="Verdana"/>
          <w:b/>
          <w:bCs/>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En sus observaciones, r</w:t>
      </w:r>
      <w:r w:rsidRPr="00BE7C7E">
        <w:rPr>
          <w:rFonts w:ascii="Verdana" w:hAnsi="Verdana" w:cs="Verdana"/>
          <w:sz w:val="20"/>
          <w:szCs w:val="20"/>
        </w:rPr>
        <w:t>especto de las declaraciones de Ignacio Landaeta Muñoz y María Magdalena Mejías, el Estado “</w:t>
      </w:r>
      <w:proofErr w:type="spellStart"/>
      <w:r w:rsidRPr="00BE7C7E">
        <w:rPr>
          <w:rFonts w:ascii="Verdana" w:hAnsi="Verdana" w:cs="Verdana"/>
          <w:sz w:val="20"/>
          <w:szCs w:val="20"/>
        </w:rPr>
        <w:t>objet</w:t>
      </w:r>
      <w:proofErr w:type="spellEnd"/>
      <w:r w:rsidRPr="00BE7C7E">
        <w:rPr>
          <w:rFonts w:ascii="Verdana" w:hAnsi="Verdana" w:cs="Verdana"/>
          <w:sz w:val="20"/>
          <w:szCs w:val="20"/>
        </w:rPr>
        <w:t xml:space="preserve">[ó] que las presuntas víctimas pretendan exponer sobre secuelas físicas de la muerte de los ciudadanos </w:t>
      </w:r>
      <w:proofErr w:type="spellStart"/>
      <w:r w:rsidRPr="00BE7C7E">
        <w:rPr>
          <w:rFonts w:ascii="Verdana" w:hAnsi="Verdana" w:cs="Verdana"/>
          <w:sz w:val="20"/>
          <w:szCs w:val="20"/>
        </w:rPr>
        <w:t>Igmar</w:t>
      </w:r>
      <w:proofErr w:type="spellEnd"/>
      <w:r w:rsidRPr="00BE7C7E">
        <w:rPr>
          <w:rFonts w:ascii="Verdana" w:hAnsi="Verdana" w:cs="Verdana"/>
          <w:sz w:val="20"/>
          <w:szCs w:val="20"/>
        </w:rPr>
        <w:t xml:space="preserve"> Alexander y Eduardo José, de las cuales no se ha dado constancia durante el desarrollo de la causa tanto en la Comisión como en la Corte Interamericana”. Sobre las declaraciones de Victoria </w:t>
      </w:r>
      <w:proofErr w:type="spellStart"/>
      <w:r w:rsidRPr="00BE7C7E">
        <w:rPr>
          <w:rFonts w:ascii="Verdana" w:hAnsi="Verdana" w:cs="Verdana"/>
          <w:sz w:val="20"/>
          <w:szCs w:val="20"/>
        </w:rPr>
        <w:t>Eneri</w:t>
      </w:r>
      <w:proofErr w:type="spellEnd"/>
      <w:r w:rsidRPr="00BE7C7E">
        <w:rPr>
          <w:rFonts w:ascii="Verdana" w:hAnsi="Verdana" w:cs="Verdana"/>
          <w:sz w:val="20"/>
          <w:szCs w:val="20"/>
        </w:rPr>
        <w:t xml:space="preserve"> y </w:t>
      </w:r>
      <w:proofErr w:type="spellStart"/>
      <w:r w:rsidRPr="00BE7C7E">
        <w:rPr>
          <w:rFonts w:ascii="Verdana" w:hAnsi="Verdana" w:cs="Verdana"/>
          <w:sz w:val="20"/>
          <w:szCs w:val="20"/>
        </w:rPr>
        <w:t>Leidis</w:t>
      </w:r>
      <w:proofErr w:type="spellEnd"/>
      <w:r w:rsidRPr="00BE7C7E">
        <w:rPr>
          <w:rFonts w:ascii="Verdana" w:hAnsi="Verdana" w:cs="Verdana"/>
          <w:sz w:val="20"/>
          <w:szCs w:val="20"/>
        </w:rPr>
        <w:t xml:space="preserve"> </w:t>
      </w:r>
      <w:proofErr w:type="spellStart"/>
      <w:r w:rsidRPr="00BE7C7E">
        <w:rPr>
          <w:rFonts w:ascii="Verdana" w:hAnsi="Verdana" w:cs="Verdana"/>
          <w:sz w:val="20"/>
          <w:szCs w:val="20"/>
        </w:rPr>
        <w:t>Rosimas</w:t>
      </w:r>
      <w:proofErr w:type="spellEnd"/>
      <w:r w:rsidRPr="00BE7C7E">
        <w:rPr>
          <w:rFonts w:ascii="Verdana" w:hAnsi="Verdana" w:cs="Verdana"/>
          <w:sz w:val="20"/>
          <w:szCs w:val="20"/>
        </w:rPr>
        <w:t xml:space="preserve">, ambas de apellidos Landaeta Galindo, el Estado indicó que en virtud </w:t>
      </w:r>
      <w:r>
        <w:rPr>
          <w:rFonts w:ascii="Verdana" w:hAnsi="Verdana" w:cs="Verdana"/>
          <w:sz w:val="20"/>
          <w:szCs w:val="20"/>
        </w:rPr>
        <w:t>que no se indicó las edades de las mismas,</w:t>
      </w:r>
      <w:r w:rsidRPr="00BE7C7E">
        <w:rPr>
          <w:rFonts w:ascii="Verdana" w:hAnsi="Verdana" w:cs="Verdana"/>
          <w:sz w:val="20"/>
          <w:szCs w:val="20"/>
        </w:rPr>
        <w:t xml:space="preserve"> no existe constancia de que “para el momento de los hechos que dan lugar a la presente causa tuvieran discernimiento sobre los acontecimientos ni del impacto que tales hechos pudieran hab</w:t>
      </w:r>
      <w:r w:rsidRPr="00DD421D">
        <w:rPr>
          <w:rFonts w:ascii="Verdana" w:hAnsi="Verdana" w:cs="Verdana"/>
          <w:sz w:val="20"/>
          <w:szCs w:val="20"/>
        </w:rPr>
        <w:t xml:space="preserve">er generado en su vida”. Finalmente, en relación con la declaración de </w:t>
      </w:r>
      <w:proofErr w:type="spellStart"/>
      <w:r w:rsidRPr="00DD421D">
        <w:rPr>
          <w:rFonts w:ascii="Verdana" w:hAnsi="Verdana" w:cs="Verdana"/>
          <w:sz w:val="20"/>
          <w:szCs w:val="20"/>
        </w:rPr>
        <w:t>Francy</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Yelut</w:t>
      </w:r>
      <w:proofErr w:type="spellEnd"/>
      <w:r w:rsidRPr="00DD421D">
        <w:rPr>
          <w:rFonts w:ascii="Verdana" w:hAnsi="Verdana" w:cs="Verdana"/>
          <w:sz w:val="20"/>
          <w:szCs w:val="20"/>
        </w:rPr>
        <w:t xml:space="preserve"> Parra </w:t>
      </w:r>
      <w:proofErr w:type="spellStart"/>
      <w:r w:rsidRPr="00DD421D">
        <w:rPr>
          <w:rFonts w:ascii="Verdana" w:hAnsi="Verdana" w:cs="Verdana"/>
          <w:sz w:val="20"/>
          <w:szCs w:val="20"/>
        </w:rPr>
        <w:t>Guzman</w:t>
      </w:r>
      <w:proofErr w:type="spellEnd"/>
      <w:r w:rsidRPr="00DD421D">
        <w:rPr>
          <w:rFonts w:ascii="Verdana" w:hAnsi="Verdana" w:cs="Verdana"/>
          <w:sz w:val="20"/>
          <w:szCs w:val="20"/>
        </w:rPr>
        <w:t xml:space="preserve">, el Estado manifestó que “no consta en autos si para el momento de la muerte del ciudadano </w:t>
      </w:r>
      <w:proofErr w:type="spellStart"/>
      <w:r w:rsidRPr="00DD421D">
        <w:rPr>
          <w:rFonts w:ascii="Verdana" w:hAnsi="Verdana" w:cs="Verdana"/>
          <w:sz w:val="20"/>
          <w:szCs w:val="20"/>
        </w:rPr>
        <w:t>Igmar</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Landaeta</w:t>
      </w:r>
      <w:proofErr w:type="spellEnd"/>
      <w:r w:rsidRPr="00DD421D">
        <w:rPr>
          <w:rFonts w:ascii="Verdana" w:hAnsi="Verdana" w:cs="Verdana"/>
          <w:sz w:val="20"/>
          <w:szCs w:val="20"/>
        </w:rPr>
        <w:t xml:space="preserve"> Mejías, la referida ciudadana se encontraba de hecho compartiendo su vida con el referido ciudadano”.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E36B4D">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color w:val="000000"/>
          <w:sz w:val="20"/>
          <w:szCs w:val="20"/>
        </w:rPr>
        <w:t>E</w:t>
      </w:r>
      <w:r w:rsidR="007804B2" w:rsidRPr="00BE7C7E">
        <w:rPr>
          <w:rFonts w:ascii="Verdana" w:hAnsi="Verdana" w:cs="Verdana"/>
          <w:color w:val="000000"/>
          <w:sz w:val="20"/>
          <w:szCs w:val="20"/>
        </w:rPr>
        <w:t xml:space="preserve">l Presidente considera necesario recordar que corresponde al Tribunal, en el momento procesal oportuno, determinar los hechos del presente caso, así como las consecuencias jurídicas que se deriven de los mismos, luego de considerar los argumentos de las partes y </w:t>
      </w:r>
      <w:r w:rsidR="007804B2">
        <w:rPr>
          <w:rFonts w:ascii="Verdana" w:hAnsi="Verdana" w:cs="Verdana"/>
          <w:color w:val="000000"/>
          <w:sz w:val="20"/>
          <w:szCs w:val="20"/>
        </w:rPr>
        <w:t>con base en a</w:t>
      </w:r>
      <w:r w:rsidR="007804B2" w:rsidRPr="00BE7C7E">
        <w:rPr>
          <w:rFonts w:ascii="Verdana" w:hAnsi="Verdana" w:cs="Verdana"/>
          <w:color w:val="000000"/>
          <w:sz w:val="20"/>
          <w:szCs w:val="20"/>
        </w:rPr>
        <w:t xml:space="preserve"> la evaluación de la prueba presentada, según las reglas de la sana crítica</w:t>
      </w:r>
      <w:r w:rsidR="007804B2" w:rsidRPr="00BE7C7E">
        <w:rPr>
          <w:rStyle w:val="FootnoteReference"/>
          <w:rFonts w:ascii="Verdana" w:hAnsi="Verdana" w:cs="Verdana"/>
          <w:color w:val="000000"/>
          <w:sz w:val="20"/>
          <w:szCs w:val="20"/>
        </w:rPr>
        <w:footnoteReference w:id="14"/>
      </w:r>
      <w:r w:rsidR="007804B2" w:rsidRPr="00BE7C7E">
        <w:rPr>
          <w:rFonts w:ascii="Verdana" w:hAnsi="Verdana" w:cs="Verdana"/>
          <w:color w:val="000000"/>
          <w:sz w:val="20"/>
          <w:szCs w:val="20"/>
        </w:rPr>
        <w:t>. Por lo tanto, como lo ha hecho anteriormente</w:t>
      </w:r>
      <w:r w:rsidR="007804B2">
        <w:rPr>
          <w:rStyle w:val="FootnoteReference"/>
          <w:rFonts w:ascii="Verdana" w:hAnsi="Verdana" w:cs="Verdana"/>
          <w:color w:val="000000"/>
          <w:sz w:val="20"/>
          <w:szCs w:val="20"/>
        </w:rPr>
        <w:footnoteReference w:id="15"/>
      </w:r>
      <w:r w:rsidR="007804B2" w:rsidRPr="00DD421D">
        <w:rPr>
          <w:rFonts w:ascii="Verdana" w:hAnsi="Verdana" w:cs="Verdana"/>
          <w:color w:val="000000"/>
          <w:sz w:val="20"/>
          <w:szCs w:val="20"/>
        </w:rPr>
        <w:t xml:space="preserve">, el </w:t>
      </w:r>
      <w:r w:rsidR="007804B2" w:rsidRPr="00DD421D">
        <w:rPr>
          <w:rFonts w:ascii="Verdana" w:hAnsi="Verdana" w:cs="Verdana"/>
          <w:color w:val="000000"/>
          <w:sz w:val="20"/>
          <w:szCs w:val="20"/>
        </w:rPr>
        <w:lastRenderedPageBreak/>
        <w:t>Presidente considera que en el presente momento procesal no corresponde tomar la decisión de excluir prueba utilizada por los representantes para contextualizar o calificar los hechos y las pretensiones expuestas. De tal manera, para el adecuado desarrollo del proceso, el Presidente ordenará recibir la prueba que en principio podría ser pertinente en atención a lo que las partes alegan y pretenden probar, sin que ello implique una decisión o un prejuzgamiento en cuanto al eventual fondo del caso. La prueba y alegatos que forman parte de la posición sostenida por los representantes en el presente proceso serán considerados y valorados por el Tribunal en su debida oportunidad</w:t>
      </w:r>
      <w:r w:rsidR="007804B2">
        <w:rPr>
          <w:rStyle w:val="FootnoteReference"/>
          <w:rFonts w:ascii="Verdana" w:hAnsi="Verdana" w:cs="Verdana"/>
          <w:color w:val="000000"/>
          <w:sz w:val="20"/>
          <w:szCs w:val="20"/>
        </w:rPr>
        <w:footnoteReference w:id="16"/>
      </w:r>
      <w:r w:rsidR="007804B2" w:rsidRPr="00DD421D">
        <w:rPr>
          <w:rFonts w:ascii="Verdana" w:hAnsi="Verdana" w:cs="Verdana"/>
          <w:color w:val="000000"/>
          <w:sz w:val="20"/>
          <w:szCs w:val="20"/>
        </w:rPr>
        <w:t xml:space="preserve">. </w:t>
      </w:r>
    </w:p>
    <w:p w:rsidR="007804B2" w:rsidRDefault="007804B2">
      <w:pPr>
        <w:tabs>
          <w:tab w:val="left" w:pos="567"/>
        </w:tabs>
        <w:autoSpaceDE w:val="0"/>
        <w:autoSpaceDN w:val="0"/>
        <w:adjustRightInd w:val="0"/>
        <w:spacing w:after="0" w:line="240" w:lineRule="auto"/>
        <w:jc w:val="both"/>
        <w:rPr>
          <w:rFonts w:ascii="Verdana" w:hAnsi="Verdana" w:cs="Verdana"/>
          <w:b/>
          <w:bCs/>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 xml:space="preserve">Con base en lo señalado anteriormente, </w:t>
      </w:r>
      <w:r>
        <w:rPr>
          <w:rFonts w:ascii="Verdana" w:hAnsi="Verdana" w:cs="Verdana"/>
          <w:sz w:val="20"/>
          <w:szCs w:val="20"/>
        </w:rPr>
        <w:t xml:space="preserve">el Presidente </w:t>
      </w:r>
      <w:r w:rsidRPr="00BE7C7E">
        <w:rPr>
          <w:rFonts w:ascii="Verdana" w:hAnsi="Verdana" w:cs="Verdana"/>
          <w:sz w:val="20"/>
          <w:szCs w:val="20"/>
        </w:rPr>
        <w:t xml:space="preserve">considera conveniente recabar las declaraciones de </w:t>
      </w:r>
      <w:r>
        <w:rPr>
          <w:rFonts w:ascii="Verdana" w:hAnsi="Verdana" w:cs="Verdana"/>
          <w:sz w:val="20"/>
          <w:szCs w:val="20"/>
        </w:rPr>
        <w:t xml:space="preserve">las </w:t>
      </w:r>
      <w:r w:rsidRPr="00BE7C7E">
        <w:rPr>
          <w:rFonts w:ascii="Verdana" w:hAnsi="Verdana" w:cs="Verdana"/>
          <w:sz w:val="20"/>
          <w:szCs w:val="20"/>
        </w:rPr>
        <w:t>presuntas víctimas ofrecidas por los representantes</w:t>
      </w:r>
      <w:r w:rsidRPr="00BE7C7E" w:rsidDel="00F07AB0">
        <w:rPr>
          <w:rFonts w:ascii="Verdana" w:hAnsi="Verdana" w:cs="Verdana"/>
          <w:sz w:val="20"/>
          <w:szCs w:val="20"/>
        </w:rPr>
        <w:t xml:space="preserve"> </w:t>
      </w:r>
      <w:r w:rsidRPr="00DD421D">
        <w:rPr>
          <w:rFonts w:ascii="Verdana" w:hAnsi="Verdana" w:cs="Verdana"/>
          <w:sz w:val="20"/>
          <w:szCs w:val="20"/>
        </w:rPr>
        <w:t xml:space="preserve">a efectos de que el Tribunal pueda apreciar su valor en la debida oportunidad procesal, dentro del contexto del acervo probatorio existente y según las reglas de la sana crítica. De igual forma, el objeto y la modalidad de </w:t>
      </w:r>
      <w:r>
        <w:rPr>
          <w:rFonts w:ascii="Verdana" w:hAnsi="Verdana" w:cs="Verdana"/>
          <w:sz w:val="20"/>
          <w:szCs w:val="20"/>
        </w:rPr>
        <w:t>dichas</w:t>
      </w:r>
      <w:r w:rsidRPr="00DD421D">
        <w:rPr>
          <w:rFonts w:ascii="Verdana" w:hAnsi="Verdana" w:cs="Verdana"/>
          <w:sz w:val="20"/>
          <w:szCs w:val="20"/>
        </w:rPr>
        <w:t xml:space="preserve"> declaraciones </w:t>
      </w:r>
      <w:r>
        <w:rPr>
          <w:rFonts w:ascii="Verdana" w:hAnsi="Verdana" w:cs="Verdana"/>
          <w:sz w:val="20"/>
          <w:szCs w:val="20"/>
        </w:rPr>
        <w:t xml:space="preserve">se </w:t>
      </w:r>
      <w:r w:rsidRPr="00DD421D">
        <w:rPr>
          <w:rFonts w:ascii="Verdana" w:hAnsi="Verdana" w:cs="Verdana"/>
          <w:sz w:val="20"/>
          <w:szCs w:val="20"/>
        </w:rPr>
        <w:t>determinarán en la parte resolutiva de la presente Resolución (</w:t>
      </w:r>
      <w:r w:rsidRPr="00DD421D">
        <w:rPr>
          <w:rFonts w:ascii="Verdana" w:hAnsi="Verdana" w:cs="Verdana"/>
          <w:i/>
          <w:iCs/>
          <w:sz w:val="20"/>
          <w:szCs w:val="20"/>
        </w:rPr>
        <w:t>infra puntos resolutivos</w:t>
      </w:r>
      <w:r w:rsidR="008B6F08">
        <w:rPr>
          <w:rFonts w:ascii="Verdana" w:hAnsi="Verdana" w:cs="Verdana"/>
          <w:i/>
          <w:iCs/>
          <w:sz w:val="20"/>
          <w:szCs w:val="20"/>
        </w:rPr>
        <w:t xml:space="preserve"> </w:t>
      </w:r>
      <w:r w:rsidR="008B6F08">
        <w:rPr>
          <w:rFonts w:ascii="Verdana" w:hAnsi="Verdana" w:cs="Verdana"/>
          <w:iCs/>
          <w:sz w:val="20"/>
          <w:szCs w:val="20"/>
        </w:rPr>
        <w:t>1 y 5</w:t>
      </w:r>
      <w:r w:rsidRPr="00DD421D">
        <w:rPr>
          <w:rFonts w:ascii="Verdana" w:hAnsi="Verdana" w:cs="Verdana"/>
          <w:sz w:val="20"/>
          <w:szCs w:val="20"/>
        </w:rPr>
        <w:t>).</w:t>
      </w:r>
    </w:p>
    <w:p w:rsidR="007804B2" w:rsidRDefault="007804B2">
      <w:pPr>
        <w:tabs>
          <w:tab w:val="left" w:pos="567"/>
        </w:tabs>
        <w:autoSpaceDE w:val="0"/>
        <w:autoSpaceDN w:val="0"/>
        <w:adjustRightInd w:val="0"/>
        <w:spacing w:after="0" w:line="240" w:lineRule="auto"/>
        <w:jc w:val="both"/>
        <w:rPr>
          <w:rFonts w:ascii="Verdana" w:hAnsi="Verdana" w:cs="Verdana"/>
          <w:b/>
          <w:bCs/>
          <w:sz w:val="20"/>
          <w:szCs w:val="20"/>
        </w:rPr>
      </w:pPr>
    </w:p>
    <w:p w:rsidR="007804B2" w:rsidRDefault="007804B2">
      <w:pPr>
        <w:tabs>
          <w:tab w:val="left" w:pos="567"/>
        </w:tabs>
        <w:autoSpaceDE w:val="0"/>
        <w:autoSpaceDN w:val="0"/>
        <w:adjustRightInd w:val="0"/>
        <w:spacing w:after="0" w:line="240" w:lineRule="auto"/>
        <w:jc w:val="both"/>
        <w:rPr>
          <w:rFonts w:ascii="Verdana" w:hAnsi="Verdana" w:cs="Verdana"/>
          <w:b/>
          <w:bCs/>
          <w:sz w:val="20"/>
          <w:szCs w:val="20"/>
        </w:rPr>
      </w:pPr>
      <w:r w:rsidRPr="00DD421D">
        <w:rPr>
          <w:rFonts w:ascii="Verdana" w:hAnsi="Verdana" w:cs="Verdana"/>
          <w:b/>
          <w:bCs/>
          <w:sz w:val="20"/>
          <w:szCs w:val="20"/>
        </w:rPr>
        <w:tab/>
        <w:t>B.</w:t>
      </w:r>
      <w:r>
        <w:rPr>
          <w:rFonts w:ascii="Verdana" w:hAnsi="Verdana" w:cs="Verdana"/>
          <w:b/>
          <w:bCs/>
          <w:sz w:val="20"/>
          <w:szCs w:val="20"/>
        </w:rPr>
        <w:t>3</w:t>
      </w:r>
      <w:r w:rsidRPr="00DD421D">
        <w:rPr>
          <w:rFonts w:ascii="Verdana" w:hAnsi="Verdana" w:cs="Verdana"/>
          <w:b/>
          <w:bCs/>
          <w:sz w:val="20"/>
          <w:szCs w:val="20"/>
        </w:rPr>
        <w:t xml:space="preserve"> Recusaciones</w:t>
      </w:r>
      <w:r w:rsidRPr="00BE7C7E">
        <w:rPr>
          <w:rFonts w:ascii="Verdana" w:hAnsi="Verdana" w:cs="Verdana"/>
          <w:b/>
          <w:bCs/>
          <w:sz w:val="20"/>
          <w:szCs w:val="20"/>
        </w:rPr>
        <w:t xml:space="preserve"> del Estado a los peritos</w:t>
      </w:r>
      <w:r>
        <w:rPr>
          <w:rFonts w:ascii="Verdana" w:hAnsi="Verdana" w:cs="Verdana"/>
          <w:b/>
          <w:bCs/>
          <w:sz w:val="20"/>
          <w:szCs w:val="20"/>
        </w:rPr>
        <w:t xml:space="preserve"> ofrecidos por los representantes</w:t>
      </w:r>
    </w:p>
    <w:p w:rsidR="007804B2" w:rsidRDefault="007804B2">
      <w:pPr>
        <w:tabs>
          <w:tab w:val="left" w:pos="567"/>
        </w:tabs>
        <w:autoSpaceDE w:val="0"/>
        <w:autoSpaceDN w:val="0"/>
        <w:adjustRightInd w:val="0"/>
        <w:spacing w:after="0" w:line="240" w:lineRule="auto"/>
        <w:jc w:val="both"/>
        <w:rPr>
          <w:rFonts w:ascii="Verdana" w:hAnsi="Verdana" w:cs="Verdana"/>
          <w:b/>
          <w:bCs/>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En sus observaciones a la lista definitiva de declaraciones y a la solicitud de sustitución por parte de los representantes, el Estado manifestó</w:t>
      </w:r>
      <w:r w:rsidRPr="00BE7C7E">
        <w:rPr>
          <w:rFonts w:ascii="Verdana" w:hAnsi="Verdana" w:cs="Verdana"/>
          <w:sz w:val="20"/>
          <w:szCs w:val="20"/>
        </w:rPr>
        <w:t xml:space="preserve">, respecto de los peritos </w:t>
      </w:r>
      <w:proofErr w:type="spellStart"/>
      <w:r w:rsidRPr="00BE7C7E">
        <w:rPr>
          <w:rFonts w:ascii="Verdana" w:hAnsi="Verdana" w:cs="Verdana"/>
          <w:sz w:val="20"/>
          <w:szCs w:val="20"/>
        </w:rPr>
        <w:t>Magaly</w:t>
      </w:r>
      <w:proofErr w:type="spellEnd"/>
      <w:r w:rsidRPr="00BE7C7E">
        <w:rPr>
          <w:rFonts w:ascii="Verdana" w:hAnsi="Verdana" w:cs="Verdana"/>
          <w:sz w:val="20"/>
          <w:szCs w:val="20"/>
        </w:rPr>
        <w:t xml:space="preserve"> Vásquez y </w:t>
      </w:r>
      <w:proofErr w:type="spellStart"/>
      <w:r w:rsidRPr="00BE7C7E">
        <w:rPr>
          <w:rFonts w:ascii="Verdana" w:hAnsi="Verdana" w:cs="Verdana"/>
          <w:sz w:val="20"/>
          <w:szCs w:val="20"/>
        </w:rPr>
        <w:t>Jose</w:t>
      </w:r>
      <w:proofErr w:type="spellEnd"/>
      <w:r w:rsidRPr="00BE7C7E">
        <w:rPr>
          <w:rFonts w:ascii="Verdana" w:hAnsi="Verdana" w:cs="Verdana"/>
          <w:sz w:val="20"/>
          <w:szCs w:val="20"/>
        </w:rPr>
        <w:t xml:space="preserve"> Pablo </w:t>
      </w:r>
      <w:proofErr w:type="spellStart"/>
      <w:r w:rsidRPr="00BE7C7E">
        <w:rPr>
          <w:rFonts w:ascii="Verdana" w:hAnsi="Verdana" w:cs="Verdana"/>
          <w:sz w:val="20"/>
          <w:szCs w:val="20"/>
        </w:rPr>
        <w:t>Baraybar</w:t>
      </w:r>
      <w:proofErr w:type="spellEnd"/>
      <w:r w:rsidRPr="00BE7C7E">
        <w:rPr>
          <w:rFonts w:ascii="Verdana" w:hAnsi="Verdana" w:cs="Verdana"/>
          <w:sz w:val="20"/>
          <w:szCs w:val="20"/>
        </w:rPr>
        <w:t xml:space="preserve">, </w:t>
      </w:r>
      <w:r w:rsidRPr="00DD421D">
        <w:rPr>
          <w:rFonts w:ascii="Verdana" w:hAnsi="Verdana" w:cs="Verdana"/>
          <w:sz w:val="20"/>
          <w:szCs w:val="20"/>
        </w:rPr>
        <w:t xml:space="preserve">que los representantes </w:t>
      </w:r>
      <w:r>
        <w:rPr>
          <w:rFonts w:ascii="Verdana" w:hAnsi="Verdana" w:cs="Verdana"/>
          <w:sz w:val="20"/>
          <w:szCs w:val="20"/>
        </w:rPr>
        <w:t>nuevamente “</w:t>
      </w:r>
      <w:r w:rsidRPr="00DD421D">
        <w:rPr>
          <w:rFonts w:ascii="Verdana" w:hAnsi="Verdana" w:cs="Verdana"/>
          <w:sz w:val="20"/>
          <w:szCs w:val="20"/>
        </w:rPr>
        <w:t>pretende</w:t>
      </w:r>
      <w:r>
        <w:rPr>
          <w:rFonts w:ascii="Verdana" w:hAnsi="Verdana" w:cs="Verdana"/>
          <w:sz w:val="20"/>
          <w:szCs w:val="20"/>
        </w:rPr>
        <w:t>[</w:t>
      </w:r>
      <w:r w:rsidRPr="00DD421D">
        <w:rPr>
          <w:rFonts w:ascii="Verdana" w:hAnsi="Verdana" w:cs="Verdana"/>
          <w:sz w:val="20"/>
          <w:szCs w:val="20"/>
        </w:rPr>
        <w:t>n</w:t>
      </w:r>
      <w:r>
        <w:rPr>
          <w:rFonts w:ascii="Verdana" w:hAnsi="Verdana" w:cs="Verdana"/>
          <w:sz w:val="20"/>
          <w:szCs w:val="20"/>
        </w:rPr>
        <w:t>]</w:t>
      </w:r>
      <w:r w:rsidRPr="00DD421D">
        <w:rPr>
          <w:rFonts w:ascii="Verdana" w:hAnsi="Verdana" w:cs="Verdana"/>
          <w:sz w:val="20"/>
          <w:szCs w:val="20"/>
        </w:rPr>
        <w:t xml:space="preserve"> traer a la Corte</w:t>
      </w:r>
      <w:r>
        <w:rPr>
          <w:rFonts w:ascii="Verdana" w:hAnsi="Verdana" w:cs="Verdana"/>
          <w:sz w:val="20"/>
          <w:szCs w:val="20"/>
        </w:rPr>
        <w:t xml:space="preserve"> […],</w:t>
      </w:r>
      <w:r w:rsidRPr="00DD421D">
        <w:rPr>
          <w:rFonts w:ascii="Verdana" w:hAnsi="Verdana" w:cs="Verdana"/>
          <w:sz w:val="20"/>
          <w:szCs w:val="20"/>
        </w:rPr>
        <w:t xml:space="preserve"> peritos que de forma reiterada han </w:t>
      </w:r>
      <w:r>
        <w:rPr>
          <w:rFonts w:ascii="Verdana" w:hAnsi="Verdana" w:cs="Verdana"/>
          <w:sz w:val="20"/>
          <w:szCs w:val="20"/>
        </w:rPr>
        <w:t xml:space="preserve">actuado en esta instancia, brindando sus testimonios a la Corte contra </w:t>
      </w:r>
      <w:r w:rsidRPr="00DD421D">
        <w:rPr>
          <w:rFonts w:ascii="Verdana" w:hAnsi="Verdana" w:cs="Verdana"/>
          <w:sz w:val="20"/>
          <w:szCs w:val="20"/>
        </w:rPr>
        <w:t xml:space="preserve">el Estado venezolano, </w:t>
      </w:r>
      <w:r>
        <w:rPr>
          <w:rFonts w:ascii="Verdana" w:hAnsi="Verdana" w:cs="Verdana"/>
          <w:sz w:val="20"/>
          <w:szCs w:val="20"/>
        </w:rPr>
        <w:t xml:space="preserve">cuya opinión reiterada contra el Estado […] </w:t>
      </w:r>
      <w:r w:rsidRPr="00DD421D">
        <w:rPr>
          <w:rFonts w:ascii="Verdana" w:hAnsi="Verdana" w:cs="Verdana"/>
          <w:sz w:val="20"/>
          <w:szCs w:val="20"/>
        </w:rPr>
        <w:t>afecta su imparcialidad</w:t>
      </w:r>
      <w:r>
        <w:rPr>
          <w:rFonts w:ascii="Verdana" w:hAnsi="Verdana" w:cs="Verdana"/>
          <w:sz w:val="20"/>
          <w:szCs w:val="20"/>
        </w:rPr>
        <w:t>”</w:t>
      </w:r>
      <w:r w:rsidRPr="00DD421D">
        <w:rPr>
          <w:rFonts w:ascii="Verdana" w:hAnsi="Verdana" w:cs="Verdana"/>
          <w:sz w:val="20"/>
          <w:szCs w:val="20"/>
        </w:rPr>
        <w:t xml:space="preserve">. De forma específica, el Estado indicó que Magaly </w:t>
      </w:r>
      <w:r w:rsidRPr="00BE7C7E">
        <w:rPr>
          <w:rFonts w:ascii="Verdana" w:hAnsi="Verdana" w:cs="Verdana"/>
          <w:sz w:val="20"/>
          <w:szCs w:val="20"/>
        </w:rPr>
        <w:t>Vásquez</w:t>
      </w:r>
      <w:r w:rsidRPr="00DD421D">
        <w:rPr>
          <w:rFonts w:ascii="Verdana" w:hAnsi="Verdana" w:cs="Verdana"/>
          <w:sz w:val="20"/>
          <w:szCs w:val="20"/>
        </w:rPr>
        <w:t xml:space="preserve"> brindó “exactamente el mismo testimonio ante esta Corte, con ocasión al Caso Familia Barrios, pretendiendo los representantes de las presuntas víctimas dar la misma calificación a los hechos del Caso [Familia] Barrios al de los Hermanos Landaeta Mejías. Igual es la situación del perito </w:t>
      </w:r>
      <w:proofErr w:type="spellStart"/>
      <w:r w:rsidRPr="00DD421D">
        <w:rPr>
          <w:rFonts w:ascii="Verdana" w:hAnsi="Verdana" w:cs="Verdana"/>
          <w:sz w:val="20"/>
          <w:szCs w:val="20"/>
        </w:rPr>
        <w:t>Baraybar</w:t>
      </w:r>
      <w:proofErr w:type="spellEnd"/>
      <w:r w:rsidRPr="00DD421D">
        <w:rPr>
          <w:rFonts w:ascii="Verdana" w:hAnsi="Verdana" w:cs="Verdana"/>
          <w:sz w:val="20"/>
          <w:szCs w:val="20"/>
        </w:rPr>
        <w:t>, el cual nuevamente expondrá a la Corte su declaración como la hizo en el Caso Famil</w:t>
      </w:r>
      <w:r>
        <w:rPr>
          <w:rFonts w:ascii="Verdana" w:hAnsi="Verdana" w:cs="Verdana"/>
          <w:sz w:val="20"/>
          <w:szCs w:val="20"/>
        </w:rPr>
        <w:t>i</w:t>
      </w:r>
      <w:r w:rsidRPr="00DD421D">
        <w:rPr>
          <w:rFonts w:ascii="Verdana" w:hAnsi="Verdana" w:cs="Verdana"/>
          <w:sz w:val="20"/>
          <w:szCs w:val="20"/>
        </w:rPr>
        <w:t>a Barrio[s]</w:t>
      </w:r>
      <w:r>
        <w:rPr>
          <w:rFonts w:ascii="Verdana" w:hAnsi="Verdana" w:cs="Verdana"/>
          <w:sz w:val="20"/>
          <w:szCs w:val="20"/>
        </w:rPr>
        <w:t>,</w:t>
      </w:r>
      <w:r w:rsidRPr="00DD421D">
        <w:rPr>
          <w:rFonts w:ascii="Verdana" w:hAnsi="Verdana" w:cs="Verdana"/>
          <w:sz w:val="20"/>
          <w:szCs w:val="20"/>
        </w:rPr>
        <w:t xml:space="preserve"> siendo los hechos distintos en forma y alcance. El Estado venezolano deja claro que se trata de peritos que buscan ejercer su oficio continuamente contra el Estado venezolano, deslegitimando su función en la búsqueda de la verdad procesal”.</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Asimismo, el Estado solicitó la recusación de la perita Claudia Carrillo</w:t>
      </w:r>
      <w:r>
        <w:rPr>
          <w:rFonts w:ascii="Verdana" w:hAnsi="Verdana" w:cs="Verdana"/>
          <w:sz w:val="20"/>
          <w:szCs w:val="20"/>
        </w:rPr>
        <w:t>, alegando la causal recogida en el artículo 48.1.c del Reglamento de la Corte,</w:t>
      </w:r>
      <w:r w:rsidRPr="00BE7C7E">
        <w:rPr>
          <w:rFonts w:ascii="Verdana" w:hAnsi="Verdana" w:cs="Verdana"/>
          <w:sz w:val="20"/>
          <w:szCs w:val="20"/>
        </w:rPr>
        <w:t xml:space="preserve"> en virtud de que “para poder brindar el peritaje sobre los daños ocasionados a los miembros de la familia Landaeta, [la perita] tuvo que haber tenido contacto previo con dichos ciudadanos, por lo que no se trata de una evaluación ordenada por la Corte y donde no consta la imparcialidad de un equipo médico para verificar los daños psicológicos que padecieron las presuntas víctimas. Esta </w:t>
      </w:r>
      <w:proofErr w:type="spellStart"/>
      <w:r w:rsidRPr="00BE7C7E">
        <w:rPr>
          <w:rFonts w:ascii="Verdana" w:hAnsi="Verdana" w:cs="Verdana"/>
          <w:sz w:val="20"/>
          <w:szCs w:val="20"/>
        </w:rPr>
        <w:t>perit</w:t>
      </w:r>
      <w:proofErr w:type="spellEnd"/>
      <w:r w:rsidRPr="00BE7C7E">
        <w:rPr>
          <w:rFonts w:ascii="Verdana" w:hAnsi="Verdana" w:cs="Verdana"/>
          <w:sz w:val="20"/>
          <w:szCs w:val="20"/>
        </w:rPr>
        <w:t xml:space="preserve">[a] no guarda la apariencia de </w:t>
      </w:r>
      <w:r w:rsidRPr="00DD421D">
        <w:rPr>
          <w:rFonts w:ascii="Verdana" w:hAnsi="Verdana" w:cs="Verdana"/>
          <w:sz w:val="20"/>
          <w:szCs w:val="20"/>
        </w:rPr>
        <w:t>tal y se pretende utilizar su declaración pericial en lugar de una testimonial”.</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r w:rsidRPr="00DD421D">
        <w:rPr>
          <w:rFonts w:ascii="Verdana" w:hAnsi="Verdana" w:cs="Verdana"/>
          <w:sz w:val="20"/>
          <w:szCs w:val="20"/>
        </w:rPr>
        <w:t xml:space="preserve"> </w:t>
      </w:r>
    </w:p>
    <w:p w:rsidR="007804B2" w:rsidRPr="0095155F" w:rsidRDefault="007804B2" w:rsidP="005D7614">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DD421D">
        <w:rPr>
          <w:rFonts w:ascii="Verdana" w:hAnsi="Verdana" w:cs="Verdana"/>
          <w:sz w:val="20"/>
          <w:szCs w:val="20"/>
        </w:rPr>
        <w:lastRenderedPageBreak/>
        <w:t>De con</w:t>
      </w:r>
      <w:r w:rsidRPr="00777B02">
        <w:rPr>
          <w:rFonts w:ascii="Verdana" w:hAnsi="Verdana" w:cs="Verdana"/>
          <w:sz w:val="20"/>
          <w:szCs w:val="20"/>
        </w:rPr>
        <w:t>formidad con el artículo 48.3 del Reglamento de la Corte, se trasladó a los peritos en cuestión las recusaciones que realizó el Estado en su contra (</w:t>
      </w:r>
      <w:r w:rsidRPr="00777B02">
        <w:rPr>
          <w:rFonts w:ascii="Verdana" w:hAnsi="Verdana" w:cs="Verdana"/>
          <w:i/>
          <w:iCs/>
          <w:sz w:val="20"/>
          <w:szCs w:val="20"/>
        </w:rPr>
        <w:t>supra</w:t>
      </w:r>
      <w:r w:rsidRPr="00777B02">
        <w:rPr>
          <w:rFonts w:ascii="Verdana" w:hAnsi="Verdana" w:cs="Verdana"/>
          <w:sz w:val="20"/>
          <w:szCs w:val="20"/>
        </w:rPr>
        <w:t xml:space="preserve"> Visto </w:t>
      </w:r>
      <w:r w:rsidR="008B6F08">
        <w:rPr>
          <w:rFonts w:ascii="Verdana" w:hAnsi="Verdana" w:cs="Verdana"/>
          <w:sz w:val="20"/>
          <w:szCs w:val="20"/>
        </w:rPr>
        <w:t>11</w:t>
      </w:r>
      <w:r w:rsidRPr="00777B02">
        <w:rPr>
          <w:rFonts w:ascii="Verdana" w:hAnsi="Verdana" w:cs="Verdana"/>
          <w:sz w:val="20"/>
          <w:szCs w:val="20"/>
        </w:rPr>
        <w:t xml:space="preserve">). En sus observaciones el perito </w:t>
      </w:r>
      <w:proofErr w:type="spellStart"/>
      <w:r w:rsidRPr="00777B02">
        <w:rPr>
          <w:rFonts w:ascii="Verdana" w:hAnsi="Verdana" w:cs="Verdana"/>
          <w:sz w:val="20"/>
          <w:szCs w:val="20"/>
        </w:rPr>
        <w:t>Baraybar</w:t>
      </w:r>
      <w:proofErr w:type="spellEnd"/>
      <w:r w:rsidRPr="00777B02">
        <w:rPr>
          <w:rFonts w:ascii="Verdana" w:hAnsi="Verdana" w:cs="Verdana"/>
          <w:sz w:val="20"/>
          <w:szCs w:val="20"/>
        </w:rPr>
        <w:t xml:space="preserve"> señaló que “d</w:t>
      </w:r>
      <w:proofErr w:type="spellStart"/>
      <w:r w:rsidRPr="00777B02">
        <w:rPr>
          <w:rFonts w:ascii="Verdana" w:hAnsi="Verdana" w:cs="Verdana"/>
          <w:sz w:val="20"/>
          <w:szCs w:val="20"/>
          <w:lang w:val="es-AR"/>
        </w:rPr>
        <w:t>ebido</w:t>
      </w:r>
      <w:proofErr w:type="spellEnd"/>
      <w:r w:rsidRPr="00777B02">
        <w:rPr>
          <w:rFonts w:ascii="Verdana" w:hAnsi="Verdana" w:cs="Verdana"/>
          <w:sz w:val="20"/>
          <w:szCs w:val="20"/>
          <w:lang w:val="es-AR"/>
        </w:rPr>
        <w:t xml:space="preserve"> a [su] extensa formación académica y experiencia profesional como antropólogo forense, [l]e ha tocado ofrecer [su] análisis frente a numerosos organismos internacionales, tales como el Tribunal Penal Internacional para la ex Yugoslavia y la Corte Interamericana, entre otros”. Agregó que [su] participación en estos casos anteriores nunca restringió [su] habilidad de rendir un peritaje con imparcialidad”. Añadió que “</w:t>
      </w:r>
      <w:proofErr w:type="spellStart"/>
      <w:proofErr w:type="gramStart"/>
      <w:r w:rsidRPr="00777B02">
        <w:rPr>
          <w:rFonts w:ascii="Verdana" w:hAnsi="Verdana" w:cs="Verdana"/>
          <w:sz w:val="20"/>
          <w:szCs w:val="20"/>
          <w:lang w:val="es-AR"/>
        </w:rPr>
        <w:t>coincid</w:t>
      </w:r>
      <w:proofErr w:type="spellEnd"/>
      <w:r w:rsidRPr="00777B02">
        <w:rPr>
          <w:rFonts w:ascii="Verdana" w:hAnsi="Verdana" w:cs="Verdana"/>
          <w:sz w:val="20"/>
          <w:szCs w:val="20"/>
          <w:lang w:val="es-AR"/>
        </w:rPr>
        <w:t>[</w:t>
      </w:r>
      <w:proofErr w:type="spellStart"/>
      <w:proofErr w:type="gramEnd"/>
      <w:r w:rsidRPr="00777B02">
        <w:rPr>
          <w:rFonts w:ascii="Verdana" w:hAnsi="Verdana" w:cs="Verdana"/>
          <w:sz w:val="20"/>
          <w:szCs w:val="20"/>
          <w:lang w:val="es-AR"/>
        </w:rPr>
        <w:t>ía</w:t>
      </w:r>
      <w:proofErr w:type="spellEnd"/>
      <w:r w:rsidRPr="00777B02">
        <w:rPr>
          <w:rFonts w:ascii="Verdana" w:hAnsi="Verdana" w:cs="Verdana"/>
          <w:sz w:val="20"/>
          <w:szCs w:val="20"/>
          <w:lang w:val="es-AR"/>
        </w:rPr>
        <w:t xml:space="preserve">] con el Estado en que los hechos de este caso serían distintos en forma y alcance que el Caso Familia Barrios” y que “[su] análisis podría aportar importantes elementos al proceso”. También aclaró que “no </w:t>
      </w:r>
      <w:proofErr w:type="spellStart"/>
      <w:r w:rsidRPr="00777B02">
        <w:rPr>
          <w:rFonts w:ascii="Verdana" w:hAnsi="Verdana" w:cs="Verdana"/>
          <w:sz w:val="20"/>
          <w:szCs w:val="20"/>
          <w:lang w:val="es-AR"/>
        </w:rPr>
        <w:t>recib</w:t>
      </w:r>
      <w:proofErr w:type="spellEnd"/>
      <w:r w:rsidRPr="00777B02">
        <w:rPr>
          <w:rFonts w:ascii="Verdana" w:hAnsi="Verdana" w:cs="Verdana"/>
          <w:sz w:val="20"/>
          <w:szCs w:val="20"/>
          <w:lang w:val="es-AR"/>
        </w:rPr>
        <w:t>[e] remuneración alguna de las partes en el litigio”.</w:t>
      </w:r>
    </w:p>
    <w:p w:rsidR="007804B2" w:rsidRPr="0095155F" w:rsidRDefault="007804B2" w:rsidP="0095155F">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995474" w:rsidRPr="00995474" w:rsidRDefault="007804B2" w:rsidP="00995474">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995474">
        <w:rPr>
          <w:rFonts w:ascii="Verdana" w:hAnsi="Verdana" w:cs="Verdana"/>
          <w:sz w:val="20"/>
          <w:szCs w:val="20"/>
        </w:rPr>
        <w:t>La perita Magaly</w:t>
      </w:r>
      <w:r w:rsidR="00995474" w:rsidRPr="00995474">
        <w:rPr>
          <w:rFonts w:ascii="Verdana" w:hAnsi="Verdana" w:cs="Verdana"/>
          <w:sz w:val="20"/>
          <w:szCs w:val="20"/>
        </w:rPr>
        <w:t xml:space="preserve"> Vásquez señaló que “</w:t>
      </w:r>
      <w:r w:rsidR="00995474" w:rsidRPr="00995474">
        <w:rPr>
          <w:rFonts w:ascii="Verdana" w:hAnsi="Verdana"/>
          <w:color w:val="000000"/>
          <w:sz w:val="20"/>
          <w:szCs w:val="20"/>
        </w:rPr>
        <w:t xml:space="preserve">la previa intervención en un juicio ante esa instancia en modo alguno inhabilita a un perito para ser promovido a posteriori, circunstancia que de entrada hace improcedente la recusación propuesta”. Agregó que el argumento del Estado “llevaría a concluir que una persona sólo podría actuar como perito en una causa en su vida, pues el intervenir como perito en una causa de cualquier naturaleza, inhabilitaría a quien ha sido promovido en esa condición para participar en un proceso siguiente, lo cual carece de todo sustento”. Asimismo, indicó que “el ser promovida en una segunda oportunidad para intervenir en una audiencia ante esa instancia no puede calificarse como un ejercicio </w:t>
      </w:r>
      <w:r w:rsidR="008B6F08">
        <w:rPr>
          <w:rFonts w:ascii="Verdana" w:hAnsi="Verdana"/>
          <w:color w:val="000000"/>
          <w:sz w:val="20"/>
          <w:szCs w:val="20"/>
        </w:rPr>
        <w:t>‘continuo’</w:t>
      </w:r>
      <w:r w:rsidR="00995474" w:rsidRPr="00995474">
        <w:rPr>
          <w:rFonts w:ascii="Verdana" w:hAnsi="Verdana"/>
          <w:color w:val="000000"/>
          <w:sz w:val="20"/>
          <w:szCs w:val="20"/>
        </w:rPr>
        <w:t xml:space="preserve"> de un oficio contra el Estado venezolano</w:t>
      </w:r>
      <w:r w:rsidR="00995474">
        <w:rPr>
          <w:rFonts w:ascii="Verdana" w:hAnsi="Verdana"/>
          <w:color w:val="000000"/>
          <w:sz w:val="20"/>
          <w:szCs w:val="20"/>
        </w:rPr>
        <w:t>”, dado que la intervención del experto versa “</w:t>
      </w:r>
      <w:r w:rsidR="00995474" w:rsidRPr="00995474">
        <w:rPr>
          <w:rFonts w:ascii="Verdana" w:hAnsi="Verdana"/>
          <w:color w:val="000000"/>
          <w:sz w:val="20"/>
          <w:szCs w:val="20"/>
        </w:rPr>
        <w:t>sobre aspectos técnicos</w:t>
      </w:r>
      <w:r w:rsidR="00995474">
        <w:rPr>
          <w:rFonts w:ascii="Verdana" w:hAnsi="Verdana"/>
          <w:color w:val="000000"/>
          <w:sz w:val="20"/>
          <w:szCs w:val="20"/>
        </w:rPr>
        <w:t>” y “</w:t>
      </w:r>
      <w:r w:rsidR="00995474" w:rsidRPr="00995474">
        <w:rPr>
          <w:rFonts w:ascii="Verdana" w:hAnsi="Verdana"/>
          <w:color w:val="000000"/>
          <w:sz w:val="20"/>
          <w:szCs w:val="20"/>
        </w:rPr>
        <w:t>objetivos, referidos al sistema procesal penal venezolano y a las obligaciones que tanto el ordenamiento vigente para la época en que se verificaron los hechos como el que le sustituyó, imponen al propio Estado</w:t>
      </w:r>
      <w:r w:rsidR="00995474">
        <w:rPr>
          <w:rFonts w:ascii="Verdana" w:hAnsi="Verdana"/>
          <w:color w:val="000000"/>
          <w:sz w:val="20"/>
          <w:szCs w:val="20"/>
        </w:rPr>
        <w:t>”</w:t>
      </w:r>
      <w:r w:rsidR="00995474" w:rsidRPr="00995474">
        <w:rPr>
          <w:rFonts w:ascii="Verdana" w:hAnsi="Verdana"/>
          <w:color w:val="000000"/>
          <w:sz w:val="20"/>
          <w:szCs w:val="20"/>
        </w:rPr>
        <w:t>.</w:t>
      </w:r>
    </w:p>
    <w:p w:rsidR="007804B2" w:rsidRPr="00777B02" w:rsidRDefault="007804B2" w:rsidP="00777B0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 xml:space="preserve">Por su parte, </w:t>
      </w:r>
      <w:r w:rsidRPr="00984B41">
        <w:rPr>
          <w:rFonts w:ascii="Verdana" w:hAnsi="Verdana" w:cs="Verdana"/>
          <w:sz w:val="20"/>
          <w:szCs w:val="20"/>
        </w:rPr>
        <w:t>la perita Claudia Carrillo manifestó que “no pose[e] ninguna relación personal, ni laboral con los miembros de la familia Landaeta Mejías, ni ningún tipo de relación funcional de subordinación con la parte que l[a] propone”. Agregó que “</w:t>
      </w:r>
      <w:proofErr w:type="spellStart"/>
      <w:r w:rsidRPr="00984B41">
        <w:rPr>
          <w:rFonts w:ascii="Verdana" w:hAnsi="Verdana" w:cs="Verdana"/>
          <w:sz w:val="20"/>
          <w:szCs w:val="20"/>
        </w:rPr>
        <w:t>tuv</w:t>
      </w:r>
      <w:proofErr w:type="spellEnd"/>
      <w:r w:rsidRPr="00984B41">
        <w:rPr>
          <w:rFonts w:ascii="Verdana" w:hAnsi="Verdana" w:cs="Verdana"/>
          <w:sz w:val="20"/>
          <w:szCs w:val="20"/>
        </w:rPr>
        <w:t xml:space="preserve">[o] su primer contacto con </w:t>
      </w:r>
      <w:proofErr w:type="spellStart"/>
      <w:r w:rsidRPr="00984B41">
        <w:rPr>
          <w:rFonts w:ascii="Verdana" w:hAnsi="Verdana" w:cs="Verdana"/>
          <w:sz w:val="20"/>
          <w:szCs w:val="20"/>
        </w:rPr>
        <w:t>el</w:t>
      </w:r>
      <w:proofErr w:type="spellEnd"/>
      <w:r w:rsidRPr="00984B41">
        <w:rPr>
          <w:rFonts w:ascii="Verdana" w:hAnsi="Verdana" w:cs="Verdana"/>
          <w:sz w:val="20"/>
          <w:szCs w:val="20"/>
        </w:rPr>
        <w:t xml:space="preserve"> [señor] Ignacio </w:t>
      </w:r>
      <w:proofErr w:type="spellStart"/>
      <w:r w:rsidRPr="00984B41">
        <w:rPr>
          <w:rFonts w:ascii="Verdana" w:hAnsi="Verdana" w:cs="Verdana"/>
          <w:sz w:val="20"/>
          <w:szCs w:val="20"/>
        </w:rPr>
        <w:t>Landaeta</w:t>
      </w:r>
      <w:proofErr w:type="spellEnd"/>
      <w:r w:rsidRPr="00984B41">
        <w:rPr>
          <w:rFonts w:ascii="Verdana" w:hAnsi="Verdana" w:cs="Verdana"/>
          <w:sz w:val="20"/>
          <w:szCs w:val="20"/>
        </w:rPr>
        <w:t xml:space="preserve"> en el año 2004 y posteriormente en diciembre de 2012 en el marco de actividades formativas en Derechos Humanos en las que ambos </w:t>
      </w:r>
      <w:proofErr w:type="spellStart"/>
      <w:proofErr w:type="gramStart"/>
      <w:r w:rsidRPr="00984B41">
        <w:rPr>
          <w:rFonts w:ascii="Verdana" w:hAnsi="Verdana" w:cs="Verdana"/>
          <w:sz w:val="20"/>
          <w:szCs w:val="20"/>
        </w:rPr>
        <w:t>asisti</w:t>
      </w:r>
      <w:proofErr w:type="spellEnd"/>
      <w:r w:rsidRPr="00984B41">
        <w:rPr>
          <w:rFonts w:ascii="Verdana" w:hAnsi="Verdana" w:cs="Verdana"/>
          <w:sz w:val="20"/>
          <w:szCs w:val="20"/>
        </w:rPr>
        <w:t>[</w:t>
      </w:r>
      <w:proofErr w:type="spellStart"/>
      <w:proofErr w:type="gramEnd"/>
      <w:r w:rsidRPr="00984B41">
        <w:rPr>
          <w:rFonts w:ascii="Verdana" w:hAnsi="Verdana" w:cs="Verdana"/>
          <w:sz w:val="20"/>
          <w:szCs w:val="20"/>
        </w:rPr>
        <w:t>eron</w:t>
      </w:r>
      <w:proofErr w:type="spellEnd"/>
      <w:r w:rsidRPr="00984B41">
        <w:rPr>
          <w:rFonts w:ascii="Verdana" w:hAnsi="Verdana" w:cs="Verdana"/>
          <w:sz w:val="20"/>
          <w:szCs w:val="20"/>
        </w:rPr>
        <w:t xml:space="preserve">] como participantes”, y que “en ninguno de estos encuentros </w:t>
      </w:r>
      <w:proofErr w:type="spellStart"/>
      <w:r w:rsidRPr="00984B41">
        <w:rPr>
          <w:rFonts w:ascii="Verdana" w:hAnsi="Verdana" w:cs="Verdana"/>
          <w:sz w:val="20"/>
          <w:szCs w:val="20"/>
        </w:rPr>
        <w:t>actu</w:t>
      </w:r>
      <w:proofErr w:type="spellEnd"/>
      <w:r w:rsidRPr="00984B41">
        <w:rPr>
          <w:rFonts w:ascii="Verdana" w:hAnsi="Verdana" w:cs="Verdana"/>
          <w:sz w:val="20"/>
          <w:szCs w:val="20"/>
        </w:rPr>
        <w:t>[ó] como Psicóloga”. Añadió que</w:t>
      </w:r>
      <w:r>
        <w:rPr>
          <w:rFonts w:ascii="Verdana" w:hAnsi="Verdana" w:cs="Verdana"/>
          <w:sz w:val="20"/>
          <w:szCs w:val="20"/>
        </w:rPr>
        <w:t xml:space="preserve"> “para el requerido peritaje es fundamental establecer contacto directo y personal con las víctimas del caso para realizar la evaluación y entrevista, que permitirá recabar la información y datos asociados a los daños ocasionados y de esa manera brindar [sus] recomendaciones puntuales sobre las posibles medidas de asistencia que permitan la recuperación de los miembros de la familia Landaeta Mejías”.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El Presidente</w:t>
      </w:r>
      <w:r w:rsidRPr="00DD421D">
        <w:rPr>
          <w:rFonts w:ascii="Verdana" w:hAnsi="Verdana" w:cs="Verdana"/>
          <w:sz w:val="20"/>
          <w:szCs w:val="20"/>
        </w:rPr>
        <w:t xml:space="preserve"> constata que </w:t>
      </w:r>
      <w:r w:rsidRPr="00BE7C7E">
        <w:rPr>
          <w:rFonts w:ascii="Verdana" w:hAnsi="Verdana" w:cs="Verdana"/>
          <w:sz w:val="20"/>
          <w:szCs w:val="20"/>
        </w:rPr>
        <w:t>en el</w:t>
      </w:r>
      <w:r w:rsidRPr="00DD421D">
        <w:rPr>
          <w:rFonts w:ascii="Verdana" w:hAnsi="Verdana" w:cs="Verdana"/>
          <w:sz w:val="20"/>
          <w:szCs w:val="20"/>
        </w:rPr>
        <w:t xml:space="preserve"> Caso Familia Barrios Vs. Venezuela</w:t>
      </w:r>
      <w:r w:rsidRPr="00BE7C7E">
        <w:rPr>
          <w:rStyle w:val="FootnoteReference"/>
          <w:rFonts w:ascii="Verdana" w:hAnsi="Verdana" w:cs="Verdana"/>
          <w:sz w:val="20"/>
          <w:szCs w:val="20"/>
        </w:rPr>
        <w:footnoteReference w:id="17"/>
      </w:r>
      <w:r w:rsidRPr="00DD421D">
        <w:rPr>
          <w:rFonts w:ascii="Verdana" w:hAnsi="Verdana" w:cs="Verdana"/>
          <w:sz w:val="20"/>
          <w:szCs w:val="20"/>
        </w:rPr>
        <w:t xml:space="preserve">, la Corte recibió </w:t>
      </w:r>
      <w:r w:rsidRPr="00BE7C7E">
        <w:rPr>
          <w:rFonts w:ascii="Verdana" w:hAnsi="Verdana" w:cs="Verdana"/>
          <w:sz w:val="20"/>
          <w:szCs w:val="20"/>
        </w:rPr>
        <w:t>los</w:t>
      </w:r>
      <w:r w:rsidRPr="00DD421D">
        <w:rPr>
          <w:rFonts w:ascii="Verdana" w:hAnsi="Verdana" w:cs="Verdana"/>
          <w:sz w:val="20"/>
          <w:szCs w:val="20"/>
        </w:rPr>
        <w:t xml:space="preserve"> peritaje</w:t>
      </w:r>
      <w:r w:rsidRPr="00BE7C7E">
        <w:rPr>
          <w:rFonts w:ascii="Verdana" w:hAnsi="Verdana" w:cs="Verdana"/>
          <w:sz w:val="20"/>
          <w:szCs w:val="20"/>
        </w:rPr>
        <w:t>s</w:t>
      </w:r>
      <w:r w:rsidRPr="00DD421D">
        <w:rPr>
          <w:rFonts w:ascii="Verdana" w:hAnsi="Verdana" w:cs="Verdana"/>
          <w:sz w:val="20"/>
          <w:szCs w:val="20"/>
        </w:rPr>
        <w:t xml:space="preserve"> </w:t>
      </w:r>
      <w:r>
        <w:rPr>
          <w:rFonts w:ascii="Verdana" w:hAnsi="Verdana" w:cs="Verdana"/>
          <w:sz w:val="20"/>
          <w:szCs w:val="20"/>
        </w:rPr>
        <w:t xml:space="preserve">de </w:t>
      </w:r>
      <w:r w:rsidRPr="00DD421D">
        <w:rPr>
          <w:rFonts w:ascii="Verdana" w:hAnsi="Verdana" w:cs="Verdana"/>
          <w:sz w:val="20"/>
          <w:szCs w:val="20"/>
        </w:rPr>
        <w:t>Magaly Vásquez</w:t>
      </w:r>
      <w:r w:rsidRPr="00BE7C7E">
        <w:rPr>
          <w:rFonts w:ascii="Verdana" w:hAnsi="Verdana" w:cs="Verdana"/>
          <w:sz w:val="20"/>
          <w:szCs w:val="20"/>
        </w:rPr>
        <w:t xml:space="preserve"> y Jos</w:t>
      </w:r>
      <w:r>
        <w:rPr>
          <w:rFonts w:ascii="Verdana" w:hAnsi="Verdana" w:cs="Verdana"/>
          <w:sz w:val="20"/>
          <w:szCs w:val="20"/>
        </w:rPr>
        <w:t>é</w:t>
      </w:r>
      <w:r w:rsidRPr="00BE7C7E">
        <w:rPr>
          <w:rFonts w:ascii="Verdana" w:hAnsi="Verdana" w:cs="Verdana"/>
          <w:sz w:val="20"/>
          <w:szCs w:val="20"/>
        </w:rPr>
        <w:t xml:space="preserve"> Pablo </w:t>
      </w:r>
      <w:proofErr w:type="spellStart"/>
      <w:r w:rsidRPr="00BE7C7E">
        <w:rPr>
          <w:rFonts w:ascii="Verdana" w:hAnsi="Verdana" w:cs="Verdana"/>
          <w:sz w:val="20"/>
          <w:szCs w:val="20"/>
        </w:rPr>
        <w:t>Baraybar</w:t>
      </w:r>
      <w:proofErr w:type="spellEnd"/>
      <w:r w:rsidRPr="00BE7C7E">
        <w:rPr>
          <w:rFonts w:ascii="Verdana" w:hAnsi="Verdana" w:cs="Verdana"/>
          <w:sz w:val="20"/>
          <w:szCs w:val="20"/>
        </w:rPr>
        <w:t xml:space="preserve">. No obstante, </w:t>
      </w:r>
      <w:r>
        <w:rPr>
          <w:rFonts w:ascii="Verdana" w:hAnsi="Verdana" w:cs="Verdana"/>
          <w:sz w:val="20"/>
          <w:szCs w:val="20"/>
        </w:rPr>
        <w:t xml:space="preserve">como se ha </w:t>
      </w:r>
      <w:r w:rsidRPr="00BE7C7E">
        <w:rPr>
          <w:rFonts w:ascii="Verdana" w:hAnsi="Verdana" w:cs="Verdana"/>
          <w:sz w:val="20"/>
          <w:szCs w:val="20"/>
        </w:rPr>
        <w:t>señalado en casos anteriores</w:t>
      </w:r>
      <w:r w:rsidRPr="00BE7C7E">
        <w:rPr>
          <w:rStyle w:val="FootnoteReference"/>
          <w:rFonts w:ascii="Verdana" w:hAnsi="Verdana" w:cs="Verdana"/>
          <w:sz w:val="20"/>
          <w:szCs w:val="20"/>
        </w:rPr>
        <w:footnoteReference w:id="18"/>
      </w:r>
      <w:r w:rsidRPr="00DD421D">
        <w:rPr>
          <w:rFonts w:ascii="Verdana" w:hAnsi="Verdana" w:cs="Verdana"/>
          <w:sz w:val="20"/>
          <w:szCs w:val="20"/>
        </w:rPr>
        <w:t xml:space="preserve">, </w:t>
      </w:r>
      <w:r>
        <w:rPr>
          <w:rFonts w:ascii="Verdana" w:hAnsi="Verdana" w:cs="Verdana"/>
          <w:sz w:val="20"/>
          <w:szCs w:val="20"/>
        </w:rPr>
        <w:t>el</w:t>
      </w:r>
      <w:r w:rsidRPr="00BE7C7E">
        <w:rPr>
          <w:rFonts w:ascii="Verdana" w:hAnsi="Verdana" w:cs="Verdana"/>
          <w:sz w:val="20"/>
          <w:szCs w:val="20"/>
        </w:rPr>
        <w:t xml:space="preserve"> Presiden</w:t>
      </w:r>
      <w:r>
        <w:rPr>
          <w:rFonts w:ascii="Verdana" w:hAnsi="Verdana" w:cs="Verdana"/>
          <w:sz w:val="20"/>
          <w:szCs w:val="20"/>
        </w:rPr>
        <w:t>te</w:t>
      </w:r>
      <w:r w:rsidRPr="00BE7C7E">
        <w:rPr>
          <w:rFonts w:ascii="Verdana" w:hAnsi="Verdana" w:cs="Verdana"/>
          <w:sz w:val="20"/>
          <w:szCs w:val="20"/>
        </w:rPr>
        <w:t xml:space="preserve"> considera que </w:t>
      </w:r>
      <w:r w:rsidRPr="00BE7C7E">
        <w:rPr>
          <w:rFonts w:ascii="Verdana" w:hAnsi="Verdana" w:cs="Verdana"/>
          <w:sz w:val="20"/>
          <w:szCs w:val="20"/>
          <w:lang w:val="es-ES_tradnl"/>
        </w:rPr>
        <w:t>el hecho de que los peritos Magaly Vásquez y Jos</w:t>
      </w:r>
      <w:r>
        <w:rPr>
          <w:rFonts w:ascii="Verdana" w:hAnsi="Verdana" w:cs="Verdana"/>
          <w:sz w:val="20"/>
          <w:szCs w:val="20"/>
          <w:lang w:val="es-ES_tradnl"/>
        </w:rPr>
        <w:t>é</w:t>
      </w:r>
      <w:r w:rsidRPr="00BE7C7E">
        <w:rPr>
          <w:rFonts w:ascii="Verdana" w:hAnsi="Verdana" w:cs="Verdana"/>
          <w:sz w:val="20"/>
          <w:szCs w:val="20"/>
          <w:lang w:val="es-ES_tradnl"/>
        </w:rPr>
        <w:t xml:space="preserve"> Pablo </w:t>
      </w:r>
      <w:proofErr w:type="spellStart"/>
      <w:r w:rsidRPr="00BE7C7E">
        <w:rPr>
          <w:rFonts w:ascii="Verdana" w:hAnsi="Verdana" w:cs="Verdana"/>
          <w:sz w:val="20"/>
          <w:szCs w:val="20"/>
          <w:lang w:val="es-ES_tradnl"/>
        </w:rPr>
        <w:t>Baraybar</w:t>
      </w:r>
      <w:proofErr w:type="spellEnd"/>
      <w:r w:rsidRPr="00BE7C7E">
        <w:rPr>
          <w:rFonts w:ascii="Verdana" w:hAnsi="Verdana" w:cs="Verdana"/>
          <w:sz w:val="20"/>
          <w:szCs w:val="20"/>
          <w:lang w:val="es-ES_tradnl"/>
        </w:rPr>
        <w:t xml:space="preserve"> hayan rendido peritajes en otros casos ante este Tribunal respecto del mismo Estado</w:t>
      </w:r>
      <w:r>
        <w:rPr>
          <w:rFonts w:ascii="Verdana" w:hAnsi="Verdana" w:cs="Verdana"/>
          <w:sz w:val="20"/>
          <w:szCs w:val="20"/>
          <w:lang w:val="es-ES_tradnl"/>
        </w:rPr>
        <w:t>,</w:t>
      </w:r>
      <w:r w:rsidRPr="00BE7C7E">
        <w:rPr>
          <w:rFonts w:ascii="Verdana" w:hAnsi="Verdana" w:cs="Verdana"/>
          <w:sz w:val="20"/>
          <w:szCs w:val="20"/>
          <w:lang w:val="es-ES_tradnl"/>
        </w:rPr>
        <w:t xml:space="preserve"> no afecta de ninguna manera su imparcialidad para rendir declaración pericial en el presente caso y no se relaciona con ninguna</w:t>
      </w:r>
      <w:r w:rsidRPr="00DD421D">
        <w:rPr>
          <w:rFonts w:ascii="Verdana" w:hAnsi="Verdana" w:cs="Verdana"/>
          <w:sz w:val="20"/>
          <w:szCs w:val="20"/>
          <w:lang w:val="es-ES_tradnl"/>
        </w:rPr>
        <w:t xml:space="preserve"> causal de recusación contemplada en el Reglamento.</w:t>
      </w:r>
    </w:p>
    <w:p w:rsidR="007804B2" w:rsidRDefault="007804B2">
      <w:pPr>
        <w:spacing w:after="0" w:line="240" w:lineRule="auto"/>
        <w:jc w:val="both"/>
        <w:rPr>
          <w:rFonts w:ascii="Verdana" w:hAnsi="Verdana" w:cs="Verdana"/>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lastRenderedPageBreak/>
        <w:t xml:space="preserve">De igual forma, en relación con el peritaje de la señora Claudia Carrillo, </w:t>
      </w:r>
      <w:r>
        <w:rPr>
          <w:rFonts w:ascii="Verdana" w:hAnsi="Verdana" w:cs="Verdana"/>
          <w:sz w:val="20"/>
          <w:szCs w:val="20"/>
        </w:rPr>
        <w:t>el Presidente</w:t>
      </w:r>
      <w:r w:rsidRPr="00BE7C7E">
        <w:rPr>
          <w:rFonts w:ascii="Verdana" w:hAnsi="Verdana" w:cs="Verdana"/>
          <w:sz w:val="20"/>
          <w:szCs w:val="20"/>
        </w:rPr>
        <w:t xml:space="preserve"> considera que el Estado no ha demostrado que la perita tenga o haya tenido un vínculo estrecho o relación de subordinación funcional con los representantes ante la cual se pudiera cuestionar su imparcialidad.</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 xml:space="preserve">Con base en lo señalado anteriormente, </w:t>
      </w:r>
      <w:r>
        <w:rPr>
          <w:rFonts w:ascii="Verdana" w:hAnsi="Verdana" w:cs="Verdana"/>
          <w:sz w:val="20"/>
          <w:szCs w:val="20"/>
        </w:rPr>
        <w:t>e</w:t>
      </w:r>
      <w:r w:rsidRPr="00BE7C7E">
        <w:rPr>
          <w:rFonts w:ascii="Verdana" w:hAnsi="Verdana" w:cs="Verdana"/>
          <w:sz w:val="20"/>
          <w:szCs w:val="20"/>
        </w:rPr>
        <w:t>l Presiden</w:t>
      </w:r>
      <w:r>
        <w:rPr>
          <w:rFonts w:ascii="Verdana" w:hAnsi="Verdana" w:cs="Verdana"/>
          <w:sz w:val="20"/>
          <w:szCs w:val="20"/>
        </w:rPr>
        <w:t>te</w:t>
      </w:r>
      <w:r w:rsidRPr="00BE7C7E">
        <w:rPr>
          <w:rFonts w:ascii="Verdana" w:hAnsi="Verdana" w:cs="Verdana"/>
          <w:sz w:val="20"/>
          <w:szCs w:val="20"/>
        </w:rPr>
        <w:t xml:space="preserve"> considera conveniente recabar los</w:t>
      </w:r>
      <w:r w:rsidRPr="00DD421D">
        <w:rPr>
          <w:rFonts w:ascii="Verdana" w:hAnsi="Verdana" w:cs="Verdana"/>
          <w:sz w:val="20"/>
          <w:szCs w:val="20"/>
        </w:rPr>
        <w:t xml:space="preserve"> peritajes ofrecidos por los representantes a efectos de que el Tribunal pueda apreciar su valor en la debida oportunidad procesal, dentro del contexto del acervo probatorio existente y según las reglas de la sana crítica. De igual forma, el objeto y la modalidad de </w:t>
      </w:r>
      <w:r>
        <w:rPr>
          <w:rFonts w:ascii="Verdana" w:hAnsi="Verdana" w:cs="Verdana"/>
          <w:sz w:val="20"/>
          <w:szCs w:val="20"/>
        </w:rPr>
        <w:t>dichos</w:t>
      </w:r>
      <w:r w:rsidRPr="00DD421D">
        <w:rPr>
          <w:rFonts w:ascii="Verdana" w:hAnsi="Verdana" w:cs="Verdana"/>
          <w:sz w:val="20"/>
          <w:szCs w:val="20"/>
        </w:rPr>
        <w:t xml:space="preserve"> peritajes se determinarán en la parte resolutiva de la presente Resolución (</w:t>
      </w:r>
      <w:r w:rsidR="008B6F08">
        <w:rPr>
          <w:rFonts w:ascii="Verdana" w:hAnsi="Verdana" w:cs="Verdana"/>
          <w:i/>
          <w:iCs/>
          <w:sz w:val="20"/>
          <w:szCs w:val="20"/>
        </w:rPr>
        <w:t xml:space="preserve">infra punto resolutivo </w:t>
      </w:r>
      <w:r w:rsidR="008B6F08">
        <w:rPr>
          <w:rFonts w:ascii="Verdana" w:hAnsi="Verdana" w:cs="Verdana"/>
          <w:iCs/>
          <w:sz w:val="20"/>
          <w:szCs w:val="20"/>
        </w:rPr>
        <w:t>1</w:t>
      </w:r>
      <w:r w:rsidRPr="00DD421D">
        <w:rPr>
          <w:rFonts w:ascii="Verdana" w:hAnsi="Verdana" w:cs="Verdana"/>
          <w:sz w:val="20"/>
          <w:szCs w:val="20"/>
        </w:rPr>
        <w:t>).</w:t>
      </w:r>
    </w:p>
    <w:p w:rsidR="007804B2" w:rsidRDefault="007804B2">
      <w:pPr>
        <w:spacing w:after="0" w:line="240" w:lineRule="auto"/>
        <w:jc w:val="both"/>
        <w:rPr>
          <w:rFonts w:ascii="Verdana" w:hAnsi="Verdana" w:cs="Verdana"/>
          <w:sz w:val="20"/>
          <w:szCs w:val="20"/>
          <w:lang w:val="es-AR"/>
        </w:rPr>
      </w:pPr>
    </w:p>
    <w:p w:rsidR="007804B2" w:rsidRDefault="007804B2">
      <w:pPr>
        <w:pStyle w:val="ListParagraph"/>
        <w:widowControl w:val="0"/>
        <w:numPr>
          <w:ilvl w:val="0"/>
          <w:numId w:val="16"/>
        </w:numPr>
        <w:tabs>
          <w:tab w:val="left" w:pos="567"/>
        </w:tabs>
        <w:autoSpaceDE w:val="0"/>
        <w:autoSpaceDN w:val="0"/>
        <w:adjustRightInd w:val="0"/>
        <w:spacing w:after="0" w:line="240" w:lineRule="auto"/>
        <w:ind w:left="0" w:right="22" w:firstLine="0"/>
        <w:jc w:val="both"/>
        <w:rPr>
          <w:rFonts w:ascii="Verdana" w:hAnsi="Verdana" w:cs="Verdana"/>
          <w:b/>
          <w:bCs/>
          <w:sz w:val="20"/>
          <w:szCs w:val="20"/>
          <w:lang w:val="es-ES"/>
        </w:rPr>
      </w:pPr>
      <w:r w:rsidRPr="00DD421D">
        <w:rPr>
          <w:rFonts w:ascii="Verdana" w:hAnsi="Verdana" w:cs="Verdana"/>
          <w:b/>
          <w:bCs/>
          <w:sz w:val="20"/>
          <w:szCs w:val="20"/>
          <w:lang w:val="es-ES"/>
        </w:rPr>
        <w:t>Declaraciones ofrecidas por el Estado</w:t>
      </w:r>
    </w:p>
    <w:p w:rsidR="007804B2" w:rsidRDefault="007804B2">
      <w:pPr>
        <w:spacing w:after="0" w:line="240" w:lineRule="auto"/>
        <w:jc w:val="both"/>
        <w:rPr>
          <w:rFonts w:ascii="Verdana" w:hAnsi="Verdana" w:cs="Verdana"/>
          <w:sz w:val="20"/>
          <w:szCs w:val="20"/>
          <w:lang w:val="es-ES"/>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DD421D">
        <w:rPr>
          <w:rFonts w:ascii="Verdana" w:hAnsi="Verdana" w:cs="Verdana"/>
          <w:sz w:val="20"/>
          <w:szCs w:val="20"/>
        </w:rPr>
        <w:t>Por su parte, en su escrito de contestación</w:t>
      </w:r>
      <w:r>
        <w:rPr>
          <w:rFonts w:ascii="Verdana" w:hAnsi="Verdana" w:cs="Verdana"/>
          <w:sz w:val="20"/>
          <w:szCs w:val="20"/>
        </w:rPr>
        <w:t>,</w:t>
      </w:r>
      <w:r w:rsidRPr="00DD421D">
        <w:rPr>
          <w:rFonts w:ascii="Verdana" w:hAnsi="Verdana" w:cs="Verdana"/>
          <w:sz w:val="20"/>
          <w:szCs w:val="20"/>
        </w:rPr>
        <w:t xml:space="preserve"> el Estado ofreci</w:t>
      </w:r>
      <w:r>
        <w:rPr>
          <w:rFonts w:ascii="Verdana" w:hAnsi="Verdana" w:cs="Verdana"/>
          <w:sz w:val="20"/>
          <w:szCs w:val="20"/>
        </w:rPr>
        <w:t xml:space="preserve">ó </w:t>
      </w:r>
      <w:r w:rsidRPr="00DD421D">
        <w:rPr>
          <w:rFonts w:ascii="Verdana" w:hAnsi="Verdana" w:cs="Verdana"/>
          <w:sz w:val="20"/>
          <w:szCs w:val="20"/>
        </w:rPr>
        <w:t xml:space="preserve">la declaración testimonial de la señora Yelitza Acacio Carmona, </w:t>
      </w:r>
      <w:r>
        <w:rPr>
          <w:rFonts w:ascii="Verdana" w:hAnsi="Verdana" w:cs="Verdana"/>
          <w:sz w:val="20"/>
          <w:szCs w:val="20"/>
        </w:rPr>
        <w:t xml:space="preserve">Fiscal </w:t>
      </w:r>
      <w:r w:rsidRPr="00DD421D">
        <w:rPr>
          <w:rFonts w:ascii="Verdana" w:hAnsi="Verdana" w:cs="Verdana"/>
          <w:sz w:val="20"/>
          <w:szCs w:val="20"/>
        </w:rPr>
        <w:t>D</w:t>
      </w:r>
      <w:r>
        <w:rPr>
          <w:rFonts w:ascii="Verdana" w:hAnsi="Verdana" w:cs="Verdana"/>
          <w:sz w:val="20"/>
          <w:szCs w:val="20"/>
        </w:rPr>
        <w:t>é</w:t>
      </w:r>
      <w:r w:rsidRPr="00DD421D">
        <w:rPr>
          <w:rFonts w:ascii="Verdana" w:hAnsi="Verdana" w:cs="Verdana"/>
          <w:sz w:val="20"/>
          <w:szCs w:val="20"/>
        </w:rPr>
        <w:t>cima Quinta del Ministerio P</w:t>
      </w:r>
      <w:r>
        <w:rPr>
          <w:rFonts w:ascii="Verdana" w:hAnsi="Verdana" w:cs="Verdana"/>
          <w:sz w:val="20"/>
          <w:szCs w:val="20"/>
        </w:rPr>
        <w:t>ú</w:t>
      </w:r>
      <w:r w:rsidRPr="00DD421D">
        <w:rPr>
          <w:rFonts w:ascii="Verdana" w:hAnsi="Verdana" w:cs="Verdana"/>
          <w:sz w:val="20"/>
          <w:szCs w:val="20"/>
        </w:rPr>
        <w:t xml:space="preserve">blico del Estado de Aragua, designada por </w:t>
      </w:r>
      <w:r>
        <w:rPr>
          <w:rFonts w:ascii="Verdana" w:hAnsi="Verdana" w:cs="Verdana"/>
          <w:sz w:val="20"/>
          <w:szCs w:val="20"/>
        </w:rPr>
        <w:t>la misma entidad</w:t>
      </w:r>
      <w:r w:rsidRPr="00DD421D">
        <w:rPr>
          <w:rFonts w:ascii="Verdana" w:hAnsi="Verdana" w:cs="Verdana"/>
          <w:sz w:val="20"/>
          <w:szCs w:val="20"/>
        </w:rPr>
        <w:t xml:space="preserve"> para conocer los casos de </w:t>
      </w:r>
      <w:proofErr w:type="spellStart"/>
      <w:r w:rsidRPr="00DD421D">
        <w:rPr>
          <w:rFonts w:ascii="Verdana" w:hAnsi="Verdana" w:cs="Verdana"/>
          <w:sz w:val="20"/>
          <w:szCs w:val="20"/>
        </w:rPr>
        <w:t>Igmar</w:t>
      </w:r>
      <w:proofErr w:type="spellEnd"/>
      <w:r w:rsidRPr="00DD421D">
        <w:rPr>
          <w:rFonts w:ascii="Verdana" w:hAnsi="Verdana" w:cs="Verdana"/>
          <w:sz w:val="20"/>
          <w:szCs w:val="20"/>
        </w:rPr>
        <w:t xml:space="preserve"> Alexander y Eduardo Jos</w:t>
      </w:r>
      <w:r>
        <w:rPr>
          <w:rFonts w:ascii="Verdana" w:hAnsi="Verdana" w:cs="Verdana"/>
          <w:sz w:val="20"/>
          <w:szCs w:val="20"/>
        </w:rPr>
        <w:t>é</w:t>
      </w:r>
      <w:r w:rsidRPr="00DD421D">
        <w:rPr>
          <w:rFonts w:ascii="Verdana" w:hAnsi="Verdana" w:cs="Verdana"/>
          <w:sz w:val="20"/>
          <w:szCs w:val="20"/>
        </w:rPr>
        <w:t xml:space="preserve"> Landaeta Mej</w:t>
      </w:r>
      <w:r>
        <w:rPr>
          <w:rFonts w:ascii="Verdana" w:hAnsi="Verdana" w:cs="Verdana"/>
          <w:sz w:val="20"/>
          <w:szCs w:val="20"/>
        </w:rPr>
        <w:t>í</w:t>
      </w:r>
      <w:r w:rsidRPr="00DD421D">
        <w:rPr>
          <w:rFonts w:ascii="Verdana" w:hAnsi="Verdana" w:cs="Verdana"/>
          <w:sz w:val="20"/>
          <w:szCs w:val="20"/>
        </w:rPr>
        <w:t xml:space="preserve">as.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Pr="00B70AE1" w:rsidRDefault="007804B2" w:rsidP="00B70AE1">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De igual manera</w:t>
      </w:r>
      <w:r w:rsidRPr="00DD421D">
        <w:rPr>
          <w:rFonts w:ascii="Verdana" w:hAnsi="Verdana" w:cs="Verdana"/>
          <w:sz w:val="20"/>
          <w:szCs w:val="20"/>
        </w:rPr>
        <w:t xml:space="preserve">, el Estado ofreció la declaración pericial de la señora </w:t>
      </w:r>
      <w:proofErr w:type="spellStart"/>
      <w:r w:rsidRPr="00DD421D">
        <w:rPr>
          <w:rFonts w:ascii="Verdana" w:hAnsi="Verdana" w:cs="Verdana"/>
          <w:sz w:val="20"/>
          <w:szCs w:val="20"/>
        </w:rPr>
        <w:t>Desiree</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Noelis</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Boada</w:t>
      </w:r>
      <w:proofErr w:type="spellEnd"/>
      <w:r w:rsidRPr="00DD421D">
        <w:rPr>
          <w:rFonts w:ascii="Verdana" w:hAnsi="Verdana" w:cs="Verdana"/>
          <w:sz w:val="20"/>
          <w:szCs w:val="20"/>
        </w:rPr>
        <w:t xml:space="preserve"> Guevara, </w:t>
      </w:r>
      <w:r w:rsidRPr="00DD421D">
        <w:rPr>
          <w:rFonts w:ascii="Verdana" w:hAnsi="Verdana" w:cs="Verdana"/>
          <w:sz w:val="20"/>
          <w:szCs w:val="20"/>
          <w:lang w:val="es-CR"/>
        </w:rPr>
        <w:t>Fiscal Trigésima Cuarta Nacional con competencia en materia de derechos fundamentales</w:t>
      </w:r>
      <w:r w:rsidRPr="00DD421D">
        <w:rPr>
          <w:rFonts w:ascii="Verdana" w:hAnsi="Verdana" w:cs="Verdana"/>
          <w:sz w:val="20"/>
          <w:szCs w:val="20"/>
        </w:rPr>
        <w:t xml:space="preserve">. Dicha declaración se refiere a </w:t>
      </w:r>
      <w:r w:rsidRPr="00DD421D">
        <w:rPr>
          <w:rFonts w:ascii="Verdana" w:hAnsi="Verdana" w:cs="Verdana"/>
          <w:sz w:val="20"/>
          <w:szCs w:val="20"/>
          <w:lang w:val="es-CR"/>
        </w:rPr>
        <w:t>la normativa procedimental venezolana</w:t>
      </w:r>
      <w:r>
        <w:rPr>
          <w:rFonts w:ascii="Verdana" w:hAnsi="Verdana" w:cs="Verdana"/>
          <w:sz w:val="20"/>
          <w:szCs w:val="20"/>
          <w:lang w:val="es-CR"/>
        </w:rPr>
        <w:t>;</w:t>
      </w:r>
      <w:r w:rsidRPr="00DD421D">
        <w:rPr>
          <w:rFonts w:ascii="Verdana" w:hAnsi="Verdana" w:cs="Verdana"/>
          <w:sz w:val="20"/>
          <w:szCs w:val="20"/>
          <w:lang w:val="es-CR"/>
        </w:rPr>
        <w:t xml:space="preserve"> los diferentes códigos procesales penales; el análisis comparativo de los procedimientos penales y el régimen de transición ocurrido con la entrada en vigencia del COPP de 1999; la normativa que regía en Venezuela al momento de la ocurrencia de los hechos; la debida diligencia en el procedimiento penal en los casos de los hermanos Landaeta Mej</w:t>
      </w:r>
      <w:r>
        <w:rPr>
          <w:rFonts w:ascii="Verdana" w:hAnsi="Verdana" w:cs="Verdana"/>
          <w:sz w:val="20"/>
          <w:szCs w:val="20"/>
          <w:lang w:val="es-CR"/>
        </w:rPr>
        <w:t>í</w:t>
      </w:r>
      <w:r w:rsidRPr="00DD421D">
        <w:rPr>
          <w:rFonts w:ascii="Verdana" w:hAnsi="Verdana" w:cs="Verdana"/>
          <w:sz w:val="20"/>
          <w:szCs w:val="20"/>
          <w:lang w:val="es-CR"/>
        </w:rPr>
        <w:t>as, y las dificultades que dichas reformas han presentado durante su implementación y los retardos ocasionados a las investigaciones</w:t>
      </w:r>
      <w:r>
        <w:rPr>
          <w:rFonts w:ascii="Verdana" w:hAnsi="Verdana" w:cs="Verdana"/>
          <w:sz w:val="20"/>
          <w:szCs w:val="20"/>
          <w:lang w:val="es-CR"/>
        </w:rPr>
        <w:t>.</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DD421D">
        <w:rPr>
          <w:rFonts w:ascii="Verdana" w:hAnsi="Verdana" w:cs="Verdana"/>
          <w:sz w:val="20"/>
          <w:szCs w:val="20"/>
        </w:rPr>
        <w:t xml:space="preserve">La Comisión Interamericana manifestó que no tenían observaciones que formular a la lista definitiva presentada por el Estado. Por su parte, </w:t>
      </w:r>
      <w:r w:rsidRPr="00BE7C7E">
        <w:rPr>
          <w:rFonts w:ascii="Verdana" w:hAnsi="Verdana" w:cs="Verdana"/>
          <w:sz w:val="20"/>
          <w:szCs w:val="20"/>
        </w:rPr>
        <w:t>los representantes manifestaron que la Corte no deb</w:t>
      </w:r>
      <w:r>
        <w:rPr>
          <w:rFonts w:ascii="Verdana" w:hAnsi="Verdana" w:cs="Verdana"/>
          <w:sz w:val="20"/>
          <w:szCs w:val="20"/>
        </w:rPr>
        <w:t>ía</w:t>
      </w:r>
      <w:r w:rsidRPr="00BE7C7E">
        <w:rPr>
          <w:rFonts w:ascii="Verdana" w:hAnsi="Verdana" w:cs="Verdana"/>
          <w:sz w:val="20"/>
          <w:szCs w:val="20"/>
        </w:rPr>
        <w:t xml:space="preserve"> admitir el peritaje de </w:t>
      </w:r>
      <w:proofErr w:type="spellStart"/>
      <w:r w:rsidRPr="00BE7C7E">
        <w:rPr>
          <w:rFonts w:ascii="Verdana" w:hAnsi="Verdana" w:cs="Verdana"/>
          <w:sz w:val="20"/>
          <w:szCs w:val="20"/>
        </w:rPr>
        <w:t>Desiree</w:t>
      </w:r>
      <w:proofErr w:type="spellEnd"/>
      <w:r w:rsidRPr="00BE7C7E">
        <w:rPr>
          <w:rFonts w:ascii="Verdana" w:hAnsi="Verdana" w:cs="Verdana"/>
          <w:sz w:val="20"/>
          <w:szCs w:val="20"/>
        </w:rPr>
        <w:t xml:space="preserve"> </w:t>
      </w:r>
      <w:proofErr w:type="spellStart"/>
      <w:r w:rsidRPr="00BE7C7E">
        <w:rPr>
          <w:rFonts w:ascii="Verdana" w:hAnsi="Verdana" w:cs="Verdana"/>
          <w:sz w:val="20"/>
          <w:szCs w:val="20"/>
        </w:rPr>
        <w:t>Noelis</w:t>
      </w:r>
      <w:proofErr w:type="spellEnd"/>
      <w:r w:rsidRPr="00BE7C7E">
        <w:rPr>
          <w:rFonts w:ascii="Verdana" w:hAnsi="Verdana" w:cs="Verdana"/>
          <w:sz w:val="20"/>
          <w:szCs w:val="20"/>
        </w:rPr>
        <w:t xml:space="preserve"> </w:t>
      </w:r>
      <w:proofErr w:type="spellStart"/>
      <w:r w:rsidRPr="00BE7C7E">
        <w:rPr>
          <w:rFonts w:ascii="Verdana" w:hAnsi="Verdana" w:cs="Verdana"/>
          <w:sz w:val="20"/>
          <w:szCs w:val="20"/>
        </w:rPr>
        <w:t>Boada</w:t>
      </w:r>
      <w:proofErr w:type="spellEnd"/>
      <w:r w:rsidRPr="00BE7C7E">
        <w:rPr>
          <w:rFonts w:ascii="Verdana" w:hAnsi="Verdana" w:cs="Verdana"/>
          <w:sz w:val="20"/>
          <w:szCs w:val="20"/>
        </w:rPr>
        <w:t xml:space="preserve"> Guevara</w:t>
      </w:r>
      <w:r>
        <w:rPr>
          <w:rFonts w:ascii="Verdana" w:hAnsi="Verdana" w:cs="Verdana"/>
          <w:sz w:val="20"/>
          <w:szCs w:val="20"/>
        </w:rPr>
        <w:t>, con base en el artículo 48.1.c del Reglamento de la Corte,</w:t>
      </w:r>
      <w:r w:rsidRPr="00BE7C7E">
        <w:rPr>
          <w:rFonts w:ascii="Verdana" w:hAnsi="Verdana" w:cs="Verdana"/>
          <w:sz w:val="20"/>
          <w:szCs w:val="20"/>
        </w:rPr>
        <w:t xml:space="preserve"> en virtud de que posee una relación de subordinación funcional con el Estado que afecta su imparcialidad, pues la misma desempeña funciones en el Ministerio Público, que es una de las instituciones presuntamente responsables de las violaciones de derechos humanos de las que trata el presente caso.</w:t>
      </w:r>
      <w:r w:rsidRPr="00DD421D">
        <w:rPr>
          <w:rFonts w:ascii="Verdana" w:hAnsi="Verdana" w:cs="Verdana"/>
          <w:sz w:val="20"/>
          <w:szCs w:val="20"/>
        </w:rPr>
        <w:t xml:space="preserve">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8B6F08" w:rsidRPr="00B70AE1" w:rsidRDefault="008B6F08" w:rsidP="008B6F08">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 xml:space="preserve">La señora </w:t>
      </w:r>
      <w:proofErr w:type="spellStart"/>
      <w:r w:rsidRPr="00DD421D">
        <w:rPr>
          <w:rFonts w:ascii="Verdana" w:hAnsi="Verdana" w:cs="Verdana"/>
          <w:sz w:val="20"/>
          <w:szCs w:val="20"/>
        </w:rPr>
        <w:t>Desiree</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Noelis</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Boada</w:t>
      </w:r>
      <w:proofErr w:type="spellEnd"/>
      <w:r w:rsidRPr="00DD421D">
        <w:rPr>
          <w:rFonts w:ascii="Verdana" w:hAnsi="Verdana" w:cs="Verdana"/>
          <w:sz w:val="20"/>
          <w:szCs w:val="20"/>
        </w:rPr>
        <w:t xml:space="preserve"> Guevara</w:t>
      </w:r>
      <w:r>
        <w:rPr>
          <w:rFonts w:ascii="Verdana" w:hAnsi="Verdana" w:cs="Verdana"/>
          <w:sz w:val="20"/>
          <w:szCs w:val="20"/>
        </w:rPr>
        <w:t xml:space="preserve"> manifestó que “</w:t>
      </w:r>
      <w:proofErr w:type="spellStart"/>
      <w:proofErr w:type="gramStart"/>
      <w:r>
        <w:rPr>
          <w:rFonts w:ascii="Verdana" w:hAnsi="Verdana" w:cs="Verdana"/>
          <w:sz w:val="20"/>
          <w:szCs w:val="20"/>
        </w:rPr>
        <w:t>recono</w:t>
      </w:r>
      <w:proofErr w:type="spellEnd"/>
      <w:r>
        <w:rPr>
          <w:rFonts w:ascii="Verdana" w:hAnsi="Verdana" w:cs="Verdana"/>
          <w:sz w:val="20"/>
          <w:szCs w:val="20"/>
        </w:rPr>
        <w:t>[</w:t>
      </w:r>
      <w:proofErr w:type="gramEnd"/>
      <w:r>
        <w:rPr>
          <w:rFonts w:ascii="Verdana" w:hAnsi="Verdana" w:cs="Verdana"/>
          <w:sz w:val="20"/>
          <w:szCs w:val="20"/>
        </w:rPr>
        <w:t xml:space="preserve">ce] que [es] funcionaria del Ministerio Público”. Sin embargo, indicó que “[l]a Constitución de la República Bolivariana de Venezuela establece el criterio para la separación orgánica del denominado poder público, cada rama dotada de independencia y autonomía funcional, estando el Ministerio Público dentro del denominado poder ciudadano”. Por ello, consideró que “[n]o existe ningún tipo de impedimento para que pueda presentar [su] declaración […], en vista de que </w:t>
      </w:r>
      <w:proofErr w:type="spellStart"/>
      <w:r>
        <w:rPr>
          <w:rFonts w:ascii="Verdana" w:hAnsi="Verdana" w:cs="Verdana"/>
          <w:sz w:val="20"/>
          <w:szCs w:val="20"/>
        </w:rPr>
        <w:t>goz</w:t>
      </w:r>
      <w:proofErr w:type="spellEnd"/>
      <w:r>
        <w:rPr>
          <w:rFonts w:ascii="Verdana" w:hAnsi="Verdana" w:cs="Verdana"/>
          <w:sz w:val="20"/>
          <w:szCs w:val="20"/>
        </w:rPr>
        <w:t xml:space="preserve">[a] de la imparcialidad necesaria para explicar lo conducente al proceso penal venezolano y su evolución histórica”. Además, agregó que “las funciones que actualmente </w:t>
      </w:r>
      <w:proofErr w:type="spellStart"/>
      <w:proofErr w:type="gramStart"/>
      <w:r>
        <w:rPr>
          <w:rFonts w:ascii="Verdana" w:hAnsi="Verdana" w:cs="Verdana"/>
          <w:sz w:val="20"/>
          <w:szCs w:val="20"/>
        </w:rPr>
        <w:t>ejer</w:t>
      </w:r>
      <w:proofErr w:type="spellEnd"/>
      <w:r>
        <w:rPr>
          <w:rFonts w:ascii="Verdana" w:hAnsi="Verdana" w:cs="Verdana"/>
          <w:sz w:val="20"/>
          <w:szCs w:val="20"/>
        </w:rPr>
        <w:t>[</w:t>
      </w:r>
      <w:proofErr w:type="gramEnd"/>
      <w:r>
        <w:rPr>
          <w:rFonts w:ascii="Verdana" w:hAnsi="Verdana" w:cs="Verdana"/>
          <w:sz w:val="20"/>
          <w:szCs w:val="20"/>
        </w:rPr>
        <w:t xml:space="preserve">ce …] no fueron ni están vinculadas con la causa de los hermanos </w:t>
      </w:r>
      <w:proofErr w:type="spellStart"/>
      <w:r>
        <w:rPr>
          <w:rFonts w:ascii="Verdana" w:hAnsi="Verdana" w:cs="Verdana"/>
          <w:sz w:val="20"/>
          <w:szCs w:val="20"/>
        </w:rPr>
        <w:t>Landaeta</w:t>
      </w:r>
      <w:proofErr w:type="spellEnd"/>
      <w:r>
        <w:rPr>
          <w:rFonts w:ascii="Verdana" w:hAnsi="Verdana" w:cs="Verdana"/>
          <w:sz w:val="20"/>
          <w:szCs w:val="20"/>
        </w:rPr>
        <w:t xml:space="preserve"> </w:t>
      </w:r>
      <w:proofErr w:type="spellStart"/>
      <w:r>
        <w:rPr>
          <w:rFonts w:ascii="Verdana" w:hAnsi="Verdana" w:cs="Verdana"/>
          <w:sz w:val="20"/>
          <w:szCs w:val="20"/>
        </w:rPr>
        <w:t>Méjia</w:t>
      </w:r>
      <w:proofErr w:type="spellEnd"/>
      <w:r>
        <w:rPr>
          <w:rFonts w:ascii="Verdana" w:hAnsi="Verdana" w:cs="Verdana"/>
          <w:sz w:val="20"/>
          <w:szCs w:val="20"/>
        </w:rPr>
        <w:t xml:space="preserve"> en la jurisdicción interna venezolana”.</w:t>
      </w:r>
    </w:p>
    <w:p w:rsidR="008B6F08" w:rsidRDefault="008B6F08">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DD421D">
        <w:rPr>
          <w:rFonts w:ascii="Verdana" w:hAnsi="Verdana" w:cs="Verdana"/>
          <w:sz w:val="20"/>
          <w:szCs w:val="20"/>
        </w:rPr>
        <w:t xml:space="preserve">El Presidente recuerda que, de conformidad con el artículo 48.1.c del Reglamento, para que </w:t>
      </w:r>
      <w:r>
        <w:rPr>
          <w:rFonts w:ascii="Verdana" w:hAnsi="Verdana" w:cs="Verdana"/>
          <w:sz w:val="20"/>
          <w:szCs w:val="20"/>
        </w:rPr>
        <w:t>una</w:t>
      </w:r>
      <w:r w:rsidRPr="00DD421D">
        <w:rPr>
          <w:rFonts w:ascii="Verdana" w:hAnsi="Verdana" w:cs="Verdana"/>
          <w:sz w:val="20"/>
          <w:szCs w:val="20"/>
        </w:rPr>
        <w:t xml:space="preserve"> recusación</w:t>
      </w:r>
      <w:r>
        <w:rPr>
          <w:rFonts w:ascii="Verdana" w:hAnsi="Verdana" w:cs="Verdana"/>
          <w:sz w:val="20"/>
          <w:szCs w:val="20"/>
        </w:rPr>
        <w:t xml:space="preserve">, </w:t>
      </w:r>
      <w:r w:rsidRPr="00DD421D">
        <w:rPr>
          <w:rFonts w:ascii="Verdana" w:hAnsi="Verdana" w:cs="Verdana"/>
          <w:sz w:val="20"/>
          <w:szCs w:val="20"/>
        </w:rPr>
        <w:t>sobre esa base resulte procedente</w:t>
      </w:r>
      <w:r>
        <w:rPr>
          <w:rFonts w:ascii="Verdana" w:hAnsi="Verdana" w:cs="Verdana"/>
          <w:sz w:val="20"/>
          <w:szCs w:val="20"/>
        </w:rPr>
        <w:t>,</w:t>
      </w:r>
      <w:r w:rsidRPr="00DD421D">
        <w:rPr>
          <w:rFonts w:ascii="Verdana" w:hAnsi="Verdana" w:cs="Verdana"/>
          <w:sz w:val="20"/>
          <w:szCs w:val="20"/>
        </w:rPr>
        <w:t xml:space="preserve"> está condicionada a que concurran dos supuestos: un vínculo determinado del perito con la parte proponente y que, adicionalmente, esa relación, a criterio del Tribunal, afecte su </w:t>
      </w:r>
      <w:r w:rsidRPr="00DD421D">
        <w:rPr>
          <w:rFonts w:ascii="Verdana" w:hAnsi="Verdana" w:cs="Verdana"/>
          <w:sz w:val="20"/>
          <w:szCs w:val="20"/>
        </w:rPr>
        <w:lastRenderedPageBreak/>
        <w:t>imparcialidad</w:t>
      </w:r>
      <w:r w:rsidRPr="00BE7C7E">
        <w:rPr>
          <w:rStyle w:val="FootnoteReference"/>
          <w:rFonts w:ascii="Verdana" w:hAnsi="Verdana" w:cs="Verdana"/>
          <w:sz w:val="20"/>
          <w:szCs w:val="20"/>
        </w:rPr>
        <w:footnoteReference w:id="19"/>
      </w:r>
      <w:r w:rsidRPr="00DD421D">
        <w:rPr>
          <w:rFonts w:ascii="Verdana" w:hAnsi="Verdana" w:cs="Verdana"/>
          <w:sz w:val="20"/>
          <w:szCs w:val="20"/>
        </w:rPr>
        <w:t xml:space="preserve">. En anteriores oportunidades, este Tribunal ha señalado </w:t>
      </w:r>
      <w:r w:rsidRPr="00DD421D">
        <w:rPr>
          <w:rFonts w:ascii="Verdana" w:hAnsi="Verdana" w:cs="Verdana"/>
          <w:sz w:val="20"/>
          <w:szCs w:val="20"/>
          <w:lang w:val="es-CR"/>
        </w:rPr>
        <w:t>que el ejercicio de una función pública no debe ser automáticamente entendido como una causal de impedimento para participar como perito en un proceso internacional ante este Tribunal</w:t>
      </w:r>
      <w:r w:rsidRPr="00BE7C7E">
        <w:rPr>
          <w:rStyle w:val="FootnoteReference"/>
          <w:rFonts w:ascii="Verdana" w:hAnsi="Verdana" w:cs="Verdana"/>
          <w:sz w:val="20"/>
          <w:szCs w:val="20"/>
          <w:lang w:val="es-CR"/>
        </w:rPr>
        <w:footnoteReference w:id="20"/>
      </w:r>
      <w:r w:rsidRPr="00DD421D">
        <w:rPr>
          <w:rFonts w:ascii="Verdana" w:hAnsi="Verdana" w:cs="Verdana"/>
          <w:sz w:val="20"/>
          <w:szCs w:val="20"/>
          <w:lang w:val="es-CR"/>
        </w:rPr>
        <w:t>, ya que es necesario valorar si los cargos ocupados por el perito ofrecido pudieran afectar su imparcialidad para rendir el dictamen pericial para el cual fue propuesto</w:t>
      </w:r>
      <w:r w:rsidRPr="00BE7C7E">
        <w:rPr>
          <w:rStyle w:val="FootnoteReference"/>
          <w:rFonts w:ascii="Verdana" w:hAnsi="Verdana" w:cs="Verdana"/>
          <w:sz w:val="20"/>
          <w:szCs w:val="20"/>
          <w:lang w:val="es-CR"/>
        </w:rPr>
        <w:footnoteReference w:id="21"/>
      </w:r>
      <w:r w:rsidRPr="00DD421D">
        <w:rPr>
          <w:rFonts w:ascii="Verdana" w:hAnsi="Verdana" w:cs="Verdana"/>
          <w:sz w:val="20"/>
          <w:szCs w:val="20"/>
          <w:lang w:val="es-CR"/>
        </w:rPr>
        <w:t>.</w:t>
      </w:r>
      <w:r w:rsidRPr="00DD421D">
        <w:rPr>
          <w:rFonts w:ascii="Verdana" w:hAnsi="Verdana" w:cs="Verdana"/>
          <w:sz w:val="20"/>
          <w:szCs w:val="20"/>
        </w:rPr>
        <w:t xml:space="preserve"> </w:t>
      </w:r>
      <w:r w:rsidRPr="00DD421D">
        <w:rPr>
          <w:rFonts w:ascii="Verdana" w:hAnsi="Verdana" w:cs="Verdana"/>
          <w:sz w:val="20"/>
          <w:szCs w:val="20"/>
          <w:lang w:val="es-CR"/>
        </w:rPr>
        <w:t>Asimismo, es pertinente recordar que est</w:t>
      </w:r>
      <w:r>
        <w:rPr>
          <w:rFonts w:ascii="Verdana" w:hAnsi="Verdana" w:cs="Verdana"/>
          <w:sz w:val="20"/>
          <w:szCs w:val="20"/>
          <w:lang w:val="es-CR"/>
        </w:rPr>
        <w:t>a</w:t>
      </w:r>
      <w:r w:rsidRPr="00DD421D">
        <w:rPr>
          <w:rFonts w:ascii="Verdana" w:hAnsi="Verdana" w:cs="Verdana"/>
          <w:sz w:val="20"/>
          <w:szCs w:val="20"/>
          <w:lang w:val="es-CR"/>
        </w:rPr>
        <w:t xml:space="preserve"> </w:t>
      </w:r>
      <w:r>
        <w:rPr>
          <w:rFonts w:ascii="Verdana" w:hAnsi="Verdana" w:cs="Verdana"/>
          <w:sz w:val="20"/>
          <w:szCs w:val="20"/>
          <w:lang w:val="es-CR"/>
        </w:rPr>
        <w:t>Corte</w:t>
      </w:r>
      <w:r w:rsidRPr="00DD421D">
        <w:rPr>
          <w:rFonts w:ascii="Verdana" w:hAnsi="Verdana" w:cs="Verdana"/>
          <w:sz w:val="20"/>
          <w:szCs w:val="20"/>
          <w:lang w:val="es-CR"/>
        </w:rPr>
        <w:t xml:space="preserve"> ha establecido que aún cuando la declaración de un perito contuviera elementos que apoyan los argumentos de una de las partes, ello</w:t>
      </w:r>
      <w:r>
        <w:rPr>
          <w:rFonts w:ascii="Verdana" w:hAnsi="Verdana" w:cs="Verdana"/>
          <w:sz w:val="20"/>
          <w:szCs w:val="20"/>
          <w:lang w:val="es-CR"/>
        </w:rPr>
        <w:t>,</w:t>
      </w:r>
      <w:r w:rsidRPr="00DD421D">
        <w:rPr>
          <w:rFonts w:ascii="Verdana" w:hAnsi="Verdana" w:cs="Verdana"/>
          <w:sz w:val="20"/>
          <w:szCs w:val="20"/>
          <w:lang w:val="es-CR"/>
        </w:rPr>
        <w:t xml:space="preserve"> </w:t>
      </w:r>
      <w:r w:rsidRPr="00DD421D">
        <w:rPr>
          <w:rFonts w:ascii="Verdana" w:hAnsi="Verdana" w:cs="Verdana"/>
          <w:i/>
          <w:iCs/>
          <w:sz w:val="20"/>
          <w:szCs w:val="20"/>
          <w:lang w:val="es-CR"/>
        </w:rPr>
        <w:t>per se</w:t>
      </w:r>
      <w:r>
        <w:rPr>
          <w:rFonts w:ascii="Verdana" w:hAnsi="Verdana" w:cs="Verdana"/>
          <w:i/>
          <w:iCs/>
          <w:sz w:val="20"/>
          <w:szCs w:val="20"/>
          <w:lang w:val="es-CR"/>
        </w:rPr>
        <w:t>,</w:t>
      </w:r>
      <w:r w:rsidRPr="00DD421D">
        <w:rPr>
          <w:rFonts w:ascii="Verdana" w:hAnsi="Verdana" w:cs="Verdana"/>
          <w:sz w:val="20"/>
          <w:szCs w:val="20"/>
          <w:lang w:val="es-CR"/>
        </w:rPr>
        <w:t xml:space="preserve"> no descalifica </w:t>
      </w:r>
      <w:r>
        <w:rPr>
          <w:rFonts w:ascii="Verdana" w:hAnsi="Verdana" w:cs="Verdana"/>
          <w:sz w:val="20"/>
          <w:szCs w:val="20"/>
          <w:lang w:val="es-CR"/>
        </w:rPr>
        <w:t>su declaración</w:t>
      </w:r>
      <w:r w:rsidRPr="00BE7C7E">
        <w:rPr>
          <w:rStyle w:val="FootnoteReference"/>
          <w:rFonts w:ascii="Verdana" w:hAnsi="Verdana" w:cs="Verdana"/>
          <w:sz w:val="20"/>
          <w:szCs w:val="20"/>
          <w:lang w:val="es-CR"/>
        </w:rPr>
        <w:footnoteReference w:id="22"/>
      </w:r>
      <w:r w:rsidRPr="00DD421D">
        <w:rPr>
          <w:rFonts w:ascii="Verdana" w:hAnsi="Verdana" w:cs="Verdana"/>
          <w:sz w:val="20"/>
          <w:szCs w:val="20"/>
          <w:lang w:val="es-CR"/>
        </w:rPr>
        <w:t>.</w:t>
      </w:r>
      <w:r w:rsidRPr="00BE7C7E">
        <w:rPr>
          <w:rFonts w:ascii="Verdana" w:hAnsi="Verdana" w:cs="Verdana"/>
          <w:sz w:val="20"/>
          <w:szCs w:val="20"/>
          <w:lang w:val="es-CR"/>
        </w:rPr>
        <w:t xml:space="preserve">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 xml:space="preserve">En este sentido, el Presidente constata </w:t>
      </w:r>
      <w:r w:rsidRPr="00DD421D">
        <w:rPr>
          <w:rFonts w:ascii="Verdana" w:hAnsi="Verdana" w:cs="Verdana"/>
          <w:sz w:val="20"/>
          <w:szCs w:val="20"/>
        </w:rPr>
        <w:t xml:space="preserve">que </w:t>
      </w:r>
      <w:r>
        <w:rPr>
          <w:rFonts w:ascii="Verdana" w:hAnsi="Verdana" w:cs="Verdana"/>
          <w:sz w:val="20"/>
          <w:szCs w:val="20"/>
        </w:rPr>
        <w:t xml:space="preserve">en el </w:t>
      </w:r>
      <w:proofErr w:type="spellStart"/>
      <w:r>
        <w:rPr>
          <w:rFonts w:ascii="Verdana" w:hAnsi="Verdana" w:cs="Verdana"/>
          <w:sz w:val="20"/>
          <w:szCs w:val="20"/>
        </w:rPr>
        <w:t>curriculum</w:t>
      </w:r>
      <w:proofErr w:type="spellEnd"/>
      <w:r>
        <w:rPr>
          <w:rFonts w:ascii="Verdana" w:hAnsi="Verdana" w:cs="Verdana"/>
          <w:sz w:val="20"/>
          <w:szCs w:val="20"/>
        </w:rPr>
        <w:t xml:space="preserve"> vitae de </w:t>
      </w:r>
      <w:r w:rsidRPr="00BE7C7E">
        <w:rPr>
          <w:rFonts w:ascii="Verdana" w:hAnsi="Verdana" w:cs="Verdana"/>
          <w:sz w:val="20"/>
          <w:szCs w:val="20"/>
        </w:rPr>
        <w:t>la señora</w:t>
      </w:r>
      <w:r w:rsidRPr="00DD421D">
        <w:rPr>
          <w:rFonts w:ascii="Verdana" w:hAnsi="Verdana" w:cs="Verdana"/>
          <w:sz w:val="20"/>
          <w:szCs w:val="20"/>
        </w:rPr>
        <w:t xml:space="preserve"> </w:t>
      </w:r>
      <w:proofErr w:type="spellStart"/>
      <w:r w:rsidRPr="00BE7C7E">
        <w:rPr>
          <w:rFonts w:ascii="Verdana" w:hAnsi="Verdana" w:cs="Verdana"/>
          <w:sz w:val="20"/>
          <w:szCs w:val="20"/>
        </w:rPr>
        <w:t>Desiree</w:t>
      </w:r>
      <w:proofErr w:type="spellEnd"/>
      <w:r w:rsidRPr="00BE7C7E">
        <w:rPr>
          <w:rFonts w:ascii="Verdana" w:hAnsi="Verdana" w:cs="Verdana"/>
          <w:sz w:val="20"/>
          <w:szCs w:val="20"/>
        </w:rPr>
        <w:t xml:space="preserve"> </w:t>
      </w:r>
      <w:proofErr w:type="spellStart"/>
      <w:r w:rsidRPr="00BE7C7E">
        <w:rPr>
          <w:rFonts w:ascii="Verdana" w:hAnsi="Verdana" w:cs="Verdana"/>
          <w:sz w:val="20"/>
          <w:szCs w:val="20"/>
        </w:rPr>
        <w:t>Noelis</w:t>
      </w:r>
      <w:proofErr w:type="spellEnd"/>
      <w:r w:rsidRPr="00BE7C7E">
        <w:rPr>
          <w:rFonts w:ascii="Verdana" w:hAnsi="Verdana" w:cs="Verdana"/>
          <w:sz w:val="20"/>
          <w:szCs w:val="20"/>
        </w:rPr>
        <w:t xml:space="preserve"> </w:t>
      </w:r>
      <w:proofErr w:type="spellStart"/>
      <w:r w:rsidRPr="00BE7C7E">
        <w:rPr>
          <w:rFonts w:ascii="Verdana" w:hAnsi="Verdana" w:cs="Verdana"/>
          <w:sz w:val="20"/>
          <w:szCs w:val="20"/>
        </w:rPr>
        <w:t>Boada</w:t>
      </w:r>
      <w:proofErr w:type="spellEnd"/>
      <w:r w:rsidRPr="00BE7C7E">
        <w:rPr>
          <w:rFonts w:ascii="Verdana" w:hAnsi="Verdana" w:cs="Verdana"/>
          <w:sz w:val="20"/>
          <w:szCs w:val="20"/>
        </w:rPr>
        <w:t xml:space="preserve"> Guevara</w:t>
      </w:r>
      <w:r w:rsidRPr="00DD421D">
        <w:rPr>
          <w:rFonts w:ascii="Verdana" w:hAnsi="Verdana" w:cs="Verdana"/>
          <w:sz w:val="20"/>
          <w:szCs w:val="20"/>
        </w:rPr>
        <w:t xml:space="preserve"> se </w:t>
      </w:r>
      <w:r>
        <w:rPr>
          <w:rFonts w:ascii="Verdana" w:hAnsi="Verdana" w:cs="Verdana"/>
          <w:sz w:val="20"/>
          <w:szCs w:val="20"/>
        </w:rPr>
        <w:t xml:space="preserve">informa que se </w:t>
      </w:r>
      <w:r w:rsidRPr="00DD421D">
        <w:rPr>
          <w:rFonts w:ascii="Verdana" w:hAnsi="Verdana" w:cs="Verdana"/>
          <w:sz w:val="20"/>
          <w:szCs w:val="20"/>
        </w:rPr>
        <w:t xml:space="preserve">ha desempeñado durante </w:t>
      </w:r>
      <w:r w:rsidRPr="00BE7C7E">
        <w:rPr>
          <w:rFonts w:ascii="Verdana" w:hAnsi="Verdana" w:cs="Verdana"/>
          <w:sz w:val="20"/>
          <w:szCs w:val="20"/>
        </w:rPr>
        <w:t>aproximadamente una</w:t>
      </w:r>
      <w:r w:rsidRPr="00DD421D">
        <w:rPr>
          <w:rFonts w:ascii="Verdana" w:hAnsi="Verdana" w:cs="Verdana"/>
          <w:sz w:val="20"/>
          <w:szCs w:val="20"/>
        </w:rPr>
        <w:t xml:space="preserve"> </w:t>
      </w:r>
      <w:r w:rsidRPr="00BE7C7E">
        <w:rPr>
          <w:rFonts w:ascii="Verdana" w:hAnsi="Verdana" w:cs="Verdana"/>
          <w:sz w:val="20"/>
          <w:szCs w:val="20"/>
        </w:rPr>
        <w:t>década</w:t>
      </w:r>
      <w:r w:rsidRPr="00DD421D">
        <w:rPr>
          <w:rFonts w:ascii="Verdana" w:hAnsi="Verdana" w:cs="Verdana"/>
          <w:sz w:val="20"/>
          <w:szCs w:val="20"/>
        </w:rPr>
        <w:t xml:space="preserve"> como funcionari</w:t>
      </w:r>
      <w:r w:rsidRPr="00BE7C7E">
        <w:rPr>
          <w:rFonts w:ascii="Verdana" w:hAnsi="Verdana" w:cs="Verdana"/>
          <w:sz w:val="20"/>
          <w:szCs w:val="20"/>
        </w:rPr>
        <w:t>a pública</w:t>
      </w:r>
      <w:r w:rsidRPr="00DD421D">
        <w:rPr>
          <w:rFonts w:ascii="Verdana" w:hAnsi="Verdana" w:cs="Verdana"/>
          <w:sz w:val="20"/>
          <w:szCs w:val="20"/>
        </w:rPr>
        <w:t xml:space="preserve"> y que actualmente se desempeña como </w:t>
      </w:r>
      <w:r w:rsidRPr="00BE7C7E">
        <w:rPr>
          <w:rFonts w:ascii="Verdana" w:hAnsi="Verdana" w:cs="Verdana"/>
          <w:sz w:val="20"/>
          <w:szCs w:val="20"/>
        </w:rPr>
        <w:t xml:space="preserve">Fiscal Provisoria Trigésima Cuarta a Nivel Nacional con </w:t>
      </w:r>
      <w:r>
        <w:rPr>
          <w:rFonts w:ascii="Verdana" w:hAnsi="Verdana" w:cs="Verdana"/>
          <w:sz w:val="20"/>
          <w:szCs w:val="20"/>
        </w:rPr>
        <w:t>c</w:t>
      </w:r>
      <w:r w:rsidRPr="00BE7C7E">
        <w:rPr>
          <w:rFonts w:ascii="Verdana" w:hAnsi="Verdana" w:cs="Verdana"/>
          <w:sz w:val="20"/>
          <w:szCs w:val="20"/>
        </w:rPr>
        <w:t xml:space="preserve">ompetencia </w:t>
      </w:r>
      <w:r>
        <w:rPr>
          <w:rFonts w:ascii="Verdana" w:hAnsi="Verdana" w:cs="Verdana"/>
          <w:sz w:val="20"/>
          <w:szCs w:val="20"/>
        </w:rPr>
        <w:t>p</w:t>
      </w:r>
      <w:r w:rsidRPr="00BE7C7E">
        <w:rPr>
          <w:rFonts w:ascii="Verdana" w:hAnsi="Verdana" w:cs="Verdana"/>
          <w:sz w:val="20"/>
          <w:szCs w:val="20"/>
        </w:rPr>
        <w:t>lena, adscrita a la Dirección de Protección de Derechos Fundamentales</w:t>
      </w:r>
      <w:r w:rsidRPr="00DD421D">
        <w:rPr>
          <w:rFonts w:ascii="Verdana" w:hAnsi="Verdana" w:cs="Verdana"/>
          <w:sz w:val="20"/>
          <w:szCs w:val="20"/>
        </w:rPr>
        <w:t xml:space="preserve">, sin que conste que en su condición de </w:t>
      </w:r>
      <w:r w:rsidRPr="00BE7C7E">
        <w:rPr>
          <w:rFonts w:ascii="Verdana" w:hAnsi="Verdana" w:cs="Verdana"/>
          <w:sz w:val="20"/>
          <w:szCs w:val="20"/>
        </w:rPr>
        <w:t>Fiscal</w:t>
      </w:r>
      <w:r w:rsidRPr="00DD421D">
        <w:rPr>
          <w:rFonts w:ascii="Verdana" w:hAnsi="Verdana" w:cs="Verdana"/>
          <w:sz w:val="20"/>
          <w:szCs w:val="20"/>
        </w:rPr>
        <w:t xml:space="preserve"> haya emitido alguna decisión u opinión en relación con e</w:t>
      </w:r>
      <w:r>
        <w:rPr>
          <w:rFonts w:ascii="Verdana" w:hAnsi="Verdana" w:cs="Verdana"/>
          <w:sz w:val="20"/>
          <w:szCs w:val="20"/>
        </w:rPr>
        <w:t>l presente</w:t>
      </w:r>
      <w:r w:rsidRPr="00DD421D">
        <w:rPr>
          <w:rFonts w:ascii="Verdana" w:hAnsi="Verdana" w:cs="Verdana"/>
          <w:sz w:val="20"/>
          <w:szCs w:val="20"/>
        </w:rPr>
        <w:t xml:space="preserve"> caso. </w:t>
      </w:r>
      <w:r>
        <w:rPr>
          <w:rFonts w:ascii="Verdana" w:hAnsi="Verdana" w:cs="Verdana"/>
          <w:sz w:val="20"/>
          <w:szCs w:val="20"/>
        </w:rPr>
        <w:t>En virtud de ello, e</w:t>
      </w:r>
      <w:r w:rsidRPr="00DD421D">
        <w:rPr>
          <w:rFonts w:ascii="Verdana" w:hAnsi="Verdana" w:cs="Verdana"/>
          <w:sz w:val="20"/>
          <w:szCs w:val="20"/>
        </w:rPr>
        <w:t>l Presidente considera que, dado el objeto de su peritaje (</w:t>
      </w:r>
      <w:r w:rsidRPr="00DD421D">
        <w:rPr>
          <w:rFonts w:ascii="Verdana" w:hAnsi="Verdana" w:cs="Verdana"/>
          <w:i/>
          <w:iCs/>
          <w:sz w:val="20"/>
          <w:szCs w:val="20"/>
        </w:rPr>
        <w:t>supra</w:t>
      </w:r>
      <w:r w:rsidRPr="00DD421D">
        <w:rPr>
          <w:rFonts w:ascii="Verdana" w:hAnsi="Verdana" w:cs="Verdana"/>
          <w:sz w:val="20"/>
          <w:szCs w:val="20"/>
        </w:rPr>
        <w:t xml:space="preserve"> Considerando </w:t>
      </w:r>
      <w:r w:rsidR="008B6F08">
        <w:rPr>
          <w:rFonts w:ascii="Verdana" w:hAnsi="Verdana" w:cs="Verdana"/>
          <w:sz w:val="20"/>
          <w:szCs w:val="20"/>
        </w:rPr>
        <w:t>34</w:t>
      </w:r>
      <w:r w:rsidRPr="00DD421D">
        <w:rPr>
          <w:rFonts w:ascii="Verdana" w:hAnsi="Verdana" w:cs="Verdana"/>
          <w:sz w:val="20"/>
          <w:szCs w:val="20"/>
        </w:rPr>
        <w:t xml:space="preserve">), no hay </w:t>
      </w:r>
      <w:r w:rsidRPr="00E36B4D">
        <w:rPr>
          <w:rFonts w:ascii="Verdana" w:hAnsi="Verdana" w:cs="Verdana"/>
          <w:sz w:val="20"/>
          <w:szCs w:val="20"/>
        </w:rPr>
        <w:t xml:space="preserve">razones para considerar que dicho vínculo con el Estado tenga que afectar </w:t>
      </w:r>
      <w:r w:rsidR="00E36B4D">
        <w:rPr>
          <w:rFonts w:ascii="Verdana" w:hAnsi="Verdana" w:cs="Verdana"/>
          <w:sz w:val="20"/>
          <w:szCs w:val="20"/>
        </w:rPr>
        <w:t xml:space="preserve">su </w:t>
      </w:r>
      <w:r w:rsidRPr="00E36B4D">
        <w:rPr>
          <w:rFonts w:ascii="Verdana" w:hAnsi="Verdana" w:cs="Verdana"/>
          <w:sz w:val="20"/>
          <w:szCs w:val="20"/>
        </w:rPr>
        <w:t>imparcialidad para rendir el peritaje en este caso.</w:t>
      </w:r>
    </w:p>
    <w:p w:rsidR="007804B2" w:rsidRDefault="007804B2">
      <w:pPr>
        <w:pStyle w:val="ListParagraph"/>
        <w:widowControl w:val="0"/>
        <w:numPr>
          <w:ilvl w:val="1"/>
          <w:numId w:val="0"/>
        </w:numPr>
        <w:tabs>
          <w:tab w:val="num" w:pos="0"/>
          <w:tab w:val="left" w:pos="567"/>
        </w:tabs>
        <w:autoSpaceDE w:val="0"/>
        <w:autoSpaceDN w:val="0"/>
        <w:adjustRightInd w:val="0"/>
        <w:spacing w:after="0" w:line="240" w:lineRule="auto"/>
        <w:ind w:right="22"/>
        <w:jc w:val="both"/>
        <w:rPr>
          <w:rFonts w:ascii="Verdana" w:hAnsi="Verdana" w:cs="Verdana"/>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 xml:space="preserve">Con fundamento en lo anterior, el Presidente toma nota de los declarantes confirmados en la lista definitiva del Estado y </w:t>
      </w:r>
      <w:r w:rsidR="008B6F08">
        <w:rPr>
          <w:rFonts w:ascii="Verdana" w:hAnsi="Verdana" w:cs="Verdana"/>
          <w:sz w:val="20"/>
          <w:szCs w:val="20"/>
        </w:rPr>
        <w:t>considera procedente recibir la</w:t>
      </w:r>
      <w:r w:rsidRPr="00BE7C7E">
        <w:rPr>
          <w:rFonts w:ascii="Verdana" w:hAnsi="Verdana" w:cs="Verdana"/>
          <w:sz w:val="20"/>
          <w:szCs w:val="20"/>
        </w:rPr>
        <w:t xml:space="preserve"> declaraci</w:t>
      </w:r>
      <w:r w:rsidR="008B6F08">
        <w:rPr>
          <w:rFonts w:ascii="Verdana" w:hAnsi="Verdana" w:cs="Verdana"/>
          <w:sz w:val="20"/>
          <w:szCs w:val="20"/>
        </w:rPr>
        <w:t>ón de la</w:t>
      </w:r>
      <w:r w:rsidRPr="00BE7C7E">
        <w:rPr>
          <w:rFonts w:ascii="Verdana" w:hAnsi="Verdana" w:cs="Verdana"/>
          <w:sz w:val="20"/>
          <w:szCs w:val="20"/>
        </w:rPr>
        <w:t xml:space="preserve"> </w:t>
      </w:r>
      <w:r w:rsidR="008B6F08">
        <w:rPr>
          <w:rFonts w:ascii="Verdana" w:hAnsi="Verdana" w:cs="Verdana"/>
          <w:sz w:val="20"/>
          <w:szCs w:val="20"/>
        </w:rPr>
        <w:t>señora</w:t>
      </w:r>
      <w:r w:rsidRPr="00BE7C7E">
        <w:rPr>
          <w:rFonts w:ascii="Verdana" w:hAnsi="Verdana" w:cs="Verdana"/>
          <w:sz w:val="20"/>
          <w:szCs w:val="20"/>
        </w:rPr>
        <w:t xml:space="preserve"> </w:t>
      </w:r>
      <w:proofErr w:type="spellStart"/>
      <w:r w:rsidRPr="00DD421D">
        <w:rPr>
          <w:rFonts w:ascii="Verdana" w:hAnsi="Verdana" w:cs="Verdana"/>
          <w:sz w:val="20"/>
          <w:szCs w:val="20"/>
        </w:rPr>
        <w:t>Desiree</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Noelis</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Boada</w:t>
      </w:r>
      <w:proofErr w:type="spellEnd"/>
      <w:r w:rsidRPr="00DD421D">
        <w:rPr>
          <w:rFonts w:ascii="Verdana" w:hAnsi="Verdana" w:cs="Verdana"/>
          <w:sz w:val="20"/>
          <w:szCs w:val="20"/>
        </w:rPr>
        <w:t xml:space="preserve"> Guevara. El valor de las declaraciones propuestas por el Estado será apreciado en la debida oportunidad, dentro del contexto del acervo probatorio existente y según las reglas de la sana crítica. El objeto y la modalidad de los mismos se determina</w:t>
      </w:r>
      <w:r>
        <w:rPr>
          <w:rFonts w:ascii="Verdana" w:hAnsi="Verdana" w:cs="Verdana"/>
          <w:sz w:val="20"/>
          <w:szCs w:val="20"/>
        </w:rPr>
        <w:t>rán</w:t>
      </w:r>
      <w:r w:rsidRPr="00DD421D">
        <w:rPr>
          <w:rFonts w:ascii="Verdana" w:hAnsi="Verdana" w:cs="Verdana"/>
          <w:sz w:val="20"/>
          <w:szCs w:val="20"/>
        </w:rPr>
        <w:t xml:space="preserve"> en la parte resolutiva de la presente Resolución (</w:t>
      </w:r>
      <w:r w:rsidR="008B6F08">
        <w:rPr>
          <w:rFonts w:ascii="Verdana" w:hAnsi="Verdana" w:cs="Verdana"/>
          <w:i/>
          <w:iCs/>
          <w:sz w:val="20"/>
          <w:szCs w:val="20"/>
        </w:rPr>
        <w:t xml:space="preserve">infra punto resolutivo </w:t>
      </w:r>
      <w:r w:rsidR="008B6F08">
        <w:rPr>
          <w:rFonts w:ascii="Verdana" w:hAnsi="Verdana" w:cs="Verdana"/>
          <w:iCs/>
          <w:sz w:val="20"/>
          <w:szCs w:val="20"/>
        </w:rPr>
        <w:t>1</w:t>
      </w:r>
      <w:r w:rsidRPr="00DD421D">
        <w:rPr>
          <w:rFonts w:ascii="Verdana" w:hAnsi="Verdana" w:cs="Verdana"/>
          <w:i/>
          <w:iCs/>
          <w:sz w:val="20"/>
          <w:szCs w:val="20"/>
        </w:rPr>
        <w:t>).</w:t>
      </w:r>
    </w:p>
    <w:p w:rsidR="007804B2" w:rsidRDefault="007804B2">
      <w:pPr>
        <w:tabs>
          <w:tab w:val="left" w:pos="567"/>
        </w:tabs>
        <w:autoSpaceDE w:val="0"/>
        <w:autoSpaceDN w:val="0"/>
        <w:adjustRightInd w:val="0"/>
        <w:spacing w:after="0" w:line="240" w:lineRule="auto"/>
        <w:jc w:val="both"/>
        <w:rPr>
          <w:rFonts w:ascii="Verdana" w:hAnsi="Verdana" w:cs="Verdana"/>
          <w:sz w:val="20"/>
          <w:szCs w:val="20"/>
        </w:rPr>
      </w:pPr>
    </w:p>
    <w:p w:rsidR="007804B2" w:rsidRDefault="007804B2">
      <w:pPr>
        <w:pStyle w:val="ListParagraph"/>
        <w:widowControl w:val="0"/>
        <w:numPr>
          <w:ilvl w:val="0"/>
          <w:numId w:val="16"/>
        </w:numPr>
        <w:tabs>
          <w:tab w:val="left" w:pos="567"/>
        </w:tabs>
        <w:autoSpaceDE w:val="0"/>
        <w:autoSpaceDN w:val="0"/>
        <w:adjustRightInd w:val="0"/>
        <w:spacing w:after="0" w:line="240" w:lineRule="auto"/>
        <w:ind w:left="0" w:right="22" w:firstLine="0"/>
        <w:jc w:val="both"/>
        <w:rPr>
          <w:rFonts w:ascii="Verdana" w:hAnsi="Verdana" w:cs="Verdana"/>
          <w:b/>
          <w:bCs/>
          <w:sz w:val="20"/>
          <w:szCs w:val="20"/>
          <w:lang w:val="es-ES"/>
        </w:rPr>
      </w:pPr>
      <w:r w:rsidRPr="00DD421D">
        <w:rPr>
          <w:rFonts w:ascii="Verdana" w:hAnsi="Verdana" w:cs="Verdana"/>
          <w:b/>
          <w:bCs/>
          <w:sz w:val="20"/>
          <w:szCs w:val="20"/>
          <w:lang w:val="es-ES"/>
        </w:rPr>
        <w:t>Solicitud de la Comisión para formular preguntas a dos peritos ofrecidos por los representantes</w:t>
      </w:r>
    </w:p>
    <w:p w:rsidR="007804B2" w:rsidRDefault="007804B2">
      <w:pPr>
        <w:widowControl w:val="0"/>
        <w:tabs>
          <w:tab w:val="left" w:pos="567"/>
        </w:tabs>
        <w:autoSpaceDE w:val="0"/>
        <w:autoSpaceDN w:val="0"/>
        <w:adjustRightInd w:val="0"/>
        <w:spacing w:after="0" w:line="240" w:lineRule="auto"/>
        <w:ind w:right="22"/>
        <w:jc w:val="both"/>
        <w:rPr>
          <w:rFonts w:ascii="Verdana" w:hAnsi="Verdana" w:cs="Verdana"/>
          <w:b/>
          <w:bCs/>
          <w:sz w:val="20"/>
          <w:szCs w:val="20"/>
          <w:lang w:val="es-ES"/>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En su escrito de observaciones a las listas definitivas, la Comisión solicitó “la oportunidad verbal o escrita de formular preguntas, en la medida de lo relevante y razonable, a quienes rendirán dos de los peritajes ofrecidos por los representantes de las víctimas, cuyas declaraciones se relacionan tanto con el orden público interamericano como con la materia sobre la cual versan los peritajes ofrecidos por la Comisi</w:t>
      </w:r>
      <w:r w:rsidRPr="00DD421D">
        <w:rPr>
          <w:rFonts w:ascii="Verdana" w:hAnsi="Verdana" w:cs="Verdana"/>
          <w:sz w:val="20"/>
          <w:szCs w:val="20"/>
        </w:rPr>
        <w:t xml:space="preserve">ón Interamericana”. En este sentido, indicó que el peritaje de Diego </w:t>
      </w:r>
      <w:proofErr w:type="spellStart"/>
      <w:r w:rsidRPr="00DD421D">
        <w:rPr>
          <w:rFonts w:ascii="Verdana" w:hAnsi="Verdana" w:cs="Verdana"/>
          <w:sz w:val="20"/>
          <w:szCs w:val="20"/>
        </w:rPr>
        <w:t>Camaño</w:t>
      </w:r>
      <w:proofErr w:type="spellEnd"/>
      <w:r>
        <w:rPr>
          <w:rFonts w:ascii="Verdana" w:hAnsi="Verdana" w:cs="Verdana"/>
          <w:sz w:val="20"/>
          <w:szCs w:val="20"/>
        </w:rPr>
        <w:t xml:space="preserve"> </w:t>
      </w:r>
      <w:r w:rsidRPr="00DD421D">
        <w:rPr>
          <w:rFonts w:ascii="Verdana" w:hAnsi="Verdana" w:cs="Verdana"/>
          <w:sz w:val="20"/>
          <w:szCs w:val="20"/>
        </w:rPr>
        <w:t xml:space="preserve">se relaciona directamente con el peritaje de </w:t>
      </w:r>
      <w:proofErr w:type="spellStart"/>
      <w:r w:rsidRPr="00DD421D">
        <w:rPr>
          <w:rFonts w:ascii="Verdana" w:hAnsi="Verdana" w:cs="Verdana"/>
          <w:sz w:val="20"/>
          <w:szCs w:val="20"/>
        </w:rPr>
        <w:t>Denotil</w:t>
      </w:r>
      <w:r>
        <w:rPr>
          <w:rFonts w:ascii="Verdana" w:hAnsi="Verdana" w:cs="Verdana"/>
          <w:sz w:val="20"/>
          <w:szCs w:val="20"/>
        </w:rPr>
        <w:t>i</w:t>
      </w:r>
      <w:r w:rsidRPr="00DD421D">
        <w:rPr>
          <w:rFonts w:ascii="Verdana" w:hAnsi="Verdana" w:cs="Verdana"/>
          <w:sz w:val="20"/>
          <w:szCs w:val="20"/>
        </w:rPr>
        <w:t>a</w:t>
      </w:r>
      <w:proofErr w:type="spellEnd"/>
      <w:r w:rsidRPr="00DD421D">
        <w:rPr>
          <w:rFonts w:ascii="Verdana" w:hAnsi="Verdana" w:cs="Verdana"/>
          <w:sz w:val="20"/>
          <w:szCs w:val="20"/>
        </w:rPr>
        <w:t xml:space="preserve"> Hernández de Hernández ofrecido por los representantes. Asimismo, manifestó que el peritaje de Hugo </w:t>
      </w:r>
      <w:proofErr w:type="spellStart"/>
      <w:r w:rsidRPr="00DD421D">
        <w:rPr>
          <w:rFonts w:ascii="Verdana" w:hAnsi="Verdana" w:cs="Verdana"/>
          <w:sz w:val="20"/>
          <w:szCs w:val="20"/>
        </w:rPr>
        <w:t>Fruhling</w:t>
      </w:r>
      <w:proofErr w:type="spellEnd"/>
      <w:r w:rsidRPr="00DD421D">
        <w:rPr>
          <w:rFonts w:ascii="Verdana" w:hAnsi="Verdana" w:cs="Verdana"/>
          <w:sz w:val="20"/>
          <w:szCs w:val="20"/>
        </w:rPr>
        <w:t xml:space="preserve"> se relaciona con el peritaje de Calixto Ávila, ofrecido por los representantes.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Pr="00E831D0"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E831D0">
        <w:rPr>
          <w:rFonts w:ascii="Verdana" w:hAnsi="Verdana" w:cs="Verdana"/>
          <w:sz w:val="20"/>
          <w:szCs w:val="20"/>
        </w:rPr>
        <w:t xml:space="preserve">El Presidente recuerda que admitió el ofrecimiento del peritaje de Diego </w:t>
      </w:r>
      <w:proofErr w:type="spellStart"/>
      <w:r w:rsidRPr="00E831D0">
        <w:rPr>
          <w:rFonts w:ascii="Verdana" w:hAnsi="Verdana" w:cs="Verdana"/>
          <w:sz w:val="20"/>
          <w:szCs w:val="20"/>
        </w:rPr>
        <w:t>Camaño</w:t>
      </w:r>
      <w:proofErr w:type="spellEnd"/>
      <w:r w:rsidRPr="00E831D0">
        <w:rPr>
          <w:rFonts w:ascii="Verdana" w:hAnsi="Verdana" w:cs="Verdana"/>
          <w:sz w:val="20"/>
          <w:szCs w:val="20"/>
        </w:rPr>
        <w:t xml:space="preserve"> (</w:t>
      </w:r>
      <w:r w:rsidRPr="00E831D0">
        <w:rPr>
          <w:rFonts w:ascii="Verdana" w:hAnsi="Verdana" w:cs="Verdana"/>
          <w:i/>
          <w:iCs/>
          <w:sz w:val="20"/>
          <w:szCs w:val="20"/>
        </w:rPr>
        <w:t>supra</w:t>
      </w:r>
      <w:r w:rsidRPr="00E831D0">
        <w:rPr>
          <w:rFonts w:ascii="Verdana" w:hAnsi="Verdana" w:cs="Verdana"/>
          <w:sz w:val="20"/>
          <w:szCs w:val="20"/>
        </w:rPr>
        <w:t xml:space="preserve"> Considerando </w:t>
      </w:r>
      <w:r w:rsidR="008B6F08">
        <w:rPr>
          <w:rFonts w:ascii="Verdana" w:hAnsi="Verdana" w:cs="Verdana"/>
          <w:sz w:val="20"/>
          <w:szCs w:val="20"/>
        </w:rPr>
        <w:t>11</w:t>
      </w:r>
      <w:r w:rsidRPr="00E831D0">
        <w:rPr>
          <w:rFonts w:ascii="Verdana" w:hAnsi="Verdana" w:cs="Verdana"/>
          <w:sz w:val="20"/>
          <w:szCs w:val="20"/>
        </w:rPr>
        <w:t xml:space="preserve">) y de Hugo </w:t>
      </w:r>
      <w:proofErr w:type="spellStart"/>
      <w:r w:rsidRPr="00E831D0">
        <w:rPr>
          <w:rFonts w:ascii="Verdana" w:hAnsi="Verdana" w:cs="Verdana"/>
          <w:sz w:val="20"/>
          <w:szCs w:val="20"/>
        </w:rPr>
        <w:t>Fruhling</w:t>
      </w:r>
      <w:proofErr w:type="spellEnd"/>
      <w:r w:rsidRPr="00E831D0">
        <w:rPr>
          <w:rFonts w:ascii="Verdana" w:hAnsi="Verdana" w:cs="Verdana"/>
          <w:sz w:val="20"/>
          <w:szCs w:val="20"/>
        </w:rPr>
        <w:t xml:space="preserve"> (</w:t>
      </w:r>
      <w:r w:rsidRPr="00E831D0">
        <w:rPr>
          <w:rFonts w:ascii="Verdana" w:hAnsi="Verdana" w:cs="Verdana"/>
          <w:i/>
          <w:iCs/>
          <w:sz w:val="20"/>
          <w:szCs w:val="20"/>
        </w:rPr>
        <w:t>supra</w:t>
      </w:r>
      <w:r w:rsidRPr="00E831D0">
        <w:rPr>
          <w:rFonts w:ascii="Verdana" w:hAnsi="Verdana" w:cs="Verdana"/>
          <w:sz w:val="20"/>
          <w:szCs w:val="20"/>
        </w:rPr>
        <w:t xml:space="preserve"> Considerando </w:t>
      </w:r>
      <w:r w:rsidR="008B6F08">
        <w:rPr>
          <w:rFonts w:ascii="Verdana" w:hAnsi="Verdana" w:cs="Verdana"/>
          <w:sz w:val="20"/>
          <w:szCs w:val="20"/>
        </w:rPr>
        <w:t>10</w:t>
      </w:r>
      <w:r w:rsidRPr="00E831D0">
        <w:rPr>
          <w:rFonts w:ascii="Verdana" w:hAnsi="Verdana" w:cs="Verdana"/>
          <w:sz w:val="20"/>
          <w:szCs w:val="20"/>
        </w:rPr>
        <w:t>). Ello incide en el análisis de la solicitud de la Comisión de formular preguntas.</w:t>
      </w:r>
    </w:p>
    <w:p w:rsidR="007804B2" w:rsidRDefault="007804B2">
      <w:pPr>
        <w:spacing w:after="0" w:line="240" w:lineRule="auto"/>
        <w:jc w:val="both"/>
        <w:rPr>
          <w:rFonts w:ascii="Verdana" w:hAnsi="Verdana" w:cs="Verdana"/>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DD421D">
        <w:rPr>
          <w:rFonts w:ascii="Verdana" w:hAnsi="Verdana" w:cs="Verdana"/>
          <w:sz w:val="20"/>
          <w:szCs w:val="20"/>
        </w:rPr>
        <w:t>Respecto a dicha solicitud de la Comisión, el Presidente recuerda lo establecido en el artículo 50.5 del Reglamento, el cual establece que “[l]as presuntas víctimas o sus representantes, el Estado demandado y, en su caso, el Estado demandante podrán formular preguntas por escrito a los declarantes ofrecidos por la contraparte y, en su caso, por la Comisión, que hayan sido llamados a prestar declaración ante fedatario público (</w:t>
      </w:r>
      <w:r w:rsidRPr="00DD421D">
        <w:rPr>
          <w:rFonts w:ascii="Verdana" w:hAnsi="Verdana" w:cs="Verdana"/>
          <w:i/>
          <w:iCs/>
          <w:sz w:val="20"/>
          <w:szCs w:val="20"/>
        </w:rPr>
        <w:t>affidávit</w:t>
      </w:r>
      <w:r w:rsidRPr="00DD421D">
        <w:rPr>
          <w:rFonts w:ascii="Verdana" w:hAnsi="Verdana" w:cs="Verdana"/>
          <w:sz w:val="20"/>
          <w:szCs w:val="20"/>
        </w:rPr>
        <w:t>)”. Dicha norma debe ser leída en conjunto con el artículo 52.3 del Reglamento, que prevé la posibilidad de que la Comisión interrogue a los peritos declarantes presentados por las partes, “si la Corte lo autoriza a solicitud fundada de la Comisión, cuando se afecte de manera relevante el orden público interamericano de los derechos humanos y su declaración verse sobre alguna materia contenida en un peritaje ofrecido por la Comisión”. De modo tal que corresponde a la Comisión fundamentar en cada caso cuál es la vinculación tanto con el orden público interamericano como con la materia sobre la que verse un peritaje ofrecido por la misma, para que la Corte o su Presidencia pueda evaluar la solicitud oportunamente y, si corresponde, autorizar la posibilidad de que la Comisión haga su interrogatorio</w:t>
      </w:r>
      <w:r w:rsidRPr="00BE7C7E">
        <w:rPr>
          <w:rStyle w:val="FootnoteReference"/>
          <w:rFonts w:ascii="Verdana" w:hAnsi="Verdana" w:cs="Verdana"/>
          <w:sz w:val="20"/>
          <w:szCs w:val="20"/>
        </w:rPr>
        <w:footnoteReference w:id="23"/>
      </w:r>
      <w:r w:rsidRPr="00DD421D">
        <w:rPr>
          <w:rFonts w:ascii="Verdana" w:hAnsi="Verdana" w:cs="Verdana"/>
          <w:sz w:val="20"/>
          <w:szCs w:val="20"/>
        </w:rPr>
        <w:t>.</w:t>
      </w:r>
      <w:r w:rsidRPr="00BE7C7E">
        <w:rPr>
          <w:rFonts w:ascii="Verdana" w:hAnsi="Verdana" w:cs="Verdana"/>
          <w:sz w:val="20"/>
          <w:szCs w:val="20"/>
        </w:rPr>
        <w:t xml:space="preserve">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DD421D">
        <w:rPr>
          <w:rFonts w:ascii="Verdana" w:hAnsi="Verdana" w:cs="Verdana"/>
          <w:sz w:val="20"/>
          <w:szCs w:val="20"/>
        </w:rPr>
        <w:t>El Presidente determinó que el objeto del peritaje propuesto por la Comisión concierne al orden público interamericano en la medida en que implica un análisis de</w:t>
      </w:r>
      <w:r>
        <w:rPr>
          <w:rFonts w:ascii="Verdana" w:hAnsi="Verdana" w:cs="Verdana"/>
          <w:sz w:val="20"/>
          <w:szCs w:val="20"/>
        </w:rPr>
        <w:t xml:space="preserve"> </w:t>
      </w:r>
      <w:r w:rsidRPr="00DD421D">
        <w:rPr>
          <w:rFonts w:ascii="Verdana" w:hAnsi="Verdana" w:cs="Verdana"/>
          <w:sz w:val="20"/>
          <w:szCs w:val="20"/>
          <w:lang w:val="es-CR"/>
        </w:rPr>
        <w:t>las obligaciones estatales en materia de libertad personal cuando se trata de adolescentes</w:t>
      </w:r>
      <w:r w:rsidRPr="00DD421D">
        <w:rPr>
          <w:rFonts w:ascii="Verdana" w:hAnsi="Verdana" w:cs="Verdana"/>
          <w:sz w:val="20"/>
          <w:szCs w:val="20"/>
        </w:rPr>
        <w:t xml:space="preserve"> (</w:t>
      </w:r>
      <w:r w:rsidRPr="00DD421D">
        <w:rPr>
          <w:rFonts w:ascii="Verdana" w:hAnsi="Verdana" w:cs="Verdana"/>
          <w:i/>
          <w:iCs/>
          <w:sz w:val="20"/>
          <w:szCs w:val="20"/>
        </w:rPr>
        <w:t>supra</w:t>
      </w:r>
      <w:r w:rsidRPr="00DD421D">
        <w:rPr>
          <w:rFonts w:ascii="Verdana" w:hAnsi="Verdana" w:cs="Verdana"/>
          <w:sz w:val="20"/>
          <w:szCs w:val="20"/>
        </w:rPr>
        <w:t xml:space="preserve"> Considerando </w:t>
      </w:r>
      <w:r w:rsidR="008B6F08">
        <w:rPr>
          <w:rFonts w:ascii="Verdana" w:hAnsi="Verdana" w:cs="Verdana"/>
          <w:sz w:val="20"/>
          <w:szCs w:val="20"/>
        </w:rPr>
        <w:t>11</w:t>
      </w:r>
      <w:r w:rsidRPr="00DD421D">
        <w:rPr>
          <w:rFonts w:ascii="Verdana" w:hAnsi="Verdana" w:cs="Verdana"/>
          <w:sz w:val="20"/>
          <w:szCs w:val="20"/>
        </w:rPr>
        <w:t xml:space="preserve">). Asimismo, el Presidente ha constatado que </w:t>
      </w:r>
      <w:r w:rsidRPr="00DD421D">
        <w:rPr>
          <w:rFonts w:ascii="Verdana" w:hAnsi="Verdana" w:cs="Verdana"/>
          <w:sz w:val="20"/>
          <w:szCs w:val="20"/>
          <w:lang w:val="es-CR"/>
        </w:rPr>
        <w:t xml:space="preserve">el peritaje de </w:t>
      </w:r>
      <w:proofErr w:type="spellStart"/>
      <w:r w:rsidRPr="00DD421D">
        <w:rPr>
          <w:rFonts w:ascii="Verdana" w:hAnsi="Verdana" w:cs="Verdana"/>
          <w:sz w:val="20"/>
          <w:szCs w:val="20"/>
        </w:rPr>
        <w:t>Denotil</w:t>
      </w:r>
      <w:r>
        <w:rPr>
          <w:rFonts w:ascii="Verdana" w:hAnsi="Verdana" w:cs="Verdana"/>
          <w:sz w:val="20"/>
          <w:szCs w:val="20"/>
        </w:rPr>
        <w:t>i</w:t>
      </w:r>
      <w:r w:rsidRPr="00DD421D">
        <w:rPr>
          <w:rFonts w:ascii="Verdana" w:hAnsi="Verdana" w:cs="Verdana"/>
          <w:sz w:val="20"/>
          <w:szCs w:val="20"/>
        </w:rPr>
        <w:t>a</w:t>
      </w:r>
      <w:proofErr w:type="spellEnd"/>
      <w:r w:rsidRPr="00DD421D">
        <w:rPr>
          <w:rFonts w:ascii="Verdana" w:hAnsi="Verdana" w:cs="Verdana"/>
          <w:sz w:val="20"/>
          <w:szCs w:val="20"/>
        </w:rPr>
        <w:t xml:space="preserve"> Hernández de Hernández, </w:t>
      </w:r>
      <w:r w:rsidRPr="00DD421D">
        <w:rPr>
          <w:rFonts w:ascii="Verdana" w:hAnsi="Verdana" w:cs="Verdana"/>
          <w:sz w:val="20"/>
          <w:szCs w:val="20"/>
          <w:lang w:val="es-CR"/>
        </w:rPr>
        <w:t>propuest</w:t>
      </w:r>
      <w:r>
        <w:rPr>
          <w:rFonts w:ascii="Verdana" w:hAnsi="Verdana" w:cs="Verdana"/>
          <w:sz w:val="20"/>
          <w:szCs w:val="20"/>
          <w:lang w:val="es-CR"/>
        </w:rPr>
        <w:t>o</w:t>
      </w:r>
      <w:r w:rsidRPr="00DD421D">
        <w:rPr>
          <w:rFonts w:ascii="Verdana" w:hAnsi="Verdana" w:cs="Verdana"/>
          <w:sz w:val="20"/>
          <w:szCs w:val="20"/>
          <w:lang w:val="es-CR"/>
        </w:rPr>
        <w:t xml:space="preserve"> por los representantes, se refiere fundamentalmente a la situación y ordenamiento jurídico de Venezuela</w:t>
      </w:r>
      <w:r>
        <w:rPr>
          <w:rFonts w:ascii="Verdana" w:hAnsi="Verdana" w:cs="Verdana"/>
          <w:sz w:val="20"/>
          <w:szCs w:val="20"/>
          <w:lang w:val="es-CR"/>
        </w:rPr>
        <w:t xml:space="preserve">, ya que se centra en la legislación venezolana relacionada con la protección de la niñez, su aplicación en el ámbito penal y el grado de cumplimiento de los estándares internacionales en la materia, por parte de las autoridades venezolanas, lo cual no se vincula directamente con el objeto del peritaje del señor </w:t>
      </w:r>
      <w:proofErr w:type="spellStart"/>
      <w:r>
        <w:rPr>
          <w:rFonts w:ascii="Verdana" w:hAnsi="Verdana" w:cs="Verdana"/>
          <w:sz w:val="20"/>
          <w:szCs w:val="20"/>
          <w:lang w:val="es-CR"/>
        </w:rPr>
        <w:t>Camaño</w:t>
      </w:r>
      <w:proofErr w:type="spellEnd"/>
      <w:r>
        <w:rPr>
          <w:rFonts w:ascii="Verdana" w:hAnsi="Verdana" w:cs="Verdana"/>
          <w:sz w:val="20"/>
          <w:szCs w:val="20"/>
          <w:lang w:val="es-CR"/>
        </w:rPr>
        <w:t>.</w:t>
      </w:r>
    </w:p>
    <w:p w:rsidR="007804B2" w:rsidRDefault="007804B2">
      <w:pPr>
        <w:pStyle w:val="ListParagraph"/>
        <w:spacing w:after="0" w:line="240" w:lineRule="auto"/>
        <w:jc w:val="both"/>
        <w:rPr>
          <w:rFonts w:ascii="Verdana" w:hAnsi="Verdana" w:cs="Verdana"/>
          <w:sz w:val="20"/>
          <w:szCs w:val="20"/>
          <w:lang w:val="es-CR"/>
        </w:rPr>
      </w:pPr>
    </w:p>
    <w:p w:rsidR="007804B2" w:rsidRPr="00EE0E36" w:rsidRDefault="007804B2" w:rsidP="00EE0E36">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lang w:val="es-CR"/>
        </w:rPr>
        <w:t xml:space="preserve">Por tanto, conforme a los artículos 50.5 y 52.3 del Reglamento, no resulta procedente la solicitud de la Comisión de formular preguntas a la perita </w:t>
      </w:r>
      <w:proofErr w:type="spellStart"/>
      <w:r w:rsidRPr="00BE7C7E">
        <w:rPr>
          <w:rFonts w:ascii="Verdana" w:hAnsi="Verdana" w:cs="Verdana"/>
          <w:sz w:val="20"/>
          <w:szCs w:val="20"/>
        </w:rPr>
        <w:t>Denotil</w:t>
      </w:r>
      <w:r>
        <w:rPr>
          <w:rFonts w:ascii="Verdana" w:hAnsi="Verdana" w:cs="Verdana"/>
          <w:sz w:val="20"/>
          <w:szCs w:val="20"/>
        </w:rPr>
        <w:t>i</w:t>
      </w:r>
      <w:r w:rsidRPr="00BE7C7E">
        <w:rPr>
          <w:rFonts w:ascii="Verdana" w:hAnsi="Verdana" w:cs="Verdana"/>
          <w:sz w:val="20"/>
          <w:szCs w:val="20"/>
        </w:rPr>
        <w:t>a</w:t>
      </w:r>
      <w:proofErr w:type="spellEnd"/>
      <w:r w:rsidRPr="00BE7C7E">
        <w:rPr>
          <w:rFonts w:ascii="Verdana" w:hAnsi="Verdana" w:cs="Verdana"/>
          <w:sz w:val="20"/>
          <w:szCs w:val="20"/>
        </w:rPr>
        <w:t xml:space="preserve"> Hernández de Hernández</w:t>
      </w:r>
      <w:r w:rsidRPr="00BE7C7E">
        <w:rPr>
          <w:rFonts w:ascii="Verdana" w:hAnsi="Verdana" w:cs="Verdana"/>
          <w:sz w:val="20"/>
          <w:szCs w:val="20"/>
          <w:lang w:val="es-CR"/>
        </w:rPr>
        <w:t xml:space="preserve">. </w:t>
      </w:r>
    </w:p>
    <w:p w:rsidR="007804B2" w:rsidRPr="00EE0E36" w:rsidRDefault="007804B2" w:rsidP="00EE0E36">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Pr="006A603B" w:rsidRDefault="007804B2" w:rsidP="006A603B">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Pr>
          <w:rFonts w:ascii="Verdana" w:hAnsi="Verdana" w:cs="Verdana"/>
          <w:sz w:val="20"/>
          <w:szCs w:val="20"/>
        </w:rPr>
        <w:t>Por otra parte, respecto a la solicitud para realizar preguntas el perito</w:t>
      </w:r>
      <w:r w:rsidRPr="00EE0E36">
        <w:rPr>
          <w:rFonts w:ascii="Verdana" w:hAnsi="Verdana" w:cs="Verdana"/>
          <w:sz w:val="20"/>
          <w:szCs w:val="20"/>
        </w:rPr>
        <w:t xml:space="preserve"> Calixto Ávila</w:t>
      </w:r>
      <w:r>
        <w:rPr>
          <w:rFonts w:ascii="Verdana" w:hAnsi="Verdana" w:cs="Verdana"/>
          <w:sz w:val="20"/>
          <w:szCs w:val="20"/>
        </w:rPr>
        <w:t xml:space="preserve">, esta Presidencia constata que el peritaje del señor </w:t>
      </w:r>
      <w:proofErr w:type="spellStart"/>
      <w:r>
        <w:rPr>
          <w:rFonts w:ascii="Verdana" w:hAnsi="Verdana" w:cs="Verdana"/>
          <w:sz w:val="20"/>
          <w:szCs w:val="20"/>
        </w:rPr>
        <w:t>Fruhling</w:t>
      </w:r>
      <w:proofErr w:type="spellEnd"/>
      <w:r>
        <w:rPr>
          <w:rFonts w:ascii="Verdana" w:hAnsi="Verdana" w:cs="Verdana"/>
          <w:sz w:val="20"/>
          <w:szCs w:val="20"/>
        </w:rPr>
        <w:t xml:space="preserve"> se encuentra relacionada con “</w:t>
      </w:r>
      <w:r w:rsidRPr="00982173">
        <w:rPr>
          <w:rFonts w:ascii="Verdana" w:hAnsi="Verdana" w:cs="Verdana"/>
          <w:sz w:val="20"/>
          <w:szCs w:val="20"/>
          <w:lang w:val="es-CR"/>
        </w:rPr>
        <w:t xml:space="preserve">las obligaciones estatales para responder a contextos generales de </w:t>
      </w:r>
      <w:r w:rsidRPr="00982173">
        <w:rPr>
          <w:rFonts w:ascii="Verdana" w:hAnsi="Verdana" w:cs="Verdana"/>
          <w:sz w:val="20"/>
          <w:szCs w:val="20"/>
          <w:lang w:val="es-CR"/>
        </w:rPr>
        <w:lastRenderedPageBreak/>
        <w:t xml:space="preserve">ejecuciones extrajudiciales, desde una perspectiva integral”. Mientras que el peritaje del señor Ávila se relaciona con </w:t>
      </w:r>
      <w:r>
        <w:rPr>
          <w:rFonts w:ascii="Verdana" w:hAnsi="Verdana" w:cs="Verdana"/>
          <w:sz w:val="20"/>
          <w:szCs w:val="20"/>
          <w:lang w:val="es-CR"/>
        </w:rPr>
        <w:t xml:space="preserve">el </w:t>
      </w:r>
      <w:r w:rsidRPr="00982173">
        <w:rPr>
          <w:rFonts w:ascii="Verdana" w:hAnsi="Verdana" w:cs="Verdana"/>
          <w:sz w:val="20"/>
          <w:szCs w:val="20"/>
          <w:lang w:val="es-CR"/>
        </w:rPr>
        <w:t>“contexto de violencia cometida por de cuerpos de seguridad nacionales y estatales en Venezuela, en particular sobre el fenómeno de ejecuciones extrajudiciales por parte de agentes policiales y el grado de impunidad que prevalece en relación con estos crímenes”</w:t>
      </w:r>
      <w:r>
        <w:rPr>
          <w:rFonts w:ascii="Verdana" w:hAnsi="Verdana" w:cs="Verdana"/>
          <w:sz w:val="20"/>
          <w:szCs w:val="20"/>
          <w:lang w:val="es-CR"/>
        </w:rPr>
        <w:t>. De manera que</w:t>
      </w:r>
      <w:r w:rsidR="008B6F08">
        <w:rPr>
          <w:rFonts w:ascii="Verdana" w:hAnsi="Verdana" w:cs="Verdana"/>
          <w:sz w:val="20"/>
          <w:szCs w:val="20"/>
          <w:lang w:val="es-CR"/>
        </w:rPr>
        <w:t>,</w:t>
      </w:r>
      <w:r>
        <w:rPr>
          <w:rFonts w:ascii="Verdana" w:hAnsi="Verdana" w:cs="Verdana"/>
          <w:sz w:val="20"/>
          <w:szCs w:val="20"/>
          <w:lang w:val="es-CR"/>
        </w:rPr>
        <w:t xml:space="preserve"> si bien los dos peritajes versan de forma general sobre ejecuciones extrajudiciales, en particular cada uno abordará el tema desde perspectivas distintas y hará referencia a tipos de obligaciones diferenciadas, razón por lo cual no se encuentra una concordancia con los dos peritajes y por tanto no se acepta la solicitud de la Comisión para formular preguntas</w:t>
      </w:r>
      <w:r w:rsidR="008B6F08">
        <w:rPr>
          <w:rFonts w:ascii="Verdana" w:hAnsi="Verdana" w:cs="Verdana"/>
          <w:sz w:val="20"/>
          <w:szCs w:val="20"/>
          <w:lang w:val="es-CR"/>
        </w:rPr>
        <w:t xml:space="preserve"> al perito Ávila</w:t>
      </w:r>
      <w:r>
        <w:rPr>
          <w:rFonts w:ascii="Verdana" w:hAnsi="Verdana" w:cs="Verdana"/>
          <w:sz w:val="20"/>
          <w:szCs w:val="20"/>
          <w:lang w:val="es-CR"/>
        </w:rPr>
        <w:t>.</w:t>
      </w:r>
    </w:p>
    <w:p w:rsidR="007804B2" w:rsidRPr="006A603B" w:rsidRDefault="007804B2" w:rsidP="006A603B">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widowControl w:val="0"/>
        <w:numPr>
          <w:ilvl w:val="0"/>
          <w:numId w:val="16"/>
        </w:numPr>
        <w:tabs>
          <w:tab w:val="left" w:pos="567"/>
        </w:tabs>
        <w:autoSpaceDE w:val="0"/>
        <w:autoSpaceDN w:val="0"/>
        <w:adjustRightInd w:val="0"/>
        <w:spacing w:after="0" w:line="240" w:lineRule="auto"/>
        <w:ind w:left="0" w:right="22" w:firstLine="0"/>
        <w:jc w:val="both"/>
        <w:rPr>
          <w:rFonts w:ascii="Verdana" w:hAnsi="Verdana" w:cs="Verdana"/>
          <w:b/>
          <w:bCs/>
          <w:sz w:val="20"/>
          <w:szCs w:val="20"/>
          <w:lang w:val="es-ES"/>
        </w:rPr>
      </w:pPr>
      <w:r w:rsidRPr="00BE7C7E">
        <w:rPr>
          <w:rFonts w:ascii="Verdana" w:hAnsi="Verdana" w:cs="Verdana"/>
          <w:b/>
          <w:bCs/>
          <w:sz w:val="20"/>
          <w:szCs w:val="20"/>
          <w:lang w:val="es-ES"/>
        </w:rPr>
        <w:t>Modalidad de las declaraciones y dictámenes periciales</w:t>
      </w:r>
    </w:p>
    <w:p w:rsidR="007804B2" w:rsidRDefault="007804B2">
      <w:pPr>
        <w:pStyle w:val="ListParagraph"/>
        <w:spacing w:after="0" w:line="240" w:lineRule="auto"/>
        <w:ind w:left="0"/>
        <w:jc w:val="both"/>
        <w:rPr>
          <w:rFonts w:ascii="Verdana" w:hAnsi="Verdana" w:cs="Verdana"/>
          <w:sz w:val="20"/>
          <w:szCs w:val="20"/>
          <w:lang w:val="es-ES"/>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Es necesario asegurar el conocimiento de la verdad y la más amplia presentación de hechos y argumentos por las partes, en todo lo que sea pertinente para la solución de las cuestiones controvertidas, garantizando a éstas tanto el derecho a la defensa de sus respectivas posiciones como la posibilidad de atender adecuadamente los casos sujetos a consideración de la Corte, teniendo en cuenta que su número ha crecido considerablemente y se incrementa de manera constante. Asimismo, es necesario que se garantice un plazo razonable en la duración del proceso, como lo requiere el efectivo acceso a la justicia. En razón de lo anterior, es preciso recibir por declaración rendida ante fedatario público (</w:t>
      </w:r>
      <w:r w:rsidRPr="00BE7C7E">
        <w:rPr>
          <w:rFonts w:ascii="Verdana" w:hAnsi="Verdana" w:cs="Verdana"/>
          <w:i/>
          <w:iCs/>
          <w:sz w:val="20"/>
          <w:szCs w:val="20"/>
        </w:rPr>
        <w:t>affidá</w:t>
      </w:r>
      <w:r w:rsidRPr="00DD421D">
        <w:rPr>
          <w:rFonts w:ascii="Verdana" w:hAnsi="Verdana" w:cs="Verdana"/>
          <w:i/>
          <w:iCs/>
          <w:sz w:val="20"/>
          <w:szCs w:val="20"/>
        </w:rPr>
        <w:t>vit</w:t>
      </w:r>
      <w:r w:rsidRPr="00DD421D">
        <w:rPr>
          <w:rFonts w:ascii="Verdana" w:hAnsi="Verdana" w:cs="Verdana"/>
          <w:sz w:val="20"/>
          <w:szCs w:val="20"/>
        </w:rPr>
        <w:t xml:space="preserve">) el mayor número posible de declaraciones y escuchar en audiencia pública a las presuntas víctimas y peritos cuya declaración directa resulte verdaderamente indispensable tomando en cuenta las circunstancias del caso y el objeto de las declaraciones y dictámenes. </w:t>
      </w:r>
    </w:p>
    <w:p w:rsidR="007804B2" w:rsidRDefault="007804B2">
      <w:pPr>
        <w:pStyle w:val="ListParagraph"/>
        <w:spacing w:after="0" w:line="240" w:lineRule="auto"/>
        <w:ind w:left="0"/>
        <w:jc w:val="both"/>
        <w:rPr>
          <w:rFonts w:ascii="Verdana" w:hAnsi="Verdana" w:cs="Verdana"/>
          <w:sz w:val="20"/>
          <w:szCs w:val="20"/>
          <w:lang w:val="es-ES"/>
        </w:rPr>
      </w:pPr>
    </w:p>
    <w:p w:rsidR="007804B2" w:rsidRDefault="007804B2">
      <w:pPr>
        <w:pStyle w:val="ListParagraph"/>
        <w:tabs>
          <w:tab w:val="left" w:pos="851"/>
        </w:tabs>
        <w:autoSpaceDE w:val="0"/>
        <w:autoSpaceDN w:val="0"/>
        <w:adjustRightInd w:val="0"/>
        <w:spacing w:after="0" w:line="240" w:lineRule="auto"/>
        <w:ind w:left="851"/>
        <w:jc w:val="both"/>
        <w:rPr>
          <w:rFonts w:ascii="Verdana" w:hAnsi="Verdana" w:cs="Verdana"/>
          <w:b/>
          <w:bCs/>
          <w:sz w:val="20"/>
          <w:szCs w:val="20"/>
        </w:rPr>
      </w:pPr>
      <w:r w:rsidRPr="00DD421D">
        <w:rPr>
          <w:rFonts w:ascii="Verdana" w:hAnsi="Verdana" w:cs="Verdana"/>
          <w:b/>
          <w:bCs/>
          <w:sz w:val="20"/>
          <w:szCs w:val="20"/>
          <w:lang w:val="es-ES"/>
        </w:rPr>
        <w:t>E</w:t>
      </w:r>
      <w:r w:rsidRPr="00DD421D">
        <w:rPr>
          <w:rFonts w:ascii="Verdana" w:hAnsi="Verdana" w:cs="Verdana"/>
          <w:b/>
          <w:bCs/>
          <w:sz w:val="20"/>
          <w:szCs w:val="20"/>
        </w:rPr>
        <w:t>.1 Declaraciones y dictámenes a ser rendidos ante fedatario público (</w:t>
      </w:r>
      <w:r w:rsidRPr="00DD421D">
        <w:rPr>
          <w:rFonts w:ascii="Verdana" w:hAnsi="Verdana" w:cs="Verdana"/>
          <w:b/>
          <w:bCs/>
          <w:i/>
          <w:iCs/>
          <w:sz w:val="20"/>
          <w:szCs w:val="20"/>
        </w:rPr>
        <w:t>affidávit</w:t>
      </w:r>
      <w:r w:rsidRPr="00BE7C7E">
        <w:rPr>
          <w:rFonts w:ascii="Verdana" w:hAnsi="Verdana" w:cs="Verdana"/>
          <w:b/>
          <w:bCs/>
          <w:sz w:val="20"/>
          <w:szCs w:val="20"/>
        </w:rPr>
        <w:t>)</w:t>
      </w:r>
    </w:p>
    <w:p w:rsidR="007804B2" w:rsidRDefault="007804B2">
      <w:pPr>
        <w:pStyle w:val="ListParagraph"/>
        <w:spacing w:after="0" w:line="240" w:lineRule="auto"/>
        <w:ind w:left="0"/>
        <w:jc w:val="both"/>
        <w:rPr>
          <w:rFonts w:ascii="Verdana" w:hAnsi="Verdana" w:cs="Verdana"/>
          <w:sz w:val="20"/>
          <w:szCs w:val="20"/>
          <w:lang w:val="es-ES"/>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Teniendo en cuenta lo estipulado en el artículo 50.1 del Reglamento, lo indicado por las partes en sus listas definitivas de declarantes, el objeto de las declaraciones ofrecidas y su relación con los hechos del caso, así como el principio de economía proce</w:t>
      </w:r>
      <w:r w:rsidRPr="00DD421D">
        <w:rPr>
          <w:rFonts w:ascii="Verdana" w:hAnsi="Verdana" w:cs="Verdana"/>
          <w:sz w:val="20"/>
          <w:szCs w:val="20"/>
        </w:rPr>
        <w:t>sal, el Presidente estima conveniente recibir por medio de declaración rendida ante fedatario público</w:t>
      </w:r>
      <w:r>
        <w:rPr>
          <w:rFonts w:ascii="Verdana" w:hAnsi="Verdana" w:cs="Verdana"/>
          <w:sz w:val="20"/>
          <w:szCs w:val="20"/>
        </w:rPr>
        <w:t xml:space="preserve"> (</w:t>
      </w:r>
      <w:r>
        <w:rPr>
          <w:rFonts w:ascii="Verdana" w:hAnsi="Verdana" w:cs="Verdana"/>
          <w:i/>
          <w:iCs/>
          <w:sz w:val="20"/>
          <w:szCs w:val="20"/>
        </w:rPr>
        <w:t>affidávit</w:t>
      </w:r>
      <w:r>
        <w:rPr>
          <w:rFonts w:ascii="Verdana" w:hAnsi="Verdana" w:cs="Verdana"/>
          <w:sz w:val="20"/>
          <w:szCs w:val="20"/>
        </w:rPr>
        <w:t>)</w:t>
      </w:r>
      <w:r w:rsidRPr="00DD421D">
        <w:rPr>
          <w:rFonts w:ascii="Verdana" w:hAnsi="Verdana" w:cs="Verdana"/>
          <w:sz w:val="20"/>
          <w:szCs w:val="20"/>
        </w:rPr>
        <w:t>, las declaraciones y peritajes de las siguientes personas</w:t>
      </w:r>
      <w:r>
        <w:rPr>
          <w:rFonts w:ascii="Verdana" w:hAnsi="Verdana" w:cs="Verdana"/>
          <w:sz w:val="20"/>
          <w:szCs w:val="20"/>
        </w:rPr>
        <w:t>:</w:t>
      </w:r>
      <w:r w:rsidRPr="00DD421D">
        <w:rPr>
          <w:rFonts w:ascii="Verdana" w:hAnsi="Verdana" w:cs="Verdana"/>
          <w:sz w:val="20"/>
          <w:szCs w:val="20"/>
        </w:rPr>
        <w:t xml:space="preserve"> </w:t>
      </w:r>
      <w:r>
        <w:rPr>
          <w:rFonts w:ascii="Verdana" w:hAnsi="Verdana" w:cs="Verdana"/>
          <w:sz w:val="20"/>
          <w:szCs w:val="20"/>
        </w:rPr>
        <w:t xml:space="preserve">Hugo </w:t>
      </w:r>
      <w:proofErr w:type="spellStart"/>
      <w:r>
        <w:rPr>
          <w:rFonts w:ascii="Verdana" w:hAnsi="Verdana" w:cs="Verdana"/>
          <w:sz w:val="20"/>
          <w:szCs w:val="20"/>
        </w:rPr>
        <w:t>Fruhling</w:t>
      </w:r>
      <w:proofErr w:type="spellEnd"/>
      <w:r w:rsidR="00F544D8">
        <w:rPr>
          <w:rFonts w:ascii="Verdana" w:hAnsi="Verdana" w:cs="Verdana"/>
          <w:sz w:val="20"/>
          <w:szCs w:val="20"/>
        </w:rPr>
        <w:t xml:space="preserve"> y </w:t>
      </w:r>
      <w:r w:rsidR="00F544D8" w:rsidRPr="00F544D8">
        <w:rPr>
          <w:rFonts w:ascii="Verdana" w:hAnsi="Verdana" w:cs="Verdana"/>
          <w:sz w:val="20"/>
          <w:szCs w:val="20"/>
        </w:rPr>
        <w:t xml:space="preserve">Diego </w:t>
      </w:r>
      <w:proofErr w:type="spellStart"/>
      <w:r w:rsidR="00F544D8" w:rsidRPr="00F544D8">
        <w:rPr>
          <w:rFonts w:ascii="Verdana" w:hAnsi="Verdana" w:cs="Verdana"/>
          <w:sz w:val="20"/>
          <w:szCs w:val="20"/>
        </w:rPr>
        <w:t>Camaño</w:t>
      </w:r>
      <w:proofErr w:type="spellEnd"/>
      <w:r w:rsidRPr="00F544D8">
        <w:rPr>
          <w:rFonts w:ascii="Verdana" w:hAnsi="Verdana" w:cs="Verdana"/>
          <w:sz w:val="20"/>
          <w:szCs w:val="20"/>
        </w:rPr>
        <w:t>,</w:t>
      </w:r>
      <w:r>
        <w:rPr>
          <w:rFonts w:ascii="Verdana" w:hAnsi="Verdana" w:cs="Verdana"/>
          <w:sz w:val="20"/>
          <w:szCs w:val="20"/>
        </w:rPr>
        <w:t xml:space="preserve"> perito</w:t>
      </w:r>
      <w:r w:rsidR="00F544D8">
        <w:rPr>
          <w:rFonts w:ascii="Verdana" w:hAnsi="Verdana" w:cs="Verdana"/>
          <w:sz w:val="20"/>
          <w:szCs w:val="20"/>
        </w:rPr>
        <w:t>s</w:t>
      </w:r>
      <w:r>
        <w:rPr>
          <w:rFonts w:ascii="Verdana" w:hAnsi="Verdana" w:cs="Verdana"/>
          <w:sz w:val="20"/>
          <w:szCs w:val="20"/>
        </w:rPr>
        <w:t xml:space="preserve"> propuesto</w:t>
      </w:r>
      <w:r w:rsidR="00F544D8">
        <w:rPr>
          <w:rFonts w:ascii="Verdana" w:hAnsi="Verdana" w:cs="Verdana"/>
          <w:sz w:val="20"/>
          <w:szCs w:val="20"/>
        </w:rPr>
        <w:t>s</w:t>
      </w:r>
      <w:r>
        <w:rPr>
          <w:rFonts w:ascii="Verdana" w:hAnsi="Verdana" w:cs="Verdana"/>
          <w:sz w:val="20"/>
          <w:szCs w:val="20"/>
        </w:rPr>
        <w:t xml:space="preserve"> por la Comisión; </w:t>
      </w:r>
      <w:r w:rsidRPr="00DD421D">
        <w:rPr>
          <w:rFonts w:ascii="Verdana" w:hAnsi="Verdana" w:cs="Verdana"/>
          <w:sz w:val="20"/>
          <w:szCs w:val="20"/>
        </w:rPr>
        <w:t xml:space="preserve">María Magdalena Mejías, Victoria </w:t>
      </w:r>
      <w:proofErr w:type="spellStart"/>
      <w:r w:rsidRPr="00DD421D">
        <w:rPr>
          <w:rFonts w:ascii="Verdana" w:hAnsi="Verdana" w:cs="Verdana"/>
          <w:sz w:val="20"/>
          <w:szCs w:val="20"/>
        </w:rPr>
        <w:t>Eneri</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Landaeta</w:t>
      </w:r>
      <w:proofErr w:type="spellEnd"/>
      <w:r w:rsidRPr="00DD421D">
        <w:rPr>
          <w:rFonts w:ascii="Verdana" w:hAnsi="Verdana" w:cs="Verdana"/>
          <w:sz w:val="20"/>
          <w:szCs w:val="20"/>
        </w:rPr>
        <w:t xml:space="preserve"> Galindo, </w:t>
      </w:r>
      <w:proofErr w:type="spellStart"/>
      <w:r w:rsidRPr="00DD421D">
        <w:rPr>
          <w:rFonts w:ascii="Verdana" w:hAnsi="Verdana" w:cs="Verdana"/>
          <w:sz w:val="20"/>
          <w:szCs w:val="20"/>
        </w:rPr>
        <w:t>Leydis</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Rossimar</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Landaeta</w:t>
      </w:r>
      <w:proofErr w:type="spellEnd"/>
      <w:r w:rsidRPr="00DD421D">
        <w:rPr>
          <w:rFonts w:ascii="Verdana" w:hAnsi="Verdana" w:cs="Verdana"/>
          <w:sz w:val="20"/>
          <w:szCs w:val="20"/>
        </w:rPr>
        <w:t xml:space="preserve"> Galindo y </w:t>
      </w:r>
      <w:proofErr w:type="spellStart"/>
      <w:r w:rsidRPr="00DD421D">
        <w:rPr>
          <w:rFonts w:ascii="Verdana" w:hAnsi="Verdana" w:cs="Verdana"/>
          <w:sz w:val="20"/>
          <w:szCs w:val="20"/>
        </w:rPr>
        <w:t>Francy</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Yelut</w:t>
      </w:r>
      <w:proofErr w:type="spellEnd"/>
      <w:r w:rsidRPr="00DD421D">
        <w:rPr>
          <w:rFonts w:ascii="Verdana" w:hAnsi="Verdana" w:cs="Verdana"/>
          <w:sz w:val="20"/>
          <w:szCs w:val="20"/>
        </w:rPr>
        <w:t xml:space="preserve"> Parra Guzmán, presuntas víctimas propuestas por los representantes; Magaly Mercedes Vásquez González, Jos</w:t>
      </w:r>
      <w:r>
        <w:rPr>
          <w:rFonts w:ascii="Verdana" w:hAnsi="Verdana" w:cs="Verdana"/>
          <w:sz w:val="20"/>
          <w:szCs w:val="20"/>
        </w:rPr>
        <w:t>é</w:t>
      </w:r>
      <w:r w:rsidRPr="00DD421D">
        <w:rPr>
          <w:rFonts w:ascii="Verdana" w:hAnsi="Verdana" w:cs="Verdana"/>
          <w:sz w:val="20"/>
          <w:szCs w:val="20"/>
        </w:rPr>
        <w:t xml:space="preserve"> Pablo </w:t>
      </w:r>
      <w:proofErr w:type="spellStart"/>
      <w:r w:rsidRPr="00DD421D">
        <w:rPr>
          <w:rFonts w:ascii="Verdana" w:hAnsi="Verdana" w:cs="Verdana"/>
          <w:sz w:val="20"/>
          <w:szCs w:val="20"/>
        </w:rPr>
        <w:t>Baraybar</w:t>
      </w:r>
      <w:proofErr w:type="spellEnd"/>
      <w:r w:rsidRPr="00DD421D">
        <w:rPr>
          <w:rFonts w:ascii="Verdana" w:hAnsi="Verdana" w:cs="Verdana"/>
          <w:sz w:val="20"/>
          <w:szCs w:val="20"/>
        </w:rPr>
        <w:t xml:space="preserve">, Claudia Carrillo, </w:t>
      </w:r>
      <w:proofErr w:type="spellStart"/>
      <w:r w:rsidRPr="00DD421D">
        <w:rPr>
          <w:rFonts w:ascii="Verdana" w:hAnsi="Verdana" w:cs="Verdana"/>
          <w:sz w:val="20"/>
          <w:szCs w:val="20"/>
        </w:rPr>
        <w:t>Denotil</w:t>
      </w:r>
      <w:r>
        <w:rPr>
          <w:rFonts w:ascii="Verdana" w:hAnsi="Verdana" w:cs="Verdana"/>
          <w:sz w:val="20"/>
          <w:szCs w:val="20"/>
        </w:rPr>
        <w:t>i</w:t>
      </w:r>
      <w:r w:rsidRPr="00DD421D">
        <w:rPr>
          <w:rFonts w:ascii="Verdana" w:hAnsi="Verdana" w:cs="Verdana"/>
          <w:sz w:val="20"/>
          <w:szCs w:val="20"/>
        </w:rPr>
        <w:t>a</w:t>
      </w:r>
      <w:proofErr w:type="spellEnd"/>
      <w:r w:rsidRPr="00DD421D">
        <w:rPr>
          <w:rFonts w:ascii="Verdana" w:hAnsi="Verdana" w:cs="Verdana"/>
          <w:sz w:val="20"/>
          <w:szCs w:val="20"/>
        </w:rPr>
        <w:t xml:space="preserve"> Hernández de Hernández y Calixto Ávila, peritos propuestos por los representantes, y </w:t>
      </w:r>
      <w:proofErr w:type="spellStart"/>
      <w:r w:rsidRPr="00DD421D">
        <w:rPr>
          <w:rFonts w:ascii="Verdana" w:hAnsi="Verdana" w:cs="Verdana"/>
          <w:sz w:val="20"/>
          <w:szCs w:val="20"/>
        </w:rPr>
        <w:t>Desiree</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Noelis</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Boada</w:t>
      </w:r>
      <w:proofErr w:type="spellEnd"/>
      <w:r w:rsidRPr="00DD421D">
        <w:rPr>
          <w:rFonts w:ascii="Verdana" w:hAnsi="Verdana" w:cs="Verdana"/>
          <w:sz w:val="20"/>
          <w:szCs w:val="20"/>
        </w:rPr>
        <w:t xml:space="preserve"> Guevara, perita propuesta por el Estado.</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DD421D">
        <w:rPr>
          <w:rFonts w:ascii="Verdana" w:hAnsi="Verdana" w:cs="Verdana"/>
          <w:sz w:val="20"/>
          <w:szCs w:val="20"/>
        </w:rPr>
        <w:t xml:space="preserve">El Presidente resalta que el artículo 50.5 del Reglamento de la Corte aplicable al presente caso, contempla la posibilidad de que las presuntas víctimas o sus representantes y el Estado demandando, aporten un listado de preguntas por realizar a aquellas personas citadas a rendir declaraciones ante fedatario público. En aplicación de lo dispuesto en la norma reglamentaria mencionada, </w:t>
      </w:r>
      <w:r>
        <w:rPr>
          <w:rFonts w:ascii="Verdana" w:hAnsi="Verdana" w:cs="Verdana"/>
          <w:sz w:val="20"/>
          <w:szCs w:val="20"/>
        </w:rPr>
        <w:t xml:space="preserve">se otorga una </w:t>
      </w:r>
      <w:r w:rsidRPr="00DD421D">
        <w:rPr>
          <w:rFonts w:ascii="Verdana" w:hAnsi="Verdana" w:cs="Verdana"/>
          <w:sz w:val="20"/>
          <w:szCs w:val="20"/>
        </w:rPr>
        <w:t xml:space="preserve">oportunidad para que las partes presenten, si así lo desean, las preguntas que estimen pertinentes a los declarantes y peritos referidos en el párrafo anterior. Al rendir su declaración ante fedatario público, los declarantes deberán responder a dichas preguntas, salvo que el Presidente disponga lo contrario. Los plazos correspondientes serán precisados </w:t>
      </w:r>
      <w:r w:rsidRPr="00DD421D">
        <w:rPr>
          <w:rFonts w:ascii="Verdana" w:hAnsi="Verdana" w:cs="Verdana"/>
          <w:i/>
          <w:iCs/>
          <w:sz w:val="20"/>
          <w:szCs w:val="20"/>
        </w:rPr>
        <w:t>infra</w:t>
      </w:r>
      <w:r w:rsidRPr="00DD421D">
        <w:rPr>
          <w:rFonts w:ascii="Verdana" w:hAnsi="Verdana" w:cs="Verdana"/>
          <w:sz w:val="20"/>
          <w:szCs w:val="20"/>
        </w:rPr>
        <w:t xml:space="preserve">, en el punto resolutivo segundo de la presente Resolución. Las declaraciones y peritajes antes mencionados serán trasmitidos </w:t>
      </w:r>
      <w:r w:rsidRPr="001B4A5D">
        <w:rPr>
          <w:rFonts w:ascii="Verdana" w:hAnsi="Verdana" w:cs="Verdana"/>
          <w:sz w:val="20"/>
          <w:szCs w:val="20"/>
        </w:rPr>
        <w:t>a la Comisión</w:t>
      </w:r>
      <w:r w:rsidRPr="00BE7C7E">
        <w:rPr>
          <w:rFonts w:ascii="Verdana" w:hAnsi="Verdana" w:cs="Verdana"/>
          <w:sz w:val="20"/>
          <w:szCs w:val="20"/>
        </w:rPr>
        <w:t xml:space="preserve"> y a las partes. A su vez,</w:t>
      </w:r>
      <w:r>
        <w:rPr>
          <w:rFonts w:ascii="Verdana" w:hAnsi="Verdana" w:cs="Verdana"/>
          <w:sz w:val="20"/>
          <w:szCs w:val="20"/>
        </w:rPr>
        <w:t xml:space="preserve"> el Estado y los representantes, </w:t>
      </w:r>
      <w:r w:rsidRPr="00BE7C7E">
        <w:rPr>
          <w:rFonts w:ascii="Verdana" w:hAnsi="Verdana" w:cs="Verdana"/>
          <w:sz w:val="20"/>
          <w:szCs w:val="20"/>
        </w:rPr>
        <w:t xml:space="preserve">podrán presentar las observaciones que estimen </w:t>
      </w:r>
      <w:r w:rsidRPr="00BE7C7E">
        <w:rPr>
          <w:rFonts w:ascii="Verdana" w:hAnsi="Verdana" w:cs="Verdana"/>
          <w:sz w:val="20"/>
          <w:szCs w:val="20"/>
        </w:rPr>
        <w:lastRenderedPageBreak/>
        <w:t xml:space="preserve">oportunas en el plazo indicado </w:t>
      </w:r>
      <w:r w:rsidRPr="00DD421D">
        <w:rPr>
          <w:rFonts w:ascii="Verdana" w:hAnsi="Verdana" w:cs="Verdana"/>
          <w:i/>
          <w:iCs/>
          <w:sz w:val="20"/>
          <w:szCs w:val="20"/>
        </w:rPr>
        <w:t>infra</w:t>
      </w:r>
      <w:r w:rsidRPr="00BE7C7E">
        <w:rPr>
          <w:rFonts w:ascii="Verdana" w:hAnsi="Verdana" w:cs="Verdana"/>
          <w:sz w:val="20"/>
          <w:szCs w:val="20"/>
        </w:rPr>
        <w:t xml:space="preserve"> en el punto resolutivo </w:t>
      </w:r>
      <w:r>
        <w:rPr>
          <w:rFonts w:ascii="Verdana" w:hAnsi="Verdana" w:cs="Verdana"/>
          <w:sz w:val="20"/>
          <w:szCs w:val="20"/>
        </w:rPr>
        <w:t>cuarto</w:t>
      </w:r>
      <w:r w:rsidRPr="00BE7C7E">
        <w:rPr>
          <w:rFonts w:ascii="Verdana" w:hAnsi="Verdana" w:cs="Verdana"/>
          <w:sz w:val="20"/>
          <w:szCs w:val="20"/>
        </w:rPr>
        <w:t xml:space="preserve"> de la presente Resolución. El valor probatorio de dichas declaraciones será determinado en su oportunidad por el Tribunal, el cual tomará en cuenta los puntos de vista, en su caso, expresados por las partes.</w:t>
      </w:r>
    </w:p>
    <w:p w:rsidR="007804B2" w:rsidRDefault="007804B2">
      <w:pPr>
        <w:pStyle w:val="ListParagraph"/>
        <w:spacing w:after="0" w:line="240" w:lineRule="auto"/>
        <w:ind w:left="0"/>
        <w:jc w:val="both"/>
        <w:rPr>
          <w:rFonts w:ascii="Verdana" w:hAnsi="Verdana" w:cs="Verdana"/>
          <w:sz w:val="20"/>
          <w:szCs w:val="20"/>
          <w:lang w:val="es-ES"/>
        </w:rPr>
      </w:pPr>
    </w:p>
    <w:p w:rsidR="007804B2" w:rsidRDefault="007804B2" w:rsidP="00BF133C">
      <w:pPr>
        <w:pStyle w:val="ListParagraph"/>
        <w:tabs>
          <w:tab w:val="left" w:pos="851"/>
        </w:tabs>
        <w:autoSpaceDE w:val="0"/>
        <w:autoSpaceDN w:val="0"/>
        <w:adjustRightInd w:val="0"/>
        <w:spacing w:after="0" w:line="240" w:lineRule="auto"/>
        <w:ind w:left="851"/>
        <w:jc w:val="both"/>
        <w:outlineLvl w:val="0"/>
        <w:rPr>
          <w:rFonts w:ascii="Verdana" w:hAnsi="Verdana" w:cs="Verdana"/>
          <w:b/>
          <w:bCs/>
          <w:sz w:val="20"/>
          <w:szCs w:val="20"/>
        </w:rPr>
      </w:pPr>
      <w:r w:rsidRPr="00BE7C7E">
        <w:rPr>
          <w:rFonts w:ascii="Verdana" w:hAnsi="Verdana" w:cs="Verdana"/>
          <w:b/>
          <w:bCs/>
          <w:sz w:val="20"/>
          <w:szCs w:val="20"/>
        </w:rPr>
        <w:t xml:space="preserve">E.2 Declaraciones </w:t>
      </w:r>
      <w:r w:rsidRPr="00DD421D">
        <w:rPr>
          <w:rFonts w:ascii="Verdana" w:hAnsi="Verdana" w:cs="Verdana"/>
          <w:b/>
          <w:bCs/>
          <w:sz w:val="20"/>
          <w:szCs w:val="20"/>
        </w:rPr>
        <w:t>y dictámenes a ser rendidos en audiencia pública</w:t>
      </w:r>
    </w:p>
    <w:p w:rsidR="007804B2" w:rsidRDefault="007804B2">
      <w:pPr>
        <w:pStyle w:val="ListParagraph"/>
        <w:spacing w:after="0" w:line="240" w:lineRule="auto"/>
        <w:ind w:left="0"/>
        <w:jc w:val="both"/>
        <w:rPr>
          <w:rFonts w:ascii="Verdana" w:hAnsi="Verdana" w:cs="Verdana"/>
          <w:sz w:val="20"/>
          <w:szCs w:val="20"/>
          <w:lang w:val="es-ES"/>
        </w:rPr>
      </w:pPr>
    </w:p>
    <w:p w:rsidR="007804B2" w:rsidRPr="00F544D8"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DD421D">
        <w:rPr>
          <w:rFonts w:ascii="Verdana" w:hAnsi="Verdana" w:cs="Verdana"/>
          <w:sz w:val="20"/>
          <w:szCs w:val="20"/>
        </w:rPr>
        <w:t xml:space="preserve">Los autos en el presente caso se encuentran listos para la apertura del procedimiento oral en cuanto a las </w:t>
      </w:r>
      <w:r w:rsidRPr="00F544D8">
        <w:rPr>
          <w:rFonts w:ascii="Verdana" w:hAnsi="Verdana" w:cs="Verdana"/>
          <w:sz w:val="20"/>
          <w:szCs w:val="20"/>
        </w:rPr>
        <w:t>excepciones preliminares y eventuales fondo, reparaciones y costas, por lo que el Presidente estima pertinente convocar a una audiencia pública pa</w:t>
      </w:r>
      <w:r w:rsidR="008B6F08">
        <w:rPr>
          <w:rFonts w:ascii="Verdana" w:hAnsi="Verdana" w:cs="Verdana"/>
          <w:sz w:val="20"/>
          <w:szCs w:val="20"/>
        </w:rPr>
        <w:t>ra recibir las declaraciones de</w:t>
      </w:r>
      <w:r w:rsidRPr="00F544D8">
        <w:rPr>
          <w:rFonts w:ascii="Verdana" w:hAnsi="Verdana" w:cs="Verdana"/>
          <w:sz w:val="20"/>
          <w:szCs w:val="20"/>
        </w:rPr>
        <w:t xml:space="preserve"> Ignacio Landaeta Muñoz, presunta víctima p</w:t>
      </w:r>
      <w:r w:rsidR="008B6F08">
        <w:rPr>
          <w:rFonts w:ascii="Verdana" w:hAnsi="Verdana" w:cs="Verdana"/>
          <w:sz w:val="20"/>
          <w:szCs w:val="20"/>
        </w:rPr>
        <w:t>ropuesta por los representantes,</w:t>
      </w:r>
      <w:r w:rsidRPr="00F544D8">
        <w:rPr>
          <w:rFonts w:ascii="Verdana" w:hAnsi="Verdana" w:cs="Verdana"/>
          <w:sz w:val="20"/>
          <w:szCs w:val="20"/>
        </w:rPr>
        <w:t xml:space="preserve"> y Yelitza Acacio Carmona, testigo propuesto por el Estado.</w:t>
      </w:r>
    </w:p>
    <w:p w:rsidR="007804B2" w:rsidRPr="00F544D8" w:rsidRDefault="007804B2" w:rsidP="00BE7C7E">
      <w:pPr>
        <w:tabs>
          <w:tab w:val="left" w:pos="567"/>
        </w:tabs>
        <w:autoSpaceDE w:val="0"/>
        <w:autoSpaceDN w:val="0"/>
        <w:adjustRightInd w:val="0"/>
        <w:spacing w:after="0" w:line="240" w:lineRule="auto"/>
        <w:jc w:val="both"/>
        <w:rPr>
          <w:rFonts w:ascii="Verdana" w:hAnsi="Verdana" w:cs="Verdana"/>
          <w:sz w:val="20"/>
          <w:szCs w:val="20"/>
        </w:rPr>
      </w:pPr>
    </w:p>
    <w:p w:rsidR="007804B2" w:rsidRPr="00F544D8" w:rsidRDefault="007804B2">
      <w:pPr>
        <w:pStyle w:val="ListParagraph"/>
        <w:widowControl w:val="0"/>
        <w:numPr>
          <w:ilvl w:val="0"/>
          <w:numId w:val="16"/>
        </w:numPr>
        <w:tabs>
          <w:tab w:val="left" w:pos="567"/>
        </w:tabs>
        <w:autoSpaceDE w:val="0"/>
        <w:autoSpaceDN w:val="0"/>
        <w:adjustRightInd w:val="0"/>
        <w:spacing w:after="0" w:line="240" w:lineRule="auto"/>
        <w:ind w:left="0" w:right="22" w:firstLine="0"/>
        <w:jc w:val="both"/>
        <w:rPr>
          <w:rFonts w:ascii="Verdana" w:hAnsi="Verdana" w:cs="Verdana"/>
          <w:b/>
          <w:bCs/>
          <w:sz w:val="20"/>
          <w:szCs w:val="20"/>
          <w:lang w:val="es-CR"/>
        </w:rPr>
      </w:pPr>
      <w:r w:rsidRPr="00F544D8">
        <w:rPr>
          <w:rFonts w:ascii="Verdana" w:hAnsi="Verdana" w:cs="Verdana"/>
          <w:b/>
          <w:bCs/>
          <w:sz w:val="20"/>
          <w:szCs w:val="20"/>
          <w:lang w:val="es-CR"/>
        </w:rPr>
        <w:t>Aplicación del Fondo de Asistencia Legal a Víctimas</w:t>
      </w:r>
    </w:p>
    <w:p w:rsidR="007804B2" w:rsidRDefault="007804B2">
      <w:pPr>
        <w:tabs>
          <w:tab w:val="left" w:pos="567"/>
        </w:tabs>
        <w:autoSpaceDE w:val="0"/>
        <w:autoSpaceDN w:val="0"/>
        <w:adjustRightInd w:val="0"/>
        <w:spacing w:after="0" w:line="240" w:lineRule="auto"/>
        <w:jc w:val="both"/>
        <w:rPr>
          <w:rFonts w:ascii="Verdana" w:hAnsi="Verdana" w:cs="Verdana"/>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lang w:val="es-CR"/>
        </w:rPr>
      </w:pPr>
      <w:r w:rsidRPr="00BE7C7E">
        <w:rPr>
          <w:rFonts w:ascii="Verdana" w:hAnsi="Verdana" w:cs="Verdana"/>
          <w:sz w:val="20"/>
          <w:szCs w:val="20"/>
          <w:lang w:val="es-CR"/>
        </w:rPr>
        <w:t>En la Resolución adoptada por esta Presidencia el 13 de febrero de 2013 (</w:t>
      </w:r>
      <w:r w:rsidRPr="00BE7C7E">
        <w:rPr>
          <w:rFonts w:ascii="Verdana" w:hAnsi="Verdana" w:cs="Verdana"/>
          <w:i/>
          <w:iCs/>
          <w:sz w:val="20"/>
          <w:szCs w:val="20"/>
          <w:lang w:val="es-CR"/>
        </w:rPr>
        <w:t xml:space="preserve">supra </w:t>
      </w:r>
      <w:r w:rsidR="008B6F08">
        <w:rPr>
          <w:rFonts w:ascii="Verdana" w:hAnsi="Verdana" w:cs="Verdana"/>
          <w:sz w:val="20"/>
          <w:szCs w:val="20"/>
          <w:lang w:val="es-CR"/>
        </w:rPr>
        <w:t>Visto 4</w:t>
      </w:r>
      <w:r w:rsidRPr="00BE7C7E">
        <w:rPr>
          <w:rFonts w:ascii="Verdana" w:hAnsi="Verdana" w:cs="Verdana"/>
          <w:sz w:val="20"/>
          <w:szCs w:val="20"/>
          <w:lang w:val="es-CR"/>
        </w:rPr>
        <w:t xml:space="preserve">) se resolvió declarar procedente la solicitud interpuesta por las presuntas víctimas para acogerse al Fondo de Asistencia, de modo que se otorgaría la asistencia económica necesaria para la presentación de un máximo de </w:t>
      </w:r>
      <w:r w:rsidRPr="00DD421D">
        <w:rPr>
          <w:rFonts w:ascii="Verdana" w:hAnsi="Verdana" w:cs="Verdana"/>
          <w:sz w:val="20"/>
          <w:szCs w:val="20"/>
          <w:lang w:val="es-CR"/>
        </w:rPr>
        <w:t xml:space="preserve">tres declaraciones, sea por </w:t>
      </w:r>
      <w:r w:rsidRPr="00DD421D">
        <w:rPr>
          <w:rFonts w:ascii="Verdana" w:hAnsi="Verdana" w:cs="Verdana"/>
          <w:i/>
          <w:iCs/>
          <w:sz w:val="20"/>
          <w:szCs w:val="20"/>
          <w:lang w:val="es-CR"/>
        </w:rPr>
        <w:t xml:space="preserve">affidávit </w:t>
      </w:r>
      <w:r w:rsidRPr="00DD421D">
        <w:rPr>
          <w:rFonts w:ascii="Verdana" w:hAnsi="Verdana" w:cs="Verdana"/>
          <w:sz w:val="20"/>
          <w:szCs w:val="20"/>
          <w:lang w:val="es-CR"/>
        </w:rPr>
        <w:t xml:space="preserve">o en audiencia pública.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lang w:val="es-CR"/>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lang w:val="es-CR"/>
        </w:rPr>
      </w:pPr>
      <w:r w:rsidRPr="00DD421D">
        <w:rPr>
          <w:rFonts w:ascii="Verdana" w:hAnsi="Verdana" w:cs="Verdana"/>
          <w:sz w:val="20"/>
          <w:szCs w:val="20"/>
          <w:lang w:val="es-CR"/>
        </w:rPr>
        <w:t>Habiéndose determinado que las declaraciones ofrecidas por los representantes serán recibidas por el Tribunal y el medio por el cual se realizarán, corresponde en este momento precisar el monto, destino y objeto e</w:t>
      </w:r>
      <w:bookmarkStart w:id="0" w:name="_Ref353890373"/>
      <w:r w:rsidRPr="00DD421D">
        <w:rPr>
          <w:rFonts w:ascii="Verdana" w:hAnsi="Verdana" w:cs="Verdana"/>
          <w:sz w:val="20"/>
          <w:szCs w:val="20"/>
          <w:lang w:val="es-CR"/>
        </w:rPr>
        <w:t xml:space="preserve">specíficos de dicha asistencia.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lang w:val="es-CR"/>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lang w:val="es-CR"/>
        </w:rPr>
      </w:pPr>
      <w:r w:rsidRPr="00DD421D">
        <w:rPr>
          <w:rFonts w:ascii="Verdana" w:hAnsi="Verdana" w:cs="Verdana"/>
          <w:sz w:val="20"/>
          <w:szCs w:val="20"/>
          <w:lang w:val="es-CR"/>
        </w:rPr>
        <w:t xml:space="preserve">Al respecto, el Presidente dispone que la asistencia económica estará asignada para cubrir los gastos de viaje y estadía necesarios para recibir en audiencia la declaración de la presunta víctima señor Ignacio Landaeta Muñoz. </w:t>
      </w:r>
      <w:r w:rsidRPr="00DD421D">
        <w:rPr>
          <w:rFonts w:ascii="Verdana" w:hAnsi="Verdana" w:cs="Verdana"/>
          <w:sz w:val="20"/>
          <w:szCs w:val="20"/>
        </w:rPr>
        <w:t xml:space="preserve">Asimismo, se brindará asistencia económica para cubrir los gastos de formalización y envío de dos declaraciones presentadas mediante </w:t>
      </w:r>
      <w:r w:rsidRPr="00DD421D">
        <w:rPr>
          <w:rFonts w:ascii="Verdana" w:hAnsi="Verdana" w:cs="Verdana"/>
          <w:i/>
          <w:iCs/>
          <w:sz w:val="20"/>
          <w:szCs w:val="20"/>
        </w:rPr>
        <w:t xml:space="preserve">affidávit, </w:t>
      </w:r>
      <w:r w:rsidRPr="00DD421D">
        <w:rPr>
          <w:rFonts w:ascii="Verdana" w:hAnsi="Verdana" w:cs="Verdana"/>
          <w:sz w:val="20"/>
          <w:szCs w:val="20"/>
        </w:rPr>
        <w:t xml:space="preserve">según lo determinen las presuntas víctimas o sus representantes, de acuerdo a lo dispuesto en el punto resolutivo primero de esta Resolución. Los representantes deberán comunicar a la Corte el nombre de los dos declarantes cuyos </w:t>
      </w:r>
      <w:r w:rsidRPr="00DD421D">
        <w:rPr>
          <w:rFonts w:ascii="Verdana" w:hAnsi="Verdana" w:cs="Verdana"/>
          <w:i/>
          <w:iCs/>
          <w:sz w:val="20"/>
          <w:szCs w:val="20"/>
        </w:rPr>
        <w:t xml:space="preserve">affidávits </w:t>
      </w:r>
      <w:r w:rsidRPr="00DD421D">
        <w:rPr>
          <w:rFonts w:ascii="Verdana" w:hAnsi="Verdana" w:cs="Verdana"/>
          <w:sz w:val="20"/>
          <w:szCs w:val="20"/>
        </w:rPr>
        <w:t>serán cubiertos por el Fondo de Asistencia, así como remitir una cotización del costo de la formalización de una declaración jurada en su país de residencia, según corresponda, y de su envío, en el plazo establecido en la parte resolutiva de la presente Resolución. En cuanto a los comparecientes en audiencia pública, el Tribunal realizará las gestiones pertinentes y necesarias para cubrir los costos de traslado, alojamiento y manutención de dichos comparecientes con recursos provenientes del Fondo de Asistencia.</w:t>
      </w:r>
      <w:bookmarkEnd w:id="0"/>
      <w:r w:rsidRPr="00DD421D">
        <w:rPr>
          <w:rFonts w:ascii="Verdana" w:hAnsi="Verdana" w:cs="Verdana"/>
          <w:sz w:val="20"/>
          <w:szCs w:val="20"/>
          <w:lang w:val="es-CR"/>
        </w:rPr>
        <w:t xml:space="preserve">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lang w:val="es-CR"/>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lang w:val="es-CR"/>
        </w:rPr>
      </w:pPr>
      <w:r w:rsidRPr="00DD421D">
        <w:rPr>
          <w:rFonts w:ascii="Verdana" w:hAnsi="Verdana" w:cs="Verdana"/>
          <w:sz w:val="20"/>
          <w:szCs w:val="20"/>
          <w:lang w:val="es-CR"/>
        </w:rPr>
        <w:t>Según lo requerido por el artículo 4 del Reglamento de la Corte sobre el Funcionamiento del Fondo de Asistencia (en adelante el “Reglamento del Fondo”), se dispone que la Secretaría de la Corte abra un expediente de gastos con el fin de llevar la contabilidad y en el cual se documentará cada una de las erogaciones que se</w:t>
      </w:r>
      <w:bookmarkStart w:id="1" w:name="_Ref352172008"/>
      <w:r w:rsidRPr="00DD421D">
        <w:rPr>
          <w:rFonts w:ascii="Verdana" w:hAnsi="Verdana" w:cs="Verdana"/>
          <w:sz w:val="20"/>
          <w:szCs w:val="20"/>
          <w:lang w:val="es-CR"/>
        </w:rPr>
        <w:t xml:space="preserve"> realice con el referido fondo.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lang w:val="es-CR"/>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lang w:val="es-CR"/>
        </w:rPr>
      </w:pPr>
      <w:r w:rsidRPr="00DD421D">
        <w:rPr>
          <w:rFonts w:ascii="Verdana" w:hAnsi="Verdana" w:cs="Verdana"/>
          <w:sz w:val="20"/>
          <w:szCs w:val="20"/>
          <w:lang w:val="es-CR"/>
        </w:rPr>
        <w:t>Finalmente, el Presidente recuerda que, según el artículo 5 del Reglamento del Fondo, se informará oportunamente al Estado demandado las erogaciones realizadas en aplicación del Fondo, para que presente sus observaciones, si así lo desea, dentro del plazo que se establezca al efecto.</w:t>
      </w:r>
      <w:bookmarkEnd w:id="1"/>
    </w:p>
    <w:p w:rsidR="007804B2" w:rsidRDefault="007804B2">
      <w:pPr>
        <w:pStyle w:val="ListParagraph"/>
        <w:spacing w:after="0" w:line="240" w:lineRule="auto"/>
        <w:ind w:left="0"/>
        <w:jc w:val="both"/>
        <w:rPr>
          <w:rFonts w:ascii="Verdana" w:hAnsi="Verdana" w:cs="Verdana"/>
          <w:sz w:val="20"/>
          <w:szCs w:val="20"/>
          <w:lang w:val="es-CR"/>
        </w:rPr>
      </w:pPr>
    </w:p>
    <w:p w:rsidR="007804B2" w:rsidRDefault="007804B2">
      <w:pPr>
        <w:pStyle w:val="ListParagraph"/>
        <w:widowControl w:val="0"/>
        <w:numPr>
          <w:ilvl w:val="0"/>
          <w:numId w:val="16"/>
        </w:numPr>
        <w:autoSpaceDE w:val="0"/>
        <w:autoSpaceDN w:val="0"/>
        <w:adjustRightInd w:val="0"/>
        <w:spacing w:after="0" w:line="240" w:lineRule="auto"/>
        <w:ind w:right="22"/>
        <w:jc w:val="both"/>
        <w:rPr>
          <w:rFonts w:ascii="Verdana" w:hAnsi="Verdana" w:cs="Verdana"/>
          <w:b/>
          <w:bCs/>
          <w:sz w:val="20"/>
          <w:szCs w:val="20"/>
          <w:lang w:val="es-ES"/>
        </w:rPr>
      </w:pPr>
      <w:r w:rsidRPr="00BE7C7E">
        <w:rPr>
          <w:rFonts w:ascii="Verdana" w:hAnsi="Verdana" w:cs="Verdana"/>
          <w:b/>
          <w:bCs/>
          <w:sz w:val="20"/>
          <w:szCs w:val="20"/>
          <w:lang w:val="es-ES"/>
        </w:rPr>
        <w:t xml:space="preserve">Alegatos y observaciones finales orales y escritos </w:t>
      </w:r>
    </w:p>
    <w:p w:rsidR="007804B2" w:rsidRDefault="007804B2">
      <w:pPr>
        <w:pStyle w:val="ListParagraph"/>
        <w:spacing w:after="0" w:line="240" w:lineRule="auto"/>
        <w:ind w:left="0"/>
        <w:jc w:val="both"/>
        <w:rPr>
          <w:rFonts w:ascii="Verdana" w:hAnsi="Verdana" w:cs="Verdana"/>
          <w:sz w:val="20"/>
          <w:szCs w:val="20"/>
          <w:lang w:val="es-ES"/>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 xml:space="preserve">Los representantes y el Estado podrán presentar ante el Tribunal sus alegatos finales orales sobre </w:t>
      </w:r>
      <w:r w:rsidRPr="00DD421D">
        <w:rPr>
          <w:rFonts w:ascii="Verdana" w:hAnsi="Verdana" w:cs="Verdana"/>
          <w:sz w:val="20"/>
          <w:szCs w:val="20"/>
        </w:rPr>
        <w:t>las excepciones preliminares</w:t>
      </w:r>
      <w:r>
        <w:rPr>
          <w:rFonts w:ascii="Verdana" w:hAnsi="Verdana" w:cs="Verdana"/>
          <w:sz w:val="20"/>
          <w:szCs w:val="20"/>
        </w:rPr>
        <w:t xml:space="preserve"> y eventuales</w:t>
      </w:r>
      <w:r w:rsidRPr="00DD421D">
        <w:rPr>
          <w:rFonts w:ascii="Verdana" w:hAnsi="Verdana" w:cs="Verdana"/>
          <w:sz w:val="20"/>
          <w:szCs w:val="20"/>
        </w:rPr>
        <w:t xml:space="preserve"> fondo, reparaciones y costas</w:t>
      </w:r>
      <w:r w:rsidRPr="00BE7C7E">
        <w:rPr>
          <w:rFonts w:ascii="Verdana" w:hAnsi="Verdana" w:cs="Verdana"/>
          <w:sz w:val="20"/>
          <w:szCs w:val="20"/>
        </w:rPr>
        <w:t xml:space="preserve"> en este caso, respectivamente, al término de las declaraciones y peritajes. Como se establece en el artículo 51.8 del Reglamento, concluidos </w:t>
      </w:r>
      <w:r>
        <w:rPr>
          <w:rFonts w:ascii="Verdana" w:hAnsi="Verdana" w:cs="Verdana"/>
          <w:sz w:val="20"/>
          <w:szCs w:val="20"/>
        </w:rPr>
        <w:t>dichos</w:t>
      </w:r>
      <w:r w:rsidRPr="00BE7C7E">
        <w:rPr>
          <w:rFonts w:ascii="Verdana" w:hAnsi="Verdana" w:cs="Verdana"/>
          <w:sz w:val="20"/>
          <w:szCs w:val="20"/>
        </w:rPr>
        <w:t xml:space="preserve"> alegatos</w:t>
      </w:r>
      <w:r>
        <w:rPr>
          <w:rFonts w:ascii="Verdana" w:hAnsi="Verdana" w:cs="Verdana"/>
          <w:sz w:val="20"/>
          <w:szCs w:val="20"/>
        </w:rPr>
        <w:t>,</w:t>
      </w:r>
      <w:r w:rsidRPr="00BE7C7E">
        <w:rPr>
          <w:rFonts w:ascii="Verdana" w:hAnsi="Verdana" w:cs="Verdana"/>
          <w:sz w:val="20"/>
          <w:szCs w:val="20"/>
        </w:rPr>
        <w:t xml:space="preserve"> la Comisión Interamericana presentará sus observaciones finales orales. </w:t>
      </w:r>
    </w:p>
    <w:p w:rsidR="007804B2" w:rsidRDefault="007804B2">
      <w:pPr>
        <w:pStyle w:val="ListParagraph"/>
        <w:tabs>
          <w:tab w:val="left" w:pos="567"/>
        </w:tabs>
        <w:autoSpaceDE w:val="0"/>
        <w:autoSpaceDN w:val="0"/>
        <w:adjustRightInd w:val="0"/>
        <w:spacing w:after="0" w:line="240" w:lineRule="auto"/>
        <w:ind w:left="0"/>
        <w:jc w:val="both"/>
        <w:rPr>
          <w:rFonts w:ascii="Verdana" w:hAnsi="Verdana" w:cs="Verdana"/>
          <w:sz w:val="20"/>
          <w:szCs w:val="20"/>
        </w:rPr>
      </w:pPr>
    </w:p>
    <w:p w:rsidR="007804B2" w:rsidRDefault="007804B2">
      <w:pPr>
        <w:pStyle w:val="ListParagraph"/>
        <w:numPr>
          <w:ilvl w:val="0"/>
          <w:numId w:val="5"/>
        </w:numPr>
        <w:tabs>
          <w:tab w:val="num" w:pos="0"/>
          <w:tab w:val="left" w:pos="567"/>
        </w:tabs>
        <w:autoSpaceDE w:val="0"/>
        <w:autoSpaceDN w:val="0"/>
        <w:adjustRightInd w:val="0"/>
        <w:spacing w:after="0" w:line="240" w:lineRule="auto"/>
        <w:ind w:left="0" w:firstLine="0"/>
        <w:jc w:val="both"/>
        <w:rPr>
          <w:rFonts w:ascii="Verdana" w:hAnsi="Verdana" w:cs="Verdana"/>
          <w:sz w:val="20"/>
          <w:szCs w:val="20"/>
        </w:rPr>
      </w:pPr>
      <w:r w:rsidRPr="00BE7C7E">
        <w:rPr>
          <w:rFonts w:ascii="Verdana" w:hAnsi="Verdana" w:cs="Verdana"/>
          <w:sz w:val="20"/>
          <w:szCs w:val="20"/>
        </w:rPr>
        <w:t>De acuerdo con el artículo 56 del Reglamento, las presuntas víctimas o sus representantes, el Estado y la Comisión podrán presentar sus alegatos finales escritos y observaciones finales escritas, respectivamente, en relación con las excepciones preliminares</w:t>
      </w:r>
      <w:r>
        <w:rPr>
          <w:rFonts w:ascii="Verdana" w:hAnsi="Verdana" w:cs="Verdana"/>
          <w:sz w:val="20"/>
          <w:szCs w:val="20"/>
        </w:rPr>
        <w:t xml:space="preserve"> y eventuales</w:t>
      </w:r>
      <w:r w:rsidRPr="00DD421D">
        <w:rPr>
          <w:rFonts w:ascii="Verdana" w:hAnsi="Verdana" w:cs="Verdana"/>
          <w:sz w:val="20"/>
          <w:szCs w:val="20"/>
        </w:rPr>
        <w:t xml:space="preserve"> fondo</w:t>
      </w:r>
      <w:r>
        <w:rPr>
          <w:rFonts w:ascii="Verdana" w:hAnsi="Verdana" w:cs="Verdana"/>
          <w:sz w:val="20"/>
          <w:szCs w:val="20"/>
        </w:rPr>
        <w:t>,</w:t>
      </w:r>
      <w:r w:rsidRPr="00DD421D">
        <w:rPr>
          <w:rFonts w:ascii="Verdana" w:hAnsi="Verdana" w:cs="Verdana"/>
          <w:sz w:val="20"/>
          <w:szCs w:val="20"/>
        </w:rPr>
        <w:t xml:space="preserve"> reparaciones y costas, en el plazo fijado en el punto resolutivo </w:t>
      </w:r>
      <w:r w:rsidRPr="00B920A5">
        <w:rPr>
          <w:rFonts w:ascii="Verdana" w:hAnsi="Verdana" w:cs="Verdana"/>
          <w:sz w:val="20"/>
          <w:szCs w:val="20"/>
        </w:rPr>
        <w:t>decimosegundo de est</w:t>
      </w:r>
      <w:r w:rsidRPr="00DD421D">
        <w:rPr>
          <w:rFonts w:ascii="Verdana" w:hAnsi="Verdana" w:cs="Verdana"/>
          <w:sz w:val="20"/>
          <w:szCs w:val="20"/>
        </w:rPr>
        <w:t xml:space="preserve">a Resolución. </w:t>
      </w:r>
    </w:p>
    <w:p w:rsidR="007804B2" w:rsidRDefault="007804B2">
      <w:pPr>
        <w:pStyle w:val="ListParagraph"/>
        <w:autoSpaceDE w:val="0"/>
        <w:autoSpaceDN w:val="0"/>
        <w:adjustRightInd w:val="0"/>
        <w:spacing w:after="0" w:line="240" w:lineRule="auto"/>
        <w:ind w:left="0"/>
        <w:jc w:val="both"/>
        <w:rPr>
          <w:rFonts w:ascii="Verdana" w:hAnsi="Verdana" w:cs="Verdana"/>
          <w:sz w:val="20"/>
          <w:szCs w:val="20"/>
        </w:rPr>
      </w:pPr>
    </w:p>
    <w:p w:rsidR="007804B2" w:rsidRDefault="007804B2">
      <w:pPr>
        <w:pStyle w:val="BodyText"/>
        <w:spacing w:after="0"/>
        <w:jc w:val="both"/>
        <w:rPr>
          <w:rFonts w:ascii="Verdana" w:hAnsi="Verdana" w:cs="Verdana"/>
          <w:b/>
          <w:bCs/>
          <w:sz w:val="20"/>
          <w:szCs w:val="20"/>
          <w:lang w:val="es-ES"/>
        </w:rPr>
      </w:pPr>
    </w:p>
    <w:p w:rsidR="007804B2" w:rsidRDefault="007804B2" w:rsidP="00BF133C">
      <w:pPr>
        <w:pStyle w:val="BodyText"/>
        <w:spacing w:after="0"/>
        <w:jc w:val="both"/>
        <w:outlineLvl w:val="0"/>
        <w:rPr>
          <w:rFonts w:ascii="Verdana" w:hAnsi="Verdana" w:cs="Verdana"/>
          <w:b/>
          <w:bCs/>
          <w:sz w:val="20"/>
          <w:szCs w:val="20"/>
          <w:lang w:val="es-ES"/>
        </w:rPr>
      </w:pPr>
      <w:r w:rsidRPr="00DD421D">
        <w:rPr>
          <w:rFonts w:ascii="Verdana" w:hAnsi="Verdana" w:cs="Verdana"/>
          <w:b/>
          <w:bCs/>
          <w:sz w:val="20"/>
          <w:szCs w:val="20"/>
          <w:lang w:val="es-ES"/>
        </w:rPr>
        <w:t>POR TANTO:</w:t>
      </w:r>
    </w:p>
    <w:p w:rsidR="007804B2" w:rsidRDefault="007804B2">
      <w:pPr>
        <w:spacing w:after="0" w:line="240" w:lineRule="auto"/>
        <w:jc w:val="both"/>
        <w:rPr>
          <w:rFonts w:ascii="Verdana" w:hAnsi="Verdana" w:cs="Verdana"/>
          <w:b/>
          <w:bCs/>
          <w:sz w:val="20"/>
          <w:szCs w:val="20"/>
          <w:lang w:val="es-ES"/>
        </w:rPr>
      </w:pPr>
    </w:p>
    <w:p w:rsidR="007804B2" w:rsidRPr="00BE7C7E" w:rsidRDefault="007804B2" w:rsidP="00BF133C">
      <w:pPr>
        <w:spacing w:after="0" w:line="240" w:lineRule="auto"/>
        <w:jc w:val="both"/>
        <w:outlineLvl w:val="0"/>
        <w:rPr>
          <w:rFonts w:ascii="Verdana" w:hAnsi="Verdana" w:cs="Verdana"/>
          <w:b/>
          <w:bCs/>
          <w:sz w:val="20"/>
          <w:szCs w:val="20"/>
          <w:lang w:val="es-ES"/>
        </w:rPr>
      </w:pPr>
      <w:r w:rsidRPr="00DD421D">
        <w:rPr>
          <w:rFonts w:ascii="Verdana" w:hAnsi="Verdana" w:cs="Verdana"/>
          <w:b/>
          <w:bCs/>
          <w:sz w:val="20"/>
          <w:szCs w:val="20"/>
          <w:lang w:val="es-ES"/>
        </w:rPr>
        <w:t xml:space="preserve">EL PRESIDENTE DE LA CORTE INTERAMERICANA DE DERECHOS HUMANOS, </w:t>
      </w:r>
    </w:p>
    <w:p w:rsidR="007804B2" w:rsidRDefault="007804B2">
      <w:pPr>
        <w:spacing w:after="0" w:line="240" w:lineRule="auto"/>
        <w:jc w:val="both"/>
        <w:rPr>
          <w:rFonts w:ascii="Verdana" w:hAnsi="Verdana" w:cs="Verdana"/>
          <w:b/>
          <w:bCs/>
          <w:sz w:val="20"/>
          <w:szCs w:val="20"/>
          <w:lang w:val="es-ES"/>
        </w:rPr>
      </w:pPr>
    </w:p>
    <w:p w:rsidR="007804B2" w:rsidRDefault="007804B2">
      <w:pPr>
        <w:spacing w:after="0" w:line="240" w:lineRule="auto"/>
        <w:ind w:right="22"/>
        <w:jc w:val="both"/>
        <w:rPr>
          <w:rFonts w:ascii="Verdana" w:hAnsi="Verdana" w:cs="Verdana"/>
          <w:sz w:val="20"/>
          <w:szCs w:val="20"/>
          <w:lang w:val="es-ES"/>
        </w:rPr>
      </w:pPr>
      <w:r w:rsidRPr="00DD421D">
        <w:rPr>
          <w:rFonts w:ascii="Verdana" w:hAnsi="Verdana" w:cs="Verdana"/>
          <w:sz w:val="20"/>
          <w:szCs w:val="20"/>
          <w:lang w:val="es-ES"/>
        </w:rPr>
        <w:t xml:space="preserve">De conformidad con los artículos 24.1 y 25.2 del Estatuto de la Corte y con los artículos 4, 15.1, 26, 31.2, 35.1, 40.2, 41.1, 45, 46, 49, 50 a 56, 58 y 60 del Reglamento del Tribunal. </w:t>
      </w:r>
    </w:p>
    <w:p w:rsidR="007804B2" w:rsidRDefault="007804B2">
      <w:pPr>
        <w:spacing w:after="0" w:line="240" w:lineRule="auto"/>
        <w:jc w:val="both"/>
        <w:rPr>
          <w:rFonts w:ascii="Verdana" w:hAnsi="Verdana" w:cs="Verdana"/>
          <w:b/>
          <w:bCs/>
          <w:sz w:val="20"/>
          <w:szCs w:val="20"/>
          <w:lang w:val="es-ES"/>
        </w:rPr>
      </w:pPr>
    </w:p>
    <w:p w:rsidR="007804B2" w:rsidRDefault="007804B2" w:rsidP="00BF133C">
      <w:pPr>
        <w:spacing w:after="0" w:line="240" w:lineRule="auto"/>
        <w:jc w:val="both"/>
        <w:outlineLvl w:val="0"/>
        <w:rPr>
          <w:rFonts w:ascii="Verdana" w:hAnsi="Verdana" w:cs="Verdana"/>
          <w:b/>
          <w:bCs/>
          <w:sz w:val="20"/>
          <w:szCs w:val="20"/>
          <w:lang w:val="es-ES"/>
        </w:rPr>
      </w:pPr>
      <w:r w:rsidRPr="00DD421D">
        <w:rPr>
          <w:rFonts w:ascii="Verdana" w:hAnsi="Verdana" w:cs="Verdana"/>
          <w:b/>
          <w:bCs/>
          <w:sz w:val="20"/>
          <w:szCs w:val="20"/>
          <w:lang w:val="es-ES"/>
        </w:rPr>
        <w:t>RESUELVE:</w:t>
      </w:r>
    </w:p>
    <w:p w:rsidR="007804B2" w:rsidRDefault="007804B2">
      <w:pPr>
        <w:spacing w:after="0" w:line="240" w:lineRule="auto"/>
        <w:jc w:val="both"/>
        <w:rPr>
          <w:rFonts w:ascii="Verdana" w:hAnsi="Verdana" w:cs="Verdana"/>
          <w:b/>
          <w:bCs/>
          <w:sz w:val="20"/>
          <w:szCs w:val="20"/>
          <w:lang w:val="es-ES"/>
        </w:rPr>
      </w:pPr>
    </w:p>
    <w:p w:rsidR="007804B2" w:rsidRDefault="007804B2">
      <w:pPr>
        <w:numPr>
          <w:ilvl w:val="0"/>
          <w:numId w:val="15"/>
        </w:numPr>
        <w:tabs>
          <w:tab w:val="left" w:pos="567"/>
        </w:tabs>
        <w:spacing w:after="0" w:line="240" w:lineRule="auto"/>
        <w:ind w:left="0" w:right="-6" w:firstLine="0"/>
        <w:jc w:val="both"/>
        <w:rPr>
          <w:rFonts w:ascii="Verdana" w:hAnsi="Verdana" w:cs="Verdana"/>
          <w:sz w:val="20"/>
          <w:szCs w:val="20"/>
          <w:lang w:val="es-ES"/>
        </w:rPr>
      </w:pPr>
      <w:r w:rsidRPr="00DD421D">
        <w:rPr>
          <w:rFonts w:ascii="Verdana" w:hAnsi="Verdana" w:cs="Verdana"/>
          <w:sz w:val="20"/>
          <w:szCs w:val="20"/>
          <w:lang w:val="es-ES"/>
        </w:rPr>
        <w:t>Requerir, por las razones expuestas en la presente Resolución (</w:t>
      </w:r>
      <w:r w:rsidRPr="00DD421D">
        <w:rPr>
          <w:rFonts w:ascii="Verdana" w:hAnsi="Verdana" w:cs="Verdana"/>
          <w:i/>
          <w:iCs/>
          <w:sz w:val="20"/>
          <w:szCs w:val="20"/>
          <w:lang w:val="es-ES"/>
        </w:rPr>
        <w:t>Considerandos</w:t>
      </w:r>
      <w:r w:rsidR="008B6F08">
        <w:rPr>
          <w:rFonts w:ascii="Verdana" w:hAnsi="Verdana" w:cs="Verdana"/>
          <w:i/>
          <w:iCs/>
          <w:sz w:val="20"/>
          <w:szCs w:val="20"/>
          <w:lang w:val="es-ES"/>
        </w:rPr>
        <w:t xml:space="preserve"> </w:t>
      </w:r>
      <w:r w:rsidR="008B6F08">
        <w:rPr>
          <w:rFonts w:ascii="Verdana" w:hAnsi="Verdana" w:cs="Verdana"/>
          <w:iCs/>
          <w:sz w:val="20"/>
          <w:szCs w:val="20"/>
          <w:lang w:val="es-ES"/>
        </w:rPr>
        <w:t>16 a 48</w:t>
      </w:r>
      <w:r w:rsidRPr="00DD421D">
        <w:rPr>
          <w:rFonts w:ascii="Verdana" w:hAnsi="Verdana" w:cs="Verdana"/>
          <w:sz w:val="20"/>
          <w:szCs w:val="20"/>
          <w:lang w:val="es-ES"/>
        </w:rPr>
        <w:t>), de conformidad con el principio de economía procesal y en ejercicio de la facultad que le otorga el artículo 50.1 del Reglamento de la Corte, que las siguientes personas presenten sus declaraciones ante fedatario público (</w:t>
      </w:r>
      <w:r w:rsidRPr="00DD421D">
        <w:rPr>
          <w:rFonts w:ascii="Verdana" w:hAnsi="Verdana" w:cs="Verdana"/>
          <w:i/>
          <w:iCs/>
          <w:sz w:val="20"/>
          <w:szCs w:val="20"/>
          <w:lang w:val="es-ES"/>
        </w:rPr>
        <w:t>affidávit</w:t>
      </w:r>
      <w:r w:rsidRPr="00BE7C7E">
        <w:rPr>
          <w:rFonts w:ascii="Verdana" w:hAnsi="Verdana" w:cs="Verdana"/>
          <w:sz w:val="20"/>
          <w:szCs w:val="20"/>
          <w:lang w:val="es-ES"/>
        </w:rPr>
        <w:t>):</w:t>
      </w:r>
    </w:p>
    <w:p w:rsidR="007804B2" w:rsidRDefault="007804B2">
      <w:pPr>
        <w:spacing w:after="0" w:line="240" w:lineRule="auto"/>
        <w:ind w:right="-6"/>
        <w:jc w:val="both"/>
        <w:rPr>
          <w:rFonts w:ascii="Verdana" w:hAnsi="Verdana" w:cs="Verdana"/>
          <w:sz w:val="20"/>
          <w:szCs w:val="20"/>
          <w:lang w:val="es-ES"/>
        </w:rPr>
      </w:pPr>
    </w:p>
    <w:p w:rsidR="007804B2" w:rsidRDefault="007804B2">
      <w:pPr>
        <w:pStyle w:val="ListParagraph"/>
        <w:numPr>
          <w:ilvl w:val="0"/>
          <w:numId w:val="27"/>
        </w:numPr>
        <w:spacing w:after="0" w:line="240" w:lineRule="auto"/>
        <w:ind w:left="851" w:right="-6" w:hanging="284"/>
        <w:jc w:val="both"/>
        <w:rPr>
          <w:rFonts w:ascii="Verdana" w:hAnsi="Verdana" w:cs="Verdana"/>
          <w:b/>
          <w:bCs/>
          <w:i/>
          <w:iCs/>
          <w:sz w:val="20"/>
          <w:szCs w:val="20"/>
          <w:lang w:val="es-ES"/>
        </w:rPr>
      </w:pPr>
      <w:r w:rsidRPr="00BE7C7E">
        <w:rPr>
          <w:rFonts w:ascii="Verdana" w:hAnsi="Verdana" w:cs="Verdana"/>
          <w:b/>
          <w:bCs/>
          <w:i/>
          <w:iCs/>
          <w:sz w:val="20"/>
          <w:szCs w:val="20"/>
          <w:lang w:val="es-ES"/>
        </w:rPr>
        <w:t>Presuntas víctimas propuestas por los representantes</w:t>
      </w:r>
    </w:p>
    <w:p w:rsidR="007804B2" w:rsidRDefault="007804B2">
      <w:pPr>
        <w:spacing w:after="0" w:line="240" w:lineRule="auto"/>
        <w:ind w:right="-6"/>
        <w:jc w:val="both"/>
        <w:rPr>
          <w:rFonts w:ascii="Verdana" w:hAnsi="Verdana" w:cs="Verdana"/>
          <w:sz w:val="20"/>
          <w:szCs w:val="20"/>
          <w:lang w:val="es-ES"/>
        </w:rPr>
      </w:pPr>
    </w:p>
    <w:p w:rsidR="007804B2" w:rsidRDefault="007804B2">
      <w:pPr>
        <w:pStyle w:val="ListParagraph"/>
        <w:numPr>
          <w:ilvl w:val="0"/>
          <w:numId w:val="32"/>
        </w:numPr>
        <w:tabs>
          <w:tab w:val="left" w:pos="851"/>
        </w:tabs>
        <w:spacing w:after="0" w:line="240" w:lineRule="auto"/>
        <w:ind w:left="851" w:firstLine="5"/>
        <w:jc w:val="both"/>
        <w:rPr>
          <w:rFonts w:ascii="Verdana" w:hAnsi="Verdana" w:cs="Verdana"/>
          <w:sz w:val="20"/>
          <w:szCs w:val="20"/>
          <w:lang w:val="es-ES"/>
        </w:rPr>
      </w:pPr>
      <w:r w:rsidRPr="00BE7C7E">
        <w:rPr>
          <w:rFonts w:ascii="Verdana" w:hAnsi="Verdana" w:cs="Verdana"/>
          <w:sz w:val="20"/>
          <w:szCs w:val="20"/>
        </w:rPr>
        <w:t>María Magdalena Mejías</w:t>
      </w:r>
      <w:r w:rsidRPr="00BE7C7E">
        <w:rPr>
          <w:rFonts w:ascii="Verdana" w:hAnsi="Verdana" w:cs="Verdana"/>
          <w:sz w:val="20"/>
          <w:szCs w:val="20"/>
          <w:lang w:val="es-ES"/>
        </w:rPr>
        <w:t xml:space="preserve">, </w:t>
      </w:r>
      <w:r w:rsidRPr="00BE7C7E">
        <w:rPr>
          <w:rFonts w:ascii="Verdana" w:hAnsi="Verdana" w:cs="Verdana"/>
          <w:sz w:val="20"/>
          <w:szCs w:val="20"/>
          <w:lang w:val="es-CR"/>
        </w:rPr>
        <w:t xml:space="preserve">madre de </w:t>
      </w:r>
      <w:proofErr w:type="spellStart"/>
      <w:r w:rsidRPr="00BE7C7E">
        <w:rPr>
          <w:rFonts w:ascii="Verdana" w:hAnsi="Verdana" w:cs="Verdana"/>
          <w:sz w:val="20"/>
          <w:szCs w:val="20"/>
          <w:lang w:val="es-CR"/>
        </w:rPr>
        <w:t>Igmar</w:t>
      </w:r>
      <w:proofErr w:type="spellEnd"/>
      <w:r w:rsidRPr="00BE7C7E">
        <w:rPr>
          <w:rFonts w:ascii="Verdana" w:hAnsi="Verdana" w:cs="Verdana"/>
          <w:sz w:val="20"/>
          <w:szCs w:val="20"/>
          <w:lang w:val="es-CR"/>
        </w:rPr>
        <w:t xml:space="preserve"> Alexander y Eduardo José, ambos de apellidos Landaeta Mejías, quien declarará sobre: las circunstancias en que perdieron la vida sus hijos, así como de las </w:t>
      </w:r>
      <w:r>
        <w:rPr>
          <w:rFonts w:ascii="Verdana" w:hAnsi="Verdana" w:cs="Verdana"/>
          <w:sz w:val="20"/>
          <w:szCs w:val="20"/>
          <w:lang w:val="es-CR"/>
        </w:rPr>
        <w:t xml:space="preserve">alegadas </w:t>
      </w:r>
      <w:r w:rsidRPr="00BE7C7E">
        <w:rPr>
          <w:rFonts w:ascii="Verdana" w:hAnsi="Verdana" w:cs="Verdana"/>
          <w:sz w:val="20"/>
          <w:szCs w:val="20"/>
          <w:lang w:val="es-CR"/>
        </w:rPr>
        <w:t xml:space="preserve">amenazas y hostigamientos de los que </w:t>
      </w:r>
      <w:r>
        <w:rPr>
          <w:rFonts w:ascii="Verdana" w:hAnsi="Verdana" w:cs="Verdana"/>
          <w:sz w:val="20"/>
          <w:szCs w:val="20"/>
          <w:lang w:val="es-CR"/>
        </w:rPr>
        <w:t>habrían sido</w:t>
      </w:r>
      <w:r w:rsidRPr="00BE7C7E">
        <w:rPr>
          <w:rFonts w:ascii="Verdana" w:hAnsi="Verdana" w:cs="Verdana"/>
          <w:sz w:val="20"/>
          <w:szCs w:val="20"/>
          <w:lang w:val="es-CR"/>
        </w:rPr>
        <w:t xml:space="preserve"> objeto con anterioridad a su muerte; la </w:t>
      </w:r>
      <w:r>
        <w:rPr>
          <w:rFonts w:ascii="Verdana" w:hAnsi="Verdana" w:cs="Verdana"/>
          <w:sz w:val="20"/>
          <w:szCs w:val="20"/>
          <w:lang w:val="es-CR"/>
        </w:rPr>
        <w:t xml:space="preserve">presunta </w:t>
      </w:r>
      <w:r w:rsidRPr="00BE7C7E">
        <w:rPr>
          <w:rFonts w:ascii="Verdana" w:hAnsi="Verdana" w:cs="Verdana"/>
          <w:sz w:val="20"/>
          <w:szCs w:val="20"/>
          <w:lang w:val="es-CR"/>
        </w:rPr>
        <w:t xml:space="preserve">detención ilegal de Eduardo José y las acciones emprendidas para garantizar su seguridad mientras su hijo se encontraba en detención; </w:t>
      </w:r>
      <w:r w:rsidRPr="00DD421D">
        <w:rPr>
          <w:rFonts w:ascii="Verdana" w:hAnsi="Verdana" w:cs="Verdana"/>
          <w:sz w:val="20"/>
          <w:szCs w:val="20"/>
          <w:lang w:val="es-CR"/>
        </w:rPr>
        <w:t xml:space="preserve">las gestiones que ha realizado para denunciar los hechos y exigir justicia sobre las </w:t>
      </w:r>
      <w:r>
        <w:rPr>
          <w:rFonts w:ascii="Verdana" w:hAnsi="Verdana" w:cs="Verdana"/>
          <w:sz w:val="20"/>
          <w:szCs w:val="20"/>
          <w:lang w:val="es-CR"/>
        </w:rPr>
        <w:t xml:space="preserve">presuntas </w:t>
      </w:r>
      <w:r w:rsidRPr="00DD421D">
        <w:rPr>
          <w:rFonts w:ascii="Verdana" w:hAnsi="Verdana" w:cs="Verdana"/>
          <w:sz w:val="20"/>
          <w:szCs w:val="20"/>
          <w:lang w:val="es-CR"/>
        </w:rPr>
        <w:t>violaciones a los derechos humanos de los que ha</w:t>
      </w:r>
      <w:r>
        <w:rPr>
          <w:rFonts w:ascii="Verdana" w:hAnsi="Verdana" w:cs="Verdana"/>
          <w:sz w:val="20"/>
          <w:szCs w:val="20"/>
          <w:lang w:val="es-CR"/>
        </w:rPr>
        <w:t>bría</w:t>
      </w:r>
      <w:r w:rsidRPr="00DD421D">
        <w:rPr>
          <w:rFonts w:ascii="Verdana" w:hAnsi="Verdana" w:cs="Verdana"/>
          <w:sz w:val="20"/>
          <w:szCs w:val="20"/>
          <w:lang w:val="es-CR"/>
        </w:rPr>
        <w:t xml:space="preserve"> sido víctima, y las </w:t>
      </w:r>
      <w:r>
        <w:rPr>
          <w:rFonts w:ascii="Verdana" w:hAnsi="Verdana" w:cs="Verdana"/>
          <w:sz w:val="20"/>
          <w:szCs w:val="20"/>
          <w:lang w:val="es-CR"/>
        </w:rPr>
        <w:t xml:space="preserve">alegadas </w:t>
      </w:r>
      <w:r w:rsidRPr="00DD421D">
        <w:rPr>
          <w:rFonts w:ascii="Verdana" w:hAnsi="Verdana" w:cs="Verdana"/>
          <w:sz w:val="20"/>
          <w:szCs w:val="20"/>
          <w:lang w:val="es-CR"/>
        </w:rPr>
        <w:t>secuelas emocionales y físicas que ha</w:t>
      </w:r>
      <w:r>
        <w:rPr>
          <w:rFonts w:ascii="Verdana" w:hAnsi="Verdana" w:cs="Verdana"/>
          <w:sz w:val="20"/>
          <w:szCs w:val="20"/>
          <w:lang w:val="es-CR"/>
        </w:rPr>
        <w:t>bría</w:t>
      </w:r>
      <w:r w:rsidRPr="00DD421D">
        <w:rPr>
          <w:rFonts w:ascii="Verdana" w:hAnsi="Verdana" w:cs="Verdana"/>
          <w:sz w:val="20"/>
          <w:szCs w:val="20"/>
          <w:lang w:val="es-CR"/>
        </w:rPr>
        <w:t xml:space="preserve"> sufrido como consecuencia de los hechos y las </w:t>
      </w:r>
      <w:r>
        <w:rPr>
          <w:rFonts w:ascii="Verdana" w:hAnsi="Verdana" w:cs="Verdana"/>
          <w:sz w:val="20"/>
          <w:szCs w:val="20"/>
          <w:lang w:val="es-CR"/>
        </w:rPr>
        <w:t xml:space="preserve">supuestas </w:t>
      </w:r>
      <w:r w:rsidRPr="00DD421D">
        <w:rPr>
          <w:rFonts w:ascii="Verdana" w:hAnsi="Verdana" w:cs="Verdana"/>
          <w:sz w:val="20"/>
          <w:szCs w:val="20"/>
          <w:lang w:val="es-CR"/>
        </w:rPr>
        <w:t>afectaciones a su proyecto de vida;</w:t>
      </w:r>
    </w:p>
    <w:p w:rsidR="007804B2" w:rsidRDefault="007804B2">
      <w:pPr>
        <w:spacing w:after="0" w:line="240" w:lineRule="auto"/>
        <w:ind w:left="851"/>
        <w:jc w:val="both"/>
        <w:rPr>
          <w:rFonts w:ascii="Verdana" w:hAnsi="Verdana" w:cs="Verdana"/>
          <w:sz w:val="20"/>
          <w:szCs w:val="20"/>
          <w:lang w:val="es-ES"/>
        </w:rPr>
      </w:pPr>
    </w:p>
    <w:p w:rsidR="007804B2" w:rsidRDefault="007804B2">
      <w:pPr>
        <w:pStyle w:val="ListParagraph"/>
        <w:numPr>
          <w:ilvl w:val="0"/>
          <w:numId w:val="32"/>
        </w:numPr>
        <w:tabs>
          <w:tab w:val="left" w:pos="851"/>
        </w:tabs>
        <w:spacing w:after="0" w:line="240" w:lineRule="auto"/>
        <w:ind w:left="851" w:firstLine="5"/>
        <w:jc w:val="both"/>
        <w:rPr>
          <w:rFonts w:ascii="Verdana" w:hAnsi="Verdana" w:cs="Verdana"/>
          <w:sz w:val="20"/>
          <w:szCs w:val="20"/>
        </w:rPr>
      </w:pPr>
      <w:r w:rsidRPr="00DD421D">
        <w:rPr>
          <w:rFonts w:ascii="Verdana" w:hAnsi="Verdana" w:cs="Verdana"/>
          <w:sz w:val="20"/>
          <w:szCs w:val="20"/>
        </w:rPr>
        <w:t xml:space="preserve">Victoria </w:t>
      </w:r>
      <w:proofErr w:type="spellStart"/>
      <w:r w:rsidRPr="00DD421D">
        <w:rPr>
          <w:rFonts w:ascii="Verdana" w:hAnsi="Verdana" w:cs="Verdana"/>
          <w:sz w:val="20"/>
          <w:szCs w:val="20"/>
        </w:rPr>
        <w:t>Eneri</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Landaeta</w:t>
      </w:r>
      <w:proofErr w:type="spellEnd"/>
      <w:r w:rsidRPr="00DD421D">
        <w:rPr>
          <w:rFonts w:ascii="Verdana" w:hAnsi="Verdana" w:cs="Verdana"/>
          <w:sz w:val="20"/>
          <w:szCs w:val="20"/>
        </w:rPr>
        <w:t xml:space="preserve"> Galindo, hermana de </w:t>
      </w:r>
      <w:proofErr w:type="spellStart"/>
      <w:r w:rsidRPr="00DD421D">
        <w:rPr>
          <w:rFonts w:ascii="Verdana" w:hAnsi="Verdana" w:cs="Verdana"/>
          <w:sz w:val="20"/>
          <w:szCs w:val="20"/>
        </w:rPr>
        <w:t>Igmar</w:t>
      </w:r>
      <w:proofErr w:type="spellEnd"/>
      <w:r w:rsidRPr="00DD421D">
        <w:rPr>
          <w:rFonts w:ascii="Verdana" w:hAnsi="Verdana" w:cs="Verdana"/>
          <w:sz w:val="20"/>
          <w:szCs w:val="20"/>
        </w:rPr>
        <w:t xml:space="preserve"> Alexander y Eduardo José, ambos de apellidos Landaeta Mejías, quien declarará sobre: los hechos en los que fallecieron sus hermanos; el</w:t>
      </w:r>
      <w:r>
        <w:rPr>
          <w:rFonts w:ascii="Verdana" w:hAnsi="Verdana" w:cs="Verdana"/>
          <w:sz w:val="20"/>
          <w:szCs w:val="20"/>
        </w:rPr>
        <w:t xml:space="preserve"> alegado</w:t>
      </w:r>
      <w:r w:rsidRPr="00DD421D">
        <w:rPr>
          <w:rFonts w:ascii="Verdana" w:hAnsi="Verdana" w:cs="Verdana"/>
          <w:sz w:val="20"/>
          <w:szCs w:val="20"/>
        </w:rPr>
        <w:t xml:space="preserve"> impacto que sus muertes generaron en su vida y en su entorno familiar, y las </w:t>
      </w:r>
      <w:r>
        <w:rPr>
          <w:rFonts w:ascii="Verdana" w:hAnsi="Verdana" w:cs="Verdana"/>
          <w:sz w:val="20"/>
          <w:szCs w:val="20"/>
        </w:rPr>
        <w:t xml:space="preserve">presuntas </w:t>
      </w:r>
      <w:r w:rsidRPr="00DD421D">
        <w:rPr>
          <w:rFonts w:ascii="Verdana" w:hAnsi="Verdana" w:cs="Verdana"/>
          <w:sz w:val="20"/>
          <w:szCs w:val="20"/>
        </w:rPr>
        <w:t>secuelas emocionales y físicas que ha</w:t>
      </w:r>
      <w:r>
        <w:rPr>
          <w:rFonts w:ascii="Verdana" w:hAnsi="Verdana" w:cs="Verdana"/>
          <w:sz w:val="20"/>
          <w:szCs w:val="20"/>
        </w:rPr>
        <w:t>bría</w:t>
      </w:r>
      <w:r w:rsidRPr="00DD421D">
        <w:rPr>
          <w:rFonts w:ascii="Verdana" w:hAnsi="Verdana" w:cs="Verdana"/>
          <w:sz w:val="20"/>
          <w:szCs w:val="20"/>
        </w:rPr>
        <w:t xml:space="preserve"> sufrido como consecuencia de los hechos y las afectaciones a su proyecto de vida, entre otros aspectos relacionados con los hechos del presente caso;</w:t>
      </w:r>
    </w:p>
    <w:p w:rsidR="007804B2" w:rsidRDefault="007804B2">
      <w:pPr>
        <w:tabs>
          <w:tab w:val="left" w:pos="1134"/>
        </w:tabs>
        <w:spacing w:after="0" w:line="240" w:lineRule="auto"/>
        <w:ind w:left="1129" w:firstLine="5"/>
        <w:jc w:val="both"/>
        <w:rPr>
          <w:rFonts w:ascii="Verdana" w:hAnsi="Verdana" w:cs="Verdana"/>
          <w:sz w:val="20"/>
          <w:szCs w:val="20"/>
        </w:rPr>
      </w:pPr>
    </w:p>
    <w:p w:rsidR="007804B2" w:rsidRDefault="007804B2">
      <w:pPr>
        <w:pStyle w:val="ListParagraph"/>
        <w:numPr>
          <w:ilvl w:val="0"/>
          <w:numId w:val="32"/>
        </w:numPr>
        <w:tabs>
          <w:tab w:val="left" w:pos="851"/>
        </w:tabs>
        <w:spacing w:after="0" w:line="240" w:lineRule="auto"/>
        <w:ind w:left="851" w:firstLine="5"/>
        <w:jc w:val="both"/>
        <w:rPr>
          <w:rFonts w:ascii="Verdana" w:hAnsi="Verdana" w:cs="Verdana"/>
          <w:sz w:val="20"/>
          <w:szCs w:val="20"/>
        </w:rPr>
      </w:pPr>
      <w:proofErr w:type="spellStart"/>
      <w:r w:rsidRPr="00DD421D">
        <w:rPr>
          <w:rFonts w:ascii="Verdana" w:hAnsi="Verdana" w:cs="Verdana"/>
          <w:sz w:val="20"/>
          <w:szCs w:val="20"/>
        </w:rPr>
        <w:t>Leydis</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Rossimar</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Landaeta</w:t>
      </w:r>
      <w:proofErr w:type="spellEnd"/>
      <w:r w:rsidRPr="00DD421D">
        <w:rPr>
          <w:rFonts w:ascii="Verdana" w:hAnsi="Verdana" w:cs="Verdana"/>
          <w:sz w:val="20"/>
          <w:szCs w:val="20"/>
        </w:rPr>
        <w:t xml:space="preserve"> Galindo, hermana de </w:t>
      </w:r>
      <w:proofErr w:type="spellStart"/>
      <w:r w:rsidRPr="00DD421D">
        <w:rPr>
          <w:rFonts w:ascii="Verdana" w:hAnsi="Verdana" w:cs="Verdana"/>
          <w:sz w:val="20"/>
          <w:szCs w:val="20"/>
        </w:rPr>
        <w:t>Igmar</w:t>
      </w:r>
      <w:proofErr w:type="spellEnd"/>
      <w:r w:rsidRPr="00DD421D">
        <w:rPr>
          <w:rFonts w:ascii="Verdana" w:hAnsi="Verdana" w:cs="Verdana"/>
          <w:sz w:val="20"/>
          <w:szCs w:val="20"/>
        </w:rPr>
        <w:t xml:space="preserve"> Alexander y Eduardo José, ambos de apellidos Landaeta Mejías, quien declarará sobre: los </w:t>
      </w:r>
      <w:r w:rsidRPr="00DD421D">
        <w:rPr>
          <w:rFonts w:ascii="Verdana" w:hAnsi="Verdana" w:cs="Verdana"/>
          <w:sz w:val="20"/>
          <w:szCs w:val="20"/>
        </w:rPr>
        <w:lastRenderedPageBreak/>
        <w:t xml:space="preserve">hechos en los que fallecieron sus hermanos; el </w:t>
      </w:r>
      <w:r>
        <w:rPr>
          <w:rFonts w:ascii="Verdana" w:hAnsi="Verdana" w:cs="Verdana"/>
          <w:sz w:val="20"/>
          <w:szCs w:val="20"/>
        </w:rPr>
        <w:t xml:space="preserve">alegado </w:t>
      </w:r>
      <w:r w:rsidRPr="00DD421D">
        <w:rPr>
          <w:rFonts w:ascii="Verdana" w:hAnsi="Verdana" w:cs="Verdana"/>
          <w:sz w:val="20"/>
          <w:szCs w:val="20"/>
        </w:rPr>
        <w:t xml:space="preserve">impacto que sus muertes generaron en su vida y en su entorno familiar, y las </w:t>
      </w:r>
      <w:r>
        <w:rPr>
          <w:rFonts w:ascii="Verdana" w:hAnsi="Verdana" w:cs="Verdana"/>
          <w:sz w:val="20"/>
          <w:szCs w:val="20"/>
        </w:rPr>
        <w:t xml:space="preserve">presuntas </w:t>
      </w:r>
      <w:r w:rsidRPr="00DD421D">
        <w:rPr>
          <w:rFonts w:ascii="Verdana" w:hAnsi="Verdana" w:cs="Verdana"/>
          <w:sz w:val="20"/>
          <w:szCs w:val="20"/>
        </w:rPr>
        <w:t>secuelas emocionales y físicas que ha</w:t>
      </w:r>
      <w:r>
        <w:rPr>
          <w:rFonts w:ascii="Verdana" w:hAnsi="Verdana" w:cs="Verdana"/>
          <w:sz w:val="20"/>
          <w:szCs w:val="20"/>
        </w:rPr>
        <w:t>bría</w:t>
      </w:r>
      <w:r w:rsidRPr="00DD421D">
        <w:rPr>
          <w:rFonts w:ascii="Verdana" w:hAnsi="Verdana" w:cs="Verdana"/>
          <w:sz w:val="20"/>
          <w:szCs w:val="20"/>
        </w:rPr>
        <w:t xml:space="preserve"> sufrido como consecuencia de los hechos y las afectaciones a su proyecto de vida, entre otros aspectos relacionados con los hechos del presente caso, y</w:t>
      </w:r>
    </w:p>
    <w:p w:rsidR="007804B2" w:rsidRDefault="007804B2">
      <w:pPr>
        <w:tabs>
          <w:tab w:val="left" w:pos="1134"/>
        </w:tabs>
        <w:spacing w:after="0" w:line="240" w:lineRule="auto"/>
        <w:ind w:left="1129" w:firstLine="5"/>
        <w:jc w:val="both"/>
        <w:rPr>
          <w:rFonts w:ascii="Verdana" w:hAnsi="Verdana" w:cs="Verdana"/>
          <w:sz w:val="20"/>
          <w:szCs w:val="20"/>
          <w:lang w:val="es-ES"/>
        </w:rPr>
      </w:pPr>
    </w:p>
    <w:p w:rsidR="007804B2" w:rsidRDefault="007804B2">
      <w:pPr>
        <w:pStyle w:val="ListParagraph"/>
        <w:numPr>
          <w:ilvl w:val="0"/>
          <w:numId w:val="32"/>
        </w:numPr>
        <w:tabs>
          <w:tab w:val="left" w:pos="851"/>
        </w:tabs>
        <w:spacing w:after="0" w:line="240" w:lineRule="auto"/>
        <w:ind w:left="851" w:firstLine="5"/>
        <w:jc w:val="both"/>
        <w:rPr>
          <w:rFonts w:ascii="Verdana" w:hAnsi="Verdana" w:cs="Verdana"/>
          <w:sz w:val="20"/>
          <w:szCs w:val="20"/>
        </w:rPr>
      </w:pPr>
      <w:proofErr w:type="spellStart"/>
      <w:r w:rsidRPr="00DD421D">
        <w:rPr>
          <w:rFonts w:ascii="Verdana" w:hAnsi="Verdana" w:cs="Verdana"/>
          <w:sz w:val="20"/>
          <w:szCs w:val="20"/>
        </w:rPr>
        <w:t>Francy</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Yelut</w:t>
      </w:r>
      <w:proofErr w:type="spellEnd"/>
      <w:r w:rsidRPr="00DD421D">
        <w:rPr>
          <w:rFonts w:ascii="Verdana" w:hAnsi="Verdana" w:cs="Verdana"/>
          <w:sz w:val="20"/>
          <w:szCs w:val="20"/>
        </w:rPr>
        <w:t xml:space="preserve"> Parra Guzmán, compañera de vida de </w:t>
      </w:r>
      <w:proofErr w:type="spellStart"/>
      <w:r w:rsidRPr="00DD421D">
        <w:rPr>
          <w:rFonts w:ascii="Verdana" w:hAnsi="Verdana" w:cs="Verdana"/>
          <w:sz w:val="20"/>
          <w:szCs w:val="20"/>
        </w:rPr>
        <w:t>Igmar</w:t>
      </w:r>
      <w:proofErr w:type="spellEnd"/>
      <w:r w:rsidRPr="00DD421D">
        <w:rPr>
          <w:rFonts w:ascii="Verdana" w:hAnsi="Verdana" w:cs="Verdana"/>
          <w:sz w:val="20"/>
          <w:szCs w:val="20"/>
        </w:rPr>
        <w:t xml:space="preserve"> Alexander </w:t>
      </w:r>
      <w:proofErr w:type="spellStart"/>
      <w:r w:rsidRPr="00DD421D">
        <w:rPr>
          <w:rFonts w:ascii="Verdana" w:hAnsi="Verdana" w:cs="Verdana"/>
          <w:sz w:val="20"/>
          <w:szCs w:val="20"/>
        </w:rPr>
        <w:t>Landaeta</w:t>
      </w:r>
      <w:proofErr w:type="spellEnd"/>
      <w:r w:rsidRPr="00DD421D">
        <w:rPr>
          <w:rFonts w:ascii="Verdana" w:hAnsi="Verdana" w:cs="Verdana"/>
          <w:sz w:val="20"/>
          <w:szCs w:val="20"/>
        </w:rPr>
        <w:t xml:space="preserve"> Mejías, quien declarará sobre: las circunstancias en las que perdió la vida su compañero y el</w:t>
      </w:r>
      <w:r>
        <w:rPr>
          <w:rFonts w:ascii="Verdana" w:hAnsi="Verdana" w:cs="Verdana"/>
          <w:sz w:val="20"/>
          <w:szCs w:val="20"/>
        </w:rPr>
        <w:t xml:space="preserve"> alegado </w:t>
      </w:r>
      <w:r w:rsidRPr="00DD421D">
        <w:rPr>
          <w:rFonts w:ascii="Verdana" w:hAnsi="Verdana" w:cs="Verdana"/>
          <w:sz w:val="20"/>
          <w:szCs w:val="20"/>
        </w:rPr>
        <w:t xml:space="preserve">impacto en su proyecto de vida y en el de su hija </w:t>
      </w:r>
      <w:proofErr w:type="spellStart"/>
      <w:r w:rsidRPr="00DD421D">
        <w:rPr>
          <w:rFonts w:ascii="Verdana" w:hAnsi="Verdana" w:cs="Verdana"/>
          <w:sz w:val="20"/>
          <w:szCs w:val="20"/>
        </w:rPr>
        <w:t>Johanyelis</w:t>
      </w:r>
      <w:proofErr w:type="spellEnd"/>
      <w:r w:rsidRPr="00DD421D">
        <w:rPr>
          <w:rFonts w:ascii="Verdana" w:hAnsi="Verdana" w:cs="Verdana"/>
          <w:sz w:val="20"/>
          <w:szCs w:val="20"/>
        </w:rPr>
        <w:t xml:space="preserve"> Alejandra </w:t>
      </w:r>
      <w:proofErr w:type="spellStart"/>
      <w:r w:rsidRPr="00DD421D">
        <w:rPr>
          <w:rFonts w:ascii="Verdana" w:hAnsi="Verdana" w:cs="Verdana"/>
          <w:sz w:val="20"/>
          <w:szCs w:val="20"/>
        </w:rPr>
        <w:t>Landaeta</w:t>
      </w:r>
      <w:proofErr w:type="spellEnd"/>
      <w:r w:rsidRPr="00DD421D">
        <w:rPr>
          <w:rFonts w:ascii="Verdana" w:hAnsi="Verdana" w:cs="Verdana"/>
          <w:sz w:val="20"/>
          <w:szCs w:val="20"/>
        </w:rPr>
        <w:t xml:space="preserve"> Parra</w:t>
      </w:r>
      <w:r w:rsidRPr="00BE7C7E">
        <w:rPr>
          <w:rFonts w:ascii="Verdana" w:hAnsi="Verdana" w:cs="Verdana"/>
          <w:sz w:val="20"/>
          <w:szCs w:val="20"/>
        </w:rPr>
        <w:t>.</w:t>
      </w:r>
    </w:p>
    <w:p w:rsidR="007804B2" w:rsidRDefault="007804B2">
      <w:pPr>
        <w:pStyle w:val="ListParagraph"/>
        <w:spacing w:after="0" w:line="240" w:lineRule="auto"/>
        <w:ind w:left="0"/>
        <w:jc w:val="both"/>
        <w:rPr>
          <w:rFonts w:ascii="Verdana" w:hAnsi="Verdana" w:cs="Verdana"/>
          <w:sz w:val="20"/>
          <w:szCs w:val="20"/>
          <w:lang w:val="es-CR"/>
        </w:rPr>
      </w:pPr>
    </w:p>
    <w:p w:rsidR="007804B2" w:rsidRDefault="007804B2">
      <w:pPr>
        <w:pStyle w:val="ListParagraph"/>
        <w:numPr>
          <w:ilvl w:val="0"/>
          <w:numId w:val="27"/>
        </w:numPr>
        <w:spacing w:after="0" w:line="240" w:lineRule="auto"/>
        <w:ind w:left="851" w:right="-6" w:hanging="284"/>
        <w:jc w:val="both"/>
        <w:rPr>
          <w:rFonts w:ascii="Verdana" w:hAnsi="Verdana" w:cs="Verdana"/>
          <w:b/>
          <w:bCs/>
          <w:i/>
          <w:iCs/>
          <w:sz w:val="20"/>
          <w:szCs w:val="20"/>
          <w:lang w:val="es-ES"/>
        </w:rPr>
      </w:pPr>
      <w:r w:rsidRPr="00BE7C7E">
        <w:rPr>
          <w:rFonts w:ascii="Verdana" w:hAnsi="Verdana" w:cs="Verdana"/>
          <w:b/>
          <w:bCs/>
          <w:i/>
          <w:iCs/>
          <w:sz w:val="20"/>
          <w:szCs w:val="20"/>
          <w:lang w:val="es-ES"/>
        </w:rPr>
        <w:t>Peritos propuestos por los representantes</w:t>
      </w:r>
    </w:p>
    <w:p w:rsidR="007804B2" w:rsidRPr="00BE7C7E" w:rsidRDefault="007804B2" w:rsidP="00BE7C7E">
      <w:pPr>
        <w:pStyle w:val="FootnoteText"/>
        <w:jc w:val="both"/>
        <w:rPr>
          <w:rFonts w:ascii="Verdana" w:hAnsi="Verdana" w:cs="Verdana"/>
          <w:lang w:val="es-ES"/>
        </w:rPr>
      </w:pPr>
    </w:p>
    <w:p w:rsidR="007804B2" w:rsidRDefault="007804B2">
      <w:pPr>
        <w:pStyle w:val="ListParagraph"/>
        <w:numPr>
          <w:ilvl w:val="0"/>
          <w:numId w:val="44"/>
        </w:numPr>
        <w:tabs>
          <w:tab w:val="left" w:pos="851"/>
        </w:tabs>
        <w:spacing w:after="0" w:line="240" w:lineRule="auto"/>
        <w:ind w:left="851" w:firstLine="5"/>
        <w:jc w:val="both"/>
        <w:rPr>
          <w:rFonts w:ascii="Verdana" w:hAnsi="Verdana" w:cs="Verdana"/>
          <w:sz w:val="20"/>
          <w:szCs w:val="20"/>
        </w:rPr>
      </w:pPr>
      <w:r w:rsidRPr="00DD421D">
        <w:rPr>
          <w:rFonts w:ascii="Verdana" w:hAnsi="Verdana" w:cs="Verdana"/>
          <w:sz w:val="20"/>
          <w:szCs w:val="20"/>
        </w:rPr>
        <w:t>Magaly Mercedes Vásquez González, abogada egresada de la Universidad Católica Andrés Bello, especialista en Ciencias Penales y Criminológicas, quien declarará sobre</w:t>
      </w:r>
      <w:r w:rsidRPr="00BE7C7E">
        <w:rPr>
          <w:rFonts w:ascii="Verdana" w:hAnsi="Verdana" w:cs="Verdana"/>
          <w:sz w:val="20"/>
          <w:szCs w:val="20"/>
        </w:rPr>
        <w:t>:</w:t>
      </w:r>
      <w:r w:rsidRPr="00DD421D">
        <w:rPr>
          <w:rFonts w:ascii="Verdana" w:hAnsi="Verdana" w:cs="Verdana"/>
          <w:sz w:val="20"/>
          <w:szCs w:val="20"/>
        </w:rPr>
        <w:t xml:space="preserve"> la normatividad que regía el procedimiento penal en Venezuela para el momento de la ocurrencia de los hechos, y el que rige hoy en día con referencia al papel del Estado como garante del derecho a la vida, a la integridad personal y la libertad personal</w:t>
      </w:r>
      <w:r w:rsidRPr="00BE7C7E">
        <w:rPr>
          <w:rFonts w:ascii="Verdana" w:hAnsi="Verdana" w:cs="Verdana"/>
          <w:sz w:val="20"/>
          <w:szCs w:val="20"/>
        </w:rPr>
        <w:t>, y</w:t>
      </w:r>
      <w:r w:rsidRPr="00DD421D">
        <w:rPr>
          <w:rFonts w:ascii="Verdana" w:hAnsi="Verdana" w:cs="Verdana"/>
          <w:sz w:val="20"/>
          <w:szCs w:val="20"/>
        </w:rPr>
        <w:t xml:space="preserve"> la debida diligencia en los procesos penales de los casos de los hermanos Landaeta haciendo énfasis en los obstáculos de hecho y de derecho que se han presentado en los años que llevan dichos procesos; </w:t>
      </w:r>
    </w:p>
    <w:p w:rsidR="007804B2" w:rsidRDefault="007804B2">
      <w:pPr>
        <w:pStyle w:val="ListParagraph"/>
        <w:tabs>
          <w:tab w:val="left" w:pos="720"/>
        </w:tabs>
        <w:spacing w:after="0" w:line="240" w:lineRule="auto"/>
        <w:ind w:left="1129"/>
        <w:jc w:val="both"/>
        <w:rPr>
          <w:rFonts w:ascii="Verdana" w:hAnsi="Verdana" w:cs="Verdana"/>
          <w:sz w:val="20"/>
          <w:szCs w:val="20"/>
          <w:lang w:val="es-ES"/>
        </w:rPr>
      </w:pPr>
    </w:p>
    <w:p w:rsidR="007804B2" w:rsidRDefault="007804B2">
      <w:pPr>
        <w:pStyle w:val="ListParagraph"/>
        <w:numPr>
          <w:ilvl w:val="0"/>
          <w:numId w:val="44"/>
        </w:numPr>
        <w:tabs>
          <w:tab w:val="left" w:pos="851"/>
        </w:tabs>
        <w:spacing w:after="0" w:line="240" w:lineRule="auto"/>
        <w:ind w:left="851" w:firstLine="5"/>
        <w:jc w:val="both"/>
        <w:rPr>
          <w:rFonts w:ascii="Verdana" w:hAnsi="Verdana" w:cs="Verdana"/>
          <w:sz w:val="20"/>
          <w:szCs w:val="20"/>
        </w:rPr>
      </w:pPr>
      <w:r w:rsidRPr="00DD421D">
        <w:rPr>
          <w:rFonts w:ascii="Verdana" w:hAnsi="Verdana" w:cs="Verdana"/>
          <w:sz w:val="20"/>
          <w:szCs w:val="20"/>
        </w:rPr>
        <w:t>Jos</w:t>
      </w:r>
      <w:r>
        <w:rPr>
          <w:rFonts w:ascii="Verdana" w:hAnsi="Verdana" w:cs="Verdana"/>
          <w:sz w:val="20"/>
          <w:szCs w:val="20"/>
        </w:rPr>
        <w:t>é</w:t>
      </w:r>
      <w:r w:rsidRPr="00DD421D">
        <w:rPr>
          <w:rFonts w:ascii="Verdana" w:hAnsi="Verdana" w:cs="Verdana"/>
          <w:sz w:val="20"/>
          <w:szCs w:val="20"/>
        </w:rPr>
        <w:t xml:space="preserve"> Pablo </w:t>
      </w:r>
      <w:proofErr w:type="spellStart"/>
      <w:r w:rsidRPr="00DD421D">
        <w:rPr>
          <w:rFonts w:ascii="Verdana" w:hAnsi="Verdana" w:cs="Verdana"/>
          <w:sz w:val="20"/>
          <w:szCs w:val="20"/>
        </w:rPr>
        <w:t>Baraybar</w:t>
      </w:r>
      <w:proofErr w:type="spellEnd"/>
      <w:r w:rsidRPr="00DD421D">
        <w:rPr>
          <w:rFonts w:ascii="Verdana" w:hAnsi="Verdana" w:cs="Verdana"/>
          <w:sz w:val="20"/>
          <w:szCs w:val="20"/>
        </w:rPr>
        <w:t xml:space="preserve">, </w:t>
      </w:r>
      <w:r w:rsidRPr="00BE7C7E">
        <w:rPr>
          <w:rFonts w:ascii="Verdana" w:hAnsi="Verdana" w:cs="Verdana"/>
          <w:sz w:val="20"/>
          <w:szCs w:val="20"/>
        </w:rPr>
        <w:t>a</w:t>
      </w:r>
      <w:r w:rsidRPr="00DD421D">
        <w:rPr>
          <w:rFonts w:ascii="Verdana" w:hAnsi="Verdana" w:cs="Verdana"/>
          <w:sz w:val="20"/>
          <w:szCs w:val="20"/>
        </w:rPr>
        <w:t>ntropólogo forense y Director Ejecutivo del Equipo Peruano de Antropología, quien declarará sobre</w:t>
      </w:r>
      <w:r w:rsidRPr="00BE7C7E">
        <w:rPr>
          <w:rFonts w:ascii="Verdana" w:hAnsi="Verdana" w:cs="Verdana"/>
          <w:sz w:val="20"/>
          <w:szCs w:val="20"/>
        </w:rPr>
        <w:t>:</w:t>
      </w:r>
      <w:r w:rsidRPr="00DD421D">
        <w:rPr>
          <w:rFonts w:ascii="Verdana" w:hAnsi="Verdana" w:cs="Verdana"/>
          <w:sz w:val="20"/>
          <w:szCs w:val="20"/>
        </w:rPr>
        <w:t xml:space="preserve"> los</w:t>
      </w:r>
      <w:r>
        <w:rPr>
          <w:rFonts w:ascii="Verdana" w:hAnsi="Verdana" w:cs="Verdana"/>
          <w:sz w:val="20"/>
          <w:szCs w:val="20"/>
        </w:rPr>
        <w:t xml:space="preserve"> </w:t>
      </w:r>
      <w:r w:rsidRPr="00DD421D">
        <w:rPr>
          <w:rFonts w:ascii="Verdana" w:hAnsi="Verdana" w:cs="Verdana"/>
          <w:sz w:val="20"/>
          <w:szCs w:val="20"/>
        </w:rPr>
        <w:t>estándares internacionales en las evaluaciones m</w:t>
      </w:r>
      <w:r>
        <w:rPr>
          <w:rFonts w:ascii="Verdana" w:hAnsi="Verdana" w:cs="Verdana"/>
          <w:sz w:val="20"/>
          <w:szCs w:val="20"/>
        </w:rPr>
        <w:t>é</w:t>
      </w:r>
      <w:r w:rsidRPr="00DD421D">
        <w:rPr>
          <w:rFonts w:ascii="Verdana" w:hAnsi="Verdana" w:cs="Verdana"/>
          <w:sz w:val="20"/>
          <w:szCs w:val="20"/>
        </w:rPr>
        <w:t>dico legales y la debida diligencia en las investigaciones de ejecuciones extrajudiciales y graves violaciones de derechos humanos</w:t>
      </w:r>
      <w:r w:rsidRPr="00BE7C7E">
        <w:rPr>
          <w:rFonts w:ascii="Verdana" w:hAnsi="Verdana" w:cs="Verdana"/>
          <w:sz w:val="20"/>
          <w:szCs w:val="20"/>
        </w:rPr>
        <w:t xml:space="preserve">, y </w:t>
      </w:r>
      <w:r w:rsidRPr="00DD421D">
        <w:rPr>
          <w:rFonts w:ascii="Verdana" w:hAnsi="Verdana" w:cs="Verdana"/>
          <w:sz w:val="20"/>
          <w:szCs w:val="20"/>
        </w:rPr>
        <w:t>la aplicación de dichos estándares en las investigaciones del presente caso;</w:t>
      </w:r>
    </w:p>
    <w:p w:rsidR="007804B2" w:rsidRDefault="007804B2">
      <w:pPr>
        <w:pStyle w:val="ListParagraph"/>
        <w:tabs>
          <w:tab w:val="left" w:pos="720"/>
        </w:tabs>
        <w:spacing w:after="0" w:line="240" w:lineRule="auto"/>
        <w:ind w:left="1129"/>
        <w:jc w:val="both"/>
        <w:rPr>
          <w:rFonts w:ascii="Verdana" w:hAnsi="Verdana" w:cs="Verdana"/>
          <w:sz w:val="20"/>
          <w:szCs w:val="20"/>
          <w:lang w:val="es-ES"/>
        </w:rPr>
      </w:pPr>
    </w:p>
    <w:p w:rsidR="007804B2" w:rsidRDefault="007804B2">
      <w:pPr>
        <w:pStyle w:val="ListParagraph"/>
        <w:numPr>
          <w:ilvl w:val="0"/>
          <w:numId w:val="44"/>
        </w:numPr>
        <w:tabs>
          <w:tab w:val="left" w:pos="851"/>
        </w:tabs>
        <w:spacing w:after="0" w:line="240" w:lineRule="auto"/>
        <w:ind w:left="851" w:firstLine="5"/>
        <w:jc w:val="both"/>
        <w:rPr>
          <w:rFonts w:ascii="Verdana" w:hAnsi="Verdana" w:cs="Verdana"/>
          <w:sz w:val="20"/>
          <w:szCs w:val="20"/>
        </w:rPr>
      </w:pPr>
      <w:r w:rsidRPr="00DD421D">
        <w:rPr>
          <w:rFonts w:ascii="Verdana" w:hAnsi="Verdana" w:cs="Verdana"/>
          <w:sz w:val="20"/>
          <w:szCs w:val="20"/>
        </w:rPr>
        <w:t xml:space="preserve">Claudia Carrillo, </w:t>
      </w:r>
      <w:r w:rsidRPr="00BE7C7E">
        <w:rPr>
          <w:rFonts w:ascii="Verdana" w:hAnsi="Verdana" w:cs="Verdana"/>
          <w:sz w:val="20"/>
          <w:szCs w:val="20"/>
        </w:rPr>
        <w:t>p</w:t>
      </w:r>
      <w:r w:rsidRPr="00DD421D">
        <w:rPr>
          <w:rFonts w:ascii="Verdana" w:hAnsi="Verdana" w:cs="Verdana"/>
          <w:sz w:val="20"/>
          <w:szCs w:val="20"/>
        </w:rPr>
        <w:t>sicóloga, quien declarará sobre</w:t>
      </w:r>
      <w:r w:rsidRPr="00BE7C7E">
        <w:rPr>
          <w:rFonts w:ascii="Verdana" w:hAnsi="Verdana" w:cs="Verdana"/>
          <w:sz w:val="20"/>
          <w:szCs w:val="20"/>
        </w:rPr>
        <w:t>:</w:t>
      </w:r>
      <w:r w:rsidRPr="00DD421D">
        <w:rPr>
          <w:rFonts w:ascii="Verdana" w:hAnsi="Verdana" w:cs="Verdana"/>
          <w:sz w:val="20"/>
          <w:szCs w:val="20"/>
        </w:rPr>
        <w:t xml:space="preserve"> los </w:t>
      </w:r>
      <w:r>
        <w:rPr>
          <w:rFonts w:ascii="Verdana" w:hAnsi="Verdana" w:cs="Verdana"/>
          <w:sz w:val="20"/>
          <w:szCs w:val="20"/>
        </w:rPr>
        <w:t xml:space="preserve">alegados </w:t>
      </w:r>
      <w:r w:rsidRPr="00DD421D">
        <w:rPr>
          <w:rFonts w:ascii="Verdana" w:hAnsi="Verdana" w:cs="Verdana"/>
          <w:sz w:val="20"/>
          <w:szCs w:val="20"/>
        </w:rPr>
        <w:t xml:space="preserve">daños ocasionados a los miembros de la familia Landaeta por las </w:t>
      </w:r>
      <w:r>
        <w:rPr>
          <w:rFonts w:ascii="Verdana" w:hAnsi="Verdana" w:cs="Verdana"/>
          <w:sz w:val="20"/>
          <w:szCs w:val="20"/>
        </w:rPr>
        <w:t xml:space="preserve">presuntas </w:t>
      </w:r>
      <w:r w:rsidRPr="00DD421D">
        <w:rPr>
          <w:rFonts w:ascii="Verdana" w:hAnsi="Verdana" w:cs="Verdana"/>
          <w:sz w:val="20"/>
          <w:szCs w:val="20"/>
        </w:rPr>
        <w:t xml:space="preserve">ejecuciones extrajudiciales de </w:t>
      </w:r>
      <w:proofErr w:type="spellStart"/>
      <w:r w:rsidRPr="00DD421D">
        <w:rPr>
          <w:rFonts w:ascii="Verdana" w:hAnsi="Verdana" w:cs="Verdana"/>
          <w:sz w:val="20"/>
          <w:szCs w:val="20"/>
        </w:rPr>
        <w:t>Igmar</w:t>
      </w:r>
      <w:proofErr w:type="spellEnd"/>
      <w:r w:rsidRPr="00DD421D">
        <w:rPr>
          <w:rFonts w:ascii="Verdana" w:hAnsi="Verdana" w:cs="Verdana"/>
          <w:sz w:val="20"/>
          <w:szCs w:val="20"/>
        </w:rPr>
        <w:t xml:space="preserve"> Alexander y Eduardo José; las repercusiones que los hechos tuvieron en ellos desde el punto de vista familiar y laboral</w:t>
      </w:r>
      <w:r w:rsidRPr="00BE7C7E">
        <w:rPr>
          <w:rFonts w:ascii="Verdana" w:hAnsi="Verdana" w:cs="Verdana"/>
          <w:sz w:val="20"/>
          <w:szCs w:val="20"/>
        </w:rPr>
        <w:t xml:space="preserve">, y </w:t>
      </w:r>
      <w:r w:rsidRPr="00DD421D">
        <w:rPr>
          <w:rFonts w:ascii="Verdana" w:hAnsi="Verdana" w:cs="Verdana"/>
          <w:sz w:val="20"/>
          <w:szCs w:val="20"/>
        </w:rPr>
        <w:t xml:space="preserve">la importancia de la asistencia psicológica para restablecer un mínimo de autoestima en los referidos familiares; </w:t>
      </w:r>
    </w:p>
    <w:p w:rsidR="007804B2" w:rsidRDefault="007804B2">
      <w:pPr>
        <w:pStyle w:val="ListParagraph"/>
        <w:spacing w:after="0" w:line="240" w:lineRule="auto"/>
        <w:jc w:val="both"/>
        <w:rPr>
          <w:rFonts w:ascii="Verdana" w:hAnsi="Verdana" w:cs="Verdana"/>
          <w:sz w:val="20"/>
          <w:szCs w:val="20"/>
          <w:lang w:val="es-ES"/>
        </w:rPr>
      </w:pPr>
    </w:p>
    <w:p w:rsidR="007804B2" w:rsidRDefault="007804B2">
      <w:pPr>
        <w:pStyle w:val="ListParagraph"/>
        <w:numPr>
          <w:ilvl w:val="0"/>
          <w:numId w:val="44"/>
        </w:numPr>
        <w:tabs>
          <w:tab w:val="left" w:pos="851"/>
        </w:tabs>
        <w:spacing w:after="0" w:line="240" w:lineRule="auto"/>
        <w:ind w:left="851" w:firstLine="5"/>
        <w:jc w:val="both"/>
        <w:rPr>
          <w:rFonts w:ascii="Verdana" w:hAnsi="Verdana" w:cs="Verdana"/>
          <w:sz w:val="20"/>
          <w:szCs w:val="20"/>
        </w:rPr>
      </w:pPr>
      <w:proofErr w:type="spellStart"/>
      <w:r w:rsidRPr="00DD421D">
        <w:rPr>
          <w:rFonts w:ascii="Verdana" w:hAnsi="Verdana" w:cs="Verdana"/>
          <w:sz w:val="20"/>
          <w:szCs w:val="20"/>
        </w:rPr>
        <w:t>Denotilia</w:t>
      </w:r>
      <w:proofErr w:type="spellEnd"/>
      <w:r w:rsidRPr="00DD421D">
        <w:rPr>
          <w:rFonts w:ascii="Verdana" w:hAnsi="Verdana" w:cs="Verdana"/>
          <w:sz w:val="20"/>
          <w:szCs w:val="20"/>
        </w:rPr>
        <w:t xml:space="preserve"> Hernández de Hernández, </w:t>
      </w:r>
      <w:r w:rsidRPr="00BE7C7E">
        <w:rPr>
          <w:rFonts w:ascii="Verdana" w:hAnsi="Verdana" w:cs="Verdana"/>
          <w:sz w:val="20"/>
          <w:szCs w:val="20"/>
        </w:rPr>
        <w:t>a</w:t>
      </w:r>
      <w:r w:rsidRPr="00DD421D">
        <w:rPr>
          <w:rFonts w:ascii="Verdana" w:hAnsi="Verdana" w:cs="Verdana"/>
          <w:sz w:val="20"/>
          <w:szCs w:val="20"/>
        </w:rPr>
        <w:t>bogada especialista en derechos de la niñez, quien declarará sobre</w:t>
      </w:r>
      <w:r w:rsidRPr="00BE7C7E">
        <w:rPr>
          <w:rFonts w:ascii="Verdana" w:hAnsi="Verdana" w:cs="Verdana"/>
          <w:sz w:val="20"/>
          <w:szCs w:val="20"/>
        </w:rPr>
        <w:t>:</w:t>
      </w:r>
      <w:r w:rsidRPr="00DD421D">
        <w:rPr>
          <w:rFonts w:ascii="Verdana" w:hAnsi="Verdana" w:cs="Verdana"/>
          <w:sz w:val="20"/>
          <w:szCs w:val="20"/>
        </w:rPr>
        <w:t xml:space="preserve"> la legislación venezolana relacionadas con la protección de la niñez, su aplicación en el ámbito penal y el grado de cumplimiento con los estándares internacionales en materia de protección de la niñez y adolescencia por parte de las autoridades venezolanas encargadas de hacer cumplir la ley penal, y </w:t>
      </w:r>
    </w:p>
    <w:p w:rsidR="007804B2" w:rsidRDefault="007804B2">
      <w:pPr>
        <w:pStyle w:val="ListParagraph"/>
        <w:spacing w:after="0" w:line="240" w:lineRule="auto"/>
        <w:jc w:val="both"/>
        <w:rPr>
          <w:rFonts w:ascii="Verdana" w:hAnsi="Verdana" w:cs="Verdana"/>
          <w:sz w:val="20"/>
          <w:szCs w:val="20"/>
          <w:lang w:val="es-ES"/>
        </w:rPr>
      </w:pPr>
    </w:p>
    <w:p w:rsidR="007804B2" w:rsidRDefault="007804B2">
      <w:pPr>
        <w:pStyle w:val="ListParagraph"/>
        <w:numPr>
          <w:ilvl w:val="0"/>
          <w:numId w:val="44"/>
        </w:numPr>
        <w:tabs>
          <w:tab w:val="left" w:pos="851"/>
        </w:tabs>
        <w:spacing w:after="0" w:line="240" w:lineRule="auto"/>
        <w:ind w:left="851" w:firstLine="5"/>
        <w:jc w:val="both"/>
        <w:rPr>
          <w:rFonts w:ascii="Verdana" w:hAnsi="Verdana" w:cs="Verdana"/>
          <w:sz w:val="20"/>
          <w:szCs w:val="20"/>
        </w:rPr>
      </w:pPr>
      <w:r w:rsidRPr="00DD421D">
        <w:rPr>
          <w:rFonts w:ascii="Verdana" w:hAnsi="Verdana" w:cs="Verdana"/>
          <w:sz w:val="20"/>
          <w:szCs w:val="20"/>
        </w:rPr>
        <w:t>Calixto Ávila, investigador en derechos humanos, quien declarará sobre</w:t>
      </w:r>
      <w:r w:rsidRPr="00BE7C7E">
        <w:rPr>
          <w:rFonts w:ascii="Verdana" w:hAnsi="Verdana" w:cs="Verdana"/>
          <w:sz w:val="20"/>
          <w:szCs w:val="20"/>
        </w:rPr>
        <w:t>:</w:t>
      </w:r>
      <w:r w:rsidRPr="00DD421D">
        <w:rPr>
          <w:rFonts w:ascii="Verdana" w:hAnsi="Verdana" w:cs="Verdana"/>
          <w:sz w:val="20"/>
          <w:szCs w:val="20"/>
        </w:rPr>
        <w:t xml:space="preserve"> el contexto de violencia cometida por </w:t>
      </w:r>
      <w:r>
        <w:rPr>
          <w:rFonts w:ascii="Verdana" w:hAnsi="Verdana" w:cs="Verdana"/>
          <w:sz w:val="20"/>
          <w:szCs w:val="20"/>
        </w:rPr>
        <w:t>los</w:t>
      </w:r>
      <w:r w:rsidRPr="00DD421D">
        <w:rPr>
          <w:rFonts w:ascii="Verdana" w:hAnsi="Verdana" w:cs="Verdana"/>
          <w:sz w:val="20"/>
          <w:szCs w:val="20"/>
        </w:rPr>
        <w:t xml:space="preserve"> cuerpos de seguridad nacionales y estatales en Venezuela, en particular sobre el fenómeno de ejecuciones extrajudiciales por parte de agentes policiales y el grado de impunidad que prevalece en relación con estos crímenes</w:t>
      </w:r>
      <w:r w:rsidRPr="00BE7C7E">
        <w:rPr>
          <w:rFonts w:ascii="Verdana" w:hAnsi="Verdana" w:cs="Verdana"/>
          <w:sz w:val="20"/>
          <w:szCs w:val="20"/>
        </w:rPr>
        <w:t xml:space="preserve">, y </w:t>
      </w:r>
      <w:r w:rsidRPr="00DD421D">
        <w:rPr>
          <w:rFonts w:ascii="Verdana" w:hAnsi="Verdana" w:cs="Verdana"/>
          <w:sz w:val="20"/>
          <w:szCs w:val="20"/>
        </w:rPr>
        <w:t>las medidas que el Estado venezolano puede adoptar para evitar que hechos como los del presente caso se repitan.</w:t>
      </w:r>
    </w:p>
    <w:p w:rsidR="007804B2" w:rsidRDefault="007804B2">
      <w:pPr>
        <w:tabs>
          <w:tab w:val="left" w:pos="720"/>
        </w:tabs>
        <w:spacing w:after="0" w:line="240" w:lineRule="auto"/>
        <w:jc w:val="both"/>
        <w:rPr>
          <w:rFonts w:ascii="Verdana" w:hAnsi="Verdana" w:cs="Verdana"/>
          <w:sz w:val="20"/>
          <w:szCs w:val="20"/>
          <w:lang w:val="es-ES"/>
        </w:rPr>
      </w:pPr>
    </w:p>
    <w:p w:rsidR="007804B2" w:rsidRDefault="007804B2">
      <w:pPr>
        <w:pStyle w:val="ListParagraph"/>
        <w:numPr>
          <w:ilvl w:val="0"/>
          <w:numId w:val="27"/>
        </w:numPr>
        <w:spacing w:after="0" w:line="240" w:lineRule="auto"/>
        <w:ind w:left="851" w:right="-6" w:hanging="284"/>
        <w:jc w:val="both"/>
        <w:rPr>
          <w:rFonts w:ascii="Verdana" w:hAnsi="Verdana" w:cs="Verdana"/>
          <w:b/>
          <w:bCs/>
          <w:i/>
          <w:iCs/>
          <w:sz w:val="20"/>
          <w:szCs w:val="20"/>
          <w:lang w:val="es-ES"/>
        </w:rPr>
      </w:pPr>
      <w:r w:rsidRPr="00BE7C7E">
        <w:rPr>
          <w:rFonts w:ascii="Verdana" w:hAnsi="Verdana" w:cs="Verdana"/>
          <w:b/>
          <w:bCs/>
          <w:i/>
          <w:iCs/>
          <w:sz w:val="20"/>
          <w:szCs w:val="20"/>
          <w:lang w:val="es-ES"/>
        </w:rPr>
        <w:t xml:space="preserve">Perita propuesta por el Estado </w:t>
      </w:r>
    </w:p>
    <w:p w:rsidR="007804B2" w:rsidRDefault="007804B2">
      <w:pPr>
        <w:spacing w:after="0" w:line="240" w:lineRule="auto"/>
        <w:ind w:firstLine="709"/>
        <w:jc w:val="both"/>
        <w:rPr>
          <w:rFonts w:ascii="Verdana" w:hAnsi="Verdana" w:cs="Verdana"/>
          <w:b/>
          <w:bCs/>
          <w:i/>
          <w:iCs/>
          <w:sz w:val="20"/>
          <w:szCs w:val="20"/>
          <w:lang w:val="es-ES"/>
        </w:rPr>
      </w:pPr>
    </w:p>
    <w:p w:rsidR="007804B2" w:rsidRDefault="007804B2">
      <w:pPr>
        <w:pStyle w:val="ListParagraph"/>
        <w:numPr>
          <w:ilvl w:val="0"/>
          <w:numId w:val="45"/>
        </w:numPr>
        <w:tabs>
          <w:tab w:val="left" w:pos="851"/>
        </w:tabs>
        <w:spacing w:after="0" w:line="240" w:lineRule="auto"/>
        <w:ind w:left="851" w:firstLine="5"/>
        <w:jc w:val="both"/>
        <w:rPr>
          <w:rFonts w:ascii="Verdana" w:hAnsi="Verdana" w:cs="Verdana"/>
          <w:sz w:val="20"/>
          <w:szCs w:val="20"/>
        </w:rPr>
      </w:pPr>
      <w:proofErr w:type="spellStart"/>
      <w:r w:rsidRPr="00DD421D">
        <w:rPr>
          <w:rFonts w:ascii="Verdana" w:hAnsi="Verdana" w:cs="Verdana"/>
          <w:sz w:val="20"/>
          <w:szCs w:val="20"/>
        </w:rPr>
        <w:t>Desiree</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Noelis</w:t>
      </w:r>
      <w:proofErr w:type="spellEnd"/>
      <w:r w:rsidRPr="00DD421D">
        <w:rPr>
          <w:rFonts w:ascii="Verdana" w:hAnsi="Verdana" w:cs="Verdana"/>
          <w:sz w:val="20"/>
          <w:szCs w:val="20"/>
        </w:rPr>
        <w:t xml:space="preserve"> </w:t>
      </w:r>
      <w:proofErr w:type="spellStart"/>
      <w:r w:rsidRPr="00DD421D">
        <w:rPr>
          <w:rFonts w:ascii="Verdana" w:hAnsi="Verdana" w:cs="Verdana"/>
          <w:sz w:val="20"/>
          <w:szCs w:val="20"/>
        </w:rPr>
        <w:t>Boada</w:t>
      </w:r>
      <w:proofErr w:type="spellEnd"/>
      <w:r w:rsidRPr="00DD421D">
        <w:rPr>
          <w:rFonts w:ascii="Verdana" w:hAnsi="Verdana" w:cs="Verdana"/>
          <w:sz w:val="20"/>
          <w:szCs w:val="20"/>
        </w:rPr>
        <w:t xml:space="preserve"> Guevara, Fiscal Trigésima Cuarta Nacional con competencia en materia de derechos fundamentales, quien declarará sobre</w:t>
      </w:r>
      <w:r w:rsidRPr="00BE7C7E">
        <w:rPr>
          <w:rFonts w:ascii="Verdana" w:hAnsi="Verdana" w:cs="Verdana"/>
          <w:sz w:val="20"/>
          <w:szCs w:val="20"/>
        </w:rPr>
        <w:t>:</w:t>
      </w:r>
      <w:r w:rsidRPr="00DD421D">
        <w:rPr>
          <w:rFonts w:ascii="Verdana" w:hAnsi="Verdana" w:cs="Verdana"/>
          <w:sz w:val="20"/>
          <w:szCs w:val="20"/>
        </w:rPr>
        <w:t xml:space="preserve"> </w:t>
      </w:r>
      <w:r w:rsidRPr="00BE7C7E">
        <w:rPr>
          <w:rFonts w:ascii="Verdana" w:hAnsi="Verdana" w:cs="Verdana"/>
          <w:sz w:val="20"/>
          <w:szCs w:val="20"/>
          <w:lang w:val="es-CR"/>
        </w:rPr>
        <w:t xml:space="preserve"> la normativa procedimental venezolana, los diferentes códigos procesales penales; análisis comparativo de los procedimientos penales y el régimen de transición ocurrido con la entrada en vigencia del </w:t>
      </w:r>
      <w:r w:rsidRPr="00DD421D">
        <w:rPr>
          <w:rFonts w:ascii="Verdana" w:hAnsi="Verdana" w:cs="Verdana"/>
          <w:sz w:val="20"/>
          <w:szCs w:val="20"/>
          <w:lang w:val="es-CR"/>
        </w:rPr>
        <w:t>Código Orgánico Procesal Penal de 1999; la normativa que rige en Venezuela al momento de la ocurrencia de los hechos; la debida diligencia en el procedimiento penal en los casos de los hermanos Landaeta Mej</w:t>
      </w:r>
      <w:r>
        <w:rPr>
          <w:rFonts w:ascii="Verdana" w:hAnsi="Verdana" w:cs="Verdana"/>
          <w:sz w:val="20"/>
          <w:szCs w:val="20"/>
          <w:lang w:val="es-CR"/>
        </w:rPr>
        <w:t>í</w:t>
      </w:r>
      <w:r w:rsidRPr="00DD421D">
        <w:rPr>
          <w:rFonts w:ascii="Verdana" w:hAnsi="Verdana" w:cs="Verdana"/>
          <w:sz w:val="20"/>
          <w:szCs w:val="20"/>
          <w:lang w:val="es-CR"/>
        </w:rPr>
        <w:t>as, y las dificultades que dichas reformas han presentado durante su implementación y los retardos ocasionados a las investigaciones.</w:t>
      </w:r>
    </w:p>
    <w:p w:rsidR="007804B2" w:rsidRDefault="007804B2">
      <w:pPr>
        <w:tabs>
          <w:tab w:val="left" w:pos="720"/>
        </w:tabs>
        <w:spacing w:after="0" w:line="240" w:lineRule="auto"/>
        <w:jc w:val="both"/>
        <w:rPr>
          <w:rFonts w:ascii="Verdana" w:hAnsi="Verdana" w:cs="Verdana"/>
          <w:sz w:val="20"/>
          <w:szCs w:val="20"/>
          <w:lang w:val="es-CR"/>
        </w:rPr>
      </w:pPr>
    </w:p>
    <w:p w:rsidR="007804B2" w:rsidRDefault="007804B2" w:rsidP="00E57737">
      <w:pPr>
        <w:pStyle w:val="ListParagraph"/>
        <w:numPr>
          <w:ilvl w:val="0"/>
          <w:numId w:val="27"/>
        </w:numPr>
        <w:tabs>
          <w:tab w:val="left" w:pos="720"/>
        </w:tabs>
        <w:spacing w:after="0" w:line="240" w:lineRule="auto"/>
        <w:jc w:val="both"/>
        <w:rPr>
          <w:rFonts w:ascii="Verdana" w:hAnsi="Verdana" w:cs="Verdana"/>
          <w:b/>
          <w:bCs/>
          <w:i/>
          <w:iCs/>
          <w:sz w:val="20"/>
          <w:szCs w:val="20"/>
          <w:lang w:val="es-CR"/>
        </w:rPr>
      </w:pPr>
      <w:r>
        <w:rPr>
          <w:rFonts w:ascii="Verdana" w:hAnsi="Verdana" w:cs="Verdana"/>
          <w:b/>
          <w:bCs/>
          <w:i/>
          <w:iCs/>
          <w:sz w:val="20"/>
          <w:szCs w:val="20"/>
          <w:lang w:val="es-CR"/>
        </w:rPr>
        <w:t>Perito</w:t>
      </w:r>
      <w:r w:rsidR="00773FAE">
        <w:rPr>
          <w:rFonts w:ascii="Verdana" w:hAnsi="Verdana" w:cs="Verdana"/>
          <w:b/>
          <w:bCs/>
          <w:i/>
          <w:iCs/>
          <w:sz w:val="20"/>
          <w:szCs w:val="20"/>
          <w:lang w:val="es-CR"/>
        </w:rPr>
        <w:t>s</w:t>
      </w:r>
      <w:r>
        <w:rPr>
          <w:rFonts w:ascii="Verdana" w:hAnsi="Verdana" w:cs="Verdana"/>
          <w:b/>
          <w:bCs/>
          <w:i/>
          <w:iCs/>
          <w:sz w:val="20"/>
          <w:szCs w:val="20"/>
          <w:lang w:val="es-CR"/>
        </w:rPr>
        <w:t xml:space="preserve"> propuesto</w:t>
      </w:r>
      <w:r w:rsidR="00773FAE">
        <w:rPr>
          <w:rFonts w:ascii="Verdana" w:hAnsi="Verdana" w:cs="Verdana"/>
          <w:b/>
          <w:bCs/>
          <w:i/>
          <w:iCs/>
          <w:sz w:val="20"/>
          <w:szCs w:val="20"/>
          <w:lang w:val="es-CR"/>
        </w:rPr>
        <w:t>s</w:t>
      </w:r>
      <w:r>
        <w:rPr>
          <w:rFonts w:ascii="Verdana" w:hAnsi="Verdana" w:cs="Verdana"/>
          <w:b/>
          <w:bCs/>
          <w:i/>
          <w:iCs/>
          <w:sz w:val="20"/>
          <w:szCs w:val="20"/>
          <w:lang w:val="es-CR"/>
        </w:rPr>
        <w:t xml:space="preserve"> por la Comisión</w:t>
      </w:r>
    </w:p>
    <w:p w:rsidR="007804B2" w:rsidRPr="00E57737" w:rsidRDefault="007804B2" w:rsidP="00E57737">
      <w:pPr>
        <w:tabs>
          <w:tab w:val="left" w:pos="720"/>
        </w:tabs>
        <w:spacing w:after="0" w:line="240" w:lineRule="auto"/>
        <w:jc w:val="both"/>
        <w:rPr>
          <w:rFonts w:ascii="Verdana" w:hAnsi="Verdana" w:cs="Verdana"/>
          <w:b/>
          <w:bCs/>
          <w:i/>
          <w:iCs/>
          <w:sz w:val="20"/>
          <w:szCs w:val="20"/>
          <w:lang w:val="es-CR"/>
        </w:rPr>
      </w:pPr>
    </w:p>
    <w:p w:rsidR="00773FAE" w:rsidRDefault="007804B2" w:rsidP="00773FAE">
      <w:pPr>
        <w:tabs>
          <w:tab w:val="left" w:pos="720"/>
        </w:tabs>
        <w:spacing w:after="0" w:line="240" w:lineRule="auto"/>
        <w:ind w:left="851"/>
        <w:jc w:val="both"/>
        <w:rPr>
          <w:rFonts w:ascii="Verdana" w:hAnsi="Verdana" w:cs="Verdana"/>
          <w:sz w:val="20"/>
          <w:szCs w:val="20"/>
        </w:rPr>
      </w:pPr>
      <w:r>
        <w:rPr>
          <w:rFonts w:ascii="Verdana" w:hAnsi="Verdana" w:cs="Verdana"/>
          <w:sz w:val="20"/>
          <w:szCs w:val="20"/>
        </w:rPr>
        <w:t xml:space="preserve">1. </w:t>
      </w:r>
      <w:r w:rsidRPr="001A023B">
        <w:rPr>
          <w:rFonts w:ascii="Verdana" w:hAnsi="Verdana" w:cs="Verdana"/>
          <w:sz w:val="20"/>
          <w:szCs w:val="20"/>
        </w:rPr>
        <w:t xml:space="preserve">Hugo </w:t>
      </w:r>
      <w:proofErr w:type="spellStart"/>
      <w:r w:rsidRPr="001A023B">
        <w:rPr>
          <w:rFonts w:ascii="Verdana" w:hAnsi="Verdana" w:cs="Verdana"/>
          <w:sz w:val="20"/>
          <w:szCs w:val="20"/>
        </w:rPr>
        <w:t>Fruhling</w:t>
      </w:r>
      <w:proofErr w:type="spellEnd"/>
      <w:r w:rsidRPr="001A023B">
        <w:rPr>
          <w:rFonts w:ascii="Verdana" w:hAnsi="Verdana" w:cs="Verdana"/>
          <w:sz w:val="20"/>
          <w:szCs w:val="20"/>
        </w:rPr>
        <w:t xml:space="preserve">, quien declarará sobre: </w:t>
      </w:r>
      <w:r w:rsidRPr="001A023B">
        <w:rPr>
          <w:rFonts w:ascii="Verdana" w:hAnsi="Verdana" w:cs="Verdana"/>
          <w:sz w:val="20"/>
          <w:szCs w:val="20"/>
          <w:lang w:val="es-CR"/>
        </w:rPr>
        <w:t>las obligaciones estatales para responder a contextos generales de ejecuciones extrajudiciales, desde una perspectiva integral, que incluya tanto el actuar de los funcionarios de seguridad involucrados directamente, como la respuesta investigativa e institucional que debe darse para enfrentar los diferentes elementos que favorecen la existencia y permanencia de problemáticas de esta naturaleza. El perito se referirá también a las medidas de no repetición que se consideran adecuadas frente a situaciones como las del presente caso</w:t>
      </w:r>
      <w:r w:rsidR="008B6F08">
        <w:rPr>
          <w:rFonts w:ascii="Verdana" w:hAnsi="Verdana" w:cs="Verdana"/>
          <w:sz w:val="20"/>
          <w:szCs w:val="20"/>
        </w:rPr>
        <w:t>, y</w:t>
      </w:r>
    </w:p>
    <w:p w:rsidR="00773FAE" w:rsidRDefault="00773FAE" w:rsidP="00773FAE">
      <w:pPr>
        <w:tabs>
          <w:tab w:val="left" w:pos="720"/>
        </w:tabs>
        <w:spacing w:after="0" w:line="240" w:lineRule="auto"/>
        <w:ind w:left="851"/>
        <w:jc w:val="both"/>
        <w:rPr>
          <w:rFonts w:ascii="Verdana" w:hAnsi="Verdana" w:cs="Verdana"/>
          <w:sz w:val="20"/>
          <w:szCs w:val="20"/>
        </w:rPr>
      </w:pPr>
    </w:p>
    <w:p w:rsidR="00773FAE" w:rsidRPr="00773FAE" w:rsidRDefault="00773FAE" w:rsidP="00773FAE">
      <w:pPr>
        <w:tabs>
          <w:tab w:val="left" w:pos="720"/>
        </w:tabs>
        <w:spacing w:after="0" w:line="240" w:lineRule="auto"/>
        <w:ind w:left="851"/>
        <w:jc w:val="both"/>
        <w:rPr>
          <w:rFonts w:ascii="Verdana" w:hAnsi="Verdana" w:cs="Verdana"/>
          <w:sz w:val="20"/>
          <w:szCs w:val="20"/>
        </w:rPr>
      </w:pPr>
      <w:r>
        <w:rPr>
          <w:rFonts w:ascii="Verdana" w:hAnsi="Verdana" w:cs="Verdana"/>
          <w:sz w:val="20"/>
          <w:szCs w:val="20"/>
        </w:rPr>
        <w:t xml:space="preserve">2. </w:t>
      </w:r>
      <w:r w:rsidRPr="00773FAE">
        <w:rPr>
          <w:rFonts w:ascii="Verdana" w:hAnsi="Verdana" w:cs="Verdana"/>
          <w:sz w:val="20"/>
          <w:szCs w:val="20"/>
          <w:lang w:val="es-ES"/>
        </w:rPr>
        <w:t xml:space="preserve">Diego </w:t>
      </w:r>
      <w:proofErr w:type="spellStart"/>
      <w:r w:rsidRPr="00773FAE">
        <w:rPr>
          <w:rFonts w:ascii="Verdana" w:hAnsi="Verdana" w:cs="Verdana"/>
          <w:sz w:val="20"/>
          <w:szCs w:val="20"/>
          <w:lang w:val="es-ES"/>
        </w:rPr>
        <w:t>Camaño</w:t>
      </w:r>
      <w:proofErr w:type="spellEnd"/>
      <w:r w:rsidRPr="00773FAE">
        <w:rPr>
          <w:rFonts w:ascii="Verdana" w:hAnsi="Verdana" w:cs="Verdana"/>
          <w:sz w:val="20"/>
          <w:szCs w:val="20"/>
          <w:lang w:val="es-ES"/>
        </w:rPr>
        <w:t>, quien declarará sobre: las obligaciones estatales en materia de libertad personal cuando se trata de adolescentes, y las obligaciones especiales que se derivan de los distintos extremos del artículo 7 de la Convención Americana aplicables al presente caso, cuando se trata de adolescentes inmediatamente después de la detención inicial.</w:t>
      </w:r>
    </w:p>
    <w:p w:rsidR="007804B2" w:rsidRPr="00F544D8" w:rsidRDefault="007804B2" w:rsidP="00F544D8">
      <w:pPr>
        <w:tabs>
          <w:tab w:val="left" w:pos="720"/>
        </w:tabs>
        <w:spacing w:after="0" w:line="240" w:lineRule="auto"/>
        <w:jc w:val="both"/>
        <w:rPr>
          <w:rFonts w:ascii="Verdana" w:hAnsi="Verdana" w:cs="Verdana"/>
          <w:sz w:val="20"/>
          <w:szCs w:val="20"/>
          <w:lang w:val="es-CR"/>
        </w:rPr>
      </w:pPr>
    </w:p>
    <w:p w:rsidR="007804B2" w:rsidRPr="009F4105" w:rsidRDefault="007804B2">
      <w:pPr>
        <w:numPr>
          <w:ilvl w:val="0"/>
          <w:numId w:val="15"/>
        </w:numPr>
        <w:tabs>
          <w:tab w:val="left" w:pos="567"/>
        </w:tabs>
        <w:spacing w:after="0" w:line="240" w:lineRule="auto"/>
        <w:ind w:left="0" w:right="-6" w:firstLine="0"/>
        <w:jc w:val="both"/>
        <w:rPr>
          <w:rFonts w:ascii="Verdana" w:hAnsi="Verdana" w:cs="Verdana"/>
          <w:sz w:val="20"/>
          <w:szCs w:val="20"/>
          <w:lang w:val="es-ES"/>
        </w:rPr>
      </w:pPr>
      <w:r w:rsidRPr="00BE7C7E">
        <w:rPr>
          <w:rFonts w:ascii="Verdana" w:hAnsi="Verdana" w:cs="Verdana"/>
          <w:sz w:val="20"/>
          <w:szCs w:val="20"/>
          <w:lang w:val="es-ES"/>
        </w:rPr>
        <w:t>Requerir a los representantes y al Estado que remitan, de considerarlo pertinente</w:t>
      </w:r>
      <w:r>
        <w:rPr>
          <w:rFonts w:ascii="Verdana" w:hAnsi="Verdana" w:cs="Verdana"/>
          <w:sz w:val="20"/>
          <w:szCs w:val="20"/>
          <w:lang w:val="es-ES"/>
        </w:rPr>
        <w:t>,</w:t>
      </w:r>
      <w:r w:rsidRPr="00BE7C7E">
        <w:rPr>
          <w:rFonts w:ascii="Verdana" w:hAnsi="Verdana" w:cs="Verdana"/>
          <w:sz w:val="20"/>
          <w:szCs w:val="20"/>
          <w:lang w:val="es-ES"/>
        </w:rPr>
        <w:t xml:space="preserve"> y en el plazo improrrogable que </w:t>
      </w:r>
      <w:r w:rsidRPr="009F4105">
        <w:rPr>
          <w:rFonts w:ascii="Verdana" w:hAnsi="Verdana" w:cs="Verdana"/>
          <w:sz w:val="20"/>
          <w:szCs w:val="20"/>
          <w:lang w:val="es-ES"/>
        </w:rPr>
        <w:t>vence el 6 de enero de 2014, las preguntas</w:t>
      </w:r>
      <w:r w:rsidRPr="00DD421D">
        <w:rPr>
          <w:rFonts w:ascii="Verdana" w:hAnsi="Verdana" w:cs="Verdana"/>
          <w:sz w:val="20"/>
          <w:szCs w:val="20"/>
          <w:lang w:val="es-ES"/>
        </w:rPr>
        <w:t xml:space="preserve"> que estimen oportunas formular a través de la Corte Interamericana a l</w:t>
      </w:r>
      <w:r>
        <w:rPr>
          <w:rFonts w:ascii="Verdana" w:hAnsi="Verdana" w:cs="Verdana"/>
          <w:sz w:val="20"/>
          <w:szCs w:val="20"/>
          <w:lang w:val="es-ES"/>
        </w:rPr>
        <w:t>a</w:t>
      </w:r>
      <w:r w:rsidRPr="00DD421D">
        <w:rPr>
          <w:rFonts w:ascii="Verdana" w:hAnsi="Verdana" w:cs="Verdana"/>
          <w:sz w:val="20"/>
          <w:szCs w:val="20"/>
          <w:lang w:val="es-ES"/>
        </w:rPr>
        <w:t xml:space="preserve">s </w:t>
      </w:r>
      <w:r>
        <w:rPr>
          <w:rFonts w:ascii="Verdana" w:hAnsi="Verdana" w:cs="Verdana"/>
          <w:sz w:val="20"/>
          <w:szCs w:val="20"/>
          <w:lang w:val="es-ES"/>
        </w:rPr>
        <w:t xml:space="preserve"> presuntas víctimas </w:t>
      </w:r>
      <w:r w:rsidRPr="00DD421D">
        <w:rPr>
          <w:rFonts w:ascii="Verdana" w:hAnsi="Verdana" w:cs="Verdana"/>
          <w:sz w:val="20"/>
          <w:szCs w:val="20"/>
          <w:lang w:val="es-ES"/>
        </w:rPr>
        <w:t xml:space="preserve">y </w:t>
      </w:r>
      <w:r>
        <w:rPr>
          <w:rFonts w:ascii="Verdana" w:hAnsi="Verdana" w:cs="Verdana"/>
          <w:sz w:val="20"/>
          <w:szCs w:val="20"/>
          <w:lang w:val="es-ES"/>
        </w:rPr>
        <w:t>a los peritos</w:t>
      </w:r>
      <w:r w:rsidRPr="00DD421D">
        <w:rPr>
          <w:rFonts w:ascii="Verdana" w:hAnsi="Verdana" w:cs="Verdana"/>
          <w:sz w:val="20"/>
          <w:szCs w:val="20"/>
          <w:lang w:val="es-ES"/>
        </w:rPr>
        <w:t xml:space="preserve"> mencionados en el punto resolutivo primero de la presente Resolución. Las declaraciones y peritajes requeridos en el punto resolutivo primero deberán ser presentados a más tardar </w:t>
      </w:r>
      <w:r w:rsidRPr="009F4105">
        <w:rPr>
          <w:rFonts w:ascii="Verdana" w:hAnsi="Verdana" w:cs="Verdana"/>
          <w:sz w:val="20"/>
          <w:szCs w:val="20"/>
          <w:lang w:val="es-ES"/>
        </w:rPr>
        <w:t xml:space="preserve">el 30 de enero de 2014. </w:t>
      </w:r>
    </w:p>
    <w:p w:rsidR="007804B2" w:rsidRDefault="007804B2">
      <w:pPr>
        <w:tabs>
          <w:tab w:val="left" w:pos="567"/>
        </w:tabs>
        <w:spacing w:after="0" w:line="240" w:lineRule="auto"/>
        <w:ind w:right="-6"/>
        <w:jc w:val="both"/>
        <w:rPr>
          <w:rFonts w:ascii="Verdana" w:hAnsi="Verdana" w:cs="Verdana"/>
          <w:sz w:val="20"/>
          <w:szCs w:val="20"/>
          <w:lang w:val="es-ES"/>
        </w:rPr>
      </w:pPr>
    </w:p>
    <w:p w:rsidR="007804B2" w:rsidRDefault="007804B2">
      <w:pPr>
        <w:numPr>
          <w:ilvl w:val="0"/>
          <w:numId w:val="15"/>
        </w:numPr>
        <w:tabs>
          <w:tab w:val="left" w:pos="567"/>
        </w:tabs>
        <w:spacing w:after="0" w:line="240" w:lineRule="auto"/>
        <w:ind w:left="0" w:right="-6" w:firstLine="0"/>
        <w:jc w:val="both"/>
        <w:rPr>
          <w:rFonts w:ascii="Verdana" w:hAnsi="Verdana" w:cs="Verdana"/>
          <w:sz w:val="20"/>
          <w:szCs w:val="20"/>
          <w:lang w:val="es-ES"/>
        </w:rPr>
      </w:pPr>
      <w:r w:rsidRPr="00DD421D">
        <w:rPr>
          <w:rFonts w:ascii="Verdana" w:hAnsi="Verdana" w:cs="Verdana"/>
          <w:sz w:val="20"/>
          <w:szCs w:val="20"/>
          <w:lang w:val="es-ES"/>
        </w:rPr>
        <w:t xml:space="preserve">Requerir a los representantes, al Estado y a la Secretaría del Tribunal, que coordinen y realicen las diligencias necesarias para que, una vez recibidas las respectivas preguntas de las partes, los declarantes y peritos incluyan las respuestas respectivas en sus declaraciones rendidas ante fedatario público, de conformidad con los considerandos </w:t>
      </w:r>
      <w:r w:rsidR="008B6F08">
        <w:rPr>
          <w:rFonts w:ascii="Verdana" w:hAnsi="Verdana" w:cs="Verdana"/>
          <w:sz w:val="20"/>
          <w:szCs w:val="20"/>
          <w:lang w:val="es-ES"/>
        </w:rPr>
        <w:t>47</w:t>
      </w:r>
      <w:r w:rsidRPr="00DD421D">
        <w:rPr>
          <w:rFonts w:ascii="Verdana" w:hAnsi="Verdana" w:cs="Verdana"/>
          <w:sz w:val="20"/>
          <w:szCs w:val="20"/>
          <w:lang w:val="es-ES"/>
        </w:rPr>
        <w:t xml:space="preserve"> y </w:t>
      </w:r>
      <w:r w:rsidR="008B6F08">
        <w:rPr>
          <w:rFonts w:ascii="Verdana" w:hAnsi="Verdana" w:cs="Verdana"/>
          <w:sz w:val="20"/>
          <w:szCs w:val="20"/>
          <w:lang w:val="es-ES"/>
        </w:rPr>
        <w:t>48</w:t>
      </w:r>
      <w:r w:rsidRPr="00DD421D">
        <w:rPr>
          <w:rFonts w:ascii="Verdana" w:hAnsi="Verdana" w:cs="Verdana"/>
          <w:sz w:val="20"/>
          <w:szCs w:val="20"/>
          <w:lang w:val="es-ES"/>
        </w:rPr>
        <w:t xml:space="preserve"> de la presente Resolución. </w:t>
      </w:r>
    </w:p>
    <w:p w:rsidR="007804B2" w:rsidRDefault="007804B2">
      <w:pPr>
        <w:tabs>
          <w:tab w:val="left" w:pos="567"/>
        </w:tabs>
        <w:spacing w:after="0" w:line="240" w:lineRule="auto"/>
        <w:ind w:right="-6"/>
        <w:jc w:val="both"/>
        <w:rPr>
          <w:rFonts w:ascii="Verdana" w:hAnsi="Verdana" w:cs="Verdana"/>
          <w:sz w:val="20"/>
          <w:szCs w:val="20"/>
          <w:lang w:val="es-ES"/>
        </w:rPr>
      </w:pPr>
    </w:p>
    <w:p w:rsidR="007804B2" w:rsidRDefault="007804B2">
      <w:pPr>
        <w:numPr>
          <w:ilvl w:val="0"/>
          <w:numId w:val="15"/>
        </w:numPr>
        <w:tabs>
          <w:tab w:val="left" w:pos="567"/>
        </w:tabs>
        <w:spacing w:after="0" w:line="240" w:lineRule="auto"/>
        <w:ind w:left="0" w:right="-6" w:firstLine="0"/>
        <w:jc w:val="both"/>
        <w:rPr>
          <w:rFonts w:ascii="Verdana" w:hAnsi="Verdana" w:cs="Verdana"/>
          <w:sz w:val="20"/>
          <w:szCs w:val="20"/>
          <w:lang w:val="es-ES"/>
        </w:rPr>
      </w:pPr>
      <w:r w:rsidRPr="00DD421D">
        <w:rPr>
          <w:rFonts w:ascii="Verdana" w:hAnsi="Verdana" w:cs="Verdana"/>
          <w:sz w:val="20"/>
          <w:szCs w:val="20"/>
          <w:lang w:val="es-ES"/>
        </w:rPr>
        <w:t>Disponer que, una vez recibidas las declaraciones y peritajes requeridos en el punto resolutivo primero, la Secretaría de la Corte los trasmita a las partes</w:t>
      </w:r>
      <w:r w:rsidRPr="00BE7C7E">
        <w:rPr>
          <w:rFonts w:ascii="Verdana" w:hAnsi="Verdana" w:cs="Verdana"/>
          <w:sz w:val="20"/>
          <w:szCs w:val="20"/>
          <w:lang w:val="es-ES"/>
        </w:rPr>
        <w:t xml:space="preserve">, </w:t>
      </w:r>
      <w:r>
        <w:rPr>
          <w:rFonts w:ascii="Verdana" w:hAnsi="Verdana" w:cs="Verdana"/>
          <w:sz w:val="20"/>
          <w:szCs w:val="20"/>
          <w:lang w:val="es-ES"/>
        </w:rPr>
        <w:t>a fin de</w:t>
      </w:r>
      <w:r w:rsidRPr="00BE7C7E">
        <w:rPr>
          <w:rFonts w:ascii="Verdana" w:hAnsi="Verdana" w:cs="Verdana"/>
          <w:sz w:val="20"/>
          <w:szCs w:val="20"/>
          <w:lang w:val="es-ES"/>
        </w:rPr>
        <w:t xml:space="preserve"> que</w:t>
      </w:r>
      <w:r>
        <w:rPr>
          <w:rFonts w:ascii="Verdana" w:hAnsi="Verdana" w:cs="Verdana"/>
          <w:sz w:val="20"/>
          <w:szCs w:val="20"/>
          <w:lang w:val="es-ES"/>
        </w:rPr>
        <w:t>, si lo estiman necesario,</w:t>
      </w:r>
      <w:r w:rsidRPr="00BE7C7E">
        <w:rPr>
          <w:rFonts w:ascii="Verdana" w:hAnsi="Verdana" w:cs="Verdana"/>
          <w:sz w:val="20"/>
          <w:szCs w:val="20"/>
          <w:lang w:val="es-ES"/>
        </w:rPr>
        <w:t xml:space="preserve"> </w:t>
      </w:r>
      <w:r>
        <w:rPr>
          <w:rFonts w:ascii="Verdana" w:hAnsi="Verdana" w:cs="Verdana"/>
          <w:sz w:val="20"/>
          <w:szCs w:val="20"/>
        </w:rPr>
        <w:t>el Estado y los representantes</w:t>
      </w:r>
      <w:r w:rsidRPr="00BE7C7E">
        <w:rPr>
          <w:rFonts w:ascii="Verdana" w:hAnsi="Verdana" w:cs="Verdana"/>
          <w:sz w:val="20"/>
          <w:szCs w:val="20"/>
          <w:lang w:val="es-ES"/>
        </w:rPr>
        <w:t xml:space="preserve"> presenten sus observaciones a dichas declaraciones y peritajes, </w:t>
      </w:r>
      <w:r w:rsidRPr="00DD421D">
        <w:rPr>
          <w:rFonts w:ascii="Verdana" w:hAnsi="Verdana" w:cs="Verdana"/>
          <w:sz w:val="20"/>
          <w:szCs w:val="20"/>
          <w:lang w:val="es-ES"/>
        </w:rPr>
        <w:t xml:space="preserve">junto con sus alegatos finales. </w:t>
      </w:r>
    </w:p>
    <w:p w:rsidR="007804B2" w:rsidRDefault="007804B2">
      <w:pPr>
        <w:pStyle w:val="ListParagraph"/>
        <w:tabs>
          <w:tab w:val="left" w:pos="567"/>
        </w:tabs>
        <w:spacing w:after="0" w:line="240" w:lineRule="auto"/>
        <w:ind w:left="0"/>
        <w:jc w:val="both"/>
        <w:rPr>
          <w:rFonts w:ascii="Verdana" w:hAnsi="Verdana" w:cs="Verdana"/>
          <w:sz w:val="20"/>
          <w:szCs w:val="20"/>
          <w:lang w:val="es-ES"/>
        </w:rPr>
      </w:pPr>
    </w:p>
    <w:p w:rsidR="007804B2" w:rsidRDefault="007804B2">
      <w:pPr>
        <w:numPr>
          <w:ilvl w:val="0"/>
          <w:numId w:val="15"/>
        </w:numPr>
        <w:tabs>
          <w:tab w:val="left" w:pos="567"/>
        </w:tabs>
        <w:spacing w:after="0" w:line="240" w:lineRule="auto"/>
        <w:ind w:left="0" w:right="-6" w:firstLine="0"/>
        <w:jc w:val="both"/>
        <w:rPr>
          <w:rFonts w:ascii="Verdana" w:hAnsi="Verdana" w:cs="Verdana"/>
          <w:sz w:val="20"/>
          <w:szCs w:val="20"/>
          <w:lang w:val="es-ES"/>
        </w:rPr>
      </w:pPr>
      <w:r w:rsidRPr="00DD421D">
        <w:rPr>
          <w:rFonts w:ascii="Verdana" w:hAnsi="Verdana" w:cs="Verdana"/>
          <w:sz w:val="20"/>
          <w:szCs w:val="20"/>
          <w:lang w:val="es-ES"/>
        </w:rPr>
        <w:t xml:space="preserve">Convocar a los representantes, al Estado y a la Comisión Interamericana a una audiencia pública que se celebrará durante el 102 Período Ordinario de Sesiones de la Corte, </w:t>
      </w:r>
      <w:r>
        <w:rPr>
          <w:rFonts w:ascii="Verdana" w:hAnsi="Verdana" w:cs="Verdana"/>
          <w:sz w:val="20"/>
          <w:szCs w:val="20"/>
          <w:lang w:val="es-ES"/>
        </w:rPr>
        <w:t xml:space="preserve">en la sede del Tribunal </w:t>
      </w:r>
      <w:r w:rsidRPr="00DD421D">
        <w:rPr>
          <w:rFonts w:ascii="Verdana" w:hAnsi="Verdana" w:cs="Verdana"/>
          <w:sz w:val="20"/>
          <w:szCs w:val="20"/>
          <w:lang w:val="es-ES"/>
        </w:rPr>
        <w:t>el jueves 6 de febrero de 20</w:t>
      </w:r>
      <w:r>
        <w:rPr>
          <w:rFonts w:ascii="Verdana" w:hAnsi="Verdana" w:cs="Verdana"/>
          <w:sz w:val="20"/>
          <w:szCs w:val="20"/>
          <w:lang w:val="es-ES"/>
        </w:rPr>
        <w:t>14</w:t>
      </w:r>
      <w:r w:rsidRPr="00DD421D">
        <w:rPr>
          <w:rFonts w:ascii="Verdana" w:hAnsi="Verdana" w:cs="Verdana"/>
          <w:sz w:val="20"/>
          <w:szCs w:val="20"/>
          <w:lang w:val="es-ES"/>
        </w:rPr>
        <w:t>, a partir de las 9:00 hora</w:t>
      </w:r>
      <w:r>
        <w:rPr>
          <w:rFonts w:ascii="Verdana" w:hAnsi="Verdana" w:cs="Verdana"/>
          <w:sz w:val="20"/>
          <w:szCs w:val="20"/>
          <w:lang w:val="es-ES"/>
        </w:rPr>
        <w:t>s</w:t>
      </w:r>
      <w:r w:rsidRPr="00DD421D">
        <w:rPr>
          <w:rFonts w:ascii="Verdana" w:hAnsi="Verdana" w:cs="Verdana"/>
          <w:sz w:val="20"/>
          <w:szCs w:val="20"/>
          <w:lang w:val="es-ES"/>
        </w:rPr>
        <w:t>, para recibir sus alegatos finales orales y observaciones orales, respectivamente, sobre las excepciones preliminares</w:t>
      </w:r>
      <w:r>
        <w:rPr>
          <w:rFonts w:ascii="Verdana" w:hAnsi="Verdana" w:cs="Verdana"/>
          <w:sz w:val="20"/>
          <w:szCs w:val="20"/>
          <w:lang w:val="es-ES"/>
        </w:rPr>
        <w:t xml:space="preserve"> y eventuales</w:t>
      </w:r>
      <w:r w:rsidRPr="00DD421D">
        <w:rPr>
          <w:rFonts w:ascii="Verdana" w:hAnsi="Verdana" w:cs="Verdana"/>
          <w:sz w:val="20"/>
          <w:szCs w:val="20"/>
          <w:lang w:val="es-ES"/>
        </w:rPr>
        <w:t xml:space="preserve"> fondo, reparaciones y costas, así como para recibir las declaraciones de las siguientes personas:</w:t>
      </w:r>
    </w:p>
    <w:p w:rsidR="007804B2" w:rsidRPr="00773FAE" w:rsidRDefault="007804B2" w:rsidP="00773FAE">
      <w:pPr>
        <w:widowControl w:val="0"/>
        <w:autoSpaceDE w:val="0"/>
        <w:autoSpaceDN w:val="0"/>
        <w:adjustRightInd w:val="0"/>
        <w:spacing w:after="0" w:line="240" w:lineRule="auto"/>
        <w:ind w:right="22"/>
        <w:jc w:val="both"/>
        <w:rPr>
          <w:rFonts w:ascii="Verdana" w:hAnsi="Verdana" w:cs="Verdana"/>
          <w:b/>
          <w:bCs/>
          <w:i/>
          <w:iCs/>
          <w:sz w:val="20"/>
          <w:szCs w:val="20"/>
          <w:lang w:val="es-ES"/>
        </w:rPr>
      </w:pPr>
    </w:p>
    <w:p w:rsidR="007804B2" w:rsidRDefault="007804B2">
      <w:pPr>
        <w:pStyle w:val="ListParagraph"/>
        <w:widowControl w:val="0"/>
        <w:numPr>
          <w:ilvl w:val="0"/>
          <w:numId w:val="21"/>
        </w:numPr>
        <w:autoSpaceDE w:val="0"/>
        <w:autoSpaceDN w:val="0"/>
        <w:adjustRightInd w:val="0"/>
        <w:spacing w:after="0" w:line="240" w:lineRule="auto"/>
        <w:ind w:right="22"/>
        <w:jc w:val="both"/>
        <w:rPr>
          <w:rFonts w:ascii="Verdana" w:hAnsi="Verdana" w:cs="Verdana"/>
          <w:b/>
          <w:bCs/>
          <w:i/>
          <w:iCs/>
          <w:sz w:val="20"/>
          <w:szCs w:val="20"/>
          <w:lang w:val="es-ES"/>
        </w:rPr>
      </w:pPr>
      <w:r>
        <w:rPr>
          <w:rFonts w:ascii="Verdana" w:hAnsi="Verdana" w:cs="Verdana"/>
          <w:b/>
          <w:bCs/>
          <w:i/>
          <w:iCs/>
          <w:sz w:val="20"/>
          <w:szCs w:val="20"/>
          <w:lang w:val="es-ES"/>
        </w:rPr>
        <w:t>Presunta víctima propuesta por los representantes</w:t>
      </w:r>
    </w:p>
    <w:p w:rsidR="007804B2" w:rsidRDefault="007804B2">
      <w:pPr>
        <w:pStyle w:val="FootnoteText"/>
        <w:jc w:val="both"/>
        <w:rPr>
          <w:rFonts w:ascii="Verdana" w:hAnsi="Verdana" w:cs="Verdana"/>
          <w:lang w:val="es-ES"/>
        </w:rPr>
      </w:pPr>
    </w:p>
    <w:p w:rsidR="007804B2" w:rsidRDefault="007804B2">
      <w:pPr>
        <w:pStyle w:val="ListParagraph"/>
        <w:widowControl w:val="0"/>
        <w:numPr>
          <w:ilvl w:val="0"/>
          <w:numId w:val="38"/>
        </w:numPr>
        <w:autoSpaceDE w:val="0"/>
        <w:autoSpaceDN w:val="0"/>
        <w:adjustRightInd w:val="0"/>
        <w:spacing w:after="0" w:line="240" w:lineRule="auto"/>
        <w:ind w:right="22"/>
        <w:jc w:val="both"/>
        <w:rPr>
          <w:rFonts w:ascii="Verdana" w:hAnsi="Verdana" w:cs="Verdana"/>
          <w:sz w:val="20"/>
          <w:szCs w:val="20"/>
          <w:lang w:val="es-ES"/>
        </w:rPr>
      </w:pPr>
      <w:r>
        <w:rPr>
          <w:rFonts w:ascii="Verdana" w:hAnsi="Verdana" w:cs="Verdana"/>
          <w:sz w:val="20"/>
          <w:szCs w:val="20"/>
          <w:lang w:val="es-ES"/>
        </w:rPr>
        <w:t xml:space="preserve">Ignacio Landaeta Muñoz, padre de </w:t>
      </w:r>
      <w:proofErr w:type="spellStart"/>
      <w:r>
        <w:rPr>
          <w:rFonts w:ascii="Verdana" w:hAnsi="Verdana" w:cs="Verdana"/>
          <w:sz w:val="20"/>
          <w:szCs w:val="20"/>
          <w:lang w:val="es-ES"/>
        </w:rPr>
        <w:t>Igmar</w:t>
      </w:r>
      <w:proofErr w:type="spellEnd"/>
      <w:r>
        <w:rPr>
          <w:rFonts w:ascii="Verdana" w:hAnsi="Verdana" w:cs="Verdana"/>
          <w:sz w:val="20"/>
          <w:szCs w:val="20"/>
          <w:lang w:val="es-ES"/>
        </w:rPr>
        <w:t xml:space="preserve"> Alexander y Eduardo José, ambos de apellidos Landaeta Mejías, quien declarará sobre: las circunstancias en que perdieron la vida sus hijos, así como de las alegadas amenazas y hostigamientos de los que habrían sido objeto con anterioridad a su muerte; la presunta detención ilegal de Eduardo José y las acciones emprendidas para garantizar su seguridad mientras su hijo se encontraba en detención; las gestiones que ha realizado para denunciar los hechos y exigir justicia sobre las presuntas violaciones a los derechos humanos de los que habría sido víctima, y las alegadas secuelas emocionales y físicas que habría sufrido como consecuencia de los hechos y las afectaciones a su proyecto de vida.</w:t>
      </w:r>
    </w:p>
    <w:p w:rsidR="007804B2" w:rsidRDefault="007804B2">
      <w:pPr>
        <w:spacing w:after="0" w:line="240" w:lineRule="auto"/>
        <w:jc w:val="both"/>
        <w:rPr>
          <w:rFonts w:ascii="Verdana" w:hAnsi="Verdana" w:cs="Verdana"/>
          <w:sz w:val="20"/>
          <w:szCs w:val="20"/>
        </w:rPr>
      </w:pPr>
    </w:p>
    <w:p w:rsidR="007804B2" w:rsidRDefault="007804B2">
      <w:pPr>
        <w:pStyle w:val="ListParagraph"/>
        <w:widowControl w:val="0"/>
        <w:numPr>
          <w:ilvl w:val="0"/>
          <w:numId w:val="21"/>
        </w:numPr>
        <w:autoSpaceDE w:val="0"/>
        <w:autoSpaceDN w:val="0"/>
        <w:adjustRightInd w:val="0"/>
        <w:spacing w:after="0" w:line="240" w:lineRule="auto"/>
        <w:ind w:right="22"/>
        <w:jc w:val="both"/>
        <w:rPr>
          <w:rFonts w:ascii="Verdana" w:hAnsi="Verdana" w:cs="Verdana"/>
          <w:b/>
          <w:bCs/>
          <w:i/>
          <w:iCs/>
          <w:sz w:val="20"/>
          <w:szCs w:val="20"/>
          <w:lang w:val="es-ES"/>
        </w:rPr>
      </w:pPr>
      <w:r>
        <w:rPr>
          <w:rFonts w:ascii="Verdana" w:hAnsi="Verdana" w:cs="Verdana"/>
          <w:b/>
          <w:bCs/>
          <w:i/>
          <w:iCs/>
          <w:sz w:val="20"/>
          <w:szCs w:val="20"/>
          <w:lang w:val="es-ES"/>
        </w:rPr>
        <w:t>Testigo propuesto por el Estado</w:t>
      </w:r>
    </w:p>
    <w:p w:rsidR="007804B2" w:rsidRPr="00BE7C7E" w:rsidRDefault="007804B2" w:rsidP="00BE7C7E">
      <w:pPr>
        <w:pStyle w:val="ListParagraph"/>
        <w:widowControl w:val="0"/>
        <w:autoSpaceDE w:val="0"/>
        <w:autoSpaceDN w:val="0"/>
        <w:adjustRightInd w:val="0"/>
        <w:spacing w:after="0" w:line="240" w:lineRule="auto"/>
        <w:ind w:right="22"/>
        <w:jc w:val="both"/>
        <w:rPr>
          <w:rFonts w:ascii="Verdana" w:hAnsi="Verdana" w:cs="Verdana"/>
          <w:b/>
          <w:bCs/>
          <w:i/>
          <w:iCs/>
          <w:sz w:val="20"/>
          <w:szCs w:val="20"/>
          <w:lang w:val="es-ES"/>
        </w:rPr>
      </w:pPr>
    </w:p>
    <w:p w:rsidR="007804B2" w:rsidRPr="00BE7C7E" w:rsidRDefault="007804B2" w:rsidP="00BE7C7E">
      <w:pPr>
        <w:pStyle w:val="ListParagraph"/>
        <w:widowControl w:val="0"/>
        <w:numPr>
          <w:ilvl w:val="0"/>
          <w:numId w:val="39"/>
        </w:numPr>
        <w:autoSpaceDE w:val="0"/>
        <w:autoSpaceDN w:val="0"/>
        <w:adjustRightInd w:val="0"/>
        <w:spacing w:after="0" w:line="240" w:lineRule="auto"/>
        <w:ind w:right="22"/>
        <w:jc w:val="both"/>
        <w:rPr>
          <w:rFonts w:ascii="Verdana" w:hAnsi="Verdana" w:cs="Verdana"/>
          <w:sz w:val="20"/>
          <w:szCs w:val="20"/>
          <w:lang w:val="es-ES"/>
        </w:rPr>
      </w:pPr>
      <w:r>
        <w:rPr>
          <w:rFonts w:ascii="Verdana" w:hAnsi="Verdana" w:cs="Verdana"/>
          <w:sz w:val="20"/>
          <w:szCs w:val="20"/>
          <w:lang w:val="es-ES"/>
        </w:rPr>
        <w:t xml:space="preserve">Yelitza Acacio Carmona, Fiscal Décima Quinta del Ministerio Público del Estado de Aragua, quien declarará sobre los procesos a su cargo seguidos en los casos de </w:t>
      </w:r>
      <w:proofErr w:type="spellStart"/>
      <w:r>
        <w:rPr>
          <w:rFonts w:ascii="Verdana" w:hAnsi="Verdana" w:cs="Verdana"/>
          <w:sz w:val="20"/>
          <w:szCs w:val="20"/>
          <w:lang w:val="es-ES"/>
        </w:rPr>
        <w:t>Igmar</w:t>
      </w:r>
      <w:proofErr w:type="spellEnd"/>
      <w:r>
        <w:rPr>
          <w:rFonts w:ascii="Verdana" w:hAnsi="Verdana" w:cs="Verdana"/>
          <w:sz w:val="20"/>
          <w:szCs w:val="20"/>
          <w:lang w:val="es-ES"/>
        </w:rPr>
        <w:t xml:space="preserve"> Alexander y Eduardo José Landaeta Mejías.</w:t>
      </w:r>
    </w:p>
    <w:p w:rsidR="007804B2" w:rsidRDefault="007804B2">
      <w:pPr>
        <w:pStyle w:val="ListParagraph"/>
        <w:tabs>
          <w:tab w:val="left" w:pos="567"/>
        </w:tabs>
        <w:spacing w:after="0" w:line="240" w:lineRule="auto"/>
        <w:ind w:left="0"/>
        <w:jc w:val="both"/>
        <w:rPr>
          <w:rFonts w:ascii="Verdana" w:hAnsi="Verdana" w:cs="Verdana"/>
          <w:sz w:val="20"/>
          <w:szCs w:val="20"/>
          <w:lang w:val="es-ES"/>
        </w:rPr>
      </w:pPr>
    </w:p>
    <w:p w:rsidR="007804B2" w:rsidRDefault="007804B2" w:rsidP="0083705D">
      <w:pPr>
        <w:pStyle w:val="ListParagraph"/>
        <w:widowControl w:val="0"/>
        <w:numPr>
          <w:ilvl w:val="0"/>
          <w:numId w:val="15"/>
        </w:numPr>
        <w:tabs>
          <w:tab w:val="left" w:pos="567"/>
        </w:tabs>
        <w:autoSpaceDE w:val="0"/>
        <w:autoSpaceDN w:val="0"/>
        <w:adjustRightInd w:val="0"/>
        <w:spacing w:after="0" w:line="240" w:lineRule="auto"/>
        <w:ind w:left="0" w:right="22" w:firstLine="0"/>
        <w:jc w:val="both"/>
        <w:rPr>
          <w:rFonts w:ascii="Verdana" w:hAnsi="Verdana" w:cs="Verdana"/>
          <w:sz w:val="20"/>
          <w:szCs w:val="20"/>
          <w:lang w:val="es-ES"/>
        </w:rPr>
      </w:pPr>
      <w:r>
        <w:rPr>
          <w:rFonts w:ascii="Verdana" w:hAnsi="Verdana" w:cs="Verdana"/>
          <w:sz w:val="20"/>
          <w:szCs w:val="20"/>
          <w:lang w:val="es-ES"/>
        </w:rPr>
        <w:t>Requerir a la República Bolivariana de Venezuela que facilite la salida y entrada de su territorio de los declarantes, si residen o se encuentran en él, quienes han sido citados en la presente Resolución a rendir declaración en la audiencia pública sobre las excepciones preliminares y eventuales fondo, reparaciones y costas en este caso, de conformidad con lo dispuesto en el artículo 26.1 del Reglamento de la Corte.</w:t>
      </w:r>
    </w:p>
    <w:p w:rsidR="007804B2" w:rsidRPr="0083705D" w:rsidRDefault="007804B2" w:rsidP="00572B63">
      <w:pPr>
        <w:pStyle w:val="ListParagraph"/>
        <w:widowControl w:val="0"/>
        <w:tabs>
          <w:tab w:val="left" w:pos="567"/>
        </w:tabs>
        <w:autoSpaceDE w:val="0"/>
        <w:autoSpaceDN w:val="0"/>
        <w:adjustRightInd w:val="0"/>
        <w:spacing w:after="0" w:line="240" w:lineRule="auto"/>
        <w:ind w:left="0" w:right="22"/>
        <w:jc w:val="both"/>
        <w:rPr>
          <w:rFonts w:ascii="Verdana" w:hAnsi="Verdana" w:cs="Verdana"/>
          <w:sz w:val="20"/>
          <w:szCs w:val="20"/>
          <w:lang w:val="es-ES"/>
        </w:rPr>
      </w:pPr>
    </w:p>
    <w:p w:rsidR="007804B2" w:rsidRDefault="007804B2">
      <w:pPr>
        <w:pStyle w:val="ListParagraph"/>
        <w:widowControl w:val="0"/>
        <w:numPr>
          <w:ilvl w:val="0"/>
          <w:numId w:val="15"/>
        </w:numPr>
        <w:tabs>
          <w:tab w:val="left" w:pos="567"/>
        </w:tabs>
        <w:autoSpaceDE w:val="0"/>
        <w:autoSpaceDN w:val="0"/>
        <w:adjustRightInd w:val="0"/>
        <w:spacing w:after="0" w:line="240" w:lineRule="auto"/>
        <w:ind w:left="0" w:right="22" w:firstLine="0"/>
        <w:jc w:val="both"/>
        <w:rPr>
          <w:rFonts w:ascii="Verdana" w:hAnsi="Verdana" w:cs="Verdana"/>
          <w:sz w:val="20"/>
          <w:szCs w:val="20"/>
          <w:lang w:val="es-ES"/>
        </w:rPr>
      </w:pPr>
      <w:r>
        <w:rPr>
          <w:rFonts w:ascii="Verdana" w:hAnsi="Verdana" w:cs="Verdana"/>
          <w:sz w:val="20"/>
          <w:szCs w:val="20"/>
          <w:lang w:val="es-ES"/>
        </w:rPr>
        <w:t>Requerir a</w:t>
      </w:r>
      <w:r w:rsidR="009F4105">
        <w:rPr>
          <w:rFonts w:ascii="Verdana" w:hAnsi="Verdana" w:cs="Verdana"/>
          <w:sz w:val="20"/>
          <w:szCs w:val="20"/>
          <w:lang w:val="es-ES"/>
        </w:rPr>
        <w:t xml:space="preserve"> la Comisión,</w:t>
      </w:r>
      <w:r>
        <w:rPr>
          <w:rFonts w:ascii="Verdana" w:hAnsi="Verdana" w:cs="Verdana"/>
          <w:sz w:val="20"/>
          <w:szCs w:val="20"/>
          <w:lang w:val="es-ES"/>
        </w:rPr>
        <w:t xml:space="preserve"> los representantes y al Estado que comuniquen la presente Resolución a las personas  por ellas propuestas y que han sido convocadas a rendir declaración</w:t>
      </w:r>
      <w:r w:rsidR="009F4105">
        <w:rPr>
          <w:rFonts w:ascii="Verdana" w:hAnsi="Verdana" w:cs="Verdana"/>
          <w:sz w:val="20"/>
          <w:szCs w:val="20"/>
          <w:lang w:val="es-ES"/>
        </w:rPr>
        <w:t xml:space="preserve"> y/o dictámenes periciales</w:t>
      </w:r>
      <w:r>
        <w:rPr>
          <w:rFonts w:ascii="Verdana" w:hAnsi="Verdana" w:cs="Verdana"/>
          <w:sz w:val="20"/>
          <w:szCs w:val="20"/>
          <w:lang w:val="es-ES"/>
        </w:rPr>
        <w:t>, de conformidad con lo dispuesto en el artículo 50.2 y 50.4 del Reglamento.</w:t>
      </w:r>
    </w:p>
    <w:p w:rsidR="007804B2" w:rsidRDefault="007804B2">
      <w:pPr>
        <w:pStyle w:val="ListParagraph"/>
        <w:tabs>
          <w:tab w:val="left" w:pos="567"/>
        </w:tabs>
        <w:spacing w:after="0" w:line="240" w:lineRule="auto"/>
        <w:ind w:left="0"/>
        <w:jc w:val="both"/>
        <w:rPr>
          <w:rFonts w:ascii="Verdana" w:hAnsi="Verdana" w:cs="Verdana"/>
          <w:sz w:val="20"/>
          <w:szCs w:val="20"/>
          <w:lang w:val="es-ES"/>
        </w:rPr>
      </w:pPr>
    </w:p>
    <w:p w:rsidR="007804B2" w:rsidRDefault="00F544D8">
      <w:pPr>
        <w:pStyle w:val="ListParagraph"/>
        <w:widowControl w:val="0"/>
        <w:numPr>
          <w:ilvl w:val="0"/>
          <w:numId w:val="15"/>
        </w:numPr>
        <w:tabs>
          <w:tab w:val="left" w:pos="567"/>
        </w:tabs>
        <w:autoSpaceDE w:val="0"/>
        <w:autoSpaceDN w:val="0"/>
        <w:adjustRightInd w:val="0"/>
        <w:spacing w:after="0" w:line="240" w:lineRule="auto"/>
        <w:ind w:left="0" w:right="22" w:firstLine="0"/>
        <w:jc w:val="both"/>
        <w:rPr>
          <w:rFonts w:ascii="Verdana" w:hAnsi="Verdana" w:cs="Verdana"/>
          <w:sz w:val="20"/>
          <w:szCs w:val="20"/>
          <w:lang w:val="es-ES"/>
        </w:rPr>
      </w:pPr>
      <w:r>
        <w:rPr>
          <w:rFonts w:ascii="Verdana" w:hAnsi="Verdana" w:cs="Verdana"/>
          <w:sz w:val="20"/>
          <w:szCs w:val="20"/>
          <w:lang w:val="es-ES"/>
        </w:rPr>
        <w:t xml:space="preserve">Informar </w:t>
      </w:r>
      <w:r w:rsidR="007804B2">
        <w:rPr>
          <w:rFonts w:ascii="Verdana" w:hAnsi="Verdana" w:cs="Verdana"/>
          <w:sz w:val="20"/>
          <w:szCs w:val="20"/>
          <w:lang w:val="es-ES"/>
        </w:rPr>
        <w:t xml:space="preserve">a los representantes, en lo pertinente, y al Estado que deben cubrir los gastos que ocasione la aportación o rendición de la prueba propuesta por ellos, de conformidad con lo dispuesto en el artículo 60 del Reglamento, sin perjuicio de lo establecido en el Considerando </w:t>
      </w:r>
      <w:r w:rsidR="008B6F08">
        <w:rPr>
          <w:rFonts w:ascii="Verdana" w:hAnsi="Verdana" w:cs="Verdana"/>
          <w:sz w:val="20"/>
          <w:szCs w:val="20"/>
          <w:lang w:val="es-ES"/>
        </w:rPr>
        <w:t>52</w:t>
      </w:r>
      <w:r w:rsidR="007804B2">
        <w:rPr>
          <w:rFonts w:ascii="Verdana" w:hAnsi="Verdana" w:cs="Verdana"/>
          <w:sz w:val="20"/>
          <w:szCs w:val="20"/>
          <w:lang w:val="es-ES"/>
        </w:rPr>
        <w:t xml:space="preserve"> de la presente Resolución.</w:t>
      </w:r>
    </w:p>
    <w:p w:rsidR="007804B2" w:rsidRDefault="007804B2">
      <w:pPr>
        <w:pStyle w:val="ListParagraph"/>
        <w:widowControl w:val="0"/>
        <w:tabs>
          <w:tab w:val="left" w:pos="567"/>
        </w:tabs>
        <w:autoSpaceDE w:val="0"/>
        <w:autoSpaceDN w:val="0"/>
        <w:adjustRightInd w:val="0"/>
        <w:spacing w:after="0" w:line="240" w:lineRule="auto"/>
        <w:ind w:left="0" w:right="22"/>
        <w:jc w:val="both"/>
        <w:rPr>
          <w:rFonts w:ascii="Verdana" w:hAnsi="Verdana" w:cs="Verdana"/>
          <w:sz w:val="20"/>
          <w:szCs w:val="20"/>
          <w:lang w:val="es-ES"/>
        </w:rPr>
      </w:pPr>
    </w:p>
    <w:p w:rsidR="007804B2" w:rsidRDefault="007804B2">
      <w:pPr>
        <w:pStyle w:val="ListParagraph"/>
        <w:widowControl w:val="0"/>
        <w:numPr>
          <w:ilvl w:val="0"/>
          <w:numId w:val="15"/>
        </w:numPr>
        <w:tabs>
          <w:tab w:val="left" w:pos="567"/>
        </w:tabs>
        <w:autoSpaceDE w:val="0"/>
        <w:autoSpaceDN w:val="0"/>
        <w:adjustRightInd w:val="0"/>
        <w:spacing w:after="0" w:line="240" w:lineRule="auto"/>
        <w:ind w:left="0" w:right="22" w:firstLine="0"/>
        <w:jc w:val="both"/>
        <w:rPr>
          <w:rFonts w:ascii="Verdana" w:hAnsi="Verdana" w:cs="Verdana"/>
          <w:sz w:val="20"/>
          <w:szCs w:val="20"/>
          <w:lang w:val="es-ES"/>
        </w:rPr>
      </w:pPr>
      <w:r w:rsidRPr="00DD421D">
        <w:rPr>
          <w:rFonts w:ascii="Verdana" w:hAnsi="Verdana" w:cs="Verdana"/>
          <w:sz w:val="20"/>
          <w:szCs w:val="20"/>
          <w:lang w:val="es-ES"/>
        </w:rPr>
        <w:t>Requerir a los representantes que comuniquen a la Corte el nombre de los declarantes cuyo</w:t>
      </w:r>
      <w:r>
        <w:rPr>
          <w:rFonts w:ascii="Verdana" w:hAnsi="Verdana" w:cs="Verdana"/>
          <w:sz w:val="20"/>
          <w:szCs w:val="20"/>
          <w:lang w:val="es-ES"/>
        </w:rPr>
        <w:t>s</w:t>
      </w:r>
      <w:r w:rsidRPr="00DD421D">
        <w:rPr>
          <w:rFonts w:ascii="Verdana" w:hAnsi="Verdana" w:cs="Verdana"/>
          <w:sz w:val="20"/>
          <w:szCs w:val="20"/>
          <w:lang w:val="es-ES"/>
        </w:rPr>
        <w:t xml:space="preserve"> </w:t>
      </w:r>
      <w:r w:rsidRPr="00DD421D">
        <w:rPr>
          <w:rFonts w:ascii="Verdana" w:hAnsi="Verdana" w:cs="Verdana"/>
          <w:i/>
          <w:iCs/>
          <w:sz w:val="20"/>
          <w:szCs w:val="20"/>
          <w:lang w:val="es-ES"/>
        </w:rPr>
        <w:t>affidávit</w:t>
      </w:r>
      <w:r w:rsidRPr="00DD421D">
        <w:rPr>
          <w:rFonts w:ascii="Verdana" w:hAnsi="Verdana" w:cs="Verdana"/>
          <w:sz w:val="20"/>
          <w:szCs w:val="20"/>
          <w:lang w:val="es-ES"/>
        </w:rPr>
        <w:t xml:space="preserve"> serán cubiertos por el Fondo de Asistencia, y que remita</w:t>
      </w:r>
      <w:r>
        <w:rPr>
          <w:rFonts w:ascii="Verdana" w:hAnsi="Verdana" w:cs="Verdana"/>
          <w:sz w:val="20"/>
          <w:szCs w:val="20"/>
          <w:lang w:val="es-ES"/>
        </w:rPr>
        <w:t>n</w:t>
      </w:r>
      <w:r w:rsidRPr="00DD421D">
        <w:rPr>
          <w:rFonts w:ascii="Verdana" w:hAnsi="Verdana" w:cs="Verdana"/>
          <w:sz w:val="20"/>
          <w:szCs w:val="20"/>
          <w:lang w:val="es-ES"/>
        </w:rPr>
        <w:t xml:space="preserve"> una cotización del costo de la formalización de </w:t>
      </w:r>
      <w:r>
        <w:rPr>
          <w:rFonts w:ascii="Verdana" w:hAnsi="Verdana" w:cs="Verdana"/>
          <w:sz w:val="20"/>
          <w:szCs w:val="20"/>
          <w:lang w:val="es-ES"/>
        </w:rPr>
        <w:t>cada</w:t>
      </w:r>
      <w:r w:rsidRPr="00DD421D">
        <w:rPr>
          <w:rFonts w:ascii="Verdana" w:hAnsi="Verdana" w:cs="Verdana"/>
          <w:sz w:val="20"/>
          <w:szCs w:val="20"/>
          <w:lang w:val="es-ES"/>
        </w:rPr>
        <w:t xml:space="preserve"> declaración jurada en el país de residencia de los declarantes y de su envío, a más tardar el </w:t>
      </w:r>
      <w:r w:rsidR="009F4105" w:rsidRPr="009F4105">
        <w:rPr>
          <w:rFonts w:ascii="Verdana" w:hAnsi="Verdana" w:cs="Verdana"/>
          <w:sz w:val="20"/>
          <w:szCs w:val="20"/>
          <w:lang w:val="es-ES"/>
        </w:rPr>
        <w:t>6</w:t>
      </w:r>
      <w:r w:rsidRPr="009F4105">
        <w:rPr>
          <w:rFonts w:ascii="Verdana" w:hAnsi="Verdana" w:cs="Verdana"/>
          <w:sz w:val="20"/>
          <w:szCs w:val="20"/>
          <w:lang w:val="es-ES"/>
        </w:rPr>
        <w:t xml:space="preserve"> de enero de 2014,</w:t>
      </w:r>
      <w:r w:rsidRPr="00DD421D">
        <w:rPr>
          <w:rFonts w:ascii="Verdana" w:hAnsi="Verdana" w:cs="Verdana"/>
          <w:sz w:val="20"/>
          <w:szCs w:val="20"/>
          <w:lang w:val="es-ES"/>
        </w:rPr>
        <w:t xml:space="preserve"> de conformidad con lo establecido en el Considerando </w:t>
      </w:r>
      <w:r w:rsidR="008B6F08">
        <w:rPr>
          <w:rFonts w:ascii="Verdana" w:hAnsi="Verdana" w:cs="Verdana"/>
          <w:sz w:val="20"/>
          <w:szCs w:val="20"/>
          <w:lang w:val="es-ES"/>
        </w:rPr>
        <w:t>52</w:t>
      </w:r>
      <w:r w:rsidRPr="00DD421D">
        <w:rPr>
          <w:rFonts w:ascii="Verdana" w:hAnsi="Verdana" w:cs="Verdana"/>
          <w:sz w:val="20"/>
          <w:szCs w:val="20"/>
          <w:lang w:val="es-ES"/>
        </w:rPr>
        <w:t xml:space="preserve"> de la presente Resolución. </w:t>
      </w:r>
    </w:p>
    <w:p w:rsidR="007804B2" w:rsidRDefault="007804B2">
      <w:pPr>
        <w:pStyle w:val="ListParagraph"/>
        <w:widowControl w:val="0"/>
        <w:tabs>
          <w:tab w:val="left" w:pos="567"/>
        </w:tabs>
        <w:autoSpaceDE w:val="0"/>
        <w:autoSpaceDN w:val="0"/>
        <w:adjustRightInd w:val="0"/>
        <w:spacing w:after="0" w:line="240" w:lineRule="auto"/>
        <w:ind w:left="0" w:right="22"/>
        <w:jc w:val="both"/>
        <w:rPr>
          <w:rFonts w:ascii="Verdana" w:hAnsi="Verdana" w:cs="Verdana"/>
          <w:sz w:val="20"/>
          <w:szCs w:val="20"/>
          <w:lang w:val="es-ES"/>
        </w:rPr>
      </w:pPr>
    </w:p>
    <w:p w:rsidR="007804B2" w:rsidRDefault="007804B2">
      <w:pPr>
        <w:pStyle w:val="ListParagraph"/>
        <w:widowControl w:val="0"/>
        <w:numPr>
          <w:ilvl w:val="0"/>
          <w:numId w:val="15"/>
        </w:numPr>
        <w:tabs>
          <w:tab w:val="left" w:pos="567"/>
        </w:tabs>
        <w:autoSpaceDE w:val="0"/>
        <w:autoSpaceDN w:val="0"/>
        <w:adjustRightInd w:val="0"/>
        <w:spacing w:after="0" w:line="240" w:lineRule="auto"/>
        <w:ind w:left="0" w:right="22" w:firstLine="0"/>
        <w:jc w:val="both"/>
        <w:rPr>
          <w:rFonts w:ascii="Verdana" w:hAnsi="Verdana" w:cs="Verdana"/>
          <w:sz w:val="20"/>
          <w:szCs w:val="20"/>
          <w:lang w:val="es-ES"/>
        </w:rPr>
      </w:pPr>
      <w:r w:rsidRPr="00BE7C7E">
        <w:rPr>
          <w:rFonts w:ascii="Verdana" w:hAnsi="Verdana" w:cs="Verdana"/>
          <w:sz w:val="20"/>
          <w:szCs w:val="20"/>
          <w:lang w:val="es-ES"/>
        </w:rPr>
        <w:t xml:space="preserve">Requerir a </w:t>
      </w:r>
      <w:r w:rsidR="009F4105">
        <w:rPr>
          <w:rFonts w:ascii="Verdana" w:hAnsi="Verdana" w:cs="Verdana"/>
          <w:sz w:val="20"/>
          <w:szCs w:val="20"/>
          <w:lang w:val="es-ES"/>
        </w:rPr>
        <w:t xml:space="preserve">la Comisión, </w:t>
      </w:r>
      <w:r w:rsidRPr="00BE7C7E">
        <w:rPr>
          <w:rFonts w:ascii="Verdana" w:hAnsi="Verdana" w:cs="Verdana"/>
          <w:sz w:val="20"/>
          <w:szCs w:val="20"/>
          <w:lang w:val="es-ES"/>
        </w:rPr>
        <w:t>los representantes y al Estado que informen a las personas convocadas por la Corte 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w:t>
      </w:r>
      <w:r>
        <w:rPr>
          <w:rFonts w:ascii="Verdana" w:hAnsi="Verdana" w:cs="Verdana"/>
          <w:sz w:val="20"/>
          <w:szCs w:val="20"/>
          <w:lang w:val="es-ES"/>
        </w:rPr>
        <w:t xml:space="preserve">ración solemne, para los fines previstos en la legislación nacional correspondiente. </w:t>
      </w:r>
    </w:p>
    <w:p w:rsidR="007804B2" w:rsidRDefault="007804B2">
      <w:pPr>
        <w:pStyle w:val="ListParagraph"/>
        <w:tabs>
          <w:tab w:val="left" w:pos="567"/>
        </w:tabs>
        <w:spacing w:after="0" w:line="240" w:lineRule="auto"/>
        <w:ind w:left="0"/>
        <w:jc w:val="both"/>
        <w:rPr>
          <w:rFonts w:ascii="Verdana" w:hAnsi="Verdana" w:cs="Verdana"/>
          <w:sz w:val="20"/>
          <w:szCs w:val="20"/>
          <w:lang w:val="es-ES"/>
        </w:rPr>
      </w:pPr>
    </w:p>
    <w:p w:rsidR="007804B2" w:rsidRDefault="007804B2">
      <w:pPr>
        <w:pStyle w:val="ListParagraph"/>
        <w:widowControl w:val="0"/>
        <w:numPr>
          <w:ilvl w:val="0"/>
          <w:numId w:val="15"/>
        </w:numPr>
        <w:tabs>
          <w:tab w:val="left" w:pos="567"/>
        </w:tabs>
        <w:autoSpaceDE w:val="0"/>
        <w:autoSpaceDN w:val="0"/>
        <w:adjustRightInd w:val="0"/>
        <w:spacing w:after="0" w:line="240" w:lineRule="auto"/>
        <w:ind w:left="0" w:right="22" w:firstLine="0"/>
        <w:jc w:val="both"/>
        <w:rPr>
          <w:rFonts w:ascii="Verdana" w:hAnsi="Verdana" w:cs="Verdana"/>
          <w:sz w:val="20"/>
          <w:szCs w:val="20"/>
          <w:lang w:val="es-ES"/>
        </w:rPr>
      </w:pPr>
      <w:r>
        <w:rPr>
          <w:rFonts w:ascii="Verdana" w:hAnsi="Verdana" w:cs="Verdana"/>
          <w:sz w:val="20"/>
          <w:szCs w:val="20"/>
          <w:lang w:val="es-ES"/>
        </w:rPr>
        <w:t xml:space="preserve">Disponer que la Secretaría de la Corte, de conformidad con lo dispuesto en el artículo 55.3 del Reglamento, con posterioridad a la audiencia pública indique a la </w:t>
      </w:r>
      <w:r>
        <w:rPr>
          <w:rFonts w:ascii="Verdana" w:hAnsi="Verdana" w:cs="Verdana"/>
          <w:sz w:val="20"/>
          <w:szCs w:val="20"/>
          <w:lang w:val="es-ES"/>
        </w:rPr>
        <w:lastRenderedPageBreak/>
        <w:t>Comisión Interamericana, los representantes y al Estado, a la brevedad posible, el enlace en el que se encontrará disponible la grabación de la audiencia pública del presente caso.</w:t>
      </w:r>
    </w:p>
    <w:p w:rsidR="000C5055" w:rsidRDefault="000C5055">
      <w:pPr>
        <w:pStyle w:val="ListParagraph"/>
        <w:tabs>
          <w:tab w:val="left" w:pos="567"/>
        </w:tabs>
        <w:spacing w:after="0" w:line="240" w:lineRule="auto"/>
        <w:ind w:left="0"/>
        <w:jc w:val="both"/>
        <w:rPr>
          <w:rFonts w:ascii="Verdana" w:hAnsi="Verdana" w:cs="Verdana"/>
          <w:sz w:val="20"/>
          <w:szCs w:val="20"/>
          <w:lang w:val="es-ES"/>
        </w:rPr>
      </w:pPr>
    </w:p>
    <w:p w:rsidR="007804B2" w:rsidRDefault="007804B2" w:rsidP="004A1539">
      <w:pPr>
        <w:pStyle w:val="ListParagraph"/>
        <w:widowControl w:val="0"/>
        <w:numPr>
          <w:ilvl w:val="0"/>
          <w:numId w:val="15"/>
        </w:numPr>
        <w:tabs>
          <w:tab w:val="left" w:pos="567"/>
        </w:tabs>
        <w:autoSpaceDE w:val="0"/>
        <w:autoSpaceDN w:val="0"/>
        <w:adjustRightInd w:val="0"/>
        <w:spacing w:after="0" w:line="240" w:lineRule="auto"/>
        <w:ind w:left="0" w:right="22" w:firstLine="0"/>
        <w:jc w:val="both"/>
        <w:rPr>
          <w:rFonts w:ascii="Verdana" w:hAnsi="Verdana" w:cs="Verdana"/>
          <w:sz w:val="20"/>
          <w:szCs w:val="20"/>
          <w:lang w:val="es-ES"/>
        </w:rPr>
      </w:pPr>
      <w:r>
        <w:rPr>
          <w:rFonts w:ascii="Verdana" w:hAnsi="Verdana" w:cs="Verdana"/>
          <w:sz w:val="20"/>
          <w:szCs w:val="20"/>
          <w:lang w:val="es-ES"/>
        </w:rPr>
        <w:t>Informar a la Comisión Interamericana, a los representantes y al Estado que cuentan con un plazo hasta el 7 de marzo de 2014 para presentar sus alegatos finales escritos y observaciones finales escritas, respectivamente, en relación con las excepciones preliminares y eventuales fondo, reparaciones y costas en el presente caso. Este plazo es improrrogable.</w:t>
      </w:r>
    </w:p>
    <w:p w:rsidR="007804B2" w:rsidRPr="005F57AA" w:rsidRDefault="007804B2" w:rsidP="005F57AA">
      <w:pPr>
        <w:pStyle w:val="ListParagraph"/>
        <w:widowControl w:val="0"/>
        <w:tabs>
          <w:tab w:val="left" w:pos="567"/>
        </w:tabs>
        <w:autoSpaceDE w:val="0"/>
        <w:autoSpaceDN w:val="0"/>
        <w:adjustRightInd w:val="0"/>
        <w:spacing w:after="0" w:line="240" w:lineRule="auto"/>
        <w:ind w:left="0" w:right="22"/>
        <w:jc w:val="both"/>
        <w:rPr>
          <w:rFonts w:ascii="Verdana" w:hAnsi="Verdana" w:cs="Verdana"/>
          <w:sz w:val="20"/>
          <w:szCs w:val="20"/>
          <w:lang w:val="es-ES"/>
        </w:rPr>
      </w:pPr>
    </w:p>
    <w:p w:rsidR="007804B2" w:rsidRPr="000C5055" w:rsidRDefault="007804B2" w:rsidP="00572B63">
      <w:pPr>
        <w:pStyle w:val="ListParagraph"/>
        <w:widowControl w:val="0"/>
        <w:numPr>
          <w:ilvl w:val="0"/>
          <w:numId w:val="15"/>
        </w:numPr>
        <w:tabs>
          <w:tab w:val="left" w:pos="567"/>
        </w:tabs>
        <w:autoSpaceDE w:val="0"/>
        <w:autoSpaceDN w:val="0"/>
        <w:adjustRightInd w:val="0"/>
        <w:spacing w:after="0" w:line="240" w:lineRule="auto"/>
        <w:ind w:left="0" w:right="22" w:firstLine="0"/>
        <w:jc w:val="both"/>
        <w:rPr>
          <w:rFonts w:ascii="Verdana" w:hAnsi="Verdana" w:cs="Verdana"/>
          <w:sz w:val="20"/>
          <w:szCs w:val="20"/>
        </w:rPr>
      </w:pPr>
      <w:r w:rsidRPr="00EF411C">
        <w:rPr>
          <w:rFonts w:ascii="Verdana" w:hAnsi="Verdana" w:cs="Verdana"/>
          <w:color w:val="000000"/>
          <w:sz w:val="20"/>
          <w:szCs w:val="20"/>
          <w:lang w:val="es-CR"/>
        </w:rPr>
        <w:t>Disponer, de conformidad con el artículo 4 del Reglamento de la Corte sobre el Funcionamiento del Fondo de Asistencia Legal de Víctimas, que la Se</w:t>
      </w:r>
      <w:r w:rsidRPr="00DD421D">
        <w:rPr>
          <w:rFonts w:ascii="Verdana" w:hAnsi="Verdana" w:cs="Verdana"/>
          <w:color w:val="000000"/>
          <w:sz w:val="20"/>
          <w:szCs w:val="20"/>
          <w:lang w:val="es-CR"/>
        </w:rPr>
        <w:t>cretaría del Tribunal abra un expediente de gastos, donde se documentará cada una de las erogaciones que se realicen con el Fondo de Asistencia Legal de Víctimas.</w:t>
      </w:r>
    </w:p>
    <w:p w:rsidR="007804B2" w:rsidRDefault="007804B2">
      <w:pPr>
        <w:pStyle w:val="ListParagraph"/>
        <w:tabs>
          <w:tab w:val="left" w:pos="567"/>
        </w:tabs>
        <w:spacing w:after="0" w:line="240" w:lineRule="auto"/>
        <w:ind w:left="0"/>
        <w:jc w:val="both"/>
        <w:rPr>
          <w:rFonts w:ascii="Verdana" w:hAnsi="Verdana" w:cs="Verdana"/>
          <w:sz w:val="20"/>
          <w:szCs w:val="20"/>
          <w:lang w:val="es-ES"/>
        </w:rPr>
      </w:pPr>
    </w:p>
    <w:p w:rsidR="007804B2" w:rsidRDefault="007804B2">
      <w:pPr>
        <w:pStyle w:val="ListParagraph"/>
        <w:widowControl w:val="0"/>
        <w:numPr>
          <w:ilvl w:val="0"/>
          <w:numId w:val="15"/>
        </w:numPr>
        <w:tabs>
          <w:tab w:val="left" w:pos="567"/>
        </w:tabs>
        <w:autoSpaceDE w:val="0"/>
        <w:autoSpaceDN w:val="0"/>
        <w:adjustRightInd w:val="0"/>
        <w:spacing w:after="0" w:line="240" w:lineRule="auto"/>
        <w:ind w:left="0" w:right="22" w:firstLine="0"/>
        <w:jc w:val="both"/>
        <w:rPr>
          <w:rFonts w:ascii="Verdana" w:hAnsi="Verdana" w:cs="Verdana"/>
          <w:sz w:val="20"/>
          <w:szCs w:val="20"/>
          <w:lang w:val="es-ES"/>
        </w:rPr>
      </w:pPr>
      <w:r>
        <w:rPr>
          <w:rFonts w:ascii="Verdana" w:hAnsi="Verdana" w:cs="Verdana"/>
          <w:sz w:val="20"/>
          <w:szCs w:val="20"/>
          <w:lang w:val="es-ES"/>
        </w:rPr>
        <w:t>Disponer que la Secretaría de la Corte Interamericana notifique la presente Resolución a la Comisión Interamericana de Derechos Humanos, a los representantes de las presuntas víctimas y a la República Bolivariana de Venezuela.</w:t>
      </w:r>
    </w:p>
    <w:p w:rsidR="007804B2" w:rsidRDefault="007804B2">
      <w:pPr>
        <w:pStyle w:val="ListParagraph"/>
        <w:spacing w:after="0" w:line="240" w:lineRule="auto"/>
        <w:jc w:val="both"/>
        <w:rPr>
          <w:rFonts w:ascii="Verdana" w:hAnsi="Verdana" w:cs="Verdana"/>
          <w:sz w:val="20"/>
          <w:szCs w:val="20"/>
          <w:lang w:val="es-ES"/>
        </w:rPr>
      </w:pPr>
    </w:p>
    <w:p w:rsidR="007804B2" w:rsidRDefault="007804B2">
      <w:pPr>
        <w:widowControl w:val="0"/>
        <w:autoSpaceDE w:val="0"/>
        <w:autoSpaceDN w:val="0"/>
        <w:adjustRightInd w:val="0"/>
        <w:spacing w:after="0" w:line="240" w:lineRule="auto"/>
        <w:ind w:right="22"/>
        <w:jc w:val="both"/>
        <w:rPr>
          <w:rFonts w:ascii="Verdana" w:hAnsi="Verdana" w:cs="Verdana"/>
          <w:sz w:val="20"/>
          <w:szCs w:val="20"/>
          <w:lang w:val="es-ES"/>
        </w:rPr>
      </w:pPr>
    </w:p>
    <w:p w:rsidR="007804B2" w:rsidRDefault="007804B2">
      <w:pPr>
        <w:widowControl w:val="0"/>
        <w:tabs>
          <w:tab w:val="left" w:pos="720"/>
        </w:tabs>
        <w:autoSpaceDE w:val="0"/>
        <w:autoSpaceDN w:val="0"/>
        <w:adjustRightInd w:val="0"/>
        <w:spacing w:after="0" w:line="240" w:lineRule="auto"/>
        <w:jc w:val="right"/>
        <w:rPr>
          <w:rFonts w:ascii="Verdana" w:hAnsi="Verdana" w:cs="Verdana"/>
          <w:sz w:val="20"/>
          <w:szCs w:val="20"/>
        </w:rPr>
      </w:pPr>
    </w:p>
    <w:p w:rsidR="000C5055" w:rsidRDefault="000C5055">
      <w:pPr>
        <w:widowControl w:val="0"/>
        <w:tabs>
          <w:tab w:val="left" w:pos="720"/>
        </w:tabs>
        <w:autoSpaceDE w:val="0"/>
        <w:autoSpaceDN w:val="0"/>
        <w:adjustRightInd w:val="0"/>
        <w:spacing w:after="0" w:line="240" w:lineRule="auto"/>
        <w:jc w:val="right"/>
        <w:rPr>
          <w:rFonts w:ascii="Verdana" w:hAnsi="Verdana" w:cs="Verdana"/>
          <w:sz w:val="20"/>
          <w:szCs w:val="20"/>
        </w:rPr>
      </w:pPr>
    </w:p>
    <w:p w:rsidR="00C94FAD" w:rsidRDefault="00C94FAD">
      <w:pPr>
        <w:widowControl w:val="0"/>
        <w:tabs>
          <w:tab w:val="left" w:pos="720"/>
        </w:tabs>
        <w:autoSpaceDE w:val="0"/>
        <w:autoSpaceDN w:val="0"/>
        <w:adjustRightInd w:val="0"/>
        <w:spacing w:after="0" w:line="240" w:lineRule="auto"/>
        <w:jc w:val="right"/>
        <w:rPr>
          <w:rFonts w:ascii="Verdana" w:hAnsi="Verdana" w:cs="Verdana"/>
          <w:sz w:val="20"/>
          <w:szCs w:val="20"/>
        </w:rPr>
      </w:pPr>
    </w:p>
    <w:p w:rsidR="00C94FAD" w:rsidRDefault="00C94FAD">
      <w:pPr>
        <w:widowControl w:val="0"/>
        <w:tabs>
          <w:tab w:val="left" w:pos="720"/>
        </w:tabs>
        <w:autoSpaceDE w:val="0"/>
        <w:autoSpaceDN w:val="0"/>
        <w:adjustRightInd w:val="0"/>
        <w:spacing w:after="0" w:line="240" w:lineRule="auto"/>
        <w:jc w:val="right"/>
        <w:rPr>
          <w:rFonts w:ascii="Verdana" w:hAnsi="Verdana" w:cs="Verdana"/>
          <w:sz w:val="20"/>
          <w:szCs w:val="20"/>
        </w:rPr>
      </w:pPr>
    </w:p>
    <w:p w:rsidR="000C5055" w:rsidRDefault="000C5055">
      <w:pPr>
        <w:widowControl w:val="0"/>
        <w:tabs>
          <w:tab w:val="left" w:pos="720"/>
        </w:tabs>
        <w:autoSpaceDE w:val="0"/>
        <w:autoSpaceDN w:val="0"/>
        <w:adjustRightInd w:val="0"/>
        <w:spacing w:after="0" w:line="240" w:lineRule="auto"/>
        <w:jc w:val="right"/>
        <w:rPr>
          <w:rFonts w:ascii="Verdana" w:hAnsi="Verdana" w:cs="Verdana"/>
          <w:sz w:val="20"/>
          <w:szCs w:val="20"/>
        </w:rPr>
      </w:pPr>
    </w:p>
    <w:p w:rsidR="007804B2" w:rsidRDefault="007804B2" w:rsidP="00BF133C">
      <w:pPr>
        <w:widowControl w:val="0"/>
        <w:tabs>
          <w:tab w:val="left" w:pos="720"/>
        </w:tabs>
        <w:autoSpaceDE w:val="0"/>
        <w:autoSpaceDN w:val="0"/>
        <w:adjustRightInd w:val="0"/>
        <w:spacing w:after="0" w:line="240" w:lineRule="auto"/>
        <w:jc w:val="right"/>
        <w:outlineLvl w:val="0"/>
        <w:rPr>
          <w:rFonts w:ascii="Verdana" w:hAnsi="Verdana" w:cs="Verdana"/>
          <w:sz w:val="20"/>
          <w:szCs w:val="20"/>
        </w:rPr>
      </w:pPr>
      <w:r>
        <w:rPr>
          <w:rFonts w:ascii="Verdana" w:hAnsi="Verdana" w:cs="Verdana"/>
          <w:sz w:val="20"/>
          <w:szCs w:val="20"/>
        </w:rPr>
        <w:t>Diego García-Sayán</w:t>
      </w:r>
    </w:p>
    <w:p w:rsidR="007804B2" w:rsidRDefault="007804B2">
      <w:pPr>
        <w:widowControl w:val="0"/>
        <w:tabs>
          <w:tab w:val="left" w:pos="720"/>
        </w:tabs>
        <w:autoSpaceDE w:val="0"/>
        <w:autoSpaceDN w:val="0"/>
        <w:adjustRightInd w:val="0"/>
        <w:spacing w:after="0" w:line="240" w:lineRule="auto"/>
        <w:ind w:right="540"/>
        <w:jc w:val="right"/>
        <w:rPr>
          <w:rFonts w:ascii="Verdana" w:hAnsi="Verdana" w:cs="Verdana"/>
          <w:sz w:val="20"/>
          <w:szCs w:val="20"/>
        </w:rPr>
      </w:pPr>
      <w:r>
        <w:rPr>
          <w:rFonts w:ascii="Verdana" w:hAnsi="Verdana" w:cs="Verdana"/>
          <w:sz w:val="20"/>
          <w:szCs w:val="20"/>
        </w:rPr>
        <w:t>Presidente</w:t>
      </w:r>
    </w:p>
    <w:p w:rsidR="007804B2" w:rsidRDefault="007804B2">
      <w:pPr>
        <w:widowControl w:val="0"/>
        <w:tabs>
          <w:tab w:val="left" w:pos="720"/>
        </w:tabs>
        <w:autoSpaceDE w:val="0"/>
        <w:autoSpaceDN w:val="0"/>
        <w:adjustRightInd w:val="0"/>
        <w:spacing w:after="0" w:line="240" w:lineRule="auto"/>
        <w:jc w:val="both"/>
        <w:rPr>
          <w:rFonts w:ascii="Verdana" w:hAnsi="Verdana" w:cs="Verdana"/>
          <w:sz w:val="20"/>
          <w:szCs w:val="20"/>
        </w:rPr>
      </w:pPr>
    </w:p>
    <w:p w:rsidR="007804B2" w:rsidRDefault="007804B2">
      <w:pPr>
        <w:widowControl w:val="0"/>
        <w:tabs>
          <w:tab w:val="left" w:pos="720"/>
        </w:tabs>
        <w:autoSpaceDE w:val="0"/>
        <w:autoSpaceDN w:val="0"/>
        <w:adjustRightInd w:val="0"/>
        <w:spacing w:after="0" w:line="240" w:lineRule="auto"/>
        <w:jc w:val="both"/>
        <w:rPr>
          <w:rFonts w:ascii="Verdana" w:hAnsi="Verdana" w:cs="Verdana"/>
          <w:sz w:val="20"/>
          <w:szCs w:val="20"/>
        </w:rPr>
      </w:pPr>
    </w:p>
    <w:p w:rsidR="007804B2" w:rsidRDefault="007804B2" w:rsidP="00BF133C">
      <w:pPr>
        <w:widowControl w:val="0"/>
        <w:tabs>
          <w:tab w:val="left" w:pos="720"/>
        </w:tabs>
        <w:autoSpaceDE w:val="0"/>
        <w:autoSpaceDN w:val="0"/>
        <w:adjustRightInd w:val="0"/>
        <w:spacing w:after="0" w:line="240" w:lineRule="auto"/>
        <w:jc w:val="both"/>
        <w:outlineLvl w:val="0"/>
        <w:rPr>
          <w:rFonts w:ascii="Verdana" w:hAnsi="Verdana" w:cs="Verdana"/>
          <w:sz w:val="20"/>
          <w:szCs w:val="20"/>
        </w:rPr>
      </w:pPr>
      <w:r>
        <w:rPr>
          <w:rFonts w:ascii="Verdana" w:hAnsi="Verdana" w:cs="Verdana"/>
          <w:sz w:val="20"/>
          <w:szCs w:val="20"/>
        </w:rPr>
        <w:t>Pablo Saavedra Alessandri</w:t>
      </w:r>
    </w:p>
    <w:p w:rsidR="007804B2" w:rsidRDefault="007804B2">
      <w:pPr>
        <w:widowControl w:val="0"/>
        <w:tabs>
          <w:tab w:val="left" w:pos="720"/>
        </w:tabs>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ab/>
        <w:t xml:space="preserve">  Secretario</w:t>
      </w:r>
    </w:p>
    <w:p w:rsidR="007F2F7D" w:rsidRDefault="007F2F7D">
      <w:pPr>
        <w:widowControl w:val="0"/>
        <w:tabs>
          <w:tab w:val="left" w:pos="720"/>
        </w:tabs>
        <w:autoSpaceDE w:val="0"/>
        <w:autoSpaceDN w:val="0"/>
        <w:adjustRightInd w:val="0"/>
        <w:spacing w:after="0" w:line="240" w:lineRule="auto"/>
        <w:jc w:val="both"/>
        <w:rPr>
          <w:rFonts w:ascii="Verdana" w:hAnsi="Verdana" w:cs="Verdana"/>
          <w:sz w:val="20"/>
          <w:szCs w:val="20"/>
        </w:rPr>
      </w:pPr>
    </w:p>
    <w:p w:rsidR="00C94FAD" w:rsidRDefault="00C94FAD">
      <w:pPr>
        <w:widowControl w:val="0"/>
        <w:tabs>
          <w:tab w:val="left" w:pos="720"/>
        </w:tabs>
        <w:autoSpaceDE w:val="0"/>
        <w:autoSpaceDN w:val="0"/>
        <w:adjustRightInd w:val="0"/>
        <w:spacing w:after="0" w:line="240" w:lineRule="auto"/>
        <w:jc w:val="both"/>
        <w:rPr>
          <w:rFonts w:ascii="Verdana" w:hAnsi="Verdana" w:cs="Verdana"/>
          <w:sz w:val="20"/>
          <w:szCs w:val="20"/>
        </w:rPr>
      </w:pPr>
    </w:p>
    <w:p w:rsidR="00C94FAD" w:rsidRDefault="00C94FAD">
      <w:pPr>
        <w:widowControl w:val="0"/>
        <w:tabs>
          <w:tab w:val="left" w:pos="720"/>
        </w:tabs>
        <w:autoSpaceDE w:val="0"/>
        <w:autoSpaceDN w:val="0"/>
        <w:adjustRightInd w:val="0"/>
        <w:spacing w:after="0" w:line="240" w:lineRule="auto"/>
        <w:jc w:val="both"/>
        <w:rPr>
          <w:rFonts w:ascii="Verdana" w:hAnsi="Verdana" w:cs="Verdana"/>
          <w:sz w:val="20"/>
          <w:szCs w:val="20"/>
        </w:rPr>
      </w:pPr>
    </w:p>
    <w:p w:rsidR="007804B2" w:rsidRDefault="007804B2">
      <w:pPr>
        <w:widowControl w:val="0"/>
        <w:tabs>
          <w:tab w:val="left" w:pos="720"/>
        </w:tabs>
        <w:autoSpaceDE w:val="0"/>
        <w:autoSpaceDN w:val="0"/>
        <w:adjustRightInd w:val="0"/>
        <w:spacing w:after="0" w:line="240" w:lineRule="auto"/>
        <w:jc w:val="both"/>
        <w:rPr>
          <w:rFonts w:ascii="Verdana" w:hAnsi="Verdana" w:cs="Verdana"/>
          <w:sz w:val="20"/>
          <w:szCs w:val="20"/>
        </w:rPr>
      </w:pPr>
    </w:p>
    <w:p w:rsidR="007804B2" w:rsidRDefault="007804B2">
      <w:pPr>
        <w:widowControl w:val="0"/>
        <w:tabs>
          <w:tab w:val="left" w:pos="720"/>
        </w:tabs>
        <w:autoSpaceDE w:val="0"/>
        <w:autoSpaceDN w:val="0"/>
        <w:adjustRightInd w:val="0"/>
        <w:spacing w:after="0" w:line="240" w:lineRule="auto"/>
        <w:jc w:val="both"/>
        <w:rPr>
          <w:rFonts w:ascii="Verdana" w:hAnsi="Verdana" w:cs="Verdana"/>
          <w:sz w:val="20"/>
          <w:szCs w:val="20"/>
        </w:rPr>
      </w:pPr>
    </w:p>
    <w:p w:rsidR="007804B2" w:rsidRDefault="007804B2">
      <w:pPr>
        <w:widowControl w:val="0"/>
        <w:tabs>
          <w:tab w:val="left" w:pos="720"/>
        </w:tabs>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Comuníquese y ejecútese,</w:t>
      </w:r>
    </w:p>
    <w:p w:rsidR="007804B2" w:rsidRDefault="007804B2">
      <w:pPr>
        <w:widowControl w:val="0"/>
        <w:tabs>
          <w:tab w:val="left" w:pos="720"/>
        </w:tabs>
        <w:autoSpaceDE w:val="0"/>
        <w:autoSpaceDN w:val="0"/>
        <w:adjustRightInd w:val="0"/>
        <w:spacing w:after="0" w:line="240" w:lineRule="auto"/>
        <w:jc w:val="right"/>
        <w:rPr>
          <w:rFonts w:ascii="Verdana" w:hAnsi="Verdana" w:cs="Verdana"/>
          <w:sz w:val="20"/>
          <w:szCs w:val="20"/>
        </w:rPr>
      </w:pPr>
    </w:p>
    <w:p w:rsidR="00C94FAD" w:rsidRDefault="00C94FAD">
      <w:pPr>
        <w:widowControl w:val="0"/>
        <w:tabs>
          <w:tab w:val="left" w:pos="720"/>
        </w:tabs>
        <w:autoSpaceDE w:val="0"/>
        <w:autoSpaceDN w:val="0"/>
        <w:adjustRightInd w:val="0"/>
        <w:spacing w:after="0" w:line="240" w:lineRule="auto"/>
        <w:jc w:val="right"/>
        <w:rPr>
          <w:rFonts w:ascii="Verdana" w:hAnsi="Verdana" w:cs="Verdana"/>
          <w:sz w:val="20"/>
          <w:szCs w:val="20"/>
        </w:rPr>
      </w:pPr>
    </w:p>
    <w:p w:rsidR="00C94FAD" w:rsidRDefault="00C94FAD">
      <w:pPr>
        <w:widowControl w:val="0"/>
        <w:tabs>
          <w:tab w:val="left" w:pos="720"/>
        </w:tabs>
        <w:autoSpaceDE w:val="0"/>
        <w:autoSpaceDN w:val="0"/>
        <w:adjustRightInd w:val="0"/>
        <w:spacing w:after="0" w:line="240" w:lineRule="auto"/>
        <w:jc w:val="right"/>
        <w:rPr>
          <w:rFonts w:ascii="Verdana" w:hAnsi="Verdana" w:cs="Verdana"/>
          <w:sz w:val="20"/>
          <w:szCs w:val="20"/>
        </w:rPr>
      </w:pPr>
      <w:bookmarkStart w:id="2" w:name="_GoBack"/>
      <w:bookmarkEnd w:id="2"/>
    </w:p>
    <w:p w:rsidR="00C94FAD" w:rsidRDefault="00C94FAD">
      <w:pPr>
        <w:widowControl w:val="0"/>
        <w:tabs>
          <w:tab w:val="left" w:pos="720"/>
        </w:tabs>
        <w:autoSpaceDE w:val="0"/>
        <w:autoSpaceDN w:val="0"/>
        <w:adjustRightInd w:val="0"/>
        <w:spacing w:after="0" w:line="240" w:lineRule="auto"/>
        <w:jc w:val="right"/>
        <w:rPr>
          <w:rFonts w:ascii="Verdana" w:hAnsi="Verdana" w:cs="Verdana"/>
          <w:sz w:val="20"/>
          <w:szCs w:val="20"/>
        </w:rPr>
      </w:pPr>
    </w:p>
    <w:p w:rsidR="007804B2" w:rsidRDefault="007804B2">
      <w:pPr>
        <w:widowControl w:val="0"/>
        <w:tabs>
          <w:tab w:val="left" w:pos="720"/>
        </w:tabs>
        <w:autoSpaceDE w:val="0"/>
        <w:autoSpaceDN w:val="0"/>
        <w:adjustRightInd w:val="0"/>
        <w:spacing w:after="0" w:line="240" w:lineRule="auto"/>
        <w:jc w:val="right"/>
        <w:rPr>
          <w:rFonts w:ascii="Verdana" w:hAnsi="Verdana" w:cs="Verdana"/>
          <w:sz w:val="20"/>
          <w:szCs w:val="20"/>
        </w:rPr>
      </w:pPr>
    </w:p>
    <w:p w:rsidR="007804B2" w:rsidRDefault="007804B2" w:rsidP="00BF133C">
      <w:pPr>
        <w:widowControl w:val="0"/>
        <w:tabs>
          <w:tab w:val="left" w:pos="720"/>
        </w:tabs>
        <w:autoSpaceDE w:val="0"/>
        <w:autoSpaceDN w:val="0"/>
        <w:adjustRightInd w:val="0"/>
        <w:spacing w:after="0" w:line="240" w:lineRule="auto"/>
        <w:jc w:val="right"/>
        <w:outlineLvl w:val="0"/>
        <w:rPr>
          <w:rFonts w:ascii="Verdana" w:hAnsi="Verdana" w:cs="Verdana"/>
          <w:sz w:val="20"/>
          <w:szCs w:val="20"/>
        </w:rPr>
      </w:pPr>
      <w:r>
        <w:rPr>
          <w:rFonts w:ascii="Verdana" w:hAnsi="Verdana" w:cs="Verdana"/>
          <w:sz w:val="20"/>
          <w:szCs w:val="20"/>
        </w:rPr>
        <w:t>Diego García-Sayán</w:t>
      </w:r>
    </w:p>
    <w:p w:rsidR="007804B2" w:rsidRDefault="007804B2">
      <w:pPr>
        <w:widowControl w:val="0"/>
        <w:tabs>
          <w:tab w:val="left" w:pos="720"/>
        </w:tabs>
        <w:autoSpaceDE w:val="0"/>
        <w:autoSpaceDN w:val="0"/>
        <w:adjustRightInd w:val="0"/>
        <w:spacing w:after="0" w:line="240" w:lineRule="auto"/>
        <w:ind w:right="540"/>
        <w:jc w:val="right"/>
        <w:rPr>
          <w:rFonts w:ascii="Verdana" w:hAnsi="Verdana" w:cs="Verdana"/>
          <w:sz w:val="20"/>
          <w:szCs w:val="20"/>
        </w:rPr>
      </w:pPr>
      <w:r>
        <w:rPr>
          <w:rFonts w:ascii="Verdana" w:hAnsi="Verdana" w:cs="Verdana"/>
          <w:sz w:val="20"/>
          <w:szCs w:val="20"/>
        </w:rPr>
        <w:t>Presidente</w:t>
      </w:r>
    </w:p>
    <w:p w:rsidR="007804B2" w:rsidRDefault="007804B2">
      <w:pPr>
        <w:widowControl w:val="0"/>
        <w:tabs>
          <w:tab w:val="left" w:pos="720"/>
        </w:tabs>
        <w:autoSpaceDE w:val="0"/>
        <w:autoSpaceDN w:val="0"/>
        <w:adjustRightInd w:val="0"/>
        <w:spacing w:after="0" w:line="240" w:lineRule="auto"/>
        <w:jc w:val="both"/>
        <w:rPr>
          <w:rFonts w:ascii="Verdana" w:hAnsi="Verdana" w:cs="Verdana"/>
          <w:sz w:val="20"/>
          <w:szCs w:val="20"/>
        </w:rPr>
      </w:pPr>
    </w:p>
    <w:p w:rsidR="007804B2" w:rsidRDefault="007804B2">
      <w:pPr>
        <w:widowControl w:val="0"/>
        <w:tabs>
          <w:tab w:val="left" w:pos="720"/>
        </w:tabs>
        <w:autoSpaceDE w:val="0"/>
        <w:autoSpaceDN w:val="0"/>
        <w:adjustRightInd w:val="0"/>
        <w:spacing w:after="0" w:line="240" w:lineRule="auto"/>
        <w:jc w:val="both"/>
        <w:rPr>
          <w:rFonts w:ascii="Verdana" w:hAnsi="Verdana" w:cs="Verdana"/>
          <w:sz w:val="20"/>
          <w:szCs w:val="20"/>
        </w:rPr>
      </w:pPr>
    </w:p>
    <w:p w:rsidR="00C94FAD" w:rsidRDefault="00C94FAD">
      <w:pPr>
        <w:widowControl w:val="0"/>
        <w:tabs>
          <w:tab w:val="left" w:pos="720"/>
        </w:tabs>
        <w:autoSpaceDE w:val="0"/>
        <w:autoSpaceDN w:val="0"/>
        <w:adjustRightInd w:val="0"/>
        <w:spacing w:after="0" w:line="240" w:lineRule="auto"/>
        <w:jc w:val="both"/>
        <w:rPr>
          <w:rFonts w:ascii="Verdana" w:hAnsi="Verdana" w:cs="Verdana"/>
          <w:sz w:val="20"/>
          <w:szCs w:val="20"/>
        </w:rPr>
      </w:pPr>
    </w:p>
    <w:p w:rsidR="00C94FAD" w:rsidRDefault="00C94FAD">
      <w:pPr>
        <w:widowControl w:val="0"/>
        <w:tabs>
          <w:tab w:val="left" w:pos="720"/>
        </w:tabs>
        <w:autoSpaceDE w:val="0"/>
        <w:autoSpaceDN w:val="0"/>
        <w:adjustRightInd w:val="0"/>
        <w:spacing w:after="0" w:line="240" w:lineRule="auto"/>
        <w:jc w:val="both"/>
        <w:rPr>
          <w:rFonts w:ascii="Verdana" w:hAnsi="Verdana" w:cs="Verdana"/>
          <w:sz w:val="20"/>
          <w:szCs w:val="20"/>
        </w:rPr>
      </w:pPr>
    </w:p>
    <w:p w:rsidR="007804B2" w:rsidRDefault="007804B2">
      <w:pPr>
        <w:widowControl w:val="0"/>
        <w:tabs>
          <w:tab w:val="left" w:pos="720"/>
        </w:tabs>
        <w:autoSpaceDE w:val="0"/>
        <w:autoSpaceDN w:val="0"/>
        <w:adjustRightInd w:val="0"/>
        <w:spacing w:after="0" w:line="240" w:lineRule="auto"/>
        <w:jc w:val="both"/>
        <w:rPr>
          <w:rFonts w:ascii="Verdana" w:hAnsi="Verdana" w:cs="Verdana"/>
          <w:sz w:val="20"/>
          <w:szCs w:val="20"/>
        </w:rPr>
      </w:pPr>
    </w:p>
    <w:p w:rsidR="007804B2" w:rsidRDefault="007804B2" w:rsidP="00BF133C">
      <w:pPr>
        <w:widowControl w:val="0"/>
        <w:tabs>
          <w:tab w:val="left" w:pos="720"/>
        </w:tabs>
        <w:autoSpaceDE w:val="0"/>
        <w:autoSpaceDN w:val="0"/>
        <w:adjustRightInd w:val="0"/>
        <w:spacing w:after="0" w:line="240" w:lineRule="auto"/>
        <w:jc w:val="both"/>
        <w:outlineLvl w:val="0"/>
        <w:rPr>
          <w:rFonts w:ascii="Verdana" w:hAnsi="Verdana" w:cs="Verdana"/>
          <w:sz w:val="20"/>
          <w:szCs w:val="20"/>
        </w:rPr>
      </w:pPr>
      <w:r>
        <w:rPr>
          <w:rFonts w:ascii="Verdana" w:hAnsi="Verdana" w:cs="Verdana"/>
          <w:sz w:val="20"/>
          <w:szCs w:val="20"/>
        </w:rPr>
        <w:t>Pablo Saavedra Alessandri</w:t>
      </w:r>
    </w:p>
    <w:p w:rsidR="007804B2" w:rsidRDefault="007804B2">
      <w:pPr>
        <w:widowControl w:val="0"/>
        <w:autoSpaceDE w:val="0"/>
        <w:autoSpaceDN w:val="0"/>
        <w:adjustRightInd w:val="0"/>
        <w:spacing w:after="0" w:line="240" w:lineRule="auto"/>
        <w:ind w:right="22"/>
        <w:jc w:val="both"/>
        <w:rPr>
          <w:rFonts w:ascii="Verdana" w:hAnsi="Verdana" w:cs="Verdana"/>
          <w:sz w:val="20"/>
          <w:szCs w:val="20"/>
          <w:lang w:val="es-ES"/>
        </w:rPr>
      </w:pPr>
      <w:r>
        <w:rPr>
          <w:rFonts w:ascii="Verdana" w:hAnsi="Verdana" w:cs="Verdana"/>
          <w:sz w:val="20"/>
          <w:szCs w:val="20"/>
        </w:rPr>
        <w:tab/>
        <w:t xml:space="preserve">  Secretario</w:t>
      </w:r>
    </w:p>
    <w:sectPr w:rsidR="007804B2" w:rsidSect="00580C8A">
      <w:headerReference w:type="default" r:id="rId7"/>
      <w:pgSz w:w="12240" w:h="15840"/>
      <w:pgMar w:top="1417" w:right="1701" w:bottom="141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AB9" w:rsidRDefault="009D2AB9" w:rsidP="00C043BB">
      <w:pPr>
        <w:spacing w:after="0" w:line="240" w:lineRule="auto"/>
      </w:pPr>
      <w:r>
        <w:separator/>
      </w:r>
    </w:p>
  </w:endnote>
  <w:endnote w:type="continuationSeparator" w:id="0">
    <w:p w:rsidR="009D2AB9" w:rsidRDefault="009D2AB9" w:rsidP="00C04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AB9" w:rsidRDefault="009D2AB9" w:rsidP="00C043BB">
      <w:pPr>
        <w:spacing w:after="0" w:line="240" w:lineRule="auto"/>
      </w:pPr>
      <w:r>
        <w:separator/>
      </w:r>
    </w:p>
  </w:footnote>
  <w:footnote w:type="continuationSeparator" w:id="0">
    <w:p w:rsidR="009D2AB9" w:rsidRDefault="009D2AB9" w:rsidP="00C043BB">
      <w:pPr>
        <w:spacing w:after="0" w:line="240" w:lineRule="auto"/>
      </w:pPr>
      <w:r>
        <w:continuationSeparator/>
      </w:r>
    </w:p>
  </w:footnote>
  <w:footnote w:id="1">
    <w:p w:rsidR="007804B2" w:rsidRDefault="007804B2">
      <w:pPr>
        <w:pStyle w:val="FootnoteText"/>
        <w:tabs>
          <w:tab w:val="left" w:pos="567"/>
        </w:tabs>
        <w:spacing w:after="60"/>
        <w:jc w:val="both"/>
      </w:pPr>
      <w:r w:rsidRPr="00F870FE">
        <w:rPr>
          <w:rStyle w:val="FootnoteReference"/>
          <w:rFonts w:ascii="Verdana" w:hAnsi="Verdana" w:cs="Verdana"/>
          <w:sz w:val="16"/>
          <w:szCs w:val="16"/>
        </w:rPr>
        <w:footnoteRef/>
      </w:r>
      <w:r w:rsidRPr="00F870FE">
        <w:rPr>
          <w:rFonts w:ascii="Verdana" w:hAnsi="Verdana" w:cs="Verdana"/>
          <w:sz w:val="16"/>
          <w:szCs w:val="16"/>
        </w:rPr>
        <w:t xml:space="preserve"> </w:t>
      </w:r>
      <w:r w:rsidRPr="00F870FE">
        <w:rPr>
          <w:rFonts w:ascii="Verdana" w:hAnsi="Verdana" w:cs="Verdana"/>
          <w:sz w:val="16"/>
          <w:szCs w:val="16"/>
        </w:rPr>
        <w:tab/>
      </w:r>
      <w:r w:rsidRPr="00F870FE">
        <w:rPr>
          <w:rFonts w:ascii="Verdana" w:hAnsi="Verdana" w:cs="Verdana"/>
          <w:i/>
          <w:iCs/>
          <w:sz w:val="16"/>
          <w:szCs w:val="16"/>
        </w:rPr>
        <w:t xml:space="preserve">Caso Pedro Miguel Vera </w:t>
      </w:r>
      <w:proofErr w:type="spellStart"/>
      <w:r w:rsidRPr="00F870FE">
        <w:rPr>
          <w:rFonts w:ascii="Verdana" w:hAnsi="Verdana" w:cs="Verdana"/>
          <w:i/>
          <w:iCs/>
          <w:sz w:val="16"/>
          <w:szCs w:val="16"/>
        </w:rPr>
        <w:t>Vera</w:t>
      </w:r>
      <w:proofErr w:type="spellEnd"/>
      <w:r w:rsidRPr="00F870FE">
        <w:rPr>
          <w:rFonts w:ascii="Verdana" w:hAnsi="Verdana" w:cs="Verdana"/>
          <w:i/>
          <w:iCs/>
          <w:sz w:val="16"/>
          <w:szCs w:val="16"/>
        </w:rPr>
        <w:t xml:space="preserve"> y otros </w:t>
      </w:r>
      <w:r>
        <w:rPr>
          <w:rFonts w:ascii="Verdana" w:hAnsi="Verdana" w:cs="Verdana"/>
          <w:i/>
          <w:iCs/>
          <w:sz w:val="16"/>
          <w:szCs w:val="16"/>
        </w:rPr>
        <w:t>V</w:t>
      </w:r>
      <w:r w:rsidRPr="00F870FE">
        <w:rPr>
          <w:rFonts w:ascii="Verdana" w:hAnsi="Verdana" w:cs="Verdana"/>
          <w:i/>
          <w:iCs/>
          <w:sz w:val="16"/>
          <w:szCs w:val="16"/>
        </w:rPr>
        <w:t>s Ecuador</w:t>
      </w:r>
      <w:r w:rsidRPr="00F870FE">
        <w:rPr>
          <w:rFonts w:ascii="Verdana" w:hAnsi="Verdana" w:cs="Verdana"/>
          <w:sz w:val="16"/>
          <w:szCs w:val="16"/>
        </w:rPr>
        <w:t xml:space="preserve">. Resolución del Presidente de la Corte Interamericana de Derechos Humanos de 23 de diciembre de 2010, Considerando noveno </w:t>
      </w:r>
      <w:r w:rsidRPr="00DD421D">
        <w:rPr>
          <w:rFonts w:ascii="Verdana" w:hAnsi="Verdana" w:cs="Verdana"/>
          <w:i/>
          <w:iCs/>
          <w:sz w:val="16"/>
          <w:szCs w:val="16"/>
        </w:rPr>
        <w:t>y Caso Rodríguez Vera y otros Vs. Colombia</w:t>
      </w:r>
      <w:r>
        <w:rPr>
          <w:rFonts w:ascii="Verdana" w:hAnsi="Verdana" w:cs="Verdana"/>
          <w:i/>
          <w:iCs/>
          <w:sz w:val="16"/>
          <w:szCs w:val="16"/>
        </w:rPr>
        <w:t>.</w:t>
      </w:r>
      <w:r>
        <w:rPr>
          <w:rFonts w:ascii="Verdana" w:hAnsi="Verdana" w:cs="Verdana"/>
          <w:sz w:val="16"/>
          <w:szCs w:val="16"/>
        </w:rPr>
        <w:t xml:space="preserve"> </w:t>
      </w:r>
      <w:r w:rsidRPr="00F870FE">
        <w:rPr>
          <w:rFonts w:ascii="Verdana" w:hAnsi="Verdana" w:cs="Verdana"/>
          <w:sz w:val="16"/>
          <w:szCs w:val="16"/>
        </w:rPr>
        <w:t xml:space="preserve">Resolución del Presidente de la Corte Interamericana de Derechos Humanos de </w:t>
      </w:r>
      <w:r>
        <w:rPr>
          <w:rFonts w:ascii="Verdana" w:hAnsi="Verdana" w:cs="Verdana"/>
          <w:sz w:val="16"/>
          <w:szCs w:val="16"/>
        </w:rPr>
        <w:t>1</w:t>
      </w:r>
      <w:r w:rsidRPr="00F870FE">
        <w:rPr>
          <w:rFonts w:ascii="Verdana" w:hAnsi="Verdana" w:cs="Verdana"/>
          <w:sz w:val="16"/>
          <w:szCs w:val="16"/>
        </w:rPr>
        <w:t xml:space="preserve">6 de </w:t>
      </w:r>
      <w:r>
        <w:rPr>
          <w:rFonts w:ascii="Verdana" w:hAnsi="Verdana" w:cs="Verdana"/>
          <w:sz w:val="16"/>
          <w:szCs w:val="16"/>
        </w:rPr>
        <w:t>octubre</w:t>
      </w:r>
      <w:r w:rsidRPr="00F870FE">
        <w:rPr>
          <w:rFonts w:ascii="Verdana" w:hAnsi="Verdana" w:cs="Verdana"/>
          <w:sz w:val="16"/>
          <w:szCs w:val="16"/>
        </w:rPr>
        <w:t xml:space="preserve"> de 201</w:t>
      </w:r>
      <w:r>
        <w:rPr>
          <w:rFonts w:ascii="Verdana" w:hAnsi="Verdana" w:cs="Verdana"/>
          <w:sz w:val="16"/>
          <w:szCs w:val="16"/>
        </w:rPr>
        <w:t>3</w:t>
      </w:r>
      <w:r w:rsidRPr="00F870FE">
        <w:rPr>
          <w:rFonts w:ascii="Verdana" w:hAnsi="Verdana" w:cs="Verdana"/>
          <w:sz w:val="16"/>
          <w:szCs w:val="16"/>
        </w:rPr>
        <w:t xml:space="preserve">, Considerando </w:t>
      </w:r>
      <w:r>
        <w:rPr>
          <w:rFonts w:ascii="Verdana" w:hAnsi="Verdana" w:cs="Verdana"/>
          <w:sz w:val="16"/>
          <w:szCs w:val="16"/>
        </w:rPr>
        <w:t xml:space="preserve">sexagésimo. </w:t>
      </w:r>
    </w:p>
  </w:footnote>
  <w:footnote w:id="2">
    <w:p w:rsidR="007804B2" w:rsidRPr="007C17BC" w:rsidRDefault="007804B2">
      <w:pPr>
        <w:pStyle w:val="Default"/>
        <w:tabs>
          <w:tab w:val="left" w:pos="567"/>
        </w:tabs>
        <w:spacing w:after="60"/>
        <w:jc w:val="both"/>
        <w:rPr>
          <w:lang w:val="es-CR"/>
        </w:rPr>
      </w:pPr>
      <w:r w:rsidRPr="00F870FE">
        <w:rPr>
          <w:rStyle w:val="FootnoteReference"/>
          <w:sz w:val="16"/>
          <w:szCs w:val="16"/>
        </w:rPr>
        <w:footnoteRef/>
      </w:r>
      <w:r w:rsidRPr="00F870FE">
        <w:rPr>
          <w:sz w:val="16"/>
          <w:szCs w:val="16"/>
          <w:lang w:val="es-CR"/>
        </w:rPr>
        <w:t xml:space="preserve"> </w:t>
      </w:r>
      <w:r w:rsidRPr="00F870FE">
        <w:rPr>
          <w:sz w:val="16"/>
          <w:szCs w:val="16"/>
          <w:lang w:val="es-CR"/>
        </w:rPr>
        <w:tab/>
        <w:t xml:space="preserve">La declaración de la presunta víctima Ignacio Landaeta Muñoz, padre de </w:t>
      </w:r>
      <w:proofErr w:type="spellStart"/>
      <w:r w:rsidRPr="00F870FE">
        <w:rPr>
          <w:sz w:val="16"/>
          <w:szCs w:val="16"/>
          <w:lang w:val="es-CR"/>
        </w:rPr>
        <w:t>Igmar</w:t>
      </w:r>
      <w:proofErr w:type="spellEnd"/>
      <w:r w:rsidRPr="00F870FE">
        <w:rPr>
          <w:sz w:val="16"/>
          <w:szCs w:val="16"/>
          <w:lang w:val="es-CR"/>
        </w:rPr>
        <w:t xml:space="preserve"> Alexander y Eduardo José, ambos de apellidos Landaeta Mejías, se refiere a las circunstancias en que perdieron la vida sus hijos, así como de las</w:t>
      </w:r>
      <w:r>
        <w:rPr>
          <w:sz w:val="16"/>
          <w:szCs w:val="16"/>
          <w:lang w:val="es-CR"/>
        </w:rPr>
        <w:t xml:space="preserve"> presuntas</w:t>
      </w:r>
      <w:r w:rsidRPr="00F870FE">
        <w:rPr>
          <w:sz w:val="16"/>
          <w:szCs w:val="16"/>
          <w:lang w:val="es-CR"/>
        </w:rPr>
        <w:t xml:space="preserve"> amenazas y hostigamientos de los que </w:t>
      </w:r>
      <w:r>
        <w:rPr>
          <w:sz w:val="16"/>
          <w:szCs w:val="16"/>
          <w:lang w:val="es-CR"/>
        </w:rPr>
        <w:t>habrían sido</w:t>
      </w:r>
      <w:r w:rsidRPr="00F870FE">
        <w:rPr>
          <w:sz w:val="16"/>
          <w:szCs w:val="16"/>
          <w:lang w:val="es-CR"/>
        </w:rPr>
        <w:t xml:space="preserve"> objeto con anterioridad a su muerte. Igualmente, declarar</w:t>
      </w:r>
      <w:r>
        <w:rPr>
          <w:sz w:val="16"/>
          <w:szCs w:val="16"/>
          <w:lang w:val="es-CR"/>
        </w:rPr>
        <w:t>ía</w:t>
      </w:r>
      <w:r w:rsidRPr="00F870FE">
        <w:rPr>
          <w:sz w:val="16"/>
          <w:szCs w:val="16"/>
          <w:lang w:val="es-CR"/>
        </w:rPr>
        <w:t xml:space="preserve"> sobre la</w:t>
      </w:r>
      <w:r>
        <w:rPr>
          <w:sz w:val="16"/>
          <w:szCs w:val="16"/>
          <w:lang w:val="es-CR"/>
        </w:rPr>
        <w:t xml:space="preserve"> alegada</w:t>
      </w:r>
      <w:r w:rsidRPr="00F870FE">
        <w:rPr>
          <w:sz w:val="16"/>
          <w:szCs w:val="16"/>
          <w:lang w:val="es-CR"/>
        </w:rPr>
        <w:t xml:space="preserve"> detención ilegal de Eduardo José y las acciones emprendidas para garantizar su seguridad mientras su hijo se encontraba en detención. También declarar</w:t>
      </w:r>
      <w:r>
        <w:rPr>
          <w:sz w:val="16"/>
          <w:szCs w:val="16"/>
          <w:lang w:val="es-CR"/>
        </w:rPr>
        <w:t>ía</w:t>
      </w:r>
      <w:r w:rsidRPr="00F870FE">
        <w:rPr>
          <w:sz w:val="16"/>
          <w:szCs w:val="16"/>
          <w:lang w:val="es-CR"/>
        </w:rPr>
        <w:t xml:space="preserve"> sobre todas las gestiones que ha realizado para denunciar los hechos y exigir justicia sobre las</w:t>
      </w:r>
      <w:r>
        <w:rPr>
          <w:sz w:val="16"/>
          <w:szCs w:val="16"/>
          <w:lang w:val="es-CR"/>
        </w:rPr>
        <w:t xml:space="preserve"> presuntas</w:t>
      </w:r>
      <w:r w:rsidRPr="00F870FE">
        <w:rPr>
          <w:sz w:val="16"/>
          <w:szCs w:val="16"/>
          <w:lang w:val="es-CR"/>
        </w:rPr>
        <w:t xml:space="preserve"> violaciones a los derechos humanos de los que ha sido víctima. Además, declarar</w:t>
      </w:r>
      <w:r>
        <w:rPr>
          <w:sz w:val="16"/>
          <w:szCs w:val="16"/>
          <w:lang w:val="es-CR"/>
        </w:rPr>
        <w:t>ía</w:t>
      </w:r>
      <w:r w:rsidRPr="00F870FE">
        <w:rPr>
          <w:sz w:val="16"/>
          <w:szCs w:val="16"/>
          <w:lang w:val="es-CR"/>
        </w:rPr>
        <w:t xml:space="preserve"> sobre las </w:t>
      </w:r>
      <w:r>
        <w:rPr>
          <w:sz w:val="16"/>
          <w:szCs w:val="16"/>
          <w:lang w:val="es-CR"/>
        </w:rPr>
        <w:t xml:space="preserve">alegadas </w:t>
      </w:r>
      <w:r w:rsidRPr="00F870FE">
        <w:rPr>
          <w:sz w:val="16"/>
          <w:szCs w:val="16"/>
          <w:lang w:val="es-CR"/>
        </w:rPr>
        <w:t>secuelas emocionales y físicas que ha</w:t>
      </w:r>
      <w:r>
        <w:rPr>
          <w:sz w:val="16"/>
          <w:szCs w:val="16"/>
          <w:lang w:val="es-CR"/>
        </w:rPr>
        <w:t>bría</w:t>
      </w:r>
      <w:r w:rsidRPr="00F870FE">
        <w:rPr>
          <w:sz w:val="16"/>
          <w:szCs w:val="16"/>
          <w:lang w:val="es-CR"/>
        </w:rPr>
        <w:t xml:space="preserve"> sufrido como consecuencia de los hechos y las afectaciones a su proyecto de vida. </w:t>
      </w:r>
    </w:p>
  </w:footnote>
  <w:footnote w:id="3">
    <w:p w:rsidR="007804B2" w:rsidRPr="007C17BC" w:rsidRDefault="007804B2">
      <w:pPr>
        <w:pStyle w:val="Default"/>
        <w:tabs>
          <w:tab w:val="left" w:pos="567"/>
        </w:tabs>
        <w:spacing w:after="60"/>
        <w:jc w:val="both"/>
        <w:rPr>
          <w:lang w:val="es-CR"/>
        </w:rPr>
      </w:pPr>
      <w:r w:rsidRPr="00F870FE">
        <w:rPr>
          <w:rStyle w:val="FootnoteReference"/>
          <w:sz w:val="16"/>
          <w:szCs w:val="16"/>
        </w:rPr>
        <w:footnoteRef/>
      </w:r>
      <w:r w:rsidRPr="00F870FE">
        <w:rPr>
          <w:sz w:val="16"/>
          <w:szCs w:val="16"/>
          <w:lang w:val="es-CR"/>
        </w:rPr>
        <w:t xml:space="preserve"> </w:t>
      </w:r>
      <w:r w:rsidRPr="00F870FE">
        <w:rPr>
          <w:sz w:val="16"/>
          <w:szCs w:val="16"/>
          <w:lang w:val="es-CR"/>
        </w:rPr>
        <w:tab/>
        <w:t xml:space="preserve">La declaración de la presunta víctima María Magdalena Mejías, madre de </w:t>
      </w:r>
      <w:proofErr w:type="spellStart"/>
      <w:r w:rsidRPr="00F870FE">
        <w:rPr>
          <w:sz w:val="16"/>
          <w:szCs w:val="16"/>
          <w:lang w:val="es-CR"/>
        </w:rPr>
        <w:t>Igmar</w:t>
      </w:r>
      <w:proofErr w:type="spellEnd"/>
      <w:r w:rsidRPr="00F870FE">
        <w:rPr>
          <w:sz w:val="16"/>
          <w:szCs w:val="16"/>
          <w:lang w:val="es-CR"/>
        </w:rPr>
        <w:t xml:space="preserve"> Alexander y Eduardo José, ambos de apellidos Landaeta Mejías, se ref</w:t>
      </w:r>
      <w:r>
        <w:rPr>
          <w:sz w:val="16"/>
          <w:szCs w:val="16"/>
          <w:lang w:val="es-CR"/>
        </w:rPr>
        <w:t>eriría</w:t>
      </w:r>
      <w:r w:rsidRPr="00F870FE">
        <w:rPr>
          <w:sz w:val="16"/>
          <w:szCs w:val="16"/>
          <w:lang w:val="es-CR"/>
        </w:rPr>
        <w:t xml:space="preserve"> a las circunstancias en que perdieron la vida sus hijos, así como de las </w:t>
      </w:r>
      <w:r>
        <w:rPr>
          <w:sz w:val="16"/>
          <w:szCs w:val="16"/>
          <w:lang w:val="es-CR"/>
        </w:rPr>
        <w:t xml:space="preserve">presuntas </w:t>
      </w:r>
      <w:r w:rsidRPr="00F870FE">
        <w:rPr>
          <w:sz w:val="16"/>
          <w:szCs w:val="16"/>
          <w:lang w:val="es-CR"/>
        </w:rPr>
        <w:t xml:space="preserve">amenazas y hostigamientos de los que </w:t>
      </w:r>
      <w:r>
        <w:rPr>
          <w:sz w:val="16"/>
          <w:szCs w:val="16"/>
          <w:lang w:val="es-CR"/>
        </w:rPr>
        <w:t>habrían sido</w:t>
      </w:r>
      <w:r w:rsidRPr="00F870FE">
        <w:rPr>
          <w:sz w:val="16"/>
          <w:szCs w:val="16"/>
          <w:lang w:val="es-CR"/>
        </w:rPr>
        <w:t xml:space="preserve"> objeto con anterioridad a su muerte. Igualmente, declarar</w:t>
      </w:r>
      <w:r>
        <w:rPr>
          <w:sz w:val="16"/>
          <w:szCs w:val="16"/>
          <w:lang w:val="es-CR"/>
        </w:rPr>
        <w:t xml:space="preserve">ía </w:t>
      </w:r>
      <w:r w:rsidRPr="00F870FE">
        <w:rPr>
          <w:sz w:val="16"/>
          <w:szCs w:val="16"/>
          <w:lang w:val="es-CR"/>
        </w:rPr>
        <w:t>sobre la</w:t>
      </w:r>
      <w:r>
        <w:rPr>
          <w:sz w:val="16"/>
          <w:szCs w:val="16"/>
          <w:lang w:val="es-CR"/>
        </w:rPr>
        <w:t xml:space="preserve"> presunta</w:t>
      </w:r>
      <w:r w:rsidRPr="00F870FE">
        <w:rPr>
          <w:sz w:val="16"/>
          <w:szCs w:val="16"/>
          <w:lang w:val="es-CR"/>
        </w:rPr>
        <w:t xml:space="preserve"> detención ilegal de Eduardo José y las acciones emprendidas para garantizar su seguridad mientras su hijo se encontraba en detención. También declarar</w:t>
      </w:r>
      <w:r>
        <w:rPr>
          <w:sz w:val="16"/>
          <w:szCs w:val="16"/>
          <w:lang w:val="es-CR"/>
        </w:rPr>
        <w:t>ía</w:t>
      </w:r>
      <w:r w:rsidRPr="00F870FE">
        <w:rPr>
          <w:sz w:val="16"/>
          <w:szCs w:val="16"/>
          <w:lang w:val="es-CR"/>
        </w:rPr>
        <w:t xml:space="preserve"> sobre todas las gestiones que ha realizado para denunciar los hechos y exigir justicia sobre las</w:t>
      </w:r>
      <w:r>
        <w:rPr>
          <w:sz w:val="16"/>
          <w:szCs w:val="16"/>
          <w:lang w:val="es-CR"/>
        </w:rPr>
        <w:t xml:space="preserve"> presuntas </w:t>
      </w:r>
      <w:r w:rsidRPr="00F870FE">
        <w:rPr>
          <w:sz w:val="16"/>
          <w:szCs w:val="16"/>
          <w:lang w:val="es-CR"/>
        </w:rPr>
        <w:t xml:space="preserve"> violaciones a los derechos humanos de los que ha</w:t>
      </w:r>
      <w:r>
        <w:rPr>
          <w:sz w:val="16"/>
          <w:szCs w:val="16"/>
          <w:lang w:val="es-CR"/>
        </w:rPr>
        <w:t>bría</w:t>
      </w:r>
      <w:r w:rsidRPr="00F870FE">
        <w:rPr>
          <w:sz w:val="16"/>
          <w:szCs w:val="16"/>
          <w:lang w:val="es-CR"/>
        </w:rPr>
        <w:t xml:space="preserve"> sido víctima. Además, declarar</w:t>
      </w:r>
      <w:r>
        <w:rPr>
          <w:sz w:val="16"/>
          <w:szCs w:val="16"/>
          <w:lang w:val="es-CR"/>
        </w:rPr>
        <w:t>ía</w:t>
      </w:r>
      <w:r w:rsidRPr="00F870FE">
        <w:rPr>
          <w:sz w:val="16"/>
          <w:szCs w:val="16"/>
          <w:lang w:val="es-CR"/>
        </w:rPr>
        <w:t xml:space="preserve"> sobre las</w:t>
      </w:r>
      <w:r>
        <w:rPr>
          <w:sz w:val="16"/>
          <w:szCs w:val="16"/>
          <w:lang w:val="es-CR"/>
        </w:rPr>
        <w:t xml:space="preserve"> alegadas </w:t>
      </w:r>
      <w:r w:rsidRPr="00F870FE">
        <w:rPr>
          <w:sz w:val="16"/>
          <w:szCs w:val="16"/>
          <w:lang w:val="es-CR"/>
        </w:rPr>
        <w:t xml:space="preserve"> secuelas emocionales y físicas que ha</w:t>
      </w:r>
      <w:r>
        <w:rPr>
          <w:sz w:val="16"/>
          <w:szCs w:val="16"/>
          <w:lang w:val="es-CR"/>
        </w:rPr>
        <w:t>bría</w:t>
      </w:r>
      <w:r w:rsidRPr="00F870FE">
        <w:rPr>
          <w:sz w:val="16"/>
          <w:szCs w:val="16"/>
          <w:lang w:val="es-CR"/>
        </w:rPr>
        <w:t xml:space="preserve"> sufrido como consecuencia de los hechos y las afectaciones a su proyecto de vida. </w:t>
      </w:r>
    </w:p>
  </w:footnote>
  <w:footnote w:id="4">
    <w:p w:rsidR="007804B2" w:rsidRPr="007C17BC" w:rsidRDefault="007804B2">
      <w:pPr>
        <w:pStyle w:val="Default"/>
        <w:tabs>
          <w:tab w:val="left" w:pos="567"/>
        </w:tabs>
        <w:spacing w:after="60"/>
        <w:jc w:val="both"/>
        <w:rPr>
          <w:lang w:val="es-CR"/>
        </w:rPr>
      </w:pPr>
      <w:r w:rsidRPr="00F870FE">
        <w:rPr>
          <w:rStyle w:val="FootnoteReference"/>
          <w:sz w:val="16"/>
          <w:szCs w:val="16"/>
        </w:rPr>
        <w:footnoteRef/>
      </w:r>
      <w:r w:rsidRPr="00F870FE">
        <w:rPr>
          <w:sz w:val="16"/>
          <w:szCs w:val="16"/>
          <w:lang w:val="es-CR"/>
        </w:rPr>
        <w:t xml:space="preserve"> </w:t>
      </w:r>
      <w:r w:rsidRPr="00F870FE">
        <w:rPr>
          <w:sz w:val="16"/>
          <w:szCs w:val="16"/>
          <w:lang w:val="es-CR"/>
        </w:rPr>
        <w:tab/>
        <w:t xml:space="preserve">La declaración de la presunta víctima Victoria </w:t>
      </w:r>
      <w:proofErr w:type="spellStart"/>
      <w:r w:rsidRPr="00F870FE">
        <w:rPr>
          <w:sz w:val="16"/>
          <w:szCs w:val="16"/>
          <w:lang w:val="es-CR"/>
        </w:rPr>
        <w:t>Eneri</w:t>
      </w:r>
      <w:proofErr w:type="spellEnd"/>
      <w:r w:rsidRPr="00F870FE">
        <w:rPr>
          <w:sz w:val="16"/>
          <w:szCs w:val="16"/>
          <w:lang w:val="es-CR"/>
        </w:rPr>
        <w:t xml:space="preserve"> </w:t>
      </w:r>
      <w:proofErr w:type="spellStart"/>
      <w:r w:rsidRPr="00F870FE">
        <w:rPr>
          <w:sz w:val="16"/>
          <w:szCs w:val="16"/>
          <w:lang w:val="es-CR"/>
        </w:rPr>
        <w:t>Landaeta</w:t>
      </w:r>
      <w:proofErr w:type="spellEnd"/>
      <w:r w:rsidRPr="00F870FE">
        <w:rPr>
          <w:sz w:val="16"/>
          <w:szCs w:val="16"/>
          <w:lang w:val="es-CR"/>
        </w:rPr>
        <w:t xml:space="preserve"> Galindo, hermana de </w:t>
      </w:r>
      <w:proofErr w:type="spellStart"/>
      <w:r w:rsidRPr="00F870FE">
        <w:rPr>
          <w:sz w:val="16"/>
          <w:szCs w:val="16"/>
          <w:lang w:val="es-CR"/>
        </w:rPr>
        <w:t>Igmar</w:t>
      </w:r>
      <w:proofErr w:type="spellEnd"/>
      <w:r w:rsidRPr="00F870FE">
        <w:rPr>
          <w:sz w:val="16"/>
          <w:szCs w:val="16"/>
          <w:lang w:val="es-CR"/>
        </w:rPr>
        <w:t xml:space="preserve"> Alexander y Eduardo José, ambos de apellidos Landaeta Mejías, se ref</w:t>
      </w:r>
      <w:r>
        <w:rPr>
          <w:sz w:val="16"/>
          <w:szCs w:val="16"/>
          <w:lang w:val="es-CR"/>
        </w:rPr>
        <w:t>eriría</w:t>
      </w:r>
      <w:r w:rsidRPr="00F870FE">
        <w:rPr>
          <w:sz w:val="16"/>
          <w:szCs w:val="16"/>
          <w:lang w:val="es-CR"/>
        </w:rPr>
        <w:t xml:space="preserve"> a los hechos en los que fallecieron sus hermanos, así como el </w:t>
      </w:r>
      <w:r>
        <w:rPr>
          <w:sz w:val="16"/>
          <w:szCs w:val="16"/>
          <w:lang w:val="es-CR"/>
        </w:rPr>
        <w:t xml:space="preserve">alegado </w:t>
      </w:r>
      <w:r w:rsidRPr="00F870FE">
        <w:rPr>
          <w:sz w:val="16"/>
          <w:szCs w:val="16"/>
          <w:lang w:val="es-CR"/>
        </w:rPr>
        <w:t xml:space="preserve">impacto que sus muertes </w:t>
      </w:r>
      <w:r>
        <w:rPr>
          <w:sz w:val="16"/>
          <w:szCs w:val="16"/>
          <w:lang w:val="es-CR"/>
        </w:rPr>
        <w:t>habrían generado</w:t>
      </w:r>
      <w:r w:rsidRPr="00F870FE">
        <w:rPr>
          <w:sz w:val="16"/>
          <w:szCs w:val="16"/>
          <w:lang w:val="es-CR"/>
        </w:rPr>
        <w:t xml:space="preserve"> en su vida y en su entorno familiar y sobre las </w:t>
      </w:r>
      <w:r>
        <w:rPr>
          <w:sz w:val="16"/>
          <w:szCs w:val="16"/>
          <w:lang w:val="es-CR"/>
        </w:rPr>
        <w:t xml:space="preserve">presuntas </w:t>
      </w:r>
      <w:r w:rsidRPr="00F870FE">
        <w:rPr>
          <w:sz w:val="16"/>
          <w:szCs w:val="16"/>
          <w:lang w:val="es-CR"/>
        </w:rPr>
        <w:t>secuelas emocionales y físicas que ha</w:t>
      </w:r>
      <w:r>
        <w:rPr>
          <w:sz w:val="16"/>
          <w:szCs w:val="16"/>
          <w:lang w:val="es-CR"/>
        </w:rPr>
        <w:t>bría</w:t>
      </w:r>
      <w:r w:rsidRPr="00F870FE">
        <w:rPr>
          <w:sz w:val="16"/>
          <w:szCs w:val="16"/>
          <w:lang w:val="es-CR"/>
        </w:rPr>
        <w:t xml:space="preserve"> sufrido como consecuencia de los hechos y las afectaciones a su proyecto de vida, entre otros aspectos relacionados con los hechos del presente caso. </w:t>
      </w:r>
    </w:p>
  </w:footnote>
  <w:footnote w:id="5">
    <w:p w:rsidR="007804B2" w:rsidRDefault="007804B2">
      <w:pPr>
        <w:pStyle w:val="FootnoteText"/>
        <w:tabs>
          <w:tab w:val="left" w:pos="567"/>
        </w:tabs>
        <w:spacing w:after="60"/>
        <w:jc w:val="both"/>
      </w:pPr>
      <w:r w:rsidRPr="00F870FE">
        <w:rPr>
          <w:rStyle w:val="FootnoteReference"/>
          <w:rFonts w:ascii="Verdana" w:hAnsi="Verdana" w:cs="Verdana"/>
          <w:sz w:val="16"/>
          <w:szCs w:val="16"/>
        </w:rPr>
        <w:footnoteRef/>
      </w:r>
      <w:r w:rsidRPr="00F870FE">
        <w:rPr>
          <w:rFonts w:ascii="Verdana" w:hAnsi="Verdana" w:cs="Verdana"/>
          <w:sz w:val="16"/>
          <w:szCs w:val="16"/>
        </w:rPr>
        <w:t xml:space="preserve"> </w:t>
      </w:r>
      <w:r w:rsidRPr="00F870FE">
        <w:rPr>
          <w:rFonts w:ascii="Verdana" w:hAnsi="Verdana" w:cs="Verdana"/>
          <w:sz w:val="16"/>
          <w:szCs w:val="16"/>
        </w:rPr>
        <w:tab/>
      </w:r>
      <w:r w:rsidRPr="004A084E">
        <w:rPr>
          <w:rFonts w:ascii="Verdana" w:hAnsi="Verdana" w:cs="Verdana"/>
          <w:sz w:val="16"/>
          <w:szCs w:val="16"/>
        </w:rPr>
        <w:t xml:space="preserve">La declaración de la presunta víctima </w:t>
      </w:r>
      <w:proofErr w:type="spellStart"/>
      <w:r w:rsidRPr="004A084E">
        <w:rPr>
          <w:rFonts w:ascii="Verdana" w:hAnsi="Verdana" w:cs="Verdana"/>
          <w:sz w:val="16"/>
          <w:szCs w:val="16"/>
        </w:rPr>
        <w:t>Leydis</w:t>
      </w:r>
      <w:proofErr w:type="spellEnd"/>
      <w:r w:rsidRPr="004A084E">
        <w:rPr>
          <w:rFonts w:ascii="Verdana" w:hAnsi="Verdana" w:cs="Verdana"/>
          <w:sz w:val="16"/>
          <w:szCs w:val="16"/>
        </w:rPr>
        <w:t xml:space="preserve"> </w:t>
      </w:r>
      <w:proofErr w:type="spellStart"/>
      <w:r w:rsidRPr="004A084E">
        <w:rPr>
          <w:rFonts w:ascii="Verdana" w:hAnsi="Verdana" w:cs="Verdana"/>
          <w:sz w:val="16"/>
          <w:szCs w:val="16"/>
        </w:rPr>
        <w:t>Rossimar</w:t>
      </w:r>
      <w:proofErr w:type="spellEnd"/>
      <w:r w:rsidRPr="004A084E">
        <w:rPr>
          <w:rFonts w:ascii="Verdana" w:hAnsi="Verdana" w:cs="Verdana"/>
          <w:sz w:val="16"/>
          <w:szCs w:val="16"/>
        </w:rPr>
        <w:t xml:space="preserve"> </w:t>
      </w:r>
      <w:proofErr w:type="spellStart"/>
      <w:r w:rsidRPr="004A084E">
        <w:rPr>
          <w:rFonts w:ascii="Verdana" w:hAnsi="Verdana" w:cs="Verdana"/>
          <w:sz w:val="16"/>
          <w:szCs w:val="16"/>
        </w:rPr>
        <w:t>Landaeta</w:t>
      </w:r>
      <w:proofErr w:type="spellEnd"/>
      <w:r w:rsidRPr="004A084E">
        <w:rPr>
          <w:rFonts w:ascii="Verdana" w:hAnsi="Verdana" w:cs="Verdana"/>
          <w:sz w:val="16"/>
          <w:szCs w:val="16"/>
        </w:rPr>
        <w:t xml:space="preserve"> Galindo</w:t>
      </w:r>
      <w:r w:rsidRPr="004A084E">
        <w:rPr>
          <w:rFonts w:ascii="Verdana" w:hAnsi="Verdana" w:cs="Verdana"/>
          <w:sz w:val="16"/>
          <w:szCs w:val="16"/>
          <w:lang w:val="es-CR" w:eastAsia="es-PE"/>
        </w:rPr>
        <w:t>, hermana</w:t>
      </w:r>
      <w:r w:rsidRPr="004A084E">
        <w:rPr>
          <w:rFonts w:ascii="Verdana" w:hAnsi="Verdana" w:cs="Verdana"/>
          <w:sz w:val="16"/>
          <w:szCs w:val="16"/>
          <w:lang w:val="es-CR"/>
        </w:rPr>
        <w:t xml:space="preserve"> de </w:t>
      </w:r>
      <w:proofErr w:type="spellStart"/>
      <w:r w:rsidRPr="004A084E">
        <w:rPr>
          <w:rFonts w:ascii="Verdana" w:hAnsi="Verdana" w:cs="Verdana"/>
          <w:sz w:val="16"/>
          <w:szCs w:val="16"/>
          <w:lang w:val="es-CR"/>
        </w:rPr>
        <w:t>Igmar</w:t>
      </w:r>
      <w:proofErr w:type="spellEnd"/>
      <w:r w:rsidRPr="004A084E">
        <w:rPr>
          <w:rFonts w:ascii="Verdana" w:hAnsi="Verdana" w:cs="Verdana"/>
          <w:sz w:val="16"/>
          <w:szCs w:val="16"/>
          <w:lang w:val="es-CR"/>
        </w:rPr>
        <w:t xml:space="preserve"> Alexander y Eduardo J</w:t>
      </w:r>
      <w:r w:rsidRPr="004A084E">
        <w:rPr>
          <w:rFonts w:ascii="Verdana" w:hAnsi="Verdana" w:cs="Verdana"/>
          <w:sz w:val="16"/>
          <w:szCs w:val="16"/>
          <w:lang w:val="es-CR" w:eastAsia="es-PE"/>
        </w:rPr>
        <w:t xml:space="preserve">osé, ambos de apellidos Landaeta Mejías, </w:t>
      </w:r>
      <w:r w:rsidRPr="004A084E">
        <w:rPr>
          <w:rFonts w:ascii="Verdana" w:hAnsi="Verdana" w:cs="Verdana"/>
          <w:sz w:val="16"/>
          <w:szCs w:val="16"/>
          <w:lang w:val="es-CR"/>
        </w:rPr>
        <w:t>se referiría a los hechos en los que fallecieron sus hermanos, así como el alegado impacto que sus muertes habrían generado en su vida y en su entorno familiar y sobre las presuntas secuelas emocionales y físicas que habría sufrido como consecuencia de los hechos y las afectaciones a su proyecto de vida, entre otros aspectos relacionados con los hechos del presente caso</w:t>
      </w:r>
      <w:r w:rsidRPr="004A084E">
        <w:rPr>
          <w:rFonts w:ascii="Verdana" w:hAnsi="Verdana" w:cs="Verdana"/>
          <w:color w:val="000000"/>
          <w:sz w:val="16"/>
          <w:szCs w:val="16"/>
          <w:lang w:val="es-CR"/>
        </w:rPr>
        <w:t>.</w:t>
      </w:r>
    </w:p>
  </w:footnote>
  <w:footnote w:id="6">
    <w:p w:rsidR="007804B2" w:rsidRPr="007C17BC" w:rsidRDefault="007804B2">
      <w:pPr>
        <w:pStyle w:val="Default"/>
        <w:tabs>
          <w:tab w:val="left" w:pos="567"/>
        </w:tabs>
        <w:spacing w:after="60"/>
        <w:jc w:val="both"/>
        <w:rPr>
          <w:lang w:val="es-CR"/>
        </w:rPr>
      </w:pPr>
      <w:r w:rsidRPr="00F870FE">
        <w:rPr>
          <w:rStyle w:val="FootnoteReference"/>
          <w:sz w:val="16"/>
          <w:szCs w:val="16"/>
        </w:rPr>
        <w:footnoteRef/>
      </w:r>
      <w:r w:rsidRPr="00F870FE">
        <w:rPr>
          <w:sz w:val="16"/>
          <w:szCs w:val="16"/>
          <w:lang w:val="es-CR"/>
        </w:rPr>
        <w:t xml:space="preserve"> </w:t>
      </w:r>
      <w:r w:rsidRPr="00F870FE">
        <w:rPr>
          <w:sz w:val="16"/>
          <w:szCs w:val="16"/>
          <w:lang w:val="es-CR"/>
        </w:rPr>
        <w:tab/>
        <w:t xml:space="preserve">La declaración de la presunta víctima </w:t>
      </w:r>
      <w:proofErr w:type="spellStart"/>
      <w:r w:rsidRPr="00F870FE">
        <w:rPr>
          <w:sz w:val="16"/>
          <w:szCs w:val="16"/>
          <w:lang w:val="es-CR"/>
        </w:rPr>
        <w:t>Francy</w:t>
      </w:r>
      <w:proofErr w:type="spellEnd"/>
      <w:r w:rsidRPr="00F870FE">
        <w:rPr>
          <w:sz w:val="16"/>
          <w:szCs w:val="16"/>
          <w:lang w:val="es-CR"/>
        </w:rPr>
        <w:t xml:space="preserve"> </w:t>
      </w:r>
      <w:proofErr w:type="spellStart"/>
      <w:r w:rsidRPr="00F870FE">
        <w:rPr>
          <w:sz w:val="16"/>
          <w:szCs w:val="16"/>
          <w:lang w:val="es-CR"/>
        </w:rPr>
        <w:t>Yelut</w:t>
      </w:r>
      <w:proofErr w:type="spellEnd"/>
      <w:r w:rsidRPr="00F870FE">
        <w:rPr>
          <w:sz w:val="16"/>
          <w:szCs w:val="16"/>
          <w:lang w:val="es-CR"/>
        </w:rPr>
        <w:t xml:space="preserve"> Parra Guzmán, compañera de vida de </w:t>
      </w:r>
      <w:proofErr w:type="spellStart"/>
      <w:r w:rsidRPr="00F870FE">
        <w:rPr>
          <w:sz w:val="16"/>
          <w:szCs w:val="16"/>
          <w:lang w:val="es-CR"/>
        </w:rPr>
        <w:t>Igmar</w:t>
      </w:r>
      <w:proofErr w:type="spellEnd"/>
      <w:r w:rsidRPr="00F870FE">
        <w:rPr>
          <w:sz w:val="16"/>
          <w:szCs w:val="16"/>
          <w:lang w:val="es-CR"/>
        </w:rPr>
        <w:t xml:space="preserve"> Alexander </w:t>
      </w:r>
      <w:proofErr w:type="spellStart"/>
      <w:r w:rsidRPr="00F870FE">
        <w:rPr>
          <w:sz w:val="16"/>
          <w:szCs w:val="16"/>
          <w:lang w:val="es-CR"/>
        </w:rPr>
        <w:t>Landaeta</w:t>
      </w:r>
      <w:proofErr w:type="spellEnd"/>
      <w:r w:rsidRPr="00F870FE">
        <w:rPr>
          <w:sz w:val="16"/>
          <w:szCs w:val="16"/>
          <w:lang w:val="es-CR"/>
        </w:rPr>
        <w:t xml:space="preserve"> Mejías, se re</w:t>
      </w:r>
      <w:r>
        <w:rPr>
          <w:sz w:val="16"/>
          <w:szCs w:val="16"/>
          <w:lang w:val="es-CR"/>
        </w:rPr>
        <w:t>feriría</w:t>
      </w:r>
      <w:r w:rsidRPr="00F870FE">
        <w:rPr>
          <w:sz w:val="16"/>
          <w:szCs w:val="16"/>
          <w:lang w:val="es-CR"/>
        </w:rPr>
        <w:t xml:space="preserve"> a las circunstancias en las que perdió la vida su compañero, sobre el </w:t>
      </w:r>
      <w:r>
        <w:rPr>
          <w:sz w:val="16"/>
          <w:szCs w:val="16"/>
          <w:lang w:val="es-CR"/>
        </w:rPr>
        <w:t xml:space="preserve">alegado </w:t>
      </w:r>
      <w:r w:rsidRPr="00F870FE">
        <w:rPr>
          <w:sz w:val="16"/>
          <w:szCs w:val="16"/>
          <w:lang w:val="es-CR"/>
        </w:rPr>
        <w:t xml:space="preserve">impacto en su proyecto de vida y en el de su hija </w:t>
      </w:r>
      <w:proofErr w:type="spellStart"/>
      <w:r w:rsidRPr="00F870FE">
        <w:rPr>
          <w:sz w:val="16"/>
          <w:szCs w:val="16"/>
          <w:lang w:val="es-CR"/>
        </w:rPr>
        <w:t>Johanyelis</w:t>
      </w:r>
      <w:proofErr w:type="spellEnd"/>
      <w:r w:rsidRPr="00F870FE">
        <w:rPr>
          <w:sz w:val="16"/>
          <w:szCs w:val="16"/>
          <w:lang w:val="es-CR"/>
        </w:rPr>
        <w:t xml:space="preserve"> Alejandra </w:t>
      </w:r>
      <w:proofErr w:type="spellStart"/>
      <w:r w:rsidRPr="00F870FE">
        <w:rPr>
          <w:sz w:val="16"/>
          <w:szCs w:val="16"/>
          <w:lang w:val="es-CR"/>
        </w:rPr>
        <w:t>Landaeta</w:t>
      </w:r>
      <w:proofErr w:type="spellEnd"/>
      <w:r w:rsidRPr="00F870FE">
        <w:rPr>
          <w:sz w:val="16"/>
          <w:szCs w:val="16"/>
          <w:lang w:val="es-CR"/>
        </w:rPr>
        <w:t xml:space="preserve"> Parra. </w:t>
      </w:r>
    </w:p>
  </w:footnote>
  <w:footnote w:id="7">
    <w:p w:rsidR="007804B2" w:rsidRPr="007C17BC" w:rsidRDefault="007804B2">
      <w:pPr>
        <w:pStyle w:val="Default"/>
        <w:tabs>
          <w:tab w:val="left" w:pos="567"/>
        </w:tabs>
        <w:spacing w:after="60"/>
        <w:jc w:val="both"/>
        <w:rPr>
          <w:lang w:val="es-CR"/>
        </w:rPr>
      </w:pPr>
      <w:r w:rsidRPr="00F870FE">
        <w:rPr>
          <w:rStyle w:val="FootnoteReference"/>
          <w:sz w:val="16"/>
          <w:szCs w:val="16"/>
        </w:rPr>
        <w:footnoteRef/>
      </w:r>
      <w:r w:rsidRPr="00F870FE">
        <w:rPr>
          <w:sz w:val="16"/>
          <w:szCs w:val="16"/>
          <w:lang w:val="es-CR"/>
        </w:rPr>
        <w:t xml:space="preserve"> </w:t>
      </w:r>
      <w:r w:rsidRPr="00F870FE">
        <w:rPr>
          <w:sz w:val="16"/>
          <w:szCs w:val="16"/>
          <w:lang w:val="es-CR"/>
        </w:rPr>
        <w:tab/>
        <w:t xml:space="preserve">El peritaje de Magaly Mercedes Vásquez González, abogada egresada de la Universidad Católica Andrés Bello, especialista en Ciencias Penales y Criminológicas, </w:t>
      </w:r>
      <w:r>
        <w:rPr>
          <w:sz w:val="16"/>
          <w:szCs w:val="16"/>
          <w:lang w:val="es-CR"/>
        </w:rPr>
        <w:t>el cual tendría</w:t>
      </w:r>
      <w:r w:rsidRPr="00F870FE">
        <w:rPr>
          <w:sz w:val="16"/>
          <w:szCs w:val="16"/>
          <w:lang w:val="es-CR"/>
        </w:rPr>
        <w:t xml:space="preserve"> por objeto determinar la normatividad que regía el procedimiento penal en Venezuela para el momento de la ocurrencia de los hechos, y el que rige hoy en día con referencia al papel del Estado como garante del derecho a la vida, a la integridad personal y la libertad personal. Desde esta perspectiva emitir</w:t>
      </w:r>
      <w:r>
        <w:rPr>
          <w:sz w:val="16"/>
          <w:szCs w:val="16"/>
          <w:lang w:val="es-CR"/>
        </w:rPr>
        <w:t>ía</w:t>
      </w:r>
      <w:r w:rsidRPr="00F870FE">
        <w:rPr>
          <w:sz w:val="16"/>
          <w:szCs w:val="16"/>
          <w:lang w:val="es-CR"/>
        </w:rPr>
        <w:t xml:space="preserve"> una opinión sobre la debida diligencia en los procesos penales de los casos de los hermanos Landaeta haciendo énfasis en los obstáculos de hecho y de derecho que se han presentado en los años que llevan dichos procesos </w:t>
      </w:r>
    </w:p>
  </w:footnote>
  <w:footnote w:id="8">
    <w:p w:rsidR="007804B2" w:rsidRPr="007C17BC" w:rsidRDefault="007804B2">
      <w:pPr>
        <w:pStyle w:val="Default"/>
        <w:tabs>
          <w:tab w:val="left" w:pos="567"/>
        </w:tabs>
        <w:spacing w:after="60"/>
        <w:jc w:val="both"/>
        <w:rPr>
          <w:lang w:val="es-CR"/>
        </w:rPr>
      </w:pPr>
      <w:r w:rsidRPr="00960A17">
        <w:rPr>
          <w:rStyle w:val="FootnoteReference"/>
          <w:sz w:val="16"/>
          <w:szCs w:val="16"/>
        </w:rPr>
        <w:footnoteRef/>
      </w:r>
      <w:r w:rsidRPr="00960A17">
        <w:rPr>
          <w:sz w:val="16"/>
          <w:szCs w:val="16"/>
          <w:lang w:val="es-CR"/>
        </w:rPr>
        <w:t xml:space="preserve"> </w:t>
      </w:r>
      <w:r w:rsidRPr="00960A17">
        <w:rPr>
          <w:sz w:val="16"/>
          <w:szCs w:val="16"/>
          <w:lang w:val="es-CR"/>
        </w:rPr>
        <w:tab/>
        <w:t xml:space="preserve">El peritaje de </w:t>
      </w:r>
      <w:proofErr w:type="spellStart"/>
      <w:r w:rsidRPr="00960A17">
        <w:rPr>
          <w:sz w:val="16"/>
          <w:szCs w:val="16"/>
          <w:lang w:val="es-CR"/>
        </w:rPr>
        <w:t>Fredy</w:t>
      </w:r>
      <w:proofErr w:type="spellEnd"/>
      <w:r w:rsidRPr="00960A17">
        <w:rPr>
          <w:sz w:val="16"/>
          <w:szCs w:val="16"/>
          <w:lang w:val="es-CR"/>
        </w:rPr>
        <w:t xml:space="preserve"> Armando </w:t>
      </w:r>
      <w:proofErr w:type="spellStart"/>
      <w:r w:rsidRPr="00960A17">
        <w:rPr>
          <w:sz w:val="16"/>
          <w:szCs w:val="16"/>
          <w:lang w:val="es-CR"/>
        </w:rPr>
        <w:t>Peccerelli</w:t>
      </w:r>
      <w:proofErr w:type="spellEnd"/>
      <w:r w:rsidRPr="00960A17">
        <w:rPr>
          <w:sz w:val="16"/>
          <w:szCs w:val="16"/>
          <w:lang w:val="es-CR"/>
        </w:rPr>
        <w:t xml:space="preserve"> </w:t>
      </w:r>
      <w:proofErr w:type="spellStart"/>
      <w:r w:rsidRPr="00960A17">
        <w:rPr>
          <w:sz w:val="16"/>
          <w:szCs w:val="16"/>
          <w:lang w:val="es-CR"/>
        </w:rPr>
        <w:t>Monterroso</w:t>
      </w:r>
      <w:proofErr w:type="spellEnd"/>
      <w:r w:rsidRPr="00960A17">
        <w:rPr>
          <w:sz w:val="16"/>
          <w:szCs w:val="16"/>
          <w:lang w:val="es-CR"/>
        </w:rPr>
        <w:t xml:space="preserve">, </w:t>
      </w:r>
      <w:r>
        <w:rPr>
          <w:sz w:val="16"/>
          <w:szCs w:val="16"/>
          <w:lang w:val="es-CR"/>
        </w:rPr>
        <w:t xml:space="preserve">antropólogo forense y Director Ejecutivo de la Fundación de Antropología Forense de Guatemala, tiene por objeto determinar los estándares internacionales en las evaluaciones medico legales y la debida diligencia en las investigaciones de ejecuciones extrajudiciales y graves violaciones de derechos humanos. Además, declarará sobre la aplicación de dichos estándares en las investigaciones del presente caso. </w:t>
      </w:r>
      <w:r w:rsidRPr="00DD421D">
        <w:rPr>
          <w:sz w:val="16"/>
          <w:szCs w:val="16"/>
          <w:lang w:val="es-CR"/>
        </w:rPr>
        <w:t xml:space="preserve">Asimismo, la </w:t>
      </w:r>
      <w:r>
        <w:rPr>
          <w:sz w:val="16"/>
          <w:szCs w:val="16"/>
          <w:lang w:val="es-CR"/>
        </w:rPr>
        <w:t xml:space="preserve">Presidencia </w:t>
      </w:r>
      <w:r w:rsidRPr="00DD421D">
        <w:rPr>
          <w:sz w:val="16"/>
          <w:szCs w:val="16"/>
          <w:lang w:val="es-CR"/>
        </w:rPr>
        <w:t xml:space="preserve">observa que mediante escrito de 16 de diciembre los representantes solicitaron formalmente la sustitución de la declaración pericial del señor </w:t>
      </w:r>
      <w:proofErr w:type="spellStart"/>
      <w:r w:rsidRPr="00DD421D">
        <w:rPr>
          <w:sz w:val="16"/>
          <w:szCs w:val="16"/>
          <w:lang w:val="es-CR"/>
        </w:rPr>
        <w:t>Fredy</w:t>
      </w:r>
      <w:proofErr w:type="spellEnd"/>
      <w:r w:rsidRPr="00DD421D">
        <w:rPr>
          <w:sz w:val="16"/>
          <w:szCs w:val="16"/>
          <w:lang w:val="es-CR"/>
        </w:rPr>
        <w:t xml:space="preserve"> Armando </w:t>
      </w:r>
      <w:proofErr w:type="spellStart"/>
      <w:r w:rsidRPr="00DD421D">
        <w:rPr>
          <w:sz w:val="16"/>
          <w:szCs w:val="16"/>
          <w:lang w:val="es-CR"/>
        </w:rPr>
        <w:t>Peccerelli</w:t>
      </w:r>
      <w:proofErr w:type="spellEnd"/>
      <w:r w:rsidRPr="00DD421D">
        <w:rPr>
          <w:sz w:val="16"/>
          <w:szCs w:val="16"/>
          <w:lang w:val="es-CR"/>
        </w:rPr>
        <w:t xml:space="preserve"> </w:t>
      </w:r>
      <w:proofErr w:type="spellStart"/>
      <w:r w:rsidRPr="00DD421D">
        <w:rPr>
          <w:sz w:val="16"/>
          <w:szCs w:val="16"/>
          <w:lang w:val="es-CR"/>
        </w:rPr>
        <w:t>Monterroso</w:t>
      </w:r>
      <w:proofErr w:type="spellEnd"/>
      <w:r w:rsidRPr="00DD421D">
        <w:rPr>
          <w:sz w:val="16"/>
          <w:szCs w:val="16"/>
          <w:lang w:val="es-CR"/>
        </w:rPr>
        <w:t xml:space="preserve"> por la del señor José Pablo </w:t>
      </w:r>
      <w:proofErr w:type="spellStart"/>
      <w:r w:rsidRPr="00DD421D">
        <w:rPr>
          <w:sz w:val="16"/>
          <w:szCs w:val="16"/>
          <w:lang w:val="es-CR"/>
        </w:rPr>
        <w:t>Baraybar</w:t>
      </w:r>
      <w:proofErr w:type="spellEnd"/>
      <w:r w:rsidRPr="00DD421D">
        <w:rPr>
          <w:sz w:val="16"/>
          <w:szCs w:val="16"/>
          <w:lang w:val="es-CR"/>
        </w:rPr>
        <w:t>.</w:t>
      </w:r>
    </w:p>
  </w:footnote>
  <w:footnote w:id="9">
    <w:p w:rsidR="007804B2" w:rsidRPr="007C17BC" w:rsidRDefault="007804B2">
      <w:pPr>
        <w:pStyle w:val="Default"/>
        <w:tabs>
          <w:tab w:val="left" w:pos="567"/>
        </w:tabs>
        <w:spacing w:after="60"/>
        <w:jc w:val="both"/>
        <w:rPr>
          <w:lang w:val="es-CR"/>
        </w:rPr>
      </w:pPr>
      <w:r w:rsidRPr="00F870FE">
        <w:rPr>
          <w:rStyle w:val="FootnoteReference"/>
          <w:sz w:val="16"/>
          <w:szCs w:val="16"/>
        </w:rPr>
        <w:footnoteRef/>
      </w:r>
      <w:r w:rsidRPr="00F870FE">
        <w:rPr>
          <w:sz w:val="16"/>
          <w:szCs w:val="16"/>
          <w:lang w:val="es-CR"/>
        </w:rPr>
        <w:t xml:space="preserve"> </w:t>
      </w:r>
      <w:r w:rsidRPr="00F870FE">
        <w:rPr>
          <w:sz w:val="16"/>
          <w:szCs w:val="16"/>
          <w:lang w:val="es-CR"/>
        </w:rPr>
        <w:tab/>
        <w:t xml:space="preserve">El peritaje Claudia Carrillo, </w:t>
      </w:r>
      <w:r>
        <w:rPr>
          <w:sz w:val="16"/>
          <w:szCs w:val="16"/>
          <w:lang w:val="es-CR"/>
        </w:rPr>
        <w:t>p</w:t>
      </w:r>
      <w:r w:rsidRPr="00F870FE">
        <w:rPr>
          <w:sz w:val="16"/>
          <w:szCs w:val="16"/>
          <w:lang w:val="es-CR"/>
        </w:rPr>
        <w:t xml:space="preserve">sicóloga, tiene por objeto determinar los daños ocasionados a los miembros de la familia Landaeta por las ejecuciones extrajudiciales de </w:t>
      </w:r>
      <w:proofErr w:type="spellStart"/>
      <w:r w:rsidRPr="00F870FE">
        <w:rPr>
          <w:sz w:val="16"/>
          <w:szCs w:val="16"/>
          <w:lang w:val="es-CR"/>
        </w:rPr>
        <w:t>Igmar</w:t>
      </w:r>
      <w:proofErr w:type="spellEnd"/>
      <w:r w:rsidRPr="00F870FE">
        <w:rPr>
          <w:sz w:val="16"/>
          <w:szCs w:val="16"/>
          <w:lang w:val="es-CR"/>
        </w:rPr>
        <w:t xml:space="preserve"> Alexander y Eduardo José; así como las repercusiones que los hechos tuvieron en ellos desde el punto de vista familiar y laboral. De igual forma declarará sobre la importancia de la asistencia psicológica para restablecer un mínimo de autoestima en los referidos familiares. </w:t>
      </w:r>
    </w:p>
  </w:footnote>
  <w:footnote w:id="10">
    <w:p w:rsidR="007804B2" w:rsidRDefault="007804B2">
      <w:pPr>
        <w:pStyle w:val="FootnoteText"/>
        <w:tabs>
          <w:tab w:val="left" w:pos="567"/>
        </w:tabs>
        <w:spacing w:after="60"/>
        <w:jc w:val="both"/>
      </w:pPr>
      <w:r w:rsidRPr="00F870FE">
        <w:rPr>
          <w:rStyle w:val="FootnoteReference"/>
          <w:rFonts w:ascii="Verdana" w:hAnsi="Verdana" w:cs="Verdana"/>
          <w:sz w:val="16"/>
          <w:szCs w:val="16"/>
        </w:rPr>
        <w:footnoteRef/>
      </w:r>
      <w:r w:rsidRPr="00F870FE">
        <w:rPr>
          <w:rFonts w:ascii="Verdana" w:hAnsi="Verdana" w:cs="Verdana"/>
          <w:sz w:val="16"/>
          <w:szCs w:val="16"/>
        </w:rPr>
        <w:t xml:space="preserve"> </w:t>
      </w:r>
      <w:r w:rsidRPr="00F870FE">
        <w:rPr>
          <w:rFonts w:ascii="Verdana" w:hAnsi="Verdana" w:cs="Verdana"/>
          <w:sz w:val="16"/>
          <w:szCs w:val="16"/>
        </w:rPr>
        <w:tab/>
      </w:r>
      <w:r w:rsidRPr="00F870FE">
        <w:rPr>
          <w:rFonts w:ascii="Verdana" w:hAnsi="Verdana" w:cs="Verdana"/>
          <w:sz w:val="16"/>
          <w:szCs w:val="16"/>
          <w:lang w:val="es-CR"/>
        </w:rPr>
        <w:t xml:space="preserve">El peritaje de </w:t>
      </w:r>
      <w:proofErr w:type="spellStart"/>
      <w:r w:rsidRPr="00F870FE">
        <w:rPr>
          <w:rFonts w:ascii="Verdana" w:hAnsi="Verdana" w:cs="Verdana"/>
          <w:color w:val="000000"/>
          <w:sz w:val="16"/>
          <w:szCs w:val="16"/>
          <w:lang w:val="es-CR"/>
        </w:rPr>
        <w:t>Denotilia</w:t>
      </w:r>
      <w:proofErr w:type="spellEnd"/>
      <w:r w:rsidRPr="00F870FE">
        <w:rPr>
          <w:rFonts w:ascii="Verdana" w:hAnsi="Verdana" w:cs="Verdana"/>
          <w:color w:val="000000"/>
          <w:sz w:val="16"/>
          <w:szCs w:val="16"/>
          <w:lang w:val="es-CR"/>
        </w:rPr>
        <w:t xml:space="preserve"> Hernández de Hernández, </w:t>
      </w:r>
      <w:r>
        <w:rPr>
          <w:rFonts w:ascii="Verdana" w:hAnsi="Verdana" w:cs="Verdana"/>
          <w:color w:val="000000"/>
          <w:sz w:val="16"/>
          <w:szCs w:val="16"/>
          <w:lang w:val="es-CR"/>
        </w:rPr>
        <w:t>a</w:t>
      </w:r>
      <w:r w:rsidRPr="00F870FE">
        <w:rPr>
          <w:rFonts w:ascii="Verdana" w:hAnsi="Verdana" w:cs="Verdana"/>
          <w:color w:val="000000"/>
          <w:sz w:val="16"/>
          <w:szCs w:val="16"/>
          <w:lang w:val="es-CR"/>
        </w:rPr>
        <w:t>bogada espec</w:t>
      </w:r>
      <w:r w:rsidRPr="00F870FE">
        <w:rPr>
          <w:rFonts w:ascii="Verdana" w:hAnsi="Verdana" w:cs="Verdana"/>
          <w:sz w:val="16"/>
          <w:szCs w:val="16"/>
          <w:lang w:val="es-CR"/>
        </w:rPr>
        <w:t xml:space="preserve">ialista en derechos de la niñez, tiene por objeto determinar </w:t>
      </w:r>
      <w:r w:rsidRPr="00F870FE">
        <w:rPr>
          <w:rFonts w:ascii="Verdana" w:hAnsi="Verdana" w:cs="Verdana"/>
          <w:color w:val="000000"/>
          <w:sz w:val="16"/>
          <w:szCs w:val="16"/>
          <w:lang w:val="es-CR"/>
        </w:rPr>
        <w:t>la legislación venezolana relacionadas con la protección de la niñez, su aplicación en el ámbito penal y el grado de cumplimiento con los estándares internacionales en materia de protección de la niñez y adolescencia por parte de las autoridades venezolanas encargadas de hacer cumplir la ley penal.</w:t>
      </w:r>
    </w:p>
  </w:footnote>
  <w:footnote w:id="11">
    <w:p w:rsidR="007804B2" w:rsidRPr="007C17BC" w:rsidRDefault="007804B2">
      <w:pPr>
        <w:pStyle w:val="Default"/>
        <w:tabs>
          <w:tab w:val="left" w:pos="567"/>
        </w:tabs>
        <w:spacing w:after="60"/>
        <w:jc w:val="both"/>
        <w:rPr>
          <w:lang w:val="es-CR"/>
        </w:rPr>
      </w:pPr>
      <w:r w:rsidRPr="00F870FE">
        <w:rPr>
          <w:rStyle w:val="FootnoteReference"/>
          <w:sz w:val="16"/>
          <w:szCs w:val="16"/>
        </w:rPr>
        <w:footnoteRef/>
      </w:r>
      <w:r w:rsidRPr="00F870FE">
        <w:rPr>
          <w:sz w:val="16"/>
          <w:szCs w:val="16"/>
          <w:lang w:val="es-CR"/>
        </w:rPr>
        <w:t xml:space="preserve"> </w:t>
      </w:r>
      <w:r w:rsidRPr="00F870FE">
        <w:rPr>
          <w:sz w:val="16"/>
          <w:szCs w:val="16"/>
          <w:lang w:val="es-CR"/>
        </w:rPr>
        <w:tab/>
        <w:t xml:space="preserve">El peritaje de Calixto Ávila, investigador en derechos humanos, tiene por objeto determinar el contexto de violencia cometida por de cuerpos de seguridad nacionales y estatales en Venezuela, en particular sobre el fenómeno de ejecuciones extrajudiciales por parte de agentes policiales y el grado de impunidad que prevalece en relación con estos crímenes. Asimismo, hará referencia a las medidas que el Estado venezolano puede adoptar para evitar que hechos como los del presente caso se repitan. </w:t>
      </w:r>
    </w:p>
  </w:footnote>
  <w:footnote w:id="12">
    <w:p w:rsidR="007804B2" w:rsidRDefault="007804B2" w:rsidP="00425D74">
      <w:pPr>
        <w:pStyle w:val="FootnoteText"/>
        <w:spacing w:after="60"/>
        <w:jc w:val="both"/>
      </w:pPr>
      <w:r w:rsidRPr="00767F91">
        <w:rPr>
          <w:rStyle w:val="FootnoteReference"/>
          <w:rFonts w:ascii="Verdana" w:hAnsi="Verdana" w:cs="Verdana"/>
          <w:sz w:val="16"/>
          <w:szCs w:val="16"/>
        </w:rPr>
        <w:footnoteRef/>
      </w:r>
      <w:r w:rsidRPr="00767F91">
        <w:rPr>
          <w:rFonts w:ascii="Verdana" w:hAnsi="Verdana" w:cs="Verdana"/>
          <w:sz w:val="16"/>
          <w:szCs w:val="16"/>
        </w:rPr>
        <w:t xml:space="preserve"> </w:t>
      </w:r>
      <w:r w:rsidRPr="00767F91">
        <w:rPr>
          <w:rFonts w:ascii="Verdana" w:hAnsi="Verdana" w:cs="Verdana"/>
          <w:sz w:val="16"/>
          <w:szCs w:val="16"/>
          <w:lang w:val="es-CR"/>
        </w:rPr>
        <w:tab/>
        <w:t xml:space="preserve">Dicha norma estipula lo siguiente: </w:t>
      </w:r>
      <w:r w:rsidRPr="00767F91">
        <w:rPr>
          <w:rFonts w:ascii="Verdana" w:hAnsi="Verdana" w:cs="Verdana"/>
          <w:sz w:val="16"/>
          <w:szCs w:val="16"/>
        </w:rPr>
        <w:t>“[e]</w:t>
      </w:r>
      <w:proofErr w:type="spellStart"/>
      <w:r w:rsidRPr="00767F91">
        <w:rPr>
          <w:rFonts w:ascii="Verdana" w:hAnsi="Verdana" w:cs="Verdana"/>
          <w:sz w:val="16"/>
          <w:szCs w:val="16"/>
        </w:rPr>
        <w:t>xcepcionalmente</w:t>
      </w:r>
      <w:proofErr w:type="spellEnd"/>
      <w:r w:rsidRPr="00767F91">
        <w:rPr>
          <w:rFonts w:ascii="Verdana" w:hAnsi="Verdana" w:cs="Verdana"/>
          <w:sz w:val="16"/>
          <w:szCs w:val="16"/>
        </w:rPr>
        <w:t>, frente a solicitud fundada y oído el parecer de la contraparte, la Corte podrá aceptar la sustitución de un declarante siempre que se individualice al sustituto y se respete el objeto de la declaración, testimonio o peritaje originalmente ofrecido”.</w:t>
      </w:r>
    </w:p>
  </w:footnote>
  <w:footnote w:id="13">
    <w:p w:rsidR="007804B2" w:rsidRDefault="007804B2" w:rsidP="00932A4D">
      <w:pPr>
        <w:spacing w:after="120" w:line="240" w:lineRule="auto"/>
        <w:jc w:val="both"/>
      </w:pPr>
      <w:r w:rsidRPr="007B66D4">
        <w:rPr>
          <w:rStyle w:val="FootnoteReference"/>
          <w:rFonts w:ascii="Verdana" w:hAnsi="Verdana" w:cs="Verdana"/>
          <w:sz w:val="16"/>
          <w:szCs w:val="16"/>
        </w:rPr>
        <w:footnoteRef/>
      </w:r>
      <w:r w:rsidRPr="007B66D4">
        <w:rPr>
          <w:rFonts w:ascii="Verdana" w:hAnsi="Verdana" w:cs="Verdana"/>
          <w:sz w:val="16"/>
          <w:szCs w:val="16"/>
        </w:rPr>
        <w:t xml:space="preserve"> </w:t>
      </w:r>
      <w:r w:rsidRPr="007B66D4">
        <w:rPr>
          <w:rFonts w:ascii="Verdana" w:hAnsi="Verdana" w:cs="Verdana"/>
          <w:sz w:val="16"/>
          <w:szCs w:val="16"/>
        </w:rPr>
        <w:tab/>
      </w:r>
      <w:r w:rsidRPr="007B66D4">
        <w:rPr>
          <w:rFonts w:ascii="Verdana" w:hAnsi="Verdana" w:cs="Verdana"/>
          <w:i/>
          <w:iCs/>
          <w:sz w:val="16"/>
          <w:szCs w:val="16"/>
        </w:rPr>
        <w:t xml:space="preserve">Cfr. Caso </w:t>
      </w:r>
      <w:proofErr w:type="spellStart"/>
      <w:r w:rsidRPr="007B66D4">
        <w:rPr>
          <w:rFonts w:ascii="Verdana" w:hAnsi="Verdana" w:cs="Verdana"/>
          <w:i/>
          <w:iCs/>
          <w:sz w:val="16"/>
          <w:szCs w:val="16"/>
        </w:rPr>
        <w:t>Gelman</w:t>
      </w:r>
      <w:proofErr w:type="spellEnd"/>
      <w:r w:rsidRPr="007B66D4">
        <w:rPr>
          <w:rFonts w:ascii="Verdana" w:hAnsi="Verdana" w:cs="Verdana"/>
          <w:i/>
          <w:iCs/>
          <w:sz w:val="16"/>
          <w:szCs w:val="16"/>
        </w:rPr>
        <w:t xml:space="preserve"> vs Uruguay</w:t>
      </w:r>
      <w:r w:rsidRPr="007B66D4">
        <w:rPr>
          <w:rFonts w:ascii="Verdana" w:hAnsi="Verdana" w:cs="Verdana"/>
          <w:sz w:val="16"/>
          <w:szCs w:val="16"/>
        </w:rPr>
        <w:t>, Resolución del Presidente de la Corte de 10 de septiembre de 2010, Considerandos octavo y decimo</w:t>
      </w:r>
      <w:r w:rsidRPr="007B66D4">
        <w:rPr>
          <w:rFonts w:ascii="Verdana" w:hAnsi="Verdana" w:cs="Verdana"/>
          <w:sz w:val="16"/>
          <w:szCs w:val="16"/>
          <w:lang w:val="es-CR"/>
        </w:rPr>
        <w:t xml:space="preserve">; </w:t>
      </w:r>
      <w:r w:rsidRPr="007B66D4">
        <w:rPr>
          <w:rFonts w:ascii="Verdana" w:hAnsi="Verdana" w:cs="Verdana"/>
          <w:i/>
          <w:iCs/>
          <w:sz w:val="16"/>
          <w:szCs w:val="16"/>
          <w:lang w:val="es-CR"/>
        </w:rPr>
        <w:t xml:space="preserve">Caso </w:t>
      </w:r>
      <w:proofErr w:type="spellStart"/>
      <w:r w:rsidRPr="007B66D4">
        <w:rPr>
          <w:rFonts w:ascii="Verdana" w:hAnsi="Verdana" w:cs="Verdana"/>
          <w:i/>
          <w:iCs/>
          <w:sz w:val="16"/>
          <w:szCs w:val="16"/>
          <w:lang w:val="es-CR"/>
        </w:rPr>
        <w:t>Gelman</w:t>
      </w:r>
      <w:proofErr w:type="spellEnd"/>
      <w:r w:rsidRPr="007B66D4">
        <w:rPr>
          <w:rFonts w:ascii="Verdana" w:hAnsi="Verdana" w:cs="Verdana"/>
          <w:i/>
          <w:iCs/>
          <w:sz w:val="16"/>
          <w:szCs w:val="16"/>
          <w:lang w:val="es-CR"/>
        </w:rPr>
        <w:t xml:space="preserve"> vs Uruguay</w:t>
      </w:r>
      <w:r w:rsidRPr="007B66D4">
        <w:rPr>
          <w:rFonts w:ascii="Verdana" w:hAnsi="Verdana" w:cs="Verdana"/>
          <w:sz w:val="16"/>
          <w:szCs w:val="16"/>
          <w:lang w:val="es-CR"/>
        </w:rPr>
        <w:t xml:space="preserve">, Resolución del Presidente de la Corte de 23 de septiembre de 2010, Visto segundo y Considerando sexto; </w:t>
      </w:r>
      <w:r w:rsidRPr="007B66D4">
        <w:rPr>
          <w:rFonts w:ascii="Verdana" w:hAnsi="Verdana" w:cs="Verdana"/>
          <w:i/>
          <w:iCs/>
          <w:sz w:val="16"/>
          <w:szCs w:val="16"/>
          <w:lang w:val="es-CR"/>
        </w:rPr>
        <w:t>Caso Contreras y otros vs El Salvador</w:t>
      </w:r>
      <w:r w:rsidRPr="007B66D4">
        <w:rPr>
          <w:rFonts w:ascii="Verdana" w:hAnsi="Verdana" w:cs="Verdana"/>
          <w:sz w:val="16"/>
          <w:szCs w:val="16"/>
          <w:lang w:val="es-CR"/>
        </w:rPr>
        <w:t xml:space="preserve">. Resolución del Presidente de la Corte de 14 de abril de 2011, Considerandos 16 a 18; </w:t>
      </w:r>
      <w:r w:rsidRPr="007B66D4">
        <w:rPr>
          <w:rFonts w:ascii="Verdana" w:hAnsi="Verdana" w:cs="Verdana"/>
          <w:i/>
          <w:iCs/>
          <w:sz w:val="16"/>
          <w:szCs w:val="16"/>
          <w:lang w:val="es-CR"/>
        </w:rPr>
        <w:t>Caso de la Masacre de Santo Domingo vs Colombia</w:t>
      </w:r>
      <w:r w:rsidRPr="007B66D4">
        <w:rPr>
          <w:rFonts w:ascii="Verdana" w:hAnsi="Verdana" w:cs="Verdana"/>
          <w:sz w:val="16"/>
          <w:szCs w:val="16"/>
          <w:lang w:val="es-CR"/>
        </w:rPr>
        <w:t xml:space="preserve">. Resolución del Presidente 5 junio 2012, Considerandos 17 a 19; </w:t>
      </w:r>
      <w:r w:rsidRPr="007B66D4">
        <w:rPr>
          <w:rFonts w:ascii="Verdana" w:hAnsi="Verdana" w:cs="Verdana"/>
          <w:i/>
          <w:iCs/>
          <w:sz w:val="16"/>
          <w:szCs w:val="16"/>
          <w:lang w:val="es-CR"/>
        </w:rPr>
        <w:t xml:space="preserve">Caso </w:t>
      </w:r>
      <w:proofErr w:type="spellStart"/>
      <w:r w:rsidRPr="007B66D4">
        <w:rPr>
          <w:rFonts w:ascii="Verdana" w:hAnsi="Verdana" w:cs="Verdana"/>
          <w:i/>
          <w:iCs/>
          <w:sz w:val="16"/>
          <w:szCs w:val="16"/>
          <w:lang w:val="es-CR"/>
        </w:rPr>
        <w:t>Artavia</w:t>
      </w:r>
      <w:proofErr w:type="spellEnd"/>
      <w:r w:rsidRPr="007B66D4">
        <w:rPr>
          <w:rFonts w:ascii="Verdana" w:hAnsi="Verdana" w:cs="Verdana"/>
          <w:i/>
          <w:iCs/>
          <w:sz w:val="16"/>
          <w:szCs w:val="16"/>
          <w:lang w:val="es-CR"/>
        </w:rPr>
        <w:t xml:space="preserve"> Murillo y otros (“Fertilización in vitro”) vs. Costa Rica</w:t>
      </w:r>
      <w:r w:rsidRPr="007B66D4">
        <w:rPr>
          <w:rFonts w:ascii="Verdana" w:hAnsi="Verdana" w:cs="Verdana"/>
          <w:sz w:val="16"/>
          <w:szCs w:val="16"/>
          <w:lang w:val="es-CR"/>
        </w:rPr>
        <w:t xml:space="preserve">. Resolución del Presidente de la Corte de 6 de agosto de 2012, Considerandos sexto y séptimo; y </w:t>
      </w:r>
      <w:r w:rsidRPr="007B66D4">
        <w:rPr>
          <w:rFonts w:ascii="Verdana" w:hAnsi="Verdana" w:cs="Verdana"/>
          <w:i/>
          <w:iCs/>
          <w:sz w:val="16"/>
          <w:szCs w:val="16"/>
        </w:rPr>
        <w:t>Caso J vs Perú.</w:t>
      </w:r>
      <w:r w:rsidRPr="007B66D4">
        <w:rPr>
          <w:rFonts w:ascii="Verdana" w:hAnsi="Verdana" w:cs="Verdana"/>
          <w:sz w:val="16"/>
          <w:szCs w:val="16"/>
        </w:rPr>
        <w:t xml:space="preserve"> Resolución del Presidente en Ejercicio de la Corte de 16 de abril de 2013, Considerando décimo.</w:t>
      </w:r>
    </w:p>
  </w:footnote>
  <w:footnote w:id="14">
    <w:p w:rsidR="007804B2" w:rsidRDefault="007804B2">
      <w:pPr>
        <w:widowControl w:val="0"/>
        <w:autoSpaceDE w:val="0"/>
        <w:autoSpaceDN w:val="0"/>
        <w:adjustRightInd w:val="0"/>
        <w:spacing w:after="60" w:line="240" w:lineRule="auto"/>
        <w:ind w:right="10"/>
        <w:jc w:val="both"/>
      </w:pPr>
      <w:r w:rsidRPr="007B66D4">
        <w:rPr>
          <w:rStyle w:val="FootnoteReference"/>
          <w:rFonts w:ascii="Verdana" w:hAnsi="Verdana" w:cs="Verdana"/>
          <w:sz w:val="16"/>
          <w:szCs w:val="16"/>
        </w:rPr>
        <w:footnoteRef/>
      </w:r>
      <w:r w:rsidRPr="007B66D4">
        <w:rPr>
          <w:rFonts w:ascii="Verdana" w:hAnsi="Verdana" w:cs="Verdana"/>
          <w:sz w:val="16"/>
          <w:szCs w:val="16"/>
        </w:rPr>
        <w:t xml:space="preserve"> </w:t>
      </w:r>
      <w:r w:rsidRPr="007B66D4">
        <w:rPr>
          <w:rFonts w:ascii="Verdana" w:hAnsi="Verdana" w:cs="Verdana"/>
          <w:sz w:val="16"/>
          <w:szCs w:val="16"/>
        </w:rPr>
        <w:tab/>
      </w:r>
      <w:r w:rsidRPr="0092286F">
        <w:rPr>
          <w:rFonts w:ascii="Verdana" w:hAnsi="Verdana" w:cs="Verdana"/>
          <w:i/>
          <w:iCs/>
          <w:sz w:val="16"/>
          <w:szCs w:val="16"/>
        </w:rPr>
        <w:t>Cfr.</w:t>
      </w:r>
      <w:r w:rsidRPr="0092286F">
        <w:rPr>
          <w:rFonts w:ascii="Verdana" w:hAnsi="Verdana" w:cs="Verdana"/>
          <w:sz w:val="16"/>
          <w:szCs w:val="16"/>
        </w:rPr>
        <w:t xml:space="preserve"> </w:t>
      </w:r>
      <w:r w:rsidRPr="0092286F">
        <w:rPr>
          <w:rFonts w:ascii="Verdana" w:hAnsi="Verdana" w:cs="Verdana"/>
          <w:i/>
          <w:iCs/>
          <w:sz w:val="16"/>
          <w:szCs w:val="16"/>
        </w:rPr>
        <w:t>Caso Cepeda Vargas Vs. Colombia.</w:t>
      </w:r>
      <w:r w:rsidRPr="0092286F">
        <w:rPr>
          <w:rFonts w:ascii="Verdana" w:hAnsi="Verdana" w:cs="Verdana"/>
          <w:sz w:val="16"/>
          <w:szCs w:val="16"/>
        </w:rPr>
        <w:t xml:space="preserve"> Resolución de la Presidenta de la Corte de 22 de diciembre de 2009, Considerando 14</w:t>
      </w:r>
      <w:r>
        <w:rPr>
          <w:rFonts w:ascii="Verdana" w:hAnsi="Verdana" w:cs="Verdana"/>
          <w:sz w:val="16"/>
          <w:szCs w:val="16"/>
        </w:rPr>
        <w:t>;</w:t>
      </w:r>
      <w:r w:rsidRPr="0092286F">
        <w:rPr>
          <w:rFonts w:ascii="Verdana" w:hAnsi="Verdana" w:cs="Verdana"/>
          <w:sz w:val="16"/>
          <w:szCs w:val="16"/>
        </w:rPr>
        <w:t xml:space="preserve"> </w:t>
      </w:r>
      <w:r w:rsidRPr="007B66D4">
        <w:rPr>
          <w:rFonts w:ascii="Verdana" w:hAnsi="Verdana" w:cs="Verdana"/>
          <w:i/>
          <w:iCs/>
          <w:sz w:val="16"/>
          <w:szCs w:val="16"/>
          <w:lang w:val="es-CR"/>
        </w:rPr>
        <w:t>caso González Medina y familiares vs República Dominicana</w:t>
      </w:r>
      <w:r w:rsidRPr="007B66D4">
        <w:rPr>
          <w:rFonts w:ascii="Verdana" w:hAnsi="Verdana" w:cs="Verdana"/>
          <w:sz w:val="16"/>
          <w:szCs w:val="16"/>
          <w:lang w:val="es-CR"/>
        </w:rPr>
        <w:t>. Resolución del Presidente</w:t>
      </w:r>
      <w:r>
        <w:rPr>
          <w:rFonts w:ascii="Verdana" w:hAnsi="Verdana" w:cs="Verdana"/>
          <w:sz w:val="16"/>
          <w:szCs w:val="16"/>
          <w:lang w:val="es-CR"/>
        </w:rPr>
        <w:t xml:space="preserve"> de la Corte de</w:t>
      </w:r>
      <w:r w:rsidRPr="007B66D4">
        <w:rPr>
          <w:rFonts w:ascii="Verdana" w:hAnsi="Verdana" w:cs="Verdana"/>
          <w:sz w:val="16"/>
          <w:szCs w:val="16"/>
          <w:lang w:val="es-CR"/>
        </w:rPr>
        <w:t xml:space="preserve"> </w:t>
      </w:r>
      <w:r>
        <w:rPr>
          <w:rFonts w:ascii="Verdana" w:hAnsi="Verdana" w:cs="Verdana"/>
          <w:sz w:val="16"/>
          <w:szCs w:val="16"/>
          <w:lang w:val="es-CR"/>
        </w:rPr>
        <w:t xml:space="preserve">3 junio 2011, Considerando 17; </w:t>
      </w:r>
      <w:r w:rsidRPr="007B66D4">
        <w:rPr>
          <w:rFonts w:ascii="Verdana" w:hAnsi="Verdana" w:cs="Verdana"/>
          <w:i/>
          <w:iCs/>
          <w:sz w:val="16"/>
          <w:szCs w:val="16"/>
        </w:rPr>
        <w:t xml:space="preserve">Caso Vélez Restrepo y Familiares Vs. Colombia. </w:t>
      </w:r>
      <w:r w:rsidRPr="007B66D4">
        <w:rPr>
          <w:rFonts w:ascii="Verdana" w:hAnsi="Verdana" w:cs="Verdana"/>
          <w:sz w:val="16"/>
          <w:szCs w:val="16"/>
        </w:rPr>
        <w:t xml:space="preserve">Resolución del Presidente de la Corte de 25 de enero de 2012, Considerando </w:t>
      </w:r>
      <w:r>
        <w:rPr>
          <w:rFonts w:ascii="Verdana" w:hAnsi="Verdana" w:cs="Verdana"/>
          <w:sz w:val="16"/>
          <w:szCs w:val="16"/>
        </w:rPr>
        <w:t xml:space="preserve">25; </w:t>
      </w:r>
      <w:r w:rsidRPr="0092286F">
        <w:rPr>
          <w:rFonts w:ascii="Verdana" w:hAnsi="Verdana" w:cs="Verdana"/>
          <w:sz w:val="16"/>
          <w:szCs w:val="16"/>
        </w:rPr>
        <w:t xml:space="preserve">Caso </w:t>
      </w:r>
      <w:r w:rsidRPr="0092286F">
        <w:rPr>
          <w:rFonts w:ascii="Verdana" w:hAnsi="Verdana" w:cs="Verdana"/>
          <w:i/>
          <w:iCs/>
          <w:sz w:val="16"/>
          <w:szCs w:val="16"/>
        </w:rPr>
        <w:t>J. Vs Perú</w:t>
      </w:r>
      <w:r w:rsidRPr="0092286F">
        <w:rPr>
          <w:rFonts w:ascii="Verdana" w:hAnsi="Verdana" w:cs="Verdana"/>
          <w:sz w:val="16"/>
          <w:szCs w:val="16"/>
        </w:rPr>
        <w:t>. Resolución del Presidente de la Corte en ejercicio de 16</w:t>
      </w:r>
      <w:r>
        <w:rPr>
          <w:rFonts w:ascii="Verdana" w:hAnsi="Verdana" w:cs="Verdana"/>
          <w:sz w:val="16"/>
          <w:szCs w:val="16"/>
        </w:rPr>
        <w:t xml:space="preserve"> abril de 2013, Considerando 17,  </w:t>
      </w:r>
      <w:r>
        <w:rPr>
          <w:rFonts w:ascii="Verdana" w:hAnsi="Verdana" w:cs="Verdana"/>
          <w:sz w:val="16"/>
          <w:szCs w:val="16"/>
          <w:lang w:val="es-CR"/>
        </w:rPr>
        <w:t xml:space="preserve">y </w:t>
      </w:r>
      <w:r w:rsidRPr="00D07683">
        <w:rPr>
          <w:rFonts w:ascii="Verdana" w:hAnsi="Verdana" w:cs="Verdana"/>
          <w:i/>
          <w:iCs/>
          <w:sz w:val="16"/>
          <w:szCs w:val="16"/>
        </w:rPr>
        <w:t xml:space="preserve">Caso </w:t>
      </w:r>
      <w:proofErr w:type="spellStart"/>
      <w:r w:rsidRPr="00D07683">
        <w:rPr>
          <w:rFonts w:ascii="Verdana" w:hAnsi="Verdana" w:cs="Verdana"/>
          <w:i/>
          <w:iCs/>
          <w:sz w:val="16"/>
          <w:szCs w:val="16"/>
        </w:rPr>
        <w:t>Brewer</w:t>
      </w:r>
      <w:proofErr w:type="spellEnd"/>
      <w:r w:rsidRPr="00D07683">
        <w:rPr>
          <w:rFonts w:ascii="Verdana" w:hAnsi="Verdana" w:cs="Verdana"/>
          <w:i/>
          <w:iCs/>
          <w:sz w:val="16"/>
          <w:szCs w:val="16"/>
        </w:rPr>
        <w:t xml:space="preserve"> Carías Vs. Venezuela</w:t>
      </w:r>
      <w:r w:rsidRPr="001B4014">
        <w:rPr>
          <w:rFonts w:ascii="Verdana" w:hAnsi="Verdana" w:cs="Verdana"/>
          <w:sz w:val="16"/>
          <w:szCs w:val="16"/>
        </w:rPr>
        <w:t>. Resolución del</w:t>
      </w:r>
      <w:r w:rsidRPr="001B4014">
        <w:rPr>
          <w:rFonts w:ascii="Verdana" w:hAnsi="Verdana" w:cs="Verdana"/>
          <w:sz w:val="16"/>
          <w:szCs w:val="16"/>
          <w:shd w:val="clear" w:color="auto" w:fill="FFFFFF"/>
        </w:rPr>
        <w:t xml:space="preserve"> </w:t>
      </w:r>
      <w:r w:rsidRPr="001B4014">
        <w:rPr>
          <w:rFonts w:ascii="Verdana" w:hAnsi="Verdana" w:cs="Verdana"/>
          <w:sz w:val="16"/>
          <w:szCs w:val="16"/>
        </w:rPr>
        <w:t xml:space="preserve">Presidente de la Corte Interamericana de Derechos Humanos de 31 de julio de 2013, </w:t>
      </w:r>
      <w:r w:rsidRPr="001B4014">
        <w:rPr>
          <w:rFonts w:ascii="Verdana" w:hAnsi="Verdana" w:cs="Verdana"/>
          <w:sz w:val="16"/>
          <w:szCs w:val="16"/>
          <w:shd w:val="clear" w:color="auto" w:fill="FFFFFF"/>
        </w:rPr>
        <w:t>Considerando</w:t>
      </w:r>
      <w:r>
        <w:rPr>
          <w:rFonts w:ascii="Verdana" w:hAnsi="Verdana" w:cs="Verdana"/>
          <w:sz w:val="16"/>
          <w:szCs w:val="16"/>
          <w:shd w:val="clear" w:color="auto" w:fill="FFFFFF"/>
        </w:rPr>
        <w:t xml:space="preserve"> 62.</w:t>
      </w:r>
    </w:p>
  </w:footnote>
  <w:footnote w:id="15">
    <w:p w:rsidR="007804B2" w:rsidRDefault="007804B2">
      <w:pPr>
        <w:pStyle w:val="FootnoteText"/>
        <w:spacing w:after="60"/>
        <w:jc w:val="both"/>
      </w:pPr>
      <w:r w:rsidRPr="007B66D4">
        <w:rPr>
          <w:rStyle w:val="FootnoteReference"/>
          <w:rFonts w:ascii="Verdana" w:hAnsi="Verdana" w:cs="Verdana"/>
          <w:sz w:val="16"/>
          <w:szCs w:val="16"/>
        </w:rPr>
        <w:footnoteRef/>
      </w:r>
      <w:r w:rsidRPr="007B66D4">
        <w:rPr>
          <w:rFonts w:ascii="Verdana" w:hAnsi="Verdana" w:cs="Verdana"/>
          <w:sz w:val="16"/>
          <w:szCs w:val="16"/>
        </w:rPr>
        <w:t xml:space="preserve"> </w:t>
      </w:r>
      <w:r w:rsidRPr="007B66D4">
        <w:rPr>
          <w:rFonts w:ascii="Verdana" w:hAnsi="Verdana" w:cs="Verdana"/>
          <w:sz w:val="16"/>
          <w:szCs w:val="16"/>
        </w:rPr>
        <w:tab/>
      </w:r>
      <w:r w:rsidRPr="00302FF2">
        <w:rPr>
          <w:rFonts w:ascii="Verdana" w:hAnsi="Verdana" w:cs="Verdana"/>
          <w:i/>
          <w:iCs/>
          <w:sz w:val="16"/>
          <w:szCs w:val="16"/>
        </w:rPr>
        <w:t xml:space="preserve">Cfr. </w:t>
      </w:r>
      <w:r w:rsidRPr="00302FF2">
        <w:rPr>
          <w:rFonts w:ascii="Verdana" w:hAnsi="Verdana" w:cs="Verdana"/>
          <w:i/>
          <w:iCs/>
          <w:sz w:val="16"/>
          <w:szCs w:val="16"/>
          <w:lang w:val="es-CR"/>
        </w:rPr>
        <w:t xml:space="preserve">Caso </w:t>
      </w:r>
      <w:proofErr w:type="spellStart"/>
      <w:r w:rsidRPr="00302FF2">
        <w:rPr>
          <w:rFonts w:ascii="Verdana" w:hAnsi="Verdana" w:cs="Verdana"/>
          <w:i/>
          <w:iCs/>
          <w:sz w:val="16"/>
          <w:szCs w:val="16"/>
          <w:lang w:val="es-CR"/>
        </w:rPr>
        <w:t>Gelman</w:t>
      </w:r>
      <w:proofErr w:type="spellEnd"/>
      <w:r w:rsidRPr="00302FF2">
        <w:rPr>
          <w:rFonts w:ascii="Verdana" w:hAnsi="Verdana" w:cs="Verdana"/>
          <w:i/>
          <w:iCs/>
          <w:sz w:val="16"/>
          <w:szCs w:val="16"/>
          <w:lang w:val="es-CR"/>
        </w:rPr>
        <w:t xml:space="preserve"> Vs Uruguay</w:t>
      </w:r>
      <w:r w:rsidRPr="00302FF2">
        <w:rPr>
          <w:rFonts w:ascii="Verdana" w:hAnsi="Verdana" w:cs="Verdana"/>
          <w:sz w:val="16"/>
          <w:szCs w:val="16"/>
          <w:lang w:val="es-CR"/>
        </w:rPr>
        <w:t>. Resolución del Presidente de la Corte de 23 de septiembre de 2010, Visto segundo, Considerando 6; Caso</w:t>
      </w:r>
      <w:r w:rsidRPr="00302FF2">
        <w:rPr>
          <w:rFonts w:ascii="Verdana" w:hAnsi="Verdana" w:cs="Verdana"/>
          <w:i/>
          <w:iCs/>
          <w:sz w:val="16"/>
          <w:szCs w:val="16"/>
          <w:lang w:val="es-CR"/>
        </w:rPr>
        <w:t xml:space="preserve"> Contreras y otros Vs</w:t>
      </w:r>
      <w:r>
        <w:rPr>
          <w:rFonts w:ascii="Verdana" w:hAnsi="Verdana" w:cs="Verdana"/>
          <w:i/>
          <w:iCs/>
          <w:sz w:val="16"/>
          <w:szCs w:val="16"/>
          <w:lang w:val="es-CR"/>
        </w:rPr>
        <w:t>.</w:t>
      </w:r>
      <w:r w:rsidRPr="00302FF2">
        <w:rPr>
          <w:rFonts w:ascii="Verdana" w:hAnsi="Verdana" w:cs="Verdana"/>
          <w:i/>
          <w:iCs/>
          <w:sz w:val="16"/>
          <w:szCs w:val="16"/>
          <w:lang w:val="es-CR"/>
        </w:rPr>
        <w:t xml:space="preserve"> El Salvador</w:t>
      </w:r>
      <w:r w:rsidRPr="00302FF2">
        <w:rPr>
          <w:rFonts w:ascii="Verdana" w:hAnsi="Verdana" w:cs="Verdana"/>
          <w:sz w:val="16"/>
          <w:szCs w:val="16"/>
          <w:lang w:val="es-CR"/>
        </w:rPr>
        <w:t>. Resolución del Presidente de la Corte de 14 de abril de 2011, Considerandos 16 a 18;</w:t>
      </w:r>
      <w:r w:rsidRPr="00302FF2">
        <w:rPr>
          <w:rFonts w:ascii="Verdana" w:hAnsi="Verdana" w:cs="Verdana"/>
          <w:i/>
          <w:iCs/>
          <w:sz w:val="16"/>
          <w:szCs w:val="16"/>
        </w:rPr>
        <w:t xml:space="preserve"> Caso</w:t>
      </w:r>
      <w:r w:rsidRPr="00302FF2">
        <w:rPr>
          <w:rFonts w:ascii="Verdana" w:hAnsi="Verdana" w:cs="Verdana"/>
          <w:sz w:val="16"/>
          <w:szCs w:val="16"/>
        </w:rPr>
        <w:t xml:space="preserve"> </w:t>
      </w:r>
      <w:r w:rsidRPr="00302FF2">
        <w:rPr>
          <w:rFonts w:ascii="Verdana" w:hAnsi="Verdana" w:cs="Verdana"/>
          <w:i/>
          <w:iCs/>
          <w:sz w:val="16"/>
          <w:szCs w:val="16"/>
          <w:lang w:val="es-CR"/>
        </w:rPr>
        <w:t>González Medina y familiares Vs República Dominicana</w:t>
      </w:r>
      <w:r w:rsidRPr="00302FF2">
        <w:rPr>
          <w:rFonts w:ascii="Verdana" w:hAnsi="Verdana" w:cs="Verdana"/>
          <w:sz w:val="16"/>
          <w:szCs w:val="16"/>
          <w:lang w:val="es-CR"/>
        </w:rPr>
        <w:t>. Resolución del Presidente de la Corte de 3 junio 2011, Considerando 17</w:t>
      </w:r>
      <w:r>
        <w:rPr>
          <w:rFonts w:ascii="Verdana" w:hAnsi="Verdana" w:cs="Verdana"/>
          <w:sz w:val="16"/>
          <w:szCs w:val="16"/>
          <w:lang w:val="es-CR"/>
        </w:rPr>
        <w:t>;</w:t>
      </w:r>
      <w:r w:rsidRPr="00302FF2">
        <w:rPr>
          <w:rFonts w:ascii="Verdana" w:hAnsi="Verdana" w:cs="Verdana"/>
          <w:i/>
          <w:iCs/>
          <w:sz w:val="16"/>
          <w:szCs w:val="16"/>
          <w:lang w:val="es-CR"/>
        </w:rPr>
        <w:t xml:space="preserve"> Caso </w:t>
      </w:r>
      <w:proofErr w:type="spellStart"/>
      <w:r w:rsidRPr="00302FF2">
        <w:rPr>
          <w:rFonts w:ascii="Verdana" w:hAnsi="Verdana" w:cs="Verdana"/>
          <w:i/>
          <w:iCs/>
          <w:sz w:val="16"/>
          <w:szCs w:val="16"/>
          <w:lang w:val="es-CR"/>
        </w:rPr>
        <w:t>Artavia</w:t>
      </w:r>
      <w:proofErr w:type="spellEnd"/>
      <w:r w:rsidRPr="00302FF2">
        <w:rPr>
          <w:rFonts w:ascii="Verdana" w:hAnsi="Verdana" w:cs="Verdana"/>
          <w:i/>
          <w:iCs/>
          <w:sz w:val="16"/>
          <w:szCs w:val="16"/>
          <w:lang w:val="es-CR"/>
        </w:rPr>
        <w:t xml:space="preserve"> Murillo y otros (“Fertilización in vitro”) Vs. Costa Rica</w:t>
      </w:r>
      <w:r w:rsidRPr="00302FF2">
        <w:rPr>
          <w:rFonts w:ascii="Verdana" w:hAnsi="Verdana" w:cs="Verdana"/>
          <w:sz w:val="16"/>
          <w:szCs w:val="16"/>
          <w:lang w:val="es-CR"/>
        </w:rPr>
        <w:t>. Resolución del Presidente de la Corte de 6 de agosto de 2012, Considerandos 6 y 7</w:t>
      </w:r>
      <w:r>
        <w:rPr>
          <w:rFonts w:ascii="Verdana" w:hAnsi="Verdana" w:cs="Verdana"/>
          <w:sz w:val="16"/>
          <w:szCs w:val="16"/>
          <w:lang w:val="es-CR"/>
        </w:rPr>
        <w:t>;</w:t>
      </w:r>
      <w:r w:rsidRPr="00A109D4">
        <w:rPr>
          <w:rFonts w:ascii="Verdana" w:hAnsi="Verdana" w:cs="Verdana"/>
          <w:sz w:val="16"/>
          <w:szCs w:val="16"/>
          <w:lang w:val="es-CR"/>
        </w:rPr>
        <w:t xml:space="preserve"> C</w:t>
      </w:r>
      <w:r w:rsidRPr="00A109D4">
        <w:rPr>
          <w:rFonts w:ascii="Verdana" w:hAnsi="Verdana" w:cs="Verdana"/>
          <w:sz w:val="16"/>
          <w:szCs w:val="16"/>
        </w:rPr>
        <w:t xml:space="preserve">aso </w:t>
      </w:r>
      <w:r w:rsidRPr="00A109D4">
        <w:rPr>
          <w:rFonts w:ascii="Verdana" w:hAnsi="Verdana" w:cs="Verdana"/>
          <w:i/>
          <w:iCs/>
          <w:sz w:val="16"/>
          <w:szCs w:val="16"/>
        </w:rPr>
        <w:t>J. Vs Perú</w:t>
      </w:r>
      <w:r w:rsidRPr="00A109D4">
        <w:rPr>
          <w:rFonts w:ascii="Verdana" w:hAnsi="Verdana" w:cs="Verdana"/>
          <w:sz w:val="16"/>
          <w:szCs w:val="16"/>
        </w:rPr>
        <w:t>. Resolución del Presidente de la Corte en ejercicio de 16 de abril 2013, Considerando 45</w:t>
      </w:r>
      <w:r>
        <w:rPr>
          <w:rFonts w:ascii="Verdana" w:hAnsi="Verdana" w:cs="Verdana"/>
          <w:sz w:val="16"/>
          <w:szCs w:val="16"/>
          <w:lang w:val="es-CR"/>
        </w:rPr>
        <w:t xml:space="preserve">, y </w:t>
      </w:r>
      <w:r w:rsidRPr="00D07683">
        <w:rPr>
          <w:rFonts w:ascii="Verdana" w:hAnsi="Verdana" w:cs="Verdana"/>
          <w:i/>
          <w:iCs/>
          <w:sz w:val="16"/>
          <w:szCs w:val="16"/>
        </w:rPr>
        <w:t xml:space="preserve">Caso </w:t>
      </w:r>
      <w:proofErr w:type="spellStart"/>
      <w:r w:rsidRPr="00D07683">
        <w:rPr>
          <w:rFonts w:ascii="Verdana" w:hAnsi="Verdana" w:cs="Verdana"/>
          <w:i/>
          <w:iCs/>
          <w:sz w:val="16"/>
          <w:szCs w:val="16"/>
        </w:rPr>
        <w:t>Brewer</w:t>
      </w:r>
      <w:proofErr w:type="spellEnd"/>
      <w:r w:rsidRPr="00D07683">
        <w:rPr>
          <w:rFonts w:ascii="Verdana" w:hAnsi="Verdana" w:cs="Verdana"/>
          <w:i/>
          <w:iCs/>
          <w:sz w:val="16"/>
          <w:szCs w:val="16"/>
        </w:rPr>
        <w:t xml:space="preserve"> Carías Vs. Venezuela</w:t>
      </w:r>
      <w:r w:rsidRPr="001B4014">
        <w:rPr>
          <w:rFonts w:ascii="Verdana" w:hAnsi="Verdana" w:cs="Verdana"/>
          <w:sz w:val="16"/>
          <w:szCs w:val="16"/>
        </w:rPr>
        <w:t>. Resolución del</w:t>
      </w:r>
      <w:r w:rsidRPr="001B4014">
        <w:rPr>
          <w:rFonts w:ascii="Verdana" w:hAnsi="Verdana" w:cs="Verdana"/>
          <w:sz w:val="16"/>
          <w:szCs w:val="16"/>
          <w:shd w:val="clear" w:color="auto" w:fill="FFFFFF"/>
        </w:rPr>
        <w:t xml:space="preserve"> </w:t>
      </w:r>
      <w:r w:rsidRPr="001B4014">
        <w:rPr>
          <w:rFonts w:ascii="Verdana" w:hAnsi="Verdana" w:cs="Verdana"/>
          <w:sz w:val="16"/>
          <w:szCs w:val="16"/>
        </w:rPr>
        <w:t xml:space="preserve">Presidente de la Corte Interamericana de Derechos Humanos de 31 de julio de 2013, </w:t>
      </w:r>
      <w:r w:rsidRPr="001B4014">
        <w:rPr>
          <w:rFonts w:ascii="Verdana" w:hAnsi="Verdana" w:cs="Verdana"/>
          <w:sz w:val="16"/>
          <w:szCs w:val="16"/>
          <w:shd w:val="clear" w:color="auto" w:fill="FFFFFF"/>
        </w:rPr>
        <w:t>Considerando</w:t>
      </w:r>
      <w:r>
        <w:rPr>
          <w:rFonts w:ascii="Verdana" w:hAnsi="Verdana" w:cs="Verdana"/>
          <w:sz w:val="16"/>
          <w:szCs w:val="16"/>
          <w:shd w:val="clear" w:color="auto" w:fill="FFFFFF"/>
        </w:rPr>
        <w:t xml:space="preserve"> 63.</w:t>
      </w:r>
    </w:p>
  </w:footnote>
  <w:footnote w:id="16">
    <w:p w:rsidR="007804B2" w:rsidRDefault="007804B2">
      <w:pPr>
        <w:widowControl w:val="0"/>
        <w:autoSpaceDE w:val="0"/>
        <w:autoSpaceDN w:val="0"/>
        <w:adjustRightInd w:val="0"/>
        <w:spacing w:after="60" w:line="240" w:lineRule="auto"/>
        <w:ind w:right="10"/>
        <w:jc w:val="both"/>
      </w:pPr>
      <w:r w:rsidRPr="007B66D4">
        <w:rPr>
          <w:rStyle w:val="FootnoteReference"/>
          <w:rFonts w:ascii="Verdana" w:hAnsi="Verdana" w:cs="Verdana"/>
          <w:sz w:val="16"/>
          <w:szCs w:val="16"/>
        </w:rPr>
        <w:footnoteRef/>
      </w:r>
      <w:r w:rsidRPr="007B66D4">
        <w:rPr>
          <w:rFonts w:ascii="Verdana" w:hAnsi="Verdana" w:cs="Verdana"/>
          <w:sz w:val="16"/>
          <w:szCs w:val="16"/>
        </w:rPr>
        <w:t xml:space="preserve"> </w:t>
      </w:r>
      <w:r>
        <w:rPr>
          <w:rFonts w:ascii="Verdana" w:hAnsi="Verdana" w:cs="Verdana"/>
          <w:sz w:val="16"/>
          <w:szCs w:val="16"/>
        </w:rPr>
        <w:tab/>
      </w:r>
      <w:r w:rsidRPr="00A109D4">
        <w:rPr>
          <w:rFonts w:ascii="Verdana" w:hAnsi="Verdana" w:cs="Verdana"/>
          <w:i/>
          <w:iCs/>
          <w:sz w:val="16"/>
          <w:szCs w:val="16"/>
        </w:rPr>
        <w:t>Cfr. C</w:t>
      </w:r>
      <w:r w:rsidRPr="00A109D4">
        <w:rPr>
          <w:rFonts w:ascii="Verdana" w:hAnsi="Verdana" w:cs="Verdana"/>
          <w:i/>
          <w:iCs/>
          <w:sz w:val="16"/>
          <w:szCs w:val="16"/>
          <w:lang w:val="es-CR"/>
        </w:rPr>
        <w:t>aso González Medina y familiares Vs</w:t>
      </w:r>
      <w:r>
        <w:rPr>
          <w:rFonts w:ascii="Verdana" w:hAnsi="Verdana" w:cs="Verdana"/>
          <w:i/>
          <w:iCs/>
          <w:sz w:val="16"/>
          <w:szCs w:val="16"/>
          <w:lang w:val="es-CR"/>
        </w:rPr>
        <w:t>.</w:t>
      </w:r>
      <w:r w:rsidRPr="00A109D4">
        <w:rPr>
          <w:rFonts w:ascii="Verdana" w:hAnsi="Verdana" w:cs="Verdana"/>
          <w:i/>
          <w:iCs/>
          <w:sz w:val="16"/>
          <w:szCs w:val="16"/>
          <w:lang w:val="es-CR"/>
        </w:rPr>
        <w:t xml:space="preserve"> República Dominicana</w:t>
      </w:r>
      <w:r w:rsidRPr="00A109D4">
        <w:rPr>
          <w:rFonts w:ascii="Verdana" w:hAnsi="Verdana" w:cs="Verdana"/>
          <w:sz w:val="16"/>
          <w:szCs w:val="16"/>
          <w:lang w:val="es-CR"/>
        </w:rPr>
        <w:t>. Resolución del Presidente de la Corte de 3</w:t>
      </w:r>
      <w:r>
        <w:rPr>
          <w:rFonts w:ascii="Verdana" w:hAnsi="Verdana" w:cs="Verdana"/>
          <w:sz w:val="16"/>
          <w:szCs w:val="16"/>
          <w:lang w:val="es-CR"/>
        </w:rPr>
        <w:t xml:space="preserve"> junio 2011, Considerando 17; </w:t>
      </w:r>
      <w:r w:rsidRPr="00A109D4">
        <w:rPr>
          <w:rFonts w:ascii="Verdana" w:hAnsi="Verdana" w:cs="Verdana"/>
          <w:sz w:val="16"/>
          <w:szCs w:val="16"/>
          <w:lang w:val="es-CR"/>
        </w:rPr>
        <w:t>C</w:t>
      </w:r>
      <w:r w:rsidRPr="00A109D4">
        <w:rPr>
          <w:rFonts w:ascii="Verdana" w:hAnsi="Verdana" w:cs="Verdana"/>
          <w:sz w:val="16"/>
          <w:szCs w:val="16"/>
        </w:rPr>
        <w:t xml:space="preserve">aso </w:t>
      </w:r>
      <w:r w:rsidRPr="00A109D4">
        <w:rPr>
          <w:rFonts w:ascii="Verdana" w:hAnsi="Verdana" w:cs="Verdana"/>
          <w:i/>
          <w:iCs/>
          <w:sz w:val="16"/>
          <w:szCs w:val="16"/>
        </w:rPr>
        <w:t>J. Vs</w:t>
      </w:r>
      <w:r>
        <w:rPr>
          <w:rFonts w:ascii="Verdana" w:hAnsi="Verdana" w:cs="Verdana"/>
          <w:i/>
          <w:iCs/>
          <w:sz w:val="16"/>
          <w:szCs w:val="16"/>
        </w:rPr>
        <w:t>.</w:t>
      </w:r>
      <w:r w:rsidRPr="00A109D4">
        <w:rPr>
          <w:rFonts w:ascii="Verdana" w:hAnsi="Verdana" w:cs="Verdana"/>
          <w:i/>
          <w:iCs/>
          <w:sz w:val="16"/>
          <w:szCs w:val="16"/>
        </w:rPr>
        <w:t xml:space="preserve"> Perú</w:t>
      </w:r>
      <w:r w:rsidRPr="00A109D4">
        <w:rPr>
          <w:rFonts w:ascii="Verdana" w:hAnsi="Verdana" w:cs="Verdana"/>
          <w:sz w:val="16"/>
          <w:szCs w:val="16"/>
        </w:rPr>
        <w:t>. Resolución del Presidente de la Corte en ejercicio de 16 de abril 2013, Considerando 45</w:t>
      </w:r>
      <w:r>
        <w:rPr>
          <w:rFonts w:ascii="Verdana" w:hAnsi="Verdana" w:cs="Verdana"/>
          <w:sz w:val="16"/>
          <w:szCs w:val="16"/>
          <w:lang w:val="es-CR"/>
        </w:rPr>
        <w:t xml:space="preserve">, y </w:t>
      </w:r>
      <w:r w:rsidRPr="00D07683">
        <w:rPr>
          <w:rFonts w:ascii="Verdana" w:hAnsi="Verdana" w:cs="Verdana"/>
          <w:i/>
          <w:iCs/>
          <w:sz w:val="16"/>
          <w:szCs w:val="16"/>
        </w:rPr>
        <w:t xml:space="preserve">Caso </w:t>
      </w:r>
      <w:proofErr w:type="spellStart"/>
      <w:r w:rsidRPr="00D07683">
        <w:rPr>
          <w:rFonts w:ascii="Verdana" w:hAnsi="Verdana" w:cs="Verdana"/>
          <w:i/>
          <w:iCs/>
          <w:sz w:val="16"/>
          <w:szCs w:val="16"/>
        </w:rPr>
        <w:t>Brewer</w:t>
      </w:r>
      <w:proofErr w:type="spellEnd"/>
      <w:r w:rsidRPr="00D07683">
        <w:rPr>
          <w:rFonts w:ascii="Verdana" w:hAnsi="Verdana" w:cs="Verdana"/>
          <w:i/>
          <w:iCs/>
          <w:sz w:val="16"/>
          <w:szCs w:val="16"/>
        </w:rPr>
        <w:t xml:space="preserve"> Carías Vs. Venezuela</w:t>
      </w:r>
      <w:r w:rsidRPr="001B4014">
        <w:rPr>
          <w:rFonts w:ascii="Verdana" w:hAnsi="Verdana" w:cs="Verdana"/>
          <w:sz w:val="16"/>
          <w:szCs w:val="16"/>
        </w:rPr>
        <w:t>. Resolución del</w:t>
      </w:r>
      <w:r w:rsidRPr="001B4014">
        <w:rPr>
          <w:rFonts w:ascii="Verdana" w:hAnsi="Verdana" w:cs="Verdana"/>
          <w:sz w:val="16"/>
          <w:szCs w:val="16"/>
          <w:shd w:val="clear" w:color="auto" w:fill="FFFFFF"/>
        </w:rPr>
        <w:t xml:space="preserve"> </w:t>
      </w:r>
      <w:r w:rsidRPr="001B4014">
        <w:rPr>
          <w:rFonts w:ascii="Verdana" w:hAnsi="Verdana" w:cs="Verdana"/>
          <w:sz w:val="16"/>
          <w:szCs w:val="16"/>
        </w:rPr>
        <w:t xml:space="preserve">Presidente de la Corte Interamericana de Derechos Humanos de 31 de julio de 2013, </w:t>
      </w:r>
      <w:r w:rsidRPr="001B4014">
        <w:rPr>
          <w:rFonts w:ascii="Verdana" w:hAnsi="Verdana" w:cs="Verdana"/>
          <w:sz w:val="16"/>
          <w:szCs w:val="16"/>
          <w:shd w:val="clear" w:color="auto" w:fill="FFFFFF"/>
        </w:rPr>
        <w:t xml:space="preserve">Considerando. </w:t>
      </w:r>
      <w:r>
        <w:rPr>
          <w:rFonts w:ascii="Verdana" w:hAnsi="Verdana" w:cs="Verdana"/>
          <w:sz w:val="16"/>
          <w:szCs w:val="16"/>
          <w:shd w:val="clear" w:color="auto" w:fill="FFFFFF"/>
        </w:rPr>
        <w:t>63.</w:t>
      </w:r>
    </w:p>
  </w:footnote>
  <w:footnote w:id="17">
    <w:p w:rsidR="007804B2" w:rsidRDefault="007804B2">
      <w:pPr>
        <w:pStyle w:val="FootnoteText"/>
        <w:tabs>
          <w:tab w:val="left" w:pos="567"/>
        </w:tabs>
        <w:spacing w:after="60"/>
        <w:jc w:val="both"/>
      </w:pPr>
      <w:r w:rsidRPr="00DD421D">
        <w:rPr>
          <w:rStyle w:val="FootnoteReference"/>
          <w:rFonts w:ascii="Verdana" w:hAnsi="Verdana" w:cs="Verdana"/>
          <w:sz w:val="16"/>
          <w:szCs w:val="16"/>
        </w:rPr>
        <w:footnoteRef/>
      </w:r>
      <w:r w:rsidRPr="00DD421D">
        <w:rPr>
          <w:rFonts w:ascii="Verdana" w:hAnsi="Verdana" w:cs="Verdana"/>
          <w:sz w:val="16"/>
          <w:szCs w:val="16"/>
        </w:rPr>
        <w:t xml:space="preserve"> </w:t>
      </w:r>
      <w:r w:rsidRPr="00DD421D">
        <w:rPr>
          <w:rFonts w:ascii="Verdana" w:hAnsi="Verdana" w:cs="Verdana"/>
          <w:sz w:val="16"/>
          <w:szCs w:val="16"/>
          <w:lang w:val="es-CR"/>
        </w:rPr>
        <w:tab/>
      </w:r>
      <w:r w:rsidRPr="00DD421D">
        <w:rPr>
          <w:rFonts w:ascii="Verdana" w:hAnsi="Verdana" w:cs="Verdana"/>
          <w:sz w:val="16"/>
          <w:szCs w:val="16"/>
        </w:rPr>
        <w:t>Caso Familia Barrios Vs. Venezuela. Fondo, Reparaciones y Costas. Sentencia de 24 de noviembre de 2011. Serie C No. 237.</w:t>
      </w:r>
    </w:p>
  </w:footnote>
  <w:footnote w:id="18">
    <w:p w:rsidR="007804B2" w:rsidRDefault="007804B2">
      <w:pPr>
        <w:pStyle w:val="FootnoteText"/>
        <w:spacing w:after="60"/>
        <w:jc w:val="both"/>
      </w:pPr>
      <w:r w:rsidRPr="00DD421D">
        <w:rPr>
          <w:rStyle w:val="FootnoteReference"/>
          <w:rFonts w:ascii="Verdana" w:hAnsi="Verdana" w:cs="Verdana"/>
          <w:sz w:val="16"/>
          <w:szCs w:val="16"/>
        </w:rPr>
        <w:footnoteRef/>
      </w:r>
      <w:r w:rsidRPr="00DD421D">
        <w:rPr>
          <w:rFonts w:ascii="Verdana" w:hAnsi="Verdana" w:cs="Verdana"/>
          <w:sz w:val="16"/>
          <w:szCs w:val="16"/>
        </w:rPr>
        <w:t xml:space="preserve"> </w:t>
      </w:r>
      <w:r w:rsidRPr="00DD421D">
        <w:rPr>
          <w:rFonts w:ascii="Verdana" w:hAnsi="Verdana" w:cs="Verdana"/>
          <w:sz w:val="16"/>
          <w:szCs w:val="16"/>
          <w:lang w:val="es-CR"/>
        </w:rPr>
        <w:tab/>
      </w:r>
      <w:r w:rsidRPr="00DD421D">
        <w:rPr>
          <w:rFonts w:ascii="Verdana" w:hAnsi="Verdana" w:cs="Verdana"/>
          <w:i/>
          <w:iCs/>
          <w:sz w:val="16"/>
          <w:szCs w:val="16"/>
          <w:lang w:val="es-CR"/>
        </w:rPr>
        <w:t>Cfr</w:t>
      </w:r>
      <w:r w:rsidRPr="00DD421D">
        <w:rPr>
          <w:rFonts w:ascii="Verdana" w:hAnsi="Verdana" w:cs="Verdana"/>
          <w:sz w:val="16"/>
          <w:szCs w:val="16"/>
          <w:lang w:val="es-CR"/>
        </w:rPr>
        <w:t xml:space="preserve">. Caso Néstor José y Luis </w:t>
      </w:r>
      <w:proofErr w:type="spellStart"/>
      <w:r w:rsidRPr="00DD421D">
        <w:rPr>
          <w:rFonts w:ascii="Verdana" w:hAnsi="Verdana" w:cs="Verdana"/>
          <w:sz w:val="16"/>
          <w:szCs w:val="16"/>
          <w:lang w:val="es-CR"/>
        </w:rPr>
        <w:t>Uzcátegui</w:t>
      </w:r>
      <w:proofErr w:type="spellEnd"/>
      <w:r w:rsidRPr="00DD421D">
        <w:rPr>
          <w:rFonts w:ascii="Verdana" w:hAnsi="Verdana" w:cs="Verdana"/>
          <w:sz w:val="16"/>
          <w:szCs w:val="16"/>
          <w:lang w:val="es-CR"/>
        </w:rPr>
        <w:t xml:space="preserve"> y otros Vs. Venezuela. Resolución del Presidente de la Corte de 3 de noviembre de 2011, Considerando 23</w:t>
      </w:r>
      <w:r>
        <w:rPr>
          <w:rFonts w:ascii="Verdana" w:hAnsi="Verdana" w:cs="Verdana"/>
          <w:sz w:val="16"/>
          <w:szCs w:val="16"/>
          <w:lang w:val="es-CR"/>
        </w:rPr>
        <w:t xml:space="preserve">, y </w:t>
      </w:r>
      <w:r w:rsidRPr="00DD421D">
        <w:rPr>
          <w:rFonts w:ascii="Verdana" w:hAnsi="Verdana" w:cs="Verdana"/>
          <w:sz w:val="16"/>
          <w:szCs w:val="16"/>
          <w:lang w:val="es-CR"/>
        </w:rPr>
        <w:t xml:space="preserve"> </w:t>
      </w:r>
      <w:r w:rsidRPr="00DD421D">
        <w:rPr>
          <w:rFonts w:ascii="Verdana" w:hAnsi="Verdana" w:cs="Verdana"/>
          <w:i/>
          <w:iCs/>
          <w:sz w:val="16"/>
          <w:szCs w:val="16"/>
        </w:rPr>
        <w:t xml:space="preserve">Caso </w:t>
      </w:r>
      <w:proofErr w:type="spellStart"/>
      <w:r w:rsidRPr="00DD421D">
        <w:rPr>
          <w:rFonts w:ascii="Verdana" w:hAnsi="Verdana" w:cs="Verdana"/>
          <w:i/>
          <w:iCs/>
          <w:sz w:val="16"/>
          <w:szCs w:val="16"/>
        </w:rPr>
        <w:t>Brewer</w:t>
      </w:r>
      <w:proofErr w:type="spellEnd"/>
      <w:r w:rsidRPr="00DD421D">
        <w:rPr>
          <w:rFonts w:ascii="Verdana" w:hAnsi="Verdana" w:cs="Verdana"/>
          <w:i/>
          <w:iCs/>
          <w:sz w:val="16"/>
          <w:szCs w:val="16"/>
        </w:rPr>
        <w:t xml:space="preserve"> Carías Vs. Venezuela</w:t>
      </w:r>
      <w:r w:rsidRPr="00DD421D">
        <w:rPr>
          <w:rFonts w:ascii="Verdana" w:hAnsi="Verdana" w:cs="Verdana"/>
          <w:sz w:val="16"/>
          <w:szCs w:val="16"/>
        </w:rPr>
        <w:t>. Resolución del</w:t>
      </w:r>
      <w:r w:rsidRPr="00DD421D">
        <w:rPr>
          <w:rFonts w:ascii="Verdana" w:hAnsi="Verdana" w:cs="Verdana"/>
          <w:sz w:val="16"/>
          <w:szCs w:val="16"/>
          <w:shd w:val="clear" w:color="auto" w:fill="FFFFFF"/>
        </w:rPr>
        <w:t xml:space="preserve"> </w:t>
      </w:r>
      <w:r w:rsidRPr="00DD421D">
        <w:rPr>
          <w:rFonts w:ascii="Verdana" w:hAnsi="Verdana" w:cs="Verdana"/>
          <w:sz w:val="16"/>
          <w:szCs w:val="16"/>
        </w:rPr>
        <w:t xml:space="preserve">Presidente de la Corte Interamericana de Derechos Humanos de 31 de julio de 2013, </w:t>
      </w:r>
      <w:r w:rsidRPr="00DD421D">
        <w:rPr>
          <w:rFonts w:ascii="Verdana" w:hAnsi="Verdana" w:cs="Verdana"/>
          <w:sz w:val="16"/>
          <w:szCs w:val="16"/>
          <w:shd w:val="clear" w:color="auto" w:fill="FFFFFF"/>
        </w:rPr>
        <w:t>Considerando 48</w:t>
      </w:r>
    </w:p>
  </w:footnote>
  <w:footnote w:id="19">
    <w:p w:rsidR="007804B2" w:rsidRDefault="007804B2">
      <w:pPr>
        <w:pStyle w:val="FootnoteText"/>
        <w:spacing w:after="60"/>
        <w:jc w:val="both"/>
      </w:pPr>
      <w:r w:rsidRPr="007B66D4">
        <w:rPr>
          <w:rStyle w:val="FootnoteReference"/>
          <w:rFonts w:ascii="Verdana" w:hAnsi="Verdana" w:cs="Verdana"/>
          <w:sz w:val="16"/>
          <w:szCs w:val="16"/>
        </w:rPr>
        <w:footnoteRef/>
      </w:r>
      <w:r w:rsidRPr="007B66D4">
        <w:rPr>
          <w:rStyle w:val="FootnoteReference"/>
          <w:rFonts w:ascii="Verdana" w:hAnsi="Verdana" w:cs="Verdana"/>
          <w:sz w:val="16"/>
          <w:szCs w:val="16"/>
        </w:rPr>
        <w:t xml:space="preserve"> </w:t>
      </w:r>
      <w:r w:rsidRPr="007B66D4">
        <w:rPr>
          <w:rFonts w:ascii="Verdana" w:hAnsi="Verdana" w:cs="Verdana"/>
          <w:sz w:val="16"/>
          <w:szCs w:val="16"/>
        </w:rPr>
        <w:tab/>
      </w:r>
      <w:r w:rsidRPr="007B66D4">
        <w:rPr>
          <w:rFonts w:ascii="Verdana" w:hAnsi="Verdana" w:cs="Verdana"/>
          <w:i/>
          <w:iCs/>
          <w:sz w:val="16"/>
          <w:szCs w:val="16"/>
        </w:rPr>
        <w:t>Cfr. Caso Díaz Peña Vs. Venezuela</w:t>
      </w:r>
      <w:r w:rsidRPr="007B66D4">
        <w:rPr>
          <w:rFonts w:ascii="Verdana" w:hAnsi="Verdana" w:cs="Verdana"/>
          <w:sz w:val="16"/>
          <w:szCs w:val="16"/>
        </w:rPr>
        <w:t xml:space="preserve">. Resolución del Presidente de la Corte de 2 de noviembre de 2011, Considerando 23; </w:t>
      </w:r>
      <w:r w:rsidRPr="007B66D4">
        <w:rPr>
          <w:rFonts w:ascii="Verdana" w:hAnsi="Verdana" w:cs="Verdana"/>
          <w:i/>
          <w:iCs/>
          <w:sz w:val="16"/>
          <w:szCs w:val="16"/>
        </w:rPr>
        <w:t xml:space="preserve">Caso Néstor José y Luis </w:t>
      </w:r>
      <w:proofErr w:type="spellStart"/>
      <w:r w:rsidRPr="007B66D4">
        <w:rPr>
          <w:rFonts w:ascii="Verdana" w:hAnsi="Verdana" w:cs="Verdana"/>
          <w:i/>
          <w:iCs/>
          <w:sz w:val="16"/>
          <w:szCs w:val="16"/>
        </w:rPr>
        <w:t>Uzcátegui</w:t>
      </w:r>
      <w:proofErr w:type="spellEnd"/>
      <w:r w:rsidRPr="007B66D4">
        <w:rPr>
          <w:rFonts w:ascii="Verdana" w:hAnsi="Verdana" w:cs="Verdana"/>
          <w:i/>
          <w:iCs/>
          <w:sz w:val="16"/>
          <w:szCs w:val="16"/>
        </w:rPr>
        <w:t xml:space="preserve"> y otros Vs. Venezuela.</w:t>
      </w:r>
      <w:r w:rsidRPr="007B66D4">
        <w:rPr>
          <w:rFonts w:ascii="Verdana" w:hAnsi="Verdana" w:cs="Verdana"/>
          <w:sz w:val="16"/>
          <w:szCs w:val="16"/>
        </w:rPr>
        <w:t xml:space="preserve"> Resolución del Presidente de la Corte de 3 de noviembre de 2011, Considerando 23; </w:t>
      </w:r>
      <w:r w:rsidRPr="007B66D4">
        <w:rPr>
          <w:rFonts w:ascii="Verdana" w:hAnsi="Verdana" w:cs="Verdana"/>
          <w:i/>
          <w:iCs/>
          <w:sz w:val="16"/>
          <w:szCs w:val="16"/>
        </w:rPr>
        <w:t xml:space="preserve">Caso </w:t>
      </w:r>
      <w:proofErr w:type="spellStart"/>
      <w:r w:rsidRPr="007B66D4">
        <w:rPr>
          <w:rFonts w:ascii="Verdana" w:hAnsi="Verdana" w:cs="Verdana"/>
          <w:i/>
          <w:iCs/>
          <w:sz w:val="16"/>
          <w:szCs w:val="16"/>
        </w:rPr>
        <w:t>Fornerón</w:t>
      </w:r>
      <w:proofErr w:type="spellEnd"/>
      <w:r w:rsidRPr="007B66D4">
        <w:rPr>
          <w:rFonts w:ascii="Verdana" w:hAnsi="Verdana" w:cs="Verdana"/>
          <w:i/>
          <w:iCs/>
          <w:sz w:val="16"/>
          <w:szCs w:val="16"/>
        </w:rPr>
        <w:t xml:space="preserve"> e hija Vs. Argentina</w:t>
      </w:r>
      <w:r w:rsidRPr="007B66D4">
        <w:rPr>
          <w:rFonts w:ascii="Verdana" w:hAnsi="Verdana" w:cs="Verdana"/>
          <w:sz w:val="16"/>
          <w:szCs w:val="16"/>
        </w:rPr>
        <w:t xml:space="preserve">. Resolución del Presidente de la Corte de 13 de septiembre de 2011, Considerando 14; </w:t>
      </w:r>
      <w:r w:rsidRPr="007B66D4">
        <w:rPr>
          <w:rFonts w:ascii="Verdana" w:hAnsi="Verdana" w:cs="Verdana"/>
          <w:i/>
          <w:iCs/>
          <w:sz w:val="16"/>
          <w:szCs w:val="16"/>
        </w:rPr>
        <w:t xml:space="preserve">Caso </w:t>
      </w:r>
      <w:proofErr w:type="spellStart"/>
      <w:r w:rsidRPr="007B66D4">
        <w:rPr>
          <w:rFonts w:ascii="Verdana" w:hAnsi="Verdana" w:cs="Verdana"/>
          <w:i/>
          <w:iCs/>
          <w:sz w:val="16"/>
          <w:szCs w:val="16"/>
        </w:rPr>
        <w:t>Artavia</w:t>
      </w:r>
      <w:proofErr w:type="spellEnd"/>
      <w:r w:rsidRPr="007B66D4">
        <w:rPr>
          <w:rFonts w:ascii="Verdana" w:hAnsi="Verdana" w:cs="Verdana"/>
          <w:i/>
          <w:iCs/>
          <w:sz w:val="16"/>
          <w:szCs w:val="16"/>
        </w:rPr>
        <w:t xml:space="preserve"> Murillo y otros (“Fertilización in vitro”) vs Costa Rica. </w:t>
      </w:r>
      <w:r w:rsidRPr="007B66D4">
        <w:rPr>
          <w:rFonts w:ascii="Verdana" w:hAnsi="Verdana" w:cs="Verdana"/>
          <w:sz w:val="16"/>
          <w:szCs w:val="16"/>
        </w:rPr>
        <w:t xml:space="preserve">Resolución del Presidente de la Corte de 6 de agosto de 2012, Considerando 19; </w:t>
      </w:r>
      <w:r w:rsidRPr="007B66D4">
        <w:rPr>
          <w:rFonts w:ascii="Verdana" w:hAnsi="Verdana" w:cs="Verdana"/>
          <w:i/>
          <w:iCs/>
          <w:sz w:val="16"/>
          <w:szCs w:val="16"/>
        </w:rPr>
        <w:t xml:space="preserve">Caso Vélez Restrepo y familiares vs Colombia. </w:t>
      </w:r>
      <w:r w:rsidRPr="007B66D4">
        <w:rPr>
          <w:rFonts w:ascii="Verdana" w:hAnsi="Verdana" w:cs="Verdana"/>
          <w:sz w:val="16"/>
          <w:szCs w:val="16"/>
        </w:rPr>
        <w:t>Resolución del Presidente de la Corte de 25 de en</w:t>
      </w:r>
      <w:r>
        <w:rPr>
          <w:rFonts w:ascii="Verdana" w:hAnsi="Verdana" w:cs="Verdana"/>
          <w:sz w:val="16"/>
          <w:szCs w:val="16"/>
        </w:rPr>
        <w:t xml:space="preserve">ero de 2012, Considerando 20; </w:t>
      </w:r>
      <w:r w:rsidRPr="007B66D4">
        <w:rPr>
          <w:rFonts w:ascii="Verdana" w:hAnsi="Verdana" w:cs="Verdana"/>
          <w:i/>
          <w:iCs/>
          <w:sz w:val="16"/>
          <w:szCs w:val="16"/>
        </w:rPr>
        <w:t>Caso J vs Perú</w:t>
      </w:r>
      <w:r w:rsidRPr="007B66D4">
        <w:rPr>
          <w:rFonts w:ascii="Verdana" w:hAnsi="Verdana" w:cs="Verdana"/>
          <w:sz w:val="16"/>
          <w:szCs w:val="16"/>
        </w:rPr>
        <w:t>. Resolución del Presidente en Ejercicio de la Corte de 16 de</w:t>
      </w:r>
      <w:r>
        <w:rPr>
          <w:rFonts w:ascii="Verdana" w:hAnsi="Verdana" w:cs="Verdana"/>
          <w:sz w:val="16"/>
          <w:szCs w:val="16"/>
        </w:rPr>
        <w:t xml:space="preserve"> abril de 2013, Considerando 26, </w:t>
      </w:r>
      <w:r w:rsidRPr="00F026C3">
        <w:rPr>
          <w:rFonts w:ascii="Verdana" w:hAnsi="Verdana" w:cs="Verdana"/>
          <w:sz w:val="16"/>
          <w:szCs w:val="16"/>
        </w:rPr>
        <w:t xml:space="preserve">y </w:t>
      </w:r>
      <w:r w:rsidRPr="00DD421D">
        <w:rPr>
          <w:rFonts w:ascii="Verdana" w:hAnsi="Verdana" w:cs="Verdana"/>
          <w:i/>
          <w:iCs/>
          <w:sz w:val="16"/>
          <w:szCs w:val="16"/>
        </w:rPr>
        <w:t xml:space="preserve">Caso </w:t>
      </w:r>
      <w:proofErr w:type="spellStart"/>
      <w:r w:rsidRPr="00DD421D">
        <w:rPr>
          <w:rFonts w:ascii="Verdana" w:hAnsi="Verdana" w:cs="Verdana"/>
          <w:i/>
          <w:iCs/>
          <w:sz w:val="16"/>
          <w:szCs w:val="16"/>
        </w:rPr>
        <w:t>Brewer</w:t>
      </w:r>
      <w:proofErr w:type="spellEnd"/>
      <w:r w:rsidRPr="00DD421D">
        <w:rPr>
          <w:rFonts w:ascii="Verdana" w:hAnsi="Verdana" w:cs="Verdana"/>
          <w:i/>
          <w:iCs/>
          <w:sz w:val="16"/>
          <w:szCs w:val="16"/>
        </w:rPr>
        <w:t xml:space="preserve"> Carías Vs. Venezuela. </w:t>
      </w:r>
      <w:r w:rsidRPr="00DD421D">
        <w:rPr>
          <w:rFonts w:ascii="Verdana" w:hAnsi="Verdana" w:cs="Verdana"/>
          <w:sz w:val="16"/>
          <w:szCs w:val="16"/>
        </w:rPr>
        <w:t>Resolución del Presidente de la Corte Interamericana de Derechos Humanos de 31 de julio de 2013</w:t>
      </w:r>
      <w:r w:rsidRPr="00DD421D">
        <w:rPr>
          <w:rFonts w:ascii="Verdana" w:hAnsi="Verdana" w:cs="Verdana"/>
          <w:sz w:val="16"/>
          <w:szCs w:val="16"/>
          <w:shd w:val="clear" w:color="auto" w:fill="FFFFFF"/>
        </w:rPr>
        <w:t>, Considerando 31.</w:t>
      </w:r>
    </w:p>
  </w:footnote>
  <w:footnote w:id="20">
    <w:p w:rsidR="007804B2" w:rsidRDefault="007804B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both"/>
      </w:pPr>
      <w:r w:rsidRPr="007B66D4">
        <w:rPr>
          <w:rStyle w:val="FootnoteReference"/>
          <w:rFonts w:ascii="Verdana" w:hAnsi="Verdana" w:cs="Verdana"/>
          <w:sz w:val="16"/>
          <w:szCs w:val="16"/>
        </w:rPr>
        <w:footnoteRef/>
      </w:r>
      <w:r w:rsidRPr="007B66D4">
        <w:rPr>
          <w:rFonts w:ascii="Verdana" w:hAnsi="Verdana" w:cs="Verdana"/>
          <w:sz w:val="16"/>
          <w:szCs w:val="16"/>
          <w:lang w:val="es-ES_tradnl"/>
        </w:rPr>
        <w:t xml:space="preserve"> </w:t>
      </w:r>
      <w:r w:rsidRPr="007B66D4">
        <w:rPr>
          <w:rFonts w:ascii="Verdana" w:hAnsi="Verdana" w:cs="Verdana"/>
          <w:sz w:val="16"/>
          <w:szCs w:val="16"/>
          <w:lang w:val="es-ES_tradnl"/>
        </w:rPr>
        <w:tab/>
      </w:r>
      <w:r w:rsidRPr="007B66D4">
        <w:rPr>
          <w:rFonts w:ascii="Verdana" w:hAnsi="Verdana" w:cs="Verdana"/>
          <w:i/>
          <w:iCs/>
          <w:sz w:val="16"/>
          <w:szCs w:val="16"/>
        </w:rPr>
        <w:t>Cfr. Caso González y otras (“Campo Algodonero”) Vs. México.</w:t>
      </w:r>
      <w:r w:rsidRPr="007B66D4">
        <w:rPr>
          <w:rFonts w:ascii="Verdana" w:hAnsi="Verdana" w:cs="Verdana"/>
          <w:sz w:val="16"/>
          <w:szCs w:val="16"/>
        </w:rPr>
        <w:t xml:space="preserve"> Resolución de la Presidenta de la Corte de 18 de marzo de 2009, Considerando 88; </w:t>
      </w:r>
      <w:r w:rsidRPr="007B66D4">
        <w:rPr>
          <w:rFonts w:ascii="Verdana" w:hAnsi="Verdana" w:cs="Verdana"/>
          <w:i/>
          <w:iCs/>
          <w:sz w:val="16"/>
          <w:szCs w:val="16"/>
        </w:rPr>
        <w:t xml:space="preserve">Caso Vélez Restrepo y Familiares Vs. Colombia. </w:t>
      </w:r>
      <w:r w:rsidRPr="007B66D4">
        <w:rPr>
          <w:rFonts w:ascii="Verdana" w:hAnsi="Verdana" w:cs="Verdana"/>
          <w:sz w:val="16"/>
          <w:szCs w:val="16"/>
        </w:rPr>
        <w:t>Resolución del Presidente de la Corte de 25 de enero de 2012</w:t>
      </w:r>
      <w:r>
        <w:rPr>
          <w:rFonts w:ascii="Verdana" w:hAnsi="Verdana" w:cs="Verdana"/>
          <w:sz w:val="16"/>
          <w:szCs w:val="16"/>
        </w:rPr>
        <w:t xml:space="preserve">, Considerando 20; </w:t>
      </w:r>
      <w:r w:rsidRPr="007B66D4">
        <w:rPr>
          <w:rFonts w:ascii="Verdana" w:hAnsi="Verdana" w:cs="Verdana"/>
          <w:i/>
          <w:iCs/>
          <w:sz w:val="16"/>
          <w:szCs w:val="16"/>
        </w:rPr>
        <w:t>Caso J vs Perú</w:t>
      </w:r>
      <w:r w:rsidRPr="007B66D4">
        <w:rPr>
          <w:rFonts w:ascii="Verdana" w:hAnsi="Verdana" w:cs="Verdana"/>
          <w:sz w:val="16"/>
          <w:szCs w:val="16"/>
        </w:rPr>
        <w:t>. Resolución del Presidente en Ejercicio de la Corte de 16 de</w:t>
      </w:r>
      <w:r>
        <w:rPr>
          <w:rFonts w:ascii="Verdana" w:hAnsi="Verdana" w:cs="Verdana"/>
          <w:sz w:val="16"/>
          <w:szCs w:val="16"/>
        </w:rPr>
        <w:t xml:space="preserve"> abril de 2013, Considerando 26, y </w:t>
      </w:r>
      <w:r w:rsidRPr="00F026C3">
        <w:rPr>
          <w:rFonts w:ascii="Verdana" w:hAnsi="Verdana" w:cs="Verdana"/>
          <w:i/>
          <w:iCs/>
          <w:sz w:val="16"/>
          <w:szCs w:val="16"/>
          <w:shd w:val="clear" w:color="auto" w:fill="FFFFFF"/>
        </w:rPr>
        <w:t xml:space="preserve">Caso </w:t>
      </w:r>
      <w:proofErr w:type="spellStart"/>
      <w:r w:rsidRPr="00F026C3">
        <w:rPr>
          <w:rFonts w:ascii="Verdana" w:hAnsi="Verdana" w:cs="Verdana"/>
          <w:i/>
          <w:iCs/>
          <w:sz w:val="16"/>
          <w:szCs w:val="16"/>
          <w:shd w:val="clear" w:color="auto" w:fill="FFFFFF"/>
        </w:rPr>
        <w:t>Brewer</w:t>
      </w:r>
      <w:proofErr w:type="spellEnd"/>
      <w:r w:rsidRPr="00F026C3">
        <w:rPr>
          <w:rFonts w:ascii="Verdana" w:hAnsi="Verdana" w:cs="Verdana"/>
          <w:i/>
          <w:iCs/>
          <w:sz w:val="16"/>
          <w:szCs w:val="16"/>
          <w:shd w:val="clear" w:color="auto" w:fill="FFFFFF"/>
        </w:rPr>
        <w:t xml:space="preserve"> Carías Vs. Venezuela. </w:t>
      </w:r>
      <w:r w:rsidRPr="00F026C3">
        <w:rPr>
          <w:rFonts w:ascii="Verdana" w:hAnsi="Verdana" w:cs="Verdana"/>
          <w:sz w:val="16"/>
          <w:szCs w:val="16"/>
          <w:shd w:val="clear" w:color="auto" w:fill="FFFFFF"/>
        </w:rPr>
        <w:t>Resolución del Presidente de la Corte Interamericana de Derechos Humanos de 31 de julio de 2013, Considerando 31.</w:t>
      </w:r>
    </w:p>
  </w:footnote>
  <w:footnote w:id="21">
    <w:p w:rsidR="007804B2" w:rsidRDefault="007804B2">
      <w:pPr>
        <w:pStyle w:val="FootnoteText"/>
        <w:spacing w:after="60"/>
        <w:jc w:val="both"/>
      </w:pPr>
      <w:r w:rsidRPr="007B66D4">
        <w:rPr>
          <w:rStyle w:val="FootnoteReference"/>
          <w:rFonts w:ascii="Verdana" w:hAnsi="Verdana" w:cs="Verdana"/>
          <w:sz w:val="16"/>
          <w:szCs w:val="16"/>
        </w:rPr>
        <w:footnoteRef/>
      </w:r>
      <w:r w:rsidRPr="007B66D4">
        <w:rPr>
          <w:rFonts w:ascii="Verdana" w:hAnsi="Verdana" w:cs="Verdana"/>
          <w:sz w:val="16"/>
          <w:szCs w:val="16"/>
        </w:rPr>
        <w:t xml:space="preserve"> </w:t>
      </w:r>
      <w:r w:rsidRPr="007B66D4">
        <w:rPr>
          <w:rFonts w:ascii="Verdana" w:hAnsi="Verdana" w:cs="Verdana"/>
          <w:i/>
          <w:iCs/>
          <w:sz w:val="16"/>
          <w:szCs w:val="16"/>
        </w:rPr>
        <w:tab/>
        <w:t>Cfr. Caso González Medina y Familiares Vs. República Dominicana</w:t>
      </w:r>
      <w:r w:rsidRPr="007B66D4">
        <w:rPr>
          <w:rFonts w:ascii="Verdana" w:hAnsi="Verdana" w:cs="Verdana"/>
          <w:sz w:val="16"/>
          <w:szCs w:val="16"/>
        </w:rPr>
        <w:t>.</w:t>
      </w:r>
      <w:r w:rsidRPr="007B66D4">
        <w:rPr>
          <w:rFonts w:ascii="Verdana" w:hAnsi="Verdana" w:cs="Verdana"/>
          <w:i/>
          <w:iCs/>
          <w:sz w:val="16"/>
          <w:szCs w:val="16"/>
        </w:rPr>
        <w:t xml:space="preserve"> </w:t>
      </w:r>
      <w:r w:rsidRPr="007B66D4">
        <w:rPr>
          <w:rFonts w:ascii="Verdana" w:hAnsi="Verdana" w:cs="Verdana"/>
          <w:sz w:val="16"/>
          <w:szCs w:val="16"/>
        </w:rPr>
        <w:t xml:space="preserve">Resolución del Presidente de la Corte de 3 de junio de 2011, Considerando 24; </w:t>
      </w:r>
      <w:r w:rsidRPr="007B66D4">
        <w:rPr>
          <w:rFonts w:ascii="Verdana" w:hAnsi="Verdana" w:cs="Verdana"/>
          <w:i/>
          <w:iCs/>
          <w:sz w:val="16"/>
          <w:szCs w:val="16"/>
        </w:rPr>
        <w:t xml:space="preserve">Caso Vélez Restrepo y Familiares Vs. Colombia. </w:t>
      </w:r>
      <w:r w:rsidRPr="007B66D4">
        <w:rPr>
          <w:rFonts w:ascii="Verdana" w:hAnsi="Verdana" w:cs="Verdana"/>
          <w:sz w:val="16"/>
          <w:szCs w:val="16"/>
        </w:rPr>
        <w:t>Resolución del Presidente de la Corte de 25 de enero de 2012</w:t>
      </w:r>
      <w:r>
        <w:rPr>
          <w:rFonts w:ascii="Verdana" w:hAnsi="Verdana" w:cs="Verdana"/>
          <w:sz w:val="16"/>
          <w:szCs w:val="16"/>
        </w:rPr>
        <w:t xml:space="preserve">, Considerando 20; </w:t>
      </w:r>
      <w:r w:rsidRPr="007B66D4">
        <w:rPr>
          <w:rFonts w:ascii="Verdana" w:hAnsi="Verdana" w:cs="Verdana"/>
          <w:i/>
          <w:iCs/>
          <w:sz w:val="16"/>
          <w:szCs w:val="16"/>
        </w:rPr>
        <w:t>Caso J vs Perú</w:t>
      </w:r>
      <w:r w:rsidRPr="007B66D4">
        <w:rPr>
          <w:rFonts w:ascii="Verdana" w:hAnsi="Verdana" w:cs="Verdana"/>
          <w:sz w:val="16"/>
          <w:szCs w:val="16"/>
        </w:rPr>
        <w:t>. Resolución del Presidente en Ejercicio de la Corte de 16 de</w:t>
      </w:r>
      <w:r>
        <w:rPr>
          <w:rFonts w:ascii="Verdana" w:hAnsi="Verdana" w:cs="Verdana"/>
          <w:sz w:val="16"/>
          <w:szCs w:val="16"/>
        </w:rPr>
        <w:t xml:space="preserve"> abril de 2013, Considerando 26, y </w:t>
      </w:r>
      <w:r w:rsidRPr="00F026C3">
        <w:rPr>
          <w:rFonts w:ascii="Verdana" w:hAnsi="Verdana" w:cs="Verdana"/>
          <w:i/>
          <w:iCs/>
          <w:sz w:val="16"/>
          <w:szCs w:val="16"/>
          <w:shd w:val="clear" w:color="auto" w:fill="FFFFFF"/>
        </w:rPr>
        <w:t xml:space="preserve">Caso </w:t>
      </w:r>
      <w:proofErr w:type="spellStart"/>
      <w:r w:rsidRPr="00F026C3">
        <w:rPr>
          <w:rFonts w:ascii="Verdana" w:hAnsi="Verdana" w:cs="Verdana"/>
          <w:i/>
          <w:iCs/>
          <w:sz w:val="16"/>
          <w:szCs w:val="16"/>
          <w:shd w:val="clear" w:color="auto" w:fill="FFFFFF"/>
        </w:rPr>
        <w:t>Brewer</w:t>
      </w:r>
      <w:proofErr w:type="spellEnd"/>
      <w:r w:rsidRPr="00F026C3">
        <w:rPr>
          <w:rFonts w:ascii="Verdana" w:hAnsi="Verdana" w:cs="Verdana"/>
          <w:i/>
          <w:iCs/>
          <w:sz w:val="16"/>
          <w:szCs w:val="16"/>
          <w:shd w:val="clear" w:color="auto" w:fill="FFFFFF"/>
        </w:rPr>
        <w:t xml:space="preserve"> Carías Vs. Venezuela. </w:t>
      </w:r>
      <w:r w:rsidRPr="00F026C3">
        <w:rPr>
          <w:rFonts w:ascii="Verdana" w:hAnsi="Verdana" w:cs="Verdana"/>
          <w:sz w:val="16"/>
          <w:szCs w:val="16"/>
          <w:shd w:val="clear" w:color="auto" w:fill="FFFFFF"/>
        </w:rPr>
        <w:t>Resolución del Presidente de la Corte Interamericana de Derechos Humanos de 31 de julio de 2013, Considerando 31.</w:t>
      </w:r>
    </w:p>
  </w:footnote>
  <w:footnote w:id="22">
    <w:p w:rsidR="007804B2" w:rsidRDefault="007804B2">
      <w:pPr>
        <w:pStyle w:val="FootnoteText"/>
        <w:spacing w:after="60"/>
        <w:jc w:val="both"/>
      </w:pPr>
      <w:r w:rsidRPr="007B66D4">
        <w:rPr>
          <w:rStyle w:val="FootnoteReference"/>
          <w:rFonts w:ascii="Verdana" w:hAnsi="Verdana" w:cs="Verdana"/>
          <w:sz w:val="16"/>
          <w:szCs w:val="16"/>
        </w:rPr>
        <w:footnoteRef/>
      </w:r>
      <w:r w:rsidRPr="007B66D4">
        <w:rPr>
          <w:rFonts w:ascii="Verdana" w:hAnsi="Verdana" w:cs="Verdana"/>
          <w:sz w:val="16"/>
          <w:szCs w:val="16"/>
        </w:rPr>
        <w:t xml:space="preserve"> </w:t>
      </w:r>
      <w:r w:rsidRPr="007B66D4">
        <w:rPr>
          <w:rFonts w:ascii="Verdana" w:hAnsi="Verdana" w:cs="Verdana"/>
          <w:sz w:val="16"/>
          <w:szCs w:val="16"/>
        </w:rPr>
        <w:tab/>
      </w:r>
      <w:r w:rsidRPr="007B66D4">
        <w:rPr>
          <w:rFonts w:ascii="Verdana" w:hAnsi="Verdana" w:cs="Verdana"/>
          <w:i/>
          <w:iCs/>
          <w:sz w:val="16"/>
          <w:szCs w:val="16"/>
        </w:rPr>
        <w:t xml:space="preserve">Cfr. Caso </w:t>
      </w:r>
      <w:proofErr w:type="spellStart"/>
      <w:r w:rsidRPr="007B66D4">
        <w:rPr>
          <w:rFonts w:ascii="Verdana" w:hAnsi="Verdana" w:cs="Verdana"/>
          <w:i/>
          <w:iCs/>
          <w:sz w:val="16"/>
          <w:szCs w:val="16"/>
        </w:rPr>
        <w:t>Boyce</w:t>
      </w:r>
      <w:proofErr w:type="spellEnd"/>
      <w:r w:rsidRPr="007B66D4">
        <w:rPr>
          <w:rFonts w:ascii="Verdana" w:hAnsi="Verdana" w:cs="Verdana"/>
          <w:i/>
          <w:iCs/>
          <w:sz w:val="16"/>
          <w:szCs w:val="16"/>
        </w:rPr>
        <w:t xml:space="preserve"> y otros Vs. Barbados.</w:t>
      </w:r>
      <w:r w:rsidRPr="007B66D4">
        <w:rPr>
          <w:rFonts w:ascii="Verdana" w:hAnsi="Verdana" w:cs="Verdana"/>
          <w:sz w:val="16"/>
          <w:szCs w:val="16"/>
        </w:rPr>
        <w:t xml:space="preserve"> Resolución del Presidente de la Corte de 29 de mayo de 2007, Considerando 22; </w:t>
      </w:r>
      <w:r w:rsidRPr="007B66D4">
        <w:rPr>
          <w:rFonts w:ascii="Verdana" w:hAnsi="Verdana" w:cs="Verdana"/>
          <w:i/>
          <w:iCs/>
          <w:sz w:val="16"/>
          <w:szCs w:val="16"/>
        </w:rPr>
        <w:t xml:space="preserve">Caso </w:t>
      </w:r>
      <w:proofErr w:type="spellStart"/>
      <w:r w:rsidRPr="007B66D4">
        <w:rPr>
          <w:rFonts w:ascii="Verdana" w:hAnsi="Verdana" w:cs="Verdana"/>
          <w:i/>
          <w:iCs/>
          <w:sz w:val="16"/>
          <w:szCs w:val="16"/>
        </w:rPr>
        <w:t>Reverón</w:t>
      </w:r>
      <w:proofErr w:type="spellEnd"/>
      <w:r w:rsidRPr="007B66D4">
        <w:rPr>
          <w:rFonts w:ascii="Verdana" w:hAnsi="Verdana" w:cs="Verdana"/>
          <w:i/>
          <w:iCs/>
          <w:sz w:val="16"/>
          <w:szCs w:val="16"/>
        </w:rPr>
        <w:t xml:space="preserve"> Trujillo vs. Venezuela</w:t>
      </w:r>
      <w:r w:rsidRPr="007B66D4">
        <w:rPr>
          <w:rFonts w:ascii="Verdana" w:hAnsi="Verdana" w:cs="Verdana"/>
          <w:sz w:val="16"/>
          <w:szCs w:val="16"/>
        </w:rPr>
        <w:t>, Resolución de la Presidenta de la Corte Interamericana de Derechos Humanos de 24 de septiem</w:t>
      </w:r>
      <w:r>
        <w:rPr>
          <w:rFonts w:ascii="Verdana" w:hAnsi="Verdana" w:cs="Verdana"/>
          <w:sz w:val="16"/>
          <w:szCs w:val="16"/>
        </w:rPr>
        <w:t xml:space="preserve">bre de 2008, Considerando 34; </w:t>
      </w:r>
      <w:r w:rsidRPr="007B66D4">
        <w:rPr>
          <w:rFonts w:ascii="Verdana" w:hAnsi="Verdana" w:cs="Verdana"/>
          <w:i/>
          <w:iCs/>
          <w:sz w:val="16"/>
          <w:szCs w:val="16"/>
          <w:lang w:val="es-ES_tradnl"/>
        </w:rPr>
        <w:t xml:space="preserve">Caso </w:t>
      </w:r>
      <w:proofErr w:type="spellStart"/>
      <w:r w:rsidRPr="007B66D4">
        <w:rPr>
          <w:rFonts w:ascii="Verdana" w:hAnsi="Verdana" w:cs="Verdana"/>
          <w:i/>
          <w:iCs/>
          <w:sz w:val="16"/>
          <w:szCs w:val="16"/>
          <w:lang w:val="es-ES_tradnl"/>
        </w:rPr>
        <w:t>Artavia</w:t>
      </w:r>
      <w:proofErr w:type="spellEnd"/>
      <w:r w:rsidRPr="007B66D4">
        <w:rPr>
          <w:rFonts w:ascii="Verdana" w:hAnsi="Verdana" w:cs="Verdana"/>
          <w:i/>
          <w:iCs/>
          <w:sz w:val="16"/>
          <w:szCs w:val="16"/>
          <w:lang w:val="es-ES_tradnl"/>
        </w:rPr>
        <w:t xml:space="preserve"> Murillo y otros (“Fertilización in vitro”) vs Costa Rica. </w:t>
      </w:r>
      <w:r w:rsidRPr="007B66D4">
        <w:rPr>
          <w:rFonts w:ascii="Verdana" w:hAnsi="Verdana" w:cs="Verdana"/>
          <w:sz w:val="16"/>
          <w:szCs w:val="16"/>
          <w:lang w:val="es-ES_tradnl"/>
        </w:rPr>
        <w:t>Resolución del Presidente de la Corte de 6 de agosto de 2012, Considerando</w:t>
      </w:r>
      <w:r>
        <w:rPr>
          <w:rFonts w:ascii="Verdana" w:hAnsi="Verdana" w:cs="Verdana"/>
          <w:sz w:val="16"/>
          <w:szCs w:val="16"/>
        </w:rPr>
        <w:t xml:space="preserve"> 20, y </w:t>
      </w:r>
      <w:r w:rsidRPr="00F026C3">
        <w:rPr>
          <w:rFonts w:ascii="Verdana" w:hAnsi="Verdana" w:cs="Verdana"/>
          <w:i/>
          <w:iCs/>
          <w:sz w:val="16"/>
          <w:szCs w:val="16"/>
          <w:shd w:val="clear" w:color="auto" w:fill="FFFFFF"/>
        </w:rPr>
        <w:t xml:space="preserve">Caso </w:t>
      </w:r>
      <w:proofErr w:type="spellStart"/>
      <w:r w:rsidRPr="00F026C3">
        <w:rPr>
          <w:rFonts w:ascii="Verdana" w:hAnsi="Verdana" w:cs="Verdana"/>
          <w:i/>
          <w:iCs/>
          <w:sz w:val="16"/>
          <w:szCs w:val="16"/>
          <w:shd w:val="clear" w:color="auto" w:fill="FFFFFF"/>
        </w:rPr>
        <w:t>Brewer</w:t>
      </w:r>
      <w:proofErr w:type="spellEnd"/>
      <w:r w:rsidRPr="00F026C3">
        <w:rPr>
          <w:rFonts w:ascii="Verdana" w:hAnsi="Verdana" w:cs="Verdana"/>
          <w:i/>
          <w:iCs/>
          <w:sz w:val="16"/>
          <w:szCs w:val="16"/>
          <w:shd w:val="clear" w:color="auto" w:fill="FFFFFF"/>
        </w:rPr>
        <w:t xml:space="preserve"> Carías Vs. Venezuela. </w:t>
      </w:r>
      <w:r w:rsidRPr="00F026C3">
        <w:rPr>
          <w:rFonts w:ascii="Verdana" w:hAnsi="Verdana" w:cs="Verdana"/>
          <w:sz w:val="16"/>
          <w:szCs w:val="16"/>
          <w:shd w:val="clear" w:color="auto" w:fill="FFFFFF"/>
        </w:rPr>
        <w:t>Resolución del Presidente de la Corte Interamericana de Derechos Humanos de 31 de julio de 2013, Considerando 31.</w:t>
      </w:r>
    </w:p>
  </w:footnote>
  <w:footnote w:id="23">
    <w:p w:rsidR="007804B2" w:rsidRDefault="007804B2">
      <w:pPr>
        <w:widowControl w:val="0"/>
        <w:autoSpaceDE w:val="0"/>
        <w:autoSpaceDN w:val="0"/>
        <w:adjustRightInd w:val="0"/>
        <w:spacing w:after="60" w:line="240" w:lineRule="auto"/>
        <w:jc w:val="both"/>
      </w:pPr>
      <w:r w:rsidRPr="007B66D4">
        <w:rPr>
          <w:rStyle w:val="FootnoteReference"/>
          <w:rFonts w:ascii="Verdana" w:hAnsi="Verdana" w:cs="Verdana"/>
          <w:sz w:val="16"/>
          <w:szCs w:val="16"/>
        </w:rPr>
        <w:footnoteRef/>
      </w:r>
      <w:r w:rsidRPr="007B66D4">
        <w:rPr>
          <w:rFonts w:ascii="Verdana" w:hAnsi="Verdana" w:cs="Verdana"/>
          <w:sz w:val="16"/>
          <w:szCs w:val="16"/>
        </w:rPr>
        <w:t xml:space="preserve"> </w:t>
      </w:r>
      <w:r w:rsidRPr="007B66D4">
        <w:rPr>
          <w:rFonts w:ascii="Verdana" w:hAnsi="Verdana" w:cs="Verdana"/>
          <w:sz w:val="16"/>
          <w:szCs w:val="16"/>
        </w:rPr>
        <w:tab/>
      </w:r>
      <w:r w:rsidRPr="00E074AF">
        <w:rPr>
          <w:rFonts w:ascii="Verdana" w:hAnsi="Verdana" w:cs="Verdana"/>
          <w:i/>
          <w:iCs/>
          <w:sz w:val="16"/>
          <w:szCs w:val="16"/>
        </w:rPr>
        <w:t>Cfr. Caso Contreras y otros Vs. El Salvador</w:t>
      </w:r>
      <w:r w:rsidRPr="00E074AF">
        <w:rPr>
          <w:rFonts w:ascii="Verdana" w:hAnsi="Verdana" w:cs="Verdana"/>
          <w:sz w:val="16"/>
          <w:szCs w:val="16"/>
        </w:rPr>
        <w:t xml:space="preserve">. Resolución del Presidente de la Corte de 14 de abril de 2011, Considerando 25, y </w:t>
      </w:r>
      <w:r w:rsidRPr="00E074AF">
        <w:rPr>
          <w:rFonts w:ascii="Verdana" w:hAnsi="Verdana" w:cs="Verdana"/>
          <w:i/>
          <w:iCs/>
          <w:sz w:val="16"/>
          <w:szCs w:val="16"/>
        </w:rPr>
        <w:t xml:space="preserve">Caso Camba Campos y otros Vs. Ecuador. </w:t>
      </w:r>
      <w:r w:rsidRPr="00E074AF">
        <w:rPr>
          <w:rFonts w:ascii="Verdana" w:hAnsi="Verdana" w:cs="Verdana"/>
          <w:sz w:val="16"/>
          <w:szCs w:val="16"/>
        </w:rPr>
        <w:t>Resolución del Presidente de la Corte de 15 de febrero de 2013, Considerando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B2" w:rsidRDefault="00321DAD">
    <w:pPr>
      <w:pStyle w:val="Header"/>
      <w:jc w:val="center"/>
    </w:pPr>
    <w:r>
      <w:fldChar w:fldCharType="begin"/>
    </w:r>
    <w:r w:rsidR="00DA1C78">
      <w:instrText xml:space="preserve"> PAGE   \* MERGEFORMAT </w:instrText>
    </w:r>
    <w:r>
      <w:fldChar w:fldCharType="separate"/>
    </w:r>
    <w:r w:rsidR="00154B99">
      <w:rPr>
        <w:noProof/>
      </w:rPr>
      <w:t>2</w:t>
    </w:r>
    <w:r>
      <w:rPr>
        <w:noProof/>
      </w:rPr>
      <w:fldChar w:fldCharType="end"/>
    </w:r>
  </w:p>
  <w:p w:rsidR="007804B2" w:rsidRDefault="00780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541"/>
    <w:multiLevelType w:val="hybridMultilevel"/>
    <w:tmpl w:val="312E3AA2"/>
    <w:lvl w:ilvl="0" w:tplc="6952E5F2">
      <w:start w:val="1"/>
      <w:numFmt w:val="upperLetter"/>
      <w:lvlText w:val="%1."/>
      <w:lvlJc w:val="left"/>
      <w:pPr>
        <w:ind w:left="720" w:hanging="360"/>
      </w:pPr>
      <w:rPr>
        <w:rFonts w:hint="default"/>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0DDD06E1"/>
    <w:multiLevelType w:val="hybridMultilevel"/>
    <w:tmpl w:val="9FB2033A"/>
    <w:lvl w:ilvl="0" w:tplc="A1A008CA">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030A49"/>
    <w:multiLevelType w:val="hybridMultilevel"/>
    <w:tmpl w:val="F6F4A1D4"/>
    <w:lvl w:ilvl="0" w:tplc="D3643FF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0F124AAE"/>
    <w:multiLevelType w:val="hybridMultilevel"/>
    <w:tmpl w:val="D36695D6"/>
    <w:lvl w:ilvl="0" w:tplc="04090015">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872EF7"/>
    <w:multiLevelType w:val="hybridMultilevel"/>
    <w:tmpl w:val="A4FCC0DC"/>
    <w:lvl w:ilvl="0" w:tplc="F8E04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88F68DD"/>
    <w:multiLevelType w:val="hybridMultilevel"/>
    <w:tmpl w:val="5EBE15E0"/>
    <w:lvl w:ilvl="0" w:tplc="924E4690">
      <w:start w:val="1"/>
      <w:numFmt w:val="decimal"/>
      <w:lvlText w:val="%1."/>
      <w:lvlJc w:val="left"/>
      <w:pPr>
        <w:ind w:left="144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6C7F1E"/>
    <w:multiLevelType w:val="hybridMultilevel"/>
    <w:tmpl w:val="122ECB48"/>
    <w:lvl w:ilvl="0" w:tplc="1484731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
    <w:nsid w:val="1A003747"/>
    <w:multiLevelType w:val="hybridMultilevel"/>
    <w:tmpl w:val="F6F4A1D4"/>
    <w:lvl w:ilvl="0" w:tplc="D3643FF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1C007241"/>
    <w:multiLevelType w:val="hybridMultilevel"/>
    <w:tmpl w:val="08169CF6"/>
    <w:lvl w:ilvl="0" w:tplc="3FD891A0">
      <w:start w:val="8"/>
      <w:numFmt w:val="decimal"/>
      <w:lvlText w:val="%1."/>
      <w:lvlJc w:val="left"/>
      <w:pPr>
        <w:ind w:left="144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nsid w:val="1E1F3620"/>
    <w:multiLevelType w:val="hybridMultilevel"/>
    <w:tmpl w:val="2B4A1D7E"/>
    <w:lvl w:ilvl="0" w:tplc="01D48EB4">
      <w:start w:val="1"/>
      <w:numFmt w:val="decimal"/>
      <w:lvlText w:val="%1."/>
      <w:lvlJc w:val="left"/>
      <w:pPr>
        <w:ind w:left="1129" w:hanging="42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nsid w:val="1ED45762"/>
    <w:multiLevelType w:val="hybridMultilevel"/>
    <w:tmpl w:val="A600D5E6"/>
    <w:lvl w:ilvl="0" w:tplc="1CB0DA12">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EEB5A49"/>
    <w:multiLevelType w:val="hybridMultilevel"/>
    <w:tmpl w:val="9FB2033A"/>
    <w:lvl w:ilvl="0" w:tplc="A1A008CA">
      <w:start w:val="1"/>
      <w:numFmt w:val="decimal"/>
      <w:lvlText w:val="%1."/>
      <w:lvlJc w:val="left"/>
      <w:pPr>
        <w:ind w:left="1129" w:hanging="42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20D365A5"/>
    <w:multiLevelType w:val="hybridMultilevel"/>
    <w:tmpl w:val="C58AB8F2"/>
    <w:lvl w:ilvl="0" w:tplc="A03CAC42">
      <w:start w:val="1"/>
      <w:numFmt w:val="decimal"/>
      <w:lvlText w:val="%1)"/>
      <w:lvlJc w:val="left"/>
      <w:pPr>
        <w:ind w:left="1080" w:hanging="360"/>
      </w:pPr>
      <w:rPr>
        <w:rFonts w:hint="default"/>
        <w:i w:val="0"/>
        <w:iCs w:val="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3">
    <w:nsid w:val="24C54736"/>
    <w:multiLevelType w:val="hybridMultilevel"/>
    <w:tmpl w:val="6240A57C"/>
    <w:lvl w:ilvl="0" w:tplc="7390B9C4">
      <w:start w:val="7"/>
      <w:numFmt w:val="upperLetter"/>
      <w:lvlText w:val="%1)"/>
      <w:lvlJc w:val="left"/>
      <w:pPr>
        <w:ind w:left="720" w:hanging="360"/>
      </w:pPr>
      <w:rPr>
        <w:rFonts w:hint="default"/>
        <w:b/>
        <w:bCs/>
        <w:i/>
        <w:i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nsid w:val="298A590F"/>
    <w:multiLevelType w:val="hybridMultilevel"/>
    <w:tmpl w:val="F6F4A1D4"/>
    <w:lvl w:ilvl="0" w:tplc="D3643FF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30590D67"/>
    <w:multiLevelType w:val="hybridMultilevel"/>
    <w:tmpl w:val="FC3AC66A"/>
    <w:lvl w:ilvl="0" w:tplc="56486B94">
      <w:start w:val="5"/>
      <w:numFmt w:val="decimal"/>
      <w:lvlText w:val="%1."/>
      <w:lvlJc w:val="left"/>
      <w:pPr>
        <w:tabs>
          <w:tab w:val="num" w:pos="0"/>
        </w:tabs>
      </w:pPr>
      <w:rPr>
        <w:rFonts w:hint="default"/>
        <w:b w:val="0"/>
        <w:bCs w:val="0"/>
        <w:strike w:val="0"/>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6">
    <w:nsid w:val="3222019E"/>
    <w:multiLevelType w:val="hybridMultilevel"/>
    <w:tmpl w:val="94C0F94C"/>
    <w:lvl w:ilvl="0" w:tplc="5D6EA102">
      <w:start w:val="1"/>
      <w:numFmt w:val="decimal"/>
      <w:lvlText w:val="%1."/>
      <w:lvlJc w:val="left"/>
      <w:pPr>
        <w:ind w:left="1129" w:hanging="42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nsid w:val="32BF1572"/>
    <w:multiLevelType w:val="hybridMultilevel"/>
    <w:tmpl w:val="F6F4A1D4"/>
    <w:lvl w:ilvl="0" w:tplc="D3643FF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nsid w:val="32CC7ACF"/>
    <w:multiLevelType w:val="hybridMultilevel"/>
    <w:tmpl w:val="9A46D3F2"/>
    <w:lvl w:ilvl="0" w:tplc="6952E5F2">
      <w:start w:val="1"/>
      <w:numFmt w:val="upperLetter"/>
      <w:lvlText w:val="%1."/>
      <w:lvlJc w:val="left"/>
      <w:pPr>
        <w:ind w:left="720" w:hanging="360"/>
      </w:pPr>
      <w:rPr>
        <w:rFonts w:hint="default"/>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9">
    <w:nsid w:val="35A53680"/>
    <w:multiLevelType w:val="hybridMultilevel"/>
    <w:tmpl w:val="66286A68"/>
    <w:lvl w:ilvl="0" w:tplc="E2243486">
      <w:start w:val="2"/>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0">
    <w:nsid w:val="39E018B8"/>
    <w:multiLevelType w:val="hybridMultilevel"/>
    <w:tmpl w:val="1DFC97F4"/>
    <w:lvl w:ilvl="0" w:tplc="C0F4FBCA">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1">
    <w:nsid w:val="3C793CD0"/>
    <w:multiLevelType w:val="hybridMultilevel"/>
    <w:tmpl w:val="F6F4A1D4"/>
    <w:lvl w:ilvl="0" w:tplc="D3643FF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nsid w:val="3CAF368A"/>
    <w:multiLevelType w:val="hybridMultilevel"/>
    <w:tmpl w:val="F35A7398"/>
    <w:lvl w:ilvl="0" w:tplc="753623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D412A0D"/>
    <w:multiLevelType w:val="hybridMultilevel"/>
    <w:tmpl w:val="CB728A46"/>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415814D6"/>
    <w:multiLevelType w:val="hybridMultilevel"/>
    <w:tmpl w:val="5464FC68"/>
    <w:lvl w:ilvl="0" w:tplc="B2CA6E94">
      <w:start w:val="1"/>
      <w:numFmt w:val="decimal"/>
      <w:lvlText w:val="%1."/>
      <w:lvlJc w:val="left"/>
      <w:pPr>
        <w:ind w:left="1080" w:hanging="720"/>
      </w:pPr>
      <w:rPr>
        <w:rFonts w:hint="default"/>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41726FB9"/>
    <w:multiLevelType w:val="hybridMultilevel"/>
    <w:tmpl w:val="35DEE634"/>
    <w:lvl w:ilvl="0" w:tplc="0C0A000F">
      <w:start w:val="1"/>
      <w:numFmt w:val="decimal"/>
      <w:lvlText w:val="%1."/>
      <w:lvlJc w:val="left"/>
      <w:pPr>
        <w:ind w:left="720" w:hanging="360"/>
      </w:pPr>
      <w:rPr>
        <w:rFonts w:hint="default"/>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43AD03BA"/>
    <w:multiLevelType w:val="hybridMultilevel"/>
    <w:tmpl w:val="2F8215A2"/>
    <w:lvl w:ilvl="0" w:tplc="B844A6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5F462AA"/>
    <w:multiLevelType w:val="hybridMultilevel"/>
    <w:tmpl w:val="AFD04196"/>
    <w:lvl w:ilvl="0" w:tplc="CDCA69FE">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7996963"/>
    <w:multiLevelType w:val="hybridMultilevel"/>
    <w:tmpl w:val="9FB2033A"/>
    <w:lvl w:ilvl="0" w:tplc="A1A008CA">
      <w:start w:val="1"/>
      <w:numFmt w:val="decimal"/>
      <w:lvlText w:val="%1."/>
      <w:lvlJc w:val="left"/>
      <w:pPr>
        <w:ind w:left="1129" w:hanging="42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9">
    <w:nsid w:val="495E55F1"/>
    <w:multiLevelType w:val="hybridMultilevel"/>
    <w:tmpl w:val="9FB2033A"/>
    <w:lvl w:ilvl="0" w:tplc="A1A008CA">
      <w:start w:val="1"/>
      <w:numFmt w:val="decimal"/>
      <w:lvlText w:val="%1."/>
      <w:lvlJc w:val="left"/>
      <w:pPr>
        <w:ind w:left="1129" w:hanging="42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0">
    <w:nsid w:val="4AA618B1"/>
    <w:multiLevelType w:val="hybridMultilevel"/>
    <w:tmpl w:val="C964AEC2"/>
    <w:lvl w:ilvl="0" w:tplc="8A28857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nsid w:val="51840014"/>
    <w:multiLevelType w:val="hybridMultilevel"/>
    <w:tmpl w:val="9FB2033A"/>
    <w:lvl w:ilvl="0" w:tplc="11DCA784">
      <w:start w:val="1"/>
      <w:numFmt w:val="decimal"/>
      <w:lvlText w:val="%1."/>
      <w:lvlJc w:val="left"/>
      <w:pPr>
        <w:ind w:left="1129" w:hanging="420"/>
      </w:pPr>
      <w:rPr>
        <w:rFonts w:hint="default"/>
      </w:rPr>
    </w:lvl>
    <w:lvl w:ilvl="1" w:tplc="42F89548">
      <w:start w:val="1"/>
      <w:numFmt w:val="lowerLetter"/>
      <w:lvlText w:val="%2."/>
      <w:lvlJc w:val="left"/>
      <w:pPr>
        <w:ind w:left="1789" w:hanging="360"/>
      </w:pPr>
    </w:lvl>
    <w:lvl w:ilvl="2" w:tplc="B96C1A40">
      <w:start w:val="1"/>
      <w:numFmt w:val="lowerRoman"/>
      <w:lvlText w:val="%3."/>
      <w:lvlJc w:val="right"/>
      <w:pPr>
        <w:ind w:left="2509" w:hanging="180"/>
      </w:pPr>
    </w:lvl>
    <w:lvl w:ilvl="3" w:tplc="2C0A000F">
      <w:start w:val="1"/>
      <w:numFmt w:val="decimal"/>
      <w:lvlText w:val="%4."/>
      <w:lvlJc w:val="left"/>
      <w:pPr>
        <w:ind w:left="3229" w:hanging="360"/>
      </w:pPr>
    </w:lvl>
    <w:lvl w:ilvl="4" w:tplc="2C0A0019">
      <w:start w:val="1"/>
      <w:numFmt w:val="lowerLetter"/>
      <w:lvlText w:val="%5."/>
      <w:lvlJc w:val="left"/>
      <w:pPr>
        <w:ind w:left="3949" w:hanging="360"/>
      </w:pPr>
    </w:lvl>
    <w:lvl w:ilvl="5" w:tplc="2C0A001B">
      <w:start w:val="1"/>
      <w:numFmt w:val="lowerRoman"/>
      <w:lvlText w:val="%6."/>
      <w:lvlJc w:val="right"/>
      <w:pPr>
        <w:ind w:left="4669" w:hanging="180"/>
      </w:pPr>
    </w:lvl>
    <w:lvl w:ilvl="6" w:tplc="2C0A000F">
      <w:start w:val="1"/>
      <w:numFmt w:val="decimal"/>
      <w:lvlText w:val="%7."/>
      <w:lvlJc w:val="left"/>
      <w:pPr>
        <w:ind w:left="5389" w:hanging="360"/>
      </w:pPr>
    </w:lvl>
    <w:lvl w:ilvl="7" w:tplc="2C0A0019">
      <w:start w:val="1"/>
      <w:numFmt w:val="lowerLetter"/>
      <w:lvlText w:val="%8."/>
      <w:lvlJc w:val="left"/>
      <w:pPr>
        <w:ind w:left="6109" w:hanging="360"/>
      </w:pPr>
    </w:lvl>
    <w:lvl w:ilvl="8" w:tplc="2C0A001B">
      <w:start w:val="1"/>
      <w:numFmt w:val="lowerRoman"/>
      <w:lvlText w:val="%9."/>
      <w:lvlJc w:val="right"/>
      <w:pPr>
        <w:ind w:left="6829" w:hanging="180"/>
      </w:pPr>
    </w:lvl>
  </w:abstractNum>
  <w:abstractNum w:abstractNumId="32">
    <w:nsid w:val="52456028"/>
    <w:multiLevelType w:val="hybridMultilevel"/>
    <w:tmpl w:val="F6F4A1D4"/>
    <w:lvl w:ilvl="0" w:tplc="D3643FF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3">
    <w:nsid w:val="52C2211F"/>
    <w:multiLevelType w:val="hybridMultilevel"/>
    <w:tmpl w:val="C964AEC2"/>
    <w:lvl w:ilvl="0" w:tplc="8A28857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4">
    <w:nsid w:val="5400524F"/>
    <w:multiLevelType w:val="hybridMultilevel"/>
    <w:tmpl w:val="3A0A088E"/>
    <w:lvl w:ilvl="0" w:tplc="9600E940">
      <w:start w:val="1"/>
      <w:numFmt w:val="upperLetter"/>
      <w:lvlText w:val="%1)"/>
      <w:lvlJc w:val="left"/>
      <w:pPr>
        <w:ind w:left="1080" w:hanging="360"/>
      </w:pPr>
      <w:rPr>
        <w:rFonts w:ascii="Verdana" w:hAnsi="Verdana" w:cs="Verdana" w:hint="default"/>
        <w:b/>
        <w:bCs/>
        <w:i/>
        <w:iCs/>
        <w:sz w:val="20"/>
        <w:szCs w:val="2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5">
    <w:nsid w:val="55806250"/>
    <w:multiLevelType w:val="hybridMultilevel"/>
    <w:tmpl w:val="C3BCA7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nsid w:val="5B936DAF"/>
    <w:multiLevelType w:val="hybridMultilevel"/>
    <w:tmpl w:val="FC3297E4"/>
    <w:lvl w:ilvl="0" w:tplc="9B1E4ED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nsid w:val="5E3D2504"/>
    <w:multiLevelType w:val="hybridMultilevel"/>
    <w:tmpl w:val="C69CC34E"/>
    <w:lvl w:ilvl="0" w:tplc="168E8B98">
      <w:start w:val="1"/>
      <w:numFmt w:val="upperLetter"/>
      <w:lvlText w:val="%1)"/>
      <w:lvlJc w:val="left"/>
      <w:pPr>
        <w:ind w:left="1080" w:hanging="360"/>
      </w:pPr>
      <w:rPr>
        <w:rFonts w:hint="default"/>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38">
    <w:nsid w:val="6D8A0A31"/>
    <w:multiLevelType w:val="hybridMultilevel"/>
    <w:tmpl w:val="4184B1D6"/>
    <w:lvl w:ilvl="0" w:tplc="137A8318">
      <w:start w:val="1"/>
      <w:numFmt w:val="decimal"/>
      <w:pStyle w:val="Num"/>
      <w:lvlText w:val="%1."/>
      <w:lvlJc w:val="left"/>
      <w:pPr>
        <w:ind w:left="36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9">
    <w:nsid w:val="70FE05C7"/>
    <w:multiLevelType w:val="hybridMultilevel"/>
    <w:tmpl w:val="942256CC"/>
    <w:lvl w:ilvl="0" w:tplc="11DCA784">
      <w:start w:val="1"/>
      <w:numFmt w:val="decimal"/>
      <w:lvlText w:val="%1."/>
      <w:lvlJc w:val="left"/>
      <w:pPr>
        <w:ind w:left="990" w:hanging="360"/>
      </w:pPr>
      <w:rPr>
        <w:rFonts w:hint="default"/>
      </w:rPr>
    </w:lvl>
    <w:lvl w:ilvl="1" w:tplc="42F89548">
      <w:start w:val="1"/>
      <w:numFmt w:val="lowerLetter"/>
      <w:lvlText w:val="%2."/>
      <w:lvlJc w:val="left"/>
      <w:pPr>
        <w:ind w:left="1710" w:hanging="360"/>
      </w:pPr>
    </w:lvl>
    <w:lvl w:ilvl="2" w:tplc="B96C1A40">
      <w:start w:val="1"/>
      <w:numFmt w:val="lowerRoman"/>
      <w:lvlText w:val="%3."/>
      <w:lvlJc w:val="right"/>
      <w:pPr>
        <w:ind w:left="2430" w:hanging="180"/>
      </w:pPr>
    </w:lvl>
    <w:lvl w:ilvl="3" w:tplc="2C0A000F">
      <w:start w:val="1"/>
      <w:numFmt w:val="decimal"/>
      <w:lvlText w:val="%4."/>
      <w:lvlJc w:val="left"/>
      <w:pPr>
        <w:ind w:left="3150" w:hanging="360"/>
      </w:pPr>
    </w:lvl>
    <w:lvl w:ilvl="4" w:tplc="2C0A0019">
      <w:start w:val="1"/>
      <w:numFmt w:val="lowerLetter"/>
      <w:lvlText w:val="%5."/>
      <w:lvlJc w:val="left"/>
      <w:pPr>
        <w:ind w:left="3870" w:hanging="360"/>
      </w:pPr>
    </w:lvl>
    <w:lvl w:ilvl="5" w:tplc="2C0A001B">
      <w:start w:val="1"/>
      <w:numFmt w:val="lowerRoman"/>
      <w:lvlText w:val="%6."/>
      <w:lvlJc w:val="right"/>
      <w:pPr>
        <w:ind w:left="4590" w:hanging="180"/>
      </w:pPr>
    </w:lvl>
    <w:lvl w:ilvl="6" w:tplc="2C0A000F">
      <w:start w:val="1"/>
      <w:numFmt w:val="decimal"/>
      <w:lvlText w:val="%7."/>
      <w:lvlJc w:val="left"/>
      <w:pPr>
        <w:ind w:left="5310" w:hanging="360"/>
      </w:pPr>
    </w:lvl>
    <w:lvl w:ilvl="7" w:tplc="2C0A0019">
      <w:start w:val="1"/>
      <w:numFmt w:val="lowerLetter"/>
      <w:lvlText w:val="%8."/>
      <w:lvlJc w:val="left"/>
      <w:pPr>
        <w:ind w:left="6030" w:hanging="360"/>
      </w:pPr>
    </w:lvl>
    <w:lvl w:ilvl="8" w:tplc="2C0A001B">
      <w:start w:val="1"/>
      <w:numFmt w:val="lowerRoman"/>
      <w:lvlText w:val="%9."/>
      <w:lvlJc w:val="right"/>
      <w:pPr>
        <w:ind w:left="6750" w:hanging="180"/>
      </w:pPr>
    </w:lvl>
  </w:abstractNum>
  <w:abstractNum w:abstractNumId="40">
    <w:nsid w:val="7241751B"/>
    <w:multiLevelType w:val="hybridMultilevel"/>
    <w:tmpl w:val="9556AB82"/>
    <w:lvl w:ilvl="0" w:tplc="3A1CAF48">
      <w:start w:val="1"/>
      <w:numFmt w:val="decimal"/>
      <w:lvlText w:val="%1."/>
      <w:lvlJc w:val="left"/>
      <w:pPr>
        <w:ind w:left="720" w:hanging="360"/>
      </w:pPr>
      <w:rPr>
        <w:rFonts w:ascii="Verdana" w:hAnsi="Verdana" w:cs="Verdana"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5D65A97"/>
    <w:multiLevelType w:val="hybridMultilevel"/>
    <w:tmpl w:val="9FB2033A"/>
    <w:lvl w:ilvl="0" w:tplc="11DCA784">
      <w:start w:val="1"/>
      <w:numFmt w:val="decimal"/>
      <w:lvlText w:val="%1."/>
      <w:lvlJc w:val="left"/>
      <w:pPr>
        <w:ind w:left="1129" w:hanging="420"/>
      </w:pPr>
      <w:rPr>
        <w:rFonts w:hint="default"/>
      </w:rPr>
    </w:lvl>
    <w:lvl w:ilvl="1" w:tplc="42F89548">
      <w:start w:val="1"/>
      <w:numFmt w:val="lowerLetter"/>
      <w:lvlText w:val="%2."/>
      <w:lvlJc w:val="left"/>
      <w:pPr>
        <w:ind w:left="1789" w:hanging="360"/>
      </w:pPr>
    </w:lvl>
    <w:lvl w:ilvl="2" w:tplc="B96C1A40">
      <w:start w:val="1"/>
      <w:numFmt w:val="lowerRoman"/>
      <w:lvlText w:val="%3."/>
      <w:lvlJc w:val="right"/>
      <w:pPr>
        <w:ind w:left="2509" w:hanging="180"/>
      </w:pPr>
    </w:lvl>
    <w:lvl w:ilvl="3" w:tplc="2C0A000F">
      <w:start w:val="1"/>
      <w:numFmt w:val="decimal"/>
      <w:lvlText w:val="%4."/>
      <w:lvlJc w:val="left"/>
      <w:pPr>
        <w:ind w:left="3229" w:hanging="360"/>
      </w:pPr>
    </w:lvl>
    <w:lvl w:ilvl="4" w:tplc="2C0A0019">
      <w:start w:val="1"/>
      <w:numFmt w:val="lowerLetter"/>
      <w:lvlText w:val="%5."/>
      <w:lvlJc w:val="left"/>
      <w:pPr>
        <w:ind w:left="3949" w:hanging="360"/>
      </w:pPr>
    </w:lvl>
    <w:lvl w:ilvl="5" w:tplc="2C0A001B">
      <w:start w:val="1"/>
      <w:numFmt w:val="lowerRoman"/>
      <w:lvlText w:val="%6."/>
      <w:lvlJc w:val="right"/>
      <w:pPr>
        <w:ind w:left="4669" w:hanging="180"/>
      </w:pPr>
    </w:lvl>
    <w:lvl w:ilvl="6" w:tplc="2C0A000F">
      <w:start w:val="1"/>
      <w:numFmt w:val="decimal"/>
      <w:lvlText w:val="%7."/>
      <w:lvlJc w:val="left"/>
      <w:pPr>
        <w:ind w:left="5389" w:hanging="360"/>
      </w:pPr>
    </w:lvl>
    <w:lvl w:ilvl="7" w:tplc="2C0A0019">
      <w:start w:val="1"/>
      <w:numFmt w:val="lowerLetter"/>
      <w:lvlText w:val="%8."/>
      <w:lvlJc w:val="left"/>
      <w:pPr>
        <w:ind w:left="6109" w:hanging="360"/>
      </w:pPr>
    </w:lvl>
    <w:lvl w:ilvl="8" w:tplc="2C0A001B">
      <w:start w:val="1"/>
      <w:numFmt w:val="lowerRoman"/>
      <w:lvlText w:val="%9."/>
      <w:lvlJc w:val="right"/>
      <w:pPr>
        <w:ind w:left="6829" w:hanging="180"/>
      </w:pPr>
    </w:lvl>
  </w:abstractNum>
  <w:abstractNum w:abstractNumId="42">
    <w:nsid w:val="789E08AC"/>
    <w:multiLevelType w:val="hybridMultilevel"/>
    <w:tmpl w:val="71460A62"/>
    <w:lvl w:ilvl="0" w:tplc="A1A008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7B512EAC"/>
    <w:multiLevelType w:val="hybridMultilevel"/>
    <w:tmpl w:val="9FB2033A"/>
    <w:lvl w:ilvl="0" w:tplc="11DCA784">
      <w:start w:val="1"/>
      <w:numFmt w:val="decimal"/>
      <w:lvlText w:val="%1."/>
      <w:lvlJc w:val="left"/>
      <w:pPr>
        <w:ind w:left="780" w:hanging="420"/>
      </w:pPr>
      <w:rPr>
        <w:rFonts w:hint="default"/>
      </w:rPr>
    </w:lvl>
    <w:lvl w:ilvl="1" w:tplc="42F89548">
      <w:start w:val="1"/>
      <w:numFmt w:val="lowerLetter"/>
      <w:lvlText w:val="%2."/>
      <w:lvlJc w:val="left"/>
      <w:pPr>
        <w:ind w:left="1440" w:hanging="360"/>
      </w:pPr>
    </w:lvl>
    <w:lvl w:ilvl="2" w:tplc="B96C1A40">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4">
    <w:nsid w:val="7CE81764"/>
    <w:multiLevelType w:val="hybridMultilevel"/>
    <w:tmpl w:val="2A7E705E"/>
    <w:lvl w:ilvl="0" w:tplc="31306A00">
      <w:start w:val="63"/>
      <w:numFmt w:val="decimal"/>
      <w:lvlText w:val="%1."/>
      <w:lvlJc w:val="left"/>
      <w:pPr>
        <w:ind w:left="1080" w:hanging="720"/>
      </w:pPr>
      <w:rPr>
        <w:rFonts w:hint="default"/>
        <w:b w:val="0"/>
        <w:bCs w:val="0"/>
        <w:i w:val="0"/>
        <w:iCs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5">
    <w:nsid w:val="7EB661AD"/>
    <w:multiLevelType w:val="hybridMultilevel"/>
    <w:tmpl w:val="F6F4A1D4"/>
    <w:lvl w:ilvl="0" w:tplc="A1A008C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42"/>
  </w:num>
  <w:num w:numId="2">
    <w:abstractNumId w:val="27"/>
  </w:num>
  <w:num w:numId="3">
    <w:abstractNumId w:val="10"/>
  </w:num>
  <w:num w:numId="4">
    <w:abstractNumId w:val="24"/>
  </w:num>
  <w:num w:numId="5">
    <w:abstractNumId w:val="40"/>
  </w:num>
  <w:num w:numId="6">
    <w:abstractNumId w:val="35"/>
  </w:num>
  <w:num w:numId="7">
    <w:abstractNumId w:val="34"/>
  </w:num>
  <w:num w:numId="8">
    <w:abstractNumId w:val="12"/>
  </w:num>
  <w:num w:numId="9">
    <w:abstractNumId w:val="15"/>
  </w:num>
  <w:num w:numId="10">
    <w:abstractNumId w:val="23"/>
  </w:num>
  <w:num w:numId="11">
    <w:abstractNumId w:val="25"/>
  </w:num>
  <w:num w:numId="12">
    <w:abstractNumId w:val="20"/>
  </w:num>
  <w:num w:numId="13">
    <w:abstractNumId w:val="6"/>
  </w:num>
  <w:num w:numId="14">
    <w:abstractNumId w:val="19"/>
  </w:num>
  <w:num w:numId="15">
    <w:abstractNumId w:val="36"/>
  </w:num>
  <w:num w:numId="16">
    <w:abstractNumId w:val="0"/>
  </w:num>
  <w:num w:numId="17">
    <w:abstractNumId w:val="3"/>
  </w:num>
  <w:num w:numId="18">
    <w:abstractNumId w:val="26"/>
  </w:num>
  <w:num w:numId="19">
    <w:abstractNumId w:val="1"/>
  </w:num>
  <w:num w:numId="20">
    <w:abstractNumId w:val="43"/>
  </w:num>
  <w:num w:numId="21">
    <w:abstractNumId w:val="22"/>
  </w:num>
  <w:num w:numId="22">
    <w:abstractNumId w:val="32"/>
  </w:num>
  <w:num w:numId="23">
    <w:abstractNumId w:val="30"/>
  </w:num>
  <w:num w:numId="24">
    <w:abstractNumId w:val="39"/>
  </w:num>
  <w:num w:numId="25">
    <w:abstractNumId w:val="33"/>
  </w:num>
  <w:num w:numId="26">
    <w:abstractNumId w:val="18"/>
  </w:num>
  <w:num w:numId="27">
    <w:abstractNumId w:val="4"/>
  </w:num>
  <w:num w:numId="28">
    <w:abstractNumId w:val="17"/>
  </w:num>
  <w:num w:numId="29">
    <w:abstractNumId w:val="7"/>
  </w:num>
  <w:num w:numId="30">
    <w:abstractNumId w:val="45"/>
  </w:num>
  <w:num w:numId="31">
    <w:abstractNumId w:val="41"/>
  </w:num>
  <w:num w:numId="32">
    <w:abstractNumId w:val="11"/>
  </w:num>
  <w:num w:numId="33">
    <w:abstractNumId w:val="28"/>
  </w:num>
  <w:num w:numId="34">
    <w:abstractNumId w:val="21"/>
  </w:num>
  <w:num w:numId="35">
    <w:abstractNumId w:val="38"/>
  </w:num>
  <w:num w:numId="36">
    <w:abstractNumId w:val="38"/>
    <w:lvlOverride w:ilvl="0">
      <w:startOverride w:val="1"/>
    </w:lvlOverride>
  </w:num>
  <w:num w:numId="37">
    <w:abstractNumId w:val="31"/>
  </w:num>
  <w:num w:numId="38">
    <w:abstractNumId w:val="14"/>
  </w:num>
  <w:num w:numId="39">
    <w:abstractNumId w:val="2"/>
  </w:num>
  <w:num w:numId="40">
    <w:abstractNumId w:val="13"/>
  </w:num>
  <w:num w:numId="41">
    <w:abstractNumId w:val="44"/>
  </w:num>
  <w:num w:numId="42">
    <w:abstractNumId w:val="8"/>
  </w:num>
  <w:num w:numId="43">
    <w:abstractNumId w:val="29"/>
  </w:num>
  <w:num w:numId="44">
    <w:abstractNumId w:val="16"/>
  </w:num>
  <w:num w:numId="45">
    <w:abstractNumId w:val="9"/>
  </w:num>
  <w:num w:numId="46">
    <w:abstractNumId w:val="37"/>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601633"/>
    <w:rsid w:val="00003EE1"/>
    <w:rsid w:val="0001446F"/>
    <w:rsid w:val="00014D09"/>
    <w:rsid w:val="00023A32"/>
    <w:rsid w:val="00027AB0"/>
    <w:rsid w:val="00031C4B"/>
    <w:rsid w:val="00034C80"/>
    <w:rsid w:val="00035FE8"/>
    <w:rsid w:val="00043D57"/>
    <w:rsid w:val="00044D80"/>
    <w:rsid w:val="000475B9"/>
    <w:rsid w:val="00047EE7"/>
    <w:rsid w:val="00051598"/>
    <w:rsid w:val="00054765"/>
    <w:rsid w:val="0005553B"/>
    <w:rsid w:val="000566E4"/>
    <w:rsid w:val="000709BB"/>
    <w:rsid w:val="00077DE4"/>
    <w:rsid w:val="000964FD"/>
    <w:rsid w:val="000977BC"/>
    <w:rsid w:val="000B494A"/>
    <w:rsid w:val="000B56E4"/>
    <w:rsid w:val="000B731D"/>
    <w:rsid w:val="000C49CA"/>
    <w:rsid w:val="000C5055"/>
    <w:rsid w:val="000D4A52"/>
    <w:rsid w:val="000D6F9B"/>
    <w:rsid w:val="000E201B"/>
    <w:rsid w:val="000E72BA"/>
    <w:rsid w:val="000F05E3"/>
    <w:rsid w:val="000F171A"/>
    <w:rsid w:val="000F263D"/>
    <w:rsid w:val="00102A75"/>
    <w:rsid w:val="0010394F"/>
    <w:rsid w:val="00104D13"/>
    <w:rsid w:val="00107969"/>
    <w:rsid w:val="0011010A"/>
    <w:rsid w:val="00111F3D"/>
    <w:rsid w:val="00113BC1"/>
    <w:rsid w:val="001164F2"/>
    <w:rsid w:val="001207AD"/>
    <w:rsid w:val="00142C6D"/>
    <w:rsid w:val="00142F09"/>
    <w:rsid w:val="001449EF"/>
    <w:rsid w:val="001468CB"/>
    <w:rsid w:val="001513EA"/>
    <w:rsid w:val="00154B99"/>
    <w:rsid w:val="00155B62"/>
    <w:rsid w:val="00157B78"/>
    <w:rsid w:val="001648CF"/>
    <w:rsid w:val="00171D59"/>
    <w:rsid w:val="001736F2"/>
    <w:rsid w:val="00177FF1"/>
    <w:rsid w:val="001860D6"/>
    <w:rsid w:val="00193B0B"/>
    <w:rsid w:val="00195795"/>
    <w:rsid w:val="001A023B"/>
    <w:rsid w:val="001A0353"/>
    <w:rsid w:val="001A1061"/>
    <w:rsid w:val="001A61BA"/>
    <w:rsid w:val="001B4014"/>
    <w:rsid w:val="001B4A5D"/>
    <w:rsid w:val="001C2FAF"/>
    <w:rsid w:val="001C326F"/>
    <w:rsid w:val="001C3B5F"/>
    <w:rsid w:val="001C4E24"/>
    <w:rsid w:val="001D088A"/>
    <w:rsid w:val="001D09D0"/>
    <w:rsid w:val="001D1545"/>
    <w:rsid w:val="001D39A4"/>
    <w:rsid w:val="001E43F2"/>
    <w:rsid w:val="001E4979"/>
    <w:rsid w:val="001E59EF"/>
    <w:rsid w:val="001F3E65"/>
    <w:rsid w:val="001F6B08"/>
    <w:rsid w:val="00205340"/>
    <w:rsid w:val="0021688B"/>
    <w:rsid w:val="002219CD"/>
    <w:rsid w:val="00222D07"/>
    <w:rsid w:val="00223396"/>
    <w:rsid w:val="00223CCA"/>
    <w:rsid w:val="00230447"/>
    <w:rsid w:val="002453C6"/>
    <w:rsid w:val="00246EDE"/>
    <w:rsid w:val="00264BB0"/>
    <w:rsid w:val="002707A4"/>
    <w:rsid w:val="00272B21"/>
    <w:rsid w:val="00276CCE"/>
    <w:rsid w:val="002813D3"/>
    <w:rsid w:val="00283E75"/>
    <w:rsid w:val="00292124"/>
    <w:rsid w:val="00292FC1"/>
    <w:rsid w:val="002971D2"/>
    <w:rsid w:val="002B02AD"/>
    <w:rsid w:val="002B223C"/>
    <w:rsid w:val="002B5687"/>
    <w:rsid w:val="002B6016"/>
    <w:rsid w:val="002B7EAD"/>
    <w:rsid w:val="002C02E4"/>
    <w:rsid w:val="002C0482"/>
    <w:rsid w:val="002C2E3A"/>
    <w:rsid w:val="002C591E"/>
    <w:rsid w:val="002E0FFF"/>
    <w:rsid w:val="002E3FA9"/>
    <w:rsid w:val="002E5F62"/>
    <w:rsid w:val="002E76E1"/>
    <w:rsid w:val="002F01F0"/>
    <w:rsid w:val="002F0AC8"/>
    <w:rsid w:val="002F6752"/>
    <w:rsid w:val="0030152F"/>
    <w:rsid w:val="00302B66"/>
    <w:rsid w:val="00302FF2"/>
    <w:rsid w:val="003043BF"/>
    <w:rsid w:val="00306B96"/>
    <w:rsid w:val="00306E24"/>
    <w:rsid w:val="003136B4"/>
    <w:rsid w:val="00321DAD"/>
    <w:rsid w:val="00323469"/>
    <w:rsid w:val="0033412C"/>
    <w:rsid w:val="003345AF"/>
    <w:rsid w:val="00335221"/>
    <w:rsid w:val="00342BAF"/>
    <w:rsid w:val="00344FEB"/>
    <w:rsid w:val="003453FB"/>
    <w:rsid w:val="0034754B"/>
    <w:rsid w:val="00347FF0"/>
    <w:rsid w:val="00351ECD"/>
    <w:rsid w:val="00351F88"/>
    <w:rsid w:val="003527D8"/>
    <w:rsid w:val="00361690"/>
    <w:rsid w:val="00367E02"/>
    <w:rsid w:val="00373117"/>
    <w:rsid w:val="00381DBD"/>
    <w:rsid w:val="00390966"/>
    <w:rsid w:val="003916D5"/>
    <w:rsid w:val="00391968"/>
    <w:rsid w:val="00391D51"/>
    <w:rsid w:val="00392AED"/>
    <w:rsid w:val="0039596E"/>
    <w:rsid w:val="00395D07"/>
    <w:rsid w:val="003A2DD8"/>
    <w:rsid w:val="003A3D7A"/>
    <w:rsid w:val="003B15D8"/>
    <w:rsid w:val="003B1E45"/>
    <w:rsid w:val="003B3598"/>
    <w:rsid w:val="003B4F2E"/>
    <w:rsid w:val="003B51E8"/>
    <w:rsid w:val="003B7903"/>
    <w:rsid w:val="003B7BA1"/>
    <w:rsid w:val="003C5961"/>
    <w:rsid w:val="003C78CD"/>
    <w:rsid w:val="003E2B97"/>
    <w:rsid w:val="003E3892"/>
    <w:rsid w:val="003E58C8"/>
    <w:rsid w:val="003F083D"/>
    <w:rsid w:val="00401047"/>
    <w:rsid w:val="00403DAF"/>
    <w:rsid w:val="00410A38"/>
    <w:rsid w:val="00425D74"/>
    <w:rsid w:val="00433111"/>
    <w:rsid w:val="00440B26"/>
    <w:rsid w:val="004418DF"/>
    <w:rsid w:val="00443969"/>
    <w:rsid w:val="00457232"/>
    <w:rsid w:val="00461A61"/>
    <w:rsid w:val="004628A9"/>
    <w:rsid w:val="00471582"/>
    <w:rsid w:val="00472106"/>
    <w:rsid w:val="00472CA2"/>
    <w:rsid w:val="00474407"/>
    <w:rsid w:val="00477064"/>
    <w:rsid w:val="0049278A"/>
    <w:rsid w:val="00492FB3"/>
    <w:rsid w:val="0049463C"/>
    <w:rsid w:val="00494DD9"/>
    <w:rsid w:val="00495A43"/>
    <w:rsid w:val="004961A2"/>
    <w:rsid w:val="004A084E"/>
    <w:rsid w:val="004A1539"/>
    <w:rsid w:val="004A5979"/>
    <w:rsid w:val="004A78BE"/>
    <w:rsid w:val="004B30ED"/>
    <w:rsid w:val="004B518F"/>
    <w:rsid w:val="004B5832"/>
    <w:rsid w:val="004D592F"/>
    <w:rsid w:val="004F280A"/>
    <w:rsid w:val="004F60B1"/>
    <w:rsid w:val="004F6C05"/>
    <w:rsid w:val="00503229"/>
    <w:rsid w:val="00505239"/>
    <w:rsid w:val="00515DE2"/>
    <w:rsid w:val="0053543F"/>
    <w:rsid w:val="005671A1"/>
    <w:rsid w:val="005709CA"/>
    <w:rsid w:val="00572B63"/>
    <w:rsid w:val="005761F9"/>
    <w:rsid w:val="00580B83"/>
    <w:rsid w:val="00580C8A"/>
    <w:rsid w:val="005852CB"/>
    <w:rsid w:val="00590FCB"/>
    <w:rsid w:val="00591E4B"/>
    <w:rsid w:val="0059469D"/>
    <w:rsid w:val="00595142"/>
    <w:rsid w:val="005971EB"/>
    <w:rsid w:val="005A167B"/>
    <w:rsid w:val="005A2B7C"/>
    <w:rsid w:val="005A7068"/>
    <w:rsid w:val="005A785C"/>
    <w:rsid w:val="005B3C40"/>
    <w:rsid w:val="005C0B6B"/>
    <w:rsid w:val="005C3546"/>
    <w:rsid w:val="005D4551"/>
    <w:rsid w:val="005D542E"/>
    <w:rsid w:val="005D6025"/>
    <w:rsid w:val="005D6057"/>
    <w:rsid w:val="005D7614"/>
    <w:rsid w:val="005E5A68"/>
    <w:rsid w:val="005E5F49"/>
    <w:rsid w:val="005F57AA"/>
    <w:rsid w:val="005F67C2"/>
    <w:rsid w:val="00601633"/>
    <w:rsid w:val="006041D0"/>
    <w:rsid w:val="00610D68"/>
    <w:rsid w:val="00612455"/>
    <w:rsid w:val="00615C66"/>
    <w:rsid w:val="0062159D"/>
    <w:rsid w:val="00626D76"/>
    <w:rsid w:val="00634079"/>
    <w:rsid w:val="006353B7"/>
    <w:rsid w:val="00635C70"/>
    <w:rsid w:val="00635FA3"/>
    <w:rsid w:val="0065509E"/>
    <w:rsid w:val="00661B48"/>
    <w:rsid w:val="00665424"/>
    <w:rsid w:val="00671604"/>
    <w:rsid w:val="00671F92"/>
    <w:rsid w:val="006737A8"/>
    <w:rsid w:val="0069537A"/>
    <w:rsid w:val="006A3E31"/>
    <w:rsid w:val="006A528A"/>
    <w:rsid w:val="006A5378"/>
    <w:rsid w:val="006A603B"/>
    <w:rsid w:val="006B66D9"/>
    <w:rsid w:val="006B7620"/>
    <w:rsid w:val="006D170F"/>
    <w:rsid w:val="006D6757"/>
    <w:rsid w:val="006F4942"/>
    <w:rsid w:val="006F6204"/>
    <w:rsid w:val="00700630"/>
    <w:rsid w:val="007072C5"/>
    <w:rsid w:val="00707409"/>
    <w:rsid w:val="00713C43"/>
    <w:rsid w:val="007141E5"/>
    <w:rsid w:val="00720A6C"/>
    <w:rsid w:val="00726CCD"/>
    <w:rsid w:val="007301DC"/>
    <w:rsid w:val="00731444"/>
    <w:rsid w:val="0073311F"/>
    <w:rsid w:val="0073511B"/>
    <w:rsid w:val="00750809"/>
    <w:rsid w:val="00752AAD"/>
    <w:rsid w:val="00755B2D"/>
    <w:rsid w:val="00755E6A"/>
    <w:rsid w:val="00756DCC"/>
    <w:rsid w:val="007654B8"/>
    <w:rsid w:val="007657D5"/>
    <w:rsid w:val="00765B77"/>
    <w:rsid w:val="007668CF"/>
    <w:rsid w:val="00767F91"/>
    <w:rsid w:val="00772D55"/>
    <w:rsid w:val="00773FAE"/>
    <w:rsid w:val="00777B02"/>
    <w:rsid w:val="007804B2"/>
    <w:rsid w:val="0078149A"/>
    <w:rsid w:val="0078795C"/>
    <w:rsid w:val="007909C9"/>
    <w:rsid w:val="0079317F"/>
    <w:rsid w:val="00793836"/>
    <w:rsid w:val="00794183"/>
    <w:rsid w:val="007A3EBC"/>
    <w:rsid w:val="007A7E33"/>
    <w:rsid w:val="007A7E48"/>
    <w:rsid w:val="007A7FB6"/>
    <w:rsid w:val="007B34F6"/>
    <w:rsid w:val="007B3753"/>
    <w:rsid w:val="007B4032"/>
    <w:rsid w:val="007B66D4"/>
    <w:rsid w:val="007C03FC"/>
    <w:rsid w:val="007C17BC"/>
    <w:rsid w:val="007C3202"/>
    <w:rsid w:val="007C34F5"/>
    <w:rsid w:val="007C4A48"/>
    <w:rsid w:val="007C6AA3"/>
    <w:rsid w:val="007D00C4"/>
    <w:rsid w:val="007D5537"/>
    <w:rsid w:val="007E4190"/>
    <w:rsid w:val="007F2F7D"/>
    <w:rsid w:val="007F4418"/>
    <w:rsid w:val="007F79F8"/>
    <w:rsid w:val="008019FE"/>
    <w:rsid w:val="00804200"/>
    <w:rsid w:val="0080555A"/>
    <w:rsid w:val="00806871"/>
    <w:rsid w:val="008073FA"/>
    <w:rsid w:val="0080773F"/>
    <w:rsid w:val="00810641"/>
    <w:rsid w:val="008109F6"/>
    <w:rsid w:val="00811B50"/>
    <w:rsid w:val="008125E1"/>
    <w:rsid w:val="00812802"/>
    <w:rsid w:val="00812929"/>
    <w:rsid w:val="00812D1C"/>
    <w:rsid w:val="008132E6"/>
    <w:rsid w:val="00820844"/>
    <w:rsid w:val="00832BBC"/>
    <w:rsid w:val="008357B8"/>
    <w:rsid w:val="0083705D"/>
    <w:rsid w:val="00840585"/>
    <w:rsid w:val="00844543"/>
    <w:rsid w:val="00846CB0"/>
    <w:rsid w:val="008478A2"/>
    <w:rsid w:val="008510D6"/>
    <w:rsid w:val="008528F5"/>
    <w:rsid w:val="00861444"/>
    <w:rsid w:val="00863C2C"/>
    <w:rsid w:val="00867676"/>
    <w:rsid w:val="0086768A"/>
    <w:rsid w:val="00870C78"/>
    <w:rsid w:val="008838BB"/>
    <w:rsid w:val="0088650C"/>
    <w:rsid w:val="008A41B7"/>
    <w:rsid w:val="008A5718"/>
    <w:rsid w:val="008B5EBC"/>
    <w:rsid w:val="008B6F08"/>
    <w:rsid w:val="008C67B9"/>
    <w:rsid w:val="008C75C9"/>
    <w:rsid w:val="008D18BB"/>
    <w:rsid w:val="008D2DF2"/>
    <w:rsid w:val="008D6747"/>
    <w:rsid w:val="008E1B5F"/>
    <w:rsid w:val="008E4493"/>
    <w:rsid w:val="008F1C94"/>
    <w:rsid w:val="008F2174"/>
    <w:rsid w:val="008F4B69"/>
    <w:rsid w:val="008F61E8"/>
    <w:rsid w:val="009003ED"/>
    <w:rsid w:val="00913A22"/>
    <w:rsid w:val="00914607"/>
    <w:rsid w:val="00915E55"/>
    <w:rsid w:val="0091780E"/>
    <w:rsid w:val="0092286F"/>
    <w:rsid w:val="00932A4D"/>
    <w:rsid w:val="00934814"/>
    <w:rsid w:val="0093722F"/>
    <w:rsid w:val="009408A1"/>
    <w:rsid w:val="009423FB"/>
    <w:rsid w:val="00944508"/>
    <w:rsid w:val="009448CE"/>
    <w:rsid w:val="00944C18"/>
    <w:rsid w:val="00946FB1"/>
    <w:rsid w:val="009472A5"/>
    <w:rsid w:val="0095155F"/>
    <w:rsid w:val="00954A12"/>
    <w:rsid w:val="00960A17"/>
    <w:rsid w:val="00960FA7"/>
    <w:rsid w:val="00962B1B"/>
    <w:rsid w:val="009632D9"/>
    <w:rsid w:val="00964493"/>
    <w:rsid w:val="009700C9"/>
    <w:rsid w:val="00970F0F"/>
    <w:rsid w:val="0097453C"/>
    <w:rsid w:val="0097477A"/>
    <w:rsid w:val="00982173"/>
    <w:rsid w:val="00982469"/>
    <w:rsid w:val="00983A23"/>
    <w:rsid w:val="00984B41"/>
    <w:rsid w:val="00990F04"/>
    <w:rsid w:val="00995474"/>
    <w:rsid w:val="00996AA3"/>
    <w:rsid w:val="009A1C3C"/>
    <w:rsid w:val="009A4D04"/>
    <w:rsid w:val="009A771C"/>
    <w:rsid w:val="009A7FB7"/>
    <w:rsid w:val="009B0250"/>
    <w:rsid w:val="009D2AB9"/>
    <w:rsid w:val="009D53EA"/>
    <w:rsid w:val="009E1F92"/>
    <w:rsid w:val="009F0292"/>
    <w:rsid w:val="009F4105"/>
    <w:rsid w:val="00A015A7"/>
    <w:rsid w:val="00A04ABB"/>
    <w:rsid w:val="00A06C34"/>
    <w:rsid w:val="00A109D4"/>
    <w:rsid w:val="00A12B1D"/>
    <w:rsid w:val="00A15578"/>
    <w:rsid w:val="00A31EC6"/>
    <w:rsid w:val="00A3354D"/>
    <w:rsid w:val="00A375F6"/>
    <w:rsid w:val="00A42EFA"/>
    <w:rsid w:val="00A449D6"/>
    <w:rsid w:val="00A47C4C"/>
    <w:rsid w:val="00A511BD"/>
    <w:rsid w:val="00A51F3C"/>
    <w:rsid w:val="00A624BB"/>
    <w:rsid w:val="00A67371"/>
    <w:rsid w:val="00A74907"/>
    <w:rsid w:val="00A8423B"/>
    <w:rsid w:val="00A84DD0"/>
    <w:rsid w:val="00A90F70"/>
    <w:rsid w:val="00A91A89"/>
    <w:rsid w:val="00A936AA"/>
    <w:rsid w:val="00A96DB5"/>
    <w:rsid w:val="00AA18F7"/>
    <w:rsid w:val="00AB37B3"/>
    <w:rsid w:val="00AB5E13"/>
    <w:rsid w:val="00AC181C"/>
    <w:rsid w:val="00AC43A7"/>
    <w:rsid w:val="00AD0D93"/>
    <w:rsid w:val="00AD6071"/>
    <w:rsid w:val="00AD607B"/>
    <w:rsid w:val="00AD7F4B"/>
    <w:rsid w:val="00AE1899"/>
    <w:rsid w:val="00AE4C84"/>
    <w:rsid w:val="00AE7FEB"/>
    <w:rsid w:val="00AF1BC2"/>
    <w:rsid w:val="00B0147B"/>
    <w:rsid w:val="00B10BB9"/>
    <w:rsid w:val="00B1478B"/>
    <w:rsid w:val="00B1683C"/>
    <w:rsid w:val="00B2112A"/>
    <w:rsid w:val="00B2392A"/>
    <w:rsid w:val="00B26673"/>
    <w:rsid w:val="00B36DFF"/>
    <w:rsid w:val="00B378E1"/>
    <w:rsid w:val="00B436F2"/>
    <w:rsid w:val="00B47FB9"/>
    <w:rsid w:val="00B54DE8"/>
    <w:rsid w:val="00B64046"/>
    <w:rsid w:val="00B64E92"/>
    <w:rsid w:val="00B67E97"/>
    <w:rsid w:val="00B70AE1"/>
    <w:rsid w:val="00B73DC4"/>
    <w:rsid w:val="00B7537D"/>
    <w:rsid w:val="00B76D9A"/>
    <w:rsid w:val="00B84DAD"/>
    <w:rsid w:val="00B91393"/>
    <w:rsid w:val="00B920A5"/>
    <w:rsid w:val="00B92D22"/>
    <w:rsid w:val="00B93672"/>
    <w:rsid w:val="00B93BE0"/>
    <w:rsid w:val="00BA63FD"/>
    <w:rsid w:val="00BB4691"/>
    <w:rsid w:val="00BB4913"/>
    <w:rsid w:val="00BC3496"/>
    <w:rsid w:val="00BC355A"/>
    <w:rsid w:val="00BD27A9"/>
    <w:rsid w:val="00BD4CAF"/>
    <w:rsid w:val="00BD5E37"/>
    <w:rsid w:val="00BE7C7E"/>
    <w:rsid w:val="00BF0BB2"/>
    <w:rsid w:val="00BF133C"/>
    <w:rsid w:val="00BF2434"/>
    <w:rsid w:val="00BF5E82"/>
    <w:rsid w:val="00C03499"/>
    <w:rsid w:val="00C043BB"/>
    <w:rsid w:val="00C05E42"/>
    <w:rsid w:val="00C122D9"/>
    <w:rsid w:val="00C166FD"/>
    <w:rsid w:val="00C17627"/>
    <w:rsid w:val="00C17F04"/>
    <w:rsid w:val="00C26A13"/>
    <w:rsid w:val="00C34211"/>
    <w:rsid w:val="00C42676"/>
    <w:rsid w:val="00C46EB5"/>
    <w:rsid w:val="00C4796C"/>
    <w:rsid w:val="00C536AA"/>
    <w:rsid w:val="00C53720"/>
    <w:rsid w:val="00C717BA"/>
    <w:rsid w:val="00C852F4"/>
    <w:rsid w:val="00C8622F"/>
    <w:rsid w:val="00C91511"/>
    <w:rsid w:val="00C94FAD"/>
    <w:rsid w:val="00CA2665"/>
    <w:rsid w:val="00CA45A3"/>
    <w:rsid w:val="00CB5643"/>
    <w:rsid w:val="00CC2DA3"/>
    <w:rsid w:val="00CC5E60"/>
    <w:rsid w:val="00CD0710"/>
    <w:rsid w:val="00CD575B"/>
    <w:rsid w:val="00CD65DC"/>
    <w:rsid w:val="00CD75D7"/>
    <w:rsid w:val="00CE5585"/>
    <w:rsid w:val="00CE61DD"/>
    <w:rsid w:val="00CE7D9B"/>
    <w:rsid w:val="00CF2905"/>
    <w:rsid w:val="00CF3CD6"/>
    <w:rsid w:val="00CF6873"/>
    <w:rsid w:val="00D01611"/>
    <w:rsid w:val="00D07683"/>
    <w:rsid w:val="00D10DF4"/>
    <w:rsid w:val="00D12B45"/>
    <w:rsid w:val="00D169A4"/>
    <w:rsid w:val="00D23B9B"/>
    <w:rsid w:val="00D27E8D"/>
    <w:rsid w:val="00D336D7"/>
    <w:rsid w:val="00D37EC8"/>
    <w:rsid w:val="00D61165"/>
    <w:rsid w:val="00D622F7"/>
    <w:rsid w:val="00D6421C"/>
    <w:rsid w:val="00D66C42"/>
    <w:rsid w:val="00D73911"/>
    <w:rsid w:val="00D8611D"/>
    <w:rsid w:val="00D91F85"/>
    <w:rsid w:val="00DA1C78"/>
    <w:rsid w:val="00DA4B8C"/>
    <w:rsid w:val="00DB2C2A"/>
    <w:rsid w:val="00DC1426"/>
    <w:rsid w:val="00DC1F57"/>
    <w:rsid w:val="00DC5F5C"/>
    <w:rsid w:val="00DD0BD3"/>
    <w:rsid w:val="00DD31C2"/>
    <w:rsid w:val="00DD421D"/>
    <w:rsid w:val="00DD6B4A"/>
    <w:rsid w:val="00DE1202"/>
    <w:rsid w:val="00DE2DC8"/>
    <w:rsid w:val="00DE3A29"/>
    <w:rsid w:val="00DE451A"/>
    <w:rsid w:val="00DE4C4C"/>
    <w:rsid w:val="00DE77D8"/>
    <w:rsid w:val="00DF2CA1"/>
    <w:rsid w:val="00DF556C"/>
    <w:rsid w:val="00DF74F2"/>
    <w:rsid w:val="00E02DF7"/>
    <w:rsid w:val="00E054A3"/>
    <w:rsid w:val="00E05C93"/>
    <w:rsid w:val="00E065E3"/>
    <w:rsid w:val="00E074AF"/>
    <w:rsid w:val="00E12483"/>
    <w:rsid w:val="00E32AA9"/>
    <w:rsid w:val="00E361D3"/>
    <w:rsid w:val="00E36B4D"/>
    <w:rsid w:val="00E53F85"/>
    <w:rsid w:val="00E57737"/>
    <w:rsid w:val="00E645DE"/>
    <w:rsid w:val="00E664CE"/>
    <w:rsid w:val="00E66D51"/>
    <w:rsid w:val="00E7100F"/>
    <w:rsid w:val="00E751D4"/>
    <w:rsid w:val="00E831D0"/>
    <w:rsid w:val="00E9150D"/>
    <w:rsid w:val="00E919B4"/>
    <w:rsid w:val="00E92FD0"/>
    <w:rsid w:val="00E95E44"/>
    <w:rsid w:val="00E96D3D"/>
    <w:rsid w:val="00EA06C4"/>
    <w:rsid w:val="00EA2F71"/>
    <w:rsid w:val="00EB1D1B"/>
    <w:rsid w:val="00EB70DC"/>
    <w:rsid w:val="00EC0B1D"/>
    <w:rsid w:val="00EC535E"/>
    <w:rsid w:val="00EC55D1"/>
    <w:rsid w:val="00EC7276"/>
    <w:rsid w:val="00ED7C5B"/>
    <w:rsid w:val="00EE0E36"/>
    <w:rsid w:val="00EE30E7"/>
    <w:rsid w:val="00EF411C"/>
    <w:rsid w:val="00F00318"/>
    <w:rsid w:val="00F026C3"/>
    <w:rsid w:val="00F07AB0"/>
    <w:rsid w:val="00F10284"/>
    <w:rsid w:val="00F151FB"/>
    <w:rsid w:val="00F16111"/>
    <w:rsid w:val="00F20514"/>
    <w:rsid w:val="00F26D12"/>
    <w:rsid w:val="00F30C61"/>
    <w:rsid w:val="00F33DD7"/>
    <w:rsid w:val="00F35DAB"/>
    <w:rsid w:val="00F37926"/>
    <w:rsid w:val="00F414C6"/>
    <w:rsid w:val="00F41C8F"/>
    <w:rsid w:val="00F42811"/>
    <w:rsid w:val="00F544D8"/>
    <w:rsid w:val="00F613E4"/>
    <w:rsid w:val="00F63E47"/>
    <w:rsid w:val="00F650C7"/>
    <w:rsid w:val="00F72E72"/>
    <w:rsid w:val="00F84140"/>
    <w:rsid w:val="00F869A8"/>
    <w:rsid w:val="00F870FE"/>
    <w:rsid w:val="00FA1347"/>
    <w:rsid w:val="00FA3103"/>
    <w:rsid w:val="00FA4516"/>
    <w:rsid w:val="00FB1CF9"/>
    <w:rsid w:val="00FB2923"/>
    <w:rsid w:val="00FB333D"/>
    <w:rsid w:val="00FB5B77"/>
    <w:rsid w:val="00FC0B71"/>
    <w:rsid w:val="00FD2F79"/>
    <w:rsid w:val="00FD31AC"/>
    <w:rsid w:val="00FE1D7F"/>
    <w:rsid w:val="00FE4486"/>
    <w:rsid w:val="00FE71D8"/>
    <w:rsid w:val="00FE7E53"/>
    <w:rsid w:val="00FF133F"/>
    <w:rsid w:val="00FF24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EB"/>
    <w:pPr>
      <w:spacing w:after="200" w:line="276" w:lineRule="auto"/>
    </w:pPr>
    <w:rPr>
      <w:rFonts w:cs="Calibri"/>
      <w:lang w:val="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2"/>
    <w:uiPriority w:val="99"/>
    <w:semiHidden/>
    <w:rsid w:val="00C043BB"/>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Car Char,FA Fu Car Char,FA Fu Car Car Char,Footnote Text Cha Char"/>
    <w:basedOn w:val="DefaultParagraphFont"/>
    <w:uiPriority w:val="99"/>
    <w:semiHidden/>
    <w:rsid w:val="00D4550C"/>
    <w:rPr>
      <w:rFonts w:cs="Calibri"/>
      <w:sz w:val="20"/>
      <w:szCs w:val="20"/>
      <w:lang w:val="es-GT"/>
    </w:rPr>
  </w:style>
  <w:style w:type="character" w:customStyle="1" w:styleId="FootnoteTextChar3">
    <w:name w:val="Footnote Text Char3"/>
    <w:aliases w:val="FA Fu Char3,Footnote Text Char Char Char Char Char Char3,Footnote Text Char Char Char Char Char12,Footnote reference Char3,Footnote Text Char Char Char Char12,Texto nota pie Car Char3,FA Fu Car Char3,FA Fu Car Car Char3"/>
    <w:basedOn w:val="DefaultParagraphFont"/>
    <w:uiPriority w:val="99"/>
    <w:rsid w:val="00C34211"/>
    <w:rPr>
      <w:sz w:val="20"/>
      <w:szCs w:val="20"/>
      <w:lang w:val="es-GT"/>
    </w:rPr>
  </w:style>
  <w:style w:type="character" w:customStyle="1" w:styleId="FootnoteTextChar2">
    <w:name w:val="Footnote Text Char2"/>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semiHidden/>
    <w:locked/>
    <w:rsid w:val="00C043BB"/>
    <w:rPr>
      <w:sz w:val="20"/>
      <w:szCs w:val="20"/>
      <w:lang w:val="es-GT"/>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semiHidden/>
    <w:rsid w:val="00C043BB"/>
    <w:rPr>
      <w:vertAlign w:val="superscript"/>
    </w:rPr>
  </w:style>
  <w:style w:type="paragraph" w:styleId="ListParagraph">
    <w:name w:val="List Paragraph"/>
    <w:aliases w:val="Footnote"/>
    <w:basedOn w:val="Normal"/>
    <w:uiPriority w:val="99"/>
    <w:qFormat/>
    <w:rsid w:val="005761F9"/>
    <w:pPr>
      <w:ind w:left="720"/>
    </w:pPr>
  </w:style>
  <w:style w:type="paragraph" w:styleId="Header">
    <w:name w:val="header"/>
    <w:basedOn w:val="Normal"/>
    <w:link w:val="HeaderChar"/>
    <w:uiPriority w:val="99"/>
    <w:rsid w:val="00FB29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B2923"/>
    <w:rPr>
      <w:lang w:val="es-GT"/>
    </w:rPr>
  </w:style>
  <w:style w:type="paragraph" w:styleId="Footer">
    <w:name w:val="footer"/>
    <w:basedOn w:val="Normal"/>
    <w:link w:val="FooterChar"/>
    <w:uiPriority w:val="99"/>
    <w:semiHidden/>
    <w:rsid w:val="00FB29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B2923"/>
    <w:rPr>
      <w:lang w:val="es-GT"/>
    </w:rPr>
  </w:style>
  <w:style w:type="paragraph" w:styleId="BalloonText">
    <w:name w:val="Balloon Text"/>
    <w:basedOn w:val="Normal"/>
    <w:link w:val="BalloonTextChar"/>
    <w:uiPriority w:val="99"/>
    <w:semiHidden/>
    <w:rsid w:val="001C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4E24"/>
    <w:rPr>
      <w:rFonts w:ascii="Tahoma" w:hAnsi="Tahoma" w:cs="Tahoma"/>
      <w:sz w:val="16"/>
      <w:szCs w:val="16"/>
      <w:lang w:val="es-GT"/>
    </w:rPr>
  </w:style>
  <w:style w:type="character" w:styleId="CommentReference">
    <w:name w:val="annotation reference"/>
    <w:basedOn w:val="DefaultParagraphFont"/>
    <w:uiPriority w:val="99"/>
    <w:semiHidden/>
    <w:rsid w:val="00AC43A7"/>
    <w:rPr>
      <w:sz w:val="16"/>
      <w:szCs w:val="16"/>
    </w:rPr>
  </w:style>
  <w:style w:type="paragraph" w:styleId="CommentText">
    <w:name w:val="annotation text"/>
    <w:basedOn w:val="Normal"/>
    <w:link w:val="CommentTextChar"/>
    <w:uiPriority w:val="99"/>
    <w:semiHidden/>
    <w:rsid w:val="00AC43A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C43A7"/>
    <w:rPr>
      <w:sz w:val="20"/>
      <w:szCs w:val="20"/>
      <w:lang w:val="es-GT"/>
    </w:rPr>
  </w:style>
  <w:style w:type="paragraph" w:styleId="CommentSubject">
    <w:name w:val="annotation subject"/>
    <w:basedOn w:val="CommentText"/>
    <w:next w:val="CommentText"/>
    <w:link w:val="CommentSubjectChar"/>
    <w:uiPriority w:val="99"/>
    <w:semiHidden/>
    <w:rsid w:val="00AC43A7"/>
    <w:rPr>
      <w:b/>
      <w:bCs/>
    </w:rPr>
  </w:style>
  <w:style w:type="character" w:customStyle="1" w:styleId="CommentSubjectChar">
    <w:name w:val="Comment Subject Char"/>
    <w:basedOn w:val="CommentTextChar"/>
    <w:link w:val="CommentSubject"/>
    <w:uiPriority w:val="99"/>
    <w:semiHidden/>
    <w:locked/>
    <w:rsid w:val="00AC43A7"/>
    <w:rPr>
      <w:b/>
      <w:bCs/>
      <w:sz w:val="20"/>
      <w:szCs w:val="20"/>
      <w:lang w:val="es-GT"/>
    </w:rPr>
  </w:style>
  <w:style w:type="paragraph" w:styleId="Revision">
    <w:name w:val="Revision"/>
    <w:hidden/>
    <w:uiPriority w:val="99"/>
    <w:semiHidden/>
    <w:rsid w:val="00964493"/>
    <w:rPr>
      <w:rFonts w:cs="Calibri"/>
      <w:lang w:val="es-GT"/>
    </w:rPr>
  </w:style>
  <w:style w:type="character" w:customStyle="1" w:styleId="FootnoteTextChar1">
    <w:name w:val="Footnote Text Char1"/>
    <w:aliases w:val="FA Fu Char2,Footnote Text Char Char Char Char Char Char2,Footnote Text Char Char Char Char Char11,Footnote reference Char2,Footnote Text Char Char Char Char11,Texto nota pie Car Char2,FA Fu Car Char2,FA Fu Car Car Char2"/>
    <w:basedOn w:val="DefaultParagraphFont"/>
    <w:uiPriority w:val="99"/>
    <w:locked/>
    <w:rsid w:val="00381DBD"/>
    <w:rPr>
      <w:rFonts w:ascii="Verdana" w:hAnsi="Verdana" w:cs="Verdana"/>
      <w:sz w:val="16"/>
      <w:szCs w:val="16"/>
      <w:lang w:val="es-ES_tradnl" w:eastAsia="es-ES"/>
    </w:rPr>
  </w:style>
  <w:style w:type="paragraph" w:styleId="BodyText">
    <w:name w:val="Body Text"/>
    <w:basedOn w:val="Normal"/>
    <w:link w:val="BodyTextChar"/>
    <w:uiPriority w:val="99"/>
    <w:semiHidden/>
    <w:rsid w:val="00381DBD"/>
    <w:pPr>
      <w:spacing w:after="120" w:line="240" w:lineRule="auto"/>
    </w:pPr>
    <w:rPr>
      <w:rFonts w:ascii="Times" w:hAnsi="Times" w:cs="Times"/>
      <w:sz w:val="24"/>
      <w:szCs w:val="24"/>
      <w:lang w:val="es-ES_tradnl" w:eastAsia="es-ES"/>
    </w:rPr>
  </w:style>
  <w:style w:type="character" w:customStyle="1" w:styleId="BodyTextChar">
    <w:name w:val="Body Text Char"/>
    <w:basedOn w:val="DefaultParagraphFont"/>
    <w:link w:val="BodyText"/>
    <w:uiPriority w:val="99"/>
    <w:semiHidden/>
    <w:locked/>
    <w:rsid w:val="00381DBD"/>
    <w:rPr>
      <w:rFonts w:ascii="Times" w:hAnsi="Times" w:cs="Times"/>
      <w:sz w:val="24"/>
      <w:szCs w:val="24"/>
      <w:lang w:val="es-ES_tradnl" w:eastAsia="es-ES"/>
    </w:rPr>
  </w:style>
  <w:style w:type="paragraph" w:customStyle="1" w:styleId="Default">
    <w:name w:val="Default"/>
    <w:uiPriority w:val="99"/>
    <w:rsid w:val="00665424"/>
    <w:pPr>
      <w:autoSpaceDE w:val="0"/>
      <w:autoSpaceDN w:val="0"/>
      <w:adjustRightInd w:val="0"/>
    </w:pPr>
    <w:rPr>
      <w:rFonts w:ascii="Verdana" w:hAnsi="Verdana" w:cs="Verdana"/>
      <w:color w:val="000000"/>
      <w:sz w:val="24"/>
      <w:szCs w:val="24"/>
      <w:lang w:eastAsia="es-PE"/>
    </w:rPr>
  </w:style>
  <w:style w:type="paragraph" w:customStyle="1" w:styleId="Num">
    <w:name w:val="Num"/>
    <w:basedOn w:val="Normal"/>
    <w:uiPriority w:val="99"/>
    <w:rsid w:val="00954A12"/>
    <w:pPr>
      <w:numPr>
        <w:numId w:val="35"/>
      </w:numPr>
      <w:spacing w:after="0" w:line="240" w:lineRule="auto"/>
      <w:jc w:val="both"/>
    </w:pPr>
    <w:rPr>
      <w:rFonts w:ascii="Verdana" w:eastAsia="Times New Roman" w:hAnsi="Verdana" w:cs="Verdana"/>
      <w:sz w:val="20"/>
      <w:szCs w:val="20"/>
      <w:lang w:val="es-ES_tradnl"/>
    </w:rPr>
  </w:style>
  <w:style w:type="character" w:styleId="Hyperlink">
    <w:name w:val="Hyperlink"/>
    <w:basedOn w:val="DefaultParagraphFont"/>
    <w:uiPriority w:val="99"/>
    <w:semiHidden/>
    <w:rsid w:val="00590FCB"/>
    <w:rPr>
      <w:color w:val="0000FF"/>
      <w:u w:val="single"/>
    </w:rPr>
  </w:style>
  <w:style w:type="paragraph" w:styleId="DocumentMap">
    <w:name w:val="Document Map"/>
    <w:basedOn w:val="Normal"/>
    <w:link w:val="DocumentMapChar"/>
    <w:uiPriority w:val="99"/>
    <w:semiHidden/>
    <w:unhideWhenUsed/>
    <w:rsid w:val="00BF13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133C"/>
    <w:rPr>
      <w:rFonts w:ascii="Tahoma" w:hAnsi="Tahoma" w:cs="Tahoma"/>
      <w:sz w:val="16"/>
      <w:szCs w:val="16"/>
      <w:lang w:val="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813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8381</Words>
  <Characters>45591</Characters>
  <Application>Microsoft Office Word</Application>
  <DocSecurity>0</DocSecurity>
  <Lines>379</Lines>
  <Paragraphs>107</Paragraphs>
  <ScaleCrop>false</ScaleCrop>
  <Company>CIDH</Company>
  <LinksUpToDate>false</LinksUpToDate>
  <CharactersWithSpaces>53865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PRESIDENTE DE LA</dc:title>
  <dc:creator>Humberto Rodriguez</dc:creator>
  <cp:lastModifiedBy>Gabriel Alfaro</cp:lastModifiedBy>
  <cp:revision>2</cp:revision>
  <cp:lastPrinted>2013-12-26T15:53:00Z</cp:lastPrinted>
  <dcterms:created xsi:type="dcterms:W3CDTF">2014-01-07T17:55:00Z</dcterms:created>
  <dcterms:modified xsi:type="dcterms:W3CDTF">2014-01-07T17:55:00Z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