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D7" w:rsidRDefault="00017CD7" w:rsidP="007403DD">
      <w:pPr>
        <w:spacing w:after="0"/>
        <w:ind w:right="-316"/>
        <w:jc w:val="center"/>
        <w:rPr>
          <w:rFonts w:cs="Verdana Bold"/>
          <w:b/>
          <w:bCs/>
          <w:caps/>
        </w:rPr>
      </w:pPr>
      <w:bookmarkStart w:id="0" w:name="_GoBack"/>
      <w:bookmarkEnd w:id="0"/>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326C06" w:rsidRDefault="00326C06" w:rsidP="007403DD">
      <w:pPr>
        <w:spacing w:after="0"/>
        <w:jc w:val="center"/>
        <w:rPr>
          <w:rFonts w:cs="Verdana"/>
          <w:b/>
          <w:bCs/>
          <w:caps/>
          <w:szCs w:val="20"/>
          <w:lang w:val="es-ES"/>
        </w:rPr>
      </w:pPr>
    </w:p>
    <w:p w:rsidR="00D35144" w:rsidRDefault="00017CD7" w:rsidP="007403DD">
      <w:pPr>
        <w:spacing w:after="0"/>
        <w:jc w:val="center"/>
        <w:rPr>
          <w:rFonts w:cs="Verdana"/>
          <w:b/>
          <w:bCs/>
          <w:caps/>
          <w:szCs w:val="20"/>
          <w:lang w:val="es-ES"/>
        </w:rPr>
      </w:pPr>
      <w:r w:rsidRPr="0003632E">
        <w:rPr>
          <w:rFonts w:cs="Verdana"/>
          <w:b/>
          <w:bCs/>
          <w:caps/>
          <w:szCs w:val="20"/>
          <w:lang w:val="es-ES"/>
        </w:rPr>
        <w:t>RESOLUCIÓN DE</w:t>
      </w:r>
      <w:r>
        <w:rPr>
          <w:rFonts w:cs="Verdana"/>
          <w:b/>
          <w:bCs/>
          <w:caps/>
          <w:szCs w:val="20"/>
          <w:lang w:val="es-ES"/>
        </w:rPr>
        <w:t xml:space="preserve"> </w:t>
      </w:r>
      <w:r w:rsidRPr="0003632E">
        <w:rPr>
          <w:rFonts w:cs="Verdana"/>
          <w:b/>
          <w:bCs/>
          <w:caps/>
          <w:szCs w:val="20"/>
          <w:lang w:val="es-ES"/>
        </w:rPr>
        <w:t>L</w:t>
      </w:r>
      <w:r>
        <w:rPr>
          <w:rFonts w:cs="Verdana"/>
          <w:b/>
          <w:bCs/>
          <w:caps/>
          <w:szCs w:val="20"/>
          <w:lang w:val="es-ES"/>
        </w:rPr>
        <w:t>a</w:t>
      </w:r>
      <w:r w:rsidRPr="0003632E">
        <w:rPr>
          <w:rFonts w:cs="Verdana"/>
          <w:b/>
          <w:bCs/>
          <w:caps/>
          <w:szCs w:val="20"/>
          <w:lang w:val="es-ES"/>
        </w:rPr>
        <w:t xml:space="preserve"> </w:t>
      </w:r>
    </w:p>
    <w:p w:rsidR="00017CD7" w:rsidRDefault="00017CD7" w:rsidP="003B5C87">
      <w:pPr>
        <w:spacing w:after="0"/>
        <w:jc w:val="center"/>
        <w:rPr>
          <w:rFonts w:cs="Verdana"/>
          <w:b/>
          <w:bCs/>
          <w:caps/>
          <w:szCs w:val="20"/>
          <w:lang w:val="es-ES"/>
        </w:rPr>
      </w:pPr>
      <w:r>
        <w:rPr>
          <w:rFonts w:cs="Verdana"/>
          <w:b/>
          <w:bCs/>
          <w:caps/>
          <w:szCs w:val="20"/>
          <w:lang w:val="es-ES"/>
        </w:rPr>
        <w:t>corte</w:t>
      </w:r>
      <w:r w:rsidR="00D35144">
        <w:rPr>
          <w:rFonts w:cs="Verdana"/>
          <w:b/>
          <w:bCs/>
          <w:caps/>
          <w:szCs w:val="20"/>
          <w:lang w:val="es-ES"/>
        </w:rPr>
        <w:t xml:space="preserve"> </w:t>
      </w:r>
      <w:r w:rsidRPr="0003632E">
        <w:rPr>
          <w:rFonts w:cs="Verdana"/>
          <w:b/>
          <w:bCs/>
          <w:caps/>
          <w:szCs w:val="20"/>
          <w:lang w:val="es-ES"/>
        </w:rPr>
        <w:t xml:space="preserve"> INTERAMERICANA</w:t>
      </w:r>
      <w:r>
        <w:rPr>
          <w:rFonts w:cs="Verdana"/>
          <w:b/>
          <w:bCs/>
          <w:caps/>
          <w:szCs w:val="20"/>
          <w:lang w:val="es-ES"/>
        </w:rPr>
        <w:t xml:space="preserve"> </w:t>
      </w:r>
      <w:r w:rsidR="003B5C87">
        <w:rPr>
          <w:rFonts w:cs="Verdana"/>
          <w:b/>
          <w:bCs/>
          <w:caps/>
          <w:szCs w:val="20"/>
          <w:lang w:val="es-ES"/>
        </w:rPr>
        <w:t>DE DERECHOS HUMANOS</w:t>
      </w:r>
      <w:r w:rsidR="003B5C87">
        <w:rPr>
          <w:rStyle w:val="Refdenotaalpie"/>
          <w:rFonts w:cs="Verdana"/>
          <w:b/>
          <w:bCs/>
          <w:caps/>
          <w:szCs w:val="20"/>
          <w:lang w:val="es-ES"/>
        </w:rPr>
        <w:footnoteReference w:id="1"/>
      </w:r>
    </w:p>
    <w:p w:rsidR="00017CD7" w:rsidRDefault="00017CD7"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 xml:space="preserve">DE </w:t>
      </w:r>
      <w:r w:rsidR="00D35144">
        <w:rPr>
          <w:rFonts w:cs="Verdana"/>
          <w:b/>
          <w:bCs/>
          <w:caps/>
          <w:szCs w:val="20"/>
          <w:lang w:val="es-ES"/>
        </w:rPr>
        <w:t>4</w:t>
      </w:r>
      <w:r>
        <w:rPr>
          <w:rFonts w:cs="Verdana"/>
          <w:b/>
          <w:bCs/>
          <w:caps/>
          <w:szCs w:val="20"/>
          <w:lang w:val="es-ES"/>
        </w:rPr>
        <w:t xml:space="preserve"> DE </w:t>
      </w:r>
      <w:r w:rsidR="00D35144">
        <w:rPr>
          <w:rFonts w:cs="Verdana"/>
          <w:b/>
          <w:bCs/>
          <w:caps/>
          <w:szCs w:val="20"/>
          <w:lang w:val="es-ES"/>
        </w:rPr>
        <w:t>MARZO</w:t>
      </w:r>
      <w:r w:rsidR="00693CFA">
        <w:rPr>
          <w:rFonts w:cs="Verdana"/>
          <w:b/>
          <w:bCs/>
          <w:caps/>
          <w:szCs w:val="20"/>
          <w:lang w:val="es-ES"/>
        </w:rPr>
        <w:t xml:space="preserve"> DE 2019</w:t>
      </w:r>
    </w:p>
    <w:p w:rsidR="00F90477" w:rsidRPr="00BD22C0" w:rsidRDefault="00F90477" w:rsidP="007403DD">
      <w:pPr>
        <w:spacing w:after="0"/>
        <w:ind w:right="-316"/>
        <w:jc w:val="center"/>
        <w:rPr>
          <w:rFonts w:cs="Verdana Bold"/>
          <w:b/>
          <w:bCs/>
          <w:caps/>
          <w:szCs w:val="20"/>
        </w:rPr>
      </w:pPr>
    </w:p>
    <w:p w:rsidR="00F90477" w:rsidRPr="006C2759" w:rsidRDefault="00F90477" w:rsidP="007403DD">
      <w:pPr>
        <w:spacing w:after="0"/>
        <w:ind w:right="-316"/>
        <w:jc w:val="center"/>
        <w:rPr>
          <w:rFonts w:cs="Verdana Bold"/>
          <w:b/>
          <w:bCs/>
          <w:caps/>
          <w:szCs w:val="20"/>
        </w:rPr>
      </w:pPr>
      <w:r w:rsidRPr="006C2759">
        <w:rPr>
          <w:rFonts w:cs="Verdana Bold"/>
          <w:b/>
          <w:bCs/>
          <w:szCs w:val="20"/>
        </w:rPr>
        <w:t xml:space="preserve">CASO </w:t>
      </w:r>
      <w:r w:rsidR="00693CFA">
        <w:rPr>
          <w:rFonts w:cs="Arial"/>
          <w:b/>
        </w:rPr>
        <w:t xml:space="preserve">LÓPEZ </w:t>
      </w:r>
      <w:r w:rsidRPr="006C2759">
        <w:rPr>
          <w:rFonts w:cs="Arial"/>
          <w:b/>
        </w:rPr>
        <w:t xml:space="preserve">Y OTROS </w:t>
      </w:r>
      <w:r w:rsidR="00693CFA">
        <w:rPr>
          <w:rFonts w:cs="Verdana Bold"/>
          <w:b/>
          <w:bCs/>
          <w:caps/>
          <w:szCs w:val="20"/>
        </w:rPr>
        <w:t>VS. ARGENTINA</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Pr="00BD22C0" w:rsidRDefault="00F90477" w:rsidP="007403DD">
      <w:pPr>
        <w:spacing w:after="0"/>
        <w:rPr>
          <w:rFonts w:cs="Verdana"/>
          <w:b/>
          <w:bCs/>
          <w:caps/>
          <w:szCs w:val="20"/>
        </w:rPr>
      </w:pPr>
    </w:p>
    <w:p w:rsidR="003612DF" w:rsidRPr="00E76774" w:rsidRDefault="001F6312" w:rsidP="003612DF">
      <w:pPr>
        <w:numPr>
          <w:ilvl w:val="0"/>
          <w:numId w:val="4"/>
        </w:numPr>
        <w:autoSpaceDE w:val="0"/>
        <w:autoSpaceDN w:val="0"/>
        <w:adjustRightInd w:val="0"/>
        <w:spacing w:after="0"/>
        <w:ind w:left="0" w:right="18" w:firstLine="0"/>
        <w:rPr>
          <w:rFonts w:cs="Verdana"/>
          <w:szCs w:val="20"/>
        </w:rPr>
      </w:pPr>
      <w:r w:rsidRPr="003612DF">
        <w:rPr>
          <w:rFonts w:cs="Verdana"/>
          <w:szCs w:val="20"/>
        </w:rPr>
        <w:t>La Resolución del Presidente de la Corte Interamericana de Derechos Humanos (en adelante “el Presidente”) de</w:t>
      </w:r>
      <w:r w:rsidR="003612DF" w:rsidRPr="003612DF">
        <w:rPr>
          <w:rFonts w:cs="Verdana"/>
          <w:szCs w:val="20"/>
        </w:rPr>
        <w:t xml:space="preserve"> 14 de febrero de 2019</w:t>
      </w:r>
      <w:r w:rsidRPr="003612DF">
        <w:rPr>
          <w:rFonts w:cs="Verdana"/>
          <w:szCs w:val="20"/>
        </w:rPr>
        <w:t xml:space="preserve"> (en adelante “la Resolución del Presidente”) mediante la cual, </w:t>
      </w:r>
      <w:r w:rsidRPr="003612DF">
        <w:rPr>
          <w:rFonts w:cs="Verdana"/>
          <w:i/>
          <w:iCs/>
          <w:szCs w:val="20"/>
        </w:rPr>
        <w:t xml:space="preserve">inter </w:t>
      </w:r>
      <w:proofErr w:type="spellStart"/>
      <w:r w:rsidRPr="003612DF">
        <w:rPr>
          <w:rFonts w:cs="Verdana"/>
          <w:i/>
          <w:iCs/>
          <w:szCs w:val="20"/>
        </w:rPr>
        <w:t>alia</w:t>
      </w:r>
      <w:proofErr w:type="spellEnd"/>
      <w:r w:rsidRPr="003612DF">
        <w:rPr>
          <w:rFonts w:cs="Verdana"/>
          <w:szCs w:val="20"/>
        </w:rPr>
        <w:t xml:space="preserve">, </w:t>
      </w:r>
      <w:r w:rsidR="003612DF" w:rsidRPr="00E7665B">
        <w:rPr>
          <w:rFonts w:cs="Verdana"/>
          <w:szCs w:val="20"/>
        </w:rPr>
        <w:t xml:space="preserve">ordenó la recepción de diversas declaraciones </w:t>
      </w:r>
      <w:r w:rsidR="003612DF">
        <w:rPr>
          <w:rFonts w:cs="Verdana"/>
          <w:szCs w:val="20"/>
        </w:rPr>
        <w:t xml:space="preserve">testimoniales mediante afidávit, </w:t>
      </w:r>
      <w:r w:rsidR="003612DF">
        <w:rPr>
          <w:rFonts w:cs="Verdana"/>
          <w:iCs/>
          <w:szCs w:val="20"/>
        </w:rPr>
        <w:t xml:space="preserve">rechazó una declaración pericial y </w:t>
      </w:r>
      <w:r w:rsidR="003612DF" w:rsidRPr="00E7665B">
        <w:rPr>
          <w:rFonts w:cs="Verdana"/>
          <w:szCs w:val="20"/>
        </w:rPr>
        <w:t>convocó a la Comisión Interamericana de Derechos Humanos (en adelante “la Comisión Interamericana” o “la Comisión”), a l</w:t>
      </w:r>
      <w:r w:rsidR="003612DF">
        <w:rPr>
          <w:rFonts w:cs="Verdana"/>
          <w:szCs w:val="20"/>
        </w:rPr>
        <w:t>o</w:t>
      </w:r>
      <w:r w:rsidR="003612DF" w:rsidRPr="00E7665B">
        <w:rPr>
          <w:rFonts w:cs="Verdana"/>
          <w:szCs w:val="20"/>
        </w:rPr>
        <w:t>s representantes de las presuntas víctimas (en adelante “l</w:t>
      </w:r>
      <w:r w:rsidR="003612DF">
        <w:rPr>
          <w:rFonts w:cs="Verdana"/>
          <w:szCs w:val="20"/>
        </w:rPr>
        <w:t>o</w:t>
      </w:r>
      <w:r w:rsidR="003612DF" w:rsidRPr="00E7665B">
        <w:rPr>
          <w:rFonts w:cs="Verdana"/>
          <w:szCs w:val="20"/>
        </w:rPr>
        <w:t>s representantes”) y a</w:t>
      </w:r>
      <w:r w:rsidR="003612DF">
        <w:rPr>
          <w:rFonts w:cs="Verdana"/>
          <w:szCs w:val="20"/>
        </w:rPr>
        <w:t xml:space="preserve">l Estado de Argentina </w:t>
      </w:r>
      <w:r w:rsidR="003612DF" w:rsidRPr="00E7665B">
        <w:rPr>
          <w:rFonts w:cs="Verdana"/>
          <w:lang w:val="es-ES"/>
        </w:rPr>
        <w:t>(en adelante “el Estado” o “</w:t>
      </w:r>
      <w:r w:rsidR="003612DF">
        <w:rPr>
          <w:rFonts w:cs="Verdana"/>
          <w:lang w:val="es-ES"/>
        </w:rPr>
        <w:t>Argentina</w:t>
      </w:r>
      <w:r w:rsidR="003612DF" w:rsidRPr="00E7665B">
        <w:rPr>
          <w:rFonts w:cs="Verdana"/>
          <w:lang w:val="es-ES"/>
        </w:rPr>
        <w:t xml:space="preserve">”) </w:t>
      </w:r>
      <w:r w:rsidR="003612DF" w:rsidRPr="00E7665B">
        <w:rPr>
          <w:rFonts w:cs="Verdana"/>
          <w:szCs w:val="20"/>
        </w:rPr>
        <w:t xml:space="preserve">a una audiencia pública a celebrarse </w:t>
      </w:r>
      <w:r w:rsidR="003612DF">
        <w:rPr>
          <w:rFonts w:cs="Verdana"/>
          <w:szCs w:val="20"/>
          <w:lang w:bidi="en-US"/>
        </w:rPr>
        <w:t>los días 12 y 13 de marzo de 2019</w:t>
      </w:r>
      <w:r w:rsidR="003612DF">
        <w:rPr>
          <w:szCs w:val="20"/>
        </w:rPr>
        <w:t xml:space="preserve"> en la sede la Corte, en </w:t>
      </w:r>
      <w:r w:rsidR="003612DF" w:rsidRPr="00B456A2">
        <w:rPr>
          <w:szCs w:val="20"/>
        </w:rPr>
        <w:t xml:space="preserve">la ciudad de </w:t>
      </w:r>
      <w:r w:rsidR="003612DF">
        <w:rPr>
          <w:szCs w:val="20"/>
        </w:rPr>
        <w:t>San José, Costa Rica,</w:t>
      </w:r>
      <w:r w:rsidR="003612DF">
        <w:rPr>
          <w:rFonts w:cs="Verdana"/>
          <w:szCs w:val="20"/>
        </w:rPr>
        <w:t xml:space="preserve"> </w:t>
      </w:r>
      <w:r w:rsidR="003612DF" w:rsidRPr="00E76774">
        <w:rPr>
          <w:rFonts w:cs="Verdana"/>
          <w:szCs w:val="20"/>
        </w:rPr>
        <w:t xml:space="preserve">para recibir sus alegatos finales orales sobre las excepciones preliminares, los eventuales fondo, reparaciones y costas en el presente caso, así como, </w:t>
      </w:r>
      <w:r w:rsidR="003612DF" w:rsidRPr="00E76774">
        <w:rPr>
          <w:rFonts w:cs="Verdana"/>
          <w:i/>
          <w:szCs w:val="20"/>
        </w:rPr>
        <w:t xml:space="preserve">inter </w:t>
      </w:r>
      <w:proofErr w:type="spellStart"/>
      <w:r w:rsidR="003612DF" w:rsidRPr="00E76774">
        <w:rPr>
          <w:rFonts w:cs="Verdana"/>
          <w:i/>
          <w:szCs w:val="20"/>
        </w:rPr>
        <w:t>alia</w:t>
      </w:r>
      <w:proofErr w:type="spellEnd"/>
      <w:r w:rsidR="003612DF" w:rsidRPr="00E76774">
        <w:rPr>
          <w:rFonts w:cs="Verdana"/>
          <w:szCs w:val="20"/>
        </w:rPr>
        <w:t xml:space="preserve">, recibir </w:t>
      </w:r>
      <w:r w:rsidR="003612DF">
        <w:rPr>
          <w:rFonts w:cs="Verdana"/>
          <w:szCs w:val="20"/>
        </w:rPr>
        <w:t>dos</w:t>
      </w:r>
      <w:r w:rsidR="003612DF" w:rsidRPr="00E76774">
        <w:rPr>
          <w:rFonts w:cs="Verdana"/>
          <w:szCs w:val="20"/>
        </w:rPr>
        <w:t xml:space="preserve"> peritajes y </w:t>
      </w:r>
      <w:r w:rsidR="003612DF">
        <w:rPr>
          <w:rFonts w:cs="Verdana"/>
          <w:szCs w:val="20"/>
        </w:rPr>
        <w:t>dos</w:t>
      </w:r>
      <w:r w:rsidR="003612DF" w:rsidRPr="00E76774">
        <w:rPr>
          <w:rFonts w:cs="Verdana"/>
          <w:szCs w:val="20"/>
        </w:rPr>
        <w:t xml:space="preserve"> declarac</w:t>
      </w:r>
      <w:r w:rsidR="003612DF">
        <w:rPr>
          <w:rFonts w:cs="Verdana"/>
          <w:szCs w:val="20"/>
        </w:rPr>
        <w:t>iones</w:t>
      </w:r>
      <w:r w:rsidR="003612DF" w:rsidRPr="00E76774">
        <w:rPr>
          <w:rFonts w:cs="Verdana"/>
          <w:szCs w:val="20"/>
        </w:rPr>
        <w:t xml:space="preserve"> testimonial</w:t>
      </w:r>
      <w:r w:rsidR="003612DF">
        <w:rPr>
          <w:rFonts w:cs="Verdana"/>
          <w:szCs w:val="20"/>
        </w:rPr>
        <w:t xml:space="preserve">es por video conferencia. </w:t>
      </w:r>
    </w:p>
    <w:p w:rsidR="003612DF" w:rsidRPr="003612DF" w:rsidRDefault="003612DF" w:rsidP="003612DF">
      <w:pPr>
        <w:autoSpaceDE w:val="0"/>
        <w:autoSpaceDN w:val="0"/>
        <w:adjustRightInd w:val="0"/>
        <w:spacing w:after="0"/>
        <w:ind w:right="18"/>
        <w:rPr>
          <w:rFonts w:cs="Verdana"/>
          <w:szCs w:val="20"/>
        </w:rPr>
      </w:pPr>
    </w:p>
    <w:p w:rsidR="00CF1943" w:rsidRDefault="001F6312" w:rsidP="00CF1943">
      <w:pPr>
        <w:numPr>
          <w:ilvl w:val="0"/>
          <w:numId w:val="4"/>
        </w:numPr>
        <w:autoSpaceDE w:val="0"/>
        <w:autoSpaceDN w:val="0"/>
        <w:adjustRightInd w:val="0"/>
        <w:spacing w:after="0"/>
        <w:ind w:left="0" w:right="18" w:firstLine="0"/>
        <w:rPr>
          <w:rFonts w:cs="Verdana"/>
          <w:szCs w:val="20"/>
          <w:lang w:val="es-ES"/>
        </w:rPr>
      </w:pPr>
      <w:r>
        <w:rPr>
          <w:rFonts w:cs="Verdana"/>
          <w:szCs w:val="20"/>
        </w:rPr>
        <w:t xml:space="preserve">La comunicación de </w:t>
      </w:r>
      <w:r w:rsidR="00CF1943">
        <w:rPr>
          <w:szCs w:val="20"/>
          <w:lang w:val="es-CL"/>
        </w:rPr>
        <w:t>18 de febrero</w:t>
      </w:r>
      <w:r w:rsidR="00696224">
        <w:rPr>
          <w:szCs w:val="20"/>
          <w:lang w:val="es-CL"/>
        </w:rPr>
        <w:t>,</w:t>
      </w:r>
      <w:r w:rsidR="003E5534" w:rsidRPr="008A0F66">
        <w:rPr>
          <w:szCs w:val="20"/>
          <w:lang w:val="es-CL"/>
        </w:rPr>
        <w:t xml:space="preserve"> </w:t>
      </w:r>
      <w:r w:rsidR="003E5534">
        <w:rPr>
          <w:szCs w:val="20"/>
          <w:lang w:val="es-CL"/>
        </w:rPr>
        <w:t xml:space="preserve">mediante la cual </w:t>
      </w:r>
      <w:r w:rsidR="003E5534" w:rsidRPr="008A0F66">
        <w:rPr>
          <w:szCs w:val="20"/>
          <w:lang w:val="es-CL"/>
        </w:rPr>
        <w:t xml:space="preserve">los representantes presentaron una solicitud de reconsideración respecto </w:t>
      </w:r>
      <w:r w:rsidR="00CF1943">
        <w:rPr>
          <w:szCs w:val="20"/>
          <w:lang w:val="es-MX"/>
        </w:rPr>
        <w:t xml:space="preserve">a que el </w:t>
      </w:r>
      <w:r w:rsidR="00CF1943" w:rsidRPr="00890CC8">
        <w:rPr>
          <w:szCs w:val="20"/>
          <w:lang w:val="es-MX"/>
        </w:rPr>
        <w:t xml:space="preserve">señor Eduardo Aguirre </w:t>
      </w:r>
      <w:r w:rsidR="00CF1943">
        <w:rPr>
          <w:szCs w:val="20"/>
          <w:lang w:val="es-MX"/>
        </w:rPr>
        <w:t xml:space="preserve">pudiera declarar </w:t>
      </w:r>
      <w:r w:rsidR="00CF1943" w:rsidRPr="00890CC8">
        <w:rPr>
          <w:szCs w:val="20"/>
          <w:lang w:val="es-MX"/>
        </w:rPr>
        <w:t>como testigo, en virtud de que no fue admi</w:t>
      </w:r>
      <w:r w:rsidR="00CF1943">
        <w:rPr>
          <w:szCs w:val="20"/>
          <w:lang w:val="es-MX"/>
        </w:rPr>
        <w:t>tida su declaración como perito</w:t>
      </w:r>
      <w:r w:rsidR="00CF1943">
        <w:rPr>
          <w:rFonts w:cs="Times New Roman"/>
          <w:szCs w:val="20"/>
          <w:lang w:val="es-ES"/>
        </w:rPr>
        <w:t xml:space="preserve">. </w:t>
      </w:r>
      <w:r w:rsidR="00CF1943">
        <w:rPr>
          <w:rFonts w:cs="Verdana"/>
          <w:szCs w:val="20"/>
          <w:lang w:val="es-ES"/>
        </w:rPr>
        <w:t xml:space="preserve"> </w:t>
      </w:r>
    </w:p>
    <w:p w:rsidR="00E84793" w:rsidRPr="00E84793" w:rsidRDefault="001F6312" w:rsidP="007403DD">
      <w:pPr>
        <w:autoSpaceDE w:val="0"/>
        <w:autoSpaceDN w:val="0"/>
        <w:adjustRightInd w:val="0"/>
        <w:spacing w:after="0"/>
        <w:ind w:right="18"/>
        <w:rPr>
          <w:rFonts w:cs="Verdana"/>
          <w:szCs w:val="20"/>
          <w:lang w:val="es-ES"/>
        </w:rPr>
      </w:pPr>
      <w:r>
        <w:rPr>
          <w:rFonts w:cs="Verdana"/>
          <w:szCs w:val="20"/>
          <w:lang w:val="es-ES"/>
        </w:rPr>
        <w:t xml:space="preserve"> </w:t>
      </w:r>
    </w:p>
    <w:p w:rsidR="001F6312" w:rsidRPr="00D726C4"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Nota de la </w:t>
      </w:r>
      <w:r w:rsidRPr="00700FD8">
        <w:rPr>
          <w:rFonts w:cs="Verdana"/>
          <w:szCs w:val="20"/>
        </w:rPr>
        <w:t>Secretaría de la Corte Interamericana</w:t>
      </w:r>
      <w:r>
        <w:rPr>
          <w:rFonts w:cs="Verdana"/>
          <w:szCs w:val="20"/>
        </w:rPr>
        <w:t xml:space="preserve"> de Derechos Humanos</w:t>
      </w:r>
      <w:r w:rsidRPr="00700FD8">
        <w:rPr>
          <w:rFonts w:cs="Verdana"/>
          <w:szCs w:val="20"/>
        </w:rPr>
        <w:t xml:space="preserve"> (en adelante “la Secretaría”) </w:t>
      </w:r>
      <w:r w:rsidR="004161CE">
        <w:rPr>
          <w:rFonts w:cs="Verdana"/>
          <w:szCs w:val="20"/>
          <w:lang w:val="es-ES"/>
        </w:rPr>
        <w:t>de</w:t>
      </w:r>
      <w:r w:rsidR="00D35144">
        <w:rPr>
          <w:rFonts w:cs="Verdana"/>
          <w:szCs w:val="20"/>
          <w:lang w:val="es-ES"/>
        </w:rPr>
        <w:t xml:space="preserve"> </w:t>
      </w:r>
      <w:r w:rsidR="004161CE">
        <w:rPr>
          <w:rFonts w:cs="Verdana"/>
          <w:szCs w:val="20"/>
          <w:lang w:val="es-ES"/>
        </w:rPr>
        <w:t>19</w:t>
      </w:r>
      <w:r w:rsidR="00D35144">
        <w:rPr>
          <w:rFonts w:cs="Verdana"/>
          <w:szCs w:val="20"/>
          <w:lang w:val="es-ES"/>
        </w:rPr>
        <w:t xml:space="preserve"> </w:t>
      </w:r>
      <w:r>
        <w:rPr>
          <w:rFonts w:cs="Verdana"/>
          <w:szCs w:val="20"/>
          <w:lang w:val="es-ES"/>
        </w:rPr>
        <w:t xml:space="preserve">de </w:t>
      </w:r>
      <w:r w:rsidR="00D35144">
        <w:rPr>
          <w:rFonts w:cs="Verdana"/>
          <w:szCs w:val="20"/>
          <w:lang w:val="es-ES"/>
        </w:rPr>
        <w:t xml:space="preserve">febrero </w:t>
      </w:r>
      <w:r w:rsidR="00CF1943">
        <w:rPr>
          <w:rFonts w:cs="Verdana"/>
          <w:szCs w:val="20"/>
          <w:lang w:val="es-ES"/>
        </w:rPr>
        <w:t>de 2019</w:t>
      </w:r>
      <w:r>
        <w:rPr>
          <w:rFonts w:cs="Verdana"/>
          <w:szCs w:val="20"/>
          <w:lang w:val="es-ES"/>
        </w:rPr>
        <w:t xml:space="preserve">, mediante la cual se transmitió al Estado y a la Comisión la solicitud planteada por los representantes; y se les otorgó un plazo </w:t>
      </w:r>
      <w:r w:rsidR="00CF74B5">
        <w:rPr>
          <w:rFonts w:cs="Verdana"/>
          <w:szCs w:val="20"/>
          <w:lang w:val="es-ES"/>
        </w:rPr>
        <w:t xml:space="preserve">de </w:t>
      </w:r>
      <w:r w:rsidR="00D35144">
        <w:rPr>
          <w:rFonts w:cs="Verdana"/>
          <w:szCs w:val="20"/>
          <w:lang w:val="es-ES"/>
        </w:rPr>
        <w:t xml:space="preserve">5 </w:t>
      </w:r>
      <w:r w:rsidR="00CF74B5">
        <w:rPr>
          <w:rFonts w:cs="Verdana"/>
          <w:szCs w:val="20"/>
          <w:lang w:val="es-ES"/>
        </w:rPr>
        <w:t>días</w:t>
      </w:r>
      <w:r>
        <w:rPr>
          <w:rFonts w:cs="Verdana"/>
          <w:szCs w:val="20"/>
          <w:lang w:val="es-ES"/>
        </w:rPr>
        <w:t xml:space="preserve"> para presentar sus observaciones al respecto. </w:t>
      </w:r>
    </w:p>
    <w:p w:rsidR="001F6312" w:rsidRDefault="001F6312" w:rsidP="007403DD">
      <w:pPr>
        <w:autoSpaceDE w:val="0"/>
        <w:autoSpaceDN w:val="0"/>
        <w:adjustRightInd w:val="0"/>
        <w:spacing w:after="0"/>
        <w:ind w:right="18"/>
        <w:rPr>
          <w:rFonts w:cs="Verdana"/>
          <w:szCs w:val="20"/>
          <w:lang w:val="es-ES"/>
        </w:rPr>
      </w:pPr>
    </w:p>
    <w:p w:rsidR="0018203B" w:rsidRPr="004161CE" w:rsidRDefault="00CF1943" w:rsidP="00E16B1A">
      <w:pPr>
        <w:numPr>
          <w:ilvl w:val="0"/>
          <w:numId w:val="4"/>
        </w:numPr>
        <w:autoSpaceDE w:val="0"/>
        <w:autoSpaceDN w:val="0"/>
        <w:adjustRightInd w:val="0"/>
        <w:spacing w:after="0"/>
        <w:ind w:left="0" w:right="18" w:firstLine="0"/>
        <w:rPr>
          <w:rFonts w:cs="Verdana"/>
          <w:szCs w:val="20"/>
          <w:lang w:val="es-ES"/>
        </w:rPr>
      </w:pPr>
      <w:r w:rsidRPr="00D35144">
        <w:rPr>
          <w:rFonts w:cs="Verdana"/>
          <w:szCs w:val="20"/>
          <w:lang w:val="es-ES"/>
        </w:rPr>
        <w:t>La comunicación del Estado de 21 de febrero de 2019</w:t>
      </w:r>
      <w:r w:rsidR="001F6312" w:rsidRPr="00D35144">
        <w:rPr>
          <w:rFonts w:cs="Verdana"/>
          <w:szCs w:val="20"/>
          <w:lang w:val="es-ES"/>
        </w:rPr>
        <w:t>, mediante la cual presentó observaciones sobre la solicitud de los representantes</w:t>
      </w:r>
      <w:r w:rsidR="00741A91" w:rsidRPr="00D35144">
        <w:rPr>
          <w:rFonts w:cs="Verdana"/>
          <w:szCs w:val="20"/>
          <w:lang w:val="es-ES"/>
        </w:rPr>
        <w:t xml:space="preserve"> y </w:t>
      </w:r>
      <w:r w:rsidR="00E16B1A" w:rsidRPr="00D35144">
        <w:rPr>
          <w:rFonts w:cs="Verdana"/>
          <w:szCs w:val="20"/>
          <w:lang w:val="es-ES"/>
        </w:rPr>
        <w:t>solicitó que se mantuviera lo decidido en la Resolución del Presidente en virtud de que el plazo para presentación de testigos se encontraba vencido</w:t>
      </w:r>
      <w:r w:rsidR="00D35144" w:rsidRPr="00D35144">
        <w:rPr>
          <w:rFonts w:cs="Verdana"/>
          <w:szCs w:val="20"/>
          <w:lang w:val="es-ES"/>
        </w:rPr>
        <w:t xml:space="preserve">. La Comisión </w:t>
      </w:r>
      <w:r w:rsidR="00E16B1A" w:rsidRPr="00D35144">
        <w:rPr>
          <w:szCs w:val="20"/>
          <w:lang w:val="es-CL"/>
        </w:rPr>
        <w:t xml:space="preserve">Interamericana no presentó observaciones. </w:t>
      </w:r>
    </w:p>
    <w:p w:rsidR="004161CE" w:rsidRDefault="004161CE" w:rsidP="004161CE">
      <w:pPr>
        <w:pStyle w:val="Prrafodelista"/>
        <w:rPr>
          <w:rFonts w:cs="Verdana"/>
          <w:szCs w:val="20"/>
          <w:lang w:val="es-ES"/>
        </w:rPr>
      </w:pPr>
    </w:p>
    <w:p w:rsidR="004161CE" w:rsidRPr="00D35144" w:rsidRDefault="004161CE" w:rsidP="004161CE">
      <w:pPr>
        <w:autoSpaceDE w:val="0"/>
        <w:autoSpaceDN w:val="0"/>
        <w:adjustRightInd w:val="0"/>
        <w:spacing w:after="0"/>
        <w:ind w:right="18"/>
        <w:rPr>
          <w:rFonts w:cs="Verdana"/>
          <w:szCs w:val="20"/>
          <w:lang w:val="es-ES"/>
        </w:rPr>
      </w:pPr>
    </w:p>
    <w:p w:rsidR="001F6312" w:rsidRPr="001F6312" w:rsidRDefault="001F6312" w:rsidP="007403DD">
      <w:pPr>
        <w:autoSpaceDE w:val="0"/>
        <w:autoSpaceDN w:val="0"/>
        <w:adjustRightInd w:val="0"/>
        <w:spacing w:after="0"/>
        <w:ind w:right="18"/>
        <w:rPr>
          <w:rFonts w:cs="Verdana"/>
          <w:szCs w:val="20"/>
          <w:lang w:val="es-E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lastRenderedPageBreak/>
        <w:t>CONSIDERANDO QUE:</w:t>
      </w:r>
    </w:p>
    <w:p w:rsidR="007403DD" w:rsidRDefault="007403DD" w:rsidP="007403DD">
      <w:pPr>
        <w:spacing w:after="0"/>
        <w:rPr>
          <w:rFonts w:eastAsia="Times New Roman" w:cs="Verdana"/>
          <w:b/>
          <w:bCs/>
          <w:szCs w:val="20"/>
          <w:lang w:val="es-CL" w:eastAsia="en-US"/>
        </w:rPr>
      </w:pPr>
    </w:p>
    <w:p w:rsidR="001D4D49" w:rsidRPr="00E17BE7" w:rsidRDefault="001D4D49" w:rsidP="007403DD">
      <w:pPr>
        <w:numPr>
          <w:ilvl w:val="0"/>
          <w:numId w:val="3"/>
        </w:numPr>
        <w:spacing w:after="0"/>
        <w:ind w:right="18"/>
        <w:rPr>
          <w:rFonts w:cs="Verdana"/>
          <w:szCs w:val="20"/>
        </w:rPr>
      </w:pPr>
      <w:r w:rsidRPr="005C641D">
        <w:rPr>
          <w:rFonts w:cs="Verdana"/>
          <w:szCs w:val="20"/>
        </w:rPr>
        <w:tab/>
      </w:r>
      <w:r w:rsidRPr="00245F5E">
        <w:rPr>
          <w:rFonts w:cs="Verdana"/>
          <w:szCs w:val="20"/>
        </w:rPr>
        <w:t>Las decisiones del Presidente</w:t>
      </w:r>
      <w:r>
        <w:rPr>
          <w:rFonts w:cs="Verdana"/>
          <w:szCs w:val="20"/>
        </w:rPr>
        <w:t>, que no sean de mero trámite,</w:t>
      </w:r>
      <w:r w:rsidRPr="00245F5E">
        <w:rPr>
          <w:rFonts w:cs="Verdana"/>
          <w:szCs w:val="20"/>
        </w:rPr>
        <w:t xml:space="preserve"> son recurribles ante la Corte</w:t>
      </w:r>
      <w:r>
        <w:rPr>
          <w:rFonts w:cs="Verdana"/>
          <w:szCs w:val="20"/>
        </w:rPr>
        <w:t xml:space="preserve"> Interamericana de Derechos Humanos (en adelante “la Corte” o “el Tribunal”</w:t>
      </w:r>
      <w:r w:rsidRPr="00245F5E">
        <w:rPr>
          <w:rFonts w:cs="Verdana"/>
          <w:szCs w:val="20"/>
        </w:rPr>
        <w:t>, en los términos del artículo 3</w:t>
      </w:r>
      <w:r>
        <w:rPr>
          <w:rFonts w:cs="Verdana"/>
          <w:szCs w:val="20"/>
        </w:rPr>
        <w:t>1</w:t>
      </w:r>
      <w:r w:rsidRPr="00245F5E">
        <w:rPr>
          <w:rFonts w:cs="Verdana"/>
          <w:szCs w:val="20"/>
        </w:rPr>
        <w:t>.2 del Reglamento</w:t>
      </w:r>
      <w:r>
        <w:rPr>
          <w:rFonts w:cs="Verdana"/>
          <w:szCs w:val="20"/>
        </w:rPr>
        <w:t xml:space="preserve"> de este Tribunal</w:t>
      </w:r>
      <w:r w:rsidRPr="00B37257">
        <w:rPr>
          <w:rFonts w:cs="Verdana"/>
          <w:szCs w:val="20"/>
          <w:lang w:val="es-CR"/>
        </w:rPr>
        <w:t xml:space="preserve"> (en adelante “el Reglamento”).</w:t>
      </w:r>
    </w:p>
    <w:p w:rsidR="00E17BE7" w:rsidRPr="00F262C0" w:rsidRDefault="00E17BE7" w:rsidP="007403DD">
      <w:pPr>
        <w:spacing w:after="0"/>
        <w:ind w:right="18"/>
        <w:rPr>
          <w:rFonts w:cs="Verdana"/>
          <w:szCs w:val="20"/>
        </w:rPr>
      </w:pPr>
    </w:p>
    <w:p w:rsidR="001D4D49" w:rsidRPr="008432B1" w:rsidRDefault="001D4D49" w:rsidP="007403DD">
      <w:pPr>
        <w:numPr>
          <w:ilvl w:val="0"/>
          <w:numId w:val="3"/>
        </w:numPr>
        <w:spacing w:after="0"/>
        <w:ind w:right="18"/>
        <w:rPr>
          <w:rFonts w:cs="Verdana"/>
          <w:szCs w:val="20"/>
        </w:rPr>
      </w:pPr>
      <w:r w:rsidRPr="00F262C0">
        <w:rPr>
          <w:rFonts w:cs="Verdana"/>
          <w:szCs w:val="20"/>
          <w:lang w:val="es-ES"/>
        </w:rPr>
        <w:t>La Corte tiene amplias facultades en cuanto a la admisión y a la modalidad de recepción de la prueba, de conformidad con los artículos 50, 57 y 58 del Reglamento.</w:t>
      </w:r>
    </w:p>
    <w:p w:rsidR="00E17BE7" w:rsidRPr="00017CD7" w:rsidRDefault="00E17BE7" w:rsidP="007403DD">
      <w:pPr>
        <w:spacing w:after="0"/>
        <w:ind w:right="18"/>
        <w:rPr>
          <w:rFonts w:cs="Verdana"/>
          <w:szCs w:val="20"/>
        </w:rPr>
      </w:pPr>
    </w:p>
    <w:p w:rsidR="00103EA3" w:rsidRPr="00103EA3" w:rsidRDefault="00EC6F70" w:rsidP="00103EA3">
      <w:pPr>
        <w:numPr>
          <w:ilvl w:val="0"/>
          <w:numId w:val="3"/>
        </w:numPr>
        <w:spacing w:after="0"/>
        <w:ind w:right="18"/>
        <w:rPr>
          <w:rFonts w:cs="Verdana"/>
          <w:szCs w:val="20"/>
          <w:lang w:val="es-ES"/>
        </w:rPr>
      </w:pPr>
      <w:r w:rsidRPr="00A54E10">
        <w:rPr>
          <w:rFonts w:cs="Times New Roman"/>
          <w:szCs w:val="20"/>
          <w:lang w:val="es-ES"/>
        </w:rPr>
        <w:t xml:space="preserve">En su escrito de solicitudes y argumentos los representantes ofrecieron, entre otros, la declaración pericial de </w:t>
      </w:r>
      <w:r w:rsidR="00A54E10">
        <w:rPr>
          <w:rFonts w:cs="Times New Roman"/>
          <w:szCs w:val="20"/>
          <w:lang w:val="es-ES"/>
        </w:rPr>
        <w:t xml:space="preserve">Eduardo Aguirre, sobre: </w:t>
      </w:r>
      <w:r w:rsidR="00A54E10">
        <w:t>i) estándares y obligaciones internacionales relevantes acerca de los derechos de las personas privadas de libertad; en particular respecto del alcance y contenido del derecho a recibir visitas familiares o del núcleo afectivo más cercano, a ser tratado con humanidad, a que la pena cumpla el fin de readaptación social del condenado y a que su pena no trascienda a terceras personas no condenadas; ii) incidencia de los traslados en el respeto de tales derechos de las personas privadas de libertad y la manera en que los traslados de esas personas pueden incidir o implicar una negación o restricción de ellos; en particular, acerca del alcance y contenido del derecho a recibir visitas familiares o del núcleo afectivo más cercano, a ser tratado con humanidad, a que la pena cumpla el fin de readaptación social del condenado y a que su pena no trascienda a terceras personas no condenadas; iii) relevancia del lugar de ubicación de los institutos carcelarios en los que se cumplen las penas privativas de libertad en relación al lugar del asiento de sus defensores técnicos y de los jueces de ejecución de sus penas; iv) incidencia de los traslados en el ejercicio del derecho de defensa en juicio por parte de la defensa técnica y en el control judicial de la ejecución de la pena carcelaria; v) obligaciones estatales para asegurar que la facultad de trasladar a personas privadas de libertad no implique una restricción adicional y desproporcionada de tales derechos; vi) situación de las cárceles federales de Argentina; vii) política y dinámica de los traslados de presos; viii) actuación (u omisión) judicial ante ellos; ix) realidad carcelaria argentina vinculada con los traslados de presos a jurisdicciones territoriales diferentes o lejanas al lugar de residencia de sus familiares, defensores técnicos y jueces con competencia en materia de ejecución de sus penas. En su lista definitiva de declarantes confirmaron dicho ofrecimiento.</w:t>
      </w:r>
    </w:p>
    <w:p w:rsidR="00103EA3" w:rsidRDefault="00103EA3" w:rsidP="00103EA3">
      <w:pPr>
        <w:spacing w:after="0"/>
        <w:ind w:right="18"/>
        <w:rPr>
          <w:rFonts w:cs="Verdana"/>
          <w:szCs w:val="20"/>
          <w:lang w:val="es-ES"/>
        </w:rPr>
      </w:pPr>
    </w:p>
    <w:p w:rsidR="00E27B55" w:rsidRPr="00103EA3" w:rsidRDefault="00D35144" w:rsidP="00103EA3">
      <w:pPr>
        <w:numPr>
          <w:ilvl w:val="0"/>
          <w:numId w:val="3"/>
        </w:numPr>
        <w:spacing w:after="0"/>
        <w:ind w:right="18"/>
        <w:rPr>
          <w:rFonts w:cs="Verdana"/>
          <w:szCs w:val="20"/>
          <w:lang w:val="es-ES"/>
        </w:rPr>
      </w:pPr>
      <w:r>
        <w:rPr>
          <w:rFonts w:cs="Verdana"/>
          <w:szCs w:val="20"/>
          <w:lang w:val="es-ES"/>
        </w:rPr>
        <w:t xml:space="preserve">En la Resolución de Presidente de </w:t>
      </w:r>
      <w:r w:rsidR="00E27B55" w:rsidRPr="00103EA3">
        <w:rPr>
          <w:rFonts w:cs="Verdana"/>
          <w:szCs w:val="20"/>
          <w:lang w:val="es-ES"/>
        </w:rPr>
        <w:t xml:space="preserve">14 de febrero de 2019 </w:t>
      </w:r>
      <w:r>
        <w:rPr>
          <w:rFonts w:cs="Verdana"/>
          <w:szCs w:val="20"/>
          <w:lang w:val="es-ES"/>
        </w:rPr>
        <w:t xml:space="preserve">se </w:t>
      </w:r>
      <w:r w:rsidR="00103EA3" w:rsidRPr="00103EA3">
        <w:rPr>
          <w:rFonts w:cs="Verdana"/>
          <w:szCs w:val="20"/>
          <w:lang w:val="es-ES"/>
        </w:rPr>
        <w:t>resolvió</w:t>
      </w:r>
      <w:r>
        <w:rPr>
          <w:rFonts w:cs="Verdana"/>
          <w:szCs w:val="20"/>
          <w:lang w:val="es-ES"/>
        </w:rPr>
        <w:t>,</w:t>
      </w:r>
      <w:r w:rsidR="00103EA3" w:rsidRPr="00103EA3">
        <w:rPr>
          <w:rFonts w:cs="Verdana"/>
          <w:szCs w:val="20"/>
          <w:lang w:val="es-ES"/>
        </w:rPr>
        <w:t xml:space="preserve"> entre otras cosas</w:t>
      </w:r>
      <w:r>
        <w:rPr>
          <w:rFonts w:cs="Verdana"/>
          <w:szCs w:val="20"/>
          <w:lang w:val="es-ES"/>
        </w:rPr>
        <w:t>,</w:t>
      </w:r>
      <w:r w:rsidR="00103EA3" w:rsidRPr="00103EA3">
        <w:rPr>
          <w:szCs w:val="20"/>
          <w:lang w:val="es-MX"/>
        </w:rPr>
        <w:t xml:space="preserve"> </w:t>
      </w:r>
      <w:r w:rsidR="00103EA3" w:rsidRPr="00103EA3">
        <w:rPr>
          <w:szCs w:val="20"/>
          <w:lang w:val="es-ES"/>
        </w:rPr>
        <w:t xml:space="preserve">inadmitir el ofrecimiento de la declaración pericial del señor Eduardo Aguirre, Defensor General de la Provincia de La Pampa, en razón de que éste remitió un escrito de </w:t>
      </w:r>
      <w:proofErr w:type="spellStart"/>
      <w:r w:rsidR="00103EA3" w:rsidRPr="00103EA3">
        <w:rPr>
          <w:i/>
          <w:szCs w:val="20"/>
          <w:lang w:val="es-ES"/>
        </w:rPr>
        <w:t>amicus</w:t>
      </w:r>
      <w:proofErr w:type="spellEnd"/>
      <w:r w:rsidR="00103EA3" w:rsidRPr="00103EA3">
        <w:rPr>
          <w:i/>
          <w:szCs w:val="20"/>
          <w:lang w:val="es-ES"/>
        </w:rPr>
        <w:t xml:space="preserve"> </w:t>
      </w:r>
      <w:proofErr w:type="spellStart"/>
      <w:r w:rsidR="00103EA3" w:rsidRPr="00103EA3">
        <w:rPr>
          <w:i/>
          <w:szCs w:val="20"/>
          <w:lang w:val="es-ES"/>
        </w:rPr>
        <w:t>curiae</w:t>
      </w:r>
      <w:proofErr w:type="spellEnd"/>
      <w:r w:rsidR="00103EA3" w:rsidRPr="00103EA3">
        <w:rPr>
          <w:szCs w:val="20"/>
          <w:lang w:val="es-ES"/>
        </w:rPr>
        <w:t xml:space="preserve"> durante el trámite del presente caso ante la Comisión Interamericana el 27 de julio de 2012; y asimismo, porque el objeto de su declaración pericial </w:t>
      </w:r>
      <w:r>
        <w:rPr>
          <w:szCs w:val="20"/>
          <w:lang w:val="es-ES"/>
        </w:rPr>
        <w:t>era</w:t>
      </w:r>
      <w:r w:rsidR="00103EA3" w:rsidRPr="00103EA3">
        <w:rPr>
          <w:szCs w:val="20"/>
          <w:lang w:val="es-ES"/>
        </w:rPr>
        <w:t xml:space="preserve"> idéntico al del peritaje a ser rendido por la señora Marta </w:t>
      </w:r>
      <w:proofErr w:type="spellStart"/>
      <w:r w:rsidR="00103EA3" w:rsidRPr="00103EA3">
        <w:rPr>
          <w:szCs w:val="20"/>
          <w:lang w:val="es-ES"/>
        </w:rPr>
        <w:t>Monclus</w:t>
      </w:r>
      <w:proofErr w:type="spellEnd"/>
      <w:r w:rsidR="00103EA3" w:rsidRPr="00103EA3">
        <w:rPr>
          <w:szCs w:val="20"/>
          <w:lang w:val="es-ES"/>
        </w:rPr>
        <w:t xml:space="preserve">. </w:t>
      </w:r>
    </w:p>
    <w:p w:rsidR="00E27B55" w:rsidRDefault="00E27B55" w:rsidP="00E27B55">
      <w:pPr>
        <w:spacing w:after="0"/>
        <w:ind w:right="18"/>
        <w:rPr>
          <w:lang w:val="es-ES"/>
        </w:rPr>
      </w:pPr>
    </w:p>
    <w:p w:rsidR="00E27B55" w:rsidRDefault="00E27B55" w:rsidP="00E27B55">
      <w:pPr>
        <w:spacing w:after="0"/>
        <w:ind w:right="18"/>
        <w:rPr>
          <w:rFonts w:cs="Verdana"/>
          <w:b/>
          <w:i/>
          <w:szCs w:val="20"/>
        </w:rPr>
      </w:pPr>
      <w:r w:rsidRPr="008432B1">
        <w:rPr>
          <w:rFonts w:cs="Verdana"/>
          <w:b/>
          <w:i/>
          <w:szCs w:val="20"/>
        </w:rPr>
        <w:t>S</w:t>
      </w:r>
      <w:r>
        <w:rPr>
          <w:rFonts w:cs="Verdana"/>
          <w:b/>
          <w:i/>
          <w:szCs w:val="20"/>
        </w:rPr>
        <w:t>olicitud de recepción de la declaración de Eduardo Aguirre</w:t>
      </w:r>
      <w:r w:rsidR="00D35144">
        <w:rPr>
          <w:rFonts w:cs="Verdana"/>
          <w:b/>
          <w:i/>
          <w:szCs w:val="20"/>
        </w:rPr>
        <w:t xml:space="preserve"> como testigo y no como perito</w:t>
      </w:r>
    </w:p>
    <w:p w:rsidR="00AB3C28" w:rsidRDefault="00AB3C28" w:rsidP="00AB3C28">
      <w:pPr>
        <w:spacing w:after="0"/>
        <w:ind w:right="18"/>
        <w:rPr>
          <w:rFonts w:cs="Verdana"/>
          <w:szCs w:val="20"/>
          <w:lang w:val="es-ES"/>
        </w:rPr>
      </w:pPr>
    </w:p>
    <w:p w:rsidR="001D396F" w:rsidRPr="00EB6210" w:rsidRDefault="00EC6F70" w:rsidP="001D396F">
      <w:pPr>
        <w:numPr>
          <w:ilvl w:val="0"/>
          <w:numId w:val="3"/>
        </w:numPr>
        <w:spacing w:after="0"/>
        <w:ind w:right="18"/>
        <w:rPr>
          <w:rFonts w:cs="Verdana"/>
          <w:szCs w:val="20"/>
          <w:lang w:val="es-ES"/>
        </w:rPr>
      </w:pPr>
      <w:r w:rsidRPr="00AB3C28">
        <w:rPr>
          <w:rFonts w:cs="Times New Roman"/>
          <w:szCs w:val="20"/>
          <w:lang w:val="es-ES"/>
        </w:rPr>
        <w:t xml:space="preserve"> </w:t>
      </w:r>
      <w:r w:rsidR="0093539C" w:rsidRPr="00AB3C28">
        <w:rPr>
          <w:rFonts w:cs="Times New Roman"/>
          <w:szCs w:val="20"/>
          <w:lang w:val="es-ES"/>
        </w:rPr>
        <w:t xml:space="preserve">El </w:t>
      </w:r>
      <w:r w:rsidR="0093539C" w:rsidRPr="00AB3C28">
        <w:rPr>
          <w:szCs w:val="20"/>
          <w:lang w:val="es-CL"/>
        </w:rPr>
        <w:t>18 de</w:t>
      </w:r>
      <w:r w:rsidR="00AB3C28" w:rsidRPr="00AB3C28">
        <w:rPr>
          <w:szCs w:val="20"/>
          <w:lang w:val="es-CL"/>
        </w:rPr>
        <w:t xml:space="preserve"> febrero de 2019</w:t>
      </w:r>
      <w:r w:rsidR="0093539C" w:rsidRPr="00AB3C28">
        <w:rPr>
          <w:szCs w:val="20"/>
          <w:lang w:val="es-CL"/>
        </w:rPr>
        <w:t xml:space="preserve"> los representantes presentaron una solicitud de reconsideración respecto </w:t>
      </w:r>
      <w:r w:rsidR="00AB3C28" w:rsidRPr="00AB3C28">
        <w:rPr>
          <w:szCs w:val="20"/>
          <w:lang w:val="es-CL"/>
        </w:rPr>
        <w:t xml:space="preserve">de la inadmisión de la declaración pericial del señor Eduardo Aguirre, fundamentando su solicitud con base en lo siguiente: </w:t>
      </w:r>
      <w:r w:rsidR="00AB3C28" w:rsidRPr="00AB3C28">
        <w:rPr>
          <w:szCs w:val="20"/>
          <w:lang w:val="es-MX"/>
        </w:rPr>
        <w:t xml:space="preserve"> i) Es correcto que Eduardo Aguirre no puede ser perito, por haber firmado un escrito de </w:t>
      </w:r>
      <w:proofErr w:type="spellStart"/>
      <w:r w:rsidR="00AB3C28" w:rsidRPr="00AB3C28">
        <w:rPr>
          <w:i/>
          <w:szCs w:val="20"/>
          <w:lang w:val="es-MX"/>
        </w:rPr>
        <w:t>amicus</w:t>
      </w:r>
      <w:proofErr w:type="spellEnd"/>
      <w:r w:rsidR="00AB3C28" w:rsidRPr="00AB3C28">
        <w:rPr>
          <w:i/>
          <w:szCs w:val="20"/>
          <w:lang w:val="es-MX"/>
        </w:rPr>
        <w:t xml:space="preserve"> </w:t>
      </w:r>
      <w:proofErr w:type="spellStart"/>
      <w:r w:rsidR="00AB3C28" w:rsidRPr="00AB3C28">
        <w:rPr>
          <w:i/>
          <w:szCs w:val="20"/>
          <w:lang w:val="es-MX"/>
        </w:rPr>
        <w:t>curiae</w:t>
      </w:r>
      <w:proofErr w:type="spellEnd"/>
      <w:r w:rsidR="00AB3C28" w:rsidRPr="00AB3C28">
        <w:rPr>
          <w:szCs w:val="20"/>
          <w:lang w:val="es-MX"/>
        </w:rPr>
        <w:t xml:space="preserve"> en el presente caso, sin embargo, ello no lo inhabilita como </w:t>
      </w:r>
      <w:r w:rsidR="00AB3C28" w:rsidRPr="00AB3C28">
        <w:rPr>
          <w:rFonts w:cs="51qemmdpmuv,Bold"/>
          <w:bCs/>
          <w:szCs w:val="20"/>
          <w:lang w:val="es-MX"/>
        </w:rPr>
        <w:t>testigo, por lo que se pide se le reciba declaración testimonial en la audiencia aunque no como perito; ii)</w:t>
      </w:r>
      <w:r w:rsidR="00AB3C28" w:rsidRPr="00AB3C28">
        <w:rPr>
          <w:szCs w:val="20"/>
          <w:lang w:val="es-MX"/>
        </w:rPr>
        <w:t xml:space="preserve"> Se debe tomar en cuenta el carácter general y estructural de la práctica de traslados ilegítimos que se sigue llevando a cabo en la República Argentina y que Eduardo Aguirre, en su condición de Defensor General de la Provincia de La Pampa, tiene amplios conocimientos de la política argentina en materia de traslados y sobre todo de la realidad actual, y iii) Se debe tomar en cuenta que Eduardo </w:t>
      </w:r>
      <w:r w:rsidR="00AB3C28" w:rsidRPr="00AB3C28">
        <w:rPr>
          <w:szCs w:val="20"/>
          <w:lang w:val="es-MX"/>
        </w:rPr>
        <w:lastRenderedPageBreak/>
        <w:t>Aguirre ha sacado su pasaje para viajar a la sede de la Corte y manifestó su voluntad de hacerse cargo de los gastos totales que demande su comparecencia.</w:t>
      </w:r>
    </w:p>
    <w:p w:rsidR="00EB6210" w:rsidRPr="001D396F" w:rsidRDefault="00EB6210" w:rsidP="00EB6210">
      <w:pPr>
        <w:spacing w:after="0"/>
        <w:ind w:right="18"/>
        <w:rPr>
          <w:rFonts w:cs="Verdana"/>
          <w:szCs w:val="20"/>
          <w:lang w:val="es-ES"/>
        </w:rPr>
      </w:pPr>
    </w:p>
    <w:p w:rsidR="00D35144" w:rsidRPr="00D35144" w:rsidRDefault="00D35144" w:rsidP="00D35144">
      <w:pPr>
        <w:numPr>
          <w:ilvl w:val="0"/>
          <w:numId w:val="3"/>
        </w:numPr>
        <w:spacing w:after="0"/>
        <w:ind w:right="18"/>
        <w:rPr>
          <w:rFonts w:cs="Verdana"/>
          <w:szCs w:val="20"/>
          <w:lang w:val="es-MX"/>
        </w:rPr>
      </w:pPr>
      <w:r>
        <w:rPr>
          <w:rFonts w:cs="Verdana"/>
          <w:szCs w:val="20"/>
          <w:lang w:val="es-ES"/>
        </w:rPr>
        <w:t xml:space="preserve">Al respecto, Argentina </w:t>
      </w:r>
      <w:r>
        <w:rPr>
          <w:rFonts w:cs="Verdana"/>
          <w:szCs w:val="20"/>
          <w:lang w:val="es-MX"/>
        </w:rPr>
        <w:t>solicitó</w:t>
      </w:r>
      <w:r w:rsidRPr="00D35144">
        <w:rPr>
          <w:rFonts w:cs="Verdana"/>
          <w:szCs w:val="20"/>
          <w:lang w:val="es-MX"/>
        </w:rPr>
        <w:t xml:space="preserve"> que se mantenga lo decidido en la Resolución del Presidente en virtud de que el plazo para presentación de testigos se encuentra vencido. </w:t>
      </w:r>
    </w:p>
    <w:p w:rsidR="00D35144" w:rsidRDefault="00D35144" w:rsidP="00D35144">
      <w:pPr>
        <w:spacing w:after="0"/>
        <w:ind w:right="18"/>
        <w:rPr>
          <w:rFonts w:cs="Verdana"/>
          <w:szCs w:val="20"/>
          <w:lang w:val="es-ES"/>
        </w:rPr>
      </w:pPr>
    </w:p>
    <w:p w:rsidR="007E7879" w:rsidRPr="005A6C53" w:rsidRDefault="00EB6210" w:rsidP="005A6C53">
      <w:pPr>
        <w:numPr>
          <w:ilvl w:val="0"/>
          <w:numId w:val="3"/>
        </w:numPr>
        <w:spacing w:after="0"/>
        <w:ind w:right="18"/>
        <w:rPr>
          <w:rFonts w:cs="Verdana"/>
          <w:szCs w:val="20"/>
          <w:lang w:val="es-ES"/>
        </w:rPr>
      </w:pPr>
      <w:r>
        <w:rPr>
          <w:rFonts w:cs="Verdana"/>
          <w:szCs w:val="20"/>
          <w:lang w:val="es-ES"/>
        </w:rPr>
        <w:t xml:space="preserve">En lo que respecta a </w:t>
      </w:r>
      <w:r w:rsidR="001D396F" w:rsidRPr="001D396F">
        <w:rPr>
          <w:szCs w:val="20"/>
          <w:lang w:val="es-MX"/>
        </w:rPr>
        <w:t xml:space="preserve">la solicitud </w:t>
      </w:r>
      <w:r>
        <w:rPr>
          <w:szCs w:val="20"/>
          <w:lang w:val="es-MX"/>
        </w:rPr>
        <w:t xml:space="preserve">de los representantes en el sentido de que </w:t>
      </w:r>
      <w:r w:rsidR="001D396F" w:rsidRPr="001D396F">
        <w:rPr>
          <w:szCs w:val="20"/>
          <w:lang w:val="es-MX"/>
        </w:rPr>
        <w:t xml:space="preserve">el señor Eduardo Aguirre pueda declarar como testigo, en virtud de que no fue admitida su declaración como perito, la </w:t>
      </w:r>
      <w:r>
        <w:rPr>
          <w:szCs w:val="20"/>
          <w:lang w:val="es-MX"/>
        </w:rPr>
        <w:t>Corte considera conveniente</w:t>
      </w:r>
      <w:r w:rsidR="001D396F" w:rsidRPr="001D396F">
        <w:rPr>
          <w:szCs w:val="20"/>
          <w:lang w:val="es-MX"/>
        </w:rPr>
        <w:t xml:space="preserve"> rechazar tal solicitud, </w:t>
      </w:r>
      <w:r w:rsidR="007E7879">
        <w:rPr>
          <w:szCs w:val="20"/>
          <w:lang w:val="es-MX"/>
        </w:rPr>
        <w:t>en razón</w:t>
      </w:r>
      <w:r w:rsidR="001D396F" w:rsidRPr="001D396F">
        <w:rPr>
          <w:szCs w:val="20"/>
          <w:lang w:val="es-MX"/>
        </w:rPr>
        <w:t xml:space="preserve"> de que </w:t>
      </w:r>
      <w:r>
        <w:rPr>
          <w:szCs w:val="20"/>
          <w:lang w:val="es-MX"/>
        </w:rPr>
        <w:t>fue</w:t>
      </w:r>
      <w:r w:rsidR="001D396F" w:rsidRPr="001D396F">
        <w:rPr>
          <w:szCs w:val="20"/>
          <w:lang w:val="es-MX"/>
        </w:rPr>
        <w:t xml:space="preserve"> correcta la decisión del Presidente en la Resolución de Convocatoria a Audiencia</w:t>
      </w:r>
      <w:r>
        <w:rPr>
          <w:szCs w:val="20"/>
          <w:lang w:val="es-MX"/>
        </w:rPr>
        <w:t>; ello es así,</w:t>
      </w:r>
      <w:r w:rsidR="001D396F" w:rsidRPr="001D396F">
        <w:rPr>
          <w:szCs w:val="20"/>
          <w:lang w:val="es-MX"/>
        </w:rPr>
        <w:t xml:space="preserve"> porque como se precisó en la misma, </w:t>
      </w:r>
      <w:r w:rsidR="00103EA3">
        <w:rPr>
          <w:szCs w:val="20"/>
          <w:lang w:val="es-ES"/>
        </w:rPr>
        <w:t>la designación de</w:t>
      </w:r>
      <w:r w:rsidR="001D396F" w:rsidRPr="001D396F">
        <w:rPr>
          <w:szCs w:val="20"/>
          <w:lang w:val="es-ES"/>
        </w:rPr>
        <w:t xml:space="preserve"> Eduardo Aguirre como perito en el presente caso, no se encuentra en conformidad con el artículo 48.1.f del Reglamento del Tribunal</w:t>
      </w:r>
      <w:r>
        <w:rPr>
          <w:szCs w:val="20"/>
          <w:lang w:val="es-ES"/>
        </w:rPr>
        <w:t>; y a</w:t>
      </w:r>
      <w:r w:rsidR="001D396F" w:rsidRPr="001D396F">
        <w:rPr>
          <w:szCs w:val="20"/>
          <w:lang w:val="es-ES"/>
        </w:rPr>
        <w:t>demás</w:t>
      </w:r>
      <w:r>
        <w:rPr>
          <w:szCs w:val="20"/>
          <w:lang w:val="es-ES"/>
        </w:rPr>
        <w:t xml:space="preserve"> porque</w:t>
      </w:r>
      <w:r w:rsidR="001D396F" w:rsidRPr="001D396F">
        <w:rPr>
          <w:szCs w:val="20"/>
          <w:lang w:val="es-ES"/>
        </w:rPr>
        <w:t xml:space="preserve"> el objeto de su declaración pericial es idéntico al del peritaje a ser rendido por la señora Marta </w:t>
      </w:r>
      <w:proofErr w:type="spellStart"/>
      <w:r w:rsidR="001D396F" w:rsidRPr="001D396F">
        <w:rPr>
          <w:szCs w:val="20"/>
          <w:lang w:val="es-ES"/>
        </w:rPr>
        <w:t>Monclus</w:t>
      </w:r>
      <w:proofErr w:type="spellEnd"/>
      <w:r w:rsidR="001D396F" w:rsidRPr="001D396F">
        <w:rPr>
          <w:szCs w:val="20"/>
          <w:lang w:val="es-ES"/>
        </w:rPr>
        <w:t xml:space="preserve"> y no </w:t>
      </w:r>
      <w:r w:rsidR="0016636B">
        <w:rPr>
          <w:szCs w:val="20"/>
          <w:lang w:val="es-ES"/>
        </w:rPr>
        <w:t>sería</w:t>
      </w:r>
      <w:r w:rsidR="001D396F" w:rsidRPr="001D396F">
        <w:rPr>
          <w:szCs w:val="20"/>
          <w:lang w:val="es-ES"/>
        </w:rPr>
        <w:t xml:space="preserve"> necesario</w:t>
      </w:r>
      <w:r>
        <w:rPr>
          <w:szCs w:val="20"/>
          <w:lang w:val="es-ES"/>
        </w:rPr>
        <w:t xml:space="preserve"> que dos peritos depongan </w:t>
      </w:r>
      <w:r w:rsidR="001D396F" w:rsidRPr="001D396F">
        <w:rPr>
          <w:szCs w:val="20"/>
          <w:lang w:val="es-ES"/>
        </w:rPr>
        <w:t>sobre el mismo tema u objeto</w:t>
      </w:r>
      <w:r w:rsidR="007E7879">
        <w:rPr>
          <w:szCs w:val="20"/>
          <w:lang w:val="es-ES"/>
        </w:rPr>
        <w:t xml:space="preserve"> en la Audiencia respectiva</w:t>
      </w:r>
      <w:r w:rsidR="001D396F" w:rsidRPr="001D396F">
        <w:rPr>
          <w:szCs w:val="20"/>
          <w:lang w:val="es-ES"/>
        </w:rPr>
        <w:t>.</w:t>
      </w:r>
      <w:r w:rsidR="005A6C53">
        <w:rPr>
          <w:rFonts w:cs="Verdana"/>
          <w:szCs w:val="20"/>
          <w:lang w:val="es-ES"/>
        </w:rPr>
        <w:t xml:space="preserve"> </w:t>
      </w:r>
      <w:r w:rsidR="001D396F" w:rsidRPr="005A6C53">
        <w:rPr>
          <w:szCs w:val="20"/>
          <w:lang w:val="es-ES"/>
        </w:rPr>
        <w:t xml:space="preserve">Ante el argumento de los representantes sobre el gran conocimiento del señor Aguirre respecto a los traslados de presos en Argentina, </w:t>
      </w:r>
      <w:r w:rsidR="007E7879" w:rsidRPr="005A6C53">
        <w:rPr>
          <w:szCs w:val="20"/>
          <w:lang w:val="es-ES"/>
        </w:rPr>
        <w:t xml:space="preserve">la Corte nota que </w:t>
      </w:r>
      <w:r w:rsidR="001D396F" w:rsidRPr="005A6C53">
        <w:rPr>
          <w:szCs w:val="20"/>
          <w:lang w:val="es-ES"/>
        </w:rPr>
        <w:t xml:space="preserve">el objeto del ofrecimiento </w:t>
      </w:r>
      <w:r w:rsidR="007E7879" w:rsidRPr="005A6C53">
        <w:rPr>
          <w:szCs w:val="20"/>
          <w:lang w:val="es-ES"/>
        </w:rPr>
        <w:t xml:space="preserve">es </w:t>
      </w:r>
      <w:r w:rsidR="001D396F" w:rsidRPr="005A6C53">
        <w:rPr>
          <w:szCs w:val="20"/>
          <w:lang w:val="es-ES"/>
        </w:rPr>
        <w:t xml:space="preserve">idéntico al de la señora </w:t>
      </w:r>
      <w:proofErr w:type="spellStart"/>
      <w:r w:rsidR="001D396F" w:rsidRPr="005A6C53">
        <w:rPr>
          <w:szCs w:val="20"/>
          <w:lang w:val="es-ES"/>
        </w:rPr>
        <w:t>Monclus</w:t>
      </w:r>
      <w:proofErr w:type="spellEnd"/>
      <w:r w:rsidR="001D396F" w:rsidRPr="005A6C53">
        <w:rPr>
          <w:szCs w:val="20"/>
          <w:lang w:val="es-ES"/>
        </w:rPr>
        <w:t xml:space="preserve"> </w:t>
      </w:r>
      <w:r w:rsidR="007E7879" w:rsidRPr="005A6C53">
        <w:rPr>
          <w:szCs w:val="20"/>
          <w:lang w:val="es-ES"/>
        </w:rPr>
        <w:t xml:space="preserve">y </w:t>
      </w:r>
      <w:r w:rsidR="001D396F" w:rsidRPr="005A6C53">
        <w:rPr>
          <w:szCs w:val="20"/>
          <w:lang w:val="es-ES"/>
        </w:rPr>
        <w:t xml:space="preserve">no proporciona criterios objetivos suficientes para diferenciarlo o priorizarlo. </w:t>
      </w:r>
    </w:p>
    <w:p w:rsidR="007E7879" w:rsidRDefault="007E7879" w:rsidP="007E7879">
      <w:pPr>
        <w:pStyle w:val="Prrafodelista"/>
        <w:rPr>
          <w:szCs w:val="20"/>
          <w:lang w:val="es-ES"/>
        </w:rPr>
      </w:pPr>
    </w:p>
    <w:p w:rsidR="0065690E" w:rsidRPr="0065690E" w:rsidRDefault="001D396F" w:rsidP="001D396F">
      <w:pPr>
        <w:numPr>
          <w:ilvl w:val="0"/>
          <w:numId w:val="3"/>
        </w:numPr>
        <w:spacing w:after="0"/>
        <w:ind w:right="18"/>
        <w:rPr>
          <w:rFonts w:cs="Verdana"/>
          <w:szCs w:val="20"/>
          <w:lang w:val="es-ES"/>
        </w:rPr>
      </w:pPr>
      <w:r w:rsidRPr="001D396F">
        <w:rPr>
          <w:szCs w:val="20"/>
          <w:lang w:val="es-ES"/>
        </w:rPr>
        <w:t>E</w:t>
      </w:r>
      <w:r w:rsidR="007E7879">
        <w:rPr>
          <w:szCs w:val="20"/>
          <w:lang w:val="es-ES"/>
        </w:rPr>
        <w:t>n cuanto a</w:t>
      </w:r>
      <w:r w:rsidRPr="001D396F">
        <w:rPr>
          <w:szCs w:val="20"/>
          <w:lang w:val="es-ES"/>
        </w:rPr>
        <w:t xml:space="preserve"> </w:t>
      </w:r>
      <w:r w:rsidR="007E7879">
        <w:rPr>
          <w:szCs w:val="20"/>
          <w:lang w:val="es-ES"/>
        </w:rPr>
        <w:t xml:space="preserve">la declaración ofrecida, </w:t>
      </w:r>
      <w:r w:rsidR="005A6C53">
        <w:rPr>
          <w:szCs w:val="20"/>
          <w:lang w:val="es-ES"/>
        </w:rPr>
        <w:t xml:space="preserve">la Corte advierte que </w:t>
      </w:r>
      <w:r w:rsidRPr="001D396F">
        <w:rPr>
          <w:szCs w:val="20"/>
          <w:lang w:val="es-ES"/>
        </w:rPr>
        <w:t>tiene características de peritaje, y no así de un testimonio de hechos concretos o situaciones específi</w:t>
      </w:r>
      <w:r w:rsidR="007B79A0">
        <w:rPr>
          <w:szCs w:val="20"/>
          <w:lang w:val="es-ES"/>
        </w:rPr>
        <w:t>cas vinculadas al caso particular</w:t>
      </w:r>
      <w:r w:rsidR="005A6C53">
        <w:rPr>
          <w:szCs w:val="20"/>
          <w:lang w:val="es-ES"/>
        </w:rPr>
        <w:t xml:space="preserve">; </w:t>
      </w:r>
      <w:r w:rsidR="00D228E7">
        <w:rPr>
          <w:szCs w:val="20"/>
          <w:lang w:val="es-ES"/>
        </w:rPr>
        <w:t xml:space="preserve">destacándose </w:t>
      </w:r>
      <w:r w:rsidR="007B79A0">
        <w:rPr>
          <w:szCs w:val="20"/>
          <w:lang w:val="es-ES"/>
        </w:rPr>
        <w:t xml:space="preserve">además </w:t>
      </w:r>
      <w:r w:rsidRPr="001D396F">
        <w:rPr>
          <w:szCs w:val="20"/>
          <w:lang w:val="es-ES"/>
        </w:rPr>
        <w:t xml:space="preserve">que el escrito de </w:t>
      </w:r>
      <w:proofErr w:type="spellStart"/>
      <w:r w:rsidRPr="001D396F">
        <w:rPr>
          <w:i/>
          <w:szCs w:val="20"/>
          <w:lang w:val="es-ES"/>
        </w:rPr>
        <w:t>amicus</w:t>
      </w:r>
      <w:proofErr w:type="spellEnd"/>
      <w:r w:rsidRPr="001D396F">
        <w:rPr>
          <w:i/>
          <w:szCs w:val="20"/>
          <w:lang w:val="es-ES"/>
        </w:rPr>
        <w:t xml:space="preserve"> </w:t>
      </w:r>
      <w:proofErr w:type="spellStart"/>
      <w:r w:rsidRPr="001D396F">
        <w:rPr>
          <w:i/>
          <w:szCs w:val="20"/>
          <w:lang w:val="es-ES"/>
        </w:rPr>
        <w:t>curiae</w:t>
      </w:r>
      <w:proofErr w:type="spellEnd"/>
      <w:r w:rsidRPr="001D396F">
        <w:rPr>
          <w:szCs w:val="20"/>
          <w:lang w:val="es-ES"/>
        </w:rPr>
        <w:t xml:space="preserve"> </w:t>
      </w:r>
      <w:r w:rsidR="007B79A0">
        <w:rPr>
          <w:szCs w:val="20"/>
          <w:lang w:val="es-ES"/>
        </w:rPr>
        <w:t xml:space="preserve">que fue </w:t>
      </w:r>
      <w:r w:rsidRPr="001D396F">
        <w:rPr>
          <w:szCs w:val="20"/>
          <w:lang w:val="es-ES"/>
        </w:rPr>
        <w:t xml:space="preserve">presentado por el </w:t>
      </w:r>
      <w:r w:rsidR="00D228E7">
        <w:rPr>
          <w:szCs w:val="20"/>
          <w:lang w:val="es-ES"/>
        </w:rPr>
        <w:t xml:space="preserve">perito ofrecido, </w:t>
      </w:r>
      <w:r w:rsidRPr="001D396F">
        <w:rPr>
          <w:szCs w:val="20"/>
          <w:lang w:val="es-ES"/>
        </w:rPr>
        <w:t>se encuentra disponible en el expediente r</w:t>
      </w:r>
      <w:r w:rsidR="0065690E">
        <w:rPr>
          <w:szCs w:val="20"/>
          <w:lang w:val="es-ES"/>
        </w:rPr>
        <w:t>emitido por la Comisión, de tal suerte</w:t>
      </w:r>
      <w:r w:rsidRPr="001D396F">
        <w:rPr>
          <w:szCs w:val="20"/>
          <w:lang w:val="es-ES"/>
        </w:rPr>
        <w:t xml:space="preserve"> que la declaración del señor Aguirre </w:t>
      </w:r>
      <w:r w:rsidR="0065690E">
        <w:rPr>
          <w:szCs w:val="20"/>
          <w:lang w:val="es-ES"/>
        </w:rPr>
        <w:t xml:space="preserve">no es </w:t>
      </w:r>
      <w:r w:rsidRPr="001D396F">
        <w:rPr>
          <w:szCs w:val="20"/>
          <w:lang w:val="es-ES"/>
        </w:rPr>
        <w:t>fundamen</w:t>
      </w:r>
      <w:r w:rsidR="0065690E">
        <w:rPr>
          <w:szCs w:val="20"/>
          <w:lang w:val="es-ES"/>
        </w:rPr>
        <w:t xml:space="preserve">tal para el desenlace del caso. </w:t>
      </w:r>
    </w:p>
    <w:p w:rsidR="0065690E" w:rsidRDefault="0065690E" w:rsidP="0065690E">
      <w:pPr>
        <w:pStyle w:val="Prrafodelista"/>
        <w:rPr>
          <w:szCs w:val="20"/>
          <w:lang w:val="es-CL"/>
        </w:rPr>
      </w:pPr>
    </w:p>
    <w:p w:rsidR="001D396F" w:rsidRPr="0065690E" w:rsidRDefault="0065690E" w:rsidP="0065690E">
      <w:pPr>
        <w:numPr>
          <w:ilvl w:val="0"/>
          <w:numId w:val="3"/>
        </w:numPr>
        <w:spacing w:after="0"/>
        <w:ind w:right="18"/>
        <w:rPr>
          <w:szCs w:val="20"/>
          <w:lang w:val="es-MX"/>
        </w:rPr>
      </w:pPr>
      <w:r w:rsidRPr="003D3798">
        <w:rPr>
          <w:szCs w:val="20"/>
          <w:lang w:val="es-CL"/>
        </w:rPr>
        <w:t>Por lo anterior, la Corte no encuentra motivos para apartarse de la d</w:t>
      </w:r>
      <w:r>
        <w:rPr>
          <w:szCs w:val="20"/>
          <w:lang w:val="es-CL"/>
        </w:rPr>
        <w:t xml:space="preserve">ecisión del Presidente en la Resolución de Convocatoria a Audiencia, </w:t>
      </w:r>
      <w:r w:rsidR="001B4E4C">
        <w:rPr>
          <w:szCs w:val="20"/>
          <w:lang w:val="es-CL"/>
        </w:rPr>
        <w:t xml:space="preserve">y confirma la inadmisión de la </w:t>
      </w:r>
      <w:r>
        <w:rPr>
          <w:szCs w:val="20"/>
          <w:lang w:val="es-CL"/>
        </w:rPr>
        <w:t>declaración como perito de Eduardo Aguirre</w:t>
      </w:r>
      <w:r w:rsidR="001B4E4C">
        <w:rPr>
          <w:szCs w:val="20"/>
          <w:lang w:val="es-CL"/>
        </w:rPr>
        <w:t>,</w:t>
      </w:r>
      <w:r>
        <w:rPr>
          <w:szCs w:val="20"/>
          <w:lang w:val="es-CL"/>
        </w:rPr>
        <w:t xml:space="preserve"> </w:t>
      </w:r>
      <w:r w:rsidR="001B4E4C">
        <w:rPr>
          <w:szCs w:val="20"/>
          <w:lang w:val="es-CL"/>
        </w:rPr>
        <w:t>y</w:t>
      </w:r>
      <w:r>
        <w:rPr>
          <w:szCs w:val="20"/>
          <w:lang w:val="es-CL"/>
        </w:rPr>
        <w:t xml:space="preserve"> por </w:t>
      </w:r>
      <w:r w:rsidR="001B4E4C">
        <w:rPr>
          <w:szCs w:val="20"/>
          <w:lang w:val="es-CL"/>
        </w:rPr>
        <w:t>tanto</w:t>
      </w:r>
      <w:r w:rsidRPr="003D3798">
        <w:rPr>
          <w:szCs w:val="20"/>
          <w:lang w:val="es-CL"/>
        </w:rPr>
        <w:t xml:space="preserve"> </w:t>
      </w:r>
      <w:r w:rsidR="00A22CC3">
        <w:rPr>
          <w:szCs w:val="20"/>
          <w:lang w:val="es-MX"/>
        </w:rPr>
        <w:t>desestima</w:t>
      </w:r>
      <w:r w:rsidR="001D396F" w:rsidRPr="0065690E">
        <w:rPr>
          <w:szCs w:val="20"/>
          <w:lang w:val="es-MX"/>
        </w:rPr>
        <w:t xml:space="preserve"> la solicitud de reconsideración </w:t>
      </w:r>
      <w:r w:rsidR="001B4E4C">
        <w:rPr>
          <w:szCs w:val="20"/>
          <w:lang w:val="es-MX"/>
        </w:rPr>
        <w:t xml:space="preserve">planteada por </w:t>
      </w:r>
      <w:r w:rsidR="001D396F" w:rsidRPr="0065690E">
        <w:rPr>
          <w:szCs w:val="20"/>
          <w:lang w:val="es-MX"/>
        </w:rPr>
        <w:t xml:space="preserve">los representantes. </w:t>
      </w:r>
    </w:p>
    <w:p w:rsidR="0093539C" w:rsidRPr="0093539C" w:rsidRDefault="0093539C" w:rsidP="007403DD">
      <w:pPr>
        <w:spacing w:after="0"/>
        <w:ind w:right="18"/>
        <w:rPr>
          <w:rFonts w:cs="Verdana"/>
          <w:szCs w:val="20"/>
          <w:lang w:val="es-ES"/>
        </w:rPr>
      </w:pPr>
    </w:p>
    <w:p w:rsidR="00017CD7" w:rsidRPr="0003632E" w:rsidRDefault="00017CD7" w:rsidP="007403DD">
      <w:pPr>
        <w:spacing w:after="0"/>
        <w:rPr>
          <w:rFonts w:cs="Verdana"/>
          <w:b/>
          <w:bCs/>
          <w:szCs w:val="20"/>
          <w:lang w:val="es-CR"/>
        </w:rPr>
      </w:pPr>
      <w:r w:rsidRPr="0003632E">
        <w:rPr>
          <w:rFonts w:cs="Verdana"/>
          <w:b/>
          <w:bCs/>
          <w:szCs w:val="20"/>
          <w:lang w:val="es-CR"/>
        </w:rPr>
        <w:t>POR TANTO:</w:t>
      </w:r>
    </w:p>
    <w:p w:rsidR="00017CD7" w:rsidRPr="0003632E" w:rsidRDefault="00017CD7" w:rsidP="007403DD">
      <w:pPr>
        <w:spacing w:after="0"/>
        <w:rPr>
          <w:rFonts w:cs="Verdana"/>
          <w:b/>
          <w:bCs/>
          <w:szCs w:val="20"/>
          <w:lang w:val="es-CR"/>
        </w:rPr>
      </w:pPr>
    </w:p>
    <w:p w:rsidR="00017CD7" w:rsidRDefault="00017CD7" w:rsidP="007403DD">
      <w:pPr>
        <w:spacing w:after="0"/>
        <w:rPr>
          <w:rFonts w:cs="Verdana"/>
          <w:b/>
          <w:bCs/>
          <w:szCs w:val="20"/>
          <w:lang w:val="es-CR"/>
        </w:rPr>
      </w:pPr>
      <w:r w:rsidRPr="0003632E">
        <w:rPr>
          <w:rFonts w:cs="Verdana"/>
          <w:b/>
          <w:bCs/>
          <w:szCs w:val="20"/>
          <w:lang w:val="es-CR"/>
        </w:rPr>
        <w:t xml:space="preserve">LA CORTE INTERAMERICANA DE DERECHOS HUMANOS, </w:t>
      </w:r>
    </w:p>
    <w:p w:rsidR="00017CD7" w:rsidRDefault="00017CD7" w:rsidP="007403DD">
      <w:pPr>
        <w:autoSpaceDE w:val="0"/>
        <w:autoSpaceDN w:val="0"/>
        <w:adjustRightInd w:val="0"/>
        <w:spacing w:after="0"/>
        <w:ind w:right="18"/>
        <w:rPr>
          <w:rFonts w:ascii="Garamond" w:hAnsi="Garamond"/>
          <w:lang w:val="es-CR"/>
        </w:rPr>
      </w:pPr>
    </w:p>
    <w:p w:rsidR="00017CD7" w:rsidRPr="005C641D" w:rsidRDefault="0057785F" w:rsidP="007403DD">
      <w:pPr>
        <w:autoSpaceDE w:val="0"/>
        <w:autoSpaceDN w:val="0"/>
        <w:adjustRightInd w:val="0"/>
        <w:spacing w:after="0"/>
        <w:ind w:right="18"/>
        <w:rPr>
          <w:rFonts w:cs="Verdana"/>
          <w:b/>
          <w:bCs/>
          <w:szCs w:val="20"/>
          <w:lang w:val="es-ES"/>
        </w:rPr>
      </w:pPr>
      <w:r>
        <w:rPr>
          <w:rFonts w:cs="Verdana"/>
          <w:szCs w:val="20"/>
          <w:lang w:val="es-CR"/>
        </w:rPr>
        <w:t>D</w:t>
      </w:r>
      <w:proofErr w:type="spellStart"/>
      <w:r w:rsidR="00017CD7" w:rsidRPr="005C641D">
        <w:rPr>
          <w:rFonts w:cs="Verdana"/>
          <w:szCs w:val="20"/>
          <w:lang w:val="es-ES"/>
        </w:rPr>
        <w:t>e</w:t>
      </w:r>
      <w:proofErr w:type="spellEnd"/>
      <w:r w:rsidR="00017CD7" w:rsidRPr="005C641D">
        <w:rPr>
          <w:rFonts w:cs="Verdana"/>
          <w:szCs w:val="20"/>
          <w:lang w:val="es-ES"/>
        </w:rPr>
        <w:t xml:space="preserv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Pr="005C641D" w:rsidRDefault="00017CD7" w:rsidP="007403DD">
      <w:pPr>
        <w:autoSpaceDE w:val="0"/>
        <w:autoSpaceDN w:val="0"/>
        <w:adjustRightInd w:val="0"/>
        <w:spacing w:after="0"/>
        <w:ind w:right="18"/>
        <w:rPr>
          <w:rFonts w:cs="Verdana"/>
          <w:b/>
          <w:bCs/>
          <w:szCs w:val="20"/>
          <w:lang w:val="es-ES"/>
        </w:rPr>
      </w:pPr>
    </w:p>
    <w:p w:rsidR="00017CD7" w:rsidRPr="005C641D" w:rsidRDefault="00017CD7" w:rsidP="007403DD">
      <w:pPr>
        <w:autoSpaceDE w:val="0"/>
        <w:autoSpaceDN w:val="0"/>
        <w:adjustRightInd w:val="0"/>
        <w:spacing w:after="0"/>
        <w:ind w:right="18"/>
        <w:rPr>
          <w:rFonts w:cs="Verdana"/>
          <w:b/>
          <w:bCs/>
          <w:szCs w:val="20"/>
          <w:lang w:val="es-ES"/>
        </w:rPr>
      </w:pPr>
      <w:r w:rsidRPr="005C641D">
        <w:rPr>
          <w:rFonts w:cs="Verdana"/>
          <w:b/>
          <w:bCs/>
          <w:szCs w:val="20"/>
          <w:lang w:val="es-ES"/>
        </w:rPr>
        <w:t>RESUELVE:</w:t>
      </w:r>
    </w:p>
    <w:p w:rsidR="00017CD7" w:rsidRPr="005C641D" w:rsidRDefault="00017CD7" w:rsidP="007403DD">
      <w:pPr>
        <w:autoSpaceDE w:val="0"/>
        <w:autoSpaceDN w:val="0"/>
        <w:adjustRightInd w:val="0"/>
        <w:spacing w:after="0"/>
        <w:ind w:right="18"/>
        <w:rPr>
          <w:rFonts w:cs="Verdana"/>
          <w:szCs w:val="20"/>
          <w:lang w:val="es-ES"/>
        </w:rPr>
      </w:pPr>
    </w:p>
    <w:p w:rsidR="00017CD7" w:rsidRDefault="00017CD7" w:rsidP="007403DD">
      <w:pPr>
        <w:widowControl w:val="0"/>
        <w:numPr>
          <w:ilvl w:val="0"/>
          <w:numId w:val="5"/>
        </w:numPr>
        <w:autoSpaceDE w:val="0"/>
        <w:autoSpaceDN w:val="0"/>
        <w:adjustRightInd w:val="0"/>
        <w:spacing w:after="0"/>
        <w:ind w:left="0" w:right="18" w:firstLine="0"/>
        <w:rPr>
          <w:lang w:val="es-CR"/>
        </w:rPr>
      </w:pPr>
      <w:r w:rsidRPr="008B7C02">
        <w:t>Desestimar el recurso</w:t>
      </w:r>
      <w:r>
        <w:t xml:space="preserve"> de reconsideración</w:t>
      </w:r>
      <w:r w:rsidRPr="008B7C02">
        <w:t xml:space="preserve"> interpuesto por l</w:t>
      </w:r>
      <w:r>
        <w:t>o</w:t>
      </w:r>
      <w:r w:rsidRPr="008B7C02">
        <w:t xml:space="preserve">s representantes, y en consecuencia, ratificar la Resolución del Presidente de </w:t>
      </w:r>
      <w:r w:rsidR="00A22CC3">
        <w:t>1</w:t>
      </w:r>
      <w:r w:rsidR="00096B97">
        <w:t xml:space="preserve">4 de </w:t>
      </w:r>
      <w:r w:rsidR="00A22CC3">
        <w:t>febrero de 2019</w:t>
      </w:r>
      <w:r>
        <w:t>,</w:t>
      </w:r>
      <w:r w:rsidRPr="008B7C02">
        <w:t xml:space="preserve"> en cuanto a </w:t>
      </w:r>
      <w:r>
        <w:t xml:space="preserve">no </w:t>
      </w:r>
      <w:r w:rsidR="00A22CC3">
        <w:t xml:space="preserve">admitir </w:t>
      </w:r>
      <w:r w:rsidR="00D92738">
        <w:t>el peritaje de</w:t>
      </w:r>
      <w:r w:rsidR="00A22CC3">
        <w:t>l señor Eduardo Aguirre</w:t>
      </w:r>
      <w:r>
        <w:t>.</w:t>
      </w:r>
    </w:p>
    <w:p w:rsidR="00017CD7" w:rsidRDefault="00017CD7" w:rsidP="007403DD">
      <w:pPr>
        <w:spacing w:after="0"/>
        <w:rPr>
          <w:lang w:val="es-CR"/>
        </w:rPr>
      </w:pPr>
    </w:p>
    <w:p w:rsidR="00017CD7" w:rsidRPr="00A22CC3" w:rsidRDefault="00017CD7" w:rsidP="00A22CC3">
      <w:pPr>
        <w:widowControl w:val="0"/>
        <w:numPr>
          <w:ilvl w:val="0"/>
          <w:numId w:val="5"/>
        </w:numPr>
        <w:autoSpaceDE w:val="0"/>
        <w:autoSpaceDN w:val="0"/>
        <w:adjustRightInd w:val="0"/>
        <w:spacing w:after="0"/>
        <w:ind w:left="0" w:right="18" w:firstLine="0"/>
        <w:rPr>
          <w:lang w:val="es-CR"/>
        </w:rPr>
      </w:pPr>
      <w:r w:rsidRPr="00A22CC3">
        <w:rPr>
          <w:color w:val="000000"/>
          <w:lang w:val="es-CR"/>
        </w:rPr>
        <w:t xml:space="preserve">Disponer que la Secretaría de la Corte Interamericana notifique la presente Resolución a la Comisión Interamericana de Derechos Humanos, a los representantes de las presuntas víctimas y </w:t>
      </w:r>
      <w:r w:rsidR="00A22CC3">
        <w:rPr>
          <w:color w:val="000000"/>
          <w:lang w:val="es-CR"/>
        </w:rPr>
        <w:t>a</w:t>
      </w:r>
      <w:r w:rsidR="00982D54">
        <w:rPr>
          <w:color w:val="000000"/>
          <w:lang w:val="es-CR"/>
        </w:rPr>
        <w:t>l Estado de Ar</w:t>
      </w:r>
      <w:r w:rsidR="00A22CC3">
        <w:rPr>
          <w:color w:val="000000"/>
          <w:lang w:val="es-CR"/>
        </w:rPr>
        <w:t>gentina</w:t>
      </w:r>
      <w:r w:rsidRPr="00A22CC3">
        <w:rPr>
          <w:color w:val="000000"/>
          <w:lang w:val="es-CR"/>
        </w:rPr>
        <w:t>.</w:t>
      </w:r>
      <w:r>
        <w:t xml:space="preserve"> </w:t>
      </w:r>
    </w:p>
    <w:p w:rsidR="00017CD7" w:rsidRDefault="00017CD7" w:rsidP="007403DD">
      <w:pPr>
        <w:spacing w:after="0"/>
      </w:pPr>
    </w:p>
    <w:p w:rsidR="001D4D49" w:rsidRDefault="00017CD7" w:rsidP="007403DD">
      <w:pPr>
        <w:spacing w:after="0"/>
        <w:rPr>
          <w:lang w:val="es-CR"/>
        </w:rPr>
      </w:pPr>
      <w:r w:rsidRPr="00355747">
        <w:rPr>
          <w:lang w:val="es-CR"/>
        </w:rPr>
        <w:t>Resolución de la Corte Inter</w:t>
      </w:r>
      <w:r w:rsidR="008D01C2">
        <w:rPr>
          <w:lang w:val="es-CR"/>
        </w:rPr>
        <w:t>americana de Derechos Humanos, C</w:t>
      </w:r>
      <w:r w:rsidRPr="00355747">
        <w:rPr>
          <w:lang w:val="es-CR"/>
        </w:rPr>
        <w:t xml:space="preserve">aso </w:t>
      </w:r>
      <w:r w:rsidR="00982D54">
        <w:rPr>
          <w:lang w:val="es-CR"/>
        </w:rPr>
        <w:t>López y</w:t>
      </w:r>
      <w:r w:rsidR="002127CA" w:rsidRPr="002127CA">
        <w:rPr>
          <w:rFonts w:cs="Arial"/>
        </w:rPr>
        <w:t xml:space="preserve"> Otros </w:t>
      </w:r>
      <w:r w:rsidR="002127CA" w:rsidRPr="002127CA">
        <w:rPr>
          <w:rFonts w:cs="Verdana Bold"/>
          <w:bCs/>
          <w:szCs w:val="20"/>
        </w:rPr>
        <w:t xml:space="preserve">Vs. </w:t>
      </w:r>
      <w:r w:rsidR="00982D54">
        <w:rPr>
          <w:rFonts w:cs="Verdana Bold"/>
          <w:bCs/>
          <w:szCs w:val="20"/>
        </w:rPr>
        <w:t>Argentina</w:t>
      </w:r>
      <w:r w:rsidR="002127CA" w:rsidRPr="002127CA">
        <w:rPr>
          <w:lang w:val="es-CR"/>
        </w:rPr>
        <w:t>.</w:t>
      </w:r>
    </w:p>
    <w:p w:rsidR="00D10B55" w:rsidRDefault="00D10B55" w:rsidP="007403DD">
      <w:pPr>
        <w:spacing w:after="0"/>
        <w:rPr>
          <w:lang w:val="es-CR"/>
        </w:rPr>
      </w:pPr>
    </w:p>
    <w:p w:rsidR="00D10B55" w:rsidRDefault="00D10B55" w:rsidP="007403DD">
      <w:pPr>
        <w:spacing w:after="0"/>
        <w:rPr>
          <w:lang w:val="es-CR"/>
        </w:rPr>
      </w:pPr>
    </w:p>
    <w:p w:rsidR="00D10B55" w:rsidRDefault="00D10B55" w:rsidP="007403DD">
      <w:pPr>
        <w:spacing w:after="0"/>
        <w:rPr>
          <w:lang w:val="es-CR"/>
        </w:rPr>
      </w:pPr>
    </w:p>
    <w:p w:rsidR="00D10B55" w:rsidRDefault="00D10B55" w:rsidP="007403DD">
      <w:pPr>
        <w:spacing w:after="0"/>
        <w:rPr>
          <w:lang w:val="es-CR"/>
        </w:rPr>
      </w:pPr>
    </w:p>
    <w:p w:rsidR="004506B5" w:rsidRPr="00A713A4" w:rsidRDefault="004506B5" w:rsidP="004506B5">
      <w:pPr>
        <w:keepNext/>
        <w:outlineLvl w:val="0"/>
        <w:rPr>
          <w:lang w:val="es-ES"/>
        </w:rPr>
      </w:pPr>
      <w:r w:rsidRPr="00847B73">
        <w:rPr>
          <w:rFonts w:cs="Courier New"/>
          <w:noProof/>
          <w:lang w:val="es-AR"/>
        </w:rPr>
        <w:t xml:space="preserve">Corte IDH. </w:t>
      </w:r>
      <w:r w:rsidRPr="00847B73">
        <w:rPr>
          <w:bCs/>
          <w:i/>
          <w:lang w:val="es-CR"/>
        </w:rPr>
        <w:t xml:space="preserve">Caso </w:t>
      </w:r>
      <w:r>
        <w:rPr>
          <w:bCs/>
          <w:i/>
          <w:lang w:val="es-CR"/>
        </w:rPr>
        <w:t xml:space="preserve">López y otros </w:t>
      </w:r>
      <w:r w:rsidRPr="00847B73">
        <w:rPr>
          <w:bCs/>
          <w:i/>
          <w:lang w:val="es-CR"/>
        </w:rPr>
        <w:t xml:space="preserve">Vs. </w:t>
      </w:r>
      <w:r>
        <w:rPr>
          <w:bCs/>
          <w:i/>
          <w:lang w:val="es-CR"/>
        </w:rPr>
        <w:t>Argentina</w:t>
      </w:r>
      <w:r w:rsidRPr="00847B73">
        <w:rPr>
          <w:rFonts w:cs="Arial"/>
          <w:i/>
          <w:lang w:val="es-CR"/>
        </w:rPr>
        <w:t xml:space="preserve">. </w:t>
      </w:r>
      <w:r w:rsidRPr="00847B73">
        <w:rPr>
          <w:lang w:val="es-ES"/>
        </w:rPr>
        <w:t xml:space="preserve">Resolución de la Corte Interamericana de Derechos Humanos de </w:t>
      </w:r>
      <w:r>
        <w:rPr>
          <w:lang w:val="es-ES"/>
        </w:rPr>
        <w:t>4 de marzo</w:t>
      </w:r>
      <w:r w:rsidRPr="00847B73">
        <w:rPr>
          <w:lang w:val="es-CR"/>
        </w:rPr>
        <w:t xml:space="preserve"> de 2019</w:t>
      </w:r>
      <w:r w:rsidRPr="00847B73">
        <w:rPr>
          <w:lang w:val="es-ES"/>
        </w:rPr>
        <w:t xml:space="preserve">. </w:t>
      </w:r>
    </w:p>
    <w:p w:rsidR="004506B5" w:rsidRPr="00847B73" w:rsidRDefault="004506B5" w:rsidP="004506B5">
      <w:pPr>
        <w:jc w:val="center"/>
        <w:rPr>
          <w:lang w:val="es-ES"/>
        </w:rPr>
      </w:pPr>
    </w:p>
    <w:p w:rsidR="004506B5" w:rsidRDefault="004506B5" w:rsidP="004506B5">
      <w:pPr>
        <w:jc w:val="center"/>
        <w:rPr>
          <w:lang w:val="es-ES"/>
        </w:rPr>
      </w:pPr>
    </w:p>
    <w:p w:rsidR="004506B5" w:rsidRPr="00847B73" w:rsidRDefault="004506B5" w:rsidP="004506B5">
      <w:pPr>
        <w:jc w:val="center"/>
        <w:rPr>
          <w:lang w:val="es-ES"/>
        </w:rPr>
      </w:pPr>
    </w:p>
    <w:p w:rsidR="004506B5" w:rsidRPr="00847B73" w:rsidRDefault="004506B5" w:rsidP="004506B5">
      <w:pPr>
        <w:jc w:val="center"/>
        <w:rPr>
          <w:lang w:val="es-ES"/>
        </w:rPr>
      </w:pPr>
    </w:p>
    <w:p w:rsidR="004506B5" w:rsidRPr="00847B73" w:rsidRDefault="004506B5" w:rsidP="004506B5">
      <w:pPr>
        <w:jc w:val="center"/>
        <w:rPr>
          <w:lang w:val="pt-BR"/>
        </w:rPr>
      </w:pPr>
      <w:r w:rsidRPr="00847B73">
        <w:rPr>
          <w:lang w:val="pt-BR"/>
        </w:rPr>
        <w:t xml:space="preserve">Eduardo Ferrer Mac-Gregor Poisot </w:t>
      </w:r>
    </w:p>
    <w:p w:rsidR="004506B5" w:rsidRPr="00847B73" w:rsidRDefault="004506B5" w:rsidP="004506B5">
      <w:pPr>
        <w:jc w:val="center"/>
        <w:rPr>
          <w:lang w:val="pt-BR"/>
        </w:rPr>
      </w:pPr>
      <w:r w:rsidRPr="00847B73">
        <w:rPr>
          <w:lang w:val="pt-BR"/>
        </w:rPr>
        <w:t>Presidente</w:t>
      </w:r>
    </w:p>
    <w:p w:rsidR="004506B5" w:rsidRDefault="004506B5" w:rsidP="004506B5">
      <w:pPr>
        <w:rPr>
          <w:lang w:val="pt-BR"/>
        </w:rPr>
      </w:pPr>
    </w:p>
    <w:p w:rsidR="004506B5" w:rsidRPr="00847B73" w:rsidRDefault="004506B5" w:rsidP="004506B5">
      <w:pPr>
        <w:rPr>
          <w:lang w:val="pt-BR"/>
        </w:rPr>
      </w:pPr>
    </w:p>
    <w:p w:rsidR="004506B5" w:rsidRDefault="004506B5" w:rsidP="004506B5">
      <w:pPr>
        <w:rPr>
          <w:lang w:val="pt-BR"/>
        </w:rPr>
      </w:pPr>
    </w:p>
    <w:p w:rsidR="004506B5" w:rsidRPr="00847B73" w:rsidRDefault="004506B5" w:rsidP="004506B5">
      <w:pPr>
        <w:rPr>
          <w:lang w:val="pt-BR"/>
        </w:rPr>
      </w:pPr>
    </w:p>
    <w:p w:rsidR="004506B5" w:rsidRDefault="004506B5" w:rsidP="004506B5">
      <w:pPr>
        <w:rPr>
          <w:lang w:val="pt-BR"/>
        </w:rPr>
      </w:pPr>
      <w:r w:rsidRPr="00847B73">
        <w:rPr>
          <w:lang w:val="pt-BR"/>
        </w:rPr>
        <w:t>Eduardo Vio Grossi</w:t>
      </w:r>
      <w:r w:rsidRPr="00847B73">
        <w:rPr>
          <w:lang w:val="pt-BR"/>
        </w:rPr>
        <w:tab/>
      </w:r>
      <w:r w:rsidRPr="00847B73">
        <w:rPr>
          <w:lang w:val="pt-BR"/>
        </w:rPr>
        <w:tab/>
      </w:r>
      <w:r w:rsidRPr="00847B73">
        <w:rPr>
          <w:lang w:val="pt-BR"/>
        </w:rPr>
        <w:tab/>
      </w:r>
      <w:r w:rsidRPr="00847B73">
        <w:rPr>
          <w:lang w:val="pt-BR"/>
        </w:rPr>
        <w:tab/>
      </w:r>
      <w:r w:rsidRPr="00847B73">
        <w:rPr>
          <w:lang w:val="pt-BR"/>
        </w:rPr>
        <w:tab/>
      </w:r>
      <w:r w:rsidRPr="00847B73">
        <w:rPr>
          <w:lang w:val="pt-BR"/>
        </w:rPr>
        <w:tab/>
        <w:t>H</w:t>
      </w:r>
      <w:r>
        <w:rPr>
          <w:lang w:val="pt-BR"/>
        </w:rPr>
        <w:t>umberto Antonio Sierra Porto</w:t>
      </w:r>
    </w:p>
    <w:p w:rsidR="004506B5" w:rsidRDefault="004506B5" w:rsidP="004506B5">
      <w:pPr>
        <w:rPr>
          <w:lang w:val="pt-BR"/>
        </w:rPr>
      </w:pPr>
    </w:p>
    <w:p w:rsidR="004506B5" w:rsidRDefault="004506B5" w:rsidP="004506B5">
      <w:pPr>
        <w:rPr>
          <w:lang w:val="pt-BR"/>
        </w:rPr>
      </w:pPr>
    </w:p>
    <w:p w:rsidR="004506B5" w:rsidRDefault="004506B5" w:rsidP="004506B5">
      <w:pPr>
        <w:rPr>
          <w:lang w:val="pt-BR"/>
        </w:rPr>
      </w:pPr>
    </w:p>
    <w:p w:rsidR="004506B5" w:rsidRDefault="004506B5" w:rsidP="004506B5">
      <w:pPr>
        <w:rPr>
          <w:lang w:val="pt-BR"/>
        </w:rPr>
      </w:pPr>
    </w:p>
    <w:p w:rsidR="004506B5" w:rsidRPr="00847B73" w:rsidRDefault="004506B5" w:rsidP="004506B5">
      <w:pPr>
        <w:rPr>
          <w:lang w:val="pt-BR"/>
        </w:rPr>
      </w:pPr>
    </w:p>
    <w:p w:rsidR="004506B5" w:rsidRPr="00847B73" w:rsidRDefault="004506B5" w:rsidP="004506B5">
      <w:pPr>
        <w:rPr>
          <w:lang w:val="pt-BR"/>
        </w:rPr>
      </w:pPr>
    </w:p>
    <w:p w:rsidR="004506B5" w:rsidRPr="00847B73" w:rsidRDefault="004506B5" w:rsidP="004506B5">
      <w:pPr>
        <w:jc w:val="left"/>
        <w:rPr>
          <w:lang w:val="es-CR"/>
        </w:rPr>
      </w:pPr>
      <w:r w:rsidRPr="00847B73">
        <w:rPr>
          <w:lang w:val="pt-BR"/>
        </w:rPr>
        <w:t>Elizabeth Odio Benito</w:t>
      </w:r>
      <w:r>
        <w:rPr>
          <w:lang w:val="pt-BR"/>
        </w:rPr>
        <w:t xml:space="preserve"> </w:t>
      </w:r>
      <w:r>
        <w:rPr>
          <w:lang w:val="pt-BR"/>
        </w:rPr>
        <w:tab/>
      </w:r>
      <w:r>
        <w:rPr>
          <w:lang w:val="pt-BR"/>
        </w:rPr>
        <w:tab/>
      </w:r>
      <w:r>
        <w:rPr>
          <w:lang w:val="pt-BR"/>
        </w:rPr>
        <w:tab/>
      </w:r>
      <w:r>
        <w:rPr>
          <w:lang w:val="pt-BR"/>
        </w:rPr>
        <w:tab/>
      </w:r>
      <w:r>
        <w:rPr>
          <w:lang w:val="pt-BR"/>
        </w:rPr>
        <w:tab/>
        <w:t xml:space="preserve">      </w:t>
      </w:r>
      <w:r w:rsidRPr="00847B73">
        <w:rPr>
          <w:lang w:val="es-CR"/>
        </w:rPr>
        <w:t>Ricardo C. Pérez Manrique</w:t>
      </w:r>
    </w:p>
    <w:p w:rsidR="004506B5" w:rsidRPr="00847B73" w:rsidRDefault="004506B5" w:rsidP="004506B5">
      <w:pPr>
        <w:rPr>
          <w:lang w:val="pt-BR"/>
        </w:rPr>
      </w:pPr>
      <w:r>
        <w:rPr>
          <w:lang w:val="pt-BR"/>
        </w:rPr>
        <w:tab/>
      </w:r>
      <w:r>
        <w:rPr>
          <w:lang w:val="pt-BR"/>
        </w:rPr>
        <w:tab/>
      </w:r>
      <w:r>
        <w:rPr>
          <w:lang w:val="pt-BR"/>
        </w:rPr>
        <w:tab/>
      </w:r>
      <w:r>
        <w:rPr>
          <w:lang w:val="pt-BR"/>
        </w:rPr>
        <w:tab/>
        <w:t xml:space="preserve">        </w:t>
      </w:r>
    </w:p>
    <w:p w:rsidR="004506B5" w:rsidRPr="00847B73" w:rsidRDefault="004506B5" w:rsidP="004506B5">
      <w:pPr>
        <w:rPr>
          <w:lang w:val="pt-BR"/>
        </w:rPr>
      </w:pPr>
    </w:p>
    <w:p w:rsidR="004506B5" w:rsidRDefault="004506B5" w:rsidP="004506B5">
      <w:pPr>
        <w:rPr>
          <w:lang w:val="pt-BR"/>
        </w:rPr>
      </w:pPr>
    </w:p>
    <w:p w:rsidR="004506B5" w:rsidRPr="00847B73" w:rsidRDefault="004506B5" w:rsidP="004506B5">
      <w:pPr>
        <w:jc w:val="center"/>
        <w:rPr>
          <w:lang w:val="pt-BR"/>
        </w:rPr>
      </w:pPr>
    </w:p>
    <w:p w:rsidR="004506B5" w:rsidRPr="00847B73" w:rsidRDefault="004506B5" w:rsidP="004506B5">
      <w:pPr>
        <w:jc w:val="center"/>
        <w:rPr>
          <w:lang w:val="pt-BR"/>
        </w:rPr>
      </w:pPr>
      <w:r w:rsidRPr="00847B73">
        <w:rPr>
          <w:lang w:val="pt-BR"/>
        </w:rPr>
        <w:t>Pablo Saavedra Alessandri</w:t>
      </w:r>
    </w:p>
    <w:p w:rsidR="004506B5" w:rsidRPr="00847B73" w:rsidRDefault="004506B5" w:rsidP="004506B5">
      <w:pPr>
        <w:jc w:val="center"/>
        <w:rPr>
          <w:lang w:val="pt-BR"/>
        </w:rPr>
      </w:pPr>
      <w:r w:rsidRPr="00847B73">
        <w:rPr>
          <w:lang w:val="pt-BR"/>
        </w:rPr>
        <w:t>Secretario</w:t>
      </w:r>
    </w:p>
    <w:p w:rsidR="004506B5" w:rsidRPr="00847B73" w:rsidRDefault="004506B5" w:rsidP="004506B5">
      <w:pPr>
        <w:rPr>
          <w:lang w:val="pt-BR"/>
        </w:rPr>
      </w:pPr>
    </w:p>
    <w:p w:rsidR="004506B5" w:rsidRPr="00847B73" w:rsidRDefault="004506B5" w:rsidP="004506B5">
      <w:pPr>
        <w:rPr>
          <w:lang w:val="pt-BR"/>
        </w:rPr>
      </w:pPr>
    </w:p>
    <w:p w:rsidR="004506B5" w:rsidRPr="00847B73" w:rsidRDefault="004506B5" w:rsidP="004506B5">
      <w:pPr>
        <w:rPr>
          <w:lang w:val="pt-BR"/>
        </w:rPr>
      </w:pPr>
      <w:r w:rsidRPr="00847B73">
        <w:rPr>
          <w:lang w:val="pt-BR"/>
        </w:rPr>
        <w:t>Comuníquese y ejecútese,</w:t>
      </w:r>
    </w:p>
    <w:p w:rsidR="004506B5" w:rsidRPr="00847B73" w:rsidRDefault="004506B5" w:rsidP="004506B5">
      <w:pPr>
        <w:ind w:left="4956"/>
        <w:jc w:val="center"/>
        <w:rPr>
          <w:lang w:val="pt-BR"/>
        </w:rPr>
      </w:pPr>
      <w:r w:rsidRPr="00847B73">
        <w:rPr>
          <w:lang w:val="pt-BR"/>
        </w:rPr>
        <w:t xml:space="preserve">Eduardo Ferrer Mac-Gregor Poisot </w:t>
      </w:r>
    </w:p>
    <w:p w:rsidR="004506B5" w:rsidRPr="00847B73" w:rsidRDefault="004506B5" w:rsidP="004506B5">
      <w:pPr>
        <w:ind w:left="4956"/>
        <w:jc w:val="center"/>
        <w:rPr>
          <w:lang w:val="pt-BR"/>
        </w:rPr>
      </w:pPr>
      <w:r w:rsidRPr="00847B73">
        <w:rPr>
          <w:lang w:val="pt-BR"/>
        </w:rPr>
        <w:t>Presidente</w:t>
      </w:r>
    </w:p>
    <w:p w:rsidR="004506B5" w:rsidRPr="00847B73" w:rsidRDefault="004506B5" w:rsidP="004506B5">
      <w:pPr>
        <w:rPr>
          <w:lang w:val="pt-BR"/>
        </w:rPr>
      </w:pPr>
    </w:p>
    <w:p w:rsidR="004506B5" w:rsidRPr="00847B73" w:rsidRDefault="004506B5" w:rsidP="004506B5">
      <w:pPr>
        <w:rPr>
          <w:lang w:val="es-ES"/>
        </w:rPr>
      </w:pPr>
      <w:r w:rsidRPr="00847B73">
        <w:rPr>
          <w:lang w:val="es-ES"/>
        </w:rPr>
        <w:t>Pablo Saavedra Alessandri</w:t>
      </w:r>
    </w:p>
    <w:p w:rsidR="004506B5" w:rsidRPr="00847B73" w:rsidRDefault="004506B5" w:rsidP="004506B5">
      <w:pPr>
        <w:rPr>
          <w:lang w:val="es-CR"/>
        </w:rPr>
      </w:pPr>
      <w:r w:rsidRPr="00847B73">
        <w:rPr>
          <w:lang w:val="es-ES"/>
        </w:rPr>
        <w:tab/>
      </w:r>
      <w:r w:rsidRPr="00847B73">
        <w:rPr>
          <w:lang w:val="es-CR"/>
        </w:rPr>
        <w:t>Secretario</w:t>
      </w:r>
    </w:p>
    <w:p w:rsidR="00D10B55" w:rsidRPr="00D35144" w:rsidRDefault="00D10B55" w:rsidP="007403DD">
      <w:pPr>
        <w:spacing w:after="0"/>
        <w:rPr>
          <w:lang w:val="es-CR"/>
        </w:rPr>
      </w:pPr>
    </w:p>
    <w:sectPr w:rsidR="00D10B55" w:rsidRPr="00D35144" w:rsidSect="003B5C87">
      <w:headerReference w:type="default" r:id="rId8"/>
      <w:footerReference w:type="default" r:id="rId9"/>
      <w:footerReference w:type="first" r:id="rId10"/>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23" w:rsidRDefault="007E1123" w:rsidP="001F6312">
      <w:pPr>
        <w:spacing w:after="0"/>
      </w:pPr>
      <w:r>
        <w:separator/>
      </w:r>
    </w:p>
  </w:endnote>
  <w:endnote w:type="continuationSeparator" w:id="0">
    <w:p w:rsidR="007E1123" w:rsidRDefault="007E1123" w:rsidP="001F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Bold">
    <w:altName w:val="Arial"/>
    <w:charset w:val="00"/>
    <w:family w:val="swiss"/>
    <w:pitch w:val="variable"/>
    <w:sig w:usb0="00000001"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51qemmdpmuv,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745459"/>
      <w:docPartObj>
        <w:docPartGallery w:val="Page Numbers (Bottom of Page)"/>
        <w:docPartUnique/>
      </w:docPartObj>
    </w:sdtPr>
    <w:sdtEndPr>
      <w:rPr>
        <w:noProof/>
      </w:rPr>
    </w:sdtEndPr>
    <w:sdtContent>
      <w:p w:rsidR="00BE5161" w:rsidRDefault="00BE5161">
        <w:pPr>
          <w:pStyle w:val="Piedepgina"/>
          <w:jc w:val="center"/>
        </w:pPr>
        <w:r>
          <w:fldChar w:fldCharType="begin"/>
        </w:r>
        <w:r>
          <w:instrText xml:space="preserve"> PAGE   \* MERGEFORMAT </w:instrText>
        </w:r>
        <w:r>
          <w:fldChar w:fldCharType="separate"/>
        </w:r>
        <w:r w:rsidR="004506B5">
          <w:rPr>
            <w:noProof/>
          </w:rPr>
          <w:t>4</w:t>
        </w:r>
        <w:r>
          <w:rPr>
            <w:noProof/>
          </w:rPr>
          <w:fldChar w:fldCharType="end"/>
        </w:r>
      </w:p>
    </w:sdtContent>
  </w:sdt>
  <w:p w:rsidR="00BE5161" w:rsidRDefault="00BE51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DD" w:rsidRDefault="007403DD">
    <w:pPr>
      <w:pStyle w:val="Piedepgina"/>
      <w:jc w:val="center"/>
    </w:pPr>
  </w:p>
  <w:p w:rsidR="007403DD" w:rsidRDefault="00740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23" w:rsidRDefault="007E1123" w:rsidP="001F6312">
      <w:pPr>
        <w:spacing w:after="0"/>
      </w:pPr>
      <w:r>
        <w:separator/>
      </w:r>
    </w:p>
  </w:footnote>
  <w:footnote w:type="continuationSeparator" w:id="0">
    <w:p w:rsidR="007E1123" w:rsidRDefault="007E1123" w:rsidP="001F6312">
      <w:pPr>
        <w:spacing w:after="0"/>
      </w:pPr>
      <w:r>
        <w:continuationSeparator/>
      </w:r>
    </w:p>
  </w:footnote>
  <w:footnote w:id="1">
    <w:p w:rsidR="003B5C87" w:rsidRPr="003B5C87" w:rsidRDefault="003B5C87">
      <w:pPr>
        <w:pStyle w:val="Textonotapie"/>
        <w:rPr>
          <w:sz w:val="16"/>
          <w:szCs w:val="16"/>
          <w:lang w:val="es-419"/>
        </w:rPr>
      </w:pPr>
      <w:r w:rsidRPr="003B5C87">
        <w:rPr>
          <w:rStyle w:val="Refdenotaalpie"/>
          <w:sz w:val="16"/>
          <w:szCs w:val="16"/>
        </w:rPr>
        <w:footnoteRef/>
      </w:r>
      <w:r w:rsidRPr="003B5C87">
        <w:rPr>
          <w:sz w:val="16"/>
          <w:szCs w:val="16"/>
        </w:rPr>
        <w:t xml:space="preserve"> El </w:t>
      </w:r>
      <w:r w:rsidR="00BD45F8">
        <w:rPr>
          <w:sz w:val="16"/>
          <w:szCs w:val="16"/>
        </w:rPr>
        <w:t xml:space="preserve">Juez Eugenio </w:t>
      </w:r>
      <w:r>
        <w:rPr>
          <w:sz w:val="16"/>
          <w:szCs w:val="16"/>
        </w:rPr>
        <w:t xml:space="preserve">Raúl Zaffaroni, </w:t>
      </w:r>
      <w:r w:rsidRPr="003B5C87">
        <w:rPr>
          <w:sz w:val="16"/>
          <w:szCs w:val="16"/>
        </w:rPr>
        <w:t xml:space="preserve">de nacionalidad </w:t>
      </w:r>
      <w:r>
        <w:rPr>
          <w:sz w:val="16"/>
          <w:szCs w:val="16"/>
        </w:rPr>
        <w:t>argentina</w:t>
      </w:r>
      <w:r w:rsidRPr="003B5C87">
        <w:rPr>
          <w:sz w:val="16"/>
          <w:szCs w:val="16"/>
        </w:rPr>
        <w:t xml:space="preserve">, </w:t>
      </w:r>
      <w:r w:rsidR="00BD45F8" w:rsidRPr="00BD45F8">
        <w:rPr>
          <w:sz w:val="16"/>
          <w:szCs w:val="16"/>
          <w:lang w:val="es-CR"/>
        </w:rPr>
        <w:t xml:space="preserve">no participó en el conocimiento y deliberación de la presente </w:t>
      </w:r>
      <w:r w:rsidR="00BD45F8">
        <w:rPr>
          <w:sz w:val="16"/>
          <w:szCs w:val="16"/>
          <w:lang w:val="es-CR"/>
        </w:rPr>
        <w:t>R</w:t>
      </w:r>
      <w:r w:rsidR="00BD45F8" w:rsidRPr="00BD45F8">
        <w:rPr>
          <w:sz w:val="16"/>
          <w:szCs w:val="16"/>
          <w:lang w:val="es-CR"/>
        </w:rPr>
        <w:t xml:space="preserve">esolución, de conformidad con lo dispuesto en el artículo </w:t>
      </w:r>
      <w:r w:rsidR="00BD45F8">
        <w:rPr>
          <w:sz w:val="16"/>
          <w:szCs w:val="16"/>
          <w:lang w:val="es-CR"/>
        </w:rPr>
        <w:t>19.1 del Reglamento de la Corte</w:t>
      </w:r>
      <w:r w:rsidRPr="003B5C87">
        <w:rPr>
          <w:sz w:val="16"/>
          <w:szCs w:val="16"/>
        </w:rPr>
        <w:t xml:space="preserve">. </w:t>
      </w:r>
      <w:r>
        <w:rPr>
          <w:sz w:val="16"/>
          <w:szCs w:val="16"/>
        </w:rPr>
        <w:t>Asimismo, el Juez Patricio L. Pazmiño no participó en la deliberación de la presente Resolución</w:t>
      </w:r>
      <w:r w:rsidR="00BD45F8">
        <w:rPr>
          <w:sz w:val="16"/>
          <w:szCs w:val="16"/>
        </w:rPr>
        <w:t xml:space="preserve"> por razones de fuerza mayor</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FE" w:rsidRDefault="00296EFE">
    <w:pPr>
      <w:pStyle w:val="Encabezado"/>
      <w:jc w:val="center"/>
    </w:pPr>
  </w:p>
  <w:p w:rsidR="00296EFE" w:rsidRDefault="00296E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15:restartNumberingAfterBreak="0">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15:restartNumberingAfterBreak="0">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15:restartNumberingAfterBreak="0">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L" w:vendorID="64" w:dllVersion="6" w:nlCheck="1" w:checkStyle="1"/>
  <w:activeWritingStyle w:appName="MSWord" w:lang="es-CR" w:vendorID="64" w:dllVersion="6" w:nlCheck="1" w:checkStyle="1"/>
  <w:activeWritingStyle w:appName="MSWord" w:lang="es-AR" w:vendorID="64" w:dllVersion="6" w:nlCheck="1" w:checkStyle="1"/>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77"/>
    <w:rsid w:val="00017CD7"/>
    <w:rsid w:val="00096B97"/>
    <w:rsid w:val="000B60E7"/>
    <w:rsid w:val="000D32C6"/>
    <w:rsid w:val="00102E1F"/>
    <w:rsid w:val="00103EA3"/>
    <w:rsid w:val="00113CF3"/>
    <w:rsid w:val="0012159C"/>
    <w:rsid w:val="00125B7E"/>
    <w:rsid w:val="00142903"/>
    <w:rsid w:val="00155C63"/>
    <w:rsid w:val="00163898"/>
    <w:rsid w:val="0016636B"/>
    <w:rsid w:val="001663FC"/>
    <w:rsid w:val="0017030E"/>
    <w:rsid w:val="001711AE"/>
    <w:rsid w:val="0018203B"/>
    <w:rsid w:val="001B4E4C"/>
    <w:rsid w:val="001D396F"/>
    <w:rsid w:val="001D4D49"/>
    <w:rsid w:val="001F6312"/>
    <w:rsid w:val="002127CA"/>
    <w:rsid w:val="002260FB"/>
    <w:rsid w:val="00252871"/>
    <w:rsid w:val="00296EFE"/>
    <w:rsid w:val="002A1C73"/>
    <w:rsid w:val="002A3A7A"/>
    <w:rsid w:val="00326186"/>
    <w:rsid w:val="00326C06"/>
    <w:rsid w:val="00333F33"/>
    <w:rsid w:val="003612DF"/>
    <w:rsid w:val="00361AEE"/>
    <w:rsid w:val="003B5C87"/>
    <w:rsid w:val="003D3798"/>
    <w:rsid w:val="003E5534"/>
    <w:rsid w:val="004161CE"/>
    <w:rsid w:val="004506B5"/>
    <w:rsid w:val="004564F8"/>
    <w:rsid w:val="00482BB9"/>
    <w:rsid w:val="00496337"/>
    <w:rsid w:val="004C2C33"/>
    <w:rsid w:val="005661FE"/>
    <w:rsid w:val="0057785F"/>
    <w:rsid w:val="005A6C53"/>
    <w:rsid w:val="005F4381"/>
    <w:rsid w:val="0065690E"/>
    <w:rsid w:val="006678A8"/>
    <w:rsid w:val="00693822"/>
    <w:rsid w:val="00693CFA"/>
    <w:rsid w:val="00696224"/>
    <w:rsid w:val="006E3E92"/>
    <w:rsid w:val="0072149E"/>
    <w:rsid w:val="007403DD"/>
    <w:rsid w:val="00741A91"/>
    <w:rsid w:val="00747353"/>
    <w:rsid w:val="00775E98"/>
    <w:rsid w:val="007B79A0"/>
    <w:rsid w:val="007D2FC8"/>
    <w:rsid w:val="007E1123"/>
    <w:rsid w:val="007E4790"/>
    <w:rsid w:val="007E7879"/>
    <w:rsid w:val="008039C7"/>
    <w:rsid w:val="00830324"/>
    <w:rsid w:val="008432B1"/>
    <w:rsid w:val="008822B2"/>
    <w:rsid w:val="008A2591"/>
    <w:rsid w:val="008C042F"/>
    <w:rsid w:val="008D01C2"/>
    <w:rsid w:val="008E61BA"/>
    <w:rsid w:val="00906308"/>
    <w:rsid w:val="0090667A"/>
    <w:rsid w:val="00920D4C"/>
    <w:rsid w:val="0093539C"/>
    <w:rsid w:val="00982D54"/>
    <w:rsid w:val="009D1DF5"/>
    <w:rsid w:val="009D1F63"/>
    <w:rsid w:val="00A22CC3"/>
    <w:rsid w:val="00A336C6"/>
    <w:rsid w:val="00A54E10"/>
    <w:rsid w:val="00A57349"/>
    <w:rsid w:val="00AB3C28"/>
    <w:rsid w:val="00AF36B7"/>
    <w:rsid w:val="00B03051"/>
    <w:rsid w:val="00BA2B21"/>
    <w:rsid w:val="00BA7CC6"/>
    <w:rsid w:val="00BC1A80"/>
    <w:rsid w:val="00BC55FC"/>
    <w:rsid w:val="00BD45F8"/>
    <w:rsid w:val="00BE5161"/>
    <w:rsid w:val="00C42C70"/>
    <w:rsid w:val="00CF1943"/>
    <w:rsid w:val="00CF74B5"/>
    <w:rsid w:val="00D10B55"/>
    <w:rsid w:val="00D228E7"/>
    <w:rsid w:val="00D25499"/>
    <w:rsid w:val="00D3370F"/>
    <w:rsid w:val="00D35144"/>
    <w:rsid w:val="00D40513"/>
    <w:rsid w:val="00D92738"/>
    <w:rsid w:val="00D94877"/>
    <w:rsid w:val="00DB6221"/>
    <w:rsid w:val="00DD0280"/>
    <w:rsid w:val="00DE1D08"/>
    <w:rsid w:val="00E14A9A"/>
    <w:rsid w:val="00E16B1A"/>
    <w:rsid w:val="00E17BE7"/>
    <w:rsid w:val="00E27B55"/>
    <w:rsid w:val="00E84793"/>
    <w:rsid w:val="00E96BEF"/>
    <w:rsid w:val="00EB6210"/>
    <w:rsid w:val="00EC6F70"/>
    <w:rsid w:val="00F262C0"/>
    <w:rsid w:val="00F61A3E"/>
    <w:rsid w:val="00F70B30"/>
    <w:rsid w:val="00F90477"/>
    <w:rsid w:val="00F91B2B"/>
    <w:rsid w:val="00F93828"/>
    <w:rsid w:val="00FA4E30"/>
    <w:rsid w:val="00FF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059360-C2E7-434D-9466-6FE6AA6D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Prrafodelista">
    <w:name w:val="List Paragraph"/>
    <w:aliases w:val="Footnote,List Paragraph2,List Paragraph1"/>
    <w:basedOn w:val="Normal"/>
    <w:link w:val="PrrafodelistaCar"/>
    <w:uiPriority w:val="34"/>
    <w:qFormat/>
    <w:rsid w:val="00F90477"/>
    <w:pPr>
      <w:ind w:left="708"/>
    </w:p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nhideWhenUsed/>
    <w:qFormat/>
    <w:rsid w:val="001F6312"/>
    <w:pPr>
      <w:spacing w:after="0"/>
    </w:pPr>
    <w:rPr>
      <w:szCs w:val="20"/>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Encabezado">
    <w:name w:val="header"/>
    <w:basedOn w:val="Normal"/>
    <w:link w:val="EncabezadoCar"/>
    <w:uiPriority w:val="99"/>
    <w:unhideWhenUsed/>
    <w:rsid w:val="00296EFE"/>
    <w:pPr>
      <w:tabs>
        <w:tab w:val="center" w:pos="4680"/>
        <w:tab w:val="right" w:pos="9360"/>
      </w:tabs>
      <w:spacing w:after="0"/>
    </w:pPr>
  </w:style>
  <w:style w:type="character" w:customStyle="1" w:styleId="EncabezadoCar">
    <w:name w:val="Encabezado Car"/>
    <w:basedOn w:val="Fuentedeprrafopredeter"/>
    <w:link w:val="Encabezado"/>
    <w:uiPriority w:val="99"/>
    <w:rsid w:val="00296EFE"/>
    <w:rPr>
      <w:rFonts w:ascii="Verdana" w:eastAsia="Calibri" w:hAnsi="Verdana" w:cs="Times"/>
      <w:sz w:val="20"/>
      <w:szCs w:val="24"/>
      <w:lang w:val="es-ES_tradnl" w:eastAsia="es-ES"/>
    </w:rPr>
  </w:style>
  <w:style w:type="paragraph" w:styleId="Piedepgina">
    <w:name w:val="footer"/>
    <w:basedOn w:val="Normal"/>
    <w:link w:val="PiedepginaCar"/>
    <w:uiPriority w:val="99"/>
    <w:unhideWhenUsed/>
    <w:rsid w:val="00296EFE"/>
    <w:pPr>
      <w:tabs>
        <w:tab w:val="center" w:pos="4680"/>
        <w:tab w:val="right" w:pos="9360"/>
      </w:tabs>
      <w:spacing w:after="0"/>
    </w:pPr>
  </w:style>
  <w:style w:type="character" w:customStyle="1" w:styleId="PiedepginaCar">
    <w:name w:val="Pie de página Car"/>
    <w:basedOn w:val="Fuentedeprrafopredeter"/>
    <w:link w:val="Piedepgina"/>
    <w:uiPriority w:val="99"/>
    <w:rsid w:val="00296EFE"/>
    <w:rPr>
      <w:rFonts w:ascii="Verdana" w:eastAsia="Calibri" w:hAnsi="Verdana" w:cs="Times"/>
      <w:sz w:val="20"/>
      <w:szCs w:val="24"/>
      <w:lang w:val="es-ES_tradnl" w:eastAsia="es-ES"/>
    </w:rPr>
  </w:style>
  <w:style w:type="paragraph" w:styleId="Textodeglobo">
    <w:name w:val="Balloon Text"/>
    <w:basedOn w:val="Normal"/>
    <w:link w:val="TextodegloboCar"/>
    <w:uiPriority w:val="99"/>
    <w:semiHidden/>
    <w:unhideWhenUsed/>
    <w:rsid w:val="00EC6F7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F70"/>
    <w:rPr>
      <w:rFonts w:ascii="Tahoma" w:eastAsia="Calibri" w:hAnsi="Tahoma" w:cs="Tahoma"/>
      <w:sz w:val="16"/>
      <w:szCs w:val="16"/>
      <w:lang w:val="es-ES_tradnl" w:eastAsia="es-ES"/>
    </w:rPr>
  </w:style>
  <w:style w:type="character" w:customStyle="1" w:styleId="PrrafodelistaCar">
    <w:name w:val="Párrafo de lista Car"/>
    <w:aliases w:val="Footnote Car,List Paragraph2 Car,List Paragraph1 Car"/>
    <w:link w:val="Prrafodelista"/>
    <w:uiPriority w:val="34"/>
    <w:locked/>
    <w:rsid w:val="001D396F"/>
    <w:rPr>
      <w:rFonts w:ascii="Verdana" w:eastAsia="Calibri" w:hAnsi="Verdana" w:cs="Times"/>
      <w:sz w:val="20"/>
      <w:szCs w:val="24"/>
      <w:lang w:val="es-ES_tradnl" w:eastAsia="es-ES"/>
    </w:rPr>
  </w:style>
  <w:style w:type="character" w:styleId="Refdecomentario">
    <w:name w:val="annotation reference"/>
    <w:basedOn w:val="Fuentedeprrafopredeter"/>
    <w:uiPriority w:val="99"/>
    <w:semiHidden/>
    <w:unhideWhenUsed/>
    <w:rsid w:val="00A57349"/>
    <w:rPr>
      <w:sz w:val="16"/>
      <w:szCs w:val="16"/>
    </w:rPr>
  </w:style>
  <w:style w:type="paragraph" w:styleId="Textocomentario">
    <w:name w:val="annotation text"/>
    <w:basedOn w:val="Normal"/>
    <w:link w:val="TextocomentarioCar"/>
    <w:uiPriority w:val="99"/>
    <w:semiHidden/>
    <w:unhideWhenUsed/>
    <w:rsid w:val="00A57349"/>
    <w:rPr>
      <w:szCs w:val="20"/>
    </w:rPr>
  </w:style>
  <w:style w:type="character" w:customStyle="1" w:styleId="TextocomentarioCar">
    <w:name w:val="Texto comentario Car"/>
    <w:basedOn w:val="Fuentedeprrafopredeter"/>
    <w:link w:val="Textocomentario"/>
    <w:uiPriority w:val="99"/>
    <w:semiHidden/>
    <w:rsid w:val="00A57349"/>
    <w:rPr>
      <w:rFonts w:ascii="Verdana" w:eastAsia="Calibri" w:hAnsi="Verdana" w:cs="Time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7349"/>
    <w:rPr>
      <w:b/>
      <w:bCs/>
    </w:rPr>
  </w:style>
  <w:style w:type="character" w:customStyle="1" w:styleId="AsuntodelcomentarioCar">
    <w:name w:val="Asunto del comentario Car"/>
    <w:basedOn w:val="TextocomentarioCar"/>
    <w:link w:val="Asuntodelcomentario"/>
    <w:uiPriority w:val="99"/>
    <w:semiHidden/>
    <w:rsid w:val="00A57349"/>
    <w:rPr>
      <w:rFonts w:ascii="Verdana" w:eastAsia="Calibri" w:hAnsi="Verdana" w:cs="Times"/>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676D-A20B-45B1-9BA4-EBA4FC81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7923</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2019-03-05T00:48:00Z</cp:lastPrinted>
  <dcterms:created xsi:type="dcterms:W3CDTF">2019-03-05T18:02:00Z</dcterms:created>
  <dcterms:modified xsi:type="dcterms:W3CDTF">2019-03-05T18:02:00Z</dcterms:modified>
</cp:coreProperties>
</file>