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491193" w14:textId="77777777" w:rsidR="00E77B4C" w:rsidRPr="006A1FEA" w:rsidRDefault="00E77B4C" w:rsidP="00B92A27">
      <w:pPr>
        <w:tabs>
          <w:tab w:val="left" w:pos="567"/>
        </w:tabs>
        <w:jc w:val="center"/>
        <w:rPr>
          <w:rFonts w:eastAsia="Calibri" w:cs="Times New Roman"/>
          <w:b/>
          <w:szCs w:val="24"/>
          <w:lang w:val="es-ES"/>
        </w:rPr>
      </w:pPr>
      <w:bookmarkStart w:id="0" w:name="_GoBack"/>
      <w:bookmarkEnd w:id="0"/>
    </w:p>
    <w:p w14:paraId="5933FFB4" w14:textId="77777777" w:rsidR="00E77B4C" w:rsidRPr="006A1FEA" w:rsidRDefault="00E77B4C" w:rsidP="00B92A27">
      <w:pPr>
        <w:tabs>
          <w:tab w:val="left" w:pos="567"/>
        </w:tabs>
        <w:jc w:val="center"/>
        <w:rPr>
          <w:rFonts w:eastAsia="Calibri" w:cs="Times New Roman"/>
          <w:b/>
          <w:szCs w:val="24"/>
          <w:lang w:val="es-ES"/>
        </w:rPr>
      </w:pPr>
    </w:p>
    <w:p w14:paraId="3AE58B49" w14:textId="77777777" w:rsidR="00E77B4C" w:rsidRPr="006A1FEA" w:rsidRDefault="00E77B4C" w:rsidP="00B92A27">
      <w:pPr>
        <w:tabs>
          <w:tab w:val="left" w:pos="567"/>
        </w:tabs>
        <w:jc w:val="center"/>
        <w:rPr>
          <w:rFonts w:eastAsia="Calibri" w:cs="Times New Roman"/>
          <w:b/>
          <w:szCs w:val="24"/>
          <w:lang w:val="es-ES"/>
        </w:rPr>
      </w:pPr>
    </w:p>
    <w:p w14:paraId="131D42C5" w14:textId="77777777" w:rsidR="00E77B4C" w:rsidRPr="006A1FEA" w:rsidRDefault="00E77B4C" w:rsidP="00B92A27">
      <w:pPr>
        <w:tabs>
          <w:tab w:val="left" w:pos="567"/>
        </w:tabs>
        <w:jc w:val="center"/>
        <w:rPr>
          <w:rFonts w:eastAsia="Calibri" w:cs="Times New Roman"/>
          <w:b/>
          <w:szCs w:val="24"/>
          <w:lang w:val="es-ES"/>
        </w:rPr>
      </w:pPr>
    </w:p>
    <w:p w14:paraId="64972B79" w14:textId="77777777" w:rsidR="00E77B4C" w:rsidRPr="006A1FEA" w:rsidRDefault="00E77B4C" w:rsidP="00B92A27">
      <w:pPr>
        <w:tabs>
          <w:tab w:val="left" w:pos="567"/>
        </w:tabs>
        <w:jc w:val="center"/>
        <w:rPr>
          <w:rFonts w:eastAsia="Calibri" w:cs="Times New Roman"/>
          <w:b/>
          <w:szCs w:val="24"/>
          <w:lang w:val="es-ES"/>
        </w:rPr>
      </w:pPr>
    </w:p>
    <w:p w14:paraId="166BABBC" w14:textId="77777777" w:rsidR="00E77B4C" w:rsidRPr="006A1FEA" w:rsidRDefault="00E77B4C" w:rsidP="00B92A27">
      <w:pPr>
        <w:tabs>
          <w:tab w:val="left" w:pos="567"/>
        </w:tabs>
        <w:jc w:val="center"/>
        <w:rPr>
          <w:rFonts w:eastAsia="Calibri" w:cs="Times New Roman"/>
          <w:b/>
          <w:szCs w:val="24"/>
          <w:lang w:val="es-ES"/>
        </w:rPr>
      </w:pPr>
    </w:p>
    <w:p w14:paraId="3BA7F88E" w14:textId="77777777" w:rsidR="00E77B4C" w:rsidRPr="006A1FEA" w:rsidRDefault="00E77B4C" w:rsidP="00B92A27">
      <w:pPr>
        <w:tabs>
          <w:tab w:val="left" w:pos="567"/>
        </w:tabs>
        <w:jc w:val="center"/>
        <w:rPr>
          <w:rFonts w:eastAsia="Calibri" w:cs="Times New Roman"/>
          <w:b/>
          <w:szCs w:val="24"/>
          <w:lang w:val="es-ES"/>
        </w:rPr>
      </w:pPr>
    </w:p>
    <w:p w14:paraId="35F72E56" w14:textId="77777777" w:rsidR="00E77B4C" w:rsidRPr="006A1FEA" w:rsidRDefault="00E77B4C" w:rsidP="00B92A27">
      <w:pPr>
        <w:tabs>
          <w:tab w:val="left" w:pos="567"/>
        </w:tabs>
        <w:jc w:val="center"/>
        <w:rPr>
          <w:rFonts w:eastAsia="Calibri" w:cs="Times New Roman"/>
          <w:b/>
          <w:szCs w:val="24"/>
          <w:lang w:val="es-ES"/>
        </w:rPr>
      </w:pPr>
    </w:p>
    <w:p w14:paraId="66B96F68" w14:textId="77777777" w:rsidR="00E77B4C" w:rsidRPr="006A1FEA" w:rsidRDefault="00E77B4C" w:rsidP="00B92A27">
      <w:pPr>
        <w:tabs>
          <w:tab w:val="left" w:pos="567"/>
        </w:tabs>
        <w:jc w:val="center"/>
        <w:rPr>
          <w:rFonts w:eastAsia="Calibri" w:cs="Times New Roman"/>
          <w:b/>
          <w:szCs w:val="24"/>
          <w:lang w:val="es-ES"/>
        </w:rPr>
      </w:pPr>
    </w:p>
    <w:p w14:paraId="119724B9" w14:textId="77777777" w:rsidR="00B92A27" w:rsidRPr="006A1FEA" w:rsidRDefault="00B92A27" w:rsidP="00B92A27">
      <w:pPr>
        <w:tabs>
          <w:tab w:val="left" w:pos="567"/>
        </w:tabs>
        <w:jc w:val="center"/>
        <w:rPr>
          <w:rFonts w:eastAsia="Calibri" w:cs="Times New Roman"/>
          <w:b/>
          <w:szCs w:val="24"/>
          <w:lang w:val="es-ES"/>
        </w:rPr>
      </w:pPr>
      <w:r w:rsidRPr="006A1FEA">
        <w:rPr>
          <w:rFonts w:eastAsia="Calibri" w:cs="Times New Roman"/>
          <w:b/>
          <w:szCs w:val="24"/>
          <w:lang w:val="es-ES"/>
        </w:rPr>
        <w:t xml:space="preserve">RESOLUCIÓN DEL PRESIDENTE DE LA </w:t>
      </w:r>
    </w:p>
    <w:p w14:paraId="3B5F7CC3" w14:textId="23D64417" w:rsidR="00B92A27" w:rsidRPr="006A1FEA" w:rsidRDefault="00B92A27" w:rsidP="00B92A27">
      <w:pPr>
        <w:tabs>
          <w:tab w:val="left" w:pos="567"/>
        </w:tabs>
        <w:jc w:val="center"/>
        <w:rPr>
          <w:rFonts w:eastAsia="Calibri" w:cs="Times New Roman"/>
          <w:b/>
          <w:szCs w:val="24"/>
          <w:lang w:val="es-ES"/>
        </w:rPr>
      </w:pPr>
      <w:r w:rsidRPr="006A1FEA">
        <w:rPr>
          <w:rFonts w:eastAsia="Calibri" w:cs="Times New Roman"/>
          <w:b/>
          <w:szCs w:val="24"/>
          <w:lang w:val="es-ES"/>
        </w:rPr>
        <w:t>CORTE INTERAMERICANA DE DERECHOS HUMANOS</w:t>
      </w:r>
    </w:p>
    <w:p w14:paraId="59421D2E" w14:textId="77777777" w:rsidR="00B92A27" w:rsidRPr="006A1FEA" w:rsidRDefault="00B92A27" w:rsidP="00B92A27">
      <w:pPr>
        <w:tabs>
          <w:tab w:val="left" w:pos="567"/>
        </w:tabs>
        <w:jc w:val="center"/>
        <w:rPr>
          <w:rFonts w:eastAsia="Calibri" w:cs="Times New Roman"/>
          <w:b/>
          <w:szCs w:val="24"/>
          <w:lang w:val="es-ES"/>
        </w:rPr>
      </w:pPr>
    </w:p>
    <w:p w14:paraId="58664D78" w14:textId="5926A1B1" w:rsidR="00B92A27" w:rsidRPr="006A1FEA" w:rsidRDefault="00B92A27" w:rsidP="00B92A27">
      <w:pPr>
        <w:tabs>
          <w:tab w:val="left" w:pos="567"/>
        </w:tabs>
        <w:jc w:val="center"/>
        <w:rPr>
          <w:rFonts w:eastAsia="Calibri" w:cs="Times New Roman"/>
          <w:b/>
          <w:szCs w:val="24"/>
          <w:lang w:val="es-ES"/>
        </w:rPr>
      </w:pPr>
      <w:r w:rsidRPr="006A1FEA">
        <w:rPr>
          <w:rFonts w:eastAsia="Calibri" w:cs="Times New Roman"/>
          <w:b/>
          <w:szCs w:val="24"/>
          <w:lang w:val="es-ES"/>
        </w:rPr>
        <w:t xml:space="preserve">DE </w:t>
      </w:r>
      <w:r w:rsidR="00100478">
        <w:rPr>
          <w:rFonts w:eastAsia="Calibri" w:cs="Times New Roman"/>
          <w:b/>
          <w:szCs w:val="24"/>
          <w:lang w:val="es-ES"/>
        </w:rPr>
        <w:t>14</w:t>
      </w:r>
      <w:r w:rsidR="00465AC7">
        <w:rPr>
          <w:rFonts w:eastAsia="Calibri" w:cs="Times New Roman"/>
          <w:b/>
          <w:szCs w:val="24"/>
          <w:lang w:val="es-ES"/>
        </w:rPr>
        <w:t xml:space="preserve"> FEBRERO</w:t>
      </w:r>
      <w:r w:rsidRPr="006A1FEA">
        <w:rPr>
          <w:rFonts w:eastAsia="Calibri" w:cs="Times New Roman"/>
          <w:b/>
          <w:szCs w:val="24"/>
          <w:lang w:val="es-ES"/>
        </w:rPr>
        <w:t xml:space="preserve"> DE 201</w:t>
      </w:r>
      <w:r w:rsidR="00465AC7">
        <w:rPr>
          <w:rFonts w:eastAsia="Calibri" w:cs="Times New Roman"/>
          <w:b/>
          <w:szCs w:val="24"/>
          <w:lang w:val="es-ES"/>
        </w:rPr>
        <w:t>9</w:t>
      </w:r>
    </w:p>
    <w:p w14:paraId="67B6D3AD" w14:textId="77777777" w:rsidR="00B92A27" w:rsidRPr="006A1FEA" w:rsidRDefault="00B92A27" w:rsidP="00B92A27">
      <w:pPr>
        <w:tabs>
          <w:tab w:val="left" w:pos="567"/>
        </w:tabs>
        <w:jc w:val="center"/>
        <w:rPr>
          <w:rFonts w:eastAsia="Calibri" w:cs="Times New Roman"/>
          <w:b/>
          <w:szCs w:val="24"/>
          <w:lang w:val="es-ES"/>
        </w:rPr>
      </w:pPr>
    </w:p>
    <w:p w14:paraId="6BE380F1" w14:textId="51696F4D" w:rsidR="00B92A27" w:rsidRPr="006A1FEA" w:rsidRDefault="00B92A27" w:rsidP="00B92A27">
      <w:pPr>
        <w:tabs>
          <w:tab w:val="left" w:pos="567"/>
        </w:tabs>
        <w:jc w:val="center"/>
        <w:rPr>
          <w:rFonts w:eastAsia="Calibri" w:cs="Times New Roman"/>
          <w:b/>
          <w:szCs w:val="24"/>
          <w:lang w:val="es-ES"/>
        </w:rPr>
      </w:pPr>
      <w:r w:rsidRPr="006A1FEA">
        <w:rPr>
          <w:rFonts w:eastAsia="Calibri" w:cs="Times New Roman"/>
          <w:b/>
          <w:szCs w:val="24"/>
          <w:lang w:val="es-ES"/>
        </w:rPr>
        <w:t>CASO</w:t>
      </w:r>
      <w:r w:rsidR="00465AC7">
        <w:rPr>
          <w:rFonts w:eastAsia="Calibri" w:cs="Times New Roman"/>
          <w:b/>
          <w:szCs w:val="24"/>
          <w:lang w:val="es-ES"/>
        </w:rPr>
        <w:t xml:space="preserve"> LÓPEZ Y OTROS VS. ARGENTINA</w:t>
      </w:r>
      <w:r w:rsidRPr="006A1FEA">
        <w:rPr>
          <w:rFonts w:eastAsia="Calibri" w:cs="Times New Roman"/>
          <w:b/>
          <w:szCs w:val="24"/>
          <w:lang w:val="es-ES"/>
        </w:rPr>
        <w:t xml:space="preserve"> </w:t>
      </w:r>
    </w:p>
    <w:p w14:paraId="11D68960" w14:textId="77777777" w:rsidR="00B92A27" w:rsidRPr="006A1FEA" w:rsidRDefault="00B92A27" w:rsidP="00B92A27">
      <w:pPr>
        <w:tabs>
          <w:tab w:val="left" w:pos="567"/>
        </w:tabs>
        <w:rPr>
          <w:rFonts w:eastAsia="Calibri" w:cs="Times New Roman"/>
          <w:b/>
          <w:color w:val="00B050"/>
          <w:szCs w:val="20"/>
          <w:lang w:val="es-ES"/>
        </w:rPr>
      </w:pPr>
    </w:p>
    <w:p w14:paraId="6E60EA09" w14:textId="77777777" w:rsidR="00B92A27" w:rsidRPr="006A1FEA" w:rsidRDefault="00B92A27" w:rsidP="00B92A27">
      <w:pPr>
        <w:tabs>
          <w:tab w:val="left" w:pos="567"/>
        </w:tabs>
        <w:jc w:val="center"/>
        <w:rPr>
          <w:rFonts w:eastAsia="Calibri" w:cs="Times New Roman"/>
          <w:b/>
          <w:szCs w:val="24"/>
          <w:lang w:val="es-ES"/>
        </w:rPr>
      </w:pPr>
    </w:p>
    <w:p w14:paraId="16FF4406" w14:textId="77777777" w:rsidR="00B92A27" w:rsidRPr="006A1FEA" w:rsidRDefault="00B92A27" w:rsidP="006A1FEA">
      <w:pPr>
        <w:pStyle w:val="Heading1"/>
        <w:rPr>
          <w:b w:val="0"/>
        </w:rPr>
      </w:pPr>
      <w:r w:rsidRPr="006A1FEA">
        <w:rPr>
          <w:lang w:val="es-ES"/>
        </w:rPr>
        <w:t>VISTO:</w:t>
      </w:r>
    </w:p>
    <w:p w14:paraId="59E14B42" w14:textId="77777777" w:rsidR="00B92A27" w:rsidRPr="006A1FEA" w:rsidRDefault="00B92A27" w:rsidP="00B92A27">
      <w:pPr>
        <w:tabs>
          <w:tab w:val="left" w:pos="567"/>
        </w:tabs>
        <w:rPr>
          <w:rFonts w:eastAsia="Calibri" w:cs="Times New Roman"/>
          <w:b/>
          <w:szCs w:val="24"/>
        </w:rPr>
      </w:pPr>
    </w:p>
    <w:p w14:paraId="3310FBD8" w14:textId="03376290" w:rsidR="00B92A27" w:rsidRPr="006A1FEA" w:rsidRDefault="009461A0" w:rsidP="00E77B4C">
      <w:pPr>
        <w:pStyle w:val="ListParagraph"/>
        <w:widowControl w:val="0"/>
        <w:numPr>
          <w:ilvl w:val="0"/>
          <w:numId w:val="4"/>
        </w:numPr>
        <w:tabs>
          <w:tab w:val="left" w:pos="0"/>
        </w:tabs>
        <w:autoSpaceDE w:val="0"/>
        <w:autoSpaceDN w:val="0"/>
        <w:adjustRightInd w:val="0"/>
        <w:ind w:left="0" w:right="22" w:firstLine="0"/>
        <w:contextualSpacing w:val="0"/>
        <w:rPr>
          <w:rFonts w:eastAsia="Calibri" w:cs="Times"/>
          <w:szCs w:val="20"/>
          <w:lang w:eastAsia="es-ES"/>
        </w:rPr>
      </w:pPr>
      <w:r w:rsidRPr="006A1FEA">
        <w:rPr>
          <w:rFonts w:eastAsia="Calibri" w:cs="Times New Roman"/>
          <w:szCs w:val="20"/>
        </w:rPr>
        <w:t xml:space="preserve">  </w:t>
      </w:r>
      <w:r w:rsidR="00B92A27" w:rsidRPr="006A1FEA">
        <w:rPr>
          <w:rFonts w:eastAsia="Calibri" w:cs="Times New Roman"/>
          <w:szCs w:val="20"/>
        </w:rPr>
        <w:t xml:space="preserve">El escrito de sometimiento del caso y el Informe de Fondo de la Comisión Interamericana de Derechos Humanos (en adelante “la Comisión Interamericana” o “la Comisión”); el escrito de solicitudes, argumentos y pruebas (en adelante el “escrito de solicitudes y argumentos”) de los representantes de </w:t>
      </w:r>
      <w:r w:rsidR="00F06957" w:rsidRPr="006A1FEA">
        <w:rPr>
          <w:rFonts w:eastAsia="Calibri" w:cs="Times New Roman"/>
          <w:szCs w:val="20"/>
        </w:rPr>
        <w:t>la</w:t>
      </w:r>
      <w:r w:rsidR="00F06957">
        <w:rPr>
          <w:rFonts w:eastAsia="Calibri" w:cs="Times New Roman"/>
          <w:szCs w:val="20"/>
        </w:rPr>
        <w:t>s</w:t>
      </w:r>
      <w:r w:rsidR="00F06957" w:rsidRPr="006A1FEA">
        <w:rPr>
          <w:rFonts w:eastAsia="Calibri" w:cs="Times New Roman"/>
          <w:szCs w:val="20"/>
        </w:rPr>
        <w:t xml:space="preserve"> presunta</w:t>
      </w:r>
      <w:r w:rsidR="00F06957">
        <w:rPr>
          <w:rFonts w:eastAsia="Calibri" w:cs="Times New Roman"/>
          <w:szCs w:val="20"/>
        </w:rPr>
        <w:t>s</w:t>
      </w:r>
      <w:r w:rsidR="00F06957" w:rsidRPr="006A1FEA">
        <w:rPr>
          <w:rFonts w:eastAsia="Calibri" w:cs="Times New Roman"/>
          <w:szCs w:val="20"/>
        </w:rPr>
        <w:t xml:space="preserve"> víctima</w:t>
      </w:r>
      <w:r w:rsidR="00F06957">
        <w:rPr>
          <w:rFonts w:eastAsia="Calibri" w:cs="Times New Roman"/>
          <w:szCs w:val="20"/>
        </w:rPr>
        <w:t>s</w:t>
      </w:r>
      <w:r w:rsidR="00B92A27" w:rsidRPr="006A1FEA">
        <w:rPr>
          <w:rFonts w:eastAsia="Calibri" w:cs="Times New Roman"/>
          <w:szCs w:val="20"/>
        </w:rPr>
        <w:t xml:space="preserve"> (en adelante “los representantes”); el escrito de contestación al sometimiento del caso y al escrito de solicitudes y argumentos (en adelante “escrito de contestación”) </w:t>
      </w:r>
      <w:r w:rsidR="00F06957">
        <w:rPr>
          <w:rFonts w:eastAsia="Calibri" w:cs="Times New Roman"/>
          <w:szCs w:val="20"/>
        </w:rPr>
        <w:t>del Estado de Argentina</w:t>
      </w:r>
      <w:r w:rsidR="00B92A27" w:rsidRPr="006A1FEA">
        <w:rPr>
          <w:rFonts w:eastAsia="Calibri" w:cs="Times New Roman"/>
          <w:szCs w:val="20"/>
        </w:rPr>
        <w:t xml:space="preserve"> (en adelante “</w:t>
      </w:r>
      <w:r w:rsidR="00F06957">
        <w:rPr>
          <w:rFonts w:eastAsia="Calibri" w:cs="Times New Roman"/>
          <w:szCs w:val="20"/>
        </w:rPr>
        <w:t>Argentina</w:t>
      </w:r>
      <w:r w:rsidR="00B92A27" w:rsidRPr="006A1FEA">
        <w:rPr>
          <w:rFonts w:eastAsia="Calibri" w:cs="Times New Roman"/>
          <w:szCs w:val="20"/>
        </w:rPr>
        <w:t xml:space="preserve">” o “el Estado”), </w:t>
      </w:r>
      <w:r w:rsidR="00B92A27" w:rsidRPr="006A1FEA">
        <w:rPr>
          <w:rFonts w:eastAsia="Calibri" w:cs="Times"/>
          <w:szCs w:val="20"/>
          <w:lang w:eastAsia="es-ES"/>
        </w:rPr>
        <w:t>así como los escritos de observaciones a la</w:t>
      </w:r>
      <w:r w:rsidR="00F06957">
        <w:rPr>
          <w:rFonts w:eastAsia="Calibri" w:cs="Times"/>
          <w:szCs w:val="20"/>
          <w:lang w:eastAsia="es-ES"/>
        </w:rPr>
        <w:t>s</w:t>
      </w:r>
      <w:r w:rsidR="00B92A27" w:rsidRPr="006A1FEA">
        <w:rPr>
          <w:rFonts w:eastAsia="Calibri" w:cs="Times"/>
          <w:szCs w:val="20"/>
          <w:lang w:eastAsia="es-ES"/>
        </w:rPr>
        <w:t xml:space="preserve"> excepc</w:t>
      </w:r>
      <w:r w:rsidR="00F06957">
        <w:rPr>
          <w:rFonts w:eastAsia="Calibri" w:cs="Times"/>
          <w:szCs w:val="20"/>
          <w:lang w:eastAsia="es-ES"/>
        </w:rPr>
        <w:t>iones</w:t>
      </w:r>
      <w:r w:rsidR="00B92A27" w:rsidRPr="006A1FEA">
        <w:rPr>
          <w:rFonts w:eastAsia="Calibri" w:cs="Times"/>
          <w:szCs w:val="20"/>
          <w:lang w:eastAsia="es-ES"/>
        </w:rPr>
        <w:t xml:space="preserve"> preliminar</w:t>
      </w:r>
      <w:r w:rsidR="00F06957">
        <w:rPr>
          <w:rFonts w:eastAsia="Calibri" w:cs="Times"/>
          <w:szCs w:val="20"/>
          <w:lang w:eastAsia="es-ES"/>
        </w:rPr>
        <w:t>es</w:t>
      </w:r>
      <w:r w:rsidR="00B92A27" w:rsidRPr="006A1FEA">
        <w:rPr>
          <w:rFonts w:eastAsia="Calibri" w:cs="Times"/>
          <w:szCs w:val="20"/>
          <w:lang w:eastAsia="es-ES"/>
        </w:rPr>
        <w:t xml:space="preserve"> interpuesta</w:t>
      </w:r>
      <w:r w:rsidR="00C538F1">
        <w:rPr>
          <w:rFonts w:eastAsia="Calibri" w:cs="Times"/>
          <w:szCs w:val="20"/>
          <w:lang w:eastAsia="es-ES"/>
        </w:rPr>
        <w:t>s</w:t>
      </w:r>
      <w:r w:rsidR="00B92A27" w:rsidRPr="006A1FEA">
        <w:rPr>
          <w:rFonts w:eastAsia="Calibri" w:cs="Times"/>
          <w:szCs w:val="20"/>
          <w:lang w:eastAsia="es-ES"/>
        </w:rPr>
        <w:t xml:space="preserve"> por el Estado</w:t>
      </w:r>
      <w:r w:rsidR="00C538F1">
        <w:rPr>
          <w:rFonts w:eastAsia="Calibri" w:cs="Times"/>
          <w:szCs w:val="20"/>
          <w:lang w:eastAsia="es-ES"/>
        </w:rPr>
        <w:t>,</w:t>
      </w:r>
      <w:r w:rsidR="00B92A27" w:rsidRPr="006A1FEA">
        <w:rPr>
          <w:rFonts w:eastAsia="Calibri" w:cs="Times"/>
          <w:szCs w:val="20"/>
          <w:lang w:eastAsia="es-ES"/>
        </w:rPr>
        <w:t xml:space="preserve"> presentados por la Comisión Interamericana y los representantes. </w:t>
      </w:r>
    </w:p>
    <w:p w14:paraId="2D9A5148" w14:textId="77777777" w:rsidR="00B92A27" w:rsidRPr="006A1FEA" w:rsidRDefault="00B92A27" w:rsidP="00E77B4C">
      <w:pPr>
        <w:widowControl w:val="0"/>
        <w:tabs>
          <w:tab w:val="left" w:pos="0"/>
        </w:tabs>
        <w:autoSpaceDE w:val="0"/>
        <w:autoSpaceDN w:val="0"/>
        <w:adjustRightInd w:val="0"/>
        <w:ind w:right="22"/>
        <w:rPr>
          <w:rFonts w:eastAsia="Calibri" w:cs="Times"/>
          <w:szCs w:val="20"/>
          <w:lang w:eastAsia="es-ES"/>
        </w:rPr>
      </w:pPr>
    </w:p>
    <w:p w14:paraId="142CF965" w14:textId="514CF537" w:rsidR="00B92A27" w:rsidRPr="00CA3399" w:rsidRDefault="009461A0" w:rsidP="00E77B4C">
      <w:pPr>
        <w:pStyle w:val="ListParagraph"/>
        <w:widowControl w:val="0"/>
        <w:numPr>
          <w:ilvl w:val="0"/>
          <w:numId w:val="4"/>
        </w:numPr>
        <w:tabs>
          <w:tab w:val="left" w:pos="0"/>
        </w:tabs>
        <w:autoSpaceDE w:val="0"/>
        <w:autoSpaceDN w:val="0"/>
        <w:adjustRightInd w:val="0"/>
        <w:ind w:left="0" w:right="22" w:firstLine="0"/>
        <w:contextualSpacing w:val="0"/>
        <w:rPr>
          <w:rFonts w:eastAsia="Calibri" w:cs="Times New Roman"/>
          <w:b/>
          <w:szCs w:val="20"/>
        </w:rPr>
      </w:pPr>
      <w:r w:rsidRPr="006A1FEA">
        <w:rPr>
          <w:rFonts w:eastAsia="Calibri" w:cs="Times New Roman"/>
          <w:szCs w:val="20"/>
        </w:rPr>
        <w:t xml:space="preserve">  </w:t>
      </w:r>
      <w:r w:rsidR="00B92A27" w:rsidRPr="006A1FEA">
        <w:rPr>
          <w:rFonts w:eastAsia="Calibri" w:cs="Times New Roman"/>
          <w:szCs w:val="20"/>
        </w:rPr>
        <w:t xml:space="preserve">Las listas definitivas de declarantes presentadas por los representantes y la Comisión </w:t>
      </w:r>
      <w:r w:rsidR="00B92A27" w:rsidRPr="00CA3399">
        <w:rPr>
          <w:rFonts w:eastAsia="Calibri" w:cs="Times New Roman"/>
          <w:szCs w:val="20"/>
        </w:rPr>
        <w:t xml:space="preserve">y las correspondientes observaciones a dichas listas presentadas por </w:t>
      </w:r>
      <w:r w:rsidR="00BE5AE3" w:rsidRPr="00CA3399">
        <w:rPr>
          <w:rFonts w:eastAsia="Calibri" w:cs="Times New Roman"/>
          <w:szCs w:val="20"/>
        </w:rPr>
        <w:t>el Estado</w:t>
      </w:r>
      <w:r w:rsidR="00B92A27" w:rsidRPr="00CA3399">
        <w:rPr>
          <w:rFonts w:eastAsia="Calibri" w:cs="Times New Roman"/>
          <w:szCs w:val="20"/>
        </w:rPr>
        <w:t xml:space="preserve">. </w:t>
      </w:r>
    </w:p>
    <w:p w14:paraId="1C68610C" w14:textId="77777777" w:rsidR="00B92A27" w:rsidRPr="006A1FEA" w:rsidRDefault="00B92A27" w:rsidP="00E77B4C">
      <w:pPr>
        <w:widowControl w:val="0"/>
        <w:tabs>
          <w:tab w:val="left" w:pos="0"/>
        </w:tabs>
        <w:autoSpaceDE w:val="0"/>
        <w:autoSpaceDN w:val="0"/>
        <w:adjustRightInd w:val="0"/>
        <w:ind w:right="22"/>
        <w:rPr>
          <w:rFonts w:eastAsia="Calibri" w:cs="Times New Roman"/>
          <w:b/>
          <w:szCs w:val="20"/>
        </w:rPr>
      </w:pPr>
    </w:p>
    <w:p w14:paraId="6B5FDC87" w14:textId="71D2BF35" w:rsidR="00B92A27" w:rsidRPr="006A1FEA" w:rsidRDefault="009461A0" w:rsidP="00E77B4C">
      <w:pPr>
        <w:pStyle w:val="ListParagraph"/>
        <w:widowControl w:val="0"/>
        <w:numPr>
          <w:ilvl w:val="0"/>
          <w:numId w:val="4"/>
        </w:numPr>
        <w:tabs>
          <w:tab w:val="left" w:pos="0"/>
        </w:tabs>
        <w:autoSpaceDE w:val="0"/>
        <w:autoSpaceDN w:val="0"/>
        <w:adjustRightInd w:val="0"/>
        <w:ind w:left="0" w:right="22" w:firstLine="0"/>
        <w:contextualSpacing w:val="0"/>
        <w:rPr>
          <w:rFonts w:eastAsia="Calibri" w:cs="Times"/>
          <w:szCs w:val="20"/>
          <w:lang w:eastAsia="es-ES"/>
        </w:rPr>
      </w:pPr>
      <w:bookmarkStart w:id="1" w:name="_Ref479170533"/>
      <w:r w:rsidRPr="006A1FEA">
        <w:rPr>
          <w:rFonts w:eastAsia="Calibri" w:cs="Times New Roman"/>
          <w:szCs w:val="20"/>
        </w:rPr>
        <w:t xml:space="preserve">  </w:t>
      </w:r>
      <w:r w:rsidR="00B92A27" w:rsidRPr="006A1FEA">
        <w:rPr>
          <w:rFonts w:eastAsia="Calibri" w:cs="Times New Roman"/>
          <w:szCs w:val="20"/>
        </w:rPr>
        <w:t xml:space="preserve">La </w:t>
      </w:r>
      <w:r w:rsidR="00F06957">
        <w:rPr>
          <w:rFonts w:eastAsia="Calibri" w:cs="Times New Roman"/>
          <w:szCs w:val="20"/>
        </w:rPr>
        <w:t xml:space="preserve">carta de la Secretaría de </w:t>
      </w:r>
      <w:r w:rsidR="00B92A27" w:rsidRPr="006A1FEA">
        <w:rPr>
          <w:rFonts w:eastAsia="Calibri" w:cs="Times New Roman"/>
          <w:szCs w:val="20"/>
        </w:rPr>
        <w:t xml:space="preserve">la Corte Interamericana de Derechos Humanos de </w:t>
      </w:r>
      <w:r w:rsidR="00F06957">
        <w:rPr>
          <w:rFonts w:eastAsia="Calibri" w:cs="Times New Roman"/>
          <w:szCs w:val="20"/>
        </w:rPr>
        <w:t>11 de oct</w:t>
      </w:r>
      <w:r w:rsidR="003016DF">
        <w:rPr>
          <w:rFonts w:eastAsia="Calibri" w:cs="Times New Roman"/>
          <w:szCs w:val="20"/>
        </w:rPr>
        <w:t>ubre de 2018</w:t>
      </w:r>
      <w:r w:rsidR="00B92A27" w:rsidRPr="006A1FEA">
        <w:rPr>
          <w:rFonts w:eastAsia="Calibri" w:cs="Times New Roman"/>
          <w:szCs w:val="20"/>
        </w:rPr>
        <w:t xml:space="preserve"> sobre el Fondo de Asistencia Legal de Víctimas. </w:t>
      </w:r>
      <w:bookmarkEnd w:id="1"/>
    </w:p>
    <w:p w14:paraId="579C18B5" w14:textId="77777777" w:rsidR="00830A12" w:rsidRPr="006A1FEA" w:rsidRDefault="00830A12" w:rsidP="00E77B4C">
      <w:pPr>
        <w:pStyle w:val="ListParagraph"/>
        <w:tabs>
          <w:tab w:val="left" w:pos="0"/>
        </w:tabs>
        <w:ind w:left="0"/>
        <w:contextualSpacing w:val="0"/>
        <w:rPr>
          <w:b/>
          <w:szCs w:val="20"/>
        </w:rPr>
      </w:pPr>
    </w:p>
    <w:p w14:paraId="1A6CC6BA" w14:textId="77777777" w:rsidR="00830A12" w:rsidRPr="006A1FEA" w:rsidRDefault="00830A12" w:rsidP="006A1FEA">
      <w:pPr>
        <w:pStyle w:val="Heading1"/>
        <w:rPr>
          <w:b w:val="0"/>
        </w:rPr>
      </w:pPr>
      <w:r w:rsidRPr="006A1FEA">
        <w:rPr>
          <w:szCs w:val="22"/>
        </w:rPr>
        <w:t xml:space="preserve">CONSIDERANDO QUE: </w:t>
      </w:r>
    </w:p>
    <w:p w14:paraId="5A10816B" w14:textId="77777777" w:rsidR="00830A12" w:rsidRPr="006A1FEA" w:rsidRDefault="00830A12" w:rsidP="00E77B4C">
      <w:pPr>
        <w:pStyle w:val="ListParagraph"/>
        <w:tabs>
          <w:tab w:val="left" w:pos="0"/>
        </w:tabs>
        <w:ind w:left="0"/>
        <w:contextualSpacing w:val="0"/>
        <w:rPr>
          <w:bCs/>
          <w:iCs/>
          <w:szCs w:val="20"/>
        </w:rPr>
      </w:pPr>
    </w:p>
    <w:p w14:paraId="4641DA62" w14:textId="1A2683B3" w:rsidR="00830A12" w:rsidRPr="006A1FEA" w:rsidRDefault="009461A0" w:rsidP="00E77B4C">
      <w:pPr>
        <w:pStyle w:val="ListParagraph"/>
        <w:numPr>
          <w:ilvl w:val="0"/>
          <w:numId w:val="11"/>
        </w:numPr>
        <w:tabs>
          <w:tab w:val="left" w:pos="0"/>
        </w:tabs>
        <w:ind w:left="0" w:firstLine="0"/>
        <w:contextualSpacing w:val="0"/>
        <w:rPr>
          <w:bCs/>
          <w:iCs/>
          <w:szCs w:val="20"/>
        </w:rPr>
      </w:pPr>
      <w:r w:rsidRPr="006A1FEA">
        <w:rPr>
          <w:bCs/>
          <w:iCs/>
          <w:szCs w:val="20"/>
        </w:rPr>
        <w:t xml:space="preserve">  </w:t>
      </w:r>
      <w:r w:rsidR="00830A12" w:rsidRPr="006A1FEA">
        <w:rPr>
          <w:bCs/>
          <w:iCs/>
          <w:szCs w:val="20"/>
        </w:rPr>
        <w:t>El ofrecimiento y la admisión de la prueba, así como la citación de declarantes se encuentran regulados en los artículos 35.1.f, 40.2.c, 41.1.c, 46</w:t>
      </w:r>
      <w:r w:rsidR="00921308" w:rsidRPr="006A1FEA">
        <w:rPr>
          <w:bCs/>
          <w:iCs/>
          <w:szCs w:val="20"/>
        </w:rPr>
        <w:t>, 47,</w:t>
      </w:r>
      <w:r w:rsidR="00DF1E41" w:rsidRPr="006A1FEA">
        <w:rPr>
          <w:bCs/>
          <w:iCs/>
          <w:szCs w:val="20"/>
        </w:rPr>
        <w:t xml:space="preserve"> </w:t>
      </w:r>
      <w:r w:rsidR="00921308" w:rsidRPr="006A1FEA">
        <w:rPr>
          <w:bCs/>
          <w:iCs/>
          <w:szCs w:val="20"/>
        </w:rPr>
        <w:t xml:space="preserve">48, </w:t>
      </w:r>
      <w:r w:rsidR="00830A12" w:rsidRPr="006A1FEA">
        <w:rPr>
          <w:bCs/>
          <w:iCs/>
          <w:szCs w:val="20"/>
        </w:rPr>
        <w:t>50, 52</w:t>
      </w:r>
      <w:r w:rsidR="00DF1E41" w:rsidRPr="006A1FEA">
        <w:rPr>
          <w:bCs/>
          <w:iCs/>
          <w:szCs w:val="20"/>
        </w:rPr>
        <w:t xml:space="preserve"> y</w:t>
      </w:r>
      <w:r w:rsidR="00830A12" w:rsidRPr="006A1FEA">
        <w:rPr>
          <w:bCs/>
          <w:iCs/>
          <w:szCs w:val="20"/>
        </w:rPr>
        <w:t xml:space="preserve"> 57</w:t>
      </w:r>
      <w:r w:rsidR="00BC243D" w:rsidRPr="006A1FEA">
        <w:rPr>
          <w:bCs/>
          <w:iCs/>
          <w:szCs w:val="20"/>
        </w:rPr>
        <w:t xml:space="preserve"> </w:t>
      </w:r>
      <w:r w:rsidR="00830A12" w:rsidRPr="006A1FEA">
        <w:rPr>
          <w:bCs/>
          <w:iCs/>
          <w:szCs w:val="20"/>
        </w:rPr>
        <w:t>del Reglamento de la Corte Interamericana de Derechos Humanos (en adelante “la Corte Interamericana”, “la Corte” o “el Tribunal”).</w:t>
      </w:r>
    </w:p>
    <w:p w14:paraId="6763CCBF" w14:textId="77777777" w:rsidR="009461A0" w:rsidRPr="006A1FEA" w:rsidRDefault="009461A0" w:rsidP="00E77B4C">
      <w:pPr>
        <w:pStyle w:val="ListParagraph"/>
        <w:tabs>
          <w:tab w:val="left" w:pos="0"/>
        </w:tabs>
        <w:ind w:left="0"/>
        <w:contextualSpacing w:val="0"/>
        <w:rPr>
          <w:bCs/>
          <w:iCs/>
          <w:szCs w:val="20"/>
        </w:rPr>
      </w:pPr>
    </w:p>
    <w:p w14:paraId="7AB2B1D8" w14:textId="77777777" w:rsidR="00830A12" w:rsidRPr="00BE5AE3" w:rsidRDefault="009461A0" w:rsidP="00E77B4C">
      <w:pPr>
        <w:pStyle w:val="ListParagraph"/>
        <w:numPr>
          <w:ilvl w:val="0"/>
          <w:numId w:val="10"/>
        </w:numPr>
        <w:tabs>
          <w:tab w:val="left" w:pos="0"/>
        </w:tabs>
        <w:ind w:left="0" w:firstLine="0"/>
        <w:contextualSpacing w:val="0"/>
        <w:rPr>
          <w:szCs w:val="20"/>
        </w:rPr>
      </w:pPr>
      <w:r w:rsidRPr="006A1FEA">
        <w:rPr>
          <w:szCs w:val="20"/>
        </w:rPr>
        <w:t xml:space="preserve">  </w:t>
      </w:r>
      <w:r w:rsidRPr="00BE5AE3">
        <w:rPr>
          <w:szCs w:val="20"/>
        </w:rPr>
        <w:t>La Corte garantizó a las partes el derecho de defensa respecto de los ofrecimientos probatorios realizados en sus escritos de sometimiento del caso, solicitudes y argumentos, y contestación, así como en las respectivas listas definitivas de declarantes.</w:t>
      </w:r>
    </w:p>
    <w:p w14:paraId="345DB257" w14:textId="77777777" w:rsidR="00AC2C61" w:rsidRPr="006A1FEA" w:rsidRDefault="00AC2C61" w:rsidP="00E77B4C">
      <w:pPr>
        <w:pStyle w:val="ListParagraph"/>
        <w:tabs>
          <w:tab w:val="left" w:pos="0"/>
        </w:tabs>
        <w:ind w:left="0"/>
        <w:contextualSpacing w:val="0"/>
        <w:rPr>
          <w:szCs w:val="20"/>
        </w:rPr>
      </w:pPr>
    </w:p>
    <w:p w14:paraId="098F8BA6" w14:textId="4899151B" w:rsidR="00DF1E41" w:rsidRPr="006A1FEA" w:rsidRDefault="009461A0" w:rsidP="00DF1E41">
      <w:pPr>
        <w:pStyle w:val="ListParagraph"/>
        <w:numPr>
          <w:ilvl w:val="0"/>
          <w:numId w:val="10"/>
        </w:numPr>
        <w:tabs>
          <w:tab w:val="left" w:pos="0"/>
        </w:tabs>
        <w:ind w:left="0" w:firstLine="0"/>
        <w:contextualSpacing w:val="0"/>
        <w:rPr>
          <w:szCs w:val="20"/>
        </w:rPr>
      </w:pPr>
      <w:r w:rsidRPr="006A1FEA">
        <w:rPr>
          <w:szCs w:val="20"/>
        </w:rPr>
        <w:t xml:space="preserve"> </w:t>
      </w:r>
      <w:r w:rsidR="00F06957">
        <w:rPr>
          <w:szCs w:val="20"/>
        </w:rPr>
        <w:t>Los</w:t>
      </w:r>
      <w:r w:rsidR="00AC2C61" w:rsidRPr="006A1FEA">
        <w:rPr>
          <w:szCs w:val="20"/>
        </w:rPr>
        <w:t xml:space="preserve"> representantes ofrecieron las declaraciones de </w:t>
      </w:r>
      <w:r w:rsidR="007B066C" w:rsidRPr="00C538F1">
        <w:rPr>
          <w:szCs w:val="20"/>
        </w:rPr>
        <w:t>once</w:t>
      </w:r>
      <w:r w:rsidR="00AC2C61" w:rsidRPr="00C538F1">
        <w:rPr>
          <w:szCs w:val="20"/>
        </w:rPr>
        <w:t xml:space="preserve"> presunta</w:t>
      </w:r>
      <w:r w:rsidR="007B066C" w:rsidRPr="00C538F1">
        <w:rPr>
          <w:szCs w:val="20"/>
        </w:rPr>
        <w:t>s</w:t>
      </w:r>
      <w:r w:rsidR="00AC2C61" w:rsidRPr="00C538F1">
        <w:rPr>
          <w:szCs w:val="20"/>
        </w:rPr>
        <w:t xml:space="preserve"> víctima</w:t>
      </w:r>
      <w:r w:rsidR="007B066C" w:rsidRPr="00C538F1">
        <w:rPr>
          <w:szCs w:val="20"/>
        </w:rPr>
        <w:t>s</w:t>
      </w:r>
      <w:r w:rsidR="00BE5AE3" w:rsidRPr="00C538F1">
        <w:rPr>
          <w:szCs w:val="20"/>
        </w:rPr>
        <w:t xml:space="preserve"> y testigos</w:t>
      </w:r>
      <w:r w:rsidR="00AC2C61" w:rsidRPr="00C538F1">
        <w:rPr>
          <w:szCs w:val="20"/>
        </w:rPr>
        <w:t xml:space="preserve">, y </w:t>
      </w:r>
      <w:r w:rsidR="007B066C" w:rsidRPr="00C538F1">
        <w:rPr>
          <w:szCs w:val="20"/>
        </w:rPr>
        <w:t>dos</w:t>
      </w:r>
      <w:r w:rsidR="00AC2C61" w:rsidRPr="00C538F1">
        <w:rPr>
          <w:szCs w:val="20"/>
        </w:rPr>
        <w:t xml:space="preserve"> peritos. La Comisión ofreció </w:t>
      </w:r>
      <w:r w:rsidR="00F06957" w:rsidRPr="00C538F1">
        <w:rPr>
          <w:szCs w:val="20"/>
        </w:rPr>
        <w:t>un</w:t>
      </w:r>
      <w:r w:rsidR="00AC2C61" w:rsidRPr="00C538F1">
        <w:rPr>
          <w:szCs w:val="20"/>
        </w:rPr>
        <w:t xml:space="preserve"> perito.</w:t>
      </w:r>
      <w:r w:rsidR="00C538F1">
        <w:rPr>
          <w:szCs w:val="20"/>
        </w:rPr>
        <w:t xml:space="preserve"> El Estado no ofreció declaraciones. </w:t>
      </w:r>
      <w:r w:rsidR="00AC2C61" w:rsidRPr="006A1FEA">
        <w:rPr>
          <w:szCs w:val="20"/>
        </w:rPr>
        <w:t xml:space="preserve"> </w:t>
      </w:r>
    </w:p>
    <w:p w14:paraId="62ED2330" w14:textId="77777777" w:rsidR="00DF1E41" w:rsidRPr="006A1FEA" w:rsidRDefault="00DF1E41" w:rsidP="00DF1E41">
      <w:pPr>
        <w:pStyle w:val="ListParagraph"/>
        <w:rPr>
          <w:rFonts w:eastAsia="Times New Roman" w:cs="Verdana"/>
          <w:szCs w:val="20"/>
          <w:lang w:val="es-CL"/>
        </w:rPr>
      </w:pPr>
    </w:p>
    <w:p w14:paraId="289B75EA" w14:textId="33A9F264" w:rsidR="00DF1E41" w:rsidRPr="00A04AB3" w:rsidRDefault="00DF1E41" w:rsidP="00A04AB3">
      <w:pPr>
        <w:pStyle w:val="ListParagraph"/>
        <w:numPr>
          <w:ilvl w:val="0"/>
          <w:numId w:val="10"/>
        </w:numPr>
        <w:tabs>
          <w:tab w:val="left" w:pos="0"/>
        </w:tabs>
        <w:ind w:left="0" w:firstLine="0"/>
        <w:contextualSpacing w:val="0"/>
        <w:rPr>
          <w:szCs w:val="20"/>
        </w:rPr>
      </w:pPr>
      <w:r w:rsidRPr="00A04AB3">
        <w:rPr>
          <w:rFonts w:eastAsia="Times New Roman" w:cs="Verdana"/>
          <w:szCs w:val="20"/>
          <w:lang w:val="es-CL"/>
        </w:rPr>
        <w:t xml:space="preserve">El Estado </w:t>
      </w:r>
      <w:r w:rsidR="005169CE" w:rsidRPr="00A04AB3">
        <w:rPr>
          <w:rFonts w:eastAsia="Times New Roman" w:cs="Verdana"/>
          <w:szCs w:val="20"/>
          <w:lang w:val="es-CL"/>
        </w:rPr>
        <w:t xml:space="preserve">objetó las declaraciones testimoniales de Federico Mariano Egea, Mirta del Carmen Fernández, María Rosa Mendoza, Sandra López, Enzo Ricardo Blanco, </w:t>
      </w:r>
      <w:r w:rsidR="00A04AB3">
        <w:rPr>
          <w:rFonts w:eastAsia="Times New Roman" w:cs="Verdana"/>
          <w:szCs w:val="20"/>
          <w:lang w:val="es-CL"/>
        </w:rPr>
        <w:t>Camila Andr</w:t>
      </w:r>
      <w:r w:rsidR="003016DF">
        <w:rPr>
          <w:rFonts w:eastAsia="Times New Roman" w:cs="Verdana"/>
          <w:szCs w:val="20"/>
          <w:lang w:val="es-CL"/>
        </w:rPr>
        <w:t>e</w:t>
      </w:r>
      <w:r w:rsidR="00A04AB3">
        <w:rPr>
          <w:rFonts w:eastAsia="Times New Roman" w:cs="Verdana"/>
          <w:szCs w:val="20"/>
          <w:lang w:val="es-CL"/>
        </w:rPr>
        <w:t xml:space="preserve">a Blanco, </w:t>
      </w:r>
      <w:r w:rsidR="005169CE" w:rsidRPr="00A04AB3">
        <w:rPr>
          <w:rFonts w:eastAsia="Times New Roman" w:cs="Verdana"/>
          <w:szCs w:val="20"/>
          <w:lang w:val="es-CL"/>
        </w:rPr>
        <w:t>Carina Maturana</w:t>
      </w:r>
      <w:r w:rsidR="00A04AB3">
        <w:rPr>
          <w:rFonts w:eastAsia="Times New Roman" w:cs="Verdana"/>
          <w:szCs w:val="20"/>
          <w:lang w:val="es-CL"/>
        </w:rPr>
        <w:t>,</w:t>
      </w:r>
      <w:r w:rsidR="00A04AB3" w:rsidRPr="00A04AB3">
        <w:rPr>
          <w:rFonts w:eastAsia="Times New Roman" w:cs="Verdana"/>
          <w:szCs w:val="20"/>
          <w:lang w:val="es-CL"/>
        </w:rPr>
        <w:t xml:space="preserve"> </w:t>
      </w:r>
      <w:r w:rsidR="00A04AB3">
        <w:rPr>
          <w:rFonts w:eastAsia="Times New Roman" w:cs="Verdana"/>
          <w:szCs w:val="20"/>
          <w:lang w:val="es-CL"/>
        </w:rPr>
        <w:t>Antonella Vanina Marcolini y Magdalena del Carmen Muñoz</w:t>
      </w:r>
      <w:r w:rsidR="008E3A1F" w:rsidRPr="00A04AB3">
        <w:rPr>
          <w:rFonts w:eastAsia="Times New Roman" w:cs="Verdana"/>
          <w:szCs w:val="20"/>
          <w:lang w:val="es-CL"/>
        </w:rPr>
        <w:t xml:space="preserve"> </w:t>
      </w:r>
      <w:r w:rsidR="00EB7F12" w:rsidRPr="00A04AB3">
        <w:rPr>
          <w:rFonts w:eastAsia="Times New Roman" w:cs="Verdana"/>
          <w:szCs w:val="20"/>
          <w:lang w:val="es-CL"/>
        </w:rPr>
        <w:t xml:space="preserve">ofrecidas </w:t>
      </w:r>
      <w:r w:rsidR="008E3A1F" w:rsidRPr="00A04AB3">
        <w:rPr>
          <w:rFonts w:eastAsia="Times New Roman" w:cs="Verdana"/>
          <w:szCs w:val="20"/>
          <w:lang w:val="es-CL"/>
        </w:rPr>
        <w:t>por los representantes.</w:t>
      </w:r>
      <w:r w:rsidRPr="00A04AB3">
        <w:t xml:space="preserve"> </w:t>
      </w:r>
      <w:bookmarkStart w:id="2" w:name="_Ref352070057"/>
    </w:p>
    <w:p w14:paraId="6F0759C9" w14:textId="77777777" w:rsidR="00DF1E41" w:rsidRPr="007B066C" w:rsidRDefault="00DF1E41" w:rsidP="00DF1E41">
      <w:pPr>
        <w:pStyle w:val="ListParagraph"/>
        <w:rPr>
          <w:highlight w:val="yellow"/>
        </w:rPr>
      </w:pPr>
    </w:p>
    <w:p w14:paraId="080C74AD" w14:textId="546CE372" w:rsidR="00DF1E41" w:rsidRPr="00BD53B0" w:rsidRDefault="00DF1E41" w:rsidP="00164AEF">
      <w:pPr>
        <w:pStyle w:val="ListParagraph"/>
        <w:numPr>
          <w:ilvl w:val="0"/>
          <w:numId w:val="10"/>
        </w:numPr>
        <w:tabs>
          <w:tab w:val="left" w:pos="0"/>
        </w:tabs>
        <w:ind w:left="0" w:firstLine="0"/>
        <w:contextualSpacing w:val="0"/>
        <w:rPr>
          <w:szCs w:val="20"/>
        </w:rPr>
      </w:pPr>
      <w:r w:rsidRPr="00BE5AE3">
        <w:t>En cuanto a la prueba pericial</w:t>
      </w:r>
      <w:r w:rsidR="008E3A1F" w:rsidRPr="00BE5AE3">
        <w:t xml:space="preserve"> y testimonial</w:t>
      </w:r>
      <w:r w:rsidRPr="00BE5AE3">
        <w:t xml:space="preserve"> ofrecida por </w:t>
      </w:r>
      <w:r w:rsidR="0006667F">
        <w:t>los representantes y la Comisión Interamericana</w:t>
      </w:r>
      <w:r w:rsidRPr="00BE5AE3">
        <w:t xml:space="preserve"> que no ha sido objetada, esta Presidencia considera conveniente </w:t>
      </w:r>
      <w:bookmarkEnd w:id="2"/>
      <w:r w:rsidRPr="00C203FB">
        <w:t>admit</w:t>
      </w:r>
      <w:r w:rsidR="000732DD">
        <w:t>ir</w:t>
      </w:r>
      <w:r w:rsidRPr="00C203FB">
        <w:t xml:space="preserve"> la declaración de </w:t>
      </w:r>
      <w:r w:rsidR="008E3A1F" w:rsidRPr="00C203FB">
        <w:t>la</w:t>
      </w:r>
      <w:r w:rsidR="00BD53B0" w:rsidRPr="00C203FB">
        <w:t>s</w:t>
      </w:r>
      <w:r w:rsidR="008E3A1F" w:rsidRPr="00C203FB">
        <w:t xml:space="preserve"> presunta</w:t>
      </w:r>
      <w:r w:rsidR="00BD53B0" w:rsidRPr="00C203FB">
        <w:t>s</w:t>
      </w:r>
      <w:r w:rsidR="008E3A1F" w:rsidRPr="00C203FB">
        <w:t xml:space="preserve"> víctima</w:t>
      </w:r>
      <w:r w:rsidR="00BD53B0" w:rsidRPr="00C203FB">
        <w:t>s Rolando Néstor Horacio López y Miguel Ángel González Mendoza, y de l</w:t>
      </w:r>
      <w:r w:rsidR="00290410">
        <w:t>a</w:t>
      </w:r>
      <w:r w:rsidR="00BD53B0" w:rsidRPr="00C203FB">
        <w:t xml:space="preserve"> perit</w:t>
      </w:r>
      <w:r w:rsidR="00290410">
        <w:t>a</w:t>
      </w:r>
      <w:r w:rsidR="00BD53B0" w:rsidRPr="00C203FB">
        <w:t xml:space="preserve"> Marta Monclus, propuest</w:t>
      </w:r>
      <w:r w:rsidR="00290410">
        <w:t>a</w:t>
      </w:r>
      <w:r w:rsidR="00BD53B0" w:rsidRPr="00C203FB">
        <w:t xml:space="preserve"> por los representantes. Así como la declaración del perito Migu</w:t>
      </w:r>
      <w:r w:rsidR="00BD53B0">
        <w:t xml:space="preserve">el Sarre, propuesto por la Comisión. </w:t>
      </w:r>
      <w:r w:rsidR="006D2E6C">
        <w:t xml:space="preserve">La Comisión podrá interrogar únicamente a su perito Miguel Sarre. </w:t>
      </w:r>
      <w:r w:rsidRPr="00BE5AE3">
        <w:t>El objeto de est</w:t>
      </w:r>
      <w:r w:rsidR="008E3A1F" w:rsidRPr="00BE5AE3">
        <w:t>as declaraciones y</w:t>
      </w:r>
      <w:r w:rsidRPr="00BE5AE3">
        <w:t xml:space="preserve"> dictámenes periciales y la modalidad en que serán recibidos se determinarán en la parte resolutiva de esta decisión (</w:t>
      </w:r>
      <w:r w:rsidRPr="00BD53B0">
        <w:rPr>
          <w:i/>
        </w:rPr>
        <w:t xml:space="preserve">infra </w:t>
      </w:r>
      <w:r w:rsidRPr="00BE5AE3">
        <w:t xml:space="preserve">puntos resolutivos </w:t>
      </w:r>
      <w:r w:rsidR="005309E9" w:rsidRPr="00BE5AE3">
        <w:t>1 y 2</w:t>
      </w:r>
      <w:r w:rsidRPr="00BE5AE3">
        <w:t>).</w:t>
      </w:r>
      <w:r w:rsidR="006D2E6C">
        <w:t xml:space="preserve"> </w:t>
      </w:r>
    </w:p>
    <w:p w14:paraId="60E4BFAD" w14:textId="77777777" w:rsidR="00D1384D" w:rsidRPr="006A1FEA" w:rsidRDefault="00D1384D" w:rsidP="00DA3519">
      <w:pPr>
        <w:pStyle w:val="ListParagraph"/>
        <w:tabs>
          <w:tab w:val="left" w:pos="0"/>
        </w:tabs>
        <w:ind w:left="0"/>
        <w:contextualSpacing w:val="0"/>
        <w:rPr>
          <w:szCs w:val="20"/>
        </w:rPr>
      </w:pPr>
    </w:p>
    <w:p w14:paraId="429A3DD8" w14:textId="04943C68" w:rsidR="00D1384D" w:rsidRPr="006A1FEA" w:rsidRDefault="00D1384D" w:rsidP="00E77B4C">
      <w:pPr>
        <w:pStyle w:val="ListParagraph"/>
        <w:numPr>
          <w:ilvl w:val="0"/>
          <w:numId w:val="10"/>
        </w:numPr>
        <w:tabs>
          <w:tab w:val="left" w:pos="0"/>
        </w:tabs>
        <w:autoSpaceDE w:val="0"/>
        <w:autoSpaceDN w:val="0"/>
        <w:adjustRightInd w:val="0"/>
        <w:ind w:left="0" w:firstLine="0"/>
        <w:contextualSpacing w:val="0"/>
        <w:rPr>
          <w:szCs w:val="20"/>
        </w:rPr>
      </w:pPr>
      <w:r w:rsidRPr="006A1FEA">
        <w:rPr>
          <w:szCs w:val="20"/>
        </w:rPr>
        <w:t xml:space="preserve">A continuación </w:t>
      </w:r>
      <w:r w:rsidR="00C538F1">
        <w:rPr>
          <w:szCs w:val="20"/>
        </w:rPr>
        <w:t xml:space="preserve">esa Resolución </w:t>
      </w:r>
      <w:r w:rsidRPr="006A1FEA">
        <w:rPr>
          <w:szCs w:val="20"/>
        </w:rPr>
        <w:t>examinará</w:t>
      </w:r>
      <w:r w:rsidR="008E3A1F" w:rsidRPr="006A1FEA">
        <w:rPr>
          <w:szCs w:val="20"/>
        </w:rPr>
        <w:t>:</w:t>
      </w:r>
      <w:r w:rsidRPr="006A1FEA">
        <w:rPr>
          <w:szCs w:val="20"/>
        </w:rPr>
        <w:t xml:space="preserve"> A) </w:t>
      </w:r>
      <w:r w:rsidR="008E3A1F" w:rsidRPr="006A1FEA">
        <w:rPr>
          <w:bCs/>
          <w:iCs/>
          <w:szCs w:val="20"/>
        </w:rPr>
        <w:t xml:space="preserve">las </w:t>
      </w:r>
      <w:r w:rsidR="00BC243D" w:rsidRPr="006A1FEA">
        <w:rPr>
          <w:bCs/>
          <w:iCs/>
          <w:szCs w:val="20"/>
        </w:rPr>
        <w:t>ob</w:t>
      </w:r>
      <w:r w:rsidR="00BE5AE3">
        <w:rPr>
          <w:bCs/>
          <w:iCs/>
          <w:szCs w:val="20"/>
        </w:rPr>
        <w:t>jeciones</w:t>
      </w:r>
      <w:r w:rsidR="00942EA7" w:rsidRPr="006A1FEA">
        <w:rPr>
          <w:bCs/>
          <w:iCs/>
          <w:szCs w:val="20"/>
        </w:rPr>
        <w:t xml:space="preserve"> del Estado a </w:t>
      </w:r>
      <w:r w:rsidR="008E3A1F" w:rsidRPr="006A1FEA">
        <w:rPr>
          <w:bCs/>
          <w:iCs/>
          <w:szCs w:val="20"/>
        </w:rPr>
        <w:t>los t</w:t>
      </w:r>
      <w:r w:rsidR="00942EA7" w:rsidRPr="006A1FEA">
        <w:rPr>
          <w:bCs/>
          <w:iCs/>
          <w:szCs w:val="20"/>
        </w:rPr>
        <w:t>estigos ofrecidos por los representantes</w:t>
      </w:r>
      <w:r w:rsidR="00C538F1">
        <w:rPr>
          <w:bCs/>
          <w:iCs/>
          <w:szCs w:val="20"/>
        </w:rPr>
        <w:t>,</w:t>
      </w:r>
      <w:r w:rsidR="008E3A1F" w:rsidRPr="006A1FEA">
        <w:rPr>
          <w:bCs/>
          <w:iCs/>
          <w:szCs w:val="20"/>
        </w:rPr>
        <w:t xml:space="preserve"> </w:t>
      </w:r>
      <w:r w:rsidR="00BE5AE3">
        <w:rPr>
          <w:bCs/>
          <w:iCs/>
          <w:szCs w:val="20"/>
        </w:rPr>
        <w:t>y</w:t>
      </w:r>
      <w:r w:rsidR="00A12940">
        <w:rPr>
          <w:bCs/>
          <w:iCs/>
          <w:szCs w:val="20"/>
        </w:rPr>
        <w:t xml:space="preserve"> </w:t>
      </w:r>
      <w:r w:rsidR="007873FE">
        <w:rPr>
          <w:bCs/>
          <w:iCs/>
          <w:szCs w:val="20"/>
        </w:rPr>
        <w:t>B) el ofrecimiento pericial de los representantes, y C</w:t>
      </w:r>
      <w:r w:rsidR="00942EA7" w:rsidRPr="006A1FEA">
        <w:rPr>
          <w:bCs/>
          <w:iCs/>
          <w:szCs w:val="20"/>
        </w:rPr>
        <w:t xml:space="preserve">) </w:t>
      </w:r>
      <w:r w:rsidR="00B14B4C" w:rsidRPr="006A1FEA">
        <w:rPr>
          <w:szCs w:val="20"/>
        </w:rPr>
        <w:t xml:space="preserve">la aplicación del Fondo de Asistencia Legal de Víctimas </w:t>
      </w:r>
      <w:r w:rsidR="008E3A1F" w:rsidRPr="006A1FEA">
        <w:rPr>
          <w:szCs w:val="20"/>
        </w:rPr>
        <w:t>de</w:t>
      </w:r>
      <w:r w:rsidR="00B14B4C" w:rsidRPr="006A1FEA">
        <w:rPr>
          <w:szCs w:val="20"/>
        </w:rPr>
        <w:t xml:space="preserve"> la Corte </w:t>
      </w:r>
      <w:r w:rsidR="008E3A1F" w:rsidRPr="006A1FEA">
        <w:rPr>
          <w:szCs w:val="20"/>
        </w:rPr>
        <w:t>(</w:t>
      </w:r>
      <w:r w:rsidR="00B14B4C" w:rsidRPr="006A1FEA">
        <w:rPr>
          <w:szCs w:val="20"/>
        </w:rPr>
        <w:t>en adelante “Fondo de Asistencia Legal de Víctimas</w:t>
      </w:r>
      <w:r w:rsidR="00495940" w:rsidRPr="006A1FEA">
        <w:rPr>
          <w:szCs w:val="20"/>
        </w:rPr>
        <w:t>”</w:t>
      </w:r>
      <w:r w:rsidR="00B14B4C" w:rsidRPr="006A1FEA">
        <w:rPr>
          <w:szCs w:val="20"/>
        </w:rPr>
        <w:t>, “Fondo de Asistencia” o “Fondo”</w:t>
      </w:r>
      <w:r w:rsidR="008E3A1F" w:rsidRPr="006A1FEA">
        <w:rPr>
          <w:szCs w:val="20"/>
        </w:rPr>
        <w:t>).</w:t>
      </w:r>
    </w:p>
    <w:p w14:paraId="324353D2" w14:textId="77777777" w:rsidR="00942EA7" w:rsidRPr="006A1FEA" w:rsidRDefault="00942EA7" w:rsidP="00E77B4C">
      <w:pPr>
        <w:pStyle w:val="ListParagraph"/>
        <w:tabs>
          <w:tab w:val="left" w:pos="0"/>
        </w:tabs>
        <w:ind w:left="0"/>
        <w:contextualSpacing w:val="0"/>
        <w:rPr>
          <w:szCs w:val="20"/>
        </w:rPr>
      </w:pPr>
    </w:p>
    <w:p w14:paraId="4609B28A" w14:textId="5BA00547" w:rsidR="000A4BAD" w:rsidRPr="00BF3DF7" w:rsidRDefault="007D1429" w:rsidP="00B456A2">
      <w:pPr>
        <w:pStyle w:val="Heading2"/>
      </w:pPr>
      <w:r w:rsidRPr="00BF3DF7">
        <w:rPr>
          <w:i w:val="0"/>
        </w:rPr>
        <w:t>Observaciones</w:t>
      </w:r>
      <w:r w:rsidR="005E06D9" w:rsidRPr="00BF3DF7">
        <w:rPr>
          <w:i w:val="0"/>
        </w:rPr>
        <w:t xml:space="preserve"> y objeciones</w:t>
      </w:r>
      <w:r w:rsidR="000A4BAD" w:rsidRPr="00BF3DF7">
        <w:rPr>
          <w:i w:val="0"/>
        </w:rPr>
        <w:t xml:space="preserve"> del Estado a </w:t>
      </w:r>
      <w:r w:rsidR="00DA3519" w:rsidRPr="00BF3DF7">
        <w:rPr>
          <w:i w:val="0"/>
        </w:rPr>
        <w:t>t</w:t>
      </w:r>
      <w:r w:rsidR="000A4BAD" w:rsidRPr="00BF3DF7">
        <w:rPr>
          <w:i w:val="0"/>
        </w:rPr>
        <w:t>estigos ofrecidos por los representantes</w:t>
      </w:r>
    </w:p>
    <w:p w14:paraId="7D134394" w14:textId="77777777" w:rsidR="000A4BAD" w:rsidRPr="00BF3DF7" w:rsidRDefault="000A4BAD" w:rsidP="00E77B4C">
      <w:pPr>
        <w:tabs>
          <w:tab w:val="left" w:pos="0"/>
        </w:tabs>
        <w:autoSpaceDE w:val="0"/>
        <w:autoSpaceDN w:val="0"/>
        <w:adjustRightInd w:val="0"/>
        <w:rPr>
          <w:bCs/>
          <w:iCs/>
          <w:szCs w:val="20"/>
        </w:rPr>
      </w:pPr>
    </w:p>
    <w:p w14:paraId="1B5C3E7B" w14:textId="5644034D" w:rsidR="00BF3DF7" w:rsidRPr="00BF3DF7" w:rsidRDefault="001E27E6" w:rsidP="00A12940">
      <w:pPr>
        <w:pStyle w:val="ListParagraph"/>
        <w:numPr>
          <w:ilvl w:val="0"/>
          <w:numId w:val="10"/>
        </w:numPr>
        <w:tabs>
          <w:tab w:val="left" w:pos="0"/>
        </w:tabs>
        <w:autoSpaceDE w:val="0"/>
        <w:autoSpaceDN w:val="0"/>
        <w:adjustRightInd w:val="0"/>
        <w:ind w:left="0" w:firstLine="0"/>
        <w:rPr>
          <w:bCs/>
          <w:iCs/>
          <w:szCs w:val="20"/>
        </w:rPr>
      </w:pPr>
      <w:r w:rsidRPr="00BF3DF7">
        <w:rPr>
          <w:bCs/>
          <w:iCs/>
          <w:szCs w:val="20"/>
        </w:rPr>
        <w:t>El</w:t>
      </w:r>
      <w:r w:rsidRPr="00BF3DF7">
        <w:rPr>
          <w:b/>
          <w:bCs/>
          <w:iCs/>
          <w:szCs w:val="20"/>
        </w:rPr>
        <w:t xml:space="preserve"> </w:t>
      </w:r>
      <w:r w:rsidRPr="00BF3DF7">
        <w:rPr>
          <w:b/>
          <w:bCs/>
          <w:i/>
          <w:iCs/>
          <w:szCs w:val="20"/>
        </w:rPr>
        <w:t>Estado</w:t>
      </w:r>
      <w:r w:rsidRPr="00BF3DF7">
        <w:rPr>
          <w:bCs/>
          <w:iCs/>
          <w:szCs w:val="20"/>
        </w:rPr>
        <w:t xml:space="preserve"> </w:t>
      </w:r>
      <w:r w:rsidR="00A33EFD" w:rsidRPr="00BF3DF7">
        <w:rPr>
          <w:bCs/>
          <w:iCs/>
          <w:szCs w:val="20"/>
        </w:rPr>
        <w:t xml:space="preserve">presentó objeciones a algunas declaraciones testimoniales ofrecidas por los representantes. En primer lugar, consideró que </w:t>
      </w:r>
      <w:r w:rsidRPr="00BF3DF7">
        <w:rPr>
          <w:bCs/>
          <w:iCs/>
          <w:szCs w:val="20"/>
        </w:rPr>
        <w:t>la</w:t>
      </w:r>
      <w:r w:rsidR="00C538F1">
        <w:rPr>
          <w:bCs/>
          <w:iCs/>
          <w:szCs w:val="20"/>
        </w:rPr>
        <w:t>s</w:t>
      </w:r>
      <w:r w:rsidRPr="00BF3DF7">
        <w:rPr>
          <w:bCs/>
          <w:iCs/>
          <w:szCs w:val="20"/>
        </w:rPr>
        <w:t xml:space="preserve"> </w:t>
      </w:r>
      <w:r w:rsidR="00C538F1">
        <w:rPr>
          <w:bCs/>
          <w:iCs/>
          <w:szCs w:val="20"/>
        </w:rPr>
        <w:t xml:space="preserve">declaraciones </w:t>
      </w:r>
      <w:r w:rsidRPr="00BF3DF7">
        <w:rPr>
          <w:bCs/>
          <w:iCs/>
          <w:szCs w:val="20"/>
        </w:rPr>
        <w:t xml:space="preserve">de </w:t>
      </w:r>
      <w:r w:rsidR="00C538F1" w:rsidRPr="00BF3DF7">
        <w:rPr>
          <w:bCs/>
          <w:iCs/>
          <w:szCs w:val="20"/>
        </w:rPr>
        <w:t>Sandra López</w:t>
      </w:r>
      <w:r w:rsidR="00C538F1">
        <w:rPr>
          <w:bCs/>
          <w:iCs/>
          <w:szCs w:val="20"/>
        </w:rPr>
        <w:t xml:space="preserve">, </w:t>
      </w:r>
      <w:r w:rsidR="00BF3DF7" w:rsidRPr="00BF3DF7">
        <w:rPr>
          <w:bCs/>
          <w:iCs/>
          <w:szCs w:val="20"/>
        </w:rPr>
        <w:t>Federico Mariano Egea, Mirta del Carmen Fernández, Enzo Ricardo Blanco y Cami</w:t>
      </w:r>
      <w:r w:rsidR="00C538F1">
        <w:rPr>
          <w:bCs/>
          <w:iCs/>
          <w:szCs w:val="20"/>
        </w:rPr>
        <w:t>l</w:t>
      </w:r>
      <w:r w:rsidR="00BF3DF7" w:rsidRPr="00BF3DF7">
        <w:rPr>
          <w:bCs/>
          <w:iCs/>
          <w:szCs w:val="20"/>
        </w:rPr>
        <w:t>a Andrea Blanco,</w:t>
      </w:r>
      <w:r w:rsidRPr="00BF3DF7">
        <w:rPr>
          <w:bCs/>
          <w:iCs/>
          <w:szCs w:val="20"/>
        </w:rPr>
        <w:t xml:space="preserve"> debe</w:t>
      </w:r>
      <w:r w:rsidR="000732DD">
        <w:rPr>
          <w:bCs/>
          <w:iCs/>
          <w:szCs w:val="20"/>
        </w:rPr>
        <w:t>n</w:t>
      </w:r>
      <w:r w:rsidRPr="00BF3DF7">
        <w:rPr>
          <w:bCs/>
          <w:iCs/>
          <w:szCs w:val="20"/>
        </w:rPr>
        <w:t xml:space="preserve"> ser desestimada</w:t>
      </w:r>
      <w:r w:rsidR="000732DD">
        <w:rPr>
          <w:bCs/>
          <w:iCs/>
          <w:szCs w:val="20"/>
        </w:rPr>
        <w:t>s</w:t>
      </w:r>
      <w:r w:rsidRPr="00BF3DF7">
        <w:rPr>
          <w:bCs/>
          <w:iCs/>
          <w:szCs w:val="20"/>
        </w:rPr>
        <w:t xml:space="preserve"> por la Corte pues</w:t>
      </w:r>
      <w:r w:rsidR="00BF3DF7" w:rsidRPr="00BF3DF7">
        <w:rPr>
          <w:bCs/>
          <w:iCs/>
          <w:szCs w:val="20"/>
        </w:rPr>
        <w:t xml:space="preserve"> considera que nada aporta</w:t>
      </w:r>
      <w:r w:rsidR="00290410">
        <w:rPr>
          <w:bCs/>
          <w:iCs/>
          <w:szCs w:val="20"/>
        </w:rPr>
        <w:t>n</w:t>
      </w:r>
      <w:r w:rsidR="00BF3DF7" w:rsidRPr="00BF3DF7">
        <w:rPr>
          <w:bCs/>
          <w:iCs/>
          <w:szCs w:val="20"/>
        </w:rPr>
        <w:t xml:space="preserve"> en relación al objeto del caso.</w:t>
      </w:r>
    </w:p>
    <w:p w14:paraId="6ED9F973" w14:textId="77777777" w:rsidR="00BF3DF7" w:rsidRPr="00BF3DF7" w:rsidRDefault="00BF3DF7" w:rsidP="00BF3DF7">
      <w:pPr>
        <w:pStyle w:val="ListParagraph"/>
        <w:tabs>
          <w:tab w:val="left" w:pos="0"/>
        </w:tabs>
        <w:autoSpaceDE w:val="0"/>
        <w:autoSpaceDN w:val="0"/>
        <w:adjustRightInd w:val="0"/>
        <w:ind w:left="0"/>
        <w:rPr>
          <w:bCs/>
          <w:iCs/>
          <w:szCs w:val="20"/>
        </w:rPr>
      </w:pPr>
    </w:p>
    <w:p w14:paraId="215C8A13" w14:textId="062375C6" w:rsidR="00BF3DF7" w:rsidRPr="00BF3DF7" w:rsidRDefault="00B0204B" w:rsidP="00BF3DF7">
      <w:pPr>
        <w:pStyle w:val="ListParagraph"/>
        <w:numPr>
          <w:ilvl w:val="0"/>
          <w:numId w:val="10"/>
        </w:numPr>
        <w:tabs>
          <w:tab w:val="left" w:pos="0"/>
        </w:tabs>
        <w:autoSpaceDE w:val="0"/>
        <w:autoSpaceDN w:val="0"/>
        <w:adjustRightInd w:val="0"/>
        <w:ind w:left="0" w:firstLine="0"/>
        <w:rPr>
          <w:bCs/>
          <w:iCs/>
          <w:szCs w:val="20"/>
        </w:rPr>
      </w:pPr>
      <w:r w:rsidRPr="00BF3DF7">
        <w:rPr>
          <w:bCs/>
          <w:iCs/>
          <w:szCs w:val="20"/>
        </w:rPr>
        <w:t>Por otra parte,</w:t>
      </w:r>
      <w:r w:rsidR="00BF3DF7" w:rsidRPr="00BF3DF7">
        <w:rPr>
          <w:bCs/>
          <w:iCs/>
          <w:szCs w:val="20"/>
        </w:rPr>
        <w:t xml:space="preserve"> Argentina consideró que la</w:t>
      </w:r>
      <w:r w:rsidR="00C538F1">
        <w:rPr>
          <w:bCs/>
          <w:iCs/>
          <w:szCs w:val="20"/>
        </w:rPr>
        <w:t>s declaraciones</w:t>
      </w:r>
      <w:r w:rsidR="00BF3DF7" w:rsidRPr="00BF3DF7">
        <w:rPr>
          <w:bCs/>
          <w:iCs/>
          <w:szCs w:val="20"/>
        </w:rPr>
        <w:t xml:space="preserve"> de María Rosa Mendoza, Carina Maturana, Antonella, Vanina Marcolini y </w:t>
      </w:r>
      <w:r w:rsidR="00BF3DF7">
        <w:rPr>
          <w:bCs/>
          <w:iCs/>
          <w:szCs w:val="20"/>
        </w:rPr>
        <w:t>Magdalena del Carmen Mu</w:t>
      </w:r>
      <w:r w:rsidR="002C696D">
        <w:rPr>
          <w:bCs/>
          <w:iCs/>
          <w:szCs w:val="20"/>
        </w:rPr>
        <w:t>ñ</w:t>
      </w:r>
      <w:r w:rsidR="00BF3DF7">
        <w:rPr>
          <w:bCs/>
          <w:iCs/>
          <w:szCs w:val="20"/>
        </w:rPr>
        <w:t>oz, debe</w:t>
      </w:r>
      <w:r w:rsidR="00C538F1">
        <w:rPr>
          <w:bCs/>
          <w:iCs/>
          <w:szCs w:val="20"/>
        </w:rPr>
        <w:t>n</w:t>
      </w:r>
      <w:r w:rsidR="00BF3DF7">
        <w:rPr>
          <w:bCs/>
          <w:iCs/>
          <w:szCs w:val="20"/>
        </w:rPr>
        <w:t xml:space="preserve"> ser desestimada</w:t>
      </w:r>
      <w:r w:rsidR="00C538F1">
        <w:rPr>
          <w:bCs/>
          <w:iCs/>
          <w:szCs w:val="20"/>
        </w:rPr>
        <w:t>s</w:t>
      </w:r>
      <w:r w:rsidR="00BF3DF7">
        <w:rPr>
          <w:bCs/>
          <w:iCs/>
          <w:szCs w:val="20"/>
        </w:rPr>
        <w:t xml:space="preserve"> por la Corte </w:t>
      </w:r>
      <w:r w:rsidR="00BF3DF7" w:rsidRPr="00BF3DF7">
        <w:rPr>
          <w:bCs/>
          <w:iCs/>
          <w:szCs w:val="20"/>
        </w:rPr>
        <w:t>dado que entiende que estas han sido ajenas al proceso ante la Comisión Interamericana, y no se encuentran identificadas en el Informe de Fondo entre las presuntas víctimas del caso.</w:t>
      </w:r>
    </w:p>
    <w:p w14:paraId="6D70F3E6" w14:textId="77777777" w:rsidR="004B1C29" w:rsidRPr="00BE5AE3" w:rsidRDefault="004B1C29" w:rsidP="00A12940">
      <w:pPr>
        <w:pStyle w:val="ListParagraph"/>
        <w:tabs>
          <w:tab w:val="left" w:pos="0"/>
        </w:tabs>
        <w:autoSpaceDE w:val="0"/>
        <w:autoSpaceDN w:val="0"/>
        <w:adjustRightInd w:val="0"/>
        <w:ind w:left="0"/>
        <w:rPr>
          <w:bCs/>
          <w:iCs/>
          <w:szCs w:val="20"/>
          <w:highlight w:val="yellow"/>
        </w:rPr>
      </w:pPr>
    </w:p>
    <w:p w14:paraId="1E91609C" w14:textId="016C7680" w:rsidR="00EE293B" w:rsidRPr="00AF23C4" w:rsidRDefault="004B1C29" w:rsidP="00A12940">
      <w:pPr>
        <w:pStyle w:val="ListParagraph"/>
        <w:numPr>
          <w:ilvl w:val="0"/>
          <w:numId w:val="10"/>
        </w:numPr>
        <w:tabs>
          <w:tab w:val="left" w:pos="0"/>
        </w:tabs>
        <w:autoSpaceDE w:val="0"/>
        <w:autoSpaceDN w:val="0"/>
        <w:adjustRightInd w:val="0"/>
        <w:ind w:left="0" w:firstLine="0"/>
      </w:pPr>
      <w:r w:rsidRPr="006B020C">
        <w:rPr>
          <w:bCs/>
          <w:iCs/>
          <w:szCs w:val="20"/>
        </w:rPr>
        <w:t xml:space="preserve">La Presidencia observa que las objeciones del Estado no apuntan directamente a la inadmisibilidad de los testimonios indicados </w:t>
      </w:r>
      <w:r w:rsidRPr="006B020C">
        <w:rPr>
          <w:bCs/>
          <w:i/>
          <w:iCs/>
          <w:szCs w:val="20"/>
        </w:rPr>
        <w:t>supra</w:t>
      </w:r>
      <w:r w:rsidR="006B020C" w:rsidRPr="006B020C">
        <w:rPr>
          <w:bCs/>
          <w:i/>
          <w:iCs/>
          <w:szCs w:val="20"/>
        </w:rPr>
        <w:t xml:space="preserve"> </w:t>
      </w:r>
      <w:r w:rsidR="006B020C" w:rsidRPr="00C538F1">
        <w:rPr>
          <w:bCs/>
          <w:iCs/>
          <w:szCs w:val="20"/>
        </w:rPr>
        <w:t>párr.</w:t>
      </w:r>
      <w:r w:rsidR="006B020C" w:rsidRPr="006B020C">
        <w:rPr>
          <w:bCs/>
          <w:i/>
          <w:iCs/>
          <w:szCs w:val="20"/>
        </w:rPr>
        <w:t xml:space="preserve"> </w:t>
      </w:r>
      <w:r w:rsidR="00C538F1">
        <w:rPr>
          <w:bCs/>
          <w:iCs/>
          <w:szCs w:val="20"/>
        </w:rPr>
        <w:t>10</w:t>
      </w:r>
      <w:r w:rsidRPr="006B020C">
        <w:rPr>
          <w:bCs/>
          <w:iCs/>
          <w:szCs w:val="20"/>
        </w:rPr>
        <w:t xml:space="preserve">, sino a su contenido u objeto. </w:t>
      </w:r>
      <w:r w:rsidR="00386C60" w:rsidRPr="006B020C">
        <w:rPr>
          <w:bCs/>
          <w:iCs/>
          <w:szCs w:val="20"/>
        </w:rPr>
        <w:t>En relación con la objeción a la</w:t>
      </w:r>
      <w:r w:rsidR="006B020C" w:rsidRPr="006B020C">
        <w:rPr>
          <w:bCs/>
          <w:iCs/>
          <w:szCs w:val="20"/>
        </w:rPr>
        <w:t>s</w:t>
      </w:r>
      <w:r w:rsidR="00386C60" w:rsidRPr="006B020C">
        <w:rPr>
          <w:bCs/>
          <w:iCs/>
          <w:szCs w:val="20"/>
        </w:rPr>
        <w:t xml:space="preserve"> declaraci</w:t>
      </w:r>
      <w:r w:rsidR="006B020C" w:rsidRPr="006B020C">
        <w:rPr>
          <w:bCs/>
          <w:iCs/>
          <w:szCs w:val="20"/>
        </w:rPr>
        <w:t>ones en referencia</w:t>
      </w:r>
      <w:r w:rsidR="00386C60" w:rsidRPr="006B020C">
        <w:rPr>
          <w:bCs/>
          <w:iCs/>
          <w:szCs w:val="20"/>
        </w:rPr>
        <w:t xml:space="preserve">, </w:t>
      </w:r>
      <w:r w:rsidRPr="006B020C">
        <w:rPr>
          <w:bCs/>
          <w:iCs/>
          <w:szCs w:val="20"/>
        </w:rPr>
        <w:t xml:space="preserve">la </w:t>
      </w:r>
      <w:r w:rsidR="00386C60" w:rsidRPr="006B020C">
        <w:rPr>
          <w:bCs/>
          <w:iCs/>
          <w:szCs w:val="20"/>
        </w:rPr>
        <w:t>Presidencia considera que</w:t>
      </w:r>
      <w:r w:rsidR="00C538F1">
        <w:rPr>
          <w:bCs/>
          <w:iCs/>
          <w:szCs w:val="20"/>
        </w:rPr>
        <w:t xml:space="preserve"> el Estado no cumplió la carga de argumentar la razón por la </w:t>
      </w:r>
      <w:r w:rsidR="002C696D">
        <w:rPr>
          <w:bCs/>
          <w:iCs/>
          <w:szCs w:val="20"/>
        </w:rPr>
        <w:t>cual</w:t>
      </w:r>
      <w:r w:rsidR="00C538F1">
        <w:rPr>
          <w:bCs/>
          <w:iCs/>
          <w:szCs w:val="20"/>
        </w:rPr>
        <w:t xml:space="preserve"> dichas declaraciones no aportarían a la resolución del caso. Asimismo, el hecho de que algunos declarantes</w:t>
      </w:r>
      <w:r w:rsidR="00290410">
        <w:rPr>
          <w:bCs/>
          <w:iCs/>
          <w:szCs w:val="20"/>
        </w:rPr>
        <w:t xml:space="preserve"> no</w:t>
      </w:r>
      <w:r w:rsidR="00C538F1">
        <w:rPr>
          <w:bCs/>
          <w:iCs/>
          <w:szCs w:val="20"/>
        </w:rPr>
        <w:t xml:space="preserve"> hayan sido </w:t>
      </w:r>
      <w:r w:rsidR="002C696D">
        <w:rPr>
          <w:bCs/>
          <w:iCs/>
          <w:szCs w:val="20"/>
        </w:rPr>
        <w:t xml:space="preserve">ofrecidos como presuntas víctimas no resulta suficiente para desestimar la recepción de sus testimonios. </w:t>
      </w:r>
      <w:r w:rsidR="006A507A" w:rsidRPr="006B020C">
        <w:rPr>
          <w:bCs/>
          <w:iCs/>
          <w:szCs w:val="20"/>
          <w:lang w:val="es-ES"/>
        </w:rPr>
        <w:t>De conformidad con</w:t>
      </w:r>
      <w:r w:rsidR="006A507A" w:rsidRPr="006B020C">
        <w:rPr>
          <w:bCs/>
          <w:iCs/>
          <w:szCs w:val="20"/>
        </w:rPr>
        <w:t xml:space="preserve"> </w:t>
      </w:r>
      <w:r w:rsidRPr="006B020C">
        <w:rPr>
          <w:bCs/>
          <w:iCs/>
          <w:szCs w:val="20"/>
        </w:rPr>
        <w:t>lo anterior, la Presidencia decide admitir dicha</w:t>
      </w:r>
      <w:r w:rsidR="003668FE" w:rsidRPr="006B020C">
        <w:rPr>
          <w:bCs/>
          <w:iCs/>
          <w:szCs w:val="20"/>
        </w:rPr>
        <w:t>s</w:t>
      </w:r>
      <w:r w:rsidRPr="006B020C">
        <w:rPr>
          <w:bCs/>
          <w:iCs/>
          <w:szCs w:val="20"/>
        </w:rPr>
        <w:t xml:space="preserve"> declaraciones. Los objetos y modalidades serán determinados en la parte resolutiva de la presente Resolución (</w:t>
      </w:r>
      <w:r w:rsidRPr="006B020C">
        <w:rPr>
          <w:bCs/>
          <w:i/>
          <w:iCs/>
          <w:szCs w:val="20"/>
        </w:rPr>
        <w:t>infra</w:t>
      </w:r>
      <w:r w:rsidRPr="006B020C">
        <w:rPr>
          <w:bCs/>
          <w:iCs/>
          <w:szCs w:val="20"/>
        </w:rPr>
        <w:t xml:space="preserve"> punto resolutivo </w:t>
      </w:r>
      <w:r w:rsidR="002C696D">
        <w:rPr>
          <w:bCs/>
          <w:iCs/>
          <w:szCs w:val="20"/>
        </w:rPr>
        <w:t>1 y 2</w:t>
      </w:r>
      <w:r w:rsidRPr="006B020C">
        <w:rPr>
          <w:bCs/>
          <w:iCs/>
          <w:szCs w:val="20"/>
        </w:rPr>
        <w:t>)</w:t>
      </w:r>
      <w:r w:rsidR="003668FE" w:rsidRPr="006B020C">
        <w:rPr>
          <w:bCs/>
          <w:iCs/>
          <w:szCs w:val="20"/>
        </w:rPr>
        <w:t>, tomando en consideración las observaciones del Estado al respecto</w:t>
      </w:r>
      <w:r w:rsidRPr="006B020C">
        <w:rPr>
          <w:bCs/>
          <w:iCs/>
          <w:szCs w:val="20"/>
        </w:rPr>
        <w:t>.</w:t>
      </w:r>
      <w:r w:rsidR="00386C60" w:rsidRPr="006B020C">
        <w:rPr>
          <w:bCs/>
          <w:iCs/>
          <w:szCs w:val="20"/>
        </w:rPr>
        <w:t xml:space="preserve">   </w:t>
      </w:r>
    </w:p>
    <w:p w14:paraId="5EEBE1CE" w14:textId="77777777" w:rsidR="00AF23C4" w:rsidRDefault="00AF23C4" w:rsidP="00AF23C4">
      <w:pPr>
        <w:pStyle w:val="ListParagraph"/>
      </w:pPr>
    </w:p>
    <w:p w14:paraId="75AA2028" w14:textId="5636A882" w:rsidR="007873FE" w:rsidRPr="007873FE" w:rsidRDefault="007873FE" w:rsidP="007873FE">
      <w:pPr>
        <w:pStyle w:val="Heading2"/>
        <w:rPr>
          <w:lang w:val="es-ES"/>
        </w:rPr>
      </w:pPr>
      <w:r>
        <w:rPr>
          <w:lang w:val="es-ES"/>
        </w:rPr>
        <w:t>Ofrecimiento pericial de los representantes</w:t>
      </w:r>
    </w:p>
    <w:p w14:paraId="143C55C1" w14:textId="77777777" w:rsidR="007873FE" w:rsidRDefault="007873FE" w:rsidP="007873FE">
      <w:pPr>
        <w:pStyle w:val="ListParagraph"/>
        <w:ind w:left="0"/>
        <w:rPr>
          <w:lang w:val="es-ES"/>
        </w:rPr>
      </w:pPr>
    </w:p>
    <w:p w14:paraId="70D8914E" w14:textId="0A3F8C59" w:rsidR="007873FE" w:rsidRDefault="007873FE" w:rsidP="007873FE">
      <w:pPr>
        <w:pStyle w:val="ListParagraph"/>
        <w:numPr>
          <w:ilvl w:val="0"/>
          <w:numId w:val="10"/>
        </w:numPr>
        <w:ind w:left="0" w:firstLine="0"/>
        <w:rPr>
          <w:lang w:val="es-ES"/>
        </w:rPr>
      </w:pPr>
      <w:r>
        <w:rPr>
          <w:lang w:val="es-ES"/>
        </w:rPr>
        <w:t xml:space="preserve">En </w:t>
      </w:r>
      <w:r w:rsidR="000732DD">
        <w:rPr>
          <w:lang w:val="es-ES"/>
        </w:rPr>
        <w:t xml:space="preserve">su </w:t>
      </w:r>
      <w:r>
        <w:rPr>
          <w:lang w:val="es-ES"/>
        </w:rPr>
        <w:t xml:space="preserve">escrito de solicitudes, argumentos y pruebas, los representantes ofrecieron la declaración pericial del señor Eduardo Aguirre, Defensor General de la Provincia de La Pampa. Sin embargo, al revisar el expediente del caso, se observa que el señor Eduardo Aguirre remitió un escrito de </w:t>
      </w:r>
      <w:r>
        <w:rPr>
          <w:i/>
          <w:lang w:val="es-ES"/>
        </w:rPr>
        <w:t>amicus curiae</w:t>
      </w:r>
      <w:r>
        <w:rPr>
          <w:lang w:val="es-ES"/>
        </w:rPr>
        <w:t xml:space="preserve"> durante el trámite del presente caso ante la Comisión Interamericana el 27 de julio de 2012. </w:t>
      </w:r>
    </w:p>
    <w:p w14:paraId="7B53AB90" w14:textId="7C952BB9" w:rsidR="007873FE" w:rsidRDefault="007873FE" w:rsidP="007873FE">
      <w:pPr>
        <w:pStyle w:val="ListParagraph"/>
        <w:ind w:left="0"/>
        <w:rPr>
          <w:lang w:val="es-ES"/>
        </w:rPr>
      </w:pPr>
      <w:r>
        <w:rPr>
          <w:lang w:val="es-ES"/>
        </w:rPr>
        <w:t xml:space="preserve"> </w:t>
      </w:r>
    </w:p>
    <w:p w14:paraId="5D638FDB" w14:textId="33507011" w:rsidR="007873FE" w:rsidRPr="007873FE" w:rsidRDefault="007873FE" w:rsidP="007873FE">
      <w:pPr>
        <w:pStyle w:val="ListParagraph"/>
        <w:numPr>
          <w:ilvl w:val="0"/>
          <w:numId w:val="10"/>
        </w:numPr>
        <w:ind w:left="0" w:firstLine="0"/>
        <w:rPr>
          <w:lang w:val="es-ES"/>
        </w:rPr>
      </w:pPr>
      <w:r w:rsidRPr="007873FE">
        <w:rPr>
          <w:lang w:val="es-ES"/>
        </w:rPr>
        <w:t xml:space="preserve">Al respecto, la Presidencia hace notar que la designación del señor Aguirre como perito en el presente caso no se encuentra en conformidad con el artículo 48.1.f del Reglamento del Tribunal, el cual establece que podrán ser recusados los peritos que hayan “intervenido con anterioridad, a cualquier título, y en cualquier instancia, nacional o </w:t>
      </w:r>
      <w:r w:rsidRPr="007873FE">
        <w:rPr>
          <w:lang w:val="es-ES"/>
        </w:rPr>
        <w:lastRenderedPageBreak/>
        <w:t>internacional, en relación con la misma causa</w:t>
      </w:r>
      <w:r>
        <w:rPr>
          <w:lang w:val="es-ES"/>
        </w:rPr>
        <w:t>”</w:t>
      </w:r>
      <w:r w:rsidRPr="007873FE">
        <w:rPr>
          <w:lang w:val="es-ES"/>
        </w:rPr>
        <w:t>.</w:t>
      </w:r>
      <w:r>
        <w:rPr>
          <w:lang w:val="es-ES"/>
        </w:rPr>
        <w:t xml:space="preserve"> Por otra parte, la Presidencia observa que el objeto de la declaración pericial del señor Aguirre es idéntico al del peritaje a ser rendido por la señora Marta Monclus. Dado lo anterior, la Presidencia decide </w:t>
      </w:r>
      <w:r w:rsidR="006D2E6C">
        <w:rPr>
          <w:lang w:val="es-ES"/>
        </w:rPr>
        <w:t>inadmitir</w:t>
      </w:r>
      <w:r>
        <w:rPr>
          <w:lang w:val="es-ES"/>
        </w:rPr>
        <w:t xml:space="preserve"> el ofrecimiento de la declaración pericial del señor Eduardo Aguirre. </w:t>
      </w:r>
    </w:p>
    <w:p w14:paraId="33330907" w14:textId="77777777" w:rsidR="007873FE" w:rsidRDefault="007873FE" w:rsidP="00AF23C4">
      <w:pPr>
        <w:pStyle w:val="ListParagraph"/>
      </w:pPr>
    </w:p>
    <w:p w14:paraId="0D242B93" w14:textId="0955C9D6" w:rsidR="00F04899" w:rsidRPr="00B456A2" w:rsidRDefault="00B95B16" w:rsidP="00B456A2">
      <w:pPr>
        <w:pStyle w:val="Heading2"/>
        <w:rPr>
          <w:lang w:val="es-ES"/>
        </w:rPr>
      </w:pPr>
      <w:r w:rsidRPr="00B456A2">
        <w:rPr>
          <w:lang w:val="es-ES"/>
        </w:rPr>
        <w:t>A</w:t>
      </w:r>
      <w:r w:rsidR="00F04899" w:rsidRPr="00B456A2">
        <w:rPr>
          <w:lang w:val="es-ES"/>
        </w:rPr>
        <w:t xml:space="preserve">plicación del Fondo de Asistencia Legal de Víctimas ante la Corte </w:t>
      </w:r>
    </w:p>
    <w:p w14:paraId="3FA8632B" w14:textId="77777777" w:rsidR="00F04899" w:rsidRPr="00B456A2" w:rsidRDefault="00F04899" w:rsidP="00E77B4C">
      <w:pPr>
        <w:pStyle w:val="ListParagraph"/>
        <w:tabs>
          <w:tab w:val="left" w:pos="0"/>
        </w:tabs>
        <w:autoSpaceDE w:val="0"/>
        <w:autoSpaceDN w:val="0"/>
        <w:adjustRightInd w:val="0"/>
        <w:ind w:left="0"/>
        <w:contextualSpacing w:val="0"/>
        <w:rPr>
          <w:b/>
          <w:szCs w:val="20"/>
          <w:lang w:val="es-ES"/>
        </w:rPr>
      </w:pPr>
    </w:p>
    <w:p w14:paraId="39F14E60" w14:textId="091546A1" w:rsidR="00F04899" w:rsidRPr="00BA1F47" w:rsidRDefault="00F04899" w:rsidP="00D22145">
      <w:pPr>
        <w:pStyle w:val="ListParagraph"/>
        <w:numPr>
          <w:ilvl w:val="0"/>
          <w:numId w:val="10"/>
        </w:numPr>
        <w:tabs>
          <w:tab w:val="left" w:pos="0"/>
        </w:tabs>
        <w:ind w:left="0" w:firstLine="0"/>
        <w:rPr>
          <w:rFonts w:cs="Verdana"/>
          <w:spacing w:val="-2"/>
          <w:szCs w:val="20"/>
          <w:lang w:val="es-ES"/>
        </w:rPr>
      </w:pPr>
      <w:r w:rsidRPr="00BA1F47">
        <w:rPr>
          <w:rFonts w:cs="Verdana"/>
          <w:spacing w:val="-2"/>
          <w:szCs w:val="20"/>
          <w:lang w:val="es-ES"/>
        </w:rPr>
        <w:t xml:space="preserve">En la </w:t>
      </w:r>
      <w:r w:rsidR="00D22145" w:rsidRPr="00BA1F47">
        <w:rPr>
          <w:rFonts w:cs="Verdana"/>
          <w:spacing w:val="-2"/>
          <w:szCs w:val="20"/>
          <w:lang w:val="es-ES"/>
        </w:rPr>
        <w:t xml:space="preserve">carta de Secretaría de 11 de octubre de 2018, </w:t>
      </w:r>
      <w:r w:rsidR="000643B4">
        <w:rPr>
          <w:rFonts w:cs="Verdana"/>
          <w:spacing w:val="-2"/>
          <w:szCs w:val="20"/>
          <w:lang w:val="es-ES"/>
        </w:rPr>
        <w:t>la Presidencia</w:t>
      </w:r>
      <w:r w:rsidR="00D22145" w:rsidRPr="00BA1F47">
        <w:rPr>
          <w:rFonts w:cs="Verdana"/>
          <w:spacing w:val="-2"/>
          <w:szCs w:val="20"/>
          <w:lang w:val="es-ES"/>
        </w:rPr>
        <w:t xml:space="preserve"> resolvió </w:t>
      </w:r>
      <w:r w:rsidRPr="00BA1F47">
        <w:rPr>
          <w:rFonts w:cs="Verdana"/>
          <w:spacing w:val="-2"/>
          <w:szCs w:val="20"/>
          <w:lang w:val="es-ES"/>
        </w:rPr>
        <w:t>declarar procedente la solicitud interpuesta por la</w:t>
      </w:r>
      <w:r w:rsidR="00D22145" w:rsidRPr="00BA1F47">
        <w:rPr>
          <w:rFonts w:cs="Verdana"/>
          <w:spacing w:val="-2"/>
          <w:szCs w:val="20"/>
          <w:lang w:val="es-ES"/>
        </w:rPr>
        <w:t>s</w:t>
      </w:r>
      <w:r w:rsidRPr="00BA1F47">
        <w:rPr>
          <w:rFonts w:cs="Verdana"/>
          <w:spacing w:val="-2"/>
          <w:szCs w:val="20"/>
          <w:lang w:val="es-ES"/>
        </w:rPr>
        <w:t xml:space="preserve"> presunta</w:t>
      </w:r>
      <w:r w:rsidR="00D22145" w:rsidRPr="00BA1F47">
        <w:rPr>
          <w:rFonts w:cs="Verdana"/>
          <w:spacing w:val="-2"/>
          <w:szCs w:val="20"/>
          <w:lang w:val="es-ES"/>
        </w:rPr>
        <w:t>s</w:t>
      </w:r>
      <w:r w:rsidRPr="00BA1F47">
        <w:rPr>
          <w:rFonts w:cs="Verdana"/>
          <w:spacing w:val="-2"/>
          <w:szCs w:val="20"/>
          <w:lang w:val="es-ES"/>
        </w:rPr>
        <w:t xml:space="preserve"> víctima</w:t>
      </w:r>
      <w:r w:rsidR="00D22145" w:rsidRPr="00BA1F47">
        <w:rPr>
          <w:rFonts w:cs="Verdana"/>
          <w:spacing w:val="-2"/>
          <w:szCs w:val="20"/>
          <w:lang w:val="es-ES"/>
        </w:rPr>
        <w:t>s</w:t>
      </w:r>
      <w:r w:rsidRPr="00BA1F47">
        <w:rPr>
          <w:rFonts w:cs="Verdana"/>
          <w:spacing w:val="-2"/>
          <w:szCs w:val="20"/>
          <w:lang w:val="es-ES"/>
        </w:rPr>
        <w:t xml:space="preserve">, a través de sus representantes, para acogerse al Fondo de Asistencia Legal de Víctimas de la Corte Interamericana de Derechos </w:t>
      </w:r>
      <w:r w:rsidR="00A12940" w:rsidRPr="00BA1F47">
        <w:rPr>
          <w:rFonts w:cs="Verdana"/>
          <w:spacing w:val="-2"/>
          <w:szCs w:val="20"/>
          <w:lang w:val="es-ES"/>
        </w:rPr>
        <w:t>Humanos, de modo que se otorgaría</w:t>
      </w:r>
      <w:r w:rsidRPr="00BA1F47">
        <w:rPr>
          <w:rFonts w:cs="Verdana"/>
          <w:spacing w:val="-2"/>
          <w:szCs w:val="20"/>
          <w:lang w:val="es-ES"/>
        </w:rPr>
        <w:t xml:space="preserve"> el apoyo económico necesario, con cargo al Fondo, para solventar los gastos para </w:t>
      </w:r>
      <w:r w:rsidR="00D22145" w:rsidRPr="00BA1F47">
        <w:rPr>
          <w:rFonts w:cs="Verdana"/>
          <w:spacing w:val="-2"/>
          <w:szCs w:val="20"/>
        </w:rPr>
        <w:t>la presentación de la declaración de la presunta víctima y la comparecencia de dos representantes legales</w:t>
      </w:r>
      <w:r w:rsidR="00BA1F47" w:rsidRPr="00BA1F47">
        <w:rPr>
          <w:rFonts w:cs="Verdana"/>
          <w:spacing w:val="-2"/>
          <w:szCs w:val="20"/>
        </w:rPr>
        <w:t xml:space="preserve"> en </w:t>
      </w:r>
      <w:r w:rsidR="00D22145" w:rsidRPr="00BA1F47">
        <w:rPr>
          <w:rFonts w:cs="Verdana"/>
          <w:spacing w:val="-2"/>
          <w:szCs w:val="20"/>
        </w:rPr>
        <w:t xml:space="preserve"> la audiencia pública </w:t>
      </w:r>
      <w:r w:rsidR="00BA1F47" w:rsidRPr="00BA1F47">
        <w:rPr>
          <w:rFonts w:cs="Verdana"/>
          <w:spacing w:val="-2"/>
          <w:szCs w:val="20"/>
        </w:rPr>
        <w:t>d</w:t>
      </w:r>
      <w:r w:rsidR="00D22145" w:rsidRPr="00BA1F47">
        <w:rPr>
          <w:rFonts w:cs="Verdana"/>
          <w:spacing w:val="-2"/>
          <w:szCs w:val="20"/>
        </w:rPr>
        <w:t>el</w:t>
      </w:r>
      <w:r w:rsidR="00BA1F47" w:rsidRPr="00BA1F47">
        <w:rPr>
          <w:rFonts w:cs="Verdana"/>
          <w:spacing w:val="-2"/>
          <w:szCs w:val="20"/>
        </w:rPr>
        <w:t xml:space="preserve"> </w:t>
      </w:r>
      <w:r w:rsidR="00D22145" w:rsidRPr="00BA1F47">
        <w:rPr>
          <w:rFonts w:cs="Verdana"/>
          <w:spacing w:val="-2"/>
          <w:szCs w:val="20"/>
        </w:rPr>
        <w:t xml:space="preserve">presente caso. </w:t>
      </w:r>
      <w:r w:rsidR="005309E9" w:rsidRPr="00BA1F47">
        <w:rPr>
          <w:rFonts w:cs="Verdana"/>
          <w:spacing w:val="-2"/>
          <w:szCs w:val="20"/>
          <w:lang w:val="es-ES"/>
        </w:rPr>
        <w:t xml:space="preserve">Se resolvió también </w:t>
      </w:r>
      <w:r w:rsidRPr="00BA1F47">
        <w:rPr>
          <w:rFonts w:cs="Verdana"/>
          <w:spacing w:val="-2"/>
          <w:szCs w:val="20"/>
          <w:lang w:val="es-ES"/>
        </w:rPr>
        <w:t>que el monto, destino y objeto espe</w:t>
      </w:r>
      <w:r w:rsidR="00A12940" w:rsidRPr="00BA1F47">
        <w:rPr>
          <w:rFonts w:cs="Verdana"/>
          <w:spacing w:val="-2"/>
          <w:szCs w:val="20"/>
          <w:lang w:val="es-ES"/>
        </w:rPr>
        <w:t>cíficos de dicha asistencia sería</w:t>
      </w:r>
      <w:r w:rsidRPr="00BA1F47">
        <w:rPr>
          <w:rFonts w:cs="Verdana"/>
          <w:spacing w:val="-2"/>
          <w:szCs w:val="20"/>
          <w:lang w:val="es-ES"/>
        </w:rPr>
        <w:t>n precisados al momento de decidir sobre la evacuación de prueba testimonial y la apertura del procedimiento oral en los términos del artículo 50 del Reglamento del Tribunal, de conformidad con lo establecido en esta Resolución.</w:t>
      </w:r>
      <w:r w:rsidR="0006667F">
        <w:rPr>
          <w:rFonts w:cs="Verdana"/>
          <w:spacing w:val="-2"/>
          <w:szCs w:val="20"/>
          <w:lang w:val="es-ES"/>
        </w:rPr>
        <w:t xml:space="preserve"> </w:t>
      </w:r>
    </w:p>
    <w:p w14:paraId="60A1340D" w14:textId="77777777" w:rsidR="00C37D27" w:rsidRPr="00B456A2" w:rsidRDefault="00C37D27" w:rsidP="00A12940">
      <w:pPr>
        <w:pStyle w:val="ListParagraph"/>
        <w:tabs>
          <w:tab w:val="left" w:pos="0"/>
        </w:tabs>
        <w:ind w:left="0"/>
        <w:rPr>
          <w:szCs w:val="20"/>
          <w:lang w:val="es-ES"/>
        </w:rPr>
      </w:pPr>
    </w:p>
    <w:p w14:paraId="795885F9" w14:textId="4BBB894E" w:rsidR="00016BBB" w:rsidRPr="00B456A2" w:rsidRDefault="00016BBB" w:rsidP="00A12940">
      <w:pPr>
        <w:pStyle w:val="ListParagraph"/>
        <w:numPr>
          <w:ilvl w:val="0"/>
          <w:numId w:val="10"/>
        </w:numPr>
        <w:tabs>
          <w:tab w:val="left" w:pos="0"/>
        </w:tabs>
        <w:ind w:left="0" w:firstLine="0"/>
        <w:rPr>
          <w:szCs w:val="20"/>
          <w:lang w:val="es-ES"/>
        </w:rPr>
      </w:pPr>
      <w:r w:rsidRPr="00B456A2">
        <w:rPr>
          <w:szCs w:val="20"/>
          <w:lang w:val="es-ES"/>
        </w:rPr>
        <w:t>Corresponde seguidamente precisar el destino y objeto específicos de dicha asistencia.</w:t>
      </w:r>
    </w:p>
    <w:p w14:paraId="2356CBFD" w14:textId="77777777" w:rsidR="00C37D27" w:rsidRPr="00B456A2" w:rsidRDefault="00C37D27" w:rsidP="00A12940">
      <w:pPr>
        <w:pStyle w:val="ListParagraph"/>
        <w:tabs>
          <w:tab w:val="left" w:pos="0"/>
        </w:tabs>
        <w:ind w:left="0"/>
        <w:rPr>
          <w:szCs w:val="20"/>
          <w:lang w:val="es-ES"/>
        </w:rPr>
      </w:pPr>
    </w:p>
    <w:p w14:paraId="05960FAA" w14:textId="34523881" w:rsidR="00460C53" w:rsidRPr="00460C53" w:rsidRDefault="00016BBB" w:rsidP="00AB1517">
      <w:pPr>
        <w:pStyle w:val="ListParagraph"/>
        <w:numPr>
          <w:ilvl w:val="0"/>
          <w:numId w:val="10"/>
        </w:numPr>
        <w:tabs>
          <w:tab w:val="left" w:pos="0"/>
        </w:tabs>
        <w:ind w:left="0" w:firstLine="0"/>
        <w:rPr>
          <w:szCs w:val="20"/>
        </w:rPr>
      </w:pPr>
      <w:r w:rsidRPr="00460C53">
        <w:rPr>
          <w:szCs w:val="20"/>
          <w:lang w:val="es-ES"/>
        </w:rPr>
        <w:t xml:space="preserve">Al respecto, </w:t>
      </w:r>
      <w:r w:rsidR="008E689A" w:rsidRPr="00460C53">
        <w:rPr>
          <w:szCs w:val="20"/>
          <w:lang w:val="es-ES"/>
        </w:rPr>
        <w:t>una vez que se decid</w:t>
      </w:r>
      <w:r w:rsidR="006D2E6C" w:rsidRPr="00460C53">
        <w:rPr>
          <w:szCs w:val="20"/>
          <w:lang w:val="es-ES"/>
        </w:rPr>
        <w:t>e en la presente Resolución</w:t>
      </w:r>
      <w:r w:rsidR="008E689A" w:rsidRPr="00460C53">
        <w:rPr>
          <w:szCs w:val="20"/>
          <w:lang w:val="es-ES"/>
        </w:rPr>
        <w:t xml:space="preserve"> que las declaraciones de la presunta víctima y de un declarante propuestos por los representantes se realizarán por medio de videoconferencia</w:t>
      </w:r>
      <w:r w:rsidR="006D2E6C" w:rsidRPr="00460C53">
        <w:rPr>
          <w:szCs w:val="20"/>
          <w:lang w:val="es-ES"/>
        </w:rPr>
        <w:t xml:space="preserve"> (</w:t>
      </w:r>
      <w:r w:rsidR="006D2E6C" w:rsidRPr="00460C53">
        <w:rPr>
          <w:i/>
          <w:szCs w:val="20"/>
          <w:lang w:val="es-ES"/>
        </w:rPr>
        <w:t xml:space="preserve">infra </w:t>
      </w:r>
      <w:r w:rsidR="006D2E6C" w:rsidRPr="00460C53">
        <w:rPr>
          <w:szCs w:val="20"/>
          <w:lang w:val="es-ES"/>
        </w:rPr>
        <w:t>Punto Resolutivo 1)</w:t>
      </w:r>
      <w:r w:rsidR="008E689A" w:rsidRPr="00460C53">
        <w:rPr>
          <w:szCs w:val="20"/>
          <w:lang w:val="es-ES"/>
        </w:rPr>
        <w:t xml:space="preserve">, </w:t>
      </w:r>
      <w:r w:rsidR="00F3152F" w:rsidRPr="00460C53">
        <w:rPr>
          <w:szCs w:val="20"/>
          <w:lang w:val="es-ES"/>
        </w:rPr>
        <w:t xml:space="preserve">la </w:t>
      </w:r>
      <w:r w:rsidRPr="00460C53">
        <w:rPr>
          <w:szCs w:val="20"/>
          <w:lang w:val="es-ES"/>
        </w:rPr>
        <w:t>Presiden</w:t>
      </w:r>
      <w:r w:rsidR="00F3152F" w:rsidRPr="00460C53">
        <w:rPr>
          <w:szCs w:val="20"/>
          <w:lang w:val="es-ES"/>
        </w:rPr>
        <w:t>cia</w:t>
      </w:r>
      <w:r w:rsidRPr="00460C53">
        <w:rPr>
          <w:szCs w:val="20"/>
        </w:rPr>
        <w:t xml:space="preserve"> dispone que la asistencia económica </w:t>
      </w:r>
      <w:r w:rsidR="008E689A" w:rsidRPr="00460C53">
        <w:rPr>
          <w:szCs w:val="20"/>
        </w:rPr>
        <w:t xml:space="preserve">del Fondo de Asistencia </w:t>
      </w:r>
      <w:r w:rsidRPr="00460C53">
        <w:rPr>
          <w:szCs w:val="20"/>
        </w:rPr>
        <w:t xml:space="preserve">estará asignada para cubrir los gastos de viaje y estadía necesarios para que </w:t>
      </w:r>
      <w:r w:rsidR="00A325FC" w:rsidRPr="00460C53">
        <w:rPr>
          <w:szCs w:val="20"/>
        </w:rPr>
        <w:t>los representantes legales Gustavo L. Vítale y Fernando Luis Diez</w:t>
      </w:r>
      <w:r w:rsidRPr="00460C53">
        <w:rPr>
          <w:szCs w:val="20"/>
        </w:rPr>
        <w:t xml:space="preserve">, comparezcan ante el Tribunal a </w:t>
      </w:r>
      <w:r w:rsidR="00460C53" w:rsidRPr="00460C53">
        <w:rPr>
          <w:szCs w:val="20"/>
        </w:rPr>
        <w:t>realizar la</w:t>
      </w:r>
      <w:r w:rsidR="00C37D27" w:rsidRPr="00460C53">
        <w:rPr>
          <w:szCs w:val="20"/>
        </w:rPr>
        <w:t xml:space="preserve"> </w:t>
      </w:r>
      <w:r w:rsidR="00A325FC" w:rsidRPr="00460C53">
        <w:rPr>
          <w:szCs w:val="20"/>
        </w:rPr>
        <w:t>defensa</w:t>
      </w:r>
      <w:r w:rsidR="00C37D27" w:rsidRPr="00460C53">
        <w:rPr>
          <w:szCs w:val="20"/>
        </w:rPr>
        <w:t xml:space="preserve"> </w:t>
      </w:r>
      <w:r w:rsidRPr="00460C53">
        <w:rPr>
          <w:szCs w:val="20"/>
        </w:rPr>
        <w:t>en la audiencia pública que se celebrará en el presente caso</w:t>
      </w:r>
      <w:r w:rsidR="00460C53" w:rsidRPr="00460C53">
        <w:rPr>
          <w:szCs w:val="20"/>
        </w:rPr>
        <w:t xml:space="preserve"> y para </w:t>
      </w:r>
      <w:r w:rsidR="00460C53" w:rsidRPr="00460C53">
        <w:rPr>
          <w:szCs w:val="20"/>
          <w:lang w:val="es-ES_tradnl"/>
        </w:rPr>
        <w:t xml:space="preserve">los gastos razonables </w:t>
      </w:r>
      <w:r w:rsidR="00460C53" w:rsidRPr="00460C53">
        <w:rPr>
          <w:szCs w:val="20"/>
        </w:rPr>
        <w:t xml:space="preserve">de formalización y envío del </w:t>
      </w:r>
      <w:r w:rsidR="00460C53" w:rsidRPr="00460C53">
        <w:rPr>
          <w:i/>
          <w:iCs/>
          <w:szCs w:val="20"/>
        </w:rPr>
        <w:t>af</w:t>
      </w:r>
      <w:r w:rsidR="00DA08E3">
        <w:rPr>
          <w:i/>
          <w:iCs/>
          <w:szCs w:val="20"/>
        </w:rPr>
        <w:t>f</w:t>
      </w:r>
      <w:r w:rsidR="00460C53" w:rsidRPr="00460C53">
        <w:rPr>
          <w:i/>
          <w:iCs/>
          <w:szCs w:val="20"/>
        </w:rPr>
        <w:t xml:space="preserve">idávit </w:t>
      </w:r>
      <w:r w:rsidR="00460C53" w:rsidRPr="00460C53">
        <w:rPr>
          <w:szCs w:val="20"/>
          <w:lang w:val="es-ES_tradnl"/>
        </w:rPr>
        <w:t>de la señora Sandra López, ofrecid</w:t>
      </w:r>
      <w:r w:rsidR="00460C53">
        <w:rPr>
          <w:szCs w:val="20"/>
          <w:lang w:val="es-ES_tradnl"/>
        </w:rPr>
        <w:t>a</w:t>
      </w:r>
      <w:r w:rsidR="00460C53" w:rsidRPr="00460C53">
        <w:rPr>
          <w:szCs w:val="20"/>
          <w:lang w:val="es-ES_tradnl"/>
        </w:rPr>
        <w:t xml:space="preserve"> por los representantes (</w:t>
      </w:r>
      <w:r w:rsidR="00460C53" w:rsidRPr="00460C53">
        <w:rPr>
          <w:i/>
          <w:szCs w:val="20"/>
          <w:lang w:val="es-ES_tradnl"/>
        </w:rPr>
        <w:t xml:space="preserve">infra </w:t>
      </w:r>
      <w:r w:rsidR="00460C53" w:rsidRPr="00460C53">
        <w:rPr>
          <w:szCs w:val="20"/>
          <w:lang w:val="es-ES_tradnl"/>
        </w:rPr>
        <w:t xml:space="preserve">punto resolutivo </w:t>
      </w:r>
      <w:r w:rsidR="00460C53">
        <w:rPr>
          <w:szCs w:val="20"/>
          <w:lang w:val="es-ES_tradnl"/>
        </w:rPr>
        <w:t>2</w:t>
      </w:r>
      <w:r w:rsidR="00460C53" w:rsidRPr="00460C53">
        <w:rPr>
          <w:szCs w:val="20"/>
          <w:lang w:val="es-ES_tradnl"/>
        </w:rPr>
        <w:t>).</w:t>
      </w:r>
      <w:r w:rsidR="00460C53" w:rsidRPr="00460C53">
        <w:rPr>
          <w:szCs w:val="20"/>
        </w:rPr>
        <w:t xml:space="preserve"> </w:t>
      </w:r>
    </w:p>
    <w:p w14:paraId="1806D0E1" w14:textId="77777777" w:rsidR="0006667F" w:rsidRPr="0006667F" w:rsidRDefault="0006667F" w:rsidP="0006667F">
      <w:pPr>
        <w:pStyle w:val="ListParagraph"/>
        <w:rPr>
          <w:szCs w:val="20"/>
        </w:rPr>
      </w:pPr>
    </w:p>
    <w:p w14:paraId="7BEE6BE3" w14:textId="3E074594" w:rsidR="00C37D27" w:rsidRPr="00B456A2" w:rsidRDefault="00016BBB" w:rsidP="00A12940">
      <w:pPr>
        <w:pStyle w:val="ListParagraph"/>
        <w:numPr>
          <w:ilvl w:val="0"/>
          <w:numId w:val="10"/>
        </w:numPr>
        <w:tabs>
          <w:tab w:val="left" w:pos="0"/>
        </w:tabs>
        <w:ind w:left="0" w:firstLine="0"/>
        <w:rPr>
          <w:szCs w:val="20"/>
        </w:rPr>
      </w:pPr>
      <w:r w:rsidRPr="00B456A2">
        <w:rPr>
          <w:szCs w:val="20"/>
        </w:rPr>
        <w:t xml:space="preserve">La Corte realizará las gestiones pertinentes y necesarias para cubrir los costos de traslado, alojamiento y manutención de las personas comparecientes con recursos provenientes del Fondo de Asistencia. </w:t>
      </w:r>
    </w:p>
    <w:p w14:paraId="1AC24E60" w14:textId="77777777" w:rsidR="00C37D27" w:rsidRPr="00B456A2" w:rsidRDefault="00C37D27" w:rsidP="00A12940">
      <w:pPr>
        <w:tabs>
          <w:tab w:val="left" w:pos="0"/>
        </w:tabs>
        <w:rPr>
          <w:szCs w:val="20"/>
        </w:rPr>
      </w:pPr>
    </w:p>
    <w:p w14:paraId="4F778825" w14:textId="04ADCDF1" w:rsidR="00016BBB" w:rsidRPr="00B456A2" w:rsidRDefault="00016BBB" w:rsidP="00A12940">
      <w:pPr>
        <w:pStyle w:val="ListParagraph"/>
        <w:numPr>
          <w:ilvl w:val="0"/>
          <w:numId w:val="10"/>
        </w:numPr>
        <w:tabs>
          <w:tab w:val="left" w:pos="0"/>
        </w:tabs>
        <w:ind w:left="0" w:firstLine="0"/>
        <w:rPr>
          <w:szCs w:val="20"/>
        </w:rPr>
      </w:pPr>
      <w:r w:rsidRPr="00B456A2">
        <w:rPr>
          <w:szCs w:val="20"/>
        </w:rPr>
        <w:t>Según lo requerido por el artículo 4 del Reglamento de la Corte sobre el Funcionamiento del Fondo de Asistencia, se dispone que la Secretaría abra un expediente de gastos a los fines de llevar la contabilidad y en el cual se documentará cada una de las erogaciones que se realicen en relación con el referido Fondo.</w:t>
      </w:r>
    </w:p>
    <w:p w14:paraId="24C59686" w14:textId="3714DDE7" w:rsidR="00C37D27" w:rsidRPr="00B456A2" w:rsidRDefault="00C37D27" w:rsidP="00A12940">
      <w:pPr>
        <w:pStyle w:val="ListParagraph"/>
        <w:tabs>
          <w:tab w:val="left" w:pos="0"/>
        </w:tabs>
        <w:ind w:left="0"/>
        <w:rPr>
          <w:szCs w:val="20"/>
        </w:rPr>
      </w:pPr>
    </w:p>
    <w:p w14:paraId="37AECEB4" w14:textId="18C41C0B" w:rsidR="00016BBB" w:rsidRPr="00B456A2" w:rsidRDefault="00016BBB" w:rsidP="00A12940">
      <w:pPr>
        <w:pStyle w:val="ListParagraph"/>
        <w:numPr>
          <w:ilvl w:val="0"/>
          <w:numId w:val="10"/>
        </w:numPr>
        <w:tabs>
          <w:tab w:val="left" w:pos="0"/>
        </w:tabs>
        <w:ind w:left="0" w:firstLine="0"/>
        <w:rPr>
          <w:szCs w:val="20"/>
        </w:rPr>
      </w:pPr>
      <w:r w:rsidRPr="00B456A2">
        <w:rPr>
          <w:szCs w:val="20"/>
        </w:rPr>
        <w:t xml:space="preserve">Finalmente, </w:t>
      </w:r>
      <w:r w:rsidR="00F3152F">
        <w:rPr>
          <w:szCs w:val="20"/>
          <w:lang w:val="es-ES"/>
        </w:rPr>
        <w:t>la</w:t>
      </w:r>
      <w:r w:rsidR="00F3152F" w:rsidRPr="00B456A2">
        <w:rPr>
          <w:szCs w:val="20"/>
          <w:lang w:val="es-ES"/>
        </w:rPr>
        <w:t xml:space="preserve"> </w:t>
      </w:r>
      <w:r w:rsidRPr="00B456A2">
        <w:rPr>
          <w:szCs w:val="20"/>
          <w:lang w:val="es-ES"/>
        </w:rPr>
        <w:t>Presiden</w:t>
      </w:r>
      <w:r w:rsidR="00F3152F">
        <w:rPr>
          <w:szCs w:val="20"/>
          <w:lang w:val="es-ES"/>
        </w:rPr>
        <w:t>cia</w:t>
      </w:r>
      <w:r w:rsidRPr="00B456A2">
        <w:rPr>
          <w:szCs w:val="20"/>
        </w:rPr>
        <w:t xml:space="preserve"> recuerda que, según el artículo 5 del Reglamento del Fondo, se informará oportunamente al Estado las erogaciones realizadas en aplicación del Fondo de Asistencia Legal de Víctimas, para que presente sus observaciones, si así lo desea, dentro del plazo que se establezca al efecto.</w:t>
      </w:r>
    </w:p>
    <w:p w14:paraId="7D49F5AA" w14:textId="77777777" w:rsidR="00C37D27" w:rsidRPr="00B456A2" w:rsidRDefault="00C37D27" w:rsidP="00E77B4C">
      <w:pPr>
        <w:tabs>
          <w:tab w:val="left" w:pos="0"/>
        </w:tabs>
        <w:rPr>
          <w:b/>
          <w:szCs w:val="20"/>
        </w:rPr>
      </w:pPr>
    </w:p>
    <w:p w14:paraId="483CB25F" w14:textId="77777777" w:rsidR="00016BBB" w:rsidRPr="00B456A2" w:rsidRDefault="00016BBB" w:rsidP="00B456A2">
      <w:pPr>
        <w:pStyle w:val="Heading1"/>
      </w:pPr>
      <w:r w:rsidRPr="00B456A2">
        <w:rPr>
          <w:szCs w:val="22"/>
        </w:rPr>
        <w:t>POR TANTO:</w:t>
      </w:r>
    </w:p>
    <w:p w14:paraId="6F3D2E62" w14:textId="3691BE6F" w:rsidR="00C37D27" w:rsidRPr="00B456A2" w:rsidRDefault="00C37D27" w:rsidP="00E77B4C">
      <w:pPr>
        <w:tabs>
          <w:tab w:val="left" w:pos="0"/>
        </w:tabs>
        <w:rPr>
          <w:b/>
          <w:szCs w:val="20"/>
        </w:rPr>
      </w:pPr>
    </w:p>
    <w:p w14:paraId="5B93BE54" w14:textId="3C6E2C1C" w:rsidR="00016BBB" w:rsidRPr="00B456A2" w:rsidRDefault="00016BBB" w:rsidP="00E77B4C">
      <w:pPr>
        <w:tabs>
          <w:tab w:val="left" w:pos="0"/>
        </w:tabs>
        <w:rPr>
          <w:b/>
          <w:szCs w:val="20"/>
        </w:rPr>
      </w:pPr>
      <w:r w:rsidRPr="00B456A2">
        <w:rPr>
          <w:b/>
          <w:szCs w:val="20"/>
        </w:rPr>
        <w:t>EL PRESIDENTE DE LA CORTE INTERAMERICANA DE DERECHOS HUMANOS,</w:t>
      </w:r>
    </w:p>
    <w:p w14:paraId="60620D8D" w14:textId="77777777" w:rsidR="00C37D27" w:rsidRPr="00B456A2" w:rsidRDefault="00C37D27" w:rsidP="00E77B4C">
      <w:pPr>
        <w:tabs>
          <w:tab w:val="left" w:pos="0"/>
        </w:tabs>
        <w:rPr>
          <w:szCs w:val="20"/>
        </w:rPr>
      </w:pPr>
    </w:p>
    <w:p w14:paraId="2725CC7C" w14:textId="5EFC1225" w:rsidR="001A080A" w:rsidRPr="00B456A2" w:rsidRDefault="00016BBB" w:rsidP="00E77B4C">
      <w:pPr>
        <w:tabs>
          <w:tab w:val="left" w:pos="0"/>
        </w:tabs>
        <w:rPr>
          <w:szCs w:val="20"/>
        </w:rPr>
      </w:pPr>
      <w:r w:rsidRPr="00B456A2">
        <w:rPr>
          <w:szCs w:val="20"/>
        </w:rPr>
        <w:t>De conformidad con los artículos 24.1 y 25.2 del Estatuto de la Corte y con los artículos 4, 15.1, 26.1, 31.2, 35.1</w:t>
      </w:r>
      <w:r w:rsidR="00C1282A">
        <w:rPr>
          <w:szCs w:val="20"/>
        </w:rPr>
        <w:t>.f</w:t>
      </w:r>
      <w:r w:rsidRPr="00B456A2">
        <w:rPr>
          <w:szCs w:val="20"/>
        </w:rPr>
        <w:t>, 40.2</w:t>
      </w:r>
      <w:r w:rsidR="00C1282A">
        <w:rPr>
          <w:szCs w:val="20"/>
        </w:rPr>
        <w:t>.c</w:t>
      </w:r>
      <w:r w:rsidRPr="00B456A2">
        <w:rPr>
          <w:szCs w:val="20"/>
        </w:rPr>
        <w:t>, 41.1</w:t>
      </w:r>
      <w:r w:rsidR="00C1282A">
        <w:rPr>
          <w:szCs w:val="20"/>
        </w:rPr>
        <w:t>.c</w:t>
      </w:r>
      <w:r w:rsidRPr="00B456A2">
        <w:rPr>
          <w:szCs w:val="20"/>
        </w:rPr>
        <w:t xml:space="preserve">, 45, 46, 50 a 56 y 60 del Reglamento del Tribunal, </w:t>
      </w:r>
    </w:p>
    <w:p w14:paraId="7845577D" w14:textId="77777777" w:rsidR="001A080A" w:rsidRPr="00B456A2" w:rsidRDefault="001A080A" w:rsidP="00E77B4C">
      <w:pPr>
        <w:tabs>
          <w:tab w:val="left" w:pos="0"/>
        </w:tabs>
        <w:rPr>
          <w:szCs w:val="20"/>
        </w:rPr>
      </w:pPr>
    </w:p>
    <w:p w14:paraId="173A41A3" w14:textId="77777777" w:rsidR="001A080A" w:rsidRPr="00B456A2" w:rsidRDefault="00016BBB" w:rsidP="00B456A2">
      <w:pPr>
        <w:pStyle w:val="Heading1"/>
      </w:pPr>
      <w:r w:rsidRPr="00B456A2">
        <w:rPr>
          <w:szCs w:val="22"/>
        </w:rPr>
        <w:t xml:space="preserve">RESUELVE: </w:t>
      </w:r>
    </w:p>
    <w:p w14:paraId="37B685A1" w14:textId="77777777" w:rsidR="001A080A" w:rsidRPr="00B456A2" w:rsidRDefault="001A080A" w:rsidP="00E77B4C">
      <w:pPr>
        <w:tabs>
          <w:tab w:val="left" w:pos="0"/>
        </w:tabs>
        <w:rPr>
          <w:szCs w:val="20"/>
        </w:rPr>
      </w:pPr>
    </w:p>
    <w:p w14:paraId="383A2CEA" w14:textId="4195D60E" w:rsidR="001645BD" w:rsidRPr="00B456A2" w:rsidRDefault="001645BD" w:rsidP="001645BD">
      <w:pPr>
        <w:pStyle w:val="ListParagraph"/>
        <w:numPr>
          <w:ilvl w:val="0"/>
          <w:numId w:val="23"/>
        </w:numPr>
        <w:ind w:left="0" w:firstLine="0"/>
        <w:rPr>
          <w:szCs w:val="20"/>
        </w:rPr>
      </w:pPr>
      <w:r w:rsidRPr="00B456A2">
        <w:rPr>
          <w:szCs w:val="20"/>
        </w:rPr>
        <w:t xml:space="preserve">Convocar a los representantes y al Estado, así como a la Comisión Interamericana, a una audiencia pública que se celebrará los días </w:t>
      </w:r>
      <w:r w:rsidR="00BE5AE3">
        <w:rPr>
          <w:szCs w:val="20"/>
        </w:rPr>
        <w:t>12 y 13 de marzo</w:t>
      </w:r>
      <w:r w:rsidR="004F57BD">
        <w:rPr>
          <w:szCs w:val="20"/>
        </w:rPr>
        <w:t xml:space="preserve"> de 2019</w:t>
      </w:r>
      <w:r w:rsidRPr="00B456A2">
        <w:rPr>
          <w:szCs w:val="20"/>
        </w:rPr>
        <w:t xml:space="preserve">, a partir de las </w:t>
      </w:r>
      <w:r w:rsidR="00BE5AE3">
        <w:rPr>
          <w:szCs w:val="20"/>
        </w:rPr>
        <w:t>15:00 horas</w:t>
      </w:r>
      <w:r w:rsidR="000643B4">
        <w:rPr>
          <w:szCs w:val="20"/>
        </w:rPr>
        <w:t xml:space="preserve"> del 12 de marzo, y continuará a las 9:00 horas del día 13 de marzo</w:t>
      </w:r>
      <w:r w:rsidRPr="001F1962">
        <w:rPr>
          <w:szCs w:val="20"/>
        </w:rPr>
        <w:t xml:space="preserve">, durante el </w:t>
      </w:r>
      <w:r w:rsidR="00AA394F">
        <w:rPr>
          <w:szCs w:val="20"/>
        </w:rPr>
        <w:t xml:space="preserve">130 </w:t>
      </w:r>
      <w:r w:rsidRPr="001F1962">
        <w:rPr>
          <w:szCs w:val="20"/>
        </w:rPr>
        <w:t xml:space="preserve">Período </w:t>
      </w:r>
      <w:r w:rsidR="00AA394F">
        <w:rPr>
          <w:szCs w:val="20"/>
        </w:rPr>
        <w:t>O</w:t>
      </w:r>
      <w:r w:rsidRPr="001F1962">
        <w:rPr>
          <w:szCs w:val="20"/>
        </w:rPr>
        <w:t xml:space="preserve">rdinario de Sesiones, </w:t>
      </w:r>
      <w:r w:rsidR="00AA394F">
        <w:rPr>
          <w:szCs w:val="20"/>
        </w:rPr>
        <w:t xml:space="preserve">que se llevará a cabo en la sede la Corte, en </w:t>
      </w:r>
      <w:r w:rsidRPr="00B456A2">
        <w:rPr>
          <w:szCs w:val="20"/>
        </w:rPr>
        <w:t xml:space="preserve">la ciudad de </w:t>
      </w:r>
      <w:r w:rsidR="00AA394F">
        <w:rPr>
          <w:szCs w:val="20"/>
        </w:rPr>
        <w:t>San José, Costa Rica,</w:t>
      </w:r>
      <w:r w:rsidRPr="00B456A2">
        <w:rPr>
          <w:szCs w:val="20"/>
        </w:rPr>
        <w:t xml:space="preserve"> para recibir sus alegatos finales orales y observaciones finales orales, respectivamente, sobre las excepciones preliminares, eventuales fondo, reparaciones y costas, así como las declaraciones de las siguientes personas:</w:t>
      </w:r>
    </w:p>
    <w:p w14:paraId="2AD9EF8A" w14:textId="77777777" w:rsidR="001645BD" w:rsidRPr="00B456A2" w:rsidRDefault="001645BD" w:rsidP="001645BD">
      <w:pPr>
        <w:pStyle w:val="ListParagraph"/>
        <w:ind w:left="0"/>
        <w:rPr>
          <w:szCs w:val="20"/>
        </w:rPr>
      </w:pPr>
    </w:p>
    <w:p w14:paraId="05C75582" w14:textId="4F458167" w:rsidR="001645BD" w:rsidRPr="00B456A2" w:rsidRDefault="001645BD" w:rsidP="001645BD">
      <w:pPr>
        <w:tabs>
          <w:tab w:val="left" w:pos="0"/>
        </w:tabs>
        <w:rPr>
          <w:b/>
          <w:szCs w:val="20"/>
          <w:lang w:val="es-MX"/>
        </w:rPr>
      </w:pPr>
      <w:r w:rsidRPr="00B456A2">
        <w:rPr>
          <w:b/>
          <w:szCs w:val="20"/>
          <w:lang w:val="es-MX"/>
        </w:rPr>
        <w:t xml:space="preserve">A) </w:t>
      </w:r>
      <w:r w:rsidR="00354970">
        <w:rPr>
          <w:b/>
          <w:szCs w:val="20"/>
          <w:lang w:val="es-MX"/>
        </w:rPr>
        <w:t>Presunta víctima</w:t>
      </w:r>
      <w:r w:rsidRPr="00B456A2">
        <w:rPr>
          <w:b/>
          <w:szCs w:val="20"/>
          <w:lang w:val="es-MX"/>
        </w:rPr>
        <w:t xml:space="preserve"> (Propuest</w:t>
      </w:r>
      <w:r w:rsidR="000643B4">
        <w:rPr>
          <w:b/>
          <w:szCs w:val="20"/>
          <w:lang w:val="es-MX"/>
        </w:rPr>
        <w:t>o</w:t>
      </w:r>
      <w:r w:rsidRPr="00B456A2">
        <w:rPr>
          <w:b/>
          <w:szCs w:val="20"/>
          <w:lang w:val="es-MX"/>
        </w:rPr>
        <w:t xml:space="preserve"> por los representantes)</w:t>
      </w:r>
    </w:p>
    <w:p w14:paraId="4B27FD92" w14:textId="77777777" w:rsidR="001645BD" w:rsidRPr="00B4568A" w:rsidRDefault="001645BD" w:rsidP="00B4568A">
      <w:pPr>
        <w:pStyle w:val="CommentSubject"/>
        <w:tabs>
          <w:tab w:val="left" w:pos="0"/>
        </w:tabs>
        <w:rPr>
          <w:bCs w:val="0"/>
          <w:lang w:val="es-MX"/>
        </w:rPr>
      </w:pPr>
    </w:p>
    <w:p w14:paraId="56C00549" w14:textId="59EF449A" w:rsidR="000643B4" w:rsidRDefault="00310978" w:rsidP="000643B4">
      <w:pPr>
        <w:tabs>
          <w:tab w:val="left" w:pos="0"/>
          <w:tab w:val="left" w:pos="567"/>
        </w:tabs>
        <w:ind w:left="567"/>
        <w:rPr>
          <w:szCs w:val="20"/>
        </w:rPr>
      </w:pPr>
      <w:r w:rsidRPr="00FD64E3">
        <w:rPr>
          <w:i/>
          <w:szCs w:val="20"/>
        </w:rPr>
        <w:t>Rolando Néstor Horacio López</w:t>
      </w:r>
      <w:r>
        <w:rPr>
          <w:szCs w:val="20"/>
        </w:rPr>
        <w:t xml:space="preserve">, quien declarará (por video conferencia) sobre </w:t>
      </w:r>
      <w:r w:rsidRPr="00C142FD">
        <w:rPr>
          <w:szCs w:val="20"/>
        </w:rPr>
        <w:t>las circunstancias de los traslados y las consecuencias que ellos</w:t>
      </w:r>
      <w:r>
        <w:rPr>
          <w:szCs w:val="20"/>
        </w:rPr>
        <w:t xml:space="preserve"> </w:t>
      </w:r>
      <w:r w:rsidRPr="00C142FD">
        <w:rPr>
          <w:szCs w:val="20"/>
        </w:rPr>
        <w:t>produjeron en su núcleo familiar</w:t>
      </w:r>
      <w:r>
        <w:rPr>
          <w:szCs w:val="20"/>
        </w:rPr>
        <w:t xml:space="preserve">. </w:t>
      </w:r>
    </w:p>
    <w:p w14:paraId="10629A84" w14:textId="77777777" w:rsidR="000643B4" w:rsidRDefault="000643B4" w:rsidP="000643B4">
      <w:pPr>
        <w:tabs>
          <w:tab w:val="left" w:pos="0"/>
          <w:tab w:val="left" w:pos="567"/>
        </w:tabs>
        <w:rPr>
          <w:i/>
          <w:szCs w:val="20"/>
        </w:rPr>
      </w:pPr>
      <w:r w:rsidRPr="000643B4">
        <w:rPr>
          <w:i/>
          <w:szCs w:val="20"/>
        </w:rPr>
        <w:t xml:space="preserve"> </w:t>
      </w:r>
    </w:p>
    <w:p w14:paraId="44EBACE7" w14:textId="6B4AA3C8" w:rsidR="00310978" w:rsidRPr="00B456A2" w:rsidRDefault="00310978" w:rsidP="00310978">
      <w:pPr>
        <w:tabs>
          <w:tab w:val="left" w:pos="0"/>
        </w:tabs>
        <w:rPr>
          <w:b/>
          <w:szCs w:val="20"/>
          <w:lang w:val="es-MX"/>
        </w:rPr>
      </w:pPr>
      <w:r>
        <w:rPr>
          <w:b/>
          <w:szCs w:val="20"/>
          <w:lang w:val="es-MX"/>
        </w:rPr>
        <w:t>B</w:t>
      </w:r>
      <w:r w:rsidRPr="00B456A2">
        <w:rPr>
          <w:b/>
          <w:szCs w:val="20"/>
          <w:lang w:val="es-MX"/>
        </w:rPr>
        <w:t xml:space="preserve">) </w:t>
      </w:r>
      <w:r>
        <w:rPr>
          <w:b/>
          <w:szCs w:val="20"/>
          <w:lang w:val="es-MX"/>
        </w:rPr>
        <w:t>Testigo</w:t>
      </w:r>
      <w:r w:rsidRPr="00B456A2">
        <w:rPr>
          <w:b/>
          <w:szCs w:val="20"/>
          <w:lang w:val="es-MX"/>
        </w:rPr>
        <w:t xml:space="preserve"> (Propuest</w:t>
      </w:r>
      <w:r>
        <w:rPr>
          <w:b/>
          <w:szCs w:val="20"/>
          <w:lang w:val="es-MX"/>
        </w:rPr>
        <w:t>o</w:t>
      </w:r>
      <w:r w:rsidRPr="00B456A2">
        <w:rPr>
          <w:b/>
          <w:szCs w:val="20"/>
          <w:lang w:val="es-MX"/>
        </w:rPr>
        <w:t xml:space="preserve"> por los representantes)</w:t>
      </w:r>
    </w:p>
    <w:p w14:paraId="7E942F65" w14:textId="77777777" w:rsidR="00310978" w:rsidRDefault="00310978" w:rsidP="00310978">
      <w:pPr>
        <w:pStyle w:val="ListParagraph"/>
        <w:tabs>
          <w:tab w:val="left" w:pos="0"/>
          <w:tab w:val="left" w:pos="993"/>
        </w:tabs>
        <w:ind w:left="567"/>
        <w:rPr>
          <w:szCs w:val="20"/>
        </w:rPr>
      </w:pPr>
    </w:p>
    <w:p w14:paraId="6129C86C" w14:textId="7F85DD3E" w:rsidR="008B22B1" w:rsidRDefault="00310978" w:rsidP="00310978">
      <w:pPr>
        <w:pStyle w:val="ListParagraph"/>
        <w:tabs>
          <w:tab w:val="left" w:pos="0"/>
          <w:tab w:val="left" w:pos="993"/>
        </w:tabs>
        <w:ind w:left="567"/>
        <w:rPr>
          <w:szCs w:val="20"/>
        </w:rPr>
      </w:pPr>
      <w:r w:rsidRPr="00310978">
        <w:rPr>
          <w:szCs w:val="20"/>
        </w:rPr>
        <w:t>Federico Mariano Egea</w:t>
      </w:r>
      <w:r>
        <w:rPr>
          <w:szCs w:val="20"/>
        </w:rPr>
        <w:t>, quien d</w:t>
      </w:r>
      <w:r w:rsidR="001645BD" w:rsidRPr="00B456A2">
        <w:rPr>
          <w:szCs w:val="20"/>
        </w:rPr>
        <w:t xml:space="preserve">eclarará </w:t>
      </w:r>
      <w:r>
        <w:rPr>
          <w:szCs w:val="20"/>
        </w:rPr>
        <w:t xml:space="preserve">(por video conferencia) </w:t>
      </w:r>
      <w:r w:rsidR="001645BD" w:rsidRPr="00B456A2">
        <w:rPr>
          <w:szCs w:val="20"/>
        </w:rPr>
        <w:t xml:space="preserve">sobre </w:t>
      </w:r>
      <w:r w:rsidR="008B22B1" w:rsidRPr="008B22B1">
        <w:rPr>
          <w:szCs w:val="20"/>
        </w:rPr>
        <w:t>las</w:t>
      </w:r>
      <w:r w:rsidR="008B22B1">
        <w:rPr>
          <w:szCs w:val="20"/>
        </w:rPr>
        <w:t xml:space="preserve"> </w:t>
      </w:r>
      <w:r w:rsidR="008B22B1" w:rsidRPr="008B22B1">
        <w:rPr>
          <w:szCs w:val="20"/>
        </w:rPr>
        <w:t xml:space="preserve">circunstancias de los traslados y las consecuencias en </w:t>
      </w:r>
      <w:r w:rsidR="006D2E6C">
        <w:rPr>
          <w:szCs w:val="20"/>
        </w:rPr>
        <w:t>la</w:t>
      </w:r>
      <w:r w:rsidR="008B22B1" w:rsidRPr="008B22B1">
        <w:rPr>
          <w:szCs w:val="20"/>
        </w:rPr>
        <w:t xml:space="preserve"> vida </w:t>
      </w:r>
      <w:r w:rsidR="006D2E6C">
        <w:rPr>
          <w:szCs w:val="20"/>
        </w:rPr>
        <w:t xml:space="preserve">de los presos y </w:t>
      </w:r>
      <w:r w:rsidR="008B22B1" w:rsidRPr="008B22B1">
        <w:rPr>
          <w:szCs w:val="20"/>
        </w:rPr>
        <w:t xml:space="preserve">de </w:t>
      </w:r>
      <w:r>
        <w:rPr>
          <w:szCs w:val="20"/>
        </w:rPr>
        <w:t xml:space="preserve">su núcleo familiar. </w:t>
      </w:r>
    </w:p>
    <w:p w14:paraId="4E652B72" w14:textId="77777777" w:rsidR="001645BD" w:rsidRPr="00B456A2" w:rsidRDefault="001645BD" w:rsidP="001645BD">
      <w:pPr>
        <w:tabs>
          <w:tab w:val="left" w:pos="0"/>
        </w:tabs>
        <w:rPr>
          <w:i/>
          <w:szCs w:val="20"/>
          <w:u w:val="single"/>
          <w:lang w:val="es-MX"/>
        </w:rPr>
      </w:pPr>
    </w:p>
    <w:p w14:paraId="1A408BC8" w14:textId="02700C1D" w:rsidR="001645BD" w:rsidRPr="00310978" w:rsidRDefault="00310978" w:rsidP="001645BD">
      <w:pPr>
        <w:tabs>
          <w:tab w:val="left" w:pos="0"/>
        </w:tabs>
        <w:rPr>
          <w:b/>
          <w:szCs w:val="20"/>
          <w:lang w:val="es-MX"/>
        </w:rPr>
      </w:pPr>
      <w:r>
        <w:rPr>
          <w:b/>
          <w:szCs w:val="20"/>
          <w:lang w:val="es-MX"/>
        </w:rPr>
        <w:t>C</w:t>
      </w:r>
      <w:r w:rsidR="001645BD" w:rsidRPr="00B456A2">
        <w:rPr>
          <w:b/>
          <w:szCs w:val="20"/>
          <w:lang w:val="es-MX"/>
        </w:rPr>
        <w:t xml:space="preserve">) </w:t>
      </w:r>
      <w:r w:rsidR="00E4391E" w:rsidRPr="00310978">
        <w:rPr>
          <w:b/>
          <w:szCs w:val="20"/>
          <w:lang w:val="es-MX"/>
        </w:rPr>
        <w:t>Perit</w:t>
      </w:r>
      <w:r w:rsidRPr="00354970">
        <w:rPr>
          <w:b/>
          <w:szCs w:val="20"/>
          <w:lang w:val="es-MX"/>
        </w:rPr>
        <w:t>a</w:t>
      </w:r>
      <w:r w:rsidR="001645BD" w:rsidRPr="00310978">
        <w:rPr>
          <w:b/>
          <w:szCs w:val="20"/>
          <w:lang w:val="es-MX"/>
        </w:rPr>
        <w:t xml:space="preserve"> (Propuest</w:t>
      </w:r>
      <w:r>
        <w:rPr>
          <w:b/>
          <w:szCs w:val="20"/>
          <w:lang w:val="es-MX"/>
        </w:rPr>
        <w:t>a</w:t>
      </w:r>
      <w:r w:rsidR="001645BD" w:rsidRPr="00310978">
        <w:rPr>
          <w:b/>
          <w:szCs w:val="20"/>
          <w:lang w:val="es-MX"/>
        </w:rPr>
        <w:t xml:space="preserve"> por los representantes)</w:t>
      </w:r>
    </w:p>
    <w:p w14:paraId="393F498E" w14:textId="77777777" w:rsidR="001645BD" w:rsidRPr="00310978" w:rsidRDefault="001645BD" w:rsidP="001645BD">
      <w:pPr>
        <w:tabs>
          <w:tab w:val="left" w:pos="0"/>
        </w:tabs>
        <w:rPr>
          <w:szCs w:val="20"/>
          <w:lang w:val="es-MX"/>
        </w:rPr>
      </w:pPr>
    </w:p>
    <w:p w14:paraId="0504C221" w14:textId="0E05A98C" w:rsidR="00FD64E3" w:rsidRPr="00310978" w:rsidRDefault="00310978" w:rsidP="00FD64E3">
      <w:pPr>
        <w:tabs>
          <w:tab w:val="left" w:pos="0"/>
        </w:tabs>
        <w:ind w:left="567"/>
        <w:rPr>
          <w:szCs w:val="20"/>
        </w:rPr>
      </w:pPr>
      <w:r>
        <w:rPr>
          <w:i/>
          <w:szCs w:val="20"/>
          <w:lang w:val="es-MX"/>
        </w:rPr>
        <w:t>Marta Monclus</w:t>
      </w:r>
      <w:r w:rsidRPr="00B456A2">
        <w:rPr>
          <w:szCs w:val="20"/>
          <w:lang w:val="es-MX"/>
        </w:rPr>
        <w:t>,</w:t>
      </w:r>
      <w:r>
        <w:rPr>
          <w:szCs w:val="20"/>
          <w:lang w:val="es-MX"/>
        </w:rPr>
        <w:t xml:space="preserve"> </w:t>
      </w:r>
      <w:r w:rsidRPr="00310978">
        <w:rPr>
          <w:i/>
          <w:szCs w:val="20"/>
        </w:rPr>
        <w:t>abogada</w:t>
      </w:r>
      <w:r w:rsidR="007C49CD" w:rsidRPr="00310978">
        <w:rPr>
          <w:szCs w:val="20"/>
          <w:lang w:val="es-MX"/>
        </w:rPr>
        <w:t xml:space="preserve">, </w:t>
      </w:r>
      <w:r w:rsidR="007C49CD" w:rsidRPr="00310978">
        <w:rPr>
          <w:szCs w:val="20"/>
        </w:rPr>
        <w:t>quien declarará sobre</w:t>
      </w:r>
      <w:r w:rsidR="00FD64E3" w:rsidRPr="00310978">
        <w:rPr>
          <w:szCs w:val="20"/>
        </w:rPr>
        <w:t>: i) estándares y obligaciones internacionales relevantes acerca de los derechos de las personas privadas de libertad; en particular respecto del alcance y contenido del derecho a recibir visitas familiares o del núcleo afectivo más cercano, a ser tratado con humanidad, a que la pena cumpla el fin de readaptación social del condenado y a que su pena no trascienda a terceras personas no condenadas; ii) incidencia de los traslados en el respeto de tales derechos de las personas privadas de libertad y la manera en que los traslados de esas personas pueden incidir o implicar una negación o restricción de ellos; en particular, acerca del alcance y contenido del derecho a recibir visitas familiares o del núcleo afectivo más cercano, a ser tratado con humanidad, a que la pena cumpla el fin de readaptación social del condenado y a que su pena no trascienda a terceras personas no condenadas; iii) relevancia del lugar de ubicación de los institutos carcelarios en los que se cumplen las penas privativas de libertad en relación al lugar del asiento de sus defensores técnicos y de los jueces de ejecución de sus penas; iv) incidencia de los traslados en el ejercicio del derecho de defensa en juicio por parte de la defensa técnica y en el control judicial de la ejecución de la pena carcelaria; v) obligaciones estatales para asegurar que la facultad de trasladar a personas privadas de libertad no implique una restricción adicional y desproporcionada de tales derechos; vi) situación de las cárceles federales de Argentina; vii) política y dinámica de los traslados de presos; viii) actuación (u omisión) judicial ante ellos; ix) realidad carcelaria argentina vinculada con los traslados de presos a jurisdicciones territoriales diferentes o lejanas al lugar de residencia de sus familiares, defensores técnicos y jueces con competencia en materia de ejecución de sus penas.</w:t>
      </w:r>
    </w:p>
    <w:p w14:paraId="2D222CCE" w14:textId="77777777" w:rsidR="007C49CD" w:rsidRDefault="007C49CD" w:rsidP="008D74B6">
      <w:pPr>
        <w:tabs>
          <w:tab w:val="left" w:pos="0"/>
        </w:tabs>
        <w:ind w:left="567"/>
        <w:rPr>
          <w:szCs w:val="20"/>
          <w:lang w:val="es-MX"/>
        </w:rPr>
      </w:pPr>
    </w:p>
    <w:p w14:paraId="131DA937" w14:textId="559159BC" w:rsidR="007C49CD" w:rsidRPr="007C49CD" w:rsidRDefault="00310978" w:rsidP="00FD64E3">
      <w:pPr>
        <w:tabs>
          <w:tab w:val="left" w:pos="0"/>
        </w:tabs>
        <w:rPr>
          <w:b/>
          <w:szCs w:val="20"/>
          <w:lang w:val="es-MX"/>
        </w:rPr>
      </w:pPr>
      <w:r>
        <w:rPr>
          <w:b/>
          <w:szCs w:val="20"/>
          <w:lang w:val="es-MX"/>
        </w:rPr>
        <w:t>D</w:t>
      </w:r>
      <w:r w:rsidR="007C49CD" w:rsidRPr="007C49CD">
        <w:rPr>
          <w:b/>
          <w:szCs w:val="20"/>
          <w:lang w:val="es-MX"/>
        </w:rPr>
        <w:t>) Perito (propuesto por la Comisión)</w:t>
      </w:r>
    </w:p>
    <w:p w14:paraId="78E3FBF4" w14:textId="77777777" w:rsidR="007C49CD" w:rsidRDefault="007C49CD" w:rsidP="008D74B6">
      <w:pPr>
        <w:tabs>
          <w:tab w:val="left" w:pos="0"/>
        </w:tabs>
        <w:ind w:left="567"/>
        <w:rPr>
          <w:szCs w:val="20"/>
          <w:lang w:val="es-MX"/>
        </w:rPr>
      </w:pPr>
    </w:p>
    <w:p w14:paraId="5603487A" w14:textId="6804B20F" w:rsidR="007C49CD" w:rsidRDefault="007C49CD" w:rsidP="007C49CD">
      <w:pPr>
        <w:tabs>
          <w:tab w:val="left" w:pos="0"/>
        </w:tabs>
        <w:ind w:left="567"/>
        <w:rPr>
          <w:szCs w:val="20"/>
          <w:lang w:val="es-MX"/>
        </w:rPr>
      </w:pPr>
      <w:r w:rsidRPr="007C49CD">
        <w:rPr>
          <w:b/>
          <w:bCs/>
          <w:szCs w:val="20"/>
        </w:rPr>
        <w:t xml:space="preserve">Miguel Sarre, </w:t>
      </w:r>
      <w:r w:rsidRPr="007C49CD">
        <w:rPr>
          <w:bCs/>
          <w:szCs w:val="20"/>
        </w:rPr>
        <w:t xml:space="preserve">investigador y capacitador independiente en derecho de ejecución penal, </w:t>
      </w:r>
      <w:r w:rsidRPr="007C49CD">
        <w:rPr>
          <w:szCs w:val="20"/>
        </w:rPr>
        <w:t>quien declarará sobre los estándares internacionales relevantes sobre los derechos de las</w:t>
      </w:r>
      <w:r>
        <w:rPr>
          <w:szCs w:val="20"/>
        </w:rPr>
        <w:t xml:space="preserve"> </w:t>
      </w:r>
      <w:r w:rsidRPr="007C49CD">
        <w:rPr>
          <w:szCs w:val="20"/>
        </w:rPr>
        <w:t xml:space="preserve">personas privadas de libertad, en particular, el alcance y contenido </w:t>
      </w:r>
      <w:r w:rsidRPr="007C49CD">
        <w:rPr>
          <w:szCs w:val="20"/>
        </w:rPr>
        <w:lastRenderedPageBreak/>
        <w:t>del derecho a la visita familiar o del núcleo afectivo</w:t>
      </w:r>
      <w:r>
        <w:rPr>
          <w:szCs w:val="20"/>
        </w:rPr>
        <w:t xml:space="preserve"> </w:t>
      </w:r>
      <w:r w:rsidRPr="007C49CD">
        <w:rPr>
          <w:szCs w:val="20"/>
        </w:rPr>
        <w:t>cercano. El perito analizará las obligaciones estatales de respeto y garantía que se derivan de dicho derecho. El perito</w:t>
      </w:r>
      <w:r>
        <w:rPr>
          <w:szCs w:val="20"/>
        </w:rPr>
        <w:t xml:space="preserve"> </w:t>
      </w:r>
      <w:r w:rsidRPr="007C49CD">
        <w:rPr>
          <w:szCs w:val="20"/>
        </w:rPr>
        <w:t>también analizará la manera en que los traslados de personas privadas de libertad pueden incidir o implicar una</w:t>
      </w:r>
      <w:r>
        <w:rPr>
          <w:szCs w:val="20"/>
        </w:rPr>
        <w:t xml:space="preserve"> </w:t>
      </w:r>
      <w:r w:rsidRPr="007C49CD">
        <w:rPr>
          <w:szCs w:val="20"/>
        </w:rPr>
        <w:t>negación en la práctica del derecho a la visita familiar o del núcleo afectivo cercano, y las obligaciones estatales para</w:t>
      </w:r>
      <w:r>
        <w:rPr>
          <w:szCs w:val="20"/>
        </w:rPr>
        <w:t xml:space="preserve"> </w:t>
      </w:r>
      <w:r w:rsidRPr="007C49CD">
        <w:rPr>
          <w:szCs w:val="20"/>
        </w:rPr>
        <w:t>asegurar que la facultad de trasladar a personas privadas de libertad no implique una restricción adicional y</w:t>
      </w:r>
      <w:r>
        <w:rPr>
          <w:szCs w:val="20"/>
        </w:rPr>
        <w:t xml:space="preserve"> </w:t>
      </w:r>
      <w:r w:rsidRPr="007C49CD">
        <w:rPr>
          <w:szCs w:val="20"/>
        </w:rPr>
        <w:t>desproporcionada a sus derechos. También se analizará transversalmente la relevancia de que las personas privadas</w:t>
      </w:r>
      <w:r>
        <w:rPr>
          <w:szCs w:val="20"/>
        </w:rPr>
        <w:t xml:space="preserve"> </w:t>
      </w:r>
      <w:r w:rsidRPr="007C49CD">
        <w:rPr>
          <w:szCs w:val="20"/>
        </w:rPr>
        <w:t>de libertad se encuentren cerca de sus defensores y jueces de ejecución.</w:t>
      </w:r>
    </w:p>
    <w:p w14:paraId="31B3D4D5" w14:textId="77777777" w:rsidR="001645BD" w:rsidRPr="00B456A2" w:rsidRDefault="001645BD" w:rsidP="00B456A2">
      <w:pPr>
        <w:pStyle w:val="ListParagraph"/>
        <w:tabs>
          <w:tab w:val="left" w:pos="0"/>
        </w:tabs>
        <w:ind w:left="0"/>
        <w:rPr>
          <w:szCs w:val="20"/>
        </w:rPr>
      </w:pPr>
    </w:p>
    <w:p w14:paraId="4DF971DC" w14:textId="18F2C3E7" w:rsidR="00016BBB" w:rsidRPr="00B456A2" w:rsidRDefault="00016BBB" w:rsidP="00FA4BD7">
      <w:pPr>
        <w:pStyle w:val="ListParagraph"/>
        <w:numPr>
          <w:ilvl w:val="0"/>
          <w:numId w:val="23"/>
        </w:numPr>
        <w:tabs>
          <w:tab w:val="left" w:pos="0"/>
        </w:tabs>
        <w:ind w:left="0" w:firstLine="0"/>
        <w:rPr>
          <w:szCs w:val="20"/>
          <w:lang w:val="es-ES"/>
        </w:rPr>
      </w:pPr>
      <w:r w:rsidRPr="00B456A2">
        <w:rPr>
          <w:szCs w:val="20"/>
        </w:rPr>
        <w:t>Requerir, por las razones expuestas en la presente Resolución, de conformidad con el principio de economía procesal y en ejercicio de la facultad que le otorga el artículo 50.1 del Reglamento de la Corte, que las siguientes personas presten sus declaraciones ante fedatario público (</w:t>
      </w:r>
      <w:r w:rsidR="0034795F" w:rsidRPr="0034795F">
        <w:rPr>
          <w:i/>
          <w:szCs w:val="20"/>
          <w:lang w:val="es-ES"/>
        </w:rPr>
        <w:t>affid</w:t>
      </w:r>
      <w:r w:rsidR="00DA08E3">
        <w:rPr>
          <w:i/>
          <w:szCs w:val="20"/>
          <w:lang w:val="es-ES"/>
        </w:rPr>
        <w:t>á</w:t>
      </w:r>
      <w:r w:rsidR="0034795F" w:rsidRPr="0034795F">
        <w:rPr>
          <w:i/>
          <w:szCs w:val="20"/>
          <w:lang w:val="es-ES"/>
        </w:rPr>
        <w:t>vit</w:t>
      </w:r>
      <w:r w:rsidRPr="00B456A2">
        <w:rPr>
          <w:szCs w:val="20"/>
          <w:lang w:val="es-ES"/>
        </w:rPr>
        <w:t>):</w:t>
      </w:r>
    </w:p>
    <w:p w14:paraId="703145C8" w14:textId="77777777" w:rsidR="001A080A" w:rsidRPr="00B456A2" w:rsidRDefault="001A080A" w:rsidP="00FA4BD7">
      <w:pPr>
        <w:pStyle w:val="ListParagraph"/>
        <w:tabs>
          <w:tab w:val="left" w:pos="0"/>
        </w:tabs>
        <w:rPr>
          <w:szCs w:val="20"/>
          <w:lang w:val="es-ES"/>
        </w:rPr>
      </w:pPr>
    </w:p>
    <w:p w14:paraId="7183EAD5" w14:textId="7B534702" w:rsidR="00FD64E3" w:rsidRPr="00B456A2" w:rsidRDefault="00310978" w:rsidP="00FD64E3">
      <w:pPr>
        <w:tabs>
          <w:tab w:val="left" w:pos="0"/>
        </w:tabs>
        <w:rPr>
          <w:b/>
          <w:szCs w:val="20"/>
          <w:lang w:val="es-MX"/>
        </w:rPr>
      </w:pPr>
      <w:r>
        <w:rPr>
          <w:b/>
          <w:szCs w:val="20"/>
          <w:lang w:val="es-MX"/>
        </w:rPr>
        <w:t>A</w:t>
      </w:r>
      <w:r w:rsidR="00FD64E3" w:rsidRPr="00B456A2">
        <w:rPr>
          <w:b/>
          <w:szCs w:val="20"/>
          <w:lang w:val="es-MX"/>
        </w:rPr>
        <w:t xml:space="preserve">) </w:t>
      </w:r>
      <w:r w:rsidR="00FD64E3">
        <w:rPr>
          <w:b/>
          <w:szCs w:val="20"/>
          <w:lang w:val="es-MX"/>
        </w:rPr>
        <w:t>Testigos</w:t>
      </w:r>
      <w:r w:rsidR="00FD64E3" w:rsidRPr="00B456A2">
        <w:rPr>
          <w:b/>
          <w:szCs w:val="20"/>
          <w:lang w:val="es-MX"/>
        </w:rPr>
        <w:t xml:space="preserve"> (Propuest</w:t>
      </w:r>
      <w:r w:rsidR="00FD64E3">
        <w:rPr>
          <w:b/>
          <w:szCs w:val="20"/>
          <w:lang w:val="es-MX"/>
        </w:rPr>
        <w:t>os</w:t>
      </w:r>
      <w:r w:rsidR="00FD64E3" w:rsidRPr="00B456A2">
        <w:rPr>
          <w:b/>
          <w:szCs w:val="20"/>
          <w:lang w:val="es-MX"/>
        </w:rPr>
        <w:t xml:space="preserve"> por los representantes)</w:t>
      </w:r>
    </w:p>
    <w:p w14:paraId="2DFA2C58" w14:textId="77777777" w:rsidR="00FD64E3" w:rsidRPr="00FD64E3" w:rsidRDefault="00FD64E3" w:rsidP="00FD64E3">
      <w:pPr>
        <w:pStyle w:val="Ca1"/>
        <w:tabs>
          <w:tab w:val="left" w:pos="0"/>
        </w:tabs>
        <w:rPr>
          <w:lang w:val="es-MX"/>
        </w:rPr>
      </w:pPr>
    </w:p>
    <w:p w14:paraId="187DD1A7" w14:textId="434CA1D0" w:rsidR="00310978" w:rsidRPr="00310978" w:rsidRDefault="00310978" w:rsidP="004A1F27">
      <w:pPr>
        <w:pStyle w:val="ListParagraph"/>
        <w:numPr>
          <w:ilvl w:val="0"/>
          <w:numId w:val="27"/>
        </w:numPr>
        <w:tabs>
          <w:tab w:val="left" w:pos="0"/>
          <w:tab w:val="left" w:pos="993"/>
        </w:tabs>
        <w:ind w:left="567" w:firstLine="0"/>
        <w:rPr>
          <w:szCs w:val="20"/>
        </w:rPr>
      </w:pPr>
      <w:r w:rsidRPr="00310978">
        <w:rPr>
          <w:szCs w:val="20"/>
        </w:rPr>
        <w:t>Sandra López</w:t>
      </w:r>
    </w:p>
    <w:p w14:paraId="172D6832" w14:textId="4ABCD486" w:rsidR="00C142FD" w:rsidRPr="00C142FD" w:rsidRDefault="00C142FD" w:rsidP="004A1F27">
      <w:pPr>
        <w:pStyle w:val="ListParagraph"/>
        <w:numPr>
          <w:ilvl w:val="0"/>
          <w:numId w:val="27"/>
        </w:numPr>
        <w:tabs>
          <w:tab w:val="left" w:pos="0"/>
          <w:tab w:val="left" w:pos="993"/>
        </w:tabs>
        <w:ind w:left="567" w:firstLine="0"/>
        <w:rPr>
          <w:szCs w:val="20"/>
        </w:rPr>
      </w:pPr>
      <w:r w:rsidRPr="00C142FD">
        <w:rPr>
          <w:szCs w:val="20"/>
        </w:rPr>
        <w:t>Miguel Ángel González Mendoza</w:t>
      </w:r>
    </w:p>
    <w:p w14:paraId="44030B2C" w14:textId="77777777" w:rsidR="00C142FD" w:rsidRPr="00C142FD" w:rsidRDefault="00C142FD" w:rsidP="004A1F27">
      <w:pPr>
        <w:pStyle w:val="ListParagraph"/>
        <w:numPr>
          <w:ilvl w:val="0"/>
          <w:numId w:val="27"/>
        </w:numPr>
        <w:tabs>
          <w:tab w:val="left" w:pos="0"/>
          <w:tab w:val="left" w:pos="993"/>
        </w:tabs>
        <w:ind w:left="567" w:firstLine="0"/>
        <w:rPr>
          <w:szCs w:val="20"/>
        </w:rPr>
      </w:pPr>
      <w:r w:rsidRPr="00C142FD">
        <w:rPr>
          <w:szCs w:val="20"/>
        </w:rPr>
        <w:t>María Rosa Mendoza</w:t>
      </w:r>
    </w:p>
    <w:p w14:paraId="43D07BFD" w14:textId="3F31682C" w:rsidR="00C142FD" w:rsidRPr="00C142FD" w:rsidRDefault="00C142FD" w:rsidP="004A1F27">
      <w:pPr>
        <w:pStyle w:val="ListParagraph"/>
        <w:numPr>
          <w:ilvl w:val="0"/>
          <w:numId w:val="27"/>
        </w:numPr>
        <w:tabs>
          <w:tab w:val="left" w:pos="0"/>
          <w:tab w:val="left" w:pos="993"/>
        </w:tabs>
        <w:ind w:left="567" w:firstLine="0"/>
        <w:rPr>
          <w:szCs w:val="20"/>
        </w:rPr>
      </w:pPr>
      <w:r w:rsidRPr="00C142FD">
        <w:rPr>
          <w:szCs w:val="20"/>
        </w:rPr>
        <w:t>Mirta del Carmen Fernánde</w:t>
      </w:r>
      <w:r w:rsidR="00FD64E3">
        <w:rPr>
          <w:szCs w:val="20"/>
        </w:rPr>
        <w:t>z</w:t>
      </w:r>
    </w:p>
    <w:p w14:paraId="30316D0E" w14:textId="77777777" w:rsidR="00C142FD" w:rsidRPr="00C142FD" w:rsidRDefault="00C142FD" w:rsidP="004A1F27">
      <w:pPr>
        <w:pStyle w:val="ListParagraph"/>
        <w:numPr>
          <w:ilvl w:val="0"/>
          <w:numId w:val="27"/>
        </w:numPr>
        <w:tabs>
          <w:tab w:val="left" w:pos="0"/>
          <w:tab w:val="left" w:pos="993"/>
        </w:tabs>
        <w:ind w:left="567" w:firstLine="0"/>
        <w:rPr>
          <w:szCs w:val="20"/>
        </w:rPr>
      </w:pPr>
      <w:r w:rsidRPr="00C142FD">
        <w:rPr>
          <w:szCs w:val="20"/>
        </w:rPr>
        <w:t>Enzo Ricardo Blanco</w:t>
      </w:r>
    </w:p>
    <w:p w14:paraId="73318B3F" w14:textId="77777777" w:rsidR="00C142FD" w:rsidRPr="00C142FD" w:rsidRDefault="00C142FD" w:rsidP="004A1F27">
      <w:pPr>
        <w:pStyle w:val="ListParagraph"/>
        <w:numPr>
          <w:ilvl w:val="0"/>
          <w:numId w:val="27"/>
        </w:numPr>
        <w:tabs>
          <w:tab w:val="left" w:pos="0"/>
          <w:tab w:val="left" w:pos="993"/>
        </w:tabs>
        <w:ind w:left="567" w:firstLine="0"/>
        <w:rPr>
          <w:szCs w:val="20"/>
        </w:rPr>
      </w:pPr>
      <w:r w:rsidRPr="00C142FD">
        <w:rPr>
          <w:szCs w:val="20"/>
        </w:rPr>
        <w:t xml:space="preserve">Camila Andrea Blanco </w:t>
      </w:r>
    </w:p>
    <w:p w14:paraId="4EB7F5EF" w14:textId="3BD388E8" w:rsidR="00C142FD" w:rsidRPr="00C142FD" w:rsidRDefault="00C142FD" w:rsidP="004A1F27">
      <w:pPr>
        <w:pStyle w:val="ListParagraph"/>
        <w:numPr>
          <w:ilvl w:val="0"/>
          <w:numId w:val="27"/>
        </w:numPr>
        <w:tabs>
          <w:tab w:val="left" w:pos="0"/>
          <w:tab w:val="left" w:pos="993"/>
        </w:tabs>
        <w:ind w:left="567" w:firstLine="0"/>
        <w:rPr>
          <w:szCs w:val="20"/>
        </w:rPr>
      </w:pPr>
      <w:r w:rsidRPr="00C142FD">
        <w:rPr>
          <w:szCs w:val="20"/>
        </w:rPr>
        <w:t>Carina Maturan</w:t>
      </w:r>
      <w:r w:rsidR="007873FE">
        <w:rPr>
          <w:szCs w:val="20"/>
        </w:rPr>
        <w:t>a</w:t>
      </w:r>
    </w:p>
    <w:p w14:paraId="0262AA05" w14:textId="77777777" w:rsidR="00C142FD" w:rsidRPr="00C142FD" w:rsidRDefault="00C142FD" w:rsidP="004A1F27">
      <w:pPr>
        <w:pStyle w:val="ListParagraph"/>
        <w:numPr>
          <w:ilvl w:val="0"/>
          <w:numId w:val="27"/>
        </w:numPr>
        <w:tabs>
          <w:tab w:val="left" w:pos="0"/>
          <w:tab w:val="left" w:pos="993"/>
        </w:tabs>
        <w:ind w:left="567" w:firstLine="0"/>
        <w:rPr>
          <w:szCs w:val="20"/>
        </w:rPr>
      </w:pPr>
      <w:r w:rsidRPr="00C142FD">
        <w:rPr>
          <w:szCs w:val="20"/>
        </w:rPr>
        <w:t xml:space="preserve">Antonella Vanina Marcolini </w:t>
      </w:r>
    </w:p>
    <w:p w14:paraId="79D2BDC1" w14:textId="77777777" w:rsidR="00C142FD" w:rsidRPr="00C142FD" w:rsidRDefault="00C142FD" w:rsidP="004A1F27">
      <w:pPr>
        <w:pStyle w:val="ListParagraph"/>
        <w:numPr>
          <w:ilvl w:val="0"/>
          <w:numId w:val="27"/>
        </w:numPr>
        <w:tabs>
          <w:tab w:val="left" w:pos="0"/>
          <w:tab w:val="left" w:pos="993"/>
        </w:tabs>
        <w:ind w:left="567" w:firstLine="0"/>
        <w:rPr>
          <w:szCs w:val="20"/>
        </w:rPr>
      </w:pPr>
      <w:r w:rsidRPr="00C142FD">
        <w:rPr>
          <w:szCs w:val="20"/>
        </w:rPr>
        <w:t>Magdalena del Carmen Muñoz</w:t>
      </w:r>
    </w:p>
    <w:p w14:paraId="1AED8172" w14:textId="77777777" w:rsidR="00C142FD" w:rsidRPr="00B456A2" w:rsidRDefault="00C142FD" w:rsidP="004A1F27">
      <w:pPr>
        <w:tabs>
          <w:tab w:val="left" w:pos="0"/>
          <w:tab w:val="left" w:pos="567"/>
        </w:tabs>
        <w:ind w:left="567"/>
        <w:rPr>
          <w:szCs w:val="20"/>
          <w:lang w:val="es-MX"/>
        </w:rPr>
      </w:pPr>
    </w:p>
    <w:p w14:paraId="691BB5D9" w14:textId="79D8DE2F" w:rsidR="007138CC" w:rsidRDefault="00FD64E3" w:rsidP="004A1F27">
      <w:pPr>
        <w:tabs>
          <w:tab w:val="left" w:pos="0"/>
        </w:tabs>
        <w:ind w:left="567"/>
        <w:rPr>
          <w:szCs w:val="20"/>
        </w:rPr>
      </w:pPr>
      <w:r>
        <w:rPr>
          <w:szCs w:val="20"/>
          <w:lang w:val="es-MX"/>
        </w:rPr>
        <w:t xml:space="preserve">Todos los testigos </w:t>
      </w:r>
      <w:r w:rsidR="00C142FD">
        <w:rPr>
          <w:szCs w:val="20"/>
          <w:lang w:val="es-MX"/>
        </w:rPr>
        <w:t>declarar</w:t>
      </w:r>
      <w:r>
        <w:rPr>
          <w:szCs w:val="20"/>
          <w:lang w:val="es-MX"/>
        </w:rPr>
        <w:t>á</w:t>
      </w:r>
      <w:r w:rsidR="00C142FD">
        <w:rPr>
          <w:szCs w:val="20"/>
          <w:lang w:val="es-MX"/>
        </w:rPr>
        <w:t xml:space="preserve">n sobre </w:t>
      </w:r>
      <w:r>
        <w:rPr>
          <w:szCs w:val="20"/>
          <w:lang w:val="es-MX"/>
        </w:rPr>
        <w:t xml:space="preserve">los hechos que conocen en relación al presente caso, </w:t>
      </w:r>
      <w:r w:rsidR="00C142FD" w:rsidRPr="00C142FD">
        <w:rPr>
          <w:szCs w:val="20"/>
        </w:rPr>
        <w:t>las circunstancias de los traslados y las consecuencias que ellos</w:t>
      </w:r>
      <w:r>
        <w:rPr>
          <w:szCs w:val="20"/>
        </w:rPr>
        <w:t xml:space="preserve"> habrían producido </w:t>
      </w:r>
      <w:r w:rsidR="00C142FD" w:rsidRPr="00C142FD">
        <w:rPr>
          <w:szCs w:val="20"/>
        </w:rPr>
        <w:t>en los ex condenados y en su núcleo familiar.</w:t>
      </w:r>
      <w:r>
        <w:rPr>
          <w:szCs w:val="20"/>
        </w:rPr>
        <w:t xml:space="preserve"> </w:t>
      </w:r>
    </w:p>
    <w:p w14:paraId="0385BB6F" w14:textId="77777777" w:rsidR="004A1F27" w:rsidRDefault="004A1F27" w:rsidP="004A1F27">
      <w:pPr>
        <w:tabs>
          <w:tab w:val="left" w:pos="0"/>
        </w:tabs>
        <w:rPr>
          <w:szCs w:val="20"/>
        </w:rPr>
      </w:pPr>
    </w:p>
    <w:p w14:paraId="19F1F410" w14:textId="199ACBA5" w:rsidR="003623A3" w:rsidRPr="00B456A2" w:rsidRDefault="003623A3" w:rsidP="007138CC">
      <w:pPr>
        <w:pStyle w:val="ListParagraph"/>
        <w:numPr>
          <w:ilvl w:val="0"/>
          <w:numId w:val="23"/>
        </w:numPr>
        <w:ind w:left="0" w:firstLine="0"/>
        <w:rPr>
          <w:szCs w:val="20"/>
        </w:rPr>
      </w:pPr>
      <w:r w:rsidRPr="00B456A2">
        <w:rPr>
          <w:szCs w:val="20"/>
        </w:rPr>
        <w:t xml:space="preserve">Requerir al Estado y a los representantes que, de considerarlo pertinente, en lo que les corresponda y de conformidad con el párrafo considerativo </w:t>
      </w:r>
      <w:r w:rsidR="004A1F27">
        <w:rPr>
          <w:szCs w:val="20"/>
        </w:rPr>
        <w:t xml:space="preserve">2 </w:t>
      </w:r>
      <w:r w:rsidRPr="00B456A2">
        <w:rPr>
          <w:szCs w:val="20"/>
        </w:rPr>
        <w:t xml:space="preserve">de la presente Resolución, en el plazo improrrogable que vence el </w:t>
      </w:r>
      <w:r w:rsidR="004A1F27">
        <w:rPr>
          <w:szCs w:val="20"/>
        </w:rPr>
        <w:t>1</w:t>
      </w:r>
      <w:r w:rsidR="006D2E6C">
        <w:rPr>
          <w:szCs w:val="20"/>
        </w:rPr>
        <w:t>9</w:t>
      </w:r>
      <w:r w:rsidR="007138CC" w:rsidRPr="00B4568A">
        <w:rPr>
          <w:szCs w:val="20"/>
        </w:rPr>
        <w:t xml:space="preserve"> de </w:t>
      </w:r>
      <w:r w:rsidR="00EC3B91">
        <w:rPr>
          <w:szCs w:val="20"/>
        </w:rPr>
        <w:t xml:space="preserve">febrero </w:t>
      </w:r>
      <w:r w:rsidR="007138CC" w:rsidRPr="00B4568A">
        <w:rPr>
          <w:szCs w:val="20"/>
        </w:rPr>
        <w:t>de 201</w:t>
      </w:r>
      <w:r w:rsidR="00EC3B91">
        <w:rPr>
          <w:szCs w:val="20"/>
        </w:rPr>
        <w:t>9</w:t>
      </w:r>
      <w:r w:rsidRPr="00B4568A">
        <w:rPr>
          <w:szCs w:val="20"/>
        </w:rPr>
        <w:t xml:space="preserve">, presenten las preguntas que estimen pertinente formular a través de la Corte Interamericana a </w:t>
      </w:r>
      <w:r w:rsidR="007138CC" w:rsidRPr="00B4568A">
        <w:rPr>
          <w:szCs w:val="20"/>
        </w:rPr>
        <w:t xml:space="preserve">los </w:t>
      </w:r>
      <w:r w:rsidRPr="00B4568A">
        <w:rPr>
          <w:szCs w:val="20"/>
        </w:rPr>
        <w:t xml:space="preserve">testigos y peritos referidos en el punto resolutivo </w:t>
      </w:r>
      <w:r w:rsidR="0083079E">
        <w:rPr>
          <w:szCs w:val="20"/>
        </w:rPr>
        <w:t>2</w:t>
      </w:r>
      <w:r w:rsidRPr="00B4568A">
        <w:rPr>
          <w:szCs w:val="20"/>
        </w:rPr>
        <w:t xml:space="preserve">. Las declaraciones y peritajes requeridos en el punto resolutivo </w:t>
      </w:r>
      <w:r w:rsidR="0083079E">
        <w:rPr>
          <w:szCs w:val="20"/>
        </w:rPr>
        <w:t>2</w:t>
      </w:r>
      <w:r w:rsidRPr="00B4568A">
        <w:rPr>
          <w:szCs w:val="20"/>
        </w:rPr>
        <w:t xml:space="preserve"> deberán ser presentados a más tardar el </w:t>
      </w:r>
      <w:r w:rsidR="004A1F27">
        <w:rPr>
          <w:szCs w:val="20"/>
        </w:rPr>
        <w:t>8</w:t>
      </w:r>
      <w:r w:rsidR="00EC3B91">
        <w:rPr>
          <w:szCs w:val="20"/>
        </w:rPr>
        <w:t xml:space="preserve"> de </w:t>
      </w:r>
      <w:r w:rsidR="00AA394F">
        <w:rPr>
          <w:szCs w:val="20"/>
        </w:rPr>
        <w:t>marzo</w:t>
      </w:r>
      <w:r w:rsidR="00EC3B91">
        <w:rPr>
          <w:szCs w:val="20"/>
        </w:rPr>
        <w:t xml:space="preserve"> de 2019</w:t>
      </w:r>
      <w:r w:rsidRPr="00B4568A">
        <w:rPr>
          <w:szCs w:val="20"/>
        </w:rPr>
        <w:t>.</w:t>
      </w:r>
      <w:r w:rsidRPr="00B456A2">
        <w:rPr>
          <w:szCs w:val="20"/>
        </w:rPr>
        <w:t xml:space="preserve"> </w:t>
      </w:r>
      <w:r w:rsidR="0083079E">
        <w:rPr>
          <w:szCs w:val="20"/>
        </w:rPr>
        <w:t>En el caso que l</w:t>
      </w:r>
      <w:r w:rsidR="00EC3B91">
        <w:rPr>
          <w:szCs w:val="20"/>
        </w:rPr>
        <w:t>os peritos convocado</w:t>
      </w:r>
      <w:r w:rsidR="0083079E">
        <w:rPr>
          <w:szCs w:val="20"/>
        </w:rPr>
        <w:t xml:space="preserve">s a declarar durante la audiencia deseen presentar una versión escrita de su peritaje, deberán presentarlo a la Corte a más tardar el </w:t>
      </w:r>
      <w:r w:rsidR="004A1F27">
        <w:rPr>
          <w:szCs w:val="20"/>
        </w:rPr>
        <w:t>8</w:t>
      </w:r>
      <w:r w:rsidR="00EC3B91">
        <w:rPr>
          <w:szCs w:val="20"/>
        </w:rPr>
        <w:t xml:space="preserve"> de </w:t>
      </w:r>
      <w:r w:rsidR="00AA394F">
        <w:rPr>
          <w:szCs w:val="20"/>
        </w:rPr>
        <w:t xml:space="preserve">marzo </w:t>
      </w:r>
      <w:r w:rsidR="0083079E">
        <w:rPr>
          <w:szCs w:val="20"/>
        </w:rPr>
        <w:t>de 201</w:t>
      </w:r>
      <w:r w:rsidR="00EC3B91">
        <w:rPr>
          <w:szCs w:val="20"/>
        </w:rPr>
        <w:t>9</w:t>
      </w:r>
      <w:r w:rsidR="0083079E">
        <w:rPr>
          <w:szCs w:val="20"/>
        </w:rPr>
        <w:t>.</w:t>
      </w:r>
    </w:p>
    <w:p w14:paraId="56A5B818" w14:textId="77777777" w:rsidR="007138CC" w:rsidRPr="00B456A2" w:rsidRDefault="007138CC" w:rsidP="007138CC">
      <w:pPr>
        <w:rPr>
          <w:szCs w:val="20"/>
        </w:rPr>
      </w:pPr>
    </w:p>
    <w:p w14:paraId="722CCC45" w14:textId="450155FF" w:rsidR="003623A3" w:rsidRPr="00B456A2" w:rsidRDefault="003623A3" w:rsidP="007138CC">
      <w:pPr>
        <w:pStyle w:val="ListParagraph"/>
        <w:numPr>
          <w:ilvl w:val="0"/>
          <w:numId w:val="23"/>
        </w:numPr>
        <w:ind w:left="0" w:firstLine="0"/>
        <w:rPr>
          <w:szCs w:val="20"/>
        </w:rPr>
      </w:pPr>
      <w:r w:rsidRPr="00B456A2">
        <w:rPr>
          <w:szCs w:val="20"/>
        </w:rPr>
        <w:t>Requerir a los representantes y a</w:t>
      </w:r>
      <w:r w:rsidR="007138CC" w:rsidRPr="00B456A2">
        <w:rPr>
          <w:szCs w:val="20"/>
        </w:rPr>
        <w:t xml:space="preserve">l Estado </w:t>
      </w:r>
      <w:r w:rsidRPr="00B456A2">
        <w:rPr>
          <w:szCs w:val="20"/>
        </w:rPr>
        <w:t>que coordinen y realicen las diligencias necesarias para que, una vez recibidas las preguntas, si las hubiere, los declarantes propuestos incluyan las respuestas respectivas en sus declaraciones rendidas ante fedatario</w:t>
      </w:r>
      <w:r w:rsidR="00A12940">
        <w:rPr>
          <w:szCs w:val="20"/>
        </w:rPr>
        <w:t xml:space="preserve"> público, de conformidad con los</w:t>
      </w:r>
      <w:r w:rsidRPr="00B456A2">
        <w:rPr>
          <w:szCs w:val="20"/>
        </w:rPr>
        <w:t xml:space="preserve"> </w:t>
      </w:r>
      <w:r w:rsidR="0083079E">
        <w:rPr>
          <w:szCs w:val="20"/>
        </w:rPr>
        <w:t>punto</w:t>
      </w:r>
      <w:r w:rsidR="00A12940">
        <w:rPr>
          <w:szCs w:val="20"/>
        </w:rPr>
        <w:t>s</w:t>
      </w:r>
      <w:r w:rsidR="0083079E">
        <w:rPr>
          <w:szCs w:val="20"/>
        </w:rPr>
        <w:t xml:space="preserve"> resolutivo</w:t>
      </w:r>
      <w:r w:rsidR="00A12940">
        <w:rPr>
          <w:szCs w:val="20"/>
        </w:rPr>
        <w:t>s</w:t>
      </w:r>
      <w:r w:rsidR="0083079E">
        <w:rPr>
          <w:szCs w:val="20"/>
        </w:rPr>
        <w:t xml:space="preserve"> 2</w:t>
      </w:r>
      <w:r w:rsidRPr="00B456A2">
        <w:rPr>
          <w:szCs w:val="20"/>
        </w:rPr>
        <w:t xml:space="preserve"> </w:t>
      </w:r>
      <w:r w:rsidR="00A12940">
        <w:rPr>
          <w:szCs w:val="20"/>
        </w:rPr>
        <w:t xml:space="preserve">y 3 </w:t>
      </w:r>
      <w:r w:rsidRPr="00B456A2">
        <w:rPr>
          <w:szCs w:val="20"/>
        </w:rPr>
        <w:t>de la presente Resolución.</w:t>
      </w:r>
    </w:p>
    <w:p w14:paraId="377EAC74" w14:textId="77777777" w:rsidR="007138CC" w:rsidRPr="00B456A2" w:rsidRDefault="007138CC" w:rsidP="007138CC">
      <w:pPr>
        <w:pStyle w:val="ListParagraph"/>
        <w:ind w:left="0"/>
        <w:rPr>
          <w:szCs w:val="20"/>
        </w:rPr>
      </w:pPr>
    </w:p>
    <w:p w14:paraId="3BA577B1" w14:textId="08705CD2" w:rsidR="003623A3" w:rsidRPr="00B456A2" w:rsidRDefault="003623A3" w:rsidP="007138CC">
      <w:pPr>
        <w:pStyle w:val="ListParagraph"/>
        <w:numPr>
          <w:ilvl w:val="0"/>
          <w:numId w:val="23"/>
        </w:numPr>
        <w:ind w:left="0" w:firstLine="0"/>
        <w:rPr>
          <w:szCs w:val="20"/>
        </w:rPr>
      </w:pPr>
      <w:r w:rsidRPr="00B456A2">
        <w:rPr>
          <w:szCs w:val="20"/>
        </w:rPr>
        <w:t xml:space="preserve">Disponer que, una vez recibidas las declaraciones y peritajes requeridos en el punto resolutivo </w:t>
      </w:r>
      <w:r w:rsidR="0083079E">
        <w:rPr>
          <w:szCs w:val="20"/>
        </w:rPr>
        <w:t>2</w:t>
      </w:r>
      <w:r w:rsidRPr="00B456A2">
        <w:rPr>
          <w:szCs w:val="20"/>
        </w:rPr>
        <w:t>, la Secretaría de la Corte los transmita a los representantes, a la Comisión y al Estado para que, si lo estiman necesario y en los que les corresponda, presenten sus observaciones a dichas declaraciones y peritajes, a más tardar con sus alegatos u observaciones finales escritos.</w:t>
      </w:r>
    </w:p>
    <w:p w14:paraId="10FB8CB3" w14:textId="77777777" w:rsidR="007138CC" w:rsidRPr="00B456A2" w:rsidRDefault="007138CC" w:rsidP="007138CC">
      <w:pPr>
        <w:pStyle w:val="ListParagraph"/>
        <w:ind w:left="0"/>
        <w:rPr>
          <w:szCs w:val="20"/>
        </w:rPr>
      </w:pPr>
    </w:p>
    <w:p w14:paraId="77581251" w14:textId="77777777" w:rsidR="00A12940" w:rsidRPr="00B456A2" w:rsidRDefault="00A12940" w:rsidP="00A12940">
      <w:pPr>
        <w:pStyle w:val="ListParagraph"/>
        <w:numPr>
          <w:ilvl w:val="0"/>
          <w:numId w:val="23"/>
        </w:numPr>
        <w:ind w:left="0" w:firstLine="0"/>
        <w:rPr>
          <w:szCs w:val="20"/>
        </w:rPr>
      </w:pPr>
      <w:r w:rsidRPr="00B456A2">
        <w:rPr>
          <w:szCs w:val="20"/>
        </w:rPr>
        <w:lastRenderedPageBreak/>
        <w:t>Solicitar a los representantes y al Estado que notifiquen la presente Resolución a las personas por ellos propuestas, que han sido convocadas a rendir declaración, de conformidad con lo dispuesto en el artículo 50.2 y 50.4 del Reglamento.</w:t>
      </w:r>
    </w:p>
    <w:p w14:paraId="08C3A0BE" w14:textId="77777777" w:rsidR="00A12940" w:rsidRDefault="00A12940" w:rsidP="00A12940">
      <w:pPr>
        <w:pStyle w:val="ListParagraph"/>
        <w:ind w:left="0"/>
        <w:rPr>
          <w:szCs w:val="20"/>
        </w:rPr>
      </w:pPr>
    </w:p>
    <w:p w14:paraId="1F78B3B2" w14:textId="56B8BFE2" w:rsidR="003623A3" w:rsidRPr="00B456A2" w:rsidRDefault="003623A3" w:rsidP="007138CC">
      <w:pPr>
        <w:pStyle w:val="ListParagraph"/>
        <w:numPr>
          <w:ilvl w:val="0"/>
          <w:numId w:val="23"/>
        </w:numPr>
        <w:ind w:left="0" w:firstLine="0"/>
        <w:rPr>
          <w:szCs w:val="20"/>
        </w:rPr>
      </w:pPr>
      <w:r w:rsidRPr="00B456A2">
        <w:rPr>
          <w:szCs w:val="20"/>
        </w:rPr>
        <w:t xml:space="preserve">Requerir al Estado de </w:t>
      </w:r>
      <w:r w:rsidR="00EC3B91">
        <w:rPr>
          <w:szCs w:val="20"/>
        </w:rPr>
        <w:t>Argentina</w:t>
      </w:r>
      <w:r w:rsidRPr="00B456A2">
        <w:rPr>
          <w:szCs w:val="20"/>
        </w:rPr>
        <w:t xml:space="preserve"> que facilite la salida y entrada de su territorio de los declarantes, si residen o se encuentran en él, quienes han sido citados en la presente Resolución a rendir declaración en la audiencia pública en este caso, de conformidad con lo dispuesto en el artículo 26.1 del Reglamento de la Corte.</w:t>
      </w:r>
    </w:p>
    <w:p w14:paraId="7030AEE7" w14:textId="77777777" w:rsidR="007138CC" w:rsidRPr="00B456A2" w:rsidRDefault="007138CC" w:rsidP="007138CC">
      <w:pPr>
        <w:pStyle w:val="ListParagraph"/>
        <w:ind w:left="0"/>
        <w:rPr>
          <w:szCs w:val="20"/>
        </w:rPr>
      </w:pPr>
    </w:p>
    <w:p w14:paraId="30E7721A" w14:textId="0C99A665" w:rsidR="003623A3" w:rsidRPr="00B456A2" w:rsidRDefault="003623A3" w:rsidP="007138CC">
      <w:pPr>
        <w:pStyle w:val="ListParagraph"/>
        <w:numPr>
          <w:ilvl w:val="0"/>
          <w:numId w:val="23"/>
        </w:numPr>
        <w:ind w:left="0" w:firstLine="0"/>
        <w:rPr>
          <w:szCs w:val="20"/>
        </w:rPr>
      </w:pPr>
      <w:r w:rsidRPr="00B456A2">
        <w:rPr>
          <w:szCs w:val="20"/>
        </w:rPr>
        <w:t>Informar a los representante</w:t>
      </w:r>
      <w:r w:rsidRPr="00AA394F">
        <w:rPr>
          <w:szCs w:val="20"/>
        </w:rPr>
        <w:t>s</w:t>
      </w:r>
      <w:r w:rsidR="007138CC" w:rsidRPr="00AA394F">
        <w:rPr>
          <w:szCs w:val="20"/>
        </w:rPr>
        <w:t xml:space="preserve"> </w:t>
      </w:r>
      <w:r w:rsidR="00EC3B91" w:rsidRPr="00AA394F">
        <w:rPr>
          <w:szCs w:val="20"/>
        </w:rPr>
        <w:t>y a la Comisión</w:t>
      </w:r>
      <w:r w:rsidR="00EC3B91">
        <w:rPr>
          <w:szCs w:val="20"/>
        </w:rPr>
        <w:t xml:space="preserve"> </w:t>
      </w:r>
      <w:r w:rsidRPr="00B456A2">
        <w:rPr>
          <w:szCs w:val="20"/>
        </w:rPr>
        <w:t>que deben cubrir los gastos que ocasione la aportación o rendición de la prueba propuesta por ellos, de conformidad con lo dispuesto en el artículo 60 del Reglamento.</w:t>
      </w:r>
    </w:p>
    <w:p w14:paraId="198F6DDE" w14:textId="77777777" w:rsidR="007138CC" w:rsidRPr="00B456A2" w:rsidRDefault="007138CC" w:rsidP="007138CC">
      <w:pPr>
        <w:pStyle w:val="ListParagraph"/>
        <w:ind w:left="0"/>
        <w:rPr>
          <w:szCs w:val="20"/>
        </w:rPr>
      </w:pPr>
    </w:p>
    <w:p w14:paraId="3F5E27B6" w14:textId="1907530F" w:rsidR="003623A3" w:rsidRPr="00B456A2" w:rsidRDefault="003623A3" w:rsidP="007138CC">
      <w:pPr>
        <w:pStyle w:val="ListParagraph"/>
        <w:numPr>
          <w:ilvl w:val="0"/>
          <w:numId w:val="23"/>
        </w:numPr>
        <w:ind w:left="0" w:firstLine="0"/>
        <w:rPr>
          <w:szCs w:val="20"/>
        </w:rPr>
      </w:pPr>
      <w:r w:rsidRPr="00B456A2">
        <w:rPr>
          <w:szCs w:val="20"/>
        </w:rPr>
        <w:t>Requerir a los representa</w:t>
      </w:r>
      <w:r w:rsidRPr="00AA394F">
        <w:rPr>
          <w:szCs w:val="20"/>
        </w:rPr>
        <w:t>ntes</w:t>
      </w:r>
      <w:r w:rsidR="007138CC" w:rsidRPr="00AA394F">
        <w:rPr>
          <w:szCs w:val="20"/>
        </w:rPr>
        <w:t xml:space="preserve"> y</w:t>
      </w:r>
      <w:r w:rsidRPr="00AA394F">
        <w:rPr>
          <w:szCs w:val="20"/>
        </w:rPr>
        <w:t xml:space="preserve"> </w:t>
      </w:r>
      <w:r w:rsidR="00EC3B91" w:rsidRPr="00AA394F">
        <w:rPr>
          <w:szCs w:val="20"/>
        </w:rPr>
        <w:t>a la Comisión</w:t>
      </w:r>
      <w:r w:rsidRPr="00AA394F">
        <w:rPr>
          <w:szCs w:val="20"/>
        </w:rPr>
        <w:t xml:space="preserve"> qu</w:t>
      </w:r>
      <w:r w:rsidRPr="00B456A2">
        <w:rPr>
          <w:szCs w:val="20"/>
        </w:rPr>
        <w:t>e informen a las personas convocadas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14:paraId="44624D35" w14:textId="77777777" w:rsidR="007138CC" w:rsidRPr="00B456A2" w:rsidRDefault="007138CC" w:rsidP="007138CC">
      <w:pPr>
        <w:pStyle w:val="ListParagraph"/>
        <w:ind w:left="0"/>
        <w:rPr>
          <w:szCs w:val="20"/>
        </w:rPr>
      </w:pPr>
    </w:p>
    <w:p w14:paraId="1A2634A1" w14:textId="1F5BE9D6" w:rsidR="003623A3" w:rsidRPr="00B456A2" w:rsidRDefault="003623A3" w:rsidP="007138CC">
      <w:pPr>
        <w:pStyle w:val="ListParagraph"/>
        <w:numPr>
          <w:ilvl w:val="0"/>
          <w:numId w:val="23"/>
        </w:numPr>
        <w:ind w:left="0" w:firstLine="0"/>
        <w:rPr>
          <w:szCs w:val="20"/>
        </w:rPr>
      </w:pPr>
      <w:r w:rsidRPr="00B456A2">
        <w:rPr>
          <w:szCs w:val="20"/>
        </w:rPr>
        <w:t>Informar a los representantes, al Estado y a la Comisión Interamericana que, al término de las declaraciones rendidas en la audiencia pública, podrán presentar ante el Tribunal sus alegatos finales orales y observaciones finales orales, respectivamente, sobre las excepciones preliminares, eventuales fondo</w:t>
      </w:r>
      <w:r w:rsidR="00B4568A">
        <w:rPr>
          <w:szCs w:val="20"/>
        </w:rPr>
        <w:t>,</w:t>
      </w:r>
      <w:r w:rsidRPr="00B456A2">
        <w:rPr>
          <w:szCs w:val="20"/>
        </w:rPr>
        <w:t xml:space="preserve"> reparaciones y costas en este caso.</w:t>
      </w:r>
    </w:p>
    <w:p w14:paraId="23B42BD0" w14:textId="77777777" w:rsidR="007138CC" w:rsidRPr="00B456A2" w:rsidRDefault="007138CC" w:rsidP="007138CC">
      <w:pPr>
        <w:pStyle w:val="ListParagraph"/>
        <w:ind w:left="0"/>
        <w:rPr>
          <w:szCs w:val="20"/>
        </w:rPr>
      </w:pPr>
    </w:p>
    <w:p w14:paraId="46BDD137" w14:textId="63A6C266" w:rsidR="003623A3" w:rsidRDefault="003623A3" w:rsidP="007138CC">
      <w:pPr>
        <w:pStyle w:val="ListParagraph"/>
        <w:numPr>
          <w:ilvl w:val="0"/>
          <w:numId w:val="23"/>
        </w:numPr>
        <w:ind w:left="0" w:firstLine="0"/>
        <w:rPr>
          <w:szCs w:val="20"/>
        </w:rPr>
      </w:pPr>
      <w:r w:rsidRPr="00B456A2">
        <w:rPr>
          <w:szCs w:val="20"/>
        </w:rPr>
        <w:t xml:space="preserve">Informar a los representantes, al Estado y a la Comisión Interamericana que cuentan con un plazo hasta el </w:t>
      </w:r>
      <w:r w:rsidR="00AA394F">
        <w:rPr>
          <w:szCs w:val="20"/>
        </w:rPr>
        <w:t>15</w:t>
      </w:r>
      <w:r w:rsidRPr="00B456A2">
        <w:rPr>
          <w:szCs w:val="20"/>
        </w:rPr>
        <w:t xml:space="preserve"> de </w:t>
      </w:r>
      <w:r w:rsidR="00D03680">
        <w:rPr>
          <w:szCs w:val="20"/>
        </w:rPr>
        <w:t>abril</w:t>
      </w:r>
      <w:r w:rsidR="007138CC" w:rsidRPr="00B456A2">
        <w:rPr>
          <w:szCs w:val="20"/>
        </w:rPr>
        <w:t xml:space="preserve"> </w:t>
      </w:r>
      <w:r w:rsidRPr="00B456A2">
        <w:rPr>
          <w:szCs w:val="20"/>
        </w:rPr>
        <w:t>de 201</w:t>
      </w:r>
      <w:r w:rsidR="00D03680">
        <w:rPr>
          <w:szCs w:val="20"/>
        </w:rPr>
        <w:t>9</w:t>
      </w:r>
      <w:r w:rsidRPr="00B456A2">
        <w:rPr>
          <w:szCs w:val="20"/>
        </w:rPr>
        <w:t xml:space="preserve"> para presentar sus alegatos finales escritos y observaciones finales escritas, respectivamente, en relación con las excepciones preliminares, eventuales fondo y reparaciones y costas. Este plazo es improrrogable.</w:t>
      </w:r>
    </w:p>
    <w:p w14:paraId="000D4857" w14:textId="77777777" w:rsidR="00CA3399" w:rsidRPr="00CA3399" w:rsidRDefault="00CA3399" w:rsidP="00CA3399">
      <w:pPr>
        <w:pStyle w:val="ListParagraph"/>
        <w:rPr>
          <w:szCs w:val="20"/>
        </w:rPr>
      </w:pPr>
    </w:p>
    <w:p w14:paraId="250D0889" w14:textId="4C938427" w:rsidR="00CA3399" w:rsidRDefault="00CA3399" w:rsidP="007138CC">
      <w:pPr>
        <w:pStyle w:val="ListParagraph"/>
        <w:numPr>
          <w:ilvl w:val="0"/>
          <w:numId w:val="23"/>
        </w:numPr>
        <w:ind w:left="0" w:firstLine="0"/>
        <w:rPr>
          <w:szCs w:val="20"/>
        </w:rPr>
      </w:pPr>
      <w:r w:rsidRPr="00CA3399">
        <w:rPr>
          <w:szCs w:val="20"/>
        </w:rPr>
        <w:t xml:space="preserve">Declarar procedente la aplicación del Fondo de Asistencia Legal de Víctimas de la Corte Interamericana en los términos dispuestos en los párrafos considerativos </w:t>
      </w:r>
      <w:r w:rsidR="006D2E6C">
        <w:rPr>
          <w:szCs w:val="20"/>
        </w:rPr>
        <w:t>15</w:t>
      </w:r>
      <w:r w:rsidRPr="00CA3399">
        <w:rPr>
          <w:szCs w:val="20"/>
        </w:rPr>
        <w:t xml:space="preserve"> a </w:t>
      </w:r>
      <w:r w:rsidR="006D2E6C">
        <w:rPr>
          <w:szCs w:val="20"/>
        </w:rPr>
        <w:t>20</w:t>
      </w:r>
      <w:r w:rsidRPr="00CA3399">
        <w:rPr>
          <w:szCs w:val="20"/>
        </w:rPr>
        <w:t xml:space="preserve"> de esta Resolución.</w:t>
      </w:r>
    </w:p>
    <w:p w14:paraId="1CE5FD76" w14:textId="77777777" w:rsidR="00CA3399" w:rsidRPr="00CA3399" w:rsidRDefault="00CA3399" w:rsidP="00CA3399">
      <w:pPr>
        <w:pStyle w:val="ListParagraph"/>
        <w:rPr>
          <w:szCs w:val="20"/>
        </w:rPr>
      </w:pPr>
    </w:p>
    <w:p w14:paraId="390200D0" w14:textId="64F046AF" w:rsidR="00CA3399" w:rsidRPr="00B456A2" w:rsidRDefault="00CA3399" w:rsidP="007138CC">
      <w:pPr>
        <w:pStyle w:val="ListParagraph"/>
        <w:numPr>
          <w:ilvl w:val="0"/>
          <w:numId w:val="23"/>
        </w:numPr>
        <w:ind w:left="0" w:firstLine="0"/>
        <w:rPr>
          <w:szCs w:val="20"/>
        </w:rPr>
      </w:pPr>
      <w:r w:rsidRPr="00CA3399">
        <w:rPr>
          <w:szCs w:val="20"/>
        </w:rPr>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14:paraId="49AA05FA" w14:textId="1261587F" w:rsidR="007138CC" w:rsidRPr="00B456A2" w:rsidRDefault="007138CC" w:rsidP="007138CC">
      <w:pPr>
        <w:pStyle w:val="ListParagraph"/>
        <w:ind w:left="0"/>
        <w:rPr>
          <w:szCs w:val="20"/>
        </w:rPr>
      </w:pPr>
    </w:p>
    <w:p w14:paraId="383F6F84" w14:textId="2EF64056" w:rsidR="007138CC" w:rsidRPr="00B456A2" w:rsidRDefault="003623A3" w:rsidP="00664EE7">
      <w:pPr>
        <w:pStyle w:val="ListParagraph"/>
        <w:numPr>
          <w:ilvl w:val="0"/>
          <w:numId w:val="23"/>
        </w:numPr>
        <w:ind w:left="0" w:firstLine="0"/>
        <w:rPr>
          <w:szCs w:val="20"/>
        </w:rPr>
      </w:pPr>
      <w:r w:rsidRPr="00B456A2">
        <w:rPr>
          <w:szCs w:val="20"/>
        </w:rPr>
        <w:t xml:space="preserve">Disponer que la Secretaría de la Corte notifique la presente Resolución a los representantes, a la República </w:t>
      </w:r>
      <w:r w:rsidR="00D03680">
        <w:rPr>
          <w:szCs w:val="20"/>
        </w:rPr>
        <w:t>Argentina</w:t>
      </w:r>
      <w:r w:rsidRPr="00B456A2">
        <w:rPr>
          <w:szCs w:val="20"/>
        </w:rPr>
        <w:t xml:space="preserve"> y a la Comisión Interamericana de Derechos Humanos. </w:t>
      </w:r>
    </w:p>
    <w:p w14:paraId="0F7460E3" w14:textId="406B1E52" w:rsidR="008673F2" w:rsidRDefault="008673F2" w:rsidP="007138CC">
      <w:pPr>
        <w:pStyle w:val="Ca1"/>
        <w:tabs>
          <w:tab w:val="left" w:pos="0"/>
        </w:tabs>
      </w:pPr>
    </w:p>
    <w:p w14:paraId="75D216C6" w14:textId="0AF53F2A" w:rsidR="007A07B7" w:rsidRDefault="007A07B7" w:rsidP="007A07B7">
      <w:pPr>
        <w:pStyle w:val="FootnoteText"/>
      </w:pPr>
    </w:p>
    <w:p w14:paraId="17C0B0CE" w14:textId="77777777" w:rsidR="007A07B7" w:rsidRDefault="007A07B7" w:rsidP="007A07B7">
      <w:pPr>
        <w:pStyle w:val="FootnoteText"/>
      </w:pPr>
    </w:p>
    <w:p w14:paraId="564B8083" w14:textId="77777777" w:rsidR="007A07B7" w:rsidRDefault="007A07B7" w:rsidP="007A07B7">
      <w:pPr>
        <w:pStyle w:val="FootnoteText"/>
      </w:pPr>
    </w:p>
    <w:p w14:paraId="298E0BD7" w14:textId="77777777" w:rsidR="007A07B7" w:rsidRDefault="007A07B7" w:rsidP="007A07B7">
      <w:pPr>
        <w:pStyle w:val="FootnoteText"/>
      </w:pPr>
    </w:p>
    <w:p w14:paraId="4969004F" w14:textId="69E26515" w:rsidR="007A07B7" w:rsidRDefault="007A07B7" w:rsidP="007A07B7">
      <w:pPr>
        <w:pStyle w:val="FootnoteText"/>
      </w:pPr>
    </w:p>
    <w:p w14:paraId="5C3DC24B" w14:textId="77777777" w:rsidR="007A07B7" w:rsidRDefault="007A07B7" w:rsidP="007A07B7">
      <w:pPr>
        <w:pStyle w:val="FootnoteText"/>
      </w:pPr>
    </w:p>
    <w:p w14:paraId="4853B127" w14:textId="77777777" w:rsidR="007A07B7" w:rsidRDefault="007A07B7" w:rsidP="007A07B7">
      <w:pPr>
        <w:pStyle w:val="FootnoteText"/>
      </w:pPr>
    </w:p>
    <w:p w14:paraId="2E9440A9" w14:textId="77777777" w:rsidR="007A07B7" w:rsidRDefault="007A07B7" w:rsidP="007A07B7">
      <w:pPr>
        <w:pStyle w:val="FootnoteText"/>
      </w:pPr>
    </w:p>
    <w:p w14:paraId="08816AB1" w14:textId="77777777" w:rsidR="007A07B7" w:rsidRDefault="007A07B7" w:rsidP="007A07B7">
      <w:pPr>
        <w:pStyle w:val="FootnoteText"/>
      </w:pPr>
    </w:p>
    <w:p w14:paraId="67E6ACDD" w14:textId="77777777" w:rsidR="007A07B7" w:rsidRDefault="007A07B7" w:rsidP="007A07B7">
      <w:pPr>
        <w:pStyle w:val="FootnoteText"/>
      </w:pPr>
    </w:p>
    <w:p w14:paraId="17828CB4" w14:textId="77777777" w:rsidR="007A07B7" w:rsidRDefault="007A07B7" w:rsidP="007A07B7">
      <w:pPr>
        <w:pStyle w:val="FootnoteText"/>
      </w:pPr>
    </w:p>
    <w:p w14:paraId="065C96E2" w14:textId="77777777" w:rsidR="007A07B7" w:rsidRDefault="007A07B7" w:rsidP="007A07B7">
      <w:pPr>
        <w:pStyle w:val="FootnoteText"/>
      </w:pPr>
    </w:p>
    <w:p w14:paraId="29150623" w14:textId="77777777" w:rsidR="007A07B7" w:rsidRDefault="007A07B7" w:rsidP="007A07B7">
      <w:pPr>
        <w:pStyle w:val="FootnoteText"/>
      </w:pPr>
    </w:p>
    <w:p w14:paraId="269942BC" w14:textId="77777777" w:rsidR="007A07B7" w:rsidRDefault="007A07B7" w:rsidP="007A07B7">
      <w:pPr>
        <w:pStyle w:val="FootnoteText"/>
      </w:pPr>
    </w:p>
    <w:p w14:paraId="5CB1BE5A" w14:textId="0DE2ECD2" w:rsidR="007A07B7" w:rsidRDefault="007A07B7" w:rsidP="007A07B7">
      <w:pPr>
        <w:pStyle w:val="FootnoteText"/>
      </w:pPr>
    </w:p>
    <w:p w14:paraId="29E057D1" w14:textId="2D233C14" w:rsidR="007A07B7" w:rsidRDefault="007A07B7" w:rsidP="007A07B7">
      <w:pPr>
        <w:pStyle w:val="FootnoteText"/>
      </w:pPr>
    </w:p>
    <w:p w14:paraId="1E95AD97" w14:textId="1CDE5334" w:rsidR="007A07B7" w:rsidRDefault="007A07B7" w:rsidP="007A07B7">
      <w:pPr>
        <w:pStyle w:val="FootnoteText"/>
      </w:pPr>
    </w:p>
    <w:p w14:paraId="6F314A53" w14:textId="41E7F756" w:rsidR="007A07B7" w:rsidRDefault="007A07B7" w:rsidP="007A07B7">
      <w:pPr>
        <w:pStyle w:val="FootnoteText"/>
      </w:pPr>
    </w:p>
    <w:p w14:paraId="50FD5580" w14:textId="334B69CF" w:rsidR="007A07B7" w:rsidRDefault="007A07B7" w:rsidP="007A07B7">
      <w:pPr>
        <w:pStyle w:val="FootnoteText"/>
      </w:pPr>
    </w:p>
    <w:p w14:paraId="21C5F960" w14:textId="55A3EB83" w:rsidR="007A07B7" w:rsidRPr="007A07B7" w:rsidRDefault="007A07B7" w:rsidP="007A07B7">
      <w:pPr>
        <w:pStyle w:val="FootnoteText"/>
      </w:pPr>
    </w:p>
    <w:p w14:paraId="0768A591" w14:textId="622955F9" w:rsidR="004963A4" w:rsidRDefault="004963A4" w:rsidP="004963A4">
      <w:pPr>
        <w:pStyle w:val="FootnoteText"/>
      </w:pPr>
    </w:p>
    <w:p w14:paraId="2EFA6D3D" w14:textId="2F081BE7" w:rsidR="004963A4" w:rsidRDefault="004963A4" w:rsidP="004963A4">
      <w:pPr>
        <w:pStyle w:val="FootnoteText"/>
      </w:pPr>
    </w:p>
    <w:p w14:paraId="64BB5520" w14:textId="3580A6B6" w:rsidR="004963A4" w:rsidRPr="00D04DBD" w:rsidRDefault="004963A4" w:rsidP="004963A4">
      <w:pPr>
        <w:pStyle w:val="FootnoteText"/>
        <w:jc w:val="right"/>
        <w:rPr>
          <w:lang w:val="pt-BR"/>
        </w:rPr>
      </w:pPr>
      <w:r w:rsidRPr="00D04DBD">
        <w:rPr>
          <w:lang w:val="pt-BR"/>
        </w:rPr>
        <w:t>Eduardo Ferrer Mac-Gregor Poisot</w:t>
      </w:r>
    </w:p>
    <w:p w14:paraId="01BD8D23" w14:textId="0C57C346" w:rsidR="004963A4" w:rsidRPr="00D04DBD" w:rsidRDefault="004963A4" w:rsidP="004963A4">
      <w:pPr>
        <w:pStyle w:val="FootnoteText"/>
        <w:ind w:left="4956" w:firstLine="708"/>
        <w:jc w:val="center"/>
        <w:rPr>
          <w:lang w:val="pt-BR"/>
        </w:rPr>
      </w:pPr>
      <w:r w:rsidRPr="00D04DBD">
        <w:rPr>
          <w:lang w:val="pt-BR"/>
        </w:rPr>
        <w:t xml:space="preserve">Presidente </w:t>
      </w:r>
    </w:p>
    <w:p w14:paraId="1C2CCB95" w14:textId="43B230CE" w:rsidR="004963A4" w:rsidRDefault="004963A4" w:rsidP="004963A4">
      <w:pPr>
        <w:pStyle w:val="FootnoteText"/>
        <w:rPr>
          <w:lang w:val="pt-BR"/>
        </w:rPr>
      </w:pPr>
    </w:p>
    <w:p w14:paraId="0A06E972" w14:textId="77777777" w:rsidR="007A07B7" w:rsidRDefault="007A07B7" w:rsidP="004963A4">
      <w:pPr>
        <w:pStyle w:val="FootnoteText"/>
        <w:rPr>
          <w:lang w:val="pt-BR"/>
        </w:rPr>
      </w:pPr>
    </w:p>
    <w:p w14:paraId="05B1589D" w14:textId="77777777" w:rsidR="007A07B7" w:rsidRDefault="007A07B7" w:rsidP="004963A4">
      <w:pPr>
        <w:pStyle w:val="FootnoteText"/>
        <w:rPr>
          <w:lang w:val="pt-BR"/>
        </w:rPr>
      </w:pPr>
    </w:p>
    <w:p w14:paraId="7FA144F1" w14:textId="77777777" w:rsidR="007A07B7" w:rsidRDefault="007A07B7" w:rsidP="004963A4">
      <w:pPr>
        <w:pStyle w:val="FootnoteText"/>
        <w:rPr>
          <w:lang w:val="pt-BR"/>
        </w:rPr>
      </w:pPr>
    </w:p>
    <w:p w14:paraId="68DEBD72" w14:textId="77777777" w:rsidR="007A07B7" w:rsidRDefault="007A07B7" w:rsidP="004963A4">
      <w:pPr>
        <w:pStyle w:val="FootnoteText"/>
        <w:rPr>
          <w:lang w:val="pt-BR"/>
        </w:rPr>
      </w:pPr>
    </w:p>
    <w:p w14:paraId="4416ADD5" w14:textId="77777777" w:rsidR="007A07B7" w:rsidRPr="00D04DBD" w:rsidRDefault="007A07B7" w:rsidP="004963A4">
      <w:pPr>
        <w:pStyle w:val="FootnoteText"/>
        <w:rPr>
          <w:lang w:val="pt-BR"/>
        </w:rPr>
      </w:pPr>
    </w:p>
    <w:p w14:paraId="4326B5BC" w14:textId="664A2DC0" w:rsidR="004963A4" w:rsidRDefault="004963A4" w:rsidP="004963A4">
      <w:pPr>
        <w:pStyle w:val="FootnoteText"/>
      </w:pPr>
      <w:r>
        <w:t>Pablo Saavedra Alessandri</w:t>
      </w:r>
    </w:p>
    <w:p w14:paraId="3F16BC7F" w14:textId="13C0E7B2" w:rsidR="004963A4" w:rsidRDefault="004963A4" w:rsidP="004963A4">
      <w:pPr>
        <w:pStyle w:val="FootnoteText"/>
      </w:pPr>
      <w:r>
        <w:t xml:space="preserve">       Secretario </w:t>
      </w:r>
    </w:p>
    <w:p w14:paraId="5A8C7E13" w14:textId="77777777" w:rsidR="004963A4" w:rsidRDefault="004963A4" w:rsidP="004963A4">
      <w:pPr>
        <w:pStyle w:val="FootnoteText"/>
      </w:pPr>
    </w:p>
    <w:p w14:paraId="0C6A0FAD" w14:textId="77777777" w:rsidR="00286F34" w:rsidRDefault="00286F34" w:rsidP="004963A4">
      <w:pPr>
        <w:pStyle w:val="FootnoteText"/>
      </w:pPr>
    </w:p>
    <w:p w14:paraId="0FDA1DE0" w14:textId="77777777" w:rsidR="007A07B7" w:rsidRDefault="007A07B7" w:rsidP="004963A4">
      <w:pPr>
        <w:pStyle w:val="FootnoteText"/>
      </w:pPr>
    </w:p>
    <w:p w14:paraId="3DB8C3BC" w14:textId="77777777" w:rsidR="007A07B7" w:rsidRDefault="007A07B7" w:rsidP="004963A4">
      <w:pPr>
        <w:pStyle w:val="FootnoteText"/>
      </w:pPr>
    </w:p>
    <w:p w14:paraId="7439E753" w14:textId="77777777" w:rsidR="007A07B7" w:rsidRDefault="007A07B7" w:rsidP="004963A4">
      <w:pPr>
        <w:pStyle w:val="FootnoteText"/>
      </w:pPr>
    </w:p>
    <w:p w14:paraId="6C6C47CC" w14:textId="7180D51E" w:rsidR="007A07B7" w:rsidRDefault="007A07B7" w:rsidP="004963A4">
      <w:pPr>
        <w:pStyle w:val="FootnoteText"/>
      </w:pPr>
    </w:p>
    <w:p w14:paraId="5ACD7C73" w14:textId="0867A8A8" w:rsidR="004963A4" w:rsidRDefault="004963A4" w:rsidP="004963A4">
      <w:pPr>
        <w:pStyle w:val="FootnoteText"/>
      </w:pPr>
      <w:r>
        <w:t>Comuníquese y ejecútese,</w:t>
      </w:r>
    </w:p>
    <w:p w14:paraId="2983BE4C" w14:textId="0C8ED56A" w:rsidR="004963A4" w:rsidRDefault="004963A4" w:rsidP="004963A4">
      <w:pPr>
        <w:pStyle w:val="FootnoteText"/>
      </w:pPr>
    </w:p>
    <w:p w14:paraId="110B45A3" w14:textId="14841ECB" w:rsidR="007A07B7" w:rsidRDefault="007A07B7" w:rsidP="004963A4">
      <w:pPr>
        <w:pStyle w:val="FootnoteText"/>
      </w:pPr>
    </w:p>
    <w:p w14:paraId="787B40AC" w14:textId="438FB400" w:rsidR="007A07B7" w:rsidRDefault="007A07B7" w:rsidP="004963A4">
      <w:pPr>
        <w:pStyle w:val="FootnoteText"/>
      </w:pPr>
    </w:p>
    <w:p w14:paraId="2B6D0B1C" w14:textId="48FCB03F" w:rsidR="007A07B7" w:rsidRDefault="007A07B7" w:rsidP="004963A4">
      <w:pPr>
        <w:pStyle w:val="FootnoteText"/>
      </w:pPr>
    </w:p>
    <w:p w14:paraId="114FF822" w14:textId="77777777" w:rsidR="007A07B7" w:rsidRDefault="007A07B7" w:rsidP="004963A4">
      <w:pPr>
        <w:pStyle w:val="FootnoteText"/>
      </w:pPr>
    </w:p>
    <w:p w14:paraId="43EEE45A" w14:textId="381ABBE3" w:rsidR="007A07B7" w:rsidRDefault="007A07B7" w:rsidP="004963A4">
      <w:pPr>
        <w:pStyle w:val="FootnoteText"/>
      </w:pPr>
    </w:p>
    <w:p w14:paraId="3EBB2CC8" w14:textId="5760BBCB" w:rsidR="007A07B7" w:rsidRDefault="007A07B7" w:rsidP="004963A4">
      <w:pPr>
        <w:pStyle w:val="FootnoteText"/>
      </w:pPr>
    </w:p>
    <w:p w14:paraId="2DB1D790" w14:textId="5E9DE84C" w:rsidR="007A07B7" w:rsidRDefault="007A07B7" w:rsidP="004963A4">
      <w:pPr>
        <w:pStyle w:val="FootnoteText"/>
      </w:pPr>
    </w:p>
    <w:p w14:paraId="7ACE11C6" w14:textId="0C21F264" w:rsidR="004963A4" w:rsidRPr="004A1F27" w:rsidRDefault="004963A4" w:rsidP="004963A4">
      <w:pPr>
        <w:pStyle w:val="FootnoteText"/>
        <w:jc w:val="right"/>
        <w:rPr>
          <w:lang w:val="pt-BR"/>
        </w:rPr>
      </w:pPr>
      <w:r w:rsidRPr="004A1F27">
        <w:rPr>
          <w:lang w:val="pt-BR"/>
        </w:rPr>
        <w:t>Eduardo Ferrer Mac-Gregor Poisot</w:t>
      </w:r>
    </w:p>
    <w:p w14:paraId="4E8CE006" w14:textId="77777777" w:rsidR="004963A4" w:rsidRPr="004A1F27" w:rsidRDefault="004963A4" w:rsidP="004963A4">
      <w:pPr>
        <w:pStyle w:val="FootnoteText"/>
        <w:ind w:left="4956" w:firstLine="708"/>
        <w:jc w:val="center"/>
        <w:rPr>
          <w:lang w:val="pt-BR"/>
        </w:rPr>
      </w:pPr>
      <w:r w:rsidRPr="004A1F27">
        <w:rPr>
          <w:lang w:val="pt-BR"/>
        </w:rPr>
        <w:t xml:space="preserve">Presidente </w:t>
      </w:r>
    </w:p>
    <w:p w14:paraId="43669D54" w14:textId="3F8CC1B4" w:rsidR="00286F34" w:rsidRDefault="00286F34" w:rsidP="004963A4">
      <w:pPr>
        <w:pStyle w:val="FootnoteText"/>
        <w:rPr>
          <w:lang w:val="pt-BR"/>
        </w:rPr>
      </w:pPr>
    </w:p>
    <w:p w14:paraId="1AA7802A" w14:textId="1B91D180" w:rsidR="007A07B7" w:rsidRDefault="007A07B7" w:rsidP="004963A4">
      <w:pPr>
        <w:pStyle w:val="FootnoteText"/>
        <w:rPr>
          <w:lang w:val="pt-BR"/>
        </w:rPr>
      </w:pPr>
    </w:p>
    <w:p w14:paraId="26EC7E5C" w14:textId="77777777" w:rsidR="007A07B7" w:rsidRDefault="007A07B7" w:rsidP="004963A4">
      <w:pPr>
        <w:pStyle w:val="FootnoteText"/>
        <w:rPr>
          <w:lang w:val="pt-BR"/>
        </w:rPr>
      </w:pPr>
    </w:p>
    <w:p w14:paraId="59B8649D" w14:textId="77777777" w:rsidR="007A07B7" w:rsidRDefault="007A07B7" w:rsidP="004963A4">
      <w:pPr>
        <w:pStyle w:val="FootnoteText"/>
        <w:rPr>
          <w:lang w:val="pt-BR"/>
        </w:rPr>
      </w:pPr>
    </w:p>
    <w:p w14:paraId="11F8C908" w14:textId="77777777" w:rsidR="007A07B7" w:rsidRDefault="007A07B7" w:rsidP="004963A4">
      <w:pPr>
        <w:pStyle w:val="FootnoteText"/>
        <w:rPr>
          <w:lang w:val="pt-BR"/>
        </w:rPr>
      </w:pPr>
    </w:p>
    <w:p w14:paraId="10450443" w14:textId="77777777" w:rsidR="007A07B7" w:rsidRDefault="007A07B7" w:rsidP="004963A4">
      <w:pPr>
        <w:pStyle w:val="FootnoteText"/>
        <w:rPr>
          <w:lang w:val="pt-BR"/>
        </w:rPr>
      </w:pPr>
    </w:p>
    <w:p w14:paraId="42C13556" w14:textId="77777777" w:rsidR="007A07B7" w:rsidRDefault="007A07B7" w:rsidP="004963A4">
      <w:pPr>
        <w:pStyle w:val="FootnoteText"/>
        <w:rPr>
          <w:lang w:val="pt-BR"/>
        </w:rPr>
      </w:pPr>
    </w:p>
    <w:p w14:paraId="09280A86" w14:textId="77777777" w:rsidR="007A07B7" w:rsidRDefault="007A07B7" w:rsidP="004963A4">
      <w:pPr>
        <w:pStyle w:val="FootnoteText"/>
        <w:rPr>
          <w:lang w:val="pt-BR"/>
        </w:rPr>
      </w:pPr>
    </w:p>
    <w:p w14:paraId="53184521" w14:textId="77777777" w:rsidR="004963A4" w:rsidRPr="004A1F27" w:rsidRDefault="004963A4" w:rsidP="004963A4">
      <w:pPr>
        <w:pStyle w:val="FootnoteText"/>
        <w:rPr>
          <w:lang w:val="pt-BR"/>
        </w:rPr>
      </w:pPr>
      <w:r w:rsidRPr="004A1F27">
        <w:rPr>
          <w:lang w:val="pt-BR"/>
        </w:rPr>
        <w:t>Pablo Saavedra Alessandri</w:t>
      </w:r>
    </w:p>
    <w:p w14:paraId="0DB1DDBD" w14:textId="55B53E44" w:rsidR="004963A4" w:rsidRPr="004A1F27" w:rsidRDefault="004963A4" w:rsidP="004963A4">
      <w:pPr>
        <w:pStyle w:val="FootnoteText"/>
        <w:rPr>
          <w:lang w:val="pt-BR"/>
        </w:rPr>
      </w:pPr>
      <w:r w:rsidRPr="004A1F27">
        <w:rPr>
          <w:lang w:val="pt-BR"/>
        </w:rPr>
        <w:t xml:space="preserve">       Secretario </w:t>
      </w:r>
    </w:p>
    <w:sectPr w:rsidR="004963A4" w:rsidRPr="004A1F27" w:rsidSect="000732DD">
      <w:footerReference w:type="default" r:id="rId9"/>
      <w:pgSz w:w="12240" w:h="15840" w:code="1"/>
      <w:pgMar w:top="1474" w:right="1474" w:bottom="1474" w:left="147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D4CF6" w14:textId="77777777" w:rsidR="003D2DB7" w:rsidRDefault="003D2DB7" w:rsidP="00B92A27">
      <w:r>
        <w:separator/>
      </w:r>
    </w:p>
  </w:endnote>
  <w:endnote w:type="continuationSeparator" w:id="0">
    <w:p w14:paraId="2AECF226" w14:textId="77777777" w:rsidR="003D2DB7" w:rsidRDefault="003D2DB7" w:rsidP="00B9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994046"/>
      <w:docPartObj>
        <w:docPartGallery w:val="Page Numbers (Bottom of Page)"/>
        <w:docPartUnique/>
      </w:docPartObj>
    </w:sdtPr>
    <w:sdtEndPr>
      <w:rPr>
        <w:noProof/>
        <w:szCs w:val="20"/>
      </w:rPr>
    </w:sdtEndPr>
    <w:sdtContent>
      <w:p w14:paraId="18F2E19A" w14:textId="77777777" w:rsidR="001A080A" w:rsidRPr="00DF1E41" w:rsidRDefault="001A080A">
        <w:pPr>
          <w:pStyle w:val="Footer"/>
          <w:jc w:val="center"/>
          <w:rPr>
            <w:szCs w:val="20"/>
          </w:rPr>
        </w:pPr>
        <w:r w:rsidRPr="00DF1E41">
          <w:rPr>
            <w:szCs w:val="20"/>
          </w:rPr>
          <w:fldChar w:fldCharType="begin"/>
        </w:r>
        <w:r w:rsidRPr="00DF1E41">
          <w:rPr>
            <w:szCs w:val="20"/>
          </w:rPr>
          <w:instrText xml:space="preserve"> PAGE   \* MERGEFORMAT </w:instrText>
        </w:r>
        <w:r w:rsidRPr="00DF1E41">
          <w:rPr>
            <w:szCs w:val="20"/>
          </w:rPr>
          <w:fldChar w:fldCharType="separate"/>
        </w:r>
        <w:r w:rsidR="004459FE">
          <w:rPr>
            <w:noProof/>
            <w:szCs w:val="20"/>
          </w:rPr>
          <w:t>1</w:t>
        </w:r>
        <w:r w:rsidRPr="00DF1E41">
          <w:rPr>
            <w:noProof/>
            <w:szCs w:val="20"/>
          </w:rPr>
          <w:fldChar w:fldCharType="end"/>
        </w:r>
      </w:p>
    </w:sdtContent>
  </w:sdt>
  <w:p w14:paraId="38C59DF9" w14:textId="77777777" w:rsidR="001A080A" w:rsidRDefault="001A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50CD7" w14:textId="77777777" w:rsidR="003D2DB7" w:rsidRDefault="003D2DB7" w:rsidP="00B92A27">
      <w:r>
        <w:separator/>
      </w:r>
    </w:p>
  </w:footnote>
  <w:footnote w:type="continuationSeparator" w:id="0">
    <w:p w14:paraId="2208DE59" w14:textId="77777777" w:rsidR="003D2DB7" w:rsidRDefault="003D2DB7" w:rsidP="00B92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45FB"/>
    <w:multiLevelType w:val="hybridMultilevel"/>
    <w:tmpl w:val="CBC28D04"/>
    <w:lvl w:ilvl="0" w:tplc="1220CB32">
      <w:start w:val="1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297A91"/>
    <w:multiLevelType w:val="hybridMultilevel"/>
    <w:tmpl w:val="9C4C81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81C3E07"/>
    <w:multiLevelType w:val="hybridMultilevel"/>
    <w:tmpl w:val="969C7540"/>
    <w:lvl w:ilvl="0" w:tplc="580A000F">
      <w:start w:val="1"/>
      <w:numFmt w:val="decimal"/>
      <w:lvlText w:val="%1."/>
      <w:lvlJc w:val="lef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3">
    <w:nsid w:val="11BF72A8"/>
    <w:multiLevelType w:val="hybridMultilevel"/>
    <w:tmpl w:val="DE60A318"/>
    <w:lvl w:ilvl="0" w:tplc="140A001B">
      <w:start w:val="1"/>
      <w:numFmt w:val="lowerRoman"/>
      <w:lvlText w:val="%1."/>
      <w:lvlJc w:val="right"/>
      <w:pPr>
        <w:ind w:left="1287" w:hanging="360"/>
      </w:p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4">
    <w:nsid w:val="121F50CB"/>
    <w:multiLevelType w:val="hybridMultilevel"/>
    <w:tmpl w:val="949CCB28"/>
    <w:lvl w:ilvl="0" w:tplc="A6E067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02536"/>
    <w:multiLevelType w:val="hybridMultilevel"/>
    <w:tmpl w:val="7DE2BB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1F42592B"/>
    <w:multiLevelType w:val="hybridMultilevel"/>
    <w:tmpl w:val="31BEA8D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nsid w:val="210F06CE"/>
    <w:multiLevelType w:val="hybridMultilevel"/>
    <w:tmpl w:val="C5EEF3BC"/>
    <w:lvl w:ilvl="0" w:tplc="204685C2">
      <w:start w:val="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9F7835"/>
    <w:multiLevelType w:val="hybridMultilevel"/>
    <w:tmpl w:val="B12430F0"/>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9">
    <w:nsid w:val="2FC56712"/>
    <w:multiLevelType w:val="hybridMultilevel"/>
    <w:tmpl w:val="72AA404A"/>
    <w:lvl w:ilvl="0" w:tplc="CE5C4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38404A"/>
    <w:multiLevelType w:val="hybridMultilevel"/>
    <w:tmpl w:val="AE602AC0"/>
    <w:lvl w:ilvl="0" w:tplc="96607EE2">
      <w:start w:val="1"/>
      <w:numFmt w:val="decimal"/>
      <w:lvlText w:val="%1."/>
      <w:lvlJc w:val="left"/>
      <w:pPr>
        <w:tabs>
          <w:tab w:val="num" w:pos="360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41B3395E"/>
    <w:multiLevelType w:val="hybridMultilevel"/>
    <w:tmpl w:val="95C40F8C"/>
    <w:lvl w:ilvl="0" w:tplc="0409000F">
      <w:start w:val="5"/>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nsid w:val="4583067F"/>
    <w:multiLevelType w:val="hybridMultilevel"/>
    <w:tmpl w:val="C2109580"/>
    <w:lvl w:ilvl="0" w:tplc="1220CB32">
      <w:start w:val="1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761C29"/>
    <w:multiLevelType w:val="hybridMultilevel"/>
    <w:tmpl w:val="270C5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4C145E"/>
    <w:multiLevelType w:val="hybridMultilevel"/>
    <w:tmpl w:val="A3A460FC"/>
    <w:lvl w:ilvl="0" w:tplc="79A06A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E38D1"/>
    <w:multiLevelType w:val="hybridMultilevel"/>
    <w:tmpl w:val="F10C098C"/>
    <w:lvl w:ilvl="0" w:tplc="9FECCD00">
      <w:start w:val="1"/>
      <w:numFmt w:val="decimal"/>
      <w:lvlText w:val="%1."/>
      <w:lvlJc w:val="left"/>
      <w:pPr>
        <w:ind w:left="307" w:hanging="360"/>
      </w:pPr>
      <w:rPr>
        <w:b w:val="0"/>
        <w:sz w:val="12"/>
      </w:rPr>
    </w:lvl>
    <w:lvl w:ilvl="1" w:tplc="140A0019" w:tentative="1">
      <w:start w:val="1"/>
      <w:numFmt w:val="lowerLetter"/>
      <w:lvlText w:val="%2."/>
      <w:lvlJc w:val="left"/>
      <w:pPr>
        <w:ind w:left="1027" w:hanging="360"/>
      </w:pPr>
    </w:lvl>
    <w:lvl w:ilvl="2" w:tplc="140A001B" w:tentative="1">
      <w:start w:val="1"/>
      <w:numFmt w:val="lowerRoman"/>
      <w:lvlText w:val="%3."/>
      <w:lvlJc w:val="right"/>
      <w:pPr>
        <w:ind w:left="1747" w:hanging="180"/>
      </w:pPr>
    </w:lvl>
    <w:lvl w:ilvl="3" w:tplc="140A000F" w:tentative="1">
      <w:start w:val="1"/>
      <w:numFmt w:val="decimal"/>
      <w:lvlText w:val="%4."/>
      <w:lvlJc w:val="left"/>
      <w:pPr>
        <w:ind w:left="2467" w:hanging="360"/>
      </w:pPr>
    </w:lvl>
    <w:lvl w:ilvl="4" w:tplc="140A0019" w:tentative="1">
      <w:start w:val="1"/>
      <w:numFmt w:val="lowerLetter"/>
      <w:lvlText w:val="%5."/>
      <w:lvlJc w:val="left"/>
      <w:pPr>
        <w:ind w:left="3187" w:hanging="360"/>
      </w:pPr>
    </w:lvl>
    <w:lvl w:ilvl="5" w:tplc="140A001B" w:tentative="1">
      <w:start w:val="1"/>
      <w:numFmt w:val="lowerRoman"/>
      <w:lvlText w:val="%6."/>
      <w:lvlJc w:val="right"/>
      <w:pPr>
        <w:ind w:left="3907" w:hanging="180"/>
      </w:pPr>
    </w:lvl>
    <w:lvl w:ilvl="6" w:tplc="140A000F" w:tentative="1">
      <w:start w:val="1"/>
      <w:numFmt w:val="decimal"/>
      <w:lvlText w:val="%7."/>
      <w:lvlJc w:val="left"/>
      <w:pPr>
        <w:ind w:left="4627" w:hanging="360"/>
      </w:pPr>
    </w:lvl>
    <w:lvl w:ilvl="7" w:tplc="140A0019" w:tentative="1">
      <w:start w:val="1"/>
      <w:numFmt w:val="lowerLetter"/>
      <w:lvlText w:val="%8."/>
      <w:lvlJc w:val="left"/>
      <w:pPr>
        <w:ind w:left="5347" w:hanging="360"/>
      </w:pPr>
    </w:lvl>
    <w:lvl w:ilvl="8" w:tplc="140A001B" w:tentative="1">
      <w:start w:val="1"/>
      <w:numFmt w:val="lowerRoman"/>
      <w:lvlText w:val="%9."/>
      <w:lvlJc w:val="right"/>
      <w:pPr>
        <w:ind w:left="6067" w:hanging="180"/>
      </w:pPr>
    </w:lvl>
  </w:abstractNum>
  <w:abstractNum w:abstractNumId="16">
    <w:nsid w:val="53B20930"/>
    <w:multiLevelType w:val="hybridMultilevel"/>
    <w:tmpl w:val="5B345ED4"/>
    <w:lvl w:ilvl="0" w:tplc="1220CB32">
      <w:start w:val="18"/>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9655364"/>
    <w:multiLevelType w:val="hybridMultilevel"/>
    <w:tmpl w:val="CD6898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817EB4"/>
    <w:multiLevelType w:val="hybridMultilevel"/>
    <w:tmpl w:val="3F38C19A"/>
    <w:lvl w:ilvl="0" w:tplc="1220CB32">
      <w:start w:val="18"/>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9">
    <w:nsid w:val="5B353A04"/>
    <w:multiLevelType w:val="hybridMultilevel"/>
    <w:tmpl w:val="1DDA9E12"/>
    <w:lvl w:ilvl="0" w:tplc="6FB6F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DB6DC6"/>
    <w:multiLevelType w:val="hybridMultilevel"/>
    <w:tmpl w:val="D62618CC"/>
    <w:lvl w:ilvl="0" w:tplc="CC0A21E4">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21">
    <w:nsid w:val="615D6ECD"/>
    <w:multiLevelType w:val="hybridMultilevel"/>
    <w:tmpl w:val="ED9C2C40"/>
    <w:lvl w:ilvl="0" w:tplc="ED0459E8">
      <w:start w:val="1"/>
      <w:numFmt w:val="lowerLetter"/>
      <w:lvlText w:val="%1)"/>
      <w:lvlJc w:val="left"/>
      <w:pPr>
        <w:ind w:left="1080" w:hanging="360"/>
      </w:pPr>
      <w:rPr>
        <w:rFonts w:ascii="Verdana" w:hAnsi="Verdana" w:cs="Tahoma" w:hint="default"/>
        <w:sz w:val="20"/>
        <w:szCs w:val="20"/>
      </w:rPr>
    </w:lvl>
    <w:lvl w:ilvl="1" w:tplc="323EEAAC">
      <w:start w:val="1"/>
      <w:numFmt w:val="decimal"/>
      <w:lvlText w:val="%2."/>
      <w:lvlJc w:val="left"/>
      <w:pPr>
        <w:tabs>
          <w:tab w:val="num" w:pos="0"/>
        </w:tabs>
      </w:pPr>
      <w:rPr>
        <w:rFonts w:hint="default"/>
        <w:b w:val="0"/>
        <w:bCs w:val="0"/>
        <w:sz w:val="20"/>
        <w:szCs w:val="20"/>
      </w:rPr>
    </w:lvl>
    <w:lvl w:ilvl="2" w:tplc="B96C1A40">
      <w:start w:val="1"/>
      <w:numFmt w:val="lowerLetter"/>
      <w:lvlText w:val="%3)"/>
      <w:lvlJc w:val="left"/>
      <w:pPr>
        <w:ind w:left="2700" w:hanging="360"/>
      </w:pPr>
      <w:rPr>
        <w:rFonts w:ascii="Verdana" w:hAnsi="Verdana" w:cs="Tahoma" w:hint="default"/>
        <w:b w:val="0"/>
        <w:bCs w:val="0"/>
        <w:sz w:val="20"/>
        <w:szCs w:val="20"/>
      </w:r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2">
    <w:nsid w:val="62C97D24"/>
    <w:multiLevelType w:val="hybridMultilevel"/>
    <w:tmpl w:val="C0FAAC86"/>
    <w:lvl w:ilvl="0" w:tplc="3F2CF080">
      <w:start w:val="1"/>
      <w:numFmt w:val="decimal"/>
      <w:lvlText w:val="%1."/>
      <w:lvlJc w:val="left"/>
      <w:pPr>
        <w:ind w:left="720" w:hanging="720"/>
      </w:pPr>
      <w:rPr>
        <w:b w:val="0"/>
      </w:rPr>
    </w:lvl>
    <w:lvl w:ilvl="1" w:tplc="B08C5A98">
      <w:start w:val="1"/>
      <w:numFmt w:val="lowerRoman"/>
      <w:lvlText w:val="%2."/>
      <w:lvlJc w:val="left"/>
      <w:pPr>
        <w:ind w:left="1440" w:hanging="72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3">
    <w:nsid w:val="6F640C24"/>
    <w:multiLevelType w:val="hybridMultilevel"/>
    <w:tmpl w:val="30A6BA0C"/>
    <w:lvl w:ilvl="0" w:tplc="D214FDC2">
      <w:start w:val="1"/>
      <w:numFmt w:val="upperLetter"/>
      <w:pStyle w:val="Heading2"/>
      <w:lvlText w:val="%1)"/>
      <w:lvlJc w:val="left"/>
      <w:pPr>
        <w:ind w:left="720" w:hanging="36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8B769A5"/>
    <w:multiLevelType w:val="hybridMultilevel"/>
    <w:tmpl w:val="B204ED90"/>
    <w:lvl w:ilvl="0" w:tplc="9BE65E6C">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C217C4"/>
    <w:multiLevelType w:val="hybridMultilevel"/>
    <w:tmpl w:val="D8CA6A4E"/>
    <w:lvl w:ilvl="0" w:tplc="D23E4978">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EA7A96"/>
    <w:multiLevelType w:val="hybridMultilevel"/>
    <w:tmpl w:val="6152EB9A"/>
    <w:lvl w:ilvl="0" w:tplc="2AB6FF08">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
  </w:num>
  <w:num w:numId="6">
    <w:abstractNumId w:val="17"/>
  </w:num>
  <w:num w:numId="7">
    <w:abstractNumId w:val="9"/>
  </w:num>
  <w:num w:numId="8">
    <w:abstractNumId w:val="19"/>
  </w:num>
  <w:num w:numId="9">
    <w:abstractNumId w:val="24"/>
  </w:num>
  <w:num w:numId="10">
    <w:abstractNumId w:val="7"/>
  </w:num>
  <w:num w:numId="11">
    <w:abstractNumId w:val="4"/>
  </w:num>
  <w:num w:numId="12">
    <w:abstractNumId w:val="14"/>
  </w:num>
  <w:num w:numId="13">
    <w:abstractNumId w:val="10"/>
  </w:num>
  <w:num w:numId="14">
    <w:abstractNumId w:val="21"/>
  </w:num>
  <w:num w:numId="15">
    <w:abstractNumId w:val="11"/>
  </w:num>
  <w:num w:numId="16">
    <w:abstractNumId w:val="18"/>
  </w:num>
  <w:num w:numId="17">
    <w:abstractNumId w:val="8"/>
  </w:num>
  <w:num w:numId="18">
    <w:abstractNumId w:val="6"/>
  </w:num>
  <w:num w:numId="19">
    <w:abstractNumId w:val="25"/>
  </w:num>
  <w:num w:numId="20">
    <w:abstractNumId w:val="12"/>
  </w:num>
  <w:num w:numId="21">
    <w:abstractNumId w:val="0"/>
  </w:num>
  <w:num w:numId="22">
    <w:abstractNumId w:val="16"/>
  </w:num>
  <w:num w:numId="23">
    <w:abstractNumId w:val="13"/>
  </w:num>
  <w:num w:numId="24">
    <w:abstractNumId w:val="23"/>
  </w:num>
  <w:num w:numId="25">
    <w:abstractNumId w:val="15"/>
  </w:num>
  <w:num w:numId="26">
    <w:abstractNumId w:val="3"/>
  </w:num>
  <w:num w:numId="27">
    <w:abstractNumId w:val="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CR"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CL"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27"/>
    <w:rsid w:val="000050B2"/>
    <w:rsid w:val="00016BBB"/>
    <w:rsid w:val="00021522"/>
    <w:rsid w:val="0002210F"/>
    <w:rsid w:val="00036400"/>
    <w:rsid w:val="000377AA"/>
    <w:rsid w:val="0004325F"/>
    <w:rsid w:val="000474AF"/>
    <w:rsid w:val="00052B68"/>
    <w:rsid w:val="000643B4"/>
    <w:rsid w:val="0006667F"/>
    <w:rsid w:val="00067B40"/>
    <w:rsid w:val="000732DD"/>
    <w:rsid w:val="0007729E"/>
    <w:rsid w:val="00081BB2"/>
    <w:rsid w:val="00083F4C"/>
    <w:rsid w:val="000A0A26"/>
    <w:rsid w:val="000A244D"/>
    <w:rsid w:val="000A4BAD"/>
    <w:rsid w:val="000C3BB8"/>
    <w:rsid w:val="000F1EAA"/>
    <w:rsid w:val="00100478"/>
    <w:rsid w:val="00100577"/>
    <w:rsid w:val="00110EC8"/>
    <w:rsid w:val="0013224F"/>
    <w:rsid w:val="00134C05"/>
    <w:rsid w:val="0013745B"/>
    <w:rsid w:val="00141FDD"/>
    <w:rsid w:val="001460E4"/>
    <w:rsid w:val="001519E7"/>
    <w:rsid w:val="001558B9"/>
    <w:rsid w:val="001645BD"/>
    <w:rsid w:val="00164AEF"/>
    <w:rsid w:val="0019296C"/>
    <w:rsid w:val="001A080A"/>
    <w:rsid w:val="001A36BC"/>
    <w:rsid w:val="001D19D3"/>
    <w:rsid w:val="001D5ECC"/>
    <w:rsid w:val="001E27E6"/>
    <w:rsid w:val="001E65E4"/>
    <w:rsid w:val="001F1962"/>
    <w:rsid w:val="001F4695"/>
    <w:rsid w:val="00201A82"/>
    <w:rsid w:val="00244614"/>
    <w:rsid w:val="0027578F"/>
    <w:rsid w:val="0027721B"/>
    <w:rsid w:val="002836A8"/>
    <w:rsid w:val="00286F34"/>
    <w:rsid w:val="00290410"/>
    <w:rsid w:val="002A602F"/>
    <w:rsid w:val="002A7317"/>
    <w:rsid w:val="002B43D3"/>
    <w:rsid w:val="002C4784"/>
    <w:rsid w:val="002C696D"/>
    <w:rsid w:val="002D09CD"/>
    <w:rsid w:val="002E5301"/>
    <w:rsid w:val="002F70EB"/>
    <w:rsid w:val="003000FB"/>
    <w:rsid w:val="00300F8E"/>
    <w:rsid w:val="003016DF"/>
    <w:rsid w:val="00310978"/>
    <w:rsid w:val="0034446E"/>
    <w:rsid w:val="0034795F"/>
    <w:rsid w:val="00352698"/>
    <w:rsid w:val="00354970"/>
    <w:rsid w:val="003623A3"/>
    <w:rsid w:val="003668FE"/>
    <w:rsid w:val="0038485A"/>
    <w:rsid w:val="00386C60"/>
    <w:rsid w:val="003912D2"/>
    <w:rsid w:val="00394C18"/>
    <w:rsid w:val="003A216D"/>
    <w:rsid w:val="003A2B79"/>
    <w:rsid w:val="003A564D"/>
    <w:rsid w:val="003D2DB7"/>
    <w:rsid w:val="00424AE0"/>
    <w:rsid w:val="004432BD"/>
    <w:rsid w:val="004459FE"/>
    <w:rsid w:val="00453DE8"/>
    <w:rsid w:val="00460C53"/>
    <w:rsid w:val="00465AC7"/>
    <w:rsid w:val="0047668A"/>
    <w:rsid w:val="00495940"/>
    <w:rsid w:val="004963A4"/>
    <w:rsid w:val="004A1F27"/>
    <w:rsid w:val="004A2B97"/>
    <w:rsid w:val="004B1C29"/>
    <w:rsid w:val="004B218B"/>
    <w:rsid w:val="004B52B7"/>
    <w:rsid w:val="004C7659"/>
    <w:rsid w:val="004E0E54"/>
    <w:rsid w:val="004E5BFE"/>
    <w:rsid w:val="004F57BD"/>
    <w:rsid w:val="005169CE"/>
    <w:rsid w:val="005230AB"/>
    <w:rsid w:val="005309E9"/>
    <w:rsid w:val="00573523"/>
    <w:rsid w:val="005878DF"/>
    <w:rsid w:val="005878F5"/>
    <w:rsid w:val="005B14E5"/>
    <w:rsid w:val="005D5BE7"/>
    <w:rsid w:val="005E06D9"/>
    <w:rsid w:val="00614EB2"/>
    <w:rsid w:val="00624BB8"/>
    <w:rsid w:val="00627822"/>
    <w:rsid w:val="006338F4"/>
    <w:rsid w:val="00646314"/>
    <w:rsid w:val="0065306E"/>
    <w:rsid w:val="006A1295"/>
    <w:rsid w:val="006A1FEA"/>
    <w:rsid w:val="006A507A"/>
    <w:rsid w:val="006B020C"/>
    <w:rsid w:val="006D0A25"/>
    <w:rsid w:val="006D2E6C"/>
    <w:rsid w:val="006E73D8"/>
    <w:rsid w:val="006F06AB"/>
    <w:rsid w:val="0070305E"/>
    <w:rsid w:val="007138CC"/>
    <w:rsid w:val="007230B7"/>
    <w:rsid w:val="0072326F"/>
    <w:rsid w:val="007758F6"/>
    <w:rsid w:val="00777024"/>
    <w:rsid w:val="007873FE"/>
    <w:rsid w:val="007A07B7"/>
    <w:rsid w:val="007B066C"/>
    <w:rsid w:val="007B326B"/>
    <w:rsid w:val="007C1322"/>
    <w:rsid w:val="007C49CD"/>
    <w:rsid w:val="007D1429"/>
    <w:rsid w:val="00813DC5"/>
    <w:rsid w:val="00825E2F"/>
    <w:rsid w:val="0083079E"/>
    <w:rsid w:val="00830A12"/>
    <w:rsid w:val="008673F2"/>
    <w:rsid w:val="00875C49"/>
    <w:rsid w:val="00886E81"/>
    <w:rsid w:val="008B22B1"/>
    <w:rsid w:val="008B2472"/>
    <w:rsid w:val="008D74B6"/>
    <w:rsid w:val="008E1574"/>
    <w:rsid w:val="008E2091"/>
    <w:rsid w:val="008E3A1F"/>
    <w:rsid w:val="008E4848"/>
    <w:rsid w:val="008E58B2"/>
    <w:rsid w:val="008E689A"/>
    <w:rsid w:val="00913E52"/>
    <w:rsid w:val="00921308"/>
    <w:rsid w:val="00926377"/>
    <w:rsid w:val="00942EA7"/>
    <w:rsid w:val="00944240"/>
    <w:rsid w:val="009461A0"/>
    <w:rsid w:val="009528BA"/>
    <w:rsid w:val="00967803"/>
    <w:rsid w:val="009871BC"/>
    <w:rsid w:val="0099094E"/>
    <w:rsid w:val="009A0AB6"/>
    <w:rsid w:val="009B2144"/>
    <w:rsid w:val="009B7EDE"/>
    <w:rsid w:val="009E4424"/>
    <w:rsid w:val="009F04B4"/>
    <w:rsid w:val="00A04AB3"/>
    <w:rsid w:val="00A10A64"/>
    <w:rsid w:val="00A115CF"/>
    <w:rsid w:val="00A12940"/>
    <w:rsid w:val="00A306E4"/>
    <w:rsid w:val="00A325FC"/>
    <w:rsid w:val="00A33EFD"/>
    <w:rsid w:val="00A40E86"/>
    <w:rsid w:val="00A4377F"/>
    <w:rsid w:val="00A43DAD"/>
    <w:rsid w:val="00A44FB9"/>
    <w:rsid w:val="00A5406B"/>
    <w:rsid w:val="00A63F9F"/>
    <w:rsid w:val="00A65205"/>
    <w:rsid w:val="00A674FD"/>
    <w:rsid w:val="00A773ED"/>
    <w:rsid w:val="00AA394F"/>
    <w:rsid w:val="00AA695B"/>
    <w:rsid w:val="00AB2423"/>
    <w:rsid w:val="00AB2F17"/>
    <w:rsid w:val="00AC2C61"/>
    <w:rsid w:val="00AD4875"/>
    <w:rsid w:val="00AD5A36"/>
    <w:rsid w:val="00AD7C38"/>
    <w:rsid w:val="00AF23C4"/>
    <w:rsid w:val="00AF245F"/>
    <w:rsid w:val="00B0204B"/>
    <w:rsid w:val="00B03905"/>
    <w:rsid w:val="00B04354"/>
    <w:rsid w:val="00B14B4C"/>
    <w:rsid w:val="00B2264D"/>
    <w:rsid w:val="00B44A56"/>
    <w:rsid w:val="00B4568A"/>
    <w:rsid w:val="00B456A2"/>
    <w:rsid w:val="00B45940"/>
    <w:rsid w:val="00B52670"/>
    <w:rsid w:val="00B73969"/>
    <w:rsid w:val="00B755D4"/>
    <w:rsid w:val="00B756F4"/>
    <w:rsid w:val="00B77FDF"/>
    <w:rsid w:val="00B92A27"/>
    <w:rsid w:val="00B95B16"/>
    <w:rsid w:val="00BA11EF"/>
    <w:rsid w:val="00BA1F47"/>
    <w:rsid w:val="00BA4F46"/>
    <w:rsid w:val="00BB441B"/>
    <w:rsid w:val="00BB71E2"/>
    <w:rsid w:val="00BC1680"/>
    <w:rsid w:val="00BC243D"/>
    <w:rsid w:val="00BD119E"/>
    <w:rsid w:val="00BD53B0"/>
    <w:rsid w:val="00BD7024"/>
    <w:rsid w:val="00BE5AE3"/>
    <w:rsid w:val="00BE6403"/>
    <w:rsid w:val="00BF1894"/>
    <w:rsid w:val="00BF3DF7"/>
    <w:rsid w:val="00C1282A"/>
    <w:rsid w:val="00C142FD"/>
    <w:rsid w:val="00C203FB"/>
    <w:rsid w:val="00C37D27"/>
    <w:rsid w:val="00C456F7"/>
    <w:rsid w:val="00C525A7"/>
    <w:rsid w:val="00C52B12"/>
    <w:rsid w:val="00C538F1"/>
    <w:rsid w:val="00C652B5"/>
    <w:rsid w:val="00C67FBE"/>
    <w:rsid w:val="00C70477"/>
    <w:rsid w:val="00C86E8C"/>
    <w:rsid w:val="00CA3399"/>
    <w:rsid w:val="00CA4A79"/>
    <w:rsid w:val="00CB45F5"/>
    <w:rsid w:val="00CE32A2"/>
    <w:rsid w:val="00CE5651"/>
    <w:rsid w:val="00CE58A4"/>
    <w:rsid w:val="00CF24CD"/>
    <w:rsid w:val="00CF4068"/>
    <w:rsid w:val="00D01BC0"/>
    <w:rsid w:val="00D03680"/>
    <w:rsid w:val="00D04DBD"/>
    <w:rsid w:val="00D1384D"/>
    <w:rsid w:val="00D149BD"/>
    <w:rsid w:val="00D22145"/>
    <w:rsid w:val="00D2449D"/>
    <w:rsid w:val="00D3051B"/>
    <w:rsid w:val="00D30740"/>
    <w:rsid w:val="00D360C4"/>
    <w:rsid w:val="00D448D0"/>
    <w:rsid w:val="00DA08E3"/>
    <w:rsid w:val="00DA3519"/>
    <w:rsid w:val="00DB0696"/>
    <w:rsid w:val="00DB3E6B"/>
    <w:rsid w:val="00DF1E41"/>
    <w:rsid w:val="00E24503"/>
    <w:rsid w:val="00E26DCA"/>
    <w:rsid w:val="00E4391E"/>
    <w:rsid w:val="00E625B7"/>
    <w:rsid w:val="00E66E7E"/>
    <w:rsid w:val="00E77B4C"/>
    <w:rsid w:val="00E8031A"/>
    <w:rsid w:val="00E8677E"/>
    <w:rsid w:val="00EB7F12"/>
    <w:rsid w:val="00EC3B91"/>
    <w:rsid w:val="00ED46B0"/>
    <w:rsid w:val="00EE293B"/>
    <w:rsid w:val="00F0302B"/>
    <w:rsid w:val="00F04899"/>
    <w:rsid w:val="00F06957"/>
    <w:rsid w:val="00F0762C"/>
    <w:rsid w:val="00F1121E"/>
    <w:rsid w:val="00F22C3B"/>
    <w:rsid w:val="00F3152F"/>
    <w:rsid w:val="00F34B74"/>
    <w:rsid w:val="00F77F52"/>
    <w:rsid w:val="00F967CF"/>
    <w:rsid w:val="00FA1E09"/>
    <w:rsid w:val="00FA4BD7"/>
    <w:rsid w:val="00FA632E"/>
    <w:rsid w:val="00FB05D1"/>
    <w:rsid w:val="00FB43CD"/>
    <w:rsid w:val="00FC1169"/>
    <w:rsid w:val="00FC14EC"/>
    <w:rsid w:val="00FD64E3"/>
    <w:rsid w:val="00FE2F6B"/>
    <w:rsid w:val="00FE602E"/>
    <w:rsid w:val="00FE625D"/>
    <w:rsid w:val="00FE7785"/>
    <w:rsid w:val="00FE7A0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9"/>
    <w:pPr>
      <w:spacing w:after="0" w:line="240" w:lineRule="auto"/>
      <w:jc w:val="both"/>
    </w:pPr>
    <w:rPr>
      <w:rFonts w:ascii="Verdana" w:hAnsi="Verdana"/>
      <w:sz w:val="20"/>
    </w:rPr>
  </w:style>
  <w:style w:type="paragraph" w:styleId="Heading1">
    <w:name w:val="heading 1"/>
    <w:basedOn w:val="Normal"/>
    <w:next w:val="Normal"/>
    <w:link w:val="Heading1Char"/>
    <w:uiPriority w:val="9"/>
    <w:qFormat/>
    <w:rsid w:val="006338F4"/>
    <w:pPr>
      <w:tabs>
        <w:tab w:val="left" w:pos="0"/>
      </w:tabs>
      <w:outlineLvl w:val="0"/>
    </w:pPr>
    <w:rPr>
      <w:b/>
      <w:szCs w:val="20"/>
    </w:rPr>
  </w:style>
  <w:style w:type="paragraph" w:styleId="Heading2">
    <w:name w:val="heading 2"/>
    <w:basedOn w:val="ListParagraph"/>
    <w:next w:val="Normal"/>
    <w:link w:val="Heading2Char"/>
    <w:uiPriority w:val="9"/>
    <w:unhideWhenUsed/>
    <w:qFormat/>
    <w:rsid w:val="006338F4"/>
    <w:pPr>
      <w:numPr>
        <w:numId w:val="24"/>
      </w:numPr>
      <w:tabs>
        <w:tab w:val="left" w:pos="0"/>
      </w:tabs>
      <w:autoSpaceDE w:val="0"/>
      <w:autoSpaceDN w:val="0"/>
      <w:adjustRightInd w:val="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locked/>
    <w:rsid w:val="00B92A27"/>
    <w:rPr>
      <w:sz w:val="20"/>
      <w:szCs w:val="20"/>
    </w:rPr>
  </w:style>
  <w:style w:type="paragraph" w:customStyle="1" w:styleId="Ca1">
    <w:name w:val="Ca1"/>
    <w:basedOn w:val="Normal"/>
    <w:next w:val="FootnoteText"/>
    <w:unhideWhenUsed/>
    <w:qFormat/>
    <w:rsid w:val="00B92A27"/>
    <w:rPr>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B92A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B92A27"/>
    <w:rPr>
      <w:vertAlign w:val="superscript"/>
    </w:rPr>
  </w:style>
  <w:style w:type="paragraph" w:styleId="FootnoteText">
    <w:name w:val="footnote text"/>
    <w:basedOn w:val="Normal"/>
    <w:link w:val="FootnoteTextChar"/>
    <w:unhideWhenUsed/>
    <w:rsid w:val="00B92A27"/>
    <w:rPr>
      <w:szCs w:val="20"/>
    </w:rPr>
  </w:style>
  <w:style w:type="character" w:customStyle="1" w:styleId="TextonotapieCar">
    <w:name w:val="Texto nota pie Car"/>
    <w:basedOn w:val="DefaultParagraphFont"/>
    <w:uiPriority w:val="99"/>
    <w:semiHidden/>
    <w:rsid w:val="00B92A27"/>
    <w:rPr>
      <w:sz w:val="20"/>
      <w:szCs w:val="20"/>
    </w:rPr>
  </w:style>
  <w:style w:type="paragraph" w:styleId="ListParagraph">
    <w:name w:val="List Paragraph"/>
    <w:aliases w:val="Footnote,List Paragraph2,List Paragraph1,Lista vistosa - Énfasis 11"/>
    <w:basedOn w:val="Normal"/>
    <w:link w:val="ListParagraphChar"/>
    <w:uiPriority w:val="34"/>
    <w:qFormat/>
    <w:rsid w:val="00B92A27"/>
    <w:pPr>
      <w:ind w:left="720"/>
      <w:contextualSpacing/>
    </w:pPr>
  </w:style>
  <w:style w:type="character" w:styleId="Hyperlink">
    <w:name w:val="Hyperlink"/>
    <w:basedOn w:val="DefaultParagraphFont"/>
    <w:uiPriority w:val="99"/>
    <w:unhideWhenUsed/>
    <w:rsid w:val="00B92A27"/>
    <w:rPr>
      <w:color w:val="0000FF" w:themeColor="hyperlink"/>
      <w:u w:val="single"/>
    </w:rPr>
  </w:style>
  <w:style w:type="character" w:customStyle="1" w:styleId="ListParagraphChar">
    <w:name w:val="List Paragraph Char"/>
    <w:aliases w:val="Footnote Char,List Paragraph2 Char,List Paragraph1 Char,Lista vistosa - Énfasis 11 Char"/>
    <w:link w:val="ListParagraph"/>
    <w:uiPriority w:val="99"/>
    <w:locked/>
    <w:rsid w:val="00830A12"/>
  </w:style>
  <w:style w:type="paragraph" w:styleId="BalloonText">
    <w:name w:val="Balloon Text"/>
    <w:basedOn w:val="Normal"/>
    <w:link w:val="BalloonTextChar"/>
    <w:uiPriority w:val="99"/>
    <w:semiHidden/>
    <w:unhideWhenUsed/>
    <w:rsid w:val="004E5BFE"/>
    <w:rPr>
      <w:rFonts w:ascii="Tahoma" w:hAnsi="Tahoma" w:cs="Tahoma"/>
      <w:sz w:val="16"/>
      <w:szCs w:val="16"/>
    </w:rPr>
  </w:style>
  <w:style w:type="character" w:customStyle="1" w:styleId="BalloonTextChar">
    <w:name w:val="Balloon Text Char"/>
    <w:basedOn w:val="DefaultParagraphFont"/>
    <w:link w:val="BalloonText"/>
    <w:uiPriority w:val="99"/>
    <w:semiHidden/>
    <w:rsid w:val="004E5BFE"/>
    <w:rPr>
      <w:rFonts w:ascii="Tahoma" w:hAnsi="Tahoma" w:cs="Tahoma"/>
      <w:sz w:val="16"/>
      <w:szCs w:val="16"/>
    </w:rPr>
  </w:style>
  <w:style w:type="paragraph" w:styleId="Header">
    <w:name w:val="header"/>
    <w:basedOn w:val="Normal"/>
    <w:link w:val="HeaderChar"/>
    <w:uiPriority w:val="99"/>
    <w:unhideWhenUsed/>
    <w:rsid w:val="00DF1E41"/>
    <w:pPr>
      <w:tabs>
        <w:tab w:val="center" w:pos="4513"/>
        <w:tab w:val="right" w:pos="9026"/>
      </w:tabs>
    </w:pPr>
  </w:style>
  <w:style w:type="character" w:customStyle="1" w:styleId="HeaderChar">
    <w:name w:val="Header Char"/>
    <w:basedOn w:val="DefaultParagraphFont"/>
    <w:link w:val="Header"/>
    <w:uiPriority w:val="99"/>
    <w:rsid w:val="00DF1E41"/>
  </w:style>
  <w:style w:type="paragraph" w:styleId="Footer">
    <w:name w:val="footer"/>
    <w:basedOn w:val="Normal"/>
    <w:link w:val="FooterChar"/>
    <w:uiPriority w:val="99"/>
    <w:unhideWhenUsed/>
    <w:rsid w:val="00DF1E41"/>
    <w:pPr>
      <w:tabs>
        <w:tab w:val="center" w:pos="4513"/>
        <w:tab w:val="right" w:pos="9026"/>
      </w:tabs>
    </w:pPr>
  </w:style>
  <w:style w:type="character" w:customStyle="1" w:styleId="FooterChar">
    <w:name w:val="Footer Char"/>
    <w:basedOn w:val="DefaultParagraphFont"/>
    <w:link w:val="Footer"/>
    <w:uiPriority w:val="99"/>
    <w:rsid w:val="00DF1E41"/>
  </w:style>
  <w:style w:type="character" w:customStyle="1" w:styleId="Heading1Char">
    <w:name w:val="Heading 1 Char"/>
    <w:basedOn w:val="DefaultParagraphFont"/>
    <w:link w:val="Heading1"/>
    <w:uiPriority w:val="9"/>
    <w:rsid w:val="006338F4"/>
    <w:rPr>
      <w:rFonts w:ascii="Verdana" w:hAnsi="Verdana"/>
      <w:b/>
      <w:sz w:val="20"/>
      <w:szCs w:val="20"/>
    </w:rPr>
  </w:style>
  <w:style w:type="character" w:styleId="CommentReference">
    <w:name w:val="annotation reference"/>
    <w:basedOn w:val="DefaultParagraphFont"/>
    <w:uiPriority w:val="99"/>
    <w:semiHidden/>
    <w:unhideWhenUsed/>
    <w:rsid w:val="00AD4875"/>
    <w:rPr>
      <w:sz w:val="16"/>
      <w:szCs w:val="16"/>
    </w:rPr>
  </w:style>
  <w:style w:type="paragraph" w:styleId="CommentText">
    <w:name w:val="annotation text"/>
    <w:basedOn w:val="Normal"/>
    <w:link w:val="CommentTextChar"/>
    <w:uiPriority w:val="99"/>
    <w:semiHidden/>
    <w:unhideWhenUsed/>
    <w:rsid w:val="00AD4875"/>
    <w:rPr>
      <w:szCs w:val="20"/>
    </w:rPr>
  </w:style>
  <w:style w:type="character" w:customStyle="1" w:styleId="CommentTextChar">
    <w:name w:val="Comment Text Char"/>
    <w:basedOn w:val="DefaultParagraphFont"/>
    <w:link w:val="CommentText"/>
    <w:uiPriority w:val="99"/>
    <w:semiHidden/>
    <w:rsid w:val="00AD4875"/>
    <w:rPr>
      <w:rFonts w:ascii="Verdana" w:hAnsi="Verdana"/>
      <w:sz w:val="20"/>
      <w:szCs w:val="20"/>
    </w:rPr>
  </w:style>
  <w:style w:type="paragraph" w:styleId="CommentSubject">
    <w:name w:val="annotation subject"/>
    <w:basedOn w:val="CommentText"/>
    <w:next w:val="CommentText"/>
    <w:link w:val="CommentSubjectChar"/>
    <w:uiPriority w:val="99"/>
    <w:unhideWhenUsed/>
    <w:rsid w:val="00AD4875"/>
    <w:rPr>
      <w:b/>
      <w:bCs/>
    </w:rPr>
  </w:style>
  <w:style w:type="character" w:customStyle="1" w:styleId="CommentSubjectChar">
    <w:name w:val="Comment Subject Char"/>
    <w:basedOn w:val="CommentTextChar"/>
    <w:link w:val="CommentSubject"/>
    <w:uiPriority w:val="99"/>
    <w:rsid w:val="00AD4875"/>
    <w:rPr>
      <w:rFonts w:ascii="Verdana" w:hAnsi="Verdana"/>
      <w:b/>
      <w:bCs/>
      <w:sz w:val="20"/>
      <w:szCs w:val="20"/>
    </w:rPr>
  </w:style>
  <w:style w:type="character" w:customStyle="1" w:styleId="Heading2Char">
    <w:name w:val="Heading 2 Char"/>
    <w:basedOn w:val="DefaultParagraphFont"/>
    <w:link w:val="Heading2"/>
    <w:uiPriority w:val="9"/>
    <w:rsid w:val="006338F4"/>
    <w:rPr>
      <w:rFonts w:ascii="Verdana" w:hAnsi="Verdana"/>
      <w:b/>
      <w:i/>
      <w:sz w:val="20"/>
      <w:szCs w:val="20"/>
    </w:rPr>
  </w:style>
  <w:style w:type="paragraph" w:styleId="Revision">
    <w:name w:val="Revision"/>
    <w:hidden/>
    <w:uiPriority w:val="99"/>
    <w:semiHidden/>
    <w:rsid w:val="002836A8"/>
    <w:pPr>
      <w:spacing w:after="0" w:line="240" w:lineRule="auto"/>
    </w:pPr>
    <w:rPr>
      <w:rFonts w:ascii="Verdana" w:hAnsi="Verdana"/>
      <w:sz w:val="20"/>
    </w:rPr>
  </w:style>
  <w:style w:type="character" w:styleId="LineNumber">
    <w:name w:val="line number"/>
    <w:basedOn w:val="DefaultParagraphFont"/>
    <w:uiPriority w:val="99"/>
    <w:semiHidden/>
    <w:unhideWhenUsed/>
    <w:rsid w:val="004A1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519"/>
    <w:pPr>
      <w:spacing w:after="0" w:line="240" w:lineRule="auto"/>
      <w:jc w:val="both"/>
    </w:pPr>
    <w:rPr>
      <w:rFonts w:ascii="Verdana" w:hAnsi="Verdana"/>
      <w:sz w:val="20"/>
    </w:rPr>
  </w:style>
  <w:style w:type="paragraph" w:styleId="Heading1">
    <w:name w:val="heading 1"/>
    <w:basedOn w:val="Normal"/>
    <w:next w:val="Normal"/>
    <w:link w:val="Heading1Char"/>
    <w:uiPriority w:val="9"/>
    <w:qFormat/>
    <w:rsid w:val="006338F4"/>
    <w:pPr>
      <w:tabs>
        <w:tab w:val="left" w:pos="0"/>
      </w:tabs>
      <w:outlineLvl w:val="0"/>
    </w:pPr>
    <w:rPr>
      <w:b/>
      <w:szCs w:val="20"/>
    </w:rPr>
  </w:style>
  <w:style w:type="paragraph" w:styleId="Heading2">
    <w:name w:val="heading 2"/>
    <w:basedOn w:val="ListParagraph"/>
    <w:next w:val="Normal"/>
    <w:link w:val="Heading2Char"/>
    <w:uiPriority w:val="9"/>
    <w:unhideWhenUsed/>
    <w:qFormat/>
    <w:rsid w:val="006338F4"/>
    <w:pPr>
      <w:numPr>
        <w:numId w:val="24"/>
      </w:numPr>
      <w:tabs>
        <w:tab w:val="left" w:pos="0"/>
      </w:tabs>
      <w:autoSpaceDE w:val="0"/>
      <w:autoSpaceDN w:val="0"/>
      <w:adjustRightInd w:val="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qFormat/>
    <w:locked/>
    <w:rsid w:val="00B92A27"/>
    <w:rPr>
      <w:sz w:val="20"/>
      <w:szCs w:val="20"/>
    </w:rPr>
  </w:style>
  <w:style w:type="paragraph" w:customStyle="1" w:styleId="Ca1">
    <w:name w:val="Ca1"/>
    <w:basedOn w:val="Normal"/>
    <w:next w:val="FootnoteText"/>
    <w:unhideWhenUsed/>
    <w:qFormat/>
    <w:rsid w:val="00B92A27"/>
    <w:rPr>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link w:val="4GChar"/>
    <w:unhideWhenUsed/>
    <w:qFormat/>
    <w:rsid w:val="00B92A2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B92A27"/>
    <w:rPr>
      <w:vertAlign w:val="superscript"/>
    </w:rPr>
  </w:style>
  <w:style w:type="paragraph" w:styleId="FootnoteText">
    <w:name w:val="footnote text"/>
    <w:basedOn w:val="Normal"/>
    <w:link w:val="FootnoteTextChar"/>
    <w:unhideWhenUsed/>
    <w:rsid w:val="00B92A27"/>
    <w:rPr>
      <w:szCs w:val="20"/>
    </w:rPr>
  </w:style>
  <w:style w:type="character" w:customStyle="1" w:styleId="TextonotapieCar">
    <w:name w:val="Texto nota pie Car"/>
    <w:basedOn w:val="DefaultParagraphFont"/>
    <w:uiPriority w:val="99"/>
    <w:semiHidden/>
    <w:rsid w:val="00B92A27"/>
    <w:rPr>
      <w:sz w:val="20"/>
      <w:szCs w:val="20"/>
    </w:rPr>
  </w:style>
  <w:style w:type="paragraph" w:styleId="ListParagraph">
    <w:name w:val="List Paragraph"/>
    <w:aliases w:val="Footnote,List Paragraph2,List Paragraph1,Lista vistosa - Énfasis 11"/>
    <w:basedOn w:val="Normal"/>
    <w:link w:val="ListParagraphChar"/>
    <w:uiPriority w:val="34"/>
    <w:qFormat/>
    <w:rsid w:val="00B92A27"/>
    <w:pPr>
      <w:ind w:left="720"/>
      <w:contextualSpacing/>
    </w:pPr>
  </w:style>
  <w:style w:type="character" w:styleId="Hyperlink">
    <w:name w:val="Hyperlink"/>
    <w:basedOn w:val="DefaultParagraphFont"/>
    <w:uiPriority w:val="99"/>
    <w:unhideWhenUsed/>
    <w:rsid w:val="00B92A27"/>
    <w:rPr>
      <w:color w:val="0000FF" w:themeColor="hyperlink"/>
      <w:u w:val="single"/>
    </w:rPr>
  </w:style>
  <w:style w:type="character" w:customStyle="1" w:styleId="ListParagraphChar">
    <w:name w:val="List Paragraph Char"/>
    <w:aliases w:val="Footnote Char,List Paragraph2 Char,List Paragraph1 Char,Lista vistosa - Énfasis 11 Char"/>
    <w:link w:val="ListParagraph"/>
    <w:uiPriority w:val="99"/>
    <w:locked/>
    <w:rsid w:val="00830A12"/>
  </w:style>
  <w:style w:type="paragraph" w:styleId="BalloonText">
    <w:name w:val="Balloon Text"/>
    <w:basedOn w:val="Normal"/>
    <w:link w:val="BalloonTextChar"/>
    <w:uiPriority w:val="99"/>
    <w:semiHidden/>
    <w:unhideWhenUsed/>
    <w:rsid w:val="004E5BFE"/>
    <w:rPr>
      <w:rFonts w:ascii="Tahoma" w:hAnsi="Tahoma" w:cs="Tahoma"/>
      <w:sz w:val="16"/>
      <w:szCs w:val="16"/>
    </w:rPr>
  </w:style>
  <w:style w:type="character" w:customStyle="1" w:styleId="BalloonTextChar">
    <w:name w:val="Balloon Text Char"/>
    <w:basedOn w:val="DefaultParagraphFont"/>
    <w:link w:val="BalloonText"/>
    <w:uiPriority w:val="99"/>
    <w:semiHidden/>
    <w:rsid w:val="004E5BFE"/>
    <w:rPr>
      <w:rFonts w:ascii="Tahoma" w:hAnsi="Tahoma" w:cs="Tahoma"/>
      <w:sz w:val="16"/>
      <w:szCs w:val="16"/>
    </w:rPr>
  </w:style>
  <w:style w:type="paragraph" w:styleId="Header">
    <w:name w:val="header"/>
    <w:basedOn w:val="Normal"/>
    <w:link w:val="HeaderChar"/>
    <w:uiPriority w:val="99"/>
    <w:unhideWhenUsed/>
    <w:rsid w:val="00DF1E41"/>
    <w:pPr>
      <w:tabs>
        <w:tab w:val="center" w:pos="4513"/>
        <w:tab w:val="right" w:pos="9026"/>
      </w:tabs>
    </w:pPr>
  </w:style>
  <w:style w:type="character" w:customStyle="1" w:styleId="HeaderChar">
    <w:name w:val="Header Char"/>
    <w:basedOn w:val="DefaultParagraphFont"/>
    <w:link w:val="Header"/>
    <w:uiPriority w:val="99"/>
    <w:rsid w:val="00DF1E41"/>
  </w:style>
  <w:style w:type="paragraph" w:styleId="Footer">
    <w:name w:val="footer"/>
    <w:basedOn w:val="Normal"/>
    <w:link w:val="FooterChar"/>
    <w:uiPriority w:val="99"/>
    <w:unhideWhenUsed/>
    <w:rsid w:val="00DF1E41"/>
    <w:pPr>
      <w:tabs>
        <w:tab w:val="center" w:pos="4513"/>
        <w:tab w:val="right" w:pos="9026"/>
      </w:tabs>
    </w:pPr>
  </w:style>
  <w:style w:type="character" w:customStyle="1" w:styleId="FooterChar">
    <w:name w:val="Footer Char"/>
    <w:basedOn w:val="DefaultParagraphFont"/>
    <w:link w:val="Footer"/>
    <w:uiPriority w:val="99"/>
    <w:rsid w:val="00DF1E41"/>
  </w:style>
  <w:style w:type="character" w:customStyle="1" w:styleId="Heading1Char">
    <w:name w:val="Heading 1 Char"/>
    <w:basedOn w:val="DefaultParagraphFont"/>
    <w:link w:val="Heading1"/>
    <w:uiPriority w:val="9"/>
    <w:rsid w:val="006338F4"/>
    <w:rPr>
      <w:rFonts w:ascii="Verdana" w:hAnsi="Verdana"/>
      <w:b/>
      <w:sz w:val="20"/>
      <w:szCs w:val="20"/>
    </w:rPr>
  </w:style>
  <w:style w:type="character" w:styleId="CommentReference">
    <w:name w:val="annotation reference"/>
    <w:basedOn w:val="DefaultParagraphFont"/>
    <w:uiPriority w:val="99"/>
    <w:semiHidden/>
    <w:unhideWhenUsed/>
    <w:rsid w:val="00AD4875"/>
    <w:rPr>
      <w:sz w:val="16"/>
      <w:szCs w:val="16"/>
    </w:rPr>
  </w:style>
  <w:style w:type="paragraph" w:styleId="CommentText">
    <w:name w:val="annotation text"/>
    <w:basedOn w:val="Normal"/>
    <w:link w:val="CommentTextChar"/>
    <w:uiPriority w:val="99"/>
    <w:semiHidden/>
    <w:unhideWhenUsed/>
    <w:rsid w:val="00AD4875"/>
    <w:rPr>
      <w:szCs w:val="20"/>
    </w:rPr>
  </w:style>
  <w:style w:type="character" w:customStyle="1" w:styleId="CommentTextChar">
    <w:name w:val="Comment Text Char"/>
    <w:basedOn w:val="DefaultParagraphFont"/>
    <w:link w:val="CommentText"/>
    <w:uiPriority w:val="99"/>
    <w:semiHidden/>
    <w:rsid w:val="00AD4875"/>
    <w:rPr>
      <w:rFonts w:ascii="Verdana" w:hAnsi="Verdana"/>
      <w:sz w:val="20"/>
      <w:szCs w:val="20"/>
    </w:rPr>
  </w:style>
  <w:style w:type="paragraph" w:styleId="CommentSubject">
    <w:name w:val="annotation subject"/>
    <w:basedOn w:val="CommentText"/>
    <w:next w:val="CommentText"/>
    <w:link w:val="CommentSubjectChar"/>
    <w:uiPriority w:val="99"/>
    <w:unhideWhenUsed/>
    <w:rsid w:val="00AD4875"/>
    <w:rPr>
      <w:b/>
      <w:bCs/>
    </w:rPr>
  </w:style>
  <w:style w:type="character" w:customStyle="1" w:styleId="CommentSubjectChar">
    <w:name w:val="Comment Subject Char"/>
    <w:basedOn w:val="CommentTextChar"/>
    <w:link w:val="CommentSubject"/>
    <w:uiPriority w:val="99"/>
    <w:rsid w:val="00AD4875"/>
    <w:rPr>
      <w:rFonts w:ascii="Verdana" w:hAnsi="Verdana"/>
      <w:b/>
      <w:bCs/>
      <w:sz w:val="20"/>
      <w:szCs w:val="20"/>
    </w:rPr>
  </w:style>
  <w:style w:type="character" w:customStyle="1" w:styleId="Heading2Char">
    <w:name w:val="Heading 2 Char"/>
    <w:basedOn w:val="DefaultParagraphFont"/>
    <w:link w:val="Heading2"/>
    <w:uiPriority w:val="9"/>
    <w:rsid w:val="006338F4"/>
    <w:rPr>
      <w:rFonts w:ascii="Verdana" w:hAnsi="Verdana"/>
      <w:b/>
      <w:i/>
      <w:sz w:val="20"/>
      <w:szCs w:val="20"/>
    </w:rPr>
  </w:style>
  <w:style w:type="paragraph" w:styleId="Revision">
    <w:name w:val="Revision"/>
    <w:hidden/>
    <w:uiPriority w:val="99"/>
    <w:semiHidden/>
    <w:rsid w:val="002836A8"/>
    <w:pPr>
      <w:spacing w:after="0" w:line="240" w:lineRule="auto"/>
    </w:pPr>
    <w:rPr>
      <w:rFonts w:ascii="Verdana" w:hAnsi="Verdana"/>
      <w:sz w:val="20"/>
    </w:rPr>
  </w:style>
  <w:style w:type="character" w:styleId="LineNumber">
    <w:name w:val="line number"/>
    <w:basedOn w:val="DefaultParagraphFont"/>
    <w:uiPriority w:val="99"/>
    <w:semiHidden/>
    <w:unhideWhenUsed/>
    <w:rsid w:val="004A1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6200">
      <w:bodyDiv w:val="1"/>
      <w:marLeft w:val="0"/>
      <w:marRight w:val="0"/>
      <w:marTop w:val="0"/>
      <w:marBottom w:val="0"/>
      <w:divBdr>
        <w:top w:val="none" w:sz="0" w:space="0" w:color="auto"/>
        <w:left w:val="none" w:sz="0" w:space="0" w:color="auto"/>
        <w:bottom w:val="none" w:sz="0" w:space="0" w:color="auto"/>
        <w:right w:val="none" w:sz="0" w:space="0" w:color="auto"/>
      </w:divBdr>
    </w:div>
    <w:div w:id="644970327">
      <w:bodyDiv w:val="1"/>
      <w:marLeft w:val="0"/>
      <w:marRight w:val="0"/>
      <w:marTop w:val="0"/>
      <w:marBottom w:val="0"/>
      <w:divBdr>
        <w:top w:val="none" w:sz="0" w:space="0" w:color="auto"/>
        <w:left w:val="none" w:sz="0" w:space="0" w:color="auto"/>
        <w:bottom w:val="none" w:sz="0" w:space="0" w:color="auto"/>
        <w:right w:val="none" w:sz="0" w:space="0" w:color="auto"/>
      </w:divBdr>
    </w:div>
    <w:div w:id="1839155490">
      <w:bodyDiv w:val="1"/>
      <w:marLeft w:val="0"/>
      <w:marRight w:val="0"/>
      <w:marTop w:val="0"/>
      <w:marBottom w:val="0"/>
      <w:divBdr>
        <w:top w:val="none" w:sz="0" w:space="0" w:color="auto"/>
        <w:left w:val="none" w:sz="0" w:space="0" w:color="auto"/>
        <w:bottom w:val="none" w:sz="0" w:space="0" w:color="auto"/>
        <w:right w:val="none" w:sz="0" w:space="0" w:color="auto"/>
      </w:divBdr>
    </w:div>
    <w:div w:id="20187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2663F-4B2A-49D3-9AD6-57B1DD46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2684</Words>
  <Characters>15302</Characters>
  <Application>Microsoft Office Word</Application>
  <DocSecurity>4</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2019-02-14T20:08:00Z</cp:lastPrinted>
  <dcterms:created xsi:type="dcterms:W3CDTF">2019-02-15T15:13:00Z</dcterms:created>
  <dcterms:modified xsi:type="dcterms:W3CDTF">2019-02-15T15:13:00Z</dcterms:modified>
</cp:coreProperties>
</file>