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1B" w:rsidRPr="00155DB1" w:rsidRDefault="00DD161B" w:rsidP="00DD161B">
      <w:pPr>
        <w:ind w:right="-317"/>
        <w:jc w:val="center"/>
        <w:rPr>
          <w:rFonts w:ascii="Verdana Bold" w:hAnsi="Verdana Bold" w:cs="Verdana Bold"/>
          <w:b/>
          <w:bCs/>
          <w:caps/>
          <w:szCs w:val="20"/>
        </w:rPr>
      </w:pPr>
      <w:bookmarkStart w:id="0" w:name="_GoBack"/>
      <w:bookmarkEnd w:id="0"/>
    </w:p>
    <w:p w:rsidR="00DD161B" w:rsidRPr="00155DB1" w:rsidRDefault="00DD161B" w:rsidP="00DD161B">
      <w:pPr>
        <w:ind w:right="-317"/>
        <w:jc w:val="center"/>
        <w:rPr>
          <w:rFonts w:ascii="Verdana Bold" w:hAnsi="Verdana Bold" w:cs="Verdana Bold"/>
          <w:b/>
          <w:bCs/>
          <w:caps/>
          <w:szCs w:val="20"/>
        </w:rPr>
      </w:pPr>
    </w:p>
    <w:p w:rsidR="00DD161B" w:rsidRPr="00155DB1" w:rsidRDefault="00DD161B" w:rsidP="00DD161B">
      <w:pPr>
        <w:ind w:right="-317"/>
        <w:jc w:val="center"/>
        <w:rPr>
          <w:rFonts w:ascii="Verdana Bold" w:hAnsi="Verdana Bold" w:cs="Verdana Bold"/>
          <w:b/>
          <w:bCs/>
          <w:caps/>
          <w:szCs w:val="20"/>
        </w:rPr>
      </w:pPr>
    </w:p>
    <w:p w:rsidR="00DD161B" w:rsidRPr="00155DB1" w:rsidRDefault="00DD161B" w:rsidP="00DD161B">
      <w:pPr>
        <w:ind w:right="-317"/>
        <w:jc w:val="center"/>
        <w:rPr>
          <w:rFonts w:ascii="Verdana Bold" w:hAnsi="Verdana Bold" w:cs="Verdana Bold"/>
          <w:b/>
          <w:bCs/>
          <w:caps/>
          <w:szCs w:val="20"/>
        </w:rPr>
      </w:pPr>
    </w:p>
    <w:p w:rsidR="00DD161B" w:rsidRPr="00155DB1" w:rsidRDefault="00DD161B" w:rsidP="00DD161B">
      <w:pPr>
        <w:ind w:right="-317"/>
        <w:rPr>
          <w:rFonts w:cs="Verdana Bold"/>
          <w:b/>
          <w:bCs/>
          <w:caps/>
          <w:szCs w:val="20"/>
        </w:rPr>
      </w:pPr>
    </w:p>
    <w:p w:rsidR="00DD161B" w:rsidRPr="00142A36" w:rsidRDefault="00DD161B" w:rsidP="00DD161B">
      <w:pPr>
        <w:ind w:right="-316"/>
        <w:jc w:val="center"/>
        <w:rPr>
          <w:rFonts w:cs="Verdana Bold"/>
          <w:b/>
          <w:bCs/>
          <w:caps/>
          <w:szCs w:val="20"/>
        </w:rPr>
      </w:pPr>
      <w:r w:rsidRPr="00142A36">
        <w:rPr>
          <w:rFonts w:cs="Verdana Bold"/>
          <w:b/>
          <w:bCs/>
          <w:caps/>
          <w:szCs w:val="20"/>
        </w:rPr>
        <w:t>Resolución del Presidente de la</w:t>
      </w:r>
    </w:p>
    <w:p w:rsidR="00DD161B" w:rsidRPr="00142A36" w:rsidRDefault="00DD161B" w:rsidP="00DD161B">
      <w:pPr>
        <w:ind w:right="-316"/>
        <w:jc w:val="center"/>
        <w:rPr>
          <w:rFonts w:cs="Verdana Bold"/>
          <w:b/>
          <w:bCs/>
          <w:caps/>
          <w:szCs w:val="20"/>
        </w:rPr>
      </w:pPr>
      <w:r w:rsidRPr="00142A36">
        <w:rPr>
          <w:rFonts w:cs="Verdana Bold"/>
          <w:b/>
          <w:bCs/>
          <w:caps/>
          <w:szCs w:val="20"/>
        </w:rPr>
        <w:t>Corte Interamericana de Derechos Humanos</w:t>
      </w:r>
    </w:p>
    <w:p w:rsidR="00DD161B" w:rsidRPr="00142A36" w:rsidRDefault="00DD161B" w:rsidP="00DD161B">
      <w:pPr>
        <w:ind w:right="-316"/>
        <w:rPr>
          <w:rFonts w:cs="Verdana Bold"/>
          <w:b/>
          <w:bCs/>
          <w:caps/>
          <w:szCs w:val="20"/>
        </w:rPr>
      </w:pPr>
    </w:p>
    <w:p w:rsidR="00DD161B" w:rsidRPr="00142A36" w:rsidRDefault="00F805DF" w:rsidP="00DD161B">
      <w:pPr>
        <w:ind w:right="-316"/>
        <w:jc w:val="center"/>
        <w:rPr>
          <w:rFonts w:cs="Verdana Bold"/>
          <w:b/>
          <w:bCs/>
          <w:caps/>
          <w:szCs w:val="20"/>
        </w:rPr>
      </w:pPr>
      <w:r w:rsidRPr="00142A36">
        <w:rPr>
          <w:rFonts w:cs="Verdana Bold"/>
          <w:b/>
          <w:bCs/>
          <w:caps/>
          <w:szCs w:val="20"/>
        </w:rPr>
        <w:t xml:space="preserve">dE </w:t>
      </w:r>
      <w:r w:rsidR="00036C9A">
        <w:rPr>
          <w:rFonts w:cs="Verdana Bold"/>
          <w:b/>
          <w:bCs/>
          <w:caps/>
          <w:szCs w:val="20"/>
        </w:rPr>
        <w:t>10</w:t>
      </w:r>
      <w:r w:rsidR="00DD161B" w:rsidRPr="00142A36">
        <w:rPr>
          <w:rFonts w:cs="Verdana Bold"/>
          <w:b/>
          <w:bCs/>
          <w:caps/>
          <w:szCs w:val="20"/>
        </w:rPr>
        <w:t xml:space="preserve"> DE </w:t>
      </w:r>
      <w:r w:rsidR="009A3E37" w:rsidRPr="00142A36">
        <w:rPr>
          <w:rFonts w:cs="Verdana Bold"/>
          <w:b/>
          <w:bCs/>
          <w:caps/>
          <w:szCs w:val="20"/>
        </w:rPr>
        <w:t>MARZ</w:t>
      </w:r>
      <w:r w:rsidR="00E553F3" w:rsidRPr="00142A36">
        <w:rPr>
          <w:rFonts w:cs="Verdana Bold"/>
          <w:b/>
          <w:bCs/>
          <w:caps/>
          <w:szCs w:val="20"/>
        </w:rPr>
        <w:t>o</w:t>
      </w:r>
      <w:r w:rsidR="00DD161B" w:rsidRPr="00142A36">
        <w:rPr>
          <w:rFonts w:cs="Verdana Bold"/>
          <w:b/>
          <w:bCs/>
          <w:caps/>
          <w:szCs w:val="20"/>
        </w:rPr>
        <w:t xml:space="preserve"> </w:t>
      </w:r>
      <w:r w:rsidR="00E553F3" w:rsidRPr="00142A36">
        <w:rPr>
          <w:rFonts w:cs="Verdana Bold"/>
          <w:b/>
          <w:bCs/>
          <w:caps/>
          <w:szCs w:val="20"/>
        </w:rPr>
        <w:t>de 2015</w:t>
      </w:r>
    </w:p>
    <w:p w:rsidR="00DD161B" w:rsidRPr="00142A36" w:rsidRDefault="00DD161B" w:rsidP="00DD161B">
      <w:pPr>
        <w:ind w:right="-316"/>
        <w:rPr>
          <w:rFonts w:cs="Verdana Bold"/>
          <w:b/>
          <w:bCs/>
          <w:caps/>
          <w:szCs w:val="20"/>
        </w:rPr>
      </w:pPr>
    </w:p>
    <w:p w:rsidR="00DD161B" w:rsidRPr="00142A36" w:rsidRDefault="000C0157" w:rsidP="000C0157">
      <w:pPr>
        <w:ind w:right="-316"/>
        <w:jc w:val="center"/>
        <w:rPr>
          <w:rFonts w:cs="Verdana Bold"/>
          <w:b/>
          <w:bCs/>
          <w:caps/>
          <w:szCs w:val="20"/>
        </w:rPr>
      </w:pPr>
      <w:r w:rsidRPr="00142A36">
        <w:rPr>
          <w:rFonts w:cs="Verdana Bold"/>
          <w:b/>
          <w:bCs/>
          <w:caps/>
          <w:szCs w:val="20"/>
        </w:rPr>
        <w:t xml:space="preserve">CASO </w:t>
      </w:r>
      <w:r w:rsidR="00E553F3" w:rsidRPr="00142A36">
        <w:rPr>
          <w:rFonts w:cs="Verdana Bold"/>
          <w:b/>
          <w:bCs/>
          <w:caps/>
          <w:szCs w:val="20"/>
        </w:rPr>
        <w:t xml:space="preserve">omar humberto maldonado </w:t>
      </w:r>
      <w:r w:rsidR="0007243F" w:rsidRPr="00142A36">
        <w:rPr>
          <w:rFonts w:cs="Verdana Bold"/>
          <w:b/>
          <w:bCs/>
          <w:caps/>
          <w:szCs w:val="20"/>
        </w:rPr>
        <w:t xml:space="preserve">VARGAS </w:t>
      </w:r>
      <w:r w:rsidR="00E553F3" w:rsidRPr="00142A36">
        <w:rPr>
          <w:rFonts w:cs="Verdana Bold"/>
          <w:b/>
          <w:bCs/>
          <w:caps/>
          <w:szCs w:val="20"/>
        </w:rPr>
        <w:t>y otros</w:t>
      </w:r>
      <w:r w:rsidRPr="00142A36">
        <w:rPr>
          <w:rFonts w:cs="Verdana Bold"/>
          <w:b/>
          <w:bCs/>
          <w:caps/>
          <w:szCs w:val="20"/>
        </w:rPr>
        <w:t xml:space="preserve"> vs</w:t>
      </w:r>
      <w:r w:rsidR="004F4C2A">
        <w:rPr>
          <w:rFonts w:cs="Verdana Bold"/>
          <w:b/>
          <w:bCs/>
          <w:caps/>
          <w:szCs w:val="20"/>
        </w:rPr>
        <w:t>.</w:t>
      </w:r>
      <w:r w:rsidRPr="00142A36">
        <w:rPr>
          <w:rFonts w:cs="Verdana Bold"/>
          <w:b/>
          <w:bCs/>
          <w:caps/>
          <w:szCs w:val="20"/>
        </w:rPr>
        <w:t xml:space="preserve"> </w:t>
      </w:r>
      <w:r w:rsidR="00E553F3" w:rsidRPr="00142A36">
        <w:rPr>
          <w:rFonts w:cs="Verdana Bold"/>
          <w:b/>
          <w:bCs/>
          <w:caps/>
          <w:szCs w:val="20"/>
        </w:rPr>
        <w:t>chile</w:t>
      </w:r>
      <w:r w:rsidR="0007243F" w:rsidRPr="00142A36">
        <w:rPr>
          <w:rFonts w:cs="Verdana Bold"/>
          <w:b/>
          <w:bCs/>
          <w:caps/>
          <w:szCs w:val="20"/>
        </w:rPr>
        <w:t xml:space="preserve"> </w:t>
      </w:r>
    </w:p>
    <w:p w:rsidR="00DD161B" w:rsidRPr="00142A36" w:rsidRDefault="00DD161B" w:rsidP="00DD161B">
      <w:pPr>
        <w:rPr>
          <w:rFonts w:cs="Verdana"/>
          <w:b/>
          <w:bCs/>
          <w:caps/>
          <w:szCs w:val="20"/>
        </w:rPr>
      </w:pPr>
    </w:p>
    <w:p w:rsidR="00A6631C" w:rsidRPr="00142A36" w:rsidRDefault="00A6631C" w:rsidP="00DD161B">
      <w:pPr>
        <w:spacing w:after="40"/>
        <w:rPr>
          <w:rFonts w:cs="Verdana"/>
          <w:b/>
          <w:bCs/>
          <w:caps/>
          <w:szCs w:val="20"/>
        </w:rPr>
      </w:pPr>
    </w:p>
    <w:p w:rsidR="00DD161B" w:rsidRPr="00142A36" w:rsidRDefault="00DD161B" w:rsidP="00DD161B">
      <w:pPr>
        <w:spacing w:after="40"/>
        <w:rPr>
          <w:rFonts w:cs="Verdana"/>
          <w:b/>
          <w:bCs/>
          <w:caps/>
          <w:szCs w:val="20"/>
        </w:rPr>
      </w:pPr>
      <w:r w:rsidRPr="00142A36">
        <w:rPr>
          <w:rFonts w:cs="Verdana"/>
          <w:b/>
          <w:bCs/>
          <w:caps/>
          <w:szCs w:val="20"/>
        </w:rPr>
        <w:t>Visto:</w:t>
      </w:r>
    </w:p>
    <w:p w:rsidR="00DD161B" w:rsidRPr="00142A36" w:rsidRDefault="00DD161B" w:rsidP="00DD161B">
      <w:pPr>
        <w:spacing w:after="40"/>
        <w:rPr>
          <w:rFonts w:cs="Verdana"/>
          <w:b/>
          <w:bCs/>
          <w:caps/>
          <w:szCs w:val="20"/>
        </w:rPr>
      </w:pPr>
    </w:p>
    <w:p w:rsidR="00142A36" w:rsidRPr="00142A36" w:rsidRDefault="0063747A" w:rsidP="00142A36">
      <w:pPr>
        <w:pStyle w:val="ListParagraph"/>
        <w:widowControl w:val="0"/>
        <w:numPr>
          <w:ilvl w:val="0"/>
          <w:numId w:val="39"/>
        </w:numPr>
        <w:tabs>
          <w:tab w:val="left" w:pos="567"/>
        </w:tabs>
        <w:autoSpaceDE w:val="0"/>
        <w:autoSpaceDN w:val="0"/>
        <w:adjustRightInd w:val="0"/>
        <w:spacing w:after="0"/>
        <w:ind w:left="0" w:right="22" w:firstLine="0"/>
        <w:contextualSpacing w:val="0"/>
        <w:rPr>
          <w:lang w:val="es-CR"/>
        </w:rPr>
      </w:pPr>
      <w:bookmarkStart w:id="1" w:name="_Ref393297742"/>
      <w:bookmarkStart w:id="2" w:name="_Ref352676460"/>
      <w:bookmarkStart w:id="3" w:name="_Ref393297780"/>
      <w:bookmarkStart w:id="4" w:name="_Ref393920719"/>
      <w:r w:rsidRPr="00142A36">
        <w:rPr>
          <w:lang w:val="es-CR"/>
        </w:rPr>
        <w:t>El escrito de sometimiento del caso y el Informe de Fondo de la Comisión Interamericana de Derechos Humanos (en adelante “la Comisión Interamericana” o “la Comisión”)</w:t>
      </w:r>
      <w:bookmarkEnd w:id="1"/>
      <w:r w:rsidRPr="00142A36">
        <w:rPr>
          <w:lang w:val="es-CR"/>
        </w:rPr>
        <w:t xml:space="preserve">; </w:t>
      </w:r>
      <w:bookmarkStart w:id="5" w:name="_Ref351983508"/>
      <w:bookmarkStart w:id="6" w:name="_Ref393297751"/>
      <w:bookmarkEnd w:id="2"/>
      <w:r w:rsidRPr="00142A36">
        <w:rPr>
          <w:lang w:val="es-CR"/>
        </w:rPr>
        <w:t>el escrito de solicitudes, argumentos y pruebas (en adelante el “escrito de solicitudes y argumentos”)</w:t>
      </w:r>
      <w:r>
        <w:rPr>
          <w:lang w:val="es-CR"/>
        </w:rPr>
        <w:t>presentado</w:t>
      </w:r>
      <w:r w:rsidRPr="00142A36">
        <w:rPr>
          <w:lang w:val="es-CR"/>
        </w:rPr>
        <w:t xml:space="preserve"> </w:t>
      </w:r>
      <w:r w:rsidRPr="00142A36">
        <w:rPr>
          <w:szCs w:val="20"/>
          <w:lang w:val="es-CL" w:eastAsia="en-US"/>
        </w:rPr>
        <w:t>por el interviniente común</w:t>
      </w:r>
      <w:r>
        <w:rPr>
          <w:szCs w:val="20"/>
          <w:lang w:val="es-CL" w:eastAsia="en-US"/>
        </w:rPr>
        <w:t xml:space="preserve"> de los representantes</w:t>
      </w:r>
      <w:r w:rsidRPr="00142A36">
        <w:rPr>
          <w:rStyle w:val="FootnoteReference"/>
          <w:szCs w:val="20"/>
          <w:lang w:val="es-CL" w:eastAsia="en-US"/>
        </w:rPr>
        <w:footnoteReference w:id="1"/>
      </w:r>
      <w:r w:rsidRPr="00142A36">
        <w:rPr>
          <w:lang w:val="es-CR"/>
        </w:rPr>
        <w:t xml:space="preserve"> (en adelante “</w:t>
      </w:r>
      <w:r>
        <w:rPr>
          <w:lang w:val="es-CR"/>
        </w:rPr>
        <w:t>el interviniente común</w:t>
      </w:r>
      <w:r w:rsidRPr="00142A36">
        <w:rPr>
          <w:lang w:val="es-CR"/>
        </w:rPr>
        <w:t xml:space="preserve">”); y </w:t>
      </w:r>
      <w:bookmarkStart w:id="7" w:name="_Ref352676532"/>
      <w:bookmarkEnd w:id="5"/>
      <w:bookmarkEnd w:id="6"/>
      <w:r w:rsidRPr="00142A36">
        <w:rPr>
          <w:lang w:val="es-CR"/>
        </w:rPr>
        <w:t>el escrito de contestación al sometimiento del caso</w:t>
      </w:r>
      <w:r>
        <w:rPr>
          <w:lang w:val="es-CR"/>
        </w:rPr>
        <w:t xml:space="preserve"> y</w:t>
      </w:r>
      <w:r w:rsidRPr="00142A36">
        <w:rPr>
          <w:lang w:val="es-CR"/>
        </w:rPr>
        <w:t xml:space="preserve"> al escrito de solicitudes y argumentos (en adelante “escrito de contestación”) del Estado de Chile (en adelante “</w:t>
      </w:r>
      <w:r>
        <w:rPr>
          <w:lang w:val="es-CR"/>
        </w:rPr>
        <w:t>Chile</w:t>
      </w:r>
      <w:r w:rsidRPr="00142A36">
        <w:rPr>
          <w:lang w:val="es-CR"/>
        </w:rPr>
        <w:t>” o “el Estado”)</w:t>
      </w:r>
      <w:bookmarkEnd w:id="7"/>
      <w:r w:rsidR="00142A36" w:rsidRPr="00142A36">
        <w:rPr>
          <w:lang w:val="es-CR"/>
        </w:rPr>
        <w:t>.</w:t>
      </w:r>
    </w:p>
    <w:p w:rsidR="00142A36" w:rsidRPr="00142A36" w:rsidRDefault="00142A36" w:rsidP="00142A36">
      <w:pPr>
        <w:pStyle w:val="ListParagraph"/>
        <w:tabs>
          <w:tab w:val="left" w:pos="567"/>
        </w:tabs>
        <w:ind w:left="0"/>
        <w:rPr>
          <w:lang w:val="es-CR"/>
        </w:rPr>
      </w:pPr>
    </w:p>
    <w:bookmarkEnd w:id="3"/>
    <w:p w:rsidR="00142A36" w:rsidRPr="00142A36" w:rsidRDefault="0063747A" w:rsidP="00142A36">
      <w:pPr>
        <w:pStyle w:val="ListParagraph"/>
        <w:widowControl w:val="0"/>
        <w:numPr>
          <w:ilvl w:val="0"/>
          <w:numId w:val="39"/>
        </w:numPr>
        <w:tabs>
          <w:tab w:val="left" w:pos="567"/>
        </w:tabs>
        <w:autoSpaceDE w:val="0"/>
        <w:autoSpaceDN w:val="0"/>
        <w:adjustRightInd w:val="0"/>
        <w:spacing w:after="0"/>
        <w:ind w:left="0" w:right="22" w:firstLine="0"/>
        <w:contextualSpacing w:val="0"/>
        <w:rPr>
          <w:b/>
          <w:lang w:val="es-CR"/>
        </w:rPr>
      </w:pPr>
      <w:r w:rsidRPr="00142A36">
        <w:rPr>
          <w:lang w:val="es-CR"/>
        </w:rPr>
        <w:t xml:space="preserve">Las listas definitivas de declarantes presentadas por </w:t>
      </w:r>
      <w:r>
        <w:rPr>
          <w:lang w:val="es-CR"/>
        </w:rPr>
        <w:t>el interviniente común, el Estado</w:t>
      </w:r>
      <w:r w:rsidRPr="00142A36">
        <w:rPr>
          <w:lang w:val="es-CR"/>
        </w:rPr>
        <w:t xml:space="preserve"> y la Comisión y las correspondientes observaciones a dichas listas</w:t>
      </w:r>
      <w:r w:rsidR="00142A36" w:rsidRPr="00142A36">
        <w:rPr>
          <w:lang w:val="es-CR"/>
        </w:rPr>
        <w:t xml:space="preserve">. </w:t>
      </w:r>
      <w:bookmarkEnd w:id="4"/>
    </w:p>
    <w:p w:rsidR="00142A36" w:rsidRPr="00142A36" w:rsidRDefault="00142A36" w:rsidP="00DD161B">
      <w:pPr>
        <w:spacing w:after="40"/>
        <w:rPr>
          <w:rFonts w:cs="Verdana"/>
          <w:b/>
          <w:bCs/>
          <w:caps/>
          <w:szCs w:val="20"/>
        </w:rPr>
      </w:pPr>
    </w:p>
    <w:p w:rsidR="00DD161B" w:rsidRPr="00142A36" w:rsidRDefault="00DD161B" w:rsidP="00DD161B">
      <w:pPr>
        <w:autoSpaceDE w:val="0"/>
        <w:autoSpaceDN w:val="0"/>
        <w:adjustRightInd w:val="0"/>
        <w:spacing w:after="0"/>
        <w:jc w:val="left"/>
        <w:rPr>
          <w:rFonts w:eastAsia="Times New Roman" w:cs="Verdana"/>
          <w:b/>
          <w:bCs/>
          <w:szCs w:val="20"/>
          <w:lang w:val="es-CL" w:eastAsia="en-US"/>
        </w:rPr>
      </w:pPr>
      <w:r w:rsidRPr="00142A36">
        <w:rPr>
          <w:rFonts w:eastAsia="Times New Roman" w:cs="Verdana"/>
          <w:b/>
          <w:bCs/>
          <w:szCs w:val="20"/>
          <w:lang w:val="es-CL" w:eastAsia="en-US"/>
        </w:rPr>
        <w:t>CONSIDERANDO QUE:</w:t>
      </w:r>
    </w:p>
    <w:p w:rsidR="00DD161B" w:rsidRPr="00142A36" w:rsidRDefault="00DD161B" w:rsidP="00DD161B">
      <w:pPr>
        <w:autoSpaceDE w:val="0"/>
        <w:autoSpaceDN w:val="0"/>
        <w:adjustRightInd w:val="0"/>
        <w:spacing w:after="0"/>
        <w:jc w:val="left"/>
        <w:rPr>
          <w:rFonts w:eastAsia="Times New Roman" w:cs="Verdana"/>
          <w:b/>
          <w:bCs/>
          <w:szCs w:val="20"/>
          <w:lang w:val="es-CL" w:eastAsia="en-US"/>
        </w:rPr>
      </w:pPr>
    </w:p>
    <w:p w:rsidR="00DD161B" w:rsidRPr="00142A36" w:rsidRDefault="00DD161B" w:rsidP="00DD161B">
      <w:pPr>
        <w:numPr>
          <w:ilvl w:val="0"/>
          <w:numId w:val="2"/>
        </w:numPr>
        <w:tabs>
          <w:tab w:val="clear" w:pos="720"/>
        </w:tabs>
        <w:autoSpaceDE w:val="0"/>
        <w:autoSpaceDN w:val="0"/>
        <w:adjustRightInd w:val="0"/>
        <w:rPr>
          <w:rFonts w:eastAsia="Times New Roman" w:cs="Verdana"/>
          <w:szCs w:val="20"/>
          <w:lang w:val="es-CL" w:eastAsia="en-US"/>
        </w:rPr>
      </w:pPr>
      <w:r w:rsidRPr="00142A36">
        <w:rPr>
          <w:rFonts w:eastAsia="Times New Roman" w:cs="Verdana"/>
          <w:szCs w:val="20"/>
          <w:lang w:val="es-CL" w:eastAsia="en-US"/>
        </w:rPr>
        <w:t xml:space="preserve">El ofrecimiento y la admisión de la prueba, así como la citación de testigos y peritos, se encuentran regulados en los artículos 35.1.f, 40.2.c, 41.1.c, 46, 48, 50, y 57 del Reglamento del Tribunal. </w:t>
      </w:r>
    </w:p>
    <w:p w:rsidR="00DD161B" w:rsidRPr="00142A36" w:rsidRDefault="00DD161B" w:rsidP="00DD161B">
      <w:pPr>
        <w:numPr>
          <w:ilvl w:val="0"/>
          <w:numId w:val="2"/>
        </w:numPr>
        <w:tabs>
          <w:tab w:val="clear" w:pos="720"/>
        </w:tabs>
        <w:autoSpaceDE w:val="0"/>
        <w:autoSpaceDN w:val="0"/>
        <w:adjustRightInd w:val="0"/>
        <w:rPr>
          <w:rFonts w:eastAsia="Times New Roman" w:cs="Verdana"/>
          <w:szCs w:val="20"/>
          <w:lang w:val="es-CL" w:eastAsia="en-US"/>
        </w:rPr>
      </w:pPr>
      <w:r w:rsidRPr="00142A36">
        <w:rPr>
          <w:rFonts w:eastAsia="Times New Roman" w:cs="Verdana"/>
          <w:szCs w:val="20"/>
          <w:lang w:val="es-CL" w:eastAsia="en-US"/>
        </w:rPr>
        <w:t xml:space="preserve">La Corte garantizó a las partes el derecho de defensa respecto de los ofrecimientos probatorios realizados en sus escritos de sometimiento del caso, solicitudes y argumentos, y contestación, así como en </w:t>
      </w:r>
      <w:r w:rsidR="004C2B4C" w:rsidRPr="00142A36">
        <w:rPr>
          <w:rFonts w:eastAsia="Times New Roman" w:cs="Verdana"/>
          <w:szCs w:val="20"/>
          <w:lang w:val="es-CL" w:eastAsia="en-US"/>
        </w:rPr>
        <w:t>la</w:t>
      </w:r>
      <w:r w:rsidR="002A389D" w:rsidRPr="00142A36">
        <w:rPr>
          <w:rFonts w:eastAsia="Times New Roman" w:cs="Verdana"/>
          <w:szCs w:val="20"/>
          <w:lang w:val="es-CL" w:eastAsia="en-US"/>
        </w:rPr>
        <w:t>s</w:t>
      </w:r>
      <w:r w:rsidR="004C2B4C" w:rsidRPr="00142A36">
        <w:rPr>
          <w:rFonts w:eastAsia="Times New Roman" w:cs="Verdana"/>
          <w:szCs w:val="20"/>
          <w:lang w:val="es-CL" w:eastAsia="en-US"/>
        </w:rPr>
        <w:t xml:space="preserve"> </w:t>
      </w:r>
      <w:r w:rsidR="002A389D" w:rsidRPr="00142A36">
        <w:rPr>
          <w:rFonts w:eastAsia="Times New Roman" w:cs="Verdana"/>
          <w:szCs w:val="20"/>
          <w:lang w:val="es-CL" w:eastAsia="en-US"/>
        </w:rPr>
        <w:t xml:space="preserve">respectivas </w:t>
      </w:r>
      <w:r w:rsidR="004C2B4C" w:rsidRPr="00142A36">
        <w:rPr>
          <w:rFonts w:eastAsia="Times New Roman" w:cs="Verdana"/>
          <w:szCs w:val="20"/>
          <w:lang w:val="es-CL" w:eastAsia="en-US"/>
        </w:rPr>
        <w:t>lista</w:t>
      </w:r>
      <w:r w:rsidR="002A389D" w:rsidRPr="00142A36">
        <w:rPr>
          <w:rFonts w:eastAsia="Times New Roman" w:cs="Verdana"/>
          <w:szCs w:val="20"/>
          <w:lang w:val="es-CL" w:eastAsia="en-US"/>
        </w:rPr>
        <w:t>s</w:t>
      </w:r>
      <w:r w:rsidR="004C2B4C" w:rsidRPr="00142A36">
        <w:rPr>
          <w:rFonts w:eastAsia="Times New Roman" w:cs="Verdana"/>
          <w:szCs w:val="20"/>
          <w:lang w:val="es-CL" w:eastAsia="en-US"/>
        </w:rPr>
        <w:t xml:space="preserve"> definitiva</w:t>
      </w:r>
      <w:r w:rsidR="002A389D" w:rsidRPr="00142A36">
        <w:rPr>
          <w:rFonts w:eastAsia="Times New Roman" w:cs="Verdana"/>
          <w:szCs w:val="20"/>
          <w:lang w:val="es-CL" w:eastAsia="en-US"/>
        </w:rPr>
        <w:t>s</w:t>
      </w:r>
      <w:r w:rsidR="004C2B4C" w:rsidRPr="00142A36">
        <w:rPr>
          <w:rFonts w:eastAsia="Times New Roman" w:cs="Verdana"/>
          <w:szCs w:val="20"/>
          <w:lang w:val="es-CL" w:eastAsia="en-US"/>
        </w:rPr>
        <w:t xml:space="preserve"> de </w:t>
      </w:r>
      <w:r w:rsidR="002A389D" w:rsidRPr="00142A36">
        <w:rPr>
          <w:rFonts w:eastAsia="Times New Roman" w:cs="Verdana"/>
          <w:szCs w:val="20"/>
          <w:lang w:val="es-CL" w:eastAsia="en-US"/>
        </w:rPr>
        <w:t>declar</w:t>
      </w:r>
      <w:r w:rsidR="004C2B4C" w:rsidRPr="00142A36">
        <w:rPr>
          <w:rFonts w:eastAsia="Times New Roman" w:cs="Verdana"/>
          <w:szCs w:val="20"/>
          <w:lang w:val="es-CL" w:eastAsia="en-US"/>
        </w:rPr>
        <w:t>antes</w:t>
      </w:r>
      <w:r w:rsidRPr="00142A36">
        <w:rPr>
          <w:rFonts w:eastAsia="Times New Roman" w:cs="Verdana"/>
          <w:szCs w:val="20"/>
          <w:lang w:val="es-CL" w:eastAsia="en-US"/>
        </w:rPr>
        <w:t>.</w:t>
      </w:r>
    </w:p>
    <w:p w:rsidR="00306396" w:rsidRPr="00142A36" w:rsidRDefault="00DD161B">
      <w:pPr>
        <w:numPr>
          <w:ilvl w:val="0"/>
          <w:numId w:val="2"/>
        </w:numPr>
        <w:tabs>
          <w:tab w:val="clear" w:pos="720"/>
        </w:tabs>
        <w:autoSpaceDE w:val="0"/>
        <w:autoSpaceDN w:val="0"/>
        <w:adjustRightInd w:val="0"/>
        <w:rPr>
          <w:rFonts w:eastAsia="Times New Roman" w:cs="Verdana"/>
          <w:szCs w:val="20"/>
          <w:lang w:val="es-CL" w:eastAsia="en-US"/>
        </w:rPr>
      </w:pPr>
      <w:r w:rsidRPr="00142A36">
        <w:rPr>
          <w:szCs w:val="20"/>
        </w:rPr>
        <w:t xml:space="preserve">A continuación el Presidente examinará en forma particular: </w:t>
      </w:r>
      <w:r w:rsidR="0069310D" w:rsidRPr="00142A36">
        <w:rPr>
          <w:szCs w:val="20"/>
        </w:rPr>
        <w:t>a</w:t>
      </w:r>
      <w:r w:rsidR="006D41D6" w:rsidRPr="00142A36">
        <w:rPr>
          <w:szCs w:val="20"/>
        </w:rPr>
        <w:t xml:space="preserve">) </w:t>
      </w:r>
      <w:r w:rsidR="008153AC" w:rsidRPr="00142A36">
        <w:rPr>
          <w:szCs w:val="20"/>
        </w:rPr>
        <w:t xml:space="preserve">el </w:t>
      </w:r>
      <w:r w:rsidR="00C740B2" w:rsidRPr="00142A36">
        <w:rPr>
          <w:szCs w:val="20"/>
        </w:rPr>
        <w:t>desistimiento tácito</w:t>
      </w:r>
      <w:r w:rsidR="00890830" w:rsidRPr="00142A36">
        <w:rPr>
          <w:szCs w:val="20"/>
        </w:rPr>
        <w:t xml:space="preserve"> por parte del Estado</w:t>
      </w:r>
      <w:r w:rsidR="00C740B2" w:rsidRPr="00142A36">
        <w:rPr>
          <w:szCs w:val="20"/>
        </w:rPr>
        <w:t xml:space="preserve"> de </w:t>
      </w:r>
      <w:r w:rsidR="00174570" w:rsidRPr="00142A36">
        <w:rPr>
          <w:szCs w:val="20"/>
        </w:rPr>
        <w:t xml:space="preserve">una </w:t>
      </w:r>
      <w:r w:rsidR="008153AC" w:rsidRPr="00142A36">
        <w:rPr>
          <w:szCs w:val="20"/>
        </w:rPr>
        <w:t>declaración testimonial</w:t>
      </w:r>
      <w:r w:rsidR="00C740B2" w:rsidRPr="00142A36">
        <w:rPr>
          <w:szCs w:val="20"/>
        </w:rPr>
        <w:t xml:space="preserve"> </w:t>
      </w:r>
      <w:r w:rsidR="0017643B" w:rsidRPr="00142A36">
        <w:rPr>
          <w:szCs w:val="20"/>
        </w:rPr>
        <w:t xml:space="preserve">ofrecida </w:t>
      </w:r>
      <w:r w:rsidR="00C740B2" w:rsidRPr="00142A36">
        <w:rPr>
          <w:szCs w:val="20"/>
        </w:rPr>
        <w:t xml:space="preserve">por el </w:t>
      </w:r>
      <w:r w:rsidR="0017643B" w:rsidRPr="00142A36">
        <w:rPr>
          <w:szCs w:val="20"/>
        </w:rPr>
        <w:t>mismo;</w:t>
      </w:r>
      <w:r w:rsidR="00C740B2" w:rsidRPr="00142A36">
        <w:rPr>
          <w:szCs w:val="20"/>
        </w:rPr>
        <w:t xml:space="preserve"> b) </w:t>
      </w:r>
      <w:r w:rsidR="00FF63E3" w:rsidRPr="00142A36">
        <w:rPr>
          <w:szCs w:val="20"/>
        </w:rPr>
        <w:t>la</w:t>
      </w:r>
      <w:r w:rsidR="008153AC" w:rsidRPr="00142A36">
        <w:rPr>
          <w:szCs w:val="20"/>
        </w:rPr>
        <w:t xml:space="preserve"> prueba pericial y testimonial ofrecida por el Estado y alguna</w:t>
      </w:r>
      <w:r w:rsidR="00FF63E3" w:rsidRPr="00142A36">
        <w:rPr>
          <w:szCs w:val="20"/>
        </w:rPr>
        <w:t xml:space="preserve">s objeciones del </w:t>
      </w:r>
      <w:r w:rsidR="00965DCF" w:rsidRPr="00142A36">
        <w:rPr>
          <w:szCs w:val="20"/>
        </w:rPr>
        <w:t xml:space="preserve">interviniente </w:t>
      </w:r>
      <w:r w:rsidR="008153AC" w:rsidRPr="00142A36">
        <w:rPr>
          <w:szCs w:val="20"/>
        </w:rPr>
        <w:t>común al respecto</w:t>
      </w:r>
      <w:r w:rsidR="0017643B" w:rsidRPr="00142A36">
        <w:rPr>
          <w:szCs w:val="20"/>
        </w:rPr>
        <w:t>;</w:t>
      </w:r>
      <w:r w:rsidR="00AB63A8" w:rsidRPr="00142A36">
        <w:rPr>
          <w:szCs w:val="20"/>
        </w:rPr>
        <w:t xml:space="preserve"> c</w:t>
      </w:r>
      <w:r w:rsidR="00FF63E3" w:rsidRPr="00142A36">
        <w:rPr>
          <w:szCs w:val="20"/>
        </w:rPr>
        <w:t>) la recusación por el Estado en contra de un perito p</w:t>
      </w:r>
      <w:r w:rsidR="00AB63A8" w:rsidRPr="00142A36">
        <w:rPr>
          <w:szCs w:val="20"/>
        </w:rPr>
        <w:t xml:space="preserve">ropuesto por el </w:t>
      </w:r>
      <w:r w:rsidR="00965DCF" w:rsidRPr="00142A36">
        <w:rPr>
          <w:szCs w:val="20"/>
        </w:rPr>
        <w:t>interviniente común</w:t>
      </w:r>
      <w:r w:rsidR="0017643B" w:rsidRPr="00142A36">
        <w:rPr>
          <w:szCs w:val="20"/>
        </w:rPr>
        <w:t>;</w:t>
      </w:r>
      <w:r w:rsidR="00AB63A8" w:rsidRPr="00142A36">
        <w:rPr>
          <w:szCs w:val="20"/>
        </w:rPr>
        <w:t xml:space="preserve"> d</w:t>
      </w:r>
      <w:r w:rsidR="00FF63E3" w:rsidRPr="00142A36">
        <w:rPr>
          <w:szCs w:val="20"/>
        </w:rPr>
        <w:t xml:space="preserve">) </w:t>
      </w:r>
      <w:r w:rsidR="008153AC" w:rsidRPr="00142A36">
        <w:rPr>
          <w:szCs w:val="20"/>
        </w:rPr>
        <w:t>la prueba testimonial y pericial ofrecida por el interviniente común</w:t>
      </w:r>
      <w:r w:rsidR="0017643B" w:rsidRPr="00142A36">
        <w:rPr>
          <w:szCs w:val="20"/>
        </w:rPr>
        <w:t>;</w:t>
      </w:r>
      <w:r w:rsidR="008153AC" w:rsidRPr="00142A36">
        <w:rPr>
          <w:szCs w:val="20"/>
        </w:rPr>
        <w:t xml:space="preserve"> e) </w:t>
      </w:r>
      <w:r w:rsidR="0069310D" w:rsidRPr="00142A36">
        <w:rPr>
          <w:szCs w:val="20"/>
        </w:rPr>
        <w:t>la prueba pericial ofrecida por la Comisión Interamericana</w:t>
      </w:r>
      <w:r w:rsidR="0017643B" w:rsidRPr="00142A36">
        <w:rPr>
          <w:szCs w:val="20"/>
        </w:rPr>
        <w:t>;</w:t>
      </w:r>
      <w:r w:rsidR="00AB63A8" w:rsidRPr="00142A36">
        <w:rPr>
          <w:szCs w:val="20"/>
        </w:rPr>
        <w:t xml:space="preserve"> </w:t>
      </w:r>
      <w:r w:rsidR="008153AC" w:rsidRPr="00142A36">
        <w:rPr>
          <w:szCs w:val="20"/>
        </w:rPr>
        <w:t>f</w:t>
      </w:r>
      <w:r w:rsidR="00AB63A8" w:rsidRPr="00142A36">
        <w:rPr>
          <w:szCs w:val="20"/>
        </w:rPr>
        <w:t>)</w:t>
      </w:r>
      <w:r w:rsidR="005C4790" w:rsidRPr="00142A36">
        <w:rPr>
          <w:szCs w:val="20"/>
        </w:rPr>
        <w:t xml:space="preserve"> la solicitud de </w:t>
      </w:r>
      <w:r w:rsidR="00AB63A8" w:rsidRPr="00142A36">
        <w:rPr>
          <w:szCs w:val="20"/>
        </w:rPr>
        <w:t xml:space="preserve">la Comisión </w:t>
      </w:r>
      <w:r w:rsidR="008153AC" w:rsidRPr="00142A36">
        <w:rPr>
          <w:szCs w:val="20"/>
        </w:rPr>
        <w:t xml:space="preserve">Interamericana </w:t>
      </w:r>
      <w:r w:rsidR="00AB63A8" w:rsidRPr="00142A36">
        <w:rPr>
          <w:szCs w:val="20"/>
        </w:rPr>
        <w:t xml:space="preserve">para </w:t>
      </w:r>
      <w:r w:rsidR="005C4790" w:rsidRPr="00142A36">
        <w:rPr>
          <w:szCs w:val="20"/>
        </w:rPr>
        <w:t>formular preguntas a un perito propuesto por el Estado</w:t>
      </w:r>
      <w:r w:rsidR="0089108E" w:rsidRPr="00142A36">
        <w:rPr>
          <w:szCs w:val="20"/>
        </w:rPr>
        <w:t>;</w:t>
      </w:r>
      <w:r w:rsidR="00AB63A8" w:rsidRPr="00142A36">
        <w:rPr>
          <w:szCs w:val="20"/>
        </w:rPr>
        <w:t xml:space="preserve"> g</w:t>
      </w:r>
      <w:r w:rsidR="004444A9" w:rsidRPr="00142A36">
        <w:rPr>
          <w:szCs w:val="20"/>
        </w:rPr>
        <w:t xml:space="preserve">) </w:t>
      </w:r>
      <w:r w:rsidR="009E173F" w:rsidRPr="00142A36">
        <w:rPr>
          <w:szCs w:val="20"/>
        </w:rPr>
        <w:t>la modalidad</w:t>
      </w:r>
      <w:r w:rsidR="009E173F" w:rsidRPr="00142A36">
        <w:rPr>
          <w:bCs/>
          <w:iCs/>
          <w:szCs w:val="20"/>
          <w:lang w:val="es-CR"/>
        </w:rPr>
        <w:t xml:space="preserve"> de las declaraciones y dictámenes periciales po</w:t>
      </w:r>
      <w:r w:rsidR="00890830" w:rsidRPr="00142A36">
        <w:rPr>
          <w:bCs/>
          <w:iCs/>
          <w:szCs w:val="20"/>
          <w:lang w:val="es-CR"/>
        </w:rPr>
        <w:t>r recibir, y</w:t>
      </w:r>
      <w:r w:rsidR="00AB63A8" w:rsidRPr="00142A36">
        <w:rPr>
          <w:bCs/>
          <w:iCs/>
          <w:szCs w:val="20"/>
          <w:lang w:val="es-CR"/>
        </w:rPr>
        <w:t xml:space="preserve"> h</w:t>
      </w:r>
      <w:r w:rsidR="009E173F" w:rsidRPr="00142A36">
        <w:rPr>
          <w:rFonts w:eastAsiaTheme="minorEastAsia" w:cs="Verdana"/>
          <w:szCs w:val="20"/>
        </w:rPr>
        <w:t xml:space="preserve">) </w:t>
      </w:r>
      <w:r w:rsidR="009E173F" w:rsidRPr="00142A36">
        <w:rPr>
          <w:bCs/>
          <w:iCs/>
          <w:szCs w:val="20"/>
        </w:rPr>
        <w:t>los alegatos y observaciones finales orales y escritos.</w:t>
      </w:r>
    </w:p>
    <w:p w:rsidR="00F60B36" w:rsidRPr="00142A36" w:rsidRDefault="00F60B36" w:rsidP="00F60B36">
      <w:pPr>
        <w:autoSpaceDE w:val="0"/>
        <w:autoSpaceDN w:val="0"/>
        <w:adjustRightInd w:val="0"/>
        <w:rPr>
          <w:rFonts w:eastAsia="Times New Roman" w:cs="Verdana"/>
          <w:szCs w:val="20"/>
          <w:lang w:eastAsia="en-US"/>
        </w:rPr>
      </w:pPr>
    </w:p>
    <w:p w:rsidR="006D3211" w:rsidRPr="00142A36" w:rsidRDefault="006D3211" w:rsidP="006D3211">
      <w:pPr>
        <w:pStyle w:val="ListParagraph1"/>
        <w:numPr>
          <w:ilvl w:val="0"/>
          <w:numId w:val="33"/>
        </w:numPr>
        <w:spacing w:before="240" w:after="120"/>
        <w:ind w:right="11"/>
        <w:jc w:val="both"/>
        <w:rPr>
          <w:rFonts w:ascii="Verdana" w:hAnsi="Verdana"/>
          <w:b/>
          <w:i/>
          <w:sz w:val="20"/>
          <w:szCs w:val="20"/>
        </w:rPr>
      </w:pPr>
      <w:r w:rsidRPr="00142A36">
        <w:rPr>
          <w:rFonts w:ascii="Verdana" w:hAnsi="Verdana"/>
          <w:b/>
          <w:i/>
          <w:sz w:val="20"/>
          <w:szCs w:val="20"/>
        </w:rPr>
        <w:lastRenderedPageBreak/>
        <w:t xml:space="preserve">Desistimiento </w:t>
      </w:r>
      <w:r w:rsidR="00C740B2" w:rsidRPr="00142A36">
        <w:rPr>
          <w:rFonts w:ascii="Verdana" w:hAnsi="Verdana"/>
          <w:b/>
          <w:i/>
          <w:sz w:val="20"/>
          <w:szCs w:val="20"/>
        </w:rPr>
        <w:t xml:space="preserve">tácito </w:t>
      </w:r>
      <w:r w:rsidR="00890830" w:rsidRPr="00142A36">
        <w:rPr>
          <w:rFonts w:ascii="Verdana" w:hAnsi="Verdana"/>
          <w:b/>
          <w:i/>
          <w:sz w:val="20"/>
          <w:szCs w:val="20"/>
        </w:rPr>
        <w:t xml:space="preserve">por parte del Estado </w:t>
      </w:r>
      <w:r w:rsidRPr="00142A36">
        <w:rPr>
          <w:rFonts w:ascii="Verdana" w:hAnsi="Verdana"/>
          <w:b/>
          <w:i/>
          <w:sz w:val="20"/>
          <w:szCs w:val="20"/>
        </w:rPr>
        <w:t xml:space="preserve">de </w:t>
      </w:r>
      <w:r w:rsidR="00830962" w:rsidRPr="00142A36">
        <w:rPr>
          <w:rFonts w:ascii="Verdana" w:hAnsi="Verdana"/>
          <w:b/>
          <w:i/>
          <w:sz w:val="20"/>
          <w:szCs w:val="20"/>
        </w:rPr>
        <w:t xml:space="preserve">una </w:t>
      </w:r>
      <w:r w:rsidR="008153AC" w:rsidRPr="00142A36">
        <w:rPr>
          <w:rFonts w:ascii="Verdana" w:hAnsi="Verdana"/>
          <w:b/>
          <w:i/>
          <w:sz w:val="20"/>
          <w:szCs w:val="20"/>
        </w:rPr>
        <w:t>declaración testimonial</w:t>
      </w:r>
      <w:r w:rsidRPr="00142A36">
        <w:rPr>
          <w:rFonts w:ascii="Verdana" w:hAnsi="Verdana"/>
          <w:b/>
          <w:i/>
          <w:sz w:val="20"/>
          <w:szCs w:val="20"/>
        </w:rPr>
        <w:t xml:space="preserve"> </w:t>
      </w:r>
      <w:r w:rsidR="0017643B" w:rsidRPr="00142A36">
        <w:rPr>
          <w:rFonts w:ascii="Verdana" w:hAnsi="Verdana"/>
          <w:b/>
          <w:i/>
          <w:sz w:val="20"/>
          <w:szCs w:val="20"/>
        </w:rPr>
        <w:t>ofrecida por el mismo</w:t>
      </w:r>
      <w:r w:rsidRPr="00142A36">
        <w:rPr>
          <w:rFonts w:ascii="Verdana" w:hAnsi="Verdana"/>
          <w:b/>
          <w:i/>
          <w:sz w:val="20"/>
          <w:szCs w:val="20"/>
        </w:rPr>
        <w:t xml:space="preserve"> </w:t>
      </w:r>
    </w:p>
    <w:p w:rsidR="006D3211" w:rsidRPr="00142A36" w:rsidRDefault="00C740B2" w:rsidP="006D3211">
      <w:pPr>
        <w:numPr>
          <w:ilvl w:val="0"/>
          <w:numId w:val="2"/>
        </w:numPr>
        <w:tabs>
          <w:tab w:val="clear" w:pos="720"/>
        </w:tabs>
        <w:autoSpaceDE w:val="0"/>
        <w:autoSpaceDN w:val="0"/>
        <w:adjustRightInd w:val="0"/>
        <w:rPr>
          <w:szCs w:val="20"/>
        </w:rPr>
      </w:pPr>
      <w:r w:rsidRPr="00142A36">
        <w:rPr>
          <w:szCs w:val="20"/>
        </w:rPr>
        <w:t xml:space="preserve">El Estado </w:t>
      </w:r>
      <w:r w:rsidR="006D3211" w:rsidRPr="00142A36">
        <w:rPr>
          <w:szCs w:val="20"/>
        </w:rPr>
        <w:t>ofreció</w:t>
      </w:r>
      <w:r w:rsidR="008153AC" w:rsidRPr="00142A36">
        <w:rPr>
          <w:szCs w:val="20"/>
        </w:rPr>
        <w:t>,</w:t>
      </w:r>
      <w:r w:rsidR="006D3211" w:rsidRPr="00142A36">
        <w:rPr>
          <w:szCs w:val="20"/>
        </w:rPr>
        <w:t xml:space="preserve"> </w:t>
      </w:r>
      <w:r w:rsidR="008153AC" w:rsidRPr="00142A36">
        <w:rPr>
          <w:szCs w:val="20"/>
        </w:rPr>
        <w:t xml:space="preserve">en su escrito de contestación, </w:t>
      </w:r>
      <w:r w:rsidR="006D3211" w:rsidRPr="00142A36">
        <w:rPr>
          <w:szCs w:val="20"/>
        </w:rPr>
        <w:t xml:space="preserve">las declaraciones de cinco (5) testigos, las cuales fueron confirmadas en su lista definitiva de declarantes, con la excepción de la declaración </w:t>
      </w:r>
      <w:r w:rsidR="008153AC" w:rsidRPr="00142A36">
        <w:rPr>
          <w:szCs w:val="20"/>
        </w:rPr>
        <w:t xml:space="preserve">testimonial </w:t>
      </w:r>
      <w:r w:rsidR="006D3211" w:rsidRPr="00142A36">
        <w:rPr>
          <w:szCs w:val="20"/>
        </w:rPr>
        <w:t xml:space="preserve">del señor Hugo </w:t>
      </w:r>
      <w:proofErr w:type="spellStart"/>
      <w:r w:rsidR="006D3211" w:rsidRPr="00142A36">
        <w:rPr>
          <w:szCs w:val="20"/>
        </w:rPr>
        <w:t>Dolmestch</w:t>
      </w:r>
      <w:proofErr w:type="spellEnd"/>
      <w:r w:rsidR="006D3211" w:rsidRPr="00142A36">
        <w:rPr>
          <w:szCs w:val="20"/>
        </w:rPr>
        <w:t xml:space="preserve"> Urra</w:t>
      </w:r>
      <w:r w:rsidR="008153AC" w:rsidRPr="00142A36">
        <w:rPr>
          <w:szCs w:val="20"/>
        </w:rPr>
        <w:t>,</w:t>
      </w:r>
      <w:r w:rsidR="006D3211" w:rsidRPr="00142A36">
        <w:rPr>
          <w:szCs w:val="20"/>
        </w:rPr>
        <w:t xml:space="preserve"> a la cual el Estado no hizo referencia en dicha lista.</w:t>
      </w:r>
    </w:p>
    <w:p w:rsidR="006D3211" w:rsidRPr="00142A36" w:rsidRDefault="006D3211" w:rsidP="006D3211">
      <w:pPr>
        <w:numPr>
          <w:ilvl w:val="0"/>
          <w:numId w:val="2"/>
        </w:numPr>
        <w:tabs>
          <w:tab w:val="clear" w:pos="720"/>
        </w:tabs>
        <w:autoSpaceDE w:val="0"/>
        <w:autoSpaceDN w:val="0"/>
        <w:adjustRightInd w:val="0"/>
        <w:rPr>
          <w:szCs w:val="20"/>
        </w:rPr>
      </w:pPr>
      <w:r w:rsidRPr="00142A36">
        <w:rPr>
          <w:szCs w:val="20"/>
        </w:rPr>
        <w:t xml:space="preserve">La Comisión no formuló observaciones al respecto. El </w:t>
      </w:r>
      <w:r w:rsidR="00965DCF" w:rsidRPr="00142A36">
        <w:rPr>
          <w:szCs w:val="20"/>
        </w:rPr>
        <w:t>interviniente común</w:t>
      </w:r>
      <w:r w:rsidRPr="00142A36">
        <w:rPr>
          <w:szCs w:val="20"/>
        </w:rPr>
        <w:t xml:space="preserve"> indicó que “solamente los declarantes determinados en [la lista definitiva de declarantes presentada por el Estado] son los definitivos, entendiendo así que el Ministro Sr. Hugo </w:t>
      </w:r>
      <w:proofErr w:type="spellStart"/>
      <w:r w:rsidRPr="00142A36">
        <w:rPr>
          <w:szCs w:val="20"/>
        </w:rPr>
        <w:t>Dolmestch</w:t>
      </w:r>
      <w:proofErr w:type="spellEnd"/>
      <w:r w:rsidRPr="00142A36">
        <w:rPr>
          <w:szCs w:val="20"/>
        </w:rPr>
        <w:t xml:space="preserve"> no rendirá testimonio por ningún medio, ya sea en audiencia pública o mediante […] affidavit”.</w:t>
      </w:r>
    </w:p>
    <w:p w:rsidR="006D3211" w:rsidRPr="00142A36" w:rsidRDefault="00C740B2" w:rsidP="006D3211">
      <w:pPr>
        <w:numPr>
          <w:ilvl w:val="0"/>
          <w:numId w:val="2"/>
        </w:numPr>
        <w:tabs>
          <w:tab w:val="clear" w:pos="720"/>
        </w:tabs>
        <w:autoSpaceDE w:val="0"/>
        <w:autoSpaceDN w:val="0"/>
        <w:adjustRightInd w:val="0"/>
        <w:rPr>
          <w:szCs w:val="20"/>
        </w:rPr>
      </w:pPr>
      <w:r w:rsidRPr="00142A36">
        <w:rPr>
          <w:szCs w:val="20"/>
        </w:rPr>
        <w:t>Esta Presidencia recuerda que, d</w:t>
      </w:r>
      <w:r w:rsidR="006D3211" w:rsidRPr="00142A36">
        <w:rPr>
          <w:szCs w:val="20"/>
        </w:rPr>
        <w:t xml:space="preserve">e conformidad con el artículo 46.1 del Reglamento, el momento procesal oportuno para que la Comisión y las partes confirmen o desistan del ofrecimiento de las declaraciones realizadas en sus respectivos escritos es en la lista definitiva solicitada por el Tribunal. En ese sentido, al no confirmar </w:t>
      </w:r>
      <w:r w:rsidRPr="00142A36">
        <w:rPr>
          <w:szCs w:val="20"/>
        </w:rPr>
        <w:t>la declaració</w:t>
      </w:r>
      <w:r w:rsidR="006D3211" w:rsidRPr="00142A36">
        <w:rPr>
          <w:szCs w:val="20"/>
        </w:rPr>
        <w:t>n</w:t>
      </w:r>
      <w:r w:rsidRPr="00142A36">
        <w:rPr>
          <w:szCs w:val="20"/>
        </w:rPr>
        <w:t xml:space="preserve"> del señor </w:t>
      </w:r>
      <w:proofErr w:type="spellStart"/>
      <w:r w:rsidRPr="00142A36">
        <w:rPr>
          <w:szCs w:val="20"/>
        </w:rPr>
        <w:t>Dolmestch</w:t>
      </w:r>
      <w:proofErr w:type="spellEnd"/>
      <w:r w:rsidRPr="00142A36">
        <w:rPr>
          <w:szCs w:val="20"/>
        </w:rPr>
        <w:t xml:space="preserve"> Urra</w:t>
      </w:r>
      <w:r w:rsidR="006D3211" w:rsidRPr="00142A36">
        <w:rPr>
          <w:szCs w:val="20"/>
        </w:rPr>
        <w:t xml:space="preserve"> en su lista definitiva</w:t>
      </w:r>
      <w:r w:rsidRPr="00142A36">
        <w:rPr>
          <w:szCs w:val="20"/>
        </w:rPr>
        <w:t xml:space="preserve"> de declarantes</w:t>
      </w:r>
      <w:r w:rsidR="006D3211" w:rsidRPr="00142A36">
        <w:rPr>
          <w:szCs w:val="20"/>
        </w:rPr>
        <w:t xml:space="preserve">, el Presidente estima que </w:t>
      </w:r>
      <w:r w:rsidRPr="00142A36">
        <w:rPr>
          <w:szCs w:val="20"/>
        </w:rPr>
        <w:t>el Estado</w:t>
      </w:r>
      <w:r w:rsidR="006D3211" w:rsidRPr="00142A36">
        <w:rPr>
          <w:szCs w:val="20"/>
        </w:rPr>
        <w:t xml:space="preserve"> tácitamente desisti</w:t>
      </w:r>
      <w:r w:rsidRPr="00142A36">
        <w:rPr>
          <w:szCs w:val="20"/>
        </w:rPr>
        <w:t>ó de la misma</w:t>
      </w:r>
      <w:r w:rsidR="006D3211" w:rsidRPr="00142A36">
        <w:rPr>
          <w:szCs w:val="20"/>
        </w:rPr>
        <w:t xml:space="preserve"> </w:t>
      </w:r>
      <w:r w:rsidRPr="00142A36">
        <w:rPr>
          <w:szCs w:val="20"/>
        </w:rPr>
        <w:t xml:space="preserve">como elemento probatorio </w:t>
      </w:r>
      <w:r w:rsidR="006D3211" w:rsidRPr="00142A36">
        <w:rPr>
          <w:szCs w:val="20"/>
        </w:rPr>
        <w:t>en la debida oportunidad procesal</w:t>
      </w:r>
      <w:r w:rsidR="006D3211" w:rsidRPr="00142A36">
        <w:rPr>
          <w:rStyle w:val="FootnoteReference"/>
          <w:szCs w:val="20"/>
        </w:rPr>
        <w:footnoteReference w:id="2"/>
      </w:r>
      <w:r w:rsidR="006D3211" w:rsidRPr="00142A36">
        <w:rPr>
          <w:szCs w:val="20"/>
        </w:rPr>
        <w:t xml:space="preserve">. En virtud de lo anterior, el Presidente toma nota de dicho desistimiento.  </w:t>
      </w:r>
    </w:p>
    <w:p w:rsidR="00FF2063" w:rsidRPr="00142A36" w:rsidRDefault="00BF5B32" w:rsidP="006D3211">
      <w:pPr>
        <w:pStyle w:val="ListParagraph1"/>
        <w:numPr>
          <w:ilvl w:val="0"/>
          <w:numId w:val="33"/>
        </w:numPr>
        <w:spacing w:before="240" w:after="120"/>
        <w:ind w:right="11"/>
        <w:jc w:val="both"/>
        <w:rPr>
          <w:rFonts w:ascii="Verdana" w:hAnsi="Verdana"/>
          <w:b/>
          <w:i/>
          <w:sz w:val="20"/>
          <w:szCs w:val="20"/>
        </w:rPr>
      </w:pPr>
      <w:r w:rsidRPr="00142A36">
        <w:rPr>
          <w:rFonts w:ascii="Verdana" w:hAnsi="Verdana"/>
          <w:b/>
          <w:i/>
          <w:sz w:val="20"/>
          <w:szCs w:val="20"/>
        </w:rPr>
        <w:t xml:space="preserve">Prueba pericial y testimonial ofrecida por el Estado y </w:t>
      </w:r>
      <w:r w:rsidR="00072AB9" w:rsidRPr="00142A36">
        <w:rPr>
          <w:rFonts w:ascii="Verdana" w:hAnsi="Verdana"/>
          <w:b/>
          <w:i/>
          <w:sz w:val="20"/>
          <w:szCs w:val="20"/>
        </w:rPr>
        <w:t xml:space="preserve">algunas </w:t>
      </w:r>
      <w:r w:rsidRPr="00142A36">
        <w:rPr>
          <w:rFonts w:ascii="Verdana" w:hAnsi="Verdana"/>
          <w:b/>
          <w:i/>
          <w:sz w:val="20"/>
          <w:szCs w:val="20"/>
        </w:rPr>
        <w:t>o</w:t>
      </w:r>
      <w:r w:rsidR="008E2DCB" w:rsidRPr="00142A36">
        <w:rPr>
          <w:rFonts w:ascii="Verdana" w:hAnsi="Verdana"/>
          <w:b/>
          <w:i/>
          <w:sz w:val="20"/>
          <w:szCs w:val="20"/>
        </w:rPr>
        <w:t xml:space="preserve">bjeciones del </w:t>
      </w:r>
      <w:r w:rsidR="00965DCF" w:rsidRPr="00142A36">
        <w:rPr>
          <w:rFonts w:ascii="Verdana" w:hAnsi="Verdana"/>
          <w:b/>
          <w:i/>
          <w:sz w:val="20"/>
          <w:szCs w:val="20"/>
        </w:rPr>
        <w:t>interviniente común</w:t>
      </w:r>
      <w:r w:rsidR="008E2DCB" w:rsidRPr="00142A36">
        <w:rPr>
          <w:rFonts w:ascii="Verdana" w:hAnsi="Verdana"/>
          <w:b/>
          <w:i/>
          <w:sz w:val="20"/>
          <w:szCs w:val="20"/>
        </w:rPr>
        <w:t xml:space="preserve"> a</w:t>
      </w:r>
      <w:r w:rsidR="00072AB9" w:rsidRPr="00142A36">
        <w:rPr>
          <w:rFonts w:ascii="Verdana" w:hAnsi="Verdana"/>
          <w:b/>
          <w:i/>
          <w:sz w:val="20"/>
          <w:szCs w:val="20"/>
        </w:rPr>
        <w:t xml:space="preserve">l respecto </w:t>
      </w:r>
    </w:p>
    <w:p w:rsidR="008E2DCB" w:rsidRPr="00142A36" w:rsidRDefault="00E90307" w:rsidP="006B7520">
      <w:pPr>
        <w:numPr>
          <w:ilvl w:val="0"/>
          <w:numId w:val="2"/>
        </w:numPr>
        <w:tabs>
          <w:tab w:val="clear" w:pos="720"/>
        </w:tabs>
        <w:autoSpaceDE w:val="0"/>
        <w:autoSpaceDN w:val="0"/>
        <w:adjustRightInd w:val="0"/>
        <w:rPr>
          <w:bCs/>
          <w:iCs/>
          <w:szCs w:val="20"/>
          <w:lang w:val="es-CR"/>
        </w:rPr>
      </w:pPr>
      <w:r w:rsidRPr="00142A36">
        <w:rPr>
          <w:rFonts w:eastAsia="Times New Roman" w:cs="Verdana"/>
          <w:szCs w:val="20"/>
          <w:lang w:val="es-ES" w:eastAsia="en-US"/>
        </w:rPr>
        <w:t>En lo que concierne</w:t>
      </w:r>
      <w:r w:rsidR="00890830" w:rsidRPr="00142A36">
        <w:rPr>
          <w:rFonts w:eastAsia="Times New Roman" w:cs="Verdana"/>
          <w:szCs w:val="20"/>
          <w:lang w:val="es-ES" w:eastAsia="en-US"/>
        </w:rPr>
        <w:t xml:space="preserve"> a</w:t>
      </w:r>
      <w:r w:rsidRPr="00142A36">
        <w:rPr>
          <w:rFonts w:eastAsia="Times New Roman" w:cs="Verdana"/>
          <w:szCs w:val="20"/>
          <w:lang w:val="es-ES" w:eastAsia="en-US"/>
        </w:rPr>
        <w:t xml:space="preserve"> </w:t>
      </w:r>
      <w:r w:rsidR="006D3211" w:rsidRPr="00142A36">
        <w:rPr>
          <w:rFonts w:eastAsia="Times New Roman" w:cs="Verdana"/>
          <w:szCs w:val="20"/>
          <w:lang w:val="es-ES" w:eastAsia="en-US"/>
        </w:rPr>
        <w:t xml:space="preserve">la prueba pericial, </w:t>
      </w:r>
      <w:r w:rsidR="006D3211" w:rsidRPr="00142A36">
        <w:rPr>
          <w:rFonts w:eastAsia="Times New Roman" w:cs="Verdana"/>
          <w:szCs w:val="20"/>
          <w:lang w:val="es-CL" w:eastAsia="en-US"/>
        </w:rPr>
        <w:t>e</w:t>
      </w:r>
      <w:r w:rsidR="008E2DCB" w:rsidRPr="00142A36">
        <w:rPr>
          <w:rFonts w:eastAsia="Times New Roman" w:cs="Verdana"/>
          <w:szCs w:val="20"/>
          <w:lang w:val="es-CL" w:eastAsia="en-US"/>
        </w:rPr>
        <w:t xml:space="preserve">l </w:t>
      </w:r>
      <w:r w:rsidR="008E2DCB" w:rsidRPr="00142A36">
        <w:rPr>
          <w:szCs w:val="20"/>
        </w:rPr>
        <w:t>Estado</w:t>
      </w:r>
      <w:r w:rsidR="008E2DCB" w:rsidRPr="00142A36">
        <w:rPr>
          <w:rFonts w:eastAsia="Times New Roman" w:cs="Verdana"/>
          <w:szCs w:val="20"/>
          <w:lang w:val="es-CL" w:eastAsia="en-US"/>
        </w:rPr>
        <w:t xml:space="preserve"> ofreció </w:t>
      </w:r>
      <w:r w:rsidR="00FF2063" w:rsidRPr="00142A36">
        <w:rPr>
          <w:bCs/>
          <w:iCs/>
          <w:szCs w:val="20"/>
          <w:lang w:val="es-CR"/>
        </w:rPr>
        <w:t xml:space="preserve">en su escrito de contestación </w:t>
      </w:r>
      <w:r w:rsidR="00FF2063" w:rsidRPr="00142A36">
        <w:rPr>
          <w:rFonts w:eastAsia="Times New Roman" w:cs="Verdana"/>
          <w:szCs w:val="20"/>
          <w:lang w:val="es-CL" w:eastAsia="en-US"/>
        </w:rPr>
        <w:t xml:space="preserve">dos </w:t>
      </w:r>
      <w:r w:rsidR="006D3211" w:rsidRPr="00142A36">
        <w:rPr>
          <w:rFonts w:eastAsia="Times New Roman" w:cs="Verdana"/>
          <w:szCs w:val="20"/>
          <w:lang w:val="es-CL" w:eastAsia="en-US"/>
        </w:rPr>
        <w:t>peritajes</w:t>
      </w:r>
      <w:r w:rsidRPr="00142A36">
        <w:rPr>
          <w:rFonts w:eastAsia="Times New Roman" w:cs="Verdana"/>
          <w:szCs w:val="20"/>
          <w:lang w:val="es-CL" w:eastAsia="en-US"/>
        </w:rPr>
        <w:t>,</w:t>
      </w:r>
      <w:r w:rsidR="00FF2063" w:rsidRPr="00142A36">
        <w:rPr>
          <w:rFonts w:eastAsia="Times New Roman" w:cs="Verdana"/>
          <w:szCs w:val="20"/>
          <w:lang w:val="es-CL" w:eastAsia="en-US"/>
        </w:rPr>
        <w:t xml:space="preserve"> de </w:t>
      </w:r>
      <w:proofErr w:type="spellStart"/>
      <w:r w:rsidR="00FF2063" w:rsidRPr="00142A36">
        <w:rPr>
          <w:rFonts w:eastAsia="Times New Roman" w:cs="Verdana"/>
          <w:szCs w:val="20"/>
          <w:lang w:val="es-CL" w:eastAsia="en-US"/>
        </w:rPr>
        <w:t>Jonatan</w:t>
      </w:r>
      <w:proofErr w:type="spellEnd"/>
      <w:r w:rsidR="00FF2063" w:rsidRPr="00142A36">
        <w:rPr>
          <w:rFonts w:eastAsia="Times New Roman" w:cs="Verdana"/>
          <w:szCs w:val="20"/>
          <w:lang w:val="es-CL" w:eastAsia="en-US"/>
        </w:rPr>
        <w:t xml:space="preserve"> Valenzuela </w:t>
      </w:r>
      <w:proofErr w:type="spellStart"/>
      <w:r w:rsidR="00FF2063" w:rsidRPr="00142A36">
        <w:rPr>
          <w:rFonts w:eastAsia="Times New Roman" w:cs="Verdana"/>
          <w:szCs w:val="20"/>
          <w:lang w:val="es-CL" w:eastAsia="en-US"/>
        </w:rPr>
        <w:t>Saldías</w:t>
      </w:r>
      <w:proofErr w:type="spellEnd"/>
      <w:r w:rsidR="00FF2063" w:rsidRPr="00142A36">
        <w:rPr>
          <w:rFonts w:eastAsia="Times New Roman" w:cs="Verdana"/>
          <w:szCs w:val="20"/>
          <w:lang w:val="es-CL" w:eastAsia="en-US"/>
        </w:rPr>
        <w:t xml:space="preserve"> y Francisco Zúñiga Urbina, respectivamente,</w:t>
      </w:r>
      <w:r w:rsidR="00FF2063" w:rsidRPr="00142A36">
        <w:rPr>
          <w:bCs/>
          <w:iCs/>
          <w:szCs w:val="20"/>
          <w:lang w:val="es-CR"/>
        </w:rPr>
        <w:t xml:space="preserve"> los cuales confirmó en su lista definitiva de declarantes</w:t>
      </w:r>
      <w:r w:rsidR="00FF2063" w:rsidRPr="00142A36">
        <w:rPr>
          <w:rFonts w:eastAsia="Times New Roman" w:cs="Verdana"/>
          <w:szCs w:val="20"/>
          <w:lang w:val="es-CL" w:eastAsia="en-US"/>
        </w:rPr>
        <w:t xml:space="preserve">. </w:t>
      </w:r>
      <w:r w:rsidR="006B7520" w:rsidRPr="00142A36">
        <w:rPr>
          <w:rFonts w:eastAsia="Times New Roman" w:cs="Verdana"/>
          <w:szCs w:val="20"/>
          <w:lang w:val="es-CL" w:eastAsia="en-US"/>
        </w:rPr>
        <w:t xml:space="preserve">El primer </w:t>
      </w:r>
      <w:r w:rsidRPr="00142A36">
        <w:rPr>
          <w:rFonts w:eastAsia="Times New Roman" w:cs="Verdana"/>
          <w:szCs w:val="20"/>
          <w:lang w:val="es-CL" w:eastAsia="en-US"/>
        </w:rPr>
        <w:t xml:space="preserve">peritaje </w:t>
      </w:r>
      <w:r w:rsidR="006B7520" w:rsidRPr="00142A36">
        <w:rPr>
          <w:rFonts w:eastAsia="Times New Roman" w:cs="Verdana"/>
          <w:szCs w:val="20"/>
          <w:lang w:val="es-CL" w:eastAsia="en-US"/>
        </w:rPr>
        <w:t xml:space="preserve">trataría </w:t>
      </w:r>
      <w:r w:rsidR="00205557" w:rsidRPr="00142A36">
        <w:rPr>
          <w:rFonts w:eastAsia="Times New Roman" w:cs="Verdana"/>
          <w:szCs w:val="20"/>
          <w:lang w:val="es-CL" w:eastAsia="en-US"/>
        </w:rPr>
        <w:t xml:space="preserve">sobre </w:t>
      </w:r>
      <w:r w:rsidR="008E2DCB" w:rsidRPr="00142A36">
        <w:rPr>
          <w:bCs/>
          <w:iCs/>
          <w:szCs w:val="20"/>
          <w:lang w:val="es-CR"/>
        </w:rPr>
        <w:t>“las obligaciones estatales relativas al alcance y contenido de la regla de exclusión de prueba ilícita (obtenida por tortura). En particular, sobre los recursos judiciales para asegurar la aplicación de dicha regla, especialmente en procesos penales que ya cuentan con sentencia firme (Código Procesal Penal y Código de Procedimiento Penal)”</w:t>
      </w:r>
      <w:r w:rsidR="006B7520" w:rsidRPr="00142A36">
        <w:rPr>
          <w:bCs/>
          <w:iCs/>
          <w:szCs w:val="20"/>
          <w:lang w:val="es-CR"/>
        </w:rPr>
        <w:t xml:space="preserve"> y el segundo </w:t>
      </w:r>
      <w:r w:rsidRPr="00142A36">
        <w:rPr>
          <w:bCs/>
          <w:iCs/>
          <w:szCs w:val="20"/>
          <w:lang w:val="es-CR"/>
        </w:rPr>
        <w:t xml:space="preserve">peritaje versaría sobre </w:t>
      </w:r>
      <w:r w:rsidR="006B7520" w:rsidRPr="00142A36">
        <w:rPr>
          <w:bCs/>
          <w:iCs/>
          <w:szCs w:val="20"/>
          <w:lang w:val="es-CR"/>
        </w:rPr>
        <w:t>“</w:t>
      </w:r>
      <w:r w:rsidR="008E2DCB" w:rsidRPr="00142A36">
        <w:rPr>
          <w:bCs/>
          <w:iCs/>
          <w:szCs w:val="20"/>
          <w:lang w:val="es-CR"/>
        </w:rPr>
        <w:t>la incorporación de los estándares internacionales en la protección al derecho a la honra en el Derecho Constitucional chileno”.</w:t>
      </w:r>
    </w:p>
    <w:p w:rsidR="008E2DCB" w:rsidRPr="00142A36" w:rsidRDefault="002D3BFE" w:rsidP="002D3BFE">
      <w:pPr>
        <w:numPr>
          <w:ilvl w:val="0"/>
          <w:numId w:val="2"/>
        </w:numPr>
        <w:tabs>
          <w:tab w:val="clear" w:pos="720"/>
        </w:tabs>
        <w:autoSpaceDE w:val="0"/>
        <w:autoSpaceDN w:val="0"/>
        <w:adjustRightInd w:val="0"/>
        <w:rPr>
          <w:b/>
          <w:bCs/>
          <w:i/>
          <w:iCs/>
          <w:szCs w:val="20"/>
          <w:lang w:val="es-CR" w:bidi="en-US"/>
        </w:rPr>
      </w:pPr>
      <w:r w:rsidRPr="00142A36">
        <w:rPr>
          <w:bCs/>
          <w:iCs/>
          <w:szCs w:val="20"/>
          <w:lang w:val="es-CR"/>
        </w:rPr>
        <w:t xml:space="preserve">La Comisión no formuló observaciones al respecto. El </w:t>
      </w:r>
      <w:r w:rsidR="00965DCF" w:rsidRPr="00142A36">
        <w:rPr>
          <w:bCs/>
          <w:iCs/>
          <w:szCs w:val="20"/>
          <w:lang w:val="es-CR"/>
        </w:rPr>
        <w:t>interviniente común</w:t>
      </w:r>
      <w:r w:rsidRPr="00142A36">
        <w:rPr>
          <w:bCs/>
          <w:iCs/>
          <w:szCs w:val="20"/>
          <w:lang w:val="es-CR"/>
        </w:rPr>
        <w:t xml:space="preserve">, en sus observaciones a la lista definitiva del Estado, </w:t>
      </w:r>
      <w:r w:rsidR="00D147A0" w:rsidRPr="00142A36">
        <w:rPr>
          <w:bCs/>
          <w:iCs/>
          <w:szCs w:val="20"/>
          <w:lang w:val="es-CR"/>
        </w:rPr>
        <w:t xml:space="preserve">indicó no tener observaciones respecto del peritaje del señor </w:t>
      </w:r>
      <w:r w:rsidR="00D147A0" w:rsidRPr="00142A36">
        <w:rPr>
          <w:rFonts w:eastAsia="Times New Roman" w:cs="Verdana"/>
          <w:szCs w:val="20"/>
          <w:lang w:val="es-CL" w:eastAsia="en-US"/>
        </w:rPr>
        <w:t>Zúñiga Urbina, pero</w:t>
      </w:r>
      <w:r w:rsidR="00D147A0" w:rsidRPr="00142A36">
        <w:rPr>
          <w:bCs/>
          <w:iCs/>
          <w:szCs w:val="20"/>
          <w:lang w:val="es-CR"/>
        </w:rPr>
        <w:t xml:space="preserve"> </w:t>
      </w:r>
      <w:r w:rsidRPr="00142A36">
        <w:rPr>
          <w:bCs/>
          <w:iCs/>
          <w:szCs w:val="20"/>
          <w:lang w:val="es-CR"/>
        </w:rPr>
        <w:t>indicó</w:t>
      </w:r>
      <w:r w:rsidR="008E2DCB" w:rsidRPr="00142A36">
        <w:rPr>
          <w:szCs w:val="20"/>
          <w:lang w:bidi="en-US"/>
        </w:rPr>
        <w:t xml:space="preserve"> con relación al peritaje de</w:t>
      </w:r>
      <w:r w:rsidRPr="00142A36">
        <w:rPr>
          <w:szCs w:val="20"/>
          <w:lang w:bidi="en-US"/>
        </w:rPr>
        <w:t xml:space="preserve">l señor Valenzuela </w:t>
      </w:r>
      <w:proofErr w:type="spellStart"/>
      <w:r w:rsidRPr="00142A36">
        <w:rPr>
          <w:szCs w:val="20"/>
          <w:lang w:bidi="en-US"/>
        </w:rPr>
        <w:t>Saldías</w:t>
      </w:r>
      <w:proofErr w:type="spellEnd"/>
      <w:r w:rsidRPr="00142A36">
        <w:rPr>
          <w:szCs w:val="20"/>
          <w:lang w:bidi="en-US"/>
        </w:rPr>
        <w:t xml:space="preserve"> </w:t>
      </w:r>
      <w:r w:rsidR="008E2DCB" w:rsidRPr="00142A36">
        <w:rPr>
          <w:szCs w:val="20"/>
          <w:lang w:bidi="en-US"/>
        </w:rPr>
        <w:t xml:space="preserve">que </w:t>
      </w:r>
      <w:r w:rsidRPr="00142A36">
        <w:rPr>
          <w:szCs w:val="20"/>
          <w:lang w:bidi="en-US"/>
        </w:rPr>
        <w:t xml:space="preserve">el Estado en su </w:t>
      </w:r>
      <w:r w:rsidR="008E2DCB" w:rsidRPr="00142A36">
        <w:rPr>
          <w:szCs w:val="20"/>
          <w:lang w:bidi="en-US"/>
        </w:rPr>
        <w:t xml:space="preserve">escrito de </w:t>
      </w:r>
      <w:r w:rsidR="008E2DCB" w:rsidRPr="00142A36">
        <w:rPr>
          <w:bCs/>
          <w:iCs/>
          <w:szCs w:val="20"/>
          <w:lang w:val="es-CR"/>
        </w:rPr>
        <w:t>contestación</w:t>
      </w:r>
      <w:r w:rsidRPr="00142A36">
        <w:rPr>
          <w:bCs/>
          <w:iCs/>
          <w:szCs w:val="20"/>
          <w:lang w:val="es-CR"/>
        </w:rPr>
        <w:t xml:space="preserve"> </w:t>
      </w:r>
      <w:r w:rsidRPr="00142A36">
        <w:rPr>
          <w:szCs w:val="20"/>
          <w:lang w:bidi="en-US"/>
        </w:rPr>
        <w:t>“</w:t>
      </w:r>
      <w:r w:rsidR="008E2DCB" w:rsidRPr="00142A36">
        <w:rPr>
          <w:szCs w:val="20"/>
          <w:lang w:bidi="en-US"/>
        </w:rPr>
        <w:t xml:space="preserve">no </w:t>
      </w:r>
      <w:r w:rsidRPr="00142A36">
        <w:rPr>
          <w:szCs w:val="20"/>
          <w:lang w:bidi="en-US"/>
        </w:rPr>
        <w:t>ha</w:t>
      </w:r>
      <w:r w:rsidR="00D147A0" w:rsidRPr="00142A36">
        <w:rPr>
          <w:szCs w:val="20"/>
          <w:lang w:bidi="en-US"/>
        </w:rPr>
        <w:t>[</w:t>
      </w:r>
      <w:proofErr w:type="spellStart"/>
      <w:r w:rsidR="00D147A0" w:rsidRPr="00142A36">
        <w:rPr>
          <w:szCs w:val="20"/>
          <w:lang w:bidi="en-US"/>
        </w:rPr>
        <w:t>bría</w:t>
      </w:r>
      <w:proofErr w:type="spellEnd"/>
      <w:r w:rsidR="00D147A0" w:rsidRPr="00142A36">
        <w:rPr>
          <w:szCs w:val="20"/>
          <w:lang w:bidi="en-US"/>
        </w:rPr>
        <w:t>]</w:t>
      </w:r>
      <w:r w:rsidRPr="00142A36">
        <w:rPr>
          <w:szCs w:val="20"/>
          <w:lang w:bidi="en-US"/>
        </w:rPr>
        <w:t xml:space="preserve"> </w:t>
      </w:r>
      <w:r w:rsidR="008E2DCB" w:rsidRPr="00142A36">
        <w:rPr>
          <w:szCs w:val="20"/>
          <w:lang w:bidi="en-US"/>
        </w:rPr>
        <w:t>cuestion</w:t>
      </w:r>
      <w:r w:rsidRPr="00142A36">
        <w:rPr>
          <w:szCs w:val="20"/>
          <w:lang w:bidi="en-US"/>
        </w:rPr>
        <w:t>ado</w:t>
      </w:r>
      <w:r w:rsidR="008E2DCB" w:rsidRPr="00142A36">
        <w:rPr>
          <w:szCs w:val="20"/>
          <w:lang w:bidi="en-US"/>
        </w:rPr>
        <w:t xml:space="preserve"> la inexistencia de un recurso efectivo para anular sentencias de los Consejos de Guerra dictadas con infracción al debido proceso</w:t>
      </w:r>
      <w:r w:rsidRPr="00142A36">
        <w:rPr>
          <w:szCs w:val="20"/>
          <w:lang w:bidi="en-US"/>
        </w:rPr>
        <w:t>”</w:t>
      </w:r>
      <w:r w:rsidRPr="00142A36">
        <w:rPr>
          <w:rStyle w:val="FootnoteReference"/>
          <w:szCs w:val="20"/>
          <w:lang w:bidi="en-US"/>
        </w:rPr>
        <w:footnoteReference w:id="3"/>
      </w:r>
      <w:r w:rsidR="00324EC4" w:rsidRPr="00142A36">
        <w:rPr>
          <w:szCs w:val="20"/>
          <w:lang w:bidi="en-US"/>
        </w:rPr>
        <w:t xml:space="preserve">, por lo que el referido dictamen pericial “versaría </w:t>
      </w:r>
      <w:r w:rsidR="008E2DCB" w:rsidRPr="00142A36">
        <w:rPr>
          <w:szCs w:val="20"/>
          <w:lang w:bidi="en-US"/>
        </w:rPr>
        <w:t>sobre un asunto que no es controvertido</w:t>
      </w:r>
      <w:r w:rsidR="00324EC4" w:rsidRPr="00142A36">
        <w:rPr>
          <w:szCs w:val="20"/>
          <w:lang w:bidi="en-US"/>
        </w:rPr>
        <w:t xml:space="preserve"> [y] […] no debiera ser considerado en</w:t>
      </w:r>
      <w:r w:rsidR="00E47756" w:rsidRPr="00142A36">
        <w:rPr>
          <w:szCs w:val="20"/>
          <w:lang w:bidi="en-US"/>
        </w:rPr>
        <w:t>[</w:t>
      </w:r>
      <w:proofErr w:type="spellStart"/>
      <w:r w:rsidR="00E47756" w:rsidRPr="00142A36">
        <w:rPr>
          <w:szCs w:val="20"/>
          <w:lang w:bidi="en-US"/>
        </w:rPr>
        <w:t>tre</w:t>
      </w:r>
      <w:proofErr w:type="spellEnd"/>
      <w:r w:rsidR="00E47756" w:rsidRPr="00142A36">
        <w:rPr>
          <w:szCs w:val="20"/>
          <w:lang w:bidi="en-US"/>
        </w:rPr>
        <w:t>]</w:t>
      </w:r>
      <w:r w:rsidR="00324EC4" w:rsidRPr="00142A36">
        <w:rPr>
          <w:szCs w:val="20"/>
          <w:lang w:bidi="en-US"/>
        </w:rPr>
        <w:t xml:space="preserve"> los declarantes” </w:t>
      </w:r>
      <w:r w:rsidR="00D147A0" w:rsidRPr="00142A36">
        <w:rPr>
          <w:szCs w:val="20"/>
          <w:lang w:bidi="en-US"/>
        </w:rPr>
        <w:t xml:space="preserve">que rendirán sus declaraciones </w:t>
      </w:r>
      <w:r w:rsidR="00324EC4" w:rsidRPr="00142A36">
        <w:rPr>
          <w:szCs w:val="20"/>
          <w:lang w:bidi="en-US"/>
        </w:rPr>
        <w:t xml:space="preserve">en </w:t>
      </w:r>
      <w:r w:rsidR="00D147A0" w:rsidRPr="00142A36">
        <w:rPr>
          <w:szCs w:val="20"/>
          <w:lang w:bidi="en-US"/>
        </w:rPr>
        <w:t xml:space="preserve">la </w:t>
      </w:r>
      <w:r w:rsidR="00324EC4" w:rsidRPr="00142A36">
        <w:rPr>
          <w:szCs w:val="20"/>
          <w:lang w:bidi="en-US"/>
        </w:rPr>
        <w:t>audiencia pública</w:t>
      </w:r>
      <w:r w:rsidR="00D147A0" w:rsidRPr="00142A36">
        <w:rPr>
          <w:szCs w:val="20"/>
          <w:lang w:bidi="en-US"/>
        </w:rPr>
        <w:t xml:space="preserve"> a ser realizada en este caso</w:t>
      </w:r>
      <w:r w:rsidR="008E2DCB" w:rsidRPr="00142A36">
        <w:rPr>
          <w:szCs w:val="20"/>
          <w:lang w:bidi="en-US"/>
        </w:rPr>
        <w:t xml:space="preserve">. </w:t>
      </w:r>
    </w:p>
    <w:p w:rsidR="00A52F49" w:rsidRPr="00142A36" w:rsidRDefault="000A77BA" w:rsidP="009B6CEC">
      <w:pPr>
        <w:numPr>
          <w:ilvl w:val="0"/>
          <w:numId w:val="2"/>
        </w:numPr>
        <w:tabs>
          <w:tab w:val="clear" w:pos="720"/>
        </w:tabs>
        <w:autoSpaceDE w:val="0"/>
        <w:autoSpaceDN w:val="0"/>
        <w:adjustRightInd w:val="0"/>
        <w:rPr>
          <w:szCs w:val="20"/>
        </w:rPr>
      </w:pPr>
      <w:r w:rsidRPr="00142A36">
        <w:rPr>
          <w:szCs w:val="20"/>
          <w:lang w:bidi="en-US"/>
        </w:rPr>
        <w:t>E</w:t>
      </w:r>
      <w:r w:rsidR="008E2DCB" w:rsidRPr="00142A36">
        <w:rPr>
          <w:szCs w:val="20"/>
          <w:lang w:bidi="en-US"/>
        </w:rPr>
        <w:t>sta Presidencia nota que el objeto del peritaje</w:t>
      </w:r>
      <w:r w:rsidR="009B6CEC" w:rsidRPr="00142A36">
        <w:rPr>
          <w:szCs w:val="20"/>
          <w:lang w:bidi="en-US"/>
        </w:rPr>
        <w:t xml:space="preserve"> del señor Valenzuela </w:t>
      </w:r>
      <w:proofErr w:type="spellStart"/>
      <w:r w:rsidR="009B6CEC" w:rsidRPr="00142A36">
        <w:rPr>
          <w:szCs w:val="20"/>
          <w:lang w:bidi="en-US"/>
        </w:rPr>
        <w:t>Saldías</w:t>
      </w:r>
      <w:proofErr w:type="spellEnd"/>
      <w:r w:rsidR="00E90307" w:rsidRPr="00142A36">
        <w:rPr>
          <w:szCs w:val="20"/>
          <w:lang w:bidi="en-US"/>
        </w:rPr>
        <w:t>,</w:t>
      </w:r>
      <w:r w:rsidR="008E2DCB" w:rsidRPr="00142A36">
        <w:rPr>
          <w:szCs w:val="20"/>
          <w:lang w:bidi="en-US"/>
        </w:rPr>
        <w:t xml:space="preserve"> </w:t>
      </w:r>
      <w:r w:rsidR="00A52F49" w:rsidRPr="00142A36">
        <w:rPr>
          <w:szCs w:val="20"/>
          <w:lang w:bidi="en-US"/>
        </w:rPr>
        <w:t>tal como fuera indicado por el Estado</w:t>
      </w:r>
      <w:r w:rsidR="00E90307" w:rsidRPr="00142A36">
        <w:rPr>
          <w:szCs w:val="20"/>
          <w:lang w:bidi="en-US"/>
        </w:rPr>
        <w:t>,</w:t>
      </w:r>
      <w:r w:rsidR="00A52F49" w:rsidRPr="00142A36">
        <w:rPr>
          <w:szCs w:val="20"/>
          <w:lang w:bidi="en-US"/>
        </w:rPr>
        <w:t xml:space="preserve"> </w:t>
      </w:r>
      <w:r w:rsidR="00E90307" w:rsidRPr="00142A36">
        <w:rPr>
          <w:szCs w:val="20"/>
          <w:lang w:bidi="en-US"/>
        </w:rPr>
        <w:t xml:space="preserve">puede ser útil y pertinente para el análisis de este caso, en particular respecto de las </w:t>
      </w:r>
      <w:r w:rsidR="008E2DCB" w:rsidRPr="00142A36">
        <w:rPr>
          <w:szCs w:val="20"/>
          <w:lang w:bidi="en-US"/>
        </w:rPr>
        <w:t>recomendaciones</w:t>
      </w:r>
      <w:r w:rsidR="00E90307" w:rsidRPr="00142A36">
        <w:rPr>
          <w:szCs w:val="20"/>
          <w:lang w:bidi="en-US"/>
        </w:rPr>
        <w:t xml:space="preserve"> contenidas en el Informe de Fondo de la Comisión y las reparaciones solicitadas ante la Corte por las presuntas víctimas. </w:t>
      </w:r>
      <w:r w:rsidR="00D772A6" w:rsidRPr="00142A36">
        <w:rPr>
          <w:szCs w:val="20"/>
          <w:lang w:bidi="en-US"/>
        </w:rPr>
        <w:t>Por otra parte, en cuanto al</w:t>
      </w:r>
      <w:r w:rsidR="009B6CEC" w:rsidRPr="00142A36">
        <w:rPr>
          <w:szCs w:val="20"/>
          <w:lang w:bidi="en-US"/>
        </w:rPr>
        <w:t xml:space="preserve"> objeto del peritaje del señor Zúñiga Urbina</w:t>
      </w:r>
      <w:r w:rsidR="00D772A6" w:rsidRPr="00142A36">
        <w:rPr>
          <w:szCs w:val="20"/>
          <w:lang w:bidi="en-US"/>
        </w:rPr>
        <w:t xml:space="preserve">, esta Presidencia considera que el mismo puede ser relevante </w:t>
      </w:r>
      <w:r w:rsidR="009B6CEC" w:rsidRPr="00142A36">
        <w:rPr>
          <w:szCs w:val="20"/>
          <w:lang w:bidi="en-US"/>
        </w:rPr>
        <w:t xml:space="preserve">para el análisis de </w:t>
      </w:r>
      <w:r w:rsidR="00D772A6" w:rsidRPr="00142A36">
        <w:rPr>
          <w:szCs w:val="20"/>
          <w:lang w:bidi="en-US"/>
        </w:rPr>
        <w:t>alguna</w:t>
      </w:r>
      <w:r w:rsidR="009B6CEC" w:rsidRPr="00142A36">
        <w:rPr>
          <w:szCs w:val="20"/>
          <w:lang w:bidi="en-US"/>
        </w:rPr>
        <w:t xml:space="preserve"> de las violaciones alegadas por el interviniente </w:t>
      </w:r>
      <w:r w:rsidR="009B6CEC" w:rsidRPr="00142A36">
        <w:rPr>
          <w:szCs w:val="20"/>
          <w:lang w:bidi="en-US"/>
        </w:rPr>
        <w:lastRenderedPageBreak/>
        <w:t xml:space="preserve">común en este caso. </w:t>
      </w:r>
      <w:r w:rsidR="00E90307" w:rsidRPr="00142A36">
        <w:rPr>
          <w:szCs w:val="20"/>
          <w:lang w:bidi="en-US"/>
        </w:rPr>
        <w:t xml:space="preserve">En consecuencia, </w:t>
      </w:r>
      <w:r w:rsidR="00A52F49" w:rsidRPr="00142A36">
        <w:rPr>
          <w:rFonts w:cs="Verdana"/>
          <w:szCs w:val="20"/>
          <w:lang w:bidi="en-US"/>
        </w:rPr>
        <w:t xml:space="preserve">el Presidente estima conducente </w:t>
      </w:r>
      <w:r w:rsidR="00A52F49" w:rsidRPr="00142A36">
        <w:rPr>
          <w:rFonts w:eastAsia="Times New Roman" w:cs="Verdana"/>
          <w:szCs w:val="20"/>
          <w:lang w:val="es-CL" w:eastAsia="en-US"/>
        </w:rPr>
        <w:t>admit</w:t>
      </w:r>
      <w:r w:rsidR="005066C4" w:rsidRPr="00142A36">
        <w:rPr>
          <w:rFonts w:eastAsia="Times New Roman" w:cs="Verdana"/>
          <w:szCs w:val="20"/>
          <w:lang w:val="es-CL" w:eastAsia="en-US"/>
        </w:rPr>
        <w:t>ir dichos dictámenes periciales</w:t>
      </w:r>
      <w:r w:rsidR="00A52F49" w:rsidRPr="00142A36">
        <w:rPr>
          <w:rFonts w:cs="Verdana"/>
          <w:szCs w:val="20"/>
          <w:lang w:bidi="en-US"/>
        </w:rPr>
        <w:t xml:space="preserve"> </w:t>
      </w:r>
      <w:r w:rsidR="005066C4" w:rsidRPr="00142A36">
        <w:rPr>
          <w:rFonts w:cs="Verdana"/>
          <w:szCs w:val="20"/>
          <w:lang w:bidi="en-US"/>
        </w:rPr>
        <w:t xml:space="preserve">y determina que </w:t>
      </w:r>
      <w:r w:rsidR="000A48F5" w:rsidRPr="00142A36">
        <w:rPr>
          <w:rFonts w:cs="Verdana"/>
          <w:szCs w:val="20"/>
          <w:lang w:bidi="en-US"/>
        </w:rPr>
        <w:t xml:space="preserve">serán rendidos </w:t>
      </w:r>
      <w:r w:rsidR="000A48F5" w:rsidRPr="00142A36">
        <w:rPr>
          <w:bCs/>
          <w:iCs/>
          <w:szCs w:val="20"/>
        </w:rPr>
        <w:t>según el objeto y modalidad determinados en la parte resolutiva de la presente Resolución (</w:t>
      </w:r>
      <w:r w:rsidR="000A48F5" w:rsidRPr="00142A36">
        <w:rPr>
          <w:bCs/>
          <w:i/>
          <w:iCs/>
          <w:szCs w:val="20"/>
        </w:rPr>
        <w:t>infra</w:t>
      </w:r>
      <w:r w:rsidR="000A48F5" w:rsidRPr="00142A36">
        <w:rPr>
          <w:bCs/>
          <w:iCs/>
          <w:szCs w:val="20"/>
        </w:rPr>
        <w:t xml:space="preserve"> puntos resolutivos </w:t>
      </w:r>
      <w:r w:rsidR="003253D7" w:rsidRPr="00142A36">
        <w:rPr>
          <w:bCs/>
          <w:iCs/>
          <w:szCs w:val="20"/>
        </w:rPr>
        <w:t>1</w:t>
      </w:r>
      <w:r w:rsidR="000A48F5" w:rsidRPr="00142A36">
        <w:rPr>
          <w:bCs/>
          <w:iCs/>
          <w:szCs w:val="20"/>
        </w:rPr>
        <w:t xml:space="preserve"> y </w:t>
      </w:r>
      <w:r w:rsidR="003253D7" w:rsidRPr="00142A36">
        <w:rPr>
          <w:bCs/>
          <w:iCs/>
          <w:szCs w:val="20"/>
        </w:rPr>
        <w:t>5</w:t>
      </w:r>
      <w:r w:rsidR="000A48F5" w:rsidRPr="00142A36">
        <w:rPr>
          <w:bCs/>
          <w:iCs/>
          <w:szCs w:val="20"/>
        </w:rPr>
        <w:t>)</w:t>
      </w:r>
      <w:r w:rsidR="005066C4" w:rsidRPr="00142A36">
        <w:rPr>
          <w:rFonts w:cs="Verdana"/>
          <w:szCs w:val="20"/>
          <w:lang w:bidi="en-US"/>
        </w:rPr>
        <w:t xml:space="preserve">. </w:t>
      </w:r>
      <w:r w:rsidR="009B6CEC" w:rsidRPr="00142A36">
        <w:rPr>
          <w:rFonts w:eastAsia="Times New Roman" w:cs="Verdana"/>
          <w:szCs w:val="20"/>
          <w:lang w:val="es-CL" w:eastAsia="en-US"/>
        </w:rPr>
        <w:t>Se</w:t>
      </w:r>
      <w:r w:rsidR="005066C4" w:rsidRPr="00142A36">
        <w:rPr>
          <w:rFonts w:eastAsia="Times New Roman" w:cs="Verdana"/>
          <w:szCs w:val="20"/>
          <w:lang w:val="es-CL" w:eastAsia="en-US"/>
        </w:rPr>
        <w:t xml:space="preserve"> </w:t>
      </w:r>
      <w:r w:rsidR="005066C4" w:rsidRPr="00142A36">
        <w:rPr>
          <w:rFonts w:cs="Verdana"/>
          <w:szCs w:val="20"/>
          <w:lang w:bidi="en-US"/>
        </w:rPr>
        <w:t>recuerda que el valor de dichos peritajes será apreciado en la debida oportunidad, dentro del contexto del acervo probatorio existente y según las reglas de la sana crítica</w:t>
      </w:r>
      <w:r w:rsidR="005066C4" w:rsidRPr="00142A36">
        <w:rPr>
          <w:szCs w:val="20"/>
          <w:lang w:bidi="en-US"/>
        </w:rPr>
        <w:t>.</w:t>
      </w:r>
    </w:p>
    <w:p w:rsidR="00A52F49" w:rsidRPr="00142A36" w:rsidRDefault="006D3211" w:rsidP="006D3211">
      <w:pPr>
        <w:numPr>
          <w:ilvl w:val="0"/>
          <w:numId w:val="2"/>
        </w:numPr>
        <w:tabs>
          <w:tab w:val="clear" w:pos="720"/>
        </w:tabs>
        <w:autoSpaceDE w:val="0"/>
        <w:autoSpaceDN w:val="0"/>
        <w:adjustRightInd w:val="0"/>
        <w:rPr>
          <w:szCs w:val="20"/>
          <w:lang w:bidi="en-US"/>
        </w:rPr>
      </w:pPr>
      <w:r w:rsidRPr="00142A36">
        <w:rPr>
          <w:szCs w:val="20"/>
          <w:lang w:bidi="en-US"/>
        </w:rPr>
        <w:t xml:space="preserve">Por otro lado, </w:t>
      </w:r>
      <w:r w:rsidRPr="00142A36">
        <w:rPr>
          <w:rFonts w:eastAsia="Times New Roman" w:cs="Verdana"/>
          <w:szCs w:val="20"/>
          <w:lang w:val="es-CL" w:eastAsia="en-US"/>
        </w:rPr>
        <w:t xml:space="preserve">el </w:t>
      </w:r>
      <w:r w:rsidRPr="00142A36">
        <w:rPr>
          <w:szCs w:val="20"/>
        </w:rPr>
        <w:t>Estado</w:t>
      </w:r>
      <w:r w:rsidRPr="00142A36">
        <w:rPr>
          <w:rFonts w:eastAsia="Times New Roman" w:cs="Verdana"/>
          <w:szCs w:val="20"/>
          <w:lang w:val="es-CL" w:eastAsia="en-US"/>
        </w:rPr>
        <w:t xml:space="preserve"> ofreció </w:t>
      </w:r>
      <w:r w:rsidRPr="00142A36">
        <w:rPr>
          <w:bCs/>
          <w:iCs/>
          <w:szCs w:val="20"/>
          <w:lang w:val="es-CR"/>
        </w:rPr>
        <w:t>en su escrito de contestación</w:t>
      </w:r>
      <w:r w:rsidR="00FD0CBD" w:rsidRPr="00142A36">
        <w:rPr>
          <w:bCs/>
          <w:iCs/>
          <w:szCs w:val="20"/>
          <w:lang w:val="es-CR"/>
        </w:rPr>
        <w:t xml:space="preserve">, aparte del testimonio del señor </w:t>
      </w:r>
      <w:r w:rsidR="00FD0CBD" w:rsidRPr="00142A36">
        <w:rPr>
          <w:szCs w:val="20"/>
        </w:rPr>
        <w:t xml:space="preserve">Hugo </w:t>
      </w:r>
      <w:proofErr w:type="spellStart"/>
      <w:r w:rsidR="00FD0CBD" w:rsidRPr="00142A36">
        <w:rPr>
          <w:szCs w:val="20"/>
        </w:rPr>
        <w:t>Dolmestch</w:t>
      </w:r>
      <w:proofErr w:type="spellEnd"/>
      <w:r w:rsidR="00FD0CBD" w:rsidRPr="00142A36">
        <w:rPr>
          <w:szCs w:val="20"/>
        </w:rPr>
        <w:t xml:space="preserve"> Urra (</w:t>
      </w:r>
      <w:r w:rsidR="00FD0CBD" w:rsidRPr="00142A36">
        <w:rPr>
          <w:i/>
          <w:szCs w:val="20"/>
        </w:rPr>
        <w:t>supra</w:t>
      </w:r>
      <w:r w:rsidR="00FD0CBD" w:rsidRPr="00142A36">
        <w:rPr>
          <w:szCs w:val="20"/>
        </w:rPr>
        <w:t xml:space="preserve"> Considerando </w:t>
      </w:r>
      <w:r w:rsidR="00435A22" w:rsidRPr="00142A36">
        <w:rPr>
          <w:szCs w:val="20"/>
        </w:rPr>
        <w:t>4</w:t>
      </w:r>
      <w:r w:rsidR="00FD0CBD" w:rsidRPr="00142A36">
        <w:rPr>
          <w:szCs w:val="20"/>
        </w:rPr>
        <w:t>),</w:t>
      </w:r>
      <w:r w:rsidRPr="00142A36">
        <w:rPr>
          <w:bCs/>
          <w:iCs/>
          <w:szCs w:val="20"/>
          <w:lang w:val="es-CR"/>
        </w:rPr>
        <w:t xml:space="preserve"> </w:t>
      </w:r>
      <w:r w:rsidR="00215DEA" w:rsidRPr="00142A36">
        <w:rPr>
          <w:rFonts w:eastAsia="Times New Roman" w:cs="Verdana"/>
          <w:szCs w:val="20"/>
          <w:lang w:val="es-CL" w:eastAsia="en-US"/>
        </w:rPr>
        <w:t xml:space="preserve">los testimonios de Constanza </w:t>
      </w:r>
      <w:proofErr w:type="spellStart"/>
      <w:r w:rsidR="00215DEA" w:rsidRPr="00142A36">
        <w:rPr>
          <w:rFonts w:eastAsia="Times New Roman" w:cs="Verdana"/>
          <w:szCs w:val="20"/>
          <w:lang w:val="es-CL" w:eastAsia="en-US"/>
        </w:rPr>
        <w:t>Collarte</w:t>
      </w:r>
      <w:proofErr w:type="spellEnd"/>
      <w:r w:rsidR="00215DEA" w:rsidRPr="00142A36">
        <w:rPr>
          <w:rFonts w:eastAsia="Times New Roman" w:cs="Verdana"/>
          <w:szCs w:val="20"/>
          <w:lang w:val="es-CL" w:eastAsia="en-US"/>
        </w:rPr>
        <w:t>, Jorge Correa Sutil, Alejandro Salinas Rivera e Isidro Solís Palma</w:t>
      </w:r>
      <w:r w:rsidR="00FD0CBD" w:rsidRPr="00142A36">
        <w:rPr>
          <w:rFonts w:eastAsia="Times New Roman" w:cs="Verdana"/>
          <w:szCs w:val="20"/>
          <w:lang w:val="es-CL" w:eastAsia="en-US"/>
        </w:rPr>
        <w:t xml:space="preserve"> y </w:t>
      </w:r>
      <w:r w:rsidRPr="00142A36">
        <w:rPr>
          <w:bCs/>
          <w:iCs/>
          <w:szCs w:val="20"/>
          <w:lang w:val="es-CR"/>
        </w:rPr>
        <w:t xml:space="preserve">confirmó </w:t>
      </w:r>
      <w:r w:rsidR="00FD0CBD" w:rsidRPr="00142A36">
        <w:rPr>
          <w:bCs/>
          <w:iCs/>
          <w:szCs w:val="20"/>
          <w:lang w:val="es-CR"/>
        </w:rPr>
        <w:t xml:space="preserve">estos </w:t>
      </w:r>
      <w:r w:rsidRPr="00142A36">
        <w:rPr>
          <w:bCs/>
          <w:iCs/>
          <w:szCs w:val="20"/>
          <w:lang w:val="es-CR"/>
        </w:rPr>
        <w:t>en su lista definitiva de declarantes</w:t>
      </w:r>
      <w:r w:rsidRPr="00142A36">
        <w:rPr>
          <w:rFonts w:eastAsia="Times New Roman" w:cs="Verdana"/>
          <w:szCs w:val="20"/>
          <w:lang w:val="es-CL" w:eastAsia="en-US"/>
        </w:rPr>
        <w:t>.</w:t>
      </w:r>
      <w:r w:rsidR="00914EF9" w:rsidRPr="00142A36">
        <w:rPr>
          <w:rFonts w:eastAsia="Times New Roman" w:cs="Verdana"/>
          <w:szCs w:val="20"/>
          <w:lang w:val="es-CL" w:eastAsia="en-US"/>
        </w:rPr>
        <w:t xml:space="preserve"> </w:t>
      </w:r>
    </w:p>
    <w:p w:rsidR="00914EF9" w:rsidRPr="00142A36" w:rsidRDefault="00914EF9" w:rsidP="0085635A">
      <w:pPr>
        <w:numPr>
          <w:ilvl w:val="0"/>
          <w:numId w:val="2"/>
        </w:numPr>
        <w:tabs>
          <w:tab w:val="clear" w:pos="720"/>
        </w:tabs>
        <w:autoSpaceDE w:val="0"/>
        <w:autoSpaceDN w:val="0"/>
        <w:adjustRightInd w:val="0"/>
        <w:rPr>
          <w:szCs w:val="20"/>
          <w:lang w:bidi="en-US"/>
        </w:rPr>
      </w:pPr>
      <w:r w:rsidRPr="00142A36">
        <w:rPr>
          <w:rFonts w:eastAsia="Times New Roman" w:cs="Verdana"/>
          <w:szCs w:val="20"/>
          <w:lang w:eastAsia="en-US"/>
        </w:rPr>
        <w:t xml:space="preserve">La Comisión no formuló observaciones al respecto. El </w:t>
      </w:r>
      <w:r w:rsidR="00965DCF" w:rsidRPr="00142A36">
        <w:rPr>
          <w:rFonts w:eastAsia="Times New Roman" w:cs="Verdana"/>
          <w:szCs w:val="20"/>
          <w:lang w:eastAsia="en-US"/>
        </w:rPr>
        <w:t>interviniente común</w:t>
      </w:r>
      <w:r w:rsidRPr="00142A36">
        <w:rPr>
          <w:rFonts w:eastAsia="Times New Roman" w:cs="Verdana"/>
          <w:szCs w:val="20"/>
          <w:lang w:eastAsia="en-US"/>
        </w:rPr>
        <w:t xml:space="preserve"> indicó no tener observaciones respecto de los testigos Constanza </w:t>
      </w:r>
      <w:proofErr w:type="spellStart"/>
      <w:r w:rsidRPr="00142A36">
        <w:rPr>
          <w:rFonts w:eastAsia="Times New Roman" w:cs="Verdana"/>
          <w:szCs w:val="20"/>
          <w:lang w:eastAsia="en-US"/>
        </w:rPr>
        <w:t>Collarte</w:t>
      </w:r>
      <w:proofErr w:type="spellEnd"/>
      <w:r w:rsidRPr="00142A36">
        <w:rPr>
          <w:rFonts w:eastAsia="Times New Roman" w:cs="Verdana"/>
          <w:szCs w:val="20"/>
          <w:lang w:eastAsia="en-US"/>
        </w:rPr>
        <w:t xml:space="preserve"> </w:t>
      </w:r>
      <w:proofErr w:type="spellStart"/>
      <w:r w:rsidRPr="00142A36">
        <w:rPr>
          <w:rFonts w:eastAsia="Times New Roman" w:cs="Verdana"/>
          <w:szCs w:val="20"/>
          <w:lang w:eastAsia="en-US"/>
        </w:rPr>
        <w:t>Pindar</w:t>
      </w:r>
      <w:proofErr w:type="spellEnd"/>
      <w:r w:rsidRPr="00142A36">
        <w:rPr>
          <w:rFonts w:eastAsia="Times New Roman" w:cs="Verdana"/>
          <w:szCs w:val="20"/>
          <w:lang w:eastAsia="en-US"/>
        </w:rPr>
        <w:t xml:space="preserve"> e </w:t>
      </w:r>
      <w:r w:rsidRPr="00142A36">
        <w:rPr>
          <w:rFonts w:eastAsia="Times New Roman" w:cs="Verdana"/>
          <w:szCs w:val="20"/>
          <w:lang w:val="es-CL" w:eastAsia="en-US"/>
        </w:rPr>
        <w:t xml:space="preserve">Isidro Solís Palma. </w:t>
      </w:r>
      <w:r w:rsidR="0085635A" w:rsidRPr="00142A36">
        <w:rPr>
          <w:szCs w:val="20"/>
          <w:lang w:bidi="en-US"/>
        </w:rPr>
        <w:t xml:space="preserve">No obstante, </w:t>
      </w:r>
      <w:r w:rsidR="0085635A" w:rsidRPr="00142A36">
        <w:rPr>
          <w:rFonts w:eastAsia="Times New Roman" w:cs="Verdana"/>
          <w:szCs w:val="20"/>
          <w:lang w:val="es-CL" w:eastAsia="en-US"/>
        </w:rPr>
        <w:t>r</w:t>
      </w:r>
      <w:r w:rsidRPr="00142A36">
        <w:rPr>
          <w:rFonts w:eastAsia="Times New Roman" w:cs="Verdana"/>
          <w:szCs w:val="20"/>
          <w:lang w:val="es-CL" w:eastAsia="en-US"/>
        </w:rPr>
        <w:t xml:space="preserve">especto del objeto de la declaración </w:t>
      </w:r>
      <w:r w:rsidR="0085635A" w:rsidRPr="00142A36">
        <w:rPr>
          <w:rFonts w:eastAsia="Times New Roman" w:cs="Verdana"/>
          <w:szCs w:val="20"/>
          <w:lang w:val="es-CL" w:eastAsia="en-US"/>
        </w:rPr>
        <w:t xml:space="preserve">testimonial </w:t>
      </w:r>
      <w:r w:rsidRPr="00142A36">
        <w:rPr>
          <w:rFonts w:eastAsia="Times New Roman" w:cs="Verdana"/>
          <w:szCs w:val="20"/>
          <w:lang w:val="es-CL" w:eastAsia="en-US"/>
        </w:rPr>
        <w:t xml:space="preserve">del señor Correa Sutil </w:t>
      </w:r>
      <w:r w:rsidR="002D6D8F" w:rsidRPr="00142A36">
        <w:rPr>
          <w:rFonts w:eastAsia="Times New Roman" w:cs="Verdana"/>
          <w:szCs w:val="20"/>
          <w:lang w:val="es-CL" w:eastAsia="en-US"/>
        </w:rPr>
        <w:t>sobre</w:t>
      </w:r>
      <w:r w:rsidRPr="00142A36">
        <w:rPr>
          <w:rFonts w:eastAsia="Times New Roman" w:cs="Verdana"/>
          <w:szCs w:val="20"/>
          <w:lang w:val="es-CL" w:eastAsia="en-US"/>
        </w:rPr>
        <w:t xml:space="preserve"> “las particularidades de la justicia transicional en Chile y </w:t>
      </w:r>
      <w:r w:rsidR="00890830" w:rsidRPr="00142A36">
        <w:rPr>
          <w:rFonts w:eastAsia="Times New Roman" w:cs="Verdana"/>
          <w:szCs w:val="20"/>
          <w:lang w:val="es-CL" w:eastAsia="en-US"/>
        </w:rPr>
        <w:t>[el]</w:t>
      </w:r>
      <w:r w:rsidRPr="00142A36">
        <w:rPr>
          <w:rFonts w:eastAsia="Times New Roman" w:cs="Verdana"/>
          <w:szCs w:val="20"/>
          <w:lang w:val="es-CL" w:eastAsia="en-US"/>
        </w:rPr>
        <w:t xml:space="preserve"> programa de reparación a las víctimas de derechos humanos ocurridos entre 1973 y 1990, implementado por los gobiernos democráticos” </w:t>
      </w:r>
      <w:r w:rsidR="002D6D8F" w:rsidRPr="00142A36">
        <w:rPr>
          <w:rFonts w:eastAsia="Times New Roman" w:cs="Verdana"/>
          <w:szCs w:val="20"/>
          <w:lang w:val="es-CL" w:eastAsia="en-US"/>
        </w:rPr>
        <w:t xml:space="preserve">y </w:t>
      </w:r>
      <w:r w:rsidRPr="00142A36">
        <w:rPr>
          <w:rFonts w:eastAsia="Times New Roman" w:cs="Verdana"/>
          <w:szCs w:val="20"/>
          <w:lang w:val="es-CL" w:eastAsia="en-US"/>
        </w:rPr>
        <w:t xml:space="preserve">el </w:t>
      </w:r>
      <w:r w:rsidR="002D6D8F" w:rsidRPr="00142A36">
        <w:rPr>
          <w:rFonts w:eastAsia="Times New Roman" w:cs="Verdana"/>
          <w:szCs w:val="20"/>
          <w:lang w:val="es-CL" w:eastAsia="en-US"/>
        </w:rPr>
        <w:t xml:space="preserve">objeto de la declaración del señor Salinas Rivera sobre “la implementación de los programas de reparación integral impulsados por los gobiernos democráticos en beneficio de las víctimas de violaciones a los derechos humanos ocurridas en dictadura, y en particular respecto a los demandantes en este caso”, el </w:t>
      </w:r>
      <w:r w:rsidR="00965DCF" w:rsidRPr="00142A36">
        <w:rPr>
          <w:rFonts w:eastAsia="Times New Roman" w:cs="Verdana"/>
          <w:szCs w:val="20"/>
          <w:lang w:val="es-CL" w:eastAsia="en-US"/>
        </w:rPr>
        <w:t>interviniente común</w:t>
      </w:r>
      <w:r w:rsidRPr="00142A36">
        <w:rPr>
          <w:rFonts w:eastAsia="Times New Roman" w:cs="Verdana"/>
          <w:szCs w:val="20"/>
          <w:lang w:val="es-CL" w:eastAsia="en-US"/>
        </w:rPr>
        <w:t xml:space="preserve"> indicó que “dicha materia no debiera ser parte en las declaraciones, por cuanto no es pertinente al objeto de litigio del presente caso</w:t>
      </w:r>
      <w:r w:rsidR="00BE4C24" w:rsidRPr="00142A36">
        <w:rPr>
          <w:rStyle w:val="FootnoteReference"/>
          <w:rFonts w:eastAsia="Times New Roman" w:cs="Verdana"/>
          <w:szCs w:val="20"/>
          <w:lang w:val="es-CL" w:eastAsia="en-US"/>
        </w:rPr>
        <w:footnoteReference w:id="4"/>
      </w:r>
      <w:r w:rsidR="002D6D8F" w:rsidRPr="00142A36">
        <w:rPr>
          <w:rFonts w:eastAsia="Times New Roman" w:cs="Verdana"/>
          <w:szCs w:val="20"/>
          <w:lang w:val="es-CL" w:eastAsia="en-US"/>
        </w:rPr>
        <w:t>”</w:t>
      </w:r>
      <w:r w:rsidR="0085635A" w:rsidRPr="00142A36">
        <w:rPr>
          <w:rFonts w:eastAsia="Times New Roman" w:cs="Verdana"/>
          <w:szCs w:val="20"/>
          <w:lang w:val="es-CL" w:eastAsia="en-US"/>
        </w:rPr>
        <w:t>. Al respecto, hizo</w:t>
      </w:r>
      <w:r w:rsidR="00B97A3D" w:rsidRPr="00142A36">
        <w:rPr>
          <w:rFonts w:eastAsia="Times New Roman" w:cs="Verdana"/>
          <w:szCs w:val="20"/>
          <w:lang w:val="es-CL" w:eastAsia="en-US"/>
        </w:rPr>
        <w:t xml:space="preserve"> referencia a que el escrito de solicitudes y argumentos </w:t>
      </w:r>
      <w:r w:rsidR="0085635A" w:rsidRPr="00142A36">
        <w:rPr>
          <w:rFonts w:eastAsia="Times New Roman" w:cs="Verdana"/>
          <w:szCs w:val="20"/>
          <w:lang w:val="es-CL" w:eastAsia="en-US"/>
        </w:rPr>
        <w:t>se refiere</w:t>
      </w:r>
      <w:r w:rsidR="00B97A3D" w:rsidRPr="00142A36">
        <w:rPr>
          <w:rFonts w:eastAsia="Times New Roman" w:cs="Verdana"/>
          <w:szCs w:val="20"/>
          <w:lang w:val="es-CL" w:eastAsia="en-US"/>
        </w:rPr>
        <w:t xml:space="preserve"> a las reparaciones otorgadas por el Estado a las presuntas víctimas del caso, pero que “no [se] discute ni evalúa los hechos de tortura por los que pasaron las víctimas, quedando fuera del objeto de litigio además por restricciones temporales, sin que pueda existir una relación pertinente con las violaciones que se alegan”. Además</w:t>
      </w:r>
      <w:r w:rsidR="0085635A" w:rsidRPr="00142A36">
        <w:rPr>
          <w:rFonts w:eastAsia="Times New Roman" w:cs="Verdana"/>
          <w:szCs w:val="20"/>
          <w:lang w:val="es-CL" w:eastAsia="en-US"/>
        </w:rPr>
        <w:t>,</w:t>
      </w:r>
      <w:r w:rsidR="00B97A3D" w:rsidRPr="00142A36">
        <w:rPr>
          <w:rFonts w:eastAsia="Times New Roman" w:cs="Verdana"/>
          <w:szCs w:val="20"/>
          <w:lang w:val="es-CL" w:eastAsia="en-US"/>
        </w:rPr>
        <w:t xml:space="preserve"> indicó que las referidas declaraciones testimoniales tratarían de la misma materia, la cual sería tendiente “solamente a desviar el centro del asunto”.</w:t>
      </w:r>
    </w:p>
    <w:p w:rsidR="008E2DCB" w:rsidRPr="00142A36" w:rsidRDefault="00B97A3D" w:rsidP="00BF2C4D">
      <w:pPr>
        <w:numPr>
          <w:ilvl w:val="0"/>
          <w:numId w:val="2"/>
        </w:numPr>
        <w:tabs>
          <w:tab w:val="clear" w:pos="720"/>
        </w:tabs>
        <w:autoSpaceDE w:val="0"/>
        <w:autoSpaceDN w:val="0"/>
        <w:adjustRightInd w:val="0"/>
        <w:rPr>
          <w:rFonts w:cs="Arial"/>
          <w:szCs w:val="20"/>
        </w:rPr>
      </w:pPr>
      <w:r w:rsidRPr="00142A36">
        <w:rPr>
          <w:rFonts w:eastAsia="Times New Roman" w:cs="Verdana"/>
          <w:szCs w:val="20"/>
          <w:lang w:val="es-CL" w:eastAsia="en-US"/>
        </w:rPr>
        <w:t xml:space="preserve">Esta Presidencia considera que </w:t>
      </w:r>
      <w:r w:rsidR="000A48F5" w:rsidRPr="00142A36">
        <w:rPr>
          <w:rFonts w:eastAsia="Times New Roman" w:cs="Verdana"/>
          <w:szCs w:val="20"/>
          <w:lang w:val="es-CL" w:eastAsia="en-US"/>
        </w:rPr>
        <w:t xml:space="preserve">las declaraciones testimoniales ofrecidas por el Estado, incluyendo las de los señores </w:t>
      </w:r>
      <w:r w:rsidR="000A48F5" w:rsidRPr="00142A36">
        <w:rPr>
          <w:szCs w:val="20"/>
        </w:rPr>
        <w:t xml:space="preserve">Correa Sutil y Salinas Rivera, pueden resultar útil y pertinente para el análisis de este caso, por lo que </w:t>
      </w:r>
      <w:r w:rsidR="00890830" w:rsidRPr="00142A36">
        <w:rPr>
          <w:szCs w:val="20"/>
        </w:rPr>
        <w:t xml:space="preserve">las </w:t>
      </w:r>
      <w:r w:rsidR="000A48F5" w:rsidRPr="00142A36">
        <w:rPr>
          <w:szCs w:val="20"/>
        </w:rPr>
        <w:t xml:space="preserve">admite, </w:t>
      </w:r>
      <w:r w:rsidR="000A48F5" w:rsidRPr="00142A36">
        <w:rPr>
          <w:bCs/>
          <w:iCs/>
          <w:szCs w:val="20"/>
        </w:rPr>
        <w:t>según el objeto y modalidad determinados en la parte resolutiva de la presente Resolución (</w:t>
      </w:r>
      <w:r w:rsidR="000A48F5" w:rsidRPr="00142A36">
        <w:rPr>
          <w:bCs/>
          <w:i/>
          <w:iCs/>
          <w:szCs w:val="20"/>
        </w:rPr>
        <w:t>infra</w:t>
      </w:r>
      <w:r w:rsidR="000A48F5" w:rsidRPr="00142A36">
        <w:rPr>
          <w:bCs/>
          <w:iCs/>
          <w:szCs w:val="20"/>
        </w:rPr>
        <w:t xml:space="preserve"> puntos resolutivos </w:t>
      </w:r>
      <w:r w:rsidR="003253D7" w:rsidRPr="00142A36">
        <w:rPr>
          <w:bCs/>
          <w:iCs/>
          <w:szCs w:val="20"/>
        </w:rPr>
        <w:t>1</w:t>
      </w:r>
      <w:r w:rsidR="000A48F5" w:rsidRPr="00142A36">
        <w:rPr>
          <w:bCs/>
          <w:iCs/>
          <w:szCs w:val="20"/>
        </w:rPr>
        <w:t xml:space="preserve"> y </w:t>
      </w:r>
      <w:r w:rsidR="003253D7" w:rsidRPr="00142A36">
        <w:rPr>
          <w:bCs/>
          <w:iCs/>
          <w:szCs w:val="20"/>
        </w:rPr>
        <w:t>5</w:t>
      </w:r>
      <w:r w:rsidR="000A48F5" w:rsidRPr="00142A36">
        <w:rPr>
          <w:bCs/>
          <w:iCs/>
          <w:szCs w:val="20"/>
        </w:rPr>
        <w:t>)</w:t>
      </w:r>
      <w:r w:rsidR="000A48F5" w:rsidRPr="00142A36">
        <w:rPr>
          <w:rFonts w:cs="Verdana"/>
          <w:szCs w:val="20"/>
          <w:lang w:bidi="en-US"/>
        </w:rPr>
        <w:t xml:space="preserve">. </w:t>
      </w:r>
      <w:r w:rsidR="000A48F5" w:rsidRPr="00142A36">
        <w:rPr>
          <w:rFonts w:eastAsia="Times New Roman" w:cs="Verdana"/>
          <w:szCs w:val="20"/>
          <w:lang w:val="es-CL" w:eastAsia="en-US"/>
        </w:rPr>
        <w:t xml:space="preserve">Se </w:t>
      </w:r>
      <w:r w:rsidR="000A48F5" w:rsidRPr="00142A36">
        <w:rPr>
          <w:rFonts w:cs="Verdana"/>
          <w:szCs w:val="20"/>
          <w:lang w:bidi="en-US"/>
        </w:rPr>
        <w:t xml:space="preserve">recuerda que el valor de dichos </w:t>
      </w:r>
      <w:r w:rsidR="00DB55ED" w:rsidRPr="00142A36">
        <w:rPr>
          <w:rFonts w:cs="Verdana"/>
          <w:szCs w:val="20"/>
          <w:lang w:bidi="en-US"/>
        </w:rPr>
        <w:t>testimonios</w:t>
      </w:r>
      <w:r w:rsidR="000A48F5" w:rsidRPr="00142A36">
        <w:rPr>
          <w:rFonts w:cs="Verdana"/>
          <w:szCs w:val="20"/>
          <w:lang w:bidi="en-US"/>
        </w:rPr>
        <w:t xml:space="preserve"> será apreciado en la debida oportunidad, dentro del contexto del acervo probatorio existente y según las reglas de la sana crítica</w:t>
      </w:r>
      <w:r w:rsidR="000A48F5" w:rsidRPr="00142A36">
        <w:rPr>
          <w:szCs w:val="20"/>
          <w:lang w:bidi="en-US"/>
        </w:rPr>
        <w:t>.</w:t>
      </w:r>
      <w:r w:rsidR="00DB52AB" w:rsidRPr="00142A36">
        <w:rPr>
          <w:szCs w:val="20"/>
        </w:rPr>
        <w:t xml:space="preserve"> </w:t>
      </w:r>
    </w:p>
    <w:p w:rsidR="00BF2C4D" w:rsidRPr="00142A36" w:rsidRDefault="00F92D75" w:rsidP="00BF2C4D">
      <w:pPr>
        <w:numPr>
          <w:ilvl w:val="0"/>
          <w:numId w:val="2"/>
        </w:numPr>
        <w:tabs>
          <w:tab w:val="clear" w:pos="720"/>
        </w:tabs>
        <w:autoSpaceDE w:val="0"/>
        <w:autoSpaceDN w:val="0"/>
        <w:adjustRightInd w:val="0"/>
        <w:rPr>
          <w:szCs w:val="20"/>
        </w:rPr>
      </w:pPr>
      <w:r w:rsidRPr="00142A36">
        <w:rPr>
          <w:rFonts w:cs="Arial"/>
          <w:szCs w:val="20"/>
        </w:rPr>
        <w:t>Adicionalmente, e</w:t>
      </w:r>
      <w:r w:rsidR="00BF2C4D" w:rsidRPr="00142A36">
        <w:rPr>
          <w:rFonts w:cs="Arial"/>
          <w:szCs w:val="20"/>
        </w:rPr>
        <w:t>l Presidente constata que los objetos de las declaraciones testimoniales de la señora</w:t>
      </w:r>
      <w:r w:rsidR="00BF2C4D" w:rsidRPr="00142A36">
        <w:rPr>
          <w:rFonts w:eastAsia="Times New Roman" w:cs="Verdana"/>
          <w:szCs w:val="20"/>
          <w:lang w:val="es-CL" w:eastAsia="en-US"/>
        </w:rPr>
        <w:t xml:space="preserve"> </w:t>
      </w:r>
      <w:proofErr w:type="spellStart"/>
      <w:r w:rsidR="00BF2C4D" w:rsidRPr="00142A36">
        <w:rPr>
          <w:rFonts w:eastAsia="Times New Roman" w:cs="Verdana"/>
          <w:szCs w:val="20"/>
          <w:lang w:val="es-CL" w:eastAsia="en-US"/>
        </w:rPr>
        <w:t>Collarte</w:t>
      </w:r>
      <w:proofErr w:type="spellEnd"/>
      <w:r w:rsidR="00BF2C4D" w:rsidRPr="00142A36">
        <w:rPr>
          <w:rFonts w:eastAsia="Times New Roman" w:cs="Verdana"/>
          <w:szCs w:val="20"/>
          <w:lang w:val="es-CL" w:eastAsia="en-US"/>
        </w:rPr>
        <w:t xml:space="preserve"> </w:t>
      </w:r>
      <w:proofErr w:type="spellStart"/>
      <w:r w:rsidR="00BF2C4D" w:rsidRPr="00142A36">
        <w:rPr>
          <w:rFonts w:eastAsia="Times New Roman" w:cs="Verdana"/>
          <w:szCs w:val="20"/>
          <w:lang w:val="es-CL" w:eastAsia="en-US"/>
        </w:rPr>
        <w:t>Pindar</w:t>
      </w:r>
      <w:proofErr w:type="spellEnd"/>
      <w:r w:rsidR="00BF2C4D" w:rsidRPr="00142A36">
        <w:rPr>
          <w:rFonts w:eastAsia="Times New Roman" w:cs="Verdana"/>
          <w:szCs w:val="20"/>
          <w:lang w:val="es-CL" w:eastAsia="en-US"/>
        </w:rPr>
        <w:t xml:space="preserve"> y del señor Salinas Rivera,</w:t>
      </w:r>
      <w:r w:rsidR="00BF2C4D" w:rsidRPr="00142A36">
        <w:rPr>
          <w:rFonts w:eastAsia="Times New Roman" w:cs="Arial"/>
          <w:szCs w:val="20"/>
          <w:lang w:val="es-CL" w:eastAsia="en-US"/>
        </w:rPr>
        <w:t xml:space="preserve"> </w:t>
      </w:r>
      <w:r w:rsidR="00BF2C4D" w:rsidRPr="00142A36">
        <w:rPr>
          <w:rFonts w:cs="Arial"/>
          <w:szCs w:val="20"/>
        </w:rPr>
        <w:t>ofrecid</w:t>
      </w:r>
      <w:r w:rsidR="00890830" w:rsidRPr="00142A36">
        <w:rPr>
          <w:rFonts w:cs="Arial"/>
          <w:szCs w:val="20"/>
        </w:rPr>
        <w:t>o</w:t>
      </w:r>
      <w:r w:rsidR="00BF2C4D" w:rsidRPr="00142A36">
        <w:rPr>
          <w:rFonts w:cs="Arial"/>
          <w:szCs w:val="20"/>
        </w:rPr>
        <w:t>s en el escrito de contestación, fueron</w:t>
      </w:r>
      <w:r w:rsidR="00D772A6" w:rsidRPr="00142A36">
        <w:rPr>
          <w:rFonts w:cs="Arial"/>
          <w:szCs w:val="20"/>
        </w:rPr>
        <w:t xml:space="preserve"> </w:t>
      </w:r>
      <w:r w:rsidR="00BF2C4D" w:rsidRPr="00142A36">
        <w:rPr>
          <w:rFonts w:cs="Arial"/>
          <w:szCs w:val="20"/>
        </w:rPr>
        <w:t>modificados en la lista definitiva de declarantes presentada por el Estado</w:t>
      </w:r>
      <w:r w:rsidR="00F56949" w:rsidRPr="00142A36">
        <w:rPr>
          <w:rStyle w:val="FootnoteReference"/>
          <w:rFonts w:cs="Arial"/>
          <w:szCs w:val="20"/>
        </w:rPr>
        <w:footnoteReference w:id="5"/>
      </w:r>
      <w:r w:rsidR="00BF2C4D" w:rsidRPr="00142A36">
        <w:rPr>
          <w:rFonts w:cs="Arial"/>
          <w:szCs w:val="20"/>
        </w:rPr>
        <w:t xml:space="preserve">. Ni la Comisión ni el interviniente común presentaron observaciones al respecto. </w:t>
      </w:r>
      <w:r w:rsidR="00D86160" w:rsidRPr="00142A36">
        <w:rPr>
          <w:rFonts w:cs="Arial"/>
          <w:szCs w:val="20"/>
        </w:rPr>
        <w:t>E</w:t>
      </w:r>
      <w:r w:rsidR="00BF2C4D" w:rsidRPr="00142A36">
        <w:rPr>
          <w:rFonts w:cs="Arial"/>
          <w:szCs w:val="20"/>
        </w:rPr>
        <w:t>l Presidente estima que dichas modificaciones no constituyen una ampliación sustancial del objeto</w:t>
      </w:r>
      <w:r w:rsidR="00DB55ED" w:rsidRPr="00142A36">
        <w:rPr>
          <w:rFonts w:cs="Arial"/>
          <w:szCs w:val="20"/>
        </w:rPr>
        <w:t xml:space="preserve"> de sus </w:t>
      </w:r>
      <w:r w:rsidR="00DB55ED" w:rsidRPr="00142A36">
        <w:rPr>
          <w:rFonts w:cs="Arial"/>
          <w:szCs w:val="20"/>
        </w:rPr>
        <w:lastRenderedPageBreak/>
        <w:t>respectivas declaraciones</w:t>
      </w:r>
      <w:r w:rsidR="000C33E0" w:rsidRPr="00142A36">
        <w:rPr>
          <w:rFonts w:cs="Arial"/>
          <w:szCs w:val="20"/>
        </w:rPr>
        <w:t xml:space="preserve"> ni constituye un nuevo ofrecimiento de prueba</w:t>
      </w:r>
      <w:r w:rsidR="00BF2C4D" w:rsidRPr="00142A36">
        <w:rPr>
          <w:rFonts w:cs="Arial"/>
          <w:szCs w:val="20"/>
        </w:rPr>
        <w:t>, motivo por el cual acepta los cambios</w:t>
      </w:r>
      <w:r w:rsidR="00BF2C4D" w:rsidRPr="00142A36">
        <w:rPr>
          <w:rStyle w:val="FootnoteReference"/>
          <w:rFonts w:cs="Arial"/>
          <w:szCs w:val="20"/>
        </w:rPr>
        <w:footnoteReference w:id="6"/>
      </w:r>
      <w:r w:rsidR="00BF2C4D" w:rsidRPr="00142A36">
        <w:rPr>
          <w:rFonts w:cs="Arial"/>
          <w:szCs w:val="20"/>
        </w:rPr>
        <w:t>.</w:t>
      </w:r>
      <w:r w:rsidR="00890830" w:rsidRPr="00142A36">
        <w:rPr>
          <w:rFonts w:cs="Arial"/>
          <w:szCs w:val="20"/>
        </w:rPr>
        <w:t xml:space="preserve"> </w:t>
      </w:r>
    </w:p>
    <w:p w:rsidR="00AF7B1F" w:rsidRPr="00142A36" w:rsidRDefault="008E2DCB" w:rsidP="00AF7B1F">
      <w:pPr>
        <w:pStyle w:val="ListParagraph1"/>
        <w:numPr>
          <w:ilvl w:val="0"/>
          <w:numId w:val="33"/>
        </w:numPr>
        <w:spacing w:before="240" w:after="120"/>
        <w:ind w:right="11"/>
        <w:jc w:val="both"/>
        <w:rPr>
          <w:rFonts w:ascii="Verdana" w:hAnsi="Verdana"/>
          <w:b/>
          <w:i/>
          <w:sz w:val="20"/>
          <w:szCs w:val="20"/>
        </w:rPr>
      </w:pPr>
      <w:r w:rsidRPr="00142A36">
        <w:rPr>
          <w:rFonts w:ascii="Verdana" w:hAnsi="Verdana"/>
          <w:b/>
          <w:i/>
          <w:sz w:val="20"/>
          <w:szCs w:val="20"/>
        </w:rPr>
        <w:t xml:space="preserve">Recusación por el Estado </w:t>
      </w:r>
      <w:r w:rsidR="00AF7B1F" w:rsidRPr="00142A36">
        <w:rPr>
          <w:rFonts w:ascii="Verdana" w:hAnsi="Verdana"/>
          <w:b/>
          <w:i/>
          <w:sz w:val="20"/>
          <w:szCs w:val="20"/>
        </w:rPr>
        <w:t>en contra de</w:t>
      </w:r>
      <w:r w:rsidRPr="00142A36">
        <w:rPr>
          <w:rFonts w:ascii="Verdana" w:hAnsi="Verdana"/>
          <w:b/>
          <w:i/>
          <w:sz w:val="20"/>
          <w:szCs w:val="20"/>
        </w:rPr>
        <w:t xml:space="preserve"> un perito propuesto por el </w:t>
      </w:r>
      <w:r w:rsidR="00965DCF" w:rsidRPr="00142A36">
        <w:rPr>
          <w:rFonts w:ascii="Verdana" w:hAnsi="Verdana"/>
          <w:b/>
          <w:i/>
          <w:sz w:val="20"/>
          <w:szCs w:val="20"/>
        </w:rPr>
        <w:t>interviniente común</w:t>
      </w:r>
    </w:p>
    <w:p w:rsidR="008E2DCB" w:rsidRPr="00142A36" w:rsidRDefault="00AF7B1F" w:rsidP="00AF7B1F">
      <w:pPr>
        <w:numPr>
          <w:ilvl w:val="0"/>
          <w:numId w:val="2"/>
        </w:numPr>
        <w:tabs>
          <w:tab w:val="clear" w:pos="720"/>
        </w:tabs>
        <w:autoSpaceDE w:val="0"/>
        <w:autoSpaceDN w:val="0"/>
        <w:adjustRightInd w:val="0"/>
        <w:rPr>
          <w:bCs/>
          <w:iCs/>
          <w:szCs w:val="20"/>
        </w:rPr>
      </w:pPr>
      <w:r w:rsidRPr="00142A36">
        <w:rPr>
          <w:bCs/>
          <w:iCs/>
          <w:szCs w:val="20"/>
        </w:rPr>
        <w:t xml:space="preserve">El </w:t>
      </w:r>
      <w:r w:rsidR="00965DCF" w:rsidRPr="00142A36">
        <w:rPr>
          <w:bCs/>
          <w:iCs/>
          <w:szCs w:val="20"/>
        </w:rPr>
        <w:t>interviniente común</w:t>
      </w:r>
      <w:r w:rsidR="00270E89" w:rsidRPr="00142A36">
        <w:rPr>
          <w:bCs/>
          <w:iCs/>
          <w:szCs w:val="20"/>
        </w:rPr>
        <w:t>,</w:t>
      </w:r>
      <w:r w:rsidRPr="00142A36">
        <w:rPr>
          <w:bCs/>
          <w:iCs/>
          <w:szCs w:val="20"/>
        </w:rPr>
        <w:t xml:space="preserve"> en su escrito de solicitudes y argumentos</w:t>
      </w:r>
      <w:r w:rsidR="00270E89" w:rsidRPr="00142A36">
        <w:rPr>
          <w:bCs/>
          <w:iCs/>
          <w:szCs w:val="20"/>
        </w:rPr>
        <w:t>,</w:t>
      </w:r>
      <w:r w:rsidRPr="00142A36">
        <w:rPr>
          <w:bCs/>
          <w:iCs/>
          <w:szCs w:val="20"/>
        </w:rPr>
        <w:t xml:space="preserve"> ofreció el dictamen pericial del señor </w:t>
      </w:r>
      <w:r w:rsidR="008E2DCB" w:rsidRPr="00142A36">
        <w:rPr>
          <w:bCs/>
          <w:iCs/>
          <w:szCs w:val="20"/>
        </w:rPr>
        <w:t xml:space="preserve">Rodrigo </w:t>
      </w:r>
      <w:proofErr w:type="spellStart"/>
      <w:r w:rsidR="008E2DCB" w:rsidRPr="00142A36">
        <w:rPr>
          <w:bCs/>
          <w:iCs/>
          <w:szCs w:val="20"/>
        </w:rPr>
        <w:t>Zegers</w:t>
      </w:r>
      <w:proofErr w:type="spellEnd"/>
      <w:r w:rsidR="008E2DCB" w:rsidRPr="00142A36">
        <w:rPr>
          <w:bCs/>
          <w:iCs/>
          <w:szCs w:val="20"/>
        </w:rPr>
        <w:t xml:space="preserve"> Reyes, </w:t>
      </w:r>
      <w:r w:rsidRPr="00142A36">
        <w:rPr>
          <w:bCs/>
          <w:iCs/>
          <w:szCs w:val="20"/>
        </w:rPr>
        <w:t>el cual versaría sobre “</w:t>
      </w:r>
      <w:r w:rsidR="008E2DCB" w:rsidRPr="00142A36">
        <w:rPr>
          <w:bCs/>
          <w:iCs/>
          <w:szCs w:val="20"/>
        </w:rPr>
        <w:t xml:space="preserve">la regulación </w:t>
      </w:r>
      <w:r w:rsidRPr="00142A36">
        <w:rPr>
          <w:bCs/>
          <w:iCs/>
          <w:szCs w:val="20"/>
        </w:rPr>
        <w:t>d</w:t>
      </w:r>
      <w:r w:rsidR="008E2DCB" w:rsidRPr="00142A36">
        <w:rPr>
          <w:bCs/>
          <w:iCs/>
          <w:szCs w:val="20"/>
        </w:rPr>
        <w:t xml:space="preserve">el Recurso de Revisión y su procedencia para anular Sentencias de Tribunales Militares en Tiempo de Guerra en el año 2001”. </w:t>
      </w:r>
      <w:r w:rsidR="001E5C4B" w:rsidRPr="00142A36">
        <w:rPr>
          <w:bCs/>
          <w:iCs/>
          <w:szCs w:val="20"/>
        </w:rPr>
        <w:t xml:space="preserve">Dicho dictamen fue confirmado por el </w:t>
      </w:r>
      <w:r w:rsidR="00965DCF" w:rsidRPr="00142A36">
        <w:rPr>
          <w:bCs/>
          <w:iCs/>
          <w:szCs w:val="20"/>
        </w:rPr>
        <w:t>interviniente común</w:t>
      </w:r>
      <w:r w:rsidR="001E5C4B" w:rsidRPr="00142A36">
        <w:rPr>
          <w:bCs/>
          <w:iCs/>
          <w:szCs w:val="20"/>
        </w:rPr>
        <w:t xml:space="preserve"> en su lista definitiva de declarantes.</w:t>
      </w:r>
    </w:p>
    <w:p w:rsidR="008E2DCB" w:rsidRPr="00142A36" w:rsidRDefault="00CA18CC" w:rsidP="00CA18CC">
      <w:pPr>
        <w:numPr>
          <w:ilvl w:val="0"/>
          <w:numId w:val="2"/>
        </w:numPr>
        <w:tabs>
          <w:tab w:val="clear" w:pos="720"/>
        </w:tabs>
        <w:autoSpaceDE w:val="0"/>
        <w:autoSpaceDN w:val="0"/>
        <w:adjustRightInd w:val="0"/>
        <w:rPr>
          <w:bCs/>
          <w:i/>
          <w:iCs/>
          <w:szCs w:val="20"/>
          <w:lang w:val="es-CR"/>
        </w:rPr>
      </w:pPr>
      <w:r w:rsidRPr="00142A36">
        <w:rPr>
          <w:rFonts w:cs="Verdana"/>
          <w:szCs w:val="20"/>
          <w:lang w:val="es-CR"/>
        </w:rPr>
        <w:t xml:space="preserve">La Comisión no formuló observaciones al respecto. El Estado en su escrito de 9 de enero de 2015 planteó una recusación en contra del señor </w:t>
      </w:r>
      <w:proofErr w:type="spellStart"/>
      <w:r w:rsidRPr="00142A36">
        <w:rPr>
          <w:rFonts w:cs="Verdana"/>
          <w:szCs w:val="20"/>
          <w:lang w:val="es-CR"/>
        </w:rPr>
        <w:t>Zegers</w:t>
      </w:r>
      <w:proofErr w:type="spellEnd"/>
      <w:r w:rsidRPr="00142A36">
        <w:rPr>
          <w:rFonts w:cs="Verdana"/>
          <w:szCs w:val="20"/>
          <w:lang w:val="es-CR"/>
        </w:rPr>
        <w:t xml:space="preserve"> Reyes, alegando como fundamento la causal </w:t>
      </w:r>
      <w:r w:rsidR="00984FEA" w:rsidRPr="00142A36">
        <w:rPr>
          <w:rFonts w:cs="Verdana"/>
          <w:szCs w:val="20"/>
          <w:lang w:val="es-CR"/>
        </w:rPr>
        <w:t>establecid</w:t>
      </w:r>
      <w:r w:rsidRPr="00142A36">
        <w:rPr>
          <w:rFonts w:cs="Verdana"/>
          <w:szCs w:val="20"/>
          <w:lang w:val="es-CR"/>
        </w:rPr>
        <w:t xml:space="preserve">a en el artículo 48.1.c del Reglamento de la Corte. </w:t>
      </w:r>
      <w:r w:rsidR="00270E89" w:rsidRPr="00142A36">
        <w:rPr>
          <w:rFonts w:cs="Verdana"/>
          <w:szCs w:val="20"/>
          <w:lang w:val="es-CR"/>
        </w:rPr>
        <w:t xml:space="preserve">Al respecto, </w:t>
      </w:r>
      <w:r w:rsidR="00270E89" w:rsidRPr="00142A36">
        <w:rPr>
          <w:bCs/>
          <w:iCs/>
          <w:szCs w:val="20"/>
        </w:rPr>
        <w:t>e</w:t>
      </w:r>
      <w:r w:rsidRPr="00142A36">
        <w:rPr>
          <w:bCs/>
          <w:iCs/>
          <w:szCs w:val="20"/>
        </w:rPr>
        <w:t xml:space="preserve">l Estado </w:t>
      </w:r>
      <w:r w:rsidR="00270E89" w:rsidRPr="00142A36">
        <w:rPr>
          <w:bCs/>
          <w:iCs/>
          <w:szCs w:val="20"/>
        </w:rPr>
        <w:t>aleg</w:t>
      </w:r>
      <w:r w:rsidRPr="00142A36">
        <w:rPr>
          <w:bCs/>
          <w:iCs/>
          <w:szCs w:val="20"/>
        </w:rPr>
        <w:t xml:space="preserve">ó que </w:t>
      </w:r>
      <w:r w:rsidR="008E2DCB" w:rsidRPr="00142A36">
        <w:rPr>
          <w:bCs/>
          <w:iCs/>
          <w:szCs w:val="20"/>
        </w:rPr>
        <w:t>exist</w:t>
      </w:r>
      <w:r w:rsidR="00984FEA" w:rsidRPr="00142A36">
        <w:rPr>
          <w:bCs/>
          <w:iCs/>
          <w:szCs w:val="20"/>
        </w:rPr>
        <w:t>iera</w:t>
      </w:r>
      <w:r w:rsidR="008E2DCB" w:rsidRPr="00142A36">
        <w:rPr>
          <w:bCs/>
          <w:iCs/>
          <w:szCs w:val="20"/>
        </w:rPr>
        <w:t xml:space="preserve"> un vínculo </w:t>
      </w:r>
      <w:r w:rsidR="00984FEA" w:rsidRPr="00142A36">
        <w:rPr>
          <w:bCs/>
          <w:iCs/>
          <w:szCs w:val="20"/>
        </w:rPr>
        <w:t>entre el</w:t>
      </w:r>
      <w:r w:rsidR="001F0895" w:rsidRPr="00142A36">
        <w:rPr>
          <w:bCs/>
          <w:iCs/>
          <w:szCs w:val="20"/>
        </w:rPr>
        <w:t xml:space="preserve"> perito propuesto </w:t>
      </w:r>
      <w:r w:rsidR="00984FEA" w:rsidRPr="00142A36">
        <w:rPr>
          <w:bCs/>
          <w:iCs/>
          <w:szCs w:val="20"/>
        </w:rPr>
        <w:t xml:space="preserve">y </w:t>
      </w:r>
      <w:r w:rsidR="001F0895" w:rsidRPr="00142A36">
        <w:rPr>
          <w:bCs/>
          <w:iCs/>
          <w:szCs w:val="20"/>
        </w:rPr>
        <w:t>la parte proponente</w:t>
      </w:r>
      <w:r w:rsidR="00984FEA" w:rsidRPr="00142A36">
        <w:rPr>
          <w:bCs/>
          <w:iCs/>
          <w:szCs w:val="20"/>
        </w:rPr>
        <w:t>,</w:t>
      </w:r>
      <w:r w:rsidR="001F0895" w:rsidRPr="00142A36">
        <w:rPr>
          <w:bCs/>
          <w:iCs/>
          <w:szCs w:val="20"/>
        </w:rPr>
        <w:t xml:space="preserve"> constituido por “la calidad de socio fundador </w:t>
      </w:r>
      <w:r w:rsidR="00984FEA" w:rsidRPr="00142A36">
        <w:rPr>
          <w:bCs/>
          <w:iCs/>
          <w:szCs w:val="20"/>
        </w:rPr>
        <w:t xml:space="preserve">[…] </w:t>
      </w:r>
      <w:r w:rsidR="001F0895" w:rsidRPr="00142A36">
        <w:rPr>
          <w:bCs/>
          <w:iCs/>
          <w:szCs w:val="20"/>
        </w:rPr>
        <w:t>del ‘</w:t>
      </w:r>
      <w:r w:rsidR="008E2DCB" w:rsidRPr="00142A36">
        <w:rPr>
          <w:bCs/>
          <w:iCs/>
          <w:szCs w:val="20"/>
        </w:rPr>
        <w:t xml:space="preserve">Estudio Jurídico </w:t>
      </w:r>
      <w:proofErr w:type="spellStart"/>
      <w:r w:rsidR="001F0895" w:rsidRPr="00142A36">
        <w:rPr>
          <w:bCs/>
          <w:iCs/>
          <w:szCs w:val="20"/>
        </w:rPr>
        <w:t>Rivadeneira</w:t>
      </w:r>
      <w:proofErr w:type="spellEnd"/>
      <w:r w:rsidR="001F0895" w:rsidRPr="00142A36">
        <w:rPr>
          <w:bCs/>
          <w:iCs/>
          <w:szCs w:val="20"/>
        </w:rPr>
        <w:t xml:space="preserve">, </w:t>
      </w:r>
      <w:proofErr w:type="spellStart"/>
      <w:r w:rsidR="001F0895" w:rsidRPr="00142A36">
        <w:rPr>
          <w:bCs/>
          <w:iCs/>
          <w:szCs w:val="20"/>
        </w:rPr>
        <w:t>Colombara</w:t>
      </w:r>
      <w:proofErr w:type="spellEnd"/>
      <w:r w:rsidR="001F0895" w:rsidRPr="00142A36">
        <w:rPr>
          <w:bCs/>
          <w:iCs/>
          <w:szCs w:val="20"/>
        </w:rPr>
        <w:t xml:space="preserve"> y </w:t>
      </w:r>
      <w:proofErr w:type="spellStart"/>
      <w:r w:rsidR="001F0895" w:rsidRPr="00142A36">
        <w:rPr>
          <w:bCs/>
          <w:iCs/>
          <w:szCs w:val="20"/>
        </w:rPr>
        <w:t>Zegers</w:t>
      </w:r>
      <w:proofErr w:type="spellEnd"/>
      <w:r w:rsidR="001F0895" w:rsidRPr="00142A36">
        <w:rPr>
          <w:bCs/>
          <w:iCs/>
          <w:szCs w:val="20"/>
        </w:rPr>
        <w:t>’</w:t>
      </w:r>
      <w:r w:rsidR="008E2DCB" w:rsidRPr="00142A36">
        <w:rPr>
          <w:bCs/>
          <w:iCs/>
          <w:szCs w:val="20"/>
        </w:rPr>
        <w:t xml:space="preserve"> al cual también pertenecen los mandatarios judiciales de los demandantes, señores </w:t>
      </w:r>
      <w:proofErr w:type="spellStart"/>
      <w:r w:rsidR="008E2DCB" w:rsidRPr="00142A36">
        <w:rPr>
          <w:bCs/>
          <w:iCs/>
          <w:szCs w:val="20"/>
        </w:rPr>
        <w:t>Branislav</w:t>
      </w:r>
      <w:proofErr w:type="spellEnd"/>
      <w:r w:rsidR="008E2DCB" w:rsidRPr="00142A36">
        <w:rPr>
          <w:bCs/>
          <w:iCs/>
          <w:szCs w:val="20"/>
        </w:rPr>
        <w:t xml:space="preserve"> </w:t>
      </w:r>
      <w:proofErr w:type="spellStart"/>
      <w:r w:rsidR="008E2DCB" w:rsidRPr="00142A36">
        <w:rPr>
          <w:bCs/>
          <w:iCs/>
          <w:szCs w:val="20"/>
        </w:rPr>
        <w:t>Marelic</w:t>
      </w:r>
      <w:proofErr w:type="spellEnd"/>
      <w:r w:rsidR="008E2DCB" w:rsidRPr="00142A36">
        <w:rPr>
          <w:bCs/>
          <w:iCs/>
          <w:szCs w:val="20"/>
        </w:rPr>
        <w:t xml:space="preserve"> </w:t>
      </w:r>
      <w:proofErr w:type="spellStart"/>
      <w:r w:rsidR="008E2DCB" w:rsidRPr="00142A36">
        <w:rPr>
          <w:bCs/>
          <w:iCs/>
          <w:szCs w:val="20"/>
        </w:rPr>
        <w:t>Rokov</w:t>
      </w:r>
      <w:proofErr w:type="spellEnd"/>
      <w:r w:rsidR="008E2DCB" w:rsidRPr="00142A36">
        <w:rPr>
          <w:bCs/>
          <w:iCs/>
          <w:szCs w:val="20"/>
        </w:rPr>
        <w:t xml:space="preserve"> y Ciro </w:t>
      </w:r>
      <w:proofErr w:type="spellStart"/>
      <w:r w:rsidR="008E2DCB" w:rsidRPr="00142A36">
        <w:rPr>
          <w:bCs/>
          <w:iCs/>
          <w:szCs w:val="20"/>
        </w:rPr>
        <w:t>Colombara</w:t>
      </w:r>
      <w:proofErr w:type="spellEnd"/>
      <w:r w:rsidR="008E2DCB" w:rsidRPr="00142A36">
        <w:rPr>
          <w:bCs/>
          <w:iCs/>
          <w:szCs w:val="20"/>
        </w:rPr>
        <w:t xml:space="preserve"> López, este último también socio fundador de dicho estudio</w:t>
      </w:r>
      <w:r w:rsidR="001F0895" w:rsidRPr="00142A36">
        <w:rPr>
          <w:bCs/>
          <w:iCs/>
          <w:szCs w:val="20"/>
        </w:rPr>
        <w:t>”</w:t>
      </w:r>
      <w:r w:rsidR="001F0895" w:rsidRPr="00142A36">
        <w:rPr>
          <w:rStyle w:val="FootnoteReference"/>
          <w:bCs/>
          <w:iCs/>
          <w:szCs w:val="20"/>
        </w:rPr>
        <w:footnoteReference w:id="7"/>
      </w:r>
      <w:r w:rsidR="008E2DCB" w:rsidRPr="00142A36">
        <w:rPr>
          <w:bCs/>
          <w:iCs/>
          <w:szCs w:val="20"/>
        </w:rPr>
        <w:t xml:space="preserve">. </w:t>
      </w:r>
      <w:r w:rsidR="00270E89" w:rsidRPr="00142A36">
        <w:rPr>
          <w:bCs/>
          <w:iCs/>
          <w:szCs w:val="20"/>
        </w:rPr>
        <w:t xml:space="preserve">Además, </w:t>
      </w:r>
      <w:r w:rsidR="001F0895" w:rsidRPr="00142A36">
        <w:rPr>
          <w:bCs/>
          <w:iCs/>
          <w:szCs w:val="20"/>
        </w:rPr>
        <w:t xml:space="preserve">el Estado </w:t>
      </w:r>
      <w:r w:rsidR="00270E89" w:rsidRPr="00142A36">
        <w:rPr>
          <w:bCs/>
          <w:iCs/>
          <w:szCs w:val="20"/>
        </w:rPr>
        <w:t>consider</w:t>
      </w:r>
      <w:r w:rsidR="001F0895" w:rsidRPr="00142A36">
        <w:rPr>
          <w:bCs/>
          <w:iCs/>
          <w:szCs w:val="20"/>
        </w:rPr>
        <w:t xml:space="preserve">ó que </w:t>
      </w:r>
      <w:r w:rsidR="003444E1" w:rsidRPr="00142A36">
        <w:rPr>
          <w:bCs/>
          <w:iCs/>
          <w:szCs w:val="20"/>
        </w:rPr>
        <w:t xml:space="preserve">se generaría una afectación a la imparcialidad del perito </w:t>
      </w:r>
      <w:r w:rsidR="00270E89" w:rsidRPr="00142A36">
        <w:rPr>
          <w:bCs/>
          <w:iCs/>
          <w:szCs w:val="20"/>
        </w:rPr>
        <w:t xml:space="preserve">propuesto, </w:t>
      </w:r>
      <w:r w:rsidR="003444E1" w:rsidRPr="00142A36">
        <w:rPr>
          <w:bCs/>
          <w:iCs/>
          <w:szCs w:val="20"/>
        </w:rPr>
        <w:t xml:space="preserve">porque el referido vínculo “se </w:t>
      </w:r>
      <w:proofErr w:type="spellStart"/>
      <w:proofErr w:type="gramStart"/>
      <w:r w:rsidR="003444E1" w:rsidRPr="00142A36">
        <w:rPr>
          <w:bCs/>
          <w:iCs/>
          <w:szCs w:val="20"/>
        </w:rPr>
        <w:t>traduc</w:t>
      </w:r>
      <w:proofErr w:type="spellEnd"/>
      <w:r w:rsidR="00270E89" w:rsidRPr="00142A36">
        <w:rPr>
          <w:bCs/>
          <w:iCs/>
          <w:szCs w:val="20"/>
        </w:rPr>
        <w:t>[</w:t>
      </w:r>
      <w:proofErr w:type="gramEnd"/>
      <w:r w:rsidR="00270E89" w:rsidRPr="00142A36">
        <w:rPr>
          <w:bCs/>
          <w:iCs/>
          <w:szCs w:val="20"/>
        </w:rPr>
        <w:t>iría]</w:t>
      </w:r>
      <w:r w:rsidR="003444E1" w:rsidRPr="00142A36">
        <w:rPr>
          <w:bCs/>
          <w:iCs/>
          <w:szCs w:val="20"/>
        </w:rPr>
        <w:t xml:space="preserve"> en un interés evidente de</w:t>
      </w:r>
      <w:r w:rsidR="00270E89" w:rsidRPr="00142A36">
        <w:rPr>
          <w:bCs/>
          <w:iCs/>
          <w:szCs w:val="20"/>
        </w:rPr>
        <w:t xml:space="preserve"> [este] </w:t>
      </w:r>
      <w:r w:rsidR="0025741A" w:rsidRPr="00142A36">
        <w:rPr>
          <w:bCs/>
          <w:iCs/>
          <w:szCs w:val="20"/>
        </w:rPr>
        <w:t xml:space="preserve">[…] </w:t>
      </w:r>
      <w:r w:rsidR="003444E1" w:rsidRPr="00142A36">
        <w:rPr>
          <w:bCs/>
          <w:iCs/>
          <w:szCs w:val="20"/>
        </w:rPr>
        <w:t>en el resultado de este juicio”</w:t>
      </w:r>
      <w:r w:rsidR="00270E89" w:rsidRPr="00142A36">
        <w:rPr>
          <w:bCs/>
          <w:iCs/>
          <w:szCs w:val="20"/>
        </w:rPr>
        <w:t xml:space="preserve"> y</w:t>
      </w:r>
      <w:r w:rsidR="00845B21" w:rsidRPr="00142A36">
        <w:rPr>
          <w:bCs/>
          <w:iCs/>
          <w:szCs w:val="20"/>
        </w:rPr>
        <w:t xml:space="preserve"> que “un resultado favorable a la parte demandante significará, igualmente, un beneficio (pecuniario, de prestigio o de cualquier otra índole), del cual también se verán favorecidos los otros profesionales que la integran”</w:t>
      </w:r>
      <w:r w:rsidR="00270E89" w:rsidRPr="00142A36">
        <w:rPr>
          <w:bCs/>
          <w:iCs/>
          <w:szCs w:val="20"/>
        </w:rPr>
        <w:t>. Por tanto,</w:t>
      </w:r>
      <w:r w:rsidR="00845B21" w:rsidRPr="00142A36">
        <w:rPr>
          <w:bCs/>
          <w:iCs/>
          <w:szCs w:val="20"/>
        </w:rPr>
        <w:t xml:space="preserve"> “no </w:t>
      </w:r>
      <w:proofErr w:type="gramStart"/>
      <w:r w:rsidR="00845B21" w:rsidRPr="00142A36">
        <w:rPr>
          <w:bCs/>
          <w:iCs/>
          <w:szCs w:val="20"/>
        </w:rPr>
        <w:t>p</w:t>
      </w:r>
      <w:r w:rsidR="00270E89" w:rsidRPr="00142A36">
        <w:rPr>
          <w:bCs/>
          <w:iCs/>
          <w:szCs w:val="20"/>
        </w:rPr>
        <w:t>[</w:t>
      </w:r>
      <w:proofErr w:type="spellStart"/>
      <w:proofErr w:type="gramEnd"/>
      <w:r w:rsidR="00270E89" w:rsidRPr="00142A36">
        <w:rPr>
          <w:bCs/>
          <w:iCs/>
          <w:szCs w:val="20"/>
        </w:rPr>
        <w:t>odría</w:t>
      </w:r>
      <w:proofErr w:type="spellEnd"/>
      <w:r w:rsidR="00270E89" w:rsidRPr="00142A36">
        <w:rPr>
          <w:bCs/>
          <w:iCs/>
          <w:szCs w:val="20"/>
        </w:rPr>
        <w:t>]</w:t>
      </w:r>
      <w:r w:rsidR="00845B21" w:rsidRPr="00142A36">
        <w:rPr>
          <w:bCs/>
          <w:iCs/>
          <w:szCs w:val="20"/>
        </w:rPr>
        <w:t xml:space="preserve"> esperarse del señor </w:t>
      </w:r>
      <w:proofErr w:type="spellStart"/>
      <w:r w:rsidR="00845B21" w:rsidRPr="00142A36">
        <w:rPr>
          <w:bCs/>
          <w:iCs/>
          <w:szCs w:val="20"/>
        </w:rPr>
        <w:t>Zegers</w:t>
      </w:r>
      <w:proofErr w:type="spellEnd"/>
      <w:r w:rsidR="00845B21" w:rsidRPr="00142A36">
        <w:rPr>
          <w:bCs/>
          <w:iCs/>
          <w:szCs w:val="20"/>
        </w:rPr>
        <w:t xml:space="preserve"> imparcialidad en un juicio en que su socio, el señor </w:t>
      </w:r>
      <w:proofErr w:type="spellStart"/>
      <w:r w:rsidR="00845B21" w:rsidRPr="00142A36">
        <w:rPr>
          <w:bCs/>
          <w:iCs/>
          <w:szCs w:val="20"/>
        </w:rPr>
        <w:t>Colombara</w:t>
      </w:r>
      <w:proofErr w:type="spellEnd"/>
      <w:r w:rsidR="00845B21" w:rsidRPr="00142A36">
        <w:rPr>
          <w:bCs/>
          <w:iCs/>
          <w:szCs w:val="20"/>
        </w:rPr>
        <w:t xml:space="preserve">, interviene como abogado de una de las partes”. Asimismo, el Estado se refirió a que </w:t>
      </w:r>
      <w:r w:rsidR="008E2DCB" w:rsidRPr="00142A36">
        <w:rPr>
          <w:bCs/>
          <w:iCs/>
          <w:szCs w:val="20"/>
        </w:rPr>
        <w:t>“[c]</w:t>
      </w:r>
      <w:proofErr w:type="spellStart"/>
      <w:r w:rsidR="008E2DCB" w:rsidRPr="00142A36">
        <w:rPr>
          <w:bCs/>
          <w:iCs/>
          <w:szCs w:val="20"/>
        </w:rPr>
        <w:t>omo</w:t>
      </w:r>
      <w:proofErr w:type="spellEnd"/>
      <w:r w:rsidR="008E2DCB" w:rsidRPr="00142A36">
        <w:rPr>
          <w:bCs/>
          <w:iCs/>
          <w:szCs w:val="20"/>
        </w:rPr>
        <w:t xml:space="preserve"> en toda sociedad, la existencia entre sus socios de lo que la doctrina denomina </w:t>
      </w:r>
      <w:proofErr w:type="spellStart"/>
      <w:r w:rsidR="008E2DCB" w:rsidRPr="00142A36">
        <w:rPr>
          <w:bCs/>
          <w:i/>
          <w:iCs/>
          <w:szCs w:val="20"/>
        </w:rPr>
        <w:t>animus</w:t>
      </w:r>
      <w:proofErr w:type="spellEnd"/>
      <w:r w:rsidR="008E2DCB" w:rsidRPr="00142A36">
        <w:rPr>
          <w:bCs/>
          <w:i/>
          <w:iCs/>
          <w:szCs w:val="20"/>
        </w:rPr>
        <w:t xml:space="preserve"> </w:t>
      </w:r>
      <w:proofErr w:type="spellStart"/>
      <w:r w:rsidR="008E2DCB" w:rsidRPr="00142A36">
        <w:rPr>
          <w:bCs/>
          <w:i/>
          <w:iCs/>
          <w:szCs w:val="20"/>
        </w:rPr>
        <w:t>societatis</w:t>
      </w:r>
      <w:proofErr w:type="spellEnd"/>
      <w:r w:rsidR="008E2DCB" w:rsidRPr="00142A36">
        <w:rPr>
          <w:bCs/>
          <w:iCs/>
          <w:szCs w:val="20"/>
        </w:rPr>
        <w:t xml:space="preserve"> o </w:t>
      </w:r>
      <w:proofErr w:type="spellStart"/>
      <w:r w:rsidR="008E2DCB" w:rsidRPr="00142A36">
        <w:rPr>
          <w:bCs/>
          <w:i/>
          <w:iCs/>
          <w:szCs w:val="20"/>
        </w:rPr>
        <w:t>affectio</w:t>
      </w:r>
      <w:proofErr w:type="spellEnd"/>
      <w:r w:rsidR="008E2DCB" w:rsidRPr="00142A36">
        <w:rPr>
          <w:bCs/>
          <w:i/>
          <w:iCs/>
          <w:szCs w:val="20"/>
        </w:rPr>
        <w:t xml:space="preserve"> </w:t>
      </w:r>
      <w:proofErr w:type="spellStart"/>
      <w:r w:rsidR="008E2DCB" w:rsidRPr="00142A36">
        <w:rPr>
          <w:bCs/>
          <w:i/>
          <w:iCs/>
          <w:szCs w:val="20"/>
        </w:rPr>
        <w:t>societatis</w:t>
      </w:r>
      <w:proofErr w:type="spellEnd"/>
      <w:r w:rsidR="008E2DCB" w:rsidRPr="00142A36">
        <w:rPr>
          <w:bCs/>
          <w:iCs/>
          <w:szCs w:val="20"/>
        </w:rPr>
        <w:t xml:space="preserve"> los coloca en una disposición anímica de colaboración para el cumplimiento de un objetivo o resultado que se estima o aprecia como relevante para los fines de la misma”. </w:t>
      </w:r>
    </w:p>
    <w:p w:rsidR="008E2DCB" w:rsidRPr="00142A36" w:rsidRDefault="00753EEA" w:rsidP="008E2DCB">
      <w:pPr>
        <w:numPr>
          <w:ilvl w:val="0"/>
          <w:numId w:val="2"/>
        </w:numPr>
        <w:tabs>
          <w:tab w:val="clear" w:pos="720"/>
        </w:tabs>
        <w:autoSpaceDE w:val="0"/>
        <w:autoSpaceDN w:val="0"/>
        <w:adjustRightInd w:val="0"/>
        <w:rPr>
          <w:bCs/>
          <w:i/>
          <w:iCs/>
          <w:szCs w:val="20"/>
          <w:lang w:val="es-CR"/>
        </w:rPr>
      </w:pPr>
      <w:r w:rsidRPr="00142A36">
        <w:rPr>
          <w:rFonts w:cs="Verdana"/>
          <w:szCs w:val="20"/>
        </w:rPr>
        <w:t xml:space="preserve">De conformidad con el artículo 48.3 del Reglamento de la Corte se trasladó al señor </w:t>
      </w:r>
      <w:proofErr w:type="spellStart"/>
      <w:r w:rsidRPr="00142A36">
        <w:rPr>
          <w:rFonts w:cs="Verdana"/>
          <w:szCs w:val="20"/>
        </w:rPr>
        <w:t>Zegers</w:t>
      </w:r>
      <w:proofErr w:type="spellEnd"/>
      <w:r w:rsidRPr="00142A36">
        <w:rPr>
          <w:rFonts w:cs="Verdana"/>
          <w:szCs w:val="20"/>
        </w:rPr>
        <w:t xml:space="preserve"> Reyes la recusación planteada en su contra y se le solicitó presentar sus observaciones al respecto</w:t>
      </w:r>
      <w:r w:rsidR="0083123C" w:rsidRPr="00142A36">
        <w:rPr>
          <w:rFonts w:cs="Verdana"/>
          <w:szCs w:val="20"/>
        </w:rPr>
        <w:t>, las cuales fueron remitidas de manera extemporánea</w:t>
      </w:r>
      <w:r w:rsidR="00142A36" w:rsidRPr="00142A36">
        <w:rPr>
          <w:rFonts w:cs="Verdana"/>
          <w:szCs w:val="20"/>
        </w:rPr>
        <w:t>.</w:t>
      </w:r>
      <w:r w:rsidR="008E2DCB" w:rsidRPr="00142A36">
        <w:rPr>
          <w:bCs/>
          <w:iCs/>
          <w:szCs w:val="20"/>
          <w:lang w:val="es-CR"/>
        </w:rPr>
        <w:t xml:space="preserve">  </w:t>
      </w:r>
    </w:p>
    <w:p w:rsidR="00D06252" w:rsidRPr="00142A36" w:rsidRDefault="008E2DCB" w:rsidP="00D06252">
      <w:pPr>
        <w:numPr>
          <w:ilvl w:val="0"/>
          <w:numId w:val="2"/>
        </w:numPr>
        <w:tabs>
          <w:tab w:val="clear" w:pos="720"/>
        </w:tabs>
        <w:autoSpaceDE w:val="0"/>
        <w:autoSpaceDN w:val="0"/>
        <w:adjustRightInd w:val="0"/>
        <w:rPr>
          <w:rFonts w:cs="Verdana"/>
          <w:szCs w:val="20"/>
          <w:lang w:val="es-CR"/>
        </w:rPr>
      </w:pPr>
      <w:r w:rsidRPr="00142A36">
        <w:rPr>
          <w:rFonts w:cs="Verdana"/>
          <w:szCs w:val="20"/>
        </w:rPr>
        <w:t>El Presidente recuerda que, de conformidad con el artículo 48.1.c del Reglamento, para que una recusación sobre esa base resulte procedente, es necesaria la concurrencia de dos supuestos: un vínculo determinado del perito con la parte proponente y que, adicionalmente, esa relación, a criterio del Tribunal, pudiera afectar su imparcialidad</w:t>
      </w:r>
      <w:r w:rsidRPr="00142A36">
        <w:rPr>
          <w:bCs/>
          <w:iCs/>
          <w:szCs w:val="20"/>
          <w:lang w:val="es-CR"/>
        </w:rPr>
        <w:t xml:space="preserve">. </w:t>
      </w:r>
      <w:r w:rsidR="00D06252" w:rsidRPr="00142A36">
        <w:rPr>
          <w:rFonts w:cs="Verdana"/>
          <w:szCs w:val="20"/>
          <w:lang w:val="es-CR"/>
        </w:rPr>
        <w:t xml:space="preserve">Asimismo, es pertinente recordar que este Tribunal ha establecido que aún cuando la declaración de un perito contuviera elementos que apoyan los argumentos de una de las partes, ello </w:t>
      </w:r>
      <w:r w:rsidR="00D06252" w:rsidRPr="00142A36">
        <w:rPr>
          <w:rFonts w:cs="Verdana"/>
          <w:i/>
          <w:iCs/>
          <w:szCs w:val="20"/>
          <w:lang w:val="es-CR"/>
        </w:rPr>
        <w:t>per se</w:t>
      </w:r>
      <w:r w:rsidR="00D06252" w:rsidRPr="00142A36">
        <w:rPr>
          <w:rFonts w:cs="Verdana"/>
          <w:szCs w:val="20"/>
          <w:lang w:val="es-CR"/>
        </w:rPr>
        <w:t xml:space="preserve"> no descalifica al perito</w:t>
      </w:r>
      <w:r w:rsidR="00D06252" w:rsidRPr="00142A36">
        <w:rPr>
          <w:rStyle w:val="FootnoteReference"/>
          <w:rFonts w:cs="Verdana"/>
          <w:szCs w:val="20"/>
          <w:lang w:val="es-CR"/>
        </w:rPr>
        <w:footnoteReference w:id="8"/>
      </w:r>
      <w:r w:rsidR="00D06252" w:rsidRPr="00142A36">
        <w:rPr>
          <w:rFonts w:cs="Verdana"/>
          <w:szCs w:val="20"/>
          <w:lang w:val="es-CR"/>
        </w:rPr>
        <w:t xml:space="preserve">. </w:t>
      </w:r>
    </w:p>
    <w:p w:rsidR="008E2DCB" w:rsidRPr="00142A36" w:rsidRDefault="008E2DCB" w:rsidP="002F624E">
      <w:pPr>
        <w:numPr>
          <w:ilvl w:val="0"/>
          <w:numId w:val="2"/>
        </w:numPr>
        <w:tabs>
          <w:tab w:val="clear" w:pos="720"/>
        </w:tabs>
        <w:autoSpaceDE w:val="0"/>
        <w:autoSpaceDN w:val="0"/>
        <w:adjustRightInd w:val="0"/>
        <w:rPr>
          <w:iCs/>
          <w:lang w:val="es-CR"/>
        </w:rPr>
      </w:pPr>
      <w:r w:rsidRPr="00142A36">
        <w:rPr>
          <w:bCs/>
          <w:iCs/>
          <w:szCs w:val="20"/>
          <w:lang w:val="es-CR"/>
        </w:rPr>
        <w:lastRenderedPageBreak/>
        <w:t xml:space="preserve">En el presente caso, </w:t>
      </w:r>
      <w:r w:rsidR="00F26B88" w:rsidRPr="00142A36">
        <w:rPr>
          <w:bCs/>
          <w:iCs/>
          <w:szCs w:val="20"/>
          <w:lang w:val="es-CR"/>
        </w:rPr>
        <w:t>esta Presidencia con</w:t>
      </w:r>
      <w:r w:rsidR="007D6BBA" w:rsidRPr="00142A36">
        <w:rPr>
          <w:bCs/>
          <w:iCs/>
          <w:szCs w:val="20"/>
          <w:lang w:val="es-CR"/>
        </w:rPr>
        <w:t>stata que</w:t>
      </w:r>
      <w:r w:rsidR="0048474B" w:rsidRPr="00142A36">
        <w:rPr>
          <w:bCs/>
          <w:iCs/>
          <w:szCs w:val="20"/>
          <w:lang w:val="es-CR"/>
        </w:rPr>
        <w:t>,</w:t>
      </w:r>
      <w:r w:rsidR="007D6BBA" w:rsidRPr="00142A36">
        <w:rPr>
          <w:bCs/>
          <w:iCs/>
          <w:szCs w:val="20"/>
          <w:lang w:val="es-CR"/>
        </w:rPr>
        <w:t xml:space="preserve"> de</w:t>
      </w:r>
      <w:r w:rsidR="001B04CA" w:rsidRPr="00142A36">
        <w:rPr>
          <w:bCs/>
          <w:iCs/>
          <w:szCs w:val="20"/>
          <w:lang w:val="es-CR"/>
        </w:rPr>
        <w:t xml:space="preserve"> la información presentada</w:t>
      </w:r>
      <w:r w:rsidR="007D6BBA" w:rsidRPr="00142A36">
        <w:rPr>
          <w:bCs/>
          <w:iCs/>
          <w:szCs w:val="20"/>
          <w:lang w:val="es-CR"/>
        </w:rPr>
        <w:t xml:space="preserve"> por el Estado como anexo</w:t>
      </w:r>
      <w:r w:rsidR="001B04CA" w:rsidRPr="00142A36">
        <w:rPr>
          <w:bCs/>
          <w:iCs/>
          <w:szCs w:val="20"/>
          <w:lang w:val="es-CR"/>
        </w:rPr>
        <w:t>s</w:t>
      </w:r>
      <w:r w:rsidR="007D6BBA" w:rsidRPr="00142A36">
        <w:rPr>
          <w:bCs/>
          <w:iCs/>
          <w:szCs w:val="20"/>
          <w:lang w:val="es-CR"/>
        </w:rPr>
        <w:t xml:space="preserve"> a s</w:t>
      </w:r>
      <w:r w:rsidR="0048474B" w:rsidRPr="00142A36">
        <w:rPr>
          <w:bCs/>
          <w:iCs/>
          <w:szCs w:val="20"/>
          <w:lang w:val="es-CR"/>
        </w:rPr>
        <w:t>u escrito de 9 de enero de 2015</w:t>
      </w:r>
      <w:r w:rsidR="007D6BBA" w:rsidRPr="00142A36">
        <w:rPr>
          <w:bCs/>
          <w:iCs/>
          <w:szCs w:val="20"/>
          <w:lang w:val="es-CR"/>
        </w:rPr>
        <w:t xml:space="preserve"> </w:t>
      </w:r>
      <w:r w:rsidR="0048474B" w:rsidRPr="00142A36">
        <w:rPr>
          <w:bCs/>
          <w:iCs/>
          <w:szCs w:val="20"/>
          <w:lang w:val="es-CR"/>
        </w:rPr>
        <w:t xml:space="preserve">- </w:t>
      </w:r>
      <w:r w:rsidR="001B04CA" w:rsidRPr="00142A36">
        <w:rPr>
          <w:bCs/>
          <w:iCs/>
          <w:szCs w:val="20"/>
          <w:lang w:val="es-CR"/>
        </w:rPr>
        <w:t xml:space="preserve">en particular de la página web del estudio jurídico </w:t>
      </w:r>
      <w:proofErr w:type="spellStart"/>
      <w:r w:rsidR="0048474B" w:rsidRPr="00142A36">
        <w:rPr>
          <w:bCs/>
          <w:iCs/>
          <w:szCs w:val="20"/>
          <w:lang w:val="es-CR"/>
        </w:rPr>
        <w:t>Rivadeneira</w:t>
      </w:r>
      <w:proofErr w:type="spellEnd"/>
      <w:r w:rsidR="0048474B" w:rsidRPr="00142A36">
        <w:rPr>
          <w:bCs/>
          <w:iCs/>
          <w:szCs w:val="20"/>
          <w:lang w:val="es-CR"/>
        </w:rPr>
        <w:t xml:space="preserve">, </w:t>
      </w:r>
      <w:proofErr w:type="spellStart"/>
      <w:r w:rsidR="0048474B" w:rsidRPr="00142A36">
        <w:rPr>
          <w:bCs/>
          <w:iCs/>
          <w:szCs w:val="20"/>
          <w:lang w:val="es-CR"/>
        </w:rPr>
        <w:t>Colombara</w:t>
      </w:r>
      <w:proofErr w:type="spellEnd"/>
      <w:r w:rsidR="0048474B" w:rsidRPr="00142A36">
        <w:rPr>
          <w:bCs/>
          <w:iCs/>
          <w:szCs w:val="20"/>
          <w:lang w:val="es-CR"/>
        </w:rPr>
        <w:t xml:space="preserve"> y </w:t>
      </w:r>
      <w:proofErr w:type="spellStart"/>
      <w:r w:rsidR="0048474B" w:rsidRPr="00142A36">
        <w:rPr>
          <w:bCs/>
          <w:iCs/>
          <w:szCs w:val="20"/>
          <w:lang w:val="es-CR"/>
        </w:rPr>
        <w:t>Zegers</w:t>
      </w:r>
      <w:proofErr w:type="spellEnd"/>
      <w:r w:rsidR="0048474B" w:rsidRPr="00142A36">
        <w:rPr>
          <w:bCs/>
          <w:iCs/>
          <w:szCs w:val="20"/>
          <w:lang w:val="es-CR"/>
        </w:rPr>
        <w:t xml:space="preserve"> -</w:t>
      </w:r>
      <w:r w:rsidR="001B04CA" w:rsidRPr="00142A36">
        <w:rPr>
          <w:bCs/>
          <w:iCs/>
          <w:szCs w:val="20"/>
          <w:lang w:val="es-CR"/>
        </w:rPr>
        <w:t xml:space="preserve"> </w:t>
      </w:r>
      <w:r w:rsidR="007D6BBA" w:rsidRPr="00142A36">
        <w:rPr>
          <w:bCs/>
          <w:iCs/>
          <w:szCs w:val="20"/>
          <w:lang w:val="es-CR"/>
        </w:rPr>
        <w:t xml:space="preserve">se desprende que el señor </w:t>
      </w:r>
      <w:proofErr w:type="spellStart"/>
      <w:r w:rsidR="007D6BBA" w:rsidRPr="00142A36">
        <w:rPr>
          <w:bCs/>
          <w:iCs/>
          <w:szCs w:val="20"/>
          <w:lang w:val="es-CR"/>
        </w:rPr>
        <w:t>Zegers</w:t>
      </w:r>
      <w:proofErr w:type="spellEnd"/>
      <w:r w:rsidR="007D6BBA" w:rsidRPr="00142A36">
        <w:rPr>
          <w:bCs/>
          <w:iCs/>
          <w:szCs w:val="20"/>
          <w:lang w:val="es-CR"/>
        </w:rPr>
        <w:t xml:space="preserve"> Reyes </w:t>
      </w:r>
      <w:r w:rsidR="001B04CA" w:rsidRPr="00142A36">
        <w:rPr>
          <w:bCs/>
          <w:iCs/>
          <w:szCs w:val="20"/>
          <w:lang w:val="es-CR"/>
        </w:rPr>
        <w:t>efectivamente es socio de dicho estudio jurídico</w:t>
      </w:r>
      <w:r w:rsidR="0048474B" w:rsidRPr="00142A36">
        <w:rPr>
          <w:bCs/>
          <w:iCs/>
          <w:szCs w:val="20"/>
          <w:lang w:val="es-CR"/>
        </w:rPr>
        <w:t>,</w:t>
      </w:r>
      <w:r w:rsidR="001B04CA" w:rsidRPr="00142A36">
        <w:rPr>
          <w:bCs/>
          <w:iCs/>
          <w:szCs w:val="20"/>
          <w:lang w:val="es-CR"/>
        </w:rPr>
        <w:t xml:space="preserve"> junto con el </w:t>
      </w:r>
      <w:r w:rsidR="00965DCF" w:rsidRPr="00142A36">
        <w:rPr>
          <w:bCs/>
          <w:iCs/>
          <w:szCs w:val="20"/>
          <w:lang w:val="es-CR"/>
        </w:rPr>
        <w:t>interviniente común</w:t>
      </w:r>
      <w:r w:rsidR="001B04CA" w:rsidRPr="00142A36">
        <w:rPr>
          <w:bCs/>
          <w:iCs/>
          <w:szCs w:val="20"/>
          <w:lang w:val="es-CR"/>
        </w:rPr>
        <w:t xml:space="preserve"> en este caso</w:t>
      </w:r>
      <w:r w:rsidR="007D6BBA" w:rsidRPr="00142A36">
        <w:rPr>
          <w:bCs/>
          <w:iCs/>
          <w:szCs w:val="20"/>
          <w:lang w:val="es-CR"/>
        </w:rPr>
        <w:t>, por lo que con</w:t>
      </w:r>
      <w:r w:rsidR="00F26B88" w:rsidRPr="00142A36">
        <w:rPr>
          <w:bCs/>
          <w:iCs/>
          <w:szCs w:val="20"/>
          <w:lang w:val="es-CR"/>
        </w:rPr>
        <w:t>sidera que</w:t>
      </w:r>
      <w:r w:rsidR="007D6BBA" w:rsidRPr="00142A36">
        <w:rPr>
          <w:bCs/>
          <w:i/>
          <w:iCs/>
          <w:szCs w:val="20"/>
          <w:lang w:val="es-CR"/>
        </w:rPr>
        <w:t xml:space="preserve"> </w:t>
      </w:r>
      <w:r w:rsidR="007D6BBA" w:rsidRPr="00142A36">
        <w:rPr>
          <w:bCs/>
          <w:iCs/>
          <w:szCs w:val="20"/>
          <w:lang w:val="es-CR"/>
        </w:rPr>
        <w:t xml:space="preserve">existe </w:t>
      </w:r>
      <w:r w:rsidRPr="00142A36">
        <w:rPr>
          <w:bCs/>
          <w:iCs/>
          <w:szCs w:val="20"/>
          <w:lang w:val="es-CR"/>
        </w:rPr>
        <w:t xml:space="preserve">un vínculo entre </w:t>
      </w:r>
      <w:r w:rsidR="00FC4045" w:rsidRPr="00142A36">
        <w:rPr>
          <w:bCs/>
          <w:iCs/>
          <w:szCs w:val="20"/>
          <w:lang w:val="es-CR"/>
        </w:rPr>
        <w:t>el perito propuesto y la parte que lo propone. El Presidente estima que dicho vínculo</w:t>
      </w:r>
      <w:r w:rsidR="00841203" w:rsidRPr="00142A36">
        <w:rPr>
          <w:bCs/>
          <w:iCs/>
          <w:szCs w:val="20"/>
          <w:lang w:val="es-CR"/>
        </w:rPr>
        <w:t xml:space="preserve">, por su </w:t>
      </w:r>
      <w:r w:rsidR="0048474B" w:rsidRPr="00142A36">
        <w:rPr>
          <w:bCs/>
          <w:iCs/>
          <w:szCs w:val="20"/>
          <w:lang w:val="es-CR"/>
        </w:rPr>
        <w:t xml:space="preserve">propia </w:t>
      </w:r>
      <w:r w:rsidR="00841203" w:rsidRPr="00142A36">
        <w:rPr>
          <w:bCs/>
          <w:iCs/>
          <w:szCs w:val="20"/>
          <w:lang w:val="es-CR"/>
        </w:rPr>
        <w:t>naturaleza,</w:t>
      </w:r>
      <w:r w:rsidR="00FC4045" w:rsidRPr="00142A36">
        <w:rPr>
          <w:bCs/>
          <w:iCs/>
          <w:szCs w:val="20"/>
          <w:lang w:val="es-CR"/>
        </w:rPr>
        <w:t xml:space="preserve"> </w:t>
      </w:r>
      <w:r w:rsidRPr="00142A36">
        <w:rPr>
          <w:bCs/>
          <w:iCs/>
          <w:szCs w:val="20"/>
          <w:lang w:val="es-CR"/>
        </w:rPr>
        <w:t xml:space="preserve">puede afectar </w:t>
      </w:r>
      <w:r w:rsidR="00FC4045" w:rsidRPr="00142A36">
        <w:rPr>
          <w:bCs/>
          <w:iCs/>
          <w:szCs w:val="20"/>
          <w:lang w:val="es-CR"/>
        </w:rPr>
        <w:t>la</w:t>
      </w:r>
      <w:r w:rsidRPr="00142A36">
        <w:rPr>
          <w:bCs/>
          <w:iCs/>
          <w:szCs w:val="20"/>
          <w:lang w:val="es-CR"/>
        </w:rPr>
        <w:t xml:space="preserve"> imparcialidad </w:t>
      </w:r>
      <w:r w:rsidR="00FC4045" w:rsidRPr="00142A36">
        <w:rPr>
          <w:bCs/>
          <w:iCs/>
          <w:szCs w:val="20"/>
          <w:lang w:val="es-CR"/>
        </w:rPr>
        <w:t>del perito propuesto, por lo que acepta</w:t>
      </w:r>
      <w:r w:rsidRPr="00142A36">
        <w:rPr>
          <w:bCs/>
          <w:iCs/>
          <w:szCs w:val="20"/>
          <w:lang w:val="es-CR"/>
        </w:rPr>
        <w:t xml:space="preserve"> la recusación formulada por el Estado en contra </w:t>
      </w:r>
      <w:r w:rsidR="0048474B" w:rsidRPr="00142A36">
        <w:rPr>
          <w:bCs/>
          <w:iCs/>
          <w:szCs w:val="20"/>
          <w:lang w:val="es-CR"/>
        </w:rPr>
        <w:t xml:space="preserve">del señor </w:t>
      </w:r>
      <w:proofErr w:type="spellStart"/>
      <w:r w:rsidR="0048474B" w:rsidRPr="00142A36">
        <w:rPr>
          <w:bCs/>
          <w:iCs/>
          <w:szCs w:val="20"/>
          <w:lang w:val="es-CR"/>
        </w:rPr>
        <w:t>Zegers</w:t>
      </w:r>
      <w:proofErr w:type="spellEnd"/>
      <w:r w:rsidR="0048474B" w:rsidRPr="00142A36">
        <w:rPr>
          <w:bCs/>
          <w:iCs/>
          <w:szCs w:val="20"/>
          <w:lang w:val="es-CR"/>
        </w:rPr>
        <w:t xml:space="preserve"> Reyes </w:t>
      </w:r>
      <w:r w:rsidRPr="00142A36">
        <w:rPr>
          <w:iCs/>
        </w:rPr>
        <w:t xml:space="preserve">y </w:t>
      </w:r>
      <w:r w:rsidR="00FC4045" w:rsidRPr="00142A36">
        <w:rPr>
          <w:iCs/>
        </w:rPr>
        <w:t xml:space="preserve">no admite esta prueba pericial ofrecida por el </w:t>
      </w:r>
      <w:r w:rsidR="00965DCF" w:rsidRPr="00142A36">
        <w:rPr>
          <w:iCs/>
        </w:rPr>
        <w:t>interviniente común</w:t>
      </w:r>
      <w:r w:rsidRPr="00142A36">
        <w:rPr>
          <w:iCs/>
        </w:rPr>
        <w:t>.</w:t>
      </w:r>
      <w:r w:rsidR="00561D95" w:rsidRPr="00142A36">
        <w:rPr>
          <w:iCs/>
        </w:rPr>
        <w:t xml:space="preserve"> </w:t>
      </w:r>
    </w:p>
    <w:p w:rsidR="00132A54" w:rsidRPr="00142A36" w:rsidRDefault="00132A54" w:rsidP="00132A54">
      <w:pPr>
        <w:pStyle w:val="ListParagraph1"/>
        <w:numPr>
          <w:ilvl w:val="0"/>
          <w:numId w:val="33"/>
        </w:numPr>
        <w:spacing w:before="240" w:after="120"/>
        <w:ind w:right="11"/>
        <w:jc w:val="both"/>
        <w:rPr>
          <w:rFonts w:ascii="Verdana" w:hAnsi="Verdana"/>
          <w:b/>
          <w:i/>
          <w:sz w:val="20"/>
          <w:szCs w:val="20"/>
        </w:rPr>
      </w:pPr>
      <w:r w:rsidRPr="00142A36">
        <w:rPr>
          <w:rFonts w:ascii="Verdana" w:hAnsi="Verdana" w:cs="Verdana"/>
          <w:b/>
          <w:bCs/>
          <w:i/>
          <w:iCs/>
          <w:sz w:val="20"/>
          <w:szCs w:val="20"/>
        </w:rPr>
        <w:t>Prueba</w:t>
      </w:r>
      <w:r w:rsidRPr="00142A36">
        <w:rPr>
          <w:rFonts w:ascii="Verdana" w:hAnsi="Verdana"/>
          <w:b/>
          <w:i/>
          <w:sz w:val="20"/>
          <w:szCs w:val="20"/>
        </w:rPr>
        <w:t xml:space="preserve"> testimonial y pericial ofrecida por el interviniente común</w:t>
      </w:r>
    </w:p>
    <w:p w:rsidR="00DE1766" w:rsidRPr="00142A36" w:rsidRDefault="0063747A" w:rsidP="00132A54">
      <w:pPr>
        <w:numPr>
          <w:ilvl w:val="0"/>
          <w:numId w:val="2"/>
        </w:numPr>
        <w:tabs>
          <w:tab w:val="clear" w:pos="720"/>
        </w:tabs>
        <w:autoSpaceDE w:val="0"/>
        <w:autoSpaceDN w:val="0"/>
        <w:adjustRightInd w:val="0"/>
        <w:rPr>
          <w:rFonts w:cs="Verdana"/>
          <w:iCs/>
          <w:szCs w:val="20"/>
          <w:lang w:bidi="en-US"/>
        </w:rPr>
      </w:pPr>
      <w:r w:rsidRPr="00142A36">
        <w:rPr>
          <w:bCs/>
          <w:szCs w:val="20"/>
        </w:rPr>
        <w:t>Esta Presidencia se refirió anteriormente (</w:t>
      </w:r>
      <w:r w:rsidRPr="00142A36">
        <w:rPr>
          <w:bCs/>
          <w:i/>
          <w:szCs w:val="20"/>
        </w:rPr>
        <w:t>supra</w:t>
      </w:r>
      <w:r w:rsidRPr="00142A36">
        <w:rPr>
          <w:bCs/>
          <w:szCs w:val="20"/>
        </w:rPr>
        <w:t xml:space="preserve"> Considerando 14) al peritaje propuesto del señor </w:t>
      </w:r>
      <w:proofErr w:type="spellStart"/>
      <w:r w:rsidRPr="00142A36">
        <w:rPr>
          <w:bCs/>
          <w:szCs w:val="20"/>
        </w:rPr>
        <w:t>Zegers</w:t>
      </w:r>
      <w:proofErr w:type="spellEnd"/>
      <w:r w:rsidRPr="00142A36">
        <w:rPr>
          <w:bCs/>
          <w:szCs w:val="20"/>
        </w:rPr>
        <w:t xml:space="preserve"> Reyes. Además de dicho peritaje, el interviniente común, en su escrito de solicitudes y argumentos, ofreció el dictamen pericial del señor Danny </w:t>
      </w:r>
      <w:proofErr w:type="spellStart"/>
      <w:r w:rsidRPr="00142A36">
        <w:rPr>
          <w:bCs/>
          <w:szCs w:val="20"/>
        </w:rPr>
        <w:t>Monsalvez</w:t>
      </w:r>
      <w:proofErr w:type="spellEnd"/>
      <w:r w:rsidRPr="00142A36">
        <w:rPr>
          <w:bCs/>
          <w:szCs w:val="20"/>
        </w:rPr>
        <w:t xml:space="preserve"> </w:t>
      </w:r>
      <w:proofErr w:type="spellStart"/>
      <w:r w:rsidRPr="00142A36">
        <w:rPr>
          <w:bCs/>
          <w:szCs w:val="20"/>
        </w:rPr>
        <w:t>Araneda</w:t>
      </w:r>
      <w:proofErr w:type="spellEnd"/>
      <w:r w:rsidRPr="00142A36">
        <w:rPr>
          <w:bCs/>
          <w:szCs w:val="20"/>
        </w:rPr>
        <w:t xml:space="preserve">, el cual versaría sobre el “contexto histórico en que se desarrollaron los Consejos de Guerra y los efectos que éstos generaron”. Por otro lado, ofreció las declaraciones de dos testigos, los señores Jorge Dixon Rojas y Fernando Villagrán, así como las declaraciones de las presuntas víctimas </w:t>
      </w:r>
      <w:r w:rsidRPr="00142A36">
        <w:rPr>
          <w:rFonts w:cs="Verdana"/>
          <w:iCs/>
          <w:szCs w:val="20"/>
          <w:lang w:bidi="en-US"/>
        </w:rPr>
        <w:t xml:space="preserve">Álvaro </w:t>
      </w:r>
      <w:proofErr w:type="spellStart"/>
      <w:r w:rsidRPr="00142A36">
        <w:rPr>
          <w:rFonts w:cs="Verdana"/>
          <w:iCs/>
          <w:szCs w:val="20"/>
          <w:lang w:bidi="en-US"/>
        </w:rPr>
        <w:t>Yañez</w:t>
      </w:r>
      <w:proofErr w:type="spellEnd"/>
      <w:r w:rsidRPr="00142A36">
        <w:rPr>
          <w:rFonts w:cs="Verdana"/>
          <w:iCs/>
          <w:szCs w:val="20"/>
          <w:lang w:bidi="en-US"/>
        </w:rPr>
        <w:t xml:space="preserve"> del Villar, </w:t>
      </w:r>
      <w:r w:rsidRPr="00142A36">
        <w:rPr>
          <w:szCs w:val="20"/>
        </w:rPr>
        <w:t xml:space="preserve">Omar Maldonado Vargas, Víctor Hugo </w:t>
      </w:r>
      <w:proofErr w:type="spellStart"/>
      <w:r w:rsidRPr="00142A36">
        <w:rPr>
          <w:szCs w:val="20"/>
        </w:rPr>
        <w:t>Adriazola</w:t>
      </w:r>
      <w:proofErr w:type="spellEnd"/>
      <w:r w:rsidRPr="00142A36">
        <w:rPr>
          <w:szCs w:val="20"/>
        </w:rPr>
        <w:t xml:space="preserve"> Meza, </w:t>
      </w:r>
      <w:proofErr w:type="spellStart"/>
      <w:r w:rsidRPr="00142A36">
        <w:rPr>
          <w:szCs w:val="20"/>
        </w:rPr>
        <w:t>Ivar</w:t>
      </w:r>
      <w:proofErr w:type="spellEnd"/>
      <w:r w:rsidRPr="00142A36">
        <w:rPr>
          <w:szCs w:val="20"/>
        </w:rPr>
        <w:t xml:space="preserve"> Rojas </w:t>
      </w:r>
      <w:proofErr w:type="spellStart"/>
      <w:r w:rsidRPr="00142A36">
        <w:rPr>
          <w:szCs w:val="20"/>
        </w:rPr>
        <w:t>Ravanal</w:t>
      </w:r>
      <w:proofErr w:type="spellEnd"/>
      <w:r w:rsidRPr="00142A36">
        <w:rPr>
          <w:szCs w:val="20"/>
        </w:rPr>
        <w:t xml:space="preserve">, Jaime Donoso Parra, </w:t>
      </w:r>
      <w:r w:rsidRPr="00E5523B">
        <w:rPr>
          <w:szCs w:val="20"/>
        </w:rPr>
        <w:t>Gustavo Raúl Lastra Saavedra</w:t>
      </w:r>
      <w:r>
        <w:rPr>
          <w:szCs w:val="20"/>
        </w:rPr>
        <w:t>,</w:t>
      </w:r>
      <w:r w:rsidRPr="00E5523B">
        <w:rPr>
          <w:szCs w:val="20"/>
        </w:rPr>
        <w:t xml:space="preserve"> </w:t>
      </w:r>
      <w:r w:rsidRPr="00142A36">
        <w:rPr>
          <w:szCs w:val="20"/>
        </w:rPr>
        <w:t xml:space="preserve">Alberto Bustamante Rojas, Ernesto Galaz Guzmán, Mario Cornejo Barahona, Manuel López </w:t>
      </w:r>
      <w:proofErr w:type="spellStart"/>
      <w:r w:rsidRPr="00142A36">
        <w:rPr>
          <w:szCs w:val="20"/>
        </w:rPr>
        <w:t>Oyanedel</w:t>
      </w:r>
      <w:proofErr w:type="spellEnd"/>
      <w:r w:rsidRPr="00142A36">
        <w:rPr>
          <w:szCs w:val="20"/>
        </w:rPr>
        <w:t xml:space="preserve">, Mario González Rifo, </w:t>
      </w:r>
      <w:r w:rsidRPr="00142A36">
        <w:rPr>
          <w:rFonts w:cs="Verdana"/>
          <w:iCs/>
          <w:szCs w:val="20"/>
          <w:lang w:bidi="en-US"/>
        </w:rPr>
        <w:t xml:space="preserve">Marta </w:t>
      </w:r>
      <w:proofErr w:type="spellStart"/>
      <w:r w:rsidRPr="00142A36">
        <w:rPr>
          <w:rFonts w:cs="Verdana"/>
          <w:iCs/>
          <w:szCs w:val="20"/>
          <w:lang w:bidi="en-US"/>
        </w:rPr>
        <w:t>Bastías</w:t>
      </w:r>
      <w:proofErr w:type="spellEnd"/>
      <w:r w:rsidRPr="00142A36">
        <w:rPr>
          <w:rFonts w:cs="Verdana"/>
          <w:iCs/>
          <w:szCs w:val="20"/>
          <w:lang w:bidi="en-US"/>
        </w:rPr>
        <w:t xml:space="preserve">, Julio </w:t>
      </w:r>
      <w:proofErr w:type="spellStart"/>
      <w:r w:rsidRPr="00142A36">
        <w:rPr>
          <w:rFonts w:cs="Verdana"/>
          <w:iCs/>
          <w:szCs w:val="20"/>
          <w:lang w:bidi="en-US"/>
        </w:rPr>
        <w:t>Galaz</w:t>
      </w:r>
      <w:proofErr w:type="spellEnd"/>
      <w:r w:rsidRPr="00142A36">
        <w:rPr>
          <w:rFonts w:cs="Verdana"/>
          <w:iCs/>
          <w:szCs w:val="20"/>
          <w:lang w:bidi="en-US"/>
        </w:rPr>
        <w:t xml:space="preserve"> Romero, Patricia Galaz Cañas, Silvia Galaz Cañas, Mauricio </w:t>
      </w:r>
      <w:proofErr w:type="spellStart"/>
      <w:r w:rsidRPr="00142A36">
        <w:rPr>
          <w:rFonts w:cs="Verdana"/>
          <w:iCs/>
          <w:szCs w:val="20"/>
          <w:lang w:bidi="en-US"/>
        </w:rPr>
        <w:t>Galaz</w:t>
      </w:r>
      <w:proofErr w:type="spellEnd"/>
      <w:r w:rsidRPr="00142A36">
        <w:rPr>
          <w:rFonts w:cs="Verdana"/>
          <w:iCs/>
          <w:szCs w:val="20"/>
          <w:lang w:bidi="en-US"/>
        </w:rPr>
        <w:t xml:space="preserve"> Romero, y </w:t>
      </w:r>
      <w:proofErr w:type="spellStart"/>
      <w:r w:rsidRPr="00142A36">
        <w:rPr>
          <w:rFonts w:cs="Verdana"/>
          <w:iCs/>
          <w:szCs w:val="20"/>
          <w:lang w:bidi="en-US"/>
        </w:rPr>
        <w:t>Marilyn</w:t>
      </w:r>
      <w:proofErr w:type="spellEnd"/>
      <w:r w:rsidRPr="00142A36">
        <w:rPr>
          <w:rFonts w:cs="Verdana"/>
          <w:iCs/>
          <w:szCs w:val="20"/>
          <w:lang w:bidi="en-US"/>
        </w:rPr>
        <w:t xml:space="preserve"> </w:t>
      </w:r>
      <w:proofErr w:type="spellStart"/>
      <w:r w:rsidRPr="00142A36">
        <w:rPr>
          <w:rFonts w:cs="Verdana"/>
          <w:iCs/>
          <w:szCs w:val="20"/>
          <w:lang w:bidi="en-US"/>
        </w:rPr>
        <w:t>Constanzo</w:t>
      </w:r>
      <w:proofErr w:type="spellEnd"/>
      <w:r w:rsidRPr="00142A36">
        <w:rPr>
          <w:rFonts w:cs="Verdana"/>
          <w:iCs/>
          <w:szCs w:val="20"/>
          <w:lang w:bidi="en-US"/>
        </w:rPr>
        <w:t xml:space="preserve"> Villegas</w:t>
      </w:r>
      <w:r w:rsidR="001907D5">
        <w:rPr>
          <w:rStyle w:val="FootnoteReference"/>
          <w:rFonts w:cs="Verdana"/>
          <w:iCs/>
          <w:szCs w:val="20"/>
          <w:lang w:bidi="en-US"/>
        </w:rPr>
        <w:footnoteReference w:id="9"/>
      </w:r>
      <w:r w:rsidRPr="00142A36">
        <w:rPr>
          <w:rFonts w:cs="Verdana"/>
          <w:iCs/>
          <w:szCs w:val="20"/>
          <w:lang w:bidi="en-US"/>
        </w:rPr>
        <w:t>. El interviniente común indicó respecto de los últimos seis declarantes que los mismos serían familiares y constituirían a su vez presuntas víctimas en este caso. Todas las referidas declaraciones fueron reiteradas por el interviniente común en su lista definitiva de declarantes</w:t>
      </w:r>
      <w:r w:rsidR="00DE1766" w:rsidRPr="00142A36">
        <w:rPr>
          <w:rFonts w:cs="Verdana"/>
          <w:iCs/>
          <w:szCs w:val="20"/>
          <w:lang w:bidi="en-US"/>
        </w:rPr>
        <w:t>.</w:t>
      </w:r>
    </w:p>
    <w:p w:rsidR="00132A54" w:rsidRPr="00142A36" w:rsidRDefault="00132A54" w:rsidP="00132A54">
      <w:pPr>
        <w:numPr>
          <w:ilvl w:val="0"/>
          <w:numId w:val="2"/>
        </w:numPr>
        <w:tabs>
          <w:tab w:val="clear" w:pos="720"/>
        </w:tabs>
        <w:autoSpaceDE w:val="0"/>
        <w:autoSpaceDN w:val="0"/>
        <w:adjustRightInd w:val="0"/>
        <w:rPr>
          <w:rFonts w:cs="Verdana"/>
          <w:iCs/>
          <w:szCs w:val="20"/>
          <w:lang w:bidi="en-US"/>
        </w:rPr>
      </w:pPr>
      <w:r w:rsidRPr="00142A36">
        <w:rPr>
          <w:rFonts w:cs="Verdana"/>
          <w:iCs/>
          <w:szCs w:val="20"/>
          <w:lang w:bidi="en-US"/>
        </w:rPr>
        <w:t xml:space="preserve">La Comisión y el Estado no formularon observaciones al respecto. </w:t>
      </w:r>
    </w:p>
    <w:p w:rsidR="00132A54" w:rsidRPr="00142A36" w:rsidRDefault="00132A54" w:rsidP="00132A54">
      <w:pPr>
        <w:numPr>
          <w:ilvl w:val="0"/>
          <w:numId w:val="2"/>
        </w:numPr>
        <w:tabs>
          <w:tab w:val="clear" w:pos="720"/>
        </w:tabs>
        <w:autoSpaceDE w:val="0"/>
        <w:autoSpaceDN w:val="0"/>
        <w:adjustRightInd w:val="0"/>
        <w:rPr>
          <w:rFonts w:cs="Verdana"/>
          <w:iCs/>
          <w:szCs w:val="20"/>
          <w:lang w:bidi="en-US"/>
        </w:rPr>
      </w:pPr>
      <w:r w:rsidRPr="00142A36">
        <w:rPr>
          <w:rFonts w:cs="Verdana"/>
          <w:iCs/>
          <w:szCs w:val="20"/>
          <w:lang w:bidi="en-US"/>
        </w:rPr>
        <w:t xml:space="preserve"> </w:t>
      </w:r>
      <w:r w:rsidRPr="00142A36">
        <w:rPr>
          <w:rFonts w:cs="Verdana"/>
          <w:szCs w:val="20"/>
          <w:lang w:bidi="en-US"/>
        </w:rPr>
        <w:t xml:space="preserve">Con respecto al objeto del dictamen pericial del señor </w:t>
      </w:r>
      <w:proofErr w:type="spellStart"/>
      <w:r w:rsidRPr="00142A36">
        <w:rPr>
          <w:bCs/>
          <w:szCs w:val="20"/>
        </w:rPr>
        <w:t>Monsalvez</w:t>
      </w:r>
      <w:proofErr w:type="spellEnd"/>
      <w:r w:rsidRPr="00142A36">
        <w:rPr>
          <w:bCs/>
          <w:szCs w:val="20"/>
        </w:rPr>
        <w:t xml:space="preserve"> </w:t>
      </w:r>
      <w:proofErr w:type="spellStart"/>
      <w:r w:rsidRPr="00142A36">
        <w:rPr>
          <w:bCs/>
          <w:szCs w:val="20"/>
        </w:rPr>
        <w:t>Araneda</w:t>
      </w:r>
      <w:proofErr w:type="spellEnd"/>
      <w:r w:rsidR="007F04C8" w:rsidRPr="00142A36">
        <w:rPr>
          <w:bCs/>
          <w:szCs w:val="20"/>
        </w:rPr>
        <w:t xml:space="preserve"> y de las declaraciones testimoniales ofrecidas</w:t>
      </w:r>
      <w:r w:rsidRPr="00142A36">
        <w:rPr>
          <w:bCs/>
          <w:szCs w:val="20"/>
        </w:rPr>
        <w:t xml:space="preserve">, el Presidente considera que </w:t>
      </w:r>
      <w:r w:rsidR="007F04C8" w:rsidRPr="00142A36">
        <w:rPr>
          <w:bCs/>
          <w:szCs w:val="20"/>
        </w:rPr>
        <w:t>las referidas declaracio</w:t>
      </w:r>
      <w:r w:rsidRPr="00142A36">
        <w:rPr>
          <w:bCs/>
          <w:szCs w:val="20"/>
        </w:rPr>
        <w:t>n</w:t>
      </w:r>
      <w:r w:rsidR="007F04C8" w:rsidRPr="00142A36">
        <w:rPr>
          <w:bCs/>
          <w:szCs w:val="20"/>
        </w:rPr>
        <w:t>es</w:t>
      </w:r>
      <w:r w:rsidRPr="00142A36">
        <w:rPr>
          <w:bCs/>
          <w:szCs w:val="20"/>
        </w:rPr>
        <w:t xml:space="preserve"> puede</w:t>
      </w:r>
      <w:r w:rsidR="007F04C8" w:rsidRPr="00142A36">
        <w:rPr>
          <w:bCs/>
          <w:szCs w:val="20"/>
        </w:rPr>
        <w:t>n</w:t>
      </w:r>
      <w:r w:rsidRPr="00142A36">
        <w:rPr>
          <w:bCs/>
          <w:szCs w:val="20"/>
        </w:rPr>
        <w:t xml:space="preserve"> ser útil y pertinente para el análisis de este caso. Asimismo,</w:t>
      </w:r>
      <w:r w:rsidRPr="00142A36">
        <w:rPr>
          <w:rFonts w:cs="Verdana"/>
          <w:szCs w:val="20"/>
          <w:lang w:bidi="en-US"/>
        </w:rPr>
        <w:t xml:space="preserve"> respecto de las declaraciones de las presuntas víctimas, </w:t>
      </w:r>
      <w:r w:rsidRPr="00142A36">
        <w:rPr>
          <w:bCs/>
          <w:iCs/>
          <w:szCs w:val="20"/>
        </w:rPr>
        <w:t xml:space="preserve">el Presidente estima oportuno recordar que la Corte ha destacado la utilidad de dichas declaraciones en la medida en que pueden proporcionar mayor información sobre las violaciones alegadas y sus consecuencias. Además, este Tribunal ha resaltado que éstas pueden informar a la Corte sobre las </w:t>
      </w:r>
      <w:r w:rsidRPr="00142A36">
        <w:rPr>
          <w:bCs/>
          <w:szCs w:val="20"/>
        </w:rPr>
        <w:t>medidas</w:t>
      </w:r>
      <w:r w:rsidRPr="00142A36">
        <w:rPr>
          <w:bCs/>
          <w:iCs/>
          <w:szCs w:val="20"/>
        </w:rPr>
        <w:t xml:space="preserve"> de reparación que eventualmente, en su caso, </w:t>
      </w:r>
      <w:r w:rsidR="00E01479" w:rsidRPr="00142A36">
        <w:rPr>
          <w:bCs/>
          <w:iCs/>
          <w:szCs w:val="20"/>
        </w:rPr>
        <w:t>podría eventualmente llegar a</w:t>
      </w:r>
      <w:r w:rsidRPr="00142A36">
        <w:rPr>
          <w:bCs/>
          <w:iCs/>
          <w:szCs w:val="20"/>
        </w:rPr>
        <w:t xml:space="preserve"> ordenar este Tribunal</w:t>
      </w:r>
      <w:r w:rsidRPr="00142A36">
        <w:rPr>
          <w:rStyle w:val="FootnoteReference"/>
          <w:bCs/>
          <w:iCs/>
          <w:szCs w:val="20"/>
        </w:rPr>
        <w:footnoteReference w:id="10"/>
      </w:r>
      <w:r w:rsidRPr="00142A36">
        <w:rPr>
          <w:bCs/>
          <w:iCs/>
          <w:szCs w:val="20"/>
        </w:rPr>
        <w:t xml:space="preserve">. </w:t>
      </w:r>
    </w:p>
    <w:p w:rsidR="007F04C8" w:rsidRPr="00142A36" w:rsidRDefault="00132A54" w:rsidP="00E01479">
      <w:pPr>
        <w:numPr>
          <w:ilvl w:val="0"/>
          <w:numId w:val="2"/>
        </w:numPr>
        <w:tabs>
          <w:tab w:val="clear" w:pos="720"/>
        </w:tabs>
        <w:autoSpaceDE w:val="0"/>
        <w:autoSpaceDN w:val="0"/>
        <w:adjustRightInd w:val="0"/>
        <w:rPr>
          <w:rFonts w:cs="Verdana"/>
          <w:iCs/>
          <w:szCs w:val="20"/>
          <w:lang w:bidi="en-US"/>
        </w:rPr>
      </w:pPr>
      <w:r w:rsidRPr="00142A36">
        <w:rPr>
          <w:szCs w:val="20"/>
          <w:lang w:bidi="en-US"/>
        </w:rPr>
        <w:t xml:space="preserve">En razón de lo anterior, esta Presidencia </w:t>
      </w:r>
      <w:r w:rsidRPr="00142A36">
        <w:rPr>
          <w:bCs/>
          <w:iCs/>
          <w:szCs w:val="20"/>
        </w:rPr>
        <w:t xml:space="preserve">estima pertinente admitir la referida prueba ofrecida por </w:t>
      </w:r>
      <w:r w:rsidR="007F04C8" w:rsidRPr="00142A36">
        <w:rPr>
          <w:bCs/>
          <w:iCs/>
          <w:szCs w:val="20"/>
        </w:rPr>
        <w:t>e</w:t>
      </w:r>
      <w:r w:rsidRPr="00142A36">
        <w:rPr>
          <w:bCs/>
          <w:iCs/>
          <w:szCs w:val="20"/>
        </w:rPr>
        <w:t>l interviniente común, según el objeto y modalidad determinados en la parte resolutiva de la presente Resolución (</w:t>
      </w:r>
      <w:r w:rsidRPr="00142A36">
        <w:rPr>
          <w:bCs/>
          <w:i/>
          <w:iCs/>
          <w:szCs w:val="20"/>
        </w:rPr>
        <w:t>infra</w:t>
      </w:r>
      <w:r w:rsidRPr="00142A36">
        <w:rPr>
          <w:bCs/>
          <w:iCs/>
          <w:szCs w:val="20"/>
        </w:rPr>
        <w:t xml:space="preserve"> punto resolutivo </w:t>
      </w:r>
      <w:r w:rsidR="00002E9E" w:rsidRPr="00142A36">
        <w:rPr>
          <w:bCs/>
          <w:iCs/>
          <w:szCs w:val="20"/>
        </w:rPr>
        <w:t>1</w:t>
      </w:r>
      <w:r w:rsidRPr="00142A36">
        <w:rPr>
          <w:bCs/>
          <w:iCs/>
          <w:szCs w:val="20"/>
        </w:rPr>
        <w:t xml:space="preserve">). </w:t>
      </w:r>
      <w:r w:rsidR="007F04C8" w:rsidRPr="00142A36">
        <w:rPr>
          <w:bCs/>
          <w:iCs/>
          <w:szCs w:val="20"/>
        </w:rPr>
        <w:t xml:space="preserve">El valor de la misma será determinado en la debida oportunidad, dentro del contexto del acervo probatorio existente y según las reglas de la sana crítica. </w:t>
      </w:r>
    </w:p>
    <w:p w:rsidR="00E96CCE" w:rsidRPr="00142A36" w:rsidRDefault="008D186F" w:rsidP="00922CB8">
      <w:pPr>
        <w:numPr>
          <w:ilvl w:val="0"/>
          <w:numId w:val="2"/>
        </w:numPr>
        <w:tabs>
          <w:tab w:val="clear" w:pos="720"/>
        </w:tabs>
        <w:autoSpaceDE w:val="0"/>
        <w:autoSpaceDN w:val="0"/>
        <w:adjustRightInd w:val="0"/>
        <w:rPr>
          <w:szCs w:val="20"/>
        </w:rPr>
      </w:pPr>
      <w:r w:rsidRPr="00142A36">
        <w:rPr>
          <w:rFonts w:cs="Arial"/>
          <w:szCs w:val="20"/>
        </w:rPr>
        <w:t xml:space="preserve">Adicionalmente, </w:t>
      </w:r>
      <w:r w:rsidR="00715446" w:rsidRPr="00142A36">
        <w:rPr>
          <w:rFonts w:cs="Arial"/>
          <w:szCs w:val="20"/>
        </w:rPr>
        <w:t xml:space="preserve">el Presidente constata que </w:t>
      </w:r>
      <w:r w:rsidR="007F04C8" w:rsidRPr="00142A36">
        <w:rPr>
          <w:rFonts w:cs="Arial"/>
          <w:szCs w:val="20"/>
        </w:rPr>
        <w:t>los objetos de las declaraciones de las once presuntas víctimas</w:t>
      </w:r>
      <w:r w:rsidR="008B4D46" w:rsidRPr="00142A36">
        <w:rPr>
          <w:rFonts w:cs="Arial"/>
          <w:szCs w:val="20"/>
        </w:rPr>
        <w:t xml:space="preserve"> </w:t>
      </w:r>
      <w:r w:rsidR="00715446" w:rsidRPr="00142A36">
        <w:rPr>
          <w:rFonts w:cs="Arial"/>
          <w:szCs w:val="20"/>
        </w:rPr>
        <w:t xml:space="preserve">indicados en </w:t>
      </w:r>
      <w:r w:rsidR="007F04C8" w:rsidRPr="00142A36">
        <w:rPr>
          <w:rFonts w:cs="Arial"/>
          <w:szCs w:val="20"/>
        </w:rPr>
        <w:t>el escrito de solicitudes y argumentos fueron modificados en la lista definitiva de declarantes</w:t>
      </w:r>
      <w:r w:rsidR="00E96CCE" w:rsidRPr="00142A36">
        <w:rPr>
          <w:rFonts w:cs="Arial"/>
          <w:szCs w:val="20"/>
        </w:rPr>
        <w:t xml:space="preserve"> presentada por el interviniente común</w:t>
      </w:r>
      <w:r w:rsidR="00FF21DC" w:rsidRPr="00142A36">
        <w:rPr>
          <w:rStyle w:val="FootnoteReference"/>
          <w:rFonts w:cs="Arial"/>
          <w:szCs w:val="20"/>
        </w:rPr>
        <w:footnoteReference w:id="11"/>
      </w:r>
      <w:r w:rsidR="007F04C8" w:rsidRPr="00142A36">
        <w:rPr>
          <w:rFonts w:cs="Arial"/>
          <w:szCs w:val="20"/>
        </w:rPr>
        <w:t xml:space="preserve">. </w:t>
      </w:r>
      <w:r w:rsidR="00E96CCE" w:rsidRPr="00142A36">
        <w:rPr>
          <w:rFonts w:cs="Arial"/>
          <w:szCs w:val="20"/>
        </w:rPr>
        <w:t xml:space="preserve">Ni la Comisión ni el </w:t>
      </w:r>
      <w:r w:rsidR="00E96CCE" w:rsidRPr="00142A36">
        <w:rPr>
          <w:rFonts w:cs="Arial"/>
          <w:szCs w:val="20"/>
        </w:rPr>
        <w:lastRenderedPageBreak/>
        <w:t>Estado presentaron observaciones al respecto. El Presidente estima que las modificaciones no constituyen una ampliación sustancial del objeto, motivo por el cual acepta los cambios</w:t>
      </w:r>
      <w:r w:rsidR="00E96CCE" w:rsidRPr="00142A36">
        <w:rPr>
          <w:rStyle w:val="FootnoteReference"/>
          <w:szCs w:val="20"/>
        </w:rPr>
        <w:footnoteReference w:id="12"/>
      </w:r>
      <w:r w:rsidR="00E96CCE" w:rsidRPr="00142A36">
        <w:rPr>
          <w:rFonts w:cs="Arial"/>
          <w:szCs w:val="20"/>
        </w:rPr>
        <w:t xml:space="preserve">. </w:t>
      </w:r>
    </w:p>
    <w:p w:rsidR="007F04C8" w:rsidRPr="003F1B95" w:rsidRDefault="006B6DA4" w:rsidP="00922CB8">
      <w:pPr>
        <w:numPr>
          <w:ilvl w:val="0"/>
          <w:numId w:val="2"/>
        </w:numPr>
        <w:tabs>
          <w:tab w:val="clear" w:pos="720"/>
        </w:tabs>
        <w:autoSpaceDE w:val="0"/>
        <w:autoSpaceDN w:val="0"/>
        <w:adjustRightInd w:val="0"/>
        <w:rPr>
          <w:szCs w:val="20"/>
        </w:rPr>
      </w:pPr>
      <w:r w:rsidRPr="003F1B95">
        <w:rPr>
          <w:rFonts w:cs="Arial"/>
          <w:szCs w:val="20"/>
        </w:rPr>
        <w:t>Por otro lado</w:t>
      </w:r>
      <w:r w:rsidR="007F04C8" w:rsidRPr="003F1B95">
        <w:rPr>
          <w:rFonts w:cs="Arial"/>
          <w:szCs w:val="20"/>
        </w:rPr>
        <w:t xml:space="preserve">, </w:t>
      </w:r>
      <w:r w:rsidR="00E96CCE" w:rsidRPr="003F1B95">
        <w:rPr>
          <w:rFonts w:cs="Arial"/>
          <w:szCs w:val="20"/>
        </w:rPr>
        <w:t xml:space="preserve">el interviniente común </w:t>
      </w:r>
      <w:r w:rsidRPr="003F1B95">
        <w:rPr>
          <w:rFonts w:cs="Arial"/>
          <w:szCs w:val="20"/>
        </w:rPr>
        <w:t xml:space="preserve">recién </w:t>
      </w:r>
      <w:r w:rsidR="007F04C8" w:rsidRPr="003F1B95">
        <w:rPr>
          <w:rFonts w:cs="Arial"/>
          <w:szCs w:val="20"/>
        </w:rPr>
        <w:t xml:space="preserve">indicó en </w:t>
      </w:r>
      <w:r w:rsidR="00E96CCE" w:rsidRPr="003F1B95">
        <w:rPr>
          <w:rFonts w:cs="Arial"/>
          <w:szCs w:val="20"/>
        </w:rPr>
        <w:t>l</w:t>
      </w:r>
      <w:r w:rsidR="007F04C8" w:rsidRPr="003F1B95">
        <w:rPr>
          <w:rFonts w:cs="Arial"/>
          <w:szCs w:val="20"/>
        </w:rPr>
        <w:t xml:space="preserve">a lista </w:t>
      </w:r>
      <w:r w:rsidR="00E96CCE" w:rsidRPr="003F1B95">
        <w:rPr>
          <w:rFonts w:cs="Arial"/>
          <w:szCs w:val="20"/>
        </w:rPr>
        <w:t xml:space="preserve">definitiva de declarantes </w:t>
      </w:r>
      <w:r w:rsidR="007F04C8" w:rsidRPr="003F1B95">
        <w:rPr>
          <w:rFonts w:cs="Arial"/>
          <w:szCs w:val="20"/>
        </w:rPr>
        <w:t>el objeto de la</w:t>
      </w:r>
      <w:r w:rsidR="008B4D46" w:rsidRPr="003F1B95">
        <w:rPr>
          <w:rFonts w:cs="Arial"/>
          <w:szCs w:val="20"/>
        </w:rPr>
        <w:t>s</w:t>
      </w:r>
      <w:r w:rsidR="007F04C8" w:rsidRPr="003F1B95">
        <w:rPr>
          <w:rFonts w:cs="Arial"/>
          <w:szCs w:val="20"/>
        </w:rPr>
        <w:t xml:space="preserve"> declaraci</w:t>
      </w:r>
      <w:r w:rsidR="008B4D46" w:rsidRPr="003F1B95">
        <w:rPr>
          <w:rFonts w:cs="Arial"/>
          <w:szCs w:val="20"/>
        </w:rPr>
        <w:t>o</w:t>
      </w:r>
      <w:r w:rsidR="007F04C8" w:rsidRPr="003F1B95">
        <w:rPr>
          <w:rFonts w:cs="Arial"/>
          <w:szCs w:val="20"/>
        </w:rPr>
        <w:t>n</w:t>
      </w:r>
      <w:r w:rsidR="008B4D46" w:rsidRPr="003F1B95">
        <w:rPr>
          <w:rFonts w:cs="Arial"/>
          <w:szCs w:val="20"/>
        </w:rPr>
        <w:t>es</w:t>
      </w:r>
      <w:r w:rsidR="007F04C8" w:rsidRPr="003F1B95">
        <w:rPr>
          <w:rFonts w:cs="Arial"/>
          <w:szCs w:val="20"/>
        </w:rPr>
        <w:t xml:space="preserve"> de las seis presuntas víctimas </w:t>
      </w:r>
      <w:r w:rsidR="00E96CCE" w:rsidRPr="003F1B95">
        <w:rPr>
          <w:rFonts w:cs="Arial"/>
          <w:szCs w:val="20"/>
        </w:rPr>
        <w:t>familiares</w:t>
      </w:r>
      <w:r w:rsidR="007F04C8" w:rsidRPr="003F1B95">
        <w:rPr>
          <w:rFonts w:cs="Arial"/>
          <w:szCs w:val="20"/>
        </w:rPr>
        <w:t>. Ni la Comisión ni el Estado presentaron observaciones</w:t>
      </w:r>
      <w:r w:rsidR="0023696A" w:rsidRPr="003F1B95">
        <w:rPr>
          <w:rFonts w:cs="Arial"/>
          <w:szCs w:val="20"/>
        </w:rPr>
        <w:t xml:space="preserve"> al respecto</w:t>
      </w:r>
      <w:r w:rsidR="003F1B95" w:rsidRPr="003F1B95">
        <w:rPr>
          <w:rFonts w:cs="Arial"/>
          <w:szCs w:val="20"/>
        </w:rPr>
        <w:t xml:space="preserve">. Sin perjuicio de lo anterior, </w:t>
      </w:r>
      <w:r w:rsidR="0023696A" w:rsidRPr="003F1B95">
        <w:rPr>
          <w:rFonts w:cs="Arial"/>
          <w:szCs w:val="20"/>
        </w:rPr>
        <w:t xml:space="preserve"> </w:t>
      </w:r>
      <w:r w:rsidR="003F1B95" w:rsidRPr="003F1B95">
        <w:rPr>
          <w:rFonts w:cs="Arial"/>
          <w:szCs w:val="20"/>
        </w:rPr>
        <w:t>esta Presidencia hace notar que el artículo 40.2.c del Reglamento del Tribunal establece que el escrito de solicitudes y argumentos deberá contener “</w:t>
      </w:r>
      <w:r w:rsidR="003F1B95" w:rsidRPr="003F1B95">
        <w:rPr>
          <w:rFonts w:eastAsiaTheme="minorHAnsi" w:cs="Verdana"/>
          <w:szCs w:val="20"/>
          <w:lang w:val="es-CR" w:eastAsia="en-US"/>
        </w:rPr>
        <w:t>la individualización de declarantes y el objeto de su declaración”</w:t>
      </w:r>
      <w:r w:rsidR="003F1B95" w:rsidRPr="003F1B95">
        <w:rPr>
          <w:rFonts w:cs="Arial"/>
          <w:szCs w:val="20"/>
        </w:rPr>
        <w:t>. En consecuencia, constata que la indicación de dichos objetos en la lista definitiva de declarantes es extemporánea, por lo que no se admite dicha prueba testimonial</w:t>
      </w:r>
      <w:r w:rsidR="00922CB8" w:rsidRPr="003F1B95">
        <w:rPr>
          <w:rFonts w:cs="Arial"/>
          <w:szCs w:val="20"/>
        </w:rPr>
        <w:t>.</w:t>
      </w:r>
    </w:p>
    <w:p w:rsidR="00E26C52" w:rsidRPr="00142A36" w:rsidRDefault="00E26C52" w:rsidP="00E26C52">
      <w:pPr>
        <w:pStyle w:val="ListParagraph1"/>
        <w:numPr>
          <w:ilvl w:val="0"/>
          <w:numId w:val="33"/>
        </w:numPr>
        <w:spacing w:before="240" w:after="120"/>
        <w:ind w:right="11"/>
        <w:jc w:val="both"/>
        <w:rPr>
          <w:rFonts w:ascii="Verdana" w:hAnsi="Verdana"/>
          <w:b/>
          <w:i/>
          <w:sz w:val="20"/>
          <w:szCs w:val="20"/>
        </w:rPr>
      </w:pPr>
      <w:r w:rsidRPr="00142A36">
        <w:rPr>
          <w:rFonts w:ascii="Verdana" w:hAnsi="Verdana"/>
          <w:b/>
          <w:i/>
          <w:sz w:val="20"/>
          <w:szCs w:val="20"/>
        </w:rPr>
        <w:t>P</w:t>
      </w:r>
      <w:r w:rsidR="009E173F" w:rsidRPr="00142A36">
        <w:rPr>
          <w:rFonts w:ascii="Verdana" w:hAnsi="Verdana"/>
          <w:b/>
          <w:i/>
          <w:sz w:val="20"/>
          <w:szCs w:val="20"/>
        </w:rPr>
        <w:t xml:space="preserve">rueba pericial ofrecida por la Comisión Interamericana </w:t>
      </w:r>
    </w:p>
    <w:p w:rsidR="000264C5" w:rsidRPr="00142A36" w:rsidRDefault="00B04472" w:rsidP="00E26C52">
      <w:pPr>
        <w:numPr>
          <w:ilvl w:val="0"/>
          <w:numId w:val="2"/>
        </w:numPr>
        <w:tabs>
          <w:tab w:val="clear" w:pos="720"/>
        </w:tabs>
        <w:autoSpaceDE w:val="0"/>
        <w:autoSpaceDN w:val="0"/>
        <w:adjustRightInd w:val="0"/>
        <w:rPr>
          <w:rFonts w:cs="Arial"/>
          <w:szCs w:val="20"/>
        </w:rPr>
      </w:pPr>
      <w:r w:rsidRPr="00142A36">
        <w:rPr>
          <w:rFonts w:cs="Arial"/>
          <w:szCs w:val="20"/>
        </w:rPr>
        <w:t xml:space="preserve">La Comisión ofreció </w:t>
      </w:r>
      <w:r w:rsidR="00BE6121" w:rsidRPr="00142A36">
        <w:rPr>
          <w:rFonts w:cs="Arial"/>
          <w:szCs w:val="20"/>
        </w:rPr>
        <w:t xml:space="preserve">el dictamen pericial del señor </w:t>
      </w:r>
      <w:proofErr w:type="spellStart"/>
      <w:r w:rsidRPr="00142A36">
        <w:rPr>
          <w:rFonts w:cs="Arial"/>
          <w:szCs w:val="20"/>
        </w:rPr>
        <w:t>Manfred</w:t>
      </w:r>
      <w:proofErr w:type="spellEnd"/>
      <w:r w:rsidRPr="00142A36">
        <w:rPr>
          <w:rFonts w:cs="Arial"/>
          <w:szCs w:val="20"/>
        </w:rPr>
        <w:t xml:space="preserve"> </w:t>
      </w:r>
      <w:proofErr w:type="spellStart"/>
      <w:r w:rsidRPr="00142A36">
        <w:rPr>
          <w:rFonts w:cs="Arial"/>
          <w:szCs w:val="20"/>
        </w:rPr>
        <w:t>Nowak</w:t>
      </w:r>
      <w:proofErr w:type="spellEnd"/>
      <w:r w:rsidR="00BE6121" w:rsidRPr="00142A36">
        <w:rPr>
          <w:rFonts w:cs="Arial"/>
          <w:szCs w:val="20"/>
        </w:rPr>
        <w:t xml:space="preserve"> sobre</w:t>
      </w:r>
      <w:r w:rsidR="009E173F" w:rsidRPr="00142A36">
        <w:rPr>
          <w:rFonts w:cs="Arial"/>
          <w:szCs w:val="20"/>
        </w:rPr>
        <w:t xml:space="preserve"> </w:t>
      </w:r>
      <w:r w:rsidR="001A7609" w:rsidRPr="00142A36">
        <w:rPr>
          <w:rFonts w:cs="Arial"/>
          <w:szCs w:val="20"/>
        </w:rPr>
        <w:t>“</w:t>
      </w:r>
      <w:r w:rsidR="00A679D7" w:rsidRPr="00142A36">
        <w:rPr>
          <w:rFonts w:cs="Arial"/>
          <w:szCs w:val="20"/>
        </w:rPr>
        <w:t>l</w:t>
      </w:r>
      <w:r w:rsidRPr="00142A36">
        <w:rPr>
          <w:rFonts w:cs="Arial"/>
          <w:szCs w:val="20"/>
        </w:rPr>
        <w:t>a obligación de investigar y sancionar act</w:t>
      </w:r>
      <w:r w:rsidR="00890830" w:rsidRPr="00142A36">
        <w:rPr>
          <w:rFonts w:cs="Arial"/>
          <w:szCs w:val="20"/>
        </w:rPr>
        <w:t>o</w:t>
      </w:r>
      <w:r w:rsidRPr="00142A36">
        <w:rPr>
          <w:rFonts w:cs="Arial"/>
          <w:szCs w:val="20"/>
        </w:rPr>
        <w:t xml:space="preserve">s de tortura, </w:t>
      </w:r>
      <w:r w:rsidR="004E1867">
        <w:rPr>
          <w:rFonts w:cs="Arial"/>
          <w:szCs w:val="20"/>
        </w:rPr>
        <w:t xml:space="preserve">[y] </w:t>
      </w:r>
      <w:r w:rsidRPr="00142A36">
        <w:rPr>
          <w:rFonts w:cs="Arial"/>
          <w:szCs w:val="20"/>
        </w:rPr>
        <w:t xml:space="preserve">especialmente </w:t>
      </w:r>
      <w:r w:rsidR="00E26C52" w:rsidRPr="00142A36">
        <w:rPr>
          <w:rFonts w:cs="Arial"/>
          <w:szCs w:val="20"/>
        </w:rPr>
        <w:t xml:space="preserve">[…] </w:t>
      </w:r>
      <w:r w:rsidR="00A679D7" w:rsidRPr="00142A36">
        <w:rPr>
          <w:rFonts w:cs="Arial"/>
          <w:szCs w:val="20"/>
        </w:rPr>
        <w:t>l</w:t>
      </w:r>
      <w:r w:rsidRPr="00142A36">
        <w:rPr>
          <w:rFonts w:cs="Arial"/>
          <w:szCs w:val="20"/>
        </w:rPr>
        <w:t xml:space="preserve">a naturaleza continua de mencionada obligación. </w:t>
      </w:r>
      <w:r w:rsidR="004E1867">
        <w:rPr>
          <w:rFonts w:cs="Arial"/>
          <w:szCs w:val="20"/>
        </w:rPr>
        <w:t>Asimismo</w:t>
      </w:r>
      <w:r w:rsidRPr="00142A36">
        <w:rPr>
          <w:rFonts w:cs="Arial"/>
          <w:szCs w:val="20"/>
        </w:rPr>
        <w:t xml:space="preserve">, </w:t>
      </w:r>
      <w:r w:rsidR="00E26C52" w:rsidRPr="00142A36">
        <w:rPr>
          <w:rFonts w:cs="Arial"/>
          <w:szCs w:val="20"/>
        </w:rPr>
        <w:t xml:space="preserve">[…] </w:t>
      </w:r>
      <w:r w:rsidRPr="00142A36">
        <w:rPr>
          <w:rFonts w:cs="Arial"/>
          <w:szCs w:val="20"/>
        </w:rPr>
        <w:t xml:space="preserve">el cumplimiento de dicha obligación en el caso de actos de </w:t>
      </w:r>
      <w:r w:rsidR="00A679D7" w:rsidRPr="00142A36">
        <w:rPr>
          <w:rFonts w:cs="Arial"/>
          <w:szCs w:val="20"/>
        </w:rPr>
        <w:t>tortura cometidos durante l</w:t>
      </w:r>
      <w:r w:rsidRPr="00142A36">
        <w:rPr>
          <w:rFonts w:cs="Arial"/>
          <w:szCs w:val="20"/>
        </w:rPr>
        <w:t>a dictadura en Chile</w:t>
      </w:r>
      <w:r w:rsidR="001A7609" w:rsidRPr="00142A36">
        <w:rPr>
          <w:rFonts w:cs="Arial"/>
          <w:szCs w:val="20"/>
        </w:rPr>
        <w:t>”</w:t>
      </w:r>
      <w:r w:rsidR="008925C7" w:rsidRPr="00142A36">
        <w:rPr>
          <w:rFonts w:cs="Arial"/>
          <w:szCs w:val="20"/>
        </w:rPr>
        <w:t xml:space="preserve">. </w:t>
      </w:r>
      <w:r w:rsidR="00F87881">
        <w:rPr>
          <w:rFonts w:cs="Arial"/>
          <w:szCs w:val="20"/>
        </w:rPr>
        <w:t>Del mismo modo</w:t>
      </w:r>
      <w:r w:rsidR="00BE6121" w:rsidRPr="00142A36">
        <w:rPr>
          <w:rFonts w:cs="Arial"/>
          <w:szCs w:val="20"/>
        </w:rPr>
        <w:t xml:space="preserve">, ofreció el peritaje del señor </w:t>
      </w:r>
      <w:r w:rsidRPr="00142A36">
        <w:rPr>
          <w:rFonts w:cs="Arial"/>
          <w:szCs w:val="20"/>
        </w:rPr>
        <w:t>Juan Méndez</w:t>
      </w:r>
      <w:r w:rsidR="00BE6121" w:rsidRPr="00142A36">
        <w:rPr>
          <w:rFonts w:cs="Arial"/>
          <w:szCs w:val="20"/>
        </w:rPr>
        <w:t xml:space="preserve"> sobre “</w:t>
      </w:r>
      <w:r w:rsidR="008314C9" w:rsidRPr="00142A36">
        <w:rPr>
          <w:rFonts w:cs="Arial"/>
          <w:szCs w:val="20"/>
        </w:rPr>
        <w:t xml:space="preserve">los estándares internacionales aplicables a la regla de exclusión. </w:t>
      </w:r>
      <w:r w:rsidR="00F87881">
        <w:rPr>
          <w:rFonts w:cs="Arial"/>
          <w:szCs w:val="20"/>
        </w:rPr>
        <w:t>[</w:t>
      </w:r>
      <w:r w:rsidR="00E26C52" w:rsidRPr="00142A36">
        <w:rPr>
          <w:rFonts w:cs="Arial"/>
          <w:szCs w:val="20"/>
        </w:rPr>
        <w:t>Asimismo</w:t>
      </w:r>
      <w:r w:rsidR="00F87881">
        <w:rPr>
          <w:rFonts w:cs="Arial"/>
          <w:szCs w:val="20"/>
        </w:rPr>
        <w:t>] se referirá</w:t>
      </w:r>
      <w:r w:rsidR="00E26C52" w:rsidRPr="00142A36">
        <w:rPr>
          <w:rFonts w:cs="Arial"/>
          <w:szCs w:val="20"/>
        </w:rPr>
        <w:t xml:space="preserve"> </w:t>
      </w:r>
      <w:r w:rsidR="00F87881">
        <w:rPr>
          <w:rFonts w:cs="Arial"/>
          <w:szCs w:val="20"/>
        </w:rPr>
        <w:t>a</w:t>
      </w:r>
      <w:r w:rsidR="008314C9" w:rsidRPr="00142A36">
        <w:rPr>
          <w:rFonts w:cs="Arial"/>
          <w:szCs w:val="20"/>
        </w:rPr>
        <w:t xml:space="preserve">l </w:t>
      </w:r>
      <w:r w:rsidR="00E26C52" w:rsidRPr="00142A36">
        <w:rPr>
          <w:rFonts w:cs="Arial"/>
          <w:szCs w:val="20"/>
        </w:rPr>
        <w:t>alcance y contenido de esta regl</w:t>
      </w:r>
      <w:r w:rsidR="008314C9" w:rsidRPr="00142A36">
        <w:rPr>
          <w:rFonts w:cs="Arial"/>
          <w:szCs w:val="20"/>
        </w:rPr>
        <w:t xml:space="preserve">a, así como las obligaciones estatales derivadas de la misma. En particular, </w:t>
      </w:r>
      <w:r w:rsidR="00E26C52" w:rsidRPr="00142A36">
        <w:rPr>
          <w:rFonts w:cs="Arial"/>
          <w:szCs w:val="20"/>
        </w:rPr>
        <w:t xml:space="preserve">[…] </w:t>
      </w:r>
      <w:r w:rsidR="008314C9" w:rsidRPr="00142A36">
        <w:rPr>
          <w:rFonts w:cs="Arial"/>
          <w:szCs w:val="20"/>
        </w:rPr>
        <w:t>los recursos judiciales que deben ex</w:t>
      </w:r>
      <w:r w:rsidR="00EA4C79" w:rsidRPr="00142A36">
        <w:rPr>
          <w:rFonts w:cs="Arial"/>
          <w:szCs w:val="20"/>
        </w:rPr>
        <w:t>istir para asegurar la aplicació</w:t>
      </w:r>
      <w:r w:rsidR="008314C9" w:rsidRPr="00142A36">
        <w:rPr>
          <w:rFonts w:cs="Arial"/>
          <w:szCs w:val="20"/>
        </w:rPr>
        <w:t>n de dicha reg</w:t>
      </w:r>
      <w:r w:rsidR="0017643B" w:rsidRPr="00142A36">
        <w:rPr>
          <w:rFonts w:cs="Arial"/>
          <w:szCs w:val="20"/>
        </w:rPr>
        <w:t>l</w:t>
      </w:r>
      <w:r w:rsidR="008314C9" w:rsidRPr="00142A36">
        <w:rPr>
          <w:rFonts w:cs="Arial"/>
          <w:szCs w:val="20"/>
        </w:rPr>
        <w:t xml:space="preserve">a en todo tipo de procesos, especialmente en procesos penales que ya cuenten con sentencia en firme. </w:t>
      </w:r>
      <w:r w:rsidR="00E26C52" w:rsidRPr="00142A36">
        <w:rPr>
          <w:rFonts w:cs="Arial"/>
          <w:szCs w:val="20"/>
        </w:rPr>
        <w:t>[Asimismo], […]</w:t>
      </w:r>
      <w:r w:rsidR="008314C9" w:rsidRPr="00142A36">
        <w:rPr>
          <w:rFonts w:cs="Arial"/>
          <w:szCs w:val="20"/>
        </w:rPr>
        <w:t xml:space="preserve"> el desarrollo de este tem</w:t>
      </w:r>
      <w:r w:rsidR="00EA4C79" w:rsidRPr="00142A36">
        <w:rPr>
          <w:rFonts w:cs="Arial"/>
          <w:szCs w:val="20"/>
        </w:rPr>
        <w:t>a en otros sistemas de protecció</w:t>
      </w:r>
      <w:r w:rsidR="008314C9" w:rsidRPr="00142A36">
        <w:rPr>
          <w:rFonts w:cs="Arial"/>
          <w:szCs w:val="20"/>
        </w:rPr>
        <w:t xml:space="preserve">n de derechos humanos y, en la medida de lo relevante, </w:t>
      </w:r>
      <w:r w:rsidR="00E26C52" w:rsidRPr="00142A36">
        <w:rPr>
          <w:rFonts w:cs="Arial"/>
          <w:szCs w:val="20"/>
        </w:rPr>
        <w:t xml:space="preserve">[el perito] </w:t>
      </w:r>
      <w:r w:rsidR="008314C9" w:rsidRPr="00142A36">
        <w:rPr>
          <w:rFonts w:cs="Arial"/>
          <w:szCs w:val="20"/>
        </w:rPr>
        <w:t>ofrecerá una perspectiva de derecho comparado”.</w:t>
      </w:r>
      <w:r w:rsidR="00BE6121" w:rsidRPr="00142A36">
        <w:rPr>
          <w:rFonts w:cs="Arial"/>
          <w:szCs w:val="20"/>
        </w:rPr>
        <w:t xml:space="preserve"> Dichos dictámenes periciales fueron confirmados por la Comisión en su lista definitiva de declarantes.</w:t>
      </w:r>
    </w:p>
    <w:p w:rsidR="00E44A85" w:rsidRPr="00142A36" w:rsidRDefault="00E44A85" w:rsidP="000C2626">
      <w:pPr>
        <w:numPr>
          <w:ilvl w:val="0"/>
          <w:numId w:val="2"/>
        </w:numPr>
        <w:tabs>
          <w:tab w:val="clear" w:pos="720"/>
        </w:tabs>
        <w:autoSpaceDE w:val="0"/>
        <w:autoSpaceDN w:val="0"/>
        <w:adjustRightInd w:val="0"/>
        <w:rPr>
          <w:rFonts w:eastAsia="Times New Roman" w:cs="Verdana"/>
          <w:szCs w:val="20"/>
          <w:lang w:val="es-CL" w:eastAsia="en-US"/>
        </w:rPr>
      </w:pPr>
      <w:r w:rsidRPr="00142A36">
        <w:rPr>
          <w:rFonts w:eastAsia="Times New Roman" w:cs="Verdana"/>
          <w:szCs w:val="20"/>
          <w:lang w:val="es-CL" w:eastAsia="en-US"/>
        </w:rPr>
        <w:t>La Comisión consideró que los peritajes ofrecidos se refieren a temas de orden público interamericano de acuerdo a lo establecido en el artículo 31.</w:t>
      </w:r>
      <w:r w:rsidR="000C2626" w:rsidRPr="00142A36">
        <w:rPr>
          <w:rFonts w:eastAsia="Times New Roman" w:cs="Verdana"/>
          <w:szCs w:val="20"/>
          <w:lang w:val="es-CL" w:eastAsia="en-US"/>
        </w:rPr>
        <w:t>5 f) del Reglamento de la Corte, refiriéndose a que “el presente caso permitirá a la [Corte Interamericana] pronunciarse sobre las obligaciones estatales en materia de protección judicial para asegurar que las víctimas cuenten con un recurso efectivo para que las torturas del pasado, aun aquellas que se encuentran fuera de la competencia de la Corte Interamericana, cesen en sus efectos”, especificando “las medias judiciales que debe ofrecer un Estado para que la protección derivada de la regla de exclusión tenga un efecto útil”</w:t>
      </w:r>
      <w:r w:rsidRPr="00142A36">
        <w:rPr>
          <w:rFonts w:eastAsia="Times New Roman" w:cs="Verdana"/>
          <w:szCs w:val="20"/>
          <w:lang w:val="es-CL" w:eastAsia="en-US"/>
        </w:rPr>
        <w:t xml:space="preserve">. </w:t>
      </w:r>
    </w:p>
    <w:p w:rsidR="00DE5DBD" w:rsidRPr="00142A36" w:rsidRDefault="00DE5DBD" w:rsidP="00DE5DBD">
      <w:pPr>
        <w:numPr>
          <w:ilvl w:val="0"/>
          <w:numId w:val="2"/>
        </w:numPr>
        <w:tabs>
          <w:tab w:val="clear" w:pos="720"/>
        </w:tabs>
        <w:autoSpaceDE w:val="0"/>
        <w:autoSpaceDN w:val="0"/>
        <w:adjustRightInd w:val="0"/>
        <w:spacing w:before="120"/>
        <w:rPr>
          <w:rFonts w:eastAsia="Times New Roman" w:cs="Verdana"/>
          <w:szCs w:val="20"/>
          <w:lang w:val="es-CL" w:eastAsia="en-US"/>
        </w:rPr>
      </w:pPr>
      <w:r w:rsidRPr="00142A36">
        <w:rPr>
          <w:rFonts w:eastAsia="Times New Roman" w:cs="Verdana"/>
          <w:szCs w:val="20"/>
          <w:lang w:val="es-CL" w:eastAsia="en-US"/>
        </w:rPr>
        <w:t xml:space="preserve">El Estado no formuló observaciones al respecto. El </w:t>
      </w:r>
      <w:r w:rsidR="00965DCF" w:rsidRPr="00142A36">
        <w:rPr>
          <w:rFonts w:eastAsia="Times New Roman" w:cs="Verdana"/>
          <w:szCs w:val="20"/>
          <w:lang w:val="es-CL" w:eastAsia="en-US"/>
        </w:rPr>
        <w:t>interviniente común</w:t>
      </w:r>
      <w:r w:rsidRPr="00142A36">
        <w:rPr>
          <w:rFonts w:eastAsia="Times New Roman" w:cs="Verdana"/>
          <w:szCs w:val="20"/>
          <w:lang w:val="es-CL" w:eastAsia="en-US"/>
        </w:rPr>
        <w:t xml:space="preserve"> se refirió a los peritos propuestos por la Comisión “para que sean especialmente considerados en las declaraciones [llamadas a ser rendidas en] […] la Audiencia Pública” y que los objetos de sus respectivas declaraciones “se relacionan de forma directa con lo argumentado por [el </w:t>
      </w:r>
      <w:r w:rsidR="00965DCF" w:rsidRPr="00142A36">
        <w:rPr>
          <w:rFonts w:eastAsia="Times New Roman" w:cs="Verdana"/>
          <w:szCs w:val="20"/>
          <w:lang w:val="es-CL" w:eastAsia="en-US"/>
        </w:rPr>
        <w:t>interviniente común</w:t>
      </w:r>
      <w:r w:rsidRPr="00142A36">
        <w:rPr>
          <w:rFonts w:eastAsia="Times New Roman" w:cs="Verdana"/>
          <w:szCs w:val="20"/>
          <w:lang w:val="es-CL" w:eastAsia="en-US"/>
        </w:rPr>
        <w:t xml:space="preserve">], por lo que el resultado de su peritaje es fundamental para sentar estándares en el Sistema Interamericano de Derechos Humanos” y que “sus declaraciones serán un aporte esencial para la decisión de este caso y para el Sistema Interamericano general”. </w:t>
      </w:r>
    </w:p>
    <w:p w:rsidR="00332081" w:rsidRPr="00142A36" w:rsidRDefault="00332081" w:rsidP="00332081">
      <w:pPr>
        <w:pStyle w:val="BodyTextIndent"/>
        <w:numPr>
          <w:ilvl w:val="0"/>
          <w:numId w:val="2"/>
        </w:numPr>
        <w:tabs>
          <w:tab w:val="left" w:pos="0"/>
          <w:tab w:val="left" w:pos="810"/>
        </w:tabs>
        <w:spacing w:after="0"/>
        <w:ind w:left="0"/>
        <w:rPr>
          <w:rFonts w:cs="Verdana"/>
          <w:szCs w:val="20"/>
        </w:rPr>
      </w:pPr>
      <w:r w:rsidRPr="00142A36">
        <w:rPr>
          <w:rFonts w:cs="Verdana"/>
          <w:szCs w:val="20"/>
        </w:rPr>
        <w:t xml:space="preserve">De acuerdo con lo establecido en el artículo 35.1.f del Reglamento, la “eventual designación de peritos” podrá ser efectuada por la Comisión Interamericana “cuando se afecte de manera relevante el orden público interamericano de los derechos humanos”, cuyo fundamento y objeto tienen que ser adecuadamente sustentados. El sentido de esta disposición hace de la designación de peritos por parte de la Comisión un hecho excepcional, sujeta a ese requisito que no se cumple por el sólo hecho de que la prueba que se procura </w:t>
      </w:r>
      <w:r w:rsidRPr="00142A36">
        <w:rPr>
          <w:rFonts w:cs="Verdana"/>
          <w:szCs w:val="20"/>
        </w:rPr>
        <w:lastRenderedPageBreak/>
        <w:t>producir tenga relación con una alegada violación de derechos humanos. Tiene que estar afectado de “manera relevante el orden público interamericano de los derechos humanos”, correspondiendo a la Comisión sustentar tal situación</w:t>
      </w:r>
      <w:r w:rsidRPr="00142A36">
        <w:rPr>
          <w:rStyle w:val="FootnoteReference"/>
          <w:rFonts w:cs="Verdana"/>
          <w:szCs w:val="20"/>
          <w:lang w:val="es-CL"/>
        </w:rPr>
        <w:footnoteReference w:id="13"/>
      </w:r>
      <w:r w:rsidRPr="00142A36">
        <w:rPr>
          <w:rFonts w:cs="Verdana"/>
          <w:szCs w:val="20"/>
        </w:rPr>
        <w:t>.</w:t>
      </w:r>
      <w:r w:rsidR="00444387" w:rsidRPr="00142A36">
        <w:rPr>
          <w:rFonts w:cs="Verdana"/>
          <w:szCs w:val="20"/>
        </w:rPr>
        <w:t xml:space="preserve"> </w:t>
      </w:r>
      <w:r w:rsidRPr="00142A36">
        <w:rPr>
          <w:rFonts w:cs="Verdana"/>
          <w:szCs w:val="20"/>
          <w:lang w:val="es-CR"/>
        </w:rPr>
        <w:t xml:space="preserve">Esta Presidencia ha entendido que, </w:t>
      </w:r>
      <w:r w:rsidRPr="00142A36">
        <w:rPr>
          <w:rFonts w:cs="Verdana"/>
          <w:szCs w:val="20"/>
        </w:rPr>
        <w:t>para cumplir con dicha exigencia reglamentaria,</w:t>
      </w:r>
      <w:r w:rsidRPr="00142A36">
        <w:rPr>
          <w:rFonts w:cs="Verdana"/>
          <w:szCs w:val="20"/>
          <w:lang w:val="es-CR"/>
        </w:rPr>
        <w:t xml:space="preserve"> </w:t>
      </w:r>
      <w:r w:rsidRPr="00142A36">
        <w:rPr>
          <w:rFonts w:cs="Verdana"/>
          <w:szCs w:val="20"/>
        </w:rPr>
        <w:t>el objeto del peritaje propuesto por la Comisión no debe estar circunscrito a la situación u ordenamiento jurídico del país en cuestión y debe trascender los hechos específicos del caso en conocimiento de la Corte, así como el interés concreto de las partes en litigio</w:t>
      </w:r>
      <w:r w:rsidRPr="00142A36">
        <w:rPr>
          <w:rStyle w:val="FootnoteReference"/>
          <w:rFonts w:cs="Verdana"/>
          <w:szCs w:val="20"/>
        </w:rPr>
        <w:footnoteReference w:id="14"/>
      </w:r>
      <w:r w:rsidRPr="00142A36">
        <w:rPr>
          <w:rFonts w:cs="Verdana"/>
          <w:szCs w:val="20"/>
        </w:rPr>
        <w:t>.</w:t>
      </w:r>
      <w:r w:rsidRPr="00142A36">
        <w:rPr>
          <w:rFonts w:cs="Verdana"/>
          <w:szCs w:val="20"/>
          <w:u w:val="single"/>
        </w:rPr>
        <w:t xml:space="preserve"> </w:t>
      </w:r>
    </w:p>
    <w:p w:rsidR="00332081" w:rsidRPr="00142A36" w:rsidRDefault="00332081" w:rsidP="00332081">
      <w:pPr>
        <w:pStyle w:val="BodyTextIndent"/>
        <w:tabs>
          <w:tab w:val="left" w:pos="0"/>
          <w:tab w:val="left" w:pos="810"/>
        </w:tabs>
        <w:spacing w:after="0"/>
        <w:ind w:left="0"/>
        <w:rPr>
          <w:rFonts w:cs="Verdana"/>
          <w:szCs w:val="20"/>
        </w:rPr>
      </w:pPr>
    </w:p>
    <w:p w:rsidR="00C430BF" w:rsidRPr="00142A36" w:rsidRDefault="00444387" w:rsidP="002C4892">
      <w:pPr>
        <w:pStyle w:val="BodyTextIndent"/>
        <w:numPr>
          <w:ilvl w:val="0"/>
          <w:numId w:val="2"/>
        </w:numPr>
        <w:tabs>
          <w:tab w:val="left" w:pos="0"/>
          <w:tab w:val="left" w:pos="810"/>
        </w:tabs>
        <w:spacing w:after="0"/>
        <w:ind w:left="0"/>
        <w:rPr>
          <w:rFonts w:cs="Verdana"/>
          <w:lang w:bidi="en-US"/>
        </w:rPr>
      </w:pPr>
      <w:r w:rsidRPr="00142A36">
        <w:rPr>
          <w:rFonts w:cs="Verdana"/>
          <w:szCs w:val="20"/>
          <w:lang w:val="es-ES"/>
        </w:rPr>
        <w:t xml:space="preserve">Esta Presidencia considera que los objetos de los peritajes de los señores </w:t>
      </w:r>
      <w:proofErr w:type="spellStart"/>
      <w:r w:rsidRPr="00142A36">
        <w:rPr>
          <w:rFonts w:cs="Verdana"/>
          <w:szCs w:val="20"/>
          <w:lang w:val="es-ES"/>
        </w:rPr>
        <w:t>Nowak</w:t>
      </w:r>
      <w:proofErr w:type="spellEnd"/>
      <w:r w:rsidRPr="00142A36">
        <w:rPr>
          <w:rFonts w:cs="Verdana"/>
          <w:szCs w:val="20"/>
          <w:lang w:val="es-ES"/>
        </w:rPr>
        <w:t xml:space="preserve"> y Méndez resultan relevante</w:t>
      </w:r>
      <w:r w:rsidR="00913CC4" w:rsidRPr="00142A36">
        <w:rPr>
          <w:rFonts w:cs="Verdana"/>
          <w:szCs w:val="20"/>
          <w:lang w:val="es-ES"/>
        </w:rPr>
        <w:t>s</w:t>
      </w:r>
      <w:r w:rsidRPr="00142A36">
        <w:rPr>
          <w:rFonts w:cs="Verdana"/>
          <w:szCs w:val="20"/>
          <w:lang w:val="es-ES"/>
        </w:rPr>
        <w:t xml:space="preserve"> al orden público interamericano debido a que implican un análisis de estándares internacionales sobre </w:t>
      </w:r>
      <w:r w:rsidRPr="00142A36">
        <w:rPr>
          <w:rFonts w:eastAsia="Times New Roman" w:cs="Verdana"/>
          <w:szCs w:val="20"/>
          <w:lang w:val="es-CL" w:eastAsia="en-US"/>
        </w:rPr>
        <w:t>la obligación de investigar y sancionar act</w:t>
      </w:r>
      <w:r w:rsidR="00913CC4" w:rsidRPr="00142A36">
        <w:rPr>
          <w:rFonts w:eastAsia="Times New Roman" w:cs="Verdana"/>
          <w:szCs w:val="20"/>
          <w:lang w:val="es-CL" w:eastAsia="en-US"/>
        </w:rPr>
        <w:t>o</w:t>
      </w:r>
      <w:r w:rsidRPr="00142A36">
        <w:rPr>
          <w:rFonts w:eastAsia="Times New Roman" w:cs="Verdana"/>
          <w:szCs w:val="20"/>
          <w:lang w:val="es-CL" w:eastAsia="en-US"/>
        </w:rPr>
        <w:t>s de tortura y la regla de exclusión</w:t>
      </w:r>
      <w:r w:rsidR="00E26C52" w:rsidRPr="00142A36">
        <w:rPr>
          <w:rFonts w:eastAsia="Times New Roman" w:cs="Verdana"/>
          <w:szCs w:val="20"/>
          <w:lang w:val="es-CL" w:eastAsia="en-US"/>
        </w:rPr>
        <w:t xml:space="preserve"> de prueba obtenida mediante tortura</w:t>
      </w:r>
      <w:r w:rsidRPr="00142A36">
        <w:rPr>
          <w:rFonts w:eastAsia="Times New Roman" w:cs="Verdana"/>
          <w:szCs w:val="20"/>
          <w:lang w:val="es-CL" w:eastAsia="en-US"/>
        </w:rPr>
        <w:t>, respectivamente</w:t>
      </w:r>
      <w:r w:rsidRPr="00142A36">
        <w:rPr>
          <w:rFonts w:cs="Verdana"/>
          <w:szCs w:val="20"/>
          <w:lang w:val="es-ES"/>
        </w:rPr>
        <w:t xml:space="preserve">. Por tanto, los objetos de los peritajes trascienden la controversia </w:t>
      </w:r>
      <w:r w:rsidRPr="00142A36">
        <w:rPr>
          <w:rFonts w:cs="Verdana"/>
          <w:szCs w:val="20"/>
        </w:rPr>
        <w:t>del</w:t>
      </w:r>
      <w:r w:rsidRPr="00142A36">
        <w:rPr>
          <w:rFonts w:cs="Verdana"/>
          <w:szCs w:val="20"/>
          <w:lang w:val="es-ES"/>
        </w:rPr>
        <w:t xml:space="preserve"> presente caso y se refiere a conceptos relevantes para otros Estados Parte en la Convención. En consecuencia, </w:t>
      </w:r>
      <w:r w:rsidR="00C430BF" w:rsidRPr="00142A36">
        <w:rPr>
          <w:rFonts w:cs="Verdana"/>
          <w:szCs w:val="20"/>
          <w:lang w:bidi="en-US"/>
        </w:rPr>
        <w:t xml:space="preserve">el Presidente estima conducente </w:t>
      </w:r>
      <w:r w:rsidR="00C430BF" w:rsidRPr="00142A36">
        <w:rPr>
          <w:rFonts w:eastAsia="Times New Roman" w:cs="Verdana"/>
          <w:szCs w:val="20"/>
          <w:lang w:val="es-CL" w:eastAsia="en-US"/>
        </w:rPr>
        <w:t>admitir dicho</w:t>
      </w:r>
      <w:r w:rsidR="00C407B1" w:rsidRPr="00142A36">
        <w:rPr>
          <w:rFonts w:eastAsia="Times New Roman" w:cs="Verdana"/>
          <w:szCs w:val="20"/>
          <w:lang w:val="es-CL" w:eastAsia="en-US"/>
        </w:rPr>
        <w:t>s</w:t>
      </w:r>
      <w:r w:rsidR="00C430BF" w:rsidRPr="00142A36">
        <w:rPr>
          <w:rFonts w:eastAsia="Times New Roman" w:cs="Verdana"/>
          <w:szCs w:val="20"/>
          <w:lang w:val="es-CL" w:eastAsia="en-US"/>
        </w:rPr>
        <w:t xml:space="preserve"> </w:t>
      </w:r>
      <w:r w:rsidR="00870A60" w:rsidRPr="00142A36">
        <w:rPr>
          <w:rFonts w:eastAsia="Times New Roman" w:cs="Verdana"/>
          <w:szCs w:val="20"/>
          <w:lang w:val="es-CL" w:eastAsia="en-US"/>
        </w:rPr>
        <w:t>dictámenes</w:t>
      </w:r>
      <w:r w:rsidR="00C430BF" w:rsidRPr="00142A36">
        <w:rPr>
          <w:rFonts w:eastAsia="Times New Roman" w:cs="Verdana"/>
          <w:szCs w:val="20"/>
          <w:lang w:val="es-CL" w:eastAsia="en-US"/>
        </w:rPr>
        <w:t xml:space="preserve"> pericial</w:t>
      </w:r>
      <w:r w:rsidR="00870A60" w:rsidRPr="00142A36">
        <w:rPr>
          <w:rFonts w:eastAsia="Times New Roman" w:cs="Verdana"/>
          <w:szCs w:val="20"/>
          <w:lang w:val="es-CL" w:eastAsia="en-US"/>
        </w:rPr>
        <w:t>es</w:t>
      </w:r>
      <w:r w:rsidR="00C430BF" w:rsidRPr="00142A36">
        <w:rPr>
          <w:rFonts w:cs="Verdana"/>
          <w:szCs w:val="20"/>
          <w:lang w:bidi="en-US"/>
        </w:rPr>
        <w:t xml:space="preserve">, </w:t>
      </w:r>
      <w:r w:rsidRPr="00142A36">
        <w:rPr>
          <w:rFonts w:cs="Verdana"/>
          <w:szCs w:val="20"/>
          <w:lang w:bidi="en-US"/>
        </w:rPr>
        <w:t>haciendo notar</w:t>
      </w:r>
      <w:r w:rsidR="00053415" w:rsidRPr="00142A36">
        <w:rPr>
          <w:rFonts w:cs="Verdana"/>
          <w:szCs w:val="20"/>
          <w:lang w:bidi="en-US"/>
        </w:rPr>
        <w:t xml:space="preserve">, respecto del peritaje del señor </w:t>
      </w:r>
      <w:proofErr w:type="spellStart"/>
      <w:r w:rsidR="00053415" w:rsidRPr="00142A36">
        <w:rPr>
          <w:rFonts w:cs="Verdana"/>
          <w:szCs w:val="20"/>
          <w:lang w:bidi="en-US"/>
        </w:rPr>
        <w:t>Nowak</w:t>
      </w:r>
      <w:proofErr w:type="spellEnd"/>
      <w:r w:rsidR="00053415" w:rsidRPr="00142A36">
        <w:rPr>
          <w:rFonts w:cs="Verdana"/>
          <w:szCs w:val="20"/>
          <w:lang w:bidi="en-US"/>
        </w:rPr>
        <w:t>,</w:t>
      </w:r>
      <w:r w:rsidRPr="00142A36">
        <w:rPr>
          <w:rFonts w:cs="Verdana"/>
          <w:szCs w:val="20"/>
          <w:lang w:bidi="en-US"/>
        </w:rPr>
        <w:t xml:space="preserve"> que</w:t>
      </w:r>
      <w:r w:rsidR="00053415" w:rsidRPr="00142A36">
        <w:rPr>
          <w:i/>
          <w:iCs/>
          <w:szCs w:val="20"/>
        </w:rPr>
        <w:t xml:space="preserve"> </w:t>
      </w:r>
      <w:r w:rsidR="00053415" w:rsidRPr="00142A36">
        <w:rPr>
          <w:rFonts w:cs="Verdana"/>
          <w:lang w:val="es-ES"/>
        </w:rPr>
        <w:t xml:space="preserve">en vista de la vasta jurisprudencia del Tribunal sobre el tema </w:t>
      </w:r>
      <w:r w:rsidR="00053415" w:rsidRPr="00142A36">
        <w:rPr>
          <w:rFonts w:cs="Verdana"/>
          <w:szCs w:val="20"/>
          <w:lang w:bidi="en-US"/>
        </w:rPr>
        <w:t xml:space="preserve">propuesto, </w:t>
      </w:r>
      <w:r w:rsidR="00053415" w:rsidRPr="00142A36">
        <w:rPr>
          <w:rFonts w:cs="Verdana"/>
          <w:lang w:bidi="en-US"/>
        </w:rPr>
        <w:t>se recibirá este peritaje mediante declaración jurada rendida ante fedatario público (</w:t>
      </w:r>
      <w:r w:rsidR="00053415" w:rsidRPr="00142A36">
        <w:rPr>
          <w:rFonts w:cs="Verdana"/>
          <w:i/>
          <w:lang w:bidi="en-US"/>
        </w:rPr>
        <w:t>affidavit</w:t>
      </w:r>
      <w:r w:rsidR="00053415" w:rsidRPr="00142A36">
        <w:rPr>
          <w:rFonts w:cs="Verdana"/>
          <w:lang w:bidi="en-US"/>
        </w:rPr>
        <w:t xml:space="preserve">). </w:t>
      </w:r>
    </w:p>
    <w:p w:rsidR="00784582" w:rsidRPr="00142A36" w:rsidRDefault="00784582" w:rsidP="00784582">
      <w:pPr>
        <w:pStyle w:val="ListParagraph1"/>
        <w:numPr>
          <w:ilvl w:val="0"/>
          <w:numId w:val="33"/>
        </w:numPr>
        <w:spacing w:before="240" w:after="120"/>
        <w:ind w:right="11"/>
        <w:jc w:val="both"/>
        <w:rPr>
          <w:rFonts w:ascii="Verdana" w:hAnsi="Verdana" w:cs="Verdana"/>
          <w:b/>
          <w:bCs/>
          <w:i/>
          <w:iCs/>
          <w:sz w:val="20"/>
          <w:szCs w:val="20"/>
        </w:rPr>
      </w:pPr>
      <w:r w:rsidRPr="00142A36">
        <w:rPr>
          <w:rFonts w:ascii="Verdana" w:hAnsi="Verdana" w:cs="Verdana"/>
          <w:b/>
          <w:bCs/>
          <w:i/>
          <w:iCs/>
          <w:sz w:val="20"/>
          <w:szCs w:val="20"/>
        </w:rPr>
        <w:t xml:space="preserve">Solicitud de la Comisión para formular preguntas a </w:t>
      </w:r>
      <w:r w:rsidR="00EB1B37" w:rsidRPr="00142A36">
        <w:rPr>
          <w:rFonts w:ascii="Verdana" w:hAnsi="Verdana" w:cs="Verdana"/>
          <w:b/>
          <w:bCs/>
          <w:i/>
          <w:iCs/>
          <w:sz w:val="20"/>
          <w:szCs w:val="20"/>
        </w:rPr>
        <w:t>un perito ofrecido</w:t>
      </w:r>
      <w:r w:rsidRPr="00142A36">
        <w:rPr>
          <w:rFonts w:ascii="Verdana" w:hAnsi="Verdana" w:cs="Verdana"/>
          <w:b/>
          <w:bCs/>
          <w:i/>
          <w:iCs/>
          <w:sz w:val="20"/>
          <w:szCs w:val="20"/>
        </w:rPr>
        <w:t xml:space="preserve"> por </w:t>
      </w:r>
      <w:r w:rsidR="00EB1B37" w:rsidRPr="00142A36">
        <w:rPr>
          <w:rFonts w:ascii="Verdana" w:hAnsi="Verdana" w:cs="Verdana"/>
          <w:b/>
          <w:bCs/>
          <w:i/>
          <w:iCs/>
          <w:sz w:val="20"/>
          <w:szCs w:val="20"/>
        </w:rPr>
        <w:t>e</w:t>
      </w:r>
      <w:r w:rsidRPr="00142A36">
        <w:rPr>
          <w:rFonts w:ascii="Verdana" w:hAnsi="Verdana" w:cs="Verdana"/>
          <w:b/>
          <w:bCs/>
          <w:i/>
          <w:iCs/>
          <w:sz w:val="20"/>
          <w:szCs w:val="20"/>
        </w:rPr>
        <w:t>l</w:t>
      </w:r>
      <w:r w:rsidR="00EB1B37" w:rsidRPr="00142A36">
        <w:rPr>
          <w:rFonts w:ascii="Verdana" w:hAnsi="Verdana" w:cs="Verdana"/>
          <w:b/>
          <w:bCs/>
          <w:i/>
          <w:iCs/>
          <w:sz w:val="20"/>
          <w:szCs w:val="20"/>
        </w:rPr>
        <w:t xml:space="preserve"> Estado</w:t>
      </w:r>
    </w:p>
    <w:p w:rsidR="009E7C04" w:rsidRPr="00142A36" w:rsidRDefault="00784582" w:rsidP="00CC2451">
      <w:pPr>
        <w:numPr>
          <w:ilvl w:val="0"/>
          <w:numId w:val="2"/>
        </w:numPr>
        <w:tabs>
          <w:tab w:val="clear" w:pos="720"/>
        </w:tabs>
        <w:autoSpaceDE w:val="0"/>
        <w:autoSpaceDN w:val="0"/>
        <w:adjustRightInd w:val="0"/>
        <w:rPr>
          <w:rFonts w:cs="Verdana"/>
          <w:lang w:val="es-ES"/>
        </w:rPr>
      </w:pPr>
      <w:r w:rsidRPr="00142A36">
        <w:rPr>
          <w:rFonts w:cs="Verdana"/>
          <w:lang w:val="es-ES"/>
        </w:rPr>
        <w:t xml:space="preserve">En su escrito de </w:t>
      </w:r>
      <w:r w:rsidR="006E1917" w:rsidRPr="00142A36">
        <w:rPr>
          <w:rFonts w:cs="Verdana"/>
          <w:lang w:val="es-ES"/>
        </w:rPr>
        <w:t>9 de enero de 2015</w:t>
      </w:r>
      <w:r w:rsidRPr="00142A36">
        <w:rPr>
          <w:rFonts w:cs="Verdana"/>
          <w:lang w:val="es-ES"/>
        </w:rPr>
        <w:t>, la Comisión solicitó “</w:t>
      </w:r>
      <w:r w:rsidR="009E7C04" w:rsidRPr="00142A36">
        <w:rPr>
          <w:rFonts w:cs="Verdana"/>
          <w:lang w:val="es-ES"/>
        </w:rPr>
        <w:t>l</w:t>
      </w:r>
      <w:r w:rsidR="006E1917" w:rsidRPr="00142A36">
        <w:rPr>
          <w:rFonts w:cs="Verdana"/>
          <w:lang w:val="es-ES"/>
        </w:rPr>
        <w:t>a oportunidad verbal o escrita de formular pregun</w:t>
      </w:r>
      <w:r w:rsidR="009E7C04" w:rsidRPr="00142A36">
        <w:rPr>
          <w:rFonts w:cs="Verdana"/>
          <w:lang w:val="es-ES"/>
        </w:rPr>
        <w:t>tas, en l</w:t>
      </w:r>
      <w:r w:rsidR="006E1917" w:rsidRPr="00142A36">
        <w:rPr>
          <w:rFonts w:cs="Verdana"/>
          <w:lang w:val="es-ES"/>
        </w:rPr>
        <w:t>a medida de lo relevante y</w:t>
      </w:r>
      <w:r w:rsidR="009E7C04" w:rsidRPr="00142A36">
        <w:rPr>
          <w:rFonts w:cs="Verdana"/>
          <w:lang w:val="es-ES"/>
        </w:rPr>
        <w:t xml:space="preserve"> </w:t>
      </w:r>
      <w:r w:rsidR="006E1917" w:rsidRPr="00142A36">
        <w:rPr>
          <w:rFonts w:cs="Verdana"/>
          <w:lang w:val="es-ES"/>
        </w:rPr>
        <w:t>razonable, a uno de los peritos ofrecidos par el Estado de Chile cuya declar</w:t>
      </w:r>
      <w:r w:rsidR="009E7C04" w:rsidRPr="00142A36">
        <w:rPr>
          <w:rFonts w:cs="Verdana"/>
          <w:lang w:val="es-ES"/>
        </w:rPr>
        <w:t>ació</w:t>
      </w:r>
      <w:r w:rsidR="006E1917" w:rsidRPr="00142A36">
        <w:rPr>
          <w:rFonts w:cs="Verdana"/>
          <w:lang w:val="es-ES"/>
        </w:rPr>
        <w:t>n se relaciona tanto</w:t>
      </w:r>
      <w:r w:rsidR="009E7C04" w:rsidRPr="00142A36">
        <w:rPr>
          <w:rFonts w:cs="Verdana"/>
          <w:lang w:val="es-ES"/>
        </w:rPr>
        <w:t xml:space="preserve"> </w:t>
      </w:r>
      <w:r w:rsidR="006E1917" w:rsidRPr="00142A36">
        <w:rPr>
          <w:rFonts w:cs="Verdana"/>
          <w:lang w:val="es-ES"/>
        </w:rPr>
        <w:t xml:space="preserve">con el orden publico interamericano como con </w:t>
      </w:r>
      <w:r w:rsidR="009E7C04" w:rsidRPr="00142A36">
        <w:rPr>
          <w:rFonts w:cs="Verdana"/>
          <w:lang w:val="es-ES"/>
        </w:rPr>
        <w:t>l</w:t>
      </w:r>
      <w:r w:rsidR="006E1917" w:rsidRPr="00142A36">
        <w:rPr>
          <w:rFonts w:cs="Verdana"/>
          <w:lang w:val="es-ES"/>
        </w:rPr>
        <w:t xml:space="preserve">a materia </w:t>
      </w:r>
      <w:r w:rsidR="009E7C04" w:rsidRPr="00142A36">
        <w:rPr>
          <w:rFonts w:cs="Verdana"/>
          <w:lang w:val="es-ES"/>
        </w:rPr>
        <w:t>so</w:t>
      </w:r>
      <w:r w:rsidR="006E1917" w:rsidRPr="00142A36">
        <w:rPr>
          <w:rFonts w:cs="Verdana"/>
          <w:lang w:val="es-ES"/>
        </w:rPr>
        <w:t xml:space="preserve">bre </w:t>
      </w:r>
      <w:r w:rsidR="009E7C04" w:rsidRPr="00142A36">
        <w:rPr>
          <w:rFonts w:cs="Verdana"/>
          <w:lang w:val="es-ES"/>
        </w:rPr>
        <w:t>l</w:t>
      </w:r>
      <w:r w:rsidR="006E1917" w:rsidRPr="00142A36">
        <w:rPr>
          <w:rFonts w:cs="Verdana"/>
          <w:lang w:val="es-ES"/>
        </w:rPr>
        <w:t>a cual versa uno de los peritajes</w:t>
      </w:r>
      <w:r w:rsidR="009E7C04" w:rsidRPr="00142A36">
        <w:rPr>
          <w:rFonts w:cs="Verdana"/>
          <w:lang w:val="es-ES"/>
        </w:rPr>
        <w:t xml:space="preserve"> ofrecidos por la Comisió</w:t>
      </w:r>
      <w:r w:rsidR="006E1917" w:rsidRPr="00142A36">
        <w:rPr>
          <w:rFonts w:cs="Verdana"/>
          <w:lang w:val="es-ES"/>
        </w:rPr>
        <w:t>n</w:t>
      </w:r>
      <w:r w:rsidR="009E7C04" w:rsidRPr="00142A36">
        <w:rPr>
          <w:rFonts w:cs="Verdana"/>
          <w:lang w:val="es-ES"/>
        </w:rPr>
        <w:t xml:space="preserve">”, refiriéndose al perito Valenzuela </w:t>
      </w:r>
      <w:proofErr w:type="spellStart"/>
      <w:r w:rsidR="009E7C04" w:rsidRPr="00142A36">
        <w:rPr>
          <w:rFonts w:cs="Verdana"/>
          <w:lang w:val="es-ES"/>
        </w:rPr>
        <w:t>Saldías</w:t>
      </w:r>
      <w:proofErr w:type="spellEnd"/>
      <w:r w:rsidR="009E7C04" w:rsidRPr="00142A36">
        <w:rPr>
          <w:rFonts w:cs="Verdana"/>
          <w:lang w:val="es-ES"/>
        </w:rPr>
        <w:t>, propuesto por el Estado</w:t>
      </w:r>
      <w:r w:rsidR="006E1917" w:rsidRPr="00142A36">
        <w:rPr>
          <w:rFonts w:cs="Verdana"/>
          <w:lang w:val="es-ES"/>
        </w:rPr>
        <w:t xml:space="preserve">. </w:t>
      </w:r>
      <w:r w:rsidR="00CC2451" w:rsidRPr="00142A36">
        <w:rPr>
          <w:rFonts w:cs="Verdana"/>
          <w:lang w:val="es-ES"/>
        </w:rPr>
        <w:t>Argumentó que dicho peritaje “</w:t>
      </w:r>
      <w:r w:rsidR="006E1917" w:rsidRPr="00142A36">
        <w:rPr>
          <w:rFonts w:cs="Verdana"/>
          <w:lang w:val="es-ES"/>
        </w:rPr>
        <w:t xml:space="preserve">se refiere a los </w:t>
      </w:r>
      <w:r w:rsidR="009E7C04" w:rsidRPr="00142A36">
        <w:rPr>
          <w:rFonts w:cs="Verdana"/>
          <w:lang w:val="es-ES"/>
        </w:rPr>
        <w:t>estándares</w:t>
      </w:r>
      <w:r w:rsidR="006E1917" w:rsidRPr="00142A36">
        <w:rPr>
          <w:rFonts w:cs="Verdana"/>
          <w:lang w:val="es-ES"/>
        </w:rPr>
        <w:t xml:space="preserve"> internacionales aplicables a </w:t>
      </w:r>
      <w:r w:rsidR="009E7C04" w:rsidRPr="00142A36">
        <w:rPr>
          <w:rFonts w:cs="Verdana"/>
          <w:lang w:val="es-ES"/>
        </w:rPr>
        <w:t>l</w:t>
      </w:r>
      <w:r w:rsidR="00CC2451" w:rsidRPr="00142A36">
        <w:rPr>
          <w:rFonts w:cs="Verdana"/>
          <w:lang w:val="es-ES"/>
        </w:rPr>
        <w:t>a regl</w:t>
      </w:r>
      <w:r w:rsidR="006E1917" w:rsidRPr="00142A36">
        <w:rPr>
          <w:rFonts w:cs="Verdana"/>
          <w:lang w:val="es-ES"/>
        </w:rPr>
        <w:t xml:space="preserve">a de </w:t>
      </w:r>
      <w:r w:rsidR="009E7C04" w:rsidRPr="00142A36">
        <w:rPr>
          <w:rFonts w:cs="Verdana"/>
          <w:lang w:val="es-ES"/>
        </w:rPr>
        <w:t>exclusión</w:t>
      </w:r>
      <w:r w:rsidR="006E1917" w:rsidRPr="00142A36">
        <w:rPr>
          <w:rFonts w:cs="Verdana"/>
          <w:lang w:val="es-ES"/>
        </w:rPr>
        <w:t>,</w:t>
      </w:r>
      <w:r w:rsidR="009E7C04" w:rsidRPr="00142A36">
        <w:rPr>
          <w:rFonts w:cs="Verdana"/>
          <w:lang w:val="es-ES"/>
        </w:rPr>
        <w:t xml:space="preserve"> </w:t>
      </w:r>
      <w:r w:rsidR="006E1917" w:rsidRPr="00142A36">
        <w:rPr>
          <w:rFonts w:cs="Verdana"/>
          <w:lang w:val="es-ES"/>
        </w:rPr>
        <w:t xml:space="preserve">incluyendo el alcance y contenido de </w:t>
      </w:r>
      <w:r w:rsidR="009E7C04" w:rsidRPr="00142A36">
        <w:rPr>
          <w:rFonts w:cs="Verdana"/>
          <w:lang w:val="es-ES"/>
        </w:rPr>
        <w:t>l</w:t>
      </w:r>
      <w:r w:rsidR="006E1917" w:rsidRPr="00142A36">
        <w:rPr>
          <w:rFonts w:cs="Verdana"/>
          <w:lang w:val="es-ES"/>
        </w:rPr>
        <w:t>a misma</w:t>
      </w:r>
      <w:r w:rsidR="00CC2451" w:rsidRPr="00142A36">
        <w:rPr>
          <w:rFonts w:cs="Verdana"/>
          <w:lang w:val="es-ES"/>
        </w:rPr>
        <w:t>” y que “</w:t>
      </w:r>
      <w:r w:rsidR="006E1917" w:rsidRPr="00142A36">
        <w:rPr>
          <w:rFonts w:cs="Verdana"/>
          <w:lang w:val="es-ES"/>
        </w:rPr>
        <w:t>se encuentra directamente relacionado</w:t>
      </w:r>
      <w:r w:rsidR="009E7C04" w:rsidRPr="00142A36">
        <w:rPr>
          <w:rFonts w:cs="Verdana"/>
          <w:lang w:val="es-ES"/>
        </w:rPr>
        <w:t xml:space="preserve"> </w:t>
      </w:r>
      <w:r w:rsidR="006E1917" w:rsidRPr="00142A36">
        <w:rPr>
          <w:rFonts w:cs="Verdana"/>
          <w:lang w:val="es-ES"/>
        </w:rPr>
        <w:t xml:space="preserve">con el peritaje ofrecido por </w:t>
      </w:r>
      <w:r w:rsidR="009E7C04" w:rsidRPr="00142A36">
        <w:rPr>
          <w:rFonts w:cs="Verdana"/>
          <w:lang w:val="es-ES"/>
        </w:rPr>
        <w:t>l</w:t>
      </w:r>
      <w:r w:rsidR="006E1917" w:rsidRPr="00142A36">
        <w:rPr>
          <w:rFonts w:cs="Verdana"/>
          <w:lang w:val="es-ES"/>
        </w:rPr>
        <w:t>a Comisi</w:t>
      </w:r>
      <w:r w:rsidR="009E7C04" w:rsidRPr="00142A36">
        <w:rPr>
          <w:rFonts w:cs="Verdana"/>
          <w:lang w:val="es-ES"/>
        </w:rPr>
        <w:t>ó</w:t>
      </w:r>
      <w:r w:rsidR="006E1917" w:rsidRPr="00142A36">
        <w:rPr>
          <w:rFonts w:cs="Verdana"/>
          <w:lang w:val="es-ES"/>
        </w:rPr>
        <w:t>n a cargo del perito Juan Mendez</w:t>
      </w:r>
      <w:r w:rsidRPr="00142A36">
        <w:rPr>
          <w:rFonts w:cs="Verdana"/>
          <w:lang w:val="es-ES"/>
        </w:rPr>
        <w:t xml:space="preserve">”. </w:t>
      </w:r>
    </w:p>
    <w:p w:rsidR="00E26C52" w:rsidRPr="00142A36" w:rsidRDefault="00E26C52" w:rsidP="006E1917">
      <w:pPr>
        <w:numPr>
          <w:ilvl w:val="0"/>
          <w:numId w:val="2"/>
        </w:numPr>
        <w:tabs>
          <w:tab w:val="clear" w:pos="720"/>
        </w:tabs>
        <w:autoSpaceDE w:val="0"/>
        <w:autoSpaceDN w:val="0"/>
        <w:adjustRightInd w:val="0"/>
        <w:rPr>
          <w:szCs w:val="20"/>
        </w:rPr>
      </w:pPr>
      <w:r w:rsidRPr="00142A36">
        <w:rPr>
          <w:szCs w:val="20"/>
        </w:rPr>
        <w:t xml:space="preserve">El Estado y el interviniente común no formularon observaciones al respecto. </w:t>
      </w:r>
    </w:p>
    <w:p w:rsidR="00784582" w:rsidRPr="00142A36" w:rsidRDefault="000450C7" w:rsidP="006E1917">
      <w:pPr>
        <w:numPr>
          <w:ilvl w:val="0"/>
          <w:numId w:val="2"/>
        </w:numPr>
        <w:tabs>
          <w:tab w:val="clear" w:pos="720"/>
        </w:tabs>
        <w:autoSpaceDE w:val="0"/>
        <w:autoSpaceDN w:val="0"/>
        <w:adjustRightInd w:val="0"/>
        <w:rPr>
          <w:szCs w:val="20"/>
        </w:rPr>
      </w:pPr>
      <w:r w:rsidRPr="00142A36">
        <w:rPr>
          <w:szCs w:val="20"/>
        </w:rPr>
        <w:t>E</w:t>
      </w:r>
      <w:r w:rsidR="00784582" w:rsidRPr="00142A36">
        <w:rPr>
          <w:szCs w:val="20"/>
        </w:rPr>
        <w:t xml:space="preserve">l Presidente recuerda las normas del Reglamento del </w:t>
      </w:r>
      <w:r w:rsidR="00784582" w:rsidRPr="00142A36">
        <w:rPr>
          <w:rFonts w:cs="Verdana"/>
          <w:szCs w:val="20"/>
          <w:lang w:bidi="en-US"/>
        </w:rPr>
        <w:t>Tribunal</w:t>
      </w:r>
      <w:r w:rsidR="00784582" w:rsidRPr="00142A36">
        <w:rPr>
          <w:szCs w:val="20"/>
        </w:rPr>
        <w:t xml:space="preserve"> en cuanto a la recepción de declaraciones propuestas por la Comisión, así como en relación con la facultad de la misma para interrogar a los declarantes</w:t>
      </w:r>
      <w:r w:rsidR="00784582" w:rsidRPr="00142A36">
        <w:rPr>
          <w:rFonts w:ascii="Times" w:hAnsi="Times"/>
          <w:szCs w:val="20"/>
        </w:rPr>
        <w:t xml:space="preserve"> </w:t>
      </w:r>
      <w:r w:rsidR="00784582" w:rsidRPr="00142A36">
        <w:rPr>
          <w:szCs w:val="20"/>
        </w:rPr>
        <w:t>ofrecidos por las partes</w:t>
      </w:r>
      <w:r w:rsidR="00784582" w:rsidRPr="00142A36">
        <w:rPr>
          <w:rStyle w:val="FootnoteReference"/>
          <w:szCs w:val="20"/>
        </w:rPr>
        <w:footnoteReference w:id="15"/>
      </w:r>
      <w:r w:rsidR="00784582" w:rsidRPr="00142A36">
        <w:rPr>
          <w:szCs w:val="20"/>
        </w:rPr>
        <w:t>. En particular, es pertinente recordar lo establecido en el artículo 50.5 del Reglamento, el cual establece que “[l]as presuntas víctimas o su</w:t>
      </w:r>
      <w:r w:rsidR="00E01479" w:rsidRPr="00142A36">
        <w:rPr>
          <w:szCs w:val="20"/>
        </w:rPr>
        <w:t>s representantes</w:t>
      </w:r>
      <w:r w:rsidR="00784582" w:rsidRPr="00142A36">
        <w:rPr>
          <w:szCs w:val="20"/>
        </w:rPr>
        <w:t>, el Estado demandado y, en su caso, el Estado demandante podrán formular preguntas por escrito a los declarantes ofrecidos por la contraparte y, en su caso, por la Comisión, que hayan sido llamados a prestar declaración ante fedatario público (</w:t>
      </w:r>
      <w:r w:rsidR="00784582" w:rsidRPr="00142A36">
        <w:rPr>
          <w:i/>
          <w:szCs w:val="20"/>
        </w:rPr>
        <w:t>affid</w:t>
      </w:r>
      <w:r w:rsidR="00E01479" w:rsidRPr="00142A36">
        <w:rPr>
          <w:i/>
          <w:szCs w:val="20"/>
        </w:rPr>
        <w:t>a</w:t>
      </w:r>
      <w:r w:rsidR="00784582" w:rsidRPr="00142A36">
        <w:rPr>
          <w:i/>
          <w:szCs w:val="20"/>
        </w:rPr>
        <w:t>vit</w:t>
      </w:r>
      <w:r w:rsidR="00784582" w:rsidRPr="00142A36">
        <w:rPr>
          <w:szCs w:val="20"/>
        </w:rPr>
        <w:t xml:space="preserve">)”. Dicha norma debe ser leída en conjunto con el artículo 52.3 del Reglamento, que prevé la posibilidad de que la Comisión interrogue a los peritos declarantes presentados por las partes, “si la Corte lo autoriza a solicitud fundada de la Comisión, cuando se afecte de manera relevante el orden público interamericano de los derechos humanos y su declaración verse sobre alguna materia contenida en un peritaje ofrecido por la Comisión”. De modo tal que corresponde a la Comisión fundamentar en cada caso cuál es la vinculación tanto </w:t>
      </w:r>
      <w:r w:rsidR="00784582" w:rsidRPr="00142A36">
        <w:rPr>
          <w:szCs w:val="20"/>
        </w:rPr>
        <w:lastRenderedPageBreak/>
        <w:t>con el orden público interamericano como con la materia sobre la que verse un peritaje ofrecido por la misma, para que la Corte o su Presidencia pueda evaluar la solicitud oportunamente y, si corresponde, autorizar la posibilidad de que la Comisión haga su interrogatorio</w:t>
      </w:r>
      <w:r w:rsidR="00784582" w:rsidRPr="00142A36">
        <w:rPr>
          <w:rStyle w:val="FootnoteReference"/>
          <w:szCs w:val="20"/>
        </w:rPr>
        <w:footnoteReference w:id="16"/>
      </w:r>
      <w:r w:rsidR="00784582" w:rsidRPr="00142A36">
        <w:rPr>
          <w:szCs w:val="20"/>
        </w:rPr>
        <w:t>.</w:t>
      </w:r>
    </w:p>
    <w:p w:rsidR="00784582" w:rsidRPr="00142A36" w:rsidRDefault="00784582" w:rsidP="00EB1B37">
      <w:pPr>
        <w:numPr>
          <w:ilvl w:val="0"/>
          <w:numId w:val="2"/>
        </w:numPr>
        <w:tabs>
          <w:tab w:val="clear" w:pos="720"/>
        </w:tabs>
        <w:autoSpaceDE w:val="0"/>
        <w:autoSpaceDN w:val="0"/>
        <w:adjustRightInd w:val="0"/>
        <w:rPr>
          <w:lang w:val="es-CR"/>
        </w:rPr>
      </w:pPr>
      <w:r w:rsidRPr="00142A36">
        <w:t>E</w:t>
      </w:r>
      <w:r w:rsidR="000450C7" w:rsidRPr="00142A36">
        <w:t>ste Presidencia nota</w:t>
      </w:r>
      <w:r w:rsidRPr="00142A36">
        <w:t xml:space="preserve"> que la Comisión vincula los peritajes </w:t>
      </w:r>
      <w:r w:rsidR="006E1917" w:rsidRPr="00142A36">
        <w:t xml:space="preserve">de los señores Méndez y Valenzuela </w:t>
      </w:r>
      <w:proofErr w:type="spellStart"/>
      <w:r w:rsidR="006E1917" w:rsidRPr="00142A36">
        <w:t>Saldías</w:t>
      </w:r>
      <w:proofErr w:type="spellEnd"/>
      <w:r w:rsidR="006E1917" w:rsidRPr="00142A36">
        <w:t xml:space="preserve"> </w:t>
      </w:r>
      <w:r w:rsidRPr="00142A36">
        <w:t>por</w:t>
      </w:r>
      <w:r w:rsidR="006E1917" w:rsidRPr="00142A36">
        <w:t xml:space="preserve"> cuanto los dos se refieren a los estándares y obligaciones estatales respecto de la regla de exclusión</w:t>
      </w:r>
      <w:r w:rsidR="000450C7" w:rsidRPr="00142A36">
        <w:t xml:space="preserve"> antes referida</w:t>
      </w:r>
      <w:r w:rsidR="000A49DD" w:rsidRPr="00142A36">
        <w:t>. Se</w:t>
      </w:r>
      <w:r w:rsidR="000450C7" w:rsidRPr="00142A36">
        <w:t xml:space="preserve"> </w:t>
      </w:r>
      <w:r w:rsidRPr="00142A36">
        <w:rPr>
          <w:lang w:val="es-CR"/>
        </w:rPr>
        <w:t xml:space="preserve">considera que </w:t>
      </w:r>
      <w:r w:rsidR="000450C7" w:rsidRPr="00142A36">
        <w:rPr>
          <w:lang w:val="es-CR"/>
        </w:rPr>
        <w:t xml:space="preserve">efectivamente </w:t>
      </w:r>
      <w:r w:rsidRPr="00142A36">
        <w:rPr>
          <w:lang w:val="es-CR"/>
        </w:rPr>
        <w:t>existe coincidencia entre el objeto del referido peritaje ofrecido por la Comisión y</w:t>
      </w:r>
      <w:r w:rsidR="000450C7" w:rsidRPr="00142A36">
        <w:rPr>
          <w:lang w:val="es-CR"/>
        </w:rPr>
        <w:t xml:space="preserve"> </w:t>
      </w:r>
      <w:r w:rsidRPr="00142A36">
        <w:rPr>
          <w:lang w:val="es-CR"/>
        </w:rPr>
        <w:t xml:space="preserve">el objeto del peritaje ofrecido por </w:t>
      </w:r>
      <w:r w:rsidR="006E1917" w:rsidRPr="00142A36">
        <w:rPr>
          <w:rFonts w:eastAsiaTheme="minorHAnsi" w:cs="Helvetica"/>
          <w:szCs w:val="20"/>
          <w:lang w:val="es-CR" w:eastAsia="en-US"/>
        </w:rPr>
        <w:t>el Estado</w:t>
      </w:r>
      <w:r w:rsidRPr="00142A36">
        <w:rPr>
          <w:lang w:val="es-CR"/>
        </w:rPr>
        <w:t>. Además, el peritaje de</w:t>
      </w:r>
      <w:r w:rsidR="000A49DD" w:rsidRPr="00142A36">
        <w:rPr>
          <w:lang w:val="es-CR"/>
        </w:rPr>
        <w:t>l señ</w:t>
      </w:r>
      <w:r w:rsidR="00C46EF4" w:rsidRPr="00142A36">
        <w:rPr>
          <w:lang w:val="es-CR"/>
        </w:rPr>
        <w:t xml:space="preserve">or Valenzuela </w:t>
      </w:r>
      <w:proofErr w:type="spellStart"/>
      <w:r w:rsidR="00C46EF4" w:rsidRPr="00142A36">
        <w:rPr>
          <w:lang w:val="es-CR"/>
        </w:rPr>
        <w:t>Saldías</w:t>
      </w:r>
      <w:proofErr w:type="spellEnd"/>
      <w:r w:rsidR="00C46EF4" w:rsidRPr="00142A36">
        <w:rPr>
          <w:lang w:val="es-CR"/>
        </w:rPr>
        <w:t xml:space="preserve"> </w:t>
      </w:r>
      <w:r w:rsidRPr="00142A36">
        <w:rPr>
          <w:lang w:val="es-CR"/>
        </w:rPr>
        <w:t>incorpora temas relacionados con el orden público interamericano como parte de su objeto.</w:t>
      </w:r>
    </w:p>
    <w:p w:rsidR="00445C8A" w:rsidRPr="00142A36" w:rsidRDefault="00784582" w:rsidP="00445C8A">
      <w:pPr>
        <w:numPr>
          <w:ilvl w:val="0"/>
          <w:numId w:val="2"/>
        </w:numPr>
        <w:tabs>
          <w:tab w:val="clear" w:pos="720"/>
        </w:tabs>
        <w:autoSpaceDE w:val="0"/>
        <w:autoSpaceDN w:val="0"/>
        <w:adjustRightInd w:val="0"/>
        <w:rPr>
          <w:lang w:val="es-CR"/>
        </w:rPr>
      </w:pPr>
      <w:bookmarkStart w:id="8" w:name="_Ref326589294"/>
      <w:r w:rsidRPr="00142A36">
        <w:rPr>
          <w:lang w:val="es-CR"/>
        </w:rPr>
        <w:t>Por tanto, el Presidente considera procedente, conforme a los artículos 50.5 y 52.3 del Reglamento, conceder oportunidad a la Comisión para formular preguntas a</w:t>
      </w:r>
      <w:r w:rsidR="006E1917" w:rsidRPr="00142A36">
        <w:rPr>
          <w:lang w:val="es-CR"/>
        </w:rPr>
        <w:t>l perito</w:t>
      </w:r>
      <w:r w:rsidRPr="00142A36">
        <w:rPr>
          <w:lang w:val="es-CR"/>
        </w:rPr>
        <w:t xml:space="preserve"> </w:t>
      </w:r>
      <w:r w:rsidR="006E1917" w:rsidRPr="00142A36">
        <w:rPr>
          <w:lang w:val="es-CR"/>
        </w:rPr>
        <w:t xml:space="preserve">Valenzuela </w:t>
      </w:r>
      <w:proofErr w:type="spellStart"/>
      <w:r w:rsidR="006E1917" w:rsidRPr="00142A36">
        <w:rPr>
          <w:lang w:val="es-CR"/>
        </w:rPr>
        <w:t>Saldías</w:t>
      </w:r>
      <w:proofErr w:type="spellEnd"/>
      <w:r w:rsidRPr="00142A36">
        <w:rPr>
          <w:lang w:val="es-CR"/>
        </w:rPr>
        <w:t>,</w:t>
      </w:r>
      <w:r w:rsidRPr="00142A36">
        <w:t xml:space="preserve"> respecto de los referidos temas </w:t>
      </w:r>
      <w:r w:rsidRPr="00142A36">
        <w:rPr>
          <w:lang w:val="es-CR"/>
        </w:rPr>
        <w:t>relacionados con el orden público interamericano.</w:t>
      </w:r>
      <w:bookmarkEnd w:id="8"/>
    </w:p>
    <w:p w:rsidR="0027794F" w:rsidRPr="00142A36" w:rsidRDefault="00DD161B" w:rsidP="00AF071E">
      <w:pPr>
        <w:pStyle w:val="ListParagraph1"/>
        <w:numPr>
          <w:ilvl w:val="0"/>
          <w:numId w:val="33"/>
        </w:numPr>
        <w:spacing w:before="240" w:after="120"/>
        <w:ind w:right="11"/>
        <w:jc w:val="both"/>
        <w:rPr>
          <w:rFonts w:ascii="Verdana" w:hAnsi="Verdana" w:cs="Verdana"/>
          <w:b/>
          <w:bCs/>
          <w:i/>
          <w:iCs/>
          <w:sz w:val="20"/>
          <w:szCs w:val="20"/>
        </w:rPr>
      </w:pPr>
      <w:r w:rsidRPr="00142A36">
        <w:rPr>
          <w:rFonts w:ascii="Verdana" w:hAnsi="Verdana" w:cs="Verdana"/>
          <w:b/>
          <w:bCs/>
          <w:i/>
          <w:iCs/>
          <w:sz w:val="20"/>
          <w:szCs w:val="20"/>
        </w:rPr>
        <w:t xml:space="preserve">Modalidad de las declaraciones y dictámenes periciales por recibir </w:t>
      </w:r>
    </w:p>
    <w:p w:rsidR="00DD161B" w:rsidRPr="00142A36" w:rsidRDefault="00DD161B" w:rsidP="00EB1B37">
      <w:pPr>
        <w:numPr>
          <w:ilvl w:val="0"/>
          <w:numId w:val="2"/>
        </w:numPr>
        <w:tabs>
          <w:tab w:val="clear" w:pos="720"/>
        </w:tabs>
        <w:autoSpaceDE w:val="0"/>
        <w:autoSpaceDN w:val="0"/>
        <w:adjustRightInd w:val="0"/>
        <w:rPr>
          <w:bCs/>
          <w:szCs w:val="20"/>
        </w:rPr>
      </w:pPr>
      <w:r w:rsidRPr="00142A36">
        <w:rPr>
          <w:bCs/>
          <w:szCs w:val="20"/>
        </w:rPr>
        <w:t xml:space="preserve">Es </w:t>
      </w:r>
      <w:r w:rsidRPr="00142A36">
        <w:rPr>
          <w:szCs w:val="20"/>
        </w:rPr>
        <w:t xml:space="preserve">necesario asegurar la más amplia presentación de hechos y argumentos por las partes </w:t>
      </w:r>
      <w:r w:rsidRPr="00142A36">
        <w:rPr>
          <w:bCs/>
          <w:iCs/>
          <w:szCs w:val="20"/>
          <w:lang w:val="es-CR"/>
        </w:rPr>
        <w:t>en</w:t>
      </w:r>
      <w:r w:rsidRPr="00142A36">
        <w:rPr>
          <w:szCs w:val="20"/>
        </w:rPr>
        <w:t xml:space="preserve"> todo lo que sea pertinente para la solución de las cuestiones controvertidas, garantizando a éstas tanto el derecho a la defensa de sus respectivas posiciones como la posibilidad de atender adecuadamente los casos sujetos a consideración de la Corte, teniendo en cuenta que su número ha crecido considerablemente y se incrementa de manera constante. Asimismo, es necesario que se garantice un plazo razonable en la duración del proceso, como lo requiere el efectivo acceso a la justicia. En razón de lo anterior, es preciso recibir por declaración </w:t>
      </w:r>
      <w:r w:rsidRPr="00142A36">
        <w:rPr>
          <w:rFonts w:cs="Verdana"/>
          <w:szCs w:val="20"/>
          <w:lang w:val="es-CR"/>
        </w:rPr>
        <w:t>rendida</w:t>
      </w:r>
      <w:r w:rsidRPr="00142A36">
        <w:rPr>
          <w:szCs w:val="20"/>
        </w:rPr>
        <w:t xml:space="preserve"> ante fedatario público el mayor número posible de testimonios y dictámenes periciales, y escuchar en audiencia pública a las presuntas víctimas, testigos y peritos cuya declaración directa resulte verdaderamente indispensable, tomando en consideración las circunstancias del caso y el objeto de las declaraciones y dictámenes.</w:t>
      </w:r>
    </w:p>
    <w:p w:rsidR="00DD161B" w:rsidRPr="00142A36" w:rsidRDefault="002843F9" w:rsidP="00DD161B">
      <w:pPr>
        <w:ind w:left="720" w:right="10"/>
        <w:rPr>
          <w:i/>
          <w:szCs w:val="20"/>
        </w:rPr>
      </w:pPr>
      <w:r w:rsidRPr="00142A36">
        <w:rPr>
          <w:i/>
          <w:szCs w:val="20"/>
        </w:rPr>
        <w:t>E</w:t>
      </w:r>
      <w:r w:rsidR="00DD161B" w:rsidRPr="00142A36">
        <w:rPr>
          <w:i/>
          <w:szCs w:val="20"/>
        </w:rPr>
        <w:t xml:space="preserve">.1) </w:t>
      </w:r>
      <w:r w:rsidR="00DD161B" w:rsidRPr="00142A36">
        <w:rPr>
          <w:i/>
          <w:szCs w:val="20"/>
        </w:rPr>
        <w:tab/>
        <w:t xml:space="preserve">Declaraciones y dictámenes periciales a ser rendidos por </w:t>
      </w:r>
      <w:r w:rsidR="004406FE" w:rsidRPr="00142A36">
        <w:rPr>
          <w:i/>
        </w:rPr>
        <w:t>affidavit</w:t>
      </w:r>
    </w:p>
    <w:p w:rsidR="00DD161B" w:rsidRPr="00142A36" w:rsidRDefault="00DD161B" w:rsidP="00EB1B37">
      <w:pPr>
        <w:numPr>
          <w:ilvl w:val="0"/>
          <w:numId w:val="2"/>
        </w:numPr>
        <w:tabs>
          <w:tab w:val="clear" w:pos="720"/>
        </w:tabs>
        <w:autoSpaceDE w:val="0"/>
        <w:autoSpaceDN w:val="0"/>
        <w:adjustRightInd w:val="0"/>
        <w:rPr>
          <w:bCs/>
          <w:szCs w:val="20"/>
        </w:rPr>
      </w:pPr>
      <w:r w:rsidRPr="00142A36">
        <w:rPr>
          <w:bCs/>
          <w:szCs w:val="20"/>
        </w:rPr>
        <w:t xml:space="preserve">Teniendo </w:t>
      </w:r>
      <w:r w:rsidRPr="00142A36">
        <w:rPr>
          <w:szCs w:val="20"/>
        </w:rPr>
        <w:t>en cuenta lo estipulado en el artículo 50.1 del Reglament</w:t>
      </w:r>
      <w:r w:rsidR="000647D6" w:rsidRPr="00142A36">
        <w:rPr>
          <w:szCs w:val="20"/>
        </w:rPr>
        <w:t>o, lo indicado por la Comisión,</w:t>
      </w:r>
      <w:r w:rsidRPr="00142A36">
        <w:rPr>
          <w:szCs w:val="20"/>
        </w:rPr>
        <w:t xml:space="preserve"> </w:t>
      </w:r>
      <w:r w:rsidR="00AE574F" w:rsidRPr="00142A36">
        <w:rPr>
          <w:szCs w:val="20"/>
        </w:rPr>
        <w:t>el</w:t>
      </w:r>
      <w:r w:rsidRPr="00142A36">
        <w:rPr>
          <w:szCs w:val="20"/>
        </w:rPr>
        <w:t xml:space="preserve"> </w:t>
      </w:r>
      <w:r w:rsidR="00965DCF" w:rsidRPr="00142A36">
        <w:rPr>
          <w:szCs w:val="20"/>
        </w:rPr>
        <w:t>interviniente común</w:t>
      </w:r>
      <w:r w:rsidRPr="00142A36">
        <w:rPr>
          <w:szCs w:val="20"/>
        </w:rPr>
        <w:t xml:space="preserve"> </w:t>
      </w:r>
      <w:r w:rsidR="000647D6" w:rsidRPr="00142A36">
        <w:rPr>
          <w:szCs w:val="20"/>
        </w:rPr>
        <w:t xml:space="preserve">y el Estado </w:t>
      </w:r>
      <w:r w:rsidRPr="00142A36">
        <w:rPr>
          <w:szCs w:val="20"/>
        </w:rPr>
        <w:t xml:space="preserve">en sus </w:t>
      </w:r>
      <w:r w:rsidR="00CA6B0C" w:rsidRPr="00142A36">
        <w:rPr>
          <w:szCs w:val="20"/>
        </w:rPr>
        <w:t xml:space="preserve">respectivas </w:t>
      </w:r>
      <w:r w:rsidRPr="00142A36">
        <w:rPr>
          <w:szCs w:val="20"/>
        </w:rPr>
        <w:t>listas definitivas de declarantes, el objeto de las declaraciones ofrecidas, así como el principio de economía procesal, el Presidente estima conveniente recibir, por medio de declaración rendida ante fedatario público, las declaraciones descritas en el punto resolutivo primero de esta decisión</w:t>
      </w:r>
      <w:r w:rsidRPr="00142A36">
        <w:rPr>
          <w:rFonts w:cs="Verdana"/>
          <w:szCs w:val="20"/>
        </w:rPr>
        <w:t>.</w:t>
      </w:r>
      <w:r w:rsidRPr="00142A36">
        <w:rPr>
          <w:szCs w:val="20"/>
        </w:rPr>
        <w:t xml:space="preserve"> </w:t>
      </w:r>
    </w:p>
    <w:p w:rsidR="00DD161B" w:rsidRPr="00142A36" w:rsidRDefault="00656D34" w:rsidP="00EB1B37">
      <w:pPr>
        <w:numPr>
          <w:ilvl w:val="0"/>
          <w:numId w:val="2"/>
        </w:numPr>
        <w:tabs>
          <w:tab w:val="clear" w:pos="720"/>
        </w:tabs>
        <w:autoSpaceDE w:val="0"/>
        <w:autoSpaceDN w:val="0"/>
        <w:adjustRightInd w:val="0"/>
        <w:rPr>
          <w:bCs/>
          <w:szCs w:val="20"/>
        </w:rPr>
      </w:pPr>
      <w:r w:rsidRPr="00142A36">
        <w:rPr>
          <w:szCs w:val="20"/>
        </w:rPr>
        <w:t xml:space="preserve">En aplicación de lo dispuesto en el artículo 50. 5 del Reglamento de la Corte, se otorga una oportunidad para que el interviniente común y el Estado presenten, si así lo desean, las preguntas que estimen pertinentes a los declarantes en el referido punto resolutivo. Al rendir su declaración ante fedatario público, los declarantes deberán responder a dichas preguntas, salvo que el Presidente disponga lo contrario. Las declaraciones serán transmitidas a la Comisión, al Estado y al interviniente común. A su vez, el Estado y el interviniente común, así como la Comisión en lo que le concierne, podrán presentar las observaciones que estimen pertinentes en el plazo respectivo. Los plazos correspondientes serán precisados </w:t>
      </w:r>
      <w:r w:rsidRPr="00142A36">
        <w:rPr>
          <w:i/>
          <w:szCs w:val="20"/>
        </w:rPr>
        <w:t xml:space="preserve">infra, </w:t>
      </w:r>
      <w:r w:rsidRPr="00142A36">
        <w:rPr>
          <w:szCs w:val="20"/>
        </w:rPr>
        <w:t xml:space="preserve">en los puntos </w:t>
      </w:r>
      <w:r w:rsidRPr="00142A36">
        <w:rPr>
          <w:rFonts w:cs="Verdana"/>
          <w:szCs w:val="20"/>
        </w:rPr>
        <w:t>resolutivos</w:t>
      </w:r>
      <w:r w:rsidRPr="00142A36">
        <w:rPr>
          <w:szCs w:val="20"/>
        </w:rPr>
        <w:t xml:space="preserve"> 2 y 3 de la presente Resolución.</w:t>
      </w:r>
      <w:r w:rsidRPr="00142A36">
        <w:rPr>
          <w:b/>
          <w:szCs w:val="20"/>
        </w:rPr>
        <w:t xml:space="preserve"> </w:t>
      </w:r>
      <w:r w:rsidRPr="00142A36">
        <w:rPr>
          <w:szCs w:val="20"/>
        </w:rPr>
        <w:t>El valor probatorio de dichas declaraciones será determinado en su oportunidad por el Tribunal, el cual tomará en cuenta, en su caso, los puntos de vista expresados por el Estado y el interviniente común en ejercicio de su derecho a la defensa</w:t>
      </w:r>
      <w:r w:rsidR="00DD161B" w:rsidRPr="00142A36">
        <w:rPr>
          <w:szCs w:val="20"/>
        </w:rPr>
        <w:t>.</w:t>
      </w:r>
    </w:p>
    <w:p w:rsidR="00DD161B" w:rsidRPr="00142A36" w:rsidRDefault="00935131" w:rsidP="00DD161B">
      <w:pPr>
        <w:ind w:left="720" w:right="10"/>
        <w:rPr>
          <w:i/>
          <w:szCs w:val="20"/>
        </w:rPr>
      </w:pPr>
      <w:r w:rsidRPr="00142A36">
        <w:rPr>
          <w:i/>
          <w:szCs w:val="20"/>
        </w:rPr>
        <w:t>E</w:t>
      </w:r>
      <w:r w:rsidR="00DD161B" w:rsidRPr="00142A36">
        <w:rPr>
          <w:i/>
          <w:szCs w:val="20"/>
        </w:rPr>
        <w:t>.</w:t>
      </w:r>
      <w:r w:rsidRPr="00142A36">
        <w:rPr>
          <w:i/>
          <w:szCs w:val="20"/>
        </w:rPr>
        <w:t>3</w:t>
      </w:r>
      <w:r w:rsidR="00DD161B" w:rsidRPr="00142A36">
        <w:rPr>
          <w:i/>
          <w:szCs w:val="20"/>
        </w:rPr>
        <w:t xml:space="preserve">) </w:t>
      </w:r>
      <w:r w:rsidR="00DD161B" w:rsidRPr="00142A36">
        <w:rPr>
          <w:i/>
          <w:szCs w:val="20"/>
        </w:rPr>
        <w:tab/>
        <w:t xml:space="preserve">Declaraciones y dictamen pericial por ser recibidos en audiencia </w:t>
      </w:r>
    </w:p>
    <w:p w:rsidR="00306396" w:rsidRPr="00142A36" w:rsidRDefault="00DD161B" w:rsidP="00EB1B37">
      <w:pPr>
        <w:numPr>
          <w:ilvl w:val="0"/>
          <w:numId w:val="2"/>
        </w:numPr>
        <w:tabs>
          <w:tab w:val="clear" w:pos="720"/>
        </w:tabs>
        <w:autoSpaceDE w:val="0"/>
        <w:autoSpaceDN w:val="0"/>
        <w:adjustRightInd w:val="0"/>
        <w:rPr>
          <w:b/>
          <w:bCs/>
          <w:i/>
          <w:iCs/>
          <w:szCs w:val="20"/>
        </w:rPr>
      </w:pPr>
      <w:r w:rsidRPr="00142A36">
        <w:rPr>
          <w:szCs w:val="20"/>
        </w:rPr>
        <w:t>Los</w:t>
      </w:r>
      <w:r w:rsidRPr="00142A36">
        <w:rPr>
          <w:bCs/>
          <w:szCs w:val="20"/>
        </w:rPr>
        <w:t xml:space="preserve"> </w:t>
      </w:r>
      <w:r w:rsidRPr="00142A36">
        <w:rPr>
          <w:szCs w:val="20"/>
        </w:rPr>
        <w:t>autos en el presente caso se encuentran listos para la apertura del procedimiento oral en cuanto a</w:t>
      </w:r>
      <w:r w:rsidR="00C10A07" w:rsidRPr="00142A36">
        <w:rPr>
          <w:szCs w:val="20"/>
        </w:rPr>
        <w:t>l</w:t>
      </w:r>
      <w:r w:rsidR="004C5778" w:rsidRPr="00142A36">
        <w:rPr>
          <w:szCs w:val="20"/>
        </w:rPr>
        <w:t xml:space="preserve"> </w:t>
      </w:r>
      <w:r w:rsidRPr="00142A36">
        <w:rPr>
          <w:szCs w:val="20"/>
        </w:rPr>
        <w:t xml:space="preserve">fondo y eventuales reparaciones y costas, por lo que el Presidente estima </w:t>
      </w:r>
      <w:r w:rsidRPr="00142A36">
        <w:rPr>
          <w:szCs w:val="20"/>
        </w:rPr>
        <w:lastRenderedPageBreak/>
        <w:t xml:space="preserve">pertinente convocar a una audiencia pública para recibir las declaraciones </w:t>
      </w:r>
      <w:r w:rsidR="00DC200E" w:rsidRPr="00142A36">
        <w:rPr>
          <w:szCs w:val="20"/>
        </w:rPr>
        <w:t xml:space="preserve">de </w:t>
      </w:r>
      <w:r w:rsidR="009F11DC" w:rsidRPr="00142A36">
        <w:rPr>
          <w:szCs w:val="20"/>
        </w:rPr>
        <w:t>una</w:t>
      </w:r>
      <w:r w:rsidR="002843F9" w:rsidRPr="00142A36">
        <w:rPr>
          <w:rFonts w:cs="Verdana"/>
          <w:szCs w:val="20"/>
        </w:rPr>
        <w:t xml:space="preserve"> presunta víctima</w:t>
      </w:r>
      <w:r w:rsidR="00C10A07" w:rsidRPr="00142A36">
        <w:rPr>
          <w:rFonts w:cs="Verdana"/>
          <w:szCs w:val="20"/>
        </w:rPr>
        <w:t xml:space="preserve"> propuesta</w:t>
      </w:r>
      <w:r w:rsidRPr="00142A36">
        <w:rPr>
          <w:rFonts w:cs="Verdana"/>
          <w:szCs w:val="20"/>
        </w:rPr>
        <w:t xml:space="preserve"> por </w:t>
      </w:r>
      <w:r w:rsidR="00C10A07" w:rsidRPr="00142A36">
        <w:rPr>
          <w:rFonts w:cs="Verdana"/>
          <w:szCs w:val="20"/>
        </w:rPr>
        <w:t>e</w:t>
      </w:r>
      <w:r w:rsidRPr="00142A36">
        <w:rPr>
          <w:rFonts w:cs="Verdana"/>
          <w:szCs w:val="20"/>
        </w:rPr>
        <w:t>l</w:t>
      </w:r>
      <w:r w:rsidR="00C10A07" w:rsidRPr="00142A36">
        <w:rPr>
          <w:rFonts w:cs="Verdana"/>
          <w:szCs w:val="20"/>
        </w:rPr>
        <w:t xml:space="preserve"> </w:t>
      </w:r>
      <w:r w:rsidR="00965DCF" w:rsidRPr="00142A36">
        <w:rPr>
          <w:rFonts w:cs="Verdana"/>
          <w:szCs w:val="20"/>
        </w:rPr>
        <w:t>interviniente común</w:t>
      </w:r>
      <w:r w:rsidR="00C10A07" w:rsidRPr="00142A36">
        <w:rPr>
          <w:rFonts w:cs="Verdana"/>
          <w:szCs w:val="20"/>
        </w:rPr>
        <w:t>; un testigo y un perito, propuestos por el Estado, y un perito propuesto por</w:t>
      </w:r>
      <w:r w:rsidRPr="00142A36">
        <w:rPr>
          <w:rFonts w:cs="Verdana"/>
          <w:szCs w:val="20"/>
        </w:rPr>
        <w:t xml:space="preserve"> la Comisión</w:t>
      </w:r>
      <w:r w:rsidR="00C10A07" w:rsidRPr="00142A36">
        <w:rPr>
          <w:rFonts w:cs="Verdana"/>
          <w:szCs w:val="20"/>
        </w:rPr>
        <w:t>; todos</w:t>
      </w:r>
      <w:r w:rsidRPr="00142A36">
        <w:rPr>
          <w:rFonts w:cs="Verdana"/>
          <w:szCs w:val="20"/>
        </w:rPr>
        <w:t xml:space="preserve"> </w:t>
      </w:r>
      <w:r w:rsidR="00C10A07" w:rsidRPr="00142A36">
        <w:rPr>
          <w:rFonts w:cs="Verdana"/>
          <w:szCs w:val="20"/>
        </w:rPr>
        <w:t xml:space="preserve">ellos </w:t>
      </w:r>
      <w:r w:rsidRPr="00142A36">
        <w:rPr>
          <w:rFonts w:cs="Verdana"/>
          <w:szCs w:val="20"/>
        </w:rPr>
        <w:t xml:space="preserve">señalados en el punto resolutivo </w:t>
      </w:r>
      <w:r w:rsidR="00EC4020" w:rsidRPr="00142A36">
        <w:rPr>
          <w:rFonts w:cs="Verdana"/>
          <w:szCs w:val="20"/>
        </w:rPr>
        <w:t>5</w:t>
      </w:r>
      <w:r w:rsidRPr="00142A36">
        <w:rPr>
          <w:rFonts w:cs="Verdana"/>
          <w:szCs w:val="20"/>
        </w:rPr>
        <w:t xml:space="preserve"> de esta decisión.</w:t>
      </w:r>
    </w:p>
    <w:p w:rsidR="00BC1493" w:rsidRPr="00142A36" w:rsidRDefault="00DD161B" w:rsidP="00784582">
      <w:pPr>
        <w:pStyle w:val="ListParagraph1"/>
        <w:numPr>
          <w:ilvl w:val="0"/>
          <w:numId w:val="33"/>
        </w:numPr>
        <w:spacing w:before="240" w:after="120"/>
        <w:ind w:right="11"/>
        <w:jc w:val="both"/>
        <w:rPr>
          <w:rFonts w:ascii="Verdana" w:hAnsi="Verdana" w:cs="Verdana"/>
          <w:b/>
          <w:bCs/>
          <w:i/>
          <w:iCs/>
          <w:sz w:val="20"/>
          <w:szCs w:val="20"/>
        </w:rPr>
      </w:pPr>
      <w:r w:rsidRPr="00142A36">
        <w:rPr>
          <w:rFonts w:ascii="Verdana" w:hAnsi="Verdana" w:cs="Verdana"/>
          <w:b/>
          <w:bCs/>
          <w:i/>
          <w:iCs/>
          <w:sz w:val="20"/>
          <w:szCs w:val="20"/>
        </w:rPr>
        <w:t>Alegatos y observaciones finales orales y escritos</w:t>
      </w:r>
    </w:p>
    <w:p w:rsidR="002616E4" w:rsidRPr="00142A36" w:rsidRDefault="00F6696D" w:rsidP="00EB1B37">
      <w:pPr>
        <w:numPr>
          <w:ilvl w:val="0"/>
          <w:numId w:val="2"/>
        </w:numPr>
        <w:tabs>
          <w:tab w:val="clear" w:pos="720"/>
        </w:tabs>
        <w:autoSpaceDE w:val="0"/>
        <w:autoSpaceDN w:val="0"/>
        <w:adjustRightInd w:val="0"/>
        <w:rPr>
          <w:rFonts w:cs="Verdana"/>
          <w:bCs/>
          <w:szCs w:val="20"/>
        </w:rPr>
      </w:pPr>
      <w:r w:rsidRPr="00142A36">
        <w:rPr>
          <w:bCs/>
          <w:szCs w:val="20"/>
        </w:rPr>
        <w:t>El</w:t>
      </w:r>
      <w:r w:rsidR="00DD161B" w:rsidRPr="00142A36">
        <w:rPr>
          <w:bCs/>
          <w:szCs w:val="20"/>
        </w:rPr>
        <w:t xml:space="preserve"> </w:t>
      </w:r>
      <w:r w:rsidR="00965DCF" w:rsidRPr="00142A36">
        <w:rPr>
          <w:szCs w:val="20"/>
        </w:rPr>
        <w:t>interviniente común</w:t>
      </w:r>
      <w:r w:rsidR="00DD161B" w:rsidRPr="00142A36">
        <w:rPr>
          <w:rFonts w:cs="Verdana"/>
          <w:szCs w:val="20"/>
        </w:rPr>
        <w:t xml:space="preserve"> y el Estado podrán presentar ante el Tribunal sus </w:t>
      </w:r>
      <w:r w:rsidRPr="00142A36">
        <w:rPr>
          <w:rFonts w:cs="Verdana"/>
          <w:szCs w:val="20"/>
        </w:rPr>
        <w:t xml:space="preserve">respectivos </w:t>
      </w:r>
      <w:r w:rsidR="00DD161B" w:rsidRPr="00142A36">
        <w:rPr>
          <w:rFonts w:cs="Verdana"/>
          <w:szCs w:val="20"/>
        </w:rPr>
        <w:t xml:space="preserve">alegatos finales orales </w:t>
      </w:r>
      <w:r w:rsidR="00DD161B" w:rsidRPr="00142A36">
        <w:rPr>
          <w:szCs w:val="20"/>
        </w:rPr>
        <w:t>sobre</w:t>
      </w:r>
      <w:r w:rsidR="009E266A" w:rsidRPr="00142A36">
        <w:rPr>
          <w:rFonts w:cs="Verdana"/>
          <w:szCs w:val="20"/>
        </w:rPr>
        <w:t xml:space="preserve"> </w:t>
      </w:r>
      <w:r w:rsidRPr="00142A36">
        <w:rPr>
          <w:rFonts w:cs="Verdana"/>
          <w:szCs w:val="20"/>
        </w:rPr>
        <w:t>el</w:t>
      </w:r>
      <w:r w:rsidR="00DD161B" w:rsidRPr="00142A36">
        <w:rPr>
          <w:szCs w:val="20"/>
          <w:lang w:val="es-CR"/>
        </w:rPr>
        <w:t xml:space="preserve"> fondo y </w:t>
      </w:r>
      <w:r w:rsidRPr="00142A36">
        <w:rPr>
          <w:szCs w:val="20"/>
          <w:lang w:val="es-CR"/>
        </w:rPr>
        <w:t xml:space="preserve">eventuales </w:t>
      </w:r>
      <w:r w:rsidR="00DD161B" w:rsidRPr="00142A36">
        <w:rPr>
          <w:szCs w:val="20"/>
          <w:lang w:val="es-CR"/>
        </w:rPr>
        <w:t xml:space="preserve">reparaciones </w:t>
      </w:r>
      <w:r w:rsidRPr="00142A36">
        <w:rPr>
          <w:rFonts w:cs="Verdana"/>
          <w:szCs w:val="20"/>
        </w:rPr>
        <w:t>en este caso</w:t>
      </w:r>
      <w:r w:rsidR="00DD161B" w:rsidRPr="00142A36">
        <w:rPr>
          <w:rFonts w:cs="Verdana"/>
          <w:szCs w:val="20"/>
        </w:rPr>
        <w:t xml:space="preserve"> al término de las declaraciones. Según se establece en el artículo 51.8 del Reglamento, concluidos los alegatos la Comisión Interamericana presentará sus observaciones finales orales</w:t>
      </w:r>
      <w:r w:rsidR="00DD161B" w:rsidRPr="00142A36">
        <w:rPr>
          <w:rFonts w:cs="Verdana"/>
          <w:bCs/>
          <w:szCs w:val="20"/>
        </w:rPr>
        <w:t>.</w:t>
      </w:r>
    </w:p>
    <w:p w:rsidR="00DD161B" w:rsidRPr="00142A36" w:rsidRDefault="00DD161B" w:rsidP="00EB1B37">
      <w:pPr>
        <w:numPr>
          <w:ilvl w:val="0"/>
          <w:numId w:val="2"/>
        </w:numPr>
        <w:tabs>
          <w:tab w:val="clear" w:pos="720"/>
        </w:tabs>
        <w:autoSpaceDE w:val="0"/>
        <w:autoSpaceDN w:val="0"/>
        <w:adjustRightInd w:val="0"/>
        <w:rPr>
          <w:bCs/>
          <w:szCs w:val="20"/>
        </w:rPr>
      </w:pPr>
      <w:r w:rsidRPr="00142A36">
        <w:rPr>
          <w:rFonts w:cs="Verdana"/>
          <w:szCs w:val="20"/>
        </w:rPr>
        <w:t xml:space="preserve">De acuerdo con el artículo 56 del Reglamento, las presuntas víctimas o su </w:t>
      </w:r>
      <w:r w:rsidR="00965DCF" w:rsidRPr="00142A36">
        <w:rPr>
          <w:szCs w:val="20"/>
        </w:rPr>
        <w:t xml:space="preserve">interviniente </w:t>
      </w:r>
      <w:r w:rsidR="00002E9E" w:rsidRPr="00142A36">
        <w:rPr>
          <w:szCs w:val="20"/>
        </w:rPr>
        <w:t>común</w:t>
      </w:r>
      <w:r w:rsidRPr="00142A36">
        <w:rPr>
          <w:rFonts w:cs="Verdana"/>
          <w:szCs w:val="20"/>
        </w:rPr>
        <w:t xml:space="preserve">, el Estado y la </w:t>
      </w:r>
      <w:r w:rsidRPr="00142A36">
        <w:rPr>
          <w:bCs/>
          <w:szCs w:val="20"/>
        </w:rPr>
        <w:t>Comisión</w:t>
      </w:r>
      <w:r w:rsidRPr="00142A36">
        <w:rPr>
          <w:rFonts w:cs="Verdana"/>
          <w:szCs w:val="20"/>
        </w:rPr>
        <w:t xml:space="preserve"> podrán presentar sus alegatos finales escritos y observaciones finales escritas, respectivamente, en relación con </w:t>
      </w:r>
      <w:r w:rsidR="00F6696D" w:rsidRPr="00142A36">
        <w:rPr>
          <w:rFonts w:cs="Verdana"/>
          <w:szCs w:val="20"/>
          <w:lang w:bidi="en-US"/>
        </w:rPr>
        <w:t>el</w:t>
      </w:r>
      <w:r w:rsidRPr="00142A36">
        <w:rPr>
          <w:rFonts w:cs="Verdana"/>
          <w:szCs w:val="20"/>
          <w:lang w:bidi="en-US"/>
        </w:rPr>
        <w:t xml:space="preserve"> fondo y </w:t>
      </w:r>
      <w:r w:rsidR="00F6696D" w:rsidRPr="00142A36">
        <w:rPr>
          <w:rFonts w:cs="Verdana"/>
          <w:szCs w:val="20"/>
          <w:lang w:bidi="en-US"/>
        </w:rPr>
        <w:t xml:space="preserve">eventuales </w:t>
      </w:r>
      <w:r w:rsidRPr="00142A36">
        <w:rPr>
          <w:rFonts w:cs="Verdana"/>
          <w:szCs w:val="20"/>
          <w:lang w:bidi="en-US"/>
        </w:rPr>
        <w:t>reparaciones</w:t>
      </w:r>
      <w:r w:rsidRPr="00142A36">
        <w:rPr>
          <w:rFonts w:cs="Verdana"/>
          <w:szCs w:val="20"/>
        </w:rPr>
        <w:t xml:space="preserve">, en el plazo fijado en el punto resolutivo </w:t>
      </w:r>
      <w:r w:rsidR="00002E9E" w:rsidRPr="00142A36">
        <w:rPr>
          <w:rFonts w:cs="Verdana"/>
          <w:szCs w:val="20"/>
        </w:rPr>
        <w:t>12</w:t>
      </w:r>
      <w:r w:rsidRPr="00142A36">
        <w:rPr>
          <w:rFonts w:cs="Verdana"/>
          <w:szCs w:val="20"/>
        </w:rPr>
        <w:t xml:space="preserve"> de esta Resolución.</w:t>
      </w:r>
    </w:p>
    <w:p w:rsidR="00BC1493" w:rsidRPr="00142A36" w:rsidRDefault="00BC1493" w:rsidP="004F4C2A">
      <w:pPr>
        <w:spacing w:afterLines="20"/>
        <w:rPr>
          <w:bCs/>
          <w:iCs/>
          <w:szCs w:val="20"/>
        </w:rPr>
      </w:pPr>
    </w:p>
    <w:p w:rsidR="00306396" w:rsidRPr="00142A36" w:rsidRDefault="00306396" w:rsidP="004F4C2A">
      <w:pPr>
        <w:spacing w:afterLines="20"/>
        <w:rPr>
          <w:szCs w:val="20"/>
        </w:rPr>
      </w:pP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142A36">
        <w:rPr>
          <w:rFonts w:cs="Verdana"/>
          <w:b/>
          <w:bCs/>
          <w:szCs w:val="20"/>
          <w:lang w:bidi="en-US"/>
        </w:rPr>
        <w:t xml:space="preserve">POR TANTO:  </w:t>
      </w: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142A36">
        <w:rPr>
          <w:rFonts w:cs="Verdana"/>
          <w:b/>
          <w:bCs/>
          <w:szCs w:val="20"/>
          <w:lang w:bidi="en-US"/>
        </w:rPr>
        <w:t xml:space="preserve"> </w:t>
      </w: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142A36">
        <w:rPr>
          <w:rFonts w:cs="Verdana"/>
          <w:b/>
          <w:bCs/>
          <w:szCs w:val="20"/>
          <w:lang w:bidi="en-US"/>
        </w:rPr>
        <w:t xml:space="preserve">EL PRESIDENTE DE LA CORTE INTERAMERICANA DE DERECHOS HUMANOS,  </w:t>
      </w: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142A36">
        <w:rPr>
          <w:rFonts w:cs="Verdana"/>
          <w:szCs w:val="20"/>
          <w:lang w:bidi="en-US"/>
        </w:rPr>
        <w:t xml:space="preserve">De conformidad con los artículos 24.1 y 25.2 del Estatuto de la Corte y con los artículos 4, 15.1, 26.1, 31.2, 45, 47, 49, 50, 51, 52, 53, 54, 55, 56, 57, 58 y 60 del Reglamento del Tribunal,  </w:t>
      </w: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142A36">
        <w:rPr>
          <w:rFonts w:cs="Verdana"/>
          <w:szCs w:val="20"/>
          <w:lang w:bidi="en-US"/>
        </w:rPr>
        <w:t xml:space="preserve"> </w:t>
      </w: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142A36">
        <w:rPr>
          <w:rFonts w:cs="Verdana"/>
          <w:b/>
          <w:bCs/>
          <w:szCs w:val="20"/>
          <w:lang w:bidi="en-US"/>
        </w:rPr>
        <w:t xml:space="preserve">RESUELVE: </w:t>
      </w:r>
    </w:p>
    <w:p w:rsidR="00DD161B" w:rsidRPr="00142A36" w:rsidRDefault="00DD161B" w:rsidP="00002E9E">
      <w:pPr>
        <w:numPr>
          <w:ilvl w:val="0"/>
          <w:numId w:val="38"/>
        </w:numPr>
        <w:autoSpaceDE w:val="0"/>
        <w:autoSpaceDN w:val="0"/>
        <w:adjustRightInd w:val="0"/>
        <w:rPr>
          <w:rFonts w:cs="Verdana"/>
          <w:szCs w:val="20"/>
          <w:lang w:bidi="en-US"/>
        </w:rPr>
      </w:pPr>
      <w:r w:rsidRPr="00142A36">
        <w:rPr>
          <w:szCs w:val="20"/>
        </w:rPr>
        <w:t>Requerir</w:t>
      </w:r>
      <w:r w:rsidRPr="00142A36">
        <w:rPr>
          <w:rFonts w:cs="Verdana"/>
          <w:szCs w:val="20"/>
          <w:lang w:bidi="en-US"/>
        </w:rPr>
        <w:t>, por las razones expuestas en la presente Resolución, de conformidad con el principio de economía procesal y en ejercicio de la facultad que le otorga el artículo 50.1 del Reglamento de la Corte, que las siguientes personas presten sus declaraciones ante fedatario público (</w:t>
      </w:r>
      <w:r w:rsidR="004406FE" w:rsidRPr="00142A36">
        <w:rPr>
          <w:i/>
        </w:rPr>
        <w:t>affidavit</w:t>
      </w:r>
      <w:r w:rsidRPr="00142A36">
        <w:rPr>
          <w:rFonts w:cs="Verdana"/>
          <w:szCs w:val="20"/>
          <w:lang w:bidi="en-US"/>
        </w:rPr>
        <w:t xml:space="preserve">): </w:t>
      </w:r>
    </w:p>
    <w:p w:rsidR="0085799C" w:rsidRPr="00142A36" w:rsidRDefault="0085799C" w:rsidP="00280E72">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Helvetica"/>
          <w:szCs w:val="20"/>
          <w:lang w:bidi="en-US"/>
        </w:rPr>
      </w:pPr>
      <w:r w:rsidRPr="00142A36">
        <w:rPr>
          <w:rFonts w:cs="ArialMT"/>
          <w:i/>
          <w:iCs/>
          <w:szCs w:val="20"/>
          <w:lang w:bidi="en-US"/>
        </w:rPr>
        <w:t xml:space="preserve">Presuntas víctimas </w:t>
      </w:r>
      <w:r w:rsidRPr="00142A36">
        <w:rPr>
          <w:rFonts w:cs="ArialMT"/>
          <w:iCs/>
          <w:szCs w:val="20"/>
          <w:lang w:bidi="en-US"/>
        </w:rPr>
        <w:t xml:space="preserve">(propuestas por </w:t>
      </w:r>
      <w:r w:rsidR="005911A1" w:rsidRPr="00142A36">
        <w:rPr>
          <w:rFonts w:cs="ArialMT"/>
          <w:iCs/>
          <w:szCs w:val="20"/>
          <w:lang w:bidi="en-US"/>
        </w:rPr>
        <w:t xml:space="preserve">el </w:t>
      </w:r>
      <w:r w:rsidR="00965DCF" w:rsidRPr="00142A36">
        <w:rPr>
          <w:rFonts w:cs="ArialMT"/>
          <w:iCs/>
          <w:szCs w:val="20"/>
          <w:lang w:bidi="en-US"/>
        </w:rPr>
        <w:t>interviniente común</w:t>
      </w:r>
      <w:r w:rsidRPr="00142A36">
        <w:rPr>
          <w:rFonts w:cs="ArialMT"/>
          <w:iCs/>
          <w:szCs w:val="20"/>
          <w:lang w:bidi="en-US"/>
        </w:rPr>
        <w:t>)</w:t>
      </w:r>
    </w:p>
    <w:p w:rsidR="009F11DC" w:rsidRPr="00142A36" w:rsidRDefault="009F11DC" w:rsidP="0013416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080"/>
        <w:contextualSpacing w:val="0"/>
        <w:rPr>
          <w:rFonts w:cs="Helvetica"/>
          <w:szCs w:val="20"/>
          <w:lang w:bidi="en-US"/>
        </w:rPr>
      </w:pPr>
      <w:r w:rsidRPr="00142A36">
        <w:rPr>
          <w:rFonts w:cs="Helvetica"/>
          <w:i/>
          <w:szCs w:val="20"/>
          <w:lang w:bidi="en-US"/>
        </w:rPr>
        <w:t>Mario González Rifo,</w:t>
      </w:r>
      <w:r w:rsidRPr="00142A36">
        <w:rPr>
          <w:rFonts w:cs="Verdana"/>
          <w:i/>
          <w:iCs/>
          <w:szCs w:val="20"/>
          <w:lang w:bidi="en-US"/>
        </w:rPr>
        <w:t xml:space="preserve"> </w:t>
      </w:r>
      <w:r w:rsidR="005911A1" w:rsidRPr="00142A36">
        <w:rPr>
          <w:rFonts w:cs="Verdana"/>
          <w:i/>
          <w:iCs/>
          <w:szCs w:val="20"/>
          <w:lang w:bidi="en-US"/>
        </w:rPr>
        <w:t xml:space="preserve">Álvaro </w:t>
      </w:r>
      <w:proofErr w:type="spellStart"/>
      <w:r w:rsidR="005911A1" w:rsidRPr="00142A36">
        <w:rPr>
          <w:rFonts w:cs="Verdana"/>
          <w:i/>
          <w:iCs/>
          <w:szCs w:val="20"/>
          <w:lang w:bidi="en-US"/>
        </w:rPr>
        <w:t>Yañez</w:t>
      </w:r>
      <w:proofErr w:type="spellEnd"/>
      <w:r w:rsidR="005911A1" w:rsidRPr="00142A36">
        <w:rPr>
          <w:rFonts w:cs="Verdana"/>
          <w:i/>
          <w:iCs/>
          <w:szCs w:val="20"/>
          <w:lang w:bidi="en-US"/>
        </w:rPr>
        <w:t xml:space="preserve"> del Villar, </w:t>
      </w:r>
      <w:r w:rsidR="005911A1" w:rsidRPr="00142A36">
        <w:rPr>
          <w:i/>
          <w:szCs w:val="20"/>
        </w:rPr>
        <w:t xml:space="preserve">Omar Maldonado Vargas, Víctor Hugo </w:t>
      </w:r>
      <w:proofErr w:type="spellStart"/>
      <w:r w:rsidR="005911A1" w:rsidRPr="00142A36">
        <w:rPr>
          <w:i/>
          <w:szCs w:val="20"/>
        </w:rPr>
        <w:t>Adriazola</w:t>
      </w:r>
      <w:proofErr w:type="spellEnd"/>
      <w:r w:rsidR="005911A1" w:rsidRPr="00142A36">
        <w:rPr>
          <w:i/>
          <w:szCs w:val="20"/>
        </w:rPr>
        <w:t xml:space="preserve"> Meza, </w:t>
      </w:r>
      <w:proofErr w:type="spellStart"/>
      <w:r w:rsidR="005911A1" w:rsidRPr="00142A36">
        <w:rPr>
          <w:i/>
          <w:szCs w:val="20"/>
        </w:rPr>
        <w:t>Ivar</w:t>
      </w:r>
      <w:proofErr w:type="spellEnd"/>
      <w:r w:rsidR="005911A1" w:rsidRPr="00142A36">
        <w:rPr>
          <w:i/>
          <w:szCs w:val="20"/>
        </w:rPr>
        <w:t xml:space="preserve"> Rojas </w:t>
      </w:r>
      <w:proofErr w:type="spellStart"/>
      <w:r w:rsidR="005911A1" w:rsidRPr="00142A36">
        <w:rPr>
          <w:i/>
          <w:szCs w:val="20"/>
        </w:rPr>
        <w:t>Ravanal</w:t>
      </w:r>
      <w:proofErr w:type="spellEnd"/>
      <w:r w:rsidR="005911A1" w:rsidRPr="00142A36">
        <w:rPr>
          <w:i/>
          <w:szCs w:val="20"/>
        </w:rPr>
        <w:t xml:space="preserve">, Jaime Donoso Parra, Alberto Bustamante Rojas, Mario Cornejo Barahona, </w:t>
      </w:r>
      <w:r w:rsidR="00AD7613" w:rsidRPr="00142A36">
        <w:rPr>
          <w:i/>
          <w:szCs w:val="20"/>
        </w:rPr>
        <w:t xml:space="preserve">y </w:t>
      </w:r>
      <w:r w:rsidR="005911A1" w:rsidRPr="00142A36">
        <w:rPr>
          <w:i/>
          <w:szCs w:val="20"/>
        </w:rPr>
        <w:t xml:space="preserve">Manuel López </w:t>
      </w:r>
      <w:proofErr w:type="spellStart"/>
      <w:r w:rsidR="005911A1" w:rsidRPr="00142A36">
        <w:rPr>
          <w:i/>
          <w:szCs w:val="20"/>
        </w:rPr>
        <w:t>Oyanedel</w:t>
      </w:r>
      <w:proofErr w:type="spellEnd"/>
      <w:r w:rsidR="005911A1" w:rsidRPr="00142A36">
        <w:rPr>
          <w:szCs w:val="20"/>
        </w:rPr>
        <w:t xml:space="preserve">. </w:t>
      </w:r>
    </w:p>
    <w:p w:rsidR="005911A1" w:rsidRPr="00142A36" w:rsidRDefault="005911A1" w:rsidP="005911A1">
      <w:pPr>
        <w:autoSpaceDE w:val="0"/>
        <w:autoSpaceDN w:val="0"/>
        <w:adjustRightInd w:val="0"/>
        <w:ind w:left="1080"/>
        <w:rPr>
          <w:rFonts w:cs="Verdana"/>
          <w:iCs/>
          <w:szCs w:val="20"/>
          <w:lang w:bidi="en-US"/>
        </w:rPr>
      </w:pPr>
      <w:r w:rsidRPr="00142A36">
        <w:rPr>
          <w:rFonts w:cs="Verdana"/>
          <w:iCs/>
          <w:szCs w:val="20"/>
          <w:lang w:bidi="en-US"/>
        </w:rPr>
        <w:t xml:space="preserve">Los referidos declarantes rendirán testimonio sobre “los hechos del caso, especialmente en relación a los procedimientos de anulación de las sentencias de los Tribunales Militares en Tiempo de Guerra y a la Investigación de la Tortura. </w:t>
      </w:r>
      <w:r w:rsidR="00A558D1" w:rsidRPr="00142A36">
        <w:rPr>
          <w:rFonts w:cs="Verdana"/>
          <w:iCs/>
          <w:szCs w:val="20"/>
          <w:lang w:bidi="en-US"/>
        </w:rPr>
        <w:t xml:space="preserve">Asimismo, </w:t>
      </w:r>
      <w:r w:rsidRPr="00142A36">
        <w:rPr>
          <w:rFonts w:cs="Verdana"/>
          <w:iCs/>
          <w:szCs w:val="20"/>
          <w:lang w:bidi="en-US"/>
        </w:rPr>
        <w:t>sobre el daño ocasionado a su familia y a su persona por la manutención de su</w:t>
      </w:r>
      <w:r w:rsidR="008B623F">
        <w:rPr>
          <w:rFonts w:cs="Verdana"/>
          <w:iCs/>
          <w:szCs w:val="20"/>
          <w:lang w:bidi="en-US"/>
        </w:rPr>
        <w:t>[s]</w:t>
      </w:r>
      <w:r w:rsidRPr="00142A36">
        <w:rPr>
          <w:rFonts w:cs="Verdana"/>
          <w:iCs/>
          <w:szCs w:val="20"/>
          <w:lang w:bidi="en-US"/>
        </w:rPr>
        <w:t xml:space="preserve"> condena</w:t>
      </w:r>
      <w:r w:rsidR="008B623F">
        <w:rPr>
          <w:rFonts w:cs="Verdana"/>
          <w:iCs/>
          <w:szCs w:val="20"/>
          <w:lang w:bidi="en-US"/>
        </w:rPr>
        <w:t>[s]</w:t>
      </w:r>
      <w:r w:rsidRPr="00142A36">
        <w:rPr>
          <w:rFonts w:cs="Verdana"/>
          <w:iCs/>
          <w:szCs w:val="20"/>
          <w:lang w:bidi="en-US"/>
        </w:rPr>
        <w:t>”.</w:t>
      </w:r>
    </w:p>
    <w:p w:rsidR="005911A1" w:rsidRPr="00142A36" w:rsidRDefault="005911A1" w:rsidP="005911A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Helvetica"/>
          <w:szCs w:val="20"/>
          <w:lang w:bidi="en-US"/>
        </w:rPr>
      </w:pPr>
      <w:r w:rsidRPr="00142A36">
        <w:rPr>
          <w:rFonts w:cs="Helvetica"/>
          <w:i/>
          <w:szCs w:val="20"/>
          <w:lang w:bidi="en-US"/>
        </w:rPr>
        <w:t>Testigos</w:t>
      </w:r>
      <w:r w:rsidRPr="00142A36">
        <w:rPr>
          <w:rFonts w:cs="Helvetica"/>
          <w:szCs w:val="20"/>
          <w:lang w:bidi="en-US"/>
        </w:rPr>
        <w:t xml:space="preserve"> (propuestos por el </w:t>
      </w:r>
      <w:r w:rsidR="00965DCF" w:rsidRPr="00142A36">
        <w:rPr>
          <w:rFonts w:cs="Helvetica"/>
          <w:szCs w:val="20"/>
          <w:lang w:bidi="en-US"/>
        </w:rPr>
        <w:t>interviniente común</w:t>
      </w:r>
      <w:r w:rsidRPr="00142A36">
        <w:rPr>
          <w:rFonts w:cs="Helvetica"/>
          <w:szCs w:val="20"/>
          <w:lang w:bidi="en-US"/>
        </w:rPr>
        <w:t xml:space="preserve">) </w:t>
      </w:r>
    </w:p>
    <w:p w:rsidR="005911A1" w:rsidRPr="00142A36" w:rsidRDefault="005911A1" w:rsidP="005911A1">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Verdana"/>
          <w:szCs w:val="20"/>
          <w:lang w:bidi="en-US"/>
        </w:rPr>
      </w:pPr>
      <w:r w:rsidRPr="00142A36">
        <w:rPr>
          <w:rFonts w:cs="Helvetica"/>
          <w:i/>
          <w:szCs w:val="20"/>
          <w:lang w:bidi="en-US"/>
        </w:rPr>
        <w:t>Fernando Villagrán</w:t>
      </w:r>
      <w:r w:rsidRPr="00142A36">
        <w:rPr>
          <w:rFonts w:cs="Verdana"/>
          <w:szCs w:val="20"/>
          <w:lang w:bidi="en-US"/>
        </w:rPr>
        <w:t>, quien rendirá testimonio sobre “los efectos que tuvo el caso 1-73 sobre la familia militar y sobre la relación social de los acusados</w:t>
      </w:r>
      <w:r w:rsidR="008B623F">
        <w:rPr>
          <w:rFonts w:cs="Verdana"/>
          <w:szCs w:val="20"/>
          <w:lang w:bidi="en-US"/>
        </w:rPr>
        <w:t>”</w:t>
      </w:r>
      <w:r w:rsidRPr="00142A36">
        <w:rPr>
          <w:rFonts w:cs="Verdana"/>
          <w:szCs w:val="20"/>
          <w:lang w:bidi="en-US"/>
        </w:rPr>
        <w:t xml:space="preserve">. </w:t>
      </w:r>
      <w:r w:rsidR="008B623F">
        <w:rPr>
          <w:rFonts w:cs="Verdana"/>
          <w:szCs w:val="20"/>
          <w:lang w:bidi="en-US"/>
        </w:rPr>
        <w:t xml:space="preserve">Además, se referirá a la </w:t>
      </w:r>
      <w:r w:rsidRPr="00142A36">
        <w:rPr>
          <w:rFonts w:cs="Verdana"/>
          <w:szCs w:val="20"/>
          <w:lang w:bidi="en-US"/>
        </w:rPr>
        <w:t xml:space="preserve">necesidad de una </w:t>
      </w:r>
      <w:r w:rsidR="008B623F">
        <w:rPr>
          <w:rFonts w:cs="Verdana"/>
          <w:szCs w:val="20"/>
          <w:lang w:bidi="en-US"/>
        </w:rPr>
        <w:t>“</w:t>
      </w:r>
      <w:r w:rsidRPr="00142A36">
        <w:rPr>
          <w:rFonts w:cs="Verdana"/>
          <w:szCs w:val="20"/>
          <w:lang w:bidi="en-US"/>
        </w:rPr>
        <w:t>reparación que restaure el buen nombre de los condenados por el proceso 1-73”.</w:t>
      </w:r>
    </w:p>
    <w:p w:rsidR="005911A1" w:rsidRPr="00142A36" w:rsidRDefault="005911A1" w:rsidP="005911A1">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Verdana"/>
          <w:szCs w:val="20"/>
          <w:lang w:bidi="en-US"/>
        </w:rPr>
      </w:pPr>
      <w:r w:rsidRPr="00142A36">
        <w:rPr>
          <w:rFonts w:cs="Helvetica"/>
          <w:i/>
          <w:szCs w:val="20"/>
          <w:lang w:bidi="en-US"/>
        </w:rPr>
        <w:t>Jorge Dixon</w:t>
      </w:r>
      <w:r w:rsidRPr="00142A36">
        <w:rPr>
          <w:rFonts w:cs="Verdana"/>
          <w:szCs w:val="20"/>
          <w:lang w:bidi="en-US"/>
        </w:rPr>
        <w:t>, quien rendirá testimonio sobre “su experiencia trabajando en la Fuerza Aérea luego de volver del exilio, con el fin de respaldar la necesidad de obtener una reparación que restaure el buen nombre de los condenados por el proceso 1-73</w:t>
      </w:r>
      <w:r w:rsidR="008B623F">
        <w:rPr>
          <w:rFonts w:cs="Verdana"/>
          <w:szCs w:val="20"/>
          <w:lang w:bidi="en-US"/>
        </w:rPr>
        <w:t>”</w:t>
      </w:r>
      <w:r w:rsidRPr="00142A36">
        <w:rPr>
          <w:rFonts w:cs="Verdana"/>
          <w:szCs w:val="20"/>
          <w:lang w:bidi="en-US"/>
        </w:rPr>
        <w:t xml:space="preserve">. </w:t>
      </w:r>
      <w:r w:rsidR="008B623F">
        <w:rPr>
          <w:rFonts w:cs="Verdana"/>
          <w:szCs w:val="20"/>
          <w:lang w:bidi="en-US"/>
        </w:rPr>
        <w:t xml:space="preserve">Además, se </w:t>
      </w:r>
      <w:r w:rsidRPr="00142A36">
        <w:rPr>
          <w:rFonts w:cs="Verdana"/>
          <w:szCs w:val="20"/>
          <w:lang w:bidi="en-US"/>
        </w:rPr>
        <w:t>referir</w:t>
      </w:r>
      <w:r w:rsidR="008B623F">
        <w:rPr>
          <w:rFonts w:cs="Verdana"/>
          <w:szCs w:val="20"/>
          <w:lang w:bidi="en-US"/>
        </w:rPr>
        <w:t>á</w:t>
      </w:r>
      <w:r w:rsidRPr="00142A36">
        <w:rPr>
          <w:rFonts w:cs="Verdana"/>
          <w:szCs w:val="20"/>
          <w:lang w:bidi="en-US"/>
        </w:rPr>
        <w:t xml:space="preserve"> </w:t>
      </w:r>
      <w:r w:rsidR="008B623F">
        <w:rPr>
          <w:rFonts w:cs="Verdana"/>
          <w:szCs w:val="20"/>
          <w:lang w:bidi="en-US"/>
        </w:rPr>
        <w:t>“</w:t>
      </w:r>
      <w:r w:rsidRPr="00142A36">
        <w:rPr>
          <w:rFonts w:cs="Verdana"/>
          <w:szCs w:val="20"/>
          <w:lang w:bidi="en-US"/>
        </w:rPr>
        <w:t xml:space="preserve">a lo vivido durante el proceso 1-73”. </w:t>
      </w:r>
    </w:p>
    <w:p w:rsidR="00945DD2" w:rsidRPr="00142A36" w:rsidRDefault="00945DD2" w:rsidP="003D5AA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Verdana"/>
          <w:i/>
          <w:iCs/>
          <w:szCs w:val="20"/>
          <w:lang w:bidi="en-US"/>
        </w:rPr>
      </w:pPr>
      <w:r w:rsidRPr="00142A36">
        <w:rPr>
          <w:rFonts w:cs="Helvetica"/>
          <w:i/>
          <w:szCs w:val="20"/>
          <w:lang w:bidi="en-US"/>
        </w:rPr>
        <w:lastRenderedPageBreak/>
        <w:t>Perito</w:t>
      </w:r>
      <w:r w:rsidRPr="00142A36">
        <w:rPr>
          <w:rFonts w:cs="Verdana"/>
          <w:i/>
          <w:iCs/>
          <w:szCs w:val="20"/>
          <w:lang w:bidi="en-US"/>
        </w:rPr>
        <w:t xml:space="preserve"> (propuesto por el </w:t>
      </w:r>
      <w:r w:rsidR="00965DCF" w:rsidRPr="00142A36">
        <w:rPr>
          <w:rFonts w:cs="Verdana"/>
          <w:i/>
          <w:iCs/>
          <w:szCs w:val="20"/>
          <w:lang w:bidi="en-US"/>
        </w:rPr>
        <w:t>interviniente común</w:t>
      </w:r>
      <w:r w:rsidRPr="00142A36">
        <w:rPr>
          <w:rFonts w:cs="Verdana"/>
          <w:i/>
          <w:iCs/>
          <w:szCs w:val="20"/>
          <w:lang w:bidi="en-US"/>
        </w:rPr>
        <w:t xml:space="preserve">) </w:t>
      </w:r>
    </w:p>
    <w:p w:rsidR="005911A1" w:rsidRPr="00142A36" w:rsidRDefault="00945DD2" w:rsidP="00AC3157">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szCs w:val="20"/>
          <w:lang w:bidi="en-US"/>
        </w:rPr>
      </w:pPr>
      <w:r w:rsidRPr="00142A36">
        <w:rPr>
          <w:rFonts w:cs="Verdana"/>
          <w:i/>
          <w:iCs/>
          <w:szCs w:val="20"/>
          <w:lang w:bidi="en-US"/>
        </w:rPr>
        <w:t xml:space="preserve">Danny </w:t>
      </w:r>
      <w:proofErr w:type="spellStart"/>
      <w:r w:rsidRPr="00142A36">
        <w:rPr>
          <w:rFonts w:cs="Verdana"/>
          <w:i/>
          <w:iCs/>
          <w:szCs w:val="20"/>
          <w:lang w:bidi="en-US"/>
        </w:rPr>
        <w:t>Mosalvez</w:t>
      </w:r>
      <w:proofErr w:type="spellEnd"/>
      <w:r w:rsidRPr="00142A36">
        <w:rPr>
          <w:rFonts w:cs="Verdana"/>
          <w:i/>
          <w:iCs/>
          <w:szCs w:val="20"/>
          <w:lang w:bidi="en-US"/>
        </w:rPr>
        <w:t xml:space="preserve"> </w:t>
      </w:r>
      <w:proofErr w:type="spellStart"/>
      <w:r w:rsidRPr="00142A36">
        <w:rPr>
          <w:rFonts w:cs="Verdana"/>
          <w:i/>
          <w:iCs/>
          <w:szCs w:val="20"/>
          <w:lang w:bidi="en-US"/>
        </w:rPr>
        <w:t>Araneda</w:t>
      </w:r>
      <w:proofErr w:type="spellEnd"/>
      <w:r w:rsidRPr="00142A36">
        <w:rPr>
          <w:rFonts w:cs="Verdana"/>
          <w:iCs/>
          <w:szCs w:val="20"/>
          <w:lang w:bidi="en-US"/>
        </w:rPr>
        <w:t>, quien realizará un peritaje sobre el</w:t>
      </w:r>
      <w:r w:rsidRPr="00142A36">
        <w:rPr>
          <w:bCs/>
          <w:szCs w:val="20"/>
        </w:rPr>
        <w:t xml:space="preserve"> “contexto histórico en que se desarrollaron los Consejos de Guerra y sus efectos”</w:t>
      </w:r>
      <w:r w:rsidRPr="00142A36">
        <w:rPr>
          <w:rFonts w:cs="Verdana"/>
          <w:iCs/>
          <w:szCs w:val="20"/>
          <w:lang w:bidi="en-US"/>
        </w:rPr>
        <w:t xml:space="preserve">. </w:t>
      </w:r>
    </w:p>
    <w:p w:rsidR="006941F1" w:rsidRPr="00142A36" w:rsidRDefault="006F2DC1" w:rsidP="00280E72">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Verdana"/>
          <w:i/>
          <w:iCs/>
          <w:szCs w:val="20"/>
          <w:lang w:bidi="en-US"/>
        </w:rPr>
      </w:pPr>
      <w:r w:rsidRPr="00142A36">
        <w:rPr>
          <w:rFonts w:cs="Verdana"/>
          <w:i/>
          <w:iCs/>
          <w:szCs w:val="20"/>
          <w:lang w:bidi="en-US"/>
        </w:rPr>
        <w:t>Testig</w:t>
      </w:r>
      <w:r w:rsidR="006941F1" w:rsidRPr="00142A36">
        <w:rPr>
          <w:rFonts w:cs="Verdana"/>
          <w:i/>
          <w:iCs/>
          <w:szCs w:val="20"/>
          <w:lang w:bidi="en-US"/>
        </w:rPr>
        <w:t>o</w:t>
      </w:r>
      <w:r w:rsidR="00FE3080" w:rsidRPr="00142A36">
        <w:rPr>
          <w:rFonts w:cs="Verdana"/>
          <w:i/>
          <w:iCs/>
          <w:szCs w:val="20"/>
          <w:lang w:bidi="en-US"/>
        </w:rPr>
        <w:t>s</w:t>
      </w:r>
      <w:r w:rsidR="006941F1" w:rsidRPr="00142A36">
        <w:rPr>
          <w:rFonts w:cs="Verdana"/>
          <w:i/>
          <w:iCs/>
          <w:szCs w:val="20"/>
          <w:lang w:bidi="en-US"/>
        </w:rPr>
        <w:t xml:space="preserve"> (</w:t>
      </w:r>
      <w:r w:rsidR="00FE3080" w:rsidRPr="00142A36">
        <w:rPr>
          <w:rFonts w:cs="Verdana"/>
          <w:i/>
          <w:iCs/>
          <w:szCs w:val="20"/>
          <w:lang w:bidi="en-US"/>
        </w:rPr>
        <w:t xml:space="preserve">propuestos </w:t>
      </w:r>
      <w:r w:rsidR="006941F1" w:rsidRPr="00142A36">
        <w:rPr>
          <w:rFonts w:cs="Verdana"/>
          <w:i/>
          <w:iCs/>
          <w:szCs w:val="20"/>
          <w:lang w:bidi="en-US"/>
        </w:rPr>
        <w:t xml:space="preserve">por el Estado) </w:t>
      </w:r>
    </w:p>
    <w:p w:rsidR="00A736BD" w:rsidRPr="00142A36" w:rsidRDefault="007F128A" w:rsidP="005911A1">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szCs w:val="20"/>
          <w:lang w:bidi="en-US"/>
        </w:rPr>
      </w:pPr>
      <w:r w:rsidRPr="00142A36">
        <w:rPr>
          <w:rFonts w:cs="Helvetica"/>
          <w:i/>
          <w:szCs w:val="20"/>
          <w:lang w:bidi="en-US"/>
        </w:rPr>
        <w:t xml:space="preserve">Constanza </w:t>
      </w:r>
      <w:proofErr w:type="spellStart"/>
      <w:r w:rsidRPr="00142A36">
        <w:rPr>
          <w:rFonts w:cs="Helvetica"/>
          <w:i/>
          <w:szCs w:val="20"/>
          <w:lang w:bidi="en-US"/>
        </w:rPr>
        <w:t>Collarte</w:t>
      </w:r>
      <w:proofErr w:type="spellEnd"/>
      <w:r w:rsidRPr="00142A36">
        <w:rPr>
          <w:rFonts w:cs="Helvetica"/>
          <w:i/>
          <w:szCs w:val="20"/>
          <w:lang w:bidi="en-US"/>
        </w:rPr>
        <w:t xml:space="preserve"> </w:t>
      </w:r>
      <w:proofErr w:type="spellStart"/>
      <w:r w:rsidRPr="00142A36">
        <w:rPr>
          <w:rFonts w:cs="Helvetica"/>
          <w:i/>
          <w:szCs w:val="20"/>
          <w:lang w:bidi="en-US"/>
        </w:rPr>
        <w:t>Pindar</w:t>
      </w:r>
      <w:proofErr w:type="spellEnd"/>
      <w:r w:rsidRPr="00142A36">
        <w:rPr>
          <w:rFonts w:cs="Verdana"/>
          <w:i/>
          <w:iCs/>
          <w:sz w:val="18"/>
          <w:szCs w:val="18"/>
          <w:lang w:bidi="en-US"/>
        </w:rPr>
        <w:t xml:space="preserve">, </w:t>
      </w:r>
      <w:r w:rsidRPr="00142A36">
        <w:rPr>
          <w:rFonts w:cs="Helvetica"/>
          <w:szCs w:val="20"/>
          <w:lang w:bidi="en-US"/>
        </w:rPr>
        <w:t xml:space="preserve">quien rendirá testimonio sobre “las diligencias judiciales </w:t>
      </w:r>
      <w:r w:rsidRPr="008B623F">
        <w:rPr>
          <w:rFonts w:cs="Helvetica"/>
          <w:szCs w:val="20"/>
          <w:lang w:bidi="en-US"/>
        </w:rPr>
        <w:t xml:space="preserve">realizadas en los procesos de investigación que se llevan adelante por delitos de </w:t>
      </w:r>
      <w:r w:rsidRPr="008B623F">
        <w:rPr>
          <w:rFonts w:cs="Verdana"/>
          <w:szCs w:val="20"/>
          <w:lang w:bidi="en-US"/>
        </w:rPr>
        <w:t>violaciones</w:t>
      </w:r>
      <w:r w:rsidRPr="008B623F">
        <w:rPr>
          <w:rFonts w:cs="Helvetica"/>
          <w:szCs w:val="20"/>
          <w:lang w:bidi="en-US"/>
        </w:rPr>
        <w:t xml:space="preserve"> a los derechos humanos ocurridos en dictadura, en particular respecto de las investigaciones de las tor</w:t>
      </w:r>
      <w:r w:rsidR="00656D34" w:rsidRPr="008B623F">
        <w:rPr>
          <w:rFonts w:cs="Helvetica"/>
          <w:szCs w:val="20"/>
          <w:lang w:bidi="en-US"/>
        </w:rPr>
        <w:t>t</w:t>
      </w:r>
      <w:r w:rsidRPr="008B623F">
        <w:rPr>
          <w:rFonts w:cs="Helvetica"/>
          <w:szCs w:val="20"/>
          <w:lang w:bidi="en-US"/>
        </w:rPr>
        <w:t>uras sufridas por los demandantes”</w:t>
      </w:r>
      <w:r w:rsidR="00A736BD" w:rsidRPr="008B623F">
        <w:rPr>
          <w:rFonts w:eastAsia="Times New Roman" w:cs="Verdana"/>
          <w:szCs w:val="20"/>
          <w:lang w:val="es-CL" w:eastAsia="en-US"/>
        </w:rPr>
        <w:t>.</w:t>
      </w:r>
    </w:p>
    <w:p w:rsidR="006F2DC1" w:rsidRPr="00142A36" w:rsidRDefault="006F2DC1" w:rsidP="005911A1">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szCs w:val="20"/>
          <w:lang w:bidi="en-US"/>
        </w:rPr>
      </w:pPr>
      <w:r w:rsidRPr="00142A36">
        <w:rPr>
          <w:rFonts w:cs="Helvetica"/>
          <w:i/>
          <w:szCs w:val="20"/>
          <w:lang w:bidi="en-US"/>
        </w:rPr>
        <w:t>Isidro Solís Palma</w:t>
      </w:r>
      <w:r w:rsidRPr="00142A36">
        <w:rPr>
          <w:rFonts w:cs="Verdana"/>
          <w:i/>
          <w:iCs/>
          <w:sz w:val="18"/>
          <w:szCs w:val="18"/>
          <w:lang w:bidi="en-US"/>
        </w:rPr>
        <w:t xml:space="preserve">, </w:t>
      </w:r>
      <w:r w:rsidRPr="00142A36">
        <w:rPr>
          <w:rFonts w:cs="Helvetica"/>
          <w:szCs w:val="20"/>
          <w:lang w:bidi="en-US"/>
        </w:rPr>
        <w:t xml:space="preserve">quien rendirá testimonio sobre “los actos de reparación simbólica </w:t>
      </w:r>
      <w:r w:rsidRPr="008B623F">
        <w:rPr>
          <w:rFonts w:cs="Helvetica"/>
          <w:szCs w:val="20"/>
          <w:lang w:bidi="en-US"/>
        </w:rPr>
        <w:t>efectuados</w:t>
      </w:r>
      <w:r w:rsidRPr="00142A36">
        <w:rPr>
          <w:rFonts w:cs="Helvetica"/>
          <w:szCs w:val="20"/>
          <w:lang w:bidi="en-US"/>
        </w:rPr>
        <w:t xml:space="preserve"> por la Fuerza Aérea de Chile”. </w:t>
      </w:r>
    </w:p>
    <w:p w:rsidR="00A736BD" w:rsidRPr="00142A36" w:rsidRDefault="00A736BD" w:rsidP="00A736BD">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szCs w:val="20"/>
          <w:lang w:bidi="en-US"/>
        </w:rPr>
      </w:pPr>
      <w:r w:rsidRPr="00142A36">
        <w:rPr>
          <w:rFonts w:cs="Helvetica"/>
          <w:i/>
          <w:szCs w:val="20"/>
          <w:lang w:bidi="en-US"/>
        </w:rPr>
        <w:t xml:space="preserve">Alejandro Salinas Rivera </w:t>
      </w:r>
      <w:r w:rsidRPr="00142A36">
        <w:rPr>
          <w:rFonts w:cs="Helvetica"/>
          <w:szCs w:val="20"/>
          <w:lang w:bidi="en-US"/>
        </w:rPr>
        <w:t>quien rendirá testimonio sobre</w:t>
      </w:r>
      <w:r w:rsidRPr="00142A36">
        <w:rPr>
          <w:rFonts w:eastAsia="Times New Roman" w:cs="Verdana"/>
          <w:szCs w:val="20"/>
          <w:lang w:val="es-CL" w:eastAsia="en-US"/>
        </w:rPr>
        <w:t xml:space="preserve"> “la implementación de los programas de reparación integral impulsados por los gobiernos democráticos en beneficio de las víctimas de violaciones a los derechos humanos ocurridas en dictadura, y en particular respecto a los demandantes en este caso”.</w:t>
      </w:r>
    </w:p>
    <w:p w:rsidR="005911A1" w:rsidRPr="00142A36" w:rsidRDefault="005911A1" w:rsidP="005911A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Verdana"/>
          <w:iCs/>
          <w:szCs w:val="20"/>
          <w:lang w:bidi="en-US"/>
        </w:rPr>
      </w:pPr>
      <w:r w:rsidRPr="00142A36">
        <w:rPr>
          <w:rFonts w:cs="Verdana"/>
          <w:i/>
          <w:iCs/>
          <w:szCs w:val="20"/>
          <w:lang w:bidi="en-US"/>
        </w:rPr>
        <w:t xml:space="preserve">Perito </w:t>
      </w:r>
      <w:r w:rsidRPr="00142A36">
        <w:rPr>
          <w:rFonts w:cs="Verdana"/>
          <w:iCs/>
          <w:szCs w:val="20"/>
          <w:lang w:bidi="en-US"/>
        </w:rPr>
        <w:t xml:space="preserve">(propuesto por el Estado) </w:t>
      </w:r>
    </w:p>
    <w:p w:rsidR="005911A1" w:rsidRPr="00142A36" w:rsidRDefault="003B42B3" w:rsidP="003B42B3">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szCs w:val="20"/>
          <w:lang w:bidi="en-US"/>
        </w:rPr>
      </w:pPr>
      <w:r w:rsidRPr="00142A36">
        <w:rPr>
          <w:bCs/>
          <w:iCs/>
          <w:szCs w:val="20"/>
          <w:lang w:val="es-CR"/>
        </w:rPr>
        <w:t xml:space="preserve">Francisco Zúñiga Urbina, quien rendirá declaración sobre “la </w:t>
      </w:r>
      <w:r w:rsidRPr="00142A36">
        <w:rPr>
          <w:rFonts w:eastAsia="Times New Roman" w:cs="Verdana"/>
          <w:szCs w:val="20"/>
          <w:lang w:val="es-CL" w:eastAsia="en-US"/>
        </w:rPr>
        <w:t>incorporación</w:t>
      </w:r>
      <w:r w:rsidRPr="00142A36">
        <w:rPr>
          <w:bCs/>
          <w:iCs/>
          <w:szCs w:val="20"/>
          <w:lang w:val="es-CR"/>
        </w:rPr>
        <w:t xml:space="preserve"> de los estándares internacionales en la protección al derecho a la honra en el Derecho Constitucional chileno”.</w:t>
      </w:r>
    </w:p>
    <w:p w:rsidR="005911A1" w:rsidRPr="00142A36" w:rsidRDefault="005911A1" w:rsidP="005911A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cs="Verdana"/>
          <w:i/>
          <w:iCs/>
          <w:szCs w:val="20"/>
          <w:lang w:bidi="en-US"/>
        </w:rPr>
      </w:pPr>
      <w:r w:rsidRPr="00142A36">
        <w:rPr>
          <w:rFonts w:cs="Verdana"/>
          <w:i/>
          <w:iCs/>
          <w:szCs w:val="20"/>
          <w:lang w:bidi="en-US"/>
        </w:rPr>
        <w:t>Perito (propuesto por la Comisión)</w:t>
      </w:r>
    </w:p>
    <w:p w:rsidR="005911A1" w:rsidRPr="00142A36" w:rsidRDefault="005911A1" w:rsidP="005911A1">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Verdana"/>
          <w:iCs/>
          <w:szCs w:val="20"/>
          <w:lang w:bidi="en-US"/>
        </w:rPr>
      </w:pPr>
      <w:proofErr w:type="spellStart"/>
      <w:r w:rsidRPr="00142A36">
        <w:rPr>
          <w:rFonts w:cs="Verdana"/>
          <w:i/>
          <w:iCs/>
          <w:szCs w:val="20"/>
          <w:lang w:bidi="en-US"/>
        </w:rPr>
        <w:t>Manfred</w:t>
      </w:r>
      <w:proofErr w:type="spellEnd"/>
      <w:r w:rsidRPr="00142A36">
        <w:rPr>
          <w:rFonts w:cs="Verdana"/>
          <w:i/>
          <w:iCs/>
          <w:szCs w:val="20"/>
          <w:lang w:bidi="en-US"/>
        </w:rPr>
        <w:t xml:space="preserve"> </w:t>
      </w:r>
      <w:proofErr w:type="spellStart"/>
      <w:r w:rsidRPr="00142A36">
        <w:rPr>
          <w:rFonts w:cs="Verdana"/>
          <w:i/>
          <w:iCs/>
          <w:szCs w:val="20"/>
          <w:lang w:bidi="en-US"/>
        </w:rPr>
        <w:t>Nowak</w:t>
      </w:r>
      <w:proofErr w:type="spellEnd"/>
      <w:r w:rsidRPr="00142A36">
        <w:rPr>
          <w:rFonts w:cs="Verdana"/>
          <w:i/>
          <w:iCs/>
          <w:szCs w:val="20"/>
          <w:lang w:bidi="en-US"/>
        </w:rPr>
        <w:t xml:space="preserve">, </w:t>
      </w:r>
      <w:r w:rsidRPr="00142A36">
        <w:rPr>
          <w:rFonts w:cs="Verdana"/>
          <w:iCs/>
          <w:szCs w:val="20"/>
          <w:lang w:bidi="en-US"/>
        </w:rPr>
        <w:t>quien declarara sobre “la obligació</w:t>
      </w:r>
      <w:r w:rsidR="00656D34" w:rsidRPr="00142A36">
        <w:rPr>
          <w:rFonts w:cs="Verdana"/>
          <w:iCs/>
          <w:szCs w:val="20"/>
          <w:lang w:bidi="en-US"/>
        </w:rPr>
        <w:t>n de investigar y sancionar acto</w:t>
      </w:r>
      <w:r w:rsidRPr="00142A36">
        <w:rPr>
          <w:rFonts w:cs="Verdana"/>
          <w:iCs/>
          <w:szCs w:val="20"/>
          <w:lang w:bidi="en-US"/>
        </w:rPr>
        <w:t xml:space="preserve">s de tortura, especialmente se referirá a la naturaleza continua de mencionada obligación. Asimismo, efectuara un análisis del cumplimiento de dicha obligación en el caso de actos de tortura cometidos durante la dictadura en Chile”.  </w:t>
      </w:r>
    </w:p>
    <w:p w:rsidR="00DD161B" w:rsidRPr="00142A36" w:rsidRDefault="000D797E" w:rsidP="00002E9E">
      <w:pPr>
        <w:numPr>
          <w:ilvl w:val="0"/>
          <w:numId w:val="38"/>
        </w:numPr>
        <w:autoSpaceDE w:val="0"/>
        <w:autoSpaceDN w:val="0"/>
        <w:adjustRightInd w:val="0"/>
        <w:rPr>
          <w:rFonts w:cs="Helvetica"/>
          <w:szCs w:val="20"/>
          <w:lang w:bidi="en-US"/>
        </w:rPr>
      </w:pPr>
      <w:r w:rsidRPr="00142A36">
        <w:rPr>
          <w:szCs w:val="20"/>
        </w:rPr>
        <w:t>Requerir</w:t>
      </w:r>
      <w:r w:rsidRPr="00142A36">
        <w:rPr>
          <w:rFonts w:cs="Verdana"/>
          <w:szCs w:val="20"/>
          <w:lang w:bidi="en-US"/>
        </w:rPr>
        <w:t xml:space="preserve"> </w:t>
      </w:r>
      <w:r w:rsidR="00104C23" w:rsidRPr="00142A36">
        <w:rPr>
          <w:rFonts w:cs="Verdana"/>
          <w:szCs w:val="20"/>
          <w:lang w:bidi="en-US"/>
        </w:rPr>
        <w:t>a</w:t>
      </w:r>
      <w:r w:rsidR="00DD161B" w:rsidRPr="00142A36">
        <w:rPr>
          <w:rFonts w:cs="Verdana"/>
          <w:szCs w:val="20"/>
          <w:lang w:bidi="en-US"/>
        </w:rPr>
        <w:t>l Estado</w:t>
      </w:r>
      <w:r w:rsidR="00B44AB2" w:rsidRPr="00142A36">
        <w:rPr>
          <w:rFonts w:cs="Verdana"/>
          <w:szCs w:val="20"/>
          <w:lang w:bidi="en-US"/>
        </w:rPr>
        <w:t xml:space="preserve"> y a</w:t>
      </w:r>
      <w:r w:rsidR="006941F1" w:rsidRPr="00142A36">
        <w:rPr>
          <w:rFonts w:cs="Verdana"/>
          <w:szCs w:val="20"/>
          <w:lang w:bidi="en-US"/>
        </w:rPr>
        <w:t xml:space="preserve">l </w:t>
      </w:r>
      <w:r w:rsidR="00965DCF" w:rsidRPr="00142A36">
        <w:rPr>
          <w:rFonts w:cs="Verdana"/>
          <w:szCs w:val="20"/>
          <w:lang w:bidi="en-US"/>
        </w:rPr>
        <w:t>interviniente común</w:t>
      </w:r>
      <w:r w:rsidR="00104C23" w:rsidRPr="00142A36">
        <w:rPr>
          <w:rFonts w:cs="Verdana"/>
          <w:szCs w:val="20"/>
          <w:lang w:bidi="en-US"/>
        </w:rPr>
        <w:t xml:space="preserve"> que</w:t>
      </w:r>
      <w:r w:rsidR="00DD161B" w:rsidRPr="00142A36">
        <w:rPr>
          <w:rFonts w:cs="Verdana"/>
          <w:szCs w:val="20"/>
          <w:lang w:bidi="en-US"/>
        </w:rPr>
        <w:t>, de considerarlo pertinente, en lo que le</w:t>
      </w:r>
      <w:r w:rsidR="00104C23" w:rsidRPr="00142A36">
        <w:rPr>
          <w:rFonts w:cs="Verdana"/>
          <w:szCs w:val="20"/>
          <w:lang w:bidi="en-US"/>
        </w:rPr>
        <w:t>s</w:t>
      </w:r>
      <w:r w:rsidR="00DD161B" w:rsidRPr="00142A36">
        <w:rPr>
          <w:rFonts w:cs="Verdana"/>
          <w:szCs w:val="20"/>
          <w:lang w:bidi="en-US"/>
        </w:rPr>
        <w:t xml:space="preserve"> corresponda y de conformidad con </w:t>
      </w:r>
      <w:r w:rsidR="00002E9E" w:rsidRPr="00142A36">
        <w:rPr>
          <w:rFonts w:cs="Verdana"/>
          <w:szCs w:val="20"/>
          <w:lang w:bidi="en-US"/>
        </w:rPr>
        <w:t>el</w:t>
      </w:r>
      <w:r w:rsidR="00DD161B" w:rsidRPr="00142A36">
        <w:rPr>
          <w:rFonts w:cs="Verdana"/>
          <w:szCs w:val="20"/>
          <w:lang w:bidi="en-US"/>
        </w:rPr>
        <w:t xml:space="preserve"> párrafo considerativo</w:t>
      </w:r>
      <w:r w:rsidR="00111DF9" w:rsidRPr="00142A36">
        <w:rPr>
          <w:rFonts w:cs="Verdana"/>
          <w:szCs w:val="20"/>
          <w:lang w:bidi="en-US"/>
        </w:rPr>
        <w:t xml:space="preserve"> </w:t>
      </w:r>
      <w:r w:rsidR="00002E9E" w:rsidRPr="00142A36">
        <w:rPr>
          <w:rFonts w:cs="Verdana"/>
          <w:szCs w:val="20"/>
          <w:lang w:bidi="en-US"/>
        </w:rPr>
        <w:t>37</w:t>
      </w:r>
      <w:r w:rsidR="00EB5594" w:rsidRPr="00142A36">
        <w:rPr>
          <w:rFonts w:cs="Verdana"/>
          <w:szCs w:val="20"/>
          <w:lang w:bidi="en-US"/>
        </w:rPr>
        <w:t xml:space="preserve"> </w:t>
      </w:r>
      <w:r w:rsidR="00DD161B" w:rsidRPr="00142A36">
        <w:rPr>
          <w:rFonts w:cs="Verdana"/>
          <w:szCs w:val="20"/>
          <w:lang w:bidi="en-US"/>
        </w:rPr>
        <w:t xml:space="preserve">de la presente Resolución, y en el plazo improrrogable que vence el </w:t>
      </w:r>
      <w:r w:rsidR="0023696A" w:rsidRPr="00142A36">
        <w:rPr>
          <w:rFonts w:cs="Verdana"/>
          <w:szCs w:val="20"/>
          <w:lang w:bidi="en-US"/>
        </w:rPr>
        <w:t>16</w:t>
      </w:r>
      <w:r w:rsidR="00E01479" w:rsidRPr="00142A36">
        <w:rPr>
          <w:rFonts w:cs="Verdana"/>
          <w:szCs w:val="20"/>
          <w:lang w:bidi="en-US"/>
        </w:rPr>
        <w:t xml:space="preserve"> de marzo</w:t>
      </w:r>
      <w:r w:rsidRPr="00142A36">
        <w:rPr>
          <w:rFonts w:cs="Verdana"/>
          <w:szCs w:val="20"/>
          <w:lang w:bidi="en-US"/>
        </w:rPr>
        <w:t xml:space="preserve"> </w:t>
      </w:r>
      <w:r w:rsidR="00DD161B" w:rsidRPr="00142A36">
        <w:rPr>
          <w:rFonts w:cs="Verdana"/>
          <w:szCs w:val="20"/>
          <w:lang w:bidi="en-US"/>
        </w:rPr>
        <w:t xml:space="preserve">de </w:t>
      </w:r>
      <w:r w:rsidR="00B44AB2" w:rsidRPr="00142A36">
        <w:rPr>
          <w:rFonts w:cs="Verdana"/>
          <w:szCs w:val="20"/>
          <w:lang w:bidi="en-US"/>
        </w:rPr>
        <w:t>2015</w:t>
      </w:r>
      <w:r w:rsidR="00DD161B" w:rsidRPr="00142A36">
        <w:rPr>
          <w:rFonts w:cs="Verdana"/>
          <w:szCs w:val="20"/>
          <w:lang w:bidi="en-US"/>
        </w:rPr>
        <w:t>,</w:t>
      </w:r>
      <w:r w:rsidR="00B80BD6" w:rsidRPr="00142A36">
        <w:rPr>
          <w:rFonts w:cs="Verdana"/>
          <w:szCs w:val="20"/>
          <w:lang w:bidi="en-US"/>
        </w:rPr>
        <w:t xml:space="preserve"> que presenten</w:t>
      </w:r>
      <w:r w:rsidR="00DD161B" w:rsidRPr="00142A36">
        <w:rPr>
          <w:rFonts w:cs="Verdana"/>
          <w:szCs w:val="20"/>
          <w:lang w:bidi="en-US"/>
        </w:rPr>
        <w:t xml:space="preserve"> las preguntas que estimen pertinentes formular a través de la Corte Interamericana </w:t>
      </w:r>
      <w:r w:rsidR="006941F1" w:rsidRPr="00142A36">
        <w:rPr>
          <w:rFonts w:cs="Verdana"/>
          <w:szCs w:val="20"/>
          <w:lang w:bidi="en-US"/>
        </w:rPr>
        <w:t>a las presuntas víctimas</w:t>
      </w:r>
      <w:r w:rsidR="00B44AB2" w:rsidRPr="00142A36">
        <w:rPr>
          <w:rFonts w:cs="Verdana"/>
          <w:szCs w:val="20"/>
          <w:lang w:bidi="en-US"/>
        </w:rPr>
        <w:t>, testigos</w:t>
      </w:r>
      <w:r w:rsidR="006941F1" w:rsidRPr="00142A36">
        <w:rPr>
          <w:rFonts w:cs="Verdana"/>
          <w:szCs w:val="20"/>
          <w:lang w:bidi="en-US"/>
        </w:rPr>
        <w:t xml:space="preserve"> </w:t>
      </w:r>
      <w:r w:rsidR="00DD161B" w:rsidRPr="00142A36">
        <w:rPr>
          <w:rFonts w:cs="Verdana"/>
          <w:szCs w:val="20"/>
          <w:lang w:bidi="en-US"/>
        </w:rPr>
        <w:t>y perito</w:t>
      </w:r>
      <w:r w:rsidR="006941F1" w:rsidRPr="00142A36">
        <w:rPr>
          <w:rFonts w:cs="Verdana"/>
          <w:szCs w:val="20"/>
          <w:lang w:bidi="en-US"/>
        </w:rPr>
        <w:t>s</w:t>
      </w:r>
      <w:r w:rsidR="00DD161B" w:rsidRPr="00142A36">
        <w:rPr>
          <w:rFonts w:cs="Verdana"/>
          <w:szCs w:val="20"/>
          <w:lang w:bidi="en-US"/>
        </w:rPr>
        <w:t xml:space="preserve"> referidos en el punto resolutivo primero. Sus declaraciones </w:t>
      </w:r>
      <w:r w:rsidRPr="00142A36">
        <w:rPr>
          <w:rFonts w:cs="Verdana"/>
          <w:szCs w:val="20"/>
          <w:lang w:bidi="en-US"/>
        </w:rPr>
        <w:t>y peritaje</w:t>
      </w:r>
      <w:r w:rsidR="006941F1" w:rsidRPr="00142A36">
        <w:rPr>
          <w:rFonts w:cs="Verdana"/>
          <w:szCs w:val="20"/>
          <w:lang w:bidi="en-US"/>
        </w:rPr>
        <w:t>s</w:t>
      </w:r>
      <w:r w:rsidR="00DD161B" w:rsidRPr="00142A36">
        <w:rPr>
          <w:rFonts w:cs="Verdana"/>
          <w:szCs w:val="20"/>
          <w:lang w:bidi="en-US"/>
        </w:rPr>
        <w:t xml:space="preserve"> deberán ser presentados a más tardar el </w:t>
      </w:r>
      <w:r w:rsidR="00561D95" w:rsidRPr="00142A36">
        <w:rPr>
          <w:rFonts w:cs="Verdana"/>
          <w:szCs w:val="20"/>
          <w:lang w:bidi="en-US"/>
        </w:rPr>
        <w:t>9</w:t>
      </w:r>
      <w:r w:rsidR="00E01479" w:rsidRPr="00142A36">
        <w:rPr>
          <w:rFonts w:cs="Verdana"/>
          <w:szCs w:val="20"/>
          <w:lang w:bidi="en-US"/>
        </w:rPr>
        <w:t xml:space="preserve"> de </w:t>
      </w:r>
      <w:r w:rsidR="00561D95" w:rsidRPr="00142A36">
        <w:rPr>
          <w:rFonts w:cs="Verdana"/>
          <w:szCs w:val="20"/>
          <w:lang w:bidi="en-US"/>
        </w:rPr>
        <w:t>abril</w:t>
      </w:r>
      <w:r w:rsidR="00E01479" w:rsidRPr="00142A36">
        <w:rPr>
          <w:rFonts w:cs="Verdana"/>
          <w:szCs w:val="20"/>
          <w:lang w:bidi="en-US"/>
        </w:rPr>
        <w:t xml:space="preserve"> de </w:t>
      </w:r>
      <w:r w:rsidR="00DD161B" w:rsidRPr="00142A36">
        <w:rPr>
          <w:rFonts w:cs="Verdana"/>
          <w:szCs w:val="20"/>
          <w:lang w:bidi="en-US"/>
        </w:rPr>
        <w:t>201</w:t>
      </w:r>
      <w:r w:rsidR="00B44AB2" w:rsidRPr="00142A36">
        <w:rPr>
          <w:rFonts w:cs="Verdana"/>
          <w:szCs w:val="20"/>
          <w:lang w:bidi="en-US"/>
        </w:rPr>
        <w:t>5</w:t>
      </w:r>
      <w:r w:rsidR="00DD161B" w:rsidRPr="00142A36">
        <w:rPr>
          <w:rFonts w:cs="Verdana"/>
          <w:szCs w:val="20"/>
          <w:lang w:bidi="en-US"/>
        </w:rPr>
        <w:t xml:space="preserve">. </w:t>
      </w:r>
    </w:p>
    <w:p w:rsidR="00DD161B" w:rsidRPr="00142A36" w:rsidRDefault="00DD161B" w:rsidP="00002E9E">
      <w:pPr>
        <w:numPr>
          <w:ilvl w:val="0"/>
          <w:numId w:val="38"/>
        </w:numPr>
        <w:autoSpaceDE w:val="0"/>
        <w:autoSpaceDN w:val="0"/>
        <w:adjustRightInd w:val="0"/>
        <w:rPr>
          <w:rFonts w:cs="Helvetica"/>
          <w:szCs w:val="20"/>
          <w:lang w:bidi="en-US"/>
        </w:rPr>
      </w:pPr>
      <w:r w:rsidRPr="00142A36">
        <w:rPr>
          <w:rFonts w:cs="Verdana"/>
          <w:szCs w:val="20"/>
          <w:lang w:bidi="en-US"/>
        </w:rPr>
        <w:t>Requerir</w:t>
      </w:r>
      <w:r w:rsidR="0042008F">
        <w:rPr>
          <w:rFonts w:cs="Verdana"/>
          <w:szCs w:val="20"/>
          <w:lang w:bidi="en-US"/>
        </w:rPr>
        <w:t xml:space="preserve"> a la Comisión,</w:t>
      </w:r>
      <w:r w:rsidRPr="00142A36">
        <w:rPr>
          <w:rFonts w:cs="Verdana"/>
          <w:szCs w:val="20"/>
          <w:lang w:bidi="en-US"/>
        </w:rPr>
        <w:t xml:space="preserve"> a</w:t>
      </w:r>
      <w:r w:rsidR="002936FA" w:rsidRPr="00142A36">
        <w:rPr>
          <w:rFonts w:cs="Verdana"/>
          <w:szCs w:val="20"/>
          <w:lang w:bidi="en-US"/>
        </w:rPr>
        <w:t>l</w:t>
      </w:r>
      <w:r w:rsidRPr="00142A36">
        <w:rPr>
          <w:rFonts w:cs="Verdana"/>
          <w:szCs w:val="20"/>
          <w:lang w:bidi="en-US"/>
        </w:rPr>
        <w:t xml:space="preserve"> </w:t>
      </w:r>
      <w:r w:rsidR="00965DCF" w:rsidRPr="00142A36">
        <w:rPr>
          <w:rFonts w:cs="Verdana"/>
          <w:szCs w:val="20"/>
          <w:lang w:bidi="en-US"/>
        </w:rPr>
        <w:t>interviniente común</w:t>
      </w:r>
      <w:r w:rsidR="0011573D" w:rsidRPr="00142A36">
        <w:rPr>
          <w:rFonts w:cs="Verdana"/>
          <w:szCs w:val="20"/>
          <w:lang w:bidi="en-US"/>
        </w:rPr>
        <w:t xml:space="preserve"> y al Estado</w:t>
      </w:r>
      <w:r w:rsidR="000D797E" w:rsidRPr="00142A36">
        <w:rPr>
          <w:rFonts w:cs="Verdana"/>
          <w:szCs w:val="20"/>
          <w:lang w:bidi="en-US"/>
        </w:rPr>
        <w:t xml:space="preserve"> </w:t>
      </w:r>
      <w:r w:rsidRPr="00142A36">
        <w:rPr>
          <w:rFonts w:cs="Verdana"/>
          <w:szCs w:val="20"/>
          <w:lang w:bidi="en-US"/>
        </w:rPr>
        <w:t xml:space="preserve">que coordinen y realicen las diligencias necesarias para que, una vez recibidas las preguntas, si las hubiere, los declarantes propuestos incluyan las respuestas respectivas en sus declaraciones rendidas ante fedatario público, de conformidad con el párrafo considerativo </w:t>
      </w:r>
      <w:r w:rsidR="00002E9E" w:rsidRPr="00142A36">
        <w:rPr>
          <w:rFonts w:cs="Verdana"/>
          <w:szCs w:val="20"/>
          <w:lang w:bidi="en-US"/>
        </w:rPr>
        <w:t>37</w:t>
      </w:r>
      <w:r w:rsidR="0055495E" w:rsidRPr="00142A36">
        <w:rPr>
          <w:rFonts w:cs="Verdana"/>
          <w:szCs w:val="20"/>
          <w:lang w:bidi="en-US"/>
        </w:rPr>
        <w:t xml:space="preserve"> </w:t>
      </w:r>
      <w:r w:rsidRPr="00142A36">
        <w:rPr>
          <w:rFonts w:cs="Verdana"/>
          <w:szCs w:val="20"/>
          <w:lang w:bidi="en-US"/>
        </w:rPr>
        <w:t xml:space="preserve">de la presente Resolución. </w:t>
      </w:r>
    </w:p>
    <w:p w:rsidR="00DD161B" w:rsidRPr="00142A36" w:rsidRDefault="00104C23" w:rsidP="00002E9E">
      <w:pPr>
        <w:numPr>
          <w:ilvl w:val="0"/>
          <w:numId w:val="38"/>
        </w:numPr>
        <w:autoSpaceDE w:val="0"/>
        <w:autoSpaceDN w:val="0"/>
        <w:adjustRightInd w:val="0"/>
        <w:rPr>
          <w:rFonts w:cs="Verdana"/>
          <w:szCs w:val="20"/>
        </w:rPr>
      </w:pPr>
      <w:r w:rsidRPr="00142A36">
        <w:rPr>
          <w:rFonts w:cs="Verdana"/>
          <w:szCs w:val="20"/>
          <w:lang w:bidi="en-US"/>
        </w:rPr>
        <w:t>Disponer que, una vez recibida</w:t>
      </w:r>
      <w:r w:rsidR="00DD161B" w:rsidRPr="00142A36">
        <w:rPr>
          <w:rFonts w:cs="Verdana"/>
          <w:szCs w:val="20"/>
          <w:lang w:bidi="en-US"/>
        </w:rPr>
        <w:t>s las declaraciones y peritaje</w:t>
      </w:r>
      <w:r w:rsidR="0011573D" w:rsidRPr="00142A36">
        <w:rPr>
          <w:rFonts w:cs="Verdana"/>
          <w:szCs w:val="20"/>
          <w:lang w:bidi="en-US"/>
        </w:rPr>
        <w:t>s</w:t>
      </w:r>
      <w:r w:rsidR="00DD161B" w:rsidRPr="00142A36">
        <w:rPr>
          <w:rFonts w:cs="Verdana"/>
          <w:szCs w:val="20"/>
          <w:lang w:bidi="en-US"/>
        </w:rPr>
        <w:t xml:space="preserve"> requeridos en el punto resolutivo primero</w:t>
      </w:r>
      <w:r w:rsidR="00DD161B" w:rsidRPr="00142A36">
        <w:rPr>
          <w:rFonts w:cs="Verdana"/>
          <w:iCs/>
          <w:szCs w:val="20"/>
          <w:lang w:bidi="en-US"/>
        </w:rPr>
        <w:t>,</w:t>
      </w:r>
      <w:r w:rsidR="00DD161B" w:rsidRPr="00142A36">
        <w:rPr>
          <w:rFonts w:cs="Verdana"/>
          <w:szCs w:val="20"/>
          <w:lang w:bidi="en-US"/>
        </w:rPr>
        <w:t xml:space="preserve"> la Secretaría de la Corte los transmita </w:t>
      </w:r>
      <w:r w:rsidR="00C202C9" w:rsidRPr="00142A36">
        <w:rPr>
          <w:rFonts w:cs="Verdana"/>
          <w:szCs w:val="20"/>
          <w:lang w:bidi="en-US"/>
        </w:rPr>
        <w:t>a</w:t>
      </w:r>
      <w:r w:rsidR="002936FA" w:rsidRPr="00142A36">
        <w:rPr>
          <w:rFonts w:cs="Verdana"/>
          <w:szCs w:val="20"/>
          <w:lang w:bidi="en-US"/>
        </w:rPr>
        <w:t>l</w:t>
      </w:r>
      <w:r w:rsidR="00C202C9" w:rsidRPr="00142A36">
        <w:rPr>
          <w:rFonts w:cs="Verdana"/>
          <w:szCs w:val="20"/>
          <w:lang w:bidi="en-US"/>
        </w:rPr>
        <w:t xml:space="preserve"> </w:t>
      </w:r>
      <w:r w:rsidR="00965DCF" w:rsidRPr="00142A36">
        <w:rPr>
          <w:rFonts w:cs="Verdana"/>
          <w:szCs w:val="20"/>
          <w:lang w:bidi="en-US"/>
        </w:rPr>
        <w:t>interviniente común</w:t>
      </w:r>
      <w:r w:rsidR="0011573D" w:rsidRPr="00142A36">
        <w:rPr>
          <w:rFonts w:cs="Verdana"/>
          <w:szCs w:val="20"/>
          <w:lang w:bidi="en-US"/>
        </w:rPr>
        <w:t>, a la</w:t>
      </w:r>
      <w:r w:rsidR="00DD161B" w:rsidRPr="00142A36">
        <w:rPr>
          <w:rFonts w:cs="Verdana"/>
          <w:szCs w:val="20"/>
          <w:lang w:bidi="en-US"/>
        </w:rPr>
        <w:t xml:space="preserve"> Comisión y al Estado para que, si lo estima</w:t>
      </w:r>
      <w:r w:rsidR="00C202C9" w:rsidRPr="00142A36">
        <w:rPr>
          <w:rFonts w:cs="Verdana"/>
          <w:szCs w:val="20"/>
          <w:lang w:bidi="en-US"/>
        </w:rPr>
        <w:t>n</w:t>
      </w:r>
      <w:r w:rsidR="00DD161B" w:rsidRPr="00142A36">
        <w:rPr>
          <w:rFonts w:cs="Verdana"/>
          <w:szCs w:val="20"/>
          <w:lang w:bidi="en-US"/>
        </w:rPr>
        <w:t xml:space="preserve"> necesario</w:t>
      </w:r>
      <w:r w:rsidR="00C202C9" w:rsidRPr="00142A36">
        <w:rPr>
          <w:rFonts w:cs="Verdana"/>
          <w:szCs w:val="20"/>
          <w:lang w:bidi="en-US"/>
        </w:rPr>
        <w:t xml:space="preserve"> y en los que les corresponda</w:t>
      </w:r>
      <w:r w:rsidR="00DD161B" w:rsidRPr="00142A36">
        <w:rPr>
          <w:rFonts w:cs="Verdana"/>
          <w:szCs w:val="20"/>
          <w:lang w:bidi="en-US"/>
        </w:rPr>
        <w:t>, presente</w:t>
      </w:r>
      <w:r w:rsidR="00C202C9" w:rsidRPr="00142A36">
        <w:rPr>
          <w:rFonts w:cs="Verdana"/>
          <w:szCs w:val="20"/>
          <w:lang w:bidi="en-US"/>
        </w:rPr>
        <w:t>n</w:t>
      </w:r>
      <w:r w:rsidR="00DD161B" w:rsidRPr="00142A36">
        <w:rPr>
          <w:rFonts w:cs="Verdana"/>
          <w:szCs w:val="20"/>
          <w:lang w:bidi="en-US"/>
        </w:rPr>
        <w:t xml:space="preserve"> sus observaciones a dichas declaraciones y peritaje</w:t>
      </w:r>
      <w:r w:rsidR="0011573D" w:rsidRPr="00142A36">
        <w:rPr>
          <w:rFonts w:cs="Verdana"/>
          <w:szCs w:val="20"/>
          <w:lang w:bidi="en-US"/>
        </w:rPr>
        <w:t>s</w:t>
      </w:r>
      <w:r w:rsidR="002936FA" w:rsidRPr="00142A36">
        <w:rPr>
          <w:rFonts w:cs="Verdana"/>
          <w:szCs w:val="20"/>
          <w:lang w:bidi="en-US"/>
        </w:rPr>
        <w:t>,</w:t>
      </w:r>
      <w:r w:rsidR="00DD161B" w:rsidRPr="00142A36">
        <w:rPr>
          <w:rFonts w:cs="Verdana"/>
          <w:szCs w:val="20"/>
          <w:lang w:bidi="en-US"/>
        </w:rPr>
        <w:t xml:space="preserve"> </w:t>
      </w:r>
      <w:r w:rsidR="002936FA" w:rsidRPr="00142A36">
        <w:rPr>
          <w:rFonts w:cs="Verdana"/>
          <w:szCs w:val="20"/>
        </w:rPr>
        <w:t>a más tardar con sus alegatos u observaciones finales escritos.</w:t>
      </w:r>
    </w:p>
    <w:p w:rsidR="00DD161B" w:rsidRPr="00142A36" w:rsidRDefault="00DD161B" w:rsidP="00002E9E">
      <w:pPr>
        <w:numPr>
          <w:ilvl w:val="0"/>
          <w:numId w:val="38"/>
        </w:numPr>
        <w:autoSpaceDE w:val="0"/>
        <w:autoSpaceDN w:val="0"/>
        <w:adjustRightInd w:val="0"/>
        <w:rPr>
          <w:rFonts w:cs="Verdana"/>
          <w:szCs w:val="20"/>
          <w:lang w:bidi="en-US"/>
        </w:rPr>
      </w:pPr>
      <w:r w:rsidRPr="00142A36">
        <w:rPr>
          <w:rFonts w:cs="Verdana"/>
          <w:szCs w:val="20"/>
          <w:lang w:bidi="en-US"/>
        </w:rPr>
        <w:t>Convocar a</w:t>
      </w:r>
      <w:r w:rsidR="00E67E2D" w:rsidRPr="00142A36">
        <w:rPr>
          <w:rFonts w:cs="Verdana"/>
          <w:szCs w:val="20"/>
          <w:lang w:bidi="en-US"/>
        </w:rPr>
        <w:t>l</w:t>
      </w:r>
      <w:r w:rsidRPr="00142A36">
        <w:rPr>
          <w:rFonts w:cs="Verdana"/>
          <w:szCs w:val="20"/>
          <w:lang w:bidi="en-US"/>
        </w:rPr>
        <w:t xml:space="preserve"> </w:t>
      </w:r>
      <w:r w:rsidR="00965DCF" w:rsidRPr="00142A36">
        <w:rPr>
          <w:rFonts w:cs="Verdana"/>
          <w:szCs w:val="20"/>
          <w:lang w:bidi="en-US"/>
        </w:rPr>
        <w:t>interviniente común</w:t>
      </w:r>
      <w:r w:rsidRPr="00142A36">
        <w:rPr>
          <w:rFonts w:cs="Verdana"/>
          <w:szCs w:val="20"/>
          <w:lang w:bidi="en-US"/>
        </w:rPr>
        <w:t xml:space="preserve"> y al Estado, así como a la Comisión Interamericana, a una audiencia pública que se celebrará </w:t>
      </w:r>
      <w:r w:rsidR="00C202C9" w:rsidRPr="00142A36">
        <w:rPr>
          <w:rFonts w:cs="Verdana"/>
          <w:szCs w:val="20"/>
          <w:lang w:bidi="en-US"/>
        </w:rPr>
        <w:t>el</w:t>
      </w:r>
      <w:r w:rsidRPr="00142A36">
        <w:rPr>
          <w:rFonts w:cs="Verdana"/>
          <w:szCs w:val="20"/>
          <w:lang w:bidi="en-US"/>
        </w:rPr>
        <w:t xml:space="preserve"> </w:t>
      </w:r>
      <w:r w:rsidR="00926EFC" w:rsidRPr="00142A36">
        <w:rPr>
          <w:rFonts w:cs="Verdana"/>
          <w:szCs w:val="20"/>
          <w:lang w:bidi="en-US"/>
        </w:rPr>
        <w:t>22</w:t>
      </w:r>
      <w:r w:rsidR="00231F09" w:rsidRPr="00142A36">
        <w:rPr>
          <w:rFonts w:cs="Verdana"/>
          <w:szCs w:val="20"/>
          <w:lang w:bidi="en-US"/>
        </w:rPr>
        <w:t xml:space="preserve"> </w:t>
      </w:r>
      <w:r w:rsidRPr="00142A36">
        <w:rPr>
          <w:rFonts w:cs="Verdana"/>
          <w:szCs w:val="20"/>
          <w:lang w:bidi="en-US"/>
        </w:rPr>
        <w:t xml:space="preserve">de </w:t>
      </w:r>
      <w:r w:rsidR="00AE188C" w:rsidRPr="00142A36">
        <w:rPr>
          <w:rFonts w:cs="Verdana"/>
          <w:szCs w:val="20"/>
          <w:lang w:bidi="en-US"/>
        </w:rPr>
        <w:t>abril</w:t>
      </w:r>
      <w:r w:rsidR="00231F09" w:rsidRPr="00142A36">
        <w:rPr>
          <w:rFonts w:cs="Verdana"/>
          <w:szCs w:val="20"/>
          <w:lang w:bidi="en-US"/>
        </w:rPr>
        <w:t xml:space="preserve"> </w:t>
      </w:r>
      <w:r w:rsidRPr="00142A36">
        <w:rPr>
          <w:rFonts w:cs="Verdana"/>
          <w:szCs w:val="20"/>
          <w:lang w:bidi="en-US"/>
        </w:rPr>
        <w:t xml:space="preserve">de </w:t>
      </w:r>
      <w:r w:rsidR="00AE188C" w:rsidRPr="00142A36">
        <w:rPr>
          <w:rFonts w:cs="Verdana"/>
          <w:szCs w:val="20"/>
          <w:lang w:bidi="en-US"/>
        </w:rPr>
        <w:t>2015</w:t>
      </w:r>
      <w:r w:rsidR="00331500" w:rsidRPr="00142A36">
        <w:rPr>
          <w:rFonts w:cs="Verdana"/>
          <w:szCs w:val="20"/>
          <w:lang w:bidi="en-US"/>
        </w:rPr>
        <w:t xml:space="preserve">, a partir de las </w:t>
      </w:r>
      <w:r w:rsidR="00AE188C" w:rsidRPr="00142A36">
        <w:rPr>
          <w:rFonts w:cs="Verdana"/>
          <w:szCs w:val="20"/>
          <w:lang w:bidi="en-US"/>
        </w:rPr>
        <w:t>15</w:t>
      </w:r>
      <w:r w:rsidRPr="00142A36">
        <w:rPr>
          <w:rFonts w:cs="Verdana"/>
          <w:szCs w:val="20"/>
          <w:lang w:bidi="en-US"/>
        </w:rPr>
        <w:t>:00 horas,</w:t>
      </w:r>
      <w:r w:rsidR="00AE188C" w:rsidRPr="00142A36">
        <w:rPr>
          <w:rFonts w:cs="Verdana"/>
          <w:szCs w:val="20"/>
          <w:lang w:bidi="en-US"/>
        </w:rPr>
        <w:t xml:space="preserve"> y el 23 de ese mismo mes y año, a partir de las 09.00 horas,</w:t>
      </w:r>
      <w:r w:rsidRPr="00142A36">
        <w:rPr>
          <w:rFonts w:cs="Verdana"/>
          <w:szCs w:val="20"/>
          <w:lang w:bidi="en-US"/>
        </w:rPr>
        <w:t xml:space="preserve"> durante el </w:t>
      </w:r>
      <w:r w:rsidR="00036C9A">
        <w:t>52°</w:t>
      </w:r>
      <w:r w:rsidR="000247C6" w:rsidRPr="00142A36">
        <w:t xml:space="preserve"> Período </w:t>
      </w:r>
      <w:r w:rsidR="00036C9A">
        <w:t>Extrao</w:t>
      </w:r>
      <w:r w:rsidR="000247C6" w:rsidRPr="00142A36">
        <w:t xml:space="preserve">rdinario de Sesiones </w:t>
      </w:r>
      <w:r w:rsidRPr="00142A36">
        <w:rPr>
          <w:rFonts w:cs="Verdana"/>
          <w:szCs w:val="20"/>
          <w:lang w:bidi="en-US"/>
        </w:rPr>
        <w:t xml:space="preserve">por realizarse en </w:t>
      </w:r>
      <w:r w:rsidR="00AE188C" w:rsidRPr="00142A36">
        <w:rPr>
          <w:rFonts w:cs="Verdana"/>
          <w:szCs w:val="20"/>
          <w:lang w:bidi="en-US"/>
        </w:rPr>
        <w:t>Cartagena, Colombia</w:t>
      </w:r>
      <w:r w:rsidRPr="00142A36">
        <w:rPr>
          <w:rFonts w:cs="Verdana"/>
          <w:szCs w:val="20"/>
          <w:lang w:bidi="en-US"/>
        </w:rPr>
        <w:t>, para recibir sus alegatos finales orales y observaciones finales or</w:t>
      </w:r>
      <w:r w:rsidR="00333DAA" w:rsidRPr="00142A36">
        <w:rPr>
          <w:rFonts w:cs="Verdana"/>
          <w:szCs w:val="20"/>
          <w:lang w:bidi="en-US"/>
        </w:rPr>
        <w:t xml:space="preserve">ales, respectivamente, sobre </w:t>
      </w:r>
      <w:r w:rsidR="00AE188C" w:rsidRPr="00142A36">
        <w:rPr>
          <w:rFonts w:cs="Verdana"/>
          <w:szCs w:val="20"/>
          <w:lang w:bidi="en-US"/>
        </w:rPr>
        <w:t>el</w:t>
      </w:r>
      <w:r w:rsidRPr="00142A36">
        <w:rPr>
          <w:rFonts w:cs="Verdana"/>
          <w:szCs w:val="20"/>
          <w:lang w:bidi="en-US"/>
        </w:rPr>
        <w:t xml:space="preserve"> fondo y </w:t>
      </w:r>
      <w:r w:rsidR="00AE188C" w:rsidRPr="00142A36">
        <w:rPr>
          <w:rFonts w:cs="Verdana"/>
          <w:szCs w:val="20"/>
          <w:lang w:bidi="en-US"/>
        </w:rPr>
        <w:t xml:space="preserve">eventuales </w:t>
      </w:r>
      <w:r w:rsidRPr="00142A36">
        <w:rPr>
          <w:rFonts w:cs="Verdana"/>
          <w:szCs w:val="20"/>
          <w:lang w:bidi="en-US"/>
        </w:rPr>
        <w:t>reparaciones, así como las declaraciones de las siguientes personas:</w:t>
      </w:r>
    </w:p>
    <w:p w:rsidR="0085799C" w:rsidRPr="00142A36" w:rsidRDefault="0085799C" w:rsidP="00280E7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i/>
          <w:szCs w:val="20"/>
          <w:lang w:bidi="en-US"/>
        </w:rPr>
      </w:pPr>
      <w:r w:rsidRPr="00142A36">
        <w:rPr>
          <w:rFonts w:cs="Helvetica"/>
          <w:i/>
          <w:szCs w:val="20"/>
          <w:lang w:bidi="en-US"/>
        </w:rPr>
        <w:t xml:space="preserve">Presunta víctima (propuesta por </w:t>
      </w:r>
      <w:r w:rsidR="00A558D1" w:rsidRPr="00142A36">
        <w:rPr>
          <w:rFonts w:cs="Helvetica"/>
          <w:i/>
          <w:szCs w:val="20"/>
          <w:lang w:bidi="en-US"/>
        </w:rPr>
        <w:t>e</w:t>
      </w:r>
      <w:r w:rsidRPr="00142A36">
        <w:rPr>
          <w:rFonts w:cs="Helvetica"/>
          <w:i/>
          <w:szCs w:val="20"/>
          <w:lang w:bidi="en-US"/>
        </w:rPr>
        <w:t xml:space="preserve">l </w:t>
      </w:r>
      <w:r w:rsidR="00965DCF" w:rsidRPr="00142A36">
        <w:rPr>
          <w:rFonts w:cs="Helvetica"/>
          <w:i/>
          <w:szCs w:val="20"/>
          <w:lang w:bidi="en-US"/>
        </w:rPr>
        <w:t>interviniente común</w:t>
      </w:r>
      <w:r w:rsidRPr="00142A36">
        <w:rPr>
          <w:rFonts w:cs="Helvetica"/>
          <w:i/>
          <w:szCs w:val="20"/>
          <w:lang w:bidi="en-US"/>
        </w:rPr>
        <w:t>)</w:t>
      </w:r>
    </w:p>
    <w:p w:rsidR="00945DD2" w:rsidRPr="00142A36" w:rsidRDefault="00A558D1" w:rsidP="007F128A">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szCs w:val="20"/>
          <w:lang w:bidi="en-US"/>
        </w:rPr>
      </w:pPr>
      <w:r w:rsidRPr="00142A36">
        <w:rPr>
          <w:rFonts w:cs="Helvetica"/>
          <w:i/>
          <w:szCs w:val="20"/>
          <w:lang w:bidi="en-US"/>
        </w:rPr>
        <w:t>Ernesto Galaz Guzmán</w:t>
      </w:r>
      <w:r w:rsidR="0085799C" w:rsidRPr="00142A36">
        <w:rPr>
          <w:rFonts w:cs="Helvetica"/>
          <w:i/>
          <w:szCs w:val="20"/>
          <w:lang w:bidi="en-US"/>
        </w:rPr>
        <w:t xml:space="preserve">, </w:t>
      </w:r>
      <w:r w:rsidR="00945DD2" w:rsidRPr="00142A36">
        <w:rPr>
          <w:rFonts w:cs="Helvetica"/>
          <w:i/>
          <w:szCs w:val="20"/>
          <w:lang w:bidi="en-US"/>
        </w:rPr>
        <w:t xml:space="preserve">y </w:t>
      </w:r>
      <w:r w:rsidR="00713C1D" w:rsidRPr="00142A36">
        <w:rPr>
          <w:rFonts w:cs="Helvetica"/>
          <w:szCs w:val="20"/>
          <w:lang w:bidi="en-US"/>
        </w:rPr>
        <w:t xml:space="preserve">quién </w:t>
      </w:r>
      <w:r w:rsidR="00945DD2" w:rsidRPr="00142A36">
        <w:rPr>
          <w:rFonts w:cs="Helvetica"/>
          <w:szCs w:val="20"/>
          <w:lang w:bidi="en-US"/>
        </w:rPr>
        <w:t>rendirá su declaración sobre “</w:t>
      </w:r>
      <w:r w:rsidR="00945DD2" w:rsidRPr="00142A36">
        <w:rPr>
          <w:rFonts w:cs="Verdana"/>
          <w:iCs/>
          <w:szCs w:val="20"/>
          <w:lang w:bidi="en-US"/>
        </w:rPr>
        <w:t xml:space="preserve">los hechos del caso, especialmente en relación a los procedimientos de anulación de las sentencias de los </w:t>
      </w:r>
      <w:r w:rsidR="00945DD2" w:rsidRPr="00142A36">
        <w:rPr>
          <w:rFonts w:cs="Verdana"/>
          <w:iCs/>
          <w:szCs w:val="20"/>
          <w:lang w:bidi="en-US"/>
        </w:rPr>
        <w:lastRenderedPageBreak/>
        <w:t xml:space="preserve">Tribunales Militares en Tiempo de Guerra y a la </w:t>
      </w:r>
      <w:r w:rsidR="0042008F">
        <w:rPr>
          <w:rFonts w:cs="Verdana"/>
          <w:iCs/>
          <w:szCs w:val="20"/>
          <w:lang w:bidi="en-US"/>
        </w:rPr>
        <w:t>i</w:t>
      </w:r>
      <w:r w:rsidR="00945DD2" w:rsidRPr="00142A36">
        <w:rPr>
          <w:rFonts w:cs="Verdana"/>
          <w:iCs/>
          <w:szCs w:val="20"/>
          <w:lang w:bidi="en-US"/>
        </w:rPr>
        <w:t xml:space="preserve">nvestigación de la Tortura. Asimismo, sobre el </w:t>
      </w:r>
      <w:r w:rsidR="0042008F">
        <w:rPr>
          <w:rFonts w:cs="Verdana"/>
          <w:iCs/>
          <w:szCs w:val="20"/>
          <w:lang w:bidi="en-US"/>
        </w:rPr>
        <w:t xml:space="preserve">[alegado] </w:t>
      </w:r>
      <w:r w:rsidR="00945DD2" w:rsidRPr="00142A36">
        <w:rPr>
          <w:rFonts w:cs="Verdana"/>
          <w:iCs/>
          <w:szCs w:val="20"/>
          <w:lang w:bidi="en-US"/>
        </w:rPr>
        <w:t>daño ocasionado a su familia y a su persona por la manutención de su condena”</w:t>
      </w:r>
      <w:r w:rsidR="00945DD2" w:rsidRPr="00142A36">
        <w:rPr>
          <w:rFonts w:cs="Helvetica"/>
          <w:szCs w:val="20"/>
          <w:lang w:bidi="en-US"/>
        </w:rPr>
        <w:t>.</w:t>
      </w:r>
    </w:p>
    <w:p w:rsidR="00DD161B" w:rsidRPr="00142A36" w:rsidRDefault="00B95D2B" w:rsidP="00280E7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Verdana"/>
          <w:i/>
          <w:iCs/>
          <w:szCs w:val="20"/>
          <w:lang w:bidi="en-US"/>
        </w:rPr>
      </w:pPr>
      <w:r w:rsidRPr="00142A36">
        <w:rPr>
          <w:rFonts w:cs="ArialMT"/>
          <w:i/>
          <w:iCs/>
          <w:szCs w:val="20"/>
          <w:lang w:bidi="en-US"/>
        </w:rPr>
        <w:t>Testigo</w:t>
      </w:r>
      <w:r w:rsidRPr="00142A36">
        <w:rPr>
          <w:rFonts w:cs="Verdana"/>
          <w:i/>
          <w:iCs/>
          <w:szCs w:val="20"/>
          <w:lang w:bidi="en-US"/>
        </w:rPr>
        <w:t xml:space="preserve"> (propuesto</w:t>
      </w:r>
      <w:r w:rsidR="00DD161B" w:rsidRPr="00142A36">
        <w:rPr>
          <w:rFonts w:cs="Verdana"/>
          <w:i/>
          <w:iCs/>
          <w:szCs w:val="20"/>
          <w:lang w:bidi="en-US"/>
        </w:rPr>
        <w:t xml:space="preserve"> por </w:t>
      </w:r>
      <w:r w:rsidR="0011573D" w:rsidRPr="00142A36">
        <w:rPr>
          <w:rFonts w:cs="Verdana"/>
          <w:i/>
          <w:iCs/>
          <w:szCs w:val="20"/>
          <w:lang w:bidi="en-US"/>
        </w:rPr>
        <w:t>el</w:t>
      </w:r>
      <w:r w:rsidR="00DD161B" w:rsidRPr="00142A36">
        <w:rPr>
          <w:rFonts w:cs="Verdana"/>
          <w:i/>
          <w:iCs/>
          <w:szCs w:val="20"/>
          <w:lang w:bidi="en-US"/>
        </w:rPr>
        <w:t xml:space="preserve"> </w:t>
      </w:r>
      <w:r w:rsidR="0011573D" w:rsidRPr="00142A36">
        <w:rPr>
          <w:rFonts w:cs="Verdana"/>
          <w:i/>
          <w:iCs/>
          <w:szCs w:val="20"/>
          <w:lang w:bidi="en-US"/>
        </w:rPr>
        <w:t>Estado</w:t>
      </w:r>
      <w:r w:rsidR="00DD161B" w:rsidRPr="00142A36">
        <w:rPr>
          <w:rFonts w:cs="Verdana"/>
          <w:i/>
          <w:iCs/>
          <w:szCs w:val="20"/>
          <w:lang w:bidi="en-US"/>
        </w:rPr>
        <w:t xml:space="preserve">) </w:t>
      </w:r>
    </w:p>
    <w:p w:rsidR="007F128A" w:rsidRPr="00142A36" w:rsidRDefault="007F128A" w:rsidP="00713C1D">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szCs w:val="20"/>
          <w:lang w:bidi="en-US"/>
        </w:rPr>
      </w:pPr>
      <w:r w:rsidRPr="00142A36">
        <w:rPr>
          <w:rFonts w:cs="Helvetica"/>
          <w:i/>
          <w:szCs w:val="20"/>
          <w:lang w:bidi="en-US"/>
        </w:rPr>
        <w:t>Jorge Correa Sutil</w:t>
      </w:r>
      <w:r w:rsidRPr="00142A36">
        <w:rPr>
          <w:rFonts w:cs="Helvetica"/>
          <w:szCs w:val="20"/>
          <w:lang w:bidi="en-US"/>
        </w:rPr>
        <w:t>, quien rendirá testimonio sobre</w:t>
      </w:r>
      <w:r w:rsidRPr="00142A36">
        <w:rPr>
          <w:rFonts w:eastAsia="Times New Roman" w:cs="Verdana"/>
          <w:szCs w:val="20"/>
          <w:lang w:val="es-CL" w:eastAsia="en-US"/>
        </w:rPr>
        <w:t xml:space="preserve"> “las particularidades de la justicia transicional en Chile y al programa de reparación a las víctimas de derechos humanos ocurridos entre 1973 y 1990 implementado por los gobiernos democráticos”</w:t>
      </w:r>
      <w:r w:rsidR="00792F72">
        <w:rPr>
          <w:rFonts w:eastAsia="Times New Roman" w:cs="Verdana"/>
          <w:szCs w:val="20"/>
          <w:lang w:val="es-CL" w:eastAsia="en-US"/>
        </w:rPr>
        <w:t>.</w:t>
      </w:r>
    </w:p>
    <w:p w:rsidR="00DD161B" w:rsidRPr="00142A36" w:rsidRDefault="0034683A" w:rsidP="00AC3157">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i/>
          <w:szCs w:val="20"/>
          <w:lang w:bidi="en-US"/>
        </w:rPr>
      </w:pPr>
      <w:r w:rsidRPr="00142A36">
        <w:rPr>
          <w:rFonts w:cs="Verdana"/>
          <w:szCs w:val="20"/>
          <w:lang w:bidi="en-US"/>
        </w:rPr>
        <w:t xml:space="preserve"> </w:t>
      </w:r>
      <w:r w:rsidR="00AC3157" w:rsidRPr="00142A36">
        <w:rPr>
          <w:rFonts w:cs="Verdana"/>
          <w:i/>
          <w:szCs w:val="20"/>
          <w:lang w:bidi="en-US"/>
        </w:rPr>
        <w:t xml:space="preserve">Perito (propuesto por el Estado) </w:t>
      </w:r>
    </w:p>
    <w:p w:rsidR="00AC3157" w:rsidRPr="00142A36" w:rsidRDefault="00AC3157" w:rsidP="00713C1D">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Helvetica"/>
          <w:szCs w:val="20"/>
          <w:lang w:bidi="en-US"/>
        </w:rPr>
      </w:pPr>
      <w:proofErr w:type="spellStart"/>
      <w:r w:rsidRPr="00142A36">
        <w:rPr>
          <w:rFonts w:cs="Helvetica"/>
          <w:i/>
          <w:szCs w:val="20"/>
          <w:lang w:bidi="en-US"/>
        </w:rPr>
        <w:t>Jonatan</w:t>
      </w:r>
      <w:proofErr w:type="spellEnd"/>
      <w:r w:rsidRPr="00142A36">
        <w:rPr>
          <w:rFonts w:cs="Helvetica"/>
          <w:i/>
          <w:szCs w:val="20"/>
          <w:lang w:bidi="en-US"/>
        </w:rPr>
        <w:t xml:space="preserve"> Valenzuela </w:t>
      </w:r>
      <w:proofErr w:type="spellStart"/>
      <w:r w:rsidRPr="00142A36">
        <w:rPr>
          <w:rFonts w:cs="Helvetica"/>
          <w:i/>
          <w:szCs w:val="20"/>
          <w:lang w:bidi="en-US"/>
        </w:rPr>
        <w:t>Saldías</w:t>
      </w:r>
      <w:proofErr w:type="spellEnd"/>
      <w:r w:rsidR="00E43806" w:rsidRPr="00142A36">
        <w:rPr>
          <w:rFonts w:cs="Helvetica"/>
          <w:szCs w:val="20"/>
          <w:lang w:bidi="en-US"/>
        </w:rPr>
        <w:t xml:space="preserve">, </w:t>
      </w:r>
      <w:r w:rsidRPr="00142A36">
        <w:rPr>
          <w:rFonts w:cs="Helvetica"/>
          <w:szCs w:val="20"/>
          <w:lang w:bidi="en-US"/>
        </w:rPr>
        <w:t xml:space="preserve">quien rendirá </w:t>
      </w:r>
      <w:r w:rsidR="00340C54" w:rsidRPr="00142A36">
        <w:rPr>
          <w:rFonts w:cs="Helvetica"/>
          <w:szCs w:val="20"/>
          <w:lang w:bidi="en-US"/>
        </w:rPr>
        <w:t xml:space="preserve">su </w:t>
      </w:r>
      <w:r w:rsidRPr="00142A36">
        <w:rPr>
          <w:rFonts w:cs="Helvetica"/>
          <w:szCs w:val="20"/>
          <w:lang w:bidi="en-US"/>
        </w:rPr>
        <w:t>d</w:t>
      </w:r>
      <w:r w:rsidR="00340C54" w:rsidRPr="00142A36">
        <w:rPr>
          <w:rFonts w:cs="Helvetica"/>
          <w:szCs w:val="20"/>
          <w:lang w:bidi="en-US"/>
        </w:rPr>
        <w:t xml:space="preserve">ictamen pericial </w:t>
      </w:r>
      <w:r w:rsidRPr="00142A36">
        <w:rPr>
          <w:rFonts w:cs="Helvetica"/>
          <w:szCs w:val="20"/>
          <w:lang w:bidi="en-US"/>
        </w:rPr>
        <w:t xml:space="preserve">sobre “las obligaciones estatales relativas al alcance y contenido de la regla de exclusión de prueba ilícita (obtenida </w:t>
      </w:r>
      <w:r w:rsidR="00792F72">
        <w:rPr>
          <w:rFonts w:cs="Helvetica"/>
          <w:szCs w:val="20"/>
          <w:lang w:bidi="en-US"/>
        </w:rPr>
        <w:t>[</w:t>
      </w:r>
      <w:r w:rsidRPr="00142A36">
        <w:rPr>
          <w:rFonts w:cs="Helvetica"/>
          <w:szCs w:val="20"/>
          <w:lang w:bidi="en-US"/>
        </w:rPr>
        <w:t>por</w:t>
      </w:r>
      <w:r w:rsidR="00792F72">
        <w:rPr>
          <w:rFonts w:cs="Helvetica"/>
          <w:szCs w:val="20"/>
          <w:lang w:bidi="en-US"/>
        </w:rPr>
        <w:t xml:space="preserve"> medio de]</w:t>
      </w:r>
      <w:r w:rsidRPr="00142A36">
        <w:rPr>
          <w:rFonts w:cs="Helvetica"/>
          <w:szCs w:val="20"/>
          <w:lang w:bidi="en-US"/>
        </w:rPr>
        <w:t xml:space="preserve"> tortura). En particular, sobre los recursos judiciales para asegurar la aplicación de dicha regla, especialmente en procesos penales que ya cuentan con sentencia firme (Código Procesal Penal y Código de Procedimiento Penal)”</w:t>
      </w:r>
      <w:r w:rsidR="00E43806" w:rsidRPr="00142A36">
        <w:rPr>
          <w:rFonts w:cs="Helvetica"/>
          <w:szCs w:val="20"/>
          <w:lang w:bidi="en-US"/>
        </w:rPr>
        <w:t>.</w:t>
      </w:r>
    </w:p>
    <w:p w:rsidR="00944BCF" w:rsidRPr="00142A36" w:rsidRDefault="00944BCF" w:rsidP="00280E7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ArialMT"/>
          <w:i/>
          <w:iCs/>
          <w:szCs w:val="20"/>
          <w:lang w:bidi="en-US"/>
        </w:rPr>
      </w:pPr>
      <w:r w:rsidRPr="00142A36">
        <w:rPr>
          <w:rFonts w:cs="ArialMT"/>
          <w:i/>
          <w:iCs/>
          <w:szCs w:val="20"/>
          <w:lang w:bidi="en-US"/>
        </w:rPr>
        <w:t xml:space="preserve">Perito </w:t>
      </w:r>
      <w:r w:rsidR="00340C54" w:rsidRPr="00142A36">
        <w:rPr>
          <w:rFonts w:cs="ArialMT"/>
          <w:i/>
          <w:iCs/>
          <w:szCs w:val="20"/>
          <w:lang w:bidi="en-US"/>
        </w:rPr>
        <w:t>(</w:t>
      </w:r>
      <w:r w:rsidRPr="00142A36">
        <w:rPr>
          <w:rFonts w:cs="ArialMT"/>
          <w:i/>
          <w:iCs/>
          <w:szCs w:val="20"/>
          <w:lang w:bidi="en-US"/>
        </w:rPr>
        <w:t>propuesto por la Comisión</w:t>
      </w:r>
      <w:r w:rsidR="00340C54" w:rsidRPr="00142A36">
        <w:rPr>
          <w:rFonts w:cs="ArialMT"/>
          <w:i/>
          <w:iCs/>
          <w:szCs w:val="20"/>
          <w:lang w:bidi="en-US"/>
        </w:rPr>
        <w:t>)</w:t>
      </w:r>
    </w:p>
    <w:p w:rsidR="00944BCF" w:rsidRPr="00142A36" w:rsidRDefault="00C7521D" w:rsidP="00713C1D">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contextualSpacing w:val="0"/>
        <w:rPr>
          <w:rFonts w:cs="Verdana"/>
          <w:szCs w:val="20"/>
          <w:lang w:bidi="en-US"/>
        </w:rPr>
      </w:pPr>
      <w:r w:rsidRPr="00142A36">
        <w:rPr>
          <w:rFonts w:cs="Verdana"/>
          <w:i/>
          <w:szCs w:val="20"/>
          <w:lang w:bidi="en-US"/>
        </w:rPr>
        <w:t>Juan Méndez</w:t>
      </w:r>
      <w:r w:rsidR="00A558D1" w:rsidRPr="00142A36">
        <w:rPr>
          <w:rFonts w:cs="Verdana"/>
          <w:szCs w:val="20"/>
          <w:lang w:bidi="en-US"/>
        </w:rPr>
        <w:t xml:space="preserve">, quien </w:t>
      </w:r>
      <w:r w:rsidR="00340C54" w:rsidRPr="00142A36">
        <w:rPr>
          <w:rFonts w:cs="Helvetica"/>
          <w:szCs w:val="20"/>
          <w:lang w:bidi="en-US"/>
        </w:rPr>
        <w:t xml:space="preserve">rendirá su dictamen pericial </w:t>
      </w:r>
      <w:r w:rsidRPr="00142A36">
        <w:rPr>
          <w:rFonts w:cs="Verdana"/>
          <w:szCs w:val="20"/>
          <w:lang w:bidi="en-US"/>
        </w:rPr>
        <w:t xml:space="preserve">sobre “los estándares internacionales aplicables a la regla de exclusión. El perito se referirá al </w:t>
      </w:r>
      <w:r w:rsidR="00002E9E" w:rsidRPr="00142A36">
        <w:rPr>
          <w:rFonts w:cs="Verdana"/>
          <w:szCs w:val="20"/>
          <w:lang w:bidi="en-US"/>
        </w:rPr>
        <w:t>alcance y contenido de esta regl</w:t>
      </w:r>
      <w:r w:rsidRPr="00142A36">
        <w:rPr>
          <w:rFonts w:cs="Verdana"/>
          <w:szCs w:val="20"/>
          <w:lang w:bidi="en-US"/>
        </w:rPr>
        <w:t>a, así como a las obligaciones estatales derivadas de la misma. En particular, desarrollara los recursos judiciales que deben existir para asegurar la aplicación de dicha reg</w:t>
      </w:r>
      <w:r w:rsidR="00002E9E" w:rsidRPr="00142A36">
        <w:rPr>
          <w:rFonts w:cs="Verdana"/>
          <w:szCs w:val="20"/>
          <w:lang w:bidi="en-US"/>
        </w:rPr>
        <w:t>l</w:t>
      </w:r>
      <w:r w:rsidRPr="00142A36">
        <w:rPr>
          <w:rFonts w:cs="Verdana"/>
          <w:szCs w:val="20"/>
          <w:lang w:bidi="en-US"/>
        </w:rPr>
        <w:t>a en todo tipo de procesos, especialmente en procesos penales que ya cuenten con sentencia en firme. El perito tomará en cuenta el desarrollo de este tema en otros sistemas de protección de derechos humanos y, en la medida de lo relevante, ofrecerá una perspectiva de derecho comparado”</w:t>
      </w:r>
      <w:r w:rsidR="0011573D" w:rsidRPr="00142A36">
        <w:rPr>
          <w:rFonts w:cs="Verdana"/>
          <w:szCs w:val="20"/>
          <w:lang w:bidi="en-US"/>
        </w:rPr>
        <w:t>.</w:t>
      </w:r>
    </w:p>
    <w:p w:rsidR="00DD161B" w:rsidRPr="00142A36" w:rsidRDefault="00DD161B" w:rsidP="00002E9E">
      <w:pPr>
        <w:numPr>
          <w:ilvl w:val="0"/>
          <w:numId w:val="38"/>
        </w:numPr>
        <w:autoSpaceDE w:val="0"/>
        <w:autoSpaceDN w:val="0"/>
        <w:adjustRightInd w:val="0"/>
        <w:rPr>
          <w:rFonts w:cs="Verdana"/>
          <w:szCs w:val="20"/>
          <w:lang w:bidi="en-US"/>
        </w:rPr>
      </w:pPr>
      <w:r w:rsidRPr="00142A36">
        <w:rPr>
          <w:rFonts w:cs="Verdana"/>
          <w:szCs w:val="20"/>
          <w:lang w:bidi="en-US"/>
        </w:rPr>
        <w:t xml:space="preserve">Requerir al Estado </w:t>
      </w:r>
      <w:r w:rsidR="00AD3FAB" w:rsidRPr="00142A36">
        <w:rPr>
          <w:rFonts w:cs="Verdana"/>
          <w:szCs w:val="20"/>
          <w:lang w:bidi="en-US"/>
        </w:rPr>
        <w:t xml:space="preserve">de Chile </w:t>
      </w:r>
      <w:r w:rsidRPr="00142A36">
        <w:rPr>
          <w:rFonts w:cs="Verdana"/>
          <w:szCs w:val="20"/>
          <w:lang w:bidi="en-US"/>
        </w:rPr>
        <w:t>que facilite la salida y entrada de su territorio de los declarantes, si residen o se encuentran en él, quienes han sido citados en la presente Resolución a rendir declaración en la audiencia pública en este caso, de conformidad con lo dispuesto en el artículo 26.1 del Reglamento de la Corte.</w:t>
      </w:r>
    </w:p>
    <w:p w:rsidR="00DD161B" w:rsidRPr="00142A36" w:rsidRDefault="00DD161B" w:rsidP="00002E9E">
      <w:pPr>
        <w:numPr>
          <w:ilvl w:val="0"/>
          <w:numId w:val="38"/>
        </w:numPr>
        <w:autoSpaceDE w:val="0"/>
        <w:autoSpaceDN w:val="0"/>
        <w:adjustRightInd w:val="0"/>
        <w:rPr>
          <w:rFonts w:cs="Verdana"/>
          <w:szCs w:val="20"/>
          <w:lang w:bidi="en-US"/>
        </w:rPr>
      </w:pPr>
      <w:r w:rsidRPr="00142A36">
        <w:rPr>
          <w:rFonts w:cs="Verdana"/>
          <w:szCs w:val="20"/>
          <w:lang w:bidi="en-US"/>
        </w:rPr>
        <w:t>Requerir a</w:t>
      </w:r>
      <w:r w:rsidR="00AD3FAB" w:rsidRPr="00142A36">
        <w:rPr>
          <w:rFonts w:cs="Verdana"/>
          <w:szCs w:val="20"/>
          <w:lang w:bidi="en-US"/>
        </w:rPr>
        <w:t xml:space="preserve">l </w:t>
      </w:r>
      <w:r w:rsidR="00965DCF" w:rsidRPr="00142A36">
        <w:rPr>
          <w:rFonts w:cs="Verdana"/>
          <w:szCs w:val="20"/>
          <w:lang w:bidi="en-US"/>
        </w:rPr>
        <w:t>interviniente común</w:t>
      </w:r>
      <w:r w:rsidRPr="00142A36">
        <w:rPr>
          <w:rFonts w:cs="Verdana"/>
          <w:szCs w:val="20"/>
          <w:lang w:bidi="en-US"/>
        </w:rPr>
        <w:t xml:space="preserve">, al Estado y a la Comisión Interamericana que notifiquen la presente Resolución a las personas por ellos propuestas, que han sido convocadas a rendir declaración, de conformidad con lo dispuesto en el artículo 50.2 y 50.4 del Reglamento. </w:t>
      </w:r>
    </w:p>
    <w:p w:rsidR="004854B9" w:rsidRPr="00142A36" w:rsidRDefault="00AD3FAB" w:rsidP="00002E9E">
      <w:pPr>
        <w:numPr>
          <w:ilvl w:val="0"/>
          <w:numId w:val="38"/>
        </w:numPr>
        <w:autoSpaceDE w:val="0"/>
        <w:autoSpaceDN w:val="0"/>
        <w:adjustRightInd w:val="0"/>
        <w:rPr>
          <w:rFonts w:cs="Verdana"/>
          <w:szCs w:val="20"/>
          <w:lang w:bidi="en-US"/>
        </w:rPr>
      </w:pPr>
      <w:r w:rsidRPr="00142A36">
        <w:rPr>
          <w:rFonts w:cs="Verdana"/>
          <w:szCs w:val="20"/>
          <w:lang w:bidi="en-US"/>
        </w:rPr>
        <w:t>Informar a</w:t>
      </w:r>
      <w:r w:rsidR="00DD161B" w:rsidRPr="00142A36">
        <w:rPr>
          <w:rFonts w:cs="Verdana"/>
          <w:szCs w:val="20"/>
          <w:lang w:bidi="en-US"/>
        </w:rPr>
        <w:t>l</w:t>
      </w:r>
      <w:r w:rsidRPr="00142A36">
        <w:rPr>
          <w:rFonts w:cs="Verdana"/>
          <w:szCs w:val="20"/>
          <w:lang w:bidi="en-US"/>
        </w:rPr>
        <w:t xml:space="preserve"> </w:t>
      </w:r>
      <w:r w:rsidR="00965DCF" w:rsidRPr="00142A36">
        <w:rPr>
          <w:rFonts w:cs="Verdana"/>
          <w:szCs w:val="20"/>
          <w:lang w:bidi="en-US"/>
        </w:rPr>
        <w:t>interviniente común</w:t>
      </w:r>
      <w:r w:rsidR="00DD161B" w:rsidRPr="00142A36">
        <w:rPr>
          <w:rFonts w:cs="Verdana"/>
          <w:szCs w:val="20"/>
          <w:lang w:bidi="en-US"/>
        </w:rPr>
        <w:t xml:space="preserve">, al Estado y a la Comisión Interamericana que deben cubrir los gastos que ocasione la aportación o rendición de la prueba propuesta por ellos, de conformidad con lo dispuesto en el artículo 60 del Reglamento. </w:t>
      </w:r>
      <w:r w:rsidR="005D6790" w:rsidRPr="00142A36">
        <w:rPr>
          <w:szCs w:val="20"/>
          <w:lang w:val="es-CR"/>
        </w:rPr>
        <w:t xml:space="preserve"> </w:t>
      </w:r>
      <w:r w:rsidR="004854B9" w:rsidRPr="00142A36">
        <w:rPr>
          <w:szCs w:val="20"/>
          <w:lang w:val="es-CR"/>
        </w:rPr>
        <w:t xml:space="preserve"> </w:t>
      </w:r>
    </w:p>
    <w:p w:rsidR="00DD161B" w:rsidRPr="00142A36" w:rsidRDefault="00DD161B" w:rsidP="00002E9E">
      <w:pPr>
        <w:numPr>
          <w:ilvl w:val="0"/>
          <w:numId w:val="38"/>
        </w:numPr>
        <w:autoSpaceDE w:val="0"/>
        <w:autoSpaceDN w:val="0"/>
        <w:adjustRightInd w:val="0"/>
        <w:rPr>
          <w:rFonts w:cs="Verdana"/>
          <w:szCs w:val="20"/>
          <w:lang w:bidi="en-US"/>
        </w:rPr>
      </w:pPr>
      <w:r w:rsidRPr="00142A36">
        <w:rPr>
          <w:rFonts w:cs="Verdana"/>
          <w:szCs w:val="20"/>
          <w:lang w:bidi="en-US"/>
        </w:rPr>
        <w:t>Requerir a</w:t>
      </w:r>
      <w:r w:rsidR="00F936A9" w:rsidRPr="00142A36">
        <w:rPr>
          <w:rFonts w:cs="Verdana"/>
          <w:szCs w:val="20"/>
          <w:lang w:bidi="en-US"/>
        </w:rPr>
        <w:t>l</w:t>
      </w:r>
      <w:r w:rsidRPr="00142A36">
        <w:rPr>
          <w:rFonts w:cs="Verdana"/>
          <w:szCs w:val="20"/>
          <w:lang w:bidi="en-US"/>
        </w:rPr>
        <w:t xml:space="preserve"> </w:t>
      </w:r>
      <w:r w:rsidR="00965DCF" w:rsidRPr="00142A36">
        <w:rPr>
          <w:rFonts w:cs="Verdana"/>
          <w:szCs w:val="20"/>
          <w:lang w:bidi="en-US"/>
        </w:rPr>
        <w:t>interviniente común</w:t>
      </w:r>
      <w:r w:rsidRPr="00142A36">
        <w:rPr>
          <w:rFonts w:cs="Verdana"/>
          <w:szCs w:val="20"/>
          <w:lang w:bidi="en-US"/>
        </w:rPr>
        <w:t xml:space="preserve">, al Estado y a la Comisión Interamericana que informen a las personas convocadas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DD161B" w:rsidRPr="00142A36" w:rsidRDefault="00DD161B" w:rsidP="00002E9E">
      <w:pPr>
        <w:numPr>
          <w:ilvl w:val="0"/>
          <w:numId w:val="38"/>
        </w:numPr>
        <w:autoSpaceDE w:val="0"/>
        <w:autoSpaceDN w:val="0"/>
        <w:adjustRightInd w:val="0"/>
        <w:rPr>
          <w:rFonts w:cs="Verdana"/>
          <w:szCs w:val="20"/>
          <w:lang w:bidi="en-US"/>
        </w:rPr>
      </w:pPr>
      <w:r w:rsidRPr="00142A36">
        <w:rPr>
          <w:rFonts w:cs="Verdana"/>
          <w:szCs w:val="20"/>
          <w:lang w:bidi="en-US"/>
        </w:rPr>
        <w:t>Informar a</w:t>
      </w:r>
      <w:r w:rsidR="00F936A9" w:rsidRPr="00142A36">
        <w:rPr>
          <w:rFonts w:cs="Verdana"/>
          <w:szCs w:val="20"/>
          <w:lang w:bidi="en-US"/>
        </w:rPr>
        <w:t>l</w:t>
      </w:r>
      <w:r w:rsidRPr="00142A36">
        <w:rPr>
          <w:rFonts w:cs="Verdana"/>
          <w:szCs w:val="20"/>
          <w:lang w:bidi="en-US"/>
        </w:rPr>
        <w:t xml:space="preserve"> </w:t>
      </w:r>
      <w:r w:rsidR="00965DCF" w:rsidRPr="00142A36">
        <w:rPr>
          <w:rFonts w:cs="Verdana"/>
          <w:szCs w:val="20"/>
          <w:lang w:bidi="en-US"/>
        </w:rPr>
        <w:t>interviniente común</w:t>
      </w:r>
      <w:r w:rsidRPr="00142A36">
        <w:rPr>
          <w:rFonts w:cs="Verdana"/>
          <w:szCs w:val="20"/>
          <w:lang w:bidi="en-US"/>
        </w:rPr>
        <w:t xml:space="preserve">, al Estado y a la Comisión Interamericana que, al término de las declaraciones rendidas en la audiencia pública, podrán presentar ante el Tribunal sus alegatos finales orales y observaciones finales orales, respectivamente, sobre </w:t>
      </w:r>
      <w:r w:rsidR="00F936A9" w:rsidRPr="00142A36">
        <w:rPr>
          <w:rFonts w:cs="Verdana"/>
          <w:szCs w:val="20"/>
          <w:lang w:bidi="en-US"/>
        </w:rPr>
        <w:t>el</w:t>
      </w:r>
      <w:r w:rsidRPr="00142A36">
        <w:rPr>
          <w:rFonts w:cs="Verdana"/>
          <w:szCs w:val="20"/>
          <w:lang w:bidi="en-US"/>
        </w:rPr>
        <w:t xml:space="preserve"> fondo y </w:t>
      </w:r>
      <w:r w:rsidR="00F936A9" w:rsidRPr="00142A36">
        <w:rPr>
          <w:rFonts w:cs="Verdana"/>
          <w:szCs w:val="20"/>
          <w:lang w:bidi="en-US"/>
        </w:rPr>
        <w:t xml:space="preserve">eventuales </w:t>
      </w:r>
      <w:r w:rsidRPr="00142A36">
        <w:rPr>
          <w:rFonts w:cs="Verdana"/>
          <w:szCs w:val="20"/>
          <w:lang w:bidi="en-US"/>
        </w:rPr>
        <w:t>reparaciones</w:t>
      </w:r>
      <w:r w:rsidRPr="00142A36" w:rsidDel="009D57DD">
        <w:rPr>
          <w:rFonts w:cs="Verdana"/>
          <w:szCs w:val="20"/>
          <w:lang w:bidi="en-US"/>
        </w:rPr>
        <w:t xml:space="preserve"> </w:t>
      </w:r>
      <w:r w:rsidRPr="00142A36">
        <w:rPr>
          <w:rFonts w:cs="Verdana"/>
          <w:szCs w:val="20"/>
          <w:lang w:bidi="en-US"/>
        </w:rPr>
        <w:t xml:space="preserve">en este caso. </w:t>
      </w:r>
    </w:p>
    <w:p w:rsidR="00DD161B" w:rsidRPr="00142A36" w:rsidRDefault="00DD161B" w:rsidP="00002E9E">
      <w:pPr>
        <w:numPr>
          <w:ilvl w:val="0"/>
          <w:numId w:val="38"/>
        </w:numPr>
        <w:autoSpaceDE w:val="0"/>
        <w:autoSpaceDN w:val="0"/>
        <w:adjustRightInd w:val="0"/>
        <w:rPr>
          <w:rFonts w:cs="Verdana"/>
          <w:szCs w:val="20"/>
        </w:rPr>
      </w:pPr>
      <w:r w:rsidRPr="00142A36">
        <w:rPr>
          <w:rFonts w:cs="Verdana"/>
          <w:szCs w:val="20"/>
          <w:lang w:bidi="en-US"/>
        </w:rPr>
        <w:t>Disponer</w:t>
      </w:r>
      <w:r w:rsidRPr="00142A36">
        <w:rPr>
          <w:rFonts w:cs="Verdana"/>
          <w:szCs w:val="20"/>
        </w:rPr>
        <w:t xml:space="preserve"> que la Secretaría de la Corte, de conformidad con lo dispuesto en el artículo 55.3 del Reglamento y a la brevedad posible, indique el enlace en que se encontrará disponible </w:t>
      </w:r>
      <w:r w:rsidRPr="00142A36">
        <w:rPr>
          <w:rFonts w:cs="Verdana"/>
          <w:szCs w:val="20"/>
        </w:rPr>
        <w:lastRenderedPageBreak/>
        <w:t>la grabación de la audiencia pública a la Comisión Interamericana, a</w:t>
      </w:r>
      <w:r w:rsidR="00F936A9" w:rsidRPr="00142A36">
        <w:rPr>
          <w:rFonts w:cs="Verdana"/>
          <w:szCs w:val="20"/>
        </w:rPr>
        <w:t>l</w:t>
      </w:r>
      <w:r w:rsidRPr="00142A36">
        <w:rPr>
          <w:rFonts w:cs="Verdana"/>
          <w:szCs w:val="20"/>
        </w:rPr>
        <w:t xml:space="preserve"> </w:t>
      </w:r>
      <w:r w:rsidR="00965DCF" w:rsidRPr="00142A36">
        <w:rPr>
          <w:rFonts w:cs="Verdana"/>
          <w:szCs w:val="20"/>
        </w:rPr>
        <w:t>interviniente común</w:t>
      </w:r>
      <w:r w:rsidRPr="00142A36">
        <w:rPr>
          <w:rFonts w:cs="Verdana"/>
          <w:szCs w:val="20"/>
        </w:rPr>
        <w:t xml:space="preserve"> y al Estado.</w:t>
      </w:r>
    </w:p>
    <w:p w:rsidR="005070BE" w:rsidRPr="00142A36" w:rsidRDefault="00DD161B" w:rsidP="00002E9E">
      <w:pPr>
        <w:numPr>
          <w:ilvl w:val="0"/>
          <w:numId w:val="38"/>
        </w:numPr>
        <w:autoSpaceDE w:val="0"/>
        <w:autoSpaceDN w:val="0"/>
        <w:adjustRightInd w:val="0"/>
        <w:rPr>
          <w:rFonts w:cs="Verdana"/>
          <w:szCs w:val="20"/>
          <w:lang w:bidi="en-US"/>
        </w:rPr>
      </w:pPr>
      <w:r w:rsidRPr="00142A36">
        <w:rPr>
          <w:rFonts w:cs="Verdana"/>
          <w:szCs w:val="20"/>
          <w:lang w:bidi="en-US"/>
        </w:rPr>
        <w:t>Informar a</w:t>
      </w:r>
      <w:r w:rsidR="00F936A9" w:rsidRPr="00142A36">
        <w:rPr>
          <w:rFonts w:cs="Verdana"/>
          <w:szCs w:val="20"/>
          <w:lang w:bidi="en-US"/>
        </w:rPr>
        <w:t>l</w:t>
      </w:r>
      <w:r w:rsidRPr="00142A36">
        <w:rPr>
          <w:rFonts w:cs="Verdana"/>
          <w:szCs w:val="20"/>
          <w:lang w:bidi="en-US"/>
        </w:rPr>
        <w:t xml:space="preserve"> </w:t>
      </w:r>
      <w:r w:rsidR="00965DCF" w:rsidRPr="00142A36">
        <w:rPr>
          <w:rFonts w:cs="Verdana"/>
          <w:szCs w:val="20"/>
          <w:lang w:bidi="en-US"/>
        </w:rPr>
        <w:t>interviniente común</w:t>
      </w:r>
      <w:r w:rsidRPr="00142A36">
        <w:rPr>
          <w:rFonts w:cs="Verdana"/>
          <w:szCs w:val="20"/>
          <w:lang w:bidi="en-US"/>
        </w:rPr>
        <w:t xml:space="preserve">, al Estado y a la Comisión Interamericana que cuentan con un plazo hasta el </w:t>
      </w:r>
      <w:r w:rsidR="00067683" w:rsidRPr="00142A36">
        <w:rPr>
          <w:rFonts w:cs="Verdana"/>
          <w:szCs w:val="20"/>
          <w:lang w:bidi="en-US"/>
        </w:rPr>
        <w:t xml:space="preserve">25 de mayo </w:t>
      </w:r>
      <w:r w:rsidR="0022409B" w:rsidRPr="00142A36">
        <w:rPr>
          <w:rFonts w:cs="Verdana"/>
          <w:szCs w:val="20"/>
          <w:lang w:bidi="en-US"/>
        </w:rPr>
        <w:t>de 2015</w:t>
      </w:r>
      <w:r w:rsidRPr="00142A36">
        <w:rPr>
          <w:rFonts w:cs="Verdana"/>
          <w:szCs w:val="20"/>
          <w:lang w:bidi="en-US"/>
        </w:rPr>
        <w:t xml:space="preserve"> para presentar sus alegatos finales escritos y observaciones finales escritas, respectivamente, en relación con </w:t>
      </w:r>
      <w:r w:rsidR="0022409B" w:rsidRPr="00142A36">
        <w:rPr>
          <w:rFonts w:cs="Verdana"/>
          <w:szCs w:val="20"/>
          <w:lang w:bidi="en-US"/>
        </w:rPr>
        <w:t>el</w:t>
      </w:r>
      <w:r w:rsidRPr="00142A36">
        <w:rPr>
          <w:rFonts w:cs="Verdana"/>
          <w:szCs w:val="20"/>
          <w:lang w:bidi="en-US"/>
        </w:rPr>
        <w:t xml:space="preserve"> fondo y </w:t>
      </w:r>
      <w:r w:rsidR="0022409B" w:rsidRPr="00142A36">
        <w:rPr>
          <w:rFonts w:cs="Verdana"/>
          <w:szCs w:val="20"/>
          <w:lang w:bidi="en-US"/>
        </w:rPr>
        <w:t xml:space="preserve">eventuales </w:t>
      </w:r>
      <w:r w:rsidRPr="00142A36">
        <w:rPr>
          <w:rFonts w:cs="Verdana"/>
          <w:szCs w:val="20"/>
          <w:lang w:bidi="en-US"/>
        </w:rPr>
        <w:t xml:space="preserve">reparaciones. Este plazo es improrrogable. </w:t>
      </w:r>
      <w:r w:rsidR="005070BE" w:rsidRPr="00142A36">
        <w:rPr>
          <w:rFonts w:cs="ArialMT"/>
          <w:szCs w:val="20"/>
          <w:lang w:bidi="en-US"/>
        </w:rPr>
        <w:t xml:space="preserve"> </w:t>
      </w:r>
    </w:p>
    <w:p w:rsidR="00DD161B" w:rsidRPr="00142A36" w:rsidRDefault="00DD161B" w:rsidP="00002E9E">
      <w:pPr>
        <w:numPr>
          <w:ilvl w:val="0"/>
          <w:numId w:val="38"/>
        </w:numPr>
        <w:autoSpaceDE w:val="0"/>
        <w:autoSpaceDN w:val="0"/>
        <w:adjustRightInd w:val="0"/>
        <w:rPr>
          <w:rFonts w:cs="Helvetica"/>
          <w:szCs w:val="20"/>
          <w:lang w:bidi="en-US"/>
        </w:rPr>
      </w:pPr>
      <w:r w:rsidRPr="00142A36">
        <w:rPr>
          <w:rFonts w:cs="Verdana"/>
          <w:szCs w:val="20"/>
          <w:lang w:bidi="en-US"/>
        </w:rPr>
        <w:t>Disponer que la Secretaría de la Corte notifique la presente Resolución a</w:t>
      </w:r>
      <w:r w:rsidR="0022409B" w:rsidRPr="00142A36">
        <w:rPr>
          <w:rFonts w:cs="Verdana"/>
          <w:szCs w:val="20"/>
          <w:lang w:bidi="en-US"/>
        </w:rPr>
        <w:t>l</w:t>
      </w:r>
      <w:r w:rsidRPr="00142A36">
        <w:rPr>
          <w:rFonts w:cs="Verdana"/>
          <w:szCs w:val="20"/>
          <w:lang w:bidi="en-US"/>
        </w:rPr>
        <w:t xml:space="preserve"> </w:t>
      </w:r>
      <w:r w:rsidR="00965DCF" w:rsidRPr="00142A36">
        <w:rPr>
          <w:rFonts w:cs="Verdana"/>
          <w:szCs w:val="20"/>
          <w:lang w:bidi="en-US"/>
        </w:rPr>
        <w:t>interviniente común</w:t>
      </w:r>
      <w:r w:rsidRPr="00142A36">
        <w:rPr>
          <w:rFonts w:cs="Verdana"/>
          <w:szCs w:val="20"/>
          <w:lang w:bidi="en-US"/>
        </w:rPr>
        <w:t>, al Estado y a la Comisión Interamericana</w:t>
      </w:r>
      <w:r w:rsidR="00AD3FAB" w:rsidRPr="00142A36">
        <w:rPr>
          <w:rFonts w:cs="Verdana"/>
          <w:szCs w:val="20"/>
          <w:lang w:bidi="en-US"/>
        </w:rPr>
        <w:t xml:space="preserve"> de Derechos Humanos</w:t>
      </w:r>
      <w:r w:rsidRPr="00142A36">
        <w:rPr>
          <w:rFonts w:cs="Verdana"/>
          <w:szCs w:val="20"/>
          <w:lang w:bidi="en-US"/>
        </w:rPr>
        <w:t xml:space="preserve">. </w:t>
      </w: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p>
    <w:p w:rsidR="00DD161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p>
    <w:p w:rsidR="00314A42" w:rsidRPr="00142A36" w:rsidRDefault="00314A42"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t xml:space="preserve">  </w:t>
      </w:r>
      <w:r w:rsidR="00BB7717" w:rsidRPr="00142A36">
        <w:rPr>
          <w:rFonts w:cs="Verdana"/>
          <w:szCs w:val="20"/>
          <w:lang w:bidi="en-US"/>
        </w:rPr>
        <w:t>Humberto Antonio Sierra Porto</w:t>
      </w: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t xml:space="preserve">        </w:t>
      </w:r>
      <w:r w:rsidR="00BB7717" w:rsidRPr="00142A36">
        <w:rPr>
          <w:rFonts w:cs="Verdana"/>
          <w:szCs w:val="20"/>
          <w:lang w:bidi="en-US"/>
        </w:rPr>
        <w:tab/>
      </w:r>
      <w:r w:rsidRPr="00142A36">
        <w:rPr>
          <w:rFonts w:cs="Verdana"/>
          <w:szCs w:val="20"/>
          <w:lang w:bidi="en-US"/>
        </w:rPr>
        <w:t xml:space="preserve">Presidente </w:t>
      </w: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r w:rsidRPr="00142A36">
        <w:rPr>
          <w:rFonts w:cs="Verdana"/>
          <w:szCs w:val="20"/>
          <w:lang w:bidi="en-US"/>
        </w:rPr>
        <w:t xml:space="preserve"> </w:t>
      </w:r>
    </w:p>
    <w:p w:rsidR="00DD161B" w:rsidRPr="00142A36" w:rsidRDefault="00314A42"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r>
        <w:rPr>
          <w:rFonts w:cs="Verdana"/>
          <w:szCs w:val="20"/>
          <w:lang w:bidi="en-US"/>
        </w:rPr>
        <w:t>Emilia Segares Rodríguez</w:t>
      </w:r>
    </w:p>
    <w:p w:rsidR="00DD161B" w:rsidRPr="00142A36" w:rsidRDefault="00314A42"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Pr>
          <w:rFonts w:cs="Verdana"/>
          <w:szCs w:val="20"/>
          <w:lang w:bidi="en-US"/>
        </w:rPr>
        <w:t xml:space="preserve">    </w:t>
      </w:r>
      <w:r w:rsidR="00DD161B" w:rsidRPr="00142A36">
        <w:rPr>
          <w:rFonts w:cs="Verdana"/>
          <w:szCs w:val="20"/>
          <w:lang w:bidi="en-US"/>
        </w:rPr>
        <w:t>Secretari</w:t>
      </w:r>
      <w:r>
        <w:rPr>
          <w:rFonts w:cs="Verdana"/>
          <w:szCs w:val="20"/>
          <w:lang w:bidi="en-US"/>
        </w:rPr>
        <w:t>a Adjunta</w:t>
      </w:r>
      <w:r w:rsidR="00DD161B" w:rsidRPr="00142A36">
        <w:rPr>
          <w:rFonts w:cs="Verdana"/>
          <w:szCs w:val="20"/>
          <w:lang w:bidi="en-US"/>
        </w:rPr>
        <w:t xml:space="preserve"> </w:t>
      </w: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0"/>
          <w:lang w:bidi="en-US"/>
        </w:rPr>
      </w:pPr>
    </w:p>
    <w:p w:rsidR="00DD161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p>
    <w:p w:rsidR="00314A42" w:rsidRDefault="00314A42"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p>
    <w:p w:rsidR="00314A42" w:rsidRPr="00142A36" w:rsidRDefault="00314A42"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lang w:bidi="en-US"/>
        </w:rPr>
      </w:pP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42A36">
        <w:rPr>
          <w:rFonts w:cs="Verdana"/>
          <w:szCs w:val="20"/>
          <w:lang w:bidi="en-US"/>
        </w:rPr>
        <w:t xml:space="preserve">Comuníquese y ejecútese, </w:t>
      </w:r>
    </w:p>
    <w:p w:rsidR="00DD161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r w:rsidRPr="00142A36">
        <w:rPr>
          <w:rFonts w:cs="Verdana"/>
          <w:szCs w:val="20"/>
          <w:lang w:bidi="en-US"/>
        </w:rPr>
        <w:t xml:space="preserve"> </w:t>
      </w:r>
    </w:p>
    <w:p w:rsidR="00314A42" w:rsidRDefault="00314A42"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314A42" w:rsidRDefault="00314A42"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314A42" w:rsidRPr="00142A36" w:rsidRDefault="00314A42"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42A36">
        <w:rPr>
          <w:rFonts w:cs="Verdana"/>
          <w:szCs w:val="20"/>
          <w:lang w:bidi="en-US"/>
        </w:rPr>
        <w:t xml:space="preserve">  </w:t>
      </w:r>
    </w:p>
    <w:p w:rsidR="00DD161B" w:rsidRPr="00142A36" w:rsidRDefault="00255428"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42A36">
        <w:rPr>
          <w:rFonts w:cs="Verdana"/>
          <w:szCs w:val="20"/>
          <w:lang w:bidi="en-US"/>
        </w:rPr>
        <w:tab/>
      </w:r>
      <w:r w:rsidRPr="00142A36">
        <w:rPr>
          <w:rFonts w:cs="Verdana"/>
          <w:szCs w:val="20"/>
          <w:lang w:bidi="en-US"/>
        </w:rPr>
        <w:tab/>
      </w:r>
      <w:r w:rsidR="00DD161B" w:rsidRPr="00142A36">
        <w:rPr>
          <w:rFonts w:cs="Verdana"/>
          <w:szCs w:val="20"/>
          <w:lang w:bidi="en-US"/>
        </w:rPr>
        <w:tab/>
      </w:r>
      <w:r w:rsidR="00DD161B" w:rsidRPr="00142A36">
        <w:rPr>
          <w:rFonts w:cs="Verdana"/>
          <w:szCs w:val="20"/>
          <w:lang w:bidi="en-US"/>
        </w:rPr>
        <w:tab/>
      </w:r>
      <w:r w:rsidR="00DD161B" w:rsidRPr="00142A36">
        <w:rPr>
          <w:rFonts w:cs="Verdana"/>
          <w:szCs w:val="20"/>
          <w:lang w:bidi="en-US"/>
        </w:rPr>
        <w:tab/>
      </w:r>
      <w:r w:rsidR="00DD161B" w:rsidRPr="00142A36">
        <w:rPr>
          <w:rFonts w:cs="Verdana"/>
          <w:szCs w:val="20"/>
          <w:lang w:bidi="en-US"/>
        </w:rPr>
        <w:tab/>
      </w:r>
      <w:r w:rsidR="00DD161B" w:rsidRPr="00142A36">
        <w:rPr>
          <w:rFonts w:cs="Verdana"/>
          <w:szCs w:val="20"/>
          <w:lang w:bidi="en-US"/>
        </w:rPr>
        <w:tab/>
      </w:r>
      <w:r w:rsidR="00DD161B" w:rsidRPr="00142A36">
        <w:rPr>
          <w:rFonts w:cs="Verdana"/>
          <w:szCs w:val="20"/>
          <w:lang w:bidi="en-US"/>
        </w:rPr>
        <w:tab/>
      </w:r>
      <w:r w:rsidR="00DD161B" w:rsidRPr="00142A36">
        <w:rPr>
          <w:rFonts w:cs="Verdana"/>
          <w:szCs w:val="20"/>
          <w:lang w:bidi="en-US"/>
        </w:rPr>
        <w:tab/>
      </w:r>
      <w:r w:rsidR="00DD161B" w:rsidRPr="00142A36">
        <w:rPr>
          <w:rFonts w:cs="Verdana"/>
          <w:szCs w:val="20"/>
          <w:lang w:bidi="en-US"/>
        </w:rPr>
        <w:tab/>
        <w:t xml:space="preserve">     </w:t>
      </w:r>
      <w:r w:rsidR="00BB7717" w:rsidRPr="00142A36">
        <w:rPr>
          <w:rFonts w:cs="Verdana"/>
          <w:szCs w:val="20"/>
          <w:lang w:bidi="en-US"/>
        </w:rPr>
        <w:t xml:space="preserve">  Humberto Antonio Sierra Porto</w:t>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r>
      <w:r w:rsidRPr="00142A36">
        <w:rPr>
          <w:rFonts w:cs="Verdana"/>
          <w:szCs w:val="20"/>
          <w:lang w:bidi="en-US"/>
        </w:rPr>
        <w:tab/>
        <w:t xml:space="preserve">  </w:t>
      </w:r>
      <w:r w:rsidR="00DD161B" w:rsidRPr="00142A36">
        <w:rPr>
          <w:rFonts w:cs="Verdana"/>
          <w:szCs w:val="20"/>
          <w:lang w:bidi="en-US"/>
        </w:rPr>
        <w:t xml:space="preserve"> </w:t>
      </w:r>
      <w:r w:rsidR="00BB7717" w:rsidRPr="00142A36">
        <w:rPr>
          <w:rFonts w:cs="Verdana"/>
          <w:szCs w:val="20"/>
          <w:lang w:bidi="en-US"/>
        </w:rPr>
        <w:tab/>
      </w:r>
      <w:r w:rsidR="00BB7717" w:rsidRPr="00142A36">
        <w:rPr>
          <w:rFonts w:cs="Verdana"/>
          <w:szCs w:val="20"/>
          <w:lang w:bidi="en-US"/>
        </w:rPr>
        <w:tab/>
      </w:r>
      <w:r w:rsidR="00DD161B" w:rsidRPr="00142A36">
        <w:rPr>
          <w:rFonts w:cs="Verdana"/>
          <w:szCs w:val="20"/>
          <w:lang w:bidi="en-US"/>
        </w:rPr>
        <w:t xml:space="preserve">Presidente </w:t>
      </w: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42A36">
        <w:rPr>
          <w:rFonts w:cs="Verdana"/>
          <w:szCs w:val="20"/>
          <w:lang w:bidi="en-US"/>
        </w:rPr>
        <w:t xml:space="preserve"> </w:t>
      </w:r>
    </w:p>
    <w:p w:rsidR="00DD161B" w:rsidRPr="00142A36"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142A36">
        <w:rPr>
          <w:rFonts w:cs="Verdana"/>
          <w:szCs w:val="20"/>
          <w:lang w:bidi="en-US"/>
        </w:rPr>
        <w:t xml:space="preserve"> </w:t>
      </w:r>
    </w:p>
    <w:p w:rsidR="00DD161B" w:rsidRDefault="00DD161B"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r w:rsidRPr="00142A36">
        <w:rPr>
          <w:rFonts w:cs="Verdana"/>
          <w:szCs w:val="20"/>
          <w:lang w:bidi="en-US"/>
        </w:rPr>
        <w:t xml:space="preserve"> </w:t>
      </w:r>
    </w:p>
    <w:p w:rsidR="00314A42" w:rsidRDefault="00314A42"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p>
    <w:p w:rsidR="00314A42" w:rsidRPr="00142A36" w:rsidRDefault="00314A42" w:rsidP="00DD1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314A42" w:rsidRPr="00142A36" w:rsidRDefault="00314A42" w:rsidP="0031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szCs w:val="20"/>
          <w:lang w:bidi="en-US"/>
        </w:rPr>
      </w:pPr>
      <w:r>
        <w:rPr>
          <w:rFonts w:cs="Verdana"/>
          <w:szCs w:val="20"/>
          <w:lang w:bidi="en-US"/>
        </w:rPr>
        <w:t>Emilia Segares Rodríguez</w:t>
      </w:r>
    </w:p>
    <w:p w:rsidR="008A6A17" w:rsidRPr="00155DB1" w:rsidRDefault="00314A42" w:rsidP="00314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rFonts w:cs="Verdana"/>
          <w:szCs w:val="20"/>
          <w:lang w:bidi="en-US"/>
        </w:rPr>
        <w:t xml:space="preserve">    </w:t>
      </w:r>
      <w:r w:rsidRPr="00142A36">
        <w:rPr>
          <w:rFonts w:cs="Verdana"/>
          <w:szCs w:val="20"/>
          <w:lang w:bidi="en-US"/>
        </w:rPr>
        <w:t>Secretari</w:t>
      </w:r>
      <w:r>
        <w:rPr>
          <w:rFonts w:cs="Verdana"/>
          <w:szCs w:val="20"/>
          <w:lang w:bidi="en-US"/>
        </w:rPr>
        <w:t>a Adjunta</w:t>
      </w:r>
    </w:p>
    <w:sectPr w:rsidR="008A6A17" w:rsidRPr="00155DB1" w:rsidSect="00CA08D2">
      <w:headerReference w:type="default" r:id="rId9"/>
      <w:pgSz w:w="12240" w:h="15840"/>
      <w:pgMar w:top="1135" w:right="1325" w:bottom="1135"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84D" w:rsidRDefault="0068484D" w:rsidP="00DD161B">
      <w:pPr>
        <w:spacing w:after="0"/>
      </w:pPr>
      <w:r>
        <w:separator/>
      </w:r>
    </w:p>
  </w:endnote>
  <w:endnote w:type="continuationSeparator" w:id="0">
    <w:p w:rsidR="0068484D" w:rsidRDefault="0068484D" w:rsidP="00DD16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Bold">
    <w:altName w:val="Tahoma"/>
    <w:charset w:val="00"/>
    <w:family w:val="auto"/>
    <w:pitch w:val="variable"/>
    <w:sig w:usb0="00000001"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84D" w:rsidRDefault="0068484D" w:rsidP="00DD161B">
      <w:pPr>
        <w:spacing w:after="0"/>
      </w:pPr>
      <w:r>
        <w:separator/>
      </w:r>
    </w:p>
  </w:footnote>
  <w:footnote w:type="continuationSeparator" w:id="0">
    <w:p w:rsidR="0068484D" w:rsidRDefault="0068484D" w:rsidP="00DD161B">
      <w:pPr>
        <w:spacing w:after="0"/>
      </w:pPr>
      <w:r>
        <w:continuationSeparator/>
      </w:r>
    </w:p>
  </w:footnote>
  <w:footnote w:id="1">
    <w:p w:rsidR="0042008F" w:rsidRPr="004406FE" w:rsidRDefault="0042008F" w:rsidP="0063747A">
      <w:pPr>
        <w:rPr>
          <w:sz w:val="16"/>
          <w:szCs w:val="16"/>
        </w:rPr>
      </w:pPr>
      <w:r w:rsidRPr="004406FE">
        <w:rPr>
          <w:rStyle w:val="FootnoteReference"/>
          <w:sz w:val="16"/>
          <w:szCs w:val="16"/>
        </w:rPr>
        <w:footnoteRef/>
      </w:r>
      <w:r w:rsidRPr="004406FE">
        <w:rPr>
          <w:sz w:val="16"/>
          <w:szCs w:val="16"/>
        </w:rPr>
        <w:t xml:space="preserve"> </w:t>
      </w:r>
      <w:r w:rsidRPr="004406FE">
        <w:rPr>
          <w:sz w:val="16"/>
          <w:szCs w:val="16"/>
        </w:rPr>
        <w:tab/>
      </w:r>
      <w:r>
        <w:rPr>
          <w:sz w:val="16"/>
          <w:szCs w:val="16"/>
        </w:rPr>
        <w:t xml:space="preserve">Mediante las comunicaciones de mayo de 2014 las presuntas víctimas designaron a Ciro </w:t>
      </w:r>
      <w:proofErr w:type="spellStart"/>
      <w:r>
        <w:rPr>
          <w:sz w:val="16"/>
          <w:szCs w:val="16"/>
        </w:rPr>
        <w:t>Colombara</w:t>
      </w:r>
      <w:proofErr w:type="spellEnd"/>
      <w:r>
        <w:rPr>
          <w:sz w:val="16"/>
          <w:szCs w:val="16"/>
        </w:rPr>
        <w:t xml:space="preserve"> López como interviniente común en el trámite de este caso ante la Corte Interamericana. </w:t>
      </w:r>
    </w:p>
  </w:footnote>
  <w:footnote w:id="2">
    <w:p w:rsidR="0042008F" w:rsidRDefault="0042008F" w:rsidP="006D3211">
      <w:pPr>
        <w:pStyle w:val="FootnoteText"/>
        <w:spacing w:before="60" w:after="60"/>
        <w:rPr>
          <w:szCs w:val="16"/>
          <w:lang w:val="es-CR"/>
        </w:rPr>
      </w:pPr>
      <w:r w:rsidRPr="000E0453">
        <w:rPr>
          <w:rStyle w:val="FootnoteReference"/>
          <w:szCs w:val="16"/>
        </w:rPr>
        <w:footnoteRef/>
      </w:r>
      <w:r>
        <w:rPr>
          <w:szCs w:val="16"/>
          <w:lang w:val="es-CR"/>
        </w:rPr>
        <w:t xml:space="preserve"> </w:t>
      </w:r>
      <w:r>
        <w:rPr>
          <w:szCs w:val="16"/>
          <w:lang w:val="es-CR"/>
        </w:rPr>
        <w:tab/>
      </w:r>
      <w:r w:rsidRPr="00585258">
        <w:rPr>
          <w:i/>
          <w:szCs w:val="16"/>
          <w:lang w:val="es-CR"/>
        </w:rPr>
        <w:t>Cfr.</w:t>
      </w:r>
      <w:r w:rsidRPr="000E0453">
        <w:rPr>
          <w:szCs w:val="16"/>
          <w:lang w:val="es-CR"/>
        </w:rPr>
        <w:t xml:space="preserve"> </w:t>
      </w:r>
      <w:r w:rsidRPr="00605ACC">
        <w:rPr>
          <w:i/>
          <w:szCs w:val="16"/>
          <w:lang w:val="es-CR"/>
        </w:rPr>
        <w:t>Caso García Prieto y otro Vs. El Salvador</w:t>
      </w:r>
      <w:r w:rsidRPr="000E0453">
        <w:rPr>
          <w:szCs w:val="16"/>
          <w:lang w:val="es-CR"/>
        </w:rPr>
        <w:t>, Resolución del Presidente de la Corte Interamericana de Derechos H</w:t>
      </w:r>
      <w:r>
        <w:rPr>
          <w:szCs w:val="16"/>
          <w:lang w:val="es-CR"/>
        </w:rPr>
        <w:t>umanos de 14 de diciembre de 2006</w:t>
      </w:r>
      <w:r w:rsidRPr="000E0453">
        <w:rPr>
          <w:szCs w:val="16"/>
          <w:lang w:val="es-CR"/>
        </w:rPr>
        <w:t xml:space="preserve">, </w:t>
      </w:r>
      <w:r>
        <w:rPr>
          <w:szCs w:val="16"/>
          <w:lang w:val="es-CR"/>
        </w:rPr>
        <w:t>C</w:t>
      </w:r>
      <w:r w:rsidRPr="000E0453">
        <w:rPr>
          <w:szCs w:val="16"/>
          <w:lang w:val="es-CR"/>
        </w:rPr>
        <w:t xml:space="preserve">onsiderando </w:t>
      </w:r>
      <w:r>
        <w:rPr>
          <w:szCs w:val="16"/>
          <w:lang w:val="es-CR"/>
        </w:rPr>
        <w:t xml:space="preserve">21, y </w:t>
      </w:r>
      <w:r w:rsidRPr="00605ACC">
        <w:rPr>
          <w:i/>
          <w:szCs w:val="16"/>
          <w:lang w:val="es-CR"/>
        </w:rPr>
        <w:t xml:space="preserve">Caso </w:t>
      </w:r>
      <w:r>
        <w:rPr>
          <w:i/>
          <w:szCs w:val="16"/>
          <w:lang w:val="es-CR"/>
        </w:rPr>
        <w:t xml:space="preserve">Comunidad Garífuna </w:t>
      </w:r>
      <w:proofErr w:type="spellStart"/>
      <w:r>
        <w:rPr>
          <w:i/>
          <w:szCs w:val="16"/>
          <w:lang w:val="es-CR"/>
        </w:rPr>
        <w:t>Triúnfo</w:t>
      </w:r>
      <w:proofErr w:type="spellEnd"/>
      <w:r>
        <w:rPr>
          <w:i/>
          <w:szCs w:val="16"/>
          <w:lang w:val="es-CR"/>
        </w:rPr>
        <w:t xml:space="preserve"> de la Cruz y sus miembros </w:t>
      </w:r>
      <w:r w:rsidRPr="00605ACC">
        <w:rPr>
          <w:i/>
          <w:szCs w:val="16"/>
          <w:lang w:val="es-CR"/>
        </w:rPr>
        <w:t xml:space="preserve">Vs. </w:t>
      </w:r>
      <w:r>
        <w:rPr>
          <w:i/>
          <w:szCs w:val="16"/>
          <w:lang w:val="es-CR"/>
        </w:rPr>
        <w:t>Honduras</w:t>
      </w:r>
      <w:r w:rsidRPr="000E0453">
        <w:rPr>
          <w:szCs w:val="16"/>
          <w:lang w:val="es-CR"/>
        </w:rPr>
        <w:t>. Resolución del Presidente de la Corte Interamericana de Derechos H</w:t>
      </w:r>
      <w:r>
        <w:rPr>
          <w:szCs w:val="16"/>
          <w:lang w:val="es-CR"/>
        </w:rPr>
        <w:t>umanos de 7 de abril de 2014, Considerando 7</w:t>
      </w:r>
      <w:r w:rsidRPr="000E0453">
        <w:rPr>
          <w:szCs w:val="16"/>
          <w:lang w:val="es-CR"/>
        </w:rPr>
        <w:t xml:space="preserve">. </w:t>
      </w:r>
    </w:p>
  </w:footnote>
  <w:footnote w:id="3">
    <w:p w:rsidR="0042008F" w:rsidRPr="002D3BFE" w:rsidRDefault="0042008F">
      <w:pPr>
        <w:pStyle w:val="FootnoteText"/>
      </w:pPr>
      <w:r>
        <w:rPr>
          <w:rStyle w:val="FootnoteReference"/>
        </w:rPr>
        <w:footnoteRef/>
      </w:r>
      <w:r>
        <w:t xml:space="preserve"> </w:t>
      </w:r>
      <w:r>
        <w:tab/>
        <w:t>El interviniente común hizo referencia a que el Estado habría señalado en su escrito de contestación que “el ordenamiento jurídico chileno, tal como se encontraba diseñado al momento de la interposición del recurso de revisión por parte de los demandantes impedía que la Corte Suprema conociera del fondo del asunto por un explícito mandato constitucional”.</w:t>
      </w:r>
    </w:p>
  </w:footnote>
  <w:footnote w:id="4">
    <w:p w:rsidR="0042008F" w:rsidRPr="00BE4C24" w:rsidRDefault="0042008F">
      <w:pPr>
        <w:pStyle w:val="FootnoteText"/>
      </w:pPr>
      <w:r>
        <w:rPr>
          <w:rStyle w:val="FootnoteReference"/>
        </w:rPr>
        <w:footnoteRef/>
      </w:r>
      <w:r>
        <w:t xml:space="preserve"> </w:t>
      </w:r>
      <w:r>
        <w:tab/>
        <w:t>Dicho objeto de litigio consistiría, según el interviniente común, de “3 líneas principales, a saber: a) Ausencia de Investigación sobre hechos constitutivos de Tortura y Derecho a la Verdad, b) Ausencia de un Recurso Efectivo para Anulación de sentencia ante Violaciones al Debido Proceso, c) Daño al Honor y la Reputación de las Víctimas y sus Familias”.</w:t>
      </w:r>
    </w:p>
  </w:footnote>
  <w:footnote w:id="5">
    <w:p w:rsidR="0042008F" w:rsidRPr="00F56949" w:rsidRDefault="0042008F">
      <w:pPr>
        <w:pStyle w:val="FootnoteText"/>
      </w:pPr>
      <w:r w:rsidRPr="00561D95">
        <w:rPr>
          <w:rStyle w:val="FootnoteReference"/>
        </w:rPr>
        <w:footnoteRef/>
      </w:r>
      <w:r w:rsidRPr="00561D95">
        <w:t xml:space="preserve"> </w:t>
      </w:r>
      <w:r w:rsidRPr="00561D95">
        <w:tab/>
        <w:t xml:space="preserve">El objeto de la declaración de la señora </w:t>
      </w:r>
      <w:proofErr w:type="spellStart"/>
      <w:r w:rsidRPr="00561D95">
        <w:t>Collarte</w:t>
      </w:r>
      <w:proofErr w:type="spellEnd"/>
      <w:r w:rsidRPr="00561D95">
        <w:t xml:space="preserve"> indicado por el Estado en el escrito de contestación era: “las diligencias judiciales realizadas en los procesos de investigación de delitos de derechos humanos, en particular de tortura” y en la lista definitiva presentada por el Estado: “las diligencias judiciales realizadas en los procesos de investigación que se llevan adelante por delitos de violaciones a los derechos humanos ocurridos en dictadura, en particular respecto de las investigaciones de las torturas sufridas por los demandantes”. El objeto de la declaración del señor Salinas Rivera indicado en el escrito de contestación era: “las particularidades de la justicia transicional y el programa de reparaciones integral implementado por los gobiernos democráticos” y en la lista definitiva: “la implementación de los programas de reparación integral impulsados por los gobiernos democráticos en beneficio de las víctimas de violaciones de derechos humanos ocurridas en dictadura, y en particular respecto a los demandantes en este caso”.</w:t>
      </w:r>
    </w:p>
  </w:footnote>
  <w:footnote w:id="6">
    <w:p w:rsidR="0042008F" w:rsidRPr="000E0453" w:rsidRDefault="0042008F" w:rsidP="00BF2C4D">
      <w:pPr>
        <w:rPr>
          <w:sz w:val="16"/>
          <w:szCs w:val="16"/>
        </w:rPr>
      </w:pPr>
      <w:r w:rsidRPr="000C33E0">
        <w:rPr>
          <w:rStyle w:val="FootnoteReference"/>
          <w:sz w:val="16"/>
          <w:szCs w:val="16"/>
        </w:rPr>
        <w:footnoteRef/>
      </w:r>
      <w:r w:rsidRPr="000C33E0">
        <w:rPr>
          <w:sz w:val="16"/>
          <w:szCs w:val="16"/>
        </w:rPr>
        <w:t xml:space="preserve"> </w:t>
      </w:r>
      <w:r>
        <w:rPr>
          <w:sz w:val="16"/>
          <w:szCs w:val="16"/>
        </w:rPr>
        <w:tab/>
      </w:r>
      <w:r w:rsidRPr="000E0453">
        <w:rPr>
          <w:i/>
          <w:sz w:val="16"/>
          <w:szCs w:val="16"/>
        </w:rPr>
        <w:t>Cfr. Caso González y otras (“Campo Algodonero”) Vs. México</w:t>
      </w:r>
      <w:r w:rsidRPr="000E0453">
        <w:rPr>
          <w:sz w:val="16"/>
          <w:szCs w:val="16"/>
        </w:rPr>
        <w:t>. Resolución de la Presidenta de la Corte Interamericana de Derechos Humanos de 18 de marzo de 2009, co</w:t>
      </w:r>
      <w:r>
        <w:rPr>
          <w:sz w:val="16"/>
          <w:szCs w:val="16"/>
        </w:rPr>
        <w:t>nsiderando</w:t>
      </w:r>
      <w:r w:rsidRPr="000E0453">
        <w:rPr>
          <w:sz w:val="16"/>
          <w:szCs w:val="16"/>
        </w:rPr>
        <w:t xml:space="preserve"> </w:t>
      </w:r>
      <w:r>
        <w:rPr>
          <w:sz w:val="16"/>
          <w:szCs w:val="16"/>
        </w:rPr>
        <w:t xml:space="preserve">26. Asimismo, </w:t>
      </w:r>
      <w:r w:rsidRPr="000E0453">
        <w:rPr>
          <w:i/>
          <w:sz w:val="16"/>
          <w:szCs w:val="16"/>
        </w:rPr>
        <w:t xml:space="preserve">Caso </w:t>
      </w:r>
      <w:r>
        <w:rPr>
          <w:i/>
          <w:sz w:val="16"/>
          <w:szCs w:val="16"/>
        </w:rPr>
        <w:t>Vélez Loor</w:t>
      </w:r>
      <w:r w:rsidRPr="000E0453">
        <w:rPr>
          <w:i/>
          <w:sz w:val="16"/>
          <w:szCs w:val="16"/>
        </w:rPr>
        <w:t xml:space="preserve"> Vs. </w:t>
      </w:r>
      <w:r>
        <w:rPr>
          <w:i/>
          <w:sz w:val="16"/>
          <w:szCs w:val="16"/>
        </w:rPr>
        <w:t>Panamá.</w:t>
      </w:r>
      <w:r w:rsidRPr="000E0453">
        <w:rPr>
          <w:sz w:val="16"/>
          <w:szCs w:val="16"/>
        </w:rPr>
        <w:t xml:space="preserve"> Resolución de la Presidenta de la Corte Interamericana de Derechos Humanos de </w:t>
      </w:r>
      <w:r>
        <w:rPr>
          <w:sz w:val="16"/>
          <w:szCs w:val="16"/>
        </w:rPr>
        <w:t>30</w:t>
      </w:r>
      <w:r w:rsidRPr="000E0453">
        <w:rPr>
          <w:sz w:val="16"/>
          <w:szCs w:val="16"/>
        </w:rPr>
        <w:t xml:space="preserve"> de </w:t>
      </w:r>
      <w:r>
        <w:rPr>
          <w:sz w:val="16"/>
          <w:szCs w:val="16"/>
        </w:rPr>
        <w:t xml:space="preserve">julio </w:t>
      </w:r>
      <w:r w:rsidRPr="000E0453">
        <w:rPr>
          <w:sz w:val="16"/>
          <w:szCs w:val="16"/>
        </w:rPr>
        <w:t xml:space="preserve">de </w:t>
      </w:r>
      <w:r>
        <w:rPr>
          <w:sz w:val="16"/>
          <w:szCs w:val="16"/>
        </w:rPr>
        <w:t>2010,</w:t>
      </w:r>
      <w:r w:rsidRPr="005A3786">
        <w:rPr>
          <w:sz w:val="16"/>
          <w:szCs w:val="16"/>
        </w:rPr>
        <w:t xml:space="preserve"> </w:t>
      </w:r>
      <w:r w:rsidRPr="000E0453">
        <w:rPr>
          <w:sz w:val="16"/>
          <w:szCs w:val="16"/>
        </w:rPr>
        <w:t>co</w:t>
      </w:r>
      <w:r>
        <w:rPr>
          <w:sz w:val="16"/>
          <w:szCs w:val="16"/>
        </w:rPr>
        <w:t>nsiderando</w:t>
      </w:r>
      <w:r w:rsidRPr="000E0453">
        <w:rPr>
          <w:sz w:val="16"/>
          <w:szCs w:val="16"/>
        </w:rPr>
        <w:t xml:space="preserve"> </w:t>
      </w:r>
      <w:r>
        <w:rPr>
          <w:sz w:val="16"/>
          <w:szCs w:val="16"/>
        </w:rPr>
        <w:t>19.</w:t>
      </w:r>
    </w:p>
  </w:footnote>
  <w:footnote w:id="7">
    <w:p w:rsidR="0042008F" w:rsidRPr="001F0895" w:rsidRDefault="0042008F">
      <w:pPr>
        <w:pStyle w:val="FootnoteText"/>
      </w:pPr>
      <w:r>
        <w:rPr>
          <w:rStyle w:val="FootnoteReference"/>
        </w:rPr>
        <w:footnoteRef/>
      </w:r>
      <w:r>
        <w:t xml:space="preserve"> </w:t>
      </w:r>
      <w:r>
        <w:tab/>
        <w:t>El Estado se refirió a que en el escrito de solicitudes y argumentos presentado por el interviniente común fuera utilizado el membrete del referido estudio jurídico, que los correos electrónicos en los cuales el interviniente común ha indicado recibir las comunicaciones de la Corte son los institucionales de dicho estudio jurídico, y que el interviniente común en sus comunicaciones efectivamente ha utilizado dichos correos institucionales. El Estado presentó algunos anexos para demostrar lo anterior.</w:t>
      </w:r>
    </w:p>
  </w:footnote>
  <w:footnote w:id="8">
    <w:p w:rsidR="0042008F" w:rsidRPr="007B66D4" w:rsidRDefault="0042008F" w:rsidP="00D06252">
      <w:pPr>
        <w:pStyle w:val="FootnoteText"/>
        <w:rPr>
          <w:rFonts w:cs="Verdana"/>
          <w:iCs/>
          <w:szCs w:val="16"/>
          <w:lang w:bidi="en-US"/>
        </w:rPr>
      </w:pPr>
      <w:r w:rsidRPr="007B66D4">
        <w:rPr>
          <w:rStyle w:val="FootnoteReference"/>
          <w:rFonts w:cs="Verdana"/>
          <w:szCs w:val="16"/>
        </w:rPr>
        <w:footnoteRef/>
      </w:r>
      <w:r w:rsidRPr="007B66D4">
        <w:rPr>
          <w:rFonts w:cs="Verdana"/>
          <w:szCs w:val="16"/>
        </w:rPr>
        <w:t xml:space="preserve"> </w:t>
      </w:r>
      <w:r w:rsidRPr="007B66D4">
        <w:rPr>
          <w:rFonts w:cs="Verdana"/>
          <w:szCs w:val="16"/>
        </w:rPr>
        <w:tab/>
      </w:r>
      <w:r w:rsidRPr="007B66D4">
        <w:rPr>
          <w:i/>
          <w:szCs w:val="16"/>
        </w:rPr>
        <w:t xml:space="preserve">Cfr. Caso </w:t>
      </w:r>
      <w:proofErr w:type="spellStart"/>
      <w:r w:rsidRPr="007B66D4">
        <w:rPr>
          <w:i/>
          <w:szCs w:val="16"/>
        </w:rPr>
        <w:t>Boyce</w:t>
      </w:r>
      <w:proofErr w:type="spellEnd"/>
      <w:r w:rsidRPr="007B66D4">
        <w:rPr>
          <w:i/>
          <w:szCs w:val="16"/>
        </w:rPr>
        <w:t xml:space="preserve"> y otros Vs. Barbados.</w:t>
      </w:r>
      <w:r>
        <w:rPr>
          <w:i/>
          <w:szCs w:val="16"/>
        </w:rPr>
        <w:t xml:space="preserve"> </w:t>
      </w:r>
      <w:r w:rsidRPr="007B66D4">
        <w:rPr>
          <w:rFonts w:cs="Verdana"/>
          <w:szCs w:val="16"/>
        </w:rPr>
        <w:t xml:space="preserve">Resolución del </w:t>
      </w:r>
      <w:r w:rsidRPr="00E074AF">
        <w:rPr>
          <w:szCs w:val="16"/>
        </w:rPr>
        <w:t xml:space="preserve">Resolución del Presidente de la Corte </w:t>
      </w:r>
      <w:r w:rsidRPr="0017643B">
        <w:rPr>
          <w:szCs w:val="16"/>
        </w:rPr>
        <w:t>Interamericana de Derechos Humanos</w:t>
      </w:r>
      <w:r w:rsidRPr="007B66D4">
        <w:rPr>
          <w:rFonts w:cs="Verdana"/>
          <w:szCs w:val="16"/>
        </w:rPr>
        <w:t xml:space="preserve"> de 29 de mayo de 2007, Considerando </w:t>
      </w:r>
      <w:r>
        <w:rPr>
          <w:rFonts w:cs="Verdana"/>
          <w:szCs w:val="16"/>
        </w:rPr>
        <w:t>22</w:t>
      </w:r>
      <w:r w:rsidRPr="007B66D4">
        <w:rPr>
          <w:rFonts w:cs="Verdana"/>
          <w:szCs w:val="16"/>
        </w:rPr>
        <w:t xml:space="preserve">, y </w:t>
      </w:r>
      <w:r w:rsidRPr="007B66D4">
        <w:rPr>
          <w:rFonts w:cs="Verdana"/>
          <w:i/>
          <w:iCs/>
          <w:szCs w:val="16"/>
          <w:lang w:bidi="en-US"/>
        </w:rPr>
        <w:t xml:space="preserve">Caso </w:t>
      </w:r>
      <w:proofErr w:type="spellStart"/>
      <w:r>
        <w:rPr>
          <w:rFonts w:cs="Verdana"/>
          <w:i/>
          <w:iCs/>
          <w:szCs w:val="16"/>
          <w:lang w:bidi="en-US"/>
        </w:rPr>
        <w:t>Tide</w:t>
      </w:r>
      <w:proofErr w:type="spellEnd"/>
      <w:r>
        <w:rPr>
          <w:rFonts w:cs="Verdana"/>
          <w:i/>
          <w:iCs/>
          <w:szCs w:val="16"/>
          <w:lang w:bidi="en-US"/>
        </w:rPr>
        <w:t xml:space="preserve"> Méndez y otros</w:t>
      </w:r>
      <w:r w:rsidRPr="007B66D4">
        <w:rPr>
          <w:rFonts w:cs="Verdana"/>
          <w:i/>
          <w:iCs/>
          <w:szCs w:val="16"/>
          <w:lang w:bidi="en-US"/>
        </w:rPr>
        <w:t xml:space="preserve"> vs </w:t>
      </w:r>
      <w:r>
        <w:rPr>
          <w:rFonts w:cs="Verdana"/>
          <w:i/>
          <w:iCs/>
          <w:szCs w:val="16"/>
          <w:lang w:bidi="en-US"/>
        </w:rPr>
        <w:t>República Dominicana</w:t>
      </w:r>
      <w:r w:rsidRPr="007B66D4">
        <w:rPr>
          <w:rFonts w:cs="Verdana"/>
          <w:i/>
          <w:iCs/>
          <w:szCs w:val="16"/>
          <w:lang w:bidi="en-US"/>
        </w:rPr>
        <w:t xml:space="preserve">. </w:t>
      </w:r>
      <w:r w:rsidRPr="007B66D4">
        <w:rPr>
          <w:rFonts w:cs="Verdana"/>
          <w:iCs/>
          <w:szCs w:val="16"/>
          <w:lang w:bidi="en-US"/>
        </w:rPr>
        <w:t xml:space="preserve">Resolución del </w:t>
      </w:r>
      <w:r w:rsidRPr="00E074AF">
        <w:rPr>
          <w:szCs w:val="16"/>
        </w:rPr>
        <w:t xml:space="preserve">Resolución del Presidente de la Corte </w:t>
      </w:r>
      <w:r w:rsidRPr="0017643B">
        <w:rPr>
          <w:szCs w:val="16"/>
        </w:rPr>
        <w:t>Interamericana de Derechos Humanos</w:t>
      </w:r>
      <w:r w:rsidRPr="007B66D4">
        <w:rPr>
          <w:rFonts w:cs="Verdana"/>
          <w:iCs/>
          <w:szCs w:val="16"/>
          <w:lang w:bidi="en-US"/>
        </w:rPr>
        <w:t xml:space="preserve"> de 6 de agosto de 2012, Considerando </w:t>
      </w:r>
      <w:r>
        <w:rPr>
          <w:rFonts w:cs="Verdana"/>
          <w:iCs/>
          <w:szCs w:val="16"/>
          <w:lang w:bidi="en-US"/>
        </w:rPr>
        <w:t>28</w:t>
      </w:r>
      <w:r w:rsidRPr="007B66D4">
        <w:rPr>
          <w:rFonts w:cs="Verdana"/>
          <w:iCs/>
          <w:szCs w:val="16"/>
          <w:lang w:bidi="en-US"/>
        </w:rPr>
        <w:t>.</w:t>
      </w:r>
      <w:r w:rsidRPr="007B66D4">
        <w:rPr>
          <w:rFonts w:cs="Verdana"/>
          <w:szCs w:val="16"/>
        </w:rPr>
        <w:t xml:space="preserve"> </w:t>
      </w:r>
    </w:p>
  </w:footnote>
  <w:footnote w:id="9">
    <w:p w:rsidR="0042008F" w:rsidRPr="001907D5" w:rsidRDefault="0042008F">
      <w:pPr>
        <w:pStyle w:val="FootnoteText"/>
        <w:rPr>
          <w:lang w:val="es-CR"/>
        </w:rPr>
      </w:pPr>
      <w:r>
        <w:rPr>
          <w:rStyle w:val="FootnoteReference"/>
        </w:rPr>
        <w:footnoteRef/>
      </w:r>
      <w:r>
        <w:t xml:space="preserve"> </w:t>
      </w:r>
      <w:r>
        <w:rPr>
          <w:lang w:val="es-CR"/>
        </w:rPr>
        <w:tab/>
      </w:r>
      <w:r w:rsidRPr="001907D5">
        <w:rPr>
          <w:lang w:val="es-CR"/>
        </w:rPr>
        <w:t>El 13 de febrero de 2015 el interviniente común informó sobre el fallecimiento de la presunta víctima Gustavo Raúl Lastra Saavedra y solicitó eliminarlo de la lista de declarantes presentada por este</w:t>
      </w:r>
      <w:r>
        <w:rPr>
          <w:lang w:val="es-CR"/>
        </w:rPr>
        <w:t>.</w:t>
      </w:r>
      <w:r w:rsidRPr="001907D5">
        <w:rPr>
          <w:lang w:val="es-CR"/>
        </w:rPr>
        <w:t xml:space="preserve"> </w:t>
      </w:r>
    </w:p>
  </w:footnote>
  <w:footnote w:id="10">
    <w:p w:rsidR="0042008F" w:rsidRPr="006855F3" w:rsidRDefault="0042008F" w:rsidP="00132A54">
      <w:pPr>
        <w:pStyle w:val="FootnoteText"/>
      </w:pPr>
      <w:r w:rsidRPr="00725C77">
        <w:rPr>
          <w:rStyle w:val="FootnoteReference"/>
        </w:rPr>
        <w:footnoteRef/>
      </w:r>
      <w:r w:rsidRPr="00725C77">
        <w:t xml:space="preserve"> </w:t>
      </w:r>
      <w:r w:rsidRPr="00725C77">
        <w:tab/>
      </w:r>
      <w:r w:rsidRPr="00725C77">
        <w:rPr>
          <w:i/>
          <w:szCs w:val="16"/>
        </w:rPr>
        <w:t xml:space="preserve">Cfr. Caso de la “Masacre de Pueblo Bello” Vs. Colombia. </w:t>
      </w:r>
      <w:r w:rsidRPr="00725C77">
        <w:rPr>
          <w:szCs w:val="16"/>
        </w:rPr>
        <w:t xml:space="preserve">Resolución del Presidente de la Corte Interamericana de Derechos Humanos de 29 de julio de 2005, Considerando </w:t>
      </w:r>
      <w:r>
        <w:rPr>
          <w:szCs w:val="16"/>
        </w:rPr>
        <w:t>7</w:t>
      </w:r>
      <w:r w:rsidRPr="00725C77">
        <w:rPr>
          <w:szCs w:val="16"/>
        </w:rPr>
        <w:t xml:space="preserve">, y </w:t>
      </w:r>
      <w:r w:rsidRPr="005A3786">
        <w:rPr>
          <w:i/>
          <w:szCs w:val="16"/>
        </w:rPr>
        <w:t xml:space="preserve">Caso Pueblo Indígena Kuna de </w:t>
      </w:r>
      <w:proofErr w:type="spellStart"/>
      <w:r w:rsidRPr="005A3786">
        <w:rPr>
          <w:i/>
          <w:szCs w:val="16"/>
        </w:rPr>
        <w:t>Madungandí</w:t>
      </w:r>
      <w:proofErr w:type="spellEnd"/>
      <w:r w:rsidRPr="005A3786">
        <w:rPr>
          <w:i/>
          <w:szCs w:val="16"/>
        </w:rPr>
        <w:t xml:space="preserve"> y </w:t>
      </w:r>
      <w:proofErr w:type="spellStart"/>
      <w:r w:rsidRPr="005A3786">
        <w:rPr>
          <w:i/>
          <w:szCs w:val="16"/>
        </w:rPr>
        <w:t>Emberá</w:t>
      </w:r>
      <w:proofErr w:type="spellEnd"/>
      <w:r w:rsidRPr="005A3786">
        <w:rPr>
          <w:i/>
          <w:szCs w:val="16"/>
        </w:rPr>
        <w:t xml:space="preserve"> de Bayano y sus miembros Vs. Panamá</w:t>
      </w:r>
      <w:r>
        <w:rPr>
          <w:i/>
          <w:szCs w:val="16"/>
        </w:rPr>
        <w:t xml:space="preserve">. </w:t>
      </w:r>
      <w:r w:rsidRPr="00725C77">
        <w:rPr>
          <w:szCs w:val="16"/>
        </w:rPr>
        <w:t xml:space="preserve">Resolución del Presidente de la Corte Interamericana de Derechos Humanos de 3 de marzo de 2014, Considerando </w:t>
      </w:r>
      <w:r>
        <w:rPr>
          <w:szCs w:val="16"/>
        </w:rPr>
        <w:t>35</w:t>
      </w:r>
      <w:r w:rsidRPr="00725C77">
        <w:rPr>
          <w:szCs w:val="16"/>
        </w:rPr>
        <w:t>.</w:t>
      </w:r>
    </w:p>
  </w:footnote>
  <w:footnote w:id="11">
    <w:p w:rsidR="0042008F" w:rsidRPr="00FF21DC" w:rsidRDefault="0042008F">
      <w:pPr>
        <w:pStyle w:val="FootnoteText"/>
      </w:pPr>
      <w:r w:rsidRPr="00E01479">
        <w:rPr>
          <w:rStyle w:val="FootnoteReference"/>
        </w:rPr>
        <w:footnoteRef/>
      </w:r>
      <w:r w:rsidRPr="00E01479">
        <w:t xml:space="preserve"> </w:t>
      </w:r>
      <w:r w:rsidRPr="00E01479">
        <w:tab/>
        <w:t>El objeto indicado en el escrito de solicitudes y argumentos era: “la necesidad de obtener la anulación de las sentencias de los Tribunales Militares en Tiempo de Guerra [y] […] el daño a su familia por mantener las condenas” y en la lista definitiva: “los hechos del caso, especialmente en relación a los procedimientos de anulación de las sentencias de los Tribunales Militares en Tiempo de Guerra y a la Investigación de la Tortura [y] […] el daño ocasionado a su familia y a su persona por la mantención de su condena”.</w:t>
      </w:r>
    </w:p>
  </w:footnote>
  <w:footnote w:id="12">
    <w:p w:rsidR="0042008F" w:rsidRPr="000E0453" w:rsidRDefault="0042008F" w:rsidP="00E96CCE">
      <w:pPr>
        <w:rPr>
          <w:sz w:val="16"/>
          <w:szCs w:val="16"/>
        </w:rPr>
      </w:pPr>
      <w:r w:rsidRPr="00B91CE1">
        <w:rPr>
          <w:rStyle w:val="FootnoteReference"/>
          <w:sz w:val="16"/>
          <w:szCs w:val="16"/>
        </w:rPr>
        <w:footnoteRef/>
      </w:r>
      <w:r w:rsidRPr="00B91CE1">
        <w:rPr>
          <w:sz w:val="16"/>
          <w:szCs w:val="16"/>
        </w:rPr>
        <w:t xml:space="preserve"> </w:t>
      </w:r>
      <w:r>
        <w:rPr>
          <w:sz w:val="16"/>
          <w:szCs w:val="16"/>
        </w:rPr>
        <w:tab/>
      </w:r>
      <w:r w:rsidRPr="000E0453">
        <w:rPr>
          <w:i/>
          <w:sz w:val="16"/>
          <w:szCs w:val="16"/>
        </w:rPr>
        <w:t>Cfr. Caso González y otras (“Campo Algodonero”) Vs. México</w:t>
      </w:r>
      <w:r w:rsidRPr="000E0453">
        <w:rPr>
          <w:sz w:val="16"/>
          <w:szCs w:val="16"/>
        </w:rPr>
        <w:t>. Resolución de la Presidenta de la Corte Interamericana de Derechos Humanos de 18 de marzo de 2009, co</w:t>
      </w:r>
      <w:r>
        <w:rPr>
          <w:sz w:val="16"/>
          <w:szCs w:val="16"/>
        </w:rPr>
        <w:t>nsiderando</w:t>
      </w:r>
      <w:r w:rsidRPr="000E0453">
        <w:rPr>
          <w:sz w:val="16"/>
          <w:szCs w:val="16"/>
        </w:rPr>
        <w:t xml:space="preserve"> </w:t>
      </w:r>
      <w:r>
        <w:rPr>
          <w:sz w:val="16"/>
          <w:szCs w:val="16"/>
        </w:rPr>
        <w:t xml:space="preserve">26. Asimismo, </w:t>
      </w:r>
      <w:r w:rsidRPr="000E0453">
        <w:rPr>
          <w:i/>
          <w:sz w:val="16"/>
          <w:szCs w:val="16"/>
        </w:rPr>
        <w:t xml:space="preserve">Caso </w:t>
      </w:r>
      <w:r>
        <w:rPr>
          <w:i/>
          <w:sz w:val="16"/>
          <w:szCs w:val="16"/>
        </w:rPr>
        <w:t>Vélez Loor</w:t>
      </w:r>
      <w:r w:rsidRPr="000E0453">
        <w:rPr>
          <w:i/>
          <w:sz w:val="16"/>
          <w:szCs w:val="16"/>
        </w:rPr>
        <w:t xml:space="preserve"> Vs. </w:t>
      </w:r>
      <w:r>
        <w:rPr>
          <w:i/>
          <w:sz w:val="16"/>
          <w:szCs w:val="16"/>
        </w:rPr>
        <w:t>Panamá.</w:t>
      </w:r>
      <w:r w:rsidRPr="000E0453">
        <w:rPr>
          <w:sz w:val="16"/>
          <w:szCs w:val="16"/>
        </w:rPr>
        <w:t xml:space="preserve"> Resolución de la Presidenta de la Corte Interamericana de Derechos Humanos de </w:t>
      </w:r>
      <w:r>
        <w:rPr>
          <w:sz w:val="16"/>
          <w:szCs w:val="16"/>
        </w:rPr>
        <w:t>30</w:t>
      </w:r>
      <w:r w:rsidRPr="000E0453">
        <w:rPr>
          <w:sz w:val="16"/>
          <w:szCs w:val="16"/>
        </w:rPr>
        <w:t xml:space="preserve"> de </w:t>
      </w:r>
      <w:r>
        <w:rPr>
          <w:sz w:val="16"/>
          <w:szCs w:val="16"/>
        </w:rPr>
        <w:t xml:space="preserve">julio </w:t>
      </w:r>
      <w:r w:rsidRPr="000E0453">
        <w:rPr>
          <w:sz w:val="16"/>
          <w:szCs w:val="16"/>
        </w:rPr>
        <w:t xml:space="preserve">de </w:t>
      </w:r>
      <w:r>
        <w:rPr>
          <w:sz w:val="16"/>
          <w:szCs w:val="16"/>
        </w:rPr>
        <w:t>2010,</w:t>
      </w:r>
      <w:r w:rsidRPr="005A3786">
        <w:rPr>
          <w:sz w:val="16"/>
          <w:szCs w:val="16"/>
        </w:rPr>
        <w:t xml:space="preserve"> </w:t>
      </w:r>
      <w:r w:rsidRPr="000E0453">
        <w:rPr>
          <w:sz w:val="16"/>
          <w:szCs w:val="16"/>
        </w:rPr>
        <w:t>co</w:t>
      </w:r>
      <w:r>
        <w:rPr>
          <w:sz w:val="16"/>
          <w:szCs w:val="16"/>
        </w:rPr>
        <w:t>nsiderando</w:t>
      </w:r>
      <w:r w:rsidRPr="000E0453">
        <w:rPr>
          <w:sz w:val="16"/>
          <w:szCs w:val="16"/>
        </w:rPr>
        <w:t xml:space="preserve"> </w:t>
      </w:r>
      <w:r>
        <w:rPr>
          <w:sz w:val="16"/>
          <w:szCs w:val="16"/>
        </w:rPr>
        <w:t>19</w:t>
      </w:r>
      <w:r w:rsidRPr="000E0453">
        <w:rPr>
          <w:sz w:val="16"/>
          <w:szCs w:val="16"/>
        </w:rPr>
        <w:t xml:space="preserve">. </w:t>
      </w:r>
    </w:p>
  </w:footnote>
  <w:footnote w:id="13">
    <w:p w:rsidR="0042008F" w:rsidRPr="00DB5258" w:rsidRDefault="0042008F" w:rsidP="00332081">
      <w:pPr>
        <w:pStyle w:val="FootnoteText"/>
        <w:rPr>
          <w:rFonts w:cs="Verdana"/>
          <w:szCs w:val="16"/>
          <w:lang w:val="es-CL"/>
        </w:rPr>
      </w:pPr>
      <w:r w:rsidRPr="007B66D4">
        <w:rPr>
          <w:rStyle w:val="FootnoteReference"/>
          <w:rFonts w:cs="Verdana"/>
          <w:szCs w:val="16"/>
        </w:rPr>
        <w:footnoteRef/>
      </w:r>
      <w:r w:rsidRPr="007B66D4">
        <w:rPr>
          <w:rFonts w:cs="Verdana"/>
          <w:szCs w:val="16"/>
          <w:lang w:val="es-MX"/>
        </w:rPr>
        <w:t xml:space="preserve"> </w:t>
      </w:r>
      <w:r>
        <w:rPr>
          <w:rFonts w:cs="Verdana"/>
          <w:szCs w:val="16"/>
          <w:lang w:val="es-MX"/>
        </w:rPr>
        <w:tab/>
      </w:r>
      <w:r w:rsidRPr="00FC7CDA">
        <w:rPr>
          <w:i/>
        </w:rPr>
        <w:t>Cfr</w:t>
      </w:r>
      <w:r w:rsidRPr="00FC7CDA">
        <w:t xml:space="preserve">. </w:t>
      </w:r>
      <w:r w:rsidRPr="00FC7CDA">
        <w:rPr>
          <w:i/>
        </w:rPr>
        <w:t xml:space="preserve">Caso Pedro Miguel Vera </w:t>
      </w:r>
      <w:proofErr w:type="spellStart"/>
      <w:r w:rsidRPr="00FC7CDA">
        <w:rPr>
          <w:i/>
        </w:rPr>
        <w:t>Vera</w:t>
      </w:r>
      <w:proofErr w:type="spellEnd"/>
      <w:r w:rsidRPr="00FC7CDA">
        <w:rPr>
          <w:i/>
        </w:rPr>
        <w:t xml:space="preserve"> y otros Vs. Ecuador. </w:t>
      </w:r>
      <w:r>
        <w:t xml:space="preserve">Resolución del </w:t>
      </w:r>
      <w:r w:rsidRPr="00E074AF">
        <w:rPr>
          <w:szCs w:val="16"/>
        </w:rPr>
        <w:t xml:space="preserve">Resolución del Presidente de la Corte </w:t>
      </w:r>
      <w:r w:rsidRPr="0017643B">
        <w:rPr>
          <w:szCs w:val="16"/>
        </w:rPr>
        <w:t>Interamericana de Derechos Humanos</w:t>
      </w:r>
      <w:r w:rsidRPr="00FC7CDA">
        <w:t xml:space="preserve"> de 23 de diciembre de 2010, Considerando </w:t>
      </w:r>
      <w:r>
        <w:t>9</w:t>
      </w:r>
      <w:r w:rsidRPr="00FC7CDA">
        <w:t xml:space="preserve">, y </w:t>
      </w:r>
      <w:r w:rsidRPr="004C07A2">
        <w:rPr>
          <w:i/>
        </w:rPr>
        <w:t xml:space="preserve">Caso </w:t>
      </w:r>
      <w:r>
        <w:rPr>
          <w:i/>
        </w:rPr>
        <w:t>García Ibarra y Familiares</w:t>
      </w:r>
      <w:r w:rsidRPr="004C07A2">
        <w:rPr>
          <w:i/>
        </w:rPr>
        <w:t xml:space="preserve"> Vs.</w:t>
      </w:r>
      <w:r>
        <w:rPr>
          <w:i/>
        </w:rPr>
        <w:t xml:space="preserve"> Ecuador</w:t>
      </w:r>
      <w:r w:rsidRPr="004C07A2">
        <w:rPr>
          <w:i/>
        </w:rPr>
        <w:t xml:space="preserve">. </w:t>
      </w:r>
      <w:r w:rsidRPr="004C07A2">
        <w:t xml:space="preserve">Resolución del </w:t>
      </w:r>
      <w:r w:rsidRPr="00E074AF">
        <w:rPr>
          <w:szCs w:val="16"/>
        </w:rPr>
        <w:t xml:space="preserve">Resolución del Presidente de la Corte </w:t>
      </w:r>
      <w:r w:rsidRPr="0017643B">
        <w:rPr>
          <w:szCs w:val="16"/>
        </w:rPr>
        <w:t>Interamericana de Derechos Humanos</w:t>
      </w:r>
      <w:r w:rsidRPr="004C07A2">
        <w:t xml:space="preserve"> de </w:t>
      </w:r>
      <w:r>
        <w:t>10</w:t>
      </w:r>
      <w:r w:rsidRPr="004C07A2">
        <w:t xml:space="preserve"> de </w:t>
      </w:r>
      <w:r>
        <w:t xml:space="preserve">diciembre de </w:t>
      </w:r>
      <w:r w:rsidRPr="004C07A2">
        <w:t>2014</w:t>
      </w:r>
      <w:r>
        <w:t>, Considerando 10</w:t>
      </w:r>
      <w:r w:rsidRPr="00E074AF">
        <w:rPr>
          <w:rFonts w:cs="Verdana"/>
          <w:szCs w:val="16"/>
          <w:lang w:val="es-CL"/>
        </w:rPr>
        <w:t>.</w:t>
      </w:r>
    </w:p>
  </w:footnote>
  <w:footnote w:id="14">
    <w:p w:rsidR="0042008F" w:rsidRPr="007B66D4" w:rsidRDefault="0042008F" w:rsidP="00332081">
      <w:pPr>
        <w:pStyle w:val="FootnoteText"/>
        <w:rPr>
          <w:szCs w:val="16"/>
        </w:rPr>
      </w:pPr>
      <w:r w:rsidRPr="007B66D4">
        <w:rPr>
          <w:rStyle w:val="FootnoteReference"/>
          <w:rFonts w:cs="Verdana"/>
          <w:szCs w:val="16"/>
        </w:rPr>
        <w:footnoteRef/>
      </w:r>
      <w:r w:rsidRPr="007B66D4">
        <w:rPr>
          <w:rFonts w:cs="Verdana"/>
          <w:szCs w:val="16"/>
        </w:rPr>
        <w:t xml:space="preserve"> </w:t>
      </w:r>
      <w:r w:rsidRPr="007B66D4">
        <w:rPr>
          <w:rFonts w:cs="Verdana"/>
          <w:szCs w:val="16"/>
        </w:rPr>
        <w:tab/>
      </w:r>
      <w:r w:rsidRPr="00E074AF">
        <w:rPr>
          <w:rFonts w:cs="Verdana"/>
          <w:i/>
          <w:iCs/>
          <w:szCs w:val="16"/>
        </w:rPr>
        <w:t>Cfr.</w:t>
      </w:r>
      <w:r w:rsidRPr="00E074AF">
        <w:rPr>
          <w:rFonts w:cs="Verdana"/>
          <w:szCs w:val="16"/>
        </w:rPr>
        <w:t xml:space="preserve"> </w:t>
      </w:r>
      <w:r w:rsidRPr="00E074AF">
        <w:rPr>
          <w:rFonts w:cs="Verdana"/>
          <w:i/>
          <w:iCs/>
          <w:szCs w:val="16"/>
        </w:rPr>
        <w:t xml:space="preserve">Caso Mohamed Vs. Argentina. </w:t>
      </w:r>
      <w:r w:rsidRPr="00E074AF">
        <w:rPr>
          <w:rFonts w:cs="Verdana"/>
          <w:szCs w:val="16"/>
        </w:rPr>
        <w:t xml:space="preserve">Resolución del </w:t>
      </w:r>
      <w:r w:rsidRPr="00E074AF">
        <w:rPr>
          <w:szCs w:val="16"/>
        </w:rPr>
        <w:t xml:space="preserve">Resolución del Presidente de la Corte </w:t>
      </w:r>
      <w:r w:rsidRPr="0017643B">
        <w:rPr>
          <w:szCs w:val="16"/>
        </w:rPr>
        <w:t>Interamericana de Derechos Humanos</w:t>
      </w:r>
      <w:r w:rsidRPr="00E074AF">
        <w:rPr>
          <w:rFonts w:cs="Verdana"/>
          <w:szCs w:val="16"/>
        </w:rPr>
        <w:t xml:space="preserve"> de 4 de junio de 2012, Considerando 37, y</w:t>
      </w:r>
      <w:r w:rsidRPr="00E074AF">
        <w:rPr>
          <w:rFonts w:cs="Verdana"/>
          <w:i/>
          <w:iCs/>
          <w:szCs w:val="16"/>
        </w:rPr>
        <w:t xml:space="preserve"> </w:t>
      </w:r>
      <w:r w:rsidRPr="007B66D4">
        <w:rPr>
          <w:rFonts w:cs="Verdana"/>
          <w:i/>
          <w:iCs/>
          <w:szCs w:val="16"/>
          <w:lang w:bidi="en-US"/>
        </w:rPr>
        <w:t xml:space="preserve">Caso </w:t>
      </w:r>
      <w:proofErr w:type="spellStart"/>
      <w:r>
        <w:rPr>
          <w:rFonts w:cs="Verdana"/>
          <w:i/>
          <w:iCs/>
          <w:szCs w:val="16"/>
          <w:lang w:bidi="en-US"/>
        </w:rPr>
        <w:t>Tide</w:t>
      </w:r>
      <w:proofErr w:type="spellEnd"/>
      <w:r>
        <w:rPr>
          <w:rFonts w:cs="Verdana"/>
          <w:i/>
          <w:iCs/>
          <w:szCs w:val="16"/>
          <w:lang w:bidi="en-US"/>
        </w:rPr>
        <w:t xml:space="preserve"> Méndez y otros</w:t>
      </w:r>
      <w:r w:rsidRPr="007B66D4">
        <w:rPr>
          <w:rFonts w:cs="Verdana"/>
          <w:i/>
          <w:iCs/>
          <w:szCs w:val="16"/>
          <w:lang w:bidi="en-US"/>
        </w:rPr>
        <w:t xml:space="preserve"> vs </w:t>
      </w:r>
      <w:r>
        <w:rPr>
          <w:rFonts w:cs="Verdana"/>
          <w:i/>
          <w:iCs/>
          <w:szCs w:val="16"/>
          <w:lang w:bidi="en-US"/>
        </w:rPr>
        <w:t>República Dominicana</w:t>
      </w:r>
      <w:r w:rsidRPr="00E074AF">
        <w:rPr>
          <w:rFonts w:cs="Verdana"/>
          <w:szCs w:val="16"/>
        </w:rPr>
        <w:t xml:space="preserve">, Considerando </w:t>
      </w:r>
      <w:r>
        <w:rPr>
          <w:rFonts w:cs="Verdana"/>
          <w:szCs w:val="16"/>
        </w:rPr>
        <w:t>49</w:t>
      </w:r>
      <w:r w:rsidRPr="00E074AF">
        <w:rPr>
          <w:rFonts w:cs="Verdana"/>
          <w:szCs w:val="16"/>
        </w:rPr>
        <w:t>.</w:t>
      </w:r>
    </w:p>
  </w:footnote>
  <w:footnote w:id="15">
    <w:p w:rsidR="0042008F" w:rsidRPr="00545B80" w:rsidRDefault="0042008F" w:rsidP="00545B80">
      <w:pPr>
        <w:widowControl w:val="0"/>
        <w:autoSpaceDE w:val="0"/>
        <w:autoSpaceDN w:val="0"/>
        <w:adjustRightInd w:val="0"/>
        <w:rPr>
          <w:rFonts w:cs="Verdana"/>
          <w:sz w:val="16"/>
          <w:szCs w:val="16"/>
        </w:rPr>
      </w:pPr>
      <w:r w:rsidRPr="00545B80">
        <w:rPr>
          <w:rStyle w:val="FootnoteReference"/>
          <w:rFonts w:cs="Verdana"/>
          <w:sz w:val="16"/>
          <w:szCs w:val="16"/>
        </w:rPr>
        <w:footnoteRef/>
      </w:r>
      <w:r w:rsidRPr="00545B80">
        <w:rPr>
          <w:rFonts w:cs="Verdana"/>
          <w:sz w:val="16"/>
          <w:szCs w:val="16"/>
        </w:rPr>
        <w:t xml:space="preserve"> </w:t>
      </w:r>
      <w:r w:rsidRPr="00545B80">
        <w:rPr>
          <w:rFonts w:cs="Verdana"/>
          <w:sz w:val="16"/>
          <w:szCs w:val="16"/>
        </w:rPr>
        <w:tab/>
      </w:r>
      <w:r w:rsidRPr="00545B80">
        <w:rPr>
          <w:i/>
          <w:iCs/>
          <w:sz w:val="16"/>
          <w:szCs w:val="16"/>
        </w:rPr>
        <w:t xml:space="preserve">Cfr. Caso Alicia </w:t>
      </w:r>
      <w:proofErr w:type="spellStart"/>
      <w:r w:rsidRPr="00545B80">
        <w:rPr>
          <w:i/>
          <w:iCs/>
          <w:sz w:val="16"/>
          <w:szCs w:val="16"/>
        </w:rPr>
        <w:t>Barbani</w:t>
      </w:r>
      <w:proofErr w:type="spellEnd"/>
      <w:r w:rsidRPr="00545B80">
        <w:rPr>
          <w:i/>
          <w:iCs/>
          <w:sz w:val="16"/>
          <w:szCs w:val="16"/>
        </w:rPr>
        <w:t xml:space="preserve"> Duarte, María </w:t>
      </w:r>
      <w:r>
        <w:rPr>
          <w:i/>
          <w:iCs/>
          <w:sz w:val="16"/>
          <w:szCs w:val="16"/>
        </w:rPr>
        <w:t>d</w:t>
      </w:r>
      <w:r w:rsidRPr="00545B80">
        <w:rPr>
          <w:i/>
          <w:iCs/>
          <w:sz w:val="16"/>
          <w:szCs w:val="16"/>
        </w:rPr>
        <w:t xml:space="preserve">el Huerto </w:t>
      </w:r>
      <w:proofErr w:type="spellStart"/>
      <w:r w:rsidRPr="00545B80">
        <w:rPr>
          <w:i/>
          <w:iCs/>
          <w:sz w:val="16"/>
          <w:szCs w:val="16"/>
        </w:rPr>
        <w:t>Breccia</w:t>
      </w:r>
      <w:proofErr w:type="spellEnd"/>
      <w:r w:rsidRPr="00545B80">
        <w:rPr>
          <w:i/>
          <w:iCs/>
          <w:sz w:val="16"/>
          <w:szCs w:val="16"/>
        </w:rPr>
        <w:t xml:space="preserve"> </w:t>
      </w:r>
      <w:r>
        <w:rPr>
          <w:i/>
          <w:iCs/>
          <w:sz w:val="16"/>
          <w:szCs w:val="16"/>
        </w:rPr>
        <w:t>y</w:t>
      </w:r>
      <w:r w:rsidRPr="00545B80">
        <w:rPr>
          <w:i/>
          <w:iCs/>
          <w:sz w:val="16"/>
          <w:szCs w:val="16"/>
        </w:rPr>
        <w:t xml:space="preserve"> </w:t>
      </w:r>
      <w:r>
        <w:rPr>
          <w:i/>
          <w:iCs/>
          <w:sz w:val="16"/>
          <w:szCs w:val="16"/>
        </w:rPr>
        <w:t>o</w:t>
      </w:r>
      <w:r w:rsidRPr="00545B80">
        <w:rPr>
          <w:i/>
          <w:iCs/>
          <w:sz w:val="16"/>
          <w:szCs w:val="16"/>
        </w:rPr>
        <w:t>tros</w:t>
      </w:r>
      <w:r>
        <w:rPr>
          <w:i/>
          <w:iCs/>
          <w:sz w:val="16"/>
          <w:szCs w:val="16"/>
        </w:rPr>
        <w:t xml:space="preserve"> </w:t>
      </w:r>
      <w:r w:rsidRPr="00545B80">
        <w:rPr>
          <w:i/>
          <w:iCs/>
          <w:sz w:val="16"/>
          <w:szCs w:val="16"/>
        </w:rPr>
        <w:t xml:space="preserve">(Grupo </w:t>
      </w:r>
      <w:r>
        <w:rPr>
          <w:i/>
          <w:iCs/>
          <w:sz w:val="16"/>
          <w:szCs w:val="16"/>
        </w:rPr>
        <w:t>d</w:t>
      </w:r>
      <w:r w:rsidRPr="00545B80">
        <w:rPr>
          <w:i/>
          <w:iCs/>
          <w:sz w:val="16"/>
          <w:szCs w:val="16"/>
        </w:rPr>
        <w:t xml:space="preserve">e Ahorristas </w:t>
      </w:r>
      <w:r>
        <w:rPr>
          <w:i/>
          <w:iCs/>
          <w:sz w:val="16"/>
          <w:szCs w:val="16"/>
        </w:rPr>
        <w:t>d</w:t>
      </w:r>
      <w:r w:rsidRPr="00545B80">
        <w:rPr>
          <w:i/>
          <w:iCs/>
          <w:sz w:val="16"/>
          <w:szCs w:val="16"/>
        </w:rPr>
        <w:t xml:space="preserve">el Banco </w:t>
      </w:r>
      <w:r>
        <w:rPr>
          <w:i/>
          <w:iCs/>
          <w:sz w:val="16"/>
          <w:szCs w:val="16"/>
        </w:rPr>
        <w:t>d</w:t>
      </w:r>
      <w:r w:rsidRPr="00545B80">
        <w:rPr>
          <w:i/>
          <w:iCs/>
          <w:sz w:val="16"/>
          <w:szCs w:val="16"/>
        </w:rPr>
        <w:t>e Montevideo) Vs. Uruguay</w:t>
      </w:r>
      <w:r w:rsidRPr="00545B80">
        <w:rPr>
          <w:sz w:val="16"/>
          <w:szCs w:val="16"/>
        </w:rPr>
        <w:t xml:space="preserve">. Resolución del </w:t>
      </w:r>
      <w:r w:rsidRPr="00E074AF">
        <w:rPr>
          <w:sz w:val="16"/>
          <w:szCs w:val="16"/>
        </w:rPr>
        <w:t xml:space="preserve">Resolución del Presidente de la Corte </w:t>
      </w:r>
      <w:r w:rsidRPr="0017643B">
        <w:rPr>
          <w:sz w:val="16"/>
          <w:szCs w:val="16"/>
        </w:rPr>
        <w:t>Interamericana de Derechos Humanos</w:t>
      </w:r>
      <w:r w:rsidRPr="00545B80">
        <w:rPr>
          <w:sz w:val="16"/>
          <w:szCs w:val="16"/>
        </w:rPr>
        <w:t xml:space="preserve"> de 3 de junio de 2011, Considerando </w:t>
      </w:r>
      <w:r>
        <w:rPr>
          <w:sz w:val="16"/>
          <w:szCs w:val="16"/>
        </w:rPr>
        <w:t>16</w:t>
      </w:r>
      <w:r w:rsidRPr="00545B80">
        <w:rPr>
          <w:sz w:val="16"/>
          <w:szCs w:val="16"/>
        </w:rPr>
        <w:t xml:space="preserve">, y </w:t>
      </w:r>
      <w:r w:rsidRPr="00545B80">
        <w:rPr>
          <w:i/>
          <w:sz w:val="16"/>
          <w:szCs w:val="16"/>
        </w:rPr>
        <w:t>Caso García Ibarra y Familiares Vs. Ecuador</w:t>
      </w:r>
      <w:r w:rsidRPr="00545B80">
        <w:rPr>
          <w:sz w:val="16"/>
          <w:szCs w:val="16"/>
        </w:rPr>
        <w:t xml:space="preserve">, Considerando </w:t>
      </w:r>
      <w:r>
        <w:rPr>
          <w:sz w:val="16"/>
          <w:szCs w:val="16"/>
        </w:rPr>
        <w:t>15</w:t>
      </w:r>
      <w:r w:rsidRPr="00545B80">
        <w:rPr>
          <w:rFonts w:cs="Verdana"/>
          <w:sz w:val="16"/>
          <w:szCs w:val="16"/>
        </w:rPr>
        <w:t>.</w:t>
      </w:r>
    </w:p>
  </w:footnote>
  <w:footnote w:id="16">
    <w:p w:rsidR="0042008F" w:rsidRPr="00391240" w:rsidRDefault="0042008F" w:rsidP="00784582">
      <w:pPr>
        <w:widowControl w:val="0"/>
        <w:autoSpaceDE w:val="0"/>
        <w:autoSpaceDN w:val="0"/>
        <w:adjustRightInd w:val="0"/>
        <w:rPr>
          <w:rFonts w:cs="Verdana"/>
          <w:sz w:val="16"/>
          <w:szCs w:val="16"/>
        </w:rPr>
      </w:pPr>
      <w:r w:rsidRPr="007B66D4">
        <w:rPr>
          <w:rStyle w:val="FootnoteReference"/>
          <w:rFonts w:cs="Verdana"/>
          <w:sz w:val="16"/>
          <w:szCs w:val="16"/>
        </w:rPr>
        <w:footnoteRef/>
      </w:r>
      <w:r w:rsidRPr="007B66D4">
        <w:rPr>
          <w:rFonts w:cs="Verdana"/>
          <w:sz w:val="16"/>
          <w:szCs w:val="16"/>
        </w:rPr>
        <w:t xml:space="preserve"> </w:t>
      </w:r>
      <w:r w:rsidRPr="007B66D4">
        <w:rPr>
          <w:rFonts w:cs="Verdana"/>
          <w:sz w:val="16"/>
          <w:szCs w:val="16"/>
        </w:rPr>
        <w:tab/>
      </w:r>
      <w:r w:rsidRPr="00E074AF">
        <w:rPr>
          <w:i/>
          <w:iCs/>
          <w:sz w:val="16"/>
          <w:szCs w:val="16"/>
        </w:rPr>
        <w:t>Cfr. Caso Contreras y otros Vs. El Salvador</w:t>
      </w:r>
      <w:r w:rsidRPr="00E074AF">
        <w:rPr>
          <w:sz w:val="16"/>
          <w:szCs w:val="16"/>
        </w:rPr>
        <w:t xml:space="preserve">. Resolución del Presidente de la Corte </w:t>
      </w:r>
      <w:r w:rsidRPr="0017643B">
        <w:rPr>
          <w:sz w:val="16"/>
          <w:szCs w:val="16"/>
        </w:rPr>
        <w:t xml:space="preserve">Interamericana de Derechos Humanos </w:t>
      </w:r>
      <w:r w:rsidRPr="00E074AF">
        <w:rPr>
          <w:sz w:val="16"/>
          <w:szCs w:val="16"/>
        </w:rPr>
        <w:t xml:space="preserve">de 14 de abril de 2011, Considerando 25, y </w:t>
      </w:r>
      <w:r w:rsidRPr="00545B80">
        <w:rPr>
          <w:i/>
          <w:sz w:val="16"/>
          <w:szCs w:val="16"/>
        </w:rPr>
        <w:t>Caso García Ibarra y Familiares Vs. Ecuador</w:t>
      </w:r>
      <w:r w:rsidRPr="00545B80">
        <w:rPr>
          <w:sz w:val="16"/>
          <w:szCs w:val="16"/>
        </w:rPr>
        <w:t xml:space="preserve">, Considerando </w:t>
      </w:r>
      <w:r>
        <w:rPr>
          <w:sz w:val="16"/>
          <w:szCs w:val="16"/>
        </w:rPr>
        <w:t>15</w:t>
      </w:r>
      <w:r w:rsidRPr="00E074AF">
        <w:rPr>
          <w:rFonts w:cs="Verdana"/>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8F" w:rsidRDefault="00A5328B">
    <w:pPr>
      <w:pStyle w:val="Header"/>
      <w:jc w:val="center"/>
    </w:pPr>
    <w:r>
      <w:fldChar w:fldCharType="begin"/>
    </w:r>
    <w:r w:rsidR="00E2384A">
      <w:instrText xml:space="preserve"> PAGE   \* MERGEFORMAT </w:instrText>
    </w:r>
    <w:r>
      <w:fldChar w:fldCharType="separate"/>
    </w:r>
    <w:r w:rsidR="004F4C2A">
      <w:rPr>
        <w:noProof/>
      </w:rPr>
      <w:t>12</w:t>
    </w:r>
    <w:r>
      <w:rPr>
        <w:noProof/>
      </w:rPr>
      <w:fldChar w:fldCharType="end"/>
    </w:r>
  </w:p>
  <w:p w:rsidR="0042008F" w:rsidRDefault="00420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1EEC"/>
    <w:multiLevelType w:val="hybridMultilevel"/>
    <w:tmpl w:val="35B6F8FC"/>
    <w:lvl w:ilvl="0" w:tplc="FE7C621C">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nsid w:val="02B50526"/>
    <w:multiLevelType w:val="hybridMultilevel"/>
    <w:tmpl w:val="655CF306"/>
    <w:lvl w:ilvl="0" w:tplc="109C8F28">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0F0D5B"/>
    <w:multiLevelType w:val="hybridMultilevel"/>
    <w:tmpl w:val="071E5DF8"/>
    <w:lvl w:ilvl="0" w:tplc="59269286">
      <w:start w:val="1"/>
      <w:numFmt w:val="decimal"/>
      <w:lvlText w:val="%1)"/>
      <w:lvlJc w:val="left"/>
      <w:pPr>
        <w:ind w:left="1080" w:hanging="360"/>
      </w:pPr>
      <w:rPr>
        <w:rFonts w:ascii="Verdana" w:eastAsia="Calibri" w:hAnsi="Verdana" w:cs="Helvetica"/>
        <w:b/>
        <w:i/>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103A243B"/>
    <w:multiLevelType w:val="hybridMultilevel"/>
    <w:tmpl w:val="197C0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8038E"/>
    <w:multiLevelType w:val="hybridMultilevel"/>
    <w:tmpl w:val="36E2F91E"/>
    <w:lvl w:ilvl="0" w:tplc="888ABF6E">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577227C"/>
    <w:multiLevelType w:val="hybridMultilevel"/>
    <w:tmpl w:val="4CFCF7DC"/>
    <w:lvl w:ilvl="0" w:tplc="560A30FA">
      <w:start w:val="9"/>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A4044"/>
    <w:multiLevelType w:val="hybridMultilevel"/>
    <w:tmpl w:val="874AC4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C6E54E5"/>
    <w:multiLevelType w:val="hybridMultilevel"/>
    <w:tmpl w:val="471C8F26"/>
    <w:lvl w:ilvl="0" w:tplc="9F4A7C56">
      <w:numFmt w:val="bullet"/>
      <w:lvlText w:val="-"/>
      <w:lvlJc w:val="left"/>
      <w:pPr>
        <w:ind w:left="1440" w:hanging="360"/>
      </w:pPr>
      <w:rPr>
        <w:rFonts w:ascii="Times New Roman" w:eastAsia="Times New Roman" w:hAnsi="Times New Roman" w:cs="Times New Roman"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CBE5B1A"/>
    <w:multiLevelType w:val="hybridMultilevel"/>
    <w:tmpl w:val="4FA029AC"/>
    <w:lvl w:ilvl="0" w:tplc="AC50FA12">
      <w:start w:val="5"/>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9">
    <w:nsid w:val="1E833FB7"/>
    <w:multiLevelType w:val="hybridMultilevel"/>
    <w:tmpl w:val="9E3E3434"/>
    <w:lvl w:ilvl="0" w:tplc="D7F07548">
      <w:start w:val="1"/>
      <w:numFmt w:val="upperLetter"/>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10">
    <w:nsid w:val="228F725D"/>
    <w:multiLevelType w:val="hybridMultilevel"/>
    <w:tmpl w:val="AE2450F4"/>
    <w:lvl w:ilvl="0" w:tplc="26BC4DA8">
      <w:start w:val="8"/>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6215720"/>
    <w:multiLevelType w:val="hybridMultilevel"/>
    <w:tmpl w:val="60808C3E"/>
    <w:lvl w:ilvl="0" w:tplc="6AFCDB1C">
      <w:start w:val="1"/>
      <w:numFmt w:val="upperLetter"/>
      <w:lvlText w:val="%1)"/>
      <w:lvlJc w:val="left"/>
      <w:pPr>
        <w:ind w:left="1410" w:hanging="840"/>
      </w:pPr>
      <w:rPr>
        <w:rFonts w:hint="default"/>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12">
    <w:nsid w:val="3A38404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nsid w:val="3A505C39"/>
    <w:multiLevelType w:val="hybridMultilevel"/>
    <w:tmpl w:val="963A9C56"/>
    <w:lvl w:ilvl="0" w:tplc="F6CC8F7E">
      <w:start w:val="1"/>
      <w:numFmt w:val="decimal"/>
      <w:lvlText w:val="%1)"/>
      <w:lvlJc w:val="left"/>
      <w:pPr>
        <w:ind w:left="1080" w:hanging="360"/>
      </w:pPr>
      <w:rPr>
        <w:rFonts w:hint="default"/>
        <w:i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nsid w:val="3B27062E"/>
    <w:multiLevelType w:val="hybridMultilevel"/>
    <w:tmpl w:val="00C6F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174CA"/>
    <w:multiLevelType w:val="hybridMultilevel"/>
    <w:tmpl w:val="35B6F8FC"/>
    <w:lvl w:ilvl="0" w:tplc="FE7C621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3E34196C"/>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3EE80CC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nsid w:val="3F4A4248"/>
    <w:multiLevelType w:val="hybridMultilevel"/>
    <w:tmpl w:val="D0865F8A"/>
    <w:lvl w:ilvl="0" w:tplc="7E0E6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9104D0"/>
    <w:multiLevelType w:val="hybridMultilevel"/>
    <w:tmpl w:val="60169524"/>
    <w:lvl w:ilvl="0" w:tplc="676E766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0E5467"/>
    <w:multiLevelType w:val="hybridMultilevel"/>
    <w:tmpl w:val="CA2C8F94"/>
    <w:lvl w:ilvl="0" w:tplc="809C5D9E">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9BC682F"/>
    <w:multiLevelType w:val="hybridMultilevel"/>
    <w:tmpl w:val="8C7051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A1F5729"/>
    <w:multiLevelType w:val="hybridMultilevel"/>
    <w:tmpl w:val="EF60DEF2"/>
    <w:lvl w:ilvl="0" w:tplc="7562A866">
      <w:start w:val="1"/>
      <w:numFmt w:val="decimal"/>
      <w:lvlText w:val="%1)"/>
      <w:lvlJc w:val="left"/>
      <w:pPr>
        <w:ind w:left="1440" w:hanging="360"/>
      </w:pPr>
      <w:rPr>
        <w:rFonts w:ascii="Verdana" w:hAnsi="Verdana" w:cs="Verdana" w:hint="default"/>
        <w:i/>
        <w:sz w:val="2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3">
    <w:nsid w:val="4C581F9F"/>
    <w:multiLevelType w:val="hybridMultilevel"/>
    <w:tmpl w:val="A59E1AEA"/>
    <w:lvl w:ilvl="0" w:tplc="91FCF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D960C9"/>
    <w:multiLevelType w:val="hybridMultilevel"/>
    <w:tmpl w:val="84C059DE"/>
    <w:lvl w:ilvl="0" w:tplc="0732765E">
      <w:start w:val="6"/>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1B556A3"/>
    <w:multiLevelType w:val="hybridMultilevel"/>
    <w:tmpl w:val="FC5874F8"/>
    <w:lvl w:ilvl="0" w:tplc="8502090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nsid w:val="545631A8"/>
    <w:multiLevelType w:val="hybridMultilevel"/>
    <w:tmpl w:val="5A7EF63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C2668C8"/>
    <w:multiLevelType w:val="hybridMultilevel"/>
    <w:tmpl w:val="5FF0EE58"/>
    <w:lvl w:ilvl="0" w:tplc="95A8C9F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5D8806CF"/>
    <w:multiLevelType w:val="hybridMultilevel"/>
    <w:tmpl w:val="22522F96"/>
    <w:lvl w:ilvl="0" w:tplc="D7EAE586">
      <w:start w:val="2"/>
      <w:numFmt w:val="upperLetter"/>
      <w:lvlText w:val="%1)"/>
      <w:lvlJc w:val="left"/>
      <w:pPr>
        <w:tabs>
          <w:tab w:val="num" w:pos="960"/>
        </w:tabs>
        <w:ind w:left="960" w:hanging="380"/>
      </w:pPr>
      <w:rPr>
        <w:rFonts w:hint="default"/>
        <w:i w:val="0"/>
      </w:rPr>
    </w:lvl>
    <w:lvl w:ilvl="1" w:tplc="00190409" w:tentative="1">
      <w:start w:val="1"/>
      <w:numFmt w:val="lowerLetter"/>
      <w:lvlText w:val="%2."/>
      <w:lvlJc w:val="left"/>
      <w:pPr>
        <w:tabs>
          <w:tab w:val="num" w:pos="1660"/>
        </w:tabs>
        <w:ind w:left="1660" w:hanging="360"/>
      </w:pPr>
    </w:lvl>
    <w:lvl w:ilvl="2" w:tplc="001B0409" w:tentative="1">
      <w:start w:val="1"/>
      <w:numFmt w:val="lowerRoman"/>
      <w:lvlText w:val="%3."/>
      <w:lvlJc w:val="right"/>
      <w:pPr>
        <w:tabs>
          <w:tab w:val="num" w:pos="2380"/>
        </w:tabs>
        <w:ind w:left="2380" w:hanging="180"/>
      </w:pPr>
    </w:lvl>
    <w:lvl w:ilvl="3" w:tplc="000F0409" w:tentative="1">
      <w:start w:val="1"/>
      <w:numFmt w:val="decimal"/>
      <w:lvlText w:val="%4."/>
      <w:lvlJc w:val="left"/>
      <w:pPr>
        <w:tabs>
          <w:tab w:val="num" w:pos="3100"/>
        </w:tabs>
        <w:ind w:left="3100" w:hanging="360"/>
      </w:pPr>
    </w:lvl>
    <w:lvl w:ilvl="4" w:tplc="00190409" w:tentative="1">
      <w:start w:val="1"/>
      <w:numFmt w:val="lowerLetter"/>
      <w:lvlText w:val="%5."/>
      <w:lvlJc w:val="left"/>
      <w:pPr>
        <w:tabs>
          <w:tab w:val="num" w:pos="3820"/>
        </w:tabs>
        <w:ind w:left="3820" w:hanging="360"/>
      </w:pPr>
    </w:lvl>
    <w:lvl w:ilvl="5" w:tplc="001B0409" w:tentative="1">
      <w:start w:val="1"/>
      <w:numFmt w:val="lowerRoman"/>
      <w:lvlText w:val="%6."/>
      <w:lvlJc w:val="right"/>
      <w:pPr>
        <w:tabs>
          <w:tab w:val="num" w:pos="4540"/>
        </w:tabs>
        <w:ind w:left="4540" w:hanging="180"/>
      </w:pPr>
    </w:lvl>
    <w:lvl w:ilvl="6" w:tplc="000F0409" w:tentative="1">
      <w:start w:val="1"/>
      <w:numFmt w:val="decimal"/>
      <w:lvlText w:val="%7."/>
      <w:lvlJc w:val="left"/>
      <w:pPr>
        <w:tabs>
          <w:tab w:val="num" w:pos="5260"/>
        </w:tabs>
        <w:ind w:left="5260" w:hanging="360"/>
      </w:pPr>
    </w:lvl>
    <w:lvl w:ilvl="7" w:tplc="00190409" w:tentative="1">
      <w:start w:val="1"/>
      <w:numFmt w:val="lowerLetter"/>
      <w:lvlText w:val="%8."/>
      <w:lvlJc w:val="left"/>
      <w:pPr>
        <w:tabs>
          <w:tab w:val="num" w:pos="5980"/>
        </w:tabs>
        <w:ind w:left="5980" w:hanging="360"/>
      </w:pPr>
    </w:lvl>
    <w:lvl w:ilvl="8" w:tplc="001B0409" w:tentative="1">
      <w:start w:val="1"/>
      <w:numFmt w:val="lowerRoman"/>
      <w:lvlText w:val="%9."/>
      <w:lvlJc w:val="right"/>
      <w:pPr>
        <w:tabs>
          <w:tab w:val="num" w:pos="6700"/>
        </w:tabs>
        <w:ind w:left="6700" w:hanging="180"/>
      </w:pPr>
    </w:lvl>
  </w:abstractNum>
  <w:abstractNum w:abstractNumId="29">
    <w:nsid w:val="5EC27779"/>
    <w:multiLevelType w:val="multilevel"/>
    <w:tmpl w:val="38DA8EF6"/>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20"/>
        </w:tabs>
        <w:ind w:left="720" w:hanging="360"/>
      </w:pPr>
      <w:rPr>
        <w:rFonts w:ascii="Verdana" w:hAnsi="Verdana" w:cs="Times New Roman" w:hint="default"/>
        <w:b w:val="0"/>
        <w:i/>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6C3073A"/>
    <w:multiLevelType w:val="hybridMultilevel"/>
    <w:tmpl w:val="71625F92"/>
    <w:lvl w:ilvl="0" w:tplc="ED0459E8">
      <w:start w:val="1"/>
      <w:numFmt w:val="upperLetter"/>
      <w:lvlText w:val="%1)"/>
      <w:lvlJc w:val="left"/>
      <w:pPr>
        <w:ind w:left="720" w:hanging="360"/>
      </w:pPr>
      <w:rPr>
        <w:rFonts w:hint="default"/>
        <w:b/>
        <w:bCs/>
        <w:i/>
        <w:iCs/>
      </w:rPr>
    </w:lvl>
    <w:lvl w:ilvl="1" w:tplc="323EEAAC">
      <w:start w:val="1"/>
      <w:numFmt w:val="lowerLetter"/>
      <w:lvlText w:val="%2."/>
      <w:lvlJc w:val="left"/>
      <w:pPr>
        <w:ind w:left="1440" w:hanging="360"/>
      </w:pPr>
    </w:lvl>
    <w:lvl w:ilvl="2" w:tplc="B96C1A40">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2">
    <w:nsid w:val="6D8A0A31"/>
    <w:multiLevelType w:val="hybridMultilevel"/>
    <w:tmpl w:val="EC041CD8"/>
    <w:lvl w:ilvl="0" w:tplc="ED0459E8">
      <w:start w:val="1"/>
      <w:numFmt w:val="decimal"/>
      <w:pStyle w:val="Num"/>
      <w:lvlText w:val="%1."/>
      <w:lvlJc w:val="left"/>
      <w:pPr>
        <w:ind w:left="360" w:hanging="360"/>
      </w:pPr>
    </w:lvl>
    <w:lvl w:ilvl="1" w:tplc="323EEAAC" w:tentative="1">
      <w:start w:val="1"/>
      <w:numFmt w:val="lowerLetter"/>
      <w:lvlText w:val="%2."/>
      <w:lvlJc w:val="left"/>
      <w:pPr>
        <w:ind w:left="1530" w:hanging="360"/>
      </w:pPr>
    </w:lvl>
    <w:lvl w:ilvl="2" w:tplc="B96C1A40"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33">
    <w:nsid w:val="70B238BB"/>
    <w:multiLevelType w:val="hybridMultilevel"/>
    <w:tmpl w:val="C0A299EC"/>
    <w:lvl w:ilvl="0" w:tplc="03D8F96C">
      <w:start w:val="1"/>
      <w:numFmt w:val="lowerLetter"/>
      <w:lvlText w:val="%1)"/>
      <w:lvlJc w:val="left"/>
      <w:pPr>
        <w:ind w:left="720" w:hanging="360"/>
      </w:pPr>
      <w:rPr>
        <w:rFonts w:hint="default"/>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E50FED"/>
    <w:multiLevelType w:val="hybridMultilevel"/>
    <w:tmpl w:val="BA12FB5C"/>
    <w:lvl w:ilvl="0" w:tplc="7E3EA464">
      <w:start w:val="9"/>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5FB7C72"/>
    <w:multiLevelType w:val="hybridMultilevel"/>
    <w:tmpl w:val="E1225B1E"/>
    <w:lvl w:ilvl="0" w:tplc="D1901EA4">
      <w:start w:val="1"/>
      <w:numFmt w:val="upperLetter"/>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79532FCB"/>
    <w:multiLevelType w:val="hybridMultilevel"/>
    <w:tmpl w:val="963A9C56"/>
    <w:lvl w:ilvl="0" w:tplc="DA300C58">
      <w:start w:val="1"/>
      <w:numFmt w:val="decimal"/>
      <w:lvlText w:val="%1)"/>
      <w:lvlJc w:val="left"/>
      <w:pPr>
        <w:ind w:left="1080" w:hanging="360"/>
      </w:pPr>
      <w:rPr>
        <w:rFonts w:hint="default"/>
        <w:i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7">
    <w:nsid w:val="7C53504F"/>
    <w:multiLevelType w:val="hybridMultilevel"/>
    <w:tmpl w:val="84ECD7FE"/>
    <w:lvl w:ilvl="0" w:tplc="F6CC8F7E">
      <w:start w:val="1"/>
      <w:numFmt w:val="decimal"/>
      <w:lvlText w:val="%1)"/>
      <w:lvlJc w:val="left"/>
      <w:pPr>
        <w:ind w:left="1320" w:hanging="360"/>
      </w:pPr>
      <w:rPr>
        <w:rFonts w:cs="ArialMT" w:hint="default"/>
      </w:rPr>
    </w:lvl>
    <w:lvl w:ilvl="1" w:tplc="140A0019" w:tentative="1">
      <w:start w:val="1"/>
      <w:numFmt w:val="lowerLetter"/>
      <w:lvlText w:val="%2."/>
      <w:lvlJc w:val="left"/>
      <w:pPr>
        <w:ind w:left="2040" w:hanging="360"/>
      </w:pPr>
    </w:lvl>
    <w:lvl w:ilvl="2" w:tplc="140A001B" w:tentative="1">
      <w:start w:val="1"/>
      <w:numFmt w:val="lowerRoman"/>
      <w:lvlText w:val="%3."/>
      <w:lvlJc w:val="right"/>
      <w:pPr>
        <w:ind w:left="2760" w:hanging="180"/>
      </w:pPr>
    </w:lvl>
    <w:lvl w:ilvl="3" w:tplc="140A000F" w:tentative="1">
      <w:start w:val="1"/>
      <w:numFmt w:val="decimal"/>
      <w:lvlText w:val="%4."/>
      <w:lvlJc w:val="left"/>
      <w:pPr>
        <w:ind w:left="3480" w:hanging="360"/>
      </w:pPr>
    </w:lvl>
    <w:lvl w:ilvl="4" w:tplc="140A0019" w:tentative="1">
      <w:start w:val="1"/>
      <w:numFmt w:val="lowerLetter"/>
      <w:lvlText w:val="%5."/>
      <w:lvlJc w:val="left"/>
      <w:pPr>
        <w:ind w:left="4200" w:hanging="360"/>
      </w:pPr>
    </w:lvl>
    <w:lvl w:ilvl="5" w:tplc="140A001B" w:tentative="1">
      <w:start w:val="1"/>
      <w:numFmt w:val="lowerRoman"/>
      <w:lvlText w:val="%6."/>
      <w:lvlJc w:val="right"/>
      <w:pPr>
        <w:ind w:left="4920" w:hanging="180"/>
      </w:pPr>
    </w:lvl>
    <w:lvl w:ilvl="6" w:tplc="140A000F" w:tentative="1">
      <w:start w:val="1"/>
      <w:numFmt w:val="decimal"/>
      <w:lvlText w:val="%7."/>
      <w:lvlJc w:val="left"/>
      <w:pPr>
        <w:ind w:left="5640" w:hanging="360"/>
      </w:pPr>
    </w:lvl>
    <w:lvl w:ilvl="7" w:tplc="140A0019" w:tentative="1">
      <w:start w:val="1"/>
      <w:numFmt w:val="lowerLetter"/>
      <w:lvlText w:val="%8."/>
      <w:lvlJc w:val="left"/>
      <w:pPr>
        <w:ind w:left="6360" w:hanging="360"/>
      </w:pPr>
    </w:lvl>
    <w:lvl w:ilvl="8" w:tplc="140A001B" w:tentative="1">
      <w:start w:val="1"/>
      <w:numFmt w:val="lowerRoman"/>
      <w:lvlText w:val="%9."/>
      <w:lvlJc w:val="right"/>
      <w:pPr>
        <w:ind w:left="7080" w:hanging="180"/>
      </w:pPr>
    </w:lvl>
  </w:abstractNum>
  <w:abstractNum w:abstractNumId="38">
    <w:nsid w:val="7C8D0816"/>
    <w:multiLevelType w:val="hybridMultilevel"/>
    <w:tmpl w:val="7BE47BA6"/>
    <w:lvl w:ilvl="0" w:tplc="B2EC94F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12"/>
  </w:num>
  <w:num w:numId="3">
    <w:abstractNumId w:val="33"/>
  </w:num>
  <w:num w:numId="4">
    <w:abstractNumId w:val="28"/>
  </w:num>
  <w:num w:numId="5">
    <w:abstractNumId w:val="9"/>
  </w:num>
  <w:num w:numId="6">
    <w:abstractNumId w:val="3"/>
  </w:num>
  <w:num w:numId="7">
    <w:abstractNumId w:val="18"/>
  </w:num>
  <w:num w:numId="8">
    <w:abstractNumId w:val="32"/>
    <w:lvlOverride w:ilvl="0">
      <w:startOverride w:val="1"/>
    </w:lvlOverride>
  </w:num>
  <w:num w:numId="9">
    <w:abstractNumId w:val="38"/>
  </w:num>
  <w:num w:numId="10">
    <w:abstractNumId w:val="19"/>
  </w:num>
  <w:num w:numId="11">
    <w:abstractNumId w:val="23"/>
  </w:num>
  <w:num w:numId="12">
    <w:abstractNumId w:val="26"/>
  </w:num>
  <w:num w:numId="13">
    <w:abstractNumId w:val="29"/>
  </w:num>
  <w:num w:numId="14">
    <w:abstractNumId w:val="21"/>
  </w:num>
  <w:num w:numId="15">
    <w:abstractNumId w:val="7"/>
  </w:num>
  <w:num w:numId="16">
    <w:abstractNumId w:val="14"/>
  </w:num>
  <w:num w:numId="17">
    <w:abstractNumId w:val="1"/>
  </w:num>
  <w:num w:numId="18">
    <w:abstractNumId w:val="20"/>
  </w:num>
  <w:num w:numId="19">
    <w:abstractNumId w:val="31"/>
  </w:num>
  <w:num w:numId="20">
    <w:abstractNumId w:val="10"/>
  </w:num>
  <w:num w:numId="21">
    <w:abstractNumId w:val="34"/>
  </w:num>
  <w:num w:numId="22">
    <w:abstractNumId w:val="24"/>
  </w:num>
  <w:num w:numId="23">
    <w:abstractNumId w:val="22"/>
  </w:num>
  <w:num w:numId="24">
    <w:abstractNumId w:val="8"/>
  </w:num>
  <w:num w:numId="25">
    <w:abstractNumId w:val="11"/>
  </w:num>
  <w:num w:numId="26">
    <w:abstractNumId w:val="6"/>
  </w:num>
  <w:num w:numId="27">
    <w:abstractNumId w:val="25"/>
  </w:num>
  <w:num w:numId="28">
    <w:abstractNumId w:val="27"/>
  </w:num>
  <w:num w:numId="29">
    <w:abstractNumId w:val="0"/>
  </w:num>
  <w:num w:numId="30">
    <w:abstractNumId w:val="37"/>
  </w:num>
  <w:num w:numId="31">
    <w:abstractNumId w:val="5"/>
  </w:num>
  <w:num w:numId="32">
    <w:abstractNumId w:val="13"/>
  </w:num>
  <w:num w:numId="33">
    <w:abstractNumId w:val="35"/>
  </w:num>
  <w:num w:numId="34">
    <w:abstractNumId w:val="2"/>
  </w:num>
  <w:num w:numId="35">
    <w:abstractNumId w:val="16"/>
  </w:num>
  <w:num w:numId="36">
    <w:abstractNumId w:val="15"/>
  </w:num>
  <w:num w:numId="37">
    <w:abstractNumId w:val="36"/>
  </w:num>
  <w:num w:numId="38">
    <w:abstractNumId w:val="1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161B"/>
    <w:rsid w:val="000029A1"/>
    <w:rsid w:val="00002E9E"/>
    <w:rsid w:val="0001287A"/>
    <w:rsid w:val="000151C0"/>
    <w:rsid w:val="00016C8D"/>
    <w:rsid w:val="00023332"/>
    <w:rsid w:val="000247C6"/>
    <w:rsid w:val="000247F8"/>
    <w:rsid w:val="000264C5"/>
    <w:rsid w:val="00026935"/>
    <w:rsid w:val="00026AEE"/>
    <w:rsid w:val="000318A6"/>
    <w:rsid w:val="000333C8"/>
    <w:rsid w:val="00034057"/>
    <w:rsid w:val="0003571F"/>
    <w:rsid w:val="00036203"/>
    <w:rsid w:val="00036C9A"/>
    <w:rsid w:val="000371AE"/>
    <w:rsid w:val="000376A7"/>
    <w:rsid w:val="00037A14"/>
    <w:rsid w:val="0004129F"/>
    <w:rsid w:val="0004179B"/>
    <w:rsid w:val="00041B5F"/>
    <w:rsid w:val="000429BC"/>
    <w:rsid w:val="0004425E"/>
    <w:rsid w:val="000450C7"/>
    <w:rsid w:val="00045217"/>
    <w:rsid w:val="0004561C"/>
    <w:rsid w:val="00052855"/>
    <w:rsid w:val="00053415"/>
    <w:rsid w:val="00053EE2"/>
    <w:rsid w:val="000543AC"/>
    <w:rsid w:val="00060213"/>
    <w:rsid w:val="00060BA4"/>
    <w:rsid w:val="000619D3"/>
    <w:rsid w:val="0006346C"/>
    <w:rsid w:val="000647D6"/>
    <w:rsid w:val="00067683"/>
    <w:rsid w:val="0007167E"/>
    <w:rsid w:val="0007243F"/>
    <w:rsid w:val="000729FF"/>
    <w:rsid w:val="00072AB9"/>
    <w:rsid w:val="000732FE"/>
    <w:rsid w:val="00073B55"/>
    <w:rsid w:val="000768D5"/>
    <w:rsid w:val="000804BF"/>
    <w:rsid w:val="00083B23"/>
    <w:rsid w:val="00084E55"/>
    <w:rsid w:val="00086097"/>
    <w:rsid w:val="00086557"/>
    <w:rsid w:val="000878EB"/>
    <w:rsid w:val="00090228"/>
    <w:rsid w:val="000953E0"/>
    <w:rsid w:val="000A0A08"/>
    <w:rsid w:val="000A2426"/>
    <w:rsid w:val="000A48F5"/>
    <w:rsid w:val="000A49DD"/>
    <w:rsid w:val="000A686C"/>
    <w:rsid w:val="000A77BA"/>
    <w:rsid w:val="000B021F"/>
    <w:rsid w:val="000B129D"/>
    <w:rsid w:val="000B3B03"/>
    <w:rsid w:val="000B3CFF"/>
    <w:rsid w:val="000B42F4"/>
    <w:rsid w:val="000B5F44"/>
    <w:rsid w:val="000C0157"/>
    <w:rsid w:val="000C017D"/>
    <w:rsid w:val="000C2626"/>
    <w:rsid w:val="000C33E0"/>
    <w:rsid w:val="000C400E"/>
    <w:rsid w:val="000C40DC"/>
    <w:rsid w:val="000C5CFF"/>
    <w:rsid w:val="000D297A"/>
    <w:rsid w:val="000D797E"/>
    <w:rsid w:val="000E10AE"/>
    <w:rsid w:val="000E2E13"/>
    <w:rsid w:val="000E4D20"/>
    <w:rsid w:val="000E650E"/>
    <w:rsid w:val="000F5EDE"/>
    <w:rsid w:val="000F6016"/>
    <w:rsid w:val="000F6F51"/>
    <w:rsid w:val="000F7665"/>
    <w:rsid w:val="000F7AA2"/>
    <w:rsid w:val="00101165"/>
    <w:rsid w:val="001019E2"/>
    <w:rsid w:val="00102796"/>
    <w:rsid w:val="001041C1"/>
    <w:rsid w:val="00104C23"/>
    <w:rsid w:val="001059C8"/>
    <w:rsid w:val="001114B3"/>
    <w:rsid w:val="00111DF9"/>
    <w:rsid w:val="00111E6D"/>
    <w:rsid w:val="0011269D"/>
    <w:rsid w:val="0011573D"/>
    <w:rsid w:val="0011687D"/>
    <w:rsid w:val="001216A2"/>
    <w:rsid w:val="00122EC0"/>
    <w:rsid w:val="00127DF3"/>
    <w:rsid w:val="00130333"/>
    <w:rsid w:val="00132963"/>
    <w:rsid w:val="00132A54"/>
    <w:rsid w:val="00133334"/>
    <w:rsid w:val="00133BA1"/>
    <w:rsid w:val="00134162"/>
    <w:rsid w:val="00134306"/>
    <w:rsid w:val="00134445"/>
    <w:rsid w:val="00135B03"/>
    <w:rsid w:val="00135B55"/>
    <w:rsid w:val="00136582"/>
    <w:rsid w:val="00136D1F"/>
    <w:rsid w:val="00137467"/>
    <w:rsid w:val="00137B45"/>
    <w:rsid w:val="001408B6"/>
    <w:rsid w:val="00142A36"/>
    <w:rsid w:val="00143A74"/>
    <w:rsid w:val="00144B55"/>
    <w:rsid w:val="00146A58"/>
    <w:rsid w:val="00150392"/>
    <w:rsid w:val="00151365"/>
    <w:rsid w:val="001531D0"/>
    <w:rsid w:val="0015365A"/>
    <w:rsid w:val="00153CD8"/>
    <w:rsid w:val="00155BC9"/>
    <w:rsid w:val="00155DB1"/>
    <w:rsid w:val="001566BA"/>
    <w:rsid w:val="001602D0"/>
    <w:rsid w:val="0016225B"/>
    <w:rsid w:val="00163AF5"/>
    <w:rsid w:val="00163DBD"/>
    <w:rsid w:val="00164064"/>
    <w:rsid w:val="0017163D"/>
    <w:rsid w:val="00172868"/>
    <w:rsid w:val="00174570"/>
    <w:rsid w:val="0017643B"/>
    <w:rsid w:val="00184146"/>
    <w:rsid w:val="001907D5"/>
    <w:rsid w:val="00191BE8"/>
    <w:rsid w:val="0019328D"/>
    <w:rsid w:val="001952D4"/>
    <w:rsid w:val="0019599C"/>
    <w:rsid w:val="001967F2"/>
    <w:rsid w:val="001A0FE8"/>
    <w:rsid w:val="001A2187"/>
    <w:rsid w:val="001A261C"/>
    <w:rsid w:val="001A2848"/>
    <w:rsid w:val="001A31E5"/>
    <w:rsid w:val="001A4247"/>
    <w:rsid w:val="001A4985"/>
    <w:rsid w:val="001A5883"/>
    <w:rsid w:val="001A673A"/>
    <w:rsid w:val="001A7609"/>
    <w:rsid w:val="001B04CA"/>
    <w:rsid w:val="001B14CF"/>
    <w:rsid w:val="001B1B69"/>
    <w:rsid w:val="001B56A4"/>
    <w:rsid w:val="001B5D53"/>
    <w:rsid w:val="001B73C7"/>
    <w:rsid w:val="001B78A8"/>
    <w:rsid w:val="001C0C9D"/>
    <w:rsid w:val="001C435B"/>
    <w:rsid w:val="001C4712"/>
    <w:rsid w:val="001C5DF1"/>
    <w:rsid w:val="001D1DAB"/>
    <w:rsid w:val="001D2E0B"/>
    <w:rsid w:val="001D490B"/>
    <w:rsid w:val="001D53FE"/>
    <w:rsid w:val="001D57F6"/>
    <w:rsid w:val="001D7292"/>
    <w:rsid w:val="001D7DF7"/>
    <w:rsid w:val="001E1817"/>
    <w:rsid w:val="001E1E35"/>
    <w:rsid w:val="001E3BFD"/>
    <w:rsid w:val="001E48C8"/>
    <w:rsid w:val="001E5C4B"/>
    <w:rsid w:val="001E6063"/>
    <w:rsid w:val="001E6689"/>
    <w:rsid w:val="001F0733"/>
    <w:rsid w:val="001F0895"/>
    <w:rsid w:val="001F0DEC"/>
    <w:rsid w:val="001F1FB3"/>
    <w:rsid w:val="001F365E"/>
    <w:rsid w:val="001F3FFE"/>
    <w:rsid w:val="001F5463"/>
    <w:rsid w:val="001F79A0"/>
    <w:rsid w:val="00201534"/>
    <w:rsid w:val="00202246"/>
    <w:rsid w:val="00202D70"/>
    <w:rsid w:val="00203FCE"/>
    <w:rsid w:val="00205557"/>
    <w:rsid w:val="002104F5"/>
    <w:rsid w:val="002125B1"/>
    <w:rsid w:val="00213177"/>
    <w:rsid w:val="00214722"/>
    <w:rsid w:val="00214990"/>
    <w:rsid w:val="00215DEA"/>
    <w:rsid w:val="00216CCF"/>
    <w:rsid w:val="0021713C"/>
    <w:rsid w:val="002175BD"/>
    <w:rsid w:val="00221170"/>
    <w:rsid w:val="00223E52"/>
    <w:rsid w:val="0022409B"/>
    <w:rsid w:val="002252AB"/>
    <w:rsid w:val="0022549E"/>
    <w:rsid w:val="00231F09"/>
    <w:rsid w:val="0023386B"/>
    <w:rsid w:val="00234EFB"/>
    <w:rsid w:val="00234FF7"/>
    <w:rsid w:val="0023647A"/>
    <w:rsid w:val="0023696A"/>
    <w:rsid w:val="00236D65"/>
    <w:rsid w:val="00237F2A"/>
    <w:rsid w:val="00241C1C"/>
    <w:rsid w:val="00242577"/>
    <w:rsid w:val="002446FD"/>
    <w:rsid w:val="00253793"/>
    <w:rsid w:val="0025381F"/>
    <w:rsid w:val="00255428"/>
    <w:rsid w:val="0025741A"/>
    <w:rsid w:val="0025757A"/>
    <w:rsid w:val="002604E1"/>
    <w:rsid w:val="002616E4"/>
    <w:rsid w:val="00270155"/>
    <w:rsid w:val="00270316"/>
    <w:rsid w:val="00270E89"/>
    <w:rsid w:val="00272481"/>
    <w:rsid w:val="002746BF"/>
    <w:rsid w:val="00274A32"/>
    <w:rsid w:val="00275C6A"/>
    <w:rsid w:val="0027616B"/>
    <w:rsid w:val="0027794F"/>
    <w:rsid w:val="00280E72"/>
    <w:rsid w:val="00281745"/>
    <w:rsid w:val="002818D4"/>
    <w:rsid w:val="00282306"/>
    <w:rsid w:val="0028230A"/>
    <w:rsid w:val="0028253D"/>
    <w:rsid w:val="002843F9"/>
    <w:rsid w:val="0028781A"/>
    <w:rsid w:val="002936FA"/>
    <w:rsid w:val="0029450E"/>
    <w:rsid w:val="00295BC2"/>
    <w:rsid w:val="00296931"/>
    <w:rsid w:val="00296BBE"/>
    <w:rsid w:val="00296FAF"/>
    <w:rsid w:val="002979DE"/>
    <w:rsid w:val="002A1246"/>
    <w:rsid w:val="002A389D"/>
    <w:rsid w:val="002A3E02"/>
    <w:rsid w:val="002A4150"/>
    <w:rsid w:val="002A578C"/>
    <w:rsid w:val="002A5FD6"/>
    <w:rsid w:val="002A6792"/>
    <w:rsid w:val="002A7674"/>
    <w:rsid w:val="002B275E"/>
    <w:rsid w:val="002B614E"/>
    <w:rsid w:val="002C1715"/>
    <w:rsid w:val="002C4892"/>
    <w:rsid w:val="002C5F85"/>
    <w:rsid w:val="002C6A42"/>
    <w:rsid w:val="002C7CCD"/>
    <w:rsid w:val="002D1451"/>
    <w:rsid w:val="002D1907"/>
    <w:rsid w:val="002D38C8"/>
    <w:rsid w:val="002D3BFE"/>
    <w:rsid w:val="002D41F6"/>
    <w:rsid w:val="002D61ED"/>
    <w:rsid w:val="002D6873"/>
    <w:rsid w:val="002D6D8F"/>
    <w:rsid w:val="002D78DD"/>
    <w:rsid w:val="002E04E1"/>
    <w:rsid w:val="002E36CC"/>
    <w:rsid w:val="002E37BF"/>
    <w:rsid w:val="002E415C"/>
    <w:rsid w:val="002E53F4"/>
    <w:rsid w:val="002E57CA"/>
    <w:rsid w:val="002E6771"/>
    <w:rsid w:val="002E767D"/>
    <w:rsid w:val="002F0553"/>
    <w:rsid w:val="002F27E6"/>
    <w:rsid w:val="002F3DBF"/>
    <w:rsid w:val="002F3EE4"/>
    <w:rsid w:val="002F624E"/>
    <w:rsid w:val="002F650E"/>
    <w:rsid w:val="00300340"/>
    <w:rsid w:val="00300F79"/>
    <w:rsid w:val="00303736"/>
    <w:rsid w:val="00306396"/>
    <w:rsid w:val="00307A1A"/>
    <w:rsid w:val="0031243B"/>
    <w:rsid w:val="00314A42"/>
    <w:rsid w:val="00315E59"/>
    <w:rsid w:val="003162D3"/>
    <w:rsid w:val="00321225"/>
    <w:rsid w:val="003216DE"/>
    <w:rsid w:val="0032302D"/>
    <w:rsid w:val="00324EC4"/>
    <w:rsid w:val="003253D7"/>
    <w:rsid w:val="003260A6"/>
    <w:rsid w:val="0032761C"/>
    <w:rsid w:val="00331500"/>
    <w:rsid w:val="00332081"/>
    <w:rsid w:val="003329BF"/>
    <w:rsid w:val="00333DAA"/>
    <w:rsid w:val="003369DC"/>
    <w:rsid w:val="003370AE"/>
    <w:rsid w:val="00340C54"/>
    <w:rsid w:val="00340F07"/>
    <w:rsid w:val="00343855"/>
    <w:rsid w:val="003443D2"/>
    <w:rsid w:val="003444E1"/>
    <w:rsid w:val="003460E3"/>
    <w:rsid w:val="0034683A"/>
    <w:rsid w:val="003500D5"/>
    <w:rsid w:val="0035043C"/>
    <w:rsid w:val="00360C31"/>
    <w:rsid w:val="0036229B"/>
    <w:rsid w:val="0036658F"/>
    <w:rsid w:val="003676B7"/>
    <w:rsid w:val="003773BD"/>
    <w:rsid w:val="00377886"/>
    <w:rsid w:val="00380215"/>
    <w:rsid w:val="00380217"/>
    <w:rsid w:val="00381BE9"/>
    <w:rsid w:val="003934FD"/>
    <w:rsid w:val="00394205"/>
    <w:rsid w:val="00396B60"/>
    <w:rsid w:val="00397695"/>
    <w:rsid w:val="003A00D0"/>
    <w:rsid w:val="003A072E"/>
    <w:rsid w:val="003A2F11"/>
    <w:rsid w:val="003A2F65"/>
    <w:rsid w:val="003B0177"/>
    <w:rsid w:val="003B13AC"/>
    <w:rsid w:val="003B252D"/>
    <w:rsid w:val="003B3284"/>
    <w:rsid w:val="003B3AA0"/>
    <w:rsid w:val="003B42B3"/>
    <w:rsid w:val="003B626C"/>
    <w:rsid w:val="003B649F"/>
    <w:rsid w:val="003B7D23"/>
    <w:rsid w:val="003C2213"/>
    <w:rsid w:val="003C6CE6"/>
    <w:rsid w:val="003C71FE"/>
    <w:rsid w:val="003D0C6B"/>
    <w:rsid w:val="003D3A14"/>
    <w:rsid w:val="003D416D"/>
    <w:rsid w:val="003D5514"/>
    <w:rsid w:val="003D5AAE"/>
    <w:rsid w:val="003D7689"/>
    <w:rsid w:val="003E4457"/>
    <w:rsid w:val="003E588F"/>
    <w:rsid w:val="003E7D8F"/>
    <w:rsid w:val="003F1B95"/>
    <w:rsid w:val="003F2DB2"/>
    <w:rsid w:val="003F3A70"/>
    <w:rsid w:val="003F6575"/>
    <w:rsid w:val="003F791D"/>
    <w:rsid w:val="003F7B69"/>
    <w:rsid w:val="004004E7"/>
    <w:rsid w:val="004007BE"/>
    <w:rsid w:val="00400FE4"/>
    <w:rsid w:val="00402B90"/>
    <w:rsid w:val="004048D6"/>
    <w:rsid w:val="004055CB"/>
    <w:rsid w:val="00405800"/>
    <w:rsid w:val="0041029C"/>
    <w:rsid w:val="0041141F"/>
    <w:rsid w:val="00413016"/>
    <w:rsid w:val="00413801"/>
    <w:rsid w:val="00413872"/>
    <w:rsid w:val="004162E4"/>
    <w:rsid w:val="0042008F"/>
    <w:rsid w:val="00420100"/>
    <w:rsid w:val="00420CF2"/>
    <w:rsid w:val="00421529"/>
    <w:rsid w:val="0042295D"/>
    <w:rsid w:val="00423079"/>
    <w:rsid w:val="004244A3"/>
    <w:rsid w:val="004246CB"/>
    <w:rsid w:val="00431884"/>
    <w:rsid w:val="00434531"/>
    <w:rsid w:val="00435A22"/>
    <w:rsid w:val="00437844"/>
    <w:rsid w:val="004406FE"/>
    <w:rsid w:val="00441C15"/>
    <w:rsid w:val="00444387"/>
    <w:rsid w:val="004444A9"/>
    <w:rsid w:val="00445C8A"/>
    <w:rsid w:val="00446028"/>
    <w:rsid w:val="004547DF"/>
    <w:rsid w:val="00455A35"/>
    <w:rsid w:val="0045778E"/>
    <w:rsid w:val="00460C4A"/>
    <w:rsid w:val="00466E19"/>
    <w:rsid w:val="004702BC"/>
    <w:rsid w:val="00470307"/>
    <w:rsid w:val="00471858"/>
    <w:rsid w:val="00472087"/>
    <w:rsid w:val="00476778"/>
    <w:rsid w:val="00477712"/>
    <w:rsid w:val="00482A8D"/>
    <w:rsid w:val="00483184"/>
    <w:rsid w:val="00483EF7"/>
    <w:rsid w:val="0048474B"/>
    <w:rsid w:val="00485205"/>
    <w:rsid w:val="004852F4"/>
    <w:rsid w:val="004854B9"/>
    <w:rsid w:val="00486860"/>
    <w:rsid w:val="00491E6F"/>
    <w:rsid w:val="00491E82"/>
    <w:rsid w:val="00492FAF"/>
    <w:rsid w:val="00493B1E"/>
    <w:rsid w:val="00496485"/>
    <w:rsid w:val="004A0035"/>
    <w:rsid w:val="004A0FAB"/>
    <w:rsid w:val="004A2469"/>
    <w:rsid w:val="004A3702"/>
    <w:rsid w:val="004A611D"/>
    <w:rsid w:val="004B20E6"/>
    <w:rsid w:val="004B254A"/>
    <w:rsid w:val="004B4441"/>
    <w:rsid w:val="004B47D7"/>
    <w:rsid w:val="004B558C"/>
    <w:rsid w:val="004B7544"/>
    <w:rsid w:val="004B7765"/>
    <w:rsid w:val="004C0DFB"/>
    <w:rsid w:val="004C0E00"/>
    <w:rsid w:val="004C0F87"/>
    <w:rsid w:val="004C2254"/>
    <w:rsid w:val="004C2A9E"/>
    <w:rsid w:val="004C2B4C"/>
    <w:rsid w:val="004C338E"/>
    <w:rsid w:val="004C36B9"/>
    <w:rsid w:val="004C3D5F"/>
    <w:rsid w:val="004C4051"/>
    <w:rsid w:val="004C504E"/>
    <w:rsid w:val="004C5778"/>
    <w:rsid w:val="004C594C"/>
    <w:rsid w:val="004D01AA"/>
    <w:rsid w:val="004D351F"/>
    <w:rsid w:val="004D3ECE"/>
    <w:rsid w:val="004D5170"/>
    <w:rsid w:val="004D630B"/>
    <w:rsid w:val="004E1867"/>
    <w:rsid w:val="004E5C00"/>
    <w:rsid w:val="004F10D8"/>
    <w:rsid w:val="004F14A4"/>
    <w:rsid w:val="004F2FFC"/>
    <w:rsid w:val="004F4896"/>
    <w:rsid w:val="004F4C2A"/>
    <w:rsid w:val="004F6E2B"/>
    <w:rsid w:val="00503C2D"/>
    <w:rsid w:val="0050504E"/>
    <w:rsid w:val="005066C4"/>
    <w:rsid w:val="005070BE"/>
    <w:rsid w:val="0050746C"/>
    <w:rsid w:val="00511242"/>
    <w:rsid w:val="00513288"/>
    <w:rsid w:val="00513F98"/>
    <w:rsid w:val="00514453"/>
    <w:rsid w:val="00516045"/>
    <w:rsid w:val="005171F2"/>
    <w:rsid w:val="005206D1"/>
    <w:rsid w:val="0052268E"/>
    <w:rsid w:val="00523747"/>
    <w:rsid w:val="00524D2C"/>
    <w:rsid w:val="00531B7F"/>
    <w:rsid w:val="00540EE1"/>
    <w:rsid w:val="00541829"/>
    <w:rsid w:val="00541DAE"/>
    <w:rsid w:val="00542DEF"/>
    <w:rsid w:val="005430BE"/>
    <w:rsid w:val="005436F7"/>
    <w:rsid w:val="00545B80"/>
    <w:rsid w:val="00545BF2"/>
    <w:rsid w:val="0055495E"/>
    <w:rsid w:val="005559B3"/>
    <w:rsid w:val="00560A82"/>
    <w:rsid w:val="0056196E"/>
    <w:rsid w:val="00561D95"/>
    <w:rsid w:val="00561DBA"/>
    <w:rsid w:val="00564883"/>
    <w:rsid w:val="0056568E"/>
    <w:rsid w:val="005656F6"/>
    <w:rsid w:val="00570963"/>
    <w:rsid w:val="00571F6D"/>
    <w:rsid w:val="00576486"/>
    <w:rsid w:val="0057684E"/>
    <w:rsid w:val="005771BE"/>
    <w:rsid w:val="0058056E"/>
    <w:rsid w:val="00580F04"/>
    <w:rsid w:val="0058136B"/>
    <w:rsid w:val="00584C3E"/>
    <w:rsid w:val="005872E0"/>
    <w:rsid w:val="00590260"/>
    <w:rsid w:val="005911A1"/>
    <w:rsid w:val="0059280C"/>
    <w:rsid w:val="00594270"/>
    <w:rsid w:val="005970C1"/>
    <w:rsid w:val="005A0F1B"/>
    <w:rsid w:val="005A25EC"/>
    <w:rsid w:val="005A3786"/>
    <w:rsid w:val="005A612A"/>
    <w:rsid w:val="005A6393"/>
    <w:rsid w:val="005A6AE1"/>
    <w:rsid w:val="005A71C9"/>
    <w:rsid w:val="005B51AB"/>
    <w:rsid w:val="005B5947"/>
    <w:rsid w:val="005C0D07"/>
    <w:rsid w:val="005C1AB5"/>
    <w:rsid w:val="005C2F5C"/>
    <w:rsid w:val="005C30F7"/>
    <w:rsid w:val="005C33AB"/>
    <w:rsid w:val="005C4790"/>
    <w:rsid w:val="005C50FE"/>
    <w:rsid w:val="005C7F5E"/>
    <w:rsid w:val="005D0255"/>
    <w:rsid w:val="005D4663"/>
    <w:rsid w:val="005D4825"/>
    <w:rsid w:val="005D6790"/>
    <w:rsid w:val="005D7A0C"/>
    <w:rsid w:val="005D7BC4"/>
    <w:rsid w:val="005E095F"/>
    <w:rsid w:val="005E3E8B"/>
    <w:rsid w:val="005E70E6"/>
    <w:rsid w:val="005F0983"/>
    <w:rsid w:val="005F2B15"/>
    <w:rsid w:val="005F3966"/>
    <w:rsid w:val="005F4B8C"/>
    <w:rsid w:val="005F5B8C"/>
    <w:rsid w:val="005F64EF"/>
    <w:rsid w:val="005F65AA"/>
    <w:rsid w:val="00600477"/>
    <w:rsid w:val="00601B84"/>
    <w:rsid w:val="00602FAF"/>
    <w:rsid w:val="00607328"/>
    <w:rsid w:val="006144FF"/>
    <w:rsid w:val="00614805"/>
    <w:rsid w:val="0061615A"/>
    <w:rsid w:val="0061699A"/>
    <w:rsid w:val="00630D07"/>
    <w:rsid w:val="00633FE2"/>
    <w:rsid w:val="0063747A"/>
    <w:rsid w:val="006377CC"/>
    <w:rsid w:val="00637C2B"/>
    <w:rsid w:val="00641B61"/>
    <w:rsid w:val="0064294E"/>
    <w:rsid w:val="006448B0"/>
    <w:rsid w:val="006479B0"/>
    <w:rsid w:val="00647B70"/>
    <w:rsid w:val="00651384"/>
    <w:rsid w:val="006521B2"/>
    <w:rsid w:val="00652814"/>
    <w:rsid w:val="00653122"/>
    <w:rsid w:val="00656B6B"/>
    <w:rsid w:val="00656D34"/>
    <w:rsid w:val="0066333D"/>
    <w:rsid w:val="00664E85"/>
    <w:rsid w:val="00666766"/>
    <w:rsid w:val="00671704"/>
    <w:rsid w:val="00672AF5"/>
    <w:rsid w:val="00672E33"/>
    <w:rsid w:val="0067311C"/>
    <w:rsid w:val="00674993"/>
    <w:rsid w:val="00675023"/>
    <w:rsid w:val="00676E8B"/>
    <w:rsid w:val="0067773C"/>
    <w:rsid w:val="00681320"/>
    <w:rsid w:val="006828CC"/>
    <w:rsid w:val="0068484D"/>
    <w:rsid w:val="00687AFD"/>
    <w:rsid w:val="00690A16"/>
    <w:rsid w:val="00691C7A"/>
    <w:rsid w:val="00692E2F"/>
    <w:rsid w:val="0069310D"/>
    <w:rsid w:val="006941F1"/>
    <w:rsid w:val="006A0281"/>
    <w:rsid w:val="006A0ED5"/>
    <w:rsid w:val="006A56A9"/>
    <w:rsid w:val="006A6BBF"/>
    <w:rsid w:val="006B090A"/>
    <w:rsid w:val="006B48A4"/>
    <w:rsid w:val="006B5438"/>
    <w:rsid w:val="006B68A0"/>
    <w:rsid w:val="006B6DA4"/>
    <w:rsid w:val="006B7520"/>
    <w:rsid w:val="006C0C0B"/>
    <w:rsid w:val="006C1393"/>
    <w:rsid w:val="006C4D46"/>
    <w:rsid w:val="006C51FB"/>
    <w:rsid w:val="006C7A47"/>
    <w:rsid w:val="006D040E"/>
    <w:rsid w:val="006D0A73"/>
    <w:rsid w:val="006D3211"/>
    <w:rsid w:val="006D35B1"/>
    <w:rsid w:val="006D3883"/>
    <w:rsid w:val="006D41D6"/>
    <w:rsid w:val="006D6776"/>
    <w:rsid w:val="006E1917"/>
    <w:rsid w:val="006E1C35"/>
    <w:rsid w:val="006E3020"/>
    <w:rsid w:val="006E5387"/>
    <w:rsid w:val="006E670E"/>
    <w:rsid w:val="006E7751"/>
    <w:rsid w:val="006F2DC1"/>
    <w:rsid w:val="006F3251"/>
    <w:rsid w:val="006F4998"/>
    <w:rsid w:val="006F4EA8"/>
    <w:rsid w:val="006F7A9E"/>
    <w:rsid w:val="006F7C28"/>
    <w:rsid w:val="00705049"/>
    <w:rsid w:val="00706202"/>
    <w:rsid w:val="00706750"/>
    <w:rsid w:val="00710877"/>
    <w:rsid w:val="00713C1D"/>
    <w:rsid w:val="00713CD3"/>
    <w:rsid w:val="00715446"/>
    <w:rsid w:val="007167C9"/>
    <w:rsid w:val="00717415"/>
    <w:rsid w:val="007203C1"/>
    <w:rsid w:val="007236AF"/>
    <w:rsid w:val="007247EA"/>
    <w:rsid w:val="00725C77"/>
    <w:rsid w:val="0072768C"/>
    <w:rsid w:val="0073058E"/>
    <w:rsid w:val="007307A0"/>
    <w:rsid w:val="00731333"/>
    <w:rsid w:val="00731956"/>
    <w:rsid w:val="0073701E"/>
    <w:rsid w:val="00737C3D"/>
    <w:rsid w:val="0074010D"/>
    <w:rsid w:val="00741DC3"/>
    <w:rsid w:val="00743BF2"/>
    <w:rsid w:val="007443A0"/>
    <w:rsid w:val="00744BDE"/>
    <w:rsid w:val="00746C95"/>
    <w:rsid w:val="007503A0"/>
    <w:rsid w:val="00751659"/>
    <w:rsid w:val="00753697"/>
    <w:rsid w:val="00753EEA"/>
    <w:rsid w:val="0075634B"/>
    <w:rsid w:val="007610F2"/>
    <w:rsid w:val="00764654"/>
    <w:rsid w:val="00770D47"/>
    <w:rsid w:val="00777117"/>
    <w:rsid w:val="00784582"/>
    <w:rsid w:val="0078571D"/>
    <w:rsid w:val="00785C4F"/>
    <w:rsid w:val="007927CA"/>
    <w:rsid w:val="00792F72"/>
    <w:rsid w:val="007940F6"/>
    <w:rsid w:val="00794BFA"/>
    <w:rsid w:val="00797FF7"/>
    <w:rsid w:val="007A2123"/>
    <w:rsid w:val="007A3096"/>
    <w:rsid w:val="007A3131"/>
    <w:rsid w:val="007A3DE7"/>
    <w:rsid w:val="007A4800"/>
    <w:rsid w:val="007A5D09"/>
    <w:rsid w:val="007A7A4A"/>
    <w:rsid w:val="007A7D7A"/>
    <w:rsid w:val="007A7F0F"/>
    <w:rsid w:val="007B2D48"/>
    <w:rsid w:val="007B3E0E"/>
    <w:rsid w:val="007B5381"/>
    <w:rsid w:val="007C061A"/>
    <w:rsid w:val="007C1E7C"/>
    <w:rsid w:val="007C2AA1"/>
    <w:rsid w:val="007C2CB8"/>
    <w:rsid w:val="007C2DFF"/>
    <w:rsid w:val="007C3364"/>
    <w:rsid w:val="007C423A"/>
    <w:rsid w:val="007C4C84"/>
    <w:rsid w:val="007C706B"/>
    <w:rsid w:val="007D1C17"/>
    <w:rsid w:val="007D3490"/>
    <w:rsid w:val="007D4350"/>
    <w:rsid w:val="007D5179"/>
    <w:rsid w:val="007D51C1"/>
    <w:rsid w:val="007D68ED"/>
    <w:rsid w:val="007D6BBA"/>
    <w:rsid w:val="007D6C16"/>
    <w:rsid w:val="007D7450"/>
    <w:rsid w:val="007E0B08"/>
    <w:rsid w:val="007E1B74"/>
    <w:rsid w:val="007E21AB"/>
    <w:rsid w:val="007E43FD"/>
    <w:rsid w:val="007E4C1A"/>
    <w:rsid w:val="007E4FED"/>
    <w:rsid w:val="007E7C24"/>
    <w:rsid w:val="007F04C8"/>
    <w:rsid w:val="007F128A"/>
    <w:rsid w:val="007F31E6"/>
    <w:rsid w:val="007F449A"/>
    <w:rsid w:val="007F4FBC"/>
    <w:rsid w:val="007F5E97"/>
    <w:rsid w:val="0080527F"/>
    <w:rsid w:val="00807C8D"/>
    <w:rsid w:val="00811F38"/>
    <w:rsid w:val="008153AC"/>
    <w:rsid w:val="00821A0A"/>
    <w:rsid w:val="00825DD9"/>
    <w:rsid w:val="00825DE7"/>
    <w:rsid w:val="00830962"/>
    <w:rsid w:val="0083123C"/>
    <w:rsid w:val="008314C9"/>
    <w:rsid w:val="0083158D"/>
    <w:rsid w:val="00834343"/>
    <w:rsid w:val="00834BF8"/>
    <w:rsid w:val="00841203"/>
    <w:rsid w:val="008420F3"/>
    <w:rsid w:val="00843B80"/>
    <w:rsid w:val="00845B21"/>
    <w:rsid w:val="00853FCB"/>
    <w:rsid w:val="00854978"/>
    <w:rsid w:val="00855109"/>
    <w:rsid w:val="0085635A"/>
    <w:rsid w:val="0085799C"/>
    <w:rsid w:val="00860025"/>
    <w:rsid w:val="008613A8"/>
    <w:rsid w:val="00861C55"/>
    <w:rsid w:val="008663BD"/>
    <w:rsid w:val="00867B85"/>
    <w:rsid w:val="00870A60"/>
    <w:rsid w:val="00871A47"/>
    <w:rsid w:val="008724A1"/>
    <w:rsid w:val="008729F0"/>
    <w:rsid w:val="00873E1E"/>
    <w:rsid w:val="00875DCA"/>
    <w:rsid w:val="008764CF"/>
    <w:rsid w:val="0088254E"/>
    <w:rsid w:val="00886772"/>
    <w:rsid w:val="00887B36"/>
    <w:rsid w:val="00890830"/>
    <w:rsid w:val="0089108E"/>
    <w:rsid w:val="00891E5C"/>
    <w:rsid w:val="00891F46"/>
    <w:rsid w:val="008925C7"/>
    <w:rsid w:val="0089262A"/>
    <w:rsid w:val="008942E0"/>
    <w:rsid w:val="00895F8E"/>
    <w:rsid w:val="00897936"/>
    <w:rsid w:val="008A0C9F"/>
    <w:rsid w:val="008A6A17"/>
    <w:rsid w:val="008A7ABE"/>
    <w:rsid w:val="008B1FEE"/>
    <w:rsid w:val="008B47F6"/>
    <w:rsid w:val="008B4D46"/>
    <w:rsid w:val="008B623F"/>
    <w:rsid w:val="008B770E"/>
    <w:rsid w:val="008C0FF6"/>
    <w:rsid w:val="008C1A68"/>
    <w:rsid w:val="008C2AD2"/>
    <w:rsid w:val="008C315E"/>
    <w:rsid w:val="008C3198"/>
    <w:rsid w:val="008C3CF2"/>
    <w:rsid w:val="008C7B68"/>
    <w:rsid w:val="008D124D"/>
    <w:rsid w:val="008D186F"/>
    <w:rsid w:val="008D288B"/>
    <w:rsid w:val="008D5C35"/>
    <w:rsid w:val="008E26D2"/>
    <w:rsid w:val="008E2DCB"/>
    <w:rsid w:val="008E35D4"/>
    <w:rsid w:val="008E3DB4"/>
    <w:rsid w:val="008E4904"/>
    <w:rsid w:val="008E62AF"/>
    <w:rsid w:val="008E6546"/>
    <w:rsid w:val="008F0AC0"/>
    <w:rsid w:val="00905F86"/>
    <w:rsid w:val="00907A7F"/>
    <w:rsid w:val="0091324D"/>
    <w:rsid w:val="00913A1F"/>
    <w:rsid w:val="00913CC4"/>
    <w:rsid w:val="00914380"/>
    <w:rsid w:val="00914EF9"/>
    <w:rsid w:val="00920D56"/>
    <w:rsid w:val="00922CB8"/>
    <w:rsid w:val="0092309D"/>
    <w:rsid w:val="00923AFB"/>
    <w:rsid w:val="009249AB"/>
    <w:rsid w:val="00924A10"/>
    <w:rsid w:val="00924DF8"/>
    <w:rsid w:val="00926EFC"/>
    <w:rsid w:val="00930A62"/>
    <w:rsid w:val="00931CD3"/>
    <w:rsid w:val="00931CEB"/>
    <w:rsid w:val="009326D3"/>
    <w:rsid w:val="00935131"/>
    <w:rsid w:val="00935B5E"/>
    <w:rsid w:val="0093602B"/>
    <w:rsid w:val="009416A3"/>
    <w:rsid w:val="00942FBD"/>
    <w:rsid w:val="0094369A"/>
    <w:rsid w:val="00944655"/>
    <w:rsid w:val="00944BCF"/>
    <w:rsid w:val="00945DD2"/>
    <w:rsid w:val="00950087"/>
    <w:rsid w:val="009512CF"/>
    <w:rsid w:val="0095541C"/>
    <w:rsid w:val="00957C05"/>
    <w:rsid w:val="00961A1B"/>
    <w:rsid w:val="00962FD0"/>
    <w:rsid w:val="00964317"/>
    <w:rsid w:val="009650F7"/>
    <w:rsid w:val="00965DCF"/>
    <w:rsid w:val="00971AF4"/>
    <w:rsid w:val="00971DC7"/>
    <w:rsid w:val="009741B2"/>
    <w:rsid w:val="00974A9E"/>
    <w:rsid w:val="00976BD9"/>
    <w:rsid w:val="009770B7"/>
    <w:rsid w:val="00977A2A"/>
    <w:rsid w:val="0098036D"/>
    <w:rsid w:val="00980949"/>
    <w:rsid w:val="00980F8E"/>
    <w:rsid w:val="0098299C"/>
    <w:rsid w:val="009834CA"/>
    <w:rsid w:val="00983F75"/>
    <w:rsid w:val="0098450C"/>
    <w:rsid w:val="00984AB2"/>
    <w:rsid w:val="00984FEA"/>
    <w:rsid w:val="00990599"/>
    <w:rsid w:val="00990DF3"/>
    <w:rsid w:val="00995383"/>
    <w:rsid w:val="00996F4C"/>
    <w:rsid w:val="0099764E"/>
    <w:rsid w:val="009A1728"/>
    <w:rsid w:val="009A2209"/>
    <w:rsid w:val="009A3147"/>
    <w:rsid w:val="009A34B2"/>
    <w:rsid w:val="009A3948"/>
    <w:rsid w:val="009A3C7A"/>
    <w:rsid w:val="009A3E36"/>
    <w:rsid w:val="009A3E37"/>
    <w:rsid w:val="009A51EB"/>
    <w:rsid w:val="009A5D64"/>
    <w:rsid w:val="009A6EB3"/>
    <w:rsid w:val="009A7139"/>
    <w:rsid w:val="009A7DAD"/>
    <w:rsid w:val="009B2326"/>
    <w:rsid w:val="009B3A9A"/>
    <w:rsid w:val="009B581A"/>
    <w:rsid w:val="009B5A6C"/>
    <w:rsid w:val="009B5C08"/>
    <w:rsid w:val="009B6CEC"/>
    <w:rsid w:val="009B7950"/>
    <w:rsid w:val="009C0796"/>
    <w:rsid w:val="009C0D25"/>
    <w:rsid w:val="009C2A38"/>
    <w:rsid w:val="009D6B75"/>
    <w:rsid w:val="009D6D83"/>
    <w:rsid w:val="009E0FE1"/>
    <w:rsid w:val="009E13E1"/>
    <w:rsid w:val="009E173F"/>
    <w:rsid w:val="009E266A"/>
    <w:rsid w:val="009E2765"/>
    <w:rsid w:val="009E5937"/>
    <w:rsid w:val="009E6451"/>
    <w:rsid w:val="009E7C04"/>
    <w:rsid w:val="009F03DC"/>
    <w:rsid w:val="009F0CE7"/>
    <w:rsid w:val="009F11DC"/>
    <w:rsid w:val="009F13C4"/>
    <w:rsid w:val="009F30E2"/>
    <w:rsid w:val="009F4165"/>
    <w:rsid w:val="009F5635"/>
    <w:rsid w:val="009F6156"/>
    <w:rsid w:val="009F64C0"/>
    <w:rsid w:val="009F7ACA"/>
    <w:rsid w:val="00A03336"/>
    <w:rsid w:val="00A04812"/>
    <w:rsid w:val="00A05436"/>
    <w:rsid w:val="00A072E6"/>
    <w:rsid w:val="00A12A1F"/>
    <w:rsid w:val="00A16164"/>
    <w:rsid w:val="00A169C5"/>
    <w:rsid w:val="00A17D04"/>
    <w:rsid w:val="00A24F03"/>
    <w:rsid w:val="00A25386"/>
    <w:rsid w:val="00A26C14"/>
    <w:rsid w:val="00A2752F"/>
    <w:rsid w:val="00A27718"/>
    <w:rsid w:val="00A33D38"/>
    <w:rsid w:val="00A44668"/>
    <w:rsid w:val="00A46E46"/>
    <w:rsid w:val="00A51F86"/>
    <w:rsid w:val="00A52F49"/>
    <w:rsid w:val="00A5328B"/>
    <w:rsid w:val="00A548AB"/>
    <w:rsid w:val="00A558D1"/>
    <w:rsid w:val="00A612DC"/>
    <w:rsid w:val="00A625E8"/>
    <w:rsid w:val="00A6631C"/>
    <w:rsid w:val="00A66CA1"/>
    <w:rsid w:val="00A6730D"/>
    <w:rsid w:val="00A679D7"/>
    <w:rsid w:val="00A728D8"/>
    <w:rsid w:val="00A736BD"/>
    <w:rsid w:val="00A744AE"/>
    <w:rsid w:val="00A75F00"/>
    <w:rsid w:val="00A76C2E"/>
    <w:rsid w:val="00A81642"/>
    <w:rsid w:val="00A81BD9"/>
    <w:rsid w:val="00A81E94"/>
    <w:rsid w:val="00A83F7F"/>
    <w:rsid w:val="00A85799"/>
    <w:rsid w:val="00A85DF3"/>
    <w:rsid w:val="00A87FC7"/>
    <w:rsid w:val="00A9073C"/>
    <w:rsid w:val="00A9249B"/>
    <w:rsid w:val="00A93328"/>
    <w:rsid w:val="00A942FF"/>
    <w:rsid w:val="00A94F57"/>
    <w:rsid w:val="00A959E9"/>
    <w:rsid w:val="00A9608C"/>
    <w:rsid w:val="00A963EE"/>
    <w:rsid w:val="00A9653C"/>
    <w:rsid w:val="00A9793F"/>
    <w:rsid w:val="00A97E70"/>
    <w:rsid w:val="00AA0728"/>
    <w:rsid w:val="00AA1CEC"/>
    <w:rsid w:val="00AA36D2"/>
    <w:rsid w:val="00AA6096"/>
    <w:rsid w:val="00AB45D6"/>
    <w:rsid w:val="00AB545C"/>
    <w:rsid w:val="00AB63A8"/>
    <w:rsid w:val="00AB6404"/>
    <w:rsid w:val="00AB71E4"/>
    <w:rsid w:val="00AC213B"/>
    <w:rsid w:val="00AC3157"/>
    <w:rsid w:val="00AC57BE"/>
    <w:rsid w:val="00AC62A7"/>
    <w:rsid w:val="00AD01D5"/>
    <w:rsid w:val="00AD0212"/>
    <w:rsid w:val="00AD0774"/>
    <w:rsid w:val="00AD08A2"/>
    <w:rsid w:val="00AD0C2A"/>
    <w:rsid w:val="00AD1370"/>
    <w:rsid w:val="00AD17EB"/>
    <w:rsid w:val="00AD2F83"/>
    <w:rsid w:val="00AD3FAB"/>
    <w:rsid w:val="00AD7613"/>
    <w:rsid w:val="00AE188C"/>
    <w:rsid w:val="00AE1A53"/>
    <w:rsid w:val="00AE574F"/>
    <w:rsid w:val="00AE57DA"/>
    <w:rsid w:val="00AE7B67"/>
    <w:rsid w:val="00AF071E"/>
    <w:rsid w:val="00AF1AF2"/>
    <w:rsid w:val="00AF2F85"/>
    <w:rsid w:val="00AF5ED5"/>
    <w:rsid w:val="00AF7896"/>
    <w:rsid w:val="00AF7B1F"/>
    <w:rsid w:val="00B002DE"/>
    <w:rsid w:val="00B04472"/>
    <w:rsid w:val="00B052C4"/>
    <w:rsid w:val="00B06F9F"/>
    <w:rsid w:val="00B10715"/>
    <w:rsid w:val="00B1144B"/>
    <w:rsid w:val="00B116A0"/>
    <w:rsid w:val="00B14846"/>
    <w:rsid w:val="00B15473"/>
    <w:rsid w:val="00B15EC4"/>
    <w:rsid w:val="00B166B8"/>
    <w:rsid w:val="00B216BF"/>
    <w:rsid w:val="00B2248A"/>
    <w:rsid w:val="00B233BB"/>
    <w:rsid w:val="00B2360D"/>
    <w:rsid w:val="00B25938"/>
    <w:rsid w:val="00B261F3"/>
    <w:rsid w:val="00B27CA5"/>
    <w:rsid w:val="00B3218F"/>
    <w:rsid w:val="00B33916"/>
    <w:rsid w:val="00B33B00"/>
    <w:rsid w:val="00B3411B"/>
    <w:rsid w:val="00B34D02"/>
    <w:rsid w:val="00B35933"/>
    <w:rsid w:val="00B4294C"/>
    <w:rsid w:val="00B43B58"/>
    <w:rsid w:val="00B44106"/>
    <w:rsid w:val="00B44AB2"/>
    <w:rsid w:val="00B45030"/>
    <w:rsid w:val="00B46EB6"/>
    <w:rsid w:val="00B50A14"/>
    <w:rsid w:val="00B51ABD"/>
    <w:rsid w:val="00B524C3"/>
    <w:rsid w:val="00B605BE"/>
    <w:rsid w:val="00B61DE8"/>
    <w:rsid w:val="00B627B5"/>
    <w:rsid w:val="00B6405D"/>
    <w:rsid w:val="00B67612"/>
    <w:rsid w:val="00B71568"/>
    <w:rsid w:val="00B71D8F"/>
    <w:rsid w:val="00B71E52"/>
    <w:rsid w:val="00B72F51"/>
    <w:rsid w:val="00B73411"/>
    <w:rsid w:val="00B74F71"/>
    <w:rsid w:val="00B758FE"/>
    <w:rsid w:val="00B764FD"/>
    <w:rsid w:val="00B80BD6"/>
    <w:rsid w:val="00B86639"/>
    <w:rsid w:val="00B87297"/>
    <w:rsid w:val="00B91004"/>
    <w:rsid w:val="00B91CE1"/>
    <w:rsid w:val="00B926D8"/>
    <w:rsid w:val="00B93F24"/>
    <w:rsid w:val="00B95D2B"/>
    <w:rsid w:val="00B97A3D"/>
    <w:rsid w:val="00BA696F"/>
    <w:rsid w:val="00BB03A4"/>
    <w:rsid w:val="00BB0F84"/>
    <w:rsid w:val="00BB2B6A"/>
    <w:rsid w:val="00BB384A"/>
    <w:rsid w:val="00BB45B8"/>
    <w:rsid w:val="00BB4CCE"/>
    <w:rsid w:val="00BB7717"/>
    <w:rsid w:val="00BB7D0C"/>
    <w:rsid w:val="00BC0329"/>
    <w:rsid w:val="00BC042C"/>
    <w:rsid w:val="00BC099E"/>
    <w:rsid w:val="00BC1493"/>
    <w:rsid w:val="00BC5FAA"/>
    <w:rsid w:val="00BD1145"/>
    <w:rsid w:val="00BD1B97"/>
    <w:rsid w:val="00BD2B75"/>
    <w:rsid w:val="00BD3348"/>
    <w:rsid w:val="00BD4223"/>
    <w:rsid w:val="00BD481E"/>
    <w:rsid w:val="00BD4E44"/>
    <w:rsid w:val="00BD50C6"/>
    <w:rsid w:val="00BD7C0A"/>
    <w:rsid w:val="00BE167D"/>
    <w:rsid w:val="00BE3834"/>
    <w:rsid w:val="00BE4C24"/>
    <w:rsid w:val="00BE5495"/>
    <w:rsid w:val="00BE6121"/>
    <w:rsid w:val="00BF2069"/>
    <w:rsid w:val="00BF2C4D"/>
    <w:rsid w:val="00BF5B32"/>
    <w:rsid w:val="00C00453"/>
    <w:rsid w:val="00C00766"/>
    <w:rsid w:val="00C02016"/>
    <w:rsid w:val="00C02CFA"/>
    <w:rsid w:val="00C03534"/>
    <w:rsid w:val="00C03BEC"/>
    <w:rsid w:val="00C06916"/>
    <w:rsid w:val="00C07FBA"/>
    <w:rsid w:val="00C10A07"/>
    <w:rsid w:val="00C202C9"/>
    <w:rsid w:val="00C232CE"/>
    <w:rsid w:val="00C24762"/>
    <w:rsid w:val="00C24EFF"/>
    <w:rsid w:val="00C31755"/>
    <w:rsid w:val="00C32A0A"/>
    <w:rsid w:val="00C32EC8"/>
    <w:rsid w:val="00C3583F"/>
    <w:rsid w:val="00C36659"/>
    <w:rsid w:val="00C407B1"/>
    <w:rsid w:val="00C40B5A"/>
    <w:rsid w:val="00C4158A"/>
    <w:rsid w:val="00C430BF"/>
    <w:rsid w:val="00C452F6"/>
    <w:rsid w:val="00C45349"/>
    <w:rsid w:val="00C46EF4"/>
    <w:rsid w:val="00C47EA6"/>
    <w:rsid w:val="00C51234"/>
    <w:rsid w:val="00C518D2"/>
    <w:rsid w:val="00C54A95"/>
    <w:rsid w:val="00C55CF2"/>
    <w:rsid w:val="00C57896"/>
    <w:rsid w:val="00C57AE9"/>
    <w:rsid w:val="00C62E34"/>
    <w:rsid w:val="00C64991"/>
    <w:rsid w:val="00C70856"/>
    <w:rsid w:val="00C71BBF"/>
    <w:rsid w:val="00C7307C"/>
    <w:rsid w:val="00C73A90"/>
    <w:rsid w:val="00C740B2"/>
    <w:rsid w:val="00C7521D"/>
    <w:rsid w:val="00C7560F"/>
    <w:rsid w:val="00C756A5"/>
    <w:rsid w:val="00C757ED"/>
    <w:rsid w:val="00C769EF"/>
    <w:rsid w:val="00C80DBA"/>
    <w:rsid w:val="00C8198B"/>
    <w:rsid w:val="00C81C5F"/>
    <w:rsid w:val="00C81D5A"/>
    <w:rsid w:val="00C83239"/>
    <w:rsid w:val="00C848AB"/>
    <w:rsid w:val="00C84FF8"/>
    <w:rsid w:val="00C90EF0"/>
    <w:rsid w:val="00C9235B"/>
    <w:rsid w:val="00C94FA2"/>
    <w:rsid w:val="00C965A1"/>
    <w:rsid w:val="00C9677C"/>
    <w:rsid w:val="00C97426"/>
    <w:rsid w:val="00CA08D2"/>
    <w:rsid w:val="00CA18CC"/>
    <w:rsid w:val="00CA21D5"/>
    <w:rsid w:val="00CA6B0C"/>
    <w:rsid w:val="00CA74AA"/>
    <w:rsid w:val="00CB19BF"/>
    <w:rsid w:val="00CB50A9"/>
    <w:rsid w:val="00CB53D5"/>
    <w:rsid w:val="00CC2451"/>
    <w:rsid w:val="00CC3341"/>
    <w:rsid w:val="00CC4FC7"/>
    <w:rsid w:val="00CC535E"/>
    <w:rsid w:val="00CC7D22"/>
    <w:rsid w:val="00CE111E"/>
    <w:rsid w:val="00CE3780"/>
    <w:rsid w:val="00CE3E55"/>
    <w:rsid w:val="00CE4092"/>
    <w:rsid w:val="00CE42B5"/>
    <w:rsid w:val="00CE73D4"/>
    <w:rsid w:val="00CF0C5A"/>
    <w:rsid w:val="00CF3E09"/>
    <w:rsid w:val="00CF75B1"/>
    <w:rsid w:val="00D05AA0"/>
    <w:rsid w:val="00D05CB1"/>
    <w:rsid w:val="00D06252"/>
    <w:rsid w:val="00D06582"/>
    <w:rsid w:val="00D06646"/>
    <w:rsid w:val="00D10124"/>
    <w:rsid w:val="00D12A89"/>
    <w:rsid w:val="00D147A0"/>
    <w:rsid w:val="00D171EE"/>
    <w:rsid w:val="00D17C32"/>
    <w:rsid w:val="00D17F84"/>
    <w:rsid w:val="00D22165"/>
    <w:rsid w:val="00D301B8"/>
    <w:rsid w:val="00D31EB4"/>
    <w:rsid w:val="00D320B8"/>
    <w:rsid w:val="00D33F48"/>
    <w:rsid w:val="00D3516B"/>
    <w:rsid w:val="00D3518F"/>
    <w:rsid w:val="00D35A75"/>
    <w:rsid w:val="00D37582"/>
    <w:rsid w:val="00D40A68"/>
    <w:rsid w:val="00D429C8"/>
    <w:rsid w:val="00D46F3E"/>
    <w:rsid w:val="00D47A43"/>
    <w:rsid w:val="00D47C39"/>
    <w:rsid w:val="00D5360B"/>
    <w:rsid w:val="00D540EA"/>
    <w:rsid w:val="00D5433F"/>
    <w:rsid w:val="00D54606"/>
    <w:rsid w:val="00D54E0E"/>
    <w:rsid w:val="00D57ECF"/>
    <w:rsid w:val="00D6062F"/>
    <w:rsid w:val="00D6219D"/>
    <w:rsid w:val="00D64BAF"/>
    <w:rsid w:val="00D65D9A"/>
    <w:rsid w:val="00D66648"/>
    <w:rsid w:val="00D66730"/>
    <w:rsid w:val="00D66801"/>
    <w:rsid w:val="00D714E3"/>
    <w:rsid w:val="00D71741"/>
    <w:rsid w:val="00D71F69"/>
    <w:rsid w:val="00D72F6C"/>
    <w:rsid w:val="00D74CDA"/>
    <w:rsid w:val="00D77014"/>
    <w:rsid w:val="00D772A6"/>
    <w:rsid w:val="00D8040A"/>
    <w:rsid w:val="00D836C3"/>
    <w:rsid w:val="00D86160"/>
    <w:rsid w:val="00D8724E"/>
    <w:rsid w:val="00D909E4"/>
    <w:rsid w:val="00D94237"/>
    <w:rsid w:val="00D9495F"/>
    <w:rsid w:val="00DA662D"/>
    <w:rsid w:val="00DA71C2"/>
    <w:rsid w:val="00DB52AB"/>
    <w:rsid w:val="00DB5530"/>
    <w:rsid w:val="00DB55ED"/>
    <w:rsid w:val="00DB701A"/>
    <w:rsid w:val="00DC0688"/>
    <w:rsid w:val="00DC200E"/>
    <w:rsid w:val="00DC3950"/>
    <w:rsid w:val="00DC4817"/>
    <w:rsid w:val="00DC48CF"/>
    <w:rsid w:val="00DC5DB2"/>
    <w:rsid w:val="00DC5F90"/>
    <w:rsid w:val="00DC6D93"/>
    <w:rsid w:val="00DD161B"/>
    <w:rsid w:val="00DD1C34"/>
    <w:rsid w:val="00DD5D44"/>
    <w:rsid w:val="00DE1766"/>
    <w:rsid w:val="00DE22FD"/>
    <w:rsid w:val="00DE4582"/>
    <w:rsid w:val="00DE5DBD"/>
    <w:rsid w:val="00DE67DE"/>
    <w:rsid w:val="00DF4E2F"/>
    <w:rsid w:val="00DF5E8E"/>
    <w:rsid w:val="00E012A0"/>
    <w:rsid w:val="00E01479"/>
    <w:rsid w:val="00E034CE"/>
    <w:rsid w:val="00E07EA9"/>
    <w:rsid w:val="00E112DB"/>
    <w:rsid w:val="00E12D99"/>
    <w:rsid w:val="00E13D05"/>
    <w:rsid w:val="00E159C4"/>
    <w:rsid w:val="00E22CFF"/>
    <w:rsid w:val="00E2384A"/>
    <w:rsid w:val="00E247C3"/>
    <w:rsid w:val="00E251FE"/>
    <w:rsid w:val="00E26C52"/>
    <w:rsid w:val="00E31835"/>
    <w:rsid w:val="00E32929"/>
    <w:rsid w:val="00E3392C"/>
    <w:rsid w:val="00E3394B"/>
    <w:rsid w:val="00E3489B"/>
    <w:rsid w:val="00E37419"/>
    <w:rsid w:val="00E407C3"/>
    <w:rsid w:val="00E407D9"/>
    <w:rsid w:val="00E410FC"/>
    <w:rsid w:val="00E4246B"/>
    <w:rsid w:val="00E428C6"/>
    <w:rsid w:val="00E4336E"/>
    <w:rsid w:val="00E43806"/>
    <w:rsid w:val="00E4401B"/>
    <w:rsid w:val="00E44A85"/>
    <w:rsid w:val="00E4712F"/>
    <w:rsid w:val="00E47756"/>
    <w:rsid w:val="00E47B71"/>
    <w:rsid w:val="00E47CE2"/>
    <w:rsid w:val="00E50121"/>
    <w:rsid w:val="00E5523B"/>
    <w:rsid w:val="00E553F3"/>
    <w:rsid w:val="00E57DA5"/>
    <w:rsid w:val="00E6136C"/>
    <w:rsid w:val="00E61E4D"/>
    <w:rsid w:val="00E64BAF"/>
    <w:rsid w:val="00E654F0"/>
    <w:rsid w:val="00E65B19"/>
    <w:rsid w:val="00E65DA9"/>
    <w:rsid w:val="00E668E4"/>
    <w:rsid w:val="00E668F3"/>
    <w:rsid w:val="00E67E2D"/>
    <w:rsid w:val="00E717C5"/>
    <w:rsid w:val="00E726DC"/>
    <w:rsid w:val="00E73C87"/>
    <w:rsid w:val="00E747BD"/>
    <w:rsid w:val="00E773F8"/>
    <w:rsid w:val="00E85F19"/>
    <w:rsid w:val="00E870D2"/>
    <w:rsid w:val="00E87442"/>
    <w:rsid w:val="00E90307"/>
    <w:rsid w:val="00E906DD"/>
    <w:rsid w:val="00E90868"/>
    <w:rsid w:val="00E95FD4"/>
    <w:rsid w:val="00E962AF"/>
    <w:rsid w:val="00E96CCE"/>
    <w:rsid w:val="00EA0363"/>
    <w:rsid w:val="00EA4290"/>
    <w:rsid w:val="00EA4C79"/>
    <w:rsid w:val="00EA5374"/>
    <w:rsid w:val="00EA5F7E"/>
    <w:rsid w:val="00EA5FA8"/>
    <w:rsid w:val="00EB119E"/>
    <w:rsid w:val="00EB1B37"/>
    <w:rsid w:val="00EB1B44"/>
    <w:rsid w:val="00EB3D47"/>
    <w:rsid w:val="00EB5594"/>
    <w:rsid w:val="00EC0480"/>
    <w:rsid w:val="00EC3785"/>
    <w:rsid w:val="00EC3A78"/>
    <w:rsid w:val="00EC4020"/>
    <w:rsid w:val="00EC53E1"/>
    <w:rsid w:val="00EC5D17"/>
    <w:rsid w:val="00EC601E"/>
    <w:rsid w:val="00ED12CB"/>
    <w:rsid w:val="00ED5F4F"/>
    <w:rsid w:val="00EE0652"/>
    <w:rsid w:val="00EE1137"/>
    <w:rsid w:val="00EE4530"/>
    <w:rsid w:val="00EE4E34"/>
    <w:rsid w:val="00EE618E"/>
    <w:rsid w:val="00EF1392"/>
    <w:rsid w:val="00EF198F"/>
    <w:rsid w:val="00EF55FB"/>
    <w:rsid w:val="00F01DDB"/>
    <w:rsid w:val="00F04D36"/>
    <w:rsid w:val="00F06DB6"/>
    <w:rsid w:val="00F107BE"/>
    <w:rsid w:val="00F10F66"/>
    <w:rsid w:val="00F119FF"/>
    <w:rsid w:val="00F11CA6"/>
    <w:rsid w:val="00F126AB"/>
    <w:rsid w:val="00F1728F"/>
    <w:rsid w:val="00F20D2D"/>
    <w:rsid w:val="00F22693"/>
    <w:rsid w:val="00F267BD"/>
    <w:rsid w:val="00F26B88"/>
    <w:rsid w:val="00F2706D"/>
    <w:rsid w:val="00F36AD0"/>
    <w:rsid w:val="00F376F4"/>
    <w:rsid w:val="00F42E2A"/>
    <w:rsid w:val="00F43CC6"/>
    <w:rsid w:val="00F46AB3"/>
    <w:rsid w:val="00F47847"/>
    <w:rsid w:val="00F47D75"/>
    <w:rsid w:val="00F5189A"/>
    <w:rsid w:val="00F52CE9"/>
    <w:rsid w:val="00F53446"/>
    <w:rsid w:val="00F53B80"/>
    <w:rsid w:val="00F55D35"/>
    <w:rsid w:val="00F56242"/>
    <w:rsid w:val="00F56949"/>
    <w:rsid w:val="00F60B36"/>
    <w:rsid w:val="00F617D7"/>
    <w:rsid w:val="00F634DD"/>
    <w:rsid w:val="00F657D9"/>
    <w:rsid w:val="00F65B81"/>
    <w:rsid w:val="00F6696D"/>
    <w:rsid w:val="00F71177"/>
    <w:rsid w:val="00F7379B"/>
    <w:rsid w:val="00F75601"/>
    <w:rsid w:val="00F77F5F"/>
    <w:rsid w:val="00F805DF"/>
    <w:rsid w:val="00F841B0"/>
    <w:rsid w:val="00F84A62"/>
    <w:rsid w:val="00F84BB1"/>
    <w:rsid w:val="00F85661"/>
    <w:rsid w:val="00F87881"/>
    <w:rsid w:val="00F87D0C"/>
    <w:rsid w:val="00F87E4B"/>
    <w:rsid w:val="00F90762"/>
    <w:rsid w:val="00F92D75"/>
    <w:rsid w:val="00F92F18"/>
    <w:rsid w:val="00F936A9"/>
    <w:rsid w:val="00F94C71"/>
    <w:rsid w:val="00F950BB"/>
    <w:rsid w:val="00F95FF0"/>
    <w:rsid w:val="00F96799"/>
    <w:rsid w:val="00FB04BC"/>
    <w:rsid w:val="00FB4CD4"/>
    <w:rsid w:val="00FB6333"/>
    <w:rsid w:val="00FB7363"/>
    <w:rsid w:val="00FC0D97"/>
    <w:rsid w:val="00FC3C92"/>
    <w:rsid w:val="00FC4045"/>
    <w:rsid w:val="00FC4DDF"/>
    <w:rsid w:val="00FC54F6"/>
    <w:rsid w:val="00FD04A2"/>
    <w:rsid w:val="00FD087D"/>
    <w:rsid w:val="00FD0CBD"/>
    <w:rsid w:val="00FD1399"/>
    <w:rsid w:val="00FD204F"/>
    <w:rsid w:val="00FD5CA6"/>
    <w:rsid w:val="00FE14B3"/>
    <w:rsid w:val="00FE3080"/>
    <w:rsid w:val="00FE347D"/>
    <w:rsid w:val="00FE3F65"/>
    <w:rsid w:val="00FE41B6"/>
    <w:rsid w:val="00FE4C76"/>
    <w:rsid w:val="00FE5A0B"/>
    <w:rsid w:val="00FE6D09"/>
    <w:rsid w:val="00FE749C"/>
    <w:rsid w:val="00FF2063"/>
    <w:rsid w:val="00FF21DC"/>
    <w:rsid w:val="00FF3582"/>
    <w:rsid w:val="00FF3959"/>
    <w:rsid w:val="00FF46A4"/>
    <w:rsid w:val="00FF63E3"/>
    <w:rsid w:val="00FF6D3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B"/>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qFormat/>
    <w:rsid w:val="00DD161B"/>
    <w:rPr>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DD161B"/>
    <w:rPr>
      <w:rFonts w:ascii="Verdana" w:eastAsia="Calibri" w:hAnsi="Verdana" w:cs="Times"/>
      <w:sz w:val="16"/>
      <w:szCs w:val="20"/>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qFormat/>
    <w:rsid w:val="00DD161B"/>
    <w:rPr>
      <w:vertAlign w:val="superscript"/>
    </w:rPr>
  </w:style>
  <w:style w:type="paragraph" w:customStyle="1" w:styleId="Default">
    <w:name w:val="Default"/>
    <w:rsid w:val="00DD161B"/>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style>
  <w:style w:type="character" w:customStyle="1" w:styleId="HeaderChar">
    <w:name w:val="Header Char"/>
    <w:basedOn w:val="DefaultParagraphFont"/>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8"/>
      </w:numPr>
      <w:spacing w:before="120"/>
      <w:ind w:right="14"/>
    </w:pPr>
    <w:rPr>
      <w:rFonts w:eastAsia="Times New Roman" w:cs="ArialMT"/>
      <w:szCs w:val="20"/>
      <w:lang w:eastAsia="en-US" w:bidi="en-US"/>
    </w:rPr>
  </w:style>
  <w:style w:type="character" w:customStyle="1" w:styleId="NumChar">
    <w:name w:val="Num Char"/>
    <w:basedOn w:val="DefaultParagraphFont"/>
    <w:link w:val="Num"/>
    <w:rsid w:val="00DD161B"/>
    <w:rPr>
      <w:rFonts w:ascii="Verdana" w:eastAsia="Times New Roman" w:hAnsi="Verdana" w:cs="ArialMT"/>
      <w:sz w:val="20"/>
      <w:szCs w:val="20"/>
      <w:lang w:val="es-ES_tradnl" w:bidi="en-US"/>
    </w:rPr>
  </w:style>
  <w:style w:type="paragraph" w:styleId="ListParagraph">
    <w:name w:val="List Paragraph"/>
    <w:basedOn w:val="Normal"/>
    <w:uiPriority w:val="99"/>
    <w:qFormat/>
    <w:rsid w:val="00172868"/>
    <w:pPr>
      <w:ind w:left="720"/>
      <w:contextualSpacing/>
    </w:pPr>
  </w:style>
  <w:style w:type="paragraph" w:styleId="PlainText">
    <w:name w:val="Plain Text"/>
    <w:basedOn w:val="Normal"/>
    <w:link w:val="PlainTextChar"/>
    <w:uiPriority w:val="99"/>
    <w:semiHidden/>
    <w:unhideWhenUsed/>
    <w:rsid w:val="00AA36D2"/>
    <w:pPr>
      <w:spacing w:after="0"/>
      <w:jc w:val="left"/>
    </w:pPr>
    <w:rPr>
      <w:rFonts w:ascii="Consolas" w:eastAsiaTheme="minorHAnsi" w:hAnsi="Consolas" w:cstheme="minorBidi"/>
      <w:sz w:val="21"/>
      <w:szCs w:val="21"/>
      <w:lang w:val="es-CR" w:eastAsia="en-US"/>
    </w:rPr>
  </w:style>
  <w:style w:type="character" w:customStyle="1" w:styleId="PlainTextChar">
    <w:name w:val="Plain Text Char"/>
    <w:basedOn w:val="DefaultParagraphFont"/>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en-US"/>
    </w:rPr>
  </w:style>
  <w:style w:type="character" w:customStyle="1" w:styleId="BodyText2Char">
    <w:name w:val="Body Text 2 Char"/>
    <w:basedOn w:val="DefaultParagraphFont"/>
    <w:link w:val="BodyText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semiHidden/>
    <w:unhideWhenUsed/>
    <w:rsid w:val="00A97E70"/>
    <w:pPr>
      <w:tabs>
        <w:tab w:val="center" w:pos="4680"/>
        <w:tab w:val="right" w:pos="9360"/>
      </w:tabs>
      <w:spacing w:after="0"/>
    </w:pPr>
  </w:style>
  <w:style w:type="character" w:customStyle="1" w:styleId="FooterChar">
    <w:name w:val="Footer Char"/>
    <w:basedOn w:val="DefaultParagraphFont"/>
    <w:link w:val="Footer"/>
    <w:uiPriority w:val="99"/>
    <w:semiHidden/>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70"/>
    <w:rPr>
      <w:rFonts w:ascii="Tahoma" w:eastAsia="Calibri" w:hAnsi="Tahoma" w:cs="Tahoma"/>
      <w:sz w:val="16"/>
      <w:szCs w:val="16"/>
      <w:lang w:val="es-ES_tradnl" w:eastAsia="es-ES"/>
    </w:rPr>
  </w:style>
  <w:style w:type="character" w:styleId="SubtleEmphasis">
    <w:name w:val="Subtle Emphasis"/>
    <w:basedOn w:val="DefaultParagraphFont"/>
    <w:uiPriority w:val="19"/>
    <w:qFormat/>
    <w:rsid w:val="00F04D36"/>
    <w:rPr>
      <w:rFonts w:ascii="Verdana" w:hAnsi="Verdana"/>
      <w:i/>
      <w:iCs/>
      <w:color w:val="808080"/>
      <w:sz w:val="20"/>
      <w:u w:val="single"/>
    </w:rPr>
  </w:style>
  <w:style w:type="paragraph" w:styleId="BodyTextIndent">
    <w:name w:val="Body Text Indent"/>
    <w:basedOn w:val="Normal"/>
    <w:link w:val="BodyTextIndentChar"/>
    <w:uiPriority w:val="99"/>
    <w:unhideWhenUsed/>
    <w:rsid w:val="00332081"/>
    <w:pPr>
      <w:ind w:left="283"/>
    </w:pPr>
  </w:style>
  <w:style w:type="character" w:customStyle="1" w:styleId="BodyTextIndentChar">
    <w:name w:val="Body Text Indent Char"/>
    <w:basedOn w:val="DefaultParagraphFont"/>
    <w:link w:val="BodyTextIndent"/>
    <w:uiPriority w:val="99"/>
    <w:rsid w:val="00332081"/>
    <w:rPr>
      <w:rFonts w:ascii="Verdana" w:eastAsia="Calibri" w:hAnsi="Verdana" w:cs="Times"/>
      <w:sz w:val="20"/>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B"/>
    <w:pPr>
      <w:spacing w:after="120" w:line="240" w:lineRule="auto"/>
      <w:jc w:val="both"/>
    </w:pPr>
    <w:rPr>
      <w:rFonts w:ascii="Verdana" w:eastAsia="Calibri" w:hAnsi="Verdana" w:cs="Times"/>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TextonotapieCar1"/>
    <w:autoRedefine/>
    <w:qFormat/>
    <w:rsid w:val="00DD161B"/>
    <w:rPr>
      <w:sz w:val="16"/>
      <w:szCs w:val="20"/>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rsid w:val="00DD161B"/>
    <w:rPr>
      <w:rFonts w:ascii="Verdana" w:eastAsia="Calibri" w:hAnsi="Verdana" w:cs="Times"/>
      <w:sz w:val="16"/>
      <w:szCs w:val="20"/>
      <w:lang w:val="es-ES_tradnl"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iPriority w:val="99"/>
    <w:qFormat/>
    <w:rsid w:val="00DD161B"/>
    <w:rPr>
      <w:vertAlign w:val="superscript"/>
    </w:rPr>
  </w:style>
  <w:style w:type="paragraph" w:customStyle="1" w:styleId="Default">
    <w:name w:val="Default"/>
    <w:rsid w:val="00DD161B"/>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Encabezado">
    <w:name w:val="header"/>
    <w:basedOn w:val="Normal"/>
    <w:link w:val="EncabezadoCar"/>
    <w:uiPriority w:val="99"/>
    <w:rsid w:val="00DD161B"/>
    <w:pPr>
      <w:tabs>
        <w:tab w:val="center" w:pos="4680"/>
        <w:tab w:val="right" w:pos="9360"/>
      </w:tabs>
    </w:pPr>
  </w:style>
  <w:style w:type="character" w:customStyle="1" w:styleId="EncabezadoCar">
    <w:name w:val="Encabezado Car"/>
    <w:basedOn w:val="Fuentedeprrafopredeter"/>
    <w:link w:val="Encabezado"/>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8"/>
      </w:numPr>
      <w:spacing w:before="120"/>
      <w:ind w:right="14"/>
    </w:pPr>
    <w:rPr>
      <w:rFonts w:eastAsia="Times New Roman" w:cs="ArialMT"/>
      <w:szCs w:val="20"/>
      <w:lang w:eastAsia="en-US" w:bidi="en-US"/>
    </w:rPr>
  </w:style>
  <w:style w:type="character" w:customStyle="1" w:styleId="NumChar">
    <w:name w:val="Num Char"/>
    <w:basedOn w:val="Fuentedeprrafopredeter"/>
    <w:link w:val="Num"/>
    <w:rsid w:val="00DD161B"/>
    <w:rPr>
      <w:rFonts w:ascii="Verdana" w:eastAsia="Times New Roman" w:hAnsi="Verdana" w:cs="ArialMT"/>
      <w:sz w:val="20"/>
      <w:szCs w:val="20"/>
      <w:lang w:val="es-ES_tradnl" w:bidi="en-US"/>
    </w:rPr>
  </w:style>
  <w:style w:type="paragraph" w:styleId="Prrafodelista">
    <w:name w:val="List Paragraph"/>
    <w:basedOn w:val="Normal"/>
    <w:uiPriority w:val="99"/>
    <w:qFormat/>
    <w:rsid w:val="00172868"/>
    <w:pPr>
      <w:ind w:left="720"/>
      <w:contextualSpacing/>
    </w:pPr>
  </w:style>
  <w:style w:type="paragraph" w:styleId="Textosinformato">
    <w:name w:val="Plain Text"/>
    <w:basedOn w:val="Normal"/>
    <w:link w:val="TextosinformatoCar"/>
    <w:uiPriority w:val="99"/>
    <w:semiHidden/>
    <w:unhideWhenUsed/>
    <w:rsid w:val="00AA36D2"/>
    <w:pPr>
      <w:spacing w:after="0"/>
      <w:jc w:val="left"/>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semiHidden/>
    <w:rsid w:val="00AA36D2"/>
    <w:rPr>
      <w:rFonts w:ascii="Consolas" w:hAnsi="Consolas"/>
      <w:sz w:val="21"/>
      <w:szCs w:val="21"/>
      <w:lang w:val="es-CR"/>
    </w:rPr>
  </w:style>
  <w:style w:type="paragraph" w:styleId="Textoindependiente2">
    <w:name w:val="Body Text 2"/>
    <w:basedOn w:val="Normal"/>
    <w:link w:val="Textoindependiente2C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en-US"/>
    </w:rPr>
  </w:style>
  <w:style w:type="character" w:customStyle="1" w:styleId="Textoindependiente2Car">
    <w:name w:val="Texto independiente 2 Car"/>
    <w:basedOn w:val="Fuentedeprrafopredeter"/>
    <w:link w:val="Textoindependiente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Piedepgina">
    <w:name w:val="footer"/>
    <w:basedOn w:val="Normal"/>
    <w:link w:val="PiedepginaCar"/>
    <w:uiPriority w:val="99"/>
    <w:semiHidden/>
    <w:unhideWhenUsed/>
    <w:rsid w:val="00A97E70"/>
    <w:pPr>
      <w:tabs>
        <w:tab w:val="center" w:pos="4680"/>
        <w:tab w:val="right" w:pos="9360"/>
      </w:tabs>
      <w:spacing w:after="0"/>
    </w:pPr>
  </w:style>
  <w:style w:type="character" w:customStyle="1" w:styleId="PiedepginaCar">
    <w:name w:val="Pie de página Car"/>
    <w:basedOn w:val="Fuentedeprrafopredeter"/>
    <w:link w:val="Piedepgina"/>
    <w:uiPriority w:val="99"/>
    <w:semiHidden/>
    <w:rsid w:val="00A97E70"/>
    <w:rPr>
      <w:rFonts w:ascii="Verdana" w:eastAsia="Calibri" w:hAnsi="Verdana" w:cs="Times"/>
      <w:sz w:val="20"/>
      <w:szCs w:val="24"/>
      <w:lang w:val="es-ES_tradnl" w:eastAsia="es-ES"/>
    </w:rPr>
  </w:style>
  <w:style w:type="paragraph" w:styleId="Textodeglobo">
    <w:name w:val="Balloon Text"/>
    <w:basedOn w:val="Normal"/>
    <w:link w:val="TextodegloboCar"/>
    <w:uiPriority w:val="99"/>
    <w:semiHidden/>
    <w:unhideWhenUsed/>
    <w:rsid w:val="00A97E7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E70"/>
    <w:rPr>
      <w:rFonts w:ascii="Tahoma" w:eastAsia="Calibri" w:hAnsi="Tahoma" w:cs="Tahoma"/>
      <w:sz w:val="16"/>
      <w:szCs w:val="16"/>
      <w:lang w:val="es-ES_tradnl" w:eastAsia="es-ES"/>
    </w:rPr>
  </w:style>
  <w:style w:type="character" w:styleId="nfasissutil">
    <w:name w:val="Subtle Emphasis"/>
    <w:basedOn w:val="Fuentedeprrafopredeter"/>
    <w:uiPriority w:val="19"/>
    <w:qFormat/>
    <w:rsid w:val="00F04D36"/>
    <w:rPr>
      <w:rFonts w:ascii="Verdana" w:hAnsi="Verdana"/>
      <w:i/>
      <w:iCs/>
      <w:color w:val="808080"/>
      <w:sz w:val="20"/>
      <w:u w:val="single"/>
    </w:rPr>
  </w:style>
  <w:style w:type="paragraph" w:styleId="Sangradetextonormal">
    <w:name w:val="Body Text Indent"/>
    <w:basedOn w:val="Normal"/>
    <w:link w:val="SangradetextonormalCar"/>
    <w:uiPriority w:val="99"/>
    <w:unhideWhenUsed/>
    <w:rsid w:val="00332081"/>
    <w:pPr>
      <w:ind w:left="283"/>
    </w:pPr>
  </w:style>
  <w:style w:type="character" w:customStyle="1" w:styleId="SangradetextonormalCar">
    <w:name w:val="Sangría de texto normal Car"/>
    <w:basedOn w:val="Fuentedeprrafopredeter"/>
    <w:link w:val="Sangradetextonormal"/>
    <w:uiPriority w:val="99"/>
    <w:rsid w:val="00332081"/>
    <w:rPr>
      <w:rFonts w:ascii="Verdana" w:eastAsia="Calibri" w:hAnsi="Verdana" w:cs="Times"/>
      <w:sz w:val="20"/>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469055492">
      <w:bodyDiv w:val="1"/>
      <w:marLeft w:val="0"/>
      <w:marRight w:val="0"/>
      <w:marTop w:val="0"/>
      <w:marBottom w:val="0"/>
      <w:divBdr>
        <w:top w:val="none" w:sz="0" w:space="0" w:color="auto"/>
        <w:left w:val="none" w:sz="0" w:space="0" w:color="auto"/>
        <w:bottom w:val="none" w:sz="0" w:space="0" w:color="auto"/>
        <w:right w:val="none" w:sz="0" w:space="0" w:color="auto"/>
      </w:divBdr>
    </w:div>
    <w:div w:id="800734921">
      <w:bodyDiv w:val="1"/>
      <w:marLeft w:val="0"/>
      <w:marRight w:val="0"/>
      <w:marTop w:val="0"/>
      <w:marBottom w:val="0"/>
      <w:divBdr>
        <w:top w:val="none" w:sz="0" w:space="0" w:color="auto"/>
        <w:left w:val="none" w:sz="0" w:space="0" w:color="auto"/>
        <w:bottom w:val="none" w:sz="0" w:space="0" w:color="auto"/>
        <w:right w:val="none" w:sz="0" w:space="0" w:color="auto"/>
      </w:divBdr>
    </w:div>
    <w:div w:id="2061443505">
      <w:bodyDiv w:val="1"/>
      <w:marLeft w:val="0"/>
      <w:marRight w:val="0"/>
      <w:marTop w:val="0"/>
      <w:marBottom w:val="0"/>
      <w:divBdr>
        <w:top w:val="none" w:sz="0" w:space="0" w:color="auto"/>
        <w:left w:val="none" w:sz="0" w:space="0" w:color="auto"/>
        <w:bottom w:val="none" w:sz="0" w:space="0" w:color="auto"/>
        <w:right w:val="none" w:sz="0" w:space="0" w:color="auto"/>
      </w:divBdr>
    </w:div>
    <w:div w:id="20836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0256C-2536-4BC6-BB7D-A75B28FCD05D}">
  <ds:schemaRefs>
    <ds:schemaRef ds:uri="http://schemas.openxmlformats.org/officeDocument/2006/bibliography"/>
  </ds:schemaRefs>
</ds:datastoreItem>
</file>

<file path=customXml/itemProps2.xml><?xml version="1.0" encoding="utf-8"?>
<ds:datastoreItem xmlns:ds="http://schemas.openxmlformats.org/officeDocument/2006/customXml" ds:itemID="{343D63BE-8051-4EE1-888B-5769FE33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5733</Words>
  <Characters>31532</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Corte IDH</Company>
  <LinksUpToDate>false</LinksUpToDate>
  <CharactersWithSpaces>37191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3</cp:revision>
  <cp:lastPrinted>2015-03-10T21:57:00Z</cp:lastPrinted>
  <dcterms:created xsi:type="dcterms:W3CDTF">2015-03-12T19:29:00Z</dcterms:created>
  <dcterms:modified xsi:type="dcterms:W3CDTF">2015-03-12T20:05:00Z</dcterms:modified>
</cp:coreProperties>
</file>