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28426" w14:textId="77777777" w:rsidR="008F776E" w:rsidRPr="00C02E1D" w:rsidRDefault="008F776E" w:rsidP="0030244A">
      <w:pPr>
        <w:spacing w:after="0" w:line="240" w:lineRule="auto"/>
        <w:jc w:val="center"/>
        <w:rPr>
          <w:rFonts w:ascii="Verdana" w:hAnsi="Verdana"/>
          <w:b/>
          <w:sz w:val="20"/>
          <w:szCs w:val="20"/>
          <w:lang w:val="es-CR"/>
        </w:rPr>
      </w:pPr>
      <w:bookmarkStart w:id="0" w:name="_GoBack"/>
      <w:bookmarkEnd w:id="0"/>
    </w:p>
    <w:p w14:paraId="7134869C" w14:textId="77777777" w:rsidR="008F776E" w:rsidRPr="00C02E1D" w:rsidRDefault="008F776E" w:rsidP="0030244A">
      <w:pPr>
        <w:spacing w:after="0" w:line="240" w:lineRule="auto"/>
        <w:jc w:val="center"/>
        <w:rPr>
          <w:rFonts w:ascii="Verdana" w:hAnsi="Verdana"/>
          <w:b/>
          <w:sz w:val="20"/>
          <w:szCs w:val="20"/>
          <w:lang w:val="es-CR"/>
        </w:rPr>
      </w:pPr>
    </w:p>
    <w:p w14:paraId="071D0297" w14:textId="77777777" w:rsidR="008F776E" w:rsidRPr="00C02E1D" w:rsidRDefault="008F776E" w:rsidP="0030244A">
      <w:pPr>
        <w:spacing w:after="0" w:line="240" w:lineRule="auto"/>
        <w:jc w:val="center"/>
        <w:rPr>
          <w:rFonts w:ascii="Verdana" w:hAnsi="Verdana"/>
          <w:b/>
          <w:sz w:val="20"/>
          <w:szCs w:val="20"/>
          <w:lang w:val="es-CR"/>
        </w:rPr>
      </w:pPr>
    </w:p>
    <w:p w14:paraId="7EF90E54" w14:textId="77777777" w:rsidR="008F776E" w:rsidRPr="00C02E1D" w:rsidRDefault="008F776E" w:rsidP="0030244A">
      <w:pPr>
        <w:spacing w:after="0" w:line="240" w:lineRule="auto"/>
        <w:jc w:val="center"/>
        <w:rPr>
          <w:rFonts w:ascii="Verdana" w:hAnsi="Verdana"/>
          <w:b/>
          <w:sz w:val="20"/>
          <w:szCs w:val="20"/>
          <w:lang w:val="es-CR"/>
        </w:rPr>
      </w:pPr>
    </w:p>
    <w:p w14:paraId="33A7A48D" w14:textId="77777777" w:rsidR="0030244A" w:rsidRPr="00C02E1D" w:rsidRDefault="0030244A" w:rsidP="0030244A">
      <w:pPr>
        <w:spacing w:after="0" w:line="240" w:lineRule="auto"/>
        <w:jc w:val="center"/>
        <w:rPr>
          <w:rFonts w:ascii="Verdana" w:hAnsi="Verdana"/>
          <w:b/>
          <w:sz w:val="20"/>
          <w:szCs w:val="20"/>
          <w:lang w:val="es-CR"/>
        </w:rPr>
      </w:pPr>
    </w:p>
    <w:p w14:paraId="41608EC3" w14:textId="77777777" w:rsidR="0030244A" w:rsidRPr="00C02E1D" w:rsidRDefault="0030244A" w:rsidP="0030244A">
      <w:pPr>
        <w:spacing w:after="0" w:line="240" w:lineRule="auto"/>
        <w:jc w:val="center"/>
        <w:rPr>
          <w:rFonts w:ascii="Verdana" w:hAnsi="Verdana"/>
          <w:b/>
          <w:sz w:val="20"/>
          <w:szCs w:val="20"/>
          <w:lang w:val="es-CR"/>
        </w:rPr>
      </w:pPr>
    </w:p>
    <w:p w14:paraId="3051AB01" w14:textId="77777777" w:rsidR="0030244A" w:rsidRPr="00C02E1D" w:rsidRDefault="0030244A" w:rsidP="0030244A">
      <w:pPr>
        <w:spacing w:after="0" w:line="240" w:lineRule="auto"/>
        <w:jc w:val="center"/>
        <w:rPr>
          <w:rFonts w:ascii="Verdana" w:hAnsi="Verdana"/>
          <w:b/>
          <w:sz w:val="20"/>
          <w:szCs w:val="20"/>
          <w:lang w:val="es-CR"/>
        </w:rPr>
      </w:pPr>
    </w:p>
    <w:p w14:paraId="481A08E0" w14:textId="77777777" w:rsidR="0030244A" w:rsidRPr="00C02E1D" w:rsidRDefault="0030244A" w:rsidP="0030244A">
      <w:pPr>
        <w:spacing w:after="0" w:line="240" w:lineRule="auto"/>
        <w:jc w:val="center"/>
        <w:rPr>
          <w:rFonts w:ascii="Verdana" w:hAnsi="Verdana"/>
          <w:b/>
          <w:sz w:val="20"/>
          <w:szCs w:val="20"/>
          <w:lang w:val="es-CR"/>
        </w:rPr>
      </w:pPr>
    </w:p>
    <w:p w14:paraId="29D3461A" w14:textId="77777777" w:rsidR="0030244A" w:rsidRPr="00C02E1D" w:rsidRDefault="0030244A" w:rsidP="0030244A">
      <w:pPr>
        <w:spacing w:after="0" w:line="240" w:lineRule="auto"/>
        <w:jc w:val="center"/>
        <w:rPr>
          <w:rFonts w:ascii="Verdana" w:hAnsi="Verdana"/>
          <w:b/>
          <w:sz w:val="20"/>
          <w:szCs w:val="20"/>
          <w:lang w:val="es-CR"/>
        </w:rPr>
      </w:pPr>
    </w:p>
    <w:p w14:paraId="29352D49" w14:textId="77777777" w:rsidR="0030244A" w:rsidRPr="00C02E1D" w:rsidRDefault="0030244A" w:rsidP="0030244A">
      <w:pPr>
        <w:spacing w:after="0" w:line="240" w:lineRule="auto"/>
        <w:jc w:val="center"/>
        <w:rPr>
          <w:rFonts w:ascii="Verdana" w:hAnsi="Verdana"/>
          <w:b/>
          <w:sz w:val="20"/>
          <w:szCs w:val="20"/>
          <w:lang w:val="es-CR"/>
        </w:rPr>
      </w:pPr>
    </w:p>
    <w:p w14:paraId="78171B30" w14:textId="77777777" w:rsidR="00F4757D" w:rsidRPr="00C02E1D" w:rsidRDefault="00F4757D" w:rsidP="0030244A">
      <w:pPr>
        <w:spacing w:after="0" w:line="240" w:lineRule="auto"/>
        <w:jc w:val="center"/>
        <w:rPr>
          <w:rFonts w:ascii="Verdana" w:hAnsi="Verdana"/>
          <w:b/>
          <w:sz w:val="20"/>
          <w:szCs w:val="20"/>
          <w:lang w:val="es-CR"/>
        </w:rPr>
      </w:pPr>
      <w:r w:rsidRPr="00C02E1D">
        <w:rPr>
          <w:rFonts w:ascii="Verdana" w:hAnsi="Verdana"/>
          <w:b/>
          <w:sz w:val="20"/>
          <w:szCs w:val="20"/>
          <w:lang w:val="es-CR"/>
        </w:rPr>
        <w:t xml:space="preserve">RESOLUCIÓN DEL PRESIDENTE DE LA </w:t>
      </w:r>
      <w:r w:rsidRPr="00C02E1D">
        <w:rPr>
          <w:rFonts w:ascii="Verdana" w:hAnsi="Verdana"/>
          <w:b/>
          <w:sz w:val="20"/>
          <w:szCs w:val="20"/>
          <w:lang w:val="es-CR"/>
        </w:rPr>
        <w:br/>
        <w:t xml:space="preserve">CORTE INTERAMERICANA DE DERECHOS HUMANOS </w:t>
      </w:r>
      <w:r w:rsidRPr="00C02E1D">
        <w:rPr>
          <w:rFonts w:ascii="Verdana" w:hAnsi="Verdana"/>
          <w:b/>
          <w:sz w:val="20"/>
          <w:szCs w:val="20"/>
          <w:lang w:val="es-CR"/>
        </w:rPr>
        <w:br/>
      </w:r>
    </w:p>
    <w:p w14:paraId="297B0031" w14:textId="77777777" w:rsidR="00F4757D" w:rsidRPr="00C02E1D" w:rsidRDefault="00F4757D" w:rsidP="00034B76">
      <w:pPr>
        <w:spacing w:after="0" w:line="240" w:lineRule="auto"/>
        <w:jc w:val="center"/>
        <w:outlineLvl w:val="0"/>
        <w:rPr>
          <w:rFonts w:ascii="Verdana" w:hAnsi="Verdana"/>
          <w:b/>
          <w:sz w:val="20"/>
          <w:szCs w:val="20"/>
          <w:lang w:val="es-CR"/>
        </w:rPr>
      </w:pPr>
      <w:r w:rsidRPr="00034B76">
        <w:rPr>
          <w:rFonts w:ascii="Verdana" w:hAnsi="Verdana"/>
          <w:b/>
          <w:sz w:val="20"/>
          <w:szCs w:val="20"/>
          <w:lang w:val="es-CR"/>
        </w:rPr>
        <w:t xml:space="preserve">DE </w:t>
      </w:r>
      <w:r w:rsidR="00034B76" w:rsidRPr="00034B76">
        <w:rPr>
          <w:rFonts w:ascii="Verdana" w:hAnsi="Verdana"/>
          <w:b/>
          <w:sz w:val="20"/>
          <w:szCs w:val="20"/>
          <w:lang w:val="es-CR"/>
        </w:rPr>
        <w:t>25</w:t>
      </w:r>
      <w:r w:rsidR="00FE1653" w:rsidRPr="00034B76">
        <w:rPr>
          <w:rFonts w:ascii="Verdana" w:hAnsi="Verdana"/>
          <w:b/>
          <w:sz w:val="20"/>
          <w:szCs w:val="20"/>
          <w:lang w:val="es-CR"/>
        </w:rPr>
        <w:t xml:space="preserve"> DE </w:t>
      </w:r>
      <w:r w:rsidR="00034B76" w:rsidRPr="00034B76">
        <w:rPr>
          <w:rFonts w:ascii="Verdana" w:hAnsi="Verdana"/>
          <w:b/>
          <w:sz w:val="20"/>
          <w:szCs w:val="20"/>
          <w:lang w:val="es-CR"/>
        </w:rPr>
        <w:t>JUN</w:t>
      </w:r>
      <w:r w:rsidR="002B2861" w:rsidRPr="00034B76">
        <w:rPr>
          <w:rFonts w:ascii="Verdana" w:hAnsi="Verdana"/>
          <w:b/>
          <w:sz w:val="20"/>
          <w:szCs w:val="20"/>
          <w:lang w:val="es-CR"/>
        </w:rPr>
        <w:t xml:space="preserve">IO </w:t>
      </w:r>
      <w:r w:rsidR="00161261" w:rsidRPr="00034B76">
        <w:rPr>
          <w:rFonts w:ascii="Verdana" w:hAnsi="Verdana"/>
          <w:b/>
          <w:sz w:val="20"/>
          <w:szCs w:val="20"/>
          <w:lang w:val="es-CR"/>
        </w:rPr>
        <w:t>DE 2019</w:t>
      </w:r>
    </w:p>
    <w:p w14:paraId="6EC32619" w14:textId="77777777" w:rsidR="00F4757D" w:rsidRPr="00C02E1D" w:rsidRDefault="00F4757D" w:rsidP="0030244A">
      <w:pPr>
        <w:spacing w:after="0" w:line="240" w:lineRule="auto"/>
        <w:jc w:val="center"/>
        <w:rPr>
          <w:rFonts w:ascii="Verdana" w:hAnsi="Verdana"/>
          <w:b/>
          <w:sz w:val="20"/>
          <w:szCs w:val="20"/>
          <w:lang w:val="es-CR"/>
        </w:rPr>
      </w:pPr>
    </w:p>
    <w:p w14:paraId="4F99862A" w14:textId="77777777" w:rsidR="00476B5F" w:rsidRPr="00C02E1D" w:rsidRDefault="00F4757D" w:rsidP="00034B76">
      <w:pPr>
        <w:spacing w:after="0" w:line="240" w:lineRule="auto"/>
        <w:jc w:val="center"/>
        <w:outlineLvl w:val="0"/>
        <w:rPr>
          <w:rFonts w:ascii="Verdana" w:hAnsi="Verdana"/>
          <w:b/>
          <w:sz w:val="20"/>
          <w:szCs w:val="20"/>
          <w:lang w:val="es-CR"/>
        </w:rPr>
      </w:pPr>
      <w:r w:rsidRPr="00C02E1D">
        <w:rPr>
          <w:rFonts w:ascii="Verdana" w:hAnsi="Verdana"/>
          <w:b/>
          <w:sz w:val="20"/>
          <w:szCs w:val="20"/>
          <w:lang w:val="es-CR"/>
        </w:rPr>
        <w:t xml:space="preserve">CASO </w:t>
      </w:r>
      <w:r w:rsidR="008F776E" w:rsidRPr="00C02E1D">
        <w:rPr>
          <w:rFonts w:ascii="Verdana" w:hAnsi="Verdana"/>
          <w:b/>
          <w:sz w:val="20"/>
          <w:szCs w:val="20"/>
          <w:lang w:val="es-CR"/>
        </w:rPr>
        <w:t>MONTESINOS MEJIA</w:t>
      </w:r>
      <w:r w:rsidR="00034B76">
        <w:rPr>
          <w:rFonts w:ascii="Verdana" w:hAnsi="Verdana"/>
          <w:b/>
          <w:sz w:val="20"/>
          <w:szCs w:val="20"/>
          <w:lang w:val="es-CR"/>
        </w:rPr>
        <w:t xml:space="preserve"> Vs. </w:t>
      </w:r>
      <w:r w:rsidR="008F776E" w:rsidRPr="00C02E1D">
        <w:rPr>
          <w:rFonts w:ascii="Verdana" w:hAnsi="Verdana"/>
          <w:b/>
          <w:sz w:val="20"/>
          <w:szCs w:val="20"/>
          <w:lang w:val="es-CR"/>
        </w:rPr>
        <w:t>ECUADOR</w:t>
      </w:r>
    </w:p>
    <w:p w14:paraId="4FBCE77A" w14:textId="77777777" w:rsidR="00F4757D" w:rsidRPr="00C02E1D" w:rsidRDefault="00F4757D" w:rsidP="0030244A">
      <w:pPr>
        <w:spacing w:after="0" w:line="240" w:lineRule="auto"/>
        <w:jc w:val="both"/>
        <w:rPr>
          <w:rFonts w:ascii="Verdana" w:hAnsi="Verdana"/>
          <w:b/>
          <w:sz w:val="20"/>
          <w:szCs w:val="20"/>
          <w:lang w:val="es-CR"/>
        </w:rPr>
      </w:pPr>
    </w:p>
    <w:p w14:paraId="1D091494" w14:textId="77777777" w:rsidR="00DC6807" w:rsidRPr="00C02E1D" w:rsidRDefault="00F4757D" w:rsidP="00034B76">
      <w:pPr>
        <w:spacing w:after="0" w:line="240" w:lineRule="auto"/>
        <w:jc w:val="both"/>
        <w:outlineLvl w:val="0"/>
        <w:rPr>
          <w:rFonts w:ascii="Verdana" w:hAnsi="Verdana"/>
          <w:b/>
          <w:sz w:val="20"/>
          <w:szCs w:val="20"/>
          <w:lang w:val="es-CR"/>
        </w:rPr>
      </w:pPr>
      <w:r w:rsidRPr="00C02E1D">
        <w:rPr>
          <w:rFonts w:ascii="Verdana" w:hAnsi="Verdana"/>
          <w:b/>
          <w:sz w:val="20"/>
          <w:szCs w:val="20"/>
          <w:lang w:val="es-CR"/>
        </w:rPr>
        <w:t>VISTO:</w:t>
      </w:r>
    </w:p>
    <w:p w14:paraId="006742C4" w14:textId="77777777" w:rsidR="00724089" w:rsidRPr="00C02E1D" w:rsidRDefault="00724089" w:rsidP="0030244A">
      <w:pPr>
        <w:spacing w:after="0" w:line="240" w:lineRule="auto"/>
        <w:jc w:val="both"/>
        <w:rPr>
          <w:rFonts w:ascii="Verdana" w:hAnsi="Verdana"/>
          <w:b/>
          <w:sz w:val="20"/>
          <w:szCs w:val="20"/>
          <w:lang w:val="es-CR"/>
        </w:rPr>
      </w:pPr>
    </w:p>
    <w:p w14:paraId="14791A3E" w14:textId="77777777" w:rsidR="006C4D19" w:rsidRPr="00C02E1D" w:rsidRDefault="00DC6807" w:rsidP="0030244A">
      <w:pPr>
        <w:pStyle w:val="Prrafodelista"/>
        <w:numPr>
          <w:ilvl w:val="0"/>
          <w:numId w:val="35"/>
        </w:numPr>
        <w:autoSpaceDE w:val="0"/>
        <w:autoSpaceDN w:val="0"/>
        <w:adjustRightInd w:val="0"/>
        <w:spacing w:after="0" w:line="240" w:lineRule="auto"/>
        <w:ind w:left="0" w:firstLine="0"/>
        <w:jc w:val="both"/>
        <w:rPr>
          <w:rFonts w:ascii="Verdana" w:hAnsi="Verdana" w:cs="Arial"/>
          <w:color w:val="121212"/>
          <w:sz w:val="20"/>
          <w:szCs w:val="20"/>
          <w:lang w:val="es-MX"/>
        </w:rPr>
      </w:pPr>
      <w:r w:rsidRPr="00C02E1D">
        <w:rPr>
          <w:rFonts w:ascii="Verdana" w:hAnsi="Verdana"/>
          <w:sz w:val="20"/>
          <w:szCs w:val="20"/>
          <w:lang w:val="es-MX"/>
        </w:rPr>
        <w:t>El escrito de sometimiento del cas</w:t>
      </w:r>
      <w:r w:rsidR="007C1871" w:rsidRPr="00C02E1D">
        <w:rPr>
          <w:rFonts w:ascii="Verdana" w:hAnsi="Verdana"/>
          <w:sz w:val="20"/>
          <w:szCs w:val="20"/>
          <w:lang w:val="es-MX"/>
        </w:rPr>
        <w:t xml:space="preserve">o y el Informe de </w:t>
      </w:r>
      <w:r w:rsidRPr="00C02E1D">
        <w:rPr>
          <w:rFonts w:ascii="Verdana" w:hAnsi="Verdana"/>
          <w:sz w:val="20"/>
          <w:szCs w:val="20"/>
          <w:lang w:val="es-MX"/>
        </w:rPr>
        <w:t xml:space="preserve">Fondo de la Comisión Interamericana de Derechos Humanos (en adelante “la Comisión Interamericana” o “la Comisión”); el escrito de solicitudes, argumentos y pruebas (en adelante el “escrito de </w:t>
      </w:r>
      <w:r w:rsidR="005D5FC7" w:rsidRPr="00C02E1D">
        <w:rPr>
          <w:rFonts w:ascii="Verdana" w:hAnsi="Verdana"/>
          <w:sz w:val="20"/>
          <w:szCs w:val="20"/>
          <w:lang w:val="es-MX"/>
        </w:rPr>
        <w:t xml:space="preserve">solicitudes y argumentos”) del </w:t>
      </w:r>
      <w:r w:rsidRPr="00C02E1D">
        <w:rPr>
          <w:rFonts w:ascii="Verdana" w:hAnsi="Verdana"/>
          <w:sz w:val="20"/>
          <w:szCs w:val="20"/>
          <w:lang w:val="es-MX"/>
        </w:rPr>
        <w:t>representante</w:t>
      </w:r>
      <w:r w:rsidR="00F815FD" w:rsidRPr="00C02E1D">
        <w:rPr>
          <w:rFonts w:ascii="Verdana" w:hAnsi="Verdana"/>
          <w:sz w:val="20"/>
          <w:szCs w:val="20"/>
          <w:lang w:val="es-MX"/>
        </w:rPr>
        <w:t xml:space="preserve"> de la presunta víctima</w:t>
      </w:r>
      <w:r w:rsidR="008C0BE1" w:rsidRPr="00C02E1D">
        <w:rPr>
          <w:rStyle w:val="Refdenotaalpie"/>
          <w:rFonts w:ascii="Verdana" w:hAnsi="Verdana"/>
          <w:sz w:val="20"/>
          <w:szCs w:val="20"/>
        </w:rPr>
        <w:footnoteReference w:id="1"/>
      </w:r>
      <w:r w:rsidRPr="00C02E1D">
        <w:rPr>
          <w:rFonts w:ascii="Verdana" w:hAnsi="Verdana"/>
          <w:sz w:val="20"/>
          <w:szCs w:val="20"/>
          <w:lang w:val="es-MX"/>
        </w:rPr>
        <w:t xml:space="preserve"> (en adelante “</w:t>
      </w:r>
      <w:r w:rsidR="00F815FD" w:rsidRPr="00C02E1D">
        <w:rPr>
          <w:rFonts w:ascii="Verdana" w:hAnsi="Verdana"/>
          <w:sz w:val="20"/>
          <w:szCs w:val="20"/>
          <w:lang w:val="es-MX"/>
        </w:rPr>
        <w:t>el representante</w:t>
      </w:r>
      <w:r w:rsidR="00662173" w:rsidRPr="00C02E1D">
        <w:rPr>
          <w:rFonts w:ascii="Verdana" w:hAnsi="Verdana"/>
          <w:sz w:val="20"/>
          <w:szCs w:val="20"/>
          <w:lang w:val="es-MX"/>
        </w:rPr>
        <w:t xml:space="preserve">”); </w:t>
      </w:r>
      <w:r w:rsidRPr="00C02E1D">
        <w:rPr>
          <w:rFonts w:ascii="Verdana" w:hAnsi="Verdana"/>
          <w:sz w:val="20"/>
          <w:szCs w:val="20"/>
          <w:lang w:val="es-MX"/>
        </w:rPr>
        <w:t>el escrito de</w:t>
      </w:r>
      <w:r w:rsidR="00F815FD" w:rsidRPr="00C02E1D">
        <w:rPr>
          <w:rFonts w:ascii="Verdana" w:hAnsi="Verdana"/>
          <w:sz w:val="20"/>
          <w:szCs w:val="20"/>
          <w:lang w:val="es-MX"/>
        </w:rPr>
        <w:t xml:space="preserve"> </w:t>
      </w:r>
      <w:r w:rsidRPr="00C02E1D">
        <w:rPr>
          <w:rFonts w:ascii="Verdana" w:hAnsi="Verdana"/>
          <w:sz w:val="20"/>
          <w:szCs w:val="20"/>
          <w:lang w:val="es-MX"/>
        </w:rPr>
        <w:t>contestación al sometimiento del caso y al escrito de solicitudes y argumentos (en adelant</w:t>
      </w:r>
      <w:r w:rsidR="00F815FD" w:rsidRPr="00C02E1D">
        <w:rPr>
          <w:rFonts w:ascii="Verdana" w:hAnsi="Verdana"/>
          <w:sz w:val="20"/>
          <w:szCs w:val="20"/>
          <w:lang w:val="es-MX"/>
        </w:rPr>
        <w:t xml:space="preserve">e </w:t>
      </w:r>
      <w:r w:rsidR="00C9655E" w:rsidRPr="00C02E1D">
        <w:rPr>
          <w:rFonts w:ascii="Verdana" w:hAnsi="Verdana"/>
          <w:sz w:val="20"/>
          <w:szCs w:val="20"/>
          <w:lang w:val="es-MX"/>
        </w:rPr>
        <w:t xml:space="preserve">“escrito de contestación”) </w:t>
      </w:r>
      <w:r w:rsidR="00C9655E" w:rsidRPr="00C02E1D">
        <w:rPr>
          <w:rFonts w:ascii="Verdana" w:hAnsi="Verdana" w:cs="Arial"/>
          <w:color w:val="121212"/>
          <w:sz w:val="20"/>
          <w:szCs w:val="20"/>
          <w:lang w:val="es-MX"/>
        </w:rPr>
        <w:t xml:space="preserve">de la República del Ecuador (en adelante </w:t>
      </w:r>
      <w:r w:rsidR="00C9655E" w:rsidRPr="00C02E1D">
        <w:rPr>
          <w:rFonts w:ascii="Verdana" w:hAnsi="Verdana" w:cs="Arial"/>
          <w:color w:val="222222"/>
          <w:sz w:val="20"/>
          <w:szCs w:val="20"/>
          <w:lang w:val="es-MX"/>
        </w:rPr>
        <w:t xml:space="preserve">"el </w:t>
      </w:r>
      <w:r w:rsidR="00C9655E" w:rsidRPr="00C02E1D">
        <w:rPr>
          <w:rFonts w:ascii="Verdana" w:hAnsi="Verdana" w:cs="Arial"/>
          <w:color w:val="121212"/>
          <w:sz w:val="20"/>
          <w:szCs w:val="20"/>
          <w:lang w:val="es-MX"/>
        </w:rPr>
        <w:t xml:space="preserve">Estado", </w:t>
      </w:r>
      <w:r w:rsidR="00C9655E" w:rsidRPr="00C02E1D">
        <w:rPr>
          <w:rFonts w:ascii="Verdana" w:hAnsi="Verdana" w:cs="Arial"/>
          <w:color w:val="222222"/>
          <w:sz w:val="20"/>
          <w:szCs w:val="20"/>
          <w:lang w:val="es-MX"/>
        </w:rPr>
        <w:t xml:space="preserve">"el </w:t>
      </w:r>
      <w:r w:rsidR="00C9655E" w:rsidRPr="00C02E1D">
        <w:rPr>
          <w:rFonts w:ascii="Verdana" w:hAnsi="Verdana" w:cs="Arial"/>
          <w:color w:val="121212"/>
          <w:sz w:val="20"/>
          <w:szCs w:val="20"/>
          <w:lang w:val="es-MX"/>
        </w:rPr>
        <w:t xml:space="preserve">Estado </w:t>
      </w:r>
      <w:r w:rsidR="00662173" w:rsidRPr="00C02E1D">
        <w:rPr>
          <w:rFonts w:ascii="Verdana" w:hAnsi="Verdana" w:cs="Arial"/>
          <w:color w:val="222222"/>
          <w:sz w:val="20"/>
          <w:szCs w:val="20"/>
          <w:lang w:val="es-MX"/>
        </w:rPr>
        <w:t>E</w:t>
      </w:r>
      <w:r w:rsidR="00C9655E" w:rsidRPr="00C02E1D">
        <w:rPr>
          <w:rFonts w:ascii="Verdana" w:hAnsi="Verdana" w:cs="Arial"/>
          <w:color w:val="222222"/>
          <w:sz w:val="20"/>
          <w:szCs w:val="20"/>
          <w:lang w:val="es-MX"/>
        </w:rPr>
        <w:t>cuatoriano" o "Ecuador")</w:t>
      </w:r>
      <w:r w:rsidR="002300F9">
        <w:rPr>
          <w:rFonts w:ascii="Verdana" w:hAnsi="Verdana" w:cs="Arial"/>
          <w:color w:val="222222"/>
          <w:sz w:val="20"/>
          <w:szCs w:val="20"/>
          <w:lang w:val="es-MX"/>
        </w:rPr>
        <w:t xml:space="preserve">. </w:t>
      </w:r>
    </w:p>
    <w:p w14:paraId="04F0897B" w14:textId="77777777" w:rsidR="000E2CC2" w:rsidRPr="00C02E1D" w:rsidRDefault="000E2CC2" w:rsidP="0030244A">
      <w:pPr>
        <w:pStyle w:val="Normal1"/>
        <w:widowControl/>
        <w:contextualSpacing/>
        <w:jc w:val="both"/>
        <w:rPr>
          <w:rFonts w:ascii="Verdana" w:eastAsia="Verdana" w:hAnsi="Verdana" w:cs="Verdana"/>
          <w:color w:val="000000"/>
          <w:sz w:val="20"/>
          <w:szCs w:val="20"/>
        </w:rPr>
      </w:pPr>
    </w:p>
    <w:p w14:paraId="1AD6E412" w14:textId="77777777" w:rsidR="00503387" w:rsidRPr="00C02E1D" w:rsidRDefault="00810349" w:rsidP="0030244A">
      <w:pPr>
        <w:pStyle w:val="Prrafodelista"/>
        <w:widowControl w:val="0"/>
        <w:numPr>
          <w:ilvl w:val="0"/>
          <w:numId w:val="35"/>
        </w:numPr>
        <w:tabs>
          <w:tab w:val="left" w:pos="0"/>
        </w:tabs>
        <w:autoSpaceDE w:val="0"/>
        <w:autoSpaceDN w:val="0"/>
        <w:adjustRightInd w:val="0"/>
        <w:spacing w:after="0" w:line="240" w:lineRule="auto"/>
        <w:ind w:left="0" w:right="22" w:firstLine="0"/>
        <w:contextualSpacing w:val="0"/>
        <w:jc w:val="both"/>
        <w:rPr>
          <w:rFonts w:ascii="Verdana" w:hAnsi="Verdana"/>
          <w:sz w:val="20"/>
          <w:szCs w:val="20"/>
          <w:lang w:val="es-MX"/>
        </w:rPr>
      </w:pPr>
      <w:r w:rsidRPr="00C02E1D">
        <w:rPr>
          <w:rFonts w:ascii="Verdana" w:hAnsi="Verdana"/>
          <w:sz w:val="20"/>
          <w:szCs w:val="20"/>
          <w:lang w:val="es-MX"/>
        </w:rPr>
        <w:t xml:space="preserve">Las listas definitivas de declarantes presentadas por el Estado, </w:t>
      </w:r>
      <w:r w:rsidR="00756286" w:rsidRPr="00C02E1D">
        <w:rPr>
          <w:rFonts w:ascii="Verdana" w:hAnsi="Verdana"/>
          <w:sz w:val="20"/>
          <w:szCs w:val="20"/>
          <w:lang w:val="es-MX"/>
        </w:rPr>
        <w:t>el</w:t>
      </w:r>
      <w:r w:rsidRPr="00C02E1D">
        <w:rPr>
          <w:rFonts w:ascii="Verdana" w:hAnsi="Verdana"/>
          <w:sz w:val="20"/>
          <w:szCs w:val="20"/>
          <w:lang w:val="es-MX"/>
        </w:rPr>
        <w:t xml:space="preserve"> representante y la Comisión</w:t>
      </w:r>
      <w:r w:rsidR="00FC5437" w:rsidRPr="00C02E1D">
        <w:rPr>
          <w:rFonts w:ascii="Verdana" w:hAnsi="Verdana"/>
          <w:sz w:val="20"/>
          <w:szCs w:val="20"/>
          <w:lang w:val="es-MX"/>
        </w:rPr>
        <w:t>,</w:t>
      </w:r>
      <w:r w:rsidR="00756286" w:rsidRPr="00C02E1D">
        <w:rPr>
          <w:rFonts w:ascii="Verdana" w:hAnsi="Verdana"/>
          <w:sz w:val="20"/>
          <w:szCs w:val="20"/>
          <w:lang w:val="es-MX"/>
        </w:rPr>
        <w:t xml:space="preserve"> </w:t>
      </w:r>
      <w:r w:rsidRPr="00C02E1D">
        <w:rPr>
          <w:rFonts w:ascii="Verdana" w:hAnsi="Verdana"/>
          <w:sz w:val="20"/>
          <w:szCs w:val="20"/>
          <w:lang w:val="es-MX"/>
        </w:rPr>
        <w:t xml:space="preserve">y las </w:t>
      </w:r>
      <w:r w:rsidR="00756286" w:rsidRPr="00C02E1D">
        <w:rPr>
          <w:rFonts w:ascii="Verdana" w:hAnsi="Verdana"/>
          <w:sz w:val="20"/>
          <w:szCs w:val="20"/>
          <w:lang w:val="es-MX"/>
        </w:rPr>
        <w:t xml:space="preserve">observaciones </w:t>
      </w:r>
      <w:r w:rsidR="00EF7248" w:rsidRPr="00C02E1D">
        <w:rPr>
          <w:rFonts w:ascii="Verdana" w:hAnsi="Verdana"/>
          <w:sz w:val="20"/>
          <w:szCs w:val="20"/>
          <w:lang w:val="es-MX"/>
        </w:rPr>
        <w:t xml:space="preserve">correspondientes </w:t>
      </w:r>
      <w:r w:rsidR="00756286" w:rsidRPr="00C02E1D">
        <w:rPr>
          <w:rFonts w:ascii="Verdana" w:hAnsi="Verdana"/>
          <w:sz w:val="20"/>
          <w:szCs w:val="20"/>
          <w:lang w:val="es-MX"/>
        </w:rPr>
        <w:t>a dichas listas</w:t>
      </w:r>
      <w:r w:rsidR="002300F9">
        <w:rPr>
          <w:rFonts w:ascii="Verdana" w:hAnsi="Verdana"/>
          <w:sz w:val="20"/>
          <w:szCs w:val="20"/>
          <w:lang w:val="es-MX"/>
        </w:rPr>
        <w:t>.</w:t>
      </w:r>
      <w:r w:rsidR="00EF7248" w:rsidRPr="00C02E1D">
        <w:rPr>
          <w:rFonts w:ascii="Verdana" w:hAnsi="Verdana"/>
          <w:sz w:val="20"/>
          <w:szCs w:val="20"/>
          <w:lang w:val="es-MX"/>
        </w:rPr>
        <w:t xml:space="preserve"> </w:t>
      </w:r>
    </w:p>
    <w:p w14:paraId="40F84EE7" w14:textId="77777777" w:rsidR="0097030D" w:rsidRPr="00C02E1D" w:rsidRDefault="0097030D" w:rsidP="0030244A">
      <w:pPr>
        <w:pStyle w:val="Prrafodelista"/>
        <w:widowControl w:val="0"/>
        <w:tabs>
          <w:tab w:val="left" w:pos="0"/>
        </w:tabs>
        <w:autoSpaceDE w:val="0"/>
        <w:autoSpaceDN w:val="0"/>
        <w:adjustRightInd w:val="0"/>
        <w:spacing w:after="0" w:line="240" w:lineRule="auto"/>
        <w:ind w:left="0" w:right="22"/>
        <w:contextualSpacing w:val="0"/>
        <w:jc w:val="both"/>
        <w:rPr>
          <w:rFonts w:ascii="Verdana" w:eastAsia="Calibri" w:hAnsi="Verdana" w:cs="Times New Roman"/>
          <w:b/>
          <w:sz w:val="20"/>
          <w:szCs w:val="20"/>
          <w:lang w:val="es-MX"/>
        </w:rPr>
      </w:pPr>
    </w:p>
    <w:p w14:paraId="10F7C119" w14:textId="77777777" w:rsidR="00626CA7" w:rsidRPr="00192E6A" w:rsidRDefault="0097030D" w:rsidP="0030244A">
      <w:pPr>
        <w:pStyle w:val="Normal1"/>
        <w:widowControl/>
        <w:numPr>
          <w:ilvl w:val="0"/>
          <w:numId w:val="35"/>
        </w:numPr>
        <w:ind w:left="0" w:firstLine="0"/>
        <w:contextualSpacing/>
        <w:jc w:val="both"/>
        <w:rPr>
          <w:rFonts w:ascii="Verdana" w:eastAsia="Verdana" w:hAnsi="Verdana" w:cs="Verdana"/>
          <w:b/>
          <w:color w:val="000000"/>
          <w:sz w:val="20"/>
          <w:szCs w:val="20"/>
        </w:rPr>
      </w:pPr>
      <w:r w:rsidRPr="00C02E1D">
        <w:rPr>
          <w:rFonts w:ascii="Verdana" w:hAnsi="Verdana"/>
          <w:sz w:val="20"/>
          <w:szCs w:val="20"/>
        </w:rPr>
        <w:t>La</w:t>
      </w:r>
      <w:r w:rsidR="0041036D" w:rsidRPr="00C02E1D">
        <w:rPr>
          <w:rFonts w:ascii="Verdana" w:hAnsi="Verdana"/>
          <w:sz w:val="20"/>
          <w:szCs w:val="20"/>
        </w:rPr>
        <w:t xml:space="preserve"> nota </w:t>
      </w:r>
      <w:r w:rsidRPr="00C02E1D">
        <w:rPr>
          <w:rFonts w:ascii="Verdana" w:hAnsi="Verdana"/>
          <w:sz w:val="20"/>
          <w:szCs w:val="20"/>
        </w:rPr>
        <w:t xml:space="preserve">de la Secretaría de la Corte Interamericana de Derechos Humanos de 31 de octubre de 2018 sobre el Fondo de Asistencia Legal de Víctimas. </w:t>
      </w:r>
    </w:p>
    <w:p w14:paraId="0BB79302" w14:textId="77777777" w:rsidR="00DC6807" w:rsidRPr="00C02E1D" w:rsidRDefault="00DC6807" w:rsidP="0030244A">
      <w:pPr>
        <w:pStyle w:val="Normal1"/>
        <w:widowControl/>
        <w:contextualSpacing/>
        <w:jc w:val="both"/>
        <w:rPr>
          <w:rFonts w:ascii="Verdana" w:eastAsiaTheme="minorHAnsi" w:hAnsi="Verdana" w:cstheme="minorBidi"/>
          <w:b/>
          <w:sz w:val="20"/>
          <w:szCs w:val="20"/>
        </w:rPr>
      </w:pPr>
    </w:p>
    <w:p w14:paraId="1C8F6CAD" w14:textId="77777777" w:rsidR="00DC6807" w:rsidRPr="00C02E1D" w:rsidRDefault="00DC6807" w:rsidP="00034B76">
      <w:pPr>
        <w:pStyle w:val="Normal1"/>
        <w:widowControl/>
        <w:contextualSpacing/>
        <w:jc w:val="both"/>
        <w:outlineLvl w:val="0"/>
        <w:rPr>
          <w:rFonts w:ascii="Verdana" w:hAnsi="Verdana"/>
          <w:b/>
          <w:sz w:val="20"/>
          <w:szCs w:val="20"/>
        </w:rPr>
      </w:pPr>
      <w:r w:rsidRPr="00C02E1D">
        <w:rPr>
          <w:rFonts w:ascii="Verdana" w:hAnsi="Verdana"/>
          <w:b/>
          <w:sz w:val="20"/>
          <w:szCs w:val="20"/>
        </w:rPr>
        <w:t>CONSIDERANDO QUE:</w:t>
      </w:r>
    </w:p>
    <w:p w14:paraId="4548DE1F" w14:textId="77777777" w:rsidR="00DC6807" w:rsidRPr="00C02E1D" w:rsidRDefault="00DC6807" w:rsidP="0030244A">
      <w:pPr>
        <w:pStyle w:val="Normal1"/>
        <w:widowControl/>
        <w:contextualSpacing/>
        <w:jc w:val="both"/>
        <w:rPr>
          <w:rFonts w:ascii="Verdana" w:hAnsi="Verdana"/>
          <w:sz w:val="20"/>
          <w:szCs w:val="20"/>
        </w:rPr>
      </w:pPr>
    </w:p>
    <w:p w14:paraId="177E2AB9" w14:textId="77777777" w:rsidR="00161261" w:rsidRPr="00C02E1D" w:rsidRDefault="00E757B6" w:rsidP="0030244A">
      <w:pPr>
        <w:pStyle w:val="Normal1"/>
        <w:widowControl/>
        <w:numPr>
          <w:ilvl w:val="0"/>
          <w:numId w:val="34"/>
        </w:numPr>
        <w:ind w:left="0" w:firstLine="0"/>
        <w:contextualSpacing/>
        <w:jc w:val="both"/>
        <w:rPr>
          <w:rFonts w:ascii="Verdana" w:eastAsia="Verdana" w:hAnsi="Verdana" w:cs="Verdana"/>
          <w:color w:val="000000"/>
          <w:sz w:val="20"/>
          <w:szCs w:val="20"/>
        </w:rPr>
      </w:pPr>
      <w:r w:rsidRPr="00C02E1D">
        <w:rPr>
          <w:rFonts w:ascii="Verdana" w:hAnsi="Verdana"/>
          <w:sz w:val="20"/>
          <w:szCs w:val="20"/>
        </w:rPr>
        <w:t xml:space="preserve">El ofrecimiento y la admisión de la prueba, así como la citación de declarantes se encuentran regulados en los artículos 35.1.f, 40.2.c, 41.1.c, 46, 47, </w:t>
      </w:r>
      <w:r w:rsidR="00A14900" w:rsidRPr="00C02E1D">
        <w:rPr>
          <w:rFonts w:ascii="Verdana" w:hAnsi="Verdana"/>
          <w:sz w:val="20"/>
          <w:szCs w:val="20"/>
        </w:rPr>
        <w:t xml:space="preserve">50, 51, </w:t>
      </w:r>
      <w:r w:rsidR="00687EF5" w:rsidRPr="00C02E1D">
        <w:rPr>
          <w:rFonts w:ascii="Verdana" w:hAnsi="Verdana"/>
          <w:sz w:val="20"/>
          <w:szCs w:val="20"/>
        </w:rPr>
        <w:t xml:space="preserve">52.3 </w:t>
      </w:r>
      <w:r w:rsidR="00A14900" w:rsidRPr="00C02E1D">
        <w:rPr>
          <w:rFonts w:ascii="Verdana" w:hAnsi="Verdana"/>
          <w:sz w:val="20"/>
          <w:szCs w:val="20"/>
        </w:rPr>
        <w:t xml:space="preserve">y 57 </w:t>
      </w:r>
      <w:r w:rsidRPr="00C02E1D">
        <w:rPr>
          <w:rFonts w:ascii="Verdana" w:hAnsi="Verdana"/>
          <w:sz w:val="20"/>
          <w:szCs w:val="20"/>
        </w:rPr>
        <w:t>del Reglamento</w:t>
      </w:r>
      <w:r w:rsidR="00687EF5" w:rsidRPr="00C02E1D">
        <w:rPr>
          <w:rFonts w:ascii="Verdana" w:hAnsi="Verdana"/>
          <w:sz w:val="20"/>
          <w:szCs w:val="20"/>
        </w:rPr>
        <w:t xml:space="preserve"> de la Corte Interamericana de Derecho</w:t>
      </w:r>
      <w:r w:rsidR="001E265F">
        <w:rPr>
          <w:rFonts w:ascii="Verdana" w:hAnsi="Verdana"/>
          <w:sz w:val="20"/>
          <w:szCs w:val="20"/>
        </w:rPr>
        <w:t>s</w:t>
      </w:r>
      <w:r w:rsidR="00687EF5" w:rsidRPr="00C02E1D">
        <w:rPr>
          <w:rFonts w:ascii="Verdana" w:hAnsi="Verdana"/>
          <w:sz w:val="20"/>
          <w:szCs w:val="20"/>
        </w:rPr>
        <w:t xml:space="preserve"> Humanos (en adelante “la Corte Interamericana</w:t>
      </w:r>
      <w:r w:rsidR="00724089" w:rsidRPr="00C02E1D">
        <w:rPr>
          <w:rFonts w:ascii="Verdana" w:hAnsi="Verdana"/>
          <w:sz w:val="20"/>
          <w:szCs w:val="20"/>
        </w:rPr>
        <w:t>”, “la Corte” o “el Tribunal”)</w:t>
      </w:r>
      <w:r w:rsidRPr="00C02E1D">
        <w:rPr>
          <w:rFonts w:ascii="Verdana" w:hAnsi="Verdana"/>
          <w:sz w:val="20"/>
          <w:szCs w:val="20"/>
        </w:rPr>
        <w:t>.</w:t>
      </w:r>
    </w:p>
    <w:p w14:paraId="5E39BE6B" w14:textId="77777777" w:rsidR="00A461DC" w:rsidRPr="00C02E1D" w:rsidRDefault="00A461DC" w:rsidP="0030244A">
      <w:pPr>
        <w:pStyle w:val="Normal1"/>
        <w:widowControl/>
        <w:contextualSpacing/>
        <w:jc w:val="both"/>
        <w:rPr>
          <w:rFonts w:ascii="Verdana" w:eastAsia="Verdana" w:hAnsi="Verdana" w:cs="Verdana"/>
          <w:color w:val="000000"/>
          <w:sz w:val="20"/>
          <w:szCs w:val="20"/>
        </w:rPr>
      </w:pPr>
    </w:p>
    <w:p w14:paraId="684AE616" w14:textId="77777777" w:rsidR="00707E78" w:rsidRPr="00C02E1D" w:rsidRDefault="00C46EB3" w:rsidP="0030244A">
      <w:pPr>
        <w:pStyle w:val="Normal1"/>
        <w:widowControl/>
        <w:numPr>
          <w:ilvl w:val="0"/>
          <w:numId w:val="34"/>
        </w:numPr>
        <w:ind w:left="0" w:firstLine="0"/>
        <w:contextualSpacing/>
        <w:jc w:val="both"/>
        <w:rPr>
          <w:rFonts w:ascii="Verdana" w:eastAsia="Verdana" w:hAnsi="Verdana" w:cs="Verdana"/>
          <w:color w:val="000000"/>
          <w:sz w:val="20"/>
          <w:szCs w:val="20"/>
        </w:rPr>
      </w:pPr>
      <w:r w:rsidRPr="00C02E1D">
        <w:rPr>
          <w:rFonts w:ascii="Verdana" w:eastAsia="Verdana" w:hAnsi="Verdana" w:cs="Verdana"/>
          <w:color w:val="000000"/>
          <w:sz w:val="20"/>
          <w:szCs w:val="20"/>
        </w:rPr>
        <w:t xml:space="preserve">La Corte garantizó a las partes el derecho de defensa respecto de los ofrecimientos probatorios </w:t>
      </w:r>
      <w:r w:rsidR="002148F5" w:rsidRPr="00C02E1D">
        <w:rPr>
          <w:rFonts w:ascii="Verdana" w:eastAsia="Verdana" w:hAnsi="Verdana" w:cs="Verdana"/>
          <w:color w:val="000000"/>
          <w:sz w:val="20"/>
          <w:szCs w:val="20"/>
        </w:rPr>
        <w:t>realizados en sus escritos de sometimiento del caso, solicitudes y argumentos, y contestación, así como en las respectivas listas definitivas de declarantes.</w:t>
      </w:r>
    </w:p>
    <w:p w14:paraId="1C69C451" w14:textId="77777777" w:rsidR="00707E78" w:rsidRPr="00C02E1D" w:rsidRDefault="00707E78" w:rsidP="0030244A">
      <w:pPr>
        <w:pStyle w:val="Normal1"/>
        <w:widowControl/>
        <w:contextualSpacing/>
        <w:jc w:val="both"/>
        <w:rPr>
          <w:rFonts w:ascii="Verdana" w:eastAsia="Verdana" w:hAnsi="Verdana" w:cs="Verdana"/>
          <w:color w:val="000000"/>
          <w:sz w:val="20"/>
          <w:szCs w:val="20"/>
        </w:rPr>
      </w:pPr>
    </w:p>
    <w:p w14:paraId="209D279A" w14:textId="77777777" w:rsidR="004E0715" w:rsidRPr="00C02E1D" w:rsidRDefault="00C6304D" w:rsidP="0030244A">
      <w:pPr>
        <w:pStyle w:val="Prrafodelista"/>
        <w:numPr>
          <w:ilvl w:val="0"/>
          <w:numId w:val="34"/>
        </w:numPr>
        <w:autoSpaceDE w:val="0"/>
        <w:autoSpaceDN w:val="0"/>
        <w:adjustRightInd w:val="0"/>
        <w:spacing w:after="0" w:line="240" w:lineRule="auto"/>
        <w:ind w:left="0" w:firstLine="0"/>
        <w:jc w:val="both"/>
        <w:rPr>
          <w:rFonts w:ascii="Verdana" w:hAnsi="Verdana" w:cs="92iergz"/>
          <w:sz w:val="20"/>
          <w:szCs w:val="20"/>
          <w:lang w:val="es-MX"/>
        </w:rPr>
      </w:pPr>
      <w:r w:rsidRPr="00C02E1D">
        <w:rPr>
          <w:rFonts w:ascii="Verdana" w:hAnsi="Verdana"/>
          <w:sz w:val="20"/>
          <w:szCs w:val="20"/>
          <w:lang w:val="es-MX"/>
        </w:rPr>
        <w:t>El representante</w:t>
      </w:r>
      <w:r w:rsidR="00707E78" w:rsidRPr="00C02E1D">
        <w:rPr>
          <w:rFonts w:ascii="Verdana" w:hAnsi="Verdana"/>
          <w:sz w:val="20"/>
          <w:szCs w:val="20"/>
          <w:lang w:val="es-MX"/>
        </w:rPr>
        <w:t xml:space="preserve"> ofreci</w:t>
      </w:r>
      <w:r w:rsidRPr="00C02E1D">
        <w:rPr>
          <w:rFonts w:ascii="Verdana" w:hAnsi="Verdana"/>
          <w:sz w:val="20"/>
          <w:szCs w:val="20"/>
          <w:lang w:val="es-MX"/>
        </w:rPr>
        <w:t xml:space="preserve">ó </w:t>
      </w:r>
      <w:r w:rsidR="00C90ED4" w:rsidRPr="00C02E1D">
        <w:rPr>
          <w:rFonts w:ascii="Verdana" w:hAnsi="Verdana"/>
          <w:sz w:val="20"/>
          <w:szCs w:val="20"/>
          <w:lang w:val="es-MX"/>
        </w:rPr>
        <w:t>la</w:t>
      </w:r>
      <w:r w:rsidR="0000719B" w:rsidRPr="00C02E1D">
        <w:rPr>
          <w:rFonts w:ascii="Verdana" w:hAnsi="Verdana"/>
          <w:sz w:val="20"/>
          <w:szCs w:val="20"/>
          <w:lang w:val="es-MX"/>
        </w:rPr>
        <w:t>s declaraciones</w:t>
      </w:r>
      <w:r w:rsidR="00C90ED4" w:rsidRPr="00C02E1D">
        <w:rPr>
          <w:rFonts w:ascii="Verdana" w:hAnsi="Verdana"/>
          <w:sz w:val="20"/>
          <w:szCs w:val="20"/>
          <w:lang w:val="es-MX"/>
        </w:rPr>
        <w:t xml:space="preserve"> de la presunta víctima</w:t>
      </w:r>
      <w:r w:rsidR="0041036D" w:rsidRPr="00C02E1D">
        <w:rPr>
          <w:rFonts w:ascii="Verdana" w:hAnsi="Verdana"/>
          <w:sz w:val="20"/>
          <w:szCs w:val="20"/>
          <w:lang w:val="es-MX"/>
        </w:rPr>
        <w:t>,</w:t>
      </w:r>
      <w:r w:rsidR="00C90ED4" w:rsidRPr="00C02E1D">
        <w:rPr>
          <w:rFonts w:ascii="Verdana" w:hAnsi="Verdana"/>
          <w:sz w:val="20"/>
          <w:szCs w:val="20"/>
          <w:lang w:val="es-MX"/>
        </w:rPr>
        <w:t xml:space="preserve"> Mario Montesinos Mejía, </w:t>
      </w:r>
      <w:r w:rsidR="004E0715" w:rsidRPr="00C02E1D">
        <w:rPr>
          <w:rFonts w:ascii="Verdana" w:hAnsi="Verdana"/>
          <w:sz w:val="20"/>
          <w:szCs w:val="20"/>
          <w:lang w:val="es-MX"/>
        </w:rPr>
        <w:t>de</w:t>
      </w:r>
      <w:r w:rsidR="0000719B" w:rsidRPr="00C02E1D">
        <w:rPr>
          <w:rFonts w:ascii="Verdana" w:hAnsi="Verdana"/>
          <w:sz w:val="20"/>
          <w:szCs w:val="20"/>
          <w:lang w:val="es-MX"/>
        </w:rPr>
        <w:t xml:space="preserve"> su</w:t>
      </w:r>
      <w:r w:rsidR="004E0715" w:rsidRPr="00C02E1D">
        <w:rPr>
          <w:rFonts w:ascii="Verdana" w:hAnsi="Verdana"/>
          <w:sz w:val="20"/>
          <w:szCs w:val="20"/>
          <w:lang w:val="es-MX"/>
        </w:rPr>
        <w:t xml:space="preserve"> esposa e hijos</w:t>
      </w:r>
      <w:r w:rsidR="0000719B" w:rsidRPr="00C02E1D">
        <w:rPr>
          <w:rFonts w:ascii="Verdana" w:hAnsi="Verdana"/>
          <w:sz w:val="20"/>
          <w:szCs w:val="20"/>
          <w:lang w:val="es-MX"/>
        </w:rPr>
        <w:t xml:space="preserve"> </w:t>
      </w:r>
      <w:r w:rsidR="004E0715" w:rsidRPr="00C02E1D">
        <w:rPr>
          <w:rFonts w:ascii="Verdana" w:hAnsi="Verdana"/>
          <w:sz w:val="20"/>
          <w:szCs w:val="20"/>
          <w:lang w:val="es-MX"/>
        </w:rPr>
        <w:t xml:space="preserve">y de </w:t>
      </w:r>
      <w:r w:rsidR="005022A9" w:rsidRPr="00C02E1D">
        <w:rPr>
          <w:rFonts w:ascii="Verdana" w:hAnsi="Verdana"/>
          <w:sz w:val="20"/>
          <w:szCs w:val="20"/>
          <w:lang w:val="es-MX"/>
        </w:rPr>
        <w:t>tres testigos que se encontraban</w:t>
      </w:r>
      <w:r w:rsidR="005022A9" w:rsidRPr="00C02E1D">
        <w:rPr>
          <w:rFonts w:ascii="Verdana" w:hAnsi="Verdana" w:cs="92iergz"/>
          <w:sz w:val="20"/>
          <w:szCs w:val="20"/>
          <w:lang w:val="es-MX"/>
        </w:rPr>
        <w:t xml:space="preserve"> </w:t>
      </w:r>
      <w:r w:rsidR="004E0715" w:rsidRPr="00C02E1D">
        <w:rPr>
          <w:rFonts w:ascii="Verdana" w:hAnsi="Verdana" w:cs="92iergz"/>
          <w:sz w:val="20"/>
          <w:szCs w:val="20"/>
          <w:lang w:val="es-MX"/>
        </w:rPr>
        <w:t xml:space="preserve">recluidos </w:t>
      </w:r>
      <w:r w:rsidR="0000719B" w:rsidRPr="00C02E1D">
        <w:rPr>
          <w:rFonts w:ascii="Verdana" w:hAnsi="Verdana" w:cs="92iergz"/>
          <w:sz w:val="20"/>
          <w:szCs w:val="20"/>
          <w:lang w:val="es-MX"/>
        </w:rPr>
        <w:t xml:space="preserve">en las mismas instalaciones </w:t>
      </w:r>
      <w:r w:rsidR="005022A9" w:rsidRPr="00C02E1D">
        <w:rPr>
          <w:rFonts w:ascii="Verdana" w:hAnsi="Verdana" w:cs="92iergz"/>
          <w:sz w:val="20"/>
          <w:szCs w:val="20"/>
          <w:lang w:val="es-MX"/>
        </w:rPr>
        <w:t>que aquél</w:t>
      </w:r>
      <w:r w:rsidR="0041036D" w:rsidRPr="00C02E1D">
        <w:rPr>
          <w:rFonts w:ascii="Verdana" w:hAnsi="Verdana" w:cs="92iergz"/>
          <w:sz w:val="20"/>
          <w:szCs w:val="20"/>
          <w:lang w:val="es-MX"/>
        </w:rPr>
        <w:t>. T</w:t>
      </w:r>
      <w:r w:rsidR="004E0715" w:rsidRPr="00C02E1D">
        <w:rPr>
          <w:rFonts w:ascii="Verdana" w:hAnsi="Verdana" w:cs="92iergz"/>
          <w:sz w:val="20"/>
          <w:szCs w:val="20"/>
          <w:lang w:val="es-MX"/>
        </w:rPr>
        <w:t>ambién ofreció dos dictámenes</w:t>
      </w:r>
      <w:r w:rsidR="0000719B" w:rsidRPr="00C02E1D">
        <w:rPr>
          <w:rFonts w:ascii="Verdana" w:hAnsi="Verdana" w:cs="92iergz"/>
          <w:sz w:val="20"/>
          <w:szCs w:val="20"/>
          <w:lang w:val="es-MX"/>
        </w:rPr>
        <w:t xml:space="preserve"> periciales</w:t>
      </w:r>
      <w:r w:rsidR="002300F9">
        <w:rPr>
          <w:rFonts w:ascii="Verdana" w:hAnsi="Verdana" w:cs="92iergz"/>
          <w:sz w:val="20"/>
          <w:szCs w:val="20"/>
          <w:lang w:val="es-MX"/>
        </w:rPr>
        <w:t>.</w:t>
      </w:r>
      <w:r w:rsidR="0000719B" w:rsidRPr="00C02E1D">
        <w:rPr>
          <w:rFonts w:ascii="Verdana" w:hAnsi="Verdana" w:cs="92iergz"/>
          <w:sz w:val="20"/>
          <w:szCs w:val="20"/>
          <w:lang w:val="es-MX"/>
        </w:rPr>
        <w:t xml:space="preserve"> La Comisión </w:t>
      </w:r>
      <w:r w:rsidR="0041036D" w:rsidRPr="00C02E1D">
        <w:rPr>
          <w:rFonts w:ascii="Verdana" w:hAnsi="Verdana" w:cs="92iergz"/>
          <w:sz w:val="20"/>
          <w:szCs w:val="20"/>
          <w:lang w:val="es-MX"/>
        </w:rPr>
        <w:t>solicitó el traslado de un</w:t>
      </w:r>
      <w:r w:rsidR="0000719B" w:rsidRPr="00C02E1D">
        <w:rPr>
          <w:rFonts w:ascii="Verdana" w:hAnsi="Verdana" w:cs="92iergz"/>
          <w:sz w:val="20"/>
          <w:szCs w:val="20"/>
          <w:lang w:val="es-MX"/>
        </w:rPr>
        <w:t xml:space="preserve"> peritaje rendido en el caso Herrera Espinoza y otros</w:t>
      </w:r>
      <w:r w:rsidR="00034B76">
        <w:rPr>
          <w:rFonts w:ascii="Verdana" w:hAnsi="Verdana" w:cs="92iergz"/>
          <w:sz w:val="20"/>
          <w:szCs w:val="20"/>
          <w:lang w:val="es-MX"/>
        </w:rPr>
        <w:t xml:space="preserve"> Vs. </w:t>
      </w:r>
      <w:r w:rsidR="0000719B" w:rsidRPr="00C02E1D">
        <w:rPr>
          <w:rFonts w:ascii="Verdana" w:hAnsi="Verdana" w:cs="92iergz"/>
          <w:sz w:val="20"/>
          <w:szCs w:val="20"/>
          <w:lang w:val="es-MX"/>
        </w:rPr>
        <w:t>Ecuador</w:t>
      </w:r>
      <w:r w:rsidR="009A3CC7" w:rsidRPr="00C02E1D">
        <w:rPr>
          <w:rStyle w:val="Refdenotaalpie"/>
          <w:rFonts w:ascii="Verdana" w:hAnsi="Verdana" w:cs="92iergz"/>
          <w:sz w:val="20"/>
          <w:szCs w:val="20"/>
          <w:lang w:val="es-MX"/>
        </w:rPr>
        <w:footnoteReference w:id="2"/>
      </w:r>
      <w:r w:rsidR="0000719B" w:rsidRPr="00C02E1D">
        <w:rPr>
          <w:rFonts w:ascii="Verdana" w:hAnsi="Verdana" w:cs="92iergz"/>
          <w:sz w:val="20"/>
          <w:szCs w:val="20"/>
          <w:lang w:val="es-MX"/>
        </w:rPr>
        <w:t xml:space="preserve"> </w:t>
      </w:r>
      <w:r w:rsidR="002300F9">
        <w:rPr>
          <w:rFonts w:ascii="Verdana" w:hAnsi="Verdana" w:cs="92iergz"/>
          <w:sz w:val="20"/>
          <w:szCs w:val="20"/>
          <w:lang w:val="es-MX"/>
        </w:rPr>
        <w:t xml:space="preserve">. </w:t>
      </w:r>
      <w:r w:rsidR="00901B6F" w:rsidRPr="00C02E1D">
        <w:rPr>
          <w:rFonts w:ascii="Verdana" w:hAnsi="Verdana" w:cs="92iergz"/>
          <w:sz w:val="20"/>
          <w:szCs w:val="20"/>
          <w:lang w:val="es-MX"/>
        </w:rPr>
        <w:t xml:space="preserve">El Estado ofreció la declaración de dos peritos. </w:t>
      </w:r>
    </w:p>
    <w:p w14:paraId="4805000F" w14:textId="77777777" w:rsidR="00A56542" w:rsidRPr="00C02E1D" w:rsidRDefault="00A56542" w:rsidP="0030244A">
      <w:pPr>
        <w:pStyle w:val="Normal1"/>
        <w:widowControl/>
        <w:contextualSpacing/>
        <w:jc w:val="both"/>
        <w:rPr>
          <w:rFonts w:ascii="Verdana" w:hAnsi="Verdana"/>
          <w:sz w:val="20"/>
          <w:szCs w:val="20"/>
        </w:rPr>
      </w:pPr>
    </w:p>
    <w:p w14:paraId="02E0135F" w14:textId="77777777" w:rsidR="00142092" w:rsidRPr="00C02E1D" w:rsidRDefault="009329C2" w:rsidP="0030244A">
      <w:pPr>
        <w:pStyle w:val="Prrafodelista"/>
        <w:numPr>
          <w:ilvl w:val="0"/>
          <w:numId w:val="34"/>
        </w:numPr>
        <w:autoSpaceDE w:val="0"/>
        <w:autoSpaceDN w:val="0"/>
        <w:adjustRightInd w:val="0"/>
        <w:spacing w:after="0" w:line="240" w:lineRule="auto"/>
        <w:ind w:left="0" w:firstLine="0"/>
        <w:jc w:val="both"/>
        <w:rPr>
          <w:rFonts w:ascii="Verdana" w:hAnsi="Verdana"/>
          <w:sz w:val="20"/>
          <w:szCs w:val="20"/>
          <w:lang w:val="es-MX"/>
        </w:rPr>
      </w:pPr>
      <w:r w:rsidRPr="00C02E1D">
        <w:rPr>
          <w:rFonts w:ascii="Verdana" w:hAnsi="Verdana"/>
          <w:sz w:val="20"/>
          <w:szCs w:val="20"/>
          <w:lang w:val="es-MX"/>
        </w:rPr>
        <w:t xml:space="preserve">El Estado presentó observaciones y objetó las declaraciones de la esposa de la presunta víctima, </w:t>
      </w:r>
      <w:r w:rsidRPr="00C02E1D">
        <w:rPr>
          <w:rFonts w:ascii="Verdana" w:hAnsi="Verdana" w:cs="92iergz"/>
          <w:sz w:val="20"/>
          <w:szCs w:val="20"/>
          <w:lang w:val="es-MX"/>
        </w:rPr>
        <w:t>Marcia González Rubio</w:t>
      </w:r>
      <w:r w:rsidR="008A274C" w:rsidRPr="00C02E1D">
        <w:rPr>
          <w:rFonts w:ascii="Verdana" w:hAnsi="Verdana" w:cs="92iergz"/>
          <w:sz w:val="20"/>
          <w:szCs w:val="20"/>
          <w:lang w:val="es-MX"/>
        </w:rPr>
        <w:t>,</w:t>
      </w:r>
      <w:r w:rsidRPr="00C02E1D">
        <w:rPr>
          <w:rFonts w:ascii="Verdana" w:hAnsi="Verdana" w:cs="92iergz"/>
          <w:sz w:val="20"/>
          <w:szCs w:val="20"/>
          <w:lang w:val="es-MX"/>
        </w:rPr>
        <w:t xml:space="preserve"> y de sus hijos </w:t>
      </w:r>
      <w:proofErr w:type="spellStart"/>
      <w:r w:rsidRPr="00C02E1D">
        <w:rPr>
          <w:rFonts w:ascii="Verdana" w:hAnsi="Verdana" w:cs="92iergz"/>
          <w:sz w:val="20"/>
          <w:szCs w:val="20"/>
          <w:lang w:val="es-MX"/>
        </w:rPr>
        <w:t>Maria</w:t>
      </w:r>
      <w:proofErr w:type="spellEnd"/>
      <w:r w:rsidRPr="00C02E1D">
        <w:rPr>
          <w:rFonts w:ascii="Verdana" w:hAnsi="Verdana" w:cs="92iergz"/>
          <w:sz w:val="20"/>
          <w:szCs w:val="20"/>
          <w:lang w:val="es-MX"/>
        </w:rPr>
        <w:t>, Maritza y Vini</w:t>
      </w:r>
      <w:r w:rsidR="00106D11" w:rsidRPr="00C02E1D">
        <w:rPr>
          <w:rFonts w:ascii="Verdana" w:hAnsi="Verdana" w:cs="92iergz"/>
          <w:sz w:val="20"/>
          <w:szCs w:val="20"/>
          <w:lang w:val="es-MX"/>
        </w:rPr>
        <w:t>cio</w:t>
      </w:r>
      <w:r w:rsidR="008A274C" w:rsidRPr="00C02E1D">
        <w:rPr>
          <w:rFonts w:ascii="Verdana" w:hAnsi="Verdana" w:cs="92iergz"/>
          <w:sz w:val="20"/>
          <w:szCs w:val="20"/>
          <w:lang w:val="es-MX"/>
        </w:rPr>
        <w:t>,</w:t>
      </w:r>
      <w:r w:rsidR="00106D11" w:rsidRPr="00C02E1D">
        <w:rPr>
          <w:rFonts w:ascii="Verdana" w:hAnsi="Verdana" w:cs="92iergz"/>
          <w:sz w:val="20"/>
          <w:szCs w:val="20"/>
          <w:lang w:val="es-MX"/>
        </w:rPr>
        <w:t xml:space="preserve"> </w:t>
      </w:r>
      <w:r w:rsidRPr="00C02E1D">
        <w:rPr>
          <w:rFonts w:ascii="Verdana" w:hAnsi="Verdana" w:cs="92iergz"/>
          <w:sz w:val="20"/>
          <w:szCs w:val="20"/>
          <w:lang w:val="es-MX"/>
        </w:rPr>
        <w:t>Montesinos González</w:t>
      </w:r>
      <w:r w:rsidR="00AF65B4" w:rsidRPr="00C02E1D">
        <w:rPr>
          <w:rFonts w:ascii="Verdana" w:hAnsi="Verdana" w:cs="92iergz"/>
          <w:sz w:val="20"/>
          <w:szCs w:val="20"/>
          <w:lang w:val="es-MX"/>
        </w:rPr>
        <w:t xml:space="preserve">, así como las testimoniales </w:t>
      </w:r>
      <w:r w:rsidR="004A7D6A" w:rsidRPr="00C02E1D">
        <w:rPr>
          <w:rFonts w:ascii="Verdana" w:hAnsi="Verdana" w:cs="92iergz"/>
          <w:sz w:val="20"/>
          <w:szCs w:val="20"/>
          <w:lang w:val="es-MX"/>
        </w:rPr>
        <w:t xml:space="preserve">de </w:t>
      </w:r>
      <w:r w:rsidR="004A7D6A" w:rsidRPr="00C02E1D">
        <w:rPr>
          <w:rFonts w:ascii="Verdana" w:hAnsi="Verdana" w:cs="Times New Roman"/>
          <w:bCs/>
          <w:sz w:val="20"/>
          <w:szCs w:val="20"/>
          <w:lang w:val="es-MX"/>
        </w:rPr>
        <w:t xml:space="preserve">Mauricio Hernández Zambrano, Mauricio Hernández Yépez </w:t>
      </w:r>
      <w:r w:rsidR="004A7D6A" w:rsidRPr="00C02E1D">
        <w:rPr>
          <w:rFonts w:ascii="Verdana" w:hAnsi="Verdana" w:cs="Arial"/>
          <w:bCs/>
          <w:sz w:val="20"/>
          <w:szCs w:val="20"/>
          <w:lang w:val="es-MX"/>
        </w:rPr>
        <w:t xml:space="preserve">y </w:t>
      </w:r>
      <w:r w:rsidR="004A7D6A" w:rsidRPr="00C02E1D">
        <w:rPr>
          <w:rFonts w:ascii="Verdana" w:hAnsi="Verdana" w:cs="Times New Roman"/>
          <w:bCs/>
          <w:sz w:val="20"/>
          <w:szCs w:val="20"/>
          <w:lang w:val="es-MX"/>
        </w:rPr>
        <w:t xml:space="preserve">Rafael </w:t>
      </w:r>
      <w:proofErr w:type="spellStart"/>
      <w:r w:rsidR="004A7D6A" w:rsidRPr="00C02E1D">
        <w:rPr>
          <w:rFonts w:ascii="Verdana" w:hAnsi="Verdana" w:cs="Times New Roman"/>
          <w:bCs/>
          <w:sz w:val="20"/>
          <w:szCs w:val="20"/>
          <w:lang w:val="es-MX"/>
        </w:rPr>
        <w:t>lván</w:t>
      </w:r>
      <w:proofErr w:type="spellEnd"/>
      <w:r w:rsidR="004A7D6A" w:rsidRPr="00C02E1D">
        <w:rPr>
          <w:rFonts w:ascii="Verdana" w:hAnsi="Verdana" w:cs="Times New Roman"/>
          <w:bCs/>
          <w:sz w:val="20"/>
          <w:szCs w:val="20"/>
          <w:lang w:val="es-MX"/>
        </w:rPr>
        <w:t xml:space="preserve"> Suárez Rosero, quienes estuvieron </w:t>
      </w:r>
      <w:r w:rsidR="004A7D6A" w:rsidRPr="00C02E1D">
        <w:rPr>
          <w:rFonts w:ascii="Verdana" w:hAnsi="Verdana" w:cs="92iergz"/>
          <w:sz w:val="20"/>
          <w:szCs w:val="20"/>
          <w:lang w:val="es-MX"/>
        </w:rPr>
        <w:t>detenidos y recluidos en las mismas instalaciones con la presunta víctima</w:t>
      </w:r>
      <w:r w:rsidR="008A274C" w:rsidRPr="00C02E1D">
        <w:rPr>
          <w:rFonts w:ascii="Verdana" w:hAnsi="Verdana" w:cs="92iergz"/>
          <w:sz w:val="20"/>
          <w:szCs w:val="20"/>
          <w:lang w:val="es-MX"/>
        </w:rPr>
        <w:t>. A</w:t>
      </w:r>
      <w:r w:rsidR="00142092" w:rsidRPr="00C02E1D">
        <w:rPr>
          <w:rFonts w:ascii="Verdana" w:hAnsi="Verdana" w:cs="92iergz"/>
          <w:sz w:val="20"/>
          <w:szCs w:val="20"/>
          <w:lang w:val="es-MX"/>
        </w:rPr>
        <w:t xml:space="preserve">simismo, presentó observaciones respecto de las periciales </w:t>
      </w:r>
      <w:r w:rsidRPr="00C02E1D">
        <w:rPr>
          <w:rFonts w:ascii="Verdana" w:hAnsi="Verdana"/>
          <w:sz w:val="20"/>
          <w:szCs w:val="20"/>
          <w:lang w:val="es-MX"/>
        </w:rPr>
        <w:t>ofrecida</w:t>
      </w:r>
      <w:r w:rsidR="004A7D6A" w:rsidRPr="00C02E1D">
        <w:rPr>
          <w:rFonts w:ascii="Verdana" w:hAnsi="Verdana"/>
          <w:sz w:val="20"/>
          <w:szCs w:val="20"/>
          <w:lang w:val="es-MX"/>
        </w:rPr>
        <w:t>s</w:t>
      </w:r>
      <w:r w:rsidRPr="00C02E1D">
        <w:rPr>
          <w:rFonts w:ascii="Verdana" w:hAnsi="Verdana"/>
          <w:sz w:val="20"/>
          <w:szCs w:val="20"/>
          <w:lang w:val="es-MX"/>
        </w:rPr>
        <w:t xml:space="preserve"> por </w:t>
      </w:r>
      <w:r w:rsidR="00142092" w:rsidRPr="00C02E1D">
        <w:rPr>
          <w:rFonts w:ascii="Verdana" w:hAnsi="Verdana"/>
          <w:sz w:val="20"/>
          <w:szCs w:val="20"/>
          <w:lang w:val="es-MX"/>
        </w:rPr>
        <w:t>el representante</w:t>
      </w:r>
      <w:r w:rsidRPr="00C02E1D">
        <w:rPr>
          <w:rFonts w:ascii="Verdana" w:hAnsi="Verdana"/>
          <w:sz w:val="20"/>
          <w:szCs w:val="20"/>
          <w:lang w:val="es-MX"/>
        </w:rPr>
        <w:t xml:space="preserve"> y la Comisión Interamericana</w:t>
      </w:r>
      <w:r w:rsidR="002300F9">
        <w:rPr>
          <w:rFonts w:ascii="Verdana" w:hAnsi="Verdana"/>
          <w:sz w:val="20"/>
          <w:szCs w:val="20"/>
          <w:lang w:val="es-MX"/>
        </w:rPr>
        <w:t>.</w:t>
      </w:r>
      <w:r w:rsidR="005022A9" w:rsidRPr="00C02E1D">
        <w:rPr>
          <w:rFonts w:ascii="Verdana" w:hAnsi="Verdana"/>
          <w:sz w:val="20"/>
          <w:szCs w:val="20"/>
          <w:lang w:val="es-MX"/>
        </w:rPr>
        <w:t xml:space="preserve"> El representante </w:t>
      </w:r>
      <w:r w:rsidR="007313B4" w:rsidRPr="00C02E1D">
        <w:rPr>
          <w:rFonts w:ascii="Verdana" w:hAnsi="Verdana"/>
          <w:sz w:val="20"/>
          <w:szCs w:val="20"/>
          <w:lang w:val="es-MX"/>
        </w:rPr>
        <w:t>objet</w:t>
      </w:r>
      <w:r w:rsidR="00F533A4" w:rsidRPr="00C02E1D">
        <w:rPr>
          <w:rFonts w:ascii="Verdana" w:hAnsi="Verdana"/>
          <w:sz w:val="20"/>
          <w:szCs w:val="20"/>
          <w:lang w:val="es-MX"/>
        </w:rPr>
        <w:t>ó la sustitución de</w:t>
      </w:r>
      <w:r w:rsidR="00FC5437" w:rsidRPr="00C02E1D">
        <w:rPr>
          <w:rFonts w:ascii="Verdana" w:hAnsi="Verdana"/>
          <w:sz w:val="20"/>
          <w:szCs w:val="20"/>
          <w:lang w:val="es-MX"/>
        </w:rPr>
        <w:t xml:space="preserve"> un</w:t>
      </w:r>
      <w:r w:rsidR="00866E48" w:rsidRPr="00C02E1D">
        <w:rPr>
          <w:rFonts w:ascii="Verdana" w:hAnsi="Verdana"/>
          <w:sz w:val="20"/>
          <w:szCs w:val="20"/>
          <w:lang w:val="es-MX"/>
        </w:rPr>
        <w:t xml:space="preserve"> perito ofrecido</w:t>
      </w:r>
      <w:r w:rsidR="00F533A4" w:rsidRPr="00C02E1D">
        <w:rPr>
          <w:rFonts w:ascii="Verdana" w:hAnsi="Verdana"/>
          <w:sz w:val="20"/>
          <w:szCs w:val="20"/>
          <w:lang w:val="es-MX"/>
        </w:rPr>
        <w:t xml:space="preserve"> por el Estado</w:t>
      </w:r>
      <w:r w:rsidR="002300F9">
        <w:rPr>
          <w:rFonts w:ascii="Verdana" w:hAnsi="Verdana"/>
          <w:sz w:val="20"/>
          <w:szCs w:val="20"/>
          <w:lang w:val="es-MX"/>
        </w:rPr>
        <w:t>.</w:t>
      </w:r>
      <w:r w:rsidR="00F533A4" w:rsidRPr="00C02E1D">
        <w:rPr>
          <w:rFonts w:ascii="Verdana" w:hAnsi="Verdana"/>
          <w:sz w:val="20"/>
          <w:szCs w:val="20"/>
          <w:lang w:val="es-MX"/>
        </w:rPr>
        <w:t xml:space="preserve"> </w:t>
      </w:r>
      <w:r w:rsidR="00092EAE" w:rsidRPr="00C02E1D">
        <w:rPr>
          <w:rFonts w:ascii="Verdana" w:hAnsi="Verdana"/>
          <w:sz w:val="20"/>
          <w:szCs w:val="20"/>
          <w:lang w:val="es-MX"/>
        </w:rPr>
        <w:t>La Comisión no realizó observaciones</w:t>
      </w:r>
      <w:r w:rsidR="00034B76">
        <w:rPr>
          <w:rFonts w:ascii="Verdana" w:hAnsi="Verdana"/>
          <w:sz w:val="20"/>
          <w:szCs w:val="20"/>
          <w:lang w:val="es-MX"/>
        </w:rPr>
        <w:t>.</w:t>
      </w:r>
      <w:r w:rsidR="00F533A4" w:rsidRPr="00C02E1D">
        <w:rPr>
          <w:rFonts w:ascii="Verdana" w:hAnsi="Verdana"/>
          <w:sz w:val="20"/>
          <w:szCs w:val="20"/>
          <w:lang w:val="es-MX"/>
        </w:rPr>
        <w:t xml:space="preserve"> </w:t>
      </w:r>
    </w:p>
    <w:p w14:paraId="6953E7C5" w14:textId="77777777" w:rsidR="00142092" w:rsidRPr="00C02E1D" w:rsidRDefault="00142092" w:rsidP="0030244A">
      <w:pPr>
        <w:pStyle w:val="Normal1"/>
        <w:widowControl/>
        <w:contextualSpacing/>
        <w:jc w:val="both"/>
        <w:rPr>
          <w:rFonts w:ascii="Verdana" w:hAnsi="Verdana"/>
          <w:sz w:val="20"/>
          <w:szCs w:val="20"/>
        </w:rPr>
      </w:pPr>
    </w:p>
    <w:p w14:paraId="52EF5C9D" w14:textId="77777777" w:rsidR="00C15B18" w:rsidRPr="00C02E1D" w:rsidRDefault="00C15B18" w:rsidP="0030244A">
      <w:pPr>
        <w:pStyle w:val="Normal1"/>
        <w:widowControl/>
        <w:numPr>
          <w:ilvl w:val="0"/>
          <w:numId w:val="34"/>
        </w:numPr>
        <w:ind w:left="0" w:firstLine="0"/>
        <w:contextualSpacing/>
        <w:jc w:val="both"/>
        <w:rPr>
          <w:rFonts w:ascii="Verdana" w:hAnsi="Verdana"/>
          <w:sz w:val="20"/>
          <w:szCs w:val="20"/>
        </w:rPr>
      </w:pPr>
      <w:r w:rsidRPr="00C02E1D">
        <w:rPr>
          <w:rFonts w:ascii="Verdana" w:hAnsi="Verdana"/>
          <w:sz w:val="20"/>
          <w:szCs w:val="20"/>
        </w:rPr>
        <w:t xml:space="preserve">A continuación se examinará: </w:t>
      </w:r>
      <w:r w:rsidR="00034B76">
        <w:rPr>
          <w:rFonts w:ascii="Verdana" w:hAnsi="Verdana"/>
          <w:sz w:val="20"/>
          <w:szCs w:val="20"/>
        </w:rPr>
        <w:t>a</w:t>
      </w:r>
      <w:r w:rsidR="00C23E5E" w:rsidRPr="00C02E1D">
        <w:rPr>
          <w:rFonts w:ascii="Verdana" w:hAnsi="Verdana"/>
          <w:sz w:val="20"/>
          <w:szCs w:val="20"/>
        </w:rPr>
        <w:t>) la admisibilidad</w:t>
      </w:r>
      <w:r w:rsidR="00106D11" w:rsidRPr="00C02E1D">
        <w:rPr>
          <w:rFonts w:ascii="Verdana" w:hAnsi="Verdana"/>
          <w:sz w:val="20"/>
          <w:szCs w:val="20"/>
        </w:rPr>
        <w:t xml:space="preserve"> </w:t>
      </w:r>
      <w:r w:rsidRPr="00C02E1D">
        <w:rPr>
          <w:rFonts w:ascii="Verdana" w:hAnsi="Verdana"/>
          <w:sz w:val="20"/>
          <w:szCs w:val="20"/>
        </w:rPr>
        <w:t>de la declaración de la presunta víctima</w:t>
      </w:r>
      <w:r w:rsidR="008A274C" w:rsidRPr="00C02E1D">
        <w:rPr>
          <w:rFonts w:ascii="Verdana" w:hAnsi="Verdana"/>
          <w:sz w:val="20"/>
          <w:szCs w:val="20"/>
        </w:rPr>
        <w:t xml:space="preserve"> y testigos, </w:t>
      </w:r>
      <w:r w:rsidRPr="00C02E1D">
        <w:rPr>
          <w:rFonts w:ascii="Verdana" w:hAnsi="Verdana"/>
          <w:sz w:val="20"/>
          <w:szCs w:val="20"/>
        </w:rPr>
        <w:t>así como de las pruebas periciales ofrecidas por el repr</w:t>
      </w:r>
      <w:r w:rsidR="00DF37A8" w:rsidRPr="00C02E1D">
        <w:rPr>
          <w:rFonts w:ascii="Verdana" w:hAnsi="Verdana"/>
          <w:sz w:val="20"/>
          <w:szCs w:val="20"/>
        </w:rPr>
        <w:t>esentante</w:t>
      </w:r>
      <w:r w:rsidR="00034B76">
        <w:rPr>
          <w:rFonts w:ascii="Verdana" w:hAnsi="Verdana"/>
          <w:sz w:val="20"/>
          <w:szCs w:val="20"/>
        </w:rPr>
        <w:t>; b</w:t>
      </w:r>
      <w:r w:rsidR="00C23E5E" w:rsidRPr="00C02E1D">
        <w:rPr>
          <w:rFonts w:ascii="Verdana" w:hAnsi="Verdana"/>
          <w:sz w:val="20"/>
          <w:szCs w:val="20"/>
        </w:rPr>
        <w:t xml:space="preserve">) la </w:t>
      </w:r>
      <w:r w:rsidR="00CE609F" w:rsidRPr="00C02E1D">
        <w:rPr>
          <w:rFonts w:ascii="Verdana" w:hAnsi="Verdana" w:cs="92iergz"/>
          <w:sz w:val="20"/>
          <w:szCs w:val="20"/>
          <w:lang w:val="es-MX"/>
        </w:rPr>
        <w:t xml:space="preserve">solicitud </w:t>
      </w:r>
      <w:r w:rsidR="001E265F">
        <w:rPr>
          <w:rFonts w:ascii="Verdana" w:hAnsi="Verdana" w:cs="92iergz"/>
          <w:sz w:val="20"/>
          <w:szCs w:val="20"/>
          <w:lang w:val="es-MX"/>
        </w:rPr>
        <w:t xml:space="preserve">de la Comisión </w:t>
      </w:r>
      <w:r w:rsidR="00CE609F" w:rsidRPr="00C02E1D">
        <w:rPr>
          <w:rFonts w:ascii="Verdana" w:hAnsi="Verdana" w:cs="92iergz"/>
          <w:sz w:val="20"/>
          <w:szCs w:val="20"/>
          <w:lang w:val="es-MX"/>
        </w:rPr>
        <w:t>de traslado</w:t>
      </w:r>
      <w:r w:rsidR="00210E20" w:rsidRPr="00C02E1D">
        <w:rPr>
          <w:rFonts w:ascii="Verdana" w:hAnsi="Verdana" w:cs="92iergz"/>
          <w:sz w:val="20"/>
          <w:szCs w:val="20"/>
          <w:lang w:val="es-MX"/>
        </w:rPr>
        <w:t xml:space="preserve"> </w:t>
      </w:r>
      <w:r w:rsidR="00680251" w:rsidRPr="00C02E1D">
        <w:rPr>
          <w:rFonts w:ascii="Verdana" w:hAnsi="Verdana" w:cs="92iergz"/>
          <w:sz w:val="20"/>
          <w:szCs w:val="20"/>
          <w:lang w:val="es-MX"/>
        </w:rPr>
        <w:t xml:space="preserve">de </w:t>
      </w:r>
      <w:r w:rsidR="001E265F">
        <w:rPr>
          <w:rFonts w:ascii="Verdana" w:hAnsi="Verdana" w:cs="92iergz"/>
          <w:sz w:val="20"/>
          <w:szCs w:val="20"/>
          <w:lang w:val="es-MX"/>
        </w:rPr>
        <w:t xml:space="preserve">un </w:t>
      </w:r>
      <w:r w:rsidR="00680251" w:rsidRPr="00C02E1D">
        <w:rPr>
          <w:rFonts w:ascii="Verdana" w:hAnsi="Verdana" w:cs="92iergz"/>
          <w:sz w:val="20"/>
          <w:szCs w:val="20"/>
          <w:lang w:val="es-MX"/>
        </w:rPr>
        <w:t>peritaje</w:t>
      </w:r>
      <w:r w:rsidR="00210E20" w:rsidRPr="00C02E1D">
        <w:rPr>
          <w:rFonts w:ascii="Verdana" w:hAnsi="Verdana" w:cs="92iergz"/>
          <w:sz w:val="20"/>
          <w:szCs w:val="20"/>
          <w:lang w:val="es-MX"/>
        </w:rPr>
        <w:t xml:space="preserve"> </w:t>
      </w:r>
      <w:r w:rsidR="00520432" w:rsidRPr="00C02E1D">
        <w:rPr>
          <w:rFonts w:ascii="Verdana" w:hAnsi="Verdana" w:cs="92iergz"/>
          <w:sz w:val="20"/>
          <w:szCs w:val="20"/>
          <w:lang w:val="es-MX"/>
        </w:rPr>
        <w:t xml:space="preserve">rendido en </w:t>
      </w:r>
      <w:r w:rsidR="00210E20" w:rsidRPr="00C02E1D">
        <w:rPr>
          <w:rFonts w:ascii="Verdana" w:hAnsi="Verdana" w:cs="92iergz"/>
          <w:sz w:val="20"/>
          <w:szCs w:val="20"/>
          <w:lang w:val="es-MX"/>
        </w:rPr>
        <w:t>otros casos</w:t>
      </w:r>
      <w:r w:rsidR="00034B76">
        <w:rPr>
          <w:rFonts w:ascii="Verdana" w:hAnsi="Verdana"/>
          <w:sz w:val="20"/>
          <w:szCs w:val="20"/>
        </w:rPr>
        <w:t>; c</w:t>
      </w:r>
      <w:r w:rsidR="00C23E5E" w:rsidRPr="00C02E1D">
        <w:rPr>
          <w:rFonts w:ascii="Verdana" w:hAnsi="Verdana"/>
          <w:sz w:val="20"/>
          <w:szCs w:val="20"/>
        </w:rPr>
        <w:t xml:space="preserve">) la admisibilidad </w:t>
      </w:r>
      <w:r w:rsidRPr="00C02E1D">
        <w:rPr>
          <w:rFonts w:ascii="Verdana" w:hAnsi="Verdana"/>
          <w:sz w:val="20"/>
          <w:szCs w:val="20"/>
        </w:rPr>
        <w:t xml:space="preserve">de las </w:t>
      </w:r>
      <w:r w:rsidR="00CF45AF" w:rsidRPr="00C02E1D">
        <w:rPr>
          <w:rFonts w:ascii="Verdana" w:hAnsi="Verdana"/>
          <w:sz w:val="20"/>
          <w:szCs w:val="20"/>
        </w:rPr>
        <w:t xml:space="preserve">periciales </w:t>
      </w:r>
      <w:r w:rsidR="00CE609F" w:rsidRPr="00C02E1D">
        <w:rPr>
          <w:rFonts w:ascii="Verdana" w:hAnsi="Verdana"/>
          <w:sz w:val="20"/>
          <w:szCs w:val="20"/>
        </w:rPr>
        <w:t>ofrecidas por el Estado</w:t>
      </w:r>
      <w:r w:rsidR="0096402A" w:rsidRPr="00C02E1D">
        <w:rPr>
          <w:rFonts w:ascii="Verdana" w:hAnsi="Verdana"/>
          <w:sz w:val="20"/>
          <w:szCs w:val="20"/>
        </w:rPr>
        <w:t xml:space="preserve"> y solicitud de sustitución de perito</w:t>
      </w:r>
      <w:r w:rsidR="00CE609F" w:rsidRPr="00C02E1D">
        <w:rPr>
          <w:rFonts w:ascii="Verdana" w:hAnsi="Verdana"/>
          <w:sz w:val="20"/>
          <w:szCs w:val="20"/>
        </w:rPr>
        <w:t xml:space="preserve">; </w:t>
      </w:r>
      <w:r w:rsidR="00C96B81" w:rsidRPr="00C02E1D">
        <w:rPr>
          <w:rFonts w:ascii="Verdana" w:hAnsi="Verdana"/>
          <w:sz w:val="20"/>
          <w:szCs w:val="20"/>
        </w:rPr>
        <w:t>y</w:t>
      </w:r>
      <w:r w:rsidR="00CF45AF" w:rsidRPr="00C02E1D">
        <w:rPr>
          <w:rFonts w:ascii="Verdana" w:hAnsi="Verdana"/>
          <w:sz w:val="20"/>
          <w:szCs w:val="20"/>
        </w:rPr>
        <w:t xml:space="preserve"> </w:t>
      </w:r>
      <w:r w:rsidR="00034B76">
        <w:rPr>
          <w:rFonts w:ascii="Verdana" w:hAnsi="Verdana"/>
          <w:sz w:val="20"/>
          <w:szCs w:val="20"/>
        </w:rPr>
        <w:t>d</w:t>
      </w:r>
      <w:r w:rsidR="00CF45AF" w:rsidRPr="00C02E1D">
        <w:rPr>
          <w:rFonts w:ascii="Verdana" w:hAnsi="Verdana"/>
          <w:sz w:val="20"/>
          <w:szCs w:val="20"/>
        </w:rPr>
        <w:t xml:space="preserve">) </w:t>
      </w:r>
      <w:r w:rsidRPr="00C02E1D">
        <w:rPr>
          <w:rFonts w:ascii="Verdana" w:hAnsi="Verdana"/>
          <w:sz w:val="20"/>
          <w:szCs w:val="20"/>
        </w:rPr>
        <w:t>la aplicación del Fondo de Asistencia Legal de Víctimas de la Corte</w:t>
      </w:r>
      <w:r w:rsidR="00FC5437" w:rsidRPr="00C02E1D">
        <w:rPr>
          <w:rFonts w:ascii="Verdana" w:hAnsi="Verdana"/>
          <w:sz w:val="20"/>
          <w:szCs w:val="20"/>
        </w:rPr>
        <w:t>.</w:t>
      </w:r>
      <w:r w:rsidR="00E90FE1" w:rsidRPr="00C02E1D">
        <w:rPr>
          <w:rFonts w:ascii="Verdana" w:hAnsi="Verdana"/>
          <w:sz w:val="20"/>
          <w:szCs w:val="20"/>
        </w:rPr>
        <w:t xml:space="preserve"> </w:t>
      </w:r>
    </w:p>
    <w:p w14:paraId="43C0E108" w14:textId="77777777" w:rsidR="004A7D6A" w:rsidRPr="00C02E1D" w:rsidRDefault="004A7D6A" w:rsidP="0030244A">
      <w:pPr>
        <w:pStyle w:val="Normal1"/>
        <w:widowControl/>
        <w:contextualSpacing/>
        <w:jc w:val="both"/>
        <w:rPr>
          <w:rFonts w:ascii="Verdana" w:hAnsi="Verdana"/>
          <w:b/>
          <w:sz w:val="20"/>
          <w:szCs w:val="20"/>
        </w:rPr>
      </w:pPr>
    </w:p>
    <w:p w14:paraId="5985BC42" w14:textId="77777777" w:rsidR="005F5871" w:rsidRPr="00C02E1D" w:rsidRDefault="00856CC0" w:rsidP="00034B76">
      <w:pPr>
        <w:spacing w:line="240" w:lineRule="auto"/>
        <w:jc w:val="both"/>
        <w:outlineLvl w:val="0"/>
        <w:rPr>
          <w:rFonts w:ascii="Verdana" w:hAnsi="Verdana"/>
          <w:b/>
          <w:i/>
          <w:sz w:val="20"/>
          <w:szCs w:val="20"/>
          <w:lang w:val="es-CR"/>
        </w:rPr>
      </w:pPr>
      <w:r w:rsidRPr="00C02E1D">
        <w:rPr>
          <w:rFonts w:ascii="Verdana" w:hAnsi="Verdana"/>
          <w:b/>
          <w:i/>
          <w:sz w:val="20"/>
          <w:szCs w:val="20"/>
          <w:lang w:val="es-CR"/>
        </w:rPr>
        <w:t>A)</w:t>
      </w:r>
      <w:r w:rsidRPr="00C02E1D">
        <w:rPr>
          <w:rFonts w:ascii="Verdana" w:hAnsi="Verdana"/>
          <w:b/>
          <w:i/>
          <w:sz w:val="20"/>
          <w:szCs w:val="20"/>
          <w:lang w:val="es-CR"/>
        </w:rPr>
        <w:tab/>
      </w:r>
      <w:r w:rsidR="00C23E5E" w:rsidRPr="00C02E1D">
        <w:rPr>
          <w:rFonts w:ascii="Verdana" w:hAnsi="Verdana"/>
          <w:b/>
          <w:i/>
          <w:sz w:val="20"/>
          <w:szCs w:val="20"/>
          <w:lang w:val="es-MX"/>
        </w:rPr>
        <w:t>Admisibilidad</w:t>
      </w:r>
      <w:r w:rsidR="00106D11" w:rsidRPr="00C02E1D">
        <w:rPr>
          <w:rFonts w:ascii="Verdana" w:hAnsi="Verdana"/>
          <w:b/>
          <w:i/>
          <w:sz w:val="20"/>
          <w:szCs w:val="20"/>
          <w:lang w:val="es-MX"/>
        </w:rPr>
        <w:t xml:space="preserve"> </w:t>
      </w:r>
      <w:r w:rsidR="001C1FBA" w:rsidRPr="00C02E1D">
        <w:rPr>
          <w:rFonts w:ascii="Verdana" w:hAnsi="Verdana"/>
          <w:b/>
          <w:i/>
          <w:sz w:val="20"/>
          <w:szCs w:val="20"/>
          <w:lang w:val="es-MX"/>
        </w:rPr>
        <w:t>de la declaración de la presunta víctima</w:t>
      </w:r>
      <w:r w:rsidR="008A274C" w:rsidRPr="00C02E1D">
        <w:rPr>
          <w:rFonts w:ascii="Verdana" w:hAnsi="Verdana"/>
          <w:b/>
          <w:i/>
          <w:sz w:val="20"/>
          <w:szCs w:val="20"/>
          <w:lang w:val="es-MX"/>
        </w:rPr>
        <w:t xml:space="preserve"> y de testigos</w:t>
      </w:r>
    </w:p>
    <w:p w14:paraId="7A940D55" w14:textId="77777777" w:rsidR="00C23E5E" w:rsidRPr="00C02E1D" w:rsidRDefault="00C23E5E" w:rsidP="00034B76">
      <w:pPr>
        <w:pStyle w:val="Prrafodelista"/>
        <w:spacing w:line="240" w:lineRule="auto"/>
        <w:jc w:val="both"/>
        <w:outlineLvl w:val="0"/>
        <w:rPr>
          <w:rFonts w:ascii="Verdana" w:hAnsi="Verdana"/>
          <w:b/>
          <w:i/>
          <w:sz w:val="20"/>
          <w:szCs w:val="20"/>
          <w:lang w:val="es-CR"/>
        </w:rPr>
      </w:pPr>
      <w:r w:rsidRPr="00C02E1D">
        <w:rPr>
          <w:rFonts w:ascii="Verdana" w:hAnsi="Verdana"/>
          <w:b/>
          <w:i/>
          <w:sz w:val="20"/>
          <w:szCs w:val="20"/>
          <w:lang w:val="es-MX"/>
        </w:rPr>
        <w:t>A.1 Objeciones del Estado</w:t>
      </w:r>
      <w:r w:rsidR="00165A27" w:rsidRPr="00C02E1D">
        <w:rPr>
          <w:rFonts w:ascii="Verdana" w:hAnsi="Verdana"/>
          <w:b/>
          <w:i/>
          <w:sz w:val="20"/>
          <w:szCs w:val="20"/>
          <w:lang w:val="es-MX"/>
        </w:rPr>
        <w:t xml:space="preserve"> a las declaraciones</w:t>
      </w:r>
      <w:r w:rsidR="00DF37A8" w:rsidRPr="00C02E1D">
        <w:rPr>
          <w:rFonts w:ascii="Verdana" w:hAnsi="Verdana"/>
          <w:sz w:val="20"/>
          <w:szCs w:val="20"/>
          <w:lang w:val="es-MX"/>
        </w:rPr>
        <w:t xml:space="preserve"> </w:t>
      </w:r>
      <w:r w:rsidR="00DF37A8" w:rsidRPr="00C02E1D">
        <w:rPr>
          <w:rFonts w:ascii="Verdana" w:hAnsi="Verdana"/>
          <w:b/>
          <w:i/>
          <w:sz w:val="20"/>
          <w:szCs w:val="20"/>
          <w:lang w:val="es-MX"/>
        </w:rPr>
        <w:t xml:space="preserve">de los familiares de la presunta víctima </w:t>
      </w:r>
    </w:p>
    <w:p w14:paraId="1CD08286" w14:textId="77777777" w:rsidR="00106D11" w:rsidRPr="00C02E1D" w:rsidRDefault="00106D11" w:rsidP="0030244A">
      <w:pPr>
        <w:pStyle w:val="Normal1"/>
        <w:widowControl/>
        <w:numPr>
          <w:ilvl w:val="0"/>
          <w:numId w:val="34"/>
        </w:numPr>
        <w:ind w:left="0" w:firstLine="0"/>
        <w:contextualSpacing/>
        <w:jc w:val="both"/>
        <w:rPr>
          <w:rFonts w:ascii="Verdana" w:hAnsi="Verdana"/>
          <w:sz w:val="20"/>
          <w:szCs w:val="20"/>
        </w:rPr>
      </w:pPr>
      <w:r w:rsidRPr="00C02E1D">
        <w:rPr>
          <w:rFonts w:ascii="Verdana" w:hAnsi="Verdana"/>
          <w:sz w:val="20"/>
          <w:szCs w:val="20"/>
        </w:rPr>
        <w:t xml:space="preserve">El </w:t>
      </w:r>
      <w:r w:rsidRPr="00C02E1D">
        <w:rPr>
          <w:rFonts w:ascii="Verdana" w:hAnsi="Verdana"/>
          <w:b/>
          <w:i/>
          <w:sz w:val="20"/>
          <w:szCs w:val="20"/>
        </w:rPr>
        <w:t>representante</w:t>
      </w:r>
      <w:r w:rsidRPr="00C02E1D">
        <w:rPr>
          <w:rFonts w:ascii="Verdana" w:hAnsi="Verdana"/>
          <w:sz w:val="20"/>
          <w:szCs w:val="20"/>
        </w:rPr>
        <w:t xml:space="preserve"> ofreció la declaración del señor Mario Montesinos Mejía, presunta víctima, respecto de “los hechos del caso y la forma que la intervención del Estado le ha perjudicado a él y su familia”. Además, ofreció la declaración de su cónyuge Marcia González Rubio y de sus hijos María, Maritza y Vinicio</w:t>
      </w:r>
      <w:r w:rsidR="009F0BEC" w:rsidRPr="00C02E1D">
        <w:rPr>
          <w:rFonts w:ascii="Verdana" w:hAnsi="Verdana"/>
          <w:sz w:val="20"/>
          <w:szCs w:val="20"/>
        </w:rPr>
        <w:t xml:space="preserve"> </w:t>
      </w:r>
      <w:r w:rsidRPr="00C02E1D">
        <w:rPr>
          <w:rFonts w:ascii="Verdana" w:hAnsi="Verdana"/>
          <w:sz w:val="20"/>
          <w:szCs w:val="20"/>
        </w:rPr>
        <w:t>Montesinos González, para declarar sobre “los hechos del caso y los efectos que la intervención del Estado han tenido para [ellos] y otros de los miembros de su familia”</w:t>
      </w:r>
      <w:r w:rsidR="002300F9">
        <w:rPr>
          <w:rFonts w:ascii="Verdana" w:hAnsi="Verdana"/>
          <w:sz w:val="20"/>
          <w:szCs w:val="20"/>
        </w:rPr>
        <w:t>.</w:t>
      </w:r>
      <w:r w:rsidRPr="00C02E1D">
        <w:rPr>
          <w:rFonts w:ascii="Verdana" w:hAnsi="Verdana"/>
          <w:sz w:val="20"/>
          <w:szCs w:val="20"/>
        </w:rPr>
        <w:t xml:space="preserve"> </w:t>
      </w:r>
    </w:p>
    <w:p w14:paraId="062BFFE9" w14:textId="77777777" w:rsidR="00106D11" w:rsidRPr="00C02E1D" w:rsidRDefault="00106D11" w:rsidP="0030244A">
      <w:pPr>
        <w:pStyle w:val="Normal1"/>
        <w:widowControl/>
        <w:contextualSpacing/>
        <w:jc w:val="both"/>
        <w:rPr>
          <w:rFonts w:ascii="Verdana" w:hAnsi="Verdana"/>
          <w:sz w:val="20"/>
          <w:szCs w:val="20"/>
        </w:rPr>
      </w:pPr>
    </w:p>
    <w:p w14:paraId="61054E15" w14:textId="77777777" w:rsidR="00106D11" w:rsidRPr="00164046" w:rsidRDefault="008A274C" w:rsidP="0030244A">
      <w:pPr>
        <w:pStyle w:val="Normal1"/>
        <w:widowControl/>
        <w:numPr>
          <w:ilvl w:val="0"/>
          <w:numId w:val="34"/>
        </w:numPr>
        <w:ind w:left="0" w:firstLine="0"/>
        <w:contextualSpacing/>
        <w:jc w:val="both"/>
        <w:rPr>
          <w:rFonts w:ascii="Verdana" w:hAnsi="Verdana"/>
          <w:b/>
          <w:sz w:val="20"/>
          <w:szCs w:val="20"/>
        </w:rPr>
      </w:pPr>
      <w:r w:rsidRPr="00C02E1D">
        <w:rPr>
          <w:rFonts w:ascii="Verdana" w:hAnsi="Verdana"/>
          <w:sz w:val="20"/>
          <w:szCs w:val="20"/>
        </w:rPr>
        <w:t>El</w:t>
      </w:r>
      <w:r w:rsidR="00106D11" w:rsidRPr="00C02E1D">
        <w:rPr>
          <w:rFonts w:ascii="Verdana" w:hAnsi="Verdana"/>
          <w:sz w:val="20"/>
          <w:szCs w:val="20"/>
        </w:rPr>
        <w:t xml:space="preserve"> </w:t>
      </w:r>
      <w:r w:rsidR="00106D11" w:rsidRPr="00C02E1D">
        <w:rPr>
          <w:rFonts w:ascii="Verdana" w:hAnsi="Verdana"/>
          <w:b/>
          <w:i/>
          <w:sz w:val="20"/>
          <w:szCs w:val="20"/>
        </w:rPr>
        <w:t>Estado</w:t>
      </w:r>
      <w:r w:rsidR="00106D11" w:rsidRPr="00C02E1D">
        <w:rPr>
          <w:rFonts w:ascii="Verdana" w:hAnsi="Verdana"/>
          <w:sz w:val="20"/>
          <w:szCs w:val="20"/>
        </w:rPr>
        <w:t xml:space="preserve"> objetó las declaraciones de dichos familiares en razón </w:t>
      </w:r>
      <w:r w:rsidRPr="00C02E1D">
        <w:rPr>
          <w:rFonts w:ascii="Verdana" w:hAnsi="Verdana"/>
          <w:sz w:val="20"/>
          <w:szCs w:val="20"/>
        </w:rPr>
        <w:t>a</w:t>
      </w:r>
      <w:r w:rsidR="00106D11" w:rsidRPr="00C02E1D">
        <w:rPr>
          <w:rFonts w:ascii="Verdana" w:hAnsi="Verdana"/>
          <w:sz w:val="20"/>
          <w:szCs w:val="20"/>
        </w:rPr>
        <w:t xml:space="preserve"> que el objeto propuesto de las mismas se refiere a los efectos que habrían tenido los hechos del caso dentro del conjunto familiar</w:t>
      </w:r>
      <w:r w:rsidRPr="00C02E1D">
        <w:rPr>
          <w:rFonts w:ascii="Verdana" w:hAnsi="Verdana"/>
          <w:sz w:val="20"/>
          <w:szCs w:val="20"/>
        </w:rPr>
        <w:t xml:space="preserve">. Sin embargo, el Estado sostiene que en el Informe de Fondo la Comisión </w:t>
      </w:r>
      <w:r w:rsidR="00106D11" w:rsidRPr="00C02E1D">
        <w:rPr>
          <w:rFonts w:ascii="Verdana" w:hAnsi="Verdana"/>
          <w:sz w:val="20"/>
          <w:szCs w:val="20"/>
        </w:rPr>
        <w:t>determinó como única víctima al señor Mari</w:t>
      </w:r>
      <w:r w:rsidR="00B8357A" w:rsidRPr="00C02E1D">
        <w:rPr>
          <w:rFonts w:ascii="Verdana" w:hAnsi="Verdana"/>
          <w:sz w:val="20"/>
          <w:szCs w:val="20"/>
        </w:rPr>
        <w:t>o Alfonso Montesinos Mejía</w:t>
      </w:r>
      <w:r w:rsidRPr="00C02E1D">
        <w:rPr>
          <w:rFonts w:ascii="Verdana" w:hAnsi="Verdana"/>
          <w:sz w:val="20"/>
          <w:szCs w:val="20"/>
        </w:rPr>
        <w:t>,</w:t>
      </w:r>
      <w:r w:rsidR="00B8357A" w:rsidRPr="00C02E1D">
        <w:rPr>
          <w:rFonts w:ascii="Verdana" w:hAnsi="Verdana"/>
          <w:sz w:val="20"/>
          <w:szCs w:val="20"/>
        </w:rPr>
        <w:t xml:space="preserve"> por</w:t>
      </w:r>
      <w:r w:rsidRPr="00C02E1D">
        <w:rPr>
          <w:rFonts w:ascii="Verdana" w:hAnsi="Verdana"/>
          <w:sz w:val="20"/>
          <w:szCs w:val="20"/>
        </w:rPr>
        <w:t xml:space="preserve"> lo que</w:t>
      </w:r>
      <w:r w:rsidR="00B8357A" w:rsidRPr="00C02E1D">
        <w:rPr>
          <w:rFonts w:ascii="Verdana" w:hAnsi="Verdana"/>
          <w:sz w:val="20"/>
          <w:szCs w:val="20"/>
        </w:rPr>
        <w:t xml:space="preserve"> </w:t>
      </w:r>
      <w:r w:rsidR="00106D11" w:rsidRPr="00C02E1D">
        <w:rPr>
          <w:rFonts w:ascii="Verdana" w:hAnsi="Verdana"/>
          <w:sz w:val="20"/>
          <w:szCs w:val="20"/>
        </w:rPr>
        <w:t xml:space="preserve">tales declaraciones </w:t>
      </w:r>
      <w:r w:rsidR="00B8357A" w:rsidRPr="00C02E1D">
        <w:rPr>
          <w:rFonts w:ascii="Verdana" w:hAnsi="Verdana"/>
          <w:sz w:val="20"/>
          <w:szCs w:val="20"/>
        </w:rPr>
        <w:t xml:space="preserve">debían </w:t>
      </w:r>
      <w:r w:rsidR="00106D11" w:rsidRPr="00C02E1D">
        <w:rPr>
          <w:rFonts w:ascii="Verdana" w:hAnsi="Verdana"/>
          <w:sz w:val="20"/>
          <w:szCs w:val="20"/>
        </w:rPr>
        <w:t xml:space="preserve">ser desechadas </w:t>
      </w:r>
      <w:r w:rsidR="00B8357A" w:rsidRPr="00C02E1D">
        <w:rPr>
          <w:rFonts w:ascii="Verdana" w:hAnsi="Verdana"/>
          <w:sz w:val="20"/>
          <w:szCs w:val="20"/>
        </w:rPr>
        <w:t xml:space="preserve">ya que </w:t>
      </w:r>
      <w:r w:rsidR="00106D11" w:rsidRPr="00C02E1D">
        <w:rPr>
          <w:rFonts w:ascii="Verdana" w:hAnsi="Verdana"/>
          <w:sz w:val="20"/>
          <w:szCs w:val="20"/>
        </w:rPr>
        <w:t xml:space="preserve">no </w:t>
      </w:r>
      <w:r w:rsidR="00B8357A" w:rsidRPr="00C02E1D">
        <w:rPr>
          <w:rFonts w:ascii="Verdana" w:hAnsi="Verdana"/>
          <w:sz w:val="20"/>
          <w:szCs w:val="20"/>
        </w:rPr>
        <w:t>hab</w:t>
      </w:r>
      <w:r w:rsidR="007448AA" w:rsidRPr="00C02E1D">
        <w:rPr>
          <w:rFonts w:ascii="Verdana" w:hAnsi="Verdana"/>
          <w:sz w:val="20"/>
          <w:szCs w:val="20"/>
        </w:rPr>
        <w:t>r</w:t>
      </w:r>
      <w:r w:rsidR="00B8357A" w:rsidRPr="00C02E1D">
        <w:rPr>
          <w:rFonts w:ascii="Verdana" w:hAnsi="Verdana"/>
          <w:sz w:val="20"/>
          <w:szCs w:val="20"/>
        </w:rPr>
        <w:t xml:space="preserve">ía </w:t>
      </w:r>
      <w:r w:rsidR="00106D11" w:rsidRPr="00C02E1D">
        <w:rPr>
          <w:rFonts w:ascii="Verdana" w:hAnsi="Verdana"/>
          <w:sz w:val="20"/>
          <w:szCs w:val="20"/>
        </w:rPr>
        <w:t xml:space="preserve">relación alguna entre los hechos reconocidos en el Informe y </w:t>
      </w:r>
      <w:r w:rsidR="00A4032D" w:rsidRPr="00C02E1D">
        <w:rPr>
          <w:rFonts w:ascii="Verdana" w:hAnsi="Verdana"/>
          <w:sz w:val="20"/>
          <w:szCs w:val="20"/>
        </w:rPr>
        <w:t>posibles daños que hubieren</w:t>
      </w:r>
      <w:r w:rsidR="00106D11" w:rsidRPr="00C02E1D">
        <w:rPr>
          <w:rFonts w:ascii="Verdana" w:hAnsi="Verdana"/>
          <w:sz w:val="20"/>
          <w:szCs w:val="20"/>
        </w:rPr>
        <w:t xml:space="preserve"> sufrido los testigos</w:t>
      </w:r>
      <w:r w:rsidR="00A4032D" w:rsidRPr="00C02E1D">
        <w:rPr>
          <w:rFonts w:ascii="Verdana" w:hAnsi="Verdana"/>
          <w:sz w:val="20"/>
          <w:szCs w:val="20"/>
        </w:rPr>
        <w:t>,</w:t>
      </w:r>
      <w:r w:rsidR="00B8357A" w:rsidRPr="00C02E1D">
        <w:rPr>
          <w:rFonts w:ascii="Verdana" w:hAnsi="Verdana"/>
          <w:sz w:val="20"/>
          <w:szCs w:val="20"/>
        </w:rPr>
        <w:t xml:space="preserve"> y de admitirse</w:t>
      </w:r>
      <w:r w:rsidR="00481DA6" w:rsidRPr="00C02E1D">
        <w:rPr>
          <w:rFonts w:ascii="Verdana" w:hAnsi="Verdana"/>
          <w:sz w:val="20"/>
          <w:szCs w:val="20"/>
        </w:rPr>
        <w:t>,</w:t>
      </w:r>
      <w:r w:rsidR="00106D11" w:rsidRPr="00C02E1D">
        <w:rPr>
          <w:rFonts w:ascii="Verdana" w:hAnsi="Verdana"/>
          <w:sz w:val="20"/>
          <w:szCs w:val="20"/>
        </w:rPr>
        <w:t xml:space="preserve"> se </w:t>
      </w:r>
      <w:r w:rsidR="00A4032D" w:rsidRPr="00C02E1D">
        <w:rPr>
          <w:rFonts w:ascii="Verdana" w:hAnsi="Verdana"/>
          <w:sz w:val="20"/>
          <w:szCs w:val="20"/>
        </w:rPr>
        <w:t>generaría</w:t>
      </w:r>
      <w:r w:rsidR="00106D11" w:rsidRPr="00C02E1D">
        <w:rPr>
          <w:rFonts w:ascii="Verdana" w:hAnsi="Verdana"/>
          <w:sz w:val="20"/>
          <w:szCs w:val="20"/>
        </w:rPr>
        <w:t xml:space="preserve"> un grave perjuicio</w:t>
      </w:r>
      <w:r w:rsidR="00481DA6" w:rsidRPr="00C02E1D">
        <w:rPr>
          <w:rFonts w:ascii="Verdana" w:hAnsi="Verdana"/>
          <w:sz w:val="20"/>
          <w:szCs w:val="20"/>
        </w:rPr>
        <w:t xml:space="preserve"> de fondo</w:t>
      </w:r>
      <w:r w:rsidR="00106D11" w:rsidRPr="00C02E1D">
        <w:rPr>
          <w:rFonts w:ascii="Verdana" w:hAnsi="Verdana"/>
          <w:sz w:val="20"/>
          <w:szCs w:val="20"/>
        </w:rPr>
        <w:t xml:space="preserve"> al derecho de</w:t>
      </w:r>
      <w:r w:rsidR="00B8357A" w:rsidRPr="00C02E1D">
        <w:rPr>
          <w:rFonts w:ascii="Verdana" w:hAnsi="Verdana"/>
          <w:sz w:val="20"/>
          <w:szCs w:val="20"/>
        </w:rPr>
        <w:t xml:space="preserve"> defensa del Estado</w:t>
      </w:r>
      <w:r w:rsidR="002300F9">
        <w:rPr>
          <w:rFonts w:ascii="Verdana" w:hAnsi="Verdana"/>
          <w:sz w:val="20"/>
          <w:szCs w:val="20"/>
        </w:rPr>
        <w:t>.</w:t>
      </w:r>
      <w:r w:rsidR="00C87775" w:rsidRPr="00C02E1D">
        <w:rPr>
          <w:rFonts w:ascii="Verdana" w:hAnsi="Verdana"/>
          <w:sz w:val="20"/>
          <w:szCs w:val="20"/>
        </w:rPr>
        <w:t xml:space="preserve"> </w:t>
      </w:r>
      <w:r w:rsidR="00106D11" w:rsidRPr="00C02E1D">
        <w:rPr>
          <w:rFonts w:ascii="Verdana" w:hAnsi="Verdana"/>
          <w:sz w:val="20"/>
          <w:szCs w:val="20"/>
        </w:rPr>
        <w:t xml:space="preserve">Además, en sus observaciones a la lista </w:t>
      </w:r>
      <w:r w:rsidR="00BC74A9" w:rsidRPr="00C02E1D">
        <w:rPr>
          <w:rFonts w:ascii="Verdana" w:hAnsi="Verdana"/>
          <w:sz w:val="20"/>
          <w:szCs w:val="20"/>
        </w:rPr>
        <w:t xml:space="preserve">definitiva, </w:t>
      </w:r>
      <w:r w:rsidR="00106D11" w:rsidRPr="00C02E1D">
        <w:rPr>
          <w:rFonts w:ascii="Verdana" w:hAnsi="Verdana"/>
          <w:sz w:val="20"/>
          <w:szCs w:val="20"/>
        </w:rPr>
        <w:t xml:space="preserve">manifestó que las personas propuestas no </w:t>
      </w:r>
      <w:r w:rsidR="00B8357A" w:rsidRPr="00C02E1D">
        <w:rPr>
          <w:rFonts w:ascii="Verdana" w:hAnsi="Verdana"/>
          <w:sz w:val="20"/>
          <w:szCs w:val="20"/>
        </w:rPr>
        <w:t xml:space="preserve">eran </w:t>
      </w:r>
      <w:r w:rsidR="00106D11" w:rsidRPr="00C02E1D">
        <w:rPr>
          <w:rFonts w:ascii="Verdana" w:hAnsi="Verdana"/>
          <w:sz w:val="20"/>
          <w:szCs w:val="20"/>
        </w:rPr>
        <w:t>testigos idóneos</w:t>
      </w:r>
      <w:r w:rsidR="00B8357A" w:rsidRPr="00C02E1D">
        <w:rPr>
          <w:rFonts w:ascii="Verdana" w:hAnsi="Verdana"/>
          <w:sz w:val="20"/>
          <w:szCs w:val="20"/>
        </w:rPr>
        <w:t xml:space="preserve"> ya que no s</w:t>
      </w:r>
      <w:r w:rsidR="00106D11" w:rsidRPr="00C02E1D">
        <w:rPr>
          <w:rFonts w:ascii="Verdana" w:hAnsi="Verdana"/>
          <w:sz w:val="20"/>
          <w:szCs w:val="20"/>
        </w:rPr>
        <w:t>e especifica</w:t>
      </w:r>
      <w:r w:rsidR="00B8357A" w:rsidRPr="00C02E1D">
        <w:rPr>
          <w:rFonts w:ascii="Verdana" w:hAnsi="Verdana"/>
          <w:sz w:val="20"/>
          <w:szCs w:val="20"/>
        </w:rPr>
        <w:t>ba</w:t>
      </w:r>
      <w:r w:rsidR="00106D11" w:rsidRPr="00C02E1D">
        <w:rPr>
          <w:rFonts w:ascii="Verdana" w:hAnsi="Verdana"/>
          <w:sz w:val="20"/>
          <w:szCs w:val="20"/>
        </w:rPr>
        <w:t xml:space="preserve"> sobre qué tipo de hechos versaría su testimonio o si su conocimiento de tales hechos e</w:t>
      </w:r>
      <w:r w:rsidR="00B8357A" w:rsidRPr="00C02E1D">
        <w:rPr>
          <w:rFonts w:ascii="Verdana" w:hAnsi="Verdana"/>
          <w:sz w:val="20"/>
          <w:szCs w:val="20"/>
        </w:rPr>
        <w:t>ra</w:t>
      </w:r>
      <w:r w:rsidR="00106D11" w:rsidRPr="00C02E1D">
        <w:rPr>
          <w:rFonts w:ascii="Verdana" w:hAnsi="Verdana"/>
          <w:sz w:val="20"/>
          <w:szCs w:val="20"/>
        </w:rPr>
        <w:t xml:space="preserve"> directo o indirecto, y que el objeto de sus declaraciones presenta</w:t>
      </w:r>
      <w:r w:rsidR="00A4032D" w:rsidRPr="00C02E1D">
        <w:rPr>
          <w:rFonts w:ascii="Verdana" w:hAnsi="Verdana"/>
          <w:sz w:val="20"/>
          <w:szCs w:val="20"/>
        </w:rPr>
        <w:t xml:space="preserve">ba </w:t>
      </w:r>
      <w:r w:rsidR="00106D11" w:rsidRPr="00C02E1D">
        <w:rPr>
          <w:rFonts w:ascii="Verdana" w:hAnsi="Verdana"/>
          <w:sz w:val="20"/>
          <w:szCs w:val="20"/>
        </w:rPr>
        <w:t>una anomalía procesal que deb</w:t>
      </w:r>
      <w:r w:rsidR="00A4032D" w:rsidRPr="00C02E1D">
        <w:rPr>
          <w:rFonts w:ascii="Verdana" w:hAnsi="Verdana"/>
          <w:sz w:val="20"/>
          <w:szCs w:val="20"/>
        </w:rPr>
        <w:t>ía</w:t>
      </w:r>
      <w:r w:rsidR="00106D11" w:rsidRPr="00C02E1D">
        <w:rPr>
          <w:rFonts w:ascii="Verdana" w:hAnsi="Verdana"/>
          <w:sz w:val="20"/>
          <w:szCs w:val="20"/>
        </w:rPr>
        <w:t xml:space="preserve"> ser examinada, puesto que la imprecisión con la</w:t>
      </w:r>
      <w:r w:rsidR="00A4032D" w:rsidRPr="00C02E1D">
        <w:rPr>
          <w:rFonts w:ascii="Verdana" w:hAnsi="Verdana"/>
          <w:sz w:val="20"/>
          <w:szCs w:val="20"/>
        </w:rPr>
        <w:t xml:space="preserve"> que ha</w:t>
      </w:r>
      <w:r w:rsidR="00C96B81" w:rsidRPr="00C02E1D">
        <w:rPr>
          <w:rFonts w:ascii="Verdana" w:hAnsi="Verdana"/>
          <w:sz w:val="20"/>
          <w:szCs w:val="20"/>
        </w:rPr>
        <w:t>brí</w:t>
      </w:r>
      <w:r w:rsidR="00481DA6" w:rsidRPr="00C02E1D">
        <w:rPr>
          <w:rFonts w:ascii="Verdana" w:hAnsi="Verdana"/>
          <w:sz w:val="20"/>
          <w:szCs w:val="20"/>
        </w:rPr>
        <w:t>an</w:t>
      </w:r>
      <w:r w:rsidR="00A4032D" w:rsidRPr="00C02E1D">
        <w:rPr>
          <w:rFonts w:ascii="Verdana" w:hAnsi="Verdana"/>
          <w:sz w:val="20"/>
          <w:szCs w:val="20"/>
        </w:rPr>
        <w:t xml:space="preserve"> sido planteados lo</w:t>
      </w:r>
      <w:r w:rsidR="00106D11" w:rsidRPr="00C02E1D">
        <w:rPr>
          <w:rFonts w:ascii="Verdana" w:hAnsi="Verdana"/>
          <w:sz w:val="20"/>
          <w:szCs w:val="20"/>
        </w:rPr>
        <w:t>s ubica</w:t>
      </w:r>
      <w:r w:rsidR="00A4032D" w:rsidRPr="00C02E1D">
        <w:rPr>
          <w:rFonts w:ascii="Verdana" w:hAnsi="Verdana"/>
          <w:sz w:val="20"/>
          <w:szCs w:val="20"/>
        </w:rPr>
        <w:t>ba</w:t>
      </w:r>
      <w:r w:rsidR="00106D11" w:rsidRPr="00C02E1D">
        <w:rPr>
          <w:rFonts w:ascii="Verdana" w:hAnsi="Verdana"/>
          <w:sz w:val="20"/>
          <w:szCs w:val="20"/>
        </w:rPr>
        <w:t xml:space="preserve"> en una condición ambigua para referirse tanto a hechos del caso</w:t>
      </w:r>
      <w:r w:rsidR="00A4032D" w:rsidRPr="00C02E1D">
        <w:rPr>
          <w:rFonts w:ascii="Verdana" w:hAnsi="Verdana"/>
          <w:sz w:val="20"/>
          <w:szCs w:val="20"/>
        </w:rPr>
        <w:t>,</w:t>
      </w:r>
      <w:r w:rsidR="00106D11" w:rsidRPr="00C02E1D">
        <w:rPr>
          <w:rFonts w:ascii="Verdana" w:hAnsi="Verdana"/>
          <w:sz w:val="20"/>
          <w:szCs w:val="20"/>
        </w:rPr>
        <w:t xml:space="preserve"> como a los supuestos efectos que habría tenido la intervención del Estado en la persona del señor Montesinos Mejía. </w:t>
      </w:r>
    </w:p>
    <w:p w14:paraId="23915D90" w14:textId="77777777" w:rsidR="00106D11" w:rsidRPr="00C02E1D" w:rsidRDefault="00106D11" w:rsidP="0030244A">
      <w:pPr>
        <w:pStyle w:val="Normal1"/>
        <w:widowControl/>
        <w:contextualSpacing/>
        <w:jc w:val="both"/>
        <w:rPr>
          <w:rFonts w:ascii="Verdana" w:hAnsi="Verdana"/>
          <w:sz w:val="20"/>
          <w:szCs w:val="20"/>
        </w:rPr>
      </w:pPr>
    </w:p>
    <w:p w14:paraId="1ABF204D" w14:textId="77777777" w:rsidR="00497CF2" w:rsidRPr="00C02E1D" w:rsidRDefault="0016503F" w:rsidP="0030244A">
      <w:pPr>
        <w:pStyle w:val="Normal1"/>
        <w:widowControl/>
        <w:numPr>
          <w:ilvl w:val="0"/>
          <w:numId w:val="34"/>
        </w:numPr>
        <w:ind w:left="0" w:firstLine="0"/>
        <w:contextualSpacing/>
        <w:jc w:val="both"/>
        <w:rPr>
          <w:rFonts w:ascii="Verdana" w:hAnsi="Verdana"/>
          <w:sz w:val="20"/>
          <w:szCs w:val="20"/>
        </w:rPr>
      </w:pPr>
      <w:r w:rsidRPr="00C02E1D">
        <w:rPr>
          <w:rFonts w:ascii="Verdana" w:hAnsi="Verdana"/>
          <w:sz w:val="20"/>
          <w:szCs w:val="20"/>
        </w:rPr>
        <w:t>Al respecto</w:t>
      </w:r>
      <w:r w:rsidR="00787910" w:rsidRPr="00C02E1D">
        <w:rPr>
          <w:rFonts w:ascii="Verdana" w:hAnsi="Verdana"/>
          <w:sz w:val="20"/>
          <w:szCs w:val="20"/>
        </w:rPr>
        <w:t xml:space="preserve"> el </w:t>
      </w:r>
      <w:r w:rsidR="00787910" w:rsidRPr="00C02E1D">
        <w:rPr>
          <w:rFonts w:ascii="Verdana" w:hAnsi="Verdana"/>
          <w:b/>
          <w:i/>
          <w:sz w:val="20"/>
          <w:szCs w:val="20"/>
        </w:rPr>
        <w:t>Presidente</w:t>
      </w:r>
      <w:r w:rsidRPr="00C02E1D">
        <w:rPr>
          <w:rFonts w:ascii="Verdana" w:hAnsi="Verdana"/>
          <w:b/>
          <w:i/>
          <w:sz w:val="20"/>
          <w:szCs w:val="20"/>
        </w:rPr>
        <w:t xml:space="preserve"> </w:t>
      </w:r>
      <w:r w:rsidRPr="00C02E1D">
        <w:rPr>
          <w:rFonts w:ascii="Verdana" w:hAnsi="Verdana"/>
          <w:sz w:val="20"/>
          <w:szCs w:val="20"/>
        </w:rPr>
        <w:t xml:space="preserve">de la Corte considera </w:t>
      </w:r>
      <w:r w:rsidR="008C6D2F" w:rsidRPr="00C02E1D">
        <w:rPr>
          <w:rFonts w:ascii="Verdana" w:hAnsi="Verdana"/>
          <w:sz w:val="20"/>
          <w:szCs w:val="20"/>
        </w:rPr>
        <w:t xml:space="preserve">procedente recibir las declaraciones de los familiares, a efectos de apreciar su valor en la debida oportunidad procesal, tomando en cuenta las eventuales observaciones de las partes sobre el valor o peso probatorio de las declaraciones. Sin embargo, en razón </w:t>
      </w:r>
      <w:r w:rsidR="00481DA6" w:rsidRPr="00C02E1D">
        <w:rPr>
          <w:rFonts w:ascii="Verdana" w:hAnsi="Verdana"/>
          <w:sz w:val="20"/>
          <w:szCs w:val="20"/>
        </w:rPr>
        <w:t>a</w:t>
      </w:r>
      <w:r w:rsidR="008C6D2F" w:rsidRPr="00C02E1D">
        <w:rPr>
          <w:rFonts w:ascii="Verdana" w:hAnsi="Verdana"/>
          <w:sz w:val="20"/>
          <w:szCs w:val="20"/>
        </w:rPr>
        <w:t xml:space="preserve"> la </w:t>
      </w:r>
      <w:r w:rsidR="00481DA6" w:rsidRPr="00C02E1D">
        <w:rPr>
          <w:rFonts w:ascii="Verdana" w:hAnsi="Verdana"/>
          <w:sz w:val="20"/>
          <w:szCs w:val="20"/>
        </w:rPr>
        <w:t xml:space="preserve">objeción sobre la </w:t>
      </w:r>
      <w:r w:rsidR="008C6D2F" w:rsidRPr="00C02E1D">
        <w:rPr>
          <w:rFonts w:ascii="Verdana" w:hAnsi="Verdana"/>
          <w:sz w:val="20"/>
          <w:szCs w:val="20"/>
        </w:rPr>
        <w:t xml:space="preserve">indeterminación del objeto </w:t>
      </w:r>
      <w:r w:rsidR="00E4630E" w:rsidRPr="00C02E1D">
        <w:rPr>
          <w:rFonts w:ascii="Verdana" w:hAnsi="Verdana"/>
          <w:sz w:val="20"/>
          <w:szCs w:val="20"/>
        </w:rPr>
        <w:t xml:space="preserve">propuesto </w:t>
      </w:r>
      <w:r w:rsidR="008C6D2F" w:rsidRPr="00C02E1D">
        <w:rPr>
          <w:rFonts w:ascii="Verdana" w:hAnsi="Verdana"/>
          <w:sz w:val="20"/>
          <w:szCs w:val="20"/>
        </w:rPr>
        <w:t>de las declaraciones, los declarantes se referirán únicamente a lo señalado en la parte resolutiva de esta decisión.</w:t>
      </w:r>
    </w:p>
    <w:p w14:paraId="3146EC49" w14:textId="77777777" w:rsidR="008C6D2F" w:rsidRPr="00C02E1D" w:rsidRDefault="008C6D2F" w:rsidP="0030244A">
      <w:pPr>
        <w:pStyle w:val="Normal1"/>
        <w:widowControl/>
        <w:contextualSpacing/>
        <w:jc w:val="both"/>
        <w:rPr>
          <w:rFonts w:ascii="Verdana" w:hAnsi="Verdana"/>
          <w:sz w:val="20"/>
          <w:szCs w:val="20"/>
        </w:rPr>
      </w:pPr>
    </w:p>
    <w:p w14:paraId="08E37CD9" w14:textId="77777777" w:rsidR="00DF37A8" w:rsidRPr="00C02E1D" w:rsidRDefault="00DF37A8" w:rsidP="00034B76">
      <w:pPr>
        <w:pStyle w:val="Prrafodelista"/>
        <w:spacing w:line="240" w:lineRule="auto"/>
        <w:jc w:val="both"/>
        <w:outlineLvl w:val="0"/>
        <w:rPr>
          <w:rFonts w:ascii="Verdana" w:hAnsi="Verdana"/>
          <w:b/>
          <w:i/>
          <w:sz w:val="20"/>
          <w:szCs w:val="20"/>
          <w:lang w:val="es-CR"/>
        </w:rPr>
      </w:pPr>
      <w:r w:rsidRPr="00C02E1D">
        <w:rPr>
          <w:rFonts w:ascii="Verdana" w:hAnsi="Verdana"/>
          <w:b/>
          <w:i/>
          <w:sz w:val="20"/>
          <w:szCs w:val="20"/>
          <w:lang w:val="es-MX"/>
        </w:rPr>
        <w:t>A.2 Objeciones del Estado a las declaraciones</w:t>
      </w:r>
      <w:r w:rsidRPr="00C02E1D">
        <w:rPr>
          <w:rFonts w:ascii="Verdana" w:hAnsi="Verdana"/>
          <w:sz w:val="20"/>
          <w:szCs w:val="20"/>
          <w:lang w:val="es-MX"/>
        </w:rPr>
        <w:t xml:space="preserve"> </w:t>
      </w:r>
      <w:r w:rsidRPr="00C02E1D">
        <w:rPr>
          <w:rFonts w:ascii="Verdana" w:hAnsi="Verdana"/>
          <w:b/>
          <w:i/>
          <w:sz w:val="20"/>
          <w:szCs w:val="20"/>
          <w:lang w:val="es-MX"/>
        </w:rPr>
        <w:t xml:space="preserve">de </w:t>
      </w:r>
      <w:r w:rsidR="00481DA6" w:rsidRPr="00C02E1D">
        <w:rPr>
          <w:rFonts w:ascii="Verdana" w:hAnsi="Verdana"/>
          <w:b/>
          <w:i/>
          <w:sz w:val="20"/>
          <w:szCs w:val="20"/>
          <w:lang w:val="es-MX"/>
        </w:rPr>
        <w:t>otros testigos</w:t>
      </w:r>
    </w:p>
    <w:p w14:paraId="1A393985" w14:textId="77777777" w:rsidR="00497CF2" w:rsidRPr="00C02E1D" w:rsidRDefault="00497CF2" w:rsidP="0030244A">
      <w:pPr>
        <w:pStyle w:val="Normal1"/>
        <w:widowControl/>
        <w:numPr>
          <w:ilvl w:val="0"/>
          <w:numId w:val="34"/>
        </w:numPr>
        <w:ind w:left="0" w:firstLine="0"/>
        <w:contextualSpacing/>
        <w:jc w:val="both"/>
        <w:rPr>
          <w:rFonts w:ascii="Verdana" w:hAnsi="Verdana"/>
          <w:sz w:val="20"/>
          <w:szCs w:val="20"/>
        </w:rPr>
      </w:pPr>
      <w:r w:rsidRPr="00C02E1D">
        <w:rPr>
          <w:rFonts w:ascii="Verdana" w:hAnsi="Verdana"/>
          <w:sz w:val="20"/>
          <w:szCs w:val="20"/>
        </w:rPr>
        <w:lastRenderedPageBreak/>
        <w:t xml:space="preserve">Por otro lado, </w:t>
      </w:r>
      <w:r w:rsidR="007E52B6" w:rsidRPr="00C02E1D">
        <w:rPr>
          <w:rFonts w:ascii="Verdana" w:hAnsi="Verdana"/>
          <w:sz w:val="20"/>
          <w:szCs w:val="20"/>
        </w:rPr>
        <w:t xml:space="preserve">en su escrito de solicitudes y argumentos, </w:t>
      </w:r>
      <w:r w:rsidRPr="00C02E1D">
        <w:rPr>
          <w:rFonts w:ascii="Verdana" w:hAnsi="Verdana"/>
          <w:sz w:val="20"/>
          <w:szCs w:val="20"/>
        </w:rPr>
        <w:t xml:space="preserve">el </w:t>
      </w:r>
      <w:r w:rsidRPr="00C02E1D">
        <w:rPr>
          <w:rFonts w:ascii="Verdana" w:hAnsi="Verdana"/>
          <w:b/>
          <w:i/>
          <w:sz w:val="20"/>
          <w:szCs w:val="20"/>
        </w:rPr>
        <w:t>representante</w:t>
      </w:r>
      <w:r w:rsidRPr="00C02E1D">
        <w:rPr>
          <w:rFonts w:ascii="Verdana" w:hAnsi="Verdana"/>
          <w:sz w:val="20"/>
          <w:szCs w:val="20"/>
        </w:rPr>
        <w:t xml:space="preserve"> ofreció las declaraciones de Mauricio Hernández Zambrano, Mauricio Hernández </w:t>
      </w:r>
      <w:r w:rsidR="001F63E9" w:rsidRPr="00C02E1D">
        <w:rPr>
          <w:rFonts w:ascii="Verdana" w:hAnsi="Verdana"/>
          <w:sz w:val="20"/>
          <w:szCs w:val="20"/>
        </w:rPr>
        <w:t>Yépez</w:t>
      </w:r>
      <w:r w:rsidRPr="00C02E1D">
        <w:rPr>
          <w:rFonts w:ascii="Verdana" w:hAnsi="Verdana"/>
          <w:sz w:val="20"/>
          <w:szCs w:val="20"/>
        </w:rPr>
        <w:t xml:space="preserve"> y Rafael Iván Su</w:t>
      </w:r>
      <w:r w:rsidR="007E52B6" w:rsidRPr="00C02E1D">
        <w:rPr>
          <w:rFonts w:ascii="Verdana" w:hAnsi="Verdana"/>
          <w:sz w:val="20"/>
          <w:szCs w:val="20"/>
        </w:rPr>
        <w:t>árez Rosero</w:t>
      </w:r>
      <w:r w:rsidR="000458C7" w:rsidRPr="00C02E1D">
        <w:rPr>
          <w:rFonts w:ascii="Verdana" w:hAnsi="Verdana"/>
          <w:sz w:val="20"/>
          <w:szCs w:val="20"/>
        </w:rPr>
        <w:t>,</w:t>
      </w:r>
      <w:r w:rsidR="000458C7" w:rsidRPr="00C02E1D">
        <w:rPr>
          <w:rFonts w:ascii="Verdana" w:hAnsi="Verdana"/>
          <w:bCs/>
          <w:sz w:val="20"/>
          <w:szCs w:val="20"/>
          <w:lang w:val="es-MX"/>
        </w:rPr>
        <w:t xml:space="preserve"> quienes estuvieron </w:t>
      </w:r>
      <w:r w:rsidR="000458C7" w:rsidRPr="00C02E1D">
        <w:rPr>
          <w:rFonts w:ascii="Verdana" w:hAnsi="Verdana" w:cs="92iergz"/>
          <w:sz w:val="20"/>
          <w:szCs w:val="20"/>
          <w:lang w:val="es-MX"/>
        </w:rPr>
        <w:t>detenidos y recluidos en las mismas instalaciones con la presunta víctima</w:t>
      </w:r>
      <w:r w:rsidR="002300F9">
        <w:rPr>
          <w:rFonts w:ascii="Verdana" w:hAnsi="Verdana" w:cs="92iergz"/>
          <w:sz w:val="20"/>
          <w:szCs w:val="20"/>
          <w:lang w:val="es-MX"/>
        </w:rPr>
        <w:t>.</w:t>
      </w:r>
      <w:r w:rsidR="001F63E9" w:rsidRPr="00C02E1D">
        <w:rPr>
          <w:rFonts w:ascii="Verdana" w:hAnsi="Verdana" w:cs="92iergz"/>
          <w:sz w:val="20"/>
          <w:szCs w:val="20"/>
          <w:lang w:val="es-MX"/>
        </w:rPr>
        <w:t xml:space="preserve"> </w:t>
      </w:r>
    </w:p>
    <w:p w14:paraId="20606EFF" w14:textId="77777777" w:rsidR="00B91336" w:rsidRPr="00C02E1D" w:rsidRDefault="00B91336" w:rsidP="0030244A">
      <w:pPr>
        <w:pStyle w:val="Normal1"/>
        <w:widowControl/>
        <w:contextualSpacing/>
        <w:jc w:val="both"/>
        <w:rPr>
          <w:rFonts w:ascii="Verdana" w:hAnsi="Verdana"/>
          <w:sz w:val="20"/>
          <w:szCs w:val="20"/>
        </w:rPr>
      </w:pPr>
    </w:p>
    <w:p w14:paraId="2E8EF1A6" w14:textId="77777777" w:rsidR="00816081" w:rsidRPr="00C02E1D" w:rsidRDefault="00B91336" w:rsidP="0030244A">
      <w:pPr>
        <w:pStyle w:val="Normal1"/>
        <w:widowControl/>
        <w:numPr>
          <w:ilvl w:val="0"/>
          <w:numId w:val="34"/>
        </w:numPr>
        <w:ind w:left="0" w:firstLine="0"/>
        <w:contextualSpacing/>
        <w:jc w:val="both"/>
        <w:rPr>
          <w:rFonts w:ascii="Verdana" w:hAnsi="Verdana"/>
          <w:sz w:val="20"/>
          <w:szCs w:val="20"/>
        </w:rPr>
      </w:pPr>
      <w:r w:rsidRPr="00C02E1D">
        <w:rPr>
          <w:rFonts w:ascii="Verdana" w:hAnsi="Verdana"/>
          <w:sz w:val="20"/>
          <w:szCs w:val="20"/>
        </w:rPr>
        <w:t>E</w:t>
      </w:r>
      <w:r w:rsidR="007E52B6" w:rsidRPr="00C02E1D">
        <w:rPr>
          <w:rFonts w:ascii="Verdana" w:hAnsi="Verdana"/>
          <w:sz w:val="20"/>
          <w:szCs w:val="20"/>
        </w:rPr>
        <w:t>n su contestación, e</w:t>
      </w:r>
      <w:r w:rsidRPr="00C02E1D">
        <w:rPr>
          <w:rFonts w:ascii="Verdana" w:hAnsi="Verdana"/>
          <w:sz w:val="20"/>
          <w:szCs w:val="20"/>
        </w:rPr>
        <w:t xml:space="preserve">l </w:t>
      </w:r>
      <w:r w:rsidRPr="00C02E1D">
        <w:rPr>
          <w:rFonts w:ascii="Verdana" w:hAnsi="Verdana"/>
          <w:b/>
          <w:i/>
          <w:sz w:val="20"/>
          <w:szCs w:val="20"/>
        </w:rPr>
        <w:t>Estado</w:t>
      </w:r>
      <w:r w:rsidRPr="00C02E1D">
        <w:rPr>
          <w:rFonts w:ascii="Verdana" w:hAnsi="Verdana"/>
          <w:sz w:val="20"/>
          <w:szCs w:val="20"/>
        </w:rPr>
        <w:t xml:space="preserve"> </w:t>
      </w:r>
      <w:r w:rsidR="00F77263" w:rsidRPr="00C02E1D">
        <w:rPr>
          <w:rFonts w:ascii="Verdana" w:hAnsi="Verdana"/>
          <w:sz w:val="20"/>
          <w:szCs w:val="20"/>
        </w:rPr>
        <w:t xml:space="preserve">objetó </w:t>
      </w:r>
      <w:r w:rsidR="008C6D2F" w:rsidRPr="00C02E1D">
        <w:rPr>
          <w:rFonts w:ascii="Verdana" w:hAnsi="Verdana"/>
          <w:sz w:val="20"/>
          <w:szCs w:val="20"/>
        </w:rPr>
        <w:t>las</w:t>
      </w:r>
      <w:r w:rsidR="004B4917" w:rsidRPr="00C02E1D">
        <w:rPr>
          <w:rFonts w:ascii="Verdana" w:hAnsi="Verdana"/>
          <w:sz w:val="20"/>
          <w:szCs w:val="20"/>
        </w:rPr>
        <w:t xml:space="preserve"> declaraciones</w:t>
      </w:r>
      <w:r w:rsidR="008C6D2F" w:rsidRPr="00C02E1D">
        <w:rPr>
          <w:rFonts w:ascii="Verdana" w:hAnsi="Verdana"/>
          <w:sz w:val="20"/>
          <w:szCs w:val="20"/>
        </w:rPr>
        <w:t xml:space="preserve"> de </w:t>
      </w:r>
      <w:r w:rsidR="0085400F" w:rsidRPr="00C02E1D">
        <w:rPr>
          <w:rFonts w:ascii="Verdana" w:hAnsi="Verdana"/>
          <w:sz w:val="20"/>
          <w:szCs w:val="20"/>
        </w:rPr>
        <w:t xml:space="preserve">dichas </w:t>
      </w:r>
      <w:r w:rsidR="008C6D2F" w:rsidRPr="00C02E1D">
        <w:rPr>
          <w:rFonts w:ascii="Verdana" w:hAnsi="Verdana"/>
          <w:sz w:val="20"/>
          <w:szCs w:val="20"/>
        </w:rPr>
        <w:t>personas</w:t>
      </w:r>
      <w:r w:rsidR="004B4917" w:rsidRPr="00C02E1D">
        <w:rPr>
          <w:rFonts w:ascii="Verdana" w:hAnsi="Verdana"/>
          <w:sz w:val="20"/>
          <w:szCs w:val="20"/>
        </w:rPr>
        <w:t xml:space="preserve"> </w:t>
      </w:r>
      <w:r w:rsidR="008C6D2F" w:rsidRPr="00C02E1D">
        <w:rPr>
          <w:rFonts w:ascii="Verdana" w:hAnsi="Verdana"/>
          <w:sz w:val="20"/>
          <w:szCs w:val="20"/>
        </w:rPr>
        <w:t xml:space="preserve">puesto que el representante no </w:t>
      </w:r>
      <w:r w:rsidR="004B4917" w:rsidRPr="00C02E1D">
        <w:rPr>
          <w:rFonts w:ascii="Verdana" w:hAnsi="Verdana"/>
          <w:sz w:val="20"/>
          <w:szCs w:val="20"/>
        </w:rPr>
        <w:t>espec</w:t>
      </w:r>
      <w:r w:rsidR="00F47619" w:rsidRPr="00C02E1D">
        <w:rPr>
          <w:rFonts w:ascii="Verdana" w:hAnsi="Verdana"/>
          <w:sz w:val="20"/>
          <w:szCs w:val="20"/>
        </w:rPr>
        <w:t>i</w:t>
      </w:r>
      <w:r w:rsidR="004B4917" w:rsidRPr="00C02E1D">
        <w:rPr>
          <w:rFonts w:ascii="Verdana" w:hAnsi="Verdana"/>
          <w:sz w:val="20"/>
          <w:szCs w:val="20"/>
        </w:rPr>
        <w:t>fic</w:t>
      </w:r>
      <w:r w:rsidR="00F47619" w:rsidRPr="00C02E1D">
        <w:rPr>
          <w:rFonts w:ascii="Verdana" w:hAnsi="Verdana"/>
          <w:sz w:val="20"/>
          <w:szCs w:val="20"/>
        </w:rPr>
        <w:t>ó</w:t>
      </w:r>
      <w:r w:rsidR="004B4917" w:rsidRPr="00C02E1D">
        <w:rPr>
          <w:rFonts w:ascii="Verdana" w:hAnsi="Verdana"/>
          <w:sz w:val="20"/>
          <w:szCs w:val="20"/>
        </w:rPr>
        <w:t xml:space="preserve"> el objeto de </w:t>
      </w:r>
      <w:r w:rsidR="008C6D2F" w:rsidRPr="00C02E1D">
        <w:rPr>
          <w:rFonts w:ascii="Verdana" w:hAnsi="Verdana"/>
          <w:sz w:val="20"/>
          <w:szCs w:val="20"/>
        </w:rPr>
        <w:t>sus</w:t>
      </w:r>
      <w:r w:rsidR="004B4917" w:rsidRPr="00C02E1D">
        <w:rPr>
          <w:rFonts w:ascii="Verdana" w:hAnsi="Verdana"/>
          <w:sz w:val="20"/>
          <w:szCs w:val="20"/>
        </w:rPr>
        <w:t xml:space="preserve"> testimonios</w:t>
      </w:r>
      <w:r w:rsidR="00481DA6" w:rsidRPr="00C02E1D">
        <w:rPr>
          <w:rFonts w:ascii="Verdana" w:hAnsi="Verdana"/>
          <w:sz w:val="20"/>
          <w:szCs w:val="20"/>
        </w:rPr>
        <w:t>. Adu</w:t>
      </w:r>
      <w:r w:rsidR="007448AA" w:rsidRPr="00C02E1D">
        <w:rPr>
          <w:rFonts w:ascii="Verdana" w:hAnsi="Verdana"/>
          <w:sz w:val="20"/>
          <w:szCs w:val="20"/>
        </w:rPr>
        <w:t>jo</w:t>
      </w:r>
      <w:r w:rsidR="00481DA6" w:rsidRPr="00C02E1D">
        <w:rPr>
          <w:rFonts w:ascii="Verdana" w:hAnsi="Verdana"/>
          <w:sz w:val="20"/>
          <w:szCs w:val="20"/>
        </w:rPr>
        <w:t xml:space="preserve"> que el representante hizo</w:t>
      </w:r>
      <w:r w:rsidR="008C6D2F" w:rsidRPr="00C02E1D">
        <w:rPr>
          <w:rFonts w:ascii="Verdana" w:hAnsi="Verdana"/>
          <w:sz w:val="20"/>
          <w:szCs w:val="20"/>
        </w:rPr>
        <w:t xml:space="preserve"> </w:t>
      </w:r>
      <w:r w:rsidR="004B4917" w:rsidRPr="00C02E1D">
        <w:rPr>
          <w:rFonts w:ascii="Verdana" w:hAnsi="Verdana"/>
          <w:sz w:val="20"/>
          <w:szCs w:val="20"/>
        </w:rPr>
        <w:t>referencia a cuestiones generales de su detención, sin</w:t>
      </w:r>
      <w:r w:rsidR="008C6D2F" w:rsidRPr="00C02E1D">
        <w:rPr>
          <w:rFonts w:ascii="Verdana" w:hAnsi="Verdana"/>
          <w:sz w:val="20"/>
          <w:szCs w:val="20"/>
        </w:rPr>
        <w:t xml:space="preserve"> </w:t>
      </w:r>
      <w:r w:rsidR="004B4917" w:rsidRPr="00C02E1D">
        <w:rPr>
          <w:rFonts w:ascii="Verdana" w:hAnsi="Verdana"/>
          <w:sz w:val="20"/>
          <w:szCs w:val="20"/>
        </w:rPr>
        <w:t>puntualizar qué hechos del Informe de Fondo</w:t>
      </w:r>
      <w:r w:rsidR="008C6D2F" w:rsidRPr="00C02E1D">
        <w:rPr>
          <w:rFonts w:ascii="Verdana" w:hAnsi="Verdana"/>
          <w:sz w:val="20"/>
          <w:szCs w:val="20"/>
        </w:rPr>
        <w:t xml:space="preserve"> </w:t>
      </w:r>
      <w:r w:rsidR="004B4917" w:rsidRPr="00C02E1D">
        <w:rPr>
          <w:rFonts w:ascii="Verdana" w:hAnsi="Verdana"/>
          <w:sz w:val="20"/>
          <w:szCs w:val="20"/>
        </w:rPr>
        <w:t>ser</w:t>
      </w:r>
      <w:r w:rsidR="008C6D2F" w:rsidRPr="00C02E1D">
        <w:rPr>
          <w:rFonts w:ascii="Verdana" w:hAnsi="Verdana"/>
          <w:sz w:val="20"/>
          <w:szCs w:val="20"/>
        </w:rPr>
        <w:t>ían</w:t>
      </w:r>
      <w:r w:rsidR="004B4917" w:rsidRPr="00C02E1D">
        <w:rPr>
          <w:rFonts w:ascii="Verdana" w:hAnsi="Verdana"/>
          <w:sz w:val="20"/>
          <w:szCs w:val="20"/>
        </w:rPr>
        <w:t xml:space="preserve"> contrastados o</w:t>
      </w:r>
      <w:r w:rsidR="008C6D2F" w:rsidRPr="00C02E1D">
        <w:rPr>
          <w:rFonts w:ascii="Verdana" w:hAnsi="Verdana"/>
          <w:sz w:val="20"/>
          <w:szCs w:val="20"/>
        </w:rPr>
        <w:t xml:space="preserve"> </w:t>
      </w:r>
      <w:r w:rsidR="004B4917" w:rsidRPr="00C02E1D">
        <w:rPr>
          <w:rFonts w:ascii="Verdana" w:hAnsi="Verdana"/>
          <w:sz w:val="20"/>
          <w:szCs w:val="20"/>
        </w:rPr>
        <w:t>validados.</w:t>
      </w:r>
      <w:r w:rsidR="007F50A6" w:rsidRPr="00C02E1D">
        <w:rPr>
          <w:rFonts w:ascii="Verdana" w:hAnsi="Verdana"/>
          <w:sz w:val="20"/>
          <w:szCs w:val="20"/>
        </w:rPr>
        <w:t xml:space="preserve"> </w:t>
      </w:r>
      <w:r w:rsidR="00816081" w:rsidRPr="00C02E1D">
        <w:rPr>
          <w:rFonts w:ascii="Verdana" w:hAnsi="Verdana"/>
          <w:sz w:val="20"/>
          <w:szCs w:val="20"/>
        </w:rPr>
        <w:t xml:space="preserve">Además, en sus observaciones a la lista </w:t>
      </w:r>
      <w:r w:rsidR="0085400F" w:rsidRPr="00C02E1D">
        <w:rPr>
          <w:rFonts w:ascii="Verdana" w:hAnsi="Verdana"/>
          <w:sz w:val="20"/>
          <w:szCs w:val="20"/>
        </w:rPr>
        <w:t>definitiva</w:t>
      </w:r>
      <w:r w:rsidR="00816081" w:rsidRPr="00C02E1D">
        <w:rPr>
          <w:rFonts w:ascii="Verdana" w:hAnsi="Verdana"/>
          <w:sz w:val="20"/>
          <w:szCs w:val="20"/>
        </w:rPr>
        <w:t>, el Estado manifestó que</w:t>
      </w:r>
      <w:r w:rsidR="007F50A6" w:rsidRPr="00C02E1D">
        <w:rPr>
          <w:rFonts w:ascii="Verdana" w:hAnsi="Verdana"/>
          <w:sz w:val="20"/>
          <w:szCs w:val="20"/>
        </w:rPr>
        <w:t xml:space="preserve"> </w:t>
      </w:r>
      <w:r w:rsidR="00816081" w:rsidRPr="00C02E1D">
        <w:rPr>
          <w:rFonts w:ascii="Verdana" w:hAnsi="Verdana"/>
          <w:sz w:val="20"/>
          <w:szCs w:val="20"/>
        </w:rPr>
        <w:t xml:space="preserve">la condición de idoneidad </w:t>
      </w:r>
      <w:r w:rsidR="007F50A6" w:rsidRPr="00C02E1D">
        <w:rPr>
          <w:rFonts w:ascii="Verdana" w:hAnsi="Verdana"/>
          <w:sz w:val="20"/>
          <w:szCs w:val="20"/>
        </w:rPr>
        <w:t xml:space="preserve">como testigos de estas personas </w:t>
      </w:r>
      <w:r w:rsidR="0085400F" w:rsidRPr="00C02E1D">
        <w:rPr>
          <w:rFonts w:ascii="Verdana" w:hAnsi="Verdana"/>
          <w:sz w:val="20"/>
          <w:szCs w:val="20"/>
        </w:rPr>
        <w:t>se enco</w:t>
      </w:r>
      <w:r w:rsidR="00816081" w:rsidRPr="00C02E1D">
        <w:rPr>
          <w:rFonts w:ascii="Verdana" w:hAnsi="Verdana"/>
          <w:sz w:val="20"/>
          <w:szCs w:val="20"/>
        </w:rPr>
        <w:t>ntra</w:t>
      </w:r>
      <w:r w:rsidR="0085400F" w:rsidRPr="00C02E1D">
        <w:rPr>
          <w:rFonts w:ascii="Verdana" w:hAnsi="Verdana"/>
          <w:sz w:val="20"/>
          <w:szCs w:val="20"/>
        </w:rPr>
        <w:t>ba</w:t>
      </w:r>
      <w:r w:rsidR="00816081" w:rsidRPr="00C02E1D">
        <w:rPr>
          <w:rFonts w:ascii="Verdana" w:hAnsi="Verdana"/>
          <w:sz w:val="20"/>
          <w:szCs w:val="20"/>
        </w:rPr>
        <w:t xml:space="preserve"> afectada</w:t>
      </w:r>
      <w:r w:rsidR="0085400F" w:rsidRPr="00C02E1D">
        <w:rPr>
          <w:rFonts w:ascii="Verdana" w:hAnsi="Verdana"/>
          <w:sz w:val="20"/>
          <w:szCs w:val="20"/>
        </w:rPr>
        <w:t xml:space="preserve"> </w:t>
      </w:r>
      <w:r w:rsidR="007F50A6" w:rsidRPr="00C02E1D">
        <w:rPr>
          <w:rFonts w:ascii="Verdana" w:hAnsi="Verdana"/>
          <w:sz w:val="20"/>
          <w:szCs w:val="20"/>
        </w:rPr>
        <w:t xml:space="preserve">porque </w:t>
      </w:r>
      <w:r w:rsidR="00816081" w:rsidRPr="00C02E1D">
        <w:rPr>
          <w:rFonts w:ascii="Verdana" w:hAnsi="Verdana"/>
          <w:sz w:val="20"/>
          <w:szCs w:val="20"/>
        </w:rPr>
        <w:t>el representante no ha</w:t>
      </w:r>
      <w:r w:rsidR="0085400F" w:rsidRPr="00C02E1D">
        <w:rPr>
          <w:rFonts w:ascii="Verdana" w:hAnsi="Verdana"/>
          <w:sz w:val="20"/>
          <w:szCs w:val="20"/>
        </w:rPr>
        <w:t>bía</w:t>
      </w:r>
      <w:r w:rsidR="00816081" w:rsidRPr="00C02E1D">
        <w:rPr>
          <w:rFonts w:ascii="Verdana" w:hAnsi="Verdana"/>
          <w:sz w:val="20"/>
          <w:szCs w:val="20"/>
        </w:rPr>
        <w:t xml:space="preserve"> justificado con ningún documento o certificación si los</w:t>
      </w:r>
      <w:r w:rsidR="007F50A6" w:rsidRPr="00C02E1D">
        <w:rPr>
          <w:rFonts w:ascii="Verdana" w:hAnsi="Verdana"/>
          <w:sz w:val="20"/>
          <w:szCs w:val="20"/>
        </w:rPr>
        <w:t xml:space="preserve"> </w:t>
      </w:r>
      <w:r w:rsidR="00816081" w:rsidRPr="00C02E1D">
        <w:rPr>
          <w:rFonts w:ascii="Verdana" w:hAnsi="Verdana"/>
          <w:sz w:val="20"/>
          <w:szCs w:val="20"/>
        </w:rPr>
        <w:t xml:space="preserve">declarantes estuvieron detenidos bajo las mismas circunstancias y </w:t>
      </w:r>
      <w:r w:rsidR="0085400F" w:rsidRPr="00C02E1D">
        <w:rPr>
          <w:rFonts w:ascii="Verdana" w:hAnsi="Verdana"/>
          <w:sz w:val="20"/>
          <w:szCs w:val="20"/>
        </w:rPr>
        <w:t xml:space="preserve">medios </w:t>
      </w:r>
      <w:r w:rsidR="009F0BEC" w:rsidRPr="00C02E1D">
        <w:rPr>
          <w:rFonts w:ascii="Verdana" w:hAnsi="Verdana"/>
          <w:sz w:val="20"/>
          <w:szCs w:val="20"/>
        </w:rPr>
        <w:t xml:space="preserve">Ecuador </w:t>
      </w:r>
      <w:r w:rsidR="00816081" w:rsidRPr="00C02E1D">
        <w:rPr>
          <w:rFonts w:ascii="Verdana" w:hAnsi="Verdana"/>
          <w:sz w:val="20"/>
          <w:szCs w:val="20"/>
        </w:rPr>
        <w:t>recalc</w:t>
      </w:r>
      <w:r w:rsidR="007F50A6" w:rsidRPr="00C02E1D">
        <w:rPr>
          <w:rFonts w:ascii="Verdana" w:hAnsi="Verdana"/>
          <w:sz w:val="20"/>
          <w:szCs w:val="20"/>
        </w:rPr>
        <w:t>ó</w:t>
      </w:r>
      <w:r w:rsidR="00816081" w:rsidRPr="00C02E1D">
        <w:rPr>
          <w:rFonts w:ascii="Verdana" w:hAnsi="Verdana"/>
          <w:sz w:val="20"/>
          <w:szCs w:val="20"/>
        </w:rPr>
        <w:t xml:space="preserve"> que </w:t>
      </w:r>
      <w:r w:rsidR="007F50A6" w:rsidRPr="00C02E1D">
        <w:rPr>
          <w:rFonts w:ascii="Verdana" w:hAnsi="Verdana"/>
          <w:sz w:val="20"/>
          <w:szCs w:val="20"/>
        </w:rPr>
        <w:t>el objeto de sus</w:t>
      </w:r>
      <w:r w:rsidR="00816081" w:rsidRPr="00C02E1D">
        <w:rPr>
          <w:rFonts w:ascii="Verdana" w:hAnsi="Verdana"/>
          <w:sz w:val="20"/>
          <w:szCs w:val="20"/>
        </w:rPr>
        <w:t xml:space="preserve"> declaraciones </w:t>
      </w:r>
      <w:r w:rsidR="007F50A6" w:rsidRPr="00C02E1D">
        <w:rPr>
          <w:rFonts w:ascii="Verdana" w:hAnsi="Verdana"/>
          <w:sz w:val="20"/>
          <w:szCs w:val="20"/>
        </w:rPr>
        <w:t>presenta</w:t>
      </w:r>
      <w:r w:rsidR="00816081" w:rsidRPr="00C02E1D">
        <w:rPr>
          <w:rFonts w:ascii="Verdana" w:hAnsi="Verdana"/>
          <w:sz w:val="20"/>
          <w:szCs w:val="20"/>
        </w:rPr>
        <w:t xml:space="preserve"> </w:t>
      </w:r>
      <w:r w:rsidR="007F50A6" w:rsidRPr="00C02E1D">
        <w:rPr>
          <w:rFonts w:ascii="Verdana" w:hAnsi="Verdana"/>
          <w:sz w:val="20"/>
          <w:szCs w:val="20"/>
        </w:rPr>
        <w:t>la misma</w:t>
      </w:r>
      <w:r w:rsidR="00816081" w:rsidRPr="00C02E1D">
        <w:rPr>
          <w:rFonts w:ascii="Verdana" w:hAnsi="Verdana"/>
          <w:sz w:val="20"/>
          <w:szCs w:val="20"/>
        </w:rPr>
        <w:t xml:space="preserve"> anomalía procesal </w:t>
      </w:r>
      <w:r w:rsidR="007F50A6" w:rsidRPr="00C02E1D">
        <w:rPr>
          <w:rFonts w:ascii="Verdana" w:hAnsi="Verdana"/>
          <w:sz w:val="20"/>
          <w:szCs w:val="20"/>
        </w:rPr>
        <w:t>de</w:t>
      </w:r>
      <w:r w:rsidR="00816081" w:rsidRPr="00C02E1D">
        <w:rPr>
          <w:rFonts w:ascii="Verdana" w:hAnsi="Verdana"/>
          <w:sz w:val="20"/>
          <w:szCs w:val="20"/>
        </w:rPr>
        <w:t xml:space="preserve"> imprecisión</w:t>
      </w:r>
      <w:r w:rsidR="007F50A6" w:rsidRPr="00C02E1D">
        <w:rPr>
          <w:rFonts w:ascii="Verdana" w:hAnsi="Verdana"/>
          <w:sz w:val="20"/>
          <w:szCs w:val="20"/>
        </w:rPr>
        <w:t xml:space="preserve">, pues no se </w:t>
      </w:r>
      <w:r w:rsidR="00816081" w:rsidRPr="00C02E1D">
        <w:rPr>
          <w:rFonts w:ascii="Verdana" w:hAnsi="Verdana"/>
          <w:sz w:val="20"/>
          <w:szCs w:val="20"/>
        </w:rPr>
        <w:t>hace</w:t>
      </w:r>
      <w:r w:rsidR="007F50A6" w:rsidRPr="00C02E1D">
        <w:rPr>
          <w:rFonts w:ascii="Verdana" w:hAnsi="Verdana"/>
          <w:sz w:val="20"/>
          <w:szCs w:val="20"/>
        </w:rPr>
        <w:t xml:space="preserve"> </w:t>
      </w:r>
      <w:r w:rsidR="00816081" w:rsidRPr="00C02E1D">
        <w:rPr>
          <w:rFonts w:ascii="Verdana" w:hAnsi="Verdana"/>
          <w:sz w:val="20"/>
          <w:szCs w:val="20"/>
        </w:rPr>
        <w:t xml:space="preserve">ninguna referencia modal determinada </w:t>
      </w:r>
      <w:r w:rsidR="007F50A6" w:rsidRPr="00C02E1D">
        <w:rPr>
          <w:rFonts w:ascii="Verdana" w:hAnsi="Verdana"/>
          <w:sz w:val="20"/>
          <w:szCs w:val="20"/>
        </w:rPr>
        <w:t>a las condiciones de detención</w:t>
      </w:r>
      <w:r w:rsidR="00816081" w:rsidRPr="00C02E1D">
        <w:rPr>
          <w:rFonts w:ascii="Verdana" w:hAnsi="Verdana"/>
          <w:sz w:val="20"/>
          <w:szCs w:val="20"/>
        </w:rPr>
        <w:t xml:space="preserve">, </w:t>
      </w:r>
      <w:r w:rsidR="007F50A6" w:rsidRPr="00C02E1D">
        <w:rPr>
          <w:rFonts w:ascii="Verdana" w:hAnsi="Verdana"/>
          <w:sz w:val="20"/>
          <w:szCs w:val="20"/>
        </w:rPr>
        <w:t xml:space="preserve">convirtiéndolas </w:t>
      </w:r>
      <w:r w:rsidR="00816081" w:rsidRPr="00C02E1D">
        <w:rPr>
          <w:rFonts w:ascii="Verdana" w:hAnsi="Verdana"/>
          <w:sz w:val="20"/>
          <w:szCs w:val="20"/>
        </w:rPr>
        <w:t xml:space="preserve">en meras opiniones o </w:t>
      </w:r>
      <w:r w:rsidR="007F50A6" w:rsidRPr="00C02E1D">
        <w:rPr>
          <w:rFonts w:ascii="Verdana" w:hAnsi="Verdana"/>
          <w:sz w:val="20"/>
          <w:szCs w:val="20"/>
        </w:rPr>
        <w:t xml:space="preserve">en </w:t>
      </w:r>
      <w:r w:rsidR="00816081" w:rsidRPr="00C02E1D">
        <w:rPr>
          <w:rFonts w:ascii="Verdana" w:hAnsi="Verdana"/>
          <w:sz w:val="20"/>
          <w:szCs w:val="20"/>
        </w:rPr>
        <w:t>declaraciones no pertinentes</w:t>
      </w:r>
      <w:r w:rsidR="002300F9">
        <w:rPr>
          <w:rFonts w:ascii="Verdana" w:hAnsi="Verdana"/>
          <w:sz w:val="20"/>
          <w:szCs w:val="20"/>
        </w:rPr>
        <w:t>.</w:t>
      </w:r>
    </w:p>
    <w:p w14:paraId="3CD92BF2" w14:textId="77777777" w:rsidR="00F47619" w:rsidRPr="00C02E1D" w:rsidRDefault="00F47619" w:rsidP="0030244A">
      <w:pPr>
        <w:autoSpaceDE w:val="0"/>
        <w:autoSpaceDN w:val="0"/>
        <w:adjustRightInd w:val="0"/>
        <w:spacing w:after="0" w:line="240" w:lineRule="auto"/>
        <w:rPr>
          <w:rFonts w:ascii="Verdana" w:hAnsi="Verdana" w:cs="Times New Roman"/>
          <w:sz w:val="20"/>
          <w:szCs w:val="20"/>
          <w:lang w:val="es-CR"/>
        </w:rPr>
      </w:pPr>
    </w:p>
    <w:p w14:paraId="7277B70E" w14:textId="77777777" w:rsidR="00DF37A8" w:rsidRPr="00C02E1D" w:rsidRDefault="004B4917" w:rsidP="0030244A">
      <w:pPr>
        <w:pStyle w:val="Normal1"/>
        <w:widowControl/>
        <w:numPr>
          <w:ilvl w:val="0"/>
          <w:numId w:val="34"/>
        </w:numPr>
        <w:ind w:left="0" w:firstLine="0"/>
        <w:contextualSpacing/>
        <w:jc w:val="both"/>
        <w:rPr>
          <w:rFonts w:ascii="Verdana" w:hAnsi="Verdana"/>
          <w:sz w:val="20"/>
          <w:szCs w:val="20"/>
        </w:rPr>
      </w:pPr>
      <w:r w:rsidRPr="00C02E1D">
        <w:rPr>
          <w:rFonts w:ascii="Verdana" w:hAnsi="Verdana"/>
          <w:sz w:val="20"/>
          <w:szCs w:val="20"/>
        </w:rPr>
        <w:t xml:space="preserve">Al respecto, esta </w:t>
      </w:r>
      <w:r w:rsidRPr="00C02E1D">
        <w:rPr>
          <w:rFonts w:ascii="Verdana" w:hAnsi="Verdana"/>
          <w:b/>
          <w:i/>
          <w:sz w:val="20"/>
          <w:szCs w:val="20"/>
        </w:rPr>
        <w:t>Presidencia</w:t>
      </w:r>
      <w:r w:rsidR="00810851" w:rsidRPr="00C02E1D">
        <w:rPr>
          <w:rFonts w:ascii="Verdana" w:hAnsi="Verdana"/>
          <w:sz w:val="20"/>
          <w:szCs w:val="20"/>
        </w:rPr>
        <w:t xml:space="preserve"> hace notar que, en efecto, </w:t>
      </w:r>
      <w:r w:rsidR="007E52B6" w:rsidRPr="00C02E1D">
        <w:rPr>
          <w:rFonts w:ascii="Verdana" w:hAnsi="Verdana"/>
          <w:sz w:val="20"/>
          <w:szCs w:val="20"/>
        </w:rPr>
        <w:t>en su escrito de solicitudes y argumentos</w:t>
      </w:r>
      <w:r w:rsidR="00B22E29" w:rsidRPr="00C02E1D">
        <w:rPr>
          <w:rFonts w:ascii="Verdana" w:hAnsi="Verdana"/>
          <w:sz w:val="20"/>
          <w:szCs w:val="20"/>
        </w:rPr>
        <w:t>,</w:t>
      </w:r>
      <w:r w:rsidR="007E52B6" w:rsidRPr="00C02E1D">
        <w:rPr>
          <w:rFonts w:ascii="Verdana" w:hAnsi="Verdana"/>
          <w:sz w:val="20"/>
          <w:szCs w:val="20"/>
        </w:rPr>
        <w:t xml:space="preserve"> </w:t>
      </w:r>
      <w:r w:rsidR="00810851" w:rsidRPr="00C02E1D">
        <w:rPr>
          <w:rFonts w:ascii="Verdana" w:hAnsi="Verdana"/>
          <w:sz w:val="20"/>
          <w:szCs w:val="20"/>
        </w:rPr>
        <w:t xml:space="preserve">el representante no señaló el objeto de la eventual declaración de los </w:t>
      </w:r>
      <w:r w:rsidR="00EF63C9" w:rsidRPr="00C02E1D">
        <w:rPr>
          <w:rFonts w:ascii="Verdana" w:hAnsi="Verdana"/>
          <w:sz w:val="20"/>
          <w:szCs w:val="20"/>
        </w:rPr>
        <w:t xml:space="preserve">tres </w:t>
      </w:r>
      <w:r w:rsidR="00810851" w:rsidRPr="00C02E1D">
        <w:rPr>
          <w:rFonts w:ascii="Verdana" w:hAnsi="Verdana"/>
          <w:sz w:val="20"/>
          <w:szCs w:val="20"/>
        </w:rPr>
        <w:t>testigos propuestos</w:t>
      </w:r>
      <w:r w:rsidR="00B22E29" w:rsidRPr="00C02E1D">
        <w:rPr>
          <w:rFonts w:ascii="Verdana" w:hAnsi="Verdana"/>
          <w:sz w:val="20"/>
          <w:szCs w:val="20"/>
        </w:rPr>
        <w:t xml:space="preserve">. </w:t>
      </w:r>
      <w:r w:rsidR="007E52B6" w:rsidRPr="00C02E1D">
        <w:rPr>
          <w:rFonts w:ascii="Verdana" w:hAnsi="Verdana"/>
          <w:sz w:val="20"/>
          <w:szCs w:val="20"/>
        </w:rPr>
        <w:t>De conformidad con el artículo 40.2.c) del Reglamento, dicho escrito deberá contener “la individualización de declarantes y el objeto de su declaración”. No fue sino en su lista definitiva de declarantes que el representante indicó que tales personas declararían “sobre las condiciones de detención y los tratos recibidos”</w:t>
      </w:r>
      <w:r w:rsidR="00034B76">
        <w:rPr>
          <w:rFonts w:ascii="Verdana" w:hAnsi="Verdana"/>
          <w:sz w:val="20"/>
          <w:szCs w:val="20"/>
        </w:rPr>
        <w:t xml:space="preserve">. </w:t>
      </w:r>
      <w:r w:rsidR="00476B5F" w:rsidRPr="00C02E1D">
        <w:rPr>
          <w:rFonts w:ascii="Verdana" w:hAnsi="Verdana"/>
          <w:sz w:val="20"/>
          <w:szCs w:val="20"/>
        </w:rPr>
        <w:t xml:space="preserve">Si bien es cierto, tal como señala el Estado, que el objeto </w:t>
      </w:r>
      <w:r w:rsidR="004B183E">
        <w:rPr>
          <w:rFonts w:ascii="Verdana" w:hAnsi="Verdana"/>
          <w:sz w:val="20"/>
          <w:szCs w:val="20"/>
        </w:rPr>
        <w:t xml:space="preserve">propuesto </w:t>
      </w:r>
      <w:r w:rsidR="00B22E29" w:rsidRPr="00C02E1D">
        <w:rPr>
          <w:rFonts w:ascii="Verdana" w:hAnsi="Verdana"/>
          <w:sz w:val="20"/>
          <w:szCs w:val="20"/>
        </w:rPr>
        <w:t xml:space="preserve">es </w:t>
      </w:r>
      <w:r w:rsidR="00476B5F" w:rsidRPr="00C02E1D">
        <w:rPr>
          <w:rFonts w:ascii="Verdana" w:hAnsi="Verdana"/>
          <w:sz w:val="20"/>
          <w:szCs w:val="20"/>
        </w:rPr>
        <w:t>impreciso, no correspondía a</w:t>
      </w:r>
      <w:r w:rsidR="00F47798" w:rsidRPr="00C02E1D">
        <w:rPr>
          <w:rFonts w:ascii="Verdana" w:hAnsi="Verdana"/>
          <w:sz w:val="20"/>
          <w:szCs w:val="20"/>
        </w:rPr>
        <w:t xml:space="preserve">l representante </w:t>
      </w:r>
      <w:r w:rsidR="00476B5F" w:rsidRPr="00C02E1D">
        <w:rPr>
          <w:rFonts w:ascii="Verdana" w:hAnsi="Verdana"/>
          <w:sz w:val="20"/>
          <w:szCs w:val="20"/>
        </w:rPr>
        <w:t xml:space="preserve">acreditar </w:t>
      </w:r>
      <w:r w:rsidR="00F47798" w:rsidRPr="00C02E1D">
        <w:rPr>
          <w:rFonts w:ascii="Verdana" w:hAnsi="Verdana"/>
          <w:sz w:val="20"/>
          <w:szCs w:val="20"/>
        </w:rPr>
        <w:t xml:space="preserve">–a efectos de ofrecer su declaración– </w:t>
      </w:r>
      <w:r w:rsidR="00476B5F" w:rsidRPr="00C02E1D">
        <w:rPr>
          <w:rFonts w:ascii="Verdana" w:hAnsi="Verdana"/>
          <w:sz w:val="20"/>
          <w:szCs w:val="20"/>
        </w:rPr>
        <w:t xml:space="preserve">que esas personas estuvieron detenidas simultáneamente y/o en condiciones similares con la presunta víctima, </w:t>
      </w:r>
      <w:r w:rsidR="00F47798" w:rsidRPr="00C02E1D">
        <w:rPr>
          <w:rFonts w:ascii="Verdana" w:hAnsi="Verdana"/>
          <w:sz w:val="20"/>
          <w:szCs w:val="20"/>
        </w:rPr>
        <w:t xml:space="preserve">pues </w:t>
      </w:r>
      <w:r w:rsidR="00476B5F" w:rsidRPr="00C02E1D">
        <w:rPr>
          <w:rFonts w:ascii="Verdana" w:hAnsi="Verdana"/>
          <w:sz w:val="20"/>
          <w:szCs w:val="20"/>
        </w:rPr>
        <w:t>ello haría parte precisamente de</w:t>
      </w:r>
      <w:r w:rsidR="00C34A3B" w:rsidRPr="00C02E1D">
        <w:rPr>
          <w:rFonts w:ascii="Verdana" w:hAnsi="Verdana"/>
          <w:sz w:val="20"/>
          <w:szCs w:val="20"/>
        </w:rPr>
        <w:t xml:space="preserve">l objeto de </w:t>
      </w:r>
      <w:r w:rsidR="00476B5F" w:rsidRPr="00C02E1D">
        <w:rPr>
          <w:rFonts w:ascii="Verdana" w:hAnsi="Verdana"/>
          <w:sz w:val="20"/>
          <w:szCs w:val="20"/>
        </w:rPr>
        <w:t>su declaración</w:t>
      </w:r>
      <w:r w:rsidR="00C34A3B" w:rsidRPr="00C02E1D">
        <w:rPr>
          <w:rFonts w:ascii="Verdana" w:hAnsi="Verdana"/>
          <w:sz w:val="20"/>
          <w:szCs w:val="20"/>
        </w:rPr>
        <w:t xml:space="preserve">. Es decir, tal objeción se refiere al eventual valor o peso probatorio de los testimonios, </w:t>
      </w:r>
      <w:r w:rsidR="00217417" w:rsidRPr="00C02E1D">
        <w:rPr>
          <w:rFonts w:ascii="Verdana" w:hAnsi="Verdana"/>
          <w:sz w:val="20"/>
          <w:szCs w:val="20"/>
        </w:rPr>
        <w:t>cuestión que no afecta su admisibilida</w:t>
      </w:r>
      <w:r w:rsidR="00217417" w:rsidRPr="001E265F">
        <w:rPr>
          <w:rFonts w:ascii="Verdana" w:hAnsi="Verdana"/>
          <w:sz w:val="20"/>
          <w:szCs w:val="20"/>
        </w:rPr>
        <w:t>d</w:t>
      </w:r>
      <w:r w:rsidR="00476B5F" w:rsidRPr="001E265F">
        <w:rPr>
          <w:rFonts w:ascii="Verdana" w:hAnsi="Verdana"/>
          <w:sz w:val="20"/>
          <w:szCs w:val="20"/>
        </w:rPr>
        <w:t>.</w:t>
      </w:r>
      <w:r w:rsidR="00797F36" w:rsidRPr="001E265F">
        <w:rPr>
          <w:rFonts w:ascii="Verdana" w:hAnsi="Verdana"/>
          <w:sz w:val="20"/>
          <w:szCs w:val="20"/>
        </w:rPr>
        <w:t xml:space="preserve"> Adicionalmente, la </w:t>
      </w:r>
      <w:r w:rsidR="00034B76">
        <w:rPr>
          <w:rFonts w:ascii="Verdana" w:hAnsi="Verdana"/>
          <w:sz w:val="20"/>
          <w:szCs w:val="20"/>
        </w:rPr>
        <w:t>Presidencia</w:t>
      </w:r>
      <w:r w:rsidR="00797F36" w:rsidRPr="001E265F">
        <w:rPr>
          <w:rFonts w:ascii="Verdana" w:hAnsi="Verdana"/>
          <w:sz w:val="20"/>
          <w:szCs w:val="20"/>
        </w:rPr>
        <w:t xml:space="preserve"> estima que de la descripción de los declarantes realizada por el representante en el </w:t>
      </w:r>
      <w:r w:rsidR="001E265F" w:rsidRPr="001E265F">
        <w:rPr>
          <w:rFonts w:ascii="Verdana" w:hAnsi="Verdana"/>
          <w:sz w:val="20"/>
          <w:szCs w:val="20"/>
        </w:rPr>
        <w:t>e</w:t>
      </w:r>
      <w:r w:rsidR="00797F36" w:rsidRPr="001E265F">
        <w:rPr>
          <w:rFonts w:ascii="Verdana" w:hAnsi="Verdana"/>
          <w:sz w:val="20"/>
          <w:szCs w:val="20"/>
        </w:rPr>
        <w:t xml:space="preserve">scrito de </w:t>
      </w:r>
      <w:r w:rsidR="001E265F" w:rsidRPr="001E265F">
        <w:rPr>
          <w:rFonts w:ascii="Verdana" w:hAnsi="Verdana"/>
          <w:sz w:val="20"/>
          <w:szCs w:val="20"/>
        </w:rPr>
        <w:t>s</w:t>
      </w:r>
      <w:r w:rsidR="00797F36" w:rsidRPr="001E265F">
        <w:rPr>
          <w:rFonts w:ascii="Verdana" w:hAnsi="Verdana"/>
          <w:sz w:val="20"/>
          <w:szCs w:val="20"/>
        </w:rPr>
        <w:t xml:space="preserve">olicitudes y </w:t>
      </w:r>
      <w:r w:rsidR="001E265F" w:rsidRPr="001E265F">
        <w:rPr>
          <w:rFonts w:ascii="Verdana" w:hAnsi="Verdana"/>
          <w:sz w:val="20"/>
          <w:szCs w:val="20"/>
        </w:rPr>
        <w:t>a</w:t>
      </w:r>
      <w:r w:rsidR="00797F36" w:rsidRPr="001E265F">
        <w:rPr>
          <w:rFonts w:ascii="Verdana" w:hAnsi="Verdana"/>
          <w:sz w:val="20"/>
          <w:szCs w:val="20"/>
        </w:rPr>
        <w:t xml:space="preserve">rgumentos, se puede inferir que el objeto de las declaraciones son las condiciones de reclusión </w:t>
      </w:r>
      <w:r w:rsidR="001E265F" w:rsidRPr="001E265F">
        <w:rPr>
          <w:rFonts w:ascii="Verdana" w:hAnsi="Verdana"/>
          <w:sz w:val="20"/>
          <w:szCs w:val="20"/>
        </w:rPr>
        <w:t>d</w:t>
      </w:r>
      <w:r w:rsidR="00797F36" w:rsidRPr="001E265F">
        <w:rPr>
          <w:rFonts w:ascii="Verdana" w:hAnsi="Verdana"/>
          <w:sz w:val="20"/>
          <w:szCs w:val="20"/>
        </w:rPr>
        <w:t>el señor Montesinos y los declarantes. Es</w:t>
      </w:r>
      <w:r w:rsidR="00C836DA" w:rsidRPr="001E265F">
        <w:rPr>
          <w:rFonts w:ascii="Verdana" w:hAnsi="Verdana"/>
          <w:sz w:val="20"/>
          <w:szCs w:val="20"/>
        </w:rPr>
        <w:t>tablecer dich</w:t>
      </w:r>
      <w:r w:rsidR="00797F36" w:rsidRPr="001E265F">
        <w:rPr>
          <w:rFonts w:ascii="Verdana" w:hAnsi="Verdana"/>
          <w:sz w:val="20"/>
          <w:szCs w:val="20"/>
        </w:rPr>
        <w:t xml:space="preserve">as condiciones, considera esta Presidencia, </w:t>
      </w:r>
      <w:r w:rsidR="00C836DA" w:rsidRPr="001E265F">
        <w:rPr>
          <w:rFonts w:ascii="Verdana" w:hAnsi="Verdana"/>
          <w:sz w:val="20"/>
          <w:szCs w:val="20"/>
        </w:rPr>
        <w:t xml:space="preserve">es </w:t>
      </w:r>
      <w:r w:rsidR="00797F36" w:rsidRPr="001E265F">
        <w:rPr>
          <w:rFonts w:ascii="Verdana" w:hAnsi="Verdana"/>
          <w:sz w:val="20"/>
          <w:szCs w:val="20"/>
        </w:rPr>
        <w:t>importan</w:t>
      </w:r>
      <w:r w:rsidR="00C836DA" w:rsidRPr="001E265F">
        <w:rPr>
          <w:rFonts w:ascii="Verdana" w:hAnsi="Verdana"/>
          <w:sz w:val="20"/>
          <w:szCs w:val="20"/>
        </w:rPr>
        <w:t>te</w:t>
      </w:r>
      <w:r w:rsidR="00797F36" w:rsidRPr="001E265F">
        <w:rPr>
          <w:rFonts w:ascii="Verdana" w:hAnsi="Verdana"/>
          <w:sz w:val="20"/>
          <w:szCs w:val="20"/>
        </w:rPr>
        <w:t xml:space="preserve"> para la resolución del presente caso.</w:t>
      </w:r>
      <w:r w:rsidR="00476B5F" w:rsidRPr="001E265F">
        <w:rPr>
          <w:rFonts w:ascii="Verdana" w:hAnsi="Verdana"/>
          <w:sz w:val="20"/>
          <w:szCs w:val="20"/>
        </w:rPr>
        <w:t xml:space="preserve"> </w:t>
      </w:r>
      <w:r w:rsidR="007E52B6" w:rsidRPr="001E265F">
        <w:rPr>
          <w:rFonts w:ascii="Verdana" w:hAnsi="Verdana"/>
          <w:sz w:val="20"/>
          <w:szCs w:val="20"/>
        </w:rPr>
        <w:t xml:space="preserve">En consecuencia, en los términos del artículo </w:t>
      </w:r>
      <w:r w:rsidR="00116B3B" w:rsidRPr="001E265F">
        <w:rPr>
          <w:rFonts w:ascii="Verdana" w:hAnsi="Verdana"/>
          <w:sz w:val="20"/>
          <w:szCs w:val="20"/>
        </w:rPr>
        <w:t>58.a) del Reglament</w:t>
      </w:r>
      <w:r w:rsidR="00476B5F" w:rsidRPr="001E265F">
        <w:rPr>
          <w:rFonts w:ascii="Verdana" w:hAnsi="Verdana"/>
          <w:sz w:val="20"/>
          <w:szCs w:val="20"/>
        </w:rPr>
        <w:t>o</w:t>
      </w:r>
      <w:r w:rsidR="00116B3B" w:rsidRPr="00C02E1D">
        <w:rPr>
          <w:rFonts w:ascii="Verdana" w:hAnsi="Verdana"/>
          <w:sz w:val="20"/>
          <w:szCs w:val="20"/>
        </w:rPr>
        <w:t>, esta Presidencia considera útil que el Tribunal reciba los referidos testimonios</w:t>
      </w:r>
      <w:r w:rsidR="00E7605E" w:rsidRPr="00C02E1D">
        <w:rPr>
          <w:rFonts w:ascii="Verdana" w:hAnsi="Verdana"/>
          <w:sz w:val="20"/>
          <w:szCs w:val="20"/>
        </w:rPr>
        <w:t xml:space="preserve">. Ante la falta de determinación del objeto de la declaración, el mismo será </w:t>
      </w:r>
      <w:r w:rsidR="00116B3B" w:rsidRPr="00C02E1D">
        <w:rPr>
          <w:rFonts w:ascii="Verdana" w:hAnsi="Verdana"/>
          <w:sz w:val="20"/>
          <w:szCs w:val="20"/>
        </w:rPr>
        <w:t>definido en la parte resolutiva de esta decisión.</w:t>
      </w:r>
      <w:r w:rsidR="007E52B6" w:rsidRPr="00C02E1D">
        <w:rPr>
          <w:rFonts w:ascii="Verdana" w:hAnsi="Verdana"/>
          <w:sz w:val="20"/>
          <w:szCs w:val="20"/>
        </w:rPr>
        <w:t xml:space="preserve"> </w:t>
      </w:r>
    </w:p>
    <w:p w14:paraId="75B6939C" w14:textId="77777777" w:rsidR="00093C10" w:rsidRPr="00C02E1D" w:rsidRDefault="00093C10" w:rsidP="0030244A">
      <w:pPr>
        <w:pStyle w:val="Normal1"/>
        <w:widowControl/>
        <w:contextualSpacing/>
        <w:jc w:val="both"/>
        <w:rPr>
          <w:rFonts w:ascii="Verdana" w:hAnsi="Verdana"/>
          <w:sz w:val="20"/>
          <w:szCs w:val="20"/>
        </w:rPr>
      </w:pPr>
    </w:p>
    <w:p w14:paraId="7849CDDE" w14:textId="77777777" w:rsidR="00DF37A8" w:rsidRPr="00C02E1D" w:rsidRDefault="00DF37A8" w:rsidP="00034B76">
      <w:pPr>
        <w:pStyle w:val="Prrafodelista"/>
        <w:spacing w:line="240" w:lineRule="auto"/>
        <w:jc w:val="both"/>
        <w:rPr>
          <w:rFonts w:ascii="Verdana" w:hAnsi="Verdana"/>
          <w:b/>
          <w:i/>
          <w:sz w:val="20"/>
          <w:szCs w:val="20"/>
          <w:lang w:val="es-MX"/>
        </w:rPr>
      </w:pPr>
      <w:r w:rsidRPr="00C02E1D">
        <w:rPr>
          <w:rFonts w:ascii="Verdana" w:hAnsi="Verdana"/>
          <w:b/>
          <w:i/>
          <w:sz w:val="20"/>
          <w:szCs w:val="20"/>
          <w:lang w:val="es-MX"/>
        </w:rPr>
        <w:t xml:space="preserve">A.3 Objeciones del Estado a las </w:t>
      </w:r>
      <w:r w:rsidR="00217417" w:rsidRPr="00C02E1D">
        <w:rPr>
          <w:rFonts w:ascii="Verdana" w:hAnsi="Verdana"/>
          <w:b/>
          <w:i/>
          <w:sz w:val="20"/>
          <w:szCs w:val="20"/>
          <w:lang w:val="es-MX"/>
        </w:rPr>
        <w:t xml:space="preserve">declaraciones </w:t>
      </w:r>
      <w:r w:rsidRPr="00C02E1D">
        <w:rPr>
          <w:rFonts w:ascii="Verdana" w:hAnsi="Verdana"/>
          <w:b/>
          <w:i/>
          <w:sz w:val="20"/>
          <w:szCs w:val="20"/>
          <w:lang w:val="es-MX"/>
        </w:rPr>
        <w:t>periciales ofrecidas por el representante</w:t>
      </w:r>
      <w:r w:rsidR="00680251" w:rsidRPr="00C02E1D">
        <w:rPr>
          <w:rFonts w:ascii="Verdana" w:hAnsi="Verdana"/>
          <w:b/>
          <w:i/>
          <w:sz w:val="20"/>
          <w:szCs w:val="20"/>
          <w:lang w:val="es-MX"/>
        </w:rPr>
        <w:t xml:space="preserve"> y solicitud de traslado</w:t>
      </w:r>
      <w:r w:rsidR="00EC644F" w:rsidRPr="00C02E1D">
        <w:rPr>
          <w:rFonts w:ascii="Verdana" w:hAnsi="Verdana"/>
          <w:b/>
          <w:i/>
          <w:sz w:val="20"/>
          <w:szCs w:val="20"/>
          <w:lang w:val="es-CR"/>
        </w:rPr>
        <w:t xml:space="preserve"> de peritaje rendido en otro caso</w:t>
      </w:r>
    </w:p>
    <w:p w14:paraId="426BA3C7" w14:textId="77777777" w:rsidR="0071790E" w:rsidRPr="00C02E1D" w:rsidRDefault="00680251" w:rsidP="0030244A">
      <w:pPr>
        <w:pStyle w:val="Normal1"/>
        <w:widowControl/>
        <w:numPr>
          <w:ilvl w:val="0"/>
          <w:numId w:val="34"/>
        </w:numPr>
        <w:ind w:left="0" w:firstLine="0"/>
        <w:contextualSpacing/>
        <w:jc w:val="both"/>
        <w:rPr>
          <w:rFonts w:ascii="Verdana" w:hAnsi="Verdana"/>
          <w:sz w:val="20"/>
          <w:szCs w:val="20"/>
        </w:rPr>
      </w:pPr>
      <w:r w:rsidRPr="00C02E1D">
        <w:rPr>
          <w:rFonts w:ascii="Verdana" w:hAnsi="Verdana"/>
          <w:sz w:val="20"/>
          <w:szCs w:val="20"/>
        </w:rPr>
        <w:t>E</w:t>
      </w:r>
      <w:r w:rsidR="00B91336" w:rsidRPr="00C02E1D">
        <w:rPr>
          <w:rFonts w:ascii="Verdana" w:hAnsi="Verdana"/>
          <w:sz w:val="20"/>
          <w:szCs w:val="20"/>
        </w:rPr>
        <w:t xml:space="preserve">l </w:t>
      </w:r>
      <w:r w:rsidR="00B91336" w:rsidRPr="00C02E1D">
        <w:rPr>
          <w:rFonts w:ascii="Verdana" w:hAnsi="Verdana"/>
          <w:b/>
          <w:i/>
          <w:sz w:val="20"/>
          <w:szCs w:val="20"/>
        </w:rPr>
        <w:t>representante</w:t>
      </w:r>
      <w:r w:rsidR="00B91336" w:rsidRPr="00C02E1D">
        <w:rPr>
          <w:rFonts w:ascii="Verdana" w:hAnsi="Verdana"/>
          <w:sz w:val="20"/>
          <w:szCs w:val="20"/>
        </w:rPr>
        <w:t xml:space="preserve"> ofreció</w:t>
      </w:r>
      <w:r w:rsidR="00093C10" w:rsidRPr="00C02E1D">
        <w:rPr>
          <w:rFonts w:ascii="Verdana" w:hAnsi="Verdana"/>
          <w:sz w:val="20"/>
          <w:szCs w:val="20"/>
        </w:rPr>
        <w:t xml:space="preserve"> </w:t>
      </w:r>
      <w:r w:rsidR="00217417" w:rsidRPr="00C02E1D">
        <w:rPr>
          <w:rFonts w:ascii="Verdana" w:hAnsi="Verdana"/>
          <w:sz w:val="20"/>
          <w:szCs w:val="20"/>
        </w:rPr>
        <w:t>el peritaje</w:t>
      </w:r>
      <w:r w:rsidR="00093C10" w:rsidRPr="00C02E1D">
        <w:rPr>
          <w:rFonts w:ascii="Verdana" w:hAnsi="Verdana"/>
          <w:sz w:val="20"/>
          <w:szCs w:val="20"/>
        </w:rPr>
        <w:t xml:space="preserve"> </w:t>
      </w:r>
      <w:r w:rsidR="0071790E" w:rsidRPr="00C02E1D">
        <w:rPr>
          <w:rFonts w:ascii="Verdana" w:hAnsi="Verdana"/>
          <w:sz w:val="20"/>
          <w:szCs w:val="20"/>
        </w:rPr>
        <w:t xml:space="preserve">del señor Reinaldo </w:t>
      </w:r>
      <w:proofErr w:type="spellStart"/>
      <w:r w:rsidR="0071790E" w:rsidRPr="00C02E1D">
        <w:rPr>
          <w:rFonts w:ascii="Verdana" w:hAnsi="Verdana"/>
          <w:sz w:val="20"/>
          <w:szCs w:val="20"/>
        </w:rPr>
        <w:t>Calvachi</w:t>
      </w:r>
      <w:proofErr w:type="spellEnd"/>
      <w:r w:rsidR="0071790E" w:rsidRPr="00C02E1D">
        <w:rPr>
          <w:rFonts w:ascii="Verdana" w:hAnsi="Verdana"/>
          <w:sz w:val="20"/>
          <w:szCs w:val="20"/>
        </w:rPr>
        <w:t xml:space="preserve"> Cruz</w:t>
      </w:r>
      <w:r w:rsidR="00093C10" w:rsidRPr="00C02E1D">
        <w:rPr>
          <w:rFonts w:ascii="Verdana" w:hAnsi="Verdana"/>
          <w:sz w:val="20"/>
          <w:szCs w:val="20"/>
        </w:rPr>
        <w:t xml:space="preserve"> sobre </w:t>
      </w:r>
      <w:r w:rsidR="0071790E" w:rsidRPr="00C02E1D">
        <w:rPr>
          <w:rFonts w:ascii="Verdana" w:hAnsi="Verdana"/>
          <w:sz w:val="20"/>
          <w:szCs w:val="20"/>
        </w:rPr>
        <w:t xml:space="preserve">los aspectos de derecho ecuatoriano relacionados con el procedimiento penal al amparo del Código de Procedimiento Penal de 1983 que fue aplicado </w:t>
      </w:r>
      <w:r w:rsidR="00093C10" w:rsidRPr="00C02E1D">
        <w:rPr>
          <w:rFonts w:ascii="Verdana" w:hAnsi="Verdana"/>
          <w:sz w:val="20"/>
          <w:szCs w:val="20"/>
        </w:rPr>
        <w:t xml:space="preserve">en los </w:t>
      </w:r>
      <w:r w:rsidR="0071790E" w:rsidRPr="00C02E1D">
        <w:rPr>
          <w:rFonts w:ascii="Verdana" w:hAnsi="Verdana"/>
          <w:sz w:val="20"/>
          <w:szCs w:val="20"/>
        </w:rPr>
        <w:t xml:space="preserve">casos del señor Mario Alfonso Montesinos Mejía; sobre el alcance que tenían los sobreseimientos definitivos </w:t>
      </w:r>
      <w:r w:rsidR="00C34A3B" w:rsidRPr="00C02E1D">
        <w:rPr>
          <w:rFonts w:ascii="Verdana" w:hAnsi="Verdana"/>
          <w:sz w:val="20"/>
          <w:szCs w:val="20"/>
        </w:rPr>
        <w:t xml:space="preserve">y </w:t>
      </w:r>
      <w:r w:rsidR="0071790E" w:rsidRPr="00C02E1D">
        <w:rPr>
          <w:rFonts w:ascii="Verdana" w:hAnsi="Verdana"/>
          <w:sz w:val="20"/>
          <w:szCs w:val="20"/>
        </w:rPr>
        <w:t xml:space="preserve">la naturaleza </w:t>
      </w:r>
      <w:r w:rsidR="00C34A3B" w:rsidRPr="00C02E1D">
        <w:rPr>
          <w:rFonts w:ascii="Verdana" w:hAnsi="Verdana"/>
          <w:sz w:val="20"/>
          <w:szCs w:val="20"/>
        </w:rPr>
        <w:t>d</w:t>
      </w:r>
      <w:r w:rsidR="0071790E" w:rsidRPr="00C02E1D">
        <w:rPr>
          <w:rFonts w:ascii="Verdana" w:hAnsi="Verdana"/>
          <w:sz w:val="20"/>
          <w:szCs w:val="20"/>
        </w:rPr>
        <w:t xml:space="preserve">el delito de </w:t>
      </w:r>
      <w:proofErr w:type="spellStart"/>
      <w:r w:rsidR="0071790E" w:rsidRPr="00C02E1D">
        <w:rPr>
          <w:rFonts w:ascii="Verdana" w:hAnsi="Verdana"/>
          <w:sz w:val="20"/>
          <w:szCs w:val="20"/>
        </w:rPr>
        <w:t>testaferrismo</w:t>
      </w:r>
      <w:proofErr w:type="spellEnd"/>
      <w:r w:rsidR="0071790E" w:rsidRPr="00C02E1D">
        <w:rPr>
          <w:rFonts w:ascii="Verdana" w:hAnsi="Verdana"/>
          <w:sz w:val="20"/>
          <w:szCs w:val="20"/>
        </w:rPr>
        <w:t xml:space="preserve"> al amparo de la Ley sobre Sustancias Estupefacientes y Sicotrópicas de 1990; y sobre el vínculo entre las normas indicadas y los aspectos relacionados del derecho constitucional vigente en aquella época. </w:t>
      </w:r>
      <w:r w:rsidR="00093C10" w:rsidRPr="00C02E1D">
        <w:rPr>
          <w:rFonts w:ascii="Verdana" w:hAnsi="Verdana"/>
          <w:sz w:val="20"/>
          <w:szCs w:val="20"/>
        </w:rPr>
        <w:t>De igual modo</w:t>
      </w:r>
      <w:r w:rsidR="00EF63C9" w:rsidRPr="00C02E1D">
        <w:rPr>
          <w:rFonts w:ascii="Verdana" w:hAnsi="Verdana"/>
          <w:sz w:val="20"/>
          <w:szCs w:val="20"/>
        </w:rPr>
        <w:t>,</w:t>
      </w:r>
      <w:r w:rsidR="00093C10" w:rsidRPr="00C02E1D">
        <w:rPr>
          <w:rFonts w:ascii="Verdana" w:hAnsi="Verdana"/>
          <w:sz w:val="20"/>
          <w:szCs w:val="20"/>
        </w:rPr>
        <w:t xml:space="preserve"> ofreció la pericia del Ingeniero</w:t>
      </w:r>
      <w:r w:rsidR="0071790E" w:rsidRPr="00C02E1D">
        <w:rPr>
          <w:rFonts w:ascii="Verdana" w:hAnsi="Verdana"/>
          <w:sz w:val="20"/>
          <w:szCs w:val="20"/>
        </w:rPr>
        <w:t xml:space="preserve"> Santiago Rigoberto Lucero Narváez para </w:t>
      </w:r>
      <w:r w:rsidR="00C34A3B" w:rsidRPr="00C02E1D">
        <w:rPr>
          <w:rFonts w:ascii="Verdana" w:hAnsi="Verdana"/>
          <w:sz w:val="20"/>
          <w:szCs w:val="20"/>
        </w:rPr>
        <w:t xml:space="preserve">que </w:t>
      </w:r>
      <w:r w:rsidR="0071790E" w:rsidRPr="00C02E1D">
        <w:rPr>
          <w:rFonts w:ascii="Verdana" w:hAnsi="Verdana"/>
          <w:sz w:val="20"/>
          <w:szCs w:val="20"/>
        </w:rPr>
        <w:t>declar</w:t>
      </w:r>
      <w:r w:rsidR="00093C10" w:rsidRPr="00C02E1D">
        <w:rPr>
          <w:rFonts w:ascii="Verdana" w:hAnsi="Verdana"/>
          <w:sz w:val="20"/>
          <w:szCs w:val="20"/>
        </w:rPr>
        <w:t xml:space="preserve">ara </w:t>
      </w:r>
      <w:r w:rsidR="0071790E" w:rsidRPr="00C02E1D">
        <w:rPr>
          <w:rFonts w:ascii="Verdana" w:hAnsi="Verdana"/>
          <w:sz w:val="20"/>
          <w:szCs w:val="20"/>
        </w:rPr>
        <w:t>sobre el valor monetario que tiene el predio denominado “Santa Clara” y</w:t>
      </w:r>
      <w:r w:rsidR="00EF63C9" w:rsidRPr="00C02E1D">
        <w:rPr>
          <w:rFonts w:ascii="Verdana" w:hAnsi="Verdana"/>
          <w:sz w:val="20"/>
          <w:szCs w:val="20"/>
        </w:rPr>
        <w:t xml:space="preserve"> sus condiciones actuales</w:t>
      </w:r>
      <w:r w:rsidR="002300F9">
        <w:rPr>
          <w:rFonts w:ascii="Verdana" w:hAnsi="Verdana"/>
          <w:sz w:val="20"/>
          <w:szCs w:val="20"/>
        </w:rPr>
        <w:t>.</w:t>
      </w:r>
    </w:p>
    <w:p w14:paraId="3676D2F3" w14:textId="77777777" w:rsidR="00624815" w:rsidRPr="00C02E1D" w:rsidRDefault="00624815" w:rsidP="0030244A">
      <w:pPr>
        <w:pStyle w:val="Normal1"/>
        <w:widowControl/>
        <w:contextualSpacing/>
        <w:jc w:val="both"/>
        <w:rPr>
          <w:rFonts w:ascii="Verdana" w:hAnsi="Verdana"/>
          <w:sz w:val="20"/>
          <w:szCs w:val="20"/>
        </w:rPr>
      </w:pPr>
    </w:p>
    <w:p w14:paraId="07877CF6" w14:textId="77777777" w:rsidR="004B4917" w:rsidRPr="00C02E1D" w:rsidRDefault="006D3936" w:rsidP="0030244A">
      <w:pPr>
        <w:pStyle w:val="Normal1"/>
        <w:widowControl/>
        <w:numPr>
          <w:ilvl w:val="0"/>
          <w:numId w:val="34"/>
        </w:numPr>
        <w:ind w:left="0" w:firstLine="0"/>
        <w:contextualSpacing/>
        <w:jc w:val="both"/>
        <w:rPr>
          <w:rFonts w:ascii="Verdana" w:hAnsi="Verdana"/>
          <w:sz w:val="20"/>
          <w:szCs w:val="20"/>
        </w:rPr>
      </w:pPr>
      <w:r w:rsidRPr="00C02E1D">
        <w:rPr>
          <w:rFonts w:ascii="Verdana" w:hAnsi="Verdana"/>
          <w:sz w:val="20"/>
          <w:szCs w:val="20"/>
        </w:rPr>
        <w:t>E</w:t>
      </w:r>
      <w:r w:rsidR="00624815" w:rsidRPr="00C02E1D">
        <w:rPr>
          <w:rFonts w:ascii="Verdana" w:hAnsi="Verdana"/>
          <w:sz w:val="20"/>
          <w:szCs w:val="20"/>
        </w:rPr>
        <w:t xml:space="preserve">l </w:t>
      </w:r>
      <w:r w:rsidR="00624815" w:rsidRPr="00C02E1D">
        <w:rPr>
          <w:rFonts w:ascii="Verdana" w:hAnsi="Verdana"/>
          <w:b/>
          <w:i/>
          <w:sz w:val="20"/>
          <w:szCs w:val="20"/>
        </w:rPr>
        <w:t>Estado</w:t>
      </w:r>
      <w:r w:rsidR="00624815" w:rsidRPr="00C02E1D">
        <w:rPr>
          <w:rFonts w:ascii="Verdana" w:hAnsi="Verdana"/>
          <w:sz w:val="20"/>
          <w:szCs w:val="20"/>
        </w:rPr>
        <w:t xml:space="preserve"> manifestó</w:t>
      </w:r>
      <w:r w:rsidR="00C34A3B" w:rsidRPr="00C02E1D">
        <w:rPr>
          <w:rFonts w:ascii="Verdana" w:hAnsi="Verdana"/>
          <w:sz w:val="20"/>
          <w:szCs w:val="20"/>
        </w:rPr>
        <w:t>, respecto de la pericia del señor Lucero Narváez,</w:t>
      </w:r>
      <w:r w:rsidR="00624815" w:rsidRPr="00C02E1D">
        <w:rPr>
          <w:rFonts w:ascii="Verdana" w:hAnsi="Verdana"/>
          <w:sz w:val="20"/>
          <w:szCs w:val="20"/>
        </w:rPr>
        <w:t xml:space="preserve"> que </w:t>
      </w:r>
      <w:r w:rsidR="004B4917" w:rsidRPr="00C02E1D">
        <w:rPr>
          <w:rFonts w:ascii="Verdana" w:hAnsi="Verdana"/>
          <w:sz w:val="20"/>
          <w:szCs w:val="20"/>
        </w:rPr>
        <w:t xml:space="preserve">no </w:t>
      </w:r>
      <w:r w:rsidR="00093C10" w:rsidRPr="00C02E1D">
        <w:rPr>
          <w:rFonts w:ascii="Verdana" w:hAnsi="Verdana"/>
          <w:sz w:val="20"/>
          <w:szCs w:val="20"/>
        </w:rPr>
        <w:t xml:space="preserve">era </w:t>
      </w:r>
      <w:r w:rsidR="004B4917" w:rsidRPr="00C02E1D">
        <w:rPr>
          <w:rFonts w:ascii="Verdana" w:hAnsi="Verdana"/>
          <w:sz w:val="20"/>
          <w:szCs w:val="20"/>
        </w:rPr>
        <w:t>una prueba pertinente</w:t>
      </w:r>
      <w:r w:rsidR="00093C10" w:rsidRPr="00C02E1D">
        <w:rPr>
          <w:rFonts w:ascii="Verdana" w:hAnsi="Verdana"/>
          <w:sz w:val="20"/>
          <w:szCs w:val="20"/>
        </w:rPr>
        <w:t>, en razón de que el mencionado predio ya no era</w:t>
      </w:r>
      <w:r w:rsidR="004B4917" w:rsidRPr="00C02E1D">
        <w:rPr>
          <w:rFonts w:ascii="Verdana" w:hAnsi="Verdana"/>
          <w:sz w:val="20"/>
          <w:szCs w:val="20"/>
        </w:rPr>
        <w:t xml:space="preserve"> propiedad del señor</w:t>
      </w:r>
      <w:r w:rsidR="00C34A3B" w:rsidRPr="00C02E1D">
        <w:rPr>
          <w:rFonts w:ascii="Verdana" w:hAnsi="Verdana"/>
          <w:sz w:val="20"/>
          <w:szCs w:val="20"/>
        </w:rPr>
        <w:t xml:space="preserve"> </w:t>
      </w:r>
      <w:r w:rsidR="00093C10" w:rsidRPr="00C02E1D">
        <w:rPr>
          <w:rFonts w:ascii="Verdana" w:hAnsi="Verdana"/>
          <w:sz w:val="20"/>
          <w:szCs w:val="20"/>
        </w:rPr>
        <w:t>Montesinos Mejía, ni tampoco t</w:t>
      </w:r>
      <w:r w:rsidR="004B4917" w:rsidRPr="00C02E1D">
        <w:rPr>
          <w:rFonts w:ascii="Verdana" w:hAnsi="Verdana"/>
          <w:sz w:val="20"/>
          <w:szCs w:val="20"/>
        </w:rPr>
        <w:t>en</w:t>
      </w:r>
      <w:r w:rsidR="00093C10" w:rsidRPr="00C02E1D">
        <w:rPr>
          <w:rFonts w:ascii="Verdana" w:hAnsi="Verdana"/>
          <w:sz w:val="20"/>
          <w:szCs w:val="20"/>
        </w:rPr>
        <w:t>ía</w:t>
      </w:r>
      <w:r w:rsidR="004B4917" w:rsidRPr="00C02E1D">
        <w:rPr>
          <w:rFonts w:ascii="Verdana" w:hAnsi="Verdana"/>
          <w:sz w:val="20"/>
          <w:szCs w:val="20"/>
        </w:rPr>
        <w:t xml:space="preserve"> relación con el objeto del presente caso</w:t>
      </w:r>
      <w:r w:rsidR="00EF63C9" w:rsidRPr="00C02E1D">
        <w:rPr>
          <w:rFonts w:ascii="Verdana" w:hAnsi="Verdana"/>
          <w:sz w:val="20"/>
          <w:szCs w:val="20"/>
        </w:rPr>
        <w:t>. A</w:t>
      </w:r>
      <w:r w:rsidR="00C71037" w:rsidRPr="00C02E1D">
        <w:rPr>
          <w:rFonts w:ascii="Verdana" w:hAnsi="Verdana"/>
          <w:sz w:val="20"/>
          <w:szCs w:val="20"/>
        </w:rPr>
        <w:t>dicionalmente</w:t>
      </w:r>
      <w:r w:rsidR="004B4917" w:rsidRPr="00C02E1D">
        <w:rPr>
          <w:rFonts w:ascii="Verdana" w:hAnsi="Verdana"/>
          <w:sz w:val="20"/>
          <w:szCs w:val="20"/>
        </w:rPr>
        <w:t xml:space="preserve"> </w:t>
      </w:r>
      <w:r w:rsidR="00C34A3B" w:rsidRPr="00C02E1D">
        <w:rPr>
          <w:rFonts w:ascii="Verdana" w:hAnsi="Verdana"/>
          <w:sz w:val="20"/>
          <w:szCs w:val="20"/>
        </w:rPr>
        <w:lastRenderedPageBreak/>
        <w:t xml:space="preserve">recalcó </w:t>
      </w:r>
      <w:r w:rsidR="004B4917" w:rsidRPr="00C02E1D">
        <w:rPr>
          <w:rFonts w:ascii="Verdana" w:hAnsi="Verdana"/>
          <w:sz w:val="20"/>
          <w:szCs w:val="20"/>
        </w:rPr>
        <w:t>que el valor monetario de</w:t>
      </w:r>
      <w:r w:rsidR="00C71037" w:rsidRPr="00C02E1D">
        <w:rPr>
          <w:rFonts w:ascii="Verdana" w:hAnsi="Verdana"/>
          <w:sz w:val="20"/>
          <w:szCs w:val="20"/>
        </w:rPr>
        <w:t xml:space="preserve">l </w:t>
      </w:r>
      <w:r w:rsidR="004B4917" w:rsidRPr="00C02E1D">
        <w:rPr>
          <w:rFonts w:ascii="Verdana" w:hAnsi="Verdana"/>
          <w:sz w:val="20"/>
          <w:szCs w:val="20"/>
        </w:rPr>
        <w:t>predio en la</w:t>
      </w:r>
      <w:r w:rsidR="00C34A3B" w:rsidRPr="00C02E1D">
        <w:rPr>
          <w:rFonts w:ascii="Verdana" w:hAnsi="Verdana"/>
          <w:sz w:val="20"/>
          <w:szCs w:val="20"/>
        </w:rPr>
        <w:t xml:space="preserve"> </w:t>
      </w:r>
      <w:r w:rsidR="00C71037" w:rsidRPr="00C02E1D">
        <w:rPr>
          <w:rFonts w:ascii="Verdana" w:hAnsi="Verdana"/>
          <w:sz w:val="20"/>
          <w:szCs w:val="20"/>
        </w:rPr>
        <w:t>actualidad tampoco t</w:t>
      </w:r>
      <w:r w:rsidR="004B4917" w:rsidRPr="00C02E1D">
        <w:rPr>
          <w:rFonts w:ascii="Verdana" w:hAnsi="Verdana"/>
          <w:sz w:val="20"/>
          <w:szCs w:val="20"/>
        </w:rPr>
        <w:t>en</w:t>
      </w:r>
      <w:r w:rsidR="00EF63C9" w:rsidRPr="00C02E1D">
        <w:rPr>
          <w:rFonts w:ascii="Verdana" w:hAnsi="Verdana"/>
          <w:sz w:val="20"/>
          <w:szCs w:val="20"/>
        </w:rPr>
        <w:t>dr</w:t>
      </w:r>
      <w:r w:rsidR="00C71037" w:rsidRPr="00C02E1D">
        <w:rPr>
          <w:rFonts w:ascii="Verdana" w:hAnsi="Verdana"/>
          <w:sz w:val="20"/>
          <w:szCs w:val="20"/>
        </w:rPr>
        <w:t>ía</w:t>
      </w:r>
      <w:r w:rsidR="004B4917" w:rsidRPr="00C02E1D">
        <w:rPr>
          <w:rFonts w:ascii="Verdana" w:hAnsi="Verdana"/>
          <w:sz w:val="20"/>
          <w:szCs w:val="20"/>
        </w:rPr>
        <w:t xml:space="preserve"> relevancia, puesto que la </w:t>
      </w:r>
      <w:r w:rsidR="00C34A3B" w:rsidRPr="00C02E1D">
        <w:rPr>
          <w:rFonts w:ascii="Verdana" w:hAnsi="Verdana"/>
          <w:sz w:val="20"/>
          <w:szCs w:val="20"/>
        </w:rPr>
        <w:t xml:space="preserve">Comisión no determinó </w:t>
      </w:r>
      <w:r w:rsidR="004B4917" w:rsidRPr="00C02E1D">
        <w:rPr>
          <w:rFonts w:ascii="Verdana" w:hAnsi="Verdana"/>
          <w:sz w:val="20"/>
          <w:szCs w:val="20"/>
        </w:rPr>
        <w:t>en su análisis la existencia de vulneración del derecho a la</w:t>
      </w:r>
      <w:r w:rsidR="00C34A3B" w:rsidRPr="00C02E1D">
        <w:rPr>
          <w:rFonts w:ascii="Verdana" w:hAnsi="Verdana"/>
          <w:sz w:val="20"/>
          <w:szCs w:val="20"/>
        </w:rPr>
        <w:t xml:space="preserve"> </w:t>
      </w:r>
      <w:r w:rsidR="004B4917" w:rsidRPr="00C02E1D">
        <w:rPr>
          <w:rFonts w:ascii="Verdana" w:hAnsi="Verdana"/>
          <w:sz w:val="20"/>
          <w:szCs w:val="20"/>
        </w:rPr>
        <w:t>propiedad privada del señor Montesinos Mejía</w:t>
      </w:r>
      <w:r w:rsidR="002300F9">
        <w:rPr>
          <w:rFonts w:ascii="Verdana" w:hAnsi="Verdana"/>
          <w:sz w:val="20"/>
          <w:szCs w:val="20"/>
        </w:rPr>
        <w:t>.</w:t>
      </w:r>
      <w:r w:rsidR="00C37528" w:rsidRPr="00C02E1D">
        <w:rPr>
          <w:rFonts w:ascii="Verdana" w:hAnsi="Verdana"/>
          <w:sz w:val="20"/>
          <w:szCs w:val="20"/>
        </w:rPr>
        <w:t xml:space="preserve"> </w:t>
      </w:r>
      <w:r w:rsidR="00CF3A7B" w:rsidRPr="00C02E1D">
        <w:rPr>
          <w:rFonts w:ascii="Verdana" w:hAnsi="Verdana"/>
          <w:sz w:val="20"/>
          <w:szCs w:val="20"/>
        </w:rPr>
        <w:t xml:space="preserve">En cuanto al peritaje a cargo del señor </w:t>
      </w:r>
      <w:proofErr w:type="spellStart"/>
      <w:r w:rsidR="00CF3A7B" w:rsidRPr="00C02E1D">
        <w:rPr>
          <w:rFonts w:ascii="Verdana" w:hAnsi="Verdana"/>
          <w:sz w:val="20"/>
          <w:szCs w:val="20"/>
        </w:rPr>
        <w:t>Calvachi</w:t>
      </w:r>
      <w:proofErr w:type="spellEnd"/>
      <w:r w:rsidR="00CF3A7B" w:rsidRPr="00C02E1D">
        <w:rPr>
          <w:rFonts w:ascii="Verdana" w:hAnsi="Verdana"/>
          <w:sz w:val="20"/>
          <w:szCs w:val="20"/>
        </w:rPr>
        <w:t xml:space="preserve"> Cruz, el Estado señaló que ya fue presentado casi idénticamente en el </w:t>
      </w:r>
      <w:r w:rsidR="00CF3A7B" w:rsidRPr="00C02E1D">
        <w:rPr>
          <w:rFonts w:ascii="Verdana" w:hAnsi="Verdana"/>
          <w:i/>
          <w:sz w:val="20"/>
          <w:szCs w:val="20"/>
        </w:rPr>
        <w:t>Caso Acosta Calderón</w:t>
      </w:r>
      <w:r w:rsidR="00034B76">
        <w:rPr>
          <w:rFonts w:ascii="Verdana" w:hAnsi="Verdana"/>
          <w:i/>
          <w:sz w:val="20"/>
          <w:szCs w:val="20"/>
        </w:rPr>
        <w:t xml:space="preserve"> Vs. </w:t>
      </w:r>
      <w:r w:rsidR="00CF3A7B" w:rsidRPr="00C02E1D">
        <w:rPr>
          <w:rFonts w:ascii="Verdana" w:hAnsi="Verdana"/>
          <w:i/>
          <w:sz w:val="20"/>
          <w:szCs w:val="20"/>
        </w:rPr>
        <w:t>Ecuador</w:t>
      </w:r>
      <w:r w:rsidR="00CF3A7B" w:rsidRPr="00C02E1D">
        <w:rPr>
          <w:rFonts w:ascii="Verdana" w:hAnsi="Verdana"/>
          <w:sz w:val="20"/>
          <w:szCs w:val="20"/>
        </w:rPr>
        <w:t xml:space="preserve">, por lo que no aporta a la Corte aspectos técnicos nuevos, dado que sus exámenes hacen parte del acervo jurisprudencial del Tribunal en ese caso. </w:t>
      </w:r>
      <w:r w:rsidR="00C34A3B" w:rsidRPr="00C02E1D">
        <w:rPr>
          <w:rFonts w:ascii="Verdana" w:hAnsi="Verdana"/>
          <w:sz w:val="20"/>
          <w:szCs w:val="20"/>
        </w:rPr>
        <w:t>Por lo</w:t>
      </w:r>
      <w:r w:rsidR="004B4917" w:rsidRPr="00C02E1D">
        <w:rPr>
          <w:rFonts w:ascii="Verdana" w:hAnsi="Verdana"/>
          <w:sz w:val="20"/>
          <w:szCs w:val="20"/>
        </w:rPr>
        <w:t xml:space="preserve"> anterior, el Estado solicit</w:t>
      </w:r>
      <w:r w:rsidR="00C34A3B" w:rsidRPr="00C02E1D">
        <w:rPr>
          <w:rFonts w:ascii="Verdana" w:hAnsi="Verdana"/>
          <w:sz w:val="20"/>
          <w:szCs w:val="20"/>
        </w:rPr>
        <w:t>ó</w:t>
      </w:r>
      <w:r w:rsidR="004B4917" w:rsidRPr="00C02E1D">
        <w:rPr>
          <w:rFonts w:ascii="Verdana" w:hAnsi="Verdana"/>
          <w:sz w:val="20"/>
          <w:szCs w:val="20"/>
        </w:rPr>
        <w:t xml:space="preserve"> a la exclusión de </w:t>
      </w:r>
      <w:r w:rsidR="00C34A3B" w:rsidRPr="00C02E1D">
        <w:rPr>
          <w:rFonts w:ascii="Verdana" w:hAnsi="Verdana"/>
          <w:sz w:val="20"/>
          <w:szCs w:val="20"/>
        </w:rPr>
        <w:t>tal</w:t>
      </w:r>
      <w:r w:rsidR="004B4917" w:rsidRPr="00C02E1D">
        <w:rPr>
          <w:rFonts w:ascii="Verdana" w:hAnsi="Verdana"/>
          <w:sz w:val="20"/>
          <w:szCs w:val="20"/>
        </w:rPr>
        <w:t xml:space="preserve"> prueba pericial</w:t>
      </w:r>
      <w:r w:rsidR="002300F9">
        <w:rPr>
          <w:rFonts w:ascii="Verdana" w:hAnsi="Verdana"/>
          <w:sz w:val="20"/>
          <w:szCs w:val="20"/>
        </w:rPr>
        <w:t>.</w:t>
      </w:r>
      <w:r w:rsidR="00C37528" w:rsidRPr="00C02E1D">
        <w:rPr>
          <w:rFonts w:ascii="Verdana" w:hAnsi="Verdana"/>
          <w:sz w:val="20"/>
          <w:szCs w:val="20"/>
        </w:rPr>
        <w:t xml:space="preserve"> </w:t>
      </w:r>
    </w:p>
    <w:p w14:paraId="73D1A42F" w14:textId="77777777" w:rsidR="006D3936" w:rsidRPr="00C02E1D" w:rsidRDefault="006D3936" w:rsidP="0030244A">
      <w:pPr>
        <w:pStyle w:val="Normal1"/>
        <w:widowControl/>
        <w:contextualSpacing/>
        <w:jc w:val="both"/>
        <w:rPr>
          <w:rFonts w:ascii="Verdana" w:hAnsi="Verdana"/>
          <w:sz w:val="20"/>
          <w:szCs w:val="20"/>
        </w:rPr>
      </w:pPr>
    </w:p>
    <w:p w14:paraId="4C948F77" w14:textId="77777777" w:rsidR="006D3936" w:rsidRPr="00C02E1D" w:rsidRDefault="00CF3A7B" w:rsidP="0030244A">
      <w:pPr>
        <w:pStyle w:val="Normal1"/>
        <w:widowControl/>
        <w:numPr>
          <w:ilvl w:val="0"/>
          <w:numId w:val="34"/>
        </w:numPr>
        <w:ind w:left="0" w:firstLine="0"/>
        <w:contextualSpacing/>
        <w:jc w:val="both"/>
        <w:rPr>
          <w:rFonts w:ascii="Verdana" w:hAnsi="Verdana"/>
          <w:sz w:val="20"/>
          <w:szCs w:val="20"/>
        </w:rPr>
      </w:pPr>
      <w:r w:rsidRPr="00C02E1D">
        <w:rPr>
          <w:rFonts w:ascii="Verdana" w:hAnsi="Verdana"/>
          <w:sz w:val="20"/>
          <w:szCs w:val="20"/>
        </w:rPr>
        <w:t xml:space="preserve">Al respecto, el </w:t>
      </w:r>
      <w:r w:rsidRPr="00C02E1D">
        <w:rPr>
          <w:rFonts w:ascii="Verdana" w:hAnsi="Verdana"/>
          <w:b/>
          <w:i/>
          <w:sz w:val="20"/>
          <w:szCs w:val="20"/>
        </w:rPr>
        <w:t>Presidente</w:t>
      </w:r>
      <w:r w:rsidRPr="00C02E1D">
        <w:rPr>
          <w:rFonts w:ascii="Verdana" w:hAnsi="Verdana"/>
          <w:sz w:val="20"/>
          <w:szCs w:val="20"/>
        </w:rPr>
        <w:t xml:space="preserve"> recuerda que, en su jurisprudencia reiterada, el Tribunal ha considerado que las presuntas víctimas o sus representantes están facultados para alegar la violación de derechos distintos a los señalados en el Informe de Fondo, siempre que se ajusten al marco fáctico del caso</w:t>
      </w:r>
      <w:r w:rsidRPr="00C02E1D">
        <w:rPr>
          <w:rStyle w:val="Refdenotaalpie"/>
          <w:rFonts w:ascii="Verdana" w:hAnsi="Verdana"/>
          <w:sz w:val="20"/>
          <w:szCs w:val="20"/>
        </w:rPr>
        <w:footnoteReference w:id="3"/>
      </w:r>
      <w:r w:rsidRPr="00C02E1D">
        <w:rPr>
          <w:rFonts w:ascii="Verdana" w:hAnsi="Verdana"/>
          <w:sz w:val="20"/>
          <w:szCs w:val="20"/>
        </w:rPr>
        <w:t>.</w:t>
      </w:r>
      <w:r w:rsidR="00C37528" w:rsidRPr="00C02E1D">
        <w:rPr>
          <w:rFonts w:ascii="Verdana" w:hAnsi="Verdana"/>
          <w:sz w:val="20"/>
          <w:szCs w:val="20"/>
        </w:rPr>
        <w:t xml:space="preserve"> </w:t>
      </w:r>
      <w:r w:rsidRPr="00C02E1D">
        <w:rPr>
          <w:rFonts w:ascii="Verdana" w:hAnsi="Verdana"/>
          <w:sz w:val="20"/>
          <w:szCs w:val="20"/>
        </w:rPr>
        <w:t>En cons</w:t>
      </w:r>
      <w:r w:rsidR="00D61FEA" w:rsidRPr="00C02E1D">
        <w:rPr>
          <w:rFonts w:ascii="Verdana" w:hAnsi="Verdana"/>
          <w:sz w:val="20"/>
          <w:szCs w:val="20"/>
        </w:rPr>
        <w:t>e</w:t>
      </w:r>
      <w:r w:rsidRPr="00C02E1D">
        <w:rPr>
          <w:rFonts w:ascii="Verdana" w:hAnsi="Verdana"/>
          <w:sz w:val="20"/>
          <w:szCs w:val="20"/>
        </w:rPr>
        <w:t xml:space="preserve">cuencia, </w:t>
      </w:r>
      <w:r w:rsidR="008A0018" w:rsidRPr="00C02E1D">
        <w:rPr>
          <w:rFonts w:ascii="Verdana" w:hAnsi="Verdana"/>
          <w:sz w:val="20"/>
          <w:szCs w:val="20"/>
        </w:rPr>
        <w:t>esta Presidencia estima procedente recibir la declaración pericial del señor Lucero Narváez, a efectos de que la Corte pueda apreciar su valor en la debida oportunidad procesal, tomando en cuenta las eventuales observaciones de las partes sobre su peso probatorio y sin perjuicio de la decisión que al respecto corresponda sobre la controversia de fondo.</w:t>
      </w:r>
    </w:p>
    <w:p w14:paraId="7A50B3C0" w14:textId="77777777" w:rsidR="0084670F" w:rsidRPr="00C02E1D" w:rsidRDefault="0084670F" w:rsidP="0030244A">
      <w:pPr>
        <w:pStyle w:val="Normal1"/>
        <w:widowControl/>
        <w:contextualSpacing/>
        <w:jc w:val="both"/>
        <w:rPr>
          <w:rFonts w:ascii="Verdana" w:hAnsi="Verdana"/>
          <w:sz w:val="20"/>
          <w:szCs w:val="20"/>
        </w:rPr>
      </w:pPr>
    </w:p>
    <w:p w14:paraId="050CBFB2" w14:textId="77777777" w:rsidR="0084670F" w:rsidRPr="00C02E1D" w:rsidRDefault="0084670F" w:rsidP="0030244A">
      <w:pPr>
        <w:pStyle w:val="Normal1"/>
        <w:widowControl/>
        <w:numPr>
          <w:ilvl w:val="0"/>
          <w:numId w:val="34"/>
        </w:numPr>
        <w:ind w:left="0" w:firstLine="0"/>
        <w:contextualSpacing/>
        <w:jc w:val="both"/>
        <w:rPr>
          <w:rFonts w:ascii="Verdana" w:hAnsi="Verdana"/>
          <w:sz w:val="20"/>
          <w:szCs w:val="20"/>
        </w:rPr>
      </w:pPr>
      <w:r w:rsidRPr="00C02E1D">
        <w:rPr>
          <w:rFonts w:ascii="Verdana" w:hAnsi="Verdana"/>
          <w:sz w:val="20"/>
          <w:szCs w:val="20"/>
        </w:rPr>
        <w:t xml:space="preserve">En cuanto al peritaje del señor </w:t>
      </w:r>
      <w:proofErr w:type="spellStart"/>
      <w:r w:rsidRPr="00C02E1D">
        <w:rPr>
          <w:rFonts w:ascii="Verdana" w:hAnsi="Verdana"/>
          <w:sz w:val="20"/>
          <w:szCs w:val="20"/>
        </w:rPr>
        <w:t>Calvachi</w:t>
      </w:r>
      <w:proofErr w:type="spellEnd"/>
      <w:r w:rsidRPr="00C02E1D">
        <w:rPr>
          <w:rFonts w:ascii="Verdana" w:hAnsi="Verdana"/>
          <w:sz w:val="20"/>
          <w:szCs w:val="20"/>
        </w:rPr>
        <w:t xml:space="preserve"> Cruz, tal como señaló el Estado, en el </w:t>
      </w:r>
      <w:r w:rsidR="001D14B1" w:rsidRPr="00C02E1D">
        <w:rPr>
          <w:rFonts w:ascii="Verdana" w:hAnsi="Verdana"/>
          <w:i/>
          <w:sz w:val="20"/>
          <w:szCs w:val="20"/>
        </w:rPr>
        <w:t>c</w:t>
      </w:r>
      <w:r w:rsidRPr="00C02E1D">
        <w:rPr>
          <w:rFonts w:ascii="Verdana" w:hAnsi="Verdana"/>
          <w:i/>
          <w:sz w:val="20"/>
          <w:szCs w:val="20"/>
        </w:rPr>
        <w:t>aso Acosta Calderón</w:t>
      </w:r>
      <w:r w:rsidR="00034B76">
        <w:rPr>
          <w:rFonts w:ascii="Verdana" w:hAnsi="Verdana"/>
          <w:i/>
          <w:sz w:val="20"/>
          <w:szCs w:val="20"/>
        </w:rPr>
        <w:t xml:space="preserve"> Vs. </w:t>
      </w:r>
      <w:r w:rsidRPr="00C02E1D">
        <w:rPr>
          <w:rFonts w:ascii="Verdana" w:hAnsi="Verdana"/>
          <w:i/>
          <w:sz w:val="20"/>
          <w:szCs w:val="20"/>
        </w:rPr>
        <w:t>Ecuador</w:t>
      </w:r>
      <w:r w:rsidR="000C3038" w:rsidRPr="00C02E1D">
        <w:rPr>
          <w:rStyle w:val="Refdenotaalpie"/>
          <w:rFonts w:ascii="Verdana" w:hAnsi="Verdana"/>
          <w:i/>
          <w:sz w:val="20"/>
          <w:szCs w:val="20"/>
        </w:rPr>
        <w:footnoteReference w:id="4"/>
      </w:r>
      <w:r w:rsidRPr="00C02E1D">
        <w:rPr>
          <w:rFonts w:ascii="Verdana" w:hAnsi="Verdana"/>
          <w:sz w:val="20"/>
          <w:szCs w:val="20"/>
        </w:rPr>
        <w:t xml:space="preserve"> fue recibido un peritaje </w:t>
      </w:r>
      <w:r w:rsidR="00063EBF" w:rsidRPr="00C02E1D">
        <w:rPr>
          <w:rFonts w:ascii="Verdana" w:hAnsi="Verdana"/>
          <w:sz w:val="20"/>
          <w:szCs w:val="20"/>
        </w:rPr>
        <w:t>similar</w:t>
      </w:r>
      <w:r w:rsidR="002300F9">
        <w:rPr>
          <w:rFonts w:ascii="Verdana" w:hAnsi="Verdana"/>
          <w:sz w:val="20"/>
          <w:szCs w:val="20"/>
        </w:rPr>
        <w:t>.</w:t>
      </w:r>
      <w:r w:rsidR="000C3038" w:rsidRPr="00C02E1D">
        <w:rPr>
          <w:rFonts w:ascii="Verdana" w:hAnsi="Verdana"/>
          <w:sz w:val="20"/>
          <w:szCs w:val="20"/>
        </w:rPr>
        <w:t xml:space="preserve"> </w:t>
      </w:r>
      <w:r w:rsidR="007448AA" w:rsidRPr="00C02E1D">
        <w:rPr>
          <w:rFonts w:ascii="Verdana" w:hAnsi="Verdana"/>
          <w:sz w:val="20"/>
          <w:szCs w:val="20"/>
        </w:rPr>
        <w:t xml:space="preserve">Sin perjuicio de lo anterior, </w:t>
      </w:r>
      <w:r w:rsidR="00034B76">
        <w:rPr>
          <w:rFonts w:ascii="Verdana" w:hAnsi="Verdana"/>
          <w:sz w:val="20"/>
          <w:szCs w:val="20"/>
        </w:rPr>
        <w:t>la</w:t>
      </w:r>
      <w:r w:rsidR="00063EBF" w:rsidRPr="00C02E1D">
        <w:rPr>
          <w:rFonts w:ascii="Verdana" w:hAnsi="Verdana"/>
          <w:sz w:val="20"/>
          <w:szCs w:val="20"/>
        </w:rPr>
        <w:t xml:space="preserve"> </w:t>
      </w:r>
      <w:r w:rsidR="00034B76" w:rsidRPr="00034B76">
        <w:rPr>
          <w:rFonts w:ascii="Verdana" w:hAnsi="Verdana"/>
          <w:sz w:val="20"/>
          <w:szCs w:val="20"/>
        </w:rPr>
        <w:t>Presidencia</w:t>
      </w:r>
      <w:r w:rsidR="00034B76">
        <w:rPr>
          <w:rFonts w:ascii="Verdana" w:hAnsi="Verdana"/>
          <w:b/>
          <w:i/>
          <w:sz w:val="20"/>
          <w:szCs w:val="20"/>
        </w:rPr>
        <w:t xml:space="preserve"> </w:t>
      </w:r>
      <w:r w:rsidR="007448AA" w:rsidRPr="00C02E1D">
        <w:rPr>
          <w:rFonts w:ascii="Verdana" w:hAnsi="Verdana"/>
          <w:sz w:val="20"/>
          <w:szCs w:val="20"/>
        </w:rPr>
        <w:t>observa que el objeto del peritaje ofrecido en el presente caso contiene aspectos diferentes y espec</w:t>
      </w:r>
      <w:r w:rsidR="00154E7A" w:rsidRPr="00C02E1D">
        <w:rPr>
          <w:rFonts w:ascii="Verdana" w:hAnsi="Verdana"/>
          <w:sz w:val="20"/>
          <w:szCs w:val="20"/>
        </w:rPr>
        <w:t xml:space="preserve">íficos </w:t>
      </w:r>
      <w:r w:rsidR="00FC5437" w:rsidRPr="00C02E1D">
        <w:rPr>
          <w:rFonts w:ascii="Verdana" w:hAnsi="Verdana"/>
          <w:sz w:val="20"/>
          <w:szCs w:val="20"/>
        </w:rPr>
        <w:t>respecto al</w:t>
      </w:r>
      <w:r w:rsidR="00154E7A" w:rsidRPr="00C02E1D">
        <w:rPr>
          <w:rFonts w:ascii="Verdana" w:hAnsi="Verdana"/>
          <w:sz w:val="20"/>
          <w:szCs w:val="20"/>
        </w:rPr>
        <w:t xml:space="preserve"> presente litigio. En consecuencia, esta Presidencia estima procedente recibir la declaración pericial del señor </w:t>
      </w:r>
      <w:proofErr w:type="spellStart"/>
      <w:r w:rsidR="00154E7A" w:rsidRPr="00C02E1D">
        <w:rPr>
          <w:rFonts w:ascii="Verdana" w:hAnsi="Verdana"/>
          <w:sz w:val="20"/>
          <w:szCs w:val="20"/>
        </w:rPr>
        <w:t>Calvachi</w:t>
      </w:r>
      <w:proofErr w:type="spellEnd"/>
      <w:r w:rsidR="00154E7A" w:rsidRPr="00C02E1D">
        <w:rPr>
          <w:rFonts w:ascii="Verdana" w:hAnsi="Verdana"/>
          <w:sz w:val="20"/>
          <w:szCs w:val="20"/>
        </w:rPr>
        <w:t xml:space="preserve"> Cruz, a efectos de que la Corte pueda apreciar su valor en la debida oportunidad procesal, tomando en cuenta las eventuales observaciones de las partes sobre su peso probatorio y sin perjuicio de la decisión que al respecto corresponda sobre la controversia de fondo.</w:t>
      </w:r>
    </w:p>
    <w:p w14:paraId="5522B55A" w14:textId="77777777" w:rsidR="0054135B" w:rsidRPr="00C02E1D" w:rsidRDefault="0054135B" w:rsidP="00E7605E">
      <w:pPr>
        <w:pStyle w:val="Normal1"/>
        <w:widowControl/>
        <w:contextualSpacing/>
        <w:jc w:val="both"/>
        <w:rPr>
          <w:rFonts w:ascii="Verdana" w:hAnsi="Verdana"/>
          <w:sz w:val="20"/>
          <w:szCs w:val="20"/>
        </w:rPr>
      </w:pPr>
    </w:p>
    <w:p w14:paraId="2F94258C" w14:textId="77777777" w:rsidR="00D22102" w:rsidRPr="00C02E1D" w:rsidRDefault="00D22102" w:rsidP="0030244A">
      <w:pPr>
        <w:pStyle w:val="Normal1"/>
        <w:widowControl/>
        <w:numPr>
          <w:ilvl w:val="0"/>
          <w:numId w:val="34"/>
        </w:numPr>
        <w:autoSpaceDE w:val="0"/>
        <w:autoSpaceDN w:val="0"/>
        <w:adjustRightInd w:val="0"/>
        <w:ind w:left="0" w:firstLine="0"/>
        <w:contextualSpacing/>
        <w:jc w:val="both"/>
        <w:rPr>
          <w:rFonts w:ascii="Verdana" w:hAnsi="Verdana"/>
          <w:sz w:val="20"/>
          <w:szCs w:val="20"/>
        </w:rPr>
      </w:pPr>
      <w:r w:rsidRPr="00C02E1D">
        <w:rPr>
          <w:rFonts w:ascii="Verdana" w:hAnsi="Verdana"/>
          <w:sz w:val="20"/>
          <w:szCs w:val="20"/>
        </w:rPr>
        <w:t xml:space="preserve">Por otra parte, el </w:t>
      </w:r>
      <w:r w:rsidRPr="00C02E1D">
        <w:rPr>
          <w:rFonts w:ascii="Verdana" w:hAnsi="Verdana"/>
          <w:b/>
          <w:i/>
          <w:sz w:val="20"/>
          <w:szCs w:val="20"/>
        </w:rPr>
        <w:t>representante</w:t>
      </w:r>
      <w:r w:rsidRPr="00C02E1D">
        <w:rPr>
          <w:rFonts w:ascii="Verdana" w:hAnsi="Verdana"/>
          <w:sz w:val="20"/>
          <w:szCs w:val="20"/>
        </w:rPr>
        <w:t xml:space="preserve"> solicitó “la reproducción de la pericia rendida por el Dr. Ernesto Albán Gómez durante la audiencia del </w:t>
      </w:r>
      <w:r w:rsidRPr="00C02E1D">
        <w:rPr>
          <w:rFonts w:ascii="Verdana" w:hAnsi="Verdana"/>
          <w:i/>
          <w:sz w:val="20"/>
          <w:szCs w:val="20"/>
        </w:rPr>
        <w:t>caso Suárez Rosero</w:t>
      </w:r>
      <w:r w:rsidRPr="00C02E1D">
        <w:rPr>
          <w:rFonts w:ascii="Verdana" w:hAnsi="Verdana"/>
          <w:sz w:val="20"/>
          <w:szCs w:val="20"/>
        </w:rPr>
        <w:t xml:space="preserve"> ante esta Corte del día 19 de abril de 1997”</w:t>
      </w:r>
      <w:r w:rsidR="00154E7A" w:rsidRPr="00C02E1D">
        <w:rPr>
          <w:rFonts w:ascii="Verdana" w:hAnsi="Verdana"/>
          <w:sz w:val="20"/>
          <w:szCs w:val="20"/>
        </w:rPr>
        <w:t>.</w:t>
      </w:r>
      <w:r w:rsidR="00CA76B5">
        <w:rPr>
          <w:rFonts w:ascii="Verdana" w:hAnsi="Verdana"/>
          <w:sz w:val="20"/>
          <w:szCs w:val="20"/>
        </w:rPr>
        <w:t xml:space="preserve"> </w:t>
      </w:r>
    </w:p>
    <w:p w14:paraId="61713C41" w14:textId="77777777" w:rsidR="00D22102" w:rsidRPr="00C02E1D" w:rsidRDefault="00D22102" w:rsidP="0030244A">
      <w:pPr>
        <w:pStyle w:val="Normal1"/>
        <w:widowControl/>
        <w:autoSpaceDE w:val="0"/>
        <w:autoSpaceDN w:val="0"/>
        <w:adjustRightInd w:val="0"/>
        <w:contextualSpacing/>
        <w:jc w:val="both"/>
        <w:rPr>
          <w:rFonts w:ascii="Verdana" w:hAnsi="Verdana"/>
          <w:sz w:val="20"/>
          <w:szCs w:val="20"/>
        </w:rPr>
      </w:pPr>
    </w:p>
    <w:p w14:paraId="502185FE" w14:textId="77777777" w:rsidR="00D22102" w:rsidRPr="00C02E1D" w:rsidRDefault="00D22102" w:rsidP="0030244A">
      <w:pPr>
        <w:pStyle w:val="Normal1"/>
        <w:widowControl/>
        <w:numPr>
          <w:ilvl w:val="0"/>
          <w:numId w:val="34"/>
        </w:numPr>
        <w:autoSpaceDE w:val="0"/>
        <w:autoSpaceDN w:val="0"/>
        <w:adjustRightInd w:val="0"/>
        <w:ind w:left="0" w:firstLine="0"/>
        <w:contextualSpacing/>
        <w:jc w:val="both"/>
        <w:rPr>
          <w:rFonts w:ascii="Verdana" w:hAnsi="Verdana"/>
          <w:sz w:val="20"/>
          <w:szCs w:val="20"/>
        </w:rPr>
      </w:pPr>
      <w:r w:rsidRPr="00C02E1D">
        <w:rPr>
          <w:rFonts w:ascii="Verdana" w:hAnsi="Verdana"/>
          <w:sz w:val="20"/>
          <w:szCs w:val="20"/>
        </w:rPr>
        <w:t xml:space="preserve">Al respecto, el </w:t>
      </w:r>
      <w:r w:rsidRPr="00C02E1D">
        <w:rPr>
          <w:rFonts w:ascii="Verdana" w:hAnsi="Verdana"/>
          <w:b/>
          <w:i/>
          <w:sz w:val="20"/>
          <w:szCs w:val="20"/>
        </w:rPr>
        <w:t>Estado</w:t>
      </w:r>
      <w:r w:rsidRPr="00C02E1D">
        <w:rPr>
          <w:rFonts w:ascii="Verdana" w:hAnsi="Verdana"/>
          <w:sz w:val="20"/>
          <w:szCs w:val="20"/>
        </w:rPr>
        <w:t xml:space="preserve"> manifestó que el representante solicitó esta prueba asimilando los hechos del presente caso a los del </w:t>
      </w:r>
      <w:r w:rsidR="003A6D30" w:rsidRPr="00C02E1D">
        <w:rPr>
          <w:rFonts w:ascii="Verdana" w:hAnsi="Verdana"/>
          <w:i/>
          <w:sz w:val="20"/>
          <w:szCs w:val="20"/>
        </w:rPr>
        <w:t>caso Suarez Ro</w:t>
      </w:r>
      <w:r w:rsidRPr="00C02E1D">
        <w:rPr>
          <w:rFonts w:ascii="Verdana" w:hAnsi="Verdana"/>
          <w:i/>
          <w:sz w:val="20"/>
          <w:szCs w:val="20"/>
        </w:rPr>
        <w:t>sero</w:t>
      </w:r>
      <w:r w:rsidRPr="00C02E1D">
        <w:rPr>
          <w:rFonts w:ascii="Verdana" w:hAnsi="Verdana"/>
          <w:sz w:val="20"/>
          <w:szCs w:val="20"/>
        </w:rPr>
        <w:t>, lo cual rechaza, puesto que los hechos de ambos casos no son los mismos al no guardar identidad de objeto, sujeto y causa</w:t>
      </w:r>
      <w:r w:rsidR="005760A4" w:rsidRPr="00C02E1D">
        <w:rPr>
          <w:rFonts w:ascii="Verdana" w:hAnsi="Verdana"/>
          <w:sz w:val="20"/>
          <w:szCs w:val="20"/>
        </w:rPr>
        <w:t>. Asimismo</w:t>
      </w:r>
      <w:r w:rsidR="002A5713" w:rsidRPr="00C02E1D">
        <w:rPr>
          <w:rFonts w:ascii="Verdana" w:hAnsi="Verdana"/>
          <w:sz w:val="20"/>
          <w:szCs w:val="20"/>
        </w:rPr>
        <w:t>,</w:t>
      </w:r>
      <w:r w:rsidR="005760A4" w:rsidRPr="00C02E1D">
        <w:rPr>
          <w:rFonts w:ascii="Verdana" w:hAnsi="Verdana"/>
          <w:sz w:val="20"/>
          <w:szCs w:val="20"/>
        </w:rPr>
        <w:t xml:space="preserve"> a</w:t>
      </w:r>
      <w:r w:rsidR="003A6D30" w:rsidRPr="00C02E1D">
        <w:rPr>
          <w:rFonts w:ascii="Verdana" w:hAnsi="Verdana"/>
          <w:sz w:val="20"/>
          <w:szCs w:val="20"/>
        </w:rPr>
        <w:t xml:space="preserve">legó que </w:t>
      </w:r>
      <w:r w:rsidR="002A5713" w:rsidRPr="00C02E1D">
        <w:rPr>
          <w:rFonts w:ascii="Verdana" w:hAnsi="Verdana"/>
          <w:sz w:val="20"/>
          <w:szCs w:val="20"/>
        </w:rPr>
        <w:t>los señores</w:t>
      </w:r>
      <w:r w:rsidR="003A6D30" w:rsidRPr="00C02E1D">
        <w:rPr>
          <w:rFonts w:ascii="Verdana" w:hAnsi="Verdana"/>
          <w:sz w:val="20"/>
          <w:szCs w:val="20"/>
        </w:rPr>
        <w:t xml:space="preserve"> Suarez Ro</w:t>
      </w:r>
      <w:r w:rsidRPr="00C02E1D">
        <w:rPr>
          <w:rFonts w:ascii="Verdana" w:hAnsi="Verdana"/>
          <w:sz w:val="20"/>
          <w:szCs w:val="20"/>
        </w:rPr>
        <w:t>sero y Montesinos</w:t>
      </w:r>
      <w:r w:rsidR="005760A4" w:rsidRPr="00C02E1D">
        <w:rPr>
          <w:rFonts w:ascii="Verdana" w:hAnsi="Verdana"/>
          <w:sz w:val="20"/>
          <w:szCs w:val="20"/>
        </w:rPr>
        <w:t>,</w:t>
      </w:r>
      <w:r w:rsidRPr="00C02E1D">
        <w:rPr>
          <w:rFonts w:ascii="Verdana" w:hAnsi="Verdana"/>
          <w:sz w:val="20"/>
          <w:szCs w:val="20"/>
        </w:rPr>
        <w:t xml:space="preserve"> fueron detenidos</w:t>
      </w:r>
      <w:r w:rsidR="002A5713" w:rsidRPr="00C02E1D">
        <w:rPr>
          <w:rFonts w:ascii="Verdana" w:hAnsi="Verdana"/>
          <w:sz w:val="20"/>
          <w:szCs w:val="20"/>
        </w:rPr>
        <w:t xml:space="preserve"> y procesados</w:t>
      </w:r>
      <w:r w:rsidRPr="00C02E1D">
        <w:rPr>
          <w:rFonts w:ascii="Verdana" w:hAnsi="Verdana"/>
          <w:sz w:val="20"/>
          <w:szCs w:val="20"/>
        </w:rPr>
        <w:t xml:space="preserve"> en circunstancias diferentes</w:t>
      </w:r>
      <w:r w:rsidR="002A5713" w:rsidRPr="00C02E1D">
        <w:rPr>
          <w:rFonts w:ascii="Verdana" w:hAnsi="Verdana"/>
          <w:sz w:val="20"/>
          <w:szCs w:val="20"/>
        </w:rPr>
        <w:t>.</w:t>
      </w:r>
      <w:r w:rsidRPr="00C02E1D">
        <w:rPr>
          <w:rFonts w:ascii="Verdana" w:hAnsi="Verdana"/>
          <w:sz w:val="20"/>
          <w:szCs w:val="20"/>
        </w:rPr>
        <w:t xml:space="preserve"> </w:t>
      </w:r>
      <w:r w:rsidR="002A5713" w:rsidRPr="00C02E1D">
        <w:rPr>
          <w:rFonts w:ascii="Verdana" w:hAnsi="Verdana"/>
          <w:sz w:val="20"/>
          <w:szCs w:val="20"/>
        </w:rPr>
        <w:t>P</w:t>
      </w:r>
      <w:r w:rsidR="005760A4" w:rsidRPr="00C02E1D">
        <w:rPr>
          <w:rFonts w:ascii="Verdana" w:hAnsi="Verdana"/>
          <w:sz w:val="20"/>
          <w:szCs w:val="20"/>
        </w:rPr>
        <w:t>or ello</w:t>
      </w:r>
      <w:r w:rsidR="00E50D4F" w:rsidRPr="00C02E1D">
        <w:rPr>
          <w:rFonts w:ascii="Verdana" w:hAnsi="Verdana"/>
          <w:sz w:val="20"/>
          <w:szCs w:val="20"/>
        </w:rPr>
        <w:t>,</w:t>
      </w:r>
      <w:r w:rsidR="005760A4" w:rsidRPr="00C02E1D">
        <w:rPr>
          <w:rFonts w:ascii="Verdana" w:hAnsi="Verdana"/>
          <w:sz w:val="20"/>
          <w:szCs w:val="20"/>
        </w:rPr>
        <w:t xml:space="preserve"> </w:t>
      </w:r>
      <w:r w:rsidRPr="00C02E1D">
        <w:rPr>
          <w:rFonts w:ascii="Verdana" w:hAnsi="Verdana"/>
          <w:sz w:val="20"/>
          <w:szCs w:val="20"/>
        </w:rPr>
        <w:t>consider</w:t>
      </w:r>
      <w:r w:rsidR="00FC5437" w:rsidRPr="00C02E1D">
        <w:rPr>
          <w:rFonts w:ascii="Verdana" w:hAnsi="Verdana"/>
          <w:sz w:val="20"/>
          <w:szCs w:val="20"/>
        </w:rPr>
        <w:t>ó</w:t>
      </w:r>
      <w:r w:rsidRPr="00C02E1D">
        <w:rPr>
          <w:rFonts w:ascii="Verdana" w:hAnsi="Verdana"/>
          <w:sz w:val="20"/>
          <w:szCs w:val="20"/>
        </w:rPr>
        <w:t xml:space="preserve"> que no es pertinente ni útil solicitar la transcripción de la audiencia del </w:t>
      </w:r>
      <w:r w:rsidRPr="00C02E1D">
        <w:rPr>
          <w:rFonts w:ascii="Verdana" w:hAnsi="Verdana"/>
          <w:i/>
          <w:sz w:val="20"/>
          <w:szCs w:val="20"/>
        </w:rPr>
        <w:t>caso Suarez Rosero</w:t>
      </w:r>
      <w:r w:rsidR="005760A4" w:rsidRPr="00C02E1D">
        <w:rPr>
          <w:rFonts w:ascii="Verdana" w:hAnsi="Verdana"/>
          <w:sz w:val="20"/>
          <w:szCs w:val="20"/>
        </w:rPr>
        <w:t xml:space="preserve">, ya que </w:t>
      </w:r>
      <w:r w:rsidRPr="00C02E1D">
        <w:rPr>
          <w:rFonts w:ascii="Verdana" w:hAnsi="Verdana"/>
          <w:sz w:val="20"/>
          <w:szCs w:val="20"/>
        </w:rPr>
        <w:t>la transcripción de la audiencia de ese caso y el peritaje rendido por señor Albán</w:t>
      </w:r>
      <w:r w:rsidR="005760A4" w:rsidRPr="00C02E1D">
        <w:rPr>
          <w:rFonts w:ascii="Verdana" w:hAnsi="Verdana"/>
          <w:sz w:val="20"/>
          <w:szCs w:val="20"/>
        </w:rPr>
        <w:t>,</w:t>
      </w:r>
      <w:r w:rsidRPr="00C02E1D">
        <w:rPr>
          <w:rFonts w:ascii="Verdana" w:hAnsi="Verdana"/>
          <w:sz w:val="20"/>
          <w:szCs w:val="20"/>
        </w:rPr>
        <w:t xml:space="preserve"> no son pruebas pertinentes</w:t>
      </w:r>
      <w:r w:rsidR="002A5713" w:rsidRPr="00C02E1D">
        <w:rPr>
          <w:rFonts w:ascii="Verdana" w:hAnsi="Verdana"/>
          <w:sz w:val="20"/>
          <w:szCs w:val="20"/>
        </w:rPr>
        <w:t>. A</w:t>
      </w:r>
      <w:r w:rsidR="005760A4" w:rsidRPr="00C02E1D">
        <w:rPr>
          <w:rFonts w:ascii="Verdana" w:hAnsi="Verdana"/>
          <w:sz w:val="20"/>
          <w:szCs w:val="20"/>
        </w:rPr>
        <w:t>demás</w:t>
      </w:r>
      <w:r w:rsidR="002A5713" w:rsidRPr="00C02E1D">
        <w:rPr>
          <w:rFonts w:ascii="Verdana" w:hAnsi="Verdana"/>
          <w:sz w:val="20"/>
          <w:szCs w:val="20"/>
        </w:rPr>
        <w:t>,</w:t>
      </w:r>
      <w:r w:rsidR="005760A4" w:rsidRPr="00C02E1D">
        <w:rPr>
          <w:rFonts w:ascii="Verdana" w:hAnsi="Verdana"/>
          <w:sz w:val="20"/>
          <w:szCs w:val="20"/>
        </w:rPr>
        <w:t xml:space="preserve"> a</w:t>
      </w:r>
      <w:r w:rsidRPr="00C02E1D">
        <w:rPr>
          <w:rFonts w:ascii="Verdana" w:hAnsi="Verdana"/>
          <w:sz w:val="20"/>
          <w:szCs w:val="20"/>
        </w:rPr>
        <w:t>legó que si se aceptaran tales peritajes, se vulneraría la defensa del Estado pues le impediría controvertir sobre exámenes periciales reproducidos anteriormente</w:t>
      </w:r>
      <w:r w:rsidR="002300F9">
        <w:rPr>
          <w:rFonts w:ascii="Verdana" w:hAnsi="Verdana"/>
          <w:sz w:val="20"/>
          <w:szCs w:val="20"/>
        </w:rPr>
        <w:t>.</w:t>
      </w:r>
      <w:r w:rsidR="00DF02E4" w:rsidRPr="00C02E1D">
        <w:rPr>
          <w:rFonts w:ascii="Verdana" w:hAnsi="Verdana"/>
          <w:sz w:val="20"/>
          <w:szCs w:val="20"/>
        </w:rPr>
        <w:t xml:space="preserve"> </w:t>
      </w:r>
    </w:p>
    <w:p w14:paraId="311E4F32" w14:textId="77777777" w:rsidR="00D22102" w:rsidRPr="00C02E1D" w:rsidRDefault="00D22102" w:rsidP="0030244A">
      <w:pPr>
        <w:pStyle w:val="Normal1"/>
        <w:widowControl/>
        <w:autoSpaceDE w:val="0"/>
        <w:autoSpaceDN w:val="0"/>
        <w:adjustRightInd w:val="0"/>
        <w:contextualSpacing/>
        <w:jc w:val="both"/>
        <w:rPr>
          <w:rFonts w:ascii="Verdana" w:hAnsi="Verdana"/>
          <w:sz w:val="20"/>
          <w:szCs w:val="20"/>
        </w:rPr>
      </w:pPr>
    </w:p>
    <w:p w14:paraId="72D0F68B" w14:textId="77777777" w:rsidR="00C02E1D" w:rsidRPr="00C02E1D" w:rsidRDefault="00D22102" w:rsidP="00C02E1D">
      <w:pPr>
        <w:pStyle w:val="Normal1"/>
        <w:numPr>
          <w:ilvl w:val="0"/>
          <w:numId w:val="34"/>
        </w:numPr>
        <w:ind w:left="0" w:firstLine="0"/>
        <w:contextualSpacing/>
        <w:jc w:val="both"/>
        <w:rPr>
          <w:rFonts w:ascii="Verdana" w:hAnsi="Verdana"/>
          <w:sz w:val="20"/>
          <w:szCs w:val="20"/>
        </w:rPr>
      </w:pPr>
      <w:r w:rsidRPr="00C02E1D">
        <w:rPr>
          <w:rFonts w:ascii="Verdana" w:hAnsi="Verdana"/>
          <w:sz w:val="20"/>
          <w:szCs w:val="20"/>
        </w:rPr>
        <w:t xml:space="preserve">Al respecto, el </w:t>
      </w:r>
      <w:r w:rsidRPr="00C02E1D">
        <w:rPr>
          <w:rFonts w:ascii="Verdana" w:hAnsi="Verdana"/>
          <w:b/>
          <w:i/>
          <w:sz w:val="20"/>
          <w:szCs w:val="20"/>
        </w:rPr>
        <w:t>Presidente</w:t>
      </w:r>
      <w:r w:rsidRPr="00C02E1D">
        <w:rPr>
          <w:rFonts w:ascii="Verdana" w:hAnsi="Verdana"/>
          <w:sz w:val="20"/>
          <w:szCs w:val="20"/>
        </w:rPr>
        <w:t xml:space="preserve"> hace notar que la jurisprudencia citada por el Estado para referirse a la supuesta necesidad de identidad de casos a efectos de que pudiese valorarse lo decidido en el </w:t>
      </w:r>
      <w:r w:rsidRPr="00C02E1D">
        <w:rPr>
          <w:rFonts w:ascii="Verdana" w:hAnsi="Verdana"/>
          <w:i/>
          <w:sz w:val="20"/>
          <w:szCs w:val="20"/>
        </w:rPr>
        <w:t>caso Suárez Rosero</w:t>
      </w:r>
      <w:r w:rsidR="00034B76">
        <w:rPr>
          <w:rFonts w:ascii="Verdana" w:hAnsi="Verdana"/>
          <w:i/>
          <w:sz w:val="20"/>
          <w:szCs w:val="20"/>
        </w:rPr>
        <w:t xml:space="preserve"> Vs. </w:t>
      </w:r>
      <w:r w:rsidRPr="00C02E1D">
        <w:rPr>
          <w:rFonts w:ascii="Verdana" w:hAnsi="Verdana"/>
          <w:i/>
          <w:sz w:val="20"/>
          <w:szCs w:val="20"/>
        </w:rPr>
        <w:t>Ecuador</w:t>
      </w:r>
      <w:r w:rsidRPr="00C02E1D">
        <w:rPr>
          <w:rFonts w:ascii="Verdana" w:hAnsi="Verdana"/>
          <w:sz w:val="20"/>
          <w:szCs w:val="20"/>
        </w:rPr>
        <w:t>, se refiere a la hipótesis de acumulación de casos, por lo que no es pertinente para resolver lo planteado. Es decir, el hecho de que en ese caso la víctima no sea la misma presunta víctima del presente caso, o que hubiesen sido investigados por delitos diferentes, no implica que aquel caso deje de tener relevan</w:t>
      </w:r>
      <w:r w:rsidR="00DF02E4" w:rsidRPr="00C02E1D">
        <w:rPr>
          <w:rFonts w:ascii="Verdana" w:hAnsi="Verdana"/>
          <w:sz w:val="20"/>
          <w:szCs w:val="20"/>
        </w:rPr>
        <w:t xml:space="preserve">cia para efectos de esta causa. </w:t>
      </w:r>
      <w:r w:rsidR="00FC5437" w:rsidRPr="00C02E1D">
        <w:rPr>
          <w:rFonts w:ascii="Verdana" w:hAnsi="Verdana"/>
          <w:sz w:val="20"/>
          <w:szCs w:val="20"/>
        </w:rPr>
        <w:t>Asimismo</w:t>
      </w:r>
      <w:r w:rsidRPr="00C02E1D">
        <w:rPr>
          <w:rFonts w:ascii="Verdana" w:hAnsi="Verdana"/>
          <w:sz w:val="20"/>
          <w:szCs w:val="20"/>
        </w:rPr>
        <w:t xml:space="preserve">, el Estado ha tenido y tendrá todas las oportunidades </w:t>
      </w:r>
      <w:r w:rsidRPr="00C02E1D">
        <w:rPr>
          <w:rFonts w:ascii="Verdana" w:hAnsi="Verdana"/>
          <w:sz w:val="20"/>
          <w:szCs w:val="20"/>
        </w:rPr>
        <w:lastRenderedPageBreak/>
        <w:t>procesales correspondientes para referirse a la pertinencia y valor probatorio de pruebas, información o consideraciones presentadas en aquel caso con respecto al presente, lo cual, de todos modos, corresponderá a la Corte analizar.</w:t>
      </w:r>
      <w:r w:rsidR="00C02E1D" w:rsidRPr="00C02E1D">
        <w:rPr>
          <w:rFonts w:ascii="Verdana" w:hAnsi="Verdana"/>
          <w:sz w:val="20"/>
          <w:szCs w:val="20"/>
        </w:rPr>
        <w:t xml:space="preserve"> </w:t>
      </w:r>
    </w:p>
    <w:p w14:paraId="558F3A57" w14:textId="77777777" w:rsidR="00C02E1D" w:rsidRPr="00C02E1D" w:rsidRDefault="00C02E1D" w:rsidP="00C02E1D">
      <w:pPr>
        <w:pStyle w:val="Normal1"/>
        <w:contextualSpacing/>
        <w:jc w:val="both"/>
        <w:rPr>
          <w:rFonts w:ascii="Verdana" w:hAnsi="Verdana"/>
          <w:sz w:val="20"/>
          <w:szCs w:val="20"/>
        </w:rPr>
      </w:pPr>
    </w:p>
    <w:p w14:paraId="72BE0195" w14:textId="77777777" w:rsidR="00F32C6B" w:rsidRPr="00C02E1D" w:rsidRDefault="00F32C6B" w:rsidP="00C02E1D">
      <w:pPr>
        <w:pStyle w:val="Normal1"/>
        <w:numPr>
          <w:ilvl w:val="0"/>
          <w:numId w:val="34"/>
        </w:numPr>
        <w:ind w:left="0" w:firstLine="0"/>
        <w:contextualSpacing/>
        <w:jc w:val="both"/>
        <w:rPr>
          <w:rFonts w:ascii="Verdana" w:hAnsi="Verdana"/>
          <w:sz w:val="20"/>
          <w:szCs w:val="20"/>
        </w:rPr>
      </w:pPr>
      <w:r w:rsidRPr="00C02E1D">
        <w:rPr>
          <w:rFonts w:ascii="Verdana" w:hAnsi="Verdana" w:cs="Verdana"/>
          <w:sz w:val="20"/>
          <w:szCs w:val="20"/>
        </w:rPr>
        <w:t xml:space="preserve">En primer lugar, el Presidente reitera que </w:t>
      </w:r>
      <w:r w:rsidRPr="00C02E1D">
        <w:rPr>
          <w:rFonts w:ascii="Verdana" w:hAnsi="Verdana"/>
          <w:sz w:val="20"/>
          <w:szCs w:val="20"/>
        </w:rPr>
        <w:t>la incorporación de dictámenes periciales, rendidos en otros casos, al expediente de un caso en trámite, no significa que tales elementos tengan el valor o peso probatorio de un dictamen pericial evacuado bajo los principios de contradicción y derecho de defensa. De tal modo, en oportunidades anteriores la Presidencia de la Corte ha considerado pertinente el traslado de peritajes rendidos en otros casos, incluso contra Estados distintos, únicamente como elementos documentales y para que la Corte determine su admisibilidad y valor probatorio en el momento procesal oportuno, tomando en consideración las observaciones presentadas por las partes en ejercicio de su derecho de defensa</w:t>
      </w:r>
      <w:r w:rsidRPr="00C02E1D">
        <w:rPr>
          <w:rFonts w:ascii="Verdana" w:hAnsi="Verdana"/>
          <w:sz w:val="20"/>
          <w:szCs w:val="20"/>
          <w:vertAlign w:val="superscript"/>
        </w:rPr>
        <w:footnoteReference w:id="5"/>
      </w:r>
      <w:r w:rsidR="00C02E1D" w:rsidRPr="00C02E1D">
        <w:rPr>
          <w:rFonts w:ascii="Verdana" w:hAnsi="Verdana"/>
          <w:sz w:val="20"/>
          <w:szCs w:val="20"/>
        </w:rPr>
        <w:t>.</w:t>
      </w:r>
      <w:r w:rsidRPr="00C02E1D">
        <w:rPr>
          <w:rFonts w:ascii="Verdana" w:hAnsi="Verdana"/>
          <w:sz w:val="20"/>
          <w:szCs w:val="20"/>
        </w:rPr>
        <w:t xml:space="preserve"> </w:t>
      </w:r>
    </w:p>
    <w:p w14:paraId="7E4F9322" w14:textId="77777777" w:rsidR="00D22102" w:rsidRPr="00C02E1D" w:rsidRDefault="00D22102" w:rsidP="0030244A">
      <w:pPr>
        <w:pStyle w:val="Normal1"/>
        <w:contextualSpacing/>
        <w:jc w:val="both"/>
        <w:rPr>
          <w:rFonts w:ascii="Verdana" w:hAnsi="Verdana"/>
          <w:sz w:val="20"/>
          <w:szCs w:val="20"/>
        </w:rPr>
      </w:pPr>
    </w:p>
    <w:p w14:paraId="4DCC6FAB" w14:textId="5CB2B214" w:rsidR="00D22102" w:rsidRPr="00C02E1D" w:rsidRDefault="00C836DA" w:rsidP="0030244A">
      <w:pPr>
        <w:pStyle w:val="Normal1"/>
        <w:numPr>
          <w:ilvl w:val="0"/>
          <w:numId w:val="34"/>
        </w:numPr>
        <w:ind w:left="0" w:firstLine="0"/>
        <w:contextualSpacing/>
        <w:jc w:val="both"/>
        <w:rPr>
          <w:rFonts w:ascii="Verdana" w:hAnsi="Verdana"/>
          <w:sz w:val="20"/>
          <w:szCs w:val="20"/>
        </w:rPr>
      </w:pPr>
      <w:r>
        <w:rPr>
          <w:rFonts w:ascii="Verdana" w:hAnsi="Verdana"/>
          <w:sz w:val="20"/>
          <w:szCs w:val="20"/>
        </w:rPr>
        <w:t>Por lo anterior</w:t>
      </w:r>
      <w:r w:rsidR="00D22102" w:rsidRPr="00C02E1D">
        <w:rPr>
          <w:rFonts w:ascii="Verdana" w:hAnsi="Verdana"/>
          <w:sz w:val="20"/>
          <w:szCs w:val="20"/>
        </w:rPr>
        <w:t xml:space="preserve">, </w:t>
      </w:r>
      <w:r>
        <w:rPr>
          <w:rFonts w:ascii="Verdana" w:hAnsi="Verdana"/>
          <w:sz w:val="20"/>
          <w:szCs w:val="20"/>
        </w:rPr>
        <w:t xml:space="preserve">la Presidencia considera que </w:t>
      </w:r>
      <w:r w:rsidR="00D22102" w:rsidRPr="00C02E1D">
        <w:rPr>
          <w:rFonts w:ascii="Verdana" w:hAnsi="Verdana"/>
          <w:sz w:val="20"/>
          <w:szCs w:val="20"/>
        </w:rPr>
        <w:t xml:space="preserve">es pertinente incorporar al expediente del presente caso, como elemento documental, el peritaje rendido por el señor Albán Gómez </w:t>
      </w:r>
      <w:r w:rsidR="00371CDA">
        <w:rPr>
          <w:rFonts w:ascii="Verdana" w:hAnsi="Verdana"/>
          <w:sz w:val="20"/>
          <w:szCs w:val="20"/>
        </w:rPr>
        <w:t>durante la audiencia pública</w:t>
      </w:r>
      <w:r w:rsidR="00371CDA" w:rsidRPr="00C02E1D">
        <w:rPr>
          <w:rFonts w:ascii="Verdana" w:hAnsi="Verdana"/>
          <w:sz w:val="20"/>
          <w:szCs w:val="20"/>
        </w:rPr>
        <w:t xml:space="preserve"> </w:t>
      </w:r>
      <w:r w:rsidR="00371CDA">
        <w:rPr>
          <w:rFonts w:ascii="Verdana" w:hAnsi="Verdana"/>
          <w:sz w:val="20"/>
          <w:szCs w:val="20"/>
        </w:rPr>
        <w:t>d</w:t>
      </w:r>
      <w:r>
        <w:rPr>
          <w:rFonts w:ascii="Verdana" w:hAnsi="Verdana"/>
          <w:sz w:val="20"/>
          <w:szCs w:val="20"/>
        </w:rPr>
        <w:t xml:space="preserve">el </w:t>
      </w:r>
      <w:r w:rsidR="00D22102" w:rsidRPr="00C02E1D">
        <w:rPr>
          <w:rFonts w:ascii="Verdana" w:hAnsi="Verdana"/>
          <w:sz w:val="20"/>
          <w:szCs w:val="20"/>
        </w:rPr>
        <w:t>caso</w:t>
      </w:r>
      <w:r>
        <w:rPr>
          <w:rFonts w:ascii="Verdana" w:hAnsi="Verdana"/>
          <w:sz w:val="20"/>
          <w:szCs w:val="20"/>
        </w:rPr>
        <w:t xml:space="preserve"> </w:t>
      </w:r>
      <w:r w:rsidRPr="00C836DA">
        <w:rPr>
          <w:rFonts w:ascii="Verdana" w:hAnsi="Verdana"/>
          <w:i/>
          <w:sz w:val="20"/>
          <w:szCs w:val="20"/>
        </w:rPr>
        <w:t>Suárez Rosero</w:t>
      </w:r>
      <w:r w:rsidR="00D22102" w:rsidRPr="00C02E1D">
        <w:rPr>
          <w:rFonts w:ascii="Verdana" w:hAnsi="Verdana"/>
          <w:sz w:val="20"/>
          <w:szCs w:val="20"/>
        </w:rPr>
        <w:t xml:space="preserve">. Corresponderá al Tribunal evaluar, en el momento procesal oportuno, si corresponde valorar o tomar en cuenta de algún modo tales pruebas o información, tomando en cuenta los alegatos de las partes. </w:t>
      </w:r>
    </w:p>
    <w:p w14:paraId="36E4D7C0" w14:textId="77777777" w:rsidR="009673D3" w:rsidRPr="00C02E1D" w:rsidRDefault="009673D3" w:rsidP="0030244A">
      <w:pPr>
        <w:pStyle w:val="Normal1"/>
        <w:widowControl/>
        <w:contextualSpacing/>
        <w:jc w:val="both"/>
        <w:rPr>
          <w:rFonts w:ascii="Verdana" w:hAnsi="Verdana"/>
          <w:sz w:val="20"/>
          <w:szCs w:val="20"/>
        </w:rPr>
      </w:pPr>
    </w:p>
    <w:p w14:paraId="0435B86C" w14:textId="77777777" w:rsidR="00B22851" w:rsidRPr="00C02E1D" w:rsidRDefault="00B22851" w:rsidP="0030244A">
      <w:pPr>
        <w:spacing w:line="240" w:lineRule="auto"/>
        <w:jc w:val="both"/>
        <w:rPr>
          <w:rFonts w:ascii="Verdana" w:hAnsi="Verdana" w:cs="92iergz"/>
          <w:b/>
          <w:i/>
          <w:sz w:val="20"/>
          <w:szCs w:val="20"/>
          <w:lang w:val="es-MX"/>
        </w:rPr>
      </w:pPr>
      <w:r w:rsidRPr="00C02E1D">
        <w:rPr>
          <w:rFonts w:ascii="Verdana" w:hAnsi="Verdana"/>
          <w:b/>
          <w:i/>
          <w:sz w:val="20"/>
          <w:szCs w:val="20"/>
          <w:lang w:val="es-CR"/>
        </w:rPr>
        <w:t>B)</w:t>
      </w:r>
      <w:r w:rsidRPr="00C02E1D">
        <w:rPr>
          <w:rFonts w:ascii="Verdana" w:hAnsi="Verdana"/>
          <w:b/>
          <w:i/>
          <w:sz w:val="20"/>
          <w:szCs w:val="20"/>
          <w:lang w:val="es-CR"/>
        </w:rPr>
        <w:tab/>
      </w:r>
      <w:r w:rsidR="001E265F">
        <w:rPr>
          <w:rFonts w:ascii="Verdana" w:hAnsi="Verdana"/>
          <w:b/>
          <w:i/>
          <w:sz w:val="20"/>
          <w:szCs w:val="20"/>
          <w:lang w:val="es-MX"/>
        </w:rPr>
        <w:t>S</w:t>
      </w:r>
      <w:r w:rsidRPr="00C02E1D">
        <w:rPr>
          <w:rFonts w:ascii="Verdana" w:hAnsi="Verdana" w:cs="92iergz"/>
          <w:b/>
          <w:i/>
          <w:sz w:val="20"/>
          <w:szCs w:val="20"/>
          <w:lang w:val="es-MX"/>
        </w:rPr>
        <w:t xml:space="preserve">olicitud de </w:t>
      </w:r>
      <w:r w:rsidR="001E265F">
        <w:rPr>
          <w:rFonts w:ascii="Verdana" w:hAnsi="Verdana" w:cs="92iergz"/>
          <w:b/>
          <w:i/>
          <w:sz w:val="20"/>
          <w:szCs w:val="20"/>
          <w:lang w:val="es-MX"/>
        </w:rPr>
        <w:t xml:space="preserve">la Comisión de </w:t>
      </w:r>
      <w:r w:rsidRPr="00C02E1D">
        <w:rPr>
          <w:rFonts w:ascii="Verdana" w:hAnsi="Verdana" w:cs="92iergz"/>
          <w:b/>
          <w:i/>
          <w:sz w:val="20"/>
          <w:szCs w:val="20"/>
          <w:lang w:val="es-MX"/>
        </w:rPr>
        <w:t>traslado</w:t>
      </w:r>
      <w:r w:rsidR="00520432" w:rsidRPr="00C02E1D">
        <w:rPr>
          <w:rFonts w:ascii="Verdana" w:hAnsi="Verdana" w:cs="92iergz"/>
          <w:b/>
          <w:i/>
          <w:sz w:val="20"/>
          <w:szCs w:val="20"/>
          <w:lang w:val="es-MX"/>
        </w:rPr>
        <w:t xml:space="preserve"> </w:t>
      </w:r>
      <w:r w:rsidR="00520432" w:rsidRPr="00C02E1D">
        <w:rPr>
          <w:rFonts w:ascii="Verdana" w:hAnsi="Verdana"/>
          <w:b/>
          <w:i/>
          <w:sz w:val="20"/>
          <w:szCs w:val="20"/>
          <w:lang w:val="es-CR"/>
        </w:rPr>
        <w:t xml:space="preserve">de </w:t>
      </w:r>
      <w:r w:rsidR="001E265F">
        <w:rPr>
          <w:rFonts w:ascii="Verdana" w:hAnsi="Verdana"/>
          <w:b/>
          <w:i/>
          <w:sz w:val="20"/>
          <w:szCs w:val="20"/>
          <w:lang w:val="es-CR"/>
        </w:rPr>
        <w:t xml:space="preserve">un </w:t>
      </w:r>
      <w:r w:rsidR="00520432" w:rsidRPr="00C02E1D">
        <w:rPr>
          <w:rFonts w:ascii="Verdana" w:hAnsi="Verdana"/>
          <w:b/>
          <w:i/>
          <w:sz w:val="20"/>
          <w:szCs w:val="20"/>
          <w:lang w:val="es-CR"/>
        </w:rPr>
        <w:t>peritaje</w:t>
      </w:r>
      <w:r w:rsidR="00680251" w:rsidRPr="00C02E1D">
        <w:rPr>
          <w:rFonts w:ascii="Verdana" w:hAnsi="Verdana"/>
          <w:b/>
          <w:i/>
          <w:sz w:val="20"/>
          <w:szCs w:val="20"/>
          <w:lang w:val="es-CR"/>
        </w:rPr>
        <w:t xml:space="preserve"> rendido</w:t>
      </w:r>
      <w:r w:rsidR="001E265F">
        <w:rPr>
          <w:rFonts w:ascii="Verdana" w:hAnsi="Verdana"/>
          <w:b/>
          <w:i/>
          <w:sz w:val="20"/>
          <w:szCs w:val="20"/>
          <w:lang w:val="es-CR"/>
        </w:rPr>
        <w:t xml:space="preserve"> en otros </w:t>
      </w:r>
      <w:r w:rsidR="00520432" w:rsidRPr="00C02E1D">
        <w:rPr>
          <w:rFonts w:ascii="Verdana" w:hAnsi="Verdana"/>
          <w:b/>
          <w:i/>
          <w:sz w:val="20"/>
          <w:szCs w:val="20"/>
          <w:lang w:val="es-CR"/>
        </w:rPr>
        <w:t>caso</w:t>
      </w:r>
      <w:r w:rsidR="001E265F">
        <w:rPr>
          <w:rFonts w:ascii="Verdana" w:hAnsi="Verdana"/>
          <w:b/>
          <w:i/>
          <w:sz w:val="20"/>
          <w:szCs w:val="20"/>
          <w:lang w:val="es-CR"/>
        </w:rPr>
        <w:t>s</w:t>
      </w:r>
    </w:p>
    <w:p w14:paraId="1BF0A848" w14:textId="77777777" w:rsidR="002B129E" w:rsidRPr="00C02E1D" w:rsidRDefault="002B129E" w:rsidP="00034B76">
      <w:pPr>
        <w:spacing w:line="240" w:lineRule="auto"/>
        <w:ind w:left="720"/>
        <w:jc w:val="both"/>
        <w:outlineLvl w:val="0"/>
        <w:rPr>
          <w:rFonts w:ascii="Verdana" w:hAnsi="Verdana"/>
          <w:b/>
          <w:i/>
          <w:sz w:val="20"/>
          <w:szCs w:val="20"/>
          <w:lang w:val="es-MX"/>
        </w:rPr>
      </w:pPr>
      <w:r w:rsidRPr="00C02E1D">
        <w:rPr>
          <w:rFonts w:ascii="Verdana" w:hAnsi="Verdana" w:cs="92iergz"/>
          <w:b/>
          <w:i/>
          <w:sz w:val="20"/>
          <w:szCs w:val="20"/>
          <w:lang w:val="es-MX"/>
        </w:rPr>
        <w:t xml:space="preserve">B.1. </w:t>
      </w:r>
      <w:r w:rsidRPr="00C02E1D">
        <w:rPr>
          <w:rFonts w:ascii="Verdana" w:hAnsi="Verdana"/>
          <w:b/>
          <w:i/>
          <w:sz w:val="20"/>
          <w:szCs w:val="20"/>
          <w:lang w:val="es-MX"/>
        </w:rPr>
        <w:t>Objeciones del Estado</w:t>
      </w:r>
    </w:p>
    <w:p w14:paraId="7A74899A" w14:textId="77777777" w:rsidR="00CE609F" w:rsidRPr="00C02E1D" w:rsidRDefault="00B22851" w:rsidP="0030244A">
      <w:pPr>
        <w:pStyle w:val="Prrafodelista"/>
        <w:numPr>
          <w:ilvl w:val="0"/>
          <w:numId w:val="34"/>
        </w:numPr>
        <w:spacing w:line="240" w:lineRule="auto"/>
        <w:ind w:left="0" w:firstLine="0"/>
        <w:jc w:val="both"/>
        <w:rPr>
          <w:rFonts w:ascii="Verdana" w:hAnsi="Verdana"/>
          <w:b/>
          <w:i/>
          <w:sz w:val="20"/>
          <w:szCs w:val="20"/>
          <w:lang w:val="es-CR"/>
        </w:rPr>
      </w:pPr>
      <w:r w:rsidRPr="00C02E1D">
        <w:rPr>
          <w:rFonts w:ascii="Verdana" w:hAnsi="Verdana"/>
          <w:sz w:val="20"/>
          <w:szCs w:val="20"/>
          <w:lang w:val="es-MX"/>
        </w:rPr>
        <w:t>L</w:t>
      </w:r>
      <w:r w:rsidR="00CE609F" w:rsidRPr="00C02E1D">
        <w:rPr>
          <w:rFonts w:ascii="Verdana" w:hAnsi="Verdana"/>
          <w:sz w:val="20"/>
          <w:szCs w:val="20"/>
          <w:lang w:val="es-MX"/>
        </w:rPr>
        <w:t xml:space="preserve">a </w:t>
      </w:r>
      <w:r w:rsidR="00CE609F" w:rsidRPr="00C02E1D">
        <w:rPr>
          <w:rFonts w:ascii="Verdana" w:hAnsi="Verdana"/>
          <w:b/>
          <w:i/>
          <w:sz w:val="20"/>
          <w:szCs w:val="20"/>
          <w:lang w:val="es-MX"/>
        </w:rPr>
        <w:t>Comisión</w:t>
      </w:r>
      <w:r w:rsidRPr="00C02E1D">
        <w:rPr>
          <w:rFonts w:ascii="Verdana" w:hAnsi="Verdana"/>
          <w:b/>
          <w:i/>
          <w:sz w:val="20"/>
          <w:szCs w:val="20"/>
          <w:lang w:val="es-MX"/>
        </w:rPr>
        <w:t xml:space="preserve"> </w:t>
      </w:r>
      <w:r w:rsidRPr="00C02E1D">
        <w:rPr>
          <w:rFonts w:ascii="Verdana" w:hAnsi="Verdana"/>
          <w:sz w:val="20"/>
          <w:szCs w:val="20"/>
          <w:lang w:val="es-MX"/>
        </w:rPr>
        <w:t>en su escrito de sometimiento del caso ante el Tribunal,</w:t>
      </w:r>
      <w:r w:rsidR="00CE609F" w:rsidRPr="00C02E1D">
        <w:rPr>
          <w:rFonts w:ascii="Verdana" w:hAnsi="Verdana"/>
          <w:sz w:val="20"/>
          <w:szCs w:val="20"/>
          <w:lang w:val="es-MX"/>
        </w:rPr>
        <w:t xml:space="preserve"> </w:t>
      </w:r>
      <w:r w:rsidRPr="00C02E1D">
        <w:rPr>
          <w:rFonts w:ascii="Verdana" w:hAnsi="Verdana"/>
          <w:sz w:val="20"/>
          <w:szCs w:val="20"/>
          <w:lang w:val="es-MX"/>
        </w:rPr>
        <w:t>manifestó que</w:t>
      </w:r>
      <w:r w:rsidR="00CE609F" w:rsidRPr="00C02E1D">
        <w:rPr>
          <w:rFonts w:ascii="Verdana" w:hAnsi="Verdana"/>
          <w:sz w:val="20"/>
          <w:szCs w:val="20"/>
          <w:lang w:val="es-MX"/>
        </w:rPr>
        <w:t xml:space="preserve"> además de la necesidad de obtención de justicia, el presente caso involucra</w:t>
      </w:r>
      <w:r w:rsidRPr="00C02E1D">
        <w:rPr>
          <w:rFonts w:ascii="Verdana" w:hAnsi="Verdana"/>
          <w:sz w:val="20"/>
          <w:szCs w:val="20"/>
          <w:lang w:val="es-MX"/>
        </w:rPr>
        <w:t>ba</w:t>
      </w:r>
      <w:r w:rsidR="00CE609F" w:rsidRPr="00C02E1D">
        <w:rPr>
          <w:rFonts w:ascii="Verdana" w:hAnsi="Verdana"/>
          <w:sz w:val="20"/>
          <w:szCs w:val="20"/>
          <w:lang w:val="es-MX"/>
        </w:rPr>
        <w:t xml:space="preserve"> cuestiones de orden público interamericano; que el caso </w:t>
      </w:r>
      <w:r w:rsidRPr="00C02E1D">
        <w:rPr>
          <w:rFonts w:ascii="Verdana" w:hAnsi="Verdana"/>
          <w:sz w:val="20"/>
          <w:szCs w:val="20"/>
          <w:lang w:val="es-MX"/>
        </w:rPr>
        <w:t>permitiría</w:t>
      </w:r>
      <w:r w:rsidR="00CE609F" w:rsidRPr="00C02E1D">
        <w:rPr>
          <w:rFonts w:ascii="Verdana" w:hAnsi="Verdana"/>
          <w:sz w:val="20"/>
          <w:szCs w:val="20"/>
          <w:lang w:val="es-MX"/>
        </w:rPr>
        <w:t xml:space="preserve"> a la Corte reiterar su jurisprudencia relativa a los</w:t>
      </w:r>
      <w:r w:rsidRPr="00C02E1D">
        <w:rPr>
          <w:rFonts w:ascii="Verdana" w:hAnsi="Verdana"/>
          <w:sz w:val="20"/>
          <w:szCs w:val="20"/>
          <w:lang w:val="es-MX"/>
        </w:rPr>
        <w:t xml:space="preserve"> </w:t>
      </w:r>
      <w:r w:rsidR="00CE609F" w:rsidRPr="00C02E1D">
        <w:rPr>
          <w:rFonts w:ascii="Verdana" w:hAnsi="Verdana"/>
          <w:sz w:val="20"/>
          <w:szCs w:val="20"/>
          <w:lang w:val="es-MX"/>
        </w:rPr>
        <w:t xml:space="preserve">fines que pueden sustentar la detención preventiva, la necesidad de revisión periódica y la efectividad de las solicitudes de excarcelación y los recursos de </w:t>
      </w:r>
      <w:r w:rsidR="00CE609F" w:rsidRPr="00C02E1D">
        <w:rPr>
          <w:rFonts w:ascii="Verdana" w:hAnsi="Verdana"/>
          <w:i/>
          <w:sz w:val="20"/>
          <w:szCs w:val="20"/>
          <w:lang w:val="es-MX"/>
        </w:rPr>
        <w:t>habeas corpus</w:t>
      </w:r>
      <w:r w:rsidRPr="00C02E1D">
        <w:rPr>
          <w:rFonts w:ascii="Verdana" w:hAnsi="Verdana"/>
          <w:sz w:val="20"/>
          <w:szCs w:val="20"/>
          <w:lang w:val="es-MX"/>
        </w:rPr>
        <w:t>.</w:t>
      </w:r>
      <w:r w:rsidR="00CE609F" w:rsidRPr="00C02E1D">
        <w:rPr>
          <w:rFonts w:ascii="Verdana" w:hAnsi="Verdana"/>
          <w:sz w:val="20"/>
          <w:szCs w:val="20"/>
          <w:lang w:val="es-MX"/>
        </w:rPr>
        <w:t xml:space="preserve"> </w:t>
      </w:r>
      <w:r w:rsidRPr="00C02E1D">
        <w:rPr>
          <w:rFonts w:ascii="Verdana" w:hAnsi="Verdana"/>
          <w:sz w:val="20"/>
          <w:szCs w:val="20"/>
          <w:lang w:val="es-MX"/>
        </w:rPr>
        <w:t>En ese sentido</w:t>
      </w:r>
      <w:r w:rsidR="00D44376" w:rsidRPr="00C02E1D">
        <w:rPr>
          <w:rFonts w:ascii="Verdana" w:hAnsi="Verdana"/>
          <w:sz w:val="20"/>
          <w:szCs w:val="20"/>
          <w:lang w:val="es-MX"/>
        </w:rPr>
        <w:t>,</w:t>
      </w:r>
      <w:r w:rsidRPr="00C02E1D">
        <w:rPr>
          <w:rFonts w:ascii="Verdana" w:hAnsi="Verdana"/>
          <w:sz w:val="20"/>
          <w:szCs w:val="20"/>
          <w:lang w:val="es-MX"/>
        </w:rPr>
        <w:t xml:space="preserve"> </w:t>
      </w:r>
      <w:r w:rsidR="00CE609F" w:rsidRPr="00C02E1D">
        <w:rPr>
          <w:rFonts w:ascii="Verdana" w:hAnsi="Verdana"/>
          <w:sz w:val="20"/>
          <w:szCs w:val="20"/>
          <w:lang w:val="es-MX"/>
        </w:rPr>
        <w:t xml:space="preserve">solicitó a la Corte el traslado al presente caso del peritaje rendido ante fedatario público por Mario Coriolano en el </w:t>
      </w:r>
      <w:r w:rsidR="00CE609F" w:rsidRPr="00C02E1D">
        <w:rPr>
          <w:rFonts w:ascii="Verdana" w:hAnsi="Verdana"/>
          <w:i/>
          <w:sz w:val="20"/>
          <w:szCs w:val="20"/>
          <w:lang w:val="es-MX"/>
        </w:rPr>
        <w:t>caso Herrera Espinoza y otros</w:t>
      </w:r>
      <w:r w:rsidR="00034B76">
        <w:rPr>
          <w:rFonts w:ascii="Verdana" w:hAnsi="Verdana"/>
          <w:i/>
          <w:sz w:val="20"/>
          <w:szCs w:val="20"/>
          <w:lang w:val="es-MX"/>
        </w:rPr>
        <w:t xml:space="preserve"> Vs. </w:t>
      </w:r>
      <w:r w:rsidR="00CE609F" w:rsidRPr="00C02E1D">
        <w:rPr>
          <w:rFonts w:ascii="Verdana" w:hAnsi="Verdana"/>
          <w:i/>
          <w:sz w:val="20"/>
          <w:szCs w:val="20"/>
          <w:lang w:val="es-MX"/>
        </w:rPr>
        <w:t>Ecuador</w:t>
      </w:r>
      <w:r w:rsidRPr="00C02E1D">
        <w:rPr>
          <w:rStyle w:val="Refdenotaalpie"/>
          <w:rFonts w:ascii="Verdana" w:hAnsi="Verdana"/>
          <w:i/>
          <w:sz w:val="20"/>
          <w:szCs w:val="20"/>
          <w:lang w:val="es-MX"/>
        </w:rPr>
        <w:footnoteReference w:id="6"/>
      </w:r>
      <w:r w:rsidR="00937DC6" w:rsidRPr="00C02E1D">
        <w:rPr>
          <w:rFonts w:ascii="Verdana" w:hAnsi="Verdana"/>
          <w:i/>
          <w:sz w:val="20"/>
          <w:szCs w:val="20"/>
          <w:lang w:val="es-MX"/>
        </w:rPr>
        <w:t xml:space="preserve">. </w:t>
      </w:r>
      <w:r w:rsidR="00937DC6" w:rsidRPr="00C02E1D">
        <w:rPr>
          <w:rFonts w:ascii="Verdana" w:hAnsi="Verdana"/>
          <w:sz w:val="20"/>
          <w:szCs w:val="20"/>
          <w:lang w:val="es-MX"/>
        </w:rPr>
        <w:t>M</w:t>
      </w:r>
      <w:r w:rsidR="00CE609F" w:rsidRPr="00C02E1D">
        <w:rPr>
          <w:rFonts w:ascii="Verdana" w:hAnsi="Verdana"/>
          <w:sz w:val="20"/>
          <w:szCs w:val="20"/>
          <w:lang w:val="es-MX"/>
        </w:rPr>
        <w:t>ediante comunicación de 3</w:t>
      </w:r>
      <w:r w:rsidR="00937DC6" w:rsidRPr="00C02E1D">
        <w:rPr>
          <w:rFonts w:ascii="Verdana" w:hAnsi="Verdana"/>
          <w:sz w:val="20"/>
          <w:szCs w:val="20"/>
          <w:lang w:val="es-MX"/>
        </w:rPr>
        <w:t xml:space="preserve">1 de enero de 2019, </w:t>
      </w:r>
      <w:r w:rsidR="00CE609F" w:rsidRPr="00C02E1D">
        <w:rPr>
          <w:rFonts w:ascii="Verdana" w:hAnsi="Verdana"/>
          <w:sz w:val="20"/>
          <w:szCs w:val="20"/>
          <w:lang w:val="es-MX"/>
        </w:rPr>
        <w:t>reiteró esta solicitud, la cual sustentó en su “facultad de proponer prueba pericial cuando se afecte de manera relevante el orden público interamericano”, en los términos del artículo 35.1.f) del Reglamento</w:t>
      </w:r>
      <w:r w:rsidR="00937DC6" w:rsidRPr="00C02E1D">
        <w:rPr>
          <w:rStyle w:val="Refdenotaalpie"/>
          <w:rFonts w:ascii="Verdana" w:hAnsi="Verdana"/>
          <w:sz w:val="20"/>
          <w:szCs w:val="20"/>
          <w:lang w:val="es-MX"/>
        </w:rPr>
        <w:footnoteReference w:id="7"/>
      </w:r>
      <w:r w:rsidR="00CE609F" w:rsidRPr="00C02E1D">
        <w:rPr>
          <w:rFonts w:ascii="Verdana" w:hAnsi="Verdana"/>
          <w:sz w:val="20"/>
          <w:szCs w:val="20"/>
          <w:lang w:val="es-MX"/>
        </w:rPr>
        <w:t>.</w:t>
      </w:r>
    </w:p>
    <w:p w14:paraId="63CFC2AB" w14:textId="77777777" w:rsidR="00CE609F" w:rsidRPr="00C02E1D" w:rsidRDefault="00CF2F4D" w:rsidP="0030244A">
      <w:pPr>
        <w:pStyle w:val="Normal1"/>
        <w:widowControl/>
        <w:numPr>
          <w:ilvl w:val="0"/>
          <w:numId w:val="34"/>
        </w:numPr>
        <w:autoSpaceDE w:val="0"/>
        <w:autoSpaceDN w:val="0"/>
        <w:adjustRightInd w:val="0"/>
        <w:ind w:left="0" w:firstLine="0"/>
        <w:contextualSpacing/>
        <w:jc w:val="both"/>
        <w:rPr>
          <w:rFonts w:ascii="Verdana" w:hAnsi="Verdana"/>
          <w:sz w:val="20"/>
          <w:szCs w:val="20"/>
        </w:rPr>
      </w:pPr>
      <w:r w:rsidRPr="00C02E1D">
        <w:rPr>
          <w:rFonts w:ascii="Verdana" w:hAnsi="Verdana"/>
          <w:sz w:val="20"/>
          <w:szCs w:val="20"/>
        </w:rPr>
        <w:t>E</w:t>
      </w:r>
      <w:r w:rsidR="00CE609F" w:rsidRPr="00C02E1D">
        <w:rPr>
          <w:rFonts w:ascii="Verdana" w:hAnsi="Verdana"/>
          <w:sz w:val="20"/>
          <w:szCs w:val="20"/>
        </w:rPr>
        <w:t xml:space="preserve">l </w:t>
      </w:r>
      <w:r w:rsidR="00CE609F" w:rsidRPr="00C02E1D">
        <w:rPr>
          <w:rFonts w:ascii="Verdana" w:hAnsi="Verdana"/>
          <w:b/>
          <w:i/>
          <w:sz w:val="20"/>
          <w:szCs w:val="20"/>
        </w:rPr>
        <w:t>Estado</w:t>
      </w:r>
      <w:r w:rsidR="00CE609F" w:rsidRPr="00C02E1D">
        <w:rPr>
          <w:rFonts w:ascii="Verdana" w:hAnsi="Verdana"/>
          <w:sz w:val="20"/>
          <w:szCs w:val="20"/>
        </w:rPr>
        <w:t xml:space="preserve"> consideró que la Comisión no ha</w:t>
      </w:r>
      <w:r w:rsidRPr="00C02E1D">
        <w:rPr>
          <w:rFonts w:ascii="Verdana" w:hAnsi="Verdana"/>
          <w:sz w:val="20"/>
          <w:szCs w:val="20"/>
        </w:rPr>
        <w:t>bía</w:t>
      </w:r>
      <w:r w:rsidR="00CE609F" w:rsidRPr="00C02E1D">
        <w:rPr>
          <w:rFonts w:ascii="Verdana" w:hAnsi="Verdana"/>
          <w:sz w:val="20"/>
          <w:szCs w:val="20"/>
        </w:rPr>
        <w:t xml:space="preserve"> motivado la afectación relevante al orden público interamericano al solicitar el traslado del peritaje y que el Reglamento de la Corte brinda</w:t>
      </w:r>
      <w:r w:rsidRPr="00C02E1D">
        <w:rPr>
          <w:rFonts w:ascii="Verdana" w:hAnsi="Verdana"/>
          <w:sz w:val="20"/>
          <w:szCs w:val="20"/>
        </w:rPr>
        <w:t>ba</w:t>
      </w:r>
      <w:r w:rsidR="00CE609F" w:rsidRPr="00C02E1D">
        <w:rPr>
          <w:rFonts w:ascii="Verdana" w:hAnsi="Verdana"/>
          <w:sz w:val="20"/>
          <w:szCs w:val="20"/>
        </w:rPr>
        <w:t xml:space="preserve"> a la Comisión la posibilidad de designar peritos, m</w:t>
      </w:r>
      <w:r w:rsidRPr="00C02E1D">
        <w:rPr>
          <w:rFonts w:ascii="Verdana" w:hAnsi="Verdana"/>
          <w:sz w:val="20"/>
          <w:szCs w:val="20"/>
        </w:rPr>
        <w:t>á</w:t>
      </w:r>
      <w:r w:rsidR="00CE609F" w:rsidRPr="00C02E1D">
        <w:rPr>
          <w:rFonts w:ascii="Verdana" w:hAnsi="Verdana"/>
          <w:sz w:val="20"/>
          <w:szCs w:val="20"/>
        </w:rPr>
        <w:t>s no de transmitir peritajes</w:t>
      </w:r>
      <w:r w:rsidRPr="00C02E1D">
        <w:rPr>
          <w:rFonts w:ascii="Verdana" w:hAnsi="Verdana"/>
          <w:sz w:val="20"/>
          <w:szCs w:val="20"/>
        </w:rPr>
        <w:t xml:space="preserve"> </w:t>
      </w:r>
      <w:r w:rsidR="00CE609F" w:rsidRPr="00C02E1D">
        <w:rPr>
          <w:rFonts w:ascii="Verdana" w:hAnsi="Verdana"/>
          <w:sz w:val="20"/>
          <w:szCs w:val="20"/>
        </w:rPr>
        <w:t xml:space="preserve">por lo cual esta prueba “sólo </w:t>
      </w:r>
      <w:r w:rsidRPr="00C02E1D">
        <w:rPr>
          <w:rFonts w:ascii="Verdana" w:hAnsi="Verdana"/>
          <w:sz w:val="20"/>
          <w:szCs w:val="20"/>
        </w:rPr>
        <w:t>podría</w:t>
      </w:r>
      <w:r w:rsidR="00CE609F" w:rsidRPr="00C02E1D">
        <w:rPr>
          <w:rFonts w:ascii="Verdana" w:hAnsi="Verdana"/>
          <w:sz w:val="20"/>
          <w:szCs w:val="20"/>
        </w:rPr>
        <w:t xml:space="preserve"> ser valorada como prueba documentada”. </w:t>
      </w:r>
      <w:r w:rsidRPr="00C02E1D">
        <w:rPr>
          <w:rFonts w:ascii="Verdana" w:hAnsi="Verdana"/>
          <w:sz w:val="20"/>
          <w:szCs w:val="20"/>
        </w:rPr>
        <w:t xml:space="preserve">Asimismo, </w:t>
      </w:r>
      <w:r w:rsidR="00CE609F" w:rsidRPr="00C02E1D">
        <w:rPr>
          <w:rFonts w:ascii="Verdana" w:hAnsi="Verdana"/>
          <w:sz w:val="20"/>
          <w:szCs w:val="20"/>
        </w:rPr>
        <w:t xml:space="preserve">expresó </w:t>
      </w:r>
      <w:r w:rsidRPr="00C02E1D">
        <w:rPr>
          <w:rFonts w:ascii="Verdana" w:hAnsi="Verdana"/>
          <w:sz w:val="20"/>
          <w:szCs w:val="20"/>
        </w:rPr>
        <w:t xml:space="preserve">que </w:t>
      </w:r>
      <w:r w:rsidR="00D44376" w:rsidRPr="00C02E1D">
        <w:rPr>
          <w:rFonts w:ascii="Verdana" w:hAnsi="Verdana"/>
          <w:sz w:val="20"/>
          <w:szCs w:val="20"/>
        </w:rPr>
        <w:t xml:space="preserve">el </w:t>
      </w:r>
      <w:r w:rsidR="00CE609F" w:rsidRPr="00C02E1D">
        <w:rPr>
          <w:rFonts w:ascii="Verdana" w:hAnsi="Verdana"/>
          <w:sz w:val="20"/>
          <w:szCs w:val="20"/>
        </w:rPr>
        <w:t xml:space="preserve">peritaje no es pertinente considerando que ya fue expuesto en el </w:t>
      </w:r>
      <w:r w:rsidR="00CE609F" w:rsidRPr="00C02E1D">
        <w:rPr>
          <w:rFonts w:ascii="Verdana" w:hAnsi="Verdana"/>
          <w:i/>
          <w:sz w:val="20"/>
          <w:szCs w:val="20"/>
        </w:rPr>
        <w:t>caso Herrera Espinoza</w:t>
      </w:r>
      <w:r w:rsidR="00034B76">
        <w:rPr>
          <w:rFonts w:ascii="Verdana" w:hAnsi="Verdana"/>
          <w:i/>
          <w:sz w:val="20"/>
          <w:szCs w:val="20"/>
        </w:rPr>
        <w:t xml:space="preserve"> Vs. </w:t>
      </w:r>
      <w:r w:rsidR="00CE609F" w:rsidRPr="00C02E1D">
        <w:rPr>
          <w:rFonts w:ascii="Verdana" w:hAnsi="Verdana"/>
          <w:i/>
          <w:sz w:val="20"/>
          <w:szCs w:val="20"/>
        </w:rPr>
        <w:t>Ecuador</w:t>
      </w:r>
      <w:r w:rsidR="00CE609F" w:rsidRPr="00C02E1D">
        <w:rPr>
          <w:rFonts w:ascii="Verdana" w:hAnsi="Verdana"/>
          <w:sz w:val="20"/>
          <w:szCs w:val="20"/>
        </w:rPr>
        <w:t xml:space="preserve"> </w:t>
      </w:r>
      <w:r w:rsidRPr="00C02E1D">
        <w:rPr>
          <w:rFonts w:ascii="Verdana" w:hAnsi="Verdana"/>
          <w:sz w:val="20"/>
          <w:szCs w:val="20"/>
        </w:rPr>
        <w:t xml:space="preserve">y </w:t>
      </w:r>
      <w:r w:rsidR="00CE609F" w:rsidRPr="00C02E1D">
        <w:rPr>
          <w:rFonts w:ascii="Verdana" w:hAnsi="Verdana"/>
          <w:sz w:val="20"/>
          <w:szCs w:val="20"/>
        </w:rPr>
        <w:t xml:space="preserve">en el </w:t>
      </w:r>
      <w:r w:rsidR="00CE609F" w:rsidRPr="00C02E1D">
        <w:rPr>
          <w:rFonts w:ascii="Verdana" w:hAnsi="Verdana"/>
          <w:i/>
          <w:sz w:val="20"/>
          <w:szCs w:val="20"/>
        </w:rPr>
        <w:t>caso Pacheco Teruel y otros</w:t>
      </w:r>
      <w:r w:rsidR="00034B76">
        <w:rPr>
          <w:rFonts w:ascii="Verdana" w:hAnsi="Verdana"/>
          <w:i/>
          <w:sz w:val="20"/>
          <w:szCs w:val="20"/>
        </w:rPr>
        <w:t xml:space="preserve"> Vs. </w:t>
      </w:r>
      <w:r w:rsidR="00CE609F" w:rsidRPr="00C02E1D">
        <w:rPr>
          <w:rFonts w:ascii="Verdana" w:hAnsi="Verdana"/>
          <w:i/>
          <w:sz w:val="20"/>
          <w:szCs w:val="20"/>
        </w:rPr>
        <w:t>Honduras</w:t>
      </w:r>
      <w:r w:rsidR="00F26C4B" w:rsidRPr="00C02E1D">
        <w:rPr>
          <w:rStyle w:val="Refdenotaalpie"/>
          <w:rFonts w:ascii="Verdana" w:hAnsi="Verdana"/>
          <w:i/>
          <w:sz w:val="20"/>
          <w:szCs w:val="20"/>
        </w:rPr>
        <w:footnoteReference w:id="8"/>
      </w:r>
      <w:r w:rsidRPr="00C02E1D">
        <w:rPr>
          <w:rFonts w:ascii="Verdana" w:hAnsi="Verdana"/>
          <w:sz w:val="20"/>
          <w:szCs w:val="20"/>
        </w:rPr>
        <w:t xml:space="preserve">, y sería la </w:t>
      </w:r>
      <w:r w:rsidR="00CE609F" w:rsidRPr="00C02E1D">
        <w:rPr>
          <w:rFonts w:ascii="Verdana" w:hAnsi="Verdana"/>
          <w:sz w:val="20"/>
          <w:szCs w:val="20"/>
        </w:rPr>
        <w:t>tercera vez que se expon</w:t>
      </w:r>
      <w:r w:rsidR="00D44376" w:rsidRPr="00C02E1D">
        <w:rPr>
          <w:rFonts w:ascii="Verdana" w:hAnsi="Verdana"/>
          <w:sz w:val="20"/>
          <w:szCs w:val="20"/>
        </w:rPr>
        <w:t>e</w:t>
      </w:r>
      <w:r w:rsidRPr="00C02E1D">
        <w:rPr>
          <w:rFonts w:ascii="Verdana" w:hAnsi="Verdana"/>
          <w:sz w:val="20"/>
          <w:szCs w:val="20"/>
        </w:rPr>
        <w:t xml:space="preserve"> ante la Corte el mismo tema</w:t>
      </w:r>
      <w:r w:rsidR="002300F9">
        <w:rPr>
          <w:rFonts w:ascii="Verdana" w:hAnsi="Verdana"/>
          <w:sz w:val="20"/>
          <w:szCs w:val="20"/>
        </w:rPr>
        <w:t>.</w:t>
      </w:r>
      <w:r w:rsidRPr="00C02E1D">
        <w:rPr>
          <w:rFonts w:ascii="Verdana" w:hAnsi="Verdana"/>
          <w:sz w:val="20"/>
          <w:szCs w:val="20"/>
        </w:rPr>
        <w:t xml:space="preserve"> </w:t>
      </w:r>
      <w:r w:rsidR="00CE609F" w:rsidRPr="00C02E1D">
        <w:rPr>
          <w:rFonts w:ascii="Verdana" w:hAnsi="Verdana"/>
          <w:sz w:val="20"/>
          <w:szCs w:val="20"/>
        </w:rPr>
        <w:t xml:space="preserve">Además, en sus </w:t>
      </w:r>
      <w:r w:rsidR="00CE609F" w:rsidRPr="00C02E1D">
        <w:rPr>
          <w:rFonts w:ascii="Verdana" w:hAnsi="Verdana"/>
          <w:sz w:val="20"/>
          <w:szCs w:val="20"/>
        </w:rPr>
        <w:lastRenderedPageBreak/>
        <w:t>observaciones a la lista</w:t>
      </w:r>
      <w:r w:rsidR="00617086" w:rsidRPr="00C02E1D">
        <w:rPr>
          <w:rFonts w:ascii="Verdana" w:hAnsi="Verdana"/>
          <w:sz w:val="20"/>
          <w:szCs w:val="20"/>
        </w:rPr>
        <w:t xml:space="preserve"> definitiva a</w:t>
      </w:r>
      <w:r w:rsidR="00CE609F" w:rsidRPr="00C02E1D">
        <w:rPr>
          <w:rFonts w:ascii="Verdana" w:hAnsi="Verdana"/>
          <w:sz w:val="20"/>
          <w:szCs w:val="20"/>
        </w:rPr>
        <w:t>legó a su vez que la aceptación, por parte de la Corte, de que se utilicen peritajes rendidos en otros casos en los alegatos finales, “constituye la aceptación de un elemento ilegítimo dentro de la controversia y demuestra que la flexibilidad en cuanto a la admisión y valoración de la prueba puede generar arbitrariedad por parte del Tribunal, afectando así su legitimidad”</w:t>
      </w:r>
      <w:r w:rsidR="002300F9">
        <w:rPr>
          <w:rFonts w:ascii="Verdana" w:hAnsi="Verdana"/>
          <w:sz w:val="20"/>
          <w:szCs w:val="20"/>
        </w:rPr>
        <w:t>.</w:t>
      </w:r>
      <w:r w:rsidR="00617086" w:rsidRPr="00C02E1D">
        <w:rPr>
          <w:rFonts w:ascii="Verdana" w:hAnsi="Verdana"/>
          <w:sz w:val="20"/>
          <w:szCs w:val="20"/>
        </w:rPr>
        <w:t xml:space="preserve"> </w:t>
      </w:r>
    </w:p>
    <w:p w14:paraId="346BFF5A" w14:textId="77777777" w:rsidR="004D1C9B" w:rsidRPr="00C02E1D" w:rsidRDefault="004D1C9B" w:rsidP="0030244A">
      <w:pPr>
        <w:pStyle w:val="Normal1"/>
        <w:widowControl/>
        <w:autoSpaceDE w:val="0"/>
        <w:autoSpaceDN w:val="0"/>
        <w:adjustRightInd w:val="0"/>
        <w:contextualSpacing/>
        <w:jc w:val="both"/>
        <w:rPr>
          <w:rFonts w:ascii="Verdana" w:hAnsi="Verdana"/>
          <w:sz w:val="20"/>
          <w:szCs w:val="20"/>
        </w:rPr>
      </w:pPr>
    </w:p>
    <w:p w14:paraId="2E2FE262" w14:textId="77777777" w:rsidR="002C7A62" w:rsidRPr="00C02E1D" w:rsidRDefault="00CE609F" w:rsidP="0030244A">
      <w:pPr>
        <w:pStyle w:val="Normal1"/>
        <w:widowControl/>
        <w:numPr>
          <w:ilvl w:val="0"/>
          <w:numId w:val="34"/>
        </w:numPr>
        <w:autoSpaceDE w:val="0"/>
        <w:autoSpaceDN w:val="0"/>
        <w:adjustRightInd w:val="0"/>
        <w:ind w:left="0" w:firstLine="0"/>
        <w:contextualSpacing/>
        <w:jc w:val="both"/>
        <w:rPr>
          <w:rFonts w:ascii="Verdana" w:hAnsi="Verdana"/>
          <w:sz w:val="20"/>
          <w:szCs w:val="20"/>
        </w:rPr>
      </w:pPr>
      <w:r w:rsidRPr="00C02E1D">
        <w:rPr>
          <w:rFonts w:ascii="Verdana" w:hAnsi="Verdana"/>
          <w:sz w:val="20"/>
          <w:szCs w:val="20"/>
        </w:rPr>
        <w:t xml:space="preserve">El </w:t>
      </w:r>
      <w:r w:rsidRPr="00C02E1D">
        <w:rPr>
          <w:rFonts w:ascii="Verdana" w:hAnsi="Verdana"/>
          <w:b/>
          <w:i/>
          <w:sz w:val="20"/>
          <w:szCs w:val="20"/>
        </w:rPr>
        <w:t>Presidente</w:t>
      </w:r>
      <w:r w:rsidRPr="00C02E1D">
        <w:rPr>
          <w:rFonts w:ascii="Verdana" w:hAnsi="Verdana"/>
          <w:sz w:val="20"/>
          <w:szCs w:val="20"/>
        </w:rPr>
        <w:t xml:space="preserve"> recuerda que el ofrecimiento de dictámenes periciales por par</w:t>
      </w:r>
      <w:r w:rsidR="007461F2" w:rsidRPr="00C02E1D">
        <w:rPr>
          <w:rFonts w:ascii="Verdana" w:hAnsi="Verdana"/>
          <w:sz w:val="20"/>
          <w:szCs w:val="20"/>
        </w:rPr>
        <w:t>te de la Comisión se funda</w:t>
      </w:r>
      <w:r w:rsidRPr="00C02E1D">
        <w:rPr>
          <w:rFonts w:ascii="Verdana" w:hAnsi="Verdana"/>
          <w:sz w:val="20"/>
          <w:szCs w:val="20"/>
        </w:rPr>
        <w:t xml:space="preserve"> en el artículo 35.1.f) del Reglamento, </w:t>
      </w:r>
      <w:r w:rsidR="0013209A" w:rsidRPr="00C02E1D">
        <w:rPr>
          <w:rFonts w:ascii="Verdana" w:hAnsi="Verdana"/>
          <w:sz w:val="20"/>
          <w:szCs w:val="20"/>
        </w:rPr>
        <w:t xml:space="preserve">el cual </w:t>
      </w:r>
      <w:r w:rsidRPr="00C02E1D">
        <w:rPr>
          <w:rFonts w:ascii="Verdana" w:hAnsi="Verdana"/>
          <w:sz w:val="20"/>
          <w:szCs w:val="20"/>
        </w:rPr>
        <w:t xml:space="preserve">supedita el eventual ofrecimiento de peritos a supuestos en que se afecte de manera relevante el orden público interamericano de los derechos humanos, lo cual corresponde a la Comisión sustentar. Para esta Presidencia es claro que la norma efectivamente se refiere a la posibilidad de proponer peritos por parte de la Comisión en un caso contencioso ante el Tribunal y no propiamente al traslado de peritajes rendidos en otros casos. Sin embargo, nada impide a la Comisión realizar </w:t>
      </w:r>
      <w:r w:rsidR="00AF0B26" w:rsidRPr="00C02E1D">
        <w:rPr>
          <w:rFonts w:ascii="Verdana" w:hAnsi="Verdana"/>
          <w:sz w:val="20"/>
          <w:szCs w:val="20"/>
        </w:rPr>
        <w:t xml:space="preserve">este tipo de solicitudes si, a </w:t>
      </w:r>
      <w:r w:rsidRPr="00C02E1D">
        <w:rPr>
          <w:rFonts w:ascii="Verdana" w:hAnsi="Verdana"/>
          <w:sz w:val="20"/>
          <w:szCs w:val="20"/>
        </w:rPr>
        <w:t>su criterio, dictámenes rendidos en otros casos trascienden el interés de las partes en litigio y el objeto específico del caso, en los términos de dicha norma.</w:t>
      </w:r>
      <w:r w:rsidR="007D2622" w:rsidRPr="00C02E1D">
        <w:rPr>
          <w:rFonts w:ascii="Verdana" w:hAnsi="Verdana"/>
          <w:sz w:val="20"/>
          <w:szCs w:val="20"/>
        </w:rPr>
        <w:t xml:space="preserve"> </w:t>
      </w:r>
      <w:r w:rsidR="00A12C79" w:rsidRPr="00C02E1D">
        <w:rPr>
          <w:rFonts w:ascii="Verdana" w:hAnsi="Verdana"/>
          <w:sz w:val="20"/>
          <w:szCs w:val="20"/>
        </w:rPr>
        <w:t>Debe precisarse que e</w:t>
      </w:r>
      <w:r w:rsidR="007D2622" w:rsidRPr="00C02E1D">
        <w:rPr>
          <w:rFonts w:ascii="Verdana" w:hAnsi="Verdana"/>
          <w:sz w:val="20"/>
          <w:szCs w:val="20"/>
        </w:rPr>
        <w:t xml:space="preserve">n este asunto </w:t>
      </w:r>
      <w:r w:rsidRPr="00C02E1D">
        <w:rPr>
          <w:rFonts w:ascii="Verdana" w:hAnsi="Verdana"/>
          <w:sz w:val="20"/>
          <w:szCs w:val="20"/>
        </w:rPr>
        <w:t xml:space="preserve">el Estado no ha demostrado que el objeto del dictamen rendido por el señor Coriolano en el </w:t>
      </w:r>
      <w:r w:rsidRPr="00C02E1D">
        <w:rPr>
          <w:rFonts w:ascii="Verdana" w:hAnsi="Verdana"/>
          <w:i/>
          <w:sz w:val="20"/>
          <w:szCs w:val="20"/>
        </w:rPr>
        <w:t>caso Herrera Espinoza y otros</w:t>
      </w:r>
      <w:r w:rsidR="00034B76">
        <w:rPr>
          <w:rFonts w:ascii="Verdana" w:hAnsi="Verdana"/>
          <w:i/>
          <w:sz w:val="20"/>
          <w:szCs w:val="20"/>
        </w:rPr>
        <w:t xml:space="preserve"> Vs. </w:t>
      </w:r>
      <w:r w:rsidRPr="00C02E1D">
        <w:rPr>
          <w:rFonts w:ascii="Verdana" w:hAnsi="Verdana"/>
          <w:i/>
          <w:sz w:val="20"/>
          <w:szCs w:val="20"/>
        </w:rPr>
        <w:t xml:space="preserve">Ecuador </w:t>
      </w:r>
      <w:r w:rsidRPr="00C02E1D">
        <w:rPr>
          <w:rFonts w:ascii="Verdana" w:hAnsi="Verdana"/>
          <w:sz w:val="20"/>
          <w:szCs w:val="20"/>
        </w:rPr>
        <w:t>no cumpla con ese supuesto. En cons</w:t>
      </w:r>
      <w:r w:rsidR="007461F2" w:rsidRPr="00C02E1D">
        <w:rPr>
          <w:rFonts w:ascii="Verdana" w:hAnsi="Verdana"/>
          <w:sz w:val="20"/>
          <w:szCs w:val="20"/>
        </w:rPr>
        <w:t>e</w:t>
      </w:r>
      <w:r w:rsidRPr="00C02E1D">
        <w:rPr>
          <w:rFonts w:ascii="Verdana" w:hAnsi="Verdana"/>
          <w:sz w:val="20"/>
          <w:szCs w:val="20"/>
        </w:rPr>
        <w:t>cuencia</w:t>
      </w:r>
      <w:r w:rsidR="00A12C79" w:rsidRPr="00C02E1D">
        <w:rPr>
          <w:rFonts w:ascii="Verdana" w:hAnsi="Verdana"/>
          <w:sz w:val="20"/>
          <w:szCs w:val="20"/>
        </w:rPr>
        <w:t xml:space="preserve"> de lo apuntado</w:t>
      </w:r>
      <w:r w:rsidRPr="00C02E1D">
        <w:rPr>
          <w:rFonts w:ascii="Verdana" w:hAnsi="Verdana"/>
          <w:sz w:val="20"/>
          <w:szCs w:val="20"/>
        </w:rPr>
        <w:t xml:space="preserve">, es pertinente incorporar este elemento documental al expediente del presente caso, por lo cual, en esta oportunidad, la </w:t>
      </w:r>
      <w:r w:rsidR="007461F2" w:rsidRPr="00C02E1D">
        <w:rPr>
          <w:rFonts w:ascii="Verdana" w:hAnsi="Verdana"/>
          <w:sz w:val="20"/>
          <w:szCs w:val="20"/>
        </w:rPr>
        <w:t>Secretaria</w:t>
      </w:r>
      <w:r w:rsidRPr="00C02E1D">
        <w:rPr>
          <w:rFonts w:ascii="Verdana" w:hAnsi="Verdana"/>
          <w:sz w:val="20"/>
          <w:szCs w:val="20"/>
        </w:rPr>
        <w:t xml:space="preserve"> </w:t>
      </w:r>
      <w:r w:rsidR="007461F2" w:rsidRPr="00C02E1D">
        <w:rPr>
          <w:rFonts w:ascii="Verdana" w:hAnsi="Verdana"/>
          <w:sz w:val="20"/>
          <w:szCs w:val="20"/>
        </w:rPr>
        <w:t>transmitirá</w:t>
      </w:r>
      <w:r w:rsidRPr="00C02E1D">
        <w:rPr>
          <w:rFonts w:ascii="Verdana" w:hAnsi="Verdana"/>
          <w:sz w:val="20"/>
          <w:szCs w:val="20"/>
        </w:rPr>
        <w:t xml:space="preserve">́ una copia </w:t>
      </w:r>
      <w:r w:rsidR="00D44376" w:rsidRPr="00C02E1D">
        <w:rPr>
          <w:rFonts w:ascii="Verdana" w:hAnsi="Verdana"/>
          <w:sz w:val="20"/>
          <w:szCs w:val="20"/>
        </w:rPr>
        <w:t>del</w:t>
      </w:r>
      <w:r w:rsidRPr="00C02E1D">
        <w:rPr>
          <w:rFonts w:ascii="Verdana" w:hAnsi="Verdana"/>
          <w:sz w:val="20"/>
          <w:szCs w:val="20"/>
        </w:rPr>
        <w:t xml:space="preserve"> mismo a las partes y a la </w:t>
      </w:r>
      <w:r w:rsidR="007D2622" w:rsidRPr="00C02E1D">
        <w:rPr>
          <w:rFonts w:ascii="Verdana" w:hAnsi="Verdana"/>
          <w:sz w:val="20"/>
          <w:szCs w:val="20"/>
        </w:rPr>
        <w:t>Comisión</w:t>
      </w:r>
      <w:r w:rsidRPr="00C02E1D">
        <w:rPr>
          <w:rFonts w:ascii="Verdana" w:hAnsi="Verdana"/>
          <w:sz w:val="20"/>
          <w:szCs w:val="20"/>
        </w:rPr>
        <w:t xml:space="preserve">, de modo que puedan presentar las observaciones que estimen pertinentes en sus alegatos finales. </w:t>
      </w:r>
    </w:p>
    <w:p w14:paraId="7E0C9666" w14:textId="77777777" w:rsidR="00497CF2" w:rsidRPr="00C02E1D" w:rsidRDefault="00497CF2" w:rsidP="0030244A">
      <w:pPr>
        <w:pStyle w:val="Normal1"/>
        <w:widowControl/>
        <w:contextualSpacing/>
        <w:jc w:val="both"/>
        <w:rPr>
          <w:rFonts w:ascii="Verdana" w:hAnsi="Verdana"/>
          <w:sz w:val="20"/>
          <w:szCs w:val="20"/>
        </w:rPr>
      </w:pPr>
    </w:p>
    <w:p w14:paraId="43F2CE3A" w14:textId="77777777" w:rsidR="00362A37" w:rsidRPr="00C02E1D" w:rsidRDefault="00AA4F3C" w:rsidP="00034B76">
      <w:pPr>
        <w:spacing w:after="0" w:line="240" w:lineRule="auto"/>
        <w:jc w:val="both"/>
        <w:outlineLvl w:val="0"/>
        <w:rPr>
          <w:rFonts w:ascii="Verdana" w:hAnsi="Verdana"/>
          <w:b/>
          <w:i/>
          <w:sz w:val="20"/>
          <w:szCs w:val="20"/>
          <w:lang w:val="es-CR"/>
        </w:rPr>
      </w:pPr>
      <w:r w:rsidRPr="00C02E1D">
        <w:rPr>
          <w:rFonts w:ascii="Verdana" w:hAnsi="Verdana"/>
          <w:b/>
          <w:sz w:val="20"/>
          <w:szCs w:val="20"/>
          <w:lang w:val="es-MX"/>
        </w:rPr>
        <w:t>C)</w:t>
      </w:r>
      <w:r w:rsidRPr="00C02E1D">
        <w:rPr>
          <w:rFonts w:ascii="Verdana" w:hAnsi="Verdana"/>
          <w:b/>
          <w:sz w:val="20"/>
          <w:szCs w:val="20"/>
          <w:lang w:val="es-MX"/>
        </w:rPr>
        <w:tab/>
        <w:t xml:space="preserve"> </w:t>
      </w:r>
      <w:r w:rsidRPr="00C02E1D">
        <w:rPr>
          <w:rFonts w:ascii="Verdana" w:hAnsi="Verdana"/>
          <w:b/>
          <w:i/>
          <w:sz w:val="20"/>
          <w:szCs w:val="20"/>
          <w:lang w:val="es-MX"/>
        </w:rPr>
        <w:t>A</w:t>
      </w:r>
      <w:r w:rsidR="0096402A" w:rsidRPr="00C02E1D">
        <w:rPr>
          <w:rFonts w:ascii="Verdana" w:hAnsi="Verdana"/>
          <w:b/>
          <w:i/>
          <w:sz w:val="20"/>
          <w:szCs w:val="20"/>
          <w:lang w:val="es-MX"/>
        </w:rPr>
        <w:t xml:space="preserve">dmisibilidad de </w:t>
      </w:r>
      <w:r w:rsidR="00D44376" w:rsidRPr="00C02E1D">
        <w:rPr>
          <w:rFonts w:ascii="Verdana" w:hAnsi="Verdana"/>
          <w:b/>
          <w:i/>
          <w:sz w:val="20"/>
          <w:szCs w:val="20"/>
          <w:lang w:val="es-MX"/>
        </w:rPr>
        <w:t>los peritajes</w:t>
      </w:r>
      <w:r w:rsidR="0096402A" w:rsidRPr="00C02E1D">
        <w:rPr>
          <w:rFonts w:ascii="Verdana" w:hAnsi="Verdana"/>
          <w:b/>
          <w:i/>
          <w:sz w:val="20"/>
          <w:szCs w:val="20"/>
          <w:lang w:val="es-MX"/>
        </w:rPr>
        <w:t xml:space="preserve"> ofrecid</w:t>
      </w:r>
      <w:r w:rsidR="00D44376" w:rsidRPr="00C02E1D">
        <w:rPr>
          <w:rFonts w:ascii="Verdana" w:hAnsi="Verdana"/>
          <w:b/>
          <w:i/>
          <w:sz w:val="20"/>
          <w:szCs w:val="20"/>
          <w:lang w:val="es-MX"/>
        </w:rPr>
        <w:t>o</w:t>
      </w:r>
      <w:r w:rsidR="0096402A" w:rsidRPr="00C02E1D">
        <w:rPr>
          <w:rFonts w:ascii="Verdana" w:hAnsi="Verdana"/>
          <w:b/>
          <w:i/>
          <w:sz w:val="20"/>
          <w:szCs w:val="20"/>
          <w:lang w:val="es-MX"/>
        </w:rPr>
        <w:t>s por el Estado</w:t>
      </w:r>
    </w:p>
    <w:p w14:paraId="54DE549F" w14:textId="77777777" w:rsidR="001F0B4C" w:rsidRPr="00C02E1D" w:rsidRDefault="001F0B4C" w:rsidP="0030244A">
      <w:pPr>
        <w:pStyle w:val="Normal1"/>
        <w:widowControl/>
        <w:autoSpaceDE w:val="0"/>
        <w:autoSpaceDN w:val="0"/>
        <w:adjustRightInd w:val="0"/>
        <w:contextualSpacing/>
        <w:jc w:val="both"/>
        <w:rPr>
          <w:rFonts w:ascii="Verdana" w:hAnsi="Verdana"/>
          <w:sz w:val="20"/>
          <w:szCs w:val="20"/>
        </w:rPr>
      </w:pPr>
    </w:p>
    <w:p w14:paraId="70613186" w14:textId="77777777" w:rsidR="00463599" w:rsidRPr="00C02E1D" w:rsidRDefault="009673D3" w:rsidP="0030244A">
      <w:pPr>
        <w:pStyle w:val="Normal1"/>
        <w:widowControl/>
        <w:numPr>
          <w:ilvl w:val="0"/>
          <w:numId w:val="34"/>
        </w:numPr>
        <w:autoSpaceDE w:val="0"/>
        <w:autoSpaceDN w:val="0"/>
        <w:adjustRightInd w:val="0"/>
        <w:ind w:left="0" w:firstLine="0"/>
        <w:contextualSpacing/>
        <w:jc w:val="both"/>
        <w:rPr>
          <w:rFonts w:ascii="Verdana" w:hAnsi="Verdana"/>
          <w:sz w:val="20"/>
          <w:szCs w:val="20"/>
        </w:rPr>
      </w:pPr>
      <w:r w:rsidRPr="00C02E1D">
        <w:rPr>
          <w:rFonts w:ascii="Verdana" w:hAnsi="Verdana"/>
          <w:sz w:val="20"/>
          <w:szCs w:val="20"/>
        </w:rPr>
        <w:t xml:space="preserve">El </w:t>
      </w:r>
      <w:r w:rsidRPr="00C02E1D">
        <w:rPr>
          <w:rFonts w:ascii="Verdana" w:hAnsi="Verdana"/>
          <w:b/>
          <w:i/>
          <w:sz w:val="20"/>
          <w:szCs w:val="20"/>
        </w:rPr>
        <w:t>Estado</w:t>
      </w:r>
      <w:r w:rsidRPr="00C02E1D">
        <w:rPr>
          <w:rFonts w:ascii="Verdana" w:hAnsi="Verdana"/>
          <w:sz w:val="20"/>
          <w:szCs w:val="20"/>
        </w:rPr>
        <w:t xml:space="preserve"> ofreció </w:t>
      </w:r>
      <w:r w:rsidR="00463599" w:rsidRPr="00C02E1D">
        <w:rPr>
          <w:rFonts w:ascii="Verdana" w:hAnsi="Verdana"/>
          <w:sz w:val="20"/>
          <w:szCs w:val="20"/>
        </w:rPr>
        <w:t>el</w:t>
      </w:r>
      <w:r w:rsidRPr="00C02E1D">
        <w:rPr>
          <w:rFonts w:ascii="Verdana" w:hAnsi="Verdana"/>
          <w:sz w:val="20"/>
          <w:szCs w:val="20"/>
        </w:rPr>
        <w:t xml:space="preserve"> peritaje de la señora Marcella Da </w:t>
      </w:r>
      <w:proofErr w:type="spellStart"/>
      <w:r w:rsidRPr="00C02E1D">
        <w:rPr>
          <w:rFonts w:ascii="Verdana" w:hAnsi="Verdana"/>
          <w:sz w:val="20"/>
          <w:szCs w:val="20"/>
        </w:rPr>
        <w:t>Fonte</w:t>
      </w:r>
      <w:proofErr w:type="spellEnd"/>
      <w:r w:rsidRPr="00C02E1D">
        <w:rPr>
          <w:rFonts w:ascii="Verdana" w:hAnsi="Verdana"/>
          <w:sz w:val="20"/>
          <w:szCs w:val="20"/>
        </w:rPr>
        <w:t xml:space="preserve"> Carvalho</w:t>
      </w:r>
      <w:r w:rsidR="00F57D17" w:rsidRPr="00C02E1D">
        <w:rPr>
          <w:rFonts w:ascii="Verdana" w:hAnsi="Verdana"/>
          <w:sz w:val="20"/>
          <w:szCs w:val="20"/>
        </w:rPr>
        <w:t>, quien</w:t>
      </w:r>
      <w:r w:rsidRPr="00C02E1D">
        <w:rPr>
          <w:rFonts w:ascii="Verdana" w:hAnsi="Verdana"/>
          <w:sz w:val="20"/>
          <w:szCs w:val="20"/>
        </w:rPr>
        <w:t xml:space="preserve"> declarar</w:t>
      </w:r>
      <w:r w:rsidR="00F57D17" w:rsidRPr="00C02E1D">
        <w:rPr>
          <w:rFonts w:ascii="Verdana" w:hAnsi="Verdana"/>
          <w:sz w:val="20"/>
          <w:szCs w:val="20"/>
        </w:rPr>
        <w:t>ía</w:t>
      </w:r>
      <w:r w:rsidRPr="00C02E1D">
        <w:rPr>
          <w:rFonts w:ascii="Verdana" w:hAnsi="Verdana"/>
          <w:sz w:val="20"/>
          <w:szCs w:val="20"/>
        </w:rPr>
        <w:t xml:space="preserve"> sobre</w:t>
      </w:r>
      <w:r w:rsidR="00362A37" w:rsidRPr="00C02E1D">
        <w:rPr>
          <w:rFonts w:ascii="Verdana" w:hAnsi="Verdana"/>
          <w:sz w:val="20"/>
          <w:szCs w:val="20"/>
        </w:rPr>
        <w:t xml:space="preserve"> </w:t>
      </w:r>
      <w:r w:rsidRPr="00C02E1D">
        <w:rPr>
          <w:rFonts w:ascii="Verdana" w:hAnsi="Verdana"/>
          <w:sz w:val="20"/>
          <w:szCs w:val="20"/>
        </w:rPr>
        <w:t>“tipos penales y bienes jurídicos protegidos en la lucha contra el narcotráfico en el Ecuador”</w:t>
      </w:r>
      <w:r w:rsidR="002300F9">
        <w:rPr>
          <w:rFonts w:ascii="Verdana" w:hAnsi="Verdana"/>
          <w:sz w:val="20"/>
          <w:szCs w:val="20"/>
        </w:rPr>
        <w:t>.</w:t>
      </w:r>
      <w:r w:rsidR="001F0B4C" w:rsidRPr="00C02E1D">
        <w:rPr>
          <w:rFonts w:ascii="Verdana" w:hAnsi="Verdana"/>
          <w:sz w:val="20"/>
          <w:szCs w:val="20"/>
        </w:rPr>
        <w:t xml:space="preserve"> </w:t>
      </w:r>
      <w:r w:rsidR="00463599" w:rsidRPr="00C02E1D">
        <w:rPr>
          <w:rFonts w:ascii="Verdana" w:hAnsi="Verdana"/>
          <w:sz w:val="20"/>
          <w:szCs w:val="20"/>
        </w:rPr>
        <w:t xml:space="preserve">El representante no presentó observación alguna al respecto. En consecuencia, </w:t>
      </w:r>
      <w:r w:rsidR="00B400EE" w:rsidRPr="00C02E1D">
        <w:rPr>
          <w:rFonts w:ascii="Verdana" w:hAnsi="Verdana"/>
          <w:sz w:val="20"/>
          <w:szCs w:val="20"/>
        </w:rPr>
        <w:t xml:space="preserve">el Presidente considera que </w:t>
      </w:r>
      <w:r w:rsidR="00463599" w:rsidRPr="00C02E1D">
        <w:rPr>
          <w:rFonts w:ascii="Verdana" w:hAnsi="Verdana"/>
          <w:sz w:val="20"/>
          <w:szCs w:val="20"/>
        </w:rPr>
        <w:t>corresponde recibir el dictamen propuesto a efectos de que la Corte pueda valorar su pertinencia y valor probatorio.</w:t>
      </w:r>
    </w:p>
    <w:p w14:paraId="5BB5D2BF" w14:textId="77777777" w:rsidR="00463599" w:rsidRPr="00C02E1D" w:rsidRDefault="00463599" w:rsidP="0030244A">
      <w:pPr>
        <w:pStyle w:val="Normal1"/>
        <w:widowControl/>
        <w:autoSpaceDE w:val="0"/>
        <w:autoSpaceDN w:val="0"/>
        <w:adjustRightInd w:val="0"/>
        <w:contextualSpacing/>
        <w:jc w:val="both"/>
        <w:rPr>
          <w:rFonts w:ascii="Verdana" w:hAnsi="Verdana"/>
          <w:sz w:val="20"/>
          <w:szCs w:val="20"/>
        </w:rPr>
      </w:pPr>
    </w:p>
    <w:p w14:paraId="6962C6F8" w14:textId="77777777" w:rsidR="0000317C" w:rsidRPr="00C02E1D" w:rsidRDefault="00DC0EF9" w:rsidP="0030244A">
      <w:pPr>
        <w:pStyle w:val="Normal1"/>
        <w:widowControl/>
        <w:numPr>
          <w:ilvl w:val="0"/>
          <w:numId w:val="34"/>
        </w:numPr>
        <w:autoSpaceDE w:val="0"/>
        <w:autoSpaceDN w:val="0"/>
        <w:adjustRightInd w:val="0"/>
        <w:ind w:left="0" w:firstLine="0"/>
        <w:contextualSpacing/>
        <w:jc w:val="both"/>
        <w:rPr>
          <w:rFonts w:ascii="Verdana" w:hAnsi="Verdana"/>
          <w:sz w:val="20"/>
          <w:szCs w:val="20"/>
        </w:rPr>
      </w:pPr>
      <w:r w:rsidRPr="00C02E1D">
        <w:rPr>
          <w:rFonts w:ascii="Verdana" w:hAnsi="Verdana"/>
          <w:sz w:val="20"/>
          <w:szCs w:val="20"/>
        </w:rPr>
        <w:t>Igualmente</w:t>
      </w:r>
      <w:r w:rsidR="006666E3" w:rsidRPr="00C02E1D">
        <w:rPr>
          <w:rFonts w:ascii="Verdana" w:hAnsi="Verdana"/>
          <w:sz w:val="20"/>
          <w:szCs w:val="20"/>
        </w:rPr>
        <w:t xml:space="preserve">, </w:t>
      </w:r>
      <w:r w:rsidR="00463599" w:rsidRPr="00C02E1D">
        <w:rPr>
          <w:rFonts w:ascii="Verdana" w:hAnsi="Verdana"/>
          <w:sz w:val="20"/>
          <w:szCs w:val="20"/>
        </w:rPr>
        <w:t xml:space="preserve">ofreció el peritaje </w:t>
      </w:r>
      <w:r w:rsidR="009673D3" w:rsidRPr="00C02E1D">
        <w:rPr>
          <w:rFonts w:ascii="Verdana" w:hAnsi="Verdana"/>
          <w:sz w:val="20"/>
          <w:szCs w:val="20"/>
        </w:rPr>
        <w:t>del señor Daniel Pontón Cevallos</w:t>
      </w:r>
      <w:r w:rsidR="00F57D17" w:rsidRPr="00C02E1D">
        <w:rPr>
          <w:rFonts w:ascii="Verdana" w:hAnsi="Verdana"/>
          <w:sz w:val="20"/>
          <w:szCs w:val="20"/>
        </w:rPr>
        <w:t xml:space="preserve"> para declarar sobre “tendencias del Derecho Penal en materia de lucha contra el narcotráfico en América Latina y evolución normativa e institucional en el Ecuador”</w:t>
      </w:r>
      <w:r w:rsidR="00034B76">
        <w:rPr>
          <w:rFonts w:ascii="Verdana" w:hAnsi="Verdana"/>
          <w:sz w:val="20"/>
          <w:szCs w:val="20"/>
        </w:rPr>
        <w:t>.</w:t>
      </w:r>
      <w:r w:rsidRPr="00C02E1D">
        <w:rPr>
          <w:rFonts w:ascii="Verdana" w:hAnsi="Verdana"/>
          <w:sz w:val="20"/>
          <w:szCs w:val="20"/>
        </w:rPr>
        <w:t xml:space="preserve"> </w:t>
      </w:r>
      <w:r w:rsidR="00463599" w:rsidRPr="00C02E1D">
        <w:rPr>
          <w:rFonts w:ascii="Verdana" w:hAnsi="Verdana"/>
          <w:sz w:val="20"/>
          <w:szCs w:val="20"/>
        </w:rPr>
        <w:t>No obstante, e</w:t>
      </w:r>
      <w:r w:rsidR="00F57D17" w:rsidRPr="00C02E1D">
        <w:rPr>
          <w:rFonts w:ascii="Verdana" w:hAnsi="Verdana"/>
          <w:sz w:val="20"/>
          <w:szCs w:val="20"/>
        </w:rPr>
        <w:t>n su lista definitiva de declarantes, manifestó que “el peritaje que se encontraba a cargo del [señor] Pontón ser</w:t>
      </w:r>
      <w:r w:rsidRPr="00C02E1D">
        <w:rPr>
          <w:rFonts w:ascii="Verdana" w:hAnsi="Verdana"/>
          <w:sz w:val="20"/>
          <w:szCs w:val="20"/>
        </w:rPr>
        <w:t xml:space="preserve">ia </w:t>
      </w:r>
      <w:r w:rsidR="00F57D17" w:rsidRPr="00C02E1D">
        <w:rPr>
          <w:rFonts w:ascii="Verdana" w:hAnsi="Verdana"/>
          <w:sz w:val="20"/>
          <w:szCs w:val="20"/>
        </w:rPr>
        <w:t xml:space="preserve">desarrollado integralmente por </w:t>
      </w:r>
      <w:r w:rsidR="006666E3" w:rsidRPr="00C02E1D">
        <w:rPr>
          <w:rFonts w:ascii="Verdana" w:hAnsi="Verdana"/>
          <w:sz w:val="20"/>
          <w:szCs w:val="20"/>
        </w:rPr>
        <w:t>el [señor] Leonardo Jaramillo”</w:t>
      </w:r>
      <w:r w:rsidR="000911CE" w:rsidRPr="00C02E1D">
        <w:rPr>
          <w:rFonts w:ascii="Verdana" w:hAnsi="Verdana"/>
          <w:sz w:val="20"/>
          <w:szCs w:val="20"/>
        </w:rPr>
        <w:t>,</w:t>
      </w:r>
      <w:r w:rsidR="006666E3" w:rsidRPr="00C02E1D">
        <w:rPr>
          <w:rFonts w:ascii="Verdana" w:hAnsi="Verdana"/>
          <w:sz w:val="20"/>
          <w:szCs w:val="20"/>
        </w:rPr>
        <w:t xml:space="preserve"> </w:t>
      </w:r>
      <w:r w:rsidR="000911CE" w:rsidRPr="00C02E1D">
        <w:rPr>
          <w:rFonts w:ascii="Verdana" w:hAnsi="Verdana"/>
          <w:sz w:val="20"/>
          <w:szCs w:val="20"/>
        </w:rPr>
        <w:t>debido a que el profesor Pontón asumió una responsabilidad académica y administrativa que le impide presentar el examen</w:t>
      </w:r>
      <w:r w:rsidR="002300F9">
        <w:rPr>
          <w:rFonts w:ascii="Verdana" w:hAnsi="Verdana"/>
          <w:sz w:val="20"/>
          <w:szCs w:val="20"/>
        </w:rPr>
        <w:t>.</w:t>
      </w:r>
      <w:r w:rsidR="0013209A" w:rsidRPr="00C02E1D">
        <w:rPr>
          <w:rFonts w:ascii="Verdana" w:hAnsi="Verdana"/>
          <w:sz w:val="20"/>
          <w:szCs w:val="20"/>
        </w:rPr>
        <w:t xml:space="preserve"> </w:t>
      </w:r>
      <w:r w:rsidR="000911CE" w:rsidRPr="00C02E1D">
        <w:rPr>
          <w:rFonts w:ascii="Verdana" w:hAnsi="Verdana"/>
          <w:sz w:val="20"/>
          <w:szCs w:val="20"/>
        </w:rPr>
        <w:t xml:space="preserve">Además aportó la hoja de vida del señor Jaramillo. </w:t>
      </w:r>
    </w:p>
    <w:p w14:paraId="0D781347" w14:textId="77777777" w:rsidR="0000317C" w:rsidRPr="00C02E1D" w:rsidRDefault="0000317C" w:rsidP="0030244A">
      <w:pPr>
        <w:pStyle w:val="Normal1"/>
        <w:widowControl/>
        <w:autoSpaceDE w:val="0"/>
        <w:autoSpaceDN w:val="0"/>
        <w:adjustRightInd w:val="0"/>
        <w:contextualSpacing/>
        <w:jc w:val="both"/>
        <w:rPr>
          <w:rFonts w:ascii="Verdana" w:hAnsi="Verdana"/>
          <w:sz w:val="20"/>
          <w:szCs w:val="20"/>
        </w:rPr>
      </w:pPr>
    </w:p>
    <w:p w14:paraId="528855F2" w14:textId="77777777" w:rsidR="00173CDC" w:rsidRPr="00C02E1D" w:rsidRDefault="005E1F8D" w:rsidP="0030244A">
      <w:pPr>
        <w:pStyle w:val="Normal1"/>
        <w:widowControl/>
        <w:numPr>
          <w:ilvl w:val="0"/>
          <w:numId w:val="34"/>
        </w:numPr>
        <w:autoSpaceDE w:val="0"/>
        <w:autoSpaceDN w:val="0"/>
        <w:adjustRightInd w:val="0"/>
        <w:ind w:left="0" w:firstLine="0"/>
        <w:contextualSpacing/>
        <w:jc w:val="both"/>
        <w:rPr>
          <w:rFonts w:ascii="Verdana" w:hAnsi="Verdana"/>
          <w:sz w:val="20"/>
          <w:szCs w:val="20"/>
        </w:rPr>
      </w:pPr>
      <w:r w:rsidRPr="00C02E1D">
        <w:rPr>
          <w:rFonts w:ascii="Verdana" w:hAnsi="Verdana"/>
          <w:sz w:val="20"/>
          <w:szCs w:val="20"/>
        </w:rPr>
        <w:t xml:space="preserve">El 6 de febrero de 2019 la Secretaria </w:t>
      </w:r>
      <w:r w:rsidR="00EB1E6A" w:rsidRPr="00C02E1D">
        <w:rPr>
          <w:rFonts w:ascii="Verdana" w:hAnsi="Verdana"/>
          <w:sz w:val="20"/>
          <w:szCs w:val="20"/>
        </w:rPr>
        <w:t>hizo notar que</w:t>
      </w:r>
      <w:r w:rsidR="00F57D17" w:rsidRPr="00C02E1D">
        <w:rPr>
          <w:rFonts w:ascii="Verdana" w:hAnsi="Verdana"/>
          <w:sz w:val="20"/>
          <w:szCs w:val="20"/>
        </w:rPr>
        <w:t xml:space="preserve"> </w:t>
      </w:r>
      <w:r w:rsidRPr="00C02E1D">
        <w:rPr>
          <w:rFonts w:ascii="Verdana" w:hAnsi="Verdana"/>
          <w:sz w:val="20"/>
          <w:szCs w:val="20"/>
        </w:rPr>
        <w:t>tal manifestación consistía en una solicitud de sustitución de declarantes</w:t>
      </w:r>
      <w:r w:rsidR="00066522" w:rsidRPr="00C02E1D">
        <w:rPr>
          <w:rFonts w:ascii="Verdana" w:hAnsi="Verdana"/>
          <w:sz w:val="20"/>
          <w:szCs w:val="20"/>
        </w:rPr>
        <w:t xml:space="preserve"> </w:t>
      </w:r>
      <w:r w:rsidR="00EB1E6A" w:rsidRPr="00C02E1D">
        <w:rPr>
          <w:rFonts w:ascii="Verdana" w:hAnsi="Verdana"/>
          <w:sz w:val="20"/>
          <w:szCs w:val="20"/>
        </w:rPr>
        <w:t>aun y cuando el E</w:t>
      </w:r>
      <w:r w:rsidRPr="00C02E1D">
        <w:rPr>
          <w:rFonts w:ascii="Verdana" w:hAnsi="Verdana"/>
          <w:sz w:val="20"/>
          <w:szCs w:val="20"/>
        </w:rPr>
        <w:t xml:space="preserve">stado no lo hubiere indicado, </w:t>
      </w:r>
      <w:r w:rsidR="00B71EF3" w:rsidRPr="00C02E1D">
        <w:rPr>
          <w:rFonts w:ascii="Verdana" w:hAnsi="Verdana"/>
          <w:sz w:val="20"/>
          <w:szCs w:val="20"/>
        </w:rPr>
        <w:t xml:space="preserve">por lo </w:t>
      </w:r>
      <w:r w:rsidR="00CB0711" w:rsidRPr="00C02E1D">
        <w:rPr>
          <w:rFonts w:ascii="Verdana" w:hAnsi="Verdana"/>
          <w:sz w:val="20"/>
          <w:szCs w:val="20"/>
        </w:rPr>
        <w:t xml:space="preserve">que </w:t>
      </w:r>
      <w:r w:rsidR="001360E6" w:rsidRPr="00C02E1D">
        <w:rPr>
          <w:rFonts w:ascii="Verdana" w:hAnsi="Verdana"/>
          <w:sz w:val="20"/>
          <w:szCs w:val="20"/>
        </w:rPr>
        <w:t xml:space="preserve">en </w:t>
      </w:r>
      <w:r w:rsidRPr="00C02E1D">
        <w:rPr>
          <w:rFonts w:ascii="Verdana" w:hAnsi="Verdana"/>
          <w:sz w:val="20"/>
          <w:szCs w:val="20"/>
        </w:rPr>
        <w:t>términos del artículo 49 del Reglamento</w:t>
      </w:r>
      <w:r w:rsidR="007647C0" w:rsidRPr="00C02E1D">
        <w:rPr>
          <w:rStyle w:val="Refdenotaalpie"/>
          <w:rFonts w:ascii="Verdana" w:hAnsi="Verdana"/>
          <w:sz w:val="20"/>
          <w:szCs w:val="20"/>
        </w:rPr>
        <w:footnoteReference w:id="9"/>
      </w:r>
      <w:r w:rsidRPr="00C02E1D">
        <w:rPr>
          <w:rFonts w:ascii="Verdana" w:hAnsi="Verdana"/>
          <w:sz w:val="20"/>
          <w:szCs w:val="20"/>
        </w:rPr>
        <w:t xml:space="preserve">, </w:t>
      </w:r>
      <w:r w:rsidR="001360E6" w:rsidRPr="00C02E1D">
        <w:rPr>
          <w:rFonts w:ascii="Verdana" w:hAnsi="Verdana"/>
          <w:sz w:val="20"/>
          <w:szCs w:val="20"/>
        </w:rPr>
        <w:t xml:space="preserve">otorgó el plazo correspondiente y </w:t>
      </w:r>
      <w:r w:rsidRPr="00C02E1D">
        <w:rPr>
          <w:rFonts w:ascii="Verdana" w:hAnsi="Verdana"/>
          <w:sz w:val="20"/>
          <w:szCs w:val="20"/>
        </w:rPr>
        <w:t xml:space="preserve">se escuchó </w:t>
      </w:r>
      <w:r w:rsidR="001360E6" w:rsidRPr="00C02E1D">
        <w:rPr>
          <w:rFonts w:ascii="Verdana" w:hAnsi="Verdana"/>
          <w:sz w:val="20"/>
          <w:szCs w:val="20"/>
        </w:rPr>
        <w:t xml:space="preserve">al </w:t>
      </w:r>
      <w:r w:rsidR="00770F79" w:rsidRPr="00C02E1D">
        <w:rPr>
          <w:rFonts w:ascii="Verdana" w:hAnsi="Verdana"/>
          <w:b/>
          <w:i/>
          <w:sz w:val="20"/>
          <w:szCs w:val="20"/>
        </w:rPr>
        <w:t>r</w:t>
      </w:r>
      <w:r w:rsidR="00FE7D17" w:rsidRPr="00C02E1D">
        <w:rPr>
          <w:rFonts w:ascii="Verdana" w:hAnsi="Verdana"/>
          <w:b/>
          <w:i/>
          <w:sz w:val="20"/>
          <w:szCs w:val="20"/>
        </w:rPr>
        <w:t>epresentante</w:t>
      </w:r>
      <w:r w:rsidR="00770F79" w:rsidRPr="00034B76">
        <w:rPr>
          <w:rFonts w:ascii="Verdana" w:hAnsi="Verdana"/>
          <w:i/>
          <w:sz w:val="20"/>
          <w:szCs w:val="20"/>
        </w:rPr>
        <w:t>,</w:t>
      </w:r>
      <w:r w:rsidR="00FE7D17" w:rsidRPr="00C02E1D">
        <w:rPr>
          <w:rFonts w:ascii="Verdana" w:hAnsi="Verdana"/>
          <w:sz w:val="20"/>
          <w:szCs w:val="20"/>
        </w:rPr>
        <w:t xml:space="preserve"> </w:t>
      </w:r>
      <w:r w:rsidR="00770F79" w:rsidRPr="00C02E1D">
        <w:rPr>
          <w:rFonts w:ascii="Verdana" w:hAnsi="Verdana"/>
          <w:sz w:val="20"/>
          <w:szCs w:val="20"/>
        </w:rPr>
        <w:t xml:space="preserve">quien </w:t>
      </w:r>
      <w:r w:rsidR="00FE7D17" w:rsidRPr="00C02E1D">
        <w:rPr>
          <w:rFonts w:ascii="Verdana" w:hAnsi="Verdana"/>
          <w:sz w:val="20"/>
          <w:szCs w:val="20"/>
        </w:rPr>
        <w:t xml:space="preserve">manifestó que el alcance de la pericia solicitada por el Estado </w:t>
      </w:r>
      <w:r w:rsidR="00450C08" w:rsidRPr="00C02E1D">
        <w:rPr>
          <w:rFonts w:ascii="Verdana" w:hAnsi="Verdana"/>
          <w:sz w:val="20"/>
          <w:szCs w:val="20"/>
        </w:rPr>
        <w:t>se enco</w:t>
      </w:r>
      <w:r w:rsidR="00FE7D17" w:rsidRPr="00C02E1D">
        <w:rPr>
          <w:rFonts w:ascii="Verdana" w:hAnsi="Verdana"/>
          <w:sz w:val="20"/>
          <w:szCs w:val="20"/>
        </w:rPr>
        <w:t>ntra</w:t>
      </w:r>
      <w:r w:rsidR="00450C08" w:rsidRPr="00C02E1D">
        <w:rPr>
          <w:rFonts w:ascii="Verdana" w:hAnsi="Verdana"/>
          <w:sz w:val="20"/>
          <w:szCs w:val="20"/>
        </w:rPr>
        <w:t>ba</w:t>
      </w:r>
      <w:r w:rsidR="00FE7D17" w:rsidRPr="00C02E1D">
        <w:rPr>
          <w:rFonts w:ascii="Verdana" w:hAnsi="Verdana"/>
          <w:sz w:val="20"/>
          <w:szCs w:val="20"/>
        </w:rPr>
        <w:t xml:space="preserve"> fuera del objeto de discusión del presente caso</w:t>
      </w:r>
      <w:r w:rsidR="00B71EF3" w:rsidRPr="00C02E1D">
        <w:rPr>
          <w:rFonts w:ascii="Verdana" w:hAnsi="Verdana"/>
          <w:sz w:val="20"/>
          <w:szCs w:val="20"/>
        </w:rPr>
        <w:t>, en razón</w:t>
      </w:r>
      <w:r w:rsidR="00FE7D17" w:rsidRPr="00C02E1D">
        <w:rPr>
          <w:rFonts w:ascii="Verdana" w:hAnsi="Verdana"/>
          <w:sz w:val="20"/>
          <w:szCs w:val="20"/>
        </w:rPr>
        <w:t xml:space="preserve"> </w:t>
      </w:r>
      <w:r w:rsidR="00B71EF3" w:rsidRPr="00C02E1D">
        <w:rPr>
          <w:rFonts w:ascii="Verdana" w:hAnsi="Verdana"/>
          <w:sz w:val="20"/>
          <w:szCs w:val="20"/>
        </w:rPr>
        <w:t xml:space="preserve">de que </w:t>
      </w:r>
      <w:r w:rsidR="00FE7D17" w:rsidRPr="00C02E1D">
        <w:rPr>
          <w:rFonts w:ascii="Verdana" w:hAnsi="Verdana"/>
          <w:sz w:val="20"/>
          <w:szCs w:val="20"/>
        </w:rPr>
        <w:t>las políticas y tendencias del derecho penal relacionadas con la lucha contra el narcotráfico no</w:t>
      </w:r>
      <w:r w:rsidR="00450C08" w:rsidRPr="00C02E1D">
        <w:rPr>
          <w:rFonts w:ascii="Verdana" w:hAnsi="Verdana"/>
          <w:sz w:val="20"/>
          <w:szCs w:val="20"/>
        </w:rPr>
        <w:t xml:space="preserve"> tenían </w:t>
      </w:r>
      <w:r w:rsidR="00FE7D17" w:rsidRPr="00C02E1D">
        <w:rPr>
          <w:rFonts w:ascii="Verdana" w:hAnsi="Verdana"/>
          <w:sz w:val="20"/>
          <w:szCs w:val="20"/>
        </w:rPr>
        <w:t xml:space="preserve">relación con los hechos ni con las alegadas violaciones a la </w:t>
      </w:r>
      <w:r w:rsidR="00450C08" w:rsidRPr="00C02E1D">
        <w:rPr>
          <w:rFonts w:ascii="Verdana" w:hAnsi="Verdana"/>
          <w:sz w:val="20"/>
          <w:szCs w:val="20"/>
        </w:rPr>
        <w:t>Convención Americana</w:t>
      </w:r>
      <w:r w:rsidR="00CB0711" w:rsidRPr="00C02E1D">
        <w:rPr>
          <w:rFonts w:ascii="Verdana" w:hAnsi="Verdana"/>
          <w:sz w:val="20"/>
          <w:szCs w:val="20"/>
        </w:rPr>
        <w:t>. A</w:t>
      </w:r>
      <w:r w:rsidR="00FE7D17" w:rsidRPr="00C02E1D">
        <w:rPr>
          <w:rFonts w:ascii="Verdana" w:hAnsi="Verdana"/>
          <w:sz w:val="20"/>
          <w:szCs w:val="20"/>
        </w:rPr>
        <w:t>demás, en la hoja de vida del perito ofrecido no aparec</w:t>
      </w:r>
      <w:r w:rsidR="00450C08" w:rsidRPr="00C02E1D">
        <w:rPr>
          <w:rFonts w:ascii="Verdana" w:hAnsi="Verdana"/>
          <w:sz w:val="20"/>
          <w:szCs w:val="20"/>
        </w:rPr>
        <w:t>ía</w:t>
      </w:r>
      <w:r w:rsidR="00FE7D17" w:rsidRPr="00C02E1D">
        <w:rPr>
          <w:rFonts w:ascii="Verdana" w:hAnsi="Verdana"/>
          <w:sz w:val="20"/>
          <w:szCs w:val="20"/>
        </w:rPr>
        <w:t xml:space="preserve"> que t</w:t>
      </w:r>
      <w:r w:rsidR="00450C08" w:rsidRPr="00C02E1D">
        <w:rPr>
          <w:rFonts w:ascii="Verdana" w:hAnsi="Verdana"/>
          <w:sz w:val="20"/>
          <w:szCs w:val="20"/>
        </w:rPr>
        <w:t xml:space="preserve">uviera </w:t>
      </w:r>
      <w:r w:rsidR="00FE7D17" w:rsidRPr="00C02E1D">
        <w:rPr>
          <w:rFonts w:ascii="Verdana" w:hAnsi="Verdana"/>
          <w:sz w:val="20"/>
          <w:szCs w:val="20"/>
        </w:rPr>
        <w:t xml:space="preserve">formación en el área de derecho y menos aún en el área de derecho penal, por lo que carecería de la idoneidad adecuada para pronunciarse sobre el tema objeto de la pericia. </w:t>
      </w:r>
      <w:r w:rsidR="00173CDC" w:rsidRPr="00C02E1D">
        <w:rPr>
          <w:rFonts w:ascii="Verdana" w:hAnsi="Verdana"/>
          <w:sz w:val="20"/>
          <w:szCs w:val="20"/>
        </w:rPr>
        <w:t>De igual modo</w:t>
      </w:r>
      <w:r w:rsidR="00CB0711" w:rsidRPr="00C02E1D">
        <w:rPr>
          <w:rFonts w:ascii="Verdana" w:hAnsi="Verdana"/>
          <w:sz w:val="20"/>
          <w:szCs w:val="20"/>
        </w:rPr>
        <w:t>,</w:t>
      </w:r>
      <w:r w:rsidR="00173CDC" w:rsidRPr="00C02E1D">
        <w:rPr>
          <w:rFonts w:ascii="Verdana" w:hAnsi="Verdana"/>
          <w:sz w:val="20"/>
          <w:szCs w:val="20"/>
        </w:rPr>
        <w:t xml:space="preserve"> s</w:t>
      </w:r>
      <w:r w:rsidR="00FE7D17" w:rsidRPr="00C02E1D">
        <w:rPr>
          <w:rFonts w:ascii="Verdana" w:hAnsi="Verdana"/>
          <w:sz w:val="20"/>
          <w:szCs w:val="20"/>
        </w:rPr>
        <w:t xml:space="preserve">eñaló que </w:t>
      </w:r>
      <w:r w:rsidR="00FE7D17" w:rsidRPr="00C02E1D">
        <w:rPr>
          <w:rFonts w:ascii="Verdana" w:hAnsi="Verdana"/>
          <w:sz w:val="20"/>
          <w:szCs w:val="20"/>
        </w:rPr>
        <w:lastRenderedPageBreak/>
        <w:t>el señor Jaramillo t</w:t>
      </w:r>
      <w:r w:rsidR="00173CDC" w:rsidRPr="00C02E1D">
        <w:rPr>
          <w:rFonts w:ascii="Verdana" w:hAnsi="Verdana"/>
          <w:sz w:val="20"/>
          <w:szCs w:val="20"/>
        </w:rPr>
        <w:t xml:space="preserve">enia </w:t>
      </w:r>
      <w:r w:rsidR="00FE7D17" w:rsidRPr="00C02E1D">
        <w:rPr>
          <w:rFonts w:ascii="Verdana" w:hAnsi="Verdana"/>
          <w:sz w:val="20"/>
          <w:szCs w:val="20"/>
        </w:rPr>
        <w:t xml:space="preserve">formación en otras áreas distintas a las jurídicas, por lo que </w:t>
      </w:r>
      <w:r w:rsidR="00173CDC" w:rsidRPr="00C02E1D">
        <w:rPr>
          <w:rFonts w:ascii="Verdana" w:hAnsi="Verdana"/>
          <w:sz w:val="20"/>
          <w:szCs w:val="20"/>
        </w:rPr>
        <w:t xml:space="preserve">no podía </w:t>
      </w:r>
      <w:r w:rsidR="00FE7D17" w:rsidRPr="00C02E1D">
        <w:rPr>
          <w:rFonts w:ascii="Verdana" w:hAnsi="Verdana"/>
          <w:sz w:val="20"/>
          <w:szCs w:val="20"/>
        </w:rPr>
        <w:t>ser considerado como un experto</w:t>
      </w:r>
      <w:r w:rsidR="00173CDC" w:rsidRPr="00C02E1D">
        <w:rPr>
          <w:rFonts w:ascii="Verdana" w:hAnsi="Verdana"/>
          <w:sz w:val="20"/>
          <w:szCs w:val="20"/>
        </w:rPr>
        <w:t xml:space="preserve"> ni actuar como perito</w:t>
      </w:r>
      <w:r w:rsidR="00CB0711" w:rsidRPr="00C02E1D">
        <w:rPr>
          <w:rFonts w:ascii="Verdana" w:hAnsi="Verdana"/>
          <w:sz w:val="20"/>
          <w:szCs w:val="20"/>
        </w:rPr>
        <w:t>; e</w:t>
      </w:r>
      <w:r w:rsidR="00173CDC" w:rsidRPr="00C02E1D">
        <w:rPr>
          <w:rFonts w:ascii="Verdana" w:hAnsi="Verdana"/>
          <w:sz w:val="20"/>
          <w:szCs w:val="20"/>
        </w:rPr>
        <w:t xml:space="preserve"> indicó que </w:t>
      </w:r>
      <w:r w:rsidR="00FE7D17" w:rsidRPr="00C02E1D">
        <w:rPr>
          <w:rFonts w:ascii="Verdana" w:hAnsi="Verdana"/>
          <w:sz w:val="20"/>
          <w:szCs w:val="20"/>
        </w:rPr>
        <w:t>si bien el Reglamento de la Corte no establec</w:t>
      </w:r>
      <w:r w:rsidR="00173CDC" w:rsidRPr="00C02E1D">
        <w:rPr>
          <w:rFonts w:ascii="Verdana" w:hAnsi="Verdana"/>
          <w:sz w:val="20"/>
          <w:szCs w:val="20"/>
        </w:rPr>
        <w:t xml:space="preserve">ía </w:t>
      </w:r>
      <w:r w:rsidR="00FE7D17" w:rsidRPr="00C02E1D">
        <w:rPr>
          <w:rFonts w:ascii="Verdana" w:hAnsi="Verdana"/>
          <w:sz w:val="20"/>
          <w:szCs w:val="20"/>
        </w:rPr>
        <w:t xml:space="preserve">la falta de formación de la persona ofrecida como perito como causal de recusación, la </w:t>
      </w:r>
      <w:r w:rsidR="00173CDC" w:rsidRPr="00C02E1D">
        <w:rPr>
          <w:rFonts w:ascii="Verdana" w:hAnsi="Verdana"/>
          <w:sz w:val="20"/>
          <w:szCs w:val="20"/>
        </w:rPr>
        <w:t>Corte debía</w:t>
      </w:r>
      <w:r w:rsidR="00FE7D17" w:rsidRPr="00C02E1D">
        <w:rPr>
          <w:rFonts w:ascii="Verdana" w:hAnsi="Verdana"/>
          <w:sz w:val="20"/>
          <w:szCs w:val="20"/>
        </w:rPr>
        <w:t xml:space="preserve"> rechazar </w:t>
      </w:r>
      <w:r w:rsidR="00067C25" w:rsidRPr="00C02E1D">
        <w:rPr>
          <w:rFonts w:ascii="Verdana" w:hAnsi="Verdana"/>
          <w:sz w:val="20"/>
          <w:szCs w:val="20"/>
        </w:rPr>
        <w:t>su intervención</w:t>
      </w:r>
      <w:r w:rsidR="00AC08BF">
        <w:rPr>
          <w:rFonts w:ascii="Verdana" w:hAnsi="Verdana"/>
          <w:sz w:val="20"/>
          <w:szCs w:val="20"/>
        </w:rPr>
        <w:t>.</w:t>
      </w:r>
      <w:r w:rsidR="00C312E2" w:rsidRPr="00C02E1D">
        <w:rPr>
          <w:rFonts w:ascii="Verdana" w:hAnsi="Verdana"/>
          <w:sz w:val="20"/>
          <w:szCs w:val="20"/>
        </w:rPr>
        <w:t xml:space="preserve"> </w:t>
      </w:r>
    </w:p>
    <w:p w14:paraId="535605DF" w14:textId="77777777" w:rsidR="00173CDC" w:rsidRPr="00C02E1D" w:rsidRDefault="00173CDC" w:rsidP="0030244A">
      <w:pPr>
        <w:pStyle w:val="Normal1"/>
        <w:widowControl/>
        <w:autoSpaceDE w:val="0"/>
        <w:autoSpaceDN w:val="0"/>
        <w:adjustRightInd w:val="0"/>
        <w:contextualSpacing/>
        <w:jc w:val="both"/>
        <w:rPr>
          <w:rFonts w:ascii="Verdana" w:hAnsi="Verdana"/>
          <w:sz w:val="20"/>
          <w:szCs w:val="20"/>
        </w:rPr>
      </w:pPr>
    </w:p>
    <w:p w14:paraId="262C1780" w14:textId="77777777" w:rsidR="00B71EF3" w:rsidRPr="00C02E1D" w:rsidRDefault="000911CE" w:rsidP="0030244A">
      <w:pPr>
        <w:pStyle w:val="Normal1"/>
        <w:widowControl/>
        <w:numPr>
          <w:ilvl w:val="0"/>
          <w:numId w:val="34"/>
        </w:numPr>
        <w:autoSpaceDE w:val="0"/>
        <w:autoSpaceDN w:val="0"/>
        <w:adjustRightInd w:val="0"/>
        <w:ind w:left="0" w:firstLine="0"/>
        <w:contextualSpacing/>
        <w:jc w:val="both"/>
        <w:rPr>
          <w:rFonts w:ascii="Verdana" w:hAnsi="Verdana"/>
          <w:sz w:val="20"/>
          <w:szCs w:val="20"/>
        </w:rPr>
      </w:pPr>
      <w:r w:rsidRPr="00C02E1D">
        <w:rPr>
          <w:rFonts w:ascii="Verdana" w:hAnsi="Verdana"/>
          <w:sz w:val="20"/>
          <w:szCs w:val="20"/>
        </w:rPr>
        <w:t>E</w:t>
      </w:r>
      <w:r w:rsidR="00B71EF3" w:rsidRPr="00C02E1D">
        <w:rPr>
          <w:rFonts w:ascii="Verdana" w:hAnsi="Verdana"/>
          <w:sz w:val="20"/>
          <w:szCs w:val="20"/>
        </w:rPr>
        <w:t xml:space="preserve">l </w:t>
      </w:r>
      <w:r w:rsidR="00B71EF3" w:rsidRPr="00C02E1D">
        <w:rPr>
          <w:rFonts w:ascii="Verdana" w:hAnsi="Verdana"/>
          <w:b/>
          <w:i/>
          <w:sz w:val="20"/>
          <w:szCs w:val="20"/>
        </w:rPr>
        <w:t>Presidente</w:t>
      </w:r>
      <w:r w:rsidR="00B71EF3" w:rsidRPr="00C02E1D">
        <w:rPr>
          <w:rFonts w:ascii="Verdana" w:hAnsi="Verdana"/>
          <w:sz w:val="20"/>
          <w:szCs w:val="20"/>
        </w:rPr>
        <w:t xml:space="preserve"> considera procedente la solicitud de sustitución del perito</w:t>
      </w:r>
      <w:r w:rsidRPr="00C02E1D">
        <w:rPr>
          <w:rFonts w:ascii="Verdana" w:hAnsi="Verdana"/>
          <w:sz w:val="20"/>
          <w:szCs w:val="20"/>
        </w:rPr>
        <w:t xml:space="preserve"> Pontón por el señor Jaramillo</w:t>
      </w:r>
      <w:r w:rsidR="00B71EF3" w:rsidRPr="00C02E1D">
        <w:rPr>
          <w:rFonts w:ascii="Verdana" w:hAnsi="Verdana"/>
          <w:sz w:val="20"/>
          <w:szCs w:val="20"/>
        </w:rPr>
        <w:t xml:space="preserve">, así como recibir el dictamen propuesto a efectos de que la Corte pueda valorar su pertinencia y valor probatorio oportunamente, </w:t>
      </w:r>
      <w:r w:rsidRPr="00C02E1D">
        <w:rPr>
          <w:rFonts w:ascii="Verdana" w:hAnsi="Verdana"/>
          <w:sz w:val="20"/>
          <w:szCs w:val="20"/>
        </w:rPr>
        <w:t xml:space="preserve">tomando en cuenta las eventuales observaciones de las partes sobre su peso probatorio y sin perjuicio de la decisión que al respecto corresponda sobre la controversia de fondo. </w:t>
      </w:r>
    </w:p>
    <w:p w14:paraId="048E5B07" w14:textId="77777777" w:rsidR="00B71EF3" w:rsidRPr="00C02E1D" w:rsidRDefault="00B71EF3" w:rsidP="0030244A">
      <w:pPr>
        <w:pStyle w:val="Normal1"/>
        <w:widowControl/>
        <w:autoSpaceDE w:val="0"/>
        <w:autoSpaceDN w:val="0"/>
        <w:adjustRightInd w:val="0"/>
        <w:contextualSpacing/>
        <w:jc w:val="both"/>
        <w:rPr>
          <w:rFonts w:ascii="Verdana" w:hAnsi="Verdana"/>
          <w:sz w:val="20"/>
          <w:szCs w:val="20"/>
        </w:rPr>
      </w:pPr>
    </w:p>
    <w:p w14:paraId="6446C0A1" w14:textId="77777777" w:rsidR="0037111E" w:rsidRPr="00C02E1D" w:rsidRDefault="000911CE" w:rsidP="00034B76">
      <w:pPr>
        <w:spacing w:line="240" w:lineRule="auto"/>
        <w:jc w:val="both"/>
        <w:outlineLvl w:val="0"/>
        <w:rPr>
          <w:rFonts w:ascii="Verdana" w:hAnsi="Verdana"/>
          <w:b/>
          <w:i/>
          <w:sz w:val="20"/>
          <w:szCs w:val="20"/>
          <w:lang w:val="es-CR"/>
        </w:rPr>
      </w:pPr>
      <w:r w:rsidRPr="00C02E1D">
        <w:rPr>
          <w:rFonts w:ascii="Verdana" w:hAnsi="Verdana"/>
          <w:b/>
          <w:i/>
          <w:sz w:val="20"/>
          <w:szCs w:val="20"/>
          <w:lang w:val="es-CR"/>
        </w:rPr>
        <w:t>D</w:t>
      </w:r>
      <w:r w:rsidR="00FE69C6" w:rsidRPr="00C02E1D">
        <w:rPr>
          <w:rFonts w:ascii="Verdana" w:hAnsi="Verdana"/>
          <w:b/>
          <w:i/>
          <w:sz w:val="20"/>
          <w:szCs w:val="20"/>
          <w:lang w:val="es-CR"/>
        </w:rPr>
        <w:t>)</w:t>
      </w:r>
      <w:r w:rsidR="00FE69C6" w:rsidRPr="00C02E1D">
        <w:rPr>
          <w:rFonts w:ascii="Verdana" w:hAnsi="Verdana"/>
          <w:b/>
          <w:i/>
          <w:sz w:val="20"/>
          <w:szCs w:val="20"/>
          <w:lang w:val="es-CR"/>
        </w:rPr>
        <w:tab/>
      </w:r>
      <w:r w:rsidR="0037111E" w:rsidRPr="00C02E1D">
        <w:rPr>
          <w:rFonts w:ascii="Verdana" w:hAnsi="Verdana"/>
          <w:b/>
          <w:i/>
          <w:sz w:val="20"/>
          <w:szCs w:val="20"/>
          <w:lang w:val="es-CR"/>
        </w:rPr>
        <w:t>Aplicación del Fondo de Asistencia Legal de Víctimas ante la Corte</w:t>
      </w:r>
    </w:p>
    <w:p w14:paraId="0958DD53" w14:textId="77777777" w:rsidR="00FE69C6" w:rsidRPr="00C02E1D" w:rsidRDefault="00DD6A96" w:rsidP="00C836DA">
      <w:pPr>
        <w:pStyle w:val="Normal1"/>
        <w:numPr>
          <w:ilvl w:val="0"/>
          <w:numId w:val="34"/>
        </w:numPr>
        <w:ind w:left="0" w:firstLine="0"/>
        <w:contextualSpacing/>
        <w:jc w:val="both"/>
        <w:rPr>
          <w:rFonts w:ascii="Verdana" w:hAnsi="Verdana"/>
          <w:sz w:val="20"/>
          <w:szCs w:val="20"/>
        </w:rPr>
      </w:pPr>
      <w:r w:rsidRPr="00C02E1D">
        <w:rPr>
          <w:rFonts w:ascii="Verdana" w:hAnsi="Verdana"/>
          <w:sz w:val="20"/>
          <w:szCs w:val="20"/>
        </w:rPr>
        <w:t xml:space="preserve">De conformidad con </w:t>
      </w:r>
      <w:r w:rsidR="001D14B1" w:rsidRPr="00C02E1D">
        <w:rPr>
          <w:rFonts w:ascii="Verdana" w:hAnsi="Verdana"/>
          <w:sz w:val="20"/>
          <w:szCs w:val="20"/>
        </w:rPr>
        <w:t xml:space="preserve">lo instruido por </w:t>
      </w:r>
      <w:r w:rsidRPr="00C02E1D">
        <w:rPr>
          <w:rFonts w:ascii="Verdana" w:hAnsi="Verdana"/>
          <w:sz w:val="20"/>
          <w:szCs w:val="20"/>
        </w:rPr>
        <w:t>e</w:t>
      </w:r>
      <w:r w:rsidR="001D14B1" w:rsidRPr="00C02E1D">
        <w:rPr>
          <w:rFonts w:ascii="Verdana" w:hAnsi="Verdana"/>
          <w:sz w:val="20"/>
          <w:szCs w:val="20"/>
        </w:rPr>
        <w:t>sta</w:t>
      </w:r>
      <w:r w:rsidRPr="00C02E1D">
        <w:rPr>
          <w:rFonts w:ascii="Verdana" w:hAnsi="Verdana"/>
          <w:sz w:val="20"/>
          <w:szCs w:val="20"/>
        </w:rPr>
        <w:t xml:space="preserve"> Presiden</w:t>
      </w:r>
      <w:r w:rsidR="001D14B1" w:rsidRPr="00C02E1D">
        <w:rPr>
          <w:rFonts w:ascii="Verdana" w:hAnsi="Verdana"/>
          <w:sz w:val="20"/>
          <w:szCs w:val="20"/>
        </w:rPr>
        <w:t xml:space="preserve">cia en relación con la aplicación del Fondo de Asistencia Legal en este caso, comunicado en nota de Secretaría de 31 de octubre de 2018, en esta oportunidad se dispone que </w:t>
      </w:r>
      <w:r w:rsidRPr="00C02E1D">
        <w:rPr>
          <w:rFonts w:ascii="Verdana" w:hAnsi="Verdana"/>
          <w:sz w:val="20"/>
          <w:szCs w:val="20"/>
        </w:rPr>
        <w:t xml:space="preserve">la asistencia </w:t>
      </w:r>
      <w:r w:rsidR="000911CE" w:rsidRPr="00C02E1D">
        <w:rPr>
          <w:rFonts w:ascii="Verdana" w:hAnsi="Verdana"/>
          <w:sz w:val="20"/>
          <w:szCs w:val="20"/>
        </w:rPr>
        <w:t>económica</w:t>
      </w:r>
      <w:r w:rsidRPr="00C02E1D">
        <w:rPr>
          <w:rFonts w:ascii="Verdana" w:hAnsi="Verdana"/>
          <w:sz w:val="20"/>
          <w:szCs w:val="20"/>
        </w:rPr>
        <w:t xml:space="preserve"> </w:t>
      </w:r>
      <w:r w:rsidR="000911CE" w:rsidRPr="00C02E1D">
        <w:rPr>
          <w:rFonts w:ascii="Verdana" w:hAnsi="Verdana"/>
          <w:sz w:val="20"/>
          <w:szCs w:val="20"/>
        </w:rPr>
        <w:t>estará</w:t>
      </w:r>
      <w:r w:rsidRPr="00C02E1D">
        <w:rPr>
          <w:rFonts w:ascii="Verdana" w:hAnsi="Verdana"/>
          <w:sz w:val="20"/>
          <w:szCs w:val="20"/>
        </w:rPr>
        <w:t>́ asignada para cubrir</w:t>
      </w:r>
      <w:r w:rsidR="001D14B1" w:rsidRPr="00C02E1D">
        <w:rPr>
          <w:rFonts w:ascii="Verdana" w:hAnsi="Verdana"/>
          <w:sz w:val="20"/>
          <w:szCs w:val="20"/>
        </w:rPr>
        <w:t xml:space="preserve"> </w:t>
      </w:r>
      <w:r w:rsidR="00DE5AC7" w:rsidRPr="00C02E1D">
        <w:rPr>
          <w:rFonts w:ascii="Verdana" w:hAnsi="Verdana"/>
          <w:sz w:val="20"/>
          <w:szCs w:val="20"/>
        </w:rPr>
        <w:t>los costos que generen la rendición de las declaraciones</w:t>
      </w:r>
      <w:r w:rsidR="00F83729" w:rsidRPr="00C02E1D">
        <w:rPr>
          <w:rFonts w:ascii="Verdana" w:hAnsi="Verdana"/>
          <w:sz w:val="20"/>
          <w:szCs w:val="20"/>
        </w:rPr>
        <w:t xml:space="preserve"> </w:t>
      </w:r>
      <w:r w:rsidR="00C814A9" w:rsidRPr="00C02E1D">
        <w:rPr>
          <w:rFonts w:ascii="Verdana" w:hAnsi="Verdana"/>
          <w:sz w:val="20"/>
          <w:szCs w:val="20"/>
        </w:rPr>
        <w:t>de</w:t>
      </w:r>
      <w:r w:rsidR="001D14B1" w:rsidRPr="00C02E1D">
        <w:rPr>
          <w:rFonts w:ascii="Verdana" w:hAnsi="Verdana"/>
          <w:sz w:val="20"/>
          <w:szCs w:val="20"/>
        </w:rPr>
        <w:t xml:space="preserve">l señor Mario Montesinos Mejía y </w:t>
      </w:r>
      <w:r w:rsidR="000911CE" w:rsidRPr="00C02E1D">
        <w:rPr>
          <w:rFonts w:ascii="Verdana" w:hAnsi="Verdana"/>
          <w:sz w:val="20"/>
          <w:szCs w:val="20"/>
        </w:rPr>
        <w:t xml:space="preserve">de la señora </w:t>
      </w:r>
      <w:r w:rsidR="001D14B1" w:rsidRPr="00C02E1D">
        <w:rPr>
          <w:rFonts w:ascii="Verdana" w:hAnsi="Verdana"/>
          <w:sz w:val="20"/>
          <w:szCs w:val="20"/>
        </w:rPr>
        <w:t>Marcia González Rubio</w:t>
      </w:r>
      <w:r w:rsidR="00DE5AC7" w:rsidRPr="00C02E1D">
        <w:rPr>
          <w:rFonts w:ascii="Verdana" w:hAnsi="Verdana"/>
          <w:sz w:val="20"/>
          <w:szCs w:val="20"/>
        </w:rPr>
        <w:t>,</w:t>
      </w:r>
      <w:r w:rsidR="00F91B92" w:rsidRPr="00C02E1D">
        <w:rPr>
          <w:rFonts w:ascii="Verdana" w:hAnsi="Verdana"/>
          <w:sz w:val="20"/>
          <w:szCs w:val="20"/>
        </w:rPr>
        <w:t xml:space="preserve"> propuest</w:t>
      </w:r>
      <w:r w:rsidR="001D14B1" w:rsidRPr="00C02E1D">
        <w:rPr>
          <w:rFonts w:ascii="Verdana" w:hAnsi="Verdana"/>
          <w:sz w:val="20"/>
          <w:szCs w:val="20"/>
        </w:rPr>
        <w:t>a</w:t>
      </w:r>
      <w:r w:rsidR="00F91B92" w:rsidRPr="00C02E1D">
        <w:rPr>
          <w:rFonts w:ascii="Verdana" w:hAnsi="Verdana"/>
          <w:sz w:val="20"/>
          <w:szCs w:val="20"/>
        </w:rPr>
        <w:t>s por</w:t>
      </w:r>
      <w:r w:rsidR="001D14B1" w:rsidRPr="00C02E1D">
        <w:rPr>
          <w:rFonts w:ascii="Verdana" w:hAnsi="Verdana"/>
          <w:sz w:val="20"/>
          <w:szCs w:val="20"/>
        </w:rPr>
        <w:t xml:space="preserve"> el representante.</w:t>
      </w:r>
      <w:r w:rsidR="00F91B92" w:rsidRPr="00C02E1D">
        <w:rPr>
          <w:rFonts w:ascii="Verdana" w:hAnsi="Verdana"/>
          <w:sz w:val="20"/>
          <w:szCs w:val="20"/>
        </w:rPr>
        <w:t xml:space="preserve"> </w:t>
      </w:r>
    </w:p>
    <w:p w14:paraId="312F5DCB" w14:textId="77777777" w:rsidR="00FE69C6" w:rsidRPr="00C02E1D" w:rsidRDefault="00FE69C6" w:rsidP="0030244A">
      <w:pPr>
        <w:pStyle w:val="Normal1"/>
        <w:contextualSpacing/>
        <w:jc w:val="both"/>
        <w:rPr>
          <w:rFonts w:ascii="Verdana" w:hAnsi="Verdana"/>
          <w:sz w:val="20"/>
          <w:szCs w:val="20"/>
        </w:rPr>
      </w:pPr>
    </w:p>
    <w:p w14:paraId="012E07C5" w14:textId="77777777" w:rsidR="000911CE" w:rsidRPr="00C02E1D" w:rsidRDefault="000911CE" w:rsidP="00C836DA">
      <w:pPr>
        <w:pStyle w:val="Normal1"/>
        <w:numPr>
          <w:ilvl w:val="0"/>
          <w:numId w:val="34"/>
        </w:numPr>
        <w:ind w:left="0" w:firstLine="0"/>
        <w:contextualSpacing/>
        <w:jc w:val="both"/>
        <w:rPr>
          <w:rFonts w:ascii="Verdana" w:hAnsi="Verdana"/>
          <w:sz w:val="20"/>
          <w:szCs w:val="20"/>
        </w:rPr>
      </w:pPr>
      <w:r w:rsidRPr="00C02E1D">
        <w:rPr>
          <w:rFonts w:ascii="Verdana" w:hAnsi="Verdana"/>
          <w:sz w:val="20"/>
          <w:szCs w:val="20"/>
        </w:rPr>
        <w:t xml:space="preserve">Al respecto, la Presidencia dispone que la asistencia económica estará asignada para cubrir los gastos de viaje y estadía necesarios para que la </w:t>
      </w:r>
      <w:r w:rsidR="00FC5437" w:rsidRPr="00C02E1D">
        <w:rPr>
          <w:rFonts w:ascii="Verdana" w:hAnsi="Verdana"/>
          <w:sz w:val="20"/>
          <w:szCs w:val="20"/>
        </w:rPr>
        <w:t xml:space="preserve">testigo Marcia González Rubio </w:t>
      </w:r>
      <w:r w:rsidRPr="00C02E1D">
        <w:rPr>
          <w:rFonts w:ascii="Verdana" w:hAnsi="Verdana"/>
          <w:sz w:val="20"/>
          <w:szCs w:val="20"/>
        </w:rPr>
        <w:t xml:space="preserve">comparezca ante el Tribunal a rendir la respectiva declaración en la audiencia pública que se celebrará en el presente caso. Adicionalmente, esta Presidencia determina que los gastos razonables de formalización y envío del affidávit </w:t>
      </w:r>
      <w:r w:rsidR="00FC5437" w:rsidRPr="00C02E1D">
        <w:rPr>
          <w:rFonts w:ascii="Verdana" w:hAnsi="Verdana"/>
          <w:sz w:val="20"/>
          <w:szCs w:val="20"/>
        </w:rPr>
        <w:t xml:space="preserve">de la presunta víctima Mario Montesinos Mejía </w:t>
      </w:r>
      <w:r w:rsidRPr="00C02E1D">
        <w:rPr>
          <w:rFonts w:ascii="Verdana" w:hAnsi="Verdana"/>
          <w:sz w:val="20"/>
          <w:szCs w:val="20"/>
        </w:rPr>
        <w:t>(</w:t>
      </w:r>
      <w:r w:rsidRPr="001E265F">
        <w:rPr>
          <w:rFonts w:ascii="Verdana" w:hAnsi="Verdana"/>
          <w:i/>
          <w:sz w:val="20"/>
          <w:szCs w:val="20"/>
        </w:rPr>
        <w:t>infra</w:t>
      </w:r>
      <w:r w:rsidRPr="00C02E1D">
        <w:rPr>
          <w:rFonts w:ascii="Verdana" w:hAnsi="Verdana"/>
          <w:sz w:val="20"/>
          <w:szCs w:val="20"/>
        </w:rPr>
        <w:t xml:space="preserve"> punto resolutivo </w:t>
      </w:r>
      <w:r w:rsidR="001E265F">
        <w:rPr>
          <w:rFonts w:ascii="Verdana" w:hAnsi="Verdana"/>
          <w:sz w:val="20"/>
          <w:szCs w:val="20"/>
        </w:rPr>
        <w:t>4</w:t>
      </w:r>
      <w:r w:rsidRPr="00C02E1D">
        <w:rPr>
          <w:rFonts w:ascii="Verdana" w:hAnsi="Verdana"/>
          <w:sz w:val="20"/>
          <w:szCs w:val="20"/>
        </w:rPr>
        <w:t>), podrá ser cubiert</w:t>
      </w:r>
      <w:r w:rsidR="001D14E0" w:rsidRPr="00C02E1D">
        <w:rPr>
          <w:rFonts w:ascii="Verdana" w:hAnsi="Verdana"/>
          <w:sz w:val="20"/>
          <w:szCs w:val="20"/>
        </w:rPr>
        <w:t>o</w:t>
      </w:r>
      <w:r w:rsidRPr="00C02E1D">
        <w:rPr>
          <w:rFonts w:ascii="Verdana" w:hAnsi="Verdana"/>
          <w:sz w:val="20"/>
          <w:szCs w:val="20"/>
        </w:rPr>
        <w:t xml:space="preserve"> con recursos del Fondo de Asistencia Legal de Víctimas. Los representantes deberán remitir </w:t>
      </w:r>
      <w:r w:rsidR="001D14E0" w:rsidRPr="00C02E1D">
        <w:rPr>
          <w:rFonts w:ascii="Verdana" w:hAnsi="Verdana"/>
          <w:sz w:val="20"/>
          <w:szCs w:val="20"/>
        </w:rPr>
        <w:t xml:space="preserve">a la Corte </w:t>
      </w:r>
      <w:r w:rsidRPr="00C02E1D">
        <w:rPr>
          <w:rFonts w:ascii="Verdana" w:hAnsi="Verdana"/>
          <w:sz w:val="20"/>
          <w:szCs w:val="20"/>
        </w:rPr>
        <w:t xml:space="preserve">la cotización del costo de la formalización de la </w:t>
      </w:r>
      <w:r w:rsidR="001D14E0" w:rsidRPr="00C02E1D">
        <w:rPr>
          <w:rFonts w:ascii="Verdana" w:hAnsi="Verdana"/>
          <w:sz w:val="20"/>
          <w:szCs w:val="20"/>
        </w:rPr>
        <w:t xml:space="preserve">declaración </w:t>
      </w:r>
      <w:r w:rsidRPr="00C02E1D">
        <w:rPr>
          <w:rFonts w:ascii="Verdana" w:hAnsi="Verdana"/>
          <w:sz w:val="20"/>
          <w:szCs w:val="20"/>
        </w:rPr>
        <w:t>jurada en el país de residencia de</w:t>
      </w:r>
      <w:r w:rsidR="001D14E0" w:rsidRPr="00C02E1D">
        <w:rPr>
          <w:rFonts w:ascii="Verdana" w:hAnsi="Verdana"/>
          <w:sz w:val="20"/>
          <w:szCs w:val="20"/>
        </w:rPr>
        <w:t xml:space="preserve"> </w:t>
      </w:r>
      <w:r w:rsidRPr="00C02E1D">
        <w:rPr>
          <w:rFonts w:ascii="Verdana" w:hAnsi="Verdana"/>
          <w:sz w:val="20"/>
          <w:szCs w:val="20"/>
        </w:rPr>
        <w:t>l</w:t>
      </w:r>
      <w:r w:rsidR="001D14E0" w:rsidRPr="00C02E1D">
        <w:rPr>
          <w:rFonts w:ascii="Verdana" w:hAnsi="Verdana"/>
          <w:sz w:val="20"/>
          <w:szCs w:val="20"/>
        </w:rPr>
        <w:t>a</w:t>
      </w:r>
      <w:r w:rsidRPr="00C02E1D">
        <w:rPr>
          <w:rFonts w:ascii="Verdana" w:hAnsi="Verdana"/>
          <w:sz w:val="20"/>
          <w:szCs w:val="20"/>
        </w:rPr>
        <w:t xml:space="preserve"> declarante y de su envío, en el plazo establecido en la parte resolutiva de la presente Resolución (</w:t>
      </w:r>
      <w:r w:rsidRPr="00C836DA">
        <w:rPr>
          <w:rFonts w:ascii="Verdana" w:hAnsi="Verdana"/>
          <w:i/>
          <w:sz w:val="20"/>
          <w:szCs w:val="20"/>
        </w:rPr>
        <w:t>infra</w:t>
      </w:r>
      <w:r w:rsidRPr="00C02E1D">
        <w:rPr>
          <w:rFonts w:ascii="Verdana" w:hAnsi="Verdana"/>
          <w:sz w:val="20"/>
          <w:szCs w:val="20"/>
        </w:rPr>
        <w:t xml:space="preserve"> punto resolutivo </w:t>
      </w:r>
      <w:r w:rsidR="001E265F">
        <w:rPr>
          <w:rFonts w:ascii="Verdana" w:hAnsi="Verdana"/>
          <w:sz w:val="20"/>
          <w:szCs w:val="20"/>
        </w:rPr>
        <w:t>6</w:t>
      </w:r>
      <w:r w:rsidRPr="00C02E1D">
        <w:rPr>
          <w:rFonts w:ascii="Verdana" w:hAnsi="Verdana"/>
          <w:sz w:val="20"/>
          <w:szCs w:val="20"/>
        </w:rPr>
        <w:t>).</w:t>
      </w:r>
    </w:p>
    <w:p w14:paraId="5DECCDEE" w14:textId="77777777" w:rsidR="000911CE" w:rsidRPr="00C02E1D" w:rsidRDefault="000911CE" w:rsidP="0030244A">
      <w:pPr>
        <w:pStyle w:val="Normal1"/>
        <w:contextualSpacing/>
        <w:jc w:val="both"/>
        <w:rPr>
          <w:rFonts w:ascii="Verdana" w:hAnsi="Verdana"/>
          <w:sz w:val="20"/>
          <w:szCs w:val="20"/>
        </w:rPr>
      </w:pPr>
    </w:p>
    <w:p w14:paraId="60A51A99" w14:textId="77777777" w:rsidR="000911CE" w:rsidRPr="00C02E1D" w:rsidRDefault="000911CE" w:rsidP="00C836DA">
      <w:pPr>
        <w:pStyle w:val="Normal1"/>
        <w:numPr>
          <w:ilvl w:val="0"/>
          <w:numId w:val="34"/>
        </w:numPr>
        <w:ind w:left="0" w:firstLine="0"/>
        <w:contextualSpacing/>
        <w:jc w:val="both"/>
        <w:rPr>
          <w:rFonts w:ascii="Verdana" w:hAnsi="Verdana"/>
          <w:sz w:val="20"/>
          <w:szCs w:val="20"/>
        </w:rPr>
      </w:pPr>
      <w:r w:rsidRPr="00C02E1D">
        <w:rPr>
          <w:rFonts w:ascii="Verdana" w:hAnsi="Verdana"/>
          <w:sz w:val="20"/>
          <w:szCs w:val="20"/>
        </w:rPr>
        <w:t xml:space="preserve">La Corte realizará las gestiones pertinentes y necesarias para cubrir los costos de traslado, alojamiento y manutención de la persona compareciente con recursos provenientes del Fondo de Asistencia. </w:t>
      </w:r>
    </w:p>
    <w:p w14:paraId="38FA3D8B" w14:textId="77777777" w:rsidR="000911CE" w:rsidRPr="00C02E1D" w:rsidRDefault="000911CE" w:rsidP="0030244A">
      <w:pPr>
        <w:pStyle w:val="Normal1"/>
        <w:contextualSpacing/>
        <w:jc w:val="both"/>
        <w:rPr>
          <w:rFonts w:ascii="Verdana" w:hAnsi="Verdana"/>
          <w:sz w:val="20"/>
          <w:szCs w:val="20"/>
        </w:rPr>
      </w:pPr>
    </w:p>
    <w:p w14:paraId="7317CECA" w14:textId="77777777" w:rsidR="000911CE" w:rsidRPr="00C02E1D" w:rsidRDefault="000911CE" w:rsidP="00C836DA">
      <w:pPr>
        <w:pStyle w:val="Normal1"/>
        <w:numPr>
          <w:ilvl w:val="0"/>
          <w:numId w:val="34"/>
        </w:numPr>
        <w:ind w:left="0" w:firstLine="0"/>
        <w:contextualSpacing/>
        <w:jc w:val="both"/>
        <w:rPr>
          <w:rFonts w:ascii="Verdana" w:hAnsi="Verdana"/>
          <w:sz w:val="20"/>
          <w:szCs w:val="20"/>
        </w:rPr>
      </w:pPr>
      <w:r w:rsidRPr="00C02E1D">
        <w:rPr>
          <w:rFonts w:ascii="Verdana" w:hAnsi="Verdana"/>
          <w:sz w:val="20"/>
          <w:szCs w:val="20"/>
        </w:rPr>
        <w:t>Según lo requerido por el artículo 4 del Reglamento de la Corte sobre el Funcionamiento del Fondo de Asistencia, se dispone que la Secretaría abra un expediente de gastos a los fines de llevar la contabilidad y en el cual se documentará cada una de las erogaciones que se realicen en relación con el referido Fondo.</w:t>
      </w:r>
    </w:p>
    <w:p w14:paraId="73651EA8" w14:textId="77777777" w:rsidR="000911CE" w:rsidRPr="00C02E1D" w:rsidRDefault="000911CE" w:rsidP="0030244A">
      <w:pPr>
        <w:pStyle w:val="Normal1"/>
        <w:contextualSpacing/>
        <w:jc w:val="both"/>
        <w:rPr>
          <w:rFonts w:ascii="Verdana" w:hAnsi="Verdana"/>
          <w:sz w:val="20"/>
          <w:szCs w:val="20"/>
        </w:rPr>
      </w:pPr>
    </w:p>
    <w:p w14:paraId="0955F5DE" w14:textId="77777777" w:rsidR="000911CE" w:rsidRPr="00C02E1D" w:rsidRDefault="000911CE" w:rsidP="00C836DA">
      <w:pPr>
        <w:pStyle w:val="Normal1"/>
        <w:numPr>
          <w:ilvl w:val="0"/>
          <w:numId w:val="34"/>
        </w:numPr>
        <w:ind w:left="0" w:firstLine="0"/>
        <w:contextualSpacing/>
        <w:jc w:val="both"/>
        <w:rPr>
          <w:rFonts w:ascii="Verdana" w:hAnsi="Verdana"/>
          <w:sz w:val="20"/>
          <w:szCs w:val="20"/>
        </w:rPr>
      </w:pPr>
      <w:r w:rsidRPr="00C02E1D">
        <w:rPr>
          <w:rFonts w:ascii="Verdana" w:hAnsi="Verdana"/>
          <w:sz w:val="20"/>
          <w:szCs w:val="20"/>
        </w:rPr>
        <w:t>Finalmente, la Presidencia recuerda que, según el artículo 5 del Reglamento del Fondo, se informará oportunamente al Estado las erogaciones realizadas en aplicación del Fondo de Asistencia Legal de Víctimas, para que presente sus observaciones, si así lo desea, dentro del plazo que se establezca al efecto.</w:t>
      </w:r>
    </w:p>
    <w:p w14:paraId="41C5E93D" w14:textId="77777777" w:rsidR="000911CE" w:rsidRPr="00C02E1D" w:rsidRDefault="000911CE" w:rsidP="0030244A">
      <w:pPr>
        <w:pStyle w:val="Normal1"/>
        <w:contextualSpacing/>
        <w:jc w:val="both"/>
        <w:rPr>
          <w:rFonts w:ascii="Verdana" w:hAnsi="Verdana"/>
          <w:sz w:val="20"/>
          <w:szCs w:val="20"/>
        </w:rPr>
      </w:pPr>
    </w:p>
    <w:p w14:paraId="6091ADB6" w14:textId="77777777" w:rsidR="00197CC2" w:rsidRPr="00C02E1D" w:rsidRDefault="00197CC2" w:rsidP="00034B76">
      <w:pPr>
        <w:spacing w:line="240" w:lineRule="auto"/>
        <w:outlineLvl w:val="0"/>
        <w:rPr>
          <w:rFonts w:ascii="Verdana" w:hAnsi="Verdana"/>
          <w:b/>
          <w:sz w:val="20"/>
          <w:szCs w:val="20"/>
          <w:lang w:val="es-CO"/>
        </w:rPr>
      </w:pPr>
      <w:r w:rsidRPr="00C02E1D">
        <w:rPr>
          <w:rFonts w:ascii="Verdana" w:hAnsi="Verdana"/>
          <w:b/>
          <w:sz w:val="20"/>
          <w:szCs w:val="20"/>
          <w:lang w:val="es-CO"/>
        </w:rPr>
        <w:t>POR TANTO:</w:t>
      </w:r>
    </w:p>
    <w:p w14:paraId="4FC2162D" w14:textId="77777777" w:rsidR="00197CC2" w:rsidRPr="00C02E1D" w:rsidRDefault="00197CC2" w:rsidP="00034B76">
      <w:pPr>
        <w:spacing w:line="240" w:lineRule="auto"/>
        <w:jc w:val="both"/>
        <w:outlineLvl w:val="0"/>
        <w:rPr>
          <w:rFonts w:ascii="Verdana" w:hAnsi="Verdana"/>
          <w:b/>
          <w:sz w:val="20"/>
          <w:szCs w:val="20"/>
          <w:lang w:val="es-CO"/>
        </w:rPr>
      </w:pPr>
      <w:r w:rsidRPr="00C02E1D">
        <w:rPr>
          <w:rFonts w:ascii="Verdana" w:hAnsi="Verdana"/>
          <w:b/>
          <w:sz w:val="20"/>
          <w:szCs w:val="20"/>
          <w:lang w:val="es-CO"/>
        </w:rPr>
        <w:t>EL PRESIDENTE DE LA CORTE INTERAMERICANA DE DERECHOS HUMANOS,</w:t>
      </w:r>
    </w:p>
    <w:p w14:paraId="63D9AE3D" w14:textId="77777777" w:rsidR="00197CC2" w:rsidRPr="00C02E1D" w:rsidRDefault="009A4004" w:rsidP="0030244A">
      <w:pPr>
        <w:spacing w:line="240" w:lineRule="auto"/>
        <w:jc w:val="both"/>
        <w:rPr>
          <w:rFonts w:ascii="Verdana" w:hAnsi="Verdana"/>
          <w:sz w:val="20"/>
          <w:szCs w:val="20"/>
          <w:lang w:val="es-CO"/>
        </w:rPr>
      </w:pPr>
      <w:r>
        <w:rPr>
          <w:rFonts w:ascii="Verdana" w:hAnsi="Verdana"/>
          <w:sz w:val="20"/>
          <w:szCs w:val="20"/>
          <w:lang w:val="es-CO"/>
        </w:rPr>
        <w:t>D</w:t>
      </w:r>
      <w:r w:rsidR="00197CC2" w:rsidRPr="00C02E1D">
        <w:rPr>
          <w:rFonts w:ascii="Verdana" w:hAnsi="Verdana"/>
          <w:sz w:val="20"/>
          <w:szCs w:val="20"/>
          <w:lang w:val="es-CO"/>
        </w:rPr>
        <w:t xml:space="preserve">e conformidad con el artículo 25.2 del Estatuto de la Corte y con los artículos 4, 15.1, 31.2, 35.1, </w:t>
      </w:r>
      <w:r w:rsidR="00EB31CA" w:rsidRPr="00C02E1D">
        <w:rPr>
          <w:rFonts w:ascii="Verdana" w:hAnsi="Verdana"/>
          <w:sz w:val="20"/>
          <w:szCs w:val="20"/>
          <w:lang w:val="es-CO"/>
        </w:rPr>
        <w:t xml:space="preserve">40.2, 41.1, </w:t>
      </w:r>
      <w:r w:rsidR="00E4630E" w:rsidRPr="00C02E1D">
        <w:rPr>
          <w:rFonts w:ascii="Verdana" w:hAnsi="Verdana"/>
          <w:sz w:val="20"/>
          <w:szCs w:val="20"/>
          <w:lang w:val="es-CO"/>
        </w:rPr>
        <w:t xml:space="preserve">49, </w:t>
      </w:r>
      <w:r w:rsidR="00EB31CA" w:rsidRPr="00C02E1D">
        <w:rPr>
          <w:rFonts w:ascii="Verdana" w:hAnsi="Verdana"/>
          <w:sz w:val="20"/>
          <w:szCs w:val="20"/>
          <w:lang w:val="es-CO"/>
        </w:rPr>
        <w:t>50,</w:t>
      </w:r>
      <w:r w:rsidR="00197CC2" w:rsidRPr="00C02E1D">
        <w:rPr>
          <w:rFonts w:ascii="Verdana" w:hAnsi="Verdana"/>
          <w:sz w:val="20"/>
          <w:szCs w:val="20"/>
          <w:lang w:val="es-CO"/>
        </w:rPr>
        <w:t xml:space="preserve"> 53, 54, 56</w:t>
      </w:r>
      <w:r w:rsidR="00E4630E" w:rsidRPr="00C02E1D">
        <w:rPr>
          <w:rFonts w:ascii="Verdana" w:hAnsi="Verdana"/>
          <w:sz w:val="20"/>
          <w:szCs w:val="20"/>
          <w:lang w:val="es-CO"/>
        </w:rPr>
        <w:t>, 57, 58</w:t>
      </w:r>
      <w:r w:rsidR="00197CC2" w:rsidRPr="00C02E1D">
        <w:rPr>
          <w:rFonts w:ascii="Verdana" w:hAnsi="Verdana"/>
          <w:sz w:val="20"/>
          <w:szCs w:val="20"/>
          <w:lang w:val="es-CO"/>
        </w:rPr>
        <w:t xml:space="preserve"> y 60 del Reglamento</w:t>
      </w:r>
      <w:r w:rsidR="00D80B87" w:rsidRPr="00C02E1D">
        <w:rPr>
          <w:rFonts w:ascii="Verdana" w:hAnsi="Verdana"/>
          <w:sz w:val="20"/>
          <w:szCs w:val="20"/>
          <w:lang w:val="es-CO"/>
        </w:rPr>
        <w:t xml:space="preserve"> y </w:t>
      </w:r>
      <w:r w:rsidR="00FE1653" w:rsidRPr="00C02E1D">
        <w:rPr>
          <w:rFonts w:ascii="Verdana" w:hAnsi="Verdana"/>
          <w:sz w:val="20"/>
          <w:szCs w:val="20"/>
          <w:lang w:val="es-CO"/>
        </w:rPr>
        <w:t xml:space="preserve">el </w:t>
      </w:r>
      <w:r w:rsidR="00D80B87" w:rsidRPr="00C02E1D">
        <w:rPr>
          <w:rFonts w:ascii="Verdana" w:hAnsi="Verdana"/>
          <w:sz w:val="20"/>
          <w:szCs w:val="20"/>
          <w:lang w:val="es-CO"/>
        </w:rPr>
        <w:t>Reglamento sobre el Fondo de Asistencia Legal,</w:t>
      </w:r>
    </w:p>
    <w:p w14:paraId="30FE3799" w14:textId="77777777" w:rsidR="00197CC2" w:rsidRPr="00C02E1D" w:rsidRDefault="00197CC2" w:rsidP="00034B76">
      <w:pPr>
        <w:spacing w:line="240" w:lineRule="auto"/>
        <w:jc w:val="both"/>
        <w:outlineLvl w:val="0"/>
        <w:rPr>
          <w:rFonts w:ascii="Verdana" w:hAnsi="Verdana"/>
          <w:sz w:val="20"/>
          <w:szCs w:val="20"/>
          <w:lang w:val="es-CO"/>
        </w:rPr>
      </w:pPr>
      <w:r w:rsidRPr="00C02E1D">
        <w:rPr>
          <w:rFonts w:ascii="Verdana" w:hAnsi="Verdana"/>
          <w:b/>
          <w:sz w:val="20"/>
          <w:szCs w:val="20"/>
          <w:lang w:val="es-CO"/>
        </w:rPr>
        <w:t>RESUELVE:</w:t>
      </w:r>
    </w:p>
    <w:p w14:paraId="23A7AF77" w14:textId="019C16B6" w:rsidR="00BF7AE0" w:rsidRPr="00C02E1D" w:rsidRDefault="00BF7AE0" w:rsidP="0030244A">
      <w:pPr>
        <w:pStyle w:val="Prrafodelista"/>
        <w:numPr>
          <w:ilvl w:val="0"/>
          <w:numId w:val="27"/>
        </w:numPr>
        <w:spacing w:after="0" w:line="240" w:lineRule="auto"/>
        <w:ind w:left="0" w:firstLine="0"/>
        <w:jc w:val="both"/>
        <w:rPr>
          <w:rFonts w:ascii="Verdana" w:hAnsi="Verdana"/>
          <w:sz w:val="20"/>
          <w:szCs w:val="20"/>
          <w:lang w:val="es-CO"/>
        </w:rPr>
      </w:pPr>
      <w:r w:rsidRPr="00C02E1D">
        <w:rPr>
          <w:rFonts w:ascii="Verdana" w:hAnsi="Verdana"/>
          <w:sz w:val="20"/>
          <w:szCs w:val="20"/>
          <w:lang w:val="es-CO"/>
        </w:rPr>
        <w:lastRenderedPageBreak/>
        <w:t xml:space="preserve">Convocar a </w:t>
      </w:r>
      <w:r w:rsidR="00732A92" w:rsidRPr="00C02E1D">
        <w:rPr>
          <w:rFonts w:ascii="Verdana" w:hAnsi="Verdana"/>
          <w:sz w:val="20"/>
          <w:szCs w:val="20"/>
          <w:lang w:val="es-CO"/>
        </w:rPr>
        <w:t>la Repú</w:t>
      </w:r>
      <w:r w:rsidR="00732A92" w:rsidRPr="00ED5121">
        <w:rPr>
          <w:rFonts w:ascii="Verdana" w:hAnsi="Verdana"/>
          <w:sz w:val="20"/>
          <w:szCs w:val="20"/>
          <w:lang w:val="es-CO"/>
        </w:rPr>
        <w:t xml:space="preserve">blica de Ecuador, a los representantes de las presuntas víctimas y </w:t>
      </w:r>
      <w:r w:rsidRPr="00ED5121">
        <w:rPr>
          <w:rFonts w:ascii="Verdana" w:hAnsi="Verdana"/>
          <w:sz w:val="20"/>
          <w:szCs w:val="20"/>
          <w:lang w:val="es-CO"/>
        </w:rPr>
        <w:t xml:space="preserve">a la Comisión Interamericana, a una audiencia pública que se celebrará </w:t>
      </w:r>
      <w:r w:rsidR="001E265F" w:rsidRPr="00ED5121">
        <w:rPr>
          <w:rFonts w:ascii="Verdana" w:hAnsi="Verdana"/>
          <w:sz w:val="20"/>
          <w:szCs w:val="20"/>
          <w:lang w:val="es-CO"/>
        </w:rPr>
        <w:t xml:space="preserve">el día </w:t>
      </w:r>
      <w:r w:rsidR="00034B76" w:rsidRPr="00ED5121">
        <w:rPr>
          <w:rFonts w:ascii="Verdana" w:hAnsi="Verdana"/>
          <w:sz w:val="20"/>
          <w:szCs w:val="20"/>
          <w:lang w:val="es-CO"/>
        </w:rPr>
        <w:t>2</w:t>
      </w:r>
      <w:r w:rsidR="00ED5121" w:rsidRPr="00ED5121">
        <w:rPr>
          <w:rFonts w:ascii="Verdana" w:hAnsi="Verdana"/>
          <w:sz w:val="20"/>
          <w:szCs w:val="20"/>
          <w:lang w:val="es-CO"/>
        </w:rPr>
        <w:t>9</w:t>
      </w:r>
      <w:r w:rsidR="001E265F" w:rsidRPr="00ED5121">
        <w:rPr>
          <w:rFonts w:ascii="Verdana" w:hAnsi="Verdana"/>
          <w:sz w:val="20"/>
          <w:szCs w:val="20"/>
          <w:lang w:val="es-CO"/>
        </w:rPr>
        <w:t xml:space="preserve"> de </w:t>
      </w:r>
      <w:r w:rsidR="00732A92" w:rsidRPr="00ED5121">
        <w:rPr>
          <w:rFonts w:ascii="Verdana" w:hAnsi="Verdana"/>
          <w:sz w:val="20"/>
          <w:szCs w:val="20"/>
          <w:lang w:val="es-CO"/>
        </w:rPr>
        <w:t>agosto</w:t>
      </w:r>
      <w:r w:rsidRPr="00ED5121">
        <w:rPr>
          <w:rFonts w:ascii="Verdana" w:hAnsi="Verdana"/>
          <w:sz w:val="20"/>
          <w:szCs w:val="20"/>
          <w:lang w:val="es-CO"/>
        </w:rPr>
        <w:t xml:space="preserve"> de 2019, a partir de las </w:t>
      </w:r>
      <w:r w:rsidR="001E1770" w:rsidRPr="00ED5121">
        <w:rPr>
          <w:rFonts w:ascii="Verdana" w:hAnsi="Verdana"/>
          <w:sz w:val="20"/>
          <w:szCs w:val="20"/>
          <w:lang w:val="es-CO"/>
        </w:rPr>
        <w:t>9</w:t>
      </w:r>
      <w:r w:rsidR="006E0870" w:rsidRPr="00ED5121">
        <w:rPr>
          <w:rFonts w:ascii="Verdana" w:hAnsi="Verdana"/>
          <w:sz w:val="20"/>
          <w:szCs w:val="20"/>
          <w:lang w:val="es-CO"/>
        </w:rPr>
        <w:t>:</w:t>
      </w:r>
      <w:r w:rsidR="001E265F" w:rsidRPr="00ED5121">
        <w:rPr>
          <w:rFonts w:ascii="Verdana" w:hAnsi="Verdana"/>
          <w:sz w:val="20"/>
          <w:szCs w:val="20"/>
          <w:lang w:val="es-CO"/>
        </w:rPr>
        <w:t>00</w:t>
      </w:r>
      <w:r w:rsidRPr="00ED5121">
        <w:rPr>
          <w:rFonts w:ascii="Verdana" w:hAnsi="Verdana"/>
          <w:sz w:val="20"/>
          <w:szCs w:val="20"/>
          <w:lang w:val="es-CO"/>
        </w:rPr>
        <w:t xml:space="preserve"> horas</w:t>
      </w:r>
      <w:r w:rsidR="00732A92" w:rsidRPr="00ED5121">
        <w:rPr>
          <w:rFonts w:ascii="Verdana" w:hAnsi="Verdana"/>
          <w:sz w:val="20"/>
          <w:szCs w:val="20"/>
          <w:lang w:val="es-CO"/>
        </w:rPr>
        <w:t xml:space="preserve">, </w:t>
      </w:r>
      <w:r w:rsidRPr="00ED5121">
        <w:rPr>
          <w:rFonts w:ascii="Verdana" w:hAnsi="Verdana"/>
          <w:sz w:val="20"/>
          <w:szCs w:val="20"/>
          <w:lang w:val="es-CO"/>
        </w:rPr>
        <w:t xml:space="preserve">durante el </w:t>
      </w:r>
      <w:r w:rsidR="00732A92" w:rsidRPr="00ED5121">
        <w:rPr>
          <w:rFonts w:ascii="Verdana" w:hAnsi="Verdana"/>
          <w:sz w:val="20"/>
          <w:szCs w:val="20"/>
          <w:lang w:val="es-CO"/>
        </w:rPr>
        <w:t>62 Período Extrao</w:t>
      </w:r>
      <w:r w:rsidRPr="00ED5121">
        <w:rPr>
          <w:rFonts w:ascii="Verdana" w:hAnsi="Verdana"/>
          <w:sz w:val="20"/>
          <w:szCs w:val="20"/>
          <w:lang w:val="es-CO"/>
        </w:rPr>
        <w:t xml:space="preserve">rdinario de Sesiones, que se llevará a cabo en </w:t>
      </w:r>
      <w:r w:rsidR="00732A92" w:rsidRPr="00ED5121">
        <w:rPr>
          <w:rFonts w:ascii="Verdana" w:hAnsi="Verdana"/>
          <w:sz w:val="20"/>
          <w:szCs w:val="20"/>
          <w:lang w:val="es-CO"/>
        </w:rPr>
        <w:t>la ci</w:t>
      </w:r>
      <w:r w:rsidR="00732A92" w:rsidRPr="001E1770">
        <w:rPr>
          <w:rFonts w:ascii="Verdana" w:hAnsi="Verdana"/>
          <w:sz w:val="20"/>
          <w:szCs w:val="20"/>
          <w:lang w:val="es-CO"/>
        </w:rPr>
        <w:t>udad de Barranquilla, Colombia.</w:t>
      </w:r>
      <w:r w:rsidRPr="001E1770">
        <w:rPr>
          <w:rFonts w:ascii="Verdana" w:hAnsi="Verdana"/>
          <w:sz w:val="20"/>
          <w:szCs w:val="20"/>
          <w:lang w:val="es-CO"/>
        </w:rPr>
        <w:t xml:space="preserve"> para recibir sus alegatos finales orales y observaciones finales or</w:t>
      </w:r>
      <w:r w:rsidRPr="00C02E1D">
        <w:rPr>
          <w:rFonts w:ascii="Verdana" w:hAnsi="Verdana"/>
          <w:sz w:val="20"/>
          <w:szCs w:val="20"/>
          <w:lang w:val="es-CO"/>
        </w:rPr>
        <w:t>ales, respectivamente, sobre las excepciones preliminares, eventuales fondo, reparaciones y costas, así como las declaraciones de las siguientes personas:</w:t>
      </w:r>
    </w:p>
    <w:p w14:paraId="73033B9F" w14:textId="77777777" w:rsidR="00FC5437" w:rsidRPr="00C02E1D" w:rsidRDefault="00FC5437" w:rsidP="00FC5437">
      <w:pPr>
        <w:pStyle w:val="Prrafodelista"/>
        <w:spacing w:after="0" w:line="240" w:lineRule="auto"/>
        <w:ind w:left="0"/>
        <w:jc w:val="both"/>
        <w:rPr>
          <w:rFonts w:ascii="Verdana" w:hAnsi="Verdana"/>
          <w:sz w:val="20"/>
          <w:szCs w:val="20"/>
          <w:lang w:val="es-CO"/>
        </w:rPr>
      </w:pPr>
    </w:p>
    <w:p w14:paraId="5E134955" w14:textId="77777777" w:rsidR="00571DCE" w:rsidRPr="00C02E1D" w:rsidRDefault="00FC5437" w:rsidP="0030244A">
      <w:pPr>
        <w:pStyle w:val="Prrafodelista"/>
        <w:numPr>
          <w:ilvl w:val="0"/>
          <w:numId w:val="31"/>
        </w:numPr>
        <w:spacing w:after="0" w:line="240" w:lineRule="auto"/>
        <w:jc w:val="both"/>
        <w:rPr>
          <w:rFonts w:ascii="Verdana" w:hAnsi="Verdana"/>
          <w:b/>
          <w:i/>
          <w:sz w:val="20"/>
          <w:szCs w:val="20"/>
          <w:lang w:val="es-CO"/>
        </w:rPr>
      </w:pPr>
      <w:r w:rsidRPr="00C02E1D">
        <w:rPr>
          <w:rFonts w:ascii="Verdana" w:hAnsi="Verdana"/>
          <w:b/>
          <w:i/>
          <w:sz w:val="20"/>
          <w:szCs w:val="20"/>
          <w:lang w:val="es-CO"/>
        </w:rPr>
        <w:t>Testigo</w:t>
      </w:r>
    </w:p>
    <w:p w14:paraId="24F12469" w14:textId="77777777" w:rsidR="00571DCE" w:rsidRPr="00C02E1D" w:rsidRDefault="00571DCE" w:rsidP="0030244A">
      <w:pPr>
        <w:pStyle w:val="Prrafodelista"/>
        <w:spacing w:after="0" w:line="240" w:lineRule="auto"/>
        <w:jc w:val="both"/>
        <w:rPr>
          <w:rFonts w:ascii="Verdana" w:hAnsi="Verdana"/>
          <w:b/>
          <w:i/>
          <w:sz w:val="20"/>
          <w:szCs w:val="20"/>
          <w:lang w:val="es-CO"/>
        </w:rPr>
      </w:pPr>
    </w:p>
    <w:p w14:paraId="520EA483" w14:textId="77777777" w:rsidR="00433551" w:rsidRPr="00C02E1D" w:rsidRDefault="00571DCE" w:rsidP="00034B76">
      <w:pPr>
        <w:pStyle w:val="Prrafodelista"/>
        <w:spacing w:line="240" w:lineRule="auto"/>
        <w:jc w:val="both"/>
        <w:outlineLvl w:val="0"/>
        <w:rPr>
          <w:rFonts w:ascii="Verdana" w:hAnsi="Verdana"/>
          <w:sz w:val="20"/>
          <w:szCs w:val="20"/>
          <w:lang w:val="es-CO"/>
        </w:rPr>
      </w:pPr>
      <w:r w:rsidRPr="00C02E1D">
        <w:rPr>
          <w:rFonts w:ascii="Verdana" w:hAnsi="Verdana"/>
          <w:i/>
          <w:sz w:val="20"/>
          <w:szCs w:val="20"/>
          <w:lang w:val="es-CO"/>
        </w:rPr>
        <w:t>P</w:t>
      </w:r>
      <w:r w:rsidR="00A56805" w:rsidRPr="00C02E1D">
        <w:rPr>
          <w:rFonts w:ascii="Verdana" w:hAnsi="Verdana"/>
          <w:i/>
          <w:sz w:val="20"/>
          <w:szCs w:val="20"/>
          <w:lang w:val="es-CO"/>
        </w:rPr>
        <w:t>ropuesta</w:t>
      </w:r>
      <w:r w:rsidR="00715DE6" w:rsidRPr="00C02E1D">
        <w:rPr>
          <w:rFonts w:ascii="Verdana" w:hAnsi="Verdana"/>
          <w:i/>
          <w:sz w:val="20"/>
          <w:szCs w:val="20"/>
          <w:lang w:val="es-CO"/>
        </w:rPr>
        <w:t xml:space="preserve"> por </w:t>
      </w:r>
      <w:r w:rsidR="00BE7BC2" w:rsidRPr="00C02E1D">
        <w:rPr>
          <w:rFonts w:ascii="Verdana" w:hAnsi="Verdana"/>
          <w:i/>
          <w:sz w:val="20"/>
          <w:szCs w:val="20"/>
          <w:lang w:val="es-CO"/>
        </w:rPr>
        <w:t>el</w:t>
      </w:r>
      <w:r w:rsidR="00715DE6" w:rsidRPr="00C02E1D">
        <w:rPr>
          <w:rFonts w:ascii="Verdana" w:hAnsi="Verdana"/>
          <w:i/>
          <w:sz w:val="20"/>
          <w:szCs w:val="20"/>
          <w:lang w:val="es-CO"/>
        </w:rPr>
        <w:t xml:space="preserve"> representante</w:t>
      </w:r>
    </w:p>
    <w:p w14:paraId="16CA23AA" w14:textId="77777777" w:rsidR="00071004" w:rsidRPr="00C02E1D" w:rsidRDefault="00071004" w:rsidP="0030244A">
      <w:pPr>
        <w:pStyle w:val="Prrafodelista"/>
        <w:spacing w:line="240" w:lineRule="auto"/>
        <w:jc w:val="both"/>
        <w:rPr>
          <w:rFonts w:ascii="Verdana" w:hAnsi="Verdana"/>
          <w:i/>
          <w:sz w:val="20"/>
          <w:szCs w:val="20"/>
          <w:lang w:val="es-CO"/>
        </w:rPr>
      </w:pPr>
    </w:p>
    <w:p w14:paraId="63C6DDB7" w14:textId="77777777" w:rsidR="00FC5437" w:rsidRPr="00C02E1D" w:rsidRDefault="00FC5437" w:rsidP="00FC5437">
      <w:pPr>
        <w:pStyle w:val="Prrafodelista"/>
        <w:numPr>
          <w:ilvl w:val="0"/>
          <w:numId w:val="29"/>
        </w:numPr>
        <w:spacing w:line="240" w:lineRule="auto"/>
        <w:jc w:val="both"/>
        <w:rPr>
          <w:rFonts w:ascii="Verdana" w:hAnsi="Verdana"/>
          <w:sz w:val="20"/>
          <w:szCs w:val="20"/>
          <w:lang w:val="es-CO"/>
        </w:rPr>
      </w:pPr>
      <w:r w:rsidRPr="00C02E1D">
        <w:rPr>
          <w:rFonts w:ascii="Verdana" w:hAnsi="Verdana"/>
          <w:sz w:val="20"/>
          <w:szCs w:val="20"/>
          <w:lang w:val="es-CO"/>
        </w:rPr>
        <w:t>Marcia González Rubio, quien declarará sobre los supuestos efectos que los hechos del caso habrían tenido en su esposo y sobre la supuesta pérdida del predio denominado “Santa Clara”.</w:t>
      </w:r>
    </w:p>
    <w:p w14:paraId="5F348EB8" w14:textId="77777777" w:rsidR="00571DCE" w:rsidRPr="00C02E1D" w:rsidRDefault="00571DCE" w:rsidP="0030244A">
      <w:pPr>
        <w:pStyle w:val="Prrafodelista"/>
        <w:spacing w:line="240" w:lineRule="auto"/>
        <w:jc w:val="both"/>
        <w:rPr>
          <w:rFonts w:ascii="Verdana" w:hAnsi="Verdana"/>
          <w:sz w:val="20"/>
          <w:szCs w:val="20"/>
          <w:lang w:val="es-CO"/>
        </w:rPr>
      </w:pPr>
    </w:p>
    <w:p w14:paraId="7E540F7E" w14:textId="77777777" w:rsidR="00571DCE" w:rsidRPr="00C02E1D" w:rsidRDefault="000644F6" w:rsidP="0030244A">
      <w:pPr>
        <w:pStyle w:val="Prrafodelista"/>
        <w:numPr>
          <w:ilvl w:val="0"/>
          <w:numId w:val="31"/>
        </w:numPr>
        <w:spacing w:after="0" w:line="240" w:lineRule="auto"/>
        <w:jc w:val="both"/>
        <w:rPr>
          <w:rFonts w:ascii="Verdana" w:hAnsi="Verdana"/>
          <w:b/>
          <w:i/>
          <w:sz w:val="20"/>
          <w:szCs w:val="20"/>
          <w:lang w:val="es-CO"/>
        </w:rPr>
      </w:pPr>
      <w:r w:rsidRPr="00C02E1D">
        <w:rPr>
          <w:rFonts w:ascii="Verdana" w:hAnsi="Verdana"/>
          <w:b/>
          <w:i/>
          <w:sz w:val="20"/>
          <w:szCs w:val="20"/>
          <w:lang w:val="es-CO"/>
        </w:rPr>
        <w:t xml:space="preserve">Perito </w:t>
      </w:r>
    </w:p>
    <w:p w14:paraId="79E34F21" w14:textId="77777777" w:rsidR="00571DCE" w:rsidRPr="00C02E1D" w:rsidRDefault="00571DCE" w:rsidP="0030244A">
      <w:pPr>
        <w:pStyle w:val="Prrafodelista"/>
        <w:spacing w:after="0" w:line="240" w:lineRule="auto"/>
        <w:jc w:val="both"/>
        <w:rPr>
          <w:rFonts w:ascii="Verdana" w:hAnsi="Verdana"/>
          <w:b/>
          <w:i/>
          <w:sz w:val="20"/>
          <w:szCs w:val="20"/>
          <w:lang w:val="es-CO"/>
        </w:rPr>
      </w:pPr>
    </w:p>
    <w:p w14:paraId="205F96A8" w14:textId="77777777" w:rsidR="003513A7" w:rsidRPr="00C02E1D" w:rsidRDefault="00071004" w:rsidP="00034B76">
      <w:pPr>
        <w:spacing w:line="240" w:lineRule="auto"/>
        <w:ind w:firstLine="709"/>
        <w:outlineLvl w:val="0"/>
        <w:rPr>
          <w:rFonts w:ascii="Verdana" w:hAnsi="Verdana"/>
          <w:i/>
          <w:sz w:val="20"/>
          <w:szCs w:val="20"/>
          <w:lang w:val="es-CO"/>
        </w:rPr>
      </w:pPr>
      <w:r w:rsidRPr="00C02E1D">
        <w:rPr>
          <w:rFonts w:ascii="Verdana" w:hAnsi="Verdana"/>
          <w:i/>
          <w:sz w:val="20"/>
          <w:szCs w:val="20"/>
          <w:lang w:val="es-CO"/>
        </w:rPr>
        <w:t>Propuesto</w:t>
      </w:r>
      <w:r w:rsidR="003513A7" w:rsidRPr="00C02E1D">
        <w:rPr>
          <w:rFonts w:ascii="Verdana" w:hAnsi="Verdana"/>
          <w:i/>
          <w:sz w:val="20"/>
          <w:szCs w:val="20"/>
          <w:lang w:val="es-CO"/>
        </w:rPr>
        <w:t xml:space="preserve"> por el Estado</w:t>
      </w:r>
    </w:p>
    <w:p w14:paraId="0E2373A4" w14:textId="77777777" w:rsidR="00F37C2E" w:rsidRPr="00C02E1D" w:rsidRDefault="00FC5437" w:rsidP="0030244A">
      <w:pPr>
        <w:pStyle w:val="Normal1"/>
        <w:widowControl/>
        <w:numPr>
          <w:ilvl w:val="0"/>
          <w:numId w:val="30"/>
        </w:numPr>
        <w:autoSpaceDE w:val="0"/>
        <w:autoSpaceDN w:val="0"/>
        <w:adjustRightInd w:val="0"/>
        <w:contextualSpacing/>
        <w:jc w:val="both"/>
        <w:rPr>
          <w:rFonts w:ascii="Verdana" w:hAnsi="Verdana"/>
          <w:sz w:val="20"/>
          <w:szCs w:val="20"/>
          <w:lang w:val="es-CO"/>
        </w:rPr>
      </w:pPr>
      <w:r w:rsidRPr="00C02E1D">
        <w:rPr>
          <w:rFonts w:ascii="Verdana" w:hAnsi="Verdana"/>
          <w:i/>
          <w:sz w:val="20"/>
          <w:szCs w:val="20"/>
          <w:lang w:val="es-CO"/>
        </w:rPr>
        <w:t>Leonardo Jaramillo</w:t>
      </w:r>
      <w:r w:rsidRPr="00C02E1D">
        <w:rPr>
          <w:rFonts w:ascii="Verdana" w:hAnsi="Verdana"/>
          <w:sz w:val="20"/>
          <w:szCs w:val="20"/>
          <w:lang w:val="es-CO"/>
        </w:rPr>
        <w:t>, quien declarará sobre “tendencias del Derecho Penal en materia de lucha contra el narcotráfico en América Latina y evolución normativa e institucional en el Ecuador”.</w:t>
      </w:r>
    </w:p>
    <w:p w14:paraId="01180E6F" w14:textId="77777777" w:rsidR="00BE7BC2" w:rsidRPr="00C02E1D" w:rsidRDefault="00BE7BC2" w:rsidP="0030244A">
      <w:pPr>
        <w:pStyle w:val="Normal1"/>
        <w:widowControl/>
        <w:autoSpaceDE w:val="0"/>
        <w:autoSpaceDN w:val="0"/>
        <w:adjustRightInd w:val="0"/>
        <w:contextualSpacing/>
        <w:jc w:val="both"/>
        <w:rPr>
          <w:rFonts w:ascii="Verdana" w:hAnsi="Verdana"/>
          <w:sz w:val="20"/>
          <w:szCs w:val="20"/>
          <w:lang w:val="es-CO"/>
        </w:rPr>
      </w:pPr>
    </w:p>
    <w:p w14:paraId="12EE601D" w14:textId="77777777" w:rsidR="00987A70" w:rsidRPr="00C02E1D" w:rsidRDefault="00987A70" w:rsidP="0030244A">
      <w:pPr>
        <w:pStyle w:val="Normal1"/>
        <w:widowControl/>
        <w:numPr>
          <w:ilvl w:val="0"/>
          <w:numId w:val="9"/>
        </w:numPr>
        <w:autoSpaceDE w:val="0"/>
        <w:autoSpaceDN w:val="0"/>
        <w:adjustRightInd w:val="0"/>
        <w:ind w:left="0" w:firstLine="0"/>
        <w:contextualSpacing/>
        <w:jc w:val="both"/>
        <w:rPr>
          <w:rFonts w:ascii="Verdana" w:hAnsi="Verdana"/>
          <w:sz w:val="20"/>
          <w:szCs w:val="20"/>
          <w:lang w:val="es-CO"/>
        </w:rPr>
      </w:pPr>
      <w:r w:rsidRPr="00C02E1D">
        <w:rPr>
          <w:rFonts w:ascii="Verdana" w:hAnsi="Verdana"/>
          <w:sz w:val="20"/>
          <w:szCs w:val="20"/>
          <w:lang w:val="es-CO"/>
        </w:rPr>
        <w:t xml:space="preserve">Requerir al perito convocado a declarar en audiencia pública que, de considerarlo conveniente, aporte una versión escrita de su peritaje a más tardar el </w:t>
      </w:r>
      <w:r w:rsidR="001E265F">
        <w:rPr>
          <w:rFonts w:ascii="Verdana" w:hAnsi="Verdana"/>
          <w:sz w:val="20"/>
          <w:szCs w:val="20"/>
          <w:lang w:val="es-CO"/>
        </w:rPr>
        <w:t>9</w:t>
      </w:r>
      <w:r w:rsidRPr="00C02E1D">
        <w:rPr>
          <w:rFonts w:ascii="Verdana" w:hAnsi="Verdana"/>
          <w:sz w:val="20"/>
          <w:szCs w:val="20"/>
          <w:lang w:val="es-CO"/>
        </w:rPr>
        <w:t xml:space="preserve"> de </w:t>
      </w:r>
      <w:r w:rsidR="001E265F">
        <w:rPr>
          <w:rFonts w:ascii="Verdana" w:hAnsi="Verdana"/>
          <w:sz w:val="20"/>
          <w:szCs w:val="20"/>
          <w:lang w:val="es-CO"/>
        </w:rPr>
        <w:t xml:space="preserve">agosto </w:t>
      </w:r>
      <w:r w:rsidRPr="00C02E1D">
        <w:rPr>
          <w:rFonts w:ascii="Verdana" w:hAnsi="Verdana"/>
          <w:sz w:val="20"/>
          <w:szCs w:val="20"/>
          <w:lang w:val="es-CO"/>
        </w:rPr>
        <w:t>de 2019.</w:t>
      </w:r>
    </w:p>
    <w:p w14:paraId="5DE9FD52" w14:textId="77777777" w:rsidR="00987A70" w:rsidRPr="00C02E1D" w:rsidRDefault="00987A70" w:rsidP="0030244A">
      <w:pPr>
        <w:pStyle w:val="Normal1"/>
        <w:widowControl/>
        <w:autoSpaceDE w:val="0"/>
        <w:autoSpaceDN w:val="0"/>
        <w:adjustRightInd w:val="0"/>
        <w:contextualSpacing/>
        <w:jc w:val="both"/>
        <w:rPr>
          <w:rFonts w:ascii="Verdana" w:hAnsi="Verdana"/>
          <w:sz w:val="20"/>
          <w:szCs w:val="20"/>
          <w:lang w:val="es-CO"/>
        </w:rPr>
      </w:pPr>
    </w:p>
    <w:p w14:paraId="74A80E63" w14:textId="77777777" w:rsidR="00987A70" w:rsidRPr="00C02E1D" w:rsidRDefault="00987A70" w:rsidP="0030244A">
      <w:pPr>
        <w:pStyle w:val="Normal1"/>
        <w:widowControl/>
        <w:numPr>
          <w:ilvl w:val="0"/>
          <w:numId w:val="9"/>
        </w:numPr>
        <w:autoSpaceDE w:val="0"/>
        <w:autoSpaceDN w:val="0"/>
        <w:adjustRightInd w:val="0"/>
        <w:ind w:left="0" w:firstLine="0"/>
        <w:contextualSpacing/>
        <w:jc w:val="both"/>
        <w:rPr>
          <w:rFonts w:ascii="Verdana" w:hAnsi="Verdana"/>
          <w:sz w:val="20"/>
          <w:szCs w:val="20"/>
          <w:lang w:val="es-CO"/>
        </w:rPr>
      </w:pPr>
      <w:r w:rsidRPr="00C02E1D">
        <w:rPr>
          <w:rFonts w:ascii="Verdana" w:hAnsi="Verdana"/>
          <w:sz w:val="20"/>
          <w:szCs w:val="20"/>
          <w:lang w:val="es-CO"/>
        </w:rPr>
        <w:t>Requerir al Estado Ecuatoriano que facilite la salida y entrada de su territorio de la de la y los declarantes, si residen y se encuentran en él, quienes han sido citados en la presente Resolución a rendir declaración en la audiencia pública de este caso, de conformidad con lo dispuesto en el artículo 26.1 del Reglamento de la Corte</w:t>
      </w:r>
      <w:r w:rsidR="009A4004">
        <w:rPr>
          <w:rFonts w:ascii="Verdana" w:hAnsi="Verdana"/>
          <w:sz w:val="20"/>
          <w:szCs w:val="20"/>
          <w:lang w:val="es-CO"/>
        </w:rPr>
        <w:t>.</w:t>
      </w:r>
    </w:p>
    <w:p w14:paraId="6E3CDB28" w14:textId="77777777" w:rsidR="00987A70" w:rsidRPr="00C02E1D" w:rsidRDefault="00987A70" w:rsidP="0030244A">
      <w:pPr>
        <w:pStyle w:val="Normal1"/>
        <w:widowControl/>
        <w:autoSpaceDE w:val="0"/>
        <w:autoSpaceDN w:val="0"/>
        <w:adjustRightInd w:val="0"/>
        <w:contextualSpacing/>
        <w:jc w:val="both"/>
        <w:rPr>
          <w:rFonts w:ascii="Verdana" w:hAnsi="Verdana"/>
          <w:sz w:val="20"/>
          <w:szCs w:val="20"/>
          <w:lang w:val="es-CO"/>
        </w:rPr>
      </w:pPr>
    </w:p>
    <w:p w14:paraId="2FB07CA7" w14:textId="77777777" w:rsidR="00987A70" w:rsidRPr="00C02E1D" w:rsidRDefault="00987A70" w:rsidP="0030244A">
      <w:pPr>
        <w:pStyle w:val="Normal1"/>
        <w:widowControl/>
        <w:numPr>
          <w:ilvl w:val="0"/>
          <w:numId w:val="9"/>
        </w:numPr>
        <w:autoSpaceDE w:val="0"/>
        <w:autoSpaceDN w:val="0"/>
        <w:adjustRightInd w:val="0"/>
        <w:ind w:left="0" w:firstLine="0"/>
        <w:contextualSpacing/>
        <w:jc w:val="both"/>
        <w:rPr>
          <w:rFonts w:ascii="Verdana" w:hAnsi="Verdana"/>
          <w:sz w:val="20"/>
          <w:szCs w:val="20"/>
          <w:lang w:val="es-CO"/>
        </w:rPr>
      </w:pPr>
      <w:r w:rsidRPr="00C02E1D">
        <w:rPr>
          <w:rFonts w:ascii="Verdana" w:eastAsiaTheme="minorHAnsi" w:hAnsi="Verdana" w:cstheme="minorBidi"/>
          <w:sz w:val="20"/>
          <w:szCs w:val="20"/>
          <w:lang w:val="es-CO"/>
        </w:rPr>
        <w:t>Requerir, por las razones expuestas en la presente Resolución, de Conformidad con el principio de economía procesal y en ejercicio de la facultad que le otorga el artículo 50.1 del Reglamento de la Corte, que las siguientes personas presten sus declaraciones ante fedatario público:</w:t>
      </w:r>
    </w:p>
    <w:p w14:paraId="20AAD488" w14:textId="77777777" w:rsidR="00987A70" w:rsidRPr="00C02E1D" w:rsidRDefault="00987A70" w:rsidP="0030244A">
      <w:pPr>
        <w:pStyle w:val="Normal1"/>
        <w:widowControl/>
        <w:autoSpaceDE w:val="0"/>
        <w:autoSpaceDN w:val="0"/>
        <w:adjustRightInd w:val="0"/>
        <w:contextualSpacing/>
        <w:jc w:val="both"/>
        <w:rPr>
          <w:rFonts w:ascii="Verdana" w:hAnsi="Verdana"/>
          <w:sz w:val="20"/>
          <w:szCs w:val="20"/>
          <w:lang w:val="es-CO"/>
        </w:rPr>
      </w:pPr>
    </w:p>
    <w:p w14:paraId="54A83248" w14:textId="77777777" w:rsidR="00987A70" w:rsidRPr="00C02E1D" w:rsidRDefault="00FC5437" w:rsidP="0030244A">
      <w:pPr>
        <w:pStyle w:val="Prrafodelista"/>
        <w:numPr>
          <w:ilvl w:val="0"/>
          <w:numId w:val="32"/>
        </w:numPr>
        <w:spacing w:line="240" w:lineRule="auto"/>
        <w:jc w:val="both"/>
        <w:rPr>
          <w:rFonts w:ascii="Verdana" w:hAnsi="Verdana"/>
          <w:i/>
          <w:sz w:val="20"/>
          <w:szCs w:val="20"/>
          <w:lang w:val="es-CO"/>
        </w:rPr>
      </w:pPr>
      <w:r w:rsidRPr="00C02E1D">
        <w:rPr>
          <w:rFonts w:ascii="Verdana" w:hAnsi="Verdana"/>
          <w:b/>
          <w:i/>
          <w:sz w:val="20"/>
          <w:szCs w:val="20"/>
          <w:lang w:val="es-CO"/>
        </w:rPr>
        <w:t>Presunta víctima</w:t>
      </w:r>
    </w:p>
    <w:p w14:paraId="539DDBEE" w14:textId="77777777" w:rsidR="00987A70" w:rsidRPr="00C02E1D" w:rsidRDefault="00987A70" w:rsidP="0030244A">
      <w:pPr>
        <w:pStyle w:val="Prrafodelista"/>
        <w:spacing w:line="240" w:lineRule="auto"/>
        <w:jc w:val="both"/>
        <w:rPr>
          <w:rFonts w:ascii="Verdana" w:hAnsi="Verdana"/>
          <w:i/>
          <w:sz w:val="20"/>
          <w:szCs w:val="20"/>
          <w:lang w:val="es-CO"/>
        </w:rPr>
      </w:pPr>
    </w:p>
    <w:p w14:paraId="6A0B2940" w14:textId="77777777" w:rsidR="00FC5437" w:rsidRPr="00C02E1D" w:rsidRDefault="00FC5437" w:rsidP="00FC5437">
      <w:pPr>
        <w:pStyle w:val="Prrafodelista"/>
        <w:numPr>
          <w:ilvl w:val="3"/>
          <w:numId w:val="32"/>
        </w:numPr>
        <w:spacing w:line="240" w:lineRule="auto"/>
        <w:ind w:left="993"/>
        <w:jc w:val="both"/>
        <w:rPr>
          <w:rFonts w:ascii="Verdana" w:hAnsi="Verdana"/>
          <w:i/>
          <w:sz w:val="20"/>
          <w:szCs w:val="20"/>
          <w:lang w:val="es-CO"/>
        </w:rPr>
      </w:pPr>
      <w:r w:rsidRPr="00C02E1D">
        <w:rPr>
          <w:rFonts w:ascii="Verdana" w:hAnsi="Verdana"/>
          <w:sz w:val="20"/>
          <w:szCs w:val="20"/>
          <w:lang w:val="es-CO"/>
        </w:rPr>
        <w:t>Mario Montesinos Mejía, presunta víctima, quién declarará sobre los hechos del caso y la forma que la intervención del Estado habría supuestamente perjudicado a él y su familia.</w:t>
      </w:r>
    </w:p>
    <w:p w14:paraId="493A7CC0" w14:textId="77777777" w:rsidR="00FC5437" w:rsidRPr="00C02E1D" w:rsidRDefault="00FC5437" w:rsidP="00FC5437">
      <w:pPr>
        <w:pStyle w:val="Prrafodelista"/>
        <w:spacing w:line="240" w:lineRule="auto"/>
        <w:jc w:val="both"/>
        <w:rPr>
          <w:rFonts w:ascii="Verdana" w:hAnsi="Verdana"/>
          <w:i/>
          <w:sz w:val="20"/>
          <w:szCs w:val="20"/>
          <w:lang w:val="es-CO"/>
        </w:rPr>
      </w:pPr>
    </w:p>
    <w:p w14:paraId="63D0BF4B" w14:textId="77777777" w:rsidR="00FC5437" w:rsidRPr="00C02E1D" w:rsidRDefault="00FC5437" w:rsidP="00FC5437">
      <w:pPr>
        <w:pStyle w:val="Prrafodelista"/>
        <w:numPr>
          <w:ilvl w:val="0"/>
          <w:numId w:val="32"/>
        </w:numPr>
        <w:spacing w:line="240" w:lineRule="auto"/>
        <w:jc w:val="both"/>
        <w:rPr>
          <w:rFonts w:ascii="Verdana" w:hAnsi="Verdana"/>
          <w:i/>
          <w:sz w:val="20"/>
          <w:szCs w:val="20"/>
          <w:lang w:val="es-CO"/>
        </w:rPr>
      </w:pPr>
      <w:r w:rsidRPr="00C02E1D">
        <w:rPr>
          <w:rFonts w:ascii="Verdana" w:hAnsi="Verdana"/>
          <w:b/>
          <w:i/>
          <w:sz w:val="20"/>
          <w:szCs w:val="20"/>
          <w:lang w:val="es-CO"/>
        </w:rPr>
        <w:t>Testigos</w:t>
      </w:r>
    </w:p>
    <w:p w14:paraId="5A478F83" w14:textId="77777777" w:rsidR="00FC5437" w:rsidRPr="00C02E1D" w:rsidRDefault="00FC5437" w:rsidP="0030244A">
      <w:pPr>
        <w:pStyle w:val="Prrafodelista"/>
        <w:spacing w:line="240" w:lineRule="auto"/>
        <w:jc w:val="both"/>
        <w:rPr>
          <w:rFonts w:ascii="Verdana" w:hAnsi="Verdana"/>
          <w:i/>
          <w:sz w:val="20"/>
          <w:szCs w:val="20"/>
          <w:lang w:val="es-CO"/>
        </w:rPr>
      </w:pPr>
    </w:p>
    <w:p w14:paraId="06598AAE" w14:textId="77777777" w:rsidR="00987A70" w:rsidRPr="00C02E1D" w:rsidRDefault="00987A70" w:rsidP="00034B76">
      <w:pPr>
        <w:pStyle w:val="Prrafodelista"/>
        <w:spacing w:line="240" w:lineRule="auto"/>
        <w:jc w:val="both"/>
        <w:outlineLvl w:val="0"/>
        <w:rPr>
          <w:rFonts w:ascii="Verdana" w:hAnsi="Verdana"/>
          <w:i/>
          <w:sz w:val="20"/>
          <w:szCs w:val="20"/>
          <w:lang w:val="es-CO"/>
        </w:rPr>
      </w:pPr>
      <w:r w:rsidRPr="00C02E1D">
        <w:rPr>
          <w:rFonts w:ascii="Verdana" w:hAnsi="Verdana"/>
          <w:i/>
          <w:sz w:val="20"/>
          <w:szCs w:val="20"/>
          <w:lang w:val="es-CO"/>
        </w:rPr>
        <w:t>P</w:t>
      </w:r>
      <w:r w:rsidR="006E0870" w:rsidRPr="00C02E1D">
        <w:rPr>
          <w:rFonts w:ascii="Verdana" w:hAnsi="Verdana"/>
          <w:i/>
          <w:sz w:val="20"/>
          <w:szCs w:val="20"/>
          <w:lang w:val="es-CO"/>
        </w:rPr>
        <w:t>ropuestos</w:t>
      </w:r>
      <w:r w:rsidRPr="00C02E1D">
        <w:rPr>
          <w:rFonts w:ascii="Verdana" w:hAnsi="Verdana"/>
          <w:i/>
          <w:sz w:val="20"/>
          <w:szCs w:val="20"/>
          <w:lang w:val="es-CO"/>
        </w:rPr>
        <w:t xml:space="preserve"> por el representante</w:t>
      </w:r>
    </w:p>
    <w:p w14:paraId="3429F2E1" w14:textId="77777777" w:rsidR="00987A70" w:rsidRPr="00C02E1D" w:rsidRDefault="00987A70" w:rsidP="0030244A">
      <w:pPr>
        <w:pStyle w:val="Prrafodelista"/>
        <w:spacing w:line="240" w:lineRule="auto"/>
        <w:jc w:val="both"/>
        <w:rPr>
          <w:rFonts w:ascii="Verdana" w:hAnsi="Verdana"/>
          <w:sz w:val="20"/>
          <w:szCs w:val="20"/>
          <w:lang w:val="es-CO"/>
        </w:rPr>
      </w:pPr>
    </w:p>
    <w:p w14:paraId="48576805" w14:textId="77777777" w:rsidR="00987A70" w:rsidRPr="00C02E1D" w:rsidRDefault="00987A70" w:rsidP="00FC5437">
      <w:pPr>
        <w:pStyle w:val="Prrafodelista"/>
        <w:numPr>
          <w:ilvl w:val="3"/>
          <w:numId w:val="32"/>
        </w:numPr>
        <w:spacing w:line="240" w:lineRule="auto"/>
        <w:ind w:left="993"/>
        <w:jc w:val="both"/>
        <w:rPr>
          <w:rFonts w:ascii="Verdana" w:hAnsi="Verdana"/>
          <w:sz w:val="20"/>
          <w:szCs w:val="20"/>
          <w:lang w:val="es-CO"/>
        </w:rPr>
      </w:pPr>
      <w:r w:rsidRPr="00C02E1D">
        <w:rPr>
          <w:rFonts w:ascii="Verdana" w:hAnsi="Verdana"/>
          <w:sz w:val="20"/>
          <w:szCs w:val="20"/>
          <w:lang w:val="es-CO"/>
        </w:rPr>
        <w:t>María Montesinos González</w:t>
      </w:r>
      <w:r w:rsidR="00071004" w:rsidRPr="00C02E1D">
        <w:rPr>
          <w:rFonts w:ascii="Verdana" w:hAnsi="Verdana"/>
          <w:sz w:val="20"/>
          <w:szCs w:val="20"/>
          <w:lang w:val="es-CO"/>
        </w:rPr>
        <w:t>,</w:t>
      </w:r>
    </w:p>
    <w:p w14:paraId="5C3E7031" w14:textId="77777777" w:rsidR="00071004" w:rsidRPr="00C02E1D" w:rsidRDefault="00071004" w:rsidP="00FC5437">
      <w:pPr>
        <w:pStyle w:val="Prrafodelista"/>
        <w:spacing w:line="240" w:lineRule="auto"/>
        <w:ind w:left="993"/>
        <w:jc w:val="both"/>
        <w:rPr>
          <w:rFonts w:ascii="Verdana" w:hAnsi="Verdana"/>
          <w:sz w:val="20"/>
          <w:szCs w:val="20"/>
          <w:lang w:val="es-CO"/>
        </w:rPr>
      </w:pPr>
    </w:p>
    <w:p w14:paraId="6262E29D" w14:textId="77777777" w:rsidR="00987A70" w:rsidRPr="00C02E1D" w:rsidRDefault="00987A70" w:rsidP="00FC5437">
      <w:pPr>
        <w:pStyle w:val="Prrafodelista"/>
        <w:numPr>
          <w:ilvl w:val="3"/>
          <w:numId w:val="32"/>
        </w:numPr>
        <w:spacing w:line="240" w:lineRule="auto"/>
        <w:ind w:left="993"/>
        <w:jc w:val="both"/>
        <w:rPr>
          <w:rFonts w:ascii="Verdana" w:hAnsi="Verdana"/>
          <w:sz w:val="20"/>
          <w:szCs w:val="20"/>
          <w:lang w:val="es-CO"/>
        </w:rPr>
      </w:pPr>
      <w:r w:rsidRPr="00C02E1D">
        <w:rPr>
          <w:rFonts w:ascii="Verdana" w:hAnsi="Verdana"/>
          <w:sz w:val="20"/>
          <w:szCs w:val="20"/>
          <w:lang w:val="es-CO"/>
        </w:rPr>
        <w:t xml:space="preserve">Maritza Montesinos González, y </w:t>
      </w:r>
    </w:p>
    <w:p w14:paraId="069C8093" w14:textId="77777777" w:rsidR="00071004" w:rsidRPr="00C02E1D" w:rsidRDefault="00071004" w:rsidP="00FC5437">
      <w:pPr>
        <w:pStyle w:val="Prrafodelista"/>
        <w:spacing w:line="240" w:lineRule="auto"/>
        <w:ind w:left="993"/>
        <w:jc w:val="both"/>
        <w:rPr>
          <w:rFonts w:ascii="Verdana" w:hAnsi="Verdana"/>
          <w:sz w:val="20"/>
          <w:szCs w:val="20"/>
          <w:lang w:val="es-CO"/>
        </w:rPr>
      </w:pPr>
    </w:p>
    <w:p w14:paraId="3CFD2B38" w14:textId="77777777" w:rsidR="00987A70" w:rsidRPr="00C02E1D" w:rsidRDefault="00987A70" w:rsidP="00FC5437">
      <w:pPr>
        <w:pStyle w:val="Prrafodelista"/>
        <w:numPr>
          <w:ilvl w:val="3"/>
          <w:numId w:val="32"/>
        </w:numPr>
        <w:spacing w:line="240" w:lineRule="auto"/>
        <w:ind w:left="993"/>
        <w:jc w:val="both"/>
        <w:rPr>
          <w:rFonts w:ascii="Verdana" w:hAnsi="Verdana"/>
          <w:sz w:val="20"/>
          <w:szCs w:val="20"/>
          <w:lang w:val="es-CO"/>
        </w:rPr>
      </w:pPr>
      <w:r w:rsidRPr="00C02E1D">
        <w:rPr>
          <w:rFonts w:ascii="Verdana" w:hAnsi="Verdana"/>
          <w:sz w:val="20"/>
          <w:szCs w:val="20"/>
          <w:lang w:val="es-CO"/>
        </w:rPr>
        <w:t xml:space="preserve">Vinicio Montesinos González, quienes declararán sobre los supuestos efectos que los hechos del caso habrían tenido en su padre. </w:t>
      </w:r>
    </w:p>
    <w:p w14:paraId="576FD670" w14:textId="77777777" w:rsidR="00FC5437" w:rsidRPr="00C02E1D" w:rsidRDefault="00FC5437" w:rsidP="00FC5437">
      <w:pPr>
        <w:pStyle w:val="Prrafodelista"/>
        <w:spacing w:line="240" w:lineRule="auto"/>
        <w:ind w:left="993"/>
        <w:jc w:val="both"/>
        <w:rPr>
          <w:rFonts w:ascii="Verdana" w:hAnsi="Verdana"/>
          <w:sz w:val="20"/>
          <w:szCs w:val="20"/>
          <w:lang w:val="es-CO"/>
        </w:rPr>
      </w:pPr>
    </w:p>
    <w:p w14:paraId="78827162" w14:textId="77777777" w:rsidR="00987A70" w:rsidRPr="00C02E1D" w:rsidRDefault="00987A70" w:rsidP="00FC5437">
      <w:pPr>
        <w:pStyle w:val="Prrafodelista"/>
        <w:numPr>
          <w:ilvl w:val="3"/>
          <w:numId w:val="32"/>
        </w:numPr>
        <w:spacing w:line="240" w:lineRule="auto"/>
        <w:ind w:left="993"/>
        <w:jc w:val="both"/>
        <w:rPr>
          <w:rFonts w:ascii="Verdana" w:hAnsi="Verdana"/>
          <w:sz w:val="20"/>
          <w:szCs w:val="20"/>
          <w:lang w:val="es-CO"/>
        </w:rPr>
      </w:pPr>
      <w:r w:rsidRPr="00C02E1D">
        <w:rPr>
          <w:rFonts w:ascii="Verdana" w:hAnsi="Verdana"/>
          <w:sz w:val="20"/>
          <w:szCs w:val="20"/>
          <w:lang w:val="es-CO"/>
        </w:rPr>
        <w:t xml:space="preserve">Mauricio Hernández Zambrano, </w:t>
      </w:r>
    </w:p>
    <w:p w14:paraId="3F44AF9E" w14:textId="77777777" w:rsidR="00FC5437" w:rsidRPr="00C02E1D" w:rsidRDefault="00FC5437" w:rsidP="00FC5437">
      <w:pPr>
        <w:pStyle w:val="Prrafodelista"/>
        <w:spacing w:line="240" w:lineRule="auto"/>
        <w:ind w:left="993"/>
        <w:jc w:val="both"/>
        <w:rPr>
          <w:rFonts w:ascii="Verdana" w:hAnsi="Verdana"/>
          <w:sz w:val="20"/>
          <w:szCs w:val="20"/>
          <w:lang w:val="es-CO"/>
        </w:rPr>
      </w:pPr>
    </w:p>
    <w:p w14:paraId="49121358" w14:textId="77777777" w:rsidR="00FC5437" w:rsidRPr="00C02E1D" w:rsidRDefault="00987A70" w:rsidP="00D40F8F">
      <w:pPr>
        <w:pStyle w:val="Prrafodelista"/>
        <w:numPr>
          <w:ilvl w:val="3"/>
          <w:numId w:val="32"/>
        </w:numPr>
        <w:spacing w:line="240" w:lineRule="auto"/>
        <w:ind w:left="993"/>
        <w:jc w:val="both"/>
        <w:rPr>
          <w:rFonts w:ascii="Verdana" w:hAnsi="Verdana"/>
          <w:sz w:val="20"/>
          <w:szCs w:val="20"/>
          <w:lang w:val="es-CO"/>
        </w:rPr>
      </w:pPr>
      <w:r w:rsidRPr="00C02E1D">
        <w:rPr>
          <w:rFonts w:ascii="Verdana" w:hAnsi="Verdana"/>
          <w:sz w:val="20"/>
          <w:szCs w:val="20"/>
          <w:lang w:val="es-CO"/>
        </w:rPr>
        <w:t>Mauricio Hernández Yépez,</w:t>
      </w:r>
      <w:r w:rsidR="00FC5437" w:rsidRPr="00C02E1D">
        <w:rPr>
          <w:rFonts w:ascii="Verdana" w:hAnsi="Verdana"/>
          <w:sz w:val="20"/>
          <w:szCs w:val="20"/>
          <w:lang w:val="es-CO"/>
        </w:rPr>
        <w:t xml:space="preserve"> </w:t>
      </w:r>
      <w:r w:rsidRPr="00C02E1D">
        <w:rPr>
          <w:rFonts w:ascii="Verdana" w:hAnsi="Verdana"/>
          <w:sz w:val="20"/>
          <w:szCs w:val="20"/>
          <w:lang w:val="es-CO"/>
        </w:rPr>
        <w:t>y</w:t>
      </w:r>
    </w:p>
    <w:p w14:paraId="557CF3BB" w14:textId="77777777" w:rsidR="00FC5437" w:rsidRPr="00C02E1D" w:rsidRDefault="00FC5437" w:rsidP="00FC5437">
      <w:pPr>
        <w:pStyle w:val="Prrafodelista"/>
        <w:rPr>
          <w:rFonts w:ascii="Verdana" w:hAnsi="Verdana"/>
          <w:sz w:val="20"/>
          <w:szCs w:val="20"/>
          <w:lang w:val="es-CO"/>
        </w:rPr>
      </w:pPr>
    </w:p>
    <w:p w14:paraId="359F21D4" w14:textId="77777777" w:rsidR="00987A70" w:rsidRPr="00C02E1D" w:rsidRDefault="00987A70" w:rsidP="00D40F8F">
      <w:pPr>
        <w:pStyle w:val="Prrafodelista"/>
        <w:numPr>
          <w:ilvl w:val="3"/>
          <w:numId w:val="32"/>
        </w:numPr>
        <w:spacing w:line="240" w:lineRule="auto"/>
        <w:ind w:left="993"/>
        <w:jc w:val="both"/>
        <w:rPr>
          <w:rFonts w:ascii="Verdana" w:hAnsi="Verdana"/>
          <w:sz w:val="20"/>
          <w:szCs w:val="20"/>
          <w:lang w:val="es-CO"/>
        </w:rPr>
      </w:pPr>
      <w:r w:rsidRPr="00C02E1D">
        <w:rPr>
          <w:rFonts w:ascii="Verdana" w:hAnsi="Verdana"/>
          <w:sz w:val="20"/>
          <w:szCs w:val="20"/>
          <w:lang w:val="es-CO"/>
        </w:rPr>
        <w:t>Rafael Iván Suárez Rosero, quienes declararán sobre las condiciones de detención y los tratos recibidos en las mismas instalaciones en que habría estado detenido el señor Montesinos Mejía, en particular si les constan las condiciones de detención de este último.</w:t>
      </w:r>
    </w:p>
    <w:p w14:paraId="34E19423" w14:textId="77777777" w:rsidR="006E0870" w:rsidRPr="00C02E1D" w:rsidRDefault="006E0870" w:rsidP="0030244A">
      <w:pPr>
        <w:pStyle w:val="Prrafodelista"/>
        <w:spacing w:line="240" w:lineRule="auto"/>
        <w:ind w:left="709"/>
        <w:jc w:val="both"/>
        <w:rPr>
          <w:rFonts w:ascii="Verdana" w:hAnsi="Verdana"/>
          <w:sz w:val="20"/>
          <w:szCs w:val="20"/>
          <w:lang w:val="es-CO"/>
        </w:rPr>
      </w:pPr>
    </w:p>
    <w:p w14:paraId="4CFCDF8D" w14:textId="77777777" w:rsidR="00987A70" w:rsidRPr="00C02E1D" w:rsidRDefault="00987A70" w:rsidP="0030244A">
      <w:pPr>
        <w:pStyle w:val="Prrafodelista"/>
        <w:numPr>
          <w:ilvl w:val="0"/>
          <w:numId w:val="32"/>
        </w:numPr>
        <w:spacing w:after="0" w:line="240" w:lineRule="auto"/>
        <w:jc w:val="both"/>
        <w:rPr>
          <w:rFonts w:ascii="Verdana" w:hAnsi="Verdana"/>
          <w:b/>
          <w:i/>
          <w:sz w:val="20"/>
          <w:szCs w:val="20"/>
          <w:lang w:val="es-CO"/>
        </w:rPr>
      </w:pPr>
      <w:r w:rsidRPr="00C02E1D">
        <w:rPr>
          <w:rFonts w:ascii="Verdana" w:hAnsi="Verdana"/>
          <w:b/>
          <w:i/>
          <w:sz w:val="20"/>
          <w:szCs w:val="20"/>
          <w:lang w:val="es-CO"/>
        </w:rPr>
        <w:t xml:space="preserve">Peritos </w:t>
      </w:r>
    </w:p>
    <w:p w14:paraId="1C190016" w14:textId="77777777" w:rsidR="00987A70" w:rsidRPr="00C02E1D" w:rsidRDefault="00987A70" w:rsidP="0030244A">
      <w:pPr>
        <w:pStyle w:val="Prrafodelista"/>
        <w:spacing w:after="0" w:line="240" w:lineRule="auto"/>
        <w:jc w:val="both"/>
        <w:rPr>
          <w:rFonts w:ascii="Verdana" w:hAnsi="Verdana"/>
          <w:b/>
          <w:i/>
          <w:sz w:val="20"/>
          <w:szCs w:val="20"/>
          <w:lang w:val="es-CO"/>
        </w:rPr>
      </w:pPr>
    </w:p>
    <w:p w14:paraId="062519FF" w14:textId="77777777" w:rsidR="00987A70" w:rsidRPr="00C02E1D" w:rsidRDefault="006E0870" w:rsidP="00034B76">
      <w:pPr>
        <w:pStyle w:val="Prrafodelista"/>
        <w:spacing w:after="0" w:line="240" w:lineRule="auto"/>
        <w:jc w:val="both"/>
        <w:outlineLvl w:val="0"/>
        <w:rPr>
          <w:rFonts w:ascii="Verdana" w:hAnsi="Verdana"/>
          <w:b/>
          <w:i/>
          <w:sz w:val="20"/>
          <w:szCs w:val="20"/>
          <w:lang w:val="es-CO"/>
        </w:rPr>
      </w:pPr>
      <w:r w:rsidRPr="00C02E1D">
        <w:rPr>
          <w:rFonts w:ascii="Verdana" w:hAnsi="Verdana"/>
          <w:i/>
          <w:sz w:val="20"/>
          <w:szCs w:val="20"/>
          <w:lang w:val="es-CO"/>
        </w:rPr>
        <w:t>Propuesto</w:t>
      </w:r>
      <w:r w:rsidR="00FC5437" w:rsidRPr="00C02E1D">
        <w:rPr>
          <w:rFonts w:ascii="Verdana" w:hAnsi="Verdana"/>
          <w:i/>
          <w:sz w:val="20"/>
          <w:szCs w:val="20"/>
          <w:lang w:val="es-CO"/>
        </w:rPr>
        <w:t>s</w:t>
      </w:r>
      <w:r w:rsidR="00987A70" w:rsidRPr="00C02E1D">
        <w:rPr>
          <w:rFonts w:ascii="Verdana" w:hAnsi="Verdana"/>
          <w:i/>
          <w:sz w:val="20"/>
          <w:szCs w:val="20"/>
          <w:lang w:val="es-CO"/>
        </w:rPr>
        <w:t xml:space="preserve"> por el representante</w:t>
      </w:r>
    </w:p>
    <w:p w14:paraId="5863027C" w14:textId="77777777" w:rsidR="00987A70" w:rsidRPr="00C02E1D" w:rsidRDefault="00987A70" w:rsidP="0030244A">
      <w:pPr>
        <w:pStyle w:val="Prrafodelista"/>
        <w:spacing w:after="0" w:line="240" w:lineRule="auto"/>
        <w:ind w:left="709"/>
        <w:jc w:val="both"/>
        <w:rPr>
          <w:rFonts w:ascii="Verdana" w:hAnsi="Verdana"/>
          <w:b/>
          <w:sz w:val="20"/>
          <w:szCs w:val="20"/>
          <w:lang w:val="es-CO"/>
        </w:rPr>
      </w:pPr>
    </w:p>
    <w:p w14:paraId="69632763" w14:textId="77777777" w:rsidR="00987A70" w:rsidRPr="00C02E1D" w:rsidRDefault="00987A70" w:rsidP="00FC5437">
      <w:pPr>
        <w:pStyle w:val="Normal1"/>
        <w:widowControl/>
        <w:numPr>
          <w:ilvl w:val="3"/>
          <w:numId w:val="32"/>
        </w:numPr>
        <w:autoSpaceDE w:val="0"/>
        <w:autoSpaceDN w:val="0"/>
        <w:adjustRightInd w:val="0"/>
        <w:ind w:left="993"/>
        <w:contextualSpacing/>
        <w:jc w:val="both"/>
        <w:rPr>
          <w:rFonts w:ascii="Verdana" w:hAnsi="Verdana"/>
          <w:sz w:val="20"/>
          <w:szCs w:val="20"/>
          <w:lang w:val="es-CO"/>
        </w:rPr>
      </w:pPr>
      <w:r w:rsidRPr="00C02E1D">
        <w:rPr>
          <w:rFonts w:ascii="Verdana" w:hAnsi="Verdana"/>
          <w:sz w:val="20"/>
          <w:szCs w:val="20"/>
          <w:lang w:val="es-CO"/>
        </w:rPr>
        <w:t>Santiago Rigoberto Lucero Narváez, quien declarará sobre el valor monetario que tiene el predio denominado “Santa Clara” y las condiciones en las que se encuentra el mismo en la actualidad.</w:t>
      </w:r>
    </w:p>
    <w:p w14:paraId="1BEAE0BA" w14:textId="77777777" w:rsidR="00FC5437" w:rsidRPr="00C02E1D" w:rsidRDefault="00FC5437" w:rsidP="00FC5437">
      <w:pPr>
        <w:pStyle w:val="Normal1"/>
        <w:widowControl/>
        <w:autoSpaceDE w:val="0"/>
        <w:autoSpaceDN w:val="0"/>
        <w:adjustRightInd w:val="0"/>
        <w:ind w:left="993"/>
        <w:contextualSpacing/>
        <w:jc w:val="both"/>
        <w:rPr>
          <w:rFonts w:ascii="Verdana" w:hAnsi="Verdana"/>
          <w:sz w:val="20"/>
          <w:szCs w:val="20"/>
          <w:lang w:val="es-CO"/>
        </w:rPr>
      </w:pPr>
    </w:p>
    <w:p w14:paraId="1CBBF84B" w14:textId="77777777" w:rsidR="00FC5437" w:rsidRPr="00C02E1D" w:rsidRDefault="00FC5437" w:rsidP="00FC5437">
      <w:pPr>
        <w:pStyle w:val="Normal1"/>
        <w:widowControl/>
        <w:numPr>
          <w:ilvl w:val="3"/>
          <w:numId w:val="32"/>
        </w:numPr>
        <w:autoSpaceDE w:val="0"/>
        <w:autoSpaceDN w:val="0"/>
        <w:adjustRightInd w:val="0"/>
        <w:ind w:left="993"/>
        <w:contextualSpacing/>
        <w:jc w:val="both"/>
        <w:rPr>
          <w:rFonts w:ascii="Verdana" w:hAnsi="Verdana"/>
          <w:sz w:val="20"/>
          <w:szCs w:val="20"/>
          <w:lang w:val="es-CO"/>
        </w:rPr>
      </w:pPr>
      <w:r w:rsidRPr="00C02E1D">
        <w:rPr>
          <w:rFonts w:ascii="Verdana" w:hAnsi="Verdana"/>
          <w:sz w:val="20"/>
          <w:szCs w:val="20"/>
          <w:lang w:val="es-CO"/>
        </w:rPr>
        <w:t xml:space="preserve">Reinaldo </w:t>
      </w:r>
      <w:proofErr w:type="spellStart"/>
      <w:r w:rsidRPr="00C02E1D">
        <w:rPr>
          <w:rFonts w:ascii="Verdana" w:hAnsi="Verdana"/>
          <w:sz w:val="20"/>
          <w:szCs w:val="20"/>
          <w:lang w:val="es-CO"/>
        </w:rPr>
        <w:t>Calvachi</w:t>
      </w:r>
      <w:proofErr w:type="spellEnd"/>
      <w:r w:rsidRPr="00C02E1D">
        <w:rPr>
          <w:rFonts w:ascii="Verdana" w:hAnsi="Verdana"/>
          <w:sz w:val="20"/>
          <w:szCs w:val="20"/>
          <w:lang w:val="es-CO"/>
        </w:rPr>
        <w:t xml:space="preserve"> Cruz, quien declarará sobre los aspectos de derecho ecuatoriano relacionados con el procedimiento penal previsto en el Código de Procedimiento Penal de 1983 que fue aplicado a los casos del señor Mario Alfonso Montesinos Mejía; sobre el alcance que tenían los sobreseimientos definitivos y la naturaleza del delito de </w:t>
      </w:r>
      <w:proofErr w:type="spellStart"/>
      <w:r w:rsidRPr="00C02E1D">
        <w:rPr>
          <w:rFonts w:ascii="Verdana" w:hAnsi="Verdana"/>
          <w:sz w:val="20"/>
          <w:szCs w:val="20"/>
          <w:lang w:val="es-CO"/>
        </w:rPr>
        <w:t>testaferrismo</w:t>
      </w:r>
      <w:proofErr w:type="spellEnd"/>
      <w:r w:rsidRPr="00C02E1D">
        <w:rPr>
          <w:rFonts w:ascii="Verdana" w:hAnsi="Verdana"/>
          <w:sz w:val="20"/>
          <w:szCs w:val="20"/>
          <w:lang w:val="es-CO"/>
        </w:rPr>
        <w:t xml:space="preserve"> al amparo de la Ley sobre Sustancias Estupefacientes y Sicotrópicas de 1990; y sobre el vínculo entre las normas indicadas y los aspectos relacionados del derecho constitucional vigente en aquella época.</w:t>
      </w:r>
    </w:p>
    <w:p w14:paraId="72311BFA" w14:textId="77777777" w:rsidR="00987A70" w:rsidRPr="00C02E1D" w:rsidRDefault="00987A70" w:rsidP="0030244A">
      <w:pPr>
        <w:pStyle w:val="Normal1"/>
        <w:widowControl/>
        <w:autoSpaceDE w:val="0"/>
        <w:autoSpaceDN w:val="0"/>
        <w:adjustRightInd w:val="0"/>
        <w:contextualSpacing/>
        <w:jc w:val="both"/>
        <w:rPr>
          <w:rFonts w:ascii="Verdana" w:hAnsi="Verdana"/>
          <w:sz w:val="20"/>
          <w:szCs w:val="20"/>
          <w:lang w:val="es-CO"/>
        </w:rPr>
      </w:pPr>
    </w:p>
    <w:p w14:paraId="610B31A4" w14:textId="77777777" w:rsidR="00987A70" w:rsidRPr="00C02E1D" w:rsidRDefault="00FC5437" w:rsidP="00034B76">
      <w:pPr>
        <w:spacing w:line="240" w:lineRule="auto"/>
        <w:ind w:firstLine="709"/>
        <w:outlineLvl w:val="0"/>
        <w:rPr>
          <w:rFonts w:ascii="Verdana" w:hAnsi="Verdana"/>
          <w:i/>
          <w:sz w:val="20"/>
          <w:szCs w:val="20"/>
          <w:lang w:val="es-CO"/>
        </w:rPr>
      </w:pPr>
      <w:r w:rsidRPr="00C02E1D">
        <w:rPr>
          <w:rFonts w:ascii="Verdana" w:hAnsi="Verdana"/>
          <w:i/>
          <w:sz w:val="20"/>
          <w:szCs w:val="20"/>
          <w:lang w:val="es-CO"/>
        </w:rPr>
        <w:t>Propuesta</w:t>
      </w:r>
      <w:r w:rsidR="00987A70" w:rsidRPr="00C02E1D">
        <w:rPr>
          <w:rFonts w:ascii="Verdana" w:hAnsi="Verdana"/>
          <w:i/>
          <w:sz w:val="20"/>
          <w:szCs w:val="20"/>
          <w:lang w:val="es-CO"/>
        </w:rPr>
        <w:t xml:space="preserve"> por el Estado</w:t>
      </w:r>
    </w:p>
    <w:p w14:paraId="057C491B" w14:textId="77777777" w:rsidR="00987A70" w:rsidRPr="00C02E1D" w:rsidRDefault="00FC5437" w:rsidP="00FC5437">
      <w:pPr>
        <w:pStyle w:val="Normal1"/>
        <w:widowControl/>
        <w:autoSpaceDE w:val="0"/>
        <w:autoSpaceDN w:val="0"/>
        <w:adjustRightInd w:val="0"/>
        <w:ind w:left="993" w:hanging="284"/>
        <w:contextualSpacing/>
        <w:jc w:val="both"/>
        <w:rPr>
          <w:rFonts w:ascii="Verdana" w:hAnsi="Verdana"/>
          <w:sz w:val="20"/>
          <w:szCs w:val="20"/>
          <w:lang w:val="es-CO"/>
        </w:rPr>
      </w:pPr>
      <w:r w:rsidRPr="00C02E1D">
        <w:rPr>
          <w:rFonts w:ascii="Verdana" w:hAnsi="Verdana"/>
          <w:sz w:val="20"/>
          <w:szCs w:val="20"/>
          <w:lang w:val="es-CO"/>
        </w:rPr>
        <w:t>3</w:t>
      </w:r>
      <w:r w:rsidRPr="00C02E1D">
        <w:rPr>
          <w:rFonts w:ascii="Verdana" w:hAnsi="Verdana"/>
          <w:i/>
          <w:sz w:val="20"/>
          <w:szCs w:val="20"/>
          <w:lang w:val="es-CO"/>
        </w:rPr>
        <w:t>.</w:t>
      </w:r>
      <w:r w:rsidRPr="00C02E1D">
        <w:rPr>
          <w:rFonts w:ascii="Verdana" w:hAnsi="Verdana"/>
          <w:sz w:val="20"/>
          <w:szCs w:val="20"/>
          <w:lang w:val="es-CO"/>
        </w:rPr>
        <w:t xml:space="preserve"> Marcella Da </w:t>
      </w:r>
      <w:proofErr w:type="spellStart"/>
      <w:r w:rsidRPr="00C02E1D">
        <w:rPr>
          <w:rFonts w:ascii="Verdana" w:hAnsi="Verdana"/>
          <w:sz w:val="20"/>
          <w:szCs w:val="20"/>
          <w:lang w:val="es-CO"/>
        </w:rPr>
        <w:t>Fonte</w:t>
      </w:r>
      <w:proofErr w:type="spellEnd"/>
      <w:r w:rsidRPr="00C02E1D">
        <w:rPr>
          <w:rFonts w:ascii="Verdana" w:hAnsi="Verdana"/>
          <w:sz w:val="20"/>
          <w:szCs w:val="20"/>
          <w:lang w:val="es-CO"/>
        </w:rPr>
        <w:t xml:space="preserve"> Carvalho, quien declarará sobre “tipos penales y bienes jurídicos protegidos en la lucha contra el narcotráfico en el Ecuador”.</w:t>
      </w:r>
    </w:p>
    <w:p w14:paraId="0C0D5333" w14:textId="77777777" w:rsidR="00987A70" w:rsidRPr="00C02E1D" w:rsidRDefault="00987A70" w:rsidP="0030244A">
      <w:pPr>
        <w:pStyle w:val="Normal1"/>
        <w:widowControl/>
        <w:autoSpaceDE w:val="0"/>
        <w:autoSpaceDN w:val="0"/>
        <w:adjustRightInd w:val="0"/>
        <w:contextualSpacing/>
        <w:jc w:val="both"/>
        <w:rPr>
          <w:rFonts w:ascii="Verdana" w:hAnsi="Verdana"/>
          <w:sz w:val="20"/>
          <w:szCs w:val="20"/>
          <w:lang w:val="es-CO"/>
        </w:rPr>
      </w:pPr>
    </w:p>
    <w:p w14:paraId="763D7C74" w14:textId="77777777" w:rsidR="00237065" w:rsidRPr="00C02E1D" w:rsidRDefault="006E0870" w:rsidP="0030244A">
      <w:pPr>
        <w:pStyle w:val="Normal1"/>
        <w:widowControl/>
        <w:numPr>
          <w:ilvl w:val="0"/>
          <w:numId w:val="9"/>
        </w:numPr>
        <w:autoSpaceDE w:val="0"/>
        <w:autoSpaceDN w:val="0"/>
        <w:adjustRightInd w:val="0"/>
        <w:ind w:left="0" w:firstLine="0"/>
        <w:contextualSpacing/>
        <w:jc w:val="both"/>
        <w:rPr>
          <w:rFonts w:ascii="Verdana" w:hAnsi="Verdana"/>
          <w:sz w:val="20"/>
          <w:szCs w:val="20"/>
          <w:lang w:val="es-CO"/>
        </w:rPr>
      </w:pPr>
      <w:r w:rsidRPr="00C02E1D">
        <w:rPr>
          <w:rFonts w:ascii="Verdana" w:hAnsi="Verdana"/>
          <w:sz w:val="20"/>
          <w:szCs w:val="20"/>
          <w:lang w:val="es-CO"/>
        </w:rPr>
        <w:t xml:space="preserve">Solicitar </w:t>
      </w:r>
      <w:r w:rsidR="00F255EB" w:rsidRPr="00C02E1D">
        <w:rPr>
          <w:rFonts w:ascii="Verdana" w:hAnsi="Verdana"/>
          <w:sz w:val="20"/>
          <w:szCs w:val="20"/>
          <w:lang w:val="es-CO"/>
        </w:rPr>
        <w:t>a</w:t>
      </w:r>
      <w:r w:rsidR="009B5FF5" w:rsidRPr="00C02E1D">
        <w:rPr>
          <w:rFonts w:ascii="Verdana" w:hAnsi="Verdana"/>
          <w:sz w:val="20"/>
          <w:szCs w:val="20"/>
          <w:lang w:val="es-CO"/>
        </w:rPr>
        <w:t xml:space="preserve">l representante y al Estado </w:t>
      </w:r>
      <w:r w:rsidR="00237065" w:rsidRPr="00C02E1D">
        <w:rPr>
          <w:rFonts w:ascii="Verdana" w:hAnsi="Verdana"/>
          <w:sz w:val="20"/>
          <w:szCs w:val="20"/>
          <w:lang w:val="es-CO"/>
        </w:rPr>
        <w:t>que notifiquen la presente Resolución a las personas por ellos propuestas, respectivamente, que han sido convocados a rendir declaración</w:t>
      </w:r>
      <w:r w:rsidR="00FE246E" w:rsidRPr="00C02E1D">
        <w:rPr>
          <w:rFonts w:ascii="Verdana" w:hAnsi="Verdana"/>
          <w:sz w:val="20"/>
          <w:szCs w:val="20"/>
          <w:lang w:val="es-CO"/>
        </w:rPr>
        <w:t xml:space="preserve"> ante fedatario público</w:t>
      </w:r>
      <w:r w:rsidR="009B5FF5" w:rsidRPr="00C02E1D">
        <w:rPr>
          <w:rFonts w:ascii="Verdana" w:hAnsi="Verdana"/>
          <w:sz w:val="20"/>
          <w:szCs w:val="20"/>
          <w:lang w:val="es-CO"/>
        </w:rPr>
        <w:t xml:space="preserve">, </w:t>
      </w:r>
      <w:r w:rsidR="00237065" w:rsidRPr="00C02E1D">
        <w:rPr>
          <w:rFonts w:ascii="Verdana" w:hAnsi="Verdana"/>
          <w:sz w:val="20"/>
          <w:szCs w:val="20"/>
          <w:lang w:val="es-CO"/>
        </w:rPr>
        <w:t>de conformidad con lo dispuesto en los artículos 50.2 y 50.4 del Reglamento</w:t>
      </w:r>
      <w:r w:rsidR="007749DC" w:rsidRPr="00C02E1D">
        <w:rPr>
          <w:rFonts w:ascii="Verdana" w:hAnsi="Verdana"/>
          <w:sz w:val="20"/>
          <w:szCs w:val="20"/>
          <w:lang w:val="es-CO"/>
        </w:rPr>
        <w:t>.</w:t>
      </w:r>
    </w:p>
    <w:p w14:paraId="2FDC5F6F" w14:textId="77777777" w:rsidR="00237065" w:rsidRPr="00C02E1D" w:rsidRDefault="00237065" w:rsidP="0030244A">
      <w:pPr>
        <w:pStyle w:val="Normal1"/>
        <w:widowControl/>
        <w:autoSpaceDE w:val="0"/>
        <w:autoSpaceDN w:val="0"/>
        <w:adjustRightInd w:val="0"/>
        <w:contextualSpacing/>
        <w:jc w:val="both"/>
        <w:rPr>
          <w:rFonts w:ascii="Verdana" w:hAnsi="Verdana"/>
          <w:sz w:val="20"/>
          <w:szCs w:val="20"/>
          <w:lang w:val="es-CO"/>
        </w:rPr>
      </w:pPr>
    </w:p>
    <w:p w14:paraId="3445F161" w14:textId="77777777" w:rsidR="001F172C" w:rsidRPr="00C02E1D" w:rsidRDefault="001F172C" w:rsidP="0030244A">
      <w:pPr>
        <w:pStyle w:val="Normal1"/>
        <w:widowControl/>
        <w:numPr>
          <w:ilvl w:val="0"/>
          <w:numId w:val="9"/>
        </w:numPr>
        <w:autoSpaceDE w:val="0"/>
        <w:autoSpaceDN w:val="0"/>
        <w:adjustRightInd w:val="0"/>
        <w:ind w:left="0" w:firstLine="0"/>
        <w:contextualSpacing/>
        <w:jc w:val="both"/>
        <w:rPr>
          <w:rFonts w:ascii="Verdana" w:hAnsi="Verdana"/>
          <w:sz w:val="20"/>
          <w:szCs w:val="20"/>
          <w:lang w:val="es-CO"/>
        </w:rPr>
      </w:pPr>
      <w:r w:rsidRPr="00C02E1D">
        <w:rPr>
          <w:rFonts w:ascii="Verdana" w:hAnsi="Verdana"/>
          <w:sz w:val="20"/>
          <w:szCs w:val="20"/>
          <w:lang w:val="es-CO"/>
        </w:rPr>
        <w:t xml:space="preserve">Requerir al representante que comunique y remita a la Corte, a más tardar el </w:t>
      </w:r>
      <w:r w:rsidR="001E265F">
        <w:rPr>
          <w:rFonts w:ascii="Verdana" w:hAnsi="Verdana"/>
          <w:sz w:val="20"/>
          <w:szCs w:val="20"/>
          <w:lang w:val="es-CO"/>
        </w:rPr>
        <w:t>2</w:t>
      </w:r>
      <w:r w:rsidR="00034B76">
        <w:rPr>
          <w:rFonts w:ascii="Verdana" w:hAnsi="Verdana"/>
          <w:sz w:val="20"/>
          <w:szCs w:val="20"/>
          <w:lang w:val="es-CO"/>
        </w:rPr>
        <w:t xml:space="preserve"> de jul</w:t>
      </w:r>
      <w:r w:rsidR="001E265F">
        <w:rPr>
          <w:rFonts w:ascii="Verdana" w:hAnsi="Verdana"/>
          <w:sz w:val="20"/>
          <w:szCs w:val="20"/>
          <w:lang w:val="es-CO"/>
        </w:rPr>
        <w:t xml:space="preserve">io </w:t>
      </w:r>
      <w:r w:rsidRPr="00C02E1D">
        <w:rPr>
          <w:rFonts w:ascii="Verdana" w:hAnsi="Verdana"/>
          <w:sz w:val="20"/>
          <w:szCs w:val="20"/>
          <w:lang w:val="es-CO"/>
        </w:rPr>
        <w:t>de 2019, una cotización del costo de la formalización de la declaraci</w:t>
      </w:r>
      <w:r w:rsidR="00071004" w:rsidRPr="00C02E1D">
        <w:rPr>
          <w:rFonts w:ascii="Verdana" w:hAnsi="Verdana"/>
          <w:sz w:val="20"/>
          <w:szCs w:val="20"/>
          <w:lang w:val="es-CO"/>
        </w:rPr>
        <w:t xml:space="preserve">ón </w:t>
      </w:r>
      <w:r w:rsidRPr="00C02E1D">
        <w:rPr>
          <w:rFonts w:ascii="Verdana" w:hAnsi="Verdana"/>
          <w:sz w:val="20"/>
          <w:szCs w:val="20"/>
          <w:lang w:val="es-CO"/>
        </w:rPr>
        <w:t xml:space="preserve">ante fedatario público en el país de residencia de </w:t>
      </w:r>
      <w:r w:rsidR="00071004" w:rsidRPr="00C02E1D">
        <w:rPr>
          <w:rFonts w:ascii="Verdana" w:hAnsi="Verdana"/>
          <w:sz w:val="20"/>
          <w:szCs w:val="20"/>
          <w:lang w:val="es-CO"/>
        </w:rPr>
        <w:t xml:space="preserve">la </w:t>
      </w:r>
      <w:r w:rsidRPr="00C02E1D">
        <w:rPr>
          <w:rFonts w:ascii="Verdana" w:hAnsi="Verdana"/>
          <w:sz w:val="20"/>
          <w:szCs w:val="20"/>
          <w:lang w:val="es-CO"/>
        </w:rPr>
        <w:t xml:space="preserve">declarante y de su respectivo envío, a fin de que sea cubierto por el Fondo de Asistencia Legal, de conformidad con lo establecido en el párrafo considerativo </w:t>
      </w:r>
      <w:r w:rsidR="001D691B" w:rsidRPr="00C02E1D">
        <w:rPr>
          <w:rFonts w:ascii="Verdana" w:hAnsi="Verdana"/>
          <w:sz w:val="20"/>
          <w:szCs w:val="20"/>
          <w:lang w:val="es-CO"/>
        </w:rPr>
        <w:t>36</w:t>
      </w:r>
      <w:r w:rsidRPr="00C02E1D">
        <w:rPr>
          <w:rFonts w:ascii="Verdana" w:hAnsi="Verdana"/>
          <w:sz w:val="20"/>
          <w:szCs w:val="20"/>
          <w:lang w:val="es-CO"/>
        </w:rPr>
        <w:t xml:space="preserve"> de la presente Resolución.</w:t>
      </w:r>
    </w:p>
    <w:p w14:paraId="7A49D7B9" w14:textId="77777777" w:rsidR="001F172C" w:rsidRPr="00C02E1D" w:rsidRDefault="001F172C" w:rsidP="0030244A">
      <w:pPr>
        <w:pStyle w:val="Normal1"/>
        <w:widowControl/>
        <w:autoSpaceDE w:val="0"/>
        <w:autoSpaceDN w:val="0"/>
        <w:adjustRightInd w:val="0"/>
        <w:contextualSpacing/>
        <w:jc w:val="both"/>
        <w:rPr>
          <w:rFonts w:ascii="Verdana" w:hAnsi="Verdana"/>
          <w:sz w:val="20"/>
          <w:szCs w:val="20"/>
          <w:lang w:val="es-CO"/>
        </w:rPr>
      </w:pPr>
    </w:p>
    <w:p w14:paraId="7DE5CAF7" w14:textId="77777777" w:rsidR="00237065" w:rsidRPr="00C02E1D" w:rsidRDefault="00237065" w:rsidP="0030244A">
      <w:pPr>
        <w:pStyle w:val="Normal1"/>
        <w:widowControl/>
        <w:numPr>
          <w:ilvl w:val="0"/>
          <w:numId w:val="9"/>
        </w:numPr>
        <w:autoSpaceDE w:val="0"/>
        <w:autoSpaceDN w:val="0"/>
        <w:adjustRightInd w:val="0"/>
        <w:ind w:left="0" w:firstLine="0"/>
        <w:contextualSpacing/>
        <w:jc w:val="both"/>
        <w:rPr>
          <w:rFonts w:ascii="Verdana" w:hAnsi="Verdana"/>
          <w:sz w:val="20"/>
          <w:szCs w:val="20"/>
          <w:lang w:val="es-CO"/>
        </w:rPr>
      </w:pPr>
      <w:r w:rsidRPr="00C02E1D">
        <w:rPr>
          <w:rFonts w:ascii="Verdana" w:hAnsi="Verdana"/>
          <w:sz w:val="20"/>
          <w:szCs w:val="20"/>
          <w:lang w:val="es-CO"/>
        </w:rPr>
        <w:t>Requerir a</w:t>
      </w:r>
      <w:r w:rsidR="00F255EB" w:rsidRPr="00C02E1D">
        <w:rPr>
          <w:rFonts w:ascii="Verdana" w:hAnsi="Verdana"/>
          <w:sz w:val="20"/>
          <w:szCs w:val="20"/>
          <w:lang w:val="es-CO"/>
        </w:rPr>
        <w:t>l</w:t>
      </w:r>
      <w:r w:rsidRPr="00C02E1D">
        <w:rPr>
          <w:rFonts w:ascii="Verdana" w:hAnsi="Verdana"/>
          <w:sz w:val="20"/>
          <w:szCs w:val="20"/>
          <w:lang w:val="es-CO"/>
        </w:rPr>
        <w:t xml:space="preserve"> </w:t>
      </w:r>
      <w:r w:rsidR="009B5FF5" w:rsidRPr="00C02E1D">
        <w:rPr>
          <w:rFonts w:ascii="Verdana" w:hAnsi="Verdana"/>
          <w:sz w:val="20"/>
          <w:szCs w:val="20"/>
          <w:lang w:val="es-CO"/>
        </w:rPr>
        <w:t xml:space="preserve">representante y al </w:t>
      </w:r>
      <w:r w:rsidRPr="00C02E1D">
        <w:rPr>
          <w:rFonts w:ascii="Verdana" w:hAnsi="Verdana"/>
          <w:sz w:val="20"/>
          <w:szCs w:val="20"/>
          <w:lang w:val="es-CO"/>
        </w:rPr>
        <w:t xml:space="preserve">Estado </w:t>
      </w:r>
      <w:r w:rsidR="00F255EB" w:rsidRPr="00C02E1D">
        <w:rPr>
          <w:rFonts w:ascii="Verdana" w:hAnsi="Verdana"/>
          <w:sz w:val="20"/>
          <w:szCs w:val="20"/>
          <w:lang w:val="es-CO"/>
        </w:rPr>
        <w:t>que remita</w:t>
      </w:r>
      <w:r w:rsidR="009B5FF5" w:rsidRPr="00C02E1D">
        <w:rPr>
          <w:rFonts w:ascii="Verdana" w:hAnsi="Verdana"/>
          <w:sz w:val="20"/>
          <w:szCs w:val="20"/>
          <w:lang w:val="es-CO"/>
        </w:rPr>
        <w:t>n</w:t>
      </w:r>
      <w:r w:rsidRPr="00C02E1D">
        <w:rPr>
          <w:rFonts w:ascii="Verdana" w:hAnsi="Verdana"/>
          <w:sz w:val="20"/>
          <w:szCs w:val="20"/>
          <w:lang w:val="es-CO"/>
        </w:rPr>
        <w:t>,</w:t>
      </w:r>
      <w:r w:rsidR="009B5FF5" w:rsidRPr="00C02E1D">
        <w:rPr>
          <w:rFonts w:ascii="Verdana" w:hAnsi="Verdana"/>
          <w:sz w:val="20"/>
          <w:szCs w:val="20"/>
          <w:lang w:val="es-CO"/>
        </w:rPr>
        <w:t xml:space="preserve"> de considerarlo pertinente, en lo que les corresponda</w:t>
      </w:r>
      <w:r w:rsidR="001F172C" w:rsidRPr="00C02E1D">
        <w:rPr>
          <w:rFonts w:ascii="Verdana" w:hAnsi="Verdana"/>
          <w:sz w:val="20"/>
          <w:szCs w:val="20"/>
          <w:lang w:val="es-CO"/>
        </w:rPr>
        <w:t>, en</w:t>
      </w:r>
      <w:r w:rsidR="009B5FF5" w:rsidRPr="00C02E1D">
        <w:rPr>
          <w:rFonts w:ascii="Verdana" w:hAnsi="Verdana"/>
          <w:sz w:val="20"/>
          <w:szCs w:val="20"/>
          <w:lang w:val="es-CO"/>
        </w:rPr>
        <w:t xml:space="preserve"> </w:t>
      </w:r>
      <w:r w:rsidR="001F172C" w:rsidRPr="00C02E1D">
        <w:rPr>
          <w:rFonts w:ascii="Verdana" w:hAnsi="Verdana"/>
          <w:sz w:val="20"/>
          <w:szCs w:val="20"/>
          <w:lang w:val="es-CO"/>
        </w:rPr>
        <w:t xml:space="preserve">los términos del artículo 50.5 del Reglamento </w:t>
      </w:r>
      <w:r w:rsidR="009B5FF5" w:rsidRPr="00C02E1D">
        <w:rPr>
          <w:rFonts w:ascii="Verdana" w:hAnsi="Verdana"/>
          <w:sz w:val="20"/>
          <w:szCs w:val="20"/>
          <w:lang w:val="es-CO"/>
        </w:rPr>
        <w:t>y</w:t>
      </w:r>
      <w:r w:rsidRPr="00C02E1D">
        <w:rPr>
          <w:rFonts w:ascii="Verdana" w:hAnsi="Verdana"/>
          <w:sz w:val="20"/>
          <w:szCs w:val="20"/>
          <w:lang w:val="es-CO"/>
        </w:rPr>
        <w:t xml:space="preserve"> en</w:t>
      </w:r>
      <w:r w:rsidR="009B5FF5" w:rsidRPr="00C02E1D">
        <w:rPr>
          <w:rFonts w:ascii="Verdana" w:hAnsi="Verdana"/>
          <w:sz w:val="20"/>
          <w:szCs w:val="20"/>
          <w:lang w:val="es-CO"/>
        </w:rPr>
        <w:t xml:space="preserve"> el plazo improrrogable que vence el </w:t>
      </w:r>
      <w:r w:rsidR="001E265F">
        <w:rPr>
          <w:rFonts w:ascii="Verdana" w:hAnsi="Verdana"/>
          <w:sz w:val="20"/>
          <w:szCs w:val="20"/>
          <w:lang w:val="es-CO"/>
        </w:rPr>
        <w:t>2</w:t>
      </w:r>
      <w:r w:rsidR="00034B76">
        <w:rPr>
          <w:rFonts w:ascii="Verdana" w:hAnsi="Verdana"/>
          <w:sz w:val="20"/>
          <w:szCs w:val="20"/>
          <w:lang w:val="es-CO"/>
        </w:rPr>
        <w:t xml:space="preserve"> de jul</w:t>
      </w:r>
      <w:r w:rsidR="001E265F">
        <w:rPr>
          <w:rFonts w:ascii="Verdana" w:hAnsi="Verdana"/>
          <w:sz w:val="20"/>
          <w:szCs w:val="20"/>
          <w:lang w:val="es-CO"/>
        </w:rPr>
        <w:t xml:space="preserve">io </w:t>
      </w:r>
      <w:r w:rsidR="009B5FF5" w:rsidRPr="00C02E1D">
        <w:rPr>
          <w:rFonts w:ascii="Verdana" w:hAnsi="Verdana"/>
          <w:sz w:val="20"/>
          <w:szCs w:val="20"/>
          <w:lang w:val="es-CO"/>
        </w:rPr>
        <w:t xml:space="preserve">de 2019, </w:t>
      </w:r>
      <w:r w:rsidRPr="00C02E1D">
        <w:rPr>
          <w:rFonts w:ascii="Verdana" w:hAnsi="Verdana"/>
          <w:sz w:val="20"/>
          <w:szCs w:val="20"/>
          <w:lang w:val="es-CO"/>
        </w:rPr>
        <w:t>las preguntas que estimen pertinente formular, a través de la Corte Interamericana, a los declarantes in</w:t>
      </w:r>
      <w:r w:rsidR="00071004" w:rsidRPr="00C02E1D">
        <w:rPr>
          <w:rFonts w:ascii="Verdana" w:hAnsi="Verdana"/>
          <w:sz w:val="20"/>
          <w:szCs w:val="20"/>
          <w:lang w:val="es-CO"/>
        </w:rPr>
        <w:t>dicados en el punto resolutivo 4</w:t>
      </w:r>
      <w:r w:rsidR="001E265F">
        <w:rPr>
          <w:rFonts w:ascii="Verdana" w:hAnsi="Verdana"/>
          <w:sz w:val="20"/>
          <w:szCs w:val="20"/>
          <w:lang w:val="es-CO"/>
        </w:rPr>
        <w:t xml:space="preserve"> </w:t>
      </w:r>
      <w:r w:rsidRPr="00C02E1D">
        <w:rPr>
          <w:rFonts w:ascii="Verdana" w:hAnsi="Verdana"/>
          <w:sz w:val="20"/>
          <w:szCs w:val="20"/>
          <w:lang w:val="es-CO"/>
        </w:rPr>
        <w:t>de la presente Resolución.</w:t>
      </w:r>
    </w:p>
    <w:p w14:paraId="73A8622F" w14:textId="77777777" w:rsidR="00237065" w:rsidRPr="00C02E1D" w:rsidRDefault="00237065" w:rsidP="0030244A">
      <w:pPr>
        <w:pStyle w:val="Normal1"/>
        <w:widowControl/>
        <w:autoSpaceDE w:val="0"/>
        <w:autoSpaceDN w:val="0"/>
        <w:adjustRightInd w:val="0"/>
        <w:contextualSpacing/>
        <w:jc w:val="both"/>
        <w:rPr>
          <w:rFonts w:ascii="Verdana" w:hAnsi="Verdana"/>
          <w:sz w:val="20"/>
          <w:szCs w:val="20"/>
          <w:lang w:val="es-CO"/>
        </w:rPr>
      </w:pPr>
    </w:p>
    <w:p w14:paraId="1DCB9A0A" w14:textId="77777777" w:rsidR="00237065" w:rsidRPr="00C02E1D" w:rsidRDefault="00237065" w:rsidP="0030244A">
      <w:pPr>
        <w:pStyle w:val="Normal1"/>
        <w:widowControl/>
        <w:numPr>
          <w:ilvl w:val="0"/>
          <w:numId w:val="9"/>
        </w:numPr>
        <w:autoSpaceDE w:val="0"/>
        <w:autoSpaceDN w:val="0"/>
        <w:adjustRightInd w:val="0"/>
        <w:ind w:left="0" w:firstLine="0"/>
        <w:contextualSpacing/>
        <w:jc w:val="both"/>
        <w:rPr>
          <w:rFonts w:ascii="Verdana" w:hAnsi="Verdana"/>
          <w:sz w:val="20"/>
          <w:szCs w:val="20"/>
          <w:lang w:val="es-CO"/>
        </w:rPr>
      </w:pPr>
      <w:r w:rsidRPr="00C02E1D">
        <w:rPr>
          <w:rFonts w:ascii="Verdana" w:hAnsi="Verdana"/>
          <w:sz w:val="20"/>
          <w:szCs w:val="20"/>
          <w:lang w:val="es-CO"/>
        </w:rPr>
        <w:t xml:space="preserve">Requerir </w:t>
      </w:r>
      <w:r w:rsidR="001F172C" w:rsidRPr="00C02E1D">
        <w:rPr>
          <w:rFonts w:ascii="Verdana" w:hAnsi="Verdana"/>
          <w:sz w:val="20"/>
          <w:szCs w:val="20"/>
          <w:lang w:val="es-CO"/>
        </w:rPr>
        <w:t xml:space="preserve">al representante y al Estado </w:t>
      </w:r>
      <w:r w:rsidRPr="00C02E1D">
        <w:rPr>
          <w:rFonts w:ascii="Verdana" w:hAnsi="Verdana"/>
          <w:sz w:val="20"/>
          <w:szCs w:val="20"/>
          <w:lang w:val="es-CO"/>
        </w:rPr>
        <w:t xml:space="preserve">que coordinen y realicen las diligencias necesarias para que, una vez recibidas las preguntas de la contraparte, </w:t>
      </w:r>
      <w:r w:rsidR="001F172C" w:rsidRPr="00C02E1D">
        <w:rPr>
          <w:rFonts w:ascii="Verdana" w:hAnsi="Verdana"/>
          <w:sz w:val="20"/>
          <w:szCs w:val="20"/>
          <w:lang w:val="es-CO"/>
        </w:rPr>
        <w:t xml:space="preserve">si las hubiere, </w:t>
      </w:r>
      <w:r w:rsidRPr="00C02E1D">
        <w:rPr>
          <w:rFonts w:ascii="Verdana" w:hAnsi="Verdana"/>
          <w:sz w:val="20"/>
          <w:szCs w:val="20"/>
          <w:lang w:val="es-CO"/>
        </w:rPr>
        <w:t xml:space="preserve">los declarantes </w:t>
      </w:r>
      <w:r w:rsidR="001F172C" w:rsidRPr="00C02E1D">
        <w:rPr>
          <w:rFonts w:ascii="Verdana" w:hAnsi="Verdana"/>
          <w:sz w:val="20"/>
          <w:szCs w:val="20"/>
          <w:lang w:val="es-CO"/>
        </w:rPr>
        <w:t xml:space="preserve">propuestos </w:t>
      </w:r>
      <w:r w:rsidRPr="00C02E1D">
        <w:rPr>
          <w:rFonts w:ascii="Verdana" w:hAnsi="Verdana"/>
          <w:sz w:val="20"/>
          <w:szCs w:val="20"/>
          <w:lang w:val="es-CO"/>
        </w:rPr>
        <w:t xml:space="preserve">incluyan las respuestas en sus </w:t>
      </w:r>
      <w:r w:rsidR="001F172C" w:rsidRPr="00C02E1D">
        <w:rPr>
          <w:rFonts w:ascii="Verdana" w:hAnsi="Verdana"/>
          <w:sz w:val="20"/>
          <w:szCs w:val="20"/>
          <w:lang w:val="es-CO"/>
        </w:rPr>
        <w:t xml:space="preserve">respectivas </w:t>
      </w:r>
      <w:r w:rsidRPr="00C02E1D">
        <w:rPr>
          <w:rFonts w:ascii="Verdana" w:hAnsi="Verdana"/>
          <w:sz w:val="20"/>
          <w:szCs w:val="20"/>
          <w:lang w:val="es-CO"/>
        </w:rPr>
        <w:t>declaraciones</w:t>
      </w:r>
      <w:r w:rsidR="001F172C" w:rsidRPr="00C02E1D">
        <w:rPr>
          <w:rFonts w:ascii="Verdana" w:hAnsi="Verdana"/>
          <w:sz w:val="20"/>
          <w:szCs w:val="20"/>
          <w:lang w:val="es-CO"/>
        </w:rPr>
        <w:t xml:space="preserve"> y dictámenes</w:t>
      </w:r>
      <w:r w:rsidRPr="00C02E1D">
        <w:rPr>
          <w:rFonts w:ascii="Verdana" w:hAnsi="Verdana"/>
          <w:sz w:val="20"/>
          <w:szCs w:val="20"/>
          <w:lang w:val="es-CO"/>
        </w:rPr>
        <w:t xml:space="preserve">, salvo que el Presidente disponga lo contrario cuando la Secretaría de la Corte </w:t>
      </w:r>
      <w:r w:rsidRPr="00C02E1D">
        <w:rPr>
          <w:rFonts w:ascii="Verdana" w:hAnsi="Verdana"/>
          <w:sz w:val="20"/>
          <w:szCs w:val="20"/>
          <w:lang w:val="es-CO"/>
        </w:rPr>
        <w:lastRenderedPageBreak/>
        <w:t xml:space="preserve">las transmita. Las declaraciones requeridas en el punto resolutivo </w:t>
      </w:r>
      <w:r w:rsidR="00071004" w:rsidRPr="00C02E1D">
        <w:rPr>
          <w:rFonts w:ascii="Verdana" w:hAnsi="Verdana"/>
          <w:sz w:val="20"/>
          <w:szCs w:val="20"/>
          <w:lang w:val="es-CO"/>
        </w:rPr>
        <w:t>4</w:t>
      </w:r>
      <w:r w:rsidRPr="00C02E1D">
        <w:rPr>
          <w:rFonts w:ascii="Verdana" w:hAnsi="Verdana"/>
          <w:sz w:val="20"/>
          <w:szCs w:val="20"/>
          <w:lang w:val="es-CO"/>
        </w:rPr>
        <w:t xml:space="preserve"> de la presente Resolución deberán ser presentados a más tardar </w:t>
      </w:r>
      <w:r w:rsidR="001F172C" w:rsidRPr="00C02E1D">
        <w:rPr>
          <w:rFonts w:ascii="Verdana" w:hAnsi="Verdana"/>
          <w:sz w:val="20"/>
          <w:szCs w:val="20"/>
          <w:lang w:val="es-CO"/>
        </w:rPr>
        <w:t xml:space="preserve">el </w:t>
      </w:r>
      <w:r w:rsidR="001E265F">
        <w:rPr>
          <w:rFonts w:ascii="Verdana" w:hAnsi="Verdana"/>
          <w:sz w:val="20"/>
          <w:szCs w:val="20"/>
          <w:lang w:val="es-CO"/>
        </w:rPr>
        <w:t xml:space="preserve">9 de agosto </w:t>
      </w:r>
      <w:r w:rsidRPr="00C02E1D">
        <w:rPr>
          <w:rFonts w:ascii="Verdana" w:hAnsi="Verdana"/>
          <w:sz w:val="20"/>
          <w:szCs w:val="20"/>
          <w:lang w:val="es-CO"/>
        </w:rPr>
        <w:t>de 2019</w:t>
      </w:r>
      <w:r w:rsidR="00EF3B40" w:rsidRPr="00C02E1D">
        <w:rPr>
          <w:rFonts w:ascii="Verdana" w:hAnsi="Verdana"/>
          <w:sz w:val="20"/>
          <w:szCs w:val="20"/>
          <w:lang w:val="es-CO"/>
        </w:rPr>
        <w:t>.</w:t>
      </w:r>
    </w:p>
    <w:p w14:paraId="26E139F1" w14:textId="77777777" w:rsidR="00EF3B40" w:rsidRPr="00C02E1D" w:rsidRDefault="00EF3B40" w:rsidP="0030244A">
      <w:pPr>
        <w:pStyle w:val="Normal1"/>
        <w:widowControl/>
        <w:autoSpaceDE w:val="0"/>
        <w:autoSpaceDN w:val="0"/>
        <w:adjustRightInd w:val="0"/>
        <w:contextualSpacing/>
        <w:jc w:val="both"/>
        <w:rPr>
          <w:rFonts w:ascii="Verdana" w:hAnsi="Verdana"/>
          <w:sz w:val="20"/>
          <w:szCs w:val="20"/>
          <w:lang w:val="es-CO"/>
        </w:rPr>
      </w:pPr>
    </w:p>
    <w:p w14:paraId="297890E5" w14:textId="77777777" w:rsidR="00237065" w:rsidRPr="00C02E1D" w:rsidRDefault="00EF3B40" w:rsidP="0030244A">
      <w:pPr>
        <w:pStyle w:val="Normal1"/>
        <w:widowControl/>
        <w:numPr>
          <w:ilvl w:val="0"/>
          <w:numId w:val="9"/>
        </w:numPr>
        <w:autoSpaceDE w:val="0"/>
        <w:autoSpaceDN w:val="0"/>
        <w:adjustRightInd w:val="0"/>
        <w:ind w:left="0" w:firstLine="0"/>
        <w:contextualSpacing/>
        <w:jc w:val="both"/>
        <w:rPr>
          <w:rFonts w:ascii="Verdana" w:hAnsi="Verdana"/>
          <w:sz w:val="20"/>
          <w:szCs w:val="20"/>
          <w:lang w:val="es-CO"/>
        </w:rPr>
      </w:pPr>
      <w:r w:rsidRPr="00C02E1D">
        <w:rPr>
          <w:rFonts w:ascii="Verdana" w:hAnsi="Verdana"/>
          <w:sz w:val="20"/>
          <w:szCs w:val="20"/>
          <w:lang w:val="es-CO"/>
        </w:rPr>
        <w:t xml:space="preserve">Disponer, conforme al artículo 50.6 del Reglamento, </w:t>
      </w:r>
      <w:r w:rsidR="001F172C" w:rsidRPr="00C02E1D">
        <w:rPr>
          <w:rFonts w:ascii="Verdana" w:hAnsi="Verdana"/>
          <w:sz w:val="20"/>
          <w:szCs w:val="20"/>
          <w:lang w:val="es-CO"/>
        </w:rPr>
        <w:t xml:space="preserve">que </w:t>
      </w:r>
      <w:r w:rsidRPr="00C02E1D">
        <w:rPr>
          <w:rFonts w:ascii="Verdana" w:hAnsi="Verdana"/>
          <w:sz w:val="20"/>
          <w:szCs w:val="20"/>
          <w:lang w:val="es-CO"/>
        </w:rPr>
        <w:t xml:space="preserve">una vez recibidas las declaraciones, la Secretaría de la Corte las transmita </w:t>
      </w:r>
      <w:r w:rsidR="001F172C" w:rsidRPr="00C02E1D">
        <w:rPr>
          <w:rFonts w:ascii="Verdana" w:hAnsi="Verdana"/>
          <w:sz w:val="20"/>
          <w:szCs w:val="20"/>
          <w:lang w:val="es-CO"/>
        </w:rPr>
        <w:t xml:space="preserve">al representante, </w:t>
      </w:r>
      <w:r w:rsidRPr="00C02E1D">
        <w:rPr>
          <w:rFonts w:ascii="Verdana" w:hAnsi="Verdana"/>
          <w:sz w:val="20"/>
          <w:szCs w:val="20"/>
          <w:lang w:val="es-CO"/>
        </w:rPr>
        <w:t>al Estado y a la Comisión para que</w:t>
      </w:r>
      <w:r w:rsidR="001F172C" w:rsidRPr="00C02E1D">
        <w:rPr>
          <w:rFonts w:ascii="Verdana" w:hAnsi="Verdana"/>
          <w:sz w:val="20"/>
          <w:szCs w:val="20"/>
          <w:lang w:val="es-CO"/>
        </w:rPr>
        <w:t>, si lo estiman necesario y en lo que les corresponda,</w:t>
      </w:r>
      <w:r w:rsidRPr="00C02E1D">
        <w:rPr>
          <w:rFonts w:ascii="Verdana" w:hAnsi="Verdana"/>
          <w:sz w:val="20"/>
          <w:szCs w:val="20"/>
          <w:lang w:val="es-CO"/>
        </w:rPr>
        <w:t xml:space="preserve"> presenten sus observaciones a</w:t>
      </w:r>
      <w:r w:rsidR="001F172C" w:rsidRPr="00C02E1D">
        <w:rPr>
          <w:rFonts w:ascii="Verdana" w:hAnsi="Verdana"/>
          <w:sz w:val="20"/>
          <w:szCs w:val="20"/>
          <w:lang w:val="es-CO"/>
        </w:rPr>
        <w:t xml:space="preserve"> las mismas</w:t>
      </w:r>
      <w:r w:rsidRPr="00C02E1D">
        <w:rPr>
          <w:rFonts w:ascii="Verdana" w:hAnsi="Verdana"/>
          <w:sz w:val="20"/>
          <w:szCs w:val="20"/>
          <w:lang w:val="es-CO"/>
        </w:rPr>
        <w:t xml:space="preserve"> con sus alegatos u observaciones finales escritos, respectivamente.</w:t>
      </w:r>
    </w:p>
    <w:p w14:paraId="115B5977" w14:textId="77777777" w:rsidR="00EF3B40" w:rsidRPr="00C02E1D" w:rsidRDefault="00EF3B40" w:rsidP="0030244A">
      <w:pPr>
        <w:pStyle w:val="Normal1"/>
        <w:widowControl/>
        <w:autoSpaceDE w:val="0"/>
        <w:autoSpaceDN w:val="0"/>
        <w:adjustRightInd w:val="0"/>
        <w:contextualSpacing/>
        <w:jc w:val="both"/>
        <w:rPr>
          <w:rFonts w:ascii="Verdana" w:hAnsi="Verdana"/>
          <w:sz w:val="20"/>
          <w:szCs w:val="20"/>
          <w:lang w:val="es-CO"/>
        </w:rPr>
      </w:pPr>
    </w:p>
    <w:p w14:paraId="7883ED83" w14:textId="77777777" w:rsidR="001F172C" w:rsidRPr="00C02E1D" w:rsidRDefault="001F172C" w:rsidP="0030244A">
      <w:pPr>
        <w:pStyle w:val="Normal1"/>
        <w:widowControl/>
        <w:numPr>
          <w:ilvl w:val="0"/>
          <w:numId w:val="9"/>
        </w:numPr>
        <w:autoSpaceDE w:val="0"/>
        <w:autoSpaceDN w:val="0"/>
        <w:adjustRightInd w:val="0"/>
        <w:ind w:left="0" w:firstLine="0"/>
        <w:contextualSpacing/>
        <w:jc w:val="both"/>
        <w:rPr>
          <w:rFonts w:ascii="Verdana" w:hAnsi="Verdana"/>
          <w:sz w:val="20"/>
          <w:szCs w:val="20"/>
          <w:lang w:val="es-CO"/>
        </w:rPr>
      </w:pPr>
      <w:r w:rsidRPr="00C02E1D">
        <w:rPr>
          <w:rFonts w:ascii="Verdana" w:hAnsi="Verdana"/>
          <w:sz w:val="20"/>
          <w:szCs w:val="20"/>
          <w:lang w:val="es-CO"/>
        </w:rPr>
        <w:t xml:space="preserve">Recordar al representante y al Estado que deben cubrir los gastos que ocasione la </w:t>
      </w:r>
      <w:r w:rsidR="006E0870" w:rsidRPr="00C02E1D">
        <w:rPr>
          <w:rFonts w:ascii="Verdana" w:hAnsi="Verdana"/>
          <w:sz w:val="20"/>
          <w:szCs w:val="20"/>
          <w:lang w:val="es-CO"/>
        </w:rPr>
        <w:t>aportación</w:t>
      </w:r>
      <w:r w:rsidRPr="00C02E1D">
        <w:rPr>
          <w:rFonts w:ascii="Verdana" w:hAnsi="Verdana"/>
          <w:sz w:val="20"/>
          <w:szCs w:val="20"/>
          <w:lang w:val="es-CO"/>
        </w:rPr>
        <w:t xml:space="preserve"> o </w:t>
      </w:r>
      <w:r w:rsidR="006E0870" w:rsidRPr="00C02E1D">
        <w:rPr>
          <w:rFonts w:ascii="Verdana" w:hAnsi="Verdana"/>
          <w:sz w:val="20"/>
          <w:szCs w:val="20"/>
          <w:lang w:val="es-CO"/>
        </w:rPr>
        <w:t>rendición</w:t>
      </w:r>
      <w:r w:rsidRPr="00C02E1D">
        <w:rPr>
          <w:rFonts w:ascii="Verdana" w:hAnsi="Verdana"/>
          <w:sz w:val="20"/>
          <w:szCs w:val="20"/>
          <w:lang w:val="es-CO"/>
        </w:rPr>
        <w:t xml:space="preserve"> de la prueba propuesta por ellos, de conformidad con lo dispuesto en el </w:t>
      </w:r>
      <w:r w:rsidR="006E0870" w:rsidRPr="00C02E1D">
        <w:rPr>
          <w:rFonts w:ascii="Verdana" w:hAnsi="Verdana"/>
          <w:sz w:val="20"/>
          <w:szCs w:val="20"/>
          <w:lang w:val="es-CO"/>
        </w:rPr>
        <w:t>artículo</w:t>
      </w:r>
      <w:r w:rsidRPr="00C02E1D">
        <w:rPr>
          <w:rFonts w:ascii="Verdana" w:hAnsi="Verdana"/>
          <w:sz w:val="20"/>
          <w:szCs w:val="20"/>
          <w:lang w:val="es-CO"/>
        </w:rPr>
        <w:t xml:space="preserve"> 60 del Reglamento y sin perjuicio de lo que resulte pertinente en </w:t>
      </w:r>
      <w:r w:rsidR="006E0870" w:rsidRPr="00C02E1D">
        <w:rPr>
          <w:rFonts w:ascii="Verdana" w:hAnsi="Verdana"/>
          <w:sz w:val="20"/>
          <w:szCs w:val="20"/>
          <w:lang w:val="es-CO"/>
        </w:rPr>
        <w:t>aplicación</w:t>
      </w:r>
      <w:r w:rsidRPr="00C02E1D">
        <w:rPr>
          <w:rFonts w:ascii="Verdana" w:hAnsi="Verdana"/>
          <w:sz w:val="20"/>
          <w:szCs w:val="20"/>
          <w:lang w:val="es-CO"/>
        </w:rPr>
        <w:t xml:space="preserve"> del Fondo de Asistencia Legal de </w:t>
      </w:r>
      <w:r w:rsidR="006E0870" w:rsidRPr="00C02E1D">
        <w:rPr>
          <w:rFonts w:ascii="Verdana" w:hAnsi="Verdana"/>
          <w:sz w:val="20"/>
          <w:szCs w:val="20"/>
          <w:lang w:val="es-CO"/>
        </w:rPr>
        <w:t>Víctimas</w:t>
      </w:r>
      <w:r w:rsidRPr="00C02E1D">
        <w:rPr>
          <w:rFonts w:ascii="Verdana" w:hAnsi="Verdana"/>
          <w:sz w:val="20"/>
          <w:szCs w:val="20"/>
          <w:lang w:val="es-CO"/>
        </w:rPr>
        <w:t xml:space="preserve"> en el presente caso. </w:t>
      </w:r>
    </w:p>
    <w:p w14:paraId="783BBF23" w14:textId="77777777" w:rsidR="001F172C" w:rsidRPr="00C02E1D" w:rsidRDefault="001F172C" w:rsidP="0030244A">
      <w:pPr>
        <w:pStyle w:val="Normal1"/>
        <w:widowControl/>
        <w:autoSpaceDE w:val="0"/>
        <w:autoSpaceDN w:val="0"/>
        <w:adjustRightInd w:val="0"/>
        <w:contextualSpacing/>
        <w:jc w:val="both"/>
        <w:rPr>
          <w:rFonts w:ascii="Verdana" w:hAnsi="Verdana"/>
          <w:sz w:val="20"/>
          <w:szCs w:val="20"/>
          <w:lang w:val="es-CO"/>
        </w:rPr>
      </w:pPr>
    </w:p>
    <w:p w14:paraId="272087FE" w14:textId="77777777" w:rsidR="001F172C" w:rsidRPr="00C02E1D" w:rsidRDefault="001F172C" w:rsidP="0030244A">
      <w:pPr>
        <w:pStyle w:val="Normal1"/>
        <w:widowControl/>
        <w:numPr>
          <w:ilvl w:val="0"/>
          <w:numId w:val="9"/>
        </w:numPr>
        <w:autoSpaceDE w:val="0"/>
        <w:autoSpaceDN w:val="0"/>
        <w:adjustRightInd w:val="0"/>
        <w:ind w:left="0" w:firstLine="0"/>
        <w:contextualSpacing/>
        <w:jc w:val="both"/>
        <w:rPr>
          <w:rFonts w:ascii="Verdana" w:hAnsi="Verdana"/>
          <w:sz w:val="20"/>
          <w:szCs w:val="20"/>
          <w:lang w:val="es-CO"/>
        </w:rPr>
      </w:pPr>
      <w:r w:rsidRPr="00C02E1D">
        <w:rPr>
          <w:rFonts w:ascii="Verdana" w:hAnsi="Verdana"/>
          <w:sz w:val="20"/>
          <w:szCs w:val="20"/>
          <w:lang w:val="es-CO"/>
        </w:rPr>
        <w:t>Requerir a los representantes y al</w:t>
      </w:r>
      <w:r w:rsidR="00071004" w:rsidRPr="00C02E1D">
        <w:rPr>
          <w:rFonts w:ascii="Verdana" w:hAnsi="Verdana"/>
          <w:sz w:val="20"/>
          <w:szCs w:val="20"/>
          <w:lang w:val="es-CO"/>
        </w:rPr>
        <w:t xml:space="preserve"> Estado </w:t>
      </w:r>
      <w:r w:rsidRPr="00C02E1D">
        <w:rPr>
          <w:rFonts w:ascii="Verdana" w:hAnsi="Verdana"/>
          <w:sz w:val="20"/>
          <w:szCs w:val="20"/>
          <w:lang w:val="es-CO"/>
        </w:rPr>
        <w:t>que informen a las personas convocadas por la Corte para declarar que, según lo dispuesto en el artículo 54 del Reglamento, el Tribunal pondrá en conocimiento del Estado los casos en que las personas requeridas para comparecer o declarar no comparecieren o rehusaren deponer sin motivo legítimo o que, en el parecer de la misma Corte, hayan violado el juramento o la declaración solemne, para los fines previstos en la legislación nacional correspondiente.</w:t>
      </w:r>
    </w:p>
    <w:p w14:paraId="260DF2DE" w14:textId="77777777" w:rsidR="001F172C" w:rsidRPr="00C02E1D" w:rsidRDefault="001F172C" w:rsidP="0030244A">
      <w:pPr>
        <w:pStyle w:val="Normal1"/>
        <w:widowControl/>
        <w:autoSpaceDE w:val="0"/>
        <w:autoSpaceDN w:val="0"/>
        <w:adjustRightInd w:val="0"/>
        <w:contextualSpacing/>
        <w:jc w:val="both"/>
        <w:rPr>
          <w:rFonts w:ascii="Verdana" w:hAnsi="Verdana"/>
          <w:sz w:val="20"/>
          <w:szCs w:val="20"/>
          <w:lang w:val="es-CO"/>
        </w:rPr>
      </w:pPr>
    </w:p>
    <w:p w14:paraId="002AEF17" w14:textId="77777777" w:rsidR="00030AF4" w:rsidRPr="00C02E1D" w:rsidRDefault="001F172C" w:rsidP="0030244A">
      <w:pPr>
        <w:pStyle w:val="Normal1"/>
        <w:widowControl/>
        <w:numPr>
          <w:ilvl w:val="0"/>
          <w:numId w:val="9"/>
        </w:numPr>
        <w:autoSpaceDE w:val="0"/>
        <w:autoSpaceDN w:val="0"/>
        <w:adjustRightInd w:val="0"/>
        <w:ind w:left="0" w:firstLine="0"/>
        <w:contextualSpacing/>
        <w:jc w:val="both"/>
        <w:rPr>
          <w:rFonts w:ascii="Verdana" w:hAnsi="Verdana"/>
          <w:sz w:val="20"/>
          <w:szCs w:val="20"/>
          <w:lang w:val="es-CO"/>
        </w:rPr>
      </w:pPr>
      <w:r w:rsidRPr="00C02E1D">
        <w:rPr>
          <w:rFonts w:ascii="Verdana" w:hAnsi="Verdana"/>
          <w:sz w:val="20"/>
          <w:szCs w:val="20"/>
          <w:lang w:val="es-CO"/>
        </w:rPr>
        <w:t xml:space="preserve">Incorporar </w:t>
      </w:r>
      <w:r w:rsidR="00071004" w:rsidRPr="00C02E1D">
        <w:rPr>
          <w:rFonts w:ascii="Verdana" w:hAnsi="Verdana"/>
          <w:sz w:val="20"/>
          <w:szCs w:val="20"/>
          <w:lang w:val="es-CO"/>
        </w:rPr>
        <w:t xml:space="preserve">los dictámenes </w:t>
      </w:r>
      <w:r w:rsidRPr="00C02E1D">
        <w:rPr>
          <w:rFonts w:ascii="Verdana" w:hAnsi="Verdana"/>
          <w:sz w:val="20"/>
          <w:szCs w:val="20"/>
          <w:lang w:val="es-CO"/>
        </w:rPr>
        <w:t>rendido</w:t>
      </w:r>
      <w:r w:rsidR="00071004" w:rsidRPr="00C02E1D">
        <w:rPr>
          <w:rFonts w:ascii="Verdana" w:hAnsi="Verdana"/>
          <w:sz w:val="20"/>
          <w:szCs w:val="20"/>
          <w:lang w:val="es-CO"/>
        </w:rPr>
        <w:t>s</w:t>
      </w:r>
      <w:r w:rsidRPr="00C02E1D">
        <w:rPr>
          <w:rFonts w:ascii="Verdana" w:hAnsi="Verdana"/>
          <w:sz w:val="20"/>
          <w:szCs w:val="20"/>
          <w:lang w:val="es-CO"/>
        </w:rPr>
        <w:t xml:space="preserve"> ante este Tribunal por el señor </w:t>
      </w:r>
      <w:r w:rsidR="00C0608D" w:rsidRPr="00C02E1D">
        <w:rPr>
          <w:rFonts w:ascii="Verdana" w:hAnsi="Verdana"/>
          <w:sz w:val="20"/>
          <w:szCs w:val="20"/>
          <w:lang w:val="es-CO"/>
        </w:rPr>
        <w:t xml:space="preserve">Ernesto Albán Gómez en el </w:t>
      </w:r>
      <w:r w:rsidR="00C0608D" w:rsidRPr="00C02E1D">
        <w:rPr>
          <w:rFonts w:ascii="Verdana" w:hAnsi="Verdana"/>
          <w:i/>
          <w:sz w:val="20"/>
          <w:szCs w:val="20"/>
          <w:lang w:val="es-CO"/>
        </w:rPr>
        <w:t>caso Suárez Rosero</w:t>
      </w:r>
      <w:r w:rsidR="00034B76">
        <w:rPr>
          <w:rFonts w:ascii="Verdana" w:hAnsi="Verdana"/>
          <w:i/>
          <w:sz w:val="20"/>
          <w:szCs w:val="20"/>
          <w:lang w:val="es-CO"/>
        </w:rPr>
        <w:t xml:space="preserve"> Vs. </w:t>
      </w:r>
      <w:r w:rsidR="00C0608D" w:rsidRPr="00C02E1D">
        <w:rPr>
          <w:rFonts w:ascii="Verdana" w:hAnsi="Verdana"/>
          <w:i/>
          <w:sz w:val="20"/>
          <w:szCs w:val="20"/>
          <w:lang w:val="es-CO"/>
        </w:rPr>
        <w:t>Ecuador</w:t>
      </w:r>
      <w:r w:rsidR="00531D46" w:rsidRPr="00C02E1D">
        <w:rPr>
          <w:rFonts w:ascii="Verdana" w:hAnsi="Verdana"/>
          <w:sz w:val="20"/>
          <w:szCs w:val="20"/>
          <w:lang w:val="es-CO"/>
        </w:rPr>
        <w:t xml:space="preserve">; y por el señor </w:t>
      </w:r>
      <w:r w:rsidR="00C0608D" w:rsidRPr="00C02E1D">
        <w:rPr>
          <w:rFonts w:ascii="Verdana" w:hAnsi="Verdana"/>
          <w:sz w:val="20"/>
          <w:szCs w:val="20"/>
          <w:lang w:val="es-CO"/>
        </w:rPr>
        <w:t xml:space="preserve">Mario Coriolano en el </w:t>
      </w:r>
      <w:r w:rsidR="00C0608D" w:rsidRPr="00C02E1D">
        <w:rPr>
          <w:rFonts w:ascii="Verdana" w:hAnsi="Verdana"/>
          <w:i/>
          <w:sz w:val="20"/>
          <w:szCs w:val="20"/>
          <w:lang w:val="es-CO"/>
        </w:rPr>
        <w:t>caso Herrera Espinoza y otros</w:t>
      </w:r>
      <w:r w:rsidR="00034B76">
        <w:rPr>
          <w:rFonts w:ascii="Verdana" w:hAnsi="Verdana"/>
          <w:i/>
          <w:sz w:val="20"/>
          <w:szCs w:val="20"/>
          <w:lang w:val="es-CO"/>
        </w:rPr>
        <w:t xml:space="preserve"> Vs. </w:t>
      </w:r>
      <w:r w:rsidR="00C0608D" w:rsidRPr="00C02E1D">
        <w:rPr>
          <w:rFonts w:ascii="Verdana" w:hAnsi="Verdana"/>
          <w:i/>
          <w:sz w:val="20"/>
          <w:szCs w:val="20"/>
          <w:lang w:val="es-CO"/>
        </w:rPr>
        <w:t>Ecuador</w:t>
      </w:r>
      <w:r w:rsidR="00C0608D" w:rsidRPr="00C02E1D" w:rsidDel="00C0608D">
        <w:rPr>
          <w:rFonts w:ascii="Verdana" w:hAnsi="Verdana"/>
          <w:sz w:val="20"/>
          <w:szCs w:val="20"/>
          <w:lang w:val="es-CO"/>
        </w:rPr>
        <w:t xml:space="preserve"> </w:t>
      </w:r>
      <w:r w:rsidRPr="00C02E1D">
        <w:rPr>
          <w:rFonts w:ascii="Verdana" w:hAnsi="Verdana"/>
          <w:sz w:val="20"/>
          <w:szCs w:val="20"/>
          <w:lang w:val="es-CO"/>
        </w:rPr>
        <w:t xml:space="preserve">al expediente del presente caso, en los </w:t>
      </w:r>
      <w:r w:rsidR="008E30B5" w:rsidRPr="00C02E1D">
        <w:rPr>
          <w:rFonts w:ascii="Verdana" w:hAnsi="Verdana"/>
          <w:sz w:val="20"/>
          <w:szCs w:val="20"/>
          <w:lang w:val="es-CO"/>
        </w:rPr>
        <w:t>términos</w:t>
      </w:r>
      <w:r w:rsidRPr="00C02E1D">
        <w:rPr>
          <w:rFonts w:ascii="Verdana" w:hAnsi="Verdana"/>
          <w:sz w:val="20"/>
          <w:szCs w:val="20"/>
          <w:lang w:val="es-CO"/>
        </w:rPr>
        <w:t xml:space="preserve"> de</w:t>
      </w:r>
      <w:r w:rsidR="008E30B5" w:rsidRPr="00C02E1D">
        <w:rPr>
          <w:rFonts w:ascii="Verdana" w:hAnsi="Verdana"/>
          <w:sz w:val="20"/>
          <w:szCs w:val="20"/>
          <w:lang w:val="es-CO"/>
        </w:rPr>
        <w:t xml:space="preserve"> </w:t>
      </w:r>
      <w:r w:rsidRPr="00C02E1D">
        <w:rPr>
          <w:rFonts w:ascii="Verdana" w:hAnsi="Verdana"/>
          <w:sz w:val="20"/>
          <w:szCs w:val="20"/>
          <w:lang w:val="es-CO"/>
        </w:rPr>
        <w:t>l</w:t>
      </w:r>
      <w:r w:rsidR="008E30B5" w:rsidRPr="00C02E1D">
        <w:rPr>
          <w:rFonts w:ascii="Verdana" w:hAnsi="Verdana"/>
          <w:sz w:val="20"/>
          <w:szCs w:val="20"/>
          <w:lang w:val="es-CO"/>
        </w:rPr>
        <w:t>os</w:t>
      </w:r>
      <w:r w:rsidRPr="00C02E1D">
        <w:rPr>
          <w:rFonts w:ascii="Verdana" w:hAnsi="Verdana"/>
          <w:sz w:val="20"/>
          <w:szCs w:val="20"/>
          <w:lang w:val="es-CO"/>
        </w:rPr>
        <w:t xml:space="preserve"> </w:t>
      </w:r>
      <w:r w:rsidR="008E30B5" w:rsidRPr="00C02E1D">
        <w:rPr>
          <w:rFonts w:ascii="Verdana" w:hAnsi="Verdana"/>
          <w:sz w:val="20"/>
          <w:szCs w:val="20"/>
          <w:lang w:val="es-CO"/>
        </w:rPr>
        <w:t>párrafos</w:t>
      </w:r>
      <w:r w:rsidRPr="00C02E1D">
        <w:rPr>
          <w:rFonts w:ascii="Verdana" w:hAnsi="Verdana"/>
          <w:sz w:val="20"/>
          <w:szCs w:val="20"/>
          <w:lang w:val="es-CO"/>
        </w:rPr>
        <w:t xml:space="preserve"> considerativo</w:t>
      </w:r>
      <w:r w:rsidR="008E30B5" w:rsidRPr="00C02E1D">
        <w:rPr>
          <w:rFonts w:ascii="Verdana" w:hAnsi="Verdana"/>
          <w:sz w:val="20"/>
          <w:szCs w:val="20"/>
          <w:lang w:val="es-CO"/>
        </w:rPr>
        <w:t>s</w:t>
      </w:r>
      <w:r w:rsidR="001E265F">
        <w:rPr>
          <w:rFonts w:ascii="Verdana" w:hAnsi="Verdana"/>
          <w:sz w:val="20"/>
          <w:szCs w:val="20"/>
          <w:lang w:val="es-CO"/>
        </w:rPr>
        <w:t xml:space="preserve"> 18 a 20 y 23 </w:t>
      </w:r>
      <w:r w:rsidRPr="00C02E1D">
        <w:rPr>
          <w:rFonts w:ascii="Verdana" w:hAnsi="Verdana"/>
          <w:sz w:val="20"/>
          <w:szCs w:val="20"/>
          <w:lang w:val="es-CO"/>
        </w:rPr>
        <w:t xml:space="preserve">de la presente </w:t>
      </w:r>
      <w:r w:rsidR="008E30B5" w:rsidRPr="00C02E1D">
        <w:rPr>
          <w:rFonts w:ascii="Verdana" w:hAnsi="Verdana"/>
          <w:sz w:val="20"/>
          <w:szCs w:val="20"/>
          <w:lang w:val="es-CO"/>
        </w:rPr>
        <w:t>Resolución</w:t>
      </w:r>
      <w:r w:rsidR="00C0608D" w:rsidRPr="00C02E1D">
        <w:rPr>
          <w:rFonts w:ascii="Verdana" w:hAnsi="Verdana"/>
          <w:sz w:val="20"/>
          <w:szCs w:val="20"/>
          <w:lang w:val="es-CO"/>
        </w:rPr>
        <w:t xml:space="preserve"> respectivamente</w:t>
      </w:r>
      <w:r w:rsidRPr="00C02E1D">
        <w:rPr>
          <w:rFonts w:ascii="Verdana" w:hAnsi="Verdana"/>
          <w:sz w:val="20"/>
          <w:szCs w:val="20"/>
          <w:lang w:val="es-CO"/>
        </w:rPr>
        <w:t xml:space="preserve">, y disponer que la </w:t>
      </w:r>
      <w:r w:rsidR="008E30B5" w:rsidRPr="00C02E1D">
        <w:rPr>
          <w:rFonts w:ascii="Verdana" w:hAnsi="Verdana"/>
          <w:sz w:val="20"/>
          <w:szCs w:val="20"/>
          <w:lang w:val="es-CO"/>
        </w:rPr>
        <w:t>Secretaria</w:t>
      </w:r>
      <w:r w:rsidRPr="00C02E1D">
        <w:rPr>
          <w:rFonts w:ascii="Verdana" w:hAnsi="Verdana"/>
          <w:sz w:val="20"/>
          <w:szCs w:val="20"/>
          <w:lang w:val="es-CO"/>
        </w:rPr>
        <w:t xml:space="preserve"> de la Corte los transmita a las partes y a la </w:t>
      </w:r>
      <w:r w:rsidR="008E30B5" w:rsidRPr="00C02E1D">
        <w:rPr>
          <w:rFonts w:ascii="Verdana" w:hAnsi="Verdana"/>
          <w:sz w:val="20"/>
          <w:szCs w:val="20"/>
          <w:lang w:val="es-CO"/>
        </w:rPr>
        <w:t>Comisión</w:t>
      </w:r>
      <w:r w:rsidRPr="00C02E1D">
        <w:rPr>
          <w:rFonts w:ascii="Verdana" w:hAnsi="Verdana"/>
          <w:sz w:val="20"/>
          <w:szCs w:val="20"/>
          <w:lang w:val="es-CO"/>
        </w:rPr>
        <w:t xml:space="preserve"> junto con la </w:t>
      </w:r>
      <w:r w:rsidR="008E30B5" w:rsidRPr="00C02E1D">
        <w:rPr>
          <w:rFonts w:ascii="Verdana" w:hAnsi="Verdana"/>
          <w:sz w:val="20"/>
          <w:szCs w:val="20"/>
          <w:lang w:val="es-CO"/>
        </w:rPr>
        <w:t>notificación</w:t>
      </w:r>
      <w:r w:rsidRPr="00C02E1D">
        <w:rPr>
          <w:rFonts w:ascii="Verdana" w:hAnsi="Verdana"/>
          <w:sz w:val="20"/>
          <w:szCs w:val="20"/>
          <w:lang w:val="es-CO"/>
        </w:rPr>
        <w:t xml:space="preserve"> de la </w:t>
      </w:r>
      <w:r w:rsidR="00531D46" w:rsidRPr="00C02E1D">
        <w:rPr>
          <w:rFonts w:ascii="Verdana" w:hAnsi="Verdana"/>
          <w:sz w:val="20"/>
          <w:szCs w:val="20"/>
          <w:lang w:val="es-CO"/>
        </w:rPr>
        <w:t>misma</w:t>
      </w:r>
      <w:r w:rsidRPr="00C02E1D">
        <w:rPr>
          <w:rFonts w:ascii="Verdana" w:hAnsi="Verdana"/>
          <w:sz w:val="20"/>
          <w:szCs w:val="20"/>
          <w:lang w:val="es-CO"/>
        </w:rPr>
        <w:t xml:space="preserve">. </w:t>
      </w:r>
    </w:p>
    <w:p w14:paraId="0A2300ED" w14:textId="77777777" w:rsidR="00EF3B40" w:rsidRPr="00C02E1D" w:rsidRDefault="00EF3B40" w:rsidP="0030244A">
      <w:pPr>
        <w:pStyle w:val="Normal1"/>
        <w:widowControl/>
        <w:autoSpaceDE w:val="0"/>
        <w:autoSpaceDN w:val="0"/>
        <w:adjustRightInd w:val="0"/>
        <w:contextualSpacing/>
        <w:jc w:val="both"/>
        <w:rPr>
          <w:rFonts w:ascii="Verdana" w:hAnsi="Verdana"/>
          <w:sz w:val="20"/>
          <w:szCs w:val="20"/>
          <w:lang w:val="es-CO"/>
        </w:rPr>
      </w:pPr>
    </w:p>
    <w:p w14:paraId="7BE74715" w14:textId="77777777" w:rsidR="00EF3B40" w:rsidRPr="00C02E1D" w:rsidRDefault="00EF3B40" w:rsidP="0030244A">
      <w:pPr>
        <w:pStyle w:val="Normal1"/>
        <w:widowControl/>
        <w:numPr>
          <w:ilvl w:val="0"/>
          <w:numId w:val="9"/>
        </w:numPr>
        <w:autoSpaceDE w:val="0"/>
        <w:autoSpaceDN w:val="0"/>
        <w:adjustRightInd w:val="0"/>
        <w:ind w:left="0" w:firstLine="0"/>
        <w:contextualSpacing/>
        <w:jc w:val="both"/>
        <w:rPr>
          <w:rFonts w:ascii="Verdana" w:hAnsi="Verdana"/>
          <w:sz w:val="20"/>
          <w:szCs w:val="20"/>
          <w:lang w:val="es-CO"/>
        </w:rPr>
      </w:pPr>
      <w:r w:rsidRPr="00C02E1D">
        <w:rPr>
          <w:rFonts w:ascii="Verdana" w:hAnsi="Verdana"/>
          <w:sz w:val="20"/>
          <w:szCs w:val="20"/>
          <w:lang w:val="es-CO"/>
        </w:rPr>
        <w:t xml:space="preserve">Informar al representante, al Estado y a la Comisión Interamericana que cuentan con un plazo improrrogable hasta </w:t>
      </w:r>
      <w:r w:rsidR="001E265F">
        <w:rPr>
          <w:rFonts w:ascii="Verdana" w:hAnsi="Verdana"/>
          <w:sz w:val="20"/>
          <w:szCs w:val="20"/>
          <w:lang w:val="es-CO"/>
        </w:rPr>
        <w:t xml:space="preserve">27 de septiembre </w:t>
      </w:r>
      <w:r w:rsidRPr="00C02E1D">
        <w:rPr>
          <w:rFonts w:ascii="Verdana" w:hAnsi="Verdana"/>
          <w:sz w:val="20"/>
          <w:szCs w:val="20"/>
          <w:lang w:val="es-CO"/>
        </w:rPr>
        <w:t>de 2019 para presentar sus alegatos finales escritos y observaciones finales escritas, respectivamente, en relación con</w:t>
      </w:r>
      <w:r w:rsidR="00531D46" w:rsidRPr="00C02E1D">
        <w:rPr>
          <w:rFonts w:ascii="Verdana" w:hAnsi="Verdana"/>
          <w:sz w:val="20"/>
          <w:szCs w:val="20"/>
          <w:lang w:val="es-CO"/>
        </w:rPr>
        <w:t xml:space="preserve"> las excepciones preliminares y eventuales</w:t>
      </w:r>
      <w:r w:rsidRPr="00C02E1D">
        <w:rPr>
          <w:rFonts w:ascii="Verdana" w:hAnsi="Verdana"/>
          <w:sz w:val="20"/>
          <w:szCs w:val="20"/>
          <w:lang w:val="es-CO"/>
        </w:rPr>
        <w:t xml:space="preserve"> fondo, reparaciones y costas en el presente caso.</w:t>
      </w:r>
      <w:r w:rsidR="00531D46" w:rsidRPr="00C02E1D">
        <w:rPr>
          <w:rFonts w:ascii="Verdana" w:hAnsi="Verdana"/>
          <w:sz w:val="20"/>
          <w:szCs w:val="20"/>
          <w:lang w:val="es-CO"/>
        </w:rPr>
        <w:t xml:space="preserve"> Este plazo es improrrogable.</w:t>
      </w:r>
    </w:p>
    <w:p w14:paraId="729EE7AE" w14:textId="77777777" w:rsidR="00531D46" w:rsidRPr="00C02E1D" w:rsidRDefault="00531D46" w:rsidP="0030244A">
      <w:pPr>
        <w:pStyle w:val="Normal1"/>
        <w:widowControl/>
        <w:autoSpaceDE w:val="0"/>
        <w:autoSpaceDN w:val="0"/>
        <w:adjustRightInd w:val="0"/>
        <w:contextualSpacing/>
        <w:jc w:val="both"/>
        <w:rPr>
          <w:rFonts w:ascii="Verdana" w:hAnsi="Verdana"/>
          <w:sz w:val="20"/>
          <w:szCs w:val="20"/>
          <w:lang w:val="es-CO"/>
        </w:rPr>
      </w:pPr>
    </w:p>
    <w:p w14:paraId="552AE0E4" w14:textId="77777777" w:rsidR="00531D46" w:rsidRPr="00C02E1D" w:rsidRDefault="00531D46" w:rsidP="0030244A">
      <w:pPr>
        <w:pStyle w:val="Normal1"/>
        <w:widowControl/>
        <w:numPr>
          <w:ilvl w:val="0"/>
          <w:numId w:val="9"/>
        </w:numPr>
        <w:autoSpaceDE w:val="0"/>
        <w:autoSpaceDN w:val="0"/>
        <w:adjustRightInd w:val="0"/>
        <w:ind w:left="0" w:firstLine="0"/>
        <w:contextualSpacing/>
        <w:jc w:val="both"/>
        <w:rPr>
          <w:rFonts w:ascii="Verdana" w:hAnsi="Verdana"/>
          <w:sz w:val="20"/>
          <w:szCs w:val="20"/>
          <w:lang w:val="es-CO"/>
        </w:rPr>
      </w:pPr>
      <w:r w:rsidRPr="00C02E1D">
        <w:rPr>
          <w:rFonts w:ascii="Verdana" w:hAnsi="Verdana"/>
          <w:sz w:val="20"/>
          <w:szCs w:val="20"/>
          <w:lang w:val="es-CO"/>
        </w:rPr>
        <w:t>Informar a las partes y a la Comisión que los gastos relativos a dos declaraciones ofrecidas por el representante serán cubiertos por el Fondo de Asistencia Legal de Víctimas, de conformidad a lo señalado</w:t>
      </w:r>
      <w:r w:rsidR="00DE0F18" w:rsidRPr="00C02E1D">
        <w:rPr>
          <w:rFonts w:ascii="Verdana" w:hAnsi="Verdana"/>
          <w:sz w:val="20"/>
          <w:szCs w:val="20"/>
          <w:lang w:val="es-CO"/>
        </w:rPr>
        <w:t xml:space="preserve"> en </w:t>
      </w:r>
      <w:r w:rsidR="00071004" w:rsidRPr="00C02E1D">
        <w:rPr>
          <w:rFonts w:ascii="Verdana" w:hAnsi="Verdana"/>
          <w:sz w:val="20"/>
          <w:szCs w:val="20"/>
          <w:lang w:val="es-CO"/>
        </w:rPr>
        <w:t>los</w:t>
      </w:r>
      <w:r w:rsidR="00DE0F18" w:rsidRPr="00C02E1D">
        <w:rPr>
          <w:rFonts w:ascii="Verdana" w:hAnsi="Verdana"/>
          <w:sz w:val="20"/>
          <w:szCs w:val="20"/>
          <w:lang w:val="es-CO"/>
        </w:rPr>
        <w:t xml:space="preserve"> párrafo</w:t>
      </w:r>
      <w:r w:rsidR="00071004" w:rsidRPr="00C02E1D">
        <w:rPr>
          <w:rFonts w:ascii="Verdana" w:hAnsi="Verdana"/>
          <w:sz w:val="20"/>
          <w:szCs w:val="20"/>
          <w:lang w:val="es-CO"/>
        </w:rPr>
        <w:t>s</w:t>
      </w:r>
      <w:r w:rsidR="00DE0F18" w:rsidRPr="00C02E1D">
        <w:rPr>
          <w:rFonts w:ascii="Verdana" w:hAnsi="Verdana"/>
          <w:sz w:val="20"/>
          <w:szCs w:val="20"/>
          <w:lang w:val="es-CO"/>
        </w:rPr>
        <w:t xml:space="preserve"> considerativo</w:t>
      </w:r>
      <w:r w:rsidR="00071004" w:rsidRPr="00C02E1D">
        <w:rPr>
          <w:rFonts w:ascii="Verdana" w:hAnsi="Verdana"/>
          <w:sz w:val="20"/>
          <w:szCs w:val="20"/>
          <w:lang w:val="es-CO"/>
        </w:rPr>
        <w:t>s</w:t>
      </w:r>
      <w:r w:rsidR="00DE0F18" w:rsidRPr="00C02E1D">
        <w:rPr>
          <w:rFonts w:ascii="Verdana" w:hAnsi="Verdana"/>
          <w:sz w:val="20"/>
          <w:szCs w:val="20"/>
          <w:lang w:val="es-CO"/>
        </w:rPr>
        <w:t xml:space="preserve"> </w:t>
      </w:r>
      <w:r w:rsidR="001E265F">
        <w:rPr>
          <w:rFonts w:ascii="Verdana" w:hAnsi="Verdana"/>
          <w:sz w:val="20"/>
          <w:szCs w:val="20"/>
          <w:lang w:val="es-CO"/>
        </w:rPr>
        <w:t>28 a 32</w:t>
      </w:r>
      <w:r w:rsidR="00DE0F18" w:rsidRPr="00C02E1D">
        <w:rPr>
          <w:rFonts w:ascii="Verdana" w:hAnsi="Verdana"/>
          <w:sz w:val="20"/>
          <w:szCs w:val="20"/>
          <w:lang w:val="es-CO"/>
        </w:rPr>
        <w:t xml:space="preserve"> </w:t>
      </w:r>
      <w:r w:rsidRPr="00C02E1D">
        <w:rPr>
          <w:rFonts w:ascii="Verdana" w:hAnsi="Verdana"/>
          <w:sz w:val="20"/>
          <w:szCs w:val="20"/>
          <w:lang w:val="es-CO"/>
        </w:rPr>
        <w:t>de la presente Resolución.</w:t>
      </w:r>
    </w:p>
    <w:p w14:paraId="69026D35" w14:textId="77777777" w:rsidR="00EF3B40" w:rsidRPr="00C02E1D" w:rsidRDefault="00EF3B40" w:rsidP="0030244A">
      <w:pPr>
        <w:pStyle w:val="Normal1"/>
        <w:widowControl/>
        <w:autoSpaceDE w:val="0"/>
        <w:autoSpaceDN w:val="0"/>
        <w:adjustRightInd w:val="0"/>
        <w:contextualSpacing/>
        <w:jc w:val="both"/>
        <w:rPr>
          <w:rFonts w:ascii="Verdana" w:hAnsi="Verdana"/>
          <w:sz w:val="20"/>
          <w:szCs w:val="20"/>
          <w:lang w:val="es-CO"/>
        </w:rPr>
      </w:pPr>
    </w:p>
    <w:p w14:paraId="1D24770D" w14:textId="77777777" w:rsidR="00EF3B40" w:rsidRPr="00C02E1D" w:rsidRDefault="00EF3B40" w:rsidP="0030244A">
      <w:pPr>
        <w:pStyle w:val="Normal1"/>
        <w:widowControl/>
        <w:numPr>
          <w:ilvl w:val="0"/>
          <w:numId w:val="9"/>
        </w:numPr>
        <w:autoSpaceDE w:val="0"/>
        <w:autoSpaceDN w:val="0"/>
        <w:adjustRightInd w:val="0"/>
        <w:ind w:left="0" w:firstLine="0"/>
        <w:contextualSpacing/>
        <w:jc w:val="both"/>
        <w:rPr>
          <w:rFonts w:ascii="Verdana" w:hAnsi="Verdana"/>
          <w:sz w:val="20"/>
          <w:szCs w:val="20"/>
          <w:lang w:val="es-CO"/>
        </w:rPr>
      </w:pPr>
      <w:r w:rsidRPr="00C02E1D">
        <w:rPr>
          <w:rFonts w:ascii="Verdana" w:hAnsi="Verdana"/>
          <w:sz w:val="20"/>
          <w:szCs w:val="20"/>
          <w:lang w:val="es-CO"/>
        </w:rPr>
        <w:t>Disponer, de conformidad con el artículo 4 del Reglamento de la Corte sobre el Funcionamiento del Fondo de Asistencia Legal de Víctimas, que la Secretaría del Tribunal abra un expediente de gastos, donde se documentará cada una de las erogaciones que se realicen con el Fondo de Asistencia Legal de Víctimas.</w:t>
      </w:r>
      <w:r w:rsidR="00531D46" w:rsidRPr="00C02E1D">
        <w:rPr>
          <w:rFonts w:ascii="Verdana" w:hAnsi="Verdana"/>
          <w:sz w:val="20"/>
          <w:szCs w:val="20"/>
          <w:lang w:val="es-CO"/>
        </w:rPr>
        <w:t xml:space="preserve"> En los términos del artículo 5 del Reglamento del Fondo, oportunamente se informará al Estado acerca de tales erogaciones, a efectos de que presente sus observaciones, si así lo desea, dentro del plazo que se establezca al efecto.</w:t>
      </w:r>
    </w:p>
    <w:p w14:paraId="1AF7FDAC" w14:textId="77777777" w:rsidR="00EF3B40" w:rsidRPr="00C02E1D" w:rsidRDefault="00EF3B40" w:rsidP="0030244A">
      <w:pPr>
        <w:pStyle w:val="Normal1"/>
        <w:widowControl/>
        <w:autoSpaceDE w:val="0"/>
        <w:autoSpaceDN w:val="0"/>
        <w:adjustRightInd w:val="0"/>
        <w:contextualSpacing/>
        <w:jc w:val="both"/>
        <w:rPr>
          <w:rFonts w:ascii="Verdana" w:hAnsi="Verdana"/>
          <w:sz w:val="20"/>
          <w:szCs w:val="20"/>
          <w:lang w:val="es-CO"/>
        </w:rPr>
      </w:pPr>
    </w:p>
    <w:p w14:paraId="36CB820E" w14:textId="77777777" w:rsidR="00EF3B40" w:rsidRPr="00C02E1D" w:rsidRDefault="00EF3B40" w:rsidP="0030244A">
      <w:pPr>
        <w:pStyle w:val="Normal1"/>
        <w:widowControl/>
        <w:numPr>
          <w:ilvl w:val="0"/>
          <w:numId w:val="9"/>
        </w:numPr>
        <w:autoSpaceDE w:val="0"/>
        <w:autoSpaceDN w:val="0"/>
        <w:adjustRightInd w:val="0"/>
        <w:ind w:left="0" w:firstLine="0"/>
        <w:contextualSpacing/>
        <w:jc w:val="both"/>
        <w:rPr>
          <w:rFonts w:ascii="Verdana" w:hAnsi="Verdana"/>
          <w:sz w:val="20"/>
          <w:szCs w:val="20"/>
          <w:lang w:val="es-CO"/>
        </w:rPr>
      </w:pPr>
      <w:r w:rsidRPr="00C02E1D">
        <w:rPr>
          <w:rFonts w:ascii="Verdana" w:hAnsi="Verdana"/>
          <w:sz w:val="20"/>
          <w:szCs w:val="20"/>
          <w:lang w:val="es-CO"/>
        </w:rPr>
        <w:t>Disponer que la Secretaría de la Corte Interamericana notifique la presente Resolución a la Comisión Interamericana de Derechos Humanos, a</w:t>
      </w:r>
      <w:r w:rsidR="00531D46" w:rsidRPr="00C02E1D">
        <w:rPr>
          <w:rFonts w:ascii="Verdana" w:hAnsi="Verdana"/>
          <w:sz w:val="20"/>
          <w:szCs w:val="20"/>
          <w:lang w:val="es-CO"/>
        </w:rPr>
        <w:t>l</w:t>
      </w:r>
      <w:r w:rsidRPr="00C02E1D">
        <w:rPr>
          <w:rFonts w:ascii="Verdana" w:hAnsi="Verdana"/>
          <w:sz w:val="20"/>
          <w:szCs w:val="20"/>
          <w:lang w:val="es-CO"/>
        </w:rPr>
        <w:t xml:space="preserve"> representante y al Estado.</w:t>
      </w:r>
    </w:p>
    <w:p w14:paraId="3849335F" w14:textId="77777777" w:rsidR="00EF3B40" w:rsidRPr="00C02E1D" w:rsidRDefault="00EF3B40" w:rsidP="0030244A">
      <w:pPr>
        <w:spacing w:line="240" w:lineRule="auto"/>
        <w:jc w:val="both"/>
        <w:rPr>
          <w:rFonts w:ascii="Verdana" w:hAnsi="Verdana"/>
          <w:sz w:val="20"/>
          <w:szCs w:val="20"/>
          <w:lang w:val="es-CO"/>
        </w:rPr>
      </w:pPr>
    </w:p>
    <w:p w14:paraId="6B4486A5" w14:textId="2D138E5E" w:rsidR="00364D91" w:rsidRPr="00C02E1D" w:rsidRDefault="00A369EA" w:rsidP="0030244A">
      <w:pPr>
        <w:spacing w:line="240" w:lineRule="auto"/>
        <w:jc w:val="both"/>
        <w:rPr>
          <w:rFonts w:ascii="Verdana" w:hAnsi="Verdana"/>
          <w:sz w:val="20"/>
          <w:szCs w:val="20"/>
          <w:lang w:val="es-CO"/>
        </w:rPr>
      </w:pPr>
      <w:r w:rsidRPr="00C02E1D">
        <w:rPr>
          <w:rFonts w:ascii="Verdana" w:hAnsi="Verdana"/>
          <w:sz w:val="20"/>
          <w:szCs w:val="20"/>
          <w:lang w:val="es-CO"/>
        </w:rPr>
        <w:lastRenderedPageBreak/>
        <w:t>Resolución del Presidente de la Corte Interamericana de Derechos Humanos. Caso Montesinos Mejía</w:t>
      </w:r>
      <w:r w:rsidR="00034B76">
        <w:rPr>
          <w:rFonts w:ascii="Verdana" w:hAnsi="Verdana"/>
          <w:sz w:val="20"/>
          <w:szCs w:val="20"/>
          <w:lang w:val="es-CO"/>
        </w:rPr>
        <w:t xml:space="preserve"> Vs. </w:t>
      </w:r>
      <w:r w:rsidRPr="00C02E1D">
        <w:rPr>
          <w:rFonts w:ascii="Verdana" w:hAnsi="Verdana"/>
          <w:sz w:val="20"/>
          <w:szCs w:val="20"/>
          <w:lang w:val="es-CO"/>
        </w:rPr>
        <w:t xml:space="preserve">Ecuador. </w:t>
      </w:r>
    </w:p>
    <w:p w14:paraId="5581DE74" w14:textId="77777777" w:rsidR="0002318D" w:rsidRPr="00C02E1D" w:rsidRDefault="0002318D" w:rsidP="0002318D">
      <w:pPr>
        <w:spacing w:line="240" w:lineRule="auto"/>
        <w:jc w:val="both"/>
        <w:rPr>
          <w:rFonts w:ascii="Verdana" w:hAnsi="Verdana"/>
          <w:sz w:val="20"/>
          <w:szCs w:val="20"/>
          <w:lang w:val="es-CO"/>
        </w:rPr>
      </w:pPr>
    </w:p>
    <w:p w14:paraId="723FDAC9" w14:textId="208639DF" w:rsidR="0002318D" w:rsidRDefault="0002318D" w:rsidP="0002318D">
      <w:pPr>
        <w:tabs>
          <w:tab w:val="left" w:pos="2214"/>
        </w:tabs>
        <w:spacing w:line="240" w:lineRule="auto"/>
        <w:ind w:left="5040"/>
        <w:jc w:val="center"/>
        <w:rPr>
          <w:rFonts w:ascii="Verdana" w:hAnsi="Verdana"/>
          <w:sz w:val="20"/>
          <w:szCs w:val="20"/>
          <w:lang w:val="es-CO"/>
        </w:rPr>
      </w:pPr>
    </w:p>
    <w:p w14:paraId="16B93846" w14:textId="4F927B61" w:rsidR="0002318D" w:rsidRDefault="0002318D" w:rsidP="0002318D">
      <w:pPr>
        <w:tabs>
          <w:tab w:val="left" w:pos="2214"/>
        </w:tabs>
        <w:spacing w:line="240" w:lineRule="auto"/>
        <w:ind w:left="5040"/>
        <w:jc w:val="center"/>
        <w:rPr>
          <w:rFonts w:ascii="Verdana" w:hAnsi="Verdana"/>
          <w:sz w:val="20"/>
          <w:szCs w:val="20"/>
          <w:lang w:val="es-CO"/>
        </w:rPr>
      </w:pPr>
    </w:p>
    <w:p w14:paraId="5AB09471" w14:textId="77777777" w:rsidR="0002318D" w:rsidRDefault="0002318D" w:rsidP="0002318D">
      <w:pPr>
        <w:tabs>
          <w:tab w:val="left" w:pos="2214"/>
        </w:tabs>
        <w:spacing w:line="240" w:lineRule="auto"/>
        <w:ind w:left="5040"/>
        <w:jc w:val="center"/>
        <w:rPr>
          <w:rFonts w:ascii="Verdana" w:hAnsi="Verdana"/>
          <w:sz w:val="20"/>
          <w:szCs w:val="20"/>
          <w:lang w:val="es-CO"/>
        </w:rPr>
      </w:pPr>
    </w:p>
    <w:p w14:paraId="433BAA09" w14:textId="0D116464" w:rsidR="0002318D" w:rsidRPr="00CB796E" w:rsidRDefault="0002318D" w:rsidP="0002318D">
      <w:pPr>
        <w:tabs>
          <w:tab w:val="left" w:pos="2214"/>
        </w:tabs>
        <w:spacing w:line="240" w:lineRule="auto"/>
        <w:ind w:left="5040"/>
        <w:jc w:val="center"/>
        <w:rPr>
          <w:rFonts w:ascii="Verdana" w:hAnsi="Verdana"/>
          <w:color w:val="FF0000"/>
          <w:sz w:val="20"/>
          <w:szCs w:val="20"/>
          <w:lang w:val="es-CO"/>
        </w:rPr>
      </w:pPr>
    </w:p>
    <w:p w14:paraId="62F70631" w14:textId="77777777" w:rsidR="0002318D" w:rsidRDefault="0002318D" w:rsidP="0002318D">
      <w:pPr>
        <w:tabs>
          <w:tab w:val="left" w:pos="2214"/>
        </w:tabs>
        <w:spacing w:line="240" w:lineRule="auto"/>
        <w:ind w:left="5040"/>
        <w:jc w:val="center"/>
        <w:rPr>
          <w:rFonts w:ascii="Verdana" w:hAnsi="Verdana"/>
          <w:sz w:val="20"/>
          <w:szCs w:val="20"/>
          <w:lang w:val="es-CO"/>
        </w:rPr>
      </w:pPr>
    </w:p>
    <w:p w14:paraId="39B5675C" w14:textId="77777777" w:rsidR="0002318D" w:rsidRPr="001E1770" w:rsidRDefault="0002318D" w:rsidP="0002318D">
      <w:pPr>
        <w:tabs>
          <w:tab w:val="left" w:pos="2214"/>
        </w:tabs>
        <w:spacing w:line="240" w:lineRule="auto"/>
        <w:ind w:left="5040"/>
        <w:jc w:val="center"/>
        <w:rPr>
          <w:rFonts w:ascii="Verdana" w:hAnsi="Verdana"/>
          <w:sz w:val="20"/>
          <w:szCs w:val="20"/>
          <w:lang w:val="es-CO"/>
        </w:rPr>
      </w:pPr>
      <w:r w:rsidRPr="001E1770">
        <w:rPr>
          <w:rFonts w:ascii="Verdana" w:hAnsi="Verdana"/>
          <w:sz w:val="20"/>
          <w:szCs w:val="20"/>
          <w:lang w:val="es-CO"/>
        </w:rPr>
        <w:t>Eduardo Ferrer Mac-</w:t>
      </w:r>
      <w:proofErr w:type="spellStart"/>
      <w:r w:rsidRPr="001E1770">
        <w:rPr>
          <w:rFonts w:ascii="Verdana" w:hAnsi="Verdana"/>
          <w:sz w:val="20"/>
          <w:szCs w:val="20"/>
          <w:lang w:val="es-CO"/>
        </w:rPr>
        <w:t>Gregor</w:t>
      </w:r>
      <w:proofErr w:type="spellEnd"/>
      <w:r w:rsidRPr="001E1770">
        <w:rPr>
          <w:rFonts w:ascii="Verdana" w:hAnsi="Verdana"/>
          <w:sz w:val="20"/>
          <w:szCs w:val="20"/>
          <w:lang w:val="es-CO"/>
        </w:rPr>
        <w:t xml:space="preserve"> </w:t>
      </w:r>
      <w:proofErr w:type="spellStart"/>
      <w:r w:rsidRPr="001E1770">
        <w:rPr>
          <w:rFonts w:ascii="Verdana" w:hAnsi="Verdana"/>
          <w:sz w:val="20"/>
          <w:szCs w:val="20"/>
          <w:lang w:val="es-CO"/>
        </w:rPr>
        <w:t>Poisot</w:t>
      </w:r>
      <w:proofErr w:type="spellEnd"/>
      <w:r w:rsidRPr="001E1770">
        <w:rPr>
          <w:rFonts w:ascii="Verdana" w:hAnsi="Verdana"/>
          <w:sz w:val="20"/>
          <w:szCs w:val="20"/>
          <w:lang w:val="es-CO"/>
        </w:rPr>
        <w:t xml:space="preserve"> </w:t>
      </w:r>
      <w:r w:rsidRPr="001E1770">
        <w:rPr>
          <w:rFonts w:ascii="Verdana" w:hAnsi="Verdana"/>
          <w:sz w:val="20"/>
          <w:szCs w:val="20"/>
          <w:lang w:val="es-CO"/>
        </w:rPr>
        <w:br/>
        <w:t>Presidente</w:t>
      </w:r>
    </w:p>
    <w:p w14:paraId="7F4AFAED" w14:textId="77777777" w:rsidR="0002318D" w:rsidRDefault="0002318D" w:rsidP="0002318D">
      <w:pPr>
        <w:tabs>
          <w:tab w:val="left" w:pos="2214"/>
        </w:tabs>
        <w:spacing w:line="240" w:lineRule="auto"/>
        <w:ind w:left="5040"/>
        <w:jc w:val="center"/>
        <w:rPr>
          <w:rFonts w:ascii="Verdana" w:hAnsi="Verdana"/>
          <w:sz w:val="20"/>
          <w:szCs w:val="20"/>
          <w:lang w:val="es-CO"/>
        </w:rPr>
      </w:pPr>
    </w:p>
    <w:p w14:paraId="7A895360" w14:textId="77777777" w:rsidR="0002318D" w:rsidRPr="001E1770" w:rsidRDefault="0002318D" w:rsidP="0002318D">
      <w:pPr>
        <w:tabs>
          <w:tab w:val="left" w:pos="2214"/>
        </w:tabs>
        <w:spacing w:line="240" w:lineRule="auto"/>
        <w:ind w:left="5040"/>
        <w:jc w:val="center"/>
        <w:rPr>
          <w:rFonts w:ascii="Verdana" w:hAnsi="Verdana"/>
          <w:sz w:val="20"/>
          <w:szCs w:val="20"/>
          <w:lang w:val="es-CO"/>
        </w:rPr>
      </w:pPr>
    </w:p>
    <w:p w14:paraId="01507EB1" w14:textId="77777777" w:rsidR="0002318D" w:rsidRDefault="0002318D" w:rsidP="0002318D">
      <w:pPr>
        <w:tabs>
          <w:tab w:val="left" w:pos="2214"/>
        </w:tabs>
        <w:spacing w:line="240" w:lineRule="auto"/>
        <w:rPr>
          <w:rFonts w:ascii="Verdana" w:hAnsi="Verdana"/>
          <w:sz w:val="20"/>
          <w:szCs w:val="20"/>
          <w:lang w:val="es-CO"/>
        </w:rPr>
      </w:pPr>
      <w:r w:rsidRPr="00C02E1D">
        <w:rPr>
          <w:rFonts w:ascii="Verdana" w:hAnsi="Verdana"/>
          <w:sz w:val="20"/>
          <w:szCs w:val="20"/>
          <w:lang w:val="es-CO"/>
        </w:rPr>
        <w:t xml:space="preserve">Pablo Saavedra Alessandri </w:t>
      </w:r>
      <w:r w:rsidRPr="00C02E1D">
        <w:rPr>
          <w:rFonts w:ascii="Verdana" w:hAnsi="Verdana"/>
          <w:sz w:val="20"/>
          <w:szCs w:val="20"/>
          <w:lang w:val="es-CO"/>
        </w:rPr>
        <w:br/>
        <w:t xml:space="preserve">          Secretario</w:t>
      </w:r>
    </w:p>
    <w:p w14:paraId="081906AC" w14:textId="77777777" w:rsidR="0002318D" w:rsidRDefault="0002318D" w:rsidP="0002318D">
      <w:pPr>
        <w:tabs>
          <w:tab w:val="left" w:pos="2214"/>
        </w:tabs>
        <w:spacing w:line="240" w:lineRule="auto"/>
        <w:rPr>
          <w:rFonts w:ascii="Verdana" w:hAnsi="Verdana"/>
          <w:sz w:val="20"/>
          <w:szCs w:val="20"/>
          <w:lang w:val="es-CO"/>
        </w:rPr>
      </w:pPr>
    </w:p>
    <w:p w14:paraId="4321BB11" w14:textId="77777777" w:rsidR="0002318D" w:rsidRDefault="0002318D" w:rsidP="0002318D">
      <w:pPr>
        <w:tabs>
          <w:tab w:val="left" w:pos="2214"/>
        </w:tabs>
        <w:spacing w:line="240" w:lineRule="auto"/>
        <w:rPr>
          <w:rFonts w:ascii="Verdana" w:hAnsi="Verdana"/>
          <w:sz w:val="20"/>
          <w:szCs w:val="20"/>
          <w:lang w:val="es-CO"/>
        </w:rPr>
      </w:pPr>
    </w:p>
    <w:p w14:paraId="00126491" w14:textId="77777777" w:rsidR="0002318D" w:rsidRPr="00C02E1D" w:rsidRDefault="0002318D" w:rsidP="0002318D">
      <w:pPr>
        <w:tabs>
          <w:tab w:val="left" w:pos="2214"/>
        </w:tabs>
        <w:spacing w:line="240" w:lineRule="auto"/>
        <w:rPr>
          <w:rFonts w:ascii="Verdana" w:hAnsi="Verdana"/>
          <w:sz w:val="20"/>
          <w:szCs w:val="20"/>
          <w:lang w:val="es-CO"/>
        </w:rPr>
      </w:pPr>
    </w:p>
    <w:p w14:paraId="5CA8C153" w14:textId="77777777" w:rsidR="0002318D" w:rsidRPr="00C02E1D" w:rsidRDefault="0002318D" w:rsidP="0002318D">
      <w:pPr>
        <w:tabs>
          <w:tab w:val="left" w:pos="2214"/>
        </w:tabs>
        <w:spacing w:line="240" w:lineRule="auto"/>
        <w:rPr>
          <w:rFonts w:ascii="Verdana" w:hAnsi="Verdana"/>
          <w:sz w:val="20"/>
          <w:szCs w:val="20"/>
          <w:lang w:val="es-CO"/>
        </w:rPr>
      </w:pPr>
    </w:p>
    <w:p w14:paraId="510D8543" w14:textId="6A26A61A" w:rsidR="0002318D" w:rsidRDefault="0002318D" w:rsidP="0002318D">
      <w:pPr>
        <w:tabs>
          <w:tab w:val="left" w:pos="2214"/>
        </w:tabs>
        <w:spacing w:line="240" w:lineRule="auto"/>
        <w:rPr>
          <w:rFonts w:ascii="Verdana" w:hAnsi="Verdana"/>
          <w:sz w:val="20"/>
          <w:szCs w:val="20"/>
          <w:lang w:val="es-CO"/>
        </w:rPr>
      </w:pPr>
      <w:r w:rsidRPr="00C02E1D">
        <w:rPr>
          <w:rFonts w:ascii="Verdana" w:hAnsi="Verdana"/>
          <w:sz w:val="20"/>
          <w:szCs w:val="20"/>
          <w:lang w:val="es-CO"/>
        </w:rPr>
        <w:t xml:space="preserve">Comuníquese y ejecútese, </w:t>
      </w:r>
    </w:p>
    <w:p w14:paraId="0EBE4957" w14:textId="77777777" w:rsidR="0002318D" w:rsidRDefault="0002318D" w:rsidP="0002318D">
      <w:pPr>
        <w:tabs>
          <w:tab w:val="left" w:pos="2214"/>
        </w:tabs>
        <w:spacing w:line="240" w:lineRule="auto"/>
        <w:rPr>
          <w:rFonts w:ascii="Verdana" w:hAnsi="Verdana"/>
          <w:sz w:val="20"/>
          <w:szCs w:val="20"/>
          <w:lang w:val="es-CO"/>
        </w:rPr>
      </w:pPr>
    </w:p>
    <w:p w14:paraId="35103498" w14:textId="77777777" w:rsidR="0002318D" w:rsidRDefault="0002318D" w:rsidP="0002318D">
      <w:pPr>
        <w:tabs>
          <w:tab w:val="left" w:pos="2214"/>
        </w:tabs>
        <w:spacing w:line="240" w:lineRule="auto"/>
        <w:rPr>
          <w:rFonts w:ascii="Verdana" w:hAnsi="Verdana"/>
          <w:sz w:val="20"/>
          <w:szCs w:val="20"/>
          <w:lang w:val="es-CO"/>
        </w:rPr>
      </w:pPr>
    </w:p>
    <w:p w14:paraId="49BE8894" w14:textId="77777777" w:rsidR="0002318D" w:rsidRDefault="0002318D" w:rsidP="0002318D">
      <w:pPr>
        <w:tabs>
          <w:tab w:val="left" w:pos="2214"/>
        </w:tabs>
        <w:spacing w:line="240" w:lineRule="auto"/>
        <w:rPr>
          <w:rFonts w:ascii="Verdana" w:hAnsi="Verdana"/>
          <w:sz w:val="20"/>
          <w:szCs w:val="20"/>
          <w:lang w:val="es-CO"/>
        </w:rPr>
      </w:pPr>
    </w:p>
    <w:p w14:paraId="2D8A7C0B" w14:textId="77777777" w:rsidR="0002318D" w:rsidRDefault="0002318D" w:rsidP="0002318D">
      <w:pPr>
        <w:tabs>
          <w:tab w:val="left" w:pos="2214"/>
        </w:tabs>
        <w:spacing w:line="240" w:lineRule="auto"/>
        <w:rPr>
          <w:rFonts w:ascii="Verdana" w:hAnsi="Verdana"/>
          <w:sz w:val="20"/>
          <w:szCs w:val="20"/>
          <w:lang w:val="es-CO"/>
        </w:rPr>
      </w:pPr>
    </w:p>
    <w:p w14:paraId="34C58983" w14:textId="1813AC6C" w:rsidR="0002318D" w:rsidRPr="00C02E1D" w:rsidRDefault="0002318D" w:rsidP="0002318D">
      <w:pPr>
        <w:tabs>
          <w:tab w:val="left" w:pos="2214"/>
        </w:tabs>
        <w:spacing w:line="240" w:lineRule="auto"/>
        <w:rPr>
          <w:rFonts w:ascii="Verdana" w:hAnsi="Verdana"/>
          <w:sz w:val="20"/>
          <w:szCs w:val="20"/>
          <w:lang w:val="es-CO"/>
        </w:rPr>
      </w:pPr>
    </w:p>
    <w:p w14:paraId="1939466D" w14:textId="77777777" w:rsidR="0002318D" w:rsidRPr="00C02E1D" w:rsidRDefault="0002318D" w:rsidP="0002318D">
      <w:pPr>
        <w:tabs>
          <w:tab w:val="left" w:pos="2214"/>
        </w:tabs>
        <w:spacing w:line="240" w:lineRule="auto"/>
        <w:ind w:left="5760"/>
        <w:jc w:val="center"/>
        <w:rPr>
          <w:rFonts w:ascii="Verdana" w:hAnsi="Verdana"/>
          <w:sz w:val="20"/>
          <w:szCs w:val="20"/>
          <w:lang w:val="es-CO"/>
        </w:rPr>
      </w:pPr>
      <w:r w:rsidRPr="00C02E1D">
        <w:rPr>
          <w:rFonts w:ascii="Verdana" w:hAnsi="Verdana"/>
          <w:sz w:val="20"/>
          <w:szCs w:val="20"/>
          <w:lang w:val="es-CO"/>
        </w:rPr>
        <w:t>Eduardo Ferrer Mac-</w:t>
      </w:r>
      <w:proofErr w:type="spellStart"/>
      <w:r w:rsidRPr="00C02E1D">
        <w:rPr>
          <w:rFonts w:ascii="Verdana" w:hAnsi="Verdana"/>
          <w:sz w:val="20"/>
          <w:szCs w:val="20"/>
          <w:lang w:val="es-CO"/>
        </w:rPr>
        <w:t>Gregor</w:t>
      </w:r>
      <w:proofErr w:type="spellEnd"/>
      <w:r w:rsidRPr="00C02E1D">
        <w:rPr>
          <w:rFonts w:ascii="Verdana" w:hAnsi="Verdana"/>
          <w:sz w:val="20"/>
          <w:szCs w:val="20"/>
          <w:lang w:val="es-CO"/>
        </w:rPr>
        <w:t xml:space="preserve"> </w:t>
      </w:r>
      <w:proofErr w:type="spellStart"/>
      <w:r w:rsidRPr="00C02E1D">
        <w:rPr>
          <w:rFonts w:ascii="Verdana" w:hAnsi="Verdana"/>
          <w:sz w:val="20"/>
          <w:szCs w:val="20"/>
          <w:lang w:val="es-CO"/>
        </w:rPr>
        <w:t>Poisot</w:t>
      </w:r>
      <w:proofErr w:type="spellEnd"/>
      <w:r w:rsidRPr="00C02E1D">
        <w:rPr>
          <w:rFonts w:ascii="Verdana" w:hAnsi="Verdana"/>
          <w:sz w:val="20"/>
          <w:szCs w:val="20"/>
          <w:lang w:val="es-CO"/>
        </w:rPr>
        <w:t xml:space="preserve"> </w:t>
      </w:r>
      <w:r w:rsidRPr="00C02E1D">
        <w:rPr>
          <w:rFonts w:ascii="Verdana" w:hAnsi="Verdana"/>
          <w:sz w:val="20"/>
          <w:szCs w:val="20"/>
          <w:lang w:val="es-CO"/>
        </w:rPr>
        <w:br/>
        <w:t>Presidente</w:t>
      </w:r>
    </w:p>
    <w:p w14:paraId="454F8349" w14:textId="77777777" w:rsidR="0002318D" w:rsidRPr="00C02E1D" w:rsidRDefault="0002318D" w:rsidP="0002318D">
      <w:pPr>
        <w:tabs>
          <w:tab w:val="left" w:pos="2214"/>
        </w:tabs>
        <w:spacing w:line="240" w:lineRule="auto"/>
        <w:ind w:left="5760"/>
        <w:jc w:val="center"/>
        <w:rPr>
          <w:rFonts w:ascii="Verdana" w:hAnsi="Verdana"/>
          <w:sz w:val="20"/>
          <w:szCs w:val="20"/>
          <w:lang w:val="es-CO"/>
        </w:rPr>
      </w:pPr>
    </w:p>
    <w:p w14:paraId="166C707F" w14:textId="63F94F74" w:rsidR="0002318D" w:rsidRDefault="0002318D" w:rsidP="0002318D">
      <w:pPr>
        <w:pStyle w:val="Textoindependiente"/>
      </w:pPr>
    </w:p>
    <w:p w14:paraId="59247DF8" w14:textId="77777777" w:rsidR="0002318D" w:rsidRDefault="0002318D" w:rsidP="0002318D">
      <w:pPr>
        <w:pStyle w:val="Textoindependiente"/>
      </w:pPr>
    </w:p>
    <w:p w14:paraId="4C6E6CC7" w14:textId="38193AE0" w:rsidR="00EF3B40" w:rsidRPr="00C02E1D" w:rsidRDefault="0002318D" w:rsidP="0002318D">
      <w:pPr>
        <w:pStyle w:val="Textoindependiente"/>
      </w:pPr>
      <w:r w:rsidRPr="00C02E1D">
        <w:t xml:space="preserve">Pablo Saavedra Alessandri </w:t>
      </w:r>
      <w:r w:rsidRPr="00C02E1D">
        <w:br/>
        <w:t xml:space="preserve">           Secretario</w:t>
      </w:r>
    </w:p>
    <w:sectPr w:rsidR="00EF3B40" w:rsidRPr="00C02E1D" w:rsidSect="001153FC">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387E07" w14:textId="77777777" w:rsidR="000F1E6B" w:rsidRDefault="000F1E6B" w:rsidP="00F4757D">
      <w:pPr>
        <w:spacing w:after="0" w:line="240" w:lineRule="auto"/>
      </w:pPr>
      <w:r>
        <w:separator/>
      </w:r>
    </w:p>
  </w:endnote>
  <w:endnote w:type="continuationSeparator" w:id="0">
    <w:p w14:paraId="25A7690B" w14:textId="77777777" w:rsidR="000F1E6B" w:rsidRDefault="000F1E6B" w:rsidP="00F47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92iergz">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D23EFC" w14:textId="77777777" w:rsidR="000F1E6B" w:rsidRDefault="000F1E6B" w:rsidP="00F4757D">
      <w:pPr>
        <w:spacing w:after="0" w:line="240" w:lineRule="auto"/>
      </w:pPr>
      <w:r>
        <w:separator/>
      </w:r>
    </w:p>
  </w:footnote>
  <w:footnote w:type="continuationSeparator" w:id="0">
    <w:p w14:paraId="17664CFF" w14:textId="77777777" w:rsidR="000F1E6B" w:rsidRDefault="000F1E6B" w:rsidP="00F4757D">
      <w:pPr>
        <w:spacing w:after="0" w:line="240" w:lineRule="auto"/>
      </w:pPr>
      <w:r>
        <w:continuationSeparator/>
      </w:r>
    </w:p>
  </w:footnote>
  <w:footnote w:id="1">
    <w:p w14:paraId="780BF429" w14:textId="77777777" w:rsidR="00476B5F" w:rsidRPr="00C02E1D" w:rsidRDefault="00476B5F" w:rsidP="00C02E1D">
      <w:pPr>
        <w:pStyle w:val="Textonotapie"/>
        <w:jc w:val="both"/>
        <w:rPr>
          <w:rFonts w:ascii="Verdana" w:hAnsi="Verdana"/>
          <w:b/>
          <w:sz w:val="16"/>
          <w:szCs w:val="16"/>
          <w:lang w:val="es-CR"/>
        </w:rPr>
      </w:pPr>
      <w:r w:rsidRPr="00C02E1D">
        <w:rPr>
          <w:rStyle w:val="Refdenotaalpie"/>
          <w:rFonts w:ascii="Verdana" w:hAnsi="Verdana"/>
          <w:sz w:val="16"/>
          <w:szCs w:val="16"/>
        </w:rPr>
        <w:footnoteRef/>
      </w:r>
      <w:r w:rsidR="00901B6F" w:rsidRPr="00C02E1D">
        <w:rPr>
          <w:rFonts w:ascii="Verdana" w:hAnsi="Verdana"/>
          <w:sz w:val="16"/>
          <w:szCs w:val="16"/>
          <w:lang w:val="es-CR"/>
        </w:rPr>
        <w:t xml:space="preserve"> </w:t>
      </w:r>
      <w:r w:rsidRPr="00C02E1D">
        <w:rPr>
          <w:rFonts w:ascii="Verdana" w:hAnsi="Verdana"/>
          <w:sz w:val="16"/>
          <w:szCs w:val="16"/>
          <w:lang w:val="es-CR"/>
        </w:rPr>
        <w:t>E</w:t>
      </w:r>
      <w:r w:rsidR="007C1871" w:rsidRPr="00C02E1D">
        <w:rPr>
          <w:rFonts w:ascii="Verdana" w:hAnsi="Verdana"/>
          <w:sz w:val="16"/>
          <w:szCs w:val="16"/>
          <w:lang w:val="es-CR"/>
        </w:rPr>
        <w:t xml:space="preserve">n el presente caso, la presunta víctima está representada por </w:t>
      </w:r>
      <w:r w:rsidR="00ED2748" w:rsidRPr="00C02E1D">
        <w:rPr>
          <w:rFonts w:ascii="Verdana" w:hAnsi="Verdana"/>
          <w:sz w:val="16"/>
          <w:szCs w:val="16"/>
          <w:lang w:val="es-CR"/>
        </w:rPr>
        <w:t xml:space="preserve">el abogado </w:t>
      </w:r>
      <w:r w:rsidRPr="00C02E1D">
        <w:rPr>
          <w:rFonts w:ascii="Verdana" w:hAnsi="Verdana"/>
          <w:sz w:val="16"/>
          <w:szCs w:val="16"/>
          <w:lang w:val="es-CR"/>
        </w:rPr>
        <w:t>Alejandro</w:t>
      </w:r>
      <w:r w:rsidR="00ED2748" w:rsidRPr="00C02E1D">
        <w:rPr>
          <w:rFonts w:ascii="Verdana" w:hAnsi="Verdana"/>
          <w:sz w:val="16"/>
          <w:szCs w:val="16"/>
          <w:lang w:val="es-CR"/>
        </w:rPr>
        <w:t xml:space="preserve"> Ernesto </w:t>
      </w:r>
      <w:r w:rsidRPr="00C02E1D">
        <w:rPr>
          <w:rFonts w:ascii="Verdana" w:hAnsi="Verdana"/>
          <w:sz w:val="16"/>
          <w:szCs w:val="16"/>
          <w:lang w:val="es-CR"/>
        </w:rPr>
        <w:t>Ponce Villacís.</w:t>
      </w:r>
    </w:p>
  </w:footnote>
  <w:footnote w:id="2">
    <w:p w14:paraId="7DA2C439" w14:textId="77777777" w:rsidR="009A3CC7" w:rsidRPr="00C02E1D" w:rsidRDefault="009A3CC7" w:rsidP="00C02E1D">
      <w:pPr>
        <w:pStyle w:val="Textonotapie"/>
        <w:jc w:val="both"/>
        <w:rPr>
          <w:rFonts w:ascii="Verdana" w:hAnsi="Verdana"/>
          <w:sz w:val="16"/>
          <w:szCs w:val="16"/>
          <w:lang w:val="es-MX"/>
        </w:rPr>
      </w:pPr>
      <w:r w:rsidRPr="00C02E1D">
        <w:rPr>
          <w:rStyle w:val="Refdenotaalpie"/>
          <w:rFonts w:ascii="Verdana" w:hAnsi="Verdana"/>
          <w:sz w:val="16"/>
          <w:szCs w:val="16"/>
        </w:rPr>
        <w:footnoteRef/>
      </w:r>
      <w:r w:rsidRPr="00C02E1D">
        <w:rPr>
          <w:rFonts w:ascii="Verdana" w:hAnsi="Verdana"/>
          <w:sz w:val="16"/>
          <w:szCs w:val="16"/>
          <w:lang w:val="es-MX"/>
        </w:rPr>
        <w:t xml:space="preserve"> Cfr</w:t>
      </w:r>
      <w:r w:rsidRPr="00C02E1D">
        <w:rPr>
          <w:rFonts w:ascii="Verdana" w:hAnsi="Verdana"/>
          <w:i/>
          <w:sz w:val="16"/>
          <w:szCs w:val="16"/>
          <w:lang w:val="es-MX"/>
        </w:rPr>
        <w:t>. Caso Herrera Espinoza y otros</w:t>
      </w:r>
      <w:r w:rsidR="00034B76">
        <w:rPr>
          <w:rFonts w:ascii="Verdana" w:hAnsi="Verdana"/>
          <w:i/>
          <w:sz w:val="16"/>
          <w:szCs w:val="16"/>
          <w:lang w:val="es-MX"/>
        </w:rPr>
        <w:t xml:space="preserve"> Vs. </w:t>
      </w:r>
      <w:r w:rsidRPr="00C02E1D">
        <w:rPr>
          <w:rFonts w:ascii="Verdana" w:hAnsi="Verdana"/>
          <w:i/>
          <w:sz w:val="16"/>
          <w:szCs w:val="16"/>
          <w:lang w:val="es-MX"/>
        </w:rPr>
        <w:t>Ecuador</w:t>
      </w:r>
      <w:r w:rsidRPr="00C02E1D">
        <w:rPr>
          <w:rFonts w:ascii="Verdana" w:hAnsi="Verdana"/>
          <w:sz w:val="16"/>
          <w:szCs w:val="16"/>
          <w:lang w:val="es-MX"/>
        </w:rPr>
        <w:t>. Resolución del Presidente de la Corte Interamericana de Derechos H</w:t>
      </w:r>
      <w:r w:rsidR="004A6782">
        <w:rPr>
          <w:rFonts w:ascii="Verdana" w:hAnsi="Verdana"/>
          <w:sz w:val="16"/>
          <w:szCs w:val="16"/>
          <w:lang w:val="es-MX"/>
        </w:rPr>
        <w:t>umanos de 10 de diciembre de 201</w:t>
      </w:r>
      <w:r w:rsidRPr="00C02E1D">
        <w:rPr>
          <w:rFonts w:ascii="Verdana" w:hAnsi="Verdana"/>
          <w:sz w:val="16"/>
          <w:szCs w:val="16"/>
          <w:lang w:val="es-MX"/>
        </w:rPr>
        <w:t>5, Considerandos 13 a 15 y 22.</w:t>
      </w:r>
    </w:p>
  </w:footnote>
  <w:footnote w:id="3">
    <w:p w14:paraId="684EBE4F" w14:textId="77777777" w:rsidR="00CF3A7B" w:rsidRPr="00C02E1D" w:rsidRDefault="00CF3A7B" w:rsidP="00C02E1D">
      <w:pPr>
        <w:pStyle w:val="Normal1"/>
        <w:widowControl/>
        <w:jc w:val="both"/>
        <w:rPr>
          <w:rFonts w:ascii="Verdana" w:hAnsi="Verdana"/>
          <w:sz w:val="16"/>
          <w:szCs w:val="16"/>
        </w:rPr>
      </w:pPr>
      <w:r w:rsidRPr="00C02E1D">
        <w:rPr>
          <w:rStyle w:val="Refdenotaalpie"/>
          <w:rFonts w:ascii="Verdana" w:hAnsi="Verdana"/>
          <w:sz w:val="16"/>
          <w:szCs w:val="16"/>
        </w:rPr>
        <w:footnoteRef/>
      </w:r>
      <w:r w:rsidR="00C37528" w:rsidRPr="00C02E1D">
        <w:rPr>
          <w:rFonts w:ascii="Verdana" w:hAnsi="Verdana"/>
          <w:sz w:val="16"/>
          <w:szCs w:val="16"/>
          <w:lang w:val="es-ES"/>
        </w:rPr>
        <w:t xml:space="preserve"> </w:t>
      </w:r>
      <w:r w:rsidRPr="00C02E1D">
        <w:rPr>
          <w:rFonts w:ascii="Verdana" w:hAnsi="Verdana"/>
          <w:i/>
          <w:sz w:val="16"/>
          <w:szCs w:val="16"/>
          <w:lang w:val="es-ES"/>
        </w:rPr>
        <w:t>Cfr. Caso "Cinco Pensionistas"</w:t>
      </w:r>
      <w:r w:rsidR="00034B76">
        <w:rPr>
          <w:rFonts w:ascii="Verdana" w:hAnsi="Verdana"/>
          <w:i/>
          <w:sz w:val="16"/>
          <w:szCs w:val="16"/>
          <w:lang w:val="es-ES"/>
        </w:rPr>
        <w:t xml:space="preserve"> Vs. </w:t>
      </w:r>
      <w:r w:rsidR="00C37528" w:rsidRPr="00C02E1D">
        <w:rPr>
          <w:rFonts w:ascii="Verdana" w:hAnsi="Verdana"/>
          <w:i/>
          <w:sz w:val="16"/>
          <w:szCs w:val="16"/>
          <w:lang w:val="es-ES"/>
        </w:rPr>
        <w:t>Perú</w:t>
      </w:r>
      <w:r w:rsidRPr="00C02E1D">
        <w:rPr>
          <w:rFonts w:ascii="Verdana" w:hAnsi="Verdana"/>
          <w:i/>
          <w:sz w:val="16"/>
          <w:szCs w:val="16"/>
          <w:lang w:val="es-ES"/>
        </w:rPr>
        <w:t>́. Fondo, Reparaciones y Costas</w:t>
      </w:r>
      <w:r w:rsidRPr="00C02E1D">
        <w:rPr>
          <w:rFonts w:ascii="Verdana" w:hAnsi="Verdana"/>
          <w:sz w:val="16"/>
          <w:szCs w:val="16"/>
          <w:lang w:val="es-ES"/>
        </w:rPr>
        <w:t xml:space="preserve">. Sentencia de 28 de febrero de 2003. Serie C No. 98, </w:t>
      </w:r>
      <w:proofErr w:type="spellStart"/>
      <w:r w:rsidRPr="00C02E1D">
        <w:rPr>
          <w:rFonts w:ascii="Verdana" w:hAnsi="Verdana"/>
          <w:sz w:val="16"/>
          <w:szCs w:val="16"/>
          <w:lang w:val="es-ES"/>
        </w:rPr>
        <w:t>párr</w:t>
      </w:r>
      <w:proofErr w:type="spellEnd"/>
      <w:r w:rsidRPr="00C02E1D">
        <w:rPr>
          <w:rFonts w:ascii="Verdana" w:hAnsi="Verdana"/>
          <w:sz w:val="16"/>
          <w:szCs w:val="16"/>
          <w:lang w:val="es-ES"/>
        </w:rPr>
        <w:t xml:space="preserve">. 156, y </w:t>
      </w:r>
      <w:r w:rsidRPr="00C02E1D">
        <w:rPr>
          <w:rFonts w:ascii="Verdana" w:hAnsi="Verdana"/>
          <w:i/>
          <w:sz w:val="16"/>
          <w:szCs w:val="16"/>
          <w:lang w:val="es-ES"/>
        </w:rPr>
        <w:t xml:space="preserve">Caso </w:t>
      </w:r>
      <w:r w:rsidR="00C37528" w:rsidRPr="00C02E1D">
        <w:rPr>
          <w:rFonts w:ascii="Verdana" w:hAnsi="Verdana"/>
          <w:i/>
          <w:sz w:val="16"/>
          <w:szCs w:val="16"/>
          <w:lang w:val="es-ES"/>
        </w:rPr>
        <w:t>López</w:t>
      </w:r>
      <w:r w:rsidRPr="00C02E1D">
        <w:rPr>
          <w:rFonts w:ascii="Verdana" w:hAnsi="Verdana"/>
          <w:i/>
          <w:sz w:val="16"/>
          <w:szCs w:val="16"/>
          <w:lang w:val="es-ES"/>
        </w:rPr>
        <w:t xml:space="preserve"> Soto y otros</w:t>
      </w:r>
      <w:r w:rsidR="00034B76">
        <w:rPr>
          <w:rFonts w:ascii="Verdana" w:hAnsi="Verdana"/>
          <w:i/>
          <w:sz w:val="16"/>
          <w:szCs w:val="16"/>
          <w:lang w:val="es-ES"/>
        </w:rPr>
        <w:t xml:space="preserve"> Vs. </w:t>
      </w:r>
      <w:r w:rsidRPr="00C02E1D">
        <w:rPr>
          <w:rFonts w:ascii="Verdana" w:hAnsi="Verdana"/>
          <w:i/>
          <w:sz w:val="16"/>
          <w:szCs w:val="16"/>
        </w:rPr>
        <w:t>Venezuela. Fondo, Reparaciones y Costas.</w:t>
      </w:r>
      <w:r w:rsidRPr="00C02E1D">
        <w:rPr>
          <w:rFonts w:ascii="Verdana" w:hAnsi="Verdana"/>
          <w:sz w:val="16"/>
          <w:szCs w:val="16"/>
        </w:rPr>
        <w:t xml:space="preserve"> Sentencia de 26 de septiembre de 2018. Serie C No. 362, </w:t>
      </w:r>
      <w:proofErr w:type="spellStart"/>
      <w:r w:rsidRPr="00C02E1D">
        <w:rPr>
          <w:rFonts w:ascii="Verdana" w:hAnsi="Verdana"/>
          <w:sz w:val="16"/>
          <w:szCs w:val="16"/>
        </w:rPr>
        <w:t>párr</w:t>
      </w:r>
      <w:proofErr w:type="spellEnd"/>
      <w:r w:rsidRPr="00C02E1D">
        <w:rPr>
          <w:rFonts w:ascii="Verdana" w:hAnsi="Verdana"/>
          <w:sz w:val="16"/>
          <w:szCs w:val="16"/>
        </w:rPr>
        <w:t>. 172</w:t>
      </w:r>
      <w:r w:rsidR="00034B76">
        <w:rPr>
          <w:rFonts w:ascii="Verdana" w:hAnsi="Verdana"/>
          <w:sz w:val="16"/>
          <w:szCs w:val="16"/>
        </w:rPr>
        <w:t>.</w:t>
      </w:r>
    </w:p>
  </w:footnote>
  <w:footnote w:id="4">
    <w:p w14:paraId="2FE7C36D" w14:textId="77777777" w:rsidR="000C3038" w:rsidRPr="00C02E1D" w:rsidRDefault="000C3038" w:rsidP="00C02E1D">
      <w:pPr>
        <w:pStyle w:val="Textonotapie"/>
        <w:jc w:val="both"/>
        <w:rPr>
          <w:rFonts w:ascii="Verdana" w:hAnsi="Verdana"/>
          <w:sz w:val="16"/>
          <w:szCs w:val="16"/>
          <w:lang w:val="es-MX"/>
        </w:rPr>
      </w:pPr>
      <w:r w:rsidRPr="00C02E1D">
        <w:rPr>
          <w:rStyle w:val="Refdenotaalpie"/>
          <w:rFonts w:ascii="Verdana" w:hAnsi="Verdana"/>
          <w:sz w:val="16"/>
          <w:szCs w:val="16"/>
        </w:rPr>
        <w:footnoteRef/>
      </w:r>
      <w:r w:rsidRPr="00C02E1D">
        <w:rPr>
          <w:rFonts w:ascii="Verdana" w:hAnsi="Verdana"/>
          <w:sz w:val="16"/>
          <w:szCs w:val="16"/>
          <w:lang w:val="es-MX"/>
        </w:rPr>
        <w:t xml:space="preserve"> </w:t>
      </w:r>
      <w:r w:rsidR="004D71D2" w:rsidRPr="00C02E1D">
        <w:rPr>
          <w:rFonts w:ascii="Verdana" w:hAnsi="Verdana"/>
          <w:sz w:val="16"/>
          <w:szCs w:val="16"/>
          <w:lang w:val="es-MX"/>
        </w:rPr>
        <w:t>Cfr. Escrito de Solicitudes, Argumentos y Pruebas (expediente de escritos principales, folios 186 y 187</w:t>
      </w:r>
      <w:r w:rsidR="00A402A2">
        <w:rPr>
          <w:rFonts w:ascii="Verdana" w:hAnsi="Verdana"/>
          <w:sz w:val="16"/>
          <w:szCs w:val="16"/>
          <w:lang w:val="es-MX"/>
        </w:rPr>
        <w:t xml:space="preserve">, disponible en </w:t>
      </w:r>
      <w:hyperlink r:id="rId1" w:history="1">
        <w:r w:rsidR="00A402A2" w:rsidRPr="00867F84">
          <w:rPr>
            <w:rStyle w:val="Hipervnculo"/>
            <w:rFonts w:ascii="Verdana" w:hAnsi="Verdana"/>
            <w:sz w:val="16"/>
            <w:szCs w:val="16"/>
            <w:lang w:val="es-MX"/>
          </w:rPr>
          <w:t>http://www.corteidh.or.cr/docs/casos/Acosta/SAP.pdf</w:t>
        </w:r>
      </w:hyperlink>
      <w:r w:rsidR="00034B76">
        <w:rPr>
          <w:rFonts w:ascii="Verdana" w:hAnsi="Verdana"/>
          <w:sz w:val="16"/>
          <w:szCs w:val="16"/>
          <w:lang w:val="es-MX"/>
        </w:rPr>
        <w:t>).</w:t>
      </w:r>
      <w:r w:rsidR="004D71D2" w:rsidRPr="00C02E1D">
        <w:rPr>
          <w:rFonts w:ascii="Verdana" w:hAnsi="Verdana"/>
          <w:sz w:val="16"/>
          <w:szCs w:val="16"/>
          <w:lang w:val="es-MX"/>
        </w:rPr>
        <w:t xml:space="preserve"> </w:t>
      </w:r>
    </w:p>
  </w:footnote>
  <w:footnote w:id="5">
    <w:p w14:paraId="6941078F" w14:textId="77777777" w:rsidR="00F32C6B" w:rsidRPr="00C02E1D" w:rsidRDefault="00F32C6B" w:rsidP="00C02E1D">
      <w:pPr>
        <w:pStyle w:val="Textonotapie"/>
        <w:jc w:val="both"/>
        <w:rPr>
          <w:rFonts w:ascii="Verdana" w:hAnsi="Verdana"/>
          <w:sz w:val="16"/>
          <w:szCs w:val="16"/>
          <w:lang w:val="es-ES" w:eastAsia="es-ES"/>
        </w:rPr>
      </w:pPr>
      <w:r w:rsidRPr="00C02E1D">
        <w:rPr>
          <w:rStyle w:val="Refdenotaalpie"/>
          <w:rFonts w:ascii="Verdana" w:hAnsi="Verdana"/>
          <w:sz w:val="16"/>
          <w:szCs w:val="16"/>
        </w:rPr>
        <w:footnoteRef/>
      </w:r>
      <w:r w:rsidR="00C02E1D" w:rsidRPr="00ED5121">
        <w:rPr>
          <w:rFonts w:ascii="Verdana" w:hAnsi="Verdana"/>
          <w:sz w:val="16"/>
          <w:szCs w:val="16"/>
          <w:lang w:val="es-419"/>
        </w:rPr>
        <w:t xml:space="preserve"> </w:t>
      </w:r>
      <w:r w:rsidRPr="00ED5121">
        <w:rPr>
          <w:rFonts w:ascii="Verdana" w:hAnsi="Verdana"/>
          <w:i/>
          <w:sz w:val="16"/>
          <w:szCs w:val="16"/>
          <w:lang w:val="es-419"/>
        </w:rPr>
        <w:t>Cfr.</w:t>
      </w:r>
      <w:r w:rsidRPr="00C02E1D">
        <w:rPr>
          <w:rFonts w:ascii="Verdana" w:hAnsi="Verdana"/>
          <w:i/>
          <w:sz w:val="16"/>
          <w:szCs w:val="16"/>
          <w:lang w:val="es-ES"/>
        </w:rPr>
        <w:t xml:space="preserve">. </w:t>
      </w:r>
      <w:r w:rsidRPr="00C02E1D">
        <w:rPr>
          <w:rFonts w:ascii="Verdana" w:hAnsi="Verdana"/>
          <w:sz w:val="16"/>
          <w:szCs w:val="16"/>
          <w:lang w:val="es-ES"/>
        </w:rPr>
        <w:t>Resolución del Presidente de la Corte Interamericana de Derechos Hum</w:t>
      </w:r>
      <w:r w:rsidR="00383B5A">
        <w:rPr>
          <w:rFonts w:ascii="Verdana" w:hAnsi="Verdana"/>
          <w:sz w:val="16"/>
          <w:szCs w:val="16"/>
          <w:lang w:val="es-ES"/>
        </w:rPr>
        <w:t>anos de 19 de febrero de 2013, C</w:t>
      </w:r>
      <w:r w:rsidRPr="00C02E1D">
        <w:rPr>
          <w:rFonts w:ascii="Verdana" w:hAnsi="Verdana"/>
          <w:sz w:val="16"/>
          <w:szCs w:val="16"/>
          <w:lang w:val="es-ES"/>
        </w:rPr>
        <w:t>onsiderando 54, y</w:t>
      </w:r>
      <w:r w:rsidRPr="00C02E1D">
        <w:rPr>
          <w:rFonts w:ascii="Verdana" w:hAnsi="Verdana"/>
          <w:i/>
          <w:sz w:val="16"/>
          <w:szCs w:val="16"/>
          <w:lang w:val="es-ES"/>
        </w:rPr>
        <w:t xml:space="preserve"> </w:t>
      </w:r>
      <w:r w:rsidRPr="00C02E1D">
        <w:rPr>
          <w:rStyle w:val="Textoennegrita"/>
          <w:rFonts w:ascii="Verdana" w:hAnsi="Verdana"/>
          <w:b w:val="0"/>
          <w:i/>
          <w:color w:val="000000"/>
          <w:sz w:val="16"/>
          <w:szCs w:val="16"/>
          <w:shd w:val="clear" w:color="auto" w:fill="FFFFFF"/>
          <w:lang w:val="es-ES"/>
        </w:rPr>
        <w:t xml:space="preserve">Caso </w:t>
      </w:r>
      <w:proofErr w:type="spellStart"/>
      <w:r w:rsidR="00C02E1D" w:rsidRPr="00C02E1D">
        <w:rPr>
          <w:rStyle w:val="Textoennegrita"/>
          <w:rFonts w:ascii="Verdana" w:hAnsi="Verdana"/>
          <w:b w:val="0"/>
          <w:i/>
          <w:color w:val="000000"/>
          <w:sz w:val="16"/>
          <w:szCs w:val="16"/>
          <w:shd w:val="clear" w:color="auto" w:fill="FFFFFF"/>
          <w:lang w:val="es-ES"/>
        </w:rPr>
        <w:t>Gorigoitia</w:t>
      </w:r>
      <w:proofErr w:type="spellEnd"/>
      <w:r w:rsidR="00034B76">
        <w:rPr>
          <w:rStyle w:val="Textoennegrita"/>
          <w:rFonts w:ascii="Verdana" w:hAnsi="Verdana"/>
          <w:b w:val="0"/>
          <w:i/>
          <w:color w:val="000000"/>
          <w:sz w:val="16"/>
          <w:szCs w:val="16"/>
          <w:shd w:val="clear" w:color="auto" w:fill="FFFFFF"/>
          <w:lang w:val="es-ES"/>
        </w:rPr>
        <w:t xml:space="preserve"> Vs. </w:t>
      </w:r>
      <w:r w:rsidR="00C02E1D" w:rsidRPr="00C02E1D">
        <w:rPr>
          <w:rStyle w:val="Textoennegrita"/>
          <w:rFonts w:ascii="Verdana" w:hAnsi="Verdana"/>
          <w:b w:val="0"/>
          <w:i/>
          <w:color w:val="000000"/>
          <w:sz w:val="16"/>
          <w:szCs w:val="16"/>
          <w:shd w:val="clear" w:color="auto" w:fill="FFFFFF"/>
          <w:lang w:val="es-ES"/>
        </w:rPr>
        <w:t>Argentina</w:t>
      </w:r>
      <w:r w:rsidRPr="00C02E1D">
        <w:rPr>
          <w:rStyle w:val="Textoennegrita"/>
          <w:rFonts w:ascii="Verdana" w:hAnsi="Verdana"/>
          <w:b w:val="0"/>
          <w:i/>
          <w:color w:val="000000"/>
          <w:sz w:val="16"/>
          <w:szCs w:val="16"/>
          <w:shd w:val="clear" w:color="auto" w:fill="FFFFFF"/>
          <w:lang w:val="es-ES"/>
        </w:rPr>
        <w:t>. Convocatoria a audiencia.</w:t>
      </w:r>
      <w:r w:rsidRPr="00C02E1D">
        <w:rPr>
          <w:rStyle w:val="Textoennegrita"/>
          <w:rFonts w:ascii="Verdana" w:hAnsi="Verdana"/>
          <w:b w:val="0"/>
          <w:color w:val="000000"/>
          <w:sz w:val="16"/>
          <w:szCs w:val="16"/>
          <w:shd w:val="clear" w:color="auto" w:fill="FFFFFF"/>
          <w:lang w:val="es-ES"/>
        </w:rPr>
        <w:t xml:space="preserve"> Resolución del Presidente de la Corte Interamericana de Derechos Humanos de </w:t>
      </w:r>
      <w:r w:rsidR="00C02E1D" w:rsidRPr="00C02E1D">
        <w:rPr>
          <w:rStyle w:val="Textoennegrita"/>
          <w:rFonts w:ascii="Verdana" w:hAnsi="Verdana"/>
          <w:b w:val="0"/>
          <w:color w:val="000000"/>
          <w:sz w:val="16"/>
          <w:szCs w:val="16"/>
          <w:shd w:val="clear" w:color="auto" w:fill="FFFFFF"/>
          <w:lang w:val="es-ES"/>
        </w:rPr>
        <w:t>20</w:t>
      </w:r>
      <w:r w:rsidRPr="00C02E1D">
        <w:rPr>
          <w:rStyle w:val="Textoennegrita"/>
          <w:rFonts w:ascii="Verdana" w:hAnsi="Verdana"/>
          <w:b w:val="0"/>
          <w:color w:val="000000"/>
          <w:sz w:val="16"/>
          <w:szCs w:val="16"/>
          <w:shd w:val="clear" w:color="auto" w:fill="FFFFFF"/>
          <w:lang w:val="es-ES"/>
        </w:rPr>
        <w:t xml:space="preserve"> de </w:t>
      </w:r>
      <w:r w:rsidR="00C02E1D" w:rsidRPr="00C02E1D">
        <w:rPr>
          <w:rStyle w:val="Textoennegrita"/>
          <w:rFonts w:ascii="Verdana" w:hAnsi="Verdana"/>
          <w:b w:val="0"/>
          <w:color w:val="000000"/>
          <w:sz w:val="16"/>
          <w:szCs w:val="16"/>
          <w:shd w:val="clear" w:color="auto" w:fill="FFFFFF"/>
          <w:lang w:val="es-ES"/>
        </w:rPr>
        <w:t>marzo</w:t>
      </w:r>
      <w:r w:rsidRPr="00C02E1D">
        <w:rPr>
          <w:rStyle w:val="Textoennegrita"/>
          <w:rFonts w:ascii="Verdana" w:hAnsi="Verdana"/>
          <w:b w:val="0"/>
          <w:color w:val="000000"/>
          <w:sz w:val="16"/>
          <w:szCs w:val="16"/>
          <w:shd w:val="clear" w:color="auto" w:fill="FFFFFF"/>
          <w:lang w:val="es-ES"/>
        </w:rPr>
        <w:t xml:space="preserve"> de 2019, Considerando </w:t>
      </w:r>
      <w:r w:rsidR="00C02E1D" w:rsidRPr="00C02E1D">
        <w:rPr>
          <w:rStyle w:val="Textoennegrita"/>
          <w:rFonts w:ascii="Verdana" w:hAnsi="Verdana"/>
          <w:b w:val="0"/>
          <w:color w:val="000000"/>
          <w:sz w:val="16"/>
          <w:szCs w:val="16"/>
          <w:shd w:val="clear" w:color="auto" w:fill="FFFFFF"/>
          <w:lang w:val="es-ES"/>
        </w:rPr>
        <w:t>9</w:t>
      </w:r>
      <w:r w:rsidRPr="00C02E1D">
        <w:rPr>
          <w:rStyle w:val="Textoennegrita"/>
          <w:rFonts w:ascii="Verdana" w:hAnsi="Verdana"/>
          <w:b w:val="0"/>
          <w:color w:val="000000"/>
          <w:sz w:val="16"/>
          <w:szCs w:val="16"/>
          <w:shd w:val="clear" w:color="auto" w:fill="FFFFFF"/>
          <w:lang w:val="es-ES"/>
        </w:rPr>
        <w:t>.</w:t>
      </w:r>
    </w:p>
  </w:footnote>
  <w:footnote w:id="6">
    <w:p w14:paraId="7ECBE66A" w14:textId="77777777" w:rsidR="00B22851" w:rsidRPr="00C02E1D" w:rsidRDefault="00B22851" w:rsidP="00C02E1D">
      <w:pPr>
        <w:pStyle w:val="Textonotapie"/>
        <w:jc w:val="both"/>
        <w:rPr>
          <w:rFonts w:ascii="Verdana" w:hAnsi="Verdana"/>
          <w:sz w:val="16"/>
          <w:szCs w:val="16"/>
          <w:lang w:val="es-MX"/>
        </w:rPr>
      </w:pPr>
      <w:r w:rsidRPr="00C02E1D">
        <w:rPr>
          <w:rStyle w:val="Refdenotaalpie"/>
          <w:rFonts w:ascii="Verdana" w:hAnsi="Verdana"/>
          <w:sz w:val="16"/>
          <w:szCs w:val="16"/>
        </w:rPr>
        <w:footnoteRef/>
      </w:r>
      <w:r w:rsidRPr="00C02E1D">
        <w:rPr>
          <w:rFonts w:ascii="Verdana" w:hAnsi="Verdana"/>
          <w:sz w:val="16"/>
          <w:szCs w:val="16"/>
          <w:lang w:val="es-MX"/>
        </w:rPr>
        <w:t xml:space="preserve"> </w:t>
      </w:r>
      <w:r w:rsidR="00FE746B" w:rsidRPr="00C02E1D">
        <w:rPr>
          <w:rFonts w:ascii="Verdana" w:hAnsi="Verdana"/>
          <w:i/>
          <w:sz w:val="16"/>
          <w:szCs w:val="16"/>
          <w:lang w:val="es-MX"/>
        </w:rPr>
        <w:t>Cfr.</w:t>
      </w:r>
      <w:r w:rsidR="00FE746B" w:rsidRPr="00C02E1D">
        <w:rPr>
          <w:rFonts w:ascii="Verdana" w:hAnsi="Verdana"/>
          <w:sz w:val="16"/>
          <w:szCs w:val="16"/>
          <w:lang w:val="es-MX"/>
        </w:rPr>
        <w:t xml:space="preserve"> </w:t>
      </w:r>
      <w:r w:rsidR="00FE746B" w:rsidRPr="00C02E1D">
        <w:rPr>
          <w:rFonts w:ascii="Verdana" w:hAnsi="Verdana"/>
          <w:i/>
          <w:sz w:val="16"/>
          <w:szCs w:val="16"/>
          <w:lang w:val="es-MX"/>
        </w:rPr>
        <w:t>Caso Herrera Espinoza y otros</w:t>
      </w:r>
      <w:r w:rsidR="00034B76">
        <w:rPr>
          <w:rFonts w:ascii="Verdana" w:hAnsi="Verdana"/>
          <w:i/>
          <w:sz w:val="16"/>
          <w:szCs w:val="16"/>
          <w:lang w:val="es-MX"/>
        </w:rPr>
        <w:t xml:space="preserve"> Vs. </w:t>
      </w:r>
      <w:r w:rsidR="00FE746B" w:rsidRPr="00C02E1D">
        <w:rPr>
          <w:rFonts w:ascii="Verdana" w:hAnsi="Verdana"/>
          <w:i/>
          <w:sz w:val="16"/>
          <w:szCs w:val="16"/>
          <w:lang w:val="es-MX"/>
        </w:rPr>
        <w:t>Ecuador.</w:t>
      </w:r>
      <w:r w:rsidR="00FE746B" w:rsidRPr="00C02E1D">
        <w:rPr>
          <w:rFonts w:ascii="Verdana" w:hAnsi="Verdana"/>
          <w:sz w:val="16"/>
          <w:szCs w:val="16"/>
          <w:lang w:val="es-MX"/>
        </w:rPr>
        <w:t xml:space="preserve"> Resolución del Presidente de la Corte Interamericana de Derechos H</w:t>
      </w:r>
      <w:r w:rsidR="003F2E74">
        <w:rPr>
          <w:rFonts w:ascii="Verdana" w:hAnsi="Verdana"/>
          <w:sz w:val="16"/>
          <w:szCs w:val="16"/>
          <w:lang w:val="es-MX"/>
        </w:rPr>
        <w:t>umanos de 10 de diciembre de 201</w:t>
      </w:r>
      <w:r w:rsidR="00FE746B" w:rsidRPr="00C02E1D">
        <w:rPr>
          <w:rFonts w:ascii="Verdana" w:hAnsi="Verdana"/>
          <w:sz w:val="16"/>
          <w:szCs w:val="16"/>
          <w:lang w:val="es-MX"/>
        </w:rPr>
        <w:t>5, Considerandos 13 a 15 y 22.</w:t>
      </w:r>
    </w:p>
  </w:footnote>
  <w:footnote w:id="7">
    <w:p w14:paraId="6F537F2B" w14:textId="77777777" w:rsidR="00937DC6" w:rsidRPr="00C02E1D" w:rsidRDefault="00937DC6" w:rsidP="00C02E1D">
      <w:pPr>
        <w:pStyle w:val="Textonotapie"/>
        <w:jc w:val="both"/>
        <w:rPr>
          <w:rFonts w:ascii="Verdana" w:hAnsi="Verdana"/>
          <w:sz w:val="16"/>
          <w:szCs w:val="16"/>
          <w:lang w:val="es-CR"/>
        </w:rPr>
      </w:pPr>
      <w:r w:rsidRPr="00C02E1D">
        <w:rPr>
          <w:rStyle w:val="Refdenotaalpie"/>
          <w:rFonts w:ascii="Verdana" w:hAnsi="Verdana"/>
          <w:sz w:val="16"/>
          <w:szCs w:val="16"/>
        </w:rPr>
        <w:footnoteRef/>
      </w:r>
      <w:r w:rsidRPr="00C02E1D">
        <w:rPr>
          <w:rFonts w:ascii="Verdana" w:hAnsi="Verdana"/>
          <w:sz w:val="16"/>
          <w:szCs w:val="16"/>
          <w:lang w:val="es-MX"/>
        </w:rPr>
        <w:t xml:space="preserve"> </w:t>
      </w:r>
      <w:r w:rsidRPr="00C02E1D">
        <w:rPr>
          <w:rFonts w:ascii="Verdana" w:hAnsi="Verdana"/>
          <w:sz w:val="16"/>
          <w:szCs w:val="16"/>
          <w:lang w:val="es-CR"/>
        </w:rPr>
        <w:t>El artículo 35.1.f del Reglamento establece lo siguiente: “1. El caso será sometido a la Corte mediante la presentación del informe al que se refiere el artículo 50 de la Convención, que contenga todos los hechos supuestamente violatorios, inclusive la identificación de las presuntas víctimas. Para que el caso pueda ser examinado, la Corte deberá recibir la siguiente información: […] f. cuando se afecte de manera relevante el orden público interamericano de los derechos humanos, la eventual designación de peritos, indicando el objeto de sus declaraciones y acompañando su hoja de vida […]”.</w:t>
      </w:r>
    </w:p>
  </w:footnote>
  <w:footnote w:id="8">
    <w:p w14:paraId="71428ED4" w14:textId="77777777" w:rsidR="00F26C4B" w:rsidRPr="00C02E1D" w:rsidRDefault="00F26C4B" w:rsidP="00C02E1D">
      <w:pPr>
        <w:pStyle w:val="Textonotapie"/>
        <w:jc w:val="both"/>
        <w:rPr>
          <w:rFonts w:ascii="Verdana" w:hAnsi="Verdana"/>
          <w:sz w:val="16"/>
          <w:szCs w:val="16"/>
          <w:lang w:val="es-MX"/>
        </w:rPr>
      </w:pPr>
      <w:r w:rsidRPr="00C02E1D">
        <w:rPr>
          <w:rStyle w:val="Refdenotaalpie"/>
          <w:rFonts w:ascii="Verdana" w:hAnsi="Verdana"/>
          <w:sz w:val="16"/>
          <w:szCs w:val="16"/>
        </w:rPr>
        <w:footnoteRef/>
      </w:r>
      <w:r w:rsidRPr="00C02E1D">
        <w:rPr>
          <w:rFonts w:ascii="Verdana" w:hAnsi="Verdana"/>
          <w:sz w:val="16"/>
          <w:szCs w:val="16"/>
          <w:lang w:val="es-MX"/>
        </w:rPr>
        <w:t xml:space="preserve"> </w:t>
      </w:r>
      <w:r w:rsidR="004C68F9" w:rsidRPr="00C02E1D">
        <w:rPr>
          <w:rFonts w:ascii="Verdana" w:hAnsi="Verdana"/>
          <w:i/>
          <w:sz w:val="16"/>
          <w:szCs w:val="16"/>
          <w:lang w:val="es-MX"/>
        </w:rPr>
        <w:t>Cfr</w:t>
      </w:r>
      <w:r w:rsidR="004C68F9" w:rsidRPr="00C02E1D">
        <w:rPr>
          <w:rFonts w:ascii="Verdana" w:hAnsi="Verdana"/>
          <w:sz w:val="16"/>
          <w:szCs w:val="16"/>
          <w:lang w:val="es-MX"/>
        </w:rPr>
        <w:t xml:space="preserve">. </w:t>
      </w:r>
      <w:r w:rsidR="004C68F9" w:rsidRPr="00C02E1D">
        <w:rPr>
          <w:rFonts w:ascii="Verdana" w:hAnsi="Verdana"/>
          <w:i/>
          <w:sz w:val="16"/>
          <w:szCs w:val="16"/>
          <w:lang w:val="es-MX"/>
        </w:rPr>
        <w:t xml:space="preserve">Caso </w:t>
      </w:r>
      <w:r w:rsidR="001D31E8" w:rsidRPr="00C02E1D">
        <w:rPr>
          <w:rFonts w:ascii="Verdana" w:hAnsi="Verdana"/>
          <w:i/>
          <w:sz w:val="16"/>
          <w:szCs w:val="16"/>
          <w:lang w:val="es-MX"/>
        </w:rPr>
        <w:t>Pacheco Teruel y otros</w:t>
      </w:r>
      <w:r w:rsidR="00034B76">
        <w:rPr>
          <w:rFonts w:ascii="Verdana" w:hAnsi="Verdana"/>
          <w:i/>
          <w:sz w:val="16"/>
          <w:szCs w:val="16"/>
          <w:lang w:val="es-MX"/>
        </w:rPr>
        <w:t xml:space="preserve"> Vs. </w:t>
      </w:r>
      <w:r w:rsidR="001D31E8" w:rsidRPr="00C02E1D">
        <w:rPr>
          <w:rFonts w:ascii="Verdana" w:hAnsi="Verdana"/>
          <w:i/>
          <w:sz w:val="16"/>
          <w:szCs w:val="16"/>
          <w:lang w:val="es-MX"/>
        </w:rPr>
        <w:t>Honduras.</w:t>
      </w:r>
      <w:r w:rsidR="001D31E8" w:rsidRPr="00C02E1D">
        <w:rPr>
          <w:rFonts w:ascii="Verdana" w:hAnsi="Verdana"/>
          <w:sz w:val="16"/>
          <w:szCs w:val="16"/>
          <w:lang w:val="es-MX"/>
        </w:rPr>
        <w:t xml:space="preserve"> Resolución del Presidente de la Corte Interamericana de Derechos Humanos de 27 de enero de 2012</w:t>
      </w:r>
      <w:r w:rsidR="00034EA4" w:rsidRPr="00C02E1D">
        <w:rPr>
          <w:rFonts w:ascii="Verdana" w:hAnsi="Verdana"/>
          <w:sz w:val="16"/>
          <w:szCs w:val="16"/>
          <w:lang w:val="es-MX"/>
        </w:rPr>
        <w:t>, Considerandos 4,</w:t>
      </w:r>
      <w:r w:rsidR="00C14BB9">
        <w:rPr>
          <w:rFonts w:ascii="Verdana" w:hAnsi="Verdana"/>
          <w:sz w:val="16"/>
          <w:szCs w:val="16"/>
          <w:lang w:val="es-MX"/>
        </w:rPr>
        <w:t xml:space="preserve"> </w:t>
      </w:r>
      <w:r w:rsidR="00034EA4" w:rsidRPr="00C02E1D">
        <w:rPr>
          <w:rFonts w:ascii="Verdana" w:hAnsi="Verdana"/>
          <w:sz w:val="16"/>
          <w:szCs w:val="16"/>
          <w:lang w:val="es-MX"/>
        </w:rPr>
        <w:t>8 y</w:t>
      </w:r>
      <w:r w:rsidR="00C14BB9">
        <w:rPr>
          <w:rFonts w:ascii="Verdana" w:hAnsi="Verdana"/>
          <w:sz w:val="16"/>
          <w:szCs w:val="16"/>
          <w:lang w:val="es-MX"/>
        </w:rPr>
        <w:t xml:space="preserve"> </w:t>
      </w:r>
      <w:r w:rsidR="00034EA4" w:rsidRPr="00C02E1D">
        <w:rPr>
          <w:rFonts w:ascii="Verdana" w:hAnsi="Verdana"/>
          <w:sz w:val="16"/>
          <w:szCs w:val="16"/>
          <w:lang w:val="es-MX"/>
        </w:rPr>
        <w:t>9.</w:t>
      </w:r>
      <w:r w:rsidR="001D31E8" w:rsidRPr="00C02E1D">
        <w:rPr>
          <w:rFonts w:ascii="Verdana" w:hAnsi="Verdana"/>
          <w:sz w:val="16"/>
          <w:szCs w:val="16"/>
          <w:lang w:val="es-MX"/>
        </w:rPr>
        <w:t xml:space="preserve"> </w:t>
      </w:r>
    </w:p>
  </w:footnote>
  <w:footnote w:id="9">
    <w:p w14:paraId="216E3EBF" w14:textId="77777777" w:rsidR="00B249F3" w:rsidRPr="00C02E1D" w:rsidRDefault="007647C0" w:rsidP="00C02E1D">
      <w:pPr>
        <w:pStyle w:val="Normal1"/>
        <w:widowControl/>
        <w:autoSpaceDE w:val="0"/>
        <w:autoSpaceDN w:val="0"/>
        <w:adjustRightInd w:val="0"/>
        <w:jc w:val="both"/>
        <w:rPr>
          <w:rFonts w:ascii="Verdana" w:hAnsi="Verdana"/>
          <w:sz w:val="16"/>
          <w:szCs w:val="16"/>
        </w:rPr>
      </w:pPr>
      <w:r w:rsidRPr="00C02E1D">
        <w:rPr>
          <w:rStyle w:val="Refdenotaalpie"/>
          <w:rFonts w:ascii="Verdana" w:hAnsi="Verdana"/>
          <w:sz w:val="16"/>
          <w:szCs w:val="16"/>
        </w:rPr>
        <w:footnoteRef/>
      </w:r>
      <w:r w:rsidRPr="00C02E1D">
        <w:rPr>
          <w:rFonts w:ascii="Verdana" w:hAnsi="Verdana"/>
          <w:sz w:val="16"/>
          <w:szCs w:val="16"/>
          <w:lang w:val="es-MX"/>
        </w:rPr>
        <w:t xml:space="preserve"> El artículo 49 del Reglamento de la Corte Interamericana de Derechos Humanos, indica:</w:t>
      </w:r>
      <w:r w:rsidRPr="00C02E1D">
        <w:rPr>
          <w:rFonts w:ascii="Verdana" w:hAnsi="Verdana"/>
          <w:sz w:val="16"/>
          <w:szCs w:val="16"/>
        </w:rPr>
        <w:t xml:space="preserve"> “excepcionalmente, frente a solicitud fundada y oído el parecer de la contraparte, la Corte podrá aceptar la sustitución de un declarante siempre que se individualice al sustituto y se respete el objeto de la declaración, testimonio o peritaje originalmente ofrecido”.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F334E" w14:textId="77777777" w:rsidR="00476B5F" w:rsidRPr="00BE7BC2" w:rsidRDefault="00476B5F" w:rsidP="00BE7BC2">
    <w:pPr>
      <w:pStyle w:val="Encabezado"/>
      <w:tabs>
        <w:tab w:val="left" w:pos="5310"/>
      </w:tabs>
      <w:rPr>
        <w:rFonts w:ascii="Verdana" w:eastAsiaTheme="majorEastAsia" w:hAnsi="Verdana" w:cstheme="majorBidi"/>
        <w:sz w:val="20"/>
        <w:szCs w:val="20"/>
      </w:rPr>
    </w:pPr>
    <w:r>
      <w:rPr>
        <w:rFonts w:asciiTheme="majorHAnsi" w:eastAsiaTheme="majorEastAsia" w:hAnsiTheme="majorHAnsi" w:cstheme="majorBidi"/>
        <w:sz w:val="28"/>
        <w:szCs w:val="28"/>
      </w:rPr>
      <w:tab/>
    </w:r>
    <w:sdt>
      <w:sdtPr>
        <w:rPr>
          <w:rFonts w:asciiTheme="majorHAnsi" w:eastAsiaTheme="majorEastAsia" w:hAnsiTheme="majorHAnsi" w:cstheme="majorBidi"/>
          <w:sz w:val="28"/>
          <w:szCs w:val="28"/>
        </w:rPr>
        <w:id w:val="1875885426"/>
        <w:docPartObj>
          <w:docPartGallery w:val="Page Numbers (Top of Page)"/>
          <w:docPartUnique/>
        </w:docPartObj>
      </w:sdtPr>
      <w:sdtEndPr>
        <w:rPr>
          <w:rFonts w:ascii="Verdana" w:hAnsi="Verdana"/>
          <w:sz w:val="20"/>
          <w:szCs w:val="20"/>
        </w:rPr>
      </w:sdtEndPr>
      <w:sdtContent>
        <w:r w:rsidRPr="001153FC">
          <w:rPr>
            <w:rFonts w:ascii="Verdana" w:eastAsiaTheme="majorEastAsia" w:hAnsi="Verdana" w:cstheme="majorBidi"/>
            <w:sz w:val="20"/>
            <w:szCs w:val="20"/>
          </w:rPr>
          <w:t xml:space="preserve">- </w:t>
        </w:r>
        <w:r w:rsidRPr="001153FC">
          <w:rPr>
            <w:rFonts w:ascii="Verdana" w:eastAsiaTheme="minorEastAsia" w:hAnsi="Verdana"/>
            <w:sz w:val="20"/>
            <w:szCs w:val="20"/>
          </w:rPr>
          <w:fldChar w:fldCharType="begin"/>
        </w:r>
        <w:r w:rsidRPr="001153FC">
          <w:rPr>
            <w:rFonts w:ascii="Verdana" w:hAnsi="Verdana"/>
            <w:sz w:val="20"/>
            <w:szCs w:val="20"/>
          </w:rPr>
          <w:instrText xml:space="preserve"> PAGE    \* MERGEFORMAT </w:instrText>
        </w:r>
        <w:r w:rsidRPr="001153FC">
          <w:rPr>
            <w:rFonts w:ascii="Verdana" w:eastAsiaTheme="minorEastAsia" w:hAnsi="Verdana"/>
            <w:sz w:val="20"/>
            <w:szCs w:val="20"/>
          </w:rPr>
          <w:fldChar w:fldCharType="separate"/>
        </w:r>
        <w:r w:rsidR="00855F38" w:rsidRPr="00855F38">
          <w:rPr>
            <w:rFonts w:ascii="Verdana" w:eastAsiaTheme="majorEastAsia" w:hAnsi="Verdana" w:cstheme="majorBidi"/>
            <w:noProof/>
            <w:sz w:val="20"/>
            <w:szCs w:val="20"/>
          </w:rPr>
          <w:t>11</w:t>
        </w:r>
        <w:r w:rsidRPr="001153FC">
          <w:rPr>
            <w:rFonts w:ascii="Verdana" w:eastAsiaTheme="majorEastAsia" w:hAnsi="Verdana" w:cstheme="majorBidi"/>
            <w:noProof/>
            <w:sz w:val="20"/>
            <w:szCs w:val="20"/>
          </w:rPr>
          <w:fldChar w:fldCharType="end"/>
        </w:r>
        <w:r w:rsidRPr="001153FC">
          <w:rPr>
            <w:rFonts w:ascii="Verdana" w:eastAsiaTheme="majorEastAsia" w:hAnsi="Verdana" w:cstheme="majorBidi"/>
            <w:sz w:val="20"/>
            <w:szCs w:val="20"/>
          </w:rP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7B5A"/>
    <w:multiLevelType w:val="multilevel"/>
    <w:tmpl w:val="DD72E01A"/>
    <w:lvl w:ilvl="0">
      <w:start w:val="2"/>
      <w:numFmt w:val="decimal"/>
      <w:lvlText w:val="%1."/>
      <w:lvlJc w:val="left"/>
      <w:pPr>
        <w:ind w:left="450" w:hanging="360"/>
      </w:pPr>
      <w:rPr>
        <w:rFonts w:ascii="Verdana" w:hAnsi="Verdana" w:hint="default"/>
        <w:b w:val="0"/>
        <w:i w:val="0"/>
        <w:sz w:val="20"/>
        <w:szCs w:val="20"/>
      </w:rPr>
    </w:lvl>
    <w:lvl w:ilvl="1">
      <w:start w:val="1"/>
      <w:numFmt w:val="lowerLetter"/>
      <w:lvlText w:val="%2."/>
      <w:lvlJc w:val="left"/>
      <w:pPr>
        <w:ind w:left="1440"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AF4CF1"/>
    <w:multiLevelType w:val="hybridMultilevel"/>
    <w:tmpl w:val="15C0D9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E6B18"/>
    <w:multiLevelType w:val="multilevel"/>
    <w:tmpl w:val="A268ED9E"/>
    <w:lvl w:ilvl="0">
      <w:start w:val="1"/>
      <w:numFmt w:val="decimal"/>
      <w:lvlText w:val="%1."/>
      <w:lvlJc w:val="left"/>
      <w:pPr>
        <w:ind w:left="720" w:hanging="360"/>
      </w:pPr>
      <w:rPr>
        <w:rFonts w:ascii="Verdana" w:hAnsi="Verdana" w:hint="default"/>
        <w:b w:val="0"/>
        <w:i w:val="0"/>
        <w:sz w:val="20"/>
        <w:szCs w:val="20"/>
      </w:rPr>
    </w:lvl>
    <w:lvl w:ilvl="1">
      <w:start w:val="1"/>
      <w:numFmt w:val="lowerLetter"/>
      <w:lvlText w:val="%2."/>
      <w:lvlJc w:val="left"/>
      <w:pPr>
        <w:ind w:left="1440"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42073F"/>
    <w:multiLevelType w:val="hybridMultilevel"/>
    <w:tmpl w:val="436AB38C"/>
    <w:lvl w:ilvl="0" w:tplc="11A694FE">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051236"/>
    <w:multiLevelType w:val="hybridMultilevel"/>
    <w:tmpl w:val="447CDA84"/>
    <w:lvl w:ilvl="0" w:tplc="0C0A000F">
      <w:start w:val="1"/>
      <w:numFmt w:val="decimal"/>
      <w:lvlText w:val="%1."/>
      <w:lvlJc w:val="left"/>
      <w:pPr>
        <w:ind w:left="540" w:hanging="360"/>
      </w:pPr>
      <w:rPr>
        <w:rFonts w:hint="default"/>
        <w:b w:val="0"/>
        <w:i w:val="0"/>
        <w:sz w:val="20"/>
        <w:szCs w:val="2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5" w15:restartNumberingAfterBreak="0">
    <w:nsid w:val="17B07506"/>
    <w:multiLevelType w:val="hybridMultilevel"/>
    <w:tmpl w:val="4790C9C6"/>
    <w:lvl w:ilvl="0" w:tplc="46D4B2EE">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6C6223"/>
    <w:multiLevelType w:val="hybridMultilevel"/>
    <w:tmpl w:val="416C2826"/>
    <w:lvl w:ilvl="0" w:tplc="759C5E9A">
      <w:start w:val="1"/>
      <w:numFmt w:val="upperLetter"/>
      <w:lvlText w:val="%1."/>
      <w:lvlJc w:val="left"/>
      <w:pPr>
        <w:ind w:left="720" w:hanging="360"/>
      </w:pPr>
      <w:rPr>
        <w:rFonts w:hint="default"/>
        <w:b/>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7ECA7800">
      <w:start w:val="1"/>
      <w:numFmt w:val="decimal"/>
      <w:lvlText w:val="%4."/>
      <w:lvlJc w:val="left"/>
      <w:pPr>
        <w:ind w:left="2880" w:hanging="360"/>
      </w:pPr>
      <w:rPr>
        <w:i w:val="0"/>
      </w:r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 w15:restartNumberingAfterBreak="0">
    <w:nsid w:val="1B8B6A3F"/>
    <w:multiLevelType w:val="hybridMultilevel"/>
    <w:tmpl w:val="99D28FB0"/>
    <w:lvl w:ilvl="0" w:tplc="480C6B8E">
      <w:start w:val="35"/>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1CB3251C"/>
    <w:multiLevelType w:val="hybridMultilevel"/>
    <w:tmpl w:val="EF460A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A43E35"/>
    <w:multiLevelType w:val="hybridMultilevel"/>
    <w:tmpl w:val="64D82060"/>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551F77"/>
    <w:multiLevelType w:val="hybridMultilevel"/>
    <w:tmpl w:val="67768A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510D4F"/>
    <w:multiLevelType w:val="hybridMultilevel"/>
    <w:tmpl w:val="4066022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735779"/>
    <w:multiLevelType w:val="hybridMultilevel"/>
    <w:tmpl w:val="5E44A912"/>
    <w:lvl w:ilvl="0" w:tplc="580A0015">
      <w:start w:val="1"/>
      <w:numFmt w:val="upp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3" w15:restartNumberingAfterBreak="0">
    <w:nsid w:val="2E0A7AE1"/>
    <w:multiLevelType w:val="multilevel"/>
    <w:tmpl w:val="17BAA38C"/>
    <w:lvl w:ilvl="0">
      <w:start w:val="1"/>
      <w:numFmt w:val="decimal"/>
      <w:lvlText w:val="%1."/>
      <w:lvlJc w:val="left"/>
      <w:pPr>
        <w:ind w:left="720" w:hanging="360"/>
      </w:pPr>
      <w:rPr>
        <w:b w:val="0"/>
        <w:i w:val="0"/>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39F1282"/>
    <w:multiLevelType w:val="hybridMultilevel"/>
    <w:tmpl w:val="FD184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B517B5"/>
    <w:multiLevelType w:val="hybridMultilevel"/>
    <w:tmpl w:val="0A0A9F0E"/>
    <w:lvl w:ilvl="0" w:tplc="0C5C67F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D21848"/>
    <w:multiLevelType w:val="hybridMultilevel"/>
    <w:tmpl w:val="6E6A3B02"/>
    <w:lvl w:ilvl="0" w:tplc="3A9AA0A8">
      <w:start w:val="1"/>
      <w:numFmt w:val="decimal"/>
      <w:lvlText w:val="%1."/>
      <w:lvlJc w:val="left"/>
      <w:pPr>
        <w:ind w:left="1440" w:hanging="360"/>
      </w:pPr>
      <w:rPr>
        <w:b w:val="0"/>
        <w:i w:val="0"/>
      </w:rPr>
    </w:lvl>
    <w:lvl w:ilvl="1" w:tplc="580A0019">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7" w15:restartNumberingAfterBreak="0">
    <w:nsid w:val="3A38404A"/>
    <w:multiLevelType w:val="hybridMultilevel"/>
    <w:tmpl w:val="DEA874EC"/>
    <w:lvl w:ilvl="0" w:tplc="96607EE2">
      <w:start w:val="1"/>
      <w:numFmt w:val="decimal"/>
      <w:lvlText w:val="%1."/>
      <w:lvlJc w:val="left"/>
      <w:pPr>
        <w:tabs>
          <w:tab w:val="num" w:pos="3870"/>
        </w:tabs>
      </w:pPr>
      <w:rPr>
        <w:rFonts w:ascii="Verdana" w:hAnsi="Verdana" w:cs="Times New Roman" w:hint="default"/>
        <w:b w:val="0"/>
        <w:i w:val="0"/>
        <w:color w:val="auto"/>
        <w:sz w:val="20"/>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8" w15:restartNumberingAfterBreak="0">
    <w:nsid w:val="3B184E8E"/>
    <w:multiLevelType w:val="hybridMultilevel"/>
    <w:tmpl w:val="746A8FD2"/>
    <w:lvl w:ilvl="0" w:tplc="34F048C0">
      <w:start w:val="1"/>
      <w:numFmt w:val="decimal"/>
      <w:lvlText w:val="%1."/>
      <w:lvlJc w:val="left"/>
      <w:pPr>
        <w:ind w:left="1080" w:hanging="360"/>
      </w:pPr>
      <w:rPr>
        <w:rFonts w:hint="default"/>
      </w:rPr>
    </w:lvl>
    <w:lvl w:ilvl="1" w:tplc="580A0019" w:tentative="1">
      <w:start w:val="1"/>
      <w:numFmt w:val="lowerLetter"/>
      <w:lvlText w:val="%2."/>
      <w:lvlJc w:val="left"/>
      <w:pPr>
        <w:ind w:left="1800" w:hanging="360"/>
      </w:pPr>
    </w:lvl>
    <w:lvl w:ilvl="2" w:tplc="580A001B" w:tentative="1">
      <w:start w:val="1"/>
      <w:numFmt w:val="lowerRoman"/>
      <w:lvlText w:val="%3."/>
      <w:lvlJc w:val="right"/>
      <w:pPr>
        <w:ind w:left="2520" w:hanging="180"/>
      </w:pPr>
    </w:lvl>
    <w:lvl w:ilvl="3" w:tplc="580A000F" w:tentative="1">
      <w:start w:val="1"/>
      <w:numFmt w:val="decimal"/>
      <w:lvlText w:val="%4."/>
      <w:lvlJc w:val="left"/>
      <w:pPr>
        <w:ind w:left="3240" w:hanging="360"/>
      </w:pPr>
    </w:lvl>
    <w:lvl w:ilvl="4" w:tplc="580A0019" w:tentative="1">
      <w:start w:val="1"/>
      <w:numFmt w:val="lowerLetter"/>
      <w:lvlText w:val="%5."/>
      <w:lvlJc w:val="left"/>
      <w:pPr>
        <w:ind w:left="3960" w:hanging="360"/>
      </w:pPr>
    </w:lvl>
    <w:lvl w:ilvl="5" w:tplc="580A001B" w:tentative="1">
      <w:start w:val="1"/>
      <w:numFmt w:val="lowerRoman"/>
      <w:lvlText w:val="%6."/>
      <w:lvlJc w:val="right"/>
      <w:pPr>
        <w:ind w:left="4680" w:hanging="180"/>
      </w:pPr>
    </w:lvl>
    <w:lvl w:ilvl="6" w:tplc="580A000F" w:tentative="1">
      <w:start w:val="1"/>
      <w:numFmt w:val="decimal"/>
      <w:lvlText w:val="%7."/>
      <w:lvlJc w:val="left"/>
      <w:pPr>
        <w:ind w:left="5400" w:hanging="360"/>
      </w:pPr>
    </w:lvl>
    <w:lvl w:ilvl="7" w:tplc="580A0019" w:tentative="1">
      <w:start w:val="1"/>
      <w:numFmt w:val="lowerLetter"/>
      <w:lvlText w:val="%8."/>
      <w:lvlJc w:val="left"/>
      <w:pPr>
        <w:ind w:left="6120" w:hanging="360"/>
      </w:pPr>
    </w:lvl>
    <w:lvl w:ilvl="8" w:tplc="580A001B" w:tentative="1">
      <w:start w:val="1"/>
      <w:numFmt w:val="lowerRoman"/>
      <w:lvlText w:val="%9."/>
      <w:lvlJc w:val="right"/>
      <w:pPr>
        <w:ind w:left="6840" w:hanging="180"/>
      </w:pPr>
    </w:lvl>
  </w:abstractNum>
  <w:abstractNum w:abstractNumId="19" w15:restartNumberingAfterBreak="0">
    <w:nsid w:val="3B4C227A"/>
    <w:multiLevelType w:val="hybridMultilevel"/>
    <w:tmpl w:val="9A8A3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761C29"/>
    <w:multiLevelType w:val="hybridMultilevel"/>
    <w:tmpl w:val="270C5E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6746E6"/>
    <w:multiLevelType w:val="hybridMultilevel"/>
    <w:tmpl w:val="4066022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7D67FE"/>
    <w:multiLevelType w:val="hybridMultilevel"/>
    <w:tmpl w:val="8166ABC4"/>
    <w:lvl w:ilvl="0" w:tplc="8B326C26">
      <w:start w:val="5"/>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15:restartNumberingAfterBreak="0">
    <w:nsid w:val="516D15EB"/>
    <w:multiLevelType w:val="hybridMultilevel"/>
    <w:tmpl w:val="FD3EC38C"/>
    <w:lvl w:ilvl="0" w:tplc="91B68CE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47846BE"/>
    <w:multiLevelType w:val="multilevel"/>
    <w:tmpl w:val="A268ED9E"/>
    <w:lvl w:ilvl="0">
      <w:start w:val="1"/>
      <w:numFmt w:val="decimal"/>
      <w:lvlText w:val="%1."/>
      <w:lvlJc w:val="left"/>
      <w:pPr>
        <w:ind w:left="450" w:hanging="360"/>
      </w:pPr>
      <w:rPr>
        <w:rFonts w:ascii="Verdana" w:hAnsi="Verdana" w:hint="default"/>
        <w:b w:val="0"/>
        <w:i w:val="0"/>
        <w:sz w:val="20"/>
        <w:szCs w:val="20"/>
      </w:rPr>
    </w:lvl>
    <w:lvl w:ilvl="1">
      <w:start w:val="1"/>
      <w:numFmt w:val="lowerLetter"/>
      <w:lvlText w:val="%2."/>
      <w:lvlJc w:val="left"/>
      <w:pPr>
        <w:ind w:left="1440"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55514F10"/>
    <w:multiLevelType w:val="multilevel"/>
    <w:tmpl w:val="17BAA38C"/>
    <w:lvl w:ilvl="0">
      <w:start w:val="1"/>
      <w:numFmt w:val="decimal"/>
      <w:lvlText w:val="%1."/>
      <w:lvlJc w:val="left"/>
      <w:pPr>
        <w:ind w:left="720" w:hanging="360"/>
      </w:pPr>
      <w:rPr>
        <w:b w:val="0"/>
        <w:i w:val="0"/>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0BC68A1"/>
    <w:multiLevelType w:val="multilevel"/>
    <w:tmpl w:val="A268ED9E"/>
    <w:lvl w:ilvl="0">
      <w:start w:val="1"/>
      <w:numFmt w:val="decimal"/>
      <w:lvlText w:val="%1."/>
      <w:lvlJc w:val="left"/>
      <w:pPr>
        <w:ind w:left="720" w:hanging="360"/>
      </w:pPr>
      <w:rPr>
        <w:rFonts w:ascii="Verdana" w:hAnsi="Verdana" w:hint="default"/>
        <w:b w:val="0"/>
        <w:i w:val="0"/>
        <w:sz w:val="20"/>
        <w:szCs w:val="20"/>
      </w:rPr>
    </w:lvl>
    <w:lvl w:ilvl="1">
      <w:start w:val="1"/>
      <w:numFmt w:val="lowerLetter"/>
      <w:lvlText w:val="%2."/>
      <w:lvlJc w:val="left"/>
      <w:pPr>
        <w:ind w:left="1440"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650A723E"/>
    <w:multiLevelType w:val="hybridMultilevel"/>
    <w:tmpl w:val="7994840A"/>
    <w:lvl w:ilvl="0" w:tplc="698EFD0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CD507C0"/>
    <w:multiLevelType w:val="hybridMultilevel"/>
    <w:tmpl w:val="4066022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CD02AC"/>
    <w:multiLevelType w:val="hybridMultilevel"/>
    <w:tmpl w:val="0A0A9F0E"/>
    <w:lvl w:ilvl="0" w:tplc="0C5C67F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4F7AFF"/>
    <w:multiLevelType w:val="hybridMultilevel"/>
    <w:tmpl w:val="029A39D0"/>
    <w:lvl w:ilvl="0" w:tplc="0DF848D2">
      <w:start w:val="7"/>
      <w:numFmt w:val="decimal"/>
      <w:lvlText w:val="%1."/>
      <w:lvlJc w:val="left"/>
      <w:pPr>
        <w:ind w:left="1080" w:hanging="360"/>
      </w:pPr>
      <w:rPr>
        <w:rFonts w:hint="default"/>
      </w:rPr>
    </w:lvl>
    <w:lvl w:ilvl="1" w:tplc="580A0019" w:tentative="1">
      <w:start w:val="1"/>
      <w:numFmt w:val="lowerLetter"/>
      <w:lvlText w:val="%2."/>
      <w:lvlJc w:val="left"/>
      <w:pPr>
        <w:ind w:left="1800" w:hanging="360"/>
      </w:pPr>
    </w:lvl>
    <w:lvl w:ilvl="2" w:tplc="580A001B" w:tentative="1">
      <w:start w:val="1"/>
      <w:numFmt w:val="lowerRoman"/>
      <w:lvlText w:val="%3."/>
      <w:lvlJc w:val="right"/>
      <w:pPr>
        <w:ind w:left="2520" w:hanging="180"/>
      </w:pPr>
    </w:lvl>
    <w:lvl w:ilvl="3" w:tplc="580A000F" w:tentative="1">
      <w:start w:val="1"/>
      <w:numFmt w:val="decimal"/>
      <w:lvlText w:val="%4."/>
      <w:lvlJc w:val="left"/>
      <w:pPr>
        <w:ind w:left="3240" w:hanging="360"/>
      </w:pPr>
    </w:lvl>
    <w:lvl w:ilvl="4" w:tplc="580A0019" w:tentative="1">
      <w:start w:val="1"/>
      <w:numFmt w:val="lowerLetter"/>
      <w:lvlText w:val="%5."/>
      <w:lvlJc w:val="left"/>
      <w:pPr>
        <w:ind w:left="3960" w:hanging="360"/>
      </w:pPr>
    </w:lvl>
    <w:lvl w:ilvl="5" w:tplc="580A001B" w:tentative="1">
      <w:start w:val="1"/>
      <w:numFmt w:val="lowerRoman"/>
      <w:lvlText w:val="%6."/>
      <w:lvlJc w:val="right"/>
      <w:pPr>
        <w:ind w:left="4680" w:hanging="180"/>
      </w:pPr>
    </w:lvl>
    <w:lvl w:ilvl="6" w:tplc="580A000F" w:tentative="1">
      <w:start w:val="1"/>
      <w:numFmt w:val="decimal"/>
      <w:lvlText w:val="%7."/>
      <w:lvlJc w:val="left"/>
      <w:pPr>
        <w:ind w:left="5400" w:hanging="360"/>
      </w:pPr>
    </w:lvl>
    <w:lvl w:ilvl="7" w:tplc="580A0019" w:tentative="1">
      <w:start w:val="1"/>
      <w:numFmt w:val="lowerLetter"/>
      <w:lvlText w:val="%8."/>
      <w:lvlJc w:val="left"/>
      <w:pPr>
        <w:ind w:left="6120" w:hanging="360"/>
      </w:pPr>
    </w:lvl>
    <w:lvl w:ilvl="8" w:tplc="580A001B" w:tentative="1">
      <w:start w:val="1"/>
      <w:numFmt w:val="lowerRoman"/>
      <w:lvlText w:val="%9."/>
      <w:lvlJc w:val="right"/>
      <w:pPr>
        <w:ind w:left="6840" w:hanging="180"/>
      </w:pPr>
    </w:lvl>
  </w:abstractNum>
  <w:abstractNum w:abstractNumId="31" w15:restartNumberingAfterBreak="0">
    <w:nsid w:val="74204069"/>
    <w:multiLevelType w:val="hybridMultilevel"/>
    <w:tmpl w:val="6CAA2EA8"/>
    <w:lvl w:ilvl="0" w:tplc="C562F6E6">
      <w:start w:val="1"/>
      <w:numFmt w:val="decimal"/>
      <w:lvlText w:val="%1."/>
      <w:lvlJc w:val="left"/>
      <w:pPr>
        <w:ind w:left="1069" w:hanging="360"/>
      </w:pPr>
      <w:rPr>
        <w:rFonts w:hint="default"/>
      </w:rPr>
    </w:lvl>
    <w:lvl w:ilvl="1" w:tplc="580A0019" w:tentative="1">
      <w:start w:val="1"/>
      <w:numFmt w:val="lowerLetter"/>
      <w:lvlText w:val="%2."/>
      <w:lvlJc w:val="left"/>
      <w:pPr>
        <w:ind w:left="1789" w:hanging="360"/>
      </w:pPr>
    </w:lvl>
    <w:lvl w:ilvl="2" w:tplc="580A001B" w:tentative="1">
      <w:start w:val="1"/>
      <w:numFmt w:val="lowerRoman"/>
      <w:lvlText w:val="%3."/>
      <w:lvlJc w:val="right"/>
      <w:pPr>
        <w:ind w:left="2509" w:hanging="180"/>
      </w:pPr>
    </w:lvl>
    <w:lvl w:ilvl="3" w:tplc="580A000F" w:tentative="1">
      <w:start w:val="1"/>
      <w:numFmt w:val="decimal"/>
      <w:lvlText w:val="%4."/>
      <w:lvlJc w:val="left"/>
      <w:pPr>
        <w:ind w:left="3229" w:hanging="360"/>
      </w:pPr>
    </w:lvl>
    <w:lvl w:ilvl="4" w:tplc="580A0019" w:tentative="1">
      <w:start w:val="1"/>
      <w:numFmt w:val="lowerLetter"/>
      <w:lvlText w:val="%5."/>
      <w:lvlJc w:val="left"/>
      <w:pPr>
        <w:ind w:left="3949" w:hanging="360"/>
      </w:pPr>
    </w:lvl>
    <w:lvl w:ilvl="5" w:tplc="580A001B" w:tentative="1">
      <w:start w:val="1"/>
      <w:numFmt w:val="lowerRoman"/>
      <w:lvlText w:val="%6."/>
      <w:lvlJc w:val="right"/>
      <w:pPr>
        <w:ind w:left="4669" w:hanging="180"/>
      </w:pPr>
    </w:lvl>
    <w:lvl w:ilvl="6" w:tplc="580A000F" w:tentative="1">
      <w:start w:val="1"/>
      <w:numFmt w:val="decimal"/>
      <w:lvlText w:val="%7."/>
      <w:lvlJc w:val="left"/>
      <w:pPr>
        <w:ind w:left="5389" w:hanging="360"/>
      </w:pPr>
    </w:lvl>
    <w:lvl w:ilvl="7" w:tplc="580A0019" w:tentative="1">
      <w:start w:val="1"/>
      <w:numFmt w:val="lowerLetter"/>
      <w:lvlText w:val="%8."/>
      <w:lvlJc w:val="left"/>
      <w:pPr>
        <w:ind w:left="6109" w:hanging="360"/>
      </w:pPr>
    </w:lvl>
    <w:lvl w:ilvl="8" w:tplc="580A001B" w:tentative="1">
      <w:start w:val="1"/>
      <w:numFmt w:val="lowerRoman"/>
      <w:lvlText w:val="%9."/>
      <w:lvlJc w:val="right"/>
      <w:pPr>
        <w:ind w:left="6829" w:hanging="180"/>
      </w:pPr>
    </w:lvl>
  </w:abstractNum>
  <w:abstractNum w:abstractNumId="32" w15:restartNumberingAfterBreak="0">
    <w:nsid w:val="79AC14B0"/>
    <w:multiLevelType w:val="hybridMultilevel"/>
    <w:tmpl w:val="8E749F0E"/>
    <w:lvl w:ilvl="0" w:tplc="74FC5890">
      <w:start w:val="1"/>
      <w:numFmt w:val="decimal"/>
      <w:lvlText w:val="%1."/>
      <w:lvlJc w:val="left"/>
      <w:pPr>
        <w:ind w:left="1080" w:hanging="720"/>
      </w:pPr>
      <w:rPr>
        <w:rFonts w:cstheme="minorBidi" w:hint="default"/>
        <w:b w:val="0"/>
        <w:color w:val="auto"/>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3" w15:restartNumberingAfterBreak="0">
    <w:nsid w:val="7B302FAE"/>
    <w:multiLevelType w:val="hybridMultilevel"/>
    <w:tmpl w:val="FF28698A"/>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3731EF"/>
    <w:multiLevelType w:val="hybridMultilevel"/>
    <w:tmpl w:val="A8CE847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EA7A96"/>
    <w:multiLevelType w:val="hybridMultilevel"/>
    <w:tmpl w:val="6152EB9A"/>
    <w:lvl w:ilvl="0" w:tplc="2AB6FF08">
      <w:start w:val="1"/>
      <w:numFmt w:val="decimal"/>
      <w:lvlText w:val="%1."/>
      <w:lvlJc w:val="lef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24"/>
  </w:num>
  <w:num w:numId="4">
    <w:abstractNumId w:val="14"/>
  </w:num>
  <w:num w:numId="5">
    <w:abstractNumId w:val="11"/>
  </w:num>
  <w:num w:numId="6">
    <w:abstractNumId w:val="19"/>
  </w:num>
  <w:num w:numId="7">
    <w:abstractNumId w:val="26"/>
  </w:num>
  <w:num w:numId="8">
    <w:abstractNumId w:val="2"/>
  </w:num>
  <w:num w:numId="9">
    <w:abstractNumId w:val="0"/>
  </w:num>
  <w:num w:numId="10">
    <w:abstractNumId w:val="5"/>
  </w:num>
  <w:num w:numId="11">
    <w:abstractNumId w:val="28"/>
  </w:num>
  <w:num w:numId="12">
    <w:abstractNumId w:val="21"/>
  </w:num>
  <w:num w:numId="13">
    <w:abstractNumId w:val="1"/>
  </w:num>
  <w:num w:numId="14">
    <w:abstractNumId w:val="8"/>
  </w:num>
  <w:num w:numId="15">
    <w:abstractNumId w:val="35"/>
  </w:num>
  <w:num w:numId="16">
    <w:abstractNumId w:val="22"/>
  </w:num>
  <w:num w:numId="17">
    <w:abstractNumId w:val="3"/>
  </w:num>
  <w:num w:numId="18">
    <w:abstractNumId w:val="29"/>
  </w:num>
  <w:num w:numId="19">
    <w:abstractNumId w:val="15"/>
  </w:num>
  <w:num w:numId="20">
    <w:abstractNumId w:val="10"/>
  </w:num>
  <w:num w:numId="21">
    <w:abstractNumId w:val="4"/>
  </w:num>
  <w:num w:numId="22">
    <w:abstractNumId w:val="9"/>
  </w:num>
  <w:num w:numId="23">
    <w:abstractNumId w:val="7"/>
  </w:num>
  <w:num w:numId="24">
    <w:abstractNumId w:val="34"/>
  </w:num>
  <w:num w:numId="25">
    <w:abstractNumId w:val="27"/>
  </w:num>
  <w:num w:numId="26">
    <w:abstractNumId w:val="33"/>
  </w:num>
  <w:num w:numId="27">
    <w:abstractNumId w:val="20"/>
  </w:num>
  <w:num w:numId="28">
    <w:abstractNumId w:val="23"/>
  </w:num>
  <w:num w:numId="29">
    <w:abstractNumId w:val="18"/>
  </w:num>
  <w:num w:numId="30">
    <w:abstractNumId w:val="31"/>
  </w:num>
  <w:num w:numId="31">
    <w:abstractNumId w:val="12"/>
  </w:num>
  <w:num w:numId="32">
    <w:abstractNumId w:val="6"/>
  </w:num>
  <w:num w:numId="33">
    <w:abstractNumId w:val="30"/>
  </w:num>
  <w:num w:numId="34">
    <w:abstractNumId w:val="16"/>
  </w:num>
  <w:num w:numId="35">
    <w:abstractNumId w:val="32"/>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CO" w:vendorID="64" w:dllVersion="6" w:nlCheck="1" w:checkStyle="1"/>
  <w:activeWritingStyle w:appName="MSWord" w:lang="es-CR" w:vendorID="64" w:dllVersion="6" w:nlCheck="1" w:checkStyle="1"/>
  <w:activeWritingStyle w:appName="MSWord" w:lang="es-MX" w:vendorID="64" w:dllVersion="6" w:nlCheck="1" w:checkStyle="1"/>
  <w:activeWritingStyle w:appName="MSWord" w:lang="es-ES" w:vendorID="64" w:dllVersion="6" w:nlCheck="1" w:checkStyle="1"/>
  <w:activeWritingStyle w:appName="MSWord" w:lang="en-US" w:vendorID="64" w:dllVersion="6" w:nlCheck="1" w:checkStyle="1"/>
  <w:activeWritingStyle w:appName="MSWord" w:lang="es-ES" w:vendorID="64" w:dllVersion="0" w:nlCheck="1" w:checkStyle="0"/>
  <w:activeWritingStyle w:appName="MSWord" w:lang="pt-BR" w:vendorID="64" w:dllVersion="0" w:nlCheck="1" w:checkStyle="0"/>
  <w:activeWritingStyle w:appName="MSWord" w:lang="es-419" w:vendorID="64" w:dllVersion="6"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57D"/>
    <w:rsid w:val="0000317C"/>
    <w:rsid w:val="0000719B"/>
    <w:rsid w:val="000133A9"/>
    <w:rsid w:val="0002318D"/>
    <w:rsid w:val="000275AA"/>
    <w:rsid w:val="00030AF4"/>
    <w:rsid w:val="00034B76"/>
    <w:rsid w:val="00034EA4"/>
    <w:rsid w:val="00034FED"/>
    <w:rsid w:val="00036580"/>
    <w:rsid w:val="00042882"/>
    <w:rsid w:val="000458C7"/>
    <w:rsid w:val="000533E0"/>
    <w:rsid w:val="00053F52"/>
    <w:rsid w:val="00063EBF"/>
    <w:rsid w:val="000644F6"/>
    <w:rsid w:val="00066522"/>
    <w:rsid w:val="00067C25"/>
    <w:rsid w:val="00070D62"/>
    <w:rsid w:val="00071004"/>
    <w:rsid w:val="00074F71"/>
    <w:rsid w:val="00082B50"/>
    <w:rsid w:val="000911CE"/>
    <w:rsid w:val="00091E99"/>
    <w:rsid w:val="000926D2"/>
    <w:rsid w:val="00092DEF"/>
    <w:rsid w:val="00092EAE"/>
    <w:rsid w:val="00093C10"/>
    <w:rsid w:val="00095FAD"/>
    <w:rsid w:val="000A017F"/>
    <w:rsid w:val="000A35D3"/>
    <w:rsid w:val="000A6A86"/>
    <w:rsid w:val="000A7709"/>
    <w:rsid w:val="000B3812"/>
    <w:rsid w:val="000C3038"/>
    <w:rsid w:val="000C4D0A"/>
    <w:rsid w:val="000D3DEE"/>
    <w:rsid w:val="000D7990"/>
    <w:rsid w:val="000E2CC2"/>
    <w:rsid w:val="000F1E6B"/>
    <w:rsid w:val="000F2CF2"/>
    <w:rsid w:val="000F6742"/>
    <w:rsid w:val="00106D11"/>
    <w:rsid w:val="001100AF"/>
    <w:rsid w:val="0011042E"/>
    <w:rsid w:val="001153FC"/>
    <w:rsid w:val="00116B3B"/>
    <w:rsid w:val="00130130"/>
    <w:rsid w:val="0013209A"/>
    <w:rsid w:val="001360E6"/>
    <w:rsid w:val="00142092"/>
    <w:rsid w:val="00142DA2"/>
    <w:rsid w:val="00152868"/>
    <w:rsid w:val="00154E7A"/>
    <w:rsid w:val="0015691C"/>
    <w:rsid w:val="00160684"/>
    <w:rsid w:val="00161261"/>
    <w:rsid w:val="00163135"/>
    <w:rsid w:val="00164046"/>
    <w:rsid w:val="0016503F"/>
    <w:rsid w:val="00165A27"/>
    <w:rsid w:val="00172D92"/>
    <w:rsid w:val="00173CDC"/>
    <w:rsid w:val="00177ED3"/>
    <w:rsid w:val="00182F51"/>
    <w:rsid w:val="00187140"/>
    <w:rsid w:val="00192E6A"/>
    <w:rsid w:val="00195C7B"/>
    <w:rsid w:val="00197084"/>
    <w:rsid w:val="00197C25"/>
    <w:rsid w:val="00197CC2"/>
    <w:rsid w:val="001A00D5"/>
    <w:rsid w:val="001A3B00"/>
    <w:rsid w:val="001A52A8"/>
    <w:rsid w:val="001B3E0D"/>
    <w:rsid w:val="001B64CE"/>
    <w:rsid w:val="001C1FBA"/>
    <w:rsid w:val="001C2B9E"/>
    <w:rsid w:val="001C6E53"/>
    <w:rsid w:val="001D14B1"/>
    <w:rsid w:val="001D14E0"/>
    <w:rsid w:val="001D31E8"/>
    <w:rsid w:val="001D38E6"/>
    <w:rsid w:val="001D5DDA"/>
    <w:rsid w:val="001D691B"/>
    <w:rsid w:val="001E1770"/>
    <w:rsid w:val="001E265F"/>
    <w:rsid w:val="001F0B4C"/>
    <w:rsid w:val="001F172C"/>
    <w:rsid w:val="001F4E7B"/>
    <w:rsid w:val="001F63E9"/>
    <w:rsid w:val="00207781"/>
    <w:rsid w:val="00210E20"/>
    <w:rsid w:val="00211F51"/>
    <w:rsid w:val="00212084"/>
    <w:rsid w:val="002148F5"/>
    <w:rsid w:val="0021585E"/>
    <w:rsid w:val="00217417"/>
    <w:rsid w:val="002207E9"/>
    <w:rsid w:val="00224B7A"/>
    <w:rsid w:val="00224FB0"/>
    <w:rsid w:val="002300F9"/>
    <w:rsid w:val="00236D4E"/>
    <w:rsid w:val="00237065"/>
    <w:rsid w:val="0024051B"/>
    <w:rsid w:val="0024712C"/>
    <w:rsid w:val="002520BF"/>
    <w:rsid w:val="002635FC"/>
    <w:rsid w:val="00265563"/>
    <w:rsid w:val="002732B4"/>
    <w:rsid w:val="00280A3B"/>
    <w:rsid w:val="00295DE5"/>
    <w:rsid w:val="002A0911"/>
    <w:rsid w:val="002A46B0"/>
    <w:rsid w:val="002A5713"/>
    <w:rsid w:val="002B129E"/>
    <w:rsid w:val="002B2861"/>
    <w:rsid w:val="002B66BA"/>
    <w:rsid w:val="002C07D0"/>
    <w:rsid w:val="002C5998"/>
    <w:rsid w:val="002C7A62"/>
    <w:rsid w:val="002E2400"/>
    <w:rsid w:val="002E3774"/>
    <w:rsid w:val="002E497C"/>
    <w:rsid w:val="002E6759"/>
    <w:rsid w:val="002E732C"/>
    <w:rsid w:val="002E7960"/>
    <w:rsid w:val="002F10C5"/>
    <w:rsid w:val="002F1691"/>
    <w:rsid w:val="002F452C"/>
    <w:rsid w:val="002F4A43"/>
    <w:rsid w:val="002F6088"/>
    <w:rsid w:val="002F6D30"/>
    <w:rsid w:val="0030244A"/>
    <w:rsid w:val="00303A7F"/>
    <w:rsid w:val="00304A29"/>
    <w:rsid w:val="0033649A"/>
    <w:rsid w:val="003373F3"/>
    <w:rsid w:val="003513A7"/>
    <w:rsid w:val="00353C68"/>
    <w:rsid w:val="00362A37"/>
    <w:rsid w:val="00362FC2"/>
    <w:rsid w:val="00364D91"/>
    <w:rsid w:val="0036568D"/>
    <w:rsid w:val="003671CB"/>
    <w:rsid w:val="0037111E"/>
    <w:rsid w:val="00371CDA"/>
    <w:rsid w:val="00374965"/>
    <w:rsid w:val="00375A5A"/>
    <w:rsid w:val="00381AA1"/>
    <w:rsid w:val="00383B5A"/>
    <w:rsid w:val="00393D92"/>
    <w:rsid w:val="00394B07"/>
    <w:rsid w:val="003A05F6"/>
    <w:rsid w:val="003A6D30"/>
    <w:rsid w:val="003B57D4"/>
    <w:rsid w:val="003C3339"/>
    <w:rsid w:val="003C5BD8"/>
    <w:rsid w:val="003C6495"/>
    <w:rsid w:val="003D12EC"/>
    <w:rsid w:val="003F2E74"/>
    <w:rsid w:val="00403C35"/>
    <w:rsid w:val="0041036D"/>
    <w:rsid w:val="00413EF4"/>
    <w:rsid w:val="00415604"/>
    <w:rsid w:val="00420709"/>
    <w:rsid w:val="00421987"/>
    <w:rsid w:val="004241D0"/>
    <w:rsid w:val="00427877"/>
    <w:rsid w:val="00427DF7"/>
    <w:rsid w:val="004300F8"/>
    <w:rsid w:val="00433551"/>
    <w:rsid w:val="004340E3"/>
    <w:rsid w:val="00441C82"/>
    <w:rsid w:val="00442262"/>
    <w:rsid w:val="004423B2"/>
    <w:rsid w:val="00450C08"/>
    <w:rsid w:val="004579C6"/>
    <w:rsid w:val="004617EA"/>
    <w:rsid w:val="00463599"/>
    <w:rsid w:val="00471FF7"/>
    <w:rsid w:val="00474DAA"/>
    <w:rsid w:val="00474F6A"/>
    <w:rsid w:val="00476B5F"/>
    <w:rsid w:val="00481DA6"/>
    <w:rsid w:val="00483C08"/>
    <w:rsid w:val="00492D4A"/>
    <w:rsid w:val="00497473"/>
    <w:rsid w:val="00497CF2"/>
    <w:rsid w:val="004A0F7E"/>
    <w:rsid w:val="004A2CFD"/>
    <w:rsid w:val="004A6782"/>
    <w:rsid w:val="004A7D6A"/>
    <w:rsid w:val="004B183E"/>
    <w:rsid w:val="004B4917"/>
    <w:rsid w:val="004C0105"/>
    <w:rsid w:val="004C68F9"/>
    <w:rsid w:val="004D1C9B"/>
    <w:rsid w:val="004D62E0"/>
    <w:rsid w:val="004D71D2"/>
    <w:rsid w:val="004E0715"/>
    <w:rsid w:val="004E7CA7"/>
    <w:rsid w:val="004F1C02"/>
    <w:rsid w:val="004F6D06"/>
    <w:rsid w:val="004F7F9C"/>
    <w:rsid w:val="005011D7"/>
    <w:rsid w:val="005017E5"/>
    <w:rsid w:val="005022A9"/>
    <w:rsid w:val="00503387"/>
    <w:rsid w:val="00504963"/>
    <w:rsid w:val="00512944"/>
    <w:rsid w:val="0051435D"/>
    <w:rsid w:val="00520432"/>
    <w:rsid w:val="00523DAF"/>
    <w:rsid w:val="005244EA"/>
    <w:rsid w:val="00525130"/>
    <w:rsid w:val="0053199A"/>
    <w:rsid w:val="00531D46"/>
    <w:rsid w:val="00536D74"/>
    <w:rsid w:val="005376A9"/>
    <w:rsid w:val="00540CC2"/>
    <w:rsid w:val="0054135B"/>
    <w:rsid w:val="005475C0"/>
    <w:rsid w:val="0055271F"/>
    <w:rsid w:val="0056018F"/>
    <w:rsid w:val="00563197"/>
    <w:rsid w:val="005708A0"/>
    <w:rsid w:val="00571DCE"/>
    <w:rsid w:val="005760A4"/>
    <w:rsid w:val="00577D42"/>
    <w:rsid w:val="00581059"/>
    <w:rsid w:val="00583CE4"/>
    <w:rsid w:val="0059170B"/>
    <w:rsid w:val="005930EE"/>
    <w:rsid w:val="0059553E"/>
    <w:rsid w:val="005A3DA0"/>
    <w:rsid w:val="005A50AB"/>
    <w:rsid w:val="005A55DF"/>
    <w:rsid w:val="005B4E6C"/>
    <w:rsid w:val="005B5ACC"/>
    <w:rsid w:val="005C34EF"/>
    <w:rsid w:val="005C66A7"/>
    <w:rsid w:val="005D5FC7"/>
    <w:rsid w:val="005E1F8D"/>
    <w:rsid w:val="005F2BC4"/>
    <w:rsid w:val="005F329A"/>
    <w:rsid w:val="005F5871"/>
    <w:rsid w:val="005F5DE8"/>
    <w:rsid w:val="00605C53"/>
    <w:rsid w:val="00617086"/>
    <w:rsid w:val="00622B00"/>
    <w:rsid w:val="00623CEE"/>
    <w:rsid w:val="00624815"/>
    <w:rsid w:val="00626C55"/>
    <w:rsid w:val="00626CA7"/>
    <w:rsid w:val="0063124C"/>
    <w:rsid w:val="006352E8"/>
    <w:rsid w:val="0064236D"/>
    <w:rsid w:val="00646C2F"/>
    <w:rsid w:val="006500A8"/>
    <w:rsid w:val="00651DE4"/>
    <w:rsid w:val="006579F3"/>
    <w:rsid w:val="00657D44"/>
    <w:rsid w:val="00662173"/>
    <w:rsid w:val="00662991"/>
    <w:rsid w:val="006666E3"/>
    <w:rsid w:val="006704DB"/>
    <w:rsid w:val="00680251"/>
    <w:rsid w:val="00687EF5"/>
    <w:rsid w:val="00692EC1"/>
    <w:rsid w:val="00693AA0"/>
    <w:rsid w:val="00695AD6"/>
    <w:rsid w:val="006A0BE9"/>
    <w:rsid w:val="006C499F"/>
    <w:rsid w:val="006C4D19"/>
    <w:rsid w:val="006C7C69"/>
    <w:rsid w:val="006D3936"/>
    <w:rsid w:val="006D5B8A"/>
    <w:rsid w:val="006D7C2A"/>
    <w:rsid w:val="006E0870"/>
    <w:rsid w:val="006E101F"/>
    <w:rsid w:val="006E19E5"/>
    <w:rsid w:val="006E30BF"/>
    <w:rsid w:val="006E54BE"/>
    <w:rsid w:val="006E669F"/>
    <w:rsid w:val="006E7948"/>
    <w:rsid w:val="006F1E93"/>
    <w:rsid w:val="006F5D32"/>
    <w:rsid w:val="00702638"/>
    <w:rsid w:val="00707E78"/>
    <w:rsid w:val="00715DE6"/>
    <w:rsid w:val="0071669A"/>
    <w:rsid w:val="00716DF2"/>
    <w:rsid w:val="0071790E"/>
    <w:rsid w:val="00724089"/>
    <w:rsid w:val="00724ECF"/>
    <w:rsid w:val="00730C05"/>
    <w:rsid w:val="007313B4"/>
    <w:rsid w:val="00732A92"/>
    <w:rsid w:val="0073507D"/>
    <w:rsid w:val="00735268"/>
    <w:rsid w:val="00737952"/>
    <w:rsid w:val="007448AA"/>
    <w:rsid w:val="007461F2"/>
    <w:rsid w:val="00756286"/>
    <w:rsid w:val="0075706B"/>
    <w:rsid w:val="00757364"/>
    <w:rsid w:val="007647C0"/>
    <w:rsid w:val="0076695E"/>
    <w:rsid w:val="00770F79"/>
    <w:rsid w:val="0077350A"/>
    <w:rsid w:val="007749DC"/>
    <w:rsid w:val="00787910"/>
    <w:rsid w:val="007903C1"/>
    <w:rsid w:val="007930F6"/>
    <w:rsid w:val="007959C0"/>
    <w:rsid w:val="00797374"/>
    <w:rsid w:val="00797F36"/>
    <w:rsid w:val="007A055E"/>
    <w:rsid w:val="007A3842"/>
    <w:rsid w:val="007B329A"/>
    <w:rsid w:val="007B6729"/>
    <w:rsid w:val="007C1871"/>
    <w:rsid w:val="007C7220"/>
    <w:rsid w:val="007D2622"/>
    <w:rsid w:val="007D357B"/>
    <w:rsid w:val="007D4DD5"/>
    <w:rsid w:val="007E26A1"/>
    <w:rsid w:val="007E52B6"/>
    <w:rsid w:val="007E6BD7"/>
    <w:rsid w:val="007F1C49"/>
    <w:rsid w:val="007F50A6"/>
    <w:rsid w:val="007F7D92"/>
    <w:rsid w:val="00801568"/>
    <w:rsid w:val="008079CF"/>
    <w:rsid w:val="00810349"/>
    <w:rsid w:val="00810851"/>
    <w:rsid w:val="00810CD9"/>
    <w:rsid w:val="008117ED"/>
    <w:rsid w:val="0081546C"/>
    <w:rsid w:val="00816081"/>
    <w:rsid w:val="00816888"/>
    <w:rsid w:val="008169E8"/>
    <w:rsid w:val="00827C6F"/>
    <w:rsid w:val="008303C0"/>
    <w:rsid w:val="008343E2"/>
    <w:rsid w:val="0083641E"/>
    <w:rsid w:val="00841C30"/>
    <w:rsid w:val="0084670F"/>
    <w:rsid w:val="008467BC"/>
    <w:rsid w:val="0085400F"/>
    <w:rsid w:val="00855F38"/>
    <w:rsid w:val="00856CC0"/>
    <w:rsid w:val="00861367"/>
    <w:rsid w:val="00863207"/>
    <w:rsid w:val="00866E48"/>
    <w:rsid w:val="00870E69"/>
    <w:rsid w:val="00876311"/>
    <w:rsid w:val="0088322C"/>
    <w:rsid w:val="008963C2"/>
    <w:rsid w:val="008A0018"/>
    <w:rsid w:val="008A274C"/>
    <w:rsid w:val="008A64D7"/>
    <w:rsid w:val="008B35F1"/>
    <w:rsid w:val="008C0BE1"/>
    <w:rsid w:val="008C2EC9"/>
    <w:rsid w:val="008C6D2F"/>
    <w:rsid w:val="008D01C4"/>
    <w:rsid w:val="008D33AA"/>
    <w:rsid w:val="008D4415"/>
    <w:rsid w:val="008E30B5"/>
    <w:rsid w:val="008E645B"/>
    <w:rsid w:val="008F3F88"/>
    <w:rsid w:val="008F776E"/>
    <w:rsid w:val="00901B6F"/>
    <w:rsid w:val="00902ACE"/>
    <w:rsid w:val="00904427"/>
    <w:rsid w:val="00905833"/>
    <w:rsid w:val="009059E9"/>
    <w:rsid w:val="00912EE0"/>
    <w:rsid w:val="00922F23"/>
    <w:rsid w:val="00923F9E"/>
    <w:rsid w:val="0092466F"/>
    <w:rsid w:val="00924882"/>
    <w:rsid w:val="0093061A"/>
    <w:rsid w:val="009329C2"/>
    <w:rsid w:val="00937DC6"/>
    <w:rsid w:val="00944D45"/>
    <w:rsid w:val="0095385F"/>
    <w:rsid w:val="0096402A"/>
    <w:rsid w:val="009673D3"/>
    <w:rsid w:val="0097030D"/>
    <w:rsid w:val="00971979"/>
    <w:rsid w:val="00987A70"/>
    <w:rsid w:val="00990C00"/>
    <w:rsid w:val="009A3CC7"/>
    <w:rsid w:val="009A4004"/>
    <w:rsid w:val="009B3AB4"/>
    <w:rsid w:val="009B4619"/>
    <w:rsid w:val="009B5FF5"/>
    <w:rsid w:val="009C0A68"/>
    <w:rsid w:val="009C4D35"/>
    <w:rsid w:val="009D214A"/>
    <w:rsid w:val="009D3AFF"/>
    <w:rsid w:val="009E3082"/>
    <w:rsid w:val="009E743C"/>
    <w:rsid w:val="009F0BEC"/>
    <w:rsid w:val="009F0E31"/>
    <w:rsid w:val="009F2A41"/>
    <w:rsid w:val="009F61E4"/>
    <w:rsid w:val="009F78EB"/>
    <w:rsid w:val="009F7905"/>
    <w:rsid w:val="00A04A41"/>
    <w:rsid w:val="00A10262"/>
    <w:rsid w:val="00A119F2"/>
    <w:rsid w:val="00A12228"/>
    <w:rsid w:val="00A12C79"/>
    <w:rsid w:val="00A13A33"/>
    <w:rsid w:val="00A14900"/>
    <w:rsid w:val="00A369EA"/>
    <w:rsid w:val="00A3756C"/>
    <w:rsid w:val="00A402A2"/>
    <w:rsid w:val="00A4032D"/>
    <w:rsid w:val="00A42284"/>
    <w:rsid w:val="00A429E0"/>
    <w:rsid w:val="00A42D1E"/>
    <w:rsid w:val="00A43C10"/>
    <w:rsid w:val="00A461DC"/>
    <w:rsid w:val="00A545DD"/>
    <w:rsid w:val="00A56004"/>
    <w:rsid w:val="00A56542"/>
    <w:rsid w:val="00A56805"/>
    <w:rsid w:val="00A6096D"/>
    <w:rsid w:val="00A656FE"/>
    <w:rsid w:val="00A86560"/>
    <w:rsid w:val="00A86A07"/>
    <w:rsid w:val="00A97CB1"/>
    <w:rsid w:val="00AA4F3C"/>
    <w:rsid w:val="00AB24E4"/>
    <w:rsid w:val="00AB5C13"/>
    <w:rsid w:val="00AC08BF"/>
    <w:rsid w:val="00AD2970"/>
    <w:rsid w:val="00AD48BA"/>
    <w:rsid w:val="00AD653B"/>
    <w:rsid w:val="00AE061D"/>
    <w:rsid w:val="00AF0B26"/>
    <w:rsid w:val="00AF1FF0"/>
    <w:rsid w:val="00AF2290"/>
    <w:rsid w:val="00AF49C8"/>
    <w:rsid w:val="00AF65B4"/>
    <w:rsid w:val="00B02D79"/>
    <w:rsid w:val="00B16697"/>
    <w:rsid w:val="00B22851"/>
    <w:rsid w:val="00B22E29"/>
    <w:rsid w:val="00B249F3"/>
    <w:rsid w:val="00B27098"/>
    <w:rsid w:val="00B27664"/>
    <w:rsid w:val="00B31AC9"/>
    <w:rsid w:val="00B37DCE"/>
    <w:rsid w:val="00B400EE"/>
    <w:rsid w:val="00B410B6"/>
    <w:rsid w:val="00B41BA6"/>
    <w:rsid w:val="00B43576"/>
    <w:rsid w:val="00B46E2B"/>
    <w:rsid w:val="00B50F33"/>
    <w:rsid w:val="00B57970"/>
    <w:rsid w:val="00B62CF5"/>
    <w:rsid w:val="00B632FC"/>
    <w:rsid w:val="00B64A41"/>
    <w:rsid w:val="00B66643"/>
    <w:rsid w:val="00B67902"/>
    <w:rsid w:val="00B718F4"/>
    <w:rsid w:val="00B71EF3"/>
    <w:rsid w:val="00B730B2"/>
    <w:rsid w:val="00B743D8"/>
    <w:rsid w:val="00B74D3B"/>
    <w:rsid w:val="00B813DA"/>
    <w:rsid w:val="00B8357A"/>
    <w:rsid w:val="00B8420A"/>
    <w:rsid w:val="00B86F43"/>
    <w:rsid w:val="00B9036D"/>
    <w:rsid w:val="00B91336"/>
    <w:rsid w:val="00B92AD0"/>
    <w:rsid w:val="00BA2F11"/>
    <w:rsid w:val="00BB4A69"/>
    <w:rsid w:val="00BB74B6"/>
    <w:rsid w:val="00BC65CF"/>
    <w:rsid w:val="00BC74A9"/>
    <w:rsid w:val="00BD0DCC"/>
    <w:rsid w:val="00BE2195"/>
    <w:rsid w:val="00BE7BC2"/>
    <w:rsid w:val="00BE7D7B"/>
    <w:rsid w:val="00BF08DE"/>
    <w:rsid w:val="00BF72C3"/>
    <w:rsid w:val="00BF7AE0"/>
    <w:rsid w:val="00C02814"/>
    <w:rsid w:val="00C02E1D"/>
    <w:rsid w:val="00C0608D"/>
    <w:rsid w:val="00C14BB9"/>
    <w:rsid w:val="00C15B18"/>
    <w:rsid w:val="00C15B41"/>
    <w:rsid w:val="00C21AE3"/>
    <w:rsid w:val="00C2374E"/>
    <w:rsid w:val="00C23E5E"/>
    <w:rsid w:val="00C26A63"/>
    <w:rsid w:val="00C27D97"/>
    <w:rsid w:val="00C312E2"/>
    <w:rsid w:val="00C34A3B"/>
    <w:rsid w:val="00C34A96"/>
    <w:rsid w:val="00C36497"/>
    <w:rsid w:val="00C37528"/>
    <w:rsid w:val="00C37B8B"/>
    <w:rsid w:val="00C41153"/>
    <w:rsid w:val="00C42364"/>
    <w:rsid w:val="00C46EB3"/>
    <w:rsid w:val="00C530A8"/>
    <w:rsid w:val="00C6304D"/>
    <w:rsid w:val="00C71037"/>
    <w:rsid w:val="00C72782"/>
    <w:rsid w:val="00C72D25"/>
    <w:rsid w:val="00C814A9"/>
    <w:rsid w:val="00C836DA"/>
    <w:rsid w:val="00C86191"/>
    <w:rsid w:val="00C87775"/>
    <w:rsid w:val="00C90ED4"/>
    <w:rsid w:val="00C95229"/>
    <w:rsid w:val="00C95E7A"/>
    <w:rsid w:val="00C9655E"/>
    <w:rsid w:val="00C96B81"/>
    <w:rsid w:val="00CA1D11"/>
    <w:rsid w:val="00CA5088"/>
    <w:rsid w:val="00CA76B5"/>
    <w:rsid w:val="00CB0711"/>
    <w:rsid w:val="00CB4D60"/>
    <w:rsid w:val="00CB5D74"/>
    <w:rsid w:val="00CC245A"/>
    <w:rsid w:val="00CC654C"/>
    <w:rsid w:val="00CD32D2"/>
    <w:rsid w:val="00CD65B9"/>
    <w:rsid w:val="00CD7A7C"/>
    <w:rsid w:val="00CE22C1"/>
    <w:rsid w:val="00CE51A5"/>
    <w:rsid w:val="00CE609F"/>
    <w:rsid w:val="00CF0A3B"/>
    <w:rsid w:val="00CF2F4D"/>
    <w:rsid w:val="00CF33FA"/>
    <w:rsid w:val="00CF3A7B"/>
    <w:rsid w:val="00CF45AF"/>
    <w:rsid w:val="00D1252F"/>
    <w:rsid w:val="00D147D0"/>
    <w:rsid w:val="00D15B49"/>
    <w:rsid w:val="00D16C51"/>
    <w:rsid w:val="00D22102"/>
    <w:rsid w:val="00D310B6"/>
    <w:rsid w:val="00D322A9"/>
    <w:rsid w:val="00D43DD4"/>
    <w:rsid w:val="00D44376"/>
    <w:rsid w:val="00D57038"/>
    <w:rsid w:val="00D60351"/>
    <w:rsid w:val="00D606F1"/>
    <w:rsid w:val="00D61238"/>
    <w:rsid w:val="00D61FEA"/>
    <w:rsid w:val="00D6334C"/>
    <w:rsid w:val="00D70CA8"/>
    <w:rsid w:val="00D7168B"/>
    <w:rsid w:val="00D8004D"/>
    <w:rsid w:val="00D80623"/>
    <w:rsid w:val="00D80B87"/>
    <w:rsid w:val="00D9206F"/>
    <w:rsid w:val="00D9628F"/>
    <w:rsid w:val="00DA6665"/>
    <w:rsid w:val="00DB5100"/>
    <w:rsid w:val="00DC0083"/>
    <w:rsid w:val="00DC025C"/>
    <w:rsid w:val="00DC0EF9"/>
    <w:rsid w:val="00DC6807"/>
    <w:rsid w:val="00DD452A"/>
    <w:rsid w:val="00DD6A96"/>
    <w:rsid w:val="00DE0F18"/>
    <w:rsid w:val="00DE2AAF"/>
    <w:rsid w:val="00DE5AC7"/>
    <w:rsid w:val="00DE66CB"/>
    <w:rsid w:val="00DE69D9"/>
    <w:rsid w:val="00DF02E4"/>
    <w:rsid w:val="00DF37A8"/>
    <w:rsid w:val="00DF5FA5"/>
    <w:rsid w:val="00DF601E"/>
    <w:rsid w:val="00E00543"/>
    <w:rsid w:val="00E0377A"/>
    <w:rsid w:val="00E12599"/>
    <w:rsid w:val="00E26113"/>
    <w:rsid w:val="00E30A4C"/>
    <w:rsid w:val="00E3335A"/>
    <w:rsid w:val="00E34BB1"/>
    <w:rsid w:val="00E35CC2"/>
    <w:rsid w:val="00E35CED"/>
    <w:rsid w:val="00E4630E"/>
    <w:rsid w:val="00E50D4F"/>
    <w:rsid w:val="00E54F70"/>
    <w:rsid w:val="00E57D8C"/>
    <w:rsid w:val="00E7296E"/>
    <w:rsid w:val="00E7384C"/>
    <w:rsid w:val="00E757B6"/>
    <w:rsid w:val="00E7605E"/>
    <w:rsid w:val="00E76B82"/>
    <w:rsid w:val="00E77D9A"/>
    <w:rsid w:val="00E80DB1"/>
    <w:rsid w:val="00E90FE1"/>
    <w:rsid w:val="00E94F04"/>
    <w:rsid w:val="00EA6ADB"/>
    <w:rsid w:val="00EB1E6A"/>
    <w:rsid w:val="00EB31CA"/>
    <w:rsid w:val="00EC5E45"/>
    <w:rsid w:val="00EC644F"/>
    <w:rsid w:val="00ED01CD"/>
    <w:rsid w:val="00ED2748"/>
    <w:rsid w:val="00ED5121"/>
    <w:rsid w:val="00ED5AA9"/>
    <w:rsid w:val="00ED6696"/>
    <w:rsid w:val="00EF200A"/>
    <w:rsid w:val="00EF3303"/>
    <w:rsid w:val="00EF3B40"/>
    <w:rsid w:val="00EF4CF4"/>
    <w:rsid w:val="00EF63C9"/>
    <w:rsid w:val="00EF7248"/>
    <w:rsid w:val="00F0523A"/>
    <w:rsid w:val="00F1579D"/>
    <w:rsid w:val="00F15C92"/>
    <w:rsid w:val="00F17EC7"/>
    <w:rsid w:val="00F255EB"/>
    <w:rsid w:val="00F26C4B"/>
    <w:rsid w:val="00F3110D"/>
    <w:rsid w:val="00F32C6B"/>
    <w:rsid w:val="00F35D80"/>
    <w:rsid w:val="00F37C2E"/>
    <w:rsid w:val="00F422C0"/>
    <w:rsid w:val="00F46F19"/>
    <w:rsid w:val="00F4757D"/>
    <w:rsid w:val="00F47619"/>
    <w:rsid w:val="00F47798"/>
    <w:rsid w:val="00F533A4"/>
    <w:rsid w:val="00F57D17"/>
    <w:rsid w:val="00F670B9"/>
    <w:rsid w:val="00F67AFB"/>
    <w:rsid w:val="00F70598"/>
    <w:rsid w:val="00F72BA1"/>
    <w:rsid w:val="00F77263"/>
    <w:rsid w:val="00F8031C"/>
    <w:rsid w:val="00F8057E"/>
    <w:rsid w:val="00F815FD"/>
    <w:rsid w:val="00F83729"/>
    <w:rsid w:val="00F91B92"/>
    <w:rsid w:val="00F9351C"/>
    <w:rsid w:val="00F965F4"/>
    <w:rsid w:val="00FA0B77"/>
    <w:rsid w:val="00FA5D2D"/>
    <w:rsid w:val="00FA7D3C"/>
    <w:rsid w:val="00FB23D7"/>
    <w:rsid w:val="00FB61B5"/>
    <w:rsid w:val="00FC5437"/>
    <w:rsid w:val="00FC6E0B"/>
    <w:rsid w:val="00FD1F86"/>
    <w:rsid w:val="00FD34DB"/>
    <w:rsid w:val="00FD75E6"/>
    <w:rsid w:val="00FE1653"/>
    <w:rsid w:val="00FE1B05"/>
    <w:rsid w:val="00FE1B15"/>
    <w:rsid w:val="00FE23C2"/>
    <w:rsid w:val="00FE246E"/>
    <w:rsid w:val="00FE69C6"/>
    <w:rsid w:val="00FE746B"/>
    <w:rsid w:val="00FE7D17"/>
    <w:rsid w:val="00FF5720"/>
    <w:rsid w:val="00FF6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2ED49"/>
  <w15:docId w15:val="{1C7416A4-361B-44FC-9D2E-4FDAC4941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757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F4757D"/>
  </w:style>
  <w:style w:type="paragraph" w:styleId="Piedepgina">
    <w:name w:val="footer"/>
    <w:basedOn w:val="Normal"/>
    <w:link w:val="PiedepginaCar"/>
    <w:uiPriority w:val="99"/>
    <w:unhideWhenUsed/>
    <w:rsid w:val="00F4757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4757D"/>
  </w:style>
  <w:style w:type="paragraph" w:styleId="Prrafodelista">
    <w:name w:val="List Paragraph"/>
    <w:aliases w:val="Footnote,List Paragraph2,List Paragraph1,Lista vistosa - Énfasis 11,Colorful List - Accent 11,Párrafo de lista1"/>
    <w:basedOn w:val="Normal"/>
    <w:link w:val="PrrafodelistaCar"/>
    <w:uiPriority w:val="34"/>
    <w:qFormat/>
    <w:rsid w:val="00DC6807"/>
    <w:pPr>
      <w:ind w:left="720"/>
      <w:contextualSpacing/>
    </w:pPr>
  </w:style>
  <w:style w:type="paragraph" w:customStyle="1" w:styleId="Normal1">
    <w:name w:val="Normal1"/>
    <w:rsid w:val="00DC6807"/>
    <w:pPr>
      <w:widowControl w:val="0"/>
      <w:spacing w:after="0" w:line="240" w:lineRule="auto"/>
    </w:pPr>
    <w:rPr>
      <w:rFonts w:ascii="Times New Roman" w:eastAsia="Times New Roman" w:hAnsi="Times New Roman" w:cs="Times New Roman"/>
      <w:sz w:val="24"/>
      <w:szCs w:val="24"/>
      <w:lang w:val="es-CR"/>
    </w:rPr>
  </w:style>
  <w:style w:type="paragraph" w:styleId="Textonotapie">
    <w:name w:val="footnote text"/>
    <w:aliases w:val="Footnote Text Char Char Char Char Char,Footnote Text Char Char Char Char,Footnote reference,FA Fu,Footnote Text Char Char Char,footnote text,Footnote Text Cha,FA Fußnotentext,FA Fuﬂnotentext,Texto nota pie Car,Footnote Text Char Char,Car"/>
    <w:basedOn w:val="Normal"/>
    <w:link w:val="TextonotapieCar1"/>
    <w:unhideWhenUsed/>
    <w:qFormat/>
    <w:rsid w:val="008C0BE1"/>
    <w:pPr>
      <w:spacing w:after="0" w:line="240" w:lineRule="auto"/>
    </w:pPr>
    <w:rPr>
      <w:sz w:val="20"/>
      <w:szCs w:val="20"/>
    </w:rPr>
  </w:style>
  <w:style w:type="character" w:customStyle="1" w:styleId="TextonotapieCar1">
    <w:name w:val="Texto nota pie Car1"/>
    <w:aliases w:val="Footnote Text Char Char Char Char Char Car,Footnote Text Char Char Char Char Car,Footnote reference Car,FA Fu Car,Footnote Text Char Char Char Car,footnote text Car,Footnote Text Cha Car,FA Fußnotentext Car,FA Fuﬂnotentext Car"/>
    <w:basedOn w:val="Fuentedeprrafopredeter"/>
    <w:link w:val="Textonotapie"/>
    <w:qFormat/>
    <w:rsid w:val="008C0BE1"/>
    <w:rPr>
      <w:sz w:val="20"/>
      <w:szCs w:val="20"/>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basedOn w:val="Fuentedeprrafopredeter"/>
    <w:uiPriority w:val="99"/>
    <w:unhideWhenUsed/>
    <w:qFormat/>
    <w:rsid w:val="008C0BE1"/>
    <w:rPr>
      <w:vertAlign w:val="superscript"/>
    </w:rPr>
  </w:style>
  <w:style w:type="character" w:styleId="Refdecomentario">
    <w:name w:val="annotation reference"/>
    <w:basedOn w:val="Fuentedeprrafopredeter"/>
    <w:uiPriority w:val="99"/>
    <w:semiHidden/>
    <w:unhideWhenUsed/>
    <w:rsid w:val="00CE51A5"/>
    <w:rPr>
      <w:sz w:val="16"/>
      <w:szCs w:val="16"/>
    </w:rPr>
  </w:style>
  <w:style w:type="paragraph" w:styleId="Textocomentario">
    <w:name w:val="annotation text"/>
    <w:basedOn w:val="Normal"/>
    <w:link w:val="TextocomentarioCar"/>
    <w:uiPriority w:val="99"/>
    <w:semiHidden/>
    <w:unhideWhenUsed/>
    <w:rsid w:val="00CE51A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E51A5"/>
    <w:rPr>
      <w:sz w:val="20"/>
      <w:szCs w:val="20"/>
    </w:rPr>
  </w:style>
  <w:style w:type="paragraph" w:styleId="Asuntodelcomentario">
    <w:name w:val="annotation subject"/>
    <w:basedOn w:val="Textocomentario"/>
    <w:next w:val="Textocomentario"/>
    <w:link w:val="AsuntodelcomentarioCar"/>
    <w:uiPriority w:val="99"/>
    <w:semiHidden/>
    <w:unhideWhenUsed/>
    <w:rsid w:val="00CE51A5"/>
    <w:rPr>
      <w:b/>
      <w:bCs/>
    </w:rPr>
  </w:style>
  <w:style w:type="character" w:customStyle="1" w:styleId="AsuntodelcomentarioCar">
    <w:name w:val="Asunto del comentario Car"/>
    <w:basedOn w:val="TextocomentarioCar"/>
    <w:link w:val="Asuntodelcomentario"/>
    <w:uiPriority w:val="99"/>
    <w:semiHidden/>
    <w:rsid w:val="00CE51A5"/>
    <w:rPr>
      <w:b/>
      <w:bCs/>
      <w:sz w:val="20"/>
      <w:szCs w:val="20"/>
    </w:rPr>
  </w:style>
  <w:style w:type="paragraph" w:styleId="Textodeglobo">
    <w:name w:val="Balloon Text"/>
    <w:basedOn w:val="Normal"/>
    <w:link w:val="TextodegloboCar"/>
    <w:uiPriority w:val="99"/>
    <w:semiHidden/>
    <w:unhideWhenUsed/>
    <w:rsid w:val="00CE51A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E51A5"/>
    <w:rPr>
      <w:rFonts w:ascii="Tahoma" w:hAnsi="Tahoma" w:cs="Tahoma"/>
      <w:sz w:val="16"/>
      <w:szCs w:val="16"/>
    </w:rPr>
  </w:style>
  <w:style w:type="character" w:styleId="Hipervnculo">
    <w:name w:val="Hyperlink"/>
    <w:basedOn w:val="Fuentedeprrafopredeter"/>
    <w:uiPriority w:val="99"/>
    <w:unhideWhenUsed/>
    <w:rsid w:val="00441C82"/>
    <w:rPr>
      <w:color w:val="0000FF" w:themeColor="hyperlink"/>
      <w:u w:val="single"/>
    </w:rPr>
  </w:style>
  <w:style w:type="paragraph" w:styleId="NormalWeb">
    <w:name w:val="Normal (Web)"/>
    <w:basedOn w:val="Normal"/>
    <w:uiPriority w:val="99"/>
    <w:semiHidden/>
    <w:unhideWhenUsed/>
    <w:rsid w:val="00CF3A7B"/>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CF33FA"/>
    <w:rPr>
      <w:b/>
      <w:bCs/>
    </w:rPr>
  </w:style>
  <w:style w:type="character" w:customStyle="1" w:styleId="PrrafodelistaCar">
    <w:name w:val="Párrafo de lista Car"/>
    <w:aliases w:val="Footnote Car,List Paragraph2 Car,List Paragraph1 Car,Lista vistosa - Énfasis 11 Car,Colorful List - Accent 11 Car,Párrafo de lista1 Car"/>
    <w:link w:val="Prrafodelista"/>
    <w:uiPriority w:val="34"/>
    <w:locked/>
    <w:rsid w:val="00503387"/>
  </w:style>
  <w:style w:type="character" w:styleId="Hipervnculovisitado">
    <w:name w:val="FollowedHyperlink"/>
    <w:basedOn w:val="Fuentedeprrafopredeter"/>
    <w:uiPriority w:val="99"/>
    <w:semiHidden/>
    <w:unhideWhenUsed/>
    <w:rsid w:val="00C95E7A"/>
    <w:rPr>
      <w:color w:val="800080" w:themeColor="followedHyperlink"/>
      <w:u w:val="single"/>
    </w:rPr>
  </w:style>
  <w:style w:type="paragraph" w:styleId="Textoindependiente">
    <w:name w:val="Body Text"/>
    <w:basedOn w:val="Normal"/>
    <w:link w:val="TextoindependienteCar"/>
    <w:uiPriority w:val="99"/>
    <w:unhideWhenUsed/>
    <w:rsid w:val="0030244A"/>
    <w:pPr>
      <w:tabs>
        <w:tab w:val="left" w:pos="2214"/>
      </w:tabs>
      <w:spacing w:line="240" w:lineRule="auto"/>
    </w:pPr>
    <w:rPr>
      <w:rFonts w:ascii="Verdana" w:hAnsi="Verdana"/>
      <w:sz w:val="20"/>
      <w:szCs w:val="20"/>
      <w:lang w:val="es-CO"/>
    </w:rPr>
  </w:style>
  <w:style w:type="character" w:customStyle="1" w:styleId="TextoindependienteCar">
    <w:name w:val="Texto independiente Car"/>
    <w:basedOn w:val="Fuentedeprrafopredeter"/>
    <w:link w:val="Textoindependiente"/>
    <w:uiPriority w:val="99"/>
    <w:rsid w:val="0030244A"/>
    <w:rPr>
      <w:rFonts w:ascii="Verdana" w:hAnsi="Verdana"/>
      <w:sz w:val="20"/>
      <w:szCs w:val="20"/>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7943">
      <w:bodyDiv w:val="1"/>
      <w:marLeft w:val="0"/>
      <w:marRight w:val="0"/>
      <w:marTop w:val="0"/>
      <w:marBottom w:val="0"/>
      <w:divBdr>
        <w:top w:val="none" w:sz="0" w:space="0" w:color="auto"/>
        <w:left w:val="none" w:sz="0" w:space="0" w:color="auto"/>
        <w:bottom w:val="none" w:sz="0" w:space="0" w:color="auto"/>
        <w:right w:val="none" w:sz="0" w:space="0" w:color="auto"/>
      </w:divBdr>
    </w:div>
    <w:div w:id="84614577">
      <w:bodyDiv w:val="1"/>
      <w:marLeft w:val="0"/>
      <w:marRight w:val="0"/>
      <w:marTop w:val="0"/>
      <w:marBottom w:val="0"/>
      <w:divBdr>
        <w:top w:val="none" w:sz="0" w:space="0" w:color="auto"/>
        <w:left w:val="none" w:sz="0" w:space="0" w:color="auto"/>
        <w:bottom w:val="none" w:sz="0" w:space="0" w:color="auto"/>
        <w:right w:val="none" w:sz="0" w:space="0" w:color="auto"/>
      </w:divBdr>
      <w:divsChild>
        <w:div w:id="1364595336">
          <w:marLeft w:val="0"/>
          <w:marRight w:val="0"/>
          <w:marTop w:val="0"/>
          <w:marBottom w:val="0"/>
          <w:divBdr>
            <w:top w:val="none" w:sz="0" w:space="0" w:color="auto"/>
            <w:left w:val="none" w:sz="0" w:space="0" w:color="auto"/>
            <w:bottom w:val="none" w:sz="0" w:space="0" w:color="auto"/>
            <w:right w:val="none" w:sz="0" w:space="0" w:color="auto"/>
          </w:divBdr>
          <w:divsChild>
            <w:div w:id="1893694358">
              <w:marLeft w:val="0"/>
              <w:marRight w:val="0"/>
              <w:marTop w:val="0"/>
              <w:marBottom w:val="0"/>
              <w:divBdr>
                <w:top w:val="none" w:sz="0" w:space="0" w:color="auto"/>
                <w:left w:val="none" w:sz="0" w:space="0" w:color="auto"/>
                <w:bottom w:val="none" w:sz="0" w:space="0" w:color="auto"/>
                <w:right w:val="none" w:sz="0" w:space="0" w:color="auto"/>
              </w:divBdr>
              <w:divsChild>
                <w:div w:id="28253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10341">
      <w:bodyDiv w:val="1"/>
      <w:marLeft w:val="0"/>
      <w:marRight w:val="0"/>
      <w:marTop w:val="0"/>
      <w:marBottom w:val="0"/>
      <w:divBdr>
        <w:top w:val="none" w:sz="0" w:space="0" w:color="auto"/>
        <w:left w:val="none" w:sz="0" w:space="0" w:color="auto"/>
        <w:bottom w:val="none" w:sz="0" w:space="0" w:color="auto"/>
        <w:right w:val="none" w:sz="0" w:space="0" w:color="auto"/>
      </w:divBdr>
    </w:div>
    <w:div w:id="665088536">
      <w:bodyDiv w:val="1"/>
      <w:marLeft w:val="0"/>
      <w:marRight w:val="0"/>
      <w:marTop w:val="0"/>
      <w:marBottom w:val="0"/>
      <w:divBdr>
        <w:top w:val="none" w:sz="0" w:space="0" w:color="auto"/>
        <w:left w:val="none" w:sz="0" w:space="0" w:color="auto"/>
        <w:bottom w:val="none" w:sz="0" w:space="0" w:color="auto"/>
        <w:right w:val="none" w:sz="0" w:space="0" w:color="auto"/>
      </w:divBdr>
    </w:div>
    <w:div w:id="790368718">
      <w:bodyDiv w:val="1"/>
      <w:marLeft w:val="0"/>
      <w:marRight w:val="0"/>
      <w:marTop w:val="0"/>
      <w:marBottom w:val="0"/>
      <w:divBdr>
        <w:top w:val="none" w:sz="0" w:space="0" w:color="auto"/>
        <w:left w:val="none" w:sz="0" w:space="0" w:color="auto"/>
        <w:bottom w:val="none" w:sz="0" w:space="0" w:color="auto"/>
        <w:right w:val="none" w:sz="0" w:space="0" w:color="auto"/>
      </w:divBdr>
    </w:div>
    <w:div w:id="861166541">
      <w:bodyDiv w:val="1"/>
      <w:marLeft w:val="0"/>
      <w:marRight w:val="0"/>
      <w:marTop w:val="0"/>
      <w:marBottom w:val="0"/>
      <w:divBdr>
        <w:top w:val="none" w:sz="0" w:space="0" w:color="auto"/>
        <w:left w:val="none" w:sz="0" w:space="0" w:color="auto"/>
        <w:bottom w:val="none" w:sz="0" w:space="0" w:color="auto"/>
        <w:right w:val="none" w:sz="0" w:space="0" w:color="auto"/>
      </w:divBdr>
    </w:div>
    <w:div w:id="934048082">
      <w:bodyDiv w:val="1"/>
      <w:marLeft w:val="0"/>
      <w:marRight w:val="0"/>
      <w:marTop w:val="0"/>
      <w:marBottom w:val="0"/>
      <w:divBdr>
        <w:top w:val="none" w:sz="0" w:space="0" w:color="auto"/>
        <w:left w:val="none" w:sz="0" w:space="0" w:color="auto"/>
        <w:bottom w:val="none" w:sz="0" w:space="0" w:color="auto"/>
        <w:right w:val="none" w:sz="0" w:space="0" w:color="auto"/>
      </w:divBdr>
      <w:divsChild>
        <w:div w:id="674697882">
          <w:marLeft w:val="0"/>
          <w:marRight w:val="0"/>
          <w:marTop w:val="0"/>
          <w:marBottom w:val="0"/>
          <w:divBdr>
            <w:top w:val="none" w:sz="0" w:space="0" w:color="auto"/>
            <w:left w:val="none" w:sz="0" w:space="0" w:color="auto"/>
            <w:bottom w:val="none" w:sz="0" w:space="0" w:color="auto"/>
            <w:right w:val="none" w:sz="0" w:space="0" w:color="auto"/>
          </w:divBdr>
          <w:divsChild>
            <w:div w:id="10958462">
              <w:marLeft w:val="0"/>
              <w:marRight w:val="0"/>
              <w:marTop w:val="0"/>
              <w:marBottom w:val="0"/>
              <w:divBdr>
                <w:top w:val="none" w:sz="0" w:space="0" w:color="auto"/>
                <w:left w:val="none" w:sz="0" w:space="0" w:color="auto"/>
                <w:bottom w:val="none" w:sz="0" w:space="0" w:color="auto"/>
                <w:right w:val="none" w:sz="0" w:space="0" w:color="auto"/>
              </w:divBdr>
              <w:divsChild>
                <w:div w:id="197067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150989">
      <w:bodyDiv w:val="1"/>
      <w:marLeft w:val="0"/>
      <w:marRight w:val="0"/>
      <w:marTop w:val="0"/>
      <w:marBottom w:val="0"/>
      <w:divBdr>
        <w:top w:val="none" w:sz="0" w:space="0" w:color="auto"/>
        <w:left w:val="none" w:sz="0" w:space="0" w:color="auto"/>
        <w:bottom w:val="none" w:sz="0" w:space="0" w:color="auto"/>
        <w:right w:val="none" w:sz="0" w:space="0" w:color="auto"/>
      </w:divBdr>
    </w:div>
    <w:div w:id="1019745368">
      <w:bodyDiv w:val="1"/>
      <w:marLeft w:val="0"/>
      <w:marRight w:val="0"/>
      <w:marTop w:val="0"/>
      <w:marBottom w:val="0"/>
      <w:divBdr>
        <w:top w:val="none" w:sz="0" w:space="0" w:color="auto"/>
        <w:left w:val="none" w:sz="0" w:space="0" w:color="auto"/>
        <w:bottom w:val="none" w:sz="0" w:space="0" w:color="auto"/>
        <w:right w:val="none" w:sz="0" w:space="0" w:color="auto"/>
      </w:divBdr>
    </w:div>
    <w:div w:id="1095713287">
      <w:bodyDiv w:val="1"/>
      <w:marLeft w:val="0"/>
      <w:marRight w:val="0"/>
      <w:marTop w:val="0"/>
      <w:marBottom w:val="0"/>
      <w:divBdr>
        <w:top w:val="none" w:sz="0" w:space="0" w:color="auto"/>
        <w:left w:val="none" w:sz="0" w:space="0" w:color="auto"/>
        <w:bottom w:val="none" w:sz="0" w:space="0" w:color="auto"/>
        <w:right w:val="none" w:sz="0" w:space="0" w:color="auto"/>
      </w:divBdr>
      <w:divsChild>
        <w:div w:id="1167866218">
          <w:marLeft w:val="0"/>
          <w:marRight w:val="0"/>
          <w:marTop w:val="0"/>
          <w:marBottom w:val="0"/>
          <w:divBdr>
            <w:top w:val="none" w:sz="0" w:space="0" w:color="auto"/>
            <w:left w:val="none" w:sz="0" w:space="0" w:color="auto"/>
            <w:bottom w:val="none" w:sz="0" w:space="0" w:color="auto"/>
            <w:right w:val="none" w:sz="0" w:space="0" w:color="auto"/>
          </w:divBdr>
          <w:divsChild>
            <w:div w:id="612250980">
              <w:marLeft w:val="0"/>
              <w:marRight w:val="0"/>
              <w:marTop w:val="0"/>
              <w:marBottom w:val="0"/>
              <w:divBdr>
                <w:top w:val="none" w:sz="0" w:space="0" w:color="auto"/>
                <w:left w:val="none" w:sz="0" w:space="0" w:color="auto"/>
                <w:bottom w:val="none" w:sz="0" w:space="0" w:color="auto"/>
                <w:right w:val="none" w:sz="0" w:space="0" w:color="auto"/>
              </w:divBdr>
              <w:divsChild>
                <w:div w:id="75165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981200">
      <w:bodyDiv w:val="1"/>
      <w:marLeft w:val="0"/>
      <w:marRight w:val="0"/>
      <w:marTop w:val="0"/>
      <w:marBottom w:val="0"/>
      <w:divBdr>
        <w:top w:val="none" w:sz="0" w:space="0" w:color="auto"/>
        <w:left w:val="none" w:sz="0" w:space="0" w:color="auto"/>
        <w:bottom w:val="none" w:sz="0" w:space="0" w:color="auto"/>
        <w:right w:val="none" w:sz="0" w:space="0" w:color="auto"/>
      </w:divBdr>
    </w:div>
    <w:div w:id="1116480565">
      <w:bodyDiv w:val="1"/>
      <w:marLeft w:val="0"/>
      <w:marRight w:val="0"/>
      <w:marTop w:val="0"/>
      <w:marBottom w:val="0"/>
      <w:divBdr>
        <w:top w:val="none" w:sz="0" w:space="0" w:color="auto"/>
        <w:left w:val="none" w:sz="0" w:space="0" w:color="auto"/>
        <w:bottom w:val="none" w:sz="0" w:space="0" w:color="auto"/>
        <w:right w:val="none" w:sz="0" w:space="0" w:color="auto"/>
      </w:divBdr>
    </w:div>
    <w:div w:id="1191066898">
      <w:bodyDiv w:val="1"/>
      <w:marLeft w:val="0"/>
      <w:marRight w:val="0"/>
      <w:marTop w:val="0"/>
      <w:marBottom w:val="0"/>
      <w:divBdr>
        <w:top w:val="none" w:sz="0" w:space="0" w:color="auto"/>
        <w:left w:val="none" w:sz="0" w:space="0" w:color="auto"/>
        <w:bottom w:val="none" w:sz="0" w:space="0" w:color="auto"/>
        <w:right w:val="none" w:sz="0" w:space="0" w:color="auto"/>
      </w:divBdr>
      <w:divsChild>
        <w:div w:id="2022396108">
          <w:marLeft w:val="0"/>
          <w:marRight w:val="0"/>
          <w:marTop w:val="0"/>
          <w:marBottom w:val="0"/>
          <w:divBdr>
            <w:top w:val="none" w:sz="0" w:space="0" w:color="auto"/>
            <w:left w:val="none" w:sz="0" w:space="0" w:color="auto"/>
            <w:bottom w:val="none" w:sz="0" w:space="0" w:color="auto"/>
            <w:right w:val="none" w:sz="0" w:space="0" w:color="auto"/>
          </w:divBdr>
          <w:divsChild>
            <w:div w:id="326980727">
              <w:marLeft w:val="0"/>
              <w:marRight w:val="0"/>
              <w:marTop w:val="0"/>
              <w:marBottom w:val="0"/>
              <w:divBdr>
                <w:top w:val="none" w:sz="0" w:space="0" w:color="auto"/>
                <w:left w:val="none" w:sz="0" w:space="0" w:color="auto"/>
                <w:bottom w:val="none" w:sz="0" w:space="0" w:color="auto"/>
                <w:right w:val="none" w:sz="0" w:space="0" w:color="auto"/>
              </w:divBdr>
              <w:divsChild>
                <w:div w:id="35215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361058">
      <w:bodyDiv w:val="1"/>
      <w:marLeft w:val="0"/>
      <w:marRight w:val="0"/>
      <w:marTop w:val="0"/>
      <w:marBottom w:val="0"/>
      <w:divBdr>
        <w:top w:val="none" w:sz="0" w:space="0" w:color="auto"/>
        <w:left w:val="none" w:sz="0" w:space="0" w:color="auto"/>
        <w:bottom w:val="none" w:sz="0" w:space="0" w:color="auto"/>
        <w:right w:val="none" w:sz="0" w:space="0" w:color="auto"/>
      </w:divBdr>
      <w:divsChild>
        <w:div w:id="105200970">
          <w:marLeft w:val="0"/>
          <w:marRight w:val="0"/>
          <w:marTop w:val="0"/>
          <w:marBottom w:val="0"/>
          <w:divBdr>
            <w:top w:val="none" w:sz="0" w:space="0" w:color="auto"/>
            <w:left w:val="none" w:sz="0" w:space="0" w:color="auto"/>
            <w:bottom w:val="none" w:sz="0" w:space="0" w:color="auto"/>
            <w:right w:val="none" w:sz="0" w:space="0" w:color="auto"/>
          </w:divBdr>
          <w:divsChild>
            <w:div w:id="347676361">
              <w:marLeft w:val="0"/>
              <w:marRight w:val="0"/>
              <w:marTop w:val="0"/>
              <w:marBottom w:val="0"/>
              <w:divBdr>
                <w:top w:val="none" w:sz="0" w:space="0" w:color="auto"/>
                <w:left w:val="none" w:sz="0" w:space="0" w:color="auto"/>
                <w:bottom w:val="none" w:sz="0" w:space="0" w:color="auto"/>
                <w:right w:val="none" w:sz="0" w:space="0" w:color="auto"/>
              </w:divBdr>
              <w:divsChild>
                <w:div w:id="190652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943016">
      <w:bodyDiv w:val="1"/>
      <w:marLeft w:val="0"/>
      <w:marRight w:val="0"/>
      <w:marTop w:val="0"/>
      <w:marBottom w:val="0"/>
      <w:divBdr>
        <w:top w:val="none" w:sz="0" w:space="0" w:color="auto"/>
        <w:left w:val="none" w:sz="0" w:space="0" w:color="auto"/>
        <w:bottom w:val="none" w:sz="0" w:space="0" w:color="auto"/>
        <w:right w:val="none" w:sz="0" w:space="0" w:color="auto"/>
      </w:divBdr>
      <w:divsChild>
        <w:div w:id="368536058">
          <w:marLeft w:val="0"/>
          <w:marRight w:val="0"/>
          <w:marTop w:val="0"/>
          <w:marBottom w:val="0"/>
          <w:divBdr>
            <w:top w:val="none" w:sz="0" w:space="0" w:color="auto"/>
            <w:left w:val="none" w:sz="0" w:space="0" w:color="auto"/>
            <w:bottom w:val="none" w:sz="0" w:space="0" w:color="auto"/>
            <w:right w:val="none" w:sz="0" w:space="0" w:color="auto"/>
          </w:divBdr>
          <w:divsChild>
            <w:div w:id="1812675779">
              <w:marLeft w:val="0"/>
              <w:marRight w:val="0"/>
              <w:marTop w:val="0"/>
              <w:marBottom w:val="0"/>
              <w:divBdr>
                <w:top w:val="none" w:sz="0" w:space="0" w:color="auto"/>
                <w:left w:val="none" w:sz="0" w:space="0" w:color="auto"/>
                <w:bottom w:val="none" w:sz="0" w:space="0" w:color="auto"/>
                <w:right w:val="none" w:sz="0" w:space="0" w:color="auto"/>
              </w:divBdr>
              <w:divsChild>
                <w:div w:id="54887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513586">
      <w:bodyDiv w:val="1"/>
      <w:marLeft w:val="0"/>
      <w:marRight w:val="0"/>
      <w:marTop w:val="0"/>
      <w:marBottom w:val="0"/>
      <w:divBdr>
        <w:top w:val="none" w:sz="0" w:space="0" w:color="auto"/>
        <w:left w:val="none" w:sz="0" w:space="0" w:color="auto"/>
        <w:bottom w:val="none" w:sz="0" w:space="0" w:color="auto"/>
        <w:right w:val="none" w:sz="0" w:space="0" w:color="auto"/>
      </w:divBdr>
    </w:div>
    <w:div w:id="1802915854">
      <w:bodyDiv w:val="1"/>
      <w:marLeft w:val="0"/>
      <w:marRight w:val="0"/>
      <w:marTop w:val="0"/>
      <w:marBottom w:val="0"/>
      <w:divBdr>
        <w:top w:val="none" w:sz="0" w:space="0" w:color="auto"/>
        <w:left w:val="none" w:sz="0" w:space="0" w:color="auto"/>
        <w:bottom w:val="none" w:sz="0" w:space="0" w:color="auto"/>
        <w:right w:val="none" w:sz="0" w:space="0" w:color="auto"/>
      </w:divBdr>
    </w:div>
    <w:div w:id="1837647263">
      <w:bodyDiv w:val="1"/>
      <w:marLeft w:val="0"/>
      <w:marRight w:val="0"/>
      <w:marTop w:val="0"/>
      <w:marBottom w:val="0"/>
      <w:divBdr>
        <w:top w:val="none" w:sz="0" w:space="0" w:color="auto"/>
        <w:left w:val="none" w:sz="0" w:space="0" w:color="auto"/>
        <w:bottom w:val="none" w:sz="0" w:space="0" w:color="auto"/>
        <w:right w:val="none" w:sz="0" w:space="0" w:color="auto"/>
      </w:divBdr>
      <w:divsChild>
        <w:div w:id="371854600">
          <w:marLeft w:val="0"/>
          <w:marRight w:val="0"/>
          <w:marTop w:val="0"/>
          <w:marBottom w:val="0"/>
          <w:divBdr>
            <w:top w:val="none" w:sz="0" w:space="0" w:color="auto"/>
            <w:left w:val="none" w:sz="0" w:space="0" w:color="auto"/>
            <w:bottom w:val="none" w:sz="0" w:space="0" w:color="auto"/>
            <w:right w:val="none" w:sz="0" w:space="0" w:color="auto"/>
          </w:divBdr>
          <w:divsChild>
            <w:div w:id="1458404408">
              <w:marLeft w:val="0"/>
              <w:marRight w:val="0"/>
              <w:marTop w:val="0"/>
              <w:marBottom w:val="0"/>
              <w:divBdr>
                <w:top w:val="none" w:sz="0" w:space="0" w:color="auto"/>
                <w:left w:val="none" w:sz="0" w:space="0" w:color="auto"/>
                <w:bottom w:val="none" w:sz="0" w:space="0" w:color="auto"/>
                <w:right w:val="none" w:sz="0" w:space="0" w:color="auto"/>
              </w:divBdr>
              <w:divsChild>
                <w:div w:id="87630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054645">
      <w:bodyDiv w:val="1"/>
      <w:marLeft w:val="0"/>
      <w:marRight w:val="0"/>
      <w:marTop w:val="0"/>
      <w:marBottom w:val="0"/>
      <w:divBdr>
        <w:top w:val="none" w:sz="0" w:space="0" w:color="auto"/>
        <w:left w:val="none" w:sz="0" w:space="0" w:color="auto"/>
        <w:bottom w:val="none" w:sz="0" w:space="0" w:color="auto"/>
        <w:right w:val="none" w:sz="0" w:space="0" w:color="auto"/>
      </w:divBdr>
    </w:div>
    <w:div w:id="1906717398">
      <w:bodyDiv w:val="1"/>
      <w:marLeft w:val="0"/>
      <w:marRight w:val="0"/>
      <w:marTop w:val="0"/>
      <w:marBottom w:val="0"/>
      <w:divBdr>
        <w:top w:val="none" w:sz="0" w:space="0" w:color="auto"/>
        <w:left w:val="none" w:sz="0" w:space="0" w:color="auto"/>
        <w:bottom w:val="none" w:sz="0" w:space="0" w:color="auto"/>
        <w:right w:val="none" w:sz="0" w:space="0" w:color="auto"/>
      </w:divBdr>
    </w:div>
    <w:div w:id="202817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orteidh.or.cr/docs/casos/Acosta/SA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1FC67-CFFB-4640-A176-83CE62B20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4838</Words>
  <Characters>26614</Characters>
  <Application>Microsoft Office Word</Application>
  <DocSecurity>0</DocSecurity>
  <Lines>221</Lines>
  <Paragraphs>62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Corte IDH</dc:creator>
  <cp:lastModifiedBy>Francella Hernandez</cp:lastModifiedBy>
  <cp:revision>2</cp:revision>
  <cp:lastPrinted>2019-06-27T16:53:00Z</cp:lastPrinted>
  <dcterms:created xsi:type="dcterms:W3CDTF">2019-06-27T21:11:00Z</dcterms:created>
  <dcterms:modified xsi:type="dcterms:W3CDTF">2019-06-27T21:11:00Z</dcterms:modified>
</cp:coreProperties>
</file>