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D7" w:rsidRPr="004862A3" w:rsidRDefault="0031638B" w:rsidP="004862A3">
      <w:pPr>
        <w:tabs>
          <w:tab w:val="left" w:pos="567"/>
        </w:tabs>
        <w:spacing w:after="0" w:line="240" w:lineRule="auto"/>
        <w:jc w:val="both"/>
        <w:rPr>
          <w:rFonts w:ascii="Verdana" w:hAnsi="Verdana"/>
          <w:b/>
          <w:sz w:val="20"/>
          <w:szCs w:val="20"/>
        </w:rPr>
      </w:pPr>
      <w:bookmarkStart w:id="0" w:name="_GoBack"/>
      <w:bookmarkEnd w:id="0"/>
      <w:r>
        <w:rPr>
          <w:rFonts w:ascii="Verdana" w:hAnsi="Verdana"/>
          <w:b/>
          <w:sz w:val="20"/>
          <w:szCs w:val="20"/>
        </w:rPr>
        <w:t xml:space="preserve">   </w:t>
      </w:r>
      <w:r w:rsidR="00F80CE6">
        <w:rPr>
          <w:rFonts w:ascii="Verdana" w:hAnsi="Verdana"/>
          <w:b/>
          <w:sz w:val="20"/>
          <w:szCs w:val="20"/>
        </w:rPr>
        <w:t xml:space="preserve"> </w:t>
      </w: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EF2BDD" w:rsidRPr="004862A3" w:rsidRDefault="00EF2BDD" w:rsidP="004862A3">
      <w:pPr>
        <w:tabs>
          <w:tab w:val="left" w:pos="567"/>
        </w:tabs>
        <w:spacing w:after="0" w:line="240" w:lineRule="auto"/>
        <w:jc w:val="both"/>
        <w:rPr>
          <w:rFonts w:ascii="Verdana" w:hAnsi="Verdana"/>
          <w:b/>
          <w:sz w:val="20"/>
          <w:szCs w:val="20"/>
        </w:rPr>
      </w:pPr>
    </w:p>
    <w:p w:rsidR="00553094" w:rsidRPr="004862A3" w:rsidRDefault="00553094" w:rsidP="004862A3">
      <w:pPr>
        <w:tabs>
          <w:tab w:val="left" w:pos="567"/>
        </w:tabs>
        <w:spacing w:after="0" w:line="240" w:lineRule="auto"/>
        <w:jc w:val="both"/>
        <w:rPr>
          <w:rFonts w:ascii="Verdana" w:hAnsi="Verdana"/>
          <w:b/>
          <w:sz w:val="20"/>
          <w:szCs w:val="20"/>
        </w:rPr>
      </w:pPr>
    </w:p>
    <w:p w:rsidR="007E7781"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RESOLUCIÓN </w:t>
      </w:r>
      <w:r w:rsidR="00FF6AD7" w:rsidRPr="004862A3">
        <w:rPr>
          <w:rFonts w:ascii="Verdana" w:hAnsi="Verdana"/>
          <w:b/>
          <w:sz w:val="20"/>
          <w:szCs w:val="20"/>
        </w:rPr>
        <w:t>DEL PRESIDENTE</w:t>
      </w:r>
      <w:r w:rsidR="007E7781" w:rsidRPr="004862A3">
        <w:rPr>
          <w:rFonts w:ascii="Verdana" w:hAnsi="Verdana"/>
          <w:b/>
          <w:sz w:val="20"/>
          <w:szCs w:val="20"/>
        </w:rPr>
        <w:t xml:space="preserve"> </w:t>
      </w:r>
      <w:r w:rsidRPr="004862A3">
        <w:rPr>
          <w:rFonts w:ascii="Verdana" w:hAnsi="Verdana"/>
          <w:b/>
          <w:sz w:val="20"/>
          <w:szCs w:val="20"/>
        </w:rPr>
        <w:t>DE LA</w:t>
      </w:r>
    </w:p>
    <w:p w:rsidR="00FF6AD7"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CORTE INTERAMERICANA DE DERECHOS HUMANOS</w:t>
      </w:r>
    </w:p>
    <w:p w:rsidR="007E7781" w:rsidRPr="004862A3" w:rsidRDefault="007E7781" w:rsidP="004862A3">
      <w:pPr>
        <w:tabs>
          <w:tab w:val="left" w:pos="567"/>
        </w:tabs>
        <w:spacing w:after="0" w:line="240" w:lineRule="auto"/>
        <w:jc w:val="center"/>
        <w:rPr>
          <w:rFonts w:ascii="Verdana" w:hAnsi="Verdana"/>
          <w:b/>
          <w:sz w:val="20"/>
          <w:szCs w:val="20"/>
        </w:rPr>
      </w:pPr>
    </w:p>
    <w:p w:rsidR="00817A82" w:rsidRPr="004862A3" w:rsidRDefault="00817A82" w:rsidP="004862A3">
      <w:pPr>
        <w:tabs>
          <w:tab w:val="left" w:pos="567"/>
        </w:tabs>
        <w:spacing w:after="0" w:line="240" w:lineRule="auto"/>
        <w:jc w:val="center"/>
        <w:rPr>
          <w:rFonts w:ascii="Verdana" w:hAnsi="Verdana"/>
          <w:b/>
          <w:sz w:val="20"/>
          <w:szCs w:val="20"/>
        </w:rPr>
      </w:pPr>
    </w:p>
    <w:p w:rsidR="007E7781"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DE </w:t>
      </w:r>
      <w:r w:rsidR="00C02792">
        <w:rPr>
          <w:rFonts w:ascii="Verdana" w:hAnsi="Verdana"/>
          <w:b/>
          <w:sz w:val="20"/>
          <w:szCs w:val="20"/>
        </w:rPr>
        <w:t>2</w:t>
      </w:r>
      <w:r w:rsidR="000113CA">
        <w:rPr>
          <w:rFonts w:ascii="Verdana" w:hAnsi="Verdana"/>
          <w:b/>
          <w:sz w:val="20"/>
          <w:szCs w:val="20"/>
        </w:rPr>
        <w:t>7</w:t>
      </w:r>
      <w:r w:rsidRPr="004862A3">
        <w:rPr>
          <w:rFonts w:ascii="Verdana" w:hAnsi="Verdana"/>
          <w:b/>
          <w:sz w:val="20"/>
          <w:szCs w:val="20"/>
        </w:rPr>
        <w:t xml:space="preserve"> DE </w:t>
      </w:r>
      <w:r w:rsidR="00F80CE6">
        <w:rPr>
          <w:rFonts w:ascii="Verdana" w:hAnsi="Verdana"/>
          <w:b/>
          <w:sz w:val="20"/>
          <w:szCs w:val="20"/>
        </w:rPr>
        <w:t>JUL</w:t>
      </w:r>
      <w:r w:rsidR="004862A3">
        <w:rPr>
          <w:rFonts w:ascii="Verdana" w:hAnsi="Verdana"/>
          <w:b/>
          <w:sz w:val="20"/>
          <w:szCs w:val="20"/>
        </w:rPr>
        <w:t>I</w:t>
      </w:r>
      <w:r w:rsidR="00FB38CA" w:rsidRPr="004862A3">
        <w:rPr>
          <w:rFonts w:ascii="Verdana" w:hAnsi="Verdana"/>
          <w:b/>
          <w:sz w:val="20"/>
          <w:szCs w:val="20"/>
        </w:rPr>
        <w:t>O</w:t>
      </w:r>
      <w:r w:rsidR="00CF35D2" w:rsidRPr="004862A3">
        <w:rPr>
          <w:rFonts w:ascii="Verdana" w:hAnsi="Verdana"/>
          <w:b/>
          <w:sz w:val="20"/>
          <w:szCs w:val="20"/>
        </w:rPr>
        <w:t xml:space="preserve"> DE 2018</w:t>
      </w:r>
    </w:p>
    <w:p w:rsidR="007E7781" w:rsidRPr="004862A3" w:rsidRDefault="007E7781" w:rsidP="004862A3">
      <w:pPr>
        <w:tabs>
          <w:tab w:val="left" w:pos="567"/>
        </w:tabs>
        <w:spacing w:after="0" w:line="240" w:lineRule="auto"/>
        <w:jc w:val="center"/>
        <w:rPr>
          <w:rFonts w:ascii="Verdana" w:hAnsi="Verdana"/>
          <w:b/>
          <w:sz w:val="20"/>
          <w:szCs w:val="20"/>
        </w:rPr>
      </w:pPr>
    </w:p>
    <w:p w:rsidR="00817A82" w:rsidRPr="004862A3" w:rsidRDefault="00817A82" w:rsidP="004862A3">
      <w:pPr>
        <w:tabs>
          <w:tab w:val="left" w:pos="567"/>
        </w:tabs>
        <w:spacing w:after="0" w:line="240" w:lineRule="auto"/>
        <w:jc w:val="center"/>
        <w:rPr>
          <w:rFonts w:ascii="Verdana" w:hAnsi="Verdana"/>
          <w:b/>
          <w:sz w:val="20"/>
          <w:szCs w:val="20"/>
        </w:rPr>
      </w:pPr>
    </w:p>
    <w:p w:rsidR="0046106D" w:rsidRPr="004862A3" w:rsidRDefault="00016191" w:rsidP="004862A3">
      <w:pPr>
        <w:tabs>
          <w:tab w:val="left" w:pos="567"/>
        </w:tabs>
        <w:spacing w:after="0" w:line="240" w:lineRule="auto"/>
        <w:jc w:val="center"/>
        <w:rPr>
          <w:rFonts w:ascii="Verdana" w:hAnsi="Verdana"/>
          <w:b/>
          <w:sz w:val="20"/>
          <w:szCs w:val="20"/>
        </w:rPr>
      </w:pPr>
      <w:r w:rsidRPr="004862A3">
        <w:rPr>
          <w:rFonts w:ascii="Verdana" w:hAnsi="Verdana"/>
          <w:b/>
          <w:sz w:val="20"/>
          <w:szCs w:val="20"/>
        </w:rPr>
        <w:t xml:space="preserve">CASO </w:t>
      </w:r>
      <w:r w:rsidR="00CF35D2" w:rsidRPr="004862A3">
        <w:rPr>
          <w:rFonts w:ascii="Verdana" w:hAnsi="Verdana"/>
          <w:b/>
          <w:sz w:val="20"/>
          <w:szCs w:val="20"/>
        </w:rPr>
        <w:t xml:space="preserve">MUELLE FLORES </w:t>
      </w:r>
      <w:r w:rsidRPr="004862A3">
        <w:rPr>
          <w:rFonts w:ascii="Verdana" w:hAnsi="Verdana"/>
          <w:b/>
          <w:sz w:val="20"/>
          <w:szCs w:val="20"/>
        </w:rPr>
        <w:t xml:space="preserve">VS. </w:t>
      </w:r>
      <w:r w:rsidR="00CF35D2" w:rsidRPr="004862A3">
        <w:rPr>
          <w:rFonts w:ascii="Verdana" w:hAnsi="Verdana"/>
          <w:b/>
          <w:sz w:val="20"/>
          <w:szCs w:val="20"/>
        </w:rPr>
        <w:t>PERÚ</w:t>
      </w:r>
    </w:p>
    <w:p w:rsidR="00E7770D" w:rsidRPr="004862A3" w:rsidRDefault="00E7770D" w:rsidP="004862A3">
      <w:pPr>
        <w:tabs>
          <w:tab w:val="left" w:pos="567"/>
        </w:tabs>
        <w:spacing w:after="0" w:line="240" w:lineRule="auto"/>
        <w:jc w:val="both"/>
        <w:rPr>
          <w:rFonts w:ascii="Verdana" w:hAnsi="Verdana"/>
          <w:b/>
          <w:sz w:val="20"/>
          <w:szCs w:val="20"/>
        </w:rPr>
      </w:pPr>
    </w:p>
    <w:p w:rsidR="006709EC" w:rsidRPr="002D567A" w:rsidRDefault="006709EC" w:rsidP="004862A3">
      <w:pPr>
        <w:tabs>
          <w:tab w:val="left" w:pos="567"/>
        </w:tabs>
        <w:spacing w:after="0" w:line="240" w:lineRule="auto"/>
        <w:jc w:val="both"/>
        <w:rPr>
          <w:rFonts w:ascii="Verdana" w:hAnsi="Verdana"/>
          <w:b/>
          <w:color w:val="000000" w:themeColor="text1"/>
          <w:sz w:val="20"/>
          <w:szCs w:val="20"/>
        </w:rPr>
      </w:pPr>
    </w:p>
    <w:p w:rsidR="00FF6AD7" w:rsidRPr="002D567A" w:rsidRDefault="00FF6AD7" w:rsidP="004862A3">
      <w:pPr>
        <w:tabs>
          <w:tab w:val="left" w:pos="567"/>
        </w:tabs>
        <w:spacing w:after="0" w:line="240" w:lineRule="auto"/>
        <w:jc w:val="both"/>
        <w:rPr>
          <w:rFonts w:ascii="Verdana" w:hAnsi="Verdana"/>
          <w:b/>
          <w:color w:val="000000" w:themeColor="text1"/>
          <w:sz w:val="20"/>
          <w:szCs w:val="20"/>
        </w:rPr>
      </w:pPr>
    </w:p>
    <w:p w:rsidR="00016191" w:rsidRPr="002D567A" w:rsidRDefault="00016191" w:rsidP="004862A3">
      <w:pPr>
        <w:tabs>
          <w:tab w:val="left" w:pos="567"/>
        </w:tabs>
        <w:spacing w:after="0" w:line="240" w:lineRule="auto"/>
        <w:jc w:val="both"/>
        <w:rPr>
          <w:rFonts w:ascii="Verdana" w:hAnsi="Verdana"/>
          <w:b/>
          <w:color w:val="000000" w:themeColor="text1"/>
          <w:sz w:val="20"/>
          <w:szCs w:val="20"/>
        </w:rPr>
      </w:pPr>
      <w:r w:rsidRPr="002D567A">
        <w:rPr>
          <w:rFonts w:ascii="Verdana" w:hAnsi="Verdana"/>
          <w:b/>
          <w:color w:val="000000" w:themeColor="text1"/>
          <w:sz w:val="20"/>
          <w:szCs w:val="20"/>
        </w:rPr>
        <w:t>VISTO:</w:t>
      </w:r>
    </w:p>
    <w:p w:rsidR="00BF78B5" w:rsidRPr="002D567A" w:rsidRDefault="00BF78B5" w:rsidP="004862A3">
      <w:pPr>
        <w:tabs>
          <w:tab w:val="left" w:pos="567"/>
        </w:tabs>
        <w:spacing w:after="0" w:line="240" w:lineRule="auto"/>
        <w:jc w:val="both"/>
        <w:rPr>
          <w:rFonts w:ascii="Verdana" w:hAnsi="Verdana"/>
          <w:b/>
          <w:color w:val="000000" w:themeColor="text1"/>
          <w:sz w:val="20"/>
          <w:szCs w:val="20"/>
        </w:rPr>
      </w:pPr>
    </w:p>
    <w:p w:rsidR="002004F5" w:rsidRPr="002D567A" w:rsidRDefault="00016191" w:rsidP="004862A3">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color w:val="000000" w:themeColor="text1"/>
          <w:sz w:val="20"/>
          <w:szCs w:val="20"/>
          <w:lang w:eastAsia="es-ES"/>
        </w:rPr>
      </w:pPr>
      <w:r w:rsidRPr="002D567A">
        <w:rPr>
          <w:rFonts w:ascii="Verdana" w:hAnsi="Verdana"/>
          <w:color w:val="000000" w:themeColor="text1"/>
          <w:sz w:val="20"/>
          <w:szCs w:val="20"/>
        </w:rPr>
        <w:t>El escrito de sometimiento del caso y el Informe de Fondo de la Comisión Interamericana de Derechos Humanos (en adelante “la Comisión Interamericana” o “la Comisión”); el escrito de solicitudes, argumentos y pruebas</w:t>
      </w:r>
      <w:r w:rsidR="00844163" w:rsidRPr="002D567A">
        <w:rPr>
          <w:rFonts w:ascii="Verdana" w:hAnsi="Verdana"/>
          <w:color w:val="000000" w:themeColor="text1"/>
          <w:sz w:val="20"/>
          <w:szCs w:val="20"/>
        </w:rPr>
        <w:t xml:space="preserve"> </w:t>
      </w:r>
      <w:r w:rsidRPr="002D567A">
        <w:rPr>
          <w:rFonts w:ascii="Verdana" w:hAnsi="Verdana"/>
          <w:color w:val="000000" w:themeColor="text1"/>
          <w:sz w:val="20"/>
          <w:szCs w:val="20"/>
        </w:rPr>
        <w:t xml:space="preserve">(en adelante el “escrito de </w:t>
      </w:r>
      <w:r w:rsidR="00CB061A" w:rsidRPr="002D567A">
        <w:rPr>
          <w:rFonts w:ascii="Verdana" w:hAnsi="Verdana"/>
          <w:color w:val="000000" w:themeColor="text1"/>
          <w:sz w:val="20"/>
          <w:szCs w:val="20"/>
        </w:rPr>
        <w:t>solicitudes y argumentos”) de la</w:t>
      </w:r>
      <w:r w:rsidRPr="002D567A">
        <w:rPr>
          <w:rFonts w:ascii="Verdana" w:hAnsi="Verdana"/>
          <w:color w:val="000000" w:themeColor="text1"/>
          <w:sz w:val="20"/>
          <w:szCs w:val="20"/>
        </w:rPr>
        <w:t>s representantes</w:t>
      </w:r>
      <w:r w:rsidR="004718FD" w:rsidRPr="002D567A">
        <w:rPr>
          <w:rStyle w:val="FootnoteReference"/>
          <w:rFonts w:ascii="Verdana" w:hAnsi="Verdana"/>
          <w:color w:val="000000" w:themeColor="text1"/>
          <w:sz w:val="20"/>
          <w:szCs w:val="20"/>
        </w:rPr>
        <w:footnoteReference w:id="1"/>
      </w:r>
      <w:r w:rsidR="00CB061A" w:rsidRPr="002D567A">
        <w:rPr>
          <w:rFonts w:ascii="Verdana" w:hAnsi="Verdana"/>
          <w:color w:val="000000" w:themeColor="text1"/>
          <w:sz w:val="20"/>
          <w:szCs w:val="20"/>
        </w:rPr>
        <w:t xml:space="preserve"> (en adelante “la</w:t>
      </w:r>
      <w:r w:rsidRPr="002D567A">
        <w:rPr>
          <w:rFonts w:ascii="Verdana" w:hAnsi="Verdana"/>
          <w:color w:val="000000" w:themeColor="text1"/>
          <w:sz w:val="20"/>
          <w:szCs w:val="20"/>
        </w:rPr>
        <w:t xml:space="preserve">s representantes”); el escrito </w:t>
      </w:r>
      <w:r w:rsidR="00181E13">
        <w:rPr>
          <w:rFonts w:ascii="Verdana" w:hAnsi="Verdana"/>
          <w:color w:val="000000" w:themeColor="text1"/>
          <w:sz w:val="20"/>
          <w:szCs w:val="20"/>
        </w:rPr>
        <w:t xml:space="preserve">de excepción preliminar y </w:t>
      </w:r>
      <w:r w:rsidRPr="002D567A">
        <w:rPr>
          <w:rFonts w:ascii="Verdana" w:hAnsi="Verdana"/>
          <w:color w:val="000000" w:themeColor="text1"/>
          <w:sz w:val="20"/>
          <w:szCs w:val="20"/>
        </w:rPr>
        <w:t>contestación al sometimiento del caso y al escrito de solicitudes y argumentos (en adelant</w:t>
      </w:r>
      <w:r w:rsidR="00553E2F" w:rsidRPr="002D567A">
        <w:rPr>
          <w:rFonts w:ascii="Verdana" w:hAnsi="Verdana"/>
          <w:color w:val="000000" w:themeColor="text1"/>
          <w:sz w:val="20"/>
          <w:szCs w:val="20"/>
        </w:rPr>
        <w:t>e</w:t>
      </w:r>
      <w:r w:rsidR="005E0E15" w:rsidRPr="002D567A">
        <w:rPr>
          <w:rFonts w:ascii="Verdana" w:hAnsi="Verdana"/>
          <w:color w:val="000000" w:themeColor="text1"/>
          <w:sz w:val="20"/>
          <w:szCs w:val="20"/>
        </w:rPr>
        <w:t xml:space="preserve"> “escrito de contestación”) de la </w:t>
      </w:r>
      <w:r w:rsidR="00CF35D2" w:rsidRPr="002D567A">
        <w:rPr>
          <w:rFonts w:ascii="Verdana" w:hAnsi="Verdana"/>
          <w:color w:val="000000" w:themeColor="text1"/>
          <w:sz w:val="20"/>
          <w:szCs w:val="20"/>
        </w:rPr>
        <w:t>República del Perú</w:t>
      </w:r>
      <w:r w:rsidR="00553E2F" w:rsidRPr="002D567A">
        <w:rPr>
          <w:rFonts w:ascii="Verdana" w:hAnsi="Verdana"/>
          <w:color w:val="000000" w:themeColor="text1"/>
          <w:sz w:val="20"/>
          <w:szCs w:val="20"/>
        </w:rPr>
        <w:t xml:space="preserve"> </w:t>
      </w:r>
      <w:r w:rsidRPr="002D567A">
        <w:rPr>
          <w:rFonts w:ascii="Verdana" w:hAnsi="Verdana"/>
          <w:color w:val="000000" w:themeColor="text1"/>
          <w:sz w:val="20"/>
          <w:szCs w:val="20"/>
        </w:rPr>
        <w:t>(en adelante “</w:t>
      </w:r>
      <w:r w:rsidR="00CF35D2" w:rsidRPr="002D567A">
        <w:rPr>
          <w:rFonts w:ascii="Verdana" w:hAnsi="Verdana"/>
          <w:color w:val="000000" w:themeColor="text1"/>
          <w:sz w:val="20"/>
          <w:szCs w:val="20"/>
        </w:rPr>
        <w:t>Perú</w:t>
      </w:r>
      <w:r w:rsidR="002004F5" w:rsidRPr="002D567A">
        <w:rPr>
          <w:rFonts w:ascii="Verdana" w:hAnsi="Verdana"/>
          <w:color w:val="000000" w:themeColor="text1"/>
          <w:sz w:val="20"/>
          <w:szCs w:val="20"/>
        </w:rPr>
        <w:t>” o “el Estado”), así como los escritos de observaciones a la excepción preliminar interpuesta por el Estado presentados por</w:t>
      </w:r>
      <w:r w:rsidR="0054745F" w:rsidRPr="002D567A">
        <w:rPr>
          <w:rFonts w:ascii="Verdana" w:hAnsi="Verdana"/>
          <w:color w:val="000000" w:themeColor="text1"/>
          <w:sz w:val="20"/>
          <w:szCs w:val="20"/>
        </w:rPr>
        <w:t xml:space="preserve"> la Comisión Interamericana y la</w:t>
      </w:r>
      <w:r w:rsidR="002004F5" w:rsidRPr="002D567A">
        <w:rPr>
          <w:rFonts w:ascii="Verdana" w:hAnsi="Verdana"/>
          <w:color w:val="000000" w:themeColor="text1"/>
          <w:sz w:val="20"/>
          <w:szCs w:val="20"/>
        </w:rPr>
        <w:t>s representantes.</w:t>
      </w:r>
    </w:p>
    <w:p w:rsidR="002004F5" w:rsidRPr="002D567A" w:rsidRDefault="002004F5" w:rsidP="004862A3">
      <w:pPr>
        <w:widowControl w:val="0"/>
        <w:tabs>
          <w:tab w:val="left" w:pos="567"/>
        </w:tabs>
        <w:autoSpaceDE w:val="0"/>
        <w:autoSpaceDN w:val="0"/>
        <w:adjustRightInd w:val="0"/>
        <w:spacing w:after="0" w:line="240" w:lineRule="auto"/>
        <w:ind w:right="22"/>
        <w:jc w:val="both"/>
        <w:rPr>
          <w:rFonts w:ascii="Verdana" w:eastAsia="Calibri" w:hAnsi="Verdana" w:cs="Times"/>
          <w:color w:val="000000" w:themeColor="text1"/>
          <w:sz w:val="20"/>
          <w:szCs w:val="20"/>
          <w:lang w:eastAsia="es-ES"/>
        </w:rPr>
      </w:pPr>
    </w:p>
    <w:p w:rsidR="002004F5" w:rsidRPr="002D567A" w:rsidRDefault="002004F5" w:rsidP="004862A3">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color w:val="000000" w:themeColor="text1"/>
          <w:sz w:val="20"/>
          <w:szCs w:val="20"/>
          <w:lang w:eastAsia="es-ES"/>
        </w:rPr>
      </w:pPr>
      <w:r w:rsidRPr="002D567A">
        <w:rPr>
          <w:rFonts w:ascii="Verdana" w:hAnsi="Verdana"/>
          <w:color w:val="000000" w:themeColor="text1"/>
          <w:sz w:val="20"/>
          <w:szCs w:val="20"/>
        </w:rPr>
        <w:t>Las listas definitivas d</w:t>
      </w:r>
      <w:r w:rsidR="0054745F" w:rsidRPr="002D567A">
        <w:rPr>
          <w:rFonts w:ascii="Verdana" w:hAnsi="Verdana"/>
          <w:color w:val="000000" w:themeColor="text1"/>
          <w:sz w:val="20"/>
          <w:szCs w:val="20"/>
        </w:rPr>
        <w:t xml:space="preserve">e declarantes presentadas por </w:t>
      </w:r>
      <w:r w:rsidR="00181E13">
        <w:rPr>
          <w:rFonts w:ascii="Verdana" w:hAnsi="Verdana"/>
          <w:color w:val="000000" w:themeColor="text1"/>
          <w:sz w:val="20"/>
          <w:szCs w:val="20"/>
        </w:rPr>
        <w:t xml:space="preserve">las partes </w:t>
      </w:r>
      <w:r w:rsidRPr="002D567A">
        <w:rPr>
          <w:rFonts w:ascii="Verdana" w:hAnsi="Verdana"/>
          <w:color w:val="000000" w:themeColor="text1"/>
          <w:sz w:val="20"/>
          <w:szCs w:val="20"/>
        </w:rPr>
        <w:t>y la Comisión y las correspondientes observaciones a dichas listas</w:t>
      </w:r>
      <w:r w:rsidR="006A2477">
        <w:rPr>
          <w:rFonts w:ascii="Verdana" w:hAnsi="Verdana"/>
          <w:color w:val="000000" w:themeColor="text1"/>
          <w:sz w:val="20"/>
          <w:szCs w:val="20"/>
        </w:rPr>
        <w:t xml:space="preserve"> presentadas por el Estado y la Comisión</w:t>
      </w:r>
      <w:r w:rsidRPr="002D567A">
        <w:rPr>
          <w:rFonts w:ascii="Verdana" w:hAnsi="Verdana"/>
          <w:color w:val="000000" w:themeColor="text1"/>
          <w:sz w:val="20"/>
          <w:szCs w:val="20"/>
        </w:rPr>
        <w:t>.</w:t>
      </w:r>
    </w:p>
    <w:p w:rsidR="0084402F" w:rsidRPr="002D567A" w:rsidRDefault="0084402F" w:rsidP="004862A3">
      <w:pPr>
        <w:widowControl w:val="0"/>
        <w:tabs>
          <w:tab w:val="left" w:pos="567"/>
        </w:tabs>
        <w:autoSpaceDE w:val="0"/>
        <w:autoSpaceDN w:val="0"/>
        <w:adjustRightInd w:val="0"/>
        <w:spacing w:after="0" w:line="240" w:lineRule="auto"/>
        <w:ind w:right="22"/>
        <w:jc w:val="both"/>
        <w:rPr>
          <w:rFonts w:ascii="Verdana" w:eastAsia="Calibri" w:hAnsi="Verdana" w:cs="Times"/>
          <w:color w:val="000000" w:themeColor="text1"/>
          <w:sz w:val="20"/>
          <w:szCs w:val="20"/>
          <w:lang w:eastAsia="es-ES"/>
        </w:rPr>
      </w:pPr>
    </w:p>
    <w:p w:rsidR="006B5876" w:rsidRPr="002D567A" w:rsidRDefault="006B5876" w:rsidP="004862A3">
      <w:pPr>
        <w:pStyle w:val="ListParagraph"/>
        <w:tabs>
          <w:tab w:val="left" w:pos="567"/>
        </w:tabs>
        <w:spacing w:after="0" w:line="240" w:lineRule="auto"/>
        <w:ind w:left="0"/>
        <w:jc w:val="both"/>
        <w:rPr>
          <w:rFonts w:ascii="Verdana" w:hAnsi="Verdana"/>
          <w:b/>
          <w:color w:val="000000" w:themeColor="text1"/>
          <w:sz w:val="20"/>
          <w:szCs w:val="20"/>
        </w:rPr>
      </w:pPr>
      <w:r w:rsidRPr="002D567A">
        <w:rPr>
          <w:rFonts w:ascii="Verdana" w:hAnsi="Verdana"/>
          <w:b/>
          <w:color w:val="000000" w:themeColor="text1"/>
          <w:sz w:val="20"/>
          <w:szCs w:val="20"/>
        </w:rPr>
        <w:t xml:space="preserve">CONSIDERANDO QUE: </w:t>
      </w:r>
    </w:p>
    <w:p w:rsidR="006B5876" w:rsidRPr="002D567A" w:rsidRDefault="006B5876" w:rsidP="004862A3">
      <w:pPr>
        <w:pStyle w:val="ListParagraph"/>
        <w:tabs>
          <w:tab w:val="left" w:pos="567"/>
        </w:tabs>
        <w:spacing w:after="0" w:line="240" w:lineRule="auto"/>
        <w:ind w:left="0"/>
        <w:jc w:val="both"/>
        <w:rPr>
          <w:rFonts w:ascii="Verdana" w:hAnsi="Verdana"/>
          <w:color w:val="000000" w:themeColor="text1"/>
          <w:sz w:val="20"/>
          <w:szCs w:val="20"/>
        </w:rPr>
      </w:pPr>
    </w:p>
    <w:p w:rsidR="00376A83" w:rsidRPr="002D567A" w:rsidRDefault="006B5876" w:rsidP="004862A3">
      <w:pPr>
        <w:pStyle w:val="NoSpacing"/>
        <w:rPr>
          <w:color w:val="000000" w:themeColor="text1"/>
          <w:szCs w:val="20"/>
        </w:rPr>
      </w:pPr>
      <w:r w:rsidRPr="002D567A">
        <w:rPr>
          <w:color w:val="000000" w:themeColor="text1"/>
          <w:szCs w:val="20"/>
        </w:rPr>
        <w:t xml:space="preserve">El ofrecimiento y la admisión de la prueba, así como la citación de </w:t>
      </w:r>
      <w:r w:rsidR="009D6F17" w:rsidRPr="002D567A">
        <w:rPr>
          <w:color w:val="000000" w:themeColor="text1"/>
          <w:szCs w:val="20"/>
        </w:rPr>
        <w:t xml:space="preserve">declarantes </w:t>
      </w:r>
      <w:r w:rsidRPr="002D567A">
        <w:rPr>
          <w:color w:val="000000" w:themeColor="text1"/>
          <w:szCs w:val="20"/>
        </w:rPr>
        <w:t>se encuentran regulados en los artículos 35.1.f, 40.2.c, 41.1.c, 46, 47, 48, 50,</w:t>
      </w:r>
      <w:r w:rsidR="00104B9F" w:rsidRPr="002D567A">
        <w:rPr>
          <w:color w:val="000000" w:themeColor="text1"/>
          <w:szCs w:val="20"/>
        </w:rPr>
        <w:t xml:space="preserve"> 51</w:t>
      </w:r>
      <w:r w:rsidR="0038167F" w:rsidRPr="002D567A">
        <w:rPr>
          <w:color w:val="000000" w:themeColor="text1"/>
          <w:szCs w:val="20"/>
        </w:rPr>
        <w:t>.11</w:t>
      </w:r>
      <w:r w:rsidR="00104B9F" w:rsidRPr="002D567A">
        <w:rPr>
          <w:color w:val="000000" w:themeColor="text1"/>
          <w:szCs w:val="20"/>
        </w:rPr>
        <w:t>,</w:t>
      </w:r>
      <w:r w:rsidRPr="002D567A">
        <w:rPr>
          <w:color w:val="000000" w:themeColor="text1"/>
          <w:szCs w:val="20"/>
        </w:rPr>
        <w:t xml:space="preserve"> 52.3, 57 y 58 del Reglamento de la Corte Interamericana de Derechos Humanos (en adelante “la Corte Interamericana”, “la Corte” o “e</w:t>
      </w:r>
      <w:r w:rsidR="005E698B" w:rsidRPr="002D567A">
        <w:rPr>
          <w:color w:val="000000" w:themeColor="text1"/>
          <w:szCs w:val="20"/>
        </w:rPr>
        <w:t>l Tribunal”).</w:t>
      </w:r>
    </w:p>
    <w:p w:rsidR="00376A83" w:rsidRPr="002D567A" w:rsidRDefault="00376A83" w:rsidP="004862A3">
      <w:pPr>
        <w:pStyle w:val="NoSpacing"/>
        <w:numPr>
          <w:ilvl w:val="0"/>
          <w:numId w:val="0"/>
        </w:numPr>
        <w:rPr>
          <w:color w:val="000000" w:themeColor="text1"/>
          <w:szCs w:val="20"/>
        </w:rPr>
      </w:pPr>
    </w:p>
    <w:p w:rsidR="00376A83" w:rsidRPr="002D567A" w:rsidRDefault="00376A83" w:rsidP="004862A3">
      <w:pPr>
        <w:pStyle w:val="NoSpacing"/>
        <w:rPr>
          <w:color w:val="000000" w:themeColor="text1"/>
          <w:szCs w:val="20"/>
        </w:rPr>
      </w:pPr>
      <w:bookmarkStart w:id="1" w:name="_Ref518915260"/>
      <w:r w:rsidRPr="002D567A">
        <w:rPr>
          <w:color w:val="000000" w:themeColor="text1"/>
          <w:szCs w:val="20"/>
        </w:rPr>
        <w:t>La Comisión ofre</w:t>
      </w:r>
      <w:r w:rsidR="0054745F" w:rsidRPr="002D567A">
        <w:rPr>
          <w:color w:val="000000" w:themeColor="text1"/>
          <w:szCs w:val="20"/>
        </w:rPr>
        <w:t>ció una declaración pericial. La</w:t>
      </w:r>
      <w:r w:rsidRPr="002D567A">
        <w:rPr>
          <w:color w:val="000000" w:themeColor="text1"/>
          <w:szCs w:val="20"/>
        </w:rPr>
        <w:t>s representantes ofrecieron las declar</w:t>
      </w:r>
      <w:r w:rsidR="008869F9" w:rsidRPr="002D567A">
        <w:rPr>
          <w:color w:val="000000" w:themeColor="text1"/>
          <w:szCs w:val="20"/>
        </w:rPr>
        <w:t>aciones de</w:t>
      </w:r>
      <w:r w:rsidR="00181E13">
        <w:rPr>
          <w:color w:val="000000" w:themeColor="text1"/>
          <w:szCs w:val="20"/>
        </w:rPr>
        <w:t xml:space="preserve"> la</w:t>
      </w:r>
      <w:r w:rsidR="002D567A" w:rsidRPr="002D567A">
        <w:rPr>
          <w:color w:val="000000" w:themeColor="text1"/>
          <w:szCs w:val="20"/>
        </w:rPr>
        <w:t xml:space="preserve"> presunta v</w:t>
      </w:r>
      <w:r w:rsidR="00181E13">
        <w:rPr>
          <w:color w:val="000000" w:themeColor="text1"/>
          <w:szCs w:val="20"/>
        </w:rPr>
        <w:t xml:space="preserve">íctima y </w:t>
      </w:r>
      <w:r w:rsidR="002D567A" w:rsidRPr="002D567A">
        <w:rPr>
          <w:color w:val="000000" w:themeColor="text1"/>
          <w:szCs w:val="20"/>
        </w:rPr>
        <w:t xml:space="preserve">dos testigos, </w:t>
      </w:r>
      <w:r w:rsidR="00CE2DA0">
        <w:rPr>
          <w:color w:val="000000" w:themeColor="text1"/>
          <w:szCs w:val="20"/>
        </w:rPr>
        <w:t>así como un peritaje</w:t>
      </w:r>
      <w:r w:rsidR="002D567A" w:rsidRPr="002D567A">
        <w:rPr>
          <w:color w:val="000000" w:themeColor="text1"/>
          <w:szCs w:val="20"/>
        </w:rPr>
        <w:t>. A</w:t>
      </w:r>
      <w:r w:rsidR="00CE2DA0">
        <w:rPr>
          <w:color w:val="000000" w:themeColor="text1"/>
          <w:szCs w:val="20"/>
        </w:rPr>
        <w:t xml:space="preserve">dicionalmente, </w:t>
      </w:r>
      <w:r w:rsidR="002D567A" w:rsidRPr="002D567A">
        <w:rPr>
          <w:color w:val="000000" w:themeColor="text1"/>
          <w:szCs w:val="20"/>
        </w:rPr>
        <w:t xml:space="preserve">solicitaron el </w:t>
      </w:r>
      <w:r w:rsidR="002D567A" w:rsidRPr="002D567A">
        <w:rPr>
          <w:bCs/>
          <w:iCs/>
          <w:color w:val="000000" w:themeColor="text1"/>
          <w:szCs w:val="20"/>
        </w:rPr>
        <w:t xml:space="preserve">traslado de </w:t>
      </w:r>
      <w:r w:rsidR="00181E13">
        <w:rPr>
          <w:bCs/>
          <w:iCs/>
          <w:color w:val="000000" w:themeColor="text1"/>
          <w:szCs w:val="20"/>
        </w:rPr>
        <w:t xml:space="preserve">cuatro </w:t>
      </w:r>
      <w:r w:rsidR="002D567A" w:rsidRPr="002D567A">
        <w:rPr>
          <w:bCs/>
          <w:iCs/>
          <w:color w:val="000000" w:themeColor="text1"/>
          <w:szCs w:val="20"/>
        </w:rPr>
        <w:t xml:space="preserve">peritajes rendidos en </w:t>
      </w:r>
      <w:r w:rsidR="00181E13">
        <w:rPr>
          <w:bCs/>
          <w:iCs/>
          <w:color w:val="000000" w:themeColor="text1"/>
          <w:szCs w:val="20"/>
        </w:rPr>
        <w:t xml:space="preserve">los </w:t>
      </w:r>
      <w:r w:rsidR="00384885">
        <w:rPr>
          <w:bCs/>
          <w:iCs/>
          <w:color w:val="000000" w:themeColor="text1"/>
          <w:szCs w:val="20"/>
        </w:rPr>
        <w:t>caso</w:t>
      </w:r>
      <w:r w:rsidR="00181E13">
        <w:rPr>
          <w:bCs/>
          <w:iCs/>
          <w:color w:val="000000" w:themeColor="text1"/>
          <w:szCs w:val="20"/>
        </w:rPr>
        <w:t>s</w:t>
      </w:r>
      <w:r w:rsidR="002D567A" w:rsidRPr="002D567A">
        <w:rPr>
          <w:bCs/>
          <w:iCs/>
          <w:color w:val="000000" w:themeColor="text1"/>
          <w:szCs w:val="20"/>
        </w:rPr>
        <w:t xml:space="preserve"> </w:t>
      </w:r>
      <w:r w:rsidR="002D567A" w:rsidRPr="002D567A">
        <w:rPr>
          <w:rFonts w:cs="Arial"/>
          <w:i/>
          <w:iCs/>
          <w:color w:val="000000" w:themeColor="text1"/>
          <w:szCs w:val="20"/>
        </w:rPr>
        <w:t>Canales Huapaya y otros</w:t>
      </w:r>
      <w:r w:rsidR="00181E13">
        <w:rPr>
          <w:rFonts w:cs="Arial"/>
          <w:iCs/>
          <w:color w:val="000000" w:themeColor="text1"/>
          <w:szCs w:val="20"/>
        </w:rPr>
        <w:t xml:space="preserve"> </w:t>
      </w:r>
      <w:r w:rsidR="002D567A" w:rsidRPr="002D567A">
        <w:rPr>
          <w:bCs/>
          <w:iCs/>
          <w:color w:val="000000" w:themeColor="text1"/>
          <w:szCs w:val="20"/>
        </w:rPr>
        <w:t xml:space="preserve">y </w:t>
      </w:r>
      <w:r w:rsidR="002D567A" w:rsidRPr="002D567A">
        <w:rPr>
          <w:bCs/>
          <w:i/>
          <w:iCs/>
          <w:color w:val="000000" w:themeColor="text1"/>
          <w:szCs w:val="20"/>
        </w:rPr>
        <w:t>Trabajadores Cesados de Petroperú y otros</w:t>
      </w:r>
      <w:r w:rsidR="00CE2DA0">
        <w:rPr>
          <w:bCs/>
          <w:iCs/>
          <w:color w:val="000000" w:themeColor="text1"/>
          <w:szCs w:val="20"/>
        </w:rPr>
        <w:t>, ambos contra Perú</w:t>
      </w:r>
      <w:r w:rsidR="00181E13">
        <w:rPr>
          <w:bCs/>
          <w:iCs/>
          <w:color w:val="000000" w:themeColor="text1"/>
          <w:szCs w:val="20"/>
        </w:rPr>
        <w:t>, respectivamente</w:t>
      </w:r>
      <w:r w:rsidRPr="002D567A">
        <w:rPr>
          <w:color w:val="000000" w:themeColor="text1"/>
          <w:szCs w:val="20"/>
        </w:rPr>
        <w:t>. El Estado ofreció una declaración pericial.</w:t>
      </w:r>
      <w:bookmarkEnd w:id="1"/>
      <w:r w:rsidRPr="002D567A">
        <w:rPr>
          <w:color w:val="000000" w:themeColor="text1"/>
          <w:szCs w:val="20"/>
        </w:rPr>
        <w:t xml:space="preserve"> </w:t>
      </w:r>
    </w:p>
    <w:p w:rsidR="00376A83" w:rsidRPr="004862A3" w:rsidRDefault="00376A83" w:rsidP="004862A3">
      <w:pPr>
        <w:pStyle w:val="NoSpacing"/>
        <w:numPr>
          <w:ilvl w:val="0"/>
          <w:numId w:val="0"/>
        </w:numPr>
        <w:rPr>
          <w:szCs w:val="20"/>
        </w:rPr>
      </w:pPr>
    </w:p>
    <w:p w:rsidR="00376A83" w:rsidRPr="004862A3" w:rsidRDefault="001C6965" w:rsidP="004862A3">
      <w:pPr>
        <w:pStyle w:val="NoSpacing"/>
        <w:rPr>
          <w:szCs w:val="20"/>
        </w:rPr>
      </w:pPr>
      <w:r>
        <w:rPr>
          <w:szCs w:val="20"/>
        </w:rPr>
        <w:lastRenderedPageBreak/>
        <w:t>L</w:t>
      </w:r>
      <w:r w:rsidR="000821A2" w:rsidRPr="004862A3">
        <w:rPr>
          <w:szCs w:val="20"/>
        </w:rPr>
        <w:t xml:space="preserve">a Comisión solicitó que se </w:t>
      </w:r>
      <w:r w:rsidR="000821A2">
        <w:rPr>
          <w:szCs w:val="20"/>
        </w:rPr>
        <w:t>le permitiera interrogar a los p</w:t>
      </w:r>
      <w:r>
        <w:rPr>
          <w:szCs w:val="20"/>
        </w:rPr>
        <w:t>eritos ofrecidos por las partes</w:t>
      </w:r>
      <w:r w:rsidR="000821A2">
        <w:rPr>
          <w:szCs w:val="20"/>
        </w:rPr>
        <w:t xml:space="preserve"> </w:t>
      </w:r>
      <w:r>
        <w:rPr>
          <w:szCs w:val="20"/>
        </w:rPr>
        <w:t xml:space="preserve">y </w:t>
      </w:r>
      <w:r w:rsidR="002D567A">
        <w:rPr>
          <w:szCs w:val="20"/>
        </w:rPr>
        <w:t xml:space="preserve">las representantes hicieron </w:t>
      </w:r>
      <w:r w:rsidR="006A2477">
        <w:rPr>
          <w:szCs w:val="20"/>
        </w:rPr>
        <w:t xml:space="preserve">ciertas </w:t>
      </w:r>
      <w:r w:rsidR="002D567A">
        <w:rPr>
          <w:szCs w:val="20"/>
        </w:rPr>
        <w:t xml:space="preserve">solicitudes especiales respecto de la modalidad de rendición de la declaración de la presunta víctima y de la perita ofrecida, </w:t>
      </w:r>
      <w:r w:rsidR="000821A2">
        <w:rPr>
          <w:szCs w:val="20"/>
        </w:rPr>
        <w:t>así como</w:t>
      </w:r>
      <w:r w:rsidR="002D567A">
        <w:rPr>
          <w:szCs w:val="20"/>
        </w:rPr>
        <w:t xml:space="preserve"> solicitaron la sustitución de uno de los testigos. Por su parte, e</w:t>
      </w:r>
      <w:r w:rsidR="006F6BCC" w:rsidRPr="004862A3">
        <w:rPr>
          <w:szCs w:val="20"/>
        </w:rPr>
        <w:t xml:space="preserve">l Estado realizó una serie de observaciones </w:t>
      </w:r>
      <w:r w:rsidR="000821A2">
        <w:rPr>
          <w:szCs w:val="20"/>
        </w:rPr>
        <w:t xml:space="preserve">respecto de los objetos </w:t>
      </w:r>
      <w:r w:rsidR="006F6BCC" w:rsidRPr="004862A3">
        <w:rPr>
          <w:szCs w:val="20"/>
        </w:rPr>
        <w:t xml:space="preserve">de las declaraciones de </w:t>
      </w:r>
      <w:r w:rsidR="000821A2">
        <w:rPr>
          <w:szCs w:val="20"/>
        </w:rPr>
        <w:t xml:space="preserve">los </w:t>
      </w:r>
      <w:r w:rsidR="006F6BCC" w:rsidRPr="004862A3">
        <w:rPr>
          <w:szCs w:val="20"/>
        </w:rPr>
        <w:t>do</w:t>
      </w:r>
      <w:r w:rsidR="00557CB7" w:rsidRPr="004862A3">
        <w:rPr>
          <w:szCs w:val="20"/>
        </w:rPr>
        <w:t xml:space="preserve">s </w:t>
      </w:r>
      <w:r w:rsidR="002D567A">
        <w:rPr>
          <w:szCs w:val="20"/>
        </w:rPr>
        <w:t>testigos</w:t>
      </w:r>
      <w:r w:rsidR="000821A2">
        <w:rPr>
          <w:szCs w:val="20"/>
        </w:rPr>
        <w:t xml:space="preserve"> ofrecidos por l</w:t>
      </w:r>
      <w:r w:rsidR="00B924A0">
        <w:rPr>
          <w:szCs w:val="20"/>
        </w:rPr>
        <w:t>a</w:t>
      </w:r>
      <w:r w:rsidR="000821A2">
        <w:rPr>
          <w:szCs w:val="20"/>
        </w:rPr>
        <w:t xml:space="preserve">s representantes, así como objetó </w:t>
      </w:r>
      <w:r w:rsidR="007B2144" w:rsidRPr="004862A3">
        <w:rPr>
          <w:szCs w:val="20"/>
        </w:rPr>
        <w:t xml:space="preserve">la pertinencia y utilidad de </w:t>
      </w:r>
      <w:r w:rsidR="0060299E" w:rsidRPr="004862A3">
        <w:rPr>
          <w:szCs w:val="20"/>
        </w:rPr>
        <w:t>l</w:t>
      </w:r>
      <w:r w:rsidR="008869F9" w:rsidRPr="004862A3">
        <w:rPr>
          <w:szCs w:val="20"/>
        </w:rPr>
        <w:t>os peritaje</w:t>
      </w:r>
      <w:r w:rsidR="0054745F">
        <w:rPr>
          <w:szCs w:val="20"/>
        </w:rPr>
        <w:t>s ofrecidos por la Comisión y la</w:t>
      </w:r>
      <w:r w:rsidR="008869F9" w:rsidRPr="004862A3">
        <w:rPr>
          <w:szCs w:val="20"/>
        </w:rPr>
        <w:t>s representantes</w:t>
      </w:r>
      <w:r w:rsidR="00013E22">
        <w:rPr>
          <w:szCs w:val="20"/>
        </w:rPr>
        <w:t>.</w:t>
      </w:r>
    </w:p>
    <w:p w:rsidR="00000C97" w:rsidRPr="004862A3" w:rsidRDefault="00000C97" w:rsidP="004862A3">
      <w:pPr>
        <w:pStyle w:val="NoSpacing"/>
        <w:numPr>
          <w:ilvl w:val="0"/>
          <w:numId w:val="0"/>
        </w:numPr>
        <w:rPr>
          <w:szCs w:val="20"/>
        </w:rPr>
      </w:pPr>
    </w:p>
    <w:p w:rsidR="004624E5" w:rsidRPr="0012395D" w:rsidRDefault="004624E5" w:rsidP="004862A3">
      <w:pPr>
        <w:pStyle w:val="NoSpacing"/>
        <w:rPr>
          <w:color w:val="00B050"/>
          <w:szCs w:val="20"/>
        </w:rPr>
      </w:pPr>
      <w:r w:rsidRPr="004862A3">
        <w:rPr>
          <w:szCs w:val="20"/>
        </w:rPr>
        <w:t xml:space="preserve">Dado que </w:t>
      </w:r>
      <w:r w:rsidR="00557CB7" w:rsidRPr="004862A3">
        <w:rPr>
          <w:szCs w:val="20"/>
        </w:rPr>
        <w:t>el peritaje de César Gonzále</w:t>
      </w:r>
      <w:r w:rsidR="007E7E6D">
        <w:rPr>
          <w:szCs w:val="20"/>
        </w:rPr>
        <w:t>s</w:t>
      </w:r>
      <w:r w:rsidR="00557CB7" w:rsidRPr="004862A3">
        <w:rPr>
          <w:szCs w:val="20"/>
        </w:rPr>
        <w:t xml:space="preserve"> Hunt, ofrecido por el Estado,</w:t>
      </w:r>
      <w:r w:rsidR="002004F5" w:rsidRPr="004862A3">
        <w:rPr>
          <w:szCs w:val="20"/>
        </w:rPr>
        <w:t xml:space="preserve"> no ha sido objetado</w:t>
      </w:r>
      <w:r w:rsidRPr="004862A3">
        <w:rPr>
          <w:szCs w:val="20"/>
        </w:rPr>
        <w:t xml:space="preserve">, el Presidente admite </w:t>
      </w:r>
      <w:r w:rsidR="002004F5" w:rsidRPr="004862A3">
        <w:rPr>
          <w:szCs w:val="20"/>
        </w:rPr>
        <w:t>la declaración pericial ofrecida por el Estado.</w:t>
      </w:r>
      <w:r w:rsidR="0012395D">
        <w:rPr>
          <w:szCs w:val="20"/>
        </w:rPr>
        <w:t xml:space="preserve"> </w:t>
      </w:r>
    </w:p>
    <w:p w:rsidR="004624E5" w:rsidRPr="004862A3" w:rsidRDefault="004624E5" w:rsidP="009F1CA5">
      <w:pPr>
        <w:pStyle w:val="NoSpacing"/>
        <w:numPr>
          <w:ilvl w:val="0"/>
          <w:numId w:val="0"/>
        </w:numPr>
      </w:pPr>
    </w:p>
    <w:p w:rsidR="009F1CA5" w:rsidRPr="00F66DC7" w:rsidRDefault="00013E22" w:rsidP="00F66DC7">
      <w:pPr>
        <w:pStyle w:val="NoSpacing"/>
        <w:rPr>
          <w:bCs/>
        </w:rPr>
      </w:pPr>
      <w:r>
        <w:t xml:space="preserve">A </w:t>
      </w:r>
      <w:r w:rsidR="00CF7C1C" w:rsidRPr="004862A3">
        <w:t xml:space="preserve">continuación, el Presidente analizará en forma particular: </w:t>
      </w:r>
      <w:r w:rsidR="00557CB7" w:rsidRPr="004862A3">
        <w:t xml:space="preserve">a) </w:t>
      </w:r>
      <w:r w:rsidRPr="004862A3">
        <w:t>la necesidad de convocar a audiencia pública en el presente caso</w:t>
      </w:r>
      <w:r>
        <w:t xml:space="preserve"> y la modalidad de declaración de la </w:t>
      </w:r>
      <w:r w:rsidR="00F66DC7">
        <w:rPr>
          <w:bCs/>
        </w:rPr>
        <w:t xml:space="preserve"> </w:t>
      </w:r>
      <w:r>
        <w:t>presunta víctima Oscar Muelle Flores</w:t>
      </w:r>
      <w:r w:rsidR="00557CB7" w:rsidRPr="004862A3">
        <w:t xml:space="preserve">; b) </w:t>
      </w:r>
      <w:r w:rsidRPr="00F66DC7">
        <w:rPr>
          <w:bCs/>
        </w:rPr>
        <w:t>la admisibilidad de las declaraciones testimoniales y el peritaje propuesto por las representantes</w:t>
      </w:r>
      <w:r w:rsidR="00384885" w:rsidRPr="00F66DC7">
        <w:rPr>
          <w:bCs/>
          <w:iCs/>
        </w:rPr>
        <w:t>; c</w:t>
      </w:r>
      <w:r w:rsidR="00B71FB6" w:rsidRPr="00F66DC7">
        <w:rPr>
          <w:bCs/>
          <w:iCs/>
        </w:rPr>
        <w:t xml:space="preserve">) </w:t>
      </w:r>
      <w:r w:rsidR="009F1CA5">
        <w:t>la a</w:t>
      </w:r>
      <w:r w:rsidR="009F1CA5" w:rsidRPr="004862A3">
        <w:t>dmisibilidad del per</w:t>
      </w:r>
      <w:r w:rsidR="009F1CA5">
        <w:t xml:space="preserve">itaje ofrecido por la Comisión y su solicitud </w:t>
      </w:r>
      <w:r w:rsidR="00A411A4">
        <w:t>para</w:t>
      </w:r>
      <w:r w:rsidR="009F1CA5">
        <w:t xml:space="preserve"> interrogar a los peritos ofrecidos por las partes; d) </w:t>
      </w:r>
      <w:r w:rsidR="00B71FB6" w:rsidRPr="00F66DC7">
        <w:rPr>
          <w:bCs/>
          <w:iCs/>
        </w:rPr>
        <w:t xml:space="preserve">la admisibilidad del traslado de peritajes rendidos en los casos </w:t>
      </w:r>
      <w:r w:rsidR="00B71FB6" w:rsidRPr="00F66DC7">
        <w:rPr>
          <w:rFonts w:cs="Arial"/>
          <w:i/>
          <w:iCs/>
        </w:rPr>
        <w:t>Canales Huapaya y otros Vs. Perú</w:t>
      </w:r>
      <w:r w:rsidR="00B71FB6" w:rsidRPr="00F66DC7">
        <w:rPr>
          <w:bCs/>
          <w:iCs/>
        </w:rPr>
        <w:t xml:space="preserve"> y </w:t>
      </w:r>
      <w:r w:rsidR="00B71FB6" w:rsidRPr="00F66DC7">
        <w:rPr>
          <w:bCs/>
          <w:i/>
          <w:iCs/>
        </w:rPr>
        <w:t>Trabajadores Cesados de Petroperú y otros Vs. Perú</w:t>
      </w:r>
      <w:r w:rsidR="009F1CA5" w:rsidRPr="00F66DC7">
        <w:rPr>
          <w:bCs/>
          <w:iCs/>
        </w:rPr>
        <w:t>, y e) la a</w:t>
      </w:r>
      <w:r w:rsidR="009F1CA5" w:rsidRPr="004862A3">
        <w:t>plicación del Fondo de Asistencia Legal de Víctimas ante la Corte</w:t>
      </w:r>
      <w:r w:rsidR="009F1CA5">
        <w:t xml:space="preserve"> en el caso concreto.</w:t>
      </w:r>
    </w:p>
    <w:p w:rsidR="00D74965" w:rsidRPr="004862A3" w:rsidRDefault="00D74965" w:rsidP="00384885">
      <w:pPr>
        <w:pStyle w:val="NoSpacing"/>
        <w:numPr>
          <w:ilvl w:val="0"/>
          <w:numId w:val="0"/>
        </w:numPr>
        <w:rPr>
          <w:b/>
          <w:bCs/>
          <w:i/>
          <w:iCs/>
          <w:szCs w:val="20"/>
        </w:rPr>
      </w:pPr>
    </w:p>
    <w:p w:rsidR="00F53EA7" w:rsidRPr="004862A3" w:rsidRDefault="00F53EA7" w:rsidP="00F53EA7">
      <w:pPr>
        <w:pStyle w:val="Heading1"/>
      </w:pPr>
      <w:r w:rsidRPr="004862A3">
        <w:t>Sobre la necesidad de convocar a audiencia pública en el presente caso</w:t>
      </w:r>
      <w:r>
        <w:t xml:space="preserve"> y la modalidad de declaración de la presunta víctima Oscar Muelle Flores</w:t>
      </w:r>
    </w:p>
    <w:p w:rsidR="00F53EA7" w:rsidRPr="004862A3" w:rsidRDefault="00F53EA7" w:rsidP="00F53EA7">
      <w:pPr>
        <w:widowControl w:val="0"/>
        <w:tabs>
          <w:tab w:val="left" w:pos="0"/>
          <w:tab w:val="left" w:pos="567"/>
        </w:tabs>
        <w:autoSpaceDE w:val="0"/>
        <w:autoSpaceDN w:val="0"/>
        <w:adjustRightInd w:val="0"/>
        <w:spacing w:after="0" w:line="240" w:lineRule="auto"/>
        <w:ind w:right="22"/>
        <w:jc w:val="both"/>
        <w:rPr>
          <w:rFonts w:ascii="Verdana" w:hAnsi="Verdana"/>
          <w:b/>
          <w:bCs/>
          <w:i/>
          <w:iCs/>
          <w:sz w:val="20"/>
          <w:szCs w:val="20"/>
        </w:rPr>
      </w:pPr>
    </w:p>
    <w:p w:rsidR="00C028BC" w:rsidRDefault="0054745F" w:rsidP="00F53EA7">
      <w:pPr>
        <w:pStyle w:val="NoSpacing"/>
        <w:rPr>
          <w:szCs w:val="20"/>
        </w:rPr>
      </w:pPr>
      <w:r>
        <w:rPr>
          <w:szCs w:val="20"/>
        </w:rPr>
        <w:t>La</w:t>
      </w:r>
      <w:r w:rsidR="00F53EA7" w:rsidRPr="006C5349">
        <w:rPr>
          <w:szCs w:val="20"/>
        </w:rPr>
        <w:t xml:space="preserve">s </w:t>
      </w:r>
      <w:r w:rsidR="00F53EA7" w:rsidRPr="006C5349">
        <w:rPr>
          <w:b/>
          <w:i/>
          <w:szCs w:val="20"/>
        </w:rPr>
        <w:t>representantes</w:t>
      </w:r>
      <w:r w:rsidR="00F53EA7" w:rsidRPr="006C5349">
        <w:rPr>
          <w:szCs w:val="20"/>
        </w:rPr>
        <w:t xml:space="preserve"> solicitaron</w:t>
      </w:r>
      <w:r w:rsidR="00A411A4">
        <w:rPr>
          <w:szCs w:val="20"/>
        </w:rPr>
        <w:t>,</w:t>
      </w:r>
      <w:r w:rsidR="00F53EA7" w:rsidRPr="006C5349">
        <w:rPr>
          <w:szCs w:val="20"/>
        </w:rPr>
        <w:t xml:space="preserve"> </w:t>
      </w:r>
      <w:r w:rsidR="007B0C88">
        <w:rPr>
          <w:szCs w:val="20"/>
        </w:rPr>
        <w:t xml:space="preserve">en su escrito de solicitudes y argumentos, </w:t>
      </w:r>
      <w:r w:rsidR="00F53EA7" w:rsidRPr="006C5349">
        <w:rPr>
          <w:szCs w:val="20"/>
        </w:rPr>
        <w:t xml:space="preserve">que </w:t>
      </w:r>
      <w:r w:rsidR="00A411A4">
        <w:rPr>
          <w:szCs w:val="20"/>
        </w:rPr>
        <w:t xml:space="preserve">se permitiera que el señor </w:t>
      </w:r>
      <w:r w:rsidR="00F53EA7" w:rsidRPr="006C5349">
        <w:rPr>
          <w:szCs w:val="20"/>
        </w:rPr>
        <w:t>Oscar Muelle Flores</w:t>
      </w:r>
      <w:r w:rsidR="00A411A4">
        <w:rPr>
          <w:szCs w:val="20"/>
        </w:rPr>
        <w:t xml:space="preserve"> declarara de manera previa </w:t>
      </w:r>
      <w:r w:rsidR="00F53EA7" w:rsidRPr="006C5349">
        <w:rPr>
          <w:szCs w:val="20"/>
        </w:rPr>
        <w:t>a la audiencia pública</w:t>
      </w:r>
      <w:r w:rsidR="00A411A4">
        <w:rPr>
          <w:szCs w:val="20"/>
        </w:rPr>
        <w:t xml:space="preserve"> y “si esto es posible</w:t>
      </w:r>
      <w:r w:rsidR="00F53EA7" w:rsidRPr="006C5349">
        <w:rPr>
          <w:szCs w:val="20"/>
        </w:rPr>
        <w:t xml:space="preserve">, </w:t>
      </w:r>
      <w:r w:rsidR="00A411A4">
        <w:rPr>
          <w:szCs w:val="20"/>
        </w:rPr>
        <w:t xml:space="preserve">se le tome declaración en su propio país”, debido </w:t>
      </w:r>
      <w:r w:rsidR="00F53EA7" w:rsidRPr="006C5349">
        <w:rPr>
          <w:szCs w:val="20"/>
        </w:rPr>
        <w:t xml:space="preserve">a </w:t>
      </w:r>
      <w:r w:rsidR="00A411A4">
        <w:rPr>
          <w:rFonts w:cs="Arial"/>
          <w:szCs w:val="20"/>
        </w:rPr>
        <w:t xml:space="preserve">su </w:t>
      </w:r>
      <w:r w:rsidR="00F53EA7" w:rsidRPr="006C5349">
        <w:rPr>
          <w:szCs w:val="20"/>
        </w:rPr>
        <w:t>delicado estado de salud</w:t>
      </w:r>
      <w:r w:rsidR="00A411A4">
        <w:rPr>
          <w:szCs w:val="20"/>
        </w:rPr>
        <w:t>, su edad muy avanzada y que sufre de una discapacidad auditiva severa</w:t>
      </w:r>
      <w:r w:rsidR="00F53EA7" w:rsidRPr="006C5349">
        <w:rPr>
          <w:szCs w:val="20"/>
        </w:rPr>
        <w:t>. Al presentar su lis</w:t>
      </w:r>
      <w:r>
        <w:rPr>
          <w:szCs w:val="20"/>
        </w:rPr>
        <w:t>ta definitiva de declarantes, la</w:t>
      </w:r>
      <w:r w:rsidR="00A411A4">
        <w:rPr>
          <w:szCs w:val="20"/>
        </w:rPr>
        <w:t>s representantes comunicaron</w:t>
      </w:r>
      <w:r w:rsidR="00F53EA7" w:rsidRPr="006C5349">
        <w:rPr>
          <w:szCs w:val="20"/>
        </w:rPr>
        <w:t xml:space="preserve"> </w:t>
      </w:r>
      <w:r w:rsidR="00A411A4">
        <w:rPr>
          <w:szCs w:val="20"/>
        </w:rPr>
        <w:t xml:space="preserve">que el </w:t>
      </w:r>
      <w:r w:rsidR="00A411A4" w:rsidRPr="006C5349">
        <w:rPr>
          <w:szCs w:val="20"/>
        </w:rPr>
        <w:t xml:space="preserve">señor Muelle Flores </w:t>
      </w:r>
      <w:r w:rsidR="00A411A4">
        <w:rPr>
          <w:szCs w:val="20"/>
        </w:rPr>
        <w:t xml:space="preserve">había sufrido </w:t>
      </w:r>
      <w:r w:rsidR="00F53EA7" w:rsidRPr="006C5349">
        <w:rPr>
          <w:szCs w:val="20"/>
        </w:rPr>
        <w:t xml:space="preserve">un </w:t>
      </w:r>
      <w:r w:rsidR="00A411A4">
        <w:rPr>
          <w:szCs w:val="20"/>
        </w:rPr>
        <w:t>“</w:t>
      </w:r>
      <w:r w:rsidR="00F53EA7" w:rsidRPr="006C5349">
        <w:rPr>
          <w:szCs w:val="20"/>
        </w:rPr>
        <w:t xml:space="preserve">deterioro </w:t>
      </w:r>
      <w:r w:rsidR="00A411A4">
        <w:rPr>
          <w:szCs w:val="20"/>
        </w:rPr>
        <w:t xml:space="preserve">importante </w:t>
      </w:r>
      <w:r w:rsidR="00F53EA7" w:rsidRPr="006C5349">
        <w:rPr>
          <w:szCs w:val="20"/>
        </w:rPr>
        <w:t xml:space="preserve">en </w:t>
      </w:r>
      <w:r w:rsidR="00A411A4">
        <w:rPr>
          <w:szCs w:val="20"/>
        </w:rPr>
        <w:t xml:space="preserve">su </w:t>
      </w:r>
      <w:r w:rsidR="00F53EA7" w:rsidRPr="006C5349">
        <w:rPr>
          <w:szCs w:val="20"/>
        </w:rPr>
        <w:t>salud</w:t>
      </w:r>
      <w:r w:rsidR="00A411A4">
        <w:rPr>
          <w:szCs w:val="20"/>
        </w:rPr>
        <w:t xml:space="preserve">”, por lo cual está “residiendo en una casa de salud” donde recibe la asistencia constante de un tercero que requiere. En virtud de lo anterior, indicaron que la presunta víctima </w:t>
      </w:r>
      <w:r w:rsidR="00F53EA7" w:rsidRPr="006C5349">
        <w:rPr>
          <w:szCs w:val="20"/>
        </w:rPr>
        <w:t xml:space="preserve">no se </w:t>
      </w:r>
      <w:r w:rsidR="00A411A4">
        <w:rPr>
          <w:szCs w:val="20"/>
        </w:rPr>
        <w:t xml:space="preserve">encontraba </w:t>
      </w:r>
      <w:r w:rsidR="00F53EA7" w:rsidRPr="006C5349">
        <w:rPr>
          <w:szCs w:val="20"/>
        </w:rPr>
        <w:t>en condiciones para trasladarse a la sede del Tribunal ni para</w:t>
      </w:r>
      <w:r w:rsidR="009F1CA5">
        <w:rPr>
          <w:szCs w:val="20"/>
        </w:rPr>
        <w:t xml:space="preserve"> rendir </w:t>
      </w:r>
      <w:r w:rsidR="00A411A4">
        <w:rPr>
          <w:szCs w:val="20"/>
        </w:rPr>
        <w:t>su declaración por afidávit</w:t>
      </w:r>
      <w:r w:rsidR="00F53EA7" w:rsidRPr="006C5349">
        <w:rPr>
          <w:szCs w:val="20"/>
        </w:rPr>
        <w:t xml:space="preserve">, por lo que solicitaron que </w:t>
      </w:r>
      <w:r w:rsidR="00A411A4">
        <w:rPr>
          <w:szCs w:val="20"/>
        </w:rPr>
        <w:t xml:space="preserve">en lugar de su </w:t>
      </w:r>
      <w:r w:rsidR="00F53EA7" w:rsidRPr="006C5349">
        <w:rPr>
          <w:szCs w:val="20"/>
        </w:rPr>
        <w:t xml:space="preserve">declaración </w:t>
      </w:r>
      <w:r w:rsidR="00C028BC">
        <w:rPr>
          <w:szCs w:val="20"/>
        </w:rPr>
        <w:t xml:space="preserve">en audiencia o por afidávit </w:t>
      </w:r>
      <w:r w:rsidR="00A411A4">
        <w:rPr>
          <w:szCs w:val="20"/>
        </w:rPr>
        <w:t xml:space="preserve">se pudiese presentar </w:t>
      </w:r>
      <w:r w:rsidR="00C028BC">
        <w:rPr>
          <w:szCs w:val="20"/>
        </w:rPr>
        <w:t>“un video con una grabación de la [presunta] víctima”</w:t>
      </w:r>
      <w:r w:rsidR="00F53EA7" w:rsidRPr="006C5349">
        <w:rPr>
          <w:szCs w:val="20"/>
        </w:rPr>
        <w:t xml:space="preserve">. </w:t>
      </w:r>
      <w:r w:rsidR="00C028BC">
        <w:rPr>
          <w:szCs w:val="20"/>
        </w:rPr>
        <w:t>Indicaron que el señor Muelle Flore</w:t>
      </w:r>
      <w:r w:rsidR="00C02792">
        <w:rPr>
          <w:szCs w:val="20"/>
        </w:rPr>
        <w:t>s declararía en dicha grabación</w:t>
      </w:r>
      <w:r w:rsidR="00C028BC">
        <w:rPr>
          <w:szCs w:val="20"/>
        </w:rPr>
        <w:t xml:space="preserve"> sobre el mismo objeto propuesto en su escrito de solicitudes y argumentos y solicitaron que se tuviera en cuenta dicho requerimiento debido a la avanzada edad del señor Muelle Flores, “las críticas condiciones de salud física y mental que caracterizan el proceso de envejecimiento de cualquier persona, [y] que es portador de una discapacidad auditiva”. </w:t>
      </w:r>
    </w:p>
    <w:p w:rsidR="00C028BC" w:rsidRDefault="00C028BC" w:rsidP="00C028BC">
      <w:pPr>
        <w:pStyle w:val="NoSpacing"/>
        <w:numPr>
          <w:ilvl w:val="0"/>
          <w:numId w:val="0"/>
        </w:numPr>
        <w:rPr>
          <w:szCs w:val="20"/>
        </w:rPr>
      </w:pPr>
    </w:p>
    <w:p w:rsidR="00F53EA7" w:rsidRPr="004862A3" w:rsidRDefault="00F53EA7" w:rsidP="00F53EA7">
      <w:pPr>
        <w:pStyle w:val="NoSpacing"/>
        <w:rPr>
          <w:szCs w:val="20"/>
        </w:rPr>
      </w:pPr>
      <w:r w:rsidRPr="004862A3">
        <w:rPr>
          <w:szCs w:val="20"/>
        </w:rPr>
        <w:t xml:space="preserve">El </w:t>
      </w:r>
      <w:r w:rsidRPr="004862A3">
        <w:rPr>
          <w:b/>
          <w:i/>
          <w:szCs w:val="20"/>
        </w:rPr>
        <w:t xml:space="preserve">Estado </w:t>
      </w:r>
      <w:r w:rsidRPr="004862A3">
        <w:rPr>
          <w:szCs w:val="20"/>
        </w:rPr>
        <w:t>indicó que no se opon</w:t>
      </w:r>
      <w:r w:rsidR="0033340C">
        <w:rPr>
          <w:szCs w:val="20"/>
        </w:rPr>
        <w:t>ía</w:t>
      </w:r>
      <w:r w:rsidRPr="004862A3">
        <w:rPr>
          <w:szCs w:val="20"/>
        </w:rPr>
        <w:t xml:space="preserve"> a la solicitud planteada</w:t>
      </w:r>
      <w:r w:rsidR="0033340C">
        <w:rPr>
          <w:szCs w:val="20"/>
        </w:rPr>
        <w:t xml:space="preserve"> por las representantes en cuanto a la modalidad de declaración del señor Muelle Flores, en tanto se le garantice la posibilidad </w:t>
      </w:r>
      <w:r w:rsidRPr="004862A3">
        <w:rPr>
          <w:szCs w:val="20"/>
        </w:rPr>
        <w:t>de interrogar a la presunta víctima</w:t>
      </w:r>
      <w:r w:rsidR="0033340C">
        <w:rPr>
          <w:szCs w:val="20"/>
        </w:rPr>
        <w:t>. Sin perjuicio de lo anterior, solicitó que</w:t>
      </w:r>
      <w:r w:rsidR="00FE26DA">
        <w:rPr>
          <w:szCs w:val="20"/>
        </w:rPr>
        <w:t>,</w:t>
      </w:r>
      <w:r w:rsidR="0033340C">
        <w:rPr>
          <w:szCs w:val="20"/>
        </w:rPr>
        <w:t xml:space="preserve"> </w:t>
      </w:r>
      <w:r w:rsidR="00FE26DA">
        <w:rPr>
          <w:szCs w:val="20"/>
        </w:rPr>
        <w:t xml:space="preserve">dada su situación de salud, </w:t>
      </w:r>
      <w:r w:rsidR="0033340C">
        <w:rPr>
          <w:szCs w:val="20"/>
        </w:rPr>
        <w:t xml:space="preserve">se acote el objeto de la declaración </w:t>
      </w:r>
      <w:r w:rsidR="00FE26DA">
        <w:rPr>
          <w:szCs w:val="20"/>
        </w:rPr>
        <w:t xml:space="preserve">del señor Muelle Flores, puesto que </w:t>
      </w:r>
      <w:r w:rsidR="0033340C">
        <w:rPr>
          <w:szCs w:val="20"/>
        </w:rPr>
        <w:t xml:space="preserve">no era necesario que se refiriera a los hechos del caso “por encontrarse tal información claramente identificada y explicada […] en los escritos de las partes”. </w:t>
      </w:r>
      <w:r w:rsidR="00FE26DA">
        <w:rPr>
          <w:szCs w:val="20"/>
        </w:rPr>
        <w:t>Además, alegó que la referencia en el objeto propuesto a “la [supuesta] falta de cobertura [del] sistema previsional durante más de 26 años</w:t>
      </w:r>
      <w:r w:rsidR="003229CA">
        <w:rPr>
          <w:szCs w:val="20"/>
        </w:rPr>
        <w:t xml:space="preserve"> […] </w:t>
      </w:r>
      <w:r w:rsidR="00FE26DA">
        <w:rPr>
          <w:szCs w:val="20"/>
        </w:rPr>
        <w:t>no es estricto cierto”, conforme explicó en su escrito de contestación. Por ello, solicitó que se modifique el objeto en este extremo “a fin de que guarde mayor relación con la realidad”.</w:t>
      </w:r>
      <w:r w:rsidRPr="004862A3">
        <w:rPr>
          <w:szCs w:val="20"/>
        </w:rPr>
        <w:t xml:space="preserve"> </w:t>
      </w:r>
    </w:p>
    <w:p w:rsidR="00F53EA7" w:rsidRPr="006C5349" w:rsidRDefault="00F53EA7" w:rsidP="00F53EA7">
      <w:pPr>
        <w:pStyle w:val="NoSpacing"/>
        <w:numPr>
          <w:ilvl w:val="0"/>
          <w:numId w:val="0"/>
        </w:numPr>
        <w:rPr>
          <w:szCs w:val="20"/>
        </w:rPr>
      </w:pPr>
    </w:p>
    <w:p w:rsidR="00F53EA7" w:rsidRPr="009D588E" w:rsidRDefault="00F53EA7" w:rsidP="009D588E">
      <w:pPr>
        <w:pStyle w:val="NoSpacing"/>
        <w:rPr>
          <w:color w:val="00B050"/>
          <w:szCs w:val="20"/>
        </w:rPr>
      </w:pPr>
      <w:r w:rsidRPr="004862A3">
        <w:t xml:space="preserve">El Presidente de la Corte recuerda que el artículo 15 del Reglamento del Tribunal señala que “la Corte celebrará audiencias cuando lo estime pertinente”. Así, </w:t>
      </w:r>
      <w:r w:rsidR="00FE26DA">
        <w:t xml:space="preserve">los </w:t>
      </w:r>
      <w:r w:rsidRPr="004862A3">
        <w:t>artículo</w:t>
      </w:r>
      <w:r w:rsidR="00FE26DA">
        <w:t>s</w:t>
      </w:r>
      <w:r w:rsidRPr="004862A3">
        <w:t xml:space="preserve"> </w:t>
      </w:r>
      <w:r w:rsidR="00FE26DA">
        <w:t xml:space="preserve">45 </w:t>
      </w:r>
      <w:r w:rsidR="00FE26DA">
        <w:lastRenderedPageBreak/>
        <w:t xml:space="preserve">y </w:t>
      </w:r>
      <w:r w:rsidRPr="004862A3">
        <w:t>50.1 del Reglamento faculta</w:t>
      </w:r>
      <w:r w:rsidR="00FE26DA">
        <w:t>n</w:t>
      </w:r>
      <w:r w:rsidRPr="004862A3">
        <w:t xml:space="preserve"> a la Corte o su Presiden</w:t>
      </w:r>
      <w:r w:rsidR="00FE26DA">
        <w:t>cia</w:t>
      </w:r>
      <w:r w:rsidRPr="004862A3">
        <w:t xml:space="preserve"> </w:t>
      </w:r>
      <w:r w:rsidR="00FE26DA">
        <w:t xml:space="preserve">a </w:t>
      </w:r>
      <w:r w:rsidRPr="004862A3">
        <w:t xml:space="preserve">convocar </w:t>
      </w:r>
      <w:r w:rsidR="00FE26DA">
        <w:t xml:space="preserve">a </w:t>
      </w:r>
      <w:r w:rsidRPr="004862A3">
        <w:t>audiencia</w:t>
      </w:r>
      <w:r w:rsidR="00FE26DA">
        <w:t>s</w:t>
      </w:r>
      <w:r w:rsidRPr="004862A3">
        <w:t xml:space="preserve"> cuando lo estime</w:t>
      </w:r>
      <w:r w:rsidR="00FE26DA">
        <w:t>n</w:t>
      </w:r>
      <w:r w:rsidRPr="004862A3">
        <w:t xml:space="preserve"> necesario. </w:t>
      </w:r>
      <w:r w:rsidR="00A32EC1">
        <w:t>Lo anterior expresa una facultad de la Corte o su Presidente, que ejercerán motivadamente y de manera consecuente con las características del caso, los requerimientos procesales que deriven de ellas y la debida preservación de los derechos de las partes</w:t>
      </w:r>
      <w:r w:rsidRPr="004862A3">
        <w:rPr>
          <w:rStyle w:val="FootnoteReference"/>
          <w:rFonts w:eastAsia="Times New Roman" w:cs="Arial"/>
          <w:szCs w:val="20"/>
          <w:lang w:eastAsia="es-CR"/>
        </w:rPr>
        <w:footnoteReference w:id="2"/>
      </w:r>
      <w:r w:rsidRPr="004862A3">
        <w:rPr>
          <w:rFonts w:eastAsia="Times New Roman" w:cs="Arial"/>
          <w:lang w:eastAsia="es-CR"/>
        </w:rPr>
        <w:t xml:space="preserve">. </w:t>
      </w:r>
      <w:r w:rsidR="00EF56AE">
        <w:rPr>
          <w:rFonts w:eastAsia="Times New Roman" w:cs="Arial"/>
          <w:lang w:eastAsia="es-CR"/>
        </w:rPr>
        <w:t xml:space="preserve">El Presidente </w:t>
      </w:r>
      <w:r w:rsidR="00A32EC1">
        <w:rPr>
          <w:rFonts w:eastAsia="Times New Roman" w:cs="Arial"/>
          <w:lang w:eastAsia="es-CR"/>
        </w:rPr>
        <w:t xml:space="preserve">toma </w:t>
      </w:r>
      <w:r w:rsidR="00EF56AE">
        <w:rPr>
          <w:rFonts w:eastAsia="Times New Roman" w:cs="Arial"/>
          <w:lang w:eastAsia="es-CR"/>
        </w:rPr>
        <w:t xml:space="preserve">nota de la situación de salud y </w:t>
      </w:r>
      <w:r w:rsidR="00A32EC1">
        <w:rPr>
          <w:rFonts w:eastAsia="Times New Roman" w:cs="Arial"/>
          <w:lang w:eastAsia="es-CR"/>
        </w:rPr>
        <w:t xml:space="preserve">la </w:t>
      </w:r>
      <w:r w:rsidR="00EF56AE">
        <w:rPr>
          <w:rFonts w:eastAsia="Times New Roman" w:cs="Arial"/>
          <w:lang w:eastAsia="es-CR"/>
        </w:rPr>
        <w:t xml:space="preserve">avanzada edad de la presunta víctima. Asimismo, advierte que, de acuerdo a la Comisión y las representantes, </w:t>
      </w:r>
      <w:r w:rsidR="00A32EC1">
        <w:rPr>
          <w:rFonts w:eastAsia="Times New Roman" w:cs="Arial"/>
          <w:lang w:eastAsia="es-CR"/>
        </w:rPr>
        <w:t>e</w:t>
      </w:r>
      <w:r w:rsidR="00EF56AE">
        <w:rPr>
          <w:rFonts w:eastAsia="Times New Roman" w:cs="Arial"/>
          <w:lang w:eastAsia="es-CR"/>
        </w:rPr>
        <w:t>l presente caso “se enmarca en un</w:t>
      </w:r>
      <w:r w:rsidR="00F66DC7">
        <w:rPr>
          <w:rFonts w:eastAsia="Times New Roman" w:cs="Arial"/>
          <w:lang w:eastAsia="es-CR"/>
        </w:rPr>
        <w:t>a</w:t>
      </w:r>
      <w:r w:rsidR="00EF56AE">
        <w:rPr>
          <w:rFonts w:eastAsia="Times New Roman" w:cs="Arial"/>
          <w:lang w:eastAsia="es-CR"/>
        </w:rPr>
        <w:t xml:space="preserve"> problemática estructural ya conocida por los órganos del sistema interamericano […] relativo al incumplimiento de fallos judiciales, en particular aquellos relacionados con derechos pensionarios”</w:t>
      </w:r>
      <w:r w:rsidR="009D588E">
        <w:rPr>
          <w:rFonts w:eastAsia="Times New Roman" w:cs="Arial"/>
          <w:lang w:eastAsia="es-CR"/>
        </w:rPr>
        <w:t xml:space="preserve">, por lo cual serían aplicables </w:t>
      </w:r>
      <w:r w:rsidR="00A32EC1">
        <w:rPr>
          <w:rFonts w:eastAsia="Times New Roman" w:cs="Arial"/>
          <w:lang w:eastAsia="es-CR"/>
        </w:rPr>
        <w:t xml:space="preserve">al caso concreto </w:t>
      </w:r>
      <w:r w:rsidR="009D588E">
        <w:rPr>
          <w:rFonts w:eastAsia="Times New Roman" w:cs="Arial"/>
          <w:lang w:eastAsia="es-CR"/>
        </w:rPr>
        <w:t xml:space="preserve">precedentes recientes </w:t>
      </w:r>
      <w:r w:rsidR="00A32EC1">
        <w:rPr>
          <w:rFonts w:eastAsia="Times New Roman" w:cs="Arial"/>
          <w:lang w:eastAsia="es-CR"/>
        </w:rPr>
        <w:t xml:space="preserve">de </w:t>
      </w:r>
      <w:r w:rsidR="009D588E">
        <w:rPr>
          <w:rFonts w:eastAsia="Times New Roman" w:cs="Arial"/>
          <w:lang w:eastAsia="es-CR"/>
        </w:rPr>
        <w:t>la jurisprudencia del Tribunal.</w:t>
      </w:r>
      <w:r w:rsidR="00EF56AE">
        <w:rPr>
          <w:rFonts w:eastAsia="Times New Roman" w:cs="Arial"/>
          <w:lang w:eastAsia="es-CR"/>
        </w:rPr>
        <w:t xml:space="preserve"> Tan es así que las representantes han solicitado el traslado de cuatro peritajes de otros dos casos ante la Corte a efectos de informar el contexto de este caso</w:t>
      </w:r>
      <w:r w:rsidR="009D588E">
        <w:rPr>
          <w:rFonts w:eastAsia="Times New Roman" w:cs="Arial"/>
          <w:lang w:eastAsia="es-CR"/>
        </w:rPr>
        <w:t xml:space="preserve"> (</w:t>
      </w:r>
      <w:r w:rsidR="009D588E" w:rsidRPr="009D588E">
        <w:rPr>
          <w:rFonts w:eastAsia="Times New Roman" w:cs="Arial"/>
          <w:i/>
          <w:lang w:eastAsia="es-CR"/>
        </w:rPr>
        <w:t>supra</w:t>
      </w:r>
      <w:r w:rsidR="009D588E">
        <w:rPr>
          <w:rFonts w:eastAsia="Times New Roman" w:cs="Arial"/>
          <w:lang w:eastAsia="es-CR"/>
        </w:rPr>
        <w:t xml:space="preserve"> Considerando </w:t>
      </w:r>
      <w:r w:rsidR="009B049B">
        <w:rPr>
          <w:rFonts w:eastAsia="Times New Roman" w:cs="Arial"/>
          <w:lang w:eastAsia="es-CR"/>
        </w:rPr>
        <w:fldChar w:fldCharType="begin"/>
      </w:r>
      <w:r w:rsidR="009D588E">
        <w:rPr>
          <w:rFonts w:eastAsia="Times New Roman" w:cs="Arial"/>
          <w:lang w:eastAsia="es-CR"/>
        </w:rPr>
        <w:instrText xml:space="preserve"> REF _Ref518915260 \r \h </w:instrText>
      </w:r>
      <w:r w:rsidR="009B049B">
        <w:rPr>
          <w:rFonts w:eastAsia="Times New Roman" w:cs="Arial"/>
          <w:lang w:eastAsia="es-CR"/>
        </w:rPr>
      </w:r>
      <w:r w:rsidR="009B049B">
        <w:rPr>
          <w:rFonts w:eastAsia="Times New Roman" w:cs="Arial"/>
          <w:lang w:eastAsia="es-CR"/>
        </w:rPr>
        <w:fldChar w:fldCharType="separate"/>
      </w:r>
      <w:r w:rsidR="00E73B21">
        <w:rPr>
          <w:rFonts w:eastAsia="Times New Roman" w:cs="Arial"/>
          <w:lang w:eastAsia="es-CR"/>
        </w:rPr>
        <w:t>2</w:t>
      </w:r>
      <w:r w:rsidR="009B049B">
        <w:rPr>
          <w:rFonts w:eastAsia="Times New Roman" w:cs="Arial"/>
          <w:lang w:eastAsia="es-CR"/>
        </w:rPr>
        <w:fldChar w:fldCharType="end"/>
      </w:r>
      <w:r w:rsidR="009D588E">
        <w:rPr>
          <w:rFonts w:eastAsia="Times New Roman" w:cs="Arial"/>
          <w:lang w:eastAsia="es-CR"/>
        </w:rPr>
        <w:t>)</w:t>
      </w:r>
      <w:r w:rsidR="00EF56AE">
        <w:rPr>
          <w:rFonts w:eastAsia="Times New Roman" w:cs="Arial"/>
          <w:lang w:eastAsia="es-CR"/>
        </w:rPr>
        <w:t xml:space="preserve">. </w:t>
      </w:r>
      <w:r w:rsidR="009D588E">
        <w:rPr>
          <w:rFonts w:eastAsia="Times New Roman" w:cs="Arial"/>
          <w:lang w:eastAsia="es-CR"/>
        </w:rPr>
        <w:t xml:space="preserve">En virtud de lo anterior, </w:t>
      </w:r>
      <w:r w:rsidR="009D588E" w:rsidRPr="00F66DC7">
        <w:rPr>
          <w:rFonts w:eastAsia="Times New Roman" w:cs="Arial"/>
          <w:lang w:eastAsia="es-CR"/>
        </w:rPr>
        <w:t>el Presidente, en consulta con el pleno de la Corte</w:t>
      </w:r>
      <w:r w:rsidR="009D588E">
        <w:rPr>
          <w:rFonts w:eastAsia="Times New Roman" w:cs="Arial"/>
          <w:lang w:eastAsia="es-CR"/>
        </w:rPr>
        <w:t xml:space="preserve">, </w:t>
      </w:r>
      <w:r w:rsidR="009D588E" w:rsidRPr="009D588E">
        <w:rPr>
          <w:szCs w:val="20"/>
        </w:rPr>
        <w:t>ha decidido</w:t>
      </w:r>
      <w:r w:rsidR="00A32EC1">
        <w:rPr>
          <w:szCs w:val="20"/>
        </w:rPr>
        <w:t xml:space="preserve"> </w:t>
      </w:r>
      <w:r w:rsidR="009D588E" w:rsidRPr="009D588E">
        <w:rPr>
          <w:szCs w:val="20"/>
        </w:rPr>
        <w:t>que no es necesario convocar a una audiencia pública</w:t>
      </w:r>
      <w:r w:rsidR="002C6297">
        <w:rPr>
          <w:szCs w:val="20"/>
        </w:rPr>
        <w:t xml:space="preserve"> en este caso</w:t>
      </w:r>
      <w:r w:rsidR="00A32EC1" w:rsidRPr="00A32EC1">
        <w:rPr>
          <w:szCs w:val="20"/>
        </w:rPr>
        <w:t xml:space="preserve"> </w:t>
      </w:r>
      <w:r w:rsidR="00A32EC1">
        <w:rPr>
          <w:szCs w:val="20"/>
        </w:rPr>
        <w:t>por razones de economía procesal,</w:t>
      </w:r>
      <w:r w:rsidR="00A32EC1" w:rsidRPr="00A32EC1">
        <w:rPr>
          <w:rFonts w:eastAsia="Times New Roman" w:cs="Arial"/>
          <w:lang w:eastAsia="es-CR"/>
        </w:rPr>
        <w:t xml:space="preserve"> </w:t>
      </w:r>
      <w:r w:rsidR="00A32EC1">
        <w:rPr>
          <w:rFonts w:eastAsia="Times New Roman" w:cs="Arial"/>
          <w:lang w:eastAsia="es-CR"/>
        </w:rPr>
        <w:t xml:space="preserve">luego de evaluar los escritos </w:t>
      </w:r>
      <w:r w:rsidR="00A32EC1" w:rsidRPr="009D588E">
        <w:rPr>
          <w:rFonts w:eastAsia="Times New Roman" w:cs="Arial"/>
          <w:lang w:eastAsia="es-CR"/>
        </w:rPr>
        <w:t xml:space="preserve">principales </w:t>
      </w:r>
      <w:r w:rsidR="00A32EC1" w:rsidRPr="009D588E">
        <w:rPr>
          <w:szCs w:val="20"/>
        </w:rPr>
        <w:t xml:space="preserve">presentados por la Comisión y por las </w:t>
      </w:r>
      <w:r w:rsidR="00A32EC1">
        <w:rPr>
          <w:szCs w:val="20"/>
        </w:rPr>
        <w:t>partes.</w:t>
      </w:r>
      <w:r w:rsidR="009D588E" w:rsidRPr="009D588E">
        <w:rPr>
          <w:rFonts w:eastAsia="Times New Roman" w:cs="Arial"/>
          <w:lang w:eastAsia="es-CR"/>
        </w:rPr>
        <w:t xml:space="preserve"> </w:t>
      </w:r>
      <w:r w:rsidR="00A32EC1">
        <w:rPr>
          <w:rFonts w:eastAsia="Times New Roman" w:cs="Arial"/>
          <w:lang w:eastAsia="es-CR"/>
        </w:rPr>
        <w:t xml:space="preserve">Esta decisión busca </w:t>
      </w:r>
      <w:r w:rsidR="009D588E">
        <w:rPr>
          <w:rFonts w:eastAsia="Times New Roman" w:cs="Arial"/>
          <w:lang w:eastAsia="es-CR"/>
        </w:rPr>
        <w:t xml:space="preserve">acelerar </w:t>
      </w:r>
      <w:r w:rsidR="00A32EC1">
        <w:rPr>
          <w:rFonts w:eastAsia="Times New Roman" w:cs="Arial"/>
          <w:lang w:eastAsia="es-CR"/>
        </w:rPr>
        <w:t xml:space="preserve">el </w:t>
      </w:r>
      <w:r w:rsidR="009D588E">
        <w:rPr>
          <w:rFonts w:eastAsia="Times New Roman" w:cs="Arial"/>
          <w:lang w:eastAsia="es-CR"/>
        </w:rPr>
        <w:t>proce</w:t>
      </w:r>
      <w:r w:rsidR="00A32EC1">
        <w:rPr>
          <w:rFonts w:eastAsia="Times New Roman" w:cs="Arial"/>
          <w:lang w:eastAsia="es-CR"/>
        </w:rPr>
        <w:t xml:space="preserve">dimiento </w:t>
      </w:r>
      <w:r w:rsidR="009D588E">
        <w:rPr>
          <w:rFonts w:eastAsia="Times New Roman" w:cs="Arial"/>
          <w:lang w:eastAsia="es-CR"/>
        </w:rPr>
        <w:t xml:space="preserve">lo más posible, </w:t>
      </w:r>
      <w:r w:rsidR="00A32EC1">
        <w:rPr>
          <w:rFonts w:eastAsia="Times New Roman" w:cs="Arial"/>
          <w:lang w:eastAsia="es-CR"/>
        </w:rPr>
        <w:t xml:space="preserve">dentro del marco de lo permitido por el </w:t>
      </w:r>
      <w:r w:rsidR="009D588E">
        <w:rPr>
          <w:rFonts w:eastAsia="Times New Roman" w:cs="Arial"/>
          <w:lang w:eastAsia="es-CR"/>
        </w:rPr>
        <w:t xml:space="preserve">Reglamento, </w:t>
      </w:r>
      <w:r w:rsidR="00A32EC1">
        <w:rPr>
          <w:rFonts w:eastAsia="Times New Roman" w:cs="Arial"/>
          <w:lang w:eastAsia="es-CR"/>
        </w:rPr>
        <w:t xml:space="preserve">a efectos de atender a la situación </w:t>
      </w:r>
      <w:r w:rsidR="009D588E">
        <w:rPr>
          <w:rFonts w:eastAsia="Times New Roman" w:cs="Arial"/>
          <w:lang w:eastAsia="es-CR"/>
        </w:rPr>
        <w:t>de salud de la única presunta víctima del caso y teniendo</w:t>
      </w:r>
      <w:r w:rsidR="00A32EC1">
        <w:rPr>
          <w:rFonts w:eastAsia="Times New Roman" w:cs="Arial"/>
          <w:lang w:eastAsia="es-CR"/>
        </w:rPr>
        <w:t xml:space="preserve"> en cuenta la alegada similitud del presente caso con otros decididos por esta Corte. </w:t>
      </w:r>
    </w:p>
    <w:p w:rsidR="00F53EA7" w:rsidRPr="009D588E" w:rsidRDefault="00F53EA7" w:rsidP="00F53EA7">
      <w:pPr>
        <w:pStyle w:val="NoSpacing"/>
        <w:numPr>
          <w:ilvl w:val="0"/>
          <w:numId w:val="0"/>
        </w:numPr>
        <w:rPr>
          <w:color w:val="00B050"/>
          <w:szCs w:val="20"/>
        </w:rPr>
      </w:pPr>
    </w:p>
    <w:p w:rsidR="00AC2D25" w:rsidRPr="00AC2D25" w:rsidRDefault="00F53EA7" w:rsidP="00520DA3">
      <w:pPr>
        <w:pStyle w:val="NoSpacing"/>
        <w:rPr>
          <w:rFonts w:cs="Arial"/>
          <w:color w:val="00B050"/>
          <w:szCs w:val="20"/>
        </w:rPr>
      </w:pPr>
      <w:r w:rsidRPr="00201E53">
        <w:t xml:space="preserve">En lo que concierne a la </w:t>
      </w:r>
      <w:r>
        <w:t xml:space="preserve">modalidad de la </w:t>
      </w:r>
      <w:r w:rsidRPr="00201E53">
        <w:t>declaración del señor Muelle Flores, esta Presidencia recuerda que</w:t>
      </w:r>
      <w:r w:rsidR="00520DA3">
        <w:t>,</w:t>
      </w:r>
      <w:r w:rsidRPr="00201E53">
        <w:t xml:space="preserve"> de acuerdo al artículo 51.11 del Reglamento de la Corte, el Tribunal podrá recibir “declaraciones testimoniales, periciales o de presuntas víctimas haciendo uso de medios electrónicos audiovisuales”. </w:t>
      </w:r>
      <w:r w:rsidR="002A7304">
        <w:t>En razón de lo anterior</w:t>
      </w:r>
      <w:r w:rsidRPr="00201E53">
        <w:t xml:space="preserve"> y tomando en consideración </w:t>
      </w:r>
      <w:r w:rsidR="002A7304">
        <w:t>la</w:t>
      </w:r>
      <w:r w:rsidR="00AC2D25">
        <w:t xml:space="preserve"> situación actual de la presunta víctima</w:t>
      </w:r>
      <w:r w:rsidR="002A7304">
        <w:t xml:space="preserve">, </w:t>
      </w:r>
      <w:r w:rsidRPr="00201E53">
        <w:t xml:space="preserve">el Presidente estima </w:t>
      </w:r>
      <w:r w:rsidR="002A7304">
        <w:t xml:space="preserve">adecuado </w:t>
      </w:r>
      <w:r w:rsidR="00520DA3">
        <w:t xml:space="preserve">conceder la solicitud de las representantes para que </w:t>
      </w:r>
      <w:r w:rsidR="00AC2D25">
        <w:t xml:space="preserve">el señor Muelle Flores </w:t>
      </w:r>
      <w:r w:rsidR="00520DA3">
        <w:t>declare mediante un video, el cual deberá ser presentado junto con las demás declaraciones ante fedatario público en el plazo establecido en la parte resolutiva de esta Resolución.</w:t>
      </w:r>
      <w:r>
        <w:t xml:space="preserve"> </w:t>
      </w:r>
      <w:r w:rsidR="00520DA3">
        <w:t xml:space="preserve">En la medida </w:t>
      </w:r>
      <w:r w:rsidR="00AC2D25">
        <w:t xml:space="preserve">que sea </w:t>
      </w:r>
      <w:r w:rsidR="00520DA3">
        <w:t xml:space="preserve">posible y siempre que </w:t>
      </w:r>
      <w:r w:rsidR="00520DA3">
        <w:rPr>
          <w:szCs w:val="20"/>
        </w:rPr>
        <w:t>el estado de salud del señor Muelle Flores lo permita</w:t>
      </w:r>
      <w:r w:rsidR="00520DA3">
        <w:t xml:space="preserve">, se solicita a las representantes que dicha declaración se rinda o </w:t>
      </w:r>
      <w:r w:rsidR="00DB6AF6">
        <w:t>grabe</w:t>
      </w:r>
      <w:r w:rsidR="00520DA3">
        <w:t xml:space="preserve"> ante fedatario público. </w:t>
      </w:r>
      <w:r w:rsidR="00DB6AF6">
        <w:t xml:space="preserve">De conformidad con el artículo 50.5 del Reglamento, el Estado podrá formular preguntas </w:t>
      </w:r>
      <w:r w:rsidR="007262D5">
        <w:t xml:space="preserve">a la presunta víctima </w:t>
      </w:r>
      <w:r w:rsidR="00DB6AF6">
        <w:t xml:space="preserve">por escrito en el plazo establecido en la parte resolutiva de esta Resolución. Las representantes deberán </w:t>
      </w:r>
      <w:r w:rsidR="007262D5">
        <w:t xml:space="preserve">transmitir dichas preguntas al señor Muelle Flores para que las responda en su declaración en video, siempre y cuando sea posible y su salud lo permita. </w:t>
      </w:r>
    </w:p>
    <w:p w:rsidR="00AC2D25" w:rsidRPr="00AC2D25" w:rsidRDefault="00AC2D25" w:rsidP="00AC2D25">
      <w:pPr>
        <w:pStyle w:val="NoSpacing"/>
        <w:numPr>
          <w:ilvl w:val="0"/>
          <w:numId w:val="0"/>
        </w:numPr>
        <w:rPr>
          <w:rFonts w:cs="Arial"/>
          <w:color w:val="00B050"/>
          <w:szCs w:val="20"/>
        </w:rPr>
      </w:pPr>
    </w:p>
    <w:p w:rsidR="00B9234F" w:rsidRPr="00FE4D04" w:rsidRDefault="002A7304" w:rsidP="00FE4D04">
      <w:pPr>
        <w:pStyle w:val="NoSpacing"/>
        <w:rPr>
          <w:rFonts w:cs="Arial"/>
          <w:color w:val="00B050"/>
          <w:szCs w:val="20"/>
        </w:rPr>
      </w:pPr>
      <w:r>
        <w:rPr>
          <w:szCs w:val="20"/>
        </w:rPr>
        <w:t xml:space="preserve">En </w:t>
      </w:r>
      <w:r w:rsidR="00DB6AF6">
        <w:rPr>
          <w:szCs w:val="20"/>
        </w:rPr>
        <w:t xml:space="preserve">caso de que </w:t>
      </w:r>
      <w:r w:rsidR="007262D5">
        <w:rPr>
          <w:szCs w:val="20"/>
        </w:rPr>
        <w:t xml:space="preserve">no sea posible que el señor Muelle Flores declare </w:t>
      </w:r>
      <w:r w:rsidR="00DB6AF6">
        <w:rPr>
          <w:szCs w:val="20"/>
        </w:rPr>
        <w:t>ante fedatario público</w:t>
      </w:r>
      <w:r w:rsidR="00AC2D25">
        <w:rPr>
          <w:szCs w:val="20"/>
        </w:rPr>
        <w:t xml:space="preserve"> o responda a las preguntas del Estado</w:t>
      </w:r>
      <w:r w:rsidR="00DB6AF6">
        <w:rPr>
          <w:szCs w:val="20"/>
        </w:rPr>
        <w:t xml:space="preserve">, </w:t>
      </w:r>
      <w:r w:rsidR="00AC2D25">
        <w:rPr>
          <w:szCs w:val="20"/>
        </w:rPr>
        <w:t>dichas circunstancias afectarán la naturaleza de la prueba, la cual, de ser el caso, adquirirá el carácter de prueba documental como ha ocurrido en otros casos</w:t>
      </w:r>
      <w:r w:rsidR="00AC2D25" w:rsidRPr="00201E53">
        <w:rPr>
          <w:rStyle w:val="FootnoteReference"/>
          <w:szCs w:val="20"/>
        </w:rPr>
        <w:footnoteReference w:id="3"/>
      </w:r>
      <w:r w:rsidR="00AC2D25">
        <w:rPr>
          <w:szCs w:val="20"/>
        </w:rPr>
        <w:t xml:space="preserve">. </w:t>
      </w:r>
      <w:r w:rsidR="00B917FB">
        <w:rPr>
          <w:szCs w:val="20"/>
        </w:rPr>
        <w:t xml:space="preserve">En este supuesto, </w:t>
      </w:r>
      <w:r w:rsidR="00AC2D25">
        <w:rPr>
          <w:szCs w:val="20"/>
        </w:rPr>
        <w:t>el derecho a la defensa del Estado</w:t>
      </w:r>
      <w:r w:rsidR="00B917FB">
        <w:rPr>
          <w:szCs w:val="20"/>
        </w:rPr>
        <w:t xml:space="preserve"> está garantizado por la posibilidad de </w:t>
      </w:r>
      <w:r w:rsidR="00AC2D25">
        <w:rPr>
          <w:szCs w:val="20"/>
        </w:rPr>
        <w:t>formular observaciones en sus alegatos finales escritos. Todo ello será evaluado por la Corte en la debida oportunidad procesal</w:t>
      </w:r>
      <w:r w:rsidRPr="00201E53">
        <w:rPr>
          <w:szCs w:val="20"/>
        </w:rPr>
        <w:t>.</w:t>
      </w:r>
      <w:r w:rsidRPr="002A7304">
        <w:rPr>
          <w:color w:val="00B050"/>
          <w:szCs w:val="20"/>
        </w:rPr>
        <w:t xml:space="preserve"> </w:t>
      </w:r>
      <w:r w:rsidR="00AC2D25" w:rsidRPr="00AC2D25">
        <w:rPr>
          <w:szCs w:val="20"/>
        </w:rPr>
        <w:t xml:space="preserve">Por </w:t>
      </w:r>
      <w:r w:rsidR="00B917FB">
        <w:rPr>
          <w:szCs w:val="20"/>
        </w:rPr>
        <w:t xml:space="preserve">último, esta Presidencia advierte que </w:t>
      </w:r>
      <w:r w:rsidR="00AC2D25">
        <w:t>l</w:t>
      </w:r>
      <w:r w:rsidR="00DB6AF6" w:rsidRPr="004862A3">
        <w:rPr>
          <w:szCs w:val="20"/>
        </w:rPr>
        <w:t>as observacione</w:t>
      </w:r>
      <w:r w:rsidR="00DB6AF6">
        <w:rPr>
          <w:szCs w:val="20"/>
        </w:rPr>
        <w:t xml:space="preserve">s </w:t>
      </w:r>
      <w:r w:rsidR="00AC2D25">
        <w:rPr>
          <w:szCs w:val="20"/>
        </w:rPr>
        <w:t>d</w:t>
      </w:r>
      <w:r w:rsidR="00DB6AF6">
        <w:rPr>
          <w:szCs w:val="20"/>
        </w:rPr>
        <w:t>el E</w:t>
      </w:r>
      <w:r w:rsidR="00DB6AF6" w:rsidRPr="004862A3">
        <w:rPr>
          <w:szCs w:val="20"/>
        </w:rPr>
        <w:t xml:space="preserve">stado </w:t>
      </w:r>
      <w:r w:rsidR="00B917FB">
        <w:rPr>
          <w:szCs w:val="20"/>
        </w:rPr>
        <w:t xml:space="preserve">sobre </w:t>
      </w:r>
      <w:r w:rsidR="00AC2D25">
        <w:rPr>
          <w:szCs w:val="20"/>
        </w:rPr>
        <w:t xml:space="preserve">el </w:t>
      </w:r>
      <w:r w:rsidR="00DB6AF6">
        <w:rPr>
          <w:szCs w:val="20"/>
        </w:rPr>
        <w:t>objeto de la declaración</w:t>
      </w:r>
      <w:r w:rsidR="00AC2D25">
        <w:rPr>
          <w:szCs w:val="20"/>
        </w:rPr>
        <w:t xml:space="preserve"> del señor Muelle Flores serán tomadas en cuenta al fijar el objeto de dicha declaración </w:t>
      </w:r>
      <w:r w:rsidR="00DB6AF6" w:rsidRPr="004862A3">
        <w:rPr>
          <w:szCs w:val="20"/>
        </w:rPr>
        <w:t xml:space="preserve">en la parte resolutiva de esta </w:t>
      </w:r>
      <w:r w:rsidR="00AC2D25">
        <w:rPr>
          <w:szCs w:val="20"/>
        </w:rPr>
        <w:t>R</w:t>
      </w:r>
      <w:r w:rsidR="00DB6AF6" w:rsidRPr="004862A3">
        <w:rPr>
          <w:szCs w:val="20"/>
        </w:rPr>
        <w:t>esolución</w:t>
      </w:r>
      <w:r w:rsidR="00DB6AF6">
        <w:rPr>
          <w:szCs w:val="20"/>
        </w:rPr>
        <w:t>.</w:t>
      </w:r>
      <w:r w:rsidR="00DB6AF6" w:rsidRPr="006C5349">
        <w:rPr>
          <w:szCs w:val="20"/>
        </w:rPr>
        <w:t xml:space="preserve"> </w:t>
      </w:r>
    </w:p>
    <w:p w:rsidR="00B71FB6" w:rsidRPr="004862A3" w:rsidRDefault="00B71FB6" w:rsidP="004862A3">
      <w:pPr>
        <w:pStyle w:val="NoSpacing"/>
        <w:numPr>
          <w:ilvl w:val="0"/>
          <w:numId w:val="0"/>
        </w:numPr>
        <w:rPr>
          <w:rFonts w:cs="Arial"/>
          <w:szCs w:val="20"/>
        </w:rPr>
      </w:pPr>
    </w:p>
    <w:p w:rsidR="000D4854" w:rsidRPr="004862A3" w:rsidRDefault="000D4854" w:rsidP="004862A3">
      <w:pPr>
        <w:pStyle w:val="Heading1"/>
      </w:pPr>
      <w:r w:rsidRPr="004862A3">
        <w:rPr>
          <w:bCs/>
        </w:rPr>
        <w:t>Admisibilidad de las declaraciones</w:t>
      </w:r>
      <w:r w:rsidR="00065557" w:rsidRPr="004862A3">
        <w:rPr>
          <w:bCs/>
        </w:rPr>
        <w:t xml:space="preserve"> testimoniales</w:t>
      </w:r>
      <w:r w:rsidR="00F53EA7">
        <w:rPr>
          <w:bCs/>
        </w:rPr>
        <w:t xml:space="preserve"> y el peritaje propuesto por la</w:t>
      </w:r>
      <w:r w:rsidRPr="004862A3">
        <w:rPr>
          <w:bCs/>
        </w:rPr>
        <w:t>s representantes</w:t>
      </w:r>
    </w:p>
    <w:p w:rsidR="002907F9" w:rsidRPr="004862A3" w:rsidRDefault="002907F9" w:rsidP="004862A3">
      <w:pPr>
        <w:autoSpaceDE w:val="0"/>
        <w:autoSpaceDN w:val="0"/>
        <w:adjustRightInd w:val="0"/>
        <w:spacing w:after="0" w:line="240" w:lineRule="auto"/>
        <w:ind w:left="644"/>
        <w:jc w:val="both"/>
        <w:rPr>
          <w:rFonts w:ascii="Verdana" w:hAnsi="Verdana" w:cs="Arial"/>
          <w:b/>
          <w:i/>
          <w:iCs/>
          <w:sz w:val="20"/>
          <w:szCs w:val="20"/>
        </w:rPr>
      </w:pPr>
    </w:p>
    <w:p w:rsidR="00065557" w:rsidRPr="009F1CA5" w:rsidRDefault="002C5C24" w:rsidP="004862A3">
      <w:pPr>
        <w:pStyle w:val="Heading2"/>
        <w:rPr>
          <w:b/>
          <w:color w:val="000000" w:themeColor="text1"/>
        </w:rPr>
      </w:pPr>
      <w:r w:rsidRPr="009F1CA5">
        <w:rPr>
          <w:b/>
          <w:color w:val="000000" w:themeColor="text1"/>
        </w:rPr>
        <w:t>B</w:t>
      </w:r>
      <w:r w:rsidR="002907F9" w:rsidRPr="009F1CA5">
        <w:rPr>
          <w:b/>
          <w:color w:val="000000" w:themeColor="text1"/>
        </w:rPr>
        <w:t xml:space="preserve">.1 Admisibilidad de </w:t>
      </w:r>
      <w:r w:rsidR="00065557" w:rsidRPr="009F1CA5">
        <w:rPr>
          <w:b/>
          <w:color w:val="000000" w:themeColor="text1"/>
        </w:rPr>
        <w:t>l</w:t>
      </w:r>
      <w:r w:rsidR="007B0C88" w:rsidRPr="009F1CA5">
        <w:rPr>
          <w:b/>
          <w:color w:val="000000" w:themeColor="text1"/>
        </w:rPr>
        <w:t>os testimonios ofrecidos</w:t>
      </w:r>
      <w:r w:rsidR="009F1CA5" w:rsidRPr="009F1CA5">
        <w:rPr>
          <w:b/>
          <w:color w:val="000000" w:themeColor="text1"/>
        </w:rPr>
        <w:t xml:space="preserve"> por las representantes</w:t>
      </w:r>
    </w:p>
    <w:p w:rsidR="00065557" w:rsidRPr="004862A3" w:rsidRDefault="00065557" w:rsidP="004862A3">
      <w:pPr>
        <w:autoSpaceDE w:val="0"/>
        <w:autoSpaceDN w:val="0"/>
        <w:adjustRightInd w:val="0"/>
        <w:spacing w:after="0" w:line="240" w:lineRule="auto"/>
        <w:ind w:left="644"/>
        <w:jc w:val="both"/>
        <w:rPr>
          <w:rFonts w:ascii="Verdana" w:hAnsi="Verdana" w:cs="Arial"/>
          <w:iCs/>
          <w:sz w:val="20"/>
          <w:szCs w:val="20"/>
        </w:rPr>
      </w:pPr>
    </w:p>
    <w:p w:rsidR="00065557" w:rsidRPr="00051473" w:rsidRDefault="00065557" w:rsidP="004862A3">
      <w:pPr>
        <w:pStyle w:val="NoSpacing"/>
        <w:rPr>
          <w:rFonts w:cs="Arial"/>
          <w:szCs w:val="20"/>
        </w:rPr>
      </w:pPr>
      <w:r w:rsidRPr="004862A3">
        <w:rPr>
          <w:szCs w:val="20"/>
        </w:rPr>
        <w:t>En su escrito de solic</w:t>
      </w:r>
      <w:r w:rsidR="00B869CE">
        <w:rPr>
          <w:szCs w:val="20"/>
        </w:rPr>
        <w:t xml:space="preserve">itudes </w:t>
      </w:r>
      <w:r w:rsidR="00F53EA7">
        <w:rPr>
          <w:szCs w:val="20"/>
        </w:rPr>
        <w:t xml:space="preserve">y </w:t>
      </w:r>
      <w:r w:rsidR="00FE4D04">
        <w:rPr>
          <w:szCs w:val="20"/>
        </w:rPr>
        <w:t xml:space="preserve">argumentos, </w:t>
      </w:r>
      <w:r w:rsidR="00F53EA7">
        <w:rPr>
          <w:szCs w:val="20"/>
        </w:rPr>
        <w:t>la</w:t>
      </w:r>
      <w:r w:rsidRPr="004862A3">
        <w:rPr>
          <w:szCs w:val="20"/>
        </w:rPr>
        <w:t xml:space="preserve">s </w:t>
      </w:r>
      <w:r w:rsidRPr="004862A3">
        <w:rPr>
          <w:b/>
          <w:i/>
          <w:szCs w:val="20"/>
        </w:rPr>
        <w:t>representantes</w:t>
      </w:r>
      <w:r w:rsidRPr="004862A3">
        <w:rPr>
          <w:szCs w:val="20"/>
        </w:rPr>
        <w:t xml:space="preserve"> ofrecieron la</w:t>
      </w:r>
      <w:r w:rsidR="009F1C13" w:rsidRPr="004862A3">
        <w:rPr>
          <w:szCs w:val="20"/>
        </w:rPr>
        <w:t>s</w:t>
      </w:r>
      <w:r w:rsidRPr="004862A3">
        <w:rPr>
          <w:szCs w:val="20"/>
        </w:rPr>
        <w:t xml:space="preserve"> declaraci</w:t>
      </w:r>
      <w:r w:rsidR="009F1C13" w:rsidRPr="004862A3">
        <w:rPr>
          <w:szCs w:val="20"/>
        </w:rPr>
        <w:t>ones de</w:t>
      </w:r>
      <w:r w:rsidRPr="004862A3">
        <w:rPr>
          <w:szCs w:val="20"/>
        </w:rPr>
        <w:t xml:space="preserve"> </w:t>
      </w:r>
      <w:r w:rsidR="009F1C13" w:rsidRPr="004862A3">
        <w:rPr>
          <w:szCs w:val="20"/>
        </w:rPr>
        <w:t>Vibeke Ann Muelle Jensen</w:t>
      </w:r>
      <w:r w:rsidR="007B0C88">
        <w:rPr>
          <w:rStyle w:val="FootnoteReference"/>
          <w:szCs w:val="20"/>
        </w:rPr>
        <w:t xml:space="preserve"> </w:t>
      </w:r>
      <w:r w:rsidR="009F1C13" w:rsidRPr="004862A3">
        <w:rPr>
          <w:szCs w:val="20"/>
        </w:rPr>
        <w:t>y</w:t>
      </w:r>
      <w:r w:rsidRPr="004862A3">
        <w:rPr>
          <w:szCs w:val="20"/>
        </w:rPr>
        <w:t xml:space="preserve"> José Cris Céspedes Ortiz</w:t>
      </w:r>
      <w:r w:rsidR="007B0C88">
        <w:rPr>
          <w:szCs w:val="20"/>
        </w:rPr>
        <w:t xml:space="preserve">, hija y </w:t>
      </w:r>
      <w:r w:rsidR="00155EDF">
        <w:rPr>
          <w:szCs w:val="20"/>
        </w:rPr>
        <w:t xml:space="preserve">yerno </w:t>
      </w:r>
      <w:r w:rsidR="007B0C88">
        <w:rPr>
          <w:szCs w:val="20"/>
        </w:rPr>
        <w:t>del señor Muelle Flores, respectivamente</w:t>
      </w:r>
      <w:r w:rsidR="007137E6" w:rsidRPr="004862A3">
        <w:rPr>
          <w:rStyle w:val="FootnoteReference"/>
          <w:rFonts w:cs="Arial"/>
          <w:bCs/>
          <w:szCs w:val="20"/>
        </w:rPr>
        <w:footnoteReference w:id="4"/>
      </w:r>
      <w:r w:rsidRPr="004862A3">
        <w:rPr>
          <w:szCs w:val="20"/>
        </w:rPr>
        <w:t>. Sin embargo, en su lista definitiva de declarantes</w:t>
      </w:r>
      <w:r w:rsidR="00751BEA" w:rsidRPr="004862A3">
        <w:rPr>
          <w:szCs w:val="20"/>
        </w:rPr>
        <w:t>,</w:t>
      </w:r>
      <w:r w:rsidRPr="004862A3">
        <w:rPr>
          <w:szCs w:val="20"/>
        </w:rPr>
        <w:t xml:space="preserve"> solicitaron sustituir al</w:t>
      </w:r>
      <w:r w:rsidR="00155EDF">
        <w:rPr>
          <w:szCs w:val="20"/>
        </w:rPr>
        <w:t xml:space="preserve"> señor </w:t>
      </w:r>
      <w:r w:rsidR="00155EDF" w:rsidRPr="004862A3">
        <w:rPr>
          <w:szCs w:val="20"/>
        </w:rPr>
        <w:t>Céspedes Ortiz</w:t>
      </w:r>
      <w:r w:rsidRPr="004862A3">
        <w:rPr>
          <w:szCs w:val="20"/>
        </w:rPr>
        <w:t xml:space="preserve"> </w:t>
      </w:r>
      <w:r w:rsidR="00155EDF">
        <w:rPr>
          <w:szCs w:val="20"/>
        </w:rPr>
        <w:t xml:space="preserve">por el hermano </w:t>
      </w:r>
      <w:r w:rsidR="00FE4D04">
        <w:rPr>
          <w:szCs w:val="20"/>
        </w:rPr>
        <w:t>del señor Muelle Flores</w:t>
      </w:r>
      <w:r w:rsidR="00155EDF">
        <w:rPr>
          <w:szCs w:val="20"/>
        </w:rPr>
        <w:t xml:space="preserve">, </w:t>
      </w:r>
      <w:r w:rsidR="00155EDF" w:rsidRPr="004862A3">
        <w:rPr>
          <w:szCs w:val="20"/>
        </w:rPr>
        <w:t>Jesús Aníbal Delgado Flores</w:t>
      </w:r>
      <w:r w:rsidRPr="004862A3">
        <w:rPr>
          <w:szCs w:val="20"/>
        </w:rPr>
        <w:t xml:space="preserve">. </w:t>
      </w:r>
      <w:r w:rsidR="00D16059">
        <w:rPr>
          <w:szCs w:val="20"/>
        </w:rPr>
        <w:t xml:space="preserve">Al respecto, </w:t>
      </w:r>
      <w:r w:rsidRPr="004862A3">
        <w:rPr>
          <w:szCs w:val="20"/>
        </w:rPr>
        <w:t xml:space="preserve">indicaron que el </w:t>
      </w:r>
      <w:r w:rsidR="00155EDF">
        <w:rPr>
          <w:szCs w:val="20"/>
        </w:rPr>
        <w:t xml:space="preserve">yerno de la presunta víctima </w:t>
      </w:r>
      <w:r w:rsidRPr="004862A3">
        <w:rPr>
          <w:szCs w:val="20"/>
        </w:rPr>
        <w:t>“</w:t>
      </w:r>
      <w:r w:rsidRPr="004862A3">
        <w:rPr>
          <w:rFonts w:cs="Arial"/>
          <w:szCs w:val="20"/>
        </w:rPr>
        <w:t xml:space="preserve">por cuestiones personales, que surgieron posteriormente a la elaboración del </w:t>
      </w:r>
      <w:r w:rsidR="005E57D7">
        <w:rPr>
          <w:rFonts w:cs="Arial"/>
          <w:szCs w:val="20"/>
        </w:rPr>
        <w:t>escrito de solicitudes y argumentos</w:t>
      </w:r>
      <w:r w:rsidRPr="004862A3">
        <w:rPr>
          <w:rFonts w:cs="Arial"/>
          <w:szCs w:val="20"/>
        </w:rPr>
        <w:t xml:space="preserve"> no podrá presentarse como testigo”. E</w:t>
      </w:r>
      <w:r w:rsidR="007137E6">
        <w:rPr>
          <w:rFonts w:cs="Arial"/>
          <w:szCs w:val="20"/>
        </w:rPr>
        <w:t>l</w:t>
      </w:r>
      <w:r w:rsidR="009F1C13" w:rsidRPr="004862A3">
        <w:rPr>
          <w:rFonts w:cs="Arial"/>
          <w:szCs w:val="20"/>
        </w:rPr>
        <w:t xml:space="preserve"> </w:t>
      </w:r>
      <w:r w:rsidRPr="004862A3">
        <w:rPr>
          <w:rFonts w:cs="Arial"/>
          <w:b/>
          <w:i/>
          <w:szCs w:val="20"/>
        </w:rPr>
        <w:t>Estado</w:t>
      </w:r>
      <w:r w:rsidR="009F1C13" w:rsidRPr="004862A3">
        <w:rPr>
          <w:rFonts w:cs="Arial"/>
          <w:b/>
          <w:i/>
          <w:szCs w:val="20"/>
        </w:rPr>
        <w:t xml:space="preserve"> </w:t>
      </w:r>
      <w:r w:rsidR="003229CA" w:rsidRPr="003229CA">
        <w:rPr>
          <w:rFonts w:cs="Arial"/>
          <w:szCs w:val="20"/>
        </w:rPr>
        <w:t>alegó</w:t>
      </w:r>
      <w:r w:rsidR="003229CA">
        <w:rPr>
          <w:rFonts w:cs="Arial"/>
          <w:b/>
          <w:i/>
          <w:szCs w:val="20"/>
        </w:rPr>
        <w:t xml:space="preserve"> </w:t>
      </w:r>
      <w:r w:rsidR="00D16059" w:rsidRPr="00D16059">
        <w:rPr>
          <w:rFonts w:cs="Arial"/>
          <w:szCs w:val="20"/>
        </w:rPr>
        <w:t>que</w:t>
      </w:r>
      <w:r w:rsidR="00D16059">
        <w:rPr>
          <w:rFonts w:cs="Arial"/>
          <w:b/>
          <w:i/>
          <w:szCs w:val="20"/>
        </w:rPr>
        <w:t xml:space="preserve"> </w:t>
      </w:r>
      <w:r w:rsidR="009F1C13" w:rsidRPr="004862A3">
        <w:rPr>
          <w:rFonts w:cs="Arial"/>
          <w:szCs w:val="20"/>
        </w:rPr>
        <w:t>amb</w:t>
      </w:r>
      <w:r w:rsidR="00F249A2">
        <w:rPr>
          <w:rFonts w:cs="Arial"/>
          <w:szCs w:val="20"/>
        </w:rPr>
        <w:t xml:space="preserve">os testimonios </w:t>
      </w:r>
      <w:r w:rsidR="00D16059">
        <w:rPr>
          <w:rFonts w:cs="Arial"/>
          <w:szCs w:val="20"/>
        </w:rPr>
        <w:t xml:space="preserve">tendrían </w:t>
      </w:r>
      <w:r w:rsidR="009F1C13" w:rsidRPr="004862A3">
        <w:rPr>
          <w:rFonts w:cs="Arial"/>
          <w:szCs w:val="20"/>
        </w:rPr>
        <w:t>un objeto idéntico</w:t>
      </w:r>
      <w:r w:rsidR="00D16059">
        <w:rPr>
          <w:rFonts w:cs="Arial"/>
          <w:szCs w:val="20"/>
        </w:rPr>
        <w:t xml:space="preserve">, por lo cual </w:t>
      </w:r>
      <w:r w:rsidR="00155EDF">
        <w:rPr>
          <w:rFonts w:cs="Arial"/>
          <w:szCs w:val="20"/>
        </w:rPr>
        <w:t>no sería necesario recibir ambas declaraciones, más aún cuando “los hechos del casi se encuentran claramente identificados y no requieren ser parte del objeto de las declaraciones”</w:t>
      </w:r>
      <w:r w:rsidR="009F1C13" w:rsidRPr="004862A3">
        <w:rPr>
          <w:rFonts w:cs="Arial"/>
          <w:szCs w:val="20"/>
        </w:rPr>
        <w:t xml:space="preserve">. </w:t>
      </w:r>
      <w:r w:rsidR="00925875">
        <w:rPr>
          <w:szCs w:val="20"/>
        </w:rPr>
        <w:t>Además, alegó que, al igual que el objeto de la declaración del señor Muelle Flores, los objetos de las declaraciones de ambos testigos dan por ciertos hechos que se encuentran en controversia, por lo que solicitó que, de admitirse, se modificaran sus términos.</w:t>
      </w:r>
      <w:r w:rsidR="00925875" w:rsidRPr="004862A3">
        <w:rPr>
          <w:szCs w:val="20"/>
        </w:rPr>
        <w:t xml:space="preserve"> </w:t>
      </w:r>
      <w:r w:rsidR="009F1C13" w:rsidRPr="004862A3">
        <w:rPr>
          <w:rFonts w:cs="Arial"/>
          <w:szCs w:val="20"/>
        </w:rPr>
        <w:t>Ad</w:t>
      </w:r>
      <w:r w:rsidR="00925875">
        <w:rPr>
          <w:rFonts w:cs="Arial"/>
          <w:szCs w:val="20"/>
        </w:rPr>
        <w:t>icionalmente</w:t>
      </w:r>
      <w:r w:rsidR="009F1C13" w:rsidRPr="004862A3">
        <w:rPr>
          <w:rFonts w:cs="Arial"/>
          <w:szCs w:val="20"/>
        </w:rPr>
        <w:t xml:space="preserve">, </w:t>
      </w:r>
      <w:r w:rsidR="00155EDF">
        <w:rPr>
          <w:rFonts w:cs="Arial"/>
          <w:szCs w:val="20"/>
        </w:rPr>
        <w:t xml:space="preserve">Perú </w:t>
      </w:r>
      <w:r w:rsidRPr="004862A3">
        <w:rPr>
          <w:rFonts w:cs="Arial"/>
          <w:szCs w:val="20"/>
        </w:rPr>
        <w:t xml:space="preserve">objetó </w:t>
      </w:r>
      <w:r w:rsidR="009F1C13" w:rsidRPr="004862A3">
        <w:rPr>
          <w:rFonts w:cs="Arial"/>
          <w:szCs w:val="20"/>
        </w:rPr>
        <w:t xml:space="preserve">la sustitución </w:t>
      </w:r>
      <w:r w:rsidR="005E57D7" w:rsidRPr="004862A3">
        <w:rPr>
          <w:rFonts w:cs="Arial"/>
          <w:szCs w:val="20"/>
        </w:rPr>
        <w:t>de</w:t>
      </w:r>
      <w:r w:rsidR="00925875">
        <w:rPr>
          <w:rFonts w:cs="Arial"/>
          <w:szCs w:val="20"/>
        </w:rPr>
        <w:t xml:space="preserve">l testigo </w:t>
      </w:r>
      <w:r w:rsidR="00925875" w:rsidRPr="004862A3">
        <w:rPr>
          <w:szCs w:val="20"/>
        </w:rPr>
        <w:t>Céspedes Ortiz</w:t>
      </w:r>
      <w:r w:rsidR="00925875">
        <w:rPr>
          <w:rFonts w:cs="Arial"/>
          <w:szCs w:val="20"/>
        </w:rPr>
        <w:t xml:space="preserve">, por considerar que el </w:t>
      </w:r>
      <w:r w:rsidRPr="004862A3">
        <w:rPr>
          <w:rFonts w:cs="Arial"/>
          <w:szCs w:val="20"/>
        </w:rPr>
        <w:t xml:space="preserve">sustento </w:t>
      </w:r>
      <w:r w:rsidR="00925875">
        <w:rPr>
          <w:rFonts w:cs="Arial"/>
          <w:szCs w:val="20"/>
        </w:rPr>
        <w:t xml:space="preserve">indicado por las representantes </w:t>
      </w:r>
      <w:r w:rsidRPr="004862A3">
        <w:rPr>
          <w:rFonts w:cs="Arial"/>
          <w:szCs w:val="20"/>
        </w:rPr>
        <w:t>resulta</w:t>
      </w:r>
      <w:r w:rsidR="007137E6">
        <w:rPr>
          <w:rFonts w:cs="Arial"/>
          <w:szCs w:val="20"/>
        </w:rPr>
        <w:t>ba</w:t>
      </w:r>
      <w:r w:rsidRPr="004862A3">
        <w:rPr>
          <w:rFonts w:cs="Arial"/>
          <w:szCs w:val="20"/>
        </w:rPr>
        <w:t xml:space="preserve"> insuficiente</w:t>
      </w:r>
      <w:r w:rsidR="004A4851" w:rsidRPr="004862A3">
        <w:rPr>
          <w:rFonts w:cs="Arial"/>
          <w:szCs w:val="20"/>
        </w:rPr>
        <w:t>.</w:t>
      </w:r>
      <w:r w:rsidRPr="004862A3">
        <w:rPr>
          <w:rFonts w:cs="Arial"/>
          <w:szCs w:val="20"/>
        </w:rPr>
        <w:t xml:space="preserve"> </w:t>
      </w:r>
    </w:p>
    <w:p w:rsidR="00051473" w:rsidRPr="004862A3" w:rsidRDefault="00051473" w:rsidP="00051473">
      <w:pPr>
        <w:pStyle w:val="NoSpacing"/>
        <w:numPr>
          <w:ilvl w:val="0"/>
          <w:numId w:val="0"/>
        </w:numPr>
        <w:rPr>
          <w:rFonts w:cs="Arial"/>
          <w:szCs w:val="20"/>
        </w:rPr>
      </w:pPr>
    </w:p>
    <w:p w:rsidR="00051473" w:rsidRPr="00051473" w:rsidRDefault="00051473" w:rsidP="00051473">
      <w:pPr>
        <w:pStyle w:val="NoSpacing"/>
        <w:rPr>
          <w:szCs w:val="20"/>
        </w:rPr>
      </w:pPr>
      <w:r>
        <w:t>Esta Presidencia considera que, en los términos del artículo 49 del Reglamento</w:t>
      </w:r>
      <w:r w:rsidRPr="004862A3">
        <w:rPr>
          <w:rStyle w:val="FootnoteReference"/>
          <w:szCs w:val="20"/>
        </w:rPr>
        <w:footnoteReference w:id="5"/>
      </w:r>
      <w:r>
        <w:t xml:space="preserve">, la solicitud de las representantes del Estado se encuentra fundada en tanto no es posible al testigo originalmente ofrecido rendir su declaración, han indicado un sustito en la debida oportunidad y han mantenido el mismo objeto señalado en su escrito de solicitudes y argumentos. Por ende, el Presidente acepta la sustitución del testigo solicitada por las representantes. </w:t>
      </w:r>
    </w:p>
    <w:p w:rsidR="00051473" w:rsidRPr="00051473" w:rsidRDefault="00051473" w:rsidP="00051473">
      <w:pPr>
        <w:pStyle w:val="NoSpacing"/>
        <w:numPr>
          <w:ilvl w:val="0"/>
          <w:numId w:val="0"/>
        </w:numPr>
        <w:rPr>
          <w:szCs w:val="20"/>
        </w:rPr>
      </w:pPr>
    </w:p>
    <w:p w:rsidR="00925875" w:rsidRPr="00051473" w:rsidRDefault="004A4851" w:rsidP="00051473">
      <w:pPr>
        <w:pStyle w:val="NoSpacing"/>
        <w:rPr>
          <w:szCs w:val="20"/>
        </w:rPr>
      </w:pPr>
      <w:r w:rsidRPr="005E57D7">
        <w:rPr>
          <w:szCs w:val="20"/>
        </w:rPr>
        <w:t xml:space="preserve">Por otro lado, </w:t>
      </w:r>
      <w:r w:rsidR="00051473">
        <w:rPr>
          <w:szCs w:val="20"/>
        </w:rPr>
        <w:t xml:space="preserve">respecto </w:t>
      </w:r>
      <w:r w:rsidRPr="005E57D7">
        <w:rPr>
          <w:szCs w:val="20"/>
        </w:rPr>
        <w:t>a la</w:t>
      </w:r>
      <w:r w:rsidR="00580DFD" w:rsidRPr="005E57D7">
        <w:rPr>
          <w:szCs w:val="20"/>
        </w:rPr>
        <w:t xml:space="preserve"> segunda observación </w:t>
      </w:r>
      <w:r w:rsidR="00051473">
        <w:rPr>
          <w:szCs w:val="20"/>
        </w:rPr>
        <w:t>d</w:t>
      </w:r>
      <w:r w:rsidRPr="005E57D7">
        <w:rPr>
          <w:szCs w:val="20"/>
        </w:rPr>
        <w:t xml:space="preserve">el Estado, </w:t>
      </w:r>
      <w:r w:rsidR="005E57D7" w:rsidRPr="005E57D7">
        <w:rPr>
          <w:szCs w:val="20"/>
        </w:rPr>
        <w:t xml:space="preserve">el Presidente recuerda que </w:t>
      </w:r>
      <w:r w:rsidR="00F249A2">
        <w:t>las partes tienen la potestad de ofrecer la prueba que estimen relevante en el marco del procedimiento ante la Corte</w:t>
      </w:r>
      <w:r w:rsidR="00FA62EE">
        <w:t xml:space="preserve"> y esta podrá aceptarla cuando lo estime pertinente</w:t>
      </w:r>
      <w:r w:rsidR="00F249A2">
        <w:t>.</w:t>
      </w:r>
      <w:r w:rsidR="005E57D7">
        <w:t xml:space="preserve"> </w:t>
      </w:r>
      <w:r w:rsidR="00F249A2">
        <w:t xml:space="preserve">Por tanto, el Presidente </w:t>
      </w:r>
      <w:r w:rsidR="00051473">
        <w:t>admite las declaraciones testimoniales de</w:t>
      </w:r>
      <w:r w:rsidR="00051473" w:rsidRPr="00051473">
        <w:rPr>
          <w:szCs w:val="20"/>
        </w:rPr>
        <w:t xml:space="preserve"> </w:t>
      </w:r>
      <w:r w:rsidR="00051473" w:rsidRPr="004862A3">
        <w:rPr>
          <w:szCs w:val="20"/>
        </w:rPr>
        <w:t>Vibeke Ann Muelle Jensen</w:t>
      </w:r>
      <w:r w:rsidR="00051473">
        <w:t xml:space="preserve"> y </w:t>
      </w:r>
      <w:r w:rsidR="00051473" w:rsidRPr="004862A3">
        <w:rPr>
          <w:szCs w:val="20"/>
        </w:rPr>
        <w:t>Jesús Aníbal Delgado Flores</w:t>
      </w:r>
      <w:r w:rsidR="00051473">
        <w:rPr>
          <w:szCs w:val="20"/>
        </w:rPr>
        <w:t>.</w:t>
      </w:r>
      <w:r w:rsidR="00051473">
        <w:t xml:space="preserve"> </w:t>
      </w:r>
      <w:r w:rsidR="00925875" w:rsidRPr="00051473">
        <w:rPr>
          <w:szCs w:val="20"/>
        </w:rPr>
        <w:t xml:space="preserve">Las observaciones del Estado sobre la redacción de los objetos de las declaraciones de ambos testigos serán tomadas en cuenta al fijar el objeto de dicha declaración en la parte resolutiva de esta Resolución. </w:t>
      </w:r>
    </w:p>
    <w:p w:rsidR="002907F9" w:rsidRPr="004862A3" w:rsidRDefault="002907F9" w:rsidP="004862A3">
      <w:pPr>
        <w:autoSpaceDE w:val="0"/>
        <w:autoSpaceDN w:val="0"/>
        <w:adjustRightInd w:val="0"/>
        <w:spacing w:after="0" w:line="240" w:lineRule="auto"/>
        <w:jc w:val="both"/>
        <w:rPr>
          <w:rFonts w:ascii="Verdana" w:hAnsi="Verdana" w:cs="Arial"/>
          <w:iCs/>
          <w:sz w:val="20"/>
          <w:szCs w:val="20"/>
        </w:rPr>
      </w:pPr>
    </w:p>
    <w:p w:rsidR="002907F9" w:rsidRPr="002C5C24" w:rsidRDefault="002C5C24" w:rsidP="004862A3">
      <w:pPr>
        <w:pStyle w:val="Heading2"/>
        <w:rPr>
          <w:b/>
        </w:rPr>
      </w:pPr>
      <w:r w:rsidRPr="002C5C24">
        <w:rPr>
          <w:b/>
        </w:rPr>
        <w:t>B</w:t>
      </w:r>
      <w:r w:rsidR="002907F9" w:rsidRPr="002C5C24">
        <w:rPr>
          <w:b/>
        </w:rPr>
        <w:t xml:space="preserve">.2 Admisibilidad del peritaje </w:t>
      </w:r>
      <w:r>
        <w:rPr>
          <w:b/>
        </w:rPr>
        <w:t>ofrecido por las representantes</w:t>
      </w:r>
    </w:p>
    <w:p w:rsidR="000D0BA7" w:rsidRPr="004862A3" w:rsidRDefault="000D0BA7" w:rsidP="004862A3">
      <w:pPr>
        <w:autoSpaceDE w:val="0"/>
        <w:autoSpaceDN w:val="0"/>
        <w:adjustRightInd w:val="0"/>
        <w:spacing w:after="0" w:line="240" w:lineRule="auto"/>
        <w:ind w:left="644"/>
        <w:jc w:val="both"/>
        <w:rPr>
          <w:rFonts w:ascii="Verdana" w:hAnsi="Verdana" w:cs="Arial"/>
          <w:iCs/>
          <w:sz w:val="20"/>
          <w:szCs w:val="20"/>
        </w:rPr>
      </w:pPr>
    </w:p>
    <w:p w:rsidR="00FB2D89" w:rsidRPr="004862A3" w:rsidRDefault="00F53EA7" w:rsidP="004862A3">
      <w:pPr>
        <w:pStyle w:val="NoSpacing"/>
        <w:rPr>
          <w:szCs w:val="20"/>
        </w:rPr>
      </w:pPr>
      <w:r>
        <w:rPr>
          <w:szCs w:val="20"/>
        </w:rPr>
        <w:t>La</w:t>
      </w:r>
      <w:r w:rsidR="000D0BA7" w:rsidRPr="004862A3">
        <w:rPr>
          <w:szCs w:val="20"/>
        </w:rPr>
        <w:t xml:space="preserve">s </w:t>
      </w:r>
      <w:r w:rsidR="000D0BA7" w:rsidRPr="004862A3">
        <w:rPr>
          <w:b/>
          <w:i/>
          <w:szCs w:val="20"/>
        </w:rPr>
        <w:t>representantes</w:t>
      </w:r>
      <w:r w:rsidR="000D0BA7" w:rsidRPr="004862A3">
        <w:rPr>
          <w:szCs w:val="20"/>
        </w:rPr>
        <w:t xml:space="preserve"> ofrecieron e</w:t>
      </w:r>
      <w:r w:rsidR="00EB16F3">
        <w:rPr>
          <w:szCs w:val="20"/>
        </w:rPr>
        <w:t>l peritaje de Mari</w:t>
      </w:r>
      <w:r w:rsidR="00457883">
        <w:rPr>
          <w:szCs w:val="20"/>
        </w:rPr>
        <w:t>a Virg</w:t>
      </w:r>
      <w:r w:rsidR="00EB16F3">
        <w:rPr>
          <w:szCs w:val="20"/>
        </w:rPr>
        <w:t>í</w:t>
      </w:r>
      <w:r w:rsidR="00457883">
        <w:rPr>
          <w:szCs w:val="20"/>
        </w:rPr>
        <w:t>nia Brá</w:t>
      </w:r>
      <w:r w:rsidR="000D0BA7" w:rsidRPr="004862A3">
        <w:rPr>
          <w:szCs w:val="20"/>
        </w:rPr>
        <w:t>s Gomes</w:t>
      </w:r>
      <w:r w:rsidR="000D0BA7" w:rsidRPr="004862A3">
        <w:rPr>
          <w:rStyle w:val="FootnoteReference"/>
          <w:szCs w:val="20"/>
        </w:rPr>
        <w:footnoteReference w:id="6"/>
      </w:r>
      <w:r w:rsidR="00FB2D89" w:rsidRPr="004862A3">
        <w:rPr>
          <w:szCs w:val="20"/>
        </w:rPr>
        <w:t xml:space="preserve">, </w:t>
      </w:r>
      <w:r w:rsidR="00EE5B25" w:rsidRPr="004862A3">
        <w:rPr>
          <w:szCs w:val="20"/>
        </w:rPr>
        <w:t xml:space="preserve">el cual solicitaron pudiese ser rendido mediante videoconferencia, con la intención de que se reduzcan los costos pues en la actualidad </w:t>
      </w:r>
      <w:r w:rsidR="007C05B9" w:rsidRPr="004862A3">
        <w:rPr>
          <w:szCs w:val="20"/>
        </w:rPr>
        <w:t xml:space="preserve">la perita reside </w:t>
      </w:r>
      <w:r w:rsidR="00EE5B25" w:rsidRPr="004862A3">
        <w:rPr>
          <w:szCs w:val="20"/>
        </w:rPr>
        <w:t xml:space="preserve">en Portugal y participa </w:t>
      </w:r>
      <w:r w:rsidR="007C05B9">
        <w:rPr>
          <w:szCs w:val="20"/>
        </w:rPr>
        <w:t>periódicamente en las sesiones</w:t>
      </w:r>
      <w:r w:rsidR="00EE5B25" w:rsidRPr="004862A3">
        <w:rPr>
          <w:szCs w:val="20"/>
        </w:rPr>
        <w:t xml:space="preserve"> del Comité de Derechos Económicos, Sociales y Culturales</w:t>
      </w:r>
      <w:r w:rsidR="000D0BA7" w:rsidRPr="004862A3">
        <w:rPr>
          <w:szCs w:val="20"/>
        </w:rPr>
        <w:t>.</w:t>
      </w:r>
      <w:r w:rsidR="00EE5B25" w:rsidRPr="004862A3">
        <w:rPr>
          <w:b/>
          <w:szCs w:val="20"/>
        </w:rPr>
        <w:t xml:space="preserve"> </w:t>
      </w:r>
      <w:r w:rsidR="00431C90" w:rsidRPr="004862A3">
        <w:rPr>
          <w:szCs w:val="20"/>
        </w:rPr>
        <w:t xml:space="preserve">El </w:t>
      </w:r>
      <w:r w:rsidR="00431C90" w:rsidRPr="004862A3">
        <w:rPr>
          <w:b/>
          <w:i/>
          <w:szCs w:val="20"/>
        </w:rPr>
        <w:t>Estado</w:t>
      </w:r>
      <w:r w:rsidR="00431C90" w:rsidRPr="004862A3">
        <w:rPr>
          <w:szCs w:val="20"/>
        </w:rPr>
        <w:t xml:space="preserve"> alegó que en este caso no se encuentra en debate aspectos relacionados con estándares internacionales en materia de</w:t>
      </w:r>
      <w:r w:rsidR="00D9048B" w:rsidRPr="004862A3">
        <w:rPr>
          <w:szCs w:val="20"/>
        </w:rPr>
        <w:t xml:space="preserve"> derechos económicos, sociales y culturales, por lo que consideró</w:t>
      </w:r>
      <w:r w:rsidR="00431C90" w:rsidRPr="004862A3">
        <w:rPr>
          <w:szCs w:val="20"/>
        </w:rPr>
        <w:t xml:space="preserve"> que el objeto del peritaje ofrecido no guarda vinculación, al menos, no en su totalidad, con el presente caso, por lo que solicitó que no se admita.</w:t>
      </w:r>
      <w:r w:rsidR="003F3718" w:rsidRPr="004862A3">
        <w:rPr>
          <w:szCs w:val="20"/>
        </w:rPr>
        <w:t xml:space="preserve"> </w:t>
      </w:r>
    </w:p>
    <w:p w:rsidR="0021264E" w:rsidRPr="004862A3" w:rsidRDefault="0021264E" w:rsidP="004862A3">
      <w:pPr>
        <w:pStyle w:val="NoSpacing"/>
        <w:numPr>
          <w:ilvl w:val="0"/>
          <w:numId w:val="0"/>
        </w:numPr>
        <w:rPr>
          <w:szCs w:val="20"/>
        </w:rPr>
      </w:pPr>
    </w:p>
    <w:p w:rsidR="0054745F" w:rsidRPr="00221869" w:rsidRDefault="00051473" w:rsidP="00221869">
      <w:pPr>
        <w:pStyle w:val="NoSpacing"/>
        <w:rPr>
          <w:szCs w:val="20"/>
        </w:rPr>
      </w:pPr>
      <w:r>
        <w:rPr>
          <w:rFonts w:cs="Arial"/>
          <w:szCs w:val="20"/>
        </w:rPr>
        <w:t xml:space="preserve">Teniendo en cuenta que previamente se </w:t>
      </w:r>
      <w:r w:rsidR="008D4585">
        <w:rPr>
          <w:rFonts w:cs="Arial"/>
          <w:szCs w:val="20"/>
        </w:rPr>
        <w:t xml:space="preserve">decidió no celebrar una audiencia pública en este caso, el Presidente estima que no corresponde recibir esta declaración por videoconferencia. Además, frente a las objeciones del </w:t>
      </w:r>
      <w:r w:rsidR="00FB2D89" w:rsidRPr="004862A3">
        <w:rPr>
          <w:rFonts w:cs="Arial"/>
          <w:szCs w:val="20"/>
        </w:rPr>
        <w:t xml:space="preserve">Estado, </w:t>
      </w:r>
      <w:r w:rsidR="008D4585">
        <w:rPr>
          <w:rFonts w:cs="Arial"/>
          <w:szCs w:val="20"/>
        </w:rPr>
        <w:t xml:space="preserve">se </w:t>
      </w:r>
      <w:r w:rsidR="00FB2D89" w:rsidRPr="004862A3">
        <w:rPr>
          <w:rFonts w:cs="Arial"/>
          <w:szCs w:val="20"/>
        </w:rPr>
        <w:t xml:space="preserve">recuerda que </w:t>
      </w:r>
      <w:r w:rsidR="00FB2D89" w:rsidRPr="004862A3">
        <w:rPr>
          <w:szCs w:val="20"/>
        </w:rPr>
        <w:t xml:space="preserve">corresponderá al Tribunal en su conjunto, en el momento procesal oportuno, determinar los hechos del presente caso, así como las consecuencias jurídicas que se deriven de los mismos, </w:t>
      </w:r>
      <w:r w:rsidR="00FA62EE">
        <w:rPr>
          <w:szCs w:val="20"/>
        </w:rPr>
        <w:t xml:space="preserve">por lo tanto </w:t>
      </w:r>
      <w:r w:rsidR="00FB2D89" w:rsidRPr="004862A3">
        <w:rPr>
          <w:szCs w:val="20"/>
        </w:rPr>
        <w:t>las observaciones del Estado son cuestiones que no corresponde a esta Presidencia determinar en la presente etapa procesal. Una vez que dicha prueba sea evacuada, Perú tendrá la oportunidad de presentar las observaciones que estime necesarias sobre su contenido.</w:t>
      </w:r>
      <w:r w:rsidR="00221869">
        <w:rPr>
          <w:szCs w:val="20"/>
        </w:rPr>
        <w:t xml:space="preserve"> </w:t>
      </w:r>
      <w:r w:rsidR="00FA62EE">
        <w:rPr>
          <w:szCs w:val="20"/>
        </w:rPr>
        <w:t>S</w:t>
      </w:r>
      <w:r w:rsidR="008D4585">
        <w:t xml:space="preserve">e admite la declaración pericial de </w:t>
      </w:r>
      <w:r w:rsidR="00935EA1">
        <w:rPr>
          <w:szCs w:val="20"/>
        </w:rPr>
        <w:t>Maria Virgí</w:t>
      </w:r>
      <w:r w:rsidR="008D4585">
        <w:rPr>
          <w:szCs w:val="20"/>
        </w:rPr>
        <w:t>nia Brá</w:t>
      </w:r>
      <w:r w:rsidR="008D4585" w:rsidRPr="004862A3">
        <w:rPr>
          <w:szCs w:val="20"/>
        </w:rPr>
        <w:t>s Gomes</w:t>
      </w:r>
      <w:r w:rsidR="008D4585">
        <w:t>, según el objeto y modalidad determinados en la parte resolutiva de esta Resolución</w:t>
      </w:r>
      <w:r w:rsidR="00221869" w:rsidRPr="00221869">
        <w:rPr>
          <w:szCs w:val="20"/>
        </w:rPr>
        <w:t>.</w:t>
      </w:r>
    </w:p>
    <w:p w:rsidR="008869F9" w:rsidRPr="004862A3" w:rsidRDefault="008869F9" w:rsidP="004862A3">
      <w:pPr>
        <w:tabs>
          <w:tab w:val="left" w:pos="567"/>
        </w:tabs>
        <w:spacing w:after="0" w:line="240" w:lineRule="auto"/>
        <w:jc w:val="both"/>
        <w:rPr>
          <w:rFonts w:ascii="Verdana" w:hAnsi="Verdana" w:cs="Arial"/>
          <w:b/>
          <w:i/>
          <w:iCs/>
          <w:sz w:val="20"/>
          <w:szCs w:val="20"/>
        </w:rPr>
      </w:pPr>
    </w:p>
    <w:p w:rsidR="00DB6FF7" w:rsidRPr="004862A3" w:rsidRDefault="00DB6FF7" w:rsidP="00DB6FF7">
      <w:pPr>
        <w:pStyle w:val="Heading1"/>
      </w:pPr>
      <w:r>
        <w:t>Sobre la a</w:t>
      </w:r>
      <w:r w:rsidRPr="004862A3">
        <w:t xml:space="preserve">dmisibilidad del peritaje ofrecido por la Comisión  </w:t>
      </w:r>
      <w:r>
        <w:t>y su solicitud de interrogar a los peritos ofrecidos por las partes</w:t>
      </w:r>
    </w:p>
    <w:p w:rsidR="00DB6FF7" w:rsidRPr="002C5C24" w:rsidRDefault="00DB6FF7" w:rsidP="00DB6FF7">
      <w:pPr>
        <w:pStyle w:val="ListParagraph"/>
        <w:tabs>
          <w:tab w:val="left" w:pos="567"/>
        </w:tabs>
        <w:spacing w:after="0" w:line="240" w:lineRule="auto"/>
        <w:jc w:val="both"/>
        <w:rPr>
          <w:rFonts w:ascii="Verdana" w:hAnsi="Verdana"/>
          <w:b/>
          <w:bCs/>
          <w:i/>
          <w:iCs/>
          <w:sz w:val="20"/>
          <w:szCs w:val="20"/>
        </w:rPr>
      </w:pPr>
    </w:p>
    <w:p w:rsidR="005A525C" w:rsidRPr="005A525C" w:rsidRDefault="00DB6FF7" w:rsidP="005A525C">
      <w:pPr>
        <w:pStyle w:val="NoSpacing"/>
        <w:rPr>
          <w:rFonts w:ascii="Times New Roman" w:hAnsi="Times New Roman" w:cs="Times New Roman"/>
        </w:rPr>
      </w:pPr>
      <w:r w:rsidRPr="002C5C24">
        <w:t xml:space="preserve">La </w:t>
      </w:r>
      <w:r w:rsidRPr="002C5C24">
        <w:rPr>
          <w:b/>
          <w:i/>
        </w:rPr>
        <w:t>Comisión</w:t>
      </w:r>
      <w:r w:rsidRPr="002C5C24">
        <w:t xml:space="preserve"> ofreció, como prueba pericial, la declaración del señor Christian Courtis</w:t>
      </w:r>
      <w:r w:rsidRPr="002C5C24">
        <w:rPr>
          <w:rStyle w:val="FootnoteReference"/>
          <w:szCs w:val="20"/>
        </w:rPr>
        <w:footnoteReference w:id="7"/>
      </w:r>
      <w:r w:rsidRPr="002C5C24">
        <w:t>, indicó el objeto de su declaración, y posteriormente remitió su hoja de vida. De acuerdo con la Comisión, el objeto del peritaje ofrecido resulta relevante para el orden público interamericano pues “el caso constituye una manifestación de un problema de alcance estructural relativo al incumplimiento de sentencias judiciales, particularmente en lo relativo a derechos pensionarios” y “plantea una situación novedosa en materia de incumplimiento de sentencias judiciales por parte de una entidad estatal en circunstancias en las cuales tiene lugar la privatización de la misma”. En este sentido, la Comisión estimó que el caso permitiría a la Corte pronunciarse sobre “las obligaciones del Estado al momento de privatizar una entidad</w:t>
      </w:r>
      <w:r w:rsidRPr="002C5C24">
        <w:rPr>
          <w:rFonts w:cs="Arial"/>
        </w:rPr>
        <w:t xml:space="preserve">, en cuanto a los derechos de los trabajadores y jubilados de la misma, particularmente cuando fueron reconocidos judicialmente”. </w:t>
      </w:r>
      <w:r w:rsidR="00D76839">
        <w:rPr>
          <w:rFonts w:cs="Arial"/>
        </w:rPr>
        <w:t xml:space="preserve">Adicionalmente, </w:t>
      </w:r>
      <w:r w:rsidRPr="002C5C24">
        <w:rPr>
          <w:rFonts w:cs="Arial"/>
        </w:rPr>
        <w:t xml:space="preserve">la Comisión solicitó </w:t>
      </w:r>
      <w:r w:rsidRPr="002C5C24">
        <w:rPr>
          <w:rFonts w:cs="Times New Roman"/>
        </w:rPr>
        <w:t xml:space="preserve">poder formular preguntas al perito y la perita ofrecidos por el Estado y las representantes, respectivamente, </w:t>
      </w:r>
      <w:r w:rsidR="00D76839">
        <w:rPr>
          <w:rFonts w:cs="Times New Roman"/>
        </w:rPr>
        <w:t xml:space="preserve">alegando </w:t>
      </w:r>
      <w:r w:rsidRPr="002C5C24">
        <w:rPr>
          <w:rFonts w:cs="Times New Roman"/>
        </w:rPr>
        <w:t xml:space="preserve">que </w:t>
      </w:r>
      <w:r w:rsidR="00D76839">
        <w:rPr>
          <w:rFonts w:cs="Times New Roman"/>
        </w:rPr>
        <w:t xml:space="preserve">los objetos de </w:t>
      </w:r>
      <w:r w:rsidRPr="002C5C24">
        <w:rPr>
          <w:rFonts w:cs="Times New Roman"/>
        </w:rPr>
        <w:t xml:space="preserve">ambos peritajes se relacionan </w:t>
      </w:r>
      <w:r w:rsidRPr="005A525C">
        <w:rPr>
          <w:rFonts w:cs="Times New Roman"/>
          <w:szCs w:val="20"/>
        </w:rPr>
        <w:t xml:space="preserve">tanto con el orden público interamericano como con la materia sobre la cual versa el peritaje ofrecido por la Comisión. </w:t>
      </w:r>
      <w:r w:rsidR="00D76839" w:rsidRPr="005A525C">
        <w:rPr>
          <w:rFonts w:cs="Times New Roman"/>
          <w:szCs w:val="20"/>
        </w:rPr>
        <w:t>En este sentido, indic</w:t>
      </w:r>
      <w:r w:rsidR="005A525C">
        <w:rPr>
          <w:rFonts w:cs="Times New Roman"/>
          <w:szCs w:val="20"/>
        </w:rPr>
        <w:t>ó</w:t>
      </w:r>
      <w:r w:rsidR="00D76839" w:rsidRPr="005A525C">
        <w:rPr>
          <w:rFonts w:cs="Times New Roman"/>
          <w:szCs w:val="20"/>
        </w:rPr>
        <w:t xml:space="preserve"> </w:t>
      </w:r>
      <w:r w:rsidR="005A525C" w:rsidRPr="005A525C">
        <w:rPr>
          <w:rFonts w:cs="Times New Roman"/>
          <w:szCs w:val="20"/>
        </w:rPr>
        <w:t xml:space="preserve">que el peritaje de </w:t>
      </w:r>
      <w:r w:rsidR="00935EA1">
        <w:rPr>
          <w:szCs w:val="20"/>
        </w:rPr>
        <w:t>Maria Virgí</w:t>
      </w:r>
      <w:r w:rsidR="005A525C" w:rsidRPr="005A525C">
        <w:rPr>
          <w:szCs w:val="20"/>
        </w:rPr>
        <w:t xml:space="preserve">nia Brás Gomes, ofrecido por las representantes, </w:t>
      </w:r>
      <w:r w:rsidR="005A525C" w:rsidRPr="005A525C">
        <w:rPr>
          <w:rFonts w:cs="Times New Roman"/>
          <w:szCs w:val="20"/>
        </w:rPr>
        <w:t xml:space="preserve">se </w:t>
      </w:r>
      <w:r w:rsidR="005A525C">
        <w:rPr>
          <w:rFonts w:cs="Times New Roman"/>
          <w:szCs w:val="20"/>
        </w:rPr>
        <w:t xml:space="preserve">encuentra relacionado con </w:t>
      </w:r>
      <w:r w:rsidR="005A525C" w:rsidRPr="005A525C">
        <w:rPr>
          <w:rFonts w:cs="Times New Roman"/>
          <w:szCs w:val="20"/>
        </w:rPr>
        <w:t>las obligaciones de los Estados en el contexto de privatización de empresas, dentro de los que se incluye el acceso a la justicia en materia de derechos económicos, sociales y culturales</w:t>
      </w:r>
      <w:r w:rsidR="005A525C">
        <w:rPr>
          <w:rFonts w:cs="Times New Roman"/>
          <w:szCs w:val="20"/>
        </w:rPr>
        <w:t xml:space="preserve">; mientras que </w:t>
      </w:r>
      <w:r w:rsidR="005A525C" w:rsidRPr="005A525C">
        <w:rPr>
          <w:rFonts w:cs="Times New Roman"/>
          <w:szCs w:val="20"/>
        </w:rPr>
        <w:t xml:space="preserve">el peritaje </w:t>
      </w:r>
      <w:r w:rsidR="005A525C">
        <w:rPr>
          <w:rFonts w:cs="Times New Roman"/>
          <w:szCs w:val="20"/>
        </w:rPr>
        <w:t xml:space="preserve">de </w:t>
      </w:r>
      <w:r w:rsidR="005A525C" w:rsidRPr="005A525C">
        <w:rPr>
          <w:rFonts w:cs="Times New Roman"/>
          <w:szCs w:val="20"/>
        </w:rPr>
        <w:t xml:space="preserve">Cesar González Hunt, </w:t>
      </w:r>
      <w:r w:rsidR="005A525C">
        <w:rPr>
          <w:rFonts w:cs="Times New Roman"/>
          <w:szCs w:val="20"/>
        </w:rPr>
        <w:t>ofrecido por el Estado, “</w:t>
      </w:r>
      <w:r w:rsidR="005A525C" w:rsidRPr="005A525C">
        <w:rPr>
          <w:rFonts w:cs="Times New Roman"/>
          <w:szCs w:val="20"/>
        </w:rPr>
        <w:t>plantea elementos del marco peruano que permitirá poner en contexto los estándares a ser desarrollados por el perito ofrecido por la Comisión</w:t>
      </w:r>
      <w:r w:rsidR="005A525C">
        <w:rPr>
          <w:rFonts w:cs="Times New Roman"/>
          <w:szCs w:val="20"/>
        </w:rPr>
        <w:t>”</w:t>
      </w:r>
      <w:r w:rsidR="005A525C" w:rsidRPr="005A525C">
        <w:rPr>
          <w:rFonts w:cs="Times New Roman"/>
          <w:szCs w:val="20"/>
        </w:rPr>
        <w:t xml:space="preserve">. Alegó que ambos aspectos serán considerados por el perito ofrecido por dicho órgano, </w:t>
      </w:r>
      <w:r w:rsidR="005A525C" w:rsidRPr="005A525C">
        <w:t>Christian Courtis</w:t>
      </w:r>
      <w:r w:rsidR="005A525C" w:rsidRPr="005A525C">
        <w:rPr>
          <w:rFonts w:cs="Times New Roman"/>
          <w:szCs w:val="20"/>
        </w:rPr>
        <w:t>, y que son aspectos que hacen parte del orden público interamericano, conforme fue alegado por la Comisión en su escrito de sometimiento del caso.</w:t>
      </w:r>
      <w:r w:rsidR="005A525C">
        <w:rPr>
          <w:rFonts w:cs="Times New Roman"/>
          <w:b/>
          <w:szCs w:val="20"/>
        </w:rPr>
        <w:t xml:space="preserve"> </w:t>
      </w:r>
    </w:p>
    <w:p w:rsidR="0024688F" w:rsidRPr="0024688F" w:rsidRDefault="0024688F" w:rsidP="0024688F">
      <w:pPr>
        <w:pStyle w:val="NoSpacing"/>
        <w:numPr>
          <w:ilvl w:val="0"/>
          <w:numId w:val="0"/>
        </w:numPr>
        <w:rPr>
          <w:rFonts w:ascii="Times New Roman" w:hAnsi="Times New Roman" w:cs="Times New Roman"/>
        </w:rPr>
      </w:pPr>
    </w:p>
    <w:p w:rsidR="00DB6FF7" w:rsidRPr="00095212" w:rsidRDefault="00DB6FF7" w:rsidP="00D76839">
      <w:pPr>
        <w:pStyle w:val="NoSpacing"/>
        <w:rPr>
          <w:rFonts w:ascii="Times New Roman" w:hAnsi="Times New Roman" w:cs="Times New Roman"/>
        </w:rPr>
      </w:pPr>
      <w:r w:rsidRPr="00095212">
        <w:rPr>
          <w:szCs w:val="20"/>
        </w:rPr>
        <w:t xml:space="preserve">Las </w:t>
      </w:r>
      <w:r w:rsidRPr="00095212">
        <w:rPr>
          <w:b/>
          <w:i/>
          <w:szCs w:val="20"/>
        </w:rPr>
        <w:t>representantes</w:t>
      </w:r>
      <w:r w:rsidRPr="00095212">
        <w:rPr>
          <w:szCs w:val="20"/>
        </w:rPr>
        <w:t xml:space="preserve"> manifestaron su conformidad con el peritaje ofrecido por la Comisión. </w:t>
      </w:r>
      <w:r w:rsidR="0024688F" w:rsidRPr="00095212">
        <w:rPr>
          <w:rFonts w:cs="Times New Roman"/>
          <w:szCs w:val="20"/>
        </w:rPr>
        <w:t xml:space="preserve">Por su parte, </w:t>
      </w:r>
      <w:r w:rsidR="008E5F4F" w:rsidRPr="00095212">
        <w:rPr>
          <w:szCs w:val="20"/>
        </w:rPr>
        <w:t>e</w:t>
      </w:r>
      <w:r w:rsidRPr="00095212">
        <w:rPr>
          <w:szCs w:val="20"/>
        </w:rPr>
        <w:t xml:space="preserve">l </w:t>
      </w:r>
      <w:r w:rsidRPr="00095212">
        <w:rPr>
          <w:b/>
          <w:i/>
          <w:szCs w:val="20"/>
        </w:rPr>
        <w:t>Estado</w:t>
      </w:r>
      <w:r w:rsidRPr="00095212">
        <w:rPr>
          <w:szCs w:val="20"/>
        </w:rPr>
        <w:t xml:space="preserve"> planteó las siguientes objeciones: </w:t>
      </w:r>
      <w:r w:rsidRPr="00095212">
        <w:rPr>
          <w:rFonts w:cs="Times New Roman"/>
          <w:szCs w:val="20"/>
        </w:rPr>
        <w:t xml:space="preserve">a) la Comisión no </w:t>
      </w:r>
      <w:r w:rsidR="005A10CB" w:rsidRPr="00095212">
        <w:rPr>
          <w:rFonts w:cs="Times New Roman"/>
          <w:szCs w:val="20"/>
        </w:rPr>
        <w:t xml:space="preserve">fundamentó, con un “sustento mínimo y suficiente”, su afirmación de que el peritaje </w:t>
      </w:r>
      <w:r w:rsidRPr="00095212">
        <w:rPr>
          <w:rFonts w:cs="Times New Roman"/>
          <w:szCs w:val="20"/>
        </w:rPr>
        <w:t>afecta de modo relevante el orden público interamericano</w:t>
      </w:r>
      <w:r w:rsidR="005A10CB" w:rsidRPr="00095212">
        <w:rPr>
          <w:rFonts w:cs="Times New Roman"/>
          <w:szCs w:val="20"/>
        </w:rPr>
        <w:t>;</w:t>
      </w:r>
      <w:r w:rsidRPr="00095212">
        <w:rPr>
          <w:rFonts w:cs="Times New Roman"/>
          <w:szCs w:val="20"/>
        </w:rPr>
        <w:t xml:space="preserve"> </w:t>
      </w:r>
      <w:r w:rsidR="005A10CB" w:rsidRPr="00095212">
        <w:rPr>
          <w:rFonts w:cs="Times New Roman"/>
          <w:szCs w:val="20"/>
        </w:rPr>
        <w:t xml:space="preserve">b) la Comisión tampoco ha sustentado </w:t>
      </w:r>
      <w:r w:rsidR="008F278B" w:rsidRPr="00095212">
        <w:rPr>
          <w:rFonts w:cs="Times New Roman"/>
          <w:szCs w:val="20"/>
        </w:rPr>
        <w:t xml:space="preserve">la relevancia del peritaje propuesto y su utilidad para la resolución de otros casos, </w:t>
      </w:r>
      <w:r w:rsidR="005A10CB" w:rsidRPr="00095212">
        <w:rPr>
          <w:rFonts w:cs="Times New Roman"/>
          <w:szCs w:val="20"/>
        </w:rPr>
        <w:t xml:space="preserve">particularmente teniendo en cuenta que </w:t>
      </w:r>
      <w:r w:rsidRPr="00095212">
        <w:rPr>
          <w:rFonts w:cs="Times New Roman"/>
          <w:szCs w:val="20"/>
        </w:rPr>
        <w:t xml:space="preserve">el objeto del peritaje es bastante preciso y exacto, por lo que </w:t>
      </w:r>
      <w:r w:rsidR="008F278B" w:rsidRPr="00095212">
        <w:rPr>
          <w:rFonts w:cs="Times New Roman"/>
          <w:szCs w:val="20"/>
        </w:rPr>
        <w:t xml:space="preserve">se relaciona exclusivamente con los hechos del presente caso y </w:t>
      </w:r>
      <w:r w:rsidRPr="00095212">
        <w:rPr>
          <w:rFonts w:cs="Times New Roman"/>
          <w:szCs w:val="20"/>
        </w:rPr>
        <w:t xml:space="preserve">no podría ser empleado en otros casos; </w:t>
      </w:r>
      <w:r w:rsidR="008F278B" w:rsidRPr="00095212">
        <w:rPr>
          <w:rFonts w:cs="Times New Roman"/>
          <w:szCs w:val="20"/>
        </w:rPr>
        <w:t>c</w:t>
      </w:r>
      <w:r w:rsidRPr="00095212">
        <w:rPr>
          <w:rFonts w:cs="Times New Roman"/>
          <w:szCs w:val="20"/>
        </w:rPr>
        <w:t xml:space="preserve">) </w:t>
      </w:r>
      <w:r w:rsidR="008F278B" w:rsidRPr="00095212">
        <w:rPr>
          <w:rFonts w:cs="Times New Roman"/>
          <w:szCs w:val="20"/>
        </w:rPr>
        <w:t xml:space="preserve">no se aprecia que el peritaje propuesto aporte aspectos novedosos para la resolución del presente caso; d) </w:t>
      </w:r>
      <w:r w:rsidRPr="00095212">
        <w:rPr>
          <w:rFonts w:cs="Times New Roman"/>
          <w:szCs w:val="20"/>
        </w:rPr>
        <w:t>la Comisión hace alusión a la existencia de un supuesto problema de alcance estructural relativo al incumplimiento de sentencias judiciales sin referir a la existencia de otros casos en trámite ante la Comisi</w:t>
      </w:r>
      <w:r w:rsidR="008F278B" w:rsidRPr="00095212">
        <w:rPr>
          <w:rFonts w:cs="Times New Roman"/>
          <w:szCs w:val="20"/>
        </w:rPr>
        <w:t>ón que involucre</w:t>
      </w:r>
      <w:r w:rsidR="00DD7378">
        <w:rPr>
          <w:rFonts w:cs="Times New Roman"/>
          <w:szCs w:val="20"/>
        </w:rPr>
        <w:t>n</w:t>
      </w:r>
      <w:r w:rsidR="008F278B" w:rsidRPr="00095212">
        <w:rPr>
          <w:rFonts w:cs="Times New Roman"/>
          <w:szCs w:val="20"/>
        </w:rPr>
        <w:t xml:space="preserve"> dicha temática, y</w:t>
      </w:r>
      <w:r w:rsidRPr="00095212">
        <w:rPr>
          <w:rFonts w:cs="Times New Roman"/>
          <w:szCs w:val="20"/>
        </w:rPr>
        <w:t xml:space="preserve"> </w:t>
      </w:r>
      <w:r w:rsidR="008F278B" w:rsidRPr="00095212">
        <w:rPr>
          <w:rFonts w:cs="Times New Roman"/>
          <w:szCs w:val="20"/>
        </w:rPr>
        <w:t>e</w:t>
      </w:r>
      <w:r w:rsidRPr="00095212">
        <w:rPr>
          <w:rFonts w:cs="Times New Roman"/>
          <w:szCs w:val="20"/>
        </w:rPr>
        <w:t xml:space="preserve">) la referencia a derechos económicos, sociales y culturales </w:t>
      </w:r>
      <w:r w:rsidR="008F278B" w:rsidRPr="00095212">
        <w:rPr>
          <w:rFonts w:cs="Times New Roman"/>
          <w:szCs w:val="20"/>
        </w:rPr>
        <w:t xml:space="preserve">en el objeto propuesto </w:t>
      </w:r>
      <w:r w:rsidRPr="00095212">
        <w:rPr>
          <w:rFonts w:cs="Times New Roman"/>
          <w:szCs w:val="20"/>
        </w:rPr>
        <w:t xml:space="preserve">resulta </w:t>
      </w:r>
      <w:r w:rsidR="008F278B" w:rsidRPr="00095212">
        <w:rPr>
          <w:rFonts w:cs="Times New Roman"/>
          <w:szCs w:val="20"/>
        </w:rPr>
        <w:t>“</w:t>
      </w:r>
      <w:r w:rsidRPr="00095212">
        <w:rPr>
          <w:rFonts w:cs="Times New Roman"/>
          <w:szCs w:val="20"/>
        </w:rPr>
        <w:t>excesivamente amplio</w:t>
      </w:r>
      <w:r w:rsidR="008F278B" w:rsidRPr="00095212">
        <w:rPr>
          <w:rFonts w:cs="Times New Roman"/>
          <w:szCs w:val="20"/>
        </w:rPr>
        <w:t>”</w:t>
      </w:r>
      <w:r w:rsidRPr="00095212">
        <w:rPr>
          <w:rFonts w:cs="Times New Roman"/>
          <w:szCs w:val="20"/>
        </w:rPr>
        <w:t xml:space="preserve">, </w:t>
      </w:r>
      <w:r w:rsidR="008F278B" w:rsidRPr="00095212">
        <w:rPr>
          <w:rFonts w:cs="Times New Roman"/>
          <w:szCs w:val="20"/>
        </w:rPr>
        <w:t xml:space="preserve">pues no se circunscribe a la controversia del caso, la cual en principio se relaciona con la inejecución de una sentencia judicial, además de que </w:t>
      </w:r>
      <w:r w:rsidRPr="00095212">
        <w:rPr>
          <w:rFonts w:cs="Times New Roman"/>
          <w:szCs w:val="20"/>
        </w:rPr>
        <w:t>en el Informe de Fondo no se han establec</w:t>
      </w:r>
      <w:r w:rsidR="008F278B" w:rsidRPr="00095212">
        <w:rPr>
          <w:rFonts w:cs="Times New Roman"/>
          <w:szCs w:val="20"/>
        </w:rPr>
        <w:t>ido violaciones a derechos econó</w:t>
      </w:r>
      <w:r w:rsidRPr="00095212">
        <w:rPr>
          <w:rFonts w:cs="Times New Roman"/>
          <w:szCs w:val="20"/>
        </w:rPr>
        <w:t>micos, sociales y culturales por lo que</w:t>
      </w:r>
      <w:r w:rsidR="00095212" w:rsidRPr="00095212">
        <w:rPr>
          <w:rFonts w:cs="Times New Roman"/>
          <w:szCs w:val="20"/>
        </w:rPr>
        <w:t xml:space="preserve"> no forman parte de la controversia y no se deben incorporar en el objeto del peritaje “aspectos adicionales que no se vinculan con el caso concreto”</w:t>
      </w:r>
      <w:r w:rsidRPr="00095212">
        <w:rPr>
          <w:rFonts w:cs="Times New Roman"/>
          <w:szCs w:val="20"/>
        </w:rPr>
        <w:t>.</w:t>
      </w:r>
      <w:r w:rsidR="00717C00" w:rsidRPr="00095212">
        <w:rPr>
          <w:rFonts w:cs="Times New Roman"/>
          <w:szCs w:val="20"/>
        </w:rPr>
        <w:t xml:space="preserve"> </w:t>
      </w:r>
    </w:p>
    <w:p w:rsidR="00DB6FF7" w:rsidRPr="004862A3" w:rsidRDefault="00DB6FF7" w:rsidP="00DB6FF7">
      <w:pPr>
        <w:pStyle w:val="NoSpacing"/>
        <w:numPr>
          <w:ilvl w:val="0"/>
          <w:numId w:val="0"/>
        </w:numPr>
        <w:rPr>
          <w:rFonts w:cs="Arial"/>
          <w:szCs w:val="20"/>
        </w:rPr>
      </w:pPr>
    </w:p>
    <w:p w:rsidR="00DB6FF7" w:rsidRPr="006C0B81" w:rsidRDefault="007257AD" w:rsidP="006C0B81">
      <w:pPr>
        <w:pStyle w:val="NoSpacing"/>
      </w:pPr>
      <w:r>
        <w:t>E</w:t>
      </w:r>
      <w:r w:rsidR="00DB6FF7" w:rsidRPr="0039005A">
        <w:t>l Presidente recuerda que el ofrecimiento de declaraciones periciales por parte de la Comisión, se fundamenta en el artículo 35.1.f</w:t>
      </w:r>
      <w:r w:rsidR="00DB6FF7" w:rsidRPr="0039005A">
        <w:rPr>
          <w:rStyle w:val="FootnoteReference"/>
          <w:sz w:val="16"/>
          <w:szCs w:val="16"/>
        </w:rPr>
        <w:footnoteReference w:id="8"/>
      </w:r>
      <w:r w:rsidR="00DB6FF7" w:rsidRPr="0039005A">
        <w:t xml:space="preserve"> del Reglamento, en donde se supedita el eventual ofrecimiento de peritos cuando se afecte de manera relevante el orden público interamericano de los derechos humanos, lo cual corresponde a la Comisión sustentar. </w:t>
      </w:r>
      <w:r w:rsidR="006C0B81">
        <w:t>En este sentido, esta Presidencia considera que</w:t>
      </w:r>
      <w:r w:rsidR="005A10CB">
        <w:t>, contrario a lo alegado por el Estado,</w:t>
      </w:r>
      <w:r w:rsidR="006C0B81">
        <w:t xml:space="preserve"> </w:t>
      </w:r>
      <w:r w:rsidR="005A10CB">
        <w:t>e</w:t>
      </w:r>
      <w:r w:rsidR="006C0B81">
        <w:t xml:space="preserve">l objeto del peritaje ofrecido por la Comisión </w:t>
      </w:r>
      <w:r w:rsidR="005A10CB">
        <w:t xml:space="preserve">sí </w:t>
      </w:r>
      <w:r w:rsidR="0039005A" w:rsidRPr="0039005A">
        <w:t xml:space="preserve">trasciende el interés </w:t>
      </w:r>
      <w:r>
        <w:t xml:space="preserve">de las partes en litigio </w:t>
      </w:r>
      <w:r w:rsidR="0039005A" w:rsidRPr="0039005A">
        <w:t xml:space="preserve">y </w:t>
      </w:r>
      <w:r>
        <w:t xml:space="preserve">el </w:t>
      </w:r>
      <w:r w:rsidR="0039005A" w:rsidRPr="0039005A">
        <w:t xml:space="preserve">objeto </w:t>
      </w:r>
      <w:r>
        <w:t xml:space="preserve">específico de este caso. El peritaje propuesto abarcaría </w:t>
      </w:r>
      <w:r w:rsidR="0039005A" w:rsidRPr="0039005A">
        <w:t>las obligaciones estatales en materia de protección de los derechos laborales al momento de privatizar una entidad pública</w:t>
      </w:r>
      <w:r w:rsidR="006C0B81">
        <w:t>,</w:t>
      </w:r>
      <w:r w:rsidR="0039005A">
        <w:t xml:space="preserve"> que serían aplicables en </w:t>
      </w:r>
      <w:r w:rsidR="006C0B81">
        <w:t>contextos similares de otros Estados que han llevado a cabo procesos de privatización de empresas estatales</w:t>
      </w:r>
      <w:r w:rsidR="0039005A" w:rsidRPr="0039005A">
        <w:t>.</w:t>
      </w:r>
      <w:r w:rsidR="0039005A">
        <w:t xml:space="preserve"> </w:t>
      </w:r>
      <w:r>
        <w:t xml:space="preserve">Por tanto, </w:t>
      </w:r>
      <w:r w:rsidR="0039005A">
        <w:rPr>
          <w:szCs w:val="20"/>
        </w:rPr>
        <w:t>el P</w:t>
      </w:r>
      <w:r w:rsidR="00DB6FF7" w:rsidRPr="0039005A">
        <w:rPr>
          <w:szCs w:val="20"/>
        </w:rPr>
        <w:t>residente considera que el peritaje propuesto por la Comisión resulta relevante para el orden público interamericano</w:t>
      </w:r>
      <w:r w:rsidR="006C0B81">
        <w:rPr>
          <w:szCs w:val="20"/>
        </w:rPr>
        <w:t>.</w:t>
      </w:r>
      <w:r w:rsidR="00DB6FF7" w:rsidRPr="006C0B81">
        <w:rPr>
          <w:rFonts w:cs="Arial"/>
          <w:szCs w:val="20"/>
        </w:rPr>
        <w:t xml:space="preserve"> </w:t>
      </w:r>
      <w:r w:rsidR="00D86CDB">
        <w:rPr>
          <w:rFonts w:cs="Arial"/>
          <w:szCs w:val="20"/>
        </w:rPr>
        <w:t>Por otra parte, respecto de las demás observaciones del Perú</w:t>
      </w:r>
      <w:r w:rsidR="00DB6FF7" w:rsidRPr="006C0B81">
        <w:rPr>
          <w:rFonts w:cs="Arial"/>
          <w:szCs w:val="20"/>
        </w:rPr>
        <w:t xml:space="preserve">, </w:t>
      </w:r>
      <w:r w:rsidR="009D5559">
        <w:rPr>
          <w:rFonts w:cs="Arial"/>
          <w:szCs w:val="20"/>
        </w:rPr>
        <w:t xml:space="preserve">se </w:t>
      </w:r>
      <w:r w:rsidR="00D86CDB">
        <w:rPr>
          <w:rFonts w:cs="Arial"/>
          <w:szCs w:val="20"/>
        </w:rPr>
        <w:t xml:space="preserve">reitera que </w:t>
      </w:r>
      <w:r w:rsidR="00DB6FF7" w:rsidRPr="006C0B81">
        <w:rPr>
          <w:szCs w:val="20"/>
        </w:rPr>
        <w:t xml:space="preserve">no corresponde </w:t>
      </w:r>
      <w:r w:rsidR="00DB6FF7" w:rsidRPr="00A438D2">
        <w:rPr>
          <w:szCs w:val="20"/>
        </w:rPr>
        <w:t xml:space="preserve">a </w:t>
      </w:r>
      <w:r w:rsidR="00A438D2" w:rsidRPr="00A438D2">
        <w:rPr>
          <w:szCs w:val="20"/>
        </w:rPr>
        <w:t>la Presidencia determinar dichos asuntos en</w:t>
      </w:r>
      <w:r w:rsidR="00DB6FF7" w:rsidRPr="00A438D2">
        <w:rPr>
          <w:szCs w:val="20"/>
        </w:rPr>
        <w:t xml:space="preserve"> la presente etapa procesal, pues constituyen alegatos sobre cuestiones que las partes pretenden demostrar en el presente litigio y cuyo eventual valor se determinará en las posibles etapas de fondo y reparaciones, de ser el caso.</w:t>
      </w:r>
      <w:r w:rsidR="00DB6FF7" w:rsidRPr="00A438D2">
        <w:rPr>
          <w:rFonts w:cs="Arial"/>
          <w:szCs w:val="20"/>
        </w:rPr>
        <w:t xml:space="preserve"> </w:t>
      </w:r>
      <w:r w:rsidR="00DB6FF7" w:rsidRPr="00A438D2">
        <w:rPr>
          <w:szCs w:val="20"/>
        </w:rPr>
        <w:t xml:space="preserve"> Consecuentemente, el Presidente estima pertinente admitir el dictamen pericial ofrecido por la Comisión, según el objeto y modalidad determinados en la parte r</w:t>
      </w:r>
      <w:r w:rsidR="00A438D2" w:rsidRPr="00A438D2">
        <w:rPr>
          <w:szCs w:val="20"/>
        </w:rPr>
        <w:t>esolutiva de la presente R</w:t>
      </w:r>
      <w:r w:rsidR="00DB6FF7" w:rsidRPr="00A438D2">
        <w:rPr>
          <w:szCs w:val="20"/>
        </w:rPr>
        <w:t>esolución.</w:t>
      </w:r>
    </w:p>
    <w:p w:rsidR="00DB6FF7" w:rsidRPr="002C5C24" w:rsidRDefault="00DB6FF7" w:rsidP="00DB6FF7">
      <w:pPr>
        <w:pStyle w:val="NoSpacing"/>
        <w:numPr>
          <w:ilvl w:val="0"/>
          <w:numId w:val="0"/>
        </w:numPr>
        <w:rPr>
          <w:rFonts w:cs="Arial"/>
          <w:szCs w:val="20"/>
        </w:rPr>
      </w:pPr>
    </w:p>
    <w:p w:rsidR="00DB6FF7" w:rsidRPr="002D50FA" w:rsidRDefault="00DB6FF7" w:rsidP="00DB6FF7">
      <w:pPr>
        <w:pStyle w:val="NoSpacing"/>
        <w:rPr>
          <w:rFonts w:cs="Times New Roman"/>
        </w:rPr>
      </w:pPr>
      <w:r>
        <w:rPr>
          <w:rFonts w:cs="Arial"/>
          <w:szCs w:val="20"/>
        </w:rPr>
        <w:t xml:space="preserve">En </w:t>
      </w:r>
      <w:r w:rsidR="00A438D2">
        <w:rPr>
          <w:rFonts w:cs="Arial"/>
          <w:szCs w:val="20"/>
        </w:rPr>
        <w:t xml:space="preserve">cuanto </w:t>
      </w:r>
      <w:r>
        <w:rPr>
          <w:rFonts w:cs="Arial"/>
          <w:szCs w:val="20"/>
        </w:rPr>
        <w:t xml:space="preserve">a la solicitud de la Comisión </w:t>
      </w:r>
      <w:r w:rsidR="00A438D2">
        <w:rPr>
          <w:rFonts w:cs="Arial"/>
          <w:szCs w:val="20"/>
        </w:rPr>
        <w:t xml:space="preserve">para </w:t>
      </w:r>
      <w:r>
        <w:rPr>
          <w:rFonts w:cs="Arial"/>
          <w:szCs w:val="20"/>
        </w:rPr>
        <w:t xml:space="preserve">interrogar a los peritos ofrecidos por el Estado y las representantes, </w:t>
      </w:r>
      <w:r>
        <w:t xml:space="preserve">el Presidente considera que el objeto de ambos dictámenes tiene relación con el peritaje ofrecido por la Comisión y resulta de importancia para el orden público interamericano, por lo que resulta procedente, conforme a los artículos 50.5 y 52.3 del Reglamento, conceder oportunidad a la Comisión para formular preguntas al perito </w:t>
      </w:r>
      <w:r w:rsidRPr="002C5C24">
        <w:rPr>
          <w:rFonts w:cs="Times New Roman"/>
          <w:bCs/>
          <w:szCs w:val="20"/>
        </w:rPr>
        <w:t>C</w:t>
      </w:r>
      <w:r w:rsidR="00A438D2">
        <w:rPr>
          <w:rFonts w:cs="Times New Roman"/>
          <w:bCs/>
          <w:szCs w:val="20"/>
        </w:rPr>
        <w:t>é</w:t>
      </w:r>
      <w:r w:rsidRPr="002C5C24">
        <w:rPr>
          <w:rFonts w:cs="Times New Roman"/>
          <w:bCs/>
          <w:szCs w:val="20"/>
        </w:rPr>
        <w:t>sar Gonz</w:t>
      </w:r>
      <w:r w:rsidR="00A438D2">
        <w:rPr>
          <w:rFonts w:cs="Times New Roman"/>
          <w:bCs/>
          <w:szCs w:val="20"/>
        </w:rPr>
        <w:t>á</w:t>
      </w:r>
      <w:r w:rsidRPr="002C5C24">
        <w:rPr>
          <w:rFonts w:cs="Times New Roman"/>
          <w:bCs/>
          <w:szCs w:val="20"/>
        </w:rPr>
        <w:t>le</w:t>
      </w:r>
      <w:r w:rsidR="00A438D2">
        <w:rPr>
          <w:rFonts w:cs="Times New Roman"/>
          <w:bCs/>
          <w:szCs w:val="20"/>
        </w:rPr>
        <w:t>s</w:t>
      </w:r>
      <w:r w:rsidRPr="002C5C24">
        <w:rPr>
          <w:rFonts w:cs="Times New Roman"/>
          <w:bCs/>
          <w:szCs w:val="20"/>
        </w:rPr>
        <w:t xml:space="preserve"> Hunt</w:t>
      </w:r>
      <w:r w:rsidRPr="002C5C24">
        <w:t xml:space="preserve"> </w:t>
      </w:r>
      <w:r>
        <w:t xml:space="preserve">y a la perita </w:t>
      </w:r>
      <w:r w:rsidR="00935EA1">
        <w:rPr>
          <w:rFonts w:cs="Times New Roman"/>
          <w:szCs w:val="20"/>
        </w:rPr>
        <w:t>Maria Virgí</w:t>
      </w:r>
      <w:r w:rsidRPr="004862A3">
        <w:rPr>
          <w:rFonts w:cs="Times New Roman"/>
          <w:szCs w:val="20"/>
        </w:rPr>
        <w:t>nia B</w:t>
      </w:r>
      <w:r w:rsidR="00D85BAE">
        <w:rPr>
          <w:rFonts w:cs="Times New Roman"/>
          <w:szCs w:val="20"/>
        </w:rPr>
        <w:t>rá</w:t>
      </w:r>
      <w:r w:rsidRPr="004862A3">
        <w:rPr>
          <w:rFonts w:cs="Times New Roman"/>
          <w:szCs w:val="20"/>
        </w:rPr>
        <w:t>s Gomes</w:t>
      </w:r>
      <w:r>
        <w:rPr>
          <w:rFonts w:cs="Times New Roman"/>
          <w:szCs w:val="20"/>
        </w:rPr>
        <w:t>.</w:t>
      </w:r>
    </w:p>
    <w:p w:rsidR="00DB6FF7" w:rsidRDefault="00DB6FF7" w:rsidP="00DB6FF7">
      <w:pPr>
        <w:pStyle w:val="Heading1"/>
        <w:numPr>
          <w:ilvl w:val="0"/>
          <w:numId w:val="0"/>
        </w:numPr>
        <w:ind w:left="644"/>
      </w:pPr>
    </w:p>
    <w:p w:rsidR="0001058E" w:rsidRPr="004862A3" w:rsidRDefault="002D50FA" w:rsidP="004862A3">
      <w:pPr>
        <w:pStyle w:val="Heading1"/>
      </w:pPr>
      <w:r>
        <w:t>Sobre la solicitud de trasladar al presente caso</w:t>
      </w:r>
      <w:r w:rsidR="008869F9" w:rsidRPr="004862A3">
        <w:t xml:space="preserve"> </w:t>
      </w:r>
      <w:r w:rsidR="00DC08EE" w:rsidRPr="004862A3">
        <w:t>peritajes rendidos en l</w:t>
      </w:r>
      <w:r w:rsidR="00457883">
        <w:t>o</w:t>
      </w:r>
      <w:r w:rsidR="00A438D2">
        <w:t>s casos Canales Huapaya y otros</w:t>
      </w:r>
      <w:r w:rsidR="00457883">
        <w:t xml:space="preserve">  </w:t>
      </w:r>
      <w:r w:rsidR="00DC08EE" w:rsidRPr="004862A3">
        <w:t>y Trabajador</w:t>
      </w:r>
      <w:r w:rsidR="00457883">
        <w:t xml:space="preserve">es Cesados de Petroperú y otros, ambos </w:t>
      </w:r>
      <w:r w:rsidR="00DC08EE" w:rsidRPr="004862A3">
        <w:t>Vs. Perú</w:t>
      </w:r>
    </w:p>
    <w:p w:rsidR="0001058E" w:rsidRPr="004862A3" w:rsidRDefault="0001058E" w:rsidP="004862A3">
      <w:pPr>
        <w:autoSpaceDE w:val="0"/>
        <w:autoSpaceDN w:val="0"/>
        <w:adjustRightInd w:val="0"/>
        <w:spacing w:after="0" w:line="240" w:lineRule="auto"/>
        <w:jc w:val="both"/>
        <w:rPr>
          <w:rFonts w:ascii="Verdana" w:hAnsi="Verdana" w:cs="Arial"/>
          <w:b/>
          <w:i/>
          <w:iCs/>
          <w:sz w:val="20"/>
          <w:szCs w:val="20"/>
        </w:rPr>
      </w:pPr>
    </w:p>
    <w:p w:rsidR="00431FA5" w:rsidRPr="00864745" w:rsidRDefault="00F53EA7" w:rsidP="00864745">
      <w:pPr>
        <w:pStyle w:val="NoSpacing"/>
        <w:rPr>
          <w:rFonts w:ascii="Arial" w:hAnsi="Arial" w:cs="Arial"/>
          <w:sz w:val="24"/>
        </w:rPr>
      </w:pPr>
      <w:r>
        <w:t>La</w:t>
      </w:r>
      <w:r w:rsidR="00844E15" w:rsidRPr="004862A3">
        <w:t xml:space="preserve">s </w:t>
      </w:r>
      <w:r w:rsidR="00844E15" w:rsidRPr="004862A3">
        <w:rPr>
          <w:b/>
          <w:i/>
        </w:rPr>
        <w:t xml:space="preserve">representantes </w:t>
      </w:r>
      <w:r w:rsidR="00844E15" w:rsidRPr="004862A3">
        <w:t xml:space="preserve">solicitaron la incorporación </w:t>
      </w:r>
      <w:r w:rsidR="008B193F" w:rsidRPr="004862A3">
        <w:t xml:space="preserve">al presente proceso los siguientes peritajes: </w:t>
      </w:r>
      <w:r w:rsidR="00FB0C9A" w:rsidRPr="004862A3">
        <w:t xml:space="preserve"> </w:t>
      </w:r>
      <w:r w:rsidR="002F65C4" w:rsidRPr="004862A3">
        <w:t>a) Carlos Alza Barco</w:t>
      </w:r>
      <w:r w:rsidR="001027F3" w:rsidRPr="004862A3">
        <w:rPr>
          <w:rStyle w:val="FootnoteReference"/>
          <w:szCs w:val="20"/>
        </w:rPr>
        <w:footnoteReference w:id="9"/>
      </w:r>
      <w:r w:rsidR="002F65C4" w:rsidRPr="004862A3">
        <w:t>, y b) Lourdes Flores Nano</w:t>
      </w:r>
      <w:r w:rsidR="001027F3" w:rsidRPr="004862A3">
        <w:rPr>
          <w:rStyle w:val="FootnoteReference"/>
          <w:szCs w:val="20"/>
        </w:rPr>
        <w:footnoteReference w:id="10"/>
      </w:r>
      <w:r w:rsidR="002F65C4" w:rsidRPr="004862A3">
        <w:t xml:space="preserve">, ambos rendidos en el caso </w:t>
      </w:r>
      <w:r w:rsidR="008B193F" w:rsidRPr="004862A3">
        <w:t xml:space="preserve"> </w:t>
      </w:r>
      <w:r w:rsidR="002F65C4" w:rsidRPr="004862A3">
        <w:rPr>
          <w:rFonts w:cs="Arial"/>
          <w:i/>
          <w:iCs/>
        </w:rPr>
        <w:t xml:space="preserve">Canales Huapaya y otros Vs. Perú; </w:t>
      </w:r>
      <w:r w:rsidR="002F65C4" w:rsidRPr="004862A3">
        <w:rPr>
          <w:rFonts w:cs="Arial"/>
          <w:iCs/>
        </w:rPr>
        <w:t>c) Jorge Eusebio Marco Zanconetti</w:t>
      </w:r>
      <w:r w:rsidR="001027F3" w:rsidRPr="004862A3">
        <w:rPr>
          <w:rStyle w:val="FootnoteReference"/>
          <w:rFonts w:cs="Arial"/>
          <w:iCs/>
          <w:szCs w:val="20"/>
        </w:rPr>
        <w:footnoteReference w:id="11"/>
      </w:r>
      <w:r w:rsidR="00431FA5" w:rsidRPr="004862A3">
        <w:rPr>
          <w:rFonts w:cs="Arial"/>
          <w:iCs/>
        </w:rPr>
        <w:t>,</w:t>
      </w:r>
      <w:r w:rsidR="002F65C4" w:rsidRPr="004862A3">
        <w:rPr>
          <w:rFonts w:cs="Arial"/>
          <w:i/>
          <w:iCs/>
        </w:rPr>
        <w:t xml:space="preserve"> </w:t>
      </w:r>
      <w:r w:rsidR="002F65C4" w:rsidRPr="004862A3">
        <w:rPr>
          <w:rFonts w:cs="Arial"/>
          <w:iCs/>
        </w:rPr>
        <w:t>y d)</w:t>
      </w:r>
      <w:r w:rsidR="00BA2AC4" w:rsidRPr="004862A3">
        <w:rPr>
          <w:rFonts w:cs="Arial"/>
          <w:iCs/>
        </w:rPr>
        <w:t xml:space="preserve"> </w:t>
      </w:r>
      <w:r w:rsidR="00BA2AC4" w:rsidRPr="004862A3">
        <w:rPr>
          <w:rFonts w:cs="Arial"/>
        </w:rPr>
        <w:t>Jorge Guido Bernedo Alvarado</w:t>
      </w:r>
      <w:r w:rsidR="001027F3" w:rsidRPr="004862A3">
        <w:rPr>
          <w:rStyle w:val="FootnoteReference"/>
          <w:rFonts w:cs="Arial"/>
          <w:szCs w:val="20"/>
        </w:rPr>
        <w:footnoteReference w:id="12"/>
      </w:r>
      <w:r w:rsidR="003438F7">
        <w:rPr>
          <w:rFonts w:cs="Arial"/>
        </w:rPr>
        <w:t>,</w:t>
      </w:r>
      <w:r w:rsidR="002F65C4" w:rsidRPr="004862A3">
        <w:rPr>
          <w:rFonts w:cs="Arial"/>
          <w:i/>
          <w:iCs/>
        </w:rPr>
        <w:t xml:space="preserve"> </w:t>
      </w:r>
      <w:r w:rsidR="002F65C4" w:rsidRPr="004862A3">
        <w:rPr>
          <w:rFonts w:cs="Arial"/>
          <w:iCs/>
        </w:rPr>
        <w:t>ambos rendidos en el caso</w:t>
      </w:r>
      <w:r w:rsidR="002F65C4" w:rsidRPr="004862A3">
        <w:rPr>
          <w:rFonts w:cs="Arial"/>
          <w:i/>
          <w:iCs/>
        </w:rPr>
        <w:t xml:space="preserve"> </w:t>
      </w:r>
      <w:r w:rsidR="002F65C4" w:rsidRPr="004862A3">
        <w:rPr>
          <w:bCs/>
          <w:i/>
          <w:iCs/>
        </w:rPr>
        <w:t>Trabajadores Cesados de Petroperú y otros Vs. Perú.</w:t>
      </w:r>
      <w:r w:rsidR="004F7E9A" w:rsidRPr="004862A3">
        <w:rPr>
          <w:bCs/>
          <w:i/>
          <w:iCs/>
        </w:rPr>
        <w:t xml:space="preserve"> </w:t>
      </w:r>
      <w:r w:rsidR="00864745" w:rsidRPr="00864745">
        <w:rPr>
          <w:bCs/>
          <w:iCs/>
          <w:szCs w:val="20"/>
        </w:rPr>
        <w:t>Las defensoras fundamentaron esta so</w:t>
      </w:r>
      <w:r w:rsidR="003438F7">
        <w:rPr>
          <w:bCs/>
          <w:iCs/>
          <w:szCs w:val="20"/>
        </w:rPr>
        <w:t>licitud debido a la necesidad</w:t>
      </w:r>
      <w:r w:rsidR="00864745" w:rsidRPr="00864745">
        <w:rPr>
          <w:bCs/>
          <w:iCs/>
          <w:szCs w:val="20"/>
        </w:rPr>
        <w:t xml:space="preserve"> “</w:t>
      </w:r>
      <w:r w:rsidR="00864745" w:rsidRPr="00864745">
        <w:rPr>
          <w:rFonts w:cs="Arial"/>
          <w:szCs w:val="20"/>
        </w:rPr>
        <w:t>de documentación del contexto general y sistemático de inejecución de fallos judiciales relativos a la implementación de los derechos sociales a partir de la década de</w:t>
      </w:r>
      <w:r w:rsidR="003438F7">
        <w:rPr>
          <w:rFonts w:cs="Arial"/>
          <w:szCs w:val="20"/>
        </w:rPr>
        <w:t>l</w:t>
      </w:r>
      <w:r w:rsidR="00864745" w:rsidRPr="00864745">
        <w:rPr>
          <w:rFonts w:cs="Arial"/>
          <w:szCs w:val="20"/>
        </w:rPr>
        <w:t xml:space="preserve"> noventa en Perú”.</w:t>
      </w:r>
      <w:r w:rsidR="004624E5" w:rsidRPr="004862A3">
        <w:rPr>
          <w:rFonts w:cs="Arial"/>
        </w:rPr>
        <w:t xml:space="preserve"> </w:t>
      </w:r>
      <w:r w:rsidR="00431FA5" w:rsidRPr="004862A3">
        <w:rPr>
          <w:bCs/>
          <w:iCs/>
        </w:rPr>
        <w:t xml:space="preserve">El </w:t>
      </w:r>
      <w:r w:rsidR="00431FA5" w:rsidRPr="004862A3">
        <w:rPr>
          <w:b/>
          <w:bCs/>
          <w:i/>
          <w:iCs/>
        </w:rPr>
        <w:t>Estado</w:t>
      </w:r>
      <w:r w:rsidR="00431FA5" w:rsidRPr="004862A3">
        <w:rPr>
          <w:bCs/>
          <w:iCs/>
        </w:rPr>
        <w:t xml:space="preserve"> </w:t>
      </w:r>
      <w:r w:rsidR="004C60D2" w:rsidRPr="004862A3">
        <w:rPr>
          <w:bCs/>
          <w:iCs/>
        </w:rPr>
        <w:t>sostuvo que los peritajes no están relacionados con</w:t>
      </w:r>
      <w:r w:rsidR="00CF7C1C" w:rsidRPr="004862A3">
        <w:rPr>
          <w:bCs/>
          <w:iCs/>
        </w:rPr>
        <w:t xml:space="preserve"> el </w:t>
      </w:r>
      <w:r w:rsidR="00DF4EC4" w:rsidRPr="004862A3">
        <w:rPr>
          <w:bCs/>
          <w:iCs/>
        </w:rPr>
        <w:t>tema central del presente caso</w:t>
      </w:r>
      <w:r w:rsidR="002C5C24">
        <w:rPr>
          <w:bCs/>
          <w:iCs/>
        </w:rPr>
        <w:t>,</w:t>
      </w:r>
      <w:r w:rsidR="00CF7C1C" w:rsidRPr="004862A3">
        <w:rPr>
          <w:bCs/>
          <w:iCs/>
        </w:rPr>
        <w:t xml:space="preserve"> pues se centran sobre ceses colectivos y no en la falta de ejecución de sentencias judiciales por falta de pago de pensiones</w:t>
      </w:r>
      <w:r w:rsidR="00DF4EC4" w:rsidRPr="004862A3">
        <w:rPr>
          <w:bCs/>
          <w:iCs/>
        </w:rPr>
        <w:t xml:space="preserve">. </w:t>
      </w:r>
      <w:r w:rsidR="00F05D77">
        <w:rPr>
          <w:bCs/>
          <w:iCs/>
        </w:rPr>
        <w:t>E</w:t>
      </w:r>
      <w:r w:rsidR="00DF4EC4" w:rsidRPr="004862A3">
        <w:rPr>
          <w:bCs/>
          <w:iCs/>
        </w:rPr>
        <w:t>n re</w:t>
      </w:r>
      <w:r>
        <w:rPr>
          <w:bCs/>
          <w:iCs/>
        </w:rPr>
        <w:t xml:space="preserve">spuesta </w:t>
      </w:r>
      <w:r w:rsidR="00F05D77">
        <w:rPr>
          <w:bCs/>
          <w:iCs/>
        </w:rPr>
        <w:t xml:space="preserve">a lo manifestado por </w:t>
      </w:r>
      <w:r>
        <w:rPr>
          <w:bCs/>
          <w:iCs/>
        </w:rPr>
        <w:t>la</w:t>
      </w:r>
      <w:r w:rsidR="00DF4EC4" w:rsidRPr="004862A3">
        <w:rPr>
          <w:bCs/>
          <w:iCs/>
        </w:rPr>
        <w:t xml:space="preserve">s representantes </w:t>
      </w:r>
      <w:r w:rsidR="00F05D77">
        <w:rPr>
          <w:bCs/>
          <w:iCs/>
        </w:rPr>
        <w:t xml:space="preserve">en cuanto a que </w:t>
      </w:r>
      <w:r w:rsidR="00DF4EC4" w:rsidRPr="004862A3">
        <w:rPr>
          <w:bCs/>
          <w:iCs/>
        </w:rPr>
        <w:t xml:space="preserve">los hechos del caso ocurrieron dentro del mismo contexto de privatización de empresas estatales, el Estado argumentó que en los peritajes sólo se hace mención de tal contexto de manera tangencial y no sustancial. Por tanto, el </w:t>
      </w:r>
      <w:r w:rsidR="00F05D77">
        <w:rPr>
          <w:bCs/>
          <w:iCs/>
        </w:rPr>
        <w:t xml:space="preserve">Perú </w:t>
      </w:r>
      <w:r w:rsidR="00DF4EC4" w:rsidRPr="004862A3">
        <w:rPr>
          <w:bCs/>
          <w:iCs/>
        </w:rPr>
        <w:t>consideró que no corresponde el traslado de los peritajes rendidos en el caso</w:t>
      </w:r>
      <w:r w:rsidR="00DF4EC4" w:rsidRPr="004862A3">
        <w:rPr>
          <w:bCs/>
          <w:i/>
          <w:iCs/>
        </w:rPr>
        <w:t xml:space="preserve"> Trabajadores Cesados de Petroperú y otros Vs. Perú</w:t>
      </w:r>
      <w:r w:rsidR="00DA3068">
        <w:rPr>
          <w:bCs/>
          <w:i/>
          <w:iCs/>
        </w:rPr>
        <w:t xml:space="preserve">. </w:t>
      </w:r>
      <w:r w:rsidR="00DA3068">
        <w:rPr>
          <w:bCs/>
          <w:iCs/>
        </w:rPr>
        <w:t xml:space="preserve">Por las mismas razones, el Estado objetó </w:t>
      </w:r>
      <w:r w:rsidR="00DF4EC4" w:rsidRPr="004862A3">
        <w:rPr>
          <w:bCs/>
          <w:iCs/>
        </w:rPr>
        <w:t xml:space="preserve">el traslado del peritaje de Lourdes Flores Nano en el caso </w:t>
      </w:r>
      <w:r w:rsidR="00DF4EC4" w:rsidRPr="004862A3">
        <w:rPr>
          <w:bCs/>
          <w:i/>
          <w:iCs/>
        </w:rPr>
        <w:t>Canales Huayapa y otros Vs. Perú</w:t>
      </w:r>
      <w:r w:rsidR="00DF4EC4" w:rsidRPr="004862A3">
        <w:rPr>
          <w:bCs/>
          <w:iCs/>
        </w:rPr>
        <w:t xml:space="preserve">, más no objetó el traslado del peritaje de Carlos Alza Blanco rendido en el mismo caso. </w:t>
      </w:r>
    </w:p>
    <w:p w:rsidR="00971364" w:rsidRPr="004862A3" w:rsidRDefault="00971364" w:rsidP="004862A3">
      <w:pPr>
        <w:pStyle w:val="NoSpacing"/>
        <w:numPr>
          <w:ilvl w:val="0"/>
          <w:numId w:val="0"/>
        </w:numPr>
        <w:rPr>
          <w:rFonts w:cs="Arial"/>
          <w:i/>
          <w:iCs/>
          <w:szCs w:val="20"/>
        </w:rPr>
      </w:pPr>
    </w:p>
    <w:p w:rsidR="00F31DFD" w:rsidRPr="004862A3" w:rsidRDefault="001027F3" w:rsidP="004862A3">
      <w:pPr>
        <w:pStyle w:val="NoSpacing"/>
        <w:rPr>
          <w:rFonts w:cs="Arial"/>
          <w:i/>
          <w:iCs/>
          <w:szCs w:val="20"/>
        </w:rPr>
      </w:pPr>
      <w:r w:rsidRPr="004862A3">
        <w:rPr>
          <w:szCs w:val="20"/>
        </w:rPr>
        <w:t xml:space="preserve">Esta Presidencia </w:t>
      </w:r>
      <w:r w:rsidR="00F31DFD" w:rsidRPr="004862A3">
        <w:rPr>
          <w:szCs w:val="20"/>
        </w:rPr>
        <w:t>reitera que la incorporación de dictámenes periciales rendidos en otros casos al expediente de un caso en trámite no significa que tales elementos tengan el valor o peso probatorio de u</w:t>
      </w:r>
      <w:r w:rsidRPr="004862A3">
        <w:rPr>
          <w:szCs w:val="20"/>
        </w:rPr>
        <w:t>n dictamen pericial. Así</w:t>
      </w:r>
      <w:r w:rsidR="00F31DFD" w:rsidRPr="004862A3">
        <w:rPr>
          <w:szCs w:val="20"/>
        </w:rPr>
        <w:t>, en oportunidades anteriores</w:t>
      </w:r>
      <w:r w:rsidRPr="004862A3">
        <w:rPr>
          <w:szCs w:val="20"/>
        </w:rPr>
        <w:t>,</w:t>
      </w:r>
      <w:r w:rsidR="00F31DFD" w:rsidRPr="004862A3">
        <w:rPr>
          <w:szCs w:val="20"/>
        </w:rPr>
        <w:t xml:space="preserve"> la Presidencia de la Corte ha considerado pertinente el traslado de peritajes rendidos en otros casos, incluso contra Estados distintos, como elementos documentales para que este Tribunal determine su admisibilidad y valor probatorio en el momento procesal oportuno, tomando en consideración las observaciones presentadas por las partes en ejercicio de su derecho de defensa</w:t>
      </w:r>
      <w:r w:rsidR="00F31DFD" w:rsidRPr="004862A3">
        <w:rPr>
          <w:rStyle w:val="FootnoteReference"/>
          <w:szCs w:val="20"/>
        </w:rPr>
        <w:footnoteReference w:id="13"/>
      </w:r>
      <w:r w:rsidR="00F31DFD" w:rsidRPr="004862A3">
        <w:rPr>
          <w:szCs w:val="20"/>
        </w:rPr>
        <w:t>.</w:t>
      </w:r>
      <w:r w:rsidR="00E73D4D">
        <w:rPr>
          <w:szCs w:val="20"/>
        </w:rPr>
        <w:t xml:space="preserve"> </w:t>
      </w:r>
    </w:p>
    <w:p w:rsidR="00BC4005" w:rsidRPr="004862A3" w:rsidRDefault="00BC4005" w:rsidP="004862A3">
      <w:pPr>
        <w:pStyle w:val="NoSpacing"/>
        <w:numPr>
          <w:ilvl w:val="0"/>
          <w:numId w:val="0"/>
        </w:numPr>
        <w:rPr>
          <w:rFonts w:cs="Arial"/>
          <w:i/>
          <w:iCs/>
          <w:szCs w:val="20"/>
        </w:rPr>
      </w:pPr>
    </w:p>
    <w:p w:rsidR="0001058E" w:rsidRPr="004862A3" w:rsidRDefault="001027F3" w:rsidP="004862A3">
      <w:pPr>
        <w:pStyle w:val="NoSpacing"/>
        <w:rPr>
          <w:szCs w:val="20"/>
        </w:rPr>
      </w:pPr>
      <w:r w:rsidRPr="004862A3">
        <w:rPr>
          <w:szCs w:val="20"/>
        </w:rPr>
        <w:t>Por tanto, en atención a los principios de economía y celeridad procesales, el Presidente considera oportuno incorporar los referidos peritajes al acervo probatorio del presente caso.</w:t>
      </w:r>
      <w:r w:rsidR="00A201AF" w:rsidRPr="004862A3">
        <w:rPr>
          <w:szCs w:val="20"/>
        </w:rPr>
        <w:t xml:space="preserve"> En particular, el Presidente considera que, sin prejuzgar sobre el fondo del asunto, </w:t>
      </w:r>
      <w:r w:rsidR="00CC67CE" w:rsidRPr="004862A3">
        <w:rPr>
          <w:szCs w:val="20"/>
        </w:rPr>
        <w:t>los mencionados</w:t>
      </w:r>
      <w:r w:rsidR="00A201AF" w:rsidRPr="004862A3">
        <w:rPr>
          <w:szCs w:val="20"/>
        </w:rPr>
        <w:t xml:space="preserve"> </w:t>
      </w:r>
      <w:r w:rsidR="00CC67CE" w:rsidRPr="004862A3">
        <w:rPr>
          <w:szCs w:val="20"/>
        </w:rPr>
        <w:t>peritajes</w:t>
      </w:r>
      <w:r w:rsidR="00A201AF" w:rsidRPr="004862A3">
        <w:rPr>
          <w:szCs w:val="20"/>
        </w:rPr>
        <w:t xml:space="preserve"> podría</w:t>
      </w:r>
      <w:r w:rsidR="00CC67CE" w:rsidRPr="004862A3">
        <w:rPr>
          <w:szCs w:val="20"/>
        </w:rPr>
        <w:t>n</w:t>
      </w:r>
      <w:r w:rsidR="00A201AF" w:rsidRPr="004862A3">
        <w:rPr>
          <w:szCs w:val="20"/>
        </w:rPr>
        <w:t xml:space="preserve"> ser útil</w:t>
      </w:r>
      <w:r w:rsidR="00CC67CE" w:rsidRPr="004862A3">
        <w:rPr>
          <w:szCs w:val="20"/>
        </w:rPr>
        <w:t>es</w:t>
      </w:r>
      <w:r w:rsidR="00A201AF" w:rsidRPr="004862A3">
        <w:rPr>
          <w:szCs w:val="20"/>
        </w:rPr>
        <w:t xml:space="preserve"> en función de los alegat</w:t>
      </w:r>
      <w:r w:rsidR="002E4B63" w:rsidRPr="004862A3">
        <w:rPr>
          <w:szCs w:val="20"/>
        </w:rPr>
        <w:t xml:space="preserve">os que las partes y la Comisión </w:t>
      </w:r>
      <w:r w:rsidR="00A201AF" w:rsidRPr="004862A3">
        <w:rPr>
          <w:szCs w:val="20"/>
        </w:rPr>
        <w:t>pretenden demostrar en el presente litigio</w:t>
      </w:r>
      <w:r w:rsidR="00E00DC7" w:rsidRPr="004862A3">
        <w:rPr>
          <w:rStyle w:val="FootnoteReference"/>
          <w:szCs w:val="20"/>
        </w:rPr>
        <w:footnoteReference w:id="14"/>
      </w:r>
      <w:r w:rsidR="00A201AF" w:rsidRPr="004862A3">
        <w:rPr>
          <w:szCs w:val="20"/>
        </w:rPr>
        <w:t xml:space="preserve">. </w:t>
      </w:r>
      <w:r w:rsidR="00CC67CE" w:rsidRPr="004862A3">
        <w:rPr>
          <w:szCs w:val="20"/>
        </w:rPr>
        <w:t>Así</w:t>
      </w:r>
      <w:r w:rsidR="00A201AF" w:rsidRPr="004862A3">
        <w:rPr>
          <w:szCs w:val="20"/>
        </w:rPr>
        <w:t>, esta Presidencia considera</w:t>
      </w:r>
      <w:r w:rsidR="00CC67CE" w:rsidRPr="004862A3">
        <w:rPr>
          <w:szCs w:val="20"/>
        </w:rPr>
        <w:t xml:space="preserve"> </w:t>
      </w:r>
      <w:r w:rsidR="00A201AF" w:rsidRPr="004862A3">
        <w:rPr>
          <w:szCs w:val="20"/>
        </w:rPr>
        <w:t>oportuno incorporar al acervo probatorio del presente caso,</w:t>
      </w:r>
      <w:r w:rsidR="00617C8F" w:rsidRPr="004862A3">
        <w:rPr>
          <w:szCs w:val="20"/>
        </w:rPr>
        <w:t xml:space="preserve"> el dictamen pericial de Carlos Alza Barco, </w:t>
      </w:r>
      <w:r w:rsidR="006F0253" w:rsidRPr="004862A3">
        <w:rPr>
          <w:szCs w:val="20"/>
        </w:rPr>
        <w:t>junto con</w:t>
      </w:r>
      <w:r w:rsidR="00617C8F" w:rsidRPr="004862A3">
        <w:rPr>
          <w:szCs w:val="20"/>
        </w:rPr>
        <w:t xml:space="preserve"> la grabación</w:t>
      </w:r>
      <w:r w:rsidR="006F0253" w:rsidRPr="004862A3">
        <w:rPr>
          <w:szCs w:val="20"/>
        </w:rPr>
        <w:t xml:space="preserve"> </w:t>
      </w:r>
      <w:r w:rsidR="00E00DC7">
        <w:rPr>
          <w:szCs w:val="20"/>
        </w:rPr>
        <w:t xml:space="preserve">del </w:t>
      </w:r>
      <w:r w:rsidR="006F0253" w:rsidRPr="004862A3">
        <w:rPr>
          <w:szCs w:val="20"/>
        </w:rPr>
        <w:t>dictamen rendido en audiencia pública por</w:t>
      </w:r>
      <w:r w:rsidR="00617C8F" w:rsidRPr="004862A3">
        <w:rPr>
          <w:szCs w:val="20"/>
        </w:rPr>
        <w:t xml:space="preserve"> Lourde</w:t>
      </w:r>
      <w:r w:rsidR="003438F7">
        <w:rPr>
          <w:szCs w:val="20"/>
        </w:rPr>
        <w:t>s Flores Nano, ambos en el caso</w:t>
      </w:r>
      <w:r w:rsidR="00617C8F" w:rsidRPr="004862A3">
        <w:rPr>
          <w:szCs w:val="20"/>
        </w:rPr>
        <w:t xml:space="preserve"> </w:t>
      </w:r>
      <w:r w:rsidR="00617C8F" w:rsidRPr="004862A3">
        <w:rPr>
          <w:rFonts w:cs="Arial"/>
          <w:i/>
          <w:iCs/>
          <w:szCs w:val="20"/>
        </w:rPr>
        <w:t>Canales Huapaya y otros Vs. Perú</w:t>
      </w:r>
      <w:r w:rsidR="006F0253" w:rsidRPr="004862A3">
        <w:rPr>
          <w:rFonts w:cs="Arial"/>
          <w:i/>
          <w:iCs/>
          <w:szCs w:val="20"/>
        </w:rPr>
        <w:t>,</w:t>
      </w:r>
      <w:r w:rsidR="00617C8F" w:rsidRPr="004862A3">
        <w:rPr>
          <w:rFonts w:cs="Arial"/>
          <w:iCs/>
          <w:szCs w:val="20"/>
        </w:rPr>
        <w:t xml:space="preserve"> </w:t>
      </w:r>
      <w:r w:rsidR="006F0253" w:rsidRPr="004862A3">
        <w:rPr>
          <w:rFonts w:cs="Arial"/>
          <w:iCs/>
          <w:szCs w:val="20"/>
        </w:rPr>
        <w:t xml:space="preserve">así como los dictámenes </w:t>
      </w:r>
      <w:r w:rsidR="00E00DC7">
        <w:rPr>
          <w:rFonts w:cs="Arial"/>
          <w:iCs/>
          <w:szCs w:val="20"/>
        </w:rPr>
        <w:t xml:space="preserve">periciales </w:t>
      </w:r>
      <w:r w:rsidR="006F0253" w:rsidRPr="004862A3">
        <w:rPr>
          <w:rFonts w:cs="Arial"/>
          <w:iCs/>
          <w:szCs w:val="20"/>
        </w:rPr>
        <w:t xml:space="preserve">rendidos por </w:t>
      </w:r>
      <w:r w:rsidR="00617C8F" w:rsidRPr="004862A3">
        <w:rPr>
          <w:rFonts w:cs="Arial"/>
          <w:iCs/>
          <w:szCs w:val="20"/>
        </w:rPr>
        <w:t>Jorge Eusebio Marco Zanconetti,</w:t>
      </w:r>
      <w:r w:rsidR="00617C8F" w:rsidRPr="004862A3">
        <w:rPr>
          <w:rFonts w:cs="Arial"/>
          <w:i/>
          <w:iCs/>
          <w:szCs w:val="20"/>
        </w:rPr>
        <w:t xml:space="preserve"> </w:t>
      </w:r>
      <w:r w:rsidR="00617C8F" w:rsidRPr="004862A3">
        <w:rPr>
          <w:rFonts w:cs="Arial"/>
          <w:iCs/>
          <w:szCs w:val="20"/>
        </w:rPr>
        <w:t xml:space="preserve">y </w:t>
      </w:r>
      <w:r w:rsidR="00617C8F" w:rsidRPr="004862A3">
        <w:rPr>
          <w:rFonts w:cs="Arial"/>
          <w:szCs w:val="20"/>
        </w:rPr>
        <w:t>Jorge Guido Bernedo Alvarado</w:t>
      </w:r>
      <w:r w:rsidR="00617C8F" w:rsidRPr="004862A3">
        <w:rPr>
          <w:rFonts w:cs="Arial"/>
          <w:i/>
          <w:iCs/>
          <w:szCs w:val="20"/>
        </w:rPr>
        <w:t xml:space="preserve"> </w:t>
      </w:r>
      <w:r w:rsidR="00617C8F" w:rsidRPr="004862A3">
        <w:rPr>
          <w:rFonts w:cs="Arial"/>
          <w:iCs/>
          <w:szCs w:val="20"/>
        </w:rPr>
        <w:t>en el caso</w:t>
      </w:r>
      <w:r w:rsidR="00617C8F" w:rsidRPr="004862A3">
        <w:rPr>
          <w:rFonts w:cs="Arial"/>
          <w:i/>
          <w:iCs/>
          <w:szCs w:val="20"/>
        </w:rPr>
        <w:t xml:space="preserve"> </w:t>
      </w:r>
      <w:r w:rsidR="00617C8F" w:rsidRPr="004862A3">
        <w:rPr>
          <w:bCs/>
          <w:i/>
          <w:iCs/>
          <w:szCs w:val="20"/>
        </w:rPr>
        <w:t>Trabajadores Cesados de Petroperú y otros Vs. Perú</w:t>
      </w:r>
      <w:r w:rsidR="00072BF4" w:rsidRPr="004862A3">
        <w:rPr>
          <w:bCs/>
          <w:iCs/>
          <w:szCs w:val="20"/>
        </w:rPr>
        <w:t xml:space="preserve">, </w:t>
      </w:r>
      <w:r w:rsidR="00072BF4" w:rsidRPr="004862A3">
        <w:rPr>
          <w:szCs w:val="20"/>
        </w:rPr>
        <w:t>toda vez que podría</w:t>
      </w:r>
      <w:r w:rsidR="00DA3068">
        <w:rPr>
          <w:szCs w:val="20"/>
        </w:rPr>
        <w:t>n</w:t>
      </w:r>
      <w:r w:rsidR="00072BF4" w:rsidRPr="004862A3">
        <w:rPr>
          <w:szCs w:val="20"/>
        </w:rPr>
        <w:t xml:space="preserve"> resultar útil</w:t>
      </w:r>
      <w:r w:rsidR="00DA3068">
        <w:rPr>
          <w:szCs w:val="20"/>
        </w:rPr>
        <w:t>es</w:t>
      </w:r>
      <w:r w:rsidR="00072BF4" w:rsidRPr="004862A3">
        <w:rPr>
          <w:szCs w:val="20"/>
        </w:rPr>
        <w:t xml:space="preserve"> para la resolución del presente caso</w:t>
      </w:r>
      <w:r w:rsidR="00617C8F" w:rsidRPr="004862A3">
        <w:rPr>
          <w:bCs/>
          <w:i/>
          <w:iCs/>
          <w:szCs w:val="20"/>
        </w:rPr>
        <w:t>.</w:t>
      </w:r>
      <w:r w:rsidR="006F0253" w:rsidRPr="004862A3">
        <w:rPr>
          <w:szCs w:val="20"/>
        </w:rPr>
        <w:t xml:space="preserve"> </w:t>
      </w:r>
      <w:r w:rsidR="00A201AF" w:rsidRPr="004862A3">
        <w:rPr>
          <w:szCs w:val="20"/>
        </w:rPr>
        <w:t xml:space="preserve">En tanto </w:t>
      </w:r>
      <w:r w:rsidR="00CC67CE" w:rsidRPr="004862A3">
        <w:rPr>
          <w:szCs w:val="20"/>
        </w:rPr>
        <w:t>los dictá</w:t>
      </w:r>
      <w:r w:rsidR="00A201AF" w:rsidRPr="004862A3">
        <w:rPr>
          <w:szCs w:val="20"/>
        </w:rPr>
        <w:t>men</w:t>
      </w:r>
      <w:r w:rsidR="00CC67CE" w:rsidRPr="004862A3">
        <w:rPr>
          <w:szCs w:val="20"/>
        </w:rPr>
        <w:t>es</w:t>
      </w:r>
      <w:r w:rsidR="00A201AF" w:rsidRPr="004862A3">
        <w:rPr>
          <w:szCs w:val="20"/>
        </w:rPr>
        <w:t xml:space="preserve"> </w:t>
      </w:r>
      <w:r w:rsidR="006F0253" w:rsidRPr="004862A3">
        <w:rPr>
          <w:szCs w:val="20"/>
        </w:rPr>
        <w:t>son</w:t>
      </w:r>
      <w:r w:rsidR="00A201AF" w:rsidRPr="004862A3">
        <w:rPr>
          <w:szCs w:val="20"/>
        </w:rPr>
        <w:t xml:space="preserve"> prueba documental a efectos del presente</w:t>
      </w:r>
      <w:r w:rsidR="00CC67CE" w:rsidRPr="004862A3">
        <w:rPr>
          <w:szCs w:val="20"/>
        </w:rPr>
        <w:t xml:space="preserve"> </w:t>
      </w:r>
      <w:r w:rsidR="00A201AF" w:rsidRPr="004862A3">
        <w:rPr>
          <w:szCs w:val="20"/>
        </w:rPr>
        <w:t>caso, las partes podr</w:t>
      </w:r>
      <w:r w:rsidR="00CC67CE" w:rsidRPr="004862A3">
        <w:rPr>
          <w:szCs w:val="20"/>
        </w:rPr>
        <w:t>án referirse a los</w:t>
      </w:r>
      <w:r w:rsidR="00A201AF" w:rsidRPr="004862A3">
        <w:rPr>
          <w:szCs w:val="20"/>
        </w:rPr>
        <w:t xml:space="preserve"> mismo</w:t>
      </w:r>
      <w:r w:rsidR="00CC67CE" w:rsidRPr="004862A3">
        <w:rPr>
          <w:szCs w:val="20"/>
        </w:rPr>
        <w:t>s</w:t>
      </w:r>
      <w:r w:rsidR="00A201AF" w:rsidRPr="004862A3">
        <w:rPr>
          <w:szCs w:val="20"/>
        </w:rPr>
        <w:t xml:space="preserve"> en sus alegatos finales escritos</w:t>
      </w:r>
      <w:r w:rsidR="008376D9" w:rsidRPr="004862A3">
        <w:rPr>
          <w:szCs w:val="20"/>
        </w:rPr>
        <w:t>.</w:t>
      </w:r>
    </w:p>
    <w:p w:rsidR="002D50FA" w:rsidRPr="002D50FA" w:rsidRDefault="002D50FA" w:rsidP="002D50FA">
      <w:pPr>
        <w:pStyle w:val="NoSpacing"/>
        <w:numPr>
          <w:ilvl w:val="0"/>
          <w:numId w:val="0"/>
        </w:numPr>
        <w:rPr>
          <w:rFonts w:cs="Times New Roman"/>
        </w:rPr>
      </w:pPr>
    </w:p>
    <w:p w:rsidR="00DC08EE" w:rsidRPr="004862A3" w:rsidRDefault="00DC08EE" w:rsidP="004862A3">
      <w:pPr>
        <w:pStyle w:val="Heading1"/>
        <w:rPr>
          <w:bCs/>
        </w:rPr>
      </w:pPr>
      <w:r w:rsidRPr="004862A3">
        <w:t>Aplicación del Fondo de Asistencia Legal de Víctimas ante la Corte</w:t>
      </w:r>
    </w:p>
    <w:p w:rsidR="00D17619" w:rsidRPr="004862A3" w:rsidRDefault="00D17619" w:rsidP="004862A3">
      <w:pPr>
        <w:widowControl w:val="0"/>
        <w:tabs>
          <w:tab w:val="left" w:pos="0"/>
          <w:tab w:val="left" w:pos="567"/>
        </w:tabs>
        <w:autoSpaceDE w:val="0"/>
        <w:autoSpaceDN w:val="0"/>
        <w:adjustRightInd w:val="0"/>
        <w:spacing w:after="0" w:line="240" w:lineRule="auto"/>
        <w:ind w:right="22"/>
        <w:jc w:val="both"/>
        <w:rPr>
          <w:rFonts w:ascii="Verdana" w:hAnsi="Verdana"/>
          <w:b/>
          <w:bCs/>
          <w:i/>
          <w:iCs/>
          <w:sz w:val="20"/>
          <w:szCs w:val="20"/>
        </w:rPr>
      </w:pPr>
    </w:p>
    <w:p w:rsidR="000B453F" w:rsidRPr="004862A3" w:rsidRDefault="0054745F" w:rsidP="004862A3">
      <w:pPr>
        <w:pStyle w:val="NoSpacing"/>
        <w:rPr>
          <w:rFonts w:cs="Arial"/>
          <w:szCs w:val="20"/>
        </w:rPr>
      </w:pPr>
      <w:r>
        <w:rPr>
          <w:szCs w:val="20"/>
        </w:rPr>
        <w:t xml:space="preserve">En el presente caso </w:t>
      </w:r>
      <w:r w:rsidR="00D17619" w:rsidRPr="004862A3">
        <w:rPr>
          <w:szCs w:val="20"/>
        </w:rPr>
        <w:t xml:space="preserve">fueron designadas </w:t>
      </w:r>
      <w:r w:rsidR="00A3106F">
        <w:rPr>
          <w:szCs w:val="20"/>
        </w:rPr>
        <w:t>dos defensoras públicas</w:t>
      </w:r>
      <w:r w:rsidR="00A3106F" w:rsidRPr="004862A3">
        <w:rPr>
          <w:szCs w:val="20"/>
        </w:rPr>
        <w:t xml:space="preserve"> </w:t>
      </w:r>
      <w:r w:rsidR="00D17619" w:rsidRPr="004862A3">
        <w:rPr>
          <w:szCs w:val="20"/>
        </w:rPr>
        <w:t xml:space="preserve">interamericanas </w:t>
      </w:r>
      <w:r w:rsidR="00A3106F">
        <w:rPr>
          <w:szCs w:val="20"/>
        </w:rPr>
        <w:t>para representar a la presunta víctima</w:t>
      </w:r>
      <w:r w:rsidR="00D17619" w:rsidRPr="004862A3">
        <w:rPr>
          <w:szCs w:val="20"/>
        </w:rPr>
        <w:t>. En el escrito de solicitudes, ar</w:t>
      </w:r>
      <w:r w:rsidR="00F53EA7">
        <w:rPr>
          <w:szCs w:val="20"/>
        </w:rPr>
        <w:t>gumentos y pruebas, la</w:t>
      </w:r>
      <w:r w:rsidR="00D17619" w:rsidRPr="004862A3">
        <w:rPr>
          <w:szCs w:val="20"/>
        </w:rPr>
        <w:t xml:space="preserve">s representantes </w:t>
      </w:r>
      <w:r w:rsidR="00A3106F">
        <w:rPr>
          <w:szCs w:val="20"/>
        </w:rPr>
        <w:t xml:space="preserve">indicaron que el </w:t>
      </w:r>
      <w:r w:rsidR="00D17619" w:rsidRPr="004862A3">
        <w:rPr>
          <w:szCs w:val="20"/>
        </w:rPr>
        <w:t xml:space="preserve">señor Muelle Flores no cuenta con recursos suficientes para solventar los </w:t>
      </w:r>
      <w:r w:rsidR="00A3106F">
        <w:rPr>
          <w:szCs w:val="20"/>
        </w:rPr>
        <w:t>costos del litigio ante la Corte</w:t>
      </w:r>
      <w:r w:rsidR="00D17619" w:rsidRPr="004862A3">
        <w:rPr>
          <w:szCs w:val="20"/>
        </w:rPr>
        <w:t xml:space="preserve">. Las representantes </w:t>
      </w:r>
      <w:r w:rsidR="000B453F" w:rsidRPr="004862A3">
        <w:rPr>
          <w:szCs w:val="20"/>
        </w:rPr>
        <w:t xml:space="preserve">solicitaron </w:t>
      </w:r>
      <w:r w:rsidR="00A3106F">
        <w:rPr>
          <w:szCs w:val="20"/>
        </w:rPr>
        <w:t>asistencia económica para</w:t>
      </w:r>
      <w:r w:rsidR="00751B35">
        <w:rPr>
          <w:szCs w:val="20"/>
        </w:rPr>
        <w:t xml:space="preserve"> solventar o reintegrar</w:t>
      </w:r>
      <w:r w:rsidR="00A3106F">
        <w:rPr>
          <w:szCs w:val="20"/>
        </w:rPr>
        <w:t>: (</w:t>
      </w:r>
      <w:r w:rsidR="00751B35">
        <w:rPr>
          <w:szCs w:val="20"/>
        </w:rPr>
        <w:t>i</w:t>
      </w:r>
      <w:r w:rsidR="00A3106F">
        <w:rPr>
          <w:szCs w:val="20"/>
        </w:rPr>
        <w:t xml:space="preserve">) los </w:t>
      </w:r>
      <w:r w:rsidR="000B453F" w:rsidRPr="004862A3">
        <w:rPr>
          <w:szCs w:val="20"/>
        </w:rPr>
        <w:t xml:space="preserve">gastos </w:t>
      </w:r>
      <w:r w:rsidR="00A3106F">
        <w:rPr>
          <w:szCs w:val="20"/>
        </w:rPr>
        <w:t xml:space="preserve">relacionados con la asistencia a la audiencia ante la Corte de la presunta víctima, testigos y peritos, así como </w:t>
      </w:r>
      <w:r w:rsidR="00A3106F" w:rsidRPr="004862A3">
        <w:rPr>
          <w:rFonts w:cs="Arial"/>
          <w:szCs w:val="20"/>
        </w:rPr>
        <w:t>la participación de las defensoras públicas en la audiencia pública</w:t>
      </w:r>
      <w:r w:rsidR="00A3106F">
        <w:rPr>
          <w:szCs w:val="20"/>
        </w:rPr>
        <w:t xml:space="preserve">; (ii) </w:t>
      </w:r>
      <w:r w:rsidR="00751B35">
        <w:rPr>
          <w:szCs w:val="20"/>
        </w:rPr>
        <w:t xml:space="preserve">los gastos que deban efectuarse para la rendición de declaraciones por afidávit; (iii) </w:t>
      </w:r>
      <w:r w:rsidR="000B453F" w:rsidRPr="004862A3">
        <w:rPr>
          <w:szCs w:val="20"/>
        </w:rPr>
        <w:t xml:space="preserve">los gastos </w:t>
      </w:r>
      <w:r w:rsidR="00751B35">
        <w:rPr>
          <w:szCs w:val="20"/>
        </w:rPr>
        <w:t>de viaje (</w:t>
      </w:r>
      <w:r w:rsidR="000B453F" w:rsidRPr="004862A3">
        <w:rPr>
          <w:rFonts w:cs="Arial"/>
          <w:szCs w:val="20"/>
        </w:rPr>
        <w:t>pasajes aéreos</w:t>
      </w:r>
      <w:r w:rsidR="00751B35">
        <w:rPr>
          <w:rFonts w:cs="Arial"/>
          <w:szCs w:val="20"/>
        </w:rPr>
        <w:t>),</w:t>
      </w:r>
      <w:r w:rsidR="000B453F" w:rsidRPr="004862A3">
        <w:rPr>
          <w:rFonts w:cs="Arial"/>
          <w:szCs w:val="20"/>
        </w:rPr>
        <w:t xml:space="preserve"> traslados, hospedajes, alimentación y vi</w:t>
      </w:r>
      <w:r w:rsidR="00072F5B" w:rsidRPr="004862A3">
        <w:rPr>
          <w:rFonts w:cs="Arial"/>
          <w:szCs w:val="20"/>
        </w:rPr>
        <w:t xml:space="preserve">áticos </w:t>
      </w:r>
      <w:r w:rsidR="00751B35">
        <w:rPr>
          <w:rFonts w:cs="Arial"/>
          <w:szCs w:val="20"/>
        </w:rPr>
        <w:t>que requirió un viaje a Lima en octubre de 2017 para reunirse con la presunta víctima y recabar información útil para el caso, en tanto la discapacidad auditiva del señor Muelle Flores imposibilita otras formas de contacto que no sean presenciales, y</w:t>
      </w:r>
      <w:r w:rsidR="000B453F" w:rsidRPr="004862A3">
        <w:rPr>
          <w:rFonts w:cs="Arial"/>
          <w:szCs w:val="20"/>
        </w:rPr>
        <w:t xml:space="preserve"> </w:t>
      </w:r>
      <w:r w:rsidR="00A3106F">
        <w:rPr>
          <w:rFonts w:cs="Arial"/>
          <w:szCs w:val="20"/>
        </w:rPr>
        <w:t>(</w:t>
      </w:r>
      <w:r w:rsidR="00751B35">
        <w:rPr>
          <w:rFonts w:cs="Arial"/>
          <w:szCs w:val="20"/>
        </w:rPr>
        <w:t>iv</w:t>
      </w:r>
      <w:r w:rsidR="00A3106F">
        <w:rPr>
          <w:rFonts w:cs="Arial"/>
          <w:szCs w:val="20"/>
        </w:rPr>
        <w:t xml:space="preserve">) </w:t>
      </w:r>
      <w:r w:rsidR="000B453F" w:rsidRPr="004862A3">
        <w:rPr>
          <w:rFonts w:cs="Arial"/>
          <w:szCs w:val="20"/>
        </w:rPr>
        <w:t xml:space="preserve">los gastos </w:t>
      </w:r>
      <w:r w:rsidR="00751B35">
        <w:rPr>
          <w:rFonts w:cs="Arial"/>
          <w:szCs w:val="20"/>
        </w:rPr>
        <w:t xml:space="preserve">incurridos </w:t>
      </w:r>
      <w:r w:rsidR="00A3106F">
        <w:rPr>
          <w:rFonts w:cs="Arial"/>
          <w:szCs w:val="20"/>
        </w:rPr>
        <w:t>en el envío ví</w:t>
      </w:r>
      <w:r w:rsidR="00072F5B" w:rsidRPr="004862A3">
        <w:rPr>
          <w:rFonts w:cs="Arial"/>
          <w:szCs w:val="20"/>
        </w:rPr>
        <w:t xml:space="preserve">a </w:t>
      </w:r>
      <w:r w:rsidR="00A3106F">
        <w:rPr>
          <w:rFonts w:cs="Arial"/>
          <w:i/>
          <w:szCs w:val="20"/>
        </w:rPr>
        <w:t>cou</w:t>
      </w:r>
      <w:r w:rsidR="00072F5B" w:rsidRPr="004862A3">
        <w:rPr>
          <w:rFonts w:cs="Arial"/>
          <w:i/>
          <w:szCs w:val="20"/>
        </w:rPr>
        <w:t>rier</w:t>
      </w:r>
      <w:r w:rsidR="00072F5B" w:rsidRPr="004862A3">
        <w:rPr>
          <w:rFonts w:cs="Arial"/>
          <w:szCs w:val="20"/>
        </w:rPr>
        <w:t xml:space="preserve"> del escrito de solicitudes</w:t>
      </w:r>
      <w:r w:rsidR="00864745">
        <w:rPr>
          <w:rFonts w:cs="Arial"/>
          <w:szCs w:val="20"/>
        </w:rPr>
        <w:t xml:space="preserve"> y</w:t>
      </w:r>
      <w:r w:rsidR="00072F5B" w:rsidRPr="004862A3">
        <w:rPr>
          <w:rFonts w:cs="Arial"/>
          <w:szCs w:val="20"/>
        </w:rPr>
        <w:t xml:space="preserve"> argumentos</w:t>
      </w:r>
      <w:r w:rsidR="00751B35">
        <w:rPr>
          <w:rFonts w:cs="Arial"/>
          <w:szCs w:val="20"/>
        </w:rPr>
        <w:t xml:space="preserve"> y </w:t>
      </w:r>
      <w:r w:rsidR="00072F5B" w:rsidRPr="004862A3">
        <w:rPr>
          <w:rFonts w:cs="Arial"/>
          <w:szCs w:val="20"/>
        </w:rPr>
        <w:t>sus anexo</w:t>
      </w:r>
      <w:r w:rsidR="00072F5B" w:rsidRPr="004862A3">
        <w:rPr>
          <w:rFonts w:cs="Arial"/>
          <w:i/>
          <w:szCs w:val="20"/>
        </w:rPr>
        <w:t>s</w:t>
      </w:r>
      <w:r w:rsidR="000B453F" w:rsidRPr="004862A3">
        <w:rPr>
          <w:rFonts w:cs="Arial"/>
          <w:szCs w:val="20"/>
        </w:rPr>
        <w:t xml:space="preserve">, así como los gastos </w:t>
      </w:r>
      <w:r w:rsidR="00751B35">
        <w:rPr>
          <w:rFonts w:cs="Arial"/>
          <w:szCs w:val="20"/>
        </w:rPr>
        <w:t>que implique el envío de los alegatos finales escritos por esa misma vía</w:t>
      </w:r>
      <w:r w:rsidR="000B453F" w:rsidRPr="004862A3">
        <w:rPr>
          <w:rFonts w:cs="Arial"/>
          <w:szCs w:val="20"/>
        </w:rPr>
        <w:t>.</w:t>
      </w:r>
      <w:r w:rsidR="00AF62E7" w:rsidRPr="004862A3">
        <w:rPr>
          <w:rFonts w:cs="Arial"/>
          <w:szCs w:val="20"/>
        </w:rPr>
        <w:t xml:space="preserve"> </w:t>
      </w:r>
    </w:p>
    <w:p w:rsidR="00FB1070" w:rsidRPr="004862A3" w:rsidRDefault="00FB1070" w:rsidP="004862A3">
      <w:pPr>
        <w:pStyle w:val="NoSpacing"/>
        <w:numPr>
          <w:ilvl w:val="0"/>
          <w:numId w:val="0"/>
        </w:numPr>
        <w:rPr>
          <w:rFonts w:cs="Arial"/>
          <w:szCs w:val="20"/>
        </w:rPr>
      </w:pPr>
    </w:p>
    <w:p w:rsidR="00D17619" w:rsidRPr="004862A3" w:rsidRDefault="00D17619" w:rsidP="004862A3">
      <w:pPr>
        <w:pStyle w:val="NoSpacing"/>
        <w:rPr>
          <w:b/>
          <w:bCs/>
          <w:i/>
          <w:iCs/>
          <w:szCs w:val="20"/>
        </w:rPr>
      </w:pPr>
      <w:r w:rsidRPr="004862A3">
        <w:rPr>
          <w:szCs w:val="20"/>
        </w:rPr>
        <w:t xml:space="preserve"> </w:t>
      </w:r>
      <w:bookmarkStart w:id="2" w:name="_Ref519530578"/>
      <w:r w:rsidRPr="004862A3">
        <w:rPr>
          <w:szCs w:val="20"/>
        </w:rPr>
        <w:t>El Presidente recuerda que, en casos en que la representación sea asumida gratuitamente por un defensor interamericano</w:t>
      </w:r>
      <w:r w:rsidR="00F66DC7">
        <w:rPr>
          <w:szCs w:val="20"/>
        </w:rPr>
        <w:t>,</w:t>
      </w:r>
      <w:r w:rsidRPr="004862A3">
        <w:rPr>
          <w:szCs w:val="20"/>
        </w:rPr>
        <w:t xml:space="preserve"> en los términos del artículo 37 del Reglam</w:t>
      </w:r>
      <w:r w:rsidR="00AF62E7" w:rsidRPr="004862A3">
        <w:rPr>
          <w:szCs w:val="20"/>
        </w:rPr>
        <w:t>ento de la Corte Interamericana</w:t>
      </w:r>
      <w:r w:rsidRPr="004862A3">
        <w:rPr>
          <w:szCs w:val="20"/>
        </w:rPr>
        <w:t xml:space="preserve">, se brindará ayuda a través del Fondo de Asistencia para sufragar, en la medida de lo posible, los gastos razonables y necesarios </w:t>
      </w:r>
      <w:r w:rsidR="00AF62E7" w:rsidRPr="004862A3">
        <w:rPr>
          <w:szCs w:val="20"/>
        </w:rPr>
        <w:t>que origine tal representación</w:t>
      </w:r>
      <w:r w:rsidRPr="004862A3">
        <w:rPr>
          <w:szCs w:val="20"/>
        </w:rPr>
        <w:t xml:space="preserve">.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w:t>
      </w:r>
      <w:r w:rsidR="00B96F29">
        <w:t xml:space="preserve">Lo anterior fue expresamente señalado al notificar el sometimiento del presente caso. </w:t>
      </w:r>
      <w:bookmarkEnd w:id="2"/>
    </w:p>
    <w:p w:rsidR="00FB1070" w:rsidRPr="004862A3" w:rsidRDefault="00FB1070" w:rsidP="004862A3">
      <w:pPr>
        <w:pStyle w:val="NoSpacing"/>
        <w:numPr>
          <w:ilvl w:val="0"/>
          <w:numId w:val="0"/>
        </w:numPr>
        <w:rPr>
          <w:b/>
          <w:bCs/>
          <w:i/>
          <w:iCs/>
          <w:szCs w:val="20"/>
        </w:rPr>
      </w:pPr>
    </w:p>
    <w:p w:rsidR="00276162" w:rsidRPr="00D71114" w:rsidRDefault="00751B35" w:rsidP="00B96F29">
      <w:pPr>
        <w:pStyle w:val="NoSpacing"/>
        <w:rPr>
          <w:b/>
          <w:bCs/>
          <w:i/>
          <w:iCs/>
          <w:szCs w:val="20"/>
        </w:rPr>
      </w:pPr>
      <w:r>
        <w:rPr>
          <w:szCs w:val="20"/>
        </w:rPr>
        <w:t xml:space="preserve">En virtud de lo anterior, </w:t>
      </w:r>
      <w:r w:rsidR="00A3106F" w:rsidRPr="0004290A">
        <w:rPr>
          <w:szCs w:val="20"/>
          <w:lang w:val="es-ES"/>
        </w:rPr>
        <w:t xml:space="preserve">al haber </w:t>
      </w:r>
      <w:r w:rsidR="00A3106F">
        <w:rPr>
          <w:szCs w:val="20"/>
          <w:lang w:val="es-ES"/>
        </w:rPr>
        <w:t xml:space="preserve">resuelto </w:t>
      </w:r>
      <w:r w:rsidR="00A3106F" w:rsidRPr="0004290A">
        <w:rPr>
          <w:szCs w:val="20"/>
          <w:lang w:val="es-ES"/>
        </w:rPr>
        <w:t>sobre la procedencia de las declaraciones</w:t>
      </w:r>
      <w:r>
        <w:rPr>
          <w:szCs w:val="20"/>
          <w:lang w:val="es-ES"/>
        </w:rPr>
        <w:t xml:space="preserve"> y teniendo en cuenta que no se celebrará una audiencia pública en el presente caso</w:t>
      </w:r>
      <w:r w:rsidR="00A3106F" w:rsidRPr="0004290A">
        <w:rPr>
          <w:szCs w:val="20"/>
          <w:lang w:val="es-ES"/>
        </w:rPr>
        <w:t xml:space="preserve">, </w:t>
      </w:r>
      <w:r w:rsidR="00B96F29">
        <w:rPr>
          <w:szCs w:val="20"/>
          <w:lang w:val="es-ES"/>
        </w:rPr>
        <w:t xml:space="preserve">esta Presidencia </w:t>
      </w:r>
      <w:r w:rsidR="00A3106F" w:rsidRPr="0004290A">
        <w:rPr>
          <w:szCs w:val="20"/>
          <w:lang w:val="es-ES"/>
        </w:rPr>
        <w:t xml:space="preserve">dispone que la asistencia económica será asignada para cubrir los gastos de: i) viaje, traslados y estadía necesarios </w:t>
      </w:r>
      <w:r>
        <w:rPr>
          <w:szCs w:val="20"/>
          <w:lang w:val="es-ES"/>
        </w:rPr>
        <w:t>para la reunión sostenida en Lima con la presunta víctima en octubre de 2017</w:t>
      </w:r>
      <w:r w:rsidR="007349E1">
        <w:rPr>
          <w:rStyle w:val="FootnoteReference"/>
          <w:szCs w:val="20"/>
          <w:lang w:val="es-ES"/>
        </w:rPr>
        <w:footnoteReference w:id="15"/>
      </w:r>
      <w:r w:rsidR="00A3106F" w:rsidRPr="0004290A">
        <w:rPr>
          <w:szCs w:val="20"/>
          <w:lang w:val="es-ES"/>
        </w:rPr>
        <w:t xml:space="preserve">; ii) </w:t>
      </w:r>
      <w:r w:rsidR="00B96F29">
        <w:t>los costos que generen la rendición de las declaraciones de la presunta víctima, dos testigos y una perita ante fedatario público, todos propuestos por las defensoras, según se especifica en la parte resolutiva de esta Resolución</w:t>
      </w:r>
      <w:r w:rsidR="007349E1" w:rsidRPr="00B96F29">
        <w:rPr>
          <w:szCs w:val="20"/>
          <w:lang w:val="es-ES"/>
        </w:rPr>
        <w:t xml:space="preserve">, </w:t>
      </w:r>
      <w:r w:rsidR="00A3106F" w:rsidRPr="00B96F29">
        <w:rPr>
          <w:szCs w:val="20"/>
          <w:lang w:val="es-ES"/>
        </w:rPr>
        <w:t>y iii) los demás gastos razonables y necesarios en que hayan incurrido o puedan incurrir l</w:t>
      </w:r>
      <w:r w:rsidR="007349E1" w:rsidRPr="00B96F29">
        <w:rPr>
          <w:szCs w:val="20"/>
          <w:lang w:val="es-ES"/>
        </w:rPr>
        <w:t>a</w:t>
      </w:r>
      <w:r w:rsidR="00A3106F" w:rsidRPr="00B96F29">
        <w:rPr>
          <w:szCs w:val="20"/>
          <w:lang w:val="es-ES"/>
        </w:rPr>
        <w:t>s representantes, para lo cual deberán remitir al Tribunal tanto la justificación de tales gastos como sus comprobantes, a más tardar con la presentación de los alegatos finales escritos, siendo esa la última oportunidad procesal para hacerlo, salvo que esta Presidencia o la Corte otorguen alguna otra oportunidad procesal.</w:t>
      </w:r>
    </w:p>
    <w:p w:rsidR="00D71114" w:rsidRPr="00D71114" w:rsidRDefault="00D71114" w:rsidP="00D71114">
      <w:pPr>
        <w:pStyle w:val="NoSpacing"/>
        <w:numPr>
          <w:ilvl w:val="0"/>
          <w:numId w:val="0"/>
        </w:numPr>
        <w:rPr>
          <w:b/>
          <w:bCs/>
          <w:i/>
          <w:iCs/>
          <w:szCs w:val="20"/>
        </w:rPr>
      </w:pPr>
    </w:p>
    <w:p w:rsidR="00D71114" w:rsidRPr="00D71114" w:rsidRDefault="00D71114" w:rsidP="00B96F29">
      <w:pPr>
        <w:pStyle w:val="NoSpacing"/>
        <w:rPr>
          <w:b/>
          <w:bCs/>
          <w:i/>
          <w:iCs/>
          <w:szCs w:val="20"/>
        </w:rPr>
      </w:pPr>
      <w:bookmarkStart w:id="3" w:name="_Ref520460412"/>
      <w:r>
        <w:t>Las defensoras deberán remitir a la Corte una cotización en dólares de los Estados Unidos de América del costo de la formalización de los referidas declaraciones y de su envío, en el plazo establecido en la parte resolutiva de la presente Resolución.</w:t>
      </w:r>
      <w:bookmarkEnd w:id="3"/>
    </w:p>
    <w:p w:rsidR="00D71114" w:rsidRPr="00D71114" w:rsidRDefault="00D71114" w:rsidP="00D71114">
      <w:pPr>
        <w:pStyle w:val="NoSpacing"/>
        <w:numPr>
          <w:ilvl w:val="0"/>
          <w:numId w:val="0"/>
        </w:numPr>
        <w:rPr>
          <w:b/>
          <w:bCs/>
          <w:i/>
          <w:iCs/>
          <w:szCs w:val="20"/>
        </w:rPr>
      </w:pPr>
    </w:p>
    <w:p w:rsidR="00D71114" w:rsidRPr="00B96F29" w:rsidRDefault="00D71114" w:rsidP="00B96F29">
      <w:pPr>
        <w:pStyle w:val="NoSpacing"/>
        <w:rPr>
          <w:b/>
          <w:bCs/>
          <w:i/>
          <w:iCs/>
          <w:szCs w:val="20"/>
        </w:rPr>
      </w:pPr>
      <w:r>
        <w:t>Según lo requerido por el artículo 4 del Reglamento del Fondo de Asistencia, se dispone que la Secretaría abra un expediente de gastos a los fines de llevar la contabilidad y en el cual se documentará cada una de las erogaciones que se realice en relación con el referido Fondo.</w:t>
      </w:r>
    </w:p>
    <w:p w:rsidR="00276162" w:rsidRPr="00276162" w:rsidRDefault="00276162" w:rsidP="00276162">
      <w:pPr>
        <w:pStyle w:val="NoSpacing"/>
        <w:numPr>
          <w:ilvl w:val="0"/>
          <w:numId w:val="0"/>
        </w:numPr>
        <w:rPr>
          <w:b/>
          <w:bCs/>
          <w:i/>
          <w:iCs/>
          <w:szCs w:val="20"/>
        </w:rPr>
      </w:pPr>
    </w:p>
    <w:p w:rsidR="00276162" w:rsidRPr="00276162" w:rsidRDefault="00276162" w:rsidP="00276162">
      <w:pPr>
        <w:pStyle w:val="NoSpacing"/>
        <w:rPr>
          <w:b/>
          <w:bCs/>
          <w:i/>
          <w:iCs/>
          <w:szCs w:val="20"/>
        </w:rPr>
      </w:pPr>
      <w:bookmarkStart w:id="4" w:name="_Ref519530583"/>
      <w:r w:rsidRPr="00276162">
        <w:rPr>
          <w:szCs w:val="20"/>
          <w:lang w:val="es-ES"/>
        </w:rPr>
        <w:t>Finalmente, el Presidente recuerda que, según el artículo 5 del Reglamento del Fondo, oportunamente se informará al Estado acerca de las erogaciones realizadas en aplicación del Fondo de Asistencia, para que presente sus observaciones, si así lo desea, dentro del plazo que se establezca al efecto.</w:t>
      </w:r>
      <w:bookmarkEnd w:id="4"/>
      <w:r w:rsidRPr="00276162">
        <w:rPr>
          <w:szCs w:val="20"/>
          <w:lang w:val="es-ES"/>
        </w:rPr>
        <w:t xml:space="preserve"> </w:t>
      </w:r>
    </w:p>
    <w:p w:rsidR="00BD2B21" w:rsidRPr="004862A3" w:rsidRDefault="00BD2B21" w:rsidP="004862A3">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802BD5"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POR TANTO:</w:t>
      </w:r>
    </w:p>
    <w:p w:rsidR="00802BD5" w:rsidRPr="004862A3" w:rsidRDefault="00802BD5" w:rsidP="004862A3">
      <w:pPr>
        <w:tabs>
          <w:tab w:val="left" w:pos="567"/>
        </w:tabs>
        <w:spacing w:after="0" w:line="240" w:lineRule="auto"/>
        <w:jc w:val="both"/>
        <w:rPr>
          <w:rFonts w:ascii="Verdana" w:eastAsia="Calibri" w:hAnsi="Verdana" w:cs="Verdana"/>
          <w:b/>
          <w:bCs/>
          <w:sz w:val="20"/>
          <w:szCs w:val="20"/>
        </w:rPr>
      </w:pPr>
    </w:p>
    <w:p w:rsidR="00802BD5"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 xml:space="preserve">EL PRESIDENTE DE LA CORTE INTERAMERICANA DE DERECHOS HUMANOS, </w:t>
      </w:r>
    </w:p>
    <w:p w:rsidR="00802BD5" w:rsidRPr="004862A3" w:rsidRDefault="00802BD5" w:rsidP="004862A3">
      <w:pPr>
        <w:tabs>
          <w:tab w:val="left" w:pos="567"/>
        </w:tabs>
        <w:spacing w:after="0" w:line="240" w:lineRule="auto"/>
        <w:jc w:val="both"/>
        <w:rPr>
          <w:rFonts w:ascii="Verdana" w:eastAsia="Calibri" w:hAnsi="Verdana" w:cs="Verdana"/>
          <w:b/>
          <w:bCs/>
          <w:sz w:val="20"/>
          <w:szCs w:val="20"/>
        </w:rPr>
      </w:pPr>
    </w:p>
    <w:p w:rsidR="00802BD5" w:rsidRPr="004862A3" w:rsidRDefault="00802BD5" w:rsidP="004862A3">
      <w:pPr>
        <w:tabs>
          <w:tab w:val="left" w:pos="567"/>
        </w:tabs>
        <w:spacing w:after="0" w:line="240" w:lineRule="auto"/>
        <w:jc w:val="both"/>
        <w:rPr>
          <w:rFonts w:ascii="Verdana" w:eastAsia="Calibri" w:hAnsi="Verdana" w:cs="Verdana"/>
          <w:sz w:val="20"/>
          <w:szCs w:val="20"/>
        </w:rPr>
      </w:pPr>
      <w:r w:rsidRPr="004862A3">
        <w:rPr>
          <w:rFonts w:ascii="Verdana" w:eastAsia="Calibri" w:hAnsi="Verdana" w:cs="Verdana"/>
          <w:sz w:val="20"/>
          <w:szCs w:val="20"/>
        </w:rPr>
        <w:t xml:space="preserve">de conformidad con </w:t>
      </w:r>
      <w:r w:rsidR="00EB16F3">
        <w:rPr>
          <w:rFonts w:ascii="Verdana" w:eastAsia="Calibri" w:hAnsi="Verdana" w:cs="Verdana"/>
          <w:sz w:val="20"/>
          <w:szCs w:val="20"/>
        </w:rPr>
        <w:t>el artículo</w:t>
      </w:r>
      <w:r w:rsidRPr="004862A3">
        <w:rPr>
          <w:rFonts w:ascii="Verdana" w:eastAsia="Calibri" w:hAnsi="Verdana" w:cs="Verdana"/>
          <w:sz w:val="20"/>
          <w:szCs w:val="20"/>
        </w:rPr>
        <w:t xml:space="preserve"> 25.2 del Estatuto de la Corte y con los artículos 4, 15.1, 26.1, 31.2, 35.1, 40.2, 41.1, </w:t>
      </w:r>
      <w:r w:rsidR="00E300F8" w:rsidRPr="004862A3">
        <w:rPr>
          <w:rFonts w:ascii="Verdana" w:eastAsia="Calibri" w:hAnsi="Verdana" w:cs="Verdana"/>
          <w:sz w:val="20"/>
          <w:szCs w:val="20"/>
        </w:rPr>
        <w:t>42, 45</w:t>
      </w:r>
      <w:r w:rsidRPr="004862A3">
        <w:rPr>
          <w:rFonts w:ascii="Verdana" w:eastAsia="Calibri" w:hAnsi="Verdana" w:cs="Verdana"/>
          <w:sz w:val="20"/>
          <w:szCs w:val="20"/>
        </w:rPr>
        <w:t xml:space="preserve">, </w:t>
      </w:r>
      <w:r w:rsidR="00E300F8" w:rsidRPr="004862A3">
        <w:rPr>
          <w:rFonts w:ascii="Verdana" w:eastAsia="Calibri" w:hAnsi="Verdana" w:cs="Verdana"/>
          <w:sz w:val="20"/>
          <w:szCs w:val="20"/>
        </w:rPr>
        <w:t xml:space="preserve">46, </w:t>
      </w:r>
      <w:r w:rsidR="00490D5B">
        <w:rPr>
          <w:rFonts w:ascii="Verdana" w:eastAsia="Calibri" w:hAnsi="Verdana" w:cs="Verdana"/>
          <w:sz w:val="20"/>
          <w:szCs w:val="20"/>
        </w:rPr>
        <w:t xml:space="preserve">47, 49, </w:t>
      </w:r>
      <w:r w:rsidR="00571704" w:rsidRPr="004862A3">
        <w:rPr>
          <w:rFonts w:ascii="Verdana" w:eastAsia="Calibri" w:hAnsi="Verdana" w:cs="Verdana"/>
          <w:sz w:val="20"/>
          <w:szCs w:val="20"/>
        </w:rPr>
        <w:t>50</w:t>
      </w:r>
      <w:r w:rsidR="00490D5B">
        <w:rPr>
          <w:rFonts w:ascii="Verdana" w:eastAsia="Calibri" w:hAnsi="Verdana" w:cs="Verdana"/>
          <w:sz w:val="20"/>
          <w:szCs w:val="20"/>
        </w:rPr>
        <w:t>,</w:t>
      </w:r>
      <w:r w:rsidR="00571704" w:rsidRPr="004862A3">
        <w:rPr>
          <w:rFonts w:ascii="Verdana" w:eastAsia="Calibri" w:hAnsi="Verdana" w:cs="Verdana"/>
          <w:sz w:val="20"/>
          <w:szCs w:val="20"/>
        </w:rPr>
        <w:t xml:space="preserve"> </w:t>
      </w:r>
      <w:r w:rsidR="00935EA1">
        <w:rPr>
          <w:rFonts w:ascii="Verdana" w:eastAsia="Calibri" w:hAnsi="Verdana" w:cs="Verdana"/>
          <w:sz w:val="20"/>
          <w:szCs w:val="20"/>
        </w:rPr>
        <w:t xml:space="preserve">51.11, </w:t>
      </w:r>
      <w:r w:rsidR="00490D5B">
        <w:rPr>
          <w:rFonts w:ascii="Verdana" w:eastAsia="Calibri" w:hAnsi="Verdana" w:cs="Verdana"/>
          <w:sz w:val="20"/>
          <w:szCs w:val="20"/>
        </w:rPr>
        <w:t xml:space="preserve">52.3, 53, 54, </w:t>
      </w:r>
      <w:r w:rsidR="00571704" w:rsidRPr="004862A3">
        <w:rPr>
          <w:rFonts w:ascii="Verdana" w:eastAsia="Calibri" w:hAnsi="Verdana" w:cs="Verdana"/>
          <w:sz w:val="20"/>
          <w:szCs w:val="20"/>
        </w:rPr>
        <w:t>56</w:t>
      </w:r>
      <w:r w:rsidR="00490D5B">
        <w:rPr>
          <w:rFonts w:ascii="Verdana" w:eastAsia="Calibri" w:hAnsi="Verdana" w:cs="Verdana"/>
          <w:sz w:val="20"/>
          <w:szCs w:val="20"/>
        </w:rPr>
        <w:t xml:space="preserve"> y</w:t>
      </w:r>
      <w:r w:rsidRPr="004862A3">
        <w:rPr>
          <w:rFonts w:ascii="Verdana" w:eastAsia="Calibri" w:hAnsi="Verdana" w:cs="Verdana"/>
          <w:sz w:val="20"/>
          <w:szCs w:val="20"/>
        </w:rPr>
        <w:t xml:space="preserve"> 60</w:t>
      </w:r>
      <w:r w:rsidR="00571704" w:rsidRPr="004862A3">
        <w:rPr>
          <w:rFonts w:ascii="Verdana" w:eastAsia="Calibri" w:hAnsi="Verdana" w:cs="Verdana"/>
          <w:sz w:val="20"/>
          <w:szCs w:val="20"/>
        </w:rPr>
        <w:t xml:space="preserve"> </w:t>
      </w:r>
      <w:r w:rsidRPr="004862A3">
        <w:rPr>
          <w:rFonts w:ascii="Verdana" w:eastAsia="Calibri" w:hAnsi="Verdana" w:cs="Verdana"/>
          <w:sz w:val="20"/>
          <w:szCs w:val="20"/>
        </w:rPr>
        <w:t xml:space="preserve">del Reglamento, </w:t>
      </w:r>
    </w:p>
    <w:p w:rsidR="00802BD5" w:rsidRPr="004862A3" w:rsidRDefault="00802BD5" w:rsidP="004862A3">
      <w:pPr>
        <w:tabs>
          <w:tab w:val="left" w:pos="567"/>
        </w:tabs>
        <w:spacing w:after="0" w:line="240" w:lineRule="auto"/>
        <w:jc w:val="both"/>
        <w:rPr>
          <w:rFonts w:ascii="Verdana" w:eastAsia="Calibri" w:hAnsi="Verdana" w:cs="Verdana"/>
          <w:sz w:val="20"/>
          <w:szCs w:val="20"/>
        </w:rPr>
      </w:pPr>
    </w:p>
    <w:p w:rsidR="00CF1C87" w:rsidRPr="004862A3" w:rsidRDefault="00802BD5" w:rsidP="004862A3">
      <w:pPr>
        <w:tabs>
          <w:tab w:val="left" w:pos="567"/>
        </w:tabs>
        <w:spacing w:after="0" w:line="240" w:lineRule="auto"/>
        <w:jc w:val="both"/>
        <w:rPr>
          <w:rFonts w:ascii="Verdana" w:eastAsia="Calibri" w:hAnsi="Verdana" w:cs="Verdana"/>
          <w:b/>
          <w:bCs/>
          <w:sz w:val="20"/>
          <w:szCs w:val="20"/>
        </w:rPr>
      </w:pPr>
      <w:r w:rsidRPr="004862A3">
        <w:rPr>
          <w:rFonts w:ascii="Verdana" w:eastAsia="Calibri" w:hAnsi="Verdana" w:cs="Verdana"/>
          <w:b/>
          <w:bCs/>
          <w:sz w:val="20"/>
          <w:szCs w:val="20"/>
        </w:rPr>
        <w:t>RESUELVE:</w:t>
      </w:r>
    </w:p>
    <w:p w:rsidR="00FA49F1" w:rsidRPr="004862A3" w:rsidRDefault="00FA49F1" w:rsidP="004862A3">
      <w:pPr>
        <w:tabs>
          <w:tab w:val="left" w:pos="567"/>
        </w:tabs>
        <w:spacing w:after="0" w:line="240" w:lineRule="auto"/>
        <w:jc w:val="both"/>
        <w:rPr>
          <w:rFonts w:ascii="Verdana" w:eastAsia="Calibri" w:hAnsi="Verdana" w:cs="Verdana"/>
          <w:b/>
          <w:bCs/>
          <w:sz w:val="20"/>
          <w:szCs w:val="20"/>
        </w:rPr>
      </w:pPr>
    </w:p>
    <w:p w:rsidR="00CF1C87" w:rsidRPr="004862A3" w:rsidRDefault="00022729" w:rsidP="004862A3">
      <w:pPr>
        <w:pStyle w:val="NoSpacing"/>
        <w:numPr>
          <w:ilvl w:val="2"/>
          <w:numId w:val="2"/>
        </w:numPr>
        <w:tabs>
          <w:tab w:val="clear" w:pos="1070"/>
          <w:tab w:val="left" w:pos="0"/>
          <w:tab w:val="num" w:pos="567"/>
        </w:tabs>
        <w:ind w:left="0" w:firstLine="0"/>
        <w:rPr>
          <w:szCs w:val="20"/>
        </w:rPr>
      </w:pPr>
      <w:bookmarkStart w:id="5" w:name="_Ref519530172"/>
      <w:bookmarkStart w:id="6" w:name="_Ref445286350"/>
      <w:r w:rsidRPr="004862A3">
        <w:rPr>
          <w:szCs w:val="20"/>
        </w:rPr>
        <w:t>Requerir, por las razones expuestas en la presente Resolución, de conformidad con el principio de economía procesal y en el ejercicio de la facultad que le otorga los artículos 50.1 y 50.3 del Reglamento, que las siguientes personas presenten sus declaraciones ante fedatario público:</w:t>
      </w:r>
      <w:bookmarkEnd w:id="5"/>
    </w:p>
    <w:p w:rsidR="00022729" w:rsidRPr="004862A3" w:rsidRDefault="00022729" w:rsidP="004862A3">
      <w:pPr>
        <w:pStyle w:val="ListParagraph"/>
        <w:tabs>
          <w:tab w:val="left" w:pos="567"/>
        </w:tabs>
        <w:spacing w:after="0" w:line="240" w:lineRule="auto"/>
        <w:ind w:left="360"/>
        <w:jc w:val="both"/>
        <w:rPr>
          <w:rFonts w:ascii="Verdana" w:hAnsi="Verdana"/>
          <w:bCs/>
          <w:iCs/>
          <w:sz w:val="20"/>
          <w:szCs w:val="20"/>
        </w:rPr>
      </w:pPr>
    </w:p>
    <w:p w:rsidR="00AD2C90" w:rsidRPr="00490D5B" w:rsidRDefault="00F53EA7" w:rsidP="00F53EA7">
      <w:pPr>
        <w:pStyle w:val="ListParagraph"/>
        <w:numPr>
          <w:ilvl w:val="0"/>
          <w:numId w:val="20"/>
        </w:numPr>
        <w:tabs>
          <w:tab w:val="left" w:pos="567"/>
        </w:tabs>
        <w:spacing w:after="0" w:line="240" w:lineRule="auto"/>
        <w:jc w:val="both"/>
        <w:rPr>
          <w:rFonts w:ascii="Verdana" w:hAnsi="Verdana"/>
          <w:b/>
          <w:bCs/>
          <w:i/>
          <w:iCs/>
          <w:sz w:val="20"/>
          <w:szCs w:val="20"/>
        </w:rPr>
      </w:pPr>
      <w:r w:rsidRPr="00490D5B">
        <w:rPr>
          <w:rFonts w:ascii="Verdana" w:hAnsi="Verdana"/>
          <w:b/>
          <w:bCs/>
          <w:i/>
          <w:iCs/>
          <w:sz w:val="20"/>
          <w:szCs w:val="20"/>
        </w:rPr>
        <w:t>Presunta víctima</w:t>
      </w:r>
    </w:p>
    <w:p w:rsidR="00F53EA7" w:rsidRPr="00490D5B" w:rsidRDefault="00F53EA7" w:rsidP="004862A3">
      <w:pPr>
        <w:pStyle w:val="ListParagraph"/>
        <w:tabs>
          <w:tab w:val="left" w:pos="567"/>
        </w:tabs>
        <w:spacing w:after="0" w:line="240" w:lineRule="auto"/>
        <w:jc w:val="both"/>
        <w:rPr>
          <w:rFonts w:ascii="Verdana" w:hAnsi="Verdana"/>
          <w:b/>
          <w:bCs/>
          <w:i/>
          <w:iCs/>
          <w:sz w:val="20"/>
          <w:szCs w:val="20"/>
        </w:rPr>
      </w:pPr>
    </w:p>
    <w:p w:rsidR="00AD2C90" w:rsidRPr="00490D5B" w:rsidRDefault="00F53EA7" w:rsidP="004862A3">
      <w:pPr>
        <w:pStyle w:val="ListParagraph"/>
        <w:tabs>
          <w:tab w:val="left" w:pos="567"/>
        </w:tabs>
        <w:spacing w:after="0" w:line="240" w:lineRule="auto"/>
        <w:jc w:val="both"/>
        <w:rPr>
          <w:rFonts w:ascii="Verdana" w:hAnsi="Verdana"/>
          <w:bCs/>
          <w:i/>
          <w:iCs/>
          <w:sz w:val="20"/>
          <w:szCs w:val="20"/>
        </w:rPr>
      </w:pPr>
      <w:r w:rsidRPr="00490D5B">
        <w:rPr>
          <w:rFonts w:ascii="Verdana" w:hAnsi="Verdana"/>
          <w:bCs/>
          <w:i/>
          <w:iCs/>
          <w:sz w:val="20"/>
          <w:szCs w:val="20"/>
        </w:rPr>
        <w:t>Propuest</w:t>
      </w:r>
      <w:r w:rsidR="006A2477" w:rsidRPr="00490D5B">
        <w:rPr>
          <w:rFonts w:ascii="Verdana" w:hAnsi="Verdana"/>
          <w:bCs/>
          <w:i/>
          <w:iCs/>
          <w:sz w:val="20"/>
          <w:szCs w:val="20"/>
        </w:rPr>
        <w:t>a</w:t>
      </w:r>
      <w:r w:rsidRPr="00490D5B">
        <w:rPr>
          <w:rFonts w:ascii="Verdana" w:hAnsi="Verdana"/>
          <w:bCs/>
          <w:i/>
          <w:iCs/>
          <w:sz w:val="20"/>
          <w:szCs w:val="20"/>
        </w:rPr>
        <w:t xml:space="preserve"> por las</w:t>
      </w:r>
      <w:r w:rsidR="00AD2C90" w:rsidRPr="00490D5B">
        <w:rPr>
          <w:rFonts w:ascii="Verdana" w:hAnsi="Verdana"/>
          <w:bCs/>
          <w:i/>
          <w:iCs/>
          <w:sz w:val="20"/>
          <w:szCs w:val="20"/>
        </w:rPr>
        <w:t xml:space="preserve"> representantes</w:t>
      </w:r>
    </w:p>
    <w:p w:rsidR="00AD2C90" w:rsidRPr="00490D5B" w:rsidRDefault="00AD2C90" w:rsidP="004862A3">
      <w:pPr>
        <w:pStyle w:val="ListParagraph"/>
        <w:tabs>
          <w:tab w:val="left" w:pos="567"/>
        </w:tabs>
        <w:spacing w:after="0" w:line="240" w:lineRule="auto"/>
        <w:jc w:val="both"/>
        <w:rPr>
          <w:rFonts w:ascii="Verdana" w:hAnsi="Verdana"/>
          <w:bCs/>
          <w:iCs/>
          <w:sz w:val="20"/>
          <w:szCs w:val="20"/>
        </w:rPr>
      </w:pPr>
    </w:p>
    <w:p w:rsidR="00AD2C90" w:rsidRPr="00490D5B" w:rsidRDefault="00AD2C90" w:rsidP="00490D5B">
      <w:pPr>
        <w:pStyle w:val="ListParagraph"/>
        <w:numPr>
          <w:ilvl w:val="3"/>
          <w:numId w:val="2"/>
        </w:numPr>
        <w:tabs>
          <w:tab w:val="clear" w:pos="1070"/>
          <w:tab w:val="left" w:pos="567"/>
          <w:tab w:val="num" w:pos="1134"/>
        </w:tabs>
        <w:spacing w:after="0" w:line="240" w:lineRule="auto"/>
        <w:ind w:left="1134" w:hanging="425"/>
        <w:jc w:val="both"/>
        <w:rPr>
          <w:rFonts w:ascii="Verdana" w:hAnsi="Verdana"/>
          <w:bCs/>
          <w:iCs/>
          <w:sz w:val="20"/>
          <w:szCs w:val="20"/>
        </w:rPr>
      </w:pPr>
      <w:r w:rsidRPr="00490D5B">
        <w:rPr>
          <w:rFonts w:ascii="Verdana" w:hAnsi="Verdana"/>
          <w:bCs/>
          <w:i/>
          <w:iCs/>
          <w:sz w:val="20"/>
          <w:szCs w:val="20"/>
        </w:rPr>
        <w:t>Oscar Muelle Flores</w:t>
      </w:r>
      <w:r w:rsidR="00935EA1" w:rsidRPr="00935EA1">
        <w:rPr>
          <w:rFonts w:ascii="Verdana" w:hAnsi="Verdana"/>
          <w:bCs/>
          <w:iCs/>
          <w:sz w:val="20"/>
          <w:szCs w:val="20"/>
        </w:rPr>
        <w:t>,</w:t>
      </w:r>
      <w:r w:rsidRPr="00490D5B">
        <w:rPr>
          <w:rFonts w:ascii="Verdana" w:hAnsi="Verdana"/>
          <w:bCs/>
          <w:iCs/>
          <w:sz w:val="20"/>
          <w:szCs w:val="20"/>
        </w:rPr>
        <w:t xml:space="preserve"> quién declarará sobre </w:t>
      </w:r>
      <w:r w:rsidRPr="00490D5B">
        <w:rPr>
          <w:rFonts w:ascii="Verdana" w:hAnsi="Verdana" w:cs="Arial"/>
          <w:sz w:val="20"/>
          <w:szCs w:val="20"/>
        </w:rPr>
        <w:t>el modo, tiempo y los hechos del presente caso, así como acerca de las consecuencias personales, familiares, económicas</w:t>
      </w:r>
      <w:r w:rsidR="00155EDF" w:rsidRPr="00490D5B">
        <w:rPr>
          <w:rFonts w:ascii="Verdana" w:hAnsi="Verdana" w:cs="Arial"/>
          <w:sz w:val="20"/>
          <w:szCs w:val="20"/>
        </w:rPr>
        <w:t xml:space="preserve"> y</w:t>
      </w:r>
      <w:r w:rsidRPr="00490D5B">
        <w:rPr>
          <w:rFonts w:ascii="Verdana" w:hAnsi="Verdana" w:cs="Arial"/>
          <w:sz w:val="20"/>
          <w:szCs w:val="20"/>
        </w:rPr>
        <w:t xml:space="preserve"> sociales</w:t>
      </w:r>
      <w:r w:rsidR="00155EDF" w:rsidRPr="00490D5B">
        <w:rPr>
          <w:rFonts w:ascii="Verdana" w:hAnsi="Verdana" w:cs="Arial"/>
          <w:sz w:val="20"/>
          <w:szCs w:val="20"/>
        </w:rPr>
        <w:t xml:space="preserve"> </w:t>
      </w:r>
      <w:r w:rsidRPr="00490D5B">
        <w:rPr>
          <w:rFonts w:ascii="Verdana" w:hAnsi="Verdana" w:cs="Arial"/>
          <w:sz w:val="20"/>
          <w:szCs w:val="20"/>
        </w:rPr>
        <w:t xml:space="preserve">que le </w:t>
      </w:r>
      <w:r w:rsidR="00155EDF" w:rsidRPr="00490D5B">
        <w:rPr>
          <w:rFonts w:ascii="Verdana" w:hAnsi="Verdana" w:cs="Arial"/>
          <w:sz w:val="20"/>
          <w:szCs w:val="20"/>
        </w:rPr>
        <w:t xml:space="preserve">habría </w:t>
      </w:r>
      <w:r w:rsidRPr="00490D5B">
        <w:rPr>
          <w:rFonts w:ascii="Verdana" w:hAnsi="Verdana" w:cs="Arial"/>
          <w:sz w:val="20"/>
          <w:szCs w:val="20"/>
        </w:rPr>
        <w:t>ocasion</w:t>
      </w:r>
      <w:r w:rsidR="00155EDF" w:rsidRPr="00490D5B">
        <w:rPr>
          <w:rFonts w:ascii="Verdana" w:hAnsi="Verdana" w:cs="Arial"/>
          <w:sz w:val="20"/>
          <w:szCs w:val="20"/>
        </w:rPr>
        <w:t>ado</w:t>
      </w:r>
      <w:r w:rsidRPr="00490D5B">
        <w:rPr>
          <w:rFonts w:ascii="Verdana" w:hAnsi="Verdana" w:cs="Arial"/>
          <w:sz w:val="20"/>
          <w:szCs w:val="20"/>
        </w:rPr>
        <w:t xml:space="preserve"> a él y a su familia </w:t>
      </w:r>
      <w:r w:rsidR="00155EDF" w:rsidRPr="00490D5B">
        <w:rPr>
          <w:rFonts w:ascii="Verdana" w:hAnsi="Verdana" w:cs="Arial"/>
          <w:sz w:val="20"/>
          <w:szCs w:val="20"/>
        </w:rPr>
        <w:t xml:space="preserve">la alegada ausencia de </w:t>
      </w:r>
      <w:r w:rsidRPr="00490D5B">
        <w:rPr>
          <w:rFonts w:ascii="Verdana" w:hAnsi="Verdana" w:cs="Arial"/>
          <w:sz w:val="20"/>
          <w:szCs w:val="20"/>
        </w:rPr>
        <w:t>pago de la pensi</w:t>
      </w:r>
      <w:r w:rsidR="000D4854" w:rsidRPr="00490D5B">
        <w:rPr>
          <w:rFonts w:ascii="Verdana" w:hAnsi="Verdana" w:cs="Arial"/>
          <w:sz w:val="20"/>
          <w:szCs w:val="20"/>
        </w:rPr>
        <w:t xml:space="preserve">ón por jubilación y la alegada </w:t>
      </w:r>
      <w:r w:rsidRPr="00490D5B">
        <w:rPr>
          <w:rFonts w:ascii="Verdana" w:hAnsi="Verdana" w:cs="Arial"/>
          <w:sz w:val="20"/>
          <w:szCs w:val="20"/>
        </w:rPr>
        <w:t xml:space="preserve">falta de cobertura </w:t>
      </w:r>
      <w:r w:rsidR="002E0C08" w:rsidRPr="00490D5B">
        <w:rPr>
          <w:rFonts w:ascii="Verdana" w:hAnsi="Verdana" w:cs="Arial"/>
          <w:sz w:val="20"/>
          <w:szCs w:val="20"/>
        </w:rPr>
        <w:t xml:space="preserve">por parte del </w:t>
      </w:r>
      <w:r w:rsidRPr="00490D5B">
        <w:rPr>
          <w:rFonts w:ascii="Verdana" w:hAnsi="Verdana" w:cs="Arial"/>
          <w:sz w:val="20"/>
          <w:szCs w:val="20"/>
        </w:rPr>
        <w:t>sistema pr</w:t>
      </w:r>
      <w:r w:rsidR="000D4854" w:rsidRPr="00490D5B">
        <w:rPr>
          <w:rFonts w:ascii="Verdana" w:hAnsi="Verdana" w:cs="Arial"/>
          <w:sz w:val="20"/>
          <w:szCs w:val="20"/>
        </w:rPr>
        <w:t>evisional durante más de 26 años.</w:t>
      </w:r>
    </w:p>
    <w:p w:rsidR="00F53EA7" w:rsidRPr="00490D5B" w:rsidRDefault="00F53EA7" w:rsidP="00F53EA7">
      <w:pPr>
        <w:pStyle w:val="ListParagraph"/>
        <w:tabs>
          <w:tab w:val="left" w:pos="567"/>
        </w:tabs>
        <w:spacing w:after="0" w:line="240" w:lineRule="auto"/>
        <w:ind w:left="1418"/>
        <w:jc w:val="both"/>
        <w:rPr>
          <w:rFonts w:ascii="Verdana" w:hAnsi="Verdana"/>
          <w:bCs/>
          <w:iCs/>
          <w:sz w:val="20"/>
          <w:szCs w:val="20"/>
        </w:rPr>
      </w:pPr>
    </w:p>
    <w:p w:rsidR="00F53EA7" w:rsidRPr="00490D5B" w:rsidRDefault="00F53EA7" w:rsidP="00F53EA7">
      <w:pPr>
        <w:pStyle w:val="ListParagraph"/>
        <w:numPr>
          <w:ilvl w:val="0"/>
          <w:numId w:val="20"/>
        </w:numPr>
        <w:tabs>
          <w:tab w:val="left" w:pos="567"/>
        </w:tabs>
        <w:spacing w:after="0" w:line="240" w:lineRule="auto"/>
        <w:jc w:val="both"/>
        <w:rPr>
          <w:rFonts w:ascii="Verdana" w:hAnsi="Verdana"/>
          <w:b/>
          <w:bCs/>
          <w:i/>
          <w:iCs/>
          <w:sz w:val="20"/>
          <w:szCs w:val="20"/>
        </w:rPr>
      </w:pPr>
      <w:r w:rsidRPr="00490D5B">
        <w:rPr>
          <w:rFonts w:ascii="Verdana" w:hAnsi="Verdana"/>
          <w:b/>
          <w:bCs/>
          <w:i/>
          <w:iCs/>
          <w:sz w:val="20"/>
          <w:szCs w:val="20"/>
        </w:rPr>
        <w:t>Testigos</w:t>
      </w:r>
    </w:p>
    <w:p w:rsidR="00F53EA7" w:rsidRPr="00490D5B" w:rsidRDefault="00F53EA7" w:rsidP="00F53EA7">
      <w:pPr>
        <w:pStyle w:val="ListParagraph"/>
        <w:tabs>
          <w:tab w:val="left" w:pos="567"/>
        </w:tabs>
        <w:spacing w:after="0" w:line="240" w:lineRule="auto"/>
        <w:jc w:val="both"/>
        <w:rPr>
          <w:rFonts w:ascii="Verdana" w:hAnsi="Verdana"/>
          <w:b/>
          <w:bCs/>
          <w:i/>
          <w:iCs/>
          <w:sz w:val="20"/>
          <w:szCs w:val="20"/>
        </w:rPr>
      </w:pPr>
    </w:p>
    <w:p w:rsidR="00F53EA7" w:rsidRPr="00490D5B" w:rsidRDefault="00F53EA7" w:rsidP="00F53EA7">
      <w:pPr>
        <w:pStyle w:val="ListParagraph"/>
        <w:tabs>
          <w:tab w:val="left" w:pos="567"/>
        </w:tabs>
        <w:spacing w:after="0" w:line="240" w:lineRule="auto"/>
        <w:jc w:val="both"/>
        <w:rPr>
          <w:rFonts w:ascii="Verdana" w:hAnsi="Verdana"/>
          <w:bCs/>
          <w:i/>
          <w:iCs/>
          <w:sz w:val="20"/>
          <w:szCs w:val="20"/>
        </w:rPr>
      </w:pPr>
      <w:r w:rsidRPr="00490D5B">
        <w:rPr>
          <w:rFonts w:ascii="Verdana" w:hAnsi="Verdana"/>
          <w:bCs/>
          <w:i/>
          <w:iCs/>
          <w:sz w:val="20"/>
          <w:szCs w:val="20"/>
        </w:rPr>
        <w:t>Propuesto</w:t>
      </w:r>
      <w:r w:rsidR="00D85BAE" w:rsidRPr="00490D5B">
        <w:rPr>
          <w:rFonts w:ascii="Verdana" w:hAnsi="Verdana"/>
          <w:bCs/>
          <w:i/>
          <w:iCs/>
          <w:sz w:val="20"/>
          <w:szCs w:val="20"/>
        </w:rPr>
        <w:t>s</w:t>
      </w:r>
      <w:r w:rsidRPr="00490D5B">
        <w:rPr>
          <w:rFonts w:ascii="Verdana" w:hAnsi="Verdana"/>
          <w:bCs/>
          <w:i/>
          <w:iCs/>
          <w:sz w:val="20"/>
          <w:szCs w:val="20"/>
        </w:rPr>
        <w:t xml:space="preserve"> por las representantes</w:t>
      </w:r>
    </w:p>
    <w:p w:rsidR="00F53EA7" w:rsidRPr="00490D5B" w:rsidRDefault="00F53EA7" w:rsidP="00F53EA7">
      <w:pPr>
        <w:pStyle w:val="ListParagraph"/>
        <w:tabs>
          <w:tab w:val="left" w:pos="567"/>
        </w:tabs>
        <w:spacing w:after="0" w:line="240" w:lineRule="auto"/>
        <w:jc w:val="both"/>
        <w:rPr>
          <w:rFonts w:ascii="Verdana" w:hAnsi="Verdana"/>
          <w:bCs/>
          <w:i/>
          <w:iCs/>
          <w:sz w:val="20"/>
          <w:szCs w:val="20"/>
        </w:rPr>
      </w:pPr>
    </w:p>
    <w:p w:rsidR="002E0C08" w:rsidRPr="00490D5B" w:rsidRDefault="00AD2C90" w:rsidP="00490D5B">
      <w:pPr>
        <w:pStyle w:val="ListParagraph"/>
        <w:numPr>
          <w:ilvl w:val="0"/>
          <w:numId w:val="41"/>
        </w:numPr>
        <w:tabs>
          <w:tab w:val="left" w:pos="567"/>
        </w:tabs>
        <w:spacing w:after="0" w:line="240" w:lineRule="auto"/>
        <w:jc w:val="both"/>
        <w:rPr>
          <w:rFonts w:ascii="Verdana" w:hAnsi="Verdana"/>
          <w:bCs/>
          <w:iCs/>
          <w:sz w:val="20"/>
          <w:szCs w:val="20"/>
        </w:rPr>
      </w:pPr>
      <w:r w:rsidRPr="00490D5B">
        <w:rPr>
          <w:rFonts w:ascii="Verdana" w:hAnsi="Verdana" w:cs="Arial"/>
          <w:bCs/>
          <w:i/>
          <w:sz w:val="20"/>
          <w:szCs w:val="20"/>
        </w:rPr>
        <w:t>Vibeke Ann Muelle Jensen</w:t>
      </w:r>
      <w:r w:rsidR="00F10B0C" w:rsidRPr="00490D5B">
        <w:rPr>
          <w:rFonts w:ascii="Verdana" w:hAnsi="Verdana"/>
          <w:bCs/>
          <w:iCs/>
          <w:sz w:val="20"/>
          <w:szCs w:val="20"/>
        </w:rPr>
        <w:t>, hija de la presunta víctima,</w:t>
      </w:r>
      <w:r w:rsidRPr="00490D5B">
        <w:rPr>
          <w:rFonts w:ascii="Verdana" w:hAnsi="Verdana"/>
          <w:bCs/>
          <w:iCs/>
          <w:sz w:val="20"/>
          <w:szCs w:val="20"/>
        </w:rPr>
        <w:t xml:space="preserve"> quién declarará </w:t>
      </w:r>
      <w:r w:rsidR="002E0C08" w:rsidRPr="00490D5B">
        <w:rPr>
          <w:rFonts w:ascii="Verdana" w:hAnsi="Verdana"/>
          <w:bCs/>
          <w:iCs/>
          <w:sz w:val="20"/>
          <w:szCs w:val="20"/>
        </w:rPr>
        <w:t xml:space="preserve">sobre </w:t>
      </w:r>
      <w:r w:rsidR="002E0C08" w:rsidRPr="00490D5B">
        <w:rPr>
          <w:rFonts w:ascii="Verdana" w:hAnsi="Verdana" w:cs="Arial"/>
          <w:sz w:val="20"/>
          <w:szCs w:val="20"/>
        </w:rPr>
        <w:t>el modo, tiempo y los hechos del presente caso, así como acerca de las consecuencias personales, familiares, económicas y sociales que le habría ocasionado al señor Muelle Flores y a su familia la alegada ausencia de pago de la pensión por jubilación y la alegada falta de cobertura por parte del sistema previsional durante más de 26 años.</w:t>
      </w:r>
    </w:p>
    <w:p w:rsidR="006A2477" w:rsidRPr="00490D5B" w:rsidRDefault="006A2477" w:rsidP="00490D5B">
      <w:pPr>
        <w:pStyle w:val="ListParagraph"/>
        <w:tabs>
          <w:tab w:val="left" w:pos="567"/>
          <w:tab w:val="num" w:pos="1070"/>
        </w:tabs>
        <w:spacing w:after="0" w:line="240" w:lineRule="auto"/>
        <w:ind w:left="1418"/>
        <w:jc w:val="both"/>
        <w:rPr>
          <w:rFonts w:ascii="Verdana" w:hAnsi="Verdana"/>
          <w:bCs/>
          <w:iCs/>
          <w:sz w:val="20"/>
          <w:szCs w:val="20"/>
        </w:rPr>
      </w:pPr>
    </w:p>
    <w:p w:rsidR="00F53EA7" w:rsidRPr="00490D5B" w:rsidRDefault="00F53EA7" w:rsidP="00490D5B">
      <w:pPr>
        <w:pStyle w:val="ListParagraph"/>
        <w:numPr>
          <w:ilvl w:val="0"/>
          <w:numId w:val="41"/>
        </w:numPr>
        <w:tabs>
          <w:tab w:val="left" w:pos="567"/>
        </w:tabs>
        <w:spacing w:after="0" w:line="240" w:lineRule="auto"/>
        <w:jc w:val="both"/>
        <w:rPr>
          <w:rFonts w:ascii="Verdana" w:hAnsi="Verdana"/>
          <w:bCs/>
          <w:iCs/>
          <w:sz w:val="20"/>
          <w:szCs w:val="20"/>
        </w:rPr>
      </w:pPr>
      <w:r w:rsidRPr="00490D5B">
        <w:rPr>
          <w:rFonts w:ascii="Verdana" w:hAnsi="Verdana" w:cs="Arial"/>
          <w:i/>
          <w:sz w:val="20"/>
          <w:szCs w:val="20"/>
        </w:rPr>
        <w:t>Jesús Aníbal Delgado Flores</w:t>
      </w:r>
      <w:r w:rsidRPr="00490D5B">
        <w:rPr>
          <w:rFonts w:ascii="Verdana" w:hAnsi="Verdana" w:cs="Arial"/>
          <w:sz w:val="20"/>
          <w:szCs w:val="20"/>
        </w:rPr>
        <w:t xml:space="preserve">, hermano de la presunta víctima, </w:t>
      </w:r>
      <w:r w:rsidR="002E0C08" w:rsidRPr="00490D5B">
        <w:rPr>
          <w:rFonts w:ascii="Verdana" w:hAnsi="Verdana"/>
          <w:bCs/>
          <w:iCs/>
          <w:sz w:val="20"/>
          <w:szCs w:val="20"/>
        </w:rPr>
        <w:t xml:space="preserve">quién declarará sobre </w:t>
      </w:r>
      <w:r w:rsidR="002E0C08" w:rsidRPr="00490D5B">
        <w:rPr>
          <w:rFonts w:ascii="Verdana" w:hAnsi="Verdana" w:cs="Arial"/>
          <w:sz w:val="20"/>
          <w:szCs w:val="20"/>
        </w:rPr>
        <w:t>el modo, tiempo y los hechos del presente caso, así como acerca de las consecuencias personales, familiares, económicas y sociales que le habría ocasionado al señor Muelle Flores y a su familia la alegada ausencia de pago de la pensión por jubilación y la alegada falta de cobertura por parte del sistema previsional durante más de 26 años.</w:t>
      </w:r>
    </w:p>
    <w:p w:rsidR="000B453F" w:rsidRPr="00490D5B" w:rsidRDefault="000B453F" w:rsidP="004862A3">
      <w:pPr>
        <w:tabs>
          <w:tab w:val="left" w:pos="567"/>
        </w:tabs>
        <w:spacing w:after="0" w:line="240" w:lineRule="auto"/>
        <w:jc w:val="both"/>
        <w:rPr>
          <w:rFonts w:ascii="Verdana" w:hAnsi="Verdana"/>
          <w:b/>
          <w:bCs/>
          <w:i/>
          <w:iCs/>
          <w:sz w:val="20"/>
          <w:szCs w:val="20"/>
        </w:rPr>
      </w:pPr>
    </w:p>
    <w:p w:rsidR="00CF1C87" w:rsidRPr="00490D5B" w:rsidRDefault="00FC705C" w:rsidP="004862A3">
      <w:pPr>
        <w:pStyle w:val="ListParagraph"/>
        <w:numPr>
          <w:ilvl w:val="0"/>
          <w:numId w:val="20"/>
        </w:numPr>
        <w:tabs>
          <w:tab w:val="left" w:pos="567"/>
        </w:tabs>
        <w:spacing w:after="0" w:line="240" w:lineRule="auto"/>
        <w:jc w:val="both"/>
        <w:rPr>
          <w:rFonts w:ascii="Verdana" w:hAnsi="Verdana"/>
          <w:b/>
          <w:bCs/>
          <w:i/>
          <w:iCs/>
          <w:sz w:val="20"/>
          <w:szCs w:val="20"/>
        </w:rPr>
      </w:pPr>
      <w:r w:rsidRPr="00490D5B">
        <w:rPr>
          <w:rFonts w:ascii="Verdana" w:hAnsi="Verdana"/>
          <w:b/>
          <w:bCs/>
          <w:i/>
          <w:iCs/>
          <w:sz w:val="20"/>
          <w:szCs w:val="20"/>
        </w:rPr>
        <w:t>Peritos</w:t>
      </w:r>
      <w:r w:rsidR="00CF1C87" w:rsidRPr="00490D5B">
        <w:rPr>
          <w:rFonts w:ascii="Verdana" w:hAnsi="Verdana"/>
          <w:b/>
          <w:bCs/>
          <w:i/>
          <w:iCs/>
          <w:sz w:val="20"/>
          <w:szCs w:val="20"/>
        </w:rPr>
        <w:t xml:space="preserve"> </w:t>
      </w:r>
    </w:p>
    <w:p w:rsidR="00B64B6F" w:rsidRPr="00490D5B" w:rsidRDefault="00B64B6F" w:rsidP="004862A3">
      <w:pPr>
        <w:tabs>
          <w:tab w:val="left" w:pos="567"/>
        </w:tabs>
        <w:spacing w:after="0" w:line="240" w:lineRule="auto"/>
        <w:jc w:val="both"/>
        <w:rPr>
          <w:rFonts w:ascii="Verdana" w:hAnsi="Verdana"/>
          <w:b/>
          <w:bCs/>
          <w:i/>
          <w:iCs/>
          <w:sz w:val="20"/>
          <w:szCs w:val="20"/>
        </w:rPr>
      </w:pPr>
    </w:p>
    <w:bookmarkEnd w:id="6"/>
    <w:p w:rsidR="00F62D42" w:rsidRPr="00490D5B" w:rsidRDefault="00AD2C90" w:rsidP="004862A3">
      <w:pPr>
        <w:pStyle w:val="NoSpacing"/>
        <w:numPr>
          <w:ilvl w:val="0"/>
          <w:numId w:val="0"/>
        </w:numPr>
        <w:ind w:left="720"/>
        <w:rPr>
          <w:rFonts w:eastAsia="Calibri" w:cs="Calibri"/>
          <w:i/>
          <w:szCs w:val="20"/>
          <w:lang w:val="es-MX"/>
        </w:rPr>
      </w:pPr>
      <w:r w:rsidRPr="00490D5B">
        <w:rPr>
          <w:rFonts w:eastAsia="Calibri" w:cs="Calibri"/>
          <w:i/>
          <w:szCs w:val="20"/>
          <w:lang w:val="es-MX"/>
        </w:rPr>
        <w:t>Propuesto por la Comisión</w:t>
      </w:r>
    </w:p>
    <w:p w:rsidR="00B673BC" w:rsidRPr="00490D5B" w:rsidRDefault="00B673BC" w:rsidP="004862A3">
      <w:pPr>
        <w:pStyle w:val="NoSpacing"/>
        <w:numPr>
          <w:ilvl w:val="0"/>
          <w:numId w:val="0"/>
        </w:numPr>
        <w:ind w:left="720"/>
        <w:rPr>
          <w:rFonts w:eastAsia="Calibri" w:cs="Calibri"/>
          <w:i/>
          <w:szCs w:val="20"/>
          <w:lang w:val="es-MX"/>
        </w:rPr>
      </w:pPr>
    </w:p>
    <w:p w:rsidR="00B673BC" w:rsidRPr="00490D5B" w:rsidRDefault="00B673BC" w:rsidP="00490D5B">
      <w:pPr>
        <w:pStyle w:val="NoSpacing"/>
        <w:numPr>
          <w:ilvl w:val="0"/>
          <w:numId w:val="42"/>
        </w:numPr>
        <w:rPr>
          <w:rFonts w:eastAsia="Calibri" w:cs="Calibri"/>
          <w:szCs w:val="20"/>
          <w:lang w:val="es-MX"/>
        </w:rPr>
      </w:pPr>
      <w:r w:rsidRPr="00490D5B">
        <w:rPr>
          <w:i/>
          <w:szCs w:val="20"/>
        </w:rPr>
        <w:t>Christian Courtis</w:t>
      </w:r>
      <w:r w:rsidR="00D85BAE" w:rsidRPr="00490D5B">
        <w:rPr>
          <w:i/>
          <w:szCs w:val="20"/>
        </w:rPr>
        <w:t>,</w:t>
      </w:r>
      <w:r w:rsidRPr="00490D5B">
        <w:rPr>
          <w:szCs w:val="20"/>
        </w:rPr>
        <w:t xml:space="preserve"> quién rendirá </w:t>
      </w:r>
      <w:r w:rsidR="007257AD" w:rsidRPr="00490D5B">
        <w:rPr>
          <w:szCs w:val="20"/>
        </w:rPr>
        <w:t xml:space="preserve">un peritaje </w:t>
      </w:r>
      <w:r w:rsidRPr="00490D5B">
        <w:rPr>
          <w:szCs w:val="20"/>
        </w:rPr>
        <w:t>sobre l</w:t>
      </w:r>
      <w:r w:rsidRPr="00490D5B">
        <w:rPr>
          <w:rFonts w:cs="Arial"/>
          <w:szCs w:val="20"/>
        </w:rPr>
        <w:t xml:space="preserve">a falta de cumplimiento de sentencias judiciales que reconocen derechos pensionarios como una forma de </w:t>
      </w:r>
      <w:r w:rsidR="00937337" w:rsidRPr="00490D5B">
        <w:rPr>
          <w:rFonts w:cs="Arial"/>
          <w:szCs w:val="20"/>
        </w:rPr>
        <w:t>denegació</w:t>
      </w:r>
      <w:r w:rsidRPr="00490D5B">
        <w:rPr>
          <w:rFonts w:cs="Arial"/>
          <w:szCs w:val="20"/>
        </w:rPr>
        <w:t>n de justicia en general y, específicamente, en materia de derechos</w:t>
      </w:r>
      <w:r w:rsidR="003F3718" w:rsidRPr="00490D5B">
        <w:rPr>
          <w:rFonts w:cs="Arial"/>
          <w:szCs w:val="20"/>
        </w:rPr>
        <w:t xml:space="preserve"> económicos, sociales y cultura</w:t>
      </w:r>
      <w:r w:rsidRPr="00490D5B">
        <w:rPr>
          <w:rFonts w:cs="Arial"/>
          <w:szCs w:val="20"/>
        </w:rPr>
        <w:t xml:space="preserve">les. El perito tomará en cuenta los hechos del caso para pronunciarse sobre los obstáculos que se presentaron en el mismo, a la luz tanto de los derechos a las garantías judiciales y protección judicial, como del derecho a la propiedad privada. En particular, el perito se referirá a las obligaciones que resultan exigibles a los Estados en el contexto de privatización de una empresa frente a los derechos de los trabajadores y jubilados, incluyendo el cumplimiento de fallos judiciales sobre </w:t>
      </w:r>
      <w:r w:rsidR="00BC4005" w:rsidRPr="00490D5B">
        <w:rPr>
          <w:rFonts w:cs="Arial"/>
          <w:szCs w:val="20"/>
        </w:rPr>
        <w:t>la materia emitida</w:t>
      </w:r>
      <w:r w:rsidRPr="00490D5B">
        <w:rPr>
          <w:rFonts w:cs="Arial"/>
          <w:szCs w:val="20"/>
        </w:rPr>
        <w:t xml:space="preserve"> con anterioridad a la privatización.</w:t>
      </w:r>
    </w:p>
    <w:p w:rsidR="00B673BC" w:rsidRPr="004862A3" w:rsidRDefault="00B673BC" w:rsidP="004862A3">
      <w:pPr>
        <w:pStyle w:val="NoSpacing"/>
        <w:numPr>
          <w:ilvl w:val="0"/>
          <w:numId w:val="0"/>
        </w:numPr>
        <w:ind w:left="1070"/>
        <w:rPr>
          <w:rFonts w:eastAsia="Calibri" w:cs="Calibri"/>
          <w:szCs w:val="20"/>
          <w:lang w:val="es-MX"/>
        </w:rPr>
      </w:pPr>
    </w:p>
    <w:p w:rsidR="00B673BC" w:rsidRPr="004862A3" w:rsidRDefault="00F10B0C" w:rsidP="004862A3">
      <w:pPr>
        <w:pStyle w:val="NoSpacing"/>
        <w:numPr>
          <w:ilvl w:val="0"/>
          <w:numId w:val="0"/>
        </w:numPr>
        <w:ind w:left="720"/>
        <w:rPr>
          <w:rFonts w:eastAsia="Calibri" w:cs="Calibri"/>
          <w:i/>
          <w:szCs w:val="20"/>
          <w:lang w:val="es-MX"/>
        </w:rPr>
      </w:pPr>
      <w:r>
        <w:rPr>
          <w:rFonts w:eastAsia="Calibri" w:cs="Calibri"/>
          <w:i/>
          <w:szCs w:val="20"/>
          <w:lang w:val="es-MX"/>
        </w:rPr>
        <w:t>Propuesta por la</w:t>
      </w:r>
      <w:r w:rsidR="00B673BC" w:rsidRPr="004862A3">
        <w:rPr>
          <w:rFonts w:eastAsia="Calibri" w:cs="Calibri"/>
          <w:i/>
          <w:szCs w:val="20"/>
          <w:lang w:val="es-MX"/>
        </w:rPr>
        <w:t>s representantes</w:t>
      </w:r>
    </w:p>
    <w:p w:rsidR="00937337" w:rsidRPr="004862A3" w:rsidRDefault="00937337" w:rsidP="004862A3">
      <w:pPr>
        <w:pStyle w:val="NoSpacing"/>
        <w:numPr>
          <w:ilvl w:val="0"/>
          <w:numId w:val="0"/>
        </w:numPr>
        <w:ind w:left="720"/>
        <w:rPr>
          <w:rFonts w:eastAsia="Calibri" w:cs="Calibri"/>
          <w:i/>
          <w:szCs w:val="20"/>
          <w:lang w:val="es-MX"/>
        </w:rPr>
      </w:pPr>
    </w:p>
    <w:p w:rsidR="00937337" w:rsidRPr="00490D5B" w:rsidRDefault="00935EA1" w:rsidP="00490D5B">
      <w:pPr>
        <w:pStyle w:val="NoSpacing"/>
        <w:numPr>
          <w:ilvl w:val="0"/>
          <w:numId w:val="42"/>
        </w:numPr>
        <w:rPr>
          <w:rFonts w:eastAsia="Calibri" w:cs="Calibri"/>
          <w:i/>
          <w:szCs w:val="20"/>
          <w:lang w:val="es-MX"/>
        </w:rPr>
      </w:pPr>
      <w:r>
        <w:rPr>
          <w:i/>
          <w:szCs w:val="20"/>
        </w:rPr>
        <w:t>Maria Virgí</w:t>
      </w:r>
      <w:r w:rsidR="00EB16F3">
        <w:rPr>
          <w:i/>
          <w:szCs w:val="20"/>
        </w:rPr>
        <w:t>nia Brá</w:t>
      </w:r>
      <w:r w:rsidR="00937337" w:rsidRPr="00F10B0C">
        <w:rPr>
          <w:i/>
          <w:szCs w:val="20"/>
        </w:rPr>
        <w:t>s Gomes</w:t>
      </w:r>
      <w:r w:rsidR="00937337" w:rsidRPr="004862A3">
        <w:rPr>
          <w:szCs w:val="20"/>
        </w:rPr>
        <w:t>, quién rendirá</w:t>
      </w:r>
      <w:r w:rsidR="00EB16F3">
        <w:rPr>
          <w:szCs w:val="20"/>
        </w:rPr>
        <w:t xml:space="preserve"> un peritaje</w:t>
      </w:r>
      <w:r w:rsidR="00937337" w:rsidRPr="004862A3">
        <w:rPr>
          <w:szCs w:val="20"/>
        </w:rPr>
        <w:t xml:space="preserve"> sobre </w:t>
      </w:r>
      <w:r w:rsidR="00937337" w:rsidRPr="004862A3">
        <w:rPr>
          <w:rFonts w:cs="Arial"/>
          <w:szCs w:val="20"/>
        </w:rPr>
        <w:t xml:space="preserve">el contenido, a la luz de los estándares internacionales, de los </w:t>
      </w:r>
      <w:r w:rsidR="00EB16F3">
        <w:rPr>
          <w:rFonts w:cs="Arial"/>
          <w:szCs w:val="20"/>
        </w:rPr>
        <w:t>d</w:t>
      </w:r>
      <w:r w:rsidR="00937337" w:rsidRPr="004862A3">
        <w:rPr>
          <w:rFonts w:cs="Arial"/>
          <w:szCs w:val="20"/>
        </w:rPr>
        <w:t xml:space="preserve">erechos </w:t>
      </w:r>
      <w:r w:rsidR="00EB16F3">
        <w:rPr>
          <w:rFonts w:cs="Arial"/>
          <w:szCs w:val="20"/>
        </w:rPr>
        <w:t>e</w:t>
      </w:r>
      <w:r w:rsidR="00937337" w:rsidRPr="004862A3">
        <w:rPr>
          <w:rFonts w:cs="Arial"/>
          <w:szCs w:val="20"/>
        </w:rPr>
        <w:t xml:space="preserve">conómicos, </w:t>
      </w:r>
      <w:r w:rsidR="00EB16F3">
        <w:rPr>
          <w:rFonts w:cs="Arial"/>
          <w:szCs w:val="20"/>
        </w:rPr>
        <w:t>s</w:t>
      </w:r>
      <w:r w:rsidR="00937337" w:rsidRPr="004862A3">
        <w:rPr>
          <w:rFonts w:cs="Arial"/>
          <w:szCs w:val="20"/>
        </w:rPr>
        <w:t xml:space="preserve">ociales y </w:t>
      </w:r>
      <w:r w:rsidR="00EB16F3">
        <w:rPr>
          <w:rFonts w:cs="Arial"/>
          <w:szCs w:val="20"/>
        </w:rPr>
        <w:t>c</w:t>
      </w:r>
      <w:r w:rsidR="00937337" w:rsidRPr="004862A3">
        <w:rPr>
          <w:rFonts w:cs="Arial"/>
          <w:szCs w:val="20"/>
        </w:rPr>
        <w:t xml:space="preserve">ulturales y, en especial, del derecho a la seguridad social. </w:t>
      </w:r>
      <w:r w:rsidR="00EB16F3">
        <w:rPr>
          <w:rFonts w:cs="Arial"/>
          <w:szCs w:val="20"/>
        </w:rPr>
        <w:t xml:space="preserve">Su peritaje </w:t>
      </w:r>
      <w:r w:rsidR="00937337" w:rsidRPr="004862A3">
        <w:rPr>
          <w:rFonts w:cs="Arial"/>
          <w:szCs w:val="20"/>
        </w:rPr>
        <w:t xml:space="preserve">tendrá por objeto argumentar sobre la justiciabilidad directa de los </w:t>
      </w:r>
      <w:r w:rsidR="00EB16F3" w:rsidRPr="004862A3">
        <w:rPr>
          <w:rFonts w:cs="Arial"/>
          <w:szCs w:val="20"/>
        </w:rPr>
        <w:t xml:space="preserve">de los </w:t>
      </w:r>
      <w:r w:rsidR="00EB16F3">
        <w:rPr>
          <w:rFonts w:cs="Arial"/>
          <w:szCs w:val="20"/>
        </w:rPr>
        <w:t>d</w:t>
      </w:r>
      <w:r w:rsidR="00EB16F3" w:rsidRPr="004862A3">
        <w:rPr>
          <w:rFonts w:cs="Arial"/>
          <w:szCs w:val="20"/>
        </w:rPr>
        <w:t xml:space="preserve">erechos </w:t>
      </w:r>
      <w:r w:rsidR="00EB16F3">
        <w:rPr>
          <w:rFonts w:cs="Arial"/>
          <w:szCs w:val="20"/>
        </w:rPr>
        <w:t>e</w:t>
      </w:r>
      <w:r w:rsidR="00EB16F3" w:rsidRPr="004862A3">
        <w:rPr>
          <w:rFonts w:cs="Arial"/>
          <w:szCs w:val="20"/>
        </w:rPr>
        <w:t xml:space="preserve">conómicos, </w:t>
      </w:r>
      <w:r w:rsidR="00EB16F3">
        <w:rPr>
          <w:rFonts w:cs="Arial"/>
          <w:szCs w:val="20"/>
        </w:rPr>
        <w:t>s</w:t>
      </w:r>
      <w:r w:rsidR="00EB16F3" w:rsidRPr="004862A3">
        <w:rPr>
          <w:rFonts w:cs="Arial"/>
          <w:szCs w:val="20"/>
        </w:rPr>
        <w:t xml:space="preserve">ociales y </w:t>
      </w:r>
      <w:r w:rsidR="00EB16F3">
        <w:rPr>
          <w:rFonts w:cs="Arial"/>
          <w:szCs w:val="20"/>
        </w:rPr>
        <w:t>c</w:t>
      </w:r>
      <w:r w:rsidR="00EB16F3" w:rsidRPr="004862A3">
        <w:rPr>
          <w:rFonts w:cs="Arial"/>
          <w:szCs w:val="20"/>
        </w:rPr>
        <w:t xml:space="preserve">ulturales </w:t>
      </w:r>
      <w:r w:rsidR="00937337" w:rsidRPr="004862A3">
        <w:rPr>
          <w:rFonts w:cs="Arial"/>
          <w:szCs w:val="20"/>
        </w:rPr>
        <w:t>contemplados en el art</w:t>
      </w:r>
      <w:r w:rsidR="00EB16F3">
        <w:rPr>
          <w:rFonts w:cs="Arial"/>
          <w:szCs w:val="20"/>
        </w:rPr>
        <w:t>ículo</w:t>
      </w:r>
      <w:r w:rsidR="00937337" w:rsidRPr="004862A3">
        <w:rPr>
          <w:rFonts w:cs="Arial"/>
          <w:szCs w:val="20"/>
        </w:rPr>
        <w:t xml:space="preserve"> 26 de la </w:t>
      </w:r>
      <w:r w:rsidR="00EB16F3">
        <w:rPr>
          <w:rFonts w:cs="Arial"/>
          <w:szCs w:val="20"/>
        </w:rPr>
        <w:t>Convención Americana</w:t>
      </w:r>
      <w:r w:rsidR="00937337" w:rsidRPr="004862A3">
        <w:rPr>
          <w:rFonts w:cs="Arial"/>
          <w:szCs w:val="20"/>
        </w:rPr>
        <w:t>; las obligaciones derivadas de la relación entre Derechos Humanos y empresas, las salvaguardias para protección de los derechos previsionales en los casos de privatizaciones de empresas estatales y el rol del Poder Judicial</w:t>
      </w:r>
      <w:r w:rsidR="00104B9F" w:rsidRPr="004862A3">
        <w:rPr>
          <w:rFonts w:cs="Arial"/>
          <w:szCs w:val="20"/>
        </w:rPr>
        <w:t xml:space="preserve"> como garantía del acceso a la j</w:t>
      </w:r>
      <w:r w:rsidR="00937337" w:rsidRPr="004862A3">
        <w:rPr>
          <w:rFonts w:cs="Arial"/>
          <w:szCs w:val="20"/>
        </w:rPr>
        <w:t xml:space="preserve">usticia y la efectividad de los recursos para la protección de los </w:t>
      </w:r>
      <w:r w:rsidR="00EB16F3">
        <w:rPr>
          <w:rFonts w:cs="Arial"/>
          <w:szCs w:val="20"/>
        </w:rPr>
        <w:t>d</w:t>
      </w:r>
      <w:r w:rsidR="00EB16F3" w:rsidRPr="004862A3">
        <w:rPr>
          <w:rFonts w:cs="Arial"/>
          <w:szCs w:val="20"/>
        </w:rPr>
        <w:t xml:space="preserve">erechos </w:t>
      </w:r>
      <w:r w:rsidR="00EB16F3">
        <w:rPr>
          <w:rFonts w:cs="Arial"/>
          <w:szCs w:val="20"/>
        </w:rPr>
        <w:t>e</w:t>
      </w:r>
      <w:r w:rsidR="00EB16F3" w:rsidRPr="004862A3">
        <w:rPr>
          <w:rFonts w:cs="Arial"/>
          <w:szCs w:val="20"/>
        </w:rPr>
        <w:t xml:space="preserve">conómicos, </w:t>
      </w:r>
      <w:r w:rsidR="00EB16F3">
        <w:rPr>
          <w:rFonts w:cs="Arial"/>
          <w:szCs w:val="20"/>
        </w:rPr>
        <w:t>s</w:t>
      </w:r>
      <w:r w:rsidR="00EB16F3" w:rsidRPr="004862A3">
        <w:rPr>
          <w:rFonts w:cs="Arial"/>
          <w:szCs w:val="20"/>
        </w:rPr>
        <w:t xml:space="preserve">ociales y </w:t>
      </w:r>
      <w:r w:rsidR="00EB16F3">
        <w:rPr>
          <w:rFonts w:cs="Arial"/>
          <w:szCs w:val="20"/>
        </w:rPr>
        <w:t>c</w:t>
      </w:r>
      <w:r w:rsidR="00EB16F3" w:rsidRPr="004862A3">
        <w:rPr>
          <w:rFonts w:cs="Arial"/>
          <w:szCs w:val="20"/>
        </w:rPr>
        <w:t>ulturales</w:t>
      </w:r>
      <w:r w:rsidR="00937337" w:rsidRPr="004862A3">
        <w:rPr>
          <w:rFonts w:cs="Arial"/>
          <w:szCs w:val="20"/>
        </w:rPr>
        <w:t xml:space="preserve">. Especialmente, la perita brindará una visión del tema en el derecho internacional así como en el derecho comparado, ofreciendo referencias de otros sistemas de protección de los derechos humanos, sistematizando los </w:t>
      </w:r>
      <w:r w:rsidR="00937337" w:rsidRPr="00490D5B">
        <w:rPr>
          <w:rFonts w:cs="Arial"/>
          <w:szCs w:val="20"/>
        </w:rPr>
        <w:t>estándares a considerar para decidir si se ha producido una violación de los derechos mencionados.</w:t>
      </w:r>
    </w:p>
    <w:p w:rsidR="00937337" w:rsidRPr="00490D5B" w:rsidRDefault="00937337" w:rsidP="004862A3">
      <w:pPr>
        <w:pStyle w:val="NoSpacing"/>
        <w:numPr>
          <w:ilvl w:val="0"/>
          <w:numId w:val="0"/>
        </w:numPr>
        <w:rPr>
          <w:rFonts w:eastAsia="Calibri" w:cs="Calibri"/>
          <w:i/>
          <w:szCs w:val="20"/>
          <w:lang w:val="es-MX"/>
        </w:rPr>
      </w:pPr>
    </w:p>
    <w:p w:rsidR="00937337" w:rsidRPr="00490D5B" w:rsidRDefault="00AD2C90" w:rsidP="004862A3">
      <w:pPr>
        <w:pStyle w:val="NoSpacing"/>
        <w:numPr>
          <w:ilvl w:val="0"/>
          <w:numId w:val="0"/>
        </w:numPr>
        <w:ind w:left="720"/>
        <w:rPr>
          <w:rFonts w:eastAsia="Calibri" w:cs="Calibri"/>
          <w:i/>
          <w:szCs w:val="20"/>
          <w:lang w:val="es-MX"/>
        </w:rPr>
      </w:pPr>
      <w:r w:rsidRPr="00490D5B">
        <w:rPr>
          <w:rFonts w:eastAsia="Calibri" w:cs="Calibri"/>
          <w:i/>
          <w:szCs w:val="20"/>
          <w:lang w:val="es-MX"/>
        </w:rPr>
        <w:t>Propuesto por el Estado</w:t>
      </w:r>
    </w:p>
    <w:p w:rsidR="00937337" w:rsidRPr="00490D5B" w:rsidRDefault="00937337" w:rsidP="004862A3">
      <w:pPr>
        <w:pStyle w:val="NoSpacing"/>
        <w:numPr>
          <w:ilvl w:val="0"/>
          <w:numId w:val="0"/>
        </w:numPr>
        <w:rPr>
          <w:rFonts w:eastAsia="Calibri" w:cs="Calibri"/>
          <w:i/>
          <w:szCs w:val="20"/>
          <w:lang w:val="es-MX"/>
        </w:rPr>
      </w:pPr>
    </w:p>
    <w:p w:rsidR="00A61E2E" w:rsidRPr="00490D5B" w:rsidRDefault="00937337" w:rsidP="00490D5B">
      <w:pPr>
        <w:pStyle w:val="NoSpacing"/>
        <w:numPr>
          <w:ilvl w:val="0"/>
          <w:numId w:val="42"/>
        </w:numPr>
        <w:rPr>
          <w:rFonts w:eastAsia="Calibri" w:cs="Calibri"/>
          <w:i/>
          <w:szCs w:val="20"/>
          <w:lang w:val="es-MX"/>
        </w:rPr>
      </w:pPr>
      <w:r w:rsidRPr="00490D5B">
        <w:rPr>
          <w:rFonts w:cs="Times New Roman"/>
          <w:bCs/>
          <w:i/>
          <w:szCs w:val="20"/>
        </w:rPr>
        <w:t>C</w:t>
      </w:r>
      <w:r w:rsidR="007E7E6D" w:rsidRPr="00490D5B">
        <w:rPr>
          <w:rFonts w:cs="Times New Roman"/>
          <w:bCs/>
          <w:i/>
          <w:szCs w:val="20"/>
        </w:rPr>
        <w:t>ésar Gonzá</w:t>
      </w:r>
      <w:r w:rsidRPr="00490D5B">
        <w:rPr>
          <w:rFonts w:cs="Times New Roman"/>
          <w:bCs/>
          <w:i/>
          <w:szCs w:val="20"/>
        </w:rPr>
        <w:t>le</w:t>
      </w:r>
      <w:r w:rsidR="007E7E6D" w:rsidRPr="00490D5B">
        <w:rPr>
          <w:rFonts w:cs="Times New Roman"/>
          <w:bCs/>
          <w:i/>
          <w:szCs w:val="20"/>
        </w:rPr>
        <w:t>s</w:t>
      </w:r>
      <w:r w:rsidRPr="00490D5B">
        <w:rPr>
          <w:rFonts w:cs="Times New Roman"/>
          <w:bCs/>
          <w:i/>
          <w:szCs w:val="20"/>
        </w:rPr>
        <w:t xml:space="preserve"> Hunt</w:t>
      </w:r>
      <w:r w:rsidRPr="00490D5B">
        <w:rPr>
          <w:rFonts w:cs="Times New Roman"/>
          <w:bCs/>
          <w:szCs w:val="20"/>
        </w:rPr>
        <w:t xml:space="preserve">, </w:t>
      </w:r>
      <w:r w:rsidR="007E7E6D" w:rsidRPr="00490D5B">
        <w:rPr>
          <w:rFonts w:cs="Times New Roman"/>
          <w:bCs/>
          <w:szCs w:val="20"/>
        </w:rPr>
        <w:t xml:space="preserve">quien rendirá un peritaje </w:t>
      </w:r>
      <w:r w:rsidRPr="00490D5B">
        <w:rPr>
          <w:rFonts w:cs="Times New Roman"/>
          <w:bCs/>
          <w:szCs w:val="20"/>
        </w:rPr>
        <w:t xml:space="preserve">sobre </w:t>
      </w:r>
      <w:r w:rsidRPr="00490D5B">
        <w:rPr>
          <w:rFonts w:cs="Times New Roman"/>
          <w:szCs w:val="20"/>
        </w:rPr>
        <w:t xml:space="preserve">el contexto del proceso de privatización de empresas estatales referido a los hechos del presente caso y sus consecuencias </w:t>
      </w:r>
      <w:r w:rsidR="007E7E6D" w:rsidRPr="00490D5B">
        <w:rPr>
          <w:rFonts w:cs="Times New Roman"/>
          <w:szCs w:val="20"/>
        </w:rPr>
        <w:t>sobre los derechos pensionarios,</w:t>
      </w:r>
      <w:r w:rsidRPr="00490D5B">
        <w:rPr>
          <w:rFonts w:cs="Times New Roman"/>
          <w:szCs w:val="20"/>
        </w:rPr>
        <w:t xml:space="preserve"> bajo el régimen del Decreto Ley N</w:t>
      </w:r>
      <w:r w:rsidR="007E7E6D" w:rsidRPr="00490D5B">
        <w:rPr>
          <w:rFonts w:cs="Times New Roman"/>
          <w:szCs w:val="20"/>
        </w:rPr>
        <w:t>o. 20530,</w:t>
      </w:r>
      <w:r w:rsidRPr="00490D5B">
        <w:rPr>
          <w:rFonts w:cs="Times New Roman"/>
          <w:szCs w:val="20"/>
        </w:rPr>
        <w:t xml:space="preserve"> de ex trabajadores de empresas públicas posteriormente privatizadas. Asimismo, explicará lo referido a la legislación en materia pensionaria aplicable a los hechos del presente caso. De igual manera, </w:t>
      </w:r>
      <w:r w:rsidR="007E7E6D" w:rsidRPr="00490D5B">
        <w:rPr>
          <w:rFonts w:cs="Times New Roman"/>
          <w:szCs w:val="20"/>
        </w:rPr>
        <w:t xml:space="preserve">declarará sobre </w:t>
      </w:r>
      <w:r w:rsidRPr="00490D5B">
        <w:rPr>
          <w:rFonts w:cs="Times New Roman"/>
          <w:szCs w:val="20"/>
        </w:rPr>
        <w:t>lo concerniente al proceso de ejecución de sentencias judiciales en materia previsional a favor de ex trabajadores de empresas privatizadas e incorporados al régimen del Decreto Ley N</w:t>
      </w:r>
      <w:r w:rsidR="007E7E6D" w:rsidRPr="00490D5B">
        <w:rPr>
          <w:rFonts w:cs="Times New Roman"/>
          <w:szCs w:val="20"/>
        </w:rPr>
        <w:t xml:space="preserve">o. </w:t>
      </w:r>
      <w:r w:rsidRPr="00490D5B">
        <w:rPr>
          <w:rFonts w:cs="Times New Roman"/>
          <w:szCs w:val="20"/>
        </w:rPr>
        <w:t>20530.</w:t>
      </w:r>
    </w:p>
    <w:p w:rsidR="00A61E2E" w:rsidRPr="004862A3" w:rsidRDefault="00A61E2E" w:rsidP="004862A3">
      <w:pPr>
        <w:pStyle w:val="NoSpacing"/>
        <w:numPr>
          <w:ilvl w:val="0"/>
          <w:numId w:val="0"/>
        </w:numPr>
        <w:rPr>
          <w:rFonts w:cs="Times New Roman"/>
          <w:szCs w:val="20"/>
          <w:lang w:val="es-MX"/>
        </w:rPr>
      </w:pPr>
    </w:p>
    <w:p w:rsidR="00A61E2E" w:rsidRPr="004862A3" w:rsidRDefault="00A61E2E" w:rsidP="004862A3">
      <w:pPr>
        <w:pStyle w:val="NoSpacing"/>
        <w:numPr>
          <w:ilvl w:val="0"/>
          <w:numId w:val="37"/>
        </w:numPr>
        <w:ind w:left="0" w:firstLine="0"/>
        <w:rPr>
          <w:rFonts w:eastAsia="Calibri" w:cs="Calibri"/>
          <w:i/>
          <w:szCs w:val="20"/>
          <w:lang w:val="es-MX"/>
        </w:rPr>
      </w:pPr>
      <w:r w:rsidRPr="004862A3">
        <w:rPr>
          <w:bCs/>
          <w:iCs/>
          <w:szCs w:val="20"/>
        </w:rPr>
        <w:t>Requerir a l</w:t>
      </w:r>
      <w:r w:rsidR="00F10B0C">
        <w:rPr>
          <w:bCs/>
          <w:iCs/>
          <w:szCs w:val="20"/>
        </w:rPr>
        <w:t>a Comisión</w:t>
      </w:r>
      <w:r w:rsidR="00490D5B">
        <w:rPr>
          <w:bCs/>
          <w:iCs/>
          <w:szCs w:val="20"/>
        </w:rPr>
        <w:t xml:space="preserve">, al Estado y </w:t>
      </w:r>
      <w:r w:rsidR="00F10B0C">
        <w:rPr>
          <w:bCs/>
          <w:iCs/>
          <w:szCs w:val="20"/>
        </w:rPr>
        <w:t>a la</w:t>
      </w:r>
      <w:r w:rsidRPr="004862A3">
        <w:rPr>
          <w:bCs/>
          <w:iCs/>
          <w:szCs w:val="20"/>
        </w:rPr>
        <w:t xml:space="preserve">s representantes que notifiquen la presente Resolución a las personas por ellos propuestas, respectivamente, que han sido convocados a rendir declaración, de conformidad con lo dispuesto en los artículos 50.2 y 50.4 del Reglamento. </w:t>
      </w:r>
    </w:p>
    <w:p w:rsidR="00A61E2E" w:rsidRPr="004862A3" w:rsidRDefault="00A61E2E" w:rsidP="004862A3">
      <w:pPr>
        <w:pStyle w:val="ListParagraph"/>
        <w:tabs>
          <w:tab w:val="left" w:pos="567"/>
        </w:tabs>
        <w:spacing w:after="0" w:line="240" w:lineRule="auto"/>
        <w:ind w:left="0"/>
        <w:jc w:val="both"/>
        <w:rPr>
          <w:rFonts w:ascii="Verdana" w:hAnsi="Verdana"/>
          <w:bCs/>
          <w:iCs/>
          <w:sz w:val="20"/>
          <w:szCs w:val="20"/>
        </w:rPr>
      </w:pPr>
    </w:p>
    <w:p w:rsidR="00490D5B" w:rsidRDefault="000D43E8" w:rsidP="00490D5B">
      <w:pPr>
        <w:pStyle w:val="ListParagraph"/>
        <w:numPr>
          <w:ilvl w:val="0"/>
          <w:numId w:val="37"/>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 xml:space="preserve">Requerir a la Comisión, al </w:t>
      </w:r>
      <w:r w:rsidR="00F10B0C">
        <w:rPr>
          <w:rFonts w:ascii="Verdana" w:hAnsi="Verdana"/>
          <w:bCs/>
          <w:iCs/>
          <w:sz w:val="20"/>
          <w:szCs w:val="20"/>
        </w:rPr>
        <w:t>Estado y a la</w:t>
      </w:r>
      <w:r w:rsidR="00A61E2E" w:rsidRPr="004862A3">
        <w:rPr>
          <w:rFonts w:ascii="Verdana" w:hAnsi="Verdana"/>
          <w:bCs/>
          <w:iCs/>
          <w:sz w:val="20"/>
          <w:szCs w:val="20"/>
        </w:rPr>
        <w:t xml:space="preserve">s representantes que remitan, en los términos del artículo 50.5 del Reglamento y de considerarlo pertinente, en el plazo improrrogable que vence el </w:t>
      </w:r>
      <w:r w:rsidR="003438F7">
        <w:rPr>
          <w:rFonts w:ascii="Verdana" w:hAnsi="Verdana"/>
          <w:bCs/>
          <w:iCs/>
          <w:sz w:val="20"/>
          <w:szCs w:val="20"/>
        </w:rPr>
        <w:t>6</w:t>
      </w:r>
      <w:r w:rsidR="00490D5B">
        <w:rPr>
          <w:rFonts w:ascii="Verdana" w:hAnsi="Verdana"/>
          <w:bCs/>
          <w:iCs/>
          <w:sz w:val="20"/>
          <w:szCs w:val="20"/>
        </w:rPr>
        <w:t xml:space="preserve"> </w:t>
      </w:r>
      <w:r w:rsidR="00A61E2E" w:rsidRPr="004862A3">
        <w:rPr>
          <w:rFonts w:ascii="Verdana" w:hAnsi="Verdana"/>
          <w:bCs/>
          <w:iCs/>
          <w:sz w:val="20"/>
          <w:szCs w:val="20"/>
        </w:rPr>
        <w:t xml:space="preserve">de </w:t>
      </w:r>
      <w:r w:rsidR="003438F7">
        <w:rPr>
          <w:rFonts w:ascii="Verdana" w:hAnsi="Verdana"/>
          <w:bCs/>
          <w:iCs/>
          <w:sz w:val="20"/>
          <w:szCs w:val="20"/>
        </w:rPr>
        <w:t xml:space="preserve">agosto </w:t>
      </w:r>
      <w:r w:rsidR="00A61E2E" w:rsidRPr="004862A3">
        <w:rPr>
          <w:rFonts w:ascii="Verdana" w:hAnsi="Verdana"/>
          <w:bCs/>
          <w:iCs/>
          <w:sz w:val="20"/>
          <w:szCs w:val="20"/>
        </w:rPr>
        <w:t>de 2018, las preguntas que estime</w:t>
      </w:r>
      <w:r w:rsidR="003438F7">
        <w:rPr>
          <w:rFonts w:ascii="Verdana" w:hAnsi="Verdana"/>
          <w:bCs/>
          <w:iCs/>
          <w:sz w:val="20"/>
          <w:szCs w:val="20"/>
        </w:rPr>
        <w:t>n</w:t>
      </w:r>
      <w:r w:rsidR="00A61E2E" w:rsidRPr="004862A3">
        <w:rPr>
          <w:rFonts w:ascii="Verdana" w:hAnsi="Verdana"/>
          <w:bCs/>
          <w:iCs/>
          <w:sz w:val="20"/>
          <w:szCs w:val="20"/>
        </w:rPr>
        <w:t xml:space="preserve"> pertinente formular, a través de la Corte Interamericana, a los declarantes indicados en </w:t>
      </w:r>
      <w:r w:rsidR="00763A91">
        <w:rPr>
          <w:rFonts w:ascii="Verdana" w:hAnsi="Verdana"/>
          <w:bCs/>
          <w:iCs/>
          <w:sz w:val="20"/>
          <w:szCs w:val="20"/>
        </w:rPr>
        <w:t xml:space="preserve">el </w:t>
      </w:r>
      <w:r>
        <w:rPr>
          <w:rFonts w:ascii="Verdana" w:hAnsi="Verdana"/>
          <w:bCs/>
          <w:iCs/>
          <w:sz w:val="20"/>
          <w:szCs w:val="20"/>
        </w:rPr>
        <w:t>punto</w:t>
      </w:r>
      <w:r w:rsidR="00763A91">
        <w:rPr>
          <w:rFonts w:ascii="Verdana" w:hAnsi="Verdana"/>
          <w:bCs/>
          <w:iCs/>
          <w:sz w:val="20"/>
          <w:szCs w:val="20"/>
        </w:rPr>
        <w:t xml:space="preserve"> resolutivo</w:t>
      </w:r>
      <w:r>
        <w:rPr>
          <w:rFonts w:ascii="Verdana" w:hAnsi="Verdana"/>
          <w:bCs/>
          <w:iCs/>
          <w:sz w:val="20"/>
          <w:szCs w:val="20"/>
        </w:rPr>
        <w:t xml:space="preserve"> </w:t>
      </w:r>
      <w:r w:rsidR="009B049B">
        <w:rPr>
          <w:rFonts w:ascii="Verdana" w:hAnsi="Verdana"/>
          <w:bCs/>
          <w:iCs/>
          <w:sz w:val="20"/>
          <w:szCs w:val="20"/>
        </w:rPr>
        <w:fldChar w:fldCharType="begin"/>
      </w:r>
      <w:r w:rsidR="00490D5B">
        <w:rPr>
          <w:rFonts w:ascii="Verdana" w:hAnsi="Verdana"/>
          <w:bCs/>
          <w:iCs/>
          <w:sz w:val="20"/>
          <w:szCs w:val="20"/>
        </w:rPr>
        <w:instrText xml:space="preserve"> REF _Ref519530172 \r \h </w:instrText>
      </w:r>
      <w:r w:rsidR="009B049B">
        <w:rPr>
          <w:rFonts w:ascii="Verdana" w:hAnsi="Verdana"/>
          <w:bCs/>
          <w:iCs/>
          <w:sz w:val="20"/>
          <w:szCs w:val="20"/>
        </w:rPr>
      </w:r>
      <w:r w:rsidR="009B049B">
        <w:rPr>
          <w:rFonts w:ascii="Verdana" w:hAnsi="Verdana"/>
          <w:bCs/>
          <w:iCs/>
          <w:sz w:val="20"/>
          <w:szCs w:val="20"/>
        </w:rPr>
        <w:fldChar w:fldCharType="separate"/>
      </w:r>
      <w:r w:rsidR="00E73B21">
        <w:rPr>
          <w:rFonts w:ascii="Verdana" w:hAnsi="Verdana"/>
          <w:bCs/>
          <w:iCs/>
          <w:sz w:val="20"/>
          <w:szCs w:val="20"/>
        </w:rPr>
        <w:t>1</w:t>
      </w:r>
      <w:r w:rsidR="009B049B">
        <w:rPr>
          <w:rFonts w:ascii="Verdana" w:hAnsi="Verdana"/>
          <w:bCs/>
          <w:iCs/>
          <w:sz w:val="20"/>
          <w:szCs w:val="20"/>
        </w:rPr>
        <w:fldChar w:fldCharType="end"/>
      </w:r>
      <w:r>
        <w:rPr>
          <w:rFonts w:ascii="Verdana" w:hAnsi="Verdana"/>
          <w:bCs/>
          <w:iCs/>
          <w:sz w:val="20"/>
          <w:szCs w:val="20"/>
        </w:rPr>
        <w:t xml:space="preserve"> </w:t>
      </w:r>
      <w:r w:rsidR="00A61E2E" w:rsidRPr="004862A3">
        <w:rPr>
          <w:rFonts w:ascii="Verdana" w:hAnsi="Verdana"/>
          <w:bCs/>
          <w:iCs/>
          <w:sz w:val="20"/>
          <w:szCs w:val="20"/>
        </w:rPr>
        <w:t>de la presente Resolución, según corresponda.</w:t>
      </w:r>
      <w:r w:rsidR="00490D5B">
        <w:rPr>
          <w:rFonts w:ascii="Verdana" w:hAnsi="Verdana"/>
          <w:bCs/>
          <w:iCs/>
          <w:sz w:val="20"/>
          <w:szCs w:val="20"/>
        </w:rPr>
        <w:t xml:space="preserve"> </w:t>
      </w:r>
    </w:p>
    <w:p w:rsidR="00C06FA0" w:rsidRDefault="00C06FA0" w:rsidP="00C06FA0">
      <w:pPr>
        <w:pStyle w:val="ListParagraph"/>
        <w:tabs>
          <w:tab w:val="left" w:pos="567"/>
        </w:tabs>
        <w:spacing w:after="0" w:line="240" w:lineRule="auto"/>
        <w:ind w:left="0"/>
        <w:jc w:val="both"/>
        <w:rPr>
          <w:rFonts w:ascii="Verdana" w:hAnsi="Verdana"/>
          <w:bCs/>
          <w:iCs/>
          <w:sz w:val="20"/>
          <w:szCs w:val="20"/>
        </w:rPr>
      </w:pPr>
    </w:p>
    <w:p w:rsidR="00C06FA0" w:rsidRPr="00C06FA0" w:rsidRDefault="00C06FA0" w:rsidP="00490D5B">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C06FA0">
        <w:rPr>
          <w:rFonts w:ascii="Verdana" w:hAnsi="Verdana"/>
          <w:sz w:val="20"/>
          <w:szCs w:val="20"/>
        </w:rPr>
        <w:t xml:space="preserve">Requerir a las representantes que comuniquen y remitan a la Corte, a más tardar el </w:t>
      </w:r>
      <w:r>
        <w:rPr>
          <w:rFonts w:ascii="Verdana" w:hAnsi="Verdana"/>
          <w:sz w:val="20"/>
          <w:szCs w:val="20"/>
        </w:rPr>
        <w:t>6</w:t>
      </w:r>
      <w:r w:rsidRPr="00C06FA0">
        <w:rPr>
          <w:rFonts w:ascii="Verdana" w:hAnsi="Verdana"/>
          <w:sz w:val="20"/>
          <w:szCs w:val="20"/>
        </w:rPr>
        <w:t xml:space="preserve"> de </w:t>
      </w:r>
      <w:r>
        <w:rPr>
          <w:rFonts w:ascii="Verdana" w:hAnsi="Verdana"/>
          <w:sz w:val="20"/>
          <w:szCs w:val="20"/>
        </w:rPr>
        <w:t xml:space="preserve">agosto </w:t>
      </w:r>
      <w:r w:rsidRPr="00C06FA0">
        <w:rPr>
          <w:rFonts w:ascii="Verdana" w:hAnsi="Verdana"/>
          <w:sz w:val="20"/>
          <w:szCs w:val="20"/>
        </w:rPr>
        <w:t>de 201</w:t>
      </w:r>
      <w:r>
        <w:rPr>
          <w:rFonts w:ascii="Verdana" w:hAnsi="Verdana"/>
          <w:sz w:val="20"/>
          <w:szCs w:val="20"/>
        </w:rPr>
        <w:t>8</w:t>
      </w:r>
      <w:r w:rsidRPr="00C06FA0">
        <w:rPr>
          <w:rFonts w:ascii="Verdana" w:hAnsi="Verdana"/>
          <w:sz w:val="20"/>
          <w:szCs w:val="20"/>
        </w:rPr>
        <w:t xml:space="preserve">, una cotización del costo de la formalización de las declaraciones ante fedatario público en el país de residencia </w:t>
      </w:r>
      <w:r>
        <w:rPr>
          <w:rFonts w:ascii="Verdana" w:hAnsi="Verdana"/>
          <w:sz w:val="20"/>
          <w:szCs w:val="20"/>
        </w:rPr>
        <w:t xml:space="preserve">de los declarantes </w:t>
      </w:r>
      <w:r w:rsidRPr="00C06FA0">
        <w:rPr>
          <w:rFonts w:ascii="Verdana" w:hAnsi="Verdana"/>
          <w:sz w:val="20"/>
          <w:szCs w:val="20"/>
        </w:rPr>
        <w:t>y de su</w:t>
      </w:r>
      <w:r>
        <w:rPr>
          <w:rFonts w:ascii="Verdana" w:hAnsi="Verdana"/>
          <w:sz w:val="20"/>
          <w:szCs w:val="20"/>
        </w:rPr>
        <w:t>s</w:t>
      </w:r>
      <w:r w:rsidRPr="00C06FA0">
        <w:rPr>
          <w:rFonts w:ascii="Verdana" w:hAnsi="Verdana"/>
          <w:sz w:val="20"/>
          <w:szCs w:val="20"/>
        </w:rPr>
        <w:t xml:space="preserve"> respectivo</w:t>
      </w:r>
      <w:r>
        <w:rPr>
          <w:rFonts w:ascii="Verdana" w:hAnsi="Verdana"/>
          <w:sz w:val="20"/>
          <w:szCs w:val="20"/>
        </w:rPr>
        <w:t>s</w:t>
      </w:r>
      <w:r w:rsidRPr="00C06FA0">
        <w:rPr>
          <w:rFonts w:ascii="Verdana" w:hAnsi="Verdana"/>
          <w:sz w:val="20"/>
          <w:szCs w:val="20"/>
        </w:rPr>
        <w:t xml:space="preserve"> envío</w:t>
      </w:r>
      <w:r>
        <w:rPr>
          <w:rFonts w:ascii="Verdana" w:hAnsi="Verdana"/>
          <w:sz w:val="20"/>
          <w:szCs w:val="20"/>
        </w:rPr>
        <w:t>s</w:t>
      </w:r>
      <w:r w:rsidRPr="00C06FA0">
        <w:rPr>
          <w:rFonts w:ascii="Verdana" w:hAnsi="Verdana"/>
          <w:sz w:val="20"/>
          <w:szCs w:val="20"/>
        </w:rPr>
        <w:t>, a fin de que sea</w:t>
      </w:r>
      <w:r>
        <w:rPr>
          <w:rFonts w:ascii="Verdana" w:hAnsi="Verdana"/>
          <w:sz w:val="20"/>
          <w:szCs w:val="20"/>
        </w:rPr>
        <w:t>n</w:t>
      </w:r>
      <w:r w:rsidRPr="00C06FA0">
        <w:rPr>
          <w:rFonts w:ascii="Verdana" w:hAnsi="Verdana"/>
          <w:sz w:val="20"/>
          <w:szCs w:val="20"/>
        </w:rPr>
        <w:t xml:space="preserve"> cubiert</w:t>
      </w:r>
      <w:r>
        <w:rPr>
          <w:rFonts w:ascii="Verdana" w:hAnsi="Verdana"/>
          <w:sz w:val="20"/>
          <w:szCs w:val="20"/>
        </w:rPr>
        <w:t>os</w:t>
      </w:r>
      <w:r w:rsidRPr="00C06FA0">
        <w:rPr>
          <w:rFonts w:ascii="Verdana" w:hAnsi="Verdana"/>
          <w:sz w:val="20"/>
          <w:szCs w:val="20"/>
        </w:rPr>
        <w:t xml:space="preserve"> por el Fondo de Asistencia, de conformidad con lo establecido en el </w:t>
      </w:r>
      <w:r>
        <w:rPr>
          <w:rFonts w:ascii="Verdana" w:hAnsi="Verdana"/>
          <w:sz w:val="20"/>
          <w:szCs w:val="20"/>
        </w:rPr>
        <w:t xml:space="preserve">Considerando </w:t>
      </w:r>
      <w:r>
        <w:rPr>
          <w:rFonts w:ascii="Verdana" w:hAnsi="Verdana"/>
          <w:sz w:val="20"/>
          <w:szCs w:val="20"/>
        </w:rPr>
        <w:fldChar w:fldCharType="begin"/>
      </w:r>
      <w:r>
        <w:rPr>
          <w:rFonts w:ascii="Verdana" w:hAnsi="Verdana"/>
          <w:sz w:val="20"/>
          <w:szCs w:val="20"/>
        </w:rPr>
        <w:instrText xml:space="preserve"> REF _Ref520460412 \r \h </w:instrText>
      </w:r>
      <w:r>
        <w:rPr>
          <w:rFonts w:ascii="Verdana" w:hAnsi="Verdana"/>
          <w:sz w:val="20"/>
          <w:szCs w:val="20"/>
        </w:rPr>
      </w:r>
      <w:r>
        <w:rPr>
          <w:rFonts w:ascii="Verdana" w:hAnsi="Verdana"/>
          <w:sz w:val="20"/>
          <w:szCs w:val="20"/>
        </w:rPr>
        <w:fldChar w:fldCharType="separate"/>
      </w:r>
      <w:r w:rsidR="00E73B21">
        <w:rPr>
          <w:rFonts w:ascii="Verdana" w:hAnsi="Verdana"/>
          <w:sz w:val="20"/>
          <w:szCs w:val="20"/>
        </w:rPr>
        <w:t>26</w:t>
      </w:r>
      <w:r>
        <w:rPr>
          <w:rFonts w:ascii="Verdana" w:hAnsi="Verdana"/>
          <w:sz w:val="20"/>
          <w:szCs w:val="20"/>
        </w:rPr>
        <w:fldChar w:fldCharType="end"/>
      </w:r>
      <w:r w:rsidRPr="00C06FA0">
        <w:rPr>
          <w:rFonts w:ascii="Verdana" w:hAnsi="Verdana"/>
          <w:sz w:val="20"/>
          <w:szCs w:val="20"/>
        </w:rPr>
        <w:t xml:space="preserve"> de la presente Resolución.</w:t>
      </w:r>
    </w:p>
    <w:p w:rsidR="00A61E2E" w:rsidRPr="004862A3" w:rsidRDefault="00A61E2E" w:rsidP="004862A3">
      <w:pPr>
        <w:pStyle w:val="ListParagraph"/>
        <w:tabs>
          <w:tab w:val="left" w:pos="567"/>
        </w:tabs>
        <w:spacing w:line="240" w:lineRule="auto"/>
        <w:jc w:val="both"/>
        <w:rPr>
          <w:rFonts w:ascii="Verdana" w:hAnsi="Verdana"/>
          <w:bCs/>
          <w:iCs/>
          <w:sz w:val="20"/>
          <w:szCs w:val="20"/>
        </w:rPr>
      </w:pPr>
    </w:p>
    <w:p w:rsidR="00A61E2E" w:rsidRPr="004862A3" w:rsidRDefault="00F10B0C" w:rsidP="004862A3">
      <w:pPr>
        <w:pStyle w:val="ListParagraph"/>
        <w:numPr>
          <w:ilvl w:val="0"/>
          <w:numId w:val="37"/>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Requerir a la</w:t>
      </w:r>
      <w:r w:rsidR="00A61E2E" w:rsidRPr="004862A3">
        <w:rPr>
          <w:rFonts w:ascii="Verdana" w:hAnsi="Verdana"/>
          <w:bCs/>
          <w:iCs/>
          <w:sz w:val="20"/>
          <w:szCs w:val="20"/>
        </w:rPr>
        <w:t>s representantes</w:t>
      </w:r>
      <w:r w:rsidR="000D43E8">
        <w:rPr>
          <w:rFonts w:ascii="Verdana" w:hAnsi="Verdana"/>
          <w:bCs/>
          <w:iCs/>
          <w:sz w:val="20"/>
          <w:szCs w:val="20"/>
        </w:rPr>
        <w:t>, al Estado</w:t>
      </w:r>
      <w:r w:rsidR="00A61E2E" w:rsidRPr="004862A3">
        <w:rPr>
          <w:rFonts w:ascii="Verdana" w:hAnsi="Verdana"/>
          <w:bCs/>
          <w:iCs/>
          <w:sz w:val="20"/>
          <w:szCs w:val="20"/>
        </w:rPr>
        <w:t xml:space="preserve"> y a la Comisión que coordinen y realicen las diligencias necesarias para que, una vez recibidas las preguntas de la contraparte</w:t>
      </w:r>
      <w:r w:rsidR="00763A91">
        <w:rPr>
          <w:rFonts w:ascii="Verdana" w:hAnsi="Verdana"/>
          <w:bCs/>
          <w:iCs/>
          <w:sz w:val="20"/>
          <w:szCs w:val="20"/>
        </w:rPr>
        <w:t xml:space="preserve"> y de la Comisión</w:t>
      </w:r>
      <w:r w:rsidR="00A61E2E" w:rsidRPr="004862A3">
        <w:rPr>
          <w:rFonts w:ascii="Verdana" w:hAnsi="Verdana"/>
          <w:bCs/>
          <w:iCs/>
          <w:sz w:val="20"/>
          <w:szCs w:val="20"/>
        </w:rPr>
        <w:t>, los declarantes incluyan las respuestas en sus declaraciones rendidas ante fedatario público, salvo que el Presidente disponga lo contrario cuando la Secretaría de la Corte las transmita. La</w:t>
      </w:r>
      <w:r w:rsidR="006A2477">
        <w:rPr>
          <w:rFonts w:ascii="Verdana" w:hAnsi="Verdana"/>
          <w:bCs/>
          <w:iCs/>
          <w:sz w:val="20"/>
          <w:szCs w:val="20"/>
        </w:rPr>
        <w:t>s</w:t>
      </w:r>
      <w:r w:rsidR="00A61E2E" w:rsidRPr="004862A3">
        <w:rPr>
          <w:rFonts w:ascii="Verdana" w:hAnsi="Verdana"/>
          <w:bCs/>
          <w:iCs/>
          <w:sz w:val="20"/>
          <w:szCs w:val="20"/>
        </w:rPr>
        <w:t xml:space="preserve"> declaraci</w:t>
      </w:r>
      <w:r w:rsidR="00104B9F" w:rsidRPr="004862A3">
        <w:rPr>
          <w:rFonts w:ascii="Verdana" w:hAnsi="Verdana"/>
          <w:bCs/>
          <w:iCs/>
          <w:sz w:val="20"/>
          <w:szCs w:val="20"/>
        </w:rPr>
        <w:t>ones</w:t>
      </w:r>
      <w:r w:rsidR="00763A91">
        <w:rPr>
          <w:rFonts w:ascii="Verdana" w:hAnsi="Verdana"/>
          <w:bCs/>
          <w:iCs/>
          <w:sz w:val="20"/>
          <w:szCs w:val="20"/>
        </w:rPr>
        <w:t xml:space="preserve"> requeridas en el punto resolutivo </w:t>
      </w:r>
      <w:r w:rsidR="009B049B">
        <w:rPr>
          <w:rFonts w:ascii="Verdana" w:hAnsi="Verdana"/>
          <w:bCs/>
          <w:iCs/>
          <w:sz w:val="20"/>
          <w:szCs w:val="20"/>
        </w:rPr>
        <w:fldChar w:fldCharType="begin"/>
      </w:r>
      <w:r w:rsidR="00763A91">
        <w:rPr>
          <w:rFonts w:ascii="Verdana" w:hAnsi="Verdana"/>
          <w:bCs/>
          <w:iCs/>
          <w:sz w:val="20"/>
          <w:szCs w:val="20"/>
        </w:rPr>
        <w:instrText xml:space="preserve"> REF _Ref519530172 \r \h </w:instrText>
      </w:r>
      <w:r w:rsidR="009B049B">
        <w:rPr>
          <w:rFonts w:ascii="Verdana" w:hAnsi="Verdana"/>
          <w:bCs/>
          <w:iCs/>
          <w:sz w:val="20"/>
          <w:szCs w:val="20"/>
        </w:rPr>
      </w:r>
      <w:r w:rsidR="009B049B">
        <w:rPr>
          <w:rFonts w:ascii="Verdana" w:hAnsi="Verdana"/>
          <w:bCs/>
          <w:iCs/>
          <w:sz w:val="20"/>
          <w:szCs w:val="20"/>
        </w:rPr>
        <w:fldChar w:fldCharType="separate"/>
      </w:r>
      <w:r w:rsidR="00E73B21">
        <w:rPr>
          <w:rFonts w:ascii="Verdana" w:hAnsi="Verdana"/>
          <w:bCs/>
          <w:iCs/>
          <w:sz w:val="20"/>
          <w:szCs w:val="20"/>
        </w:rPr>
        <w:t>1</w:t>
      </w:r>
      <w:r w:rsidR="009B049B">
        <w:rPr>
          <w:rFonts w:ascii="Verdana" w:hAnsi="Verdana"/>
          <w:bCs/>
          <w:iCs/>
          <w:sz w:val="20"/>
          <w:szCs w:val="20"/>
        </w:rPr>
        <w:fldChar w:fldCharType="end"/>
      </w:r>
      <w:r w:rsidR="00763A91">
        <w:rPr>
          <w:rFonts w:ascii="Verdana" w:hAnsi="Verdana"/>
          <w:bCs/>
          <w:iCs/>
          <w:sz w:val="20"/>
          <w:szCs w:val="20"/>
        </w:rPr>
        <w:t xml:space="preserve"> </w:t>
      </w:r>
      <w:r w:rsidR="00763A91" w:rsidRPr="004862A3">
        <w:rPr>
          <w:rFonts w:ascii="Verdana" w:hAnsi="Verdana"/>
          <w:bCs/>
          <w:iCs/>
          <w:sz w:val="20"/>
          <w:szCs w:val="20"/>
        </w:rPr>
        <w:t>de la presente Resolución</w:t>
      </w:r>
      <w:r w:rsidR="00A61E2E" w:rsidRPr="004862A3">
        <w:rPr>
          <w:rFonts w:ascii="Verdana" w:hAnsi="Verdana"/>
          <w:bCs/>
          <w:iCs/>
          <w:sz w:val="20"/>
          <w:szCs w:val="20"/>
        </w:rPr>
        <w:t xml:space="preserve"> deberán ser presentados a más tardar el </w:t>
      </w:r>
      <w:r w:rsidR="003438F7">
        <w:rPr>
          <w:rFonts w:ascii="Verdana" w:hAnsi="Verdana"/>
          <w:bCs/>
          <w:iCs/>
          <w:sz w:val="20"/>
          <w:szCs w:val="20"/>
        </w:rPr>
        <w:t xml:space="preserve">27 </w:t>
      </w:r>
      <w:r w:rsidR="00A61E2E" w:rsidRPr="004862A3">
        <w:rPr>
          <w:rFonts w:ascii="Verdana" w:hAnsi="Verdana"/>
          <w:bCs/>
          <w:iCs/>
          <w:sz w:val="20"/>
          <w:szCs w:val="20"/>
        </w:rPr>
        <w:t xml:space="preserve">de </w:t>
      </w:r>
      <w:r w:rsidR="006A2477">
        <w:rPr>
          <w:rFonts w:ascii="Verdana" w:hAnsi="Verdana"/>
          <w:bCs/>
          <w:iCs/>
          <w:sz w:val="20"/>
          <w:szCs w:val="20"/>
        </w:rPr>
        <w:t xml:space="preserve">agosto </w:t>
      </w:r>
      <w:r w:rsidR="00A61E2E" w:rsidRPr="004862A3">
        <w:rPr>
          <w:rFonts w:ascii="Verdana" w:hAnsi="Verdana"/>
          <w:bCs/>
          <w:iCs/>
          <w:sz w:val="20"/>
          <w:szCs w:val="20"/>
        </w:rPr>
        <w:t>de 2018.</w:t>
      </w:r>
    </w:p>
    <w:p w:rsidR="00A61E2E" w:rsidRPr="004862A3" w:rsidRDefault="00A61E2E" w:rsidP="004862A3">
      <w:pPr>
        <w:pStyle w:val="ListParagraph"/>
        <w:tabs>
          <w:tab w:val="left" w:pos="567"/>
        </w:tabs>
        <w:spacing w:after="0" w:line="240" w:lineRule="auto"/>
        <w:ind w:left="0"/>
        <w:jc w:val="both"/>
        <w:rPr>
          <w:rFonts w:ascii="Verdana" w:hAnsi="Verdana"/>
          <w:bCs/>
          <w:iCs/>
          <w:sz w:val="20"/>
          <w:szCs w:val="20"/>
        </w:rPr>
      </w:pPr>
    </w:p>
    <w:p w:rsidR="00A61E2E" w:rsidRPr="00763A91" w:rsidRDefault="00A61E2E" w:rsidP="004862A3">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4862A3">
        <w:rPr>
          <w:rFonts w:ascii="Verdana" w:hAnsi="Verdana"/>
          <w:bCs/>
          <w:iCs/>
          <w:sz w:val="20"/>
          <w:szCs w:val="20"/>
        </w:rPr>
        <w:t xml:space="preserve">Disponer, conforme al artículo 50.6 del Reglamento que, una vez recibidas las declaraciones, la </w:t>
      </w:r>
      <w:r w:rsidRPr="00763A91">
        <w:rPr>
          <w:rFonts w:ascii="Verdana" w:hAnsi="Verdana"/>
          <w:bCs/>
          <w:iCs/>
          <w:sz w:val="20"/>
          <w:szCs w:val="20"/>
        </w:rPr>
        <w:t>Secretaría de la Corte Interamerica</w:t>
      </w:r>
      <w:r w:rsidR="0054745F" w:rsidRPr="00763A91">
        <w:rPr>
          <w:rFonts w:ascii="Verdana" w:hAnsi="Verdana"/>
          <w:bCs/>
          <w:iCs/>
          <w:sz w:val="20"/>
          <w:szCs w:val="20"/>
        </w:rPr>
        <w:t>na las transmita al Estado, a la</w:t>
      </w:r>
      <w:r w:rsidRPr="00763A91">
        <w:rPr>
          <w:rFonts w:ascii="Verdana" w:hAnsi="Verdana"/>
          <w:bCs/>
          <w:iCs/>
          <w:sz w:val="20"/>
          <w:szCs w:val="20"/>
        </w:rPr>
        <w:t>s representantes y a la Comisión para que presenten sus observaciones a más tardar con sus alegatos u observaciones finales escritos, respectivamente.</w:t>
      </w:r>
    </w:p>
    <w:p w:rsidR="00A61E2E" w:rsidRPr="00763A91" w:rsidRDefault="00A61E2E" w:rsidP="004862A3">
      <w:pPr>
        <w:pStyle w:val="ListParagraph"/>
        <w:tabs>
          <w:tab w:val="left" w:pos="567"/>
        </w:tabs>
        <w:spacing w:line="240" w:lineRule="auto"/>
        <w:ind w:left="0"/>
        <w:jc w:val="both"/>
        <w:rPr>
          <w:rFonts w:ascii="Verdana" w:hAnsi="Verdana"/>
          <w:bCs/>
          <w:iCs/>
          <w:sz w:val="20"/>
          <w:szCs w:val="20"/>
        </w:rPr>
      </w:pPr>
    </w:p>
    <w:p w:rsidR="0064747D" w:rsidRPr="00763A91" w:rsidRDefault="0064747D" w:rsidP="004862A3">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763A91">
        <w:rPr>
          <w:rFonts w:ascii="Verdana" w:hAnsi="Verdana"/>
          <w:sz w:val="20"/>
          <w:szCs w:val="20"/>
        </w:rPr>
        <w:t xml:space="preserve">Informar a las partes y a la Comisión que los gastos relativos </w:t>
      </w:r>
      <w:r w:rsidR="00763A91" w:rsidRPr="00763A91">
        <w:rPr>
          <w:rFonts w:ascii="Verdana" w:hAnsi="Verdana"/>
          <w:sz w:val="20"/>
          <w:szCs w:val="20"/>
        </w:rPr>
        <w:t xml:space="preserve">a las declaraciones ofrecidas por las representantes en el presente caso </w:t>
      </w:r>
      <w:r w:rsidRPr="00763A91">
        <w:rPr>
          <w:rFonts w:ascii="Verdana" w:hAnsi="Verdana"/>
          <w:sz w:val="20"/>
          <w:szCs w:val="20"/>
        </w:rPr>
        <w:t xml:space="preserve">serán cubiertos por el Fondo de Asistencia Legal de Víctimas, de conformidad a lo señalado en los Considerandos </w:t>
      </w:r>
      <w:r w:rsidR="004F75EB">
        <w:fldChar w:fldCharType="begin"/>
      </w:r>
      <w:r w:rsidR="004F75EB">
        <w:instrText xml:space="preserve"> REF _Ref519530578 \r \h  \* MERGEFORMAT </w:instrText>
      </w:r>
      <w:r w:rsidR="004F75EB">
        <w:fldChar w:fldCharType="separate"/>
      </w:r>
      <w:r w:rsidR="00E73B21" w:rsidRPr="00E73B21">
        <w:rPr>
          <w:rFonts w:ascii="Verdana" w:hAnsi="Verdana"/>
          <w:sz w:val="20"/>
          <w:szCs w:val="20"/>
        </w:rPr>
        <w:t>24</w:t>
      </w:r>
      <w:r w:rsidR="004F75EB">
        <w:fldChar w:fldCharType="end"/>
      </w:r>
      <w:r w:rsidR="000D43E8" w:rsidRPr="00763A91">
        <w:rPr>
          <w:rFonts w:ascii="Verdana" w:hAnsi="Verdana"/>
          <w:sz w:val="20"/>
          <w:szCs w:val="20"/>
        </w:rPr>
        <w:t xml:space="preserve"> a </w:t>
      </w:r>
      <w:r w:rsidR="004F75EB">
        <w:fldChar w:fldCharType="begin"/>
      </w:r>
      <w:r w:rsidR="004F75EB">
        <w:instrText xml:space="preserve"> REF _Ref519530583 \r \h  \* MERGEFORMAT </w:instrText>
      </w:r>
      <w:r w:rsidR="004F75EB">
        <w:fldChar w:fldCharType="separate"/>
      </w:r>
      <w:r w:rsidR="00E73B21" w:rsidRPr="00E73B21">
        <w:rPr>
          <w:rFonts w:ascii="Verdana" w:hAnsi="Verdana"/>
          <w:sz w:val="20"/>
          <w:szCs w:val="20"/>
        </w:rPr>
        <w:t>28</w:t>
      </w:r>
      <w:r w:rsidR="004F75EB">
        <w:fldChar w:fldCharType="end"/>
      </w:r>
      <w:r w:rsidRPr="00763A91">
        <w:rPr>
          <w:rFonts w:ascii="Verdana" w:hAnsi="Verdana"/>
          <w:sz w:val="20"/>
          <w:szCs w:val="20"/>
        </w:rPr>
        <w:t xml:space="preserve"> de la presente Resolución.</w:t>
      </w:r>
    </w:p>
    <w:p w:rsidR="0064747D" w:rsidRPr="0064747D" w:rsidRDefault="0064747D" w:rsidP="0064747D">
      <w:pPr>
        <w:pStyle w:val="ListParagraph"/>
        <w:rPr>
          <w:rFonts w:ascii="Verdana" w:hAnsi="Verdana"/>
          <w:bCs/>
          <w:iCs/>
          <w:sz w:val="20"/>
          <w:szCs w:val="20"/>
        </w:rPr>
      </w:pPr>
    </w:p>
    <w:p w:rsidR="000D43E8" w:rsidRPr="00763A91" w:rsidRDefault="00A61E2E" w:rsidP="00763A91">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763A91">
        <w:rPr>
          <w:rFonts w:ascii="Verdana" w:hAnsi="Verdana"/>
          <w:bCs/>
          <w:iCs/>
          <w:sz w:val="20"/>
          <w:szCs w:val="20"/>
        </w:rPr>
        <w:t>Informar a la Comis</w:t>
      </w:r>
      <w:r w:rsidR="00F10B0C" w:rsidRPr="00763A91">
        <w:rPr>
          <w:rFonts w:ascii="Verdana" w:hAnsi="Verdana"/>
          <w:bCs/>
          <w:iCs/>
          <w:sz w:val="20"/>
          <w:szCs w:val="20"/>
        </w:rPr>
        <w:t xml:space="preserve">ión </w:t>
      </w:r>
      <w:r w:rsidR="006A2477" w:rsidRPr="00763A91">
        <w:rPr>
          <w:rFonts w:ascii="Verdana" w:hAnsi="Verdana"/>
          <w:bCs/>
          <w:iCs/>
          <w:sz w:val="20"/>
          <w:szCs w:val="20"/>
        </w:rPr>
        <w:t xml:space="preserve">y al Estado </w:t>
      </w:r>
      <w:r w:rsidR="0064747D" w:rsidRPr="00763A91">
        <w:rPr>
          <w:rFonts w:ascii="Verdana" w:hAnsi="Verdana"/>
          <w:bCs/>
          <w:iCs/>
          <w:sz w:val="20"/>
          <w:szCs w:val="20"/>
        </w:rPr>
        <w:t>que debe</w:t>
      </w:r>
      <w:r w:rsidR="006A2477" w:rsidRPr="00763A91">
        <w:rPr>
          <w:rFonts w:ascii="Verdana" w:hAnsi="Verdana"/>
          <w:bCs/>
          <w:iCs/>
          <w:sz w:val="20"/>
          <w:szCs w:val="20"/>
        </w:rPr>
        <w:t>rán</w:t>
      </w:r>
      <w:r w:rsidR="0064747D" w:rsidRPr="00763A91">
        <w:rPr>
          <w:rFonts w:ascii="Verdana" w:hAnsi="Verdana"/>
          <w:bCs/>
          <w:iCs/>
          <w:sz w:val="20"/>
          <w:szCs w:val="20"/>
        </w:rPr>
        <w:t xml:space="preserve"> </w:t>
      </w:r>
      <w:r w:rsidRPr="00763A91">
        <w:rPr>
          <w:rFonts w:ascii="Verdana" w:hAnsi="Verdana"/>
          <w:bCs/>
          <w:iCs/>
          <w:sz w:val="20"/>
          <w:szCs w:val="20"/>
        </w:rPr>
        <w:t>cubrir los gastos que ocasione la aportación o rendición de la prueba propuesta, de conformidad con lo dispuesto en el artículo 60 del Reglamento</w:t>
      </w:r>
      <w:r w:rsidRPr="00763A91">
        <w:rPr>
          <w:rFonts w:ascii="Verdana" w:hAnsi="Verdana"/>
          <w:sz w:val="20"/>
          <w:szCs w:val="20"/>
        </w:rPr>
        <w:t>.</w:t>
      </w:r>
    </w:p>
    <w:p w:rsidR="00763A91" w:rsidRPr="00763A91" w:rsidRDefault="00763A91" w:rsidP="00763A91">
      <w:pPr>
        <w:pStyle w:val="ListParagraph"/>
        <w:tabs>
          <w:tab w:val="left" w:pos="567"/>
        </w:tabs>
        <w:spacing w:after="0" w:line="240" w:lineRule="auto"/>
        <w:ind w:left="0"/>
        <w:jc w:val="both"/>
        <w:rPr>
          <w:rFonts w:ascii="Verdana" w:hAnsi="Verdana"/>
          <w:bCs/>
          <w:iCs/>
          <w:sz w:val="20"/>
          <w:szCs w:val="20"/>
        </w:rPr>
      </w:pPr>
    </w:p>
    <w:p w:rsidR="000D43E8" w:rsidRDefault="00763A91" w:rsidP="00763A91">
      <w:pPr>
        <w:pStyle w:val="ListParagraph"/>
        <w:numPr>
          <w:ilvl w:val="0"/>
          <w:numId w:val="37"/>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Requerir a la</w:t>
      </w:r>
      <w:r w:rsidRPr="004862A3">
        <w:rPr>
          <w:rFonts w:ascii="Verdana" w:hAnsi="Verdana"/>
          <w:bCs/>
          <w:iCs/>
          <w:sz w:val="20"/>
          <w:szCs w:val="20"/>
        </w:rPr>
        <w:t xml:space="preserve">s </w:t>
      </w:r>
      <w:r>
        <w:rPr>
          <w:rFonts w:ascii="Verdana" w:hAnsi="Verdana"/>
          <w:bCs/>
          <w:iCs/>
          <w:sz w:val="20"/>
          <w:szCs w:val="20"/>
        </w:rPr>
        <w:t xml:space="preserve">partes y </w:t>
      </w:r>
      <w:r w:rsidRPr="004862A3">
        <w:rPr>
          <w:rFonts w:ascii="Verdana" w:hAnsi="Verdana"/>
          <w:bCs/>
          <w:iCs/>
          <w:sz w:val="20"/>
          <w:szCs w:val="20"/>
        </w:rPr>
        <w:t xml:space="preserve">a la Comisión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763A91" w:rsidRPr="00763A91" w:rsidRDefault="00763A91" w:rsidP="00763A91">
      <w:pPr>
        <w:pStyle w:val="ListParagraph"/>
        <w:tabs>
          <w:tab w:val="left" w:pos="567"/>
        </w:tabs>
        <w:spacing w:after="0" w:line="240" w:lineRule="auto"/>
        <w:ind w:left="0"/>
        <w:jc w:val="both"/>
        <w:rPr>
          <w:rFonts w:ascii="Verdana" w:hAnsi="Verdana"/>
          <w:bCs/>
          <w:iCs/>
          <w:sz w:val="20"/>
          <w:szCs w:val="20"/>
        </w:rPr>
      </w:pPr>
    </w:p>
    <w:p w:rsidR="00A61E2E" w:rsidRPr="00763A91" w:rsidRDefault="000D43E8" w:rsidP="004862A3">
      <w:pPr>
        <w:pStyle w:val="ListParagraph"/>
        <w:numPr>
          <w:ilvl w:val="0"/>
          <w:numId w:val="37"/>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Informar a la</w:t>
      </w:r>
      <w:r w:rsidRPr="004862A3">
        <w:rPr>
          <w:rFonts w:ascii="Verdana" w:hAnsi="Verdana"/>
          <w:bCs/>
          <w:iCs/>
          <w:sz w:val="20"/>
          <w:szCs w:val="20"/>
        </w:rPr>
        <w:t xml:space="preserve">s representantes, al Estado y a la Comisión Interamericana que cuentan con un plazo improrrogable hasta el </w:t>
      </w:r>
      <w:r w:rsidR="003438F7">
        <w:rPr>
          <w:rFonts w:ascii="Verdana" w:hAnsi="Verdana"/>
          <w:bCs/>
          <w:iCs/>
          <w:sz w:val="20"/>
          <w:szCs w:val="20"/>
        </w:rPr>
        <w:t>27</w:t>
      </w:r>
      <w:r w:rsidRPr="004862A3">
        <w:rPr>
          <w:rFonts w:ascii="Verdana" w:hAnsi="Verdana"/>
          <w:bCs/>
          <w:iCs/>
          <w:sz w:val="20"/>
          <w:szCs w:val="20"/>
        </w:rPr>
        <w:t xml:space="preserve"> de </w:t>
      </w:r>
      <w:r w:rsidR="006A2477">
        <w:rPr>
          <w:rFonts w:ascii="Verdana" w:hAnsi="Verdana"/>
          <w:bCs/>
          <w:iCs/>
          <w:sz w:val="20"/>
          <w:szCs w:val="20"/>
        </w:rPr>
        <w:t xml:space="preserve">septiembre </w:t>
      </w:r>
      <w:r w:rsidRPr="004862A3">
        <w:rPr>
          <w:rFonts w:ascii="Verdana" w:hAnsi="Verdana"/>
          <w:bCs/>
          <w:iCs/>
          <w:sz w:val="20"/>
          <w:szCs w:val="20"/>
        </w:rPr>
        <w:t xml:space="preserve">de 2018 para presentar sus alegatos finales escritos y observaciones finales escritas, respectivamente, en relación con la excepción preliminar y eventuales fondo, reparaciones y costas en el presente caso. </w:t>
      </w:r>
    </w:p>
    <w:p w:rsidR="00763A91" w:rsidRPr="00181E13" w:rsidRDefault="00763A91" w:rsidP="00763A91">
      <w:pPr>
        <w:tabs>
          <w:tab w:val="left" w:pos="567"/>
        </w:tabs>
        <w:spacing w:after="0" w:line="240" w:lineRule="auto"/>
        <w:jc w:val="both"/>
        <w:rPr>
          <w:rFonts w:ascii="Verdana" w:hAnsi="Verdana"/>
          <w:sz w:val="20"/>
          <w:szCs w:val="20"/>
        </w:rPr>
      </w:pPr>
    </w:p>
    <w:p w:rsidR="00763A91" w:rsidRPr="000D43E8" w:rsidRDefault="00763A91" w:rsidP="00763A91">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64747D">
        <w:rPr>
          <w:rFonts w:ascii="Verdana" w:hAnsi="Verdana"/>
          <w:sz w:val="20"/>
          <w:szCs w:val="20"/>
        </w:rPr>
        <w:t xml:space="preserve">Declarar procedente la aplicación del Fondo de Asistencia Legal de Víctimas en los términos dispuestos en los párrafos considerativos </w:t>
      </w:r>
      <w:r w:rsidR="004F75EB">
        <w:fldChar w:fldCharType="begin"/>
      </w:r>
      <w:r w:rsidR="004F75EB">
        <w:instrText xml:space="preserve"> REF _Ref519530578 \r \h  \* MERGEFORMAT </w:instrText>
      </w:r>
      <w:r w:rsidR="004F75EB">
        <w:fldChar w:fldCharType="separate"/>
      </w:r>
      <w:r w:rsidR="00E73B21" w:rsidRPr="00E73B21">
        <w:rPr>
          <w:rFonts w:ascii="Verdana" w:hAnsi="Verdana"/>
          <w:sz w:val="20"/>
          <w:szCs w:val="20"/>
        </w:rPr>
        <w:t>24</w:t>
      </w:r>
      <w:r w:rsidR="004F75EB">
        <w:fldChar w:fldCharType="end"/>
      </w:r>
      <w:r w:rsidRPr="00763A91">
        <w:rPr>
          <w:rFonts w:ascii="Verdana" w:hAnsi="Verdana"/>
          <w:sz w:val="20"/>
          <w:szCs w:val="20"/>
        </w:rPr>
        <w:t xml:space="preserve"> a </w:t>
      </w:r>
      <w:r w:rsidR="004F75EB">
        <w:fldChar w:fldCharType="begin"/>
      </w:r>
      <w:r w:rsidR="004F75EB">
        <w:instrText xml:space="preserve"> REF _Ref519530583 \r \h  \* MERGEFORMAT </w:instrText>
      </w:r>
      <w:r w:rsidR="004F75EB">
        <w:fldChar w:fldCharType="separate"/>
      </w:r>
      <w:r w:rsidR="00E73B21" w:rsidRPr="00E73B21">
        <w:rPr>
          <w:rFonts w:ascii="Verdana" w:hAnsi="Verdana"/>
          <w:sz w:val="20"/>
          <w:szCs w:val="20"/>
        </w:rPr>
        <w:t>28</w:t>
      </w:r>
      <w:r w:rsidR="004F75EB">
        <w:fldChar w:fldCharType="end"/>
      </w:r>
      <w:r w:rsidRPr="00763A91">
        <w:rPr>
          <w:rFonts w:ascii="Verdana" w:hAnsi="Verdana"/>
          <w:sz w:val="20"/>
          <w:szCs w:val="20"/>
        </w:rPr>
        <w:t xml:space="preserve"> </w:t>
      </w:r>
      <w:r w:rsidRPr="0064747D">
        <w:rPr>
          <w:rFonts w:ascii="Verdana" w:hAnsi="Verdana"/>
          <w:sz w:val="20"/>
          <w:szCs w:val="20"/>
        </w:rPr>
        <w:t>de esta Resolución.</w:t>
      </w:r>
    </w:p>
    <w:p w:rsidR="000D43E8" w:rsidRPr="000D43E8" w:rsidRDefault="000D43E8" w:rsidP="000D43E8">
      <w:pPr>
        <w:pStyle w:val="ListParagraph"/>
        <w:tabs>
          <w:tab w:val="left" w:pos="567"/>
        </w:tabs>
        <w:spacing w:after="0" w:line="240" w:lineRule="auto"/>
        <w:ind w:left="0"/>
        <w:jc w:val="both"/>
        <w:rPr>
          <w:rFonts w:ascii="Verdana" w:hAnsi="Verdana"/>
          <w:bCs/>
          <w:iCs/>
          <w:sz w:val="20"/>
          <w:szCs w:val="20"/>
        </w:rPr>
      </w:pPr>
    </w:p>
    <w:p w:rsidR="0064747D" w:rsidRPr="0064747D" w:rsidRDefault="0064747D" w:rsidP="0064747D">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64747D">
        <w:rPr>
          <w:rFonts w:ascii="Verdana" w:hAnsi="Verdana"/>
          <w:sz w:val="20"/>
          <w:szCs w:val="20"/>
        </w:rPr>
        <w:t xml:space="preserve">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 </w:t>
      </w:r>
    </w:p>
    <w:p w:rsidR="0064747D" w:rsidRPr="0064747D" w:rsidRDefault="0064747D" w:rsidP="0064747D">
      <w:pPr>
        <w:pStyle w:val="ListParagraph"/>
        <w:tabs>
          <w:tab w:val="left" w:pos="567"/>
        </w:tabs>
        <w:spacing w:after="0" w:line="240" w:lineRule="auto"/>
        <w:ind w:left="0"/>
        <w:jc w:val="both"/>
        <w:rPr>
          <w:rFonts w:ascii="Verdana" w:hAnsi="Verdana"/>
          <w:bCs/>
          <w:iCs/>
          <w:sz w:val="20"/>
          <w:szCs w:val="20"/>
        </w:rPr>
      </w:pPr>
    </w:p>
    <w:p w:rsidR="00A61E2E" w:rsidRPr="0064747D" w:rsidRDefault="00A61E2E" w:rsidP="0064747D">
      <w:pPr>
        <w:pStyle w:val="ListParagraph"/>
        <w:numPr>
          <w:ilvl w:val="0"/>
          <w:numId w:val="37"/>
        </w:numPr>
        <w:tabs>
          <w:tab w:val="left" w:pos="567"/>
        </w:tabs>
        <w:spacing w:after="0" w:line="240" w:lineRule="auto"/>
        <w:ind w:left="0" w:firstLine="0"/>
        <w:jc w:val="both"/>
        <w:rPr>
          <w:rFonts w:ascii="Verdana" w:hAnsi="Verdana"/>
          <w:bCs/>
          <w:iCs/>
          <w:sz w:val="20"/>
          <w:szCs w:val="20"/>
        </w:rPr>
      </w:pPr>
      <w:r w:rsidRPr="0064747D">
        <w:rPr>
          <w:rFonts w:ascii="Verdana" w:hAnsi="Verdana"/>
          <w:bCs/>
          <w:iCs/>
          <w:sz w:val="20"/>
          <w:szCs w:val="20"/>
        </w:rPr>
        <w:t>Disponer que la Secretaría de la Corte Interamericana notifique la presente Resolución a la Comisión Interame</w:t>
      </w:r>
      <w:r w:rsidR="00CB061A" w:rsidRPr="0064747D">
        <w:rPr>
          <w:rFonts w:ascii="Verdana" w:hAnsi="Verdana"/>
          <w:bCs/>
          <w:iCs/>
          <w:sz w:val="20"/>
          <w:szCs w:val="20"/>
        </w:rPr>
        <w:t>ricana de Derechos Humanos, a la</w:t>
      </w:r>
      <w:r w:rsidRPr="0064747D">
        <w:rPr>
          <w:rFonts w:ascii="Verdana" w:hAnsi="Verdana"/>
          <w:bCs/>
          <w:iCs/>
          <w:sz w:val="20"/>
          <w:szCs w:val="20"/>
        </w:rPr>
        <w:t>s representantes y a</w:t>
      </w:r>
      <w:r w:rsidR="00763A91">
        <w:rPr>
          <w:rFonts w:ascii="Verdana" w:hAnsi="Verdana"/>
          <w:bCs/>
          <w:iCs/>
          <w:sz w:val="20"/>
          <w:szCs w:val="20"/>
        </w:rPr>
        <w:t>l</w:t>
      </w:r>
      <w:r w:rsidRPr="0064747D">
        <w:rPr>
          <w:rFonts w:ascii="Verdana" w:hAnsi="Verdana"/>
          <w:bCs/>
          <w:iCs/>
          <w:sz w:val="20"/>
          <w:szCs w:val="20"/>
        </w:rPr>
        <w:t xml:space="preserve"> Perú.</w:t>
      </w:r>
    </w:p>
    <w:p w:rsidR="00A61E2E" w:rsidRPr="004862A3" w:rsidRDefault="00A61E2E" w:rsidP="004862A3">
      <w:pPr>
        <w:pStyle w:val="ListParagraph"/>
        <w:tabs>
          <w:tab w:val="left" w:pos="567"/>
        </w:tabs>
        <w:spacing w:after="0" w:line="240" w:lineRule="auto"/>
        <w:ind w:left="0"/>
        <w:jc w:val="both"/>
        <w:rPr>
          <w:rFonts w:ascii="Verdana" w:hAnsi="Verdana"/>
          <w:bCs/>
          <w:iCs/>
          <w:sz w:val="20"/>
          <w:szCs w:val="20"/>
        </w:rPr>
      </w:pPr>
    </w:p>
    <w:p w:rsidR="00A61E2E" w:rsidRDefault="00A61E2E" w:rsidP="004862A3">
      <w:pPr>
        <w:pStyle w:val="ListParagraph"/>
        <w:tabs>
          <w:tab w:val="left" w:pos="567"/>
        </w:tabs>
        <w:spacing w:after="0" w:line="240" w:lineRule="auto"/>
        <w:jc w:val="both"/>
        <w:rPr>
          <w:rFonts w:ascii="Verdana" w:hAnsi="Verdana"/>
          <w:bCs/>
          <w:iCs/>
          <w:sz w:val="20"/>
          <w:szCs w:val="20"/>
        </w:rPr>
      </w:pPr>
    </w:p>
    <w:p w:rsidR="00A61E2E" w:rsidRDefault="00A61E2E" w:rsidP="004F75EB">
      <w:pPr>
        <w:tabs>
          <w:tab w:val="left" w:pos="567"/>
        </w:tabs>
        <w:spacing w:after="0" w:line="240" w:lineRule="auto"/>
        <w:jc w:val="both"/>
        <w:rPr>
          <w:rFonts w:ascii="Verdana" w:hAnsi="Verdana"/>
          <w:sz w:val="20"/>
          <w:szCs w:val="20"/>
        </w:rPr>
      </w:pPr>
    </w:p>
    <w:p w:rsidR="004F75EB" w:rsidRDefault="004F75EB" w:rsidP="004F75EB">
      <w:pPr>
        <w:tabs>
          <w:tab w:val="left" w:pos="567"/>
        </w:tabs>
        <w:spacing w:after="0" w:line="240" w:lineRule="auto"/>
        <w:jc w:val="both"/>
        <w:rPr>
          <w:rFonts w:ascii="Verdana" w:hAnsi="Verdana"/>
          <w:sz w:val="20"/>
          <w:szCs w:val="20"/>
        </w:rPr>
      </w:pPr>
    </w:p>
    <w:p w:rsidR="004F75EB" w:rsidRPr="00181E13" w:rsidRDefault="004F75EB" w:rsidP="004F75EB">
      <w:pPr>
        <w:tabs>
          <w:tab w:val="left" w:pos="567"/>
        </w:tabs>
        <w:spacing w:after="0" w:line="240" w:lineRule="auto"/>
        <w:jc w:val="both"/>
        <w:rPr>
          <w:rFonts w:ascii="Verdana" w:hAnsi="Verdana"/>
          <w:sz w:val="20"/>
          <w:szCs w:val="20"/>
        </w:rPr>
      </w:pPr>
    </w:p>
    <w:p w:rsidR="00A61E2E" w:rsidRPr="004862A3" w:rsidRDefault="00A61E2E" w:rsidP="000821A2">
      <w:pPr>
        <w:tabs>
          <w:tab w:val="left" w:pos="567"/>
        </w:tabs>
        <w:spacing w:after="0" w:line="240" w:lineRule="auto"/>
        <w:ind w:left="4253"/>
        <w:jc w:val="center"/>
        <w:rPr>
          <w:rFonts w:ascii="Verdana" w:hAnsi="Verdana"/>
          <w:sz w:val="20"/>
          <w:szCs w:val="20"/>
          <w:lang w:val="pt-BR"/>
        </w:rPr>
      </w:pPr>
      <w:r w:rsidRPr="004862A3">
        <w:rPr>
          <w:rFonts w:ascii="Verdana" w:hAnsi="Verdana"/>
          <w:sz w:val="20"/>
          <w:szCs w:val="20"/>
          <w:lang w:val="pt-BR"/>
        </w:rPr>
        <w:t>Eduardo Ferrer Mac-Gregor Poisot</w:t>
      </w:r>
    </w:p>
    <w:p w:rsidR="00A61E2E" w:rsidRPr="004862A3" w:rsidRDefault="00A61E2E" w:rsidP="000821A2">
      <w:pPr>
        <w:tabs>
          <w:tab w:val="left" w:pos="567"/>
        </w:tabs>
        <w:spacing w:after="0" w:line="240" w:lineRule="auto"/>
        <w:ind w:left="4253"/>
        <w:jc w:val="center"/>
        <w:rPr>
          <w:rFonts w:ascii="Verdana" w:eastAsia="Calibri" w:hAnsi="Verdana" w:cs="Calibri"/>
          <w:sz w:val="20"/>
          <w:szCs w:val="20"/>
          <w:lang w:val="pt-BR"/>
        </w:rPr>
      </w:pPr>
      <w:r w:rsidRPr="004862A3">
        <w:rPr>
          <w:rFonts w:ascii="Verdana" w:eastAsia="Calibri" w:hAnsi="Verdana" w:cs="Calibri"/>
          <w:sz w:val="20"/>
          <w:szCs w:val="20"/>
          <w:lang w:val="pt-BR"/>
        </w:rPr>
        <w:t>Presidente</w:t>
      </w:r>
    </w:p>
    <w:p w:rsidR="00A61E2E" w:rsidRPr="004862A3" w:rsidRDefault="00A61E2E" w:rsidP="004862A3">
      <w:pPr>
        <w:tabs>
          <w:tab w:val="left" w:pos="567"/>
          <w:tab w:val="left" w:pos="2835"/>
        </w:tabs>
        <w:spacing w:after="0" w:line="240" w:lineRule="auto"/>
        <w:ind w:right="6003"/>
        <w:jc w:val="both"/>
        <w:rPr>
          <w:rFonts w:ascii="Verdana" w:eastAsia="Calibri" w:hAnsi="Verdana" w:cs="Calibri"/>
          <w:sz w:val="20"/>
          <w:szCs w:val="20"/>
          <w:lang w:val="pt-BR"/>
        </w:rPr>
      </w:pPr>
    </w:p>
    <w:p w:rsidR="00A61E2E" w:rsidRPr="004862A3" w:rsidRDefault="00A61E2E" w:rsidP="004862A3">
      <w:pPr>
        <w:tabs>
          <w:tab w:val="left" w:pos="567"/>
          <w:tab w:val="left" w:pos="2835"/>
        </w:tabs>
        <w:spacing w:after="0" w:line="240" w:lineRule="auto"/>
        <w:ind w:right="6003"/>
        <w:jc w:val="both"/>
        <w:rPr>
          <w:rFonts w:ascii="Verdana" w:eastAsia="Calibri" w:hAnsi="Verdana" w:cs="Calibri"/>
          <w:sz w:val="20"/>
          <w:szCs w:val="20"/>
          <w:lang w:val="pt-BR"/>
        </w:rPr>
      </w:pPr>
    </w:p>
    <w:p w:rsidR="00A61E2E" w:rsidRPr="004862A3" w:rsidRDefault="00A61E2E" w:rsidP="000821A2">
      <w:pPr>
        <w:tabs>
          <w:tab w:val="left" w:pos="567"/>
          <w:tab w:val="left" w:pos="2835"/>
        </w:tabs>
        <w:spacing w:after="0" w:line="240" w:lineRule="auto"/>
        <w:ind w:right="6003"/>
        <w:jc w:val="center"/>
        <w:rPr>
          <w:rFonts w:ascii="Verdana" w:eastAsia="Calibri" w:hAnsi="Verdana" w:cs="Calibri"/>
          <w:sz w:val="20"/>
          <w:szCs w:val="20"/>
          <w:lang w:val="pt-BR"/>
        </w:rPr>
      </w:pPr>
    </w:p>
    <w:p w:rsidR="00A61E2E" w:rsidRPr="004862A3" w:rsidRDefault="00A61E2E" w:rsidP="000821A2">
      <w:pPr>
        <w:tabs>
          <w:tab w:val="left" w:pos="567"/>
          <w:tab w:val="left" w:pos="2835"/>
        </w:tabs>
        <w:spacing w:after="0" w:line="240" w:lineRule="auto"/>
        <w:ind w:right="6003"/>
        <w:jc w:val="center"/>
        <w:rPr>
          <w:rFonts w:ascii="Verdana" w:eastAsia="Calibri" w:hAnsi="Verdana" w:cs="Calibri"/>
          <w:sz w:val="20"/>
          <w:szCs w:val="20"/>
          <w:lang w:val="pt-BR"/>
        </w:rPr>
      </w:pPr>
      <w:r w:rsidRPr="004862A3">
        <w:rPr>
          <w:rFonts w:ascii="Verdana" w:eastAsia="Calibri" w:hAnsi="Verdana" w:cs="Calibri"/>
          <w:sz w:val="20"/>
          <w:szCs w:val="20"/>
          <w:lang w:val="pt-BR"/>
        </w:rPr>
        <w:t>Pablo Saavedra Alessandri</w:t>
      </w:r>
    </w:p>
    <w:p w:rsidR="00A61E2E" w:rsidRPr="004862A3" w:rsidRDefault="00A61E2E" w:rsidP="000821A2">
      <w:pPr>
        <w:tabs>
          <w:tab w:val="left" w:pos="567"/>
          <w:tab w:val="left" w:pos="2835"/>
        </w:tabs>
        <w:spacing w:after="0" w:line="240" w:lineRule="auto"/>
        <w:ind w:right="6003"/>
        <w:jc w:val="center"/>
        <w:rPr>
          <w:rFonts w:ascii="Verdana" w:eastAsia="Calibri" w:hAnsi="Verdana" w:cs="Calibri"/>
          <w:sz w:val="20"/>
          <w:szCs w:val="20"/>
          <w:lang w:val="es-ES"/>
        </w:rPr>
      </w:pPr>
      <w:r w:rsidRPr="004862A3">
        <w:rPr>
          <w:rFonts w:ascii="Verdana" w:eastAsia="Calibri" w:hAnsi="Verdana" w:cs="Calibri"/>
          <w:sz w:val="20"/>
          <w:szCs w:val="20"/>
          <w:lang w:val="es-ES"/>
        </w:rPr>
        <w:t>Secretario</w:t>
      </w: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r w:rsidRPr="004862A3">
        <w:rPr>
          <w:rFonts w:ascii="Verdana" w:eastAsia="Calibri" w:hAnsi="Verdana" w:cs="Calibri"/>
          <w:sz w:val="20"/>
          <w:szCs w:val="20"/>
          <w:lang w:val="es-MX"/>
        </w:rPr>
        <w:t>Comuníquese y ejecútese,</w:t>
      </w:r>
      <w:r w:rsidRPr="004862A3">
        <w:rPr>
          <w:rFonts w:ascii="Verdana" w:eastAsia="Calibri" w:hAnsi="Verdana" w:cs="Calibri"/>
          <w:noProof/>
          <w:sz w:val="20"/>
          <w:szCs w:val="20"/>
          <w:lang w:val="es-MX" w:eastAsia="es-CR"/>
        </w:rPr>
        <w:t xml:space="preserve"> </w:t>
      </w: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0821A2">
      <w:pPr>
        <w:tabs>
          <w:tab w:val="left" w:pos="567"/>
        </w:tabs>
        <w:spacing w:after="0" w:line="240" w:lineRule="auto"/>
        <w:ind w:left="4253"/>
        <w:jc w:val="center"/>
        <w:rPr>
          <w:rFonts w:ascii="Verdana" w:hAnsi="Verdana"/>
          <w:sz w:val="20"/>
          <w:szCs w:val="20"/>
        </w:rPr>
      </w:pPr>
      <w:r w:rsidRPr="004862A3">
        <w:rPr>
          <w:rFonts w:ascii="Verdana" w:hAnsi="Verdana"/>
          <w:sz w:val="20"/>
          <w:szCs w:val="20"/>
        </w:rPr>
        <w:t>Eduardo Ferrer Mac-Gregor Poisot</w:t>
      </w:r>
    </w:p>
    <w:p w:rsidR="00A61E2E" w:rsidRPr="004862A3" w:rsidRDefault="00A61E2E" w:rsidP="000821A2">
      <w:pPr>
        <w:tabs>
          <w:tab w:val="left" w:pos="567"/>
        </w:tabs>
        <w:spacing w:after="0" w:line="240" w:lineRule="auto"/>
        <w:ind w:left="4253"/>
        <w:jc w:val="center"/>
        <w:rPr>
          <w:rFonts w:ascii="Verdana" w:eastAsia="Calibri" w:hAnsi="Verdana" w:cs="Calibri"/>
          <w:sz w:val="20"/>
          <w:szCs w:val="20"/>
          <w:lang w:val="pt-BR"/>
        </w:rPr>
      </w:pPr>
      <w:r w:rsidRPr="004862A3">
        <w:rPr>
          <w:rFonts w:ascii="Verdana" w:eastAsia="Calibri" w:hAnsi="Verdana" w:cs="Calibri"/>
          <w:sz w:val="20"/>
          <w:szCs w:val="20"/>
          <w:lang w:val="pt-BR"/>
        </w:rPr>
        <w:t>Presidente</w:t>
      </w: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4862A3">
      <w:pPr>
        <w:tabs>
          <w:tab w:val="left" w:pos="567"/>
        </w:tabs>
        <w:spacing w:after="0" w:line="240" w:lineRule="auto"/>
        <w:jc w:val="both"/>
        <w:rPr>
          <w:rFonts w:ascii="Verdana" w:eastAsia="Calibri" w:hAnsi="Verdana" w:cs="Calibri"/>
          <w:sz w:val="20"/>
          <w:szCs w:val="20"/>
          <w:lang w:val="es-MX"/>
        </w:rPr>
      </w:pPr>
    </w:p>
    <w:p w:rsidR="00A61E2E" w:rsidRPr="004862A3" w:rsidRDefault="00A61E2E" w:rsidP="000821A2">
      <w:pPr>
        <w:tabs>
          <w:tab w:val="left" w:pos="567"/>
        </w:tabs>
        <w:spacing w:after="0" w:line="240" w:lineRule="auto"/>
        <w:ind w:right="6003"/>
        <w:jc w:val="center"/>
        <w:rPr>
          <w:rFonts w:ascii="Verdana" w:eastAsia="Calibri" w:hAnsi="Verdana" w:cs="Calibri"/>
          <w:sz w:val="20"/>
          <w:szCs w:val="20"/>
          <w:lang w:val="es-MX"/>
        </w:rPr>
      </w:pPr>
      <w:r w:rsidRPr="004862A3">
        <w:rPr>
          <w:rFonts w:ascii="Verdana" w:eastAsia="Calibri" w:hAnsi="Verdana" w:cs="Calibri"/>
          <w:sz w:val="20"/>
          <w:szCs w:val="20"/>
          <w:lang w:val="es-MX"/>
        </w:rPr>
        <w:t>Pablo Saavedra Alessandri</w:t>
      </w:r>
    </w:p>
    <w:p w:rsidR="00A61E2E" w:rsidRDefault="00A61E2E" w:rsidP="005A10CB">
      <w:pPr>
        <w:tabs>
          <w:tab w:val="left" w:pos="567"/>
        </w:tabs>
        <w:spacing w:after="0" w:line="240" w:lineRule="auto"/>
        <w:ind w:right="6003"/>
        <w:jc w:val="center"/>
        <w:rPr>
          <w:rFonts w:ascii="Verdana" w:eastAsia="Calibri" w:hAnsi="Verdana" w:cs="Calibri"/>
          <w:sz w:val="20"/>
          <w:szCs w:val="20"/>
          <w:lang w:val="es-MX"/>
        </w:rPr>
      </w:pPr>
      <w:r w:rsidRPr="004862A3">
        <w:rPr>
          <w:rFonts w:ascii="Verdana" w:eastAsia="Calibri" w:hAnsi="Verdana" w:cs="Calibri"/>
          <w:sz w:val="20"/>
          <w:szCs w:val="20"/>
          <w:lang w:val="es-MX"/>
        </w:rPr>
        <w:t>Secretario</w:t>
      </w:r>
    </w:p>
    <w:sectPr w:rsidR="00A61E2E" w:rsidSect="004F75EB">
      <w:headerReference w:type="even" r:id="rId9"/>
      <w:headerReference w:type="default" r:id="rId10"/>
      <w:pgSz w:w="12240" w:h="15840"/>
      <w:pgMar w:top="1440" w:right="1474" w:bottom="1440"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83" w:rsidRDefault="00E43D83" w:rsidP="006A0BE5">
      <w:pPr>
        <w:spacing w:after="0" w:line="240" w:lineRule="auto"/>
      </w:pPr>
      <w:r>
        <w:separator/>
      </w:r>
    </w:p>
  </w:endnote>
  <w:endnote w:type="continuationSeparator" w:id="0">
    <w:p w:rsidR="00E43D83" w:rsidRDefault="00E43D83"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83" w:rsidRDefault="00E43D83" w:rsidP="006A0BE5">
      <w:pPr>
        <w:spacing w:after="0" w:line="240" w:lineRule="auto"/>
      </w:pPr>
      <w:r>
        <w:separator/>
      </w:r>
    </w:p>
  </w:footnote>
  <w:footnote w:type="continuationSeparator" w:id="0">
    <w:p w:rsidR="00E43D83" w:rsidRDefault="00E43D83" w:rsidP="006A0BE5">
      <w:pPr>
        <w:spacing w:after="0" w:line="240" w:lineRule="auto"/>
      </w:pPr>
      <w:r>
        <w:continuationSeparator/>
      </w:r>
    </w:p>
  </w:footnote>
  <w:footnote w:id="1">
    <w:p w:rsidR="00FA62EE" w:rsidRPr="004862A3" w:rsidRDefault="00FA62EE" w:rsidP="00C02792">
      <w:pPr>
        <w:pStyle w:val="FootnoteText"/>
        <w:tabs>
          <w:tab w:val="left" w:pos="426"/>
        </w:tabs>
        <w:spacing w:before="120" w:after="120"/>
        <w:jc w:val="both"/>
        <w:rPr>
          <w:rFonts w:ascii="Verdana" w:hAnsi="Verdana"/>
          <w:sz w:val="16"/>
          <w:szCs w:val="16"/>
        </w:rPr>
      </w:pPr>
      <w:r w:rsidRPr="0054745F">
        <w:rPr>
          <w:rStyle w:val="FootnoteReference"/>
          <w:rFonts w:ascii="Verdana" w:hAnsi="Verdana"/>
          <w:sz w:val="16"/>
          <w:szCs w:val="16"/>
        </w:rPr>
        <w:footnoteRef/>
      </w:r>
      <w:r w:rsidRPr="0054745F">
        <w:rPr>
          <w:rFonts w:ascii="Verdana" w:hAnsi="Verdana"/>
          <w:sz w:val="16"/>
          <w:szCs w:val="16"/>
        </w:rPr>
        <w:t xml:space="preserve"> </w:t>
      </w:r>
      <w:r w:rsidRPr="0054745F">
        <w:rPr>
          <w:rFonts w:ascii="Verdana" w:hAnsi="Verdana"/>
          <w:sz w:val="16"/>
          <w:szCs w:val="16"/>
        </w:rPr>
        <w:tab/>
        <w:t xml:space="preserve">De conformidad con el artículo 37 del Reglamento de la Corte, la presunta víctima en este caso </w:t>
      </w:r>
      <w:r>
        <w:rPr>
          <w:rFonts w:ascii="Verdana" w:hAnsi="Verdana"/>
          <w:sz w:val="16"/>
          <w:szCs w:val="16"/>
        </w:rPr>
        <w:t>es representada</w:t>
      </w:r>
      <w:r w:rsidRPr="0054745F">
        <w:rPr>
          <w:rFonts w:ascii="Verdana" w:hAnsi="Verdana"/>
          <w:sz w:val="16"/>
          <w:szCs w:val="16"/>
        </w:rPr>
        <w:t xml:space="preserve"> por las Defensoras Públicas Interamericanas Renée Mariño Álvarez e Isabel Penido de Campos Machado, cuya designación para desempeñar esa función fue informada por la Asociación Interamericana de Defensorías Públicas (AIDEF) a la Secretaría de la Corte el </w:t>
      </w:r>
      <w:r>
        <w:rPr>
          <w:rFonts w:ascii="Verdana" w:hAnsi="Verdana"/>
          <w:sz w:val="16"/>
          <w:szCs w:val="16"/>
        </w:rPr>
        <w:t>20</w:t>
      </w:r>
      <w:r w:rsidRPr="0054745F">
        <w:rPr>
          <w:rFonts w:ascii="Verdana" w:hAnsi="Verdana"/>
          <w:sz w:val="16"/>
          <w:szCs w:val="16"/>
        </w:rPr>
        <w:t xml:space="preserve"> de septiembre 2017. </w:t>
      </w:r>
    </w:p>
  </w:footnote>
  <w:footnote w:id="2">
    <w:p w:rsidR="00FA62EE" w:rsidRPr="006C5349" w:rsidRDefault="00FA62EE" w:rsidP="00C02792">
      <w:pPr>
        <w:pStyle w:val="FootnoteText"/>
        <w:tabs>
          <w:tab w:val="left" w:pos="284"/>
          <w:tab w:val="left" w:pos="426"/>
        </w:tabs>
        <w:spacing w:before="120" w:after="120"/>
        <w:jc w:val="both"/>
        <w:rPr>
          <w:rFonts w:ascii="Verdana" w:hAnsi="Verdana"/>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r>
      <w:r>
        <w:rPr>
          <w:rFonts w:ascii="Verdana" w:hAnsi="Verdana"/>
          <w:sz w:val="16"/>
          <w:szCs w:val="16"/>
        </w:rPr>
        <w:tab/>
      </w:r>
      <w:r w:rsidRPr="00FE26DA">
        <w:rPr>
          <w:rFonts w:ascii="Verdana" w:hAnsi="Verdana"/>
          <w:i/>
          <w:sz w:val="16"/>
          <w:szCs w:val="16"/>
        </w:rPr>
        <w:t>Cfr.</w:t>
      </w:r>
      <w:r>
        <w:rPr>
          <w:rFonts w:ascii="Verdana" w:hAnsi="Verdana"/>
          <w:sz w:val="16"/>
          <w:szCs w:val="16"/>
        </w:rPr>
        <w:t xml:space="preserve"> </w:t>
      </w:r>
      <w:r w:rsidRPr="004862A3">
        <w:rPr>
          <w:rFonts w:ascii="Verdana" w:hAnsi="Verdana"/>
          <w:b/>
          <w:sz w:val="16"/>
          <w:szCs w:val="16"/>
        </w:rPr>
        <w:t xml:space="preserve"> </w:t>
      </w:r>
      <w:r w:rsidRPr="006C5349">
        <w:rPr>
          <w:rStyle w:val="Strong"/>
          <w:rFonts w:ascii="Verdana" w:hAnsi="Verdana"/>
          <w:b w:val="0"/>
          <w:i/>
          <w:color w:val="000000"/>
          <w:sz w:val="16"/>
          <w:szCs w:val="16"/>
          <w:shd w:val="clear" w:color="auto" w:fill="FFFFFF"/>
        </w:rPr>
        <w:t>Caso Goiburú y otros Vs. Paraguay.</w:t>
      </w:r>
      <w:r w:rsidRPr="006C5349">
        <w:rPr>
          <w:rStyle w:val="Strong"/>
          <w:rFonts w:ascii="Verdana" w:hAnsi="Verdana"/>
          <w:b w:val="0"/>
          <w:color w:val="000000"/>
          <w:sz w:val="16"/>
          <w:szCs w:val="16"/>
          <w:shd w:val="clear" w:color="auto" w:fill="FFFFFF"/>
        </w:rPr>
        <w:t xml:space="preserve"> Resolución del Presidente </w:t>
      </w:r>
      <w:r w:rsidR="000113CA">
        <w:rPr>
          <w:rStyle w:val="Strong"/>
          <w:rFonts w:ascii="Verdana" w:hAnsi="Verdana"/>
          <w:b w:val="0"/>
          <w:color w:val="000000"/>
          <w:sz w:val="16"/>
          <w:szCs w:val="16"/>
          <w:shd w:val="clear" w:color="auto" w:fill="FFFFFF"/>
        </w:rPr>
        <w:t xml:space="preserve">de la Corte </w:t>
      </w:r>
      <w:r w:rsidR="000113CA">
        <w:rPr>
          <w:rStyle w:val="Strong"/>
          <w:rFonts w:ascii="Verdana" w:hAnsi="Verdana"/>
          <w:b w:val="0"/>
          <w:bCs w:val="0"/>
          <w:color w:val="000000"/>
          <w:sz w:val="16"/>
          <w:szCs w:val="16"/>
          <w:shd w:val="clear" w:color="auto" w:fill="FFFFFF"/>
        </w:rPr>
        <w:t xml:space="preserve">Interamericana de Derechos </w:t>
      </w:r>
      <w:r w:rsidR="000113CA" w:rsidRPr="00747396">
        <w:rPr>
          <w:rStyle w:val="Strong"/>
          <w:rFonts w:ascii="Verdana" w:hAnsi="Verdana"/>
          <w:b w:val="0"/>
          <w:bCs w:val="0"/>
          <w:color w:val="000000"/>
          <w:sz w:val="16"/>
          <w:szCs w:val="16"/>
          <w:shd w:val="clear" w:color="auto" w:fill="FFFFFF"/>
        </w:rPr>
        <w:t xml:space="preserve">Humanos </w:t>
      </w:r>
      <w:r w:rsidRPr="006C5349">
        <w:rPr>
          <w:rStyle w:val="Strong"/>
          <w:rFonts w:ascii="Verdana" w:hAnsi="Verdana"/>
          <w:b w:val="0"/>
          <w:color w:val="000000"/>
          <w:sz w:val="16"/>
          <w:szCs w:val="16"/>
          <w:shd w:val="clear" w:color="auto" w:fill="FFFFFF"/>
        </w:rPr>
        <w:t xml:space="preserve">de 5 de mayo de 2006, Considerando 11; </w:t>
      </w:r>
      <w:r w:rsidRPr="006C5349">
        <w:rPr>
          <w:rStyle w:val="Strong"/>
          <w:rFonts w:ascii="Verdana" w:hAnsi="Verdana"/>
          <w:b w:val="0"/>
          <w:i/>
          <w:color w:val="000000"/>
          <w:sz w:val="16"/>
          <w:szCs w:val="16"/>
          <w:shd w:val="clear" w:color="auto" w:fill="FFFFFF"/>
        </w:rPr>
        <w:t>Caso Fleury y otros Vs. Haití.</w:t>
      </w:r>
      <w:r w:rsidRPr="006C5349">
        <w:rPr>
          <w:rStyle w:val="Strong"/>
          <w:rFonts w:ascii="Verdana" w:hAnsi="Verdana"/>
          <w:b w:val="0"/>
          <w:color w:val="000000"/>
          <w:sz w:val="16"/>
          <w:szCs w:val="16"/>
          <w:shd w:val="clear" w:color="auto" w:fill="FFFFFF"/>
        </w:rPr>
        <w:t xml:space="preserve"> Resolución del Presidente de la Corte </w:t>
      </w:r>
      <w:r w:rsidR="000113CA">
        <w:rPr>
          <w:rStyle w:val="Strong"/>
          <w:rFonts w:ascii="Verdana" w:hAnsi="Verdana"/>
          <w:b w:val="0"/>
          <w:bCs w:val="0"/>
          <w:color w:val="000000"/>
          <w:sz w:val="16"/>
          <w:szCs w:val="16"/>
          <w:shd w:val="clear" w:color="auto" w:fill="FFFFFF"/>
        </w:rPr>
        <w:t xml:space="preserve">Interamericana de Derechos </w:t>
      </w:r>
      <w:r w:rsidR="000113CA" w:rsidRPr="00747396">
        <w:rPr>
          <w:rStyle w:val="Strong"/>
          <w:rFonts w:ascii="Verdana" w:hAnsi="Verdana"/>
          <w:b w:val="0"/>
          <w:bCs w:val="0"/>
          <w:color w:val="000000"/>
          <w:sz w:val="16"/>
          <w:szCs w:val="16"/>
          <w:shd w:val="clear" w:color="auto" w:fill="FFFFFF"/>
        </w:rPr>
        <w:t xml:space="preserve">Humanos </w:t>
      </w:r>
      <w:r w:rsidRPr="006C5349">
        <w:rPr>
          <w:rStyle w:val="Strong"/>
          <w:rFonts w:ascii="Verdana" w:hAnsi="Verdana"/>
          <w:b w:val="0"/>
          <w:color w:val="000000"/>
          <w:sz w:val="16"/>
          <w:szCs w:val="16"/>
          <w:shd w:val="clear" w:color="auto" w:fill="FFFFFF"/>
        </w:rPr>
        <w:t xml:space="preserve">de 20 de julio de 2011, Considerando 7, </w:t>
      </w:r>
      <w:r w:rsidRPr="006C5349">
        <w:rPr>
          <w:rFonts w:ascii="Verdana" w:hAnsi="Verdana"/>
          <w:sz w:val="16"/>
          <w:szCs w:val="16"/>
        </w:rPr>
        <w:t xml:space="preserve">y </w:t>
      </w:r>
      <w:r w:rsidRPr="006C5349">
        <w:rPr>
          <w:rFonts w:ascii="Verdana" w:hAnsi="Verdana"/>
          <w:i/>
          <w:sz w:val="16"/>
          <w:szCs w:val="16"/>
        </w:rPr>
        <w:t>Caso Maldonado Ordoñez Vs. Guatemala</w:t>
      </w:r>
      <w:r w:rsidRPr="006C5349">
        <w:rPr>
          <w:rFonts w:ascii="Verdana" w:hAnsi="Verdana"/>
          <w:sz w:val="16"/>
          <w:szCs w:val="16"/>
        </w:rPr>
        <w:t>. Resolución de</w:t>
      </w:r>
      <w:r w:rsidR="000113CA">
        <w:rPr>
          <w:rFonts w:ascii="Verdana" w:hAnsi="Verdana"/>
          <w:sz w:val="16"/>
          <w:szCs w:val="16"/>
        </w:rPr>
        <w:t xml:space="preserve">l Presidente de la Corte </w:t>
      </w:r>
      <w:r w:rsidR="000113CA">
        <w:rPr>
          <w:rStyle w:val="Strong"/>
          <w:rFonts w:ascii="Verdana" w:hAnsi="Verdana"/>
          <w:b w:val="0"/>
          <w:bCs w:val="0"/>
          <w:color w:val="000000"/>
          <w:sz w:val="16"/>
          <w:szCs w:val="16"/>
          <w:shd w:val="clear" w:color="auto" w:fill="FFFFFF"/>
        </w:rPr>
        <w:t xml:space="preserve">Interamericana de Derechos </w:t>
      </w:r>
      <w:r w:rsidR="000113CA" w:rsidRPr="00747396">
        <w:rPr>
          <w:rStyle w:val="Strong"/>
          <w:rFonts w:ascii="Verdana" w:hAnsi="Verdana"/>
          <w:b w:val="0"/>
          <w:bCs w:val="0"/>
          <w:color w:val="000000"/>
          <w:sz w:val="16"/>
          <w:szCs w:val="16"/>
          <w:shd w:val="clear" w:color="auto" w:fill="FFFFFF"/>
        </w:rPr>
        <w:t xml:space="preserve">Humanos </w:t>
      </w:r>
      <w:r w:rsidR="000113CA">
        <w:rPr>
          <w:rFonts w:ascii="Verdana" w:hAnsi="Verdana"/>
          <w:sz w:val="16"/>
          <w:szCs w:val="16"/>
        </w:rPr>
        <w:t>de</w:t>
      </w:r>
      <w:r w:rsidRPr="006C5349">
        <w:rPr>
          <w:rFonts w:ascii="Verdana" w:hAnsi="Verdana"/>
          <w:sz w:val="16"/>
          <w:szCs w:val="16"/>
        </w:rPr>
        <w:t xml:space="preserve"> 6 de noviembre de 2015, Considerando 27.</w:t>
      </w:r>
    </w:p>
  </w:footnote>
  <w:footnote w:id="3">
    <w:p w:rsidR="00FA62EE" w:rsidRPr="00747396" w:rsidRDefault="00FA62EE" w:rsidP="00C02792">
      <w:pPr>
        <w:tabs>
          <w:tab w:val="left" w:pos="426"/>
        </w:tabs>
        <w:spacing w:line="240" w:lineRule="auto"/>
        <w:jc w:val="both"/>
        <w:rPr>
          <w:rFonts w:ascii="Verdana" w:hAnsi="Verdana"/>
          <w:b/>
          <w:bCs/>
          <w:color w:val="1F497D"/>
          <w:sz w:val="16"/>
          <w:szCs w:val="16"/>
        </w:rPr>
      </w:pPr>
      <w:r w:rsidRPr="00747396">
        <w:rPr>
          <w:rStyle w:val="FootnoteReference"/>
          <w:rFonts w:ascii="Verdana" w:hAnsi="Verdana"/>
          <w:sz w:val="16"/>
          <w:szCs w:val="16"/>
        </w:rPr>
        <w:footnoteRef/>
      </w:r>
      <w:r w:rsidRPr="00747396">
        <w:rPr>
          <w:rFonts w:ascii="Verdana" w:hAnsi="Verdana"/>
          <w:sz w:val="16"/>
          <w:szCs w:val="16"/>
        </w:rPr>
        <w:t xml:space="preserve"> </w:t>
      </w:r>
      <w:r w:rsidRPr="00747396">
        <w:rPr>
          <w:rFonts w:ascii="Verdana" w:hAnsi="Verdana"/>
          <w:sz w:val="16"/>
          <w:szCs w:val="16"/>
        </w:rPr>
        <w:tab/>
      </w:r>
      <w:r w:rsidRPr="00747396">
        <w:rPr>
          <w:rFonts w:ascii="Verdana" w:hAnsi="Verdana"/>
          <w:i/>
          <w:sz w:val="16"/>
          <w:szCs w:val="16"/>
        </w:rPr>
        <w:t>Cfr</w:t>
      </w:r>
      <w:r w:rsidR="000113CA">
        <w:rPr>
          <w:rFonts w:ascii="Verdana" w:hAnsi="Verdana"/>
          <w:i/>
          <w:sz w:val="16"/>
          <w:szCs w:val="16"/>
        </w:rPr>
        <w:t>.</w:t>
      </w:r>
      <w:r w:rsidRPr="00747396">
        <w:rPr>
          <w:rFonts w:ascii="Verdana" w:hAnsi="Verdana"/>
          <w:i/>
          <w:sz w:val="16"/>
          <w:szCs w:val="16"/>
        </w:rPr>
        <w:t xml:space="preserve"> Caso Furlan y familiares vs. Argentina. </w:t>
      </w:r>
      <w:r w:rsidRPr="00747396">
        <w:rPr>
          <w:rFonts w:ascii="Verdana" w:hAnsi="Verdana"/>
          <w:sz w:val="16"/>
          <w:szCs w:val="16"/>
        </w:rPr>
        <w:t>Resolución del Presidente de la Corte Interamericana de Derechos Humanos de 24 de enero de 2012, Considerando 8. En el mismo sentido, véase:</w:t>
      </w:r>
      <w:r w:rsidRPr="00747396">
        <w:rPr>
          <w:rFonts w:ascii="Verdana" w:hAnsi="Verdana"/>
          <w:i/>
          <w:sz w:val="16"/>
          <w:szCs w:val="16"/>
        </w:rPr>
        <w:t xml:space="preserve"> Caso Abrill Alosilla y otros Vs. Perú.</w:t>
      </w:r>
      <w:r w:rsidRPr="00747396">
        <w:rPr>
          <w:rFonts w:ascii="Verdana" w:hAnsi="Verdana"/>
          <w:sz w:val="16"/>
          <w:szCs w:val="16"/>
        </w:rPr>
        <w:t xml:space="preserve"> Resolución del Presidente en ejercicio para </w:t>
      </w:r>
      <w:r w:rsidR="000113CA">
        <w:rPr>
          <w:rFonts w:ascii="Verdana" w:hAnsi="Verdana"/>
          <w:sz w:val="16"/>
          <w:szCs w:val="16"/>
        </w:rPr>
        <w:t>ese</w:t>
      </w:r>
      <w:r w:rsidRPr="00747396">
        <w:rPr>
          <w:rFonts w:ascii="Verdana" w:hAnsi="Verdana"/>
          <w:sz w:val="16"/>
          <w:szCs w:val="16"/>
        </w:rPr>
        <w:t xml:space="preserve"> caso de la Corte </w:t>
      </w:r>
      <w:r w:rsidR="000113CA">
        <w:rPr>
          <w:rStyle w:val="Strong"/>
          <w:rFonts w:ascii="Verdana" w:hAnsi="Verdana"/>
          <w:b w:val="0"/>
          <w:bCs w:val="0"/>
          <w:color w:val="000000"/>
          <w:sz w:val="16"/>
          <w:szCs w:val="16"/>
          <w:shd w:val="clear" w:color="auto" w:fill="FFFFFF"/>
        </w:rPr>
        <w:t xml:space="preserve">Interamericana de Derechos </w:t>
      </w:r>
      <w:r w:rsidR="000113CA" w:rsidRPr="00747396">
        <w:rPr>
          <w:rStyle w:val="Strong"/>
          <w:rFonts w:ascii="Verdana" w:hAnsi="Verdana"/>
          <w:b w:val="0"/>
          <w:bCs w:val="0"/>
          <w:color w:val="000000"/>
          <w:sz w:val="16"/>
          <w:szCs w:val="16"/>
          <w:shd w:val="clear" w:color="auto" w:fill="FFFFFF"/>
        </w:rPr>
        <w:t xml:space="preserve">Humanos </w:t>
      </w:r>
      <w:r w:rsidRPr="00747396">
        <w:rPr>
          <w:rFonts w:ascii="Verdana" w:hAnsi="Verdana"/>
          <w:sz w:val="16"/>
          <w:szCs w:val="16"/>
        </w:rPr>
        <w:t>de 8 de septiem</w:t>
      </w:r>
      <w:r w:rsidR="00747396" w:rsidRPr="00747396">
        <w:rPr>
          <w:rFonts w:ascii="Verdana" w:hAnsi="Verdana"/>
          <w:sz w:val="16"/>
          <w:szCs w:val="16"/>
        </w:rPr>
        <w:t xml:space="preserve">bre de 2010, </w:t>
      </w:r>
      <w:r w:rsidR="000113CA">
        <w:rPr>
          <w:rFonts w:ascii="Verdana" w:hAnsi="Verdana"/>
          <w:sz w:val="16"/>
          <w:szCs w:val="16"/>
        </w:rPr>
        <w:t>C</w:t>
      </w:r>
      <w:r w:rsidR="00747396" w:rsidRPr="00747396">
        <w:rPr>
          <w:rFonts w:ascii="Verdana" w:hAnsi="Verdana"/>
          <w:sz w:val="16"/>
          <w:szCs w:val="16"/>
        </w:rPr>
        <w:t xml:space="preserve">onsiderando 24, y </w:t>
      </w:r>
      <w:r w:rsidR="00747396" w:rsidRPr="00747396">
        <w:rPr>
          <w:rStyle w:val="Strong"/>
          <w:rFonts w:ascii="Verdana" w:hAnsi="Verdana"/>
          <w:b w:val="0"/>
          <w:bCs w:val="0"/>
          <w:i/>
          <w:iCs/>
          <w:color w:val="000000"/>
          <w:sz w:val="16"/>
          <w:szCs w:val="16"/>
          <w:shd w:val="clear" w:color="auto" w:fill="FFFFFF"/>
        </w:rPr>
        <w:t xml:space="preserve">Caso </w:t>
      </w:r>
      <w:r w:rsidR="00747396">
        <w:rPr>
          <w:rStyle w:val="Strong"/>
          <w:rFonts w:ascii="Verdana" w:hAnsi="Verdana"/>
          <w:b w:val="0"/>
          <w:bCs w:val="0"/>
          <w:i/>
          <w:iCs/>
          <w:color w:val="000000"/>
          <w:sz w:val="16"/>
          <w:szCs w:val="16"/>
          <w:shd w:val="clear" w:color="auto" w:fill="FFFFFF"/>
        </w:rPr>
        <w:t xml:space="preserve">Chinchilla Sandoval y otros Vs. </w:t>
      </w:r>
      <w:r w:rsidR="00747396" w:rsidRPr="00747396">
        <w:rPr>
          <w:rStyle w:val="Strong"/>
          <w:rFonts w:ascii="Verdana" w:hAnsi="Verdana"/>
          <w:b w:val="0"/>
          <w:bCs w:val="0"/>
          <w:i/>
          <w:iCs/>
          <w:color w:val="000000"/>
          <w:sz w:val="16"/>
          <w:szCs w:val="16"/>
          <w:shd w:val="clear" w:color="auto" w:fill="FFFFFF"/>
        </w:rPr>
        <w:t>Guatemala.</w:t>
      </w:r>
      <w:r w:rsidR="00747396" w:rsidRPr="00747396">
        <w:rPr>
          <w:rStyle w:val="Strong"/>
          <w:rFonts w:ascii="Verdana" w:hAnsi="Verdana"/>
          <w:b w:val="0"/>
          <w:bCs w:val="0"/>
          <w:color w:val="000000"/>
          <w:sz w:val="16"/>
          <w:szCs w:val="16"/>
          <w:shd w:val="clear" w:color="auto" w:fill="FFFFFF"/>
        </w:rPr>
        <w:t xml:space="preserve"> Convocatoria de audiencia. Resolución del Presidente de la Cort</w:t>
      </w:r>
      <w:r w:rsidR="00747396">
        <w:rPr>
          <w:rStyle w:val="Strong"/>
          <w:rFonts w:ascii="Verdana" w:hAnsi="Verdana"/>
          <w:b w:val="0"/>
          <w:bCs w:val="0"/>
          <w:color w:val="000000"/>
          <w:sz w:val="16"/>
          <w:szCs w:val="16"/>
          <w:shd w:val="clear" w:color="auto" w:fill="FFFFFF"/>
        </w:rPr>
        <w:t xml:space="preserve">e Interamericana de Derechos </w:t>
      </w:r>
      <w:r w:rsidR="00747396" w:rsidRPr="00747396">
        <w:rPr>
          <w:rStyle w:val="Strong"/>
          <w:rFonts w:ascii="Verdana" w:hAnsi="Verdana"/>
          <w:b w:val="0"/>
          <w:bCs w:val="0"/>
          <w:color w:val="000000"/>
          <w:sz w:val="16"/>
          <w:szCs w:val="16"/>
          <w:shd w:val="clear" w:color="auto" w:fill="FFFFFF"/>
        </w:rPr>
        <w:t xml:space="preserve">Humanos de 12 de mayo de 2015, </w:t>
      </w:r>
      <w:r w:rsidR="000113CA">
        <w:rPr>
          <w:rStyle w:val="Strong"/>
          <w:rFonts w:ascii="Verdana" w:hAnsi="Verdana"/>
          <w:b w:val="0"/>
          <w:bCs w:val="0"/>
          <w:color w:val="000000"/>
          <w:sz w:val="16"/>
          <w:szCs w:val="16"/>
          <w:shd w:val="clear" w:color="auto" w:fill="FFFFFF"/>
        </w:rPr>
        <w:t>C</w:t>
      </w:r>
      <w:r w:rsidR="00747396" w:rsidRPr="00747396">
        <w:rPr>
          <w:rStyle w:val="Strong"/>
          <w:rFonts w:ascii="Verdana" w:hAnsi="Verdana"/>
          <w:b w:val="0"/>
          <w:bCs w:val="0"/>
          <w:color w:val="000000"/>
          <w:sz w:val="16"/>
          <w:szCs w:val="16"/>
          <w:shd w:val="clear" w:color="auto" w:fill="FFFFFF"/>
        </w:rPr>
        <w:t>onsiderando 30.</w:t>
      </w:r>
    </w:p>
  </w:footnote>
  <w:footnote w:id="4">
    <w:p w:rsidR="00FA62EE" w:rsidRPr="004862A3" w:rsidRDefault="00FA62EE" w:rsidP="00C02792">
      <w:pPr>
        <w:tabs>
          <w:tab w:val="left" w:pos="426"/>
        </w:tabs>
        <w:autoSpaceDE w:val="0"/>
        <w:autoSpaceDN w:val="0"/>
        <w:adjustRightInd w:val="0"/>
        <w:spacing w:before="120" w:after="120" w:line="240" w:lineRule="auto"/>
        <w:jc w:val="both"/>
        <w:rPr>
          <w:rFonts w:ascii="Verdana" w:hAnsi="Verdana" w:cs="Arial"/>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r>
      <w:r>
        <w:rPr>
          <w:rFonts w:ascii="Verdana" w:hAnsi="Verdana"/>
          <w:sz w:val="16"/>
          <w:szCs w:val="16"/>
        </w:rPr>
        <w:t>De acuerdo a lo indicado por las representantes, ambas declaraciones versarían sobre</w:t>
      </w:r>
      <w:r w:rsidRPr="004862A3">
        <w:rPr>
          <w:rFonts w:ascii="Verdana" w:hAnsi="Verdana"/>
          <w:sz w:val="16"/>
          <w:szCs w:val="16"/>
        </w:rPr>
        <w:t xml:space="preserve"> “</w:t>
      </w:r>
      <w:r w:rsidRPr="004862A3">
        <w:rPr>
          <w:rFonts w:ascii="Verdana" w:hAnsi="Verdana" w:cs="Arial"/>
          <w:sz w:val="16"/>
          <w:szCs w:val="16"/>
        </w:rPr>
        <w:t xml:space="preserve">el modo, tiempo y los hechos presentados por esta parte, así como acerca de las consecuencias personales, familiares, económicas, sociales, etc. que le ocasionó al </w:t>
      </w:r>
      <w:r w:rsidR="000113CA">
        <w:rPr>
          <w:rFonts w:ascii="Verdana" w:hAnsi="Verdana" w:cs="Arial"/>
          <w:sz w:val="16"/>
          <w:szCs w:val="16"/>
        </w:rPr>
        <w:t>[señor]</w:t>
      </w:r>
      <w:r w:rsidRPr="004862A3">
        <w:rPr>
          <w:rFonts w:ascii="Verdana" w:hAnsi="Verdana" w:cs="Arial"/>
          <w:sz w:val="16"/>
          <w:szCs w:val="16"/>
        </w:rPr>
        <w:t xml:space="preserve"> Muelle Flores y a su familia el no pago de la correspondiente pensión por jubilación y la falta de cobertura sistema previsional durante más de 26 años”. </w:t>
      </w:r>
    </w:p>
  </w:footnote>
  <w:footnote w:id="5">
    <w:p w:rsidR="00FA62EE" w:rsidRPr="004862A3" w:rsidRDefault="00FA62EE" w:rsidP="00C02792">
      <w:pPr>
        <w:pStyle w:val="FootnoteText"/>
        <w:tabs>
          <w:tab w:val="left" w:pos="426"/>
        </w:tabs>
        <w:spacing w:before="120" w:after="120"/>
        <w:jc w:val="both"/>
        <w:rPr>
          <w:rFonts w:ascii="Verdana" w:hAnsi="Verdana"/>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t xml:space="preserve">El artículo </w:t>
      </w:r>
      <w:r>
        <w:rPr>
          <w:rFonts w:ascii="Verdana" w:hAnsi="Verdana"/>
          <w:sz w:val="16"/>
          <w:szCs w:val="16"/>
        </w:rPr>
        <w:t>4</w:t>
      </w:r>
      <w:r w:rsidRPr="004862A3">
        <w:rPr>
          <w:rFonts w:ascii="Verdana" w:hAnsi="Verdana"/>
          <w:sz w:val="16"/>
          <w:szCs w:val="16"/>
        </w:rPr>
        <w:t>9 del reglamento de la Corte dispone: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6">
    <w:p w:rsidR="00FA62EE" w:rsidRPr="004862A3" w:rsidRDefault="00FA62EE" w:rsidP="00C02792">
      <w:pPr>
        <w:tabs>
          <w:tab w:val="left" w:pos="426"/>
        </w:tabs>
        <w:autoSpaceDE w:val="0"/>
        <w:autoSpaceDN w:val="0"/>
        <w:adjustRightInd w:val="0"/>
        <w:spacing w:before="120" w:after="120" w:line="240" w:lineRule="auto"/>
        <w:jc w:val="both"/>
        <w:rPr>
          <w:rFonts w:ascii="Verdana" w:hAnsi="Verdana" w:cs="Arial"/>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t>El objeto de la pericia sería: “</w:t>
      </w:r>
      <w:r w:rsidRPr="004862A3">
        <w:rPr>
          <w:rFonts w:ascii="Verdana" w:hAnsi="Verdana" w:cs="Arial"/>
          <w:sz w:val="16"/>
          <w:szCs w:val="16"/>
        </w:rPr>
        <w:t>el contenido, a la luz de los estándares internacionales, de los Derechos Económicos, Sociales y Culturales y, en especial, del derecho a la seguridad social (y su conexión con los otros derechos). La pericia tendrá por objeto argumentar sobre la justiciabilidad directa de los DESC contemplados en el art. 26 de la CADH; las obligaciones derivadas de la relación entre Derechos Humanos y empresas, las salvaguardias para protección de los derechos previsionales en los casos de privatizaciones de empresas estatales y el rol del Poder Judicial como garantía del acceso a la Justicia y la efectividad de los recursos para la protección de los DESC. Especialmente, la perita brindará a la Corte una visión del tema en el derecho internacional y así como en el derecho comparado, ofreciendo referencias de otros sistemas de protección de los derechos humanos, sistematizando los estándares a considerar para decidir si se ha producido una violación de los derechos mencionados”.</w:t>
      </w:r>
    </w:p>
  </w:footnote>
  <w:footnote w:id="7">
    <w:p w:rsidR="00FA62EE" w:rsidRPr="004862A3" w:rsidRDefault="00FA62EE" w:rsidP="00C02792">
      <w:pPr>
        <w:tabs>
          <w:tab w:val="left" w:pos="426"/>
        </w:tabs>
        <w:autoSpaceDE w:val="0"/>
        <w:autoSpaceDN w:val="0"/>
        <w:adjustRightInd w:val="0"/>
        <w:spacing w:before="120" w:after="120" w:line="240" w:lineRule="auto"/>
        <w:jc w:val="both"/>
        <w:rPr>
          <w:rFonts w:ascii="Verdana" w:hAnsi="Verdana" w:cs="Arial"/>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t>La Comisión señaló que el perito rendiría declaración sobre “</w:t>
      </w:r>
      <w:r w:rsidRPr="004862A3">
        <w:rPr>
          <w:rFonts w:ascii="Verdana" w:hAnsi="Verdana" w:cs="Arial"/>
          <w:sz w:val="16"/>
          <w:szCs w:val="16"/>
        </w:rPr>
        <w:t xml:space="preserve">la falta de cumplimiento de sentencias judiciales que reconocen derechos pensionarios como una forma de denegación de justicia en general y, específicamente, en materia de derechos económicos, sociales y cultura les. El perito tomará en cuenta los hechos del caso para pronunciarse sobre los obstáculos que se presentaron en el mismo, a la luz tanto de los derechos a las garantías judiciales y protección judicial, como del derecho a la propiedad privada. En particular, el perito se referirá a las obligaciones que resultan exigibles a los Estados en el contexto de privatización de una empresa frente a los derechos de los trabajadores y jubilados, incluyendo el cumplimiento de fallos judiciales sobre la materia emitidos con anterioridad a la privatización”. </w:t>
      </w:r>
    </w:p>
  </w:footnote>
  <w:footnote w:id="8">
    <w:p w:rsidR="00FA62EE" w:rsidRPr="004862A3" w:rsidRDefault="00FA62EE" w:rsidP="00C02792">
      <w:pPr>
        <w:pStyle w:val="FootnoteText"/>
        <w:tabs>
          <w:tab w:val="left" w:pos="426"/>
        </w:tabs>
        <w:spacing w:before="120" w:after="120"/>
        <w:jc w:val="both"/>
        <w:rPr>
          <w:rFonts w:ascii="Verdana" w:hAnsi="Verdana"/>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f. cuando se afecte de manera relevante el orden público interamericano de los derechos humanos, la eventual designación de peritos, indicando el objeto de sus declaracione</w:t>
      </w:r>
      <w:r w:rsidR="000113CA">
        <w:rPr>
          <w:rFonts w:ascii="Verdana" w:hAnsi="Verdana"/>
          <w:sz w:val="16"/>
          <w:szCs w:val="16"/>
        </w:rPr>
        <w:t>s y acompañando su hoja de vida</w:t>
      </w:r>
      <w:r w:rsidRPr="004862A3">
        <w:rPr>
          <w:rFonts w:ascii="Verdana" w:hAnsi="Verdana"/>
          <w:sz w:val="16"/>
          <w:szCs w:val="16"/>
        </w:rPr>
        <w:t>”</w:t>
      </w:r>
      <w:r w:rsidR="000113CA">
        <w:rPr>
          <w:rFonts w:ascii="Verdana" w:hAnsi="Verdana"/>
          <w:sz w:val="16"/>
          <w:szCs w:val="16"/>
        </w:rPr>
        <w:t>.</w:t>
      </w:r>
    </w:p>
  </w:footnote>
  <w:footnote w:id="9">
    <w:p w:rsidR="00FA62EE" w:rsidRPr="004862A3" w:rsidRDefault="00FA62EE" w:rsidP="00C02792">
      <w:pPr>
        <w:pStyle w:val="FootnoteText"/>
        <w:tabs>
          <w:tab w:val="left" w:pos="426"/>
        </w:tabs>
        <w:spacing w:before="120" w:after="120"/>
        <w:jc w:val="both"/>
        <w:rPr>
          <w:rFonts w:ascii="Verdana" w:hAnsi="Verdana"/>
          <w:sz w:val="16"/>
          <w:szCs w:val="16"/>
          <w:lang w:val="es-ES_tradnl"/>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lang w:val="es-ES_tradnl"/>
        </w:rPr>
        <w:tab/>
        <w:t xml:space="preserve">El cual versó sobre </w:t>
      </w:r>
      <w:r w:rsidRPr="004862A3">
        <w:rPr>
          <w:rFonts w:ascii="Verdana" w:hAnsi="Verdana"/>
          <w:sz w:val="16"/>
          <w:szCs w:val="16"/>
        </w:rPr>
        <w:t>“los estándares a tomar en consideración al momento de evaluar la idoneidad y efectividad de las medidas de reparación dispuestas por un Estado para responder a una situación estructural de denegación de justicia frente a un contexto de ceses colectivos en la función pública”.</w:t>
      </w:r>
    </w:p>
  </w:footnote>
  <w:footnote w:id="10">
    <w:p w:rsidR="00FA62EE" w:rsidRPr="004862A3" w:rsidRDefault="00FA62EE" w:rsidP="00C02792">
      <w:pPr>
        <w:pStyle w:val="FootnoteText"/>
        <w:tabs>
          <w:tab w:val="left" w:pos="426"/>
        </w:tabs>
        <w:spacing w:before="120" w:after="120"/>
        <w:jc w:val="both"/>
        <w:rPr>
          <w:rFonts w:ascii="Verdana" w:hAnsi="Verdana"/>
          <w:sz w:val="16"/>
          <w:szCs w:val="16"/>
          <w:lang w:val="es-ES_tradnl"/>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lang w:val="es-ES_tradnl"/>
        </w:rPr>
        <w:tab/>
        <w:t xml:space="preserve">Cuyo objeto fue </w:t>
      </w:r>
      <w:r w:rsidRPr="004862A3">
        <w:rPr>
          <w:rFonts w:ascii="Verdana" w:hAnsi="Verdana"/>
          <w:sz w:val="16"/>
          <w:szCs w:val="16"/>
        </w:rPr>
        <w:t>“los hechos acaecidos y sus efectos en el contexto sociopolítico durante la década de los años  90 en el Perú”, así como “el desarrollo de la legislación laboral existente”.</w:t>
      </w:r>
    </w:p>
  </w:footnote>
  <w:footnote w:id="11">
    <w:p w:rsidR="00FA62EE" w:rsidRPr="004862A3" w:rsidRDefault="00FA62EE" w:rsidP="00C02792">
      <w:pPr>
        <w:pStyle w:val="FootnoteText"/>
        <w:tabs>
          <w:tab w:val="left" w:pos="426"/>
        </w:tabs>
        <w:spacing w:before="120" w:after="120"/>
        <w:jc w:val="both"/>
        <w:rPr>
          <w:rFonts w:ascii="Verdana" w:hAnsi="Verdana"/>
          <w:sz w:val="16"/>
          <w:szCs w:val="16"/>
          <w:lang w:val="es-ES_tradnl"/>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lang w:val="es-ES_tradnl"/>
        </w:rPr>
        <w:tab/>
        <w:t>El cual versó sobre “</w:t>
      </w:r>
      <w:r w:rsidRPr="004862A3">
        <w:rPr>
          <w:rFonts w:ascii="Verdana" w:hAnsi="Verdana"/>
          <w:sz w:val="16"/>
          <w:szCs w:val="16"/>
        </w:rPr>
        <w:t>los resultados económicos de la privatización en el Perú; el proceso de ceses colectivos y sus efectos laborales en las empresas del Estado, con especial énfasis en la empresa Petroperú, y la implementación de medidas de reparación para las víctimas de los ceses colectivos y sus efectos, específicamente respecto al caso de Petroperú”.</w:t>
      </w:r>
    </w:p>
  </w:footnote>
  <w:footnote w:id="12">
    <w:p w:rsidR="00FA62EE" w:rsidRPr="004862A3" w:rsidRDefault="00FA62EE" w:rsidP="00C02792">
      <w:pPr>
        <w:pStyle w:val="FootnoteText"/>
        <w:tabs>
          <w:tab w:val="left" w:pos="426"/>
        </w:tabs>
        <w:spacing w:before="120" w:after="120"/>
        <w:jc w:val="both"/>
        <w:rPr>
          <w:rFonts w:ascii="Verdana" w:hAnsi="Verdana"/>
          <w:sz w:val="16"/>
          <w:szCs w:val="16"/>
          <w:lang w:val="es-ES_tradnl"/>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lang w:val="es-ES_tradnl"/>
        </w:rPr>
        <w:tab/>
        <w:t>El cual versó sobre “</w:t>
      </w:r>
      <w:r w:rsidRPr="004862A3">
        <w:rPr>
          <w:rFonts w:ascii="Verdana" w:hAnsi="Verdana"/>
          <w:sz w:val="16"/>
          <w:szCs w:val="16"/>
        </w:rPr>
        <w:t>las modificaciones sustanciales efectuadas en la legislación laboral en el Perú a partir del 5 de abril de 1992, que habrían llevado a la flexibilización laboral, y sus efectos en el sector público, en las empresas del Estado y en la reducción de su personal a través de ceses colectivos específicamente en los casos de PETROPERU y ENAPU; la alegada ausencia de garantías de supervisión de la legalidad y/o constitucionalidad en la implementación de los ceses colectivos en el sector público y en las empresas del Estado y su alegada sustitución por entidades ad hoc; el impacto socio-económico de estas medidas en las condiciones de vida de los trabajadores y sus familias específicamente en el caso de los trabajadores de PETROPERU, y las acciones iniciadas para determinar los efectos de las medidas adoptadas en la década de los años 90 en la gestión de recursos humanos del Estado”.</w:t>
      </w:r>
    </w:p>
  </w:footnote>
  <w:footnote w:id="13">
    <w:p w:rsidR="00FA62EE" w:rsidRPr="004862A3" w:rsidRDefault="00FA62EE" w:rsidP="00C02792">
      <w:pPr>
        <w:pStyle w:val="FootnoteText"/>
        <w:tabs>
          <w:tab w:val="left" w:pos="426"/>
        </w:tabs>
        <w:spacing w:before="120" w:after="120"/>
        <w:jc w:val="both"/>
        <w:rPr>
          <w:rFonts w:ascii="Verdana" w:hAnsi="Verdana"/>
          <w:sz w:val="16"/>
          <w:szCs w:val="16"/>
        </w:rPr>
      </w:pPr>
      <w:r w:rsidRPr="004862A3">
        <w:rPr>
          <w:rStyle w:val="FootnoteReference"/>
          <w:rFonts w:ascii="Verdana" w:hAnsi="Verdana"/>
          <w:sz w:val="16"/>
          <w:szCs w:val="16"/>
        </w:rPr>
        <w:footnoteRef/>
      </w:r>
      <w:r w:rsidRPr="00181E13">
        <w:rPr>
          <w:rFonts w:ascii="Verdana" w:hAnsi="Verdana"/>
          <w:sz w:val="16"/>
          <w:szCs w:val="16"/>
          <w:lang w:val="pt-BR"/>
        </w:rPr>
        <w:t xml:space="preserve"> </w:t>
      </w:r>
      <w:r w:rsidRPr="00181E13">
        <w:rPr>
          <w:rFonts w:ascii="Verdana" w:hAnsi="Verdana"/>
          <w:sz w:val="16"/>
          <w:szCs w:val="16"/>
          <w:lang w:val="pt-BR"/>
        </w:rPr>
        <w:tab/>
      </w:r>
      <w:r w:rsidRPr="00181E13">
        <w:rPr>
          <w:rFonts w:ascii="Verdana" w:hAnsi="Verdana"/>
          <w:i/>
          <w:sz w:val="16"/>
          <w:szCs w:val="16"/>
          <w:lang w:val="pt-BR"/>
        </w:rPr>
        <w:t xml:space="preserve">Cfr. Caso Pacheco Tineo Vs. </w:t>
      </w:r>
      <w:r w:rsidRPr="004862A3">
        <w:rPr>
          <w:rFonts w:ascii="Verdana" w:hAnsi="Verdana"/>
          <w:i/>
          <w:sz w:val="16"/>
          <w:szCs w:val="16"/>
        </w:rPr>
        <w:t>Bolivia. Convocatoria de audiencia</w:t>
      </w:r>
      <w:r w:rsidRPr="004862A3">
        <w:rPr>
          <w:rFonts w:ascii="Verdana" w:hAnsi="Verdana"/>
          <w:sz w:val="16"/>
          <w:szCs w:val="16"/>
        </w:rPr>
        <w:t xml:space="preserve">. Resolución del Presidente de la Corte de 19 de febrero de 2013, Considerando 54, </w:t>
      </w:r>
      <w:r w:rsidRPr="004862A3">
        <w:rPr>
          <w:rFonts w:ascii="Verdana" w:hAnsi="Verdana"/>
          <w:i/>
          <w:sz w:val="16"/>
          <w:szCs w:val="16"/>
        </w:rPr>
        <w:t>Caso Selvas Gómez y otras Vs. México.</w:t>
      </w:r>
      <w:r w:rsidRPr="004862A3">
        <w:rPr>
          <w:rFonts w:ascii="Verdana" w:hAnsi="Verdana"/>
          <w:sz w:val="16"/>
          <w:szCs w:val="16"/>
        </w:rPr>
        <w:t xml:space="preserve"> Convocatoria de audiencia. Resolución del Presidente de la Corte de 18 de octubre de 2017, Considerando 11, y </w:t>
      </w:r>
      <w:r w:rsidRPr="004862A3">
        <w:rPr>
          <w:rStyle w:val="Strong"/>
          <w:rFonts w:ascii="Verdana" w:hAnsi="Verdana"/>
          <w:b w:val="0"/>
          <w:i/>
          <w:color w:val="000000"/>
          <w:sz w:val="16"/>
          <w:szCs w:val="16"/>
          <w:shd w:val="clear" w:color="auto" w:fill="FFFFFF"/>
        </w:rPr>
        <w:t xml:space="preserve">Caso Coc Max y otros Vs. Guatemala. </w:t>
      </w:r>
      <w:r w:rsidRPr="004862A3">
        <w:rPr>
          <w:rStyle w:val="Strong"/>
          <w:rFonts w:ascii="Verdana" w:hAnsi="Verdana"/>
          <w:b w:val="0"/>
          <w:color w:val="000000"/>
          <w:sz w:val="16"/>
          <w:szCs w:val="16"/>
          <w:shd w:val="clear" w:color="auto" w:fill="FFFFFF"/>
        </w:rPr>
        <w:t>Convocatoria a audiencia. Resolución del Presidente en ejercicio de la Corte Interamericana de Derechos Humanos de 13 de diciembre de 2017, Considerando 15.</w:t>
      </w:r>
    </w:p>
  </w:footnote>
  <w:footnote w:id="14">
    <w:p w:rsidR="00FA62EE" w:rsidRPr="004862A3" w:rsidRDefault="00FA62EE" w:rsidP="00C02792">
      <w:pPr>
        <w:pStyle w:val="FootnoteText"/>
        <w:tabs>
          <w:tab w:val="left" w:pos="426"/>
        </w:tabs>
        <w:spacing w:before="120" w:after="120"/>
        <w:jc w:val="both"/>
        <w:rPr>
          <w:rFonts w:ascii="Verdana" w:hAnsi="Verdana"/>
          <w:sz w:val="16"/>
          <w:szCs w:val="16"/>
        </w:rPr>
      </w:pPr>
      <w:r w:rsidRPr="004862A3">
        <w:rPr>
          <w:rStyle w:val="FootnoteReference"/>
          <w:rFonts w:ascii="Verdana" w:hAnsi="Verdana"/>
          <w:sz w:val="16"/>
          <w:szCs w:val="16"/>
        </w:rPr>
        <w:footnoteRef/>
      </w:r>
      <w:r w:rsidRPr="004862A3">
        <w:rPr>
          <w:rFonts w:ascii="Verdana" w:hAnsi="Verdana"/>
          <w:sz w:val="16"/>
          <w:szCs w:val="16"/>
        </w:rPr>
        <w:t xml:space="preserve"> </w:t>
      </w:r>
      <w:r w:rsidRPr="004862A3">
        <w:rPr>
          <w:rFonts w:ascii="Verdana" w:hAnsi="Verdana"/>
          <w:sz w:val="16"/>
          <w:szCs w:val="16"/>
        </w:rPr>
        <w:tab/>
      </w:r>
      <w:r w:rsidRPr="004862A3">
        <w:rPr>
          <w:rFonts w:ascii="Verdana" w:hAnsi="Verdana"/>
          <w:i/>
          <w:sz w:val="16"/>
          <w:szCs w:val="16"/>
        </w:rPr>
        <w:t xml:space="preserve">Cfr. Caso García Asto y Ramírez Rojas Vs. Perú. </w:t>
      </w:r>
      <w:r w:rsidRPr="004862A3">
        <w:rPr>
          <w:rFonts w:ascii="Verdana" w:hAnsi="Verdana"/>
          <w:sz w:val="16"/>
          <w:szCs w:val="16"/>
        </w:rPr>
        <w:t xml:space="preserve">Resolución del Presidente de la Corte de 18 de marzo de 2005, Considerandos 7 a 10;  </w:t>
      </w:r>
      <w:r w:rsidRPr="004862A3">
        <w:rPr>
          <w:rFonts w:ascii="Verdana" w:hAnsi="Verdana"/>
          <w:i/>
          <w:sz w:val="16"/>
          <w:szCs w:val="16"/>
        </w:rPr>
        <w:t>Caso Trabajadores Cesados de Petroperú y otros Vs. Perú.</w:t>
      </w:r>
      <w:r w:rsidRPr="004862A3">
        <w:rPr>
          <w:rFonts w:ascii="Verdana" w:hAnsi="Verdana"/>
          <w:sz w:val="16"/>
          <w:szCs w:val="16"/>
        </w:rPr>
        <w:t xml:space="preserve"> Resolución del Presidente de la Corte Interamericana de Derechos Humanos de 14 de septiembre de 2016, Considerando 6, y </w:t>
      </w:r>
      <w:r w:rsidRPr="004862A3">
        <w:rPr>
          <w:rStyle w:val="Strong"/>
          <w:rFonts w:ascii="Verdana" w:hAnsi="Verdana"/>
          <w:b w:val="0"/>
          <w:i/>
          <w:color w:val="000000"/>
          <w:sz w:val="16"/>
          <w:szCs w:val="16"/>
          <w:shd w:val="clear" w:color="auto" w:fill="FFFFFF"/>
        </w:rPr>
        <w:t>Caso Ramírez Escobar y otros Vs. Guatemala</w:t>
      </w:r>
      <w:r w:rsidRPr="004862A3">
        <w:rPr>
          <w:rStyle w:val="Strong"/>
          <w:rFonts w:ascii="Verdana" w:hAnsi="Verdana"/>
          <w:b w:val="0"/>
          <w:color w:val="000000"/>
          <w:sz w:val="16"/>
          <w:szCs w:val="16"/>
          <w:shd w:val="clear" w:color="auto" w:fill="FFFFFF"/>
        </w:rPr>
        <w:t>. Convocatoria de audiencia. Resolución del Presidente de la Corte Interamericana de Derechos Humanos de 11 de abril de 2017, Considerando 26.</w:t>
      </w:r>
    </w:p>
  </w:footnote>
  <w:footnote w:id="15">
    <w:p w:rsidR="00FA62EE" w:rsidRDefault="00FA62EE" w:rsidP="00C02792">
      <w:pPr>
        <w:pStyle w:val="FootnoteText"/>
        <w:tabs>
          <w:tab w:val="left" w:pos="426"/>
        </w:tabs>
      </w:pPr>
      <w:r w:rsidRPr="007349E1">
        <w:rPr>
          <w:rStyle w:val="FootnoteReference"/>
          <w:rFonts w:ascii="Verdana" w:hAnsi="Verdana"/>
          <w:sz w:val="16"/>
          <w:szCs w:val="16"/>
        </w:rPr>
        <w:footnoteRef/>
      </w:r>
      <w:r w:rsidRPr="007349E1">
        <w:rPr>
          <w:rFonts w:ascii="Verdana" w:hAnsi="Verdana"/>
          <w:sz w:val="16"/>
          <w:szCs w:val="16"/>
        </w:rPr>
        <w:t xml:space="preserve"> </w:t>
      </w:r>
      <w:r w:rsidRPr="007349E1">
        <w:rPr>
          <w:rFonts w:ascii="Verdana" w:hAnsi="Verdana"/>
          <w:sz w:val="16"/>
          <w:szCs w:val="16"/>
        </w:rPr>
        <w:tab/>
      </w:r>
      <w:r w:rsidRPr="007349E1">
        <w:rPr>
          <w:rFonts w:ascii="Verdana" w:hAnsi="Verdana"/>
          <w:i/>
          <w:sz w:val="16"/>
          <w:szCs w:val="16"/>
        </w:rPr>
        <w:t>Cfr.</w:t>
      </w:r>
      <w:r w:rsidRPr="007349E1">
        <w:rPr>
          <w:rFonts w:ascii="Verdana" w:hAnsi="Verdana"/>
          <w:sz w:val="16"/>
          <w:szCs w:val="16"/>
        </w:rPr>
        <w:t xml:space="preserve"> Comprobantes de gastos relacionados con viaje a Lima entre 22 y 26 de octubre de 2017 (expediente de prueba, folios 1628 a 1667).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EE" w:rsidRDefault="00FA62EE"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2EE" w:rsidRDefault="00FA6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EE" w:rsidRPr="000113CA" w:rsidRDefault="00FA62EE" w:rsidP="00205583">
    <w:pPr>
      <w:pStyle w:val="Header"/>
      <w:framePr w:wrap="none" w:vAnchor="text" w:hAnchor="margin" w:xAlign="center" w:y="1"/>
      <w:jc w:val="center"/>
      <w:rPr>
        <w:rStyle w:val="PageNumber"/>
        <w:rFonts w:ascii="Verdana" w:hAnsi="Verdana"/>
        <w:sz w:val="20"/>
        <w:szCs w:val="20"/>
      </w:rPr>
    </w:pPr>
    <w:r w:rsidRPr="000113CA">
      <w:rPr>
        <w:rStyle w:val="PageNumber"/>
        <w:rFonts w:ascii="Verdana" w:hAnsi="Verdana"/>
        <w:sz w:val="20"/>
        <w:szCs w:val="20"/>
      </w:rPr>
      <w:t xml:space="preserve">- </w:t>
    </w:r>
    <w:r w:rsidRPr="000113CA">
      <w:rPr>
        <w:rStyle w:val="PageNumber"/>
        <w:rFonts w:ascii="Verdana" w:hAnsi="Verdana"/>
        <w:sz w:val="20"/>
        <w:szCs w:val="20"/>
      </w:rPr>
      <w:fldChar w:fldCharType="begin"/>
    </w:r>
    <w:r w:rsidRPr="000113CA">
      <w:rPr>
        <w:rStyle w:val="PageNumber"/>
        <w:rFonts w:ascii="Verdana" w:hAnsi="Verdana"/>
        <w:sz w:val="20"/>
        <w:szCs w:val="20"/>
      </w:rPr>
      <w:instrText xml:space="preserve">PAGE  </w:instrText>
    </w:r>
    <w:r w:rsidRPr="000113CA">
      <w:rPr>
        <w:rStyle w:val="PageNumber"/>
        <w:rFonts w:ascii="Verdana" w:hAnsi="Verdana"/>
        <w:sz w:val="20"/>
        <w:szCs w:val="20"/>
      </w:rPr>
      <w:fldChar w:fldCharType="separate"/>
    </w:r>
    <w:r w:rsidR="004209B7">
      <w:rPr>
        <w:rStyle w:val="PageNumber"/>
        <w:rFonts w:ascii="Verdana" w:hAnsi="Verdana"/>
        <w:noProof/>
        <w:sz w:val="20"/>
        <w:szCs w:val="20"/>
      </w:rPr>
      <w:t>12</w:t>
    </w:r>
    <w:r w:rsidRPr="000113CA">
      <w:rPr>
        <w:rStyle w:val="PageNumber"/>
        <w:rFonts w:ascii="Verdana" w:hAnsi="Verdana"/>
        <w:sz w:val="20"/>
        <w:szCs w:val="20"/>
      </w:rPr>
      <w:fldChar w:fldCharType="end"/>
    </w:r>
    <w:r w:rsidRPr="000113CA">
      <w:rPr>
        <w:rStyle w:val="PageNumber"/>
        <w:rFonts w:ascii="Verdana" w:hAnsi="Verdana"/>
        <w:sz w:val="20"/>
        <w:szCs w:val="20"/>
      </w:rPr>
      <w:t xml:space="preserve"> -</w:t>
    </w:r>
  </w:p>
  <w:p w:rsidR="00FA62EE" w:rsidRDefault="00FA6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76721F8"/>
    <w:multiLevelType w:val="hybridMultilevel"/>
    <w:tmpl w:val="074A10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555492"/>
    <w:multiLevelType w:val="hybridMultilevel"/>
    <w:tmpl w:val="52D081C6"/>
    <w:lvl w:ilvl="0" w:tplc="115EB01E">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128B00B8"/>
    <w:multiLevelType w:val="hybridMultilevel"/>
    <w:tmpl w:val="6E866836"/>
    <w:lvl w:ilvl="0" w:tplc="A4EA39EC">
      <w:start w:val="1"/>
      <w:numFmt w:val="decimal"/>
      <w:lvlText w:val="%1."/>
      <w:lvlJc w:val="left"/>
      <w:pPr>
        <w:tabs>
          <w:tab w:val="num" w:pos="1070"/>
        </w:tabs>
        <w:ind w:left="107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A9F0A54"/>
    <w:multiLevelType w:val="hybridMultilevel"/>
    <w:tmpl w:val="24BC97AC"/>
    <w:lvl w:ilvl="0" w:tplc="09F8DC12">
      <w:start w:val="1"/>
      <w:numFmt w:val="upperLetter"/>
      <w:pStyle w:val="Heading1"/>
      <w:lvlText w:val="%1."/>
      <w:lvlJc w:val="left"/>
      <w:pPr>
        <w:ind w:left="644"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558AC"/>
    <w:multiLevelType w:val="hybridMultilevel"/>
    <w:tmpl w:val="6E866836"/>
    <w:lvl w:ilvl="0" w:tplc="A4EA39EC">
      <w:start w:val="1"/>
      <w:numFmt w:val="decimal"/>
      <w:lvlText w:val="%1."/>
      <w:lvlJc w:val="left"/>
      <w:pPr>
        <w:tabs>
          <w:tab w:val="num" w:pos="1070"/>
        </w:tabs>
        <w:ind w:left="107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A376BF6"/>
    <w:multiLevelType w:val="hybridMultilevel"/>
    <w:tmpl w:val="43243FE4"/>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4DB9061A"/>
    <w:multiLevelType w:val="hybridMultilevel"/>
    <w:tmpl w:val="90B0129C"/>
    <w:lvl w:ilvl="0" w:tplc="093ECCA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23">
    <w:nsid w:val="5DDB6DC6"/>
    <w:multiLevelType w:val="hybridMultilevel"/>
    <w:tmpl w:val="1C764FCC"/>
    <w:lvl w:ilvl="0" w:tplc="D6367428">
      <w:start w:val="1"/>
      <w:numFmt w:val="decimal"/>
      <w:pStyle w:val="NoSpacing"/>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5EFB0744"/>
    <w:multiLevelType w:val="hybridMultilevel"/>
    <w:tmpl w:val="FC2243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F34219B"/>
    <w:multiLevelType w:val="hybridMultilevel"/>
    <w:tmpl w:val="B89270C2"/>
    <w:lvl w:ilvl="0" w:tplc="47ECB2A4">
      <w:start w:val="1"/>
      <w:numFmt w:val="upperLetter"/>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nsid w:val="62C97D24"/>
    <w:multiLevelType w:val="hybridMultilevel"/>
    <w:tmpl w:val="AA90C8B6"/>
    <w:lvl w:ilvl="0" w:tplc="03A054C8">
      <w:start w:val="1"/>
      <w:numFmt w:val="decimal"/>
      <w:lvlText w:val="%1."/>
      <w:lvlJc w:val="left"/>
      <w:pPr>
        <w:ind w:left="1430" w:hanging="720"/>
      </w:pPr>
      <w:rPr>
        <w:b w:val="0"/>
        <w:i w:val="0"/>
      </w:rPr>
    </w:lvl>
    <w:lvl w:ilvl="1" w:tplc="B08C5A98">
      <w:start w:val="1"/>
      <w:numFmt w:val="lowerRoman"/>
      <w:lvlText w:val="%2."/>
      <w:lvlJc w:val="left"/>
      <w:pPr>
        <w:ind w:left="1800" w:hanging="720"/>
      </w:pPr>
    </w:lvl>
    <w:lvl w:ilvl="2" w:tplc="0409001B">
      <w:start w:val="1"/>
      <w:numFmt w:val="decimal"/>
      <w:lvlText w:val="%3."/>
      <w:lvlJc w:val="left"/>
      <w:pPr>
        <w:tabs>
          <w:tab w:val="num" w:pos="1070"/>
        </w:tabs>
        <w:ind w:left="1070" w:hanging="360"/>
      </w:pPr>
    </w:lvl>
    <w:lvl w:ilvl="3" w:tplc="A4EA39EC">
      <w:start w:val="1"/>
      <w:numFmt w:val="decimal"/>
      <w:lvlText w:val="%4."/>
      <w:lvlJc w:val="left"/>
      <w:pPr>
        <w:tabs>
          <w:tab w:val="num" w:pos="1070"/>
        </w:tabs>
        <w:ind w:left="1070" w:hanging="360"/>
      </w:pPr>
      <w:rPr>
        <w:i w:val="0"/>
      </w:rPr>
    </w:lvl>
    <w:lvl w:ilvl="4" w:tplc="04090019">
      <w:start w:val="1"/>
      <w:numFmt w:val="decimal"/>
      <w:lvlText w:val="%5."/>
      <w:lvlJc w:val="left"/>
      <w:pPr>
        <w:tabs>
          <w:tab w:val="num" w:pos="1070"/>
        </w:tabs>
        <w:ind w:left="1070" w:hanging="360"/>
      </w:pPr>
    </w:lvl>
    <w:lvl w:ilvl="5" w:tplc="7428B1DC">
      <w:start w:val="1"/>
      <w:numFmt w:val="decimal"/>
      <w:lvlText w:val="%6."/>
      <w:lvlJc w:val="left"/>
      <w:pPr>
        <w:tabs>
          <w:tab w:val="num" w:pos="1070"/>
        </w:tabs>
        <w:ind w:left="107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774853"/>
    <w:multiLevelType w:val="hybridMultilevel"/>
    <w:tmpl w:val="B20E5CE2"/>
    <w:lvl w:ilvl="0" w:tplc="E06C1D42">
      <w:start w:val="2"/>
      <w:numFmt w:val="decimal"/>
      <w:lvlText w:val="%1."/>
      <w:lvlJc w:val="left"/>
      <w:pPr>
        <w:ind w:left="360" w:hanging="360"/>
      </w:pPr>
      <w:rPr>
        <w:rFonts w:eastAsiaTheme="minorHAnsi" w:cs="Times New Roman" w:hint="default"/>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nsid w:val="6AE4763F"/>
    <w:multiLevelType w:val="hybridMultilevel"/>
    <w:tmpl w:val="F8C68050"/>
    <w:lvl w:ilvl="0" w:tplc="FBB02A9E">
      <w:start w:val="1"/>
      <w:numFmt w:val="decimal"/>
      <w:lvlText w:val="%1."/>
      <w:lvlJc w:val="left"/>
      <w:pPr>
        <w:ind w:left="1430" w:hanging="720"/>
      </w:pPr>
      <w:rPr>
        <w:b w:val="0"/>
        <w:i w:val="0"/>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32">
    <w:nsid w:val="6B237515"/>
    <w:multiLevelType w:val="hybridMultilevel"/>
    <w:tmpl w:val="D4C05B06"/>
    <w:lvl w:ilvl="0" w:tplc="21E0EE84">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6">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3"/>
  </w:num>
  <w:num w:numId="9">
    <w:abstractNumId w:val="6"/>
  </w:num>
  <w:num w:numId="10">
    <w:abstractNumId w:val="27"/>
  </w:num>
  <w:num w:numId="11">
    <w:abstractNumId w:val="19"/>
  </w:num>
  <w:num w:numId="12">
    <w:abstractNumId w:val="11"/>
  </w:num>
  <w:num w:numId="13">
    <w:abstractNumId w:val="20"/>
  </w:num>
  <w:num w:numId="14">
    <w:abstractNumId w:val="22"/>
  </w:num>
  <w:num w:numId="15">
    <w:abstractNumId w:val="13"/>
  </w:num>
  <w:num w:numId="16">
    <w:abstractNumId w:val="14"/>
  </w:num>
  <w:num w:numId="17">
    <w:abstractNumId w:val="29"/>
  </w:num>
  <w:num w:numId="18">
    <w:abstractNumId w:val="26"/>
  </w:num>
  <w:num w:numId="19">
    <w:abstractNumId w:val="36"/>
  </w:num>
  <w:num w:numId="20">
    <w:abstractNumId w:val="18"/>
  </w:num>
  <w:num w:numId="21">
    <w:abstractNumId w:val="15"/>
  </w:num>
  <w:num w:numId="22">
    <w:abstractNumId w:val="0"/>
  </w:num>
  <w:num w:numId="23">
    <w:abstractNumId w:val="2"/>
  </w:num>
  <w:num w:numId="24">
    <w:abstractNumId w:val="38"/>
  </w:num>
  <w:num w:numId="25">
    <w:abstractNumId w:val="34"/>
  </w:num>
  <w:num w:numId="26">
    <w:abstractNumId w:val="8"/>
  </w:num>
  <w:num w:numId="27">
    <w:abstractNumId w:val="7"/>
  </w:num>
  <w:num w:numId="28">
    <w:abstractNumId w:val="33"/>
  </w:num>
  <w:num w:numId="29">
    <w:abstractNumId w:val="37"/>
  </w:num>
  <w:num w:numId="30">
    <w:abstractNumId w:val="35"/>
  </w:num>
  <w:num w:numId="31">
    <w:abstractNumId w:val="24"/>
  </w:num>
  <w:num w:numId="32">
    <w:abstractNumId w:val="32"/>
  </w:num>
  <w:num w:numId="33">
    <w:abstractNumId w:val="21"/>
  </w:num>
  <w:num w:numId="34">
    <w:abstractNumId w:val="28"/>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5"/>
  </w:num>
  <w:num w:numId="39">
    <w:abstractNumId w:val="1"/>
  </w:num>
  <w:num w:numId="40">
    <w:abstractNumId w:val="17"/>
  </w:num>
  <w:num w:numId="41">
    <w:abstractNumId w:val="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0C97"/>
    <w:rsid w:val="00005C3B"/>
    <w:rsid w:val="00010226"/>
    <w:rsid w:val="0001058E"/>
    <w:rsid w:val="00010FB0"/>
    <w:rsid w:val="000113CA"/>
    <w:rsid w:val="00013E22"/>
    <w:rsid w:val="00014289"/>
    <w:rsid w:val="00016191"/>
    <w:rsid w:val="00017AD6"/>
    <w:rsid w:val="000205AC"/>
    <w:rsid w:val="00021B1F"/>
    <w:rsid w:val="00022729"/>
    <w:rsid w:val="00024FBB"/>
    <w:rsid w:val="00035149"/>
    <w:rsid w:val="0004010B"/>
    <w:rsid w:val="00043D9E"/>
    <w:rsid w:val="00043F00"/>
    <w:rsid w:val="00045F17"/>
    <w:rsid w:val="00047269"/>
    <w:rsid w:val="00051473"/>
    <w:rsid w:val="00063E3C"/>
    <w:rsid w:val="00065557"/>
    <w:rsid w:val="00065FFD"/>
    <w:rsid w:val="000719A4"/>
    <w:rsid w:val="00072BF4"/>
    <w:rsid w:val="00072F5B"/>
    <w:rsid w:val="00073E13"/>
    <w:rsid w:val="0008188C"/>
    <w:rsid w:val="000821A2"/>
    <w:rsid w:val="00086EB5"/>
    <w:rsid w:val="00094A32"/>
    <w:rsid w:val="000951A5"/>
    <w:rsid w:val="00095212"/>
    <w:rsid w:val="00096CC8"/>
    <w:rsid w:val="00096D19"/>
    <w:rsid w:val="000A0342"/>
    <w:rsid w:val="000B3065"/>
    <w:rsid w:val="000B316A"/>
    <w:rsid w:val="000B398F"/>
    <w:rsid w:val="000B453F"/>
    <w:rsid w:val="000B61CF"/>
    <w:rsid w:val="000C1AFF"/>
    <w:rsid w:val="000D0BA7"/>
    <w:rsid w:val="000D0F0E"/>
    <w:rsid w:val="000D3879"/>
    <w:rsid w:val="000D43E8"/>
    <w:rsid w:val="000D4854"/>
    <w:rsid w:val="000D4C2C"/>
    <w:rsid w:val="000F00E0"/>
    <w:rsid w:val="000F095D"/>
    <w:rsid w:val="000F1A7C"/>
    <w:rsid w:val="000F6CDB"/>
    <w:rsid w:val="0010097D"/>
    <w:rsid w:val="00101232"/>
    <w:rsid w:val="00102153"/>
    <w:rsid w:val="001027F3"/>
    <w:rsid w:val="00104220"/>
    <w:rsid w:val="00104B9F"/>
    <w:rsid w:val="00113F6D"/>
    <w:rsid w:val="0011434A"/>
    <w:rsid w:val="00122A75"/>
    <w:rsid w:val="0012395D"/>
    <w:rsid w:val="00126567"/>
    <w:rsid w:val="00133CE7"/>
    <w:rsid w:val="001362D7"/>
    <w:rsid w:val="001369CA"/>
    <w:rsid w:val="00136A3D"/>
    <w:rsid w:val="00136EDC"/>
    <w:rsid w:val="00141F7E"/>
    <w:rsid w:val="00146C92"/>
    <w:rsid w:val="001517BD"/>
    <w:rsid w:val="00155D07"/>
    <w:rsid w:val="00155EDF"/>
    <w:rsid w:val="00155FB3"/>
    <w:rsid w:val="00157F1F"/>
    <w:rsid w:val="00160E30"/>
    <w:rsid w:val="00162BD2"/>
    <w:rsid w:val="00164691"/>
    <w:rsid w:val="00164C90"/>
    <w:rsid w:val="00165C80"/>
    <w:rsid w:val="00171AAD"/>
    <w:rsid w:val="001735A7"/>
    <w:rsid w:val="00181E13"/>
    <w:rsid w:val="001859C1"/>
    <w:rsid w:val="00187EE7"/>
    <w:rsid w:val="00191BEF"/>
    <w:rsid w:val="001921B7"/>
    <w:rsid w:val="001B475B"/>
    <w:rsid w:val="001C1924"/>
    <w:rsid w:val="001C26C3"/>
    <w:rsid w:val="001C510E"/>
    <w:rsid w:val="001C56EF"/>
    <w:rsid w:val="001C6965"/>
    <w:rsid w:val="001C794B"/>
    <w:rsid w:val="001D221F"/>
    <w:rsid w:val="001E1C89"/>
    <w:rsid w:val="001E35BA"/>
    <w:rsid w:val="001F06EF"/>
    <w:rsid w:val="001F1FFC"/>
    <w:rsid w:val="001F3986"/>
    <w:rsid w:val="002004F5"/>
    <w:rsid w:val="00201075"/>
    <w:rsid w:val="002045CB"/>
    <w:rsid w:val="002049B3"/>
    <w:rsid w:val="00205583"/>
    <w:rsid w:val="0021264E"/>
    <w:rsid w:val="00213D56"/>
    <w:rsid w:val="00221869"/>
    <w:rsid w:val="00226D4A"/>
    <w:rsid w:val="00237232"/>
    <w:rsid w:val="00241D46"/>
    <w:rsid w:val="0024688F"/>
    <w:rsid w:val="00247084"/>
    <w:rsid w:val="00247B1B"/>
    <w:rsid w:val="002509A8"/>
    <w:rsid w:val="00251F34"/>
    <w:rsid w:val="002540DA"/>
    <w:rsid w:val="0026641E"/>
    <w:rsid w:val="00271CF5"/>
    <w:rsid w:val="002759D8"/>
    <w:rsid w:val="00276162"/>
    <w:rsid w:val="002840F1"/>
    <w:rsid w:val="002859AD"/>
    <w:rsid w:val="002907F9"/>
    <w:rsid w:val="00292673"/>
    <w:rsid w:val="0029421F"/>
    <w:rsid w:val="00295EE6"/>
    <w:rsid w:val="002A1F81"/>
    <w:rsid w:val="002A35EB"/>
    <w:rsid w:val="002A7304"/>
    <w:rsid w:val="002B325C"/>
    <w:rsid w:val="002C03B3"/>
    <w:rsid w:val="002C5C24"/>
    <w:rsid w:val="002C6297"/>
    <w:rsid w:val="002D0D39"/>
    <w:rsid w:val="002D3C0C"/>
    <w:rsid w:val="002D50FA"/>
    <w:rsid w:val="002D5571"/>
    <w:rsid w:val="002D567A"/>
    <w:rsid w:val="002D6B08"/>
    <w:rsid w:val="002E0C08"/>
    <w:rsid w:val="002E32C7"/>
    <w:rsid w:val="002E4B63"/>
    <w:rsid w:val="002F07BD"/>
    <w:rsid w:val="002F1E83"/>
    <w:rsid w:val="002F548B"/>
    <w:rsid w:val="002F65C4"/>
    <w:rsid w:val="00305A57"/>
    <w:rsid w:val="003071BB"/>
    <w:rsid w:val="00310C35"/>
    <w:rsid w:val="003113F3"/>
    <w:rsid w:val="00314476"/>
    <w:rsid w:val="0031638B"/>
    <w:rsid w:val="00316B6E"/>
    <w:rsid w:val="00317041"/>
    <w:rsid w:val="00320AD0"/>
    <w:rsid w:val="003229CA"/>
    <w:rsid w:val="00323CF2"/>
    <w:rsid w:val="0033340C"/>
    <w:rsid w:val="0033562D"/>
    <w:rsid w:val="00337CFC"/>
    <w:rsid w:val="00341753"/>
    <w:rsid w:val="00342A8B"/>
    <w:rsid w:val="003438F7"/>
    <w:rsid w:val="00354CF0"/>
    <w:rsid w:val="003550AB"/>
    <w:rsid w:val="00357610"/>
    <w:rsid w:val="00357794"/>
    <w:rsid w:val="003645BF"/>
    <w:rsid w:val="00376A83"/>
    <w:rsid w:val="00377C5E"/>
    <w:rsid w:val="0038167F"/>
    <w:rsid w:val="00384885"/>
    <w:rsid w:val="00384AAA"/>
    <w:rsid w:val="00387D2B"/>
    <w:rsid w:val="00387D30"/>
    <w:rsid w:val="0039005A"/>
    <w:rsid w:val="00391C4F"/>
    <w:rsid w:val="0039354A"/>
    <w:rsid w:val="003A018B"/>
    <w:rsid w:val="003A2389"/>
    <w:rsid w:val="003A54D1"/>
    <w:rsid w:val="003B01EB"/>
    <w:rsid w:val="003B0AEA"/>
    <w:rsid w:val="003B20E0"/>
    <w:rsid w:val="003B4690"/>
    <w:rsid w:val="003B787B"/>
    <w:rsid w:val="003C0856"/>
    <w:rsid w:val="003C2C2D"/>
    <w:rsid w:val="003C2E75"/>
    <w:rsid w:val="003C3755"/>
    <w:rsid w:val="003C6087"/>
    <w:rsid w:val="003D1747"/>
    <w:rsid w:val="003D25B3"/>
    <w:rsid w:val="003D3EA0"/>
    <w:rsid w:val="003D5C32"/>
    <w:rsid w:val="003E09BD"/>
    <w:rsid w:val="003E1E70"/>
    <w:rsid w:val="003E2807"/>
    <w:rsid w:val="003E77F1"/>
    <w:rsid w:val="003F3718"/>
    <w:rsid w:val="003F60BD"/>
    <w:rsid w:val="003F61D3"/>
    <w:rsid w:val="00412A02"/>
    <w:rsid w:val="004209B7"/>
    <w:rsid w:val="00421DD4"/>
    <w:rsid w:val="00426042"/>
    <w:rsid w:val="00431C90"/>
    <w:rsid w:val="00431FA5"/>
    <w:rsid w:val="00434B52"/>
    <w:rsid w:val="004522A7"/>
    <w:rsid w:val="00454412"/>
    <w:rsid w:val="00455B1E"/>
    <w:rsid w:val="00456A8A"/>
    <w:rsid w:val="00457883"/>
    <w:rsid w:val="00457D89"/>
    <w:rsid w:val="0046106D"/>
    <w:rsid w:val="004624E5"/>
    <w:rsid w:val="00470241"/>
    <w:rsid w:val="004718FD"/>
    <w:rsid w:val="00477642"/>
    <w:rsid w:val="004822C3"/>
    <w:rsid w:val="00482A2E"/>
    <w:rsid w:val="00485BA2"/>
    <w:rsid w:val="004862A3"/>
    <w:rsid w:val="004863CD"/>
    <w:rsid w:val="0048750C"/>
    <w:rsid w:val="00487AE7"/>
    <w:rsid w:val="00487FF6"/>
    <w:rsid w:val="00490D5B"/>
    <w:rsid w:val="00496EA3"/>
    <w:rsid w:val="00497516"/>
    <w:rsid w:val="00497C16"/>
    <w:rsid w:val="004A08DF"/>
    <w:rsid w:val="004A1B16"/>
    <w:rsid w:val="004A4851"/>
    <w:rsid w:val="004A48FE"/>
    <w:rsid w:val="004B2167"/>
    <w:rsid w:val="004B6A62"/>
    <w:rsid w:val="004B7966"/>
    <w:rsid w:val="004C1066"/>
    <w:rsid w:val="004C3045"/>
    <w:rsid w:val="004C3A43"/>
    <w:rsid w:val="004C60D2"/>
    <w:rsid w:val="004E4058"/>
    <w:rsid w:val="004F0195"/>
    <w:rsid w:val="004F4306"/>
    <w:rsid w:val="004F5858"/>
    <w:rsid w:val="004F6DA0"/>
    <w:rsid w:val="004F708F"/>
    <w:rsid w:val="004F75CB"/>
    <w:rsid w:val="004F75EB"/>
    <w:rsid w:val="004F7E9A"/>
    <w:rsid w:val="00501D23"/>
    <w:rsid w:val="005020C1"/>
    <w:rsid w:val="00512CB8"/>
    <w:rsid w:val="00514246"/>
    <w:rsid w:val="005145B8"/>
    <w:rsid w:val="00520DA3"/>
    <w:rsid w:val="0052360A"/>
    <w:rsid w:val="00523AC8"/>
    <w:rsid w:val="00523B4C"/>
    <w:rsid w:val="005352E1"/>
    <w:rsid w:val="00537B8E"/>
    <w:rsid w:val="00546CE6"/>
    <w:rsid w:val="0054745F"/>
    <w:rsid w:val="00547C2D"/>
    <w:rsid w:val="00553094"/>
    <w:rsid w:val="00553E2F"/>
    <w:rsid w:val="00554F6C"/>
    <w:rsid w:val="00556A78"/>
    <w:rsid w:val="00557CB7"/>
    <w:rsid w:val="005605A7"/>
    <w:rsid w:val="005620AF"/>
    <w:rsid w:val="00564E82"/>
    <w:rsid w:val="00564EC8"/>
    <w:rsid w:val="00567C99"/>
    <w:rsid w:val="005704D4"/>
    <w:rsid w:val="00571704"/>
    <w:rsid w:val="00572467"/>
    <w:rsid w:val="0057425B"/>
    <w:rsid w:val="00575D79"/>
    <w:rsid w:val="0057712C"/>
    <w:rsid w:val="00580DFD"/>
    <w:rsid w:val="00584C59"/>
    <w:rsid w:val="005851D5"/>
    <w:rsid w:val="00585877"/>
    <w:rsid w:val="0059335C"/>
    <w:rsid w:val="005A10CB"/>
    <w:rsid w:val="005A21F8"/>
    <w:rsid w:val="005A525C"/>
    <w:rsid w:val="005A7B4F"/>
    <w:rsid w:val="005B5B88"/>
    <w:rsid w:val="005B6162"/>
    <w:rsid w:val="005B701F"/>
    <w:rsid w:val="005C5EF4"/>
    <w:rsid w:val="005C6C93"/>
    <w:rsid w:val="005D25DF"/>
    <w:rsid w:val="005D5C00"/>
    <w:rsid w:val="005E0E15"/>
    <w:rsid w:val="005E1076"/>
    <w:rsid w:val="005E2B98"/>
    <w:rsid w:val="005E3266"/>
    <w:rsid w:val="005E57D7"/>
    <w:rsid w:val="005E59AE"/>
    <w:rsid w:val="005E66F8"/>
    <w:rsid w:val="005E698B"/>
    <w:rsid w:val="005F152E"/>
    <w:rsid w:val="005F201B"/>
    <w:rsid w:val="005F4C0D"/>
    <w:rsid w:val="005F4EF2"/>
    <w:rsid w:val="005F548F"/>
    <w:rsid w:val="005F632C"/>
    <w:rsid w:val="005F7B36"/>
    <w:rsid w:val="00601AE8"/>
    <w:rsid w:val="0060299E"/>
    <w:rsid w:val="00605EAB"/>
    <w:rsid w:val="0060651A"/>
    <w:rsid w:val="00607755"/>
    <w:rsid w:val="00613660"/>
    <w:rsid w:val="00614D4B"/>
    <w:rsid w:val="006153C1"/>
    <w:rsid w:val="0061588D"/>
    <w:rsid w:val="00615CCA"/>
    <w:rsid w:val="00617C8F"/>
    <w:rsid w:val="00624328"/>
    <w:rsid w:val="00624959"/>
    <w:rsid w:val="00631E58"/>
    <w:rsid w:val="00643A12"/>
    <w:rsid w:val="00645A5F"/>
    <w:rsid w:val="0064747D"/>
    <w:rsid w:val="00647660"/>
    <w:rsid w:val="006506AE"/>
    <w:rsid w:val="006520ED"/>
    <w:rsid w:val="00652E83"/>
    <w:rsid w:val="0065468B"/>
    <w:rsid w:val="00654FAD"/>
    <w:rsid w:val="00657EBA"/>
    <w:rsid w:val="00662AE7"/>
    <w:rsid w:val="006637F7"/>
    <w:rsid w:val="0066415E"/>
    <w:rsid w:val="00664D57"/>
    <w:rsid w:val="00666ABF"/>
    <w:rsid w:val="006701EE"/>
    <w:rsid w:val="006709EC"/>
    <w:rsid w:val="00677E19"/>
    <w:rsid w:val="006821E2"/>
    <w:rsid w:val="0068561C"/>
    <w:rsid w:val="006868B8"/>
    <w:rsid w:val="00687787"/>
    <w:rsid w:val="006929A3"/>
    <w:rsid w:val="00695A38"/>
    <w:rsid w:val="006A0BE5"/>
    <w:rsid w:val="006A2477"/>
    <w:rsid w:val="006B279B"/>
    <w:rsid w:val="006B5876"/>
    <w:rsid w:val="006B7C06"/>
    <w:rsid w:val="006C0B81"/>
    <w:rsid w:val="006C6B20"/>
    <w:rsid w:val="006C7E81"/>
    <w:rsid w:val="006D28A5"/>
    <w:rsid w:val="006D565D"/>
    <w:rsid w:val="006E4645"/>
    <w:rsid w:val="006E576F"/>
    <w:rsid w:val="006F0253"/>
    <w:rsid w:val="006F17A3"/>
    <w:rsid w:val="006F687B"/>
    <w:rsid w:val="006F6BCC"/>
    <w:rsid w:val="006F7C96"/>
    <w:rsid w:val="00700DA1"/>
    <w:rsid w:val="00702CEE"/>
    <w:rsid w:val="00704589"/>
    <w:rsid w:val="007051D8"/>
    <w:rsid w:val="007118D1"/>
    <w:rsid w:val="0071192E"/>
    <w:rsid w:val="0071244C"/>
    <w:rsid w:val="007137E6"/>
    <w:rsid w:val="00717C00"/>
    <w:rsid w:val="00721B8C"/>
    <w:rsid w:val="007257AD"/>
    <w:rsid w:val="00725C5B"/>
    <w:rsid w:val="007262D5"/>
    <w:rsid w:val="00730250"/>
    <w:rsid w:val="0073089C"/>
    <w:rsid w:val="007349E1"/>
    <w:rsid w:val="0074090B"/>
    <w:rsid w:val="00745F74"/>
    <w:rsid w:val="00747396"/>
    <w:rsid w:val="00751B35"/>
    <w:rsid w:val="00751BEA"/>
    <w:rsid w:val="00755142"/>
    <w:rsid w:val="00762AB1"/>
    <w:rsid w:val="00763A91"/>
    <w:rsid w:val="0077293A"/>
    <w:rsid w:val="007810D6"/>
    <w:rsid w:val="00784A6C"/>
    <w:rsid w:val="00787F35"/>
    <w:rsid w:val="00794D07"/>
    <w:rsid w:val="007A581C"/>
    <w:rsid w:val="007A7106"/>
    <w:rsid w:val="007B0C88"/>
    <w:rsid w:val="007B1D63"/>
    <w:rsid w:val="007B2144"/>
    <w:rsid w:val="007B39F0"/>
    <w:rsid w:val="007B50AF"/>
    <w:rsid w:val="007B5BB0"/>
    <w:rsid w:val="007C05B9"/>
    <w:rsid w:val="007C1F48"/>
    <w:rsid w:val="007C5EAB"/>
    <w:rsid w:val="007D1558"/>
    <w:rsid w:val="007D2464"/>
    <w:rsid w:val="007E1372"/>
    <w:rsid w:val="007E2B3D"/>
    <w:rsid w:val="007E3522"/>
    <w:rsid w:val="007E503E"/>
    <w:rsid w:val="007E5130"/>
    <w:rsid w:val="007E7781"/>
    <w:rsid w:val="007E7E6D"/>
    <w:rsid w:val="00802BD5"/>
    <w:rsid w:val="0080743A"/>
    <w:rsid w:val="00817A82"/>
    <w:rsid w:val="008279F3"/>
    <w:rsid w:val="00831A60"/>
    <w:rsid w:val="00833277"/>
    <w:rsid w:val="008339E4"/>
    <w:rsid w:val="008376D9"/>
    <w:rsid w:val="0084402F"/>
    <w:rsid w:val="00844163"/>
    <w:rsid w:val="00844E15"/>
    <w:rsid w:val="008530C5"/>
    <w:rsid w:val="008566DB"/>
    <w:rsid w:val="00864745"/>
    <w:rsid w:val="00864F68"/>
    <w:rsid w:val="00865380"/>
    <w:rsid w:val="00870BE2"/>
    <w:rsid w:val="00871010"/>
    <w:rsid w:val="00880E65"/>
    <w:rsid w:val="0088228E"/>
    <w:rsid w:val="008822C9"/>
    <w:rsid w:val="008869F9"/>
    <w:rsid w:val="008A2D33"/>
    <w:rsid w:val="008B175A"/>
    <w:rsid w:val="008B193F"/>
    <w:rsid w:val="008B474A"/>
    <w:rsid w:val="008B69D6"/>
    <w:rsid w:val="008B750C"/>
    <w:rsid w:val="008C0F48"/>
    <w:rsid w:val="008C1B7B"/>
    <w:rsid w:val="008C2C0E"/>
    <w:rsid w:val="008C589A"/>
    <w:rsid w:val="008D0467"/>
    <w:rsid w:val="008D44FA"/>
    <w:rsid w:val="008D4585"/>
    <w:rsid w:val="008D563A"/>
    <w:rsid w:val="008D7101"/>
    <w:rsid w:val="008E5F4F"/>
    <w:rsid w:val="008E7C68"/>
    <w:rsid w:val="008F0658"/>
    <w:rsid w:val="008F278B"/>
    <w:rsid w:val="008F37D1"/>
    <w:rsid w:val="008F7143"/>
    <w:rsid w:val="00901AE0"/>
    <w:rsid w:val="009042C4"/>
    <w:rsid w:val="0090445B"/>
    <w:rsid w:val="009050C9"/>
    <w:rsid w:val="00914CB6"/>
    <w:rsid w:val="00915580"/>
    <w:rsid w:val="00921C02"/>
    <w:rsid w:val="00925875"/>
    <w:rsid w:val="00932A7B"/>
    <w:rsid w:val="00935EA1"/>
    <w:rsid w:val="00936BB0"/>
    <w:rsid w:val="00937337"/>
    <w:rsid w:val="009426A8"/>
    <w:rsid w:val="00954D63"/>
    <w:rsid w:val="00955248"/>
    <w:rsid w:val="00955375"/>
    <w:rsid w:val="009557CE"/>
    <w:rsid w:val="00955EE9"/>
    <w:rsid w:val="009604A3"/>
    <w:rsid w:val="00967B36"/>
    <w:rsid w:val="00971364"/>
    <w:rsid w:val="00981EC7"/>
    <w:rsid w:val="00992076"/>
    <w:rsid w:val="00994E7E"/>
    <w:rsid w:val="00995865"/>
    <w:rsid w:val="00995CA4"/>
    <w:rsid w:val="00996F55"/>
    <w:rsid w:val="00997ED8"/>
    <w:rsid w:val="009A0C4C"/>
    <w:rsid w:val="009A226B"/>
    <w:rsid w:val="009B049B"/>
    <w:rsid w:val="009B617B"/>
    <w:rsid w:val="009C0110"/>
    <w:rsid w:val="009D0142"/>
    <w:rsid w:val="009D2EA3"/>
    <w:rsid w:val="009D4742"/>
    <w:rsid w:val="009D5559"/>
    <w:rsid w:val="009D588E"/>
    <w:rsid w:val="009D6F17"/>
    <w:rsid w:val="009E645F"/>
    <w:rsid w:val="009F0251"/>
    <w:rsid w:val="009F1C13"/>
    <w:rsid w:val="009F1CA5"/>
    <w:rsid w:val="009F2719"/>
    <w:rsid w:val="009F40AC"/>
    <w:rsid w:val="00A00E05"/>
    <w:rsid w:val="00A01601"/>
    <w:rsid w:val="00A01EAC"/>
    <w:rsid w:val="00A0286B"/>
    <w:rsid w:val="00A0297E"/>
    <w:rsid w:val="00A029C1"/>
    <w:rsid w:val="00A20177"/>
    <w:rsid w:val="00A201AF"/>
    <w:rsid w:val="00A21F4D"/>
    <w:rsid w:val="00A22125"/>
    <w:rsid w:val="00A221A4"/>
    <w:rsid w:val="00A232BF"/>
    <w:rsid w:val="00A3106F"/>
    <w:rsid w:val="00A32EC1"/>
    <w:rsid w:val="00A33FF8"/>
    <w:rsid w:val="00A34EA1"/>
    <w:rsid w:val="00A37A21"/>
    <w:rsid w:val="00A411A4"/>
    <w:rsid w:val="00A438D2"/>
    <w:rsid w:val="00A4549C"/>
    <w:rsid w:val="00A50558"/>
    <w:rsid w:val="00A534C7"/>
    <w:rsid w:val="00A5486B"/>
    <w:rsid w:val="00A5503B"/>
    <w:rsid w:val="00A5763C"/>
    <w:rsid w:val="00A609DE"/>
    <w:rsid w:val="00A60BFB"/>
    <w:rsid w:val="00A61E2E"/>
    <w:rsid w:val="00A62CB6"/>
    <w:rsid w:val="00A64DCF"/>
    <w:rsid w:val="00A675BA"/>
    <w:rsid w:val="00A7281E"/>
    <w:rsid w:val="00A73EFD"/>
    <w:rsid w:val="00A74BC1"/>
    <w:rsid w:val="00A81839"/>
    <w:rsid w:val="00A81E8A"/>
    <w:rsid w:val="00A822D8"/>
    <w:rsid w:val="00A827A0"/>
    <w:rsid w:val="00A82E3B"/>
    <w:rsid w:val="00A83462"/>
    <w:rsid w:val="00A862C6"/>
    <w:rsid w:val="00A87E60"/>
    <w:rsid w:val="00A958F9"/>
    <w:rsid w:val="00A9698F"/>
    <w:rsid w:val="00A976B8"/>
    <w:rsid w:val="00AA337F"/>
    <w:rsid w:val="00AA55AA"/>
    <w:rsid w:val="00AB37F0"/>
    <w:rsid w:val="00AC2BEE"/>
    <w:rsid w:val="00AC2D25"/>
    <w:rsid w:val="00AD2C90"/>
    <w:rsid w:val="00AD527D"/>
    <w:rsid w:val="00AE2B46"/>
    <w:rsid w:val="00AF0E62"/>
    <w:rsid w:val="00AF1E16"/>
    <w:rsid w:val="00AF28DC"/>
    <w:rsid w:val="00AF62E7"/>
    <w:rsid w:val="00AF7C83"/>
    <w:rsid w:val="00B01CFF"/>
    <w:rsid w:val="00B0532B"/>
    <w:rsid w:val="00B05548"/>
    <w:rsid w:val="00B0564F"/>
    <w:rsid w:val="00B07D05"/>
    <w:rsid w:val="00B10C05"/>
    <w:rsid w:val="00B15143"/>
    <w:rsid w:val="00B157E6"/>
    <w:rsid w:val="00B15EC1"/>
    <w:rsid w:val="00B26D97"/>
    <w:rsid w:val="00B31CC4"/>
    <w:rsid w:val="00B33E13"/>
    <w:rsid w:val="00B35224"/>
    <w:rsid w:val="00B43C78"/>
    <w:rsid w:val="00B47C1E"/>
    <w:rsid w:val="00B51D9B"/>
    <w:rsid w:val="00B52FB5"/>
    <w:rsid w:val="00B53D50"/>
    <w:rsid w:val="00B624A6"/>
    <w:rsid w:val="00B64B6F"/>
    <w:rsid w:val="00B64CCB"/>
    <w:rsid w:val="00B673BC"/>
    <w:rsid w:val="00B71FB6"/>
    <w:rsid w:val="00B80F9E"/>
    <w:rsid w:val="00B81718"/>
    <w:rsid w:val="00B838C0"/>
    <w:rsid w:val="00B869CE"/>
    <w:rsid w:val="00B917FB"/>
    <w:rsid w:val="00B9234F"/>
    <w:rsid w:val="00B924A0"/>
    <w:rsid w:val="00B96F29"/>
    <w:rsid w:val="00BA00EE"/>
    <w:rsid w:val="00BA2335"/>
    <w:rsid w:val="00BA2AC4"/>
    <w:rsid w:val="00BA6210"/>
    <w:rsid w:val="00BB44AC"/>
    <w:rsid w:val="00BB587E"/>
    <w:rsid w:val="00BC0019"/>
    <w:rsid w:val="00BC4005"/>
    <w:rsid w:val="00BD2B21"/>
    <w:rsid w:val="00BD485A"/>
    <w:rsid w:val="00BD4898"/>
    <w:rsid w:val="00BD530A"/>
    <w:rsid w:val="00BD6995"/>
    <w:rsid w:val="00BE0EEB"/>
    <w:rsid w:val="00BE11DE"/>
    <w:rsid w:val="00BE1DFD"/>
    <w:rsid w:val="00BE5C02"/>
    <w:rsid w:val="00BE73C9"/>
    <w:rsid w:val="00BF2B66"/>
    <w:rsid w:val="00BF6548"/>
    <w:rsid w:val="00BF78B5"/>
    <w:rsid w:val="00C02792"/>
    <w:rsid w:val="00C028BC"/>
    <w:rsid w:val="00C055E4"/>
    <w:rsid w:val="00C06FA0"/>
    <w:rsid w:val="00C07F13"/>
    <w:rsid w:val="00C10454"/>
    <w:rsid w:val="00C12030"/>
    <w:rsid w:val="00C12A5D"/>
    <w:rsid w:val="00C20FE3"/>
    <w:rsid w:val="00C25F03"/>
    <w:rsid w:val="00C35123"/>
    <w:rsid w:val="00C3598D"/>
    <w:rsid w:val="00C41151"/>
    <w:rsid w:val="00C42693"/>
    <w:rsid w:val="00C43ED7"/>
    <w:rsid w:val="00C53129"/>
    <w:rsid w:val="00C550EE"/>
    <w:rsid w:val="00C61AC0"/>
    <w:rsid w:val="00C631E0"/>
    <w:rsid w:val="00C7035C"/>
    <w:rsid w:val="00C73FBA"/>
    <w:rsid w:val="00C74022"/>
    <w:rsid w:val="00C77B5B"/>
    <w:rsid w:val="00C80327"/>
    <w:rsid w:val="00C8141A"/>
    <w:rsid w:val="00C9221B"/>
    <w:rsid w:val="00C92895"/>
    <w:rsid w:val="00C94DEE"/>
    <w:rsid w:val="00CA0E2C"/>
    <w:rsid w:val="00CA372D"/>
    <w:rsid w:val="00CA7791"/>
    <w:rsid w:val="00CB061A"/>
    <w:rsid w:val="00CB1CFE"/>
    <w:rsid w:val="00CB74EB"/>
    <w:rsid w:val="00CC3B6D"/>
    <w:rsid w:val="00CC67CE"/>
    <w:rsid w:val="00CC691A"/>
    <w:rsid w:val="00CC74FC"/>
    <w:rsid w:val="00CD1842"/>
    <w:rsid w:val="00CD33AA"/>
    <w:rsid w:val="00CD7F19"/>
    <w:rsid w:val="00CE1C2A"/>
    <w:rsid w:val="00CE29A4"/>
    <w:rsid w:val="00CE2DA0"/>
    <w:rsid w:val="00CE4010"/>
    <w:rsid w:val="00CE4C90"/>
    <w:rsid w:val="00CE5D93"/>
    <w:rsid w:val="00CE794A"/>
    <w:rsid w:val="00CF1C87"/>
    <w:rsid w:val="00CF2393"/>
    <w:rsid w:val="00CF35D2"/>
    <w:rsid w:val="00CF3CF0"/>
    <w:rsid w:val="00CF7C1C"/>
    <w:rsid w:val="00D06FC4"/>
    <w:rsid w:val="00D0766A"/>
    <w:rsid w:val="00D16059"/>
    <w:rsid w:val="00D1644F"/>
    <w:rsid w:val="00D17619"/>
    <w:rsid w:val="00D177F3"/>
    <w:rsid w:val="00D33298"/>
    <w:rsid w:val="00D336D8"/>
    <w:rsid w:val="00D348BF"/>
    <w:rsid w:val="00D43BDF"/>
    <w:rsid w:val="00D44A68"/>
    <w:rsid w:val="00D44ACC"/>
    <w:rsid w:val="00D470B2"/>
    <w:rsid w:val="00D47459"/>
    <w:rsid w:val="00D50579"/>
    <w:rsid w:val="00D521F3"/>
    <w:rsid w:val="00D57319"/>
    <w:rsid w:val="00D6345F"/>
    <w:rsid w:val="00D66EDB"/>
    <w:rsid w:val="00D67416"/>
    <w:rsid w:val="00D703A9"/>
    <w:rsid w:val="00D71114"/>
    <w:rsid w:val="00D74965"/>
    <w:rsid w:val="00D76839"/>
    <w:rsid w:val="00D81E43"/>
    <w:rsid w:val="00D828ED"/>
    <w:rsid w:val="00D8473C"/>
    <w:rsid w:val="00D85B24"/>
    <w:rsid w:val="00D85BAE"/>
    <w:rsid w:val="00D86CDB"/>
    <w:rsid w:val="00D9010B"/>
    <w:rsid w:val="00D9048B"/>
    <w:rsid w:val="00D90640"/>
    <w:rsid w:val="00D909CB"/>
    <w:rsid w:val="00D925BC"/>
    <w:rsid w:val="00DA087C"/>
    <w:rsid w:val="00DA13CC"/>
    <w:rsid w:val="00DA3068"/>
    <w:rsid w:val="00DA33A1"/>
    <w:rsid w:val="00DA5B2D"/>
    <w:rsid w:val="00DB1193"/>
    <w:rsid w:val="00DB13EB"/>
    <w:rsid w:val="00DB2C20"/>
    <w:rsid w:val="00DB38D3"/>
    <w:rsid w:val="00DB4289"/>
    <w:rsid w:val="00DB4395"/>
    <w:rsid w:val="00DB6AF6"/>
    <w:rsid w:val="00DB6FF7"/>
    <w:rsid w:val="00DB7B75"/>
    <w:rsid w:val="00DC08EE"/>
    <w:rsid w:val="00DC2403"/>
    <w:rsid w:val="00DC4872"/>
    <w:rsid w:val="00DC6638"/>
    <w:rsid w:val="00DD25BE"/>
    <w:rsid w:val="00DD5787"/>
    <w:rsid w:val="00DD647C"/>
    <w:rsid w:val="00DD7378"/>
    <w:rsid w:val="00DE4095"/>
    <w:rsid w:val="00DF0EC3"/>
    <w:rsid w:val="00DF2306"/>
    <w:rsid w:val="00DF4EC4"/>
    <w:rsid w:val="00DF52CD"/>
    <w:rsid w:val="00DF5B63"/>
    <w:rsid w:val="00DF5C67"/>
    <w:rsid w:val="00DF75C5"/>
    <w:rsid w:val="00E00DC7"/>
    <w:rsid w:val="00E02479"/>
    <w:rsid w:val="00E04AD8"/>
    <w:rsid w:val="00E05D5E"/>
    <w:rsid w:val="00E1130E"/>
    <w:rsid w:val="00E11A46"/>
    <w:rsid w:val="00E16756"/>
    <w:rsid w:val="00E22577"/>
    <w:rsid w:val="00E23D61"/>
    <w:rsid w:val="00E300F8"/>
    <w:rsid w:val="00E33F1C"/>
    <w:rsid w:val="00E340C2"/>
    <w:rsid w:val="00E4080D"/>
    <w:rsid w:val="00E40E0A"/>
    <w:rsid w:val="00E43D83"/>
    <w:rsid w:val="00E528F3"/>
    <w:rsid w:val="00E53AA4"/>
    <w:rsid w:val="00E62414"/>
    <w:rsid w:val="00E642CA"/>
    <w:rsid w:val="00E6434E"/>
    <w:rsid w:val="00E64D54"/>
    <w:rsid w:val="00E6602E"/>
    <w:rsid w:val="00E71CBE"/>
    <w:rsid w:val="00E73B21"/>
    <w:rsid w:val="00E73D4D"/>
    <w:rsid w:val="00E743E2"/>
    <w:rsid w:val="00E760B2"/>
    <w:rsid w:val="00E7770D"/>
    <w:rsid w:val="00E8671B"/>
    <w:rsid w:val="00E87E21"/>
    <w:rsid w:val="00E918AD"/>
    <w:rsid w:val="00E92832"/>
    <w:rsid w:val="00E96674"/>
    <w:rsid w:val="00E97294"/>
    <w:rsid w:val="00EA71EC"/>
    <w:rsid w:val="00EB0412"/>
    <w:rsid w:val="00EB16F3"/>
    <w:rsid w:val="00EC1883"/>
    <w:rsid w:val="00EC5585"/>
    <w:rsid w:val="00EC5EFF"/>
    <w:rsid w:val="00EC644B"/>
    <w:rsid w:val="00ED3795"/>
    <w:rsid w:val="00ED3B4E"/>
    <w:rsid w:val="00ED7BDD"/>
    <w:rsid w:val="00EE56A8"/>
    <w:rsid w:val="00EE5B25"/>
    <w:rsid w:val="00EE6554"/>
    <w:rsid w:val="00EE7534"/>
    <w:rsid w:val="00EF0A2B"/>
    <w:rsid w:val="00EF2BDD"/>
    <w:rsid w:val="00EF51DC"/>
    <w:rsid w:val="00EF56AE"/>
    <w:rsid w:val="00EF6C60"/>
    <w:rsid w:val="00F02548"/>
    <w:rsid w:val="00F04A9C"/>
    <w:rsid w:val="00F05D77"/>
    <w:rsid w:val="00F06D4A"/>
    <w:rsid w:val="00F10B0C"/>
    <w:rsid w:val="00F13FF4"/>
    <w:rsid w:val="00F206A7"/>
    <w:rsid w:val="00F21B69"/>
    <w:rsid w:val="00F2290E"/>
    <w:rsid w:val="00F249A2"/>
    <w:rsid w:val="00F254DF"/>
    <w:rsid w:val="00F31DFD"/>
    <w:rsid w:val="00F32956"/>
    <w:rsid w:val="00F36125"/>
    <w:rsid w:val="00F36D1A"/>
    <w:rsid w:val="00F371C4"/>
    <w:rsid w:val="00F377DA"/>
    <w:rsid w:val="00F402CB"/>
    <w:rsid w:val="00F40421"/>
    <w:rsid w:val="00F4290D"/>
    <w:rsid w:val="00F42AE7"/>
    <w:rsid w:val="00F52407"/>
    <w:rsid w:val="00F53EA7"/>
    <w:rsid w:val="00F62D42"/>
    <w:rsid w:val="00F66500"/>
    <w:rsid w:val="00F66814"/>
    <w:rsid w:val="00F66B9C"/>
    <w:rsid w:val="00F66DC7"/>
    <w:rsid w:val="00F80CE6"/>
    <w:rsid w:val="00F81A80"/>
    <w:rsid w:val="00F83459"/>
    <w:rsid w:val="00F91CE5"/>
    <w:rsid w:val="00F923BC"/>
    <w:rsid w:val="00F95EAC"/>
    <w:rsid w:val="00FA49F1"/>
    <w:rsid w:val="00FA62EE"/>
    <w:rsid w:val="00FB0C9A"/>
    <w:rsid w:val="00FB0EE1"/>
    <w:rsid w:val="00FB1070"/>
    <w:rsid w:val="00FB2D89"/>
    <w:rsid w:val="00FB38CA"/>
    <w:rsid w:val="00FB6218"/>
    <w:rsid w:val="00FB7869"/>
    <w:rsid w:val="00FC4252"/>
    <w:rsid w:val="00FC55E6"/>
    <w:rsid w:val="00FC705C"/>
    <w:rsid w:val="00FC72B9"/>
    <w:rsid w:val="00FC7AE8"/>
    <w:rsid w:val="00FD126D"/>
    <w:rsid w:val="00FD1695"/>
    <w:rsid w:val="00FD6873"/>
    <w:rsid w:val="00FE26DA"/>
    <w:rsid w:val="00FE4D04"/>
    <w:rsid w:val="00FE61C7"/>
    <w:rsid w:val="00FF082F"/>
    <w:rsid w:val="00FF08A6"/>
    <w:rsid w:val="00FF5B5F"/>
    <w:rsid w:val="00FF630C"/>
    <w:rsid w:val="00FF6A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27"/>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TextodegloboCar">
    <w:name w:val="Texto de globo Car"/>
    <w:basedOn w:val="DefaultParagraphFont"/>
    <w:uiPriority w:val="99"/>
    <w:semiHidden/>
    <w:rsid w:val="00726F9D"/>
    <w:rPr>
      <w:rFonts w:ascii="Lucida Grande" w:hAnsi="Lucida Grande"/>
      <w:sz w:val="18"/>
      <w:szCs w:val="18"/>
    </w:rPr>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styleId="NoSpacing">
    <w:name w:val="No Spacing"/>
    <w:basedOn w:val="ListParagraph"/>
    <w:uiPriority w:val="1"/>
    <w:qFormat/>
    <w:rsid w:val="00E7770D"/>
    <w:pPr>
      <w:numPr>
        <w:numId w:val="3"/>
      </w:numPr>
      <w:tabs>
        <w:tab w:val="left" w:pos="567"/>
      </w:tabs>
      <w:spacing w:after="0" w:line="240" w:lineRule="auto"/>
      <w:ind w:left="0" w:firstLine="0"/>
      <w:jc w:val="both"/>
    </w:pPr>
    <w:rPr>
      <w:rFonts w:ascii="Verdana"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ListParagraph"/>
    <w:next w:val="Normal"/>
    <w:link w:val="Heading1Char"/>
    <w:uiPriority w:val="9"/>
    <w:qFormat/>
    <w:rsid w:val="00B71FB6"/>
    <w:pPr>
      <w:numPr>
        <w:numId w:val="27"/>
      </w:numPr>
      <w:autoSpaceDE w:val="0"/>
      <w:autoSpaceDN w:val="0"/>
      <w:adjustRightInd w:val="0"/>
      <w:spacing w:after="0" w:line="240" w:lineRule="auto"/>
      <w:jc w:val="both"/>
      <w:outlineLvl w:val="0"/>
    </w:pPr>
    <w:rPr>
      <w:rFonts w:ascii="Verdana" w:hAnsi="Verdana" w:cs="Arial"/>
      <w:b/>
      <w:i/>
      <w:iCs/>
      <w:sz w:val="20"/>
      <w:szCs w:val="20"/>
    </w:rPr>
  </w:style>
  <w:style w:type="paragraph" w:styleId="Heading2">
    <w:name w:val="heading 2"/>
    <w:basedOn w:val="Normal"/>
    <w:next w:val="Normal"/>
    <w:link w:val="Heading2Char"/>
    <w:uiPriority w:val="9"/>
    <w:unhideWhenUsed/>
    <w:qFormat/>
    <w:rsid w:val="00B71FB6"/>
    <w:pPr>
      <w:autoSpaceDE w:val="0"/>
      <w:autoSpaceDN w:val="0"/>
      <w:adjustRightInd w:val="0"/>
      <w:spacing w:after="0" w:line="240" w:lineRule="auto"/>
      <w:ind w:left="644"/>
      <w:jc w:val="both"/>
      <w:outlineLvl w:val="1"/>
    </w:pPr>
    <w:rPr>
      <w:rFonts w:ascii="Verdana" w:hAnsi="Verdana" w:cs="Arial"/>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TextodegloboCar">
    <w:name w:val="Texto de globo Car"/>
    <w:basedOn w:val="DefaultParagraphFont"/>
    <w:uiPriority w:val="99"/>
    <w:semiHidden/>
    <w:rsid w:val="00726F9D"/>
    <w:rPr>
      <w:rFonts w:ascii="Lucida Grande" w:hAnsi="Lucida Grande"/>
      <w:sz w:val="18"/>
      <w:szCs w:val="18"/>
    </w:rPr>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B71FB6"/>
    <w:rPr>
      <w:rFonts w:ascii="Verdana" w:hAnsi="Verdana" w:cs="Arial"/>
      <w:iCs/>
      <w:sz w:val="20"/>
      <w:szCs w:val="20"/>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B71FB6"/>
    <w:rPr>
      <w:rFonts w:ascii="Verdana" w:hAnsi="Verdana" w:cs="Arial"/>
      <w:b/>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styleId="NoSpacing">
    <w:name w:val="No Spacing"/>
    <w:basedOn w:val="ListParagraph"/>
    <w:uiPriority w:val="1"/>
    <w:qFormat/>
    <w:rsid w:val="00E7770D"/>
    <w:pPr>
      <w:numPr>
        <w:numId w:val="3"/>
      </w:numPr>
      <w:tabs>
        <w:tab w:val="left" w:pos="567"/>
      </w:tabs>
      <w:spacing w:after="0" w:line="240" w:lineRule="auto"/>
      <w:ind w:left="0" w:firstLine="0"/>
      <w:jc w:val="both"/>
    </w:pPr>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170874060">
              <w:marLeft w:val="0"/>
              <w:marRight w:val="0"/>
              <w:marTop w:val="0"/>
              <w:marBottom w:val="0"/>
              <w:divBdr>
                <w:top w:val="none" w:sz="0" w:space="0" w:color="auto"/>
                <w:left w:val="none" w:sz="0" w:space="0" w:color="auto"/>
                <w:bottom w:val="none" w:sz="0" w:space="0" w:color="auto"/>
                <w:right w:val="none" w:sz="0" w:space="0" w:color="auto"/>
              </w:divBdr>
            </w:div>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300110341">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1258248776">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404642281">
              <w:marLeft w:val="0"/>
              <w:marRight w:val="0"/>
              <w:marTop w:val="0"/>
              <w:marBottom w:val="0"/>
              <w:divBdr>
                <w:top w:val="none" w:sz="0" w:space="0" w:color="auto"/>
                <w:left w:val="none" w:sz="0" w:space="0" w:color="auto"/>
                <w:bottom w:val="none" w:sz="0" w:space="0" w:color="auto"/>
                <w:right w:val="none" w:sz="0" w:space="0" w:color="auto"/>
              </w:divBdr>
              <w:divsChild>
                <w:div w:id="203370792">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19184646">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sChild>
                </w:div>
                <w:div w:id="1975981605">
                  <w:marLeft w:val="0"/>
                  <w:marRight w:val="0"/>
                  <w:marTop w:val="0"/>
                  <w:marBottom w:val="0"/>
                  <w:divBdr>
                    <w:top w:val="none" w:sz="0" w:space="0" w:color="auto"/>
                    <w:left w:val="none" w:sz="0" w:space="0" w:color="auto"/>
                    <w:bottom w:val="none" w:sz="0" w:space="0" w:color="auto"/>
                    <w:right w:val="none" w:sz="0" w:space="0" w:color="auto"/>
                  </w:divBdr>
                </w:div>
              </w:divsChild>
            </w:div>
            <w:div w:id="1681466465">
              <w:marLeft w:val="0"/>
              <w:marRight w:val="0"/>
              <w:marTop w:val="0"/>
              <w:marBottom w:val="0"/>
              <w:divBdr>
                <w:top w:val="none" w:sz="0" w:space="0" w:color="auto"/>
                <w:left w:val="none" w:sz="0" w:space="0" w:color="auto"/>
                <w:bottom w:val="none" w:sz="0" w:space="0" w:color="auto"/>
                <w:right w:val="none" w:sz="0" w:space="0" w:color="auto"/>
              </w:divBdr>
            </w:div>
          </w:divsChild>
        </w:div>
        <w:div w:id="1860198233">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2013101181">
          <w:marLeft w:val="0"/>
          <w:marRight w:val="0"/>
          <w:marTop w:val="0"/>
          <w:marBottom w:val="0"/>
          <w:divBdr>
            <w:top w:val="none" w:sz="0" w:space="0" w:color="auto"/>
            <w:left w:val="none" w:sz="0" w:space="0" w:color="auto"/>
            <w:bottom w:val="none" w:sz="0" w:space="0" w:color="auto"/>
            <w:right w:val="none" w:sz="0" w:space="0" w:color="auto"/>
          </w:divBdr>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039">
      <w:bodyDiv w:val="1"/>
      <w:marLeft w:val="0"/>
      <w:marRight w:val="0"/>
      <w:marTop w:val="0"/>
      <w:marBottom w:val="0"/>
      <w:divBdr>
        <w:top w:val="none" w:sz="0" w:space="0" w:color="auto"/>
        <w:left w:val="none" w:sz="0" w:space="0" w:color="auto"/>
        <w:bottom w:val="none" w:sz="0" w:space="0" w:color="auto"/>
        <w:right w:val="none" w:sz="0" w:space="0" w:color="auto"/>
      </w:divBdr>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46">
      <w:bodyDiv w:val="1"/>
      <w:marLeft w:val="0"/>
      <w:marRight w:val="0"/>
      <w:marTop w:val="0"/>
      <w:marBottom w:val="0"/>
      <w:divBdr>
        <w:top w:val="none" w:sz="0" w:space="0" w:color="auto"/>
        <w:left w:val="none" w:sz="0" w:space="0" w:color="auto"/>
        <w:bottom w:val="none" w:sz="0" w:space="0" w:color="auto"/>
        <w:right w:val="none" w:sz="0" w:space="0" w:color="auto"/>
      </w:divBdr>
      <w:divsChild>
        <w:div w:id="1629430774">
          <w:marLeft w:val="0"/>
          <w:marRight w:val="0"/>
          <w:marTop w:val="0"/>
          <w:marBottom w:val="0"/>
          <w:divBdr>
            <w:top w:val="none" w:sz="0" w:space="0" w:color="auto"/>
            <w:left w:val="none" w:sz="0" w:space="0" w:color="auto"/>
            <w:bottom w:val="none" w:sz="0" w:space="0" w:color="auto"/>
            <w:right w:val="none" w:sz="0" w:space="0" w:color="auto"/>
          </w:divBdr>
        </w:div>
        <w:div w:id="478807810">
          <w:marLeft w:val="0"/>
          <w:marRight w:val="0"/>
          <w:marTop w:val="0"/>
          <w:marBottom w:val="0"/>
          <w:divBdr>
            <w:top w:val="none" w:sz="0" w:space="0" w:color="auto"/>
            <w:left w:val="none" w:sz="0" w:space="0" w:color="auto"/>
            <w:bottom w:val="none" w:sz="0" w:space="0" w:color="auto"/>
            <w:right w:val="none" w:sz="0" w:space="0" w:color="auto"/>
          </w:divBdr>
        </w:div>
        <w:div w:id="1392343104">
          <w:marLeft w:val="0"/>
          <w:marRight w:val="0"/>
          <w:marTop w:val="0"/>
          <w:marBottom w:val="0"/>
          <w:divBdr>
            <w:top w:val="none" w:sz="0" w:space="0" w:color="auto"/>
            <w:left w:val="none" w:sz="0" w:space="0" w:color="auto"/>
            <w:bottom w:val="none" w:sz="0" w:space="0" w:color="auto"/>
            <w:right w:val="none" w:sz="0" w:space="0" w:color="auto"/>
          </w:divBdr>
        </w:div>
        <w:div w:id="1426801408">
          <w:marLeft w:val="0"/>
          <w:marRight w:val="0"/>
          <w:marTop w:val="0"/>
          <w:marBottom w:val="0"/>
          <w:divBdr>
            <w:top w:val="none" w:sz="0" w:space="0" w:color="auto"/>
            <w:left w:val="none" w:sz="0" w:space="0" w:color="auto"/>
            <w:bottom w:val="none" w:sz="0" w:space="0" w:color="auto"/>
            <w:right w:val="none" w:sz="0" w:space="0" w:color="auto"/>
          </w:divBdr>
        </w:div>
        <w:div w:id="1764571273">
          <w:marLeft w:val="0"/>
          <w:marRight w:val="0"/>
          <w:marTop w:val="0"/>
          <w:marBottom w:val="0"/>
          <w:divBdr>
            <w:top w:val="none" w:sz="0" w:space="0" w:color="auto"/>
            <w:left w:val="none" w:sz="0" w:space="0" w:color="auto"/>
            <w:bottom w:val="none" w:sz="0" w:space="0" w:color="auto"/>
            <w:right w:val="none" w:sz="0" w:space="0" w:color="auto"/>
          </w:divBdr>
        </w:div>
        <w:div w:id="2114352749">
          <w:marLeft w:val="0"/>
          <w:marRight w:val="0"/>
          <w:marTop w:val="0"/>
          <w:marBottom w:val="0"/>
          <w:divBdr>
            <w:top w:val="none" w:sz="0" w:space="0" w:color="auto"/>
            <w:left w:val="none" w:sz="0" w:space="0" w:color="auto"/>
            <w:bottom w:val="none" w:sz="0" w:space="0" w:color="auto"/>
            <w:right w:val="none" w:sz="0" w:space="0" w:color="auto"/>
          </w:divBdr>
        </w:div>
        <w:div w:id="1672298442">
          <w:marLeft w:val="0"/>
          <w:marRight w:val="0"/>
          <w:marTop w:val="0"/>
          <w:marBottom w:val="0"/>
          <w:divBdr>
            <w:top w:val="none" w:sz="0" w:space="0" w:color="auto"/>
            <w:left w:val="none" w:sz="0" w:space="0" w:color="auto"/>
            <w:bottom w:val="none" w:sz="0" w:space="0" w:color="auto"/>
            <w:right w:val="none" w:sz="0" w:space="0" w:color="auto"/>
          </w:divBdr>
        </w:div>
        <w:div w:id="913121394">
          <w:marLeft w:val="0"/>
          <w:marRight w:val="0"/>
          <w:marTop w:val="0"/>
          <w:marBottom w:val="0"/>
          <w:divBdr>
            <w:top w:val="none" w:sz="0" w:space="0" w:color="auto"/>
            <w:left w:val="none" w:sz="0" w:space="0" w:color="auto"/>
            <w:bottom w:val="none" w:sz="0" w:space="0" w:color="auto"/>
            <w:right w:val="none" w:sz="0" w:space="0" w:color="auto"/>
          </w:divBdr>
        </w:div>
        <w:div w:id="1029184966">
          <w:marLeft w:val="0"/>
          <w:marRight w:val="0"/>
          <w:marTop w:val="0"/>
          <w:marBottom w:val="0"/>
          <w:divBdr>
            <w:top w:val="none" w:sz="0" w:space="0" w:color="auto"/>
            <w:left w:val="none" w:sz="0" w:space="0" w:color="auto"/>
            <w:bottom w:val="none" w:sz="0" w:space="0" w:color="auto"/>
            <w:right w:val="none" w:sz="0" w:space="0" w:color="auto"/>
          </w:divBdr>
        </w:div>
        <w:div w:id="927688899">
          <w:marLeft w:val="0"/>
          <w:marRight w:val="0"/>
          <w:marTop w:val="0"/>
          <w:marBottom w:val="0"/>
          <w:divBdr>
            <w:top w:val="none" w:sz="0" w:space="0" w:color="auto"/>
            <w:left w:val="none" w:sz="0" w:space="0" w:color="auto"/>
            <w:bottom w:val="none" w:sz="0" w:space="0" w:color="auto"/>
            <w:right w:val="none" w:sz="0" w:space="0" w:color="auto"/>
          </w:divBdr>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10216981">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251">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9D66-E780-42C9-B1F1-B80DB39C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5469</Words>
  <Characters>30081</Characters>
  <Application>Microsoft Office Word</Application>
  <DocSecurity>4</DocSecurity>
  <Lines>250</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2018-07-27T23:02:00Z</cp:lastPrinted>
  <dcterms:created xsi:type="dcterms:W3CDTF">2018-07-27T23:13:00Z</dcterms:created>
  <dcterms:modified xsi:type="dcterms:W3CDTF">2018-07-27T23:13:00Z</dcterms:modified>
</cp:coreProperties>
</file>