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74" w:rsidRDefault="00382D74" w:rsidP="00382D74">
      <w:pPr>
        <w:spacing w:after="0"/>
        <w:jc w:val="center"/>
        <w:rPr>
          <w:rFonts w:ascii="Verdana" w:eastAsia="Calibri" w:hAnsi="Verdana" w:cs="Verdana"/>
          <w:b/>
          <w:bCs/>
          <w:caps/>
          <w:sz w:val="20"/>
          <w:szCs w:val="20"/>
          <w:lang w:val="es-ES" w:eastAsia="en-US"/>
        </w:rPr>
      </w:pPr>
    </w:p>
    <w:p w:rsidR="00382D74" w:rsidRDefault="00EF13E3" w:rsidP="00382D74">
      <w:pPr>
        <w:spacing w:after="0"/>
        <w:jc w:val="center"/>
        <w:rPr>
          <w:rFonts w:ascii="Verdana" w:eastAsia="Calibri" w:hAnsi="Verdana" w:cs="Verdana"/>
          <w:b/>
          <w:bCs/>
          <w:caps/>
          <w:sz w:val="20"/>
          <w:szCs w:val="20"/>
          <w:lang w:val="es-ES" w:eastAsia="en-US"/>
        </w:rPr>
      </w:pPr>
      <w:r>
        <w:rPr>
          <w:rFonts w:ascii="Verdana" w:eastAsia="Calibri" w:hAnsi="Verdana" w:cs="Verdana"/>
          <w:b/>
          <w:bCs/>
          <w:caps/>
          <w:sz w:val="20"/>
          <w:szCs w:val="20"/>
          <w:lang w:val="es-ES" w:eastAsia="en-US"/>
        </w:rPr>
        <w:t xml:space="preserve">  </w:t>
      </w:r>
      <w:bookmarkStart w:id="0" w:name="_GoBack"/>
      <w:bookmarkEnd w:id="0"/>
    </w:p>
    <w:p w:rsidR="00382D74" w:rsidRDefault="00382D74" w:rsidP="00382D74">
      <w:pPr>
        <w:spacing w:after="0"/>
        <w:jc w:val="center"/>
        <w:rPr>
          <w:rFonts w:ascii="Verdana" w:eastAsia="Calibri" w:hAnsi="Verdana" w:cs="Verdana"/>
          <w:b/>
          <w:bCs/>
          <w:caps/>
          <w:sz w:val="20"/>
          <w:szCs w:val="20"/>
          <w:lang w:val="es-ES" w:eastAsia="en-US"/>
        </w:rPr>
      </w:pPr>
    </w:p>
    <w:p w:rsidR="00666F4A" w:rsidRDefault="00666F4A" w:rsidP="00382D74">
      <w:pPr>
        <w:spacing w:after="0"/>
        <w:jc w:val="center"/>
        <w:rPr>
          <w:rFonts w:ascii="Verdana" w:eastAsia="Calibri" w:hAnsi="Verdana" w:cs="Verdana"/>
          <w:b/>
          <w:bCs/>
          <w:caps/>
          <w:sz w:val="20"/>
          <w:szCs w:val="20"/>
          <w:lang w:val="es-ES" w:eastAsia="en-US"/>
        </w:rPr>
      </w:pPr>
    </w:p>
    <w:p w:rsidR="00666F4A" w:rsidRDefault="00666F4A" w:rsidP="00382D74">
      <w:pPr>
        <w:spacing w:after="0"/>
        <w:jc w:val="center"/>
        <w:rPr>
          <w:rFonts w:ascii="Verdana" w:eastAsia="Calibri" w:hAnsi="Verdana" w:cs="Verdana"/>
          <w:b/>
          <w:bCs/>
          <w:caps/>
          <w:sz w:val="20"/>
          <w:szCs w:val="20"/>
          <w:lang w:val="es-ES" w:eastAsia="en-US"/>
        </w:rPr>
      </w:pPr>
    </w:p>
    <w:p w:rsidR="00382D74" w:rsidRDefault="00382D74" w:rsidP="00382D74">
      <w:pPr>
        <w:spacing w:after="0"/>
        <w:jc w:val="center"/>
        <w:rPr>
          <w:rFonts w:ascii="Verdana" w:eastAsia="Calibri" w:hAnsi="Verdana" w:cs="Verdana"/>
          <w:b/>
          <w:bCs/>
          <w:caps/>
          <w:sz w:val="20"/>
          <w:szCs w:val="20"/>
          <w:lang w:val="es-ES" w:eastAsia="en-US"/>
        </w:rPr>
      </w:pPr>
    </w:p>
    <w:p w:rsidR="00382D74" w:rsidRPr="00382D74" w:rsidRDefault="00382D74" w:rsidP="00382D74">
      <w:pPr>
        <w:spacing w:after="0"/>
        <w:jc w:val="center"/>
        <w:rPr>
          <w:rFonts w:ascii="Verdana" w:eastAsia="Calibri" w:hAnsi="Verdana" w:cs="Verdana"/>
          <w:b/>
          <w:bCs/>
          <w:caps/>
          <w:sz w:val="20"/>
          <w:szCs w:val="20"/>
          <w:lang w:val="es-ES" w:eastAsia="en-US"/>
        </w:rPr>
      </w:pPr>
      <w:r w:rsidRPr="00382D74">
        <w:rPr>
          <w:rFonts w:ascii="Verdana" w:eastAsia="Calibri" w:hAnsi="Verdana" w:cs="Verdana"/>
          <w:b/>
          <w:bCs/>
          <w:caps/>
          <w:sz w:val="20"/>
          <w:szCs w:val="20"/>
          <w:lang w:val="es-ES" w:eastAsia="en-US"/>
        </w:rPr>
        <w:t>RESOLUCIÓN DE La corte</w:t>
      </w:r>
    </w:p>
    <w:p w:rsidR="00382D74" w:rsidRPr="00382D74" w:rsidRDefault="00382D74" w:rsidP="00382D74">
      <w:pPr>
        <w:spacing w:after="0"/>
        <w:jc w:val="center"/>
        <w:rPr>
          <w:rFonts w:ascii="Verdana" w:eastAsia="Calibri" w:hAnsi="Verdana" w:cs="Verdana"/>
          <w:b/>
          <w:bCs/>
          <w:caps/>
          <w:sz w:val="20"/>
          <w:szCs w:val="20"/>
          <w:lang w:val="es-ES" w:eastAsia="en-US"/>
        </w:rPr>
      </w:pPr>
      <w:r w:rsidRPr="00382D74">
        <w:rPr>
          <w:rFonts w:ascii="Verdana" w:eastAsia="Calibri" w:hAnsi="Verdana" w:cs="Verdana"/>
          <w:b/>
          <w:bCs/>
          <w:caps/>
          <w:sz w:val="20"/>
          <w:szCs w:val="20"/>
          <w:lang w:val="es-ES" w:eastAsia="en-US"/>
        </w:rPr>
        <w:t xml:space="preserve"> INTERAMERICANA DE DERECHOS HUMANOS</w:t>
      </w:r>
      <w:r w:rsidR="000500A0" w:rsidRPr="003B027A">
        <w:rPr>
          <w:rStyle w:val="FootnoteReference"/>
          <w:b/>
          <w:bCs/>
          <w:caps/>
          <w:lang w:val="es-ES"/>
        </w:rPr>
        <w:footnoteReference w:customMarkFollows="1" w:id="1"/>
        <w:sym w:font="Symbol" w:char="F02A"/>
      </w:r>
    </w:p>
    <w:p w:rsidR="00382D74" w:rsidRPr="00382D74" w:rsidRDefault="00382D74" w:rsidP="00382D74">
      <w:pPr>
        <w:spacing w:after="0"/>
        <w:jc w:val="center"/>
        <w:rPr>
          <w:rFonts w:ascii="Verdana" w:eastAsia="Calibri" w:hAnsi="Verdana" w:cs="Verdana"/>
          <w:b/>
          <w:bCs/>
          <w:caps/>
          <w:sz w:val="20"/>
          <w:szCs w:val="20"/>
          <w:lang w:val="es-ES" w:eastAsia="en-US"/>
        </w:rPr>
      </w:pPr>
    </w:p>
    <w:p w:rsidR="00382D74" w:rsidRPr="00382D74" w:rsidRDefault="000500A0" w:rsidP="00382D74">
      <w:pPr>
        <w:spacing w:after="0"/>
        <w:jc w:val="center"/>
        <w:rPr>
          <w:rFonts w:ascii="Verdana" w:eastAsia="Calibri" w:hAnsi="Verdana" w:cs="Verdana"/>
          <w:b/>
          <w:bCs/>
          <w:caps/>
          <w:sz w:val="20"/>
          <w:szCs w:val="20"/>
          <w:lang w:val="es-ES" w:eastAsia="en-US"/>
        </w:rPr>
      </w:pPr>
      <w:r>
        <w:rPr>
          <w:rFonts w:ascii="Verdana" w:eastAsia="Calibri" w:hAnsi="Verdana" w:cs="Verdana"/>
          <w:b/>
          <w:bCs/>
          <w:caps/>
          <w:sz w:val="20"/>
          <w:szCs w:val="20"/>
          <w:lang w:val="es-ES" w:eastAsia="en-US"/>
        </w:rPr>
        <w:t xml:space="preserve">DE </w:t>
      </w:r>
      <w:r w:rsidR="003A3802">
        <w:rPr>
          <w:rFonts w:ascii="Verdana" w:eastAsia="Calibri" w:hAnsi="Verdana" w:cs="Verdana"/>
          <w:b/>
          <w:bCs/>
          <w:caps/>
          <w:sz w:val="20"/>
          <w:szCs w:val="20"/>
          <w:lang w:val="es-ES" w:eastAsia="en-US"/>
        </w:rPr>
        <w:t>15</w:t>
      </w:r>
      <w:r w:rsidR="00382D74" w:rsidRPr="00382D74">
        <w:rPr>
          <w:rFonts w:ascii="Verdana" w:eastAsia="Calibri" w:hAnsi="Verdana" w:cs="Verdana"/>
          <w:b/>
          <w:bCs/>
          <w:caps/>
          <w:sz w:val="20"/>
          <w:szCs w:val="20"/>
          <w:lang w:val="es-ES" w:eastAsia="en-US"/>
        </w:rPr>
        <w:t xml:space="preserve"> DE </w:t>
      </w:r>
      <w:r w:rsidR="00382D74">
        <w:rPr>
          <w:rFonts w:ascii="Verdana" w:eastAsia="Calibri" w:hAnsi="Verdana" w:cs="Verdana"/>
          <w:b/>
          <w:bCs/>
          <w:caps/>
          <w:sz w:val="20"/>
          <w:szCs w:val="20"/>
          <w:lang w:val="es-ES" w:eastAsia="en-US"/>
        </w:rPr>
        <w:t>MAYO</w:t>
      </w:r>
      <w:r w:rsidR="00382D74" w:rsidRPr="00382D74">
        <w:rPr>
          <w:rFonts w:ascii="Verdana" w:eastAsia="Calibri" w:hAnsi="Verdana" w:cs="Verdana"/>
          <w:b/>
          <w:bCs/>
          <w:caps/>
          <w:sz w:val="20"/>
          <w:szCs w:val="20"/>
          <w:lang w:val="es-ES" w:eastAsia="en-US"/>
        </w:rPr>
        <w:t xml:space="preserve"> DE 201</w:t>
      </w:r>
      <w:r w:rsidR="00382D74">
        <w:rPr>
          <w:rFonts w:ascii="Verdana" w:eastAsia="Calibri" w:hAnsi="Verdana" w:cs="Verdana"/>
          <w:b/>
          <w:bCs/>
          <w:caps/>
          <w:sz w:val="20"/>
          <w:szCs w:val="20"/>
          <w:lang w:val="es-ES" w:eastAsia="en-US"/>
        </w:rPr>
        <w:t>7</w:t>
      </w:r>
    </w:p>
    <w:p w:rsidR="00382D74" w:rsidRPr="00382D74" w:rsidRDefault="00382D74" w:rsidP="00382D74">
      <w:pPr>
        <w:spacing w:after="0"/>
        <w:jc w:val="center"/>
        <w:rPr>
          <w:rFonts w:ascii="Verdana" w:eastAsia="Calibri" w:hAnsi="Verdana" w:cs="Verdana"/>
          <w:b/>
          <w:bCs/>
          <w:caps/>
          <w:sz w:val="20"/>
          <w:szCs w:val="20"/>
          <w:lang w:val="es-ES" w:eastAsia="en-US"/>
        </w:rPr>
      </w:pPr>
    </w:p>
    <w:p w:rsidR="00382D74" w:rsidRPr="00382D74" w:rsidRDefault="00382D74" w:rsidP="00382D74">
      <w:pPr>
        <w:spacing w:after="0"/>
        <w:jc w:val="center"/>
        <w:rPr>
          <w:rFonts w:ascii="Verdana" w:eastAsia="Calibri" w:hAnsi="Verdana" w:cs="Verdana"/>
          <w:b/>
          <w:bCs/>
          <w:caps/>
          <w:sz w:val="20"/>
          <w:szCs w:val="20"/>
          <w:lang w:val="es-ES" w:eastAsia="en-US"/>
        </w:rPr>
      </w:pPr>
      <w:r w:rsidRPr="00382D74">
        <w:rPr>
          <w:rFonts w:ascii="Verdana" w:eastAsia="Calibri" w:hAnsi="Verdana" w:cs="Verdana"/>
          <w:b/>
          <w:bCs/>
          <w:caps/>
          <w:sz w:val="20"/>
          <w:szCs w:val="20"/>
          <w:lang w:val="es-ES" w:eastAsia="en-US"/>
        </w:rPr>
        <w:t xml:space="preserve">CASO </w:t>
      </w:r>
      <w:r>
        <w:rPr>
          <w:rFonts w:ascii="Verdana" w:eastAsia="Calibri" w:hAnsi="Verdana" w:cs="Verdana"/>
          <w:b/>
          <w:bCs/>
          <w:caps/>
          <w:sz w:val="20"/>
          <w:szCs w:val="20"/>
          <w:lang w:val="es-ES" w:eastAsia="en-US"/>
        </w:rPr>
        <w:t>omeara carrascal</w:t>
      </w:r>
      <w:r w:rsidRPr="00382D74">
        <w:rPr>
          <w:rFonts w:ascii="Verdana" w:eastAsia="Calibri" w:hAnsi="Verdana" w:cs="Verdana"/>
          <w:b/>
          <w:bCs/>
          <w:caps/>
          <w:sz w:val="20"/>
          <w:szCs w:val="20"/>
          <w:lang w:val="es-ES" w:eastAsia="en-US"/>
        </w:rPr>
        <w:t xml:space="preserve"> Y OTR</w:t>
      </w:r>
      <w:r>
        <w:rPr>
          <w:rFonts w:ascii="Verdana" w:eastAsia="Calibri" w:hAnsi="Verdana" w:cs="Verdana"/>
          <w:b/>
          <w:bCs/>
          <w:caps/>
          <w:sz w:val="20"/>
          <w:szCs w:val="20"/>
          <w:lang w:val="es-ES" w:eastAsia="en-US"/>
        </w:rPr>
        <w:t>o</w:t>
      </w:r>
      <w:r w:rsidRPr="00382D74">
        <w:rPr>
          <w:rFonts w:ascii="Verdana" w:eastAsia="Calibri" w:hAnsi="Verdana" w:cs="Verdana"/>
          <w:b/>
          <w:bCs/>
          <w:caps/>
          <w:sz w:val="20"/>
          <w:szCs w:val="20"/>
          <w:lang w:val="es-ES" w:eastAsia="en-US"/>
        </w:rPr>
        <w:t>S VS. COLOMBIA</w:t>
      </w:r>
    </w:p>
    <w:p w:rsidR="004E2EE7" w:rsidRPr="00382D74" w:rsidRDefault="004E2EE7" w:rsidP="00382D74">
      <w:pPr>
        <w:spacing w:after="0"/>
        <w:rPr>
          <w:rFonts w:ascii="Verdana" w:eastAsia="Calibri" w:hAnsi="Verdana" w:cs="Verdana"/>
          <w:b/>
          <w:bCs/>
          <w:caps/>
          <w:sz w:val="20"/>
          <w:szCs w:val="20"/>
          <w:lang w:val="es-ES" w:eastAsia="en-US"/>
        </w:rPr>
      </w:pPr>
    </w:p>
    <w:p w:rsidR="00382D74" w:rsidRPr="00382D74" w:rsidRDefault="00382D74" w:rsidP="00382D74">
      <w:pPr>
        <w:spacing w:after="0" w:line="240" w:lineRule="auto"/>
        <w:rPr>
          <w:rFonts w:ascii="Verdana" w:eastAsia="Calibri" w:hAnsi="Verdana" w:cs="Verdana"/>
          <w:b/>
          <w:bCs/>
          <w:sz w:val="20"/>
          <w:szCs w:val="20"/>
          <w:lang w:val="es-CR" w:eastAsia="en-US"/>
        </w:rPr>
      </w:pPr>
      <w:r w:rsidRPr="00382D74">
        <w:rPr>
          <w:rFonts w:ascii="Verdana" w:eastAsia="Calibri" w:hAnsi="Verdana" w:cs="Verdana"/>
          <w:b/>
          <w:bCs/>
          <w:sz w:val="20"/>
          <w:szCs w:val="20"/>
          <w:lang w:val="es-CR" w:eastAsia="en-US"/>
        </w:rPr>
        <w:t>VISTO:</w:t>
      </w:r>
    </w:p>
    <w:p w:rsidR="00382D74" w:rsidRPr="00382D74" w:rsidRDefault="00382D74" w:rsidP="00382D74">
      <w:pPr>
        <w:widowControl w:val="0"/>
        <w:autoSpaceDE w:val="0"/>
        <w:autoSpaceDN w:val="0"/>
        <w:adjustRightInd w:val="0"/>
        <w:spacing w:after="0" w:line="240" w:lineRule="auto"/>
        <w:ind w:right="22"/>
        <w:jc w:val="both"/>
        <w:rPr>
          <w:rFonts w:ascii="Verdana" w:eastAsia="Calibri" w:hAnsi="Verdana" w:cs="Verdana"/>
          <w:sz w:val="20"/>
          <w:szCs w:val="20"/>
          <w:lang w:val="es-CR" w:eastAsia="en-US"/>
        </w:rPr>
      </w:pPr>
      <w:bookmarkStart w:id="1" w:name="_Ref227741125"/>
      <w:bookmarkStart w:id="2" w:name="_Ref352013213"/>
    </w:p>
    <w:bookmarkEnd w:id="1"/>
    <w:bookmarkEnd w:id="2"/>
    <w:p w:rsidR="00382D74" w:rsidRPr="00382D74" w:rsidRDefault="00382D74" w:rsidP="00051657">
      <w:pPr>
        <w:numPr>
          <w:ilvl w:val="0"/>
          <w:numId w:val="1"/>
        </w:numPr>
        <w:autoSpaceDE w:val="0"/>
        <w:autoSpaceDN w:val="0"/>
        <w:adjustRightInd w:val="0"/>
        <w:spacing w:after="0" w:line="240" w:lineRule="auto"/>
        <w:ind w:left="0" w:right="18" w:firstLine="0"/>
        <w:jc w:val="both"/>
        <w:rPr>
          <w:rFonts w:ascii="Verdana" w:eastAsia="Calibri" w:hAnsi="Verdana" w:cs="Verdana"/>
          <w:sz w:val="20"/>
          <w:szCs w:val="20"/>
          <w:lang w:val="es-MX" w:eastAsia="en-US"/>
        </w:rPr>
      </w:pPr>
      <w:r w:rsidRPr="00382D74">
        <w:rPr>
          <w:rFonts w:ascii="Verdana" w:eastAsia="Calibri" w:hAnsi="Verdana" w:cs="Verdana"/>
          <w:sz w:val="20"/>
          <w:szCs w:val="20"/>
          <w:lang w:val="es-MX" w:eastAsia="en-US"/>
        </w:rPr>
        <w:t>La Resolución del Presidente de la Corte Interamericana de Derechos Humanos (en adelante “el Presidente”) de 2</w:t>
      </w:r>
      <w:r w:rsidR="009245A2">
        <w:rPr>
          <w:rFonts w:ascii="Verdana" w:eastAsia="Calibri" w:hAnsi="Verdana" w:cs="Verdana"/>
          <w:sz w:val="20"/>
          <w:szCs w:val="20"/>
          <w:lang w:val="es-MX" w:eastAsia="en-US"/>
        </w:rPr>
        <w:t>1 de abril</w:t>
      </w:r>
      <w:r w:rsidRPr="00382D74">
        <w:rPr>
          <w:rFonts w:ascii="Verdana" w:eastAsia="Calibri" w:hAnsi="Verdana" w:cs="Verdana"/>
          <w:sz w:val="20"/>
          <w:szCs w:val="20"/>
          <w:lang w:val="es-MX" w:eastAsia="en-US"/>
        </w:rPr>
        <w:t xml:space="preserve"> de 201</w:t>
      </w:r>
      <w:r w:rsidR="009245A2">
        <w:rPr>
          <w:rFonts w:ascii="Verdana" w:eastAsia="Calibri" w:hAnsi="Verdana" w:cs="Verdana"/>
          <w:sz w:val="20"/>
          <w:szCs w:val="20"/>
          <w:lang w:val="es-MX" w:eastAsia="en-US"/>
        </w:rPr>
        <w:t>7</w:t>
      </w:r>
      <w:r w:rsidRPr="00382D74">
        <w:rPr>
          <w:rFonts w:ascii="Verdana" w:eastAsia="Calibri" w:hAnsi="Verdana" w:cs="Verdana"/>
          <w:sz w:val="20"/>
          <w:szCs w:val="20"/>
          <w:lang w:val="es-MX" w:eastAsia="en-US"/>
        </w:rPr>
        <w:t xml:space="preserve"> (en adelant</w:t>
      </w:r>
      <w:r w:rsidR="009245A2">
        <w:rPr>
          <w:rFonts w:ascii="Verdana" w:eastAsia="Calibri" w:hAnsi="Verdana" w:cs="Verdana"/>
          <w:sz w:val="20"/>
          <w:szCs w:val="20"/>
          <w:lang w:val="es-MX" w:eastAsia="en-US"/>
        </w:rPr>
        <w:t>e “la Resolución del Presidente</w:t>
      </w:r>
      <w:r w:rsidRPr="00382D74">
        <w:rPr>
          <w:rFonts w:ascii="Verdana" w:eastAsia="Calibri" w:hAnsi="Verdana" w:cs="Verdana"/>
          <w:sz w:val="20"/>
          <w:szCs w:val="20"/>
          <w:lang w:val="es-MX" w:eastAsia="en-US"/>
        </w:rPr>
        <w:t xml:space="preserve">) mediante la cual, </w:t>
      </w:r>
      <w:r w:rsidRPr="00382D74">
        <w:rPr>
          <w:rFonts w:ascii="Verdana" w:eastAsia="Calibri" w:hAnsi="Verdana" w:cs="Verdana"/>
          <w:i/>
          <w:iCs/>
          <w:sz w:val="20"/>
          <w:szCs w:val="20"/>
          <w:lang w:val="es-MX" w:eastAsia="en-US"/>
        </w:rPr>
        <w:t xml:space="preserve">inter </w:t>
      </w:r>
      <w:proofErr w:type="spellStart"/>
      <w:r w:rsidRPr="00382D74">
        <w:rPr>
          <w:rFonts w:ascii="Verdana" w:eastAsia="Calibri" w:hAnsi="Verdana" w:cs="Verdana"/>
          <w:i/>
          <w:iCs/>
          <w:sz w:val="20"/>
          <w:szCs w:val="20"/>
          <w:lang w:val="es-MX" w:eastAsia="en-US"/>
        </w:rPr>
        <w:t>alia</w:t>
      </w:r>
      <w:proofErr w:type="spellEnd"/>
      <w:r w:rsidRPr="00382D74">
        <w:rPr>
          <w:rFonts w:ascii="Verdana" w:eastAsia="Calibri" w:hAnsi="Verdana" w:cs="Verdana"/>
          <w:sz w:val="20"/>
          <w:szCs w:val="20"/>
          <w:lang w:val="es-MX" w:eastAsia="en-US"/>
        </w:rPr>
        <w:t>, ordenó la recepción de diversas declaraciones</w:t>
      </w:r>
      <w:r w:rsidR="009A2DCD">
        <w:rPr>
          <w:rFonts w:ascii="Verdana" w:eastAsia="Calibri" w:hAnsi="Verdana" w:cs="Verdana"/>
          <w:sz w:val="20"/>
          <w:szCs w:val="20"/>
          <w:lang w:val="es-MX" w:eastAsia="en-US"/>
        </w:rPr>
        <w:t xml:space="preserve"> de presuntas víctimas,</w:t>
      </w:r>
      <w:r w:rsidRPr="00382D74">
        <w:rPr>
          <w:rFonts w:ascii="Verdana" w:eastAsia="Calibri" w:hAnsi="Verdana" w:cs="Verdana"/>
          <w:sz w:val="20"/>
          <w:szCs w:val="20"/>
          <w:lang w:val="es-MX" w:eastAsia="en-US"/>
        </w:rPr>
        <w:t xml:space="preserve"> </w:t>
      </w:r>
      <w:r w:rsidR="00ED46C9">
        <w:rPr>
          <w:rFonts w:ascii="Verdana" w:eastAsia="Calibri" w:hAnsi="Verdana" w:cs="Verdana"/>
          <w:sz w:val="20"/>
          <w:szCs w:val="20"/>
          <w:lang w:val="es-MX" w:eastAsia="en-US"/>
        </w:rPr>
        <w:t xml:space="preserve">testimoniales y </w:t>
      </w:r>
      <w:r w:rsidRPr="00382D74">
        <w:rPr>
          <w:rFonts w:ascii="Verdana" w:eastAsia="Calibri" w:hAnsi="Verdana" w:cs="Verdana"/>
          <w:sz w:val="20"/>
          <w:szCs w:val="20"/>
          <w:lang w:val="es-MX" w:eastAsia="en-US"/>
        </w:rPr>
        <w:t xml:space="preserve">periciales mediante </w:t>
      </w:r>
      <w:r w:rsidR="00ED46C9">
        <w:rPr>
          <w:rFonts w:ascii="Verdana" w:eastAsia="Calibri" w:hAnsi="Verdana" w:cs="Verdana"/>
          <w:iCs/>
          <w:sz w:val="20"/>
          <w:szCs w:val="20"/>
          <w:lang w:val="es-MX" w:eastAsia="en-US"/>
        </w:rPr>
        <w:t>af</w:t>
      </w:r>
      <w:r w:rsidR="004F5C2B">
        <w:rPr>
          <w:rFonts w:ascii="Verdana" w:eastAsia="Calibri" w:hAnsi="Verdana" w:cs="Verdana"/>
          <w:iCs/>
          <w:sz w:val="20"/>
          <w:szCs w:val="20"/>
          <w:lang w:val="es-MX" w:eastAsia="en-US"/>
        </w:rPr>
        <w:t>f</w:t>
      </w:r>
      <w:r w:rsidR="00ED46C9">
        <w:rPr>
          <w:rFonts w:ascii="Verdana" w:eastAsia="Calibri" w:hAnsi="Verdana" w:cs="Verdana"/>
          <w:iCs/>
          <w:sz w:val="20"/>
          <w:szCs w:val="20"/>
          <w:lang w:val="es-MX" w:eastAsia="en-US"/>
        </w:rPr>
        <w:t xml:space="preserve">idávit, </w:t>
      </w:r>
      <w:r w:rsidRPr="00382D74">
        <w:rPr>
          <w:rFonts w:ascii="Verdana" w:eastAsia="Calibri" w:hAnsi="Verdana" w:cs="Verdana"/>
          <w:sz w:val="20"/>
          <w:szCs w:val="20"/>
          <w:lang w:val="es-MX" w:eastAsia="en-US"/>
        </w:rPr>
        <w:t>y convocó a la Comisión Interamericana de Derechos Humanos (en adelante también “la Comisión Intera</w:t>
      </w:r>
      <w:r w:rsidR="009245A2">
        <w:rPr>
          <w:rFonts w:ascii="Verdana" w:eastAsia="Calibri" w:hAnsi="Verdana" w:cs="Verdana"/>
          <w:sz w:val="20"/>
          <w:szCs w:val="20"/>
          <w:lang w:val="es-MX" w:eastAsia="en-US"/>
        </w:rPr>
        <w:t>mericana” o “la Comisión”), a lo</w:t>
      </w:r>
      <w:r w:rsidRPr="00382D74">
        <w:rPr>
          <w:rFonts w:ascii="Verdana" w:eastAsia="Calibri" w:hAnsi="Verdana" w:cs="Verdana"/>
          <w:sz w:val="20"/>
          <w:szCs w:val="20"/>
          <w:lang w:val="es-MX" w:eastAsia="en-US"/>
        </w:rPr>
        <w:t>s representantes de l</w:t>
      </w:r>
      <w:r w:rsidR="009A2DCD">
        <w:rPr>
          <w:rFonts w:ascii="Verdana" w:eastAsia="Calibri" w:hAnsi="Verdana" w:cs="Verdana"/>
          <w:sz w:val="20"/>
          <w:szCs w:val="20"/>
          <w:lang w:val="es-MX" w:eastAsia="en-US"/>
        </w:rPr>
        <w:t>o</w:t>
      </w:r>
      <w:r w:rsidRPr="00382D74">
        <w:rPr>
          <w:rFonts w:ascii="Verdana" w:eastAsia="Calibri" w:hAnsi="Verdana" w:cs="Verdana"/>
          <w:sz w:val="20"/>
          <w:szCs w:val="20"/>
          <w:lang w:val="es-MX" w:eastAsia="en-US"/>
        </w:rPr>
        <w:t>s presuntas víctimas (en adelante también “l</w:t>
      </w:r>
      <w:r w:rsidR="009A2DCD">
        <w:rPr>
          <w:rFonts w:ascii="Verdana" w:eastAsia="Calibri" w:hAnsi="Verdana" w:cs="Verdana"/>
          <w:sz w:val="20"/>
          <w:szCs w:val="20"/>
          <w:lang w:val="es-MX" w:eastAsia="en-US"/>
        </w:rPr>
        <w:t>o</w:t>
      </w:r>
      <w:r w:rsidRPr="00382D74">
        <w:rPr>
          <w:rFonts w:ascii="Verdana" w:eastAsia="Calibri" w:hAnsi="Verdana" w:cs="Verdana"/>
          <w:sz w:val="20"/>
          <w:szCs w:val="20"/>
          <w:lang w:val="es-MX" w:eastAsia="en-US"/>
        </w:rPr>
        <w:t xml:space="preserve">s representantes”) y a </w:t>
      </w:r>
      <w:r w:rsidRPr="00382D74">
        <w:rPr>
          <w:rFonts w:ascii="Verdana" w:eastAsia="Calibri" w:hAnsi="Verdana" w:cs="Verdana"/>
          <w:sz w:val="20"/>
          <w:lang w:val="es-ES" w:eastAsia="en-US"/>
        </w:rPr>
        <w:t xml:space="preserve">la República de Colombia (en adelante “el Estado” o “Colombia”) </w:t>
      </w:r>
      <w:r w:rsidRPr="00382D74">
        <w:rPr>
          <w:rFonts w:ascii="Verdana" w:eastAsia="Calibri" w:hAnsi="Verdana" w:cs="Verdana"/>
          <w:sz w:val="20"/>
          <w:szCs w:val="20"/>
          <w:lang w:val="es-MX" w:eastAsia="en-US"/>
        </w:rPr>
        <w:t xml:space="preserve">a una audiencia pública a celebrarse </w:t>
      </w:r>
      <w:r w:rsidR="00ED46C9">
        <w:rPr>
          <w:rFonts w:ascii="Verdana" w:eastAsia="Calibri" w:hAnsi="Verdana" w:cs="Verdana"/>
          <w:sz w:val="20"/>
          <w:szCs w:val="20"/>
          <w:lang w:val="es-MX" w:eastAsia="en-US"/>
        </w:rPr>
        <w:t xml:space="preserve">los días 25 y 26 de mayo de 2017, </w:t>
      </w:r>
      <w:r w:rsidRPr="00382D74">
        <w:rPr>
          <w:rFonts w:ascii="Verdana" w:eastAsia="Calibri" w:hAnsi="Verdana" w:cs="Verdana"/>
          <w:sz w:val="20"/>
          <w:szCs w:val="20"/>
          <w:lang w:val="es-MX" w:eastAsia="en-US"/>
        </w:rPr>
        <w:t>para recibir sus alegatos finales orales sobre la</w:t>
      </w:r>
      <w:r w:rsidR="00ED46C9">
        <w:rPr>
          <w:rFonts w:ascii="Verdana" w:eastAsia="Calibri" w:hAnsi="Verdana" w:cs="Verdana"/>
          <w:sz w:val="20"/>
          <w:szCs w:val="20"/>
          <w:lang w:val="es-MX" w:eastAsia="en-US"/>
        </w:rPr>
        <w:t>s</w:t>
      </w:r>
      <w:r w:rsidRPr="00382D74">
        <w:rPr>
          <w:rFonts w:ascii="Verdana" w:eastAsia="Calibri" w:hAnsi="Verdana" w:cs="Verdana"/>
          <w:sz w:val="20"/>
          <w:szCs w:val="20"/>
          <w:lang w:val="es-MX" w:eastAsia="en-US"/>
        </w:rPr>
        <w:t xml:space="preserve"> excepc</w:t>
      </w:r>
      <w:r w:rsidR="00ED46C9">
        <w:rPr>
          <w:rFonts w:ascii="Verdana" w:eastAsia="Calibri" w:hAnsi="Verdana" w:cs="Verdana"/>
          <w:sz w:val="20"/>
          <w:szCs w:val="20"/>
          <w:lang w:val="es-MX" w:eastAsia="en-US"/>
        </w:rPr>
        <w:t>iones</w:t>
      </w:r>
      <w:r w:rsidRPr="00382D74">
        <w:rPr>
          <w:rFonts w:ascii="Verdana" w:eastAsia="Calibri" w:hAnsi="Verdana" w:cs="Verdana"/>
          <w:sz w:val="20"/>
          <w:szCs w:val="20"/>
          <w:lang w:val="es-MX" w:eastAsia="en-US"/>
        </w:rPr>
        <w:t xml:space="preserve"> preliminar</w:t>
      </w:r>
      <w:r w:rsidR="00ED46C9">
        <w:rPr>
          <w:rFonts w:ascii="Verdana" w:eastAsia="Calibri" w:hAnsi="Verdana" w:cs="Verdana"/>
          <w:sz w:val="20"/>
          <w:szCs w:val="20"/>
          <w:lang w:val="es-MX" w:eastAsia="en-US"/>
        </w:rPr>
        <w:t>es</w:t>
      </w:r>
      <w:r w:rsidRPr="00382D74">
        <w:rPr>
          <w:rFonts w:ascii="Verdana" w:eastAsia="Calibri" w:hAnsi="Verdana" w:cs="Verdana"/>
          <w:sz w:val="20"/>
          <w:szCs w:val="20"/>
          <w:lang w:val="es-MX" w:eastAsia="en-US"/>
        </w:rPr>
        <w:t>, l</w:t>
      </w:r>
      <w:r w:rsidR="00ED46C9">
        <w:rPr>
          <w:rFonts w:ascii="Verdana" w:eastAsia="Calibri" w:hAnsi="Verdana" w:cs="Verdana"/>
          <w:sz w:val="20"/>
          <w:szCs w:val="20"/>
          <w:lang w:val="es-MX" w:eastAsia="en-US"/>
        </w:rPr>
        <w:t>o</w:t>
      </w:r>
      <w:r w:rsidRPr="00382D74">
        <w:rPr>
          <w:rFonts w:ascii="Verdana" w:eastAsia="Calibri" w:hAnsi="Verdana" w:cs="Verdana"/>
          <w:sz w:val="20"/>
          <w:szCs w:val="20"/>
          <w:lang w:val="es-MX" w:eastAsia="en-US"/>
        </w:rPr>
        <w:t xml:space="preserve">s eventuales fondo, reparaciones y costas en el presente caso, así como, </w:t>
      </w:r>
      <w:r w:rsidRPr="00382D74">
        <w:rPr>
          <w:rFonts w:ascii="Verdana" w:eastAsia="Calibri" w:hAnsi="Verdana" w:cs="Verdana"/>
          <w:i/>
          <w:sz w:val="20"/>
          <w:szCs w:val="20"/>
          <w:lang w:val="es-MX" w:eastAsia="en-US"/>
        </w:rPr>
        <w:t xml:space="preserve">inter </w:t>
      </w:r>
      <w:proofErr w:type="spellStart"/>
      <w:r w:rsidRPr="00382D74">
        <w:rPr>
          <w:rFonts w:ascii="Verdana" w:eastAsia="Calibri" w:hAnsi="Verdana" w:cs="Verdana"/>
          <w:i/>
          <w:sz w:val="20"/>
          <w:szCs w:val="20"/>
          <w:lang w:val="es-MX" w:eastAsia="en-US"/>
        </w:rPr>
        <w:t>alia</w:t>
      </w:r>
      <w:proofErr w:type="spellEnd"/>
      <w:r w:rsidRPr="00382D74">
        <w:rPr>
          <w:rFonts w:ascii="Verdana" w:eastAsia="Calibri" w:hAnsi="Verdana" w:cs="Verdana"/>
          <w:sz w:val="20"/>
          <w:szCs w:val="20"/>
          <w:lang w:val="es-MX" w:eastAsia="en-US"/>
        </w:rPr>
        <w:t xml:space="preserve">, </w:t>
      </w:r>
      <w:r w:rsidR="00ED46C9">
        <w:rPr>
          <w:rFonts w:ascii="Verdana" w:eastAsia="Calibri" w:hAnsi="Verdana" w:cs="Verdana"/>
          <w:sz w:val="20"/>
          <w:szCs w:val="20"/>
          <w:lang w:val="es-MX" w:eastAsia="en-US"/>
        </w:rPr>
        <w:t xml:space="preserve">recibir </w:t>
      </w:r>
      <w:r w:rsidR="009A2DCD">
        <w:rPr>
          <w:rFonts w:ascii="Verdana" w:eastAsia="Calibri" w:hAnsi="Verdana" w:cs="Verdana"/>
          <w:sz w:val="20"/>
          <w:szCs w:val="20"/>
          <w:lang w:val="es-MX" w:eastAsia="en-US"/>
        </w:rPr>
        <w:t>las declaraciones de dos presuntas víctimas y un testigo</w:t>
      </w:r>
      <w:r w:rsidRPr="00382D74">
        <w:rPr>
          <w:rFonts w:ascii="Verdana" w:eastAsia="Calibri" w:hAnsi="Verdana" w:cs="Verdana"/>
          <w:sz w:val="20"/>
          <w:szCs w:val="20"/>
          <w:lang w:val="es-MX" w:eastAsia="en-US"/>
        </w:rPr>
        <w:t>.</w:t>
      </w:r>
    </w:p>
    <w:p w:rsidR="00382D74" w:rsidRPr="00382D74" w:rsidRDefault="00382D74" w:rsidP="00051657">
      <w:pPr>
        <w:autoSpaceDE w:val="0"/>
        <w:autoSpaceDN w:val="0"/>
        <w:adjustRightInd w:val="0"/>
        <w:spacing w:after="0" w:line="240" w:lineRule="auto"/>
        <w:ind w:right="18"/>
        <w:jc w:val="both"/>
        <w:rPr>
          <w:rFonts w:ascii="Verdana" w:eastAsia="Calibri" w:hAnsi="Verdana" w:cs="Verdana"/>
          <w:sz w:val="20"/>
          <w:szCs w:val="20"/>
          <w:lang w:val="es-MX" w:eastAsia="en-US"/>
        </w:rPr>
      </w:pPr>
    </w:p>
    <w:p w:rsidR="00382D74" w:rsidRPr="00B931CD" w:rsidRDefault="00382D74" w:rsidP="00A35DA6">
      <w:pPr>
        <w:numPr>
          <w:ilvl w:val="0"/>
          <w:numId w:val="1"/>
        </w:numPr>
        <w:autoSpaceDE w:val="0"/>
        <w:autoSpaceDN w:val="0"/>
        <w:adjustRightInd w:val="0"/>
        <w:spacing w:after="0" w:line="240" w:lineRule="auto"/>
        <w:ind w:left="0" w:right="18" w:firstLine="0"/>
        <w:jc w:val="both"/>
        <w:rPr>
          <w:rFonts w:ascii="Verdana" w:eastAsia="Calibri" w:hAnsi="Verdana" w:cs="Verdana"/>
          <w:sz w:val="20"/>
          <w:szCs w:val="20"/>
          <w:lang w:val="es-MX" w:eastAsia="en-US"/>
        </w:rPr>
      </w:pPr>
      <w:r w:rsidRPr="00382D74">
        <w:rPr>
          <w:rFonts w:ascii="Verdana" w:eastAsia="Calibri" w:hAnsi="Verdana" w:cs="Verdana"/>
          <w:sz w:val="20"/>
          <w:szCs w:val="20"/>
          <w:lang w:val="es-MX" w:eastAsia="en-US"/>
        </w:rPr>
        <w:t>El escrito de 2</w:t>
      </w:r>
      <w:r w:rsidR="00AD6909">
        <w:rPr>
          <w:rFonts w:ascii="Verdana" w:eastAsia="Calibri" w:hAnsi="Verdana" w:cs="Verdana"/>
          <w:sz w:val="20"/>
          <w:szCs w:val="20"/>
          <w:lang w:val="es-MX" w:eastAsia="en-US"/>
        </w:rPr>
        <w:t>5</w:t>
      </w:r>
      <w:r w:rsidRPr="00382D74">
        <w:rPr>
          <w:rFonts w:ascii="Verdana" w:eastAsia="Calibri" w:hAnsi="Verdana" w:cs="Verdana"/>
          <w:sz w:val="20"/>
          <w:szCs w:val="20"/>
          <w:lang w:val="es-MX" w:eastAsia="en-US"/>
        </w:rPr>
        <w:t xml:space="preserve"> de </w:t>
      </w:r>
      <w:r w:rsidR="00AD6909">
        <w:rPr>
          <w:rFonts w:ascii="Verdana" w:eastAsia="Calibri" w:hAnsi="Verdana" w:cs="Verdana"/>
          <w:sz w:val="20"/>
          <w:szCs w:val="20"/>
          <w:lang w:val="es-MX" w:eastAsia="en-US"/>
        </w:rPr>
        <w:t>abril</w:t>
      </w:r>
      <w:r w:rsidRPr="00382D74">
        <w:rPr>
          <w:rFonts w:ascii="Verdana" w:eastAsia="Calibri" w:hAnsi="Verdana" w:cs="Verdana"/>
          <w:sz w:val="20"/>
          <w:szCs w:val="20"/>
          <w:lang w:val="es-MX" w:eastAsia="en-US"/>
        </w:rPr>
        <w:t xml:space="preserve"> de 201</w:t>
      </w:r>
      <w:r w:rsidR="00AD6909">
        <w:rPr>
          <w:rFonts w:ascii="Verdana" w:eastAsia="Calibri" w:hAnsi="Verdana" w:cs="Verdana"/>
          <w:sz w:val="20"/>
          <w:szCs w:val="20"/>
          <w:lang w:val="es-MX" w:eastAsia="en-US"/>
        </w:rPr>
        <w:t>7</w:t>
      </w:r>
      <w:r w:rsidR="00D50FE5">
        <w:rPr>
          <w:rFonts w:ascii="Verdana" w:eastAsia="Calibri" w:hAnsi="Verdana" w:cs="Verdana"/>
          <w:sz w:val="20"/>
          <w:szCs w:val="20"/>
          <w:lang w:val="es-MX" w:eastAsia="en-US"/>
        </w:rPr>
        <w:t>,</w:t>
      </w:r>
      <w:r w:rsidRPr="00382D74">
        <w:rPr>
          <w:rFonts w:ascii="Verdana" w:eastAsia="Calibri" w:hAnsi="Verdana" w:cs="Verdana"/>
          <w:sz w:val="20"/>
          <w:szCs w:val="20"/>
          <w:lang w:val="es-MX" w:eastAsia="en-US"/>
        </w:rPr>
        <w:t xml:space="preserve"> mediante el cual </w:t>
      </w:r>
      <w:r w:rsidR="00AD6909">
        <w:rPr>
          <w:rFonts w:ascii="Verdana" w:eastAsia="Calibri" w:hAnsi="Verdana" w:cs="Verdana"/>
          <w:sz w:val="20"/>
          <w:szCs w:val="20"/>
          <w:lang w:val="es-MX" w:eastAsia="en-US"/>
        </w:rPr>
        <w:t xml:space="preserve">el Estado </w:t>
      </w:r>
      <w:r w:rsidRPr="00382D74">
        <w:rPr>
          <w:rFonts w:ascii="Verdana" w:eastAsia="Calibri" w:hAnsi="Verdana" w:cs="Verdana"/>
          <w:sz w:val="20"/>
          <w:szCs w:val="20"/>
          <w:lang w:val="es-MX" w:eastAsia="en-US"/>
        </w:rPr>
        <w:t>“</w:t>
      </w:r>
      <w:r w:rsidRPr="00382D74">
        <w:rPr>
          <w:rFonts w:ascii="Verdana" w:eastAsia="Calibri" w:hAnsi="Verdana" w:cs="Verdana"/>
          <w:sz w:val="20"/>
          <w:szCs w:val="20"/>
          <w:lang w:val="es-CR" w:eastAsia="en-US"/>
        </w:rPr>
        <w:t>present</w:t>
      </w:r>
      <w:r w:rsidR="00AD6909">
        <w:rPr>
          <w:rFonts w:ascii="Verdana" w:eastAsia="Calibri" w:hAnsi="Verdana" w:cs="Verdana"/>
          <w:sz w:val="20"/>
          <w:szCs w:val="20"/>
          <w:lang w:val="es-CR" w:eastAsia="en-US"/>
        </w:rPr>
        <w:t>ó</w:t>
      </w:r>
      <w:r w:rsidRPr="00382D74">
        <w:rPr>
          <w:rFonts w:ascii="Verdana" w:eastAsia="Calibri" w:hAnsi="Verdana" w:cs="Verdana"/>
          <w:sz w:val="20"/>
          <w:szCs w:val="20"/>
          <w:lang w:val="es-CR" w:eastAsia="en-US"/>
        </w:rPr>
        <w:t xml:space="preserve"> ante la […] Corte una solicitud de reconsideración </w:t>
      </w:r>
      <w:r w:rsidR="00D50FE5">
        <w:rPr>
          <w:rFonts w:ascii="Verdana" w:eastAsia="Calibri" w:hAnsi="Verdana" w:cs="Verdana"/>
          <w:sz w:val="20"/>
          <w:szCs w:val="20"/>
          <w:lang w:val="es-CR" w:eastAsia="en-US"/>
        </w:rPr>
        <w:t xml:space="preserve">en </w:t>
      </w:r>
      <w:r w:rsidRPr="00382D74">
        <w:rPr>
          <w:rFonts w:ascii="Verdana" w:eastAsia="Calibri" w:hAnsi="Verdana" w:cs="Verdana"/>
          <w:sz w:val="20"/>
          <w:szCs w:val="20"/>
          <w:lang w:val="es-CR" w:eastAsia="en-US"/>
        </w:rPr>
        <w:t>la modalidad en que ha sido llamado</w:t>
      </w:r>
      <w:r w:rsidR="00AD6909">
        <w:rPr>
          <w:rFonts w:ascii="Verdana" w:eastAsia="Calibri" w:hAnsi="Verdana" w:cs="Verdana"/>
          <w:sz w:val="20"/>
          <w:szCs w:val="20"/>
          <w:lang w:val="es-CR" w:eastAsia="en-US"/>
        </w:rPr>
        <w:t xml:space="preserve"> a declarar [un</w:t>
      </w:r>
      <w:r w:rsidRPr="00382D74">
        <w:rPr>
          <w:rFonts w:ascii="Verdana" w:eastAsia="Calibri" w:hAnsi="Verdana" w:cs="Verdana"/>
          <w:sz w:val="20"/>
          <w:szCs w:val="20"/>
          <w:lang w:val="es-CR" w:eastAsia="en-US"/>
        </w:rPr>
        <w:t xml:space="preserve">] </w:t>
      </w:r>
      <w:r w:rsidR="00AD6909">
        <w:rPr>
          <w:rFonts w:ascii="Verdana" w:eastAsia="Calibri" w:hAnsi="Verdana" w:cs="Verdana"/>
          <w:sz w:val="20"/>
          <w:szCs w:val="20"/>
          <w:lang w:val="es-CR" w:eastAsia="en-US"/>
        </w:rPr>
        <w:t>testigo</w:t>
      </w:r>
      <w:r w:rsidRPr="00382D74">
        <w:rPr>
          <w:rFonts w:ascii="Verdana" w:eastAsia="Calibri" w:hAnsi="Verdana" w:cs="Verdana"/>
          <w:sz w:val="20"/>
          <w:szCs w:val="20"/>
          <w:lang w:val="es-CR" w:eastAsia="en-US"/>
        </w:rPr>
        <w:t>” (</w:t>
      </w:r>
      <w:r w:rsidRPr="00382D74">
        <w:rPr>
          <w:rFonts w:ascii="Verdana" w:eastAsia="Calibri" w:hAnsi="Verdana" w:cs="Verdana"/>
          <w:i/>
          <w:sz w:val="20"/>
          <w:szCs w:val="20"/>
          <w:lang w:val="es-CR" w:eastAsia="en-US"/>
        </w:rPr>
        <w:t>infra</w:t>
      </w:r>
      <w:r w:rsidRPr="00382D74">
        <w:rPr>
          <w:rFonts w:ascii="Verdana" w:eastAsia="Calibri" w:hAnsi="Verdana" w:cs="Verdana"/>
          <w:sz w:val="20"/>
          <w:szCs w:val="20"/>
          <w:lang w:val="es-CR" w:eastAsia="en-US"/>
        </w:rPr>
        <w:t xml:space="preserve"> </w:t>
      </w:r>
      <w:r w:rsidR="008C7E6A">
        <w:rPr>
          <w:rFonts w:ascii="Verdana" w:eastAsia="Calibri" w:hAnsi="Verdana" w:cs="Verdana"/>
          <w:sz w:val="20"/>
          <w:szCs w:val="20"/>
          <w:lang w:val="es-CR" w:eastAsia="en-US"/>
        </w:rPr>
        <w:t xml:space="preserve">Considerandos </w:t>
      </w:r>
      <w:r w:rsidR="00E77895">
        <w:rPr>
          <w:rFonts w:ascii="Verdana" w:eastAsia="Calibri" w:hAnsi="Verdana" w:cs="Verdana"/>
          <w:sz w:val="20"/>
          <w:szCs w:val="20"/>
          <w:lang w:val="es-CR" w:eastAsia="en-US"/>
        </w:rPr>
        <w:t>5 y 6</w:t>
      </w:r>
      <w:r w:rsidR="00E77895" w:rsidRPr="008C7E6A">
        <w:rPr>
          <w:rFonts w:ascii="Verdana" w:eastAsia="Calibri" w:hAnsi="Verdana" w:cs="Verdana"/>
          <w:sz w:val="20"/>
          <w:szCs w:val="20"/>
          <w:lang w:val="es-CR" w:eastAsia="en-US"/>
        </w:rPr>
        <w:t>).</w:t>
      </w:r>
    </w:p>
    <w:p w:rsidR="00B931CD" w:rsidRDefault="00B931CD" w:rsidP="00B931CD">
      <w:pPr>
        <w:pStyle w:val="ListParagraph"/>
        <w:spacing w:after="0"/>
        <w:rPr>
          <w:rFonts w:ascii="Verdana" w:eastAsia="Calibri" w:hAnsi="Verdana" w:cs="Verdana"/>
          <w:sz w:val="20"/>
          <w:szCs w:val="20"/>
          <w:lang w:val="es-MX" w:eastAsia="en-US"/>
        </w:rPr>
      </w:pPr>
    </w:p>
    <w:p w:rsidR="00E13D0F" w:rsidRDefault="00382D74" w:rsidP="00A35DA6">
      <w:pPr>
        <w:numPr>
          <w:ilvl w:val="0"/>
          <w:numId w:val="1"/>
        </w:numPr>
        <w:autoSpaceDE w:val="0"/>
        <w:autoSpaceDN w:val="0"/>
        <w:adjustRightInd w:val="0"/>
        <w:spacing w:after="0" w:line="240" w:lineRule="auto"/>
        <w:ind w:left="0" w:right="18" w:firstLine="0"/>
        <w:jc w:val="both"/>
        <w:rPr>
          <w:rFonts w:ascii="Verdana" w:eastAsia="Calibri" w:hAnsi="Verdana" w:cs="Verdana"/>
          <w:sz w:val="20"/>
          <w:szCs w:val="20"/>
          <w:lang w:val="es-MX" w:eastAsia="en-US"/>
        </w:rPr>
      </w:pPr>
      <w:r w:rsidRPr="00382D74">
        <w:rPr>
          <w:rFonts w:ascii="Verdana" w:eastAsia="Calibri" w:hAnsi="Verdana" w:cs="Verdana"/>
          <w:sz w:val="20"/>
          <w:szCs w:val="20"/>
          <w:lang w:val="es-MX" w:eastAsia="en-US"/>
        </w:rPr>
        <w:t>Las notas de la Secretaría de la Corte Interamericana de Derechos Humanos (en adelante “la Secretaría</w:t>
      </w:r>
      <w:r w:rsidRPr="009A2DCD">
        <w:rPr>
          <w:rFonts w:ascii="Verdana" w:eastAsia="Calibri" w:hAnsi="Verdana" w:cs="Verdana"/>
          <w:sz w:val="20"/>
          <w:szCs w:val="20"/>
          <w:lang w:val="es-MX" w:eastAsia="en-US"/>
        </w:rPr>
        <w:t xml:space="preserve">”) </w:t>
      </w:r>
      <w:r w:rsidRPr="00F0795A">
        <w:rPr>
          <w:rFonts w:ascii="Verdana" w:eastAsia="Calibri" w:hAnsi="Verdana" w:cs="Verdana"/>
          <w:sz w:val="20"/>
          <w:szCs w:val="20"/>
          <w:lang w:val="es-MX" w:eastAsia="en-US"/>
        </w:rPr>
        <w:t>de</w:t>
      </w:r>
      <w:r w:rsidR="009A2DCD">
        <w:rPr>
          <w:rFonts w:ascii="Verdana" w:eastAsia="Calibri" w:hAnsi="Verdana" w:cs="Verdana"/>
          <w:sz w:val="20"/>
          <w:szCs w:val="20"/>
          <w:lang w:val="es-MX" w:eastAsia="en-US"/>
        </w:rPr>
        <w:t xml:space="preserve"> 3</w:t>
      </w:r>
      <w:r w:rsidRPr="00F0795A">
        <w:rPr>
          <w:rFonts w:ascii="Verdana" w:eastAsia="Calibri" w:hAnsi="Verdana" w:cs="Verdana"/>
          <w:sz w:val="20"/>
          <w:szCs w:val="20"/>
          <w:lang w:val="es-MX" w:eastAsia="en-US"/>
        </w:rPr>
        <w:t xml:space="preserve"> de mayo de 201</w:t>
      </w:r>
      <w:r w:rsidR="00D17CDD" w:rsidRPr="00F0795A">
        <w:rPr>
          <w:rFonts w:ascii="Verdana" w:eastAsia="Calibri" w:hAnsi="Verdana" w:cs="Verdana"/>
          <w:sz w:val="20"/>
          <w:szCs w:val="20"/>
          <w:lang w:val="es-MX" w:eastAsia="en-US"/>
        </w:rPr>
        <w:t>7</w:t>
      </w:r>
      <w:r w:rsidRPr="009A2DCD">
        <w:rPr>
          <w:rFonts w:ascii="Verdana" w:eastAsia="Calibri" w:hAnsi="Verdana" w:cs="Verdana"/>
          <w:sz w:val="20"/>
          <w:szCs w:val="20"/>
          <w:lang w:val="es-MX" w:eastAsia="en-US"/>
        </w:rPr>
        <w:t>, mediante</w:t>
      </w:r>
      <w:r w:rsidRPr="00382D74">
        <w:rPr>
          <w:rFonts w:ascii="Verdana" w:eastAsia="Calibri" w:hAnsi="Verdana" w:cs="Verdana"/>
          <w:sz w:val="20"/>
          <w:szCs w:val="20"/>
          <w:lang w:val="es-MX" w:eastAsia="en-US"/>
        </w:rPr>
        <w:t xml:space="preserve"> las cuales, siguiendo instrucciones del Presidente, comunicó a</w:t>
      </w:r>
      <w:r w:rsidR="00D17CDD">
        <w:rPr>
          <w:rFonts w:ascii="Verdana" w:eastAsia="Calibri" w:hAnsi="Verdana" w:cs="Verdana"/>
          <w:sz w:val="20"/>
          <w:szCs w:val="20"/>
          <w:lang w:val="es-MX" w:eastAsia="en-US"/>
        </w:rPr>
        <w:t xml:space="preserve"> </w:t>
      </w:r>
      <w:r w:rsidRPr="00382D74">
        <w:rPr>
          <w:rFonts w:ascii="Verdana" w:eastAsia="Calibri" w:hAnsi="Verdana" w:cs="Calibri"/>
          <w:sz w:val="20"/>
          <w:szCs w:val="20"/>
          <w:lang w:val="es-MX" w:eastAsia="en-US"/>
        </w:rPr>
        <w:t>l</w:t>
      </w:r>
      <w:r w:rsidR="00D17CDD">
        <w:rPr>
          <w:rFonts w:ascii="Verdana" w:eastAsia="Calibri" w:hAnsi="Verdana" w:cs="Calibri"/>
          <w:sz w:val="20"/>
          <w:szCs w:val="20"/>
          <w:lang w:val="es-MX" w:eastAsia="en-US"/>
        </w:rPr>
        <w:t>os</w:t>
      </w:r>
      <w:r w:rsidRPr="00382D74">
        <w:rPr>
          <w:rFonts w:ascii="Verdana" w:eastAsia="Calibri" w:hAnsi="Verdana" w:cs="Calibri"/>
          <w:sz w:val="20"/>
          <w:szCs w:val="20"/>
          <w:lang w:val="es-MX" w:eastAsia="en-US"/>
        </w:rPr>
        <w:t xml:space="preserve"> </w:t>
      </w:r>
      <w:r w:rsidR="00D17CDD" w:rsidRPr="00382D74">
        <w:rPr>
          <w:rFonts w:ascii="Verdana" w:eastAsia="Calibri" w:hAnsi="Verdana" w:cs="Calibri"/>
          <w:sz w:val="20"/>
          <w:szCs w:val="20"/>
          <w:lang w:val="es-MX" w:eastAsia="en-US"/>
        </w:rPr>
        <w:t xml:space="preserve">representantes </w:t>
      </w:r>
      <w:r w:rsidRPr="00382D74">
        <w:rPr>
          <w:rFonts w:ascii="Verdana" w:eastAsia="Calibri" w:hAnsi="Verdana" w:cs="Calibri"/>
          <w:sz w:val="20"/>
          <w:szCs w:val="20"/>
          <w:lang w:val="es-MX" w:eastAsia="en-US"/>
        </w:rPr>
        <w:t xml:space="preserve">y a la Comisión Interamericana que contaban con un plazo </w:t>
      </w:r>
      <w:r w:rsidRPr="009A2DCD">
        <w:rPr>
          <w:rFonts w:ascii="Verdana" w:eastAsia="Calibri" w:hAnsi="Verdana" w:cs="Calibri"/>
          <w:sz w:val="20"/>
          <w:szCs w:val="20"/>
          <w:lang w:val="es-MX" w:eastAsia="en-US"/>
        </w:rPr>
        <w:t xml:space="preserve">hasta </w:t>
      </w:r>
      <w:r w:rsidRPr="00F0795A">
        <w:rPr>
          <w:rFonts w:ascii="Verdana" w:eastAsia="Calibri" w:hAnsi="Verdana" w:cs="Calibri"/>
          <w:sz w:val="20"/>
          <w:szCs w:val="20"/>
          <w:lang w:val="es-MX" w:eastAsia="en-US"/>
        </w:rPr>
        <w:t xml:space="preserve">el </w:t>
      </w:r>
      <w:r w:rsidR="009A2DCD" w:rsidRPr="00F0795A">
        <w:rPr>
          <w:rFonts w:ascii="Verdana" w:eastAsia="Calibri" w:hAnsi="Verdana" w:cs="Calibri"/>
          <w:sz w:val="20"/>
          <w:szCs w:val="20"/>
          <w:lang w:val="es-MX" w:eastAsia="en-US"/>
        </w:rPr>
        <w:t>8</w:t>
      </w:r>
      <w:r w:rsidRPr="00F0795A">
        <w:rPr>
          <w:rFonts w:ascii="Verdana" w:eastAsia="Calibri" w:hAnsi="Verdana" w:cs="Calibri"/>
          <w:sz w:val="20"/>
          <w:szCs w:val="20"/>
          <w:lang w:val="es-MX" w:eastAsia="en-US"/>
        </w:rPr>
        <w:t xml:space="preserve"> de </w:t>
      </w:r>
      <w:r w:rsidR="0052176B" w:rsidRPr="00F0795A">
        <w:rPr>
          <w:rFonts w:ascii="Verdana" w:eastAsia="Calibri" w:hAnsi="Verdana" w:cs="Calibri"/>
          <w:sz w:val="20"/>
          <w:szCs w:val="20"/>
          <w:lang w:val="es-MX" w:eastAsia="en-US"/>
        </w:rPr>
        <w:t>mayo</w:t>
      </w:r>
      <w:r w:rsidRPr="00F0795A">
        <w:rPr>
          <w:rFonts w:ascii="Verdana" w:eastAsia="Calibri" w:hAnsi="Verdana" w:cs="Calibri"/>
          <w:sz w:val="20"/>
          <w:szCs w:val="20"/>
          <w:lang w:val="es-MX" w:eastAsia="en-US"/>
        </w:rPr>
        <w:t xml:space="preserve"> de 201</w:t>
      </w:r>
      <w:r w:rsidR="00D17CDD" w:rsidRPr="00F0795A">
        <w:rPr>
          <w:rFonts w:ascii="Verdana" w:eastAsia="Calibri" w:hAnsi="Verdana" w:cs="Calibri"/>
          <w:sz w:val="20"/>
          <w:szCs w:val="20"/>
          <w:lang w:val="es-MX" w:eastAsia="en-US"/>
        </w:rPr>
        <w:t>7</w:t>
      </w:r>
      <w:r w:rsidRPr="009A2DCD">
        <w:rPr>
          <w:rFonts w:ascii="Verdana" w:eastAsia="Calibri" w:hAnsi="Verdana" w:cs="Calibri"/>
          <w:sz w:val="20"/>
          <w:szCs w:val="20"/>
          <w:lang w:val="es-MX" w:eastAsia="en-US"/>
        </w:rPr>
        <w:t>, para que presentaran sus observaciones a la “solicitud de reco</w:t>
      </w:r>
      <w:r w:rsidR="00D17CDD" w:rsidRPr="009A2DCD">
        <w:rPr>
          <w:rFonts w:ascii="Verdana" w:eastAsia="Calibri" w:hAnsi="Verdana" w:cs="Calibri"/>
          <w:sz w:val="20"/>
          <w:szCs w:val="20"/>
          <w:lang w:val="es-MX" w:eastAsia="en-US"/>
        </w:rPr>
        <w:t>nsideración” interpuesta por el Estado.</w:t>
      </w:r>
    </w:p>
    <w:p w:rsidR="00E13D0F" w:rsidRPr="00382D74" w:rsidRDefault="00E13D0F" w:rsidP="00A35DA6">
      <w:pPr>
        <w:autoSpaceDE w:val="0"/>
        <w:autoSpaceDN w:val="0"/>
        <w:adjustRightInd w:val="0"/>
        <w:spacing w:after="0" w:line="240" w:lineRule="auto"/>
        <w:ind w:right="18"/>
        <w:jc w:val="both"/>
        <w:rPr>
          <w:rFonts w:ascii="Verdana" w:eastAsia="Calibri" w:hAnsi="Verdana" w:cs="Verdana"/>
          <w:sz w:val="20"/>
          <w:szCs w:val="20"/>
          <w:lang w:val="es-MX" w:eastAsia="en-US"/>
        </w:rPr>
      </w:pPr>
    </w:p>
    <w:p w:rsidR="00382D74" w:rsidRPr="00C5676D" w:rsidRDefault="00382D74" w:rsidP="00A35DA6">
      <w:pPr>
        <w:numPr>
          <w:ilvl w:val="0"/>
          <w:numId w:val="1"/>
        </w:numPr>
        <w:autoSpaceDE w:val="0"/>
        <w:autoSpaceDN w:val="0"/>
        <w:adjustRightInd w:val="0"/>
        <w:spacing w:after="0" w:line="240" w:lineRule="auto"/>
        <w:ind w:left="0" w:right="18" w:firstLine="0"/>
        <w:jc w:val="both"/>
        <w:rPr>
          <w:rFonts w:ascii="Verdana" w:eastAsia="Calibri" w:hAnsi="Verdana" w:cs="Verdana"/>
          <w:sz w:val="20"/>
          <w:szCs w:val="20"/>
          <w:lang w:val="es-MX" w:eastAsia="en-US"/>
        </w:rPr>
      </w:pPr>
      <w:r w:rsidRPr="00A35DA6">
        <w:rPr>
          <w:rFonts w:ascii="Verdana" w:eastAsia="Calibri" w:hAnsi="Verdana" w:cs="Verdana"/>
          <w:sz w:val="20"/>
          <w:szCs w:val="20"/>
          <w:lang w:val="es-MX" w:eastAsia="en-US"/>
        </w:rPr>
        <w:t xml:space="preserve">El escrito de </w:t>
      </w:r>
      <w:r w:rsidR="00E13D0F" w:rsidRPr="00A35DA6">
        <w:rPr>
          <w:rFonts w:ascii="Verdana" w:eastAsia="Calibri" w:hAnsi="Verdana" w:cs="Verdana"/>
          <w:sz w:val="20"/>
          <w:szCs w:val="20"/>
          <w:lang w:val="es-MX" w:eastAsia="en-US"/>
        </w:rPr>
        <w:t xml:space="preserve">8 </w:t>
      </w:r>
      <w:r w:rsidRPr="00A35DA6">
        <w:rPr>
          <w:rFonts w:ascii="Verdana" w:eastAsia="Calibri" w:hAnsi="Verdana" w:cs="Verdana"/>
          <w:sz w:val="20"/>
          <w:szCs w:val="20"/>
          <w:lang w:val="es-MX" w:eastAsia="en-US"/>
        </w:rPr>
        <w:t xml:space="preserve">de </w:t>
      </w:r>
      <w:r w:rsidR="00D17CDD" w:rsidRPr="00A35DA6">
        <w:rPr>
          <w:rFonts w:ascii="Verdana" w:eastAsia="Calibri" w:hAnsi="Verdana" w:cs="Verdana"/>
          <w:sz w:val="20"/>
          <w:szCs w:val="20"/>
          <w:lang w:val="es-MX" w:eastAsia="en-US"/>
        </w:rPr>
        <w:t>mayo</w:t>
      </w:r>
      <w:r w:rsidRPr="00A35DA6">
        <w:rPr>
          <w:rFonts w:ascii="Verdana" w:eastAsia="Calibri" w:hAnsi="Verdana" w:cs="Verdana"/>
          <w:sz w:val="20"/>
          <w:szCs w:val="20"/>
          <w:lang w:val="es-MX" w:eastAsia="en-US"/>
        </w:rPr>
        <w:t xml:space="preserve"> de 201</w:t>
      </w:r>
      <w:r w:rsidR="00D17CDD" w:rsidRPr="00A35DA6">
        <w:rPr>
          <w:rFonts w:ascii="Verdana" w:eastAsia="Calibri" w:hAnsi="Verdana" w:cs="Verdana"/>
          <w:sz w:val="20"/>
          <w:szCs w:val="20"/>
          <w:lang w:val="es-MX" w:eastAsia="en-US"/>
        </w:rPr>
        <w:t>7</w:t>
      </w:r>
      <w:r w:rsidRPr="00A35DA6">
        <w:rPr>
          <w:rFonts w:ascii="Verdana" w:eastAsia="Calibri" w:hAnsi="Verdana" w:cs="Verdana"/>
          <w:sz w:val="20"/>
          <w:szCs w:val="20"/>
          <w:lang w:val="es-MX" w:eastAsia="en-US"/>
        </w:rPr>
        <w:t xml:space="preserve">, por medio del cual </w:t>
      </w:r>
      <w:r w:rsidR="00AB6351" w:rsidRPr="00A35DA6">
        <w:rPr>
          <w:rFonts w:ascii="Verdana" w:eastAsia="Calibri" w:hAnsi="Verdana" w:cs="Verdana"/>
          <w:sz w:val="20"/>
          <w:szCs w:val="20"/>
          <w:lang w:val="es-MX" w:eastAsia="en-US"/>
        </w:rPr>
        <w:t>los representantes</w:t>
      </w:r>
      <w:r w:rsidR="00D17CDD" w:rsidRPr="00A35DA6">
        <w:rPr>
          <w:rFonts w:ascii="Verdana" w:eastAsia="Calibri" w:hAnsi="Verdana" w:cs="Verdana"/>
          <w:sz w:val="20"/>
          <w:szCs w:val="20"/>
          <w:lang w:val="es-MX" w:eastAsia="en-US"/>
        </w:rPr>
        <w:t xml:space="preserve"> pidi</w:t>
      </w:r>
      <w:r w:rsidR="00AB6351" w:rsidRPr="00A35DA6">
        <w:rPr>
          <w:rFonts w:ascii="Verdana" w:eastAsia="Calibri" w:hAnsi="Verdana" w:cs="Verdana"/>
          <w:sz w:val="20"/>
          <w:szCs w:val="20"/>
          <w:lang w:val="es-MX" w:eastAsia="en-US"/>
        </w:rPr>
        <w:t>eron</w:t>
      </w:r>
      <w:r w:rsidR="00D17CDD" w:rsidRPr="00A35DA6">
        <w:rPr>
          <w:rFonts w:ascii="Verdana" w:eastAsia="Calibri" w:hAnsi="Verdana" w:cs="Verdana"/>
          <w:sz w:val="20"/>
          <w:szCs w:val="20"/>
          <w:lang w:val="es-MX" w:eastAsia="en-US"/>
        </w:rPr>
        <w:t xml:space="preserve"> que se “</w:t>
      </w:r>
      <w:r w:rsidRPr="00A35DA6">
        <w:rPr>
          <w:rFonts w:ascii="Verdana" w:eastAsia="Calibri" w:hAnsi="Verdana" w:cs="Verdana"/>
          <w:sz w:val="20"/>
          <w:szCs w:val="20"/>
          <w:lang w:val="es-MX" w:eastAsia="en-US"/>
        </w:rPr>
        <w:t>desesti</w:t>
      </w:r>
      <w:r w:rsidR="00D17CDD" w:rsidRPr="00A35DA6">
        <w:rPr>
          <w:rFonts w:ascii="Verdana" w:eastAsia="Calibri" w:hAnsi="Verdana" w:cs="Verdana"/>
          <w:sz w:val="20"/>
          <w:szCs w:val="20"/>
          <w:lang w:val="es-MX" w:eastAsia="en-US"/>
        </w:rPr>
        <w:t>m</w:t>
      </w:r>
      <w:r w:rsidRPr="00A35DA6">
        <w:rPr>
          <w:rFonts w:ascii="Verdana" w:eastAsia="Calibri" w:hAnsi="Verdana" w:cs="Verdana"/>
          <w:sz w:val="20"/>
          <w:szCs w:val="20"/>
          <w:lang w:val="es-MX" w:eastAsia="en-US"/>
        </w:rPr>
        <w:t xml:space="preserve">e </w:t>
      </w:r>
      <w:r w:rsidR="00E13D0F" w:rsidRPr="00A35DA6">
        <w:rPr>
          <w:rFonts w:ascii="Verdana" w:eastAsia="Calibri" w:hAnsi="Verdana" w:cs="Verdana"/>
          <w:sz w:val="20"/>
          <w:szCs w:val="20"/>
          <w:lang w:val="es-MX" w:eastAsia="en-US"/>
        </w:rPr>
        <w:t>la solicitud de reconsideración”</w:t>
      </w:r>
      <w:r w:rsidRPr="00A35DA6">
        <w:rPr>
          <w:rFonts w:ascii="Verdana" w:eastAsia="Calibri" w:hAnsi="Verdana" w:cs="Verdana"/>
          <w:sz w:val="20"/>
          <w:szCs w:val="20"/>
          <w:lang w:val="es-MX" w:eastAsia="en-US"/>
        </w:rPr>
        <w:t xml:space="preserve"> presentad</w:t>
      </w:r>
      <w:r w:rsidR="00E13D0F" w:rsidRPr="00A35DA6">
        <w:rPr>
          <w:rFonts w:ascii="Verdana" w:eastAsia="Calibri" w:hAnsi="Verdana" w:cs="Verdana"/>
          <w:sz w:val="20"/>
          <w:szCs w:val="20"/>
          <w:lang w:val="es-MX" w:eastAsia="en-US"/>
        </w:rPr>
        <w:t>a</w:t>
      </w:r>
      <w:r w:rsidRPr="00A35DA6">
        <w:rPr>
          <w:rFonts w:ascii="Verdana" w:eastAsia="Calibri" w:hAnsi="Verdana" w:cs="Verdana"/>
          <w:sz w:val="20"/>
          <w:szCs w:val="20"/>
          <w:lang w:val="es-MX" w:eastAsia="en-US"/>
        </w:rPr>
        <w:t xml:space="preserve"> por </w:t>
      </w:r>
      <w:r w:rsidR="00D17CDD" w:rsidRPr="00A35DA6">
        <w:rPr>
          <w:rFonts w:ascii="Verdana" w:eastAsia="Calibri" w:hAnsi="Verdana" w:cs="Verdana"/>
          <w:sz w:val="20"/>
          <w:szCs w:val="20"/>
          <w:lang w:val="es-MX" w:eastAsia="en-US"/>
        </w:rPr>
        <w:t>el Estado</w:t>
      </w:r>
      <w:r w:rsidR="00A35DA6" w:rsidRPr="00A35DA6">
        <w:rPr>
          <w:rFonts w:ascii="Verdana" w:eastAsia="Calibri" w:hAnsi="Verdana" w:cs="Verdana"/>
          <w:sz w:val="20"/>
          <w:szCs w:val="20"/>
          <w:lang w:val="es-MX" w:eastAsia="en-US"/>
        </w:rPr>
        <w:t>. Además</w:t>
      </w:r>
      <w:r w:rsidR="00E13D0F" w:rsidRPr="00A35DA6">
        <w:rPr>
          <w:rFonts w:ascii="Verdana" w:eastAsia="Calibri" w:hAnsi="Verdana" w:cs="Verdana"/>
          <w:sz w:val="20"/>
          <w:szCs w:val="20"/>
          <w:lang w:val="es-MX" w:eastAsia="en-US"/>
        </w:rPr>
        <w:t xml:space="preserve"> manifestaron que “debido a su situación de salud actual, la señora Fabiola Álvarez Solano no</w:t>
      </w:r>
      <w:r w:rsidR="00E13D0F" w:rsidRPr="00CB3C40">
        <w:rPr>
          <w:rFonts w:ascii="Verdana" w:eastAsia="Calibri" w:hAnsi="Verdana" w:cs="Verdana"/>
          <w:sz w:val="20"/>
          <w:szCs w:val="20"/>
          <w:lang w:val="es-MX" w:eastAsia="en-US"/>
        </w:rPr>
        <w:t xml:space="preserve"> puede atender la convocatoria a la audiencia</w:t>
      </w:r>
      <w:r w:rsidR="00E13D0F">
        <w:rPr>
          <w:rFonts w:ascii="Verdana" w:eastAsia="Calibri" w:hAnsi="Verdana" w:cs="Verdana"/>
          <w:sz w:val="20"/>
          <w:szCs w:val="20"/>
          <w:lang w:val="es-MX" w:eastAsia="en-US"/>
        </w:rPr>
        <w:t xml:space="preserve"> </w:t>
      </w:r>
      <w:r w:rsidR="00E13D0F" w:rsidRPr="00CB3C40">
        <w:rPr>
          <w:rFonts w:ascii="Verdana" w:eastAsia="Calibri" w:hAnsi="Verdana" w:cs="Verdana"/>
          <w:sz w:val="20"/>
          <w:szCs w:val="20"/>
          <w:lang w:val="es-MX" w:eastAsia="en-US"/>
        </w:rPr>
        <w:t>pública</w:t>
      </w:r>
      <w:r w:rsidR="00E13D0F">
        <w:rPr>
          <w:rFonts w:ascii="Verdana" w:eastAsia="Calibri" w:hAnsi="Verdana" w:cs="Verdana"/>
          <w:sz w:val="20"/>
          <w:szCs w:val="20"/>
          <w:lang w:val="es-MX" w:eastAsia="en-US"/>
        </w:rPr>
        <w:t xml:space="preserve">”. </w:t>
      </w:r>
      <w:r w:rsidRPr="00CB3C40">
        <w:rPr>
          <w:rFonts w:ascii="Verdana" w:eastAsia="Calibri" w:hAnsi="Verdana" w:cs="Verdana"/>
          <w:sz w:val="20"/>
          <w:szCs w:val="20"/>
          <w:lang w:val="es-MX" w:eastAsia="en-US"/>
        </w:rPr>
        <w:t xml:space="preserve"> </w:t>
      </w:r>
    </w:p>
    <w:p w:rsidR="00382D74" w:rsidRPr="00382D74" w:rsidRDefault="00382D74" w:rsidP="00051657">
      <w:pPr>
        <w:widowControl w:val="0"/>
        <w:autoSpaceDE w:val="0"/>
        <w:autoSpaceDN w:val="0"/>
        <w:adjustRightInd w:val="0"/>
        <w:spacing w:after="0" w:line="240" w:lineRule="auto"/>
        <w:ind w:right="22"/>
        <w:jc w:val="both"/>
        <w:rPr>
          <w:rFonts w:ascii="Verdana" w:eastAsia="Calibri" w:hAnsi="Verdana" w:cs="Verdana"/>
          <w:sz w:val="20"/>
          <w:szCs w:val="20"/>
          <w:lang w:val="es-MX" w:eastAsia="en-US"/>
        </w:rPr>
      </w:pPr>
    </w:p>
    <w:p w:rsidR="00382D74" w:rsidRPr="00382D74" w:rsidRDefault="00382D74" w:rsidP="00051657">
      <w:pPr>
        <w:numPr>
          <w:ilvl w:val="0"/>
          <w:numId w:val="1"/>
        </w:numPr>
        <w:autoSpaceDE w:val="0"/>
        <w:autoSpaceDN w:val="0"/>
        <w:adjustRightInd w:val="0"/>
        <w:spacing w:after="0" w:line="240" w:lineRule="auto"/>
        <w:ind w:left="0" w:right="18" w:firstLine="0"/>
        <w:jc w:val="both"/>
        <w:rPr>
          <w:rFonts w:ascii="Verdana" w:eastAsia="Calibri" w:hAnsi="Verdana" w:cs="Verdana"/>
          <w:sz w:val="20"/>
          <w:szCs w:val="20"/>
          <w:lang w:val="es-MX" w:eastAsia="en-US"/>
        </w:rPr>
      </w:pPr>
      <w:r w:rsidRPr="00382D74">
        <w:rPr>
          <w:rFonts w:ascii="Verdana" w:eastAsia="Calibri" w:hAnsi="Verdana" w:cs="Verdana"/>
          <w:sz w:val="20"/>
          <w:szCs w:val="20"/>
          <w:lang w:val="es-MX" w:eastAsia="en-US"/>
        </w:rPr>
        <w:t xml:space="preserve">El escrito </w:t>
      </w:r>
      <w:r w:rsidR="00B931CD" w:rsidRPr="00A35DA6">
        <w:rPr>
          <w:rFonts w:ascii="Verdana" w:eastAsia="Calibri" w:hAnsi="Verdana" w:cs="Verdana"/>
          <w:sz w:val="20"/>
          <w:szCs w:val="20"/>
          <w:lang w:val="es-MX" w:eastAsia="en-US"/>
        </w:rPr>
        <w:t xml:space="preserve">de 8 </w:t>
      </w:r>
      <w:r w:rsidRPr="00A35DA6">
        <w:rPr>
          <w:rFonts w:ascii="Verdana" w:eastAsia="Calibri" w:hAnsi="Verdana" w:cs="Verdana"/>
          <w:sz w:val="20"/>
          <w:szCs w:val="20"/>
          <w:lang w:val="es-MX" w:eastAsia="en-US"/>
        </w:rPr>
        <w:t xml:space="preserve">de </w:t>
      </w:r>
      <w:r w:rsidR="00AB6351" w:rsidRPr="00A35DA6">
        <w:rPr>
          <w:rFonts w:ascii="Verdana" w:eastAsia="Calibri" w:hAnsi="Verdana" w:cs="Verdana"/>
          <w:sz w:val="20"/>
          <w:szCs w:val="20"/>
          <w:lang w:val="es-MX" w:eastAsia="en-US"/>
        </w:rPr>
        <w:t>mayo</w:t>
      </w:r>
      <w:r w:rsidRPr="00A35DA6">
        <w:rPr>
          <w:rFonts w:ascii="Verdana" w:eastAsia="Calibri" w:hAnsi="Verdana" w:cs="Verdana"/>
          <w:sz w:val="20"/>
          <w:szCs w:val="20"/>
          <w:lang w:val="es-MX" w:eastAsia="en-US"/>
        </w:rPr>
        <w:t xml:space="preserve"> de 201</w:t>
      </w:r>
      <w:r w:rsidR="00AB6351" w:rsidRPr="00A35DA6">
        <w:rPr>
          <w:rFonts w:ascii="Verdana" w:eastAsia="Calibri" w:hAnsi="Verdana" w:cs="Verdana"/>
          <w:sz w:val="20"/>
          <w:szCs w:val="20"/>
          <w:lang w:val="es-MX" w:eastAsia="en-US"/>
        </w:rPr>
        <w:t>7</w:t>
      </w:r>
      <w:r w:rsidRPr="00A35DA6">
        <w:rPr>
          <w:rFonts w:ascii="Verdana" w:eastAsia="Calibri" w:hAnsi="Verdana" w:cs="Verdana"/>
          <w:sz w:val="20"/>
          <w:szCs w:val="20"/>
          <w:lang w:val="es-MX" w:eastAsia="en-US"/>
        </w:rPr>
        <w:t xml:space="preserve"> </w:t>
      </w:r>
      <w:r w:rsidR="00D50FE5">
        <w:rPr>
          <w:rFonts w:ascii="Verdana" w:eastAsia="Calibri" w:hAnsi="Verdana" w:cs="Verdana"/>
          <w:sz w:val="20"/>
          <w:szCs w:val="20"/>
          <w:lang w:val="es-MX" w:eastAsia="en-US"/>
        </w:rPr>
        <w:t>presentado el 9 de mayo de 2017</w:t>
      </w:r>
      <w:r w:rsidR="00D50FE5" w:rsidRPr="00D50FE5">
        <w:rPr>
          <w:rFonts w:ascii="Verdana" w:eastAsia="Calibri" w:hAnsi="Verdana" w:cs="Verdana"/>
          <w:sz w:val="20"/>
          <w:szCs w:val="20"/>
          <w:lang w:val="es-MX" w:eastAsia="en-US"/>
        </w:rPr>
        <w:t xml:space="preserve"> </w:t>
      </w:r>
      <w:r w:rsidR="00D50FE5">
        <w:rPr>
          <w:rFonts w:ascii="Verdana" w:eastAsia="Calibri" w:hAnsi="Verdana" w:cs="Verdana"/>
          <w:sz w:val="20"/>
          <w:szCs w:val="20"/>
          <w:lang w:val="es-MX" w:eastAsia="en-US"/>
        </w:rPr>
        <w:t>por</w:t>
      </w:r>
      <w:r w:rsidR="00D50FE5" w:rsidRPr="00A35DA6">
        <w:rPr>
          <w:rFonts w:ascii="Verdana" w:eastAsia="Calibri" w:hAnsi="Verdana" w:cs="Verdana"/>
          <w:sz w:val="20"/>
          <w:szCs w:val="20"/>
          <w:lang w:val="es-MX" w:eastAsia="en-US"/>
        </w:rPr>
        <w:t xml:space="preserve"> la Comisión Interamericana</w:t>
      </w:r>
      <w:r w:rsidR="00D50FE5">
        <w:rPr>
          <w:rFonts w:ascii="Verdana" w:eastAsia="Calibri" w:hAnsi="Verdana" w:cs="Verdana"/>
          <w:sz w:val="20"/>
          <w:szCs w:val="20"/>
          <w:lang w:val="es-MX" w:eastAsia="en-US"/>
        </w:rPr>
        <w:t>, luego que venciera el plazo otorgado al efecto (</w:t>
      </w:r>
      <w:r w:rsidR="00D50FE5" w:rsidRPr="003C4B4F">
        <w:rPr>
          <w:rFonts w:ascii="Verdana" w:eastAsia="Calibri" w:hAnsi="Verdana" w:cs="Verdana"/>
          <w:i/>
          <w:sz w:val="20"/>
          <w:szCs w:val="20"/>
          <w:lang w:val="es-MX" w:eastAsia="en-US"/>
        </w:rPr>
        <w:t>supra</w:t>
      </w:r>
      <w:r w:rsidR="00D50FE5">
        <w:rPr>
          <w:rFonts w:ascii="Verdana" w:eastAsia="Calibri" w:hAnsi="Verdana" w:cs="Verdana"/>
          <w:sz w:val="20"/>
          <w:szCs w:val="20"/>
          <w:lang w:val="es-MX" w:eastAsia="en-US"/>
        </w:rPr>
        <w:t xml:space="preserve"> Visto 3)</w:t>
      </w:r>
      <w:r w:rsidR="00B931CD">
        <w:rPr>
          <w:rFonts w:ascii="Verdana" w:eastAsia="Calibri" w:hAnsi="Verdana" w:cs="Verdana"/>
          <w:sz w:val="20"/>
          <w:szCs w:val="20"/>
          <w:lang w:val="es-MX" w:eastAsia="en-US"/>
        </w:rPr>
        <w:t xml:space="preserve">. </w:t>
      </w:r>
    </w:p>
    <w:p w:rsidR="0084013E" w:rsidRDefault="0084013E" w:rsidP="00382D74">
      <w:pPr>
        <w:spacing w:after="0"/>
        <w:rPr>
          <w:rFonts w:ascii="Verdana" w:eastAsia="Calibri" w:hAnsi="Verdana" w:cs="Verdana"/>
          <w:b/>
          <w:bCs/>
          <w:sz w:val="20"/>
          <w:szCs w:val="20"/>
          <w:lang w:val="es-CR" w:eastAsia="en-US"/>
        </w:rPr>
      </w:pPr>
    </w:p>
    <w:p w:rsidR="00382D74" w:rsidRPr="00382D74" w:rsidRDefault="00382D74" w:rsidP="00382D74">
      <w:pPr>
        <w:spacing w:after="0"/>
        <w:rPr>
          <w:rFonts w:ascii="Verdana" w:eastAsia="Calibri" w:hAnsi="Verdana" w:cs="Verdana"/>
          <w:b/>
          <w:bCs/>
          <w:sz w:val="20"/>
          <w:szCs w:val="20"/>
          <w:lang w:val="es-CR" w:eastAsia="en-US"/>
        </w:rPr>
      </w:pPr>
      <w:r w:rsidRPr="00382D74">
        <w:rPr>
          <w:rFonts w:ascii="Verdana" w:eastAsia="Calibri" w:hAnsi="Verdana" w:cs="Verdana"/>
          <w:b/>
          <w:bCs/>
          <w:sz w:val="20"/>
          <w:szCs w:val="20"/>
          <w:lang w:val="es-CR" w:eastAsia="en-US"/>
        </w:rPr>
        <w:t>CONSIDERANDO QUE:</w:t>
      </w:r>
    </w:p>
    <w:p w:rsidR="00382D74" w:rsidRPr="00382D74" w:rsidRDefault="00382D74" w:rsidP="00382D74">
      <w:pPr>
        <w:spacing w:after="0"/>
        <w:rPr>
          <w:rFonts w:ascii="Verdana" w:eastAsia="Calibri" w:hAnsi="Verdana" w:cs="Verdana"/>
          <w:b/>
          <w:bCs/>
          <w:sz w:val="20"/>
          <w:szCs w:val="20"/>
          <w:lang w:val="es-CR" w:eastAsia="en-US"/>
        </w:rPr>
      </w:pPr>
    </w:p>
    <w:p w:rsidR="00382D74" w:rsidRPr="00382D74" w:rsidRDefault="00382D74" w:rsidP="003C4B4F">
      <w:pPr>
        <w:numPr>
          <w:ilvl w:val="0"/>
          <w:numId w:val="2"/>
        </w:numPr>
        <w:tabs>
          <w:tab w:val="clear" w:pos="680"/>
        </w:tabs>
        <w:spacing w:after="0" w:line="240" w:lineRule="auto"/>
        <w:ind w:right="18"/>
        <w:jc w:val="both"/>
        <w:rPr>
          <w:rFonts w:ascii="Verdana" w:eastAsia="Calibri" w:hAnsi="Verdana" w:cs="Verdana"/>
          <w:sz w:val="20"/>
          <w:szCs w:val="20"/>
          <w:lang w:val="es-MX" w:eastAsia="en-US"/>
        </w:rPr>
      </w:pPr>
      <w:r w:rsidRPr="00382D74">
        <w:rPr>
          <w:rFonts w:ascii="Verdana" w:eastAsia="Calibri" w:hAnsi="Verdana" w:cs="Verdana"/>
          <w:sz w:val="20"/>
          <w:szCs w:val="20"/>
          <w:lang w:val="es-MX" w:eastAsia="en-US"/>
        </w:rPr>
        <w:t>Las decisiones del Presidente, que no sean de mero trámite, son recurribles ante la Corte Interamericana de Derechos Humanos (en adelante “la Corte” o “el Tribunal”</w:t>
      </w:r>
      <w:r w:rsidR="009A2DCD">
        <w:rPr>
          <w:rFonts w:ascii="Verdana" w:eastAsia="Calibri" w:hAnsi="Verdana" w:cs="Verdana"/>
          <w:sz w:val="20"/>
          <w:szCs w:val="20"/>
          <w:lang w:val="es-MX" w:eastAsia="en-US"/>
        </w:rPr>
        <w:t>)</w:t>
      </w:r>
      <w:r w:rsidRPr="00382D74">
        <w:rPr>
          <w:rFonts w:ascii="Verdana" w:eastAsia="Calibri" w:hAnsi="Verdana" w:cs="Verdana"/>
          <w:sz w:val="20"/>
          <w:szCs w:val="20"/>
          <w:lang w:val="es-MX" w:eastAsia="en-US"/>
        </w:rPr>
        <w:t>, en los términos del artículo 31.2 del Reglamento de este Tribunal</w:t>
      </w:r>
      <w:r w:rsidRPr="00382D74">
        <w:rPr>
          <w:rFonts w:ascii="Verdana" w:eastAsia="Calibri" w:hAnsi="Verdana" w:cs="Verdana"/>
          <w:sz w:val="20"/>
          <w:szCs w:val="20"/>
          <w:lang w:val="es-CR" w:eastAsia="en-US"/>
        </w:rPr>
        <w:t xml:space="preserve"> (en adelante “el Reglamento”).</w:t>
      </w:r>
    </w:p>
    <w:p w:rsidR="00382D74" w:rsidRPr="00382D74" w:rsidRDefault="00382D74" w:rsidP="00382D74">
      <w:pPr>
        <w:spacing w:after="0" w:line="240" w:lineRule="auto"/>
        <w:ind w:right="18"/>
        <w:jc w:val="both"/>
        <w:rPr>
          <w:rFonts w:ascii="Verdana" w:eastAsia="Calibri" w:hAnsi="Verdana" w:cs="Verdana"/>
          <w:sz w:val="20"/>
          <w:szCs w:val="20"/>
          <w:lang w:val="es-MX" w:eastAsia="en-US"/>
        </w:rPr>
      </w:pPr>
    </w:p>
    <w:p w:rsidR="00382D74" w:rsidRPr="00382D74" w:rsidRDefault="00382D74" w:rsidP="00382D74">
      <w:pPr>
        <w:numPr>
          <w:ilvl w:val="0"/>
          <w:numId w:val="2"/>
        </w:numPr>
        <w:spacing w:after="0" w:line="240" w:lineRule="auto"/>
        <w:ind w:right="18"/>
        <w:jc w:val="both"/>
        <w:rPr>
          <w:rFonts w:ascii="Verdana" w:eastAsia="Calibri" w:hAnsi="Verdana" w:cs="Verdana"/>
          <w:strike/>
          <w:sz w:val="20"/>
          <w:szCs w:val="20"/>
          <w:lang w:val="es-MX" w:eastAsia="en-US"/>
        </w:rPr>
      </w:pPr>
      <w:r w:rsidRPr="00382D74">
        <w:rPr>
          <w:rFonts w:ascii="Verdana" w:eastAsia="Calibri" w:hAnsi="Verdana" w:cs="Verdana"/>
          <w:sz w:val="20"/>
          <w:szCs w:val="20"/>
          <w:lang w:val="es-ES" w:eastAsia="en-US"/>
        </w:rPr>
        <w:lastRenderedPageBreak/>
        <w:t>La Corte tiene amplias facultades en cuanto a la admisión y a la modalidad de recepción de la prueba, de conformidad con los artículos 50</w:t>
      </w:r>
      <w:r w:rsidR="00ED6832">
        <w:rPr>
          <w:rFonts w:ascii="Verdana" w:eastAsia="Calibri" w:hAnsi="Verdana" w:cs="Verdana"/>
          <w:sz w:val="20"/>
          <w:szCs w:val="20"/>
          <w:lang w:val="es-ES" w:eastAsia="en-US"/>
        </w:rPr>
        <w:t xml:space="preserve"> y</w:t>
      </w:r>
      <w:r w:rsidRPr="00382D74">
        <w:rPr>
          <w:rFonts w:ascii="Verdana" w:eastAsia="Calibri" w:hAnsi="Verdana" w:cs="Verdana"/>
          <w:sz w:val="20"/>
          <w:szCs w:val="20"/>
          <w:lang w:val="es-ES" w:eastAsia="en-US"/>
        </w:rPr>
        <w:t xml:space="preserve"> 57 del Reglamento.  </w:t>
      </w:r>
    </w:p>
    <w:p w:rsidR="004E2EE7" w:rsidRPr="00382D74" w:rsidRDefault="004E2EE7" w:rsidP="00382D74">
      <w:pPr>
        <w:spacing w:after="0" w:line="240" w:lineRule="auto"/>
        <w:ind w:right="18"/>
        <w:jc w:val="both"/>
        <w:rPr>
          <w:rFonts w:ascii="Verdana" w:eastAsia="Calibri" w:hAnsi="Verdana" w:cs="Verdana"/>
          <w:strike/>
          <w:sz w:val="20"/>
          <w:szCs w:val="20"/>
          <w:lang w:val="es-MX" w:eastAsia="en-US"/>
        </w:rPr>
      </w:pPr>
    </w:p>
    <w:p w:rsidR="00382D74" w:rsidRPr="00382D74" w:rsidRDefault="00382D74" w:rsidP="00382D74">
      <w:pPr>
        <w:widowControl w:val="0"/>
        <w:numPr>
          <w:ilvl w:val="0"/>
          <w:numId w:val="3"/>
        </w:numPr>
        <w:autoSpaceDE w:val="0"/>
        <w:autoSpaceDN w:val="0"/>
        <w:adjustRightInd w:val="0"/>
        <w:spacing w:after="0" w:line="240" w:lineRule="auto"/>
        <w:ind w:right="18"/>
        <w:jc w:val="both"/>
        <w:rPr>
          <w:rFonts w:ascii="Verdana" w:eastAsia="Calibri" w:hAnsi="Verdana" w:cs="Verdana"/>
          <w:i/>
          <w:sz w:val="20"/>
          <w:szCs w:val="20"/>
          <w:lang w:val="es-MX" w:eastAsia="en-US"/>
        </w:rPr>
      </w:pPr>
      <w:r w:rsidRPr="00382D74">
        <w:rPr>
          <w:rFonts w:ascii="Verdana" w:eastAsia="Calibri" w:hAnsi="Verdana" w:cs="Verdana"/>
          <w:b/>
          <w:i/>
          <w:sz w:val="20"/>
          <w:szCs w:val="20"/>
          <w:lang w:val="es-MX" w:eastAsia="en-US"/>
        </w:rPr>
        <w:t xml:space="preserve">Sobre el recurso interpuesto por </w:t>
      </w:r>
      <w:r w:rsidR="0084013E">
        <w:rPr>
          <w:rFonts w:ascii="Verdana" w:eastAsia="Calibri" w:hAnsi="Verdana" w:cs="Verdana"/>
          <w:b/>
          <w:i/>
          <w:sz w:val="20"/>
          <w:szCs w:val="20"/>
          <w:lang w:val="es-MX" w:eastAsia="en-US"/>
        </w:rPr>
        <w:t>el Estado</w:t>
      </w:r>
      <w:r w:rsidRPr="00382D74">
        <w:rPr>
          <w:rFonts w:ascii="Verdana" w:eastAsia="Calibri" w:hAnsi="Verdana" w:cs="Verdana"/>
          <w:i/>
          <w:sz w:val="20"/>
          <w:szCs w:val="20"/>
          <w:lang w:val="es-MX" w:eastAsia="en-US"/>
        </w:rPr>
        <w:t xml:space="preserve"> </w:t>
      </w:r>
    </w:p>
    <w:p w:rsidR="00382D74" w:rsidRPr="00382D74" w:rsidRDefault="00382D74" w:rsidP="00382D74">
      <w:pPr>
        <w:widowControl w:val="0"/>
        <w:autoSpaceDE w:val="0"/>
        <w:autoSpaceDN w:val="0"/>
        <w:adjustRightInd w:val="0"/>
        <w:spacing w:after="0" w:line="240" w:lineRule="auto"/>
        <w:ind w:right="18"/>
        <w:jc w:val="both"/>
        <w:rPr>
          <w:rFonts w:ascii="Verdana" w:eastAsia="Calibri" w:hAnsi="Verdana" w:cs="Verdana"/>
          <w:sz w:val="20"/>
          <w:szCs w:val="20"/>
          <w:lang w:val="es-MX" w:eastAsia="en-US"/>
        </w:rPr>
      </w:pPr>
    </w:p>
    <w:p w:rsidR="00382D74" w:rsidRPr="00382D74" w:rsidRDefault="00382D74" w:rsidP="00382D74">
      <w:pPr>
        <w:numPr>
          <w:ilvl w:val="0"/>
          <w:numId w:val="2"/>
        </w:numPr>
        <w:spacing w:after="0" w:line="240" w:lineRule="auto"/>
        <w:ind w:right="18"/>
        <w:jc w:val="both"/>
        <w:rPr>
          <w:rFonts w:ascii="Verdana" w:eastAsia="Calibri" w:hAnsi="Verdana" w:cs="Verdana"/>
          <w:bCs/>
          <w:sz w:val="20"/>
          <w:szCs w:val="20"/>
          <w:lang w:val="es-MX" w:eastAsia="en-US"/>
        </w:rPr>
      </w:pPr>
      <w:r w:rsidRPr="00382D74">
        <w:rPr>
          <w:rFonts w:ascii="Verdana" w:eastAsia="Calibri" w:hAnsi="Verdana" w:cs="Verdana"/>
          <w:bCs/>
          <w:sz w:val="20"/>
          <w:szCs w:val="20"/>
          <w:lang w:val="es-MX" w:eastAsia="en-US"/>
        </w:rPr>
        <w:t xml:space="preserve">En la Resolución del Presidente se dispuso, </w:t>
      </w:r>
      <w:r w:rsidRPr="00382D74">
        <w:rPr>
          <w:rFonts w:ascii="Verdana" w:eastAsia="Calibri" w:hAnsi="Verdana" w:cs="Verdana"/>
          <w:bCs/>
          <w:i/>
          <w:sz w:val="20"/>
          <w:szCs w:val="20"/>
          <w:lang w:val="es-MX" w:eastAsia="en-US"/>
        </w:rPr>
        <w:t xml:space="preserve">inter </w:t>
      </w:r>
      <w:proofErr w:type="spellStart"/>
      <w:r w:rsidRPr="00382D74">
        <w:rPr>
          <w:rFonts w:ascii="Verdana" w:eastAsia="Calibri" w:hAnsi="Verdana" w:cs="Verdana"/>
          <w:bCs/>
          <w:i/>
          <w:sz w:val="20"/>
          <w:szCs w:val="20"/>
          <w:lang w:val="es-MX" w:eastAsia="en-US"/>
        </w:rPr>
        <w:t>alia</w:t>
      </w:r>
      <w:proofErr w:type="spellEnd"/>
      <w:r w:rsidRPr="00382D74">
        <w:rPr>
          <w:rFonts w:ascii="Verdana" w:eastAsia="Calibri" w:hAnsi="Verdana" w:cs="Verdana"/>
          <w:bCs/>
          <w:sz w:val="20"/>
          <w:szCs w:val="20"/>
          <w:lang w:val="es-MX" w:eastAsia="en-US"/>
        </w:rPr>
        <w:t>, que</w:t>
      </w:r>
      <w:r w:rsidR="00B147A0">
        <w:rPr>
          <w:rFonts w:ascii="Verdana" w:eastAsia="Calibri" w:hAnsi="Verdana" w:cs="Verdana"/>
          <w:bCs/>
          <w:sz w:val="20"/>
          <w:szCs w:val="20"/>
          <w:lang w:val="es-MX" w:eastAsia="en-US"/>
        </w:rPr>
        <w:t xml:space="preserve"> el</w:t>
      </w:r>
      <w:r w:rsidRPr="00382D74">
        <w:rPr>
          <w:rFonts w:ascii="Verdana" w:eastAsia="Calibri" w:hAnsi="Verdana" w:cs="Verdana"/>
          <w:bCs/>
          <w:sz w:val="20"/>
          <w:szCs w:val="20"/>
          <w:lang w:val="es-MX" w:eastAsia="en-US"/>
        </w:rPr>
        <w:t xml:space="preserve"> señor </w:t>
      </w:r>
      <w:r w:rsidR="00B147A0">
        <w:rPr>
          <w:rFonts w:ascii="Verdana" w:eastAsia="Calibri" w:hAnsi="Verdana" w:cs="Verdana"/>
          <w:bCs/>
          <w:sz w:val="20"/>
          <w:szCs w:val="20"/>
          <w:lang w:val="es-MX" w:eastAsia="en-US"/>
        </w:rPr>
        <w:t>Iván Augusto Gómez Celis, testigo ofrecido por el Estado</w:t>
      </w:r>
      <w:r w:rsidR="00DE43C8">
        <w:rPr>
          <w:rFonts w:ascii="Verdana" w:eastAsia="Calibri" w:hAnsi="Verdana" w:cs="Verdana"/>
          <w:bCs/>
          <w:sz w:val="20"/>
          <w:szCs w:val="20"/>
          <w:lang w:val="es-MX" w:eastAsia="en-US"/>
        </w:rPr>
        <w:t>,</w:t>
      </w:r>
      <w:r w:rsidR="00DE43C8" w:rsidRPr="00DE43C8">
        <w:rPr>
          <w:rFonts w:ascii="Verdana" w:eastAsia="Calibri" w:hAnsi="Verdana" w:cs="Verdana"/>
          <w:bCs/>
          <w:sz w:val="20"/>
          <w:szCs w:val="20"/>
          <w:lang w:val="es-MX" w:eastAsia="en-US"/>
        </w:rPr>
        <w:t xml:space="preserve"> </w:t>
      </w:r>
      <w:r w:rsidR="00DE43C8" w:rsidRPr="00382D74">
        <w:rPr>
          <w:rFonts w:ascii="Verdana" w:eastAsia="Calibri" w:hAnsi="Verdana" w:cs="Verdana"/>
          <w:bCs/>
          <w:sz w:val="20"/>
          <w:szCs w:val="20"/>
          <w:lang w:val="es-MX" w:eastAsia="en-US"/>
        </w:rPr>
        <w:t>rinda declaraci</w:t>
      </w:r>
      <w:r w:rsidR="00DE43C8">
        <w:rPr>
          <w:rFonts w:ascii="Verdana" w:eastAsia="Calibri" w:hAnsi="Verdana" w:cs="Verdana"/>
          <w:bCs/>
          <w:sz w:val="20"/>
          <w:szCs w:val="20"/>
          <w:lang w:val="es-MX" w:eastAsia="en-US"/>
        </w:rPr>
        <w:t>ó</w:t>
      </w:r>
      <w:r w:rsidR="00DE43C8" w:rsidRPr="00382D74">
        <w:rPr>
          <w:rFonts w:ascii="Verdana" w:eastAsia="Calibri" w:hAnsi="Verdana" w:cs="Verdana"/>
          <w:bCs/>
          <w:sz w:val="20"/>
          <w:szCs w:val="20"/>
          <w:lang w:val="es-MX" w:eastAsia="en-US"/>
        </w:rPr>
        <w:t>n</w:t>
      </w:r>
      <w:r w:rsidR="00DE43C8">
        <w:rPr>
          <w:rFonts w:ascii="Verdana" w:eastAsia="Calibri" w:hAnsi="Verdana" w:cs="Verdana"/>
          <w:bCs/>
          <w:sz w:val="20"/>
          <w:szCs w:val="20"/>
          <w:lang w:val="es-MX" w:eastAsia="en-US"/>
        </w:rPr>
        <w:t xml:space="preserve"> testimonial</w:t>
      </w:r>
      <w:r w:rsidR="00DE43C8" w:rsidRPr="00382D74">
        <w:rPr>
          <w:rFonts w:ascii="Verdana" w:eastAsia="Calibri" w:hAnsi="Verdana" w:cs="Verdana"/>
          <w:bCs/>
          <w:sz w:val="20"/>
          <w:szCs w:val="20"/>
          <w:lang w:val="es-MX" w:eastAsia="en-US"/>
        </w:rPr>
        <w:t xml:space="preserve"> por medio de </w:t>
      </w:r>
      <w:proofErr w:type="gramStart"/>
      <w:r w:rsidR="00DE43C8">
        <w:rPr>
          <w:rFonts w:ascii="Verdana" w:eastAsia="Calibri" w:hAnsi="Verdana" w:cs="Verdana"/>
          <w:bCs/>
          <w:sz w:val="20"/>
          <w:szCs w:val="20"/>
          <w:lang w:val="es-MX" w:eastAsia="en-US"/>
        </w:rPr>
        <w:t>affidávit</w:t>
      </w:r>
      <w:r w:rsidR="00DE43C8" w:rsidRPr="00382D74">
        <w:rPr>
          <w:rFonts w:ascii="Verdana" w:eastAsia="Calibri" w:hAnsi="Verdana" w:cs="Verdana"/>
          <w:bCs/>
          <w:sz w:val="20"/>
          <w:szCs w:val="20"/>
          <w:vertAlign w:val="superscript"/>
          <w:lang w:val="es-MX" w:eastAsia="en-US"/>
        </w:rPr>
        <w:t xml:space="preserve"> </w:t>
      </w:r>
      <w:proofErr w:type="gramEnd"/>
      <w:r w:rsidRPr="00382D74">
        <w:rPr>
          <w:rFonts w:ascii="Verdana" w:eastAsia="Calibri" w:hAnsi="Verdana" w:cs="Verdana"/>
          <w:bCs/>
          <w:sz w:val="20"/>
          <w:szCs w:val="20"/>
          <w:vertAlign w:val="superscript"/>
          <w:lang w:val="es-MX" w:eastAsia="en-US"/>
        </w:rPr>
        <w:footnoteReference w:id="2"/>
      </w:r>
      <w:r w:rsidRPr="00382D74">
        <w:rPr>
          <w:rFonts w:ascii="Verdana" w:eastAsia="Calibri" w:hAnsi="Verdana" w:cs="Verdana"/>
          <w:bCs/>
          <w:sz w:val="20"/>
          <w:szCs w:val="20"/>
          <w:lang w:val="es-MX" w:eastAsia="en-US"/>
        </w:rPr>
        <w:t>.</w:t>
      </w:r>
    </w:p>
    <w:p w:rsidR="00382D74" w:rsidRPr="00382D74" w:rsidRDefault="00382D74" w:rsidP="00382D74">
      <w:pPr>
        <w:widowControl w:val="0"/>
        <w:autoSpaceDE w:val="0"/>
        <w:autoSpaceDN w:val="0"/>
        <w:adjustRightInd w:val="0"/>
        <w:spacing w:after="0" w:line="240" w:lineRule="auto"/>
        <w:ind w:right="22"/>
        <w:jc w:val="both"/>
        <w:rPr>
          <w:rFonts w:ascii="Verdana" w:eastAsia="Calibri" w:hAnsi="Verdana" w:cs="Verdana"/>
          <w:bCs/>
          <w:sz w:val="20"/>
          <w:szCs w:val="20"/>
          <w:lang w:val="es-MX" w:eastAsia="en-US"/>
        </w:rPr>
      </w:pPr>
    </w:p>
    <w:p w:rsidR="00382D74" w:rsidRPr="00382D74" w:rsidRDefault="00DE43C8" w:rsidP="00382D74">
      <w:pPr>
        <w:numPr>
          <w:ilvl w:val="0"/>
          <w:numId w:val="2"/>
        </w:numPr>
        <w:spacing w:after="0" w:line="240" w:lineRule="auto"/>
        <w:ind w:right="18"/>
        <w:jc w:val="both"/>
        <w:rPr>
          <w:rFonts w:ascii="Verdana" w:eastAsia="Calibri" w:hAnsi="Verdana" w:cs="Verdana"/>
          <w:bCs/>
          <w:sz w:val="20"/>
          <w:szCs w:val="20"/>
          <w:lang w:val="es-MX" w:eastAsia="en-US"/>
        </w:rPr>
      </w:pPr>
      <w:r w:rsidRPr="00DE43C8">
        <w:rPr>
          <w:rFonts w:ascii="Verdana" w:eastAsia="Calibri" w:hAnsi="Verdana" w:cs="Verdana"/>
          <w:bCs/>
          <w:sz w:val="20"/>
          <w:szCs w:val="20"/>
          <w:lang w:val="es-MX" w:eastAsia="en-US"/>
        </w:rPr>
        <w:t>El Estado</w:t>
      </w:r>
      <w:r w:rsidR="00382D74" w:rsidRPr="00382D74">
        <w:rPr>
          <w:rFonts w:ascii="Verdana" w:eastAsia="Calibri" w:hAnsi="Verdana" w:cs="Verdana"/>
          <w:bCs/>
          <w:sz w:val="20"/>
          <w:szCs w:val="20"/>
          <w:lang w:val="es-MX" w:eastAsia="en-US"/>
        </w:rPr>
        <w:t xml:space="preserve"> solicit</w:t>
      </w:r>
      <w:r>
        <w:rPr>
          <w:rFonts w:ascii="Verdana" w:eastAsia="Calibri" w:hAnsi="Verdana" w:cs="Verdana"/>
          <w:bCs/>
          <w:sz w:val="20"/>
          <w:szCs w:val="20"/>
          <w:lang w:val="es-MX" w:eastAsia="en-US"/>
        </w:rPr>
        <w:t>ó</w:t>
      </w:r>
      <w:r w:rsidR="008C7E6A">
        <w:rPr>
          <w:rFonts w:ascii="Verdana" w:eastAsia="Calibri" w:hAnsi="Verdana" w:cs="Verdana"/>
          <w:bCs/>
          <w:sz w:val="20"/>
          <w:szCs w:val="20"/>
          <w:lang w:val="es-MX" w:eastAsia="en-US"/>
        </w:rPr>
        <w:t xml:space="preserve"> que “la</w:t>
      </w:r>
      <w:r>
        <w:rPr>
          <w:rFonts w:ascii="Verdana" w:eastAsia="Calibri" w:hAnsi="Verdana" w:cs="Verdana"/>
          <w:bCs/>
          <w:sz w:val="20"/>
          <w:szCs w:val="20"/>
          <w:lang w:val="es-MX" w:eastAsia="en-US"/>
        </w:rPr>
        <w:t xml:space="preserve"> H</w:t>
      </w:r>
      <w:r w:rsidR="00811980">
        <w:rPr>
          <w:rFonts w:ascii="Verdana" w:eastAsia="Calibri" w:hAnsi="Verdana" w:cs="Verdana"/>
          <w:bCs/>
          <w:sz w:val="20"/>
          <w:szCs w:val="20"/>
          <w:lang w:val="es-MX" w:eastAsia="en-US"/>
        </w:rPr>
        <w:t>onorable</w:t>
      </w:r>
      <w:r>
        <w:rPr>
          <w:rFonts w:ascii="Verdana" w:eastAsia="Calibri" w:hAnsi="Verdana" w:cs="Verdana"/>
          <w:bCs/>
          <w:sz w:val="20"/>
          <w:szCs w:val="20"/>
          <w:lang w:val="es-MX" w:eastAsia="en-US"/>
        </w:rPr>
        <w:t xml:space="preserve"> </w:t>
      </w:r>
      <w:r w:rsidR="00382D74" w:rsidRPr="00382D74">
        <w:rPr>
          <w:rFonts w:ascii="Verdana" w:eastAsia="Calibri" w:hAnsi="Verdana" w:cs="Verdana"/>
          <w:bCs/>
          <w:sz w:val="20"/>
          <w:szCs w:val="20"/>
          <w:lang w:val="es-MX" w:eastAsia="en-US"/>
        </w:rPr>
        <w:t xml:space="preserve">Corte […] </w:t>
      </w:r>
      <w:r>
        <w:rPr>
          <w:rFonts w:ascii="Verdana" w:eastAsia="Calibri" w:hAnsi="Verdana" w:cs="Verdana"/>
          <w:bCs/>
          <w:sz w:val="20"/>
          <w:szCs w:val="20"/>
          <w:lang w:val="es-MX" w:eastAsia="en-US"/>
        </w:rPr>
        <w:t xml:space="preserve">solicite la declaración del […] </w:t>
      </w:r>
      <w:r w:rsidRPr="00382D74">
        <w:rPr>
          <w:rFonts w:ascii="Verdana" w:eastAsia="Calibri" w:hAnsi="Verdana" w:cs="Verdana"/>
          <w:bCs/>
          <w:sz w:val="20"/>
          <w:szCs w:val="20"/>
          <w:lang w:val="es-MX" w:eastAsia="en-US"/>
        </w:rPr>
        <w:t xml:space="preserve">señor </w:t>
      </w:r>
      <w:r>
        <w:rPr>
          <w:rFonts w:ascii="Verdana" w:eastAsia="Calibri" w:hAnsi="Verdana" w:cs="Verdana"/>
          <w:bCs/>
          <w:sz w:val="20"/>
          <w:szCs w:val="20"/>
          <w:lang w:val="es-MX" w:eastAsia="en-US"/>
        </w:rPr>
        <w:t xml:space="preserve">Iván Augusto Gómez </w:t>
      </w:r>
      <w:proofErr w:type="spellStart"/>
      <w:r>
        <w:rPr>
          <w:rFonts w:ascii="Verdana" w:eastAsia="Calibri" w:hAnsi="Verdana" w:cs="Verdana"/>
          <w:bCs/>
          <w:sz w:val="20"/>
          <w:szCs w:val="20"/>
          <w:lang w:val="es-MX" w:eastAsia="en-US"/>
        </w:rPr>
        <w:t>Celi</w:t>
      </w:r>
      <w:proofErr w:type="spellEnd"/>
      <w:r w:rsidR="00811980">
        <w:rPr>
          <w:rFonts w:ascii="Verdana" w:eastAsia="Calibri" w:hAnsi="Verdana" w:cs="Verdana"/>
          <w:bCs/>
          <w:sz w:val="20"/>
          <w:szCs w:val="20"/>
          <w:lang w:val="es-MX" w:eastAsia="en-US"/>
        </w:rPr>
        <w:t>[</w:t>
      </w:r>
      <w:r>
        <w:rPr>
          <w:rFonts w:ascii="Verdana" w:eastAsia="Calibri" w:hAnsi="Verdana" w:cs="Verdana"/>
          <w:bCs/>
          <w:sz w:val="20"/>
          <w:szCs w:val="20"/>
          <w:lang w:val="es-MX" w:eastAsia="en-US"/>
        </w:rPr>
        <w:t>s</w:t>
      </w:r>
      <w:r w:rsidR="00811980">
        <w:rPr>
          <w:rFonts w:ascii="Verdana" w:eastAsia="Calibri" w:hAnsi="Verdana" w:cs="Verdana"/>
          <w:bCs/>
          <w:sz w:val="20"/>
          <w:szCs w:val="20"/>
          <w:lang w:val="es-MX" w:eastAsia="en-US"/>
        </w:rPr>
        <w:t>]</w:t>
      </w:r>
      <w:r>
        <w:rPr>
          <w:rFonts w:ascii="Verdana" w:eastAsia="Calibri" w:hAnsi="Verdana" w:cs="Verdana"/>
          <w:bCs/>
          <w:sz w:val="20"/>
          <w:szCs w:val="20"/>
          <w:lang w:val="es-MX" w:eastAsia="en-US"/>
        </w:rPr>
        <w:t xml:space="preserve">, para ser practicada </w:t>
      </w:r>
      <w:r w:rsidR="00382D74" w:rsidRPr="00382D74">
        <w:rPr>
          <w:rFonts w:ascii="Verdana" w:eastAsia="Calibri" w:hAnsi="Verdana" w:cs="Verdana"/>
          <w:bCs/>
          <w:sz w:val="20"/>
          <w:szCs w:val="20"/>
          <w:lang w:val="es-MX" w:eastAsia="en-US"/>
        </w:rPr>
        <w:t>en audiencia pública</w:t>
      </w:r>
      <w:r>
        <w:rPr>
          <w:rFonts w:ascii="Verdana" w:eastAsia="Calibri" w:hAnsi="Verdana" w:cs="Verdana"/>
          <w:bCs/>
          <w:sz w:val="20"/>
          <w:szCs w:val="20"/>
          <w:lang w:val="es-MX" w:eastAsia="en-US"/>
        </w:rPr>
        <w:t>”, dado que el 25 de mayo se practicarán dos pruebas solicitadas por los representantes de las</w:t>
      </w:r>
      <w:r w:rsidR="009A2DCD">
        <w:rPr>
          <w:rFonts w:ascii="Verdana" w:eastAsia="Calibri" w:hAnsi="Verdana" w:cs="Verdana"/>
          <w:bCs/>
          <w:sz w:val="20"/>
          <w:szCs w:val="20"/>
          <w:lang w:val="es-MX" w:eastAsia="en-US"/>
        </w:rPr>
        <w:t xml:space="preserve"> presuntas</w:t>
      </w:r>
      <w:r>
        <w:rPr>
          <w:rFonts w:ascii="Verdana" w:eastAsia="Calibri" w:hAnsi="Verdana" w:cs="Verdana"/>
          <w:bCs/>
          <w:sz w:val="20"/>
          <w:szCs w:val="20"/>
          <w:lang w:val="es-MX" w:eastAsia="en-US"/>
        </w:rPr>
        <w:t xml:space="preserve"> víctimas y sólo una de las solicitadas por el Estado.</w:t>
      </w:r>
    </w:p>
    <w:p w:rsidR="00382D74" w:rsidRPr="00382D74" w:rsidRDefault="00382D74" w:rsidP="00382D74">
      <w:pPr>
        <w:widowControl w:val="0"/>
        <w:autoSpaceDE w:val="0"/>
        <w:autoSpaceDN w:val="0"/>
        <w:adjustRightInd w:val="0"/>
        <w:spacing w:after="0" w:line="240" w:lineRule="auto"/>
        <w:ind w:right="22"/>
        <w:jc w:val="both"/>
        <w:rPr>
          <w:rFonts w:ascii="Verdana" w:eastAsia="Calibri" w:hAnsi="Verdana" w:cs="Verdana"/>
          <w:bCs/>
          <w:sz w:val="20"/>
          <w:szCs w:val="20"/>
          <w:lang w:val="es-MX" w:eastAsia="en-US"/>
        </w:rPr>
      </w:pPr>
    </w:p>
    <w:p w:rsidR="00271745" w:rsidRDefault="00E12BA5" w:rsidP="00271745">
      <w:pPr>
        <w:numPr>
          <w:ilvl w:val="0"/>
          <w:numId w:val="2"/>
        </w:numPr>
        <w:spacing w:after="0" w:line="240" w:lineRule="auto"/>
        <w:ind w:right="18"/>
        <w:jc w:val="both"/>
        <w:rPr>
          <w:rFonts w:ascii="Verdana" w:eastAsia="Calibri" w:hAnsi="Verdana" w:cs="Verdana"/>
          <w:bCs/>
          <w:sz w:val="20"/>
          <w:szCs w:val="20"/>
          <w:lang w:val="es-MX" w:eastAsia="en-US"/>
        </w:rPr>
      </w:pPr>
      <w:r>
        <w:rPr>
          <w:rFonts w:ascii="Verdana" w:eastAsia="Calibri" w:hAnsi="Verdana" w:cs="Calibri"/>
          <w:bCs/>
          <w:sz w:val="20"/>
          <w:szCs w:val="20"/>
          <w:lang w:val="es-MX" w:eastAsia="en-US"/>
        </w:rPr>
        <w:t xml:space="preserve">El Estado </w:t>
      </w:r>
      <w:r w:rsidR="00271745">
        <w:rPr>
          <w:rFonts w:ascii="Verdana" w:eastAsia="Calibri" w:hAnsi="Verdana" w:cs="Calibri"/>
          <w:bCs/>
          <w:sz w:val="20"/>
          <w:szCs w:val="20"/>
          <w:lang w:val="es-MX" w:eastAsia="en-US"/>
        </w:rPr>
        <w:t>fundó</w:t>
      </w:r>
      <w:r w:rsidR="00271745" w:rsidRPr="00382D74">
        <w:rPr>
          <w:rFonts w:ascii="Verdana" w:eastAsia="Calibri" w:hAnsi="Verdana" w:cs="Calibri"/>
          <w:bCs/>
          <w:sz w:val="20"/>
          <w:szCs w:val="20"/>
          <w:lang w:val="es-MX" w:eastAsia="en-US"/>
        </w:rPr>
        <w:t xml:space="preserve"> su recurso </w:t>
      </w:r>
      <w:r w:rsidR="00271745" w:rsidRPr="00DE43C8">
        <w:rPr>
          <w:rFonts w:ascii="Verdana" w:eastAsia="Calibri" w:hAnsi="Verdana" w:cs="Calibri"/>
          <w:bCs/>
          <w:sz w:val="20"/>
          <w:szCs w:val="20"/>
          <w:lang w:val="es-MX" w:eastAsia="en-US"/>
        </w:rPr>
        <w:t>manifestando que</w:t>
      </w:r>
      <w:r w:rsidR="00271745">
        <w:rPr>
          <w:rFonts w:ascii="Verdana" w:eastAsia="Calibri" w:hAnsi="Verdana" w:cs="Calibri"/>
          <w:bCs/>
          <w:sz w:val="20"/>
          <w:szCs w:val="20"/>
          <w:lang w:val="es-MX" w:eastAsia="en-US"/>
        </w:rPr>
        <w:t>,</w:t>
      </w:r>
      <w:r w:rsidR="00271745">
        <w:rPr>
          <w:rFonts w:ascii="Verdana" w:eastAsia="Calibri" w:hAnsi="Verdana" w:cs="Verdana"/>
          <w:bCs/>
          <w:sz w:val="20"/>
          <w:szCs w:val="20"/>
          <w:lang w:val="es-MX" w:eastAsia="en-US"/>
        </w:rPr>
        <w:t xml:space="preserve"> si bien </w:t>
      </w:r>
      <w:r w:rsidRPr="00E12BA5">
        <w:rPr>
          <w:rFonts w:ascii="Verdana" w:eastAsia="Calibri" w:hAnsi="Verdana" w:cs="Verdana"/>
          <w:bCs/>
          <w:sz w:val="20"/>
          <w:szCs w:val="20"/>
          <w:lang w:val="es-MX" w:eastAsia="en-US"/>
        </w:rPr>
        <w:t xml:space="preserve">reconoce la potestad de la Corte de decidir las pruebas que se practicarán directamente en audiencia pública, </w:t>
      </w:r>
      <w:r w:rsidR="00271745">
        <w:rPr>
          <w:rFonts w:ascii="Verdana" w:eastAsia="Calibri" w:hAnsi="Verdana" w:cs="Verdana"/>
          <w:bCs/>
          <w:sz w:val="20"/>
          <w:szCs w:val="20"/>
          <w:lang w:val="es-MX" w:eastAsia="en-US"/>
        </w:rPr>
        <w:t>esta debe enmarcarse</w:t>
      </w:r>
      <w:r w:rsidRPr="00E12BA5">
        <w:rPr>
          <w:rFonts w:ascii="Verdana" w:eastAsia="Calibri" w:hAnsi="Verdana" w:cs="Verdana"/>
          <w:bCs/>
          <w:sz w:val="20"/>
          <w:szCs w:val="20"/>
          <w:lang w:val="es-MX" w:eastAsia="en-US"/>
        </w:rPr>
        <w:t xml:space="preserve"> en los principios rectores de los procedimientos ante los órganos interamericanos</w:t>
      </w:r>
      <w:r w:rsidR="00295C81">
        <w:rPr>
          <w:rFonts w:ascii="Verdana" w:eastAsia="Calibri" w:hAnsi="Verdana" w:cs="Verdana"/>
          <w:bCs/>
          <w:sz w:val="20"/>
          <w:szCs w:val="20"/>
          <w:lang w:val="es-MX" w:eastAsia="en-US"/>
        </w:rPr>
        <w:t>.</w:t>
      </w:r>
      <w:r w:rsidR="008C7E6A">
        <w:rPr>
          <w:rFonts w:ascii="Verdana" w:eastAsia="Calibri" w:hAnsi="Verdana" w:cs="Verdana"/>
          <w:bCs/>
          <w:sz w:val="20"/>
          <w:szCs w:val="20"/>
          <w:lang w:val="es-MX" w:eastAsia="en-US"/>
        </w:rPr>
        <w:t xml:space="preserve"> </w:t>
      </w:r>
      <w:r w:rsidR="00295C81">
        <w:rPr>
          <w:rFonts w:ascii="Verdana" w:eastAsia="Calibri" w:hAnsi="Verdana" w:cs="Verdana"/>
          <w:bCs/>
          <w:sz w:val="20"/>
          <w:szCs w:val="20"/>
          <w:lang w:val="es-MX" w:eastAsia="en-US"/>
        </w:rPr>
        <w:t>E</w:t>
      </w:r>
      <w:r w:rsidRPr="00E12BA5">
        <w:rPr>
          <w:rFonts w:ascii="Verdana" w:eastAsia="Calibri" w:hAnsi="Verdana" w:cs="Verdana"/>
          <w:bCs/>
          <w:sz w:val="20"/>
          <w:szCs w:val="20"/>
          <w:lang w:val="es-MX" w:eastAsia="en-US"/>
        </w:rPr>
        <w:t xml:space="preserve">ntre estos principios, </w:t>
      </w:r>
      <w:r w:rsidR="00271745">
        <w:rPr>
          <w:rFonts w:ascii="Verdana" w:eastAsia="Calibri" w:hAnsi="Verdana" w:cs="Verdana"/>
          <w:bCs/>
          <w:sz w:val="20"/>
          <w:szCs w:val="20"/>
          <w:lang w:val="es-MX" w:eastAsia="en-US"/>
        </w:rPr>
        <w:t>cita</w:t>
      </w:r>
      <w:r w:rsidRPr="00E12BA5">
        <w:rPr>
          <w:rFonts w:ascii="Verdana" w:eastAsia="Calibri" w:hAnsi="Verdana" w:cs="Verdana"/>
          <w:bCs/>
          <w:sz w:val="20"/>
          <w:szCs w:val="20"/>
          <w:lang w:val="es-MX" w:eastAsia="en-US"/>
        </w:rPr>
        <w:t xml:space="preserve"> </w:t>
      </w:r>
      <w:r w:rsidR="004E2EE7">
        <w:rPr>
          <w:rFonts w:ascii="Verdana" w:eastAsia="Calibri" w:hAnsi="Verdana" w:cs="Verdana"/>
          <w:bCs/>
          <w:sz w:val="20"/>
          <w:szCs w:val="20"/>
          <w:lang w:val="es-MX" w:eastAsia="en-US"/>
        </w:rPr>
        <w:t>los</w:t>
      </w:r>
      <w:r w:rsidRPr="00E12BA5">
        <w:rPr>
          <w:rFonts w:ascii="Verdana" w:eastAsia="Calibri" w:hAnsi="Verdana" w:cs="Verdana"/>
          <w:bCs/>
          <w:sz w:val="20"/>
          <w:szCs w:val="20"/>
          <w:lang w:val="es-MX" w:eastAsia="en-US"/>
        </w:rPr>
        <w:t xml:space="preserve"> de equidad procesal</w:t>
      </w:r>
      <w:r>
        <w:rPr>
          <w:rFonts w:ascii="Verdana" w:eastAsia="Calibri" w:hAnsi="Verdana" w:cs="Verdana"/>
          <w:bCs/>
          <w:sz w:val="20"/>
          <w:szCs w:val="20"/>
          <w:lang w:val="es-MX" w:eastAsia="en-US"/>
        </w:rPr>
        <w:t xml:space="preserve"> y de igualdad </w:t>
      </w:r>
      <w:r w:rsidR="00271745">
        <w:rPr>
          <w:rFonts w:ascii="Verdana" w:eastAsia="Calibri" w:hAnsi="Verdana" w:cs="Verdana"/>
          <w:bCs/>
          <w:sz w:val="20"/>
          <w:szCs w:val="20"/>
          <w:lang w:val="es-MX" w:eastAsia="en-US"/>
        </w:rPr>
        <w:t>de partes en materia probatoria,</w:t>
      </w:r>
      <w:r w:rsidR="00271745">
        <w:rPr>
          <w:rFonts w:ascii="Verdana" w:eastAsia="Calibri" w:hAnsi="Verdana" w:cs="Calibri"/>
          <w:sz w:val="20"/>
          <w:szCs w:val="20"/>
          <w:lang w:val="es-CR" w:eastAsia="en-US"/>
        </w:rPr>
        <w:t xml:space="preserve"> por lo que considera que el que una de las partes tenga mayor número de testigos durante la celebración de la audiencia pública, implica la vulneración de</w:t>
      </w:r>
      <w:r w:rsidR="00811980">
        <w:rPr>
          <w:rFonts w:ascii="Verdana" w:eastAsia="Calibri" w:hAnsi="Verdana" w:cs="Calibri"/>
          <w:sz w:val="20"/>
          <w:szCs w:val="20"/>
          <w:lang w:val="es-CR" w:eastAsia="en-US"/>
        </w:rPr>
        <w:t>l principio de igualdad de armas y produce un desequilibrio procesal entre las partes</w:t>
      </w:r>
      <w:r w:rsidR="00ED6832">
        <w:rPr>
          <w:rFonts w:ascii="Verdana" w:eastAsia="Calibri" w:hAnsi="Verdana" w:cs="Calibri"/>
          <w:sz w:val="20"/>
          <w:szCs w:val="20"/>
          <w:lang w:val="es-CR" w:eastAsia="en-US"/>
        </w:rPr>
        <w:t>.</w:t>
      </w:r>
      <w:r w:rsidR="00EA23AD">
        <w:rPr>
          <w:rFonts w:ascii="Verdana" w:eastAsia="Calibri" w:hAnsi="Verdana" w:cs="Calibri"/>
          <w:sz w:val="20"/>
          <w:szCs w:val="20"/>
          <w:lang w:val="es-CR" w:eastAsia="en-US"/>
        </w:rPr>
        <w:t xml:space="preserve"> </w:t>
      </w:r>
    </w:p>
    <w:p w:rsidR="00271745" w:rsidRPr="00271745" w:rsidRDefault="00271745" w:rsidP="00271745">
      <w:pPr>
        <w:spacing w:after="0" w:line="240" w:lineRule="auto"/>
        <w:ind w:right="18"/>
        <w:jc w:val="both"/>
        <w:rPr>
          <w:rFonts w:ascii="Verdana" w:eastAsia="Calibri" w:hAnsi="Verdana" w:cs="Verdana"/>
          <w:bCs/>
          <w:sz w:val="20"/>
          <w:szCs w:val="20"/>
          <w:lang w:val="es-MX" w:eastAsia="en-US"/>
        </w:rPr>
      </w:pPr>
    </w:p>
    <w:p w:rsidR="00382D74" w:rsidRPr="00382D74" w:rsidRDefault="00E12BA5" w:rsidP="00382D74">
      <w:pPr>
        <w:numPr>
          <w:ilvl w:val="0"/>
          <w:numId w:val="2"/>
        </w:numPr>
        <w:spacing w:after="0" w:line="240" w:lineRule="auto"/>
        <w:ind w:right="18"/>
        <w:jc w:val="both"/>
        <w:rPr>
          <w:rFonts w:ascii="Verdana" w:eastAsia="Calibri" w:hAnsi="Verdana" w:cs="Verdana"/>
          <w:bCs/>
          <w:sz w:val="20"/>
          <w:szCs w:val="20"/>
          <w:lang w:val="es-MX" w:eastAsia="en-US"/>
        </w:rPr>
      </w:pPr>
      <w:r>
        <w:rPr>
          <w:rFonts w:ascii="Verdana" w:eastAsia="Calibri" w:hAnsi="Verdana" w:cs="Calibri"/>
          <w:bCs/>
          <w:sz w:val="20"/>
          <w:szCs w:val="20"/>
          <w:lang w:val="es-MX" w:eastAsia="en-US"/>
        </w:rPr>
        <w:t>El Estado</w:t>
      </w:r>
      <w:r w:rsidR="00B84F23">
        <w:rPr>
          <w:rFonts w:ascii="Verdana" w:eastAsia="Calibri" w:hAnsi="Verdana" w:cs="Calibri"/>
          <w:sz w:val="20"/>
          <w:szCs w:val="20"/>
          <w:lang w:val="es-CR" w:eastAsia="en-US"/>
        </w:rPr>
        <w:t xml:space="preserve"> considera</w:t>
      </w:r>
      <w:r w:rsidR="00D50FE5">
        <w:rPr>
          <w:rFonts w:ascii="Verdana" w:eastAsia="Calibri" w:hAnsi="Verdana" w:cs="Calibri"/>
          <w:sz w:val="20"/>
          <w:szCs w:val="20"/>
          <w:lang w:val="es-CR" w:eastAsia="en-US"/>
        </w:rPr>
        <w:t>,</w:t>
      </w:r>
      <w:r w:rsidR="00B84F23">
        <w:rPr>
          <w:rFonts w:ascii="Verdana" w:eastAsia="Calibri" w:hAnsi="Verdana" w:cs="Calibri"/>
          <w:sz w:val="20"/>
          <w:szCs w:val="20"/>
          <w:lang w:val="es-CR" w:eastAsia="en-US"/>
        </w:rPr>
        <w:t xml:space="preserve"> además</w:t>
      </w:r>
      <w:r w:rsidR="00EA23AD">
        <w:rPr>
          <w:rFonts w:ascii="Verdana" w:eastAsia="Calibri" w:hAnsi="Verdana" w:cs="Calibri"/>
          <w:sz w:val="20"/>
          <w:szCs w:val="20"/>
          <w:lang w:val="es-CR" w:eastAsia="en-US"/>
        </w:rPr>
        <w:t>,</w:t>
      </w:r>
      <w:r w:rsidR="00B84F23">
        <w:rPr>
          <w:rFonts w:ascii="Verdana" w:eastAsia="Calibri" w:hAnsi="Verdana" w:cs="Calibri"/>
          <w:sz w:val="20"/>
          <w:szCs w:val="20"/>
          <w:lang w:val="es-CR" w:eastAsia="en-US"/>
        </w:rPr>
        <w:t xml:space="preserve"> que</w:t>
      </w:r>
      <w:r w:rsidR="001F7758">
        <w:rPr>
          <w:rFonts w:ascii="Verdana" w:eastAsia="Calibri" w:hAnsi="Verdana" w:cs="Calibri"/>
          <w:sz w:val="20"/>
          <w:szCs w:val="20"/>
          <w:lang w:val="es-CR" w:eastAsia="en-US"/>
        </w:rPr>
        <w:t xml:space="preserve"> es importante la </w:t>
      </w:r>
      <w:r w:rsidR="00EA23AD">
        <w:rPr>
          <w:rFonts w:ascii="Verdana" w:eastAsia="Calibri" w:hAnsi="Verdana" w:cs="Calibri"/>
          <w:sz w:val="20"/>
          <w:szCs w:val="20"/>
          <w:lang w:val="es-CR" w:eastAsia="en-US"/>
        </w:rPr>
        <w:t>recepción</w:t>
      </w:r>
      <w:r w:rsidR="001F7758">
        <w:rPr>
          <w:rFonts w:ascii="Verdana" w:eastAsia="Calibri" w:hAnsi="Verdana" w:cs="Calibri"/>
          <w:sz w:val="20"/>
          <w:szCs w:val="20"/>
          <w:lang w:val="es-CR" w:eastAsia="en-US"/>
        </w:rPr>
        <w:t xml:space="preserve"> del testimonio en audiencia porque </w:t>
      </w:r>
      <w:r w:rsidR="00F71F79">
        <w:rPr>
          <w:rFonts w:ascii="Verdana" w:eastAsia="Calibri" w:hAnsi="Verdana" w:cs="Calibri"/>
          <w:sz w:val="20"/>
          <w:szCs w:val="20"/>
          <w:lang w:val="es-CR" w:eastAsia="en-US"/>
        </w:rPr>
        <w:t>ello</w:t>
      </w:r>
      <w:r w:rsidR="001F7758">
        <w:rPr>
          <w:rFonts w:ascii="Verdana" w:eastAsia="Calibri" w:hAnsi="Verdana" w:cs="Calibri"/>
          <w:sz w:val="20"/>
          <w:szCs w:val="20"/>
          <w:lang w:val="es-CR" w:eastAsia="en-US"/>
        </w:rPr>
        <w:t xml:space="preserve"> beneficiaría a ambas </w:t>
      </w:r>
      <w:r w:rsidR="00F71F79">
        <w:rPr>
          <w:rFonts w:ascii="Verdana" w:eastAsia="Calibri" w:hAnsi="Verdana" w:cs="Calibri"/>
          <w:sz w:val="20"/>
          <w:szCs w:val="20"/>
          <w:lang w:val="es-CR" w:eastAsia="en-US"/>
        </w:rPr>
        <w:t xml:space="preserve">partes en el proceso, pues </w:t>
      </w:r>
      <w:r w:rsidR="00EA23AD">
        <w:rPr>
          <w:rFonts w:ascii="Verdana" w:eastAsia="Calibri" w:hAnsi="Verdana" w:cs="Calibri"/>
          <w:sz w:val="20"/>
          <w:szCs w:val="20"/>
          <w:lang w:val="es-CR" w:eastAsia="en-US"/>
        </w:rPr>
        <w:t xml:space="preserve">señala que </w:t>
      </w:r>
      <w:r w:rsidR="00D50FE5">
        <w:rPr>
          <w:rFonts w:ascii="Verdana" w:eastAsia="Calibri" w:hAnsi="Verdana" w:cs="Calibri"/>
          <w:sz w:val="20"/>
          <w:szCs w:val="20"/>
          <w:lang w:val="es-CR" w:eastAsia="en-US"/>
        </w:rPr>
        <w:t>este desarrollaría</w:t>
      </w:r>
      <w:r w:rsidR="00F71F79">
        <w:rPr>
          <w:rFonts w:ascii="Verdana" w:eastAsia="Calibri" w:hAnsi="Verdana" w:cs="Calibri"/>
          <w:sz w:val="20"/>
          <w:szCs w:val="20"/>
          <w:lang w:val="es-CR" w:eastAsia="en-US"/>
        </w:rPr>
        <w:t xml:space="preserve"> una</w:t>
      </w:r>
      <w:r w:rsidR="001F7758">
        <w:rPr>
          <w:rFonts w:ascii="Verdana" w:eastAsia="Calibri" w:hAnsi="Verdana" w:cs="Calibri"/>
          <w:sz w:val="20"/>
          <w:szCs w:val="20"/>
          <w:lang w:val="es-CR" w:eastAsia="en-US"/>
        </w:rPr>
        <w:t xml:space="preserve"> cuestión estructural</w:t>
      </w:r>
      <w:r w:rsidR="00D7545C" w:rsidRPr="00A35DA6">
        <w:rPr>
          <w:rStyle w:val="FootnoteReference"/>
          <w:rFonts w:eastAsia="Calibri"/>
          <w:sz w:val="20"/>
          <w:szCs w:val="20"/>
          <w:lang w:val="es-CR" w:eastAsia="en-US"/>
        </w:rPr>
        <w:footnoteReference w:id="3"/>
      </w:r>
      <w:r w:rsidR="001F7758" w:rsidRPr="00B574F1">
        <w:rPr>
          <w:rFonts w:ascii="Verdana" w:eastAsia="Calibri" w:hAnsi="Verdana" w:cs="Calibri"/>
          <w:sz w:val="20"/>
          <w:szCs w:val="20"/>
          <w:lang w:val="es-CR" w:eastAsia="en-US"/>
        </w:rPr>
        <w:t xml:space="preserve"> </w:t>
      </w:r>
      <w:r w:rsidR="001F7758">
        <w:rPr>
          <w:rFonts w:ascii="Verdana" w:eastAsia="Calibri" w:hAnsi="Verdana" w:cs="Calibri"/>
          <w:sz w:val="20"/>
          <w:szCs w:val="20"/>
          <w:lang w:val="es-CR" w:eastAsia="en-US"/>
        </w:rPr>
        <w:t xml:space="preserve">que ha sido referida </w:t>
      </w:r>
      <w:r w:rsidR="00F71F79">
        <w:rPr>
          <w:rFonts w:ascii="Verdana" w:eastAsia="Calibri" w:hAnsi="Verdana" w:cs="Calibri"/>
          <w:sz w:val="20"/>
          <w:szCs w:val="20"/>
          <w:lang w:val="es-CR" w:eastAsia="en-US"/>
        </w:rPr>
        <w:t>tanto</w:t>
      </w:r>
      <w:r w:rsidR="001F7758">
        <w:rPr>
          <w:rFonts w:ascii="Verdana" w:eastAsia="Calibri" w:hAnsi="Verdana" w:cs="Calibri"/>
          <w:sz w:val="20"/>
          <w:szCs w:val="20"/>
          <w:lang w:val="es-CR" w:eastAsia="en-US"/>
        </w:rPr>
        <w:t xml:space="preserve"> por los representantes de las </w:t>
      </w:r>
      <w:r w:rsidR="00B574F1">
        <w:rPr>
          <w:rFonts w:ascii="Verdana" w:eastAsia="Calibri" w:hAnsi="Verdana" w:cs="Calibri"/>
          <w:sz w:val="20"/>
          <w:szCs w:val="20"/>
          <w:lang w:val="es-CR" w:eastAsia="en-US"/>
        </w:rPr>
        <w:t xml:space="preserve">presuntas </w:t>
      </w:r>
      <w:r w:rsidR="001F7758">
        <w:rPr>
          <w:rFonts w:ascii="Verdana" w:eastAsia="Calibri" w:hAnsi="Verdana" w:cs="Calibri"/>
          <w:sz w:val="20"/>
          <w:szCs w:val="20"/>
          <w:lang w:val="es-CR" w:eastAsia="en-US"/>
        </w:rPr>
        <w:t xml:space="preserve">víctimas como por la Comisión Interamericana y, además, </w:t>
      </w:r>
      <w:r w:rsidR="00EA23AD">
        <w:rPr>
          <w:rFonts w:ascii="Verdana" w:eastAsia="Calibri" w:hAnsi="Verdana" w:cs="Calibri"/>
          <w:sz w:val="20"/>
          <w:szCs w:val="20"/>
          <w:lang w:val="es-CR" w:eastAsia="en-US"/>
        </w:rPr>
        <w:t xml:space="preserve">dicha declaración </w:t>
      </w:r>
      <w:r w:rsidR="00F71F79">
        <w:rPr>
          <w:rFonts w:ascii="Verdana" w:eastAsia="Calibri" w:hAnsi="Verdana" w:cs="Calibri"/>
          <w:sz w:val="20"/>
          <w:szCs w:val="20"/>
          <w:lang w:val="es-CR" w:eastAsia="en-US"/>
        </w:rPr>
        <w:t>desarrollará las investigaciones adelantadas para el esclarecimiento de los hechos.</w:t>
      </w:r>
    </w:p>
    <w:p w:rsidR="00382D74" w:rsidRPr="00382D74" w:rsidRDefault="00382D74" w:rsidP="00382D74">
      <w:pPr>
        <w:spacing w:after="0" w:line="240" w:lineRule="auto"/>
        <w:ind w:right="18"/>
        <w:jc w:val="both"/>
        <w:rPr>
          <w:rFonts w:ascii="Verdana" w:eastAsia="Calibri" w:hAnsi="Verdana" w:cs="Verdana"/>
          <w:bCs/>
          <w:sz w:val="20"/>
          <w:szCs w:val="20"/>
          <w:lang w:val="es-MX" w:eastAsia="en-US"/>
        </w:rPr>
      </w:pPr>
    </w:p>
    <w:p w:rsidR="00CB3C40" w:rsidRPr="00CB3C40" w:rsidRDefault="00F71F79" w:rsidP="00CB3C40">
      <w:pPr>
        <w:widowControl w:val="0"/>
        <w:numPr>
          <w:ilvl w:val="0"/>
          <w:numId w:val="2"/>
        </w:numPr>
        <w:autoSpaceDE w:val="0"/>
        <w:autoSpaceDN w:val="0"/>
        <w:adjustRightInd w:val="0"/>
        <w:spacing w:after="0" w:line="240" w:lineRule="auto"/>
        <w:ind w:right="22"/>
        <w:jc w:val="both"/>
        <w:rPr>
          <w:rFonts w:ascii="Verdana" w:eastAsia="Calibri" w:hAnsi="Verdana" w:cs="Verdana"/>
          <w:bCs/>
          <w:sz w:val="20"/>
          <w:szCs w:val="20"/>
          <w:lang w:val="es-MX" w:eastAsia="en-US"/>
        </w:rPr>
      </w:pPr>
      <w:r w:rsidRPr="00CB3C40">
        <w:rPr>
          <w:rFonts w:ascii="Verdana" w:eastAsia="Calibri" w:hAnsi="Verdana" w:cs="Calibri"/>
          <w:sz w:val="20"/>
          <w:szCs w:val="20"/>
          <w:lang w:val="es-CR" w:eastAsia="en-US"/>
        </w:rPr>
        <w:t xml:space="preserve">Los </w:t>
      </w:r>
      <w:r w:rsidRPr="00A35DA6">
        <w:rPr>
          <w:rFonts w:ascii="Verdana" w:eastAsia="Calibri" w:hAnsi="Verdana" w:cs="Calibri"/>
          <w:sz w:val="20"/>
          <w:szCs w:val="20"/>
          <w:shd w:val="clear" w:color="auto" w:fill="FFFFFF" w:themeFill="background1"/>
          <w:lang w:val="es-CR" w:eastAsia="en-US"/>
        </w:rPr>
        <w:t xml:space="preserve">representantes </w:t>
      </w:r>
      <w:r w:rsidR="00382D74" w:rsidRPr="00A35DA6">
        <w:rPr>
          <w:rFonts w:ascii="Verdana" w:eastAsia="Calibri" w:hAnsi="Verdana" w:cs="Calibri"/>
          <w:sz w:val="20"/>
          <w:szCs w:val="20"/>
          <w:shd w:val="clear" w:color="auto" w:fill="FFFFFF" w:themeFill="background1"/>
          <w:lang w:val="es-CR" w:eastAsia="en-US"/>
        </w:rPr>
        <w:t>pidi</w:t>
      </w:r>
      <w:r w:rsidRPr="00A35DA6">
        <w:rPr>
          <w:rFonts w:ascii="Verdana" w:eastAsia="Calibri" w:hAnsi="Verdana" w:cs="Calibri"/>
          <w:sz w:val="20"/>
          <w:szCs w:val="20"/>
          <w:shd w:val="clear" w:color="auto" w:fill="FFFFFF" w:themeFill="background1"/>
          <w:lang w:val="es-CR" w:eastAsia="en-US"/>
        </w:rPr>
        <w:t>eron que se “d</w:t>
      </w:r>
      <w:r w:rsidR="00382D74" w:rsidRPr="00A35DA6">
        <w:rPr>
          <w:rFonts w:ascii="Verdana" w:eastAsia="Calibri" w:hAnsi="Verdana" w:cs="Calibri"/>
          <w:sz w:val="20"/>
          <w:szCs w:val="20"/>
          <w:shd w:val="clear" w:color="auto" w:fill="FFFFFF" w:themeFill="background1"/>
          <w:lang w:val="es-CR" w:eastAsia="en-US"/>
        </w:rPr>
        <w:t>esestime</w:t>
      </w:r>
      <w:r w:rsidR="00B931CD" w:rsidRPr="00A35DA6">
        <w:rPr>
          <w:rFonts w:ascii="Verdana" w:eastAsia="Calibri" w:hAnsi="Verdana" w:cs="Calibri"/>
          <w:sz w:val="20"/>
          <w:szCs w:val="20"/>
          <w:shd w:val="clear" w:color="auto" w:fill="FFFFFF" w:themeFill="background1"/>
          <w:lang w:val="es-CR" w:eastAsia="en-US"/>
        </w:rPr>
        <w:t>”</w:t>
      </w:r>
      <w:r w:rsidR="00382D74" w:rsidRPr="00A35DA6">
        <w:rPr>
          <w:rFonts w:ascii="Verdana" w:eastAsia="Calibri" w:hAnsi="Verdana" w:cs="Calibri"/>
          <w:sz w:val="20"/>
          <w:szCs w:val="20"/>
          <w:shd w:val="clear" w:color="auto" w:fill="FFFFFF" w:themeFill="background1"/>
          <w:lang w:val="es-CR" w:eastAsia="en-US"/>
        </w:rPr>
        <w:t xml:space="preserve"> el recurso</w:t>
      </w:r>
      <w:r w:rsidR="00382D74" w:rsidRPr="00CB3C40">
        <w:rPr>
          <w:rFonts w:ascii="Verdana" w:eastAsia="Calibri" w:hAnsi="Verdana" w:cs="Calibri"/>
          <w:sz w:val="20"/>
          <w:szCs w:val="20"/>
          <w:lang w:val="es-CR" w:eastAsia="en-US"/>
        </w:rPr>
        <w:t xml:space="preserve"> de reconsideración</w:t>
      </w:r>
      <w:r w:rsidR="00CB3C40" w:rsidRPr="00CB3C40">
        <w:rPr>
          <w:rFonts w:ascii="Verdana" w:eastAsia="Calibri" w:hAnsi="Verdana" w:cs="Calibri"/>
          <w:sz w:val="20"/>
          <w:szCs w:val="20"/>
          <w:lang w:val="es-CR" w:eastAsia="en-US"/>
        </w:rPr>
        <w:t xml:space="preserve">, argumentando los siguiente motivos: </w:t>
      </w:r>
    </w:p>
    <w:p w:rsidR="00CB3C40" w:rsidRPr="00A35DA6" w:rsidRDefault="008C7E6A" w:rsidP="00CB3C40">
      <w:pPr>
        <w:widowControl w:val="0"/>
        <w:autoSpaceDE w:val="0"/>
        <w:autoSpaceDN w:val="0"/>
        <w:adjustRightInd w:val="0"/>
        <w:spacing w:after="0" w:line="240" w:lineRule="auto"/>
        <w:ind w:left="284" w:right="22"/>
        <w:jc w:val="both"/>
        <w:rPr>
          <w:rFonts w:ascii="Verdana" w:hAnsi="Verdana" w:cs="TimesNewRomanPSMT"/>
          <w:sz w:val="20"/>
          <w:szCs w:val="20"/>
          <w:lang w:val="es-CR"/>
        </w:rPr>
      </w:pPr>
      <w:r>
        <w:rPr>
          <w:rFonts w:ascii="Verdana" w:eastAsia="Calibri" w:hAnsi="Verdana" w:cs="Calibri"/>
          <w:sz w:val="20"/>
          <w:szCs w:val="20"/>
          <w:lang w:val="es-CR" w:eastAsia="en-US"/>
        </w:rPr>
        <w:t>a)</w:t>
      </w:r>
      <w:r w:rsidR="00CB3C40" w:rsidRPr="00A35DA6">
        <w:rPr>
          <w:rFonts w:ascii="Verdana" w:eastAsia="Calibri" w:hAnsi="Verdana" w:cs="Calibri"/>
          <w:sz w:val="20"/>
          <w:szCs w:val="20"/>
          <w:lang w:val="es-CR" w:eastAsia="en-US"/>
        </w:rPr>
        <w:t xml:space="preserve"> </w:t>
      </w:r>
      <w:r w:rsidR="00CB3C40" w:rsidRPr="00A35DA6">
        <w:rPr>
          <w:rFonts w:ascii="Verdana" w:eastAsia="Calibri" w:hAnsi="Verdana" w:cs="Verdana"/>
          <w:bCs/>
          <w:sz w:val="20"/>
          <w:szCs w:val="20"/>
          <w:lang w:val="es-MX" w:eastAsia="en-US"/>
        </w:rPr>
        <w:t>“[e]</w:t>
      </w:r>
      <w:r w:rsidR="00CB3C40" w:rsidRPr="00A35DA6">
        <w:rPr>
          <w:rFonts w:ascii="Verdana" w:hAnsi="Verdana" w:cs="TimesNewRomanPSMT"/>
          <w:sz w:val="20"/>
          <w:szCs w:val="20"/>
          <w:lang w:val="es-CR"/>
        </w:rPr>
        <w:t xml:space="preserve">l alegado principio de igualdad de armas no ha sido vulnerado, ya que todas las partes han contado con las mismas oportunidades procesales que garantiza el proceso y el reglamento del Tribunal”; </w:t>
      </w:r>
    </w:p>
    <w:p w:rsidR="00CB3C40" w:rsidRPr="00A35DA6" w:rsidRDefault="008C7E6A" w:rsidP="00CB3C40">
      <w:pPr>
        <w:widowControl w:val="0"/>
        <w:autoSpaceDE w:val="0"/>
        <w:autoSpaceDN w:val="0"/>
        <w:adjustRightInd w:val="0"/>
        <w:spacing w:after="0" w:line="240" w:lineRule="auto"/>
        <w:ind w:left="284" w:right="22"/>
        <w:jc w:val="both"/>
        <w:rPr>
          <w:rFonts w:ascii="Verdana" w:hAnsi="Verdana" w:cs="TimesNewRomanPSMT"/>
          <w:sz w:val="20"/>
          <w:szCs w:val="20"/>
          <w:lang w:val="es-CR"/>
        </w:rPr>
      </w:pPr>
      <w:r>
        <w:rPr>
          <w:rFonts w:ascii="Verdana" w:hAnsi="Verdana" w:cs="TimesNewRomanPSMT"/>
          <w:sz w:val="20"/>
          <w:szCs w:val="20"/>
          <w:lang w:val="es-CR"/>
        </w:rPr>
        <w:t>b)</w:t>
      </w:r>
      <w:r w:rsidR="00CB3C40" w:rsidRPr="00A35DA6">
        <w:rPr>
          <w:rFonts w:ascii="Verdana" w:hAnsi="Verdana" w:cs="TimesNewRomanPSMT"/>
          <w:sz w:val="20"/>
          <w:szCs w:val="20"/>
          <w:lang w:val="es-CR"/>
        </w:rPr>
        <w:t xml:space="preserve"> “[l]a recepción de prueba testimonial en audiencia o mediante affidávit no genera un desequilibrio”</w:t>
      </w:r>
      <w:r w:rsidR="00CB3C40" w:rsidRPr="00A35DA6">
        <w:rPr>
          <w:rStyle w:val="FootnoteReference"/>
          <w:sz w:val="20"/>
          <w:szCs w:val="20"/>
          <w:lang w:val="es-CR"/>
        </w:rPr>
        <w:footnoteReference w:id="4"/>
      </w:r>
      <w:r w:rsidR="00CB3C40" w:rsidRPr="00A35DA6">
        <w:rPr>
          <w:rFonts w:ascii="Verdana" w:hAnsi="Verdana" w:cs="TimesNewRomanPSMT"/>
          <w:sz w:val="20"/>
          <w:szCs w:val="20"/>
          <w:lang w:val="es-CR"/>
        </w:rPr>
        <w:t xml:space="preserve">, y </w:t>
      </w:r>
    </w:p>
    <w:p w:rsidR="00CB3C40" w:rsidRPr="00CB3C40" w:rsidRDefault="00CB3C40" w:rsidP="00CB3C40">
      <w:pPr>
        <w:widowControl w:val="0"/>
        <w:autoSpaceDE w:val="0"/>
        <w:autoSpaceDN w:val="0"/>
        <w:adjustRightInd w:val="0"/>
        <w:spacing w:after="0" w:line="240" w:lineRule="auto"/>
        <w:ind w:left="284" w:right="22"/>
        <w:jc w:val="both"/>
        <w:rPr>
          <w:rFonts w:ascii="Verdana" w:eastAsia="Calibri" w:hAnsi="Verdana" w:cs="Verdana"/>
          <w:bCs/>
          <w:sz w:val="20"/>
          <w:szCs w:val="20"/>
          <w:lang w:val="es-MX" w:eastAsia="en-US"/>
        </w:rPr>
      </w:pPr>
      <w:r w:rsidRPr="00A35DA6">
        <w:rPr>
          <w:rFonts w:ascii="Verdana" w:hAnsi="Verdana" w:cs="TimesNewRomanPSMT"/>
          <w:sz w:val="20"/>
          <w:szCs w:val="20"/>
          <w:lang w:val="es-CR"/>
        </w:rPr>
        <w:t>c</w:t>
      </w:r>
      <w:r w:rsidR="008C7E6A">
        <w:rPr>
          <w:rFonts w:ascii="Verdana" w:hAnsi="Verdana" w:cs="TimesNewRomanPSMT"/>
          <w:sz w:val="20"/>
          <w:szCs w:val="20"/>
          <w:lang w:val="es-CR"/>
        </w:rPr>
        <w:t>)</w:t>
      </w:r>
      <w:r w:rsidRPr="00A35DA6">
        <w:rPr>
          <w:rFonts w:ascii="Verdana" w:hAnsi="Verdana" w:cs="TimesNewRomanPSMT"/>
          <w:sz w:val="20"/>
          <w:szCs w:val="20"/>
          <w:lang w:val="es-CR"/>
        </w:rPr>
        <w:t xml:space="preserve"> “[l]as actuaciones llevadas a cabo en el proceso de Justicia y Paz son escasas, no conclusivas y el Tribunal podrá analizarlas con detenimiento con la documentación allegada por el Estado, incluido el affidavit correspondiente”.</w:t>
      </w:r>
      <w:r w:rsidRPr="00CB3C40">
        <w:rPr>
          <w:rFonts w:ascii="Verdana" w:hAnsi="Verdana" w:cs="TimesNewRomanPSMT"/>
          <w:sz w:val="20"/>
          <w:szCs w:val="20"/>
          <w:lang w:val="es-CR"/>
        </w:rPr>
        <w:t xml:space="preserve"> </w:t>
      </w:r>
    </w:p>
    <w:p w:rsidR="00CB3C40" w:rsidRPr="00382D74" w:rsidRDefault="00CB3C40" w:rsidP="00382D74">
      <w:pPr>
        <w:widowControl w:val="0"/>
        <w:autoSpaceDE w:val="0"/>
        <w:autoSpaceDN w:val="0"/>
        <w:adjustRightInd w:val="0"/>
        <w:spacing w:after="0" w:line="240" w:lineRule="auto"/>
        <w:ind w:right="22"/>
        <w:jc w:val="both"/>
        <w:rPr>
          <w:rFonts w:ascii="Verdana" w:eastAsia="Calibri" w:hAnsi="Verdana" w:cs="Verdana"/>
          <w:bCs/>
          <w:sz w:val="20"/>
          <w:szCs w:val="20"/>
          <w:lang w:val="es-MX" w:eastAsia="en-US"/>
        </w:rPr>
      </w:pPr>
    </w:p>
    <w:p w:rsidR="00382D74" w:rsidRPr="00382D74" w:rsidRDefault="00382D74" w:rsidP="00382D74">
      <w:pPr>
        <w:numPr>
          <w:ilvl w:val="0"/>
          <w:numId w:val="2"/>
        </w:numPr>
        <w:spacing w:after="0" w:line="240" w:lineRule="auto"/>
        <w:ind w:right="18"/>
        <w:jc w:val="both"/>
        <w:rPr>
          <w:rFonts w:ascii="Verdana" w:eastAsia="Calibri" w:hAnsi="Verdana" w:cs="Verdana"/>
          <w:bCs/>
          <w:sz w:val="20"/>
          <w:szCs w:val="20"/>
          <w:lang w:val="es-MX" w:eastAsia="en-US"/>
        </w:rPr>
      </w:pPr>
      <w:r w:rsidRPr="00382D74">
        <w:rPr>
          <w:rFonts w:ascii="Verdana" w:eastAsia="Arial" w:hAnsi="Verdana" w:cs="Arial"/>
          <w:sz w:val="20"/>
          <w:szCs w:val="20"/>
          <w:lang w:val="es-MX" w:eastAsia="en-US"/>
        </w:rPr>
        <w:t xml:space="preserve">La </w:t>
      </w:r>
      <w:r w:rsidRPr="00382D74">
        <w:rPr>
          <w:rFonts w:ascii="Verdana" w:eastAsia="Arial" w:hAnsi="Verdana" w:cs="Arial"/>
          <w:b/>
          <w:i/>
          <w:sz w:val="20"/>
          <w:szCs w:val="20"/>
          <w:lang w:val="es-MX" w:eastAsia="en-US"/>
        </w:rPr>
        <w:t>Corte</w:t>
      </w:r>
      <w:r w:rsidR="00D50FE5">
        <w:rPr>
          <w:rFonts w:ascii="Verdana" w:eastAsia="Arial" w:hAnsi="Verdana" w:cs="Arial"/>
          <w:sz w:val="20"/>
          <w:szCs w:val="20"/>
          <w:lang w:val="es-MX" w:eastAsia="en-US"/>
        </w:rPr>
        <w:t xml:space="preserve"> resalta que, de acuerdo con</w:t>
      </w:r>
      <w:r w:rsidRPr="00382D74">
        <w:rPr>
          <w:rFonts w:ascii="Verdana" w:eastAsia="Arial" w:hAnsi="Verdana" w:cs="Arial"/>
          <w:sz w:val="20"/>
          <w:szCs w:val="20"/>
          <w:lang w:val="es-MX" w:eastAsia="en-US"/>
        </w:rPr>
        <w:t xml:space="preserve"> lo estipulado en el artículo 50.1 del Reglamento, es una facultad discrecional de la Corte o su Presidencia determinar cuáles declaraciones deben ser rendidas ante fedatario público (affidávit) y cuáles estima necesario que sean rendidas en audiencia</w:t>
      </w:r>
      <w:r w:rsidRPr="00382D74">
        <w:rPr>
          <w:rFonts w:ascii="Verdana" w:eastAsia="Arial" w:hAnsi="Verdana" w:cs="Verdana"/>
          <w:sz w:val="20"/>
          <w:szCs w:val="20"/>
          <w:vertAlign w:val="superscript"/>
          <w:lang w:val="es-MX" w:eastAsia="en-US"/>
        </w:rPr>
        <w:footnoteReference w:id="5"/>
      </w:r>
      <w:r w:rsidRPr="00382D74">
        <w:rPr>
          <w:rFonts w:ascii="Verdana" w:eastAsia="Arial" w:hAnsi="Verdana" w:cs="Arial"/>
          <w:sz w:val="20"/>
          <w:szCs w:val="20"/>
          <w:lang w:val="es-MX" w:eastAsia="en-US"/>
        </w:rPr>
        <w:t xml:space="preserve">. </w:t>
      </w:r>
    </w:p>
    <w:p w:rsidR="00382D74" w:rsidRPr="00382D74" w:rsidRDefault="00382D74" w:rsidP="00382D74">
      <w:pPr>
        <w:widowControl w:val="0"/>
        <w:autoSpaceDE w:val="0"/>
        <w:autoSpaceDN w:val="0"/>
        <w:adjustRightInd w:val="0"/>
        <w:spacing w:after="0" w:line="240" w:lineRule="auto"/>
        <w:ind w:right="22"/>
        <w:jc w:val="both"/>
        <w:rPr>
          <w:rFonts w:ascii="Verdana" w:eastAsia="Arial" w:hAnsi="Verdana" w:cs="Arial"/>
          <w:sz w:val="20"/>
          <w:szCs w:val="20"/>
          <w:lang w:val="es-MX" w:eastAsia="en-US"/>
        </w:rPr>
      </w:pPr>
    </w:p>
    <w:p w:rsidR="00382D74" w:rsidRPr="00382D74" w:rsidRDefault="00382D74" w:rsidP="00382D74">
      <w:pPr>
        <w:numPr>
          <w:ilvl w:val="0"/>
          <w:numId w:val="2"/>
        </w:numPr>
        <w:spacing w:after="0" w:line="240" w:lineRule="auto"/>
        <w:ind w:right="18"/>
        <w:jc w:val="both"/>
        <w:rPr>
          <w:rFonts w:ascii="Verdana" w:eastAsia="Calibri" w:hAnsi="Verdana" w:cs="Verdana"/>
          <w:bCs/>
          <w:sz w:val="20"/>
          <w:szCs w:val="20"/>
          <w:lang w:val="es-MX" w:eastAsia="en-US"/>
        </w:rPr>
      </w:pPr>
      <w:r w:rsidRPr="00382D74">
        <w:rPr>
          <w:rFonts w:ascii="Verdana" w:eastAsia="Arial" w:hAnsi="Verdana" w:cs="Arial"/>
          <w:sz w:val="20"/>
          <w:szCs w:val="20"/>
          <w:lang w:val="es-MX" w:eastAsia="en-US"/>
        </w:rPr>
        <w:lastRenderedPageBreak/>
        <w:t xml:space="preserve">La determinación señalada se realiza previa constatación de las listas definitivas de declarantes presentadas por las partes y la Comisión, y considerando las observaciones que las partes y la Comisión </w:t>
      </w:r>
      <w:r w:rsidR="00FD7825">
        <w:rPr>
          <w:rFonts w:ascii="Verdana" w:eastAsia="Arial" w:hAnsi="Verdana" w:cs="Arial"/>
          <w:sz w:val="20"/>
          <w:szCs w:val="20"/>
          <w:lang w:val="es-MX" w:eastAsia="en-US"/>
        </w:rPr>
        <w:t>presenten</w:t>
      </w:r>
      <w:r w:rsidRPr="00382D74">
        <w:rPr>
          <w:rFonts w:ascii="Verdana" w:eastAsia="Arial" w:hAnsi="Verdana" w:cs="Arial"/>
          <w:sz w:val="20"/>
          <w:szCs w:val="20"/>
          <w:lang w:val="es-MX" w:eastAsia="en-US"/>
        </w:rPr>
        <w:t xml:space="preserve"> </w:t>
      </w:r>
      <w:r w:rsidR="00FD7825">
        <w:rPr>
          <w:rFonts w:ascii="Verdana" w:eastAsia="Arial" w:hAnsi="Verdana" w:cs="Arial"/>
          <w:sz w:val="20"/>
          <w:szCs w:val="20"/>
          <w:lang w:val="es-MX" w:eastAsia="en-US"/>
        </w:rPr>
        <w:t>sobre el particular</w:t>
      </w:r>
      <w:r w:rsidR="00D50FE5">
        <w:rPr>
          <w:rFonts w:ascii="Verdana" w:eastAsia="Arial" w:hAnsi="Verdana" w:cs="Arial"/>
          <w:sz w:val="20"/>
          <w:szCs w:val="20"/>
          <w:lang w:val="es-MX" w:eastAsia="en-US"/>
        </w:rPr>
        <w:t>, de acuerdo con</w:t>
      </w:r>
      <w:r w:rsidRPr="00382D74">
        <w:rPr>
          <w:rFonts w:ascii="Verdana" w:eastAsia="Arial" w:hAnsi="Verdana" w:cs="Arial"/>
          <w:sz w:val="20"/>
          <w:szCs w:val="20"/>
          <w:lang w:val="es-MX" w:eastAsia="en-US"/>
        </w:rPr>
        <w:t xml:space="preserve"> lo establecido en el artículo 46 del Reglamento. </w:t>
      </w:r>
    </w:p>
    <w:p w:rsidR="00382D74" w:rsidRPr="00382D74" w:rsidRDefault="00382D74" w:rsidP="00382D74">
      <w:pPr>
        <w:widowControl w:val="0"/>
        <w:autoSpaceDE w:val="0"/>
        <w:autoSpaceDN w:val="0"/>
        <w:adjustRightInd w:val="0"/>
        <w:spacing w:after="0" w:line="240" w:lineRule="auto"/>
        <w:ind w:right="22"/>
        <w:jc w:val="both"/>
        <w:rPr>
          <w:rFonts w:ascii="Verdana" w:eastAsia="Arial" w:hAnsi="Verdana" w:cs="Arial"/>
          <w:sz w:val="20"/>
          <w:szCs w:val="20"/>
          <w:lang w:val="es-MX" w:eastAsia="en-US"/>
        </w:rPr>
      </w:pPr>
    </w:p>
    <w:p w:rsidR="00382D74" w:rsidRPr="00382D74" w:rsidRDefault="00382D74" w:rsidP="00382D74">
      <w:pPr>
        <w:numPr>
          <w:ilvl w:val="0"/>
          <w:numId w:val="2"/>
        </w:numPr>
        <w:spacing w:after="0" w:line="240" w:lineRule="auto"/>
        <w:ind w:right="18"/>
        <w:jc w:val="both"/>
        <w:rPr>
          <w:rFonts w:ascii="Verdana" w:eastAsia="Calibri" w:hAnsi="Verdana" w:cs="Verdana"/>
          <w:bCs/>
          <w:sz w:val="20"/>
          <w:szCs w:val="20"/>
          <w:lang w:val="es-MX" w:eastAsia="en-US"/>
        </w:rPr>
      </w:pPr>
      <w:r w:rsidRPr="00382D74">
        <w:rPr>
          <w:rFonts w:ascii="Verdana" w:eastAsia="Arial" w:hAnsi="Verdana" w:cs="Arial"/>
          <w:sz w:val="20"/>
          <w:szCs w:val="20"/>
          <w:lang w:val="es-MX" w:eastAsia="en-US"/>
        </w:rPr>
        <w:t xml:space="preserve">El artículo 46 del Reglamento señala, además, </w:t>
      </w:r>
      <w:r w:rsidRPr="00382D74">
        <w:rPr>
          <w:rFonts w:ascii="Verdana" w:eastAsia="Arial" w:hAnsi="Verdana" w:cs="Arial"/>
          <w:i/>
          <w:sz w:val="20"/>
          <w:szCs w:val="20"/>
          <w:lang w:val="es-MX" w:eastAsia="en-US"/>
        </w:rPr>
        <w:t xml:space="preserve">inter </w:t>
      </w:r>
      <w:proofErr w:type="spellStart"/>
      <w:r w:rsidRPr="00382D74">
        <w:rPr>
          <w:rFonts w:ascii="Verdana" w:eastAsia="Arial" w:hAnsi="Verdana" w:cs="Arial"/>
          <w:i/>
          <w:sz w:val="20"/>
          <w:szCs w:val="20"/>
          <w:lang w:val="es-MX" w:eastAsia="en-US"/>
        </w:rPr>
        <w:t>alia</w:t>
      </w:r>
      <w:proofErr w:type="spellEnd"/>
      <w:r w:rsidRPr="00382D74">
        <w:rPr>
          <w:rFonts w:ascii="Verdana" w:eastAsia="Arial" w:hAnsi="Verdana" w:cs="Arial"/>
          <w:i/>
          <w:sz w:val="20"/>
          <w:szCs w:val="20"/>
          <w:lang w:val="es-MX" w:eastAsia="en-US"/>
        </w:rPr>
        <w:t>,</w:t>
      </w:r>
      <w:r w:rsidRPr="00382D74">
        <w:rPr>
          <w:rFonts w:ascii="Verdana" w:eastAsia="Arial" w:hAnsi="Verdana" w:cs="Arial"/>
          <w:sz w:val="20"/>
          <w:szCs w:val="20"/>
          <w:lang w:val="es-MX" w:eastAsia="en-US"/>
        </w:rPr>
        <w:t xml:space="preserve"> que al presentar las listas definitivas de declarantes </w:t>
      </w:r>
      <w:r w:rsidR="00051605" w:rsidRPr="00382D74">
        <w:rPr>
          <w:rFonts w:ascii="Verdana" w:eastAsia="Arial" w:hAnsi="Verdana" w:cs="Arial"/>
          <w:sz w:val="20"/>
          <w:szCs w:val="20"/>
          <w:lang w:val="es-MX" w:eastAsia="en-US"/>
        </w:rPr>
        <w:t>las partes o la Comisión, en el marco de sus decisiones y estrategia</w:t>
      </w:r>
      <w:r w:rsidR="00051605">
        <w:rPr>
          <w:rFonts w:ascii="Verdana" w:eastAsia="Arial" w:hAnsi="Verdana" w:cs="Arial"/>
          <w:sz w:val="20"/>
          <w:szCs w:val="20"/>
          <w:lang w:val="es-MX" w:eastAsia="en-US"/>
        </w:rPr>
        <w:t xml:space="preserve"> en el litigio del caso</w:t>
      </w:r>
      <w:r w:rsidR="00051605" w:rsidRPr="00382D74">
        <w:rPr>
          <w:rFonts w:ascii="Verdana" w:eastAsia="Arial" w:hAnsi="Verdana" w:cs="Arial"/>
          <w:sz w:val="20"/>
          <w:szCs w:val="20"/>
          <w:lang w:val="es-MX" w:eastAsia="en-US"/>
        </w:rPr>
        <w:t xml:space="preserve"> </w:t>
      </w:r>
      <w:r w:rsidRPr="00382D74">
        <w:rPr>
          <w:rFonts w:ascii="Verdana" w:eastAsia="Arial" w:hAnsi="Verdana" w:cs="Arial"/>
          <w:sz w:val="20"/>
          <w:szCs w:val="20"/>
          <w:lang w:val="es-MX" w:eastAsia="en-US"/>
        </w:rPr>
        <w:t>“</w:t>
      </w:r>
      <w:proofErr w:type="spellStart"/>
      <w:proofErr w:type="gramStart"/>
      <w:r w:rsidRPr="00382D74">
        <w:rPr>
          <w:rFonts w:ascii="Verdana" w:eastAsia="Arial" w:hAnsi="Verdana" w:cs="Arial"/>
          <w:sz w:val="20"/>
          <w:szCs w:val="20"/>
          <w:lang w:val="es-MX" w:eastAsia="en-US"/>
        </w:rPr>
        <w:t>indi</w:t>
      </w:r>
      <w:proofErr w:type="spellEnd"/>
      <w:r w:rsidRPr="00382D74">
        <w:rPr>
          <w:rFonts w:ascii="Verdana" w:eastAsia="Arial" w:hAnsi="Verdana" w:cs="Arial"/>
          <w:sz w:val="20"/>
          <w:szCs w:val="20"/>
          <w:lang w:val="es-MX" w:eastAsia="en-US"/>
        </w:rPr>
        <w:t>[</w:t>
      </w:r>
      <w:proofErr w:type="spellStart"/>
      <w:proofErr w:type="gramEnd"/>
      <w:r w:rsidRPr="00382D74">
        <w:rPr>
          <w:rFonts w:ascii="Verdana" w:eastAsia="Arial" w:hAnsi="Verdana" w:cs="Arial"/>
          <w:sz w:val="20"/>
          <w:szCs w:val="20"/>
          <w:lang w:val="es-MX" w:eastAsia="en-US"/>
        </w:rPr>
        <w:t>quen</w:t>
      </w:r>
      <w:proofErr w:type="spellEnd"/>
      <w:r w:rsidRPr="00382D74">
        <w:rPr>
          <w:rFonts w:ascii="Verdana" w:eastAsia="Arial" w:hAnsi="Verdana" w:cs="Arial"/>
          <w:sz w:val="20"/>
          <w:szCs w:val="20"/>
          <w:lang w:val="es-MX" w:eastAsia="en-US"/>
        </w:rPr>
        <w:t>] quienes de los declarantes ofrecidos consideran deben ser llamados a audiencia, en los casos en que la hubiere, y quienes pueden rendir declaración ante fedatario público (</w:t>
      </w:r>
      <w:r w:rsidRPr="00382D74">
        <w:rPr>
          <w:rFonts w:ascii="Verdana" w:eastAsia="Arial" w:hAnsi="Verdana" w:cs="Arial"/>
          <w:i/>
          <w:sz w:val="20"/>
          <w:szCs w:val="20"/>
          <w:lang w:val="es-MX" w:eastAsia="en-US"/>
        </w:rPr>
        <w:t>affidávit</w:t>
      </w:r>
      <w:r w:rsidRPr="00382D74">
        <w:rPr>
          <w:rFonts w:ascii="Verdana" w:eastAsia="Arial" w:hAnsi="Verdana" w:cs="Arial"/>
          <w:sz w:val="20"/>
          <w:szCs w:val="20"/>
          <w:lang w:val="es-MX" w:eastAsia="en-US"/>
        </w:rPr>
        <w:t xml:space="preserve">)”. No obstante, no expresa que esa indicación sea vinculante para la Corte o su Presidencia. </w:t>
      </w:r>
    </w:p>
    <w:p w:rsidR="00382D74" w:rsidRPr="00382D74" w:rsidRDefault="00382D74" w:rsidP="00382D74">
      <w:pPr>
        <w:widowControl w:val="0"/>
        <w:autoSpaceDE w:val="0"/>
        <w:autoSpaceDN w:val="0"/>
        <w:adjustRightInd w:val="0"/>
        <w:spacing w:after="0" w:line="240" w:lineRule="auto"/>
        <w:ind w:right="22"/>
        <w:jc w:val="both"/>
        <w:rPr>
          <w:rFonts w:ascii="Verdana" w:eastAsia="Calibri" w:hAnsi="Verdana" w:cs="Verdana"/>
          <w:bCs/>
          <w:sz w:val="20"/>
          <w:szCs w:val="20"/>
          <w:lang w:val="es-MX" w:eastAsia="en-US"/>
        </w:rPr>
      </w:pPr>
    </w:p>
    <w:p w:rsidR="00382D74" w:rsidRPr="00382D74" w:rsidRDefault="00FD1807" w:rsidP="00382D74">
      <w:pPr>
        <w:numPr>
          <w:ilvl w:val="0"/>
          <w:numId w:val="2"/>
        </w:numPr>
        <w:spacing w:after="0" w:line="240" w:lineRule="auto"/>
        <w:ind w:right="18"/>
        <w:jc w:val="both"/>
        <w:rPr>
          <w:rFonts w:ascii="Verdana" w:eastAsia="Calibri" w:hAnsi="Verdana" w:cs="Verdana"/>
          <w:bCs/>
          <w:sz w:val="20"/>
          <w:szCs w:val="20"/>
          <w:lang w:val="es-MX" w:eastAsia="en-US"/>
        </w:rPr>
      </w:pPr>
      <w:r>
        <w:rPr>
          <w:rFonts w:ascii="Verdana" w:eastAsia="Calibri" w:hAnsi="Verdana" w:cs="Verdana"/>
          <w:bCs/>
          <w:sz w:val="20"/>
          <w:szCs w:val="20"/>
          <w:lang w:val="es-MX" w:eastAsia="en-US"/>
        </w:rPr>
        <w:t xml:space="preserve">La Corte verifica </w:t>
      </w:r>
      <w:r w:rsidR="00382D74" w:rsidRPr="00382D74">
        <w:rPr>
          <w:rFonts w:ascii="Verdana" w:eastAsia="Calibri" w:hAnsi="Verdana" w:cs="Verdana"/>
          <w:bCs/>
          <w:sz w:val="20"/>
          <w:szCs w:val="20"/>
          <w:lang w:val="es-MX" w:eastAsia="en-US"/>
        </w:rPr>
        <w:t xml:space="preserve">que el señor </w:t>
      </w:r>
      <w:r>
        <w:rPr>
          <w:rFonts w:ascii="Verdana" w:eastAsia="Calibri" w:hAnsi="Verdana" w:cs="Verdana"/>
          <w:bCs/>
          <w:sz w:val="20"/>
          <w:szCs w:val="20"/>
          <w:lang w:val="es-MX" w:eastAsia="en-US"/>
        </w:rPr>
        <w:t>Iván Augusto Gómez Celis</w:t>
      </w:r>
      <w:r w:rsidR="00382D74" w:rsidRPr="00382D74">
        <w:rPr>
          <w:rFonts w:ascii="Verdana" w:eastAsia="Calibri" w:hAnsi="Verdana" w:cs="Verdana"/>
          <w:bCs/>
          <w:sz w:val="20"/>
          <w:szCs w:val="20"/>
          <w:lang w:val="es-MX" w:eastAsia="en-US"/>
        </w:rPr>
        <w:t xml:space="preserve"> fue </w:t>
      </w:r>
      <w:r w:rsidR="00AF1781">
        <w:rPr>
          <w:rFonts w:ascii="Verdana" w:eastAsia="Calibri" w:hAnsi="Verdana" w:cs="Verdana"/>
          <w:bCs/>
          <w:sz w:val="20"/>
          <w:szCs w:val="20"/>
          <w:lang w:val="es-MX" w:eastAsia="en-US"/>
        </w:rPr>
        <w:t>ofreci</w:t>
      </w:r>
      <w:r w:rsidR="00382D74" w:rsidRPr="00382D74">
        <w:rPr>
          <w:rFonts w:ascii="Verdana" w:eastAsia="Calibri" w:hAnsi="Verdana" w:cs="Verdana"/>
          <w:bCs/>
          <w:sz w:val="20"/>
          <w:szCs w:val="20"/>
          <w:lang w:val="es-MX" w:eastAsia="en-US"/>
        </w:rPr>
        <w:t xml:space="preserve">do por </w:t>
      </w:r>
      <w:r>
        <w:rPr>
          <w:rFonts w:ascii="Verdana" w:eastAsia="Calibri" w:hAnsi="Verdana" w:cs="Verdana"/>
          <w:bCs/>
          <w:sz w:val="20"/>
          <w:szCs w:val="20"/>
          <w:lang w:val="es-MX" w:eastAsia="en-US"/>
        </w:rPr>
        <w:t>el</w:t>
      </w:r>
      <w:r w:rsidR="00382D74" w:rsidRPr="00382D74">
        <w:rPr>
          <w:rFonts w:ascii="Verdana" w:eastAsia="Calibri" w:hAnsi="Verdana" w:cs="Verdana"/>
          <w:bCs/>
          <w:sz w:val="20"/>
          <w:szCs w:val="20"/>
          <w:lang w:val="es-MX" w:eastAsia="en-US"/>
        </w:rPr>
        <w:t xml:space="preserve"> </w:t>
      </w:r>
      <w:r>
        <w:rPr>
          <w:rFonts w:ascii="Verdana" w:eastAsia="Calibri" w:hAnsi="Verdana" w:cs="Verdana"/>
          <w:bCs/>
          <w:sz w:val="20"/>
          <w:szCs w:val="20"/>
          <w:lang w:val="es-MX" w:eastAsia="en-US"/>
        </w:rPr>
        <w:t>Estado</w:t>
      </w:r>
      <w:r w:rsidR="00382D74" w:rsidRPr="00382D74">
        <w:rPr>
          <w:rFonts w:ascii="Verdana" w:eastAsia="Calibri" w:hAnsi="Verdana" w:cs="Verdana"/>
          <w:bCs/>
          <w:sz w:val="20"/>
          <w:szCs w:val="20"/>
          <w:lang w:val="es-MX" w:eastAsia="en-US"/>
        </w:rPr>
        <w:t>, en su lista definit</w:t>
      </w:r>
      <w:r w:rsidR="00AF1781">
        <w:rPr>
          <w:rFonts w:ascii="Verdana" w:eastAsia="Calibri" w:hAnsi="Verdana" w:cs="Verdana"/>
          <w:bCs/>
          <w:sz w:val="20"/>
          <w:szCs w:val="20"/>
          <w:lang w:val="es-MX" w:eastAsia="en-US"/>
        </w:rPr>
        <w:t>iva, como uno de los testigos</w:t>
      </w:r>
      <w:r w:rsidR="00382D74" w:rsidRPr="00382D74">
        <w:rPr>
          <w:rFonts w:ascii="Verdana" w:eastAsia="Calibri" w:hAnsi="Verdana" w:cs="Verdana"/>
          <w:bCs/>
          <w:sz w:val="20"/>
          <w:szCs w:val="20"/>
          <w:lang w:val="es-MX" w:eastAsia="en-US"/>
        </w:rPr>
        <w:t xml:space="preserve"> que podía prestar su declaración en audiencia pública. </w:t>
      </w:r>
      <w:r>
        <w:rPr>
          <w:rFonts w:ascii="Verdana" w:eastAsia="Calibri" w:hAnsi="Verdana" w:cs="Verdana"/>
          <w:bCs/>
          <w:sz w:val="20"/>
          <w:szCs w:val="20"/>
          <w:lang w:val="es-MX" w:eastAsia="en-US"/>
        </w:rPr>
        <w:t>Ahora bien, la Corte ha señalado también que el objeto y la relevancia que las partes establezcan respecto a sus declarantes, no serían determinantes para que sean recibidas en audiencia pública, y no obsta para</w:t>
      </w:r>
      <w:r w:rsidR="00051605">
        <w:rPr>
          <w:rFonts w:ascii="Verdana" w:eastAsia="Calibri" w:hAnsi="Verdana" w:cs="Verdana"/>
          <w:bCs/>
          <w:sz w:val="20"/>
          <w:szCs w:val="20"/>
          <w:lang w:val="es-MX" w:eastAsia="en-US"/>
        </w:rPr>
        <w:t xml:space="preserve"> que la Corte o su Presidencia estime</w:t>
      </w:r>
      <w:r>
        <w:rPr>
          <w:rFonts w:ascii="Verdana" w:eastAsia="Calibri" w:hAnsi="Verdana" w:cs="Verdana"/>
          <w:bCs/>
          <w:sz w:val="20"/>
          <w:szCs w:val="20"/>
          <w:lang w:val="es-MX" w:eastAsia="en-US"/>
        </w:rPr>
        <w:t xml:space="preserve"> en su determinación, otras </w:t>
      </w:r>
      <w:r w:rsidR="00267972">
        <w:rPr>
          <w:rFonts w:ascii="Verdana" w:eastAsia="Calibri" w:hAnsi="Verdana" w:cs="Verdana"/>
          <w:bCs/>
          <w:sz w:val="20"/>
          <w:szCs w:val="20"/>
          <w:lang w:val="es-MX" w:eastAsia="en-US"/>
        </w:rPr>
        <w:t xml:space="preserve"> consideraciones, como la aplicación del principio de econom</w:t>
      </w:r>
      <w:r w:rsidR="00051605">
        <w:rPr>
          <w:rFonts w:ascii="Verdana" w:eastAsia="Calibri" w:hAnsi="Verdana" w:cs="Verdana"/>
          <w:bCs/>
          <w:sz w:val="20"/>
          <w:szCs w:val="20"/>
          <w:lang w:val="es-MX" w:eastAsia="en-US"/>
        </w:rPr>
        <w:t>ía procesal</w:t>
      </w:r>
      <w:r w:rsidR="00267972">
        <w:rPr>
          <w:rFonts w:ascii="Verdana" w:eastAsia="Calibri" w:hAnsi="Verdana" w:cs="Verdana"/>
          <w:bCs/>
          <w:sz w:val="20"/>
          <w:szCs w:val="20"/>
          <w:lang w:val="es-MX" w:eastAsia="en-US"/>
        </w:rPr>
        <w:t xml:space="preserve"> o</w:t>
      </w:r>
      <w:r w:rsidR="00051605">
        <w:rPr>
          <w:rFonts w:ascii="Verdana" w:eastAsia="Calibri" w:hAnsi="Verdana" w:cs="Verdana"/>
          <w:bCs/>
          <w:sz w:val="20"/>
          <w:szCs w:val="20"/>
          <w:lang w:val="es-MX" w:eastAsia="en-US"/>
        </w:rPr>
        <w:t>,</w:t>
      </w:r>
      <w:r w:rsidR="00267972">
        <w:rPr>
          <w:rFonts w:ascii="Verdana" w:eastAsia="Calibri" w:hAnsi="Verdana" w:cs="Verdana"/>
          <w:bCs/>
          <w:sz w:val="20"/>
          <w:szCs w:val="20"/>
          <w:lang w:val="es-MX" w:eastAsia="en-US"/>
        </w:rPr>
        <w:t xml:space="preserve"> de </w:t>
      </w:r>
      <w:r w:rsidR="00051605">
        <w:rPr>
          <w:rFonts w:ascii="Verdana" w:eastAsia="Calibri" w:hAnsi="Verdana" w:cs="Verdana"/>
          <w:bCs/>
          <w:sz w:val="20"/>
          <w:szCs w:val="20"/>
          <w:lang w:val="es-MX" w:eastAsia="en-US"/>
        </w:rPr>
        <w:t xml:space="preserve">ser necesario, las </w:t>
      </w:r>
      <w:r>
        <w:rPr>
          <w:rFonts w:ascii="Verdana" w:eastAsia="Calibri" w:hAnsi="Verdana" w:cs="Verdana"/>
          <w:bCs/>
          <w:sz w:val="20"/>
          <w:szCs w:val="20"/>
          <w:lang w:val="es-MX" w:eastAsia="en-US"/>
        </w:rPr>
        <w:t>circunstancias ate</w:t>
      </w:r>
      <w:r w:rsidR="00D50FE5">
        <w:rPr>
          <w:rFonts w:ascii="Verdana" w:eastAsia="Calibri" w:hAnsi="Verdana" w:cs="Verdana"/>
          <w:bCs/>
          <w:sz w:val="20"/>
          <w:szCs w:val="20"/>
          <w:lang w:val="es-MX" w:eastAsia="en-US"/>
        </w:rPr>
        <w:t>nientes a la prueba, tales como</w:t>
      </w:r>
      <w:r>
        <w:rPr>
          <w:rFonts w:ascii="Verdana" w:eastAsia="Calibri" w:hAnsi="Verdana" w:cs="Verdana"/>
          <w:bCs/>
          <w:sz w:val="20"/>
          <w:szCs w:val="20"/>
          <w:lang w:val="es-MX" w:eastAsia="en-US"/>
        </w:rPr>
        <w:t xml:space="preserve"> los objetos de las demás declaraciones admitidas y su relación con aspectos esenciales del caso</w:t>
      </w:r>
      <w:r w:rsidRPr="00F0795A">
        <w:rPr>
          <w:rStyle w:val="FootnoteReference"/>
          <w:rFonts w:eastAsia="Calibri"/>
          <w:bCs/>
          <w:sz w:val="20"/>
          <w:szCs w:val="20"/>
          <w:lang w:val="es-MX" w:eastAsia="en-US"/>
        </w:rPr>
        <w:footnoteReference w:id="6"/>
      </w:r>
      <w:r w:rsidR="00382D74" w:rsidRPr="00382D74">
        <w:rPr>
          <w:rFonts w:ascii="Verdana" w:eastAsia="Calibri" w:hAnsi="Verdana" w:cs="Verdana"/>
          <w:bCs/>
          <w:sz w:val="20"/>
          <w:szCs w:val="20"/>
          <w:lang w:val="es-MX" w:eastAsia="en-US"/>
        </w:rPr>
        <w:t xml:space="preserve">. </w:t>
      </w:r>
    </w:p>
    <w:p w:rsidR="00382D74" w:rsidRPr="00382D74" w:rsidRDefault="00382D74" w:rsidP="00382D74">
      <w:pPr>
        <w:widowControl w:val="0"/>
        <w:autoSpaceDE w:val="0"/>
        <w:autoSpaceDN w:val="0"/>
        <w:adjustRightInd w:val="0"/>
        <w:spacing w:after="0" w:line="240" w:lineRule="auto"/>
        <w:ind w:right="22"/>
        <w:jc w:val="both"/>
        <w:rPr>
          <w:rFonts w:ascii="Verdana" w:eastAsia="Calibri" w:hAnsi="Verdana" w:cs="Verdana"/>
          <w:bCs/>
          <w:sz w:val="20"/>
          <w:szCs w:val="20"/>
          <w:lang w:val="es-MX" w:eastAsia="en-US"/>
        </w:rPr>
      </w:pPr>
    </w:p>
    <w:p w:rsidR="00B36152" w:rsidRDefault="00295C81" w:rsidP="00897EB3">
      <w:pPr>
        <w:widowControl w:val="0"/>
        <w:numPr>
          <w:ilvl w:val="0"/>
          <w:numId w:val="2"/>
        </w:numPr>
        <w:autoSpaceDE w:val="0"/>
        <w:autoSpaceDN w:val="0"/>
        <w:adjustRightInd w:val="0"/>
        <w:spacing w:after="0" w:line="240" w:lineRule="auto"/>
        <w:ind w:right="22"/>
        <w:jc w:val="both"/>
        <w:rPr>
          <w:rFonts w:ascii="Verdana" w:eastAsia="Calibri" w:hAnsi="Verdana" w:cs="Verdana"/>
          <w:bCs/>
          <w:sz w:val="20"/>
          <w:szCs w:val="20"/>
          <w:lang w:val="es-MX" w:eastAsia="en-US"/>
        </w:rPr>
      </w:pPr>
      <w:r>
        <w:rPr>
          <w:rFonts w:ascii="Verdana" w:eastAsia="Calibri" w:hAnsi="Verdana" w:cs="Verdana"/>
          <w:bCs/>
          <w:sz w:val="20"/>
          <w:szCs w:val="20"/>
          <w:lang w:val="es-MX" w:eastAsia="en-US"/>
        </w:rPr>
        <w:t>E</w:t>
      </w:r>
      <w:r w:rsidR="00897EB3" w:rsidRPr="00897EB3">
        <w:rPr>
          <w:rFonts w:ascii="Verdana" w:eastAsia="Calibri" w:hAnsi="Verdana" w:cs="Verdana"/>
          <w:bCs/>
          <w:sz w:val="20"/>
          <w:szCs w:val="20"/>
          <w:lang w:val="es-MX" w:eastAsia="en-US"/>
        </w:rPr>
        <w:t xml:space="preserve">s </w:t>
      </w:r>
      <w:r>
        <w:rPr>
          <w:rFonts w:ascii="Verdana" w:eastAsia="Calibri" w:hAnsi="Verdana" w:cs="Verdana"/>
          <w:bCs/>
          <w:sz w:val="20"/>
          <w:szCs w:val="20"/>
          <w:lang w:val="es-MX" w:eastAsia="en-US"/>
        </w:rPr>
        <w:t xml:space="preserve">necesario </w:t>
      </w:r>
      <w:r w:rsidR="00897EB3" w:rsidRPr="00897EB3">
        <w:rPr>
          <w:rFonts w:ascii="Verdana" w:eastAsia="Calibri" w:hAnsi="Verdana" w:cs="Verdana"/>
          <w:bCs/>
          <w:sz w:val="20"/>
          <w:szCs w:val="20"/>
          <w:lang w:val="es-MX" w:eastAsia="en-US"/>
        </w:rPr>
        <w:t xml:space="preserve">señalar que toda potestad discrecional de esta Corte se </w:t>
      </w:r>
      <w:r w:rsidR="00AF1781">
        <w:rPr>
          <w:rFonts w:ascii="Verdana" w:eastAsia="Calibri" w:hAnsi="Verdana" w:cs="Verdana"/>
          <w:bCs/>
          <w:sz w:val="20"/>
          <w:szCs w:val="20"/>
          <w:lang w:val="es-MX" w:eastAsia="en-US"/>
        </w:rPr>
        <w:t>ejerce</w:t>
      </w:r>
      <w:r w:rsidR="00897EB3" w:rsidRPr="00897EB3">
        <w:rPr>
          <w:rFonts w:ascii="Verdana" w:eastAsia="Calibri" w:hAnsi="Verdana" w:cs="Verdana"/>
          <w:bCs/>
          <w:sz w:val="20"/>
          <w:szCs w:val="20"/>
          <w:lang w:val="es-MX" w:eastAsia="en-US"/>
        </w:rPr>
        <w:t xml:space="preserve"> con pleno respeto a los principios procesales que</w:t>
      </w:r>
      <w:r w:rsidR="00D50FE5">
        <w:rPr>
          <w:rFonts w:ascii="Verdana" w:eastAsia="Calibri" w:hAnsi="Verdana" w:cs="Verdana"/>
          <w:bCs/>
          <w:sz w:val="20"/>
          <w:szCs w:val="20"/>
          <w:lang w:val="es-MX" w:eastAsia="en-US"/>
        </w:rPr>
        <w:t xml:space="preserve"> rigen su actuación. Es así que</w:t>
      </w:r>
      <w:r w:rsidR="00897EB3" w:rsidRPr="00897EB3">
        <w:rPr>
          <w:rFonts w:ascii="Verdana" w:eastAsia="Calibri" w:hAnsi="Verdana" w:cs="Verdana"/>
          <w:bCs/>
          <w:sz w:val="20"/>
          <w:szCs w:val="20"/>
          <w:lang w:val="es-MX" w:eastAsia="en-US"/>
        </w:rPr>
        <w:t xml:space="preserve"> </w:t>
      </w:r>
      <w:r w:rsidR="00267972">
        <w:rPr>
          <w:rFonts w:ascii="Verdana" w:eastAsia="Calibri" w:hAnsi="Verdana" w:cs="Verdana"/>
          <w:bCs/>
          <w:sz w:val="20"/>
          <w:szCs w:val="20"/>
          <w:lang w:val="es-MX" w:eastAsia="en-US"/>
        </w:rPr>
        <w:t>el procedimiento</w:t>
      </w:r>
      <w:r w:rsidR="00897EB3" w:rsidRPr="00897EB3">
        <w:rPr>
          <w:rFonts w:ascii="Verdana" w:eastAsia="Calibri" w:hAnsi="Verdana" w:cs="Verdana"/>
          <w:bCs/>
          <w:sz w:val="20"/>
          <w:szCs w:val="20"/>
          <w:lang w:val="es-MX" w:eastAsia="en-US"/>
        </w:rPr>
        <w:t xml:space="preserve"> garanti</w:t>
      </w:r>
      <w:r w:rsidR="00051605">
        <w:rPr>
          <w:rFonts w:ascii="Verdana" w:eastAsia="Calibri" w:hAnsi="Verdana" w:cs="Verdana"/>
          <w:bCs/>
          <w:sz w:val="20"/>
          <w:szCs w:val="20"/>
          <w:lang w:val="es-MX" w:eastAsia="en-US"/>
        </w:rPr>
        <w:t>za</w:t>
      </w:r>
      <w:r w:rsidR="00897EB3" w:rsidRPr="00897EB3">
        <w:rPr>
          <w:rFonts w:ascii="Verdana" w:eastAsia="Calibri" w:hAnsi="Verdana" w:cs="Verdana"/>
          <w:bCs/>
          <w:sz w:val="20"/>
          <w:szCs w:val="20"/>
          <w:lang w:val="es-MX" w:eastAsia="en-US"/>
        </w:rPr>
        <w:t xml:space="preserve"> el equilibrio procesal entre las partes intervinientes, otorgando</w:t>
      </w:r>
      <w:r w:rsidR="00AF1781">
        <w:rPr>
          <w:rFonts w:ascii="Verdana" w:eastAsia="Calibri" w:hAnsi="Verdana" w:cs="Verdana"/>
          <w:bCs/>
          <w:sz w:val="20"/>
          <w:szCs w:val="20"/>
          <w:lang w:val="es-MX" w:eastAsia="en-US"/>
        </w:rPr>
        <w:t xml:space="preserve"> a ambas</w:t>
      </w:r>
      <w:r w:rsidR="00897EB3" w:rsidRPr="00897EB3">
        <w:rPr>
          <w:rFonts w:ascii="Verdana" w:eastAsia="Calibri" w:hAnsi="Verdana" w:cs="Verdana"/>
          <w:bCs/>
          <w:sz w:val="20"/>
          <w:szCs w:val="20"/>
          <w:lang w:val="es-MX" w:eastAsia="en-US"/>
        </w:rPr>
        <w:t xml:space="preserve"> la posibilidad de presentar los medios probatorios que consideren pertinentes a su pretensión. En esa línea, esta Corte considera que la </w:t>
      </w:r>
      <w:r w:rsidR="00051605">
        <w:rPr>
          <w:rFonts w:ascii="Verdana" w:eastAsia="Calibri" w:hAnsi="Verdana" w:cs="Verdana"/>
          <w:bCs/>
          <w:sz w:val="20"/>
          <w:szCs w:val="20"/>
          <w:lang w:val="es-MX" w:eastAsia="en-US"/>
        </w:rPr>
        <w:t xml:space="preserve">determinación de la </w:t>
      </w:r>
      <w:r w:rsidR="00897EB3">
        <w:rPr>
          <w:rFonts w:ascii="Verdana" w:eastAsia="Calibri" w:hAnsi="Verdana" w:cs="Verdana"/>
          <w:bCs/>
          <w:sz w:val="20"/>
          <w:szCs w:val="20"/>
          <w:lang w:val="es-MX" w:eastAsia="en-US"/>
        </w:rPr>
        <w:t xml:space="preserve">modalidad de </w:t>
      </w:r>
      <w:r w:rsidR="00897EB3" w:rsidRPr="00897EB3">
        <w:rPr>
          <w:rFonts w:ascii="Verdana" w:eastAsia="Calibri" w:hAnsi="Verdana" w:cs="Verdana"/>
          <w:bCs/>
          <w:sz w:val="20"/>
          <w:szCs w:val="20"/>
          <w:lang w:val="es-MX" w:eastAsia="en-US"/>
        </w:rPr>
        <w:t>recepción de</w:t>
      </w:r>
      <w:r w:rsidR="00267972">
        <w:rPr>
          <w:rFonts w:ascii="Verdana" w:eastAsia="Calibri" w:hAnsi="Verdana" w:cs="Verdana"/>
          <w:bCs/>
          <w:sz w:val="20"/>
          <w:szCs w:val="20"/>
          <w:lang w:val="es-MX" w:eastAsia="en-US"/>
        </w:rPr>
        <w:t xml:space="preserve"> un medio probatorio, en este caso,</w:t>
      </w:r>
      <w:r w:rsidR="00897EB3" w:rsidRPr="00897EB3">
        <w:rPr>
          <w:rFonts w:ascii="Verdana" w:eastAsia="Calibri" w:hAnsi="Verdana" w:cs="Verdana"/>
          <w:bCs/>
          <w:sz w:val="20"/>
          <w:szCs w:val="20"/>
          <w:lang w:val="es-MX" w:eastAsia="en-US"/>
        </w:rPr>
        <w:t xml:space="preserve"> una declaración</w:t>
      </w:r>
      <w:r w:rsidR="00897EB3">
        <w:rPr>
          <w:rFonts w:ascii="Verdana" w:eastAsia="Calibri" w:hAnsi="Verdana" w:cs="Verdana"/>
          <w:bCs/>
          <w:sz w:val="20"/>
          <w:szCs w:val="20"/>
          <w:lang w:val="es-MX" w:eastAsia="en-US"/>
        </w:rPr>
        <w:t>, ya sea</w:t>
      </w:r>
      <w:r w:rsidR="00897EB3" w:rsidRPr="00897EB3">
        <w:rPr>
          <w:rFonts w:ascii="Verdana" w:eastAsia="Calibri" w:hAnsi="Verdana" w:cs="Verdana"/>
          <w:bCs/>
          <w:sz w:val="20"/>
          <w:szCs w:val="20"/>
          <w:lang w:val="es-MX" w:eastAsia="en-US"/>
        </w:rPr>
        <w:t xml:space="preserve"> en audiencia pública o por a</w:t>
      </w:r>
      <w:r w:rsidR="00051605">
        <w:rPr>
          <w:rFonts w:ascii="Verdana" w:eastAsia="Calibri" w:hAnsi="Verdana" w:cs="Verdana"/>
          <w:bCs/>
          <w:sz w:val="20"/>
          <w:szCs w:val="20"/>
          <w:lang w:val="es-MX" w:eastAsia="en-US"/>
        </w:rPr>
        <w:t>f</w:t>
      </w:r>
      <w:r w:rsidR="00897EB3" w:rsidRPr="00897EB3">
        <w:rPr>
          <w:rFonts w:ascii="Verdana" w:eastAsia="Calibri" w:hAnsi="Verdana" w:cs="Verdana"/>
          <w:bCs/>
          <w:sz w:val="20"/>
          <w:szCs w:val="20"/>
          <w:lang w:val="es-MX" w:eastAsia="en-US"/>
        </w:rPr>
        <w:t xml:space="preserve">fidávit, no menoscaba o restringe el derecho de defensa de las partes en el procedimiento, pues </w:t>
      </w:r>
      <w:r w:rsidR="00051605">
        <w:rPr>
          <w:rFonts w:ascii="Verdana" w:eastAsia="Calibri" w:hAnsi="Verdana" w:cs="Verdana"/>
          <w:bCs/>
          <w:sz w:val="20"/>
          <w:szCs w:val="20"/>
          <w:lang w:val="es-MX" w:eastAsia="en-US"/>
        </w:rPr>
        <w:t>todos los</w:t>
      </w:r>
      <w:r w:rsidR="00897EB3" w:rsidRPr="00897EB3">
        <w:rPr>
          <w:rFonts w:ascii="Verdana" w:eastAsia="Calibri" w:hAnsi="Verdana" w:cs="Verdana"/>
          <w:bCs/>
          <w:sz w:val="20"/>
          <w:szCs w:val="20"/>
          <w:lang w:val="es-MX" w:eastAsia="en-US"/>
        </w:rPr>
        <w:t xml:space="preserve"> instrumentos probatorios serán igualmente valorados en la</w:t>
      </w:r>
      <w:r w:rsidR="00267972">
        <w:rPr>
          <w:rFonts w:ascii="Verdana" w:eastAsia="Calibri" w:hAnsi="Verdana" w:cs="Verdana"/>
          <w:bCs/>
          <w:sz w:val="20"/>
          <w:szCs w:val="20"/>
          <w:lang w:val="es-MX" w:eastAsia="en-US"/>
        </w:rPr>
        <w:t xml:space="preserve"> etapa procesal correspondiente.</w:t>
      </w:r>
      <w:r w:rsidR="00267972" w:rsidRPr="00267972">
        <w:rPr>
          <w:rFonts w:ascii="Verdana" w:eastAsia="Calibri" w:hAnsi="Verdana" w:cs="Verdana"/>
          <w:bCs/>
          <w:sz w:val="20"/>
          <w:szCs w:val="20"/>
          <w:lang w:val="es-MX" w:eastAsia="en-US"/>
        </w:rPr>
        <w:t xml:space="preserve"> </w:t>
      </w:r>
    </w:p>
    <w:p w:rsidR="00B36152" w:rsidRDefault="00B36152" w:rsidP="00B36152">
      <w:pPr>
        <w:widowControl w:val="0"/>
        <w:autoSpaceDE w:val="0"/>
        <w:autoSpaceDN w:val="0"/>
        <w:adjustRightInd w:val="0"/>
        <w:spacing w:after="0" w:line="240" w:lineRule="auto"/>
        <w:ind w:right="22"/>
        <w:jc w:val="both"/>
        <w:rPr>
          <w:rFonts w:ascii="Verdana" w:eastAsia="Calibri" w:hAnsi="Verdana" w:cs="Verdana"/>
          <w:bCs/>
          <w:sz w:val="20"/>
          <w:szCs w:val="20"/>
          <w:lang w:val="es-MX" w:eastAsia="en-US"/>
        </w:rPr>
      </w:pPr>
    </w:p>
    <w:p w:rsidR="00897EB3" w:rsidRDefault="00B36152" w:rsidP="00897EB3">
      <w:pPr>
        <w:widowControl w:val="0"/>
        <w:numPr>
          <w:ilvl w:val="0"/>
          <w:numId w:val="2"/>
        </w:numPr>
        <w:autoSpaceDE w:val="0"/>
        <w:autoSpaceDN w:val="0"/>
        <w:adjustRightInd w:val="0"/>
        <w:spacing w:after="0" w:line="240" w:lineRule="auto"/>
        <w:ind w:right="22"/>
        <w:jc w:val="both"/>
        <w:rPr>
          <w:rFonts w:ascii="Verdana" w:eastAsia="Calibri" w:hAnsi="Verdana" w:cs="Verdana"/>
          <w:bCs/>
          <w:sz w:val="20"/>
          <w:szCs w:val="20"/>
          <w:lang w:val="es-MX" w:eastAsia="en-US"/>
        </w:rPr>
      </w:pPr>
      <w:r>
        <w:rPr>
          <w:rFonts w:ascii="Verdana" w:eastAsia="Calibri" w:hAnsi="Verdana" w:cs="Verdana"/>
          <w:bCs/>
          <w:sz w:val="20"/>
          <w:szCs w:val="20"/>
          <w:lang w:val="es-MX" w:eastAsia="en-US"/>
        </w:rPr>
        <w:t>En esa línea, la Corte estima que</w:t>
      </w:r>
      <w:r w:rsidR="00267972">
        <w:rPr>
          <w:rFonts w:ascii="Verdana" w:eastAsia="Calibri" w:hAnsi="Verdana" w:cs="Verdana"/>
          <w:bCs/>
          <w:sz w:val="20"/>
          <w:szCs w:val="20"/>
          <w:lang w:val="es-MX" w:eastAsia="en-US"/>
        </w:rPr>
        <w:t xml:space="preserve"> la diferencia numérica de elementos probatorios a</w:t>
      </w:r>
      <w:r w:rsidR="00D50FE5">
        <w:rPr>
          <w:rFonts w:ascii="Verdana" w:eastAsia="Calibri" w:hAnsi="Verdana" w:cs="Verdana"/>
          <w:bCs/>
          <w:sz w:val="20"/>
          <w:szCs w:val="20"/>
          <w:lang w:val="es-MX" w:eastAsia="en-US"/>
        </w:rPr>
        <w:t xml:space="preserve"> ser </w:t>
      </w:r>
      <w:proofErr w:type="spellStart"/>
      <w:r w:rsidR="00D50FE5">
        <w:rPr>
          <w:rFonts w:ascii="Verdana" w:eastAsia="Calibri" w:hAnsi="Verdana" w:cs="Verdana"/>
          <w:bCs/>
          <w:sz w:val="20"/>
          <w:szCs w:val="20"/>
          <w:lang w:val="es-MX" w:eastAsia="en-US"/>
        </w:rPr>
        <w:t>recepcionados</w:t>
      </w:r>
      <w:proofErr w:type="spellEnd"/>
      <w:r w:rsidR="00D50FE5">
        <w:rPr>
          <w:rFonts w:ascii="Verdana" w:eastAsia="Calibri" w:hAnsi="Verdana" w:cs="Verdana"/>
          <w:bCs/>
          <w:sz w:val="20"/>
          <w:szCs w:val="20"/>
          <w:lang w:val="es-MX" w:eastAsia="en-US"/>
        </w:rPr>
        <w:t xml:space="preserve"> en audiencia</w:t>
      </w:r>
      <w:r w:rsidR="00267972">
        <w:rPr>
          <w:rFonts w:ascii="Verdana" w:eastAsia="Calibri" w:hAnsi="Verdana" w:cs="Verdana"/>
          <w:bCs/>
          <w:sz w:val="20"/>
          <w:szCs w:val="20"/>
          <w:lang w:val="es-MX" w:eastAsia="en-US"/>
        </w:rPr>
        <w:t xml:space="preserve"> no implica</w:t>
      </w:r>
      <w:r>
        <w:rPr>
          <w:rFonts w:ascii="Verdana" w:eastAsia="Calibri" w:hAnsi="Verdana" w:cs="Verdana"/>
          <w:bCs/>
          <w:sz w:val="20"/>
          <w:szCs w:val="20"/>
          <w:lang w:val="es-MX" w:eastAsia="en-US"/>
        </w:rPr>
        <w:t xml:space="preserve"> afectación al equilibrio procesal entre las partes en ventaja de una o desmedro de otra, pues se otorgó a ambas la oportunidad de incorporar al proceso los medios de prueba que estimen pertinentes, independientemente de su modo de actuación durante el procedimiento.</w:t>
      </w:r>
      <w:r w:rsidR="00CB3C40">
        <w:rPr>
          <w:rFonts w:ascii="Verdana" w:eastAsia="Calibri" w:hAnsi="Verdana" w:cs="Verdana"/>
          <w:bCs/>
          <w:sz w:val="20"/>
          <w:szCs w:val="20"/>
          <w:lang w:val="es-MX" w:eastAsia="en-US"/>
        </w:rPr>
        <w:t xml:space="preserve"> De modo meramente adicional, cabe señalar que en atención a que la señora Fabiola Álvarez Solano no comparecerá en la audiencia pública (</w:t>
      </w:r>
      <w:r w:rsidR="00CB3C40">
        <w:rPr>
          <w:rFonts w:ascii="Verdana" w:eastAsia="Calibri" w:hAnsi="Verdana" w:cs="Verdana"/>
          <w:bCs/>
          <w:i/>
          <w:sz w:val="20"/>
          <w:szCs w:val="20"/>
          <w:lang w:val="es-MX" w:eastAsia="en-US"/>
        </w:rPr>
        <w:t>infra</w:t>
      </w:r>
      <w:r w:rsidR="00CB3C40">
        <w:rPr>
          <w:rFonts w:ascii="Verdana" w:eastAsia="Calibri" w:hAnsi="Verdana" w:cs="Verdana"/>
          <w:bCs/>
          <w:sz w:val="20"/>
          <w:szCs w:val="20"/>
          <w:lang w:val="es-MX" w:eastAsia="en-US"/>
        </w:rPr>
        <w:t xml:space="preserve"> Considerando </w:t>
      </w:r>
      <w:r w:rsidR="000314F8" w:rsidRPr="003C4B4F">
        <w:rPr>
          <w:rFonts w:ascii="Verdana" w:eastAsia="Calibri" w:hAnsi="Verdana" w:cs="Verdana"/>
          <w:bCs/>
          <w:sz w:val="20"/>
          <w:szCs w:val="20"/>
          <w:lang w:val="es-MX" w:eastAsia="en-US"/>
        </w:rPr>
        <w:t>16</w:t>
      </w:r>
      <w:r w:rsidR="00CB3C40">
        <w:rPr>
          <w:rFonts w:ascii="Verdana" w:eastAsia="Calibri" w:hAnsi="Verdana" w:cs="Verdana"/>
          <w:bCs/>
          <w:sz w:val="20"/>
          <w:szCs w:val="20"/>
          <w:lang w:val="es-MX" w:eastAsia="en-US"/>
        </w:rPr>
        <w:t xml:space="preserve">), </w:t>
      </w:r>
      <w:r w:rsidR="00C5676D">
        <w:rPr>
          <w:rFonts w:ascii="Verdana" w:eastAsia="Calibri" w:hAnsi="Verdana" w:cs="Verdana"/>
          <w:bCs/>
          <w:sz w:val="20"/>
          <w:szCs w:val="20"/>
          <w:lang w:val="es-MX" w:eastAsia="en-US"/>
        </w:rPr>
        <w:t>el argumento estatal sobre la diferencia numérica de declarantes ofrecidos por las partes en la audiencia ha quedado carente de correlato con los presupuestos de hecho que lo sustentaban.</w:t>
      </w:r>
      <w:r w:rsidR="00CB3C40">
        <w:rPr>
          <w:rFonts w:ascii="Verdana" w:eastAsia="Calibri" w:hAnsi="Verdana" w:cs="Verdana"/>
          <w:bCs/>
          <w:sz w:val="20"/>
          <w:szCs w:val="20"/>
          <w:lang w:val="es-MX" w:eastAsia="en-US"/>
        </w:rPr>
        <w:t xml:space="preserve"> </w:t>
      </w:r>
    </w:p>
    <w:p w:rsidR="00897EB3" w:rsidRPr="00897EB3" w:rsidRDefault="00897EB3" w:rsidP="00897EB3">
      <w:pPr>
        <w:widowControl w:val="0"/>
        <w:autoSpaceDE w:val="0"/>
        <w:autoSpaceDN w:val="0"/>
        <w:adjustRightInd w:val="0"/>
        <w:spacing w:after="0" w:line="240" w:lineRule="auto"/>
        <w:ind w:right="22"/>
        <w:jc w:val="both"/>
        <w:rPr>
          <w:rFonts w:ascii="Verdana" w:eastAsia="Calibri" w:hAnsi="Verdana" w:cs="Verdana"/>
          <w:bCs/>
          <w:sz w:val="20"/>
          <w:szCs w:val="20"/>
          <w:lang w:val="es-MX" w:eastAsia="en-US"/>
        </w:rPr>
      </w:pPr>
    </w:p>
    <w:p w:rsidR="00382D74" w:rsidRPr="00382D74" w:rsidRDefault="00B36152" w:rsidP="00382D74">
      <w:pPr>
        <w:numPr>
          <w:ilvl w:val="0"/>
          <w:numId w:val="2"/>
        </w:numPr>
        <w:spacing w:after="0" w:line="240" w:lineRule="auto"/>
        <w:ind w:right="18"/>
        <w:jc w:val="both"/>
        <w:rPr>
          <w:rFonts w:ascii="Verdana" w:eastAsia="Calibri" w:hAnsi="Verdana" w:cs="Verdana"/>
          <w:bCs/>
          <w:sz w:val="20"/>
          <w:szCs w:val="20"/>
          <w:lang w:val="es-MX" w:eastAsia="en-US"/>
        </w:rPr>
      </w:pPr>
      <w:r w:rsidRPr="004E2EE7">
        <w:rPr>
          <w:rFonts w:ascii="Verdana" w:eastAsia="Calibri" w:hAnsi="Verdana" w:cs="Verdana"/>
          <w:bCs/>
          <w:sz w:val="20"/>
          <w:szCs w:val="20"/>
          <w:lang w:val="es-MX" w:eastAsia="en-US"/>
        </w:rPr>
        <w:t>Por último</w:t>
      </w:r>
      <w:r w:rsidR="00382D74" w:rsidRPr="00382D74">
        <w:rPr>
          <w:rFonts w:ascii="Verdana" w:eastAsia="Calibri" w:hAnsi="Verdana" w:cs="Verdana"/>
          <w:bCs/>
          <w:sz w:val="20"/>
          <w:szCs w:val="20"/>
          <w:lang w:val="es-MX" w:eastAsia="en-US"/>
        </w:rPr>
        <w:t xml:space="preserve">, este Tribunal no advierte que </w:t>
      </w:r>
      <w:r>
        <w:rPr>
          <w:rFonts w:ascii="Verdana" w:eastAsia="Calibri" w:hAnsi="Verdana" w:cs="Verdana"/>
          <w:bCs/>
          <w:sz w:val="20"/>
          <w:szCs w:val="20"/>
          <w:lang w:val="es-MX" w:eastAsia="en-US"/>
        </w:rPr>
        <w:t>la</w:t>
      </w:r>
      <w:r w:rsidR="004E2EE7">
        <w:rPr>
          <w:rFonts w:ascii="Verdana" w:eastAsia="Calibri" w:hAnsi="Verdana" w:cs="Verdana"/>
          <w:bCs/>
          <w:sz w:val="20"/>
          <w:szCs w:val="20"/>
          <w:lang w:val="es-MX" w:eastAsia="en-US"/>
        </w:rPr>
        <w:t xml:space="preserve"> determinación</w:t>
      </w:r>
      <w:r w:rsidR="00382D74" w:rsidRPr="00382D74">
        <w:rPr>
          <w:rFonts w:ascii="Verdana" w:eastAsia="Calibri" w:hAnsi="Verdana" w:cs="Verdana"/>
          <w:bCs/>
          <w:sz w:val="20"/>
          <w:szCs w:val="20"/>
          <w:lang w:val="es-MX" w:eastAsia="en-US"/>
        </w:rPr>
        <w:t xml:space="preserve"> </w:t>
      </w:r>
      <w:r w:rsidR="004E2EE7">
        <w:rPr>
          <w:rFonts w:ascii="Verdana" w:eastAsia="Calibri" w:hAnsi="Verdana" w:cs="Verdana"/>
          <w:bCs/>
          <w:sz w:val="20"/>
          <w:szCs w:val="20"/>
          <w:lang w:val="es-MX" w:eastAsia="en-US"/>
        </w:rPr>
        <w:t>d</w:t>
      </w:r>
      <w:r w:rsidR="00382D74" w:rsidRPr="00382D74">
        <w:rPr>
          <w:rFonts w:ascii="Verdana" w:eastAsia="Calibri" w:hAnsi="Verdana" w:cs="Verdana"/>
          <w:bCs/>
          <w:sz w:val="20"/>
          <w:szCs w:val="20"/>
          <w:lang w:val="es-MX" w:eastAsia="en-US"/>
        </w:rPr>
        <w:t>el modo de recibi</w:t>
      </w:r>
      <w:r w:rsidR="004E2EE7">
        <w:rPr>
          <w:rFonts w:ascii="Verdana" w:eastAsia="Calibri" w:hAnsi="Verdana" w:cs="Verdana"/>
          <w:bCs/>
          <w:sz w:val="20"/>
          <w:szCs w:val="20"/>
          <w:lang w:val="es-MX" w:eastAsia="en-US"/>
        </w:rPr>
        <w:t>r la declaración de Iván Augusto Gó</w:t>
      </w:r>
      <w:r w:rsidR="00D50FE5">
        <w:rPr>
          <w:rFonts w:ascii="Verdana" w:eastAsia="Calibri" w:hAnsi="Verdana" w:cs="Verdana"/>
          <w:bCs/>
          <w:sz w:val="20"/>
          <w:szCs w:val="20"/>
          <w:lang w:val="es-MX" w:eastAsia="en-US"/>
        </w:rPr>
        <w:t>mez Celis a través de affidávit</w:t>
      </w:r>
      <w:r w:rsidR="004E2EE7">
        <w:rPr>
          <w:rFonts w:ascii="Verdana" w:eastAsia="Calibri" w:hAnsi="Verdana" w:cs="Verdana"/>
          <w:bCs/>
          <w:sz w:val="20"/>
          <w:szCs w:val="20"/>
          <w:lang w:val="es-MX" w:eastAsia="en-US"/>
        </w:rPr>
        <w:t xml:space="preserve"> limite la sustentación que en defensa del Estado</w:t>
      </w:r>
      <w:r w:rsidR="00D50FE5">
        <w:rPr>
          <w:rFonts w:ascii="Verdana" w:eastAsia="Calibri" w:hAnsi="Verdana" w:cs="Verdana"/>
          <w:bCs/>
          <w:sz w:val="20"/>
          <w:szCs w:val="20"/>
          <w:lang w:val="es-MX" w:eastAsia="en-US"/>
        </w:rPr>
        <w:t xml:space="preserve"> se quiera promover, ni priva</w:t>
      </w:r>
      <w:r w:rsidR="004E2EE7">
        <w:rPr>
          <w:rFonts w:ascii="Verdana" w:eastAsia="Calibri" w:hAnsi="Verdana" w:cs="Verdana"/>
          <w:bCs/>
          <w:sz w:val="20"/>
          <w:szCs w:val="20"/>
          <w:lang w:val="es-MX" w:eastAsia="en-US"/>
        </w:rPr>
        <w:t xml:space="preserve"> a los representantes y la Comisión de conocer el contenido de dicha sustentación en el marco del objeto aprobado en la resolución de convocatoria</w:t>
      </w:r>
      <w:r w:rsidR="004E2EE7">
        <w:rPr>
          <w:rStyle w:val="FootnoteReference"/>
          <w:rFonts w:eastAsia="Calibri"/>
          <w:bCs/>
          <w:lang w:val="es-MX" w:eastAsia="en-US"/>
        </w:rPr>
        <w:footnoteReference w:id="7"/>
      </w:r>
      <w:r w:rsidR="004E2EE7">
        <w:rPr>
          <w:rFonts w:ascii="Verdana" w:eastAsia="Calibri" w:hAnsi="Verdana" w:cs="Verdana"/>
          <w:bCs/>
          <w:sz w:val="20"/>
          <w:szCs w:val="20"/>
          <w:lang w:val="es-MX" w:eastAsia="en-US"/>
        </w:rPr>
        <w:t>.</w:t>
      </w:r>
    </w:p>
    <w:p w:rsidR="00382D74" w:rsidRPr="00382D74" w:rsidRDefault="00382D74" w:rsidP="00382D74">
      <w:pPr>
        <w:widowControl w:val="0"/>
        <w:autoSpaceDE w:val="0"/>
        <w:autoSpaceDN w:val="0"/>
        <w:adjustRightInd w:val="0"/>
        <w:spacing w:after="0" w:line="240" w:lineRule="auto"/>
        <w:ind w:right="22"/>
        <w:jc w:val="both"/>
        <w:rPr>
          <w:rFonts w:ascii="Verdana" w:eastAsia="Calibri" w:hAnsi="Verdana" w:cs="Verdana"/>
          <w:bCs/>
          <w:sz w:val="20"/>
          <w:szCs w:val="20"/>
          <w:lang w:val="es-MX" w:eastAsia="en-US"/>
        </w:rPr>
      </w:pPr>
    </w:p>
    <w:p w:rsidR="00382D74" w:rsidRPr="00A35DA6" w:rsidRDefault="00382D74" w:rsidP="00DF11DE">
      <w:pPr>
        <w:widowControl w:val="0"/>
        <w:numPr>
          <w:ilvl w:val="0"/>
          <w:numId w:val="2"/>
        </w:numPr>
        <w:autoSpaceDE w:val="0"/>
        <w:autoSpaceDN w:val="0"/>
        <w:adjustRightInd w:val="0"/>
        <w:spacing w:after="0" w:line="240" w:lineRule="auto"/>
        <w:ind w:right="18"/>
        <w:jc w:val="both"/>
        <w:rPr>
          <w:rFonts w:ascii="Verdana" w:eastAsia="Calibri" w:hAnsi="Verdana" w:cs="Verdana"/>
          <w:b/>
          <w:sz w:val="20"/>
          <w:szCs w:val="20"/>
          <w:lang w:val="es-MX" w:eastAsia="en-US"/>
        </w:rPr>
      </w:pPr>
      <w:r w:rsidRPr="00FD7825">
        <w:rPr>
          <w:rFonts w:ascii="Verdana" w:eastAsia="Calibri" w:hAnsi="Verdana" w:cs="Verdana"/>
          <w:sz w:val="20"/>
          <w:szCs w:val="20"/>
          <w:lang w:val="es-MX" w:eastAsia="en-US"/>
        </w:rPr>
        <w:t xml:space="preserve">Con base en todo lo anterior, este Tribunal no encuentra razones para apartarse de la resolución emitida por el Presidente en ejercicio para el presente caso, por lo que </w:t>
      </w:r>
      <w:r w:rsidRPr="00FD7825">
        <w:rPr>
          <w:rFonts w:ascii="Verdana" w:eastAsia="Calibri" w:hAnsi="Verdana" w:cs="Calibri"/>
          <w:sz w:val="20"/>
          <w:szCs w:val="20"/>
          <w:lang w:val="es-CR" w:eastAsia="en-US"/>
        </w:rPr>
        <w:t xml:space="preserve">mantiene su decisión de convocar al </w:t>
      </w:r>
      <w:r w:rsidR="00FD7825" w:rsidRPr="00FD7825">
        <w:rPr>
          <w:rFonts w:ascii="Verdana" w:eastAsia="Calibri" w:hAnsi="Verdana" w:cs="Calibri"/>
          <w:sz w:val="20"/>
          <w:szCs w:val="20"/>
          <w:lang w:val="es-CR" w:eastAsia="en-US"/>
        </w:rPr>
        <w:t>testigo Iván Augusto Gómez Celis a rendir su declaración</w:t>
      </w:r>
      <w:r w:rsidRPr="00FD7825">
        <w:rPr>
          <w:rFonts w:ascii="Verdana" w:eastAsia="Calibri" w:hAnsi="Verdana" w:cs="Calibri"/>
          <w:sz w:val="20"/>
          <w:szCs w:val="20"/>
          <w:lang w:val="es-CR" w:eastAsia="en-US"/>
        </w:rPr>
        <w:t xml:space="preserve"> por affidávit. </w:t>
      </w:r>
    </w:p>
    <w:p w:rsidR="00C5676D" w:rsidRDefault="00C5676D" w:rsidP="00A35DA6">
      <w:pPr>
        <w:pStyle w:val="ListParagraph"/>
        <w:spacing w:after="0"/>
        <w:rPr>
          <w:rFonts w:ascii="Verdana" w:eastAsia="Calibri" w:hAnsi="Verdana" w:cs="Verdana"/>
          <w:b/>
          <w:sz w:val="20"/>
          <w:szCs w:val="20"/>
          <w:lang w:val="es-MX" w:eastAsia="en-US"/>
        </w:rPr>
      </w:pPr>
    </w:p>
    <w:p w:rsidR="00C5676D" w:rsidRPr="00A35DA6" w:rsidRDefault="00C5676D" w:rsidP="00A35DA6">
      <w:pPr>
        <w:widowControl w:val="0"/>
        <w:autoSpaceDE w:val="0"/>
        <w:autoSpaceDN w:val="0"/>
        <w:adjustRightInd w:val="0"/>
        <w:spacing w:after="0" w:line="240" w:lineRule="auto"/>
        <w:ind w:left="284" w:right="18"/>
        <w:jc w:val="both"/>
        <w:rPr>
          <w:rFonts w:ascii="Verdana" w:eastAsia="Calibri" w:hAnsi="Verdana" w:cs="Verdana"/>
          <w:b/>
          <w:sz w:val="20"/>
          <w:szCs w:val="20"/>
          <w:lang w:val="es-MX" w:eastAsia="en-US"/>
        </w:rPr>
      </w:pPr>
      <w:r>
        <w:rPr>
          <w:rFonts w:ascii="Verdana" w:eastAsia="Calibri" w:hAnsi="Verdana" w:cs="Verdana"/>
          <w:b/>
          <w:i/>
          <w:sz w:val="20"/>
          <w:szCs w:val="20"/>
          <w:lang w:val="es-MX" w:eastAsia="en-US"/>
        </w:rPr>
        <w:t xml:space="preserve">B. </w:t>
      </w:r>
      <w:r w:rsidRPr="00382D74">
        <w:rPr>
          <w:rFonts w:ascii="Verdana" w:eastAsia="Calibri" w:hAnsi="Verdana" w:cs="Verdana"/>
          <w:b/>
          <w:i/>
          <w:sz w:val="20"/>
          <w:szCs w:val="20"/>
          <w:lang w:val="es-MX" w:eastAsia="en-US"/>
        </w:rPr>
        <w:t>Sobre l</w:t>
      </w:r>
      <w:r>
        <w:rPr>
          <w:rFonts w:ascii="Verdana" w:eastAsia="Calibri" w:hAnsi="Verdana" w:cs="Verdana"/>
          <w:b/>
          <w:i/>
          <w:sz w:val="20"/>
          <w:szCs w:val="20"/>
          <w:lang w:val="es-MX" w:eastAsia="en-US"/>
        </w:rPr>
        <w:t xml:space="preserve">a declaración de </w:t>
      </w:r>
      <w:r w:rsidR="00DF11DE">
        <w:rPr>
          <w:rFonts w:ascii="Verdana" w:eastAsia="Calibri" w:hAnsi="Verdana" w:cs="Verdana"/>
          <w:b/>
          <w:i/>
          <w:sz w:val="20"/>
          <w:szCs w:val="20"/>
          <w:lang w:val="es-MX" w:eastAsia="en-US"/>
        </w:rPr>
        <w:t>Fabiola Álvarez Solano</w:t>
      </w:r>
    </w:p>
    <w:p w:rsidR="00C5676D" w:rsidRDefault="00C5676D" w:rsidP="00A35DA6">
      <w:pPr>
        <w:pStyle w:val="ListParagraph"/>
        <w:spacing w:after="0"/>
        <w:rPr>
          <w:rFonts w:ascii="Verdana" w:eastAsia="Calibri" w:hAnsi="Verdana" w:cs="Verdana"/>
          <w:b/>
          <w:sz w:val="20"/>
          <w:szCs w:val="20"/>
          <w:lang w:val="es-MX" w:eastAsia="en-US"/>
        </w:rPr>
      </w:pPr>
    </w:p>
    <w:p w:rsidR="00C5676D" w:rsidRPr="00DF11DE" w:rsidRDefault="00A35DA6" w:rsidP="00A35DA6">
      <w:pPr>
        <w:widowControl w:val="0"/>
        <w:numPr>
          <w:ilvl w:val="0"/>
          <w:numId w:val="2"/>
        </w:numPr>
        <w:autoSpaceDE w:val="0"/>
        <w:autoSpaceDN w:val="0"/>
        <w:adjustRightInd w:val="0"/>
        <w:spacing w:after="0" w:line="240" w:lineRule="auto"/>
        <w:ind w:right="18"/>
        <w:jc w:val="both"/>
        <w:rPr>
          <w:rFonts w:ascii="Verdana" w:eastAsia="Calibri" w:hAnsi="Verdana" w:cs="Verdana"/>
          <w:b/>
          <w:sz w:val="20"/>
          <w:szCs w:val="20"/>
          <w:lang w:val="es-MX" w:eastAsia="en-US"/>
        </w:rPr>
      </w:pPr>
      <w:r>
        <w:rPr>
          <w:rFonts w:ascii="Verdana" w:eastAsia="Calibri" w:hAnsi="Verdana" w:cs="Verdana"/>
          <w:sz w:val="20"/>
          <w:szCs w:val="20"/>
          <w:lang w:val="es-MX" w:eastAsia="en-US"/>
        </w:rPr>
        <w:t>En su escrito</w:t>
      </w:r>
      <w:r w:rsidR="00C5676D" w:rsidRPr="00A35DA6">
        <w:rPr>
          <w:rFonts w:ascii="Verdana" w:eastAsia="Calibri" w:hAnsi="Verdana" w:cs="Verdana"/>
          <w:sz w:val="20"/>
          <w:szCs w:val="20"/>
          <w:lang w:val="es-MX" w:eastAsia="en-US"/>
        </w:rPr>
        <w:t xml:space="preserve"> de 8 de mayo de 2017 los </w:t>
      </w:r>
      <w:r w:rsidR="00C5676D" w:rsidRPr="00A35DA6">
        <w:rPr>
          <w:rFonts w:ascii="Verdana" w:eastAsia="Calibri" w:hAnsi="Verdana" w:cs="Verdana"/>
          <w:b/>
          <w:i/>
          <w:sz w:val="20"/>
          <w:szCs w:val="20"/>
          <w:lang w:val="es-MX" w:eastAsia="en-US"/>
        </w:rPr>
        <w:t>representantes</w:t>
      </w:r>
      <w:r w:rsidR="00C5676D" w:rsidRPr="00A35DA6">
        <w:rPr>
          <w:rFonts w:ascii="Verdana" w:eastAsia="Calibri" w:hAnsi="Verdana" w:cs="Verdana"/>
          <w:sz w:val="20"/>
          <w:szCs w:val="20"/>
          <w:lang w:val="es-MX" w:eastAsia="en-US"/>
        </w:rPr>
        <w:t xml:space="preserve"> “</w:t>
      </w:r>
      <w:proofErr w:type="gramStart"/>
      <w:r w:rsidR="00C5676D" w:rsidRPr="00A35DA6">
        <w:rPr>
          <w:rFonts w:ascii="Verdana" w:eastAsia="Calibri" w:hAnsi="Verdana" w:cs="Verdana"/>
          <w:sz w:val="20"/>
          <w:szCs w:val="20"/>
          <w:lang w:val="es-MX" w:eastAsia="en-US"/>
        </w:rPr>
        <w:t>i</w:t>
      </w:r>
      <w:proofErr w:type="spellStart"/>
      <w:r w:rsidR="00C5676D" w:rsidRPr="00A35DA6">
        <w:rPr>
          <w:rFonts w:ascii="Verdana" w:hAnsi="Verdana" w:cs="TimesNewRomanPSMT"/>
          <w:sz w:val="20"/>
          <w:szCs w:val="20"/>
          <w:lang w:val="es-CR"/>
        </w:rPr>
        <w:t>nformar</w:t>
      </w:r>
      <w:proofErr w:type="spellEnd"/>
      <w:r w:rsidR="00C5676D" w:rsidRPr="00A35DA6">
        <w:rPr>
          <w:rFonts w:ascii="Verdana" w:hAnsi="Verdana" w:cs="TimesNewRomanPSMT"/>
          <w:sz w:val="20"/>
          <w:szCs w:val="20"/>
          <w:lang w:val="es-CR"/>
        </w:rPr>
        <w:t>[</w:t>
      </w:r>
      <w:proofErr w:type="spellStart"/>
      <w:proofErr w:type="gramEnd"/>
      <w:r w:rsidR="00C5676D" w:rsidRPr="00A35DA6">
        <w:rPr>
          <w:rFonts w:ascii="Verdana" w:hAnsi="Verdana" w:cs="TimesNewRomanPSMT"/>
          <w:sz w:val="20"/>
          <w:szCs w:val="20"/>
          <w:lang w:val="es-CR"/>
        </w:rPr>
        <w:t>on</w:t>
      </w:r>
      <w:proofErr w:type="spellEnd"/>
      <w:r w:rsidR="00C5676D" w:rsidRPr="00A35DA6">
        <w:rPr>
          <w:rFonts w:ascii="Verdana" w:hAnsi="Verdana" w:cs="TimesNewRomanPSMT"/>
          <w:sz w:val="20"/>
          <w:szCs w:val="20"/>
          <w:lang w:val="es-CR"/>
        </w:rPr>
        <w:t>] a la […]</w:t>
      </w:r>
      <w:r w:rsidR="00ED6832">
        <w:rPr>
          <w:rFonts w:ascii="Verdana" w:hAnsi="Verdana" w:cs="TimesNewRomanPSMT"/>
          <w:sz w:val="20"/>
          <w:szCs w:val="20"/>
          <w:lang w:val="es-CR"/>
        </w:rPr>
        <w:t xml:space="preserve"> </w:t>
      </w:r>
      <w:r w:rsidR="00C5676D" w:rsidRPr="00A35DA6">
        <w:rPr>
          <w:rFonts w:ascii="Verdana" w:hAnsi="Verdana" w:cs="TimesNewRomanPSMT"/>
          <w:sz w:val="20"/>
          <w:szCs w:val="20"/>
          <w:lang w:val="es-CR"/>
        </w:rPr>
        <w:t>Corte que debido a su situación de salud actual, la señora Fabiola Álvarez Solano no puede atender la convocatoria a la audiencia pública[,] pues el 29 de marzo de 2017 tuvo una intervención q[u]</w:t>
      </w:r>
      <w:proofErr w:type="spellStart"/>
      <w:r w:rsidR="00C5676D" w:rsidRPr="00A35DA6">
        <w:rPr>
          <w:rFonts w:ascii="Verdana" w:hAnsi="Verdana" w:cs="TimesNewRomanPSMT"/>
          <w:sz w:val="20"/>
          <w:szCs w:val="20"/>
          <w:lang w:val="es-CR"/>
        </w:rPr>
        <w:t>irúrgica</w:t>
      </w:r>
      <w:proofErr w:type="spellEnd"/>
      <w:r w:rsidR="00C5676D" w:rsidRPr="00A35DA6">
        <w:rPr>
          <w:rFonts w:ascii="Verdana" w:hAnsi="Verdana" w:cs="TimesNewRomanPSMT"/>
          <w:sz w:val="20"/>
          <w:szCs w:val="20"/>
          <w:lang w:val="es-CR"/>
        </w:rPr>
        <w:t xml:space="preserve">”. En apoyo de lo expresado, presentaron copia de </w:t>
      </w:r>
      <w:r w:rsidR="00C5676D" w:rsidRPr="00A35DA6">
        <w:rPr>
          <w:rFonts w:ascii="Verdana" w:eastAsia="Calibri" w:hAnsi="Verdana" w:cs="Verdana"/>
          <w:bCs/>
          <w:sz w:val="20"/>
          <w:szCs w:val="20"/>
          <w:lang w:val="es-CR" w:eastAsia="en-US"/>
        </w:rPr>
        <w:t>un documento de “</w:t>
      </w:r>
      <w:r w:rsidR="00C5676D" w:rsidRPr="00A35DA6">
        <w:rPr>
          <w:rFonts w:ascii="Verdana" w:hAnsi="Verdana" w:cs="TimesNewRomanPSMT"/>
          <w:sz w:val="20"/>
          <w:szCs w:val="20"/>
          <w:lang w:val="es-CR"/>
        </w:rPr>
        <w:t xml:space="preserve">historia clínica”, </w:t>
      </w:r>
      <w:r w:rsidR="00C5676D" w:rsidRPr="00A35DA6">
        <w:rPr>
          <w:rFonts w:ascii="Verdana" w:hAnsi="Verdana" w:cs="TimesNewRomanPSMT"/>
          <w:sz w:val="20"/>
          <w:szCs w:val="20"/>
          <w:lang w:val="es-CR"/>
        </w:rPr>
        <w:lastRenderedPageBreak/>
        <w:t>que acredita la “</w:t>
      </w:r>
      <w:proofErr w:type="spellStart"/>
      <w:proofErr w:type="gramStart"/>
      <w:r w:rsidR="00C5676D" w:rsidRPr="00A35DA6">
        <w:rPr>
          <w:rFonts w:ascii="Verdana" w:hAnsi="Verdana" w:cs="TimesNewRomanPSMT"/>
          <w:sz w:val="20"/>
          <w:szCs w:val="20"/>
          <w:lang w:val="es-CR"/>
        </w:rPr>
        <w:t>imposibili</w:t>
      </w:r>
      <w:proofErr w:type="spellEnd"/>
      <w:r w:rsidR="00C5676D" w:rsidRPr="00A35DA6">
        <w:rPr>
          <w:rFonts w:ascii="Verdana" w:hAnsi="Verdana" w:cs="TimesNewRomanPSMT"/>
          <w:sz w:val="20"/>
          <w:szCs w:val="20"/>
          <w:lang w:val="es-CR"/>
        </w:rPr>
        <w:t>[</w:t>
      </w:r>
      <w:proofErr w:type="gramEnd"/>
      <w:r w:rsidR="00C5676D" w:rsidRPr="00A35DA6">
        <w:rPr>
          <w:rFonts w:ascii="Verdana" w:hAnsi="Verdana" w:cs="TimesNewRomanPSMT"/>
          <w:sz w:val="20"/>
          <w:szCs w:val="20"/>
          <w:lang w:val="es-CR"/>
        </w:rPr>
        <w:t xml:space="preserve">dad de] un desplazamiento de larga duración”. Solicitaron que se “releve a la señora Fabiola Álvarez Solando de su asistencia a declarar en la audiencia pública” y que </w:t>
      </w:r>
      <w:r w:rsidR="000314F8" w:rsidRPr="00A35DA6">
        <w:rPr>
          <w:rFonts w:ascii="Verdana" w:hAnsi="Verdana" w:cs="TimesNewRomanPSMT"/>
          <w:sz w:val="20"/>
          <w:szCs w:val="20"/>
          <w:lang w:val="es-CR"/>
        </w:rPr>
        <w:t>su declaración sea recibida “</w:t>
      </w:r>
      <w:r w:rsidR="00C5676D" w:rsidRPr="00A35DA6">
        <w:rPr>
          <w:rFonts w:ascii="Verdana" w:hAnsi="Verdana" w:cs="TimesNewRomanPSMT"/>
          <w:sz w:val="20"/>
          <w:szCs w:val="20"/>
          <w:lang w:val="es-CR"/>
        </w:rPr>
        <w:t xml:space="preserve">por </w:t>
      </w:r>
      <w:proofErr w:type="spellStart"/>
      <w:r w:rsidR="00C5676D" w:rsidRPr="00A35DA6">
        <w:rPr>
          <w:rFonts w:ascii="Verdana" w:hAnsi="Verdana" w:cs="TimesNewRomanPSMT"/>
          <w:sz w:val="20"/>
          <w:szCs w:val="20"/>
          <w:lang w:val="es-CR"/>
        </w:rPr>
        <w:t>af</w:t>
      </w:r>
      <w:proofErr w:type="spellEnd"/>
      <w:r w:rsidR="0065641A">
        <w:rPr>
          <w:rFonts w:ascii="Verdana" w:hAnsi="Verdana" w:cs="TimesNewRomanPSMT"/>
          <w:sz w:val="20"/>
          <w:szCs w:val="20"/>
          <w:lang w:val="es-CR"/>
        </w:rPr>
        <w:t>[f]</w:t>
      </w:r>
      <w:proofErr w:type="spellStart"/>
      <w:r w:rsidR="00C5676D" w:rsidRPr="00A35DA6">
        <w:rPr>
          <w:rFonts w:ascii="Verdana" w:hAnsi="Verdana" w:cs="TimesNewRomanPSMT"/>
          <w:sz w:val="20"/>
          <w:szCs w:val="20"/>
          <w:lang w:val="es-CR"/>
        </w:rPr>
        <w:t>idávit</w:t>
      </w:r>
      <w:proofErr w:type="spellEnd"/>
      <w:r w:rsidR="00C5676D" w:rsidRPr="00A35DA6">
        <w:rPr>
          <w:rFonts w:ascii="Verdana" w:hAnsi="Verdana" w:cs="TimesNewRomanPSMT"/>
          <w:sz w:val="20"/>
          <w:szCs w:val="20"/>
          <w:lang w:val="es-CR"/>
        </w:rPr>
        <w:t xml:space="preserve"> dentro de los plazos previstos para los </w:t>
      </w:r>
      <w:r w:rsidR="000314F8" w:rsidRPr="00A35DA6">
        <w:rPr>
          <w:rFonts w:ascii="Verdana" w:hAnsi="Verdana" w:cs="TimesNewRomanPSMT"/>
          <w:sz w:val="20"/>
          <w:szCs w:val="20"/>
          <w:lang w:val="es-CR"/>
        </w:rPr>
        <w:t xml:space="preserve">demás </w:t>
      </w:r>
      <w:r w:rsidR="00C5676D" w:rsidRPr="00A35DA6">
        <w:rPr>
          <w:rFonts w:ascii="Verdana" w:hAnsi="Verdana" w:cs="TimesNewRomanPSMT"/>
          <w:sz w:val="20"/>
          <w:szCs w:val="20"/>
          <w:lang w:val="es-CR"/>
        </w:rPr>
        <w:t>deponentes</w:t>
      </w:r>
      <w:r w:rsidR="000314F8" w:rsidRPr="00A35DA6">
        <w:rPr>
          <w:rFonts w:ascii="Verdana" w:hAnsi="Verdana" w:cs="TimesNewRomanPSMT"/>
          <w:sz w:val="20"/>
          <w:szCs w:val="20"/>
          <w:lang w:val="es-CR"/>
        </w:rPr>
        <w:t>”</w:t>
      </w:r>
      <w:r w:rsidR="00C5676D" w:rsidRPr="00A35DA6">
        <w:rPr>
          <w:rFonts w:ascii="Verdana" w:hAnsi="Verdana" w:cs="TimesNewRomanPSMT"/>
          <w:sz w:val="20"/>
          <w:szCs w:val="20"/>
          <w:lang w:val="es-CR"/>
        </w:rPr>
        <w:t>.</w:t>
      </w:r>
    </w:p>
    <w:p w:rsidR="00C5676D" w:rsidRDefault="00C5676D" w:rsidP="00A35DA6">
      <w:pPr>
        <w:widowControl w:val="0"/>
        <w:autoSpaceDE w:val="0"/>
        <w:autoSpaceDN w:val="0"/>
        <w:adjustRightInd w:val="0"/>
        <w:spacing w:after="0" w:line="240" w:lineRule="auto"/>
        <w:ind w:right="18"/>
        <w:jc w:val="both"/>
        <w:rPr>
          <w:rFonts w:ascii="Verdana" w:eastAsia="Calibri" w:hAnsi="Verdana" w:cs="Verdana"/>
          <w:b/>
          <w:sz w:val="20"/>
          <w:szCs w:val="20"/>
          <w:lang w:val="es-MX" w:eastAsia="en-US"/>
        </w:rPr>
      </w:pPr>
    </w:p>
    <w:p w:rsidR="00C5676D" w:rsidRPr="00DF11DE" w:rsidRDefault="000314F8" w:rsidP="00A35DA6">
      <w:pPr>
        <w:widowControl w:val="0"/>
        <w:numPr>
          <w:ilvl w:val="0"/>
          <w:numId w:val="2"/>
        </w:numPr>
        <w:autoSpaceDE w:val="0"/>
        <w:autoSpaceDN w:val="0"/>
        <w:adjustRightInd w:val="0"/>
        <w:spacing w:after="0" w:line="240" w:lineRule="auto"/>
        <w:ind w:right="18"/>
        <w:jc w:val="both"/>
        <w:rPr>
          <w:rFonts w:ascii="Verdana" w:eastAsia="Calibri" w:hAnsi="Verdana" w:cs="Verdana"/>
          <w:b/>
          <w:bCs/>
          <w:sz w:val="20"/>
          <w:szCs w:val="20"/>
          <w:lang w:val="es-CR" w:eastAsia="en-US"/>
        </w:rPr>
      </w:pPr>
      <w:r>
        <w:rPr>
          <w:rFonts w:ascii="Verdana" w:eastAsia="Calibri" w:hAnsi="Verdana" w:cs="Verdana"/>
          <w:bCs/>
          <w:sz w:val="20"/>
          <w:szCs w:val="20"/>
          <w:lang w:val="es-CR" w:eastAsia="en-US"/>
        </w:rPr>
        <w:t xml:space="preserve">La </w:t>
      </w:r>
      <w:r w:rsidRPr="00A35DA6">
        <w:rPr>
          <w:rFonts w:ascii="Verdana" w:eastAsia="Calibri" w:hAnsi="Verdana" w:cs="Verdana"/>
          <w:b/>
          <w:bCs/>
          <w:i/>
          <w:sz w:val="20"/>
          <w:szCs w:val="20"/>
          <w:lang w:val="es-CR" w:eastAsia="en-US"/>
        </w:rPr>
        <w:t>Corte</w:t>
      </w:r>
      <w:r>
        <w:rPr>
          <w:rFonts w:ascii="Verdana" w:eastAsia="Calibri" w:hAnsi="Verdana" w:cs="Verdana"/>
          <w:bCs/>
          <w:sz w:val="20"/>
          <w:szCs w:val="20"/>
          <w:lang w:val="es-CR" w:eastAsia="en-US"/>
        </w:rPr>
        <w:t xml:space="preserve"> advierte que la información presentada por los representantes denota una situación de fuerza mayor que imposibilita a la señora Fabiola Álvarez Solano para comparecer en la audiencia, por lo que corresponde atender a lo solicitado. En consecuencia, la señora Álvarez Solano prestará su declaración por affidávit, de conformidad a lo dispuesto en la parte resolutiva de la presente Resolución. </w:t>
      </w:r>
    </w:p>
    <w:p w:rsidR="00C5676D" w:rsidRDefault="00C5676D" w:rsidP="00382D74">
      <w:pPr>
        <w:spacing w:after="0"/>
        <w:jc w:val="both"/>
        <w:rPr>
          <w:rFonts w:ascii="Verdana" w:eastAsia="Calibri" w:hAnsi="Verdana" w:cs="Verdana"/>
          <w:b/>
          <w:bCs/>
          <w:sz w:val="20"/>
          <w:szCs w:val="20"/>
          <w:lang w:val="es-CR" w:eastAsia="en-US"/>
        </w:rPr>
      </w:pPr>
    </w:p>
    <w:p w:rsidR="00382D74" w:rsidRPr="00382D74" w:rsidRDefault="00382D74" w:rsidP="00382D74">
      <w:pPr>
        <w:spacing w:after="0"/>
        <w:jc w:val="both"/>
        <w:rPr>
          <w:rFonts w:ascii="Verdana" w:eastAsia="Calibri" w:hAnsi="Verdana" w:cs="Verdana"/>
          <w:b/>
          <w:bCs/>
          <w:sz w:val="20"/>
          <w:szCs w:val="20"/>
          <w:lang w:val="es-CR" w:eastAsia="en-US"/>
        </w:rPr>
      </w:pPr>
      <w:r w:rsidRPr="00382D74">
        <w:rPr>
          <w:rFonts w:ascii="Verdana" w:eastAsia="Calibri" w:hAnsi="Verdana" w:cs="Verdana"/>
          <w:b/>
          <w:bCs/>
          <w:sz w:val="20"/>
          <w:szCs w:val="20"/>
          <w:lang w:val="es-CR" w:eastAsia="en-US"/>
        </w:rPr>
        <w:t>POR TANTO:</w:t>
      </w:r>
    </w:p>
    <w:p w:rsidR="00382D74" w:rsidRPr="00382D74" w:rsidRDefault="00382D74" w:rsidP="00382D74">
      <w:pPr>
        <w:spacing w:after="0"/>
        <w:jc w:val="both"/>
        <w:rPr>
          <w:rFonts w:ascii="Verdana" w:eastAsia="Calibri" w:hAnsi="Verdana" w:cs="Verdana"/>
          <w:b/>
          <w:bCs/>
          <w:sz w:val="20"/>
          <w:szCs w:val="20"/>
          <w:lang w:val="es-CR" w:eastAsia="en-US"/>
        </w:rPr>
      </w:pPr>
    </w:p>
    <w:p w:rsidR="00382D74" w:rsidRPr="00382D74" w:rsidRDefault="00382D74" w:rsidP="00382D74">
      <w:pPr>
        <w:spacing w:after="0"/>
        <w:jc w:val="both"/>
        <w:rPr>
          <w:rFonts w:ascii="Verdana" w:eastAsia="Calibri" w:hAnsi="Verdana" w:cs="Verdana"/>
          <w:b/>
          <w:bCs/>
          <w:sz w:val="20"/>
          <w:szCs w:val="20"/>
          <w:lang w:val="es-CR" w:eastAsia="en-US"/>
        </w:rPr>
      </w:pPr>
      <w:r w:rsidRPr="00382D74">
        <w:rPr>
          <w:rFonts w:ascii="Verdana" w:eastAsia="Calibri" w:hAnsi="Verdana" w:cs="Verdana"/>
          <w:b/>
          <w:bCs/>
          <w:sz w:val="20"/>
          <w:szCs w:val="20"/>
          <w:lang w:val="es-CR" w:eastAsia="en-US"/>
        </w:rPr>
        <w:t xml:space="preserve">LA CORTE INTERAMERICANA DE DERECHOS HUMANOS, </w:t>
      </w:r>
    </w:p>
    <w:p w:rsidR="00382D74" w:rsidRPr="00382D74" w:rsidRDefault="00382D74" w:rsidP="00382D74">
      <w:pPr>
        <w:autoSpaceDE w:val="0"/>
        <w:autoSpaceDN w:val="0"/>
        <w:adjustRightInd w:val="0"/>
        <w:spacing w:after="0"/>
        <w:ind w:right="18"/>
        <w:jc w:val="both"/>
        <w:rPr>
          <w:rFonts w:ascii="Garamond" w:eastAsia="Calibri" w:hAnsi="Garamond" w:cs="Calibri"/>
          <w:lang w:val="es-CR" w:eastAsia="en-US"/>
        </w:rPr>
      </w:pPr>
    </w:p>
    <w:p w:rsidR="00382D74" w:rsidRPr="00382D74" w:rsidRDefault="00382D74" w:rsidP="00382D74">
      <w:pPr>
        <w:autoSpaceDE w:val="0"/>
        <w:autoSpaceDN w:val="0"/>
        <w:adjustRightInd w:val="0"/>
        <w:spacing w:after="0"/>
        <w:ind w:right="18"/>
        <w:jc w:val="both"/>
        <w:rPr>
          <w:rFonts w:ascii="Verdana" w:eastAsia="Calibri" w:hAnsi="Verdana" w:cs="Verdana"/>
          <w:b/>
          <w:bCs/>
          <w:sz w:val="20"/>
          <w:szCs w:val="20"/>
          <w:lang w:val="es-ES" w:eastAsia="en-US"/>
        </w:rPr>
      </w:pPr>
      <w:proofErr w:type="gramStart"/>
      <w:r w:rsidRPr="00382D74">
        <w:rPr>
          <w:rFonts w:ascii="Verdana" w:eastAsia="Calibri" w:hAnsi="Verdana" w:cs="Verdana"/>
          <w:sz w:val="20"/>
          <w:szCs w:val="20"/>
          <w:lang w:val="es-ES" w:eastAsia="en-US"/>
        </w:rPr>
        <w:t>de</w:t>
      </w:r>
      <w:proofErr w:type="gramEnd"/>
      <w:r w:rsidRPr="00382D74">
        <w:rPr>
          <w:rFonts w:ascii="Verdana" w:eastAsia="Calibri" w:hAnsi="Verdana" w:cs="Verdana"/>
          <w:sz w:val="20"/>
          <w:szCs w:val="20"/>
          <w:lang w:val="es-ES" w:eastAsia="en-US"/>
        </w:rPr>
        <w:t xml:space="preserve"> conformidad con el artículo 25.2 del Estatuto de la Corte y con los </w:t>
      </w:r>
      <w:r w:rsidRPr="00382D74">
        <w:rPr>
          <w:rFonts w:ascii="Verdana" w:eastAsia="Calibri" w:hAnsi="Verdana" w:cs="Verdana"/>
          <w:sz w:val="20"/>
          <w:szCs w:val="20"/>
          <w:lang w:val="es-MX" w:eastAsia="en-US"/>
        </w:rPr>
        <w:t>artículos 31.2, y 50 del Reglamento</w:t>
      </w:r>
      <w:r w:rsidRPr="00382D74">
        <w:rPr>
          <w:rFonts w:ascii="Verdana" w:eastAsia="Calibri" w:hAnsi="Verdana" w:cs="Verdana"/>
          <w:sz w:val="20"/>
          <w:szCs w:val="20"/>
          <w:lang w:val="es-ES" w:eastAsia="en-US"/>
        </w:rPr>
        <w:t xml:space="preserve">, </w:t>
      </w:r>
    </w:p>
    <w:p w:rsidR="00382D74" w:rsidRPr="00382D74" w:rsidRDefault="00382D74" w:rsidP="00382D74">
      <w:pPr>
        <w:autoSpaceDE w:val="0"/>
        <w:autoSpaceDN w:val="0"/>
        <w:adjustRightInd w:val="0"/>
        <w:spacing w:after="0"/>
        <w:ind w:right="18"/>
        <w:jc w:val="both"/>
        <w:rPr>
          <w:rFonts w:ascii="Verdana" w:eastAsia="Calibri" w:hAnsi="Verdana" w:cs="Verdana"/>
          <w:b/>
          <w:bCs/>
          <w:sz w:val="20"/>
          <w:szCs w:val="20"/>
          <w:lang w:val="es-ES" w:eastAsia="en-US"/>
        </w:rPr>
      </w:pPr>
    </w:p>
    <w:p w:rsidR="00382D74" w:rsidRPr="00382D74" w:rsidRDefault="00382D74" w:rsidP="00382D74">
      <w:pPr>
        <w:autoSpaceDE w:val="0"/>
        <w:autoSpaceDN w:val="0"/>
        <w:adjustRightInd w:val="0"/>
        <w:spacing w:after="0"/>
        <w:ind w:right="18"/>
        <w:jc w:val="both"/>
        <w:rPr>
          <w:rFonts w:ascii="Verdana" w:eastAsia="Calibri" w:hAnsi="Verdana" w:cs="Verdana"/>
          <w:b/>
          <w:bCs/>
          <w:sz w:val="20"/>
          <w:szCs w:val="20"/>
          <w:lang w:val="es-ES" w:eastAsia="en-US"/>
        </w:rPr>
      </w:pPr>
      <w:r w:rsidRPr="00382D74">
        <w:rPr>
          <w:rFonts w:ascii="Verdana" w:eastAsia="Calibri" w:hAnsi="Verdana" w:cs="Verdana"/>
          <w:b/>
          <w:bCs/>
          <w:sz w:val="20"/>
          <w:szCs w:val="20"/>
          <w:lang w:val="es-ES" w:eastAsia="en-US"/>
        </w:rPr>
        <w:t>RESUELVE:</w:t>
      </w:r>
    </w:p>
    <w:p w:rsidR="00382D74" w:rsidRPr="00382D74" w:rsidRDefault="00382D74" w:rsidP="00382D74">
      <w:pPr>
        <w:autoSpaceDE w:val="0"/>
        <w:autoSpaceDN w:val="0"/>
        <w:adjustRightInd w:val="0"/>
        <w:spacing w:after="0"/>
        <w:ind w:right="18"/>
        <w:jc w:val="both"/>
        <w:rPr>
          <w:rFonts w:ascii="Verdana" w:eastAsia="Calibri" w:hAnsi="Verdana" w:cs="Verdana"/>
          <w:sz w:val="20"/>
          <w:szCs w:val="20"/>
          <w:lang w:val="es-ES" w:eastAsia="en-US"/>
        </w:rPr>
      </w:pPr>
    </w:p>
    <w:p w:rsidR="00382D74" w:rsidRPr="00382D74" w:rsidRDefault="00382D74" w:rsidP="00295C81">
      <w:pPr>
        <w:widowControl w:val="0"/>
        <w:numPr>
          <w:ilvl w:val="0"/>
          <w:numId w:val="4"/>
        </w:numPr>
        <w:autoSpaceDE w:val="0"/>
        <w:autoSpaceDN w:val="0"/>
        <w:adjustRightInd w:val="0"/>
        <w:spacing w:after="0" w:line="240" w:lineRule="auto"/>
        <w:ind w:left="0" w:right="18" w:firstLine="0"/>
        <w:jc w:val="both"/>
        <w:rPr>
          <w:rFonts w:ascii="Verdana" w:eastAsia="Calibri" w:hAnsi="Verdana" w:cs="Verdana"/>
          <w:sz w:val="20"/>
          <w:szCs w:val="20"/>
          <w:lang w:val="es-CR" w:eastAsia="en-US"/>
        </w:rPr>
      </w:pPr>
      <w:r w:rsidRPr="00382D74">
        <w:rPr>
          <w:rFonts w:ascii="Verdana" w:eastAsia="Calibri" w:hAnsi="Verdana" w:cs="Verdana"/>
          <w:sz w:val="20"/>
          <w:szCs w:val="20"/>
          <w:lang w:val="es-MX" w:eastAsia="en-US"/>
        </w:rPr>
        <w:t xml:space="preserve">Desestimar el recurso interpuesto por </w:t>
      </w:r>
      <w:r w:rsidR="00B147A0">
        <w:rPr>
          <w:rFonts w:ascii="Verdana" w:eastAsia="Calibri" w:hAnsi="Verdana" w:cs="Verdana"/>
          <w:sz w:val="20"/>
          <w:szCs w:val="20"/>
          <w:lang w:val="es-MX" w:eastAsia="en-US"/>
        </w:rPr>
        <w:t>el Estado</w:t>
      </w:r>
      <w:r w:rsidRPr="00382D74">
        <w:rPr>
          <w:rFonts w:ascii="Verdana" w:eastAsia="Calibri" w:hAnsi="Verdana" w:cs="Verdana"/>
          <w:sz w:val="20"/>
          <w:szCs w:val="20"/>
          <w:lang w:val="es-MX" w:eastAsia="en-US"/>
        </w:rPr>
        <w:t xml:space="preserve"> y</w:t>
      </w:r>
      <w:r w:rsidR="00B147A0">
        <w:rPr>
          <w:rFonts w:ascii="Verdana" w:eastAsia="Calibri" w:hAnsi="Verdana" w:cs="Verdana"/>
          <w:sz w:val="20"/>
          <w:szCs w:val="20"/>
          <w:lang w:val="es-MX" w:eastAsia="en-US"/>
        </w:rPr>
        <w:t>,</w:t>
      </w:r>
      <w:r w:rsidRPr="00382D74">
        <w:rPr>
          <w:rFonts w:ascii="Verdana" w:eastAsia="Calibri" w:hAnsi="Verdana" w:cs="Verdana"/>
          <w:sz w:val="20"/>
          <w:szCs w:val="20"/>
          <w:lang w:val="es-MX" w:eastAsia="en-US"/>
        </w:rPr>
        <w:t xml:space="preserve"> en consecuencia, ratificar lo resuelto por la Resolución del Presidente de 2</w:t>
      </w:r>
      <w:r w:rsidR="00B147A0">
        <w:rPr>
          <w:rFonts w:ascii="Verdana" w:eastAsia="Calibri" w:hAnsi="Verdana" w:cs="Verdana"/>
          <w:sz w:val="20"/>
          <w:szCs w:val="20"/>
          <w:lang w:val="es-MX" w:eastAsia="en-US"/>
        </w:rPr>
        <w:t>1</w:t>
      </w:r>
      <w:r w:rsidRPr="00382D74">
        <w:rPr>
          <w:rFonts w:ascii="Verdana" w:eastAsia="Calibri" w:hAnsi="Verdana" w:cs="Verdana"/>
          <w:sz w:val="20"/>
          <w:szCs w:val="20"/>
          <w:lang w:val="es-MX" w:eastAsia="en-US"/>
        </w:rPr>
        <w:t xml:space="preserve"> de </w:t>
      </w:r>
      <w:r w:rsidR="00B147A0">
        <w:rPr>
          <w:rFonts w:ascii="Verdana" w:eastAsia="Calibri" w:hAnsi="Verdana" w:cs="Verdana"/>
          <w:sz w:val="20"/>
          <w:szCs w:val="20"/>
          <w:lang w:val="es-MX" w:eastAsia="en-US"/>
        </w:rPr>
        <w:t>abril de 2017</w:t>
      </w:r>
      <w:r w:rsidRPr="00382D74">
        <w:rPr>
          <w:rFonts w:ascii="Verdana" w:eastAsia="Calibri" w:hAnsi="Verdana" w:cs="Verdana"/>
          <w:sz w:val="20"/>
          <w:szCs w:val="20"/>
          <w:lang w:val="es-MX" w:eastAsia="en-US"/>
        </w:rPr>
        <w:t xml:space="preserve">, en cuanto a convocar </w:t>
      </w:r>
      <w:r w:rsidRPr="00382D74">
        <w:rPr>
          <w:rFonts w:ascii="Verdana" w:eastAsia="Calibri" w:hAnsi="Verdana" w:cs="Verdana"/>
          <w:sz w:val="20"/>
          <w:szCs w:val="20"/>
          <w:lang w:val="es-CR" w:eastAsia="en-US"/>
        </w:rPr>
        <w:t xml:space="preserve">al señor </w:t>
      </w:r>
      <w:r w:rsidR="00B147A0">
        <w:rPr>
          <w:rFonts w:ascii="Verdana" w:eastAsia="Calibri" w:hAnsi="Verdana" w:cs="Verdana"/>
          <w:sz w:val="20"/>
          <w:szCs w:val="20"/>
          <w:lang w:val="es-CR" w:eastAsia="en-US"/>
        </w:rPr>
        <w:t>Iván Augusto Gómez Celis a rendir</w:t>
      </w:r>
      <w:r w:rsidRPr="00382D74">
        <w:rPr>
          <w:rFonts w:ascii="Verdana" w:eastAsia="Calibri" w:hAnsi="Verdana" w:cs="Verdana"/>
          <w:sz w:val="20"/>
          <w:szCs w:val="20"/>
          <w:lang w:val="es-CR" w:eastAsia="en-US"/>
        </w:rPr>
        <w:t xml:space="preserve"> d</w:t>
      </w:r>
      <w:r w:rsidR="00B147A0">
        <w:rPr>
          <w:rFonts w:ascii="Verdana" w:eastAsia="Calibri" w:hAnsi="Verdana" w:cs="Verdana"/>
          <w:sz w:val="20"/>
          <w:szCs w:val="20"/>
          <w:lang w:val="es-CR" w:eastAsia="en-US"/>
        </w:rPr>
        <w:t>eclaración testimonial</w:t>
      </w:r>
      <w:r w:rsidRPr="00382D74">
        <w:rPr>
          <w:rFonts w:ascii="Verdana" w:eastAsia="Calibri" w:hAnsi="Verdana" w:cs="Verdana"/>
          <w:sz w:val="20"/>
          <w:szCs w:val="20"/>
          <w:lang w:val="es-CR" w:eastAsia="en-US"/>
        </w:rPr>
        <w:t xml:space="preserve"> por affidávit.</w:t>
      </w:r>
    </w:p>
    <w:p w:rsidR="00382D74" w:rsidRPr="00382D74" w:rsidRDefault="00382D74" w:rsidP="00295C81">
      <w:pPr>
        <w:widowControl w:val="0"/>
        <w:autoSpaceDE w:val="0"/>
        <w:autoSpaceDN w:val="0"/>
        <w:adjustRightInd w:val="0"/>
        <w:spacing w:after="0" w:line="240" w:lineRule="auto"/>
        <w:ind w:right="22"/>
        <w:jc w:val="both"/>
        <w:rPr>
          <w:rFonts w:ascii="Verdana" w:eastAsia="Calibri" w:hAnsi="Verdana" w:cs="Verdana"/>
          <w:sz w:val="20"/>
          <w:szCs w:val="20"/>
          <w:lang w:val="es-CR" w:eastAsia="en-US"/>
        </w:rPr>
      </w:pPr>
    </w:p>
    <w:p w:rsidR="00382D74" w:rsidRPr="00382D74" w:rsidRDefault="00382D74" w:rsidP="00295C81">
      <w:pPr>
        <w:widowControl w:val="0"/>
        <w:autoSpaceDE w:val="0"/>
        <w:autoSpaceDN w:val="0"/>
        <w:adjustRightInd w:val="0"/>
        <w:spacing w:after="0" w:line="240" w:lineRule="auto"/>
        <w:ind w:right="18"/>
        <w:jc w:val="both"/>
        <w:rPr>
          <w:rFonts w:ascii="Verdana" w:eastAsia="Calibri" w:hAnsi="Verdana" w:cs="Verdana"/>
          <w:sz w:val="20"/>
          <w:szCs w:val="20"/>
          <w:lang w:val="es-MX" w:eastAsia="en-US"/>
        </w:rPr>
      </w:pPr>
    </w:p>
    <w:p w:rsidR="00D37246" w:rsidRPr="00EA6B3E" w:rsidRDefault="008C7E6A" w:rsidP="00EA6B3E">
      <w:pPr>
        <w:pStyle w:val="ListParagraph"/>
        <w:widowControl w:val="0"/>
        <w:numPr>
          <w:ilvl w:val="0"/>
          <w:numId w:val="4"/>
        </w:numPr>
        <w:autoSpaceDE w:val="0"/>
        <w:autoSpaceDN w:val="0"/>
        <w:adjustRightInd w:val="0"/>
        <w:spacing w:after="0" w:line="240" w:lineRule="auto"/>
        <w:ind w:left="0" w:right="18" w:firstLine="0"/>
        <w:contextualSpacing w:val="0"/>
        <w:jc w:val="both"/>
        <w:rPr>
          <w:rFonts w:ascii="Verdana" w:hAnsi="Verdana" w:cs="Verdana"/>
          <w:sz w:val="20"/>
          <w:szCs w:val="20"/>
          <w:lang w:val="es-CR"/>
        </w:rPr>
      </w:pPr>
      <w:r w:rsidRPr="00EA6B3E">
        <w:rPr>
          <w:rFonts w:ascii="Verdana" w:hAnsi="Verdana"/>
          <w:sz w:val="20"/>
          <w:szCs w:val="20"/>
          <w:lang w:val="es-CR"/>
        </w:rPr>
        <w:t xml:space="preserve">Modificar, en lo pertinente, </w:t>
      </w:r>
      <w:r w:rsidR="00EA6B3E">
        <w:rPr>
          <w:rFonts w:ascii="Verdana" w:eastAsia="Calibri" w:hAnsi="Verdana" w:cs="Verdana"/>
          <w:sz w:val="20"/>
          <w:szCs w:val="20"/>
          <w:lang w:val="es-MX" w:eastAsia="en-US"/>
        </w:rPr>
        <w:t>el apartado A)</w:t>
      </w:r>
      <w:r w:rsidR="004C4D64">
        <w:rPr>
          <w:rFonts w:ascii="Verdana" w:eastAsia="Calibri" w:hAnsi="Verdana" w:cs="Verdana"/>
          <w:sz w:val="20"/>
          <w:szCs w:val="20"/>
          <w:lang w:val="es-MX" w:eastAsia="en-US"/>
        </w:rPr>
        <w:t xml:space="preserve"> </w:t>
      </w:r>
      <w:r w:rsidR="00EA6B3E">
        <w:rPr>
          <w:rFonts w:ascii="Verdana" w:eastAsia="Calibri" w:hAnsi="Verdana" w:cs="Verdana"/>
          <w:sz w:val="20"/>
          <w:szCs w:val="20"/>
          <w:lang w:val="es-MX" w:eastAsia="en-US"/>
        </w:rPr>
        <w:t>2) del punto r</w:t>
      </w:r>
      <w:r w:rsidRPr="00EA6B3E">
        <w:rPr>
          <w:rFonts w:ascii="Verdana" w:eastAsia="Calibri" w:hAnsi="Verdana" w:cs="Verdana"/>
          <w:sz w:val="20"/>
          <w:szCs w:val="20"/>
          <w:lang w:val="es-MX" w:eastAsia="en-US"/>
        </w:rPr>
        <w:t>esolutivo 5 de la Resolución del Presidente de la Corte Interamericana de Derechos Humanos de 21 de abril de 2017</w:t>
      </w:r>
      <w:r w:rsidR="00EA6B3E">
        <w:rPr>
          <w:rFonts w:ascii="Verdana" w:eastAsia="Calibri" w:hAnsi="Verdana" w:cs="Verdana"/>
          <w:sz w:val="20"/>
          <w:szCs w:val="20"/>
          <w:lang w:val="es-MX" w:eastAsia="en-US"/>
        </w:rPr>
        <w:t>,</w:t>
      </w:r>
      <w:r w:rsidR="00EA6B3E" w:rsidRPr="00EA6B3E">
        <w:rPr>
          <w:rFonts w:ascii="Verdana" w:hAnsi="Verdana"/>
          <w:sz w:val="20"/>
          <w:szCs w:val="20"/>
          <w:lang w:val="es-CR"/>
        </w:rPr>
        <w:t xml:space="preserve"> </w:t>
      </w:r>
      <w:r w:rsidRPr="00EA6B3E">
        <w:rPr>
          <w:rFonts w:ascii="Verdana" w:hAnsi="Verdana"/>
          <w:sz w:val="20"/>
          <w:szCs w:val="20"/>
          <w:lang w:val="es-CR"/>
        </w:rPr>
        <w:t xml:space="preserve">convocando a la señora </w:t>
      </w:r>
      <w:r w:rsidR="00EA6B3E" w:rsidRPr="00EA6B3E">
        <w:rPr>
          <w:rFonts w:ascii="Verdana" w:eastAsia="Calibri" w:hAnsi="Verdana" w:cs="Verdana"/>
          <w:sz w:val="20"/>
          <w:szCs w:val="20"/>
          <w:lang w:val="es-MX" w:eastAsia="en-US"/>
        </w:rPr>
        <w:t xml:space="preserve">Fabiola Álvarez Solano </w:t>
      </w:r>
      <w:r w:rsidRPr="00EA6B3E">
        <w:rPr>
          <w:rFonts w:ascii="Verdana" w:hAnsi="Verdana"/>
          <w:iCs/>
          <w:sz w:val="20"/>
          <w:szCs w:val="20"/>
          <w:lang w:val="es-CR"/>
        </w:rPr>
        <w:t>a declarar, mediante affidá</w:t>
      </w:r>
      <w:r w:rsidR="00EA6B3E" w:rsidRPr="00EA6B3E">
        <w:rPr>
          <w:rFonts w:ascii="Verdana" w:hAnsi="Verdana"/>
          <w:iCs/>
          <w:sz w:val="20"/>
          <w:szCs w:val="20"/>
          <w:lang w:val="es-CR"/>
        </w:rPr>
        <w:t>vit</w:t>
      </w:r>
      <w:r w:rsidRPr="00EA6B3E">
        <w:rPr>
          <w:rFonts w:ascii="Verdana" w:hAnsi="Verdana"/>
          <w:sz w:val="20"/>
          <w:szCs w:val="20"/>
          <w:lang w:val="es-CR"/>
        </w:rPr>
        <w:t>, precisando que el objeto de su declaración versa sobre</w:t>
      </w:r>
      <w:r w:rsidR="00EA6B3E" w:rsidRPr="00EA6B3E">
        <w:rPr>
          <w:rFonts w:ascii="Verdana" w:hAnsi="Verdana"/>
          <w:sz w:val="20"/>
          <w:szCs w:val="20"/>
          <w:lang w:val="es-CR"/>
        </w:rPr>
        <w:t>:</w:t>
      </w:r>
      <w:r w:rsidRPr="00EA6B3E">
        <w:rPr>
          <w:rFonts w:ascii="Verdana" w:hAnsi="Verdana"/>
          <w:sz w:val="20"/>
          <w:szCs w:val="20"/>
          <w:lang w:val="es-CR"/>
        </w:rPr>
        <w:t xml:space="preserve"> </w:t>
      </w:r>
      <w:r w:rsidR="00D37246" w:rsidRPr="00EA6B3E">
        <w:rPr>
          <w:rFonts w:ascii="Verdana" w:hAnsi="Verdana" w:cs="Verdana"/>
          <w:color w:val="000000"/>
          <w:sz w:val="20"/>
          <w:szCs w:val="20"/>
          <w:lang w:val="es-CR"/>
        </w:rPr>
        <w:t xml:space="preserve">i) el conocimiento que tiene </w:t>
      </w:r>
      <w:r w:rsidR="00D37246" w:rsidRPr="00EA6B3E">
        <w:rPr>
          <w:rFonts w:ascii="Verdana" w:hAnsi="Verdana" w:cs="Verdana"/>
          <w:sz w:val="20"/>
          <w:szCs w:val="20"/>
          <w:lang w:val="es-CR"/>
        </w:rPr>
        <w:t xml:space="preserve">sobre los supuestos tres crímenes que sufrieron su suegro Noel Emiro </w:t>
      </w:r>
      <w:proofErr w:type="spellStart"/>
      <w:r w:rsidR="00D37246" w:rsidRPr="00EA6B3E">
        <w:rPr>
          <w:rFonts w:ascii="Verdana" w:hAnsi="Verdana" w:cs="Verdana"/>
          <w:sz w:val="20"/>
          <w:szCs w:val="20"/>
          <w:lang w:val="es-CR"/>
        </w:rPr>
        <w:t>Omeara</w:t>
      </w:r>
      <w:proofErr w:type="spellEnd"/>
      <w:r w:rsidR="00D37246" w:rsidRPr="00EA6B3E">
        <w:rPr>
          <w:rFonts w:ascii="Verdana" w:hAnsi="Verdana" w:cs="Verdana"/>
          <w:sz w:val="20"/>
          <w:szCs w:val="20"/>
          <w:lang w:val="es-CR"/>
        </w:rPr>
        <w:t xml:space="preserve"> Carrascal, su esposo Manuel Guillermo </w:t>
      </w:r>
      <w:proofErr w:type="spellStart"/>
      <w:r w:rsidR="00D37246" w:rsidRPr="00EA6B3E">
        <w:rPr>
          <w:rFonts w:ascii="Verdana" w:hAnsi="Verdana" w:cs="Verdana"/>
          <w:sz w:val="20"/>
          <w:szCs w:val="20"/>
          <w:lang w:val="es-CR"/>
        </w:rPr>
        <w:t>Omeara</w:t>
      </w:r>
      <w:proofErr w:type="spellEnd"/>
      <w:r w:rsidR="00D37246" w:rsidRPr="00EA6B3E">
        <w:rPr>
          <w:rFonts w:ascii="Verdana" w:hAnsi="Verdana" w:cs="Verdana"/>
          <w:sz w:val="20"/>
          <w:szCs w:val="20"/>
          <w:lang w:val="es-CR"/>
        </w:rPr>
        <w:t xml:space="preserve"> </w:t>
      </w:r>
      <w:proofErr w:type="spellStart"/>
      <w:r w:rsidR="00D37246" w:rsidRPr="00EA6B3E">
        <w:rPr>
          <w:rFonts w:ascii="Verdana" w:hAnsi="Verdana" w:cs="Verdana"/>
          <w:sz w:val="20"/>
          <w:szCs w:val="20"/>
          <w:lang w:val="es-CR"/>
        </w:rPr>
        <w:t>Miraval</w:t>
      </w:r>
      <w:proofErr w:type="spellEnd"/>
      <w:r w:rsidR="00D37246" w:rsidRPr="00EA6B3E">
        <w:rPr>
          <w:rFonts w:ascii="Verdana" w:hAnsi="Verdana" w:cs="Verdana"/>
          <w:sz w:val="20"/>
          <w:szCs w:val="20"/>
          <w:lang w:val="es-CR"/>
        </w:rPr>
        <w:t xml:space="preserve"> y su padre Héctor Álvarez Sánchez, ii) las presuntas causas y móviles de su perpetración, así como de sus autores; iii) la alegada respuesta del Estado frente a estos hechos, así como sobre el aducido desplazamiento forzado que debió realizar junto con sus tres hijos de Aguachica hacia Bucaramanga; iv) los presuntos daños físicos, morales, psicológicos y económicos por lo acontecido tanto a nivel individual, familiar y social, y v) las posibles medidas de reparación. </w:t>
      </w:r>
    </w:p>
    <w:p w:rsidR="00D37246" w:rsidRDefault="00D37246" w:rsidP="00C341D2">
      <w:pPr>
        <w:autoSpaceDE w:val="0"/>
        <w:autoSpaceDN w:val="0"/>
        <w:adjustRightInd w:val="0"/>
        <w:spacing w:after="0" w:line="240" w:lineRule="auto"/>
        <w:rPr>
          <w:rFonts w:ascii="Verdana" w:hAnsi="Verdana" w:cs="Verdana"/>
          <w:color w:val="000000"/>
          <w:sz w:val="20"/>
          <w:szCs w:val="20"/>
          <w:lang w:val="es-CR"/>
        </w:rPr>
      </w:pPr>
    </w:p>
    <w:p w:rsidR="00D37246" w:rsidRPr="00A35DA6" w:rsidRDefault="00D37246" w:rsidP="00C341D2">
      <w:pPr>
        <w:pStyle w:val="ListParagraph"/>
        <w:numPr>
          <w:ilvl w:val="0"/>
          <w:numId w:val="4"/>
        </w:numPr>
        <w:autoSpaceDE w:val="0"/>
        <w:autoSpaceDN w:val="0"/>
        <w:adjustRightInd w:val="0"/>
        <w:spacing w:after="0" w:line="240" w:lineRule="auto"/>
        <w:ind w:left="0" w:firstLine="0"/>
        <w:jc w:val="both"/>
        <w:rPr>
          <w:rFonts w:ascii="Verdana" w:hAnsi="Verdana" w:cs="Verdana"/>
          <w:color w:val="000000"/>
          <w:sz w:val="20"/>
          <w:szCs w:val="20"/>
          <w:lang w:val="es-CR"/>
        </w:rPr>
      </w:pPr>
      <w:r w:rsidRPr="00DF11DE">
        <w:rPr>
          <w:rFonts w:ascii="Verdana" w:hAnsi="Verdana" w:cs="Verdana"/>
          <w:color w:val="000000"/>
          <w:sz w:val="20"/>
          <w:szCs w:val="20"/>
          <w:lang w:val="es-CR"/>
        </w:rPr>
        <w:t>Requerir al Estado</w:t>
      </w:r>
      <w:r>
        <w:rPr>
          <w:rFonts w:ascii="Verdana" w:hAnsi="Verdana" w:cs="Verdana"/>
          <w:color w:val="000000"/>
          <w:sz w:val="20"/>
          <w:szCs w:val="20"/>
          <w:lang w:val="es-CR"/>
        </w:rPr>
        <w:t xml:space="preserve"> </w:t>
      </w:r>
      <w:r w:rsidRPr="00A35DA6">
        <w:rPr>
          <w:rFonts w:ascii="Verdana" w:hAnsi="Verdana" w:cs="Verdana"/>
          <w:color w:val="000000"/>
          <w:sz w:val="20"/>
          <w:szCs w:val="20"/>
          <w:lang w:val="es-CR"/>
        </w:rPr>
        <w:t xml:space="preserve">que, de considerarlo pertinente, en el plazo improrrogable que vence el </w:t>
      </w:r>
      <w:r w:rsidRPr="003C4B4F">
        <w:rPr>
          <w:rFonts w:ascii="Verdana" w:hAnsi="Verdana" w:cs="Verdana"/>
          <w:color w:val="000000"/>
          <w:sz w:val="20"/>
          <w:szCs w:val="20"/>
          <w:lang w:val="es-CR"/>
        </w:rPr>
        <w:t>17</w:t>
      </w:r>
      <w:r w:rsidRPr="00ED6832">
        <w:rPr>
          <w:rFonts w:ascii="Verdana" w:hAnsi="Verdana" w:cs="Verdana"/>
          <w:color w:val="000000"/>
          <w:sz w:val="20"/>
          <w:szCs w:val="20"/>
          <w:lang w:val="es-CR"/>
        </w:rPr>
        <w:t xml:space="preserve"> de mayo de 2017, presente las preguntas que estime pertinente formular a través de la Corte Interamericana a la</w:t>
      </w:r>
      <w:r w:rsidRPr="003C4B4F">
        <w:rPr>
          <w:rFonts w:ascii="Verdana" w:hAnsi="Verdana" w:cs="Verdana"/>
          <w:color w:val="000000"/>
          <w:sz w:val="20"/>
          <w:szCs w:val="20"/>
          <w:lang w:val="es-CR"/>
        </w:rPr>
        <w:t xml:space="preserve"> señora Fabiola Álvarez Solano</w:t>
      </w:r>
      <w:r w:rsidR="00EA6B3E" w:rsidRPr="003C4B4F">
        <w:rPr>
          <w:rFonts w:ascii="Verdana" w:hAnsi="Verdana" w:cs="Verdana"/>
          <w:color w:val="000000"/>
          <w:sz w:val="20"/>
          <w:szCs w:val="20"/>
          <w:lang w:val="es-CR"/>
        </w:rPr>
        <w:t>. La</w:t>
      </w:r>
      <w:r w:rsidRPr="003C4B4F">
        <w:rPr>
          <w:rFonts w:ascii="Verdana" w:hAnsi="Verdana" w:cs="Verdana"/>
          <w:color w:val="000000"/>
          <w:sz w:val="20"/>
          <w:szCs w:val="20"/>
          <w:lang w:val="es-CR"/>
        </w:rPr>
        <w:t xml:space="preserve"> declaración de la señora Fabiola Álvarez Solano deberá ser presentada a más tardar el 22</w:t>
      </w:r>
      <w:r w:rsidRPr="00ED6832">
        <w:rPr>
          <w:rFonts w:ascii="Verdana" w:hAnsi="Verdana" w:cs="Verdana"/>
          <w:color w:val="000000"/>
          <w:sz w:val="20"/>
          <w:szCs w:val="20"/>
          <w:lang w:val="es-CR"/>
        </w:rPr>
        <w:t xml:space="preserve"> de</w:t>
      </w:r>
      <w:r w:rsidRPr="00A35DA6">
        <w:rPr>
          <w:rFonts w:ascii="Verdana" w:hAnsi="Verdana" w:cs="Verdana"/>
          <w:color w:val="000000"/>
          <w:sz w:val="20"/>
          <w:szCs w:val="20"/>
          <w:lang w:val="es-CR"/>
        </w:rPr>
        <w:t xml:space="preserve"> mayo de 2017. </w:t>
      </w:r>
    </w:p>
    <w:p w:rsidR="00D37246" w:rsidRPr="00D37246" w:rsidRDefault="00D37246" w:rsidP="00A35DA6">
      <w:pPr>
        <w:autoSpaceDE w:val="0"/>
        <w:autoSpaceDN w:val="0"/>
        <w:adjustRightInd w:val="0"/>
        <w:spacing w:after="0" w:line="240" w:lineRule="auto"/>
        <w:jc w:val="both"/>
        <w:rPr>
          <w:rFonts w:ascii="Verdana" w:hAnsi="Verdana" w:cs="Verdana"/>
          <w:color w:val="000000"/>
          <w:sz w:val="20"/>
          <w:szCs w:val="20"/>
          <w:lang w:val="es-CR"/>
        </w:rPr>
      </w:pPr>
    </w:p>
    <w:p w:rsidR="00D37246" w:rsidRDefault="00ED6832" w:rsidP="00A35DA6">
      <w:pPr>
        <w:autoSpaceDE w:val="0"/>
        <w:autoSpaceDN w:val="0"/>
        <w:adjustRightInd w:val="0"/>
        <w:spacing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4</w:t>
      </w:r>
      <w:r w:rsidR="00D37246" w:rsidRPr="00D37246">
        <w:rPr>
          <w:rFonts w:ascii="Verdana" w:hAnsi="Verdana" w:cs="Verdana"/>
          <w:color w:val="000000"/>
          <w:sz w:val="20"/>
          <w:szCs w:val="20"/>
          <w:lang w:val="es-CR"/>
        </w:rPr>
        <w:t>.</w:t>
      </w:r>
      <w:r w:rsidR="003A3802">
        <w:rPr>
          <w:rFonts w:ascii="Verdana" w:hAnsi="Verdana" w:cs="Verdana"/>
          <w:color w:val="000000"/>
          <w:sz w:val="20"/>
          <w:szCs w:val="20"/>
          <w:lang w:val="es-CR"/>
        </w:rPr>
        <w:tab/>
      </w:r>
      <w:r w:rsidR="00D37246">
        <w:rPr>
          <w:rFonts w:ascii="Verdana" w:hAnsi="Verdana" w:cs="Verdana"/>
          <w:color w:val="000000"/>
          <w:sz w:val="20"/>
          <w:szCs w:val="20"/>
          <w:lang w:val="es-CR"/>
        </w:rPr>
        <w:t xml:space="preserve"> Requerir a los representantes </w:t>
      </w:r>
      <w:r w:rsidR="00D37246" w:rsidRPr="00D37246">
        <w:rPr>
          <w:rFonts w:ascii="Verdana" w:hAnsi="Verdana" w:cs="Verdana"/>
          <w:color w:val="000000"/>
          <w:sz w:val="20"/>
          <w:szCs w:val="20"/>
          <w:lang w:val="es-CR"/>
        </w:rPr>
        <w:t>que coordinen y realicen las diligencias necesarias para que, una vez recibidas las preguntas, si las hubiere, l</w:t>
      </w:r>
      <w:r w:rsidR="00D37246">
        <w:rPr>
          <w:rFonts w:ascii="Verdana" w:hAnsi="Verdana" w:cs="Verdana"/>
          <w:color w:val="000000"/>
          <w:sz w:val="20"/>
          <w:szCs w:val="20"/>
          <w:lang w:val="es-CR"/>
        </w:rPr>
        <w:t>a señora Fabiola Álvarez Solano</w:t>
      </w:r>
      <w:r w:rsidR="00D37246" w:rsidRPr="00D37246">
        <w:rPr>
          <w:rFonts w:ascii="Verdana" w:hAnsi="Verdana" w:cs="Verdana"/>
          <w:color w:val="000000"/>
          <w:sz w:val="20"/>
          <w:szCs w:val="20"/>
          <w:lang w:val="es-CR"/>
        </w:rPr>
        <w:t xml:space="preserve"> incluya las respuestas respectivas en su</w:t>
      </w:r>
      <w:r w:rsidR="00D37246">
        <w:rPr>
          <w:rFonts w:ascii="Verdana" w:hAnsi="Verdana" w:cs="Verdana"/>
          <w:color w:val="000000"/>
          <w:sz w:val="20"/>
          <w:szCs w:val="20"/>
          <w:lang w:val="es-CR"/>
        </w:rPr>
        <w:t xml:space="preserve"> declaración</w:t>
      </w:r>
      <w:r w:rsidR="00D37246" w:rsidRPr="00D37246">
        <w:rPr>
          <w:rFonts w:ascii="Verdana" w:hAnsi="Verdana" w:cs="Verdana"/>
          <w:color w:val="000000"/>
          <w:sz w:val="20"/>
          <w:szCs w:val="20"/>
          <w:lang w:val="es-CR"/>
        </w:rPr>
        <w:t xml:space="preserve"> rendidas ante fedatario público</w:t>
      </w:r>
      <w:r w:rsidR="00D37246">
        <w:rPr>
          <w:rFonts w:ascii="Verdana" w:hAnsi="Verdana" w:cs="Verdana"/>
          <w:color w:val="000000"/>
          <w:sz w:val="20"/>
          <w:szCs w:val="20"/>
          <w:lang w:val="es-CR"/>
        </w:rPr>
        <w:t>.</w:t>
      </w:r>
      <w:r w:rsidR="00D37246" w:rsidRPr="00D37246">
        <w:rPr>
          <w:rFonts w:ascii="Verdana" w:hAnsi="Verdana" w:cs="Verdana"/>
          <w:color w:val="000000"/>
          <w:sz w:val="20"/>
          <w:szCs w:val="20"/>
          <w:lang w:val="es-CR"/>
        </w:rPr>
        <w:t xml:space="preserve"> </w:t>
      </w:r>
    </w:p>
    <w:p w:rsidR="004C4D64" w:rsidRPr="00D37246" w:rsidRDefault="004C4D64" w:rsidP="00A35DA6">
      <w:pPr>
        <w:autoSpaceDE w:val="0"/>
        <w:autoSpaceDN w:val="0"/>
        <w:adjustRightInd w:val="0"/>
        <w:spacing w:after="0" w:line="240" w:lineRule="auto"/>
        <w:jc w:val="both"/>
        <w:rPr>
          <w:rFonts w:ascii="Verdana" w:hAnsi="Verdana" w:cs="Verdana"/>
          <w:color w:val="000000"/>
          <w:sz w:val="20"/>
          <w:szCs w:val="20"/>
          <w:lang w:val="es-CR"/>
        </w:rPr>
      </w:pPr>
    </w:p>
    <w:p w:rsidR="00D37246" w:rsidRPr="00D37246" w:rsidRDefault="00ED6832" w:rsidP="00A35DA6">
      <w:pPr>
        <w:autoSpaceDE w:val="0"/>
        <w:autoSpaceDN w:val="0"/>
        <w:adjustRightInd w:val="0"/>
        <w:spacing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5</w:t>
      </w:r>
      <w:r w:rsidR="003A3802">
        <w:rPr>
          <w:rFonts w:ascii="Verdana" w:hAnsi="Verdana" w:cs="Verdana"/>
          <w:color w:val="000000"/>
          <w:sz w:val="20"/>
          <w:szCs w:val="20"/>
          <w:lang w:val="es-CR"/>
        </w:rPr>
        <w:t>.</w:t>
      </w:r>
      <w:r w:rsidR="003A3802">
        <w:rPr>
          <w:rFonts w:ascii="Verdana" w:hAnsi="Verdana" w:cs="Verdana"/>
          <w:color w:val="000000"/>
          <w:sz w:val="20"/>
          <w:szCs w:val="20"/>
          <w:lang w:val="es-CR"/>
        </w:rPr>
        <w:tab/>
      </w:r>
      <w:r w:rsidR="00D37246" w:rsidRPr="00D37246">
        <w:rPr>
          <w:rFonts w:ascii="Verdana" w:hAnsi="Verdana" w:cs="Verdana"/>
          <w:color w:val="000000"/>
          <w:sz w:val="20"/>
          <w:szCs w:val="20"/>
          <w:lang w:val="es-CR"/>
        </w:rPr>
        <w:t>Dis</w:t>
      </w:r>
      <w:r w:rsidR="00A35DA6">
        <w:rPr>
          <w:rFonts w:ascii="Verdana" w:hAnsi="Verdana" w:cs="Verdana"/>
          <w:color w:val="000000"/>
          <w:sz w:val="20"/>
          <w:szCs w:val="20"/>
          <w:lang w:val="es-CR"/>
        </w:rPr>
        <w:t>poner que, una vez recibidas la</w:t>
      </w:r>
      <w:r w:rsidR="00D37246" w:rsidRPr="00D37246">
        <w:rPr>
          <w:rFonts w:ascii="Verdana" w:hAnsi="Verdana" w:cs="Verdana"/>
          <w:color w:val="000000"/>
          <w:sz w:val="20"/>
          <w:szCs w:val="20"/>
          <w:lang w:val="es-CR"/>
        </w:rPr>
        <w:t xml:space="preserve"> </w:t>
      </w:r>
      <w:r w:rsidR="00D37246">
        <w:rPr>
          <w:rFonts w:ascii="Verdana" w:hAnsi="Verdana" w:cs="Verdana"/>
          <w:color w:val="000000"/>
          <w:sz w:val="20"/>
          <w:szCs w:val="20"/>
          <w:lang w:val="es-CR"/>
        </w:rPr>
        <w:t>declaración de la señora Fabiola Álvarez Solano</w:t>
      </w:r>
      <w:r w:rsidR="00D37246" w:rsidRPr="00D37246">
        <w:rPr>
          <w:rFonts w:ascii="Verdana" w:hAnsi="Verdana" w:cs="Verdana"/>
          <w:color w:val="000000"/>
          <w:sz w:val="20"/>
          <w:szCs w:val="20"/>
          <w:lang w:val="es-CR"/>
        </w:rPr>
        <w:t>, la Secretaría de la Corte l</w:t>
      </w:r>
      <w:r w:rsidR="00D37246">
        <w:rPr>
          <w:rFonts w:ascii="Verdana" w:hAnsi="Verdana" w:cs="Verdana"/>
          <w:color w:val="000000"/>
          <w:sz w:val="20"/>
          <w:szCs w:val="20"/>
          <w:lang w:val="es-CR"/>
        </w:rPr>
        <w:t>a</w:t>
      </w:r>
      <w:r w:rsidR="00EA6B3E">
        <w:rPr>
          <w:rFonts w:ascii="Verdana" w:hAnsi="Verdana" w:cs="Verdana"/>
          <w:color w:val="000000"/>
          <w:sz w:val="20"/>
          <w:szCs w:val="20"/>
          <w:lang w:val="es-CR"/>
        </w:rPr>
        <w:t xml:space="preserve"> transmita a las partes y a</w:t>
      </w:r>
      <w:r w:rsidR="00D37246" w:rsidRPr="00D37246">
        <w:rPr>
          <w:rFonts w:ascii="Verdana" w:hAnsi="Verdana" w:cs="Verdana"/>
          <w:color w:val="000000"/>
          <w:sz w:val="20"/>
          <w:szCs w:val="20"/>
          <w:lang w:val="es-CR"/>
        </w:rPr>
        <w:t xml:space="preserve"> </w:t>
      </w:r>
      <w:r w:rsidR="00EA6B3E">
        <w:rPr>
          <w:rFonts w:ascii="Verdana" w:hAnsi="Verdana" w:cs="Verdana"/>
          <w:color w:val="000000"/>
          <w:sz w:val="20"/>
          <w:szCs w:val="20"/>
          <w:lang w:val="es-CR"/>
        </w:rPr>
        <w:t xml:space="preserve">Comisión Interamericana de Derechos Humanos, </w:t>
      </w:r>
      <w:r w:rsidR="00D37246" w:rsidRPr="00D37246">
        <w:rPr>
          <w:rFonts w:ascii="Verdana" w:hAnsi="Verdana" w:cs="Verdana"/>
          <w:color w:val="000000"/>
          <w:sz w:val="20"/>
          <w:szCs w:val="20"/>
          <w:lang w:val="es-CR"/>
        </w:rPr>
        <w:t>presenten s</w:t>
      </w:r>
      <w:r w:rsidR="00EA6B3E">
        <w:rPr>
          <w:rFonts w:ascii="Verdana" w:hAnsi="Verdana" w:cs="Verdana"/>
          <w:color w:val="000000"/>
          <w:sz w:val="20"/>
          <w:szCs w:val="20"/>
          <w:lang w:val="es-CR"/>
        </w:rPr>
        <w:t>us observaciones a dicha declaración, según corresponda</w:t>
      </w:r>
      <w:r w:rsidR="00D37246" w:rsidRPr="00D37246">
        <w:rPr>
          <w:rFonts w:ascii="Verdana" w:hAnsi="Verdana" w:cs="Verdana"/>
          <w:color w:val="000000"/>
          <w:sz w:val="20"/>
          <w:szCs w:val="20"/>
          <w:lang w:val="es-CR"/>
        </w:rPr>
        <w:t xml:space="preserve">, a más tardar con sus alegatos u observaciones finales escritos. </w:t>
      </w:r>
    </w:p>
    <w:p w:rsidR="00D37246" w:rsidRPr="00A35DA6" w:rsidRDefault="00D37246" w:rsidP="003A3802">
      <w:pPr>
        <w:widowControl w:val="0"/>
        <w:autoSpaceDE w:val="0"/>
        <w:autoSpaceDN w:val="0"/>
        <w:adjustRightInd w:val="0"/>
        <w:spacing w:after="0" w:line="240" w:lineRule="auto"/>
        <w:ind w:right="18"/>
        <w:jc w:val="both"/>
        <w:rPr>
          <w:rFonts w:ascii="Verdana" w:eastAsia="Calibri" w:hAnsi="Verdana" w:cs="Verdana"/>
          <w:sz w:val="20"/>
          <w:szCs w:val="20"/>
          <w:lang w:val="es-MX" w:eastAsia="en-US"/>
        </w:rPr>
      </w:pPr>
    </w:p>
    <w:p w:rsidR="00382D74" w:rsidRPr="003A3802" w:rsidRDefault="00ED6832" w:rsidP="003A3802">
      <w:pPr>
        <w:pStyle w:val="ListParagraph"/>
        <w:widowControl w:val="0"/>
        <w:numPr>
          <w:ilvl w:val="0"/>
          <w:numId w:val="1"/>
        </w:numPr>
        <w:autoSpaceDE w:val="0"/>
        <w:autoSpaceDN w:val="0"/>
        <w:adjustRightInd w:val="0"/>
        <w:spacing w:after="0" w:line="240" w:lineRule="auto"/>
        <w:ind w:left="0" w:right="18" w:firstLine="0"/>
        <w:jc w:val="both"/>
        <w:rPr>
          <w:rFonts w:ascii="Verdana" w:eastAsia="Calibri" w:hAnsi="Verdana" w:cs="Verdana"/>
          <w:sz w:val="20"/>
          <w:szCs w:val="20"/>
          <w:lang w:val="es-MX" w:eastAsia="en-US"/>
        </w:rPr>
      </w:pPr>
      <w:r w:rsidRPr="003A3802">
        <w:rPr>
          <w:rFonts w:ascii="Verdana" w:eastAsia="Calibri" w:hAnsi="Verdana" w:cs="Verdana"/>
          <w:color w:val="000000"/>
          <w:sz w:val="20"/>
          <w:szCs w:val="20"/>
          <w:lang w:val="es-CR" w:eastAsia="es-ES"/>
        </w:rPr>
        <w:t xml:space="preserve"> </w:t>
      </w:r>
      <w:r w:rsidR="00382D74" w:rsidRPr="003A3802">
        <w:rPr>
          <w:rFonts w:ascii="Verdana" w:eastAsia="Calibri" w:hAnsi="Verdana" w:cs="Verdana"/>
          <w:color w:val="000000"/>
          <w:sz w:val="20"/>
          <w:szCs w:val="20"/>
          <w:lang w:val="es-CR" w:eastAsia="es-ES"/>
        </w:rPr>
        <w:t xml:space="preserve">Disponer que la Secretaría de la Corte Interamericana notifique la presente Resolución a la Comisión Interamericana de Derechos Humanos, a </w:t>
      </w:r>
      <w:r w:rsidR="00D7545C" w:rsidRPr="003A3802">
        <w:rPr>
          <w:rFonts w:ascii="Verdana" w:eastAsia="Calibri" w:hAnsi="Verdana" w:cs="Verdana"/>
          <w:color w:val="000000"/>
          <w:sz w:val="20"/>
          <w:szCs w:val="20"/>
          <w:lang w:val="es-CR" w:eastAsia="es-ES"/>
        </w:rPr>
        <w:t>lo</w:t>
      </w:r>
      <w:r w:rsidR="00382D74" w:rsidRPr="003A3802">
        <w:rPr>
          <w:rFonts w:ascii="Verdana" w:eastAsia="Calibri" w:hAnsi="Verdana" w:cs="Verdana"/>
          <w:color w:val="000000"/>
          <w:sz w:val="20"/>
          <w:szCs w:val="20"/>
          <w:lang w:val="es-CR" w:eastAsia="es-ES"/>
        </w:rPr>
        <w:t>s representantes de las presuntas víctimas y al Estado de Colombia.</w:t>
      </w:r>
      <w:r w:rsidR="00382D74" w:rsidRPr="003A3802">
        <w:rPr>
          <w:rFonts w:ascii="Verdana" w:eastAsia="Calibri" w:hAnsi="Verdana" w:cs="Verdana"/>
          <w:sz w:val="20"/>
          <w:szCs w:val="20"/>
          <w:lang w:val="es-MX" w:eastAsia="en-US"/>
        </w:rPr>
        <w:t xml:space="preserve"> </w:t>
      </w:r>
    </w:p>
    <w:p w:rsidR="00382D74" w:rsidRPr="00382D74" w:rsidRDefault="00382D74" w:rsidP="00382D74">
      <w:pPr>
        <w:rPr>
          <w:rFonts w:ascii="Calibri" w:eastAsia="Calibri" w:hAnsi="Calibri" w:cs="Calibri"/>
          <w:lang w:val="es-MX" w:eastAsia="en-US"/>
        </w:rPr>
      </w:pPr>
    </w:p>
    <w:p w:rsidR="00382D74" w:rsidRPr="00382D74" w:rsidRDefault="00382D74" w:rsidP="00382D74">
      <w:pPr>
        <w:spacing w:after="0"/>
        <w:jc w:val="both"/>
        <w:rPr>
          <w:rFonts w:ascii="Verdana" w:eastAsia="Calibri" w:hAnsi="Verdana" w:cs="Calibri"/>
          <w:sz w:val="20"/>
          <w:lang w:val="es-CR" w:eastAsia="en-US"/>
        </w:rPr>
      </w:pPr>
    </w:p>
    <w:p w:rsidR="008C5B89" w:rsidRDefault="008C5B89" w:rsidP="008C5B89">
      <w:pPr>
        <w:spacing w:after="0"/>
        <w:jc w:val="both"/>
        <w:rPr>
          <w:rFonts w:ascii="Verdana" w:hAnsi="Verdana"/>
          <w:sz w:val="20"/>
          <w:lang w:val="es-CR"/>
        </w:rPr>
      </w:pPr>
      <w:r>
        <w:rPr>
          <w:rFonts w:ascii="Verdana" w:hAnsi="Verdana"/>
          <w:sz w:val="20"/>
          <w:lang w:val="es-CR"/>
        </w:rPr>
        <w:t xml:space="preserve">Resolución de la Corte Interamericana de Derechos Humanos. Caso </w:t>
      </w:r>
      <w:proofErr w:type="spellStart"/>
      <w:r>
        <w:rPr>
          <w:rFonts w:ascii="Verdana" w:hAnsi="Verdana"/>
          <w:sz w:val="20"/>
          <w:lang w:val="es-CR"/>
        </w:rPr>
        <w:t>Omeara</w:t>
      </w:r>
      <w:proofErr w:type="spellEnd"/>
      <w:r>
        <w:rPr>
          <w:rFonts w:ascii="Verdana" w:hAnsi="Verdana"/>
          <w:sz w:val="20"/>
          <w:lang w:val="es-CR"/>
        </w:rPr>
        <w:t xml:space="preserve"> Carrascal y otros Vs. Colombia.</w:t>
      </w:r>
    </w:p>
    <w:p w:rsidR="008C5B89" w:rsidRDefault="008C5B89" w:rsidP="008C5B89">
      <w:pPr>
        <w:spacing w:after="0"/>
        <w:jc w:val="both"/>
        <w:rPr>
          <w:rFonts w:ascii="Verdana" w:hAnsi="Verdana"/>
          <w:sz w:val="20"/>
          <w:lang w:val="es-CR"/>
        </w:rPr>
      </w:pPr>
    </w:p>
    <w:p w:rsidR="008C5B89" w:rsidRDefault="008C5B89" w:rsidP="008C5B89">
      <w:pPr>
        <w:spacing w:after="0"/>
        <w:jc w:val="both"/>
        <w:rPr>
          <w:rFonts w:ascii="Verdana" w:hAnsi="Verdana"/>
          <w:sz w:val="20"/>
          <w:lang w:val="es-CR"/>
        </w:rPr>
      </w:pPr>
    </w:p>
    <w:p w:rsidR="008C5B89" w:rsidRDefault="008C5B89" w:rsidP="008C5B89">
      <w:pPr>
        <w:spacing w:after="0"/>
        <w:jc w:val="both"/>
        <w:rPr>
          <w:rFonts w:ascii="Verdana" w:hAnsi="Verdana"/>
          <w:sz w:val="20"/>
          <w:lang w:val="es-CR"/>
        </w:rPr>
      </w:pPr>
    </w:p>
    <w:p w:rsidR="008C5B89" w:rsidRDefault="008C5B89" w:rsidP="008C5B89">
      <w:pPr>
        <w:spacing w:after="0"/>
        <w:jc w:val="both"/>
        <w:rPr>
          <w:rFonts w:ascii="Verdana" w:hAnsi="Verdana"/>
          <w:sz w:val="20"/>
          <w:lang w:val="es-CR"/>
        </w:rPr>
      </w:pPr>
    </w:p>
    <w:p w:rsidR="008C5B89" w:rsidRPr="004B7A1D" w:rsidRDefault="008C5B89" w:rsidP="008C5B89">
      <w:pPr>
        <w:spacing w:after="0"/>
        <w:jc w:val="center"/>
        <w:rPr>
          <w:rFonts w:ascii="Verdana" w:hAnsi="Verdana"/>
          <w:sz w:val="20"/>
          <w:lang w:val="es-ES"/>
        </w:rPr>
      </w:pPr>
      <w:r>
        <w:rPr>
          <w:rFonts w:ascii="Verdana" w:hAnsi="Verdana"/>
          <w:sz w:val="20"/>
          <w:lang w:val="es-ES"/>
        </w:rPr>
        <w:t>Roberto F. Caldas</w:t>
      </w:r>
    </w:p>
    <w:p w:rsidR="008C5B89" w:rsidRPr="004B7A1D" w:rsidRDefault="008C5B89" w:rsidP="008C5B89">
      <w:pPr>
        <w:spacing w:after="0"/>
        <w:jc w:val="center"/>
        <w:rPr>
          <w:rFonts w:ascii="Verdana" w:hAnsi="Verdana"/>
          <w:sz w:val="20"/>
          <w:lang w:val="es-ES"/>
        </w:rPr>
      </w:pPr>
      <w:r w:rsidRPr="004B7A1D">
        <w:rPr>
          <w:rFonts w:ascii="Verdana" w:hAnsi="Verdana"/>
          <w:sz w:val="20"/>
          <w:lang w:val="es-ES"/>
        </w:rPr>
        <w:t xml:space="preserve">Presidente </w:t>
      </w:r>
    </w:p>
    <w:p w:rsidR="008C5B89" w:rsidRPr="004B7A1D" w:rsidRDefault="008C5B89" w:rsidP="008C5B89">
      <w:pPr>
        <w:spacing w:after="0"/>
        <w:jc w:val="both"/>
        <w:rPr>
          <w:rFonts w:ascii="Verdana" w:hAnsi="Verdana"/>
          <w:sz w:val="20"/>
          <w:lang w:val="es-ES"/>
        </w:rPr>
      </w:pPr>
    </w:p>
    <w:p w:rsidR="008C5B89" w:rsidRPr="004B7A1D" w:rsidRDefault="008C5B89" w:rsidP="008C5B89">
      <w:pPr>
        <w:tabs>
          <w:tab w:val="left" w:pos="1485"/>
        </w:tabs>
        <w:spacing w:after="0"/>
        <w:jc w:val="both"/>
        <w:rPr>
          <w:rFonts w:ascii="Verdana" w:hAnsi="Verdana"/>
          <w:sz w:val="20"/>
          <w:lang w:val="es-ES"/>
        </w:rPr>
      </w:pPr>
      <w:r>
        <w:rPr>
          <w:rFonts w:ascii="Verdana" w:hAnsi="Verdana"/>
          <w:sz w:val="20"/>
          <w:lang w:val="es-ES"/>
        </w:rPr>
        <w:tab/>
      </w: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Pr>
          <w:rFonts w:ascii="Verdana" w:hAnsi="Verdana"/>
          <w:sz w:val="20"/>
          <w:lang w:val="es-ES"/>
        </w:rPr>
        <w:t xml:space="preserve">            Eduardo Vio Grossi</w:t>
      </w: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r>
        <w:rPr>
          <w:rFonts w:ascii="Verdana" w:hAnsi="Verdana"/>
          <w:sz w:val="20"/>
          <w:lang w:val="es-ES"/>
        </w:rPr>
        <w:t xml:space="preserve">Elizabeth Odio Benito                                                                 </w:t>
      </w:r>
      <w:r w:rsidRPr="004B7A1D">
        <w:rPr>
          <w:rFonts w:ascii="Verdana" w:hAnsi="Verdana"/>
          <w:sz w:val="20"/>
          <w:lang w:val="es-ES"/>
        </w:rPr>
        <w:t xml:space="preserve"> </w:t>
      </w:r>
      <w:r>
        <w:rPr>
          <w:rFonts w:ascii="Verdana" w:hAnsi="Verdana"/>
          <w:sz w:val="20"/>
          <w:lang w:val="es-ES"/>
        </w:rPr>
        <w:t>L. Patricio Pazmiño Freire</w:t>
      </w: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center"/>
        <w:rPr>
          <w:rFonts w:ascii="Verdana" w:hAnsi="Verdana"/>
          <w:sz w:val="20"/>
          <w:lang w:val="es-ES"/>
        </w:rPr>
      </w:pPr>
      <w:r>
        <w:rPr>
          <w:rFonts w:ascii="Verdana" w:hAnsi="Verdana"/>
          <w:sz w:val="20"/>
          <w:lang w:val="es-ES"/>
        </w:rPr>
        <w:t xml:space="preserve">Eugenio Raúl </w:t>
      </w:r>
      <w:proofErr w:type="spellStart"/>
      <w:r>
        <w:rPr>
          <w:rFonts w:ascii="Verdana" w:hAnsi="Verdana"/>
          <w:sz w:val="20"/>
          <w:lang w:val="es-ES"/>
        </w:rPr>
        <w:t>Zaffaroni</w:t>
      </w:r>
      <w:proofErr w:type="spellEnd"/>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CR"/>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center"/>
        <w:rPr>
          <w:rFonts w:ascii="Verdana" w:hAnsi="Verdana"/>
          <w:sz w:val="20"/>
          <w:lang w:val="es-ES"/>
        </w:rPr>
      </w:pPr>
      <w:r w:rsidRPr="004B7A1D">
        <w:rPr>
          <w:rFonts w:ascii="Verdana" w:hAnsi="Verdana"/>
          <w:sz w:val="20"/>
          <w:lang w:val="es-ES"/>
        </w:rPr>
        <w:t>Pablo Saavedra Alessandri</w:t>
      </w:r>
    </w:p>
    <w:p w:rsidR="008C5B89" w:rsidRPr="004B7A1D" w:rsidRDefault="008C5B89" w:rsidP="008C5B89">
      <w:pPr>
        <w:spacing w:after="0"/>
        <w:jc w:val="center"/>
        <w:rPr>
          <w:rFonts w:ascii="Verdana" w:hAnsi="Verdana"/>
          <w:sz w:val="20"/>
          <w:lang w:val="es-ES"/>
        </w:rPr>
      </w:pPr>
      <w:r w:rsidRPr="004B7A1D">
        <w:rPr>
          <w:rFonts w:ascii="Verdana" w:hAnsi="Verdana"/>
          <w:sz w:val="20"/>
          <w:lang w:val="es-ES"/>
        </w:rPr>
        <w:t>Secretario</w:t>
      </w:r>
    </w:p>
    <w:p w:rsidR="008C5B89" w:rsidRPr="004B7A1D" w:rsidRDefault="008C5B89" w:rsidP="008C5B89">
      <w:pPr>
        <w:pStyle w:val="FootnoteText"/>
        <w:rPr>
          <w:rFonts w:ascii="Verdana" w:hAnsi="Verdana"/>
          <w:lang w:val="es-ES"/>
        </w:rPr>
      </w:pPr>
    </w:p>
    <w:p w:rsidR="008C5B89" w:rsidRPr="004B7A1D" w:rsidRDefault="008C5B89" w:rsidP="008C5B89">
      <w:pPr>
        <w:pStyle w:val="FootnoteText"/>
        <w:rPr>
          <w:rFonts w:ascii="Verdana" w:hAnsi="Verdana"/>
          <w:lang w:val="es-ES"/>
        </w:rPr>
      </w:pPr>
    </w:p>
    <w:p w:rsidR="008C5B89" w:rsidRPr="004B7A1D" w:rsidRDefault="008C5B89" w:rsidP="008C5B89">
      <w:pPr>
        <w:pStyle w:val="FootnoteText"/>
        <w:rPr>
          <w:rFonts w:ascii="Verdana" w:hAnsi="Verdana"/>
          <w:lang w:val="es-ES"/>
        </w:rPr>
      </w:pPr>
    </w:p>
    <w:p w:rsidR="008C5B89" w:rsidRPr="004B7A1D" w:rsidRDefault="008C5B89" w:rsidP="008C5B89">
      <w:pPr>
        <w:spacing w:after="0"/>
        <w:jc w:val="both"/>
        <w:rPr>
          <w:rFonts w:ascii="Verdana" w:hAnsi="Verdana"/>
          <w:sz w:val="20"/>
          <w:lang w:val="es-ES"/>
        </w:rPr>
      </w:pPr>
      <w:r w:rsidRPr="004B7A1D">
        <w:rPr>
          <w:rFonts w:ascii="Verdana" w:hAnsi="Verdana"/>
          <w:sz w:val="20"/>
          <w:lang w:val="es-ES"/>
        </w:rPr>
        <w:t>Comuníquese y ejecútese,</w:t>
      </w: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ind w:left="5760" w:firstLine="720"/>
        <w:jc w:val="center"/>
        <w:rPr>
          <w:rFonts w:ascii="Verdana" w:hAnsi="Verdana"/>
          <w:sz w:val="20"/>
          <w:lang w:val="es-ES"/>
        </w:rPr>
      </w:pPr>
      <w:r>
        <w:rPr>
          <w:rFonts w:ascii="Verdana" w:hAnsi="Verdana"/>
          <w:sz w:val="20"/>
          <w:lang w:val="es-ES"/>
        </w:rPr>
        <w:t>Roberto F. Caldas</w:t>
      </w:r>
    </w:p>
    <w:p w:rsidR="008C5B89" w:rsidRPr="004B7A1D" w:rsidRDefault="008C5B89" w:rsidP="008C5B89">
      <w:pPr>
        <w:spacing w:after="0"/>
        <w:ind w:left="5760" w:firstLine="720"/>
        <w:jc w:val="center"/>
        <w:rPr>
          <w:rFonts w:ascii="Verdana" w:hAnsi="Verdana"/>
          <w:sz w:val="20"/>
          <w:lang w:val="es-ES"/>
        </w:rPr>
      </w:pPr>
      <w:r w:rsidRPr="004B7A1D">
        <w:rPr>
          <w:rFonts w:ascii="Verdana" w:hAnsi="Verdana"/>
          <w:sz w:val="20"/>
          <w:lang w:val="es-ES"/>
        </w:rPr>
        <w:t xml:space="preserve">Presidente </w:t>
      </w:r>
    </w:p>
    <w:p w:rsidR="008C5B89"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p>
    <w:p w:rsidR="008C5B89" w:rsidRPr="004B7A1D" w:rsidRDefault="008C5B89" w:rsidP="008C5B89">
      <w:pPr>
        <w:spacing w:after="0"/>
        <w:jc w:val="both"/>
        <w:rPr>
          <w:rFonts w:ascii="Verdana" w:hAnsi="Verdana"/>
          <w:sz w:val="20"/>
          <w:lang w:val="es-ES"/>
        </w:rPr>
      </w:pPr>
      <w:r w:rsidRPr="004B7A1D">
        <w:rPr>
          <w:rFonts w:ascii="Verdana" w:hAnsi="Verdana"/>
          <w:sz w:val="20"/>
          <w:lang w:val="es-ES"/>
        </w:rPr>
        <w:t>Pablo Saavedra Alessandri</w:t>
      </w:r>
    </w:p>
    <w:p w:rsidR="007C7709" w:rsidRPr="00680411" w:rsidRDefault="008C5B89" w:rsidP="008C5B89">
      <w:pPr>
        <w:spacing w:after="0"/>
        <w:rPr>
          <w:rFonts w:ascii="Verdana" w:eastAsia="Calibri" w:hAnsi="Verdana" w:cs="Calibri"/>
          <w:sz w:val="20"/>
          <w:lang w:val="es-ES" w:eastAsia="en-US"/>
        </w:rPr>
      </w:pPr>
      <w:r w:rsidRPr="004B7A1D">
        <w:rPr>
          <w:rFonts w:ascii="Verdana" w:hAnsi="Verdana"/>
          <w:sz w:val="20"/>
          <w:lang w:val="es-ES"/>
        </w:rPr>
        <w:tab/>
      </w:r>
      <w:r w:rsidRPr="004B7A1D">
        <w:rPr>
          <w:rFonts w:ascii="Verdana" w:hAnsi="Verdana"/>
          <w:sz w:val="20"/>
          <w:lang w:val="es-CR"/>
        </w:rPr>
        <w:t>Secretario</w:t>
      </w:r>
    </w:p>
    <w:sectPr w:rsidR="007C7709" w:rsidRPr="00680411" w:rsidSect="00666F4A">
      <w:headerReference w:type="default" r:id="rId9"/>
      <w:pgSz w:w="12240" w:h="15840"/>
      <w:pgMar w:top="964" w:right="1021" w:bottom="964" w:left="102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9B" w:rsidRDefault="00AE049B" w:rsidP="00382D74">
      <w:pPr>
        <w:spacing w:after="0" w:line="240" w:lineRule="auto"/>
      </w:pPr>
      <w:r>
        <w:separator/>
      </w:r>
    </w:p>
  </w:endnote>
  <w:endnote w:type="continuationSeparator" w:id="0">
    <w:p w:rsidR="00AE049B" w:rsidRDefault="00AE049B" w:rsidP="0038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9B" w:rsidRDefault="00AE049B" w:rsidP="00382D74">
      <w:pPr>
        <w:spacing w:after="0" w:line="240" w:lineRule="auto"/>
      </w:pPr>
      <w:r>
        <w:separator/>
      </w:r>
    </w:p>
  </w:footnote>
  <w:footnote w:type="continuationSeparator" w:id="0">
    <w:p w:rsidR="00AE049B" w:rsidRDefault="00AE049B" w:rsidP="00382D74">
      <w:pPr>
        <w:spacing w:after="0" w:line="240" w:lineRule="auto"/>
      </w:pPr>
      <w:r>
        <w:continuationSeparator/>
      </w:r>
    </w:p>
  </w:footnote>
  <w:footnote w:id="1">
    <w:p w:rsidR="000500A0" w:rsidRPr="000500A0" w:rsidRDefault="000500A0" w:rsidP="000500A0">
      <w:pPr>
        <w:pStyle w:val="FootnoteText"/>
        <w:jc w:val="both"/>
        <w:rPr>
          <w:rFonts w:ascii="Verdana" w:hAnsi="Verdana"/>
          <w:sz w:val="16"/>
          <w:szCs w:val="16"/>
          <w:lang w:val="es-CR"/>
        </w:rPr>
      </w:pPr>
      <w:r w:rsidRPr="000500A0">
        <w:rPr>
          <w:rStyle w:val="FootnoteReference"/>
        </w:rPr>
        <w:sym w:font="Symbol" w:char="F02A"/>
      </w:r>
      <w:r w:rsidRPr="000500A0">
        <w:rPr>
          <w:rFonts w:ascii="Verdana" w:hAnsi="Verdana"/>
          <w:sz w:val="16"/>
          <w:szCs w:val="16"/>
          <w:lang w:val="es-CR"/>
        </w:rPr>
        <w:tab/>
        <w:t xml:space="preserve">El Juez Humberto Antonio Sierra Porto, de nacionalidad colombiana, no participó en el conocimiento y deliberación de la presente Resolución, de conformidad con lo dispuesto en el artículo 19.1 del Reglamento de la Corte. </w:t>
      </w:r>
    </w:p>
  </w:footnote>
  <w:footnote w:id="2">
    <w:p w:rsidR="00382D74" w:rsidRPr="008C7E6A" w:rsidRDefault="00382D74" w:rsidP="000500A0">
      <w:pPr>
        <w:pStyle w:val="FootnoteText"/>
        <w:jc w:val="both"/>
        <w:rPr>
          <w:rFonts w:ascii="Verdana" w:hAnsi="Verdana"/>
          <w:sz w:val="16"/>
          <w:szCs w:val="16"/>
          <w:lang w:val="es-CR"/>
        </w:rPr>
      </w:pPr>
      <w:r w:rsidRPr="008C7E6A">
        <w:rPr>
          <w:rStyle w:val="FootnoteReference"/>
        </w:rPr>
        <w:footnoteRef/>
      </w:r>
      <w:r w:rsidRPr="008C7E6A">
        <w:rPr>
          <w:rFonts w:ascii="Verdana" w:hAnsi="Verdana"/>
          <w:sz w:val="16"/>
          <w:szCs w:val="16"/>
          <w:lang w:val="es-PE"/>
        </w:rPr>
        <w:t xml:space="preserve"> </w:t>
      </w:r>
      <w:r w:rsidR="003A3802">
        <w:rPr>
          <w:rFonts w:ascii="Verdana" w:hAnsi="Verdana"/>
          <w:sz w:val="16"/>
          <w:szCs w:val="16"/>
          <w:lang w:val="es-PE"/>
        </w:rPr>
        <w:tab/>
      </w:r>
      <w:r w:rsidRPr="008C7E6A">
        <w:rPr>
          <w:rFonts w:ascii="Verdana" w:hAnsi="Verdana"/>
          <w:sz w:val="16"/>
          <w:szCs w:val="16"/>
          <w:lang w:val="es-PE"/>
        </w:rPr>
        <w:t xml:space="preserve">El señor </w:t>
      </w:r>
      <w:r w:rsidR="00DE43C8" w:rsidRPr="008C7E6A">
        <w:rPr>
          <w:rFonts w:ascii="Verdana" w:hAnsi="Verdana"/>
          <w:sz w:val="16"/>
          <w:szCs w:val="16"/>
          <w:lang w:val="es-PE"/>
        </w:rPr>
        <w:t>Iván Augusto Gómez Celis</w:t>
      </w:r>
      <w:r w:rsidRPr="008C7E6A">
        <w:rPr>
          <w:rFonts w:ascii="Verdana" w:hAnsi="Verdana"/>
          <w:sz w:val="16"/>
          <w:szCs w:val="16"/>
          <w:lang w:val="es-PE"/>
        </w:rPr>
        <w:t xml:space="preserve">, de conformidad al objeto establecido en el punto resolutivo </w:t>
      </w:r>
      <w:r w:rsidR="00DE43C8" w:rsidRPr="008C7E6A">
        <w:rPr>
          <w:rFonts w:ascii="Verdana" w:hAnsi="Verdana"/>
          <w:sz w:val="16"/>
          <w:szCs w:val="16"/>
          <w:lang w:val="es-PE"/>
        </w:rPr>
        <w:t>primero</w:t>
      </w:r>
      <w:r w:rsidRPr="008C7E6A">
        <w:rPr>
          <w:rFonts w:ascii="Verdana" w:hAnsi="Verdana"/>
          <w:sz w:val="16"/>
          <w:szCs w:val="16"/>
          <w:lang w:val="es-PE"/>
        </w:rPr>
        <w:t xml:space="preserve"> de la Resolución del Presidente, rendirá </w:t>
      </w:r>
      <w:r w:rsidR="00DE43C8" w:rsidRPr="008C7E6A">
        <w:rPr>
          <w:rFonts w:ascii="Verdana" w:hAnsi="Verdana"/>
          <w:sz w:val="16"/>
          <w:szCs w:val="16"/>
          <w:lang w:val="es-PE"/>
        </w:rPr>
        <w:t>declaración testimonial</w:t>
      </w:r>
      <w:r w:rsidRPr="008C7E6A">
        <w:rPr>
          <w:rFonts w:ascii="Verdana" w:hAnsi="Verdana"/>
          <w:sz w:val="16"/>
          <w:szCs w:val="16"/>
          <w:lang w:val="es-PE"/>
        </w:rPr>
        <w:t xml:space="preserve"> sobre </w:t>
      </w:r>
      <w:r w:rsidR="00DE43C8" w:rsidRPr="008C7E6A">
        <w:rPr>
          <w:rFonts w:ascii="Verdana" w:hAnsi="Verdana"/>
          <w:sz w:val="16"/>
          <w:szCs w:val="16"/>
          <w:lang w:val="es-PE"/>
        </w:rPr>
        <w:t xml:space="preserve">las supuestas actuaciones realizadas por la Fiscalía General de la Nación en el marco de los procesos de Justicia y Paz, con el fin de investigar, juzgar y sancionar a los responsables por los alegados hechos relacionados con los señores Noel Emiro </w:t>
      </w:r>
      <w:proofErr w:type="spellStart"/>
      <w:r w:rsidR="00DE43C8" w:rsidRPr="008C7E6A">
        <w:rPr>
          <w:rFonts w:ascii="Verdana" w:hAnsi="Verdana"/>
          <w:sz w:val="16"/>
          <w:szCs w:val="16"/>
          <w:lang w:val="es-PE"/>
        </w:rPr>
        <w:t>Omeara</w:t>
      </w:r>
      <w:proofErr w:type="spellEnd"/>
      <w:r w:rsidR="00DE43C8" w:rsidRPr="008C7E6A">
        <w:rPr>
          <w:rFonts w:ascii="Verdana" w:hAnsi="Verdana"/>
          <w:sz w:val="16"/>
          <w:szCs w:val="16"/>
          <w:lang w:val="es-PE"/>
        </w:rPr>
        <w:t xml:space="preserve"> Carrascal, Manuel Guillermo </w:t>
      </w:r>
      <w:proofErr w:type="spellStart"/>
      <w:r w:rsidR="00DE43C8" w:rsidRPr="008C7E6A">
        <w:rPr>
          <w:rFonts w:ascii="Verdana" w:hAnsi="Verdana"/>
          <w:sz w:val="16"/>
          <w:szCs w:val="16"/>
          <w:lang w:val="es-PE"/>
        </w:rPr>
        <w:t>Omeara</w:t>
      </w:r>
      <w:proofErr w:type="spellEnd"/>
      <w:r w:rsidR="00DE43C8" w:rsidRPr="008C7E6A">
        <w:rPr>
          <w:rFonts w:ascii="Verdana" w:hAnsi="Verdana"/>
          <w:sz w:val="16"/>
          <w:szCs w:val="16"/>
          <w:lang w:val="es-PE"/>
        </w:rPr>
        <w:t xml:space="preserve"> </w:t>
      </w:r>
      <w:proofErr w:type="spellStart"/>
      <w:r w:rsidR="00DE43C8" w:rsidRPr="008C7E6A">
        <w:rPr>
          <w:rFonts w:ascii="Verdana" w:hAnsi="Verdana"/>
          <w:sz w:val="16"/>
          <w:szCs w:val="16"/>
          <w:lang w:val="es-PE"/>
        </w:rPr>
        <w:t>Miraval</w:t>
      </w:r>
      <w:proofErr w:type="spellEnd"/>
      <w:r w:rsidR="00DE43C8" w:rsidRPr="008C7E6A">
        <w:rPr>
          <w:rFonts w:ascii="Verdana" w:hAnsi="Verdana"/>
          <w:sz w:val="16"/>
          <w:szCs w:val="16"/>
          <w:lang w:val="es-PE"/>
        </w:rPr>
        <w:t xml:space="preserve"> y Héctor Álvarez Sánchez</w:t>
      </w:r>
      <w:r w:rsidR="008C7E6A">
        <w:rPr>
          <w:rFonts w:ascii="Verdana" w:hAnsi="Verdana"/>
          <w:sz w:val="16"/>
          <w:szCs w:val="16"/>
          <w:lang w:val="es-CR"/>
        </w:rPr>
        <w:t xml:space="preserve"> </w:t>
      </w:r>
      <w:r w:rsidR="008C7E6A" w:rsidRPr="008C7E6A">
        <w:rPr>
          <w:rFonts w:ascii="Verdana" w:hAnsi="Verdana"/>
          <w:i/>
          <w:sz w:val="16"/>
          <w:szCs w:val="16"/>
          <w:lang w:val="es-PE"/>
        </w:rPr>
        <w:t xml:space="preserve">Cfr. Caso </w:t>
      </w:r>
      <w:proofErr w:type="spellStart"/>
      <w:r w:rsidR="008C7E6A" w:rsidRPr="008C7E6A">
        <w:rPr>
          <w:rFonts w:ascii="Verdana" w:hAnsi="Verdana"/>
          <w:i/>
          <w:sz w:val="16"/>
          <w:szCs w:val="16"/>
          <w:lang w:val="es-PE"/>
        </w:rPr>
        <w:t>Omeara</w:t>
      </w:r>
      <w:proofErr w:type="spellEnd"/>
      <w:r w:rsidR="008C7E6A" w:rsidRPr="008C7E6A">
        <w:rPr>
          <w:rFonts w:ascii="Verdana" w:hAnsi="Verdana"/>
          <w:i/>
          <w:sz w:val="16"/>
          <w:szCs w:val="16"/>
          <w:lang w:val="es-PE"/>
        </w:rPr>
        <w:t xml:space="preserve"> y otros Vs. Colombia. </w:t>
      </w:r>
      <w:r w:rsidR="008C7E6A" w:rsidRPr="008C7E6A">
        <w:rPr>
          <w:rFonts w:ascii="Verdana" w:hAnsi="Verdana"/>
          <w:sz w:val="16"/>
          <w:szCs w:val="16"/>
          <w:lang w:val="es-PE"/>
        </w:rPr>
        <w:t xml:space="preserve">Resolución del Presidente de 21 de abril de 2017, </w:t>
      </w:r>
      <w:r w:rsidR="0043455E">
        <w:rPr>
          <w:rFonts w:ascii="Verdana" w:hAnsi="Verdana"/>
          <w:sz w:val="16"/>
          <w:szCs w:val="16"/>
          <w:lang w:val="es-PE"/>
        </w:rPr>
        <w:t>Punto resolutivo 1</w:t>
      </w:r>
      <w:r w:rsidR="008C7E6A" w:rsidRPr="008C7E6A">
        <w:rPr>
          <w:rFonts w:ascii="Verdana" w:hAnsi="Verdana"/>
          <w:sz w:val="16"/>
          <w:szCs w:val="16"/>
          <w:lang w:val="es-PE"/>
        </w:rPr>
        <w:t>.</w:t>
      </w:r>
    </w:p>
  </w:footnote>
  <w:footnote w:id="3">
    <w:p w:rsidR="00D7545C" w:rsidRPr="008C7E6A" w:rsidRDefault="00D7545C" w:rsidP="000500A0">
      <w:pPr>
        <w:pStyle w:val="FootnoteText"/>
        <w:jc w:val="both"/>
        <w:rPr>
          <w:rFonts w:ascii="Verdana" w:hAnsi="Verdana"/>
          <w:sz w:val="16"/>
          <w:szCs w:val="16"/>
          <w:lang w:val="es-PE"/>
        </w:rPr>
      </w:pPr>
      <w:r w:rsidRPr="008C7E6A">
        <w:rPr>
          <w:rStyle w:val="FootnoteReference"/>
        </w:rPr>
        <w:footnoteRef/>
      </w:r>
      <w:r w:rsidRPr="008C7E6A">
        <w:rPr>
          <w:rFonts w:ascii="Verdana" w:hAnsi="Verdana"/>
          <w:sz w:val="16"/>
          <w:szCs w:val="16"/>
          <w:lang w:val="es-PE"/>
        </w:rPr>
        <w:t xml:space="preserve"> </w:t>
      </w:r>
      <w:r w:rsidR="003A3802">
        <w:rPr>
          <w:rFonts w:ascii="Verdana" w:hAnsi="Verdana"/>
          <w:sz w:val="16"/>
          <w:szCs w:val="16"/>
          <w:lang w:val="es-PE"/>
        </w:rPr>
        <w:tab/>
      </w:r>
      <w:r w:rsidRPr="008C7E6A">
        <w:rPr>
          <w:rFonts w:ascii="Verdana" w:hAnsi="Verdana"/>
          <w:sz w:val="16"/>
          <w:szCs w:val="16"/>
          <w:lang w:val="es-PE"/>
        </w:rPr>
        <w:t>El Estado señal</w:t>
      </w:r>
      <w:r w:rsidR="00B574F1" w:rsidRPr="008C7E6A">
        <w:rPr>
          <w:rFonts w:ascii="Verdana" w:hAnsi="Verdana"/>
          <w:sz w:val="16"/>
          <w:szCs w:val="16"/>
          <w:lang w:val="es-PE"/>
        </w:rPr>
        <w:t>ó</w:t>
      </w:r>
      <w:r w:rsidRPr="008C7E6A">
        <w:rPr>
          <w:rFonts w:ascii="Verdana" w:hAnsi="Verdana"/>
          <w:sz w:val="16"/>
          <w:szCs w:val="16"/>
          <w:lang w:val="es-PE"/>
        </w:rPr>
        <w:t xml:space="preserve"> que tanto la </w:t>
      </w:r>
      <w:r w:rsidR="00B574F1" w:rsidRPr="008C7E6A">
        <w:rPr>
          <w:rFonts w:ascii="Verdana" w:hAnsi="Verdana"/>
          <w:sz w:val="16"/>
          <w:szCs w:val="16"/>
          <w:lang w:val="es-PE"/>
        </w:rPr>
        <w:t>Comisión</w:t>
      </w:r>
      <w:r w:rsidRPr="008C7E6A">
        <w:rPr>
          <w:rFonts w:ascii="Verdana" w:hAnsi="Verdana"/>
          <w:sz w:val="16"/>
          <w:szCs w:val="16"/>
          <w:lang w:val="es-PE"/>
        </w:rPr>
        <w:t xml:space="preserve"> como los representantes han venido haciendo referencia durante el proceso a “la falta de coordinación entre las investigaciones” y “la ausencia de coordinación entre los procesos”</w:t>
      </w:r>
      <w:r w:rsidR="00B574F1" w:rsidRPr="008C7E6A">
        <w:rPr>
          <w:rFonts w:ascii="Verdana" w:hAnsi="Verdana"/>
          <w:sz w:val="16"/>
          <w:szCs w:val="16"/>
          <w:lang w:val="es-PE"/>
        </w:rPr>
        <w:t>,</w:t>
      </w:r>
      <w:r w:rsidRPr="008C7E6A">
        <w:rPr>
          <w:rFonts w:ascii="Verdana" w:hAnsi="Verdana"/>
          <w:sz w:val="16"/>
          <w:szCs w:val="16"/>
          <w:lang w:val="es-PE"/>
        </w:rPr>
        <w:t xml:space="preserve"> respectivamente. En ese sentido, </w:t>
      </w:r>
      <w:r w:rsidR="00B574F1" w:rsidRPr="008C7E6A">
        <w:rPr>
          <w:rFonts w:ascii="Verdana" w:hAnsi="Verdana"/>
          <w:sz w:val="16"/>
          <w:szCs w:val="16"/>
          <w:lang w:val="es-PE"/>
        </w:rPr>
        <w:t>la Comisión en su escrito de observaciones</w:t>
      </w:r>
      <w:r w:rsidRPr="008C7E6A">
        <w:rPr>
          <w:rFonts w:ascii="Verdana" w:hAnsi="Verdana"/>
          <w:sz w:val="16"/>
          <w:szCs w:val="16"/>
          <w:lang w:val="es-PE"/>
        </w:rPr>
        <w:t xml:space="preserve"> al “Reconocimiento de responsabilidad parcial de responsabilidad internacional” del Estado y a las excepciones preliminares</w:t>
      </w:r>
      <w:r w:rsidR="00B574F1" w:rsidRPr="008C7E6A">
        <w:rPr>
          <w:rFonts w:ascii="Verdana" w:hAnsi="Verdana"/>
          <w:sz w:val="16"/>
          <w:szCs w:val="16"/>
          <w:lang w:val="es-PE"/>
        </w:rPr>
        <w:t>, lo menciona en los</w:t>
      </w:r>
      <w:r w:rsidRPr="008C7E6A">
        <w:rPr>
          <w:rFonts w:ascii="Verdana" w:hAnsi="Verdana"/>
          <w:sz w:val="16"/>
          <w:szCs w:val="16"/>
          <w:lang w:val="es-PE"/>
        </w:rPr>
        <w:t xml:space="preserve"> </w:t>
      </w:r>
      <w:r w:rsidR="00B574F1" w:rsidRPr="008C7E6A">
        <w:rPr>
          <w:rFonts w:ascii="Verdana" w:hAnsi="Verdana"/>
          <w:sz w:val="16"/>
          <w:szCs w:val="16"/>
          <w:lang w:val="es-PE"/>
        </w:rPr>
        <w:t>p</w:t>
      </w:r>
      <w:r w:rsidRPr="008C7E6A">
        <w:rPr>
          <w:rFonts w:ascii="Verdana" w:hAnsi="Verdana"/>
          <w:sz w:val="16"/>
          <w:szCs w:val="16"/>
          <w:lang w:val="es-PE"/>
        </w:rPr>
        <w:t>árrafos 17, 19 y 25 y</w:t>
      </w:r>
      <w:r w:rsidR="00B574F1" w:rsidRPr="008C7E6A">
        <w:rPr>
          <w:rFonts w:ascii="Verdana" w:hAnsi="Verdana"/>
          <w:sz w:val="16"/>
          <w:szCs w:val="16"/>
          <w:lang w:val="es-PE"/>
        </w:rPr>
        <w:t xml:space="preserve"> los representantes en las o</w:t>
      </w:r>
      <w:r w:rsidRPr="008C7E6A">
        <w:rPr>
          <w:rFonts w:ascii="Verdana" w:hAnsi="Verdana"/>
          <w:sz w:val="16"/>
          <w:szCs w:val="16"/>
          <w:lang w:val="es-PE"/>
        </w:rPr>
        <w:t>bservaciones a las excepciones preliminares y al reconocimiento de responsabilidad parcial del Estado</w:t>
      </w:r>
      <w:r w:rsidR="008C7E6A" w:rsidRPr="008C7E6A">
        <w:rPr>
          <w:rFonts w:ascii="Verdana" w:hAnsi="Verdana"/>
          <w:sz w:val="16"/>
          <w:szCs w:val="16"/>
          <w:lang w:val="es-PE"/>
        </w:rPr>
        <w:t xml:space="preserve"> </w:t>
      </w:r>
      <w:r w:rsidR="008C7E6A">
        <w:rPr>
          <w:rFonts w:ascii="Verdana" w:hAnsi="Verdana"/>
          <w:sz w:val="16"/>
          <w:szCs w:val="16"/>
          <w:lang w:val="es-PE"/>
        </w:rPr>
        <w:t xml:space="preserve">en el folio </w:t>
      </w:r>
      <w:r w:rsidR="004C452E">
        <w:rPr>
          <w:rFonts w:ascii="Verdana" w:hAnsi="Verdana"/>
          <w:sz w:val="16"/>
          <w:szCs w:val="16"/>
          <w:lang w:val="es-PE"/>
        </w:rPr>
        <w:t>932</w:t>
      </w:r>
      <w:r w:rsidRPr="008C7E6A">
        <w:rPr>
          <w:rFonts w:ascii="Verdana" w:hAnsi="Verdana"/>
          <w:sz w:val="16"/>
          <w:szCs w:val="16"/>
          <w:lang w:val="es-PE"/>
        </w:rPr>
        <w:t>.</w:t>
      </w:r>
    </w:p>
  </w:footnote>
  <w:footnote w:id="4">
    <w:p w:rsidR="00CB3C40" w:rsidRPr="00CB3C40" w:rsidRDefault="00CB3C40">
      <w:pPr>
        <w:pStyle w:val="FootnoteText"/>
        <w:rPr>
          <w:lang w:val="es-CR"/>
        </w:rPr>
      </w:pPr>
      <w:r w:rsidRPr="008C7E6A">
        <w:rPr>
          <w:rStyle w:val="FootnoteReference"/>
        </w:rPr>
        <w:footnoteRef/>
      </w:r>
      <w:r w:rsidRPr="008C7E6A">
        <w:rPr>
          <w:rFonts w:ascii="Verdana" w:hAnsi="Verdana"/>
          <w:sz w:val="16"/>
          <w:szCs w:val="16"/>
          <w:lang w:val="es-CR"/>
        </w:rPr>
        <w:t xml:space="preserve"> </w:t>
      </w:r>
      <w:r w:rsidR="003A3802">
        <w:rPr>
          <w:rFonts w:ascii="Verdana" w:hAnsi="Verdana"/>
          <w:sz w:val="16"/>
          <w:szCs w:val="16"/>
          <w:lang w:val="es-CR"/>
        </w:rPr>
        <w:tab/>
      </w:r>
      <w:r w:rsidRPr="008C7E6A">
        <w:rPr>
          <w:rFonts w:ascii="Verdana" w:hAnsi="Verdana"/>
          <w:sz w:val="16"/>
          <w:szCs w:val="16"/>
          <w:lang w:val="es-CR"/>
        </w:rPr>
        <w:t>A ello agregaron, aludiendo a la situación de Fabiola Álvarez Solano (</w:t>
      </w:r>
      <w:r w:rsidRPr="008C7E6A">
        <w:rPr>
          <w:rFonts w:ascii="Verdana" w:hAnsi="Verdana"/>
          <w:i/>
          <w:sz w:val="16"/>
          <w:szCs w:val="16"/>
          <w:lang w:val="es-CR"/>
        </w:rPr>
        <w:t>supra</w:t>
      </w:r>
      <w:r w:rsidRPr="008C7E6A">
        <w:rPr>
          <w:rFonts w:ascii="Verdana" w:hAnsi="Verdana"/>
          <w:sz w:val="16"/>
          <w:szCs w:val="16"/>
          <w:lang w:val="es-CR"/>
        </w:rPr>
        <w:t xml:space="preserve"> </w:t>
      </w:r>
      <w:r w:rsidRPr="00ED6832">
        <w:rPr>
          <w:rFonts w:ascii="Verdana" w:hAnsi="Verdana"/>
          <w:sz w:val="16"/>
          <w:szCs w:val="16"/>
          <w:lang w:val="es-CR"/>
        </w:rPr>
        <w:t xml:space="preserve">Visto </w:t>
      </w:r>
      <w:r w:rsidRPr="003C4B4F">
        <w:rPr>
          <w:rFonts w:ascii="Verdana" w:hAnsi="Verdana"/>
          <w:sz w:val="16"/>
          <w:szCs w:val="16"/>
          <w:lang w:val="es-CR"/>
        </w:rPr>
        <w:t>4</w:t>
      </w:r>
      <w:r w:rsidRPr="008C7E6A">
        <w:rPr>
          <w:rFonts w:ascii="Verdana" w:hAnsi="Verdana"/>
          <w:sz w:val="16"/>
          <w:szCs w:val="16"/>
          <w:lang w:val="es-CR"/>
        </w:rPr>
        <w:t xml:space="preserve"> e </w:t>
      </w:r>
      <w:r w:rsidRPr="008C7E6A">
        <w:rPr>
          <w:rFonts w:ascii="Verdana" w:hAnsi="Verdana"/>
          <w:i/>
          <w:sz w:val="16"/>
          <w:szCs w:val="16"/>
          <w:lang w:val="es-CR"/>
        </w:rPr>
        <w:t>infra</w:t>
      </w:r>
      <w:r w:rsidRPr="008C7E6A">
        <w:rPr>
          <w:rFonts w:ascii="Verdana" w:hAnsi="Verdana"/>
          <w:sz w:val="16"/>
          <w:szCs w:val="16"/>
          <w:lang w:val="es-CR"/>
        </w:rPr>
        <w:t xml:space="preserve"> </w:t>
      </w:r>
      <w:r w:rsidRPr="00ED6832">
        <w:rPr>
          <w:rFonts w:ascii="Verdana" w:hAnsi="Verdana"/>
          <w:sz w:val="16"/>
          <w:szCs w:val="16"/>
          <w:lang w:val="es-CR"/>
        </w:rPr>
        <w:t xml:space="preserve">Considerando </w:t>
      </w:r>
      <w:r w:rsidR="000314F8" w:rsidRPr="003C4B4F">
        <w:rPr>
          <w:rFonts w:ascii="Verdana" w:hAnsi="Verdana"/>
          <w:sz w:val="16"/>
          <w:szCs w:val="16"/>
          <w:lang w:val="es-CR"/>
        </w:rPr>
        <w:t>16</w:t>
      </w:r>
      <w:r w:rsidRPr="00ED6832">
        <w:rPr>
          <w:rFonts w:ascii="Verdana" w:hAnsi="Verdana"/>
          <w:sz w:val="16"/>
          <w:szCs w:val="16"/>
          <w:lang w:val="es-CR"/>
        </w:rPr>
        <w:t>),</w:t>
      </w:r>
      <w:r w:rsidRPr="008C7E6A">
        <w:rPr>
          <w:rFonts w:ascii="Verdana" w:hAnsi="Verdana"/>
          <w:sz w:val="16"/>
          <w:szCs w:val="16"/>
          <w:lang w:val="es-CR"/>
        </w:rPr>
        <w:t xml:space="preserve"> que “en todo caso, debido a causas de fuerza mayor, la representación de las [presuntas] víctimas contará con un solo testigo en la audiencia pública”.</w:t>
      </w:r>
    </w:p>
  </w:footnote>
  <w:footnote w:id="5">
    <w:p w:rsidR="00382D74" w:rsidRPr="000500A0" w:rsidRDefault="00382D74" w:rsidP="0009340C">
      <w:pPr>
        <w:pStyle w:val="FootnoteText"/>
        <w:rPr>
          <w:rFonts w:ascii="Verdana" w:hAnsi="Verdana"/>
          <w:sz w:val="16"/>
          <w:szCs w:val="16"/>
          <w:lang w:val="es-PE"/>
        </w:rPr>
      </w:pPr>
      <w:r w:rsidRPr="000500A0">
        <w:rPr>
          <w:rStyle w:val="FootnoteReference"/>
        </w:rPr>
        <w:footnoteRef/>
      </w:r>
      <w:r w:rsidRPr="000500A0">
        <w:rPr>
          <w:rFonts w:ascii="Verdana" w:hAnsi="Verdana"/>
          <w:sz w:val="16"/>
          <w:szCs w:val="16"/>
          <w:lang w:val="es-PE"/>
        </w:rPr>
        <w:t xml:space="preserve"> </w:t>
      </w:r>
      <w:r w:rsidR="003A3802">
        <w:rPr>
          <w:rFonts w:ascii="Verdana" w:hAnsi="Verdana"/>
          <w:sz w:val="16"/>
          <w:szCs w:val="16"/>
          <w:lang w:val="es-PE"/>
        </w:rPr>
        <w:tab/>
      </w:r>
      <w:r w:rsidR="00B574F1" w:rsidRPr="00A35DA6">
        <w:rPr>
          <w:rFonts w:ascii="Verdana" w:hAnsi="Verdana"/>
          <w:i/>
          <w:sz w:val="16"/>
          <w:szCs w:val="16"/>
          <w:lang w:val="es-PE"/>
        </w:rPr>
        <w:t>Cfr.</w:t>
      </w:r>
      <w:r w:rsidR="00B574F1">
        <w:rPr>
          <w:rFonts w:ascii="Verdana" w:hAnsi="Verdana"/>
          <w:sz w:val="16"/>
          <w:szCs w:val="16"/>
          <w:lang w:val="es-PE"/>
        </w:rPr>
        <w:t xml:space="preserve"> </w:t>
      </w:r>
      <w:r w:rsidRPr="000500A0">
        <w:rPr>
          <w:rFonts w:ascii="Verdana" w:hAnsi="Verdana"/>
          <w:bCs/>
          <w:i/>
          <w:sz w:val="16"/>
          <w:szCs w:val="16"/>
          <w:lang w:val="es-PE"/>
        </w:rPr>
        <w:t>Caso Mohamed Vs. Argentina</w:t>
      </w:r>
      <w:r w:rsidRPr="000500A0">
        <w:rPr>
          <w:rFonts w:ascii="Verdana" w:hAnsi="Verdana"/>
          <w:bCs/>
          <w:sz w:val="16"/>
          <w:szCs w:val="16"/>
          <w:lang w:val="es-PE"/>
        </w:rPr>
        <w:t>. Resolución de la Corte de 18 de junio de 2012, Considerando 26</w:t>
      </w:r>
      <w:r w:rsidR="009D39F7">
        <w:rPr>
          <w:rFonts w:ascii="Verdana" w:hAnsi="Verdana"/>
          <w:bCs/>
          <w:sz w:val="16"/>
          <w:szCs w:val="16"/>
          <w:lang w:val="es-PE"/>
        </w:rPr>
        <w:t xml:space="preserve">, y </w:t>
      </w:r>
      <w:r w:rsidR="009D39F7" w:rsidRPr="00A35DA6">
        <w:rPr>
          <w:rFonts w:ascii="Verdana" w:hAnsi="Verdana"/>
          <w:i/>
          <w:sz w:val="16"/>
          <w:szCs w:val="16"/>
          <w:lang w:val="es-PE"/>
        </w:rPr>
        <w:t xml:space="preserve">Caso </w:t>
      </w:r>
      <w:proofErr w:type="spellStart"/>
      <w:r w:rsidR="009D39F7" w:rsidRPr="00A35DA6">
        <w:rPr>
          <w:rFonts w:ascii="Verdana" w:hAnsi="Verdana"/>
          <w:i/>
          <w:sz w:val="16"/>
          <w:szCs w:val="16"/>
          <w:lang w:val="es-PE"/>
        </w:rPr>
        <w:t>Yarce</w:t>
      </w:r>
      <w:proofErr w:type="spellEnd"/>
      <w:r w:rsidR="009D39F7" w:rsidRPr="00A35DA6">
        <w:rPr>
          <w:rFonts w:ascii="Verdana" w:hAnsi="Verdana"/>
          <w:i/>
          <w:sz w:val="16"/>
          <w:szCs w:val="16"/>
          <w:lang w:val="es-PE"/>
        </w:rPr>
        <w:t xml:space="preserve"> y otras Vs. Colombia</w:t>
      </w:r>
      <w:r w:rsidR="009D39F7" w:rsidRPr="000500A0">
        <w:rPr>
          <w:rFonts w:ascii="Verdana" w:hAnsi="Verdana"/>
          <w:sz w:val="16"/>
          <w:szCs w:val="16"/>
          <w:lang w:val="es-PE"/>
        </w:rPr>
        <w:t>. Resolución de la Corte de 18 de junio de 2015</w:t>
      </w:r>
      <w:r w:rsidR="009D39F7">
        <w:rPr>
          <w:rFonts w:ascii="Verdana" w:hAnsi="Verdana"/>
          <w:sz w:val="16"/>
          <w:szCs w:val="16"/>
          <w:lang w:val="es-PE"/>
        </w:rPr>
        <w:t>,</w:t>
      </w:r>
      <w:r w:rsidR="009D39F7" w:rsidRPr="008C7E6A">
        <w:rPr>
          <w:rFonts w:ascii="Verdana" w:hAnsi="Verdana"/>
          <w:sz w:val="16"/>
          <w:szCs w:val="16"/>
          <w:lang w:val="es-PE"/>
        </w:rPr>
        <w:t xml:space="preserve"> </w:t>
      </w:r>
      <w:r w:rsidR="009D39F7" w:rsidRPr="00C763DB">
        <w:rPr>
          <w:rFonts w:ascii="Verdana" w:hAnsi="Verdana"/>
          <w:sz w:val="16"/>
          <w:szCs w:val="16"/>
          <w:lang w:val="es-PE"/>
        </w:rPr>
        <w:t>Considerando</w:t>
      </w:r>
      <w:r w:rsidR="009D39F7">
        <w:rPr>
          <w:rFonts w:ascii="Verdana" w:hAnsi="Verdana"/>
          <w:sz w:val="16"/>
          <w:szCs w:val="16"/>
          <w:lang w:val="es-PE"/>
        </w:rPr>
        <w:t xml:space="preserve"> 10.</w:t>
      </w:r>
    </w:p>
  </w:footnote>
  <w:footnote w:id="6">
    <w:p w:rsidR="00FD1807" w:rsidRPr="000500A0" w:rsidRDefault="00FD1807" w:rsidP="0009340C">
      <w:pPr>
        <w:pStyle w:val="FootnoteText"/>
        <w:rPr>
          <w:rFonts w:ascii="Verdana" w:hAnsi="Verdana"/>
          <w:sz w:val="16"/>
          <w:szCs w:val="16"/>
          <w:lang w:val="es-PE"/>
        </w:rPr>
      </w:pPr>
      <w:r w:rsidRPr="000500A0">
        <w:rPr>
          <w:rStyle w:val="FootnoteReference"/>
        </w:rPr>
        <w:footnoteRef/>
      </w:r>
      <w:r w:rsidRPr="000500A0">
        <w:rPr>
          <w:rFonts w:ascii="Verdana" w:hAnsi="Verdana"/>
          <w:sz w:val="16"/>
          <w:szCs w:val="16"/>
          <w:lang w:val="es-PE"/>
        </w:rPr>
        <w:t xml:space="preserve"> </w:t>
      </w:r>
      <w:r w:rsidR="003A3802">
        <w:rPr>
          <w:rFonts w:ascii="Verdana" w:hAnsi="Verdana"/>
          <w:sz w:val="16"/>
          <w:szCs w:val="16"/>
          <w:lang w:val="es-PE"/>
        </w:rPr>
        <w:tab/>
      </w:r>
      <w:r w:rsidR="008C7E6A" w:rsidRPr="00A35DA6">
        <w:rPr>
          <w:rFonts w:ascii="Verdana" w:hAnsi="Verdana"/>
          <w:i/>
          <w:sz w:val="16"/>
          <w:szCs w:val="16"/>
          <w:lang w:val="es-PE"/>
        </w:rPr>
        <w:t>Cfr.</w:t>
      </w:r>
      <w:r w:rsidR="008C7E6A">
        <w:rPr>
          <w:rFonts w:ascii="Verdana" w:hAnsi="Verdana"/>
          <w:sz w:val="16"/>
          <w:szCs w:val="16"/>
          <w:lang w:val="es-PE"/>
        </w:rPr>
        <w:t xml:space="preserve"> </w:t>
      </w:r>
      <w:r w:rsidRPr="00A35DA6">
        <w:rPr>
          <w:rFonts w:ascii="Verdana" w:hAnsi="Verdana"/>
          <w:i/>
          <w:sz w:val="16"/>
          <w:szCs w:val="16"/>
          <w:lang w:val="es-PE"/>
        </w:rPr>
        <w:t xml:space="preserve">Caso </w:t>
      </w:r>
      <w:proofErr w:type="spellStart"/>
      <w:r w:rsidRPr="00A35DA6">
        <w:rPr>
          <w:rFonts w:ascii="Verdana" w:hAnsi="Verdana"/>
          <w:i/>
          <w:sz w:val="16"/>
          <w:szCs w:val="16"/>
          <w:lang w:val="es-PE"/>
        </w:rPr>
        <w:t>Yarce</w:t>
      </w:r>
      <w:proofErr w:type="spellEnd"/>
      <w:r w:rsidRPr="00A35DA6">
        <w:rPr>
          <w:rFonts w:ascii="Verdana" w:hAnsi="Verdana"/>
          <w:i/>
          <w:sz w:val="16"/>
          <w:szCs w:val="16"/>
          <w:lang w:val="es-PE"/>
        </w:rPr>
        <w:t xml:space="preserve"> y otras Vs. Colombia</w:t>
      </w:r>
      <w:r w:rsidR="009D39F7">
        <w:rPr>
          <w:rFonts w:ascii="Verdana" w:hAnsi="Verdana"/>
          <w:sz w:val="16"/>
          <w:szCs w:val="16"/>
          <w:lang w:val="es-PE"/>
        </w:rPr>
        <w:t xml:space="preserve">, </w:t>
      </w:r>
      <w:r w:rsidR="009D39F7">
        <w:rPr>
          <w:rFonts w:ascii="Verdana" w:hAnsi="Verdana"/>
          <w:i/>
          <w:sz w:val="16"/>
          <w:szCs w:val="16"/>
          <w:lang w:val="es-PE"/>
        </w:rPr>
        <w:t>supra</w:t>
      </w:r>
      <w:r w:rsidR="008C7E6A">
        <w:rPr>
          <w:rFonts w:ascii="Verdana" w:hAnsi="Verdana"/>
          <w:sz w:val="16"/>
          <w:szCs w:val="16"/>
          <w:lang w:val="es-PE"/>
        </w:rPr>
        <w:t>,</w:t>
      </w:r>
      <w:r w:rsidR="008C7E6A" w:rsidRPr="008C7E6A">
        <w:rPr>
          <w:rFonts w:ascii="Verdana" w:hAnsi="Verdana"/>
          <w:sz w:val="16"/>
          <w:szCs w:val="16"/>
          <w:lang w:val="es-PE"/>
        </w:rPr>
        <w:t xml:space="preserve"> </w:t>
      </w:r>
      <w:r w:rsidR="008C7E6A" w:rsidRPr="003C4B4F">
        <w:rPr>
          <w:rFonts w:ascii="Verdana" w:hAnsi="Verdana"/>
          <w:sz w:val="16"/>
          <w:szCs w:val="16"/>
          <w:lang w:val="es-PE"/>
        </w:rPr>
        <w:t>Considerando 14</w:t>
      </w:r>
      <w:r w:rsidRPr="000500A0">
        <w:rPr>
          <w:rFonts w:ascii="Verdana" w:hAnsi="Verdana"/>
          <w:sz w:val="16"/>
          <w:szCs w:val="16"/>
          <w:lang w:val="es-PE"/>
        </w:rPr>
        <w:t>.</w:t>
      </w:r>
    </w:p>
  </w:footnote>
  <w:footnote w:id="7">
    <w:p w:rsidR="004E2EE7" w:rsidRPr="004E2EE7" w:rsidRDefault="004E2EE7" w:rsidP="0009340C">
      <w:pPr>
        <w:pStyle w:val="FootnoteText"/>
        <w:rPr>
          <w:lang w:val="es-PE"/>
        </w:rPr>
      </w:pPr>
      <w:r w:rsidRPr="000500A0">
        <w:rPr>
          <w:rStyle w:val="FootnoteReference"/>
        </w:rPr>
        <w:footnoteRef/>
      </w:r>
      <w:r w:rsidRPr="000500A0">
        <w:rPr>
          <w:rFonts w:ascii="Verdana" w:hAnsi="Verdana"/>
          <w:sz w:val="16"/>
          <w:szCs w:val="16"/>
          <w:lang w:val="es-PE"/>
        </w:rPr>
        <w:t xml:space="preserve"> </w:t>
      </w:r>
      <w:r w:rsidR="003A3802">
        <w:rPr>
          <w:rFonts w:ascii="Verdana" w:hAnsi="Verdana"/>
          <w:sz w:val="16"/>
          <w:szCs w:val="16"/>
          <w:lang w:val="es-PE"/>
        </w:rPr>
        <w:tab/>
      </w:r>
      <w:r w:rsidRPr="003C4B4F">
        <w:rPr>
          <w:rFonts w:ascii="Verdana" w:hAnsi="Verdana"/>
          <w:sz w:val="16"/>
          <w:szCs w:val="16"/>
          <w:lang w:val="es-PE"/>
        </w:rPr>
        <w:t>En ese sentido, ver nota 2 de la presente resolución de Corte</w:t>
      </w:r>
      <w:r w:rsidRPr="000500A0">
        <w:rPr>
          <w:rFonts w:ascii="Verdana" w:hAnsi="Verdana"/>
          <w:sz w:val="16"/>
          <w:szCs w:val="16"/>
          <w:lang w:val="es-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32" w:rsidRDefault="0031244B">
    <w:pPr>
      <w:pStyle w:val="Header"/>
      <w:jc w:val="center"/>
    </w:pPr>
    <w:r w:rsidRPr="00902F6D">
      <w:rPr>
        <w:rFonts w:ascii="Verdana" w:hAnsi="Verdana" w:cs="Verdana"/>
        <w:sz w:val="20"/>
        <w:szCs w:val="20"/>
      </w:rPr>
      <w:fldChar w:fldCharType="begin"/>
    </w:r>
    <w:r w:rsidRPr="00902F6D">
      <w:rPr>
        <w:rFonts w:ascii="Verdana" w:hAnsi="Verdana" w:cs="Verdana"/>
        <w:sz w:val="20"/>
        <w:szCs w:val="20"/>
      </w:rPr>
      <w:instrText xml:space="preserve"> PAGE   \* MERGEFORMAT </w:instrText>
    </w:r>
    <w:r w:rsidRPr="00902F6D">
      <w:rPr>
        <w:rFonts w:ascii="Verdana" w:hAnsi="Verdana" w:cs="Verdana"/>
        <w:sz w:val="20"/>
        <w:szCs w:val="20"/>
      </w:rPr>
      <w:fldChar w:fldCharType="separate"/>
    </w:r>
    <w:r w:rsidR="00EE384A">
      <w:rPr>
        <w:rFonts w:ascii="Verdana" w:hAnsi="Verdana" w:cs="Verdana"/>
        <w:noProof/>
        <w:sz w:val="20"/>
        <w:szCs w:val="20"/>
      </w:rPr>
      <w:t>5</w:t>
    </w:r>
    <w:r w:rsidRPr="00902F6D">
      <w:rPr>
        <w:rFonts w:ascii="Verdana" w:hAnsi="Verdana" w:cs="Verdana"/>
        <w:sz w:val="20"/>
        <w:szCs w:val="20"/>
      </w:rPr>
      <w:fldChar w:fldCharType="end"/>
    </w:r>
  </w:p>
  <w:p w:rsidR="004C3C32" w:rsidRDefault="00AE0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513"/>
    <w:multiLevelType w:val="hybridMultilevel"/>
    <w:tmpl w:val="3C30622E"/>
    <w:lvl w:ilvl="0" w:tplc="D118455C">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42C5A46"/>
    <w:multiLevelType w:val="hybridMultilevel"/>
    <w:tmpl w:val="C088D672"/>
    <w:lvl w:ilvl="0" w:tplc="647C7CB4">
      <w:start w:val="1"/>
      <w:numFmt w:val="decimal"/>
      <w:lvlText w:val="%1."/>
      <w:lvlJc w:val="left"/>
      <w:pPr>
        <w:ind w:left="644" w:hanging="360"/>
      </w:pPr>
      <w:rPr>
        <w:rFonts w:ascii="Verdana" w:hAnsi="Verdana" w:hint="default"/>
        <w:sz w:val="20"/>
        <w:szCs w:val="2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
    <w:nsid w:val="615D6ECD"/>
    <w:multiLevelType w:val="hybridMultilevel"/>
    <w:tmpl w:val="ED9C2C40"/>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
    <w:nsid w:val="68154407"/>
    <w:multiLevelType w:val="hybridMultilevel"/>
    <w:tmpl w:val="FFFCF612"/>
    <w:lvl w:ilvl="0" w:tplc="E83A9E88">
      <w:start w:val="1"/>
      <w:numFmt w:val="decimal"/>
      <w:lvlText w:val="%1."/>
      <w:lvlJc w:val="left"/>
      <w:pPr>
        <w:tabs>
          <w:tab w:val="num" w:pos="680"/>
        </w:tabs>
      </w:pPr>
      <w:rPr>
        <w:rFonts w:hint="default"/>
        <w:b w:val="0"/>
        <w:bCs w:val="0"/>
        <w:i w:val="0"/>
        <w:iCs w:val="0"/>
        <w:strike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8517E35"/>
    <w:multiLevelType w:val="hybridMultilevel"/>
    <w:tmpl w:val="F35CCCAA"/>
    <w:lvl w:ilvl="0" w:tplc="D2A2151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74"/>
    <w:rsid w:val="000314F8"/>
    <w:rsid w:val="000500A0"/>
    <w:rsid w:val="00051605"/>
    <w:rsid w:val="00051657"/>
    <w:rsid w:val="00077590"/>
    <w:rsid w:val="0009340C"/>
    <w:rsid w:val="000B1D10"/>
    <w:rsid w:val="001F7758"/>
    <w:rsid w:val="00267972"/>
    <w:rsid w:val="00271745"/>
    <w:rsid w:val="00295C81"/>
    <w:rsid w:val="0031244B"/>
    <w:rsid w:val="00382D74"/>
    <w:rsid w:val="003A3802"/>
    <w:rsid w:val="003C4B4F"/>
    <w:rsid w:val="0043455E"/>
    <w:rsid w:val="0043558E"/>
    <w:rsid w:val="004C452E"/>
    <w:rsid w:val="004C4D64"/>
    <w:rsid w:val="004E2EE7"/>
    <w:rsid w:val="004F5C2B"/>
    <w:rsid w:val="0052176B"/>
    <w:rsid w:val="0056540E"/>
    <w:rsid w:val="005D0F71"/>
    <w:rsid w:val="0065641A"/>
    <w:rsid w:val="00666F4A"/>
    <w:rsid w:val="00680411"/>
    <w:rsid w:val="0068226E"/>
    <w:rsid w:val="007C7709"/>
    <w:rsid w:val="00811980"/>
    <w:rsid w:val="00820F05"/>
    <w:rsid w:val="0084013E"/>
    <w:rsid w:val="00897EB3"/>
    <w:rsid w:val="008C5B89"/>
    <w:rsid w:val="008C7E6A"/>
    <w:rsid w:val="008D5C3E"/>
    <w:rsid w:val="009245A2"/>
    <w:rsid w:val="00934199"/>
    <w:rsid w:val="009636D8"/>
    <w:rsid w:val="009A2DCD"/>
    <w:rsid w:val="009D39F7"/>
    <w:rsid w:val="00A0171B"/>
    <w:rsid w:val="00A35DA6"/>
    <w:rsid w:val="00AB6351"/>
    <w:rsid w:val="00AD0CB5"/>
    <w:rsid w:val="00AD28F9"/>
    <w:rsid w:val="00AD6909"/>
    <w:rsid w:val="00AE049B"/>
    <w:rsid w:val="00AF1781"/>
    <w:rsid w:val="00B147A0"/>
    <w:rsid w:val="00B36152"/>
    <w:rsid w:val="00B574F1"/>
    <w:rsid w:val="00B84F23"/>
    <w:rsid w:val="00B931CD"/>
    <w:rsid w:val="00C2401F"/>
    <w:rsid w:val="00C3402C"/>
    <w:rsid w:val="00C341D2"/>
    <w:rsid w:val="00C50AE4"/>
    <w:rsid w:val="00C5676D"/>
    <w:rsid w:val="00C717DA"/>
    <w:rsid w:val="00CB3C40"/>
    <w:rsid w:val="00D17CDD"/>
    <w:rsid w:val="00D37246"/>
    <w:rsid w:val="00D50FE5"/>
    <w:rsid w:val="00D7545C"/>
    <w:rsid w:val="00DE43C8"/>
    <w:rsid w:val="00DF11DE"/>
    <w:rsid w:val="00E077D4"/>
    <w:rsid w:val="00E12BA5"/>
    <w:rsid w:val="00E13D0F"/>
    <w:rsid w:val="00E77895"/>
    <w:rsid w:val="00EA23AD"/>
    <w:rsid w:val="00EA6B3E"/>
    <w:rsid w:val="00ED46C9"/>
    <w:rsid w:val="00ED6832"/>
    <w:rsid w:val="00EE384A"/>
    <w:rsid w:val="00EF13E3"/>
    <w:rsid w:val="00F0795A"/>
    <w:rsid w:val="00F71F79"/>
    <w:rsid w:val="00FD1807"/>
    <w:rsid w:val="00FD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382D74"/>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rsid w:val="00382D74"/>
    <w:rPr>
      <w:sz w:val="20"/>
      <w:szCs w:val="20"/>
    </w:rPr>
  </w:style>
  <w:style w:type="paragraph" w:styleId="Header">
    <w:name w:val="header"/>
    <w:basedOn w:val="Normal"/>
    <w:link w:val="HeaderChar"/>
    <w:uiPriority w:val="99"/>
    <w:unhideWhenUsed/>
    <w:rsid w:val="0038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74"/>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382D74"/>
    <w:rPr>
      <w:rFonts w:ascii="Verdana" w:hAnsi="Verdana" w:cs="Verdana"/>
      <w:sz w:val="16"/>
      <w:szCs w:val="16"/>
      <w:vertAlign w:val="superscript"/>
    </w:rPr>
  </w:style>
  <w:style w:type="paragraph" w:customStyle="1" w:styleId="Default">
    <w:name w:val="Default"/>
    <w:rsid w:val="00382D74"/>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ListParagraph">
    <w:name w:val="List Paragraph"/>
    <w:aliases w:val="Footnote,List Paragraph2"/>
    <w:basedOn w:val="Normal"/>
    <w:uiPriority w:val="34"/>
    <w:qFormat/>
    <w:rsid w:val="00E12BA5"/>
    <w:pPr>
      <w:ind w:left="720"/>
      <w:contextualSpacing/>
    </w:pPr>
  </w:style>
  <w:style w:type="paragraph" w:styleId="BalloonText">
    <w:name w:val="Balloon Text"/>
    <w:basedOn w:val="Normal"/>
    <w:link w:val="BalloonTextChar"/>
    <w:uiPriority w:val="99"/>
    <w:semiHidden/>
    <w:unhideWhenUsed/>
    <w:rsid w:val="0082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05"/>
    <w:rPr>
      <w:rFonts w:ascii="Tahoma" w:hAnsi="Tahoma" w:cs="Tahoma"/>
      <w:sz w:val="16"/>
      <w:szCs w:val="16"/>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0500A0"/>
    <w:rPr>
      <w:rFonts w:ascii="Verdana" w:eastAsia="Calibri" w:hAnsi="Verdana" w:cs="Verdana"/>
      <w:sz w:val="16"/>
      <w:szCs w:val="16"/>
      <w:lang w:val="es-ES_tradnl" w:eastAsia="es-ES"/>
    </w:rPr>
  </w:style>
  <w:style w:type="character" w:styleId="LineNumber">
    <w:name w:val="line number"/>
    <w:basedOn w:val="DefaultParagraphFont"/>
    <w:uiPriority w:val="99"/>
    <w:semiHidden/>
    <w:unhideWhenUsed/>
    <w:rsid w:val="00E077D4"/>
  </w:style>
  <w:style w:type="paragraph" w:styleId="Footer">
    <w:name w:val="footer"/>
    <w:basedOn w:val="Normal"/>
    <w:link w:val="FooterChar"/>
    <w:uiPriority w:val="99"/>
    <w:unhideWhenUsed/>
    <w:rsid w:val="009A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CD"/>
  </w:style>
  <w:style w:type="character" w:styleId="CommentReference">
    <w:name w:val="annotation reference"/>
    <w:basedOn w:val="DefaultParagraphFont"/>
    <w:uiPriority w:val="99"/>
    <w:semiHidden/>
    <w:unhideWhenUsed/>
    <w:rsid w:val="00A35DA6"/>
    <w:rPr>
      <w:sz w:val="16"/>
      <w:szCs w:val="16"/>
    </w:rPr>
  </w:style>
  <w:style w:type="paragraph" w:styleId="CommentText">
    <w:name w:val="annotation text"/>
    <w:basedOn w:val="Normal"/>
    <w:link w:val="CommentTextChar"/>
    <w:uiPriority w:val="99"/>
    <w:semiHidden/>
    <w:unhideWhenUsed/>
    <w:rsid w:val="00A35DA6"/>
    <w:pPr>
      <w:spacing w:line="240" w:lineRule="auto"/>
    </w:pPr>
    <w:rPr>
      <w:sz w:val="20"/>
      <w:szCs w:val="20"/>
    </w:rPr>
  </w:style>
  <w:style w:type="character" w:customStyle="1" w:styleId="CommentTextChar">
    <w:name w:val="Comment Text Char"/>
    <w:basedOn w:val="DefaultParagraphFont"/>
    <w:link w:val="CommentText"/>
    <w:uiPriority w:val="99"/>
    <w:semiHidden/>
    <w:rsid w:val="00A35DA6"/>
    <w:rPr>
      <w:sz w:val="20"/>
      <w:szCs w:val="20"/>
    </w:rPr>
  </w:style>
  <w:style w:type="paragraph" w:styleId="CommentSubject">
    <w:name w:val="annotation subject"/>
    <w:basedOn w:val="CommentText"/>
    <w:next w:val="CommentText"/>
    <w:link w:val="CommentSubjectChar"/>
    <w:uiPriority w:val="99"/>
    <w:semiHidden/>
    <w:unhideWhenUsed/>
    <w:rsid w:val="00A35DA6"/>
    <w:rPr>
      <w:b/>
      <w:bCs/>
    </w:rPr>
  </w:style>
  <w:style w:type="character" w:customStyle="1" w:styleId="CommentSubjectChar">
    <w:name w:val="Comment Subject Char"/>
    <w:basedOn w:val="CommentTextChar"/>
    <w:link w:val="CommentSubject"/>
    <w:uiPriority w:val="99"/>
    <w:semiHidden/>
    <w:rsid w:val="00A35D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382D74"/>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rsid w:val="00382D74"/>
    <w:rPr>
      <w:sz w:val="20"/>
      <w:szCs w:val="20"/>
    </w:rPr>
  </w:style>
  <w:style w:type="paragraph" w:styleId="Header">
    <w:name w:val="header"/>
    <w:basedOn w:val="Normal"/>
    <w:link w:val="HeaderChar"/>
    <w:uiPriority w:val="99"/>
    <w:unhideWhenUsed/>
    <w:rsid w:val="0038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74"/>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382D74"/>
    <w:rPr>
      <w:rFonts w:ascii="Verdana" w:hAnsi="Verdana" w:cs="Verdana"/>
      <w:sz w:val="16"/>
      <w:szCs w:val="16"/>
      <w:vertAlign w:val="superscript"/>
    </w:rPr>
  </w:style>
  <w:style w:type="paragraph" w:customStyle="1" w:styleId="Default">
    <w:name w:val="Default"/>
    <w:rsid w:val="00382D74"/>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ListParagraph">
    <w:name w:val="List Paragraph"/>
    <w:aliases w:val="Footnote,List Paragraph2"/>
    <w:basedOn w:val="Normal"/>
    <w:uiPriority w:val="34"/>
    <w:qFormat/>
    <w:rsid w:val="00E12BA5"/>
    <w:pPr>
      <w:ind w:left="720"/>
      <w:contextualSpacing/>
    </w:pPr>
  </w:style>
  <w:style w:type="paragraph" w:styleId="BalloonText">
    <w:name w:val="Balloon Text"/>
    <w:basedOn w:val="Normal"/>
    <w:link w:val="BalloonTextChar"/>
    <w:uiPriority w:val="99"/>
    <w:semiHidden/>
    <w:unhideWhenUsed/>
    <w:rsid w:val="0082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05"/>
    <w:rPr>
      <w:rFonts w:ascii="Tahoma" w:hAnsi="Tahoma" w:cs="Tahoma"/>
      <w:sz w:val="16"/>
      <w:szCs w:val="16"/>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0500A0"/>
    <w:rPr>
      <w:rFonts w:ascii="Verdana" w:eastAsia="Calibri" w:hAnsi="Verdana" w:cs="Verdana"/>
      <w:sz w:val="16"/>
      <w:szCs w:val="16"/>
      <w:lang w:val="es-ES_tradnl" w:eastAsia="es-ES"/>
    </w:rPr>
  </w:style>
  <w:style w:type="character" w:styleId="LineNumber">
    <w:name w:val="line number"/>
    <w:basedOn w:val="DefaultParagraphFont"/>
    <w:uiPriority w:val="99"/>
    <w:semiHidden/>
    <w:unhideWhenUsed/>
    <w:rsid w:val="00E077D4"/>
  </w:style>
  <w:style w:type="paragraph" w:styleId="Footer">
    <w:name w:val="footer"/>
    <w:basedOn w:val="Normal"/>
    <w:link w:val="FooterChar"/>
    <w:uiPriority w:val="99"/>
    <w:unhideWhenUsed/>
    <w:rsid w:val="009A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CD"/>
  </w:style>
  <w:style w:type="character" w:styleId="CommentReference">
    <w:name w:val="annotation reference"/>
    <w:basedOn w:val="DefaultParagraphFont"/>
    <w:uiPriority w:val="99"/>
    <w:semiHidden/>
    <w:unhideWhenUsed/>
    <w:rsid w:val="00A35DA6"/>
    <w:rPr>
      <w:sz w:val="16"/>
      <w:szCs w:val="16"/>
    </w:rPr>
  </w:style>
  <w:style w:type="paragraph" w:styleId="CommentText">
    <w:name w:val="annotation text"/>
    <w:basedOn w:val="Normal"/>
    <w:link w:val="CommentTextChar"/>
    <w:uiPriority w:val="99"/>
    <w:semiHidden/>
    <w:unhideWhenUsed/>
    <w:rsid w:val="00A35DA6"/>
    <w:pPr>
      <w:spacing w:line="240" w:lineRule="auto"/>
    </w:pPr>
    <w:rPr>
      <w:sz w:val="20"/>
      <w:szCs w:val="20"/>
    </w:rPr>
  </w:style>
  <w:style w:type="character" w:customStyle="1" w:styleId="CommentTextChar">
    <w:name w:val="Comment Text Char"/>
    <w:basedOn w:val="DefaultParagraphFont"/>
    <w:link w:val="CommentText"/>
    <w:uiPriority w:val="99"/>
    <w:semiHidden/>
    <w:rsid w:val="00A35DA6"/>
    <w:rPr>
      <w:sz w:val="20"/>
      <w:szCs w:val="20"/>
    </w:rPr>
  </w:style>
  <w:style w:type="paragraph" w:styleId="CommentSubject">
    <w:name w:val="annotation subject"/>
    <w:basedOn w:val="CommentText"/>
    <w:next w:val="CommentText"/>
    <w:link w:val="CommentSubjectChar"/>
    <w:uiPriority w:val="99"/>
    <w:semiHidden/>
    <w:unhideWhenUsed/>
    <w:rsid w:val="00A35DA6"/>
    <w:rPr>
      <w:b/>
      <w:bCs/>
    </w:rPr>
  </w:style>
  <w:style w:type="character" w:customStyle="1" w:styleId="CommentSubjectChar">
    <w:name w:val="Comment Subject Char"/>
    <w:basedOn w:val="CommentTextChar"/>
    <w:link w:val="CommentSubject"/>
    <w:uiPriority w:val="99"/>
    <w:semiHidden/>
    <w:rsid w:val="00A3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6EDA-1709-412E-831E-37D12119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4</cp:revision>
  <cp:lastPrinted>2017-05-15T21:08:00Z</cp:lastPrinted>
  <dcterms:created xsi:type="dcterms:W3CDTF">2017-05-15T21:07:00Z</dcterms:created>
  <dcterms:modified xsi:type="dcterms:W3CDTF">2017-05-15T21:08:00Z</dcterms:modified>
</cp:coreProperties>
</file>