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16" w:rsidRDefault="008E6216" w:rsidP="008E6216">
      <w:pPr>
        <w:spacing w:after="0"/>
        <w:ind w:right="-317"/>
        <w:jc w:val="center"/>
        <w:rPr>
          <w:rFonts w:ascii="Verdana Bold" w:hAnsi="Verdana Bold" w:cs="Verdana Bold"/>
          <w:b/>
          <w:bCs/>
          <w:caps/>
          <w:szCs w:val="20"/>
        </w:rPr>
      </w:pPr>
      <w:bookmarkStart w:id="0" w:name="_GoBack"/>
      <w:bookmarkEnd w:id="0"/>
    </w:p>
    <w:p w:rsidR="00683E21" w:rsidRDefault="00683E21" w:rsidP="008E6216">
      <w:pPr>
        <w:spacing w:after="0"/>
        <w:ind w:right="-317"/>
        <w:jc w:val="center"/>
        <w:rPr>
          <w:rFonts w:ascii="Verdana Bold" w:hAnsi="Verdana Bold" w:cs="Verdana Bold"/>
          <w:b/>
          <w:bCs/>
          <w:caps/>
          <w:szCs w:val="20"/>
        </w:rPr>
      </w:pPr>
    </w:p>
    <w:p w:rsidR="00683E21" w:rsidRDefault="00683E21" w:rsidP="008E6216">
      <w:pPr>
        <w:spacing w:after="0"/>
        <w:ind w:right="-317"/>
        <w:jc w:val="center"/>
        <w:rPr>
          <w:rFonts w:ascii="Verdana Bold" w:hAnsi="Verdana Bold" w:cs="Verdana Bold"/>
          <w:b/>
          <w:bCs/>
          <w:caps/>
          <w:szCs w:val="20"/>
        </w:rPr>
      </w:pPr>
    </w:p>
    <w:p w:rsidR="00683E21" w:rsidRPr="00155DB1" w:rsidRDefault="00683E21" w:rsidP="008E6216">
      <w:pPr>
        <w:spacing w:after="0"/>
        <w:ind w:right="-317"/>
        <w:jc w:val="center"/>
        <w:rPr>
          <w:rFonts w:ascii="Verdana Bold" w:hAnsi="Verdana Bold" w:cs="Verdana Bold"/>
          <w:b/>
          <w:bCs/>
          <w:caps/>
          <w:szCs w:val="20"/>
        </w:rPr>
      </w:pPr>
    </w:p>
    <w:p w:rsidR="008E6216" w:rsidRPr="00155DB1" w:rsidRDefault="008E6216" w:rsidP="008E6216">
      <w:pPr>
        <w:spacing w:after="0"/>
        <w:ind w:right="-317"/>
        <w:jc w:val="center"/>
        <w:rPr>
          <w:rFonts w:ascii="Verdana Bold" w:hAnsi="Verdana Bold" w:cs="Verdana Bold"/>
          <w:b/>
          <w:bCs/>
          <w:caps/>
          <w:szCs w:val="20"/>
        </w:rPr>
      </w:pPr>
    </w:p>
    <w:p w:rsidR="008E6216" w:rsidRPr="00155DB1" w:rsidRDefault="008E6216" w:rsidP="008E6216">
      <w:pPr>
        <w:spacing w:after="0"/>
        <w:ind w:right="-317"/>
        <w:rPr>
          <w:rFonts w:cs="Verdana Bold"/>
          <w:b/>
          <w:bCs/>
          <w:caps/>
          <w:szCs w:val="20"/>
        </w:rPr>
      </w:pPr>
    </w:p>
    <w:p w:rsidR="008E6216" w:rsidRPr="00994F3C" w:rsidRDefault="008E6216" w:rsidP="008E6216">
      <w:pPr>
        <w:spacing w:after="0"/>
        <w:ind w:right="-316"/>
        <w:jc w:val="center"/>
        <w:rPr>
          <w:rFonts w:cs="Verdana Bold"/>
          <w:b/>
          <w:bCs/>
          <w:caps/>
        </w:rPr>
      </w:pPr>
      <w:r w:rsidRPr="00994F3C">
        <w:rPr>
          <w:rFonts w:cs="Verdana Bold"/>
          <w:b/>
          <w:bCs/>
          <w:caps/>
        </w:rPr>
        <w:t>Resolución de</w:t>
      </w:r>
      <w:r>
        <w:rPr>
          <w:rFonts w:cs="Verdana Bold"/>
          <w:b/>
          <w:bCs/>
          <w:caps/>
        </w:rPr>
        <w:t>L presidente de</w:t>
      </w:r>
      <w:r w:rsidRPr="00994F3C">
        <w:rPr>
          <w:rFonts w:cs="Verdana Bold"/>
          <w:b/>
          <w:bCs/>
          <w:caps/>
        </w:rPr>
        <w:t xml:space="preserve"> la</w:t>
      </w:r>
    </w:p>
    <w:p w:rsidR="008E6216" w:rsidRPr="00BD22C0" w:rsidRDefault="008E6216" w:rsidP="008E6216">
      <w:pPr>
        <w:spacing w:after="0"/>
        <w:ind w:right="-316"/>
        <w:jc w:val="center"/>
        <w:rPr>
          <w:rFonts w:cs="Verdana Bold"/>
          <w:b/>
          <w:bCs/>
          <w:caps/>
        </w:rPr>
      </w:pPr>
      <w:r w:rsidRPr="00BD22C0">
        <w:rPr>
          <w:rFonts w:cs="Verdana Bold"/>
          <w:b/>
          <w:bCs/>
          <w:caps/>
        </w:rPr>
        <w:t>Corte Interamericana de Derechos Humanos</w:t>
      </w:r>
    </w:p>
    <w:p w:rsidR="008E6216" w:rsidRPr="00BD22C0" w:rsidRDefault="008E6216" w:rsidP="008E6216">
      <w:pPr>
        <w:spacing w:after="0"/>
        <w:ind w:right="-316"/>
        <w:rPr>
          <w:rFonts w:cs="Verdana Bold"/>
          <w:b/>
          <w:bCs/>
          <w:caps/>
          <w:szCs w:val="20"/>
        </w:rPr>
      </w:pPr>
    </w:p>
    <w:p w:rsidR="008E6216" w:rsidRPr="00BD22C0" w:rsidRDefault="008E6216" w:rsidP="008E6216">
      <w:pPr>
        <w:spacing w:after="0"/>
        <w:ind w:right="-316"/>
        <w:jc w:val="center"/>
        <w:rPr>
          <w:rFonts w:cs="Verdana Bold"/>
          <w:b/>
          <w:bCs/>
          <w:caps/>
          <w:szCs w:val="20"/>
        </w:rPr>
      </w:pPr>
      <w:r w:rsidRPr="00705738">
        <w:rPr>
          <w:rFonts w:cs="Verdana Bold"/>
          <w:b/>
          <w:bCs/>
          <w:caps/>
          <w:szCs w:val="20"/>
        </w:rPr>
        <w:t xml:space="preserve">DE </w:t>
      </w:r>
      <w:r w:rsidR="00A254F9">
        <w:rPr>
          <w:rFonts w:cs="Verdana Bold"/>
          <w:b/>
          <w:bCs/>
          <w:caps/>
          <w:szCs w:val="20"/>
        </w:rPr>
        <w:t>21</w:t>
      </w:r>
      <w:r w:rsidRPr="00705738">
        <w:rPr>
          <w:rFonts w:cs="Verdana Bold"/>
          <w:b/>
          <w:bCs/>
          <w:caps/>
          <w:szCs w:val="20"/>
        </w:rPr>
        <w:t xml:space="preserve"> de </w:t>
      </w:r>
      <w:r>
        <w:rPr>
          <w:rFonts w:cs="Verdana Bold"/>
          <w:b/>
          <w:bCs/>
          <w:caps/>
          <w:szCs w:val="20"/>
        </w:rPr>
        <w:t xml:space="preserve">abril </w:t>
      </w:r>
      <w:r w:rsidRPr="00705738">
        <w:rPr>
          <w:rFonts w:cs="Verdana Bold"/>
          <w:b/>
          <w:bCs/>
          <w:caps/>
          <w:szCs w:val="20"/>
        </w:rPr>
        <w:t>de 201</w:t>
      </w:r>
      <w:r>
        <w:rPr>
          <w:rFonts w:cs="Verdana Bold"/>
          <w:b/>
          <w:bCs/>
          <w:caps/>
          <w:szCs w:val="20"/>
        </w:rPr>
        <w:t>7</w:t>
      </w:r>
    </w:p>
    <w:p w:rsidR="008E6216" w:rsidRPr="00BD22C0" w:rsidRDefault="008E6216" w:rsidP="008E6216">
      <w:pPr>
        <w:spacing w:after="0"/>
        <w:ind w:right="-316"/>
        <w:rPr>
          <w:rFonts w:cs="Verdana Bold"/>
          <w:b/>
          <w:bCs/>
          <w:caps/>
          <w:szCs w:val="20"/>
        </w:rPr>
      </w:pPr>
    </w:p>
    <w:p w:rsidR="008E6216" w:rsidRPr="00135E8F" w:rsidRDefault="008E6216" w:rsidP="008E6216">
      <w:pPr>
        <w:spacing w:after="0"/>
        <w:ind w:right="-316"/>
        <w:jc w:val="center"/>
        <w:rPr>
          <w:rFonts w:cs="Verdana Bold"/>
          <w:b/>
          <w:bCs/>
          <w:caps/>
          <w:szCs w:val="20"/>
          <w:lang w:val="pt-BR"/>
        </w:rPr>
      </w:pPr>
      <w:r w:rsidRPr="00135E8F">
        <w:rPr>
          <w:rFonts w:cs="Verdana Bold"/>
          <w:b/>
          <w:bCs/>
          <w:szCs w:val="20"/>
          <w:lang w:val="es-CR"/>
        </w:rPr>
        <w:t xml:space="preserve">CASO </w:t>
      </w:r>
      <w:r>
        <w:rPr>
          <w:rFonts w:cs="Arial"/>
          <w:b/>
          <w:lang w:val="es-CR"/>
        </w:rPr>
        <w:t>OMEARA CARRASCAL Y OTROS VS. COLOMBIA</w:t>
      </w:r>
    </w:p>
    <w:p w:rsidR="008E6216" w:rsidRPr="00BD22C0" w:rsidRDefault="008E6216" w:rsidP="008E6216">
      <w:pPr>
        <w:spacing w:after="0"/>
        <w:ind w:right="-316"/>
        <w:jc w:val="center"/>
        <w:rPr>
          <w:rFonts w:cs="Verdana Bold"/>
          <w:b/>
          <w:bCs/>
          <w:caps/>
          <w:szCs w:val="20"/>
        </w:rPr>
      </w:pPr>
      <w:r>
        <w:rPr>
          <w:rFonts w:cs="Verdana Bold"/>
          <w:b/>
          <w:bCs/>
          <w:caps/>
          <w:szCs w:val="20"/>
        </w:rPr>
        <w:t>CONVOCATORIA A AUDIENCIA</w:t>
      </w:r>
      <w:r w:rsidRPr="00BD22C0">
        <w:rPr>
          <w:rFonts w:cs="Verdana Bold"/>
          <w:b/>
          <w:bCs/>
          <w:caps/>
          <w:szCs w:val="20"/>
        </w:rPr>
        <w:t xml:space="preserve"> </w:t>
      </w:r>
    </w:p>
    <w:p w:rsidR="008E6216" w:rsidRPr="00BD22C0" w:rsidRDefault="008E6216" w:rsidP="008E6216">
      <w:pPr>
        <w:spacing w:after="0"/>
        <w:rPr>
          <w:rFonts w:cs="Verdana"/>
          <w:b/>
          <w:bCs/>
          <w:caps/>
          <w:szCs w:val="20"/>
        </w:rPr>
      </w:pPr>
    </w:p>
    <w:p w:rsidR="008E6216" w:rsidRPr="00BD22C0" w:rsidRDefault="008E6216" w:rsidP="008E6216">
      <w:pPr>
        <w:spacing w:after="0"/>
        <w:rPr>
          <w:rFonts w:cs="Verdana"/>
          <w:b/>
          <w:bCs/>
          <w:caps/>
          <w:szCs w:val="20"/>
        </w:rPr>
      </w:pPr>
    </w:p>
    <w:p w:rsidR="008E6216" w:rsidRPr="00BD22C0" w:rsidRDefault="008E6216" w:rsidP="008E6216">
      <w:pPr>
        <w:spacing w:after="0"/>
        <w:rPr>
          <w:rFonts w:cs="Verdana"/>
          <w:b/>
          <w:bCs/>
          <w:caps/>
          <w:szCs w:val="20"/>
        </w:rPr>
      </w:pPr>
      <w:r w:rsidRPr="00BD22C0">
        <w:rPr>
          <w:rFonts w:cs="Verdana"/>
          <w:b/>
          <w:bCs/>
          <w:caps/>
          <w:szCs w:val="20"/>
        </w:rPr>
        <w:t>Visto:</w:t>
      </w:r>
    </w:p>
    <w:p w:rsidR="008E6216" w:rsidRPr="00BD22C0" w:rsidRDefault="008E6216" w:rsidP="008E6216">
      <w:pPr>
        <w:spacing w:after="0"/>
        <w:rPr>
          <w:rFonts w:cs="Verdana"/>
          <w:b/>
          <w:bCs/>
          <w:caps/>
          <w:szCs w:val="20"/>
        </w:rPr>
      </w:pPr>
    </w:p>
    <w:p w:rsidR="008E6216" w:rsidRDefault="008E6216" w:rsidP="008E6216">
      <w:pPr>
        <w:pStyle w:val="Listavistosa-nfasis11"/>
        <w:widowControl w:val="0"/>
        <w:numPr>
          <w:ilvl w:val="0"/>
          <w:numId w:val="3"/>
        </w:numPr>
        <w:tabs>
          <w:tab w:val="left" w:pos="567"/>
          <w:tab w:val="left" w:pos="720"/>
        </w:tabs>
        <w:autoSpaceDE w:val="0"/>
        <w:autoSpaceDN w:val="0"/>
        <w:adjustRightInd w:val="0"/>
        <w:spacing w:after="0"/>
        <w:ind w:left="0" w:right="22" w:firstLine="0"/>
        <w:contextualSpacing w:val="0"/>
        <w:rPr>
          <w:lang w:val="es-CR"/>
        </w:rPr>
      </w:pPr>
      <w:bookmarkStart w:id="1" w:name="_Ref393297742"/>
      <w:bookmarkStart w:id="2" w:name="_Ref352676460"/>
      <w:bookmarkStart w:id="3" w:name="_Ref393297780"/>
      <w:bookmarkStart w:id="4" w:name="_Ref393920719"/>
      <w:r w:rsidRPr="00E44575">
        <w:rPr>
          <w:lang w:val="es-CR"/>
        </w:rPr>
        <w:t>El escrito de sometimiento del caso y el Informe de Fondo de la Comisión Interamericana de Derechos Humanos (en adelante “la Comisión Interamericana” o “la Comisión”)</w:t>
      </w:r>
      <w:bookmarkEnd w:id="1"/>
      <w:r w:rsidRPr="00E44575">
        <w:rPr>
          <w:lang w:val="es-CR"/>
        </w:rPr>
        <w:t xml:space="preserve">; </w:t>
      </w:r>
      <w:bookmarkStart w:id="5" w:name="_Ref351983508"/>
      <w:bookmarkStart w:id="6" w:name="_Ref393297751"/>
      <w:bookmarkEnd w:id="2"/>
      <w:r w:rsidRPr="00E44575">
        <w:rPr>
          <w:lang w:val="es-CR"/>
        </w:rPr>
        <w:t xml:space="preserve">el escrito de solicitudes, argumentos y pruebas (en adelante “escrito de solicitudes y argumentos”) </w:t>
      </w:r>
      <w:r w:rsidRPr="00E44575">
        <w:rPr>
          <w:szCs w:val="20"/>
          <w:lang w:val="es-CL" w:eastAsia="en-US"/>
        </w:rPr>
        <w:t>de los representantes</w:t>
      </w:r>
      <w:r w:rsidRPr="00E44575">
        <w:rPr>
          <w:rStyle w:val="FootnoteReference"/>
          <w:szCs w:val="20"/>
          <w:lang w:val="es-CL" w:eastAsia="en-US"/>
        </w:rPr>
        <w:t xml:space="preserve"> </w:t>
      </w:r>
      <w:r w:rsidRPr="00E44575">
        <w:rPr>
          <w:szCs w:val="20"/>
          <w:lang w:val="es-CL" w:eastAsia="en-US"/>
        </w:rPr>
        <w:t>de las presuntas víctimas</w:t>
      </w:r>
      <w:r w:rsidRPr="00E44575">
        <w:rPr>
          <w:lang w:val="es-CR"/>
        </w:rPr>
        <w:t xml:space="preserve"> (en adelante “los representantes”); </w:t>
      </w:r>
      <w:bookmarkStart w:id="7" w:name="_Ref352676532"/>
      <w:bookmarkEnd w:id="5"/>
      <w:bookmarkEnd w:id="6"/>
      <w:r w:rsidRPr="00E44575">
        <w:rPr>
          <w:lang w:val="es-CR"/>
        </w:rPr>
        <w:t>el escrito de excepciones preliminares y contestación al sometimiento del caso y al escrito de solicitudes y argumentos (en adelante “escrito de contestación”) de</w:t>
      </w:r>
      <w:r>
        <w:rPr>
          <w:lang w:val="es-CR"/>
        </w:rPr>
        <w:t xml:space="preserve"> </w:t>
      </w:r>
      <w:r w:rsidRPr="00E44575">
        <w:rPr>
          <w:lang w:val="es-CR"/>
        </w:rPr>
        <w:t>l</w:t>
      </w:r>
      <w:r>
        <w:rPr>
          <w:lang w:val="es-CR"/>
        </w:rPr>
        <w:t>a República de Colombia</w:t>
      </w:r>
      <w:r w:rsidRPr="00E44575">
        <w:rPr>
          <w:lang w:val="es-CR"/>
        </w:rPr>
        <w:t xml:space="preserve"> (en adelante “</w:t>
      </w:r>
      <w:r>
        <w:rPr>
          <w:lang w:val="es-CR"/>
        </w:rPr>
        <w:t>Colombia</w:t>
      </w:r>
      <w:r w:rsidRPr="00E44575">
        <w:rPr>
          <w:lang w:val="es-CR"/>
        </w:rPr>
        <w:t>” o “el Estado”)</w:t>
      </w:r>
      <w:bookmarkEnd w:id="7"/>
      <w:r>
        <w:rPr>
          <w:lang w:val="es-CR"/>
        </w:rPr>
        <w:t>,</w:t>
      </w:r>
      <w:r w:rsidRPr="00E44575">
        <w:rPr>
          <w:lang w:val="es-CR"/>
        </w:rPr>
        <w:t xml:space="preserve"> así como los escritos de observaciones a las excepciones preliminares presentados por la Comisión y los representantes.</w:t>
      </w:r>
    </w:p>
    <w:p w:rsidR="008E6216" w:rsidRDefault="008E6216" w:rsidP="008E6216">
      <w:pPr>
        <w:pStyle w:val="Listavistosa-nfasis11"/>
        <w:widowControl w:val="0"/>
        <w:numPr>
          <w:ilvl w:val="0"/>
          <w:numId w:val="0"/>
        </w:numPr>
        <w:tabs>
          <w:tab w:val="left" w:pos="567"/>
          <w:tab w:val="left" w:pos="720"/>
        </w:tabs>
        <w:autoSpaceDE w:val="0"/>
        <w:autoSpaceDN w:val="0"/>
        <w:adjustRightInd w:val="0"/>
        <w:spacing w:after="0"/>
        <w:ind w:right="22"/>
        <w:contextualSpacing w:val="0"/>
        <w:rPr>
          <w:lang w:val="es-CR"/>
        </w:rPr>
      </w:pPr>
    </w:p>
    <w:p w:rsidR="008E6216" w:rsidRPr="00806E48" w:rsidRDefault="008E6216" w:rsidP="008E6216">
      <w:pPr>
        <w:pStyle w:val="Listavistosa-nfasis11"/>
        <w:widowControl w:val="0"/>
        <w:numPr>
          <w:ilvl w:val="0"/>
          <w:numId w:val="3"/>
        </w:numPr>
        <w:tabs>
          <w:tab w:val="left" w:pos="567"/>
          <w:tab w:val="left" w:pos="720"/>
        </w:tabs>
        <w:autoSpaceDE w:val="0"/>
        <w:autoSpaceDN w:val="0"/>
        <w:adjustRightInd w:val="0"/>
        <w:spacing w:after="0"/>
        <w:ind w:left="0" w:right="22" w:firstLine="0"/>
        <w:contextualSpacing w:val="0"/>
        <w:rPr>
          <w:b/>
          <w:lang w:val="es-CR"/>
        </w:rPr>
      </w:pPr>
      <w:r>
        <w:t xml:space="preserve">Las listas definitivas de declarantes presentadas por los representantes, el Estado y la Comisión; las correspondientes observaciones a dichas listas, la solicitud de </w:t>
      </w:r>
      <w:r w:rsidR="00530AE0">
        <w:t xml:space="preserve">sustitución </w:t>
      </w:r>
      <w:r>
        <w:t>de una persona propuesta como perita realizada por los representantes y las correspondientes observaciones a dicha solicitud</w:t>
      </w:r>
      <w:bookmarkEnd w:id="3"/>
      <w:bookmarkEnd w:id="4"/>
      <w:r>
        <w:t>.</w:t>
      </w:r>
      <w:r w:rsidR="00524F39">
        <w:rPr>
          <w:b/>
          <w:lang w:val="es-CR"/>
        </w:rPr>
        <w:t xml:space="preserve"> </w:t>
      </w:r>
    </w:p>
    <w:p w:rsidR="008E6216" w:rsidRPr="00E44575" w:rsidRDefault="008E6216" w:rsidP="008E6216">
      <w:pPr>
        <w:spacing w:after="0"/>
        <w:rPr>
          <w:rFonts w:cs="Verdana"/>
          <w:b/>
          <w:bCs/>
          <w:caps/>
          <w:szCs w:val="20"/>
        </w:rPr>
      </w:pPr>
    </w:p>
    <w:p w:rsidR="008E6216" w:rsidRPr="00E44575" w:rsidRDefault="008E6216" w:rsidP="008E6216">
      <w:pPr>
        <w:tabs>
          <w:tab w:val="left" w:pos="720"/>
        </w:tabs>
        <w:autoSpaceDE w:val="0"/>
        <w:autoSpaceDN w:val="0"/>
        <w:adjustRightInd w:val="0"/>
        <w:spacing w:after="0"/>
        <w:jc w:val="left"/>
        <w:rPr>
          <w:rFonts w:eastAsia="Times New Roman" w:cs="Verdana"/>
          <w:b/>
          <w:bCs/>
          <w:szCs w:val="20"/>
          <w:lang w:val="es-CL" w:eastAsia="en-US"/>
        </w:rPr>
      </w:pPr>
      <w:r w:rsidRPr="00E44575">
        <w:rPr>
          <w:rFonts w:eastAsia="Times New Roman" w:cs="Verdana"/>
          <w:b/>
          <w:bCs/>
          <w:szCs w:val="20"/>
          <w:lang w:val="es-CL" w:eastAsia="en-US"/>
        </w:rPr>
        <w:t>CONSIDERANDO QUE:</w:t>
      </w:r>
    </w:p>
    <w:p w:rsidR="008E6216" w:rsidRPr="00FB1AD3" w:rsidRDefault="008E6216" w:rsidP="008E6216">
      <w:pPr>
        <w:pStyle w:val="Listavistosa-nfasis11"/>
        <w:numPr>
          <w:ilvl w:val="0"/>
          <w:numId w:val="0"/>
        </w:numPr>
        <w:autoSpaceDE w:val="0"/>
        <w:autoSpaceDN w:val="0"/>
        <w:adjustRightInd w:val="0"/>
        <w:spacing w:after="0"/>
        <w:ind w:left="180"/>
        <w:contextualSpacing w:val="0"/>
        <w:rPr>
          <w:lang w:val="es-ES"/>
        </w:rPr>
      </w:pPr>
    </w:p>
    <w:p w:rsidR="008E6216" w:rsidRDefault="008E6216" w:rsidP="008E6216">
      <w:pPr>
        <w:numPr>
          <w:ilvl w:val="0"/>
          <w:numId w:val="1"/>
        </w:numPr>
        <w:tabs>
          <w:tab w:val="num" w:pos="720"/>
        </w:tabs>
        <w:autoSpaceDE w:val="0"/>
        <w:autoSpaceDN w:val="0"/>
        <w:adjustRightInd w:val="0"/>
        <w:spacing w:after="0"/>
        <w:rPr>
          <w:rFonts w:eastAsia="Times New Roman" w:cs="Verdana"/>
          <w:szCs w:val="20"/>
          <w:lang w:val="es-CL" w:eastAsia="en-US"/>
        </w:rPr>
      </w:pPr>
      <w:r w:rsidRPr="00E44575">
        <w:rPr>
          <w:rFonts w:eastAsia="Times New Roman" w:cs="Verdana"/>
          <w:szCs w:val="20"/>
          <w:lang w:val="es-CL" w:eastAsia="en-US"/>
        </w:rPr>
        <w:t xml:space="preserve">El ofrecimiento y la admisión de la prueba, así como la citación de </w:t>
      </w:r>
      <w:r>
        <w:rPr>
          <w:rFonts w:eastAsia="Times New Roman" w:cs="Verdana"/>
          <w:szCs w:val="20"/>
          <w:lang w:val="es-CL" w:eastAsia="en-US"/>
        </w:rPr>
        <w:t xml:space="preserve">presuntas víctimas, </w:t>
      </w:r>
      <w:r w:rsidRPr="00E44575">
        <w:rPr>
          <w:rFonts w:eastAsia="Times New Roman" w:cs="Verdana"/>
          <w:szCs w:val="20"/>
          <w:lang w:val="es-CL" w:eastAsia="en-US"/>
        </w:rPr>
        <w:t xml:space="preserve">testigos y peritos, se encuentran regulados en los artículos 35.1.f, 40.2.c, 41.1.c, 46, </w:t>
      </w:r>
      <w:r w:rsidR="00635F9C">
        <w:rPr>
          <w:rFonts w:eastAsia="Times New Roman" w:cs="Verdana"/>
          <w:szCs w:val="20"/>
          <w:lang w:val="es-CL" w:eastAsia="en-US"/>
        </w:rPr>
        <w:t>47, 49,</w:t>
      </w:r>
      <w:r w:rsidRPr="00E44575">
        <w:rPr>
          <w:rFonts w:eastAsia="Times New Roman" w:cs="Verdana"/>
          <w:szCs w:val="20"/>
          <w:lang w:val="es-CL" w:eastAsia="en-US"/>
        </w:rPr>
        <w:t xml:space="preserve"> 50, y 57 del Reglamento del Tribunal. </w:t>
      </w:r>
    </w:p>
    <w:p w:rsidR="008E6216" w:rsidRDefault="008E6216" w:rsidP="008E6216">
      <w:pPr>
        <w:autoSpaceDE w:val="0"/>
        <w:autoSpaceDN w:val="0"/>
        <w:adjustRightInd w:val="0"/>
        <w:spacing w:after="0"/>
        <w:rPr>
          <w:rFonts w:eastAsia="Times New Roman" w:cs="Verdana"/>
          <w:szCs w:val="20"/>
          <w:lang w:val="es-CL" w:eastAsia="en-US"/>
        </w:rPr>
      </w:pPr>
    </w:p>
    <w:p w:rsidR="008E6216" w:rsidRDefault="008E6216" w:rsidP="008E6216">
      <w:pPr>
        <w:numPr>
          <w:ilvl w:val="0"/>
          <w:numId w:val="1"/>
        </w:numPr>
        <w:tabs>
          <w:tab w:val="num" w:pos="720"/>
        </w:tabs>
        <w:autoSpaceDE w:val="0"/>
        <w:autoSpaceDN w:val="0"/>
        <w:adjustRightInd w:val="0"/>
        <w:spacing w:after="0"/>
        <w:rPr>
          <w:rFonts w:eastAsia="Times New Roman" w:cs="Verdana"/>
          <w:szCs w:val="20"/>
          <w:lang w:val="es-CL" w:eastAsia="en-US"/>
        </w:rPr>
      </w:pPr>
      <w:r>
        <w:rPr>
          <w:rFonts w:eastAsia="Times New Roman" w:cs="Verdana"/>
          <w:szCs w:val="20"/>
          <w:lang w:val="es-CL" w:eastAsia="en-US"/>
        </w:rPr>
        <w:t>En la debida oportunidad procesal, la Comisió</w:t>
      </w:r>
      <w:r w:rsidR="00D759A4">
        <w:rPr>
          <w:rFonts w:eastAsia="Times New Roman" w:cs="Verdana"/>
          <w:szCs w:val="20"/>
          <w:lang w:val="es-CL" w:eastAsia="en-US"/>
        </w:rPr>
        <w:t xml:space="preserve">n ofreció un dictamen pericial, </w:t>
      </w:r>
      <w:r>
        <w:rPr>
          <w:rFonts w:eastAsia="Times New Roman" w:cs="Verdana"/>
          <w:szCs w:val="20"/>
          <w:lang w:val="es-CL" w:eastAsia="en-US"/>
        </w:rPr>
        <w:t>los representantes ofrecieron las declaraciones de trece presuntas víctimas y seis dictámenes periciales</w:t>
      </w:r>
      <w:r w:rsidR="00C922B3">
        <w:rPr>
          <w:rStyle w:val="FootnoteReference"/>
          <w:rFonts w:eastAsia="Times New Roman" w:cs="Verdana"/>
          <w:szCs w:val="20"/>
          <w:lang w:val="es-CL" w:eastAsia="en-US"/>
        </w:rPr>
        <w:footnoteReference w:id="1"/>
      </w:r>
      <w:r>
        <w:rPr>
          <w:rFonts w:eastAsia="Times New Roman" w:cs="Verdana"/>
          <w:szCs w:val="20"/>
          <w:lang w:val="es-CL" w:eastAsia="en-US"/>
        </w:rPr>
        <w:t xml:space="preserve"> y el Estado ofreció tres testigos y un perito.</w:t>
      </w:r>
      <w:r w:rsidRPr="005A1C7B">
        <w:rPr>
          <w:rFonts w:eastAsia="Times New Roman" w:cs="Verdana"/>
          <w:szCs w:val="20"/>
          <w:lang w:val="es-CL" w:eastAsia="en-US"/>
        </w:rPr>
        <w:t xml:space="preserve"> </w:t>
      </w:r>
    </w:p>
    <w:p w:rsidR="008E6216" w:rsidRPr="00E44575" w:rsidRDefault="008E6216" w:rsidP="008E6216">
      <w:pPr>
        <w:autoSpaceDE w:val="0"/>
        <w:autoSpaceDN w:val="0"/>
        <w:adjustRightInd w:val="0"/>
        <w:spacing w:after="0"/>
        <w:rPr>
          <w:rFonts w:eastAsia="Times New Roman" w:cs="Verdana"/>
          <w:szCs w:val="20"/>
          <w:lang w:val="es-CL" w:eastAsia="en-US"/>
        </w:rPr>
      </w:pPr>
    </w:p>
    <w:p w:rsidR="008E6216" w:rsidRDefault="008E6216" w:rsidP="008E6216">
      <w:pPr>
        <w:numPr>
          <w:ilvl w:val="0"/>
          <w:numId w:val="1"/>
        </w:numPr>
        <w:tabs>
          <w:tab w:val="num" w:pos="720"/>
        </w:tabs>
        <w:autoSpaceDE w:val="0"/>
        <w:autoSpaceDN w:val="0"/>
        <w:adjustRightInd w:val="0"/>
        <w:spacing w:after="0"/>
        <w:rPr>
          <w:rFonts w:eastAsia="Times New Roman" w:cs="Verdana"/>
          <w:szCs w:val="20"/>
          <w:lang w:val="es-CL" w:eastAsia="en-US"/>
        </w:rPr>
      </w:pPr>
      <w:r w:rsidRPr="00E44575">
        <w:rPr>
          <w:rFonts w:eastAsia="Times New Roman" w:cs="Verdana"/>
          <w:szCs w:val="20"/>
          <w:lang w:val="es-CL" w:eastAsia="en-US"/>
        </w:rPr>
        <w:t xml:space="preserve">La Corte garantizó a las partes el </w:t>
      </w:r>
      <w:r w:rsidRPr="00524F39">
        <w:rPr>
          <w:rFonts w:eastAsia="Times New Roman" w:cs="Verdana"/>
          <w:szCs w:val="20"/>
          <w:lang w:val="es-CL" w:eastAsia="en-US"/>
        </w:rPr>
        <w:t>principio de contradicción</w:t>
      </w:r>
      <w:r w:rsidRPr="00E44575">
        <w:rPr>
          <w:rFonts w:eastAsia="Times New Roman" w:cs="Verdana"/>
          <w:szCs w:val="20"/>
          <w:lang w:val="es-CL" w:eastAsia="en-US"/>
        </w:rPr>
        <w:t xml:space="preserve"> respecto de los ofrecimientos probatorios realizados en sus escritos de sometimiento del caso, solicitudes y argumentos, y </w:t>
      </w:r>
      <w:r w:rsidRPr="001204B1">
        <w:rPr>
          <w:rFonts w:eastAsia="Times New Roman" w:cs="Verdana"/>
          <w:szCs w:val="20"/>
          <w:lang w:val="es-CL" w:eastAsia="en-US"/>
        </w:rPr>
        <w:t>contestación, así como en las respectivas listas definitivas de declarantes.</w:t>
      </w:r>
      <w:r w:rsidR="00DE4B6F">
        <w:rPr>
          <w:rFonts w:eastAsia="Times New Roman" w:cs="Verdana"/>
          <w:szCs w:val="20"/>
          <w:lang w:val="es-CL" w:eastAsia="en-US"/>
        </w:rPr>
        <w:t xml:space="preserve"> </w:t>
      </w:r>
    </w:p>
    <w:p w:rsidR="008E6216" w:rsidRDefault="008E6216" w:rsidP="008E6216">
      <w:pPr>
        <w:autoSpaceDE w:val="0"/>
        <w:autoSpaceDN w:val="0"/>
        <w:adjustRightInd w:val="0"/>
        <w:spacing w:after="0"/>
        <w:rPr>
          <w:rFonts w:eastAsia="Times New Roman" w:cs="Verdana"/>
          <w:szCs w:val="20"/>
          <w:lang w:val="es-CL" w:eastAsia="en-US"/>
        </w:rPr>
      </w:pPr>
    </w:p>
    <w:p w:rsidR="008E6216" w:rsidRPr="00EB54C9" w:rsidRDefault="008E6216" w:rsidP="008E6216">
      <w:pPr>
        <w:numPr>
          <w:ilvl w:val="0"/>
          <w:numId w:val="1"/>
        </w:numPr>
        <w:tabs>
          <w:tab w:val="num" w:pos="720"/>
        </w:tabs>
        <w:autoSpaceDE w:val="0"/>
        <w:autoSpaceDN w:val="0"/>
        <w:adjustRightInd w:val="0"/>
        <w:spacing w:after="0"/>
        <w:rPr>
          <w:rFonts w:eastAsia="Times New Roman" w:cs="Verdana"/>
          <w:szCs w:val="20"/>
          <w:lang w:val="es-CL" w:eastAsia="en-US"/>
        </w:rPr>
      </w:pPr>
      <w:r>
        <w:t xml:space="preserve">Colombia objetó el peritaje ofrecido por la Comisión y presentó observaciones relacionadas con cinco de los dictámenes periciales ofrecidos por los representantes de las presuntas víctimas. Asimismo, el Estado presentó objeciones sobre el objeto propuesto por </w:t>
      </w:r>
      <w:r>
        <w:lastRenderedPageBreak/>
        <w:t>los representantes para las declaraciones de tres presuntas víctimas</w:t>
      </w:r>
      <w:r w:rsidR="00683AC7">
        <w:t>,</w:t>
      </w:r>
      <w:r>
        <w:t xml:space="preserve"> objetó parcialmente el objeto propuesto por los representantes para la declaración de otras cinco presuntas víctimas</w:t>
      </w:r>
      <w:r w:rsidR="00683AC7">
        <w:t xml:space="preserve"> e hizo observaciones, sin objetarla, sobre otra declaración de una presunta víctima</w:t>
      </w:r>
      <w:r>
        <w:t>. Los representantes y la Comisión expresaron que no tenían observaciones sobre las listas definitivas de declarantes</w:t>
      </w:r>
      <w:r w:rsidR="00530AE0">
        <w:t xml:space="preserve"> del Estado</w:t>
      </w:r>
      <w:r>
        <w:t>.</w:t>
      </w:r>
    </w:p>
    <w:p w:rsidR="008E6216" w:rsidRDefault="008E6216" w:rsidP="008E6216">
      <w:pPr>
        <w:autoSpaceDE w:val="0"/>
        <w:autoSpaceDN w:val="0"/>
        <w:adjustRightInd w:val="0"/>
        <w:spacing w:after="0"/>
        <w:rPr>
          <w:rFonts w:eastAsia="Times New Roman" w:cs="Verdana"/>
          <w:szCs w:val="20"/>
          <w:lang w:val="es-CL" w:eastAsia="en-US"/>
        </w:rPr>
      </w:pPr>
    </w:p>
    <w:p w:rsidR="008E6216" w:rsidRPr="00B65EB6" w:rsidRDefault="008E6216" w:rsidP="008E6216">
      <w:pPr>
        <w:numPr>
          <w:ilvl w:val="0"/>
          <w:numId w:val="1"/>
        </w:numPr>
        <w:tabs>
          <w:tab w:val="num" w:pos="720"/>
        </w:tabs>
        <w:autoSpaceDE w:val="0"/>
        <w:autoSpaceDN w:val="0"/>
        <w:adjustRightInd w:val="0"/>
        <w:spacing w:after="0"/>
        <w:rPr>
          <w:rFonts w:eastAsia="Times New Roman" w:cs="Verdana"/>
          <w:szCs w:val="20"/>
          <w:lang w:val="es-CL" w:eastAsia="en-US"/>
        </w:rPr>
      </w:pPr>
      <w:r>
        <w:t>En cuanto a las declaraciones de presuntas víctimas, así como las declaraciones testimoniales y periciales ofrecidas por los representantes y el Estado que no han sido objetadas y cumplen los requisitos reglamentarios para su admisibilidad, esta Presidencia considera conveniente recabarlas. Por ello, admite las declaraciones de las presuntas víctimas Fabiola Álvarez Solano, Héctor Manuel Álvarez Solano</w:t>
      </w:r>
      <w:r w:rsidR="00D65F4D">
        <w:t>,</w:t>
      </w:r>
      <w:r>
        <w:t xml:space="preserve"> </w:t>
      </w:r>
      <w:r w:rsidR="006A43DE">
        <w:t xml:space="preserve">Noel Emiro </w:t>
      </w:r>
      <w:proofErr w:type="spellStart"/>
      <w:r w:rsidR="006A43DE">
        <w:t>Omeara</w:t>
      </w:r>
      <w:proofErr w:type="spellEnd"/>
      <w:r w:rsidR="006A43DE">
        <w:t xml:space="preserve"> </w:t>
      </w:r>
      <w:proofErr w:type="spellStart"/>
      <w:r w:rsidR="006A43DE">
        <w:t>Miraval</w:t>
      </w:r>
      <w:proofErr w:type="spellEnd"/>
      <w:r w:rsidR="006A43DE">
        <w:t xml:space="preserve"> y Manuel Guillermo </w:t>
      </w:r>
      <w:proofErr w:type="spellStart"/>
      <w:r w:rsidR="006A43DE">
        <w:t>Omeara</w:t>
      </w:r>
      <w:proofErr w:type="spellEnd"/>
      <w:r w:rsidR="006A43DE">
        <w:t xml:space="preserve"> Álvarez, </w:t>
      </w:r>
      <w:r>
        <w:t>propuestas por los representantes; la declaración pericial de Santiago Camargo, propuesta por los representantes; las declaraciones testimoniales de Diego Fernando Rosas Carreño, Iván Augusto Gómez Celis y Claudia Viviana Ferro Buitrago, propuestas por el Estado, y la declaración pericial de Héctor Eduardo Patiño Domínguez, propuesta por el Estado.</w:t>
      </w:r>
      <w:r w:rsidRPr="00EB54C9">
        <w:t xml:space="preserve"> </w:t>
      </w:r>
      <w:r w:rsidRPr="002E72CD">
        <w:t xml:space="preserve">El objeto de </w:t>
      </w:r>
      <w:r>
        <w:t>las declaraciones referidas</w:t>
      </w:r>
      <w:r w:rsidRPr="002E72CD">
        <w:t xml:space="preserve"> y la modalidad en que serán recibid</w:t>
      </w:r>
      <w:r>
        <w:t>a</w:t>
      </w:r>
      <w:r w:rsidRPr="002E72CD">
        <w:t xml:space="preserve">s se </w:t>
      </w:r>
      <w:r>
        <w:t>determinarán</w:t>
      </w:r>
      <w:r w:rsidRPr="002E72CD">
        <w:t xml:space="preserve"> en la parte resolutiva de esta decisión </w:t>
      </w:r>
      <w:r w:rsidRPr="00524F39">
        <w:t>(</w:t>
      </w:r>
      <w:r w:rsidRPr="00524F39">
        <w:rPr>
          <w:i/>
        </w:rPr>
        <w:t xml:space="preserve">infra </w:t>
      </w:r>
      <w:r w:rsidRPr="00A55743">
        <w:t xml:space="preserve">puntos resolutivos </w:t>
      </w:r>
      <w:r w:rsidR="00524F39" w:rsidRPr="00A55743">
        <w:t>1 y 5</w:t>
      </w:r>
      <w:r w:rsidRPr="002E72CD">
        <w:t>).</w:t>
      </w:r>
    </w:p>
    <w:p w:rsidR="00D65F4D" w:rsidRDefault="00D65F4D" w:rsidP="008E6216">
      <w:pPr>
        <w:pStyle w:val="ListParagraph"/>
        <w:autoSpaceDE w:val="0"/>
        <w:autoSpaceDN w:val="0"/>
        <w:adjustRightInd w:val="0"/>
        <w:spacing w:after="0"/>
        <w:ind w:left="0"/>
      </w:pPr>
    </w:p>
    <w:p w:rsidR="008E6216" w:rsidRPr="000C5B28" w:rsidRDefault="008E6216" w:rsidP="008E6216">
      <w:pPr>
        <w:pStyle w:val="Listavistosa-nfasis11"/>
        <w:widowControl w:val="0"/>
        <w:numPr>
          <w:ilvl w:val="0"/>
          <w:numId w:val="1"/>
        </w:numPr>
        <w:tabs>
          <w:tab w:val="num" w:pos="720"/>
        </w:tabs>
        <w:autoSpaceDE w:val="0"/>
        <w:autoSpaceDN w:val="0"/>
        <w:adjustRightInd w:val="0"/>
        <w:spacing w:after="0"/>
        <w:ind w:left="0" w:right="22" w:firstLine="0"/>
        <w:contextualSpacing w:val="0"/>
        <w:rPr>
          <w:bCs/>
          <w:iCs/>
          <w:color w:val="FF0000"/>
          <w:szCs w:val="20"/>
          <w:lang w:val="es-CR"/>
        </w:rPr>
      </w:pPr>
      <w:r w:rsidRPr="004A5424">
        <w:rPr>
          <w:rFonts w:eastAsia="Times New Roman" w:cs="Verdana"/>
          <w:szCs w:val="20"/>
          <w:lang w:val="es-CL" w:eastAsia="en-US"/>
        </w:rPr>
        <w:t>A</w:t>
      </w:r>
      <w:r w:rsidRPr="004A5424">
        <w:rPr>
          <w:szCs w:val="20"/>
        </w:rPr>
        <w:t xml:space="preserve"> continuación el Presidente examinará en forma particular: a</w:t>
      </w:r>
      <w:r w:rsidRPr="004A5424">
        <w:rPr>
          <w:lang w:val="es-CR"/>
        </w:rPr>
        <w:t xml:space="preserve">) la admisibilidad de la prueba pericial ofrecida por la Comisión; </w:t>
      </w:r>
      <w:r>
        <w:rPr>
          <w:lang w:val="es-CR"/>
        </w:rPr>
        <w:t>b)</w:t>
      </w:r>
      <w:r w:rsidRPr="00187092">
        <w:t xml:space="preserve"> </w:t>
      </w:r>
      <w:r>
        <w:t>la solicitud de los representantes de sustitución de una persona propuesta como perita;</w:t>
      </w:r>
      <w:r w:rsidRPr="004A5424">
        <w:rPr>
          <w:lang w:val="es-CR"/>
        </w:rPr>
        <w:t xml:space="preserve"> </w:t>
      </w:r>
      <w:r>
        <w:rPr>
          <w:lang w:val="es-CR"/>
        </w:rPr>
        <w:t>c</w:t>
      </w:r>
      <w:r w:rsidRPr="004A5424">
        <w:rPr>
          <w:lang w:val="es-CR"/>
        </w:rPr>
        <w:t>)</w:t>
      </w:r>
      <w:r w:rsidRPr="00187092">
        <w:t xml:space="preserve"> </w:t>
      </w:r>
      <w:r>
        <w:t>la solicitud de la Comisión para formular preguntas en relación con una declaración pericial ofrecida por los representantes; d)</w:t>
      </w:r>
      <w:r w:rsidRPr="004A5424">
        <w:rPr>
          <w:lang w:val="es-CR"/>
        </w:rPr>
        <w:t xml:space="preserve"> las observaciones realizadas por el Estado a las </w:t>
      </w:r>
      <w:r>
        <w:rPr>
          <w:lang w:val="es-CR"/>
        </w:rPr>
        <w:t xml:space="preserve">declaraciones de las </w:t>
      </w:r>
      <w:r w:rsidRPr="004A5424">
        <w:rPr>
          <w:lang w:val="es-CR"/>
        </w:rPr>
        <w:t>presuntas víctimas o</w:t>
      </w:r>
      <w:r w:rsidR="00524F39">
        <w:rPr>
          <w:lang w:val="es-CR"/>
        </w:rPr>
        <w:t>frecidas por los representantes, y</w:t>
      </w:r>
      <w:r w:rsidRPr="004A5424">
        <w:rPr>
          <w:lang w:val="es-CR"/>
        </w:rPr>
        <w:t xml:space="preserve"> </w:t>
      </w:r>
      <w:r>
        <w:rPr>
          <w:lang w:val="es-CR"/>
        </w:rPr>
        <w:t>e</w:t>
      </w:r>
      <w:r w:rsidRPr="004A5424">
        <w:rPr>
          <w:lang w:val="es-CR"/>
        </w:rPr>
        <w:t xml:space="preserve">) las observaciones efectuadas por el Estado a algunos </w:t>
      </w:r>
      <w:r w:rsidRPr="00BE478D">
        <w:rPr>
          <w:lang w:val="es-CR"/>
        </w:rPr>
        <w:t>peritos ofrecidos por los representantes</w:t>
      </w:r>
      <w:r>
        <w:rPr>
          <w:bCs/>
          <w:iCs/>
          <w:szCs w:val="20"/>
        </w:rPr>
        <w:t>.</w:t>
      </w:r>
    </w:p>
    <w:p w:rsidR="008E6216" w:rsidRPr="00DB281D" w:rsidRDefault="008E6216" w:rsidP="008E6216">
      <w:pPr>
        <w:pStyle w:val="Listavistosa-nfasis11"/>
        <w:numPr>
          <w:ilvl w:val="0"/>
          <w:numId w:val="0"/>
        </w:numPr>
        <w:spacing w:after="0"/>
        <w:ind w:left="720"/>
        <w:contextualSpacing w:val="0"/>
        <w:rPr>
          <w:bCs/>
          <w:iCs/>
          <w:szCs w:val="20"/>
          <w:lang w:val="es-CR"/>
        </w:rPr>
      </w:pPr>
    </w:p>
    <w:p w:rsidR="008E6216" w:rsidRPr="006B25A6" w:rsidRDefault="008E6216" w:rsidP="008E6216">
      <w:pPr>
        <w:pStyle w:val="ListParagraph1"/>
        <w:numPr>
          <w:ilvl w:val="0"/>
          <w:numId w:val="2"/>
        </w:numPr>
        <w:ind w:right="11"/>
        <w:jc w:val="both"/>
        <w:rPr>
          <w:rFonts w:ascii="Verdana" w:hAnsi="Verdana"/>
          <w:b/>
          <w:sz w:val="20"/>
          <w:szCs w:val="20"/>
          <w:lang w:val="es-CR"/>
        </w:rPr>
      </w:pPr>
      <w:r w:rsidRPr="005F50D4">
        <w:rPr>
          <w:rFonts w:ascii="Verdana" w:hAnsi="Verdana"/>
          <w:b/>
          <w:sz w:val="20"/>
          <w:szCs w:val="20"/>
          <w:lang w:val="es-CR"/>
        </w:rPr>
        <w:t xml:space="preserve">Prueba Pericial ofrecida por la Comisión Interamericana </w:t>
      </w:r>
    </w:p>
    <w:p w:rsidR="008E6216" w:rsidRDefault="008E6216" w:rsidP="008E6216">
      <w:pPr>
        <w:pStyle w:val="ListParagraph1"/>
        <w:ind w:left="90" w:right="11"/>
        <w:jc w:val="both"/>
        <w:rPr>
          <w:rFonts w:ascii="Verdana" w:hAnsi="Verdana"/>
          <w:b/>
          <w:i/>
          <w:sz w:val="20"/>
          <w:szCs w:val="20"/>
          <w:lang w:val="es-CR"/>
        </w:rPr>
      </w:pPr>
    </w:p>
    <w:p w:rsidR="008E6216" w:rsidRPr="00BE250E" w:rsidRDefault="008E6216" w:rsidP="008E6216">
      <w:pPr>
        <w:numPr>
          <w:ilvl w:val="0"/>
          <w:numId w:val="1"/>
        </w:numPr>
        <w:tabs>
          <w:tab w:val="num" w:pos="720"/>
        </w:tabs>
        <w:autoSpaceDE w:val="0"/>
        <w:autoSpaceDN w:val="0"/>
        <w:adjustRightInd w:val="0"/>
        <w:spacing w:after="0"/>
        <w:rPr>
          <w:rFonts w:eastAsia="Times New Roman" w:cs="Verdana"/>
          <w:b/>
          <w:sz w:val="16"/>
          <w:szCs w:val="20"/>
          <w:lang w:val="es-CL" w:eastAsia="en-US"/>
        </w:rPr>
      </w:pPr>
      <w:r w:rsidRPr="00B66523">
        <w:rPr>
          <w:rFonts w:cs="Arial"/>
          <w:szCs w:val="20"/>
          <w:lang w:val="es-CR"/>
        </w:rPr>
        <w:t xml:space="preserve">La Comisión ofreció </w:t>
      </w:r>
      <w:r>
        <w:rPr>
          <w:rFonts w:cs="Arial"/>
          <w:szCs w:val="20"/>
          <w:lang w:val="es-CR"/>
        </w:rPr>
        <w:t>el</w:t>
      </w:r>
      <w:r w:rsidRPr="00B66523">
        <w:rPr>
          <w:rFonts w:cs="Arial"/>
          <w:szCs w:val="20"/>
          <w:lang w:val="es-CR"/>
        </w:rPr>
        <w:t xml:space="preserve"> dictamen pericial</w:t>
      </w:r>
      <w:r>
        <w:rPr>
          <w:rFonts w:cs="Arial"/>
          <w:szCs w:val="20"/>
          <w:lang w:val="es-CR"/>
        </w:rPr>
        <w:t xml:space="preserve"> de</w:t>
      </w:r>
      <w:r w:rsidRPr="00B66523">
        <w:rPr>
          <w:szCs w:val="20"/>
          <w:lang w:val="es-CR"/>
        </w:rPr>
        <w:t xml:space="preserve"> </w:t>
      </w:r>
      <w:r w:rsidRPr="00B66523">
        <w:rPr>
          <w:rFonts w:cs="Times New Roman"/>
          <w:szCs w:val="20"/>
          <w:lang w:val="es-CR" w:eastAsia="es-CR"/>
        </w:rPr>
        <w:t xml:space="preserve">Alejandro Valencia Villa, </w:t>
      </w:r>
      <w:r>
        <w:rPr>
          <w:rFonts w:cs="Times New Roman"/>
          <w:szCs w:val="20"/>
          <w:lang w:val="es-CR" w:eastAsia="es-CR"/>
        </w:rPr>
        <w:t xml:space="preserve">para que </w:t>
      </w:r>
      <w:r w:rsidRPr="00B66523">
        <w:rPr>
          <w:rFonts w:cs="Times New Roman"/>
          <w:szCs w:val="20"/>
          <w:lang w:val="es-CR" w:eastAsia="es-CR"/>
        </w:rPr>
        <w:t xml:space="preserve"> declar</w:t>
      </w:r>
      <w:r>
        <w:rPr>
          <w:rFonts w:cs="Times New Roman"/>
          <w:szCs w:val="20"/>
          <w:lang w:val="es-CR" w:eastAsia="es-CR"/>
        </w:rPr>
        <w:t>e</w:t>
      </w:r>
      <w:r w:rsidRPr="00B66523">
        <w:rPr>
          <w:rFonts w:cs="Times New Roman"/>
          <w:szCs w:val="20"/>
          <w:lang w:val="es-CR" w:eastAsia="es-CR"/>
        </w:rPr>
        <w:t xml:space="preserve"> sobre</w:t>
      </w:r>
      <w:r w:rsidRPr="00B66523">
        <w:rPr>
          <w:rFonts w:cs="Arial"/>
          <w:color w:val="141414"/>
          <w:szCs w:val="20"/>
          <w:lang w:val="es-CR" w:eastAsia="es-CR"/>
        </w:rPr>
        <w:t xml:space="preserve"> </w:t>
      </w:r>
      <w:r w:rsidR="00C05E1B">
        <w:rPr>
          <w:rFonts w:cs="Arial"/>
          <w:color w:val="141414"/>
          <w:szCs w:val="20"/>
          <w:lang w:val="es-CR" w:eastAsia="es-CR"/>
        </w:rPr>
        <w:t>“</w:t>
      </w:r>
      <w:r w:rsidRPr="00B66523">
        <w:rPr>
          <w:rFonts w:cs="Arial"/>
          <w:color w:val="141414"/>
          <w:szCs w:val="20"/>
          <w:lang w:val="es-CR" w:eastAsia="es-CR"/>
        </w:rPr>
        <w:t>la responsabilidad internacional del Estado derivada de acciones de actores no estatales en supuest</w:t>
      </w:r>
      <w:r>
        <w:rPr>
          <w:rFonts w:cs="Arial"/>
          <w:color w:val="141414"/>
          <w:szCs w:val="20"/>
          <w:lang w:val="es-CR" w:eastAsia="es-CR"/>
        </w:rPr>
        <w:t>os de aquiescencia y colaboració</w:t>
      </w:r>
      <w:r w:rsidRPr="00B66523">
        <w:rPr>
          <w:rFonts w:cs="Arial"/>
          <w:color w:val="141414"/>
          <w:szCs w:val="20"/>
          <w:lang w:val="es-CR" w:eastAsia="es-CR"/>
        </w:rPr>
        <w:t xml:space="preserve">n de agentes estatales. </w:t>
      </w:r>
      <w:r>
        <w:rPr>
          <w:rFonts w:cs="Arial"/>
          <w:color w:val="141414"/>
          <w:szCs w:val="20"/>
          <w:lang w:val="es-CR" w:eastAsia="es-CR"/>
        </w:rPr>
        <w:t>Señaló que e</w:t>
      </w:r>
      <w:r w:rsidRPr="00B66523">
        <w:rPr>
          <w:rFonts w:cs="Arial"/>
          <w:color w:val="141414"/>
          <w:szCs w:val="20"/>
          <w:lang w:val="es-CR" w:eastAsia="es-CR"/>
        </w:rPr>
        <w:t>n particular, analizar</w:t>
      </w:r>
      <w:r>
        <w:rPr>
          <w:rFonts w:cs="Arial"/>
          <w:color w:val="141414"/>
          <w:szCs w:val="20"/>
          <w:lang w:val="es-CR" w:eastAsia="es-CR"/>
        </w:rPr>
        <w:t>í</w:t>
      </w:r>
      <w:r w:rsidRPr="00B66523">
        <w:rPr>
          <w:rFonts w:cs="Arial"/>
          <w:color w:val="141414"/>
          <w:szCs w:val="20"/>
          <w:lang w:val="es-CR" w:eastAsia="es-CR"/>
        </w:rPr>
        <w:t>a dicha responsabilidad cuando confluye</w:t>
      </w:r>
      <w:r w:rsidRPr="00B66523">
        <w:rPr>
          <w:rFonts w:cs="Arial"/>
          <w:color w:val="3A3A3A"/>
          <w:szCs w:val="20"/>
          <w:lang w:val="es-CR" w:eastAsia="es-CR"/>
        </w:rPr>
        <w:t xml:space="preserve">, </w:t>
      </w:r>
      <w:r w:rsidRPr="00B66523">
        <w:rPr>
          <w:rFonts w:cs="Arial"/>
          <w:color w:val="141414"/>
          <w:szCs w:val="20"/>
          <w:lang w:val="es-CR" w:eastAsia="es-CR"/>
        </w:rPr>
        <w:t xml:space="preserve">además de </w:t>
      </w:r>
      <w:r w:rsidR="00320983">
        <w:rPr>
          <w:rFonts w:cs="Arial"/>
          <w:color w:val="141414"/>
          <w:szCs w:val="20"/>
          <w:lang w:val="es-CR" w:eastAsia="es-CR"/>
        </w:rPr>
        <w:t xml:space="preserve">la </w:t>
      </w:r>
      <w:r>
        <w:rPr>
          <w:rFonts w:cs="Arial"/>
          <w:color w:val="141414"/>
          <w:szCs w:val="20"/>
          <w:lang w:val="es-CR" w:eastAsia="es-CR"/>
        </w:rPr>
        <w:t>aquiescencia y colaboració</w:t>
      </w:r>
      <w:r w:rsidRPr="00B66523">
        <w:rPr>
          <w:rFonts w:cs="Arial"/>
          <w:color w:val="141414"/>
          <w:szCs w:val="20"/>
          <w:lang w:val="es-CR" w:eastAsia="es-CR"/>
        </w:rPr>
        <w:t>n, un incumplimiento del deber de garantía, in</w:t>
      </w:r>
      <w:r w:rsidRPr="00B66523">
        <w:rPr>
          <w:rFonts w:cs="Arial"/>
          <w:color w:val="3A3A3A"/>
          <w:szCs w:val="20"/>
          <w:lang w:val="es-CR" w:eastAsia="es-CR"/>
        </w:rPr>
        <w:t>c</w:t>
      </w:r>
      <w:r w:rsidRPr="00B66523">
        <w:rPr>
          <w:rFonts w:cs="Arial"/>
          <w:color w:val="141414"/>
          <w:szCs w:val="20"/>
          <w:lang w:val="es-CR" w:eastAsia="es-CR"/>
        </w:rPr>
        <w:t>luyendo el deber de protección frente a amenazas en contra de un grupo determinado. También analizar</w:t>
      </w:r>
      <w:r>
        <w:rPr>
          <w:rFonts w:cs="Arial"/>
          <w:color w:val="141414"/>
          <w:szCs w:val="20"/>
          <w:lang w:val="es-CR" w:eastAsia="es-CR"/>
        </w:rPr>
        <w:t>ía</w:t>
      </w:r>
      <w:r w:rsidRPr="00B66523">
        <w:rPr>
          <w:rFonts w:cs="Arial"/>
          <w:color w:val="141414"/>
          <w:szCs w:val="20"/>
          <w:lang w:val="es-CR" w:eastAsia="es-CR"/>
        </w:rPr>
        <w:t xml:space="preserve"> el componente de</w:t>
      </w:r>
      <w:r>
        <w:rPr>
          <w:rFonts w:cs="Arial"/>
          <w:color w:val="141414"/>
          <w:szCs w:val="20"/>
          <w:lang w:val="es-CR" w:eastAsia="es-CR"/>
        </w:rPr>
        <w:t xml:space="preserve"> </w:t>
      </w:r>
      <w:r w:rsidRPr="00B66523">
        <w:rPr>
          <w:rFonts w:cs="Arial"/>
          <w:color w:val="141414"/>
          <w:szCs w:val="20"/>
          <w:lang w:val="es-CR" w:eastAsia="es-CR"/>
        </w:rPr>
        <w:t xml:space="preserve">investigación del deber de garantía y las implicaciones concretas del deber de investigar con debida diligencia frente a hechos interrelacionados en distintos niveles, </w:t>
      </w:r>
      <w:r w:rsidRPr="00B66523">
        <w:rPr>
          <w:rFonts w:cs="Arial"/>
          <w:color w:val="3A3A3A"/>
          <w:szCs w:val="20"/>
          <w:lang w:val="es-CR" w:eastAsia="es-CR"/>
        </w:rPr>
        <w:t>c</w:t>
      </w:r>
      <w:r w:rsidRPr="00B66523">
        <w:rPr>
          <w:rFonts w:cs="Arial"/>
          <w:color w:val="141414"/>
          <w:szCs w:val="20"/>
          <w:lang w:val="es-CR" w:eastAsia="es-CR"/>
        </w:rPr>
        <w:t>omo los que ocurrieron en el presente caso</w:t>
      </w:r>
      <w:r w:rsidR="00C05E1B">
        <w:rPr>
          <w:rFonts w:cs="Arial"/>
          <w:color w:val="141414"/>
          <w:szCs w:val="20"/>
          <w:lang w:val="es-CR" w:eastAsia="es-CR"/>
        </w:rPr>
        <w:t>”</w:t>
      </w:r>
      <w:r w:rsidRPr="00B66523">
        <w:rPr>
          <w:rFonts w:cs="Arial"/>
          <w:color w:val="141414"/>
          <w:szCs w:val="20"/>
          <w:lang w:val="es-CR" w:eastAsia="es-CR"/>
        </w:rPr>
        <w:t>. El análisis de los anteriores aspectos estar</w:t>
      </w:r>
      <w:r>
        <w:rPr>
          <w:rFonts w:cs="Arial"/>
          <w:color w:val="141414"/>
          <w:szCs w:val="20"/>
          <w:lang w:val="es-CR" w:eastAsia="es-CR"/>
        </w:rPr>
        <w:t>ía</w:t>
      </w:r>
      <w:r w:rsidR="00BC6E5F">
        <w:rPr>
          <w:rFonts w:cs="Arial"/>
          <w:color w:val="141414"/>
          <w:szCs w:val="20"/>
          <w:lang w:val="es-CR" w:eastAsia="es-CR"/>
        </w:rPr>
        <w:t xml:space="preserve"> permeado po</w:t>
      </w:r>
      <w:r w:rsidRPr="00B66523">
        <w:rPr>
          <w:rFonts w:cs="Arial"/>
          <w:color w:val="141414"/>
          <w:szCs w:val="20"/>
          <w:lang w:val="es-CR" w:eastAsia="es-CR"/>
        </w:rPr>
        <w:t>r el conte</w:t>
      </w:r>
      <w:r w:rsidRPr="00B66523">
        <w:rPr>
          <w:rFonts w:cs="Arial"/>
          <w:color w:val="3A3A3A"/>
          <w:szCs w:val="20"/>
          <w:lang w:val="es-CR" w:eastAsia="es-CR"/>
        </w:rPr>
        <w:t>x</w:t>
      </w:r>
      <w:r w:rsidRPr="00B66523">
        <w:rPr>
          <w:rFonts w:cs="Arial"/>
          <w:color w:val="141414"/>
          <w:szCs w:val="20"/>
          <w:lang w:val="es-CR" w:eastAsia="es-CR"/>
        </w:rPr>
        <w:t>to general de conflicto armado</w:t>
      </w:r>
      <w:r w:rsidRPr="00B66523">
        <w:rPr>
          <w:rFonts w:eastAsia="Times New Roman" w:cs="Verdana"/>
          <w:szCs w:val="20"/>
          <w:lang w:val="es-CL" w:eastAsia="en-US"/>
        </w:rPr>
        <w:t xml:space="preserve"> </w:t>
      </w:r>
      <w:r w:rsidRPr="00B66523">
        <w:rPr>
          <w:rFonts w:cs="Arial"/>
          <w:color w:val="141414"/>
          <w:szCs w:val="20"/>
          <w:lang w:val="es-CR" w:eastAsia="es-CR"/>
        </w:rPr>
        <w:t xml:space="preserve">interno </w:t>
      </w:r>
      <w:r w:rsidR="00BC6E5F">
        <w:rPr>
          <w:rFonts w:cs="Arial"/>
          <w:color w:val="141414"/>
          <w:szCs w:val="20"/>
          <w:lang w:val="es-CR" w:eastAsia="es-CR"/>
        </w:rPr>
        <w:t>en que tuvieron lugar los hechos</w:t>
      </w:r>
      <w:r w:rsidR="00C05E1B">
        <w:rPr>
          <w:rFonts w:ascii="Arial" w:hAnsi="Arial" w:cs="Arial"/>
          <w:color w:val="141414"/>
          <w:sz w:val="19"/>
          <w:szCs w:val="19"/>
          <w:lang w:val="es-CR" w:eastAsia="es-CR"/>
        </w:rPr>
        <w:t>.</w:t>
      </w:r>
    </w:p>
    <w:p w:rsidR="008E6216" w:rsidRPr="00BE250E" w:rsidRDefault="008E6216" w:rsidP="008E6216">
      <w:pPr>
        <w:autoSpaceDE w:val="0"/>
        <w:autoSpaceDN w:val="0"/>
        <w:adjustRightInd w:val="0"/>
        <w:spacing w:after="0"/>
        <w:rPr>
          <w:rFonts w:eastAsia="Times New Roman" w:cs="Verdana"/>
          <w:b/>
          <w:sz w:val="16"/>
          <w:szCs w:val="20"/>
          <w:lang w:val="es-CL" w:eastAsia="en-US"/>
        </w:rPr>
      </w:pPr>
    </w:p>
    <w:p w:rsidR="008E6216" w:rsidRPr="00C10415" w:rsidRDefault="008E6216" w:rsidP="008E6216">
      <w:pPr>
        <w:numPr>
          <w:ilvl w:val="0"/>
          <w:numId w:val="1"/>
        </w:numPr>
        <w:tabs>
          <w:tab w:val="num" w:pos="720"/>
        </w:tabs>
        <w:autoSpaceDE w:val="0"/>
        <w:autoSpaceDN w:val="0"/>
        <w:adjustRightInd w:val="0"/>
        <w:spacing w:after="0"/>
        <w:rPr>
          <w:rFonts w:eastAsia="Times New Roman" w:cs="Verdana"/>
          <w:b/>
          <w:sz w:val="16"/>
          <w:szCs w:val="20"/>
          <w:lang w:val="es-CL" w:eastAsia="en-US"/>
        </w:rPr>
      </w:pPr>
      <w:r>
        <w:rPr>
          <w:rFonts w:eastAsia="Times New Roman" w:cs="Verdana"/>
          <w:szCs w:val="20"/>
          <w:lang w:val="es-CL" w:eastAsia="en-US"/>
        </w:rPr>
        <w:t xml:space="preserve">La Comisión consideró que el peritaje ofrecido se refiere a temas de orden público interamericano, toda vez que, según expresó, el caso permitiría a la Corte profundizar su jurisprudencia sobre la responsabilidad internacional del Estado frente a diversos </w:t>
      </w:r>
      <w:r w:rsidRPr="00C10415">
        <w:rPr>
          <w:rFonts w:eastAsia="Times New Roman" w:cs="Verdana"/>
          <w:szCs w:val="20"/>
          <w:lang w:val="es-CL" w:eastAsia="en-US"/>
        </w:rPr>
        <w:t>supuestos de colaboración y aquiescencia entre agentes estatales y c</w:t>
      </w:r>
      <w:r w:rsidR="00BC6E5F">
        <w:rPr>
          <w:rFonts w:eastAsia="Times New Roman" w:cs="Verdana"/>
          <w:szCs w:val="20"/>
          <w:lang w:val="es-CL" w:eastAsia="en-US"/>
        </w:rPr>
        <w:t>iertos actores no estatales. Además, según la Comisión, la Corte</w:t>
      </w:r>
      <w:r w:rsidRPr="00C10415">
        <w:rPr>
          <w:rFonts w:eastAsia="Times New Roman" w:cs="Verdana"/>
          <w:szCs w:val="20"/>
          <w:lang w:val="es-CL" w:eastAsia="en-US"/>
        </w:rPr>
        <w:t xml:space="preserve"> </w:t>
      </w:r>
      <w:r w:rsidR="00BC6E5F">
        <w:rPr>
          <w:rFonts w:eastAsia="Times New Roman" w:cs="Verdana"/>
          <w:szCs w:val="20"/>
          <w:lang w:val="es-CL" w:eastAsia="en-US"/>
        </w:rPr>
        <w:t xml:space="preserve">podría </w:t>
      </w:r>
      <w:r w:rsidRPr="00C10415">
        <w:rPr>
          <w:rFonts w:eastAsia="Times New Roman" w:cs="Verdana"/>
          <w:szCs w:val="20"/>
          <w:lang w:val="es-CL" w:eastAsia="en-US"/>
        </w:rPr>
        <w:t>analizar la existencia de un contexto en una zona determinada de aquiescencia y colaboración</w:t>
      </w:r>
      <w:r w:rsidR="00BC6E5F">
        <w:rPr>
          <w:rFonts w:eastAsia="Times New Roman" w:cs="Verdana"/>
          <w:szCs w:val="20"/>
          <w:lang w:val="es-CL" w:eastAsia="en-US"/>
        </w:rPr>
        <w:t xml:space="preserve"> y los parámetros de debida diligencia que deben ser observados en un caso con dichas particularidades</w:t>
      </w:r>
      <w:r w:rsidRPr="00C10415">
        <w:rPr>
          <w:rFonts w:eastAsia="Times New Roman" w:cs="Verdana"/>
          <w:szCs w:val="20"/>
          <w:lang w:val="es-CL" w:eastAsia="en-US"/>
        </w:rPr>
        <w:t>.</w:t>
      </w:r>
    </w:p>
    <w:p w:rsidR="008E6216" w:rsidRPr="00E44090" w:rsidRDefault="008E6216" w:rsidP="008E6216">
      <w:pPr>
        <w:autoSpaceDE w:val="0"/>
        <w:autoSpaceDN w:val="0"/>
        <w:adjustRightInd w:val="0"/>
        <w:spacing w:after="0"/>
        <w:rPr>
          <w:rFonts w:eastAsia="Times New Roman" w:cs="Verdana"/>
          <w:b/>
          <w:sz w:val="16"/>
          <w:szCs w:val="20"/>
          <w:lang w:val="es-CL" w:eastAsia="en-US"/>
        </w:rPr>
      </w:pPr>
    </w:p>
    <w:p w:rsidR="008E6216" w:rsidRDefault="008E6216" w:rsidP="008E6216">
      <w:pPr>
        <w:numPr>
          <w:ilvl w:val="0"/>
          <w:numId w:val="1"/>
        </w:numPr>
        <w:tabs>
          <w:tab w:val="num" w:pos="720"/>
        </w:tabs>
        <w:autoSpaceDE w:val="0"/>
        <w:autoSpaceDN w:val="0"/>
        <w:adjustRightInd w:val="0"/>
        <w:spacing w:after="0"/>
        <w:rPr>
          <w:rFonts w:eastAsia="Times New Roman" w:cs="Verdana"/>
          <w:szCs w:val="20"/>
          <w:lang w:val="es-CL" w:eastAsia="en-US"/>
        </w:rPr>
      </w:pPr>
      <w:r w:rsidRPr="00E44090">
        <w:rPr>
          <w:rFonts w:eastAsia="Times New Roman" w:cs="Verdana"/>
          <w:szCs w:val="20"/>
          <w:lang w:val="es-CL" w:eastAsia="en-US"/>
        </w:rPr>
        <w:t>E</w:t>
      </w:r>
      <w:r>
        <w:rPr>
          <w:rFonts w:eastAsia="Times New Roman" w:cs="Verdana"/>
          <w:szCs w:val="20"/>
          <w:lang w:val="es-CL" w:eastAsia="en-US"/>
        </w:rPr>
        <w:t>l Estado presentó observaciones</w:t>
      </w:r>
      <w:r w:rsidRPr="00E44090">
        <w:rPr>
          <w:rFonts w:eastAsia="Times New Roman" w:cs="Verdana"/>
          <w:szCs w:val="20"/>
          <w:lang w:val="es-CL" w:eastAsia="en-US"/>
        </w:rPr>
        <w:t xml:space="preserve"> al peritaje ofrecido</w:t>
      </w:r>
      <w:r>
        <w:rPr>
          <w:rFonts w:eastAsia="Times New Roman" w:cs="Verdana"/>
          <w:szCs w:val="20"/>
          <w:lang w:val="es-CL" w:eastAsia="en-US"/>
        </w:rPr>
        <w:t xml:space="preserve"> por la Comisión Interamericana</w:t>
      </w:r>
      <w:r w:rsidR="00320983">
        <w:rPr>
          <w:rFonts w:eastAsia="Times New Roman" w:cs="Verdana"/>
          <w:szCs w:val="20"/>
          <w:lang w:val="es-CL" w:eastAsia="en-US"/>
        </w:rPr>
        <w:t>, en l</w:t>
      </w:r>
      <w:r w:rsidR="00C203CB">
        <w:rPr>
          <w:rFonts w:eastAsia="Times New Roman" w:cs="Verdana"/>
          <w:szCs w:val="20"/>
          <w:lang w:val="es-CL" w:eastAsia="en-US"/>
        </w:rPr>
        <w:t>a</w:t>
      </w:r>
      <w:r w:rsidR="00320983">
        <w:rPr>
          <w:rFonts w:eastAsia="Times New Roman" w:cs="Verdana"/>
          <w:szCs w:val="20"/>
          <w:lang w:val="es-CL" w:eastAsia="en-US"/>
        </w:rPr>
        <w:t>s cuales manifestó</w:t>
      </w:r>
      <w:r>
        <w:rPr>
          <w:rFonts w:eastAsia="Times New Roman" w:cs="Verdana"/>
          <w:szCs w:val="20"/>
          <w:lang w:val="es-CL" w:eastAsia="en-US"/>
        </w:rPr>
        <w:t xml:space="preserve"> que la Comisión no cumplió con los requisitos reglamentarios, omitiendo justificar la pertinencia de la prueba en cuestión a la luz del orden público interamericano. A su vez, el Estado </w:t>
      </w:r>
      <w:r w:rsidR="00320983">
        <w:rPr>
          <w:rFonts w:eastAsia="Times New Roman" w:cs="Verdana"/>
          <w:szCs w:val="20"/>
          <w:lang w:val="es-CL" w:eastAsia="en-US"/>
        </w:rPr>
        <w:t xml:space="preserve">entendió </w:t>
      </w:r>
      <w:r>
        <w:rPr>
          <w:rFonts w:eastAsia="Times New Roman" w:cs="Verdana"/>
          <w:szCs w:val="20"/>
          <w:lang w:val="es-CL" w:eastAsia="en-US"/>
        </w:rPr>
        <w:t xml:space="preserve">que el objeto del peritaje hace referencia a asuntos que no resultan de relevancia para el orden público interamericano, por </w:t>
      </w:r>
      <w:r>
        <w:rPr>
          <w:rFonts w:eastAsia="Times New Roman" w:cs="Verdana"/>
          <w:szCs w:val="20"/>
          <w:lang w:val="es-CL" w:eastAsia="en-US"/>
        </w:rPr>
        <w:lastRenderedPageBreak/>
        <w:t>lo que hace al conflicto armado interno, toda vez que la Corte se ha referido a este contexto previamente. Colombia indicó también que el objeto del peritaje plantea asuntos que exceden el objeto de litigio, tal como la alusión al incumplimiento del deber de garantía en lo que respecta a la protección frente a amenazas en contra de un grupo determinado.</w:t>
      </w:r>
      <w:r w:rsidR="00BC6E5F">
        <w:rPr>
          <w:rFonts w:eastAsia="Times New Roman" w:cs="Verdana"/>
          <w:szCs w:val="20"/>
          <w:lang w:val="es-CL" w:eastAsia="en-US"/>
        </w:rPr>
        <w:t xml:space="preserve"> Además que el objeto del peritaje plantea elementos que van a ser considerados por una perita ofrecida por los representantes.</w:t>
      </w:r>
    </w:p>
    <w:p w:rsidR="008E6216" w:rsidRDefault="008E6216" w:rsidP="008E6216">
      <w:pPr>
        <w:autoSpaceDE w:val="0"/>
        <w:autoSpaceDN w:val="0"/>
        <w:adjustRightInd w:val="0"/>
        <w:spacing w:after="0"/>
        <w:rPr>
          <w:rFonts w:eastAsia="Times New Roman" w:cs="Verdana"/>
          <w:szCs w:val="20"/>
          <w:lang w:val="es-CL" w:eastAsia="en-US"/>
        </w:rPr>
      </w:pPr>
    </w:p>
    <w:p w:rsidR="00FA4FF6" w:rsidRPr="000E3AE8" w:rsidRDefault="001E75E5" w:rsidP="000E3AE8">
      <w:pPr>
        <w:numPr>
          <w:ilvl w:val="0"/>
          <w:numId w:val="1"/>
        </w:numPr>
        <w:tabs>
          <w:tab w:val="num" w:pos="720"/>
        </w:tabs>
        <w:autoSpaceDE w:val="0"/>
        <w:autoSpaceDN w:val="0"/>
        <w:adjustRightInd w:val="0"/>
        <w:spacing w:after="0"/>
        <w:rPr>
          <w:rFonts w:eastAsia="Times New Roman" w:cs="Verdana"/>
          <w:szCs w:val="20"/>
          <w:lang w:val="es-CL" w:eastAsia="en-US"/>
        </w:rPr>
      </w:pPr>
      <w:r w:rsidRPr="00933483">
        <w:rPr>
          <w:rFonts w:eastAsia="Times New Roman" w:cs="Verdana"/>
          <w:szCs w:val="20"/>
          <w:lang w:val="es-CL" w:eastAsia="en-US"/>
        </w:rPr>
        <w:t>El Presidente</w:t>
      </w:r>
      <w:r w:rsidR="008E6216" w:rsidRPr="00933483">
        <w:rPr>
          <w:rFonts w:eastAsia="Times New Roman" w:cs="Verdana"/>
          <w:szCs w:val="20"/>
          <w:lang w:val="es-CL" w:eastAsia="en-US"/>
        </w:rPr>
        <w:t xml:space="preserve"> recuerda que, de</w:t>
      </w:r>
      <w:r w:rsidR="008E6216" w:rsidRPr="00933483">
        <w:t xml:space="preserve"> acuerdo con lo establecido en el artículo 35.1.f) del Reglamento, la “eventual designación de peritos” podrá ser efectuada por la Comisión Interamericana “cuando se afecte de manera relevante el orden público interamericano de los derechos humanos”, cuyo fundamento y objeto tienen que ser adecuadamente sustentados</w:t>
      </w:r>
      <w:r w:rsidR="008E6216" w:rsidRPr="00933483">
        <w:rPr>
          <w:rStyle w:val="FootnoteReference"/>
        </w:rPr>
        <w:footnoteReference w:id="2"/>
      </w:r>
      <w:r w:rsidR="008E6216" w:rsidRPr="00933483">
        <w:t>.</w:t>
      </w:r>
      <w:r w:rsidR="004926CA" w:rsidRPr="00933483">
        <w:rPr>
          <w:rFonts w:eastAsia="Times New Roman" w:cs="Verdana"/>
          <w:szCs w:val="20"/>
          <w:lang w:val="es-CL" w:eastAsia="en-US"/>
        </w:rPr>
        <w:t xml:space="preserve"> </w:t>
      </w:r>
      <w:r w:rsidR="00FA4FF6" w:rsidRPr="00933483">
        <w:rPr>
          <w:lang w:val="es-CR"/>
        </w:rPr>
        <w:t>El sentido de esta disposición hace de la designación de peritos por parte de la Comisión un hecho excepcional, sujeto a ese requisito, que no se cumple por el solo hecho de que la prueba que se procura producir tenga relación con una alegada violación de derechos humanos</w:t>
      </w:r>
      <w:r w:rsidR="00FA4FF6" w:rsidRPr="00933483">
        <w:rPr>
          <w:rStyle w:val="FootnoteReference"/>
          <w:lang w:val="es-CR"/>
        </w:rPr>
        <w:footnoteReference w:id="3"/>
      </w:r>
      <w:r w:rsidR="00FA4FF6" w:rsidRPr="00933483">
        <w:rPr>
          <w:lang w:val="es-CR"/>
        </w:rPr>
        <w:t>.</w:t>
      </w:r>
    </w:p>
    <w:p w:rsidR="000E3AE8" w:rsidRDefault="000E3AE8" w:rsidP="000E3AE8">
      <w:pPr>
        <w:pStyle w:val="ListParagraph"/>
        <w:spacing w:after="0"/>
        <w:rPr>
          <w:rFonts w:eastAsia="Times New Roman" w:cs="Verdana"/>
          <w:szCs w:val="20"/>
          <w:lang w:val="es-CL" w:eastAsia="en-US"/>
        </w:rPr>
      </w:pPr>
    </w:p>
    <w:p w:rsidR="00933483" w:rsidRPr="00C51C8C" w:rsidRDefault="00933483" w:rsidP="00933483">
      <w:pPr>
        <w:numPr>
          <w:ilvl w:val="0"/>
          <w:numId w:val="1"/>
        </w:numPr>
        <w:tabs>
          <w:tab w:val="num" w:pos="720"/>
        </w:tabs>
        <w:autoSpaceDE w:val="0"/>
        <w:autoSpaceDN w:val="0"/>
        <w:adjustRightInd w:val="0"/>
        <w:spacing w:after="0"/>
        <w:rPr>
          <w:rFonts w:eastAsia="Times New Roman" w:cs="Verdana"/>
          <w:szCs w:val="20"/>
          <w:lang w:val="es-CL" w:eastAsia="en-US"/>
        </w:rPr>
      </w:pPr>
      <w:r w:rsidRPr="00B10122">
        <w:t>Esta Presidencia estima que el peritaje de Alejandro Valencia Villa resulta relevante para el orden público interamericano, debido a que implica un análisis y profundización de estándares internacionales frente a diversos supuestos de colaboración y aquiescencia entre agentes estatales y ciertos actores no estatales</w:t>
      </w:r>
      <w:r w:rsidR="00C51C8C">
        <w:rPr>
          <w:rStyle w:val="FootnoteReference"/>
        </w:rPr>
        <w:footnoteReference w:id="4"/>
      </w:r>
      <w:r w:rsidRPr="00B10122">
        <w:t xml:space="preserve">. </w:t>
      </w:r>
      <w:r w:rsidR="00B10122">
        <w:t>Asimismo, e</w:t>
      </w:r>
      <w:r w:rsidRPr="00B10122">
        <w:t>l peritaje propuesto trasciende los intereses específicos de las partes en el proceso y pueden, eventualmente, tener impacto sobre situaciones que se p</w:t>
      </w:r>
      <w:r w:rsidR="00C51C8C">
        <w:t>resentan en otros Estados Parte</w:t>
      </w:r>
      <w:r w:rsidRPr="00B10122">
        <w:t xml:space="preserve"> de la Convención</w:t>
      </w:r>
      <w:r w:rsidRPr="00B10122">
        <w:rPr>
          <w:rStyle w:val="FootnoteReference"/>
        </w:rPr>
        <w:footnoteReference w:id="5"/>
      </w:r>
      <w:r w:rsidRPr="00B10122">
        <w:t>.</w:t>
      </w:r>
      <w:r w:rsidR="006B5F5D" w:rsidRPr="006B5F5D">
        <w:t xml:space="preserve"> </w:t>
      </w:r>
    </w:p>
    <w:p w:rsidR="00C51C8C" w:rsidRPr="00C51C8C" w:rsidRDefault="00C51C8C" w:rsidP="00C51C8C">
      <w:pPr>
        <w:autoSpaceDE w:val="0"/>
        <w:autoSpaceDN w:val="0"/>
        <w:adjustRightInd w:val="0"/>
        <w:spacing w:after="0"/>
        <w:rPr>
          <w:rFonts w:eastAsia="Times New Roman" w:cs="Verdana"/>
          <w:szCs w:val="20"/>
          <w:lang w:val="es-CL" w:eastAsia="en-US"/>
        </w:rPr>
      </w:pPr>
    </w:p>
    <w:p w:rsidR="00933483" w:rsidRPr="00B10122" w:rsidRDefault="00C51C8C" w:rsidP="00933483">
      <w:pPr>
        <w:numPr>
          <w:ilvl w:val="0"/>
          <w:numId w:val="1"/>
        </w:numPr>
        <w:tabs>
          <w:tab w:val="num" w:pos="720"/>
        </w:tabs>
        <w:autoSpaceDE w:val="0"/>
        <w:autoSpaceDN w:val="0"/>
        <w:adjustRightInd w:val="0"/>
        <w:spacing w:after="0"/>
        <w:rPr>
          <w:rFonts w:eastAsia="Times New Roman" w:cs="Verdana"/>
          <w:szCs w:val="20"/>
          <w:lang w:val="es-CL" w:eastAsia="en-US"/>
        </w:rPr>
      </w:pPr>
      <w:r>
        <w:t>En consecuencia</w:t>
      </w:r>
      <w:r w:rsidR="00933483" w:rsidRPr="00B10122">
        <w:t>, el Presidente admite el dictamen pericial de Alejandro Valencia Villa según el objeto y modalidad determinados en la parte resolutiva de esta decisión.</w:t>
      </w:r>
    </w:p>
    <w:p w:rsidR="008E6216" w:rsidRDefault="008E6216" w:rsidP="008E6216">
      <w:pPr>
        <w:pStyle w:val="ListParagraph1"/>
        <w:ind w:left="90" w:right="11"/>
        <w:jc w:val="both"/>
        <w:rPr>
          <w:rFonts w:ascii="Verdana" w:hAnsi="Verdana"/>
          <w:b/>
          <w:sz w:val="20"/>
          <w:szCs w:val="20"/>
          <w:lang w:val="es-CR"/>
        </w:rPr>
      </w:pPr>
    </w:p>
    <w:p w:rsidR="008E6216" w:rsidRPr="00187092" w:rsidRDefault="008E6216" w:rsidP="008E6216">
      <w:pPr>
        <w:pStyle w:val="ListParagraph1"/>
        <w:numPr>
          <w:ilvl w:val="0"/>
          <w:numId w:val="2"/>
        </w:numPr>
        <w:ind w:right="11"/>
        <w:jc w:val="both"/>
        <w:rPr>
          <w:rFonts w:ascii="Verdana" w:hAnsi="Verdana"/>
          <w:b/>
          <w:sz w:val="20"/>
          <w:szCs w:val="20"/>
          <w:lang w:val="es-CR"/>
        </w:rPr>
      </w:pPr>
      <w:r w:rsidRPr="00187092">
        <w:rPr>
          <w:rFonts w:ascii="Verdana" w:hAnsi="Verdana"/>
          <w:b/>
          <w:sz w:val="20"/>
          <w:szCs w:val="20"/>
          <w:lang w:val="es-CR"/>
        </w:rPr>
        <w:t>Solicitud de sustitución de Olga Lucía Gaitán</w:t>
      </w:r>
      <w:r>
        <w:rPr>
          <w:rFonts w:ascii="Verdana" w:hAnsi="Verdana"/>
          <w:b/>
          <w:sz w:val="20"/>
          <w:szCs w:val="20"/>
          <w:lang w:val="es-CR"/>
        </w:rPr>
        <w:t xml:space="preserve"> como perita</w:t>
      </w:r>
    </w:p>
    <w:p w:rsidR="008E6216" w:rsidRPr="00187092" w:rsidRDefault="008E6216" w:rsidP="008E6216">
      <w:pPr>
        <w:autoSpaceDE w:val="0"/>
        <w:autoSpaceDN w:val="0"/>
        <w:adjustRightInd w:val="0"/>
        <w:spacing w:after="0"/>
        <w:rPr>
          <w:rFonts w:eastAsia="Times New Roman" w:cs="Verdana"/>
          <w:szCs w:val="20"/>
          <w:lang w:val="es-CR" w:eastAsia="en-US"/>
        </w:rPr>
      </w:pPr>
    </w:p>
    <w:p w:rsidR="008E6216" w:rsidRPr="00DA7082" w:rsidRDefault="008E6216" w:rsidP="008E6216">
      <w:pPr>
        <w:numPr>
          <w:ilvl w:val="0"/>
          <w:numId w:val="1"/>
        </w:numPr>
        <w:tabs>
          <w:tab w:val="num" w:pos="720"/>
        </w:tabs>
        <w:autoSpaceDE w:val="0"/>
        <w:autoSpaceDN w:val="0"/>
        <w:adjustRightInd w:val="0"/>
        <w:spacing w:after="0"/>
        <w:rPr>
          <w:rFonts w:eastAsia="Times New Roman" w:cs="Verdana"/>
          <w:szCs w:val="20"/>
          <w:lang w:val="es-CL" w:eastAsia="en-US"/>
        </w:rPr>
      </w:pPr>
      <w:r w:rsidRPr="00DA7082">
        <w:rPr>
          <w:szCs w:val="20"/>
        </w:rPr>
        <w:t>En su escrito de solicitudes y argumentos los representantes ofrecieron la declaración pericial de la señora Olga Lucía Gaitán, para que declare sobre estándares de debida diligencia en la investigación penal de casos de graves violaciones a los derechos humanos en las que estén involucrados agentes estatales y grupos paramilitares. En su lista definitiva de declarantes confirmaron dicho ofrecimiento. No obstante, el 7 de abril, al presentar observaciones sobre las listas definitivas del Estado y de la Comisión, los representantes informaron que la perit</w:t>
      </w:r>
      <w:r w:rsidR="00C05E1B">
        <w:rPr>
          <w:szCs w:val="20"/>
        </w:rPr>
        <w:t>a</w:t>
      </w:r>
      <w:r w:rsidRPr="00DA7082">
        <w:rPr>
          <w:szCs w:val="20"/>
        </w:rPr>
        <w:t xml:space="preserve"> Gaitán no podrá realizar el peritaje, “por la imposibilidad de rendir la experticia que le había sido encargada dentro del lapso de las probables fechas programadas para la Audiencia Pública” y solicitaron su re</w:t>
      </w:r>
      <w:r w:rsidR="00C05E1B">
        <w:rPr>
          <w:szCs w:val="20"/>
        </w:rPr>
        <w:t>e</w:t>
      </w:r>
      <w:r w:rsidRPr="00DA7082">
        <w:rPr>
          <w:szCs w:val="20"/>
        </w:rPr>
        <w:t xml:space="preserve">mplazo por el señor </w:t>
      </w:r>
      <w:r w:rsidRPr="00DA7082">
        <w:rPr>
          <w:rFonts w:eastAsia="Times New Roman" w:cs="Verdana"/>
          <w:szCs w:val="20"/>
          <w:lang w:val="es-CL" w:eastAsia="en-US"/>
        </w:rPr>
        <w:t>Iván González Amado</w:t>
      </w:r>
      <w:r w:rsidRPr="00DA7082">
        <w:rPr>
          <w:szCs w:val="20"/>
        </w:rPr>
        <w:t xml:space="preserve">, manteniendo el mismo objeto del peritaje. En ese acto, presentaron la hoja de vida del señor González Amado, así como un escrito suscrito por la señora Gaitán, en que ella manifestó que </w:t>
      </w:r>
      <w:r w:rsidRPr="00DA7082">
        <w:rPr>
          <w:rFonts w:eastAsia="Times New Roman" w:cs="Verdana"/>
          <w:szCs w:val="20"/>
          <w:lang w:val="es-CL" w:eastAsia="en-US"/>
        </w:rPr>
        <w:t>“</w:t>
      </w:r>
      <w:r w:rsidRPr="008646FE">
        <w:rPr>
          <w:rFonts w:eastAsiaTheme="minorHAnsi" w:cs="Calibri"/>
          <w:szCs w:val="20"/>
          <w:lang w:val="es-CR" w:eastAsia="en-US"/>
        </w:rPr>
        <w:t xml:space="preserve">h[a] asumido compromisos académicos y </w:t>
      </w:r>
      <w:r w:rsidRPr="008646FE">
        <w:rPr>
          <w:rFonts w:eastAsiaTheme="minorHAnsi" w:cs="Calibri"/>
          <w:szCs w:val="20"/>
          <w:lang w:val="es-CR" w:eastAsia="en-US"/>
        </w:rPr>
        <w:lastRenderedPageBreak/>
        <w:t xml:space="preserve">laborales fuera de Colombia que [le] impiden disponer del tiempo y de la capacidad para comparecer como </w:t>
      </w:r>
      <w:proofErr w:type="spellStart"/>
      <w:r w:rsidRPr="008646FE">
        <w:rPr>
          <w:rFonts w:eastAsiaTheme="minorHAnsi" w:cs="Calibri"/>
          <w:szCs w:val="20"/>
          <w:lang w:val="es-CR" w:eastAsia="en-US"/>
        </w:rPr>
        <w:t>perit</w:t>
      </w:r>
      <w:proofErr w:type="spellEnd"/>
      <w:r w:rsidRPr="008646FE">
        <w:rPr>
          <w:rFonts w:eastAsiaTheme="minorHAnsi" w:cs="Calibri"/>
          <w:szCs w:val="20"/>
          <w:lang w:val="es-CR" w:eastAsia="en-US"/>
        </w:rPr>
        <w:t xml:space="preserve">[a] y para rendir el dictamen propuesto […] dentro del lapso de tiempo comprendido entre abril y mayo del año en curso”. </w:t>
      </w:r>
    </w:p>
    <w:p w:rsidR="008E6216" w:rsidRDefault="008E6216" w:rsidP="008E6216">
      <w:pPr>
        <w:autoSpaceDE w:val="0"/>
        <w:autoSpaceDN w:val="0"/>
        <w:adjustRightInd w:val="0"/>
        <w:spacing w:after="0"/>
        <w:rPr>
          <w:rFonts w:eastAsia="Times New Roman" w:cs="Verdana"/>
          <w:szCs w:val="20"/>
          <w:lang w:val="es-CL" w:eastAsia="en-US"/>
        </w:rPr>
      </w:pPr>
    </w:p>
    <w:p w:rsidR="008E6216" w:rsidRPr="00C05E1B" w:rsidRDefault="008E6216" w:rsidP="008E6216">
      <w:pPr>
        <w:numPr>
          <w:ilvl w:val="0"/>
          <w:numId w:val="1"/>
        </w:numPr>
        <w:tabs>
          <w:tab w:val="num" w:pos="720"/>
        </w:tabs>
        <w:autoSpaceDE w:val="0"/>
        <w:autoSpaceDN w:val="0"/>
        <w:adjustRightInd w:val="0"/>
        <w:spacing w:after="0"/>
        <w:rPr>
          <w:rFonts w:eastAsia="Times New Roman" w:cs="Verdana"/>
          <w:szCs w:val="20"/>
          <w:lang w:val="es-CL" w:eastAsia="en-US"/>
        </w:rPr>
      </w:pPr>
      <w:r w:rsidRPr="00C05E1B">
        <w:t>Al r</w:t>
      </w:r>
      <w:r w:rsidR="00FA4A5A" w:rsidRPr="00C05E1B">
        <w:t>especto, el Estado reiteró las observaciones formuladas el 7 de abril de 2017, referidas al objeto del peritaje que rendiría Olga Lucía Gaitán, donde señaló que “una de las partes del peritaje tiene por objeto referirse a cuestiones suficientemente desarrolladas por el Tribunal”</w:t>
      </w:r>
      <w:r w:rsidR="00C05E1B">
        <w:t>. Asimismo manifestó que dos fragmentos del objeto del dictamen,</w:t>
      </w:r>
      <w:r w:rsidR="00FA4A5A" w:rsidRPr="00C05E1B">
        <w:t xml:space="preserve"> excede</w:t>
      </w:r>
      <w:r w:rsidR="00C05E1B">
        <w:t>n</w:t>
      </w:r>
      <w:r w:rsidR="00FA4A5A" w:rsidRPr="00C05E1B">
        <w:t xml:space="preserve"> el marco fáctico del caso, y adicionalmente</w:t>
      </w:r>
      <w:r w:rsidR="001D7F08">
        <w:t>, en una de ellas reproduce</w:t>
      </w:r>
      <w:r w:rsidR="00FA4A5A" w:rsidRPr="00C05E1B">
        <w:t xml:space="preserve"> parcialmente el trabajo de dos peritos</w:t>
      </w:r>
      <w:r w:rsidRPr="00C05E1B">
        <w:t xml:space="preserve">. </w:t>
      </w:r>
    </w:p>
    <w:p w:rsidR="00FA4A5A" w:rsidRPr="00095AF2" w:rsidRDefault="00FA4A5A" w:rsidP="00FA4A5A">
      <w:pPr>
        <w:autoSpaceDE w:val="0"/>
        <w:autoSpaceDN w:val="0"/>
        <w:adjustRightInd w:val="0"/>
        <w:spacing w:after="0"/>
        <w:rPr>
          <w:rFonts w:eastAsia="Times New Roman" w:cs="Verdana"/>
          <w:szCs w:val="20"/>
          <w:highlight w:val="cyan"/>
          <w:lang w:val="es-CL" w:eastAsia="en-US"/>
        </w:rPr>
      </w:pPr>
    </w:p>
    <w:p w:rsidR="008E6216" w:rsidRPr="00C05E1B" w:rsidRDefault="00FA4A5A" w:rsidP="00FA4A5A">
      <w:pPr>
        <w:numPr>
          <w:ilvl w:val="0"/>
          <w:numId w:val="1"/>
        </w:numPr>
        <w:tabs>
          <w:tab w:val="num" w:pos="720"/>
        </w:tabs>
        <w:autoSpaceDE w:val="0"/>
        <w:autoSpaceDN w:val="0"/>
        <w:adjustRightInd w:val="0"/>
        <w:spacing w:after="0"/>
        <w:rPr>
          <w:rFonts w:eastAsia="Times New Roman" w:cs="Verdana"/>
          <w:szCs w:val="20"/>
          <w:lang w:val="es-CL" w:eastAsia="en-US"/>
        </w:rPr>
      </w:pPr>
      <w:r w:rsidRPr="00C05E1B">
        <w:rPr>
          <w:rFonts w:eastAsia="Times New Roman" w:cs="Verdana"/>
          <w:szCs w:val="20"/>
          <w:lang w:val="es-CL" w:eastAsia="en-US"/>
        </w:rPr>
        <w:t xml:space="preserve">La Comisión consideró que teniendo en cuenta la relevancia del objeto de la declaración a ser cubierta por la perita, resultaría útil aceptar la sustitución solicitada por los representantes. </w:t>
      </w:r>
    </w:p>
    <w:p w:rsidR="00FA4A5A" w:rsidRPr="001D7F08" w:rsidRDefault="00FA4A5A" w:rsidP="00FA4A5A">
      <w:pPr>
        <w:autoSpaceDE w:val="0"/>
        <w:autoSpaceDN w:val="0"/>
        <w:adjustRightInd w:val="0"/>
        <w:spacing w:after="0"/>
        <w:rPr>
          <w:rFonts w:eastAsia="Times New Roman" w:cs="Verdana"/>
          <w:szCs w:val="20"/>
          <w:lang w:val="es-CL" w:eastAsia="en-US"/>
        </w:rPr>
      </w:pPr>
    </w:p>
    <w:p w:rsidR="00C05E1B" w:rsidRPr="001D7F08" w:rsidRDefault="008E6216" w:rsidP="008E6216">
      <w:pPr>
        <w:numPr>
          <w:ilvl w:val="0"/>
          <w:numId w:val="1"/>
        </w:numPr>
        <w:tabs>
          <w:tab w:val="num" w:pos="720"/>
        </w:tabs>
        <w:autoSpaceDE w:val="0"/>
        <w:autoSpaceDN w:val="0"/>
        <w:adjustRightInd w:val="0"/>
        <w:spacing w:after="0"/>
        <w:rPr>
          <w:rFonts w:eastAsia="Times New Roman" w:cs="Verdana"/>
          <w:szCs w:val="20"/>
          <w:lang w:val="es-CL" w:eastAsia="en-US"/>
        </w:rPr>
      </w:pPr>
      <w:r w:rsidRPr="001D7F08">
        <w:t>Esta Presidencia advierte que el pedido de los representantes debe ser analizado de acuerdo a lo estipulado en el artículo 49 del Reglamento del Tribunal</w:t>
      </w:r>
      <w:r w:rsidRPr="001D7F08">
        <w:rPr>
          <w:rStyle w:val="FootnoteReference"/>
        </w:rPr>
        <w:footnoteReference w:id="6"/>
      </w:r>
      <w:r w:rsidRPr="001D7F08">
        <w:t>. Lo relevante para considerar una solicitud de sustitución “fundada” es que se expliquen los motivos o razones excepcionales por los cuales la persona ofrecida no podrá rendir la declaración</w:t>
      </w:r>
      <w:r w:rsidRPr="001D7F08">
        <w:rPr>
          <w:rStyle w:val="FootnoteReference"/>
        </w:rPr>
        <w:footnoteReference w:id="7"/>
      </w:r>
      <w:r w:rsidRPr="001D7F08">
        <w:t xml:space="preserve">. </w:t>
      </w:r>
    </w:p>
    <w:p w:rsidR="00C05E1B" w:rsidRPr="001E75E5" w:rsidRDefault="00C05E1B" w:rsidP="00C05E1B">
      <w:pPr>
        <w:autoSpaceDE w:val="0"/>
        <w:autoSpaceDN w:val="0"/>
        <w:adjustRightInd w:val="0"/>
        <w:spacing w:after="0"/>
        <w:rPr>
          <w:rFonts w:eastAsia="Times New Roman" w:cs="Verdana"/>
          <w:szCs w:val="20"/>
          <w:highlight w:val="yellow"/>
          <w:lang w:val="es-CL" w:eastAsia="en-US"/>
        </w:rPr>
      </w:pPr>
    </w:p>
    <w:p w:rsidR="00A84021" w:rsidRDefault="00800533" w:rsidP="00A84021">
      <w:pPr>
        <w:numPr>
          <w:ilvl w:val="0"/>
          <w:numId w:val="1"/>
        </w:numPr>
        <w:tabs>
          <w:tab w:val="num" w:pos="720"/>
        </w:tabs>
        <w:autoSpaceDE w:val="0"/>
        <w:autoSpaceDN w:val="0"/>
        <w:adjustRightInd w:val="0"/>
        <w:spacing w:after="0"/>
        <w:rPr>
          <w:rFonts w:eastAsia="Times New Roman" w:cs="Verdana"/>
          <w:szCs w:val="20"/>
          <w:lang w:val="es-CL" w:eastAsia="en-US"/>
        </w:rPr>
      </w:pPr>
      <w:r w:rsidRPr="00733D5C">
        <w:t>E</w:t>
      </w:r>
      <w:r w:rsidR="00C05E1B" w:rsidRPr="00733D5C">
        <w:t>n lo que se refiere a la perita Olga Lucia Gaitán, esta Presidencia constata que la solicitud de sustitución observa los requerimientos estipulados en el artículo 49 del Reglamento d</w:t>
      </w:r>
      <w:r w:rsidRPr="00733D5C">
        <w:t>el Tribunal. En efecto, los represen</w:t>
      </w:r>
      <w:r w:rsidR="001D7F08" w:rsidRPr="00733D5C">
        <w:t>tan</w:t>
      </w:r>
      <w:r w:rsidRPr="00733D5C">
        <w:t>tes proporcionaron</w:t>
      </w:r>
      <w:r w:rsidR="00C05E1B" w:rsidRPr="00733D5C">
        <w:t xml:space="preserve"> una explicación</w:t>
      </w:r>
      <w:r w:rsidR="00F450BF" w:rsidRPr="00733D5C">
        <w:t xml:space="preserve"> suficiente</w:t>
      </w:r>
      <w:r w:rsidR="00C05E1B" w:rsidRPr="00733D5C">
        <w:t xml:space="preserve"> de los motivos por las cuales </w:t>
      </w:r>
      <w:r w:rsidRPr="00733D5C">
        <w:t xml:space="preserve">la señora Gaitán </w:t>
      </w:r>
      <w:r w:rsidR="00C05E1B" w:rsidRPr="00733D5C">
        <w:t xml:space="preserve">no </w:t>
      </w:r>
      <w:r w:rsidRPr="00733D5C">
        <w:t>podría rendir dictamen pericial</w:t>
      </w:r>
      <w:r w:rsidR="00771EDC" w:rsidRPr="00733D5C">
        <w:t xml:space="preserve"> y</w:t>
      </w:r>
      <w:r w:rsidR="00F450BF" w:rsidRPr="00733D5C">
        <w:t>, en su pedido de sustitución,</w:t>
      </w:r>
      <w:r w:rsidR="00771EDC" w:rsidRPr="00733D5C">
        <w:t xml:space="preserve"> </w:t>
      </w:r>
      <w:r w:rsidR="00F450BF" w:rsidRPr="00733D5C">
        <w:t>no alteraron</w:t>
      </w:r>
      <w:r w:rsidR="00771EDC" w:rsidRPr="00733D5C">
        <w:t xml:space="preserve"> el objeto del peritaje originalmente ofrecido</w:t>
      </w:r>
      <w:r w:rsidR="0037650D">
        <w:t xml:space="preserve">. </w:t>
      </w:r>
      <w:r w:rsidR="00012FBB" w:rsidRPr="00733D5C">
        <w:t xml:space="preserve">De igual forma se advierte que ni la Comisión ni el Estado se opusieron a tal sustitución. </w:t>
      </w:r>
    </w:p>
    <w:p w:rsidR="00A84021" w:rsidRPr="00A84021" w:rsidRDefault="00A84021" w:rsidP="00A84021">
      <w:pPr>
        <w:autoSpaceDE w:val="0"/>
        <w:autoSpaceDN w:val="0"/>
        <w:adjustRightInd w:val="0"/>
        <w:spacing w:after="0"/>
        <w:rPr>
          <w:rFonts w:eastAsia="Times New Roman" w:cs="Verdana"/>
          <w:szCs w:val="20"/>
          <w:lang w:val="es-CL" w:eastAsia="en-US"/>
        </w:rPr>
      </w:pPr>
    </w:p>
    <w:p w:rsidR="00012FBB" w:rsidRPr="00A84021" w:rsidRDefault="00012FBB" w:rsidP="00A84021">
      <w:pPr>
        <w:numPr>
          <w:ilvl w:val="0"/>
          <w:numId w:val="1"/>
        </w:numPr>
        <w:tabs>
          <w:tab w:val="num" w:pos="720"/>
        </w:tabs>
        <w:autoSpaceDE w:val="0"/>
        <w:autoSpaceDN w:val="0"/>
        <w:adjustRightInd w:val="0"/>
        <w:spacing w:after="0"/>
        <w:rPr>
          <w:rFonts w:eastAsia="Times New Roman" w:cs="Verdana"/>
          <w:szCs w:val="20"/>
          <w:lang w:val="es-CL" w:eastAsia="en-US"/>
        </w:rPr>
      </w:pPr>
      <w:r w:rsidRPr="00733D5C">
        <w:t xml:space="preserve">En razón de lo anterior, de conformidad con el artículo 49 del Reglamento, se admite la sustitución del peritaje de la señora Olga Lucía Gaitán por el del señor </w:t>
      </w:r>
      <w:r w:rsidRPr="00A84021">
        <w:rPr>
          <w:rFonts w:eastAsia="Times New Roman" w:cs="Verdana"/>
          <w:szCs w:val="20"/>
          <w:lang w:val="es-CL" w:eastAsia="en-US"/>
        </w:rPr>
        <w:t>Iván González Amado con el objeto originalmente propuesto.</w:t>
      </w:r>
      <w:r w:rsidRPr="00733D5C">
        <w:t xml:space="preserve"> </w:t>
      </w:r>
    </w:p>
    <w:p w:rsidR="00012FBB" w:rsidRPr="00012FBB" w:rsidRDefault="00012FBB" w:rsidP="00012FBB">
      <w:pPr>
        <w:autoSpaceDE w:val="0"/>
        <w:autoSpaceDN w:val="0"/>
        <w:adjustRightInd w:val="0"/>
        <w:spacing w:after="0"/>
        <w:rPr>
          <w:rFonts w:eastAsia="Times New Roman" w:cs="Verdana"/>
          <w:szCs w:val="20"/>
          <w:lang w:val="es-CL" w:eastAsia="en-US"/>
        </w:rPr>
      </w:pPr>
    </w:p>
    <w:p w:rsidR="0037650D" w:rsidRPr="00012FBB" w:rsidRDefault="00A84021" w:rsidP="0037650D">
      <w:pPr>
        <w:numPr>
          <w:ilvl w:val="0"/>
          <w:numId w:val="1"/>
        </w:numPr>
        <w:tabs>
          <w:tab w:val="num" w:pos="720"/>
        </w:tabs>
        <w:autoSpaceDE w:val="0"/>
        <w:autoSpaceDN w:val="0"/>
        <w:adjustRightInd w:val="0"/>
        <w:spacing w:after="0"/>
        <w:rPr>
          <w:rFonts w:eastAsia="Times New Roman" w:cs="Verdana"/>
          <w:szCs w:val="20"/>
          <w:lang w:val="es-CL" w:eastAsia="en-US"/>
        </w:rPr>
      </w:pPr>
      <w:r>
        <w:rPr>
          <w:lang w:val="es-CL"/>
        </w:rPr>
        <w:t xml:space="preserve">Dado </w:t>
      </w:r>
      <w:r w:rsidR="00012FBB">
        <w:rPr>
          <w:lang w:val="es-CL"/>
        </w:rPr>
        <w:t xml:space="preserve">que se admite la sustitución con el objeto propuesto originalmente, esta Presidencia considera necesario referirse a las observaciones planteadas por el Estado en relación con el mismo. </w:t>
      </w:r>
      <w:r w:rsidR="00012FBB">
        <w:t>En primer lugar, en cuanto a lo alegado en relación con el hecho de que la materia del peritaje ya ha sido desarrollada por este Tribunal,</w:t>
      </w:r>
      <w:r w:rsidR="0037650D">
        <w:t xml:space="preserve"> el Presidente recuerda que c</w:t>
      </w:r>
      <w:r w:rsidR="0037650D" w:rsidRPr="00DA3ABD">
        <w:t>omo se ha señalado en otros casos</w:t>
      </w:r>
      <w:r w:rsidR="0037650D">
        <w:t>,</w:t>
      </w:r>
      <w:r w:rsidR="0037650D" w:rsidRPr="00CE634B">
        <w:t xml:space="preserve"> </w:t>
      </w:r>
      <w:r w:rsidR="0037650D" w:rsidRPr="0003632E">
        <w:t>corresponde a cada parte determinar su estrategia de litigio</w:t>
      </w:r>
      <w:r w:rsidR="0037650D" w:rsidRPr="0003632E">
        <w:rPr>
          <w:vertAlign w:val="superscript"/>
        </w:rPr>
        <w:footnoteReference w:id="8"/>
      </w:r>
      <w:r w:rsidR="0037650D" w:rsidRPr="0003632E">
        <w:t xml:space="preserve"> y, por ende, las partes </w:t>
      </w:r>
      <w:r w:rsidR="0037650D" w:rsidRPr="007A2497">
        <w:t xml:space="preserve">tienen la potestad de </w:t>
      </w:r>
      <w:r w:rsidR="0037650D" w:rsidRPr="0003632E">
        <w:t>ofrecer la prueba que estimen pertinente y relevante en el marco del procedimiento ante la Corte</w:t>
      </w:r>
      <w:r w:rsidR="00BB0E7F">
        <w:rPr>
          <w:rStyle w:val="FootnoteReference"/>
        </w:rPr>
        <w:footnoteReference w:id="9"/>
      </w:r>
      <w:r w:rsidR="00012FBB">
        <w:t xml:space="preserve">. </w:t>
      </w:r>
      <w:r>
        <w:t xml:space="preserve">En segundo lugar, respecto al </w:t>
      </w:r>
      <w:r w:rsidR="00012FBB">
        <w:t xml:space="preserve">argumento de que el objeto excede el marco fáctico de este caso, esta Presidencia </w:t>
      </w:r>
      <w:r w:rsidR="00012FBB">
        <w:rPr>
          <w:lang w:val="es-CR"/>
        </w:rPr>
        <w:t>señala que</w:t>
      </w:r>
      <w:r w:rsidR="00012FBB" w:rsidRPr="0003632E">
        <w:rPr>
          <w:lang w:val="es-CR"/>
        </w:rPr>
        <w:t xml:space="preserve"> </w:t>
      </w:r>
      <w:r w:rsidR="00012FBB">
        <w:rPr>
          <w:lang w:val="es-CR"/>
        </w:rPr>
        <w:t xml:space="preserve">la Corte </w:t>
      </w:r>
      <w:r w:rsidR="00012FBB" w:rsidRPr="0003632E">
        <w:rPr>
          <w:lang w:val="es-CR"/>
        </w:rPr>
        <w:t>en el momento procesal oportuno, determinar</w:t>
      </w:r>
      <w:r w:rsidR="00012FBB">
        <w:rPr>
          <w:lang w:val="es-CR"/>
        </w:rPr>
        <w:t>á</w:t>
      </w:r>
      <w:r w:rsidR="00012FBB" w:rsidRPr="0003632E">
        <w:rPr>
          <w:lang w:val="es-CR"/>
        </w:rPr>
        <w:t xml:space="preserve"> los hechos del presente caso, así como las consecuencias jurídicas que se deriven de los mismos, luego de considerar l</w:t>
      </w:r>
      <w:r w:rsidR="00012FBB">
        <w:rPr>
          <w:lang w:val="es-CR"/>
        </w:rPr>
        <w:t>os argumentos de las partes y con</w:t>
      </w:r>
      <w:r w:rsidR="00012FBB" w:rsidRPr="0003632E">
        <w:rPr>
          <w:lang w:val="es-CR"/>
        </w:rPr>
        <w:t xml:space="preserve"> base </w:t>
      </w:r>
      <w:r w:rsidR="00012FBB">
        <w:rPr>
          <w:lang w:val="es-CR"/>
        </w:rPr>
        <w:t xml:space="preserve">a </w:t>
      </w:r>
      <w:r w:rsidR="00012FBB" w:rsidRPr="0003632E">
        <w:rPr>
          <w:lang w:val="es-CR"/>
        </w:rPr>
        <w:t xml:space="preserve">la evaluación de la prueba </w:t>
      </w:r>
      <w:r w:rsidR="00012FBB" w:rsidRPr="0003632E">
        <w:rPr>
          <w:lang w:val="es-CR"/>
        </w:rPr>
        <w:lastRenderedPageBreak/>
        <w:t>presentada, según las reglas de la sana crítica</w:t>
      </w:r>
      <w:r w:rsidR="00012FBB" w:rsidRPr="0003632E">
        <w:rPr>
          <w:rStyle w:val="FootnoteReference"/>
          <w:szCs w:val="20"/>
          <w:lang w:val="es-CR"/>
        </w:rPr>
        <w:footnoteReference w:id="10"/>
      </w:r>
      <w:r w:rsidR="00012FBB">
        <w:rPr>
          <w:lang w:val="es-CR"/>
        </w:rPr>
        <w:t>, toda vez que c</w:t>
      </w:r>
      <w:r w:rsidR="00012FBB" w:rsidRPr="006771A0">
        <w:rPr>
          <w:lang w:val="es-CR"/>
        </w:rPr>
        <w:t>uando se</w:t>
      </w:r>
      <w:r w:rsidR="00012FBB" w:rsidRPr="0003632E">
        <w:rPr>
          <w:lang w:val="es-CR"/>
        </w:rPr>
        <w:t xml:space="preserve"> ordena recibir una prueba ello no implica una decisión ni un prejuzgamiento en cuanto al fondo del caso</w:t>
      </w:r>
      <w:r w:rsidR="00012FBB" w:rsidRPr="00410FE7">
        <w:rPr>
          <w:rStyle w:val="FootnoteReference"/>
          <w:szCs w:val="20"/>
          <w:lang w:val="es-CR"/>
        </w:rPr>
        <w:footnoteReference w:id="11"/>
      </w:r>
      <w:r w:rsidR="00012FBB" w:rsidRPr="0003632E">
        <w:rPr>
          <w:lang w:val="es-CR"/>
        </w:rPr>
        <w:t>.</w:t>
      </w:r>
    </w:p>
    <w:p w:rsidR="00012FBB" w:rsidRPr="00012FBB" w:rsidRDefault="00012FBB" w:rsidP="00012FBB">
      <w:pPr>
        <w:autoSpaceDE w:val="0"/>
        <w:autoSpaceDN w:val="0"/>
        <w:adjustRightInd w:val="0"/>
        <w:spacing w:after="0"/>
        <w:rPr>
          <w:rFonts w:eastAsia="Times New Roman" w:cs="Verdana"/>
          <w:szCs w:val="20"/>
          <w:lang w:val="es-CL" w:eastAsia="en-US"/>
        </w:rPr>
      </w:pPr>
    </w:p>
    <w:p w:rsidR="00EF5E26" w:rsidRPr="00EF5E26" w:rsidRDefault="00F51B95" w:rsidP="00EF5E26">
      <w:pPr>
        <w:numPr>
          <w:ilvl w:val="0"/>
          <w:numId w:val="1"/>
        </w:numPr>
        <w:tabs>
          <w:tab w:val="num" w:pos="720"/>
        </w:tabs>
        <w:autoSpaceDE w:val="0"/>
        <w:autoSpaceDN w:val="0"/>
        <w:adjustRightInd w:val="0"/>
        <w:spacing w:after="0"/>
        <w:rPr>
          <w:rFonts w:eastAsia="Times New Roman" w:cs="Verdana"/>
          <w:szCs w:val="20"/>
          <w:lang w:val="es-CL" w:eastAsia="en-US"/>
        </w:rPr>
      </w:pPr>
      <w:r>
        <w:rPr>
          <w:rFonts w:eastAsia="Times New Roman" w:cs="Verdana"/>
          <w:szCs w:val="20"/>
          <w:lang w:val="es-CL" w:eastAsia="en-US"/>
        </w:rPr>
        <w:t>En consecuencia, el valor del dictamen pericial admitido será apreciado en la debida oportunidad dentro del contexto del acervo probatorio existente y según las reglas de la sana crítica.</w:t>
      </w:r>
      <w:r w:rsidR="00EF5E26">
        <w:rPr>
          <w:rFonts w:eastAsia="Times New Roman" w:cs="Verdana"/>
          <w:szCs w:val="20"/>
          <w:lang w:val="es-CL" w:eastAsia="en-US"/>
        </w:rPr>
        <w:t xml:space="preserve"> </w:t>
      </w:r>
      <w:r w:rsidR="00EF5E26" w:rsidRPr="00EF5E26">
        <w:rPr>
          <w:lang w:val="es-CL"/>
        </w:rPr>
        <w:t>E</w:t>
      </w:r>
      <w:r w:rsidR="00EF5E26" w:rsidRPr="00B10122">
        <w:t xml:space="preserve">l objeto y modalidad </w:t>
      </w:r>
      <w:r w:rsidR="00EF5E26">
        <w:t xml:space="preserve">se determinará </w:t>
      </w:r>
      <w:r w:rsidR="00EF5E26" w:rsidRPr="00B10122">
        <w:t>en la parte resolutiva de esta decisión.</w:t>
      </w:r>
    </w:p>
    <w:p w:rsidR="008E6216" w:rsidRDefault="008E6216" w:rsidP="00012FBB">
      <w:pPr>
        <w:pStyle w:val="ListParagraph1"/>
        <w:ind w:left="0" w:right="11"/>
        <w:jc w:val="both"/>
        <w:rPr>
          <w:rFonts w:ascii="Verdana" w:hAnsi="Verdana"/>
          <w:b/>
          <w:sz w:val="20"/>
          <w:szCs w:val="20"/>
          <w:lang w:val="es-CR"/>
        </w:rPr>
      </w:pPr>
    </w:p>
    <w:p w:rsidR="008E6216" w:rsidRPr="006B25A6" w:rsidRDefault="008E6216" w:rsidP="008E6216">
      <w:pPr>
        <w:pStyle w:val="ListParagraph1"/>
        <w:numPr>
          <w:ilvl w:val="0"/>
          <w:numId w:val="2"/>
        </w:numPr>
        <w:ind w:right="11"/>
        <w:jc w:val="both"/>
        <w:rPr>
          <w:rFonts w:ascii="Verdana" w:hAnsi="Verdana"/>
          <w:b/>
          <w:sz w:val="20"/>
          <w:szCs w:val="20"/>
          <w:lang w:val="es-CR"/>
        </w:rPr>
      </w:pPr>
      <w:r w:rsidRPr="006B25A6">
        <w:rPr>
          <w:rFonts w:ascii="Verdana" w:hAnsi="Verdana"/>
          <w:b/>
          <w:sz w:val="20"/>
          <w:szCs w:val="20"/>
          <w:lang w:val="es-CR"/>
        </w:rPr>
        <w:t>Solicitud de la Comisi</w:t>
      </w:r>
      <w:r>
        <w:rPr>
          <w:rFonts w:ascii="Verdana" w:hAnsi="Verdana"/>
          <w:b/>
          <w:sz w:val="20"/>
          <w:szCs w:val="20"/>
          <w:lang w:val="es-CR"/>
        </w:rPr>
        <w:t>ón para formular preguntas respecto a una declaración pericial ofrecida</w:t>
      </w:r>
      <w:r w:rsidRPr="006B25A6">
        <w:rPr>
          <w:rFonts w:ascii="Verdana" w:hAnsi="Verdana"/>
          <w:b/>
          <w:sz w:val="20"/>
          <w:szCs w:val="20"/>
          <w:lang w:val="es-CR"/>
        </w:rPr>
        <w:t xml:space="preserve"> por los representantes </w:t>
      </w:r>
    </w:p>
    <w:p w:rsidR="008E6216" w:rsidRDefault="008E6216" w:rsidP="008E6216">
      <w:pPr>
        <w:tabs>
          <w:tab w:val="left" w:pos="720"/>
        </w:tabs>
        <w:autoSpaceDE w:val="0"/>
        <w:autoSpaceDN w:val="0"/>
        <w:adjustRightInd w:val="0"/>
        <w:spacing w:after="0"/>
        <w:rPr>
          <w:rFonts w:cs="Verdana"/>
          <w:lang w:val="es-ES"/>
        </w:rPr>
      </w:pPr>
    </w:p>
    <w:p w:rsidR="002E6C97" w:rsidRPr="002E6C97" w:rsidRDefault="008E6216" w:rsidP="002E6C97">
      <w:pPr>
        <w:numPr>
          <w:ilvl w:val="0"/>
          <w:numId w:val="1"/>
        </w:numPr>
        <w:tabs>
          <w:tab w:val="num" w:pos="720"/>
        </w:tabs>
        <w:autoSpaceDE w:val="0"/>
        <w:autoSpaceDN w:val="0"/>
        <w:adjustRightInd w:val="0"/>
        <w:spacing w:after="0"/>
        <w:rPr>
          <w:rFonts w:eastAsia="Times New Roman" w:cs="Verdana"/>
          <w:szCs w:val="20"/>
          <w:lang w:val="es-CL" w:eastAsia="en-US"/>
        </w:rPr>
      </w:pPr>
      <w:r w:rsidRPr="000F2688">
        <w:t xml:space="preserve">La Comisión solicitó la oportunidad verbal o escrita de formular preguntas la señora Olga Lucía Gaitán, cuya declaración pericial, a entender de la Comisión, se relacionaría tanto con el orden público interamericanos como con la materia sobre la cual versa el peritaje ofrecido por la Comisión Interamericana. </w:t>
      </w:r>
    </w:p>
    <w:p w:rsidR="002E6C97" w:rsidRDefault="002E6C97" w:rsidP="002E6C97">
      <w:pPr>
        <w:autoSpaceDE w:val="0"/>
        <w:autoSpaceDN w:val="0"/>
        <w:adjustRightInd w:val="0"/>
        <w:spacing w:after="0"/>
        <w:rPr>
          <w:rFonts w:eastAsia="Times New Roman" w:cs="Verdana"/>
          <w:szCs w:val="20"/>
          <w:lang w:val="es-CL" w:eastAsia="en-US"/>
        </w:rPr>
      </w:pPr>
    </w:p>
    <w:p w:rsidR="00DD75E0" w:rsidRPr="00933483" w:rsidRDefault="002E6C97" w:rsidP="00DD75E0">
      <w:pPr>
        <w:numPr>
          <w:ilvl w:val="0"/>
          <w:numId w:val="1"/>
        </w:numPr>
        <w:tabs>
          <w:tab w:val="num" w:pos="720"/>
        </w:tabs>
        <w:autoSpaceDE w:val="0"/>
        <w:autoSpaceDN w:val="0"/>
        <w:adjustRightInd w:val="0"/>
        <w:spacing w:after="0"/>
        <w:rPr>
          <w:rFonts w:eastAsia="Times New Roman" w:cs="Verdana"/>
          <w:szCs w:val="20"/>
          <w:lang w:val="es-CL" w:eastAsia="en-US"/>
        </w:rPr>
      </w:pPr>
      <w:r w:rsidRPr="00F04A9D">
        <w:rPr>
          <w:lang w:val="es-CR"/>
        </w:rPr>
        <w:t>El Presidente recuerda que de conformidad con lo establecido en los artículos 50.5 y 52.3 del Reglamento, corresponde a la Comisión fundamentar en cada caso cuál es la vinculación tanto con el orden público interamericano como con la materia sobre la que verse un peritaje ofrecido por la misma, para que la Corte o su Presidencia pueda evaluar la solicitud oportunamente y, si corresponde, autorizar la posibilidad de que la Comisión haga su interrogatorio</w:t>
      </w:r>
      <w:r w:rsidRPr="00F04A9D">
        <w:rPr>
          <w:rStyle w:val="FootnoteReference"/>
          <w:lang w:val="es-CR"/>
        </w:rPr>
        <w:footnoteReference w:id="12"/>
      </w:r>
      <w:r w:rsidRPr="00F04A9D">
        <w:rPr>
          <w:lang w:val="es-CR"/>
        </w:rPr>
        <w:t>.</w:t>
      </w:r>
    </w:p>
    <w:p w:rsidR="00933483" w:rsidRDefault="00933483" w:rsidP="00933483">
      <w:pPr>
        <w:pStyle w:val="ListParagraph"/>
        <w:rPr>
          <w:rFonts w:eastAsia="Times New Roman" w:cs="Verdana"/>
          <w:szCs w:val="20"/>
          <w:lang w:val="es-CL" w:eastAsia="en-US"/>
        </w:rPr>
      </w:pPr>
    </w:p>
    <w:p w:rsidR="00933483" w:rsidRPr="006806B0" w:rsidRDefault="00B10122" w:rsidP="00933483">
      <w:pPr>
        <w:numPr>
          <w:ilvl w:val="0"/>
          <w:numId w:val="1"/>
        </w:numPr>
        <w:tabs>
          <w:tab w:val="num" w:pos="720"/>
        </w:tabs>
        <w:autoSpaceDE w:val="0"/>
        <w:autoSpaceDN w:val="0"/>
        <w:adjustRightInd w:val="0"/>
        <w:spacing w:after="0"/>
        <w:rPr>
          <w:rFonts w:eastAsia="Times New Roman" w:cs="Verdana"/>
          <w:szCs w:val="20"/>
          <w:lang w:val="es-CL" w:eastAsia="en-US"/>
        </w:rPr>
      </w:pPr>
      <w:r w:rsidRPr="006806B0">
        <w:rPr>
          <w:rFonts w:eastAsia="Times New Roman" w:cs="Verdana"/>
          <w:szCs w:val="20"/>
          <w:lang w:val="es-CL" w:eastAsia="en-US"/>
        </w:rPr>
        <w:t>E</w:t>
      </w:r>
      <w:r w:rsidR="00933483" w:rsidRPr="006806B0">
        <w:rPr>
          <w:rFonts w:eastAsia="Times New Roman" w:cs="Verdana"/>
          <w:szCs w:val="20"/>
          <w:lang w:val="es-CL" w:eastAsia="en-US"/>
        </w:rPr>
        <w:t xml:space="preserve">sta Presidencia </w:t>
      </w:r>
      <w:r w:rsidRPr="006806B0">
        <w:rPr>
          <w:rFonts w:eastAsia="Times New Roman" w:cs="Verdana"/>
          <w:szCs w:val="20"/>
          <w:lang w:val="es-CL" w:eastAsia="en-US"/>
        </w:rPr>
        <w:t xml:space="preserve">hace notar </w:t>
      </w:r>
      <w:r w:rsidR="00933483" w:rsidRPr="006806B0">
        <w:rPr>
          <w:rFonts w:eastAsia="Times New Roman" w:cs="Verdana"/>
          <w:szCs w:val="20"/>
          <w:lang w:val="es-CL" w:eastAsia="en-US"/>
        </w:rPr>
        <w:t xml:space="preserve">que el dictamen pericial del </w:t>
      </w:r>
      <w:r w:rsidR="00933483" w:rsidRPr="006806B0">
        <w:t xml:space="preserve">señor </w:t>
      </w:r>
      <w:r w:rsidR="00933483" w:rsidRPr="006806B0">
        <w:rPr>
          <w:rFonts w:eastAsia="Times New Roman" w:cs="Verdana"/>
          <w:szCs w:val="20"/>
          <w:lang w:val="es-CL" w:eastAsia="en-US"/>
        </w:rPr>
        <w:t xml:space="preserve">Iván González Amado, hace referencia a estándares de debida diligencia aplicables en materia de investigación penal, en un caso en que se alegan aquiescencia y colaboración entre agentes estatales y grupos paramilitares. </w:t>
      </w:r>
      <w:r w:rsidRPr="006806B0">
        <w:rPr>
          <w:rFonts w:eastAsia="Times New Roman" w:cs="Verdana"/>
          <w:szCs w:val="20"/>
          <w:lang w:val="es-CL" w:eastAsia="en-US"/>
        </w:rPr>
        <w:t xml:space="preserve">El Presidente </w:t>
      </w:r>
      <w:r w:rsidRPr="006806B0">
        <w:rPr>
          <w:lang w:val="es-CR"/>
        </w:rPr>
        <w:t xml:space="preserve">estima </w:t>
      </w:r>
      <w:r w:rsidR="00933483" w:rsidRPr="006806B0">
        <w:rPr>
          <w:lang w:val="es-CR"/>
        </w:rPr>
        <w:t xml:space="preserve">que el dictamen pericial está relacionado con el orden público interamericano de los derechos humanos. </w:t>
      </w:r>
      <w:r w:rsidRPr="006806B0">
        <w:rPr>
          <w:lang w:val="es-CR"/>
        </w:rPr>
        <w:t xml:space="preserve">En consecuencia, esta Presidencia </w:t>
      </w:r>
      <w:r w:rsidR="00933483" w:rsidRPr="006806B0">
        <w:rPr>
          <w:lang w:val="es-CR"/>
        </w:rPr>
        <w:t xml:space="preserve">considera procedente, conforme a los artículos 50.5 y 52.3 del Reglamento, conceder oportunidad a la Comisión para formular preguntas al perito, específicamente en lo que atañe a temas relacionados con el orden público interamericano. </w:t>
      </w:r>
    </w:p>
    <w:p w:rsidR="002E6C97" w:rsidRPr="002E6C97" w:rsidRDefault="002E6C97" w:rsidP="002E6C97">
      <w:pPr>
        <w:autoSpaceDE w:val="0"/>
        <w:autoSpaceDN w:val="0"/>
        <w:adjustRightInd w:val="0"/>
        <w:spacing w:after="0"/>
        <w:rPr>
          <w:rFonts w:eastAsia="Times New Roman" w:cs="Verdana"/>
          <w:szCs w:val="20"/>
          <w:lang w:val="es-CL" w:eastAsia="en-US"/>
        </w:rPr>
      </w:pPr>
    </w:p>
    <w:p w:rsidR="008E6216" w:rsidRDefault="008E6216" w:rsidP="008E6216">
      <w:pPr>
        <w:pStyle w:val="ListParagraph1"/>
        <w:numPr>
          <w:ilvl w:val="0"/>
          <w:numId w:val="2"/>
        </w:numPr>
        <w:ind w:right="11"/>
        <w:jc w:val="both"/>
        <w:rPr>
          <w:rFonts w:ascii="Verdana" w:hAnsi="Verdana"/>
          <w:b/>
          <w:sz w:val="20"/>
          <w:szCs w:val="20"/>
          <w:lang w:val="es-CR"/>
        </w:rPr>
      </w:pPr>
      <w:r w:rsidRPr="00090FD3">
        <w:rPr>
          <w:rFonts w:ascii="Verdana" w:hAnsi="Verdana"/>
          <w:b/>
          <w:sz w:val="20"/>
          <w:szCs w:val="20"/>
          <w:lang w:val="es-CR"/>
        </w:rPr>
        <w:t xml:space="preserve">Observaciones realizadas por el Estado a las declaraciones de las presuntas víctimas ofrecidas por los representantes </w:t>
      </w:r>
    </w:p>
    <w:p w:rsidR="008E6216" w:rsidRPr="00922676" w:rsidRDefault="008E6216" w:rsidP="008E6216">
      <w:pPr>
        <w:pStyle w:val="ListParagraph1"/>
        <w:ind w:left="450" w:right="11"/>
        <w:jc w:val="both"/>
        <w:rPr>
          <w:rFonts w:ascii="Verdana" w:hAnsi="Verdana"/>
          <w:b/>
          <w:sz w:val="20"/>
          <w:szCs w:val="20"/>
          <w:lang w:val="es-CR"/>
        </w:rPr>
      </w:pPr>
    </w:p>
    <w:p w:rsidR="00EE47D1" w:rsidRPr="00EE47D1" w:rsidRDefault="008E6216" w:rsidP="00EE47D1">
      <w:pPr>
        <w:numPr>
          <w:ilvl w:val="0"/>
          <w:numId w:val="1"/>
        </w:numPr>
        <w:tabs>
          <w:tab w:val="left" w:pos="720"/>
        </w:tabs>
        <w:autoSpaceDE w:val="0"/>
        <w:autoSpaceDN w:val="0"/>
        <w:adjustRightInd w:val="0"/>
        <w:spacing w:after="0"/>
        <w:rPr>
          <w:rFonts w:cs="Verdana"/>
          <w:lang w:val="es-ES"/>
        </w:rPr>
      </w:pPr>
      <w:r>
        <w:t xml:space="preserve">En su escrito de solicitudes y argumentos los representantes ofrecieron las declaraciones de trece presuntas víctimas, las cuales fueron reiteradas en su lista definitiva de declarantes. </w:t>
      </w:r>
    </w:p>
    <w:p w:rsidR="00EE47D1" w:rsidRDefault="00EE47D1" w:rsidP="00EE47D1">
      <w:pPr>
        <w:tabs>
          <w:tab w:val="left" w:pos="720"/>
        </w:tabs>
        <w:autoSpaceDE w:val="0"/>
        <w:autoSpaceDN w:val="0"/>
        <w:adjustRightInd w:val="0"/>
        <w:spacing w:after="0"/>
        <w:rPr>
          <w:rFonts w:cs="Verdana"/>
          <w:lang w:val="es-ES"/>
        </w:rPr>
      </w:pPr>
    </w:p>
    <w:p w:rsidR="00EE47D1" w:rsidRPr="003A4E2F" w:rsidRDefault="008E6216" w:rsidP="00EE47D1">
      <w:pPr>
        <w:numPr>
          <w:ilvl w:val="0"/>
          <w:numId w:val="1"/>
        </w:numPr>
        <w:tabs>
          <w:tab w:val="left" w:pos="720"/>
        </w:tabs>
        <w:autoSpaceDE w:val="0"/>
        <w:autoSpaceDN w:val="0"/>
        <w:adjustRightInd w:val="0"/>
        <w:spacing w:after="0"/>
        <w:rPr>
          <w:rFonts w:cs="Verdana"/>
          <w:lang w:val="es-ES"/>
        </w:rPr>
      </w:pPr>
      <w:r>
        <w:t>Al momento de realizar observaciones al listado definitivo de declarantes de los representantes, el Estado</w:t>
      </w:r>
      <w:r w:rsidR="00EE47D1">
        <w:t xml:space="preserve"> indicó que no se oponía a que de personas que se indican seguidamente prestaran declaración, pero </w:t>
      </w:r>
      <w:r>
        <w:t xml:space="preserve">objetó </w:t>
      </w:r>
      <w:r w:rsidR="00EE47D1">
        <w:t>“</w:t>
      </w:r>
      <w:r>
        <w:t>parcialmente</w:t>
      </w:r>
      <w:r w:rsidR="00EE47D1">
        <w:t>”</w:t>
      </w:r>
      <w:r>
        <w:t xml:space="preserve"> el objeto </w:t>
      </w:r>
      <w:r w:rsidR="00EE47D1">
        <w:t xml:space="preserve">propuesto para las mismas. Así, Colombia presentó objeciones respecto de: </w:t>
      </w:r>
    </w:p>
    <w:p w:rsidR="003A4E2F" w:rsidRPr="00EE47D1" w:rsidRDefault="003A4E2F" w:rsidP="003A4E2F">
      <w:pPr>
        <w:tabs>
          <w:tab w:val="left" w:pos="720"/>
        </w:tabs>
        <w:autoSpaceDE w:val="0"/>
        <w:autoSpaceDN w:val="0"/>
        <w:adjustRightInd w:val="0"/>
        <w:spacing w:after="0"/>
        <w:rPr>
          <w:rFonts w:cs="Verdana"/>
          <w:lang w:val="es-ES"/>
        </w:rPr>
      </w:pPr>
    </w:p>
    <w:p w:rsidR="00EE47D1" w:rsidRDefault="008E6216" w:rsidP="00233C07">
      <w:pPr>
        <w:autoSpaceDE w:val="0"/>
        <w:autoSpaceDN w:val="0"/>
        <w:adjustRightInd w:val="0"/>
        <w:spacing w:after="0"/>
        <w:ind w:left="567"/>
      </w:pPr>
      <w:r w:rsidRPr="00EE47D1">
        <w:rPr>
          <w:lang w:val="es-ES"/>
        </w:rPr>
        <w:t xml:space="preserve">1) </w:t>
      </w:r>
      <w:r w:rsidR="00233C07">
        <w:rPr>
          <w:lang w:val="es-ES"/>
        </w:rPr>
        <w:tab/>
      </w:r>
      <w:r w:rsidRPr="00EE47D1">
        <w:rPr>
          <w:i/>
        </w:rPr>
        <w:t>Miguel Ángel Álvarez Solano,</w:t>
      </w:r>
      <w:r>
        <w:t xml:space="preserve"> por tratarse parcialmente de un alegado prejuzgamiento para el Estado, dado que el</w:t>
      </w:r>
      <w:r w:rsidR="00C10415">
        <w:t xml:space="preserve"> ob</w:t>
      </w:r>
      <w:r w:rsidR="00233C07">
        <w:t xml:space="preserve">jeto propuesto se refiere a la </w:t>
      </w:r>
      <w:r w:rsidR="00C10415">
        <w:t xml:space="preserve">existencia </w:t>
      </w:r>
      <w:r w:rsidR="00C10415">
        <w:lastRenderedPageBreak/>
        <w:t xml:space="preserve">de un </w:t>
      </w:r>
      <w:r w:rsidR="00233C07">
        <w:t>“</w:t>
      </w:r>
      <w:r>
        <w:t xml:space="preserve">daño moral, económico, </w:t>
      </w:r>
      <w:r w:rsidR="00233C07">
        <w:t xml:space="preserve">y </w:t>
      </w:r>
      <w:r>
        <w:t>psi</w:t>
      </w:r>
      <w:r w:rsidR="00C10415">
        <w:t xml:space="preserve">cosocial individual y </w:t>
      </w:r>
      <w:proofErr w:type="gramStart"/>
      <w:r w:rsidR="00C10415">
        <w:t>familiar</w:t>
      </w:r>
      <w:r w:rsidR="00233C07">
        <w:t>[</w:t>
      </w:r>
      <w:proofErr w:type="gramEnd"/>
      <w:r>
        <w:t>, así como</w:t>
      </w:r>
      <w:r w:rsidR="00233C07">
        <w:t>]</w:t>
      </w:r>
      <w:r>
        <w:t xml:space="preserve"> a las med</w:t>
      </w:r>
      <w:r w:rsidR="00EE47D1">
        <w:t>idas de reparación</w:t>
      </w:r>
      <w:r w:rsidR="00233C07">
        <w:t>”</w:t>
      </w:r>
      <w:r w:rsidR="00C10415">
        <w:t xml:space="preserve"> de lo</w:t>
      </w:r>
      <w:r w:rsidR="00233C07">
        <w:t>s mismos</w:t>
      </w:r>
      <w:r w:rsidR="00EE47D1">
        <w:t xml:space="preserve">; </w:t>
      </w:r>
    </w:p>
    <w:p w:rsidR="00EE47D1" w:rsidRPr="00233C07" w:rsidRDefault="00EE47D1" w:rsidP="00233C07">
      <w:pPr>
        <w:autoSpaceDE w:val="0"/>
        <w:autoSpaceDN w:val="0"/>
        <w:adjustRightInd w:val="0"/>
        <w:spacing w:after="0"/>
        <w:ind w:left="567"/>
      </w:pPr>
      <w:r>
        <w:t>2</w:t>
      </w:r>
      <w:r w:rsidR="008E6216">
        <w:t xml:space="preserve">) </w:t>
      </w:r>
      <w:r w:rsidR="00233C07">
        <w:tab/>
      </w:r>
      <w:r w:rsidR="008E6216" w:rsidRPr="00EE47D1">
        <w:rPr>
          <w:i/>
        </w:rPr>
        <w:t>Clemencia Patricia Álvarez Solano</w:t>
      </w:r>
      <w:r w:rsidR="008E6216">
        <w:t xml:space="preserve">, por referirse parcialmente el objeto propuesto al </w:t>
      </w:r>
      <w:r w:rsidR="00C10415">
        <w:t>“</w:t>
      </w:r>
      <w:r w:rsidR="00233C07">
        <w:t>contexto de violencia en el S</w:t>
      </w:r>
      <w:r w:rsidR="008E6216">
        <w:t>ur del Cesar</w:t>
      </w:r>
      <w:r w:rsidR="00C10415">
        <w:t xml:space="preserve"> y </w:t>
      </w:r>
      <w:r w:rsidR="00233C07">
        <w:t>[</w:t>
      </w:r>
      <w:r w:rsidR="00C10415">
        <w:t>a</w:t>
      </w:r>
      <w:r w:rsidR="00233C07">
        <w:t>]</w:t>
      </w:r>
      <w:r w:rsidR="00C10415">
        <w:t xml:space="preserve"> la presencia de grupos paramilitares en la región con la anuencia y colaboración de la fuerza pública”</w:t>
      </w:r>
      <w:r w:rsidR="008E6216">
        <w:t>, toda vez que el Estado consideró que el perito Santiago Camargo desarrollará ese rubro con una opinión té</w:t>
      </w:r>
      <w:r>
        <w:t>cnica</w:t>
      </w:r>
      <w:r w:rsidR="00C10415">
        <w:t xml:space="preserve"> de estos temas y a su vez mencionó que los testigos deben evitar dar opiniones personales</w:t>
      </w:r>
      <w:r w:rsidR="00635F9C">
        <w:t>, y</w:t>
      </w:r>
      <w:r>
        <w:t xml:space="preserve"> </w:t>
      </w:r>
    </w:p>
    <w:p w:rsidR="00EE47D1" w:rsidRDefault="00EE47D1" w:rsidP="00233C07">
      <w:pPr>
        <w:autoSpaceDE w:val="0"/>
        <w:autoSpaceDN w:val="0"/>
        <w:adjustRightInd w:val="0"/>
        <w:spacing w:after="0"/>
        <w:ind w:left="567"/>
      </w:pPr>
      <w:r>
        <w:rPr>
          <w:rFonts w:cs="Verdana"/>
          <w:lang w:val="es-ES"/>
        </w:rPr>
        <w:t xml:space="preserve">3) </w:t>
      </w:r>
      <w:r w:rsidR="00233C07">
        <w:rPr>
          <w:rFonts w:cs="Verdana"/>
          <w:lang w:val="es-ES"/>
        </w:rPr>
        <w:tab/>
      </w:r>
      <w:r w:rsidR="008E6216" w:rsidRPr="00EE47D1">
        <w:rPr>
          <w:i/>
        </w:rPr>
        <w:t xml:space="preserve">Carmen Teresa </w:t>
      </w:r>
      <w:proofErr w:type="spellStart"/>
      <w:r w:rsidR="008E6216" w:rsidRPr="00EE47D1">
        <w:rPr>
          <w:i/>
        </w:rPr>
        <w:t>Omeara</w:t>
      </w:r>
      <w:proofErr w:type="spellEnd"/>
      <w:r w:rsidR="008E6216" w:rsidRPr="00EE47D1">
        <w:rPr>
          <w:i/>
        </w:rPr>
        <w:t xml:space="preserve"> </w:t>
      </w:r>
      <w:proofErr w:type="spellStart"/>
      <w:r w:rsidR="008E6216" w:rsidRPr="00EE47D1">
        <w:rPr>
          <w:i/>
        </w:rPr>
        <w:t>Miraval</w:t>
      </w:r>
      <w:proofErr w:type="spellEnd"/>
      <w:r w:rsidR="000E3976">
        <w:rPr>
          <w:i/>
        </w:rPr>
        <w:t>,</w:t>
      </w:r>
      <w:r w:rsidR="00FC6392">
        <w:t xml:space="preserve"> </w:t>
      </w:r>
      <w:proofErr w:type="spellStart"/>
      <w:r w:rsidR="00C10415">
        <w:rPr>
          <w:i/>
        </w:rPr>
        <w:t>Araminta</w:t>
      </w:r>
      <w:proofErr w:type="spellEnd"/>
      <w:r w:rsidR="00C10415">
        <w:rPr>
          <w:i/>
        </w:rPr>
        <w:t xml:space="preserve"> </w:t>
      </w:r>
      <w:proofErr w:type="spellStart"/>
      <w:r w:rsidR="00C10415">
        <w:rPr>
          <w:i/>
        </w:rPr>
        <w:t>Omeara</w:t>
      </w:r>
      <w:proofErr w:type="spellEnd"/>
      <w:r w:rsidR="00C10415">
        <w:rPr>
          <w:i/>
        </w:rPr>
        <w:t xml:space="preserve"> </w:t>
      </w:r>
      <w:proofErr w:type="spellStart"/>
      <w:r w:rsidR="00C10415">
        <w:rPr>
          <w:i/>
        </w:rPr>
        <w:t>Miraval</w:t>
      </w:r>
      <w:proofErr w:type="spellEnd"/>
      <w:r w:rsidR="000E3976">
        <w:rPr>
          <w:i/>
        </w:rPr>
        <w:t xml:space="preserve"> y </w:t>
      </w:r>
      <w:r w:rsidR="000E3976" w:rsidRPr="00EE47D1">
        <w:rPr>
          <w:i/>
        </w:rPr>
        <w:t xml:space="preserve">Ricaurte </w:t>
      </w:r>
      <w:proofErr w:type="spellStart"/>
      <w:r w:rsidR="000E3976" w:rsidRPr="00EE47D1">
        <w:rPr>
          <w:i/>
        </w:rPr>
        <w:t>Omeara</w:t>
      </w:r>
      <w:proofErr w:type="spellEnd"/>
      <w:r w:rsidR="000E3976" w:rsidRPr="00EE47D1">
        <w:rPr>
          <w:i/>
        </w:rPr>
        <w:t xml:space="preserve"> </w:t>
      </w:r>
      <w:proofErr w:type="spellStart"/>
      <w:r w:rsidR="000E3976" w:rsidRPr="00EE47D1">
        <w:rPr>
          <w:i/>
        </w:rPr>
        <w:t>Miraval</w:t>
      </w:r>
      <w:proofErr w:type="spellEnd"/>
      <w:r>
        <w:t>, por referirse parcialmente e</w:t>
      </w:r>
      <w:r w:rsidR="00C10415">
        <w:t xml:space="preserve">l objeto propuesto a </w:t>
      </w:r>
      <w:r w:rsidR="003A4E2F">
        <w:t>“</w:t>
      </w:r>
      <w:r w:rsidR="00C10415">
        <w:t xml:space="preserve">autores y móviles </w:t>
      </w:r>
      <w:r>
        <w:t>del</w:t>
      </w:r>
      <w:r w:rsidR="00C10415">
        <w:t xml:space="preserve"> homicidio del</w:t>
      </w:r>
      <w:r>
        <w:t xml:space="preserve"> señor</w:t>
      </w:r>
      <w:r w:rsidR="00C10415">
        <w:t xml:space="preserve"> José </w:t>
      </w:r>
      <w:proofErr w:type="spellStart"/>
      <w:r w:rsidR="00C10415">
        <w:t>Erminso</w:t>
      </w:r>
      <w:proofErr w:type="spellEnd"/>
      <w:r w:rsidR="00C10415">
        <w:t xml:space="preserve"> Sepúlveda Saravia</w:t>
      </w:r>
      <w:r w:rsidR="003A4E2F">
        <w:t>”</w:t>
      </w:r>
      <w:r w:rsidR="00C10415">
        <w:t xml:space="preserve">, </w:t>
      </w:r>
      <w:r>
        <w:t>toda vez que a criterio del Estado, éste no puede ser ide</w:t>
      </w:r>
      <w:r w:rsidR="00C10415">
        <w:t>ntificado como presunta víctima, de acuerdo a las reglas procesales del Sistema Interamericano</w:t>
      </w:r>
      <w:r w:rsidR="000E3976">
        <w:t>.</w:t>
      </w:r>
      <w:r w:rsidR="00C10415">
        <w:t xml:space="preserve"> </w:t>
      </w:r>
      <w:r w:rsidR="000E3976">
        <w:t xml:space="preserve">Adicionalmente, </w:t>
      </w:r>
      <w:r w:rsidR="00C10415">
        <w:t>en el caso del señor</w:t>
      </w:r>
      <w:r w:rsidR="000E3976">
        <w:t xml:space="preserve"> Ricaurte </w:t>
      </w:r>
      <w:proofErr w:type="spellStart"/>
      <w:r w:rsidR="000E3976">
        <w:t>Omeara</w:t>
      </w:r>
      <w:proofErr w:type="spellEnd"/>
      <w:r w:rsidR="000E3976">
        <w:t xml:space="preserve"> </w:t>
      </w:r>
      <w:proofErr w:type="spellStart"/>
      <w:r w:rsidR="000E3976">
        <w:t>Miraval</w:t>
      </w:r>
      <w:proofErr w:type="spellEnd"/>
      <w:r w:rsidR="00C10415">
        <w:rPr>
          <w:i/>
        </w:rPr>
        <w:t xml:space="preserve">, </w:t>
      </w:r>
      <w:r w:rsidR="00C10415">
        <w:t>además de lo</w:t>
      </w:r>
      <w:r w:rsidR="004926CA">
        <w:t>s</w:t>
      </w:r>
      <w:r w:rsidR="00C10415">
        <w:t xml:space="preserve"> </w:t>
      </w:r>
      <w:r w:rsidR="000E3976">
        <w:t>expuesto,</w:t>
      </w:r>
      <w:r w:rsidR="00C10415">
        <w:t xml:space="preserve"> el Estado manifestó </w:t>
      </w:r>
      <w:r w:rsidR="000E3976">
        <w:t xml:space="preserve">que </w:t>
      </w:r>
      <w:r w:rsidR="00C10415">
        <w:t xml:space="preserve">el objeto </w:t>
      </w:r>
      <w:r w:rsidR="000E3976">
        <w:t xml:space="preserve">propuesto para su declaración </w:t>
      </w:r>
      <w:r w:rsidR="00C10415">
        <w:t xml:space="preserve">se refiere </w:t>
      </w:r>
      <w:r w:rsidR="000E3976">
        <w:t xml:space="preserve">también </w:t>
      </w:r>
      <w:r w:rsidR="00C10415">
        <w:t>a un alegado “contexto de violencia política</w:t>
      </w:r>
      <w:r w:rsidR="00036249">
        <w:t xml:space="preserve"> […]</w:t>
      </w:r>
      <w:r w:rsidR="00C10415">
        <w:t xml:space="preserve"> en </w:t>
      </w:r>
      <w:proofErr w:type="gramStart"/>
      <w:r w:rsidR="00C10415">
        <w:t>Aguachica</w:t>
      </w:r>
      <w:r w:rsidR="00233C07">
        <w:t>[</w:t>
      </w:r>
      <w:proofErr w:type="gramEnd"/>
      <w:r w:rsidR="00C10415">
        <w:t>,</w:t>
      </w:r>
      <w:r w:rsidR="00233C07">
        <w:t>]</w:t>
      </w:r>
      <w:r w:rsidR="00C10415">
        <w:t xml:space="preserve"> así como la presencia de paramilitarismo en </w:t>
      </w:r>
      <w:r w:rsidR="00233C07">
        <w:t>[</w:t>
      </w:r>
      <w:r w:rsidR="00C10415">
        <w:t>el</w:t>
      </w:r>
      <w:r w:rsidR="00233C07">
        <w:t>]</w:t>
      </w:r>
      <w:r w:rsidR="00C10415">
        <w:t xml:space="preserve"> Sur del Cesar”</w:t>
      </w:r>
      <w:r w:rsidR="000E3976">
        <w:t xml:space="preserve"> y que</w:t>
      </w:r>
      <w:r w:rsidR="003A4E2F">
        <w:t>, toda vez que el señor Santiago Camargo, rendirá un dictamen pericial al respecto.</w:t>
      </w:r>
    </w:p>
    <w:p w:rsidR="000E3976" w:rsidRPr="00EE47D1" w:rsidRDefault="000E3976" w:rsidP="000E3976">
      <w:pPr>
        <w:tabs>
          <w:tab w:val="left" w:pos="720"/>
        </w:tabs>
        <w:autoSpaceDE w:val="0"/>
        <w:autoSpaceDN w:val="0"/>
        <w:adjustRightInd w:val="0"/>
        <w:spacing w:after="0"/>
        <w:ind w:left="567"/>
        <w:rPr>
          <w:lang w:val="es-ES"/>
        </w:rPr>
      </w:pPr>
    </w:p>
    <w:p w:rsidR="008E6216" w:rsidRPr="00EE47D1" w:rsidRDefault="008E6216" w:rsidP="00EF5E26">
      <w:pPr>
        <w:numPr>
          <w:ilvl w:val="0"/>
          <w:numId w:val="1"/>
        </w:numPr>
        <w:tabs>
          <w:tab w:val="left" w:pos="720"/>
        </w:tabs>
        <w:autoSpaceDE w:val="0"/>
        <w:autoSpaceDN w:val="0"/>
        <w:adjustRightInd w:val="0"/>
        <w:spacing w:after="0"/>
        <w:rPr>
          <w:rFonts w:cs="Verdana"/>
          <w:lang w:val="es-ES"/>
        </w:rPr>
      </w:pPr>
      <w:r>
        <w:t xml:space="preserve">A su vez, por lo que hace a </w:t>
      </w:r>
      <w:r w:rsidRPr="00EE47D1">
        <w:rPr>
          <w:i/>
        </w:rPr>
        <w:t xml:space="preserve">Jaime Antonio </w:t>
      </w:r>
      <w:proofErr w:type="spellStart"/>
      <w:r w:rsidRPr="00EE47D1">
        <w:rPr>
          <w:i/>
        </w:rPr>
        <w:t>Omeara</w:t>
      </w:r>
      <w:proofErr w:type="spellEnd"/>
      <w:r w:rsidRPr="00EE47D1">
        <w:rPr>
          <w:i/>
        </w:rPr>
        <w:t xml:space="preserve"> </w:t>
      </w:r>
      <w:proofErr w:type="spellStart"/>
      <w:r w:rsidRPr="00EE47D1">
        <w:rPr>
          <w:i/>
        </w:rPr>
        <w:t>Miraval</w:t>
      </w:r>
      <w:proofErr w:type="spellEnd"/>
      <w:r>
        <w:t xml:space="preserve">, el Estado solicitó a la Corte que las declaraciones rendidas relacionadas con </w:t>
      </w:r>
      <w:r w:rsidR="003A4E2F">
        <w:t>“</w:t>
      </w:r>
      <w:r>
        <w:t>la</w:t>
      </w:r>
      <w:r w:rsidR="00233C07">
        <w:t>s</w:t>
      </w:r>
      <w:r>
        <w:t xml:space="preserve"> responsabilidad</w:t>
      </w:r>
      <w:r w:rsidR="00233C07">
        <w:t>es</w:t>
      </w:r>
      <w:r>
        <w:t xml:space="preserve"> de agentes de la fuerza pública y los grupos paramilitares</w:t>
      </w:r>
      <w:r w:rsidR="003A4E2F">
        <w:t>”</w:t>
      </w:r>
      <w:r>
        <w:t>, se den en su condición de testigo de oídas, al no haber estado presente durante la ocurrencia de estos hechos.</w:t>
      </w:r>
    </w:p>
    <w:p w:rsidR="008E6216" w:rsidRPr="00B611AD" w:rsidRDefault="008E6216" w:rsidP="00EF5E26">
      <w:pPr>
        <w:pStyle w:val="ListParagraph"/>
        <w:tabs>
          <w:tab w:val="left" w:pos="-142"/>
        </w:tabs>
        <w:autoSpaceDE w:val="0"/>
        <w:autoSpaceDN w:val="0"/>
        <w:adjustRightInd w:val="0"/>
        <w:spacing w:after="0"/>
        <w:rPr>
          <w:rFonts w:cs="Verdana"/>
          <w:lang w:val="es-ES"/>
        </w:rPr>
      </w:pPr>
    </w:p>
    <w:p w:rsidR="008E6216" w:rsidRPr="001E30CF" w:rsidRDefault="008E6216" w:rsidP="00EF5E26">
      <w:pPr>
        <w:numPr>
          <w:ilvl w:val="0"/>
          <w:numId w:val="1"/>
        </w:numPr>
        <w:tabs>
          <w:tab w:val="left" w:pos="720"/>
        </w:tabs>
        <w:autoSpaceDE w:val="0"/>
        <w:autoSpaceDN w:val="0"/>
        <w:adjustRightInd w:val="0"/>
        <w:spacing w:after="0"/>
        <w:rPr>
          <w:rFonts w:cs="Verdana"/>
          <w:lang w:val="es-ES"/>
        </w:rPr>
      </w:pPr>
      <w:r>
        <w:t xml:space="preserve">Por otra parte, el Estado </w:t>
      </w:r>
      <w:r w:rsidR="00EE47D1">
        <w:t xml:space="preserve">se opuso a </w:t>
      </w:r>
      <w:r>
        <w:t xml:space="preserve">las declaraciones de  </w:t>
      </w:r>
      <w:r w:rsidRPr="008646FE">
        <w:rPr>
          <w:i/>
        </w:rPr>
        <w:t xml:space="preserve">Damaris </w:t>
      </w:r>
      <w:proofErr w:type="spellStart"/>
      <w:r w:rsidRPr="008646FE">
        <w:rPr>
          <w:i/>
        </w:rPr>
        <w:t>Lanziano</w:t>
      </w:r>
      <w:proofErr w:type="spellEnd"/>
      <w:r w:rsidRPr="008646FE">
        <w:rPr>
          <w:i/>
        </w:rPr>
        <w:t xml:space="preserve"> Lemus</w:t>
      </w:r>
      <w:r>
        <w:t xml:space="preserve">, </w:t>
      </w:r>
      <w:proofErr w:type="spellStart"/>
      <w:r w:rsidRPr="008646FE">
        <w:rPr>
          <w:i/>
        </w:rPr>
        <w:t>Erminso</w:t>
      </w:r>
      <w:proofErr w:type="spellEnd"/>
      <w:r w:rsidRPr="008646FE">
        <w:rPr>
          <w:i/>
        </w:rPr>
        <w:t xml:space="preserve"> Sepúlveda Saravia</w:t>
      </w:r>
      <w:r>
        <w:t xml:space="preserve"> y </w:t>
      </w:r>
      <w:proofErr w:type="spellStart"/>
      <w:r w:rsidRPr="008646FE">
        <w:rPr>
          <w:i/>
        </w:rPr>
        <w:t>Maryeny</w:t>
      </w:r>
      <w:proofErr w:type="spellEnd"/>
      <w:r w:rsidRPr="008646FE">
        <w:rPr>
          <w:i/>
        </w:rPr>
        <w:t xml:space="preserve"> Sepúlveda Chinchilla</w:t>
      </w:r>
      <w:r>
        <w:t>, toda vez que, según consideró,</w:t>
      </w:r>
      <w:r w:rsidR="006A760B" w:rsidRPr="006A760B">
        <w:t xml:space="preserve"> </w:t>
      </w:r>
      <w:r w:rsidR="006A760B">
        <w:t>de manera total los objetos propuestos para las mismas</w:t>
      </w:r>
      <w:r>
        <w:t xml:space="preserve"> extralimitan el objeto del caso sometido por la Comisión, específicamente en lo que se refiere a la </w:t>
      </w:r>
      <w:r w:rsidR="006A43DE">
        <w:t xml:space="preserve">alegada </w:t>
      </w:r>
      <w:r>
        <w:t>inclusión</w:t>
      </w:r>
      <w:r w:rsidR="006A43DE">
        <w:t xml:space="preserve"> </w:t>
      </w:r>
      <w:r>
        <w:t>tardía</w:t>
      </w:r>
      <w:r w:rsidR="006A43DE">
        <w:t>, a criterio de</w:t>
      </w:r>
      <w:r>
        <w:t xml:space="preserve">l Estado, de José </w:t>
      </w:r>
      <w:proofErr w:type="spellStart"/>
      <w:r>
        <w:t>Erminso</w:t>
      </w:r>
      <w:proofErr w:type="spellEnd"/>
      <w:r>
        <w:t xml:space="preserve"> Sepúlveda Saravia como presunta víctima y la supuesta ampliación del contexto en lo relativo a las persecuciones de las cuales habría sido víctima el Movimiento de Acción Comunitaria</w:t>
      </w:r>
      <w:r w:rsidR="003A4E2F">
        <w:t>.</w:t>
      </w:r>
    </w:p>
    <w:p w:rsidR="00033B2E" w:rsidRDefault="00033B2E" w:rsidP="00033B2E">
      <w:pPr>
        <w:autoSpaceDE w:val="0"/>
        <w:autoSpaceDN w:val="0"/>
        <w:adjustRightInd w:val="0"/>
        <w:spacing w:after="0"/>
        <w:rPr>
          <w:rFonts w:eastAsia="Times New Roman" w:cs="Verdana"/>
          <w:szCs w:val="20"/>
          <w:lang w:val="es-CL" w:eastAsia="en-US"/>
        </w:rPr>
      </w:pPr>
    </w:p>
    <w:p w:rsidR="006A760B" w:rsidRDefault="006A760B" w:rsidP="003A4E2F">
      <w:pPr>
        <w:numPr>
          <w:ilvl w:val="0"/>
          <w:numId w:val="1"/>
        </w:numPr>
        <w:tabs>
          <w:tab w:val="num" w:pos="720"/>
        </w:tabs>
        <w:autoSpaceDE w:val="0"/>
        <w:autoSpaceDN w:val="0"/>
        <w:adjustRightInd w:val="0"/>
        <w:spacing w:after="0"/>
        <w:rPr>
          <w:rFonts w:eastAsia="Times New Roman" w:cs="Verdana"/>
          <w:szCs w:val="20"/>
          <w:lang w:val="es-CL" w:eastAsia="en-US"/>
        </w:rPr>
      </w:pPr>
      <w:r>
        <w:rPr>
          <w:rStyle w:val="Strong"/>
          <w:rFonts w:eastAsia="Times New Roman" w:cs="Verdana"/>
          <w:b w:val="0"/>
          <w:bCs w:val="0"/>
          <w:szCs w:val="20"/>
          <w:lang w:val="es-CL" w:eastAsia="en-US"/>
        </w:rPr>
        <w:t xml:space="preserve">Esta Presidencia considera oportuno dejar sentado, en relación con algunas de las observaciones del Estado que objetan parcial o totalmente declaraciones por referirse a presuntas víctimas que, a su criterio, no deben ser consideradas como tales, o respecto de un alegado marco fáctico que no es materia del presente caso, que la determinación de quiénes deben considerarse presuntas víctimas y el marco fáctico del caso, será efectuada en el momento procesal oportuno. Por tanto, el Presidente resuelve admitir las declaraciones de </w:t>
      </w:r>
      <w:r w:rsidRPr="006A760B">
        <w:t xml:space="preserve">Damaris </w:t>
      </w:r>
      <w:proofErr w:type="spellStart"/>
      <w:r w:rsidRPr="006A760B">
        <w:t>Lanziano</w:t>
      </w:r>
      <w:proofErr w:type="spellEnd"/>
      <w:r w:rsidRPr="006A760B">
        <w:t xml:space="preserve"> Lemus, </w:t>
      </w:r>
      <w:proofErr w:type="spellStart"/>
      <w:r w:rsidRPr="006A760B">
        <w:t>Erminso</w:t>
      </w:r>
      <w:proofErr w:type="spellEnd"/>
      <w:r w:rsidRPr="006A760B">
        <w:t xml:space="preserve"> Sepúlveda Saravia y </w:t>
      </w:r>
      <w:proofErr w:type="spellStart"/>
      <w:r w:rsidRPr="006A760B">
        <w:t>Maryeny</w:t>
      </w:r>
      <w:proofErr w:type="spellEnd"/>
      <w:r w:rsidRPr="006A760B">
        <w:t xml:space="preserve"> Sepúlveda Chinchilla, así como de</w:t>
      </w:r>
      <w:r w:rsidR="003A4E2F">
        <w:t xml:space="preserve"> </w:t>
      </w:r>
      <w:r w:rsidRPr="006A760B">
        <w:t xml:space="preserve">Carmen Teresa </w:t>
      </w:r>
      <w:proofErr w:type="spellStart"/>
      <w:r w:rsidRPr="006A760B">
        <w:t>Omeara</w:t>
      </w:r>
      <w:proofErr w:type="spellEnd"/>
      <w:r w:rsidRPr="006A760B">
        <w:t xml:space="preserve"> </w:t>
      </w:r>
      <w:proofErr w:type="spellStart"/>
      <w:r w:rsidRPr="006A760B">
        <w:t>Miraval</w:t>
      </w:r>
      <w:proofErr w:type="spellEnd"/>
      <w:r w:rsidRPr="006A760B">
        <w:t xml:space="preserve">, </w:t>
      </w:r>
      <w:proofErr w:type="spellStart"/>
      <w:r w:rsidRPr="006A760B">
        <w:t>Araminta</w:t>
      </w:r>
      <w:proofErr w:type="spellEnd"/>
      <w:r w:rsidRPr="006A760B">
        <w:t xml:space="preserve"> </w:t>
      </w:r>
      <w:proofErr w:type="spellStart"/>
      <w:r w:rsidRPr="006A760B">
        <w:t>Omeara</w:t>
      </w:r>
      <w:proofErr w:type="spellEnd"/>
      <w:r w:rsidRPr="006A760B">
        <w:t xml:space="preserve"> </w:t>
      </w:r>
      <w:proofErr w:type="spellStart"/>
      <w:r w:rsidRPr="006A760B">
        <w:t>Miraval</w:t>
      </w:r>
      <w:proofErr w:type="spellEnd"/>
      <w:r w:rsidRPr="006A760B">
        <w:t xml:space="preserve">, y Ricaurte </w:t>
      </w:r>
      <w:proofErr w:type="spellStart"/>
      <w:r w:rsidRPr="006A760B">
        <w:t>Omeara</w:t>
      </w:r>
      <w:proofErr w:type="spellEnd"/>
      <w:r w:rsidRPr="006A760B">
        <w:t xml:space="preserve"> </w:t>
      </w:r>
      <w:proofErr w:type="spellStart"/>
      <w:r w:rsidRPr="006A760B">
        <w:t>Miraval</w:t>
      </w:r>
      <w:proofErr w:type="spellEnd"/>
      <w:r w:rsidRPr="006A760B">
        <w:t>. Los objetos de tales declaraciones quedan fijados en la parte resolutiva de la presente Resolución</w:t>
      </w:r>
      <w:r>
        <w:rPr>
          <w:i/>
        </w:rPr>
        <w:t xml:space="preserve"> (</w:t>
      </w:r>
      <w:r w:rsidRPr="006A760B">
        <w:rPr>
          <w:i/>
        </w:rPr>
        <w:t>infra</w:t>
      </w:r>
      <w:r w:rsidR="004926CA">
        <w:t>,</w:t>
      </w:r>
      <w:r>
        <w:t xml:space="preserve"> </w:t>
      </w:r>
      <w:r w:rsidRPr="000D2DC5">
        <w:t xml:space="preserve">punto resolutivo </w:t>
      </w:r>
      <w:r w:rsidR="00765FBC" w:rsidRPr="000D2DC5">
        <w:t>1</w:t>
      </w:r>
      <w:r>
        <w:t xml:space="preserve">). </w:t>
      </w:r>
    </w:p>
    <w:p w:rsidR="003A4E2F" w:rsidRPr="003A4E2F" w:rsidRDefault="003A4E2F" w:rsidP="003A4E2F">
      <w:pPr>
        <w:autoSpaceDE w:val="0"/>
        <w:autoSpaceDN w:val="0"/>
        <w:adjustRightInd w:val="0"/>
        <w:spacing w:after="0"/>
        <w:rPr>
          <w:rStyle w:val="Strong"/>
          <w:rFonts w:eastAsia="Times New Roman" w:cs="Verdana"/>
          <w:b w:val="0"/>
          <w:bCs w:val="0"/>
          <w:szCs w:val="20"/>
          <w:lang w:val="es-CL" w:eastAsia="en-US"/>
        </w:rPr>
      </w:pPr>
    </w:p>
    <w:p w:rsidR="00980C2D" w:rsidRPr="00980C2D" w:rsidRDefault="006A760B" w:rsidP="00980C2D">
      <w:pPr>
        <w:numPr>
          <w:ilvl w:val="0"/>
          <w:numId w:val="1"/>
        </w:numPr>
        <w:tabs>
          <w:tab w:val="num" w:pos="720"/>
        </w:tabs>
        <w:autoSpaceDE w:val="0"/>
        <w:autoSpaceDN w:val="0"/>
        <w:adjustRightInd w:val="0"/>
        <w:spacing w:after="0"/>
        <w:rPr>
          <w:rFonts w:eastAsia="Times New Roman" w:cs="Verdana"/>
          <w:szCs w:val="20"/>
          <w:lang w:val="es-CL" w:eastAsia="en-US"/>
        </w:rPr>
      </w:pPr>
      <w:r>
        <w:rPr>
          <w:rStyle w:val="Strong"/>
          <w:rFonts w:eastAsia="Times New Roman" w:cs="Verdana"/>
          <w:b w:val="0"/>
          <w:bCs w:val="0"/>
          <w:szCs w:val="20"/>
          <w:lang w:val="es-CL" w:eastAsia="en-US"/>
        </w:rPr>
        <w:t>Las otras objeciones del Estado respecto a declaraciones de presuntas víctimas no tienen por finalidad que tales declaraciones sean inadmitidas. Al respecto, l</w:t>
      </w:r>
      <w:r w:rsidR="00974BAA" w:rsidRPr="006A760B">
        <w:rPr>
          <w:rStyle w:val="Strong"/>
          <w:rFonts w:eastAsia="Times New Roman" w:cs="Verdana"/>
          <w:b w:val="0"/>
          <w:bCs w:val="0"/>
          <w:szCs w:val="20"/>
          <w:lang w:val="es-CL" w:eastAsia="en-US"/>
        </w:rPr>
        <w:t>a Presidencia</w:t>
      </w:r>
      <w:r w:rsidR="00033B2E" w:rsidRPr="006A760B">
        <w:rPr>
          <w:rStyle w:val="Strong"/>
          <w:rFonts w:eastAsia="Times New Roman" w:cs="Verdana"/>
          <w:b w:val="0"/>
          <w:bCs w:val="0"/>
          <w:szCs w:val="20"/>
          <w:lang w:val="es-CL" w:eastAsia="en-US"/>
        </w:rPr>
        <w:t xml:space="preserve"> </w:t>
      </w:r>
      <w:r>
        <w:rPr>
          <w:rStyle w:val="Strong"/>
          <w:rFonts w:eastAsia="Times New Roman" w:cs="Verdana"/>
          <w:b w:val="0"/>
          <w:bCs w:val="0"/>
          <w:szCs w:val="20"/>
          <w:lang w:val="es-CL" w:eastAsia="en-US"/>
        </w:rPr>
        <w:t xml:space="preserve">considera oportuno </w:t>
      </w:r>
      <w:r w:rsidR="00033B2E" w:rsidRPr="006A760B">
        <w:rPr>
          <w:rStyle w:val="Strong"/>
          <w:rFonts w:eastAsia="Times New Roman" w:cs="Verdana"/>
          <w:b w:val="0"/>
          <w:bCs w:val="0"/>
          <w:szCs w:val="20"/>
          <w:lang w:val="es-CL" w:eastAsia="en-US"/>
        </w:rPr>
        <w:t>rec</w:t>
      </w:r>
      <w:r>
        <w:rPr>
          <w:rStyle w:val="Strong"/>
          <w:rFonts w:eastAsia="Times New Roman" w:cs="Verdana"/>
          <w:b w:val="0"/>
          <w:bCs w:val="0"/>
          <w:szCs w:val="20"/>
          <w:lang w:val="es-CL" w:eastAsia="en-US"/>
        </w:rPr>
        <w:t>ordar</w:t>
      </w:r>
      <w:r w:rsidR="00033B2E" w:rsidRPr="006A760B">
        <w:rPr>
          <w:rStyle w:val="Strong"/>
          <w:rFonts w:eastAsia="Times New Roman" w:cs="Verdana"/>
          <w:b w:val="0"/>
          <w:bCs w:val="0"/>
          <w:szCs w:val="20"/>
          <w:lang w:val="es-CL" w:eastAsia="en-US"/>
        </w:rPr>
        <w:t xml:space="preserve"> que, </w:t>
      </w:r>
      <w:r w:rsidR="00033B2E" w:rsidRPr="006A760B">
        <w:rPr>
          <w:rFonts w:eastAsiaTheme="minorHAnsi" w:cs="Verdana"/>
          <w:szCs w:val="20"/>
          <w:lang w:val="es-CR" w:eastAsia="en-US"/>
        </w:rPr>
        <w:t>con base en lo establecido en los artículos 46, 47, 50, 51, del Reglamento,</w:t>
      </w:r>
      <w:r w:rsidR="00033B2E" w:rsidRPr="006A760B">
        <w:rPr>
          <w:rFonts w:eastAsia="Times New Roman" w:cs="Verdana"/>
          <w:szCs w:val="20"/>
          <w:lang w:val="es-CL" w:eastAsia="en-US"/>
        </w:rPr>
        <w:t xml:space="preserve"> </w:t>
      </w:r>
      <w:r w:rsidR="00033B2E" w:rsidRPr="006A760B">
        <w:rPr>
          <w:rFonts w:eastAsiaTheme="minorHAnsi" w:cs="Verdana"/>
          <w:szCs w:val="20"/>
          <w:lang w:val="es-CR" w:eastAsia="en-US"/>
        </w:rPr>
        <w:t>así como en su jurisprudencia constante en materia de prueba y su apreciación</w:t>
      </w:r>
      <w:r w:rsidR="00033B2E">
        <w:rPr>
          <w:rStyle w:val="FootnoteReference"/>
          <w:rFonts w:eastAsiaTheme="minorHAnsi" w:cs="Verdana"/>
          <w:szCs w:val="20"/>
          <w:lang w:val="es-CR" w:eastAsia="en-US"/>
        </w:rPr>
        <w:footnoteReference w:id="13"/>
      </w:r>
      <w:r w:rsidR="00033B2E" w:rsidRPr="006A760B">
        <w:rPr>
          <w:rFonts w:eastAsiaTheme="minorHAnsi" w:cs="Verdana"/>
          <w:szCs w:val="20"/>
          <w:lang w:val="es-CR" w:eastAsia="en-US"/>
        </w:rPr>
        <w:t>, la Corte</w:t>
      </w:r>
      <w:r w:rsidR="00033B2E" w:rsidRPr="006A760B">
        <w:rPr>
          <w:rFonts w:eastAsia="Times New Roman" w:cs="Verdana"/>
          <w:szCs w:val="20"/>
          <w:lang w:val="es-CL" w:eastAsia="en-US"/>
        </w:rPr>
        <w:t xml:space="preserve"> </w:t>
      </w:r>
      <w:r w:rsidR="00033B2E" w:rsidRPr="006A760B">
        <w:rPr>
          <w:rFonts w:eastAsiaTheme="minorHAnsi" w:cs="Verdana"/>
          <w:szCs w:val="20"/>
          <w:lang w:val="es-CR" w:eastAsia="en-US"/>
        </w:rPr>
        <w:t>examinará y valorará los elementos probatorios en</w:t>
      </w:r>
      <w:r w:rsidR="00033B2E" w:rsidRPr="006A760B">
        <w:rPr>
          <w:rFonts w:eastAsia="Times New Roman" w:cs="Verdana"/>
          <w:szCs w:val="20"/>
          <w:lang w:val="es-CL" w:eastAsia="en-US"/>
        </w:rPr>
        <w:t xml:space="preserve"> </w:t>
      </w:r>
      <w:r w:rsidR="00033B2E" w:rsidRPr="006A760B">
        <w:rPr>
          <w:rFonts w:eastAsiaTheme="minorHAnsi" w:cs="Verdana"/>
          <w:szCs w:val="20"/>
          <w:lang w:val="es-CR" w:eastAsia="en-US"/>
        </w:rPr>
        <w:t>los momentos procesales oportunos</w:t>
      </w:r>
      <w:r w:rsidR="00980C2D">
        <w:rPr>
          <w:rFonts w:eastAsiaTheme="minorHAnsi" w:cs="Verdana"/>
          <w:szCs w:val="20"/>
          <w:lang w:val="es-CR" w:eastAsia="en-US"/>
        </w:rPr>
        <w:t>, sujet</w:t>
      </w:r>
      <w:r w:rsidR="00663613">
        <w:rPr>
          <w:rFonts w:eastAsiaTheme="minorHAnsi" w:cs="Verdana"/>
          <w:szCs w:val="20"/>
          <w:lang w:val="es-CR" w:eastAsia="en-US"/>
        </w:rPr>
        <w:t>á</w:t>
      </w:r>
      <w:r w:rsidR="00980C2D">
        <w:rPr>
          <w:rFonts w:eastAsiaTheme="minorHAnsi" w:cs="Verdana"/>
          <w:szCs w:val="20"/>
          <w:lang w:val="es-CR" w:eastAsia="en-US"/>
        </w:rPr>
        <w:t>ndose</w:t>
      </w:r>
      <w:r w:rsidR="00033B2E" w:rsidRPr="006A760B">
        <w:rPr>
          <w:rFonts w:eastAsiaTheme="minorHAnsi" w:cs="Verdana"/>
          <w:szCs w:val="20"/>
          <w:lang w:val="es-CR" w:eastAsia="en-US"/>
        </w:rPr>
        <w:t xml:space="preserve"> a los principios de la sana crítica, dentro del marco </w:t>
      </w:r>
      <w:r w:rsidR="00033B2E" w:rsidRPr="006A760B">
        <w:rPr>
          <w:rFonts w:eastAsiaTheme="minorHAnsi" w:cs="Verdana"/>
          <w:szCs w:val="20"/>
          <w:lang w:val="es-CR" w:eastAsia="en-US"/>
        </w:rPr>
        <w:lastRenderedPageBreak/>
        <w:t>normativo correspondiente</w:t>
      </w:r>
      <w:r w:rsidR="00033B2E" w:rsidRPr="006A760B">
        <w:rPr>
          <w:rFonts w:eastAsia="Times New Roman" w:cs="Verdana"/>
          <w:szCs w:val="20"/>
          <w:lang w:val="es-CL" w:eastAsia="en-US"/>
        </w:rPr>
        <w:t xml:space="preserve"> </w:t>
      </w:r>
      <w:r w:rsidR="00033B2E" w:rsidRPr="006A760B">
        <w:rPr>
          <w:rFonts w:eastAsiaTheme="minorHAnsi" w:cs="Verdana"/>
          <w:szCs w:val="20"/>
          <w:lang w:val="es-CR" w:eastAsia="en-US"/>
        </w:rPr>
        <w:t>teniendo en cuenta el conjunto del acervo probatorio y lo alegado en la causa</w:t>
      </w:r>
      <w:r w:rsidR="00033B2E">
        <w:rPr>
          <w:rStyle w:val="FootnoteReference"/>
          <w:rFonts w:eastAsiaTheme="minorHAnsi" w:cs="Verdana"/>
          <w:szCs w:val="20"/>
          <w:lang w:val="es-CR" w:eastAsia="en-US"/>
        </w:rPr>
        <w:footnoteReference w:id="14"/>
      </w:r>
      <w:r w:rsidR="00033B2E" w:rsidRPr="006A760B">
        <w:rPr>
          <w:rFonts w:eastAsiaTheme="minorHAnsi" w:cs="Verdana"/>
          <w:szCs w:val="20"/>
          <w:lang w:val="es-CR" w:eastAsia="en-US"/>
        </w:rPr>
        <w:t xml:space="preserve">. </w:t>
      </w:r>
    </w:p>
    <w:p w:rsidR="00980C2D" w:rsidRDefault="00980C2D" w:rsidP="00980C2D">
      <w:pPr>
        <w:pStyle w:val="ListParagraph"/>
        <w:spacing w:after="0"/>
        <w:rPr>
          <w:rFonts w:eastAsiaTheme="minorHAnsi" w:cs="Verdana"/>
          <w:szCs w:val="20"/>
          <w:lang w:val="es-CR" w:eastAsia="en-US"/>
        </w:rPr>
      </w:pPr>
    </w:p>
    <w:p w:rsidR="004F4ADF" w:rsidRPr="004F4ADF" w:rsidRDefault="00980C2D" w:rsidP="004F4ADF">
      <w:pPr>
        <w:numPr>
          <w:ilvl w:val="0"/>
          <w:numId w:val="1"/>
        </w:numPr>
        <w:tabs>
          <w:tab w:val="num" w:pos="720"/>
        </w:tabs>
        <w:autoSpaceDE w:val="0"/>
        <w:autoSpaceDN w:val="0"/>
        <w:adjustRightInd w:val="0"/>
        <w:spacing w:after="0"/>
        <w:rPr>
          <w:rFonts w:eastAsia="Times New Roman" w:cs="Verdana"/>
          <w:szCs w:val="20"/>
          <w:lang w:val="es-CL" w:eastAsia="en-US"/>
        </w:rPr>
      </w:pPr>
      <w:r>
        <w:rPr>
          <w:rFonts w:eastAsiaTheme="minorHAnsi" w:cs="Verdana"/>
          <w:szCs w:val="20"/>
          <w:lang w:val="es-CR" w:eastAsia="en-US"/>
        </w:rPr>
        <w:t xml:space="preserve">Se admiten, entonces, las declaraciones de </w:t>
      </w:r>
      <w:r w:rsidRPr="00980C2D">
        <w:t xml:space="preserve">Miguel Ángel Álvarez Solano, Clemencia Patricia Álvarez Solano y Jaime Antonio </w:t>
      </w:r>
      <w:proofErr w:type="spellStart"/>
      <w:r w:rsidRPr="00980C2D">
        <w:t>Omeara</w:t>
      </w:r>
      <w:proofErr w:type="spellEnd"/>
      <w:r w:rsidRPr="00980C2D">
        <w:t xml:space="preserve"> </w:t>
      </w:r>
      <w:proofErr w:type="spellStart"/>
      <w:r w:rsidRPr="00980C2D">
        <w:t>Miraval</w:t>
      </w:r>
      <w:proofErr w:type="spellEnd"/>
      <w:r>
        <w:t>; sus objetos quedan determinados en la parte resolutiva de la presente Resolución (</w:t>
      </w:r>
      <w:r>
        <w:rPr>
          <w:i/>
        </w:rPr>
        <w:t>infra</w:t>
      </w:r>
      <w:r w:rsidR="004926CA">
        <w:t xml:space="preserve"> </w:t>
      </w:r>
      <w:r>
        <w:t xml:space="preserve">punto resolutivo </w:t>
      </w:r>
      <w:r w:rsidR="00765FBC" w:rsidRPr="000D2DC5">
        <w:t>1</w:t>
      </w:r>
      <w:r>
        <w:t>)</w:t>
      </w:r>
      <w:r w:rsidR="004926CA">
        <w:t>.</w:t>
      </w:r>
    </w:p>
    <w:p w:rsidR="004F4ADF" w:rsidRPr="00FE04D9" w:rsidRDefault="004F4ADF" w:rsidP="004F4ADF">
      <w:pPr>
        <w:autoSpaceDE w:val="0"/>
        <w:autoSpaceDN w:val="0"/>
        <w:adjustRightInd w:val="0"/>
        <w:spacing w:after="0"/>
        <w:rPr>
          <w:rFonts w:eastAsia="Times New Roman" w:cs="Verdana"/>
          <w:szCs w:val="20"/>
          <w:lang w:val="es-CL" w:eastAsia="en-US"/>
        </w:rPr>
      </w:pPr>
    </w:p>
    <w:p w:rsidR="004F4ADF" w:rsidRPr="004F4ADF" w:rsidRDefault="004F4ADF" w:rsidP="004F4ADF">
      <w:pPr>
        <w:pStyle w:val="ListParagraph1"/>
        <w:numPr>
          <w:ilvl w:val="0"/>
          <w:numId w:val="16"/>
        </w:numPr>
        <w:ind w:right="11"/>
        <w:jc w:val="both"/>
        <w:rPr>
          <w:rFonts w:ascii="Verdana" w:hAnsi="Verdana"/>
          <w:b/>
          <w:sz w:val="20"/>
          <w:szCs w:val="20"/>
          <w:lang w:val="es-CR"/>
        </w:rPr>
      </w:pPr>
      <w:r w:rsidRPr="00090FD3">
        <w:rPr>
          <w:rFonts w:ascii="Verdana" w:hAnsi="Verdana"/>
          <w:b/>
          <w:sz w:val="20"/>
          <w:szCs w:val="20"/>
          <w:lang w:val="es-CR"/>
        </w:rPr>
        <w:t xml:space="preserve">Observaciones realizadas por el Estado a las pruebas periciales ofrecidas por los representantes </w:t>
      </w:r>
    </w:p>
    <w:p w:rsidR="004F4ADF" w:rsidRDefault="004F4ADF" w:rsidP="004F4ADF">
      <w:pPr>
        <w:pStyle w:val="ListParagraph"/>
        <w:rPr>
          <w:rFonts w:eastAsiaTheme="minorHAnsi" w:cs="Verdana"/>
          <w:szCs w:val="20"/>
          <w:lang w:val="es-CR" w:eastAsia="en-US"/>
        </w:rPr>
      </w:pPr>
    </w:p>
    <w:p w:rsidR="004F4ADF" w:rsidRPr="004F4ADF" w:rsidRDefault="00BD7401" w:rsidP="004F4ADF">
      <w:pPr>
        <w:numPr>
          <w:ilvl w:val="0"/>
          <w:numId w:val="1"/>
        </w:numPr>
        <w:tabs>
          <w:tab w:val="num" w:pos="720"/>
        </w:tabs>
        <w:autoSpaceDE w:val="0"/>
        <w:autoSpaceDN w:val="0"/>
        <w:adjustRightInd w:val="0"/>
        <w:spacing w:after="0"/>
        <w:rPr>
          <w:rFonts w:eastAsia="Times New Roman" w:cs="Verdana"/>
          <w:szCs w:val="20"/>
          <w:lang w:val="es-CL" w:eastAsia="en-US"/>
        </w:rPr>
      </w:pPr>
      <w:r w:rsidRPr="004F4ADF">
        <w:rPr>
          <w:rFonts w:eastAsiaTheme="minorHAnsi" w:cs="Verdana"/>
          <w:szCs w:val="20"/>
          <w:lang w:val="es-CR" w:eastAsia="en-US"/>
        </w:rPr>
        <w:t>En su escrito de solicitudes y argumentos, los representantes ofrecieron seis dictámenes periciales, los cuales fueron reiterados en su lista definitiva de declarantes.</w:t>
      </w:r>
    </w:p>
    <w:p w:rsidR="004F4ADF" w:rsidRPr="004F4ADF" w:rsidRDefault="004F4ADF" w:rsidP="004F4ADF">
      <w:pPr>
        <w:autoSpaceDE w:val="0"/>
        <w:autoSpaceDN w:val="0"/>
        <w:adjustRightInd w:val="0"/>
        <w:spacing w:after="0"/>
        <w:rPr>
          <w:rFonts w:eastAsia="Times New Roman" w:cs="Verdana"/>
          <w:szCs w:val="20"/>
          <w:lang w:val="es-CL" w:eastAsia="en-US"/>
        </w:rPr>
      </w:pPr>
    </w:p>
    <w:p w:rsidR="004F4ADF" w:rsidRDefault="00BD7401" w:rsidP="004F4ADF">
      <w:pPr>
        <w:numPr>
          <w:ilvl w:val="0"/>
          <w:numId w:val="1"/>
        </w:numPr>
        <w:tabs>
          <w:tab w:val="num" w:pos="720"/>
        </w:tabs>
        <w:autoSpaceDE w:val="0"/>
        <w:autoSpaceDN w:val="0"/>
        <w:adjustRightInd w:val="0"/>
        <w:spacing w:after="0"/>
        <w:rPr>
          <w:rFonts w:eastAsia="Times New Roman" w:cs="Verdana"/>
          <w:szCs w:val="20"/>
          <w:lang w:val="es-CL" w:eastAsia="en-US"/>
        </w:rPr>
      </w:pPr>
      <w:r>
        <w:t xml:space="preserve">Al momento de realizar observaciones al listado definitivo de pruebas periciales de los representantes, el Estado </w:t>
      </w:r>
      <w:r w:rsidR="0057543B">
        <w:t xml:space="preserve">cuestionó </w:t>
      </w:r>
      <w:r>
        <w:t xml:space="preserve">parcialmente </w:t>
      </w:r>
      <w:r w:rsidR="0057543B">
        <w:t xml:space="preserve">el objeto de </w:t>
      </w:r>
      <w:r>
        <w:t>los dictámenes de los señores</w:t>
      </w:r>
      <w:r w:rsidRPr="00036249">
        <w:t xml:space="preserve"> Fernando Ruiz y Carolina Torres, con </w:t>
      </w:r>
      <w:r>
        <w:t>el argum</w:t>
      </w:r>
      <w:r w:rsidR="00036249">
        <w:t xml:space="preserve">ento de que hacen referencia a </w:t>
      </w:r>
      <w:r>
        <w:t xml:space="preserve">daño sufrido por José </w:t>
      </w:r>
      <w:proofErr w:type="spellStart"/>
      <w:r>
        <w:t>Erminso</w:t>
      </w:r>
      <w:proofErr w:type="spellEnd"/>
      <w:r w:rsidR="00036249">
        <w:t xml:space="preserve"> Sepúlveda Saravia y familiares</w:t>
      </w:r>
      <w:r>
        <w:t xml:space="preserve">. </w:t>
      </w:r>
      <w:r w:rsidR="000A79DC">
        <w:t xml:space="preserve">Además, </w:t>
      </w:r>
      <w:r w:rsidR="000E5F7F">
        <w:t xml:space="preserve">el Estado solicitó que se rechazara totalmente el </w:t>
      </w:r>
      <w:r>
        <w:t>dict</w:t>
      </w:r>
      <w:r w:rsidR="000E5F7F">
        <w:t>a</w:t>
      </w:r>
      <w:r>
        <w:t>m</w:t>
      </w:r>
      <w:r w:rsidR="000E5F7F">
        <w:t>en del señor</w:t>
      </w:r>
      <w:r>
        <w:t xml:space="preserve"> </w:t>
      </w:r>
      <w:r w:rsidRPr="00036249">
        <w:t>Luis Augusto Ch</w:t>
      </w:r>
      <w:r w:rsidR="000E5F7F" w:rsidRPr="00036249">
        <w:t>ávez</w:t>
      </w:r>
      <w:r w:rsidR="000E5F7F">
        <w:t xml:space="preserve">, por considerar que “no </w:t>
      </w:r>
      <w:r w:rsidR="00036249">
        <w:t xml:space="preserve">guarda relación </w:t>
      </w:r>
      <w:r w:rsidR="000E5F7F">
        <w:t>con el marco fáctico”.</w:t>
      </w:r>
    </w:p>
    <w:p w:rsidR="004F4ADF" w:rsidRPr="004F4ADF" w:rsidRDefault="004F4ADF" w:rsidP="004F4ADF">
      <w:pPr>
        <w:autoSpaceDE w:val="0"/>
        <w:autoSpaceDN w:val="0"/>
        <w:adjustRightInd w:val="0"/>
        <w:spacing w:after="0"/>
        <w:rPr>
          <w:rFonts w:eastAsia="Times New Roman" w:cs="Verdana"/>
          <w:szCs w:val="20"/>
          <w:lang w:val="es-CL" w:eastAsia="en-US"/>
        </w:rPr>
      </w:pPr>
    </w:p>
    <w:p w:rsidR="004F4ADF" w:rsidRDefault="000A79DC" w:rsidP="004F4ADF">
      <w:pPr>
        <w:numPr>
          <w:ilvl w:val="0"/>
          <w:numId w:val="1"/>
        </w:numPr>
        <w:tabs>
          <w:tab w:val="num" w:pos="720"/>
        </w:tabs>
        <w:autoSpaceDE w:val="0"/>
        <w:autoSpaceDN w:val="0"/>
        <w:adjustRightInd w:val="0"/>
        <w:spacing w:after="0"/>
        <w:rPr>
          <w:rFonts w:eastAsia="Times New Roman" w:cs="Verdana"/>
          <w:szCs w:val="20"/>
          <w:lang w:val="es-CL" w:eastAsia="en-US"/>
        </w:rPr>
      </w:pPr>
      <w:r w:rsidRPr="004F4ADF">
        <w:rPr>
          <w:rFonts w:eastAsiaTheme="minorHAnsi" w:cs="Verdana"/>
          <w:szCs w:val="20"/>
          <w:lang w:val="es-CR" w:eastAsia="en-US"/>
        </w:rPr>
        <w:t xml:space="preserve">Por lo que hace a la señora Liz Arévalo, el Estado manifestó que </w:t>
      </w:r>
      <w:r w:rsidR="00D86037" w:rsidRPr="004F4ADF">
        <w:rPr>
          <w:rFonts w:eastAsiaTheme="minorHAnsi" w:cs="Verdana"/>
          <w:szCs w:val="20"/>
          <w:lang w:val="es-CR" w:eastAsia="en-US"/>
        </w:rPr>
        <w:t xml:space="preserve">un peritaje debe ser “imparcial y objetivo” y que </w:t>
      </w:r>
      <w:r w:rsidRPr="004F4ADF">
        <w:rPr>
          <w:rFonts w:eastAsiaTheme="minorHAnsi" w:cs="Verdana"/>
          <w:szCs w:val="20"/>
          <w:lang w:val="es-CR" w:eastAsia="en-US"/>
        </w:rPr>
        <w:t>de aceptarse dicho dictamen, se estaría “</w:t>
      </w:r>
      <w:proofErr w:type="gramStart"/>
      <w:r w:rsidRPr="004F4ADF">
        <w:rPr>
          <w:rFonts w:eastAsiaTheme="minorHAnsi" w:cs="Verdana"/>
          <w:szCs w:val="20"/>
          <w:lang w:val="es-CR" w:eastAsia="en-US"/>
        </w:rPr>
        <w:t>prejuzga</w:t>
      </w:r>
      <w:r w:rsidR="00036249" w:rsidRPr="004F4ADF">
        <w:rPr>
          <w:rFonts w:eastAsiaTheme="minorHAnsi" w:cs="Verdana"/>
          <w:szCs w:val="20"/>
          <w:lang w:val="es-CR" w:eastAsia="en-US"/>
        </w:rPr>
        <w:t>[</w:t>
      </w:r>
      <w:proofErr w:type="spellStart"/>
      <w:proofErr w:type="gramEnd"/>
      <w:r w:rsidRPr="004F4ADF">
        <w:rPr>
          <w:rFonts w:eastAsiaTheme="minorHAnsi" w:cs="Verdana"/>
          <w:szCs w:val="20"/>
          <w:lang w:val="es-CR" w:eastAsia="en-US"/>
        </w:rPr>
        <w:t>ndo</w:t>
      </w:r>
      <w:proofErr w:type="spellEnd"/>
      <w:r w:rsidR="00036249" w:rsidRPr="004F4ADF">
        <w:rPr>
          <w:rFonts w:eastAsiaTheme="minorHAnsi" w:cs="Verdana"/>
          <w:szCs w:val="20"/>
          <w:lang w:val="es-CR" w:eastAsia="en-US"/>
        </w:rPr>
        <w:t>]</w:t>
      </w:r>
      <w:r w:rsidRPr="004F4ADF">
        <w:rPr>
          <w:rFonts w:eastAsiaTheme="minorHAnsi" w:cs="Verdana"/>
          <w:szCs w:val="20"/>
          <w:lang w:val="es-CR" w:eastAsia="en-US"/>
        </w:rPr>
        <w:t xml:space="preserve"> el Programa de Atención Psicosocial a Víctimas del Conflicto Armado”.</w:t>
      </w:r>
    </w:p>
    <w:p w:rsidR="004F4ADF" w:rsidRPr="004F4ADF" w:rsidRDefault="004F4ADF" w:rsidP="004F4ADF">
      <w:pPr>
        <w:autoSpaceDE w:val="0"/>
        <w:autoSpaceDN w:val="0"/>
        <w:adjustRightInd w:val="0"/>
        <w:spacing w:after="0"/>
        <w:rPr>
          <w:rFonts w:eastAsia="Times New Roman" w:cs="Verdana"/>
          <w:szCs w:val="20"/>
          <w:lang w:val="es-CL" w:eastAsia="en-US"/>
        </w:rPr>
      </w:pPr>
    </w:p>
    <w:p w:rsidR="004F4ADF" w:rsidRDefault="000A79DC" w:rsidP="004F4ADF">
      <w:pPr>
        <w:numPr>
          <w:ilvl w:val="0"/>
          <w:numId w:val="1"/>
        </w:numPr>
        <w:tabs>
          <w:tab w:val="num" w:pos="720"/>
        </w:tabs>
        <w:autoSpaceDE w:val="0"/>
        <w:autoSpaceDN w:val="0"/>
        <w:adjustRightInd w:val="0"/>
        <w:spacing w:after="0"/>
        <w:rPr>
          <w:rFonts w:eastAsia="Times New Roman" w:cs="Verdana"/>
          <w:szCs w:val="20"/>
          <w:lang w:val="es-CL" w:eastAsia="en-US"/>
        </w:rPr>
      </w:pPr>
      <w:r>
        <w:t xml:space="preserve">En cuanto a las objeciones estatales respecto de las declaraciones periciales de </w:t>
      </w:r>
      <w:r w:rsidRPr="00663613">
        <w:t>Fernando Ruiz, Carolina Torres y Luis Augusto Chávez</w:t>
      </w:r>
      <w:r>
        <w:t>, caben análogas consideraciones que las expresadas respecto a las objeciones estatales a las declaraciones de presuntas víctimas por estar el objeto propuesto para las mismas relacionado a un marco fáctico o a personas que, según el Estado, no se vinculan con el caso (</w:t>
      </w:r>
      <w:r w:rsidRPr="004F4ADF">
        <w:rPr>
          <w:i/>
        </w:rPr>
        <w:t>supra</w:t>
      </w:r>
      <w:r>
        <w:t xml:space="preserve"> </w:t>
      </w:r>
      <w:r w:rsidRPr="00A51B87">
        <w:t xml:space="preserve">Considerando </w:t>
      </w:r>
      <w:r w:rsidR="009F67F3" w:rsidRPr="00A51B87">
        <w:t>29</w:t>
      </w:r>
      <w:r w:rsidRPr="00A51B87">
        <w:t>).</w:t>
      </w:r>
      <w:r>
        <w:t xml:space="preserve"> Por lo tanto, tales declaraciones son admitidas. El objeto de las mismas queda fijado en la parte resolutiva de la presente Resolución (</w:t>
      </w:r>
      <w:r w:rsidRPr="004F4ADF">
        <w:rPr>
          <w:i/>
        </w:rPr>
        <w:t>infra</w:t>
      </w:r>
      <w:r>
        <w:t xml:space="preserve"> punto resolutivo </w:t>
      </w:r>
      <w:r w:rsidR="000C2DEF" w:rsidRPr="000D2DC5">
        <w:t>1</w:t>
      </w:r>
      <w:r>
        <w:t xml:space="preserve">). </w:t>
      </w:r>
    </w:p>
    <w:p w:rsidR="004F4ADF" w:rsidRPr="004F4ADF" w:rsidRDefault="004F4ADF" w:rsidP="004F4ADF">
      <w:pPr>
        <w:autoSpaceDE w:val="0"/>
        <w:autoSpaceDN w:val="0"/>
        <w:adjustRightInd w:val="0"/>
        <w:spacing w:after="0"/>
        <w:rPr>
          <w:rFonts w:eastAsia="Times New Roman" w:cs="Verdana"/>
          <w:szCs w:val="20"/>
          <w:lang w:val="es-CL" w:eastAsia="en-US"/>
        </w:rPr>
      </w:pPr>
    </w:p>
    <w:p w:rsidR="00EF5E26" w:rsidRPr="009F67F3" w:rsidRDefault="00D86037" w:rsidP="008E6216">
      <w:pPr>
        <w:numPr>
          <w:ilvl w:val="0"/>
          <w:numId w:val="1"/>
        </w:numPr>
        <w:tabs>
          <w:tab w:val="num" w:pos="720"/>
        </w:tabs>
        <w:autoSpaceDE w:val="0"/>
        <w:autoSpaceDN w:val="0"/>
        <w:adjustRightInd w:val="0"/>
        <w:spacing w:after="0"/>
        <w:rPr>
          <w:rFonts w:eastAsia="Times New Roman" w:cs="Verdana"/>
          <w:szCs w:val="20"/>
          <w:lang w:val="es-CL" w:eastAsia="en-US"/>
        </w:rPr>
      </w:pPr>
      <w:r>
        <w:t xml:space="preserve">Respecto a la señora Liz Arévalo, aunque el Estado refirió que un peritaje debe ser “imparcial y objetivo”, no afirmó que la persona propuesta como perita carezca de objetividad o sea parcial, sino que entendió que el modo en que está propuesto el objeto del peritaje implica un prejuzgamiento sobre el Programa de Atención Psicosocial a Víctimas del Conflicto Armado. Esta Presidencia entiende </w:t>
      </w:r>
      <w:r w:rsidR="00036249">
        <w:t xml:space="preserve">que </w:t>
      </w:r>
      <w:r>
        <w:t>el cuestionamiento de Colombia no tiene entidad suficiente para generar la inadmisión de la pericia de la señora Arévalo. Por tanto, se admite su declaración pericial. Sin perjuicio de ello, se tiene en consideración el señalamiento estatal respecto al objeto de la declaración; que queda fijado en la parte resolutiva de la presente Resolución (</w:t>
      </w:r>
      <w:r w:rsidRPr="004F4ADF">
        <w:rPr>
          <w:i/>
        </w:rPr>
        <w:t>infra</w:t>
      </w:r>
      <w:r>
        <w:t xml:space="preserve"> punto resolutivo </w:t>
      </w:r>
      <w:r w:rsidR="00335680" w:rsidRPr="000D2DC5">
        <w:t>1</w:t>
      </w:r>
      <w:r>
        <w:t xml:space="preserve">). </w:t>
      </w:r>
    </w:p>
    <w:p w:rsidR="004F4ADF" w:rsidRDefault="004F4ADF" w:rsidP="008E6216">
      <w:pPr>
        <w:spacing w:after="0"/>
        <w:rPr>
          <w:szCs w:val="20"/>
        </w:rPr>
      </w:pPr>
    </w:p>
    <w:p w:rsidR="008E6216" w:rsidRPr="00E44575"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E44575">
        <w:rPr>
          <w:rFonts w:cs="Verdana"/>
          <w:b/>
          <w:bCs/>
          <w:szCs w:val="20"/>
          <w:lang w:bidi="en-US"/>
        </w:rPr>
        <w:t xml:space="preserve">POR TANTO:  </w:t>
      </w:r>
    </w:p>
    <w:p w:rsidR="008E6216" w:rsidRPr="00E44575"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E44575">
        <w:rPr>
          <w:rFonts w:cs="Verdana"/>
          <w:b/>
          <w:bCs/>
          <w:szCs w:val="20"/>
          <w:lang w:bidi="en-US"/>
        </w:rPr>
        <w:t xml:space="preserve"> </w:t>
      </w:r>
    </w:p>
    <w:p w:rsidR="008E6216"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b/>
          <w:bCs/>
          <w:szCs w:val="20"/>
          <w:lang w:bidi="en-US"/>
        </w:rPr>
      </w:pPr>
      <w:r w:rsidRPr="002B670F">
        <w:rPr>
          <w:rFonts w:cs="Verdana"/>
          <w:b/>
          <w:bCs/>
          <w:szCs w:val="20"/>
          <w:lang w:bidi="en-US"/>
        </w:rPr>
        <w:t>EL PRESIDENTE EN EJERCICIO DE LA CORTE INTERAMERICANA DE DERECHOS</w:t>
      </w:r>
      <w:r w:rsidRPr="00E44575">
        <w:rPr>
          <w:rFonts w:cs="Verdana"/>
          <w:b/>
          <w:bCs/>
          <w:szCs w:val="20"/>
          <w:lang w:bidi="en-US"/>
        </w:rPr>
        <w:t xml:space="preserve"> HUMANOS,  </w:t>
      </w:r>
    </w:p>
    <w:p w:rsidR="008E6216" w:rsidRPr="00E44575"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8E6216" w:rsidRPr="00E44575"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E44575">
        <w:rPr>
          <w:rFonts w:cs="Verdana"/>
          <w:szCs w:val="20"/>
          <w:lang w:bidi="en-US"/>
        </w:rPr>
        <w:t>De conformidad con los artículos 24.1 y 25.2 del Estatuto de la Corte y</w:t>
      </w:r>
      <w:r w:rsidR="00396B01">
        <w:rPr>
          <w:rFonts w:cs="Verdana"/>
          <w:szCs w:val="20"/>
          <w:lang w:bidi="en-US"/>
        </w:rPr>
        <w:t xml:space="preserve"> con los artículos 4, 15.1</w:t>
      </w:r>
      <w:r w:rsidRPr="00E44575">
        <w:rPr>
          <w:rFonts w:cs="Verdana"/>
          <w:szCs w:val="20"/>
          <w:lang w:bidi="en-US"/>
        </w:rPr>
        <w:t xml:space="preserve">, 31.2, </w:t>
      </w:r>
      <w:r w:rsidR="00396B01">
        <w:rPr>
          <w:rFonts w:cs="Verdana"/>
          <w:szCs w:val="20"/>
          <w:lang w:bidi="en-US"/>
        </w:rPr>
        <w:t>35.1</w:t>
      </w:r>
      <w:r>
        <w:rPr>
          <w:rFonts w:cs="Verdana"/>
          <w:szCs w:val="20"/>
          <w:lang w:bidi="en-US"/>
        </w:rPr>
        <w:t xml:space="preserve">, 41.1, </w:t>
      </w:r>
      <w:r w:rsidRPr="00E44575">
        <w:rPr>
          <w:rFonts w:cs="Verdana"/>
          <w:szCs w:val="20"/>
          <w:lang w:bidi="en-US"/>
        </w:rPr>
        <w:t xml:space="preserve">45, </w:t>
      </w:r>
      <w:r>
        <w:rPr>
          <w:rFonts w:cs="Verdana"/>
          <w:szCs w:val="20"/>
          <w:lang w:bidi="en-US"/>
        </w:rPr>
        <w:t>46</w:t>
      </w:r>
      <w:r w:rsidRPr="00E44575">
        <w:rPr>
          <w:rFonts w:cs="Verdana"/>
          <w:szCs w:val="20"/>
          <w:lang w:bidi="en-US"/>
        </w:rPr>
        <w:t>,</w:t>
      </w:r>
      <w:r w:rsidR="00396B01">
        <w:rPr>
          <w:rFonts w:cs="Verdana"/>
          <w:szCs w:val="20"/>
          <w:lang w:bidi="en-US"/>
        </w:rPr>
        <w:t xml:space="preserve"> 47, 49</w:t>
      </w:r>
      <w:r w:rsidR="00036249">
        <w:rPr>
          <w:rFonts w:cs="Verdana"/>
          <w:szCs w:val="20"/>
          <w:lang w:bidi="en-US"/>
        </w:rPr>
        <w:t xml:space="preserve"> </w:t>
      </w:r>
      <w:r>
        <w:rPr>
          <w:rFonts w:cs="Verdana"/>
          <w:szCs w:val="20"/>
          <w:lang w:bidi="en-US"/>
        </w:rPr>
        <w:t>a</w:t>
      </w:r>
      <w:r w:rsidRPr="00E44575">
        <w:rPr>
          <w:rFonts w:cs="Verdana"/>
          <w:szCs w:val="20"/>
          <w:lang w:bidi="en-US"/>
        </w:rPr>
        <w:t xml:space="preserve"> 56</w:t>
      </w:r>
      <w:r>
        <w:rPr>
          <w:rFonts w:cs="Verdana"/>
          <w:szCs w:val="20"/>
          <w:lang w:bidi="en-US"/>
        </w:rPr>
        <w:t xml:space="preserve"> </w:t>
      </w:r>
      <w:r w:rsidRPr="00E44575">
        <w:rPr>
          <w:rFonts w:cs="Verdana"/>
          <w:szCs w:val="20"/>
          <w:lang w:bidi="en-US"/>
        </w:rPr>
        <w:t xml:space="preserve">y 60 del Reglamento del Tribunal,  </w:t>
      </w:r>
    </w:p>
    <w:p w:rsidR="008E6216" w:rsidRPr="00E44575"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E44575">
        <w:rPr>
          <w:rFonts w:cs="Verdana"/>
          <w:szCs w:val="20"/>
          <w:lang w:bidi="en-US"/>
        </w:rPr>
        <w:t xml:space="preserve"> </w:t>
      </w:r>
    </w:p>
    <w:p w:rsidR="008E6216"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b/>
          <w:bCs/>
          <w:szCs w:val="20"/>
          <w:lang w:bidi="en-US"/>
        </w:rPr>
      </w:pPr>
      <w:r w:rsidRPr="00E44575">
        <w:rPr>
          <w:rFonts w:cs="Verdana"/>
          <w:b/>
          <w:bCs/>
          <w:szCs w:val="20"/>
          <w:lang w:bidi="en-US"/>
        </w:rPr>
        <w:lastRenderedPageBreak/>
        <w:t xml:space="preserve">RESUELVE: </w:t>
      </w:r>
    </w:p>
    <w:p w:rsidR="00FC6392" w:rsidRPr="00FC6392" w:rsidRDefault="00FC6392" w:rsidP="00FC6392">
      <w:pPr>
        <w:pStyle w:val="Listavistosa-nfasis11"/>
        <w:widowControl w:val="0"/>
        <w:numPr>
          <w:ilvl w:val="0"/>
          <w:numId w:val="0"/>
        </w:numPr>
        <w:autoSpaceDE w:val="0"/>
        <w:autoSpaceDN w:val="0"/>
        <w:adjustRightInd w:val="0"/>
        <w:spacing w:after="0"/>
        <w:contextualSpacing w:val="0"/>
        <w:rPr>
          <w:rFonts w:cs="Verdana"/>
          <w:i/>
          <w:iCs/>
          <w:szCs w:val="20"/>
          <w:lang w:bidi="en-US"/>
        </w:rPr>
      </w:pPr>
    </w:p>
    <w:p w:rsidR="008E6216" w:rsidRPr="00BB0E7F" w:rsidRDefault="008E6216" w:rsidP="008E6216">
      <w:pPr>
        <w:pStyle w:val="Listavistosa-nfasis11"/>
        <w:widowControl w:val="0"/>
        <w:numPr>
          <w:ilvl w:val="3"/>
          <w:numId w:val="6"/>
        </w:numPr>
        <w:tabs>
          <w:tab w:val="clear" w:pos="450"/>
          <w:tab w:val="num" w:pos="720"/>
        </w:tabs>
        <w:autoSpaceDE w:val="0"/>
        <w:autoSpaceDN w:val="0"/>
        <w:adjustRightInd w:val="0"/>
        <w:spacing w:after="0"/>
        <w:ind w:left="0" w:firstLine="0"/>
        <w:contextualSpacing w:val="0"/>
        <w:rPr>
          <w:rFonts w:cs="Verdana"/>
          <w:i/>
          <w:iCs/>
          <w:szCs w:val="20"/>
          <w:lang w:bidi="en-US"/>
        </w:rPr>
      </w:pPr>
      <w:r w:rsidRPr="00E44575">
        <w:rPr>
          <w:szCs w:val="20"/>
        </w:rPr>
        <w:t>Requerir</w:t>
      </w:r>
      <w:r w:rsidRPr="00E44575">
        <w:rPr>
          <w:rFonts w:cs="Verdana"/>
          <w:szCs w:val="20"/>
          <w:lang w:bidi="en-US"/>
        </w:rPr>
        <w:t>, por las razones expuestas en la presente Resolución, de conformidad con el principio de economía procesal y en ejercicio de la facultad que le otorga el artículo 50.1 del Reglamento de la Corte, que las siguientes personas presten sus declaraciones ante fedatario público (</w:t>
      </w:r>
      <w:r w:rsidRPr="00E44575">
        <w:rPr>
          <w:i/>
        </w:rPr>
        <w:t>affidavit</w:t>
      </w:r>
      <w:r w:rsidRPr="00E44575">
        <w:rPr>
          <w:rFonts w:cs="Verdana"/>
          <w:szCs w:val="20"/>
          <w:lang w:bidi="en-US"/>
        </w:rPr>
        <w:t xml:space="preserve">): </w:t>
      </w:r>
    </w:p>
    <w:p w:rsidR="00BB0E7F" w:rsidRDefault="00BB0E7F" w:rsidP="00BB0E7F">
      <w:pPr>
        <w:pStyle w:val="Listavistosa-nfasis11"/>
        <w:widowControl w:val="0"/>
        <w:numPr>
          <w:ilvl w:val="0"/>
          <w:numId w:val="0"/>
        </w:numPr>
        <w:autoSpaceDE w:val="0"/>
        <w:autoSpaceDN w:val="0"/>
        <w:adjustRightInd w:val="0"/>
        <w:spacing w:after="0"/>
        <w:contextualSpacing w:val="0"/>
        <w:rPr>
          <w:rFonts w:cs="Verdana"/>
          <w:szCs w:val="20"/>
          <w:lang w:bidi="en-US"/>
        </w:rPr>
      </w:pPr>
    </w:p>
    <w:p w:rsidR="00BB0E7F" w:rsidRPr="003F38B5" w:rsidRDefault="00BB0E7F" w:rsidP="00BB0E7F">
      <w:pPr>
        <w:pStyle w:val="Listavistosa-nfasis11"/>
        <w:widowControl w:val="0"/>
        <w:numPr>
          <w:ilvl w:val="0"/>
          <w:numId w:val="0"/>
        </w:numPr>
        <w:autoSpaceDE w:val="0"/>
        <w:autoSpaceDN w:val="0"/>
        <w:adjustRightInd w:val="0"/>
        <w:spacing w:after="0"/>
        <w:contextualSpacing w:val="0"/>
        <w:rPr>
          <w:rFonts w:cs="Verdana"/>
          <w:i/>
          <w:iCs/>
          <w:szCs w:val="20"/>
          <w:lang w:bidi="en-US"/>
        </w:rPr>
      </w:pPr>
    </w:p>
    <w:p w:rsidR="008E6216" w:rsidRPr="00E44575" w:rsidRDefault="008E6216" w:rsidP="008E6216">
      <w:pPr>
        <w:autoSpaceDE w:val="0"/>
        <w:autoSpaceDN w:val="0"/>
        <w:adjustRightInd w:val="0"/>
        <w:spacing w:after="0"/>
        <w:rPr>
          <w:rFonts w:cs="Verdana"/>
          <w:szCs w:val="20"/>
          <w:lang w:bidi="en-US"/>
        </w:rPr>
      </w:pPr>
    </w:p>
    <w:p w:rsidR="008E6216" w:rsidRPr="0011601B" w:rsidRDefault="008E6216" w:rsidP="008E6216">
      <w:pPr>
        <w:pStyle w:val="Listavistosa-nfasis1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Helvetica"/>
          <w:b/>
          <w:szCs w:val="20"/>
          <w:u w:val="single"/>
          <w:lang w:bidi="en-US"/>
        </w:rPr>
      </w:pPr>
      <w:r w:rsidRPr="0011601B">
        <w:rPr>
          <w:rFonts w:cs="Helvetica"/>
          <w:b/>
          <w:szCs w:val="20"/>
          <w:u w:val="single"/>
          <w:lang w:bidi="en-US"/>
        </w:rPr>
        <w:t>Presuntas víctimas (propuestas por los representantes)</w:t>
      </w:r>
    </w:p>
    <w:p w:rsidR="008E6216" w:rsidRPr="005B1A9F" w:rsidRDefault="008E6216" w:rsidP="008E6216">
      <w:pPr>
        <w:spacing w:after="0"/>
      </w:pPr>
    </w:p>
    <w:p w:rsidR="00367FA9" w:rsidRDefault="00367FA9" w:rsidP="008E6216">
      <w:pPr>
        <w:pStyle w:val="ListParagraph"/>
        <w:numPr>
          <w:ilvl w:val="0"/>
          <w:numId w:val="12"/>
        </w:numPr>
        <w:spacing w:after="0"/>
        <w:ind w:firstLine="0"/>
      </w:pPr>
      <w:r>
        <w:rPr>
          <w:i/>
        </w:rPr>
        <w:t xml:space="preserve">Miguel Ángel Álvarez Solano, </w:t>
      </w:r>
      <w:r>
        <w:t>quien declarará sobre</w:t>
      </w:r>
      <w:r w:rsidR="00E94919">
        <w:t>: i)</w:t>
      </w:r>
      <w:r>
        <w:t xml:space="preserve"> su conocimiento respecto de los alegados crímenes contra Noel Emiro </w:t>
      </w:r>
      <w:proofErr w:type="spellStart"/>
      <w:r>
        <w:t>Omeara</w:t>
      </w:r>
      <w:proofErr w:type="spellEnd"/>
      <w:r>
        <w:t xml:space="preserve"> Carrascal, Manuel Guillermo </w:t>
      </w:r>
      <w:proofErr w:type="spellStart"/>
      <w:r>
        <w:t>Omeara</w:t>
      </w:r>
      <w:proofErr w:type="spellEnd"/>
      <w:r>
        <w:t xml:space="preserve"> </w:t>
      </w:r>
      <w:proofErr w:type="spellStart"/>
      <w:r>
        <w:t>Miraval</w:t>
      </w:r>
      <w:proofErr w:type="spellEnd"/>
      <w:r>
        <w:t xml:space="preserve"> y Héctor Álvarez Sánchez</w:t>
      </w:r>
      <w:r w:rsidR="00E94919">
        <w:t>; ii)</w:t>
      </w:r>
      <w:r w:rsidR="004926CA">
        <w:t xml:space="preserve"> </w:t>
      </w:r>
      <w:r>
        <w:t xml:space="preserve">la respuesta de las autoridades frente a estos hechos, </w:t>
      </w:r>
      <w:r w:rsidR="00E94919">
        <w:t xml:space="preserve">y iii) </w:t>
      </w:r>
      <w:r w:rsidR="0087383B">
        <w:t>el</w:t>
      </w:r>
      <w:r>
        <w:t xml:space="preserve"> presunto daño moral, económico, y psicosocial individual y </w:t>
      </w:r>
      <w:r w:rsidR="0087383B">
        <w:t xml:space="preserve">familiar causado por los hechos y posibles medidas de reparación. </w:t>
      </w:r>
    </w:p>
    <w:p w:rsidR="00367FA9" w:rsidRPr="00367FA9" w:rsidRDefault="00367FA9" w:rsidP="00665D71">
      <w:pPr>
        <w:spacing w:after="0"/>
      </w:pPr>
    </w:p>
    <w:p w:rsidR="008E6216" w:rsidRPr="0011601B" w:rsidRDefault="008E6216" w:rsidP="008E6216">
      <w:pPr>
        <w:pStyle w:val="ListParagraph"/>
        <w:numPr>
          <w:ilvl w:val="0"/>
          <w:numId w:val="12"/>
        </w:numPr>
        <w:spacing w:after="0"/>
        <w:ind w:firstLine="0"/>
      </w:pPr>
      <w:r w:rsidRPr="0011601B">
        <w:rPr>
          <w:i/>
        </w:rPr>
        <w:t xml:space="preserve">Damaris </w:t>
      </w:r>
      <w:proofErr w:type="spellStart"/>
      <w:r w:rsidRPr="0011601B">
        <w:rPr>
          <w:i/>
        </w:rPr>
        <w:t>Lanziano</w:t>
      </w:r>
      <w:proofErr w:type="spellEnd"/>
      <w:r w:rsidRPr="0011601B">
        <w:rPr>
          <w:i/>
        </w:rPr>
        <w:t xml:space="preserve"> Lemus</w:t>
      </w:r>
      <w:r w:rsidRPr="0011601B">
        <w:t xml:space="preserve">, quien declarará sobre: i) el conocimiento que tiene del alegado asesinato de su esposo José </w:t>
      </w:r>
      <w:proofErr w:type="spellStart"/>
      <w:r w:rsidRPr="0011601B">
        <w:t>Erminso</w:t>
      </w:r>
      <w:proofErr w:type="spellEnd"/>
      <w:r w:rsidRPr="0011601B">
        <w:t xml:space="preserve"> Sepúlveda Saravia, particularmente de sus presuntos autores y los</w:t>
      </w:r>
      <w:r w:rsidR="004926CA">
        <w:t xml:space="preserve"> </w:t>
      </w:r>
      <w:r w:rsidR="0087383B">
        <w:t xml:space="preserve">supuestos </w:t>
      </w:r>
      <w:r w:rsidRPr="0011601B">
        <w:t>motivos</w:t>
      </w:r>
      <w:r w:rsidR="004926CA">
        <w:t xml:space="preserve"> </w:t>
      </w:r>
      <w:r w:rsidRPr="0011601B">
        <w:t>de perpetración; ii) las presuntas actividades polític</w:t>
      </w:r>
      <w:r w:rsidR="0087383B">
        <w:t>as de</w:t>
      </w:r>
      <w:r w:rsidRPr="0011601B">
        <w:t>l</w:t>
      </w:r>
      <w:r w:rsidR="0087383B">
        <w:t xml:space="preserve"> señor Sepúlveda Saravia</w:t>
      </w:r>
      <w:r w:rsidRPr="0011601B">
        <w:t xml:space="preserve"> en el Movimiento Acción Comunitaria (MAC); iii) las alegadas amenazas, hostigamientos y señalamientos que </w:t>
      </w:r>
      <w:r w:rsidR="0087383B">
        <w:t xml:space="preserve">habría </w:t>
      </w:r>
      <w:r w:rsidRPr="0011601B">
        <w:t>sufri</w:t>
      </w:r>
      <w:r w:rsidR="0087383B">
        <w:t>do</w:t>
      </w:r>
      <w:r w:rsidRPr="0011601B">
        <w:t xml:space="preserve"> por su activismo, así como por su trabajo y el de su grupo, en la Alcaldía de Aguachica; iv) la presunta respuesta de las autoridades frente a estos hechos, v) los alegados perjuicios económicos, morales y psicosociales de ella y su familia causados por el crimen, al igual que el </w:t>
      </w:r>
      <w:r w:rsidR="0087383B">
        <w:t xml:space="preserve">presunto </w:t>
      </w:r>
      <w:r w:rsidRPr="0011601B">
        <w:t>desplazamiento forzado que debió realizar junto con sus hijos en razón de lo sucedido a su  esposo y al M</w:t>
      </w:r>
      <w:r w:rsidR="0087383B">
        <w:t xml:space="preserve">ovimiento de Acción </w:t>
      </w:r>
      <w:r w:rsidRPr="0011601B">
        <w:t>C</w:t>
      </w:r>
      <w:r w:rsidR="0087383B">
        <w:t>omunitaria,</w:t>
      </w:r>
      <w:r w:rsidRPr="0011601B">
        <w:t xml:space="preserve"> y </w:t>
      </w:r>
      <w:r w:rsidR="0087383B">
        <w:t xml:space="preserve">vi) </w:t>
      </w:r>
      <w:r w:rsidRPr="0011601B">
        <w:t>posibles medidas de reparación.</w:t>
      </w:r>
    </w:p>
    <w:p w:rsidR="008E6216" w:rsidRPr="0011601B" w:rsidRDefault="008E6216" w:rsidP="008E6216">
      <w:pPr>
        <w:pStyle w:val="ListParagraph"/>
        <w:spacing w:after="0"/>
        <w:ind w:left="720"/>
      </w:pPr>
    </w:p>
    <w:p w:rsidR="008E6216" w:rsidRPr="0011601B" w:rsidRDefault="008E6216" w:rsidP="008E6216">
      <w:pPr>
        <w:pStyle w:val="ListParagraph"/>
        <w:numPr>
          <w:ilvl w:val="0"/>
          <w:numId w:val="12"/>
        </w:numPr>
        <w:spacing w:after="0"/>
        <w:ind w:firstLine="0"/>
      </w:pPr>
      <w:r w:rsidRPr="0011601B">
        <w:rPr>
          <w:i/>
          <w:szCs w:val="20"/>
        </w:rPr>
        <w:t xml:space="preserve">Carmen Teresa </w:t>
      </w:r>
      <w:proofErr w:type="spellStart"/>
      <w:r w:rsidRPr="0011601B">
        <w:rPr>
          <w:i/>
          <w:szCs w:val="20"/>
        </w:rPr>
        <w:t>Omeara</w:t>
      </w:r>
      <w:proofErr w:type="spellEnd"/>
      <w:r w:rsidRPr="0011601B">
        <w:rPr>
          <w:i/>
          <w:szCs w:val="20"/>
        </w:rPr>
        <w:t xml:space="preserve"> </w:t>
      </w:r>
      <w:proofErr w:type="spellStart"/>
      <w:r w:rsidRPr="0011601B">
        <w:rPr>
          <w:i/>
          <w:szCs w:val="20"/>
        </w:rPr>
        <w:t>Miraval</w:t>
      </w:r>
      <w:proofErr w:type="spellEnd"/>
      <w:r w:rsidRPr="0011601B">
        <w:rPr>
          <w:i/>
          <w:szCs w:val="20"/>
        </w:rPr>
        <w:t xml:space="preserve">, </w:t>
      </w:r>
      <w:r w:rsidRPr="0011601B">
        <w:rPr>
          <w:szCs w:val="20"/>
        </w:rPr>
        <w:t>quien</w:t>
      </w:r>
      <w:r w:rsidRPr="0011601B">
        <w:rPr>
          <w:i/>
          <w:szCs w:val="20"/>
        </w:rPr>
        <w:t xml:space="preserve"> </w:t>
      </w:r>
      <w:r w:rsidRPr="0011601B">
        <w:rPr>
          <w:szCs w:val="20"/>
        </w:rPr>
        <w:t xml:space="preserve">declarará sobre: i) su </w:t>
      </w:r>
      <w:r w:rsidRPr="0011601B">
        <w:rPr>
          <w:szCs w:val="20"/>
          <w:lang w:val="es-CR"/>
        </w:rPr>
        <w:t xml:space="preserve">conocimiento de los supuestos autores y móviles del homicidio de José </w:t>
      </w:r>
      <w:proofErr w:type="spellStart"/>
      <w:r w:rsidRPr="0011601B">
        <w:rPr>
          <w:szCs w:val="20"/>
          <w:lang w:val="es-CR"/>
        </w:rPr>
        <w:t>Erminso</w:t>
      </w:r>
      <w:proofErr w:type="spellEnd"/>
      <w:r w:rsidRPr="0011601B">
        <w:rPr>
          <w:szCs w:val="20"/>
          <w:lang w:val="es-CR"/>
        </w:rPr>
        <w:t xml:space="preserve"> Sepúlveda Saravia y el atentado sufrido por su padre Noel Emiro </w:t>
      </w:r>
      <w:proofErr w:type="spellStart"/>
      <w:r w:rsidRPr="0011601B">
        <w:rPr>
          <w:szCs w:val="20"/>
          <w:lang w:val="es-CR"/>
        </w:rPr>
        <w:t>Omeara</w:t>
      </w:r>
      <w:proofErr w:type="spellEnd"/>
      <w:r w:rsidRPr="0011601B">
        <w:rPr>
          <w:szCs w:val="20"/>
          <w:lang w:val="es-CR"/>
        </w:rPr>
        <w:t xml:space="preserve"> Carrascal, la </w:t>
      </w:r>
      <w:r w:rsidR="0087383B">
        <w:rPr>
          <w:szCs w:val="20"/>
          <w:lang w:val="es-CR"/>
        </w:rPr>
        <w:t xml:space="preserve">supuesta </w:t>
      </w:r>
      <w:r w:rsidRPr="0011601B">
        <w:rPr>
          <w:szCs w:val="20"/>
          <w:lang w:val="es-CR"/>
        </w:rPr>
        <w:t xml:space="preserve">desaparición forzada  y homicidio de su hermano Manuel Guillermo </w:t>
      </w:r>
      <w:proofErr w:type="spellStart"/>
      <w:r w:rsidRPr="0011601B">
        <w:rPr>
          <w:szCs w:val="20"/>
          <w:lang w:val="es-CR"/>
        </w:rPr>
        <w:t>Omeara</w:t>
      </w:r>
      <w:proofErr w:type="spellEnd"/>
      <w:r w:rsidRPr="0011601B">
        <w:rPr>
          <w:szCs w:val="20"/>
          <w:lang w:val="es-CR"/>
        </w:rPr>
        <w:t xml:space="preserve"> </w:t>
      </w:r>
      <w:proofErr w:type="spellStart"/>
      <w:r w:rsidRPr="0011601B">
        <w:rPr>
          <w:szCs w:val="20"/>
          <w:lang w:val="es-CR"/>
        </w:rPr>
        <w:t>Miraval</w:t>
      </w:r>
      <w:proofErr w:type="spellEnd"/>
      <w:r w:rsidRPr="0011601B">
        <w:rPr>
          <w:szCs w:val="20"/>
          <w:lang w:val="es-CR"/>
        </w:rPr>
        <w:t xml:space="preserve">, y el atentado sufrido por Héctor Álvarez Sánchez; ii) las presuntas averiguaciones y pesquisas realizadas personalmente para  establecer los responsables de lo sucedido </w:t>
      </w:r>
      <w:r w:rsidR="0087383B">
        <w:rPr>
          <w:szCs w:val="20"/>
          <w:lang w:val="es-CR"/>
        </w:rPr>
        <w:t>a</w:t>
      </w:r>
      <w:r w:rsidRPr="0011601B">
        <w:rPr>
          <w:szCs w:val="20"/>
          <w:lang w:val="es-CR"/>
        </w:rPr>
        <w:t xml:space="preserve"> su familia, así como la presunta respuesta de parte de las autoridades estatales; iii) el alegado desplazamiento forzado que realizó junto con sus sobrinos Manuel Guillermo, Elba Katherine y Claudia Marcela </w:t>
      </w:r>
      <w:proofErr w:type="spellStart"/>
      <w:r w:rsidRPr="0011601B">
        <w:rPr>
          <w:szCs w:val="20"/>
          <w:lang w:val="es-CR"/>
        </w:rPr>
        <w:t>Omeara</w:t>
      </w:r>
      <w:proofErr w:type="spellEnd"/>
      <w:r w:rsidRPr="0011601B">
        <w:rPr>
          <w:szCs w:val="20"/>
          <w:lang w:val="es-CR"/>
        </w:rPr>
        <w:t xml:space="preserve"> Álvarez y su cuñada Fabiola Álvarez Solano, </w:t>
      </w:r>
      <w:r w:rsidR="0087383B">
        <w:rPr>
          <w:szCs w:val="20"/>
          <w:lang w:val="es-CR"/>
        </w:rPr>
        <w:t xml:space="preserve">iv) </w:t>
      </w:r>
      <w:r w:rsidRPr="0011601B">
        <w:rPr>
          <w:szCs w:val="20"/>
          <w:lang w:val="es-CR"/>
        </w:rPr>
        <w:t xml:space="preserve">los presuntos perjuicios económicos, morales y psicológicos sufridos por los hechos tanto a nivel individual como familiar y </w:t>
      </w:r>
      <w:r w:rsidR="0087383B">
        <w:rPr>
          <w:szCs w:val="20"/>
          <w:lang w:val="es-CR"/>
        </w:rPr>
        <w:t xml:space="preserve">v) </w:t>
      </w:r>
      <w:r w:rsidRPr="0011601B">
        <w:rPr>
          <w:szCs w:val="20"/>
          <w:lang w:val="es-CR"/>
        </w:rPr>
        <w:t>las posibles</w:t>
      </w:r>
      <w:r w:rsidRPr="0011601B">
        <w:rPr>
          <w:spacing w:val="-9"/>
          <w:szCs w:val="20"/>
          <w:lang w:val="es-CR"/>
        </w:rPr>
        <w:t xml:space="preserve"> </w:t>
      </w:r>
      <w:r w:rsidRPr="0011601B">
        <w:rPr>
          <w:szCs w:val="20"/>
          <w:lang w:val="es-CR"/>
        </w:rPr>
        <w:t>reparaciones.</w:t>
      </w:r>
    </w:p>
    <w:p w:rsidR="008E6216" w:rsidRPr="005B1A9F" w:rsidRDefault="008E6216" w:rsidP="008E6216">
      <w:pPr>
        <w:spacing w:after="0"/>
      </w:pPr>
    </w:p>
    <w:p w:rsidR="008E6216" w:rsidRPr="005B1A9F" w:rsidRDefault="008E6216" w:rsidP="008E6216">
      <w:pPr>
        <w:pStyle w:val="ListParagraph"/>
        <w:numPr>
          <w:ilvl w:val="0"/>
          <w:numId w:val="12"/>
        </w:numPr>
        <w:spacing w:after="0"/>
        <w:ind w:firstLine="0"/>
      </w:pPr>
      <w:r w:rsidRPr="00D84020">
        <w:rPr>
          <w:i/>
        </w:rPr>
        <w:t xml:space="preserve">Manuel Guillermo </w:t>
      </w:r>
      <w:proofErr w:type="spellStart"/>
      <w:r w:rsidRPr="00D84020">
        <w:rPr>
          <w:i/>
        </w:rPr>
        <w:t>Omeara</w:t>
      </w:r>
      <w:proofErr w:type="spellEnd"/>
      <w:r w:rsidRPr="00D84020">
        <w:rPr>
          <w:i/>
        </w:rPr>
        <w:t xml:space="preserve"> Álvarez</w:t>
      </w:r>
      <w:r>
        <w:t>, quien declarará sobre: i) los alegados hechos sufridos por su familia;</w:t>
      </w:r>
      <w:r w:rsidRPr="005B1A9F">
        <w:t xml:space="preserve"> </w:t>
      </w:r>
      <w:r>
        <w:t>ii)</w:t>
      </w:r>
      <w:r w:rsidRPr="005B1A9F">
        <w:t xml:space="preserve"> las </w:t>
      </w:r>
      <w:r>
        <w:t xml:space="preserve">presuntas </w:t>
      </w:r>
      <w:r w:rsidRPr="005B1A9F">
        <w:t xml:space="preserve">afectaciones económicas, familiares, morales y psicológicas que </w:t>
      </w:r>
      <w:r w:rsidR="004645C1">
        <w:t xml:space="preserve">habría </w:t>
      </w:r>
      <w:r w:rsidRPr="005B1A9F">
        <w:t>sufri</w:t>
      </w:r>
      <w:r w:rsidR="004645C1">
        <w:t>do</w:t>
      </w:r>
      <w:r w:rsidRPr="005B1A9F">
        <w:t xml:space="preserve"> tanto él como su madre, sus hermanas Claudia Marcela y Elba Katherine </w:t>
      </w:r>
      <w:proofErr w:type="spellStart"/>
      <w:r w:rsidRPr="005B1A9F">
        <w:t>Omeara</w:t>
      </w:r>
      <w:proofErr w:type="spellEnd"/>
      <w:r w:rsidRPr="005B1A9F">
        <w:t xml:space="preserve"> Álvarez en su niñez, al igual que en su desarrollo personal y social por la</w:t>
      </w:r>
      <w:r w:rsidR="004645C1">
        <w:t xml:space="preserve"> supuesta</w:t>
      </w:r>
      <w:r w:rsidRPr="005B1A9F">
        <w:t xml:space="preserve"> desaparición forzada de su padre Manuel Guillermo </w:t>
      </w:r>
      <w:proofErr w:type="spellStart"/>
      <w:r w:rsidRPr="005B1A9F">
        <w:t>Omeara</w:t>
      </w:r>
      <w:proofErr w:type="spellEnd"/>
      <w:r w:rsidRPr="005B1A9F">
        <w:t xml:space="preserve"> </w:t>
      </w:r>
      <w:proofErr w:type="spellStart"/>
      <w:r w:rsidRPr="005B1A9F">
        <w:t>Miraval</w:t>
      </w:r>
      <w:proofErr w:type="spellEnd"/>
      <w:r w:rsidRPr="005B1A9F">
        <w:t xml:space="preserve"> y</w:t>
      </w:r>
      <w:r w:rsidR="004645C1">
        <w:t xml:space="preserve"> los presuntos atentados contra</w:t>
      </w:r>
      <w:r w:rsidRPr="005B1A9F">
        <w:t xml:space="preserve"> sus dos abuelos Noel Emiro </w:t>
      </w:r>
      <w:proofErr w:type="spellStart"/>
      <w:r w:rsidRPr="005B1A9F">
        <w:t>Omeara</w:t>
      </w:r>
      <w:proofErr w:type="spellEnd"/>
      <w:r w:rsidRPr="005B1A9F">
        <w:t xml:space="preserve"> Carr</w:t>
      </w:r>
      <w:r>
        <w:t xml:space="preserve">ascal y Héctor Álvarez Sánchez, y iii) las </w:t>
      </w:r>
      <w:r w:rsidRPr="005B1A9F">
        <w:t>posibles medidas de reparación.</w:t>
      </w:r>
    </w:p>
    <w:p w:rsidR="008E6216" w:rsidRPr="005B1A9F" w:rsidRDefault="008E6216" w:rsidP="008E6216">
      <w:pPr>
        <w:spacing w:after="0"/>
      </w:pPr>
    </w:p>
    <w:p w:rsidR="008E6216" w:rsidRPr="005B1A9F" w:rsidRDefault="008E6216" w:rsidP="00335680">
      <w:pPr>
        <w:pStyle w:val="ListParagraph"/>
        <w:numPr>
          <w:ilvl w:val="0"/>
          <w:numId w:val="12"/>
        </w:numPr>
        <w:spacing w:after="0"/>
        <w:ind w:firstLine="0"/>
      </w:pPr>
      <w:r w:rsidRPr="00D84020">
        <w:rPr>
          <w:i/>
        </w:rPr>
        <w:lastRenderedPageBreak/>
        <w:t>Clemencia Patricia Álvarez Solano</w:t>
      </w:r>
      <w:r>
        <w:t>, quien</w:t>
      </w:r>
      <w:r w:rsidRPr="005B1A9F">
        <w:t xml:space="preserve"> </w:t>
      </w:r>
      <w:r>
        <w:t xml:space="preserve">declarará sobre: i) </w:t>
      </w:r>
      <w:r w:rsidRPr="005B1A9F">
        <w:t>los</w:t>
      </w:r>
      <w:r>
        <w:t xml:space="preserve"> presuntos</w:t>
      </w:r>
      <w:r w:rsidRPr="005B1A9F">
        <w:t xml:space="preserve"> autores y móviles de los tres crímenes sufridos por Noel Emiro </w:t>
      </w:r>
      <w:proofErr w:type="spellStart"/>
      <w:r w:rsidRPr="005B1A9F">
        <w:t>Omeara</w:t>
      </w:r>
      <w:proofErr w:type="spellEnd"/>
      <w:r w:rsidRPr="005B1A9F">
        <w:t xml:space="preserve"> Carrascal, </w:t>
      </w:r>
      <w:r w:rsidR="004645C1">
        <w:t>el</w:t>
      </w:r>
      <w:r w:rsidRPr="005B1A9F">
        <w:t xml:space="preserve"> cuñado </w:t>
      </w:r>
      <w:r w:rsidR="004645C1">
        <w:t xml:space="preserve">de la declarante, </w:t>
      </w:r>
      <w:r w:rsidRPr="005B1A9F">
        <w:t xml:space="preserve">Manuel Guillermo </w:t>
      </w:r>
      <w:proofErr w:type="spellStart"/>
      <w:r w:rsidRPr="005B1A9F">
        <w:t>Omeara</w:t>
      </w:r>
      <w:proofErr w:type="spellEnd"/>
      <w:r w:rsidRPr="005B1A9F">
        <w:t xml:space="preserve"> </w:t>
      </w:r>
      <w:proofErr w:type="spellStart"/>
      <w:r w:rsidRPr="005B1A9F">
        <w:t>Miraval</w:t>
      </w:r>
      <w:proofErr w:type="spellEnd"/>
      <w:r w:rsidRPr="005B1A9F">
        <w:t xml:space="preserve"> y </w:t>
      </w:r>
      <w:r w:rsidR="004645C1">
        <w:t>el</w:t>
      </w:r>
      <w:r w:rsidRPr="005B1A9F">
        <w:t xml:space="preserve"> padre </w:t>
      </w:r>
      <w:r w:rsidR="004645C1">
        <w:t xml:space="preserve">de ella, </w:t>
      </w:r>
      <w:r w:rsidRPr="005B1A9F">
        <w:t>Héctor Álvarez Sánchez</w:t>
      </w:r>
      <w:r w:rsidR="004645C1">
        <w:t>,</w:t>
      </w:r>
      <w:r>
        <w:t xml:space="preserve"> </w:t>
      </w:r>
      <w:r w:rsidR="004645C1">
        <w:t>así como</w:t>
      </w:r>
      <w:r w:rsidRPr="005B1A9F">
        <w:t xml:space="preserve"> sobre sus </w:t>
      </w:r>
      <w:r w:rsidR="004645C1">
        <w:t xml:space="preserve">las supuestas </w:t>
      </w:r>
      <w:r w:rsidRPr="005B1A9F">
        <w:t xml:space="preserve">acciones </w:t>
      </w:r>
      <w:r w:rsidR="004645C1">
        <w:t xml:space="preserve">de éste último </w:t>
      </w:r>
      <w:r w:rsidRPr="005B1A9F">
        <w:t>en Bogotá ante el Departamento A</w:t>
      </w:r>
      <w:r>
        <w:t>dministrativo de Seguridad  (DAS)</w:t>
      </w:r>
      <w:r w:rsidRPr="005B1A9F">
        <w:t xml:space="preserve"> para lograr que se activara la búsqueda de </w:t>
      </w:r>
      <w:r w:rsidR="004645C1" w:rsidRPr="005B1A9F">
        <w:t xml:space="preserve">Manuel Guillermo </w:t>
      </w:r>
      <w:proofErr w:type="spellStart"/>
      <w:r w:rsidR="004645C1" w:rsidRPr="005B1A9F">
        <w:t>Omeara</w:t>
      </w:r>
      <w:proofErr w:type="spellEnd"/>
      <w:r w:rsidR="004645C1" w:rsidRPr="005B1A9F">
        <w:t xml:space="preserve"> </w:t>
      </w:r>
      <w:proofErr w:type="spellStart"/>
      <w:r w:rsidR="004645C1" w:rsidRPr="005B1A9F">
        <w:t>Miraval</w:t>
      </w:r>
      <w:proofErr w:type="spellEnd"/>
      <w:r>
        <w:t xml:space="preserve">; ii) </w:t>
      </w:r>
      <w:r w:rsidRPr="005B1A9F">
        <w:t>la</w:t>
      </w:r>
      <w:r>
        <w:t xml:space="preserve"> alegada</w:t>
      </w:r>
      <w:r w:rsidRPr="005B1A9F">
        <w:t xml:space="preserve"> información que </w:t>
      </w:r>
      <w:r w:rsidR="004645C1">
        <w:t xml:space="preserve">él </w:t>
      </w:r>
      <w:r w:rsidRPr="005B1A9F">
        <w:t>logró ob</w:t>
      </w:r>
      <w:r>
        <w:t xml:space="preserve">tener a partir de las </w:t>
      </w:r>
      <w:r w:rsidR="004645C1">
        <w:t>acciones de búsqueda referidas</w:t>
      </w:r>
      <w:r>
        <w:t xml:space="preserve">; iii) </w:t>
      </w:r>
      <w:r w:rsidRPr="005B1A9F">
        <w:t xml:space="preserve">las </w:t>
      </w:r>
      <w:r>
        <w:t xml:space="preserve">presuntas </w:t>
      </w:r>
      <w:r w:rsidRPr="005B1A9F">
        <w:t xml:space="preserve">consecuencias particulares en </w:t>
      </w:r>
      <w:r w:rsidR="004645C1">
        <w:t>la</w:t>
      </w:r>
      <w:r w:rsidRPr="005B1A9F">
        <w:t xml:space="preserve"> familia tanto a nivel económico como psicológico y moral por los he</w:t>
      </w:r>
      <w:r>
        <w:t xml:space="preserve">chos; </w:t>
      </w:r>
      <w:r w:rsidR="004645C1">
        <w:t>iv)</w:t>
      </w:r>
      <w:r w:rsidR="004645C1" w:rsidRPr="005B1A9F">
        <w:t xml:space="preserve"> la</w:t>
      </w:r>
      <w:r w:rsidR="004645C1">
        <w:t xml:space="preserve"> presunta</w:t>
      </w:r>
      <w:r w:rsidR="004645C1" w:rsidRPr="005B1A9F">
        <w:t xml:space="preserve"> respuesta de parte de las </w:t>
      </w:r>
      <w:r w:rsidR="004645C1">
        <w:t xml:space="preserve">autoridades sobre estos hechos; vi) las </w:t>
      </w:r>
      <w:r w:rsidR="004645C1" w:rsidRPr="005B1A9F">
        <w:t>posibles medidas de reparación</w:t>
      </w:r>
      <w:r w:rsidR="004645C1">
        <w:t xml:space="preserve">, y </w:t>
      </w:r>
      <w:r>
        <w:t>v</w:t>
      </w:r>
      <w:r w:rsidR="004645C1">
        <w:t>ii</w:t>
      </w:r>
      <w:r>
        <w:t xml:space="preserve">) </w:t>
      </w:r>
      <w:r w:rsidRPr="005B1A9F">
        <w:t>el</w:t>
      </w:r>
      <w:r>
        <w:t xml:space="preserve"> alegado</w:t>
      </w:r>
      <w:r w:rsidRPr="005B1A9F">
        <w:t xml:space="preserve"> contex</w:t>
      </w:r>
      <w:r>
        <w:t>to de violencia en el Sur del Cé</w:t>
      </w:r>
      <w:r w:rsidRPr="005B1A9F">
        <w:t>sar y</w:t>
      </w:r>
      <w:r>
        <w:t>,</w:t>
      </w:r>
      <w:r w:rsidRPr="005B1A9F">
        <w:t xml:space="preserve"> particularmente</w:t>
      </w:r>
      <w:r>
        <w:t>,</w:t>
      </w:r>
      <w:r w:rsidRPr="005B1A9F">
        <w:t xml:space="preserve"> la </w:t>
      </w:r>
      <w:r w:rsidR="004645C1">
        <w:t xml:space="preserve">supuesta </w:t>
      </w:r>
      <w:r w:rsidRPr="005B1A9F">
        <w:t xml:space="preserve">presencia de grupos paramilitares en la región con la </w:t>
      </w:r>
      <w:r w:rsidR="004645C1">
        <w:t xml:space="preserve">presunta </w:t>
      </w:r>
      <w:r w:rsidRPr="005B1A9F">
        <w:t>anuencia y colaboración de l</w:t>
      </w:r>
      <w:r>
        <w:t>a fuerza pública allí acantonada</w:t>
      </w:r>
      <w:r w:rsidR="004645C1">
        <w:t>, debiendo indicar la declarante por qué medios tuvo conocimiento de los hechos contextuales aludidos.</w:t>
      </w:r>
      <w:r>
        <w:t xml:space="preserve"> </w:t>
      </w:r>
    </w:p>
    <w:p w:rsidR="008E6216" w:rsidRPr="005B1A9F" w:rsidRDefault="008E6216" w:rsidP="00335680">
      <w:pPr>
        <w:spacing w:after="0"/>
      </w:pPr>
    </w:p>
    <w:p w:rsidR="008E6216" w:rsidRDefault="008E6216" w:rsidP="00335680">
      <w:pPr>
        <w:pStyle w:val="ListParagraph"/>
        <w:numPr>
          <w:ilvl w:val="0"/>
          <w:numId w:val="12"/>
        </w:numPr>
        <w:spacing w:after="0"/>
        <w:ind w:firstLine="0"/>
      </w:pPr>
      <w:proofErr w:type="spellStart"/>
      <w:r w:rsidRPr="00D84020">
        <w:rPr>
          <w:i/>
        </w:rPr>
        <w:t>Araminta</w:t>
      </w:r>
      <w:proofErr w:type="spellEnd"/>
      <w:r w:rsidRPr="00D84020">
        <w:rPr>
          <w:i/>
        </w:rPr>
        <w:t xml:space="preserve"> </w:t>
      </w:r>
      <w:proofErr w:type="spellStart"/>
      <w:r w:rsidRPr="00D84020">
        <w:rPr>
          <w:i/>
        </w:rPr>
        <w:t>Omeara</w:t>
      </w:r>
      <w:proofErr w:type="spellEnd"/>
      <w:r w:rsidRPr="00D84020">
        <w:rPr>
          <w:i/>
        </w:rPr>
        <w:t xml:space="preserve"> </w:t>
      </w:r>
      <w:proofErr w:type="spellStart"/>
      <w:r w:rsidRPr="00D84020">
        <w:rPr>
          <w:i/>
        </w:rPr>
        <w:t>Miraval</w:t>
      </w:r>
      <w:proofErr w:type="spellEnd"/>
      <w:r>
        <w:t>, quien declarará sobre:</w:t>
      </w:r>
      <w:r w:rsidRPr="005B1A9F">
        <w:t xml:space="preserve"> </w:t>
      </w:r>
      <w:r>
        <w:t xml:space="preserve">i) </w:t>
      </w:r>
      <w:r w:rsidRPr="005B1A9F">
        <w:t xml:space="preserve">su conocimiento respecto </w:t>
      </w:r>
      <w:r>
        <w:t>a los supuestos</w:t>
      </w:r>
      <w:r w:rsidRPr="005B1A9F">
        <w:t xml:space="preserve"> </w:t>
      </w:r>
      <w:r>
        <w:t>móviles y autores de los alegados</w:t>
      </w:r>
      <w:r w:rsidR="001C3765">
        <w:t>:</w:t>
      </w:r>
      <w:r>
        <w:t xml:space="preserve"> </w:t>
      </w:r>
      <w:r w:rsidRPr="005B1A9F">
        <w:t>asesinato de J</w:t>
      </w:r>
      <w:r w:rsidR="001C3765">
        <w:t xml:space="preserve">osé </w:t>
      </w:r>
      <w:proofErr w:type="spellStart"/>
      <w:r w:rsidR="001C3765">
        <w:t>Erminso</w:t>
      </w:r>
      <w:proofErr w:type="spellEnd"/>
      <w:r w:rsidR="001C3765">
        <w:t xml:space="preserve"> Sepúlveda Saravia; atentado del</w:t>
      </w:r>
      <w:r w:rsidRPr="005B1A9F">
        <w:t xml:space="preserve"> padr</w:t>
      </w:r>
      <w:r>
        <w:t>e</w:t>
      </w:r>
      <w:r w:rsidR="001C3765">
        <w:t xml:space="preserve"> de la declarante,</w:t>
      </w:r>
      <w:r>
        <w:t xml:space="preserve"> Noel Emiro </w:t>
      </w:r>
      <w:proofErr w:type="spellStart"/>
      <w:r>
        <w:t>Omeara</w:t>
      </w:r>
      <w:proofErr w:type="spellEnd"/>
      <w:r>
        <w:t xml:space="preserve"> Carrasca</w:t>
      </w:r>
      <w:r w:rsidR="001C3765">
        <w:t>l;</w:t>
      </w:r>
      <w:r>
        <w:t xml:space="preserve"> </w:t>
      </w:r>
      <w:r w:rsidRPr="005B1A9F">
        <w:t xml:space="preserve">desaparición forzada y homicidio de su hermano Manuel Guillermo </w:t>
      </w:r>
      <w:proofErr w:type="spellStart"/>
      <w:r w:rsidRPr="005B1A9F">
        <w:t>Omeara</w:t>
      </w:r>
      <w:proofErr w:type="spellEnd"/>
      <w:r w:rsidRPr="005B1A9F">
        <w:t xml:space="preserve"> </w:t>
      </w:r>
      <w:proofErr w:type="spellStart"/>
      <w:r w:rsidRPr="005B1A9F">
        <w:t>Miraval</w:t>
      </w:r>
      <w:proofErr w:type="spellEnd"/>
      <w:r w:rsidRPr="005B1A9F">
        <w:t xml:space="preserve">, </w:t>
      </w:r>
      <w:r w:rsidR="004926CA">
        <w:t xml:space="preserve">y el atentado contra la vida de </w:t>
      </w:r>
      <w:r w:rsidRPr="005B1A9F">
        <w:t>Héctor Álvarez Sánchez</w:t>
      </w:r>
      <w:r>
        <w:t>; ii) l</w:t>
      </w:r>
      <w:r w:rsidRPr="005B1A9F">
        <w:t>a</w:t>
      </w:r>
      <w:r>
        <w:t xml:space="preserve"> presunta</w:t>
      </w:r>
      <w:r w:rsidRPr="005B1A9F">
        <w:t xml:space="preserve">  respuesta  dada  por </w:t>
      </w:r>
      <w:r w:rsidR="004926CA">
        <w:t xml:space="preserve"> las  autoridades frente a </w:t>
      </w:r>
      <w:r w:rsidRPr="005B1A9F">
        <w:t xml:space="preserve">estos </w:t>
      </w:r>
      <w:r>
        <w:t>hechos</w:t>
      </w:r>
      <w:r w:rsidR="004926CA">
        <w:t>;</w:t>
      </w:r>
      <w:r>
        <w:t xml:space="preserve"> iii) </w:t>
      </w:r>
      <w:r w:rsidRPr="005B1A9F">
        <w:t>los</w:t>
      </w:r>
      <w:r>
        <w:t xml:space="preserve"> alegados</w:t>
      </w:r>
      <w:r w:rsidRPr="005B1A9F">
        <w:t xml:space="preserve"> perjuicios económicos, morales y psicológicos causados por los crímenes en su familia, especialm</w:t>
      </w:r>
      <w:r>
        <w:t>ente haciendo énfasis en el perí</w:t>
      </w:r>
      <w:r w:rsidRPr="005B1A9F">
        <w:t>odo de convalecencia de su padre Noel Emiro</w:t>
      </w:r>
      <w:r w:rsidR="001C3765">
        <w:t xml:space="preserve"> </w:t>
      </w:r>
      <w:proofErr w:type="spellStart"/>
      <w:r w:rsidR="001C3765">
        <w:t>Omeara</w:t>
      </w:r>
      <w:proofErr w:type="spellEnd"/>
      <w:r w:rsidR="001C3765">
        <w:t xml:space="preserve"> Carrascal</w:t>
      </w:r>
      <w:r w:rsidRPr="005B1A9F">
        <w:t xml:space="preserve"> desde la fecha del </w:t>
      </w:r>
      <w:r w:rsidR="001C3765">
        <w:t xml:space="preserve">supuesto </w:t>
      </w:r>
      <w:r w:rsidRPr="005B1A9F">
        <w:t>atentado, 28 de enero de 1994, hasta su fallecimiento el 26 de julio de 1994</w:t>
      </w:r>
      <w:r>
        <w:t>, y iv) l</w:t>
      </w:r>
      <w:r w:rsidRPr="005B1A9F">
        <w:t>a</w:t>
      </w:r>
      <w:r>
        <w:t>s</w:t>
      </w:r>
      <w:r w:rsidRPr="005B1A9F">
        <w:t xml:space="preserve"> posibles medidas de reparación.</w:t>
      </w:r>
    </w:p>
    <w:p w:rsidR="008E6216" w:rsidRPr="005B1A9F" w:rsidRDefault="008E6216" w:rsidP="008E6216">
      <w:pPr>
        <w:spacing w:after="0"/>
      </w:pPr>
    </w:p>
    <w:p w:rsidR="008E6216" w:rsidRDefault="008E6216" w:rsidP="008E6216">
      <w:pPr>
        <w:pStyle w:val="ListParagraph"/>
        <w:numPr>
          <w:ilvl w:val="0"/>
          <w:numId w:val="12"/>
        </w:numPr>
        <w:spacing w:after="0"/>
        <w:ind w:firstLine="0"/>
      </w:pPr>
      <w:r w:rsidRPr="00D84020">
        <w:rPr>
          <w:i/>
        </w:rPr>
        <w:t>Héctor Manuel Álvarez Solano</w:t>
      </w:r>
      <w:r>
        <w:t>, quien declarará</w:t>
      </w:r>
      <w:r w:rsidRPr="005B1A9F">
        <w:t xml:space="preserve"> sobre</w:t>
      </w:r>
      <w:r>
        <w:t>: i)</w:t>
      </w:r>
      <w:r w:rsidRPr="005B1A9F">
        <w:t xml:space="preserve"> el conocimiento que tiene sobre los </w:t>
      </w:r>
      <w:r>
        <w:t xml:space="preserve">alegados </w:t>
      </w:r>
      <w:r w:rsidRPr="005B1A9F">
        <w:t xml:space="preserve">crímenes sufridos por Noel Emiro </w:t>
      </w:r>
      <w:proofErr w:type="spellStart"/>
      <w:r w:rsidRPr="005B1A9F">
        <w:t>Omeara</w:t>
      </w:r>
      <w:proofErr w:type="spellEnd"/>
      <w:r w:rsidRPr="005B1A9F">
        <w:t xml:space="preserve"> Carrascal, Manuel Guillermo </w:t>
      </w:r>
      <w:proofErr w:type="spellStart"/>
      <w:r w:rsidRPr="005B1A9F">
        <w:t>Omeara</w:t>
      </w:r>
      <w:proofErr w:type="spellEnd"/>
      <w:r w:rsidRPr="005B1A9F">
        <w:t xml:space="preserve"> </w:t>
      </w:r>
      <w:proofErr w:type="spellStart"/>
      <w:r w:rsidRPr="005B1A9F">
        <w:t>Miraval</w:t>
      </w:r>
      <w:proofErr w:type="spellEnd"/>
      <w:r w:rsidRPr="005B1A9F">
        <w:t xml:space="preserve"> y </w:t>
      </w:r>
      <w:r>
        <w:t>Héctor Álvarez Sánchez;</w:t>
      </w:r>
      <w:r w:rsidRPr="005B1A9F">
        <w:t xml:space="preserve"> </w:t>
      </w:r>
      <w:r>
        <w:t>ii)</w:t>
      </w:r>
      <w:r w:rsidRPr="005B1A9F">
        <w:t xml:space="preserve"> las </w:t>
      </w:r>
      <w:r>
        <w:t xml:space="preserve">presuntas </w:t>
      </w:r>
      <w:r w:rsidRPr="005B1A9F">
        <w:t xml:space="preserve">averiguaciones que hizo personalmente </w:t>
      </w:r>
      <w:r w:rsidR="001C3765">
        <w:t xml:space="preserve">el declarante </w:t>
      </w:r>
      <w:r w:rsidRPr="005B1A9F">
        <w:t>para establecer lo s</w:t>
      </w:r>
      <w:r>
        <w:t>ucedido en los dos últimos casos; iii)</w:t>
      </w:r>
      <w:r w:rsidRPr="005B1A9F">
        <w:t xml:space="preserve"> la </w:t>
      </w:r>
      <w:r>
        <w:t xml:space="preserve">presunta </w:t>
      </w:r>
      <w:r w:rsidRPr="005B1A9F">
        <w:t>respuesta de las autoridades</w:t>
      </w:r>
      <w:r>
        <w:t>; iv)</w:t>
      </w:r>
      <w:r w:rsidRPr="005B1A9F">
        <w:t xml:space="preserve"> las</w:t>
      </w:r>
      <w:r>
        <w:t xml:space="preserve"> presuntas</w:t>
      </w:r>
      <w:r w:rsidRPr="005B1A9F">
        <w:t xml:space="preserve"> afectaciones económicas, familiares y morales sufridas a nivel individual y colectivo, </w:t>
      </w:r>
      <w:r>
        <w:t xml:space="preserve"> y v) las</w:t>
      </w:r>
      <w:r w:rsidRPr="005B1A9F">
        <w:t xml:space="preserve"> posibles medidas de reparación.</w:t>
      </w:r>
    </w:p>
    <w:p w:rsidR="008E6216" w:rsidRDefault="008E6216" w:rsidP="008E6216">
      <w:pPr>
        <w:pStyle w:val="ListParagraph"/>
        <w:spacing w:after="0"/>
      </w:pPr>
    </w:p>
    <w:p w:rsidR="008E6216" w:rsidRPr="00D759A4" w:rsidRDefault="008E6216" w:rsidP="001C3765">
      <w:pPr>
        <w:pStyle w:val="ListParagraph"/>
        <w:numPr>
          <w:ilvl w:val="0"/>
          <w:numId w:val="12"/>
        </w:numPr>
        <w:spacing w:after="0"/>
        <w:ind w:firstLine="0"/>
      </w:pPr>
      <w:r w:rsidRPr="001C3765">
        <w:rPr>
          <w:i/>
        </w:rPr>
        <w:t xml:space="preserve">Ricaurte </w:t>
      </w:r>
      <w:proofErr w:type="spellStart"/>
      <w:r w:rsidRPr="001C3765">
        <w:rPr>
          <w:i/>
        </w:rPr>
        <w:t>Omeara</w:t>
      </w:r>
      <w:proofErr w:type="spellEnd"/>
      <w:r w:rsidRPr="001C3765">
        <w:rPr>
          <w:i/>
        </w:rPr>
        <w:t xml:space="preserve"> </w:t>
      </w:r>
      <w:proofErr w:type="spellStart"/>
      <w:r w:rsidRPr="001C3765">
        <w:rPr>
          <w:i/>
        </w:rPr>
        <w:t>Miraval</w:t>
      </w:r>
      <w:proofErr w:type="spellEnd"/>
      <w:r>
        <w:t>, quien</w:t>
      </w:r>
      <w:r w:rsidRPr="005B1A9F">
        <w:t xml:space="preserve"> </w:t>
      </w:r>
      <w:r>
        <w:t>declarará sobre</w:t>
      </w:r>
      <w:r w:rsidR="004926CA">
        <w:t>:</w:t>
      </w:r>
      <w:r w:rsidR="001C3765">
        <w:t xml:space="preserve"> i) los alegados</w:t>
      </w:r>
      <w:r w:rsidR="004926CA">
        <w:t xml:space="preserve">: </w:t>
      </w:r>
      <w:r w:rsidRPr="005B1A9F">
        <w:t xml:space="preserve">asesinato de José </w:t>
      </w:r>
      <w:proofErr w:type="spellStart"/>
      <w:r w:rsidRPr="005B1A9F">
        <w:t>Erminso</w:t>
      </w:r>
      <w:proofErr w:type="spellEnd"/>
      <w:r w:rsidRPr="005B1A9F">
        <w:t xml:space="preserve"> Sepúlveda Saravia</w:t>
      </w:r>
      <w:r w:rsidR="001C3765">
        <w:t>;</w:t>
      </w:r>
      <w:r w:rsidRPr="005B1A9F">
        <w:t xml:space="preserve"> atentado de</w:t>
      </w:r>
      <w:r w:rsidR="001C3765">
        <w:t>l padre del declarante,</w:t>
      </w:r>
      <w:r w:rsidRPr="005B1A9F">
        <w:t xml:space="preserve"> </w:t>
      </w:r>
      <w:r w:rsidR="001C3765">
        <w:t xml:space="preserve">Noel Emiro </w:t>
      </w:r>
      <w:proofErr w:type="spellStart"/>
      <w:r w:rsidR="001C3765">
        <w:t>Omeara</w:t>
      </w:r>
      <w:proofErr w:type="spellEnd"/>
      <w:r w:rsidR="001C3765">
        <w:t xml:space="preserve"> Carrascal; </w:t>
      </w:r>
      <w:r w:rsidRPr="005B1A9F">
        <w:t xml:space="preserve">desaparición forzada y homicidio de hermano </w:t>
      </w:r>
      <w:r w:rsidR="001C3765">
        <w:t xml:space="preserve">del declarante, </w:t>
      </w:r>
      <w:r w:rsidRPr="005B1A9F">
        <w:t xml:space="preserve">Manuel Guillermo </w:t>
      </w:r>
      <w:proofErr w:type="spellStart"/>
      <w:r w:rsidRPr="005B1A9F">
        <w:t>Omeara</w:t>
      </w:r>
      <w:proofErr w:type="spellEnd"/>
      <w:r w:rsidRPr="005B1A9F">
        <w:t xml:space="preserve"> </w:t>
      </w:r>
      <w:proofErr w:type="spellStart"/>
      <w:r w:rsidRPr="005B1A9F">
        <w:t>Miraval</w:t>
      </w:r>
      <w:proofErr w:type="spellEnd"/>
      <w:r w:rsidRPr="005B1A9F">
        <w:t xml:space="preserve">, y el atentado contra la vida </w:t>
      </w:r>
      <w:r>
        <w:t xml:space="preserve">de Héctor Álvarez Sánchez; ii) la </w:t>
      </w:r>
      <w:r w:rsidR="001C3765">
        <w:t xml:space="preserve">supuesta </w:t>
      </w:r>
      <w:r w:rsidRPr="005B1A9F">
        <w:t>respuesta obtenid</w:t>
      </w:r>
      <w:r>
        <w:t xml:space="preserve">a de las autoridades estatales; iii) </w:t>
      </w:r>
      <w:r w:rsidRPr="005B1A9F">
        <w:t>los</w:t>
      </w:r>
      <w:r>
        <w:t xml:space="preserve"> presuntos</w:t>
      </w:r>
      <w:r w:rsidRPr="005B1A9F">
        <w:t xml:space="preserve"> perjuicios económicos, morales y psicológicos padecidos por él y la fami</w:t>
      </w:r>
      <w:r>
        <w:t xml:space="preserve">lia en razón de lo sucedido; </w:t>
      </w:r>
      <w:r w:rsidR="001C3765">
        <w:t xml:space="preserve">iv) posibles medidas de reparación; </w:t>
      </w:r>
      <w:r>
        <w:t xml:space="preserve">v) </w:t>
      </w:r>
      <w:r w:rsidRPr="005B1A9F">
        <w:t xml:space="preserve">el </w:t>
      </w:r>
      <w:r>
        <w:t xml:space="preserve">alegado </w:t>
      </w:r>
      <w:r w:rsidRPr="005B1A9F">
        <w:t xml:space="preserve">contexto de violencia política existente en Aguachica para la época, </w:t>
      </w:r>
      <w:r w:rsidR="001C3765">
        <w:t xml:space="preserve">la supuesta </w:t>
      </w:r>
      <w:r w:rsidRPr="005B1A9F">
        <w:t xml:space="preserve">presencia del paramilitarismo </w:t>
      </w:r>
      <w:r w:rsidR="001C3765">
        <w:t>en la región del Sur del César y</w:t>
      </w:r>
      <w:r>
        <w:t xml:space="preserve"> </w:t>
      </w:r>
      <w:r w:rsidRPr="005B1A9F">
        <w:t>las</w:t>
      </w:r>
      <w:r>
        <w:t xml:space="preserve"> alegadas</w:t>
      </w:r>
      <w:r w:rsidRPr="005B1A9F">
        <w:t xml:space="preserve"> informaciones que la comunidad daba sobre el apoyo y colaboración de la fuerza pública con los grupos paramilitares</w:t>
      </w:r>
      <w:r w:rsidR="001C3765">
        <w:t>, debiendo indicar el declarante por qué medios tuvo conocimiento de los hechos c</w:t>
      </w:r>
      <w:r w:rsidR="001C3765" w:rsidRPr="00D759A4">
        <w:t>ontextuales aludidos.</w:t>
      </w:r>
    </w:p>
    <w:p w:rsidR="001C3765" w:rsidRPr="00D759A4" w:rsidRDefault="001C3765" w:rsidP="001C3765">
      <w:pPr>
        <w:pStyle w:val="ListParagraph"/>
        <w:spacing w:after="0"/>
        <w:ind w:left="720"/>
      </w:pPr>
    </w:p>
    <w:p w:rsidR="008E6216" w:rsidRPr="00D759A4" w:rsidRDefault="008E6216" w:rsidP="008E6216">
      <w:pPr>
        <w:pStyle w:val="ListParagraph"/>
        <w:numPr>
          <w:ilvl w:val="0"/>
          <w:numId w:val="12"/>
        </w:numPr>
        <w:spacing w:after="0"/>
        <w:ind w:firstLine="0"/>
      </w:pPr>
      <w:r w:rsidRPr="00D759A4">
        <w:rPr>
          <w:i/>
        </w:rPr>
        <w:t xml:space="preserve">Noel Emiro </w:t>
      </w:r>
      <w:proofErr w:type="spellStart"/>
      <w:r w:rsidRPr="00D759A4">
        <w:rPr>
          <w:i/>
        </w:rPr>
        <w:t>Omeara</w:t>
      </w:r>
      <w:proofErr w:type="spellEnd"/>
      <w:r w:rsidRPr="00D759A4">
        <w:rPr>
          <w:i/>
        </w:rPr>
        <w:t xml:space="preserve"> </w:t>
      </w:r>
      <w:proofErr w:type="spellStart"/>
      <w:r w:rsidRPr="00D759A4">
        <w:rPr>
          <w:i/>
        </w:rPr>
        <w:t>Miraval</w:t>
      </w:r>
      <w:proofErr w:type="spellEnd"/>
      <w:r w:rsidRPr="00D759A4">
        <w:t xml:space="preserve">, quien declarará sobre: i) los alegados perjuicios económicos, morales y psicológicos sufridos a nivel individual y colectivo por él y su familia a causa del atentado sufrido por su padre Noel Emiro </w:t>
      </w:r>
      <w:proofErr w:type="spellStart"/>
      <w:r w:rsidRPr="00D759A4">
        <w:t>Omeara</w:t>
      </w:r>
      <w:proofErr w:type="spellEnd"/>
      <w:r w:rsidRPr="00D759A4">
        <w:t xml:space="preserve"> Carrascal y su hermano Manuel Guillermo </w:t>
      </w:r>
      <w:proofErr w:type="spellStart"/>
      <w:r w:rsidRPr="00D759A4">
        <w:t>Omeara</w:t>
      </w:r>
      <w:proofErr w:type="spellEnd"/>
      <w:r w:rsidRPr="00D759A4">
        <w:t xml:space="preserve"> </w:t>
      </w:r>
      <w:proofErr w:type="spellStart"/>
      <w:r w:rsidRPr="00D759A4">
        <w:t>Miraval</w:t>
      </w:r>
      <w:proofErr w:type="spellEnd"/>
      <w:r w:rsidRPr="00D759A4">
        <w:t>,</w:t>
      </w:r>
      <w:r w:rsidR="001C3765" w:rsidRPr="00D759A4">
        <w:t xml:space="preserve"> y</w:t>
      </w:r>
      <w:r w:rsidRPr="00D759A4">
        <w:t xml:space="preserve"> ii) las posibles medidas de reparación.</w:t>
      </w:r>
    </w:p>
    <w:p w:rsidR="008E6216" w:rsidRPr="00D759A4" w:rsidRDefault="008E6216" w:rsidP="008E6216">
      <w:pPr>
        <w:spacing w:after="0"/>
      </w:pPr>
    </w:p>
    <w:p w:rsidR="008E6216" w:rsidRPr="00D759A4" w:rsidRDefault="008E6216" w:rsidP="008E6216">
      <w:pPr>
        <w:pStyle w:val="ListParagraph"/>
        <w:numPr>
          <w:ilvl w:val="0"/>
          <w:numId w:val="12"/>
        </w:numPr>
        <w:spacing w:after="0"/>
        <w:ind w:firstLine="0"/>
      </w:pPr>
      <w:proofErr w:type="spellStart"/>
      <w:r w:rsidRPr="00D759A4">
        <w:rPr>
          <w:i/>
        </w:rPr>
        <w:lastRenderedPageBreak/>
        <w:t>Erminso</w:t>
      </w:r>
      <w:proofErr w:type="spellEnd"/>
      <w:r w:rsidRPr="00D759A4">
        <w:rPr>
          <w:i/>
        </w:rPr>
        <w:t xml:space="preserve"> Sepúlveda Saravia</w:t>
      </w:r>
      <w:r w:rsidRPr="00D759A4">
        <w:t xml:space="preserve">, quien declarará sobre: i) las alegadas afectaciones económicas, sociales y psicológicas provocadas por el alegado asesinato de su padre José </w:t>
      </w:r>
      <w:proofErr w:type="spellStart"/>
      <w:r w:rsidRPr="00D759A4">
        <w:t>Erminso</w:t>
      </w:r>
      <w:proofErr w:type="spellEnd"/>
      <w:r w:rsidRPr="00D759A4">
        <w:t xml:space="preserve"> Sepúlveda Saravia; ii) los presuntos efectos ocasionados en su niñez y desarrollo social y familiar tanto personal como de sus hermanos menores de edad al momento de los hechos; iii) el alegado desplazamiento forzado a causa de los hechos; iv) la presunta desestructuración familiar, y v) las posibles medidas de reparación.</w:t>
      </w:r>
    </w:p>
    <w:p w:rsidR="008E6216" w:rsidRPr="00D759A4" w:rsidRDefault="008E6216" w:rsidP="008E6216">
      <w:pPr>
        <w:spacing w:after="0"/>
      </w:pPr>
    </w:p>
    <w:p w:rsidR="008E6216" w:rsidRPr="00D759A4" w:rsidRDefault="008E6216" w:rsidP="008E6216">
      <w:pPr>
        <w:pStyle w:val="ListParagraph"/>
        <w:numPr>
          <w:ilvl w:val="0"/>
          <w:numId w:val="12"/>
        </w:numPr>
        <w:spacing w:after="0"/>
        <w:ind w:firstLine="0"/>
      </w:pPr>
      <w:proofErr w:type="spellStart"/>
      <w:r w:rsidRPr="00D759A4">
        <w:rPr>
          <w:i/>
        </w:rPr>
        <w:t>Maryeny</w:t>
      </w:r>
      <w:proofErr w:type="spellEnd"/>
      <w:r w:rsidRPr="00D759A4">
        <w:rPr>
          <w:i/>
        </w:rPr>
        <w:t xml:space="preserve"> Sepúlveda Chinchilla</w:t>
      </w:r>
      <w:r w:rsidRPr="00D759A4">
        <w:t xml:space="preserve">, quien declarará sobre: i) los presuntos perjuicios económicos, morales y psicológicos sufridos a nivel individual y colectivo por ella y su familia a causa del alegado asesinato de su padre José </w:t>
      </w:r>
      <w:proofErr w:type="spellStart"/>
      <w:r w:rsidRPr="00D759A4">
        <w:t>Erminso</w:t>
      </w:r>
      <w:proofErr w:type="spellEnd"/>
      <w:r w:rsidRPr="00D759A4">
        <w:t xml:space="preserve"> Sepúlveda Saravia, y ii) las posibles medidas de reparación.</w:t>
      </w:r>
    </w:p>
    <w:p w:rsidR="0081769A" w:rsidRPr="00D759A4" w:rsidRDefault="0081769A" w:rsidP="0081769A">
      <w:pPr>
        <w:pStyle w:val="ListParagraph"/>
      </w:pPr>
    </w:p>
    <w:p w:rsidR="0081769A" w:rsidRPr="00D759A4" w:rsidRDefault="0081769A" w:rsidP="0081769A">
      <w:pPr>
        <w:pStyle w:val="Listavistosa-nfasis1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b/>
          <w:iCs/>
          <w:szCs w:val="20"/>
          <w:u w:val="single"/>
          <w:lang w:bidi="en-US"/>
        </w:rPr>
      </w:pPr>
      <w:r w:rsidRPr="00D759A4">
        <w:rPr>
          <w:rFonts w:cs="Helvetica"/>
          <w:b/>
          <w:szCs w:val="20"/>
          <w:u w:val="single"/>
          <w:lang w:bidi="en-US"/>
        </w:rPr>
        <w:t>Perito</w:t>
      </w:r>
      <w:r w:rsidRPr="00D759A4">
        <w:rPr>
          <w:rFonts w:cs="Verdana"/>
          <w:b/>
          <w:iCs/>
          <w:szCs w:val="20"/>
          <w:u w:val="single"/>
          <w:lang w:bidi="en-US"/>
        </w:rPr>
        <w:t xml:space="preserve"> (propuesto por la Comisión)</w:t>
      </w:r>
    </w:p>
    <w:p w:rsidR="0081769A" w:rsidRPr="00D759A4" w:rsidRDefault="0081769A" w:rsidP="0081769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0"/>
        <w:contextualSpacing w:val="0"/>
        <w:rPr>
          <w:rFonts w:cs="Verdana"/>
          <w:b/>
          <w:iCs/>
          <w:szCs w:val="20"/>
          <w:u w:val="single"/>
          <w:lang w:bidi="en-US"/>
        </w:rPr>
      </w:pPr>
    </w:p>
    <w:p w:rsidR="0081769A" w:rsidRPr="00BB0E7F" w:rsidRDefault="0081769A" w:rsidP="00BB0E7F">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contextualSpacing w:val="0"/>
        <w:rPr>
          <w:rFonts w:cs="Verdana"/>
          <w:b/>
          <w:iCs/>
          <w:szCs w:val="20"/>
          <w:u w:val="single"/>
          <w:lang w:val="es-CR" w:bidi="en-US"/>
        </w:rPr>
      </w:pPr>
      <w:r w:rsidRPr="00D759A4">
        <w:rPr>
          <w:rFonts w:cs="Arial"/>
          <w:i/>
          <w:color w:val="141414"/>
          <w:szCs w:val="20"/>
          <w:lang w:val="es-CR" w:eastAsia="es-CR"/>
        </w:rPr>
        <w:t>Alejandro Valencia Villa</w:t>
      </w:r>
      <w:r w:rsidRPr="00D759A4">
        <w:rPr>
          <w:rFonts w:cs="Arial"/>
          <w:color w:val="141414"/>
          <w:szCs w:val="20"/>
          <w:lang w:val="es-CR" w:eastAsia="es-CR"/>
        </w:rPr>
        <w:t>, quien rendirá dictamen sobre: i) la responsabilidad internacional del Estado derivada de acciones de actores no estatales en supuestos de aquiescencia y colaboración de agentes estatales; cuando confluye</w:t>
      </w:r>
      <w:r w:rsidRPr="00D759A4">
        <w:rPr>
          <w:rFonts w:cs="Arial"/>
          <w:color w:val="3A3A3A"/>
          <w:szCs w:val="20"/>
          <w:lang w:val="es-CR" w:eastAsia="es-CR"/>
        </w:rPr>
        <w:t xml:space="preserve">, </w:t>
      </w:r>
      <w:r w:rsidRPr="00D759A4">
        <w:rPr>
          <w:rFonts w:cs="Arial"/>
          <w:color w:val="141414"/>
          <w:szCs w:val="20"/>
          <w:lang w:val="es-CR" w:eastAsia="es-CR"/>
        </w:rPr>
        <w:t>además de la aquiescencia y colaboración, un incumplimiento del deber de garantía, in</w:t>
      </w:r>
      <w:r w:rsidRPr="00D759A4">
        <w:rPr>
          <w:rFonts w:cs="Arial"/>
          <w:color w:val="3A3A3A"/>
          <w:szCs w:val="20"/>
          <w:lang w:val="es-CR" w:eastAsia="es-CR"/>
        </w:rPr>
        <w:t>c</w:t>
      </w:r>
      <w:r w:rsidRPr="00D759A4">
        <w:rPr>
          <w:rFonts w:cs="Arial"/>
          <w:color w:val="141414"/>
          <w:szCs w:val="20"/>
          <w:lang w:val="es-CR" w:eastAsia="es-CR"/>
        </w:rPr>
        <w:t xml:space="preserve">luyendo el deber de protección frente a amenazas en contra de un grupo determinado, y ii) el componente de investigación del deber de garantía y las implicaciones concretas del deber de investigar con debida diligencia frente a hechos interrelacionados en distintos niveles, </w:t>
      </w:r>
      <w:r w:rsidRPr="00D759A4">
        <w:rPr>
          <w:rFonts w:cs="Arial"/>
          <w:color w:val="3A3A3A"/>
          <w:szCs w:val="20"/>
          <w:lang w:val="es-CR" w:eastAsia="es-CR"/>
        </w:rPr>
        <w:t>c</w:t>
      </w:r>
      <w:r w:rsidRPr="00D759A4">
        <w:rPr>
          <w:rFonts w:cs="Arial"/>
          <w:color w:val="141414"/>
          <w:szCs w:val="20"/>
          <w:lang w:val="es-CR" w:eastAsia="es-CR"/>
        </w:rPr>
        <w:t>omo los que ocurrieron en el presente caso.</w:t>
      </w:r>
    </w:p>
    <w:p w:rsidR="008E6216" w:rsidRPr="0011601B" w:rsidRDefault="008E6216" w:rsidP="008E6216">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b/>
          <w:iCs/>
          <w:szCs w:val="20"/>
          <w:u w:val="single"/>
          <w:lang w:bidi="en-US"/>
        </w:rPr>
      </w:pPr>
    </w:p>
    <w:p w:rsidR="008E6216" w:rsidRPr="0011601B" w:rsidRDefault="008E6216" w:rsidP="008E6216">
      <w:pPr>
        <w:pStyle w:val="Listavistosa-nfasis1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b/>
          <w:iCs/>
          <w:szCs w:val="20"/>
          <w:u w:val="single"/>
          <w:lang w:bidi="en-US"/>
        </w:rPr>
      </w:pPr>
      <w:r w:rsidRPr="0011601B">
        <w:rPr>
          <w:rFonts w:cs="Helvetica"/>
          <w:b/>
          <w:szCs w:val="20"/>
          <w:u w:val="single"/>
          <w:lang w:bidi="en-US"/>
        </w:rPr>
        <w:t>Peritos</w:t>
      </w:r>
      <w:r w:rsidRPr="0011601B">
        <w:rPr>
          <w:rFonts w:cs="Verdana"/>
          <w:b/>
          <w:iCs/>
          <w:szCs w:val="20"/>
          <w:u w:val="single"/>
          <w:lang w:bidi="en-US"/>
        </w:rPr>
        <w:t xml:space="preserve"> (propuestos por los representantes)</w:t>
      </w:r>
    </w:p>
    <w:p w:rsidR="008E6216" w:rsidRPr="0011601B" w:rsidRDefault="008E6216" w:rsidP="001F2AB7">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15"/>
        <w:contextualSpacing w:val="0"/>
        <w:rPr>
          <w:rFonts w:cs="Verdana"/>
          <w:iCs/>
          <w:szCs w:val="20"/>
          <w:lang w:bidi="en-US"/>
        </w:rPr>
      </w:pPr>
    </w:p>
    <w:p w:rsidR="008E6216" w:rsidRDefault="008E6216" w:rsidP="001F2AB7">
      <w:pPr>
        <w:pStyle w:val="ListParagraph"/>
        <w:numPr>
          <w:ilvl w:val="0"/>
          <w:numId w:val="11"/>
        </w:numPr>
        <w:spacing w:after="0"/>
        <w:ind w:firstLine="0"/>
      </w:pPr>
      <w:r w:rsidRPr="0011601B">
        <w:rPr>
          <w:i/>
        </w:rPr>
        <w:t>Luis Augusto Chávez</w:t>
      </w:r>
      <w:r w:rsidRPr="0011601B">
        <w:t xml:space="preserve">, administrador público, ex alcalde de San Alberto y ex concejal de San Martín, Departamento del Cesar, quien rendirá dictamen sobre: i) la creación del Movimiento de Acción Comunitaria </w:t>
      </w:r>
      <w:r w:rsidR="00E94919">
        <w:t>(</w:t>
      </w:r>
      <w:r w:rsidRPr="0011601B">
        <w:t>MAC</w:t>
      </w:r>
      <w:r w:rsidR="00E94919">
        <w:t>)</w:t>
      </w:r>
      <w:r w:rsidRPr="0011601B">
        <w:t xml:space="preserve">, sus orígenes, plataforma política y logros electorales obtenidos en la región del Sur del Cesar, ii) </w:t>
      </w:r>
      <w:r w:rsidR="00962524">
        <w:t xml:space="preserve">el supuesto </w:t>
      </w:r>
      <w:r w:rsidRPr="0011601B">
        <w:t xml:space="preserve">contexto de violencia política presente en el Sur del Cesar, con énfasis en los </w:t>
      </w:r>
      <w:r w:rsidR="00962524">
        <w:t xml:space="preserve">presuntos </w:t>
      </w:r>
      <w:r w:rsidRPr="0011601B">
        <w:t>crímenes cometidos contra miembros del MAC</w:t>
      </w:r>
      <w:r w:rsidR="00E94919">
        <w:t>; y</w:t>
      </w:r>
      <w:r w:rsidRPr="0011601B">
        <w:t xml:space="preserve"> iii) </w:t>
      </w:r>
      <w:r w:rsidR="00962524">
        <w:t xml:space="preserve">las supuestas </w:t>
      </w:r>
      <w:r w:rsidRPr="0011601B">
        <w:t xml:space="preserve">causas, motivos y actores que </w:t>
      </w:r>
      <w:r w:rsidR="00962524">
        <w:t>habrían sido</w:t>
      </w:r>
      <w:r w:rsidRPr="0011601B">
        <w:t xml:space="preserve"> responsables de los mismos con el fin de establecer sus consecuencias e incidencia en la desaparición de la agrupación política.</w:t>
      </w:r>
    </w:p>
    <w:p w:rsidR="001F2AB7" w:rsidRPr="0011601B" w:rsidRDefault="001F2AB7" w:rsidP="001F2AB7">
      <w:pPr>
        <w:pStyle w:val="ListParagraph"/>
        <w:spacing w:after="0"/>
        <w:ind w:left="720"/>
      </w:pPr>
    </w:p>
    <w:p w:rsidR="008E6216" w:rsidRDefault="008E6216" w:rsidP="00A30E8C">
      <w:pPr>
        <w:pStyle w:val="ListParagraph"/>
        <w:numPr>
          <w:ilvl w:val="0"/>
          <w:numId w:val="11"/>
        </w:numPr>
        <w:spacing w:after="0"/>
        <w:ind w:firstLine="0"/>
      </w:pPr>
      <w:r w:rsidRPr="0011601B">
        <w:rPr>
          <w:i/>
        </w:rPr>
        <w:t>Santiago Camargo</w:t>
      </w:r>
      <w:r w:rsidRPr="0011601B">
        <w:t xml:space="preserve">, economista y directivo del Programa de Desarrollo y Paz del Magdalena Medio (PDPMM), quien rendirá dictamen sobre: i) el alegado contexto político, económico y social del Sur del César para la década de 1990; ii) </w:t>
      </w:r>
      <w:r w:rsidR="00962524">
        <w:t xml:space="preserve">la </w:t>
      </w:r>
      <w:r w:rsidRPr="0011601B">
        <w:t xml:space="preserve">génesis, desarrollo y consolidación </w:t>
      </w:r>
      <w:r w:rsidR="00962524">
        <w:t xml:space="preserve">que habría tenido </w:t>
      </w:r>
      <w:r w:rsidRPr="0011601B">
        <w:t xml:space="preserve">el paramilitarismo en el Sur del César, los grupos que lo </w:t>
      </w:r>
      <w:r w:rsidR="00962524">
        <w:t xml:space="preserve">habrían </w:t>
      </w:r>
      <w:r w:rsidRPr="0011601B">
        <w:t>conforma</w:t>
      </w:r>
      <w:r w:rsidR="00962524">
        <w:t>do y</w:t>
      </w:r>
      <w:r w:rsidRPr="0011601B">
        <w:t xml:space="preserve"> sus </w:t>
      </w:r>
      <w:r w:rsidR="00962524">
        <w:t xml:space="preserve">supuestos </w:t>
      </w:r>
      <w:r w:rsidRPr="0011601B">
        <w:t xml:space="preserve">objetivos y metas para la década de 1990; iii) los sectores sociales </w:t>
      </w:r>
      <w:r w:rsidR="00962524">
        <w:t xml:space="preserve">que habían sido </w:t>
      </w:r>
      <w:r w:rsidRPr="0011601B">
        <w:t xml:space="preserve">más </w:t>
      </w:r>
      <w:r w:rsidR="00962524">
        <w:t>afectados</w:t>
      </w:r>
      <w:r w:rsidRPr="0011601B">
        <w:t xml:space="preserve"> por</w:t>
      </w:r>
      <w:r w:rsidR="00962524">
        <w:t xml:space="preserve"> la violencia paramilitar en es</w:t>
      </w:r>
      <w:r w:rsidRPr="0011601B">
        <w:t xml:space="preserve">e tiempo, y iv) la alegada colaboración, aquiescencia y apoyo de los organismos de seguridad del Estado acantonados en la región a las estructuras paramilitares de la época, referenciando las </w:t>
      </w:r>
      <w:r w:rsidR="00962524">
        <w:t xml:space="preserve">supuestas </w:t>
      </w:r>
      <w:r w:rsidRPr="0011601B">
        <w:t xml:space="preserve">unidades militares y policiales presentes y las formas en que se </w:t>
      </w:r>
      <w:r w:rsidR="00962524">
        <w:t xml:space="preserve">habrían </w:t>
      </w:r>
      <w:r w:rsidRPr="0011601B">
        <w:t>evidencia</w:t>
      </w:r>
      <w:r w:rsidR="00962524">
        <w:t>do</w:t>
      </w:r>
      <w:r w:rsidRPr="0011601B">
        <w:t xml:space="preserve"> o presenta</w:t>
      </w:r>
      <w:r w:rsidR="00962524">
        <w:t>do</w:t>
      </w:r>
      <w:r w:rsidRPr="0011601B">
        <w:t xml:space="preserve"> dichas relaciones entre ambos.</w:t>
      </w:r>
    </w:p>
    <w:p w:rsidR="00C203CB" w:rsidRDefault="00C203CB" w:rsidP="00A30E8C">
      <w:pPr>
        <w:pStyle w:val="ListParagraph"/>
        <w:spacing w:after="0"/>
      </w:pPr>
    </w:p>
    <w:p w:rsidR="00C203CB" w:rsidRPr="0081769A" w:rsidRDefault="00C203CB" w:rsidP="00A30E8C">
      <w:pPr>
        <w:pStyle w:val="ListParagraph"/>
        <w:numPr>
          <w:ilvl w:val="0"/>
          <w:numId w:val="11"/>
        </w:numPr>
        <w:spacing w:after="0"/>
        <w:ind w:firstLine="0"/>
      </w:pPr>
      <w:r w:rsidRPr="0081769A">
        <w:rPr>
          <w:rFonts w:eastAsia="Times New Roman" w:cs="Verdana"/>
          <w:i/>
          <w:szCs w:val="20"/>
          <w:lang w:val="es-CL" w:eastAsia="en-US"/>
        </w:rPr>
        <w:t>Iván González Amado</w:t>
      </w:r>
      <w:r w:rsidRPr="0081769A">
        <w:rPr>
          <w:rFonts w:eastAsia="Times New Roman" w:cs="Verdana"/>
          <w:szCs w:val="20"/>
          <w:lang w:val="es-CL" w:eastAsia="en-US"/>
        </w:rPr>
        <w:t>,</w:t>
      </w:r>
      <w:r w:rsidRPr="0081769A">
        <w:t xml:space="preserve"> abogado especializado en Derecho Penal y Criminología, quien rendirá dictamen sobre: i) los estándares de debida diligencia en la investigación penal de casos de graves violaciones a los derechos humanos en las que estén involucrados agentes estatales y grupos paramilitares; ii) las hipótesis de </w:t>
      </w:r>
      <w:r w:rsidRPr="0081769A">
        <w:lastRenderedPageBreak/>
        <w:t xml:space="preserve">trabajo, recursos humanos y técnicos que sean indispensables a efectos de lograr la judicialización, en un plazo razonable, de los responsables de crímenes cometidos por esos actores en contextos de violencia masiva y sistemática, los cuales estén interrelacionados por sus autores y/o los vínculos de parentesco, pertenencia a un grupo social u otros factores comunes de las víctimas; y su aplicación al procesamiento del asesinato de José </w:t>
      </w:r>
      <w:proofErr w:type="spellStart"/>
      <w:r w:rsidRPr="0081769A">
        <w:t>Erminso</w:t>
      </w:r>
      <w:proofErr w:type="spellEnd"/>
      <w:r w:rsidRPr="0081769A">
        <w:t xml:space="preserve"> Sepúlveda Saravia y Noel Emiro </w:t>
      </w:r>
      <w:proofErr w:type="spellStart"/>
      <w:r w:rsidRPr="0081769A">
        <w:t>Omeara</w:t>
      </w:r>
      <w:proofErr w:type="spellEnd"/>
      <w:r w:rsidRPr="0081769A">
        <w:t xml:space="preserve"> Carrascal, la desaparición forzada y homicidio de Manuel Guillermo </w:t>
      </w:r>
      <w:proofErr w:type="spellStart"/>
      <w:r w:rsidRPr="0081769A">
        <w:t>Omeara</w:t>
      </w:r>
      <w:proofErr w:type="spellEnd"/>
      <w:r w:rsidRPr="0081769A">
        <w:t xml:space="preserve"> </w:t>
      </w:r>
      <w:proofErr w:type="spellStart"/>
      <w:r w:rsidRPr="0081769A">
        <w:t>Miraval</w:t>
      </w:r>
      <w:proofErr w:type="spellEnd"/>
      <w:r w:rsidRPr="0081769A">
        <w:t xml:space="preserve"> y el atentado sufrido por Héctor Álvarez Sánchez, y iii) estándares a la luz de las actuaciones judiciales del caso de referencia y se referirá a posibles estándares a tener en cuenta en las eventuales medidas de reparación.</w:t>
      </w:r>
    </w:p>
    <w:p w:rsidR="001F2AB7" w:rsidRPr="0011601B" w:rsidRDefault="001F2AB7" w:rsidP="00C203CB">
      <w:pPr>
        <w:pStyle w:val="ListParagraph"/>
        <w:spacing w:after="0"/>
        <w:ind w:left="720"/>
      </w:pPr>
    </w:p>
    <w:p w:rsidR="008E6216" w:rsidRDefault="008E6216" w:rsidP="001F2AB7">
      <w:pPr>
        <w:pStyle w:val="ListParagraph"/>
        <w:numPr>
          <w:ilvl w:val="0"/>
          <w:numId w:val="11"/>
        </w:numPr>
        <w:spacing w:after="0"/>
        <w:ind w:firstLine="0"/>
      </w:pPr>
      <w:r>
        <w:rPr>
          <w:i/>
        </w:rPr>
        <w:t>Liz Aré</w:t>
      </w:r>
      <w:r w:rsidRPr="005A76F5">
        <w:rPr>
          <w:i/>
        </w:rPr>
        <w:t>valo</w:t>
      </w:r>
      <w:r>
        <w:t xml:space="preserve">, </w:t>
      </w:r>
      <w:r w:rsidR="00F129BD">
        <w:t>p</w:t>
      </w:r>
      <w:r>
        <w:t>sicóloga</w:t>
      </w:r>
      <w:r w:rsidR="00E94919">
        <w:t>,</w:t>
      </w:r>
      <w:r>
        <w:t xml:space="preserve"> d</w:t>
      </w:r>
      <w:r w:rsidRPr="005B1A9F">
        <w:t>irecto</w:t>
      </w:r>
      <w:r>
        <w:t>ra de la Corporación Vínculos, quien r</w:t>
      </w:r>
      <w:r w:rsidRPr="005B1A9F">
        <w:t>endirá dictamen sobre</w:t>
      </w:r>
      <w:r>
        <w:t>: i)</w:t>
      </w:r>
      <w:r w:rsidRPr="005B1A9F">
        <w:t xml:space="preserve"> el Programa de Atención Psicosocial a Víctimas del Conf</w:t>
      </w:r>
      <w:r>
        <w:t>licto Armado, consagrado en la L</w:t>
      </w:r>
      <w:r w:rsidRPr="005B1A9F">
        <w:t xml:space="preserve">ey </w:t>
      </w:r>
      <w:r>
        <w:t>No. 1448 de 2011;</w:t>
      </w:r>
      <w:r w:rsidRPr="005B1A9F">
        <w:t xml:space="preserve"> </w:t>
      </w:r>
      <w:r>
        <w:t>ii)</w:t>
      </w:r>
      <w:r w:rsidRPr="005B1A9F">
        <w:t xml:space="preserve"> </w:t>
      </w:r>
      <w:r w:rsidR="00F129BD">
        <w:t>la existencia, si la hay, de</w:t>
      </w:r>
      <w:r>
        <w:t xml:space="preserve"> </w:t>
      </w:r>
      <w:r w:rsidRPr="005B1A9F">
        <w:t>falencias, obstáculos y problemáticas que enfrentan las víctimas del conflicto armado en materia de rehabi</w:t>
      </w:r>
      <w:r>
        <w:t>litación y atención psicológica, y</w:t>
      </w:r>
      <w:r w:rsidRPr="005B1A9F">
        <w:t xml:space="preserve"> </w:t>
      </w:r>
      <w:r>
        <w:t xml:space="preserve">iii) </w:t>
      </w:r>
      <w:r w:rsidR="00962524">
        <w:t>el funcionamiento del Programa señalado en relación con</w:t>
      </w:r>
      <w:r w:rsidRPr="005B1A9F">
        <w:t xml:space="preserve"> los criterios establecidos en la jurisprudencia de la Corte Interamericana de Derechos Humanos, especialmente </w:t>
      </w:r>
      <w:r w:rsidR="00962524">
        <w:t xml:space="preserve">en cuanto a la </w:t>
      </w:r>
      <w:r w:rsidRPr="005B1A9F">
        <w:t>prioridad, gratuidad, enfoque diferencial y permanencia en el tiempo.</w:t>
      </w:r>
    </w:p>
    <w:p w:rsidR="001F2AB7" w:rsidRPr="005B1A9F" w:rsidRDefault="001F2AB7" w:rsidP="001F2AB7">
      <w:pPr>
        <w:pStyle w:val="ListParagraph"/>
        <w:spacing w:after="0"/>
        <w:ind w:left="720"/>
      </w:pPr>
    </w:p>
    <w:p w:rsidR="008E6216" w:rsidRDefault="008E6216" w:rsidP="001F2AB7">
      <w:pPr>
        <w:pStyle w:val="ListParagraph"/>
        <w:numPr>
          <w:ilvl w:val="0"/>
          <w:numId w:val="11"/>
        </w:numPr>
        <w:spacing w:after="0"/>
        <w:ind w:firstLine="0"/>
      </w:pPr>
      <w:r w:rsidRPr="005A76F5">
        <w:rPr>
          <w:i/>
        </w:rPr>
        <w:t>Carolina Torres</w:t>
      </w:r>
      <w:r>
        <w:t>, p</w:t>
      </w:r>
      <w:r w:rsidRPr="005B1A9F">
        <w:t>si</w:t>
      </w:r>
      <w:r>
        <w:t>cóloga, quien rendirá dictamen</w:t>
      </w:r>
      <w:r w:rsidR="00E94919">
        <w:t xml:space="preserve"> sobre</w:t>
      </w:r>
      <w:r>
        <w:t>: i)</w:t>
      </w:r>
      <w:r w:rsidRPr="005B1A9F">
        <w:t xml:space="preserve"> las</w:t>
      </w:r>
      <w:r>
        <w:t xml:space="preserve"> alegadas</w:t>
      </w:r>
      <w:r w:rsidRPr="005B1A9F">
        <w:t xml:space="preserve"> afectaciones psicosociales y morales causadas a los familiares de José </w:t>
      </w:r>
      <w:proofErr w:type="spellStart"/>
      <w:r w:rsidRPr="005B1A9F">
        <w:t>Erminso</w:t>
      </w:r>
      <w:proofErr w:type="spellEnd"/>
      <w:r w:rsidRPr="005B1A9F">
        <w:t xml:space="preserve"> Sepúlveda Saravia, Noel Emiro </w:t>
      </w:r>
      <w:proofErr w:type="spellStart"/>
      <w:r w:rsidRPr="005B1A9F">
        <w:t>Omeara</w:t>
      </w:r>
      <w:proofErr w:type="spellEnd"/>
      <w:r w:rsidRPr="005B1A9F">
        <w:t xml:space="preserve"> Carrascal, Manuel Guillermo </w:t>
      </w:r>
      <w:proofErr w:type="spellStart"/>
      <w:r w:rsidRPr="005B1A9F">
        <w:t>Omeara</w:t>
      </w:r>
      <w:proofErr w:type="spellEnd"/>
      <w:r w:rsidRPr="005B1A9F">
        <w:t xml:space="preserve"> </w:t>
      </w:r>
      <w:proofErr w:type="spellStart"/>
      <w:r w:rsidRPr="005B1A9F">
        <w:t>Mi</w:t>
      </w:r>
      <w:r>
        <w:t>raval</w:t>
      </w:r>
      <w:proofErr w:type="spellEnd"/>
      <w:r>
        <w:t xml:space="preserve"> y Héctor Álvarez Sánchez; ii) </w:t>
      </w:r>
      <w:r w:rsidRPr="005B1A9F">
        <w:t xml:space="preserve">el </w:t>
      </w:r>
      <w:r w:rsidR="00F129BD">
        <w:t xml:space="preserve">supuesto </w:t>
      </w:r>
      <w:r w:rsidRPr="005B1A9F">
        <w:t>daño colectivo ocasionado a un núcleo familiar amplio compuesto por las tres familias inmediatas de cada uno de ellos, que a su vez tienen relaciones tanto de pare</w:t>
      </w:r>
      <w:r>
        <w:t>ntesco como sociales entre sí; iii) l</w:t>
      </w:r>
      <w:r w:rsidRPr="005B1A9F">
        <w:t>as</w:t>
      </w:r>
      <w:r>
        <w:t xml:space="preserve"> presuntas</w:t>
      </w:r>
      <w:r w:rsidRPr="005B1A9F">
        <w:t xml:space="preserve"> consecuencias que</w:t>
      </w:r>
      <w:r w:rsidR="00F129BD">
        <w:t>,</w:t>
      </w:r>
      <w:r w:rsidRPr="005B1A9F">
        <w:t xml:space="preserve"> para </w:t>
      </w:r>
      <w:r w:rsidR="00F129BD">
        <w:t>los</w:t>
      </w:r>
      <w:r w:rsidRPr="005B1A9F">
        <w:t xml:space="preserve"> miembros </w:t>
      </w:r>
      <w:r w:rsidR="00F129BD">
        <w:t xml:space="preserve">de las familias </w:t>
      </w:r>
      <w:r w:rsidRPr="005B1A9F">
        <w:t>en su conjunto</w:t>
      </w:r>
      <w:r w:rsidR="00F129BD">
        <w:t>,</w:t>
      </w:r>
      <w:r w:rsidRPr="005B1A9F">
        <w:t xml:space="preserve"> se </w:t>
      </w:r>
      <w:r w:rsidR="00F129BD">
        <w:t xml:space="preserve">habrían </w:t>
      </w:r>
      <w:r w:rsidRPr="005B1A9F">
        <w:t>ocasiona</w:t>
      </w:r>
      <w:r w:rsidR="00F129BD">
        <w:t>d</w:t>
      </w:r>
      <w:r w:rsidRPr="005B1A9F">
        <w:t xml:space="preserve">o con la perpetración de los </w:t>
      </w:r>
      <w:r w:rsidR="00F129BD">
        <w:t xml:space="preserve">presuntos </w:t>
      </w:r>
      <w:r w:rsidRPr="005B1A9F">
        <w:t>tres cr</w:t>
      </w:r>
      <w:r>
        <w:t xml:space="preserve">ímenes; iv) </w:t>
      </w:r>
      <w:r w:rsidRPr="005B1A9F">
        <w:t xml:space="preserve">el estado y condición en que </w:t>
      </w:r>
      <w:r w:rsidR="00F129BD">
        <w:t xml:space="preserve">habrían </w:t>
      </w:r>
      <w:r w:rsidRPr="005B1A9F">
        <w:t>queda</w:t>
      </w:r>
      <w:r w:rsidR="00F129BD">
        <w:t>d</w:t>
      </w:r>
      <w:r w:rsidRPr="005B1A9F">
        <w:t>o dichas relaciones de parentesco y sociales entr</w:t>
      </w:r>
      <w:r>
        <w:t xml:space="preserve">e </w:t>
      </w:r>
      <w:r w:rsidR="00F129BD">
        <w:t xml:space="preserve">los miembros de la familia con </w:t>
      </w:r>
      <w:r>
        <w:t>posterior</w:t>
      </w:r>
      <w:r w:rsidR="00F129BD">
        <w:t>idad</w:t>
      </w:r>
      <w:r>
        <w:t xml:space="preserve"> a los hechos, y v) las </w:t>
      </w:r>
      <w:r w:rsidRPr="005B1A9F">
        <w:t>posibles medidas de reparación en esta materia.</w:t>
      </w:r>
    </w:p>
    <w:p w:rsidR="001F2AB7" w:rsidRPr="005B1A9F" w:rsidRDefault="001F2AB7" w:rsidP="001F2AB7">
      <w:pPr>
        <w:pStyle w:val="ListParagraph"/>
        <w:spacing w:after="0"/>
        <w:ind w:left="720"/>
      </w:pPr>
    </w:p>
    <w:p w:rsidR="008E6216" w:rsidRPr="0011601B" w:rsidRDefault="008E6216" w:rsidP="001F2AB7">
      <w:pPr>
        <w:pStyle w:val="ListParagraph"/>
        <w:numPr>
          <w:ilvl w:val="0"/>
          <w:numId w:val="11"/>
        </w:numPr>
        <w:spacing w:after="0"/>
        <w:ind w:firstLine="0"/>
        <w:rPr>
          <w:szCs w:val="20"/>
          <w:lang w:val="es-CR"/>
        </w:rPr>
      </w:pPr>
      <w:r w:rsidRPr="005A76F5">
        <w:rPr>
          <w:i/>
        </w:rPr>
        <w:t>Fernando Ruiz</w:t>
      </w:r>
      <w:r>
        <w:t>, a</w:t>
      </w:r>
      <w:r w:rsidRPr="005B1A9F">
        <w:t>bogado y esta</w:t>
      </w:r>
      <w:r>
        <w:t>dístico, q</w:t>
      </w:r>
      <w:r w:rsidR="00F129BD">
        <w:t xml:space="preserve">uien rendirá dictamen sobre </w:t>
      </w:r>
      <w:r w:rsidRPr="005B1A9F">
        <w:t>el</w:t>
      </w:r>
      <w:r>
        <w:t xml:space="preserve"> supuesto</w:t>
      </w:r>
      <w:r w:rsidRPr="005B1A9F">
        <w:t xml:space="preserve"> monto del lucro cesante consolidado y futuro ocasionado como daño material sufrido por José </w:t>
      </w:r>
      <w:proofErr w:type="spellStart"/>
      <w:r w:rsidRPr="005B1A9F">
        <w:t>Erminso</w:t>
      </w:r>
      <w:proofErr w:type="spellEnd"/>
      <w:r w:rsidRPr="005B1A9F">
        <w:t xml:space="preserve"> Sepúlveda Saravia, Noel Emiro </w:t>
      </w:r>
      <w:proofErr w:type="spellStart"/>
      <w:r w:rsidRPr="005B1A9F">
        <w:t>Omeara</w:t>
      </w:r>
      <w:proofErr w:type="spellEnd"/>
      <w:r w:rsidRPr="005B1A9F">
        <w:t xml:space="preserve"> Carrascal, Manuel Guillermo </w:t>
      </w:r>
      <w:proofErr w:type="spellStart"/>
      <w:r w:rsidRPr="005B1A9F">
        <w:t>Omeara</w:t>
      </w:r>
      <w:proofErr w:type="spellEnd"/>
      <w:r w:rsidRPr="005B1A9F">
        <w:t xml:space="preserve"> </w:t>
      </w:r>
      <w:proofErr w:type="spellStart"/>
      <w:r w:rsidRPr="005B1A9F">
        <w:t>Mira</w:t>
      </w:r>
      <w:r>
        <w:t>val</w:t>
      </w:r>
      <w:proofErr w:type="spellEnd"/>
      <w:r>
        <w:t xml:space="preserve"> y Héctor Álvarez Sánchez, de</w:t>
      </w:r>
      <w:r w:rsidRPr="005B1A9F">
        <w:t xml:space="preserve"> conformidad con sus actividades económic</w:t>
      </w:r>
      <w:r w:rsidR="00F129BD">
        <w:t xml:space="preserve">as y/o laborales, </w:t>
      </w:r>
      <w:r>
        <w:t xml:space="preserve"> su patrimonio</w:t>
      </w:r>
      <w:r w:rsidR="00F129BD">
        <w:t xml:space="preserve"> y</w:t>
      </w:r>
      <w:r>
        <w:t xml:space="preserve"> </w:t>
      </w:r>
      <w:r w:rsidRPr="005B1A9F">
        <w:t xml:space="preserve">la expectativa de vida probable en Colombia en la fecha en que ocurrieron los hechos. </w:t>
      </w:r>
    </w:p>
    <w:p w:rsidR="008E6216" w:rsidRDefault="008E6216" w:rsidP="001F2AB7">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i/>
          <w:iCs/>
          <w:szCs w:val="20"/>
          <w:u w:val="single"/>
          <w:lang w:bidi="en-US"/>
        </w:rPr>
      </w:pPr>
    </w:p>
    <w:p w:rsidR="00883EBE" w:rsidRDefault="003A318E" w:rsidP="001F2AB7">
      <w:pPr>
        <w:pStyle w:val="Listavistosa-nfasis1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b/>
          <w:iCs/>
          <w:szCs w:val="20"/>
          <w:u w:val="single"/>
          <w:lang w:bidi="en-US"/>
        </w:rPr>
      </w:pPr>
      <w:r>
        <w:rPr>
          <w:rFonts w:cs="Verdana"/>
          <w:b/>
          <w:iCs/>
          <w:szCs w:val="20"/>
          <w:u w:val="single"/>
          <w:lang w:bidi="en-US"/>
        </w:rPr>
        <w:t>Testigos</w:t>
      </w:r>
      <w:r w:rsidR="00883EBE">
        <w:rPr>
          <w:rFonts w:cs="Verdana"/>
          <w:b/>
          <w:iCs/>
          <w:szCs w:val="20"/>
          <w:u w:val="single"/>
          <w:lang w:bidi="en-US"/>
        </w:rPr>
        <w:t xml:space="preserve"> (propuestos por el Estado)</w:t>
      </w:r>
    </w:p>
    <w:p w:rsidR="00883EBE" w:rsidRDefault="00883EBE" w:rsidP="00883EBE">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contextualSpacing w:val="0"/>
        <w:rPr>
          <w:rFonts w:cs="Verdana"/>
          <w:iCs/>
          <w:szCs w:val="20"/>
          <w:lang w:bidi="en-US"/>
        </w:rPr>
      </w:pPr>
    </w:p>
    <w:p w:rsidR="00883EBE" w:rsidRDefault="00883EBE" w:rsidP="00E94919">
      <w:pPr>
        <w:pStyle w:val="Listavistosa-nfasis11"/>
        <w:widowControl w:val="0"/>
        <w:numPr>
          <w:ilvl w:val="0"/>
          <w:numId w:val="14"/>
        </w:numPr>
        <w:autoSpaceDE w:val="0"/>
        <w:autoSpaceDN w:val="0"/>
        <w:adjustRightInd w:val="0"/>
        <w:spacing w:after="0"/>
        <w:ind w:left="720" w:firstLine="0"/>
        <w:contextualSpacing w:val="0"/>
        <w:rPr>
          <w:rFonts w:cs="Verdana"/>
          <w:iCs/>
          <w:szCs w:val="20"/>
          <w:lang w:bidi="en-US"/>
        </w:rPr>
      </w:pPr>
      <w:r w:rsidRPr="00CC1BF1">
        <w:rPr>
          <w:rFonts w:cs="Verdana"/>
          <w:i/>
          <w:iCs/>
          <w:szCs w:val="20"/>
          <w:lang w:bidi="en-US"/>
        </w:rPr>
        <w:t>Iván Augusto Gómez Celis,</w:t>
      </w:r>
      <w:r>
        <w:rPr>
          <w:rFonts w:cs="Verdana"/>
          <w:iCs/>
          <w:szCs w:val="20"/>
          <w:lang w:bidi="en-US"/>
        </w:rPr>
        <w:t xml:space="preserve"> Fiscal 34, Delegado ante el Tribunal Superior de Distrito Judicial, quien declarará sobre: las supuestas actuaciones realizadas por la Fiscalía General de la Nación en el marco de los procesos de Justicia y Paz, con el fin de investigar, juzgar y sancionar a los responsables por los</w:t>
      </w:r>
      <w:r w:rsidR="00CC1BF1">
        <w:rPr>
          <w:rFonts w:cs="Verdana"/>
          <w:iCs/>
          <w:szCs w:val="20"/>
          <w:lang w:bidi="en-US"/>
        </w:rPr>
        <w:t xml:space="preserve"> alegados</w:t>
      </w:r>
      <w:r>
        <w:rPr>
          <w:rFonts w:cs="Verdana"/>
          <w:iCs/>
          <w:szCs w:val="20"/>
          <w:lang w:bidi="en-US"/>
        </w:rPr>
        <w:t xml:space="preserve"> hechos relacionados con los señores Noel Emiro </w:t>
      </w:r>
      <w:proofErr w:type="spellStart"/>
      <w:r>
        <w:rPr>
          <w:rFonts w:cs="Verdana"/>
          <w:iCs/>
          <w:szCs w:val="20"/>
          <w:lang w:bidi="en-US"/>
        </w:rPr>
        <w:t>Omeara</w:t>
      </w:r>
      <w:proofErr w:type="spellEnd"/>
      <w:r>
        <w:rPr>
          <w:rFonts w:cs="Verdana"/>
          <w:iCs/>
          <w:szCs w:val="20"/>
          <w:lang w:bidi="en-US"/>
        </w:rPr>
        <w:t xml:space="preserve"> Carrascal, Manuel Guillermo </w:t>
      </w:r>
      <w:proofErr w:type="spellStart"/>
      <w:r>
        <w:rPr>
          <w:rFonts w:cs="Verdana"/>
          <w:iCs/>
          <w:szCs w:val="20"/>
          <w:lang w:bidi="en-US"/>
        </w:rPr>
        <w:t>Omeara</w:t>
      </w:r>
      <w:proofErr w:type="spellEnd"/>
      <w:r>
        <w:rPr>
          <w:rFonts w:cs="Verdana"/>
          <w:iCs/>
          <w:szCs w:val="20"/>
          <w:lang w:bidi="en-US"/>
        </w:rPr>
        <w:t xml:space="preserve"> </w:t>
      </w:r>
      <w:proofErr w:type="spellStart"/>
      <w:r>
        <w:rPr>
          <w:rFonts w:cs="Verdana"/>
          <w:iCs/>
          <w:szCs w:val="20"/>
          <w:lang w:bidi="en-US"/>
        </w:rPr>
        <w:t>Miraval</w:t>
      </w:r>
      <w:proofErr w:type="spellEnd"/>
      <w:r>
        <w:rPr>
          <w:rFonts w:cs="Verdana"/>
          <w:iCs/>
          <w:szCs w:val="20"/>
          <w:lang w:bidi="en-US"/>
        </w:rPr>
        <w:t xml:space="preserve"> y Héctor Álvarez Sánchez.</w:t>
      </w:r>
    </w:p>
    <w:p w:rsidR="00F60293" w:rsidRDefault="00F60293" w:rsidP="00E94919">
      <w:pPr>
        <w:pStyle w:val="Listavistosa-nfasis11"/>
        <w:widowControl w:val="0"/>
        <w:numPr>
          <w:ilvl w:val="0"/>
          <w:numId w:val="0"/>
        </w:numPr>
        <w:autoSpaceDE w:val="0"/>
        <w:autoSpaceDN w:val="0"/>
        <w:adjustRightInd w:val="0"/>
        <w:spacing w:after="0"/>
        <w:ind w:left="720"/>
        <w:contextualSpacing w:val="0"/>
        <w:rPr>
          <w:rFonts w:cs="Verdana"/>
          <w:iCs/>
          <w:szCs w:val="20"/>
          <w:lang w:bidi="en-US"/>
        </w:rPr>
      </w:pPr>
    </w:p>
    <w:p w:rsidR="00CC1BF1" w:rsidRDefault="00CC1BF1" w:rsidP="00E94919">
      <w:pPr>
        <w:pStyle w:val="Listavistosa-nfasis11"/>
        <w:widowControl w:val="0"/>
        <w:numPr>
          <w:ilvl w:val="0"/>
          <w:numId w:val="14"/>
        </w:numPr>
        <w:autoSpaceDE w:val="0"/>
        <w:autoSpaceDN w:val="0"/>
        <w:adjustRightInd w:val="0"/>
        <w:spacing w:after="0"/>
        <w:ind w:left="720" w:firstLine="0"/>
        <w:contextualSpacing w:val="0"/>
        <w:rPr>
          <w:rFonts w:cs="Verdana"/>
          <w:iCs/>
          <w:szCs w:val="20"/>
          <w:lang w:bidi="en-US"/>
        </w:rPr>
      </w:pPr>
      <w:r w:rsidRPr="00CC1BF1">
        <w:rPr>
          <w:rFonts w:cs="Verdana"/>
          <w:i/>
          <w:iCs/>
          <w:szCs w:val="20"/>
          <w:lang w:bidi="en-US"/>
        </w:rPr>
        <w:t>Claudia Viviana Ferro Buitrago</w:t>
      </w:r>
      <w:r>
        <w:rPr>
          <w:rFonts w:cs="Verdana"/>
          <w:iCs/>
          <w:szCs w:val="20"/>
          <w:lang w:bidi="en-US"/>
        </w:rPr>
        <w:t>, Subdirectora General de la Unidad de Atención y Reparación a las Víctimas, quien declarará sobre: el Programa de Atención Psicosocial que contempla la Ley 1448 de 2011, en particular hará referencia a si existe o no compatibilidad de este programa, tanto en la ley como en la práctica, con los estándares del sistema interamericano en la materia.</w:t>
      </w:r>
      <w:r w:rsidR="003A318E">
        <w:rPr>
          <w:rFonts w:cs="Verdana"/>
          <w:iCs/>
          <w:szCs w:val="20"/>
          <w:lang w:bidi="en-US"/>
        </w:rPr>
        <w:t xml:space="preserve"> </w:t>
      </w:r>
    </w:p>
    <w:p w:rsidR="00883EBE" w:rsidRPr="00883EBE" w:rsidRDefault="00883EBE" w:rsidP="0081769A">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iCs/>
          <w:szCs w:val="20"/>
          <w:lang w:bidi="en-US"/>
        </w:rPr>
      </w:pPr>
    </w:p>
    <w:p w:rsidR="008E6216" w:rsidRPr="0011601B" w:rsidRDefault="008E6216" w:rsidP="001F2AB7">
      <w:pPr>
        <w:pStyle w:val="Listavistosa-nfasis1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b/>
          <w:iCs/>
          <w:szCs w:val="20"/>
          <w:u w:val="single"/>
          <w:lang w:bidi="en-US"/>
        </w:rPr>
      </w:pPr>
      <w:r w:rsidRPr="0011601B">
        <w:rPr>
          <w:rFonts w:cs="Helvetica"/>
          <w:b/>
          <w:szCs w:val="20"/>
          <w:u w:val="single"/>
          <w:lang w:bidi="en-US"/>
        </w:rPr>
        <w:t>Perito</w:t>
      </w:r>
      <w:r w:rsidRPr="0011601B">
        <w:rPr>
          <w:rFonts w:cs="Verdana"/>
          <w:b/>
          <w:iCs/>
          <w:szCs w:val="20"/>
          <w:u w:val="single"/>
          <w:lang w:bidi="en-US"/>
        </w:rPr>
        <w:t xml:space="preserve"> (propuesto por el Estado)</w:t>
      </w:r>
    </w:p>
    <w:p w:rsidR="008E6216" w:rsidRPr="00E34DF8" w:rsidRDefault="008E6216" w:rsidP="001F2AB7">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15"/>
        <w:contextualSpacing w:val="0"/>
        <w:rPr>
          <w:rFonts w:cs="Verdana"/>
          <w:i/>
          <w:iCs/>
          <w:szCs w:val="20"/>
          <w:u w:val="single"/>
          <w:lang w:bidi="en-US"/>
        </w:rPr>
      </w:pPr>
    </w:p>
    <w:p w:rsidR="008E6216" w:rsidRPr="005A76F5" w:rsidRDefault="008E6216" w:rsidP="00F129BD">
      <w:pPr>
        <w:pStyle w:val="ListParagraph"/>
        <w:widowControl w:val="0"/>
        <w:tabs>
          <w:tab w:val="left" w:pos="403"/>
        </w:tabs>
        <w:spacing w:after="0" w:line="276" w:lineRule="auto"/>
        <w:ind w:left="720" w:right="138"/>
        <w:rPr>
          <w:sz w:val="18"/>
          <w:szCs w:val="20"/>
          <w:highlight w:val="yellow"/>
        </w:rPr>
      </w:pPr>
      <w:r w:rsidRPr="005A76F5">
        <w:rPr>
          <w:i/>
          <w:lang w:val="es-CR"/>
        </w:rPr>
        <w:t>Héctor Eduardo Patiño Domínguez</w:t>
      </w:r>
      <w:r w:rsidRPr="00BE0CDD">
        <w:rPr>
          <w:lang w:val="es-CR"/>
        </w:rPr>
        <w:t>, abogado especia</w:t>
      </w:r>
      <w:r>
        <w:rPr>
          <w:lang w:val="es-CR"/>
        </w:rPr>
        <w:t>lista en derecho administrativo, quien r</w:t>
      </w:r>
      <w:r w:rsidRPr="00BE0CDD">
        <w:rPr>
          <w:lang w:val="es-CR"/>
        </w:rPr>
        <w:t>endirá dictamen sobre</w:t>
      </w:r>
      <w:r>
        <w:rPr>
          <w:lang w:val="es-CR"/>
        </w:rPr>
        <w:t>: i)</w:t>
      </w:r>
      <w:r w:rsidRPr="00BE0CDD">
        <w:rPr>
          <w:lang w:val="es-CR"/>
        </w:rPr>
        <w:t xml:space="preserve"> los parámetros que utiliza la jurisdicción contencioso-administrativa en Colombia para ordenar u</w:t>
      </w:r>
      <w:r>
        <w:rPr>
          <w:lang w:val="es-CR"/>
        </w:rPr>
        <w:t>na reparación por daño material</w:t>
      </w:r>
      <w:r w:rsidR="00F129BD">
        <w:rPr>
          <w:lang w:val="es-CR"/>
        </w:rPr>
        <w:t>,</w:t>
      </w:r>
      <w:r>
        <w:rPr>
          <w:lang w:val="es-CR"/>
        </w:rPr>
        <w:t xml:space="preserve"> y ii)</w:t>
      </w:r>
      <w:r w:rsidRPr="00BE0CDD">
        <w:rPr>
          <w:lang w:val="es-CR"/>
        </w:rPr>
        <w:t xml:space="preserve"> </w:t>
      </w:r>
      <w:r w:rsidR="004926CA">
        <w:rPr>
          <w:lang w:val="es-CR"/>
        </w:rPr>
        <w:t>el contraste</w:t>
      </w:r>
      <w:r w:rsidR="00F129BD">
        <w:rPr>
          <w:lang w:val="es-CR"/>
        </w:rPr>
        <w:t xml:space="preserve"> de</w:t>
      </w:r>
      <w:r w:rsidRPr="00BE0CDD">
        <w:rPr>
          <w:lang w:val="es-CR"/>
        </w:rPr>
        <w:t xml:space="preserve"> estos criterios con los fijados por la jurisprudencia de la Corte Interamericana de Derechos Hu</w:t>
      </w:r>
      <w:r>
        <w:rPr>
          <w:lang w:val="es-CR"/>
        </w:rPr>
        <w:t>manos sobre este mismo concepto</w:t>
      </w:r>
      <w:r w:rsidR="00F129BD">
        <w:rPr>
          <w:lang w:val="es-CR"/>
        </w:rPr>
        <w:t>;</w:t>
      </w:r>
      <w:r>
        <w:rPr>
          <w:lang w:val="es-CR"/>
        </w:rPr>
        <w:t xml:space="preserve"> </w:t>
      </w:r>
      <w:r w:rsidR="00F129BD">
        <w:rPr>
          <w:lang w:val="es-CR"/>
        </w:rPr>
        <w:t xml:space="preserve">pudiendo referirse, a las presuntas víctimas del presente caso </w:t>
      </w:r>
      <w:r>
        <w:rPr>
          <w:lang w:val="es-CR"/>
        </w:rPr>
        <w:t>para ejempli</w:t>
      </w:r>
      <w:r w:rsidR="003352D2">
        <w:rPr>
          <w:lang w:val="es-CR"/>
        </w:rPr>
        <w:t>fi</w:t>
      </w:r>
      <w:r>
        <w:rPr>
          <w:lang w:val="es-CR"/>
        </w:rPr>
        <w:t>car</w:t>
      </w:r>
      <w:r w:rsidR="00F129BD">
        <w:rPr>
          <w:lang w:val="es-CR"/>
        </w:rPr>
        <w:t xml:space="preserve"> lo antes mencionado. </w:t>
      </w:r>
    </w:p>
    <w:p w:rsidR="008E6216" w:rsidRPr="00A52FBC" w:rsidRDefault="008E6216" w:rsidP="008E6216">
      <w:pPr>
        <w:pStyle w:val="Listavistosa-nfasis11"/>
        <w:widowControl w:val="0"/>
        <w:numPr>
          <w:ilvl w:val="0"/>
          <w:numId w:val="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iCs/>
          <w:szCs w:val="20"/>
          <w:lang w:val="es-CL" w:bidi="en-US"/>
        </w:rPr>
      </w:pPr>
    </w:p>
    <w:p w:rsidR="008E6216" w:rsidRPr="001974C3" w:rsidRDefault="008E6216" w:rsidP="008E6216">
      <w:pPr>
        <w:numPr>
          <w:ilvl w:val="3"/>
          <w:numId w:val="6"/>
        </w:numPr>
        <w:tabs>
          <w:tab w:val="clear" w:pos="450"/>
          <w:tab w:val="num" w:pos="0"/>
        </w:tabs>
        <w:autoSpaceDE w:val="0"/>
        <w:autoSpaceDN w:val="0"/>
        <w:adjustRightInd w:val="0"/>
        <w:spacing w:after="0"/>
        <w:ind w:left="0" w:firstLine="0"/>
        <w:rPr>
          <w:rFonts w:cs="Verdana"/>
          <w:szCs w:val="20"/>
          <w:lang w:bidi="en-US"/>
        </w:rPr>
      </w:pPr>
      <w:r w:rsidRPr="00E44575">
        <w:rPr>
          <w:szCs w:val="20"/>
        </w:rPr>
        <w:t>Requerir</w:t>
      </w:r>
      <w:r w:rsidRPr="00E44575">
        <w:rPr>
          <w:rFonts w:cs="Verdana"/>
          <w:szCs w:val="20"/>
          <w:lang w:bidi="en-US"/>
        </w:rPr>
        <w:t xml:space="preserve"> al Estado</w:t>
      </w:r>
      <w:r w:rsidR="00EF5E26">
        <w:rPr>
          <w:rFonts w:cs="Verdana"/>
          <w:szCs w:val="20"/>
          <w:lang w:bidi="en-US"/>
        </w:rPr>
        <w:t xml:space="preserve">, </w:t>
      </w:r>
      <w:r>
        <w:rPr>
          <w:rFonts w:cs="Verdana"/>
          <w:szCs w:val="20"/>
          <w:lang w:bidi="en-US"/>
        </w:rPr>
        <w:t>a</w:t>
      </w:r>
      <w:r w:rsidRPr="00E44575">
        <w:rPr>
          <w:rFonts w:cs="Verdana"/>
          <w:szCs w:val="20"/>
          <w:lang w:bidi="en-US"/>
        </w:rPr>
        <w:t xml:space="preserve"> los representantes </w:t>
      </w:r>
      <w:r w:rsidR="00C203CB">
        <w:rPr>
          <w:rFonts w:cs="Verdana"/>
          <w:szCs w:val="20"/>
          <w:lang w:bidi="en-US"/>
        </w:rPr>
        <w:t xml:space="preserve">y a la Comisión </w:t>
      </w:r>
      <w:r w:rsidRPr="001974C3">
        <w:rPr>
          <w:rFonts w:cs="Verdana"/>
          <w:szCs w:val="20"/>
          <w:lang w:bidi="en-US"/>
        </w:rPr>
        <w:t>que, de considerarlo pertinente, en lo que les corresponda y de conformid</w:t>
      </w:r>
      <w:r>
        <w:rPr>
          <w:rFonts w:cs="Verdana"/>
          <w:szCs w:val="20"/>
          <w:lang w:bidi="en-US"/>
        </w:rPr>
        <w:t xml:space="preserve">ad con </w:t>
      </w:r>
      <w:r w:rsidRPr="001974C3">
        <w:rPr>
          <w:rFonts w:cs="Verdana"/>
          <w:szCs w:val="20"/>
          <w:lang w:bidi="en-US"/>
        </w:rPr>
        <w:t xml:space="preserve">la presente Resolución, en el plazo improrrogable que </w:t>
      </w:r>
      <w:r w:rsidRPr="00C203CB">
        <w:rPr>
          <w:rFonts w:cs="Verdana"/>
          <w:szCs w:val="20"/>
          <w:lang w:bidi="en-US"/>
        </w:rPr>
        <w:t xml:space="preserve">vence el </w:t>
      </w:r>
      <w:r w:rsidR="00036249" w:rsidRPr="00C203CB">
        <w:rPr>
          <w:rFonts w:cs="Verdana"/>
          <w:szCs w:val="20"/>
          <w:lang w:bidi="en-US"/>
        </w:rPr>
        <w:t>28</w:t>
      </w:r>
      <w:r w:rsidRPr="00C203CB">
        <w:rPr>
          <w:rFonts w:cs="Verdana"/>
          <w:szCs w:val="20"/>
          <w:lang w:bidi="en-US"/>
        </w:rPr>
        <w:t xml:space="preserve"> de abril de 2017, presenten las preguntas que estimen pertinente formular a través de la Corte Interamericana a las presuntas víctimas, testigos y peritos referidos en el punto resolutivo 1. Las declaraciones y peritajes requeridos en el punto resolutivo 1 deberán ser presentados a más tardar el </w:t>
      </w:r>
      <w:r w:rsidR="00036249" w:rsidRPr="00C203CB">
        <w:rPr>
          <w:rFonts w:cs="Verdana"/>
          <w:szCs w:val="20"/>
          <w:lang w:bidi="en-US"/>
        </w:rPr>
        <w:t>16</w:t>
      </w:r>
      <w:r w:rsidRPr="00C203CB">
        <w:rPr>
          <w:rFonts w:cs="Verdana"/>
          <w:szCs w:val="20"/>
          <w:lang w:bidi="en-US"/>
        </w:rPr>
        <w:t xml:space="preserve"> de mayo de 2017.</w:t>
      </w:r>
    </w:p>
    <w:p w:rsidR="008E6216" w:rsidRPr="001974C3" w:rsidRDefault="008E6216" w:rsidP="008E6216">
      <w:pPr>
        <w:autoSpaceDE w:val="0"/>
        <w:autoSpaceDN w:val="0"/>
        <w:adjustRightInd w:val="0"/>
        <w:spacing w:after="0"/>
        <w:rPr>
          <w:rFonts w:cs="Verdana"/>
          <w:szCs w:val="20"/>
          <w:lang w:bidi="en-US"/>
        </w:rPr>
      </w:pPr>
    </w:p>
    <w:p w:rsidR="008E6216" w:rsidRPr="001974C3" w:rsidRDefault="008E6216" w:rsidP="008E6216">
      <w:pPr>
        <w:numPr>
          <w:ilvl w:val="3"/>
          <w:numId w:val="6"/>
        </w:numPr>
        <w:tabs>
          <w:tab w:val="clear" w:pos="450"/>
          <w:tab w:val="num" w:pos="0"/>
        </w:tabs>
        <w:autoSpaceDE w:val="0"/>
        <w:autoSpaceDN w:val="0"/>
        <w:adjustRightInd w:val="0"/>
        <w:spacing w:after="0"/>
        <w:ind w:left="0" w:firstLine="0"/>
        <w:rPr>
          <w:rFonts w:cs="Verdana"/>
          <w:szCs w:val="20"/>
          <w:lang w:bidi="en-US"/>
        </w:rPr>
      </w:pPr>
      <w:r>
        <w:rPr>
          <w:rFonts w:cs="Verdana"/>
          <w:szCs w:val="20"/>
          <w:lang w:bidi="en-US"/>
        </w:rPr>
        <w:t>Requerir a los representantes, a la Comisión</w:t>
      </w:r>
      <w:r w:rsidRPr="001974C3">
        <w:rPr>
          <w:rFonts w:cs="Verdana"/>
          <w:szCs w:val="20"/>
          <w:lang w:bidi="en-US"/>
        </w:rPr>
        <w:t xml:space="preserve"> </w:t>
      </w:r>
      <w:r>
        <w:rPr>
          <w:rFonts w:cs="Verdana"/>
          <w:szCs w:val="20"/>
          <w:lang w:bidi="en-US"/>
        </w:rPr>
        <w:t xml:space="preserve">y al Estado </w:t>
      </w:r>
      <w:r w:rsidRPr="001974C3">
        <w:rPr>
          <w:rFonts w:cs="Verdana"/>
          <w:szCs w:val="20"/>
          <w:lang w:bidi="en-US"/>
        </w:rPr>
        <w:t xml:space="preserve">que coordinen y realicen las diligencias </w:t>
      </w:r>
      <w:r w:rsidRPr="001974C3">
        <w:rPr>
          <w:szCs w:val="20"/>
        </w:rPr>
        <w:t>necesarias</w:t>
      </w:r>
      <w:r w:rsidRPr="001974C3">
        <w:rPr>
          <w:rFonts w:cs="Verdana"/>
          <w:szCs w:val="20"/>
          <w:lang w:bidi="en-US"/>
        </w:rPr>
        <w:t xml:space="preserve"> para que, una vez recibidas las preguntas, si las hubiere, los declarantes propuestos incluyan las respuestas respectivas en sus declaraciones rendidas ante fedatario público, de conformidad con el </w:t>
      </w:r>
      <w:r>
        <w:rPr>
          <w:rFonts w:cs="Verdana"/>
          <w:szCs w:val="20"/>
          <w:lang w:bidi="en-US"/>
        </w:rPr>
        <w:t>párrafo considerativo 1</w:t>
      </w:r>
      <w:r w:rsidRPr="001974C3">
        <w:rPr>
          <w:rFonts w:cs="Verdana"/>
          <w:szCs w:val="20"/>
          <w:lang w:bidi="en-US"/>
        </w:rPr>
        <w:t xml:space="preserve"> de la presente Resolución. </w:t>
      </w:r>
    </w:p>
    <w:p w:rsidR="008E6216" w:rsidRDefault="008E6216" w:rsidP="008E6216">
      <w:pPr>
        <w:pStyle w:val="Listavistosa-nfasis11"/>
        <w:numPr>
          <w:ilvl w:val="0"/>
          <w:numId w:val="0"/>
        </w:numPr>
        <w:spacing w:after="0"/>
        <w:contextualSpacing w:val="0"/>
        <w:rPr>
          <w:rFonts w:cs="Verdana"/>
          <w:szCs w:val="20"/>
          <w:lang w:bidi="en-US"/>
        </w:rPr>
      </w:pPr>
    </w:p>
    <w:p w:rsidR="008E6216" w:rsidRDefault="008E6216" w:rsidP="008E6216">
      <w:pPr>
        <w:numPr>
          <w:ilvl w:val="3"/>
          <w:numId w:val="6"/>
        </w:numPr>
        <w:tabs>
          <w:tab w:val="clear" w:pos="450"/>
          <w:tab w:val="num" w:pos="0"/>
        </w:tabs>
        <w:autoSpaceDE w:val="0"/>
        <w:autoSpaceDN w:val="0"/>
        <w:adjustRightInd w:val="0"/>
        <w:spacing w:after="0"/>
        <w:ind w:left="0" w:firstLine="0"/>
        <w:rPr>
          <w:rFonts w:cs="Verdana"/>
          <w:szCs w:val="20"/>
          <w:lang w:bidi="en-US"/>
        </w:rPr>
      </w:pPr>
      <w:r w:rsidRPr="00403E1A">
        <w:rPr>
          <w:rFonts w:cs="Verdana"/>
          <w:szCs w:val="20"/>
          <w:lang w:bidi="en-US"/>
        </w:rPr>
        <w:t xml:space="preserve">Disponer que, una vez recibidas las declaraciones y peritajes requeridos en el punto resolutivo </w:t>
      </w:r>
      <w:r>
        <w:rPr>
          <w:rFonts w:cs="Verdana"/>
          <w:szCs w:val="20"/>
          <w:lang w:bidi="en-US"/>
        </w:rPr>
        <w:t>1,</w:t>
      </w:r>
      <w:r w:rsidRPr="00403E1A">
        <w:rPr>
          <w:rFonts w:cs="Verdana"/>
          <w:szCs w:val="20"/>
          <w:lang w:bidi="en-US"/>
        </w:rPr>
        <w:t xml:space="preserve"> la Secretaría de la Corte los transmita a los representantes, a la Comisión y al </w:t>
      </w:r>
      <w:r w:rsidRPr="00403E1A">
        <w:rPr>
          <w:szCs w:val="20"/>
        </w:rPr>
        <w:t>Estado</w:t>
      </w:r>
      <w:r w:rsidRPr="00403E1A">
        <w:rPr>
          <w:rFonts w:cs="Verdana"/>
          <w:szCs w:val="20"/>
          <w:lang w:bidi="en-US"/>
        </w:rPr>
        <w:t xml:space="preserve"> para que, si lo estiman necesario y en los que les corresponda, presenten sus observaciones a dichas declaraciones y peritajes, </w:t>
      </w:r>
      <w:r w:rsidRPr="00403E1A">
        <w:rPr>
          <w:rFonts w:cs="Verdana"/>
          <w:szCs w:val="20"/>
        </w:rPr>
        <w:t>a más tardar con sus alegatos u observaciones finales escritos.</w:t>
      </w:r>
    </w:p>
    <w:p w:rsidR="008E6216" w:rsidRDefault="008E6216" w:rsidP="008E6216">
      <w:pPr>
        <w:pStyle w:val="Listavistosa-nfasis11"/>
        <w:numPr>
          <w:ilvl w:val="0"/>
          <w:numId w:val="0"/>
        </w:numPr>
        <w:spacing w:after="0"/>
        <w:contextualSpacing w:val="0"/>
        <w:rPr>
          <w:rFonts w:cs="Verdana"/>
          <w:szCs w:val="20"/>
          <w:lang w:bidi="en-US"/>
        </w:rPr>
      </w:pPr>
    </w:p>
    <w:p w:rsidR="008E6216" w:rsidRPr="0061438D" w:rsidRDefault="008E6216" w:rsidP="008E6216">
      <w:pPr>
        <w:numPr>
          <w:ilvl w:val="3"/>
          <w:numId w:val="6"/>
        </w:numPr>
        <w:tabs>
          <w:tab w:val="clear" w:pos="450"/>
          <w:tab w:val="num" w:pos="0"/>
        </w:tabs>
        <w:autoSpaceDE w:val="0"/>
        <w:autoSpaceDN w:val="0"/>
        <w:adjustRightInd w:val="0"/>
        <w:spacing w:after="0"/>
        <w:ind w:left="0" w:firstLine="0"/>
        <w:rPr>
          <w:rFonts w:cs="Verdana"/>
          <w:szCs w:val="20"/>
          <w:lang w:bidi="en-US"/>
        </w:rPr>
      </w:pPr>
      <w:r w:rsidRPr="00403E1A">
        <w:rPr>
          <w:rFonts w:cs="Verdana"/>
          <w:szCs w:val="20"/>
          <w:lang w:bidi="en-US"/>
        </w:rPr>
        <w:t>Convocar a los representantes</w:t>
      </w:r>
      <w:r w:rsidR="00E94919">
        <w:rPr>
          <w:rFonts w:cs="Verdana"/>
          <w:szCs w:val="20"/>
          <w:lang w:bidi="en-US"/>
        </w:rPr>
        <w:t xml:space="preserve">, </w:t>
      </w:r>
      <w:r w:rsidRPr="00403E1A">
        <w:rPr>
          <w:rFonts w:cs="Verdana"/>
          <w:szCs w:val="20"/>
          <w:lang w:bidi="en-US"/>
        </w:rPr>
        <w:t>al Estado</w:t>
      </w:r>
      <w:r w:rsidR="00E94919">
        <w:rPr>
          <w:rFonts w:cs="Verdana"/>
          <w:szCs w:val="20"/>
          <w:lang w:bidi="en-US"/>
        </w:rPr>
        <w:t xml:space="preserve"> y</w:t>
      </w:r>
      <w:r w:rsidRPr="00403E1A">
        <w:rPr>
          <w:rFonts w:cs="Verdana"/>
          <w:szCs w:val="20"/>
          <w:lang w:bidi="en-US"/>
        </w:rPr>
        <w:t xml:space="preserve"> a la Comisión Interamericana, a una audiencia pública que se celebrará </w:t>
      </w:r>
      <w:r>
        <w:rPr>
          <w:rFonts w:cs="Verdana"/>
          <w:szCs w:val="20"/>
          <w:lang w:bidi="en-US"/>
        </w:rPr>
        <w:t>los días 25 de mayo de 2017</w:t>
      </w:r>
      <w:r w:rsidRPr="00403E1A">
        <w:rPr>
          <w:rFonts w:cs="Verdana"/>
          <w:szCs w:val="20"/>
          <w:lang w:bidi="en-US"/>
        </w:rPr>
        <w:t xml:space="preserve">, a partir de las </w:t>
      </w:r>
      <w:r>
        <w:rPr>
          <w:rFonts w:cs="Verdana"/>
          <w:szCs w:val="20"/>
          <w:lang w:bidi="en-US"/>
        </w:rPr>
        <w:t xml:space="preserve">15:00 </w:t>
      </w:r>
      <w:r w:rsidRPr="00403E1A">
        <w:rPr>
          <w:rFonts w:cs="Verdana"/>
          <w:szCs w:val="20"/>
          <w:lang w:bidi="en-US"/>
        </w:rPr>
        <w:t>horas</w:t>
      </w:r>
      <w:r>
        <w:rPr>
          <w:rFonts w:cs="Verdana"/>
          <w:szCs w:val="20"/>
          <w:lang w:bidi="en-US"/>
        </w:rPr>
        <w:t xml:space="preserve"> y 26 de mayo de 2017</w:t>
      </w:r>
      <w:r w:rsidR="00E94919">
        <w:rPr>
          <w:rFonts w:cs="Verdana"/>
          <w:szCs w:val="20"/>
          <w:lang w:bidi="en-US"/>
        </w:rPr>
        <w:t xml:space="preserve"> a partir de las 9:00 horas</w:t>
      </w:r>
      <w:r w:rsidRPr="00403E1A">
        <w:rPr>
          <w:rFonts w:cs="Verdana"/>
          <w:szCs w:val="20"/>
          <w:lang w:bidi="en-US"/>
        </w:rPr>
        <w:t xml:space="preserve">, durante </w:t>
      </w:r>
      <w:r w:rsidRPr="0061438D">
        <w:rPr>
          <w:rFonts w:cs="Verdana"/>
          <w:szCs w:val="20"/>
          <w:lang w:bidi="en-US"/>
        </w:rPr>
        <w:t xml:space="preserve">el </w:t>
      </w:r>
      <w:r>
        <w:rPr>
          <w:rFonts w:cs="Verdana"/>
          <w:szCs w:val="20"/>
          <w:lang w:bidi="en-US"/>
        </w:rPr>
        <w:t>11</w:t>
      </w:r>
      <w:r w:rsidR="00E94919">
        <w:rPr>
          <w:rFonts w:cs="Verdana"/>
          <w:szCs w:val="20"/>
          <w:lang w:bidi="en-US"/>
        </w:rPr>
        <w:t>8</w:t>
      </w:r>
      <w:r>
        <w:rPr>
          <w:rFonts w:cs="Verdana"/>
          <w:szCs w:val="20"/>
          <w:lang w:bidi="en-US"/>
        </w:rPr>
        <w:t xml:space="preserve"> </w:t>
      </w:r>
      <w:r w:rsidRPr="0061438D">
        <w:t xml:space="preserve">Período </w:t>
      </w:r>
      <w:r>
        <w:t xml:space="preserve">Ordinario </w:t>
      </w:r>
      <w:r w:rsidRPr="0061438D">
        <w:t>de Sesiones</w:t>
      </w:r>
      <w:r>
        <w:t>,</w:t>
      </w:r>
      <w:r w:rsidRPr="0061438D">
        <w:t xml:space="preserve"> </w:t>
      </w:r>
      <w:r w:rsidRPr="00DD687E">
        <w:rPr>
          <w:rFonts w:cs="Verdana"/>
          <w:szCs w:val="20"/>
          <w:lang w:bidi="en-US"/>
        </w:rPr>
        <w:t xml:space="preserve">por realizarse en </w:t>
      </w:r>
      <w:r>
        <w:rPr>
          <w:rFonts w:cs="Verdana"/>
          <w:szCs w:val="20"/>
          <w:lang w:bidi="en-US"/>
        </w:rPr>
        <w:t>la ciudad de San José, Costa Rica</w:t>
      </w:r>
      <w:r w:rsidRPr="0061438D">
        <w:rPr>
          <w:rFonts w:cs="Verdana"/>
          <w:szCs w:val="20"/>
          <w:lang w:bidi="en-US"/>
        </w:rPr>
        <w:t>, para recibir sus alegatos finales orales y observaciones finales orales, respectivamente, sobre las excepciones preliminares, eventuales fondo, reparaciones y costas, así como las declaraciones de las siguientes personas:</w:t>
      </w:r>
    </w:p>
    <w:p w:rsidR="008E6216" w:rsidRPr="0061438D" w:rsidRDefault="008E6216" w:rsidP="008E6216">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iCs/>
          <w:szCs w:val="20"/>
          <w:lang w:bidi="en-US"/>
        </w:rPr>
      </w:pPr>
    </w:p>
    <w:p w:rsidR="008E6216" w:rsidRPr="001D5C6B" w:rsidRDefault="00036249" w:rsidP="008E6216">
      <w:pPr>
        <w:pStyle w:val="Listavistosa-nfasis11"/>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b/>
          <w:iCs/>
          <w:szCs w:val="20"/>
          <w:u w:val="single"/>
          <w:lang w:bidi="en-US"/>
        </w:rPr>
      </w:pPr>
      <w:r>
        <w:rPr>
          <w:rFonts w:cs="Verdana"/>
          <w:b/>
          <w:iCs/>
          <w:szCs w:val="20"/>
          <w:u w:val="single"/>
          <w:lang w:bidi="en-US"/>
        </w:rPr>
        <w:t>Presunta</w:t>
      </w:r>
      <w:r w:rsidR="00C203CB">
        <w:rPr>
          <w:rFonts w:cs="Verdana"/>
          <w:b/>
          <w:iCs/>
          <w:szCs w:val="20"/>
          <w:u w:val="single"/>
          <w:lang w:bidi="en-US"/>
        </w:rPr>
        <w:t>s</w:t>
      </w:r>
      <w:r>
        <w:rPr>
          <w:rFonts w:cs="Verdana"/>
          <w:b/>
          <w:iCs/>
          <w:szCs w:val="20"/>
          <w:u w:val="single"/>
          <w:lang w:bidi="en-US"/>
        </w:rPr>
        <w:t xml:space="preserve"> víctim</w:t>
      </w:r>
      <w:r w:rsidR="00C203CB">
        <w:rPr>
          <w:rFonts w:cs="Verdana"/>
          <w:b/>
          <w:iCs/>
          <w:szCs w:val="20"/>
          <w:u w:val="single"/>
          <w:lang w:bidi="en-US"/>
        </w:rPr>
        <w:t>as</w:t>
      </w:r>
      <w:r>
        <w:rPr>
          <w:rFonts w:cs="Verdana"/>
          <w:b/>
          <w:iCs/>
          <w:szCs w:val="20"/>
          <w:u w:val="single"/>
          <w:lang w:bidi="en-US"/>
        </w:rPr>
        <w:t xml:space="preserve"> (propuesta</w:t>
      </w:r>
      <w:r w:rsidR="00C203CB">
        <w:rPr>
          <w:rFonts w:cs="Verdana"/>
          <w:b/>
          <w:iCs/>
          <w:szCs w:val="20"/>
          <w:u w:val="single"/>
          <w:lang w:bidi="en-US"/>
        </w:rPr>
        <w:t>s</w:t>
      </w:r>
      <w:r w:rsidR="008E6216" w:rsidRPr="001D5C6B">
        <w:rPr>
          <w:rFonts w:cs="Verdana"/>
          <w:b/>
          <w:iCs/>
          <w:szCs w:val="20"/>
          <w:u w:val="single"/>
          <w:lang w:bidi="en-US"/>
        </w:rPr>
        <w:t xml:space="preserve"> por los representantes)</w:t>
      </w:r>
    </w:p>
    <w:p w:rsidR="008E6216" w:rsidRPr="001D729E" w:rsidRDefault="008E6216" w:rsidP="008E6216">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contextualSpacing w:val="0"/>
        <w:rPr>
          <w:rFonts w:cs="Verdana"/>
          <w:i/>
          <w:iCs/>
          <w:szCs w:val="20"/>
          <w:u w:val="single"/>
          <w:lang w:bidi="en-US"/>
        </w:rPr>
      </w:pPr>
    </w:p>
    <w:p w:rsidR="008E6216" w:rsidRPr="00C203CB" w:rsidRDefault="008E6216" w:rsidP="00E94919">
      <w:pPr>
        <w:pStyle w:val="Listavistosa-nfasis11"/>
        <w:widowControl w:val="0"/>
        <w:numPr>
          <w:ilvl w:val="0"/>
          <w:numId w:val="13"/>
        </w:numPr>
        <w:autoSpaceDE w:val="0"/>
        <w:autoSpaceDN w:val="0"/>
        <w:adjustRightInd w:val="0"/>
        <w:spacing w:after="0"/>
        <w:ind w:left="720" w:firstLine="0"/>
        <w:contextualSpacing w:val="0"/>
        <w:rPr>
          <w:rFonts w:cs="Verdana"/>
          <w:iCs/>
          <w:szCs w:val="20"/>
          <w:lang w:bidi="en-US"/>
        </w:rPr>
      </w:pPr>
      <w:r>
        <w:rPr>
          <w:i/>
          <w:szCs w:val="20"/>
          <w:lang w:val="es-CR"/>
        </w:rPr>
        <w:t xml:space="preserve"> </w:t>
      </w:r>
      <w:r w:rsidRPr="0011601B">
        <w:rPr>
          <w:i/>
        </w:rPr>
        <w:t xml:space="preserve">Jaime Antonio </w:t>
      </w:r>
      <w:proofErr w:type="spellStart"/>
      <w:r w:rsidRPr="0011601B">
        <w:rPr>
          <w:i/>
        </w:rPr>
        <w:t>Omeara</w:t>
      </w:r>
      <w:proofErr w:type="spellEnd"/>
      <w:r w:rsidRPr="0011601B">
        <w:rPr>
          <w:i/>
        </w:rPr>
        <w:t xml:space="preserve"> </w:t>
      </w:r>
      <w:proofErr w:type="spellStart"/>
      <w:r w:rsidRPr="0011601B">
        <w:rPr>
          <w:i/>
        </w:rPr>
        <w:t>Miraval</w:t>
      </w:r>
      <w:proofErr w:type="spellEnd"/>
      <w:r w:rsidRPr="005B1A9F">
        <w:t xml:space="preserve">, </w:t>
      </w:r>
      <w:r>
        <w:t xml:space="preserve">quien </w:t>
      </w:r>
      <w:r w:rsidRPr="005B1A9F">
        <w:t xml:space="preserve">declarará sobre: </w:t>
      </w:r>
      <w:r>
        <w:t xml:space="preserve">i) </w:t>
      </w:r>
      <w:r w:rsidRPr="005B1A9F">
        <w:t xml:space="preserve">los </w:t>
      </w:r>
      <w:r>
        <w:t xml:space="preserve">presuntos </w:t>
      </w:r>
      <w:r w:rsidRPr="005B1A9F">
        <w:t xml:space="preserve">crímenes que sufrieron su padre Noel Emiro </w:t>
      </w:r>
      <w:proofErr w:type="spellStart"/>
      <w:r w:rsidRPr="005B1A9F">
        <w:t>Omeara</w:t>
      </w:r>
      <w:proofErr w:type="spellEnd"/>
      <w:r w:rsidRPr="005B1A9F">
        <w:t xml:space="preserve"> Carrascal, su hermano Manuel Guillermo</w:t>
      </w:r>
      <w:r w:rsidR="00C30D70">
        <w:t xml:space="preserve"> </w:t>
      </w:r>
      <w:proofErr w:type="spellStart"/>
      <w:r w:rsidR="00C30D70">
        <w:t>Omeara</w:t>
      </w:r>
      <w:proofErr w:type="spellEnd"/>
      <w:r w:rsidR="00C30D70">
        <w:t xml:space="preserve"> </w:t>
      </w:r>
      <w:proofErr w:type="spellStart"/>
      <w:r w:rsidR="00C30D70">
        <w:t>Miraval</w:t>
      </w:r>
      <w:proofErr w:type="spellEnd"/>
      <w:r w:rsidR="00C30D70">
        <w:t xml:space="preserve"> y el suegro de é</w:t>
      </w:r>
      <w:r w:rsidRPr="005B1A9F">
        <w:t>ste, Héctor Á</w:t>
      </w:r>
      <w:r>
        <w:t xml:space="preserve">lvarez Sánchez; ii) </w:t>
      </w:r>
      <w:r w:rsidRPr="005B1A9F">
        <w:t xml:space="preserve">las </w:t>
      </w:r>
      <w:r>
        <w:t xml:space="preserve">supuestas </w:t>
      </w:r>
      <w:r w:rsidRPr="005B1A9F">
        <w:t>averiguaciones y actividades que emprendió la familia para el esclarecimiento de los hechos rela</w:t>
      </w:r>
      <w:r>
        <w:t>cionados con su padre y hermano;</w:t>
      </w:r>
      <w:r w:rsidRPr="005B1A9F">
        <w:t xml:space="preserve"> </w:t>
      </w:r>
      <w:r>
        <w:t>i</w:t>
      </w:r>
      <w:r w:rsidR="00C30D70">
        <w:t>ii</w:t>
      </w:r>
      <w:r>
        <w:t>)</w:t>
      </w:r>
      <w:r w:rsidRPr="005B1A9F">
        <w:t xml:space="preserve"> la</w:t>
      </w:r>
      <w:r>
        <w:t xml:space="preserve"> presunta</w:t>
      </w:r>
      <w:r w:rsidRPr="005B1A9F">
        <w:t xml:space="preserve"> respuesta que recibió de las </w:t>
      </w:r>
      <w:r>
        <w:t xml:space="preserve">autoridades colombianas; </w:t>
      </w:r>
      <w:r w:rsidR="00C30D70">
        <w:t>i</w:t>
      </w:r>
      <w:r>
        <w:t xml:space="preserve">v) </w:t>
      </w:r>
      <w:r w:rsidRPr="005B1A9F">
        <w:t>los</w:t>
      </w:r>
      <w:r>
        <w:t xml:space="preserve"> presuntos</w:t>
      </w:r>
      <w:r w:rsidRPr="005B1A9F">
        <w:t xml:space="preserve"> daños económicos, físicos, p</w:t>
      </w:r>
      <w:r>
        <w:t>sicosociales y morales sufridos, v) las</w:t>
      </w:r>
      <w:r w:rsidR="00C30D70">
        <w:t xml:space="preserve"> posibles medidas de reparación, y vi) </w:t>
      </w:r>
      <w:r w:rsidR="00C30D70" w:rsidRPr="005B1A9F">
        <w:t>las</w:t>
      </w:r>
      <w:r w:rsidR="00C30D70">
        <w:t xml:space="preserve"> alegadas</w:t>
      </w:r>
      <w:r w:rsidR="00C30D70" w:rsidRPr="005B1A9F">
        <w:t xml:space="preserve"> responsabilidades de agentes de la fuerza púb</w:t>
      </w:r>
      <w:r w:rsidR="00C30D70">
        <w:t>lica y los grupos paramilitares;</w:t>
      </w:r>
      <w:r w:rsidR="00036249">
        <w:t xml:space="preserve"> </w:t>
      </w:r>
      <w:r w:rsidR="00C30D70">
        <w:t>debiendo indicar el declarante por qué medios tuvo conocimiento de las mismas.</w:t>
      </w:r>
    </w:p>
    <w:p w:rsidR="00C203CB" w:rsidRPr="00C203CB" w:rsidRDefault="00C203CB" w:rsidP="00C203CB">
      <w:pPr>
        <w:pStyle w:val="Listavistosa-nfasis11"/>
        <w:widowControl w:val="0"/>
        <w:numPr>
          <w:ilvl w:val="0"/>
          <w:numId w:val="0"/>
        </w:numPr>
        <w:autoSpaceDE w:val="0"/>
        <w:autoSpaceDN w:val="0"/>
        <w:adjustRightInd w:val="0"/>
        <w:spacing w:after="0"/>
        <w:ind w:left="720"/>
        <w:contextualSpacing w:val="0"/>
        <w:rPr>
          <w:rFonts w:cs="Verdana"/>
          <w:iCs/>
          <w:szCs w:val="20"/>
          <w:lang w:bidi="en-US"/>
        </w:rPr>
      </w:pPr>
    </w:p>
    <w:p w:rsidR="008E6216" w:rsidRPr="00BB0E7F" w:rsidRDefault="00C203CB" w:rsidP="00C203CB">
      <w:pPr>
        <w:pStyle w:val="Listavistosa-nfasis11"/>
        <w:widowControl w:val="0"/>
        <w:numPr>
          <w:ilvl w:val="0"/>
          <w:numId w:val="13"/>
        </w:numPr>
        <w:autoSpaceDE w:val="0"/>
        <w:autoSpaceDN w:val="0"/>
        <w:adjustRightInd w:val="0"/>
        <w:spacing w:after="0"/>
        <w:ind w:left="720" w:firstLine="0"/>
        <w:contextualSpacing w:val="0"/>
        <w:rPr>
          <w:rFonts w:cs="Verdana"/>
          <w:iCs/>
          <w:szCs w:val="20"/>
          <w:lang w:bidi="en-US"/>
        </w:rPr>
      </w:pPr>
      <w:r w:rsidRPr="0081769A">
        <w:rPr>
          <w:i/>
          <w:szCs w:val="20"/>
          <w:lang w:val="es-CR"/>
        </w:rPr>
        <w:t>Fabiola Álvarez Solano</w:t>
      </w:r>
      <w:r w:rsidRPr="0081769A">
        <w:rPr>
          <w:szCs w:val="20"/>
          <w:lang w:val="es-CR"/>
        </w:rPr>
        <w:t>, quien declarará sobre:</w:t>
      </w:r>
      <w:r w:rsidRPr="0081769A">
        <w:rPr>
          <w:rFonts w:cs="Verdana"/>
          <w:iCs/>
          <w:szCs w:val="20"/>
          <w:lang w:bidi="en-US"/>
        </w:rPr>
        <w:t xml:space="preserve"> </w:t>
      </w:r>
      <w:r w:rsidRPr="0081769A">
        <w:rPr>
          <w:szCs w:val="20"/>
        </w:rPr>
        <w:t xml:space="preserve">i) </w:t>
      </w:r>
      <w:r w:rsidRPr="0081769A">
        <w:rPr>
          <w:szCs w:val="20"/>
          <w:lang w:val="es-CR"/>
        </w:rPr>
        <w:t xml:space="preserve">el conocimiento que tiene </w:t>
      </w:r>
      <w:r w:rsidRPr="0081769A">
        <w:rPr>
          <w:szCs w:val="20"/>
          <w:lang w:val="es-CR"/>
        </w:rPr>
        <w:lastRenderedPageBreak/>
        <w:t xml:space="preserve">sobre los supuestos tres crímenes que sufrieron su suegro Noel Emiro </w:t>
      </w:r>
      <w:proofErr w:type="spellStart"/>
      <w:r w:rsidRPr="0081769A">
        <w:rPr>
          <w:szCs w:val="20"/>
          <w:lang w:val="es-CR"/>
        </w:rPr>
        <w:t>Omeara</w:t>
      </w:r>
      <w:proofErr w:type="spellEnd"/>
      <w:r w:rsidRPr="0081769A">
        <w:rPr>
          <w:szCs w:val="20"/>
          <w:lang w:val="es-CR"/>
        </w:rPr>
        <w:t xml:space="preserve"> Carrascal, su esposo Manuel Guillermo </w:t>
      </w:r>
      <w:proofErr w:type="spellStart"/>
      <w:r w:rsidRPr="0081769A">
        <w:rPr>
          <w:szCs w:val="20"/>
          <w:lang w:val="es-CR"/>
        </w:rPr>
        <w:t>Omeara</w:t>
      </w:r>
      <w:proofErr w:type="spellEnd"/>
      <w:r w:rsidRPr="0081769A">
        <w:rPr>
          <w:szCs w:val="20"/>
          <w:lang w:val="es-CR"/>
        </w:rPr>
        <w:t xml:space="preserve"> </w:t>
      </w:r>
      <w:proofErr w:type="spellStart"/>
      <w:r w:rsidRPr="0081769A">
        <w:rPr>
          <w:szCs w:val="20"/>
          <w:lang w:val="es-CR"/>
        </w:rPr>
        <w:t>Miraval</w:t>
      </w:r>
      <w:proofErr w:type="spellEnd"/>
      <w:r w:rsidRPr="0081769A">
        <w:rPr>
          <w:szCs w:val="20"/>
          <w:lang w:val="es-CR"/>
        </w:rPr>
        <w:t xml:space="preserve"> y su padre Héctor Álvarez Sánchez, ii) las presuntas causas y móviles de su perpetración, así como de sus autores; iii)  la alegada respuesta del Estado frente a estos hechos, así como sobre el aducido desplazamiento forzado que debió realizar junto con sus tres hijos de Aguachica hacia Bucaramanga; iv) los presuntos daños físicos, morales, psicológicos y económicos por lo acontecido tanto a nivel individual, familiar y social, y v) las </w:t>
      </w:r>
      <w:r w:rsidRPr="0081769A">
        <w:rPr>
          <w:szCs w:val="20"/>
        </w:rPr>
        <w:t>posibles medidas de reparación.</w:t>
      </w:r>
    </w:p>
    <w:p w:rsidR="00BB0E7F" w:rsidRPr="0081769A" w:rsidRDefault="00BB0E7F" w:rsidP="00BB0E7F">
      <w:pPr>
        <w:pStyle w:val="Listavistosa-nfasis11"/>
        <w:widowControl w:val="0"/>
        <w:numPr>
          <w:ilvl w:val="0"/>
          <w:numId w:val="0"/>
        </w:numPr>
        <w:autoSpaceDE w:val="0"/>
        <w:autoSpaceDN w:val="0"/>
        <w:adjustRightInd w:val="0"/>
        <w:spacing w:after="0"/>
        <w:contextualSpacing w:val="0"/>
        <w:rPr>
          <w:rFonts w:cs="Verdana"/>
          <w:iCs/>
          <w:szCs w:val="20"/>
          <w:lang w:bidi="en-US"/>
        </w:rPr>
      </w:pPr>
    </w:p>
    <w:p w:rsidR="008E6216" w:rsidRPr="00810E30" w:rsidRDefault="008E6216" w:rsidP="008E6216">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i/>
          <w:iCs/>
          <w:szCs w:val="20"/>
          <w:u w:val="single"/>
          <w:lang w:bidi="en-US"/>
        </w:rPr>
      </w:pPr>
    </w:p>
    <w:p w:rsidR="008E6216" w:rsidRPr="001D5C6B" w:rsidRDefault="003A318E" w:rsidP="008E6216">
      <w:pPr>
        <w:pStyle w:val="Listavistosa-nfasis11"/>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b/>
          <w:iCs/>
          <w:szCs w:val="20"/>
          <w:u w:val="single"/>
          <w:lang w:bidi="en-US"/>
        </w:rPr>
      </w:pPr>
      <w:r>
        <w:rPr>
          <w:rFonts w:cs="Verdana"/>
          <w:b/>
          <w:iCs/>
          <w:szCs w:val="20"/>
          <w:u w:val="single"/>
          <w:lang w:bidi="en-US"/>
        </w:rPr>
        <w:t>Testigo</w:t>
      </w:r>
      <w:r w:rsidR="008E6216" w:rsidRPr="001D5C6B">
        <w:rPr>
          <w:rFonts w:cs="Verdana"/>
          <w:b/>
          <w:iCs/>
          <w:szCs w:val="20"/>
          <w:u w:val="single"/>
          <w:lang w:bidi="en-US"/>
        </w:rPr>
        <w:t xml:space="preserve"> (propuesto por el Estado)</w:t>
      </w:r>
    </w:p>
    <w:p w:rsidR="008E6216" w:rsidRDefault="008E6216" w:rsidP="008E6216">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contextualSpacing w:val="0"/>
        <w:rPr>
          <w:rFonts w:cs="Verdana"/>
          <w:i/>
          <w:iCs/>
          <w:szCs w:val="20"/>
          <w:u w:val="single"/>
          <w:lang w:bidi="en-US"/>
        </w:rPr>
      </w:pPr>
    </w:p>
    <w:p w:rsidR="00665D71" w:rsidRPr="00C203CB" w:rsidRDefault="008E6216" w:rsidP="00C203CB">
      <w:pPr>
        <w:pStyle w:val="ListParagraph"/>
        <w:spacing w:after="0"/>
        <w:ind w:left="720"/>
        <w:rPr>
          <w:szCs w:val="20"/>
        </w:rPr>
      </w:pPr>
      <w:r w:rsidRPr="0011601B">
        <w:rPr>
          <w:i/>
          <w:szCs w:val="20"/>
        </w:rPr>
        <w:t>Diego Fernando Rosas Carreño,</w:t>
      </w:r>
      <w:r w:rsidRPr="0011601B">
        <w:rPr>
          <w:szCs w:val="20"/>
        </w:rPr>
        <w:t xml:space="preserve"> Fiscal 66 especializado adscrito a la Dirección de Fiscalía Nacional Especializada de Derechos Humanos y Derecho Internacional Humanitario, quien declarará sobre las alegadas actuaciones realizadas por la Fiscalía General de la Nación con el fin de investigar, juzgar y sancionar a los responsables por los hechos relacionados con los señores Noel Emiro </w:t>
      </w:r>
      <w:proofErr w:type="spellStart"/>
      <w:r w:rsidRPr="0011601B">
        <w:rPr>
          <w:szCs w:val="20"/>
        </w:rPr>
        <w:t>Omeara</w:t>
      </w:r>
      <w:proofErr w:type="spellEnd"/>
      <w:r w:rsidRPr="0011601B">
        <w:rPr>
          <w:szCs w:val="20"/>
        </w:rPr>
        <w:t xml:space="preserve"> Carrascal, Manuel Guillermo </w:t>
      </w:r>
      <w:proofErr w:type="spellStart"/>
      <w:r w:rsidRPr="0011601B">
        <w:rPr>
          <w:szCs w:val="20"/>
        </w:rPr>
        <w:t>Omeara</w:t>
      </w:r>
      <w:proofErr w:type="spellEnd"/>
      <w:r w:rsidRPr="0011601B">
        <w:rPr>
          <w:szCs w:val="20"/>
        </w:rPr>
        <w:t xml:space="preserve"> </w:t>
      </w:r>
      <w:proofErr w:type="spellStart"/>
      <w:r w:rsidRPr="0011601B">
        <w:rPr>
          <w:szCs w:val="20"/>
        </w:rPr>
        <w:t>Miraval</w:t>
      </w:r>
      <w:proofErr w:type="spellEnd"/>
      <w:r w:rsidRPr="0011601B">
        <w:rPr>
          <w:szCs w:val="20"/>
        </w:rPr>
        <w:t xml:space="preserve"> y Héctor Álvarez Sánchez.</w:t>
      </w:r>
    </w:p>
    <w:p w:rsidR="008E6216" w:rsidRDefault="008E6216" w:rsidP="008E6216">
      <w:pPr>
        <w:pStyle w:val="Listavistosa-nfasis11"/>
        <w:numPr>
          <w:ilvl w:val="0"/>
          <w:numId w:val="0"/>
        </w:numPr>
        <w:spacing w:after="0"/>
        <w:contextualSpacing w:val="0"/>
        <w:rPr>
          <w:rFonts w:cs="Verdana"/>
          <w:szCs w:val="20"/>
          <w:lang w:bidi="en-US"/>
        </w:rPr>
      </w:pPr>
    </w:p>
    <w:p w:rsidR="008E6216" w:rsidRPr="00E34DF8" w:rsidRDefault="008E6216" w:rsidP="008E6216">
      <w:pPr>
        <w:pStyle w:val="Listavistosa-nfasis11"/>
        <w:widowControl w:val="0"/>
        <w:numPr>
          <w:ilvl w:val="3"/>
          <w:numId w:val="6"/>
        </w:numPr>
        <w:tabs>
          <w:tab w:val="clear" w:pos="450"/>
          <w:tab w:val="left" w:pos="0"/>
        </w:tabs>
        <w:autoSpaceDE w:val="0"/>
        <w:autoSpaceDN w:val="0"/>
        <w:adjustRightInd w:val="0"/>
        <w:spacing w:after="0"/>
        <w:ind w:left="0" w:firstLine="0"/>
        <w:contextualSpacing w:val="0"/>
        <w:rPr>
          <w:rFonts w:cs="Verdana"/>
          <w:iCs/>
          <w:szCs w:val="20"/>
          <w:lang w:bidi="en-US"/>
        </w:rPr>
      </w:pPr>
      <w:r>
        <w:rPr>
          <w:rFonts w:cs="Verdana"/>
          <w:szCs w:val="20"/>
          <w:lang w:bidi="en-US"/>
        </w:rPr>
        <w:t xml:space="preserve">Requerir al Estado </w:t>
      </w:r>
      <w:r w:rsidRPr="00E34DF8">
        <w:rPr>
          <w:rFonts w:cs="Verdana"/>
          <w:szCs w:val="20"/>
          <w:lang w:bidi="en-US"/>
        </w:rPr>
        <w:t>que facilite la salida y entrada de su territorio de los declarantes, si residen o se encuentran en él, quienes han sido citados en la presente Resolución a rendir declaración en la audiencia pública en este caso, de conformidad con lo dispuesto en el artículo 26.1 del Reglamento de la Corte.</w:t>
      </w:r>
    </w:p>
    <w:p w:rsidR="008E6216" w:rsidRPr="00E34DF8" w:rsidRDefault="008E6216" w:rsidP="008E6216">
      <w:pPr>
        <w:pStyle w:val="Listavistosa-nfasis11"/>
        <w:widowControl w:val="0"/>
        <w:numPr>
          <w:ilvl w:val="0"/>
          <w:numId w:val="0"/>
        </w:numPr>
        <w:tabs>
          <w:tab w:val="left" w:pos="0"/>
        </w:tabs>
        <w:autoSpaceDE w:val="0"/>
        <w:autoSpaceDN w:val="0"/>
        <w:adjustRightInd w:val="0"/>
        <w:spacing w:after="0"/>
        <w:contextualSpacing w:val="0"/>
        <w:rPr>
          <w:rFonts w:cs="Verdana"/>
          <w:iCs/>
          <w:szCs w:val="20"/>
          <w:lang w:bidi="en-US"/>
        </w:rPr>
      </w:pPr>
    </w:p>
    <w:p w:rsidR="008E6216" w:rsidRPr="00E34DF8" w:rsidRDefault="008E6216" w:rsidP="008E6216">
      <w:pPr>
        <w:pStyle w:val="Listavistosa-nfasis11"/>
        <w:widowControl w:val="0"/>
        <w:numPr>
          <w:ilvl w:val="3"/>
          <w:numId w:val="6"/>
        </w:numPr>
        <w:tabs>
          <w:tab w:val="clear" w:pos="450"/>
          <w:tab w:val="left" w:pos="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Solicitar a los representantes</w:t>
      </w:r>
      <w:r w:rsidR="00E94919">
        <w:rPr>
          <w:rFonts w:cs="Verdana"/>
          <w:szCs w:val="20"/>
          <w:lang w:bidi="en-US"/>
        </w:rPr>
        <w:t xml:space="preserve"> y</w:t>
      </w:r>
      <w:r w:rsidRPr="00E34DF8">
        <w:rPr>
          <w:rFonts w:cs="Verdana"/>
          <w:szCs w:val="20"/>
          <w:lang w:bidi="en-US"/>
        </w:rPr>
        <w:t xml:space="preserve"> al Estado que notifiquen la presente Resolución a las personas por ellos propuestas, que han sido convocadas a rendir declaración, de conformidad con lo dispuesto en el artículo 50.2 y 50.4 del Reglamento. </w:t>
      </w:r>
    </w:p>
    <w:p w:rsidR="008E6216" w:rsidRDefault="008E6216" w:rsidP="008E6216">
      <w:pPr>
        <w:pStyle w:val="Listavistosa-nfasis11"/>
        <w:numPr>
          <w:ilvl w:val="0"/>
          <w:numId w:val="0"/>
        </w:numPr>
        <w:spacing w:after="0"/>
        <w:contextualSpacing w:val="0"/>
        <w:rPr>
          <w:rFonts w:cs="Verdana"/>
          <w:szCs w:val="20"/>
          <w:lang w:bidi="en-US"/>
        </w:rPr>
      </w:pPr>
    </w:p>
    <w:p w:rsidR="008E6216" w:rsidRPr="006B0E44" w:rsidRDefault="008E6216" w:rsidP="008E6216">
      <w:pPr>
        <w:pStyle w:val="Listavistosa-nfasis11"/>
        <w:widowControl w:val="0"/>
        <w:numPr>
          <w:ilvl w:val="3"/>
          <w:numId w:val="6"/>
        </w:numPr>
        <w:tabs>
          <w:tab w:val="clear" w:pos="450"/>
          <w:tab w:val="left" w:pos="0"/>
        </w:tabs>
        <w:autoSpaceDE w:val="0"/>
        <w:autoSpaceDN w:val="0"/>
        <w:adjustRightInd w:val="0"/>
        <w:spacing w:after="0"/>
        <w:ind w:left="0" w:firstLine="0"/>
        <w:contextualSpacing w:val="0"/>
        <w:rPr>
          <w:rFonts w:cs="Verdana"/>
          <w:szCs w:val="20"/>
          <w:lang w:bidi="en-US"/>
        </w:rPr>
      </w:pPr>
      <w:r w:rsidRPr="00FC2B4F">
        <w:rPr>
          <w:rFonts w:cs="Verdana"/>
          <w:szCs w:val="20"/>
          <w:lang w:bidi="en-US"/>
        </w:rPr>
        <w:t>Informar a los representantes</w:t>
      </w:r>
      <w:r w:rsidR="00E94919">
        <w:rPr>
          <w:rFonts w:cs="Verdana"/>
          <w:szCs w:val="20"/>
          <w:lang w:bidi="en-US"/>
        </w:rPr>
        <w:t xml:space="preserve"> y</w:t>
      </w:r>
      <w:r w:rsidRPr="00FC2B4F">
        <w:rPr>
          <w:rFonts w:cs="Verdana"/>
          <w:szCs w:val="20"/>
          <w:lang w:bidi="en-US"/>
        </w:rPr>
        <w:t xml:space="preserve"> al Estado que deben cubrir los gastos que ocasione la aportación o rendición de la prueba propuesta por ellos, de conformidad con lo dispuesto en el artículo 60 del Reglamento.</w:t>
      </w:r>
      <w:r>
        <w:rPr>
          <w:rFonts w:cs="Verdana"/>
          <w:szCs w:val="20"/>
          <w:lang w:bidi="en-US"/>
        </w:rPr>
        <w:t xml:space="preserve"> </w:t>
      </w:r>
    </w:p>
    <w:p w:rsidR="008E6216" w:rsidRDefault="008E6216" w:rsidP="008E6216">
      <w:pPr>
        <w:pStyle w:val="Listavistosa-nfasis11"/>
        <w:widowControl w:val="0"/>
        <w:numPr>
          <w:ilvl w:val="0"/>
          <w:numId w:val="0"/>
        </w:numPr>
        <w:tabs>
          <w:tab w:val="left" w:pos="0"/>
        </w:tabs>
        <w:autoSpaceDE w:val="0"/>
        <w:autoSpaceDN w:val="0"/>
        <w:adjustRightInd w:val="0"/>
        <w:spacing w:after="0"/>
        <w:contextualSpacing w:val="0"/>
        <w:rPr>
          <w:rFonts w:cs="Verdana"/>
          <w:szCs w:val="20"/>
          <w:lang w:bidi="en-US"/>
        </w:rPr>
      </w:pPr>
    </w:p>
    <w:p w:rsidR="008E6216" w:rsidRPr="00E34DF8" w:rsidRDefault="008E6216" w:rsidP="008E6216">
      <w:pPr>
        <w:pStyle w:val="Listavistosa-nfasis11"/>
        <w:widowControl w:val="0"/>
        <w:numPr>
          <w:ilvl w:val="3"/>
          <w:numId w:val="6"/>
        </w:numPr>
        <w:tabs>
          <w:tab w:val="clear" w:pos="450"/>
          <w:tab w:val="left" w:pos="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Requerir a los representantes</w:t>
      </w:r>
      <w:r w:rsidR="00E94919">
        <w:rPr>
          <w:rFonts w:cs="Verdana"/>
          <w:szCs w:val="20"/>
          <w:lang w:bidi="en-US"/>
        </w:rPr>
        <w:t xml:space="preserve"> y</w:t>
      </w:r>
      <w:r w:rsidRPr="00E34DF8">
        <w:rPr>
          <w:rFonts w:cs="Verdana"/>
          <w:szCs w:val="20"/>
          <w:lang w:bidi="en-US"/>
        </w:rPr>
        <w:t xml:space="preserve"> al Estado que informen a las personas convocadas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8E6216" w:rsidRDefault="008E6216" w:rsidP="008E6216">
      <w:pPr>
        <w:pStyle w:val="Listavistosa-nfasis11"/>
        <w:numPr>
          <w:ilvl w:val="0"/>
          <w:numId w:val="0"/>
        </w:numPr>
        <w:spacing w:after="0"/>
        <w:contextualSpacing w:val="0"/>
        <w:rPr>
          <w:rFonts w:cs="Verdana"/>
          <w:szCs w:val="20"/>
          <w:lang w:bidi="en-US"/>
        </w:rPr>
      </w:pPr>
    </w:p>
    <w:p w:rsidR="008E6216" w:rsidRPr="00E34DF8" w:rsidRDefault="008E6216" w:rsidP="008E6216">
      <w:pPr>
        <w:pStyle w:val="Listavistosa-nfasis11"/>
        <w:widowControl w:val="0"/>
        <w:numPr>
          <w:ilvl w:val="3"/>
          <w:numId w:val="6"/>
        </w:numPr>
        <w:tabs>
          <w:tab w:val="clear" w:pos="450"/>
          <w:tab w:val="left" w:pos="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Informar a los representantes, al Estado y a la Comisión Interamericana que, al término de las declaraciones rendidas en la audiencia pública, podrán presentar ante el Tribunal sus alegatos finales orales y observaciones finales orales, respectivamente, sobre las excepciones preliminares, eventuales fondo y reparaciones y costas en este caso.</w:t>
      </w:r>
    </w:p>
    <w:p w:rsidR="008E6216" w:rsidRDefault="008E6216" w:rsidP="008E6216">
      <w:pPr>
        <w:pStyle w:val="Listavistosa-nfasis11"/>
        <w:numPr>
          <w:ilvl w:val="0"/>
          <w:numId w:val="0"/>
        </w:numPr>
        <w:spacing w:after="0"/>
        <w:contextualSpacing w:val="0"/>
        <w:rPr>
          <w:rFonts w:cs="Verdana"/>
          <w:szCs w:val="20"/>
          <w:lang w:bidi="en-US"/>
        </w:rPr>
      </w:pPr>
    </w:p>
    <w:p w:rsidR="008E6216" w:rsidRPr="00E34DF8" w:rsidRDefault="008E6216" w:rsidP="008E6216">
      <w:pPr>
        <w:pStyle w:val="Listavistosa-nfasis11"/>
        <w:widowControl w:val="0"/>
        <w:numPr>
          <w:ilvl w:val="3"/>
          <w:numId w:val="6"/>
        </w:numPr>
        <w:tabs>
          <w:tab w:val="clear" w:pos="450"/>
          <w:tab w:val="left" w:pos="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 xml:space="preserve">Informar </w:t>
      </w:r>
      <w:r>
        <w:rPr>
          <w:rFonts w:cs="Verdana"/>
          <w:szCs w:val="20"/>
          <w:lang w:bidi="en-US"/>
        </w:rPr>
        <w:t xml:space="preserve">a </w:t>
      </w:r>
      <w:r w:rsidRPr="00E34DF8">
        <w:rPr>
          <w:rFonts w:cs="Verdana"/>
          <w:szCs w:val="20"/>
          <w:lang w:bidi="en-US"/>
        </w:rPr>
        <w:t xml:space="preserve">los representantes, al Estado y a la Comisión Interamericana que cuentan con un plazo hasta el </w:t>
      </w:r>
      <w:r>
        <w:rPr>
          <w:rFonts w:cs="Verdana"/>
          <w:szCs w:val="20"/>
          <w:lang w:bidi="en-US"/>
        </w:rPr>
        <w:t>26 de junio de 2017</w:t>
      </w:r>
      <w:r w:rsidRPr="00E34DF8">
        <w:rPr>
          <w:rFonts w:cs="Verdana"/>
          <w:szCs w:val="20"/>
          <w:lang w:bidi="en-US"/>
        </w:rPr>
        <w:t xml:space="preserve"> para presentar sus alegatos finales escritos y observaciones finales escritas, respectivamente, en relación con las excepciones preliminares, eventuales fondo y reparaciones y costas. Este plazo es improrrogable. </w:t>
      </w:r>
      <w:r w:rsidRPr="00E34DF8">
        <w:rPr>
          <w:rFonts w:cs="ArialMT"/>
          <w:szCs w:val="20"/>
          <w:lang w:bidi="en-US"/>
        </w:rPr>
        <w:t xml:space="preserve"> </w:t>
      </w:r>
    </w:p>
    <w:p w:rsidR="008E6216" w:rsidRDefault="008E6216" w:rsidP="008E6216">
      <w:pPr>
        <w:pStyle w:val="Listavistosa-nfasis11"/>
        <w:numPr>
          <w:ilvl w:val="0"/>
          <w:numId w:val="0"/>
        </w:numPr>
        <w:spacing w:after="0"/>
        <w:contextualSpacing w:val="0"/>
        <w:rPr>
          <w:rFonts w:cs="Verdana"/>
          <w:szCs w:val="20"/>
          <w:lang w:bidi="en-US"/>
        </w:rPr>
      </w:pPr>
    </w:p>
    <w:p w:rsidR="008E6216" w:rsidRPr="00E34DF8" w:rsidRDefault="008E6216" w:rsidP="008E6216">
      <w:pPr>
        <w:pStyle w:val="Listavistosa-nfasis11"/>
        <w:widowControl w:val="0"/>
        <w:numPr>
          <w:ilvl w:val="3"/>
          <w:numId w:val="6"/>
        </w:numPr>
        <w:tabs>
          <w:tab w:val="clear" w:pos="450"/>
          <w:tab w:val="left" w:pos="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Disponer que la Secretaría de la Corte notifique la presente Resolución a los representantes</w:t>
      </w:r>
      <w:r>
        <w:rPr>
          <w:rFonts w:cs="Verdana"/>
          <w:szCs w:val="20"/>
          <w:lang w:bidi="en-US"/>
        </w:rPr>
        <w:t xml:space="preserve">, a la República de Colombia </w:t>
      </w:r>
      <w:r w:rsidRPr="00E34DF8">
        <w:rPr>
          <w:rFonts w:cs="Verdana"/>
          <w:szCs w:val="20"/>
          <w:lang w:bidi="en-US"/>
        </w:rPr>
        <w:t xml:space="preserve">y a la Comisión Interamericana de Derechos Humanos. </w:t>
      </w:r>
    </w:p>
    <w:p w:rsidR="008E6216"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8E6216"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335680" w:rsidRDefault="00335680"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8E6216"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8E6216"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683E21" w:rsidRDefault="00683E21"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8E6216" w:rsidRDefault="008E6216" w:rsidP="008E6216">
      <w:pPr>
        <w:widowControl w:val="0"/>
        <w:autoSpaceDE w:val="0"/>
        <w:autoSpaceDN w:val="0"/>
        <w:adjustRightInd w:val="0"/>
        <w:spacing w:after="0"/>
        <w:ind w:left="5760" w:firstLine="720"/>
        <w:rPr>
          <w:szCs w:val="22"/>
        </w:rPr>
      </w:pPr>
      <w:r>
        <w:rPr>
          <w:rFonts w:cs="Verdana"/>
          <w:szCs w:val="20"/>
          <w:lang w:bidi="en-US"/>
        </w:rPr>
        <w:tab/>
      </w:r>
      <w:r>
        <w:rPr>
          <w:rFonts w:cs="Verdana"/>
          <w:szCs w:val="20"/>
          <w:lang w:bidi="en-US"/>
        </w:rPr>
        <w:tab/>
      </w:r>
      <w:r>
        <w:rPr>
          <w:rFonts w:cs="Verdana"/>
          <w:szCs w:val="20"/>
          <w:lang w:bidi="en-US"/>
        </w:rPr>
        <w:tab/>
      </w:r>
      <w:r>
        <w:rPr>
          <w:rFonts w:cs="Verdana"/>
          <w:szCs w:val="20"/>
          <w:lang w:bidi="en-US"/>
        </w:rPr>
        <w:tab/>
        <w:t xml:space="preserve">    </w:t>
      </w:r>
      <w:r w:rsidR="00683E21">
        <w:rPr>
          <w:rFonts w:cs="Verdana"/>
          <w:szCs w:val="20"/>
          <w:lang w:bidi="en-US"/>
        </w:rPr>
        <w:t xml:space="preserve">                     </w:t>
      </w:r>
      <w:r>
        <w:rPr>
          <w:szCs w:val="22"/>
        </w:rPr>
        <w:t>Roberto F. Caldas</w:t>
      </w:r>
    </w:p>
    <w:p w:rsidR="008E6216" w:rsidRPr="00E44575" w:rsidRDefault="00683E21" w:rsidP="00683E21">
      <w:pPr>
        <w:widowControl w:val="0"/>
        <w:autoSpaceDE w:val="0"/>
        <w:autoSpaceDN w:val="0"/>
        <w:adjustRightInd w:val="0"/>
        <w:spacing w:after="0"/>
        <w:ind w:left="5760"/>
        <w:rPr>
          <w:szCs w:val="22"/>
        </w:rPr>
      </w:pPr>
      <w:r>
        <w:rPr>
          <w:szCs w:val="22"/>
        </w:rPr>
        <w:t xml:space="preserve">    </w:t>
      </w:r>
      <w:r w:rsidR="008E6216">
        <w:rPr>
          <w:szCs w:val="22"/>
        </w:rPr>
        <w:t>Presidente</w:t>
      </w:r>
    </w:p>
    <w:p w:rsidR="008E6216"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8E6216"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683E21" w:rsidRDefault="00683E21"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683E21" w:rsidRDefault="00683E21"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8E6216" w:rsidRPr="00E44575"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8E6216" w:rsidRPr="00E44575" w:rsidRDefault="008E6216" w:rsidP="008E6216">
      <w:pPr>
        <w:widowControl w:val="0"/>
        <w:autoSpaceDE w:val="0"/>
        <w:autoSpaceDN w:val="0"/>
        <w:adjustRightInd w:val="0"/>
        <w:spacing w:after="0"/>
        <w:rPr>
          <w:szCs w:val="22"/>
        </w:rPr>
      </w:pPr>
      <w:r w:rsidRPr="00E44575">
        <w:rPr>
          <w:szCs w:val="22"/>
        </w:rPr>
        <w:t>Pablo Saavedra Alessandri</w:t>
      </w:r>
    </w:p>
    <w:p w:rsidR="008E6216" w:rsidRPr="00E44575" w:rsidRDefault="008E6216" w:rsidP="008E6216">
      <w:pPr>
        <w:widowControl w:val="0"/>
        <w:autoSpaceDE w:val="0"/>
        <w:autoSpaceDN w:val="0"/>
        <w:adjustRightInd w:val="0"/>
        <w:spacing w:after="0"/>
        <w:rPr>
          <w:szCs w:val="22"/>
        </w:rPr>
      </w:pPr>
      <w:r w:rsidRPr="00E44575">
        <w:rPr>
          <w:szCs w:val="22"/>
        </w:rPr>
        <w:t xml:space="preserve">        </w:t>
      </w:r>
      <w:r w:rsidR="00683E21">
        <w:rPr>
          <w:szCs w:val="22"/>
        </w:rPr>
        <w:t xml:space="preserve">  </w:t>
      </w:r>
      <w:r w:rsidRPr="00E44575">
        <w:rPr>
          <w:szCs w:val="22"/>
        </w:rPr>
        <w:t xml:space="preserve">Secretario </w:t>
      </w:r>
    </w:p>
    <w:p w:rsidR="008E6216" w:rsidRPr="00E44575"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p>
    <w:p w:rsidR="008E6216"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683E21" w:rsidRDefault="00683E21"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683E21" w:rsidRDefault="00683E21"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8E6216"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335680" w:rsidRDefault="00335680"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335680" w:rsidRPr="00E44575" w:rsidRDefault="00335680"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8E6216" w:rsidRPr="00E44575"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E44575">
        <w:rPr>
          <w:rFonts w:cs="Verdana"/>
          <w:szCs w:val="20"/>
          <w:lang w:bidi="en-US"/>
        </w:rPr>
        <w:t xml:space="preserve">Comuníquese y ejecútese, </w:t>
      </w:r>
    </w:p>
    <w:p w:rsidR="008E6216" w:rsidRPr="00040ECE"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p>
    <w:p w:rsidR="008E6216"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p>
    <w:p w:rsidR="00683E21" w:rsidRDefault="00683E21"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p>
    <w:p w:rsidR="00683E21" w:rsidRDefault="00683E21"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p>
    <w:p w:rsidR="00683E21" w:rsidRPr="00E44575" w:rsidRDefault="00683E21"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p>
    <w:p w:rsidR="008E6216"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8E6216" w:rsidRDefault="008E6216" w:rsidP="008E6216">
      <w:pPr>
        <w:widowControl w:val="0"/>
        <w:autoSpaceDE w:val="0"/>
        <w:autoSpaceDN w:val="0"/>
        <w:adjustRightInd w:val="0"/>
        <w:spacing w:after="0"/>
        <w:ind w:left="5760" w:firstLine="720"/>
        <w:rPr>
          <w:szCs w:val="22"/>
        </w:rPr>
      </w:pPr>
      <w:r>
        <w:rPr>
          <w:szCs w:val="22"/>
        </w:rPr>
        <w:t>Roberto F. Caldas</w:t>
      </w:r>
    </w:p>
    <w:p w:rsidR="008E6216" w:rsidRDefault="00683E21" w:rsidP="008E6216">
      <w:pPr>
        <w:widowControl w:val="0"/>
        <w:autoSpaceDE w:val="0"/>
        <w:autoSpaceDN w:val="0"/>
        <w:adjustRightInd w:val="0"/>
        <w:spacing w:after="0"/>
        <w:ind w:left="5760" w:firstLine="720"/>
        <w:rPr>
          <w:szCs w:val="22"/>
        </w:rPr>
      </w:pPr>
      <w:r>
        <w:rPr>
          <w:szCs w:val="22"/>
        </w:rPr>
        <w:t xml:space="preserve">    </w:t>
      </w:r>
      <w:r w:rsidR="008E6216">
        <w:rPr>
          <w:szCs w:val="22"/>
        </w:rPr>
        <w:t>Presidente</w:t>
      </w:r>
    </w:p>
    <w:p w:rsidR="00683E21" w:rsidRDefault="00683E21" w:rsidP="008E6216">
      <w:pPr>
        <w:widowControl w:val="0"/>
        <w:autoSpaceDE w:val="0"/>
        <w:autoSpaceDN w:val="0"/>
        <w:adjustRightInd w:val="0"/>
        <w:spacing w:after="0"/>
        <w:ind w:left="5760" w:firstLine="720"/>
        <w:rPr>
          <w:szCs w:val="22"/>
        </w:rPr>
      </w:pPr>
    </w:p>
    <w:p w:rsidR="00683E21" w:rsidRDefault="00683E21" w:rsidP="008E6216">
      <w:pPr>
        <w:widowControl w:val="0"/>
        <w:autoSpaceDE w:val="0"/>
        <w:autoSpaceDN w:val="0"/>
        <w:adjustRightInd w:val="0"/>
        <w:spacing w:after="0"/>
        <w:ind w:left="5760" w:firstLine="720"/>
        <w:rPr>
          <w:szCs w:val="22"/>
        </w:rPr>
      </w:pPr>
    </w:p>
    <w:p w:rsidR="00683E21" w:rsidRDefault="00683E21" w:rsidP="008E6216">
      <w:pPr>
        <w:widowControl w:val="0"/>
        <w:autoSpaceDE w:val="0"/>
        <w:autoSpaceDN w:val="0"/>
        <w:adjustRightInd w:val="0"/>
        <w:spacing w:after="0"/>
        <w:ind w:left="5760" w:firstLine="720"/>
        <w:rPr>
          <w:szCs w:val="22"/>
        </w:rPr>
      </w:pPr>
    </w:p>
    <w:p w:rsidR="00683E21" w:rsidRDefault="00683E21" w:rsidP="008E6216">
      <w:pPr>
        <w:widowControl w:val="0"/>
        <w:autoSpaceDE w:val="0"/>
        <w:autoSpaceDN w:val="0"/>
        <w:adjustRightInd w:val="0"/>
        <w:spacing w:after="0"/>
        <w:ind w:left="5760" w:firstLine="720"/>
        <w:rPr>
          <w:szCs w:val="22"/>
        </w:rPr>
      </w:pPr>
    </w:p>
    <w:p w:rsidR="00683E21" w:rsidRPr="00E44575" w:rsidRDefault="00683E21" w:rsidP="008E6216">
      <w:pPr>
        <w:widowControl w:val="0"/>
        <w:autoSpaceDE w:val="0"/>
        <w:autoSpaceDN w:val="0"/>
        <w:adjustRightInd w:val="0"/>
        <w:spacing w:after="0"/>
        <w:ind w:left="5760" w:firstLine="720"/>
        <w:rPr>
          <w:szCs w:val="22"/>
        </w:rPr>
      </w:pPr>
    </w:p>
    <w:p w:rsidR="008E6216" w:rsidRPr="00E44575"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8E6216" w:rsidRPr="00E44575" w:rsidRDefault="008E6216" w:rsidP="008E6216">
      <w:pPr>
        <w:widowControl w:val="0"/>
        <w:autoSpaceDE w:val="0"/>
        <w:autoSpaceDN w:val="0"/>
        <w:adjustRightInd w:val="0"/>
        <w:spacing w:after="0"/>
        <w:ind w:left="5760" w:firstLine="720"/>
        <w:rPr>
          <w:szCs w:val="22"/>
        </w:rPr>
      </w:pPr>
      <w:r w:rsidRPr="00E44575">
        <w:rPr>
          <w:rFonts w:cs="Verdana"/>
          <w:szCs w:val="20"/>
          <w:lang w:bidi="en-US"/>
        </w:rPr>
        <w:tab/>
      </w:r>
    </w:p>
    <w:p w:rsidR="008E6216" w:rsidRPr="00E44575"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8E6216" w:rsidRPr="00E44575" w:rsidRDefault="008E6216" w:rsidP="008E6216">
      <w:pPr>
        <w:widowControl w:val="0"/>
        <w:autoSpaceDE w:val="0"/>
        <w:autoSpaceDN w:val="0"/>
        <w:adjustRightInd w:val="0"/>
        <w:spacing w:after="0"/>
        <w:rPr>
          <w:szCs w:val="22"/>
        </w:rPr>
      </w:pPr>
      <w:r w:rsidRPr="00E44575">
        <w:rPr>
          <w:szCs w:val="22"/>
        </w:rPr>
        <w:t>Pablo Saavedra Alessandri</w:t>
      </w:r>
    </w:p>
    <w:p w:rsidR="008E6216" w:rsidRPr="004867F5" w:rsidRDefault="008E6216" w:rsidP="008E6216">
      <w:pPr>
        <w:widowControl w:val="0"/>
        <w:autoSpaceDE w:val="0"/>
        <w:autoSpaceDN w:val="0"/>
        <w:adjustRightInd w:val="0"/>
        <w:spacing w:after="0"/>
        <w:rPr>
          <w:szCs w:val="22"/>
        </w:rPr>
      </w:pPr>
      <w:r>
        <w:rPr>
          <w:szCs w:val="22"/>
        </w:rPr>
        <w:t xml:space="preserve">       </w:t>
      </w:r>
      <w:r w:rsidRPr="00E44575">
        <w:rPr>
          <w:szCs w:val="22"/>
        </w:rPr>
        <w:t xml:space="preserve"> Secretario</w:t>
      </w:r>
      <w:r w:rsidRPr="004867F5">
        <w:rPr>
          <w:szCs w:val="22"/>
        </w:rPr>
        <w:t xml:space="preserve"> </w:t>
      </w:r>
    </w:p>
    <w:p w:rsidR="008E6216" w:rsidRPr="00155DB1" w:rsidRDefault="008E6216" w:rsidP="008E6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8E6216" w:rsidRPr="00B253AD" w:rsidRDefault="008E6216" w:rsidP="008E6216">
      <w:pPr>
        <w:rPr>
          <w:lang w:val="es-CL"/>
        </w:rPr>
      </w:pPr>
    </w:p>
    <w:p w:rsidR="00367FA9" w:rsidRDefault="00367FA9"/>
    <w:sectPr w:rsidR="00367FA9" w:rsidSect="00F22386">
      <w:head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2C" w:rsidRDefault="0066642C" w:rsidP="008E6216">
      <w:pPr>
        <w:spacing w:after="0"/>
      </w:pPr>
      <w:r>
        <w:separator/>
      </w:r>
    </w:p>
  </w:endnote>
  <w:endnote w:type="continuationSeparator" w:id="0">
    <w:p w:rsidR="0066642C" w:rsidRDefault="0066642C" w:rsidP="008E62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Bold">
    <w:panose1 w:val="020B08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2C" w:rsidRDefault="0066642C" w:rsidP="008E6216">
      <w:pPr>
        <w:spacing w:after="0"/>
      </w:pPr>
      <w:r>
        <w:separator/>
      </w:r>
    </w:p>
  </w:footnote>
  <w:footnote w:type="continuationSeparator" w:id="0">
    <w:p w:rsidR="0066642C" w:rsidRDefault="0066642C" w:rsidP="008E6216">
      <w:pPr>
        <w:spacing w:after="0"/>
      </w:pPr>
      <w:r>
        <w:continuationSeparator/>
      </w:r>
    </w:p>
  </w:footnote>
  <w:footnote w:id="1">
    <w:p w:rsidR="00C922B3" w:rsidRPr="00C922B3" w:rsidRDefault="00C922B3">
      <w:pPr>
        <w:pStyle w:val="FootnoteText"/>
        <w:rPr>
          <w:sz w:val="16"/>
          <w:szCs w:val="16"/>
          <w:lang w:val="es-CR"/>
        </w:rPr>
      </w:pPr>
      <w:r w:rsidRPr="00733D5C">
        <w:rPr>
          <w:rStyle w:val="FootnoteReference"/>
          <w:sz w:val="16"/>
          <w:szCs w:val="16"/>
        </w:rPr>
        <w:footnoteRef/>
      </w:r>
      <w:r w:rsidRPr="00733D5C">
        <w:rPr>
          <w:sz w:val="16"/>
          <w:szCs w:val="16"/>
        </w:rPr>
        <w:t xml:space="preserve"> </w:t>
      </w:r>
      <w:r w:rsidR="00BB0E7F">
        <w:rPr>
          <w:sz w:val="16"/>
          <w:szCs w:val="16"/>
        </w:rPr>
        <w:t xml:space="preserve"> </w:t>
      </w:r>
      <w:r w:rsidR="00BB0E7F">
        <w:rPr>
          <w:sz w:val="16"/>
          <w:szCs w:val="16"/>
        </w:rPr>
        <w:tab/>
      </w:r>
      <w:r w:rsidRPr="00733D5C">
        <w:rPr>
          <w:sz w:val="16"/>
          <w:szCs w:val="16"/>
        </w:rPr>
        <w:t>Lo</w:t>
      </w:r>
      <w:r w:rsidR="00B430C0" w:rsidRPr="00733D5C">
        <w:rPr>
          <w:sz w:val="16"/>
          <w:szCs w:val="16"/>
        </w:rPr>
        <w:t>s representantes ofrecieron a tres</w:t>
      </w:r>
      <w:r w:rsidRPr="00733D5C">
        <w:rPr>
          <w:sz w:val="16"/>
          <w:szCs w:val="16"/>
        </w:rPr>
        <w:t xml:space="preserve"> testigos </w:t>
      </w:r>
      <w:r w:rsidR="00FD720F">
        <w:rPr>
          <w:sz w:val="16"/>
          <w:szCs w:val="16"/>
        </w:rPr>
        <w:t>en el escrito de solicitudes y argumentos</w:t>
      </w:r>
      <w:r w:rsidR="00B430C0" w:rsidRPr="00733D5C">
        <w:rPr>
          <w:sz w:val="16"/>
          <w:szCs w:val="16"/>
        </w:rPr>
        <w:t xml:space="preserve">, </w:t>
      </w:r>
      <w:r w:rsidR="00530AE0" w:rsidRPr="00733D5C">
        <w:rPr>
          <w:sz w:val="16"/>
          <w:szCs w:val="16"/>
        </w:rPr>
        <w:t xml:space="preserve">mismos </w:t>
      </w:r>
      <w:r w:rsidR="00B430C0" w:rsidRPr="00733D5C">
        <w:rPr>
          <w:sz w:val="16"/>
          <w:szCs w:val="16"/>
        </w:rPr>
        <w:t>que no fueron confirmados</w:t>
      </w:r>
      <w:r w:rsidRPr="00733D5C">
        <w:rPr>
          <w:sz w:val="16"/>
          <w:szCs w:val="16"/>
        </w:rPr>
        <w:t xml:space="preserve"> en la lista de</w:t>
      </w:r>
      <w:r w:rsidR="00B430C0" w:rsidRPr="00733D5C">
        <w:rPr>
          <w:sz w:val="16"/>
          <w:szCs w:val="16"/>
        </w:rPr>
        <w:t>finitiva de declarantes</w:t>
      </w:r>
      <w:r w:rsidR="00530AE0" w:rsidRPr="00733D5C">
        <w:rPr>
          <w:sz w:val="16"/>
          <w:szCs w:val="16"/>
        </w:rPr>
        <w:t xml:space="preserve"> de 27 de marzo de 2017</w:t>
      </w:r>
      <w:r w:rsidR="00B430C0" w:rsidRPr="00733D5C">
        <w:rPr>
          <w:sz w:val="16"/>
          <w:szCs w:val="16"/>
        </w:rPr>
        <w:t>, p</w:t>
      </w:r>
      <w:r w:rsidR="00A254F9" w:rsidRPr="00733D5C">
        <w:rPr>
          <w:sz w:val="16"/>
          <w:szCs w:val="16"/>
        </w:rPr>
        <w:t xml:space="preserve">or </w:t>
      </w:r>
      <w:r w:rsidR="00B430C0" w:rsidRPr="00733D5C">
        <w:rPr>
          <w:sz w:val="16"/>
          <w:szCs w:val="16"/>
        </w:rPr>
        <w:t>lo que esta Presidencia entiende que los representa</w:t>
      </w:r>
      <w:r w:rsidR="00530AE0" w:rsidRPr="00733D5C">
        <w:rPr>
          <w:sz w:val="16"/>
          <w:szCs w:val="16"/>
        </w:rPr>
        <w:t>ntes</w:t>
      </w:r>
      <w:r w:rsidR="00B430C0" w:rsidRPr="00733D5C">
        <w:rPr>
          <w:sz w:val="16"/>
          <w:szCs w:val="16"/>
        </w:rPr>
        <w:t xml:space="preserve"> desistieron de su ofrecimiento.</w:t>
      </w:r>
      <w:r>
        <w:rPr>
          <w:sz w:val="16"/>
          <w:szCs w:val="16"/>
        </w:rPr>
        <w:t xml:space="preserve"> </w:t>
      </w:r>
    </w:p>
  </w:footnote>
  <w:footnote w:id="2">
    <w:p w:rsidR="00367FA9" w:rsidRPr="004926CA" w:rsidRDefault="00367FA9" w:rsidP="008E6216">
      <w:pPr>
        <w:pStyle w:val="FootnoteText"/>
        <w:rPr>
          <w:sz w:val="16"/>
          <w:szCs w:val="16"/>
          <w:lang w:val="es-CR"/>
        </w:rPr>
      </w:pPr>
      <w:r w:rsidRPr="004926CA">
        <w:rPr>
          <w:rStyle w:val="FootnoteReference"/>
          <w:sz w:val="16"/>
          <w:szCs w:val="16"/>
        </w:rPr>
        <w:footnoteRef/>
      </w:r>
      <w:r w:rsidRPr="004926CA">
        <w:rPr>
          <w:sz w:val="16"/>
          <w:szCs w:val="16"/>
        </w:rPr>
        <w:t xml:space="preserve"> </w:t>
      </w:r>
      <w:r w:rsidR="00BB0E7F">
        <w:rPr>
          <w:sz w:val="16"/>
          <w:szCs w:val="16"/>
        </w:rPr>
        <w:tab/>
      </w:r>
      <w:r w:rsidR="00F22386">
        <w:rPr>
          <w:i/>
          <w:sz w:val="16"/>
          <w:szCs w:val="16"/>
        </w:rPr>
        <w:t>Cfr.</w:t>
      </w:r>
      <w:r w:rsidR="002E6C97" w:rsidRPr="004926CA">
        <w:rPr>
          <w:i/>
          <w:sz w:val="16"/>
          <w:szCs w:val="16"/>
        </w:rPr>
        <w:t xml:space="preserve"> </w:t>
      </w:r>
      <w:r w:rsidRPr="004926CA">
        <w:rPr>
          <w:i/>
          <w:sz w:val="16"/>
          <w:szCs w:val="16"/>
        </w:rPr>
        <w:t xml:space="preserve">Caso Pedro Miguel Vera </w:t>
      </w:r>
      <w:proofErr w:type="spellStart"/>
      <w:r w:rsidRPr="004926CA">
        <w:rPr>
          <w:i/>
          <w:sz w:val="16"/>
          <w:szCs w:val="16"/>
        </w:rPr>
        <w:t>Vera</w:t>
      </w:r>
      <w:proofErr w:type="spellEnd"/>
      <w:r w:rsidRPr="004926CA">
        <w:rPr>
          <w:i/>
          <w:sz w:val="16"/>
          <w:szCs w:val="16"/>
        </w:rPr>
        <w:t xml:space="preserve"> y otros Vs. Ecuador.</w:t>
      </w:r>
      <w:r w:rsidRPr="004926CA">
        <w:rPr>
          <w:sz w:val="16"/>
          <w:szCs w:val="16"/>
        </w:rPr>
        <w:t xml:space="preserve"> Resolución del Presidente de la Corte </w:t>
      </w:r>
      <w:r w:rsidR="00F22386">
        <w:rPr>
          <w:sz w:val="16"/>
          <w:szCs w:val="16"/>
        </w:rPr>
        <w:t>de 23 de diciembre de 2010,</w:t>
      </w:r>
      <w:r w:rsidRPr="004926CA">
        <w:rPr>
          <w:sz w:val="16"/>
          <w:szCs w:val="16"/>
        </w:rPr>
        <w:t xml:space="preserve"> Considerando 9</w:t>
      </w:r>
      <w:r w:rsidR="002E6C97" w:rsidRPr="004926CA">
        <w:rPr>
          <w:sz w:val="16"/>
          <w:szCs w:val="16"/>
        </w:rPr>
        <w:t>, y</w:t>
      </w:r>
      <w:r w:rsidRPr="004926CA">
        <w:rPr>
          <w:sz w:val="16"/>
          <w:szCs w:val="16"/>
        </w:rPr>
        <w:t xml:space="preserve"> </w:t>
      </w:r>
      <w:r w:rsidR="00EF25C8" w:rsidRPr="00EF25C8">
        <w:rPr>
          <w:bCs/>
          <w:i/>
          <w:sz w:val="16"/>
          <w:szCs w:val="16"/>
        </w:rPr>
        <w:t>Caso Ramírez Escobar y otros Vs. Guatemala</w:t>
      </w:r>
      <w:r w:rsidR="00EF25C8" w:rsidRPr="00EF25C8">
        <w:rPr>
          <w:bCs/>
          <w:sz w:val="16"/>
          <w:szCs w:val="16"/>
        </w:rPr>
        <w:t xml:space="preserve">. Convocatoria de audiencia. Resolución del Presidente de la Corte </w:t>
      </w:r>
      <w:r w:rsidR="00F51B95">
        <w:rPr>
          <w:bCs/>
          <w:sz w:val="16"/>
          <w:szCs w:val="16"/>
        </w:rPr>
        <w:t>de 11 de abril de 2017.</w:t>
      </w:r>
      <w:r w:rsidRPr="004926CA">
        <w:rPr>
          <w:rStyle w:val="Strong"/>
          <w:b w:val="0"/>
          <w:color w:val="000000"/>
          <w:sz w:val="16"/>
          <w:szCs w:val="16"/>
          <w:shd w:val="clear" w:color="auto" w:fill="FFFFFF"/>
        </w:rPr>
        <w:t xml:space="preserve"> Considerando </w:t>
      </w:r>
      <w:r w:rsidR="00EF25C8">
        <w:rPr>
          <w:rStyle w:val="Strong"/>
          <w:b w:val="0"/>
          <w:color w:val="000000"/>
          <w:sz w:val="16"/>
          <w:szCs w:val="16"/>
          <w:shd w:val="clear" w:color="auto" w:fill="FFFFFF"/>
        </w:rPr>
        <w:t>18</w:t>
      </w:r>
      <w:r w:rsidR="002E6C97" w:rsidRPr="004926CA">
        <w:rPr>
          <w:rStyle w:val="Strong"/>
          <w:b w:val="0"/>
          <w:color w:val="000000"/>
          <w:sz w:val="16"/>
          <w:szCs w:val="16"/>
          <w:shd w:val="clear" w:color="auto" w:fill="FFFFFF"/>
        </w:rPr>
        <w:t>.</w:t>
      </w:r>
    </w:p>
  </w:footnote>
  <w:footnote w:id="3">
    <w:p w:rsidR="00FA4FF6" w:rsidRPr="004926CA" w:rsidRDefault="00FA4FF6" w:rsidP="00FA4FF6">
      <w:pPr>
        <w:pStyle w:val="FootnoteText"/>
        <w:rPr>
          <w:b/>
          <w:sz w:val="16"/>
          <w:szCs w:val="16"/>
          <w:lang w:val="es-CR"/>
        </w:rPr>
      </w:pPr>
      <w:r w:rsidRPr="004926CA">
        <w:rPr>
          <w:rStyle w:val="FootnoteReference"/>
          <w:sz w:val="16"/>
          <w:szCs w:val="16"/>
        </w:rPr>
        <w:footnoteRef/>
      </w:r>
      <w:r w:rsidRPr="004926CA">
        <w:rPr>
          <w:sz w:val="16"/>
          <w:szCs w:val="16"/>
          <w:lang w:val="es-CR"/>
        </w:rPr>
        <w:t xml:space="preserve"> </w:t>
      </w:r>
      <w:r w:rsidRPr="004926CA">
        <w:rPr>
          <w:i/>
          <w:sz w:val="16"/>
          <w:szCs w:val="16"/>
          <w:lang w:val="es-CR"/>
        </w:rPr>
        <w:t>Cfr. Caso Herrera Espinoza y otros Vs. Ecuador.</w:t>
      </w:r>
      <w:r w:rsidRPr="004926CA">
        <w:rPr>
          <w:sz w:val="16"/>
          <w:szCs w:val="16"/>
          <w:lang w:val="es-CR"/>
        </w:rPr>
        <w:t xml:space="preserve"> Resolución del Presidente de la </w:t>
      </w:r>
      <w:r w:rsidR="004926CA">
        <w:rPr>
          <w:sz w:val="16"/>
          <w:szCs w:val="16"/>
          <w:lang w:val="es-CR"/>
        </w:rPr>
        <w:t>Corte de 10 de diciembre d</w:t>
      </w:r>
      <w:r w:rsidR="00F22386">
        <w:rPr>
          <w:sz w:val="16"/>
          <w:szCs w:val="16"/>
          <w:lang w:val="es-CR"/>
        </w:rPr>
        <w:t>e 2015,</w:t>
      </w:r>
      <w:r w:rsidR="004926CA">
        <w:rPr>
          <w:sz w:val="16"/>
          <w:szCs w:val="16"/>
          <w:lang w:val="es-CR"/>
        </w:rPr>
        <w:t xml:space="preserve"> </w:t>
      </w:r>
      <w:r w:rsidRPr="004926CA">
        <w:rPr>
          <w:sz w:val="16"/>
          <w:szCs w:val="16"/>
          <w:lang w:val="es-CR"/>
        </w:rPr>
        <w:t xml:space="preserve">Considerando 19, y </w:t>
      </w:r>
      <w:r w:rsidRPr="004926CA">
        <w:rPr>
          <w:rStyle w:val="Strong"/>
          <w:b w:val="0"/>
          <w:i/>
          <w:color w:val="000000"/>
          <w:sz w:val="16"/>
          <w:szCs w:val="16"/>
          <w:shd w:val="clear" w:color="auto" w:fill="FFFFFF"/>
          <w:lang w:val="es-CR"/>
        </w:rPr>
        <w:t>Caso Ramíre</w:t>
      </w:r>
      <w:r w:rsidR="004F4ADF">
        <w:rPr>
          <w:rStyle w:val="Strong"/>
          <w:b w:val="0"/>
          <w:i/>
          <w:color w:val="000000"/>
          <w:sz w:val="16"/>
          <w:szCs w:val="16"/>
          <w:shd w:val="clear" w:color="auto" w:fill="FFFFFF"/>
          <w:lang w:val="es-CR"/>
        </w:rPr>
        <w:t>z Escobar y otros Vs. Guatemala, supra</w:t>
      </w:r>
      <w:r w:rsidR="00F22386">
        <w:rPr>
          <w:rStyle w:val="Strong"/>
          <w:b w:val="0"/>
          <w:color w:val="000000"/>
          <w:sz w:val="16"/>
          <w:szCs w:val="16"/>
          <w:shd w:val="clear" w:color="auto" w:fill="FFFFFF"/>
          <w:lang w:val="es-CR"/>
        </w:rPr>
        <w:t>,</w:t>
      </w:r>
      <w:r w:rsidR="004926CA">
        <w:rPr>
          <w:rStyle w:val="Strong"/>
          <w:b w:val="0"/>
          <w:color w:val="000000"/>
          <w:sz w:val="16"/>
          <w:szCs w:val="16"/>
          <w:shd w:val="clear" w:color="auto" w:fill="FFFFFF"/>
          <w:lang w:val="es-CR"/>
        </w:rPr>
        <w:t xml:space="preserve"> </w:t>
      </w:r>
      <w:r w:rsidRPr="004926CA">
        <w:rPr>
          <w:rStyle w:val="Strong"/>
          <w:b w:val="0"/>
          <w:color w:val="000000"/>
          <w:sz w:val="16"/>
          <w:szCs w:val="16"/>
          <w:shd w:val="clear" w:color="auto" w:fill="FFFFFF"/>
          <w:lang w:val="es-CR"/>
        </w:rPr>
        <w:t>Considerando 18.</w:t>
      </w:r>
    </w:p>
  </w:footnote>
  <w:footnote w:id="4">
    <w:p w:rsidR="00C51C8C" w:rsidRPr="00C51C8C" w:rsidRDefault="00C51C8C">
      <w:pPr>
        <w:pStyle w:val="FootnoteText"/>
        <w:rPr>
          <w:b/>
          <w:sz w:val="16"/>
          <w:szCs w:val="16"/>
          <w:lang w:val="es-CR"/>
        </w:rPr>
      </w:pPr>
      <w:r w:rsidRPr="00C51C8C">
        <w:rPr>
          <w:rStyle w:val="FootnoteReference"/>
          <w:sz w:val="16"/>
          <w:szCs w:val="16"/>
        </w:rPr>
        <w:footnoteRef/>
      </w:r>
      <w:r w:rsidRPr="00C51C8C">
        <w:rPr>
          <w:sz w:val="16"/>
          <w:szCs w:val="16"/>
        </w:rPr>
        <w:t xml:space="preserve"> </w:t>
      </w:r>
      <w:r w:rsidR="00BB0E7F">
        <w:rPr>
          <w:sz w:val="16"/>
          <w:szCs w:val="16"/>
        </w:rPr>
        <w:tab/>
      </w:r>
      <w:r w:rsidRPr="00C51C8C">
        <w:rPr>
          <w:sz w:val="16"/>
          <w:szCs w:val="16"/>
        </w:rPr>
        <w:t xml:space="preserve">Esta Presidencia recuerda que </w:t>
      </w:r>
      <w:r w:rsidRPr="00C51C8C">
        <w:rPr>
          <w:sz w:val="16"/>
          <w:szCs w:val="16"/>
          <w:lang w:val="es-CL"/>
        </w:rPr>
        <w:t xml:space="preserve">ya ha tenido la oportunidad en múltiples ocasiones de recibir pericias </w:t>
      </w:r>
      <w:r w:rsidR="00EF5E26">
        <w:rPr>
          <w:sz w:val="16"/>
          <w:szCs w:val="16"/>
          <w:lang w:val="es-CL"/>
        </w:rPr>
        <w:t>sobre las temáticas del dictamen</w:t>
      </w:r>
      <w:r w:rsidRPr="00C51C8C">
        <w:rPr>
          <w:sz w:val="16"/>
          <w:szCs w:val="16"/>
          <w:lang w:val="es-CL"/>
        </w:rPr>
        <w:t xml:space="preserve"> y se ha manifestado en diversas ocasiones en materia de responsabilidad cuando confluye aquiescencia y colaboración estatal. </w:t>
      </w:r>
      <w:r w:rsidRPr="00C51C8C">
        <w:rPr>
          <w:i/>
          <w:sz w:val="16"/>
          <w:szCs w:val="16"/>
          <w:lang w:val="es-CL"/>
        </w:rPr>
        <w:t>Cfr.</w:t>
      </w:r>
      <w:r w:rsidRPr="00C51C8C">
        <w:rPr>
          <w:rStyle w:val="Strong"/>
          <w:b w:val="0"/>
          <w:i/>
          <w:color w:val="000000"/>
          <w:sz w:val="16"/>
          <w:szCs w:val="16"/>
          <w:shd w:val="clear" w:color="auto" w:fill="FFFFFF"/>
        </w:rPr>
        <w:t xml:space="preserve"> Caso de la “Masacre de </w:t>
      </w:r>
      <w:proofErr w:type="spellStart"/>
      <w:r w:rsidRPr="00C51C8C">
        <w:rPr>
          <w:rStyle w:val="Strong"/>
          <w:b w:val="0"/>
          <w:i/>
          <w:color w:val="000000"/>
          <w:sz w:val="16"/>
          <w:szCs w:val="16"/>
          <w:shd w:val="clear" w:color="auto" w:fill="FFFFFF"/>
        </w:rPr>
        <w:t>Mapiripán</w:t>
      </w:r>
      <w:proofErr w:type="spellEnd"/>
      <w:r w:rsidRPr="00C51C8C">
        <w:rPr>
          <w:rStyle w:val="Strong"/>
          <w:b w:val="0"/>
          <w:i/>
          <w:color w:val="000000"/>
          <w:sz w:val="16"/>
          <w:szCs w:val="16"/>
          <w:shd w:val="clear" w:color="auto" w:fill="FFFFFF"/>
        </w:rPr>
        <w:t>" Vs. Colombia</w:t>
      </w:r>
      <w:r w:rsidRPr="00C51C8C">
        <w:rPr>
          <w:rStyle w:val="Strong"/>
          <w:b w:val="0"/>
          <w:color w:val="000000"/>
          <w:sz w:val="16"/>
          <w:szCs w:val="16"/>
          <w:shd w:val="clear" w:color="auto" w:fill="FFFFFF"/>
        </w:rPr>
        <w:t xml:space="preserve">. Sentencia de 15 de septiembre de 2005. Serie C No. 134, párr. 111; </w:t>
      </w:r>
      <w:r w:rsidRPr="00C51C8C">
        <w:rPr>
          <w:rStyle w:val="Strong"/>
          <w:b w:val="0"/>
          <w:i/>
          <w:color w:val="000000"/>
          <w:sz w:val="16"/>
          <w:szCs w:val="16"/>
          <w:shd w:val="clear" w:color="auto" w:fill="FFFFFF"/>
        </w:rPr>
        <w:t>Caso de la Masacre de La Rochela Vs. Colombia.</w:t>
      </w:r>
      <w:r w:rsidRPr="00C51C8C">
        <w:rPr>
          <w:rStyle w:val="Strong"/>
          <w:b w:val="0"/>
          <w:color w:val="000000"/>
          <w:sz w:val="16"/>
          <w:szCs w:val="16"/>
          <w:shd w:val="clear" w:color="auto" w:fill="FFFFFF"/>
        </w:rPr>
        <w:t xml:space="preserve"> Fondo, Reparaciones y Costas. Sentencia de 11 de mayo de 2007. Serie C No. 163, </w:t>
      </w:r>
      <w:proofErr w:type="spellStart"/>
      <w:r w:rsidRPr="00C51C8C">
        <w:rPr>
          <w:rStyle w:val="Strong"/>
          <w:b w:val="0"/>
          <w:color w:val="000000"/>
          <w:sz w:val="16"/>
          <w:szCs w:val="16"/>
          <w:shd w:val="clear" w:color="auto" w:fill="FFFFFF"/>
        </w:rPr>
        <w:t>párrs</w:t>
      </w:r>
      <w:proofErr w:type="spellEnd"/>
      <w:r w:rsidRPr="00C51C8C">
        <w:rPr>
          <w:rStyle w:val="Strong"/>
          <w:b w:val="0"/>
          <w:color w:val="000000"/>
          <w:sz w:val="16"/>
          <w:szCs w:val="16"/>
          <w:shd w:val="clear" w:color="auto" w:fill="FFFFFF"/>
        </w:rPr>
        <w:t xml:space="preserve">. 78, 100, 148, 155, 156, 157 y 158; </w:t>
      </w:r>
      <w:r w:rsidRPr="00C51C8C">
        <w:rPr>
          <w:rStyle w:val="Strong"/>
          <w:b w:val="0"/>
          <w:i/>
          <w:color w:val="000000"/>
          <w:sz w:val="16"/>
          <w:szCs w:val="16"/>
          <w:shd w:val="clear" w:color="auto" w:fill="FFFFFF"/>
        </w:rPr>
        <w:t>Caso de la Masacre de Pueblo Bello Vs. Colombia</w:t>
      </w:r>
      <w:r w:rsidRPr="00C51C8C">
        <w:rPr>
          <w:rStyle w:val="Strong"/>
          <w:b w:val="0"/>
          <w:color w:val="000000"/>
          <w:sz w:val="16"/>
          <w:szCs w:val="16"/>
          <w:shd w:val="clear" w:color="auto" w:fill="FFFFFF"/>
        </w:rPr>
        <w:t xml:space="preserve">. Sentencia de 31 de enero de 2006. Serie C No. 140, </w:t>
      </w:r>
      <w:proofErr w:type="spellStart"/>
      <w:r w:rsidRPr="00C51C8C">
        <w:rPr>
          <w:rStyle w:val="Strong"/>
          <w:b w:val="0"/>
          <w:color w:val="000000"/>
          <w:sz w:val="16"/>
          <w:szCs w:val="16"/>
          <w:shd w:val="clear" w:color="auto" w:fill="FFFFFF"/>
        </w:rPr>
        <w:t>párrs</w:t>
      </w:r>
      <w:proofErr w:type="spellEnd"/>
      <w:r w:rsidRPr="00C51C8C">
        <w:rPr>
          <w:rStyle w:val="Strong"/>
          <w:b w:val="0"/>
          <w:color w:val="000000"/>
          <w:sz w:val="16"/>
          <w:szCs w:val="16"/>
          <w:shd w:val="clear" w:color="auto" w:fill="FFFFFF"/>
        </w:rPr>
        <w:t xml:space="preserve">. 126 y 140, y </w:t>
      </w:r>
      <w:r w:rsidRPr="00C51C8C">
        <w:rPr>
          <w:rStyle w:val="Strong"/>
          <w:b w:val="0"/>
          <w:i/>
          <w:color w:val="000000"/>
          <w:sz w:val="16"/>
          <w:szCs w:val="16"/>
          <w:shd w:val="clear" w:color="auto" w:fill="FFFFFF"/>
        </w:rPr>
        <w:t xml:space="preserve">Caso de las Masacres de </w:t>
      </w:r>
      <w:proofErr w:type="spellStart"/>
      <w:r w:rsidRPr="00C51C8C">
        <w:rPr>
          <w:rStyle w:val="Strong"/>
          <w:b w:val="0"/>
          <w:i/>
          <w:color w:val="000000"/>
          <w:sz w:val="16"/>
          <w:szCs w:val="16"/>
          <w:shd w:val="clear" w:color="auto" w:fill="FFFFFF"/>
        </w:rPr>
        <w:t>Ituango</w:t>
      </w:r>
      <w:proofErr w:type="spellEnd"/>
      <w:r w:rsidRPr="00C51C8C">
        <w:rPr>
          <w:rStyle w:val="Strong"/>
          <w:b w:val="0"/>
          <w:i/>
          <w:color w:val="000000"/>
          <w:sz w:val="16"/>
          <w:szCs w:val="16"/>
          <w:shd w:val="clear" w:color="auto" w:fill="FFFFFF"/>
        </w:rPr>
        <w:t xml:space="preserve"> Vs. Colombia.</w:t>
      </w:r>
      <w:r w:rsidRPr="00C51C8C">
        <w:rPr>
          <w:rStyle w:val="Strong"/>
          <w:b w:val="0"/>
          <w:color w:val="000000"/>
          <w:sz w:val="16"/>
          <w:szCs w:val="16"/>
          <w:shd w:val="clear" w:color="auto" w:fill="FFFFFF"/>
        </w:rPr>
        <w:t xml:space="preserve"> Sentencia de 1 de julio de 2006. Serie C No. 148, </w:t>
      </w:r>
      <w:proofErr w:type="spellStart"/>
      <w:r w:rsidRPr="00C51C8C">
        <w:rPr>
          <w:rStyle w:val="Strong"/>
          <w:b w:val="0"/>
          <w:color w:val="000000"/>
          <w:sz w:val="16"/>
          <w:szCs w:val="16"/>
          <w:shd w:val="clear" w:color="auto" w:fill="FFFFFF"/>
        </w:rPr>
        <w:t>párrs</w:t>
      </w:r>
      <w:proofErr w:type="spellEnd"/>
      <w:r w:rsidRPr="00C51C8C">
        <w:rPr>
          <w:rStyle w:val="Strong"/>
          <w:b w:val="0"/>
          <w:color w:val="000000"/>
          <w:sz w:val="16"/>
          <w:szCs w:val="16"/>
          <w:shd w:val="clear" w:color="auto" w:fill="FFFFFF"/>
        </w:rPr>
        <w:t>.</w:t>
      </w:r>
      <w:r w:rsidRPr="00C51C8C">
        <w:rPr>
          <w:rStyle w:val="Strong"/>
          <w:color w:val="000000"/>
          <w:sz w:val="16"/>
          <w:szCs w:val="16"/>
          <w:shd w:val="clear" w:color="auto" w:fill="FFFFFF"/>
        </w:rPr>
        <w:t xml:space="preserve"> </w:t>
      </w:r>
      <w:r w:rsidRPr="00C51C8C">
        <w:rPr>
          <w:rFonts w:eastAsiaTheme="minorHAnsi" w:cs="Verdana"/>
          <w:sz w:val="16"/>
          <w:szCs w:val="16"/>
          <w:lang w:val="es-CR" w:eastAsia="en-US"/>
        </w:rPr>
        <w:t>125.1, 125.25 y 133.</w:t>
      </w:r>
    </w:p>
  </w:footnote>
  <w:footnote w:id="5">
    <w:p w:rsidR="00933483" w:rsidRPr="00813D8C" w:rsidRDefault="00933483" w:rsidP="00933483">
      <w:pPr>
        <w:pStyle w:val="FootnoteText"/>
      </w:pPr>
      <w:r w:rsidRPr="00145EE8">
        <w:rPr>
          <w:rStyle w:val="FootnoteReference"/>
          <w:sz w:val="16"/>
        </w:rPr>
        <w:footnoteRef/>
      </w:r>
      <w:r w:rsidRPr="00145EE8">
        <w:rPr>
          <w:sz w:val="16"/>
        </w:rPr>
        <w:t xml:space="preserve"> </w:t>
      </w:r>
      <w:r w:rsidR="00BB0E7F">
        <w:rPr>
          <w:sz w:val="16"/>
        </w:rPr>
        <w:tab/>
      </w:r>
      <w:r w:rsidRPr="00145EE8">
        <w:rPr>
          <w:i/>
          <w:sz w:val="16"/>
        </w:rPr>
        <w:t>Cfr. Caso Pacheco Teruel y otros Vs. Honduras.</w:t>
      </w:r>
      <w:r w:rsidRPr="00145EE8">
        <w:rPr>
          <w:sz w:val="16"/>
        </w:rPr>
        <w:t xml:space="preserve"> Resolución del Pr</w:t>
      </w:r>
      <w:r w:rsidR="00F51B95">
        <w:rPr>
          <w:sz w:val="16"/>
        </w:rPr>
        <w:t>esidente de 27 de enero de 2012.</w:t>
      </w:r>
      <w:r w:rsidRPr="00145EE8">
        <w:rPr>
          <w:sz w:val="16"/>
        </w:rPr>
        <w:t xml:space="preserve"> Considerando 9, y </w:t>
      </w:r>
      <w:r w:rsidRPr="00145EE8">
        <w:rPr>
          <w:rStyle w:val="Strong"/>
          <w:b w:val="0"/>
          <w:i/>
          <w:color w:val="000000"/>
          <w:sz w:val="16"/>
          <w:shd w:val="clear" w:color="auto" w:fill="FFFFFF"/>
        </w:rPr>
        <w:t>Caso Ramírez Escobar y otros Vs. Guatemala</w:t>
      </w:r>
      <w:r w:rsidR="00EF5E26">
        <w:rPr>
          <w:rStyle w:val="Strong"/>
          <w:b w:val="0"/>
          <w:i/>
          <w:color w:val="000000"/>
          <w:sz w:val="16"/>
          <w:shd w:val="clear" w:color="auto" w:fill="FFFFFF"/>
        </w:rPr>
        <w:t>, s</w:t>
      </w:r>
      <w:proofErr w:type="spellStart"/>
      <w:r w:rsidR="004F4ADF">
        <w:rPr>
          <w:rStyle w:val="Strong"/>
          <w:b w:val="0"/>
          <w:i/>
          <w:color w:val="000000"/>
          <w:sz w:val="16"/>
          <w:szCs w:val="16"/>
          <w:shd w:val="clear" w:color="auto" w:fill="FFFFFF"/>
          <w:lang w:val="es-CR"/>
        </w:rPr>
        <w:t>upra</w:t>
      </w:r>
      <w:proofErr w:type="spellEnd"/>
      <w:r w:rsidR="004F4ADF">
        <w:rPr>
          <w:rStyle w:val="Strong"/>
          <w:b w:val="0"/>
          <w:color w:val="000000"/>
          <w:sz w:val="16"/>
          <w:szCs w:val="16"/>
          <w:shd w:val="clear" w:color="auto" w:fill="FFFFFF"/>
          <w:lang w:val="es-CR"/>
        </w:rPr>
        <w:t>,</w:t>
      </w:r>
      <w:r w:rsidRPr="00145EE8">
        <w:rPr>
          <w:rStyle w:val="Strong"/>
          <w:b w:val="0"/>
          <w:color w:val="000000"/>
          <w:sz w:val="16"/>
          <w:shd w:val="clear" w:color="auto" w:fill="FFFFFF"/>
        </w:rPr>
        <w:t xml:space="preserve"> Considerando 19.</w:t>
      </w:r>
    </w:p>
  </w:footnote>
  <w:footnote w:id="6">
    <w:p w:rsidR="00367FA9" w:rsidRPr="004926CA" w:rsidRDefault="00367FA9" w:rsidP="008E6216">
      <w:pPr>
        <w:pStyle w:val="FootnoteText"/>
        <w:rPr>
          <w:sz w:val="16"/>
          <w:szCs w:val="16"/>
          <w:lang w:val="es-CR"/>
        </w:rPr>
      </w:pPr>
      <w:r w:rsidRPr="004926CA">
        <w:rPr>
          <w:rStyle w:val="FootnoteReference"/>
          <w:sz w:val="16"/>
          <w:szCs w:val="16"/>
        </w:rPr>
        <w:footnoteRef/>
      </w:r>
      <w:r w:rsidRPr="004926CA">
        <w:rPr>
          <w:sz w:val="16"/>
          <w:szCs w:val="16"/>
        </w:rPr>
        <w:t xml:space="preserve"> </w:t>
      </w:r>
      <w:r w:rsidR="00BB0E7F">
        <w:rPr>
          <w:sz w:val="16"/>
          <w:szCs w:val="16"/>
        </w:rPr>
        <w:tab/>
      </w:r>
      <w:r w:rsidRPr="004926CA">
        <w:rPr>
          <w:sz w:val="16"/>
          <w:szCs w:val="16"/>
        </w:rPr>
        <w:t>Dicha norma estipula lo siguiente: “[e]</w:t>
      </w:r>
      <w:proofErr w:type="spellStart"/>
      <w:r w:rsidRPr="004926CA">
        <w:rPr>
          <w:sz w:val="16"/>
          <w:szCs w:val="16"/>
        </w:rPr>
        <w:t>xcepcionalmente</w:t>
      </w:r>
      <w:proofErr w:type="spellEnd"/>
      <w:r w:rsidRPr="004926CA">
        <w:rPr>
          <w:sz w:val="16"/>
          <w:szCs w:val="16"/>
        </w:rPr>
        <w:t>, frente a solicitud fundada y oído el parecer de la contraparte, la Corte podrá aceptar la sustitución de un declarante siempre que se individualice al sustituto y se respete el objeto de la declaración, testimonio o peritaje originalmente ofrecido”.</w:t>
      </w:r>
    </w:p>
  </w:footnote>
  <w:footnote w:id="7">
    <w:p w:rsidR="00367FA9" w:rsidRPr="004926CA" w:rsidRDefault="00367FA9" w:rsidP="008E6216">
      <w:pPr>
        <w:pStyle w:val="FootnoteText"/>
        <w:rPr>
          <w:sz w:val="16"/>
          <w:szCs w:val="16"/>
          <w:lang w:val="es-CR"/>
        </w:rPr>
      </w:pPr>
      <w:r w:rsidRPr="004926CA">
        <w:rPr>
          <w:rStyle w:val="FootnoteReference"/>
          <w:sz w:val="16"/>
          <w:szCs w:val="16"/>
        </w:rPr>
        <w:footnoteRef/>
      </w:r>
      <w:r w:rsidRPr="004926CA">
        <w:rPr>
          <w:sz w:val="16"/>
          <w:szCs w:val="16"/>
        </w:rPr>
        <w:t xml:space="preserve"> </w:t>
      </w:r>
      <w:r w:rsidR="00BB0E7F">
        <w:rPr>
          <w:sz w:val="16"/>
          <w:szCs w:val="16"/>
        </w:rPr>
        <w:tab/>
      </w:r>
      <w:r w:rsidRPr="004926CA">
        <w:rPr>
          <w:i/>
          <w:sz w:val="16"/>
          <w:szCs w:val="16"/>
        </w:rPr>
        <w:t>Cfr.</w:t>
      </w:r>
      <w:r w:rsidR="002E6C97" w:rsidRPr="004926CA">
        <w:rPr>
          <w:i/>
          <w:sz w:val="16"/>
          <w:szCs w:val="16"/>
        </w:rPr>
        <w:t xml:space="preserve"> </w:t>
      </w:r>
      <w:r w:rsidR="00A25AF5" w:rsidRPr="004926CA">
        <w:rPr>
          <w:i/>
          <w:sz w:val="16"/>
          <w:szCs w:val="16"/>
        </w:rPr>
        <w:t xml:space="preserve">Caso </w:t>
      </w:r>
      <w:proofErr w:type="spellStart"/>
      <w:r w:rsidR="00A25AF5" w:rsidRPr="004926CA">
        <w:rPr>
          <w:i/>
          <w:sz w:val="16"/>
          <w:szCs w:val="16"/>
        </w:rPr>
        <w:t>Gelman</w:t>
      </w:r>
      <w:proofErr w:type="spellEnd"/>
      <w:r w:rsidR="00A25AF5" w:rsidRPr="004926CA">
        <w:rPr>
          <w:i/>
          <w:sz w:val="16"/>
          <w:szCs w:val="16"/>
        </w:rPr>
        <w:t xml:space="preserve"> Vs. Uruguay.</w:t>
      </w:r>
      <w:r w:rsidR="00A25AF5" w:rsidRPr="004926CA">
        <w:rPr>
          <w:sz w:val="16"/>
          <w:szCs w:val="16"/>
        </w:rPr>
        <w:t xml:space="preserve"> Resolución del Presidente de la Co</w:t>
      </w:r>
      <w:r w:rsidR="00A25AF5">
        <w:rPr>
          <w:sz w:val="16"/>
          <w:szCs w:val="16"/>
        </w:rPr>
        <w:t>rte de 10 de septiembre de 2010, Considerandos 8 y 10,</w:t>
      </w:r>
      <w:r w:rsidR="00A25AF5" w:rsidRPr="004926CA">
        <w:rPr>
          <w:sz w:val="16"/>
          <w:szCs w:val="16"/>
        </w:rPr>
        <w:t xml:space="preserve"> </w:t>
      </w:r>
      <w:r w:rsidR="00A25AF5">
        <w:rPr>
          <w:sz w:val="16"/>
          <w:szCs w:val="16"/>
        </w:rPr>
        <w:t xml:space="preserve">y </w:t>
      </w:r>
      <w:r w:rsidRPr="004926CA">
        <w:rPr>
          <w:rStyle w:val="Strong"/>
          <w:b w:val="0"/>
          <w:i/>
          <w:color w:val="000000"/>
          <w:sz w:val="16"/>
          <w:szCs w:val="16"/>
          <w:shd w:val="clear" w:color="auto" w:fill="FFFFFF"/>
        </w:rPr>
        <w:t>Caso Genoveva y otros (</w:t>
      </w:r>
      <w:r w:rsidR="00A254F9">
        <w:rPr>
          <w:rStyle w:val="Strong"/>
          <w:b w:val="0"/>
          <w:i/>
          <w:iCs/>
          <w:color w:val="000000"/>
          <w:sz w:val="16"/>
          <w:szCs w:val="16"/>
          <w:shd w:val="clear" w:color="auto" w:fill="FFFFFF"/>
        </w:rPr>
        <w:t>Favela Nova Brasi</w:t>
      </w:r>
      <w:r w:rsidRPr="004926CA">
        <w:rPr>
          <w:rStyle w:val="Strong"/>
          <w:b w:val="0"/>
          <w:i/>
          <w:iCs/>
          <w:color w:val="000000"/>
          <w:sz w:val="16"/>
          <w:szCs w:val="16"/>
          <w:shd w:val="clear" w:color="auto" w:fill="FFFFFF"/>
        </w:rPr>
        <w:t>lia</w:t>
      </w:r>
      <w:r w:rsidRPr="004926CA">
        <w:rPr>
          <w:rStyle w:val="Strong"/>
          <w:b w:val="0"/>
          <w:i/>
          <w:color w:val="000000"/>
          <w:sz w:val="16"/>
          <w:szCs w:val="16"/>
          <w:shd w:val="clear" w:color="auto" w:fill="FFFFFF"/>
        </w:rPr>
        <w:t>) Vs. Brasil.</w:t>
      </w:r>
      <w:r w:rsidRPr="004926CA">
        <w:rPr>
          <w:rStyle w:val="Strong"/>
          <w:b w:val="0"/>
          <w:color w:val="000000"/>
          <w:sz w:val="16"/>
          <w:szCs w:val="16"/>
          <w:shd w:val="clear" w:color="auto" w:fill="FFFFFF"/>
        </w:rPr>
        <w:t xml:space="preserve"> Convocatoria de audiencia. Resolución del Presidente en ejercicio de la Corte </w:t>
      </w:r>
      <w:r w:rsidR="002B2536">
        <w:rPr>
          <w:rStyle w:val="Strong"/>
          <w:b w:val="0"/>
          <w:color w:val="000000"/>
          <w:sz w:val="16"/>
          <w:szCs w:val="16"/>
          <w:shd w:val="clear" w:color="auto" w:fill="FFFFFF"/>
        </w:rPr>
        <w:t>de 4 de agosto de 2016</w:t>
      </w:r>
      <w:r w:rsidRPr="004926CA">
        <w:rPr>
          <w:sz w:val="16"/>
          <w:szCs w:val="16"/>
        </w:rPr>
        <w:t>.</w:t>
      </w:r>
    </w:p>
  </w:footnote>
  <w:footnote w:id="8">
    <w:p w:rsidR="0037650D" w:rsidRPr="00BB0E7F" w:rsidRDefault="0037650D" w:rsidP="0037650D">
      <w:pPr>
        <w:pStyle w:val="FootnoteText"/>
        <w:rPr>
          <w:bCs/>
          <w:color w:val="000000"/>
          <w:sz w:val="16"/>
          <w:shd w:val="clear" w:color="auto" w:fill="FFFFFF"/>
        </w:rPr>
      </w:pPr>
      <w:r w:rsidRPr="00A51B87">
        <w:rPr>
          <w:rStyle w:val="FootnoteReference"/>
          <w:sz w:val="16"/>
          <w:szCs w:val="16"/>
        </w:rPr>
        <w:footnoteRef/>
      </w:r>
      <w:r w:rsidR="00012FBB" w:rsidRPr="00A51B87">
        <w:rPr>
          <w:sz w:val="16"/>
          <w:szCs w:val="16"/>
        </w:rPr>
        <w:t xml:space="preserve"> </w:t>
      </w:r>
      <w:r w:rsidR="00BB0E7F">
        <w:rPr>
          <w:sz w:val="16"/>
          <w:szCs w:val="16"/>
        </w:rPr>
        <w:tab/>
      </w:r>
      <w:r w:rsidRPr="00A51B87">
        <w:rPr>
          <w:rStyle w:val="Strong"/>
          <w:b w:val="0"/>
          <w:i/>
          <w:color w:val="000000"/>
          <w:sz w:val="16"/>
          <w:szCs w:val="16"/>
          <w:shd w:val="clear" w:color="auto" w:fill="FFFFFF"/>
        </w:rPr>
        <w:t xml:space="preserve">Cfr. </w:t>
      </w:r>
      <w:r w:rsidR="00A51B87" w:rsidRPr="00A51B87">
        <w:rPr>
          <w:rStyle w:val="Strong"/>
          <w:b w:val="0"/>
          <w:i/>
          <w:color w:val="000000"/>
          <w:sz w:val="16"/>
          <w:szCs w:val="16"/>
          <w:shd w:val="clear" w:color="auto" w:fill="FFFFFF"/>
        </w:rPr>
        <w:t xml:space="preserve">Caso González y otras ("Campo Algodonero") Vs. México. </w:t>
      </w:r>
      <w:r w:rsidR="00A51B87" w:rsidRPr="00A51B87">
        <w:rPr>
          <w:rStyle w:val="Strong"/>
          <w:b w:val="0"/>
          <w:color w:val="000000"/>
          <w:sz w:val="16"/>
          <w:szCs w:val="16"/>
          <w:shd w:val="clear" w:color="auto" w:fill="FFFFFF"/>
        </w:rPr>
        <w:t>Convocatoria de audiencia. Resolución de la Presidenta de la Corte de 18 de marzo de 2009.</w:t>
      </w:r>
      <w:r w:rsidR="00A51B87" w:rsidRPr="00A51B87">
        <w:rPr>
          <w:rStyle w:val="Strong"/>
          <w:color w:val="000000"/>
          <w:sz w:val="16"/>
          <w:szCs w:val="16"/>
          <w:shd w:val="clear" w:color="auto" w:fill="FFFFFF"/>
        </w:rPr>
        <w:t xml:space="preserve"> </w:t>
      </w:r>
      <w:r w:rsidRPr="00A51B87">
        <w:rPr>
          <w:rStyle w:val="Strong"/>
          <w:b w:val="0"/>
          <w:color w:val="000000"/>
          <w:sz w:val="16"/>
          <w:szCs w:val="16"/>
          <w:shd w:val="clear" w:color="auto" w:fill="FFFFFF"/>
        </w:rPr>
        <w:t xml:space="preserve">Considerando </w:t>
      </w:r>
      <w:r w:rsidR="00F51B95" w:rsidRPr="00A51B87">
        <w:rPr>
          <w:rStyle w:val="Strong"/>
          <w:b w:val="0"/>
          <w:color w:val="000000"/>
          <w:sz w:val="16"/>
          <w:szCs w:val="16"/>
          <w:shd w:val="clear" w:color="auto" w:fill="FFFFFF"/>
        </w:rPr>
        <w:t>30</w:t>
      </w:r>
      <w:r w:rsidRPr="00A51B87">
        <w:rPr>
          <w:rStyle w:val="Strong"/>
          <w:b w:val="0"/>
          <w:color w:val="000000"/>
          <w:sz w:val="16"/>
          <w:szCs w:val="16"/>
          <w:shd w:val="clear" w:color="auto" w:fill="FFFFFF"/>
        </w:rPr>
        <w:t>,</w:t>
      </w:r>
      <w:r w:rsidRPr="00A51B87">
        <w:rPr>
          <w:rStyle w:val="Strong"/>
          <w:b w:val="0"/>
          <w:color w:val="000000"/>
          <w:sz w:val="16"/>
          <w:shd w:val="clear" w:color="auto" w:fill="FFFFFF"/>
        </w:rPr>
        <w:t xml:space="preserve"> y </w:t>
      </w:r>
      <w:r w:rsidR="00A30E8C" w:rsidRPr="00A51B87">
        <w:rPr>
          <w:rStyle w:val="Strong"/>
          <w:b w:val="0"/>
          <w:i/>
          <w:color w:val="000000"/>
          <w:sz w:val="16"/>
          <w:szCs w:val="16"/>
          <w:shd w:val="clear" w:color="auto" w:fill="FFFFFF"/>
        </w:rPr>
        <w:t xml:space="preserve">Caso </w:t>
      </w:r>
      <w:proofErr w:type="spellStart"/>
      <w:r w:rsidR="00A30E8C" w:rsidRPr="00A51B87">
        <w:rPr>
          <w:rStyle w:val="Strong"/>
          <w:b w:val="0"/>
          <w:i/>
          <w:color w:val="000000"/>
          <w:sz w:val="16"/>
          <w:szCs w:val="16"/>
          <w:shd w:val="clear" w:color="auto" w:fill="FFFFFF"/>
        </w:rPr>
        <w:t>Yarce</w:t>
      </w:r>
      <w:proofErr w:type="spellEnd"/>
      <w:r w:rsidR="00A30E8C" w:rsidRPr="00A51B87">
        <w:rPr>
          <w:rStyle w:val="Strong"/>
          <w:b w:val="0"/>
          <w:i/>
          <w:color w:val="000000"/>
          <w:sz w:val="16"/>
          <w:szCs w:val="16"/>
          <w:shd w:val="clear" w:color="auto" w:fill="FFFFFF"/>
        </w:rPr>
        <w:t xml:space="preserve"> y otras Vs. Colombia</w:t>
      </w:r>
      <w:r w:rsidR="00A30E8C" w:rsidRPr="00A51B87">
        <w:rPr>
          <w:rStyle w:val="Strong"/>
          <w:b w:val="0"/>
          <w:color w:val="000000"/>
          <w:sz w:val="16"/>
          <w:szCs w:val="16"/>
          <w:shd w:val="clear" w:color="auto" w:fill="FFFFFF"/>
        </w:rPr>
        <w:t>. Convocatoria de audiencia. Resolución del Presidente en ejercicio de la Corte de 26 de mayo de 2015. Considerando 45.</w:t>
      </w:r>
    </w:p>
  </w:footnote>
  <w:footnote w:id="9">
    <w:p w:rsidR="00BB0E7F" w:rsidRPr="00BB0E7F" w:rsidRDefault="00BB0E7F">
      <w:pPr>
        <w:pStyle w:val="FootnoteText"/>
        <w:rPr>
          <w:sz w:val="16"/>
          <w:szCs w:val="16"/>
          <w:lang w:val="es-CR"/>
        </w:rPr>
      </w:pPr>
      <w:r w:rsidRPr="00BB0E7F">
        <w:rPr>
          <w:rStyle w:val="FootnoteReference"/>
          <w:sz w:val="16"/>
          <w:szCs w:val="16"/>
        </w:rPr>
        <w:footnoteRef/>
      </w:r>
      <w:r w:rsidRPr="00BB0E7F">
        <w:rPr>
          <w:sz w:val="16"/>
          <w:szCs w:val="16"/>
        </w:rPr>
        <w:t xml:space="preserve"> </w:t>
      </w:r>
      <w:r>
        <w:rPr>
          <w:sz w:val="16"/>
          <w:szCs w:val="16"/>
        </w:rPr>
        <w:tab/>
      </w:r>
      <w:r w:rsidR="00F26961">
        <w:rPr>
          <w:sz w:val="16"/>
          <w:szCs w:val="16"/>
        </w:rPr>
        <w:t>E</w:t>
      </w:r>
      <w:r w:rsidR="00641C57">
        <w:rPr>
          <w:sz w:val="16"/>
          <w:szCs w:val="16"/>
        </w:rPr>
        <w:t xml:space="preserve">sta Presidencia </w:t>
      </w:r>
      <w:r>
        <w:rPr>
          <w:sz w:val="16"/>
          <w:szCs w:val="16"/>
        </w:rPr>
        <w:t>reitera lo señalado en la cita pie de página 4.</w:t>
      </w:r>
    </w:p>
  </w:footnote>
  <w:footnote w:id="10">
    <w:p w:rsidR="00012FBB" w:rsidRPr="00A84021" w:rsidRDefault="00012FBB" w:rsidP="00012FBB">
      <w:pPr>
        <w:pStyle w:val="FootnoteText"/>
        <w:rPr>
          <w:sz w:val="16"/>
          <w:szCs w:val="16"/>
        </w:rPr>
      </w:pPr>
      <w:r w:rsidRPr="00A84021">
        <w:rPr>
          <w:rStyle w:val="FootnoteReference"/>
          <w:sz w:val="16"/>
          <w:szCs w:val="16"/>
        </w:rPr>
        <w:footnoteRef/>
      </w:r>
      <w:r w:rsidRPr="00A84021">
        <w:rPr>
          <w:sz w:val="16"/>
          <w:szCs w:val="16"/>
        </w:rPr>
        <w:t xml:space="preserve"> </w:t>
      </w:r>
      <w:r w:rsidR="00BB0E7F">
        <w:rPr>
          <w:sz w:val="16"/>
          <w:szCs w:val="16"/>
        </w:rPr>
        <w:tab/>
      </w:r>
      <w:r w:rsidR="00A84021" w:rsidRPr="00A84021">
        <w:rPr>
          <w:i/>
          <w:sz w:val="16"/>
          <w:szCs w:val="16"/>
        </w:rPr>
        <w:t xml:space="preserve">Cfr. </w:t>
      </w:r>
      <w:r w:rsidR="00A84021" w:rsidRPr="00A84021">
        <w:rPr>
          <w:rFonts w:eastAsia="Verdana,Italic" w:cs="Verdana"/>
          <w:bCs/>
          <w:i/>
          <w:sz w:val="16"/>
          <w:szCs w:val="16"/>
          <w:lang w:val="es-CR" w:eastAsia="en-US"/>
        </w:rPr>
        <w:t>Caso Cepeda Vargas Vs. Colombia</w:t>
      </w:r>
      <w:r w:rsidR="00A84021" w:rsidRPr="00A84021">
        <w:rPr>
          <w:rFonts w:eastAsia="Verdana,Italic" w:cs="Verdana"/>
          <w:bCs/>
          <w:sz w:val="16"/>
          <w:szCs w:val="16"/>
          <w:lang w:val="es-CR" w:eastAsia="en-US"/>
        </w:rPr>
        <w:t>. Convocatoria de audiencia. Resolución de la Presidenta de la Corte de 22 de diciembre de 2009.</w:t>
      </w:r>
      <w:r w:rsidR="00A84021" w:rsidRPr="00A84021">
        <w:rPr>
          <w:sz w:val="16"/>
          <w:szCs w:val="16"/>
        </w:rPr>
        <w:t xml:space="preserve"> Considerando 14 y </w:t>
      </w:r>
      <w:r w:rsidR="00A84021" w:rsidRPr="00EF5E26">
        <w:rPr>
          <w:rStyle w:val="Strong"/>
          <w:b w:val="0"/>
          <w:i/>
          <w:color w:val="000000"/>
          <w:sz w:val="16"/>
          <w:szCs w:val="16"/>
          <w:shd w:val="clear" w:color="auto" w:fill="FFFFFF"/>
        </w:rPr>
        <w:t xml:space="preserve">Caso </w:t>
      </w:r>
      <w:proofErr w:type="spellStart"/>
      <w:r w:rsidR="00A84021" w:rsidRPr="00EF5E26">
        <w:rPr>
          <w:rStyle w:val="Strong"/>
          <w:b w:val="0"/>
          <w:i/>
          <w:color w:val="000000"/>
          <w:sz w:val="16"/>
          <w:szCs w:val="16"/>
          <w:shd w:val="clear" w:color="auto" w:fill="FFFFFF"/>
        </w:rPr>
        <w:t>Yarce</w:t>
      </w:r>
      <w:proofErr w:type="spellEnd"/>
      <w:r w:rsidR="00A84021" w:rsidRPr="00EF5E26">
        <w:rPr>
          <w:rStyle w:val="Strong"/>
          <w:b w:val="0"/>
          <w:i/>
          <w:color w:val="000000"/>
          <w:sz w:val="16"/>
          <w:szCs w:val="16"/>
          <w:shd w:val="clear" w:color="auto" w:fill="FFFFFF"/>
        </w:rPr>
        <w:t xml:space="preserve"> y otras Vs. Colombia</w:t>
      </w:r>
      <w:r w:rsidR="00A30E8C">
        <w:rPr>
          <w:rStyle w:val="Strong"/>
          <w:b w:val="0"/>
          <w:color w:val="000000"/>
          <w:sz w:val="16"/>
          <w:szCs w:val="16"/>
          <w:shd w:val="clear" w:color="auto" w:fill="FFFFFF"/>
        </w:rPr>
        <w:t xml:space="preserve">, </w:t>
      </w:r>
      <w:r w:rsidR="00A30E8C" w:rsidRPr="00A30E8C">
        <w:rPr>
          <w:rStyle w:val="Strong"/>
          <w:b w:val="0"/>
          <w:i/>
          <w:color w:val="000000"/>
          <w:sz w:val="16"/>
          <w:szCs w:val="16"/>
          <w:shd w:val="clear" w:color="auto" w:fill="FFFFFF"/>
        </w:rPr>
        <w:t>supra,</w:t>
      </w:r>
      <w:r w:rsidR="00A30E8C">
        <w:rPr>
          <w:rStyle w:val="Strong"/>
          <w:b w:val="0"/>
          <w:color w:val="000000"/>
          <w:sz w:val="16"/>
          <w:szCs w:val="16"/>
          <w:shd w:val="clear" w:color="auto" w:fill="FFFFFF"/>
        </w:rPr>
        <w:t xml:space="preserve"> </w:t>
      </w:r>
      <w:r w:rsidR="00A84021" w:rsidRPr="00A84021">
        <w:rPr>
          <w:rStyle w:val="Strong"/>
          <w:b w:val="0"/>
          <w:color w:val="000000"/>
          <w:sz w:val="16"/>
          <w:szCs w:val="16"/>
          <w:shd w:val="clear" w:color="auto" w:fill="FFFFFF"/>
        </w:rPr>
        <w:t>Considerando 45.</w:t>
      </w:r>
    </w:p>
  </w:footnote>
  <w:footnote w:id="11">
    <w:p w:rsidR="00012FBB" w:rsidRPr="005A456D" w:rsidRDefault="00012FBB" w:rsidP="00012FBB">
      <w:pPr>
        <w:pStyle w:val="FootnoteText"/>
      </w:pPr>
      <w:r w:rsidRPr="00A84021">
        <w:rPr>
          <w:rStyle w:val="FootnoteReference"/>
          <w:sz w:val="16"/>
          <w:szCs w:val="16"/>
        </w:rPr>
        <w:footnoteRef/>
      </w:r>
      <w:r w:rsidRPr="00A84021">
        <w:rPr>
          <w:sz w:val="16"/>
          <w:szCs w:val="16"/>
        </w:rPr>
        <w:t xml:space="preserve"> </w:t>
      </w:r>
      <w:r w:rsidR="00BB0E7F">
        <w:rPr>
          <w:sz w:val="16"/>
          <w:szCs w:val="16"/>
        </w:rPr>
        <w:tab/>
      </w:r>
      <w:r w:rsidRPr="00A84021">
        <w:rPr>
          <w:i/>
          <w:sz w:val="16"/>
          <w:szCs w:val="16"/>
        </w:rPr>
        <w:t xml:space="preserve">Cfr. </w:t>
      </w:r>
      <w:r w:rsidR="00F51B95">
        <w:rPr>
          <w:rFonts w:eastAsia="Verdana,Italic" w:cs="Verdana"/>
          <w:bCs/>
          <w:i/>
          <w:sz w:val="16"/>
          <w:szCs w:val="16"/>
          <w:lang w:val="es-CR" w:eastAsia="en-US"/>
        </w:rPr>
        <w:t>Caso Cepeda Vargas Vs. Colombia, supra,</w:t>
      </w:r>
      <w:r w:rsidRPr="00A84021">
        <w:rPr>
          <w:sz w:val="16"/>
          <w:szCs w:val="16"/>
        </w:rPr>
        <w:t xml:space="preserve"> Considerando </w:t>
      </w:r>
      <w:r w:rsidR="00A84021" w:rsidRPr="00A84021">
        <w:rPr>
          <w:sz w:val="16"/>
          <w:szCs w:val="16"/>
        </w:rPr>
        <w:t>27</w:t>
      </w:r>
      <w:r w:rsidRPr="00A84021">
        <w:rPr>
          <w:sz w:val="16"/>
          <w:szCs w:val="16"/>
        </w:rPr>
        <w:t>,</w:t>
      </w:r>
      <w:r w:rsidRPr="00A84021">
        <w:rPr>
          <w:i/>
          <w:sz w:val="16"/>
          <w:szCs w:val="16"/>
        </w:rPr>
        <w:t xml:space="preserve"> </w:t>
      </w:r>
      <w:r w:rsidRPr="00A84021">
        <w:rPr>
          <w:sz w:val="16"/>
          <w:szCs w:val="16"/>
        </w:rPr>
        <w:t>y</w:t>
      </w:r>
      <w:r w:rsidRPr="00A84021">
        <w:rPr>
          <w:i/>
          <w:sz w:val="16"/>
          <w:szCs w:val="16"/>
        </w:rPr>
        <w:t xml:space="preserve"> </w:t>
      </w:r>
      <w:r w:rsidR="00EF5E26" w:rsidRPr="00EF5E26">
        <w:rPr>
          <w:rStyle w:val="Strong"/>
          <w:b w:val="0"/>
          <w:i/>
          <w:color w:val="000000"/>
          <w:sz w:val="16"/>
          <w:szCs w:val="16"/>
          <w:shd w:val="clear" w:color="auto" w:fill="FFFFFF"/>
        </w:rPr>
        <w:t xml:space="preserve">Caso </w:t>
      </w:r>
      <w:proofErr w:type="spellStart"/>
      <w:r w:rsidR="00EF5E26" w:rsidRPr="00EF5E26">
        <w:rPr>
          <w:rStyle w:val="Strong"/>
          <w:b w:val="0"/>
          <w:i/>
          <w:color w:val="000000"/>
          <w:sz w:val="16"/>
          <w:szCs w:val="16"/>
          <w:shd w:val="clear" w:color="auto" w:fill="FFFFFF"/>
        </w:rPr>
        <w:t>Yarce</w:t>
      </w:r>
      <w:proofErr w:type="spellEnd"/>
      <w:r w:rsidR="00EF5E26" w:rsidRPr="00EF5E26">
        <w:rPr>
          <w:rStyle w:val="Strong"/>
          <w:b w:val="0"/>
          <w:i/>
          <w:color w:val="000000"/>
          <w:sz w:val="16"/>
          <w:szCs w:val="16"/>
          <w:shd w:val="clear" w:color="auto" w:fill="FFFFFF"/>
        </w:rPr>
        <w:t xml:space="preserve"> y otras Vs. Colombia</w:t>
      </w:r>
      <w:r w:rsidR="00EF5E26">
        <w:rPr>
          <w:rStyle w:val="Strong"/>
          <w:b w:val="0"/>
          <w:color w:val="000000"/>
          <w:sz w:val="16"/>
          <w:szCs w:val="16"/>
          <w:shd w:val="clear" w:color="auto" w:fill="FFFFFF"/>
        </w:rPr>
        <w:t>,</w:t>
      </w:r>
      <w:r w:rsidR="00A84021" w:rsidRPr="00A84021">
        <w:rPr>
          <w:rStyle w:val="Strong"/>
          <w:b w:val="0"/>
          <w:color w:val="000000"/>
          <w:sz w:val="16"/>
          <w:szCs w:val="16"/>
          <w:shd w:val="clear" w:color="auto" w:fill="FFFFFF"/>
        </w:rPr>
        <w:t xml:space="preserve"> </w:t>
      </w:r>
      <w:r w:rsidR="00EF5E26">
        <w:rPr>
          <w:rFonts w:eastAsia="Verdana,Italic" w:cs="Verdana"/>
          <w:bCs/>
          <w:i/>
          <w:sz w:val="16"/>
          <w:szCs w:val="16"/>
          <w:lang w:val="es-CR" w:eastAsia="en-US"/>
        </w:rPr>
        <w:t>supra,</w:t>
      </w:r>
      <w:r w:rsidR="00EF5E26">
        <w:rPr>
          <w:rStyle w:val="Strong"/>
          <w:b w:val="0"/>
          <w:color w:val="000000"/>
          <w:sz w:val="16"/>
          <w:szCs w:val="16"/>
          <w:shd w:val="clear" w:color="auto" w:fill="FFFFFF"/>
        </w:rPr>
        <w:t xml:space="preserve"> </w:t>
      </w:r>
      <w:r w:rsidR="00A84021" w:rsidRPr="00A84021">
        <w:rPr>
          <w:rStyle w:val="Strong"/>
          <w:b w:val="0"/>
          <w:color w:val="000000"/>
          <w:sz w:val="16"/>
          <w:szCs w:val="16"/>
          <w:shd w:val="clear" w:color="auto" w:fill="FFFFFF"/>
        </w:rPr>
        <w:t>Considerando 38.</w:t>
      </w:r>
    </w:p>
  </w:footnote>
  <w:footnote w:id="12">
    <w:p w:rsidR="002E6C97" w:rsidRPr="004926CA" w:rsidRDefault="002E6C97" w:rsidP="002E6C97">
      <w:pPr>
        <w:pStyle w:val="FootnoteText"/>
        <w:rPr>
          <w:sz w:val="16"/>
          <w:szCs w:val="16"/>
          <w:lang w:val="es-CR"/>
        </w:rPr>
      </w:pPr>
      <w:r w:rsidRPr="004926CA">
        <w:rPr>
          <w:rStyle w:val="FootnoteReference"/>
          <w:sz w:val="16"/>
          <w:szCs w:val="16"/>
        </w:rPr>
        <w:footnoteRef/>
      </w:r>
      <w:r w:rsidRPr="004926CA">
        <w:rPr>
          <w:sz w:val="16"/>
          <w:szCs w:val="16"/>
          <w:lang w:val="es-CR"/>
        </w:rPr>
        <w:t xml:space="preserve"> </w:t>
      </w:r>
      <w:r w:rsidR="00BB0E7F">
        <w:rPr>
          <w:sz w:val="16"/>
          <w:szCs w:val="16"/>
          <w:lang w:val="es-CR"/>
        </w:rPr>
        <w:tab/>
      </w:r>
      <w:r w:rsidR="00F22386">
        <w:rPr>
          <w:i/>
          <w:sz w:val="16"/>
          <w:szCs w:val="16"/>
        </w:rPr>
        <w:t>Cfr.</w:t>
      </w:r>
      <w:r w:rsidRPr="004926CA">
        <w:rPr>
          <w:i/>
          <w:sz w:val="16"/>
          <w:szCs w:val="16"/>
        </w:rPr>
        <w:t xml:space="preserve"> </w:t>
      </w:r>
      <w:r w:rsidRPr="004926CA">
        <w:rPr>
          <w:i/>
          <w:sz w:val="16"/>
          <w:szCs w:val="16"/>
          <w:lang w:val="es-CR"/>
        </w:rPr>
        <w:t>Caso Contreras y otros Vs. El Salvador</w:t>
      </w:r>
      <w:r w:rsidRPr="004926CA">
        <w:rPr>
          <w:sz w:val="16"/>
          <w:szCs w:val="16"/>
          <w:lang w:val="es-CR"/>
        </w:rPr>
        <w:t xml:space="preserve">. Resolución del Presidente de la </w:t>
      </w:r>
      <w:r w:rsidR="00A84021">
        <w:rPr>
          <w:sz w:val="16"/>
          <w:szCs w:val="16"/>
          <w:lang w:val="es-CR"/>
        </w:rPr>
        <w:t xml:space="preserve">Corte </w:t>
      </w:r>
      <w:r w:rsidR="002B2536">
        <w:rPr>
          <w:sz w:val="16"/>
          <w:szCs w:val="16"/>
          <w:lang w:val="es-CR"/>
        </w:rPr>
        <w:t>de 14 de abril de 2011</w:t>
      </w:r>
      <w:r w:rsidR="00A84021">
        <w:rPr>
          <w:sz w:val="16"/>
          <w:szCs w:val="16"/>
          <w:lang w:val="es-CR"/>
        </w:rPr>
        <w:t>.</w:t>
      </w:r>
      <w:r w:rsidRPr="004926CA">
        <w:rPr>
          <w:sz w:val="16"/>
          <w:szCs w:val="16"/>
          <w:lang w:val="es-CR"/>
        </w:rPr>
        <w:t xml:space="preserve"> Considerando 25, y</w:t>
      </w:r>
      <w:r w:rsidRPr="004926CA">
        <w:rPr>
          <w:b/>
          <w:sz w:val="16"/>
          <w:szCs w:val="16"/>
          <w:lang w:val="es-CR"/>
        </w:rPr>
        <w:t xml:space="preserve"> </w:t>
      </w:r>
      <w:r w:rsidRPr="004926CA">
        <w:rPr>
          <w:rStyle w:val="Strong"/>
          <w:b w:val="0"/>
          <w:i/>
          <w:color w:val="000000"/>
          <w:sz w:val="16"/>
          <w:szCs w:val="16"/>
          <w:shd w:val="clear" w:color="auto" w:fill="FFFFFF"/>
          <w:lang w:val="es-CR"/>
        </w:rPr>
        <w:t xml:space="preserve">Caso </w:t>
      </w:r>
      <w:proofErr w:type="spellStart"/>
      <w:r w:rsidRPr="004926CA">
        <w:rPr>
          <w:rStyle w:val="Strong"/>
          <w:b w:val="0"/>
          <w:i/>
          <w:color w:val="000000"/>
          <w:sz w:val="16"/>
          <w:szCs w:val="16"/>
          <w:shd w:val="clear" w:color="auto" w:fill="FFFFFF"/>
          <w:lang w:val="es-CR"/>
        </w:rPr>
        <w:t>Herzog</w:t>
      </w:r>
      <w:proofErr w:type="spellEnd"/>
      <w:r w:rsidRPr="004926CA">
        <w:rPr>
          <w:rStyle w:val="Strong"/>
          <w:b w:val="0"/>
          <w:i/>
          <w:color w:val="000000"/>
          <w:sz w:val="16"/>
          <w:szCs w:val="16"/>
          <w:shd w:val="clear" w:color="auto" w:fill="FFFFFF"/>
          <w:lang w:val="es-CR"/>
        </w:rPr>
        <w:t xml:space="preserve"> y otros Vs. Brasil</w:t>
      </w:r>
      <w:r w:rsidRPr="004926CA">
        <w:rPr>
          <w:rStyle w:val="Strong"/>
          <w:b w:val="0"/>
          <w:color w:val="000000"/>
          <w:sz w:val="16"/>
          <w:szCs w:val="16"/>
          <w:shd w:val="clear" w:color="auto" w:fill="FFFFFF"/>
          <w:lang w:val="es-CR"/>
        </w:rPr>
        <w:t>. Convocatoria de audiencia. Resolución del Presidente en ejercicio de la Corte de 7 de abril de 2017, Considerando 13.</w:t>
      </w:r>
    </w:p>
  </w:footnote>
  <w:footnote w:id="13">
    <w:p w:rsidR="00367FA9" w:rsidRPr="004926CA" w:rsidRDefault="00367FA9" w:rsidP="00033B2E">
      <w:pPr>
        <w:autoSpaceDE w:val="0"/>
        <w:autoSpaceDN w:val="0"/>
        <w:adjustRightInd w:val="0"/>
        <w:spacing w:after="0"/>
        <w:jc w:val="left"/>
        <w:rPr>
          <w:rFonts w:eastAsia="Verdana,Italic" w:cs="Verdana,Italic"/>
          <w:i/>
          <w:iCs/>
          <w:sz w:val="16"/>
          <w:szCs w:val="16"/>
          <w:lang w:val="es-CR" w:eastAsia="en-US"/>
        </w:rPr>
      </w:pPr>
      <w:r w:rsidRPr="004926CA">
        <w:rPr>
          <w:rStyle w:val="FootnoteReference"/>
          <w:sz w:val="16"/>
          <w:szCs w:val="16"/>
        </w:rPr>
        <w:footnoteRef/>
      </w:r>
      <w:r w:rsidRPr="004926CA">
        <w:rPr>
          <w:sz w:val="16"/>
          <w:szCs w:val="16"/>
        </w:rPr>
        <w:t xml:space="preserve"> </w:t>
      </w:r>
      <w:r w:rsidR="00BB0E7F">
        <w:rPr>
          <w:sz w:val="16"/>
          <w:szCs w:val="16"/>
        </w:rPr>
        <w:tab/>
      </w:r>
      <w:r w:rsidRPr="004926CA">
        <w:rPr>
          <w:rFonts w:eastAsia="Verdana,Italic" w:cs="Verdana,Italic"/>
          <w:i/>
          <w:iCs/>
          <w:sz w:val="16"/>
          <w:szCs w:val="16"/>
          <w:lang w:val="es-CR" w:eastAsia="en-US"/>
        </w:rPr>
        <w:t xml:space="preserve">Caso de la “Panel Blanca” (Paniagua Morales y otros) Vs. Guatemala. Reparaciones y Costas. </w:t>
      </w:r>
      <w:r w:rsidRPr="004926CA">
        <w:rPr>
          <w:rFonts w:eastAsia="Verdana,Italic" w:cs="Verdana"/>
          <w:sz w:val="16"/>
          <w:szCs w:val="16"/>
          <w:lang w:val="es-CR" w:eastAsia="en-US"/>
        </w:rPr>
        <w:t>Sentencia de 25 de mayo de 2001. Serie C No. 76, párr. 51</w:t>
      </w:r>
      <w:r w:rsidR="002B2536">
        <w:rPr>
          <w:rFonts w:eastAsia="Verdana,Italic" w:cs="Verdana"/>
          <w:sz w:val="16"/>
          <w:szCs w:val="16"/>
          <w:lang w:val="es-CR" w:eastAsia="en-US"/>
        </w:rPr>
        <w:t>.</w:t>
      </w:r>
    </w:p>
  </w:footnote>
  <w:footnote w:id="14">
    <w:p w:rsidR="00367FA9" w:rsidRPr="004926CA" w:rsidRDefault="00367FA9" w:rsidP="00033B2E">
      <w:pPr>
        <w:autoSpaceDE w:val="0"/>
        <w:autoSpaceDN w:val="0"/>
        <w:adjustRightInd w:val="0"/>
        <w:spacing w:after="0"/>
        <w:rPr>
          <w:rFonts w:eastAsia="Verdana,Italic" w:cs="Verdana,Italic"/>
          <w:i/>
          <w:iCs/>
          <w:sz w:val="16"/>
          <w:szCs w:val="16"/>
          <w:lang w:val="es-CR" w:eastAsia="en-US"/>
        </w:rPr>
      </w:pPr>
      <w:r w:rsidRPr="004926CA">
        <w:rPr>
          <w:rStyle w:val="FootnoteReference"/>
          <w:sz w:val="16"/>
          <w:szCs w:val="16"/>
        </w:rPr>
        <w:footnoteRef/>
      </w:r>
      <w:r w:rsidRPr="004926CA">
        <w:rPr>
          <w:sz w:val="16"/>
          <w:szCs w:val="16"/>
        </w:rPr>
        <w:t xml:space="preserve"> </w:t>
      </w:r>
      <w:r w:rsidR="00BB0E7F">
        <w:rPr>
          <w:sz w:val="16"/>
          <w:szCs w:val="16"/>
        </w:rPr>
        <w:tab/>
      </w:r>
      <w:r w:rsidR="00A14EA9" w:rsidRPr="00A14EA9">
        <w:rPr>
          <w:rFonts w:eastAsia="Verdana,Italic" w:cs="Verdana"/>
          <w:bCs/>
          <w:i/>
          <w:sz w:val="16"/>
          <w:szCs w:val="16"/>
          <w:lang w:val="es-CR" w:eastAsia="en-US"/>
        </w:rPr>
        <w:t>Caso Cepeda Vargas Vs. Colombia</w:t>
      </w:r>
      <w:r w:rsidR="00EF5E26">
        <w:rPr>
          <w:rFonts w:eastAsia="Verdana,Italic" w:cs="Verdana"/>
          <w:bCs/>
          <w:sz w:val="16"/>
          <w:szCs w:val="16"/>
          <w:lang w:val="es-CR" w:eastAsia="en-US"/>
        </w:rPr>
        <w:t>,</w:t>
      </w:r>
      <w:r w:rsidR="00A14EA9" w:rsidRPr="00A14EA9">
        <w:rPr>
          <w:rFonts w:eastAsia="Verdana,Italic" w:cs="Verdana"/>
          <w:bCs/>
          <w:sz w:val="16"/>
          <w:szCs w:val="16"/>
          <w:lang w:val="es-CR" w:eastAsia="en-US"/>
        </w:rPr>
        <w:t xml:space="preserve"> </w:t>
      </w:r>
      <w:r w:rsidR="00EF5E26">
        <w:rPr>
          <w:rFonts w:eastAsia="Verdana,Italic" w:cs="Verdana"/>
          <w:bCs/>
          <w:i/>
          <w:sz w:val="16"/>
          <w:szCs w:val="16"/>
          <w:lang w:val="es-CR" w:eastAsia="en-US"/>
        </w:rPr>
        <w:t>supra,</w:t>
      </w:r>
      <w:r w:rsidR="00A14EA9" w:rsidRPr="00A14EA9">
        <w:rPr>
          <w:rFonts w:eastAsia="Verdana,Italic" w:cs="Verdana"/>
          <w:bCs/>
          <w:sz w:val="16"/>
          <w:szCs w:val="16"/>
          <w:lang w:val="es-CR" w:eastAsia="en-US"/>
        </w:rPr>
        <w:t xml:space="preserve"> Considerando 14, y </w:t>
      </w:r>
      <w:r w:rsidR="00A14EA9" w:rsidRPr="00A14EA9">
        <w:rPr>
          <w:rFonts w:eastAsia="Verdana,Italic" w:cs="Verdana"/>
          <w:bCs/>
          <w:i/>
          <w:sz w:val="16"/>
          <w:szCs w:val="16"/>
          <w:lang w:val="es-CR" w:eastAsia="en-US"/>
        </w:rPr>
        <w:t>Caso Lagos del Campo Vs. Perú</w:t>
      </w:r>
      <w:r w:rsidR="00A14EA9" w:rsidRPr="00A14EA9">
        <w:rPr>
          <w:rFonts w:eastAsia="Verdana,Italic" w:cs="Verdana"/>
          <w:bCs/>
          <w:sz w:val="16"/>
          <w:szCs w:val="16"/>
          <w:lang w:val="es-CR" w:eastAsia="en-US"/>
        </w:rPr>
        <w:t>. Convocatoria de audiencia. Resolución del Presidente de la Corte de 21 de noviembre de 2016, Considerando 15</w:t>
      </w:r>
      <w:r w:rsidRPr="00A14EA9">
        <w:rPr>
          <w:rFonts w:eastAsia="Verdana,Italic" w:cs="Verdana"/>
          <w:sz w:val="16"/>
          <w:szCs w:val="16"/>
          <w:lang w:val="es-CR"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28476"/>
      <w:docPartObj>
        <w:docPartGallery w:val="Page Numbers (Top of Page)"/>
        <w:docPartUnique/>
      </w:docPartObj>
    </w:sdtPr>
    <w:sdtEndPr>
      <w:rPr>
        <w:noProof/>
      </w:rPr>
    </w:sdtEndPr>
    <w:sdtContent>
      <w:p w:rsidR="00367FA9" w:rsidRDefault="00367FA9">
        <w:pPr>
          <w:pStyle w:val="Header"/>
          <w:jc w:val="center"/>
        </w:pPr>
        <w:r>
          <w:fldChar w:fldCharType="begin"/>
        </w:r>
        <w:r>
          <w:instrText xml:space="preserve"> PAGE   \* MERGEFORMAT </w:instrText>
        </w:r>
        <w:r>
          <w:fldChar w:fldCharType="separate"/>
        </w:r>
        <w:r w:rsidR="009C1A31">
          <w:rPr>
            <w:noProof/>
          </w:rPr>
          <w:t>14</w:t>
        </w:r>
        <w:r>
          <w:rPr>
            <w:noProof/>
          </w:rPr>
          <w:fldChar w:fldCharType="end"/>
        </w:r>
      </w:p>
    </w:sdtContent>
  </w:sdt>
  <w:p w:rsidR="00367FA9" w:rsidRDefault="00367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4D54"/>
    <w:multiLevelType w:val="hybridMultilevel"/>
    <w:tmpl w:val="0F92C560"/>
    <w:lvl w:ilvl="0" w:tplc="7CB2457E">
      <w:start w:val="1"/>
      <w:numFmt w:val="decimal"/>
      <w:lvlText w:val="%1)"/>
      <w:lvlJc w:val="left"/>
      <w:pPr>
        <w:ind w:left="720" w:hanging="360"/>
      </w:pPr>
      <w:rPr>
        <w:rFonts w:ascii="Verdana" w:eastAsia="Calibri" w:hAnsi="Verdana"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30094"/>
    <w:multiLevelType w:val="hybridMultilevel"/>
    <w:tmpl w:val="A6E8A0D4"/>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48E5D86"/>
    <w:multiLevelType w:val="hybridMultilevel"/>
    <w:tmpl w:val="5EB0161E"/>
    <w:lvl w:ilvl="0" w:tplc="1BA02A08">
      <w:start w:val="1"/>
      <w:numFmt w:val="decimal"/>
      <w:lvlText w:val="%1)"/>
      <w:lvlJc w:val="left"/>
      <w:pPr>
        <w:ind w:left="720" w:hanging="360"/>
      </w:pPr>
      <w:rPr>
        <w:rFonts w:ascii="Verdana" w:eastAsia="Calibri" w:hAnsi="Verdana"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70BF9"/>
    <w:multiLevelType w:val="hybridMultilevel"/>
    <w:tmpl w:val="3208C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751F3"/>
    <w:multiLevelType w:val="hybridMultilevel"/>
    <w:tmpl w:val="05A4B09A"/>
    <w:lvl w:ilvl="0" w:tplc="140A0011">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nsid w:val="38BC4ADF"/>
    <w:multiLevelType w:val="hybridMultilevel"/>
    <w:tmpl w:val="3DB8292C"/>
    <w:lvl w:ilvl="0" w:tplc="B5D893AC">
      <w:start w:val="1"/>
      <w:numFmt w:val="upperLetter"/>
      <w:lvlText w:val="%1."/>
      <w:lvlJc w:val="left"/>
      <w:pPr>
        <w:ind w:left="450" w:hanging="360"/>
      </w:pPr>
      <w:rPr>
        <w:rFonts w:ascii="Verdana" w:hAnsi="Verdana" w:hint="default"/>
        <w:b/>
        <w:sz w:val="20"/>
        <w:szCs w:val="20"/>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A38404A"/>
    <w:multiLevelType w:val="hybridMultilevel"/>
    <w:tmpl w:val="1FE64136"/>
    <w:lvl w:ilvl="0" w:tplc="98F6B9EA">
      <w:start w:val="1"/>
      <w:numFmt w:val="decimal"/>
      <w:lvlText w:val="%1."/>
      <w:lvlJc w:val="left"/>
      <w:pPr>
        <w:tabs>
          <w:tab w:val="num" w:pos="162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46F435DD"/>
    <w:multiLevelType w:val="hybridMultilevel"/>
    <w:tmpl w:val="0532A314"/>
    <w:lvl w:ilvl="0" w:tplc="E4A67AEE">
      <w:start w:val="1"/>
      <w:numFmt w:val="upperLetter"/>
      <w:lvlText w:val="%1)"/>
      <w:lvlJc w:val="left"/>
      <w:pPr>
        <w:ind w:left="990" w:hanging="360"/>
      </w:pPr>
      <w:rPr>
        <w:rFonts w:hint="default"/>
        <w:i w:val="0"/>
      </w:rPr>
    </w:lvl>
    <w:lvl w:ilvl="1" w:tplc="140A0019" w:tentative="1">
      <w:start w:val="1"/>
      <w:numFmt w:val="lowerLetter"/>
      <w:lvlText w:val="%2."/>
      <w:lvlJc w:val="left"/>
      <w:pPr>
        <w:ind w:left="1635" w:hanging="360"/>
      </w:pPr>
    </w:lvl>
    <w:lvl w:ilvl="2" w:tplc="140A001B" w:tentative="1">
      <w:start w:val="1"/>
      <w:numFmt w:val="lowerRoman"/>
      <w:lvlText w:val="%3."/>
      <w:lvlJc w:val="right"/>
      <w:pPr>
        <w:ind w:left="2355" w:hanging="180"/>
      </w:pPr>
    </w:lvl>
    <w:lvl w:ilvl="3" w:tplc="140A000F" w:tentative="1">
      <w:start w:val="1"/>
      <w:numFmt w:val="decimal"/>
      <w:lvlText w:val="%4."/>
      <w:lvlJc w:val="left"/>
      <w:pPr>
        <w:ind w:left="3075" w:hanging="360"/>
      </w:pPr>
    </w:lvl>
    <w:lvl w:ilvl="4" w:tplc="140A0019" w:tentative="1">
      <w:start w:val="1"/>
      <w:numFmt w:val="lowerLetter"/>
      <w:lvlText w:val="%5."/>
      <w:lvlJc w:val="left"/>
      <w:pPr>
        <w:ind w:left="3795" w:hanging="360"/>
      </w:pPr>
    </w:lvl>
    <w:lvl w:ilvl="5" w:tplc="140A001B" w:tentative="1">
      <w:start w:val="1"/>
      <w:numFmt w:val="lowerRoman"/>
      <w:lvlText w:val="%6."/>
      <w:lvlJc w:val="right"/>
      <w:pPr>
        <w:ind w:left="4515" w:hanging="180"/>
      </w:pPr>
    </w:lvl>
    <w:lvl w:ilvl="6" w:tplc="140A000F" w:tentative="1">
      <w:start w:val="1"/>
      <w:numFmt w:val="decimal"/>
      <w:lvlText w:val="%7."/>
      <w:lvlJc w:val="left"/>
      <w:pPr>
        <w:ind w:left="5235" w:hanging="360"/>
      </w:pPr>
    </w:lvl>
    <w:lvl w:ilvl="7" w:tplc="140A0019" w:tentative="1">
      <w:start w:val="1"/>
      <w:numFmt w:val="lowerLetter"/>
      <w:lvlText w:val="%8."/>
      <w:lvlJc w:val="left"/>
      <w:pPr>
        <w:ind w:left="5955" w:hanging="360"/>
      </w:pPr>
    </w:lvl>
    <w:lvl w:ilvl="8" w:tplc="140A001B" w:tentative="1">
      <w:start w:val="1"/>
      <w:numFmt w:val="lowerRoman"/>
      <w:lvlText w:val="%9."/>
      <w:lvlJc w:val="right"/>
      <w:pPr>
        <w:ind w:left="6675" w:hanging="180"/>
      </w:pPr>
    </w:lvl>
  </w:abstractNum>
  <w:abstractNum w:abstractNumId="8">
    <w:nsid w:val="4BCA571E"/>
    <w:multiLevelType w:val="hybridMultilevel"/>
    <w:tmpl w:val="F920ED7C"/>
    <w:lvl w:ilvl="0" w:tplc="1BA02A08">
      <w:start w:val="1"/>
      <w:numFmt w:val="decimal"/>
      <w:lvlText w:val="%1)"/>
      <w:lvlJc w:val="left"/>
      <w:pPr>
        <w:ind w:left="720" w:hanging="360"/>
      </w:pPr>
      <w:rPr>
        <w:rFonts w:ascii="Verdana" w:eastAsia="Calibri" w:hAnsi="Verdana"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537A9"/>
    <w:multiLevelType w:val="hybridMultilevel"/>
    <w:tmpl w:val="27F41BA6"/>
    <w:lvl w:ilvl="0" w:tplc="F726EDAE">
      <w:start w:val="1"/>
      <w:numFmt w:val="decimal"/>
      <w:lvlText w:val="%1."/>
      <w:lvlJc w:val="right"/>
      <w:pPr>
        <w:ind w:left="540" w:hanging="360"/>
      </w:pPr>
      <w:rPr>
        <w:rFonts w:ascii="Verdana" w:hAnsi="Verdana" w:cs="Verdana" w:hint="default"/>
        <w:b w:val="0"/>
        <w:i w:val="0"/>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nsid w:val="5C2668C8"/>
    <w:multiLevelType w:val="hybridMultilevel"/>
    <w:tmpl w:val="5FF0EE58"/>
    <w:lvl w:ilvl="0" w:tplc="95A8C9F6">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D8806CF"/>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450"/>
        </w:tabs>
        <w:ind w:left="450" w:hanging="360"/>
      </w:pPr>
      <w:rPr>
        <w:i w:val="0"/>
      </w:rPr>
    </w:lvl>
    <w:lvl w:ilvl="4" w:tplc="54B4E548">
      <w:start w:val="1"/>
      <w:numFmt w:val="upperLetter"/>
      <w:lvlText w:val="%5)"/>
      <w:lvlJc w:val="left"/>
      <w:pPr>
        <w:ind w:left="39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pStyle w:val="Listavistosa-nfasis11"/>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3">
    <w:nsid w:val="62C97D24"/>
    <w:multiLevelType w:val="hybridMultilevel"/>
    <w:tmpl w:val="C0FAAC86"/>
    <w:lvl w:ilvl="0" w:tplc="ED0459E8">
      <w:start w:val="1"/>
      <w:numFmt w:val="decimal"/>
      <w:lvlText w:val="%1."/>
      <w:lvlJc w:val="left"/>
      <w:pPr>
        <w:ind w:left="1080" w:hanging="720"/>
      </w:pPr>
      <w:rPr>
        <w:b w:val="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4">
    <w:nsid w:val="75FB7C72"/>
    <w:multiLevelType w:val="hybridMultilevel"/>
    <w:tmpl w:val="3DB8292C"/>
    <w:lvl w:ilvl="0" w:tplc="B5D893AC">
      <w:start w:val="1"/>
      <w:numFmt w:val="upperLetter"/>
      <w:lvlText w:val="%1."/>
      <w:lvlJc w:val="left"/>
      <w:pPr>
        <w:ind w:left="450" w:hanging="360"/>
      </w:pPr>
      <w:rPr>
        <w:rFonts w:ascii="Verdana" w:hAnsi="Verdana" w:hint="default"/>
        <w:b/>
        <w:sz w:val="20"/>
        <w:szCs w:val="20"/>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A835866"/>
    <w:multiLevelType w:val="hybridMultilevel"/>
    <w:tmpl w:val="5EB0161E"/>
    <w:lvl w:ilvl="0" w:tplc="1BA02A08">
      <w:start w:val="1"/>
      <w:numFmt w:val="decimal"/>
      <w:lvlText w:val="%1)"/>
      <w:lvlJc w:val="left"/>
      <w:pPr>
        <w:ind w:left="720" w:hanging="360"/>
      </w:pPr>
      <w:rPr>
        <w:rFonts w:ascii="Verdana" w:eastAsia="Calibri" w:hAnsi="Verdana"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1"/>
  </w:num>
  <w:num w:numId="7">
    <w:abstractNumId w:val="10"/>
  </w:num>
  <w:num w:numId="8">
    <w:abstractNumId w:val="7"/>
  </w:num>
  <w:num w:numId="9">
    <w:abstractNumId w:val="3"/>
  </w:num>
  <w:num w:numId="10">
    <w:abstractNumId w:val="0"/>
  </w:num>
  <w:num w:numId="11">
    <w:abstractNumId w:val="8"/>
  </w:num>
  <w:num w:numId="12">
    <w:abstractNumId w:val="15"/>
  </w:num>
  <w:num w:numId="13">
    <w:abstractNumId w:val="4"/>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16"/>
    <w:rsid w:val="00012FBB"/>
    <w:rsid w:val="0002595D"/>
    <w:rsid w:val="00033B2E"/>
    <w:rsid w:val="00036249"/>
    <w:rsid w:val="00086E1C"/>
    <w:rsid w:val="00094CD2"/>
    <w:rsid w:val="00095AF2"/>
    <w:rsid w:val="000A79DC"/>
    <w:rsid w:val="000C2DEF"/>
    <w:rsid w:val="000D2DC5"/>
    <w:rsid w:val="000E3976"/>
    <w:rsid w:val="000E3AE8"/>
    <w:rsid w:val="000E5F7F"/>
    <w:rsid w:val="000F2688"/>
    <w:rsid w:val="001255AA"/>
    <w:rsid w:val="001577DC"/>
    <w:rsid w:val="00172856"/>
    <w:rsid w:val="001B3425"/>
    <w:rsid w:val="001C3765"/>
    <w:rsid w:val="001C771A"/>
    <w:rsid w:val="001D7F08"/>
    <w:rsid w:val="001E75E5"/>
    <w:rsid w:val="001F1FB8"/>
    <w:rsid w:val="001F2AB7"/>
    <w:rsid w:val="00205F23"/>
    <w:rsid w:val="00233C07"/>
    <w:rsid w:val="00234868"/>
    <w:rsid w:val="0026351E"/>
    <w:rsid w:val="002B0153"/>
    <w:rsid w:val="002B2536"/>
    <w:rsid w:val="002B640F"/>
    <w:rsid w:val="002E4B6D"/>
    <w:rsid w:val="002E6C97"/>
    <w:rsid w:val="00320983"/>
    <w:rsid w:val="003352D2"/>
    <w:rsid w:val="00335680"/>
    <w:rsid w:val="00367FA9"/>
    <w:rsid w:val="00372E5C"/>
    <w:rsid w:val="0037650D"/>
    <w:rsid w:val="00396B01"/>
    <w:rsid w:val="003A318E"/>
    <w:rsid w:val="003A4E2F"/>
    <w:rsid w:val="003A5831"/>
    <w:rsid w:val="003F2FC8"/>
    <w:rsid w:val="00414008"/>
    <w:rsid w:val="00421E13"/>
    <w:rsid w:val="004645C1"/>
    <w:rsid w:val="00465EE8"/>
    <w:rsid w:val="004865E6"/>
    <w:rsid w:val="004926CA"/>
    <w:rsid w:val="004A3A0F"/>
    <w:rsid w:val="004F4ADF"/>
    <w:rsid w:val="00524F39"/>
    <w:rsid w:val="00530AE0"/>
    <w:rsid w:val="00565DCC"/>
    <w:rsid w:val="0057543B"/>
    <w:rsid w:val="005A77DE"/>
    <w:rsid w:val="005B1522"/>
    <w:rsid w:val="00635F9C"/>
    <w:rsid w:val="00641C57"/>
    <w:rsid w:val="00663613"/>
    <w:rsid w:val="00665D71"/>
    <w:rsid w:val="0066642C"/>
    <w:rsid w:val="00670454"/>
    <w:rsid w:val="006806B0"/>
    <w:rsid w:val="00683AC7"/>
    <w:rsid w:val="00683E21"/>
    <w:rsid w:val="006A43DE"/>
    <w:rsid w:val="006A760B"/>
    <w:rsid w:val="006B5F5D"/>
    <w:rsid w:val="006C31B4"/>
    <w:rsid w:val="006D50B4"/>
    <w:rsid w:val="006F6907"/>
    <w:rsid w:val="007307E7"/>
    <w:rsid w:val="00733D5C"/>
    <w:rsid w:val="00740F27"/>
    <w:rsid w:val="00765FBC"/>
    <w:rsid w:val="00771EDC"/>
    <w:rsid w:val="007C58DF"/>
    <w:rsid w:val="007D06ED"/>
    <w:rsid w:val="00800533"/>
    <w:rsid w:val="00810B7A"/>
    <w:rsid w:val="0081769A"/>
    <w:rsid w:val="0087383B"/>
    <w:rsid w:val="00883EBE"/>
    <w:rsid w:val="008B2E20"/>
    <w:rsid w:val="008E6216"/>
    <w:rsid w:val="00905DD1"/>
    <w:rsid w:val="00915B3F"/>
    <w:rsid w:val="00933483"/>
    <w:rsid w:val="00962524"/>
    <w:rsid w:val="00974BAA"/>
    <w:rsid w:val="00980C2D"/>
    <w:rsid w:val="00997A2D"/>
    <w:rsid w:val="009B5428"/>
    <w:rsid w:val="009C1A31"/>
    <w:rsid w:val="009C39D4"/>
    <w:rsid w:val="009F67F3"/>
    <w:rsid w:val="009F71E3"/>
    <w:rsid w:val="00A0158B"/>
    <w:rsid w:val="00A03789"/>
    <w:rsid w:val="00A14EA9"/>
    <w:rsid w:val="00A252BE"/>
    <w:rsid w:val="00A254F9"/>
    <w:rsid w:val="00A25AF5"/>
    <w:rsid w:val="00A30E8C"/>
    <w:rsid w:val="00A51B87"/>
    <w:rsid w:val="00A55743"/>
    <w:rsid w:val="00A84021"/>
    <w:rsid w:val="00AC0E9B"/>
    <w:rsid w:val="00AF57DB"/>
    <w:rsid w:val="00B10122"/>
    <w:rsid w:val="00B430C0"/>
    <w:rsid w:val="00BB0E7F"/>
    <w:rsid w:val="00BC02DA"/>
    <w:rsid w:val="00BC6E5F"/>
    <w:rsid w:val="00BD7401"/>
    <w:rsid w:val="00BE3FD4"/>
    <w:rsid w:val="00C05E1B"/>
    <w:rsid w:val="00C10415"/>
    <w:rsid w:val="00C203CB"/>
    <w:rsid w:val="00C25FB5"/>
    <w:rsid w:val="00C30D70"/>
    <w:rsid w:val="00C40518"/>
    <w:rsid w:val="00C51C8C"/>
    <w:rsid w:val="00C82260"/>
    <w:rsid w:val="00C922B3"/>
    <w:rsid w:val="00CC1BF1"/>
    <w:rsid w:val="00D65F4D"/>
    <w:rsid w:val="00D759A4"/>
    <w:rsid w:val="00D7753D"/>
    <w:rsid w:val="00D86037"/>
    <w:rsid w:val="00D91885"/>
    <w:rsid w:val="00D968AF"/>
    <w:rsid w:val="00DD1379"/>
    <w:rsid w:val="00DD75E0"/>
    <w:rsid w:val="00DE4B6F"/>
    <w:rsid w:val="00E075B5"/>
    <w:rsid w:val="00E60EBF"/>
    <w:rsid w:val="00E839F8"/>
    <w:rsid w:val="00E94919"/>
    <w:rsid w:val="00ED2AE2"/>
    <w:rsid w:val="00EE47D1"/>
    <w:rsid w:val="00EE6C3C"/>
    <w:rsid w:val="00EF25C8"/>
    <w:rsid w:val="00EF5E26"/>
    <w:rsid w:val="00F04A9D"/>
    <w:rsid w:val="00F129BD"/>
    <w:rsid w:val="00F142A3"/>
    <w:rsid w:val="00F22140"/>
    <w:rsid w:val="00F22386"/>
    <w:rsid w:val="00F2481C"/>
    <w:rsid w:val="00F26961"/>
    <w:rsid w:val="00F450BF"/>
    <w:rsid w:val="00F51B95"/>
    <w:rsid w:val="00F60293"/>
    <w:rsid w:val="00F9381B"/>
    <w:rsid w:val="00FA3F54"/>
    <w:rsid w:val="00FA4A5A"/>
    <w:rsid w:val="00FA4FF6"/>
    <w:rsid w:val="00FC6392"/>
    <w:rsid w:val="00FC6435"/>
    <w:rsid w:val="00FD65D0"/>
    <w:rsid w:val="00FD720F"/>
    <w:rsid w:val="00FF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16"/>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8E6216"/>
    <w:rPr>
      <w:vertAlign w:val="superscript"/>
    </w:rPr>
  </w:style>
  <w:style w:type="paragraph" w:customStyle="1" w:styleId="ListParagraph1">
    <w:name w:val="List Paragraph1"/>
    <w:basedOn w:val="Normal"/>
    <w:rsid w:val="008E6216"/>
    <w:pPr>
      <w:spacing w:after="0"/>
      <w:ind w:left="720"/>
      <w:jc w:val="left"/>
    </w:pPr>
    <w:rPr>
      <w:rFonts w:ascii="Times New Roman" w:hAnsi="Times New Roman" w:cs="Times New Roman"/>
      <w:sz w:val="24"/>
      <w:lang w:val="es-ES"/>
    </w:rPr>
  </w:style>
  <w:style w:type="paragraph" w:customStyle="1" w:styleId="Listavistosa-nfasis11">
    <w:name w:val="Lista vistosa - Énfasis 11"/>
    <w:basedOn w:val="Normal"/>
    <w:uiPriority w:val="99"/>
    <w:qFormat/>
    <w:rsid w:val="008E6216"/>
    <w:pPr>
      <w:numPr>
        <w:ilvl w:val="1"/>
        <w:numId w:val="4"/>
      </w:numPr>
      <w:contextualSpacing/>
    </w:pPr>
  </w:style>
  <w:style w:type="paragraph" w:styleId="ListParagraph">
    <w:name w:val="List Paragraph"/>
    <w:aliases w:val="Footnote,List Paragraph2"/>
    <w:basedOn w:val="Normal"/>
    <w:link w:val="ListParagraphChar"/>
    <w:uiPriority w:val="34"/>
    <w:qFormat/>
    <w:rsid w:val="008E6216"/>
    <w:pPr>
      <w:ind w:left="708"/>
    </w:pPr>
  </w:style>
  <w:style w:type="character" w:customStyle="1" w:styleId="ListParagraphChar">
    <w:name w:val="List Paragraph Char"/>
    <w:aliases w:val="Footnote Char,List Paragraph2 Char"/>
    <w:link w:val="ListParagraph"/>
    <w:uiPriority w:val="34"/>
    <w:locked/>
    <w:rsid w:val="008E6216"/>
    <w:rPr>
      <w:rFonts w:ascii="Verdana" w:eastAsia="Calibri" w:hAnsi="Verdana" w:cs="Times"/>
      <w:sz w:val="20"/>
      <w:szCs w:val="24"/>
      <w:lang w:val="es-ES_tradnl" w:eastAsia="es-E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uiPriority w:val="99"/>
    <w:unhideWhenUsed/>
    <w:qFormat/>
    <w:rsid w:val="008E6216"/>
    <w:pPr>
      <w:spacing w:after="0"/>
    </w:pPr>
    <w:rPr>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8E6216"/>
    <w:rPr>
      <w:rFonts w:ascii="Verdana" w:eastAsia="Calibri" w:hAnsi="Verdana" w:cs="Times"/>
      <w:sz w:val="20"/>
      <w:szCs w:val="20"/>
      <w:lang w:val="es-ES_tradnl" w:eastAsia="es-ES"/>
    </w:rPr>
  </w:style>
  <w:style w:type="character" w:styleId="Strong">
    <w:name w:val="Strong"/>
    <w:basedOn w:val="DefaultParagraphFont"/>
    <w:uiPriority w:val="22"/>
    <w:qFormat/>
    <w:rsid w:val="008E6216"/>
    <w:rPr>
      <w:b/>
      <w:bCs/>
    </w:rPr>
  </w:style>
  <w:style w:type="character" w:styleId="CommentReference">
    <w:name w:val="annotation reference"/>
    <w:basedOn w:val="DefaultParagraphFont"/>
    <w:uiPriority w:val="99"/>
    <w:semiHidden/>
    <w:unhideWhenUsed/>
    <w:rsid w:val="008E6216"/>
    <w:rPr>
      <w:sz w:val="16"/>
      <w:szCs w:val="16"/>
    </w:rPr>
  </w:style>
  <w:style w:type="paragraph" w:styleId="CommentText">
    <w:name w:val="annotation text"/>
    <w:basedOn w:val="Normal"/>
    <w:link w:val="CommentTextChar"/>
    <w:uiPriority w:val="99"/>
    <w:semiHidden/>
    <w:unhideWhenUsed/>
    <w:rsid w:val="008E6216"/>
    <w:rPr>
      <w:szCs w:val="20"/>
    </w:rPr>
  </w:style>
  <w:style w:type="character" w:customStyle="1" w:styleId="CommentTextChar">
    <w:name w:val="Comment Text Char"/>
    <w:basedOn w:val="DefaultParagraphFont"/>
    <w:link w:val="CommentText"/>
    <w:uiPriority w:val="99"/>
    <w:semiHidden/>
    <w:rsid w:val="008E6216"/>
    <w:rPr>
      <w:rFonts w:ascii="Verdana" w:eastAsia="Calibri" w:hAnsi="Verdana" w:cs="Times"/>
      <w:sz w:val="20"/>
      <w:szCs w:val="20"/>
      <w:lang w:val="es-ES_tradnl" w:eastAsia="es-ES"/>
    </w:rPr>
  </w:style>
  <w:style w:type="paragraph" w:styleId="Header">
    <w:name w:val="header"/>
    <w:basedOn w:val="Normal"/>
    <w:link w:val="HeaderChar"/>
    <w:uiPriority w:val="99"/>
    <w:unhideWhenUsed/>
    <w:rsid w:val="008E6216"/>
    <w:pPr>
      <w:tabs>
        <w:tab w:val="center" w:pos="4419"/>
        <w:tab w:val="right" w:pos="8838"/>
      </w:tabs>
      <w:spacing w:after="0"/>
    </w:pPr>
  </w:style>
  <w:style w:type="character" w:customStyle="1" w:styleId="HeaderChar">
    <w:name w:val="Header Char"/>
    <w:basedOn w:val="DefaultParagraphFont"/>
    <w:link w:val="Header"/>
    <w:uiPriority w:val="99"/>
    <w:rsid w:val="008E6216"/>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8E62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16"/>
    <w:rPr>
      <w:rFonts w:ascii="Tahoma" w:eastAsia="Calibri" w:hAnsi="Tahoma" w:cs="Tahoma"/>
      <w:sz w:val="16"/>
      <w:szCs w:val="16"/>
      <w:lang w:val="es-ES_tradnl" w:eastAsia="es-ES"/>
    </w:rPr>
  </w:style>
  <w:style w:type="paragraph" w:styleId="CommentSubject">
    <w:name w:val="annotation subject"/>
    <w:basedOn w:val="CommentText"/>
    <w:next w:val="CommentText"/>
    <w:link w:val="CommentSubjectChar"/>
    <w:uiPriority w:val="99"/>
    <w:semiHidden/>
    <w:unhideWhenUsed/>
    <w:rsid w:val="0057543B"/>
    <w:rPr>
      <w:b/>
      <w:bCs/>
    </w:rPr>
  </w:style>
  <w:style w:type="character" w:customStyle="1" w:styleId="CommentSubjectChar">
    <w:name w:val="Comment Subject Char"/>
    <w:basedOn w:val="CommentTextChar"/>
    <w:link w:val="CommentSubject"/>
    <w:uiPriority w:val="99"/>
    <w:semiHidden/>
    <w:rsid w:val="0057543B"/>
    <w:rPr>
      <w:rFonts w:ascii="Verdana" w:eastAsia="Calibri" w:hAnsi="Verdana" w:cs="Times"/>
      <w:b/>
      <w:bCs/>
      <w:sz w:val="20"/>
      <w:szCs w:val="20"/>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basedOn w:val="DefaultParagraphFont"/>
    <w:locked/>
    <w:rsid w:val="006B5F5D"/>
    <w:rPr>
      <w:rFonts w:cs="Verdan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16"/>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8E6216"/>
    <w:rPr>
      <w:vertAlign w:val="superscript"/>
    </w:rPr>
  </w:style>
  <w:style w:type="paragraph" w:customStyle="1" w:styleId="ListParagraph1">
    <w:name w:val="List Paragraph1"/>
    <w:basedOn w:val="Normal"/>
    <w:rsid w:val="008E6216"/>
    <w:pPr>
      <w:spacing w:after="0"/>
      <w:ind w:left="720"/>
      <w:jc w:val="left"/>
    </w:pPr>
    <w:rPr>
      <w:rFonts w:ascii="Times New Roman" w:hAnsi="Times New Roman" w:cs="Times New Roman"/>
      <w:sz w:val="24"/>
      <w:lang w:val="es-ES"/>
    </w:rPr>
  </w:style>
  <w:style w:type="paragraph" w:customStyle="1" w:styleId="Listavistosa-nfasis11">
    <w:name w:val="Lista vistosa - Énfasis 11"/>
    <w:basedOn w:val="Normal"/>
    <w:uiPriority w:val="99"/>
    <w:qFormat/>
    <w:rsid w:val="008E6216"/>
    <w:pPr>
      <w:numPr>
        <w:ilvl w:val="1"/>
        <w:numId w:val="4"/>
      </w:numPr>
      <w:contextualSpacing/>
    </w:pPr>
  </w:style>
  <w:style w:type="paragraph" w:styleId="ListParagraph">
    <w:name w:val="List Paragraph"/>
    <w:aliases w:val="Footnote,List Paragraph2"/>
    <w:basedOn w:val="Normal"/>
    <w:link w:val="ListParagraphChar"/>
    <w:uiPriority w:val="34"/>
    <w:qFormat/>
    <w:rsid w:val="008E6216"/>
    <w:pPr>
      <w:ind w:left="708"/>
    </w:pPr>
  </w:style>
  <w:style w:type="character" w:customStyle="1" w:styleId="ListParagraphChar">
    <w:name w:val="List Paragraph Char"/>
    <w:aliases w:val="Footnote Char,List Paragraph2 Char"/>
    <w:link w:val="ListParagraph"/>
    <w:uiPriority w:val="34"/>
    <w:locked/>
    <w:rsid w:val="008E6216"/>
    <w:rPr>
      <w:rFonts w:ascii="Verdana" w:eastAsia="Calibri" w:hAnsi="Verdana" w:cs="Times"/>
      <w:sz w:val="20"/>
      <w:szCs w:val="24"/>
      <w:lang w:val="es-ES_tradnl" w:eastAsia="es-E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uiPriority w:val="99"/>
    <w:unhideWhenUsed/>
    <w:qFormat/>
    <w:rsid w:val="008E6216"/>
    <w:pPr>
      <w:spacing w:after="0"/>
    </w:pPr>
    <w:rPr>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rsid w:val="008E6216"/>
    <w:rPr>
      <w:rFonts w:ascii="Verdana" w:eastAsia="Calibri" w:hAnsi="Verdana" w:cs="Times"/>
      <w:sz w:val="20"/>
      <w:szCs w:val="20"/>
      <w:lang w:val="es-ES_tradnl" w:eastAsia="es-ES"/>
    </w:rPr>
  </w:style>
  <w:style w:type="character" w:styleId="Strong">
    <w:name w:val="Strong"/>
    <w:basedOn w:val="DefaultParagraphFont"/>
    <w:uiPriority w:val="22"/>
    <w:qFormat/>
    <w:rsid w:val="008E6216"/>
    <w:rPr>
      <w:b/>
      <w:bCs/>
    </w:rPr>
  </w:style>
  <w:style w:type="character" w:styleId="CommentReference">
    <w:name w:val="annotation reference"/>
    <w:basedOn w:val="DefaultParagraphFont"/>
    <w:uiPriority w:val="99"/>
    <w:semiHidden/>
    <w:unhideWhenUsed/>
    <w:rsid w:val="008E6216"/>
    <w:rPr>
      <w:sz w:val="16"/>
      <w:szCs w:val="16"/>
    </w:rPr>
  </w:style>
  <w:style w:type="paragraph" w:styleId="CommentText">
    <w:name w:val="annotation text"/>
    <w:basedOn w:val="Normal"/>
    <w:link w:val="CommentTextChar"/>
    <w:uiPriority w:val="99"/>
    <w:semiHidden/>
    <w:unhideWhenUsed/>
    <w:rsid w:val="008E6216"/>
    <w:rPr>
      <w:szCs w:val="20"/>
    </w:rPr>
  </w:style>
  <w:style w:type="character" w:customStyle="1" w:styleId="CommentTextChar">
    <w:name w:val="Comment Text Char"/>
    <w:basedOn w:val="DefaultParagraphFont"/>
    <w:link w:val="CommentText"/>
    <w:uiPriority w:val="99"/>
    <w:semiHidden/>
    <w:rsid w:val="008E6216"/>
    <w:rPr>
      <w:rFonts w:ascii="Verdana" w:eastAsia="Calibri" w:hAnsi="Verdana" w:cs="Times"/>
      <w:sz w:val="20"/>
      <w:szCs w:val="20"/>
      <w:lang w:val="es-ES_tradnl" w:eastAsia="es-ES"/>
    </w:rPr>
  </w:style>
  <w:style w:type="paragraph" w:styleId="Header">
    <w:name w:val="header"/>
    <w:basedOn w:val="Normal"/>
    <w:link w:val="HeaderChar"/>
    <w:uiPriority w:val="99"/>
    <w:unhideWhenUsed/>
    <w:rsid w:val="008E6216"/>
    <w:pPr>
      <w:tabs>
        <w:tab w:val="center" w:pos="4419"/>
        <w:tab w:val="right" w:pos="8838"/>
      </w:tabs>
      <w:spacing w:after="0"/>
    </w:pPr>
  </w:style>
  <w:style w:type="character" w:customStyle="1" w:styleId="HeaderChar">
    <w:name w:val="Header Char"/>
    <w:basedOn w:val="DefaultParagraphFont"/>
    <w:link w:val="Header"/>
    <w:uiPriority w:val="99"/>
    <w:rsid w:val="008E6216"/>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8E62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16"/>
    <w:rPr>
      <w:rFonts w:ascii="Tahoma" w:eastAsia="Calibri" w:hAnsi="Tahoma" w:cs="Tahoma"/>
      <w:sz w:val="16"/>
      <w:szCs w:val="16"/>
      <w:lang w:val="es-ES_tradnl" w:eastAsia="es-ES"/>
    </w:rPr>
  </w:style>
  <w:style w:type="paragraph" w:styleId="CommentSubject">
    <w:name w:val="annotation subject"/>
    <w:basedOn w:val="CommentText"/>
    <w:next w:val="CommentText"/>
    <w:link w:val="CommentSubjectChar"/>
    <w:uiPriority w:val="99"/>
    <w:semiHidden/>
    <w:unhideWhenUsed/>
    <w:rsid w:val="0057543B"/>
    <w:rPr>
      <w:b/>
      <w:bCs/>
    </w:rPr>
  </w:style>
  <w:style w:type="character" w:customStyle="1" w:styleId="CommentSubjectChar">
    <w:name w:val="Comment Subject Char"/>
    <w:basedOn w:val="CommentTextChar"/>
    <w:link w:val="CommentSubject"/>
    <w:uiPriority w:val="99"/>
    <w:semiHidden/>
    <w:rsid w:val="0057543B"/>
    <w:rPr>
      <w:rFonts w:ascii="Verdana" w:eastAsia="Calibri" w:hAnsi="Verdana" w:cs="Times"/>
      <w:b/>
      <w:bCs/>
      <w:sz w:val="20"/>
      <w:szCs w:val="20"/>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basedOn w:val="DefaultParagraphFont"/>
    <w:locked/>
    <w:rsid w:val="006B5F5D"/>
    <w:rPr>
      <w:rFonts w:cs="Verdan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E3E4-B215-461A-865B-817F72DB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6430</Words>
  <Characters>35366</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2017-04-24T22:45:00Z</cp:lastPrinted>
  <dcterms:created xsi:type="dcterms:W3CDTF">2017-04-24T22:46:00Z</dcterms:created>
  <dcterms:modified xsi:type="dcterms:W3CDTF">2017-04-24T22:46:00Z</dcterms:modified>
</cp:coreProperties>
</file>