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2250D" w14:textId="77777777" w:rsidR="0074348C" w:rsidRDefault="0074348C" w:rsidP="00EF5F56">
      <w:pPr>
        <w:tabs>
          <w:tab w:val="left" w:pos="567"/>
        </w:tabs>
        <w:spacing w:after="0" w:line="240" w:lineRule="auto"/>
        <w:jc w:val="center"/>
        <w:rPr>
          <w:rFonts w:ascii="Verdana" w:eastAsia="Calibri" w:hAnsi="Verdana" w:cs="Calibri"/>
          <w:b/>
          <w:sz w:val="20"/>
          <w:szCs w:val="20"/>
          <w:lang w:val="es-CR"/>
        </w:rPr>
      </w:pPr>
    </w:p>
    <w:p w14:paraId="0C44CF9D" w14:textId="77777777" w:rsidR="0074348C" w:rsidRDefault="0074348C" w:rsidP="0061202F">
      <w:pPr>
        <w:tabs>
          <w:tab w:val="left" w:pos="567"/>
        </w:tabs>
        <w:spacing w:after="0" w:line="240" w:lineRule="auto"/>
        <w:rPr>
          <w:rFonts w:ascii="Verdana" w:eastAsia="Calibri" w:hAnsi="Verdana" w:cs="Calibri"/>
          <w:b/>
          <w:sz w:val="20"/>
          <w:szCs w:val="20"/>
          <w:lang w:val="es-CR"/>
        </w:rPr>
      </w:pPr>
    </w:p>
    <w:p w14:paraId="35C88595" w14:textId="77777777" w:rsidR="0061202F" w:rsidRDefault="0061202F" w:rsidP="0061202F">
      <w:pPr>
        <w:tabs>
          <w:tab w:val="left" w:pos="567"/>
        </w:tabs>
        <w:spacing w:after="0" w:line="240" w:lineRule="auto"/>
        <w:rPr>
          <w:rFonts w:ascii="Verdana" w:eastAsia="Calibri" w:hAnsi="Verdana" w:cs="Calibri"/>
          <w:b/>
          <w:sz w:val="20"/>
          <w:szCs w:val="20"/>
          <w:lang w:val="es-CR"/>
        </w:rPr>
      </w:pPr>
    </w:p>
    <w:p w14:paraId="46E03D80" w14:textId="77777777" w:rsidR="00DF1860" w:rsidRDefault="00DF1860" w:rsidP="0061202F">
      <w:pPr>
        <w:tabs>
          <w:tab w:val="left" w:pos="567"/>
        </w:tabs>
        <w:spacing w:after="0" w:line="240" w:lineRule="auto"/>
        <w:rPr>
          <w:rFonts w:ascii="Verdana" w:eastAsia="Calibri" w:hAnsi="Verdana" w:cs="Calibri"/>
          <w:b/>
          <w:sz w:val="20"/>
          <w:szCs w:val="20"/>
          <w:lang w:val="es-CR"/>
        </w:rPr>
      </w:pPr>
    </w:p>
    <w:p w14:paraId="46DD7C46" w14:textId="77777777" w:rsidR="0074348C" w:rsidRDefault="0074348C" w:rsidP="00EF5F56">
      <w:pPr>
        <w:tabs>
          <w:tab w:val="left" w:pos="567"/>
        </w:tabs>
        <w:spacing w:after="0" w:line="240" w:lineRule="auto"/>
        <w:jc w:val="center"/>
        <w:rPr>
          <w:rFonts w:ascii="Verdana" w:eastAsia="Calibri" w:hAnsi="Verdana" w:cs="Calibri"/>
          <w:b/>
          <w:sz w:val="20"/>
          <w:szCs w:val="20"/>
          <w:lang w:val="es-CR"/>
        </w:rPr>
      </w:pPr>
    </w:p>
    <w:p w14:paraId="57944A60" w14:textId="77777777" w:rsidR="0074348C" w:rsidRDefault="0074348C" w:rsidP="00EF5F56">
      <w:pPr>
        <w:tabs>
          <w:tab w:val="left" w:pos="567"/>
        </w:tabs>
        <w:spacing w:after="0" w:line="240" w:lineRule="auto"/>
        <w:jc w:val="center"/>
        <w:rPr>
          <w:rFonts w:ascii="Verdana" w:eastAsia="Calibri" w:hAnsi="Verdana" w:cs="Calibri"/>
          <w:b/>
          <w:sz w:val="20"/>
          <w:szCs w:val="20"/>
          <w:lang w:val="es-CR"/>
        </w:rPr>
      </w:pPr>
    </w:p>
    <w:p w14:paraId="03D15D2D" w14:textId="37FC5FA3" w:rsidR="000770E0" w:rsidRPr="00203B25" w:rsidRDefault="00907B62" w:rsidP="00EF5F56">
      <w:pPr>
        <w:tabs>
          <w:tab w:val="left" w:pos="567"/>
        </w:tabs>
        <w:spacing w:after="0" w:line="240" w:lineRule="auto"/>
        <w:jc w:val="center"/>
        <w:rPr>
          <w:rFonts w:ascii="Verdana" w:eastAsia="Calibri" w:hAnsi="Verdana" w:cs="Calibri"/>
          <w:b/>
          <w:sz w:val="20"/>
          <w:szCs w:val="20"/>
          <w:lang w:val="es-CR"/>
        </w:rPr>
      </w:pPr>
      <w:r>
        <w:rPr>
          <w:rFonts w:ascii="Verdana" w:eastAsia="Calibri" w:hAnsi="Verdana" w:cs="Calibri"/>
          <w:b/>
          <w:sz w:val="20"/>
          <w:szCs w:val="20"/>
          <w:lang w:val="es-CR"/>
        </w:rPr>
        <w:t>RESOLUCIÓN DEL PRESIDENTE DE LA</w:t>
      </w:r>
      <w:bookmarkStart w:id="0" w:name="_GoBack"/>
      <w:bookmarkEnd w:id="0"/>
    </w:p>
    <w:p w14:paraId="03D15D2E" w14:textId="16ABA301" w:rsidR="000770E0" w:rsidRPr="00850F42" w:rsidRDefault="000770E0" w:rsidP="00EF5F56">
      <w:pPr>
        <w:tabs>
          <w:tab w:val="left" w:pos="567"/>
        </w:tabs>
        <w:spacing w:after="0" w:line="240" w:lineRule="auto"/>
        <w:jc w:val="center"/>
        <w:rPr>
          <w:rFonts w:ascii="Verdana" w:eastAsia="Calibri" w:hAnsi="Verdana" w:cs="Calibri"/>
          <w:b/>
          <w:sz w:val="20"/>
          <w:szCs w:val="20"/>
          <w:lang w:val="es-CR"/>
        </w:rPr>
      </w:pPr>
      <w:r w:rsidRPr="00203B25">
        <w:rPr>
          <w:rFonts w:ascii="Verdana" w:eastAsia="Calibri" w:hAnsi="Verdana" w:cs="Calibri"/>
          <w:b/>
          <w:sz w:val="20"/>
          <w:szCs w:val="20"/>
          <w:lang w:val="es-CR"/>
        </w:rPr>
        <w:t>CORTE INTERAMERICANA DE DERECHOS HUMANOS</w:t>
      </w:r>
    </w:p>
    <w:p w14:paraId="03D15D2F" w14:textId="77777777" w:rsidR="000770E0" w:rsidRPr="00850F42" w:rsidRDefault="000770E0" w:rsidP="00EF5F56">
      <w:pPr>
        <w:tabs>
          <w:tab w:val="left" w:pos="567"/>
        </w:tabs>
        <w:spacing w:after="0" w:line="240" w:lineRule="auto"/>
        <w:jc w:val="center"/>
        <w:rPr>
          <w:rFonts w:ascii="Verdana" w:eastAsia="Calibri" w:hAnsi="Verdana" w:cs="Calibri"/>
          <w:b/>
          <w:sz w:val="20"/>
          <w:szCs w:val="20"/>
          <w:lang w:val="es-CR"/>
        </w:rPr>
      </w:pPr>
    </w:p>
    <w:p w14:paraId="03D15D30" w14:textId="160382FA" w:rsidR="000770E0" w:rsidRPr="00850F42" w:rsidRDefault="000770E0" w:rsidP="00EF5F56">
      <w:pPr>
        <w:tabs>
          <w:tab w:val="left" w:pos="567"/>
        </w:tabs>
        <w:spacing w:after="0" w:line="240" w:lineRule="auto"/>
        <w:jc w:val="center"/>
        <w:rPr>
          <w:rFonts w:ascii="Verdana" w:eastAsia="Calibri" w:hAnsi="Verdana" w:cs="Calibri"/>
          <w:b/>
          <w:sz w:val="20"/>
          <w:szCs w:val="20"/>
          <w:lang w:val="es-CR"/>
        </w:rPr>
      </w:pPr>
      <w:r w:rsidRPr="00850F42">
        <w:rPr>
          <w:rFonts w:ascii="Verdana" w:eastAsia="Calibri" w:hAnsi="Verdana" w:cs="Calibri"/>
          <w:b/>
          <w:sz w:val="20"/>
          <w:szCs w:val="20"/>
          <w:lang w:val="es-CR"/>
        </w:rPr>
        <w:t xml:space="preserve">DE </w:t>
      </w:r>
      <w:r w:rsidR="00C001B5">
        <w:rPr>
          <w:rFonts w:ascii="Verdana" w:eastAsia="Calibri" w:hAnsi="Verdana" w:cs="Calibri"/>
          <w:b/>
          <w:sz w:val="20"/>
          <w:szCs w:val="20"/>
          <w:lang w:val="es-CR"/>
        </w:rPr>
        <w:t>7</w:t>
      </w:r>
      <w:r w:rsidRPr="00850F42">
        <w:rPr>
          <w:rFonts w:ascii="Verdana" w:eastAsia="Calibri" w:hAnsi="Verdana" w:cs="Calibri"/>
          <w:b/>
          <w:sz w:val="20"/>
          <w:szCs w:val="20"/>
          <w:lang w:val="es-CR"/>
        </w:rPr>
        <w:t xml:space="preserve"> DE </w:t>
      </w:r>
      <w:r w:rsidR="00C001B5">
        <w:rPr>
          <w:rFonts w:ascii="Verdana" w:eastAsia="Calibri" w:hAnsi="Verdana" w:cs="Calibri"/>
          <w:b/>
          <w:sz w:val="20"/>
          <w:szCs w:val="20"/>
          <w:lang w:val="es-CR"/>
        </w:rPr>
        <w:t>DICIEMBRE</w:t>
      </w:r>
      <w:r w:rsidR="00C001B5" w:rsidRPr="00850F42">
        <w:rPr>
          <w:rFonts w:ascii="Verdana" w:eastAsia="Calibri" w:hAnsi="Verdana" w:cs="Calibri"/>
          <w:b/>
          <w:sz w:val="20"/>
          <w:szCs w:val="20"/>
          <w:lang w:val="es-CR"/>
        </w:rPr>
        <w:t xml:space="preserve"> </w:t>
      </w:r>
      <w:r w:rsidRPr="00850F42">
        <w:rPr>
          <w:rFonts w:ascii="Verdana" w:eastAsia="Calibri" w:hAnsi="Verdana" w:cs="Calibri"/>
          <w:b/>
          <w:sz w:val="20"/>
          <w:szCs w:val="20"/>
          <w:lang w:val="es-CR"/>
        </w:rPr>
        <w:t>DE 2018</w:t>
      </w:r>
    </w:p>
    <w:p w14:paraId="03D15D32" w14:textId="77777777" w:rsidR="000770E0" w:rsidRPr="00850F42" w:rsidRDefault="000770E0" w:rsidP="0074348C">
      <w:pPr>
        <w:tabs>
          <w:tab w:val="left" w:pos="567"/>
        </w:tabs>
        <w:spacing w:after="0" w:line="240" w:lineRule="auto"/>
        <w:rPr>
          <w:rFonts w:ascii="Verdana" w:eastAsia="Calibri" w:hAnsi="Verdana" w:cs="Calibri"/>
          <w:b/>
          <w:sz w:val="20"/>
          <w:szCs w:val="20"/>
          <w:lang w:val="es-CR"/>
        </w:rPr>
      </w:pPr>
    </w:p>
    <w:p w14:paraId="03D15D33" w14:textId="77777777" w:rsidR="000770E0" w:rsidRPr="00850F42" w:rsidRDefault="000770E0" w:rsidP="00EF5F56">
      <w:pPr>
        <w:tabs>
          <w:tab w:val="left" w:pos="567"/>
        </w:tabs>
        <w:spacing w:after="0" w:line="240" w:lineRule="auto"/>
        <w:jc w:val="center"/>
        <w:rPr>
          <w:rFonts w:ascii="Verdana" w:eastAsia="Calibri" w:hAnsi="Verdana" w:cs="Calibri"/>
          <w:b/>
          <w:sz w:val="20"/>
          <w:szCs w:val="20"/>
          <w:lang w:val="es-CR"/>
        </w:rPr>
      </w:pPr>
      <w:r w:rsidRPr="00850F42">
        <w:rPr>
          <w:rFonts w:ascii="Verdana" w:eastAsia="Calibri" w:hAnsi="Verdana" w:cs="Calibri"/>
          <w:b/>
          <w:sz w:val="20"/>
          <w:szCs w:val="20"/>
          <w:lang w:val="es-CR"/>
        </w:rPr>
        <w:t xml:space="preserve">CASO PERRONE Y PRECKEL </w:t>
      </w:r>
      <w:r w:rsidRPr="00850F42">
        <w:rPr>
          <w:rFonts w:ascii="Verdana" w:eastAsia="Calibri" w:hAnsi="Verdana" w:cs="Calibri"/>
          <w:b/>
          <w:i/>
          <w:sz w:val="20"/>
          <w:szCs w:val="20"/>
          <w:lang w:val="es-CR"/>
        </w:rPr>
        <w:t>VS.</w:t>
      </w:r>
      <w:r w:rsidRPr="00850F42">
        <w:rPr>
          <w:rFonts w:ascii="Verdana" w:eastAsia="Calibri" w:hAnsi="Verdana" w:cs="Calibri"/>
          <w:b/>
          <w:sz w:val="20"/>
          <w:szCs w:val="20"/>
          <w:lang w:val="es-CR"/>
        </w:rPr>
        <w:t xml:space="preserve"> ARGENTINA</w:t>
      </w:r>
    </w:p>
    <w:p w14:paraId="03D15D34" w14:textId="77777777" w:rsidR="000770E0" w:rsidRPr="00850F42" w:rsidRDefault="000770E0" w:rsidP="00EF5F56">
      <w:pPr>
        <w:tabs>
          <w:tab w:val="left" w:pos="567"/>
        </w:tabs>
        <w:spacing w:after="0" w:line="240" w:lineRule="auto"/>
        <w:rPr>
          <w:rFonts w:ascii="Verdana" w:eastAsia="Calibri" w:hAnsi="Verdana" w:cs="Calibri"/>
          <w:b/>
          <w:sz w:val="20"/>
          <w:szCs w:val="20"/>
          <w:lang w:val="es-CR"/>
        </w:rPr>
      </w:pPr>
    </w:p>
    <w:p w14:paraId="03D15D35" w14:textId="77777777" w:rsidR="000770E0" w:rsidRPr="00850F42" w:rsidRDefault="000770E0" w:rsidP="00EF5F56">
      <w:pPr>
        <w:tabs>
          <w:tab w:val="left" w:pos="567"/>
        </w:tabs>
        <w:spacing w:after="0" w:line="240" w:lineRule="auto"/>
        <w:jc w:val="center"/>
        <w:rPr>
          <w:rFonts w:ascii="Verdana" w:eastAsia="Calibri" w:hAnsi="Verdana" w:cs="Calibri"/>
          <w:b/>
          <w:sz w:val="20"/>
          <w:szCs w:val="20"/>
          <w:lang w:val="es-CR"/>
        </w:rPr>
      </w:pPr>
      <w:r w:rsidRPr="00850F42">
        <w:rPr>
          <w:rFonts w:ascii="Verdana" w:eastAsia="Calibri" w:hAnsi="Verdana" w:cs="Calibri"/>
          <w:b/>
          <w:sz w:val="20"/>
          <w:szCs w:val="20"/>
          <w:lang w:val="es-CR"/>
        </w:rPr>
        <w:t>CONVOCATORIA A AUDIENCIA</w:t>
      </w:r>
    </w:p>
    <w:p w14:paraId="03D15D37" w14:textId="77777777" w:rsidR="000770E0" w:rsidRPr="00850F42" w:rsidRDefault="000770E0" w:rsidP="00EF5F56">
      <w:pPr>
        <w:tabs>
          <w:tab w:val="left" w:pos="567"/>
        </w:tabs>
        <w:spacing w:after="0" w:line="240" w:lineRule="auto"/>
        <w:rPr>
          <w:rFonts w:ascii="Verdana" w:eastAsia="Calibri" w:hAnsi="Verdana" w:cs="Calibri"/>
          <w:sz w:val="20"/>
          <w:szCs w:val="20"/>
          <w:lang w:val="es-CR"/>
        </w:rPr>
      </w:pPr>
    </w:p>
    <w:p w14:paraId="03D15D38" w14:textId="453706C9" w:rsidR="000770E0" w:rsidRPr="00850F42" w:rsidRDefault="000770E0" w:rsidP="00EF5F56">
      <w:pPr>
        <w:tabs>
          <w:tab w:val="left" w:pos="567"/>
        </w:tabs>
        <w:spacing w:after="0" w:line="240" w:lineRule="auto"/>
        <w:rPr>
          <w:rFonts w:ascii="Verdana" w:eastAsia="Calibri" w:hAnsi="Verdana" w:cs="Calibri"/>
          <w:b/>
          <w:sz w:val="20"/>
          <w:szCs w:val="20"/>
          <w:lang w:val="es-CR"/>
        </w:rPr>
      </w:pPr>
      <w:r w:rsidRPr="00850F42">
        <w:rPr>
          <w:rFonts w:ascii="Verdana" w:eastAsia="Calibri" w:hAnsi="Verdana" w:cs="Calibri"/>
          <w:b/>
          <w:sz w:val="20"/>
          <w:szCs w:val="20"/>
          <w:lang w:val="es-CR"/>
        </w:rPr>
        <w:t>VISTO:</w:t>
      </w:r>
    </w:p>
    <w:p w14:paraId="03D15D39" w14:textId="77777777" w:rsidR="000770E0" w:rsidRPr="00850F42" w:rsidRDefault="000770E0" w:rsidP="00EF5F56">
      <w:pPr>
        <w:tabs>
          <w:tab w:val="left" w:pos="567"/>
        </w:tabs>
        <w:spacing w:after="0" w:line="240" w:lineRule="auto"/>
        <w:rPr>
          <w:rFonts w:ascii="Verdana" w:eastAsia="Calibri" w:hAnsi="Verdana" w:cs="Calibri"/>
          <w:b/>
          <w:sz w:val="20"/>
          <w:szCs w:val="20"/>
          <w:lang w:val="es-CR"/>
        </w:rPr>
      </w:pPr>
    </w:p>
    <w:p w14:paraId="03D15D3A" w14:textId="0B51AE0E" w:rsidR="000770E0" w:rsidRPr="00365273" w:rsidRDefault="000770E0" w:rsidP="00EF5F56">
      <w:pPr>
        <w:pStyle w:val="ListParagraph"/>
        <w:widowControl w:val="0"/>
        <w:numPr>
          <w:ilvl w:val="0"/>
          <w:numId w:val="1"/>
        </w:numPr>
        <w:tabs>
          <w:tab w:val="left" w:pos="567"/>
        </w:tabs>
        <w:autoSpaceDE w:val="0"/>
        <w:autoSpaceDN w:val="0"/>
        <w:adjustRightInd w:val="0"/>
        <w:spacing w:after="0"/>
        <w:ind w:left="0" w:right="22" w:firstLine="0"/>
        <w:contextualSpacing w:val="0"/>
        <w:rPr>
          <w:szCs w:val="20"/>
          <w:lang w:val="es-CR"/>
        </w:rPr>
      </w:pPr>
      <w:bookmarkStart w:id="1" w:name="_Ref393297742"/>
      <w:bookmarkStart w:id="2" w:name="_Ref352676460"/>
      <w:r w:rsidRPr="00850F42">
        <w:rPr>
          <w:rFonts w:cs="Verdana"/>
          <w:szCs w:val="20"/>
          <w:lang w:val="es-CR"/>
        </w:rPr>
        <w:t>El escrito de sometimiento del caso y el Informe de Fondo de la Comisión Interamericana de Derechos Humanos (en adelante “la Comisión Interamericana” o “la Comisión”)</w:t>
      </w:r>
      <w:bookmarkEnd w:id="1"/>
      <w:r w:rsidRPr="00850F42">
        <w:rPr>
          <w:rFonts w:cs="Verdana"/>
          <w:szCs w:val="20"/>
          <w:lang w:val="es-CR"/>
        </w:rPr>
        <w:t xml:space="preserve">; </w:t>
      </w:r>
      <w:bookmarkStart w:id="3" w:name="_Ref393297751"/>
      <w:bookmarkStart w:id="4" w:name="_Ref351983508"/>
      <w:bookmarkEnd w:id="2"/>
      <w:r w:rsidRPr="00850F42">
        <w:rPr>
          <w:rFonts w:cs="Verdana"/>
          <w:szCs w:val="20"/>
          <w:lang w:val="es-CR"/>
        </w:rPr>
        <w:t>el escrito de solicitudes, argumentos y pruebas (en adelante, el “escrito de solicitudes y argumentos”</w:t>
      </w:r>
      <w:r w:rsidR="00704185">
        <w:rPr>
          <w:rFonts w:cs="Verdana"/>
          <w:szCs w:val="20"/>
          <w:lang w:val="es-CR"/>
        </w:rPr>
        <w:t xml:space="preserve"> o “ESAP”</w:t>
      </w:r>
      <w:r w:rsidRPr="00850F42">
        <w:rPr>
          <w:rFonts w:cs="Verdana"/>
          <w:szCs w:val="20"/>
          <w:lang w:val="es-CR"/>
        </w:rPr>
        <w:t xml:space="preserve">) de los representantes de las presuntas víctimas (en adelante “los representantes”); y </w:t>
      </w:r>
      <w:bookmarkStart w:id="5" w:name="_Ref352676532"/>
      <w:bookmarkEnd w:id="3"/>
      <w:bookmarkEnd w:id="4"/>
      <w:r w:rsidRPr="00850F42">
        <w:rPr>
          <w:rFonts w:cs="Verdana"/>
          <w:szCs w:val="20"/>
          <w:lang w:val="es-CR"/>
        </w:rPr>
        <w:t>el escrito</w:t>
      </w:r>
      <w:r w:rsidR="009352A2" w:rsidRPr="00850F42">
        <w:rPr>
          <w:rFonts w:cs="Verdana"/>
          <w:szCs w:val="20"/>
          <w:lang w:val="es-CR"/>
        </w:rPr>
        <w:t xml:space="preserve"> de excepciones preliminares y contestación al </w:t>
      </w:r>
      <w:r w:rsidRPr="00850F42">
        <w:rPr>
          <w:rFonts w:cs="Verdana"/>
          <w:szCs w:val="20"/>
          <w:lang w:val="es-CR"/>
        </w:rPr>
        <w:t>sometimiento del caso y al escrito de solicitudes y argumentos</w:t>
      </w:r>
      <w:r w:rsidRPr="00850F42">
        <w:rPr>
          <w:rFonts w:cs="Verdana"/>
          <w:color w:val="FF0000"/>
          <w:szCs w:val="20"/>
          <w:lang w:val="es-CR"/>
        </w:rPr>
        <w:t xml:space="preserve"> </w:t>
      </w:r>
      <w:r w:rsidRPr="00850F42">
        <w:rPr>
          <w:rFonts w:cs="Verdana"/>
          <w:szCs w:val="20"/>
          <w:lang w:val="es-CR"/>
        </w:rPr>
        <w:t xml:space="preserve">(en adelante “escrito de contestación”) del Estado </w:t>
      </w:r>
      <w:bookmarkEnd w:id="5"/>
      <w:r w:rsidRPr="00850F42">
        <w:rPr>
          <w:rFonts w:cs="Verdana"/>
          <w:szCs w:val="20"/>
        </w:rPr>
        <w:t xml:space="preserve">de la República Argentina (en adelante “Argentina”, "el Estado argentino” o “el Estado”), </w:t>
      </w:r>
      <w:r w:rsidRPr="00850F42">
        <w:rPr>
          <w:szCs w:val="20"/>
        </w:rPr>
        <w:t>así como los escritos de observaciones a</w:t>
      </w:r>
      <w:r w:rsidR="0061455E" w:rsidRPr="00850F42">
        <w:rPr>
          <w:szCs w:val="20"/>
        </w:rPr>
        <w:t xml:space="preserve"> </w:t>
      </w:r>
      <w:r w:rsidRPr="00850F42">
        <w:rPr>
          <w:szCs w:val="20"/>
        </w:rPr>
        <w:t>l</w:t>
      </w:r>
      <w:r w:rsidR="0061455E" w:rsidRPr="00850F42">
        <w:rPr>
          <w:szCs w:val="20"/>
        </w:rPr>
        <w:t>as excepciones preliminares interpuestas por el Estado</w:t>
      </w:r>
      <w:r w:rsidRPr="00850F42">
        <w:rPr>
          <w:szCs w:val="20"/>
        </w:rPr>
        <w:t>, presentados por la Comisión y l</w:t>
      </w:r>
      <w:r w:rsidR="0061455E" w:rsidRPr="00850F42">
        <w:rPr>
          <w:szCs w:val="20"/>
        </w:rPr>
        <w:t>o</w:t>
      </w:r>
      <w:r w:rsidRPr="00850F42">
        <w:rPr>
          <w:szCs w:val="20"/>
        </w:rPr>
        <w:t>s representantes.</w:t>
      </w:r>
      <w:bookmarkStart w:id="6" w:name="_Ref393297780"/>
      <w:bookmarkStart w:id="7" w:name="_Ref393920719"/>
      <w:r w:rsidR="00793371">
        <w:rPr>
          <w:szCs w:val="20"/>
        </w:rPr>
        <w:t xml:space="preserve"> </w:t>
      </w:r>
    </w:p>
    <w:p w14:paraId="241BCA55" w14:textId="77777777" w:rsidR="00793371" w:rsidRPr="00365273" w:rsidRDefault="00793371" w:rsidP="00EF5F56">
      <w:pPr>
        <w:pStyle w:val="ListParagraph"/>
        <w:widowControl w:val="0"/>
        <w:tabs>
          <w:tab w:val="left" w:pos="567"/>
        </w:tabs>
        <w:autoSpaceDE w:val="0"/>
        <w:autoSpaceDN w:val="0"/>
        <w:adjustRightInd w:val="0"/>
        <w:spacing w:after="0"/>
        <w:ind w:left="0" w:right="22"/>
        <w:contextualSpacing w:val="0"/>
        <w:rPr>
          <w:szCs w:val="20"/>
          <w:lang w:val="es-CR"/>
        </w:rPr>
      </w:pPr>
    </w:p>
    <w:p w14:paraId="28B05D99" w14:textId="077AD639" w:rsidR="006B3E42" w:rsidRPr="00327B81" w:rsidRDefault="00327B81" w:rsidP="00EF5F56">
      <w:pPr>
        <w:pStyle w:val="ListParagraph"/>
        <w:widowControl w:val="0"/>
        <w:numPr>
          <w:ilvl w:val="0"/>
          <w:numId w:val="1"/>
        </w:numPr>
        <w:tabs>
          <w:tab w:val="left" w:pos="567"/>
        </w:tabs>
        <w:autoSpaceDE w:val="0"/>
        <w:autoSpaceDN w:val="0"/>
        <w:adjustRightInd w:val="0"/>
        <w:spacing w:after="0"/>
        <w:ind w:left="0" w:right="22" w:firstLine="0"/>
        <w:contextualSpacing w:val="0"/>
        <w:rPr>
          <w:szCs w:val="20"/>
          <w:lang w:val="es-CR"/>
        </w:rPr>
      </w:pPr>
      <w:r>
        <w:rPr>
          <w:szCs w:val="20"/>
          <w:lang w:val="es-CR"/>
        </w:rPr>
        <w:t xml:space="preserve">La nota de Secretaría de </w:t>
      </w:r>
      <w:r>
        <w:rPr>
          <w:rFonts w:cs="Arial"/>
          <w:szCs w:val="20"/>
        </w:rPr>
        <w:t>12 de abril de 2018</w:t>
      </w:r>
      <w:r>
        <w:rPr>
          <w:szCs w:val="20"/>
          <w:lang w:val="es-CR"/>
        </w:rPr>
        <w:t xml:space="preserve">. </w:t>
      </w:r>
      <w:r w:rsidR="00793371" w:rsidRPr="00327B81">
        <w:rPr>
          <w:szCs w:val="20"/>
          <w:lang w:val="es-CR"/>
        </w:rPr>
        <w:t xml:space="preserve">El escrito </w:t>
      </w:r>
      <w:r>
        <w:rPr>
          <w:szCs w:val="20"/>
          <w:lang w:val="es-CR"/>
        </w:rPr>
        <w:t xml:space="preserve">de </w:t>
      </w:r>
      <w:r w:rsidRPr="00327B81">
        <w:rPr>
          <w:szCs w:val="20"/>
          <w:lang w:val="es-CR"/>
        </w:rPr>
        <w:t>los</w:t>
      </w:r>
      <w:r w:rsidRPr="00C071DA">
        <w:rPr>
          <w:b/>
          <w:i/>
          <w:szCs w:val="20"/>
          <w:lang w:val="es-CR"/>
        </w:rPr>
        <w:t xml:space="preserve"> </w:t>
      </w:r>
      <w:r w:rsidRPr="00EF5F56">
        <w:rPr>
          <w:szCs w:val="20"/>
          <w:lang w:val="es-CR"/>
        </w:rPr>
        <w:t>representantes</w:t>
      </w:r>
      <w:r w:rsidRPr="00C071DA">
        <w:rPr>
          <w:szCs w:val="20"/>
          <w:lang w:val="es-CR"/>
        </w:rPr>
        <w:t xml:space="preserve"> </w:t>
      </w:r>
      <w:r>
        <w:rPr>
          <w:szCs w:val="20"/>
          <w:lang w:val="es-CR"/>
        </w:rPr>
        <w:t xml:space="preserve">de </w:t>
      </w:r>
      <w:r w:rsidRPr="00327B81">
        <w:rPr>
          <w:szCs w:val="20"/>
          <w:lang w:val="es-CR"/>
        </w:rPr>
        <w:t>16 de abril de 2018</w:t>
      </w:r>
      <w:r>
        <w:rPr>
          <w:szCs w:val="20"/>
          <w:lang w:val="es-CR"/>
        </w:rPr>
        <w:t xml:space="preserve">, </w:t>
      </w:r>
      <w:r w:rsidR="00793371" w:rsidRPr="00327B81">
        <w:rPr>
          <w:szCs w:val="20"/>
          <w:lang w:val="es-CR"/>
        </w:rPr>
        <w:t xml:space="preserve">mediante el cual </w:t>
      </w:r>
      <w:r w:rsidR="00AF2DEF" w:rsidRPr="00327B81">
        <w:rPr>
          <w:szCs w:val="20"/>
          <w:lang w:val="es-CR"/>
        </w:rPr>
        <w:t xml:space="preserve">manifestaron que </w:t>
      </w:r>
      <w:r w:rsidR="00793371" w:rsidRPr="00327B81">
        <w:rPr>
          <w:szCs w:val="20"/>
          <w:lang w:val="es-CR"/>
        </w:rPr>
        <w:t>“</w:t>
      </w:r>
      <w:r w:rsidR="006F2F7D" w:rsidRPr="00365273">
        <w:rPr>
          <w:bCs/>
          <w:iCs/>
          <w:szCs w:val="20"/>
          <w:lang w:val="es-CR"/>
        </w:rPr>
        <w:t>[habían]</w:t>
      </w:r>
      <w:r w:rsidR="006F2F7D" w:rsidRPr="00365273">
        <w:rPr>
          <w:bCs/>
          <w:iCs/>
          <w:szCs w:val="20"/>
          <w:lang w:val="es-MX"/>
        </w:rPr>
        <w:t xml:space="preserve"> </w:t>
      </w:r>
      <w:proofErr w:type="spellStart"/>
      <w:proofErr w:type="gramStart"/>
      <w:r w:rsidR="006F2F7D" w:rsidRPr="00365273">
        <w:rPr>
          <w:bCs/>
          <w:iCs/>
          <w:szCs w:val="20"/>
          <w:lang w:val="es-MX"/>
        </w:rPr>
        <w:t>efectu</w:t>
      </w:r>
      <w:proofErr w:type="spellEnd"/>
      <w:r w:rsidR="006F2F7D" w:rsidRPr="00365273">
        <w:rPr>
          <w:bCs/>
          <w:iCs/>
          <w:szCs w:val="20"/>
          <w:lang w:val="es-MX"/>
        </w:rPr>
        <w:t>[</w:t>
      </w:r>
      <w:proofErr w:type="spellStart"/>
      <w:proofErr w:type="gramEnd"/>
      <w:r w:rsidR="006F2F7D" w:rsidRPr="00365273">
        <w:rPr>
          <w:bCs/>
          <w:iCs/>
          <w:szCs w:val="20"/>
          <w:lang w:val="es-MX"/>
        </w:rPr>
        <w:t>ado</w:t>
      </w:r>
      <w:proofErr w:type="spellEnd"/>
      <w:r w:rsidR="006F2F7D" w:rsidRPr="00365273">
        <w:rPr>
          <w:bCs/>
          <w:iCs/>
          <w:szCs w:val="20"/>
          <w:lang w:val="es-MX"/>
        </w:rPr>
        <w:t>] un pormenorizado ofrecimiento de prueba [en su ESAP] […]</w:t>
      </w:r>
      <w:r w:rsidR="00AF2DEF" w:rsidRPr="00327B81">
        <w:rPr>
          <w:bCs/>
          <w:iCs/>
          <w:szCs w:val="20"/>
          <w:lang w:val="es-MX"/>
        </w:rPr>
        <w:t xml:space="preserve"> </w:t>
      </w:r>
      <w:r w:rsidR="006F2F7D" w:rsidRPr="00365273">
        <w:rPr>
          <w:bCs/>
          <w:iCs/>
          <w:szCs w:val="20"/>
          <w:lang w:val="es-MX"/>
        </w:rPr>
        <w:t xml:space="preserve">solicitando se lo tenga </w:t>
      </w:r>
      <w:r w:rsidR="006B3E42" w:rsidRPr="00327B81">
        <w:rPr>
          <w:bCs/>
          <w:iCs/>
          <w:szCs w:val="20"/>
          <w:lang w:val="es-MX"/>
        </w:rPr>
        <w:t xml:space="preserve">[sic] </w:t>
      </w:r>
      <w:r w:rsidR="006F2F7D" w:rsidRPr="00365273">
        <w:rPr>
          <w:bCs/>
          <w:iCs/>
          <w:szCs w:val="20"/>
          <w:lang w:val="es-MX"/>
        </w:rPr>
        <w:t>presente y reproducido a todos sus efectos</w:t>
      </w:r>
      <w:r w:rsidR="006B3E42" w:rsidRPr="00327B81">
        <w:rPr>
          <w:bCs/>
          <w:iCs/>
          <w:szCs w:val="20"/>
          <w:lang w:val="es-MX"/>
        </w:rPr>
        <w:t xml:space="preserve"> [sic]</w:t>
      </w:r>
      <w:r w:rsidR="006F2F7D" w:rsidRPr="00365273">
        <w:rPr>
          <w:bCs/>
          <w:iCs/>
          <w:szCs w:val="20"/>
          <w:lang w:val="es-MX"/>
        </w:rPr>
        <w:t>”</w:t>
      </w:r>
      <w:r w:rsidR="00AF2DEF" w:rsidRPr="00327B81">
        <w:rPr>
          <w:bCs/>
          <w:iCs/>
          <w:szCs w:val="20"/>
          <w:lang w:val="es-MX"/>
        </w:rPr>
        <w:t>.</w:t>
      </w:r>
      <w:r w:rsidR="006B3E42" w:rsidRPr="00327B81">
        <w:rPr>
          <w:bCs/>
          <w:iCs/>
          <w:szCs w:val="20"/>
          <w:lang w:val="es-MX"/>
        </w:rPr>
        <w:t xml:space="preserve"> </w:t>
      </w:r>
    </w:p>
    <w:p w14:paraId="03D15D3C" w14:textId="7E902AA1" w:rsidR="000770E0" w:rsidRPr="00850F42" w:rsidRDefault="006B3E42" w:rsidP="00EF5F56">
      <w:pPr>
        <w:pStyle w:val="ListParagraph"/>
        <w:widowControl w:val="0"/>
        <w:tabs>
          <w:tab w:val="left" w:pos="567"/>
        </w:tabs>
        <w:autoSpaceDE w:val="0"/>
        <w:autoSpaceDN w:val="0"/>
        <w:adjustRightInd w:val="0"/>
        <w:spacing w:after="0"/>
        <w:ind w:left="0" w:right="22"/>
        <w:contextualSpacing w:val="0"/>
        <w:rPr>
          <w:szCs w:val="20"/>
          <w:lang w:val="es-CR"/>
        </w:rPr>
      </w:pPr>
      <w:r w:rsidRPr="006B3E42" w:rsidDel="006B3E42">
        <w:rPr>
          <w:bCs/>
          <w:iCs/>
          <w:szCs w:val="20"/>
          <w:lang w:val="es-MX"/>
        </w:rPr>
        <w:t xml:space="preserve"> </w:t>
      </w:r>
    </w:p>
    <w:p w14:paraId="6C23C4B5" w14:textId="77777777" w:rsidR="003F6997" w:rsidRPr="003F6997" w:rsidRDefault="000770E0" w:rsidP="00997AD1">
      <w:pPr>
        <w:pStyle w:val="ListParagraph"/>
        <w:widowControl w:val="0"/>
        <w:numPr>
          <w:ilvl w:val="0"/>
          <w:numId w:val="1"/>
        </w:numPr>
        <w:tabs>
          <w:tab w:val="left" w:pos="567"/>
          <w:tab w:val="left" w:pos="7740"/>
        </w:tabs>
        <w:autoSpaceDE w:val="0"/>
        <w:autoSpaceDN w:val="0"/>
        <w:adjustRightInd w:val="0"/>
        <w:spacing w:after="0"/>
        <w:ind w:left="0" w:right="22" w:firstLine="0"/>
        <w:contextualSpacing w:val="0"/>
        <w:rPr>
          <w:szCs w:val="20"/>
          <w:lang w:val="es-CR"/>
        </w:rPr>
      </w:pPr>
      <w:r w:rsidRPr="003F6997">
        <w:rPr>
          <w:rFonts w:cs="Verdana"/>
          <w:szCs w:val="20"/>
          <w:lang w:val="es-CR"/>
        </w:rPr>
        <w:t>La lista definitiva de declarantes presentada por la Comisión el 31 de octubre de 2018</w:t>
      </w:r>
      <w:r w:rsidR="003F6997">
        <w:rPr>
          <w:rFonts w:cs="Verdana"/>
          <w:szCs w:val="20"/>
          <w:lang w:val="es-CR"/>
        </w:rPr>
        <w:t>.</w:t>
      </w:r>
    </w:p>
    <w:p w14:paraId="77BAA019" w14:textId="77777777" w:rsidR="003F6997" w:rsidRPr="003F6997" w:rsidRDefault="003F6997" w:rsidP="00997AD1">
      <w:pPr>
        <w:pStyle w:val="ListParagraph"/>
        <w:rPr>
          <w:rFonts w:cs="Verdana"/>
          <w:szCs w:val="20"/>
          <w:lang w:val="es-CR"/>
        </w:rPr>
      </w:pPr>
    </w:p>
    <w:bookmarkEnd w:id="6"/>
    <w:bookmarkEnd w:id="7"/>
    <w:p w14:paraId="03D15D3F" w14:textId="4F8B33AC" w:rsidR="000770E0" w:rsidRPr="00850F42" w:rsidRDefault="000770E0" w:rsidP="00EF5F56">
      <w:pPr>
        <w:pStyle w:val="ListParagraph"/>
        <w:widowControl w:val="0"/>
        <w:numPr>
          <w:ilvl w:val="0"/>
          <w:numId w:val="1"/>
        </w:numPr>
        <w:tabs>
          <w:tab w:val="left" w:pos="567"/>
          <w:tab w:val="left" w:pos="7740"/>
        </w:tabs>
        <w:autoSpaceDE w:val="0"/>
        <w:autoSpaceDN w:val="0"/>
        <w:adjustRightInd w:val="0"/>
        <w:spacing w:after="0"/>
        <w:ind w:left="0" w:right="23" w:firstLine="0"/>
        <w:contextualSpacing w:val="0"/>
        <w:rPr>
          <w:szCs w:val="20"/>
          <w:lang w:val="es-CR"/>
        </w:rPr>
      </w:pPr>
      <w:r w:rsidRPr="00850F42">
        <w:rPr>
          <w:szCs w:val="20"/>
          <w:lang w:val="es-CR"/>
        </w:rPr>
        <w:t xml:space="preserve">El escrito </w:t>
      </w:r>
      <w:r w:rsidR="00BA5848">
        <w:rPr>
          <w:szCs w:val="20"/>
          <w:lang w:val="es-CR"/>
        </w:rPr>
        <w:t>recibido en la Secretaría del Tribunal el</w:t>
      </w:r>
      <w:r w:rsidRPr="00850F42">
        <w:rPr>
          <w:szCs w:val="20"/>
          <w:lang w:val="es-CR"/>
        </w:rPr>
        <w:t xml:space="preserve"> 31 de octubre de 2018, </w:t>
      </w:r>
      <w:r w:rsidR="00F56412">
        <w:rPr>
          <w:szCs w:val="20"/>
          <w:lang w:val="es-CR"/>
        </w:rPr>
        <w:t xml:space="preserve">remitido con posterioridad al </w:t>
      </w:r>
      <w:r w:rsidR="00F56412" w:rsidRPr="00F56412">
        <w:rPr>
          <w:szCs w:val="20"/>
          <w:lang w:val="es-CR"/>
        </w:rPr>
        <w:t>escrito de solicitudes y argumentos</w:t>
      </w:r>
      <w:r w:rsidR="00F56412">
        <w:rPr>
          <w:szCs w:val="20"/>
          <w:lang w:val="es-CR"/>
        </w:rPr>
        <w:t xml:space="preserve">, </w:t>
      </w:r>
      <w:r w:rsidRPr="00850F42">
        <w:rPr>
          <w:szCs w:val="20"/>
          <w:lang w:val="es-CR"/>
        </w:rPr>
        <w:t xml:space="preserve">mediante el cual los representantes </w:t>
      </w:r>
      <w:r w:rsidR="00D24A86">
        <w:rPr>
          <w:szCs w:val="20"/>
          <w:lang w:val="es-CR"/>
        </w:rPr>
        <w:t>solicitaron</w:t>
      </w:r>
      <w:r w:rsidR="00F56412" w:rsidRPr="00850F42">
        <w:rPr>
          <w:szCs w:val="20"/>
          <w:lang w:val="es-CR"/>
        </w:rPr>
        <w:t xml:space="preserve"> </w:t>
      </w:r>
      <w:r w:rsidRPr="00850F42">
        <w:rPr>
          <w:szCs w:val="20"/>
          <w:lang w:val="es-CR"/>
        </w:rPr>
        <w:t xml:space="preserve">el desahogo de una declaración pericial y adjuntaron la hoja de vida del perito </w:t>
      </w:r>
      <w:r w:rsidR="00F56412">
        <w:rPr>
          <w:szCs w:val="20"/>
          <w:lang w:val="es-CR"/>
        </w:rPr>
        <w:t>propuesto</w:t>
      </w:r>
      <w:r w:rsidR="003F6997">
        <w:rPr>
          <w:szCs w:val="20"/>
          <w:lang w:val="es-CR"/>
        </w:rPr>
        <w:t>.</w:t>
      </w:r>
    </w:p>
    <w:p w14:paraId="03D15D40" w14:textId="77777777" w:rsidR="00BE0073" w:rsidRPr="00850F42" w:rsidRDefault="00BE0073" w:rsidP="00EF5F56">
      <w:pPr>
        <w:pStyle w:val="ListParagraph"/>
        <w:spacing w:after="0"/>
        <w:rPr>
          <w:szCs w:val="20"/>
          <w:lang w:val="es-CR"/>
        </w:rPr>
      </w:pPr>
    </w:p>
    <w:p w14:paraId="2FFB4D61" w14:textId="5E69DDEB" w:rsidR="00871080" w:rsidRPr="00925B10" w:rsidRDefault="00FE60EF" w:rsidP="00EF5F56">
      <w:pPr>
        <w:pStyle w:val="ListParagraph"/>
        <w:widowControl w:val="0"/>
        <w:numPr>
          <w:ilvl w:val="0"/>
          <w:numId w:val="1"/>
        </w:numPr>
        <w:tabs>
          <w:tab w:val="left" w:pos="567"/>
          <w:tab w:val="left" w:pos="7740"/>
        </w:tabs>
        <w:autoSpaceDE w:val="0"/>
        <w:autoSpaceDN w:val="0"/>
        <w:adjustRightInd w:val="0"/>
        <w:spacing w:after="0"/>
        <w:ind w:left="0" w:right="22" w:firstLine="0"/>
        <w:contextualSpacing w:val="0"/>
        <w:rPr>
          <w:szCs w:val="20"/>
          <w:lang w:val="es-CR"/>
        </w:rPr>
      </w:pPr>
      <w:r w:rsidRPr="00871080">
        <w:rPr>
          <w:szCs w:val="20"/>
          <w:lang w:val="es-CR"/>
        </w:rPr>
        <w:t xml:space="preserve">El escrito de </w:t>
      </w:r>
      <w:r w:rsidR="00CF301D" w:rsidRPr="00871080">
        <w:rPr>
          <w:szCs w:val="20"/>
          <w:lang w:val="es-CR"/>
        </w:rPr>
        <w:t>12</w:t>
      </w:r>
      <w:r w:rsidRPr="00871080">
        <w:rPr>
          <w:szCs w:val="20"/>
          <w:lang w:val="es-CR"/>
        </w:rPr>
        <w:t xml:space="preserve"> de noviembre de 2018, a través del cual el Estado </w:t>
      </w:r>
      <w:r w:rsidR="0001213C">
        <w:rPr>
          <w:szCs w:val="20"/>
          <w:lang w:val="es-CR"/>
        </w:rPr>
        <w:t xml:space="preserve">objetó </w:t>
      </w:r>
      <w:r w:rsidRPr="00871080">
        <w:rPr>
          <w:szCs w:val="20"/>
          <w:lang w:val="es-CR"/>
        </w:rPr>
        <w:t>e</w:t>
      </w:r>
      <w:r w:rsidR="00925B10">
        <w:rPr>
          <w:szCs w:val="20"/>
          <w:lang w:val="es-CR"/>
        </w:rPr>
        <w:t>l</w:t>
      </w:r>
      <w:r w:rsidRPr="00871080">
        <w:rPr>
          <w:szCs w:val="20"/>
          <w:lang w:val="es-CR"/>
        </w:rPr>
        <w:t xml:space="preserve"> ofrecimient</w:t>
      </w:r>
      <w:r w:rsidR="00925B10">
        <w:rPr>
          <w:szCs w:val="20"/>
          <w:lang w:val="es-CR"/>
        </w:rPr>
        <w:t>o</w:t>
      </w:r>
      <w:r w:rsidRPr="00925B10">
        <w:rPr>
          <w:szCs w:val="20"/>
          <w:lang w:val="es-CR"/>
        </w:rPr>
        <w:t xml:space="preserve"> pericial </w:t>
      </w:r>
      <w:r w:rsidR="00CF301D" w:rsidRPr="00925B10">
        <w:rPr>
          <w:szCs w:val="20"/>
          <w:lang w:val="es-CR"/>
        </w:rPr>
        <w:t xml:space="preserve">propuesto por </w:t>
      </w:r>
      <w:r w:rsidR="00D24A86" w:rsidRPr="00925B10">
        <w:rPr>
          <w:szCs w:val="20"/>
          <w:lang w:val="es-CR"/>
        </w:rPr>
        <w:t>la Comisión y</w:t>
      </w:r>
      <w:r w:rsidR="00925B10" w:rsidRPr="00925B10">
        <w:rPr>
          <w:szCs w:val="20"/>
          <w:lang w:val="es-CR"/>
        </w:rPr>
        <w:t xml:space="preserve"> </w:t>
      </w:r>
      <w:r w:rsidR="0001213C">
        <w:rPr>
          <w:szCs w:val="20"/>
          <w:lang w:val="es-CR"/>
        </w:rPr>
        <w:t>manifestó sus observaciones respecto a una solicitud</w:t>
      </w:r>
      <w:r w:rsidR="00925B10" w:rsidRPr="00925B10">
        <w:rPr>
          <w:szCs w:val="20"/>
          <w:lang w:val="es-CR"/>
        </w:rPr>
        <w:t xml:space="preserve"> </w:t>
      </w:r>
      <w:r w:rsidR="0001213C">
        <w:rPr>
          <w:szCs w:val="20"/>
          <w:lang w:val="es-CR"/>
        </w:rPr>
        <w:t>realizada por l</w:t>
      </w:r>
      <w:r w:rsidR="00925B10" w:rsidRPr="00925B10">
        <w:rPr>
          <w:szCs w:val="20"/>
          <w:lang w:val="es-CR"/>
        </w:rPr>
        <w:t xml:space="preserve">os </w:t>
      </w:r>
      <w:r w:rsidRPr="00925B10">
        <w:rPr>
          <w:szCs w:val="20"/>
          <w:lang w:val="es-CR"/>
        </w:rPr>
        <w:t>representantes</w:t>
      </w:r>
      <w:r w:rsidR="0001213C">
        <w:rPr>
          <w:szCs w:val="20"/>
          <w:lang w:val="es-CR"/>
        </w:rPr>
        <w:t xml:space="preserve"> en su escrito de 31 de octubre de 2018</w:t>
      </w:r>
      <w:r w:rsidR="003F6997">
        <w:rPr>
          <w:szCs w:val="20"/>
          <w:lang w:val="es-CR"/>
        </w:rPr>
        <w:t>.</w:t>
      </w:r>
      <w:r w:rsidRPr="00925B10">
        <w:rPr>
          <w:b/>
          <w:szCs w:val="20"/>
          <w:lang w:val="es-CR"/>
        </w:rPr>
        <w:t xml:space="preserve"> </w:t>
      </w:r>
    </w:p>
    <w:p w14:paraId="58DDF2CA" w14:textId="11159812" w:rsidR="00871080" w:rsidRPr="00AC28E6" w:rsidRDefault="00871080" w:rsidP="00EF5F56">
      <w:pPr>
        <w:pStyle w:val="ListParagraph"/>
        <w:widowControl w:val="0"/>
        <w:tabs>
          <w:tab w:val="left" w:pos="567"/>
          <w:tab w:val="left" w:pos="7740"/>
        </w:tabs>
        <w:autoSpaceDE w:val="0"/>
        <w:autoSpaceDN w:val="0"/>
        <w:adjustRightInd w:val="0"/>
        <w:spacing w:after="0"/>
        <w:ind w:left="0" w:right="22"/>
        <w:contextualSpacing w:val="0"/>
        <w:rPr>
          <w:szCs w:val="20"/>
          <w:lang w:val="es-CR"/>
        </w:rPr>
      </w:pPr>
    </w:p>
    <w:p w14:paraId="3FD96AAE" w14:textId="0EF9A835" w:rsidR="00D24A86" w:rsidRPr="00365273" w:rsidRDefault="00871080" w:rsidP="00EF5F56">
      <w:pPr>
        <w:pStyle w:val="ListParagraph"/>
        <w:widowControl w:val="0"/>
        <w:numPr>
          <w:ilvl w:val="0"/>
          <w:numId w:val="1"/>
        </w:numPr>
        <w:tabs>
          <w:tab w:val="left" w:pos="567"/>
          <w:tab w:val="left" w:pos="7740"/>
        </w:tabs>
        <w:autoSpaceDE w:val="0"/>
        <w:autoSpaceDN w:val="0"/>
        <w:adjustRightInd w:val="0"/>
        <w:spacing w:after="0"/>
        <w:ind w:left="0" w:right="22" w:firstLine="0"/>
        <w:contextualSpacing w:val="0"/>
        <w:rPr>
          <w:szCs w:val="20"/>
          <w:lang w:val="es-CR"/>
        </w:rPr>
      </w:pPr>
      <w:r>
        <w:rPr>
          <w:szCs w:val="20"/>
          <w:lang w:val="es-CR"/>
        </w:rPr>
        <w:t xml:space="preserve">El escrito de 12 de noviembre de 2018, mediante el cual los representantes manifestaron sus observaciones respecto del ofrecimiento pericial de la </w:t>
      </w:r>
      <w:r w:rsidR="00D24A86">
        <w:rPr>
          <w:szCs w:val="20"/>
          <w:lang w:val="es-CR"/>
        </w:rPr>
        <w:t>Comisión y so</w:t>
      </w:r>
      <w:r w:rsidR="00DB1615">
        <w:rPr>
          <w:szCs w:val="20"/>
          <w:lang w:val="es-CR"/>
        </w:rPr>
        <w:t>licitaron formular preguntas a la perita a cargo de su desahogo</w:t>
      </w:r>
      <w:r w:rsidR="003F6997">
        <w:rPr>
          <w:szCs w:val="20"/>
          <w:lang w:val="es-CR"/>
        </w:rPr>
        <w:t>.</w:t>
      </w:r>
      <w:r w:rsidR="00DB1615">
        <w:rPr>
          <w:szCs w:val="20"/>
          <w:lang w:val="es-CR"/>
        </w:rPr>
        <w:t xml:space="preserve"> </w:t>
      </w:r>
    </w:p>
    <w:p w14:paraId="585D3CF6" w14:textId="77777777" w:rsidR="001A0946" w:rsidRPr="001A0946" w:rsidRDefault="001A0946" w:rsidP="00EF5F56">
      <w:pPr>
        <w:pStyle w:val="ListParagraph"/>
        <w:spacing w:after="0"/>
        <w:rPr>
          <w:szCs w:val="20"/>
          <w:lang w:val="es-CR"/>
        </w:rPr>
      </w:pPr>
    </w:p>
    <w:p w14:paraId="008DBB76" w14:textId="4D360AC8" w:rsidR="001A0946" w:rsidRPr="00D24A86" w:rsidRDefault="001A0946" w:rsidP="00EF5F56">
      <w:pPr>
        <w:pStyle w:val="ListParagraph"/>
        <w:widowControl w:val="0"/>
        <w:numPr>
          <w:ilvl w:val="0"/>
          <w:numId w:val="1"/>
        </w:numPr>
        <w:tabs>
          <w:tab w:val="left" w:pos="567"/>
          <w:tab w:val="left" w:pos="7740"/>
        </w:tabs>
        <w:autoSpaceDE w:val="0"/>
        <w:autoSpaceDN w:val="0"/>
        <w:adjustRightInd w:val="0"/>
        <w:spacing w:after="0"/>
        <w:ind w:left="0" w:right="22" w:firstLine="0"/>
        <w:contextualSpacing w:val="0"/>
        <w:rPr>
          <w:szCs w:val="20"/>
          <w:lang w:val="es-CR"/>
        </w:rPr>
      </w:pPr>
      <w:r>
        <w:rPr>
          <w:szCs w:val="20"/>
          <w:lang w:val="es-CR"/>
        </w:rPr>
        <w:t xml:space="preserve">El escrito de 13 de noviembre de 2018, </w:t>
      </w:r>
      <w:r w:rsidR="00327B81">
        <w:rPr>
          <w:szCs w:val="20"/>
          <w:lang w:val="es-CR"/>
        </w:rPr>
        <w:t xml:space="preserve">mediante el cual </w:t>
      </w:r>
      <w:r>
        <w:rPr>
          <w:szCs w:val="20"/>
          <w:lang w:val="es-CR"/>
        </w:rPr>
        <w:t xml:space="preserve">la Comisión señaló no tener observaciones respecto de la solicitud </w:t>
      </w:r>
      <w:r w:rsidR="009A41B3">
        <w:rPr>
          <w:szCs w:val="20"/>
          <w:lang w:val="es-CR"/>
        </w:rPr>
        <w:t xml:space="preserve">de los representantes </w:t>
      </w:r>
      <w:r w:rsidR="009F6CDF">
        <w:rPr>
          <w:szCs w:val="20"/>
          <w:lang w:val="es-CR"/>
        </w:rPr>
        <w:t>presentada con posterioridad a su escrito de solic</w:t>
      </w:r>
      <w:r w:rsidR="00E7080A">
        <w:rPr>
          <w:szCs w:val="20"/>
          <w:lang w:val="es-CR"/>
        </w:rPr>
        <w:t>i</w:t>
      </w:r>
      <w:r w:rsidR="009F6CDF">
        <w:rPr>
          <w:szCs w:val="20"/>
          <w:lang w:val="es-CR"/>
        </w:rPr>
        <w:t>tudes y argumentos</w:t>
      </w:r>
      <w:r w:rsidR="009A41B3">
        <w:rPr>
          <w:szCs w:val="20"/>
          <w:lang w:val="es-CR"/>
        </w:rPr>
        <w:t>,</w:t>
      </w:r>
      <w:r w:rsidR="009F6CDF">
        <w:rPr>
          <w:szCs w:val="20"/>
          <w:lang w:val="es-CR"/>
        </w:rPr>
        <w:t xml:space="preserve"> </w:t>
      </w:r>
      <w:r>
        <w:rPr>
          <w:szCs w:val="20"/>
          <w:lang w:val="es-CR"/>
        </w:rPr>
        <w:t>para el ofrecimiento</w:t>
      </w:r>
      <w:r w:rsidR="009F6CDF">
        <w:rPr>
          <w:szCs w:val="20"/>
          <w:lang w:val="es-CR"/>
        </w:rPr>
        <w:t xml:space="preserve"> y de</w:t>
      </w:r>
      <w:r>
        <w:rPr>
          <w:szCs w:val="20"/>
          <w:lang w:val="es-CR"/>
        </w:rPr>
        <w:t>s</w:t>
      </w:r>
      <w:r w:rsidR="009F6CDF">
        <w:rPr>
          <w:szCs w:val="20"/>
          <w:lang w:val="es-CR"/>
        </w:rPr>
        <w:t xml:space="preserve">ahogo de </w:t>
      </w:r>
      <w:r>
        <w:rPr>
          <w:szCs w:val="20"/>
          <w:lang w:val="es-CR"/>
        </w:rPr>
        <w:t>u</w:t>
      </w:r>
      <w:r w:rsidR="009F6CDF">
        <w:rPr>
          <w:szCs w:val="20"/>
          <w:lang w:val="es-CR"/>
        </w:rPr>
        <w:t>na prueba pericial</w:t>
      </w:r>
      <w:r w:rsidR="003F6997">
        <w:rPr>
          <w:szCs w:val="20"/>
          <w:lang w:val="es-CR"/>
        </w:rPr>
        <w:t>.</w:t>
      </w:r>
    </w:p>
    <w:p w14:paraId="1747A1F0" w14:textId="77777777" w:rsidR="00871080" w:rsidRDefault="00871080" w:rsidP="00EF5F56">
      <w:pPr>
        <w:pStyle w:val="ListParagraph"/>
        <w:spacing w:after="0"/>
        <w:rPr>
          <w:szCs w:val="20"/>
          <w:lang w:val="es-CR"/>
        </w:rPr>
      </w:pPr>
    </w:p>
    <w:p w14:paraId="2C8F5D6F" w14:textId="77777777" w:rsidR="0074348C" w:rsidRDefault="0074348C" w:rsidP="00EF5F56">
      <w:pPr>
        <w:pStyle w:val="ListParagraph"/>
        <w:spacing w:after="0"/>
        <w:rPr>
          <w:szCs w:val="20"/>
          <w:lang w:val="es-CR"/>
        </w:rPr>
      </w:pPr>
    </w:p>
    <w:p w14:paraId="13004431" w14:textId="77777777" w:rsidR="0074348C" w:rsidRPr="00850F42" w:rsidRDefault="0074348C" w:rsidP="00EF5F56">
      <w:pPr>
        <w:pStyle w:val="ListParagraph"/>
        <w:spacing w:after="0"/>
        <w:rPr>
          <w:szCs w:val="20"/>
          <w:lang w:val="es-CR"/>
        </w:rPr>
      </w:pPr>
    </w:p>
    <w:p w14:paraId="03D15D49" w14:textId="77777777" w:rsidR="000770E0" w:rsidRPr="00850F42" w:rsidRDefault="000770E0" w:rsidP="00EF5F56">
      <w:pPr>
        <w:tabs>
          <w:tab w:val="left" w:pos="567"/>
        </w:tabs>
        <w:spacing w:after="0" w:line="240" w:lineRule="auto"/>
        <w:rPr>
          <w:rFonts w:ascii="Verdana" w:eastAsia="Calibri" w:hAnsi="Verdana" w:cs="Calibri"/>
          <w:b/>
          <w:sz w:val="20"/>
          <w:szCs w:val="20"/>
          <w:lang w:val="es-CR"/>
        </w:rPr>
      </w:pPr>
      <w:r w:rsidRPr="00850F42">
        <w:rPr>
          <w:rFonts w:ascii="Verdana" w:eastAsia="Calibri" w:hAnsi="Verdana" w:cs="Calibri"/>
          <w:b/>
          <w:sz w:val="20"/>
          <w:szCs w:val="20"/>
          <w:lang w:val="es-CR"/>
        </w:rPr>
        <w:t>CONSIDERANDO QUE:</w:t>
      </w:r>
    </w:p>
    <w:p w14:paraId="03D15D4A" w14:textId="77777777" w:rsidR="000770E0" w:rsidRPr="00850F42" w:rsidRDefault="000770E0" w:rsidP="00EF5F56">
      <w:pPr>
        <w:tabs>
          <w:tab w:val="left" w:pos="567"/>
          <w:tab w:val="left" w:pos="720"/>
          <w:tab w:val="left" w:pos="810"/>
        </w:tabs>
        <w:spacing w:after="0" w:line="240" w:lineRule="auto"/>
        <w:jc w:val="both"/>
        <w:rPr>
          <w:rFonts w:ascii="Verdana" w:eastAsia="Calibri" w:hAnsi="Verdana" w:cs="Calibri"/>
          <w:sz w:val="20"/>
          <w:szCs w:val="20"/>
          <w:lang w:val="es-CR"/>
        </w:rPr>
      </w:pPr>
    </w:p>
    <w:p w14:paraId="03D15D4B" w14:textId="44D98CE8" w:rsidR="000770E0" w:rsidRPr="00850F42" w:rsidRDefault="000770E0" w:rsidP="00EF5F56">
      <w:pPr>
        <w:widowControl w:val="0"/>
        <w:numPr>
          <w:ilvl w:val="0"/>
          <w:numId w:val="2"/>
        </w:numPr>
        <w:tabs>
          <w:tab w:val="left" w:pos="567"/>
          <w:tab w:val="left" w:pos="810"/>
        </w:tabs>
        <w:autoSpaceDE w:val="0"/>
        <w:autoSpaceDN w:val="0"/>
        <w:adjustRightInd w:val="0"/>
        <w:spacing w:after="0" w:line="240" w:lineRule="auto"/>
        <w:ind w:left="0" w:right="22" w:firstLine="0"/>
        <w:jc w:val="both"/>
        <w:rPr>
          <w:rFonts w:ascii="Verdana" w:eastAsia="Calibri" w:hAnsi="Verdana" w:cs="Verdana"/>
          <w:sz w:val="20"/>
          <w:szCs w:val="20"/>
          <w:lang w:val="es-CR"/>
        </w:rPr>
      </w:pPr>
      <w:r w:rsidRPr="00850F42">
        <w:rPr>
          <w:rFonts w:ascii="Verdana" w:eastAsia="Calibri" w:hAnsi="Verdana" w:cs="Verdana"/>
          <w:sz w:val="20"/>
          <w:szCs w:val="20"/>
          <w:lang w:val="es-CR"/>
        </w:rPr>
        <w:t>El ofrecimiento y la admisión de la prueba, así como la citación de presuntas víctimas, testigos y peritos se encuentran regulados en los artículos 35.1.f, 40.2.c, 41.1.c, 46, 47, 48, 50, 52.3</w:t>
      </w:r>
      <w:r w:rsidR="007B0D6F" w:rsidRPr="00850F42">
        <w:rPr>
          <w:rFonts w:ascii="Verdana" w:eastAsia="Calibri" w:hAnsi="Verdana" w:cs="Verdana"/>
          <w:sz w:val="20"/>
          <w:szCs w:val="20"/>
          <w:lang w:val="es-CR"/>
        </w:rPr>
        <w:t xml:space="preserve">, </w:t>
      </w:r>
      <w:r w:rsidRPr="00850F42">
        <w:rPr>
          <w:rFonts w:ascii="Verdana" w:eastAsia="Calibri" w:hAnsi="Verdana" w:cs="Verdana"/>
          <w:sz w:val="20"/>
          <w:szCs w:val="20"/>
          <w:lang w:val="es-CR"/>
        </w:rPr>
        <w:t xml:space="preserve">57 </w:t>
      </w:r>
      <w:r w:rsidR="007B0D6F" w:rsidRPr="00850F42">
        <w:rPr>
          <w:rFonts w:ascii="Verdana" w:eastAsia="Calibri" w:hAnsi="Verdana" w:cs="Verdana"/>
          <w:sz w:val="20"/>
          <w:szCs w:val="20"/>
          <w:lang w:val="es-CR"/>
        </w:rPr>
        <w:t xml:space="preserve">y 58 </w:t>
      </w:r>
      <w:r w:rsidRPr="00850F42">
        <w:rPr>
          <w:rFonts w:ascii="Verdana" w:eastAsia="Calibri" w:hAnsi="Verdana" w:cs="Verdana"/>
          <w:sz w:val="20"/>
          <w:szCs w:val="20"/>
          <w:lang w:val="es-CR"/>
        </w:rPr>
        <w:t>del Reglamento de la Corte Interamericana de Derechos Humanos (en adelante, “la Corte Interamericana”, “la Corte” o “el Tribunal”).</w:t>
      </w:r>
    </w:p>
    <w:p w14:paraId="03D15D4C" w14:textId="77777777" w:rsidR="000770E0" w:rsidRPr="00850F42" w:rsidRDefault="000770E0" w:rsidP="00EF5F56">
      <w:pPr>
        <w:widowControl w:val="0"/>
        <w:tabs>
          <w:tab w:val="left" w:pos="567"/>
          <w:tab w:val="left" w:pos="810"/>
        </w:tabs>
        <w:autoSpaceDE w:val="0"/>
        <w:autoSpaceDN w:val="0"/>
        <w:adjustRightInd w:val="0"/>
        <w:spacing w:after="0" w:line="240" w:lineRule="auto"/>
        <w:ind w:right="22"/>
        <w:jc w:val="both"/>
        <w:rPr>
          <w:rFonts w:ascii="Verdana" w:eastAsia="Calibri" w:hAnsi="Verdana" w:cs="Verdana"/>
          <w:sz w:val="20"/>
          <w:szCs w:val="20"/>
          <w:lang w:val="es-CR"/>
        </w:rPr>
      </w:pPr>
    </w:p>
    <w:p w14:paraId="5A1CE943" w14:textId="3A22422F" w:rsidR="00327B81" w:rsidRPr="00365273" w:rsidRDefault="00492E06" w:rsidP="00EF5F56">
      <w:pPr>
        <w:pStyle w:val="ListParagraph"/>
        <w:widowControl w:val="0"/>
        <w:numPr>
          <w:ilvl w:val="0"/>
          <w:numId w:val="2"/>
        </w:numPr>
        <w:tabs>
          <w:tab w:val="left" w:pos="567"/>
          <w:tab w:val="left" w:pos="810"/>
        </w:tabs>
        <w:autoSpaceDE w:val="0"/>
        <w:autoSpaceDN w:val="0"/>
        <w:adjustRightInd w:val="0"/>
        <w:spacing w:after="0"/>
        <w:ind w:left="0" w:right="23" w:firstLine="0"/>
        <w:rPr>
          <w:rFonts w:cs="Verdana"/>
          <w:szCs w:val="20"/>
        </w:rPr>
      </w:pPr>
      <w:r w:rsidRPr="005C3F2D">
        <w:rPr>
          <w:rFonts w:cs="Verdana"/>
          <w:szCs w:val="20"/>
        </w:rPr>
        <w:t xml:space="preserve">La Corte </w:t>
      </w:r>
      <w:r w:rsidR="00E71904" w:rsidRPr="005C3F2D">
        <w:rPr>
          <w:rFonts w:cs="Verdana"/>
          <w:szCs w:val="20"/>
        </w:rPr>
        <w:t xml:space="preserve">observa </w:t>
      </w:r>
      <w:r w:rsidR="00327B81">
        <w:rPr>
          <w:rFonts w:cs="Verdana"/>
          <w:szCs w:val="20"/>
        </w:rPr>
        <w:t xml:space="preserve">que </w:t>
      </w:r>
      <w:r w:rsidR="00327B81">
        <w:rPr>
          <w:rFonts w:cs="Verdana"/>
          <w:szCs w:val="20"/>
          <w:lang w:val="es-MX"/>
        </w:rPr>
        <w:t>e</w:t>
      </w:r>
      <w:r w:rsidR="00327B81" w:rsidRPr="005C3F2D">
        <w:rPr>
          <w:rFonts w:cs="Verdana"/>
          <w:szCs w:val="20"/>
          <w:lang w:val="es-MX"/>
        </w:rPr>
        <w:t xml:space="preserve">l Estado </w:t>
      </w:r>
      <w:r w:rsidR="00327B81">
        <w:rPr>
          <w:rFonts w:cs="Verdana"/>
          <w:szCs w:val="20"/>
        </w:rPr>
        <w:t>a</w:t>
      </w:r>
      <w:r w:rsidR="005C3F2D">
        <w:rPr>
          <w:rFonts w:cs="Verdana"/>
          <w:szCs w:val="20"/>
        </w:rPr>
        <w:t>l presentar su escrito de</w:t>
      </w:r>
      <w:r w:rsidR="00F17738" w:rsidRPr="005C3F2D">
        <w:rPr>
          <w:rFonts w:cs="Verdana"/>
          <w:szCs w:val="20"/>
        </w:rPr>
        <w:t xml:space="preserve"> contestación</w:t>
      </w:r>
      <w:r w:rsidR="005C3F2D" w:rsidRPr="00365273">
        <w:rPr>
          <w:rFonts w:eastAsiaTheme="minorHAnsi" w:cstheme="minorBidi"/>
          <w:szCs w:val="20"/>
          <w:lang w:val="es-MX" w:eastAsia="en-US"/>
        </w:rPr>
        <w:t xml:space="preserve"> </w:t>
      </w:r>
      <w:r w:rsidR="005C3F2D" w:rsidRPr="005C3F2D">
        <w:rPr>
          <w:rFonts w:cs="Verdana"/>
          <w:szCs w:val="20"/>
          <w:lang w:val="es-MX"/>
        </w:rPr>
        <w:t>no ofreció prueba testimonial ni pericial alguna</w:t>
      </w:r>
      <w:r w:rsidR="00C56C0E">
        <w:rPr>
          <w:rFonts w:cs="Verdana"/>
          <w:szCs w:val="20"/>
          <w:lang w:val="es-MX"/>
        </w:rPr>
        <w:t xml:space="preserve">. </w:t>
      </w:r>
      <w:r w:rsidR="00327B81">
        <w:rPr>
          <w:rFonts w:cs="Verdana"/>
          <w:szCs w:val="20"/>
        </w:rPr>
        <w:t>No obstante</w:t>
      </w:r>
      <w:r w:rsidRPr="005C3F2D">
        <w:rPr>
          <w:rFonts w:cs="Verdana"/>
          <w:szCs w:val="20"/>
        </w:rPr>
        <w:t xml:space="preserve">, el Estado presentó objeciones respecto del </w:t>
      </w:r>
      <w:r w:rsidR="005C3F2D">
        <w:rPr>
          <w:rFonts w:cs="Verdana"/>
          <w:szCs w:val="20"/>
        </w:rPr>
        <w:t>peritaje pro</w:t>
      </w:r>
      <w:r w:rsidRPr="005C3F2D">
        <w:rPr>
          <w:rFonts w:cs="Verdana"/>
          <w:szCs w:val="20"/>
        </w:rPr>
        <w:t xml:space="preserve">puesto por la </w:t>
      </w:r>
      <w:r w:rsidR="000770E0" w:rsidRPr="005C3F2D">
        <w:rPr>
          <w:rFonts w:cs="Verdana"/>
          <w:szCs w:val="20"/>
        </w:rPr>
        <w:t>Comisión</w:t>
      </w:r>
      <w:r w:rsidRPr="005C3F2D">
        <w:rPr>
          <w:rFonts w:cs="Verdana"/>
          <w:szCs w:val="20"/>
        </w:rPr>
        <w:t>, y presentó observaciones respecto de una solicitud de los representa</w:t>
      </w:r>
      <w:r w:rsidR="00BD2BEF" w:rsidRPr="005C3F2D">
        <w:rPr>
          <w:rFonts w:cs="Verdana"/>
          <w:szCs w:val="20"/>
        </w:rPr>
        <w:t>n</w:t>
      </w:r>
      <w:r w:rsidRPr="005C3F2D">
        <w:rPr>
          <w:rFonts w:cs="Verdana"/>
          <w:szCs w:val="20"/>
        </w:rPr>
        <w:t>tes realizada mediante comu</w:t>
      </w:r>
      <w:r w:rsidR="00A15482">
        <w:rPr>
          <w:rFonts w:cs="Verdana"/>
          <w:szCs w:val="20"/>
        </w:rPr>
        <w:t xml:space="preserve">nicación </w:t>
      </w:r>
      <w:r w:rsidR="00327B81">
        <w:rPr>
          <w:rFonts w:cs="Verdana"/>
          <w:szCs w:val="20"/>
        </w:rPr>
        <w:t xml:space="preserve">de </w:t>
      </w:r>
      <w:r w:rsidRPr="005C3F2D">
        <w:rPr>
          <w:rFonts w:cs="Verdana"/>
          <w:szCs w:val="20"/>
        </w:rPr>
        <w:t>31 de octubre de 2018 (</w:t>
      </w:r>
      <w:r w:rsidRPr="005C3F2D">
        <w:rPr>
          <w:rFonts w:cs="Verdana"/>
          <w:i/>
          <w:szCs w:val="20"/>
        </w:rPr>
        <w:t xml:space="preserve">supra, </w:t>
      </w:r>
      <w:r w:rsidR="00793371">
        <w:rPr>
          <w:rFonts w:cs="Verdana"/>
          <w:szCs w:val="20"/>
        </w:rPr>
        <w:t>Visto 4</w:t>
      </w:r>
      <w:r w:rsidRPr="005C3F2D">
        <w:rPr>
          <w:rFonts w:cs="Verdana"/>
          <w:szCs w:val="20"/>
        </w:rPr>
        <w:t>)</w:t>
      </w:r>
      <w:r w:rsidR="00C56C0E">
        <w:rPr>
          <w:rFonts w:cs="Verdana"/>
          <w:szCs w:val="20"/>
        </w:rPr>
        <w:t>.</w:t>
      </w:r>
      <w:r w:rsidR="00F17738" w:rsidRPr="005C3F2D">
        <w:rPr>
          <w:rFonts w:cs="Verdana"/>
          <w:b/>
          <w:szCs w:val="20"/>
        </w:rPr>
        <w:t xml:space="preserve"> </w:t>
      </w:r>
    </w:p>
    <w:p w14:paraId="496D0A71" w14:textId="77777777" w:rsidR="00327B81" w:rsidRPr="00365273" w:rsidRDefault="00327B81" w:rsidP="00EF5F56">
      <w:pPr>
        <w:pStyle w:val="ListParagraph"/>
        <w:widowControl w:val="0"/>
        <w:tabs>
          <w:tab w:val="left" w:pos="567"/>
          <w:tab w:val="left" w:pos="810"/>
        </w:tabs>
        <w:autoSpaceDE w:val="0"/>
        <w:autoSpaceDN w:val="0"/>
        <w:adjustRightInd w:val="0"/>
        <w:spacing w:after="0"/>
        <w:ind w:left="0" w:right="23"/>
        <w:rPr>
          <w:rFonts w:cs="Verdana"/>
          <w:szCs w:val="20"/>
        </w:rPr>
      </w:pPr>
    </w:p>
    <w:p w14:paraId="337170A2" w14:textId="4F51EAFA" w:rsidR="005C3F2D" w:rsidRPr="00365273" w:rsidRDefault="00327B81" w:rsidP="00EF5F56">
      <w:pPr>
        <w:pStyle w:val="ListParagraph"/>
        <w:widowControl w:val="0"/>
        <w:numPr>
          <w:ilvl w:val="0"/>
          <w:numId w:val="2"/>
        </w:numPr>
        <w:tabs>
          <w:tab w:val="left" w:pos="567"/>
          <w:tab w:val="left" w:pos="810"/>
        </w:tabs>
        <w:autoSpaceDE w:val="0"/>
        <w:autoSpaceDN w:val="0"/>
        <w:adjustRightInd w:val="0"/>
        <w:spacing w:after="0"/>
        <w:ind w:left="0" w:right="23" w:firstLine="0"/>
        <w:rPr>
          <w:rFonts w:cs="Verdana"/>
          <w:szCs w:val="20"/>
        </w:rPr>
      </w:pPr>
      <w:r>
        <w:rPr>
          <w:rFonts w:cs="Verdana"/>
          <w:szCs w:val="20"/>
          <w:lang w:val="es-CL"/>
        </w:rPr>
        <w:t>Este Tribunal</w:t>
      </w:r>
      <w:r w:rsidR="00F17738" w:rsidRPr="00365273">
        <w:rPr>
          <w:rFonts w:cs="Verdana"/>
          <w:szCs w:val="20"/>
          <w:lang w:val="es-CL"/>
        </w:rPr>
        <w:t xml:space="preserve"> garantizó oportunamente a las partes el derecho de defensa respecto de los ofrecimiento probatorio realizado</w:t>
      </w:r>
      <w:r w:rsidR="00F17738" w:rsidRPr="00365273">
        <w:rPr>
          <w:rFonts w:cs="Verdana"/>
          <w:szCs w:val="20"/>
        </w:rPr>
        <w:t xml:space="preserve"> por la Comisión en el escrito de sometimiento y </w:t>
      </w:r>
      <w:r w:rsidR="00793371">
        <w:rPr>
          <w:rFonts w:cs="Verdana"/>
          <w:szCs w:val="20"/>
        </w:rPr>
        <w:t xml:space="preserve">la solicitud realizada </w:t>
      </w:r>
      <w:r w:rsidR="00F17738" w:rsidRPr="00365273">
        <w:rPr>
          <w:rFonts w:cs="Verdana"/>
          <w:szCs w:val="20"/>
        </w:rPr>
        <w:t>por los representantes en sus comunicaciones posteriores al escrito de solicitudes y argumentos (</w:t>
      </w:r>
      <w:r w:rsidR="00F17738" w:rsidRPr="00365273">
        <w:rPr>
          <w:rFonts w:cs="Verdana"/>
          <w:i/>
          <w:szCs w:val="20"/>
        </w:rPr>
        <w:t>supra,</w:t>
      </w:r>
      <w:r w:rsidR="00F17738" w:rsidRPr="00365273">
        <w:rPr>
          <w:rFonts w:cs="Verdana"/>
          <w:szCs w:val="20"/>
        </w:rPr>
        <w:t xml:space="preserve"> Vistos 2 </w:t>
      </w:r>
      <w:r w:rsidR="00E2707D">
        <w:rPr>
          <w:rFonts w:cs="Verdana"/>
          <w:szCs w:val="20"/>
        </w:rPr>
        <w:t>a</w:t>
      </w:r>
      <w:r w:rsidR="00F17738" w:rsidRPr="00365273">
        <w:rPr>
          <w:rFonts w:cs="Verdana"/>
          <w:szCs w:val="20"/>
        </w:rPr>
        <w:t xml:space="preserve"> </w:t>
      </w:r>
      <w:r w:rsidR="00793371">
        <w:rPr>
          <w:rFonts w:cs="Verdana"/>
          <w:szCs w:val="20"/>
        </w:rPr>
        <w:t>4</w:t>
      </w:r>
      <w:r w:rsidR="00F17738" w:rsidRPr="00365273">
        <w:rPr>
          <w:rFonts w:cs="Verdana"/>
          <w:szCs w:val="20"/>
        </w:rPr>
        <w:t>)</w:t>
      </w:r>
      <w:r w:rsidR="00F17738" w:rsidRPr="005C3F2D">
        <w:rPr>
          <w:rFonts w:cs="Verdana"/>
          <w:szCs w:val="20"/>
        </w:rPr>
        <w:t xml:space="preserve">. </w:t>
      </w:r>
      <w:r w:rsidR="00F17738" w:rsidRPr="005C3F2D">
        <w:rPr>
          <w:rFonts w:cs="Verdana"/>
          <w:szCs w:val="20"/>
          <w:lang w:val="es-CR"/>
        </w:rPr>
        <w:t xml:space="preserve">A continuación, el Presidente procederá a examinar en forma particular: a) la admisibilidad de la prueba pericial ofrecida por los representantes, y b) </w:t>
      </w:r>
      <w:r w:rsidR="00F17738" w:rsidRPr="005C3F2D">
        <w:rPr>
          <w:szCs w:val="20"/>
        </w:rPr>
        <w:t>La admisibilidad de la prueba pericial ofrecida por la Comisión</w:t>
      </w:r>
      <w:r w:rsidR="00F17738" w:rsidRPr="005C3F2D">
        <w:rPr>
          <w:szCs w:val="20"/>
          <w:lang w:val="es-CR"/>
        </w:rPr>
        <w:t xml:space="preserve"> y la alegada falta de competencia del Tribunal para conocer los hechos materia de dicho peritaje. </w:t>
      </w:r>
    </w:p>
    <w:p w14:paraId="03D15D5E" w14:textId="6D6AD280" w:rsidR="000770E0" w:rsidRPr="00850F42" w:rsidRDefault="000770E0" w:rsidP="00EF5F56">
      <w:pPr>
        <w:widowControl w:val="0"/>
        <w:tabs>
          <w:tab w:val="left" w:pos="567"/>
          <w:tab w:val="left" w:pos="810"/>
        </w:tabs>
        <w:autoSpaceDE w:val="0"/>
        <w:autoSpaceDN w:val="0"/>
        <w:adjustRightInd w:val="0"/>
        <w:spacing w:after="0" w:line="240" w:lineRule="auto"/>
        <w:ind w:right="22"/>
        <w:jc w:val="both"/>
        <w:rPr>
          <w:rFonts w:ascii="Verdana" w:eastAsia="Calibri" w:hAnsi="Verdana" w:cs="Verdana"/>
          <w:sz w:val="20"/>
          <w:szCs w:val="20"/>
        </w:rPr>
      </w:pPr>
    </w:p>
    <w:p w14:paraId="03D15D5F" w14:textId="066F1758" w:rsidR="000770E0" w:rsidRPr="00850F42" w:rsidRDefault="000770E0" w:rsidP="00EF5F56">
      <w:pPr>
        <w:pStyle w:val="ListParagraph"/>
        <w:numPr>
          <w:ilvl w:val="0"/>
          <w:numId w:val="34"/>
        </w:numPr>
        <w:spacing w:after="0"/>
        <w:rPr>
          <w:b/>
          <w:i/>
          <w:szCs w:val="20"/>
          <w:lang w:val="es-CR"/>
        </w:rPr>
      </w:pPr>
      <w:r w:rsidRPr="00850F42">
        <w:rPr>
          <w:b/>
          <w:i/>
          <w:szCs w:val="20"/>
          <w:lang w:val="es-CR"/>
        </w:rPr>
        <w:t xml:space="preserve">La </w:t>
      </w:r>
      <w:r w:rsidR="00FB469A" w:rsidRPr="00850F42">
        <w:rPr>
          <w:rFonts w:cs="Verdana"/>
          <w:b/>
          <w:i/>
          <w:szCs w:val="20"/>
          <w:lang w:val="es-CR"/>
        </w:rPr>
        <w:t>admisibilidad de la declaración pericial ofrecida por los representantes</w:t>
      </w:r>
    </w:p>
    <w:p w14:paraId="03D15D60" w14:textId="77777777" w:rsidR="000770E0" w:rsidRPr="00850F42" w:rsidRDefault="000770E0" w:rsidP="00EF5F56">
      <w:pPr>
        <w:pStyle w:val="ListParagraph"/>
        <w:spacing w:after="0"/>
        <w:ind w:left="1800"/>
        <w:rPr>
          <w:b/>
          <w:i/>
          <w:szCs w:val="20"/>
          <w:lang w:val="es-CR"/>
        </w:rPr>
      </w:pPr>
    </w:p>
    <w:p w14:paraId="7281BC2A" w14:textId="1EC9D6D1" w:rsidR="00D9139C" w:rsidRPr="00365273" w:rsidRDefault="00535EC5" w:rsidP="00EF5F56">
      <w:pPr>
        <w:pStyle w:val="ListParagraph"/>
        <w:numPr>
          <w:ilvl w:val="0"/>
          <w:numId w:val="2"/>
        </w:numPr>
        <w:autoSpaceDE w:val="0"/>
        <w:autoSpaceDN w:val="0"/>
        <w:adjustRightInd w:val="0"/>
        <w:spacing w:after="0"/>
        <w:ind w:left="0" w:firstLine="0"/>
        <w:rPr>
          <w:szCs w:val="20"/>
          <w:lang w:val="es-AR"/>
        </w:rPr>
      </w:pPr>
      <w:r w:rsidRPr="00850F42">
        <w:rPr>
          <w:szCs w:val="20"/>
          <w:lang w:val="es-CR"/>
        </w:rPr>
        <w:t>Los</w:t>
      </w:r>
      <w:r w:rsidRPr="00850F42">
        <w:rPr>
          <w:b/>
          <w:szCs w:val="20"/>
          <w:lang w:val="es-CR"/>
        </w:rPr>
        <w:t xml:space="preserve"> </w:t>
      </w:r>
      <w:r w:rsidRPr="00850F42">
        <w:rPr>
          <w:b/>
          <w:i/>
          <w:szCs w:val="20"/>
          <w:lang w:val="es-CR"/>
        </w:rPr>
        <w:t>representantes</w:t>
      </w:r>
      <w:r w:rsidRPr="00850F42">
        <w:rPr>
          <w:b/>
          <w:szCs w:val="20"/>
          <w:lang w:val="es-CR"/>
        </w:rPr>
        <w:t xml:space="preserve"> </w:t>
      </w:r>
      <w:r w:rsidR="003D0C4B" w:rsidRPr="00850F42">
        <w:rPr>
          <w:szCs w:val="20"/>
          <w:lang w:val="es-CR"/>
        </w:rPr>
        <w:t>manifes</w:t>
      </w:r>
      <w:r w:rsidRPr="00850F42">
        <w:rPr>
          <w:szCs w:val="20"/>
          <w:lang w:val="es-CR"/>
        </w:rPr>
        <w:t xml:space="preserve">taron en su </w:t>
      </w:r>
      <w:r w:rsidR="0015655A" w:rsidRPr="00850F42">
        <w:rPr>
          <w:szCs w:val="20"/>
          <w:lang w:val="es-CR"/>
        </w:rPr>
        <w:t xml:space="preserve">ESAP que </w:t>
      </w:r>
      <w:r w:rsidR="0015655A" w:rsidRPr="00850F42">
        <w:rPr>
          <w:rFonts w:cs="Arial"/>
          <w:szCs w:val="20"/>
        </w:rPr>
        <w:t>“</w:t>
      </w:r>
      <w:r w:rsidR="0015655A" w:rsidRPr="00850F42">
        <w:rPr>
          <w:rFonts w:cs="Arial"/>
          <w:szCs w:val="20"/>
          <w:lang w:val="es-MX"/>
        </w:rPr>
        <w:t>se</w:t>
      </w:r>
      <w:r w:rsidR="0015655A" w:rsidRPr="00850F42">
        <w:rPr>
          <w:rFonts w:cs="Arial"/>
          <w:szCs w:val="20"/>
        </w:rPr>
        <w:t xml:space="preserve"> </w:t>
      </w:r>
      <w:proofErr w:type="gramStart"/>
      <w:r w:rsidR="0015655A" w:rsidRPr="00850F42">
        <w:rPr>
          <w:rFonts w:cs="Arial"/>
          <w:szCs w:val="20"/>
          <w:lang w:val="es-MX"/>
        </w:rPr>
        <w:t>reserva</w:t>
      </w:r>
      <w:r w:rsidR="0015655A" w:rsidRPr="00850F42">
        <w:rPr>
          <w:rFonts w:cs="Arial"/>
          <w:szCs w:val="20"/>
        </w:rPr>
        <w:t>[</w:t>
      </w:r>
      <w:proofErr w:type="spellStart"/>
      <w:proofErr w:type="gramEnd"/>
      <w:r w:rsidR="0015655A" w:rsidRPr="00850F42">
        <w:rPr>
          <w:rFonts w:cs="Arial"/>
          <w:szCs w:val="20"/>
        </w:rPr>
        <w:t>ban</w:t>
      </w:r>
      <w:proofErr w:type="spellEnd"/>
      <w:r w:rsidR="0015655A" w:rsidRPr="00850F42">
        <w:rPr>
          <w:rFonts w:cs="Arial"/>
          <w:szCs w:val="20"/>
        </w:rPr>
        <w:t>]</w:t>
      </w:r>
      <w:r w:rsidR="0015655A" w:rsidRPr="00850F42">
        <w:rPr>
          <w:rFonts w:cs="Arial"/>
          <w:szCs w:val="20"/>
          <w:lang w:val="es-MX"/>
        </w:rPr>
        <w:t xml:space="preserve"> el derecho de proponer oportunamente un peri</w:t>
      </w:r>
      <w:r w:rsidR="0015655A" w:rsidRPr="00850F42">
        <w:rPr>
          <w:rFonts w:cs="Arial"/>
          <w:szCs w:val="20"/>
        </w:rPr>
        <w:t xml:space="preserve">to contador para el supuesto de </w:t>
      </w:r>
      <w:r w:rsidR="0015655A" w:rsidRPr="00850F42">
        <w:rPr>
          <w:rFonts w:cs="Arial"/>
          <w:szCs w:val="20"/>
          <w:lang w:val="es-MX"/>
        </w:rPr>
        <w:t xml:space="preserve">que el Estado </w:t>
      </w:r>
      <w:r w:rsidR="0015655A" w:rsidRPr="00850F42">
        <w:rPr>
          <w:rFonts w:cs="Arial"/>
          <w:szCs w:val="20"/>
        </w:rPr>
        <w:t xml:space="preserve">[…] </w:t>
      </w:r>
      <w:r w:rsidR="0015655A" w:rsidRPr="00850F42">
        <w:rPr>
          <w:rFonts w:cs="Arial"/>
          <w:szCs w:val="20"/>
          <w:lang w:val="es-MX"/>
        </w:rPr>
        <w:t xml:space="preserve">no dé cumplimiento a lo peticionado </w:t>
      </w:r>
      <w:r w:rsidR="0015655A" w:rsidRPr="00850F42">
        <w:rPr>
          <w:rFonts w:cs="Arial"/>
          <w:szCs w:val="20"/>
        </w:rPr>
        <w:t xml:space="preserve">[con relación a </w:t>
      </w:r>
      <w:r w:rsidR="0015655A" w:rsidRPr="00850F42">
        <w:rPr>
          <w:rFonts w:cs="Arial"/>
          <w:iCs/>
          <w:szCs w:val="20"/>
        </w:rPr>
        <w:t>los montos solicitados en favor de las presuntas víctimas</w:t>
      </w:r>
      <w:r w:rsidR="0015655A" w:rsidRPr="00850F42">
        <w:rPr>
          <w:rFonts w:cs="Arial"/>
          <w:szCs w:val="20"/>
        </w:rPr>
        <w:t>]</w:t>
      </w:r>
      <w:r w:rsidR="0015655A" w:rsidRPr="00850F42">
        <w:rPr>
          <w:rFonts w:cs="Arial"/>
          <w:szCs w:val="20"/>
          <w:lang w:val="es-MX"/>
        </w:rPr>
        <w:t>, o</w:t>
      </w:r>
      <w:r w:rsidR="0015655A" w:rsidRPr="00850F42">
        <w:rPr>
          <w:rFonts w:cs="Arial"/>
          <w:szCs w:val="20"/>
        </w:rPr>
        <w:t xml:space="preserve"> </w:t>
      </w:r>
      <w:r w:rsidR="0015655A" w:rsidRPr="00850F42">
        <w:rPr>
          <w:rFonts w:cs="Arial"/>
          <w:szCs w:val="20"/>
          <w:lang w:val="es-MX"/>
        </w:rPr>
        <w:t>que su liquidación no se realice conforme los parámetros exigibles para el caso</w:t>
      </w:r>
      <w:r w:rsidR="0015655A" w:rsidRPr="00850F42">
        <w:rPr>
          <w:rFonts w:cs="Arial"/>
          <w:szCs w:val="20"/>
        </w:rPr>
        <w:t>, [para]</w:t>
      </w:r>
      <w:r w:rsidR="0015655A" w:rsidRPr="00850F42">
        <w:rPr>
          <w:rFonts w:cs="Arial"/>
          <w:szCs w:val="20"/>
          <w:lang w:val="es-MX"/>
        </w:rPr>
        <w:t xml:space="preserve"> que practique </w:t>
      </w:r>
      <w:r w:rsidR="0015655A" w:rsidRPr="00850F42">
        <w:rPr>
          <w:rFonts w:cs="Arial"/>
          <w:szCs w:val="20"/>
        </w:rPr>
        <w:t>[dicho] cálculo solicitado”</w:t>
      </w:r>
      <w:r w:rsidR="00C56C0E">
        <w:rPr>
          <w:rFonts w:cs="Arial"/>
          <w:szCs w:val="20"/>
        </w:rPr>
        <w:t>.</w:t>
      </w:r>
      <w:r w:rsidR="00D9139C" w:rsidRPr="00850F42">
        <w:rPr>
          <w:rFonts w:cs="Arial"/>
          <w:szCs w:val="20"/>
        </w:rPr>
        <w:t xml:space="preserve"> </w:t>
      </w:r>
    </w:p>
    <w:p w14:paraId="413643B0" w14:textId="77777777" w:rsidR="00D9139C" w:rsidRPr="00365273" w:rsidRDefault="00D9139C" w:rsidP="00EF5F56">
      <w:pPr>
        <w:pStyle w:val="ListParagraph"/>
        <w:autoSpaceDE w:val="0"/>
        <w:autoSpaceDN w:val="0"/>
        <w:adjustRightInd w:val="0"/>
        <w:spacing w:after="0"/>
        <w:ind w:left="0"/>
        <w:rPr>
          <w:szCs w:val="20"/>
          <w:lang w:val="es-AR"/>
        </w:rPr>
      </w:pPr>
    </w:p>
    <w:p w14:paraId="40D1BB7E" w14:textId="0C63EB0B" w:rsidR="00954192" w:rsidRPr="00AC28E6" w:rsidRDefault="00692138" w:rsidP="00EF5F56">
      <w:pPr>
        <w:pStyle w:val="ListParagraph"/>
        <w:numPr>
          <w:ilvl w:val="0"/>
          <w:numId w:val="2"/>
        </w:numPr>
        <w:autoSpaceDE w:val="0"/>
        <w:autoSpaceDN w:val="0"/>
        <w:adjustRightInd w:val="0"/>
        <w:spacing w:after="0"/>
        <w:ind w:left="0" w:firstLine="0"/>
        <w:rPr>
          <w:szCs w:val="20"/>
          <w:lang w:val="es-AR"/>
        </w:rPr>
      </w:pPr>
      <w:r>
        <w:rPr>
          <w:rFonts w:cs="Arial"/>
          <w:szCs w:val="20"/>
        </w:rPr>
        <w:t xml:space="preserve">Mediante comunicación dirigida a los representantes </w:t>
      </w:r>
      <w:r w:rsidR="009C2926">
        <w:rPr>
          <w:rFonts w:cs="Arial"/>
          <w:szCs w:val="20"/>
        </w:rPr>
        <w:t xml:space="preserve">el </w:t>
      </w:r>
      <w:r>
        <w:rPr>
          <w:rFonts w:cs="Arial"/>
          <w:szCs w:val="20"/>
        </w:rPr>
        <w:t>12 de abril de 2018</w:t>
      </w:r>
      <w:r w:rsidR="002E3AE7">
        <w:rPr>
          <w:rFonts w:cs="Arial"/>
          <w:szCs w:val="20"/>
        </w:rPr>
        <w:t>,</w:t>
      </w:r>
      <w:r>
        <w:rPr>
          <w:rFonts w:cs="Arial"/>
          <w:szCs w:val="20"/>
        </w:rPr>
        <w:t xml:space="preserve"> la Secretaría del Tribunal acusó recib</w:t>
      </w:r>
      <w:r w:rsidR="009C2926">
        <w:rPr>
          <w:rFonts w:cs="Arial"/>
          <w:szCs w:val="20"/>
        </w:rPr>
        <w:t>o</w:t>
      </w:r>
      <w:r>
        <w:rPr>
          <w:rFonts w:cs="Arial"/>
          <w:szCs w:val="20"/>
        </w:rPr>
        <w:t xml:space="preserve"> </w:t>
      </w:r>
      <w:r w:rsidR="00C14C11">
        <w:rPr>
          <w:rFonts w:cs="Arial"/>
          <w:szCs w:val="20"/>
        </w:rPr>
        <w:t>d</w:t>
      </w:r>
      <w:r w:rsidR="005646E1">
        <w:rPr>
          <w:rFonts w:cs="Arial"/>
          <w:szCs w:val="20"/>
        </w:rPr>
        <w:t>e</w:t>
      </w:r>
      <w:r w:rsidR="009C2926">
        <w:rPr>
          <w:rFonts w:cs="Arial"/>
          <w:szCs w:val="20"/>
        </w:rPr>
        <w:t>l</w:t>
      </w:r>
      <w:r w:rsidR="005646E1">
        <w:rPr>
          <w:rFonts w:cs="Arial"/>
          <w:szCs w:val="20"/>
        </w:rPr>
        <w:t xml:space="preserve"> escrito </w:t>
      </w:r>
      <w:r w:rsidR="009C2926">
        <w:rPr>
          <w:rFonts w:cs="Arial"/>
          <w:szCs w:val="20"/>
        </w:rPr>
        <w:t xml:space="preserve">de solicitudes y argumentos </w:t>
      </w:r>
      <w:r w:rsidR="005646E1">
        <w:rPr>
          <w:rFonts w:cs="Arial"/>
          <w:szCs w:val="20"/>
        </w:rPr>
        <w:t>y dejó constancia</w:t>
      </w:r>
      <w:r w:rsidR="009C2926">
        <w:rPr>
          <w:rFonts w:cs="Arial"/>
          <w:szCs w:val="20"/>
        </w:rPr>
        <w:t xml:space="preserve"> de</w:t>
      </w:r>
      <w:r w:rsidR="005646E1">
        <w:rPr>
          <w:rFonts w:cs="Arial"/>
          <w:szCs w:val="20"/>
        </w:rPr>
        <w:t xml:space="preserve"> </w:t>
      </w:r>
      <w:r w:rsidR="009C2926">
        <w:rPr>
          <w:rFonts w:cs="Arial"/>
          <w:szCs w:val="20"/>
        </w:rPr>
        <w:t xml:space="preserve">que </w:t>
      </w:r>
      <w:r w:rsidR="005646E1">
        <w:rPr>
          <w:rFonts w:cs="Arial"/>
          <w:szCs w:val="20"/>
        </w:rPr>
        <w:t xml:space="preserve">“dicho escrito se recibió sin anexos, </w:t>
      </w:r>
      <w:r w:rsidR="009C2926">
        <w:rPr>
          <w:rFonts w:cs="Arial"/>
          <w:szCs w:val="20"/>
        </w:rPr>
        <w:t>[y]</w:t>
      </w:r>
      <w:r w:rsidR="005646E1">
        <w:rPr>
          <w:rFonts w:cs="Arial"/>
          <w:szCs w:val="20"/>
        </w:rPr>
        <w:t xml:space="preserve"> no se presentó </w:t>
      </w:r>
      <w:r w:rsidR="00E2707D">
        <w:rPr>
          <w:rFonts w:cs="Arial"/>
          <w:szCs w:val="20"/>
        </w:rPr>
        <w:t xml:space="preserve">ningún </w:t>
      </w:r>
      <w:r w:rsidR="00954192">
        <w:rPr>
          <w:szCs w:val="20"/>
          <w:lang w:val="es-AR"/>
        </w:rPr>
        <w:t>ofrecimiento de prueba o declaración a su cargo”</w:t>
      </w:r>
      <w:r w:rsidR="00C56C0E">
        <w:rPr>
          <w:szCs w:val="20"/>
          <w:lang w:val="es-AR"/>
        </w:rPr>
        <w:t>.</w:t>
      </w:r>
    </w:p>
    <w:p w14:paraId="6AA9CBE8" w14:textId="77777777" w:rsidR="00954192" w:rsidRPr="00AC28E6" w:rsidRDefault="00954192" w:rsidP="00EF5F56">
      <w:pPr>
        <w:pStyle w:val="ListParagraph"/>
        <w:autoSpaceDE w:val="0"/>
        <w:autoSpaceDN w:val="0"/>
        <w:adjustRightInd w:val="0"/>
        <w:spacing w:after="0"/>
        <w:ind w:left="0"/>
        <w:rPr>
          <w:szCs w:val="20"/>
          <w:lang w:val="es-AR"/>
        </w:rPr>
      </w:pPr>
    </w:p>
    <w:p w14:paraId="130B6A82" w14:textId="27E74CBE" w:rsidR="00D2096D" w:rsidRPr="00997AD1" w:rsidRDefault="00EA47C9" w:rsidP="00EF5F56">
      <w:pPr>
        <w:pStyle w:val="ListParagraph"/>
        <w:numPr>
          <w:ilvl w:val="0"/>
          <w:numId w:val="2"/>
        </w:numPr>
        <w:autoSpaceDE w:val="0"/>
        <w:autoSpaceDN w:val="0"/>
        <w:adjustRightInd w:val="0"/>
        <w:spacing w:after="0"/>
        <w:ind w:left="0" w:firstLine="0"/>
        <w:rPr>
          <w:szCs w:val="20"/>
          <w:lang w:val="es-AR"/>
        </w:rPr>
      </w:pPr>
      <w:r w:rsidRPr="001D3D7B">
        <w:rPr>
          <w:rFonts w:cs="Arial"/>
          <w:szCs w:val="20"/>
        </w:rPr>
        <w:t>En respuesta a dicha comunicación de la Secretaría del Tribunal (</w:t>
      </w:r>
      <w:r w:rsidRPr="00365273">
        <w:rPr>
          <w:rFonts w:cs="Arial"/>
          <w:i/>
          <w:szCs w:val="20"/>
        </w:rPr>
        <w:t>supra</w:t>
      </w:r>
      <w:r w:rsidRPr="001D3D7B">
        <w:rPr>
          <w:rFonts w:cs="Arial"/>
          <w:szCs w:val="20"/>
        </w:rPr>
        <w:t xml:space="preserve">, párr. </w:t>
      </w:r>
      <w:r w:rsidR="00E2707D">
        <w:rPr>
          <w:rFonts w:cs="Arial"/>
          <w:szCs w:val="20"/>
        </w:rPr>
        <w:t>5</w:t>
      </w:r>
      <w:r w:rsidRPr="001D3D7B">
        <w:rPr>
          <w:rFonts w:cs="Arial"/>
          <w:szCs w:val="20"/>
        </w:rPr>
        <w:t xml:space="preserve">), </w:t>
      </w:r>
      <w:r w:rsidR="00DC7F9A" w:rsidRPr="001D3D7B">
        <w:rPr>
          <w:rFonts w:cs="Arial"/>
          <w:szCs w:val="20"/>
        </w:rPr>
        <w:t xml:space="preserve">mediante escrito </w:t>
      </w:r>
      <w:r w:rsidR="00327B81">
        <w:rPr>
          <w:rFonts w:cs="Arial"/>
          <w:szCs w:val="20"/>
        </w:rPr>
        <w:t>de</w:t>
      </w:r>
      <w:r w:rsidRPr="001D3D7B">
        <w:rPr>
          <w:szCs w:val="20"/>
          <w:lang w:val="es-CR"/>
        </w:rPr>
        <w:t xml:space="preserve"> </w:t>
      </w:r>
      <w:r w:rsidR="00D2096D" w:rsidRPr="001D3D7B">
        <w:rPr>
          <w:szCs w:val="20"/>
          <w:lang w:val="es-CR"/>
        </w:rPr>
        <w:t>16 de abril de 2018 los</w:t>
      </w:r>
      <w:r w:rsidR="00D2096D" w:rsidRPr="00365273">
        <w:rPr>
          <w:b/>
          <w:i/>
          <w:szCs w:val="20"/>
          <w:lang w:val="es-CR"/>
        </w:rPr>
        <w:t xml:space="preserve"> </w:t>
      </w:r>
      <w:r w:rsidR="00D2096D" w:rsidRPr="00997AD1">
        <w:rPr>
          <w:i/>
          <w:szCs w:val="20"/>
          <w:lang w:val="es-CR"/>
        </w:rPr>
        <w:t>representantes</w:t>
      </w:r>
      <w:r w:rsidR="00D2096D" w:rsidRPr="00997AD1">
        <w:rPr>
          <w:szCs w:val="20"/>
          <w:lang w:val="es-CR"/>
        </w:rPr>
        <w:t xml:space="preserve"> </w:t>
      </w:r>
      <w:r w:rsidR="00615FF8" w:rsidRPr="00997AD1">
        <w:rPr>
          <w:szCs w:val="20"/>
          <w:lang w:val="es-CR"/>
        </w:rPr>
        <w:t xml:space="preserve">manifestaron “que </w:t>
      </w:r>
      <w:r w:rsidR="00615FF8" w:rsidRPr="00997AD1">
        <w:rPr>
          <w:rFonts w:cs="36xuhcn,Italic"/>
          <w:iCs/>
          <w:szCs w:val="20"/>
        </w:rPr>
        <w:t xml:space="preserve">si bien no se remitieron anexos ni se ofrecieron, por el momento, declaraciones, </w:t>
      </w:r>
      <w:r w:rsidR="00615FF8" w:rsidRPr="00997AD1">
        <w:rPr>
          <w:rFonts w:cs="52lpfmz,BoldItalic"/>
          <w:bCs/>
          <w:iCs/>
          <w:szCs w:val="20"/>
        </w:rPr>
        <w:t>sí se efectuó un pormenorizado ofrecimiento de prueba […]</w:t>
      </w:r>
      <w:r w:rsidR="00A15482" w:rsidRPr="00997AD1">
        <w:rPr>
          <w:rFonts w:cs="52lpfmz,BoldItalic"/>
          <w:bCs/>
          <w:iCs/>
          <w:szCs w:val="20"/>
        </w:rPr>
        <w:t>”</w:t>
      </w:r>
      <w:r w:rsidR="00C56C0E" w:rsidRPr="00997AD1">
        <w:rPr>
          <w:rFonts w:cs="52lpfmz,BoldItalic"/>
          <w:bCs/>
          <w:iCs/>
          <w:szCs w:val="20"/>
        </w:rPr>
        <w:t xml:space="preserve">. </w:t>
      </w:r>
      <w:r w:rsidR="001D3D7B" w:rsidRPr="00997AD1">
        <w:rPr>
          <w:rFonts w:cs="52lpfmz,BoldItalic"/>
          <w:bCs/>
          <w:iCs/>
          <w:szCs w:val="20"/>
        </w:rPr>
        <w:t>Asimismo, alegaron que “</w:t>
      </w:r>
      <w:r w:rsidR="001D3D7B" w:rsidRPr="00997AD1">
        <w:rPr>
          <w:rFonts w:cs="52lpfmz,BoldItalic"/>
          <w:bCs/>
          <w:iCs/>
          <w:szCs w:val="20"/>
          <w:lang w:val="es-MX"/>
        </w:rPr>
        <w:t xml:space="preserve">se </w:t>
      </w:r>
      <w:proofErr w:type="gramStart"/>
      <w:r w:rsidR="001D3D7B" w:rsidRPr="00997AD1">
        <w:rPr>
          <w:rFonts w:cs="52lpfmz,BoldItalic"/>
          <w:bCs/>
          <w:iCs/>
          <w:szCs w:val="20"/>
          <w:lang w:val="es-MX"/>
        </w:rPr>
        <w:t>reserva[</w:t>
      </w:r>
      <w:proofErr w:type="spellStart"/>
      <w:proofErr w:type="gramEnd"/>
      <w:r w:rsidR="001D3D7B" w:rsidRPr="00997AD1">
        <w:rPr>
          <w:rFonts w:cs="52lpfmz,BoldItalic"/>
          <w:bCs/>
          <w:iCs/>
          <w:szCs w:val="20"/>
          <w:lang w:val="es-MX"/>
        </w:rPr>
        <w:t>ban</w:t>
      </w:r>
      <w:proofErr w:type="spellEnd"/>
      <w:r w:rsidR="001D3D7B" w:rsidRPr="00997AD1">
        <w:rPr>
          <w:rFonts w:cs="52lpfmz,BoldItalic"/>
          <w:bCs/>
          <w:iCs/>
          <w:szCs w:val="20"/>
          <w:lang w:val="es-MX"/>
        </w:rPr>
        <w:t>] el derecho de proponer oportunamente un perito contador para el supuesto de que el Estado requerido no d[</w:t>
      </w:r>
      <w:proofErr w:type="spellStart"/>
      <w:r w:rsidR="001D3D7B" w:rsidRPr="00997AD1">
        <w:rPr>
          <w:rFonts w:cs="52lpfmz,BoldItalic"/>
          <w:bCs/>
          <w:iCs/>
          <w:szCs w:val="20"/>
          <w:lang w:val="es-MX"/>
        </w:rPr>
        <w:t>iera</w:t>
      </w:r>
      <w:proofErr w:type="spellEnd"/>
      <w:r w:rsidR="001D3D7B" w:rsidRPr="00997AD1">
        <w:rPr>
          <w:rFonts w:cs="52lpfmz,BoldItalic"/>
          <w:bCs/>
          <w:iCs/>
          <w:szCs w:val="20"/>
          <w:lang w:val="es-MX"/>
        </w:rPr>
        <w:t xml:space="preserve">] cumplimiento a lo peticionado […] o que su liquidación no se </w:t>
      </w:r>
      <w:proofErr w:type="spellStart"/>
      <w:r w:rsidR="001D3D7B" w:rsidRPr="00997AD1">
        <w:rPr>
          <w:rFonts w:cs="52lpfmz,BoldItalic"/>
          <w:bCs/>
          <w:iCs/>
          <w:szCs w:val="20"/>
          <w:lang w:val="es-MX"/>
        </w:rPr>
        <w:t>reali</w:t>
      </w:r>
      <w:proofErr w:type="spellEnd"/>
      <w:r w:rsidR="001D3D7B" w:rsidRPr="00997AD1">
        <w:rPr>
          <w:rFonts w:cs="52lpfmz,BoldItalic"/>
          <w:bCs/>
          <w:iCs/>
          <w:szCs w:val="20"/>
          <w:lang w:val="es-MX"/>
        </w:rPr>
        <w:t xml:space="preserve">[zara] conforme los parámetros exigibles para el caso, y a los efectos de que </w:t>
      </w:r>
      <w:proofErr w:type="spellStart"/>
      <w:r w:rsidR="001D3D7B" w:rsidRPr="00997AD1">
        <w:rPr>
          <w:rFonts w:cs="52lpfmz,BoldItalic"/>
          <w:bCs/>
          <w:iCs/>
          <w:szCs w:val="20"/>
          <w:lang w:val="es-MX"/>
        </w:rPr>
        <w:t>practi</w:t>
      </w:r>
      <w:proofErr w:type="spellEnd"/>
      <w:r w:rsidR="0048721E" w:rsidRPr="00997AD1">
        <w:rPr>
          <w:rFonts w:cs="52lpfmz,BoldItalic"/>
          <w:bCs/>
          <w:iCs/>
          <w:szCs w:val="20"/>
          <w:lang w:val="es-MX"/>
        </w:rPr>
        <w:t>[cara]</w:t>
      </w:r>
      <w:r w:rsidR="001D3D7B" w:rsidRPr="00997AD1">
        <w:rPr>
          <w:rFonts w:cs="52lpfmz,BoldItalic"/>
          <w:bCs/>
          <w:iCs/>
          <w:szCs w:val="20"/>
          <w:lang w:val="es-MX"/>
        </w:rPr>
        <w:t xml:space="preserve"> el […] cálculo solicitado […]”.</w:t>
      </w:r>
    </w:p>
    <w:p w14:paraId="3423F838" w14:textId="77777777" w:rsidR="00D2096D" w:rsidRPr="00997AD1" w:rsidRDefault="00D2096D" w:rsidP="00EF5F56">
      <w:pPr>
        <w:pStyle w:val="ListParagraph"/>
        <w:spacing w:after="0"/>
        <w:rPr>
          <w:szCs w:val="20"/>
          <w:lang w:val="es-CR"/>
        </w:rPr>
      </w:pPr>
    </w:p>
    <w:p w14:paraId="573A7144" w14:textId="34CF0D6E" w:rsidR="00544CEA" w:rsidRPr="00BA7E71" w:rsidRDefault="006E4B5B" w:rsidP="00EF5F56">
      <w:pPr>
        <w:pStyle w:val="ListParagraph"/>
        <w:numPr>
          <w:ilvl w:val="0"/>
          <w:numId w:val="2"/>
        </w:numPr>
        <w:autoSpaceDE w:val="0"/>
        <w:autoSpaceDN w:val="0"/>
        <w:adjustRightInd w:val="0"/>
        <w:spacing w:after="0"/>
        <w:ind w:left="0" w:firstLine="0"/>
        <w:rPr>
          <w:szCs w:val="20"/>
          <w:lang w:val="es-AR"/>
        </w:rPr>
      </w:pPr>
      <w:r w:rsidRPr="00997AD1">
        <w:rPr>
          <w:szCs w:val="20"/>
          <w:lang w:val="es-CR"/>
        </w:rPr>
        <w:t xml:space="preserve">Mediante comunicación </w:t>
      </w:r>
      <w:r w:rsidR="004A69BD" w:rsidRPr="00997AD1">
        <w:rPr>
          <w:szCs w:val="20"/>
          <w:lang w:val="es-CR"/>
        </w:rPr>
        <w:t>de</w:t>
      </w:r>
      <w:r w:rsidR="00DE4B09" w:rsidRPr="00997AD1">
        <w:rPr>
          <w:szCs w:val="20"/>
          <w:lang w:val="es-CR"/>
        </w:rPr>
        <w:t xml:space="preserve"> </w:t>
      </w:r>
      <w:r w:rsidR="00327B81" w:rsidRPr="00997AD1">
        <w:rPr>
          <w:szCs w:val="20"/>
          <w:lang w:val="es-CR"/>
        </w:rPr>
        <w:t xml:space="preserve">la Secretaría de </w:t>
      </w:r>
      <w:r w:rsidR="004A69BD" w:rsidRPr="00997AD1">
        <w:rPr>
          <w:szCs w:val="20"/>
          <w:lang w:val="es-CR"/>
        </w:rPr>
        <w:t xml:space="preserve">19 de octubre de 2018, </w:t>
      </w:r>
      <w:r w:rsidR="00327B81" w:rsidRPr="00997AD1">
        <w:rPr>
          <w:szCs w:val="20"/>
          <w:lang w:val="es-CR"/>
        </w:rPr>
        <w:t>se</w:t>
      </w:r>
      <w:r w:rsidR="004A69BD" w:rsidRPr="00997AD1">
        <w:rPr>
          <w:szCs w:val="20"/>
          <w:lang w:val="es-CR"/>
        </w:rPr>
        <w:t xml:space="preserve"> reiteró a los representantes que estos no ofrecieron declaración alguna en el momento procesal oportuno, a su cargo para ser ventilada en el </w:t>
      </w:r>
      <w:r w:rsidR="00595A6C" w:rsidRPr="00997AD1">
        <w:rPr>
          <w:szCs w:val="20"/>
          <w:lang w:val="es-CR"/>
        </w:rPr>
        <w:t xml:space="preserve">presente caso, e hizo de su conocimiento la solicitud </w:t>
      </w:r>
      <w:r w:rsidR="002F1B40" w:rsidRPr="00997AD1">
        <w:rPr>
          <w:szCs w:val="20"/>
          <w:lang w:val="es-CR"/>
        </w:rPr>
        <w:t>de la Corte dirigida</w:t>
      </w:r>
      <w:r w:rsidR="00595A6C" w:rsidRPr="00997AD1">
        <w:rPr>
          <w:szCs w:val="20"/>
          <w:lang w:val="es-CR"/>
        </w:rPr>
        <w:t xml:space="preserve"> a la Comisión para que </w:t>
      </w:r>
      <w:r w:rsidR="00B85C11" w:rsidRPr="00997AD1">
        <w:rPr>
          <w:szCs w:val="20"/>
          <w:lang w:val="es-CR"/>
        </w:rPr>
        <w:t xml:space="preserve">esta última </w:t>
      </w:r>
      <w:r w:rsidR="00595A6C" w:rsidRPr="00997AD1">
        <w:rPr>
          <w:szCs w:val="20"/>
          <w:lang w:val="es-CR"/>
        </w:rPr>
        <w:t xml:space="preserve">remitiera su </w:t>
      </w:r>
      <w:r w:rsidR="00B85C11" w:rsidRPr="00997AD1">
        <w:rPr>
          <w:szCs w:val="20"/>
          <w:lang w:val="es-CR"/>
        </w:rPr>
        <w:t>lista definitiva de declarantes a más</w:t>
      </w:r>
      <w:r w:rsidR="00595A6C" w:rsidRPr="00997AD1">
        <w:rPr>
          <w:szCs w:val="20"/>
          <w:lang w:val="es-CR"/>
        </w:rPr>
        <w:t xml:space="preserve"> tardar el 31 de octubre de 2018</w:t>
      </w:r>
      <w:r w:rsidR="00C56C0E" w:rsidRPr="00997AD1">
        <w:rPr>
          <w:bCs/>
          <w:iCs/>
          <w:szCs w:val="20"/>
          <w:lang w:val="es-CR"/>
        </w:rPr>
        <w:t xml:space="preserve">. </w:t>
      </w:r>
      <w:r w:rsidR="004A69BD" w:rsidRPr="00997AD1">
        <w:rPr>
          <w:bCs/>
          <w:iCs/>
          <w:szCs w:val="20"/>
          <w:lang w:val="es-MX"/>
        </w:rPr>
        <w:t xml:space="preserve">En respuesta, el </w:t>
      </w:r>
      <w:r w:rsidR="00EA47C9" w:rsidRPr="00997AD1">
        <w:rPr>
          <w:szCs w:val="20"/>
          <w:lang w:val="es-CR"/>
        </w:rPr>
        <w:t xml:space="preserve">31 de octubre de 2018 </w:t>
      </w:r>
      <w:r w:rsidR="00C14C11" w:rsidRPr="00997AD1">
        <w:rPr>
          <w:szCs w:val="20"/>
          <w:lang w:val="es-CR"/>
        </w:rPr>
        <w:t xml:space="preserve">los </w:t>
      </w:r>
      <w:r w:rsidR="00C14C11" w:rsidRPr="00997AD1">
        <w:rPr>
          <w:i/>
          <w:szCs w:val="20"/>
          <w:lang w:val="es-CR"/>
        </w:rPr>
        <w:t>representantes</w:t>
      </w:r>
      <w:r w:rsidR="00C14C11" w:rsidRPr="00997AD1">
        <w:rPr>
          <w:szCs w:val="20"/>
          <w:lang w:val="es-CR"/>
        </w:rPr>
        <w:t xml:space="preserve"> </w:t>
      </w:r>
      <w:r w:rsidR="00EA47C9" w:rsidRPr="00997AD1">
        <w:rPr>
          <w:szCs w:val="20"/>
          <w:lang w:val="es-CR"/>
        </w:rPr>
        <w:t xml:space="preserve">remitieron </w:t>
      </w:r>
      <w:r w:rsidR="00EA47C9" w:rsidRPr="00997AD1">
        <w:rPr>
          <w:rFonts w:cs="Arial"/>
          <w:szCs w:val="20"/>
        </w:rPr>
        <w:t xml:space="preserve">un </w:t>
      </w:r>
      <w:r w:rsidR="00EA47C9" w:rsidRPr="00997AD1">
        <w:rPr>
          <w:szCs w:val="20"/>
          <w:lang w:val="es-CR"/>
        </w:rPr>
        <w:t xml:space="preserve">escrito en donde alegaron </w:t>
      </w:r>
      <w:r w:rsidR="00544CEA" w:rsidRPr="00997AD1">
        <w:rPr>
          <w:szCs w:val="20"/>
          <w:lang w:val="es-CR"/>
        </w:rPr>
        <w:t>que “[s</w:t>
      </w:r>
      <w:r w:rsidR="00F432EE" w:rsidRPr="00997AD1">
        <w:rPr>
          <w:szCs w:val="20"/>
          <w:lang w:val="es-CR"/>
        </w:rPr>
        <w:t>e</w:t>
      </w:r>
      <w:r w:rsidR="00544CEA" w:rsidRPr="00997AD1">
        <w:rPr>
          <w:szCs w:val="20"/>
          <w:lang w:val="es-CR"/>
        </w:rPr>
        <w:t>]</w:t>
      </w:r>
      <w:r w:rsidR="00544CEA" w:rsidRPr="00997AD1">
        <w:rPr>
          <w:rFonts w:cs="Arial"/>
          <w:szCs w:val="20"/>
        </w:rPr>
        <w:t xml:space="preserve"> ha[</w:t>
      </w:r>
      <w:proofErr w:type="spellStart"/>
      <w:r w:rsidR="00544CEA" w:rsidRPr="00997AD1">
        <w:rPr>
          <w:rFonts w:cs="Arial"/>
          <w:szCs w:val="20"/>
        </w:rPr>
        <w:t>bía</w:t>
      </w:r>
      <w:proofErr w:type="spellEnd"/>
      <w:r w:rsidR="00544CEA" w:rsidRPr="00997AD1">
        <w:rPr>
          <w:rFonts w:cs="Arial"/>
          <w:szCs w:val="20"/>
        </w:rPr>
        <w:t>]n reservado su derecho a supervisar el cálculo que eventualmente</w:t>
      </w:r>
      <w:r w:rsidR="00544CEA" w:rsidRPr="00954192">
        <w:rPr>
          <w:rFonts w:cs="Arial"/>
          <w:szCs w:val="20"/>
        </w:rPr>
        <w:t xml:space="preserve"> efectuará el Estado respecto de las acreencias insatisfechas a las víctimas por parte </w:t>
      </w:r>
      <w:r w:rsidR="003F6997">
        <w:rPr>
          <w:rFonts w:cs="Arial"/>
          <w:szCs w:val="20"/>
        </w:rPr>
        <w:t xml:space="preserve">[…] </w:t>
      </w:r>
      <w:r w:rsidR="00544CEA" w:rsidRPr="00954192">
        <w:rPr>
          <w:rFonts w:cs="Arial"/>
          <w:szCs w:val="20"/>
        </w:rPr>
        <w:t>de[l] E</w:t>
      </w:r>
      <w:r w:rsidR="00544CEA" w:rsidRPr="00954192">
        <w:rPr>
          <w:rFonts w:cs="Arial"/>
          <w:szCs w:val="20"/>
          <w:lang w:val="es-MX"/>
        </w:rPr>
        <w:t>[</w:t>
      </w:r>
      <w:proofErr w:type="spellStart"/>
      <w:r w:rsidR="00544CEA" w:rsidRPr="00954192">
        <w:rPr>
          <w:rFonts w:cs="Arial"/>
          <w:szCs w:val="20"/>
          <w:lang w:val="es-MX"/>
        </w:rPr>
        <w:t>stado</w:t>
      </w:r>
      <w:proofErr w:type="spellEnd"/>
      <w:r w:rsidR="00544CEA" w:rsidRPr="00954192">
        <w:rPr>
          <w:rFonts w:cs="Arial"/>
          <w:szCs w:val="20"/>
          <w:lang w:val="es-MX"/>
        </w:rPr>
        <w:t>]</w:t>
      </w:r>
      <w:r w:rsidR="00544CEA" w:rsidRPr="00954192">
        <w:rPr>
          <w:rFonts w:cs="Arial"/>
          <w:szCs w:val="20"/>
        </w:rPr>
        <w:t xml:space="preserve"> y ha[</w:t>
      </w:r>
      <w:proofErr w:type="spellStart"/>
      <w:r w:rsidR="00544CEA" w:rsidRPr="00954192">
        <w:rPr>
          <w:rFonts w:cs="Arial"/>
          <w:szCs w:val="20"/>
        </w:rPr>
        <w:t>bía</w:t>
      </w:r>
      <w:proofErr w:type="spellEnd"/>
      <w:r w:rsidR="00544CEA" w:rsidRPr="00954192">
        <w:rPr>
          <w:rFonts w:cs="Arial"/>
          <w:szCs w:val="20"/>
        </w:rPr>
        <w:t xml:space="preserve">] </w:t>
      </w:r>
      <w:r w:rsidR="00544CEA" w:rsidRPr="00954192">
        <w:rPr>
          <w:rFonts w:cs="Arial"/>
          <w:szCs w:val="20"/>
        </w:rPr>
        <w:lastRenderedPageBreak/>
        <w:t>solicitado lo propio a es[t]a Corte, también ha[</w:t>
      </w:r>
      <w:proofErr w:type="spellStart"/>
      <w:r w:rsidR="00544CEA" w:rsidRPr="00954192">
        <w:rPr>
          <w:rFonts w:cs="Arial"/>
          <w:szCs w:val="20"/>
        </w:rPr>
        <w:t>bía</w:t>
      </w:r>
      <w:proofErr w:type="spellEnd"/>
      <w:r w:rsidR="00544CEA" w:rsidRPr="00954192">
        <w:rPr>
          <w:rFonts w:cs="Arial"/>
          <w:szCs w:val="20"/>
        </w:rPr>
        <w:t>] ofrecido en […] su ESAP la posibilidad de proponer un experto (perito contable) a los mismos efectos […]”</w:t>
      </w:r>
      <w:r w:rsidR="00E050E6" w:rsidRPr="00954192">
        <w:rPr>
          <w:rFonts w:cs="Arial"/>
          <w:szCs w:val="20"/>
        </w:rPr>
        <w:t xml:space="preserve">. Con base en lo anterior, </w:t>
      </w:r>
      <w:r w:rsidR="00A86AC9">
        <w:rPr>
          <w:rFonts w:cs="Arial"/>
          <w:szCs w:val="20"/>
        </w:rPr>
        <w:t xml:space="preserve">los </w:t>
      </w:r>
      <w:r w:rsidR="00A86AC9" w:rsidRPr="00A86AC9">
        <w:rPr>
          <w:rFonts w:cs="Arial"/>
          <w:szCs w:val="20"/>
        </w:rPr>
        <w:t>representantes</w:t>
      </w:r>
      <w:r w:rsidR="00A86AC9">
        <w:rPr>
          <w:rFonts w:cs="Arial"/>
          <w:szCs w:val="20"/>
        </w:rPr>
        <w:t xml:space="preserve"> </w:t>
      </w:r>
      <w:r w:rsidR="0004586A" w:rsidRPr="00954192">
        <w:rPr>
          <w:rFonts w:cs="Arial"/>
          <w:szCs w:val="20"/>
          <w:lang w:val="es-AR"/>
        </w:rPr>
        <w:t>alegaron “ratificar</w:t>
      </w:r>
      <w:r w:rsidR="0004586A" w:rsidRPr="00954192">
        <w:rPr>
          <w:rFonts w:eastAsiaTheme="minorHAnsi" w:cs="Arial"/>
          <w:szCs w:val="20"/>
          <w:lang w:val="es-AR" w:eastAsia="en-US"/>
        </w:rPr>
        <w:t xml:space="preserve"> </w:t>
      </w:r>
      <w:r w:rsidR="0004586A" w:rsidRPr="00954192">
        <w:rPr>
          <w:rFonts w:cs="Arial"/>
          <w:szCs w:val="20"/>
          <w:lang w:val="es-AR"/>
        </w:rPr>
        <w:t>la propuesta efectuada en su ESAP”</w:t>
      </w:r>
      <w:r w:rsidR="00355F49">
        <w:rPr>
          <w:rFonts w:cs="Arial"/>
          <w:szCs w:val="20"/>
        </w:rPr>
        <w:t xml:space="preserve">. </w:t>
      </w:r>
      <w:r w:rsidR="00A86AC9">
        <w:rPr>
          <w:rFonts w:cs="Arial"/>
          <w:szCs w:val="20"/>
        </w:rPr>
        <w:t xml:space="preserve">Sobre este punto, </w:t>
      </w:r>
      <w:r w:rsidR="00A86AC9">
        <w:rPr>
          <w:rFonts w:cs="Arial"/>
          <w:szCs w:val="20"/>
          <w:lang w:val="es-MX"/>
        </w:rPr>
        <w:t xml:space="preserve">en </w:t>
      </w:r>
      <w:r w:rsidR="00355F49">
        <w:rPr>
          <w:rFonts w:cs="Arial"/>
          <w:szCs w:val="20"/>
        </w:rPr>
        <w:t>dicho escrito</w:t>
      </w:r>
      <w:r w:rsidR="00A86AC9">
        <w:rPr>
          <w:rFonts w:cs="Arial"/>
          <w:szCs w:val="20"/>
        </w:rPr>
        <w:t xml:space="preserve"> </w:t>
      </w:r>
      <w:r w:rsidR="00AF107A" w:rsidRPr="00954192">
        <w:rPr>
          <w:rFonts w:cs="Arial"/>
          <w:szCs w:val="20"/>
        </w:rPr>
        <w:t>señalaron</w:t>
      </w:r>
      <w:r w:rsidR="00E050E6" w:rsidRPr="00954192">
        <w:rPr>
          <w:rFonts w:cs="Arial"/>
          <w:szCs w:val="20"/>
        </w:rPr>
        <w:t xml:space="preserve"> </w:t>
      </w:r>
      <w:r w:rsidR="00790F68" w:rsidRPr="00954192">
        <w:rPr>
          <w:rFonts w:cs="Arial"/>
          <w:szCs w:val="20"/>
        </w:rPr>
        <w:t>como</w:t>
      </w:r>
      <w:r w:rsidR="00E050E6" w:rsidRPr="00954192">
        <w:rPr>
          <w:rFonts w:cs="Arial"/>
          <w:szCs w:val="20"/>
        </w:rPr>
        <w:t xml:space="preserve"> perito contable al señor Ricardo Santiago </w:t>
      </w:r>
      <w:proofErr w:type="spellStart"/>
      <w:r w:rsidR="00E050E6" w:rsidRPr="00954192">
        <w:rPr>
          <w:rFonts w:cs="Arial"/>
          <w:szCs w:val="20"/>
        </w:rPr>
        <w:t>Botto</w:t>
      </w:r>
      <w:proofErr w:type="spellEnd"/>
      <w:r w:rsidR="00EA47C9">
        <w:rPr>
          <w:rFonts w:cs="Arial"/>
          <w:szCs w:val="20"/>
        </w:rPr>
        <w:t xml:space="preserve">, anexaron </w:t>
      </w:r>
      <w:r w:rsidR="00E050E6" w:rsidRPr="00954192">
        <w:rPr>
          <w:rFonts w:cs="Arial"/>
          <w:szCs w:val="20"/>
        </w:rPr>
        <w:t>su hoja de vida</w:t>
      </w:r>
      <w:r w:rsidR="0004586A" w:rsidRPr="00954192">
        <w:rPr>
          <w:rFonts w:cs="Arial"/>
          <w:szCs w:val="20"/>
        </w:rPr>
        <w:t xml:space="preserve"> y solicita</w:t>
      </w:r>
      <w:r w:rsidR="00EA47C9">
        <w:rPr>
          <w:rFonts w:cs="Arial"/>
          <w:szCs w:val="20"/>
        </w:rPr>
        <w:t xml:space="preserve">ron </w:t>
      </w:r>
      <w:r w:rsidR="00790F68" w:rsidRPr="00954192">
        <w:rPr>
          <w:rFonts w:cs="Arial"/>
          <w:szCs w:val="20"/>
        </w:rPr>
        <w:t xml:space="preserve">el desahogo de su declaración </w:t>
      </w:r>
      <w:r w:rsidR="00790F68" w:rsidRPr="00BA7E71">
        <w:rPr>
          <w:rFonts w:cs="Arial"/>
          <w:szCs w:val="20"/>
        </w:rPr>
        <w:t>mediante fedatario público</w:t>
      </w:r>
      <w:r w:rsidR="00C56C0E">
        <w:rPr>
          <w:rFonts w:cs="Arial"/>
          <w:szCs w:val="20"/>
        </w:rPr>
        <w:t>.</w:t>
      </w:r>
      <w:r w:rsidR="00790F68" w:rsidRPr="00BA7E71">
        <w:rPr>
          <w:rFonts w:cs="Arial"/>
          <w:b/>
          <w:szCs w:val="20"/>
        </w:rPr>
        <w:t xml:space="preserve"> </w:t>
      </w:r>
    </w:p>
    <w:p w14:paraId="7569DEAE" w14:textId="7990A5C7" w:rsidR="00680DFA" w:rsidRPr="00AC28E6" w:rsidRDefault="00680DFA" w:rsidP="00EF5F56">
      <w:pPr>
        <w:pStyle w:val="ListParagraph"/>
        <w:autoSpaceDE w:val="0"/>
        <w:autoSpaceDN w:val="0"/>
        <w:adjustRightInd w:val="0"/>
        <w:spacing w:after="0"/>
        <w:ind w:left="0"/>
        <w:rPr>
          <w:szCs w:val="20"/>
          <w:lang w:val="es-AR"/>
        </w:rPr>
      </w:pPr>
      <w:r w:rsidRPr="00BA7E71">
        <w:rPr>
          <w:szCs w:val="20"/>
          <w:lang w:val="es-CR"/>
        </w:rPr>
        <w:t xml:space="preserve"> </w:t>
      </w:r>
    </w:p>
    <w:p w14:paraId="3D34CB23" w14:textId="51A3506C" w:rsidR="00680DFA" w:rsidRPr="00AC28E6" w:rsidRDefault="00680DFA" w:rsidP="00EF5F56">
      <w:pPr>
        <w:pStyle w:val="ListParagraph"/>
        <w:numPr>
          <w:ilvl w:val="0"/>
          <w:numId w:val="2"/>
        </w:numPr>
        <w:autoSpaceDE w:val="0"/>
        <w:autoSpaceDN w:val="0"/>
        <w:adjustRightInd w:val="0"/>
        <w:spacing w:after="0"/>
        <w:ind w:left="0" w:firstLine="0"/>
        <w:rPr>
          <w:szCs w:val="20"/>
          <w:lang w:val="es-AR"/>
        </w:rPr>
      </w:pPr>
      <w:r w:rsidRPr="00AC28E6">
        <w:rPr>
          <w:szCs w:val="20"/>
          <w:lang w:val="es-AR"/>
        </w:rPr>
        <w:t>Con relación a dich</w:t>
      </w:r>
      <w:r w:rsidR="00327B81">
        <w:rPr>
          <w:szCs w:val="20"/>
          <w:lang w:val="es-AR"/>
        </w:rPr>
        <w:t>a</w:t>
      </w:r>
      <w:r w:rsidRPr="00AC28E6">
        <w:rPr>
          <w:szCs w:val="20"/>
          <w:lang w:val="es-AR"/>
        </w:rPr>
        <w:t xml:space="preserve"> probanza</w:t>
      </w:r>
      <w:r w:rsidR="0069326A" w:rsidRPr="00AC28E6">
        <w:rPr>
          <w:szCs w:val="20"/>
          <w:lang w:val="es-AR"/>
        </w:rPr>
        <w:t xml:space="preserve"> pericial</w:t>
      </w:r>
      <w:r w:rsidRPr="00AC28E6">
        <w:rPr>
          <w:szCs w:val="20"/>
          <w:lang w:val="es-AR"/>
        </w:rPr>
        <w:t xml:space="preserve">, </w:t>
      </w:r>
      <w:r w:rsidR="00223D62">
        <w:rPr>
          <w:szCs w:val="20"/>
          <w:lang w:val="es-AR"/>
        </w:rPr>
        <w:t xml:space="preserve">en sus observaciones a la lista definitiva de la Comisión </w:t>
      </w:r>
      <w:r w:rsidRPr="00AC28E6">
        <w:rPr>
          <w:szCs w:val="20"/>
          <w:lang w:val="es-AR"/>
        </w:rPr>
        <w:t xml:space="preserve">el </w:t>
      </w:r>
      <w:r w:rsidRPr="00AC28E6">
        <w:rPr>
          <w:b/>
          <w:i/>
          <w:szCs w:val="20"/>
          <w:lang w:val="es-AR"/>
        </w:rPr>
        <w:t xml:space="preserve">Estado </w:t>
      </w:r>
      <w:r w:rsidR="0005597E" w:rsidRPr="00AC28E6">
        <w:rPr>
          <w:szCs w:val="20"/>
          <w:lang w:val="es-AR"/>
        </w:rPr>
        <w:t>manifestó</w:t>
      </w:r>
      <w:r w:rsidR="00223D62">
        <w:rPr>
          <w:szCs w:val="20"/>
          <w:lang w:val="es-AR"/>
        </w:rPr>
        <w:t xml:space="preserve"> </w:t>
      </w:r>
      <w:r w:rsidR="0005597E" w:rsidRPr="00AC28E6">
        <w:rPr>
          <w:szCs w:val="20"/>
          <w:lang w:val="es-AR"/>
        </w:rPr>
        <w:t>que</w:t>
      </w:r>
      <w:r w:rsidR="0005597E" w:rsidRPr="00AC28E6">
        <w:rPr>
          <w:b/>
          <w:szCs w:val="20"/>
          <w:lang w:val="es-AR"/>
        </w:rPr>
        <w:t xml:space="preserve"> </w:t>
      </w:r>
      <w:r w:rsidR="00D405ED" w:rsidRPr="00AC28E6">
        <w:rPr>
          <w:szCs w:val="20"/>
          <w:lang w:val="es-AR"/>
        </w:rPr>
        <w:t xml:space="preserve">“respecto de lo solicitado por los representantes […] en cuanto al pedido de que el Estado practique la liquidación de las acreencias salariales </w:t>
      </w:r>
      <w:r w:rsidR="00BA7E71" w:rsidRPr="00AC28E6">
        <w:rPr>
          <w:szCs w:val="20"/>
          <w:lang w:val="es-AR"/>
        </w:rPr>
        <w:t>y accesorias no percibidas por las [presuntas] víctimas en su condición de empleados estatales […] no es obligación del Estado practicar dicha liquidación dado que la carga probatoria recae en los representantes […] y son ellos quienes deben proceder a realizar los solicitado</w:t>
      </w:r>
      <w:r w:rsidR="00D405ED" w:rsidRPr="00AC28E6">
        <w:rPr>
          <w:szCs w:val="20"/>
          <w:lang w:val="es-AR"/>
        </w:rPr>
        <w:t>”</w:t>
      </w:r>
      <w:r w:rsidR="00BA7E71" w:rsidRPr="00AC28E6">
        <w:rPr>
          <w:szCs w:val="20"/>
          <w:lang w:val="es-AR"/>
        </w:rPr>
        <w:t xml:space="preserve">. El Estado agregó que “se </w:t>
      </w:r>
      <w:proofErr w:type="gramStart"/>
      <w:r w:rsidR="00BA7E71" w:rsidRPr="00AC28E6">
        <w:rPr>
          <w:szCs w:val="20"/>
          <w:lang w:val="es-AR"/>
        </w:rPr>
        <w:t>reserva[</w:t>
      </w:r>
      <w:proofErr w:type="spellStart"/>
      <w:proofErr w:type="gramEnd"/>
      <w:r w:rsidR="00BA7E71" w:rsidRPr="00AC28E6">
        <w:rPr>
          <w:szCs w:val="20"/>
          <w:lang w:val="es-AR"/>
        </w:rPr>
        <w:t>ba</w:t>
      </w:r>
      <w:proofErr w:type="spellEnd"/>
      <w:r w:rsidR="00BA7E71" w:rsidRPr="00AC28E6">
        <w:rPr>
          <w:szCs w:val="20"/>
          <w:lang w:val="es-AR"/>
        </w:rPr>
        <w:t>] el derecho de poder impugnar la liquidación que efectúen los representantes”.</w:t>
      </w:r>
      <w:r w:rsidR="00223D62">
        <w:rPr>
          <w:szCs w:val="20"/>
          <w:lang w:val="es-AR"/>
        </w:rPr>
        <w:t xml:space="preserve"> </w:t>
      </w:r>
      <w:r w:rsidR="00327B81">
        <w:rPr>
          <w:szCs w:val="20"/>
          <w:lang w:val="es-AR"/>
        </w:rPr>
        <w:t>Sin perjuicio de lo anterior</w:t>
      </w:r>
      <w:r w:rsidR="00223D62" w:rsidRPr="00AC28E6">
        <w:rPr>
          <w:szCs w:val="20"/>
          <w:lang w:val="es-AR"/>
        </w:rPr>
        <w:t>,</w:t>
      </w:r>
      <w:r w:rsidR="00223D62">
        <w:rPr>
          <w:szCs w:val="20"/>
          <w:lang w:val="es-AR"/>
        </w:rPr>
        <w:t xml:space="preserve"> </w:t>
      </w:r>
      <w:r w:rsidR="00327B81">
        <w:rPr>
          <w:szCs w:val="20"/>
          <w:lang w:val="es-AR"/>
        </w:rPr>
        <w:t xml:space="preserve">el Estado </w:t>
      </w:r>
      <w:r w:rsidR="00223D62" w:rsidRPr="00AC28E6">
        <w:rPr>
          <w:szCs w:val="20"/>
          <w:lang w:val="es-AR"/>
        </w:rPr>
        <w:t>no</w:t>
      </w:r>
      <w:r w:rsidR="00223D62" w:rsidRPr="00AC28E6">
        <w:rPr>
          <w:b/>
          <w:szCs w:val="20"/>
          <w:lang w:val="es-AR"/>
        </w:rPr>
        <w:t xml:space="preserve"> </w:t>
      </w:r>
      <w:r w:rsidR="00223D62" w:rsidRPr="00AC28E6">
        <w:rPr>
          <w:szCs w:val="20"/>
          <w:lang w:val="es-AR"/>
        </w:rPr>
        <w:t>manifestó</w:t>
      </w:r>
      <w:r w:rsidR="00223D62" w:rsidRPr="00AC28E6">
        <w:rPr>
          <w:b/>
          <w:szCs w:val="20"/>
          <w:lang w:val="es-AR"/>
        </w:rPr>
        <w:t xml:space="preserve"> </w:t>
      </w:r>
      <w:r w:rsidR="00223D62" w:rsidRPr="00AC28E6">
        <w:rPr>
          <w:szCs w:val="20"/>
          <w:lang w:val="es-AR"/>
        </w:rPr>
        <w:t>observaciones</w:t>
      </w:r>
      <w:r w:rsidR="00223D62" w:rsidRPr="00AC28E6">
        <w:rPr>
          <w:b/>
          <w:szCs w:val="20"/>
          <w:lang w:val="es-AR"/>
        </w:rPr>
        <w:t xml:space="preserve"> </w:t>
      </w:r>
      <w:r w:rsidR="00223D62" w:rsidRPr="00AC28E6">
        <w:rPr>
          <w:szCs w:val="20"/>
          <w:lang w:val="es-AR"/>
        </w:rPr>
        <w:t>específicas</w:t>
      </w:r>
      <w:r w:rsidR="00223D62" w:rsidRPr="00AC28E6">
        <w:rPr>
          <w:b/>
          <w:szCs w:val="20"/>
          <w:lang w:val="es-AR"/>
        </w:rPr>
        <w:t xml:space="preserve"> </w:t>
      </w:r>
      <w:r w:rsidR="00223D62" w:rsidRPr="00AC28E6">
        <w:rPr>
          <w:szCs w:val="20"/>
          <w:lang w:val="es-AR"/>
        </w:rPr>
        <w:t xml:space="preserve">sobre la admisibilidad y desahogo de </w:t>
      </w:r>
      <w:r w:rsidR="00223D62">
        <w:rPr>
          <w:szCs w:val="20"/>
          <w:lang w:val="es-AR"/>
        </w:rPr>
        <w:t>la</w:t>
      </w:r>
      <w:r w:rsidR="00223D62" w:rsidRPr="00AC28E6">
        <w:rPr>
          <w:szCs w:val="20"/>
          <w:lang w:val="es-AR"/>
        </w:rPr>
        <w:t xml:space="preserve"> probanza pericial</w:t>
      </w:r>
      <w:r w:rsidR="00223D62">
        <w:rPr>
          <w:szCs w:val="20"/>
          <w:lang w:val="es-AR"/>
        </w:rPr>
        <w:t xml:space="preserve"> propuesta por los representantes</w:t>
      </w:r>
      <w:r w:rsidR="00223D62" w:rsidRPr="00AC28E6">
        <w:rPr>
          <w:szCs w:val="20"/>
          <w:lang w:val="es-AR"/>
        </w:rPr>
        <w:t>.</w:t>
      </w:r>
      <w:r w:rsidR="00223D62" w:rsidRPr="00AC28E6">
        <w:rPr>
          <w:b/>
          <w:szCs w:val="20"/>
          <w:lang w:val="es-AR"/>
        </w:rPr>
        <w:t xml:space="preserve"> </w:t>
      </w:r>
    </w:p>
    <w:p w14:paraId="139A8FFB" w14:textId="77777777" w:rsidR="00680DFA" w:rsidRPr="00850F42" w:rsidRDefault="00680DFA" w:rsidP="00EF5F56">
      <w:pPr>
        <w:pStyle w:val="ListParagraph"/>
        <w:spacing w:after="0"/>
        <w:rPr>
          <w:szCs w:val="20"/>
          <w:highlight w:val="yellow"/>
          <w:lang w:val="es-AR"/>
        </w:rPr>
      </w:pPr>
    </w:p>
    <w:p w14:paraId="49671B99" w14:textId="22AE37E0" w:rsidR="00680DFA" w:rsidRPr="00AC28E6" w:rsidRDefault="00680DFA" w:rsidP="00EF5F56">
      <w:pPr>
        <w:pStyle w:val="ListParagraph"/>
        <w:numPr>
          <w:ilvl w:val="0"/>
          <w:numId w:val="2"/>
        </w:numPr>
        <w:autoSpaceDE w:val="0"/>
        <w:autoSpaceDN w:val="0"/>
        <w:adjustRightInd w:val="0"/>
        <w:spacing w:after="0"/>
        <w:ind w:left="0" w:firstLine="0"/>
        <w:rPr>
          <w:szCs w:val="20"/>
          <w:lang w:val="es-AR"/>
        </w:rPr>
      </w:pPr>
      <w:r w:rsidRPr="00AC28E6">
        <w:rPr>
          <w:szCs w:val="20"/>
          <w:lang w:val="es-AR"/>
        </w:rPr>
        <w:t xml:space="preserve">Por su parte, la </w:t>
      </w:r>
      <w:r w:rsidRPr="00AC28E6">
        <w:rPr>
          <w:b/>
          <w:i/>
          <w:szCs w:val="20"/>
          <w:lang w:val="es-AR"/>
        </w:rPr>
        <w:t xml:space="preserve">Comisión </w:t>
      </w:r>
      <w:r w:rsidR="00AC1ED3" w:rsidRPr="00AC28E6">
        <w:rPr>
          <w:szCs w:val="20"/>
          <w:lang w:val="es-AR"/>
        </w:rPr>
        <w:t xml:space="preserve">manifestó </w:t>
      </w:r>
      <w:r w:rsidR="00ED1C41">
        <w:rPr>
          <w:szCs w:val="20"/>
          <w:lang w:val="es-AR"/>
        </w:rPr>
        <w:t xml:space="preserve">no tener </w:t>
      </w:r>
      <w:r w:rsidR="00AC1ED3" w:rsidRPr="00AC28E6">
        <w:rPr>
          <w:szCs w:val="20"/>
          <w:lang w:val="es-AR"/>
        </w:rPr>
        <w:t>observaciones al ofrecimiento pericial de los representantes</w:t>
      </w:r>
      <w:r w:rsidR="00ED1C41">
        <w:rPr>
          <w:szCs w:val="20"/>
          <w:lang w:val="es-AR"/>
        </w:rPr>
        <w:t xml:space="preserve"> </w:t>
      </w:r>
      <w:r w:rsidR="00834944">
        <w:rPr>
          <w:szCs w:val="20"/>
          <w:lang w:val="es-AR"/>
        </w:rPr>
        <w:t>propuesto</w:t>
      </w:r>
      <w:r w:rsidR="00014456">
        <w:rPr>
          <w:szCs w:val="20"/>
          <w:lang w:val="es-AR"/>
        </w:rPr>
        <w:t xml:space="preserve"> con posterioridad a la presentación de su escrito de solicitudes y argumentos</w:t>
      </w:r>
      <w:r w:rsidR="00AC1ED3" w:rsidRPr="00AC28E6">
        <w:rPr>
          <w:szCs w:val="20"/>
          <w:lang w:val="es-AR"/>
        </w:rPr>
        <w:t xml:space="preserve">. </w:t>
      </w:r>
    </w:p>
    <w:p w14:paraId="6125E4CB" w14:textId="77777777" w:rsidR="00AF107A" w:rsidRPr="00850F42" w:rsidRDefault="00AF107A" w:rsidP="00EF5F56">
      <w:pPr>
        <w:widowControl w:val="0"/>
        <w:tabs>
          <w:tab w:val="left" w:pos="567"/>
          <w:tab w:val="left" w:pos="810"/>
        </w:tabs>
        <w:autoSpaceDE w:val="0"/>
        <w:autoSpaceDN w:val="0"/>
        <w:adjustRightInd w:val="0"/>
        <w:spacing w:after="0" w:line="240" w:lineRule="auto"/>
        <w:ind w:right="22"/>
        <w:rPr>
          <w:rFonts w:ascii="Verdana" w:eastAsia="Times New Roman" w:hAnsi="Verdana" w:cs="Verdana"/>
          <w:sz w:val="20"/>
          <w:szCs w:val="20"/>
          <w:highlight w:val="yellow"/>
        </w:rPr>
      </w:pPr>
    </w:p>
    <w:p w14:paraId="492BD14A" w14:textId="44143174" w:rsidR="00A435EE" w:rsidRPr="00365273" w:rsidRDefault="00DE4B09" w:rsidP="00EF5F56">
      <w:pPr>
        <w:pStyle w:val="ListParagraph"/>
        <w:numPr>
          <w:ilvl w:val="0"/>
          <w:numId w:val="2"/>
        </w:numPr>
        <w:spacing w:after="0"/>
        <w:ind w:left="0" w:firstLine="0"/>
        <w:rPr>
          <w:szCs w:val="20"/>
          <w:lang w:val="es-ES"/>
        </w:rPr>
      </w:pPr>
      <w:r>
        <w:rPr>
          <w:szCs w:val="20"/>
          <w:lang w:val="es-MX"/>
        </w:rPr>
        <w:t>E</w:t>
      </w:r>
      <w:r w:rsidR="000C5EFF" w:rsidRPr="00850F42">
        <w:rPr>
          <w:szCs w:val="20"/>
        </w:rPr>
        <w:t xml:space="preserve">l Reglamento de la Corte, en su artículo 40.2, inciso c, establece que </w:t>
      </w:r>
      <w:r w:rsidR="00F43AB9" w:rsidRPr="00850F42">
        <w:rPr>
          <w:szCs w:val="20"/>
          <w:lang w:val="es-ES"/>
        </w:rPr>
        <w:t xml:space="preserve">el momento procesal oportuno para la presentación de prueba pericial, </w:t>
      </w:r>
      <w:r w:rsidR="006B07D0">
        <w:rPr>
          <w:szCs w:val="20"/>
          <w:lang w:val="es-ES"/>
        </w:rPr>
        <w:t xml:space="preserve">en el caso </w:t>
      </w:r>
      <w:r w:rsidR="00F43AB9" w:rsidRPr="00850F42">
        <w:rPr>
          <w:szCs w:val="20"/>
          <w:lang w:val="es-ES"/>
        </w:rPr>
        <w:t>de l</w:t>
      </w:r>
      <w:r w:rsidR="006B07D0">
        <w:rPr>
          <w:szCs w:val="20"/>
          <w:lang w:val="es-ES"/>
        </w:rPr>
        <w:t>o</w:t>
      </w:r>
      <w:r w:rsidR="00F43AB9" w:rsidRPr="00850F42">
        <w:rPr>
          <w:szCs w:val="20"/>
          <w:lang w:val="es-ES"/>
        </w:rPr>
        <w:t>s representantes, es en el escrito de solicitudes y argumentos</w:t>
      </w:r>
      <w:r w:rsidR="00327B81">
        <w:rPr>
          <w:szCs w:val="20"/>
          <w:lang w:val="es-ES"/>
        </w:rPr>
        <w:t xml:space="preserve"> (ESAP)</w:t>
      </w:r>
      <w:r w:rsidR="00F43AB9" w:rsidRPr="00850F42">
        <w:rPr>
          <w:szCs w:val="20"/>
          <w:lang w:val="es-ES"/>
        </w:rPr>
        <w:t xml:space="preserve">, </w:t>
      </w:r>
      <w:r w:rsidR="006B07D0">
        <w:rPr>
          <w:szCs w:val="20"/>
          <w:lang w:val="es-ES"/>
        </w:rPr>
        <w:t xml:space="preserve">mismo que contendrá </w:t>
      </w:r>
      <w:r w:rsidR="006B07D0" w:rsidRPr="006B07D0">
        <w:rPr>
          <w:szCs w:val="20"/>
          <w:lang w:val="es-MX"/>
        </w:rPr>
        <w:t>la individualización de declarantes</w:t>
      </w:r>
      <w:r w:rsidR="006B07D0">
        <w:rPr>
          <w:szCs w:val="20"/>
          <w:lang w:val="es-MX"/>
        </w:rPr>
        <w:t xml:space="preserve">, </w:t>
      </w:r>
      <w:r w:rsidR="006B07D0" w:rsidRPr="006B07D0">
        <w:rPr>
          <w:szCs w:val="20"/>
          <w:lang w:val="es-MX"/>
        </w:rPr>
        <w:t>el objeto de su declaración</w:t>
      </w:r>
      <w:r w:rsidR="00A24434">
        <w:rPr>
          <w:rStyle w:val="FootnoteReference"/>
        </w:rPr>
        <w:footnoteReference w:id="1"/>
      </w:r>
      <w:r w:rsidR="006B07D0">
        <w:rPr>
          <w:szCs w:val="20"/>
          <w:lang w:val="es-MX"/>
        </w:rPr>
        <w:t>, y e</w:t>
      </w:r>
      <w:r w:rsidR="006B07D0" w:rsidRPr="006B07D0">
        <w:rPr>
          <w:szCs w:val="20"/>
          <w:lang w:val="es-MX"/>
        </w:rPr>
        <w:t>n el caso de los peritos, deberán además remitir su hoja de vida y sus datos de contacto</w:t>
      </w:r>
      <w:r w:rsidR="006B07D0">
        <w:rPr>
          <w:szCs w:val="20"/>
          <w:lang w:val="es-MX"/>
        </w:rPr>
        <w:t xml:space="preserve">. Por tanto, </w:t>
      </w:r>
      <w:r w:rsidR="00F43AB9" w:rsidRPr="00850F42">
        <w:rPr>
          <w:szCs w:val="20"/>
          <w:lang w:val="es-CR"/>
        </w:rPr>
        <w:t xml:space="preserve">la presentación de listas definitivas de declarantes no constituye una nueva oportunidad procesal para proponer probanzas por las partes en el procedimiento ante la Corte, salvo las excepciones establecidas en el artículo 57.2 del Reglamento, esto es: fuerza mayor, impedimento grave o hechos supervinientes, </w:t>
      </w:r>
      <w:r w:rsidR="002775AC" w:rsidRPr="002775AC">
        <w:rPr>
          <w:szCs w:val="20"/>
        </w:rPr>
        <w:t>s</w:t>
      </w:r>
      <w:r w:rsidR="002775AC">
        <w:rPr>
          <w:szCs w:val="20"/>
        </w:rPr>
        <w:t xml:space="preserve">i se justificare </w:t>
      </w:r>
      <w:r w:rsidR="00B85C11">
        <w:rPr>
          <w:szCs w:val="20"/>
        </w:rPr>
        <w:t xml:space="preserve">de manera </w:t>
      </w:r>
      <w:r w:rsidR="002775AC">
        <w:rPr>
          <w:szCs w:val="20"/>
        </w:rPr>
        <w:t>adecuada</w:t>
      </w:r>
      <w:r w:rsidR="00B85C11">
        <w:rPr>
          <w:szCs w:val="20"/>
        </w:rPr>
        <w:t xml:space="preserve">, </w:t>
      </w:r>
      <w:r w:rsidR="00F43AB9" w:rsidRPr="00850F42">
        <w:rPr>
          <w:szCs w:val="20"/>
          <w:lang w:val="es-CR"/>
        </w:rPr>
        <w:t>previamente oído el parecer de todas las partes intervinientes en el proceso</w:t>
      </w:r>
      <w:r w:rsidR="00F43AB9" w:rsidRPr="00850F42">
        <w:rPr>
          <w:szCs w:val="20"/>
          <w:vertAlign w:val="superscript"/>
          <w:lang w:val="en-US"/>
        </w:rPr>
        <w:footnoteReference w:id="2"/>
      </w:r>
      <w:r w:rsidR="00F43AB9" w:rsidRPr="00850F42">
        <w:rPr>
          <w:szCs w:val="20"/>
          <w:lang w:val="es-CR"/>
        </w:rPr>
        <w:t xml:space="preserve">. </w:t>
      </w:r>
    </w:p>
    <w:p w14:paraId="36AEED84" w14:textId="733EE43B" w:rsidR="006E716A" w:rsidRPr="00850F42" w:rsidRDefault="006E716A" w:rsidP="00EF5F56">
      <w:pPr>
        <w:pStyle w:val="ListParagraph"/>
        <w:spacing w:after="0"/>
        <w:ind w:left="0"/>
        <w:rPr>
          <w:szCs w:val="20"/>
          <w:lang w:val="es-ES"/>
        </w:rPr>
      </w:pPr>
    </w:p>
    <w:p w14:paraId="3E0EDE48" w14:textId="22883468" w:rsidR="00A435EE" w:rsidRPr="00365273" w:rsidRDefault="00A24434" w:rsidP="00EF5F56">
      <w:pPr>
        <w:pStyle w:val="ListParagraph"/>
        <w:numPr>
          <w:ilvl w:val="0"/>
          <w:numId w:val="2"/>
        </w:numPr>
        <w:spacing w:after="0"/>
        <w:ind w:left="0" w:firstLine="0"/>
        <w:rPr>
          <w:szCs w:val="20"/>
          <w:lang w:val="es-CR"/>
        </w:rPr>
      </w:pPr>
      <w:r w:rsidRPr="005B4DDB">
        <w:rPr>
          <w:szCs w:val="20"/>
          <w:lang w:val="es-ES"/>
        </w:rPr>
        <w:t xml:space="preserve">En este sentido, </w:t>
      </w:r>
      <w:r w:rsidRPr="00997AD1">
        <w:rPr>
          <w:szCs w:val="20"/>
          <w:lang w:val="es-ES"/>
        </w:rPr>
        <w:t xml:space="preserve">esta </w:t>
      </w:r>
      <w:r w:rsidRPr="00997AD1">
        <w:rPr>
          <w:b/>
          <w:i/>
          <w:szCs w:val="20"/>
          <w:lang w:val="es-ES"/>
        </w:rPr>
        <w:t>Presidencia</w:t>
      </w:r>
      <w:r w:rsidRPr="005B4DDB">
        <w:rPr>
          <w:szCs w:val="20"/>
          <w:lang w:val="es-ES"/>
        </w:rPr>
        <w:t xml:space="preserve"> </w:t>
      </w:r>
      <w:r w:rsidR="00975F69" w:rsidRPr="005B4DDB">
        <w:rPr>
          <w:szCs w:val="20"/>
          <w:lang w:val="es-ES"/>
        </w:rPr>
        <w:t>nota que en su escrito</w:t>
      </w:r>
      <w:r w:rsidR="002775AC" w:rsidRPr="005B4DDB">
        <w:rPr>
          <w:szCs w:val="20"/>
          <w:lang w:val="es-ES"/>
        </w:rPr>
        <w:t xml:space="preserve"> </w:t>
      </w:r>
      <w:r w:rsidR="00975F69" w:rsidRPr="00DE4B09">
        <w:rPr>
          <w:szCs w:val="20"/>
          <w:lang w:val="es-ES"/>
        </w:rPr>
        <w:t xml:space="preserve">de solicitudes y argumentos los representantes </w:t>
      </w:r>
      <w:r w:rsidR="00A435EE" w:rsidRPr="005B4DDB">
        <w:rPr>
          <w:rFonts w:cs="Arial"/>
          <w:szCs w:val="20"/>
        </w:rPr>
        <w:t>no individualizaron a perito alguno, no adjuntaron su hoja de vida y tampoco señalaron el objeto de su eventual pronunciamiento pericial o la modalidad propuesta para su desahogo</w:t>
      </w:r>
      <w:r w:rsidR="00A435EE" w:rsidRPr="005B4DDB">
        <w:rPr>
          <w:rFonts w:cs="Arial"/>
          <w:szCs w:val="20"/>
          <w:lang w:val="es-ES"/>
        </w:rPr>
        <w:t xml:space="preserve">, </w:t>
      </w:r>
      <w:r w:rsidR="00A435EE" w:rsidRPr="005B4DDB">
        <w:rPr>
          <w:rFonts w:cs="Arial"/>
          <w:szCs w:val="20"/>
          <w:lang w:val="es-CR"/>
        </w:rPr>
        <w:t>en los términos establecidos en los artículos 40.2.c</w:t>
      </w:r>
      <w:r w:rsidR="00A435EE" w:rsidRPr="00996A47">
        <w:rPr>
          <w:rStyle w:val="FootnoteReference"/>
          <w:sz w:val="20"/>
          <w:szCs w:val="20"/>
          <w:lang w:val="es-CR"/>
        </w:rPr>
        <w:footnoteReference w:id="3"/>
      </w:r>
      <w:r w:rsidR="00A435EE" w:rsidRPr="005B4DDB">
        <w:rPr>
          <w:rFonts w:cs="Arial"/>
          <w:szCs w:val="20"/>
          <w:lang w:val="es-CR"/>
        </w:rPr>
        <w:t xml:space="preserve">. </w:t>
      </w:r>
      <w:r w:rsidR="00A435EE" w:rsidRPr="00996A47">
        <w:rPr>
          <w:rFonts w:cs="Arial"/>
          <w:szCs w:val="20"/>
          <w:lang w:val="es-CR"/>
        </w:rPr>
        <w:t>De igual forma, esta Presidencia constata que en sus comunicaciones de 16 de abril y 19 de octubre de 2018 (</w:t>
      </w:r>
      <w:r w:rsidR="00A435EE" w:rsidRPr="00996A47">
        <w:rPr>
          <w:rFonts w:cs="Arial"/>
          <w:i/>
          <w:szCs w:val="20"/>
          <w:lang w:val="es-CR"/>
        </w:rPr>
        <w:t xml:space="preserve">supra, </w:t>
      </w:r>
      <w:proofErr w:type="spellStart"/>
      <w:r w:rsidR="00A435EE" w:rsidRPr="00996A47">
        <w:rPr>
          <w:rFonts w:cs="Arial"/>
          <w:szCs w:val="20"/>
          <w:lang w:val="es-CR"/>
        </w:rPr>
        <w:t>párrs</w:t>
      </w:r>
      <w:proofErr w:type="spellEnd"/>
      <w:r w:rsidR="00A435EE" w:rsidRPr="00996A47">
        <w:rPr>
          <w:rFonts w:cs="Arial"/>
          <w:szCs w:val="20"/>
          <w:lang w:val="es-CR"/>
        </w:rPr>
        <w:t xml:space="preserve">. </w:t>
      </w:r>
      <w:r w:rsidR="00613441">
        <w:rPr>
          <w:rFonts w:cs="Arial"/>
          <w:szCs w:val="20"/>
          <w:lang w:val="es-CR"/>
        </w:rPr>
        <w:t>6 a 7</w:t>
      </w:r>
      <w:r w:rsidR="00613441" w:rsidRPr="00996A47">
        <w:rPr>
          <w:rFonts w:cs="Arial"/>
          <w:szCs w:val="20"/>
          <w:lang w:val="es-CR"/>
        </w:rPr>
        <w:t xml:space="preserve">), </w:t>
      </w:r>
      <w:r w:rsidR="00A435EE" w:rsidRPr="00996A47">
        <w:rPr>
          <w:rFonts w:cs="Arial"/>
          <w:szCs w:val="20"/>
          <w:lang w:val="es-CR"/>
        </w:rPr>
        <w:t xml:space="preserve">en las cuales los representantes propusieron de manera extemporánea el objeto del pronunciamiento pericial a cargo del señor Ricardo Santiago </w:t>
      </w:r>
      <w:proofErr w:type="spellStart"/>
      <w:r w:rsidR="00A435EE" w:rsidRPr="00996A47">
        <w:rPr>
          <w:rFonts w:cs="Arial"/>
          <w:szCs w:val="20"/>
          <w:lang w:val="es-CR"/>
        </w:rPr>
        <w:t>Botto</w:t>
      </w:r>
      <w:proofErr w:type="spellEnd"/>
      <w:r w:rsidR="00A435EE" w:rsidRPr="00996A47">
        <w:rPr>
          <w:rFonts w:cs="Arial"/>
          <w:szCs w:val="20"/>
          <w:lang w:val="es-CR"/>
        </w:rPr>
        <w:t xml:space="preserve"> y remitieron su hoja de vida y los datos de contacto de éste, no ofrecieron justificación alguna, ni presentaron razones o argumentos de fuerza mayor o gravedad que les hubieran impedido ofrecer el peritaje </w:t>
      </w:r>
      <w:r w:rsidR="00A435EE">
        <w:rPr>
          <w:rFonts w:cs="Arial"/>
          <w:szCs w:val="20"/>
          <w:lang w:val="es-CR"/>
        </w:rPr>
        <w:t xml:space="preserve">de referencia en </w:t>
      </w:r>
      <w:r w:rsidR="00A435EE" w:rsidRPr="00E77224">
        <w:rPr>
          <w:rFonts w:cs="Arial"/>
          <w:szCs w:val="20"/>
          <w:lang w:val="es-CR"/>
        </w:rPr>
        <w:t xml:space="preserve">forma </w:t>
      </w:r>
      <w:r w:rsidR="00A435EE">
        <w:rPr>
          <w:rFonts w:cs="Arial"/>
          <w:szCs w:val="20"/>
          <w:lang w:val="es-CR"/>
        </w:rPr>
        <w:t>y dentro d</w:t>
      </w:r>
      <w:r w:rsidR="00A435EE" w:rsidRPr="00996A47">
        <w:rPr>
          <w:rFonts w:cs="Arial"/>
          <w:szCs w:val="20"/>
          <w:lang w:val="es-CR"/>
        </w:rPr>
        <w:t xml:space="preserve">el plazo </w:t>
      </w:r>
      <w:r w:rsidR="00A435EE" w:rsidRPr="00AA6DAC">
        <w:rPr>
          <w:rFonts w:cs="Arial"/>
          <w:szCs w:val="20"/>
          <w:lang w:val="es-CR"/>
        </w:rPr>
        <w:t>conform</w:t>
      </w:r>
      <w:r w:rsidR="00A435EE">
        <w:rPr>
          <w:rFonts w:cs="Arial"/>
          <w:szCs w:val="20"/>
          <w:lang w:val="es-CR"/>
        </w:rPr>
        <w:t xml:space="preserve">e a </w:t>
      </w:r>
      <w:r w:rsidR="00A435EE" w:rsidRPr="00996A47">
        <w:rPr>
          <w:rFonts w:cs="Arial"/>
          <w:szCs w:val="20"/>
          <w:lang w:val="es-CR"/>
        </w:rPr>
        <w:t xml:space="preserve">lo establecido en el Reglamento </w:t>
      </w:r>
      <w:r w:rsidR="00A435EE">
        <w:rPr>
          <w:rFonts w:cs="Arial"/>
          <w:szCs w:val="20"/>
          <w:lang w:val="es-CR"/>
        </w:rPr>
        <w:t>sobre</w:t>
      </w:r>
      <w:r w:rsidR="00A435EE" w:rsidRPr="00996A47">
        <w:rPr>
          <w:rFonts w:cs="Arial"/>
          <w:szCs w:val="20"/>
          <w:lang w:val="es-CR"/>
        </w:rPr>
        <w:t xml:space="preserve"> esta materia. </w:t>
      </w:r>
    </w:p>
    <w:p w14:paraId="175F359E" w14:textId="77777777" w:rsidR="00E634AF" w:rsidRPr="00A435EE" w:rsidRDefault="00E634AF" w:rsidP="00EF5F56">
      <w:pPr>
        <w:pStyle w:val="ListParagraph"/>
        <w:spacing w:after="0"/>
        <w:ind w:left="0"/>
        <w:rPr>
          <w:rFonts w:cs="Arial"/>
          <w:szCs w:val="20"/>
          <w:highlight w:val="yellow"/>
        </w:rPr>
      </w:pPr>
    </w:p>
    <w:p w14:paraId="58AC6847" w14:textId="5E4F3A4B" w:rsidR="00956A49" w:rsidRPr="00365273" w:rsidRDefault="00F43AB9" w:rsidP="00EF5F56">
      <w:pPr>
        <w:pStyle w:val="ListParagraph"/>
        <w:numPr>
          <w:ilvl w:val="0"/>
          <w:numId w:val="2"/>
        </w:numPr>
        <w:spacing w:after="0"/>
        <w:ind w:left="0" w:firstLine="0"/>
        <w:rPr>
          <w:rFonts w:cs="Arial"/>
          <w:szCs w:val="20"/>
          <w:lang w:val="es-CR"/>
        </w:rPr>
      </w:pPr>
      <w:r w:rsidRPr="00AA6DAC">
        <w:rPr>
          <w:szCs w:val="20"/>
          <w:lang w:val="es-ES"/>
        </w:rPr>
        <w:lastRenderedPageBreak/>
        <w:t xml:space="preserve">Por </w:t>
      </w:r>
      <w:r w:rsidR="00BD45A6" w:rsidRPr="00365273">
        <w:rPr>
          <w:szCs w:val="20"/>
          <w:lang w:val="es-ES"/>
        </w:rPr>
        <w:t xml:space="preserve">lo </w:t>
      </w:r>
      <w:r w:rsidR="00D43A2F" w:rsidRPr="00A97DEA">
        <w:rPr>
          <w:szCs w:val="20"/>
          <w:lang w:val="es-ES"/>
        </w:rPr>
        <w:t xml:space="preserve">tanto, </w:t>
      </w:r>
      <w:r w:rsidR="00BD45A6" w:rsidRPr="00365273">
        <w:rPr>
          <w:szCs w:val="20"/>
          <w:lang w:val="es-ES"/>
        </w:rPr>
        <w:t>en atención a</w:t>
      </w:r>
      <w:r w:rsidR="002F0695" w:rsidRPr="00A97DEA">
        <w:rPr>
          <w:szCs w:val="20"/>
          <w:lang w:val="es-ES"/>
        </w:rPr>
        <w:t xml:space="preserve"> </w:t>
      </w:r>
      <w:r w:rsidRPr="00AA6DAC">
        <w:rPr>
          <w:szCs w:val="20"/>
          <w:lang w:val="es-ES"/>
        </w:rPr>
        <w:t>las razones anteriormente expuestas</w:t>
      </w:r>
      <w:r w:rsidR="00D43A2F" w:rsidRPr="00A97DEA">
        <w:rPr>
          <w:szCs w:val="20"/>
          <w:lang w:val="es-ES"/>
        </w:rPr>
        <w:t xml:space="preserve">, </w:t>
      </w:r>
      <w:r w:rsidR="00956A49" w:rsidRPr="00365273">
        <w:rPr>
          <w:szCs w:val="20"/>
          <w:lang w:val="es-ES"/>
        </w:rPr>
        <w:t xml:space="preserve">el </w:t>
      </w:r>
      <w:r w:rsidR="00956A49" w:rsidRPr="00EF5F56">
        <w:rPr>
          <w:szCs w:val="20"/>
          <w:lang w:val="es-ES"/>
        </w:rPr>
        <w:t>Presidente</w:t>
      </w:r>
      <w:r w:rsidR="00956A49" w:rsidRPr="00365273">
        <w:rPr>
          <w:i/>
          <w:szCs w:val="20"/>
          <w:lang w:val="es-ES"/>
        </w:rPr>
        <w:t xml:space="preserve"> </w:t>
      </w:r>
      <w:r w:rsidR="005040C6" w:rsidRPr="00AA6DAC">
        <w:rPr>
          <w:szCs w:val="20"/>
          <w:lang w:val="es-ES"/>
        </w:rPr>
        <w:t xml:space="preserve">declara </w:t>
      </w:r>
      <w:r w:rsidR="008C26BF" w:rsidRPr="00AA6DAC">
        <w:rPr>
          <w:szCs w:val="20"/>
          <w:lang w:val="es-ES"/>
        </w:rPr>
        <w:t xml:space="preserve">inadmisible </w:t>
      </w:r>
      <w:r w:rsidR="00E71FB9" w:rsidRPr="00AA6DAC">
        <w:rPr>
          <w:szCs w:val="20"/>
          <w:lang w:val="es-ES"/>
        </w:rPr>
        <w:t xml:space="preserve">el ofrecimiento </w:t>
      </w:r>
      <w:r w:rsidR="00CA6D6C">
        <w:rPr>
          <w:szCs w:val="20"/>
          <w:lang w:val="es-ES"/>
        </w:rPr>
        <w:t xml:space="preserve">y desahogo </w:t>
      </w:r>
      <w:r w:rsidR="00771355" w:rsidRPr="00365273">
        <w:rPr>
          <w:szCs w:val="20"/>
          <w:lang w:val="es-ES"/>
        </w:rPr>
        <w:t>de dicha probanza</w:t>
      </w:r>
      <w:r w:rsidRPr="00AA6DAC">
        <w:rPr>
          <w:szCs w:val="20"/>
          <w:lang w:val="es-ES"/>
        </w:rPr>
        <w:t xml:space="preserve">, </w:t>
      </w:r>
      <w:r w:rsidR="008C26BF" w:rsidRPr="00AA6DAC">
        <w:rPr>
          <w:szCs w:val="20"/>
          <w:lang w:val="es-ES"/>
        </w:rPr>
        <w:t xml:space="preserve">toda vez que el mismo fue realizado extemporáneamente </w:t>
      </w:r>
      <w:r w:rsidR="00956A49" w:rsidRPr="00365273">
        <w:rPr>
          <w:rFonts w:cs="Arial"/>
          <w:szCs w:val="20"/>
          <w:lang w:val="es-ES"/>
        </w:rPr>
        <w:t>y no cumple con los requisitos y formalidades exigidas por el Reglamento del Tribunal</w:t>
      </w:r>
      <w:r w:rsidR="00407637" w:rsidRPr="00365273">
        <w:rPr>
          <w:rFonts w:cs="Arial"/>
          <w:szCs w:val="20"/>
          <w:lang w:val="es-ES"/>
        </w:rPr>
        <w:t xml:space="preserve"> </w:t>
      </w:r>
      <w:r w:rsidR="00956A49" w:rsidRPr="00365273">
        <w:rPr>
          <w:rFonts w:cs="Arial"/>
          <w:szCs w:val="20"/>
          <w:lang w:val="es-ES"/>
        </w:rPr>
        <w:t>sobre este punto (</w:t>
      </w:r>
      <w:r w:rsidR="00956A49" w:rsidRPr="00365273">
        <w:rPr>
          <w:rFonts w:cs="Arial"/>
          <w:i/>
          <w:szCs w:val="20"/>
          <w:lang w:val="es-ES"/>
        </w:rPr>
        <w:t xml:space="preserve">supra, </w:t>
      </w:r>
      <w:r w:rsidR="00956A49" w:rsidRPr="00365273">
        <w:rPr>
          <w:rFonts w:cs="Arial"/>
          <w:szCs w:val="20"/>
          <w:lang w:val="es-ES"/>
        </w:rPr>
        <w:t xml:space="preserve">párr. </w:t>
      </w:r>
      <w:r w:rsidR="003E6559">
        <w:rPr>
          <w:rFonts w:cs="Arial"/>
          <w:szCs w:val="20"/>
          <w:lang w:val="es-ES"/>
        </w:rPr>
        <w:t>10</w:t>
      </w:r>
      <w:r w:rsidR="00956A49" w:rsidRPr="00365273">
        <w:rPr>
          <w:rFonts w:cs="Arial"/>
          <w:szCs w:val="20"/>
          <w:lang w:val="es-ES"/>
        </w:rPr>
        <w:t>)</w:t>
      </w:r>
      <w:r w:rsidR="003E6559">
        <w:rPr>
          <w:rFonts w:cs="Arial"/>
          <w:szCs w:val="20"/>
          <w:lang w:val="es-ES"/>
        </w:rPr>
        <w:t>.</w:t>
      </w:r>
    </w:p>
    <w:p w14:paraId="7ED0E037" w14:textId="61AFA576" w:rsidR="00F43AB9" w:rsidRPr="00850F42" w:rsidRDefault="00F43AB9" w:rsidP="00EF5F56">
      <w:pPr>
        <w:pStyle w:val="ListParagraph"/>
        <w:spacing w:after="0"/>
        <w:ind w:left="0"/>
        <w:rPr>
          <w:szCs w:val="20"/>
          <w:lang w:val="es-CR"/>
        </w:rPr>
      </w:pPr>
    </w:p>
    <w:p w14:paraId="03D15D95" w14:textId="31419B01" w:rsidR="000770E0" w:rsidRPr="00AC28E6" w:rsidRDefault="000770E0" w:rsidP="00EF5F56">
      <w:pPr>
        <w:pStyle w:val="ListParagraph"/>
        <w:numPr>
          <w:ilvl w:val="0"/>
          <w:numId w:val="34"/>
        </w:numPr>
        <w:spacing w:after="0"/>
        <w:rPr>
          <w:b/>
          <w:i/>
          <w:szCs w:val="20"/>
          <w:lang w:val="es-CR"/>
        </w:rPr>
      </w:pPr>
      <w:r w:rsidRPr="00850F42">
        <w:rPr>
          <w:b/>
          <w:i/>
          <w:szCs w:val="20"/>
        </w:rPr>
        <w:t>La admisibilidad de la prueba pericial ofrecida por la Comisión</w:t>
      </w:r>
      <w:r w:rsidR="00C52FE2" w:rsidRPr="00C52FE2">
        <w:rPr>
          <w:b/>
          <w:i/>
          <w:szCs w:val="20"/>
          <w:lang w:val="es-CR"/>
        </w:rPr>
        <w:t xml:space="preserve"> </w:t>
      </w:r>
      <w:r w:rsidR="00C52FE2">
        <w:rPr>
          <w:b/>
          <w:i/>
          <w:szCs w:val="20"/>
          <w:lang w:val="es-CR"/>
        </w:rPr>
        <w:t>y l</w:t>
      </w:r>
      <w:r w:rsidR="00C52FE2" w:rsidRPr="00C52FE2">
        <w:rPr>
          <w:b/>
          <w:i/>
          <w:szCs w:val="20"/>
          <w:lang w:val="es-CR"/>
        </w:rPr>
        <w:t xml:space="preserve">a alegada falta de competencia del Tribunal para conocer de los hechos </w:t>
      </w:r>
      <w:r w:rsidR="00C52FE2">
        <w:rPr>
          <w:b/>
          <w:i/>
          <w:szCs w:val="20"/>
          <w:lang w:val="es-CR"/>
        </w:rPr>
        <w:t>materia de</w:t>
      </w:r>
      <w:r w:rsidR="00997AD1">
        <w:rPr>
          <w:b/>
          <w:i/>
          <w:szCs w:val="20"/>
          <w:lang w:val="es-CR"/>
        </w:rPr>
        <w:t>l</w:t>
      </w:r>
      <w:r w:rsidR="00C52FE2" w:rsidRPr="00C52FE2">
        <w:rPr>
          <w:b/>
          <w:i/>
          <w:szCs w:val="20"/>
          <w:lang w:val="es-CR"/>
        </w:rPr>
        <w:t xml:space="preserve"> </w:t>
      </w:r>
      <w:r w:rsidR="00997AD1">
        <w:rPr>
          <w:b/>
          <w:i/>
          <w:szCs w:val="20"/>
          <w:lang w:val="es-CR"/>
        </w:rPr>
        <w:t>peritaje</w:t>
      </w:r>
    </w:p>
    <w:p w14:paraId="6A5A201D" w14:textId="77777777" w:rsidR="002A5307" w:rsidRPr="00850F42" w:rsidRDefault="002A5307" w:rsidP="00EF5F56">
      <w:pPr>
        <w:pStyle w:val="ListParagraph"/>
        <w:spacing w:after="0"/>
        <w:rPr>
          <w:b/>
          <w:i/>
          <w:szCs w:val="20"/>
          <w:lang w:val="es-CR"/>
        </w:rPr>
      </w:pPr>
    </w:p>
    <w:p w14:paraId="03D15D97" w14:textId="0C42CCD5" w:rsidR="000770E0" w:rsidRPr="00850F42" w:rsidRDefault="000770E0" w:rsidP="00EF5F56">
      <w:pPr>
        <w:widowControl w:val="0"/>
        <w:numPr>
          <w:ilvl w:val="0"/>
          <w:numId w:val="2"/>
        </w:numPr>
        <w:tabs>
          <w:tab w:val="left" w:pos="567"/>
          <w:tab w:val="left" w:pos="810"/>
        </w:tabs>
        <w:autoSpaceDE w:val="0"/>
        <w:autoSpaceDN w:val="0"/>
        <w:adjustRightInd w:val="0"/>
        <w:spacing w:after="0" w:line="240" w:lineRule="auto"/>
        <w:ind w:left="0" w:right="22" w:firstLine="0"/>
        <w:jc w:val="both"/>
        <w:rPr>
          <w:rFonts w:ascii="Verdana" w:eastAsia="Times New Roman" w:hAnsi="Verdana" w:cs="Verdana"/>
          <w:sz w:val="20"/>
          <w:szCs w:val="20"/>
          <w:lang w:val="es-CL"/>
        </w:rPr>
      </w:pPr>
      <w:r w:rsidRPr="00850F42">
        <w:rPr>
          <w:rFonts w:ascii="Verdana" w:eastAsia="Calibri" w:hAnsi="Verdana" w:cs="Verdana"/>
          <w:sz w:val="20"/>
          <w:szCs w:val="20"/>
        </w:rPr>
        <w:t xml:space="preserve">La </w:t>
      </w:r>
      <w:r w:rsidRPr="00850F42">
        <w:rPr>
          <w:rFonts w:ascii="Verdana" w:eastAsia="Calibri" w:hAnsi="Verdana" w:cs="Verdana"/>
          <w:b/>
          <w:i/>
          <w:sz w:val="20"/>
          <w:szCs w:val="20"/>
        </w:rPr>
        <w:t>Comisión</w:t>
      </w:r>
      <w:r w:rsidRPr="00850F42">
        <w:rPr>
          <w:rFonts w:ascii="Verdana" w:eastAsia="Calibri" w:hAnsi="Verdana" w:cs="Verdana"/>
          <w:sz w:val="20"/>
          <w:szCs w:val="20"/>
        </w:rPr>
        <w:t xml:space="preserve"> ofreció como prueba pericial el dictamen de</w:t>
      </w:r>
      <w:r w:rsidR="00456199" w:rsidRPr="00850F42">
        <w:rPr>
          <w:rFonts w:ascii="Verdana" w:eastAsia="Calibri" w:hAnsi="Verdana" w:cs="Verdana"/>
          <w:sz w:val="20"/>
          <w:szCs w:val="20"/>
        </w:rPr>
        <w:t xml:space="preserve"> la </w:t>
      </w:r>
      <w:r w:rsidRPr="00850F42">
        <w:rPr>
          <w:rFonts w:ascii="Verdana" w:eastAsia="Calibri" w:hAnsi="Verdana" w:cs="Verdana"/>
          <w:sz w:val="20"/>
          <w:szCs w:val="20"/>
        </w:rPr>
        <w:t>señor</w:t>
      </w:r>
      <w:r w:rsidR="00456199" w:rsidRPr="00850F42">
        <w:rPr>
          <w:rFonts w:ascii="Verdana" w:eastAsia="Calibri" w:hAnsi="Verdana" w:cs="Verdana"/>
          <w:sz w:val="20"/>
          <w:szCs w:val="20"/>
        </w:rPr>
        <w:t>a</w:t>
      </w:r>
      <w:r w:rsidRPr="00850F42">
        <w:rPr>
          <w:rFonts w:ascii="Verdana" w:eastAsia="Calibri" w:hAnsi="Verdana" w:cs="Verdana"/>
          <w:sz w:val="20"/>
          <w:szCs w:val="20"/>
        </w:rPr>
        <w:t xml:space="preserve"> </w:t>
      </w:r>
      <w:r w:rsidR="00456199" w:rsidRPr="00850F42">
        <w:rPr>
          <w:rFonts w:ascii="Verdana" w:eastAsia="Calibri" w:hAnsi="Verdana" w:cs="Verdana"/>
          <w:sz w:val="20"/>
          <w:szCs w:val="20"/>
          <w:lang w:val="es-CR"/>
        </w:rPr>
        <w:t xml:space="preserve">Clara Sandoval, cuyo objeto ante el Tribunal será el </w:t>
      </w:r>
      <w:r w:rsidRPr="00850F42">
        <w:rPr>
          <w:rFonts w:ascii="Verdana" w:eastAsia="Calibri" w:hAnsi="Verdana" w:cs="Verdana"/>
          <w:sz w:val="20"/>
          <w:szCs w:val="20"/>
        </w:rPr>
        <w:t>“</w:t>
      </w:r>
      <w:r w:rsidR="00456199" w:rsidRPr="00850F42">
        <w:rPr>
          <w:rFonts w:ascii="Verdana" w:eastAsia="Calibri" w:hAnsi="Verdana" w:cs="Verdana"/>
          <w:sz w:val="20"/>
          <w:szCs w:val="20"/>
        </w:rPr>
        <w:t>declara[r] sobre el marco normativo y/o institucional en Argentina en la época de los hechos, para efectuar reclamos administrativos y judiciales vinculados con los efectos de las graves y sistemáticas violaciones de derechos humanos que tuvieron lugar en la dictadura”.</w:t>
      </w:r>
      <w:r w:rsidR="00456199" w:rsidRPr="00850F42">
        <w:rPr>
          <w:rFonts w:ascii="Verdana" w:hAnsi="Verdana"/>
          <w:color w:val="1F497D"/>
          <w:sz w:val="20"/>
          <w:szCs w:val="20"/>
          <w:lang w:val="es-CR"/>
        </w:rPr>
        <w:t xml:space="preserve"> </w:t>
      </w:r>
    </w:p>
    <w:p w14:paraId="03D15D98" w14:textId="77777777" w:rsidR="000770E0" w:rsidRPr="00850F42" w:rsidRDefault="000770E0" w:rsidP="00EF5F56">
      <w:pPr>
        <w:widowControl w:val="0"/>
        <w:tabs>
          <w:tab w:val="left" w:pos="567"/>
          <w:tab w:val="left" w:pos="810"/>
        </w:tabs>
        <w:autoSpaceDE w:val="0"/>
        <w:autoSpaceDN w:val="0"/>
        <w:adjustRightInd w:val="0"/>
        <w:spacing w:after="0" w:line="240" w:lineRule="auto"/>
        <w:ind w:right="22"/>
        <w:jc w:val="both"/>
        <w:rPr>
          <w:rFonts w:ascii="Verdana" w:eastAsia="Times New Roman" w:hAnsi="Verdana" w:cs="Verdana"/>
          <w:sz w:val="20"/>
          <w:szCs w:val="20"/>
          <w:highlight w:val="yellow"/>
          <w:lang w:val="es-CL"/>
        </w:rPr>
      </w:pPr>
    </w:p>
    <w:p w14:paraId="03D15D99" w14:textId="326198A0" w:rsidR="000770E0" w:rsidRPr="006B2C51" w:rsidRDefault="00F93B98" w:rsidP="00EF5F56">
      <w:pPr>
        <w:widowControl w:val="0"/>
        <w:numPr>
          <w:ilvl w:val="0"/>
          <w:numId w:val="2"/>
        </w:numPr>
        <w:tabs>
          <w:tab w:val="left" w:pos="0"/>
        </w:tabs>
        <w:autoSpaceDE w:val="0"/>
        <w:autoSpaceDN w:val="0"/>
        <w:adjustRightInd w:val="0"/>
        <w:spacing w:after="0" w:line="240" w:lineRule="auto"/>
        <w:ind w:left="0" w:right="22" w:firstLine="0"/>
        <w:jc w:val="both"/>
        <w:rPr>
          <w:rFonts w:ascii="Verdana" w:eastAsia="Times New Roman" w:hAnsi="Verdana" w:cs="Verdana"/>
          <w:sz w:val="20"/>
          <w:szCs w:val="20"/>
          <w:lang w:val="es-CL"/>
        </w:rPr>
      </w:pPr>
      <w:r w:rsidRPr="00850F42">
        <w:rPr>
          <w:rFonts w:ascii="Verdana" w:eastAsia="Calibri" w:hAnsi="Verdana" w:cs="Verdana"/>
          <w:sz w:val="20"/>
          <w:szCs w:val="20"/>
        </w:rPr>
        <w:t>Sobre dicha probanza</w:t>
      </w:r>
      <w:r w:rsidR="000770E0" w:rsidRPr="00850F42">
        <w:rPr>
          <w:rFonts w:ascii="Verdana" w:eastAsia="Calibri" w:hAnsi="Verdana" w:cs="Verdana"/>
          <w:sz w:val="20"/>
          <w:szCs w:val="20"/>
        </w:rPr>
        <w:t xml:space="preserve">, la </w:t>
      </w:r>
      <w:r w:rsidR="000770E0" w:rsidRPr="00850F42">
        <w:rPr>
          <w:rFonts w:ascii="Verdana" w:eastAsia="Calibri" w:hAnsi="Verdana" w:cs="Verdana"/>
          <w:b/>
          <w:i/>
          <w:sz w:val="20"/>
          <w:szCs w:val="20"/>
        </w:rPr>
        <w:t>Comisión</w:t>
      </w:r>
      <w:r w:rsidR="000770E0" w:rsidRPr="00850F42">
        <w:rPr>
          <w:rFonts w:ascii="Verdana" w:eastAsia="Calibri" w:hAnsi="Verdana" w:cs="Verdana"/>
          <w:sz w:val="20"/>
          <w:szCs w:val="20"/>
        </w:rPr>
        <w:t xml:space="preserve"> consideró que el peritaje ofrecido podrá aportar elementos de análisis sobre aspectos de orden público interamericano, en los términos d</w:t>
      </w:r>
      <w:r w:rsidR="000770E0" w:rsidRPr="00850F42">
        <w:rPr>
          <w:rFonts w:ascii="Verdana" w:eastAsia="Times New Roman" w:hAnsi="Verdana" w:cs="Verdana"/>
          <w:sz w:val="20"/>
          <w:szCs w:val="20"/>
          <w:lang w:val="es-CL"/>
        </w:rPr>
        <w:t xml:space="preserve">el artículo 35.1 f) del Reglamento, </w:t>
      </w:r>
      <w:r w:rsidRPr="00850F42">
        <w:rPr>
          <w:rFonts w:ascii="Verdana" w:eastAsia="Times New Roman" w:hAnsi="Verdana" w:cs="Verdana"/>
          <w:sz w:val="20"/>
          <w:szCs w:val="20"/>
          <w:lang w:val="es-CL"/>
        </w:rPr>
        <w:t xml:space="preserve">manifestando </w:t>
      </w:r>
      <w:r w:rsidR="000770E0" w:rsidRPr="00850F42">
        <w:rPr>
          <w:rFonts w:ascii="Verdana" w:eastAsia="Times New Roman" w:hAnsi="Verdana" w:cs="Verdana"/>
          <w:sz w:val="20"/>
          <w:szCs w:val="20"/>
          <w:lang w:val="es-CL"/>
        </w:rPr>
        <w:t xml:space="preserve">que </w:t>
      </w:r>
      <w:r w:rsidRPr="00850F42">
        <w:rPr>
          <w:rFonts w:ascii="Verdana" w:eastAsia="Times New Roman" w:hAnsi="Verdana" w:cs="Verdana"/>
          <w:sz w:val="20"/>
          <w:szCs w:val="20"/>
          <w:lang w:val="es-CL"/>
        </w:rPr>
        <w:t xml:space="preserve">en </w:t>
      </w:r>
      <w:r w:rsidR="000770E0" w:rsidRPr="00850F42">
        <w:rPr>
          <w:rFonts w:ascii="Verdana" w:eastAsia="Times New Roman" w:hAnsi="Verdana" w:cs="Verdana"/>
          <w:sz w:val="20"/>
          <w:szCs w:val="20"/>
          <w:lang w:val="es-CL"/>
        </w:rPr>
        <w:t xml:space="preserve">el presente caso “permitirá un desarrollo de la jurisprudencia interamericana en materia de acceso a la justicia, plazo razonable y deber de motivación, en el marco de procesos de determinación de derechos, en general, así como en el marco de procesos asociados a reclamos por los efectos de graves y sistemáticas violaciones de derechos humanos cometidas durante una dictadura”. Asimismo, señaló que el presente caso permitiría a la Corte “analizar la manera en que era </w:t>
      </w:r>
      <w:r w:rsidR="000770E0" w:rsidRPr="004766AC">
        <w:rPr>
          <w:rFonts w:ascii="Verdana" w:eastAsia="Times New Roman" w:hAnsi="Verdana" w:cs="Verdana"/>
          <w:sz w:val="20"/>
          <w:szCs w:val="20"/>
          <w:lang w:val="es-CL"/>
        </w:rPr>
        <w:t>exigible a las autoridades nacionales la valoración del contexto en el cual tuvieron lugar los hechos ge</w:t>
      </w:r>
      <w:r w:rsidR="000770E0" w:rsidRPr="00A80BBA">
        <w:rPr>
          <w:rFonts w:ascii="Verdana" w:eastAsia="Times New Roman" w:hAnsi="Verdana" w:cs="Verdana"/>
          <w:sz w:val="20"/>
          <w:szCs w:val="20"/>
          <w:lang w:val="es-CL"/>
        </w:rPr>
        <w:t>neradores de los reclamos salariales de las [presuntas] víctimas, de formas que estas contaran con un verdadero acceso a la justicia con las debidas garantías”.</w:t>
      </w:r>
      <w:r w:rsidR="000770E0" w:rsidRPr="005965F4">
        <w:rPr>
          <w:rFonts w:ascii="Verdana" w:eastAsia="Calibri" w:hAnsi="Verdana" w:cs="Verdana"/>
          <w:sz w:val="20"/>
          <w:szCs w:val="20"/>
          <w:lang w:val="es-CR"/>
        </w:rPr>
        <w:t xml:space="preserve"> </w:t>
      </w:r>
      <w:r w:rsidR="00EF29D1" w:rsidRPr="004A5EF7">
        <w:rPr>
          <w:rFonts w:ascii="Verdana" w:eastAsia="Times New Roman" w:hAnsi="Verdana" w:cs="Verdana"/>
          <w:sz w:val="20"/>
          <w:szCs w:val="20"/>
          <w:lang w:val="es-CR"/>
        </w:rPr>
        <w:t>Finalmente, solicitó que el desahogo de la declaración pericial propuesta fuese realizado a tra</w:t>
      </w:r>
      <w:r w:rsidR="00EF29D1" w:rsidRPr="00B0010A">
        <w:rPr>
          <w:rFonts w:ascii="Verdana" w:eastAsia="Times New Roman" w:hAnsi="Verdana" w:cs="Verdana"/>
          <w:sz w:val="20"/>
          <w:szCs w:val="20"/>
          <w:lang w:val="es-CR"/>
        </w:rPr>
        <w:t>vés de fedatario público</w:t>
      </w:r>
      <w:r w:rsidR="005D5567" w:rsidRPr="00B0010A">
        <w:rPr>
          <w:rFonts w:ascii="Verdana" w:eastAsia="Times New Roman" w:hAnsi="Verdana" w:cs="Verdana"/>
          <w:sz w:val="20"/>
          <w:szCs w:val="20"/>
          <w:lang w:val="es-CR"/>
        </w:rPr>
        <w:t xml:space="preserve"> (</w:t>
      </w:r>
      <w:r w:rsidR="005D5567" w:rsidRPr="00365273">
        <w:rPr>
          <w:rFonts w:ascii="Verdana" w:eastAsia="Times New Roman" w:hAnsi="Verdana" w:cs="Verdana"/>
          <w:i/>
          <w:sz w:val="20"/>
          <w:szCs w:val="20"/>
          <w:lang w:val="es-CR"/>
        </w:rPr>
        <w:t>affidávit</w:t>
      </w:r>
      <w:r w:rsidR="005D5567" w:rsidRPr="00B0010A">
        <w:rPr>
          <w:rFonts w:ascii="Verdana" w:eastAsia="Times New Roman" w:hAnsi="Verdana" w:cs="Verdana"/>
          <w:sz w:val="20"/>
          <w:szCs w:val="20"/>
          <w:lang w:val="es-CR"/>
        </w:rPr>
        <w:t>)</w:t>
      </w:r>
      <w:r w:rsidR="00EF29D1" w:rsidRPr="00B0010A">
        <w:rPr>
          <w:rFonts w:ascii="Verdana" w:eastAsia="Times New Roman" w:hAnsi="Verdana" w:cs="Verdana"/>
          <w:sz w:val="20"/>
          <w:szCs w:val="20"/>
          <w:lang w:val="es-CR"/>
        </w:rPr>
        <w:t>.</w:t>
      </w:r>
    </w:p>
    <w:p w14:paraId="03D15D9A" w14:textId="77777777" w:rsidR="000770E0" w:rsidRPr="004766AC" w:rsidRDefault="000770E0" w:rsidP="00EF5F56">
      <w:pPr>
        <w:widowControl w:val="0"/>
        <w:tabs>
          <w:tab w:val="left" w:pos="567"/>
          <w:tab w:val="left" w:pos="810"/>
        </w:tabs>
        <w:autoSpaceDE w:val="0"/>
        <w:autoSpaceDN w:val="0"/>
        <w:adjustRightInd w:val="0"/>
        <w:spacing w:after="0" w:line="240" w:lineRule="auto"/>
        <w:ind w:right="22"/>
        <w:jc w:val="both"/>
        <w:rPr>
          <w:rFonts w:ascii="Verdana" w:eastAsia="Calibri" w:hAnsi="Verdana" w:cs="Verdana"/>
          <w:sz w:val="20"/>
          <w:szCs w:val="20"/>
        </w:rPr>
      </w:pPr>
      <w:r w:rsidRPr="004766AC">
        <w:rPr>
          <w:rFonts w:ascii="Verdana" w:eastAsia="Times New Roman" w:hAnsi="Verdana" w:cs="Verdana"/>
          <w:sz w:val="20"/>
          <w:szCs w:val="20"/>
          <w:lang w:val="es-CL"/>
        </w:rPr>
        <w:t xml:space="preserve"> </w:t>
      </w:r>
    </w:p>
    <w:p w14:paraId="54002E5C" w14:textId="70F0E917" w:rsidR="00220C60" w:rsidRPr="00AC28E6" w:rsidRDefault="00C27B9C" w:rsidP="00EF5F56">
      <w:pPr>
        <w:pStyle w:val="ListParagraph"/>
        <w:numPr>
          <w:ilvl w:val="0"/>
          <w:numId w:val="2"/>
        </w:numPr>
        <w:autoSpaceDE w:val="0"/>
        <w:autoSpaceDN w:val="0"/>
        <w:adjustRightInd w:val="0"/>
        <w:spacing w:after="0"/>
        <w:ind w:left="0" w:firstLine="0"/>
        <w:rPr>
          <w:rFonts w:cs="Arial"/>
          <w:i/>
          <w:szCs w:val="20"/>
        </w:rPr>
      </w:pPr>
      <w:r w:rsidRPr="004766AC">
        <w:rPr>
          <w:szCs w:val="20"/>
        </w:rPr>
        <w:t xml:space="preserve">Los </w:t>
      </w:r>
      <w:r w:rsidR="000770E0" w:rsidRPr="004766AC">
        <w:rPr>
          <w:b/>
          <w:i/>
          <w:szCs w:val="20"/>
        </w:rPr>
        <w:t>representantes</w:t>
      </w:r>
      <w:r w:rsidR="00C50541" w:rsidRPr="004766AC">
        <w:rPr>
          <w:szCs w:val="20"/>
        </w:rPr>
        <w:t xml:space="preserve"> manifestaron que </w:t>
      </w:r>
      <w:r w:rsidR="00C50541" w:rsidRPr="004766AC">
        <w:rPr>
          <w:rFonts w:cs="Arial"/>
          <w:szCs w:val="20"/>
        </w:rPr>
        <w:t>“reitera[</w:t>
      </w:r>
      <w:proofErr w:type="spellStart"/>
      <w:r w:rsidR="00C50541" w:rsidRPr="004766AC">
        <w:rPr>
          <w:rFonts w:cs="Arial"/>
          <w:szCs w:val="20"/>
        </w:rPr>
        <w:t>ban</w:t>
      </w:r>
      <w:proofErr w:type="spellEnd"/>
      <w:r w:rsidR="00C50541" w:rsidRPr="004766AC">
        <w:rPr>
          <w:rFonts w:cs="Arial"/>
          <w:szCs w:val="20"/>
        </w:rPr>
        <w:t xml:space="preserve">] </w:t>
      </w:r>
      <w:r w:rsidR="00220C60" w:rsidRPr="004766AC">
        <w:rPr>
          <w:rFonts w:cs="Arial"/>
          <w:szCs w:val="20"/>
        </w:rPr>
        <w:t>[su] conformidad</w:t>
      </w:r>
      <w:r w:rsidR="00220C60" w:rsidRPr="004766AC">
        <w:rPr>
          <w:rFonts w:cs="Arial"/>
          <w:b/>
          <w:szCs w:val="20"/>
        </w:rPr>
        <w:t xml:space="preserve"> </w:t>
      </w:r>
      <w:r w:rsidR="00220C60" w:rsidRPr="00AC28E6">
        <w:rPr>
          <w:rFonts w:cs="Arial"/>
          <w:szCs w:val="20"/>
        </w:rPr>
        <w:t>con</w:t>
      </w:r>
      <w:r w:rsidR="00220C60" w:rsidRPr="004766AC">
        <w:rPr>
          <w:rFonts w:cs="Arial"/>
          <w:b/>
          <w:szCs w:val="20"/>
        </w:rPr>
        <w:t xml:space="preserve"> </w:t>
      </w:r>
      <w:r w:rsidR="00220C60" w:rsidRPr="00AC28E6">
        <w:rPr>
          <w:rFonts w:cs="03cwofx"/>
          <w:szCs w:val="20"/>
        </w:rPr>
        <w:t xml:space="preserve">la designación </w:t>
      </w:r>
      <w:r w:rsidR="00220C60" w:rsidRPr="004766AC">
        <w:rPr>
          <w:rFonts w:cs="03cwofx"/>
          <w:szCs w:val="20"/>
        </w:rPr>
        <w:t xml:space="preserve">[de la perita] </w:t>
      </w:r>
      <w:r w:rsidR="00220C60" w:rsidRPr="00AC28E6">
        <w:rPr>
          <w:rFonts w:cs="03cwofx"/>
          <w:szCs w:val="20"/>
        </w:rPr>
        <w:t xml:space="preserve">propuesta, y </w:t>
      </w:r>
      <w:r w:rsidR="00220C60" w:rsidRPr="004766AC">
        <w:rPr>
          <w:rFonts w:cs="03cwofx"/>
          <w:szCs w:val="20"/>
        </w:rPr>
        <w:t xml:space="preserve">[…] </w:t>
      </w:r>
      <w:proofErr w:type="spellStart"/>
      <w:r w:rsidR="00220C60" w:rsidRPr="00AC28E6">
        <w:rPr>
          <w:rFonts w:cs="03cwofx"/>
          <w:szCs w:val="20"/>
        </w:rPr>
        <w:t>compart</w:t>
      </w:r>
      <w:proofErr w:type="spellEnd"/>
      <w:r w:rsidR="00220C60" w:rsidRPr="004766AC">
        <w:rPr>
          <w:rFonts w:cs="03cwofx"/>
          <w:szCs w:val="20"/>
        </w:rPr>
        <w:t>[</w:t>
      </w:r>
      <w:proofErr w:type="spellStart"/>
      <w:r w:rsidR="00220C60" w:rsidRPr="004766AC">
        <w:rPr>
          <w:rFonts w:cs="03cwofx"/>
          <w:szCs w:val="20"/>
        </w:rPr>
        <w:t>ían</w:t>
      </w:r>
      <w:proofErr w:type="spellEnd"/>
      <w:r w:rsidR="00220C60" w:rsidRPr="004766AC">
        <w:rPr>
          <w:rFonts w:cs="03cwofx"/>
          <w:szCs w:val="20"/>
        </w:rPr>
        <w:t>]</w:t>
      </w:r>
      <w:r w:rsidR="00220C60" w:rsidRPr="00AC28E6">
        <w:rPr>
          <w:rFonts w:cs="03cwofx"/>
          <w:szCs w:val="20"/>
        </w:rPr>
        <w:t xml:space="preserve"> el criterio que destaca </w:t>
      </w:r>
      <w:r w:rsidR="00220C60" w:rsidRPr="004766AC">
        <w:rPr>
          <w:rFonts w:cs="03cwofx"/>
          <w:szCs w:val="20"/>
        </w:rPr>
        <w:t>[su]</w:t>
      </w:r>
      <w:r w:rsidR="00220C60" w:rsidRPr="00AC28E6">
        <w:rPr>
          <w:rFonts w:cs="03cwofx"/>
          <w:szCs w:val="20"/>
        </w:rPr>
        <w:t xml:space="preserve"> relevancia, tanto para el presente caso cuanto para los que en lo sucesivo se ventilen en relación con los temas implicados, en la inteligencia de que los mismos hacen al interés del orden público interamericano</w:t>
      </w:r>
      <w:r w:rsidR="00220C60" w:rsidRPr="004766AC">
        <w:rPr>
          <w:rFonts w:cs="03cwofx"/>
          <w:szCs w:val="20"/>
        </w:rPr>
        <w:t>”</w:t>
      </w:r>
      <w:r w:rsidR="00220C60" w:rsidRPr="00AC28E6">
        <w:rPr>
          <w:rFonts w:cs="03cwofx"/>
          <w:szCs w:val="20"/>
        </w:rPr>
        <w:t xml:space="preserve">. </w:t>
      </w:r>
      <w:r w:rsidR="00220C60" w:rsidRPr="004766AC">
        <w:rPr>
          <w:rFonts w:cs="03cwofx"/>
          <w:szCs w:val="20"/>
        </w:rPr>
        <w:t>Agregaron que “</w:t>
      </w:r>
      <w:proofErr w:type="spellStart"/>
      <w:proofErr w:type="gramStart"/>
      <w:r w:rsidR="00220C60" w:rsidRPr="00AC28E6">
        <w:rPr>
          <w:rFonts w:cs="03cwofx"/>
          <w:szCs w:val="20"/>
        </w:rPr>
        <w:t>reiter</w:t>
      </w:r>
      <w:proofErr w:type="spellEnd"/>
      <w:r w:rsidR="00220C60" w:rsidRPr="004766AC">
        <w:rPr>
          <w:rFonts w:cs="03cwofx"/>
          <w:szCs w:val="20"/>
        </w:rPr>
        <w:t>[</w:t>
      </w:r>
      <w:proofErr w:type="spellStart"/>
      <w:proofErr w:type="gramEnd"/>
      <w:r w:rsidR="00220C60" w:rsidRPr="004766AC">
        <w:rPr>
          <w:rFonts w:cs="03cwofx"/>
          <w:szCs w:val="20"/>
        </w:rPr>
        <w:t>aban</w:t>
      </w:r>
      <w:proofErr w:type="spellEnd"/>
      <w:r w:rsidR="00220C60" w:rsidRPr="004766AC">
        <w:rPr>
          <w:rFonts w:cs="03cwofx"/>
          <w:szCs w:val="20"/>
        </w:rPr>
        <w:t>]</w:t>
      </w:r>
      <w:r w:rsidR="00220C60" w:rsidRPr="00AC28E6">
        <w:rPr>
          <w:rFonts w:cs="03cwofx"/>
          <w:szCs w:val="20"/>
        </w:rPr>
        <w:t xml:space="preserve"> </w:t>
      </w:r>
      <w:r w:rsidR="00220C60" w:rsidRPr="004766AC">
        <w:rPr>
          <w:rFonts w:cs="03cwofx"/>
          <w:szCs w:val="20"/>
        </w:rPr>
        <w:t xml:space="preserve">[su] </w:t>
      </w:r>
      <w:r w:rsidR="00220C60" w:rsidRPr="00AC28E6">
        <w:rPr>
          <w:rFonts w:cs="03cwofx"/>
          <w:szCs w:val="20"/>
        </w:rPr>
        <w:t xml:space="preserve">interés </w:t>
      </w:r>
      <w:r w:rsidR="00220C60" w:rsidRPr="004766AC">
        <w:rPr>
          <w:rFonts w:cs="03cwofx"/>
          <w:szCs w:val="20"/>
        </w:rPr>
        <w:t xml:space="preserve">[para] </w:t>
      </w:r>
      <w:r w:rsidR="00220C60" w:rsidRPr="00AC28E6">
        <w:rPr>
          <w:rFonts w:cs="03cwofx"/>
          <w:szCs w:val="20"/>
        </w:rPr>
        <w:t>poder formular las preguntas</w:t>
      </w:r>
      <w:r w:rsidR="00220C60" w:rsidRPr="004766AC">
        <w:rPr>
          <w:rFonts w:cs="03cwofx"/>
          <w:szCs w:val="20"/>
        </w:rPr>
        <w:t xml:space="preserve"> [a dicha perita]”</w:t>
      </w:r>
      <w:r w:rsidR="00220C60" w:rsidRPr="00AC28E6">
        <w:rPr>
          <w:rFonts w:cs="03cwofx"/>
          <w:szCs w:val="20"/>
        </w:rPr>
        <w:t>.</w:t>
      </w:r>
    </w:p>
    <w:p w14:paraId="2657B438" w14:textId="77777777" w:rsidR="00FB4751" w:rsidRPr="004766AC" w:rsidRDefault="00FB4751" w:rsidP="00EF5F56">
      <w:pPr>
        <w:spacing w:after="0" w:line="240" w:lineRule="auto"/>
        <w:jc w:val="both"/>
        <w:rPr>
          <w:rFonts w:ascii="Verdana" w:hAnsi="Verdana" w:cs="Arial"/>
          <w:sz w:val="20"/>
          <w:szCs w:val="20"/>
        </w:rPr>
      </w:pPr>
    </w:p>
    <w:p w14:paraId="5B9D4223" w14:textId="42364F0F" w:rsidR="00C22991" w:rsidRPr="00AC28E6" w:rsidRDefault="0019113D" w:rsidP="00EF5F56">
      <w:pPr>
        <w:pStyle w:val="ListParagraph"/>
        <w:numPr>
          <w:ilvl w:val="0"/>
          <w:numId w:val="2"/>
        </w:numPr>
        <w:autoSpaceDE w:val="0"/>
        <w:autoSpaceDN w:val="0"/>
        <w:adjustRightInd w:val="0"/>
        <w:spacing w:after="0"/>
        <w:ind w:left="0" w:firstLine="0"/>
        <w:rPr>
          <w:szCs w:val="20"/>
          <w:lang w:val="es-AR"/>
        </w:rPr>
      </w:pPr>
      <w:r w:rsidRPr="005175B4">
        <w:rPr>
          <w:szCs w:val="20"/>
        </w:rPr>
        <w:t xml:space="preserve">Por su parte, el </w:t>
      </w:r>
      <w:r w:rsidRPr="005175B4">
        <w:rPr>
          <w:b/>
          <w:i/>
          <w:szCs w:val="20"/>
        </w:rPr>
        <w:t>Estado</w:t>
      </w:r>
      <w:r w:rsidR="005175B4" w:rsidRPr="00365273">
        <w:rPr>
          <w:szCs w:val="20"/>
        </w:rPr>
        <w:t>,</w:t>
      </w:r>
      <w:r w:rsidR="005175B4" w:rsidRPr="00365273">
        <w:rPr>
          <w:i/>
          <w:szCs w:val="20"/>
        </w:rPr>
        <w:t xml:space="preserve"> </w:t>
      </w:r>
      <w:r w:rsidR="005175B4" w:rsidRPr="00365273">
        <w:rPr>
          <w:szCs w:val="20"/>
        </w:rPr>
        <w:t>en sus observaciones a la lista definitiva presentada por la Comisión</w:t>
      </w:r>
      <w:r w:rsidR="003435C8">
        <w:rPr>
          <w:szCs w:val="20"/>
        </w:rPr>
        <w:t>,</w:t>
      </w:r>
      <w:r w:rsidRPr="00365273">
        <w:rPr>
          <w:i/>
          <w:szCs w:val="20"/>
        </w:rPr>
        <w:t xml:space="preserve"> </w:t>
      </w:r>
      <w:r w:rsidR="00D95732" w:rsidRPr="005175B4">
        <w:rPr>
          <w:szCs w:val="20"/>
        </w:rPr>
        <w:t>objetó el ofrecimiento de</w:t>
      </w:r>
      <w:r w:rsidR="005175B4" w:rsidRPr="005175B4">
        <w:rPr>
          <w:szCs w:val="20"/>
        </w:rPr>
        <w:t xml:space="preserve"> </w:t>
      </w:r>
      <w:r w:rsidR="00D95732" w:rsidRPr="003435C8">
        <w:rPr>
          <w:szCs w:val="20"/>
        </w:rPr>
        <w:t xml:space="preserve">la prueba pericial propuesta por </w:t>
      </w:r>
      <w:r w:rsidR="005175B4" w:rsidRPr="003435C8">
        <w:rPr>
          <w:szCs w:val="20"/>
        </w:rPr>
        <w:t>esta</w:t>
      </w:r>
      <w:r w:rsidR="00D95732" w:rsidRPr="00C52FE2">
        <w:rPr>
          <w:szCs w:val="20"/>
        </w:rPr>
        <w:t xml:space="preserve">. Alegó </w:t>
      </w:r>
      <w:r w:rsidR="00524936">
        <w:rPr>
          <w:szCs w:val="20"/>
          <w:lang w:val="es-AR"/>
        </w:rPr>
        <w:t>que el peritaje propuesto</w:t>
      </w:r>
      <w:r w:rsidR="00C22991" w:rsidRPr="00AC28E6">
        <w:rPr>
          <w:szCs w:val="20"/>
          <w:lang w:val="es-AR"/>
        </w:rPr>
        <w:t xml:space="preserve"> “debería ser desestimad</w:t>
      </w:r>
      <w:r w:rsidR="00524936">
        <w:rPr>
          <w:szCs w:val="20"/>
          <w:lang w:val="es-AR"/>
        </w:rPr>
        <w:t>[o]</w:t>
      </w:r>
      <w:r w:rsidR="00C22991" w:rsidRPr="00AC28E6">
        <w:rPr>
          <w:szCs w:val="20"/>
          <w:lang w:val="es-AR"/>
        </w:rPr>
        <w:t xml:space="preserve"> debido a que el marco fáctico que se propone en [dicha] prueba pericial, se refiere a hechos acaecidos con anterioridad a la ratificación de la Convención Americana sobre Derechos Humanos el 5 de septiembre de 1984 […]”, y </w:t>
      </w:r>
      <w:r w:rsidR="00D95732">
        <w:rPr>
          <w:szCs w:val="20"/>
          <w:lang w:val="es-AR"/>
        </w:rPr>
        <w:t>argument</w:t>
      </w:r>
      <w:r w:rsidR="00C22991" w:rsidRPr="00AC28E6">
        <w:rPr>
          <w:szCs w:val="20"/>
          <w:lang w:val="es-AR"/>
        </w:rPr>
        <w:t>ó que “por imperio del principio de irretroactividad de los tratados internacionales, todos los hechos acontecidos con anterioridad a dicha fecha resultan ajenos a la competencia de ese Alto Tribunal”</w:t>
      </w:r>
      <w:r w:rsidR="00C22991" w:rsidRPr="00997AD1">
        <w:rPr>
          <w:szCs w:val="20"/>
          <w:lang w:val="es-AR"/>
        </w:rPr>
        <w:t>.</w:t>
      </w:r>
    </w:p>
    <w:p w14:paraId="24C73CB6" w14:textId="77777777" w:rsidR="00D41DE4" w:rsidRPr="00850F42" w:rsidRDefault="00D41DE4" w:rsidP="00EF5F56">
      <w:pPr>
        <w:widowControl w:val="0"/>
        <w:tabs>
          <w:tab w:val="left" w:pos="567"/>
          <w:tab w:val="left" w:pos="720"/>
          <w:tab w:val="left" w:pos="810"/>
        </w:tabs>
        <w:autoSpaceDE w:val="0"/>
        <w:autoSpaceDN w:val="0"/>
        <w:adjustRightInd w:val="0"/>
        <w:spacing w:after="0" w:line="240" w:lineRule="auto"/>
        <w:ind w:right="29"/>
        <w:jc w:val="both"/>
        <w:rPr>
          <w:rFonts w:ascii="Verdana" w:eastAsia="Calibri" w:hAnsi="Verdana" w:cs="Verdana"/>
          <w:sz w:val="20"/>
          <w:szCs w:val="20"/>
          <w:lang w:val="es-ES_tradnl"/>
        </w:rPr>
      </w:pPr>
    </w:p>
    <w:p w14:paraId="6A2CEBC4" w14:textId="173E25B4" w:rsidR="00B24C5F" w:rsidRPr="00365273" w:rsidRDefault="000770E0" w:rsidP="00EF5F56">
      <w:pPr>
        <w:pStyle w:val="ListParagraph"/>
        <w:numPr>
          <w:ilvl w:val="0"/>
          <w:numId w:val="2"/>
        </w:numPr>
        <w:spacing w:after="0"/>
        <w:ind w:left="0" w:firstLine="0"/>
        <w:rPr>
          <w:rFonts w:cs="Verdana"/>
          <w:b/>
          <w:i/>
          <w:szCs w:val="20"/>
          <w:lang w:val="es-CR"/>
        </w:rPr>
      </w:pPr>
      <w:r w:rsidRPr="004A5EF7">
        <w:rPr>
          <w:szCs w:val="20"/>
        </w:rPr>
        <w:t>Sobre dicha probanza</w:t>
      </w:r>
      <w:r w:rsidR="007A7E71" w:rsidRPr="004A5EF7">
        <w:rPr>
          <w:szCs w:val="20"/>
        </w:rPr>
        <w:t xml:space="preserve"> pericial</w:t>
      </w:r>
      <w:r w:rsidRPr="004A5EF7">
        <w:rPr>
          <w:szCs w:val="20"/>
        </w:rPr>
        <w:t>, el</w:t>
      </w:r>
      <w:r w:rsidRPr="004A5EF7">
        <w:rPr>
          <w:rFonts w:cs="Verdana"/>
          <w:szCs w:val="20"/>
        </w:rPr>
        <w:t xml:space="preserve"> </w:t>
      </w:r>
      <w:r w:rsidRPr="004A5EF7">
        <w:rPr>
          <w:rFonts w:cs="Verdana"/>
          <w:b/>
          <w:i/>
          <w:szCs w:val="20"/>
        </w:rPr>
        <w:t>Presidente</w:t>
      </w:r>
      <w:r w:rsidRPr="004A5EF7">
        <w:rPr>
          <w:rFonts w:cs="Verdana"/>
          <w:szCs w:val="20"/>
        </w:rPr>
        <w:t xml:space="preserve"> </w:t>
      </w:r>
      <w:r w:rsidR="007A7E71" w:rsidRPr="004A5EF7">
        <w:rPr>
          <w:rFonts w:cs="Verdana"/>
          <w:szCs w:val="20"/>
        </w:rPr>
        <w:t xml:space="preserve">observa que su objeto </w:t>
      </w:r>
      <w:r w:rsidR="0036290C" w:rsidRPr="004A5EF7">
        <w:rPr>
          <w:rFonts w:cs="Verdana"/>
          <w:szCs w:val="20"/>
        </w:rPr>
        <w:t xml:space="preserve">propuesto </w:t>
      </w:r>
      <w:r w:rsidR="007A7E71" w:rsidRPr="004A5EF7">
        <w:rPr>
          <w:rFonts w:cs="Verdana"/>
          <w:szCs w:val="20"/>
        </w:rPr>
        <w:t xml:space="preserve">versa </w:t>
      </w:r>
      <w:r w:rsidR="00681BAD" w:rsidRPr="00B0010A">
        <w:rPr>
          <w:rFonts w:cs="Verdana"/>
          <w:szCs w:val="20"/>
        </w:rPr>
        <w:t>sobre</w:t>
      </w:r>
      <w:r w:rsidR="00BA5DE6" w:rsidRPr="00B0010A">
        <w:rPr>
          <w:rFonts w:cs="Verdana"/>
          <w:szCs w:val="20"/>
        </w:rPr>
        <w:t xml:space="preserve"> temas relacionados a las garantías del debido proceso y protección judicial exigibles en los procesos internos asociados a procesos </w:t>
      </w:r>
      <w:proofErr w:type="spellStart"/>
      <w:r w:rsidR="00BA5DE6" w:rsidRPr="00B0010A">
        <w:rPr>
          <w:rFonts w:cs="Verdana"/>
          <w:szCs w:val="20"/>
        </w:rPr>
        <w:t>reclamatorios</w:t>
      </w:r>
      <w:proofErr w:type="spellEnd"/>
      <w:r w:rsidR="00BA5DE6" w:rsidRPr="00B0010A">
        <w:rPr>
          <w:rFonts w:cs="Verdana"/>
          <w:szCs w:val="20"/>
        </w:rPr>
        <w:t xml:space="preserve"> y de reparación </w:t>
      </w:r>
      <w:r w:rsidR="00681BAD" w:rsidRPr="00B0010A">
        <w:rPr>
          <w:rFonts w:cs="Verdana"/>
          <w:szCs w:val="20"/>
        </w:rPr>
        <w:t xml:space="preserve">promovidos por </w:t>
      </w:r>
      <w:r w:rsidR="003435C8">
        <w:rPr>
          <w:rFonts w:cs="Verdana"/>
          <w:szCs w:val="20"/>
        </w:rPr>
        <w:t>alegadas</w:t>
      </w:r>
      <w:r w:rsidR="003435C8" w:rsidRPr="004A5EF7">
        <w:rPr>
          <w:rFonts w:cs="Verdana"/>
          <w:szCs w:val="20"/>
        </w:rPr>
        <w:t xml:space="preserve"> </w:t>
      </w:r>
      <w:r w:rsidR="00BA5DE6" w:rsidRPr="004A5EF7">
        <w:rPr>
          <w:rFonts w:cs="Verdana"/>
          <w:szCs w:val="20"/>
        </w:rPr>
        <w:t xml:space="preserve">violaciones de derechos humanos </w:t>
      </w:r>
      <w:r w:rsidR="00B24C5F">
        <w:rPr>
          <w:rFonts w:cs="Verdana"/>
          <w:szCs w:val="20"/>
        </w:rPr>
        <w:t>presuntamente</w:t>
      </w:r>
      <w:r w:rsidR="00BC155D">
        <w:rPr>
          <w:rFonts w:cs="Verdana"/>
          <w:szCs w:val="20"/>
        </w:rPr>
        <w:t xml:space="preserve"> </w:t>
      </w:r>
      <w:r w:rsidR="00BA5DE6" w:rsidRPr="004A5EF7">
        <w:rPr>
          <w:rFonts w:cs="Verdana"/>
          <w:szCs w:val="20"/>
        </w:rPr>
        <w:t xml:space="preserve">perpetradas </w:t>
      </w:r>
      <w:r w:rsidR="00BC155D">
        <w:rPr>
          <w:rFonts w:cs="Verdana"/>
          <w:szCs w:val="20"/>
        </w:rPr>
        <w:t xml:space="preserve">en </w:t>
      </w:r>
      <w:r w:rsidR="003435C8">
        <w:rPr>
          <w:rFonts w:cs="Verdana"/>
          <w:szCs w:val="20"/>
        </w:rPr>
        <w:t xml:space="preserve">contextos de </w:t>
      </w:r>
      <w:r w:rsidR="005F759F">
        <w:rPr>
          <w:rFonts w:cs="Verdana"/>
          <w:szCs w:val="20"/>
        </w:rPr>
        <w:t>“</w:t>
      </w:r>
      <w:r w:rsidR="00BA5DE6" w:rsidRPr="004A5EF7">
        <w:rPr>
          <w:rFonts w:cs="Verdana"/>
          <w:szCs w:val="20"/>
        </w:rPr>
        <w:t>dicta</w:t>
      </w:r>
      <w:r w:rsidR="003435C8">
        <w:rPr>
          <w:rFonts w:cs="Verdana"/>
          <w:szCs w:val="20"/>
        </w:rPr>
        <w:t>duras</w:t>
      </w:r>
      <w:r w:rsidR="005F759F">
        <w:rPr>
          <w:rFonts w:cs="Verdana"/>
          <w:szCs w:val="20"/>
        </w:rPr>
        <w:t xml:space="preserve">” </w:t>
      </w:r>
      <w:r w:rsidR="00BA5DE6" w:rsidRPr="004A5EF7">
        <w:rPr>
          <w:rFonts w:cs="Verdana"/>
          <w:szCs w:val="20"/>
        </w:rPr>
        <w:t xml:space="preserve">en la región. </w:t>
      </w:r>
      <w:r w:rsidR="0058668B">
        <w:rPr>
          <w:rFonts w:cs="Verdana"/>
          <w:szCs w:val="20"/>
        </w:rPr>
        <w:t>Al respecto</w:t>
      </w:r>
      <w:r w:rsidR="00901673" w:rsidRPr="004A5EF7">
        <w:rPr>
          <w:rFonts w:cs="Verdana"/>
          <w:szCs w:val="20"/>
        </w:rPr>
        <w:t xml:space="preserve">, esta Presidencia </w:t>
      </w:r>
      <w:r w:rsidR="00684230">
        <w:rPr>
          <w:rFonts w:cs="Verdana"/>
          <w:szCs w:val="20"/>
        </w:rPr>
        <w:t xml:space="preserve">estima </w:t>
      </w:r>
      <w:r w:rsidR="00901673" w:rsidRPr="004A5EF7">
        <w:rPr>
          <w:rFonts w:cs="Verdana"/>
          <w:szCs w:val="20"/>
        </w:rPr>
        <w:t>que</w:t>
      </w:r>
      <w:r w:rsidR="00684230">
        <w:rPr>
          <w:rFonts w:cs="Verdana"/>
          <w:szCs w:val="20"/>
        </w:rPr>
        <w:t>,</w:t>
      </w:r>
      <w:r w:rsidR="00901673" w:rsidRPr="004A5EF7">
        <w:rPr>
          <w:rFonts w:cs="Verdana"/>
          <w:szCs w:val="20"/>
        </w:rPr>
        <w:t xml:space="preserve"> </w:t>
      </w:r>
      <w:r w:rsidR="00A435EE">
        <w:rPr>
          <w:rFonts w:cs="Verdana"/>
          <w:szCs w:val="20"/>
        </w:rPr>
        <w:t xml:space="preserve">si bien </w:t>
      </w:r>
      <w:r w:rsidR="00684230">
        <w:rPr>
          <w:rFonts w:cs="Verdana"/>
          <w:szCs w:val="20"/>
        </w:rPr>
        <w:t xml:space="preserve">efectivamente </w:t>
      </w:r>
      <w:r w:rsidR="0058668B">
        <w:rPr>
          <w:rFonts w:cs="Verdana"/>
          <w:szCs w:val="20"/>
        </w:rPr>
        <w:t xml:space="preserve">la Corte no tiene competencia para pronunciarse sobre </w:t>
      </w:r>
      <w:r w:rsidR="00EA271B">
        <w:rPr>
          <w:rFonts w:cs="Verdana"/>
          <w:szCs w:val="20"/>
        </w:rPr>
        <w:t xml:space="preserve">alegadas </w:t>
      </w:r>
      <w:r w:rsidR="00BC155D">
        <w:rPr>
          <w:rFonts w:cs="Verdana"/>
          <w:szCs w:val="20"/>
        </w:rPr>
        <w:t xml:space="preserve">violaciones por hechos acontecidos con anterioridad a la entrada en vigor de la Convención para el Estado argentino </w:t>
      </w:r>
      <w:r w:rsidR="00684230">
        <w:rPr>
          <w:rFonts w:cs="Verdana"/>
          <w:szCs w:val="20"/>
        </w:rPr>
        <w:t xml:space="preserve">(a saber, </w:t>
      </w:r>
      <w:r w:rsidR="00BC155D">
        <w:rPr>
          <w:rFonts w:cs="Verdana"/>
          <w:szCs w:val="20"/>
        </w:rPr>
        <w:t>5 de septiembre de 1984</w:t>
      </w:r>
      <w:r w:rsidR="00684230">
        <w:rPr>
          <w:rFonts w:cs="Verdana"/>
          <w:szCs w:val="20"/>
        </w:rPr>
        <w:t xml:space="preserve">), </w:t>
      </w:r>
      <w:r w:rsidR="00DB36D9">
        <w:rPr>
          <w:rFonts w:cs="Verdana"/>
          <w:szCs w:val="20"/>
        </w:rPr>
        <w:t>e</w:t>
      </w:r>
      <w:r w:rsidR="00684230">
        <w:rPr>
          <w:rFonts w:cs="Verdana"/>
          <w:szCs w:val="20"/>
        </w:rPr>
        <w:t>sta</w:t>
      </w:r>
      <w:r w:rsidR="00DB36D9">
        <w:rPr>
          <w:rFonts w:cs="Verdana"/>
          <w:szCs w:val="20"/>
        </w:rPr>
        <w:t xml:space="preserve"> Presiden</w:t>
      </w:r>
      <w:r w:rsidR="00684230">
        <w:rPr>
          <w:rFonts w:cs="Verdana"/>
          <w:szCs w:val="20"/>
        </w:rPr>
        <w:t>cia</w:t>
      </w:r>
      <w:r w:rsidR="00DB36D9">
        <w:rPr>
          <w:rFonts w:cs="Verdana"/>
          <w:szCs w:val="20"/>
        </w:rPr>
        <w:t xml:space="preserve"> </w:t>
      </w:r>
      <w:r w:rsidR="00684230">
        <w:rPr>
          <w:rFonts w:cs="Verdana"/>
          <w:szCs w:val="20"/>
        </w:rPr>
        <w:t>estima</w:t>
      </w:r>
      <w:r w:rsidR="007B3076">
        <w:rPr>
          <w:rFonts w:cs="Verdana"/>
          <w:szCs w:val="20"/>
        </w:rPr>
        <w:t xml:space="preserve"> que </w:t>
      </w:r>
      <w:r w:rsidR="00CD1FE2">
        <w:rPr>
          <w:rFonts w:cs="Verdana"/>
          <w:szCs w:val="20"/>
        </w:rPr>
        <w:t xml:space="preserve">el peritaje </w:t>
      </w:r>
      <w:r w:rsidR="00CD1FE2">
        <w:rPr>
          <w:rFonts w:cs="Verdana"/>
          <w:szCs w:val="20"/>
        </w:rPr>
        <w:lastRenderedPageBreak/>
        <w:t>ofrecido por la Comisión</w:t>
      </w:r>
      <w:r w:rsidR="007B3076">
        <w:rPr>
          <w:rFonts w:cs="Verdana"/>
          <w:szCs w:val="20"/>
        </w:rPr>
        <w:t xml:space="preserve"> puede brindar elementos que ilustren, a modo de antecedente</w:t>
      </w:r>
      <w:r w:rsidR="00B24C5F">
        <w:rPr>
          <w:rFonts w:cs="Verdana"/>
          <w:szCs w:val="20"/>
        </w:rPr>
        <w:t xml:space="preserve"> y/o contexto, sobre lo relacionado con el reclamo original promovido por las presuntas víctimas derivado de las violaciones alegadas </w:t>
      </w:r>
      <w:r w:rsidR="00422270">
        <w:rPr>
          <w:rFonts w:cs="Verdana"/>
          <w:szCs w:val="20"/>
        </w:rPr>
        <w:t>por esta</w:t>
      </w:r>
      <w:r w:rsidR="00B24C5F">
        <w:rPr>
          <w:rFonts w:cs="Verdana"/>
          <w:szCs w:val="20"/>
        </w:rPr>
        <w:t>s</w:t>
      </w:r>
      <w:r w:rsidR="00684230">
        <w:rPr>
          <w:rFonts w:cs="Verdana"/>
          <w:szCs w:val="20"/>
        </w:rPr>
        <w:t xml:space="preserve">, así como que la perita exponga el estado de dichos reclamos en la actualidad y en el derecho comparado </w:t>
      </w:r>
      <w:proofErr w:type="spellStart"/>
      <w:r w:rsidR="00684230">
        <w:rPr>
          <w:rFonts w:cs="Verdana"/>
          <w:szCs w:val="20"/>
        </w:rPr>
        <w:t>contemporaneo</w:t>
      </w:r>
      <w:proofErr w:type="spellEnd"/>
      <w:r w:rsidR="00B24C5F">
        <w:rPr>
          <w:rFonts w:cs="Verdana"/>
          <w:szCs w:val="20"/>
        </w:rPr>
        <w:t xml:space="preserve">. </w:t>
      </w:r>
      <w:r w:rsidR="002F14E9">
        <w:rPr>
          <w:rFonts w:cs="Verdana"/>
          <w:szCs w:val="20"/>
        </w:rPr>
        <w:t xml:space="preserve">Por lo anterior, </w:t>
      </w:r>
      <w:r w:rsidR="00B24C5F">
        <w:rPr>
          <w:rFonts w:cs="Verdana"/>
          <w:szCs w:val="20"/>
        </w:rPr>
        <w:t xml:space="preserve">el Tribunal </w:t>
      </w:r>
      <w:r w:rsidR="002F388C">
        <w:rPr>
          <w:rFonts w:cs="Verdana"/>
          <w:szCs w:val="20"/>
        </w:rPr>
        <w:t xml:space="preserve">declara admisible </w:t>
      </w:r>
      <w:r w:rsidR="00B24C5F">
        <w:rPr>
          <w:rFonts w:cs="Verdana"/>
          <w:szCs w:val="20"/>
        </w:rPr>
        <w:t>el pronunciamiento pericial propuesto por la Comisi</w:t>
      </w:r>
      <w:r w:rsidR="002F14E9">
        <w:rPr>
          <w:rFonts w:cs="Verdana"/>
          <w:szCs w:val="20"/>
        </w:rPr>
        <w:t xml:space="preserve">ón </w:t>
      </w:r>
      <w:r w:rsidR="002F388C">
        <w:rPr>
          <w:rFonts w:cs="Verdana"/>
          <w:szCs w:val="20"/>
        </w:rPr>
        <w:t xml:space="preserve">y </w:t>
      </w:r>
      <w:r w:rsidR="00FC19EA">
        <w:rPr>
          <w:rFonts w:cs="Verdana"/>
          <w:szCs w:val="20"/>
        </w:rPr>
        <w:t xml:space="preserve">en vista de </w:t>
      </w:r>
      <w:r w:rsidR="006B68A1">
        <w:rPr>
          <w:rFonts w:cs="Verdana"/>
          <w:szCs w:val="20"/>
        </w:rPr>
        <w:t>la</w:t>
      </w:r>
      <w:r w:rsidR="00FC19EA">
        <w:rPr>
          <w:rFonts w:cs="Verdana"/>
          <w:szCs w:val="20"/>
        </w:rPr>
        <w:t xml:space="preserve"> limitación </w:t>
      </w:r>
      <w:r w:rsidR="006B68A1">
        <w:rPr>
          <w:rFonts w:cs="Verdana"/>
          <w:szCs w:val="20"/>
        </w:rPr>
        <w:t xml:space="preserve">competencial </w:t>
      </w:r>
      <w:proofErr w:type="spellStart"/>
      <w:r w:rsidR="006B68A1">
        <w:rPr>
          <w:rFonts w:cs="Verdana"/>
          <w:i/>
          <w:szCs w:val="20"/>
        </w:rPr>
        <w:t>ratione</w:t>
      </w:r>
      <w:proofErr w:type="spellEnd"/>
      <w:r w:rsidR="006B68A1">
        <w:rPr>
          <w:rFonts w:cs="Verdana"/>
          <w:i/>
          <w:szCs w:val="20"/>
        </w:rPr>
        <w:t xml:space="preserve"> </w:t>
      </w:r>
      <w:proofErr w:type="spellStart"/>
      <w:r w:rsidR="006B68A1">
        <w:rPr>
          <w:rFonts w:cs="Verdana"/>
          <w:i/>
          <w:szCs w:val="20"/>
        </w:rPr>
        <w:t>temporis</w:t>
      </w:r>
      <w:proofErr w:type="spellEnd"/>
      <w:r w:rsidR="00FC19EA">
        <w:rPr>
          <w:rFonts w:cs="Verdana"/>
          <w:szCs w:val="20"/>
        </w:rPr>
        <w:t xml:space="preserve"> </w:t>
      </w:r>
      <w:r w:rsidR="006B68A1">
        <w:rPr>
          <w:rFonts w:cs="Verdana"/>
          <w:szCs w:val="20"/>
        </w:rPr>
        <w:t xml:space="preserve">señalada </w:t>
      </w:r>
      <w:r w:rsidR="002F388C">
        <w:rPr>
          <w:rFonts w:cs="Verdana"/>
          <w:szCs w:val="20"/>
        </w:rPr>
        <w:t>procederá a reformular el objeto d</w:t>
      </w:r>
      <w:r w:rsidR="002F14E9">
        <w:rPr>
          <w:rFonts w:cs="Verdana"/>
          <w:szCs w:val="20"/>
        </w:rPr>
        <w:t>e dicha probanza en atención a su pertinencia y eventual utilidad en el caso concreto</w:t>
      </w:r>
      <w:r w:rsidR="00B24C5F">
        <w:rPr>
          <w:rFonts w:cs="Verdana"/>
          <w:szCs w:val="20"/>
        </w:rPr>
        <w:t xml:space="preserve">. </w:t>
      </w:r>
    </w:p>
    <w:p w14:paraId="1EBD74B3" w14:textId="77777777" w:rsidR="00B24C5F" w:rsidRDefault="00B24C5F" w:rsidP="00EF5F56">
      <w:pPr>
        <w:pStyle w:val="ListParagraph"/>
        <w:spacing w:after="0"/>
        <w:ind w:left="0"/>
        <w:rPr>
          <w:szCs w:val="20"/>
        </w:rPr>
      </w:pPr>
    </w:p>
    <w:p w14:paraId="5E4EE239" w14:textId="77B764A4" w:rsidR="00453AB4" w:rsidRPr="006B68A1" w:rsidRDefault="00B24C5F" w:rsidP="00EF5F56">
      <w:pPr>
        <w:pStyle w:val="ListParagraph"/>
        <w:numPr>
          <w:ilvl w:val="0"/>
          <w:numId w:val="2"/>
        </w:numPr>
        <w:spacing w:after="0"/>
        <w:ind w:left="0" w:firstLine="0"/>
      </w:pPr>
      <w:r w:rsidRPr="006D5F6E">
        <w:rPr>
          <w:rFonts w:cs="Verdana"/>
          <w:szCs w:val="20"/>
        </w:rPr>
        <w:t xml:space="preserve"> </w:t>
      </w:r>
      <w:r w:rsidR="005965F4" w:rsidRPr="006B68A1">
        <w:rPr>
          <w:rFonts w:cs="Verdana"/>
          <w:szCs w:val="20"/>
          <w:lang w:val="es-CR"/>
        </w:rPr>
        <w:t xml:space="preserve">Adicionalmente, </w:t>
      </w:r>
      <w:r w:rsidR="00681BAD" w:rsidRPr="006B68A1">
        <w:rPr>
          <w:lang w:val="es-CR"/>
        </w:rPr>
        <w:t xml:space="preserve">el </w:t>
      </w:r>
      <w:r w:rsidR="00681BAD" w:rsidRPr="00EF5F56">
        <w:rPr>
          <w:lang w:val="es-CR"/>
        </w:rPr>
        <w:t>Presidente</w:t>
      </w:r>
      <w:r w:rsidR="00681BAD" w:rsidRPr="006B68A1">
        <w:rPr>
          <w:lang w:val="es-CR"/>
        </w:rPr>
        <w:t xml:space="preserve"> </w:t>
      </w:r>
      <w:r w:rsidR="005965F4" w:rsidRPr="006B68A1">
        <w:rPr>
          <w:lang w:val="es-CR"/>
        </w:rPr>
        <w:t xml:space="preserve">nota </w:t>
      </w:r>
      <w:r w:rsidR="00681BAD" w:rsidRPr="006B68A1">
        <w:t xml:space="preserve">que </w:t>
      </w:r>
      <w:r w:rsidR="00684230">
        <w:t>el alcance del</w:t>
      </w:r>
      <w:r w:rsidR="00681BAD" w:rsidRPr="006B68A1">
        <w:t xml:space="preserve"> peritaje ofrecido</w:t>
      </w:r>
      <w:r w:rsidR="00684230">
        <w:t xml:space="preserve"> de conformidad con lo dispuesto anteriormente, </w:t>
      </w:r>
      <w:r w:rsidR="00681BAD" w:rsidRPr="006B68A1">
        <w:rPr>
          <w:lang w:val="es-CR"/>
        </w:rPr>
        <w:t xml:space="preserve">concierne a temas relevantes </w:t>
      </w:r>
      <w:r w:rsidR="00F910E2">
        <w:rPr>
          <w:lang w:val="es-CR"/>
        </w:rPr>
        <w:t xml:space="preserve">en </w:t>
      </w:r>
      <w:r w:rsidR="00681BAD" w:rsidRPr="006B68A1">
        <w:t>el orden público interamericano de los derechos humanos</w:t>
      </w:r>
      <w:r w:rsidR="00FC046F" w:rsidRPr="006B68A1">
        <w:t xml:space="preserve"> que</w:t>
      </w:r>
      <w:r w:rsidR="00681BAD" w:rsidRPr="006B68A1">
        <w:t xml:space="preserve"> </w:t>
      </w:r>
      <w:r w:rsidR="00681BAD" w:rsidRPr="006B68A1">
        <w:rPr>
          <w:lang w:val="es-CR"/>
        </w:rPr>
        <w:t>trasciende</w:t>
      </w:r>
      <w:r w:rsidR="00FC046F" w:rsidRPr="006B68A1">
        <w:rPr>
          <w:lang w:val="es-CR"/>
        </w:rPr>
        <w:t>n</w:t>
      </w:r>
      <w:r w:rsidR="00681BAD" w:rsidRPr="006B68A1">
        <w:rPr>
          <w:lang w:val="es-CR"/>
        </w:rPr>
        <w:t xml:space="preserve"> los intereses concretos de las partes y los hechos específicos </w:t>
      </w:r>
      <w:r w:rsidR="00681BAD" w:rsidRPr="006B68A1">
        <w:t>en el presente litigio</w:t>
      </w:r>
      <w:r w:rsidR="00FC046F" w:rsidRPr="006B68A1">
        <w:t xml:space="preserve">, lo cuales </w:t>
      </w:r>
      <w:r w:rsidR="00681BAD" w:rsidRPr="006B68A1">
        <w:t>eventualmente podrían tener un impacto en otros Estados de la región</w:t>
      </w:r>
      <w:r w:rsidR="00681BAD" w:rsidRPr="006B68A1">
        <w:rPr>
          <w:vertAlign w:val="superscript"/>
        </w:rPr>
        <w:footnoteReference w:id="4"/>
      </w:r>
      <w:r w:rsidR="00901673" w:rsidRPr="006B68A1">
        <w:t xml:space="preserve"> y </w:t>
      </w:r>
      <w:r w:rsidR="00901673" w:rsidRPr="006B68A1">
        <w:rPr>
          <w:rFonts w:cs="Verdana"/>
          <w:szCs w:val="20"/>
          <w:lang w:val="es-CR"/>
        </w:rPr>
        <w:t xml:space="preserve">considera que el mismo puede suministrar elementos que resulten de utilidad para que eventualmente la Corte, en su momento y debida oportunidad, pueda pronunciarse </w:t>
      </w:r>
      <w:r w:rsidR="00684230">
        <w:rPr>
          <w:rFonts w:cs="Verdana"/>
          <w:szCs w:val="20"/>
          <w:lang w:val="es-CR"/>
        </w:rPr>
        <w:t xml:space="preserve">al respecto. </w:t>
      </w:r>
      <w:r w:rsidR="00901673" w:rsidRPr="006B68A1">
        <w:rPr>
          <w:rFonts w:cs="Verdana"/>
          <w:szCs w:val="20"/>
          <w:lang w:val="es-CR"/>
        </w:rPr>
        <w:t xml:space="preserve"> </w:t>
      </w:r>
    </w:p>
    <w:p w14:paraId="0868716D" w14:textId="77777777" w:rsidR="00453AB4" w:rsidRPr="00AC28E6" w:rsidRDefault="00453AB4" w:rsidP="00EF5F56">
      <w:pPr>
        <w:pStyle w:val="ListParagraph"/>
        <w:spacing w:after="0"/>
        <w:ind w:left="0"/>
      </w:pPr>
    </w:p>
    <w:p w14:paraId="5E2FA31E" w14:textId="2E377D77" w:rsidR="004A5EF7" w:rsidRPr="004A5EF7" w:rsidRDefault="00453AB4" w:rsidP="00EF5F56">
      <w:pPr>
        <w:pStyle w:val="ListParagraph"/>
        <w:numPr>
          <w:ilvl w:val="0"/>
          <w:numId w:val="2"/>
        </w:numPr>
        <w:spacing w:after="0"/>
        <w:ind w:left="0" w:firstLine="0"/>
      </w:pPr>
      <w:r>
        <w:t xml:space="preserve">Por todo lo anteriormente expuesto, </w:t>
      </w:r>
      <w:r w:rsidR="004A5EF7" w:rsidRPr="004A5EF7">
        <w:t xml:space="preserve">el Presidente </w:t>
      </w:r>
      <w:r>
        <w:t xml:space="preserve">estima </w:t>
      </w:r>
      <w:r w:rsidR="00681BAD" w:rsidRPr="004A5EF7">
        <w:rPr>
          <w:lang w:val="es-CR"/>
        </w:rPr>
        <w:t>pertinente admitir el dictamen a cargo de la perita</w:t>
      </w:r>
      <w:r w:rsidR="005567A6">
        <w:rPr>
          <w:lang w:val="es-CR"/>
        </w:rPr>
        <w:t xml:space="preserve"> propuesta por la Comisión</w:t>
      </w:r>
      <w:r w:rsidR="00681BAD" w:rsidRPr="004A5EF7">
        <w:rPr>
          <w:lang w:val="es-CR"/>
        </w:rPr>
        <w:t>,</w:t>
      </w:r>
      <w:r w:rsidR="00681BAD" w:rsidRPr="00850F42">
        <w:t xml:space="preserve"> señora </w:t>
      </w:r>
      <w:r w:rsidR="00681BAD" w:rsidRPr="004A5EF7">
        <w:rPr>
          <w:lang w:val="es-CR"/>
        </w:rPr>
        <w:t>Clara Sandoval</w:t>
      </w:r>
      <w:r w:rsidR="00681BAD" w:rsidRPr="00850F42">
        <w:t xml:space="preserve">, </w:t>
      </w:r>
      <w:r w:rsidR="00977FBD">
        <w:t>el cual será rendido ante fedatario público (</w:t>
      </w:r>
      <w:r w:rsidR="00977FBD" w:rsidRPr="00365273">
        <w:rPr>
          <w:i/>
        </w:rPr>
        <w:t>affidávit</w:t>
      </w:r>
      <w:r w:rsidR="00977FBD">
        <w:t xml:space="preserve">) y </w:t>
      </w:r>
      <w:r w:rsidR="00681BAD" w:rsidRPr="00850F42">
        <w:t xml:space="preserve">cuyo </w:t>
      </w:r>
      <w:r w:rsidR="000770E0" w:rsidRPr="00850F42">
        <w:t xml:space="preserve">objeto será definido en la parte resolutiva </w:t>
      </w:r>
      <w:r w:rsidR="007A7E71" w:rsidRPr="00850F42">
        <w:t xml:space="preserve">de la presente decisión </w:t>
      </w:r>
      <w:r w:rsidR="000770E0" w:rsidRPr="00850F42">
        <w:t>(</w:t>
      </w:r>
      <w:r w:rsidR="000770E0" w:rsidRPr="004A5EF7">
        <w:rPr>
          <w:i/>
        </w:rPr>
        <w:t>infra,</w:t>
      </w:r>
      <w:r w:rsidR="000770E0" w:rsidRPr="00850F42">
        <w:t xml:space="preserve"> punto resolutivo </w:t>
      </w:r>
      <w:r w:rsidR="00E0760F">
        <w:t>2</w:t>
      </w:r>
      <w:r w:rsidR="0019113D" w:rsidRPr="00850F42">
        <w:t>)</w:t>
      </w:r>
      <w:r w:rsidR="004A5EF7">
        <w:t>,</w:t>
      </w:r>
      <w:r w:rsidR="004A5EF7" w:rsidRPr="004A5EF7">
        <w:t xml:space="preserve"> para efectos de que el Tribunal aprecie su valor probatorio en la debida oportunidad, dentro del contexto del acervo probatorio existente y según las reglas de la sana crítica. </w:t>
      </w:r>
    </w:p>
    <w:p w14:paraId="375150BE" w14:textId="77777777" w:rsidR="00B1763C" w:rsidRDefault="00B1763C" w:rsidP="00EF5F56">
      <w:pPr>
        <w:pStyle w:val="ListParagraph"/>
        <w:spacing w:after="0"/>
        <w:rPr>
          <w:b/>
          <w:i/>
          <w:szCs w:val="20"/>
        </w:rPr>
      </w:pPr>
    </w:p>
    <w:p w14:paraId="03D15DAC" w14:textId="77777777" w:rsidR="000770E0" w:rsidRPr="00850F42" w:rsidRDefault="000770E0" w:rsidP="00EF5F56">
      <w:pPr>
        <w:tabs>
          <w:tab w:val="left" w:pos="567"/>
        </w:tabs>
        <w:spacing w:after="0" w:line="240" w:lineRule="auto"/>
        <w:jc w:val="both"/>
        <w:rPr>
          <w:rFonts w:ascii="Verdana" w:eastAsia="Calibri" w:hAnsi="Verdana" w:cs="Verdana"/>
          <w:b/>
          <w:bCs/>
          <w:sz w:val="20"/>
          <w:szCs w:val="20"/>
          <w:lang w:val="es-CR"/>
        </w:rPr>
      </w:pPr>
      <w:r w:rsidRPr="00850F42">
        <w:rPr>
          <w:rFonts w:ascii="Verdana" w:eastAsia="Calibri" w:hAnsi="Verdana" w:cs="Verdana"/>
          <w:b/>
          <w:bCs/>
          <w:sz w:val="20"/>
          <w:szCs w:val="20"/>
          <w:lang w:val="es-CR"/>
        </w:rPr>
        <w:t>POR TANTO:</w:t>
      </w:r>
    </w:p>
    <w:p w14:paraId="03D15DAE" w14:textId="77777777" w:rsidR="000770E0" w:rsidRPr="00850F42" w:rsidRDefault="000770E0" w:rsidP="00EF5F56">
      <w:pPr>
        <w:tabs>
          <w:tab w:val="left" w:pos="567"/>
        </w:tabs>
        <w:spacing w:after="0" w:line="240" w:lineRule="auto"/>
        <w:jc w:val="both"/>
        <w:rPr>
          <w:rFonts w:ascii="Verdana" w:eastAsia="Calibri" w:hAnsi="Verdana" w:cs="Verdana"/>
          <w:b/>
          <w:bCs/>
          <w:sz w:val="20"/>
          <w:szCs w:val="20"/>
          <w:lang w:val="es-CR"/>
        </w:rPr>
      </w:pPr>
    </w:p>
    <w:p w14:paraId="03D15DAF" w14:textId="77777777" w:rsidR="000770E0" w:rsidRPr="00850F42" w:rsidRDefault="000770E0" w:rsidP="00EF5F56">
      <w:pPr>
        <w:tabs>
          <w:tab w:val="left" w:pos="567"/>
        </w:tabs>
        <w:spacing w:after="0" w:line="240" w:lineRule="auto"/>
        <w:jc w:val="both"/>
        <w:rPr>
          <w:rFonts w:ascii="Verdana" w:eastAsia="Calibri" w:hAnsi="Verdana" w:cs="Verdana"/>
          <w:b/>
          <w:bCs/>
          <w:sz w:val="20"/>
          <w:szCs w:val="20"/>
          <w:lang w:val="es-CR"/>
        </w:rPr>
      </w:pPr>
      <w:r w:rsidRPr="00850F42">
        <w:rPr>
          <w:rFonts w:ascii="Verdana" w:eastAsia="Calibri" w:hAnsi="Verdana" w:cs="Verdana"/>
          <w:b/>
          <w:bCs/>
          <w:sz w:val="20"/>
          <w:szCs w:val="20"/>
          <w:lang w:val="es-CR"/>
        </w:rPr>
        <w:t xml:space="preserve">EL PRESIDENTE DE LA CORTE INTERAMERICANA DE DERECHOS HUMANOS, </w:t>
      </w:r>
    </w:p>
    <w:p w14:paraId="03D15DB1" w14:textId="77777777" w:rsidR="000770E0" w:rsidRPr="00850F42" w:rsidRDefault="000770E0" w:rsidP="00EF5F56">
      <w:pPr>
        <w:tabs>
          <w:tab w:val="left" w:pos="567"/>
        </w:tabs>
        <w:spacing w:after="0" w:line="240" w:lineRule="auto"/>
        <w:jc w:val="both"/>
        <w:rPr>
          <w:rFonts w:ascii="Verdana" w:eastAsia="Calibri" w:hAnsi="Verdana" w:cs="Verdana"/>
          <w:b/>
          <w:bCs/>
          <w:sz w:val="20"/>
          <w:szCs w:val="20"/>
          <w:lang w:val="es-CR"/>
        </w:rPr>
      </w:pPr>
    </w:p>
    <w:p w14:paraId="03D15DB2" w14:textId="77777777" w:rsidR="000770E0" w:rsidRPr="00850F42" w:rsidRDefault="000770E0" w:rsidP="00EF5F56">
      <w:pPr>
        <w:tabs>
          <w:tab w:val="left" w:pos="567"/>
        </w:tabs>
        <w:spacing w:after="0" w:line="240" w:lineRule="auto"/>
        <w:jc w:val="both"/>
        <w:rPr>
          <w:rFonts w:ascii="Verdana" w:eastAsia="Calibri" w:hAnsi="Verdana" w:cs="Verdana"/>
          <w:sz w:val="20"/>
          <w:szCs w:val="20"/>
          <w:lang w:val="es-CR"/>
        </w:rPr>
      </w:pPr>
      <w:r w:rsidRPr="00850F42">
        <w:rPr>
          <w:rFonts w:ascii="Verdana" w:eastAsia="Calibri" w:hAnsi="Verdana" w:cs="Verdana"/>
          <w:sz w:val="20"/>
          <w:szCs w:val="20"/>
          <w:lang w:val="es-CR"/>
        </w:rPr>
        <w:t xml:space="preserve">de conformidad con los artículos 24.1 y 25.2 del Estatuto de la Corte y con los artículos 4, 15.1, 26.1, 31.2, 35.1, 40.2, 41.1, 45 a 48, 50 a 56 y 60 del Reglamento, </w:t>
      </w:r>
    </w:p>
    <w:p w14:paraId="03D15DB3" w14:textId="77777777" w:rsidR="000770E0" w:rsidRPr="00850F42" w:rsidRDefault="000770E0" w:rsidP="00EF5F56">
      <w:pPr>
        <w:tabs>
          <w:tab w:val="left" w:pos="567"/>
        </w:tabs>
        <w:spacing w:after="0" w:line="240" w:lineRule="auto"/>
        <w:jc w:val="both"/>
        <w:rPr>
          <w:rFonts w:ascii="Verdana" w:eastAsia="Calibri" w:hAnsi="Verdana" w:cs="Verdana"/>
          <w:sz w:val="20"/>
          <w:szCs w:val="20"/>
          <w:lang w:val="es-CR"/>
        </w:rPr>
      </w:pPr>
      <w:r w:rsidRPr="00850F42">
        <w:rPr>
          <w:rFonts w:ascii="Verdana" w:eastAsia="Calibri" w:hAnsi="Verdana" w:cs="Verdana"/>
          <w:sz w:val="20"/>
          <w:szCs w:val="20"/>
          <w:lang w:val="es-CR"/>
        </w:rPr>
        <w:t xml:space="preserve"> </w:t>
      </w:r>
    </w:p>
    <w:p w14:paraId="03D15DB4" w14:textId="5790D1CC" w:rsidR="000770E0" w:rsidRPr="00850F42" w:rsidRDefault="000770E0" w:rsidP="00EF5F56">
      <w:pPr>
        <w:tabs>
          <w:tab w:val="left" w:pos="567"/>
        </w:tabs>
        <w:spacing w:after="0" w:line="240" w:lineRule="auto"/>
        <w:jc w:val="both"/>
        <w:rPr>
          <w:rFonts w:ascii="Verdana" w:eastAsia="Calibri" w:hAnsi="Verdana" w:cs="Verdana"/>
          <w:b/>
          <w:bCs/>
          <w:sz w:val="20"/>
          <w:szCs w:val="20"/>
          <w:lang w:val="es-CR"/>
        </w:rPr>
      </w:pPr>
      <w:r w:rsidRPr="00850F42">
        <w:rPr>
          <w:rFonts w:ascii="Verdana" w:eastAsia="Calibri" w:hAnsi="Verdana" w:cs="Verdana"/>
          <w:b/>
          <w:bCs/>
          <w:sz w:val="20"/>
          <w:szCs w:val="20"/>
          <w:lang w:val="es-CR"/>
        </w:rPr>
        <w:t>RESUELVE:</w:t>
      </w:r>
    </w:p>
    <w:p w14:paraId="03D15DB5" w14:textId="77777777" w:rsidR="000770E0" w:rsidRPr="00850F42" w:rsidRDefault="000770E0" w:rsidP="00EF5F56">
      <w:pPr>
        <w:tabs>
          <w:tab w:val="left" w:pos="567"/>
        </w:tabs>
        <w:spacing w:after="0" w:line="240" w:lineRule="auto"/>
        <w:jc w:val="both"/>
        <w:rPr>
          <w:rFonts w:ascii="Verdana" w:eastAsia="Calibri" w:hAnsi="Verdana" w:cs="Verdana"/>
          <w:b/>
          <w:bCs/>
          <w:sz w:val="20"/>
          <w:szCs w:val="20"/>
          <w:lang w:val="es-CR"/>
        </w:rPr>
      </w:pPr>
    </w:p>
    <w:p w14:paraId="6D8F4D92" w14:textId="4B66AA9F" w:rsidR="00127BA6" w:rsidRPr="006F0863" w:rsidRDefault="00E861A8" w:rsidP="00EF5F56">
      <w:pPr>
        <w:numPr>
          <w:ilvl w:val="3"/>
          <w:numId w:val="6"/>
        </w:numPr>
        <w:tabs>
          <w:tab w:val="left" w:pos="567"/>
        </w:tabs>
        <w:spacing w:after="0" w:line="240" w:lineRule="auto"/>
        <w:ind w:left="0" w:firstLine="0"/>
        <w:jc w:val="both"/>
        <w:rPr>
          <w:rFonts w:ascii="Verdana" w:hAnsi="Verdana" w:cs="Times"/>
          <w:sz w:val="20"/>
          <w:szCs w:val="20"/>
          <w:lang w:val="es-CR"/>
        </w:rPr>
      </w:pPr>
      <w:bookmarkStart w:id="8" w:name="_Ref230577466"/>
      <w:r w:rsidRPr="006F0863">
        <w:rPr>
          <w:rFonts w:ascii="Verdana" w:eastAsia="Calibri" w:hAnsi="Verdana" w:cs="Verdana"/>
          <w:color w:val="000000"/>
          <w:sz w:val="20"/>
          <w:szCs w:val="20"/>
          <w:lang w:val="es-CR" w:eastAsia="es-ES"/>
        </w:rPr>
        <w:t xml:space="preserve">Que si bien no fueron propuestos declarantes para deponer ante el Tribunal en </w:t>
      </w:r>
      <w:r w:rsidR="006F0863" w:rsidRPr="006F0863">
        <w:rPr>
          <w:rFonts w:ascii="Verdana" w:eastAsia="Calibri" w:hAnsi="Verdana" w:cs="Verdana"/>
          <w:color w:val="000000"/>
          <w:sz w:val="20"/>
          <w:szCs w:val="20"/>
          <w:lang w:val="es-CR" w:eastAsia="es-ES"/>
        </w:rPr>
        <w:t>audiencia pública</w:t>
      </w:r>
      <w:r w:rsidR="006F0863" w:rsidRPr="00AC28E6">
        <w:rPr>
          <w:rFonts w:ascii="Verdana" w:eastAsia="Calibri" w:hAnsi="Verdana" w:cs="Verdana"/>
          <w:bCs/>
          <w:sz w:val="20"/>
          <w:szCs w:val="20"/>
        </w:rPr>
        <w:t>, el Presidente</w:t>
      </w:r>
      <w:r w:rsidR="00E0760F">
        <w:rPr>
          <w:rFonts w:ascii="Verdana" w:eastAsia="Calibri" w:hAnsi="Verdana" w:cs="Verdana"/>
          <w:bCs/>
          <w:sz w:val="20"/>
          <w:szCs w:val="20"/>
        </w:rPr>
        <w:t xml:space="preserve"> </w:t>
      </w:r>
      <w:r w:rsidRPr="006F0863">
        <w:rPr>
          <w:rFonts w:ascii="Verdana" w:eastAsia="Calibri" w:hAnsi="Verdana" w:cs="Verdana"/>
          <w:color w:val="000000"/>
          <w:sz w:val="20"/>
          <w:szCs w:val="20"/>
          <w:lang w:val="es-CR" w:eastAsia="es-ES"/>
        </w:rPr>
        <w:t>estima pertinente c</w:t>
      </w:r>
      <w:r w:rsidR="000770E0" w:rsidRPr="006F0863">
        <w:rPr>
          <w:rFonts w:ascii="Verdana" w:eastAsia="Calibri" w:hAnsi="Verdana" w:cs="Verdana"/>
          <w:color w:val="000000"/>
          <w:sz w:val="20"/>
          <w:szCs w:val="20"/>
          <w:lang w:val="es-CR" w:eastAsia="es-ES"/>
        </w:rPr>
        <w:t>onvocar</w:t>
      </w:r>
      <w:r w:rsidR="000770E0" w:rsidRPr="006F0863">
        <w:rPr>
          <w:rFonts w:ascii="Verdana" w:hAnsi="Verdana" w:cs="Times"/>
          <w:sz w:val="20"/>
          <w:szCs w:val="20"/>
          <w:lang w:val="es-CR"/>
        </w:rPr>
        <w:t xml:space="preserve"> al Estado, a los representantes y a la Comisión Interamericana a una audiencia pública </w:t>
      </w:r>
      <w:r w:rsidR="000770E0" w:rsidRPr="006F0863">
        <w:rPr>
          <w:rFonts w:ascii="Verdana" w:eastAsia="Calibri" w:hAnsi="Verdana" w:cs="Verdana"/>
          <w:sz w:val="20"/>
          <w:szCs w:val="20"/>
          <w:lang w:val="es-CR"/>
        </w:rPr>
        <w:t xml:space="preserve">que se celebrará el día </w:t>
      </w:r>
      <w:r w:rsidR="00F910E2">
        <w:rPr>
          <w:rFonts w:ascii="Verdana" w:eastAsia="Calibri" w:hAnsi="Verdana" w:cs="Verdana"/>
          <w:sz w:val="20"/>
          <w:szCs w:val="20"/>
          <w:lang w:val="es-CR"/>
        </w:rPr>
        <w:t>30</w:t>
      </w:r>
      <w:r w:rsidR="000770E0" w:rsidRPr="006F0863">
        <w:rPr>
          <w:rFonts w:ascii="Verdana" w:eastAsia="Calibri" w:hAnsi="Verdana" w:cs="Verdana"/>
          <w:sz w:val="20"/>
          <w:szCs w:val="20"/>
          <w:lang w:val="es-CR"/>
        </w:rPr>
        <w:t xml:space="preserve"> de </w:t>
      </w:r>
      <w:r w:rsidR="006F0863">
        <w:rPr>
          <w:rFonts w:ascii="Verdana" w:eastAsia="Calibri" w:hAnsi="Verdana" w:cs="Verdana"/>
          <w:sz w:val="20"/>
          <w:szCs w:val="20"/>
          <w:lang w:val="es-CR"/>
        </w:rPr>
        <w:t>enero</w:t>
      </w:r>
      <w:r w:rsidR="006F0863" w:rsidRPr="006F0863">
        <w:rPr>
          <w:rFonts w:ascii="Verdana" w:eastAsia="Calibri" w:hAnsi="Verdana" w:cs="Verdana"/>
          <w:sz w:val="20"/>
          <w:szCs w:val="20"/>
          <w:lang w:val="es-CR"/>
        </w:rPr>
        <w:t xml:space="preserve"> </w:t>
      </w:r>
      <w:r w:rsidR="000770E0" w:rsidRPr="006F0863">
        <w:rPr>
          <w:rFonts w:ascii="Verdana" w:eastAsia="Calibri" w:hAnsi="Verdana" w:cs="Verdana"/>
          <w:sz w:val="20"/>
          <w:szCs w:val="20"/>
          <w:lang w:val="es-CR"/>
        </w:rPr>
        <w:t xml:space="preserve">de 2019, a partir de las </w:t>
      </w:r>
      <w:r w:rsidR="00F910E2">
        <w:rPr>
          <w:rFonts w:ascii="Verdana" w:eastAsia="Calibri" w:hAnsi="Verdana" w:cs="Verdana"/>
          <w:sz w:val="20"/>
          <w:szCs w:val="20"/>
          <w:lang w:val="es-CR"/>
        </w:rPr>
        <w:t>15</w:t>
      </w:r>
      <w:r w:rsidR="000770E0" w:rsidRPr="006F0863">
        <w:rPr>
          <w:rFonts w:ascii="Verdana" w:eastAsia="Calibri" w:hAnsi="Verdana" w:cs="Verdana"/>
          <w:sz w:val="20"/>
          <w:szCs w:val="20"/>
          <w:lang w:val="es-CR"/>
        </w:rPr>
        <w:t>:</w:t>
      </w:r>
      <w:r w:rsidR="00F910E2">
        <w:rPr>
          <w:rFonts w:ascii="Verdana" w:eastAsia="Calibri" w:hAnsi="Verdana" w:cs="Verdana"/>
          <w:sz w:val="20"/>
          <w:szCs w:val="20"/>
          <w:lang w:val="es-CR"/>
        </w:rPr>
        <w:t>00</w:t>
      </w:r>
      <w:r w:rsidR="000770E0" w:rsidRPr="006F0863">
        <w:rPr>
          <w:rFonts w:ascii="Verdana" w:eastAsia="Calibri" w:hAnsi="Verdana" w:cs="Verdana"/>
          <w:sz w:val="20"/>
          <w:szCs w:val="20"/>
          <w:lang w:val="es-CR"/>
        </w:rPr>
        <w:t xml:space="preserve"> horas, durante el</w:t>
      </w:r>
      <w:r w:rsidR="00F910E2">
        <w:rPr>
          <w:rFonts w:ascii="Verdana" w:eastAsia="Calibri" w:hAnsi="Verdana" w:cs="Verdana"/>
          <w:sz w:val="20"/>
          <w:szCs w:val="20"/>
          <w:lang w:val="es-CR"/>
        </w:rPr>
        <w:t xml:space="preserve"> 129</w:t>
      </w:r>
      <w:r w:rsidR="000770E0" w:rsidRPr="006F0863">
        <w:rPr>
          <w:rFonts w:ascii="Verdana" w:eastAsia="Calibri" w:hAnsi="Verdana" w:cs="Verdana"/>
          <w:sz w:val="20"/>
          <w:szCs w:val="20"/>
          <w:lang w:val="es-CR"/>
        </w:rPr>
        <w:t xml:space="preserve"> Período </w:t>
      </w:r>
      <w:r w:rsidR="00F910E2">
        <w:rPr>
          <w:rFonts w:ascii="Verdana" w:eastAsia="Calibri" w:hAnsi="Verdana" w:cs="Verdana"/>
          <w:sz w:val="20"/>
          <w:szCs w:val="20"/>
          <w:lang w:val="es-CR"/>
        </w:rPr>
        <w:t>Ordinario</w:t>
      </w:r>
      <w:r w:rsidR="000770E0" w:rsidRPr="006F0863">
        <w:rPr>
          <w:rFonts w:ascii="Verdana" w:eastAsia="Calibri" w:hAnsi="Verdana" w:cs="Verdana"/>
          <w:sz w:val="20"/>
          <w:szCs w:val="20"/>
          <w:lang w:val="es-CR"/>
        </w:rPr>
        <w:t xml:space="preserve"> de Sesiones, </w:t>
      </w:r>
      <w:r w:rsidR="000770E0" w:rsidRPr="006F0863">
        <w:rPr>
          <w:rFonts w:ascii="Verdana" w:eastAsia="Calibri" w:hAnsi="Verdana" w:cs="Calibri"/>
          <w:sz w:val="20"/>
          <w:szCs w:val="20"/>
        </w:rPr>
        <w:t xml:space="preserve">la cual se llevará a cabo en </w:t>
      </w:r>
      <w:r w:rsidR="00F910E2">
        <w:rPr>
          <w:rFonts w:ascii="Verdana" w:eastAsia="Calibri" w:hAnsi="Verdana" w:cs="Calibri"/>
          <w:sz w:val="20"/>
          <w:szCs w:val="20"/>
        </w:rPr>
        <w:t>la sede de la Corte en San José, Costa Rica</w:t>
      </w:r>
      <w:r w:rsidR="000770E0" w:rsidRPr="006F0863">
        <w:rPr>
          <w:rFonts w:ascii="Verdana" w:eastAsia="Calibri" w:hAnsi="Verdana" w:cs="Verdana"/>
          <w:sz w:val="20"/>
          <w:szCs w:val="20"/>
          <w:lang w:val="es-CR"/>
        </w:rPr>
        <w:t xml:space="preserve">, </w:t>
      </w:r>
      <w:r w:rsidR="000770E0" w:rsidRPr="006F0863">
        <w:rPr>
          <w:rFonts w:ascii="Verdana" w:hAnsi="Verdana" w:cs="Times"/>
          <w:sz w:val="20"/>
          <w:szCs w:val="20"/>
          <w:lang w:val="es-CR"/>
        </w:rPr>
        <w:t xml:space="preserve">para recibir sus alegatos y observaciones finales orales </w:t>
      </w:r>
      <w:r w:rsidR="002C4B18" w:rsidRPr="006F0863">
        <w:rPr>
          <w:rFonts w:ascii="Verdana" w:hAnsi="Verdana" w:cs="Times"/>
          <w:sz w:val="20"/>
          <w:szCs w:val="20"/>
          <w:lang w:val="es-CR"/>
        </w:rPr>
        <w:t xml:space="preserve">de hecho y de derecho </w:t>
      </w:r>
      <w:r w:rsidR="000770E0" w:rsidRPr="006F0863">
        <w:rPr>
          <w:rFonts w:ascii="Verdana" w:hAnsi="Verdana" w:cs="Times"/>
          <w:sz w:val="20"/>
          <w:szCs w:val="20"/>
          <w:lang w:val="es-CR"/>
        </w:rPr>
        <w:t>sobre las excepciones preliminares, fondo y eventuales reparaciones y costas</w:t>
      </w:r>
      <w:r w:rsidR="00127BA6" w:rsidRPr="006F0863">
        <w:rPr>
          <w:rFonts w:ascii="Verdana" w:hAnsi="Verdana" w:cs="Times"/>
          <w:sz w:val="20"/>
          <w:szCs w:val="20"/>
          <w:lang w:val="es-CR"/>
        </w:rPr>
        <w:t>.</w:t>
      </w:r>
      <w:bookmarkEnd w:id="8"/>
      <w:r w:rsidR="000770E0" w:rsidRPr="006F0863">
        <w:rPr>
          <w:rFonts w:ascii="Verdana" w:hAnsi="Verdana" w:cs="Times"/>
          <w:sz w:val="20"/>
          <w:szCs w:val="20"/>
          <w:lang w:val="es-CR"/>
        </w:rPr>
        <w:t xml:space="preserve"> </w:t>
      </w:r>
    </w:p>
    <w:p w14:paraId="12CD6B05" w14:textId="3CAC7825" w:rsidR="00127BA6" w:rsidRPr="00850F42" w:rsidRDefault="00127BA6" w:rsidP="00EF5F56">
      <w:pPr>
        <w:tabs>
          <w:tab w:val="left" w:pos="567"/>
        </w:tabs>
        <w:spacing w:after="0" w:line="240" w:lineRule="auto"/>
        <w:jc w:val="both"/>
        <w:rPr>
          <w:rFonts w:ascii="Verdana" w:hAnsi="Verdana" w:cs="Times"/>
          <w:sz w:val="20"/>
          <w:szCs w:val="20"/>
          <w:lang w:val="es-CR"/>
        </w:rPr>
      </w:pPr>
    </w:p>
    <w:p w14:paraId="03D15DB7" w14:textId="6E5A535F" w:rsidR="000770E0" w:rsidRPr="00850F42" w:rsidRDefault="00127BA6" w:rsidP="00EF5F56">
      <w:pPr>
        <w:numPr>
          <w:ilvl w:val="3"/>
          <w:numId w:val="6"/>
        </w:numPr>
        <w:tabs>
          <w:tab w:val="left" w:pos="567"/>
        </w:tabs>
        <w:spacing w:after="0" w:line="240" w:lineRule="auto"/>
        <w:ind w:left="0" w:firstLine="0"/>
        <w:jc w:val="both"/>
        <w:rPr>
          <w:rFonts w:ascii="Verdana" w:eastAsia="Calibri" w:hAnsi="Verdana" w:cs="Verdana"/>
          <w:sz w:val="20"/>
          <w:szCs w:val="20"/>
          <w:lang w:val="es-CR"/>
        </w:rPr>
      </w:pPr>
      <w:r w:rsidRPr="00850F42">
        <w:rPr>
          <w:rFonts w:ascii="Verdana" w:hAnsi="Verdana" w:cs="Calibri"/>
          <w:sz w:val="20"/>
          <w:szCs w:val="20"/>
          <w:lang w:val="es-CR"/>
        </w:rPr>
        <w:t>Requerir, por las razones expuestas en la presente Resolución, de conformidad con el principio de economía procesal y de la facultad que le otorga el artículo 50.1 del Reglamento de la Corte, que la siguiente persona preste su declaración ante fedatario público (</w:t>
      </w:r>
      <w:r w:rsidRPr="00850F42">
        <w:rPr>
          <w:rFonts w:ascii="Verdana" w:hAnsi="Verdana" w:cs="Calibri"/>
          <w:i/>
          <w:sz w:val="20"/>
          <w:szCs w:val="20"/>
          <w:lang w:val="es-CR"/>
        </w:rPr>
        <w:t>affidávit</w:t>
      </w:r>
      <w:r w:rsidRPr="00850F42">
        <w:rPr>
          <w:rFonts w:ascii="Verdana" w:hAnsi="Verdana" w:cs="Calibri"/>
          <w:sz w:val="20"/>
          <w:szCs w:val="20"/>
          <w:lang w:val="es-CR"/>
        </w:rPr>
        <w:t>):</w:t>
      </w:r>
    </w:p>
    <w:p w14:paraId="69EAC37C" w14:textId="77777777" w:rsidR="00127BA6" w:rsidRPr="00850F42" w:rsidRDefault="00127BA6" w:rsidP="00EF5F56">
      <w:pPr>
        <w:tabs>
          <w:tab w:val="left" w:pos="567"/>
        </w:tabs>
        <w:spacing w:after="0" w:line="240" w:lineRule="auto"/>
        <w:jc w:val="both"/>
        <w:rPr>
          <w:rFonts w:ascii="Verdana" w:eastAsia="Calibri" w:hAnsi="Verdana" w:cs="Verdana"/>
          <w:sz w:val="20"/>
          <w:szCs w:val="20"/>
          <w:lang w:val="es-CR"/>
        </w:rPr>
      </w:pPr>
    </w:p>
    <w:p w14:paraId="03D15DB8" w14:textId="36C3CECC" w:rsidR="000770E0" w:rsidRPr="00850F42" w:rsidRDefault="000770E0" w:rsidP="00EF5F56">
      <w:pPr>
        <w:pStyle w:val="ListParagraph"/>
        <w:numPr>
          <w:ilvl w:val="0"/>
          <w:numId w:val="52"/>
        </w:numPr>
        <w:tabs>
          <w:tab w:val="left" w:pos="567"/>
          <w:tab w:val="left" w:pos="1134"/>
        </w:tabs>
        <w:autoSpaceDE w:val="0"/>
        <w:autoSpaceDN w:val="0"/>
        <w:adjustRightInd w:val="0"/>
        <w:spacing w:after="0"/>
        <w:rPr>
          <w:rFonts w:cs="Verdana"/>
          <w:i/>
          <w:szCs w:val="20"/>
          <w:lang w:val="es-ES"/>
        </w:rPr>
      </w:pPr>
      <w:r w:rsidRPr="00850F42">
        <w:rPr>
          <w:rFonts w:cs="Verdana"/>
          <w:i/>
          <w:szCs w:val="20"/>
          <w:lang w:val="es-ES"/>
        </w:rPr>
        <w:t>Perit</w:t>
      </w:r>
      <w:r w:rsidR="00F513CD" w:rsidRPr="00850F42">
        <w:rPr>
          <w:rFonts w:cs="Verdana"/>
          <w:i/>
          <w:szCs w:val="20"/>
          <w:lang w:val="es-ES"/>
        </w:rPr>
        <w:t>a</w:t>
      </w:r>
      <w:r w:rsidRPr="00850F42">
        <w:rPr>
          <w:rFonts w:cs="Verdana"/>
          <w:i/>
          <w:szCs w:val="20"/>
          <w:lang w:val="es-ES"/>
        </w:rPr>
        <w:t xml:space="preserve"> (propues</w:t>
      </w:r>
      <w:r w:rsidR="00FC046F" w:rsidRPr="00850F42">
        <w:rPr>
          <w:rFonts w:cs="Verdana"/>
          <w:i/>
          <w:szCs w:val="20"/>
          <w:lang w:val="es-ES"/>
        </w:rPr>
        <w:t>ta</w:t>
      </w:r>
      <w:r w:rsidRPr="00850F42">
        <w:rPr>
          <w:rFonts w:cs="Verdana"/>
          <w:i/>
          <w:szCs w:val="20"/>
          <w:lang w:val="es-ES"/>
        </w:rPr>
        <w:t xml:space="preserve"> por la Comisión)</w:t>
      </w:r>
    </w:p>
    <w:p w14:paraId="03D15DB9" w14:textId="77777777" w:rsidR="000770E0" w:rsidRPr="00850F42" w:rsidRDefault="000770E0" w:rsidP="00EF5F56">
      <w:pPr>
        <w:tabs>
          <w:tab w:val="left" w:pos="567"/>
          <w:tab w:val="left" w:pos="1134"/>
        </w:tabs>
        <w:autoSpaceDE w:val="0"/>
        <w:autoSpaceDN w:val="0"/>
        <w:adjustRightInd w:val="0"/>
        <w:spacing w:after="0" w:line="240" w:lineRule="auto"/>
        <w:ind w:left="567"/>
        <w:jc w:val="both"/>
        <w:rPr>
          <w:rFonts w:ascii="Verdana" w:eastAsia="Calibri" w:hAnsi="Verdana" w:cs="Verdana"/>
          <w:sz w:val="20"/>
          <w:szCs w:val="20"/>
          <w:lang w:val="es-ES"/>
        </w:rPr>
      </w:pPr>
    </w:p>
    <w:p w14:paraId="63E2147A" w14:textId="71935124" w:rsidR="00E0760F" w:rsidRPr="00365273" w:rsidRDefault="00FC046F" w:rsidP="00EF5F56">
      <w:pPr>
        <w:pStyle w:val="ListParagraph"/>
        <w:numPr>
          <w:ilvl w:val="5"/>
          <w:numId w:val="6"/>
        </w:numPr>
        <w:tabs>
          <w:tab w:val="left" w:pos="540"/>
          <w:tab w:val="left" w:pos="567"/>
          <w:tab w:val="left" w:pos="1260"/>
        </w:tabs>
        <w:autoSpaceDE w:val="0"/>
        <w:autoSpaceDN w:val="0"/>
        <w:adjustRightInd w:val="0"/>
        <w:spacing w:after="0"/>
        <w:ind w:left="1276"/>
        <w:rPr>
          <w:rFonts w:cs="Verdana"/>
          <w:szCs w:val="20"/>
          <w:lang w:val="es-CR"/>
        </w:rPr>
      </w:pPr>
      <w:r w:rsidRPr="00850F42">
        <w:rPr>
          <w:i/>
          <w:szCs w:val="20"/>
        </w:rPr>
        <w:t>Clara Sandoval (</w:t>
      </w:r>
      <w:r w:rsidR="007E6AD7">
        <w:rPr>
          <w:i/>
          <w:szCs w:val="20"/>
        </w:rPr>
        <w:t xml:space="preserve">abogada </w:t>
      </w:r>
      <w:r w:rsidRPr="00850F42">
        <w:rPr>
          <w:i/>
          <w:szCs w:val="20"/>
        </w:rPr>
        <w:t xml:space="preserve">en </w:t>
      </w:r>
      <w:r w:rsidR="007E6AD7">
        <w:rPr>
          <w:i/>
          <w:szCs w:val="20"/>
        </w:rPr>
        <w:t>derechos humanos y justicia transicional</w:t>
      </w:r>
      <w:r w:rsidR="00574DE5">
        <w:rPr>
          <w:i/>
          <w:szCs w:val="20"/>
        </w:rPr>
        <w:t>)</w:t>
      </w:r>
      <w:r w:rsidR="000770E0" w:rsidRPr="00850F42">
        <w:rPr>
          <w:rFonts w:cs="Calibri"/>
          <w:szCs w:val="20"/>
          <w:lang w:val="es-CR"/>
        </w:rPr>
        <w:t xml:space="preserve">, </w:t>
      </w:r>
      <w:r w:rsidR="000770E0" w:rsidRPr="00850F42">
        <w:rPr>
          <w:rFonts w:cs="Verdana"/>
          <w:szCs w:val="20"/>
        </w:rPr>
        <w:t>quien declarará</w:t>
      </w:r>
      <w:r w:rsidR="00E0760F">
        <w:rPr>
          <w:rFonts w:cs="Verdana"/>
          <w:szCs w:val="20"/>
        </w:rPr>
        <w:t xml:space="preserve">: </w:t>
      </w:r>
    </w:p>
    <w:p w14:paraId="580709CB" w14:textId="77777777" w:rsidR="00E0760F" w:rsidRDefault="00E0760F" w:rsidP="00EF5F56">
      <w:pPr>
        <w:pStyle w:val="ListParagraph"/>
        <w:tabs>
          <w:tab w:val="left" w:pos="540"/>
          <w:tab w:val="left" w:pos="567"/>
          <w:tab w:val="left" w:pos="1260"/>
        </w:tabs>
        <w:autoSpaceDE w:val="0"/>
        <w:autoSpaceDN w:val="0"/>
        <w:adjustRightInd w:val="0"/>
        <w:spacing w:after="0"/>
        <w:ind w:left="1440"/>
        <w:rPr>
          <w:i/>
          <w:szCs w:val="20"/>
          <w:lang w:val="es-CR"/>
        </w:rPr>
      </w:pPr>
    </w:p>
    <w:p w14:paraId="03D15DBA" w14:textId="693F8191" w:rsidR="000770E0" w:rsidRPr="00684230" w:rsidRDefault="00E0760F" w:rsidP="00EF5F56">
      <w:pPr>
        <w:pStyle w:val="ListParagraph"/>
        <w:tabs>
          <w:tab w:val="left" w:pos="540"/>
          <w:tab w:val="left" w:pos="567"/>
          <w:tab w:val="left" w:pos="1260"/>
        </w:tabs>
        <w:autoSpaceDE w:val="0"/>
        <w:autoSpaceDN w:val="0"/>
        <w:adjustRightInd w:val="0"/>
        <w:spacing w:after="0"/>
        <w:ind w:left="1440"/>
        <w:rPr>
          <w:lang w:val="es-CR"/>
        </w:rPr>
      </w:pPr>
      <w:r>
        <w:rPr>
          <w:rFonts w:cs="Verdana"/>
          <w:szCs w:val="20"/>
        </w:rPr>
        <w:t xml:space="preserve">a) </w:t>
      </w:r>
      <w:r w:rsidR="00684230">
        <w:rPr>
          <w:rFonts w:cs="Verdana"/>
          <w:szCs w:val="20"/>
        </w:rPr>
        <w:t>A</w:t>
      </w:r>
      <w:r>
        <w:rPr>
          <w:rFonts w:cs="Verdana"/>
          <w:szCs w:val="20"/>
        </w:rPr>
        <w:t xml:space="preserve"> </w:t>
      </w:r>
      <w:r w:rsidR="00EF5F56">
        <w:rPr>
          <w:rFonts w:cs="Verdana"/>
          <w:szCs w:val="20"/>
        </w:rPr>
        <w:t>manera</w:t>
      </w:r>
      <w:r>
        <w:rPr>
          <w:rFonts w:cs="Verdana"/>
          <w:szCs w:val="20"/>
        </w:rPr>
        <w:t xml:space="preserve"> de antecedente y/o contexto, </w:t>
      </w:r>
      <w:r w:rsidR="000770E0" w:rsidRPr="00850F42">
        <w:rPr>
          <w:rFonts w:cs="Verdana"/>
          <w:szCs w:val="20"/>
        </w:rPr>
        <w:t>sobre</w:t>
      </w:r>
      <w:r w:rsidR="007179E8" w:rsidRPr="00850F42">
        <w:rPr>
          <w:rFonts w:cs="Verdana"/>
          <w:szCs w:val="20"/>
        </w:rPr>
        <w:t xml:space="preserve"> el marco normativo y/o institucional vigente en Argentina en la época en</w:t>
      </w:r>
      <w:r w:rsidR="00EF5F56">
        <w:rPr>
          <w:rFonts w:cs="Verdana"/>
          <w:szCs w:val="20"/>
        </w:rPr>
        <w:t xml:space="preserve"> que ocurrieron los hechos del</w:t>
      </w:r>
      <w:r w:rsidR="007179E8" w:rsidRPr="00850F42">
        <w:rPr>
          <w:rFonts w:cs="Verdana"/>
          <w:szCs w:val="20"/>
        </w:rPr>
        <w:t xml:space="preserve"> caso, para efectuar reclamos administrativos y judiciales promovidos con motivo de las </w:t>
      </w:r>
      <w:r w:rsidR="006F0863">
        <w:rPr>
          <w:rFonts w:cs="Verdana"/>
          <w:szCs w:val="20"/>
        </w:rPr>
        <w:t xml:space="preserve">alegadas </w:t>
      </w:r>
      <w:r w:rsidR="007179E8" w:rsidRPr="00850F42">
        <w:rPr>
          <w:rFonts w:cs="Verdana"/>
          <w:szCs w:val="20"/>
        </w:rPr>
        <w:t>violaciones de derechos humanos</w:t>
      </w:r>
      <w:r w:rsidR="002D2F99">
        <w:rPr>
          <w:rFonts w:cs="Verdana"/>
          <w:szCs w:val="20"/>
        </w:rPr>
        <w:t>;</w:t>
      </w:r>
      <w:r w:rsidR="006F0863">
        <w:rPr>
          <w:rFonts w:cs="Verdana"/>
          <w:szCs w:val="20"/>
        </w:rPr>
        <w:t xml:space="preserve"> </w:t>
      </w:r>
      <w:r w:rsidR="002D2F99">
        <w:rPr>
          <w:rFonts w:cs="Verdana"/>
          <w:szCs w:val="20"/>
        </w:rPr>
        <w:t xml:space="preserve">particularmente respecto de los salarios dejados de percibir por exilio, </w:t>
      </w:r>
      <w:r w:rsidR="006F0863">
        <w:rPr>
          <w:rFonts w:cs="Verdana"/>
          <w:szCs w:val="20"/>
        </w:rPr>
        <w:t>y</w:t>
      </w:r>
      <w:r w:rsidR="00684230">
        <w:rPr>
          <w:rFonts w:cs="Verdana"/>
          <w:szCs w:val="20"/>
        </w:rPr>
        <w:t xml:space="preserve"> </w:t>
      </w:r>
      <w:r w:rsidRPr="00684230">
        <w:t xml:space="preserve">b) </w:t>
      </w:r>
      <w:r w:rsidR="00684230">
        <w:t xml:space="preserve">sobre </w:t>
      </w:r>
      <w:r w:rsidRPr="00684230">
        <w:t>l</w:t>
      </w:r>
      <w:r w:rsidR="006F0863" w:rsidRPr="00684230">
        <w:t xml:space="preserve">as vías para reparar dichas </w:t>
      </w:r>
      <w:r w:rsidR="002D2F99">
        <w:t xml:space="preserve">alegadas </w:t>
      </w:r>
      <w:r w:rsidR="006F0863" w:rsidRPr="00684230">
        <w:t xml:space="preserve">violaciones </w:t>
      </w:r>
      <w:r w:rsidR="00684230">
        <w:t xml:space="preserve">en la actualidad </w:t>
      </w:r>
      <w:r w:rsidRPr="00684230">
        <w:t xml:space="preserve">y su regulación </w:t>
      </w:r>
      <w:r w:rsidR="006F0863" w:rsidRPr="00684230">
        <w:t>en el derecho comparado</w:t>
      </w:r>
      <w:r w:rsidR="00A061B2" w:rsidRPr="00684230">
        <w:t xml:space="preserve"> </w:t>
      </w:r>
      <w:proofErr w:type="spellStart"/>
      <w:r w:rsidR="00684230">
        <w:t>contemporaneo</w:t>
      </w:r>
      <w:proofErr w:type="spellEnd"/>
      <w:r w:rsidR="007179E8" w:rsidRPr="00684230">
        <w:t>.</w:t>
      </w:r>
      <w:r w:rsidR="000770E0" w:rsidRPr="00684230">
        <w:t xml:space="preserve"> </w:t>
      </w:r>
    </w:p>
    <w:p w14:paraId="03D15DBB" w14:textId="77777777" w:rsidR="000770E0" w:rsidRPr="00850F42" w:rsidRDefault="000770E0" w:rsidP="00EF5F56">
      <w:pPr>
        <w:tabs>
          <w:tab w:val="left" w:pos="567"/>
        </w:tabs>
        <w:spacing w:after="0" w:line="240" w:lineRule="auto"/>
        <w:jc w:val="both"/>
        <w:rPr>
          <w:rFonts w:ascii="Verdana" w:eastAsia="Calibri" w:hAnsi="Verdana" w:cs="Calibri"/>
          <w:sz w:val="20"/>
          <w:szCs w:val="20"/>
          <w:lang w:val="es-CR"/>
        </w:rPr>
      </w:pPr>
    </w:p>
    <w:p w14:paraId="41F0E9DB" w14:textId="50C4ADD8" w:rsidR="00684230" w:rsidRPr="00EF5F56" w:rsidRDefault="000770E0" w:rsidP="00EF5F56">
      <w:pPr>
        <w:numPr>
          <w:ilvl w:val="3"/>
          <w:numId w:val="6"/>
        </w:numPr>
        <w:tabs>
          <w:tab w:val="left" w:pos="567"/>
        </w:tabs>
        <w:spacing w:after="0" w:line="240" w:lineRule="auto"/>
        <w:ind w:left="0" w:firstLine="0"/>
        <w:jc w:val="both"/>
        <w:rPr>
          <w:rFonts w:ascii="Verdana" w:hAnsi="Verdana"/>
          <w:sz w:val="20"/>
          <w:szCs w:val="20"/>
        </w:rPr>
      </w:pPr>
      <w:bookmarkStart w:id="9" w:name="_Ref393464381"/>
      <w:r w:rsidRPr="00EF5F56">
        <w:rPr>
          <w:rFonts w:ascii="Verdana" w:hAnsi="Verdana" w:cs="Calibri"/>
          <w:sz w:val="20"/>
          <w:szCs w:val="20"/>
          <w:lang w:val="es-CR"/>
        </w:rPr>
        <w:t>Requerir</w:t>
      </w:r>
      <w:r w:rsidRPr="00EF5F56">
        <w:rPr>
          <w:rFonts w:ascii="Verdana" w:hAnsi="Verdana" w:cs="Verdana"/>
          <w:color w:val="000000"/>
          <w:sz w:val="20"/>
          <w:szCs w:val="20"/>
        </w:rPr>
        <w:t xml:space="preserve"> a la Comisión Interamericana que notifique la presente Resolución a la persona que ha sido convocada a rendir declaración, según fue propuesta, de conformidad con lo dispuesto en los artículos 50.2 y 50.4 del Reglamento. </w:t>
      </w:r>
    </w:p>
    <w:p w14:paraId="03D15DC1" w14:textId="77777777" w:rsidR="000770E0" w:rsidRPr="00365273" w:rsidRDefault="000770E0" w:rsidP="00EF5F56">
      <w:pPr>
        <w:pStyle w:val="ListParagraph"/>
        <w:spacing w:after="0"/>
        <w:ind w:left="0"/>
        <w:rPr>
          <w:szCs w:val="20"/>
          <w:lang w:val="es-CR"/>
        </w:rPr>
      </w:pPr>
    </w:p>
    <w:bookmarkEnd w:id="9"/>
    <w:p w14:paraId="10BD65CB" w14:textId="07BAE2AC" w:rsidR="00735CD4" w:rsidRDefault="00735CD4" w:rsidP="00EF5F56">
      <w:pPr>
        <w:pStyle w:val="ListParagraph"/>
        <w:numPr>
          <w:ilvl w:val="3"/>
          <w:numId w:val="6"/>
        </w:numPr>
        <w:tabs>
          <w:tab w:val="left" w:pos="567"/>
        </w:tabs>
        <w:spacing w:after="0"/>
        <w:ind w:left="0" w:firstLine="0"/>
        <w:rPr>
          <w:szCs w:val="20"/>
          <w:lang w:val="es-CR"/>
        </w:rPr>
      </w:pPr>
      <w:r w:rsidRPr="00850F42">
        <w:rPr>
          <w:szCs w:val="20"/>
          <w:lang w:val="es-CR"/>
        </w:rPr>
        <w:t xml:space="preserve">Requerir a </w:t>
      </w:r>
      <w:r w:rsidRPr="00850F42">
        <w:rPr>
          <w:color w:val="000000"/>
          <w:szCs w:val="20"/>
          <w:lang w:val="es-CR"/>
        </w:rPr>
        <w:t>lo</w:t>
      </w:r>
      <w:r w:rsidR="00833280" w:rsidRPr="00850F42">
        <w:rPr>
          <w:color w:val="000000"/>
          <w:szCs w:val="20"/>
          <w:lang w:val="es-CR"/>
        </w:rPr>
        <w:t>s representantes y</w:t>
      </w:r>
      <w:r w:rsidRPr="00850F42">
        <w:rPr>
          <w:color w:val="000000"/>
          <w:szCs w:val="20"/>
          <w:lang w:val="es-CR"/>
        </w:rPr>
        <w:t xml:space="preserve"> </w:t>
      </w:r>
      <w:r w:rsidRPr="00850F42">
        <w:rPr>
          <w:szCs w:val="20"/>
          <w:lang w:val="es-CR"/>
        </w:rPr>
        <w:t xml:space="preserve">al Estado y a la Comisión que remitan, </w:t>
      </w:r>
      <w:r w:rsidRPr="00850F42">
        <w:rPr>
          <w:rFonts w:cs="Calibri"/>
          <w:lang w:val="es-CR"/>
        </w:rPr>
        <w:t>en los términos del artículo 50.5 del Reglamento y</w:t>
      </w:r>
      <w:r w:rsidRPr="00850F42">
        <w:rPr>
          <w:szCs w:val="20"/>
          <w:lang w:val="es-CR"/>
        </w:rPr>
        <w:t xml:space="preserve"> de considerarlo pertinente, en lo que les corresponda y en el plazo</w:t>
      </w:r>
      <w:r w:rsidRPr="00850F42">
        <w:rPr>
          <w:rFonts w:cs="Verdana"/>
          <w:szCs w:val="20"/>
          <w:lang w:val="es-CR"/>
        </w:rPr>
        <w:t xml:space="preserve"> improrrogable que vence el </w:t>
      </w:r>
      <w:r w:rsidR="00C001B5">
        <w:rPr>
          <w:rFonts w:cs="Verdana"/>
          <w:szCs w:val="20"/>
          <w:lang w:val="es-CR"/>
        </w:rPr>
        <w:t>7</w:t>
      </w:r>
      <w:r w:rsidRPr="00850F42">
        <w:rPr>
          <w:rFonts w:cs="Verdana"/>
          <w:szCs w:val="20"/>
          <w:lang w:val="es-CR"/>
        </w:rPr>
        <w:t xml:space="preserve"> </w:t>
      </w:r>
      <w:r w:rsidR="00833280" w:rsidRPr="00850F42">
        <w:rPr>
          <w:rFonts w:cs="Verdana"/>
          <w:szCs w:val="20"/>
          <w:lang w:val="es-CR"/>
        </w:rPr>
        <w:t xml:space="preserve">de </w:t>
      </w:r>
      <w:r w:rsidR="00C001B5">
        <w:rPr>
          <w:rFonts w:cs="Verdana"/>
          <w:szCs w:val="20"/>
          <w:lang w:val="es-CR"/>
        </w:rPr>
        <w:t xml:space="preserve">enero </w:t>
      </w:r>
      <w:r w:rsidR="00833280" w:rsidRPr="00850F42">
        <w:rPr>
          <w:rFonts w:cs="Verdana"/>
          <w:szCs w:val="20"/>
          <w:lang w:val="es-CR"/>
        </w:rPr>
        <w:t>de 2019</w:t>
      </w:r>
      <w:r w:rsidRPr="00850F42">
        <w:rPr>
          <w:rFonts w:cs="Verdana"/>
          <w:szCs w:val="20"/>
          <w:lang w:val="es-CR"/>
        </w:rPr>
        <w:t xml:space="preserve"> las preguntas que estimen pertinentes formular a través de la Corte Interamericana a la perita </w:t>
      </w:r>
      <w:r w:rsidRPr="00850F42">
        <w:rPr>
          <w:szCs w:val="20"/>
          <w:lang w:val="es-CR"/>
        </w:rPr>
        <w:t>indicada en el punto resolutivo número 1 de esta decisión.</w:t>
      </w:r>
    </w:p>
    <w:p w14:paraId="3C88DBFC" w14:textId="77777777" w:rsidR="00684230" w:rsidRPr="00850F42" w:rsidRDefault="00684230" w:rsidP="00EF5F56">
      <w:pPr>
        <w:pStyle w:val="ListParagraph"/>
        <w:tabs>
          <w:tab w:val="left" w:pos="567"/>
        </w:tabs>
        <w:spacing w:after="0"/>
        <w:ind w:left="0"/>
        <w:rPr>
          <w:szCs w:val="20"/>
          <w:lang w:val="es-CR"/>
        </w:rPr>
      </w:pPr>
    </w:p>
    <w:p w14:paraId="20373A7A" w14:textId="5663B9CA" w:rsidR="00C851B8" w:rsidRPr="00850F42" w:rsidRDefault="00C851B8" w:rsidP="00EF5F56">
      <w:pPr>
        <w:pStyle w:val="ListParagraph"/>
        <w:numPr>
          <w:ilvl w:val="3"/>
          <w:numId w:val="6"/>
        </w:numPr>
        <w:tabs>
          <w:tab w:val="left" w:pos="567"/>
        </w:tabs>
        <w:spacing w:after="0"/>
        <w:ind w:left="0" w:firstLine="0"/>
        <w:rPr>
          <w:szCs w:val="20"/>
          <w:lang w:val="es-CR"/>
        </w:rPr>
      </w:pPr>
      <w:r w:rsidRPr="00850F42">
        <w:rPr>
          <w:szCs w:val="20"/>
          <w:lang w:val="es-CR"/>
        </w:rPr>
        <w:t xml:space="preserve">Requerir a la Comisión que coordine y realice las diligencias necesarias para que, una vez recibidas las preguntas, según corresponda, </w:t>
      </w:r>
      <w:r w:rsidRPr="00850F42">
        <w:rPr>
          <w:rFonts w:cs="Verdana"/>
          <w:szCs w:val="20"/>
          <w:lang w:val="es-CR"/>
        </w:rPr>
        <w:t xml:space="preserve">la perita </w:t>
      </w:r>
      <w:r w:rsidRPr="00850F42">
        <w:rPr>
          <w:szCs w:val="20"/>
          <w:lang w:val="es-CR"/>
        </w:rPr>
        <w:t xml:space="preserve">incluya las respuestas en el respectivo dictamen que rendirá ante fedatario público, </w:t>
      </w:r>
      <w:r w:rsidRPr="00850F42">
        <w:rPr>
          <w:rFonts w:cs="Calibri"/>
          <w:lang w:val="es-CR"/>
        </w:rPr>
        <w:t>salvo que esta Presidencia disponga lo contrario cuando la Secretaría de la Corte las transmita</w:t>
      </w:r>
      <w:r w:rsidRPr="00850F42">
        <w:rPr>
          <w:szCs w:val="20"/>
          <w:lang w:val="es-CR"/>
        </w:rPr>
        <w:t xml:space="preserve">. El dictamen requerido deberá ser presentado al Tribunal a más tardar el </w:t>
      </w:r>
      <w:r w:rsidR="00C001B5">
        <w:rPr>
          <w:szCs w:val="20"/>
          <w:lang w:val="es-CR"/>
        </w:rPr>
        <w:t>21</w:t>
      </w:r>
      <w:r w:rsidRPr="00850F42">
        <w:rPr>
          <w:szCs w:val="20"/>
          <w:lang w:val="es-CR"/>
        </w:rPr>
        <w:t xml:space="preserve"> de </w:t>
      </w:r>
      <w:r w:rsidR="00C001B5">
        <w:rPr>
          <w:szCs w:val="20"/>
          <w:lang w:val="es-CR"/>
        </w:rPr>
        <w:t>enero</w:t>
      </w:r>
      <w:r w:rsidRPr="00850F42">
        <w:rPr>
          <w:szCs w:val="20"/>
          <w:lang w:val="es-CR"/>
        </w:rPr>
        <w:t xml:space="preserve"> de 2019.</w:t>
      </w:r>
    </w:p>
    <w:p w14:paraId="01CB0F99" w14:textId="77777777" w:rsidR="00C851B8" w:rsidRPr="00850F42" w:rsidRDefault="00C851B8" w:rsidP="00EF5F56">
      <w:pPr>
        <w:widowControl w:val="0"/>
        <w:autoSpaceDE w:val="0"/>
        <w:autoSpaceDN w:val="0"/>
        <w:adjustRightInd w:val="0"/>
        <w:spacing w:after="0" w:line="240" w:lineRule="auto"/>
        <w:ind w:right="22"/>
        <w:jc w:val="both"/>
        <w:rPr>
          <w:rFonts w:ascii="Verdana" w:hAnsi="Verdana" w:cs="Times"/>
          <w:sz w:val="20"/>
          <w:szCs w:val="20"/>
          <w:lang w:val="es-CR"/>
        </w:rPr>
      </w:pPr>
    </w:p>
    <w:p w14:paraId="662219AD" w14:textId="0201EB4D" w:rsidR="00C851B8" w:rsidRPr="00850F42" w:rsidRDefault="00C851B8" w:rsidP="00EF5F56">
      <w:pPr>
        <w:pStyle w:val="ListParagraph"/>
        <w:numPr>
          <w:ilvl w:val="3"/>
          <w:numId w:val="6"/>
        </w:numPr>
        <w:tabs>
          <w:tab w:val="left" w:pos="567"/>
        </w:tabs>
        <w:spacing w:after="0"/>
        <w:ind w:left="0" w:firstLine="0"/>
        <w:rPr>
          <w:szCs w:val="20"/>
          <w:lang w:val="es-CR"/>
        </w:rPr>
      </w:pPr>
      <w:r w:rsidRPr="00850F42">
        <w:rPr>
          <w:szCs w:val="20"/>
          <w:lang w:val="es-CR"/>
        </w:rPr>
        <w:t xml:space="preserve">Disponer </w:t>
      </w:r>
      <w:r w:rsidRPr="00850F42">
        <w:rPr>
          <w:rFonts w:cs="Calibri"/>
          <w:lang w:val="es-CR"/>
        </w:rPr>
        <w:t xml:space="preserve">conforme al artículo 50.6 del Reglamento </w:t>
      </w:r>
      <w:r w:rsidR="00CD223B" w:rsidRPr="00850F42">
        <w:rPr>
          <w:szCs w:val="20"/>
          <w:lang w:val="es-CR"/>
        </w:rPr>
        <w:t>que, una vez recibido</w:t>
      </w:r>
      <w:r w:rsidRPr="00850F42">
        <w:rPr>
          <w:szCs w:val="20"/>
          <w:lang w:val="es-CR"/>
        </w:rPr>
        <w:t xml:space="preserve"> </w:t>
      </w:r>
      <w:r w:rsidR="00CD223B" w:rsidRPr="00850F42">
        <w:rPr>
          <w:szCs w:val="20"/>
          <w:lang w:val="es-CR"/>
        </w:rPr>
        <w:t>el peritaje</w:t>
      </w:r>
      <w:r w:rsidRPr="00850F42">
        <w:rPr>
          <w:szCs w:val="20"/>
          <w:lang w:val="es-CR"/>
        </w:rPr>
        <w:t>, la Secretarí</w:t>
      </w:r>
      <w:r w:rsidR="00CD223B" w:rsidRPr="00850F42">
        <w:rPr>
          <w:szCs w:val="20"/>
          <w:lang w:val="es-CR"/>
        </w:rPr>
        <w:t xml:space="preserve">a de la Corte Interamericana lo transmita al Estado y </w:t>
      </w:r>
      <w:r w:rsidRPr="00850F42">
        <w:rPr>
          <w:szCs w:val="20"/>
          <w:lang w:val="es-CR"/>
        </w:rPr>
        <w:t>a l</w:t>
      </w:r>
      <w:r w:rsidR="00CD223B" w:rsidRPr="00850F42">
        <w:rPr>
          <w:szCs w:val="20"/>
          <w:lang w:val="es-CR"/>
        </w:rPr>
        <w:t>o</w:t>
      </w:r>
      <w:r w:rsidRPr="00850F42">
        <w:rPr>
          <w:szCs w:val="20"/>
          <w:lang w:val="es-CR"/>
        </w:rPr>
        <w:t xml:space="preserve">s </w:t>
      </w:r>
      <w:r w:rsidRPr="00850F42">
        <w:rPr>
          <w:color w:val="000000"/>
          <w:szCs w:val="20"/>
          <w:lang w:val="es-CR"/>
        </w:rPr>
        <w:t>representantes</w:t>
      </w:r>
      <w:r w:rsidRPr="00850F42">
        <w:rPr>
          <w:szCs w:val="20"/>
          <w:lang w:val="es-CR"/>
        </w:rPr>
        <w:t xml:space="preserve"> para que, si lo estiman pertinente</w:t>
      </w:r>
      <w:r w:rsidRPr="00850F42">
        <w:rPr>
          <w:szCs w:val="20"/>
        </w:rPr>
        <w:t xml:space="preserve"> y en cuanto les corresponda</w:t>
      </w:r>
      <w:r w:rsidRPr="00850F42">
        <w:rPr>
          <w:szCs w:val="20"/>
          <w:lang w:val="es-CR"/>
        </w:rPr>
        <w:t xml:space="preserve">, presenten sus observaciones a más tardar </w:t>
      </w:r>
      <w:r w:rsidRPr="00850F42">
        <w:rPr>
          <w:szCs w:val="20"/>
        </w:rPr>
        <w:t>con sus alegatos u observaciones finales escritos, respectivamente.</w:t>
      </w:r>
    </w:p>
    <w:p w14:paraId="58227AE7" w14:textId="4CF6D0F8" w:rsidR="00735CD4" w:rsidRPr="00BE7D74" w:rsidRDefault="00735CD4" w:rsidP="00EF5F56">
      <w:pPr>
        <w:tabs>
          <w:tab w:val="left" w:pos="567"/>
        </w:tabs>
        <w:spacing w:after="0" w:line="240" w:lineRule="auto"/>
        <w:jc w:val="both"/>
        <w:rPr>
          <w:rFonts w:ascii="Verdana" w:hAnsi="Verdana" w:cs="Times"/>
          <w:sz w:val="20"/>
          <w:szCs w:val="20"/>
          <w:lang w:val="es-CR"/>
        </w:rPr>
      </w:pPr>
      <w:r w:rsidRPr="00BE7D74">
        <w:rPr>
          <w:rFonts w:ascii="Verdana" w:eastAsia="Calibri" w:hAnsi="Verdana" w:cs="Calibri"/>
          <w:sz w:val="20"/>
          <w:lang w:val="es-CR"/>
        </w:rPr>
        <w:t xml:space="preserve"> </w:t>
      </w:r>
    </w:p>
    <w:p w14:paraId="03D15DC2" w14:textId="0DB893AA" w:rsidR="000770E0" w:rsidRPr="00850F42" w:rsidRDefault="000770E0" w:rsidP="00EF5F56">
      <w:pPr>
        <w:pStyle w:val="ListParagraph"/>
        <w:numPr>
          <w:ilvl w:val="3"/>
          <w:numId w:val="6"/>
        </w:numPr>
        <w:tabs>
          <w:tab w:val="left" w:pos="567"/>
        </w:tabs>
        <w:spacing w:after="0"/>
        <w:ind w:left="0" w:firstLine="0"/>
        <w:rPr>
          <w:szCs w:val="20"/>
          <w:lang w:val="es-CR"/>
        </w:rPr>
      </w:pPr>
      <w:r w:rsidRPr="00850F42">
        <w:rPr>
          <w:rFonts w:cs="Calibri"/>
          <w:szCs w:val="20"/>
        </w:rPr>
        <w:t>Informar a la Comisión que debe cubrir los gastos que ocasione la aportación o rendición de la prueba propuesta por ella, de conformidad con lo dispuesto en el artículo 60 del Reglamento.</w:t>
      </w:r>
    </w:p>
    <w:p w14:paraId="03D15DC3" w14:textId="77777777" w:rsidR="000770E0" w:rsidRPr="00850F42" w:rsidRDefault="000770E0" w:rsidP="00EF5F56">
      <w:pPr>
        <w:widowControl w:val="0"/>
        <w:autoSpaceDE w:val="0"/>
        <w:autoSpaceDN w:val="0"/>
        <w:adjustRightInd w:val="0"/>
        <w:spacing w:after="0" w:line="240" w:lineRule="auto"/>
        <w:ind w:right="22"/>
        <w:jc w:val="both"/>
        <w:rPr>
          <w:rFonts w:ascii="Verdana" w:eastAsia="Calibri" w:hAnsi="Verdana" w:cs="Verdana"/>
          <w:color w:val="000000"/>
          <w:sz w:val="20"/>
          <w:szCs w:val="20"/>
          <w:lang w:val="es-CR" w:eastAsia="es-ES"/>
        </w:rPr>
      </w:pPr>
    </w:p>
    <w:p w14:paraId="03D15DC4" w14:textId="184BD647" w:rsidR="000770E0" w:rsidRPr="00850F42" w:rsidRDefault="000770E0" w:rsidP="00EF5F56">
      <w:pPr>
        <w:pStyle w:val="ListParagraph"/>
        <w:numPr>
          <w:ilvl w:val="3"/>
          <w:numId w:val="6"/>
        </w:numPr>
        <w:tabs>
          <w:tab w:val="left" w:pos="567"/>
        </w:tabs>
        <w:spacing w:after="0"/>
        <w:ind w:left="0" w:firstLine="0"/>
        <w:rPr>
          <w:szCs w:val="20"/>
          <w:lang w:val="es-CR"/>
        </w:rPr>
      </w:pPr>
      <w:r w:rsidRPr="00850F42">
        <w:rPr>
          <w:rFonts w:cs="Verdana"/>
          <w:color w:val="000000"/>
          <w:szCs w:val="20"/>
          <w:lang w:val="es-CR"/>
        </w:rPr>
        <w:t xml:space="preserve">Requerir a la Comisión que informe a la persona convocada por la Corte para declarar que, según lo dispuesto en el artículo 54 del Reglamento, el Tribunal pondrá en conocimiento del Estado el caso en que la persona requerida para comparecer o declarar no comparecieren o rehusare deponer sin motivo legítimo o que, en el parecer de la misma Corte, hayan violado el juramento o la declaración solemne, para los fines previstos en la legislación nacional correspondiente. </w:t>
      </w:r>
    </w:p>
    <w:p w14:paraId="03D15DC9" w14:textId="77777777" w:rsidR="000770E0" w:rsidRPr="00850F42" w:rsidRDefault="000770E0" w:rsidP="00EF5F56">
      <w:pPr>
        <w:widowControl w:val="0"/>
        <w:autoSpaceDE w:val="0"/>
        <w:autoSpaceDN w:val="0"/>
        <w:adjustRightInd w:val="0"/>
        <w:spacing w:after="0" w:line="240" w:lineRule="auto"/>
        <w:ind w:right="22"/>
        <w:jc w:val="both"/>
        <w:rPr>
          <w:rFonts w:ascii="Verdana" w:eastAsia="Calibri" w:hAnsi="Verdana" w:cs="Verdana"/>
          <w:color w:val="000000"/>
          <w:sz w:val="20"/>
          <w:szCs w:val="20"/>
          <w:highlight w:val="yellow"/>
          <w:lang w:val="es-CR" w:eastAsia="es-ES"/>
        </w:rPr>
      </w:pPr>
    </w:p>
    <w:p w14:paraId="03D15DCA" w14:textId="74AA7A01" w:rsidR="000770E0" w:rsidRPr="00850F42" w:rsidRDefault="000770E0" w:rsidP="00EF5F56">
      <w:pPr>
        <w:pStyle w:val="ListParagraph"/>
        <w:numPr>
          <w:ilvl w:val="3"/>
          <w:numId w:val="6"/>
        </w:numPr>
        <w:tabs>
          <w:tab w:val="left" w:pos="567"/>
        </w:tabs>
        <w:spacing w:after="0"/>
        <w:ind w:left="0" w:firstLine="0"/>
        <w:rPr>
          <w:szCs w:val="20"/>
          <w:lang w:val="es-CR"/>
        </w:rPr>
      </w:pPr>
      <w:r w:rsidRPr="00850F42">
        <w:rPr>
          <w:rFonts w:cs="Verdana"/>
          <w:color w:val="000000"/>
          <w:szCs w:val="20"/>
          <w:lang w:val="es-CR"/>
        </w:rPr>
        <w:t xml:space="preserve">Informar a </w:t>
      </w:r>
      <w:r w:rsidRPr="00850F42">
        <w:rPr>
          <w:rFonts w:cs="Calibri"/>
          <w:color w:val="000000"/>
          <w:szCs w:val="20"/>
          <w:lang w:val="es-CR"/>
        </w:rPr>
        <w:t xml:space="preserve">los </w:t>
      </w:r>
      <w:r w:rsidRPr="00850F42">
        <w:rPr>
          <w:color w:val="000000"/>
          <w:szCs w:val="20"/>
          <w:lang w:val="es-CR"/>
        </w:rPr>
        <w:t>representantes</w:t>
      </w:r>
      <w:r w:rsidRPr="00850F42">
        <w:rPr>
          <w:rFonts w:cs="Calibri"/>
          <w:color w:val="000000"/>
          <w:szCs w:val="20"/>
          <w:lang w:val="es-CR"/>
        </w:rPr>
        <w:t xml:space="preserve">, </w:t>
      </w:r>
      <w:r w:rsidRPr="00850F42">
        <w:rPr>
          <w:rFonts w:cs="Verdana"/>
          <w:color w:val="000000"/>
          <w:szCs w:val="20"/>
          <w:lang w:val="es-CR"/>
        </w:rPr>
        <w:t>al Estado y a la Comisión Interamericana que, en los términos d</w:t>
      </w:r>
      <w:r w:rsidRPr="00850F42">
        <w:rPr>
          <w:rFonts w:cs="Calibri"/>
          <w:color w:val="000000"/>
          <w:szCs w:val="20"/>
          <w:lang w:val="es-CR"/>
        </w:rPr>
        <w:t>el artículo 56 del Reglamento,</w:t>
      </w:r>
      <w:r w:rsidRPr="00850F42">
        <w:rPr>
          <w:rFonts w:cs="Verdana"/>
          <w:color w:val="000000"/>
          <w:szCs w:val="20"/>
          <w:lang w:val="es-CR"/>
        </w:rPr>
        <w:t xml:space="preserve"> cuentan con un plazo hasta el </w:t>
      </w:r>
      <w:r w:rsidR="00C001B5">
        <w:rPr>
          <w:rFonts w:cs="Verdana"/>
          <w:color w:val="000000"/>
          <w:szCs w:val="20"/>
          <w:lang w:val="es-CR"/>
        </w:rPr>
        <w:t>4</w:t>
      </w:r>
      <w:r w:rsidRPr="00850F42">
        <w:rPr>
          <w:rFonts w:cs="Verdana"/>
          <w:color w:val="000000"/>
          <w:szCs w:val="20"/>
          <w:lang w:val="es-CR"/>
        </w:rPr>
        <w:t xml:space="preserve"> de </w:t>
      </w:r>
      <w:r w:rsidR="00C001B5">
        <w:rPr>
          <w:rFonts w:cs="Verdana"/>
          <w:color w:val="000000"/>
          <w:szCs w:val="20"/>
          <w:lang w:val="es-CR"/>
        </w:rPr>
        <w:t xml:space="preserve">febrero </w:t>
      </w:r>
      <w:r w:rsidRPr="00850F42">
        <w:rPr>
          <w:rFonts w:cs="Verdana"/>
          <w:color w:val="000000"/>
          <w:szCs w:val="20"/>
          <w:lang w:val="es-CR"/>
        </w:rPr>
        <w:t xml:space="preserve">de 2019 para presentar sus alegatos finales escritos y observaciones finales escritas, respectivamente, en relación con las excepciones preliminares, fondo y eventuales reparaciones y costas en el presente caso. Este plazo es improrrogable e independiente de la puesta a disposición de las partes de la grabación de la audiencia pública. </w:t>
      </w:r>
    </w:p>
    <w:p w14:paraId="03D15DCB" w14:textId="77777777" w:rsidR="000770E0" w:rsidRPr="00850F42" w:rsidRDefault="000770E0" w:rsidP="00EF5F56">
      <w:pPr>
        <w:widowControl w:val="0"/>
        <w:autoSpaceDE w:val="0"/>
        <w:autoSpaceDN w:val="0"/>
        <w:adjustRightInd w:val="0"/>
        <w:spacing w:after="0" w:line="240" w:lineRule="auto"/>
        <w:ind w:right="22"/>
        <w:jc w:val="both"/>
        <w:rPr>
          <w:rFonts w:ascii="Verdana" w:eastAsia="Calibri" w:hAnsi="Verdana" w:cs="Verdana"/>
          <w:color w:val="000000"/>
          <w:sz w:val="20"/>
          <w:szCs w:val="20"/>
          <w:highlight w:val="yellow"/>
          <w:lang w:val="es-CR" w:eastAsia="es-ES"/>
        </w:rPr>
      </w:pPr>
    </w:p>
    <w:p w14:paraId="03D15DCC" w14:textId="5F941764" w:rsidR="000770E0" w:rsidRPr="00850F42" w:rsidRDefault="000770E0" w:rsidP="00EF5F56">
      <w:pPr>
        <w:pStyle w:val="ListParagraph"/>
        <w:numPr>
          <w:ilvl w:val="3"/>
          <w:numId w:val="6"/>
        </w:numPr>
        <w:tabs>
          <w:tab w:val="left" w:pos="567"/>
        </w:tabs>
        <w:spacing w:after="0"/>
        <w:ind w:left="0" w:firstLine="0"/>
        <w:rPr>
          <w:szCs w:val="20"/>
          <w:lang w:val="es-CR"/>
        </w:rPr>
      </w:pPr>
      <w:r w:rsidRPr="00850F42">
        <w:rPr>
          <w:rFonts w:cs="Verdana"/>
          <w:color w:val="000000"/>
          <w:szCs w:val="20"/>
          <w:lang w:val="es-CR"/>
        </w:rPr>
        <w:t xml:space="preserve">Disponer que la Secretaría de la Corte Interamericana notifique la presente Resolución a la Comisión Interamericana, a los </w:t>
      </w:r>
      <w:r w:rsidRPr="00850F42">
        <w:rPr>
          <w:color w:val="000000"/>
          <w:szCs w:val="20"/>
          <w:lang w:val="es-CR"/>
        </w:rPr>
        <w:t xml:space="preserve">representantes </w:t>
      </w:r>
      <w:r w:rsidRPr="00850F42">
        <w:rPr>
          <w:rFonts w:cs="Verdana"/>
          <w:color w:val="000000"/>
          <w:szCs w:val="20"/>
          <w:lang w:val="es-CR"/>
        </w:rPr>
        <w:t xml:space="preserve">y al Estado. </w:t>
      </w:r>
    </w:p>
    <w:p w14:paraId="03D15DCD" w14:textId="77777777" w:rsidR="000770E0" w:rsidRPr="00AE2198" w:rsidRDefault="000770E0" w:rsidP="00EF5F56">
      <w:pPr>
        <w:tabs>
          <w:tab w:val="left" w:pos="567"/>
        </w:tabs>
        <w:spacing w:after="0" w:line="240" w:lineRule="auto"/>
        <w:jc w:val="both"/>
        <w:rPr>
          <w:rFonts w:ascii="Verdana" w:eastAsia="Calibri" w:hAnsi="Verdana" w:cs="Calibri"/>
          <w:sz w:val="20"/>
          <w:szCs w:val="20"/>
        </w:rPr>
      </w:pPr>
    </w:p>
    <w:p w14:paraId="03D15DCE" w14:textId="77777777" w:rsidR="000770E0" w:rsidRPr="00AE2198" w:rsidRDefault="000770E0" w:rsidP="00EF5F56">
      <w:pPr>
        <w:tabs>
          <w:tab w:val="left" w:pos="567"/>
        </w:tabs>
        <w:spacing w:after="0" w:line="240" w:lineRule="auto"/>
        <w:jc w:val="both"/>
        <w:rPr>
          <w:rFonts w:ascii="Verdana" w:eastAsia="Calibri" w:hAnsi="Verdana" w:cs="Calibri"/>
          <w:sz w:val="20"/>
          <w:szCs w:val="20"/>
        </w:rPr>
      </w:pPr>
    </w:p>
    <w:p w14:paraId="19C5BD59" w14:textId="77777777" w:rsidR="00997AD1" w:rsidRPr="00AE2198" w:rsidRDefault="00997AD1" w:rsidP="00EF5F56">
      <w:pPr>
        <w:tabs>
          <w:tab w:val="left" w:pos="567"/>
        </w:tabs>
        <w:spacing w:after="0" w:line="240" w:lineRule="auto"/>
        <w:jc w:val="both"/>
        <w:rPr>
          <w:rFonts w:ascii="Verdana" w:eastAsia="Calibri" w:hAnsi="Verdana" w:cs="Calibri"/>
          <w:sz w:val="20"/>
          <w:szCs w:val="20"/>
        </w:rPr>
      </w:pPr>
    </w:p>
    <w:p w14:paraId="03D15DD4" w14:textId="78D78B5B" w:rsidR="000770E0" w:rsidRPr="00365273" w:rsidRDefault="000770E0" w:rsidP="00EF5F56">
      <w:pPr>
        <w:tabs>
          <w:tab w:val="left" w:pos="567"/>
        </w:tabs>
        <w:spacing w:after="0" w:line="240" w:lineRule="auto"/>
        <w:jc w:val="both"/>
        <w:rPr>
          <w:rFonts w:ascii="Verdana" w:eastAsia="Calibri" w:hAnsi="Verdana" w:cs="Verdana"/>
          <w:bCs/>
          <w:i/>
          <w:sz w:val="20"/>
          <w:szCs w:val="20"/>
          <w:lang w:val="es-ES"/>
        </w:rPr>
      </w:pPr>
      <w:r w:rsidRPr="00AE2198">
        <w:rPr>
          <w:rFonts w:ascii="Verdana" w:eastAsia="Calibri" w:hAnsi="Verdana" w:cs="Verdana"/>
          <w:bCs/>
          <w:sz w:val="20"/>
          <w:szCs w:val="20"/>
          <w:lang w:val="es-ES"/>
        </w:rPr>
        <w:lastRenderedPageBreak/>
        <w:t xml:space="preserve">Resolución del Presidente de la Corte Interamericana de Derechos Humanos. </w:t>
      </w:r>
      <w:r w:rsidRPr="00365273">
        <w:rPr>
          <w:rFonts w:ascii="Verdana" w:eastAsia="Calibri" w:hAnsi="Verdana" w:cs="Verdana"/>
          <w:bCs/>
          <w:i/>
          <w:sz w:val="20"/>
          <w:szCs w:val="20"/>
          <w:lang w:val="es-ES"/>
        </w:rPr>
        <w:t xml:space="preserve">Caso </w:t>
      </w:r>
      <w:proofErr w:type="spellStart"/>
      <w:r w:rsidRPr="00365273">
        <w:rPr>
          <w:rFonts w:ascii="Verdana" w:eastAsia="Calibri" w:hAnsi="Verdana" w:cs="Calibri"/>
          <w:i/>
          <w:sz w:val="20"/>
          <w:lang w:val="es-CR"/>
        </w:rPr>
        <w:t>Perrone</w:t>
      </w:r>
      <w:proofErr w:type="spellEnd"/>
      <w:r w:rsidRPr="00365273">
        <w:rPr>
          <w:rFonts w:ascii="Verdana" w:eastAsia="Calibri" w:hAnsi="Verdana" w:cs="Calibri"/>
          <w:i/>
          <w:sz w:val="20"/>
          <w:lang w:val="es-CR"/>
        </w:rPr>
        <w:t xml:space="preserve"> y </w:t>
      </w:r>
      <w:proofErr w:type="spellStart"/>
      <w:r w:rsidRPr="00365273">
        <w:rPr>
          <w:rFonts w:ascii="Verdana" w:eastAsia="Calibri" w:hAnsi="Verdana" w:cs="Calibri"/>
          <w:i/>
          <w:sz w:val="20"/>
          <w:lang w:val="es-CR"/>
        </w:rPr>
        <w:t>Preckel</w:t>
      </w:r>
      <w:proofErr w:type="spellEnd"/>
      <w:r w:rsidRPr="00365273">
        <w:rPr>
          <w:rFonts w:ascii="Verdana" w:eastAsia="Calibri" w:hAnsi="Verdana" w:cs="Calibri"/>
          <w:i/>
          <w:sz w:val="20"/>
          <w:lang w:val="es-CR"/>
        </w:rPr>
        <w:t xml:space="preserve"> </w:t>
      </w:r>
      <w:r w:rsidRPr="00365273">
        <w:rPr>
          <w:rFonts w:ascii="Verdana" w:eastAsia="Calibri" w:hAnsi="Verdana" w:cs="Verdana"/>
          <w:bCs/>
          <w:i/>
          <w:sz w:val="20"/>
          <w:szCs w:val="20"/>
          <w:lang w:val="es-ES"/>
        </w:rPr>
        <w:t xml:space="preserve">Vs. </w:t>
      </w:r>
      <w:r w:rsidRPr="00365273">
        <w:rPr>
          <w:rFonts w:ascii="Verdana" w:eastAsia="Calibri" w:hAnsi="Verdana" w:cs="Calibri"/>
          <w:i/>
          <w:sz w:val="20"/>
          <w:lang w:val="es-CR"/>
        </w:rPr>
        <w:t>Argentina</w:t>
      </w:r>
      <w:r w:rsidRPr="00365273">
        <w:rPr>
          <w:rFonts w:ascii="Verdana" w:eastAsia="Calibri" w:hAnsi="Verdana" w:cs="Verdana"/>
          <w:bCs/>
          <w:i/>
          <w:sz w:val="20"/>
          <w:szCs w:val="20"/>
          <w:lang w:val="es-ES"/>
        </w:rPr>
        <w:t>.</w:t>
      </w:r>
    </w:p>
    <w:p w14:paraId="03D15DD5" w14:textId="77777777" w:rsidR="000770E0" w:rsidRPr="00365273" w:rsidRDefault="000770E0" w:rsidP="00EF5F56">
      <w:pPr>
        <w:tabs>
          <w:tab w:val="left" w:pos="567"/>
        </w:tabs>
        <w:spacing w:after="0" w:line="240" w:lineRule="auto"/>
        <w:jc w:val="both"/>
        <w:rPr>
          <w:rFonts w:ascii="Verdana" w:eastAsia="Calibri" w:hAnsi="Verdana" w:cs="Verdana"/>
          <w:bCs/>
          <w:i/>
          <w:sz w:val="20"/>
          <w:szCs w:val="20"/>
          <w:lang w:val="es-ES"/>
        </w:rPr>
      </w:pPr>
    </w:p>
    <w:p w14:paraId="2AE068CF" w14:textId="77777777" w:rsidR="00EF634A" w:rsidRDefault="00EF634A" w:rsidP="00EF5F56">
      <w:pPr>
        <w:tabs>
          <w:tab w:val="left" w:pos="567"/>
          <w:tab w:val="left" w:pos="6663"/>
        </w:tabs>
        <w:spacing w:after="0" w:line="240" w:lineRule="auto"/>
        <w:jc w:val="both"/>
        <w:rPr>
          <w:rFonts w:ascii="Verdana" w:eastAsia="Calibri" w:hAnsi="Verdana" w:cs="Calibri"/>
          <w:sz w:val="20"/>
          <w:szCs w:val="20"/>
        </w:rPr>
      </w:pPr>
    </w:p>
    <w:p w14:paraId="3B904913" w14:textId="77777777" w:rsidR="0039393B" w:rsidRDefault="0039393B" w:rsidP="00EF5F56">
      <w:pPr>
        <w:tabs>
          <w:tab w:val="left" w:pos="567"/>
          <w:tab w:val="left" w:pos="6663"/>
        </w:tabs>
        <w:spacing w:after="0" w:line="240" w:lineRule="auto"/>
        <w:jc w:val="both"/>
        <w:rPr>
          <w:rFonts w:ascii="Verdana" w:eastAsia="Calibri" w:hAnsi="Verdana" w:cs="Calibri"/>
          <w:sz w:val="20"/>
          <w:szCs w:val="20"/>
        </w:rPr>
      </w:pPr>
    </w:p>
    <w:p w14:paraId="1BA7FCD8" w14:textId="77777777" w:rsidR="0039393B" w:rsidRDefault="0039393B" w:rsidP="00EF5F56">
      <w:pPr>
        <w:tabs>
          <w:tab w:val="left" w:pos="567"/>
          <w:tab w:val="left" w:pos="6663"/>
        </w:tabs>
        <w:spacing w:after="0" w:line="240" w:lineRule="auto"/>
        <w:jc w:val="both"/>
        <w:rPr>
          <w:rFonts w:ascii="Verdana" w:eastAsia="Calibri" w:hAnsi="Verdana" w:cs="Calibri"/>
          <w:sz w:val="20"/>
          <w:szCs w:val="20"/>
        </w:rPr>
      </w:pPr>
    </w:p>
    <w:p w14:paraId="671B348D" w14:textId="000A1826" w:rsidR="0039393B" w:rsidRDefault="0039393B" w:rsidP="00EF5F56">
      <w:pPr>
        <w:tabs>
          <w:tab w:val="left" w:pos="567"/>
          <w:tab w:val="left" w:pos="6663"/>
        </w:tabs>
        <w:spacing w:after="0" w:line="240" w:lineRule="auto"/>
        <w:jc w:val="both"/>
        <w:rPr>
          <w:rFonts w:ascii="Verdana" w:eastAsia="Calibri" w:hAnsi="Verdana" w:cs="Calibri"/>
          <w:sz w:val="20"/>
          <w:szCs w:val="20"/>
        </w:rPr>
      </w:pPr>
    </w:p>
    <w:p w14:paraId="7E219A4C" w14:textId="66A11DA3" w:rsidR="00EF634A" w:rsidRPr="00AE2198" w:rsidRDefault="00EF634A" w:rsidP="00EF634A">
      <w:pPr>
        <w:tabs>
          <w:tab w:val="left" w:pos="567"/>
          <w:tab w:val="left" w:pos="6663"/>
        </w:tabs>
        <w:spacing w:after="0" w:line="240" w:lineRule="auto"/>
        <w:ind w:right="1170"/>
        <w:jc w:val="right"/>
        <w:rPr>
          <w:rFonts w:ascii="Verdana" w:eastAsia="Calibri" w:hAnsi="Verdana" w:cs="Calibri"/>
          <w:sz w:val="20"/>
          <w:szCs w:val="20"/>
        </w:rPr>
      </w:pPr>
    </w:p>
    <w:p w14:paraId="03D15DD8" w14:textId="17B7FB64" w:rsidR="000770E0" w:rsidRPr="00AE2198" w:rsidRDefault="000770E0" w:rsidP="00EF5F56">
      <w:pPr>
        <w:tabs>
          <w:tab w:val="left" w:pos="567"/>
        </w:tabs>
        <w:spacing w:after="0" w:line="240" w:lineRule="auto"/>
        <w:ind w:left="4253"/>
        <w:jc w:val="center"/>
        <w:rPr>
          <w:rFonts w:ascii="Verdana" w:eastAsia="Calibri" w:hAnsi="Verdana" w:cs="Calibri"/>
          <w:sz w:val="20"/>
          <w:szCs w:val="20"/>
          <w:lang w:val="pt-BR"/>
        </w:rPr>
      </w:pPr>
      <w:r w:rsidRPr="005574E1">
        <w:rPr>
          <w:rFonts w:ascii="Verdana" w:eastAsia="Calibri" w:hAnsi="Verdana" w:cs="Calibri"/>
          <w:sz w:val="20"/>
          <w:szCs w:val="20"/>
        </w:rPr>
        <w:t>Eduardo Ferrer Mac-Gregor Poisot</w:t>
      </w:r>
    </w:p>
    <w:p w14:paraId="03D15DD9" w14:textId="77777777" w:rsidR="000770E0" w:rsidRPr="00AE2198" w:rsidRDefault="000770E0" w:rsidP="00EF5F56">
      <w:pPr>
        <w:tabs>
          <w:tab w:val="left" w:pos="567"/>
        </w:tabs>
        <w:spacing w:after="0" w:line="240" w:lineRule="auto"/>
        <w:ind w:left="4253"/>
        <w:jc w:val="center"/>
        <w:rPr>
          <w:rFonts w:ascii="Verdana" w:eastAsia="Calibri" w:hAnsi="Verdana" w:cs="Calibri"/>
          <w:sz w:val="20"/>
          <w:szCs w:val="20"/>
          <w:lang w:val="pt-BR"/>
        </w:rPr>
      </w:pPr>
      <w:r w:rsidRPr="00AE2198">
        <w:rPr>
          <w:rFonts w:ascii="Verdana" w:eastAsia="Calibri" w:hAnsi="Verdana" w:cs="Calibri"/>
          <w:sz w:val="20"/>
          <w:szCs w:val="20"/>
          <w:lang w:val="pt-BR"/>
        </w:rPr>
        <w:t>Presidente</w:t>
      </w:r>
      <w:r>
        <w:rPr>
          <w:rFonts w:ascii="Verdana" w:eastAsia="Calibri" w:hAnsi="Verdana" w:cs="Calibri"/>
          <w:sz w:val="20"/>
          <w:szCs w:val="20"/>
          <w:lang w:val="pt-BR"/>
        </w:rPr>
        <w:t xml:space="preserve"> </w:t>
      </w:r>
    </w:p>
    <w:p w14:paraId="03D15DDC" w14:textId="77777777" w:rsidR="000770E0" w:rsidRDefault="000770E0" w:rsidP="00EF5F56">
      <w:pPr>
        <w:tabs>
          <w:tab w:val="left" w:pos="567"/>
          <w:tab w:val="left" w:pos="2835"/>
        </w:tabs>
        <w:spacing w:after="0" w:line="240" w:lineRule="auto"/>
        <w:ind w:right="6003"/>
        <w:rPr>
          <w:rFonts w:ascii="Verdana" w:eastAsia="Calibri" w:hAnsi="Verdana" w:cs="Calibri"/>
          <w:sz w:val="20"/>
          <w:szCs w:val="20"/>
          <w:lang w:val="es-ES"/>
        </w:rPr>
      </w:pPr>
    </w:p>
    <w:p w14:paraId="7D0421AD" w14:textId="77777777" w:rsidR="0039393B" w:rsidRDefault="0039393B" w:rsidP="00EF5F56">
      <w:pPr>
        <w:tabs>
          <w:tab w:val="left" w:pos="567"/>
          <w:tab w:val="left" w:pos="2835"/>
        </w:tabs>
        <w:spacing w:after="0" w:line="240" w:lineRule="auto"/>
        <w:ind w:right="6003"/>
        <w:rPr>
          <w:rFonts w:ascii="Verdana" w:eastAsia="Calibri" w:hAnsi="Verdana" w:cs="Calibri"/>
          <w:sz w:val="20"/>
          <w:szCs w:val="20"/>
          <w:lang w:val="es-ES"/>
        </w:rPr>
      </w:pPr>
    </w:p>
    <w:p w14:paraId="53F5A013" w14:textId="77777777" w:rsidR="0039393B" w:rsidRDefault="0039393B" w:rsidP="00EF5F56">
      <w:pPr>
        <w:tabs>
          <w:tab w:val="left" w:pos="567"/>
          <w:tab w:val="left" w:pos="2835"/>
        </w:tabs>
        <w:spacing w:after="0" w:line="240" w:lineRule="auto"/>
        <w:ind w:right="6003"/>
        <w:rPr>
          <w:rFonts w:ascii="Verdana" w:eastAsia="Calibri" w:hAnsi="Verdana" w:cs="Calibri"/>
          <w:sz w:val="20"/>
          <w:szCs w:val="20"/>
          <w:lang w:val="es-ES"/>
        </w:rPr>
      </w:pPr>
    </w:p>
    <w:p w14:paraId="228CEF39" w14:textId="77777777" w:rsidR="0039393B" w:rsidRPr="00AE2198" w:rsidRDefault="0039393B" w:rsidP="00EF5F56">
      <w:pPr>
        <w:tabs>
          <w:tab w:val="left" w:pos="567"/>
          <w:tab w:val="left" w:pos="2835"/>
        </w:tabs>
        <w:spacing w:after="0" w:line="240" w:lineRule="auto"/>
        <w:ind w:right="6003"/>
        <w:rPr>
          <w:rFonts w:ascii="Verdana" w:eastAsia="Calibri" w:hAnsi="Verdana" w:cs="Calibri"/>
          <w:sz w:val="20"/>
          <w:szCs w:val="20"/>
          <w:lang w:val="es-ES"/>
        </w:rPr>
      </w:pPr>
    </w:p>
    <w:p w14:paraId="03D15DDD" w14:textId="2B19552D" w:rsidR="000770E0" w:rsidRPr="00AE2198" w:rsidRDefault="000770E0" w:rsidP="00EF5F56">
      <w:pPr>
        <w:tabs>
          <w:tab w:val="left" w:pos="567"/>
          <w:tab w:val="left" w:pos="2835"/>
        </w:tabs>
        <w:spacing w:after="0" w:line="240" w:lineRule="auto"/>
        <w:ind w:right="6003"/>
        <w:rPr>
          <w:rFonts w:ascii="Verdana" w:eastAsia="Calibri" w:hAnsi="Verdana" w:cs="Calibri"/>
          <w:sz w:val="20"/>
          <w:szCs w:val="20"/>
          <w:lang w:val="es-ES"/>
        </w:rPr>
      </w:pPr>
    </w:p>
    <w:p w14:paraId="03D15DDE" w14:textId="77777777" w:rsidR="000770E0" w:rsidRPr="00AE2198" w:rsidRDefault="000770E0" w:rsidP="00EF5F56">
      <w:pPr>
        <w:tabs>
          <w:tab w:val="left" w:pos="567"/>
          <w:tab w:val="left" w:pos="2835"/>
        </w:tabs>
        <w:spacing w:after="0" w:line="240" w:lineRule="auto"/>
        <w:ind w:right="6003"/>
        <w:rPr>
          <w:rFonts w:ascii="Verdana" w:eastAsia="Calibri" w:hAnsi="Verdana" w:cs="Calibri"/>
          <w:sz w:val="20"/>
          <w:szCs w:val="20"/>
          <w:lang w:val="es-ES"/>
        </w:rPr>
      </w:pPr>
      <w:r w:rsidRPr="00AE2198">
        <w:rPr>
          <w:rFonts w:ascii="Verdana" w:eastAsia="Calibri" w:hAnsi="Verdana" w:cs="Calibri"/>
          <w:sz w:val="20"/>
          <w:szCs w:val="20"/>
          <w:lang w:val="es-ES"/>
        </w:rPr>
        <w:t>Pablo Saavedra Alessandri</w:t>
      </w:r>
    </w:p>
    <w:p w14:paraId="03D15DDF" w14:textId="77777777" w:rsidR="000770E0" w:rsidRPr="00AE2198" w:rsidRDefault="000770E0" w:rsidP="00EF5F56">
      <w:pPr>
        <w:tabs>
          <w:tab w:val="left" w:pos="567"/>
          <w:tab w:val="left" w:pos="2835"/>
        </w:tabs>
        <w:spacing w:after="0" w:line="240" w:lineRule="auto"/>
        <w:ind w:right="6003"/>
        <w:rPr>
          <w:rFonts w:ascii="Verdana" w:eastAsia="Calibri" w:hAnsi="Verdana" w:cs="Calibri"/>
          <w:sz w:val="20"/>
          <w:szCs w:val="20"/>
          <w:lang w:val="es-ES"/>
        </w:rPr>
      </w:pPr>
      <w:r>
        <w:rPr>
          <w:rFonts w:ascii="Verdana" w:eastAsia="Calibri" w:hAnsi="Verdana" w:cs="Calibri"/>
          <w:sz w:val="20"/>
          <w:szCs w:val="20"/>
          <w:lang w:val="es-ES"/>
        </w:rPr>
        <w:tab/>
        <w:t xml:space="preserve">  </w:t>
      </w:r>
      <w:r w:rsidRPr="00AE2198">
        <w:rPr>
          <w:rFonts w:ascii="Verdana" w:eastAsia="Calibri" w:hAnsi="Verdana" w:cs="Calibri"/>
          <w:sz w:val="20"/>
          <w:szCs w:val="20"/>
          <w:lang w:val="es-ES"/>
        </w:rPr>
        <w:t>Secretario</w:t>
      </w:r>
    </w:p>
    <w:p w14:paraId="03D15DE0" w14:textId="77777777" w:rsidR="000770E0" w:rsidRPr="00AE2198" w:rsidRDefault="000770E0" w:rsidP="00EF5F56">
      <w:pPr>
        <w:tabs>
          <w:tab w:val="left" w:pos="567"/>
        </w:tabs>
        <w:spacing w:after="0" w:line="240" w:lineRule="auto"/>
        <w:jc w:val="both"/>
        <w:rPr>
          <w:rFonts w:ascii="Verdana" w:eastAsia="Calibri" w:hAnsi="Verdana" w:cs="Calibri"/>
          <w:sz w:val="20"/>
          <w:szCs w:val="20"/>
        </w:rPr>
      </w:pPr>
    </w:p>
    <w:p w14:paraId="03D15DE2" w14:textId="77777777" w:rsidR="000770E0" w:rsidRPr="00AE2198" w:rsidRDefault="000770E0" w:rsidP="00EF5F56">
      <w:pPr>
        <w:tabs>
          <w:tab w:val="left" w:pos="567"/>
        </w:tabs>
        <w:spacing w:after="0" w:line="240" w:lineRule="auto"/>
        <w:jc w:val="both"/>
        <w:rPr>
          <w:rFonts w:ascii="Verdana" w:eastAsia="Calibri" w:hAnsi="Verdana" w:cs="Calibri"/>
          <w:sz w:val="20"/>
          <w:szCs w:val="20"/>
        </w:rPr>
      </w:pPr>
    </w:p>
    <w:p w14:paraId="03D15DE3" w14:textId="77777777" w:rsidR="000770E0" w:rsidRPr="00AE2198" w:rsidRDefault="000770E0" w:rsidP="00EF5F56">
      <w:pPr>
        <w:tabs>
          <w:tab w:val="left" w:pos="567"/>
        </w:tabs>
        <w:spacing w:after="0" w:line="240" w:lineRule="auto"/>
        <w:jc w:val="both"/>
        <w:rPr>
          <w:rFonts w:ascii="Verdana" w:eastAsia="Calibri" w:hAnsi="Verdana" w:cs="Calibri"/>
          <w:noProof/>
          <w:sz w:val="20"/>
          <w:szCs w:val="20"/>
          <w:lang w:val="es-CR" w:eastAsia="es-CR"/>
        </w:rPr>
      </w:pPr>
      <w:r w:rsidRPr="00AE2198">
        <w:rPr>
          <w:rFonts w:ascii="Verdana" w:eastAsia="Calibri" w:hAnsi="Verdana" w:cs="Calibri"/>
          <w:sz w:val="20"/>
          <w:szCs w:val="20"/>
        </w:rPr>
        <w:t>Comuníquese y ejecútese,</w:t>
      </w:r>
      <w:r w:rsidRPr="00AE2198">
        <w:rPr>
          <w:rFonts w:ascii="Verdana" w:eastAsia="Calibri" w:hAnsi="Verdana" w:cs="Calibri"/>
          <w:noProof/>
          <w:sz w:val="20"/>
          <w:szCs w:val="20"/>
          <w:lang w:val="es-CR" w:eastAsia="es-CR"/>
        </w:rPr>
        <w:t xml:space="preserve"> </w:t>
      </w:r>
    </w:p>
    <w:p w14:paraId="03D15DE5" w14:textId="1E4D2779" w:rsidR="000770E0" w:rsidRPr="00AE2198" w:rsidRDefault="000770E0" w:rsidP="00EF5F56">
      <w:pPr>
        <w:tabs>
          <w:tab w:val="left" w:pos="567"/>
        </w:tabs>
        <w:spacing w:after="0" w:line="240" w:lineRule="auto"/>
        <w:jc w:val="both"/>
        <w:rPr>
          <w:rFonts w:ascii="Verdana" w:eastAsia="Calibri" w:hAnsi="Verdana" w:cs="Calibri"/>
          <w:sz w:val="20"/>
          <w:szCs w:val="20"/>
        </w:rPr>
      </w:pPr>
    </w:p>
    <w:p w14:paraId="03D15DE6" w14:textId="5F6FA22D" w:rsidR="000770E0" w:rsidRDefault="000770E0" w:rsidP="00EF5F56">
      <w:pPr>
        <w:tabs>
          <w:tab w:val="left" w:pos="567"/>
        </w:tabs>
        <w:spacing w:after="0" w:line="240" w:lineRule="auto"/>
        <w:ind w:left="4536"/>
        <w:jc w:val="center"/>
        <w:rPr>
          <w:rFonts w:ascii="Verdana" w:eastAsia="Calibri" w:hAnsi="Verdana" w:cs="Calibri"/>
          <w:noProof/>
          <w:sz w:val="20"/>
          <w:szCs w:val="20"/>
          <w:lang w:val="es-CR" w:eastAsia="es-CR"/>
        </w:rPr>
      </w:pPr>
    </w:p>
    <w:p w14:paraId="58AD9062" w14:textId="491E7530" w:rsidR="0039393B" w:rsidRDefault="0039393B" w:rsidP="00EF5F56">
      <w:pPr>
        <w:tabs>
          <w:tab w:val="left" w:pos="567"/>
        </w:tabs>
        <w:spacing w:after="0" w:line="240" w:lineRule="auto"/>
        <w:ind w:left="4536"/>
        <w:jc w:val="center"/>
        <w:rPr>
          <w:rFonts w:ascii="Verdana" w:eastAsia="Calibri" w:hAnsi="Verdana" w:cs="Calibri"/>
          <w:noProof/>
          <w:sz w:val="20"/>
          <w:szCs w:val="20"/>
          <w:lang w:val="es-CR" w:eastAsia="es-CR"/>
        </w:rPr>
      </w:pPr>
    </w:p>
    <w:p w14:paraId="1588EFFF" w14:textId="77777777" w:rsidR="0039393B" w:rsidRDefault="0039393B" w:rsidP="00EF5F56">
      <w:pPr>
        <w:tabs>
          <w:tab w:val="left" w:pos="567"/>
        </w:tabs>
        <w:spacing w:after="0" w:line="240" w:lineRule="auto"/>
        <w:ind w:left="4536"/>
        <w:jc w:val="center"/>
        <w:rPr>
          <w:rFonts w:ascii="Verdana" w:eastAsia="Calibri" w:hAnsi="Verdana" w:cs="Calibri"/>
          <w:noProof/>
          <w:sz w:val="20"/>
          <w:szCs w:val="20"/>
          <w:lang w:val="es-CR" w:eastAsia="es-CR"/>
        </w:rPr>
      </w:pPr>
    </w:p>
    <w:p w14:paraId="416BCECC" w14:textId="3E08E2F6" w:rsidR="0039393B" w:rsidRDefault="0039393B" w:rsidP="00EF5F56">
      <w:pPr>
        <w:tabs>
          <w:tab w:val="left" w:pos="567"/>
        </w:tabs>
        <w:spacing w:after="0" w:line="240" w:lineRule="auto"/>
        <w:ind w:left="4536"/>
        <w:jc w:val="center"/>
        <w:rPr>
          <w:rFonts w:ascii="Verdana" w:eastAsia="Calibri" w:hAnsi="Verdana" w:cs="Calibri"/>
          <w:noProof/>
          <w:sz w:val="20"/>
          <w:szCs w:val="20"/>
          <w:lang w:val="es-CR" w:eastAsia="es-CR"/>
        </w:rPr>
      </w:pPr>
    </w:p>
    <w:p w14:paraId="5FE934AF" w14:textId="10F0133F" w:rsidR="0039393B" w:rsidRDefault="0039393B" w:rsidP="00EF5F56">
      <w:pPr>
        <w:tabs>
          <w:tab w:val="left" w:pos="567"/>
        </w:tabs>
        <w:spacing w:after="0" w:line="240" w:lineRule="auto"/>
        <w:ind w:left="4536"/>
        <w:jc w:val="center"/>
        <w:rPr>
          <w:rFonts w:ascii="Verdana" w:eastAsia="Calibri" w:hAnsi="Verdana" w:cs="Calibri"/>
          <w:noProof/>
          <w:sz w:val="20"/>
          <w:szCs w:val="20"/>
          <w:lang w:val="es-CR" w:eastAsia="es-CR"/>
        </w:rPr>
      </w:pPr>
    </w:p>
    <w:p w14:paraId="10970FD8" w14:textId="0FBBBB52" w:rsidR="0039393B" w:rsidRPr="00AE2198" w:rsidRDefault="0039393B" w:rsidP="00EF5F56">
      <w:pPr>
        <w:tabs>
          <w:tab w:val="left" w:pos="567"/>
        </w:tabs>
        <w:spacing w:after="0" w:line="240" w:lineRule="auto"/>
        <w:ind w:left="4536"/>
        <w:jc w:val="center"/>
        <w:rPr>
          <w:rFonts w:ascii="Verdana" w:eastAsia="Calibri" w:hAnsi="Verdana" w:cs="Calibri"/>
          <w:sz w:val="20"/>
          <w:szCs w:val="20"/>
          <w:lang w:val="pt-BR"/>
        </w:rPr>
      </w:pPr>
    </w:p>
    <w:p w14:paraId="03D15DE7" w14:textId="77777777" w:rsidR="000770E0" w:rsidRPr="00FC7FFB" w:rsidRDefault="000770E0" w:rsidP="00EF5F56">
      <w:pPr>
        <w:tabs>
          <w:tab w:val="left" w:pos="567"/>
        </w:tabs>
        <w:spacing w:after="0" w:line="240" w:lineRule="auto"/>
        <w:ind w:left="4536"/>
        <w:jc w:val="center"/>
        <w:rPr>
          <w:rFonts w:ascii="Verdana" w:eastAsia="Calibri" w:hAnsi="Verdana" w:cs="Calibri"/>
          <w:sz w:val="20"/>
          <w:szCs w:val="20"/>
          <w:lang w:val="pt-BR"/>
        </w:rPr>
      </w:pPr>
      <w:r w:rsidRPr="00FC7FFB">
        <w:rPr>
          <w:rFonts w:ascii="Verdana" w:eastAsia="Calibri" w:hAnsi="Verdana" w:cs="Calibri"/>
          <w:sz w:val="20"/>
          <w:szCs w:val="20"/>
        </w:rPr>
        <w:t>Eduardo Ferrer Mac-Gregor Poisot</w:t>
      </w:r>
    </w:p>
    <w:p w14:paraId="03D15DE8" w14:textId="77777777" w:rsidR="000770E0" w:rsidRPr="00AE2198" w:rsidRDefault="000770E0" w:rsidP="00EF5F56">
      <w:pPr>
        <w:tabs>
          <w:tab w:val="left" w:pos="567"/>
        </w:tabs>
        <w:spacing w:after="0" w:line="240" w:lineRule="auto"/>
        <w:ind w:left="4536"/>
        <w:jc w:val="center"/>
        <w:rPr>
          <w:rFonts w:ascii="Verdana" w:eastAsia="Calibri" w:hAnsi="Verdana" w:cs="Calibri"/>
          <w:sz w:val="20"/>
          <w:szCs w:val="20"/>
        </w:rPr>
      </w:pPr>
      <w:r w:rsidRPr="00FC7FFB">
        <w:rPr>
          <w:rFonts w:ascii="Verdana" w:eastAsia="Calibri" w:hAnsi="Verdana" w:cs="Calibri"/>
          <w:sz w:val="20"/>
          <w:szCs w:val="20"/>
          <w:lang w:val="pt-BR"/>
        </w:rPr>
        <w:t xml:space="preserve">Presidente </w:t>
      </w:r>
    </w:p>
    <w:p w14:paraId="03D15DE9" w14:textId="77777777" w:rsidR="000770E0" w:rsidRDefault="000770E0" w:rsidP="00EF5F56">
      <w:pPr>
        <w:tabs>
          <w:tab w:val="left" w:pos="567"/>
        </w:tabs>
        <w:spacing w:after="0" w:line="240" w:lineRule="auto"/>
        <w:ind w:right="6003"/>
        <w:rPr>
          <w:rFonts w:ascii="Verdana" w:eastAsia="Calibri" w:hAnsi="Verdana" w:cs="Calibri"/>
          <w:sz w:val="20"/>
          <w:szCs w:val="20"/>
        </w:rPr>
      </w:pPr>
    </w:p>
    <w:p w14:paraId="7CE9C561" w14:textId="77777777" w:rsidR="0074348C" w:rsidRPr="00AE2198" w:rsidRDefault="0074348C" w:rsidP="00EF5F56">
      <w:pPr>
        <w:tabs>
          <w:tab w:val="left" w:pos="567"/>
        </w:tabs>
        <w:spacing w:after="0" w:line="240" w:lineRule="auto"/>
        <w:ind w:right="6003"/>
        <w:rPr>
          <w:rFonts w:ascii="Verdana" w:eastAsia="Calibri" w:hAnsi="Verdana" w:cs="Calibri"/>
          <w:sz w:val="20"/>
          <w:szCs w:val="20"/>
        </w:rPr>
      </w:pPr>
    </w:p>
    <w:p w14:paraId="03D15DEA" w14:textId="77777777" w:rsidR="000770E0" w:rsidRPr="00AE2198" w:rsidRDefault="000770E0" w:rsidP="00EF5F56">
      <w:pPr>
        <w:tabs>
          <w:tab w:val="left" w:pos="567"/>
        </w:tabs>
        <w:spacing w:after="0" w:line="240" w:lineRule="auto"/>
        <w:ind w:right="6003"/>
        <w:rPr>
          <w:rFonts w:ascii="Verdana" w:eastAsia="Calibri" w:hAnsi="Verdana" w:cs="Calibri"/>
          <w:sz w:val="20"/>
          <w:szCs w:val="20"/>
        </w:rPr>
      </w:pPr>
    </w:p>
    <w:p w14:paraId="03D15DEC" w14:textId="486C07D9" w:rsidR="000770E0" w:rsidRDefault="000770E0" w:rsidP="00EF5F56">
      <w:pPr>
        <w:tabs>
          <w:tab w:val="left" w:pos="567"/>
        </w:tabs>
        <w:spacing w:after="0" w:line="240" w:lineRule="auto"/>
        <w:ind w:right="6003"/>
        <w:rPr>
          <w:rFonts w:ascii="Verdana" w:eastAsia="Calibri" w:hAnsi="Verdana" w:cs="Calibri"/>
          <w:sz w:val="20"/>
          <w:szCs w:val="20"/>
        </w:rPr>
      </w:pPr>
    </w:p>
    <w:p w14:paraId="0D23F9E3" w14:textId="77777777" w:rsidR="0074348C" w:rsidRPr="00AE2198" w:rsidRDefault="0074348C" w:rsidP="00EF5F56">
      <w:pPr>
        <w:tabs>
          <w:tab w:val="left" w:pos="567"/>
        </w:tabs>
        <w:spacing w:after="0" w:line="240" w:lineRule="auto"/>
        <w:ind w:right="6003"/>
        <w:rPr>
          <w:rFonts w:ascii="Verdana" w:eastAsia="Calibri" w:hAnsi="Verdana" w:cs="Calibri"/>
          <w:sz w:val="20"/>
          <w:szCs w:val="20"/>
        </w:rPr>
      </w:pPr>
    </w:p>
    <w:p w14:paraId="03D15DED" w14:textId="77777777" w:rsidR="000770E0" w:rsidRPr="00AE2198" w:rsidRDefault="000770E0" w:rsidP="00EF5F56">
      <w:pPr>
        <w:tabs>
          <w:tab w:val="left" w:pos="567"/>
        </w:tabs>
        <w:spacing w:after="0" w:line="240" w:lineRule="auto"/>
        <w:ind w:right="6003"/>
        <w:rPr>
          <w:rFonts w:ascii="Verdana" w:eastAsia="Calibri" w:hAnsi="Verdana" w:cs="Calibri"/>
          <w:sz w:val="20"/>
          <w:szCs w:val="20"/>
        </w:rPr>
      </w:pPr>
      <w:r w:rsidRPr="00AE2198">
        <w:rPr>
          <w:rFonts w:ascii="Verdana" w:eastAsia="Calibri" w:hAnsi="Verdana" w:cs="Calibri"/>
          <w:sz w:val="20"/>
          <w:szCs w:val="20"/>
        </w:rPr>
        <w:t>Pablo Saavedra Alessandri</w:t>
      </w:r>
    </w:p>
    <w:p w14:paraId="03D15DEE" w14:textId="379ACB3D" w:rsidR="009F2BC7" w:rsidRDefault="0074348C" w:rsidP="0074348C">
      <w:pPr>
        <w:spacing w:after="0" w:line="240" w:lineRule="auto"/>
        <w:ind w:firstLine="720"/>
      </w:pPr>
      <w:r>
        <w:rPr>
          <w:rFonts w:ascii="Verdana" w:eastAsia="Calibri" w:hAnsi="Verdana" w:cs="Calibri"/>
          <w:sz w:val="20"/>
          <w:szCs w:val="20"/>
        </w:rPr>
        <w:t xml:space="preserve">  </w:t>
      </w:r>
      <w:r w:rsidR="000770E0" w:rsidRPr="00AE2198">
        <w:rPr>
          <w:rFonts w:ascii="Verdana" w:eastAsia="Calibri" w:hAnsi="Verdana" w:cs="Calibri"/>
          <w:sz w:val="20"/>
          <w:szCs w:val="20"/>
        </w:rPr>
        <w:t>Secretario</w:t>
      </w:r>
    </w:p>
    <w:sectPr w:rsidR="009F2BC7" w:rsidSect="00365273">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A78A5" w14:textId="77777777" w:rsidR="00711AD5" w:rsidRDefault="00711AD5" w:rsidP="000770E0">
      <w:pPr>
        <w:spacing w:after="0" w:line="240" w:lineRule="auto"/>
      </w:pPr>
      <w:r>
        <w:separator/>
      </w:r>
    </w:p>
  </w:endnote>
  <w:endnote w:type="continuationSeparator" w:id="0">
    <w:p w14:paraId="5A513DA6" w14:textId="77777777" w:rsidR="00711AD5" w:rsidRDefault="00711AD5" w:rsidP="00077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36xuhcn,Italic">
    <w:panose1 w:val="00000000000000000000"/>
    <w:charset w:val="00"/>
    <w:family w:val="swiss"/>
    <w:notTrueType/>
    <w:pitch w:val="default"/>
    <w:sig w:usb0="00000003" w:usb1="00000000" w:usb2="00000000" w:usb3="00000000" w:csb0="00000001" w:csb1="00000000"/>
  </w:font>
  <w:font w:name="52lpfmz,BoldItalic">
    <w:panose1 w:val="00000000000000000000"/>
    <w:charset w:val="00"/>
    <w:family w:val="swiss"/>
    <w:notTrueType/>
    <w:pitch w:val="default"/>
    <w:sig w:usb0="00000003" w:usb1="00000000" w:usb2="00000000" w:usb3="00000000" w:csb0="00000001" w:csb1="00000000"/>
  </w:font>
  <w:font w:name="03cwofx">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C911C" w14:textId="77777777" w:rsidR="00711AD5" w:rsidRDefault="00711AD5" w:rsidP="000770E0">
      <w:pPr>
        <w:spacing w:after="0" w:line="240" w:lineRule="auto"/>
      </w:pPr>
      <w:r>
        <w:separator/>
      </w:r>
    </w:p>
  </w:footnote>
  <w:footnote w:type="continuationSeparator" w:id="0">
    <w:p w14:paraId="205EDC1C" w14:textId="77777777" w:rsidR="00711AD5" w:rsidRDefault="00711AD5" w:rsidP="000770E0">
      <w:pPr>
        <w:spacing w:after="0" w:line="240" w:lineRule="auto"/>
      </w:pPr>
      <w:r>
        <w:continuationSeparator/>
      </w:r>
    </w:p>
  </w:footnote>
  <w:footnote w:id="1">
    <w:p w14:paraId="49CBA65F" w14:textId="47BD6D2F" w:rsidR="005A658A" w:rsidRPr="00850F42" w:rsidRDefault="005A658A" w:rsidP="00A24434">
      <w:pPr>
        <w:pStyle w:val="FootnoteText"/>
        <w:jc w:val="both"/>
        <w:rPr>
          <w:rFonts w:ascii="Verdana" w:hAnsi="Verdana"/>
          <w:sz w:val="16"/>
          <w:szCs w:val="16"/>
        </w:rPr>
      </w:pPr>
      <w:r>
        <w:rPr>
          <w:rStyle w:val="FootnoteReference"/>
        </w:rPr>
        <w:footnoteRef/>
      </w:r>
      <w:r>
        <w:t xml:space="preserve"> </w:t>
      </w:r>
      <w:r>
        <w:tab/>
      </w:r>
      <w:r w:rsidRPr="00850F42">
        <w:rPr>
          <w:rFonts w:ascii="Verdana" w:hAnsi="Verdana"/>
          <w:i/>
          <w:sz w:val="16"/>
          <w:szCs w:val="16"/>
        </w:rPr>
        <w:t>Cfr.</w:t>
      </w:r>
      <w:r w:rsidRPr="00850F42">
        <w:rPr>
          <w:rFonts w:ascii="Verdana" w:hAnsi="Verdana"/>
          <w:sz w:val="16"/>
          <w:szCs w:val="16"/>
        </w:rPr>
        <w:t xml:space="preserve"> </w:t>
      </w:r>
      <w:r w:rsidRPr="00850F42">
        <w:rPr>
          <w:rStyle w:val="Strong"/>
          <w:rFonts w:ascii="Verdana" w:hAnsi="Verdana"/>
          <w:b w:val="0"/>
          <w:i/>
          <w:color w:val="000000"/>
          <w:sz w:val="16"/>
          <w:szCs w:val="16"/>
          <w:shd w:val="clear" w:color="auto" w:fill="FFFFFF"/>
        </w:rPr>
        <w:t xml:space="preserve">Caso Castañeda </w:t>
      </w:r>
      <w:proofErr w:type="spellStart"/>
      <w:r w:rsidRPr="00850F42">
        <w:rPr>
          <w:rStyle w:val="Strong"/>
          <w:rFonts w:ascii="Verdana" w:hAnsi="Verdana"/>
          <w:b w:val="0"/>
          <w:i/>
          <w:color w:val="000000"/>
          <w:sz w:val="16"/>
          <w:szCs w:val="16"/>
          <w:shd w:val="clear" w:color="auto" w:fill="FFFFFF"/>
        </w:rPr>
        <w:t>Gutman</w:t>
      </w:r>
      <w:proofErr w:type="spellEnd"/>
      <w:r w:rsidRPr="00850F42">
        <w:rPr>
          <w:rStyle w:val="Strong"/>
          <w:rFonts w:ascii="Verdana" w:hAnsi="Verdana"/>
          <w:b w:val="0"/>
          <w:i/>
          <w:color w:val="000000"/>
          <w:sz w:val="16"/>
          <w:szCs w:val="16"/>
          <w:shd w:val="clear" w:color="auto" w:fill="FFFFFF"/>
        </w:rPr>
        <w:t xml:space="preserve"> Vs. México</w:t>
      </w:r>
      <w:r w:rsidRPr="00850F42">
        <w:rPr>
          <w:rStyle w:val="Strong"/>
          <w:rFonts w:ascii="Verdana" w:hAnsi="Verdana"/>
          <w:b w:val="0"/>
          <w:color w:val="000000"/>
          <w:sz w:val="16"/>
          <w:szCs w:val="16"/>
          <w:shd w:val="clear" w:color="auto" w:fill="FFFFFF"/>
        </w:rPr>
        <w:t xml:space="preserve">. Resolución de la Corte Interamericana de Derechos Humanos de 30 de noviembre de 2007, Considerando 10, </w:t>
      </w:r>
      <w:r w:rsidRPr="00850F42">
        <w:rPr>
          <w:rFonts w:ascii="Verdana" w:hAnsi="Verdana"/>
          <w:sz w:val="16"/>
          <w:szCs w:val="16"/>
        </w:rPr>
        <w:t xml:space="preserve">y </w:t>
      </w:r>
      <w:r w:rsidRPr="00850F42">
        <w:rPr>
          <w:rFonts w:ascii="Verdana" w:hAnsi="Verdana"/>
          <w:i/>
          <w:iCs/>
          <w:sz w:val="16"/>
          <w:szCs w:val="16"/>
          <w:lang w:val="es-CR"/>
        </w:rPr>
        <w:t xml:space="preserve">Caso Villaseñor </w:t>
      </w:r>
      <w:r w:rsidR="00CB6DC0">
        <w:rPr>
          <w:rFonts w:ascii="Verdana" w:hAnsi="Verdana"/>
          <w:i/>
          <w:iCs/>
          <w:sz w:val="16"/>
          <w:szCs w:val="16"/>
          <w:lang w:val="es-CR"/>
        </w:rPr>
        <w:t xml:space="preserve">Velarde </w:t>
      </w:r>
      <w:r w:rsidRPr="00850F42">
        <w:rPr>
          <w:rFonts w:ascii="Verdana" w:hAnsi="Verdana"/>
          <w:i/>
          <w:iCs/>
          <w:sz w:val="16"/>
          <w:szCs w:val="16"/>
          <w:lang w:val="es-CR"/>
        </w:rPr>
        <w:t>y otros Vs. Guatemala</w:t>
      </w:r>
      <w:r w:rsidRPr="00850F42">
        <w:rPr>
          <w:rFonts w:ascii="Verdana" w:hAnsi="Verdana"/>
          <w:sz w:val="16"/>
          <w:szCs w:val="16"/>
          <w:lang w:val="es-CR"/>
        </w:rPr>
        <w:t>. Resolución del President</w:t>
      </w:r>
      <w:r w:rsidR="00CB6DC0">
        <w:rPr>
          <w:rFonts w:ascii="Verdana" w:hAnsi="Verdana"/>
          <w:sz w:val="16"/>
          <w:szCs w:val="16"/>
          <w:lang w:val="es-CR"/>
        </w:rPr>
        <w:t>e</w:t>
      </w:r>
      <w:r w:rsidRPr="00850F42">
        <w:rPr>
          <w:rFonts w:ascii="Verdana" w:hAnsi="Verdana"/>
          <w:sz w:val="16"/>
          <w:szCs w:val="16"/>
          <w:lang w:val="es-CR"/>
        </w:rPr>
        <w:t xml:space="preserve"> de la Corte Interamericana de Derechos Humanos de 24 de abril de 2018</w:t>
      </w:r>
      <w:r w:rsidR="00A06728">
        <w:rPr>
          <w:rFonts w:ascii="Verdana" w:hAnsi="Verdana"/>
          <w:sz w:val="16"/>
          <w:szCs w:val="16"/>
          <w:lang w:val="es-CR"/>
        </w:rPr>
        <w:t>,</w:t>
      </w:r>
      <w:r w:rsidRPr="00850F42">
        <w:rPr>
          <w:rFonts w:ascii="Verdana" w:hAnsi="Verdana"/>
          <w:sz w:val="16"/>
          <w:szCs w:val="16"/>
          <w:lang w:val="es-CR"/>
        </w:rPr>
        <w:t xml:space="preserve"> Considerando 14. </w:t>
      </w:r>
    </w:p>
  </w:footnote>
  <w:footnote w:id="2">
    <w:p w14:paraId="0E8D0B6F" w14:textId="2964E3A9" w:rsidR="005A658A" w:rsidRPr="000E0453" w:rsidRDefault="005A658A" w:rsidP="00F43AB9">
      <w:pPr>
        <w:pStyle w:val="FootnoteText"/>
        <w:jc w:val="both"/>
        <w:rPr>
          <w:sz w:val="16"/>
          <w:szCs w:val="16"/>
          <w:lang w:val="es-CR"/>
        </w:rPr>
      </w:pPr>
      <w:r w:rsidRPr="000E0453">
        <w:rPr>
          <w:rStyle w:val="FootnoteReference"/>
        </w:rPr>
        <w:footnoteRef/>
      </w:r>
      <w:r w:rsidRPr="000E0453">
        <w:rPr>
          <w:sz w:val="16"/>
          <w:szCs w:val="16"/>
          <w:lang w:val="es-CR"/>
        </w:rPr>
        <w:t xml:space="preserve"> </w:t>
      </w:r>
      <w:r w:rsidRPr="000E0453">
        <w:rPr>
          <w:sz w:val="16"/>
          <w:szCs w:val="16"/>
          <w:lang w:val="es-CR"/>
        </w:rPr>
        <w:tab/>
      </w:r>
      <w:r w:rsidRPr="00B56E80">
        <w:rPr>
          <w:rFonts w:ascii="Verdana" w:hAnsi="Verdana"/>
          <w:i/>
          <w:iCs/>
          <w:sz w:val="16"/>
          <w:szCs w:val="16"/>
          <w:lang w:val="es-CR"/>
        </w:rPr>
        <w:t xml:space="preserve">Cfr. </w:t>
      </w:r>
      <w:r w:rsidR="000755EF" w:rsidRPr="00997AD1">
        <w:rPr>
          <w:rFonts w:ascii="Verdana" w:hAnsi="Verdana"/>
          <w:bCs/>
          <w:i/>
          <w:iCs/>
          <w:sz w:val="16"/>
          <w:szCs w:val="16"/>
        </w:rPr>
        <w:t xml:space="preserve">Caso Alicia </w:t>
      </w:r>
      <w:proofErr w:type="spellStart"/>
      <w:r w:rsidR="000755EF" w:rsidRPr="00997AD1">
        <w:rPr>
          <w:rFonts w:ascii="Verdana" w:hAnsi="Verdana"/>
          <w:bCs/>
          <w:i/>
          <w:iCs/>
          <w:sz w:val="16"/>
          <w:szCs w:val="16"/>
        </w:rPr>
        <w:t>Barbani</w:t>
      </w:r>
      <w:proofErr w:type="spellEnd"/>
      <w:r w:rsidR="000755EF" w:rsidRPr="00997AD1">
        <w:rPr>
          <w:rFonts w:ascii="Verdana" w:hAnsi="Verdana"/>
          <w:bCs/>
          <w:i/>
          <w:iCs/>
          <w:sz w:val="16"/>
          <w:szCs w:val="16"/>
        </w:rPr>
        <w:t xml:space="preserve"> Duarte, María del Huerto </w:t>
      </w:r>
      <w:proofErr w:type="spellStart"/>
      <w:r w:rsidR="000755EF" w:rsidRPr="00997AD1">
        <w:rPr>
          <w:rFonts w:ascii="Verdana" w:hAnsi="Verdana"/>
          <w:bCs/>
          <w:i/>
          <w:iCs/>
          <w:sz w:val="16"/>
          <w:szCs w:val="16"/>
        </w:rPr>
        <w:t>Breccia</w:t>
      </w:r>
      <w:proofErr w:type="spellEnd"/>
      <w:r w:rsidR="000755EF" w:rsidRPr="00997AD1">
        <w:rPr>
          <w:rFonts w:ascii="Verdana" w:hAnsi="Verdana"/>
          <w:bCs/>
          <w:i/>
          <w:iCs/>
          <w:sz w:val="16"/>
          <w:szCs w:val="16"/>
        </w:rPr>
        <w:t xml:space="preserve"> y otros (Grupo de ahorristas del Banco de Montevid</w:t>
      </w:r>
      <w:r w:rsidR="00DD7F99">
        <w:rPr>
          <w:rFonts w:ascii="Verdana" w:hAnsi="Verdana"/>
          <w:bCs/>
          <w:i/>
          <w:iCs/>
          <w:sz w:val="16"/>
          <w:szCs w:val="16"/>
        </w:rPr>
        <w:t>e</w:t>
      </w:r>
      <w:r w:rsidR="000755EF" w:rsidRPr="00997AD1">
        <w:rPr>
          <w:rFonts w:ascii="Verdana" w:hAnsi="Verdana"/>
          <w:bCs/>
          <w:i/>
          <w:iCs/>
          <w:sz w:val="16"/>
          <w:szCs w:val="16"/>
        </w:rPr>
        <w:t>o) Vs. Uruguay.</w:t>
      </w:r>
      <w:r w:rsidR="000755EF">
        <w:rPr>
          <w:rFonts w:ascii="Verdana" w:hAnsi="Verdana"/>
          <w:bCs/>
          <w:i/>
          <w:iCs/>
          <w:sz w:val="16"/>
          <w:szCs w:val="16"/>
        </w:rPr>
        <w:t xml:space="preserve"> </w:t>
      </w:r>
      <w:r w:rsidR="000755EF" w:rsidRPr="00997AD1">
        <w:rPr>
          <w:rFonts w:ascii="Verdana" w:hAnsi="Verdana"/>
          <w:bCs/>
          <w:iCs/>
          <w:sz w:val="16"/>
          <w:szCs w:val="16"/>
        </w:rPr>
        <w:t>Resolución del Presidente de la Corte Interamericana de Derechos Humanos de 31 de enero de 2011</w:t>
      </w:r>
      <w:r w:rsidR="00A06728">
        <w:rPr>
          <w:rFonts w:ascii="Verdana" w:hAnsi="Verdana"/>
          <w:bCs/>
          <w:iCs/>
          <w:sz w:val="16"/>
          <w:szCs w:val="16"/>
        </w:rPr>
        <w:t>,</w:t>
      </w:r>
      <w:r w:rsidR="00A06728">
        <w:rPr>
          <w:rFonts w:ascii="Verdana" w:hAnsi="Verdana"/>
          <w:sz w:val="16"/>
          <w:szCs w:val="16"/>
          <w:lang w:val="es-CR"/>
        </w:rPr>
        <w:t xml:space="preserve"> </w:t>
      </w:r>
      <w:r w:rsidRPr="002B5CC8">
        <w:rPr>
          <w:rFonts w:ascii="Verdana" w:hAnsi="Verdana"/>
          <w:sz w:val="16"/>
          <w:szCs w:val="16"/>
          <w:lang w:val="es-CR"/>
        </w:rPr>
        <w:t xml:space="preserve">Considerando </w:t>
      </w:r>
      <w:r>
        <w:rPr>
          <w:rFonts w:ascii="Verdana" w:hAnsi="Verdana"/>
          <w:sz w:val="16"/>
          <w:szCs w:val="16"/>
          <w:lang w:val="es-CR"/>
        </w:rPr>
        <w:t>22,</w:t>
      </w:r>
      <w:r w:rsidRPr="00994CB1">
        <w:rPr>
          <w:rFonts w:ascii="Verdana" w:eastAsiaTheme="minorHAnsi" w:hAnsi="Verdana"/>
          <w:sz w:val="16"/>
          <w:szCs w:val="16"/>
          <w:lang w:val="es-CR"/>
        </w:rPr>
        <w:t xml:space="preserve"> </w:t>
      </w:r>
      <w:r w:rsidRPr="00994CB1">
        <w:rPr>
          <w:rFonts w:ascii="Verdana" w:hAnsi="Verdana"/>
          <w:sz w:val="16"/>
          <w:szCs w:val="16"/>
          <w:lang w:val="es-CR"/>
        </w:rPr>
        <w:t xml:space="preserve">y </w:t>
      </w:r>
      <w:r w:rsidRPr="00994CB1">
        <w:rPr>
          <w:rFonts w:ascii="Verdana" w:hAnsi="Verdana"/>
          <w:i/>
          <w:sz w:val="16"/>
          <w:szCs w:val="16"/>
          <w:lang w:val="es-CR"/>
        </w:rPr>
        <w:t xml:space="preserve">Caso Alvarado Espinoza y otros Vs. México. </w:t>
      </w:r>
      <w:r w:rsidRPr="00994CB1">
        <w:rPr>
          <w:rFonts w:ascii="Verdana" w:hAnsi="Verdana"/>
          <w:sz w:val="16"/>
          <w:szCs w:val="16"/>
          <w:lang w:val="es-CR"/>
        </w:rPr>
        <w:t xml:space="preserve">Resolución del Presidente </w:t>
      </w:r>
      <w:r w:rsidR="00CC347D">
        <w:rPr>
          <w:rFonts w:ascii="Verdana" w:hAnsi="Verdana"/>
          <w:sz w:val="16"/>
          <w:szCs w:val="16"/>
          <w:lang w:val="es-CR"/>
        </w:rPr>
        <w:t xml:space="preserve">en ejercicio </w:t>
      </w:r>
      <w:r w:rsidRPr="00994CB1">
        <w:rPr>
          <w:rFonts w:ascii="Verdana" w:hAnsi="Verdana"/>
          <w:sz w:val="16"/>
          <w:szCs w:val="16"/>
          <w:lang w:val="es-CR"/>
        </w:rPr>
        <w:t>de la Corte</w:t>
      </w:r>
      <w:r w:rsidR="00CC347D" w:rsidRPr="00CC347D">
        <w:rPr>
          <w:rFonts w:ascii="Verdana" w:eastAsia="Batang" w:hAnsi="Verdana"/>
          <w:b/>
          <w:bCs/>
          <w:color w:val="000000"/>
          <w:sz w:val="22"/>
          <w:szCs w:val="22"/>
          <w:shd w:val="clear" w:color="auto" w:fill="FFFFFF"/>
        </w:rPr>
        <w:t xml:space="preserve"> </w:t>
      </w:r>
      <w:r w:rsidR="00580029">
        <w:rPr>
          <w:rFonts w:ascii="Verdana" w:hAnsi="Verdana"/>
          <w:bCs/>
          <w:sz w:val="16"/>
          <w:szCs w:val="16"/>
        </w:rPr>
        <w:t>IDH</w:t>
      </w:r>
      <w:r w:rsidR="00CC347D" w:rsidRPr="00CC347D">
        <w:rPr>
          <w:rFonts w:ascii="Verdana" w:hAnsi="Verdana"/>
          <w:b/>
          <w:bCs/>
          <w:sz w:val="16"/>
          <w:szCs w:val="16"/>
        </w:rPr>
        <w:t xml:space="preserve"> </w:t>
      </w:r>
      <w:r w:rsidRPr="00994CB1">
        <w:rPr>
          <w:rFonts w:ascii="Verdana" w:hAnsi="Verdana"/>
          <w:sz w:val="16"/>
          <w:szCs w:val="16"/>
          <w:lang w:val="es-CR"/>
        </w:rPr>
        <w:t>de 23 de marzo de 2018, Considerando</w:t>
      </w:r>
      <w:r>
        <w:rPr>
          <w:rFonts w:ascii="Verdana" w:hAnsi="Verdana"/>
          <w:sz w:val="16"/>
          <w:szCs w:val="16"/>
          <w:lang w:val="es-CR"/>
        </w:rPr>
        <w:t xml:space="preserve"> 26</w:t>
      </w:r>
      <w:r w:rsidRPr="002B5CC8">
        <w:rPr>
          <w:rFonts w:ascii="Verdana" w:hAnsi="Verdana"/>
          <w:sz w:val="16"/>
          <w:szCs w:val="16"/>
          <w:lang w:val="es-CR"/>
        </w:rPr>
        <w:t>.</w:t>
      </w:r>
    </w:p>
  </w:footnote>
  <w:footnote w:id="3">
    <w:p w14:paraId="23C5FA57" w14:textId="1E7E96AD" w:rsidR="005A658A" w:rsidRPr="00045051" w:rsidRDefault="005A658A" w:rsidP="00A435EE">
      <w:pPr>
        <w:pStyle w:val="FootnoteText"/>
        <w:jc w:val="both"/>
        <w:rPr>
          <w:rFonts w:ascii="Verdana" w:hAnsi="Verdana"/>
          <w:sz w:val="16"/>
          <w:szCs w:val="16"/>
        </w:rPr>
      </w:pPr>
      <w:r w:rsidRPr="00274B1D">
        <w:rPr>
          <w:rStyle w:val="FootnoteReference"/>
        </w:rPr>
        <w:footnoteRef/>
      </w:r>
      <w:r w:rsidRPr="00996A47">
        <w:rPr>
          <w:rFonts w:ascii="Verdana" w:hAnsi="Verdana"/>
          <w:sz w:val="16"/>
          <w:szCs w:val="16"/>
        </w:rPr>
        <w:t xml:space="preserve"> </w:t>
      </w:r>
      <w:r>
        <w:rPr>
          <w:rFonts w:ascii="Verdana" w:hAnsi="Verdana"/>
          <w:sz w:val="16"/>
          <w:szCs w:val="16"/>
        </w:rPr>
        <w:tab/>
      </w:r>
      <w:r w:rsidRPr="00996A47">
        <w:rPr>
          <w:rFonts w:ascii="Verdana" w:hAnsi="Verdana"/>
          <w:sz w:val="16"/>
          <w:szCs w:val="16"/>
        </w:rPr>
        <w:t xml:space="preserve">“Artículo 40. Escrito de solicitudes, argumentos y pruebas […] 2. El escrito de solicitudes, argumentos y pruebas deberá contener: […] </w:t>
      </w:r>
      <w:r w:rsidRPr="002D2F99">
        <w:rPr>
          <w:rFonts w:ascii="Verdana" w:hAnsi="Verdana"/>
          <w:sz w:val="16"/>
          <w:szCs w:val="16"/>
        </w:rPr>
        <w:t xml:space="preserve">c. la individualización de declarantes y el objeto de su declaración. </w:t>
      </w:r>
      <w:r w:rsidRPr="00045051">
        <w:rPr>
          <w:rFonts w:ascii="Verdana" w:hAnsi="Verdana"/>
          <w:sz w:val="16"/>
          <w:szCs w:val="16"/>
        </w:rPr>
        <w:t xml:space="preserve"> </w:t>
      </w:r>
      <w:r w:rsidRPr="002D2F99">
        <w:rPr>
          <w:rFonts w:ascii="Verdana" w:hAnsi="Verdana"/>
          <w:sz w:val="16"/>
          <w:szCs w:val="16"/>
        </w:rPr>
        <w:t>En el caso de los peritos, deberán además remitir su hoja de vida y sus datos de contacto</w:t>
      </w:r>
      <w:r w:rsidRPr="00045051">
        <w:rPr>
          <w:rFonts w:ascii="Verdana" w:hAnsi="Verdana"/>
          <w:sz w:val="16"/>
          <w:szCs w:val="16"/>
        </w:rPr>
        <w:t xml:space="preserve"> […]”. </w:t>
      </w:r>
    </w:p>
  </w:footnote>
  <w:footnote w:id="4">
    <w:p w14:paraId="5590DFE7" w14:textId="1D18EEAD" w:rsidR="005A658A" w:rsidRPr="005978D3" w:rsidRDefault="005A658A" w:rsidP="00681BAD">
      <w:pPr>
        <w:pStyle w:val="FootnoteText"/>
        <w:jc w:val="both"/>
        <w:rPr>
          <w:rFonts w:ascii="Verdana" w:hAnsi="Verdana"/>
          <w:sz w:val="16"/>
          <w:szCs w:val="16"/>
        </w:rPr>
      </w:pPr>
      <w:r w:rsidRPr="002B5CC8">
        <w:rPr>
          <w:rStyle w:val="FootnoteReference"/>
        </w:rPr>
        <w:footnoteRef/>
      </w:r>
      <w:r w:rsidRPr="005978D3">
        <w:rPr>
          <w:rFonts w:ascii="Verdana" w:hAnsi="Verdana"/>
          <w:sz w:val="16"/>
          <w:szCs w:val="16"/>
        </w:rPr>
        <w:t xml:space="preserve"> </w:t>
      </w:r>
      <w:r w:rsidRPr="005978D3">
        <w:rPr>
          <w:rFonts w:ascii="Verdana" w:hAnsi="Verdana"/>
          <w:sz w:val="16"/>
          <w:szCs w:val="16"/>
        </w:rPr>
        <w:tab/>
      </w:r>
      <w:r w:rsidRPr="005978D3">
        <w:rPr>
          <w:rFonts w:ascii="Verdana" w:hAnsi="Verdana"/>
          <w:i/>
          <w:sz w:val="16"/>
          <w:szCs w:val="16"/>
        </w:rPr>
        <w:t>Cfr</w:t>
      </w:r>
      <w:r w:rsidRPr="005978D3">
        <w:rPr>
          <w:rFonts w:ascii="Verdana" w:hAnsi="Verdana"/>
          <w:sz w:val="16"/>
          <w:szCs w:val="16"/>
        </w:rPr>
        <w:t xml:space="preserve">. </w:t>
      </w:r>
      <w:r w:rsidRPr="00850F42">
        <w:rPr>
          <w:rStyle w:val="Strong"/>
          <w:rFonts w:ascii="Verdana" w:hAnsi="Verdana"/>
          <w:b w:val="0"/>
          <w:i/>
          <w:color w:val="000000"/>
          <w:sz w:val="16"/>
          <w:szCs w:val="16"/>
          <w:shd w:val="clear" w:color="auto" w:fill="FFFFFF"/>
        </w:rPr>
        <w:t xml:space="preserve">Caso Miembros de la Aldea </w:t>
      </w:r>
      <w:proofErr w:type="spellStart"/>
      <w:r w:rsidRPr="00850F42">
        <w:rPr>
          <w:rStyle w:val="Strong"/>
          <w:rFonts w:ascii="Verdana" w:hAnsi="Verdana"/>
          <w:b w:val="0"/>
          <w:i/>
          <w:color w:val="000000"/>
          <w:sz w:val="16"/>
          <w:szCs w:val="16"/>
          <w:shd w:val="clear" w:color="auto" w:fill="FFFFFF"/>
        </w:rPr>
        <w:t>Chichupac</w:t>
      </w:r>
      <w:proofErr w:type="spellEnd"/>
      <w:r w:rsidRPr="00850F42">
        <w:rPr>
          <w:rStyle w:val="Strong"/>
          <w:rFonts w:ascii="Verdana" w:hAnsi="Verdana"/>
          <w:b w:val="0"/>
          <w:i/>
          <w:color w:val="000000"/>
          <w:sz w:val="16"/>
          <w:szCs w:val="16"/>
          <w:shd w:val="clear" w:color="auto" w:fill="FFFFFF"/>
        </w:rPr>
        <w:t xml:space="preserve"> y comunidades vecinas del Municipio de Rabinal Vs. Guatemala</w:t>
      </w:r>
      <w:r w:rsidRPr="00850F42">
        <w:rPr>
          <w:rStyle w:val="Strong"/>
          <w:rFonts w:ascii="Verdana" w:hAnsi="Verdana"/>
          <w:b w:val="0"/>
          <w:color w:val="000000"/>
          <w:sz w:val="16"/>
          <w:szCs w:val="16"/>
          <w:shd w:val="clear" w:color="auto" w:fill="FFFFFF"/>
        </w:rPr>
        <w:t>. Resolución del Presidente de la Corte Interamericana de Derechos Humanos de 28 de marzo de 2016</w:t>
      </w:r>
      <w:r>
        <w:rPr>
          <w:rStyle w:val="Strong"/>
          <w:rFonts w:ascii="Verdana" w:hAnsi="Verdana"/>
          <w:b w:val="0"/>
          <w:color w:val="000000"/>
          <w:sz w:val="16"/>
          <w:szCs w:val="16"/>
          <w:shd w:val="clear" w:color="auto" w:fill="FFFFFF"/>
        </w:rPr>
        <w:t xml:space="preserve">, </w:t>
      </w:r>
      <w:r w:rsidRPr="0057322B">
        <w:rPr>
          <w:rFonts w:ascii="Verdana" w:hAnsi="Verdana"/>
          <w:bCs/>
          <w:color w:val="000000"/>
          <w:sz w:val="16"/>
          <w:szCs w:val="16"/>
          <w:shd w:val="clear" w:color="auto" w:fill="FFFFFF"/>
        </w:rPr>
        <w:t>Considerando</w:t>
      </w:r>
      <w:r>
        <w:rPr>
          <w:rFonts w:ascii="Verdana" w:hAnsi="Verdana"/>
          <w:bCs/>
          <w:color w:val="000000"/>
          <w:sz w:val="16"/>
          <w:szCs w:val="16"/>
          <w:shd w:val="clear" w:color="auto" w:fill="FFFFFF"/>
        </w:rPr>
        <w:t xml:space="preserve"> 15</w:t>
      </w:r>
      <w:r w:rsidR="00B36EE5">
        <w:rPr>
          <w:rFonts w:ascii="Verdana" w:hAnsi="Verdana"/>
          <w:bCs/>
          <w:color w:val="000000"/>
          <w:sz w:val="16"/>
          <w:szCs w:val="16"/>
          <w:shd w:val="clear" w:color="auto" w:fill="FFFFFF"/>
        </w:rPr>
        <w:t>,</w:t>
      </w:r>
      <w:r w:rsidR="00B36EE5" w:rsidRPr="00B36EE5">
        <w:rPr>
          <w:rFonts w:ascii="Verdana" w:hAnsi="Verdana"/>
          <w:sz w:val="16"/>
          <w:szCs w:val="16"/>
        </w:rPr>
        <w:t xml:space="preserve"> </w:t>
      </w:r>
      <w:r w:rsidR="00B36EE5">
        <w:rPr>
          <w:rFonts w:ascii="Verdana" w:hAnsi="Verdana"/>
          <w:sz w:val="16"/>
          <w:szCs w:val="16"/>
        </w:rPr>
        <w:t>y</w:t>
      </w:r>
      <w:r w:rsidR="00B36EE5" w:rsidRPr="00B36EE5">
        <w:rPr>
          <w:rFonts w:ascii="Verdana" w:hAnsi="Verdana"/>
          <w:bCs/>
          <w:i/>
          <w:sz w:val="16"/>
          <w:szCs w:val="16"/>
        </w:rPr>
        <w:t xml:space="preserve"> </w:t>
      </w:r>
      <w:r w:rsidR="00B36EE5" w:rsidRPr="008A2051">
        <w:rPr>
          <w:rFonts w:ascii="Verdana" w:hAnsi="Verdana"/>
          <w:bCs/>
          <w:i/>
          <w:sz w:val="16"/>
          <w:szCs w:val="16"/>
        </w:rPr>
        <w:t xml:space="preserve">Caso Villaseñor Velarde y otros Vs. Guatemala. </w:t>
      </w:r>
      <w:r w:rsidR="00B36EE5" w:rsidRPr="008A2051">
        <w:rPr>
          <w:rFonts w:ascii="Verdana" w:hAnsi="Verdana"/>
          <w:bCs/>
          <w:sz w:val="16"/>
          <w:szCs w:val="16"/>
        </w:rPr>
        <w:t>Resolución del Presidente de la Corte Interamericana de Derechos Humanos de 24 de abril de 2018</w:t>
      </w:r>
      <w:r w:rsidR="00B36EE5">
        <w:rPr>
          <w:rFonts w:ascii="Verdana" w:hAnsi="Verdana"/>
          <w:bCs/>
          <w:sz w:val="16"/>
          <w:szCs w:val="16"/>
        </w:rPr>
        <w:t>, Considerando 8</w:t>
      </w:r>
      <w:r>
        <w:rPr>
          <w:rFonts w:ascii="Verdana" w:hAnsi="Verdana"/>
          <w:bCs/>
          <w:color w:val="000000"/>
          <w:sz w:val="16"/>
          <w:szCs w:val="16"/>
          <w:shd w:val="clear" w:color="auto" w:fill="FFFFFF"/>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864461"/>
      <w:docPartObj>
        <w:docPartGallery w:val="Page Numbers (Top of Page)"/>
        <w:docPartUnique/>
      </w:docPartObj>
    </w:sdtPr>
    <w:sdtEndPr>
      <w:rPr>
        <w:noProof/>
      </w:rPr>
    </w:sdtEndPr>
    <w:sdtContent>
      <w:p w14:paraId="6BEEBD0A" w14:textId="17E1FB87" w:rsidR="005A658A" w:rsidRDefault="005A658A">
        <w:pPr>
          <w:pStyle w:val="Header"/>
          <w:jc w:val="center"/>
        </w:pPr>
        <w:r>
          <w:fldChar w:fldCharType="begin"/>
        </w:r>
        <w:r>
          <w:instrText xml:space="preserve"> PAGE   \* MERGEFORMAT </w:instrText>
        </w:r>
        <w:r>
          <w:fldChar w:fldCharType="separate"/>
        </w:r>
        <w:r w:rsidR="00265536">
          <w:rPr>
            <w:noProof/>
          </w:rPr>
          <w:t>7</w:t>
        </w:r>
        <w:r>
          <w:rPr>
            <w:noProof/>
          </w:rPr>
          <w:fldChar w:fldCharType="end"/>
        </w:r>
      </w:p>
    </w:sdtContent>
  </w:sdt>
  <w:p w14:paraId="6A1D89BE" w14:textId="77777777" w:rsidR="005A658A" w:rsidRDefault="005A65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7CE81" w14:textId="71E64C48" w:rsidR="005A658A" w:rsidRPr="00EF5F56" w:rsidRDefault="005A658A" w:rsidP="00EF5F56">
    <w:pPr>
      <w:pStyle w:val="Header"/>
      <w:jc w:val="right"/>
      <w:rPr>
        <w:rFonts w:ascii="Verdana" w:hAnsi="Verdana"/>
        <w:sz w:val="16"/>
        <w:szCs w:val="16"/>
        <w:lang w:val="es-C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6AA"/>
    <w:multiLevelType w:val="hybridMultilevel"/>
    <w:tmpl w:val="908A803A"/>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B1BFF"/>
    <w:multiLevelType w:val="hybridMultilevel"/>
    <w:tmpl w:val="90603594"/>
    <w:lvl w:ilvl="0" w:tplc="18DAB24A">
      <w:start w:val="1"/>
      <w:numFmt w:val="upperLetter"/>
      <w:lvlText w:val="%1."/>
      <w:lvlJc w:val="left"/>
      <w:pPr>
        <w:ind w:left="540" w:hanging="360"/>
      </w:pPr>
      <w:rPr>
        <w:rFonts w:hint="default"/>
        <w:b w:val="0"/>
      </w:rPr>
    </w:lvl>
    <w:lvl w:ilvl="1" w:tplc="DF7AD676">
      <w:start w:val="1"/>
      <w:numFmt w:val="decimal"/>
      <w:lvlText w:val="%2)"/>
      <w:lvlJc w:val="left"/>
      <w:pPr>
        <w:ind w:left="1440" w:hanging="360"/>
      </w:pPr>
      <w:rPr>
        <w:b/>
        <w:bCs/>
        <w:i w:val="0"/>
        <w:iCs w:val="0"/>
      </w:rPr>
    </w:lvl>
    <w:lvl w:ilvl="2" w:tplc="73D05260">
      <w:start w:val="1"/>
      <w:numFmt w:val="lowerRoman"/>
      <w:lvlText w:val="%3."/>
      <w:lvlJc w:val="right"/>
      <w:pPr>
        <w:ind w:left="2160" w:hanging="180"/>
      </w:pPr>
      <w:rPr>
        <w:rFonts w:hint="default"/>
      </w:rPr>
    </w:lvl>
    <w:lvl w:ilvl="3" w:tplc="EA36A962">
      <w:start w:val="1"/>
      <w:numFmt w:val="decimal"/>
      <w:lvlText w:val="%4."/>
      <w:lvlJc w:val="left"/>
      <w:pPr>
        <w:ind w:left="2880" w:hanging="360"/>
      </w:pPr>
      <w:rPr>
        <w:rFonts w:ascii="Verdana" w:hAnsi="Verdana" w:hint="default"/>
        <w:b w:val="0"/>
        <w:sz w:val="20"/>
        <w:szCs w:val="2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0BC11BA">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111A7B"/>
    <w:multiLevelType w:val="hybridMultilevel"/>
    <w:tmpl w:val="12C6B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708B1"/>
    <w:multiLevelType w:val="hybridMultilevel"/>
    <w:tmpl w:val="3DC8A7FE"/>
    <w:lvl w:ilvl="0" w:tplc="67E07D4A">
      <w:start w:val="1"/>
      <w:numFmt w:val="decimal"/>
      <w:lvlText w:val="%1."/>
      <w:lvlJc w:val="left"/>
      <w:pPr>
        <w:ind w:left="1800" w:hanging="720"/>
      </w:pPr>
      <w:rPr>
        <w:rFonts w:hint="default"/>
        <w:b w:val="0"/>
        <w:i w:val="0"/>
        <w:color w:val="auto"/>
      </w:rPr>
    </w:lvl>
    <w:lvl w:ilvl="1" w:tplc="7C2C13CE">
      <w:start w:val="1"/>
      <w:numFmt w:val="lowerRoman"/>
      <w:lvlText w:val="%2."/>
      <w:lvlJc w:val="left"/>
      <w:pPr>
        <w:ind w:left="1800" w:hanging="720"/>
      </w:pPr>
      <w:rPr>
        <w:rFonts w:hint="default"/>
      </w:rPr>
    </w:lvl>
    <w:lvl w:ilvl="2" w:tplc="841219D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0E7C29"/>
    <w:multiLevelType w:val="hybridMultilevel"/>
    <w:tmpl w:val="58C875C6"/>
    <w:lvl w:ilvl="0" w:tplc="ACB05D9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7341099"/>
    <w:multiLevelType w:val="hybridMultilevel"/>
    <w:tmpl w:val="B0205CB4"/>
    <w:lvl w:ilvl="0" w:tplc="C5305820">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172827"/>
    <w:multiLevelType w:val="hybridMultilevel"/>
    <w:tmpl w:val="3DC8A7FE"/>
    <w:lvl w:ilvl="0" w:tplc="67E07D4A">
      <w:start w:val="1"/>
      <w:numFmt w:val="decimal"/>
      <w:lvlText w:val="%1."/>
      <w:lvlJc w:val="left"/>
      <w:pPr>
        <w:ind w:left="1800" w:hanging="720"/>
      </w:pPr>
      <w:rPr>
        <w:rFonts w:hint="default"/>
        <w:b w:val="0"/>
        <w:i w:val="0"/>
        <w:color w:val="auto"/>
      </w:rPr>
    </w:lvl>
    <w:lvl w:ilvl="1" w:tplc="7C2C13CE">
      <w:start w:val="1"/>
      <w:numFmt w:val="lowerRoman"/>
      <w:lvlText w:val="%2."/>
      <w:lvlJc w:val="left"/>
      <w:pPr>
        <w:ind w:left="1800" w:hanging="720"/>
      </w:pPr>
      <w:rPr>
        <w:rFonts w:hint="default"/>
      </w:rPr>
    </w:lvl>
    <w:lvl w:ilvl="2" w:tplc="841219D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86543D"/>
    <w:multiLevelType w:val="hybridMultilevel"/>
    <w:tmpl w:val="FCDC1718"/>
    <w:lvl w:ilvl="0" w:tplc="0409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0D0520A4"/>
    <w:multiLevelType w:val="hybridMultilevel"/>
    <w:tmpl w:val="53E4A6A6"/>
    <w:lvl w:ilvl="0" w:tplc="E054AF3E">
      <w:start w:val="1"/>
      <w:numFmt w:val="decimal"/>
      <w:lvlText w:val="%1."/>
      <w:lvlJc w:val="left"/>
      <w:pPr>
        <w:ind w:left="1647" w:hanging="360"/>
      </w:pPr>
      <w:rPr>
        <w:rFonts w:hint="default"/>
        <w:i w:val="0"/>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9">
    <w:nsid w:val="0D3E31D4"/>
    <w:multiLevelType w:val="hybridMultilevel"/>
    <w:tmpl w:val="09987668"/>
    <w:lvl w:ilvl="0" w:tplc="D2F6B0DE">
      <w:start w:val="1"/>
      <w:numFmt w:val="decimal"/>
      <w:lvlText w:val="%1."/>
      <w:lvlJc w:val="left"/>
      <w:pPr>
        <w:ind w:left="810" w:hanging="360"/>
      </w:pPr>
      <w:rPr>
        <w:i w:val="0"/>
      </w:rPr>
    </w:lvl>
    <w:lvl w:ilvl="1" w:tplc="140A0019">
      <w:start w:val="1"/>
      <w:numFmt w:val="lowerLetter"/>
      <w:lvlText w:val="%2."/>
      <w:lvlJc w:val="left"/>
      <w:pPr>
        <w:ind w:left="1620" w:hanging="360"/>
      </w:pPr>
    </w:lvl>
    <w:lvl w:ilvl="2" w:tplc="140A001B" w:tentative="1">
      <w:start w:val="1"/>
      <w:numFmt w:val="lowerRoman"/>
      <w:lvlText w:val="%3."/>
      <w:lvlJc w:val="right"/>
      <w:pPr>
        <w:ind w:left="2340" w:hanging="180"/>
      </w:pPr>
    </w:lvl>
    <w:lvl w:ilvl="3" w:tplc="140A000F" w:tentative="1">
      <w:start w:val="1"/>
      <w:numFmt w:val="decimal"/>
      <w:lvlText w:val="%4."/>
      <w:lvlJc w:val="left"/>
      <w:pPr>
        <w:ind w:left="3060" w:hanging="360"/>
      </w:pPr>
    </w:lvl>
    <w:lvl w:ilvl="4" w:tplc="140A0019" w:tentative="1">
      <w:start w:val="1"/>
      <w:numFmt w:val="lowerLetter"/>
      <w:lvlText w:val="%5."/>
      <w:lvlJc w:val="left"/>
      <w:pPr>
        <w:ind w:left="3780" w:hanging="360"/>
      </w:pPr>
    </w:lvl>
    <w:lvl w:ilvl="5" w:tplc="140A001B" w:tentative="1">
      <w:start w:val="1"/>
      <w:numFmt w:val="lowerRoman"/>
      <w:lvlText w:val="%6."/>
      <w:lvlJc w:val="right"/>
      <w:pPr>
        <w:ind w:left="4500" w:hanging="180"/>
      </w:pPr>
    </w:lvl>
    <w:lvl w:ilvl="6" w:tplc="140A000F" w:tentative="1">
      <w:start w:val="1"/>
      <w:numFmt w:val="decimal"/>
      <w:lvlText w:val="%7."/>
      <w:lvlJc w:val="left"/>
      <w:pPr>
        <w:ind w:left="5220" w:hanging="360"/>
      </w:pPr>
    </w:lvl>
    <w:lvl w:ilvl="7" w:tplc="140A0019" w:tentative="1">
      <w:start w:val="1"/>
      <w:numFmt w:val="lowerLetter"/>
      <w:lvlText w:val="%8."/>
      <w:lvlJc w:val="left"/>
      <w:pPr>
        <w:ind w:left="5940" w:hanging="360"/>
      </w:pPr>
    </w:lvl>
    <w:lvl w:ilvl="8" w:tplc="140A001B" w:tentative="1">
      <w:start w:val="1"/>
      <w:numFmt w:val="lowerRoman"/>
      <w:lvlText w:val="%9."/>
      <w:lvlJc w:val="right"/>
      <w:pPr>
        <w:ind w:left="6660" w:hanging="180"/>
      </w:pPr>
    </w:lvl>
  </w:abstractNum>
  <w:abstractNum w:abstractNumId="10">
    <w:nsid w:val="146C29A4"/>
    <w:multiLevelType w:val="hybridMultilevel"/>
    <w:tmpl w:val="6CC40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7E68D4"/>
    <w:multiLevelType w:val="hybridMultilevel"/>
    <w:tmpl w:val="1534E03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826EF9"/>
    <w:multiLevelType w:val="hybridMultilevel"/>
    <w:tmpl w:val="80D62E70"/>
    <w:lvl w:ilvl="0" w:tplc="9FECAAAE">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1283FE2"/>
    <w:multiLevelType w:val="hybridMultilevel"/>
    <w:tmpl w:val="09987668"/>
    <w:lvl w:ilvl="0" w:tplc="D2F6B0DE">
      <w:start w:val="1"/>
      <w:numFmt w:val="decimal"/>
      <w:lvlText w:val="%1."/>
      <w:lvlJc w:val="left"/>
      <w:pPr>
        <w:ind w:left="810" w:hanging="360"/>
      </w:pPr>
      <w:rPr>
        <w:i w:val="0"/>
      </w:rPr>
    </w:lvl>
    <w:lvl w:ilvl="1" w:tplc="140A0019">
      <w:start w:val="1"/>
      <w:numFmt w:val="lowerLetter"/>
      <w:lvlText w:val="%2."/>
      <w:lvlJc w:val="left"/>
      <w:pPr>
        <w:ind w:left="1620" w:hanging="360"/>
      </w:pPr>
    </w:lvl>
    <w:lvl w:ilvl="2" w:tplc="140A001B" w:tentative="1">
      <w:start w:val="1"/>
      <w:numFmt w:val="lowerRoman"/>
      <w:lvlText w:val="%3."/>
      <w:lvlJc w:val="right"/>
      <w:pPr>
        <w:ind w:left="2340" w:hanging="180"/>
      </w:pPr>
    </w:lvl>
    <w:lvl w:ilvl="3" w:tplc="140A000F" w:tentative="1">
      <w:start w:val="1"/>
      <w:numFmt w:val="decimal"/>
      <w:lvlText w:val="%4."/>
      <w:lvlJc w:val="left"/>
      <w:pPr>
        <w:ind w:left="3060" w:hanging="360"/>
      </w:pPr>
    </w:lvl>
    <w:lvl w:ilvl="4" w:tplc="140A0019" w:tentative="1">
      <w:start w:val="1"/>
      <w:numFmt w:val="lowerLetter"/>
      <w:lvlText w:val="%5."/>
      <w:lvlJc w:val="left"/>
      <w:pPr>
        <w:ind w:left="3780" w:hanging="360"/>
      </w:pPr>
    </w:lvl>
    <w:lvl w:ilvl="5" w:tplc="140A001B" w:tentative="1">
      <w:start w:val="1"/>
      <w:numFmt w:val="lowerRoman"/>
      <w:lvlText w:val="%6."/>
      <w:lvlJc w:val="right"/>
      <w:pPr>
        <w:ind w:left="4500" w:hanging="180"/>
      </w:pPr>
    </w:lvl>
    <w:lvl w:ilvl="6" w:tplc="140A000F" w:tentative="1">
      <w:start w:val="1"/>
      <w:numFmt w:val="decimal"/>
      <w:lvlText w:val="%7."/>
      <w:lvlJc w:val="left"/>
      <w:pPr>
        <w:ind w:left="5220" w:hanging="360"/>
      </w:pPr>
    </w:lvl>
    <w:lvl w:ilvl="7" w:tplc="140A0019" w:tentative="1">
      <w:start w:val="1"/>
      <w:numFmt w:val="lowerLetter"/>
      <w:lvlText w:val="%8."/>
      <w:lvlJc w:val="left"/>
      <w:pPr>
        <w:ind w:left="5940" w:hanging="360"/>
      </w:pPr>
    </w:lvl>
    <w:lvl w:ilvl="8" w:tplc="140A001B" w:tentative="1">
      <w:start w:val="1"/>
      <w:numFmt w:val="lowerRoman"/>
      <w:lvlText w:val="%9."/>
      <w:lvlJc w:val="right"/>
      <w:pPr>
        <w:ind w:left="6660" w:hanging="180"/>
      </w:pPr>
    </w:lvl>
  </w:abstractNum>
  <w:abstractNum w:abstractNumId="14">
    <w:nsid w:val="26912F80"/>
    <w:multiLevelType w:val="hybridMultilevel"/>
    <w:tmpl w:val="1896B0B2"/>
    <w:lvl w:ilvl="0" w:tplc="67E07D4A">
      <w:start w:val="1"/>
      <w:numFmt w:val="decimal"/>
      <w:lvlText w:val="%1."/>
      <w:lvlJc w:val="left"/>
      <w:pPr>
        <w:ind w:left="180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780770"/>
    <w:multiLevelType w:val="hybridMultilevel"/>
    <w:tmpl w:val="D8389888"/>
    <w:lvl w:ilvl="0" w:tplc="67E07D4A">
      <w:start w:val="1"/>
      <w:numFmt w:val="decimal"/>
      <w:lvlText w:val="%1."/>
      <w:lvlJc w:val="left"/>
      <w:pPr>
        <w:ind w:left="720" w:hanging="720"/>
      </w:pPr>
      <w:rPr>
        <w:rFonts w:hint="default"/>
        <w:b w:val="0"/>
        <w:i w:val="0"/>
        <w:color w:val="auto"/>
      </w:rPr>
    </w:lvl>
    <w:lvl w:ilvl="1" w:tplc="7C2C13CE">
      <w:start w:val="1"/>
      <w:numFmt w:val="lowerRoman"/>
      <w:lvlText w:val="%2."/>
      <w:lvlJc w:val="left"/>
      <w:pPr>
        <w:ind w:left="1800" w:hanging="720"/>
      </w:pPr>
      <w:rPr>
        <w:rFonts w:hint="default"/>
      </w:rPr>
    </w:lvl>
    <w:lvl w:ilvl="2" w:tplc="841219D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C754BB"/>
    <w:multiLevelType w:val="hybridMultilevel"/>
    <w:tmpl w:val="D090AC0C"/>
    <w:lvl w:ilvl="0" w:tplc="04090015">
      <w:start w:val="1"/>
      <w:numFmt w:val="upperLetter"/>
      <w:lvlText w:val="%1."/>
      <w:lvlJc w:val="left"/>
      <w:pPr>
        <w:ind w:left="720" w:hanging="360"/>
      </w:pPr>
      <w:rPr>
        <w:rFonts w:hint="default"/>
      </w:rPr>
    </w:lvl>
    <w:lvl w:ilvl="1" w:tplc="DF7AD676">
      <w:start w:val="1"/>
      <w:numFmt w:val="decimal"/>
      <w:lvlText w:val="%2)"/>
      <w:lvlJc w:val="left"/>
      <w:pPr>
        <w:ind w:left="1440" w:hanging="360"/>
      </w:pPr>
      <w:rPr>
        <w:b/>
        <w:bCs/>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C0201A9"/>
    <w:multiLevelType w:val="hybridMultilevel"/>
    <w:tmpl w:val="B8C00C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140FCE"/>
    <w:multiLevelType w:val="hybridMultilevel"/>
    <w:tmpl w:val="1070F14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33EE7C6E"/>
    <w:multiLevelType w:val="hybridMultilevel"/>
    <w:tmpl w:val="1FBE0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FE65A0"/>
    <w:multiLevelType w:val="hybridMultilevel"/>
    <w:tmpl w:val="3DC8A7FE"/>
    <w:lvl w:ilvl="0" w:tplc="67E07D4A">
      <w:start w:val="1"/>
      <w:numFmt w:val="decimal"/>
      <w:lvlText w:val="%1."/>
      <w:lvlJc w:val="left"/>
      <w:pPr>
        <w:ind w:left="1800" w:hanging="720"/>
      </w:pPr>
      <w:rPr>
        <w:rFonts w:hint="default"/>
        <w:b w:val="0"/>
        <w:i w:val="0"/>
        <w:color w:val="auto"/>
      </w:rPr>
    </w:lvl>
    <w:lvl w:ilvl="1" w:tplc="7C2C13CE">
      <w:start w:val="1"/>
      <w:numFmt w:val="lowerRoman"/>
      <w:lvlText w:val="%2."/>
      <w:lvlJc w:val="left"/>
      <w:pPr>
        <w:ind w:left="1800" w:hanging="720"/>
      </w:pPr>
      <w:rPr>
        <w:rFonts w:hint="default"/>
      </w:rPr>
    </w:lvl>
    <w:lvl w:ilvl="2" w:tplc="841219D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38404A"/>
    <w:multiLevelType w:val="hybridMultilevel"/>
    <w:tmpl w:val="5C0EDC20"/>
    <w:lvl w:ilvl="0" w:tplc="43D0D0D0">
      <w:start w:val="1"/>
      <w:numFmt w:val="decimal"/>
      <w:lvlText w:val="%1."/>
      <w:lvlJc w:val="left"/>
      <w:pPr>
        <w:tabs>
          <w:tab w:val="num" w:pos="720"/>
        </w:tabs>
      </w:pPr>
      <w:rPr>
        <w:rFonts w:ascii="Verdana" w:hAnsi="Verdana" w:cs="Times New Roman" w:hint="default"/>
        <w:b w:val="0"/>
        <w:i w:val="0"/>
        <w:sz w:val="20"/>
      </w:rPr>
    </w:lvl>
    <w:lvl w:ilvl="1" w:tplc="00190409">
      <w:start w:val="1"/>
      <w:numFmt w:val="lowerLetter"/>
      <w:lvlText w:val="%2."/>
      <w:lvlJc w:val="left"/>
      <w:pPr>
        <w:tabs>
          <w:tab w:val="num" w:pos="1080"/>
        </w:tabs>
        <w:ind w:left="108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2">
    <w:nsid w:val="3B0036D6"/>
    <w:multiLevelType w:val="hybridMultilevel"/>
    <w:tmpl w:val="3DC8A7FE"/>
    <w:lvl w:ilvl="0" w:tplc="67E07D4A">
      <w:start w:val="1"/>
      <w:numFmt w:val="decimal"/>
      <w:lvlText w:val="%1."/>
      <w:lvlJc w:val="left"/>
      <w:pPr>
        <w:ind w:left="1800" w:hanging="720"/>
      </w:pPr>
      <w:rPr>
        <w:rFonts w:hint="default"/>
        <w:b w:val="0"/>
        <w:i w:val="0"/>
        <w:color w:val="auto"/>
      </w:rPr>
    </w:lvl>
    <w:lvl w:ilvl="1" w:tplc="7C2C13CE">
      <w:start w:val="1"/>
      <w:numFmt w:val="lowerRoman"/>
      <w:lvlText w:val="%2."/>
      <w:lvlJc w:val="left"/>
      <w:pPr>
        <w:ind w:left="1800" w:hanging="720"/>
      </w:pPr>
      <w:rPr>
        <w:rFonts w:hint="default"/>
      </w:rPr>
    </w:lvl>
    <w:lvl w:ilvl="2" w:tplc="841219D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BE2EE7"/>
    <w:multiLevelType w:val="hybridMultilevel"/>
    <w:tmpl w:val="BA3ACA80"/>
    <w:lvl w:ilvl="0" w:tplc="669E168E">
      <w:start w:val="1"/>
      <w:numFmt w:val="upperRoman"/>
      <w:lvlText w:val="%1."/>
      <w:lvlJc w:val="left"/>
      <w:pPr>
        <w:ind w:left="1287" w:hanging="72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3F6E24E5"/>
    <w:multiLevelType w:val="hybridMultilevel"/>
    <w:tmpl w:val="4AE6ECA6"/>
    <w:lvl w:ilvl="0" w:tplc="67E07D4A">
      <w:start w:val="1"/>
      <w:numFmt w:val="decimal"/>
      <w:lvlText w:val="%1."/>
      <w:lvlJc w:val="left"/>
      <w:pPr>
        <w:ind w:left="1440" w:hanging="720"/>
      </w:pPr>
      <w:rPr>
        <w:rFonts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19F25F6"/>
    <w:multiLevelType w:val="hybridMultilevel"/>
    <w:tmpl w:val="6BFC01F0"/>
    <w:lvl w:ilvl="0" w:tplc="67E07D4A">
      <w:start w:val="1"/>
      <w:numFmt w:val="decimal"/>
      <w:lvlText w:val="%1."/>
      <w:lvlJc w:val="left"/>
      <w:pPr>
        <w:ind w:left="1800" w:hanging="720"/>
      </w:pPr>
      <w:rPr>
        <w:rFonts w:hint="default"/>
        <w:b w:val="0"/>
        <w:i w:val="0"/>
        <w:color w:val="auto"/>
      </w:rPr>
    </w:lvl>
    <w:lvl w:ilvl="1" w:tplc="7C2C13CE">
      <w:start w:val="1"/>
      <w:numFmt w:val="lowerRoman"/>
      <w:lvlText w:val="%2."/>
      <w:lvlJc w:val="left"/>
      <w:pPr>
        <w:ind w:left="1800" w:hanging="720"/>
      </w:pPr>
      <w:rPr>
        <w:rFonts w:hint="default"/>
      </w:rPr>
    </w:lvl>
    <w:lvl w:ilvl="2" w:tplc="841219D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B61258"/>
    <w:multiLevelType w:val="hybridMultilevel"/>
    <w:tmpl w:val="A21C8774"/>
    <w:lvl w:ilvl="0" w:tplc="B9F22EF4">
      <w:start w:val="1"/>
      <w:numFmt w:val="lowerRoman"/>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42C1457"/>
    <w:multiLevelType w:val="hybridMultilevel"/>
    <w:tmpl w:val="F80468FC"/>
    <w:lvl w:ilvl="0" w:tplc="11C40EC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6D93127"/>
    <w:multiLevelType w:val="hybridMultilevel"/>
    <w:tmpl w:val="09987668"/>
    <w:lvl w:ilvl="0" w:tplc="D2F6B0DE">
      <w:start w:val="1"/>
      <w:numFmt w:val="decimal"/>
      <w:lvlText w:val="%1."/>
      <w:lvlJc w:val="left"/>
      <w:pPr>
        <w:ind w:left="810" w:hanging="360"/>
      </w:pPr>
      <w:rPr>
        <w:i w:val="0"/>
      </w:rPr>
    </w:lvl>
    <w:lvl w:ilvl="1" w:tplc="140A0019">
      <w:start w:val="1"/>
      <w:numFmt w:val="lowerLetter"/>
      <w:lvlText w:val="%2."/>
      <w:lvlJc w:val="left"/>
      <w:pPr>
        <w:ind w:left="1620" w:hanging="360"/>
      </w:pPr>
    </w:lvl>
    <w:lvl w:ilvl="2" w:tplc="140A001B" w:tentative="1">
      <w:start w:val="1"/>
      <w:numFmt w:val="lowerRoman"/>
      <w:lvlText w:val="%3."/>
      <w:lvlJc w:val="right"/>
      <w:pPr>
        <w:ind w:left="2340" w:hanging="180"/>
      </w:pPr>
    </w:lvl>
    <w:lvl w:ilvl="3" w:tplc="140A000F" w:tentative="1">
      <w:start w:val="1"/>
      <w:numFmt w:val="decimal"/>
      <w:lvlText w:val="%4."/>
      <w:lvlJc w:val="left"/>
      <w:pPr>
        <w:ind w:left="3060" w:hanging="360"/>
      </w:pPr>
    </w:lvl>
    <w:lvl w:ilvl="4" w:tplc="140A0019" w:tentative="1">
      <w:start w:val="1"/>
      <w:numFmt w:val="lowerLetter"/>
      <w:lvlText w:val="%5."/>
      <w:lvlJc w:val="left"/>
      <w:pPr>
        <w:ind w:left="3780" w:hanging="360"/>
      </w:pPr>
    </w:lvl>
    <w:lvl w:ilvl="5" w:tplc="140A001B" w:tentative="1">
      <w:start w:val="1"/>
      <w:numFmt w:val="lowerRoman"/>
      <w:lvlText w:val="%6."/>
      <w:lvlJc w:val="right"/>
      <w:pPr>
        <w:ind w:left="4500" w:hanging="180"/>
      </w:pPr>
    </w:lvl>
    <w:lvl w:ilvl="6" w:tplc="140A000F" w:tentative="1">
      <w:start w:val="1"/>
      <w:numFmt w:val="decimal"/>
      <w:lvlText w:val="%7."/>
      <w:lvlJc w:val="left"/>
      <w:pPr>
        <w:ind w:left="5220" w:hanging="360"/>
      </w:pPr>
    </w:lvl>
    <w:lvl w:ilvl="7" w:tplc="140A0019" w:tentative="1">
      <w:start w:val="1"/>
      <w:numFmt w:val="lowerLetter"/>
      <w:lvlText w:val="%8."/>
      <w:lvlJc w:val="left"/>
      <w:pPr>
        <w:ind w:left="5940" w:hanging="360"/>
      </w:pPr>
    </w:lvl>
    <w:lvl w:ilvl="8" w:tplc="140A001B" w:tentative="1">
      <w:start w:val="1"/>
      <w:numFmt w:val="lowerRoman"/>
      <w:lvlText w:val="%9."/>
      <w:lvlJc w:val="right"/>
      <w:pPr>
        <w:ind w:left="6660" w:hanging="180"/>
      </w:pPr>
    </w:lvl>
  </w:abstractNum>
  <w:abstractNum w:abstractNumId="29">
    <w:nsid w:val="494B77C7"/>
    <w:multiLevelType w:val="hybridMultilevel"/>
    <w:tmpl w:val="DFEE395A"/>
    <w:lvl w:ilvl="0" w:tplc="D2F6B0DE">
      <w:start w:val="1"/>
      <w:numFmt w:val="decimal"/>
      <w:lvlText w:val="%1."/>
      <w:lvlJc w:val="left"/>
      <w:pPr>
        <w:ind w:left="126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FD72941"/>
    <w:multiLevelType w:val="hybridMultilevel"/>
    <w:tmpl w:val="B6C66644"/>
    <w:lvl w:ilvl="0" w:tplc="D2F6B0DE">
      <w:start w:val="1"/>
      <w:numFmt w:val="decimal"/>
      <w:lvlText w:val="%1."/>
      <w:lvlJc w:val="left"/>
      <w:pPr>
        <w:ind w:left="9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EB7199"/>
    <w:multiLevelType w:val="hybridMultilevel"/>
    <w:tmpl w:val="A9E65432"/>
    <w:lvl w:ilvl="0" w:tplc="3F2CF08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81654D"/>
    <w:multiLevelType w:val="hybridMultilevel"/>
    <w:tmpl w:val="09987668"/>
    <w:lvl w:ilvl="0" w:tplc="D2F6B0DE">
      <w:start w:val="1"/>
      <w:numFmt w:val="decimal"/>
      <w:lvlText w:val="%1."/>
      <w:lvlJc w:val="left"/>
      <w:pPr>
        <w:ind w:left="810" w:hanging="360"/>
      </w:pPr>
      <w:rPr>
        <w:i w:val="0"/>
      </w:rPr>
    </w:lvl>
    <w:lvl w:ilvl="1" w:tplc="140A0019">
      <w:start w:val="1"/>
      <w:numFmt w:val="lowerLetter"/>
      <w:lvlText w:val="%2."/>
      <w:lvlJc w:val="left"/>
      <w:pPr>
        <w:ind w:left="1620" w:hanging="360"/>
      </w:pPr>
    </w:lvl>
    <w:lvl w:ilvl="2" w:tplc="140A001B" w:tentative="1">
      <w:start w:val="1"/>
      <w:numFmt w:val="lowerRoman"/>
      <w:lvlText w:val="%3."/>
      <w:lvlJc w:val="right"/>
      <w:pPr>
        <w:ind w:left="2340" w:hanging="180"/>
      </w:pPr>
    </w:lvl>
    <w:lvl w:ilvl="3" w:tplc="140A000F" w:tentative="1">
      <w:start w:val="1"/>
      <w:numFmt w:val="decimal"/>
      <w:lvlText w:val="%4."/>
      <w:lvlJc w:val="left"/>
      <w:pPr>
        <w:ind w:left="3060" w:hanging="360"/>
      </w:pPr>
    </w:lvl>
    <w:lvl w:ilvl="4" w:tplc="140A0019" w:tentative="1">
      <w:start w:val="1"/>
      <w:numFmt w:val="lowerLetter"/>
      <w:lvlText w:val="%5."/>
      <w:lvlJc w:val="left"/>
      <w:pPr>
        <w:ind w:left="3780" w:hanging="360"/>
      </w:pPr>
    </w:lvl>
    <w:lvl w:ilvl="5" w:tplc="140A001B" w:tentative="1">
      <w:start w:val="1"/>
      <w:numFmt w:val="lowerRoman"/>
      <w:lvlText w:val="%6."/>
      <w:lvlJc w:val="right"/>
      <w:pPr>
        <w:ind w:left="4500" w:hanging="180"/>
      </w:pPr>
    </w:lvl>
    <w:lvl w:ilvl="6" w:tplc="140A000F" w:tentative="1">
      <w:start w:val="1"/>
      <w:numFmt w:val="decimal"/>
      <w:lvlText w:val="%7."/>
      <w:lvlJc w:val="left"/>
      <w:pPr>
        <w:ind w:left="5220" w:hanging="360"/>
      </w:pPr>
    </w:lvl>
    <w:lvl w:ilvl="7" w:tplc="140A0019" w:tentative="1">
      <w:start w:val="1"/>
      <w:numFmt w:val="lowerLetter"/>
      <w:lvlText w:val="%8."/>
      <w:lvlJc w:val="left"/>
      <w:pPr>
        <w:ind w:left="5940" w:hanging="360"/>
      </w:pPr>
    </w:lvl>
    <w:lvl w:ilvl="8" w:tplc="140A001B" w:tentative="1">
      <w:start w:val="1"/>
      <w:numFmt w:val="lowerRoman"/>
      <w:lvlText w:val="%9."/>
      <w:lvlJc w:val="right"/>
      <w:pPr>
        <w:ind w:left="6660" w:hanging="180"/>
      </w:pPr>
    </w:lvl>
  </w:abstractNum>
  <w:abstractNum w:abstractNumId="33">
    <w:nsid w:val="53B765B9"/>
    <w:multiLevelType w:val="hybridMultilevel"/>
    <w:tmpl w:val="C8EA599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DB774F"/>
    <w:multiLevelType w:val="hybridMultilevel"/>
    <w:tmpl w:val="BE0A3138"/>
    <w:lvl w:ilvl="0" w:tplc="D2F6B0DE">
      <w:start w:val="1"/>
      <w:numFmt w:val="decimal"/>
      <w:lvlText w:val="%1."/>
      <w:lvlJc w:val="left"/>
      <w:pPr>
        <w:ind w:left="900" w:hanging="360"/>
      </w:pPr>
      <w:rPr>
        <w:i w:val="0"/>
      </w:rPr>
    </w:lvl>
    <w:lvl w:ilvl="1" w:tplc="140A0019">
      <w:start w:val="1"/>
      <w:numFmt w:val="lowerLetter"/>
      <w:lvlText w:val="%2."/>
      <w:lvlJc w:val="left"/>
      <w:pPr>
        <w:ind w:left="1620" w:hanging="360"/>
      </w:pPr>
    </w:lvl>
    <w:lvl w:ilvl="2" w:tplc="140A001B" w:tentative="1">
      <w:start w:val="1"/>
      <w:numFmt w:val="lowerRoman"/>
      <w:lvlText w:val="%3."/>
      <w:lvlJc w:val="right"/>
      <w:pPr>
        <w:ind w:left="2340" w:hanging="180"/>
      </w:pPr>
    </w:lvl>
    <w:lvl w:ilvl="3" w:tplc="140A000F" w:tentative="1">
      <w:start w:val="1"/>
      <w:numFmt w:val="decimal"/>
      <w:lvlText w:val="%4."/>
      <w:lvlJc w:val="left"/>
      <w:pPr>
        <w:ind w:left="3060" w:hanging="360"/>
      </w:pPr>
    </w:lvl>
    <w:lvl w:ilvl="4" w:tplc="140A0019" w:tentative="1">
      <w:start w:val="1"/>
      <w:numFmt w:val="lowerLetter"/>
      <w:lvlText w:val="%5."/>
      <w:lvlJc w:val="left"/>
      <w:pPr>
        <w:ind w:left="3780" w:hanging="360"/>
      </w:pPr>
    </w:lvl>
    <w:lvl w:ilvl="5" w:tplc="140A001B" w:tentative="1">
      <w:start w:val="1"/>
      <w:numFmt w:val="lowerRoman"/>
      <w:lvlText w:val="%6."/>
      <w:lvlJc w:val="right"/>
      <w:pPr>
        <w:ind w:left="4500" w:hanging="180"/>
      </w:pPr>
    </w:lvl>
    <w:lvl w:ilvl="6" w:tplc="140A000F" w:tentative="1">
      <w:start w:val="1"/>
      <w:numFmt w:val="decimal"/>
      <w:lvlText w:val="%7."/>
      <w:lvlJc w:val="left"/>
      <w:pPr>
        <w:ind w:left="5220" w:hanging="360"/>
      </w:pPr>
    </w:lvl>
    <w:lvl w:ilvl="7" w:tplc="140A0019" w:tentative="1">
      <w:start w:val="1"/>
      <w:numFmt w:val="lowerLetter"/>
      <w:lvlText w:val="%8."/>
      <w:lvlJc w:val="left"/>
      <w:pPr>
        <w:ind w:left="5940" w:hanging="360"/>
      </w:pPr>
    </w:lvl>
    <w:lvl w:ilvl="8" w:tplc="140A001B" w:tentative="1">
      <w:start w:val="1"/>
      <w:numFmt w:val="lowerRoman"/>
      <w:lvlText w:val="%9."/>
      <w:lvlJc w:val="right"/>
      <w:pPr>
        <w:ind w:left="6660" w:hanging="180"/>
      </w:pPr>
    </w:lvl>
  </w:abstractNum>
  <w:abstractNum w:abstractNumId="35">
    <w:nsid w:val="55EE4247"/>
    <w:multiLevelType w:val="hybridMultilevel"/>
    <w:tmpl w:val="5A5621D2"/>
    <w:lvl w:ilvl="0" w:tplc="8F04FA5C">
      <w:start w:val="1"/>
      <w:numFmt w:val="decimal"/>
      <w:lvlText w:val="%1."/>
      <w:lvlJc w:val="left"/>
      <w:pPr>
        <w:ind w:left="1080" w:hanging="720"/>
      </w:pPr>
      <w:rPr>
        <w:rFonts w:hint="default"/>
        <w:b w:val="0"/>
        <w:i w:val="0"/>
      </w:rPr>
    </w:lvl>
    <w:lvl w:ilvl="1" w:tplc="B08C5A9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577CAA"/>
    <w:multiLevelType w:val="hybridMultilevel"/>
    <w:tmpl w:val="09987668"/>
    <w:lvl w:ilvl="0" w:tplc="D2F6B0DE">
      <w:start w:val="1"/>
      <w:numFmt w:val="decimal"/>
      <w:lvlText w:val="%1."/>
      <w:lvlJc w:val="left"/>
      <w:pPr>
        <w:ind w:left="900" w:hanging="360"/>
      </w:pPr>
      <w:rPr>
        <w:i w:val="0"/>
      </w:rPr>
    </w:lvl>
    <w:lvl w:ilvl="1" w:tplc="140A0019">
      <w:start w:val="1"/>
      <w:numFmt w:val="lowerLetter"/>
      <w:lvlText w:val="%2."/>
      <w:lvlJc w:val="left"/>
      <w:pPr>
        <w:ind w:left="1710" w:hanging="360"/>
      </w:pPr>
    </w:lvl>
    <w:lvl w:ilvl="2" w:tplc="140A001B" w:tentative="1">
      <w:start w:val="1"/>
      <w:numFmt w:val="lowerRoman"/>
      <w:lvlText w:val="%3."/>
      <w:lvlJc w:val="right"/>
      <w:pPr>
        <w:ind w:left="2430" w:hanging="180"/>
      </w:pPr>
    </w:lvl>
    <w:lvl w:ilvl="3" w:tplc="140A000F" w:tentative="1">
      <w:start w:val="1"/>
      <w:numFmt w:val="decimal"/>
      <w:lvlText w:val="%4."/>
      <w:lvlJc w:val="left"/>
      <w:pPr>
        <w:ind w:left="3150" w:hanging="360"/>
      </w:pPr>
    </w:lvl>
    <w:lvl w:ilvl="4" w:tplc="140A0019" w:tentative="1">
      <w:start w:val="1"/>
      <w:numFmt w:val="lowerLetter"/>
      <w:lvlText w:val="%5."/>
      <w:lvlJc w:val="left"/>
      <w:pPr>
        <w:ind w:left="3870" w:hanging="360"/>
      </w:pPr>
    </w:lvl>
    <w:lvl w:ilvl="5" w:tplc="140A001B" w:tentative="1">
      <w:start w:val="1"/>
      <w:numFmt w:val="lowerRoman"/>
      <w:lvlText w:val="%6."/>
      <w:lvlJc w:val="right"/>
      <w:pPr>
        <w:ind w:left="4590" w:hanging="180"/>
      </w:pPr>
    </w:lvl>
    <w:lvl w:ilvl="6" w:tplc="140A000F" w:tentative="1">
      <w:start w:val="1"/>
      <w:numFmt w:val="decimal"/>
      <w:lvlText w:val="%7."/>
      <w:lvlJc w:val="left"/>
      <w:pPr>
        <w:ind w:left="5310" w:hanging="360"/>
      </w:pPr>
    </w:lvl>
    <w:lvl w:ilvl="7" w:tplc="140A0019" w:tentative="1">
      <w:start w:val="1"/>
      <w:numFmt w:val="lowerLetter"/>
      <w:lvlText w:val="%8."/>
      <w:lvlJc w:val="left"/>
      <w:pPr>
        <w:ind w:left="6030" w:hanging="360"/>
      </w:pPr>
    </w:lvl>
    <w:lvl w:ilvl="8" w:tplc="140A001B" w:tentative="1">
      <w:start w:val="1"/>
      <w:numFmt w:val="lowerRoman"/>
      <w:lvlText w:val="%9."/>
      <w:lvlJc w:val="right"/>
      <w:pPr>
        <w:ind w:left="6750" w:hanging="180"/>
      </w:pPr>
    </w:lvl>
  </w:abstractNum>
  <w:abstractNum w:abstractNumId="37">
    <w:nsid w:val="57633564"/>
    <w:multiLevelType w:val="hybridMultilevel"/>
    <w:tmpl w:val="B8F66A6E"/>
    <w:lvl w:ilvl="0" w:tplc="54D4D9A8">
      <w:start w:val="500"/>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nsid w:val="5BD66B3E"/>
    <w:multiLevelType w:val="hybridMultilevel"/>
    <w:tmpl w:val="223A7A88"/>
    <w:lvl w:ilvl="0" w:tplc="291A1788">
      <w:start w:val="1"/>
      <w:numFmt w:val="upperLetter"/>
      <w:lvlText w:val="%1."/>
      <w:lvlJc w:val="left"/>
      <w:pPr>
        <w:ind w:left="1080" w:hanging="720"/>
      </w:pPr>
      <w:rPr>
        <w:rFonts w:hint="default"/>
        <w:b/>
        <w:i/>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5DE73A4E"/>
    <w:multiLevelType w:val="hybridMultilevel"/>
    <w:tmpl w:val="3DC8A7FE"/>
    <w:lvl w:ilvl="0" w:tplc="67E07D4A">
      <w:start w:val="1"/>
      <w:numFmt w:val="decimal"/>
      <w:lvlText w:val="%1."/>
      <w:lvlJc w:val="left"/>
      <w:pPr>
        <w:ind w:left="1800" w:hanging="720"/>
      </w:pPr>
      <w:rPr>
        <w:rFonts w:hint="default"/>
        <w:b w:val="0"/>
        <w:i w:val="0"/>
        <w:color w:val="auto"/>
      </w:rPr>
    </w:lvl>
    <w:lvl w:ilvl="1" w:tplc="7C2C13CE">
      <w:start w:val="1"/>
      <w:numFmt w:val="lowerRoman"/>
      <w:lvlText w:val="%2."/>
      <w:lvlJc w:val="left"/>
      <w:pPr>
        <w:ind w:left="1800" w:hanging="720"/>
      </w:pPr>
      <w:rPr>
        <w:rFonts w:hint="default"/>
      </w:rPr>
    </w:lvl>
    <w:lvl w:ilvl="2" w:tplc="841219D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1F4717"/>
    <w:multiLevelType w:val="hybridMultilevel"/>
    <w:tmpl w:val="8640C0AC"/>
    <w:lvl w:ilvl="0" w:tplc="4A90016E">
      <w:start w:val="1"/>
      <w:numFmt w:val="upperLetter"/>
      <w:lvlText w:val="%1."/>
      <w:lvlJc w:val="left"/>
      <w:pPr>
        <w:ind w:left="540" w:hanging="360"/>
      </w:pPr>
      <w:rPr>
        <w:rFonts w:ascii="Verdana" w:eastAsia="Calibri" w:hAnsi="Verdana"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nsid w:val="615D6ECD"/>
    <w:multiLevelType w:val="hybridMultilevel"/>
    <w:tmpl w:val="70BA2DC8"/>
    <w:lvl w:ilvl="0" w:tplc="ED0459E8">
      <w:start w:val="1"/>
      <w:numFmt w:val="lowerLetter"/>
      <w:lvlText w:val="%1)"/>
      <w:lvlJc w:val="left"/>
      <w:pPr>
        <w:ind w:left="1080" w:hanging="360"/>
      </w:pPr>
      <w:rPr>
        <w:rFonts w:ascii="Verdana" w:hAnsi="Verdana" w:cs="Verdana" w:hint="default"/>
        <w:sz w:val="20"/>
        <w:szCs w:val="20"/>
      </w:rPr>
    </w:lvl>
    <w:lvl w:ilvl="1" w:tplc="7ED89FC2">
      <w:start w:val="1"/>
      <w:numFmt w:val="decimal"/>
      <w:lvlText w:val="%2."/>
      <w:lvlJc w:val="left"/>
      <w:pPr>
        <w:tabs>
          <w:tab w:val="num" w:pos="993"/>
        </w:tabs>
      </w:pPr>
      <w:rPr>
        <w:rFonts w:hint="default"/>
        <w:b/>
        <w:bCs w:val="0"/>
        <w:sz w:val="20"/>
        <w:szCs w:val="20"/>
      </w:rPr>
    </w:lvl>
    <w:lvl w:ilvl="2" w:tplc="B96C1A40">
      <w:start w:val="1"/>
      <w:numFmt w:val="lowerLetter"/>
      <w:lvlText w:val="%3)"/>
      <w:lvlJc w:val="left"/>
      <w:pPr>
        <w:ind w:left="2700" w:hanging="360"/>
      </w:pPr>
      <w:rPr>
        <w:rFonts w:ascii="Verdana" w:hAnsi="Verdana" w:cs="Verdana" w:hint="default"/>
        <w:b w:val="0"/>
        <w:bCs w:val="0"/>
        <w:sz w:val="20"/>
        <w:szCs w:val="20"/>
      </w:rPr>
    </w:lvl>
    <w:lvl w:ilvl="3" w:tplc="DF4032A0">
      <w:start w:val="1"/>
      <w:numFmt w:val="decimal"/>
      <w:lvlText w:val="%4."/>
      <w:lvlJc w:val="left"/>
      <w:pPr>
        <w:ind w:left="3240" w:hanging="360"/>
      </w:pPr>
      <w:rPr>
        <w:b w:val="0"/>
      </w:r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42">
    <w:nsid w:val="62C97D24"/>
    <w:multiLevelType w:val="hybridMultilevel"/>
    <w:tmpl w:val="5A5621D2"/>
    <w:lvl w:ilvl="0" w:tplc="8F04FA5C">
      <w:start w:val="1"/>
      <w:numFmt w:val="decimal"/>
      <w:lvlText w:val="%1."/>
      <w:lvlJc w:val="left"/>
      <w:pPr>
        <w:ind w:left="1080" w:hanging="720"/>
      </w:pPr>
      <w:rPr>
        <w:rFonts w:hint="default"/>
        <w:b w:val="0"/>
        <w:i w:val="0"/>
      </w:rPr>
    </w:lvl>
    <w:lvl w:ilvl="1" w:tplc="B08C5A9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2D67737"/>
    <w:multiLevelType w:val="hybridMultilevel"/>
    <w:tmpl w:val="AC36151A"/>
    <w:lvl w:ilvl="0" w:tplc="C3A882F0">
      <w:start w:val="1"/>
      <w:numFmt w:val="upperLetter"/>
      <w:lvlText w:val="%1."/>
      <w:lvlJc w:val="left"/>
      <w:pPr>
        <w:ind w:left="540" w:hanging="360"/>
      </w:pPr>
      <w:rPr>
        <w:rFonts w:hint="default"/>
        <w:b w:val="0"/>
      </w:rPr>
    </w:lvl>
    <w:lvl w:ilvl="1" w:tplc="140A0019" w:tentative="1">
      <w:start w:val="1"/>
      <w:numFmt w:val="lowerLetter"/>
      <w:lvlText w:val="%2."/>
      <w:lvlJc w:val="left"/>
      <w:pPr>
        <w:ind w:left="1260" w:hanging="360"/>
      </w:pPr>
    </w:lvl>
    <w:lvl w:ilvl="2" w:tplc="140A001B" w:tentative="1">
      <w:start w:val="1"/>
      <w:numFmt w:val="lowerRoman"/>
      <w:lvlText w:val="%3."/>
      <w:lvlJc w:val="right"/>
      <w:pPr>
        <w:ind w:left="1980" w:hanging="180"/>
      </w:pPr>
    </w:lvl>
    <w:lvl w:ilvl="3" w:tplc="140A000F" w:tentative="1">
      <w:start w:val="1"/>
      <w:numFmt w:val="decimal"/>
      <w:lvlText w:val="%4."/>
      <w:lvlJc w:val="left"/>
      <w:pPr>
        <w:ind w:left="2700" w:hanging="360"/>
      </w:pPr>
    </w:lvl>
    <w:lvl w:ilvl="4" w:tplc="140A0019" w:tentative="1">
      <w:start w:val="1"/>
      <w:numFmt w:val="lowerLetter"/>
      <w:lvlText w:val="%5."/>
      <w:lvlJc w:val="left"/>
      <w:pPr>
        <w:ind w:left="3420" w:hanging="360"/>
      </w:pPr>
    </w:lvl>
    <w:lvl w:ilvl="5" w:tplc="140A001B" w:tentative="1">
      <w:start w:val="1"/>
      <w:numFmt w:val="lowerRoman"/>
      <w:lvlText w:val="%6."/>
      <w:lvlJc w:val="right"/>
      <w:pPr>
        <w:ind w:left="4140" w:hanging="180"/>
      </w:pPr>
    </w:lvl>
    <w:lvl w:ilvl="6" w:tplc="140A000F" w:tentative="1">
      <w:start w:val="1"/>
      <w:numFmt w:val="decimal"/>
      <w:lvlText w:val="%7."/>
      <w:lvlJc w:val="left"/>
      <w:pPr>
        <w:ind w:left="4860" w:hanging="360"/>
      </w:pPr>
    </w:lvl>
    <w:lvl w:ilvl="7" w:tplc="140A0019" w:tentative="1">
      <w:start w:val="1"/>
      <w:numFmt w:val="lowerLetter"/>
      <w:lvlText w:val="%8."/>
      <w:lvlJc w:val="left"/>
      <w:pPr>
        <w:ind w:left="5580" w:hanging="360"/>
      </w:pPr>
    </w:lvl>
    <w:lvl w:ilvl="8" w:tplc="140A001B" w:tentative="1">
      <w:start w:val="1"/>
      <w:numFmt w:val="lowerRoman"/>
      <w:lvlText w:val="%9."/>
      <w:lvlJc w:val="right"/>
      <w:pPr>
        <w:ind w:left="6300" w:hanging="180"/>
      </w:pPr>
    </w:lvl>
  </w:abstractNum>
  <w:abstractNum w:abstractNumId="44">
    <w:nsid w:val="644167C5"/>
    <w:multiLevelType w:val="hybridMultilevel"/>
    <w:tmpl w:val="1EF63622"/>
    <w:lvl w:ilvl="0" w:tplc="0FD0E226">
      <w:start w:val="1"/>
      <w:numFmt w:val="decimal"/>
      <w:lvlText w:val="%1."/>
      <w:lvlJc w:val="left"/>
      <w:pPr>
        <w:tabs>
          <w:tab w:val="num" w:pos="3600"/>
        </w:tabs>
      </w:pPr>
      <w:rPr>
        <w:rFonts w:ascii="Verdana" w:hAnsi="Verdana" w:cs="Times New Roman" w:hint="default"/>
        <w:b w:val="0"/>
        <w:i w:val="0"/>
        <w:sz w:val="20"/>
      </w:rPr>
    </w:lvl>
    <w:lvl w:ilvl="1" w:tplc="04090019">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45">
    <w:nsid w:val="6A7B3CFA"/>
    <w:multiLevelType w:val="hybridMultilevel"/>
    <w:tmpl w:val="3DC8A7FE"/>
    <w:lvl w:ilvl="0" w:tplc="67E07D4A">
      <w:start w:val="1"/>
      <w:numFmt w:val="decimal"/>
      <w:lvlText w:val="%1."/>
      <w:lvlJc w:val="left"/>
      <w:pPr>
        <w:ind w:left="1800" w:hanging="720"/>
      </w:pPr>
      <w:rPr>
        <w:rFonts w:hint="default"/>
        <w:b w:val="0"/>
        <w:i w:val="0"/>
        <w:color w:val="auto"/>
      </w:rPr>
    </w:lvl>
    <w:lvl w:ilvl="1" w:tplc="7C2C13CE">
      <w:start w:val="1"/>
      <w:numFmt w:val="lowerRoman"/>
      <w:lvlText w:val="%2."/>
      <w:lvlJc w:val="left"/>
      <w:pPr>
        <w:ind w:left="1800" w:hanging="720"/>
      </w:pPr>
      <w:rPr>
        <w:rFonts w:hint="default"/>
      </w:rPr>
    </w:lvl>
    <w:lvl w:ilvl="2" w:tplc="841219D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C7F2581"/>
    <w:multiLevelType w:val="hybridMultilevel"/>
    <w:tmpl w:val="237A4242"/>
    <w:lvl w:ilvl="0" w:tplc="959A9AEE">
      <w:start w:val="1"/>
      <w:numFmt w:val="upperRoman"/>
      <w:lvlText w:val="%1."/>
      <w:lvlJc w:val="left"/>
      <w:pPr>
        <w:ind w:left="1287" w:hanging="72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nsid w:val="6D0E7F1C"/>
    <w:multiLevelType w:val="hybridMultilevel"/>
    <w:tmpl w:val="67E8BE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nsid w:val="701E7730"/>
    <w:multiLevelType w:val="hybridMultilevel"/>
    <w:tmpl w:val="223A7A88"/>
    <w:lvl w:ilvl="0" w:tplc="291A1788">
      <w:start w:val="1"/>
      <w:numFmt w:val="upperLetter"/>
      <w:lvlText w:val="%1."/>
      <w:lvlJc w:val="left"/>
      <w:pPr>
        <w:ind w:left="1080" w:hanging="720"/>
      </w:pPr>
      <w:rPr>
        <w:rFonts w:hint="default"/>
        <w:b/>
        <w:i/>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70D732E5"/>
    <w:multiLevelType w:val="hybridMultilevel"/>
    <w:tmpl w:val="4BFC569A"/>
    <w:lvl w:ilvl="0" w:tplc="D2F6B0DE">
      <w:start w:val="1"/>
      <w:numFmt w:val="decimal"/>
      <w:lvlText w:val="%1."/>
      <w:lvlJc w:val="left"/>
      <w:pPr>
        <w:ind w:left="9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28F1ABC"/>
    <w:multiLevelType w:val="hybridMultilevel"/>
    <w:tmpl w:val="223A7A88"/>
    <w:lvl w:ilvl="0" w:tplc="291A1788">
      <w:start w:val="1"/>
      <w:numFmt w:val="upperLetter"/>
      <w:lvlText w:val="%1."/>
      <w:lvlJc w:val="left"/>
      <w:pPr>
        <w:ind w:left="1080" w:hanging="720"/>
      </w:pPr>
      <w:rPr>
        <w:rFonts w:hint="default"/>
        <w:b/>
        <w:i/>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7D631B8C"/>
    <w:multiLevelType w:val="hybridMultilevel"/>
    <w:tmpl w:val="628879BC"/>
    <w:lvl w:ilvl="0" w:tplc="B2D8960A">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F2322FE"/>
    <w:multiLevelType w:val="hybridMultilevel"/>
    <w:tmpl w:val="69D46D5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42"/>
  </w:num>
  <w:num w:numId="2">
    <w:abstractNumId w:val="15"/>
  </w:num>
  <w:num w:numId="3">
    <w:abstractNumId w:val="48"/>
  </w:num>
  <w:num w:numId="4">
    <w:abstractNumId w:val="16"/>
  </w:num>
  <w:num w:numId="5">
    <w:abstractNumId w:val="44"/>
  </w:num>
  <w:num w:numId="6">
    <w:abstractNumId w:val="1"/>
  </w:num>
  <w:num w:numId="7">
    <w:abstractNumId w:val="43"/>
  </w:num>
  <w:num w:numId="8">
    <w:abstractNumId w:val="13"/>
  </w:num>
  <w:num w:numId="9">
    <w:abstractNumId w:val="37"/>
  </w:num>
  <w:num w:numId="10">
    <w:abstractNumId w:val="41"/>
  </w:num>
  <w:num w:numId="11">
    <w:abstractNumId w:val="0"/>
  </w:num>
  <w:num w:numId="12">
    <w:abstractNumId w:val="21"/>
  </w:num>
  <w:num w:numId="13">
    <w:abstractNumId w:val="25"/>
  </w:num>
  <w:num w:numId="14">
    <w:abstractNumId w:val="3"/>
  </w:num>
  <w:num w:numId="15">
    <w:abstractNumId w:val="33"/>
  </w:num>
  <w:num w:numId="16">
    <w:abstractNumId w:val="51"/>
  </w:num>
  <w:num w:numId="17">
    <w:abstractNumId w:val="18"/>
  </w:num>
  <w:num w:numId="18">
    <w:abstractNumId w:val="52"/>
  </w:num>
  <w:num w:numId="19">
    <w:abstractNumId w:val="47"/>
  </w:num>
  <w:num w:numId="20">
    <w:abstractNumId w:val="27"/>
  </w:num>
  <w:num w:numId="21">
    <w:abstractNumId w:val="7"/>
  </w:num>
  <w:num w:numId="22">
    <w:abstractNumId w:val="46"/>
  </w:num>
  <w:num w:numId="23">
    <w:abstractNumId w:val="23"/>
  </w:num>
  <w:num w:numId="24">
    <w:abstractNumId w:val="22"/>
  </w:num>
  <w:num w:numId="25">
    <w:abstractNumId w:val="45"/>
  </w:num>
  <w:num w:numId="26">
    <w:abstractNumId w:val="50"/>
  </w:num>
  <w:num w:numId="27">
    <w:abstractNumId w:val="38"/>
  </w:num>
  <w:num w:numId="28">
    <w:abstractNumId w:val="14"/>
  </w:num>
  <w:num w:numId="29">
    <w:abstractNumId w:val="26"/>
  </w:num>
  <w:num w:numId="30">
    <w:abstractNumId w:val="6"/>
  </w:num>
  <w:num w:numId="31">
    <w:abstractNumId w:val="20"/>
  </w:num>
  <w:num w:numId="32">
    <w:abstractNumId w:val="39"/>
  </w:num>
  <w:num w:numId="33">
    <w:abstractNumId w:val="2"/>
  </w:num>
  <w:num w:numId="34">
    <w:abstractNumId w:val="5"/>
  </w:num>
  <w:num w:numId="35">
    <w:abstractNumId w:val="24"/>
  </w:num>
  <w:num w:numId="36">
    <w:abstractNumId w:val="19"/>
  </w:num>
  <w:num w:numId="37">
    <w:abstractNumId w:val="11"/>
  </w:num>
  <w:num w:numId="38">
    <w:abstractNumId w:val="8"/>
  </w:num>
  <w:num w:numId="39">
    <w:abstractNumId w:val="10"/>
  </w:num>
  <w:num w:numId="40">
    <w:abstractNumId w:val="31"/>
  </w:num>
  <w:num w:numId="41">
    <w:abstractNumId w:val="17"/>
  </w:num>
  <w:num w:numId="42">
    <w:abstractNumId w:val="40"/>
  </w:num>
  <w:num w:numId="43">
    <w:abstractNumId w:val="49"/>
  </w:num>
  <w:num w:numId="44">
    <w:abstractNumId w:val="34"/>
  </w:num>
  <w:num w:numId="45">
    <w:abstractNumId w:val="30"/>
  </w:num>
  <w:num w:numId="46">
    <w:abstractNumId w:val="29"/>
  </w:num>
  <w:num w:numId="47">
    <w:abstractNumId w:val="35"/>
  </w:num>
  <w:num w:numId="48">
    <w:abstractNumId w:val="32"/>
  </w:num>
  <w:num w:numId="49">
    <w:abstractNumId w:val="36"/>
  </w:num>
  <w:num w:numId="50">
    <w:abstractNumId w:val="28"/>
  </w:num>
  <w:num w:numId="51">
    <w:abstractNumId w:val="9"/>
  </w:num>
  <w:num w:numId="52">
    <w:abstractNumId w:val="4"/>
  </w:num>
  <w:num w:numId="53">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0E0"/>
    <w:rsid w:val="00003256"/>
    <w:rsid w:val="00005262"/>
    <w:rsid w:val="0001213C"/>
    <w:rsid w:val="00014456"/>
    <w:rsid w:val="00024C6B"/>
    <w:rsid w:val="0004216A"/>
    <w:rsid w:val="00045051"/>
    <w:rsid w:val="0004586A"/>
    <w:rsid w:val="00050AC5"/>
    <w:rsid w:val="0005597E"/>
    <w:rsid w:val="000755EF"/>
    <w:rsid w:val="000770E0"/>
    <w:rsid w:val="00087402"/>
    <w:rsid w:val="00090A01"/>
    <w:rsid w:val="00092BA4"/>
    <w:rsid w:val="000966F5"/>
    <w:rsid w:val="000B32FB"/>
    <w:rsid w:val="000C5EFF"/>
    <w:rsid w:val="000D3B74"/>
    <w:rsid w:val="000D58EA"/>
    <w:rsid w:val="00101E13"/>
    <w:rsid w:val="00115B85"/>
    <w:rsid w:val="001269AE"/>
    <w:rsid w:val="00127B51"/>
    <w:rsid w:val="00127BA6"/>
    <w:rsid w:val="00132205"/>
    <w:rsid w:val="00132B53"/>
    <w:rsid w:val="0015655A"/>
    <w:rsid w:val="0019113D"/>
    <w:rsid w:val="00192384"/>
    <w:rsid w:val="001A0946"/>
    <w:rsid w:val="001B158C"/>
    <w:rsid w:val="001B74C4"/>
    <w:rsid w:val="001C5A61"/>
    <w:rsid w:val="001C69B3"/>
    <w:rsid w:val="001D3D7B"/>
    <w:rsid w:val="001D7ED7"/>
    <w:rsid w:val="001F7B82"/>
    <w:rsid w:val="00203B25"/>
    <w:rsid w:val="002047AE"/>
    <w:rsid w:val="00210303"/>
    <w:rsid w:val="00215BE8"/>
    <w:rsid w:val="00220C60"/>
    <w:rsid w:val="002224AA"/>
    <w:rsid w:val="00222902"/>
    <w:rsid w:val="00223D62"/>
    <w:rsid w:val="002412DB"/>
    <w:rsid w:val="00241ADB"/>
    <w:rsid w:val="00256AB9"/>
    <w:rsid w:val="00262731"/>
    <w:rsid w:val="00265536"/>
    <w:rsid w:val="00272530"/>
    <w:rsid w:val="00274B1D"/>
    <w:rsid w:val="002775AC"/>
    <w:rsid w:val="002964AB"/>
    <w:rsid w:val="002A5307"/>
    <w:rsid w:val="002B1CCB"/>
    <w:rsid w:val="002C4B18"/>
    <w:rsid w:val="002D2F99"/>
    <w:rsid w:val="002E33D3"/>
    <w:rsid w:val="002E3AE7"/>
    <w:rsid w:val="002F0695"/>
    <w:rsid w:val="002F14E9"/>
    <w:rsid w:val="002F1B40"/>
    <w:rsid w:val="002F1F76"/>
    <w:rsid w:val="002F388C"/>
    <w:rsid w:val="002F3A80"/>
    <w:rsid w:val="002F4861"/>
    <w:rsid w:val="00304B1A"/>
    <w:rsid w:val="00315A31"/>
    <w:rsid w:val="00327B81"/>
    <w:rsid w:val="003435C8"/>
    <w:rsid w:val="00344E5C"/>
    <w:rsid w:val="00354AE0"/>
    <w:rsid w:val="00355F49"/>
    <w:rsid w:val="00362402"/>
    <w:rsid w:val="0036290C"/>
    <w:rsid w:val="00365273"/>
    <w:rsid w:val="0039393B"/>
    <w:rsid w:val="003A6312"/>
    <w:rsid w:val="003B44FF"/>
    <w:rsid w:val="003C2A9D"/>
    <w:rsid w:val="003D0C4B"/>
    <w:rsid w:val="003D4B87"/>
    <w:rsid w:val="003D728D"/>
    <w:rsid w:val="003E1A34"/>
    <w:rsid w:val="003E4971"/>
    <w:rsid w:val="003E6559"/>
    <w:rsid w:val="003F6997"/>
    <w:rsid w:val="00407637"/>
    <w:rsid w:val="00417A24"/>
    <w:rsid w:val="00422270"/>
    <w:rsid w:val="004257DA"/>
    <w:rsid w:val="004414AC"/>
    <w:rsid w:val="00453AB4"/>
    <w:rsid w:val="00456199"/>
    <w:rsid w:val="004766AC"/>
    <w:rsid w:val="00476CE4"/>
    <w:rsid w:val="00482E14"/>
    <w:rsid w:val="0048721E"/>
    <w:rsid w:val="00492E06"/>
    <w:rsid w:val="004A467C"/>
    <w:rsid w:val="004A5EF7"/>
    <w:rsid w:val="004A69BD"/>
    <w:rsid w:val="004B3A36"/>
    <w:rsid w:val="004B7079"/>
    <w:rsid w:val="004B758D"/>
    <w:rsid w:val="004C09A6"/>
    <w:rsid w:val="005040C6"/>
    <w:rsid w:val="00506DFB"/>
    <w:rsid w:val="005175B4"/>
    <w:rsid w:val="00524936"/>
    <w:rsid w:val="00525A0A"/>
    <w:rsid w:val="00535EC5"/>
    <w:rsid w:val="00544CEA"/>
    <w:rsid w:val="00550421"/>
    <w:rsid w:val="005567A6"/>
    <w:rsid w:val="005646E1"/>
    <w:rsid w:val="005672CB"/>
    <w:rsid w:val="0057322B"/>
    <w:rsid w:val="00573F70"/>
    <w:rsid w:val="00574DE5"/>
    <w:rsid w:val="00580029"/>
    <w:rsid w:val="005841D1"/>
    <w:rsid w:val="0058668B"/>
    <w:rsid w:val="0059552E"/>
    <w:rsid w:val="00595A6C"/>
    <w:rsid w:val="005965F4"/>
    <w:rsid w:val="005A658A"/>
    <w:rsid w:val="005B4DDB"/>
    <w:rsid w:val="005C3F2D"/>
    <w:rsid w:val="005D5567"/>
    <w:rsid w:val="005E015A"/>
    <w:rsid w:val="005E64A1"/>
    <w:rsid w:val="005F759F"/>
    <w:rsid w:val="00600348"/>
    <w:rsid w:val="0060580B"/>
    <w:rsid w:val="0061202F"/>
    <w:rsid w:val="00613441"/>
    <w:rsid w:val="0061455E"/>
    <w:rsid w:val="00615FF8"/>
    <w:rsid w:val="00626D85"/>
    <w:rsid w:val="00632395"/>
    <w:rsid w:val="00633CAF"/>
    <w:rsid w:val="00665CF1"/>
    <w:rsid w:val="0067268D"/>
    <w:rsid w:val="00680DFA"/>
    <w:rsid w:val="00681BAD"/>
    <w:rsid w:val="00684230"/>
    <w:rsid w:val="00692138"/>
    <w:rsid w:val="0069326A"/>
    <w:rsid w:val="00697AF2"/>
    <w:rsid w:val="006B07D0"/>
    <w:rsid w:val="006B2C51"/>
    <w:rsid w:val="006B3E42"/>
    <w:rsid w:val="006B68A1"/>
    <w:rsid w:val="006B7275"/>
    <w:rsid w:val="006D5F6E"/>
    <w:rsid w:val="006E1062"/>
    <w:rsid w:val="006E4B5B"/>
    <w:rsid w:val="006E55D9"/>
    <w:rsid w:val="006E716A"/>
    <w:rsid w:val="006F0863"/>
    <w:rsid w:val="006F2F7D"/>
    <w:rsid w:val="006F40F0"/>
    <w:rsid w:val="00702DD1"/>
    <w:rsid w:val="00704185"/>
    <w:rsid w:val="00711AD5"/>
    <w:rsid w:val="007179E8"/>
    <w:rsid w:val="00731CA3"/>
    <w:rsid w:val="0073291B"/>
    <w:rsid w:val="007331A2"/>
    <w:rsid w:val="00735CD4"/>
    <w:rsid w:val="0074348C"/>
    <w:rsid w:val="007504B7"/>
    <w:rsid w:val="00751B34"/>
    <w:rsid w:val="007543EF"/>
    <w:rsid w:val="00771355"/>
    <w:rsid w:val="00771A2A"/>
    <w:rsid w:val="00771AF0"/>
    <w:rsid w:val="00790F68"/>
    <w:rsid w:val="00793371"/>
    <w:rsid w:val="007A25F4"/>
    <w:rsid w:val="007A2D6C"/>
    <w:rsid w:val="007A38C7"/>
    <w:rsid w:val="007A7C78"/>
    <w:rsid w:val="007A7E71"/>
    <w:rsid w:val="007B0D6F"/>
    <w:rsid w:val="007B3076"/>
    <w:rsid w:val="007B6BC8"/>
    <w:rsid w:val="007E6AD7"/>
    <w:rsid w:val="007F0929"/>
    <w:rsid w:val="00804967"/>
    <w:rsid w:val="00820FEF"/>
    <w:rsid w:val="00825AEE"/>
    <w:rsid w:val="00825CA3"/>
    <w:rsid w:val="008275F1"/>
    <w:rsid w:val="00833280"/>
    <w:rsid w:val="00834848"/>
    <w:rsid w:val="00834944"/>
    <w:rsid w:val="00836D6E"/>
    <w:rsid w:val="00850F42"/>
    <w:rsid w:val="008602FC"/>
    <w:rsid w:val="00871080"/>
    <w:rsid w:val="00896A22"/>
    <w:rsid w:val="008A61AC"/>
    <w:rsid w:val="008A67F1"/>
    <w:rsid w:val="008C26BF"/>
    <w:rsid w:val="00901673"/>
    <w:rsid w:val="009028A9"/>
    <w:rsid w:val="00907B62"/>
    <w:rsid w:val="009106D8"/>
    <w:rsid w:val="00913316"/>
    <w:rsid w:val="00925B10"/>
    <w:rsid w:val="009352A2"/>
    <w:rsid w:val="009526BF"/>
    <w:rsid w:val="00954192"/>
    <w:rsid w:val="00956A49"/>
    <w:rsid w:val="00964BAC"/>
    <w:rsid w:val="00971448"/>
    <w:rsid w:val="00975F69"/>
    <w:rsid w:val="00977FBD"/>
    <w:rsid w:val="00994CB1"/>
    <w:rsid w:val="00997AD1"/>
    <w:rsid w:val="009A41B3"/>
    <w:rsid w:val="009B2DCA"/>
    <w:rsid w:val="009C2926"/>
    <w:rsid w:val="009E4C7B"/>
    <w:rsid w:val="009F0799"/>
    <w:rsid w:val="009F2BC7"/>
    <w:rsid w:val="009F6CDF"/>
    <w:rsid w:val="00A02D33"/>
    <w:rsid w:val="00A061B2"/>
    <w:rsid w:val="00A06728"/>
    <w:rsid w:val="00A15482"/>
    <w:rsid w:val="00A242B2"/>
    <w:rsid w:val="00A24434"/>
    <w:rsid w:val="00A277B6"/>
    <w:rsid w:val="00A360B9"/>
    <w:rsid w:val="00A435EE"/>
    <w:rsid w:val="00A632C3"/>
    <w:rsid w:val="00A80BBA"/>
    <w:rsid w:val="00A81828"/>
    <w:rsid w:val="00A826F4"/>
    <w:rsid w:val="00A86AC9"/>
    <w:rsid w:val="00A94CCF"/>
    <w:rsid w:val="00A97DEA"/>
    <w:rsid w:val="00AA6DAC"/>
    <w:rsid w:val="00AB1AC4"/>
    <w:rsid w:val="00AC1ED3"/>
    <w:rsid w:val="00AC28E6"/>
    <w:rsid w:val="00AC4734"/>
    <w:rsid w:val="00AD78E1"/>
    <w:rsid w:val="00AF107A"/>
    <w:rsid w:val="00AF2DEF"/>
    <w:rsid w:val="00AF73A8"/>
    <w:rsid w:val="00AF7C2C"/>
    <w:rsid w:val="00B0010A"/>
    <w:rsid w:val="00B03FA2"/>
    <w:rsid w:val="00B10EC6"/>
    <w:rsid w:val="00B15C7C"/>
    <w:rsid w:val="00B1763C"/>
    <w:rsid w:val="00B24C5F"/>
    <w:rsid w:val="00B36EE5"/>
    <w:rsid w:val="00B4742E"/>
    <w:rsid w:val="00B640B1"/>
    <w:rsid w:val="00B80739"/>
    <w:rsid w:val="00B85C11"/>
    <w:rsid w:val="00BA5848"/>
    <w:rsid w:val="00BA5DE6"/>
    <w:rsid w:val="00BA7E71"/>
    <w:rsid w:val="00BB3BF1"/>
    <w:rsid w:val="00BC155D"/>
    <w:rsid w:val="00BC7523"/>
    <w:rsid w:val="00BD2BEF"/>
    <w:rsid w:val="00BD45A6"/>
    <w:rsid w:val="00BE0073"/>
    <w:rsid w:val="00BE1C64"/>
    <w:rsid w:val="00BE783B"/>
    <w:rsid w:val="00BF3115"/>
    <w:rsid w:val="00C001B5"/>
    <w:rsid w:val="00C031BD"/>
    <w:rsid w:val="00C11466"/>
    <w:rsid w:val="00C14519"/>
    <w:rsid w:val="00C14C11"/>
    <w:rsid w:val="00C22991"/>
    <w:rsid w:val="00C25947"/>
    <w:rsid w:val="00C27B9C"/>
    <w:rsid w:val="00C331B1"/>
    <w:rsid w:val="00C33E15"/>
    <w:rsid w:val="00C36475"/>
    <w:rsid w:val="00C50541"/>
    <w:rsid w:val="00C52FE2"/>
    <w:rsid w:val="00C56C0E"/>
    <w:rsid w:val="00C609AA"/>
    <w:rsid w:val="00C62B0E"/>
    <w:rsid w:val="00C851B8"/>
    <w:rsid w:val="00CA6D6C"/>
    <w:rsid w:val="00CB0058"/>
    <w:rsid w:val="00CB4230"/>
    <w:rsid w:val="00CB6DC0"/>
    <w:rsid w:val="00CC347D"/>
    <w:rsid w:val="00CD0DE8"/>
    <w:rsid w:val="00CD1FE2"/>
    <w:rsid w:val="00CD2093"/>
    <w:rsid w:val="00CD223B"/>
    <w:rsid w:val="00CE5983"/>
    <w:rsid w:val="00CF12E7"/>
    <w:rsid w:val="00CF1577"/>
    <w:rsid w:val="00CF301D"/>
    <w:rsid w:val="00D14D82"/>
    <w:rsid w:val="00D2096D"/>
    <w:rsid w:val="00D21365"/>
    <w:rsid w:val="00D21792"/>
    <w:rsid w:val="00D24A86"/>
    <w:rsid w:val="00D25C5D"/>
    <w:rsid w:val="00D342DA"/>
    <w:rsid w:val="00D405ED"/>
    <w:rsid w:val="00D41DE4"/>
    <w:rsid w:val="00D43A2F"/>
    <w:rsid w:val="00D45501"/>
    <w:rsid w:val="00D703B7"/>
    <w:rsid w:val="00D80514"/>
    <w:rsid w:val="00D81CA7"/>
    <w:rsid w:val="00D9139C"/>
    <w:rsid w:val="00D95732"/>
    <w:rsid w:val="00D97486"/>
    <w:rsid w:val="00DB11A6"/>
    <w:rsid w:val="00DB1615"/>
    <w:rsid w:val="00DB36D9"/>
    <w:rsid w:val="00DC7F9A"/>
    <w:rsid w:val="00DD7F99"/>
    <w:rsid w:val="00DE2625"/>
    <w:rsid w:val="00DE3E43"/>
    <w:rsid w:val="00DE4B09"/>
    <w:rsid w:val="00DF1860"/>
    <w:rsid w:val="00DF1B3F"/>
    <w:rsid w:val="00E050E6"/>
    <w:rsid w:val="00E05F9C"/>
    <w:rsid w:val="00E0760F"/>
    <w:rsid w:val="00E2707D"/>
    <w:rsid w:val="00E44B72"/>
    <w:rsid w:val="00E45E50"/>
    <w:rsid w:val="00E634AF"/>
    <w:rsid w:val="00E7080A"/>
    <w:rsid w:val="00E71904"/>
    <w:rsid w:val="00E71FB9"/>
    <w:rsid w:val="00E861A8"/>
    <w:rsid w:val="00EA271B"/>
    <w:rsid w:val="00EA47C9"/>
    <w:rsid w:val="00EB1F01"/>
    <w:rsid w:val="00EB7886"/>
    <w:rsid w:val="00ED1C41"/>
    <w:rsid w:val="00EF29D1"/>
    <w:rsid w:val="00EF5BC7"/>
    <w:rsid w:val="00EF5F56"/>
    <w:rsid w:val="00EF634A"/>
    <w:rsid w:val="00F06E62"/>
    <w:rsid w:val="00F14E2E"/>
    <w:rsid w:val="00F17738"/>
    <w:rsid w:val="00F26311"/>
    <w:rsid w:val="00F27921"/>
    <w:rsid w:val="00F432EE"/>
    <w:rsid w:val="00F43AB9"/>
    <w:rsid w:val="00F513CD"/>
    <w:rsid w:val="00F56412"/>
    <w:rsid w:val="00F71293"/>
    <w:rsid w:val="00F81C66"/>
    <w:rsid w:val="00F84EBB"/>
    <w:rsid w:val="00F910E2"/>
    <w:rsid w:val="00F93B98"/>
    <w:rsid w:val="00FA0FA9"/>
    <w:rsid w:val="00FB469A"/>
    <w:rsid w:val="00FB4751"/>
    <w:rsid w:val="00FB77BE"/>
    <w:rsid w:val="00FB7E83"/>
    <w:rsid w:val="00FC0085"/>
    <w:rsid w:val="00FC046F"/>
    <w:rsid w:val="00FC0747"/>
    <w:rsid w:val="00FC19EA"/>
    <w:rsid w:val="00FD4147"/>
    <w:rsid w:val="00FE60EF"/>
    <w:rsid w:val="00FE7821"/>
    <w:rsid w:val="00FF054D"/>
    <w:rsid w:val="00FF5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1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A Fu,Footnote Text Char Char Char Char Char,Footnote Text Char Char Char Char,Footnote reference,Footnote Text Char Char Char,Footnote Text Cha,FA Fuﬂnotentext,Texto nota pie Car,Footnote Text Char Char,FA Fu?notentext,FA Fußnotentext,Ca"/>
    <w:basedOn w:val="Normal"/>
    <w:link w:val="FootnoteTextChar"/>
    <w:uiPriority w:val="99"/>
    <w:unhideWhenUsed/>
    <w:qFormat/>
    <w:rsid w:val="000770E0"/>
    <w:pPr>
      <w:spacing w:after="0" w:line="240" w:lineRule="auto"/>
    </w:pPr>
    <w:rPr>
      <w:rFonts w:eastAsia="MS Mincho"/>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Footnote Text Cha Char,FA Fuﬂnotentext Char,Texto nota pie Car Char,Ca Char"/>
    <w:basedOn w:val="DefaultParagraphFont"/>
    <w:link w:val="FootnoteText"/>
    <w:uiPriority w:val="99"/>
    <w:rsid w:val="000770E0"/>
    <w:rPr>
      <w:rFonts w:eastAsia="MS Mincho"/>
      <w:sz w:val="20"/>
      <w:szCs w:val="20"/>
      <w:lang w:val="es-MX"/>
    </w:rPr>
  </w:style>
  <w:style w:type="paragraph" w:styleId="Header">
    <w:name w:val="header"/>
    <w:basedOn w:val="Normal"/>
    <w:link w:val="HeaderChar"/>
    <w:uiPriority w:val="99"/>
    <w:unhideWhenUsed/>
    <w:rsid w:val="000770E0"/>
    <w:pPr>
      <w:tabs>
        <w:tab w:val="center" w:pos="4680"/>
        <w:tab w:val="right" w:pos="9360"/>
      </w:tabs>
      <w:spacing w:after="0" w:line="240" w:lineRule="auto"/>
    </w:pPr>
    <w:rPr>
      <w:rFonts w:eastAsia="MS Mincho"/>
    </w:rPr>
  </w:style>
  <w:style w:type="character" w:customStyle="1" w:styleId="HeaderChar">
    <w:name w:val="Header Char"/>
    <w:basedOn w:val="DefaultParagraphFont"/>
    <w:link w:val="Header"/>
    <w:uiPriority w:val="99"/>
    <w:rsid w:val="000770E0"/>
    <w:rPr>
      <w:rFonts w:eastAsia="MS Mincho"/>
      <w:lang w:val="es-MX"/>
    </w:rPr>
  </w:style>
  <w:style w:type="paragraph" w:styleId="Footer">
    <w:name w:val="footer"/>
    <w:basedOn w:val="Normal"/>
    <w:link w:val="FooterChar"/>
    <w:uiPriority w:val="99"/>
    <w:unhideWhenUsed/>
    <w:rsid w:val="000770E0"/>
    <w:pPr>
      <w:tabs>
        <w:tab w:val="center" w:pos="4680"/>
        <w:tab w:val="right" w:pos="9360"/>
      </w:tabs>
      <w:spacing w:after="0" w:line="240" w:lineRule="auto"/>
    </w:pPr>
    <w:rPr>
      <w:rFonts w:eastAsia="MS Mincho"/>
    </w:rPr>
  </w:style>
  <w:style w:type="character" w:customStyle="1" w:styleId="FooterChar">
    <w:name w:val="Footer Char"/>
    <w:basedOn w:val="DefaultParagraphFont"/>
    <w:link w:val="Footer"/>
    <w:uiPriority w:val="99"/>
    <w:rsid w:val="000770E0"/>
    <w:rPr>
      <w:rFonts w:eastAsia="MS Mincho"/>
      <w:lang w:val="es-MX"/>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qFormat/>
    <w:rsid w:val="000770E0"/>
    <w:rPr>
      <w:rFonts w:ascii="Verdana" w:hAnsi="Verdana" w:cs="Verdana"/>
      <w:sz w:val="16"/>
      <w:szCs w:val="16"/>
      <w:vertAlign w:val="superscript"/>
    </w:rPr>
  </w:style>
  <w:style w:type="character" w:styleId="Strong">
    <w:name w:val="Strong"/>
    <w:uiPriority w:val="22"/>
    <w:qFormat/>
    <w:rsid w:val="000770E0"/>
    <w:rPr>
      <w:b/>
      <w:bCs/>
    </w:rPr>
  </w:style>
  <w:style w:type="character" w:styleId="Hyperlink">
    <w:name w:val="Hyperlink"/>
    <w:uiPriority w:val="99"/>
    <w:unhideWhenUsed/>
    <w:rsid w:val="000770E0"/>
    <w:rPr>
      <w:color w:val="0000FF"/>
      <w:u w:val="single"/>
    </w:rPr>
  </w:style>
  <w:style w:type="character" w:styleId="FollowedHyperlink">
    <w:name w:val="FollowedHyperlink"/>
    <w:basedOn w:val="DefaultParagraphFont"/>
    <w:uiPriority w:val="99"/>
    <w:semiHidden/>
    <w:unhideWhenUsed/>
    <w:rsid w:val="000770E0"/>
    <w:rPr>
      <w:color w:val="800080" w:themeColor="followedHyperlink"/>
      <w:u w:val="single"/>
    </w:rPr>
  </w:style>
  <w:style w:type="paragraph" w:styleId="ListParagraph">
    <w:name w:val="List Paragraph"/>
    <w:aliases w:val="Footnote,List Paragraph2,List Paragraph1,Lista vistosa - Énfasis 11"/>
    <w:basedOn w:val="Normal"/>
    <w:link w:val="ListParagraphChar"/>
    <w:uiPriority w:val="99"/>
    <w:qFormat/>
    <w:rsid w:val="000770E0"/>
    <w:pPr>
      <w:spacing w:after="120" w:line="240" w:lineRule="auto"/>
      <w:ind w:left="720"/>
      <w:contextualSpacing/>
      <w:jc w:val="both"/>
    </w:pPr>
    <w:rPr>
      <w:rFonts w:ascii="Verdana" w:eastAsia="Calibri" w:hAnsi="Verdana" w:cs="Times"/>
      <w:sz w:val="20"/>
      <w:szCs w:val="24"/>
      <w:lang w:val="es-ES_tradnl" w:eastAsia="es-ES"/>
    </w:rPr>
  </w:style>
  <w:style w:type="character" w:customStyle="1" w:styleId="ListParagraphChar">
    <w:name w:val="List Paragraph Char"/>
    <w:aliases w:val="Footnote Char,List Paragraph2 Char,List Paragraph1 Char,Lista vistosa - Énfasis 11 Char"/>
    <w:link w:val="ListParagraph"/>
    <w:uiPriority w:val="99"/>
    <w:locked/>
    <w:rsid w:val="000770E0"/>
    <w:rPr>
      <w:rFonts w:ascii="Verdana" w:eastAsia="Calibri" w:hAnsi="Verdana" w:cs="Times"/>
      <w:sz w:val="20"/>
      <w:szCs w:val="24"/>
      <w:lang w:val="es-ES_tradnl" w:eastAsia="es-ES"/>
    </w:rPr>
  </w:style>
  <w:style w:type="paragraph" w:styleId="BalloonText">
    <w:name w:val="Balloon Text"/>
    <w:basedOn w:val="Normal"/>
    <w:link w:val="BalloonTextChar"/>
    <w:uiPriority w:val="99"/>
    <w:semiHidden/>
    <w:unhideWhenUsed/>
    <w:rsid w:val="000770E0"/>
    <w:pPr>
      <w:spacing w:after="0" w:line="240" w:lineRule="auto"/>
    </w:pPr>
    <w:rPr>
      <w:rFonts w:ascii="Tahoma" w:eastAsia="MS Mincho" w:hAnsi="Tahoma" w:cs="Tahoma"/>
      <w:sz w:val="16"/>
      <w:szCs w:val="16"/>
    </w:rPr>
  </w:style>
  <w:style w:type="character" w:customStyle="1" w:styleId="BalloonTextChar">
    <w:name w:val="Balloon Text Char"/>
    <w:basedOn w:val="DefaultParagraphFont"/>
    <w:link w:val="BalloonText"/>
    <w:uiPriority w:val="99"/>
    <w:semiHidden/>
    <w:rsid w:val="000770E0"/>
    <w:rPr>
      <w:rFonts w:ascii="Tahoma" w:eastAsia="MS Mincho" w:hAnsi="Tahoma" w:cs="Tahoma"/>
      <w:sz w:val="16"/>
      <w:szCs w:val="16"/>
      <w:lang w:val="es-MX"/>
    </w:rPr>
  </w:style>
  <w:style w:type="character" w:styleId="CommentReference">
    <w:name w:val="annotation reference"/>
    <w:basedOn w:val="DefaultParagraphFont"/>
    <w:uiPriority w:val="99"/>
    <w:semiHidden/>
    <w:unhideWhenUsed/>
    <w:rsid w:val="000770E0"/>
    <w:rPr>
      <w:sz w:val="16"/>
      <w:szCs w:val="16"/>
    </w:rPr>
  </w:style>
  <w:style w:type="paragraph" w:styleId="CommentText">
    <w:name w:val="annotation text"/>
    <w:basedOn w:val="Normal"/>
    <w:link w:val="CommentTextChar"/>
    <w:uiPriority w:val="99"/>
    <w:semiHidden/>
    <w:unhideWhenUsed/>
    <w:rsid w:val="000770E0"/>
    <w:pPr>
      <w:spacing w:line="240" w:lineRule="auto"/>
    </w:pPr>
    <w:rPr>
      <w:rFonts w:eastAsia="MS Mincho"/>
      <w:sz w:val="20"/>
      <w:szCs w:val="20"/>
    </w:rPr>
  </w:style>
  <w:style w:type="character" w:customStyle="1" w:styleId="CommentTextChar">
    <w:name w:val="Comment Text Char"/>
    <w:basedOn w:val="DefaultParagraphFont"/>
    <w:link w:val="CommentText"/>
    <w:uiPriority w:val="99"/>
    <w:semiHidden/>
    <w:rsid w:val="000770E0"/>
    <w:rPr>
      <w:rFonts w:eastAsia="MS Mincho"/>
      <w:sz w:val="20"/>
      <w:szCs w:val="20"/>
      <w:lang w:val="es-MX"/>
    </w:rPr>
  </w:style>
  <w:style w:type="paragraph" w:styleId="CommentSubject">
    <w:name w:val="annotation subject"/>
    <w:basedOn w:val="CommentText"/>
    <w:next w:val="CommentText"/>
    <w:link w:val="CommentSubjectChar"/>
    <w:uiPriority w:val="99"/>
    <w:semiHidden/>
    <w:unhideWhenUsed/>
    <w:rsid w:val="000770E0"/>
    <w:rPr>
      <w:b/>
      <w:bCs/>
    </w:rPr>
  </w:style>
  <w:style w:type="character" w:customStyle="1" w:styleId="CommentSubjectChar">
    <w:name w:val="Comment Subject Char"/>
    <w:basedOn w:val="CommentTextChar"/>
    <w:link w:val="CommentSubject"/>
    <w:uiPriority w:val="99"/>
    <w:semiHidden/>
    <w:rsid w:val="000770E0"/>
    <w:rPr>
      <w:rFonts w:eastAsia="MS Mincho"/>
      <w:b/>
      <w:bCs/>
      <w:sz w:val="20"/>
      <w:szCs w:val="20"/>
      <w:lang w:val="es-MX"/>
    </w:rPr>
  </w:style>
  <w:style w:type="paragraph" w:styleId="Revision">
    <w:name w:val="Revision"/>
    <w:hidden/>
    <w:uiPriority w:val="99"/>
    <w:semiHidden/>
    <w:rsid w:val="000770E0"/>
    <w:pPr>
      <w:spacing w:after="0" w:line="240" w:lineRule="auto"/>
    </w:pPr>
    <w:rPr>
      <w:rFonts w:eastAsia="MS Mincho"/>
      <w:lang w:val="es-MX"/>
    </w:rPr>
  </w:style>
  <w:style w:type="table" w:styleId="TableGrid">
    <w:name w:val="Table Grid"/>
    <w:basedOn w:val="TableNormal"/>
    <w:uiPriority w:val="59"/>
    <w:rsid w:val="000770E0"/>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770E0"/>
    <w:rPr>
      <w:color w:val="808080"/>
    </w:rPr>
  </w:style>
  <w:style w:type="paragraph" w:styleId="BodyText2">
    <w:name w:val="Body Text 2"/>
    <w:basedOn w:val="Normal"/>
    <w:link w:val="BodyText2Char"/>
    <w:uiPriority w:val="99"/>
    <w:semiHidden/>
    <w:unhideWhenUsed/>
    <w:rsid w:val="000770E0"/>
    <w:pPr>
      <w:spacing w:after="120" w:line="480" w:lineRule="auto"/>
    </w:pPr>
    <w:rPr>
      <w:rFonts w:eastAsia="MS Mincho"/>
    </w:rPr>
  </w:style>
  <w:style w:type="character" w:customStyle="1" w:styleId="BodyText2Char">
    <w:name w:val="Body Text 2 Char"/>
    <w:basedOn w:val="DefaultParagraphFont"/>
    <w:link w:val="BodyText2"/>
    <w:uiPriority w:val="99"/>
    <w:semiHidden/>
    <w:rsid w:val="000770E0"/>
    <w:rPr>
      <w:rFonts w:eastAsia="MS Mincho"/>
      <w:lang w:val="es-MX"/>
    </w:rPr>
  </w:style>
  <w:style w:type="character" w:styleId="SubtleEmphasis">
    <w:name w:val="Subtle Emphasis"/>
    <w:uiPriority w:val="19"/>
    <w:qFormat/>
    <w:rsid w:val="000770E0"/>
    <w:rPr>
      <w:rFonts w:ascii="Verdana" w:hAnsi="Verdana"/>
      <w:i/>
      <w:iCs/>
      <w:color w:val="808080"/>
      <w:sz w:val="20"/>
      <w:u w:val="single"/>
    </w:rPr>
  </w:style>
  <w:style w:type="paragraph" w:styleId="BodyText3">
    <w:name w:val="Body Text 3"/>
    <w:basedOn w:val="Normal"/>
    <w:link w:val="BodyText3Char"/>
    <w:uiPriority w:val="99"/>
    <w:rsid w:val="000770E0"/>
    <w:pPr>
      <w:spacing w:after="120" w:line="240" w:lineRule="auto"/>
    </w:pPr>
    <w:rPr>
      <w:rFonts w:ascii="Times" w:eastAsia="Times New Roman" w:hAnsi="Times" w:cs="Times New Roman"/>
      <w:sz w:val="16"/>
      <w:szCs w:val="16"/>
      <w:lang w:val="es-ES_tradnl"/>
    </w:rPr>
  </w:style>
  <w:style w:type="character" w:customStyle="1" w:styleId="BodyText3Char">
    <w:name w:val="Body Text 3 Char"/>
    <w:basedOn w:val="DefaultParagraphFont"/>
    <w:link w:val="BodyText3"/>
    <w:uiPriority w:val="99"/>
    <w:rsid w:val="000770E0"/>
    <w:rPr>
      <w:rFonts w:ascii="Times" w:eastAsia="Times New Roman" w:hAnsi="Times" w:cs="Times New Roman"/>
      <w:sz w:val="16"/>
      <w:szCs w:val="16"/>
      <w:lang w:val="es-ES_tradnl"/>
    </w:rPr>
  </w:style>
  <w:style w:type="paragraph" w:styleId="EndnoteText">
    <w:name w:val="endnote text"/>
    <w:basedOn w:val="Normal"/>
    <w:link w:val="EndnoteTextChar"/>
    <w:uiPriority w:val="99"/>
    <w:semiHidden/>
    <w:unhideWhenUsed/>
    <w:rsid w:val="000770E0"/>
    <w:pPr>
      <w:spacing w:after="0" w:line="240" w:lineRule="auto"/>
    </w:pPr>
    <w:rPr>
      <w:rFonts w:eastAsia="MS Mincho"/>
      <w:sz w:val="20"/>
      <w:szCs w:val="20"/>
    </w:rPr>
  </w:style>
  <w:style w:type="character" w:customStyle="1" w:styleId="EndnoteTextChar">
    <w:name w:val="Endnote Text Char"/>
    <w:basedOn w:val="DefaultParagraphFont"/>
    <w:link w:val="EndnoteText"/>
    <w:uiPriority w:val="99"/>
    <w:semiHidden/>
    <w:rsid w:val="000770E0"/>
    <w:rPr>
      <w:rFonts w:eastAsia="MS Mincho"/>
      <w:sz w:val="20"/>
      <w:szCs w:val="20"/>
      <w:lang w:val="es-MX"/>
    </w:rPr>
  </w:style>
  <w:style w:type="character" w:styleId="EndnoteReference">
    <w:name w:val="endnote reference"/>
    <w:basedOn w:val="DefaultParagraphFont"/>
    <w:uiPriority w:val="99"/>
    <w:semiHidden/>
    <w:unhideWhenUsed/>
    <w:rsid w:val="000770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A Fu,Footnote Text Char Char Char Char Char,Footnote Text Char Char Char Char,Footnote reference,Footnote Text Char Char Char,Footnote Text Cha,FA Fuﬂnotentext,Texto nota pie Car,Footnote Text Char Char,FA Fu?notentext,FA Fußnotentext,Ca"/>
    <w:basedOn w:val="Normal"/>
    <w:link w:val="FootnoteTextChar"/>
    <w:uiPriority w:val="99"/>
    <w:unhideWhenUsed/>
    <w:qFormat/>
    <w:rsid w:val="000770E0"/>
    <w:pPr>
      <w:spacing w:after="0" w:line="240" w:lineRule="auto"/>
    </w:pPr>
    <w:rPr>
      <w:rFonts w:eastAsia="MS Mincho"/>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Footnote Text Cha Char,FA Fuﬂnotentext Char,Texto nota pie Car Char,Ca Char"/>
    <w:basedOn w:val="DefaultParagraphFont"/>
    <w:link w:val="FootnoteText"/>
    <w:uiPriority w:val="99"/>
    <w:rsid w:val="000770E0"/>
    <w:rPr>
      <w:rFonts w:eastAsia="MS Mincho"/>
      <w:sz w:val="20"/>
      <w:szCs w:val="20"/>
      <w:lang w:val="es-MX"/>
    </w:rPr>
  </w:style>
  <w:style w:type="paragraph" w:styleId="Header">
    <w:name w:val="header"/>
    <w:basedOn w:val="Normal"/>
    <w:link w:val="HeaderChar"/>
    <w:uiPriority w:val="99"/>
    <w:unhideWhenUsed/>
    <w:rsid w:val="000770E0"/>
    <w:pPr>
      <w:tabs>
        <w:tab w:val="center" w:pos="4680"/>
        <w:tab w:val="right" w:pos="9360"/>
      </w:tabs>
      <w:spacing w:after="0" w:line="240" w:lineRule="auto"/>
    </w:pPr>
    <w:rPr>
      <w:rFonts w:eastAsia="MS Mincho"/>
    </w:rPr>
  </w:style>
  <w:style w:type="character" w:customStyle="1" w:styleId="HeaderChar">
    <w:name w:val="Header Char"/>
    <w:basedOn w:val="DefaultParagraphFont"/>
    <w:link w:val="Header"/>
    <w:uiPriority w:val="99"/>
    <w:rsid w:val="000770E0"/>
    <w:rPr>
      <w:rFonts w:eastAsia="MS Mincho"/>
      <w:lang w:val="es-MX"/>
    </w:rPr>
  </w:style>
  <w:style w:type="paragraph" w:styleId="Footer">
    <w:name w:val="footer"/>
    <w:basedOn w:val="Normal"/>
    <w:link w:val="FooterChar"/>
    <w:uiPriority w:val="99"/>
    <w:unhideWhenUsed/>
    <w:rsid w:val="000770E0"/>
    <w:pPr>
      <w:tabs>
        <w:tab w:val="center" w:pos="4680"/>
        <w:tab w:val="right" w:pos="9360"/>
      </w:tabs>
      <w:spacing w:after="0" w:line="240" w:lineRule="auto"/>
    </w:pPr>
    <w:rPr>
      <w:rFonts w:eastAsia="MS Mincho"/>
    </w:rPr>
  </w:style>
  <w:style w:type="character" w:customStyle="1" w:styleId="FooterChar">
    <w:name w:val="Footer Char"/>
    <w:basedOn w:val="DefaultParagraphFont"/>
    <w:link w:val="Footer"/>
    <w:uiPriority w:val="99"/>
    <w:rsid w:val="000770E0"/>
    <w:rPr>
      <w:rFonts w:eastAsia="MS Mincho"/>
      <w:lang w:val="es-MX"/>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qFormat/>
    <w:rsid w:val="000770E0"/>
    <w:rPr>
      <w:rFonts w:ascii="Verdana" w:hAnsi="Verdana" w:cs="Verdana"/>
      <w:sz w:val="16"/>
      <w:szCs w:val="16"/>
      <w:vertAlign w:val="superscript"/>
    </w:rPr>
  </w:style>
  <w:style w:type="character" w:styleId="Strong">
    <w:name w:val="Strong"/>
    <w:uiPriority w:val="22"/>
    <w:qFormat/>
    <w:rsid w:val="000770E0"/>
    <w:rPr>
      <w:b/>
      <w:bCs/>
    </w:rPr>
  </w:style>
  <w:style w:type="character" w:styleId="Hyperlink">
    <w:name w:val="Hyperlink"/>
    <w:uiPriority w:val="99"/>
    <w:unhideWhenUsed/>
    <w:rsid w:val="000770E0"/>
    <w:rPr>
      <w:color w:val="0000FF"/>
      <w:u w:val="single"/>
    </w:rPr>
  </w:style>
  <w:style w:type="character" w:styleId="FollowedHyperlink">
    <w:name w:val="FollowedHyperlink"/>
    <w:basedOn w:val="DefaultParagraphFont"/>
    <w:uiPriority w:val="99"/>
    <w:semiHidden/>
    <w:unhideWhenUsed/>
    <w:rsid w:val="000770E0"/>
    <w:rPr>
      <w:color w:val="800080" w:themeColor="followedHyperlink"/>
      <w:u w:val="single"/>
    </w:rPr>
  </w:style>
  <w:style w:type="paragraph" w:styleId="ListParagraph">
    <w:name w:val="List Paragraph"/>
    <w:aliases w:val="Footnote,List Paragraph2,List Paragraph1,Lista vistosa - Énfasis 11"/>
    <w:basedOn w:val="Normal"/>
    <w:link w:val="ListParagraphChar"/>
    <w:uiPriority w:val="99"/>
    <w:qFormat/>
    <w:rsid w:val="000770E0"/>
    <w:pPr>
      <w:spacing w:after="120" w:line="240" w:lineRule="auto"/>
      <w:ind w:left="720"/>
      <w:contextualSpacing/>
      <w:jc w:val="both"/>
    </w:pPr>
    <w:rPr>
      <w:rFonts w:ascii="Verdana" w:eastAsia="Calibri" w:hAnsi="Verdana" w:cs="Times"/>
      <w:sz w:val="20"/>
      <w:szCs w:val="24"/>
      <w:lang w:val="es-ES_tradnl" w:eastAsia="es-ES"/>
    </w:rPr>
  </w:style>
  <w:style w:type="character" w:customStyle="1" w:styleId="ListParagraphChar">
    <w:name w:val="List Paragraph Char"/>
    <w:aliases w:val="Footnote Char,List Paragraph2 Char,List Paragraph1 Char,Lista vistosa - Énfasis 11 Char"/>
    <w:link w:val="ListParagraph"/>
    <w:uiPriority w:val="99"/>
    <w:locked/>
    <w:rsid w:val="000770E0"/>
    <w:rPr>
      <w:rFonts w:ascii="Verdana" w:eastAsia="Calibri" w:hAnsi="Verdana" w:cs="Times"/>
      <w:sz w:val="20"/>
      <w:szCs w:val="24"/>
      <w:lang w:val="es-ES_tradnl" w:eastAsia="es-ES"/>
    </w:rPr>
  </w:style>
  <w:style w:type="paragraph" w:styleId="BalloonText">
    <w:name w:val="Balloon Text"/>
    <w:basedOn w:val="Normal"/>
    <w:link w:val="BalloonTextChar"/>
    <w:uiPriority w:val="99"/>
    <w:semiHidden/>
    <w:unhideWhenUsed/>
    <w:rsid w:val="000770E0"/>
    <w:pPr>
      <w:spacing w:after="0" w:line="240" w:lineRule="auto"/>
    </w:pPr>
    <w:rPr>
      <w:rFonts w:ascii="Tahoma" w:eastAsia="MS Mincho" w:hAnsi="Tahoma" w:cs="Tahoma"/>
      <w:sz w:val="16"/>
      <w:szCs w:val="16"/>
    </w:rPr>
  </w:style>
  <w:style w:type="character" w:customStyle="1" w:styleId="BalloonTextChar">
    <w:name w:val="Balloon Text Char"/>
    <w:basedOn w:val="DefaultParagraphFont"/>
    <w:link w:val="BalloonText"/>
    <w:uiPriority w:val="99"/>
    <w:semiHidden/>
    <w:rsid w:val="000770E0"/>
    <w:rPr>
      <w:rFonts w:ascii="Tahoma" w:eastAsia="MS Mincho" w:hAnsi="Tahoma" w:cs="Tahoma"/>
      <w:sz w:val="16"/>
      <w:szCs w:val="16"/>
      <w:lang w:val="es-MX"/>
    </w:rPr>
  </w:style>
  <w:style w:type="character" w:styleId="CommentReference">
    <w:name w:val="annotation reference"/>
    <w:basedOn w:val="DefaultParagraphFont"/>
    <w:uiPriority w:val="99"/>
    <w:semiHidden/>
    <w:unhideWhenUsed/>
    <w:rsid w:val="000770E0"/>
    <w:rPr>
      <w:sz w:val="16"/>
      <w:szCs w:val="16"/>
    </w:rPr>
  </w:style>
  <w:style w:type="paragraph" w:styleId="CommentText">
    <w:name w:val="annotation text"/>
    <w:basedOn w:val="Normal"/>
    <w:link w:val="CommentTextChar"/>
    <w:uiPriority w:val="99"/>
    <w:semiHidden/>
    <w:unhideWhenUsed/>
    <w:rsid w:val="000770E0"/>
    <w:pPr>
      <w:spacing w:line="240" w:lineRule="auto"/>
    </w:pPr>
    <w:rPr>
      <w:rFonts w:eastAsia="MS Mincho"/>
      <w:sz w:val="20"/>
      <w:szCs w:val="20"/>
    </w:rPr>
  </w:style>
  <w:style w:type="character" w:customStyle="1" w:styleId="CommentTextChar">
    <w:name w:val="Comment Text Char"/>
    <w:basedOn w:val="DefaultParagraphFont"/>
    <w:link w:val="CommentText"/>
    <w:uiPriority w:val="99"/>
    <w:semiHidden/>
    <w:rsid w:val="000770E0"/>
    <w:rPr>
      <w:rFonts w:eastAsia="MS Mincho"/>
      <w:sz w:val="20"/>
      <w:szCs w:val="20"/>
      <w:lang w:val="es-MX"/>
    </w:rPr>
  </w:style>
  <w:style w:type="paragraph" w:styleId="CommentSubject">
    <w:name w:val="annotation subject"/>
    <w:basedOn w:val="CommentText"/>
    <w:next w:val="CommentText"/>
    <w:link w:val="CommentSubjectChar"/>
    <w:uiPriority w:val="99"/>
    <w:semiHidden/>
    <w:unhideWhenUsed/>
    <w:rsid w:val="000770E0"/>
    <w:rPr>
      <w:b/>
      <w:bCs/>
    </w:rPr>
  </w:style>
  <w:style w:type="character" w:customStyle="1" w:styleId="CommentSubjectChar">
    <w:name w:val="Comment Subject Char"/>
    <w:basedOn w:val="CommentTextChar"/>
    <w:link w:val="CommentSubject"/>
    <w:uiPriority w:val="99"/>
    <w:semiHidden/>
    <w:rsid w:val="000770E0"/>
    <w:rPr>
      <w:rFonts w:eastAsia="MS Mincho"/>
      <w:b/>
      <w:bCs/>
      <w:sz w:val="20"/>
      <w:szCs w:val="20"/>
      <w:lang w:val="es-MX"/>
    </w:rPr>
  </w:style>
  <w:style w:type="paragraph" w:styleId="Revision">
    <w:name w:val="Revision"/>
    <w:hidden/>
    <w:uiPriority w:val="99"/>
    <w:semiHidden/>
    <w:rsid w:val="000770E0"/>
    <w:pPr>
      <w:spacing w:after="0" w:line="240" w:lineRule="auto"/>
    </w:pPr>
    <w:rPr>
      <w:rFonts w:eastAsia="MS Mincho"/>
      <w:lang w:val="es-MX"/>
    </w:rPr>
  </w:style>
  <w:style w:type="table" w:styleId="TableGrid">
    <w:name w:val="Table Grid"/>
    <w:basedOn w:val="TableNormal"/>
    <w:uiPriority w:val="59"/>
    <w:rsid w:val="000770E0"/>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770E0"/>
    <w:rPr>
      <w:color w:val="808080"/>
    </w:rPr>
  </w:style>
  <w:style w:type="paragraph" w:styleId="BodyText2">
    <w:name w:val="Body Text 2"/>
    <w:basedOn w:val="Normal"/>
    <w:link w:val="BodyText2Char"/>
    <w:uiPriority w:val="99"/>
    <w:semiHidden/>
    <w:unhideWhenUsed/>
    <w:rsid w:val="000770E0"/>
    <w:pPr>
      <w:spacing w:after="120" w:line="480" w:lineRule="auto"/>
    </w:pPr>
    <w:rPr>
      <w:rFonts w:eastAsia="MS Mincho"/>
    </w:rPr>
  </w:style>
  <w:style w:type="character" w:customStyle="1" w:styleId="BodyText2Char">
    <w:name w:val="Body Text 2 Char"/>
    <w:basedOn w:val="DefaultParagraphFont"/>
    <w:link w:val="BodyText2"/>
    <w:uiPriority w:val="99"/>
    <w:semiHidden/>
    <w:rsid w:val="000770E0"/>
    <w:rPr>
      <w:rFonts w:eastAsia="MS Mincho"/>
      <w:lang w:val="es-MX"/>
    </w:rPr>
  </w:style>
  <w:style w:type="character" w:styleId="SubtleEmphasis">
    <w:name w:val="Subtle Emphasis"/>
    <w:uiPriority w:val="19"/>
    <w:qFormat/>
    <w:rsid w:val="000770E0"/>
    <w:rPr>
      <w:rFonts w:ascii="Verdana" w:hAnsi="Verdana"/>
      <w:i/>
      <w:iCs/>
      <w:color w:val="808080"/>
      <w:sz w:val="20"/>
      <w:u w:val="single"/>
    </w:rPr>
  </w:style>
  <w:style w:type="paragraph" w:styleId="BodyText3">
    <w:name w:val="Body Text 3"/>
    <w:basedOn w:val="Normal"/>
    <w:link w:val="BodyText3Char"/>
    <w:uiPriority w:val="99"/>
    <w:rsid w:val="000770E0"/>
    <w:pPr>
      <w:spacing w:after="120" w:line="240" w:lineRule="auto"/>
    </w:pPr>
    <w:rPr>
      <w:rFonts w:ascii="Times" w:eastAsia="Times New Roman" w:hAnsi="Times" w:cs="Times New Roman"/>
      <w:sz w:val="16"/>
      <w:szCs w:val="16"/>
      <w:lang w:val="es-ES_tradnl"/>
    </w:rPr>
  </w:style>
  <w:style w:type="character" w:customStyle="1" w:styleId="BodyText3Char">
    <w:name w:val="Body Text 3 Char"/>
    <w:basedOn w:val="DefaultParagraphFont"/>
    <w:link w:val="BodyText3"/>
    <w:uiPriority w:val="99"/>
    <w:rsid w:val="000770E0"/>
    <w:rPr>
      <w:rFonts w:ascii="Times" w:eastAsia="Times New Roman" w:hAnsi="Times" w:cs="Times New Roman"/>
      <w:sz w:val="16"/>
      <w:szCs w:val="16"/>
      <w:lang w:val="es-ES_tradnl"/>
    </w:rPr>
  </w:style>
  <w:style w:type="paragraph" w:styleId="EndnoteText">
    <w:name w:val="endnote text"/>
    <w:basedOn w:val="Normal"/>
    <w:link w:val="EndnoteTextChar"/>
    <w:uiPriority w:val="99"/>
    <w:semiHidden/>
    <w:unhideWhenUsed/>
    <w:rsid w:val="000770E0"/>
    <w:pPr>
      <w:spacing w:after="0" w:line="240" w:lineRule="auto"/>
    </w:pPr>
    <w:rPr>
      <w:rFonts w:eastAsia="MS Mincho"/>
      <w:sz w:val="20"/>
      <w:szCs w:val="20"/>
    </w:rPr>
  </w:style>
  <w:style w:type="character" w:customStyle="1" w:styleId="EndnoteTextChar">
    <w:name w:val="Endnote Text Char"/>
    <w:basedOn w:val="DefaultParagraphFont"/>
    <w:link w:val="EndnoteText"/>
    <w:uiPriority w:val="99"/>
    <w:semiHidden/>
    <w:rsid w:val="000770E0"/>
    <w:rPr>
      <w:rFonts w:eastAsia="MS Mincho"/>
      <w:sz w:val="20"/>
      <w:szCs w:val="20"/>
      <w:lang w:val="es-MX"/>
    </w:rPr>
  </w:style>
  <w:style w:type="character" w:styleId="EndnoteReference">
    <w:name w:val="endnote reference"/>
    <w:basedOn w:val="DefaultParagraphFont"/>
    <w:uiPriority w:val="99"/>
    <w:semiHidden/>
    <w:unhideWhenUsed/>
    <w:rsid w:val="000770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4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15BEBE2BF87F40A76A9C926EBECC0C" ma:contentTypeVersion="0" ma:contentTypeDescription="Create a new document." ma:contentTypeScope="" ma:versionID="ad8069bb81a7b5dc5c766ad6aa2648b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00958-8926-4AD6-A43E-5DF26122E9DF}">
  <ds:schemaRefs>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80AB93B-9487-47EF-8645-123E0ED578BE}">
  <ds:schemaRefs>
    <ds:schemaRef ds:uri="http://schemas.microsoft.com/sharepoint/v3/contenttype/forms"/>
  </ds:schemaRefs>
</ds:datastoreItem>
</file>

<file path=customXml/itemProps3.xml><?xml version="1.0" encoding="utf-8"?>
<ds:datastoreItem xmlns:ds="http://schemas.openxmlformats.org/officeDocument/2006/customXml" ds:itemID="{C8FF6BF7-371C-4D48-89C4-75146862F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5A4448D-DF0D-4D1B-99A4-D03627892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2893</Words>
  <Characters>16496</Characters>
  <Application>Microsoft Office Word</Application>
  <DocSecurity>0</DocSecurity>
  <Lines>137</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Mabel Fernandez</cp:lastModifiedBy>
  <cp:revision>2</cp:revision>
  <cp:lastPrinted>2018-12-11T19:51:00Z</cp:lastPrinted>
  <dcterms:created xsi:type="dcterms:W3CDTF">2018-12-11T19:51:00Z</dcterms:created>
  <dcterms:modified xsi:type="dcterms:W3CDTF">2018-12-11T19:51:00Z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0x010100D015BEBE2BF87F40A76A9C926EBECC0C</vt:lpwstr>
  </property>
</Properties>
</file>