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DDC51" w14:textId="77777777" w:rsidR="003A1EE6" w:rsidRDefault="003A1EE6" w:rsidP="003F1A9E">
      <w:pPr>
        <w:tabs>
          <w:tab w:val="left" w:pos="567"/>
        </w:tabs>
        <w:spacing w:after="0" w:line="240" w:lineRule="auto"/>
        <w:ind w:left="1440" w:hanging="1440"/>
        <w:jc w:val="center"/>
        <w:rPr>
          <w:rFonts w:ascii="Verdana" w:eastAsia="Calibri" w:hAnsi="Verdana" w:cs="Calibri"/>
          <w:b/>
          <w:sz w:val="20"/>
          <w:szCs w:val="20"/>
          <w:lang w:val="es-CR"/>
        </w:rPr>
      </w:pPr>
    </w:p>
    <w:p w14:paraId="32A9DBEE" w14:textId="77777777" w:rsidR="003A1EE6" w:rsidRDefault="003A1EE6" w:rsidP="003F1A9E">
      <w:pPr>
        <w:tabs>
          <w:tab w:val="left" w:pos="567"/>
        </w:tabs>
        <w:spacing w:after="0" w:line="240" w:lineRule="auto"/>
        <w:ind w:left="1440" w:hanging="1440"/>
        <w:jc w:val="center"/>
        <w:rPr>
          <w:rFonts w:ascii="Verdana" w:eastAsia="Calibri" w:hAnsi="Verdana" w:cs="Calibri"/>
          <w:b/>
          <w:sz w:val="20"/>
          <w:szCs w:val="20"/>
          <w:lang w:val="es-CR"/>
        </w:rPr>
      </w:pPr>
    </w:p>
    <w:p w14:paraId="3966FE65" w14:textId="77777777" w:rsidR="003A1EE6" w:rsidRDefault="003A1EE6" w:rsidP="003F1A9E">
      <w:pPr>
        <w:tabs>
          <w:tab w:val="left" w:pos="567"/>
        </w:tabs>
        <w:spacing w:after="0" w:line="240" w:lineRule="auto"/>
        <w:ind w:left="1440" w:hanging="1440"/>
        <w:jc w:val="center"/>
        <w:rPr>
          <w:rFonts w:ascii="Verdana" w:eastAsia="Calibri" w:hAnsi="Verdana" w:cs="Calibri"/>
          <w:b/>
          <w:sz w:val="20"/>
          <w:szCs w:val="20"/>
          <w:lang w:val="es-CR"/>
        </w:rPr>
      </w:pPr>
    </w:p>
    <w:p w14:paraId="3F3A46BA" w14:textId="77777777" w:rsidR="003A1EE6" w:rsidRDefault="003A1EE6" w:rsidP="003F1A9E">
      <w:pPr>
        <w:tabs>
          <w:tab w:val="left" w:pos="567"/>
        </w:tabs>
        <w:spacing w:after="0" w:line="240" w:lineRule="auto"/>
        <w:ind w:left="1440" w:hanging="1440"/>
        <w:jc w:val="center"/>
        <w:rPr>
          <w:rFonts w:ascii="Verdana" w:eastAsia="Calibri" w:hAnsi="Verdana" w:cs="Calibri"/>
          <w:b/>
          <w:sz w:val="20"/>
          <w:szCs w:val="20"/>
          <w:lang w:val="es-CR"/>
        </w:rPr>
      </w:pPr>
    </w:p>
    <w:p w14:paraId="39B825D6" w14:textId="77777777" w:rsidR="003A1EE6" w:rsidRDefault="003A1EE6" w:rsidP="003F1A9E">
      <w:pPr>
        <w:tabs>
          <w:tab w:val="left" w:pos="567"/>
        </w:tabs>
        <w:spacing w:after="0" w:line="240" w:lineRule="auto"/>
        <w:ind w:left="1440" w:hanging="1440"/>
        <w:jc w:val="center"/>
        <w:rPr>
          <w:rFonts w:ascii="Verdana" w:eastAsia="Calibri" w:hAnsi="Verdana" w:cs="Calibri"/>
          <w:b/>
          <w:sz w:val="20"/>
          <w:szCs w:val="20"/>
          <w:lang w:val="es-CR"/>
        </w:rPr>
      </w:pPr>
    </w:p>
    <w:p w14:paraId="68905B88" w14:textId="77777777" w:rsidR="003A1EE6" w:rsidRDefault="003A1EE6" w:rsidP="003F1A9E">
      <w:pPr>
        <w:tabs>
          <w:tab w:val="left" w:pos="567"/>
        </w:tabs>
        <w:spacing w:after="0" w:line="240" w:lineRule="auto"/>
        <w:ind w:left="1440" w:hanging="1440"/>
        <w:jc w:val="center"/>
        <w:rPr>
          <w:rFonts w:ascii="Verdana" w:eastAsia="Calibri" w:hAnsi="Verdana" w:cs="Calibri"/>
          <w:b/>
          <w:sz w:val="20"/>
          <w:szCs w:val="20"/>
          <w:lang w:val="es-CR"/>
        </w:rPr>
      </w:pPr>
    </w:p>
    <w:p w14:paraId="42B84CD9" w14:textId="77777777" w:rsidR="0061137D" w:rsidRPr="004A21F7" w:rsidRDefault="0061137D" w:rsidP="003F1A9E">
      <w:pPr>
        <w:tabs>
          <w:tab w:val="left" w:pos="567"/>
        </w:tabs>
        <w:spacing w:after="0" w:line="240" w:lineRule="auto"/>
        <w:ind w:left="1440" w:hanging="1440"/>
        <w:jc w:val="center"/>
        <w:rPr>
          <w:rFonts w:ascii="Verdana" w:eastAsia="Calibri" w:hAnsi="Verdana" w:cs="Calibri"/>
          <w:b/>
          <w:sz w:val="20"/>
          <w:szCs w:val="20"/>
          <w:lang w:val="es-CR"/>
        </w:rPr>
      </w:pPr>
      <w:r w:rsidRPr="004A21F7">
        <w:rPr>
          <w:rFonts w:ascii="Verdana" w:eastAsia="Calibri" w:hAnsi="Verdana" w:cs="Calibri"/>
          <w:b/>
          <w:sz w:val="20"/>
          <w:szCs w:val="20"/>
          <w:lang w:val="es-CR"/>
        </w:rPr>
        <w:t>RESOLUCIÓN DE LA</w:t>
      </w:r>
    </w:p>
    <w:p w14:paraId="3368EFCF" w14:textId="1FB8C251" w:rsidR="0061137D" w:rsidRPr="00E32C15" w:rsidRDefault="0061137D" w:rsidP="003F1A9E">
      <w:pPr>
        <w:spacing w:after="0" w:line="240" w:lineRule="auto"/>
        <w:jc w:val="center"/>
        <w:rPr>
          <w:rFonts w:ascii="Times New Roman" w:hAnsi="Times New Roman" w:cs="Times New Roman"/>
          <w:sz w:val="24"/>
          <w:szCs w:val="24"/>
          <w:lang w:val="es-CR"/>
        </w:rPr>
      </w:pPr>
      <w:r w:rsidRPr="004A21F7">
        <w:rPr>
          <w:rFonts w:ascii="Verdana" w:eastAsia="Calibri" w:hAnsi="Verdana" w:cs="Calibri"/>
          <w:b/>
          <w:sz w:val="20"/>
          <w:szCs w:val="20"/>
          <w:lang w:val="es-CR"/>
        </w:rPr>
        <w:t>CORTE INTERAMERICANA DE DERECHOS HUMANOS</w:t>
      </w:r>
      <w:r w:rsidR="003F1A9E">
        <w:rPr>
          <w:rStyle w:val="FootnoteReference"/>
          <w:rFonts w:eastAsia="Calibri"/>
          <w:b/>
          <w:lang w:val="es-CR"/>
        </w:rPr>
        <w:footnoteReference w:customMarkFollows="1" w:id="1"/>
        <w:sym w:font="Symbol" w:char="F02A"/>
      </w:r>
      <w:r w:rsidR="003F1A9E" w:rsidRPr="00E32C15">
        <w:rPr>
          <w:rFonts w:ascii="Times New Roman" w:hAnsi="Times New Roman" w:cs="Times New Roman"/>
          <w:sz w:val="24"/>
          <w:szCs w:val="24"/>
          <w:lang w:val="es-CR"/>
        </w:rPr>
        <w:t xml:space="preserve"> </w:t>
      </w:r>
    </w:p>
    <w:p w14:paraId="5BC49CE8" w14:textId="77777777" w:rsidR="0061137D" w:rsidRPr="004A21F7" w:rsidRDefault="0061137D" w:rsidP="0061137D">
      <w:pPr>
        <w:tabs>
          <w:tab w:val="left" w:pos="567"/>
        </w:tabs>
        <w:spacing w:after="0" w:line="240" w:lineRule="auto"/>
        <w:jc w:val="center"/>
        <w:rPr>
          <w:rFonts w:ascii="Verdana" w:eastAsia="Calibri" w:hAnsi="Verdana" w:cs="Calibri"/>
          <w:b/>
          <w:sz w:val="20"/>
          <w:szCs w:val="20"/>
          <w:lang w:val="es-CR"/>
        </w:rPr>
      </w:pPr>
    </w:p>
    <w:p w14:paraId="20C45FC7" w14:textId="4B8B7897" w:rsidR="0061137D" w:rsidRPr="004A21F7" w:rsidRDefault="0061137D" w:rsidP="0061137D">
      <w:pPr>
        <w:tabs>
          <w:tab w:val="left" w:pos="567"/>
        </w:tabs>
        <w:spacing w:after="0" w:line="240" w:lineRule="auto"/>
        <w:jc w:val="center"/>
        <w:rPr>
          <w:rFonts w:ascii="Verdana" w:eastAsia="Calibri" w:hAnsi="Verdana" w:cs="Calibri"/>
          <w:b/>
          <w:sz w:val="20"/>
          <w:szCs w:val="20"/>
          <w:lang w:val="es-CR"/>
        </w:rPr>
      </w:pPr>
      <w:r w:rsidRPr="004A21F7">
        <w:rPr>
          <w:rFonts w:ascii="Verdana" w:eastAsia="Calibri" w:hAnsi="Verdana" w:cs="Calibri"/>
          <w:b/>
          <w:sz w:val="20"/>
          <w:szCs w:val="20"/>
          <w:lang w:val="es-CR"/>
        </w:rPr>
        <w:t xml:space="preserve">DE </w:t>
      </w:r>
      <w:r w:rsidR="00D3418F">
        <w:rPr>
          <w:rFonts w:ascii="Verdana" w:eastAsia="Calibri" w:hAnsi="Verdana" w:cs="Calibri"/>
          <w:b/>
          <w:sz w:val="20"/>
          <w:szCs w:val="20"/>
          <w:lang w:val="es-CR"/>
        </w:rPr>
        <w:t>29 DE</w:t>
      </w:r>
      <w:r w:rsidRPr="004A21F7">
        <w:rPr>
          <w:rFonts w:ascii="Verdana" w:eastAsia="Calibri" w:hAnsi="Verdana" w:cs="Calibri"/>
          <w:b/>
          <w:sz w:val="20"/>
          <w:szCs w:val="20"/>
          <w:lang w:val="es-CR"/>
        </w:rPr>
        <w:t xml:space="preserve"> ENERO DE 2019</w:t>
      </w:r>
    </w:p>
    <w:p w14:paraId="289B138F" w14:textId="77777777" w:rsidR="0061137D" w:rsidRPr="004A21F7" w:rsidRDefault="0061137D" w:rsidP="0061137D">
      <w:pPr>
        <w:tabs>
          <w:tab w:val="left" w:pos="567"/>
        </w:tabs>
        <w:spacing w:after="0" w:line="240" w:lineRule="auto"/>
        <w:jc w:val="center"/>
        <w:rPr>
          <w:rFonts w:ascii="Verdana" w:eastAsia="Calibri" w:hAnsi="Verdana" w:cs="Calibri"/>
          <w:b/>
          <w:sz w:val="20"/>
          <w:szCs w:val="20"/>
          <w:lang w:val="es-CR"/>
        </w:rPr>
      </w:pPr>
    </w:p>
    <w:p w14:paraId="604A2C9D" w14:textId="11A2B9EB" w:rsidR="0061137D" w:rsidRDefault="004C4E40" w:rsidP="0061137D">
      <w:pPr>
        <w:tabs>
          <w:tab w:val="left" w:pos="567"/>
        </w:tabs>
        <w:spacing w:after="0" w:line="240" w:lineRule="auto"/>
        <w:jc w:val="center"/>
        <w:rPr>
          <w:rFonts w:ascii="Verdana" w:eastAsia="Calibri" w:hAnsi="Verdana" w:cs="Calibri"/>
          <w:b/>
          <w:sz w:val="20"/>
          <w:szCs w:val="20"/>
          <w:lang w:val="es-CR"/>
        </w:rPr>
      </w:pPr>
      <w:r>
        <w:rPr>
          <w:rFonts w:ascii="Verdana" w:eastAsia="Calibri" w:hAnsi="Verdana" w:cs="Calibri"/>
          <w:b/>
          <w:sz w:val="20"/>
          <w:szCs w:val="20"/>
          <w:lang w:val="es-CR"/>
        </w:rPr>
        <w:t xml:space="preserve">RECONSIDERACIÓN DE CONVOCATORIA </w:t>
      </w:r>
    </w:p>
    <w:p w14:paraId="509F7D9C" w14:textId="77777777" w:rsidR="004C4E40" w:rsidRPr="004A21F7" w:rsidRDefault="004C4E40" w:rsidP="0061137D">
      <w:pPr>
        <w:tabs>
          <w:tab w:val="left" w:pos="567"/>
        </w:tabs>
        <w:spacing w:after="0" w:line="240" w:lineRule="auto"/>
        <w:jc w:val="center"/>
        <w:rPr>
          <w:rFonts w:ascii="Verdana" w:eastAsia="Calibri" w:hAnsi="Verdana" w:cs="Calibri"/>
          <w:b/>
          <w:sz w:val="20"/>
          <w:szCs w:val="20"/>
          <w:lang w:val="es-CR"/>
        </w:rPr>
      </w:pPr>
    </w:p>
    <w:p w14:paraId="189E70CF" w14:textId="2AC32398" w:rsidR="0061137D" w:rsidRPr="004A21F7" w:rsidRDefault="0061137D" w:rsidP="0061137D">
      <w:pPr>
        <w:tabs>
          <w:tab w:val="left" w:pos="567"/>
        </w:tabs>
        <w:spacing w:after="0" w:line="240" w:lineRule="auto"/>
        <w:jc w:val="center"/>
        <w:rPr>
          <w:rFonts w:ascii="Verdana" w:eastAsia="Calibri" w:hAnsi="Verdana" w:cs="Calibri"/>
          <w:b/>
          <w:sz w:val="20"/>
          <w:szCs w:val="20"/>
          <w:lang w:val="es-CR"/>
        </w:rPr>
      </w:pPr>
      <w:r w:rsidRPr="004A21F7">
        <w:rPr>
          <w:rFonts w:ascii="Verdana" w:eastAsia="Calibri" w:hAnsi="Verdana" w:cs="Calibri"/>
          <w:b/>
          <w:sz w:val="20"/>
          <w:szCs w:val="20"/>
          <w:lang w:val="es-CR"/>
        </w:rPr>
        <w:t xml:space="preserve">CASO PERRONE Y PRECKEL </w:t>
      </w:r>
      <w:r w:rsidRPr="003F1A9E">
        <w:rPr>
          <w:rFonts w:ascii="Verdana" w:eastAsia="Calibri" w:hAnsi="Verdana" w:cs="Calibri"/>
          <w:b/>
          <w:i/>
          <w:sz w:val="20"/>
          <w:szCs w:val="20"/>
          <w:lang w:val="es-CR"/>
        </w:rPr>
        <w:t>V</w:t>
      </w:r>
      <w:r w:rsidR="004C4E40" w:rsidRPr="003F1A9E">
        <w:rPr>
          <w:rFonts w:ascii="Verdana" w:eastAsia="Calibri" w:hAnsi="Verdana" w:cs="Calibri"/>
          <w:b/>
          <w:i/>
          <w:sz w:val="20"/>
          <w:szCs w:val="20"/>
          <w:lang w:val="es-CR"/>
        </w:rPr>
        <w:t>s</w:t>
      </w:r>
      <w:r w:rsidRPr="003F1A9E">
        <w:rPr>
          <w:rFonts w:ascii="Verdana" w:eastAsia="Calibri" w:hAnsi="Verdana" w:cs="Calibri"/>
          <w:b/>
          <w:i/>
          <w:sz w:val="20"/>
          <w:szCs w:val="20"/>
          <w:lang w:val="es-CR"/>
        </w:rPr>
        <w:t>.</w:t>
      </w:r>
      <w:r w:rsidRPr="004A21F7">
        <w:rPr>
          <w:rFonts w:ascii="Verdana" w:eastAsia="Calibri" w:hAnsi="Verdana" w:cs="Calibri"/>
          <w:b/>
          <w:sz w:val="20"/>
          <w:szCs w:val="20"/>
          <w:lang w:val="es-CR"/>
        </w:rPr>
        <w:t xml:space="preserve"> ARGENTINA </w:t>
      </w:r>
    </w:p>
    <w:p w14:paraId="5506DFAA" w14:textId="77777777" w:rsidR="0061137D" w:rsidRPr="004A21F7" w:rsidRDefault="0061137D" w:rsidP="0061137D">
      <w:pPr>
        <w:tabs>
          <w:tab w:val="left" w:pos="567"/>
        </w:tabs>
        <w:spacing w:after="0" w:line="240" w:lineRule="auto"/>
        <w:rPr>
          <w:rFonts w:ascii="Verdana" w:eastAsia="Calibri" w:hAnsi="Verdana" w:cs="Calibri"/>
          <w:sz w:val="20"/>
          <w:szCs w:val="20"/>
          <w:lang w:val="es-CR"/>
        </w:rPr>
      </w:pPr>
    </w:p>
    <w:p w14:paraId="601C09B9" w14:textId="77777777" w:rsidR="0061137D" w:rsidRPr="004A21F7" w:rsidRDefault="0061137D" w:rsidP="0061137D">
      <w:pPr>
        <w:tabs>
          <w:tab w:val="left" w:pos="567"/>
        </w:tabs>
        <w:spacing w:after="0" w:line="240" w:lineRule="auto"/>
        <w:rPr>
          <w:rFonts w:ascii="Verdana" w:eastAsia="Calibri" w:hAnsi="Verdana" w:cs="Calibri"/>
          <w:b/>
          <w:sz w:val="20"/>
          <w:szCs w:val="20"/>
          <w:lang w:val="es-CR"/>
        </w:rPr>
      </w:pPr>
      <w:r w:rsidRPr="004A21F7">
        <w:rPr>
          <w:rFonts w:ascii="Verdana" w:eastAsia="Calibri" w:hAnsi="Verdana" w:cs="Calibri"/>
          <w:b/>
          <w:sz w:val="20"/>
          <w:szCs w:val="20"/>
          <w:lang w:val="es-CR"/>
        </w:rPr>
        <w:t>VISTO:</w:t>
      </w:r>
    </w:p>
    <w:p w14:paraId="06E326BC" w14:textId="77777777" w:rsidR="00197DC8" w:rsidRPr="003F1A9E" w:rsidRDefault="00197DC8" w:rsidP="003F1A9E">
      <w:pPr>
        <w:pStyle w:val="ListParagraph"/>
        <w:widowControl w:val="0"/>
        <w:tabs>
          <w:tab w:val="left" w:pos="567"/>
        </w:tabs>
        <w:autoSpaceDE w:val="0"/>
        <w:autoSpaceDN w:val="0"/>
        <w:adjustRightInd w:val="0"/>
        <w:spacing w:after="0" w:line="240" w:lineRule="auto"/>
        <w:ind w:left="0" w:right="22"/>
        <w:contextualSpacing w:val="0"/>
        <w:jc w:val="both"/>
        <w:rPr>
          <w:szCs w:val="20"/>
          <w:lang w:val="es-CR"/>
        </w:rPr>
      </w:pPr>
    </w:p>
    <w:p w14:paraId="17512644" w14:textId="3510F515" w:rsidR="00197DC8" w:rsidRPr="003F1A9E" w:rsidRDefault="004A1F29" w:rsidP="003F1A9E">
      <w:pPr>
        <w:pStyle w:val="ListParagraph"/>
        <w:widowControl w:val="0"/>
        <w:numPr>
          <w:ilvl w:val="0"/>
          <w:numId w:val="9"/>
        </w:numPr>
        <w:tabs>
          <w:tab w:val="left" w:pos="567"/>
        </w:tabs>
        <w:autoSpaceDE w:val="0"/>
        <w:autoSpaceDN w:val="0"/>
        <w:adjustRightInd w:val="0"/>
        <w:spacing w:after="0" w:line="240" w:lineRule="auto"/>
        <w:ind w:left="0" w:right="22" w:firstLine="0"/>
        <w:contextualSpacing w:val="0"/>
        <w:jc w:val="both"/>
        <w:rPr>
          <w:rFonts w:ascii="Verdana" w:eastAsia="Calibri" w:hAnsi="Verdana" w:cs="Calibri"/>
          <w:b/>
          <w:sz w:val="20"/>
          <w:lang w:val="es-CR"/>
        </w:rPr>
      </w:pPr>
      <w:r w:rsidRPr="003F1A9E">
        <w:rPr>
          <w:rFonts w:ascii="Verdana" w:eastAsia="Calibri" w:hAnsi="Verdana" w:cs="Verdana"/>
          <w:sz w:val="20"/>
          <w:lang w:val="es-CR"/>
        </w:rPr>
        <w:t>La</w:t>
      </w:r>
      <w:r w:rsidRPr="003F1A9E">
        <w:rPr>
          <w:rFonts w:ascii="Verdana" w:eastAsia="Calibri" w:hAnsi="Verdana" w:cs="Calibri"/>
          <w:sz w:val="20"/>
          <w:lang w:val="es-CR"/>
        </w:rPr>
        <w:t xml:space="preserve"> Resolución del Presidente de la Corte Interamericana de Derechos Humanos (en adelante “la Corte” o “el Tribunal”) del </w:t>
      </w:r>
      <w:r w:rsidR="008A5F31" w:rsidRPr="003F1A9E">
        <w:rPr>
          <w:rFonts w:ascii="Verdana" w:eastAsia="Calibri" w:hAnsi="Verdana" w:cs="Calibri"/>
          <w:sz w:val="20"/>
          <w:lang w:val="es-CR"/>
        </w:rPr>
        <w:t>7</w:t>
      </w:r>
      <w:r w:rsidRPr="003F1A9E">
        <w:rPr>
          <w:rFonts w:ascii="Verdana" w:eastAsia="Calibri" w:hAnsi="Verdana" w:cs="Calibri"/>
          <w:sz w:val="20"/>
          <w:lang w:val="es-CR"/>
        </w:rPr>
        <w:t xml:space="preserve"> de </w:t>
      </w:r>
      <w:r w:rsidR="008A5F31" w:rsidRPr="003F1A9E">
        <w:rPr>
          <w:rFonts w:ascii="Verdana" w:eastAsia="Calibri" w:hAnsi="Verdana" w:cs="Calibri"/>
          <w:sz w:val="20"/>
          <w:lang w:val="es-CR"/>
        </w:rPr>
        <w:t>diciembre</w:t>
      </w:r>
      <w:r w:rsidRPr="003F1A9E">
        <w:rPr>
          <w:rFonts w:ascii="Verdana" w:eastAsia="Calibri" w:hAnsi="Verdana" w:cs="Calibri"/>
          <w:sz w:val="20"/>
          <w:lang w:val="es-CR"/>
        </w:rPr>
        <w:t xml:space="preserve"> de 2018</w:t>
      </w:r>
      <w:r w:rsidR="00D0332C" w:rsidRPr="004A21F7">
        <w:rPr>
          <w:rStyle w:val="FootnoteReference"/>
          <w:rFonts w:eastAsia="Calibri"/>
          <w:sz w:val="20"/>
          <w:szCs w:val="20"/>
          <w:lang w:val="es-CR"/>
        </w:rPr>
        <w:footnoteReference w:id="2"/>
      </w:r>
      <w:r w:rsidRPr="003F1A9E">
        <w:rPr>
          <w:rFonts w:ascii="Verdana" w:eastAsia="Calibri" w:hAnsi="Verdana" w:cs="Calibri"/>
          <w:sz w:val="20"/>
          <w:lang w:val="es-CR"/>
        </w:rPr>
        <w:t xml:space="preserve"> (en adelante “la Resolución del Presidente”), mediante la cual, </w:t>
      </w:r>
      <w:r w:rsidRPr="003F1A9E">
        <w:rPr>
          <w:rFonts w:ascii="Verdana" w:eastAsia="Calibri" w:hAnsi="Verdana" w:cs="Calibri"/>
          <w:i/>
          <w:sz w:val="20"/>
          <w:lang w:val="es-CR"/>
        </w:rPr>
        <w:t>inter alía</w:t>
      </w:r>
      <w:r w:rsidRPr="003F1A9E">
        <w:rPr>
          <w:rFonts w:ascii="Verdana" w:eastAsia="Calibri" w:hAnsi="Verdana" w:cs="Calibri"/>
          <w:sz w:val="20"/>
          <w:lang w:val="es-CR"/>
        </w:rPr>
        <w:t xml:space="preserve">, ordenó la recepción de </w:t>
      </w:r>
      <w:r w:rsidR="001F6336" w:rsidRPr="003F1A9E">
        <w:rPr>
          <w:rFonts w:ascii="Verdana" w:eastAsia="Calibri" w:hAnsi="Verdana" w:cs="Calibri"/>
          <w:sz w:val="20"/>
          <w:lang w:val="es-CR"/>
        </w:rPr>
        <w:t xml:space="preserve">un </w:t>
      </w:r>
      <w:r w:rsidRPr="003F1A9E">
        <w:rPr>
          <w:rFonts w:ascii="Verdana" w:eastAsia="Calibri" w:hAnsi="Verdana" w:cs="Calibri"/>
          <w:sz w:val="20"/>
          <w:lang w:val="es-CR"/>
        </w:rPr>
        <w:t>perit</w:t>
      </w:r>
      <w:r w:rsidR="001F6336" w:rsidRPr="003F1A9E">
        <w:rPr>
          <w:rFonts w:ascii="Verdana" w:eastAsia="Calibri" w:hAnsi="Verdana" w:cs="Calibri"/>
          <w:sz w:val="20"/>
          <w:lang w:val="es-CR"/>
        </w:rPr>
        <w:t>aje</w:t>
      </w:r>
      <w:r w:rsidRPr="003F1A9E">
        <w:rPr>
          <w:rFonts w:ascii="Verdana" w:eastAsia="Calibri" w:hAnsi="Verdana" w:cs="Calibri"/>
          <w:sz w:val="20"/>
          <w:lang w:val="es-CR"/>
        </w:rPr>
        <w:t xml:space="preserve"> a través de </w:t>
      </w:r>
      <w:r w:rsidRPr="00D3418F">
        <w:rPr>
          <w:rFonts w:ascii="Verdana" w:eastAsia="Calibri" w:hAnsi="Verdana" w:cs="Calibri"/>
          <w:i/>
          <w:sz w:val="20"/>
          <w:lang w:val="es-CR"/>
        </w:rPr>
        <w:t>affidávit</w:t>
      </w:r>
      <w:r w:rsidR="001F6336" w:rsidRPr="003F1A9E">
        <w:rPr>
          <w:rFonts w:ascii="Verdana" w:eastAsia="Calibri" w:hAnsi="Verdana" w:cs="Calibri"/>
          <w:sz w:val="20"/>
          <w:lang w:val="es-CR"/>
        </w:rPr>
        <w:t xml:space="preserve"> </w:t>
      </w:r>
      <w:r w:rsidRPr="003F1A9E">
        <w:rPr>
          <w:rFonts w:ascii="Verdana" w:eastAsia="Calibri" w:hAnsi="Verdana" w:cs="Calibri"/>
          <w:sz w:val="20"/>
          <w:lang w:val="es-CR"/>
        </w:rPr>
        <w:t xml:space="preserve">y convocó al Estado Argentino (en adelante “el Estado” o “Argentina”, a los </w:t>
      </w:r>
      <w:r w:rsidR="001F6336" w:rsidRPr="003F1A9E">
        <w:rPr>
          <w:rFonts w:ascii="Verdana" w:eastAsia="Calibri" w:hAnsi="Verdana" w:cs="Calibri"/>
          <w:sz w:val="20"/>
          <w:lang w:val="es-CR"/>
        </w:rPr>
        <w:t>representantes</w:t>
      </w:r>
      <w:r w:rsidRPr="003F1A9E">
        <w:rPr>
          <w:rFonts w:ascii="Verdana" w:eastAsia="Calibri" w:hAnsi="Verdana" w:cs="Calibri"/>
          <w:sz w:val="20"/>
          <w:lang w:val="es-CR"/>
        </w:rPr>
        <w:t xml:space="preserve"> y a la Comisión Interamericana de Derechos Humanos (en adelante “la Comisión Interamericana” o “la Comisión”) a una audiencia pública que se celebrará durante el 129º Período Ordinario de Sesiones en la sede del Tribunal en San José, Costa Rica, el 30 de enero de 2019, a partir de las 15:00 horas, para recibir sus alegatos y observaciones finales orales, respectivamente, sobre </w:t>
      </w:r>
      <w:r w:rsidR="001F6336" w:rsidRPr="003F1A9E">
        <w:rPr>
          <w:rFonts w:ascii="Verdana" w:eastAsia="Calibri" w:hAnsi="Verdana" w:cs="Calibri"/>
          <w:sz w:val="20"/>
          <w:lang w:val="es-CR"/>
        </w:rPr>
        <w:t xml:space="preserve">las excepciones preliminares, </w:t>
      </w:r>
      <w:r w:rsidRPr="003F1A9E">
        <w:rPr>
          <w:rFonts w:ascii="Verdana" w:eastAsia="Calibri" w:hAnsi="Verdana" w:cs="Calibri"/>
          <w:sz w:val="20"/>
          <w:lang w:val="es-CR"/>
        </w:rPr>
        <w:t>fondo y eventuales reparaciones y costas en el presente caso</w:t>
      </w:r>
      <w:r w:rsidR="003A144E" w:rsidRPr="003F1A9E">
        <w:rPr>
          <w:rFonts w:ascii="Verdana" w:eastAsia="Calibri" w:hAnsi="Verdana" w:cs="Calibri"/>
          <w:sz w:val="20"/>
          <w:lang w:val="es-CR"/>
        </w:rPr>
        <w:t xml:space="preserve">. </w:t>
      </w:r>
    </w:p>
    <w:p w14:paraId="1ED2744F" w14:textId="77777777" w:rsidR="00197DC8" w:rsidRPr="003F1A9E" w:rsidRDefault="00197DC8" w:rsidP="003F1A9E">
      <w:pPr>
        <w:tabs>
          <w:tab w:val="left" w:pos="567"/>
        </w:tabs>
        <w:spacing w:after="0" w:line="240" w:lineRule="auto"/>
        <w:jc w:val="both"/>
        <w:rPr>
          <w:rFonts w:ascii="Verdana" w:eastAsia="Calibri" w:hAnsi="Verdana" w:cs="Calibri"/>
          <w:sz w:val="20"/>
          <w:szCs w:val="20"/>
          <w:lang w:val="es-CR"/>
        </w:rPr>
      </w:pPr>
    </w:p>
    <w:p w14:paraId="4266F386" w14:textId="05387F51" w:rsidR="008A5F31" w:rsidRPr="003A144E" w:rsidRDefault="004A1F29" w:rsidP="003F1A9E">
      <w:pPr>
        <w:pStyle w:val="ListParagraph"/>
        <w:widowControl w:val="0"/>
        <w:numPr>
          <w:ilvl w:val="0"/>
          <w:numId w:val="9"/>
        </w:numPr>
        <w:tabs>
          <w:tab w:val="left" w:pos="567"/>
        </w:tabs>
        <w:autoSpaceDE w:val="0"/>
        <w:autoSpaceDN w:val="0"/>
        <w:adjustRightInd w:val="0"/>
        <w:spacing w:after="0" w:line="240" w:lineRule="auto"/>
        <w:ind w:left="0" w:right="22" w:firstLine="0"/>
        <w:contextualSpacing w:val="0"/>
        <w:jc w:val="both"/>
        <w:rPr>
          <w:rFonts w:ascii="Verdana" w:eastAsia="Calibri" w:hAnsi="Verdana" w:cs="Calibri"/>
          <w:b/>
          <w:sz w:val="20"/>
          <w:szCs w:val="20"/>
          <w:lang w:val="es-CR"/>
        </w:rPr>
      </w:pPr>
      <w:r w:rsidRPr="004A21F7">
        <w:rPr>
          <w:rFonts w:ascii="Verdana" w:eastAsia="Calibri" w:hAnsi="Verdana" w:cs="Calibri"/>
          <w:sz w:val="20"/>
          <w:szCs w:val="20"/>
          <w:lang w:val="es-CR"/>
        </w:rPr>
        <w:t>El escrito d</w:t>
      </w:r>
      <w:r w:rsidR="00B858E8" w:rsidRPr="004A21F7">
        <w:rPr>
          <w:rFonts w:ascii="Verdana" w:eastAsia="Calibri" w:hAnsi="Verdana" w:cs="Calibri"/>
          <w:sz w:val="20"/>
          <w:szCs w:val="20"/>
          <w:lang w:val="es-CR"/>
        </w:rPr>
        <w:t xml:space="preserve">el </w:t>
      </w:r>
      <w:r w:rsidR="004E5E0F">
        <w:rPr>
          <w:rFonts w:ascii="Verdana" w:eastAsia="Calibri" w:hAnsi="Verdana" w:cs="Calibri"/>
          <w:sz w:val="20"/>
          <w:szCs w:val="20"/>
          <w:lang w:val="es-CR"/>
        </w:rPr>
        <w:t xml:space="preserve">16 de diciembre de 2018 </w:t>
      </w:r>
      <w:r w:rsidRPr="004A21F7">
        <w:rPr>
          <w:rFonts w:ascii="Verdana" w:eastAsia="Calibri" w:hAnsi="Verdana" w:cs="Calibri"/>
          <w:sz w:val="20"/>
          <w:szCs w:val="20"/>
          <w:lang w:val="es-CR"/>
        </w:rPr>
        <w:t>de</w:t>
      </w:r>
      <w:r w:rsidR="00137B36">
        <w:rPr>
          <w:rFonts w:ascii="Verdana" w:eastAsia="Calibri" w:hAnsi="Verdana" w:cs="Calibri"/>
          <w:sz w:val="20"/>
          <w:szCs w:val="20"/>
          <w:lang w:val="es-CR"/>
        </w:rPr>
        <w:t>l representante</w:t>
      </w:r>
      <w:r w:rsidR="009C75A6">
        <w:rPr>
          <w:rFonts w:ascii="Verdana" w:eastAsia="Calibri" w:hAnsi="Verdana" w:cs="Calibri"/>
          <w:sz w:val="20"/>
          <w:szCs w:val="20"/>
          <w:lang w:val="es-CR"/>
        </w:rPr>
        <w:t xml:space="preserve">, </w:t>
      </w:r>
      <w:r w:rsidRPr="004A21F7">
        <w:rPr>
          <w:rFonts w:ascii="Verdana" w:eastAsia="Calibri" w:hAnsi="Verdana" w:cs="Calibri"/>
          <w:sz w:val="20"/>
          <w:szCs w:val="20"/>
          <w:lang w:val="es-CR"/>
        </w:rPr>
        <w:t>a través del cual solicit</w:t>
      </w:r>
      <w:r w:rsidR="00137B36">
        <w:rPr>
          <w:rFonts w:ascii="Verdana" w:eastAsia="Calibri" w:hAnsi="Verdana" w:cs="Calibri"/>
          <w:sz w:val="20"/>
          <w:szCs w:val="20"/>
          <w:lang w:val="es-CR"/>
        </w:rPr>
        <w:t>ó</w:t>
      </w:r>
      <w:r w:rsidR="00D3418F">
        <w:rPr>
          <w:rFonts w:ascii="Verdana" w:eastAsia="Calibri" w:hAnsi="Verdana" w:cs="Calibri"/>
          <w:sz w:val="20"/>
          <w:szCs w:val="20"/>
          <w:lang w:val="es-CR"/>
        </w:rPr>
        <w:t>, principalmente:</w:t>
      </w:r>
      <w:r w:rsidRPr="004A21F7">
        <w:rPr>
          <w:rFonts w:ascii="Verdana" w:eastAsia="Calibri" w:hAnsi="Verdana" w:cs="Calibri"/>
          <w:sz w:val="20"/>
          <w:szCs w:val="20"/>
          <w:lang w:val="es-CR"/>
        </w:rPr>
        <w:t xml:space="preserve"> </w:t>
      </w:r>
      <w:r w:rsidR="00B858E8" w:rsidRPr="004A21F7">
        <w:rPr>
          <w:rFonts w:ascii="Verdana" w:eastAsia="Calibri" w:hAnsi="Verdana" w:cs="Calibri"/>
          <w:sz w:val="20"/>
          <w:szCs w:val="20"/>
          <w:lang w:val="es-CR"/>
        </w:rPr>
        <w:t xml:space="preserve">(1) </w:t>
      </w:r>
      <w:r w:rsidRPr="004A21F7">
        <w:rPr>
          <w:rFonts w:ascii="Verdana" w:eastAsia="Calibri" w:hAnsi="Verdana" w:cs="Calibri"/>
          <w:sz w:val="20"/>
          <w:szCs w:val="20"/>
          <w:lang w:val="es-CR"/>
        </w:rPr>
        <w:t>la reconsideración sobre</w:t>
      </w:r>
      <w:r w:rsidR="00002F25" w:rsidRPr="004A21F7">
        <w:rPr>
          <w:rFonts w:ascii="Verdana" w:eastAsia="Calibri" w:hAnsi="Verdana" w:cs="Calibri"/>
          <w:sz w:val="20"/>
          <w:szCs w:val="20"/>
          <w:lang w:val="es-CR"/>
        </w:rPr>
        <w:t xml:space="preserve"> la s</w:t>
      </w:r>
      <w:r w:rsidR="00B858E8" w:rsidRPr="004A21F7">
        <w:rPr>
          <w:rFonts w:ascii="Verdana" w:eastAsia="Calibri" w:hAnsi="Verdana" w:cs="Calibri"/>
          <w:sz w:val="20"/>
          <w:szCs w:val="20"/>
          <w:lang w:val="es-CR"/>
        </w:rPr>
        <w:t>olicitud de que se ordene al Estado que practique el cálculo de los montos solicitados como reparaciones y que se admita su peritaje ofrecido “con carácter subsidiario”</w:t>
      </w:r>
      <w:r w:rsidR="001F6336">
        <w:rPr>
          <w:rFonts w:ascii="Verdana" w:eastAsia="Calibri" w:hAnsi="Verdana" w:cs="Calibri"/>
          <w:sz w:val="20"/>
          <w:szCs w:val="20"/>
          <w:lang w:val="es-CR"/>
        </w:rPr>
        <w:t>,</w:t>
      </w:r>
      <w:r w:rsidR="008A5F31" w:rsidRPr="004A21F7">
        <w:rPr>
          <w:rFonts w:ascii="Verdana" w:eastAsia="Calibri" w:hAnsi="Verdana" w:cs="Calibri"/>
          <w:sz w:val="20"/>
          <w:szCs w:val="20"/>
          <w:lang w:val="es-CR"/>
        </w:rPr>
        <w:t xml:space="preserve"> y (2)</w:t>
      </w:r>
      <w:r w:rsidR="008A5F31" w:rsidRPr="004A21F7">
        <w:rPr>
          <w:rFonts w:ascii="Verdana" w:hAnsi="Verdana"/>
          <w:sz w:val="20"/>
          <w:szCs w:val="20"/>
          <w:lang w:val="es-CR"/>
        </w:rPr>
        <w:t xml:space="preserve"> </w:t>
      </w:r>
      <w:r w:rsidR="008A5F31" w:rsidRPr="004A21F7">
        <w:rPr>
          <w:rFonts w:ascii="Verdana" w:eastAsia="Calibri" w:hAnsi="Verdana" w:cs="Calibri"/>
          <w:sz w:val="20"/>
          <w:szCs w:val="20"/>
          <w:lang w:val="es-CR"/>
        </w:rPr>
        <w:t>que se ordene al Estado la remisión del expediente interno tramitado entre las partes en el marco de la búsqueda de una solución amistosa para el caso.</w:t>
      </w:r>
      <w:r w:rsidR="003A144E">
        <w:rPr>
          <w:rFonts w:ascii="Verdana" w:eastAsia="Calibri" w:hAnsi="Verdana" w:cs="Calibri"/>
          <w:sz w:val="20"/>
          <w:szCs w:val="20"/>
          <w:lang w:val="es-CR"/>
        </w:rPr>
        <w:t xml:space="preserve"> </w:t>
      </w:r>
    </w:p>
    <w:p w14:paraId="02992484" w14:textId="77777777" w:rsidR="004A1F29" w:rsidRPr="004A21F7" w:rsidRDefault="004A1F29" w:rsidP="004A21F7">
      <w:pPr>
        <w:pStyle w:val="ListParagraph"/>
        <w:tabs>
          <w:tab w:val="left" w:pos="567"/>
        </w:tabs>
        <w:spacing w:after="0" w:line="240" w:lineRule="auto"/>
        <w:ind w:left="930"/>
        <w:jc w:val="both"/>
        <w:rPr>
          <w:rFonts w:ascii="Verdana" w:eastAsia="Calibri" w:hAnsi="Verdana" w:cs="Calibri"/>
          <w:sz w:val="20"/>
          <w:szCs w:val="20"/>
          <w:lang w:val="es-CR"/>
        </w:rPr>
      </w:pPr>
    </w:p>
    <w:p w14:paraId="481A7E58" w14:textId="385662A8" w:rsidR="00BE7B8A" w:rsidRPr="003A144E" w:rsidRDefault="004A1F29" w:rsidP="003F1A9E">
      <w:pPr>
        <w:pStyle w:val="ListParagraph"/>
        <w:widowControl w:val="0"/>
        <w:numPr>
          <w:ilvl w:val="0"/>
          <w:numId w:val="9"/>
        </w:numPr>
        <w:tabs>
          <w:tab w:val="left" w:pos="567"/>
        </w:tabs>
        <w:autoSpaceDE w:val="0"/>
        <w:autoSpaceDN w:val="0"/>
        <w:adjustRightInd w:val="0"/>
        <w:spacing w:after="0" w:line="240" w:lineRule="auto"/>
        <w:ind w:left="0" w:right="22" w:firstLine="0"/>
        <w:contextualSpacing w:val="0"/>
        <w:jc w:val="both"/>
        <w:rPr>
          <w:rFonts w:ascii="Verdana" w:eastAsia="Calibri" w:hAnsi="Verdana" w:cs="Calibri"/>
          <w:sz w:val="20"/>
          <w:szCs w:val="20"/>
          <w:lang w:val="es-CR"/>
        </w:rPr>
      </w:pPr>
      <w:r w:rsidRPr="004A21F7">
        <w:rPr>
          <w:rFonts w:ascii="Verdana" w:eastAsia="Calibri" w:hAnsi="Verdana" w:cs="Calibri"/>
          <w:sz w:val="20"/>
          <w:szCs w:val="20"/>
          <w:lang w:val="es-CR"/>
        </w:rPr>
        <w:t xml:space="preserve">Las comunicaciones de la Secretaría del Tribunal </w:t>
      </w:r>
      <w:r w:rsidR="00E26BC9">
        <w:rPr>
          <w:rFonts w:ascii="Verdana" w:eastAsia="Calibri" w:hAnsi="Verdana" w:cs="Calibri"/>
          <w:sz w:val="20"/>
          <w:szCs w:val="20"/>
          <w:lang w:val="es-CR"/>
        </w:rPr>
        <w:t xml:space="preserve">de </w:t>
      </w:r>
      <w:r w:rsidR="003D07E5">
        <w:rPr>
          <w:rFonts w:ascii="Verdana" w:eastAsia="Calibri" w:hAnsi="Verdana" w:cs="Calibri"/>
          <w:sz w:val="20"/>
          <w:szCs w:val="20"/>
          <w:lang w:val="es-CR"/>
        </w:rPr>
        <w:t>20</w:t>
      </w:r>
      <w:r w:rsidR="00E26BC9">
        <w:rPr>
          <w:rFonts w:ascii="Verdana" w:eastAsia="Calibri" w:hAnsi="Verdana" w:cs="Calibri"/>
          <w:sz w:val="20"/>
          <w:szCs w:val="20"/>
          <w:lang w:val="es-CR"/>
        </w:rPr>
        <w:t xml:space="preserve"> de </w:t>
      </w:r>
      <w:r w:rsidR="003D07E5">
        <w:rPr>
          <w:rFonts w:ascii="Verdana" w:eastAsia="Calibri" w:hAnsi="Verdana" w:cs="Calibri"/>
          <w:sz w:val="20"/>
          <w:szCs w:val="20"/>
          <w:lang w:val="es-CR"/>
        </w:rPr>
        <w:t>diciembre</w:t>
      </w:r>
      <w:r w:rsidR="00137B36">
        <w:rPr>
          <w:rFonts w:ascii="Verdana" w:eastAsia="Calibri" w:hAnsi="Verdana" w:cs="Calibri"/>
          <w:sz w:val="20"/>
          <w:szCs w:val="20"/>
          <w:lang w:val="es-CR"/>
        </w:rPr>
        <w:t xml:space="preserve"> de 2018</w:t>
      </w:r>
      <w:r w:rsidRPr="004A21F7">
        <w:rPr>
          <w:rFonts w:ascii="Verdana" w:eastAsia="Calibri" w:hAnsi="Verdana" w:cs="Calibri"/>
          <w:sz w:val="20"/>
          <w:szCs w:val="20"/>
          <w:lang w:val="es-CR"/>
        </w:rPr>
        <w:t>, mediante las cuales, siguiendo instrucciones del Presidente de la Corte, otorgó plazo a la Comisión</w:t>
      </w:r>
      <w:r w:rsidR="003D07E5">
        <w:rPr>
          <w:rFonts w:ascii="Verdana" w:eastAsia="Calibri" w:hAnsi="Verdana" w:cs="Calibri"/>
          <w:sz w:val="20"/>
          <w:szCs w:val="20"/>
          <w:lang w:val="es-CR"/>
        </w:rPr>
        <w:t xml:space="preserve"> </w:t>
      </w:r>
      <w:r w:rsidRPr="004A21F7">
        <w:rPr>
          <w:rFonts w:ascii="Verdana" w:eastAsia="Calibri" w:hAnsi="Verdana" w:cs="Calibri"/>
          <w:sz w:val="20"/>
          <w:szCs w:val="20"/>
          <w:lang w:val="es-CR"/>
        </w:rPr>
        <w:t>y al Estado</w:t>
      </w:r>
      <w:r w:rsidR="003A144E">
        <w:rPr>
          <w:rFonts w:ascii="Verdana" w:eastAsia="Calibri" w:hAnsi="Verdana" w:cs="Calibri"/>
          <w:sz w:val="20"/>
          <w:szCs w:val="20"/>
          <w:lang w:val="es-CR"/>
        </w:rPr>
        <w:t xml:space="preserve"> </w:t>
      </w:r>
      <w:r w:rsidRPr="004A21F7">
        <w:rPr>
          <w:rFonts w:ascii="Verdana" w:eastAsia="Calibri" w:hAnsi="Verdana" w:cs="Calibri"/>
          <w:sz w:val="20"/>
          <w:szCs w:val="20"/>
          <w:lang w:val="es-CR"/>
        </w:rPr>
        <w:t xml:space="preserve">hasta </w:t>
      </w:r>
      <w:r w:rsidR="00D3418F">
        <w:rPr>
          <w:rFonts w:ascii="Verdana" w:eastAsia="Calibri" w:hAnsi="Verdana" w:cs="Calibri"/>
          <w:sz w:val="20"/>
          <w:szCs w:val="20"/>
          <w:lang w:val="es-CR"/>
        </w:rPr>
        <w:t xml:space="preserve">el </w:t>
      </w:r>
      <w:r w:rsidR="003D07E5">
        <w:rPr>
          <w:rFonts w:ascii="Verdana" w:eastAsia="Calibri" w:hAnsi="Verdana" w:cs="Calibri"/>
          <w:sz w:val="20"/>
          <w:szCs w:val="20"/>
          <w:lang w:val="es-CR"/>
        </w:rPr>
        <w:t>8 de enero</w:t>
      </w:r>
      <w:r w:rsidR="00A5520A">
        <w:rPr>
          <w:rFonts w:ascii="Verdana" w:eastAsia="Calibri" w:hAnsi="Verdana" w:cs="Calibri"/>
          <w:sz w:val="20"/>
          <w:szCs w:val="20"/>
          <w:lang w:val="es-CR"/>
        </w:rPr>
        <w:t xml:space="preserve"> </w:t>
      </w:r>
      <w:r w:rsidR="00D3418F">
        <w:rPr>
          <w:rFonts w:ascii="Verdana" w:eastAsia="Calibri" w:hAnsi="Verdana" w:cs="Calibri"/>
          <w:sz w:val="20"/>
          <w:szCs w:val="20"/>
          <w:lang w:val="es-CR"/>
        </w:rPr>
        <w:t xml:space="preserve">de 2019 </w:t>
      </w:r>
      <w:r w:rsidRPr="004A21F7">
        <w:rPr>
          <w:rFonts w:ascii="Verdana" w:eastAsia="Calibri" w:hAnsi="Verdana" w:cs="Calibri"/>
          <w:sz w:val="20"/>
          <w:szCs w:val="20"/>
          <w:lang w:val="es-CR"/>
        </w:rPr>
        <w:t>para que presentaran las observaciones que estimaren pertinentes a las solicitudes de reconsideración referidas.</w:t>
      </w:r>
      <w:r w:rsidR="009C7EF1" w:rsidRPr="004A21F7">
        <w:rPr>
          <w:rFonts w:ascii="Verdana" w:eastAsia="Calibri" w:hAnsi="Verdana" w:cs="Calibri"/>
          <w:sz w:val="20"/>
          <w:szCs w:val="20"/>
          <w:lang w:val="es-CR"/>
        </w:rPr>
        <w:t xml:space="preserve"> </w:t>
      </w:r>
    </w:p>
    <w:p w14:paraId="3B6DDE1F" w14:textId="77777777" w:rsidR="00BE7B8A" w:rsidRPr="004A21F7" w:rsidRDefault="00BE7B8A" w:rsidP="004A21F7">
      <w:pPr>
        <w:pStyle w:val="ListParagraph"/>
        <w:tabs>
          <w:tab w:val="left" w:pos="567"/>
        </w:tabs>
        <w:spacing w:after="0" w:line="240" w:lineRule="auto"/>
        <w:ind w:left="930"/>
        <w:jc w:val="both"/>
        <w:rPr>
          <w:rFonts w:ascii="Verdana" w:eastAsia="Calibri" w:hAnsi="Verdana" w:cs="Calibri"/>
          <w:b/>
          <w:sz w:val="20"/>
          <w:szCs w:val="20"/>
          <w:lang w:val="es-CR"/>
        </w:rPr>
      </w:pPr>
    </w:p>
    <w:p w14:paraId="037C28F7" w14:textId="79F5E861" w:rsidR="00484E41" w:rsidRPr="003F1A9E" w:rsidRDefault="004072B3" w:rsidP="003F1A9E">
      <w:pPr>
        <w:pStyle w:val="ListParagraph"/>
        <w:widowControl w:val="0"/>
        <w:numPr>
          <w:ilvl w:val="0"/>
          <w:numId w:val="9"/>
        </w:numPr>
        <w:tabs>
          <w:tab w:val="left" w:pos="567"/>
        </w:tabs>
        <w:autoSpaceDE w:val="0"/>
        <w:autoSpaceDN w:val="0"/>
        <w:adjustRightInd w:val="0"/>
        <w:spacing w:after="0" w:line="240" w:lineRule="auto"/>
        <w:ind w:left="0" w:right="22" w:firstLine="0"/>
        <w:contextualSpacing w:val="0"/>
        <w:jc w:val="both"/>
        <w:rPr>
          <w:rFonts w:ascii="Verdana" w:eastAsia="Calibri" w:hAnsi="Verdana" w:cs="Calibri"/>
          <w:sz w:val="20"/>
          <w:szCs w:val="20"/>
          <w:lang w:val="es-CR"/>
        </w:rPr>
      </w:pPr>
      <w:r>
        <w:rPr>
          <w:rFonts w:ascii="Verdana" w:eastAsia="Calibri" w:hAnsi="Verdana" w:cs="Calibri"/>
          <w:sz w:val="20"/>
          <w:szCs w:val="20"/>
          <w:lang w:val="es-CR"/>
        </w:rPr>
        <w:t xml:space="preserve">Los </w:t>
      </w:r>
      <w:r w:rsidR="00BE7B8A" w:rsidRPr="004A21F7">
        <w:rPr>
          <w:rFonts w:ascii="Verdana" w:eastAsia="Calibri" w:hAnsi="Verdana" w:cs="Calibri"/>
          <w:sz w:val="20"/>
          <w:szCs w:val="20"/>
          <w:lang w:val="es-CR"/>
        </w:rPr>
        <w:t>escrito</w:t>
      </w:r>
      <w:r>
        <w:rPr>
          <w:rFonts w:ascii="Verdana" w:eastAsia="Calibri" w:hAnsi="Verdana" w:cs="Calibri"/>
          <w:sz w:val="20"/>
          <w:szCs w:val="20"/>
          <w:lang w:val="es-CR"/>
        </w:rPr>
        <w:t>s de</w:t>
      </w:r>
      <w:r w:rsidR="004E5E0F">
        <w:rPr>
          <w:rFonts w:ascii="Verdana" w:eastAsia="Calibri" w:hAnsi="Verdana" w:cs="Calibri"/>
          <w:sz w:val="20"/>
          <w:szCs w:val="20"/>
          <w:lang w:val="es-CR"/>
        </w:rPr>
        <w:t xml:space="preserve"> 7 de enero</w:t>
      </w:r>
      <w:r w:rsidR="00787B23" w:rsidRPr="00656E9A">
        <w:rPr>
          <w:rFonts w:ascii="Verdana" w:eastAsia="Calibri" w:hAnsi="Verdana" w:cs="Calibri"/>
          <w:sz w:val="20"/>
          <w:szCs w:val="20"/>
          <w:lang w:val="es-CR"/>
        </w:rPr>
        <w:t xml:space="preserve"> del 201</w:t>
      </w:r>
      <w:r w:rsidR="00656E9A" w:rsidRPr="003F1A9E">
        <w:rPr>
          <w:rFonts w:ascii="Verdana" w:eastAsia="Calibri" w:hAnsi="Verdana" w:cs="Calibri"/>
          <w:sz w:val="20"/>
          <w:szCs w:val="20"/>
          <w:lang w:val="es-CR"/>
        </w:rPr>
        <w:t>8</w:t>
      </w:r>
      <w:r w:rsidR="004A1F29" w:rsidRPr="004A21F7">
        <w:rPr>
          <w:rFonts w:ascii="Verdana" w:eastAsia="Calibri" w:hAnsi="Verdana" w:cs="Calibri"/>
          <w:sz w:val="20"/>
          <w:szCs w:val="20"/>
          <w:lang w:val="es-CR"/>
        </w:rPr>
        <w:t xml:space="preserve">, </w:t>
      </w:r>
      <w:r w:rsidR="001F6336" w:rsidRPr="004A21F7">
        <w:rPr>
          <w:rFonts w:ascii="Verdana" w:eastAsia="Calibri" w:hAnsi="Verdana" w:cs="Calibri"/>
          <w:sz w:val="20"/>
          <w:szCs w:val="20"/>
          <w:lang w:val="es-CR"/>
        </w:rPr>
        <w:t xml:space="preserve">mediante </w:t>
      </w:r>
      <w:r>
        <w:rPr>
          <w:rFonts w:ascii="Verdana" w:eastAsia="Calibri" w:hAnsi="Verdana" w:cs="Calibri"/>
          <w:sz w:val="20"/>
          <w:szCs w:val="20"/>
          <w:lang w:val="es-CR"/>
        </w:rPr>
        <w:t xml:space="preserve">los </w:t>
      </w:r>
      <w:r w:rsidR="00656E9A">
        <w:rPr>
          <w:rFonts w:ascii="Verdana" w:eastAsia="Calibri" w:hAnsi="Verdana" w:cs="Calibri"/>
          <w:sz w:val="20"/>
          <w:szCs w:val="20"/>
          <w:lang w:val="es-CR"/>
        </w:rPr>
        <w:t>cual</w:t>
      </w:r>
      <w:r>
        <w:rPr>
          <w:rFonts w:ascii="Verdana" w:eastAsia="Calibri" w:hAnsi="Verdana" w:cs="Calibri"/>
          <w:sz w:val="20"/>
          <w:szCs w:val="20"/>
          <w:lang w:val="es-CR"/>
        </w:rPr>
        <w:t xml:space="preserve">es, </w:t>
      </w:r>
      <w:r w:rsidR="004A21F7">
        <w:rPr>
          <w:rFonts w:ascii="Verdana" w:eastAsia="Calibri" w:hAnsi="Verdana" w:cs="Calibri"/>
          <w:sz w:val="20"/>
          <w:szCs w:val="20"/>
          <w:lang w:val="es-CR"/>
        </w:rPr>
        <w:t>el Estado</w:t>
      </w:r>
      <w:r w:rsidR="003A144E">
        <w:rPr>
          <w:rFonts w:ascii="Verdana" w:eastAsia="Calibri" w:hAnsi="Verdana" w:cs="Calibri"/>
          <w:sz w:val="20"/>
          <w:szCs w:val="20"/>
          <w:lang w:val="es-CR"/>
        </w:rPr>
        <w:t xml:space="preserve"> </w:t>
      </w:r>
      <w:r w:rsidR="004A1F29" w:rsidRPr="004A21F7">
        <w:rPr>
          <w:rFonts w:ascii="Verdana" w:eastAsia="Calibri" w:hAnsi="Verdana" w:cs="Calibri"/>
          <w:sz w:val="20"/>
          <w:szCs w:val="20"/>
          <w:lang w:val="es-CR"/>
        </w:rPr>
        <w:t>present</w:t>
      </w:r>
      <w:r w:rsidR="001F6336">
        <w:rPr>
          <w:rFonts w:ascii="Verdana" w:eastAsia="Calibri" w:hAnsi="Verdana" w:cs="Calibri"/>
          <w:sz w:val="20"/>
          <w:szCs w:val="20"/>
          <w:lang w:val="es-CR"/>
        </w:rPr>
        <w:t>ó</w:t>
      </w:r>
      <w:r w:rsidR="004A1F29" w:rsidRPr="004A21F7">
        <w:rPr>
          <w:rFonts w:ascii="Verdana" w:eastAsia="Calibri" w:hAnsi="Verdana" w:cs="Calibri"/>
          <w:sz w:val="20"/>
          <w:szCs w:val="20"/>
          <w:lang w:val="es-CR"/>
        </w:rPr>
        <w:t xml:space="preserve"> sus respectivas observaciones a dichas solicitudes de reconsideración</w:t>
      </w:r>
      <w:r>
        <w:rPr>
          <w:rFonts w:ascii="Verdana" w:eastAsia="Calibri" w:hAnsi="Verdana" w:cs="Calibri"/>
          <w:sz w:val="20"/>
          <w:szCs w:val="20"/>
          <w:lang w:val="es-CR"/>
        </w:rPr>
        <w:t>, y</w:t>
      </w:r>
      <w:r w:rsidR="00656E9A">
        <w:rPr>
          <w:rFonts w:ascii="Verdana" w:eastAsia="Calibri" w:hAnsi="Verdana" w:cs="Calibri"/>
          <w:sz w:val="20"/>
          <w:szCs w:val="20"/>
          <w:lang w:val="es-CR"/>
        </w:rPr>
        <w:t xml:space="preserve"> </w:t>
      </w:r>
      <w:r w:rsidR="001F6336">
        <w:rPr>
          <w:rFonts w:ascii="Verdana" w:eastAsia="Calibri" w:hAnsi="Verdana" w:cs="Calibri"/>
          <w:sz w:val="20"/>
          <w:szCs w:val="20"/>
          <w:lang w:val="es-CR"/>
        </w:rPr>
        <w:t xml:space="preserve">la </w:t>
      </w:r>
      <w:r w:rsidR="001F6336" w:rsidRPr="004A21F7">
        <w:rPr>
          <w:rFonts w:ascii="Verdana" w:eastAsia="Calibri" w:hAnsi="Verdana" w:cs="Calibri"/>
          <w:sz w:val="20"/>
          <w:szCs w:val="20"/>
          <w:lang w:val="es-CR"/>
        </w:rPr>
        <w:t>Comisión</w:t>
      </w:r>
      <w:r w:rsidR="001F6336">
        <w:rPr>
          <w:rFonts w:ascii="Verdana" w:eastAsia="Calibri" w:hAnsi="Verdana" w:cs="Calibri"/>
          <w:sz w:val="20"/>
          <w:szCs w:val="20"/>
          <w:lang w:val="es-CR"/>
        </w:rPr>
        <w:t xml:space="preserve"> señaló no tener observaciones al respecto. </w:t>
      </w:r>
    </w:p>
    <w:p w14:paraId="01AB86DF" w14:textId="77777777" w:rsidR="003F1A9E" w:rsidRPr="003F1A9E" w:rsidRDefault="003F1A9E" w:rsidP="003F1A9E">
      <w:pPr>
        <w:pStyle w:val="ListParagraph"/>
        <w:widowControl w:val="0"/>
        <w:tabs>
          <w:tab w:val="left" w:pos="567"/>
        </w:tabs>
        <w:autoSpaceDE w:val="0"/>
        <w:autoSpaceDN w:val="0"/>
        <w:adjustRightInd w:val="0"/>
        <w:spacing w:after="0" w:line="240" w:lineRule="auto"/>
        <w:ind w:left="0" w:right="22"/>
        <w:contextualSpacing w:val="0"/>
        <w:jc w:val="both"/>
        <w:rPr>
          <w:rFonts w:ascii="Verdana" w:eastAsia="Calibri" w:hAnsi="Verdana" w:cs="Calibri"/>
          <w:sz w:val="20"/>
          <w:szCs w:val="20"/>
          <w:lang w:val="es-CR"/>
        </w:rPr>
      </w:pPr>
    </w:p>
    <w:p w14:paraId="4D3C3936" w14:textId="77777777" w:rsidR="000205FA" w:rsidRPr="004A21F7" w:rsidRDefault="000205FA" w:rsidP="000205FA">
      <w:pPr>
        <w:tabs>
          <w:tab w:val="left" w:pos="567"/>
        </w:tabs>
        <w:spacing w:after="0" w:line="240" w:lineRule="auto"/>
        <w:rPr>
          <w:rFonts w:ascii="Verdana" w:eastAsia="Calibri" w:hAnsi="Verdana" w:cs="Calibri"/>
          <w:b/>
          <w:sz w:val="20"/>
          <w:szCs w:val="20"/>
          <w:lang w:val="es-CR"/>
        </w:rPr>
      </w:pPr>
      <w:r w:rsidRPr="004A21F7">
        <w:rPr>
          <w:rFonts w:ascii="Verdana" w:eastAsia="Calibri" w:hAnsi="Verdana" w:cs="Calibri"/>
          <w:b/>
          <w:sz w:val="20"/>
          <w:szCs w:val="20"/>
          <w:lang w:val="es-CR"/>
        </w:rPr>
        <w:t>CONSIDERANDO QUE:</w:t>
      </w:r>
    </w:p>
    <w:p w14:paraId="294F6280" w14:textId="77777777" w:rsidR="00197DC8" w:rsidRPr="004A21F7" w:rsidRDefault="00197DC8" w:rsidP="000205FA">
      <w:pPr>
        <w:tabs>
          <w:tab w:val="left" w:pos="567"/>
          <w:tab w:val="left" w:pos="720"/>
          <w:tab w:val="left" w:pos="810"/>
        </w:tabs>
        <w:spacing w:after="0" w:line="240" w:lineRule="auto"/>
        <w:jc w:val="both"/>
        <w:rPr>
          <w:rFonts w:ascii="Verdana" w:eastAsia="Calibri" w:hAnsi="Verdana" w:cs="Calibri"/>
          <w:sz w:val="20"/>
          <w:szCs w:val="20"/>
          <w:lang w:val="es-CR"/>
        </w:rPr>
      </w:pPr>
    </w:p>
    <w:p w14:paraId="63AC2653" w14:textId="77777777" w:rsidR="004072B3" w:rsidRDefault="004072B3" w:rsidP="004072B3">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eastAsia="Calibri" w:hAnsi="Verdana" w:cs="Verdana"/>
          <w:sz w:val="20"/>
          <w:szCs w:val="20"/>
          <w:lang w:val="es-CR"/>
        </w:rPr>
      </w:pPr>
      <w:r w:rsidRPr="003F1A9E">
        <w:rPr>
          <w:rFonts w:ascii="Verdana" w:eastAsia="Calibri" w:hAnsi="Verdana" w:cs="Verdana"/>
          <w:sz w:val="20"/>
          <w:szCs w:val="20"/>
          <w:lang w:val="es-CR"/>
        </w:rPr>
        <w:t xml:space="preserve">Las decisiones del Presidente, que no sean de mero trámite, son recurribles ante la Corte Interamericana de Derechos Humanos (en adelante “la Corte” o “el Tribunal”, en los </w:t>
      </w:r>
      <w:r w:rsidRPr="003F1A9E">
        <w:rPr>
          <w:rFonts w:ascii="Verdana" w:eastAsia="Calibri" w:hAnsi="Verdana" w:cs="Verdana"/>
          <w:sz w:val="20"/>
          <w:szCs w:val="20"/>
          <w:lang w:val="es-CR"/>
        </w:rPr>
        <w:lastRenderedPageBreak/>
        <w:t xml:space="preserve">términos del artículo 31.2 del Reglamento de este Tribunal (en adelante “el </w:t>
      </w:r>
      <w:r w:rsidRPr="003D07E5">
        <w:rPr>
          <w:rFonts w:ascii="Verdana" w:eastAsia="Calibri" w:hAnsi="Verdana" w:cs="Verdana"/>
          <w:sz w:val="20"/>
          <w:szCs w:val="20"/>
          <w:lang w:val="es-CR"/>
        </w:rPr>
        <w:t xml:space="preserve"> </w:t>
      </w:r>
      <w:r w:rsidRPr="003F1A9E">
        <w:rPr>
          <w:rFonts w:ascii="Verdana" w:eastAsia="Calibri" w:hAnsi="Verdana" w:cs="Verdana"/>
          <w:sz w:val="20"/>
          <w:szCs w:val="20"/>
          <w:lang w:val="es-CR"/>
        </w:rPr>
        <w:t>Reglamento”).</w:t>
      </w:r>
    </w:p>
    <w:p w14:paraId="5E472C25" w14:textId="77777777" w:rsidR="004072B3" w:rsidRPr="003D07E5" w:rsidRDefault="004072B3" w:rsidP="004072B3">
      <w:pPr>
        <w:widowControl w:val="0"/>
        <w:tabs>
          <w:tab w:val="left" w:pos="567"/>
          <w:tab w:val="left" w:pos="810"/>
        </w:tabs>
        <w:autoSpaceDE w:val="0"/>
        <w:autoSpaceDN w:val="0"/>
        <w:adjustRightInd w:val="0"/>
        <w:spacing w:after="0" w:line="240" w:lineRule="auto"/>
        <w:ind w:right="22"/>
        <w:jc w:val="both"/>
        <w:rPr>
          <w:rFonts w:ascii="Verdana" w:eastAsia="Calibri" w:hAnsi="Verdana" w:cs="Verdana"/>
          <w:sz w:val="20"/>
          <w:szCs w:val="20"/>
          <w:lang w:val="es-CR"/>
        </w:rPr>
      </w:pPr>
    </w:p>
    <w:p w14:paraId="79F5FCEB" w14:textId="6D68B4E8" w:rsidR="004E5E0F" w:rsidRDefault="00197DC8" w:rsidP="003F1A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eastAsia="Calibri" w:hAnsi="Verdana" w:cs="Verdana"/>
          <w:sz w:val="20"/>
          <w:szCs w:val="20"/>
          <w:lang w:val="es-CR"/>
        </w:rPr>
      </w:pPr>
      <w:r w:rsidRPr="00850F42">
        <w:rPr>
          <w:rFonts w:ascii="Verdana" w:eastAsia="Calibri" w:hAnsi="Verdana" w:cs="Verdana"/>
          <w:sz w:val="20"/>
          <w:szCs w:val="20"/>
          <w:lang w:val="es-CR"/>
        </w:rPr>
        <w:t>El ofrecimiento y la admisión de la prueba, así como la citación de presuntas víctimas, testigos y peritos se encuentran regulados en los artículos 35.1.f, 40.2.c, 41.1.c, 46, 47, 48, 50, 52.3, 57 y 58 del Reglamento de la Corte Interamericana.</w:t>
      </w:r>
      <w:r w:rsidR="004E5E0F">
        <w:rPr>
          <w:rFonts w:ascii="Verdana" w:eastAsia="Calibri" w:hAnsi="Verdana" w:cs="Verdana"/>
          <w:sz w:val="20"/>
          <w:szCs w:val="20"/>
          <w:lang w:val="es-CR"/>
        </w:rPr>
        <w:t xml:space="preserve"> </w:t>
      </w:r>
    </w:p>
    <w:p w14:paraId="679E7CA1" w14:textId="77777777" w:rsidR="000205FA" w:rsidRPr="004A21F7" w:rsidRDefault="000205FA" w:rsidP="004A21F7">
      <w:pPr>
        <w:widowControl w:val="0"/>
        <w:tabs>
          <w:tab w:val="left" w:pos="567"/>
          <w:tab w:val="left" w:pos="810"/>
        </w:tabs>
        <w:autoSpaceDE w:val="0"/>
        <w:autoSpaceDN w:val="0"/>
        <w:adjustRightInd w:val="0"/>
        <w:spacing w:after="0" w:line="240" w:lineRule="auto"/>
        <w:ind w:right="22"/>
        <w:jc w:val="both"/>
        <w:rPr>
          <w:rFonts w:ascii="Verdana" w:eastAsia="Calibri" w:hAnsi="Verdana" w:cs="Verdana"/>
          <w:sz w:val="20"/>
          <w:szCs w:val="20"/>
          <w:lang w:val="es-CR"/>
        </w:rPr>
      </w:pPr>
    </w:p>
    <w:p w14:paraId="462017EF" w14:textId="1001AD86" w:rsidR="000205FA" w:rsidRDefault="000205FA" w:rsidP="003F1A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sidRPr="003F1A9E">
        <w:rPr>
          <w:rFonts w:ascii="Verdana" w:eastAsia="Calibri" w:hAnsi="Verdana" w:cs="Verdana"/>
          <w:sz w:val="20"/>
          <w:szCs w:val="20"/>
          <w:lang w:val="es-CR"/>
        </w:rPr>
        <w:t>El</w:t>
      </w:r>
      <w:r w:rsidRPr="003F1A9E">
        <w:rPr>
          <w:rFonts w:ascii="Verdana" w:hAnsi="Verdana"/>
          <w:sz w:val="20"/>
          <w:szCs w:val="20"/>
          <w:lang w:val="es-CR"/>
        </w:rPr>
        <w:t xml:space="preserve"> Tribunal tiene amplias facultades en cuanto a </w:t>
      </w:r>
      <w:r w:rsidR="009C7EF1" w:rsidRPr="003F1A9E">
        <w:rPr>
          <w:rFonts w:ascii="Verdana" w:hAnsi="Verdana"/>
          <w:sz w:val="20"/>
          <w:szCs w:val="20"/>
          <w:lang w:val="es-CR"/>
        </w:rPr>
        <w:t xml:space="preserve">la admisión y a la modalidad de </w:t>
      </w:r>
      <w:r w:rsidRPr="003F1A9E">
        <w:rPr>
          <w:rFonts w:ascii="Verdana" w:hAnsi="Verdana"/>
          <w:sz w:val="20"/>
          <w:szCs w:val="20"/>
          <w:lang w:val="es-CR"/>
        </w:rPr>
        <w:t>recepción de la prueba, de conformidad con los artículos 46, 49 y 50 del Reglamento de la Corte</w:t>
      </w:r>
      <w:r w:rsidR="00D3418F">
        <w:rPr>
          <w:rFonts w:ascii="Verdana" w:hAnsi="Verdana"/>
          <w:sz w:val="20"/>
          <w:szCs w:val="20"/>
          <w:lang w:val="es-CR"/>
        </w:rPr>
        <w:t>.</w:t>
      </w:r>
    </w:p>
    <w:p w14:paraId="1770D4C5" w14:textId="77777777" w:rsidR="004072B3" w:rsidRDefault="004072B3" w:rsidP="004072B3">
      <w:pPr>
        <w:widowControl w:val="0"/>
        <w:tabs>
          <w:tab w:val="left" w:pos="567"/>
          <w:tab w:val="left" w:pos="810"/>
        </w:tabs>
        <w:autoSpaceDE w:val="0"/>
        <w:autoSpaceDN w:val="0"/>
        <w:adjustRightInd w:val="0"/>
        <w:spacing w:after="0" w:line="240" w:lineRule="auto"/>
        <w:ind w:right="22"/>
        <w:jc w:val="both"/>
        <w:rPr>
          <w:rFonts w:ascii="Verdana" w:hAnsi="Verdana"/>
          <w:sz w:val="20"/>
          <w:szCs w:val="20"/>
          <w:lang w:val="es-CR"/>
        </w:rPr>
      </w:pPr>
    </w:p>
    <w:p w14:paraId="6B757A27" w14:textId="6E8E98A0" w:rsidR="004072B3" w:rsidRPr="003F1A9E" w:rsidRDefault="004072B3" w:rsidP="003F1A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Pr>
          <w:rFonts w:ascii="Verdana" w:hAnsi="Verdana"/>
          <w:sz w:val="20"/>
          <w:szCs w:val="20"/>
          <w:lang w:val="es-CR"/>
        </w:rPr>
        <w:t xml:space="preserve">A continuación, en vista de los diversos </w:t>
      </w:r>
      <w:r w:rsidR="00A822FF">
        <w:rPr>
          <w:rFonts w:ascii="Verdana" w:hAnsi="Verdana"/>
          <w:sz w:val="20"/>
          <w:szCs w:val="20"/>
          <w:lang w:val="es-CR"/>
        </w:rPr>
        <w:t>planteamientos presentados</w:t>
      </w:r>
      <w:r>
        <w:rPr>
          <w:rFonts w:ascii="Verdana" w:hAnsi="Verdana"/>
          <w:sz w:val="20"/>
          <w:szCs w:val="20"/>
          <w:lang w:val="es-CR"/>
        </w:rPr>
        <w:t xml:space="preserve"> por el representante, la Corte resolverá los siguientes puntos. </w:t>
      </w:r>
    </w:p>
    <w:p w14:paraId="584317CB" w14:textId="77777777" w:rsidR="00DC3389" w:rsidRPr="004A21F7" w:rsidRDefault="00DC3389" w:rsidP="004A21F7">
      <w:pPr>
        <w:pStyle w:val="ListParagraph"/>
        <w:jc w:val="both"/>
        <w:rPr>
          <w:rFonts w:ascii="Verdana" w:hAnsi="Verdana"/>
          <w:sz w:val="20"/>
          <w:szCs w:val="20"/>
          <w:lang w:val="es-CR"/>
        </w:rPr>
      </w:pPr>
    </w:p>
    <w:p w14:paraId="68089AE4" w14:textId="1FE9CA2B" w:rsidR="000205FA" w:rsidRPr="004A21F7" w:rsidRDefault="000205FA" w:rsidP="00B954A7">
      <w:pPr>
        <w:pStyle w:val="ListParagraph"/>
        <w:numPr>
          <w:ilvl w:val="0"/>
          <w:numId w:val="2"/>
        </w:numPr>
        <w:rPr>
          <w:rFonts w:ascii="Verdana" w:hAnsi="Verdana"/>
          <w:b/>
          <w:i/>
          <w:sz w:val="20"/>
          <w:szCs w:val="20"/>
          <w:lang w:val="es-CR"/>
        </w:rPr>
      </w:pPr>
      <w:r w:rsidRPr="004A21F7">
        <w:rPr>
          <w:rFonts w:ascii="Verdana" w:hAnsi="Verdana"/>
          <w:b/>
          <w:i/>
          <w:sz w:val="20"/>
          <w:szCs w:val="20"/>
          <w:lang w:val="es-CR"/>
        </w:rPr>
        <w:t xml:space="preserve">Respecto </w:t>
      </w:r>
      <w:r w:rsidR="004C4E40">
        <w:rPr>
          <w:rFonts w:ascii="Verdana" w:hAnsi="Verdana"/>
          <w:b/>
          <w:i/>
          <w:sz w:val="20"/>
          <w:szCs w:val="20"/>
          <w:lang w:val="es-CR"/>
        </w:rPr>
        <w:t xml:space="preserve">del </w:t>
      </w:r>
      <w:r w:rsidR="009C75A6">
        <w:rPr>
          <w:rFonts w:ascii="Verdana" w:hAnsi="Verdana"/>
          <w:b/>
          <w:i/>
          <w:sz w:val="20"/>
          <w:szCs w:val="20"/>
          <w:lang w:val="es-CR"/>
        </w:rPr>
        <w:t>ofrecimiento</w:t>
      </w:r>
      <w:r w:rsidR="004C4E40">
        <w:rPr>
          <w:rFonts w:ascii="Verdana" w:hAnsi="Verdana"/>
          <w:b/>
          <w:i/>
          <w:sz w:val="20"/>
          <w:szCs w:val="20"/>
          <w:lang w:val="es-CR"/>
        </w:rPr>
        <w:t xml:space="preserve"> del peritaje </w:t>
      </w:r>
      <w:r w:rsidR="003F1A9E">
        <w:rPr>
          <w:rFonts w:ascii="Verdana" w:hAnsi="Verdana"/>
          <w:b/>
          <w:i/>
          <w:sz w:val="20"/>
          <w:szCs w:val="20"/>
          <w:lang w:val="es-CR"/>
        </w:rPr>
        <w:t>“con carácter subsidiario”</w:t>
      </w:r>
    </w:p>
    <w:p w14:paraId="79E95F57" w14:textId="77777777" w:rsidR="005F1C21" w:rsidRDefault="00DC3389" w:rsidP="006A33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sidRPr="005F1C21">
        <w:rPr>
          <w:rFonts w:ascii="Verdana" w:hAnsi="Verdana"/>
          <w:sz w:val="20"/>
          <w:szCs w:val="20"/>
          <w:lang w:val="es-CR"/>
        </w:rPr>
        <w:t xml:space="preserve">El </w:t>
      </w:r>
      <w:r w:rsidRPr="005F1C21">
        <w:rPr>
          <w:rFonts w:ascii="Verdana" w:hAnsi="Verdana"/>
          <w:b/>
          <w:i/>
          <w:sz w:val="20"/>
          <w:szCs w:val="20"/>
          <w:lang w:val="es-CR"/>
        </w:rPr>
        <w:t xml:space="preserve">representante </w:t>
      </w:r>
      <w:r w:rsidRPr="005F1C21">
        <w:rPr>
          <w:rFonts w:ascii="Verdana" w:hAnsi="Verdana"/>
          <w:sz w:val="20"/>
          <w:szCs w:val="20"/>
          <w:lang w:val="es-CR"/>
        </w:rPr>
        <w:t>consideró</w:t>
      </w:r>
      <w:r w:rsidR="00137B36" w:rsidRPr="005F1C21">
        <w:rPr>
          <w:rFonts w:ascii="Verdana" w:hAnsi="Verdana"/>
          <w:sz w:val="20"/>
          <w:szCs w:val="20"/>
          <w:lang w:val="es-CR"/>
        </w:rPr>
        <w:t xml:space="preserve">, </w:t>
      </w:r>
      <w:r w:rsidR="00137B36" w:rsidRPr="005F1C21">
        <w:rPr>
          <w:rFonts w:ascii="Verdana" w:hAnsi="Verdana"/>
          <w:i/>
          <w:sz w:val="20"/>
          <w:szCs w:val="20"/>
          <w:lang w:val="es-CR"/>
        </w:rPr>
        <w:t xml:space="preserve">inter </w:t>
      </w:r>
      <w:proofErr w:type="spellStart"/>
      <w:r w:rsidR="00137B36" w:rsidRPr="005F1C21">
        <w:rPr>
          <w:rFonts w:ascii="Verdana" w:hAnsi="Verdana"/>
          <w:i/>
          <w:sz w:val="20"/>
          <w:szCs w:val="20"/>
          <w:lang w:val="es-CR"/>
        </w:rPr>
        <w:t>alia</w:t>
      </w:r>
      <w:proofErr w:type="spellEnd"/>
      <w:r w:rsidR="00137B36" w:rsidRPr="005F1C21">
        <w:rPr>
          <w:rFonts w:ascii="Verdana" w:hAnsi="Verdana"/>
          <w:i/>
          <w:sz w:val="20"/>
          <w:szCs w:val="20"/>
          <w:lang w:val="es-CR"/>
        </w:rPr>
        <w:t>,</w:t>
      </w:r>
      <w:r w:rsidRPr="005F1C21">
        <w:rPr>
          <w:rFonts w:ascii="Verdana" w:hAnsi="Verdana"/>
          <w:sz w:val="20"/>
          <w:szCs w:val="20"/>
          <w:lang w:val="es-CR"/>
        </w:rPr>
        <w:t xml:space="preserve"> que la Resolución del Presidente debió ordenar al Estado que este realizara el cálculo para la liquidación “de las acreencias de las presuntas víctimas por concepto de salarios caídos y demás accesorios” derivados de los hechos que se le atribuyen, y que su prueba pericial ofrecida había sido propuesta en su </w:t>
      </w:r>
      <w:r w:rsidR="00F369BF" w:rsidRPr="005F1C21">
        <w:rPr>
          <w:rFonts w:ascii="Verdana" w:hAnsi="Verdana"/>
          <w:sz w:val="20"/>
          <w:szCs w:val="20"/>
          <w:lang w:val="es-CR"/>
        </w:rPr>
        <w:t>escrito de solicitudes y argumentos</w:t>
      </w:r>
      <w:r w:rsidR="00F369BF" w:rsidRPr="006A339E" w:rsidDel="00F369BF">
        <w:rPr>
          <w:rFonts w:ascii="Verdana" w:hAnsi="Verdana"/>
          <w:sz w:val="20"/>
          <w:szCs w:val="20"/>
          <w:lang w:val="es-CR"/>
        </w:rPr>
        <w:t xml:space="preserve"> </w:t>
      </w:r>
      <w:r w:rsidR="004072B3" w:rsidRPr="006A339E">
        <w:rPr>
          <w:rFonts w:ascii="Verdana" w:hAnsi="Verdana"/>
          <w:sz w:val="20"/>
          <w:szCs w:val="20"/>
          <w:lang w:val="es-CR"/>
        </w:rPr>
        <w:t xml:space="preserve">con carácter </w:t>
      </w:r>
      <w:r w:rsidRPr="006A339E">
        <w:rPr>
          <w:rFonts w:ascii="Verdana" w:hAnsi="Verdana"/>
          <w:sz w:val="20"/>
          <w:szCs w:val="20"/>
          <w:lang w:val="es-CR"/>
        </w:rPr>
        <w:t>“subsidiario” que había ofrecido “oportunamente” y solo en caso de que el Estado no diese cumplimiento a dicha solicitud. Por tanto, solicitaron que el Pleno de la Corte se pronuncie ordenando al Estado que realice dicho cálculo.</w:t>
      </w:r>
      <w:r w:rsidR="00373D2B" w:rsidRPr="006A339E">
        <w:rPr>
          <w:rFonts w:ascii="Verdana" w:hAnsi="Verdana"/>
          <w:sz w:val="20"/>
          <w:szCs w:val="20"/>
          <w:lang w:val="es-CR"/>
        </w:rPr>
        <w:t xml:space="preserve"> </w:t>
      </w:r>
    </w:p>
    <w:p w14:paraId="33F70FBA" w14:textId="77777777" w:rsidR="003F1A9E" w:rsidRPr="005F1C21" w:rsidRDefault="003F1A9E" w:rsidP="005F1C21">
      <w:pPr>
        <w:widowControl w:val="0"/>
        <w:tabs>
          <w:tab w:val="left" w:pos="567"/>
          <w:tab w:val="left" w:pos="810"/>
        </w:tabs>
        <w:autoSpaceDE w:val="0"/>
        <w:autoSpaceDN w:val="0"/>
        <w:adjustRightInd w:val="0"/>
        <w:spacing w:after="0" w:line="240" w:lineRule="auto"/>
        <w:ind w:right="22"/>
        <w:jc w:val="both"/>
        <w:rPr>
          <w:rFonts w:ascii="Verdana" w:hAnsi="Verdana"/>
          <w:sz w:val="20"/>
          <w:szCs w:val="20"/>
          <w:lang w:val="es-CR"/>
        </w:rPr>
      </w:pPr>
    </w:p>
    <w:p w14:paraId="3FC84ABF" w14:textId="6E781E0A" w:rsidR="00DC3389" w:rsidRDefault="00BE7B8A" w:rsidP="003F1A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sidRPr="003F1A9E">
        <w:rPr>
          <w:rFonts w:ascii="Verdana" w:hAnsi="Verdana"/>
          <w:sz w:val="20"/>
          <w:szCs w:val="20"/>
          <w:lang w:val="es-CR"/>
        </w:rPr>
        <w:t>Por su parte, el</w:t>
      </w:r>
      <w:r w:rsidRPr="003F1A9E">
        <w:rPr>
          <w:rFonts w:ascii="Verdana" w:hAnsi="Verdana"/>
          <w:b/>
          <w:i/>
          <w:sz w:val="20"/>
          <w:szCs w:val="20"/>
          <w:lang w:val="es-CR"/>
        </w:rPr>
        <w:t xml:space="preserve"> E</w:t>
      </w:r>
      <w:r w:rsidR="009C7EF1" w:rsidRPr="003F1A9E">
        <w:rPr>
          <w:rFonts w:ascii="Verdana" w:hAnsi="Verdana"/>
          <w:b/>
          <w:i/>
          <w:sz w:val="20"/>
          <w:szCs w:val="20"/>
          <w:lang w:val="es-CR"/>
        </w:rPr>
        <w:t>stado</w:t>
      </w:r>
      <w:r w:rsidR="009C7EF1" w:rsidRPr="003F1A9E">
        <w:rPr>
          <w:rFonts w:ascii="Verdana" w:hAnsi="Verdana"/>
          <w:sz w:val="20"/>
          <w:szCs w:val="20"/>
          <w:lang w:val="es-CR"/>
        </w:rPr>
        <w:t xml:space="preserve"> manifestó que </w:t>
      </w:r>
      <w:r w:rsidR="00A85B9F" w:rsidRPr="003F1A9E">
        <w:rPr>
          <w:rFonts w:ascii="Verdana" w:hAnsi="Verdana"/>
          <w:sz w:val="20"/>
          <w:szCs w:val="20"/>
          <w:lang w:val="es-CR"/>
        </w:rPr>
        <w:t>“la presentación de l</w:t>
      </w:r>
      <w:r w:rsidR="009C7EF1" w:rsidRPr="003F1A9E">
        <w:rPr>
          <w:rFonts w:ascii="Verdana" w:hAnsi="Verdana"/>
          <w:sz w:val="20"/>
          <w:szCs w:val="20"/>
          <w:lang w:val="es-CR"/>
        </w:rPr>
        <w:t>ista</w:t>
      </w:r>
      <w:r w:rsidR="00A85B9F" w:rsidRPr="003F1A9E">
        <w:rPr>
          <w:rFonts w:ascii="Verdana" w:hAnsi="Verdana"/>
          <w:sz w:val="20"/>
          <w:szCs w:val="20"/>
          <w:lang w:val="es-CR"/>
        </w:rPr>
        <w:t>s</w:t>
      </w:r>
      <w:r w:rsidR="009C7EF1" w:rsidRPr="003F1A9E">
        <w:rPr>
          <w:rFonts w:ascii="Verdana" w:hAnsi="Verdana"/>
          <w:sz w:val="20"/>
          <w:szCs w:val="20"/>
          <w:lang w:val="es-CR"/>
        </w:rPr>
        <w:t xml:space="preserve"> definitiva</w:t>
      </w:r>
      <w:r w:rsidR="00A85B9F" w:rsidRPr="003F1A9E">
        <w:rPr>
          <w:rFonts w:ascii="Verdana" w:hAnsi="Verdana"/>
          <w:sz w:val="20"/>
          <w:szCs w:val="20"/>
          <w:lang w:val="es-CR"/>
        </w:rPr>
        <w:t>s</w:t>
      </w:r>
      <w:r w:rsidR="009C7EF1" w:rsidRPr="003F1A9E">
        <w:rPr>
          <w:rFonts w:ascii="Verdana" w:hAnsi="Verdana"/>
          <w:sz w:val="20"/>
          <w:szCs w:val="20"/>
          <w:lang w:val="es-CR"/>
        </w:rPr>
        <w:t xml:space="preserve"> </w:t>
      </w:r>
      <w:r w:rsidR="005254B6" w:rsidRPr="003F1A9E">
        <w:rPr>
          <w:rFonts w:ascii="Verdana" w:hAnsi="Verdana"/>
          <w:sz w:val="20"/>
          <w:szCs w:val="20"/>
          <w:lang w:val="es-CR"/>
        </w:rPr>
        <w:t xml:space="preserve">de declarantes </w:t>
      </w:r>
      <w:r w:rsidR="009C7EF1" w:rsidRPr="003F1A9E">
        <w:rPr>
          <w:rFonts w:ascii="Verdana" w:hAnsi="Verdana"/>
          <w:sz w:val="20"/>
          <w:szCs w:val="20"/>
          <w:lang w:val="es-CR"/>
        </w:rPr>
        <w:t>no constituye una nueva oportunidad procesal para ofrecer peritajes</w:t>
      </w:r>
      <w:r w:rsidR="00A85B9F" w:rsidRPr="003F1A9E">
        <w:rPr>
          <w:rFonts w:ascii="Verdana" w:hAnsi="Verdana"/>
          <w:sz w:val="20"/>
          <w:szCs w:val="20"/>
          <w:lang w:val="es-CR"/>
        </w:rPr>
        <w:t>”</w:t>
      </w:r>
      <w:r w:rsidR="009C7EF1" w:rsidRPr="003F1A9E">
        <w:rPr>
          <w:rFonts w:ascii="Verdana" w:hAnsi="Verdana"/>
          <w:sz w:val="20"/>
          <w:szCs w:val="20"/>
          <w:lang w:val="es-CR"/>
        </w:rPr>
        <w:t>.</w:t>
      </w:r>
      <w:r w:rsidR="003C091A" w:rsidRPr="003F1A9E">
        <w:rPr>
          <w:rFonts w:ascii="Verdana" w:hAnsi="Verdana"/>
          <w:sz w:val="20"/>
          <w:szCs w:val="20"/>
          <w:lang w:val="es-CR"/>
        </w:rPr>
        <w:t xml:space="preserve"> </w:t>
      </w:r>
      <w:r w:rsidR="00A85B9F" w:rsidRPr="003F1A9E">
        <w:rPr>
          <w:rFonts w:ascii="Verdana" w:hAnsi="Verdana"/>
          <w:sz w:val="20"/>
          <w:szCs w:val="20"/>
          <w:lang w:val="es-CR"/>
        </w:rPr>
        <w:t xml:space="preserve">Añadió que los “representantes no individualizaron en su escrito de solicitudes, argumento y pruebas ningún perito, </w:t>
      </w:r>
      <w:r w:rsidR="001F6336" w:rsidRPr="003F1A9E">
        <w:rPr>
          <w:rFonts w:ascii="Verdana" w:hAnsi="Verdana"/>
          <w:sz w:val="20"/>
          <w:szCs w:val="20"/>
          <w:lang w:val="es-CR"/>
        </w:rPr>
        <w:t>n</w:t>
      </w:r>
      <w:r w:rsidR="00A85B9F" w:rsidRPr="003F1A9E">
        <w:rPr>
          <w:rFonts w:ascii="Verdana" w:hAnsi="Verdana"/>
          <w:sz w:val="20"/>
          <w:szCs w:val="20"/>
          <w:lang w:val="es-CR"/>
        </w:rPr>
        <w:t>i señalaron el objeto del pronunciamiento pericial”, y que por eso, “el ofrecimiento de nuevas medidas probatorias resulta extemporáneo”.</w:t>
      </w:r>
      <w:r w:rsidR="00373D2B" w:rsidRPr="00197DC8">
        <w:rPr>
          <w:lang w:val="es-CR"/>
        </w:rPr>
        <w:t xml:space="preserve"> </w:t>
      </w:r>
      <w:r w:rsidR="004C4E40" w:rsidRPr="003F1A9E">
        <w:rPr>
          <w:rFonts w:ascii="Verdana" w:hAnsi="Verdana"/>
          <w:sz w:val="20"/>
          <w:szCs w:val="20"/>
          <w:lang w:val="es-CR"/>
        </w:rPr>
        <w:t>Asimismo, el Estado controvirtió en su escrito de contestación a la demanda la solicitud de realizar dichos cálculos, señalando que no le corresponde la producción de tal prueba, y en vista de que la Corte ha señalado que “corresponde a la parte demandante, en principio, la carga de la prueba de los hechos en que se funda su alegato”</w:t>
      </w:r>
      <w:r w:rsidR="005F1C21">
        <w:rPr>
          <w:rFonts w:ascii="Verdana" w:hAnsi="Verdana"/>
          <w:sz w:val="20"/>
          <w:szCs w:val="20"/>
          <w:lang w:val="es-CR"/>
        </w:rPr>
        <w:t>.</w:t>
      </w:r>
    </w:p>
    <w:p w14:paraId="62AE183F" w14:textId="77777777" w:rsidR="003F1A9E" w:rsidRPr="003F1A9E" w:rsidRDefault="003F1A9E" w:rsidP="003F1A9E">
      <w:pPr>
        <w:widowControl w:val="0"/>
        <w:tabs>
          <w:tab w:val="left" w:pos="567"/>
          <w:tab w:val="left" w:pos="810"/>
        </w:tabs>
        <w:autoSpaceDE w:val="0"/>
        <w:autoSpaceDN w:val="0"/>
        <w:adjustRightInd w:val="0"/>
        <w:spacing w:after="0" w:line="240" w:lineRule="auto"/>
        <w:ind w:right="22"/>
        <w:jc w:val="both"/>
        <w:rPr>
          <w:rFonts w:ascii="Verdana" w:hAnsi="Verdana"/>
          <w:b/>
          <w:sz w:val="20"/>
          <w:szCs w:val="20"/>
          <w:lang w:val="es-CR"/>
        </w:rPr>
      </w:pPr>
    </w:p>
    <w:p w14:paraId="7A0C55A2" w14:textId="1524C172" w:rsidR="00197DC8" w:rsidRDefault="00DC3389" w:rsidP="003F1A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b/>
          <w:sz w:val="20"/>
          <w:szCs w:val="20"/>
          <w:lang w:val="es-CR"/>
        </w:rPr>
      </w:pPr>
      <w:r w:rsidRPr="004A21F7">
        <w:rPr>
          <w:rFonts w:ascii="Verdana" w:hAnsi="Verdana"/>
          <w:sz w:val="20"/>
          <w:szCs w:val="20"/>
          <w:lang w:val="es-CR"/>
        </w:rPr>
        <w:t xml:space="preserve">En vista de lo anterior, la </w:t>
      </w:r>
      <w:r w:rsidRPr="004A21F7">
        <w:rPr>
          <w:rFonts w:ascii="Verdana" w:hAnsi="Verdana"/>
          <w:b/>
          <w:i/>
          <w:sz w:val="20"/>
          <w:szCs w:val="20"/>
          <w:lang w:val="es-CR"/>
        </w:rPr>
        <w:t>Corte</w:t>
      </w:r>
      <w:r w:rsidRPr="004A21F7">
        <w:rPr>
          <w:rFonts w:ascii="Verdana" w:hAnsi="Verdana"/>
          <w:sz w:val="20"/>
          <w:szCs w:val="20"/>
          <w:lang w:val="es-CR"/>
        </w:rPr>
        <w:t xml:space="preserve"> reitera las consideraciones vertidas por el Presidente en la Resolución recurrida sobre</w:t>
      </w:r>
      <w:r w:rsidR="00BE7B8A" w:rsidRPr="004A21F7">
        <w:rPr>
          <w:rFonts w:ascii="Verdana" w:hAnsi="Verdana"/>
          <w:sz w:val="20"/>
          <w:szCs w:val="20"/>
          <w:lang w:val="es-CR"/>
        </w:rPr>
        <w:t xml:space="preserve"> </w:t>
      </w:r>
      <w:r w:rsidR="00A75145">
        <w:rPr>
          <w:rFonts w:ascii="Verdana" w:hAnsi="Verdana"/>
          <w:sz w:val="20"/>
          <w:szCs w:val="20"/>
          <w:lang w:val="es-CR"/>
        </w:rPr>
        <w:t xml:space="preserve">esta </w:t>
      </w:r>
      <w:r w:rsidR="00BE7B8A" w:rsidRPr="004A21F7">
        <w:rPr>
          <w:rFonts w:ascii="Verdana" w:hAnsi="Verdana"/>
          <w:sz w:val="20"/>
          <w:szCs w:val="20"/>
          <w:lang w:val="es-CR"/>
        </w:rPr>
        <w:t>petición</w:t>
      </w:r>
      <w:r w:rsidR="00A75145">
        <w:rPr>
          <w:rFonts w:ascii="Verdana" w:hAnsi="Verdana"/>
          <w:sz w:val="20"/>
          <w:szCs w:val="20"/>
          <w:lang w:val="es-CR"/>
        </w:rPr>
        <w:t>.</w:t>
      </w:r>
      <w:r w:rsidR="00BE7B8A" w:rsidRPr="004A21F7">
        <w:rPr>
          <w:rFonts w:ascii="Verdana" w:hAnsi="Verdana"/>
          <w:sz w:val="20"/>
          <w:szCs w:val="20"/>
          <w:lang w:val="es-CR"/>
        </w:rPr>
        <w:t xml:space="preserve"> </w:t>
      </w:r>
      <w:r w:rsidR="003275C8" w:rsidRPr="004A21F7">
        <w:rPr>
          <w:rFonts w:ascii="Verdana" w:hAnsi="Verdana"/>
          <w:sz w:val="20"/>
          <w:szCs w:val="20"/>
          <w:lang w:val="es-CR"/>
        </w:rPr>
        <w:t xml:space="preserve">En </w:t>
      </w:r>
      <w:r w:rsidR="00607A4F">
        <w:rPr>
          <w:rFonts w:ascii="Verdana" w:hAnsi="Verdana"/>
          <w:sz w:val="20"/>
          <w:szCs w:val="20"/>
          <w:lang w:val="es-CR"/>
        </w:rPr>
        <w:t>el Considerando 10</w:t>
      </w:r>
      <w:r w:rsidR="003275C8" w:rsidRPr="004A21F7">
        <w:rPr>
          <w:rFonts w:ascii="Verdana" w:hAnsi="Verdana"/>
          <w:sz w:val="20"/>
          <w:szCs w:val="20"/>
          <w:lang w:val="es-CR"/>
        </w:rPr>
        <w:t xml:space="preserve"> de la Resolución del Presidente, se </w:t>
      </w:r>
      <w:r w:rsidR="00D3418F">
        <w:rPr>
          <w:rFonts w:ascii="Verdana" w:hAnsi="Verdana"/>
          <w:sz w:val="20"/>
          <w:szCs w:val="20"/>
          <w:lang w:val="es-CR"/>
        </w:rPr>
        <w:t>especificó</w:t>
      </w:r>
      <w:r w:rsidR="00D3418F" w:rsidRPr="004A21F7">
        <w:rPr>
          <w:rFonts w:ascii="Verdana" w:hAnsi="Verdana"/>
          <w:sz w:val="20"/>
          <w:szCs w:val="20"/>
          <w:lang w:val="es-CR"/>
        </w:rPr>
        <w:t xml:space="preserve"> </w:t>
      </w:r>
      <w:r w:rsidR="003275C8" w:rsidRPr="004A21F7">
        <w:rPr>
          <w:rFonts w:ascii="Verdana" w:hAnsi="Verdana"/>
          <w:sz w:val="20"/>
          <w:szCs w:val="20"/>
          <w:lang w:val="es-CR"/>
        </w:rPr>
        <w:t xml:space="preserve">que “el momento procesal oportuno para la presentación de prueba pericial, en el caso de los representantes, es en el escrito de solicitudes y argumentos (ESAP), mismo que contendrá la individualización de declarantes, el objeto de su declaración, y en el caso de los peritos, deberán además remitir su hoja de vida y sus datos de contacto”, salvo las excepciones de fuerza mayor o gravedad contempladas en el Reglamento, lo cual no fue realizado por los representantes en este caso. Dicha circunstancia </w:t>
      </w:r>
      <w:r w:rsidR="00A822FF">
        <w:rPr>
          <w:rFonts w:ascii="Verdana" w:hAnsi="Verdana"/>
          <w:sz w:val="20"/>
          <w:szCs w:val="20"/>
          <w:lang w:val="es-CR"/>
        </w:rPr>
        <w:t xml:space="preserve">inclusive </w:t>
      </w:r>
      <w:r w:rsidR="003275C8" w:rsidRPr="004A21F7">
        <w:rPr>
          <w:rFonts w:ascii="Verdana" w:hAnsi="Verdana"/>
          <w:sz w:val="20"/>
          <w:szCs w:val="20"/>
          <w:lang w:val="es-CR"/>
        </w:rPr>
        <w:t>le fue</w:t>
      </w:r>
      <w:r w:rsidR="00A822FF">
        <w:rPr>
          <w:rFonts w:ascii="Verdana" w:hAnsi="Verdana"/>
          <w:sz w:val="20"/>
          <w:szCs w:val="20"/>
          <w:lang w:val="es-CR"/>
        </w:rPr>
        <w:t>ron</w:t>
      </w:r>
      <w:r w:rsidR="003275C8" w:rsidRPr="004A21F7">
        <w:rPr>
          <w:rFonts w:ascii="Verdana" w:hAnsi="Verdana"/>
          <w:sz w:val="20"/>
          <w:szCs w:val="20"/>
          <w:lang w:val="es-CR"/>
        </w:rPr>
        <w:t xml:space="preserve"> hecha</w:t>
      </w:r>
      <w:r w:rsidR="00A822FF">
        <w:rPr>
          <w:rFonts w:ascii="Verdana" w:hAnsi="Verdana"/>
          <w:sz w:val="20"/>
          <w:szCs w:val="20"/>
          <w:lang w:val="es-CR"/>
        </w:rPr>
        <w:t>s</w:t>
      </w:r>
      <w:r w:rsidR="003275C8" w:rsidRPr="004A21F7">
        <w:rPr>
          <w:rFonts w:ascii="Verdana" w:hAnsi="Verdana"/>
          <w:sz w:val="20"/>
          <w:szCs w:val="20"/>
          <w:lang w:val="es-CR"/>
        </w:rPr>
        <w:t xml:space="preserve"> oportunamente de conocimiento </w:t>
      </w:r>
      <w:r w:rsidR="005F1C21">
        <w:rPr>
          <w:rFonts w:ascii="Verdana" w:hAnsi="Verdana"/>
          <w:sz w:val="20"/>
          <w:szCs w:val="20"/>
          <w:lang w:val="es-CR"/>
        </w:rPr>
        <w:t>al representante</w:t>
      </w:r>
      <w:r w:rsidR="00A822FF">
        <w:rPr>
          <w:rFonts w:ascii="Verdana" w:hAnsi="Verdana"/>
          <w:sz w:val="20"/>
          <w:szCs w:val="20"/>
          <w:lang w:val="es-CR"/>
        </w:rPr>
        <w:t xml:space="preserve">, </w:t>
      </w:r>
      <w:r w:rsidR="003275C8" w:rsidRPr="004A21F7">
        <w:rPr>
          <w:rFonts w:ascii="Verdana" w:hAnsi="Verdana"/>
          <w:sz w:val="20"/>
          <w:szCs w:val="20"/>
          <w:lang w:val="es-CR"/>
        </w:rPr>
        <w:t xml:space="preserve">a través de cartas de la </w:t>
      </w:r>
      <w:r w:rsidR="00A822FF">
        <w:rPr>
          <w:rFonts w:ascii="Verdana" w:hAnsi="Verdana"/>
          <w:sz w:val="20"/>
          <w:szCs w:val="20"/>
          <w:lang w:val="es-CR"/>
        </w:rPr>
        <w:t>Secretaría de</w:t>
      </w:r>
      <w:r w:rsidR="003275C8" w:rsidRPr="004B7838">
        <w:rPr>
          <w:rFonts w:ascii="Verdana" w:hAnsi="Verdana"/>
          <w:sz w:val="20"/>
          <w:szCs w:val="20"/>
          <w:lang w:val="es-CR"/>
        </w:rPr>
        <w:t xml:space="preserve"> </w:t>
      </w:r>
      <w:r w:rsidR="004B7838" w:rsidRPr="003F1A9E">
        <w:rPr>
          <w:rFonts w:ascii="Verdana" w:hAnsi="Verdana"/>
          <w:sz w:val="20"/>
          <w:szCs w:val="20"/>
          <w:lang w:val="es-CR"/>
        </w:rPr>
        <w:t>25 de enero</w:t>
      </w:r>
      <w:r w:rsidR="004072B3">
        <w:rPr>
          <w:rFonts w:ascii="Verdana" w:hAnsi="Verdana"/>
          <w:sz w:val="20"/>
          <w:szCs w:val="20"/>
          <w:lang w:val="es-CR"/>
        </w:rPr>
        <w:t xml:space="preserve"> y 12 de abril</w:t>
      </w:r>
      <w:r w:rsidR="003275C8" w:rsidRPr="004B7838">
        <w:rPr>
          <w:rFonts w:ascii="Verdana" w:hAnsi="Verdana"/>
          <w:sz w:val="20"/>
          <w:szCs w:val="20"/>
          <w:lang w:val="es-CR"/>
        </w:rPr>
        <w:t xml:space="preserve"> de 2018</w:t>
      </w:r>
      <w:r w:rsidR="004B7838" w:rsidRPr="006A339E">
        <w:rPr>
          <w:rFonts w:ascii="Verdana" w:hAnsi="Verdana"/>
          <w:sz w:val="20"/>
          <w:szCs w:val="20"/>
          <w:lang w:val="es-CR"/>
        </w:rPr>
        <w:t xml:space="preserve">. </w:t>
      </w:r>
    </w:p>
    <w:p w14:paraId="484D3CDA" w14:textId="77777777" w:rsidR="003F1A9E" w:rsidRPr="003F1A9E" w:rsidRDefault="003F1A9E" w:rsidP="003F1A9E">
      <w:pPr>
        <w:widowControl w:val="0"/>
        <w:tabs>
          <w:tab w:val="left" w:pos="567"/>
          <w:tab w:val="left" w:pos="810"/>
        </w:tabs>
        <w:autoSpaceDE w:val="0"/>
        <w:autoSpaceDN w:val="0"/>
        <w:adjustRightInd w:val="0"/>
        <w:spacing w:after="0" w:line="240" w:lineRule="auto"/>
        <w:ind w:right="22"/>
        <w:jc w:val="both"/>
        <w:rPr>
          <w:rFonts w:ascii="Verdana" w:hAnsi="Verdana"/>
          <w:b/>
          <w:sz w:val="20"/>
          <w:szCs w:val="20"/>
          <w:lang w:val="es-CR"/>
        </w:rPr>
      </w:pPr>
    </w:p>
    <w:p w14:paraId="25373E6C" w14:textId="77777777" w:rsidR="00D3418F" w:rsidRDefault="00A75145" w:rsidP="003F1A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Pr>
          <w:rFonts w:ascii="Verdana" w:hAnsi="Verdana"/>
          <w:sz w:val="20"/>
          <w:szCs w:val="20"/>
          <w:lang w:val="es-CR"/>
        </w:rPr>
        <w:t>Adicionalmente</w:t>
      </w:r>
      <w:r w:rsidR="003275C8" w:rsidRPr="004A21F7">
        <w:rPr>
          <w:rFonts w:ascii="Verdana" w:hAnsi="Verdana"/>
          <w:sz w:val="20"/>
          <w:szCs w:val="20"/>
          <w:lang w:val="es-CR"/>
        </w:rPr>
        <w:t xml:space="preserve">, </w:t>
      </w:r>
      <w:r w:rsidR="00197DC8">
        <w:rPr>
          <w:rFonts w:ascii="Verdana" w:hAnsi="Verdana"/>
          <w:sz w:val="20"/>
          <w:szCs w:val="20"/>
          <w:lang w:val="es-CR"/>
        </w:rPr>
        <w:t xml:space="preserve">este Tribunal nota que </w:t>
      </w:r>
      <w:r>
        <w:rPr>
          <w:rFonts w:ascii="Verdana" w:hAnsi="Verdana"/>
          <w:sz w:val="20"/>
          <w:szCs w:val="20"/>
          <w:lang w:val="es-CR"/>
        </w:rPr>
        <w:t>el representante propuso</w:t>
      </w:r>
      <w:r w:rsidRPr="004C4E40">
        <w:rPr>
          <w:rFonts w:ascii="Verdana" w:hAnsi="Verdana"/>
          <w:sz w:val="20"/>
          <w:szCs w:val="20"/>
          <w:lang w:val="es-CR"/>
        </w:rPr>
        <w:t xml:space="preserve"> un medio de prueba inadmisible en cuanto se pretendió </w:t>
      </w:r>
      <w:r>
        <w:rPr>
          <w:rFonts w:ascii="Verdana" w:hAnsi="Verdana"/>
          <w:sz w:val="20"/>
          <w:szCs w:val="20"/>
          <w:lang w:val="es-CR"/>
        </w:rPr>
        <w:t xml:space="preserve">desplazar </w:t>
      </w:r>
      <w:r w:rsidRPr="004C4E40">
        <w:rPr>
          <w:rFonts w:ascii="Verdana" w:hAnsi="Verdana"/>
          <w:sz w:val="20"/>
          <w:szCs w:val="20"/>
          <w:lang w:val="es-CR"/>
        </w:rPr>
        <w:t xml:space="preserve">la carga probatoria </w:t>
      </w:r>
      <w:r>
        <w:rPr>
          <w:rFonts w:ascii="Verdana" w:hAnsi="Verdana"/>
          <w:sz w:val="20"/>
          <w:szCs w:val="20"/>
          <w:lang w:val="es-CR"/>
        </w:rPr>
        <w:t xml:space="preserve">a la contraparte y </w:t>
      </w:r>
      <w:r w:rsidR="00A822FF">
        <w:rPr>
          <w:rFonts w:ascii="Verdana" w:hAnsi="Verdana"/>
          <w:sz w:val="20"/>
          <w:szCs w:val="20"/>
          <w:lang w:val="es-CR"/>
        </w:rPr>
        <w:t xml:space="preserve">con ello, </w:t>
      </w:r>
      <w:r>
        <w:rPr>
          <w:rFonts w:ascii="Verdana" w:hAnsi="Verdana"/>
          <w:sz w:val="20"/>
          <w:szCs w:val="20"/>
          <w:lang w:val="es-CR"/>
        </w:rPr>
        <w:t xml:space="preserve">señaló reservarse el derecho de presentar </w:t>
      </w:r>
      <w:r w:rsidR="00A822FF">
        <w:rPr>
          <w:rFonts w:ascii="Verdana" w:hAnsi="Verdana"/>
          <w:sz w:val="20"/>
          <w:szCs w:val="20"/>
          <w:lang w:val="es-CR"/>
        </w:rPr>
        <w:t xml:space="preserve">la </w:t>
      </w:r>
      <w:r>
        <w:rPr>
          <w:rFonts w:ascii="Verdana" w:hAnsi="Verdana"/>
          <w:sz w:val="20"/>
          <w:szCs w:val="20"/>
          <w:lang w:val="es-CR"/>
        </w:rPr>
        <w:t>prueba</w:t>
      </w:r>
      <w:r w:rsidR="00A822FF">
        <w:rPr>
          <w:rFonts w:ascii="Verdana" w:hAnsi="Verdana"/>
          <w:sz w:val="20"/>
          <w:szCs w:val="20"/>
          <w:lang w:val="es-CR"/>
        </w:rPr>
        <w:t xml:space="preserve"> pertinente</w:t>
      </w:r>
      <w:r w:rsidR="00D3418F">
        <w:rPr>
          <w:rFonts w:ascii="Verdana" w:hAnsi="Verdana"/>
          <w:sz w:val="20"/>
          <w:szCs w:val="20"/>
          <w:lang w:val="es-CR"/>
        </w:rPr>
        <w:t xml:space="preserve"> de manera subsidiaria</w:t>
      </w:r>
      <w:r>
        <w:rPr>
          <w:rFonts w:ascii="Verdana" w:hAnsi="Verdana"/>
          <w:sz w:val="20"/>
          <w:szCs w:val="20"/>
          <w:lang w:val="es-CR"/>
        </w:rPr>
        <w:t xml:space="preserve">, lo cual no se encuentra contemplado en las normas reglamentarias aplicables. </w:t>
      </w:r>
    </w:p>
    <w:p w14:paraId="5FBB3A24" w14:textId="77777777" w:rsidR="00D3418F" w:rsidRDefault="00D3418F" w:rsidP="006A339E">
      <w:pPr>
        <w:widowControl w:val="0"/>
        <w:tabs>
          <w:tab w:val="left" w:pos="567"/>
          <w:tab w:val="left" w:pos="810"/>
        </w:tabs>
        <w:autoSpaceDE w:val="0"/>
        <w:autoSpaceDN w:val="0"/>
        <w:adjustRightInd w:val="0"/>
        <w:spacing w:after="0" w:line="240" w:lineRule="auto"/>
        <w:ind w:right="22"/>
        <w:jc w:val="both"/>
        <w:rPr>
          <w:rFonts w:ascii="Verdana" w:hAnsi="Verdana"/>
          <w:sz w:val="20"/>
          <w:szCs w:val="20"/>
          <w:lang w:val="es-CR"/>
        </w:rPr>
      </w:pPr>
    </w:p>
    <w:p w14:paraId="01E85B3B" w14:textId="53627D04" w:rsidR="003275C8" w:rsidRPr="004A21F7" w:rsidRDefault="00A75145" w:rsidP="003F1A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Pr>
          <w:rFonts w:ascii="Verdana" w:hAnsi="Verdana"/>
          <w:sz w:val="20"/>
          <w:szCs w:val="20"/>
          <w:lang w:val="es-CR"/>
        </w:rPr>
        <w:t xml:space="preserve">En vista de lo anterior, la Corte coincide rechazar </w:t>
      </w:r>
      <w:r w:rsidR="003275C8" w:rsidRPr="004A21F7">
        <w:rPr>
          <w:rFonts w:ascii="Verdana" w:hAnsi="Verdana"/>
          <w:sz w:val="20"/>
          <w:szCs w:val="20"/>
          <w:lang w:val="es-CR"/>
        </w:rPr>
        <w:t>dich</w:t>
      </w:r>
      <w:r>
        <w:rPr>
          <w:rFonts w:ascii="Verdana" w:hAnsi="Verdana"/>
          <w:sz w:val="20"/>
          <w:szCs w:val="20"/>
          <w:lang w:val="es-CR"/>
        </w:rPr>
        <w:t xml:space="preserve">o ofrecimiento por </w:t>
      </w:r>
      <w:r w:rsidR="003275C8" w:rsidRPr="004A21F7">
        <w:rPr>
          <w:rFonts w:ascii="Verdana" w:hAnsi="Verdana"/>
          <w:sz w:val="20"/>
          <w:szCs w:val="20"/>
          <w:lang w:val="es-CR"/>
        </w:rPr>
        <w:t>extemporáne</w:t>
      </w:r>
      <w:r>
        <w:rPr>
          <w:rFonts w:ascii="Verdana" w:hAnsi="Verdana"/>
          <w:sz w:val="20"/>
          <w:szCs w:val="20"/>
          <w:lang w:val="es-CR"/>
        </w:rPr>
        <w:t>o</w:t>
      </w:r>
      <w:r w:rsidR="003275C8" w:rsidRPr="004A21F7">
        <w:rPr>
          <w:rFonts w:ascii="Verdana" w:hAnsi="Verdana"/>
          <w:sz w:val="20"/>
          <w:szCs w:val="20"/>
          <w:lang w:val="es-CR"/>
        </w:rPr>
        <w:t xml:space="preserve">. </w:t>
      </w:r>
    </w:p>
    <w:p w14:paraId="12E3FF6B" w14:textId="77777777" w:rsidR="000205FA" w:rsidRPr="004A21F7" w:rsidRDefault="000205FA" w:rsidP="000205FA">
      <w:pPr>
        <w:pStyle w:val="ListParagraph"/>
        <w:rPr>
          <w:rFonts w:ascii="Verdana" w:hAnsi="Verdana"/>
          <w:sz w:val="20"/>
          <w:szCs w:val="20"/>
          <w:highlight w:val="yellow"/>
          <w:lang w:val="es-CR"/>
        </w:rPr>
      </w:pPr>
    </w:p>
    <w:p w14:paraId="4FCA6ABC" w14:textId="40761424" w:rsidR="00C54F8B" w:rsidRDefault="003275C8" w:rsidP="004A21F7">
      <w:pPr>
        <w:pStyle w:val="ListParagraph"/>
        <w:numPr>
          <w:ilvl w:val="0"/>
          <w:numId w:val="2"/>
        </w:numPr>
        <w:jc w:val="both"/>
        <w:rPr>
          <w:rFonts w:ascii="Verdana" w:hAnsi="Verdana"/>
          <w:b/>
          <w:i/>
          <w:sz w:val="20"/>
          <w:szCs w:val="20"/>
          <w:lang w:val="es-CR"/>
        </w:rPr>
      </w:pPr>
      <w:r w:rsidRPr="004A21F7">
        <w:rPr>
          <w:rFonts w:ascii="Verdana" w:hAnsi="Verdana"/>
          <w:b/>
          <w:i/>
          <w:sz w:val="20"/>
          <w:szCs w:val="20"/>
          <w:lang w:val="es-CR"/>
        </w:rPr>
        <w:lastRenderedPageBreak/>
        <w:t xml:space="preserve">Respecto </w:t>
      </w:r>
      <w:r w:rsidR="004C4E40">
        <w:rPr>
          <w:rFonts w:ascii="Verdana" w:hAnsi="Verdana"/>
          <w:b/>
          <w:i/>
          <w:sz w:val="20"/>
          <w:szCs w:val="20"/>
          <w:lang w:val="es-CR"/>
        </w:rPr>
        <w:t>de la</w:t>
      </w:r>
      <w:r w:rsidR="00DC3389" w:rsidRPr="004A21F7">
        <w:rPr>
          <w:rFonts w:ascii="Verdana" w:hAnsi="Verdana"/>
          <w:b/>
          <w:i/>
          <w:sz w:val="20"/>
          <w:szCs w:val="20"/>
          <w:lang w:val="es-CR"/>
        </w:rPr>
        <w:t xml:space="preserve"> remisión del expediente interno </w:t>
      </w:r>
      <w:r w:rsidR="004C4E40">
        <w:rPr>
          <w:rFonts w:ascii="Verdana" w:hAnsi="Verdana"/>
          <w:b/>
          <w:i/>
          <w:sz w:val="20"/>
          <w:szCs w:val="20"/>
          <w:lang w:val="es-CR"/>
        </w:rPr>
        <w:t>en</w:t>
      </w:r>
      <w:r w:rsidR="004C4E40" w:rsidRPr="004A21F7">
        <w:rPr>
          <w:rFonts w:ascii="Verdana" w:hAnsi="Verdana"/>
          <w:b/>
          <w:i/>
          <w:sz w:val="20"/>
          <w:szCs w:val="20"/>
          <w:lang w:val="es-CR"/>
        </w:rPr>
        <w:t xml:space="preserve"> </w:t>
      </w:r>
      <w:r w:rsidR="00DC3389" w:rsidRPr="004A21F7">
        <w:rPr>
          <w:rFonts w:ascii="Verdana" w:hAnsi="Verdana"/>
          <w:b/>
          <w:i/>
          <w:sz w:val="20"/>
          <w:szCs w:val="20"/>
          <w:lang w:val="es-CR"/>
        </w:rPr>
        <w:t>el marco de la búsqueda de una</w:t>
      </w:r>
      <w:r w:rsidR="00C54F8B">
        <w:rPr>
          <w:rFonts w:ascii="Verdana" w:hAnsi="Verdana"/>
          <w:b/>
          <w:i/>
          <w:sz w:val="20"/>
          <w:szCs w:val="20"/>
          <w:lang w:val="es-CR"/>
        </w:rPr>
        <w:t xml:space="preserve"> solución amistosa para el caso. </w:t>
      </w:r>
    </w:p>
    <w:p w14:paraId="2F658B6A" w14:textId="77777777" w:rsidR="005F1C21" w:rsidRDefault="00F369BF" w:rsidP="006A33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sidRPr="005F1C21">
        <w:rPr>
          <w:rFonts w:ascii="Verdana" w:hAnsi="Verdana"/>
          <w:sz w:val="20"/>
          <w:szCs w:val="20"/>
          <w:lang w:val="es-CR"/>
        </w:rPr>
        <w:t xml:space="preserve">El </w:t>
      </w:r>
      <w:r w:rsidRPr="005F1C21">
        <w:rPr>
          <w:rFonts w:ascii="Verdana" w:hAnsi="Verdana"/>
          <w:b/>
          <w:i/>
          <w:sz w:val="20"/>
          <w:szCs w:val="20"/>
          <w:lang w:val="es-CR"/>
        </w:rPr>
        <w:t>representante</w:t>
      </w:r>
      <w:r w:rsidR="00F34114" w:rsidRPr="005F1C21">
        <w:rPr>
          <w:rFonts w:ascii="Verdana" w:hAnsi="Verdana"/>
          <w:sz w:val="20"/>
          <w:szCs w:val="20"/>
          <w:lang w:val="es-CR"/>
        </w:rPr>
        <w:t xml:space="preserve"> consideró que la Resolución del Presidente omitió referirse a su solicitud para que se requiriera al Estado la remisión del expediente administrativo tramitado entre las partes en el marco de la búsqueda de una solución amistosa para el caso</w:t>
      </w:r>
      <w:r w:rsidR="005F1C21">
        <w:rPr>
          <w:rFonts w:ascii="Verdana" w:hAnsi="Verdana"/>
          <w:sz w:val="20"/>
          <w:szCs w:val="20"/>
          <w:lang w:val="es-CR"/>
        </w:rPr>
        <w:t xml:space="preserve">. </w:t>
      </w:r>
    </w:p>
    <w:p w14:paraId="12E77153" w14:textId="77777777" w:rsidR="003F1A9E" w:rsidRPr="005F1C21" w:rsidRDefault="003F1A9E" w:rsidP="005F1C21">
      <w:pPr>
        <w:widowControl w:val="0"/>
        <w:tabs>
          <w:tab w:val="left" w:pos="567"/>
          <w:tab w:val="left" w:pos="810"/>
        </w:tabs>
        <w:autoSpaceDE w:val="0"/>
        <w:autoSpaceDN w:val="0"/>
        <w:adjustRightInd w:val="0"/>
        <w:spacing w:after="0" w:line="240" w:lineRule="auto"/>
        <w:ind w:right="22"/>
        <w:jc w:val="both"/>
        <w:rPr>
          <w:rFonts w:ascii="Verdana" w:hAnsi="Verdana"/>
          <w:sz w:val="20"/>
          <w:szCs w:val="20"/>
          <w:lang w:val="es-CR"/>
        </w:rPr>
      </w:pPr>
    </w:p>
    <w:p w14:paraId="6D9DBF69" w14:textId="2AA87DFE" w:rsidR="00F34114" w:rsidRPr="003F1A9E" w:rsidRDefault="00F369BF" w:rsidP="003F1A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Pr>
          <w:rFonts w:ascii="Verdana" w:hAnsi="Verdana"/>
          <w:sz w:val="20"/>
          <w:szCs w:val="20"/>
          <w:lang w:val="es-CR"/>
        </w:rPr>
        <w:t>E</w:t>
      </w:r>
      <w:r w:rsidR="00A31D5A" w:rsidRPr="00C54F8B">
        <w:rPr>
          <w:rFonts w:ascii="Verdana" w:hAnsi="Verdana"/>
          <w:sz w:val="20"/>
          <w:szCs w:val="20"/>
          <w:lang w:val="es-CR"/>
        </w:rPr>
        <w:t xml:space="preserve">l </w:t>
      </w:r>
      <w:r w:rsidR="00A31D5A" w:rsidRPr="00C54F8B">
        <w:rPr>
          <w:rFonts w:ascii="Verdana" w:hAnsi="Verdana"/>
          <w:b/>
          <w:i/>
          <w:sz w:val="20"/>
          <w:szCs w:val="20"/>
          <w:lang w:val="es-CR"/>
        </w:rPr>
        <w:t>Estado</w:t>
      </w:r>
      <w:r w:rsidR="00A31D5A" w:rsidRPr="00C54F8B">
        <w:rPr>
          <w:rFonts w:ascii="Verdana" w:hAnsi="Verdana"/>
          <w:sz w:val="20"/>
          <w:szCs w:val="20"/>
          <w:lang w:val="es-CR"/>
        </w:rPr>
        <w:t xml:space="preserve"> objetó la solicitud de los representantes, alegando que con relación al expediente administrativo en poder de la Cancillería argentina “recuerda el carácter confidencial de las reuniones de trabajo del proceso de solución amistosa [sic], [el cual] se extiende a los documentos que se elaboren como resultado de las mismas”. Con base en lo anterior, alegó “que especialmente cuando la tentativa de solución amistosa ha fracaso, no se </w:t>
      </w:r>
      <w:proofErr w:type="spellStart"/>
      <w:r w:rsidR="00A31D5A" w:rsidRPr="00C54F8B">
        <w:rPr>
          <w:rFonts w:ascii="Verdana" w:hAnsi="Verdana"/>
          <w:sz w:val="20"/>
          <w:szCs w:val="20"/>
          <w:lang w:val="es-CR"/>
        </w:rPr>
        <w:t>podr</w:t>
      </w:r>
      <w:proofErr w:type="spellEnd"/>
      <w:r w:rsidR="00A31D5A" w:rsidRPr="00C54F8B">
        <w:rPr>
          <w:rFonts w:ascii="Verdana" w:hAnsi="Verdana"/>
          <w:sz w:val="20"/>
          <w:szCs w:val="20"/>
          <w:lang w:val="es-CR"/>
        </w:rPr>
        <w:t>[á] remitir a la Corte la documental solicitada”</w:t>
      </w:r>
      <w:r w:rsidR="005F1C21">
        <w:rPr>
          <w:rFonts w:ascii="Verdana" w:hAnsi="Verdana"/>
          <w:sz w:val="20"/>
          <w:szCs w:val="20"/>
          <w:lang w:val="es-CR"/>
        </w:rPr>
        <w:t>.</w:t>
      </w:r>
    </w:p>
    <w:p w14:paraId="02E1BF51" w14:textId="77777777" w:rsidR="003F1A9E" w:rsidRDefault="003F1A9E" w:rsidP="003F1A9E">
      <w:pPr>
        <w:widowControl w:val="0"/>
        <w:tabs>
          <w:tab w:val="left" w:pos="567"/>
          <w:tab w:val="left" w:pos="810"/>
        </w:tabs>
        <w:autoSpaceDE w:val="0"/>
        <w:autoSpaceDN w:val="0"/>
        <w:adjustRightInd w:val="0"/>
        <w:spacing w:after="0" w:line="240" w:lineRule="auto"/>
        <w:ind w:right="22"/>
        <w:jc w:val="both"/>
        <w:rPr>
          <w:rFonts w:ascii="Verdana" w:hAnsi="Verdana"/>
          <w:sz w:val="20"/>
          <w:szCs w:val="20"/>
          <w:lang w:val="es-CR"/>
        </w:rPr>
      </w:pPr>
    </w:p>
    <w:p w14:paraId="03A02366" w14:textId="271A9503" w:rsidR="00A31D5A" w:rsidRPr="004A21F7" w:rsidRDefault="00F369BF" w:rsidP="003F1A9E">
      <w:pPr>
        <w:widowControl w:val="0"/>
        <w:numPr>
          <w:ilvl w:val="0"/>
          <w:numId w:val="1"/>
        </w:numPr>
        <w:tabs>
          <w:tab w:val="left" w:pos="567"/>
          <w:tab w:val="left" w:pos="810"/>
        </w:tabs>
        <w:autoSpaceDE w:val="0"/>
        <w:autoSpaceDN w:val="0"/>
        <w:adjustRightInd w:val="0"/>
        <w:spacing w:after="0" w:line="240" w:lineRule="auto"/>
        <w:ind w:left="0" w:right="22" w:firstLine="0"/>
        <w:jc w:val="both"/>
        <w:rPr>
          <w:rFonts w:ascii="Verdana" w:hAnsi="Verdana"/>
          <w:sz w:val="20"/>
          <w:szCs w:val="20"/>
          <w:lang w:val="es-CR"/>
        </w:rPr>
      </w:pPr>
      <w:r>
        <w:rPr>
          <w:rFonts w:ascii="Verdana" w:hAnsi="Verdana"/>
          <w:sz w:val="20"/>
          <w:szCs w:val="20"/>
          <w:lang w:val="es-CR"/>
        </w:rPr>
        <w:t xml:space="preserve"> </w:t>
      </w:r>
      <w:r w:rsidR="00A31D5A" w:rsidRPr="00C54F8B">
        <w:rPr>
          <w:rFonts w:ascii="Verdana" w:hAnsi="Verdana"/>
          <w:sz w:val="20"/>
          <w:szCs w:val="20"/>
          <w:lang w:val="es-CR"/>
        </w:rPr>
        <w:t xml:space="preserve">En vista de lo anterior, la </w:t>
      </w:r>
      <w:r w:rsidR="00A31D5A" w:rsidRPr="00C54F8B">
        <w:rPr>
          <w:rFonts w:ascii="Verdana" w:hAnsi="Verdana"/>
          <w:b/>
          <w:i/>
          <w:sz w:val="20"/>
          <w:szCs w:val="20"/>
          <w:lang w:val="es-CR"/>
        </w:rPr>
        <w:t>Corte</w:t>
      </w:r>
      <w:r w:rsidR="00A31D5A" w:rsidRPr="00C54F8B">
        <w:rPr>
          <w:rFonts w:ascii="Verdana" w:hAnsi="Verdana"/>
          <w:sz w:val="20"/>
          <w:szCs w:val="20"/>
          <w:lang w:val="es-CR"/>
        </w:rPr>
        <w:t xml:space="preserve"> </w:t>
      </w:r>
      <w:r>
        <w:rPr>
          <w:rFonts w:ascii="Verdana" w:hAnsi="Verdana"/>
          <w:sz w:val="20"/>
          <w:szCs w:val="20"/>
          <w:lang w:val="es-CR"/>
        </w:rPr>
        <w:t>advierte que, como ha sucedido en otros casos</w:t>
      </w:r>
      <w:r>
        <w:rPr>
          <w:rStyle w:val="FootnoteReference"/>
          <w:lang w:val="es-CR"/>
        </w:rPr>
        <w:footnoteReference w:id="3"/>
      </w:r>
      <w:r>
        <w:rPr>
          <w:rFonts w:ascii="Verdana" w:hAnsi="Verdana"/>
          <w:sz w:val="20"/>
          <w:szCs w:val="20"/>
          <w:lang w:val="es-CR"/>
        </w:rPr>
        <w:t xml:space="preserve">, </w:t>
      </w:r>
      <w:r w:rsidR="00D3418F">
        <w:rPr>
          <w:rFonts w:ascii="Verdana" w:hAnsi="Verdana"/>
          <w:sz w:val="20"/>
          <w:szCs w:val="20"/>
          <w:lang w:val="es-CR"/>
        </w:rPr>
        <w:t xml:space="preserve">las </w:t>
      </w:r>
      <w:r>
        <w:rPr>
          <w:rFonts w:ascii="Verdana" w:hAnsi="Verdana"/>
          <w:sz w:val="20"/>
          <w:szCs w:val="20"/>
          <w:lang w:val="es-CR"/>
        </w:rPr>
        <w:t>cuestiones de remisión de expedientes a la Corte no corresponde ser evacuado necesariamente mediante la Resolución de Convocatoria a Audiencia.</w:t>
      </w:r>
      <w:r w:rsidR="000E64EF">
        <w:rPr>
          <w:rFonts w:ascii="Verdana" w:hAnsi="Verdana"/>
          <w:sz w:val="20"/>
          <w:szCs w:val="20"/>
          <w:lang w:val="es-CR"/>
        </w:rPr>
        <w:t xml:space="preserve"> Por lo que dicha cuestión podrá</w:t>
      </w:r>
      <w:r>
        <w:rPr>
          <w:rFonts w:ascii="Verdana" w:hAnsi="Verdana"/>
          <w:sz w:val="20"/>
          <w:szCs w:val="20"/>
          <w:lang w:val="es-CR"/>
        </w:rPr>
        <w:t xml:space="preserve"> ser valorada por la Corte en el momento procesal oportuno. No obstante, </w:t>
      </w:r>
      <w:r w:rsidR="00197DC8">
        <w:rPr>
          <w:rFonts w:ascii="Verdana" w:hAnsi="Verdana"/>
          <w:sz w:val="20"/>
          <w:szCs w:val="20"/>
          <w:lang w:val="es-CR"/>
        </w:rPr>
        <w:t xml:space="preserve">la parte recurrente podrá </w:t>
      </w:r>
      <w:r w:rsidR="000E64EF">
        <w:rPr>
          <w:rFonts w:ascii="Verdana" w:hAnsi="Verdana"/>
          <w:sz w:val="20"/>
          <w:szCs w:val="20"/>
          <w:lang w:val="es-CR"/>
        </w:rPr>
        <w:t>exponer</w:t>
      </w:r>
      <w:r>
        <w:rPr>
          <w:rFonts w:ascii="Verdana" w:hAnsi="Verdana"/>
          <w:sz w:val="20"/>
          <w:szCs w:val="20"/>
          <w:lang w:val="es-CR"/>
        </w:rPr>
        <w:t xml:space="preserve"> sus apreciaciones sobre la necesidad de esta prueba en la audiencia del presente caso. En este sentido, </w:t>
      </w:r>
      <w:r w:rsidR="00A31D5A" w:rsidRPr="004A21F7">
        <w:rPr>
          <w:rFonts w:ascii="Verdana" w:hAnsi="Verdana"/>
          <w:sz w:val="20"/>
          <w:szCs w:val="20"/>
          <w:lang w:val="es-CR"/>
        </w:rPr>
        <w:t xml:space="preserve">en </w:t>
      </w:r>
      <w:r>
        <w:rPr>
          <w:rFonts w:ascii="Verdana" w:hAnsi="Verdana"/>
          <w:sz w:val="20"/>
          <w:szCs w:val="20"/>
          <w:lang w:val="es-CR"/>
        </w:rPr>
        <w:t xml:space="preserve">el </w:t>
      </w:r>
      <w:r w:rsidR="004C4E40">
        <w:rPr>
          <w:rFonts w:ascii="Verdana" w:hAnsi="Verdana"/>
          <w:sz w:val="20"/>
          <w:szCs w:val="20"/>
          <w:lang w:val="es-CR"/>
        </w:rPr>
        <w:t>supuesto</w:t>
      </w:r>
      <w:r w:rsidRPr="004A21F7">
        <w:rPr>
          <w:rFonts w:ascii="Verdana" w:hAnsi="Verdana"/>
          <w:sz w:val="20"/>
          <w:szCs w:val="20"/>
          <w:lang w:val="es-CR"/>
        </w:rPr>
        <w:t xml:space="preserve"> </w:t>
      </w:r>
      <w:r w:rsidR="00A31D5A" w:rsidRPr="004A21F7">
        <w:rPr>
          <w:rFonts w:ascii="Verdana" w:hAnsi="Verdana"/>
          <w:sz w:val="20"/>
          <w:szCs w:val="20"/>
          <w:lang w:val="es-CR"/>
        </w:rPr>
        <w:t>de estimarlo pertinente, la Corte podrá solicitarlo como prueba para mejor resolver en el momento procesal oportuno, de conformidad con el artículo 58 del Reglamento de la Corte.</w:t>
      </w:r>
    </w:p>
    <w:p w14:paraId="024C719E" w14:textId="77777777" w:rsidR="005F1C21" w:rsidRDefault="005F1C21" w:rsidP="004A21F7">
      <w:pPr>
        <w:tabs>
          <w:tab w:val="left" w:pos="567"/>
        </w:tabs>
        <w:spacing w:after="0" w:line="240" w:lineRule="auto"/>
        <w:jc w:val="both"/>
        <w:rPr>
          <w:rFonts w:ascii="Verdana" w:eastAsia="Calibri" w:hAnsi="Verdana" w:cs="Verdana"/>
          <w:bCs/>
          <w:sz w:val="20"/>
          <w:szCs w:val="20"/>
          <w:lang w:val="es-CR"/>
        </w:rPr>
      </w:pPr>
    </w:p>
    <w:p w14:paraId="4C48EE70" w14:textId="77777777" w:rsidR="00DB7BFC" w:rsidRPr="004A21F7" w:rsidRDefault="00DB7BFC" w:rsidP="004A21F7">
      <w:pPr>
        <w:tabs>
          <w:tab w:val="left" w:pos="567"/>
        </w:tabs>
        <w:spacing w:after="0" w:line="240" w:lineRule="auto"/>
        <w:jc w:val="both"/>
        <w:rPr>
          <w:rFonts w:ascii="Verdana" w:eastAsia="Calibri" w:hAnsi="Verdana" w:cs="Verdana"/>
          <w:bCs/>
          <w:sz w:val="20"/>
          <w:szCs w:val="20"/>
          <w:lang w:val="es-CR"/>
        </w:rPr>
      </w:pPr>
      <w:r w:rsidRPr="004A21F7">
        <w:rPr>
          <w:rFonts w:ascii="Verdana" w:eastAsia="Calibri" w:hAnsi="Verdana" w:cs="Verdana"/>
          <w:bCs/>
          <w:sz w:val="20"/>
          <w:szCs w:val="20"/>
          <w:lang w:val="es-CR"/>
        </w:rPr>
        <w:t>POR TANTO:</w:t>
      </w:r>
    </w:p>
    <w:p w14:paraId="2BC12F82" w14:textId="77777777" w:rsidR="00DB7BFC" w:rsidRPr="004A21F7" w:rsidRDefault="00DB7BFC" w:rsidP="004A21F7">
      <w:pPr>
        <w:tabs>
          <w:tab w:val="left" w:pos="567"/>
        </w:tabs>
        <w:spacing w:after="0" w:line="240" w:lineRule="auto"/>
        <w:jc w:val="both"/>
        <w:rPr>
          <w:rFonts w:ascii="Verdana" w:eastAsia="Calibri" w:hAnsi="Verdana" w:cs="Verdana"/>
          <w:bCs/>
          <w:sz w:val="20"/>
          <w:szCs w:val="20"/>
          <w:lang w:val="es-CR"/>
        </w:rPr>
      </w:pPr>
    </w:p>
    <w:p w14:paraId="2D484FF1" w14:textId="77777777" w:rsidR="00DB7BFC" w:rsidRPr="004A21F7" w:rsidRDefault="00DB7BFC" w:rsidP="004A21F7">
      <w:pPr>
        <w:tabs>
          <w:tab w:val="left" w:pos="567"/>
        </w:tabs>
        <w:spacing w:after="0" w:line="240" w:lineRule="auto"/>
        <w:jc w:val="both"/>
        <w:rPr>
          <w:rFonts w:ascii="Verdana" w:eastAsia="Calibri" w:hAnsi="Verdana" w:cs="Verdana"/>
          <w:b/>
          <w:bCs/>
          <w:sz w:val="20"/>
          <w:szCs w:val="20"/>
          <w:lang w:val="es-CR"/>
        </w:rPr>
      </w:pPr>
      <w:r w:rsidRPr="004A21F7">
        <w:rPr>
          <w:rFonts w:ascii="Verdana" w:eastAsia="Calibri" w:hAnsi="Verdana" w:cs="Verdana"/>
          <w:b/>
          <w:bCs/>
          <w:sz w:val="20"/>
          <w:szCs w:val="20"/>
          <w:lang w:val="es-CR"/>
        </w:rPr>
        <w:t xml:space="preserve">LA CORTE INTERAMERICANA DE DERECHOS HUMANOS, </w:t>
      </w:r>
    </w:p>
    <w:p w14:paraId="4A2F8F7E" w14:textId="77777777" w:rsidR="00DB7BFC" w:rsidRPr="004A21F7" w:rsidRDefault="00DB7BFC" w:rsidP="004A21F7">
      <w:pPr>
        <w:tabs>
          <w:tab w:val="left" w:pos="567"/>
        </w:tabs>
        <w:spacing w:after="0" w:line="240" w:lineRule="auto"/>
        <w:jc w:val="both"/>
        <w:rPr>
          <w:rFonts w:ascii="Verdana" w:eastAsia="Calibri" w:hAnsi="Verdana" w:cs="Verdana"/>
          <w:bCs/>
          <w:sz w:val="20"/>
          <w:szCs w:val="20"/>
          <w:lang w:val="es-CR"/>
        </w:rPr>
      </w:pPr>
    </w:p>
    <w:p w14:paraId="1DA09E6E" w14:textId="6E671712" w:rsidR="00DB7BFC" w:rsidRPr="004A21F7" w:rsidRDefault="00DB7BFC" w:rsidP="004A21F7">
      <w:pPr>
        <w:tabs>
          <w:tab w:val="left" w:pos="567"/>
        </w:tabs>
        <w:spacing w:after="0" w:line="240" w:lineRule="auto"/>
        <w:jc w:val="both"/>
        <w:rPr>
          <w:rFonts w:ascii="Verdana" w:hAnsi="Verdana"/>
          <w:sz w:val="20"/>
          <w:szCs w:val="20"/>
          <w:lang w:val="es-CR"/>
        </w:rPr>
      </w:pPr>
      <w:r w:rsidRPr="004A21F7">
        <w:rPr>
          <w:rFonts w:ascii="Verdana" w:hAnsi="Verdana"/>
          <w:sz w:val="20"/>
          <w:szCs w:val="20"/>
          <w:lang w:val="es-CR"/>
        </w:rPr>
        <w:t>De conformidad con el artículo 25.2 del Estatuto de la Corte y con los artículos 31.2, y 50 del Reglamento,</w:t>
      </w:r>
    </w:p>
    <w:p w14:paraId="35EAAAA4" w14:textId="77777777" w:rsidR="00DB7BFC" w:rsidRPr="004A21F7" w:rsidRDefault="00DB7BFC" w:rsidP="004A21F7">
      <w:pPr>
        <w:tabs>
          <w:tab w:val="left" w:pos="567"/>
        </w:tabs>
        <w:spacing w:after="0" w:line="240" w:lineRule="auto"/>
        <w:jc w:val="both"/>
        <w:rPr>
          <w:rFonts w:ascii="Verdana" w:eastAsia="Calibri" w:hAnsi="Verdana" w:cs="Verdana"/>
          <w:sz w:val="20"/>
          <w:szCs w:val="20"/>
          <w:lang w:val="es-CR"/>
        </w:rPr>
      </w:pPr>
      <w:r w:rsidRPr="004A21F7">
        <w:rPr>
          <w:rFonts w:ascii="Verdana" w:eastAsia="Calibri" w:hAnsi="Verdana" w:cs="Verdana"/>
          <w:sz w:val="20"/>
          <w:szCs w:val="20"/>
          <w:lang w:val="es-CR"/>
        </w:rPr>
        <w:t xml:space="preserve"> </w:t>
      </w:r>
    </w:p>
    <w:p w14:paraId="06A136C4" w14:textId="77777777" w:rsidR="00DB7BFC" w:rsidRPr="004A21F7" w:rsidRDefault="00DB7BFC" w:rsidP="004A21F7">
      <w:pPr>
        <w:tabs>
          <w:tab w:val="left" w:pos="567"/>
        </w:tabs>
        <w:spacing w:after="0" w:line="240" w:lineRule="auto"/>
        <w:jc w:val="both"/>
        <w:rPr>
          <w:rFonts w:ascii="Verdana" w:eastAsia="Calibri" w:hAnsi="Verdana" w:cs="Verdana"/>
          <w:b/>
          <w:bCs/>
          <w:sz w:val="20"/>
          <w:szCs w:val="20"/>
          <w:lang w:val="es-CR"/>
        </w:rPr>
      </w:pPr>
      <w:r w:rsidRPr="004A21F7">
        <w:rPr>
          <w:rFonts w:ascii="Verdana" w:eastAsia="Calibri" w:hAnsi="Verdana" w:cs="Verdana"/>
          <w:b/>
          <w:bCs/>
          <w:sz w:val="20"/>
          <w:szCs w:val="20"/>
          <w:lang w:val="es-CR"/>
        </w:rPr>
        <w:t>RESUELVE:</w:t>
      </w:r>
    </w:p>
    <w:p w14:paraId="71BEA0DE" w14:textId="77777777" w:rsidR="00DB7BFC" w:rsidRPr="004A21F7" w:rsidRDefault="00DB7BFC" w:rsidP="004A21F7">
      <w:pPr>
        <w:tabs>
          <w:tab w:val="left" w:pos="567"/>
        </w:tabs>
        <w:spacing w:after="0" w:line="240" w:lineRule="auto"/>
        <w:jc w:val="both"/>
        <w:rPr>
          <w:rFonts w:ascii="Verdana" w:eastAsia="Calibri" w:hAnsi="Verdana" w:cs="Verdana"/>
          <w:b/>
          <w:bCs/>
          <w:sz w:val="20"/>
          <w:szCs w:val="20"/>
          <w:lang w:val="es-CR"/>
        </w:rPr>
      </w:pPr>
    </w:p>
    <w:p w14:paraId="392E502C" w14:textId="77777777" w:rsidR="00DB7BFC" w:rsidRPr="004A21F7" w:rsidRDefault="00DB7BFC" w:rsidP="004A21F7">
      <w:pPr>
        <w:tabs>
          <w:tab w:val="left" w:pos="567"/>
        </w:tabs>
        <w:spacing w:after="0" w:line="240" w:lineRule="auto"/>
        <w:jc w:val="both"/>
        <w:rPr>
          <w:rFonts w:ascii="Verdana" w:eastAsia="Calibri" w:hAnsi="Verdana" w:cs="Verdana"/>
          <w:b/>
          <w:bCs/>
          <w:sz w:val="20"/>
          <w:szCs w:val="20"/>
          <w:lang w:val="es-CR"/>
        </w:rPr>
      </w:pPr>
      <w:r w:rsidRPr="004A21F7">
        <w:rPr>
          <w:rFonts w:ascii="Verdana" w:eastAsia="Calibri" w:hAnsi="Verdana" w:cs="Verdana"/>
          <w:b/>
          <w:bCs/>
          <w:sz w:val="20"/>
          <w:szCs w:val="20"/>
          <w:lang w:val="es-CR"/>
        </w:rPr>
        <w:t>Por unanimidad,</w:t>
      </w:r>
    </w:p>
    <w:p w14:paraId="40C674A3" w14:textId="77777777" w:rsidR="00DA4EBB" w:rsidRPr="004A21F7" w:rsidRDefault="00DA4EBB" w:rsidP="004A21F7">
      <w:pPr>
        <w:tabs>
          <w:tab w:val="left" w:pos="567"/>
        </w:tabs>
        <w:spacing w:after="0" w:line="240" w:lineRule="auto"/>
        <w:jc w:val="both"/>
        <w:rPr>
          <w:rFonts w:ascii="Verdana" w:eastAsia="Calibri" w:hAnsi="Verdana" w:cs="Verdana"/>
          <w:bCs/>
          <w:sz w:val="20"/>
          <w:szCs w:val="20"/>
          <w:lang w:val="es-CR"/>
        </w:rPr>
      </w:pPr>
    </w:p>
    <w:p w14:paraId="785D8C31" w14:textId="0ED859CB" w:rsidR="003F1A9E" w:rsidRPr="003F1A9E" w:rsidRDefault="00DA4EBB" w:rsidP="000E64EF">
      <w:pPr>
        <w:pStyle w:val="ListParagraph"/>
        <w:widowControl w:val="0"/>
        <w:numPr>
          <w:ilvl w:val="0"/>
          <w:numId w:val="14"/>
        </w:numPr>
        <w:tabs>
          <w:tab w:val="left" w:pos="567"/>
          <w:tab w:val="left" w:pos="810"/>
        </w:tabs>
        <w:autoSpaceDE w:val="0"/>
        <w:autoSpaceDN w:val="0"/>
        <w:adjustRightInd w:val="0"/>
        <w:spacing w:after="0" w:line="240" w:lineRule="auto"/>
        <w:ind w:left="360" w:right="22"/>
        <w:jc w:val="both"/>
        <w:rPr>
          <w:rFonts w:ascii="Verdana" w:eastAsia="Calibri" w:hAnsi="Verdana" w:cs="Verdana"/>
          <w:bCs/>
          <w:sz w:val="20"/>
          <w:szCs w:val="20"/>
          <w:lang w:val="es-CR"/>
        </w:rPr>
      </w:pPr>
      <w:r w:rsidRPr="003F1A9E">
        <w:rPr>
          <w:rFonts w:ascii="Verdana" w:eastAsia="Calibri" w:hAnsi="Verdana" w:cs="Verdana"/>
          <w:bCs/>
          <w:sz w:val="20"/>
          <w:szCs w:val="20"/>
          <w:lang w:val="es-CR"/>
        </w:rPr>
        <w:t xml:space="preserve">Confirmar </w:t>
      </w:r>
      <w:r w:rsidR="00C54F8B" w:rsidRPr="003F1A9E">
        <w:rPr>
          <w:rFonts w:ascii="Verdana" w:eastAsia="Calibri" w:hAnsi="Verdana" w:cs="Verdana"/>
          <w:bCs/>
          <w:sz w:val="20"/>
          <w:szCs w:val="20"/>
          <w:lang w:val="es-CR"/>
        </w:rPr>
        <w:t xml:space="preserve">los considerandos </w:t>
      </w:r>
      <w:r w:rsidR="00197DC8" w:rsidRPr="003F1A9E">
        <w:rPr>
          <w:rFonts w:ascii="Verdana" w:eastAsia="Calibri" w:hAnsi="Verdana" w:cs="Verdana"/>
          <w:bCs/>
          <w:sz w:val="20"/>
          <w:szCs w:val="20"/>
          <w:lang w:val="es-CR"/>
        </w:rPr>
        <w:t>10</w:t>
      </w:r>
      <w:r w:rsidR="00C54F8B" w:rsidRPr="003F1A9E">
        <w:rPr>
          <w:rFonts w:ascii="Verdana" w:eastAsia="Calibri" w:hAnsi="Verdana" w:cs="Verdana"/>
          <w:bCs/>
          <w:sz w:val="20"/>
          <w:szCs w:val="20"/>
          <w:lang w:val="es-CR"/>
        </w:rPr>
        <w:t xml:space="preserve"> a 12</w:t>
      </w:r>
      <w:r w:rsidRPr="003F1A9E">
        <w:rPr>
          <w:rFonts w:ascii="Verdana" w:eastAsia="Calibri" w:hAnsi="Verdana" w:cs="Verdana"/>
          <w:bCs/>
          <w:sz w:val="20"/>
          <w:szCs w:val="20"/>
          <w:lang w:val="es-CR"/>
        </w:rPr>
        <w:t xml:space="preserve"> de la declaración del Presidente </w:t>
      </w:r>
      <w:r w:rsidR="000E64EF">
        <w:rPr>
          <w:rFonts w:ascii="Verdana" w:eastAsia="Calibri" w:hAnsi="Verdana" w:cs="Verdana"/>
          <w:bCs/>
          <w:sz w:val="20"/>
          <w:szCs w:val="20"/>
          <w:lang w:val="es-CR"/>
        </w:rPr>
        <w:t xml:space="preserve">de 7 de diciembre </w:t>
      </w:r>
      <w:r w:rsidR="00D0332C" w:rsidRPr="003F1A9E">
        <w:rPr>
          <w:rFonts w:ascii="Verdana" w:eastAsia="Calibri" w:hAnsi="Verdana" w:cs="Verdana"/>
          <w:bCs/>
          <w:sz w:val="20"/>
          <w:szCs w:val="20"/>
          <w:lang w:val="es-CR"/>
        </w:rPr>
        <w:t xml:space="preserve">del 2018 </w:t>
      </w:r>
      <w:r w:rsidRPr="003F1A9E">
        <w:rPr>
          <w:rFonts w:ascii="Verdana" w:eastAsia="Calibri" w:hAnsi="Verdana" w:cs="Verdana"/>
          <w:bCs/>
          <w:sz w:val="20"/>
          <w:szCs w:val="20"/>
          <w:lang w:val="es-CR"/>
        </w:rPr>
        <w:t xml:space="preserve">y declarar improcedente la solicitud </w:t>
      </w:r>
      <w:r w:rsidR="004C4E40" w:rsidRPr="003F1A9E">
        <w:rPr>
          <w:rFonts w:ascii="Verdana" w:eastAsia="Calibri" w:hAnsi="Verdana" w:cs="Verdana"/>
          <w:bCs/>
          <w:sz w:val="20"/>
          <w:szCs w:val="20"/>
          <w:lang w:val="es-CR"/>
        </w:rPr>
        <w:t xml:space="preserve">extemporánea </w:t>
      </w:r>
      <w:r w:rsidRPr="003F1A9E">
        <w:rPr>
          <w:rFonts w:ascii="Verdana" w:eastAsia="Calibri" w:hAnsi="Verdana" w:cs="Verdana"/>
          <w:bCs/>
          <w:sz w:val="20"/>
          <w:szCs w:val="20"/>
          <w:lang w:val="es-CR"/>
        </w:rPr>
        <w:t>de</w:t>
      </w:r>
      <w:r w:rsidR="004C4E40" w:rsidRPr="003F1A9E">
        <w:rPr>
          <w:rFonts w:ascii="Verdana" w:eastAsia="Calibri" w:hAnsi="Verdana" w:cs="Verdana"/>
          <w:bCs/>
          <w:sz w:val="20"/>
          <w:szCs w:val="20"/>
          <w:lang w:val="es-CR"/>
        </w:rPr>
        <w:t>l representante</w:t>
      </w:r>
      <w:r w:rsidRPr="003F1A9E">
        <w:rPr>
          <w:rFonts w:ascii="Verdana" w:eastAsia="Calibri" w:hAnsi="Verdana" w:cs="Verdana"/>
          <w:bCs/>
          <w:sz w:val="20"/>
          <w:szCs w:val="20"/>
          <w:lang w:val="es-CR"/>
        </w:rPr>
        <w:t xml:space="preserve"> </w:t>
      </w:r>
      <w:r w:rsidR="004C4E40" w:rsidRPr="003F1A9E">
        <w:rPr>
          <w:rFonts w:ascii="Verdana" w:eastAsia="Calibri" w:hAnsi="Verdana" w:cs="Verdana"/>
          <w:bCs/>
          <w:sz w:val="20"/>
          <w:szCs w:val="20"/>
          <w:lang w:val="es-CR"/>
        </w:rPr>
        <w:t xml:space="preserve">respecto del </w:t>
      </w:r>
      <w:r w:rsidRPr="003F1A9E">
        <w:rPr>
          <w:rFonts w:ascii="Verdana" w:eastAsia="Calibri" w:hAnsi="Verdana" w:cs="Verdana"/>
          <w:bCs/>
          <w:sz w:val="20"/>
          <w:szCs w:val="20"/>
          <w:lang w:val="es-CR"/>
        </w:rPr>
        <w:t>peritaje ofrecido “con carácter subsidiario</w:t>
      </w:r>
      <w:r w:rsidR="00197DC8" w:rsidRPr="003F1A9E">
        <w:rPr>
          <w:rFonts w:ascii="Verdana" w:eastAsia="Calibri" w:hAnsi="Verdana" w:cs="Verdana"/>
          <w:bCs/>
          <w:sz w:val="20"/>
          <w:szCs w:val="20"/>
          <w:lang w:val="es-CR"/>
        </w:rPr>
        <w:t>”</w:t>
      </w:r>
      <w:r w:rsidRPr="003F1A9E">
        <w:rPr>
          <w:rFonts w:ascii="Verdana" w:eastAsia="Calibri" w:hAnsi="Verdana" w:cs="Verdana"/>
          <w:bCs/>
          <w:sz w:val="20"/>
          <w:szCs w:val="20"/>
          <w:lang w:val="es-CR"/>
        </w:rPr>
        <w:t>.</w:t>
      </w:r>
    </w:p>
    <w:p w14:paraId="08B08D51" w14:textId="0376E2A6" w:rsidR="003F1A9E" w:rsidRDefault="003F1A9E" w:rsidP="000E64EF">
      <w:pPr>
        <w:pStyle w:val="ListParagraph"/>
        <w:widowControl w:val="0"/>
        <w:tabs>
          <w:tab w:val="left" w:pos="567"/>
          <w:tab w:val="left" w:pos="810"/>
        </w:tabs>
        <w:autoSpaceDE w:val="0"/>
        <w:autoSpaceDN w:val="0"/>
        <w:adjustRightInd w:val="0"/>
        <w:spacing w:after="0" w:line="240" w:lineRule="auto"/>
        <w:ind w:left="360" w:right="22"/>
        <w:jc w:val="both"/>
        <w:rPr>
          <w:rFonts w:ascii="Verdana" w:eastAsia="Calibri" w:hAnsi="Verdana" w:cs="Verdana"/>
          <w:bCs/>
          <w:sz w:val="20"/>
          <w:szCs w:val="20"/>
          <w:lang w:val="es-CR"/>
        </w:rPr>
      </w:pPr>
    </w:p>
    <w:p w14:paraId="4FEC7909" w14:textId="5AA5CD31" w:rsidR="00DA4EBB" w:rsidRDefault="004C4E40" w:rsidP="000E64EF">
      <w:pPr>
        <w:pStyle w:val="ListParagraph"/>
        <w:widowControl w:val="0"/>
        <w:numPr>
          <w:ilvl w:val="0"/>
          <w:numId w:val="14"/>
        </w:numPr>
        <w:tabs>
          <w:tab w:val="left" w:pos="567"/>
          <w:tab w:val="left" w:pos="810"/>
        </w:tabs>
        <w:autoSpaceDE w:val="0"/>
        <w:autoSpaceDN w:val="0"/>
        <w:adjustRightInd w:val="0"/>
        <w:spacing w:after="0" w:line="240" w:lineRule="auto"/>
        <w:ind w:left="360" w:right="22"/>
        <w:jc w:val="both"/>
        <w:rPr>
          <w:rFonts w:ascii="Verdana" w:eastAsia="Calibri" w:hAnsi="Verdana" w:cs="Verdana"/>
          <w:bCs/>
          <w:sz w:val="20"/>
          <w:szCs w:val="20"/>
          <w:lang w:val="es-CR"/>
        </w:rPr>
      </w:pPr>
      <w:r w:rsidRPr="003F1A9E">
        <w:rPr>
          <w:rFonts w:ascii="Verdana" w:eastAsia="Calibri" w:hAnsi="Verdana" w:cs="Verdana"/>
          <w:bCs/>
          <w:sz w:val="20"/>
          <w:szCs w:val="20"/>
          <w:lang w:val="es-CR"/>
        </w:rPr>
        <w:t>Valorar en el momento procesal oportuno la solicitud de remisión de prueba en poder del Estado respecto del</w:t>
      </w:r>
      <w:r w:rsidR="0097754A" w:rsidRPr="003F1A9E">
        <w:rPr>
          <w:rFonts w:ascii="Verdana" w:eastAsia="Calibri" w:hAnsi="Verdana" w:cs="Verdana"/>
          <w:bCs/>
          <w:sz w:val="20"/>
          <w:szCs w:val="20"/>
          <w:lang w:val="es-CR"/>
        </w:rPr>
        <w:t xml:space="preserve"> marco de la búsqueda de una solución amistosa para el caso</w:t>
      </w:r>
      <w:r w:rsidR="00DA25D4" w:rsidRPr="003F1A9E">
        <w:rPr>
          <w:rFonts w:ascii="Verdana" w:eastAsia="Calibri" w:hAnsi="Verdana" w:cs="Verdana"/>
          <w:bCs/>
          <w:sz w:val="20"/>
          <w:szCs w:val="20"/>
          <w:lang w:val="es-CR"/>
        </w:rPr>
        <w:t xml:space="preserve">, </w:t>
      </w:r>
      <w:r w:rsidRPr="003F1A9E">
        <w:rPr>
          <w:rFonts w:ascii="Verdana" w:eastAsia="Calibri" w:hAnsi="Verdana" w:cs="Verdana"/>
          <w:bCs/>
          <w:sz w:val="20"/>
          <w:szCs w:val="20"/>
          <w:lang w:val="es-CR"/>
        </w:rPr>
        <w:t xml:space="preserve">de conformidad con </w:t>
      </w:r>
      <w:r w:rsidR="001B5646" w:rsidRPr="003F1A9E">
        <w:rPr>
          <w:rFonts w:ascii="Verdana" w:eastAsia="Calibri" w:hAnsi="Verdana" w:cs="Verdana"/>
          <w:bCs/>
          <w:sz w:val="20"/>
          <w:szCs w:val="20"/>
          <w:lang w:val="es-CR"/>
        </w:rPr>
        <w:t xml:space="preserve">el </w:t>
      </w:r>
      <w:r w:rsidRPr="003F1A9E">
        <w:rPr>
          <w:rFonts w:ascii="Verdana" w:eastAsia="Calibri" w:hAnsi="Verdana" w:cs="Verdana"/>
          <w:bCs/>
          <w:sz w:val="20"/>
          <w:szCs w:val="20"/>
          <w:lang w:val="es-CR"/>
        </w:rPr>
        <w:t>Consi</w:t>
      </w:r>
      <w:r w:rsidR="000E64EF">
        <w:rPr>
          <w:rFonts w:ascii="Verdana" w:eastAsia="Calibri" w:hAnsi="Verdana" w:cs="Verdana"/>
          <w:bCs/>
          <w:sz w:val="20"/>
          <w:szCs w:val="20"/>
          <w:lang w:val="es-CR"/>
        </w:rPr>
        <w:t>derando 11</w:t>
      </w:r>
      <w:r w:rsidRPr="003F1A9E">
        <w:rPr>
          <w:rFonts w:ascii="Verdana" w:eastAsia="Calibri" w:hAnsi="Verdana" w:cs="Verdana"/>
          <w:bCs/>
          <w:sz w:val="20"/>
          <w:szCs w:val="20"/>
          <w:lang w:val="es-CR"/>
        </w:rPr>
        <w:t xml:space="preserve"> de la presente Resolución.  </w:t>
      </w:r>
    </w:p>
    <w:p w14:paraId="3F18EB22" w14:textId="77777777" w:rsidR="00D3418F" w:rsidRPr="006A339E" w:rsidRDefault="00D3418F" w:rsidP="006A339E">
      <w:pPr>
        <w:widowControl w:val="0"/>
        <w:tabs>
          <w:tab w:val="left" w:pos="567"/>
          <w:tab w:val="left" w:pos="810"/>
        </w:tabs>
        <w:autoSpaceDE w:val="0"/>
        <w:autoSpaceDN w:val="0"/>
        <w:adjustRightInd w:val="0"/>
        <w:spacing w:after="0" w:line="240" w:lineRule="auto"/>
        <w:ind w:right="22"/>
        <w:jc w:val="both"/>
        <w:rPr>
          <w:rFonts w:ascii="Verdana" w:eastAsia="Calibri" w:hAnsi="Verdana" w:cs="Verdana"/>
          <w:bCs/>
          <w:sz w:val="20"/>
          <w:szCs w:val="20"/>
          <w:lang w:val="es-CR"/>
        </w:rPr>
      </w:pPr>
    </w:p>
    <w:p w14:paraId="5822554E" w14:textId="45FC1178" w:rsidR="00270245" w:rsidRDefault="00D3418F" w:rsidP="003F1A9E">
      <w:pPr>
        <w:pStyle w:val="ListParagraph"/>
        <w:widowControl w:val="0"/>
        <w:numPr>
          <w:ilvl w:val="0"/>
          <w:numId w:val="14"/>
        </w:numPr>
        <w:tabs>
          <w:tab w:val="left" w:pos="567"/>
          <w:tab w:val="left" w:pos="810"/>
        </w:tabs>
        <w:autoSpaceDE w:val="0"/>
        <w:autoSpaceDN w:val="0"/>
        <w:adjustRightInd w:val="0"/>
        <w:spacing w:after="0" w:line="240" w:lineRule="auto"/>
        <w:ind w:left="360" w:right="22"/>
        <w:jc w:val="both"/>
        <w:rPr>
          <w:rFonts w:ascii="Verdana" w:eastAsia="Calibri" w:hAnsi="Verdana" w:cs="Verdana"/>
          <w:bCs/>
          <w:sz w:val="20"/>
          <w:szCs w:val="20"/>
          <w:lang w:val="es-CR"/>
        </w:rPr>
      </w:pPr>
      <w:r>
        <w:rPr>
          <w:rFonts w:ascii="Verdana" w:eastAsia="Calibri" w:hAnsi="Verdana" w:cs="Verdana"/>
          <w:bCs/>
          <w:sz w:val="20"/>
          <w:szCs w:val="20"/>
          <w:lang w:val="es-CR"/>
        </w:rPr>
        <w:t xml:space="preserve">Precisar el plazo al 4 de marzo de 2019 para que las partes y la Comisión Interamericana remitan sus alegatos finales escritos y observaciones finales escritas, respectivamente, en el presente caso. </w:t>
      </w:r>
    </w:p>
    <w:p w14:paraId="443424AF" w14:textId="77777777" w:rsidR="00E32C15" w:rsidRPr="00E32C15" w:rsidRDefault="00E32C15" w:rsidP="00E32C15">
      <w:pPr>
        <w:pStyle w:val="ListParagraph"/>
        <w:rPr>
          <w:rFonts w:ascii="Verdana" w:eastAsia="Calibri" w:hAnsi="Verdana" w:cs="Verdana"/>
          <w:bCs/>
          <w:sz w:val="20"/>
          <w:szCs w:val="20"/>
          <w:lang w:val="es-CR"/>
        </w:rPr>
      </w:pPr>
    </w:p>
    <w:p w14:paraId="723707D3" w14:textId="77777777" w:rsidR="00E32C15" w:rsidRPr="00E32C15" w:rsidRDefault="00E32C15" w:rsidP="00E32C15">
      <w:pPr>
        <w:pStyle w:val="ListParagraph"/>
        <w:widowControl w:val="0"/>
        <w:tabs>
          <w:tab w:val="left" w:pos="567"/>
          <w:tab w:val="left" w:pos="810"/>
        </w:tabs>
        <w:autoSpaceDE w:val="0"/>
        <w:autoSpaceDN w:val="0"/>
        <w:adjustRightInd w:val="0"/>
        <w:spacing w:after="0" w:line="240" w:lineRule="auto"/>
        <w:ind w:left="360" w:right="22"/>
        <w:jc w:val="both"/>
        <w:rPr>
          <w:rFonts w:ascii="Verdana" w:eastAsia="Calibri" w:hAnsi="Verdana" w:cs="Verdana"/>
          <w:bCs/>
          <w:sz w:val="20"/>
          <w:szCs w:val="20"/>
          <w:lang w:val="es-CR"/>
        </w:rPr>
      </w:pPr>
      <w:bookmarkStart w:id="0" w:name="_GoBack"/>
      <w:bookmarkEnd w:id="0"/>
    </w:p>
    <w:p w14:paraId="1E0999A8" w14:textId="77777777" w:rsidR="00270245" w:rsidRPr="00E32C15" w:rsidRDefault="00270245" w:rsidP="00270245">
      <w:pPr>
        <w:spacing w:after="0" w:line="240" w:lineRule="auto"/>
        <w:rPr>
          <w:rFonts w:ascii="Verdana" w:hAnsi="Verdana"/>
          <w:sz w:val="20"/>
          <w:lang w:val="es-CR"/>
        </w:rPr>
      </w:pPr>
    </w:p>
    <w:p w14:paraId="71588A1C" w14:textId="77777777" w:rsidR="00270245" w:rsidRPr="00270245" w:rsidRDefault="00270245" w:rsidP="00270245">
      <w:pPr>
        <w:spacing w:after="0" w:line="240" w:lineRule="auto"/>
        <w:jc w:val="both"/>
        <w:rPr>
          <w:rFonts w:ascii="Verdana" w:hAnsi="Verdana"/>
          <w:sz w:val="20"/>
          <w:lang w:val="es-CR"/>
        </w:rPr>
      </w:pPr>
      <w:r w:rsidRPr="00270245">
        <w:rPr>
          <w:rFonts w:ascii="Verdana" w:hAnsi="Verdana"/>
          <w:sz w:val="20"/>
          <w:lang w:val="es-CR"/>
        </w:rPr>
        <w:lastRenderedPageBreak/>
        <w:t xml:space="preserve">Corte IDH. Caso </w:t>
      </w:r>
      <w:proofErr w:type="spellStart"/>
      <w:r w:rsidRPr="00270245">
        <w:rPr>
          <w:rFonts w:ascii="Verdana" w:hAnsi="Verdana"/>
          <w:sz w:val="20"/>
          <w:lang w:val="es-CR"/>
        </w:rPr>
        <w:t>Perrone</w:t>
      </w:r>
      <w:proofErr w:type="spellEnd"/>
      <w:r w:rsidRPr="00270245">
        <w:rPr>
          <w:rFonts w:ascii="Verdana" w:hAnsi="Verdana"/>
          <w:sz w:val="20"/>
          <w:lang w:val="es-CR"/>
        </w:rPr>
        <w:t xml:space="preserve"> y </w:t>
      </w:r>
      <w:proofErr w:type="spellStart"/>
      <w:r w:rsidRPr="00270245">
        <w:rPr>
          <w:rFonts w:ascii="Verdana" w:hAnsi="Verdana"/>
          <w:sz w:val="20"/>
          <w:lang w:val="es-CR"/>
        </w:rPr>
        <w:t>Preckel</w:t>
      </w:r>
      <w:proofErr w:type="spellEnd"/>
      <w:r w:rsidRPr="00270245">
        <w:rPr>
          <w:rFonts w:ascii="Verdana" w:hAnsi="Verdana"/>
          <w:sz w:val="20"/>
          <w:lang w:val="es-CR"/>
        </w:rPr>
        <w:t xml:space="preserve"> Vs. Argentina. Resolución de la Corte Interamericana de Derechos Humanos de 29 de enero de 2019.</w:t>
      </w:r>
    </w:p>
    <w:p w14:paraId="6CB74A55" w14:textId="77777777" w:rsidR="00270245" w:rsidRPr="00270245" w:rsidRDefault="00270245" w:rsidP="00270245">
      <w:pPr>
        <w:spacing w:after="0" w:line="240" w:lineRule="auto"/>
        <w:rPr>
          <w:rFonts w:ascii="Verdana" w:hAnsi="Verdana"/>
          <w:sz w:val="20"/>
          <w:lang w:val="es-CR"/>
        </w:rPr>
      </w:pPr>
    </w:p>
    <w:p w14:paraId="6F243010" w14:textId="77777777" w:rsidR="00270245" w:rsidRPr="00270245" w:rsidRDefault="00270245" w:rsidP="00270245">
      <w:pPr>
        <w:spacing w:after="0" w:line="240" w:lineRule="auto"/>
        <w:rPr>
          <w:rFonts w:ascii="Verdana" w:hAnsi="Verdana"/>
          <w:sz w:val="20"/>
          <w:lang w:val="es-CR"/>
        </w:rPr>
      </w:pPr>
    </w:p>
    <w:p w14:paraId="5A54CFB8" w14:textId="77777777" w:rsidR="00270245" w:rsidRPr="00270245" w:rsidRDefault="00270245" w:rsidP="00270245">
      <w:pPr>
        <w:spacing w:after="0" w:line="240" w:lineRule="auto"/>
        <w:rPr>
          <w:rFonts w:ascii="Verdana" w:hAnsi="Verdana"/>
          <w:sz w:val="20"/>
          <w:lang w:val="es-CR"/>
        </w:rPr>
      </w:pPr>
    </w:p>
    <w:p w14:paraId="02B1B411" w14:textId="77777777" w:rsidR="00270245" w:rsidRDefault="00270245" w:rsidP="00270245">
      <w:pPr>
        <w:spacing w:after="0" w:line="240" w:lineRule="auto"/>
        <w:jc w:val="center"/>
        <w:rPr>
          <w:rFonts w:ascii="Verdana" w:hAnsi="Verdana"/>
          <w:sz w:val="20"/>
          <w:lang w:val="es-CR"/>
        </w:rPr>
      </w:pPr>
      <w:r>
        <w:rPr>
          <w:rFonts w:ascii="Verdana" w:hAnsi="Verdana"/>
          <w:sz w:val="20"/>
          <w:lang w:val="es-CR"/>
        </w:rPr>
        <w:t xml:space="preserve">Eduardo Ferrer Mac-Gregor </w:t>
      </w:r>
      <w:proofErr w:type="spellStart"/>
      <w:r>
        <w:rPr>
          <w:rFonts w:ascii="Verdana" w:hAnsi="Verdana"/>
          <w:sz w:val="20"/>
          <w:lang w:val="es-CR"/>
        </w:rPr>
        <w:t>Poisot</w:t>
      </w:r>
      <w:proofErr w:type="spellEnd"/>
      <w:r>
        <w:rPr>
          <w:rFonts w:ascii="Verdana" w:hAnsi="Verdana"/>
          <w:sz w:val="20"/>
          <w:lang w:val="es-CR"/>
        </w:rPr>
        <w:t xml:space="preserve"> </w:t>
      </w:r>
    </w:p>
    <w:p w14:paraId="7655AB11" w14:textId="77777777" w:rsidR="00270245" w:rsidRPr="00270245" w:rsidRDefault="00270245" w:rsidP="00270245">
      <w:pPr>
        <w:spacing w:after="0" w:line="240" w:lineRule="auto"/>
        <w:jc w:val="center"/>
        <w:rPr>
          <w:rFonts w:ascii="Verdana" w:hAnsi="Verdana"/>
          <w:sz w:val="20"/>
          <w:lang w:val="es-CR"/>
        </w:rPr>
      </w:pPr>
      <w:r w:rsidRPr="00270245">
        <w:rPr>
          <w:rFonts w:ascii="Verdana" w:hAnsi="Verdana"/>
          <w:sz w:val="20"/>
          <w:lang w:val="es-CR"/>
        </w:rPr>
        <w:t xml:space="preserve">Presidente </w:t>
      </w:r>
    </w:p>
    <w:p w14:paraId="4F90A28A" w14:textId="77777777" w:rsidR="00270245" w:rsidRPr="00270245" w:rsidRDefault="00270245" w:rsidP="00270245">
      <w:pPr>
        <w:spacing w:after="0" w:line="240" w:lineRule="auto"/>
        <w:jc w:val="both"/>
        <w:rPr>
          <w:rFonts w:ascii="Verdana" w:hAnsi="Verdana"/>
          <w:sz w:val="20"/>
          <w:lang w:val="es-CR"/>
        </w:rPr>
      </w:pPr>
    </w:p>
    <w:p w14:paraId="701B6126" w14:textId="77777777" w:rsidR="00270245" w:rsidRPr="00270245" w:rsidRDefault="00270245" w:rsidP="00270245">
      <w:pPr>
        <w:spacing w:after="0" w:line="240" w:lineRule="auto"/>
        <w:jc w:val="both"/>
        <w:rPr>
          <w:rFonts w:ascii="Verdana" w:hAnsi="Verdana"/>
          <w:sz w:val="20"/>
          <w:lang w:val="es-CR"/>
        </w:rPr>
      </w:pPr>
    </w:p>
    <w:p w14:paraId="656AE856" w14:textId="77777777" w:rsidR="00270245" w:rsidRPr="00270245" w:rsidRDefault="00270245" w:rsidP="00270245">
      <w:pPr>
        <w:spacing w:after="0" w:line="240" w:lineRule="auto"/>
        <w:jc w:val="both"/>
        <w:rPr>
          <w:rFonts w:ascii="Verdana" w:hAnsi="Verdana"/>
          <w:sz w:val="20"/>
          <w:lang w:val="es-CR"/>
        </w:rPr>
      </w:pPr>
    </w:p>
    <w:p w14:paraId="51601D0F" w14:textId="2B3A099C" w:rsidR="00270245" w:rsidRDefault="00270245" w:rsidP="00270245">
      <w:pPr>
        <w:spacing w:after="0" w:line="240" w:lineRule="auto"/>
        <w:rPr>
          <w:rFonts w:ascii="Verdana" w:hAnsi="Verdana"/>
          <w:sz w:val="20"/>
          <w:lang w:val="es-CR"/>
        </w:rPr>
      </w:pPr>
      <w:r>
        <w:rPr>
          <w:rFonts w:ascii="Verdana" w:hAnsi="Verdana"/>
          <w:sz w:val="20"/>
          <w:lang w:val="es-CR"/>
        </w:rPr>
        <w:t>Eduardo Vio Grossi</w:t>
      </w:r>
      <w:r w:rsidRPr="00AB3782">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Humberto A. Sierra Porto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p>
    <w:p w14:paraId="6F479EEA" w14:textId="77777777" w:rsidR="00270245" w:rsidRDefault="00270245" w:rsidP="00270245">
      <w:pPr>
        <w:spacing w:after="0" w:line="240" w:lineRule="auto"/>
        <w:rPr>
          <w:rFonts w:ascii="Verdana" w:hAnsi="Verdana"/>
          <w:sz w:val="20"/>
          <w:lang w:val="es-CR"/>
        </w:rPr>
      </w:pPr>
    </w:p>
    <w:p w14:paraId="29A86860" w14:textId="77777777" w:rsidR="00270245" w:rsidRDefault="00270245" w:rsidP="00270245">
      <w:pPr>
        <w:spacing w:after="0" w:line="240" w:lineRule="auto"/>
        <w:rPr>
          <w:rFonts w:ascii="Verdana" w:hAnsi="Verdana"/>
          <w:sz w:val="20"/>
          <w:lang w:val="es-CR"/>
        </w:rPr>
      </w:pPr>
    </w:p>
    <w:p w14:paraId="3CB8FDF9" w14:textId="77777777" w:rsidR="00270245" w:rsidRDefault="00270245" w:rsidP="00270245">
      <w:pPr>
        <w:spacing w:after="0" w:line="240" w:lineRule="auto"/>
        <w:rPr>
          <w:rFonts w:ascii="Verdana" w:hAnsi="Verdana"/>
          <w:sz w:val="20"/>
          <w:lang w:val="es-CR"/>
        </w:rPr>
      </w:pPr>
    </w:p>
    <w:p w14:paraId="1FF3FDCB" w14:textId="634EEB1F" w:rsidR="00270245" w:rsidRDefault="00270245" w:rsidP="00270245">
      <w:pPr>
        <w:spacing w:after="0" w:line="240" w:lineRule="auto"/>
        <w:rPr>
          <w:rFonts w:ascii="Verdana" w:hAnsi="Verdana"/>
          <w:sz w:val="20"/>
          <w:lang w:val="es-CR"/>
        </w:rPr>
      </w:pPr>
      <w:r>
        <w:rPr>
          <w:rFonts w:ascii="Verdana" w:hAnsi="Verdana"/>
          <w:sz w:val="20"/>
          <w:lang w:val="es-CR"/>
        </w:rPr>
        <w:t>Elizabeth Odio Benito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w:t>
      </w:r>
      <w:r>
        <w:rPr>
          <w:rFonts w:ascii="Verdana" w:hAnsi="Verdana"/>
          <w:sz w:val="20"/>
          <w:lang w:val="es-CR"/>
        </w:rPr>
        <w:tab/>
      </w:r>
      <w:r>
        <w:rPr>
          <w:rFonts w:ascii="Verdana" w:hAnsi="Verdana"/>
          <w:sz w:val="20"/>
          <w:lang w:val="es-CR"/>
        </w:rPr>
        <w:tab/>
        <w:t xml:space="preserve">              L. Patricio Pazmiño Freire</w:t>
      </w:r>
    </w:p>
    <w:p w14:paraId="6E5C2165" w14:textId="77777777" w:rsidR="00270245" w:rsidRDefault="00270245" w:rsidP="00270245">
      <w:pPr>
        <w:spacing w:after="0" w:line="240" w:lineRule="auto"/>
        <w:rPr>
          <w:rFonts w:ascii="Verdana" w:hAnsi="Verdana"/>
          <w:sz w:val="20"/>
          <w:lang w:val="es-CR"/>
        </w:rPr>
      </w:pPr>
    </w:p>
    <w:p w14:paraId="5F7A18EC" w14:textId="77777777" w:rsidR="00270245" w:rsidRDefault="00270245" w:rsidP="00270245">
      <w:pPr>
        <w:spacing w:after="0" w:line="240" w:lineRule="auto"/>
        <w:rPr>
          <w:rFonts w:ascii="Verdana" w:hAnsi="Verdana"/>
          <w:sz w:val="20"/>
          <w:lang w:val="es-CR"/>
        </w:rPr>
      </w:pPr>
    </w:p>
    <w:p w14:paraId="6A1B120A" w14:textId="77777777" w:rsidR="00270245" w:rsidRDefault="00270245" w:rsidP="00270245">
      <w:pPr>
        <w:spacing w:after="0" w:line="240" w:lineRule="auto"/>
        <w:rPr>
          <w:rFonts w:ascii="Verdana" w:hAnsi="Verdana"/>
          <w:sz w:val="20"/>
          <w:lang w:val="es-CR"/>
        </w:rPr>
      </w:pPr>
    </w:p>
    <w:p w14:paraId="2B8FF096" w14:textId="77777777" w:rsidR="00270245" w:rsidRDefault="00270245" w:rsidP="00270245">
      <w:pPr>
        <w:spacing w:after="0" w:line="240" w:lineRule="auto"/>
        <w:rPr>
          <w:rFonts w:ascii="Verdana" w:hAnsi="Verdana"/>
          <w:sz w:val="20"/>
          <w:lang w:val="es-CR"/>
        </w:rPr>
      </w:pPr>
    </w:p>
    <w:p w14:paraId="4C0D73FF" w14:textId="77777777" w:rsidR="00270245" w:rsidRDefault="00270245" w:rsidP="00270245">
      <w:pPr>
        <w:spacing w:after="0" w:line="240" w:lineRule="auto"/>
        <w:rPr>
          <w:rFonts w:ascii="Verdana" w:hAnsi="Verdana"/>
          <w:sz w:val="20"/>
          <w:lang w:val="es-CR"/>
        </w:rPr>
      </w:pPr>
    </w:p>
    <w:p w14:paraId="3B27DEBF" w14:textId="77777777" w:rsidR="00270245" w:rsidRPr="00E32C15" w:rsidRDefault="00270245" w:rsidP="00270245">
      <w:pPr>
        <w:spacing w:after="0" w:line="240" w:lineRule="auto"/>
        <w:jc w:val="center"/>
        <w:rPr>
          <w:rFonts w:ascii="Verdana" w:hAnsi="Verdana"/>
          <w:sz w:val="20"/>
          <w:lang w:val="es-CR"/>
        </w:rPr>
      </w:pPr>
      <w:r>
        <w:rPr>
          <w:rFonts w:ascii="Verdana" w:hAnsi="Verdana"/>
          <w:sz w:val="20"/>
          <w:lang w:val="es-CR"/>
        </w:rPr>
        <w:t>Ricardo Pérez Manrique</w:t>
      </w:r>
    </w:p>
    <w:p w14:paraId="03990874" w14:textId="77777777" w:rsidR="00270245" w:rsidRDefault="00270245" w:rsidP="00270245">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20E5ED0F" w14:textId="77777777" w:rsidR="00270245" w:rsidRDefault="00270245" w:rsidP="00270245">
      <w:pPr>
        <w:spacing w:after="0" w:line="240" w:lineRule="auto"/>
        <w:rPr>
          <w:rFonts w:ascii="Verdana" w:hAnsi="Verdana"/>
          <w:sz w:val="20"/>
          <w:lang w:val="es-CR"/>
        </w:rPr>
      </w:pPr>
    </w:p>
    <w:p w14:paraId="2FC424A7" w14:textId="77777777" w:rsidR="00270245" w:rsidRDefault="00270245" w:rsidP="00270245">
      <w:pPr>
        <w:spacing w:after="0" w:line="240" w:lineRule="auto"/>
        <w:rPr>
          <w:rFonts w:ascii="Verdana" w:hAnsi="Verdana"/>
          <w:sz w:val="20"/>
          <w:lang w:val="es-CR"/>
        </w:rPr>
      </w:pPr>
    </w:p>
    <w:p w14:paraId="12BEEA18" w14:textId="77777777" w:rsidR="00270245" w:rsidRDefault="00270245" w:rsidP="00270245">
      <w:pPr>
        <w:tabs>
          <w:tab w:val="left" w:pos="8460"/>
          <w:tab w:val="left" w:pos="8640"/>
        </w:tabs>
        <w:spacing w:after="0" w:line="240" w:lineRule="auto"/>
        <w:jc w:val="both"/>
        <w:rPr>
          <w:rFonts w:ascii="Verdana" w:hAnsi="Verdana"/>
          <w:sz w:val="20"/>
          <w:lang w:val="es-CR"/>
        </w:rPr>
      </w:pPr>
    </w:p>
    <w:p w14:paraId="412762E0" w14:textId="77777777" w:rsidR="00270245" w:rsidRPr="00274D2F" w:rsidRDefault="00270245" w:rsidP="00270245">
      <w:pPr>
        <w:tabs>
          <w:tab w:val="left" w:pos="8460"/>
          <w:tab w:val="left" w:pos="8640"/>
        </w:tabs>
        <w:spacing w:after="0" w:line="240" w:lineRule="auto"/>
        <w:jc w:val="both"/>
        <w:rPr>
          <w:rFonts w:ascii="Verdana" w:hAnsi="Verdana"/>
          <w:sz w:val="20"/>
          <w:lang w:val="es-CR"/>
        </w:rPr>
      </w:pPr>
    </w:p>
    <w:p w14:paraId="1F090225" w14:textId="77777777" w:rsidR="00270245" w:rsidRPr="00270245" w:rsidRDefault="00270245" w:rsidP="00270245">
      <w:pPr>
        <w:tabs>
          <w:tab w:val="left" w:pos="8460"/>
          <w:tab w:val="left" w:pos="8640"/>
        </w:tabs>
        <w:spacing w:after="0" w:line="240" w:lineRule="auto"/>
        <w:jc w:val="center"/>
        <w:rPr>
          <w:rFonts w:ascii="Verdana" w:hAnsi="Verdana"/>
          <w:sz w:val="20"/>
          <w:lang w:val="es-CR"/>
        </w:rPr>
      </w:pPr>
      <w:r w:rsidRPr="00270245">
        <w:rPr>
          <w:rFonts w:ascii="Verdana" w:hAnsi="Verdana"/>
          <w:sz w:val="20"/>
          <w:lang w:val="es-CR"/>
        </w:rPr>
        <w:t>Pablo Saavedra Alessandri</w:t>
      </w:r>
    </w:p>
    <w:p w14:paraId="37A405F5" w14:textId="77777777" w:rsidR="00270245" w:rsidRPr="00270245" w:rsidRDefault="00270245" w:rsidP="00270245">
      <w:pPr>
        <w:tabs>
          <w:tab w:val="left" w:pos="8460"/>
          <w:tab w:val="left" w:pos="8640"/>
        </w:tabs>
        <w:spacing w:after="0" w:line="240" w:lineRule="auto"/>
        <w:jc w:val="center"/>
        <w:rPr>
          <w:rFonts w:ascii="Verdana" w:hAnsi="Verdana"/>
          <w:sz w:val="20"/>
          <w:lang w:val="es-CR"/>
        </w:rPr>
      </w:pPr>
      <w:r w:rsidRPr="00270245">
        <w:rPr>
          <w:rFonts w:ascii="Verdana" w:hAnsi="Verdana"/>
          <w:sz w:val="20"/>
          <w:lang w:val="es-CR"/>
        </w:rPr>
        <w:t>Secretario</w:t>
      </w:r>
    </w:p>
    <w:p w14:paraId="2A854A8B" w14:textId="77777777" w:rsidR="00270245" w:rsidRPr="00270245" w:rsidRDefault="00270245" w:rsidP="00270245">
      <w:pPr>
        <w:tabs>
          <w:tab w:val="left" w:pos="8460"/>
          <w:tab w:val="left" w:pos="8640"/>
        </w:tabs>
        <w:spacing w:after="0" w:line="240" w:lineRule="auto"/>
        <w:jc w:val="both"/>
        <w:rPr>
          <w:rFonts w:ascii="Verdana" w:hAnsi="Verdana"/>
          <w:sz w:val="20"/>
          <w:lang w:val="es-CR"/>
        </w:rPr>
      </w:pPr>
    </w:p>
    <w:p w14:paraId="5689755C" w14:textId="77777777" w:rsidR="00270245" w:rsidRPr="00270245" w:rsidRDefault="00270245" w:rsidP="00270245">
      <w:pPr>
        <w:spacing w:after="0" w:line="240" w:lineRule="auto"/>
        <w:jc w:val="both"/>
        <w:rPr>
          <w:rFonts w:ascii="Verdana" w:hAnsi="Verdana"/>
          <w:sz w:val="20"/>
          <w:lang w:val="es-CR"/>
        </w:rPr>
      </w:pPr>
    </w:p>
    <w:p w14:paraId="72683378" w14:textId="77777777" w:rsidR="00270245" w:rsidRPr="00270245" w:rsidRDefault="00270245" w:rsidP="00270245">
      <w:pPr>
        <w:tabs>
          <w:tab w:val="left" w:pos="8460"/>
          <w:tab w:val="left" w:pos="8640"/>
        </w:tabs>
        <w:spacing w:after="0" w:line="240" w:lineRule="auto"/>
        <w:jc w:val="both"/>
        <w:rPr>
          <w:rFonts w:ascii="Verdana" w:hAnsi="Verdana"/>
          <w:sz w:val="20"/>
          <w:lang w:val="es-CR"/>
        </w:rPr>
      </w:pPr>
      <w:r w:rsidRPr="00270245">
        <w:rPr>
          <w:rFonts w:ascii="Verdana" w:hAnsi="Verdana"/>
          <w:sz w:val="20"/>
          <w:lang w:val="es-CR"/>
        </w:rPr>
        <w:t>Comuníquese y ejecútese,</w:t>
      </w:r>
    </w:p>
    <w:p w14:paraId="228B75C3" w14:textId="77777777" w:rsidR="00270245" w:rsidRPr="00270245" w:rsidRDefault="00270245" w:rsidP="00270245">
      <w:pPr>
        <w:tabs>
          <w:tab w:val="left" w:pos="8460"/>
          <w:tab w:val="left" w:pos="8640"/>
        </w:tabs>
        <w:spacing w:after="0" w:line="240" w:lineRule="auto"/>
        <w:jc w:val="both"/>
        <w:rPr>
          <w:rFonts w:ascii="Verdana" w:hAnsi="Verdana"/>
          <w:sz w:val="20"/>
          <w:lang w:val="es-CR"/>
        </w:rPr>
      </w:pPr>
    </w:p>
    <w:p w14:paraId="5B31745C" w14:textId="77777777" w:rsidR="00270245" w:rsidRPr="00270245" w:rsidRDefault="00270245" w:rsidP="00270245">
      <w:pPr>
        <w:tabs>
          <w:tab w:val="left" w:pos="8460"/>
          <w:tab w:val="left" w:pos="8640"/>
        </w:tabs>
        <w:spacing w:after="0" w:line="240" w:lineRule="auto"/>
        <w:jc w:val="both"/>
        <w:rPr>
          <w:rFonts w:ascii="Verdana" w:hAnsi="Verdana"/>
          <w:sz w:val="20"/>
          <w:lang w:val="es-CR"/>
        </w:rPr>
      </w:pPr>
    </w:p>
    <w:p w14:paraId="1349C1F2" w14:textId="77777777" w:rsidR="00270245" w:rsidRPr="00270245" w:rsidRDefault="00270245" w:rsidP="00270245">
      <w:pPr>
        <w:tabs>
          <w:tab w:val="left" w:pos="8460"/>
          <w:tab w:val="left" w:pos="8640"/>
        </w:tabs>
        <w:spacing w:after="0" w:line="240" w:lineRule="auto"/>
        <w:jc w:val="both"/>
        <w:rPr>
          <w:rFonts w:ascii="Verdana" w:hAnsi="Verdana"/>
          <w:sz w:val="20"/>
          <w:lang w:val="es-CR"/>
        </w:rPr>
      </w:pPr>
    </w:p>
    <w:p w14:paraId="0FA21032" w14:textId="77777777" w:rsidR="00270245" w:rsidRDefault="00270245" w:rsidP="00270245">
      <w:pPr>
        <w:spacing w:after="0" w:line="240" w:lineRule="auto"/>
        <w:jc w:val="right"/>
        <w:rPr>
          <w:rFonts w:ascii="Verdana" w:hAnsi="Verdana"/>
          <w:sz w:val="20"/>
          <w:lang w:val="es-CR"/>
        </w:rPr>
      </w:pPr>
      <w:r>
        <w:rPr>
          <w:rFonts w:ascii="Verdana" w:hAnsi="Verdana"/>
          <w:sz w:val="20"/>
          <w:lang w:val="es-CR"/>
        </w:rPr>
        <w:t xml:space="preserve">Eduardo Ferrer Mac-Gregor </w:t>
      </w:r>
      <w:proofErr w:type="spellStart"/>
      <w:r>
        <w:rPr>
          <w:rFonts w:ascii="Verdana" w:hAnsi="Verdana"/>
          <w:sz w:val="20"/>
          <w:lang w:val="es-CR"/>
        </w:rPr>
        <w:t>Poisot</w:t>
      </w:r>
      <w:proofErr w:type="spellEnd"/>
    </w:p>
    <w:p w14:paraId="5754193E" w14:textId="77777777" w:rsidR="00270245" w:rsidRPr="00270245" w:rsidRDefault="00270245" w:rsidP="00270245">
      <w:pPr>
        <w:spacing w:after="0" w:line="240" w:lineRule="auto"/>
        <w:ind w:right="1170"/>
        <w:jc w:val="right"/>
        <w:rPr>
          <w:rFonts w:ascii="Verdana" w:hAnsi="Verdana"/>
          <w:sz w:val="20"/>
          <w:lang w:val="es-CR"/>
        </w:rPr>
      </w:pPr>
      <w:r w:rsidRPr="00270245">
        <w:rPr>
          <w:rFonts w:ascii="Verdana" w:hAnsi="Verdana"/>
          <w:sz w:val="20"/>
          <w:lang w:val="es-CR"/>
        </w:rPr>
        <w:t xml:space="preserve">Presidente </w:t>
      </w:r>
    </w:p>
    <w:p w14:paraId="50593983" w14:textId="77777777" w:rsidR="00270245" w:rsidRPr="00270245" w:rsidRDefault="00270245" w:rsidP="00270245">
      <w:pPr>
        <w:tabs>
          <w:tab w:val="left" w:pos="8460"/>
          <w:tab w:val="left" w:pos="8640"/>
        </w:tabs>
        <w:spacing w:after="0" w:line="240" w:lineRule="auto"/>
        <w:jc w:val="both"/>
        <w:rPr>
          <w:rFonts w:ascii="Verdana" w:hAnsi="Verdana"/>
          <w:sz w:val="20"/>
          <w:lang w:val="es-CR"/>
        </w:rPr>
      </w:pPr>
    </w:p>
    <w:p w14:paraId="0A003634" w14:textId="77777777" w:rsidR="00270245" w:rsidRPr="00270245" w:rsidRDefault="00270245" w:rsidP="00270245">
      <w:pPr>
        <w:tabs>
          <w:tab w:val="left" w:pos="8460"/>
          <w:tab w:val="left" w:pos="8640"/>
        </w:tabs>
        <w:spacing w:after="0" w:line="240" w:lineRule="auto"/>
        <w:jc w:val="both"/>
        <w:rPr>
          <w:rFonts w:ascii="Verdana" w:hAnsi="Verdana"/>
          <w:sz w:val="20"/>
          <w:lang w:val="es-CR"/>
        </w:rPr>
      </w:pPr>
    </w:p>
    <w:p w14:paraId="452C13AD" w14:textId="77777777" w:rsidR="00270245" w:rsidRPr="00270245" w:rsidRDefault="00270245" w:rsidP="00270245">
      <w:pPr>
        <w:tabs>
          <w:tab w:val="left" w:pos="8460"/>
          <w:tab w:val="left" w:pos="8640"/>
        </w:tabs>
        <w:spacing w:after="0" w:line="240" w:lineRule="auto"/>
        <w:jc w:val="both"/>
        <w:rPr>
          <w:rFonts w:ascii="Verdana" w:hAnsi="Verdana"/>
          <w:sz w:val="20"/>
          <w:lang w:val="es-CR"/>
        </w:rPr>
      </w:pPr>
    </w:p>
    <w:p w14:paraId="46FBA2D2" w14:textId="77777777" w:rsidR="00270245" w:rsidRPr="00270245" w:rsidRDefault="00270245" w:rsidP="00270245">
      <w:pPr>
        <w:tabs>
          <w:tab w:val="left" w:pos="8460"/>
          <w:tab w:val="left" w:pos="8640"/>
        </w:tabs>
        <w:spacing w:after="0" w:line="240" w:lineRule="auto"/>
        <w:jc w:val="both"/>
        <w:rPr>
          <w:rFonts w:ascii="Verdana" w:hAnsi="Verdana"/>
          <w:sz w:val="20"/>
          <w:lang w:val="es-CR"/>
        </w:rPr>
      </w:pPr>
      <w:r w:rsidRPr="00270245">
        <w:rPr>
          <w:rFonts w:ascii="Verdana" w:hAnsi="Verdana"/>
          <w:sz w:val="20"/>
          <w:lang w:val="es-CR"/>
        </w:rPr>
        <w:t>Pablo Saavedra Alessandri</w:t>
      </w:r>
    </w:p>
    <w:p w14:paraId="3EA23D5D" w14:textId="77777777" w:rsidR="00270245" w:rsidRDefault="00270245" w:rsidP="00270245">
      <w:pPr>
        <w:tabs>
          <w:tab w:val="left" w:pos="8640"/>
        </w:tabs>
        <w:spacing w:after="0" w:line="240" w:lineRule="auto"/>
        <w:ind w:left="720"/>
        <w:rPr>
          <w:rFonts w:ascii="Verdana" w:hAnsi="Verdana"/>
          <w:sz w:val="20"/>
        </w:rPr>
      </w:pPr>
      <w:r w:rsidRPr="00270245">
        <w:rPr>
          <w:rFonts w:ascii="Verdana" w:hAnsi="Verdana"/>
          <w:sz w:val="20"/>
          <w:lang w:val="es-CR"/>
        </w:rPr>
        <w:t xml:space="preserve">  </w:t>
      </w:r>
      <w:proofErr w:type="spellStart"/>
      <w:r>
        <w:rPr>
          <w:rFonts w:ascii="Verdana" w:hAnsi="Verdana"/>
          <w:sz w:val="20"/>
        </w:rPr>
        <w:t>Secretario</w:t>
      </w:r>
      <w:proofErr w:type="spellEnd"/>
    </w:p>
    <w:p w14:paraId="7118E1EA" w14:textId="77777777" w:rsidR="00270245" w:rsidRDefault="00270245" w:rsidP="00270245">
      <w:pPr>
        <w:tabs>
          <w:tab w:val="left" w:pos="8640"/>
        </w:tabs>
        <w:rPr>
          <w:rFonts w:ascii="Verdana" w:hAnsi="Verdana"/>
          <w:sz w:val="20"/>
        </w:rPr>
      </w:pPr>
    </w:p>
    <w:p w14:paraId="629FB2A2" w14:textId="77777777" w:rsidR="00270245" w:rsidRDefault="00270245" w:rsidP="00270245">
      <w:pPr>
        <w:jc w:val="both"/>
        <w:rPr>
          <w:rFonts w:ascii="Verdana" w:hAnsi="Verdana"/>
          <w:sz w:val="20"/>
          <w:lang w:val="es-CR"/>
        </w:rPr>
      </w:pPr>
    </w:p>
    <w:p w14:paraId="7D481AA8" w14:textId="77777777" w:rsidR="00270245" w:rsidRPr="000E64EF" w:rsidRDefault="00270245" w:rsidP="003F1A9E">
      <w:pPr>
        <w:jc w:val="both"/>
        <w:rPr>
          <w:rFonts w:ascii="Verdana" w:hAnsi="Verdana"/>
          <w:i/>
          <w:sz w:val="20"/>
          <w:szCs w:val="20"/>
          <w:lang w:val="es-CR"/>
        </w:rPr>
      </w:pPr>
    </w:p>
    <w:sectPr w:rsidR="00270245" w:rsidRPr="000E64EF" w:rsidSect="006A339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13EC8" w14:textId="77777777" w:rsidR="00484E41" w:rsidRDefault="00484E41" w:rsidP="0061137D">
      <w:pPr>
        <w:spacing w:after="0" w:line="240" w:lineRule="auto"/>
      </w:pPr>
      <w:r>
        <w:separator/>
      </w:r>
    </w:p>
  </w:endnote>
  <w:endnote w:type="continuationSeparator" w:id="0">
    <w:p w14:paraId="6DF03DB0" w14:textId="77777777" w:rsidR="00484E41" w:rsidRDefault="00484E41" w:rsidP="0061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D267E" w14:textId="77777777" w:rsidR="00484E41" w:rsidRDefault="00484E41" w:rsidP="0061137D">
      <w:pPr>
        <w:spacing w:after="0" w:line="240" w:lineRule="auto"/>
      </w:pPr>
      <w:r>
        <w:separator/>
      </w:r>
    </w:p>
  </w:footnote>
  <w:footnote w:type="continuationSeparator" w:id="0">
    <w:p w14:paraId="6D2C6C81" w14:textId="77777777" w:rsidR="00484E41" w:rsidRDefault="00484E41" w:rsidP="0061137D">
      <w:pPr>
        <w:spacing w:after="0" w:line="240" w:lineRule="auto"/>
      </w:pPr>
      <w:r>
        <w:continuationSeparator/>
      </w:r>
    </w:p>
  </w:footnote>
  <w:footnote w:id="1">
    <w:p w14:paraId="141E7152" w14:textId="1485B4C3" w:rsidR="003F1A9E" w:rsidRDefault="003F1A9E" w:rsidP="00382DC2">
      <w:pPr>
        <w:pStyle w:val="FootnoteText"/>
        <w:tabs>
          <w:tab w:val="left" w:pos="720"/>
        </w:tabs>
        <w:jc w:val="both"/>
        <w:rPr>
          <w:rFonts w:ascii="Verdana" w:hAnsi="Verdana"/>
          <w:sz w:val="16"/>
          <w:szCs w:val="16"/>
          <w:lang w:val="es-MX"/>
        </w:rPr>
      </w:pPr>
      <w:r>
        <w:rPr>
          <w:rStyle w:val="FootnoteReference"/>
        </w:rPr>
        <w:sym w:font="Symbol" w:char="F02A"/>
      </w:r>
      <w:r w:rsidRPr="00E32C15">
        <w:rPr>
          <w:rFonts w:ascii="Verdana" w:hAnsi="Verdana"/>
          <w:sz w:val="16"/>
          <w:szCs w:val="16"/>
          <w:lang w:val="es-CR"/>
        </w:rPr>
        <w:t xml:space="preserve"> </w:t>
      </w:r>
      <w:r w:rsidRPr="00E32C15">
        <w:rPr>
          <w:rFonts w:ascii="Verdana" w:hAnsi="Verdana"/>
          <w:sz w:val="16"/>
          <w:szCs w:val="16"/>
          <w:lang w:val="es-CR"/>
        </w:rPr>
        <w:tab/>
        <w:t xml:space="preserve">El Juez </w:t>
      </w:r>
      <w:r w:rsidR="00BF6F8B" w:rsidRPr="00E32C15">
        <w:rPr>
          <w:rFonts w:ascii="Verdana" w:hAnsi="Verdana"/>
          <w:sz w:val="16"/>
          <w:szCs w:val="16"/>
          <w:lang w:val="es-CR"/>
        </w:rPr>
        <w:t>Eugenio Raúl</w:t>
      </w:r>
      <w:r w:rsidRPr="00E32C15">
        <w:rPr>
          <w:rFonts w:ascii="Verdana" w:hAnsi="Verdana"/>
          <w:sz w:val="16"/>
          <w:szCs w:val="16"/>
          <w:lang w:val="es-CR"/>
        </w:rPr>
        <w:t xml:space="preserve"> Zaffaroni, de nacionalidad argentina, no participa en el conocimiento de la presente resolución, de conformidad con lo dispuesto en el artículo 19.1 del Reglamento de la Corte. </w:t>
      </w:r>
    </w:p>
  </w:footnote>
  <w:footnote w:id="2">
    <w:p w14:paraId="2195FB0E" w14:textId="1AF2E623" w:rsidR="00D0332C" w:rsidRPr="00D0332C" w:rsidRDefault="00D0332C" w:rsidP="006A339E">
      <w:pPr>
        <w:pStyle w:val="FootnoteText"/>
        <w:jc w:val="both"/>
        <w:rPr>
          <w:lang w:val="es-MX"/>
        </w:rPr>
      </w:pPr>
      <w:r>
        <w:rPr>
          <w:rStyle w:val="FootnoteReference"/>
        </w:rPr>
        <w:footnoteRef/>
      </w:r>
      <w:r w:rsidR="00EF266F">
        <w:rPr>
          <w:lang w:val="es-MX"/>
        </w:rPr>
        <w:t xml:space="preserve"> </w:t>
      </w:r>
      <w:r w:rsidR="000E64EF">
        <w:rPr>
          <w:lang w:val="es-MX"/>
        </w:rPr>
        <w:tab/>
      </w:r>
      <w:r w:rsidR="00EF266F" w:rsidRPr="000E64EF">
        <w:rPr>
          <w:i/>
          <w:lang w:val="es-MX"/>
        </w:rPr>
        <w:t>Cf</w:t>
      </w:r>
      <w:r w:rsidR="00D30ED5" w:rsidRPr="000E64EF">
        <w:rPr>
          <w:i/>
          <w:lang w:val="es-MX"/>
        </w:rPr>
        <w:t>r</w:t>
      </w:r>
      <w:r w:rsidR="00EF266F" w:rsidRPr="000E64EF">
        <w:rPr>
          <w:i/>
          <w:lang w:val="es-MX"/>
        </w:rPr>
        <w:t>.</w:t>
      </w:r>
      <w:r w:rsidR="00EF266F">
        <w:rPr>
          <w:lang w:val="es-MX"/>
        </w:rPr>
        <w:t xml:space="preserve"> </w:t>
      </w:r>
      <w:r w:rsidR="00EF266F" w:rsidRPr="00EF266F">
        <w:rPr>
          <w:lang w:val="es-MX"/>
        </w:rPr>
        <w:t xml:space="preserve">Resolución del Presidente en ejercicio de la Corte Interamericana de </w:t>
      </w:r>
      <w:r w:rsidR="00EF266F">
        <w:rPr>
          <w:lang w:val="es-MX"/>
        </w:rPr>
        <w:t>7 de diciembre</w:t>
      </w:r>
      <w:r w:rsidR="00EF266F" w:rsidRPr="00EF266F">
        <w:rPr>
          <w:lang w:val="es-MX"/>
        </w:rPr>
        <w:t xml:space="preserve"> de 2018. Resolutivo 14. Disponible en</w:t>
      </w:r>
      <w:r w:rsidR="00EF266F">
        <w:rPr>
          <w:lang w:val="es-MX"/>
        </w:rPr>
        <w:t xml:space="preserve">: </w:t>
      </w:r>
      <w:r w:rsidRPr="00D0332C">
        <w:rPr>
          <w:lang w:val="es-MX"/>
        </w:rPr>
        <w:t xml:space="preserve"> </w:t>
      </w:r>
      <w:hyperlink r:id="rId1" w:history="1">
        <w:r w:rsidRPr="007361DD">
          <w:rPr>
            <w:rStyle w:val="Hyperlink"/>
            <w:lang w:val="es-MX"/>
          </w:rPr>
          <w:t>http://www.corteidh.or.cr/docs/asuntos/perroneypreckel_07_12_18.pdf</w:t>
        </w:r>
      </w:hyperlink>
      <w:r>
        <w:rPr>
          <w:lang w:val="es-MX"/>
        </w:rPr>
        <w:t xml:space="preserve"> </w:t>
      </w:r>
    </w:p>
  </w:footnote>
  <w:footnote w:id="3">
    <w:p w14:paraId="30425A5E" w14:textId="499F16B2" w:rsidR="00F369BF" w:rsidRPr="00BF6F8B" w:rsidRDefault="00F369BF" w:rsidP="00BF6F8B">
      <w:pPr>
        <w:pStyle w:val="FootnoteText"/>
        <w:jc w:val="both"/>
        <w:rPr>
          <w:rFonts w:ascii="Verdana" w:hAnsi="Verdana"/>
          <w:sz w:val="16"/>
          <w:szCs w:val="16"/>
          <w:lang w:val="es-CR"/>
        </w:rPr>
      </w:pPr>
      <w:r w:rsidRPr="00BF6F8B">
        <w:rPr>
          <w:rStyle w:val="FootnoteReference"/>
        </w:rPr>
        <w:footnoteRef/>
      </w:r>
      <w:r w:rsidRPr="00BF6F8B">
        <w:rPr>
          <w:rFonts w:ascii="Verdana" w:hAnsi="Verdana"/>
          <w:sz w:val="16"/>
          <w:szCs w:val="16"/>
          <w:lang w:val="es-CR"/>
        </w:rPr>
        <w:t xml:space="preserve"> </w:t>
      </w:r>
      <w:r w:rsidR="005F1C21">
        <w:rPr>
          <w:rFonts w:ascii="Verdana" w:hAnsi="Verdana"/>
          <w:sz w:val="16"/>
          <w:szCs w:val="16"/>
          <w:lang w:val="es-CR"/>
        </w:rPr>
        <w:tab/>
      </w:r>
      <w:r w:rsidRPr="006A339E">
        <w:rPr>
          <w:rFonts w:ascii="Verdana" w:hAnsi="Verdana"/>
          <w:i/>
          <w:sz w:val="16"/>
          <w:szCs w:val="16"/>
          <w:lang w:val="es-CR"/>
        </w:rPr>
        <w:t>Cfr</w:t>
      </w:r>
      <w:r w:rsidRPr="00BF6F8B">
        <w:rPr>
          <w:rFonts w:ascii="Verdana" w:hAnsi="Verdana"/>
          <w:sz w:val="16"/>
          <w:szCs w:val="16"/>
          <w:lang w:val="es-CR"/>
        </w:rPr>
        <w:t xml:space="preserve">. </w:t>
      </w:r>
      <w:r w:rsidRPr="000E64EF">
        <w:rPr>
          <w:rFonts w:ascii="Verdana" w:hAnsi="Verdana"/>
          <w:i/>
          <w:sz w:val="16"/>
          <w:szCs w:val="16"/>
          <w:lang w:val="es-CR"/>
        </w:rPr>
        <w:t xml:space="preserve">Caso González y otras Vs. México. Solicitud de Ampliación de Presuntas Víctimas y Negativa de Remisión de Prueba Documental. </w:t>
      </w:r>
      <w:r w:rsidRPr="00BF6F8B">
        <w:rPr>
          <w:rFonts w:ascii="Verdana" w:hAnsi="Verdana"/>
          <w:sz w:val="16"/>
          <w:szCs w:val="16"/>
          <w:lang w:val="es-CR"/>
        </w:rPr>
        <w:t xml:space="preserve">Resolución de la Corte Interamericana de Derechos Humanos de 19 de enero de 2009, Considerando 61. </w:t>
      </w:r>
      <w:r w:rsidRPr="006A339E">
        <w:rPr>
          <w:rFonts w:ascii="Verdana" w:hAnsi="Verdana"/>
          <w:i/>
          <w:sz w:val="16"/>
          <w:szCs w:val="16"/>
          <w:lang w:val="es-CR"/>
        </w:rPr>
        <w:t>Cfr.</w:t>
      </w:r>
      <w:r w:rsidRPr="00BF6F8B">
        <w:rPr>
          <w:rFonts w:ascii="Verdana" w:hAnsi="Verdana"/>
          <w:sz w:val="16"/>
          <w:szCs w:val="16"/>
          <w:lang w:val="es-CR"/>
        </w:rPr>
        <w:t xml:space="preserve"> </w:t>
      </w:r>
      <w:r w:rsidRPr="000E64EF">
        <w:rPr>
          <w:rFonts w:ascii="Verdana" w:hAnsi="Verdana"/>
          <w:i/>
          <w:sz w:val="16"/>
          <w:szCs w:val="16"/>
          <w:lang w:val="es-CR"/>
        </w:rPr>
        <w:t>Caso González y otras (“Campo Algodonero,”) Vs. México.</w:t>
      </w:r>
      <w:r w:rsidRPr="00BF6F8B">
        <w:rPr>
          <w:rFonts w:ascii="Verdana" w:hAnsi="Verdana"/>
          <w:sz w:val="16"/>
          <w:szCs w:val="16"/>
          <w:lang w:val="es-CR"/>
        </w:rPr>
        <w:t xml:space="preserve"> Resolución de la Presidenta de la Corte Interamericana de Derechos Humanos, </w:t>
      </w:r>
      <w:r w:rsidRPr="006A339E">
        <w:rPr>
          <w:rFonts w:ascii="Verdana" w:hAnsi="Verdana"/>
          <w:i/>
          <w:sz w:val="16"/>
          <w:szCs w:val="16"/>
          <w:lang w:val="es-CR"/>
        </w:rPr>
        <w:t>supra</w:t>
      </w:r>
      <w:r w:rsidRPr="00BF6F8B">
        <w:rPr>
          <w:rFonts w:ascii="Verdana" w:hAnsi="Verdana"/>
          <w:sz w:val="16"/>
          <w:szCs w:val="16"/>
          <w:lang w:val="es-CR"/>
        </w:rPr>
        <w:t xml:space="preserve">, párr. </w:t>
      </w:r>
      <w:r w:rsidRPr="00BF6F8B">
        <w:rPr>
          <w:rFonts w:ascii="Verdana" w:hAnsi="Verdana"/>
          <w:sz w:val="16"/>
          <w:szCs w:val="16"/>
        </w:rPr>
        <w:t>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533128"/>
      <w:docPartObj>
        <w:docPartGallery w:val="Page Numbers (Top of Page)"/>
        <w:docPartUnique/>
      </w:docPartObj>
    </w:sdtPr>
    <w:sdtEndPr>
      <w:rPr>
        <w:rFonts w:ascii="Verdana" w:hAnsi="Verdana"/>
        <w:noProof/>
        <w:sz w:val="20"/>
        <w:szCs w:val="20"/>
      </w:rPr>
    </w:sdtEndPr>
    <w:sdtContent>
      <w:p w14:paraId="33D2615A" w14:textId="3D951CB1" w:rsidR="006A339E" w:rsidRPr="006A339E" w:rsidRDefault="006A339E">
        <w:pPr>
          <w:pStyle w:val="Header"/>
          <w:jc w:val="center"/>
          <w:rPr>
            <w:rFonts w:ascii="Verdana" w:hAnsi="Verdana"/>
            <w:sz w:val="20"/>
            <w:szCs w:val="20"/>
          </w:rPr>
        </w:pPr>
        <w:r w:rsidRPr="006A339E">
          <w:rPr>
            <w:rFonts w:ascii="Verdana" w:hAnsi="Verdana"/>
            <w:sz w:val="20"/>
            <w:szCs w:val="20"/>
          </w:rPr>
          <w:fldChar w:fldCharType="begin"/>
        </w:r>
        <w:r w:rsidRPr="006A339E">
          <w:rPr>
            <w:rFonts w:ascii="Verdana" w:hAnsi="Verdana"/>
            <w:sz w:val="20"/>
            <w:szCs w:val="20"/>
          </w:rPr>
          <w:instrText xml:space="preserve"> PAGE   \* MERGEFORMAT </w:instrText>
        </w:r>
        <w:r w:rsidRPr="006A339E">
          <w:rPr>
            <w:rFonts w:ascii="Verdana" w:hAnsi="Verdana"/>
            <w:sz w:val="20"/>
            <w:szCs w:val="20"/>
          </w:rPr>
          <w:fldChar w:fldCharType="separate"/>
        </w:r>
        <w:r w:rsidR="00E32C15">
          <w:rPr>
            <w:rFonts w:ascii="Verdana" w:hAnsi="Verdana"/>
            <w:noProof/>
            <w:sz w:val="20"/>
            <w:szCs w:val="20"/>
          </w:rPr>
          <w:t>3</w:t>
        </w:r>
        <w:r w:rsidRPr="006A339E">
          <w:rPr>
            <w:rFonts w:ascii="Verdana" w:hAnsi="Verdana"/>
            <w:noProof/>
            <w:sz w:val="20"/>
            <w:szCs w:val="20"/>
          </w:rPr>
          <w:fldChar w:fldCharType="end"/>
        </w:r>
      </w:p>
    </w:sdtContent>
  </w:sdt>
  <w:p w14:paraId="0AB90BE7" w14:textId="77777777" w:rsidR="003F1A9E" w:rsidRDefault="003F1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7385"/>
      <w:docPartObj>
        <w:docPartGallery w:val="Page Numbers (Top of Page)"/>
        <w:docPartUnique/>
      </w:docPartObj>
    </w:sdtPr>
    <w:sdtEndPr>
      <w:rPr>
        <w:noProof/>
      </w:rPr>
    </w:sdtEndPr>
    <w:sdtContent>
      <w:p w14:paraId="04CEBDFF" w14:textId="45586469" w:rsidR="006A339E" w:rsidRDefault="00E32C15">
        <w:pPr>
          <w:pStyle w:val="Header"/>
          <w:jc w:val="center"/>
        </w:pPr>
      </w:p>
    </w:sdtContent>
  </w:sdt>
  <w:p w14:paraId="4B781CA3" w14:textId="77777777" w:rsidR="006A339E" w:rsidRDefault="006A3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471"/>
    <w:multiLevelType w:val="hybridMultilevel"/>
    <w:tmpl w:val="117C13EA"/>
    <w:lvl w:ilvl="0" w:tplc="CB7E4592">
      <w:start w:val="1"/>
      <w:numFmt w:val="upperLetter"/>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D3CA0"/>
    <w:multiLevelType w:val="hybridMultilevel"/>
    <w:tmpl w:val="4674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84E41"/>
    <w:multiLevelType w:val="hybridMultilevel"/>
    <w:tmpl w:val="8552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85E1E"/>
    <w:multiLevelType w:val="hybridMultilevel"/>
    <w:tmpl w:val="7E5C32C6"/>
    <w:lvl w:ilvl="0" w:tplc="619E63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A33798"/>
    <w:multiLevelType w:val="hybridMultilevel"/>
    <w:tmpl w:val="286ADE26"/>
    <w:lvl w:ilvl="0" w:tplc="68A28782">
      <w:start w:val="1"/>
      <w:numFmt w:val="decimal"/>
      <w:lvlText w:val="%1."/>
      <w:lvlJc w:val="left"/>
      <w:pPr>
        <w:ind w:left="570" w:hanging="57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137ED6"/>
    <w:multiLevelType w:val="hybridMultilevel"/>
    <w:tmpl w:val="7C428114"/>
    <w:lvl w:ilvl="0" w:tplc="498E4DB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131B6"/>
    <w:multiLevelType w:val="hybridMultilevel"/>
    <w:tmpl w:val="FD7E8C28"/>
    <w:lvl w:ilvl="0" w:tplc="0409000F">
      <w:start w:val="1"/>
      <w:numFmt w:val="decimal"/>
      <w:lvlText w:val="%1."/>
      <w:lvlJc w:val="left"/>
      <w:pPr>
        <w:ind w:left="825" w:hanging="46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6463D"/>
    <w:multiLevelType w:val="hybridMultilevel"/>
    <w:tmpl w:val="3232F1E8"/>
    <w:lvl w:ilvl="0" w:tplc="14429ACC">
      <w:start w:val="1"/>
      <w:numFmt w:val="decimal"/>
      <w:lvlText w:val="%1."/>
      <w:lvlJc w:val="left"/>
      <w:pPr>
        <w:ind w:left="862"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80770"/>
    <w:multiLevelType w:val="hybridMultilevel"/>
    <w:tmpl w:val="3232F1E8"/>
    <w:lvl w:ilvl="0" w:tplc="14429ACC">
      <w:start w:val="1"/>
      <w:numFmt w:val="decimal"/>
      <w:lvlText w:val="%1."/>
      <w:lvlJc w:val="left"/>
      <w:pPr>
        <w:ind w:left="862"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17199"/>
    <w:multiLevelType w:val="hybridMultilevel"/>
    <w:tmpl w:val="A90E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759B4"/>
    <w:multiLevelType w:val="hybridMultilevel"/>
    <w:tmpl w:val="D82E11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32327"/>
    <w:multiLevelType w:val="hybridMultilevel"/>
    <w:tmpl w:val="6FF69072"/>
    <w:lvl w:ilvl="0" w:tplc="372886D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A5092"/>
    <w:multiLevelType w:val="hybridMultilevel"/>
    <w:tmpl w:val="7634103A"/>
    <w:lvl w:ilvl="0" w:tplc="68A28782">
      <w:start w:val="1"/>
      <w:numFmt w:val="decimal"/>
      <w:lvlText w:val="%1."/>
      <w:lvlJc w:val="left"/>
      <w:pPr>
        <w:ind w:left="570"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97D24"/>
    <w:multiLevelType w:val="hybridMultilevel"/>
    <w:tmpl w:val="5A5621D2"/>
    <w:lvl w:ilvl="0" w:tplc="8F04FA5C">
      <w:start w:val="1"/>
      <w:numFmt w:val="decimal"/>
      <w:lvlText w:val="%1."/>
      <w:lvlJc w:val="left"/>
      <w:pPr>
        <w:ind w:left="1080" w:hanging="720"/>
      </w:pPr>
      <w:rPr>
        <w:rFonts w:hint="default"/>
        <w:b w:val="0"/>
        <w:i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9"/>
  </w:num>
  <w:num w:numId="6">
    <w:abstractNumId w:val="5"/>
  </w:num>
  <w:num w:numId="7">
    <w:abstractNumId w:val="12"/>
  </w:num>
  <w:num w:numId="8">
    <w:abstractNumId w:val="6"/>
  </w:num>
  <w:num w:numId="9">
    <w:abstractNumId w:val="13"/>
  </w:num>
  <w:num w:numId="10">
    <w:abstractNumId w:val="1"/>
  </w:num>
  <w:num w:numId="11">
    <w:abstractNumId w:val="7"/>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CR"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C7"/>
    <w:rsid w:val="00002F25"/>
    <w:rsid w:val="00012C3B"/>
    <w:rsid w:val="000205FA"/>
    <w:rsid w:val="000E48F6"/>
    <w:rsid w:val="000E64EF"/>
    <w:rsid w:val="00137B36"/>
    <w:rsid w:val="00157A2A"/>
    <w:rsid w:val="00161672"/>
    <w:rsid w:val="001836C7"/>
    <w:rsid w:val="00197DC8"/>
    <w:rsid w:val="001B5646"/>
    <w:rsid w:val="001C6789"/>
    <w:rsid w:val="001F6336"/>
    <w:rsid w:val="00270245"/>
    <w:rsid w:val="002C046E"/>
    <w:rsid w:val="002E0825"/>
    <w:rsid w:val="003154D8"/>
    <w:rsid w:val="00322D7A"/>
    <w:rsid w:val="003275C8"/>
    <w:rsid w:val="00373D2B"/>
    <w:rsid w:val="00382DC2"/>
    <w:rsid w:val="003A144E"/>
    <w:rsid w:val="003A1EE6"/>
    <w:rsid w:val="003C091A"/>
    <w:rsid w:val="003D07E5"/>
    <w:rsid w:val="003F1A9E"/>
    <w:rsid w:val="0040296D"/>
    <w:rsid w:val="004072B3"/>
    <w:rsid w:val="004274D5"/>
    <w:rsid w:val="004379C8"/>
    <w:rsid w:val="00484E41"/>
    <w:rsid w:val="004A1F29"/>
    <w:rsid w:val="004A21F7"/>
    <w:rsid w:val="004B7838"/>
    <w:rsid w:val="004C4E40"/>
    <w:rsid w:val="004D6145"/>
    <w:rsid w:val="004E5E0F"/>
    <w:rsid w:val="005254B6"/>
    <w:rsid w:val="00567013"/>
    <w:rsid w:val="005962A3"/>
    <w:rsid w:val="005F1C21"/>
    <w:rsid w:val="00607A4F"/>
    <w:rsid w:val="00607CCF"/>
    <w:rsid w:val="0061137D"/>
    <w:rsid w:val="00656E9A"/>
    <w:rsid w:val="006A339E"/>
    <w:rsid w:val="006B0EC6"/>
    <w:rsid w:val="0075601C"/>
    <w:rsid w:val="00787B23"/>
    <w:rsid w:val="007E4AB0"/>
    <w:rsid w:val="0082784E"/>
    <w:rsid w:val="0086046E"/>
    <w:rsid w:val="00881518"/>
    <w:rsid w:val="008A373B"/>
    <w:rsid w:val="008A5F31"/>
    <w:rsid w:val="008B2E50"/>
    <w:rsid w:val="008E211C"/>
    <w:rsid w:val="008F2E20"/>
    <w:rsid w:val="00907096"/>
    <w:rsid w:val="00950253"/>
    <w:rsid w:val="00962F59"/>
    <w:rsid w:val="0097754A"/>
    <w:rsid w:val="009C75A6"/>
    <w:rsid w:val="009C7EF1"/>
    <w:rsid w:val="00A31D5A"/>
    <w:rsid w:val="00A5520A"/>
    <w:rsid w:val="00A75145"/>
    <w:rsid w:val="00A822FF"/>
    <w:rsid w:val="00A85B9F"/>
    <w:rsid w:val="00AD365B"/>
    <w:rsid w:val="00AE1D2E"/>
    <w:rsid w:val="00B11AB4"/>
    <w:rsid w:val="00B858E8"/>
    <w:rsid w:val="00B954A7"/>
    <w:rsid w:val="00BE7B8A"/>
    <w:rsid w:val="00BF6F8B"/>
    <w:rsid w:val="00C54F8B"/>
    <w:rsid w:val="00D0332C"/>
    <w:rsid w:val="00D11173"/>
    <w:rsid w:val="00D30ED5"/>
    <w:rsid w:val="00D3418F"/>
    <w:rsid w:val="00DA25D4"/>
    <w:rsid w:val="00DA4EBB"/>
    <w:rsid w:val="00DB7125"/>
    <w:rsid w:val="00DB7BFC"/>
    <w:rsid w:val="00DC3389"/>
    <w:rsid w:val="00DE0CDD"/>
    <w:rsid w:val="00E26BC9"/>
    <w:rsid w:val="00E32C15"/>
    <w:rsid w:val="00E83E0C"/>
    <w:rsid w:val="00EF266F"/>
    <w:rsid w:val="00F101F3"/>
    <w:rsid w:val="00F173CE"/>
    <w:rsid w:val="00F34114"/>
    <w:rsid w:val="00F3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515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
    <w:name w:val="Ca1"/>
    <w:basedOn w:val="Normal"/>
    <w:next w:val="FootnoteText"/>
    <w:link w:val="TextonotapieCar1"/>
    <w:uiPriority w:val="99"/>
    <w:unhideWhenUsed/>
    <w:qFormat/>
    <w:rsid w:val="0061137D"/>
    <w:pPr>
      <w:spacing w:after="0" w:line="240" w:lineRule="auto"/>
    </w:pPr>
    <w:rPr>
      <w:sz w:val="20"/>
      <w:szCs w:val="20"/>
      <w:lang w:val="es-MX"/>
    </w:rPr>
  </w:style>
  <w:style w:type="character" w:customStyle="1" w:styleId="TextonotapieCar1">
    <w:name w:val="Texto nota pie Car1"/>
    <w:aliases w:val="FA Fu Car,Footnote Text Char Char Char Char Char Car,Footnote Text Char Char Char Char Car,Footnote reference Car,Footnote Text Char Char Char Car,Footnote Text Cha Car,FA Fuﬂnotentext Car,Texto nota pie Car Car,FA Fu?notentext Car"/>
    <w:basedOn w:val="DefaultParagraphFont"/>
    <w:link w:val="Ca1"/>
    <w:uiPriority w:val="99"/>
    <w:rsid w:val="0061137D"/>
    <w:rPr>
      <w:sz w:val="20"/>
      <w:szCs w:val="20"/>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61137D"/>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Footnote Text Cha,FA Fuﬂnotentext,Texto nota pie Car,Footnote Text Char Char,FA Fu?notentext,FA Fußnotentext,Ca"/>
    <w:basedOn w:val="Normal"/>
    <w:link w:val="FootnoteTextChar"/>
    <w:uiPriority w:val="99"/>
    <w:semiHidden/>
    <w:unhideWhenUsed/>
    <w:qFormat/>
    <w:rsid w:val="0061137D"/>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ﬂnotentext Char,Texto nota pie Car Char,Ca Char"/>
    <w:basedOn w:val="DefaultParagraphFont"/>
    <w:link w:val="FootnoteText"/>
    <w:uiPriority w:val="99"/>
    <w:semiHidden/>
    <w:rsid w:val="0061137D"/>
    <w:rPr>
      <w:sz w:val="20"/>
      <w:szCs w:val="20"/>
    </w:rPr>
  </w:style>
  <w:style w:type="paragraph" w:styleId="ListParagraph">
    <w:name w:val="List Paragraph"/>
    <w:aliases w:val="Footnote,List Paragraph2,List Paragraph1,Lista vistosa - Énfasis 11"/>
    <w:basedOn w:val="Normal"/>
    <w:link w:val="ListParagraphChar"/>
    <w:uiPriority w:val="99"/>
    <w:qFormat/>
    <w:rsid w:val="000205FA"/>
    <w:pPr>
      <w:ind w:left="720"/>
      <w:contextualSpacing/>
    </w:pPr>
  </w:style>
  <w:style w:type="character" w:styleId="Hyperlink">
    <w:name w:val="Hyperlink"/>
    <w:basedOn w:val="DefaultParagraphFont"/>
    <w:uiPriority w:val="99"/>
    <w:unhideWhenUsed/>
    <w:rsid w:val="00D0332C"/>
    <w:rPr>
      <w:color w:val="0563C1" w:themeColor="hyperlink"/>
      <w:u w:val="single"/>
    </w:rPr>
  </w:style>
  <w:style w:type="paragraph" w:styleId="Header">
    <w:name w:val="header"/>
    <w:basedOn w:val="Normal"/>
    <w:link w:val="HeaderChar"/>
    <w:uiPriority w:val="99"/>
    <w:unhideWhenUsed/>
    <w:rsid w:val="00D0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2C"/>
  </w:style>
  <w:style w:type="paragraph" w:styleId="Footer">
    <w:name w:val="footer"/>
    <w:basedOn w:val="Normal"/>
    <w:link w:val="FooterChar"/>
    <w:uiPriority w:val="99"/>
    <w:unhideWhenUsed/>
    <w:rsid w:val="00D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2C"/>
  </w:style>
  <w:style w:type="character" w:styleId="CommentReference">
    <w:name w:val="annotation reference"/>
    <w:basedOn w:val="DefaultParagraphFont"/>
    <w:uiPriority w:val="99"/>
    <w:semiHidden/>
    <w:unhideWhenUsed/>
    <w:rsid w:val="00DA25D4"/>
    <w:rPr>
      <w:sz w:val="16"/>
      <w:szCs w:val="16"/>
    </w:rPr>
  </w:style>
  <w:style w:type="paragraph" w:styleId="CommentText">
    <w:name w:val="annotation text"/>
    <w:basedOn w:val="Normal"/>
    <w:link w:val="CommentTextChar"/>
    <w:uiPriority w:val="99"/>
    <w:semiHidden/>
    <w:unhideWhenUsed/>
    <w:rsid w:val="00DA25D4"/>
    <w:pPr>
      <w:spacing w:line="240" w:lineRule="auto"/>
    </w:pPr>
    <w:rPr>
      <w:sz w:val="20"/>
      <w:szCs w:val="20"/>
    </w:rPr>
  </w:style>
  <w:style w:type="character" w:customStyle="1" w:styleId="CommentTextChar">
    <w:name w:val="Comment Text Char"/>
    <w:basedOn w:val="DefaultParagraphFont"/>
    <w:link w:val="CommentText"/>
    <w:uiPriority w:val="99"/>
    <w:semiHidden/>
    <w:rsid w:val="00DA25D4"/>
    <w:rPr>
      <w:sz w:val="20"/>
      <w:szCs w:val="20"/>
    </w:rPr>
  </w:style>
  <w:style w:type="paragraph" w:styleId="CommentSubject">
    <w:name w:val="annotation subject"/>
    <w:basedOn w:val="CommentText"/>
    <w:next w:val="CommentText"/>
    <w:link w:val="CommentSubjectChar"/>
    <w:uiPriority w:val="99"/>
    <w:semiHidden/>
    <w:unhideWhenUsed/>
    <w:rsid w:val="00DA25D4"/>
    <w:rPr>
      <w:b/>
      <w:bCs/>
    </w:rPr>
  </w:style>
  <w:style w:type="character" w:customStyle="1" w:styleId="CommentSubjectChar">
    <w:name w:val="Comment Subject Char"/>
    <w:basedOn w:val="CommentTextChar"/>
    <w:link w:val="CommentSubject"/>
    <w:uiPriority w:val="99"/>
    <w:semiHidden/>
    <w:rsid w:val="00DA25D4"/>
    <w:rPr>
      <w:b/>
      <w:bCs/>
      <w:sz w:val="20"/>
      <w:szCs w:val="20"/>
    </w:rPr>
  </w:style>
  <w:style w:type="paragraph" w:styleId="BalloonText">
    <w:name w:val="Balloon Text"/>
    <w:basedOn w:val="Normal"/>
    <w:link w:val="BalloonTextChar"/>
    <w:uiPriority w:val="99"/>
    <w:semiHidden/>
    <w:unhideWhenUsed/>
    <w:rsid w:val="00DA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D4"/>
    <w:rPr>
      <w:rFonts w:ascii="Segoe UI" w:hAnsi="Segoe UI" w:cs="Segoe UI"/>
      <w:sz w:val="18"/>
      <w:szCs w:val="18"/>
    </w:rPr>
  </w:style>
  <w:style w:type="character" w:customStyle="1" w:styleId="ListParagraphChar">
    <w:name w:val="List Paragraph Char"/>
    <w:aliases w:val="Footnote Char,List Paragraph2 Char,List Paragraph1 Char,Lista vistosa - Énfasis 11 Char"/>
    <w:link w:val="ListParagraph"/>
    <w:uiPriority w:val="99"/>
    <w:locked/>
    <w:rsid w:val="0019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1">
    <w:name w:val="Ca1"/>
    <w:basedOn w:val="Normal"/>
    <w:next w:val="FootnoteText"/>
    <w:link w:val="TextonotapieCar1"/>
    <w:uiPriority w:val="99"/>
    <w:unhideWhenUsed/>
    <w:qFormat/>
    <w:rsid w:val="0061137D"/>
    <w:pPr>
      <w:spacing w:after="0" w:line="240" w:lineRule="auto"/>
    </w:pPr>
    <w:rPr>
      <w:sz w:val="20"/>
      <w:szCs w:val="20"/>
      <w:lang w:val="es-MX"/>
    </w:rPr>
  </w:style>
  <w:style w:type="character" w:customStyle="1" w:styleId="TextonotapieCar1">
    <w:name w:val="Texto nota pie Car1"/>
    <w:aliases w:val="FA Fu Car,Footnote Text Char Char Char Char Char Car,Footnote Text Char Char Char Char Car,Footnote reference Car,Footnote Text Char Char Char Car,Footnote Text Cha Car,FA Fuﬂnotentext Car,Texto nota pie Car Car,FA Fu?notentext Car"/>
    <w:basedOn w:val="DefaultParagraphFont"/>
    <w:link w:val="Ca1"/>
    <w:uiPriority w:val="99"/>
    <w:rsid w:val="0061137D"/>
    <w:rPr>
      <w:sz w:val="20"/>
      <w:szCs w:val="20"/>
      <w:lang w:val="es-MX"/>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qFormat/>
    <w:rsid w:val="0061137D"/>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Footnote Text Cha,FA Fuﬂnotentext,Texto nota pie Car,Footnote Text Char Char,FA Fu?notentext,FA Fußnotentext,Ca"/>
    <w:basedOn w:val="Normal"/>
    <w:link w:val="FootnoteTextChar"/>
    <w:uiPriority w:val="99"/>
    <w:semiHidden/>
    <w:unhideWhenUsed/>
    <w:qFormat/>
    <w:rsid w:val="0061137D"/>
    <w:pPr>
      <w:spacing w:after="0" w:line="240" w:lineRule="auto"/>
    </w:pPr>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ﬂnotentext Char,Texto nota pie Car Char,Ca Char"/>
    <w:basedOn w:val="DefaultParagraphFont"/>
    <w:link w:val="FootnoteText"/>
    <w:uiPriority w:val="99"/>
    <w:semiHidden/>
    <w:rsid w:val="0061137D"/>
    <w:rPr>
      <w:sz w:val="20"/>
      <w:szCs w:val="20"/>
    </w:rPr>
  </w:style>
  <w:style w:type="paragraph" w:styleId="ListParagraph">
    <w:name w:val="List Paragraph"/>
    <w:aliases w:val="Footnote,List Paragraph2,List Paragraph1,Lista vistosa - Énfasis 11"/>
    <w:basedOn w:val="Normal"/>
    <w:link w:val="ListParagraphChar"/>
    <w:uiPriority w:val="99"/>
    <w:qFormat/>
    <w:rsid w:val="000205FA"/>
    <w:pPr>
      <w:ind w:left="720"/>
      <w:contextualSpacing/>
    </w:pPr>
  </w:style>
  <w:style w:type="character" w:styleId="Hyperlink">
    <w:name w:val="Hyperlink"/>
    <w:basedOn w:val="DefaultParagraphFont"/>
    <w:uiPriority w:val="99"/>
    <w:unhideWhenUsed/>
    <w:rsid w:val="00D0332C"/>
    <w:rPr>
      <w:color w:val="0563C1" w:themeColor="hyperlink"/>
      <w:u w:val="single"/>
    </w:rPr>
  </w:style>
  <w:style w:type="paragraph" w:styleId="Header">
    <w:name w:val="header"/>
    <w:basedOn w:val="Normal"/>
    <w:link w:val="HeaderChar"/>
    <w:uiPriority w:val="99"/>
    <w:unhideWhenUsed/>
    <w:rsid w:val="00D0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2C"/>
  </w:style>
  <w:style w:type="paragraph" w:styleId="Footer">
    <w:name w:val="footer"/>
    <w:basedOn w:val="Normal"/>
    <w:link w:val="FooterChar"/>
    <w:uiPriority w:val="99"/>
    <w:unhideWhenUsed/>
    <w:rsid w:val="00D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2C"/>
  </w:style>
  <w:style w:type="character" w:styleId="CommentReference">
    <w:name w:val="annotation reference"/>
    <w:basedOn w:val="DefaultParagraphFont"/>
    <w:uiPriority w:val="99"/>
    <w:semiHidden/>
    <w:unhideWhenUsed/>
    <w:rsid w:val="00DA25D4"/>
    <w:rPr>
      <w:sz w:val="16"/>
      <w:szCs w:val="16"/>
    </w:rPr>
  </w:style>
  <w:style w:type="paragraph" w:styleId="CommentText">
    <w:name w:val="annotation text"/>
    <w:basedOn w:val="Normal"/>
    <w:link w:val="CommentTextChar"/>
    <w:uiPriority w:val="99"/>
    <w:semiHidden/>
    <w:unhideWhenUsed/>
    <w:rsid w:val="00DA25D4"/>
    <w:pPr>
      <w:spacing w:line="240" w:lineRule="auto"/>
    </w:pPr>
    <w:rPr>
      <w:sz w:val="20"/>
      <w:szCs w:val="20"/>
    </w:rPr>
  </w:style>
  <w:style w:type="character" w:customStyle="1" w:styleId="CommentTextChar">
    <w:name w:val="Comment Text Char"/>
    <w:basedOn w:val="DefaultParagraphFont"/>
    <w:link w:val="CommentText"/>
    <w:uiPriority w:val="99"/>
    <w:semiHidden/>
    <w:rsid w:val="00DA25D4"/>
    <w:rPr>
      <w:sz w:val="20"/>
      <w:szCs w:val="20"/>
    </w:rPr>
  </w:style>
  <w:style w:type="paragraph" w:styleId="CommentSubject">
    <w:name w:val="annotation subject"/>
    <w:basedOn w:val="CommentText"/>
    <w:next w:val="CommentText"/>
    <w:link w:val="CommentSubjectChar"/>
    <w:uiPriority w:val="99"/>
    <w:semiHidden/>
    <w:unhideWhenUsed/>
    <w:rsid w:val="00DA25D4"/>
    <w:rPr>
      <w:b/>
      <w:bCs/>
    </w:rPr>
  </w:style>
  <w:style w:type="character" w:customStyle="1" w:styleId="CommentSubjectChar">
    <w:name w:val="Comment Subject Char"/>
    <w:basedOn w:val="CommentTextChar"/>
    <w:link w:val="CommentSubject"/>
    <w:uiPriority w:val="99"/>
    <w:semiHidden/>
    <w:rsid w:val="00DA25D4"/>
    <w:rPr>
      <w:b/>
      <w:bCs/>
      <w:sz w:val="20"/>
      <w:szCs w:val="20"/>
    </w:rPr>
  </w:style>
  <w:style w:type="paragraph" w:styleId="BalloonText">
    <w:name w:val="Balloon Text"/>
    <w:basedOn w:val="Normal"/>
    <w:link w:val="BalloonTextChar"/>
    <w:uiPriority w:val="99"/>
    <w:semiHidden/>
    <w:unhideWhenUsed/>
    <w:rsid w:val="00DA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D4"/>
    <w:rPr>
      <w:rFonts w:ascii="Segoe UI" w:hAnsi="Segoe UI" w:cs="Segoe UI"/>
      <w:sz w:val="18"/>
      <w:szCs w:val="18"/>
    </w:rPr>
  </w:style>
  <w:style w:type="character" w:customStyle="1" w:styleId="ListParagraphChar">
    <w:name w:val="List Paragraph Char"/>
    <w:aliases w:val="Footnote Char,List Paragraph2 Char,List Paragraph1 Char,Lista vistosa - Énfasis 11 Char"/>
    <w:link w:val="ListParagraph"/>
    <w:uiPriority w:val="99"/>
    <w:locked/>
    <w:rsid w:val="0019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136">
      <w:bodyDiv w:val="1"/>
      <w:marLeft w:val="0"/>
      <w:marRight w:val="0"/>
      <w:marTop w:val="0"/>
      <w:marBottom w:val="0"/>
      <w:divBdr>
        <w:top w:val="none" w:sz="0" w:space="0" w:color="auto"/>
        <w:left w:val="none" w:sz="0" w:space="0" w:color="auto"/>
        <w:bottom w:val="none" w:sz="0" w:space="0" w:color="auto"/>
        <w:right w:val="none" w:sz="0" w:space="0" w:color="auto"/>
      </w:divBdr>
    </w:div>
    <w:div w:id="12065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perroneypreckel_07_12_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B86E-CEE2-4188-AE8A-4FC3B2FE28BD}">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FEA732F-19EC-4547-88B3-E5ED746CD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53472E-DC66-4850-AC8E-45A248AFC37F}">
  <ds:schemaRefs>
    <ds:schemaRef ds:uri="http://schemas.microsoft.com/sharepoint/v3/contenttype/forms"/>
  </ds:schemaRefs>
</ds:datastoreItem>
</file>

<file path=customXml/itemProps4.xml><?xml version="1.0" encoding="utf-8"?>
<ds:datastoreItem xmlns:ds="http://schemas.openxmlformats.org/officeDocument/2006/customXml" ds:itemID="{60B68FE5-1AC2-49B8-B717-734BB132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1271</Words>
  <Characters>7248</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3</cp:revision>
  <cp:lastPrinted>2019-01-29T21:57:00Z</cp:lastPrinted>
  <dcterms:created xsi:type="dcterms:W3CDTF">2019-01-30T17:53:00Z</dcterms:created>
  <dcterms:modified xsi:type="dcterms:W3CDTF">2019-01-30T18:58:00Z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