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2BAB1" w14:textId="77777777" w:rsidR="002C7584" w:rsidRDefault="002C7584" w:rsidP="00594851">
      <w:pPr>
        <w:tabs>
          <w:tab w:val="left" w:pos="567"/>
        </w:tabs>
        <w:jc w:val="center"/>
        <w:rPr>
          <w:rFonts w:eastAsiaTheme="minorHAnsi" w:cstheme="minorBidi"/>
          <w:b/>
          <w:szCs w:val="22"/>
          <w:lang w:val="es-MX"/>
        </w:rPr>
      </w:pPr>
      <w:bookmarkStart w:id="0" w:name="_GoBack"/>
      <w:bookmarkEnd w:id="0"/>
    </w:p>
    <w:p w14:paraId="45F0E614" w14:textId="77777777" w:rsidR="005C5BB3" w:rsidRDefault="005C5BB3" w:rsidP="00594851">
      <w:pPr>
        <w:tabs>
          <w:tab w:val="left" w:pos="567"/>
        </w:tabs>
        <w:jc w:val="center"/>
        <w:rPr>
          <w:rFonts w:eastAsiaTheme="minorHAnsi" w:cstheme="minorBidi"/>
          <w:b/>
          <w:szCs w:val="22"/>
          <w:lang w:val="es-MX"/>
        </w:rPr>
      </w:pPr>
    </w:p>
    <w:p w14:paraId="45B75592" w14:textId="77777777" w:rsidR="005C5BB3" w:rsidRDefault="005C5BB3" w:rsidP="00594851">
      <w:pPr>
        <w:tabs>
          <w:tab w:val="left" w:pos="567"/>
        </w:tabs>
        <w:jc w:val="center"/>
        <w:rPr>
          <w:rFonts w:eastAsiaTheme="minorHAnsi" w:cstheme="minorBidi"/>
          <w:b/>
          <w:szCs w:val="22"/>
          <w:lang w:val="es-MX"/>
        </w:rPr>
      </w:pPr>
    </w:p>
    <w:p w14:paraId="255AA6BF" w14:textId="77777777" w:rsidR="005C5BB3" w:rsidRDefault="005C5BB3" w:rsidP="00594851">
      <w:pPr>
        <w:tabs>
          <w:tab w:val="left" w:pos="567"/>
        </w:tabs>
        <w:jc w:val="center"/>
        <w:rPr>
          <w:rFonts w:eastAsiaTheme="minorHAnsi" w:cstheme="minorBidi"/>
          <w:b/>
          <w:szCs w:val="22"/>
          <w:lang w:val="es-MX"/>
        </w:rPr>
      </w:pPr>
    </w:p>
    <w:p w14:paraId="21BBA5A9" w14:textId="77777777" w:rsidR="00594851" w:rsidRPr="00CB6343" w:rsidRDefault="00594851" w:rsidP="00594851">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36CF07AE" w14:textId="77777777" w:rsidR="00AC7107" w:rsidRPr="00284EAE" w:rsidRDefault="00AC7107" w:rsidP="00AC7107">
      <w:pPr>
        <w:pStyle w:val="Title"/>
        <w:tabs>
          <w:tab w:val="left" w:pos="567"/>
        </w:tabs>
        <w:rPr>
          <w:spacing w:val="-4"/>
          <w:lang w:val="es-CR"/>
        </w:rPr>
      </w:pPr>
      <w:r w:rsidRPr="00284EAE">
        <w:rPr>
          <w:spacing w:val="-4"/>
          <w:lang w:val="es-CR"/>
        </w:rPr>
        <w:t>CORTE INTERAMERICANA DE DERECHOS HUMANOS</w:t>
      </w:r>
      <w:r w:rsidRPr="00284EAE">
        <w:rPr>
          <w:rStyle w:val="FootnoteReference"/>
          <w:spacing w:val="-4"/>
          <w:szCs w:val="20"/>
          <w:lang w:val="es-ES_tradnl"/>
        </w:rPr>
        <w:footnoteReference w:customMarkFollows="1" w:id="1"/>
        <w:t>*</w:t>
      </w:r>
    </w:p>
    <w:p w14:paraId="3F667C65" w14:textId="77777777" w:rsidR="00594851" w:rsidRPr="00CB6343" w:rsidRDefault="00594851" w:rsidP="00594851">
      <w:pPr>
        <w:tabs>
          <w:tab w:val="left" w:pos="567"/>
        </w:tabs>
        <w:jc w:val="center"/>
        <w:rPr>
          <w:rFonts w:ascii="Garamond" w:eastAsiaTheme="minorHAnsi" w:hAnsi="Garamond" w:cstheme="minorBidi"/>
          <w:b/>
          <w:sz w:val="24"/>
          <w:szCs w:val="22"/>
          <w:lang w:val="es-ES_tradnl"/>
        </w:rPr>
      </w:pPr>
    </w:p>
    <w:p w14:paraId="59BF14E4" w14:textId="77777777" w:rsidR="00594851" w:rsidRPr="00CB6343" w:rsidRDefault="00594851" w:rsidP="00594851">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3F490A">
        <w:rPr>
          <w:rFonts w:eastAsiaTheme="minorHAnsi" w:cstheme="minorBidi"/>
          <w:b/>
          <w:szCs w:val="22"/>
          <w:lang w:val="es-MX"/>
        </w:rPr>
        <w:t>27</w:t>
      </w:r>
      <w:r>
        <w:rPr>
          <w:rFonts w:eastAsiaTheme="minorHAnsi" w:cstheme="minorBidi"/>
          <w:b/>
          <w:szCs w:val="22"/>
          <w:lang w:val="es-GT"/>
        </w:rPr>
        <w:t xml:space="preserve"> DE ENERO </w:t>
      </w:r>
      <w:r w:rsidR="00653215">
        <w:rPr>
          <w:rFonts w:eastAsiaTheme="minorHAnsi" w:cstheme="minorBidi"/>
          <w:b/>
          <w:szCs w:val="22"/>
          <w:lang w:val="es-MX"/>
        </w:rPr>
        <w:t>DE 2020</w:t>
      </w:r>
    </w:p>
    <w:p w14:paraId="129165BE" w14:textId="77777777" w:rsidR="00594851" w:rsidRPr="006A6717" w:rsidRDefault="00594851" w:rsidP="00594851">
      <w:pPr>
        <w:tabs>
          <w:tab w:val="left" w:pos="567"/>
          <w:tab w:val="left" w:pos="3709"/>
        </w:tabs>
        <w:rPr>
          <w:rFonts w:eastAsiaTheme="minorHAnsi" w:cstheme="minorBidi"/>
          <w:b/>
          <w:szCs w:val="22"/>
          <w:lang w:val="es-CR"/>
        </w:rPr>
      </w:pPr>
    </w:p>
    <w:p w14:paraId="6EF8E79D" w14:textId="77777777" w:rsidR="00594851" w:rsidRPr="006A6717" w:rsidRDefault="00594851" w:rsidP="00594851">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CASO </w:t>
      </w:r>
      <w:r w:rsidR="00653215">
        <w:rPr>
          <w:rFonts w:eastAsiaTheme="minorHAnsi" w:cstheme="minorBidi"/>
          <w:b/>
          <w:szCs w:val="22"/>
          <w:lang w:val="es-CR"/>
        </w:rPr>
        <w:t>PETRO URREGO VS. COLOMBIA</w:t>
      </w:r>
    </w:p>
    <w:p w14:paraId="5DDA57B6" w14:textId="77777777" w:rsidR="00594851" w:rsidRPr="006A6717" w:rsidRDefault="00594851" w:rsidP="00594851">
      <w:pPr>
        <w:tabs>
          <w:tab w:val="left" w:pos="567"/>
        </w:tabs>
        <w:jc w:val="both"/>
        <w:rPr>
          <w:rFonts w:asciiTheme="minorHAnsi" w:eastAsiaTheme="minorHAnsi" w:hAnsiTheme="minorHAnsi" w:cstheme="minorBidi"/>
          <w:sz w:val="22"/>
          <w:szCs w:val="22"/>
          <w:lang w:val="es-CR"/>
        </w:rPr>
      </w:pPr>
    </w:p>
    <w:p w14:paraId="1C63CDB1" w14:textId="77777777" w:rsidR="00594851" w:rsidRPr="006A6717" w:rsidRDefault="00594851" w:rsidP="00594851">
      <w:pPr>
        <w:tabs>
          <w:tab w:val="left" w:pos="567"/>
        </w:tabs>
        <w:jc w:val="both"/>
        <w:rPr>
          <w:rFonts w:asciiTheme="minorHAnsi" w:eastAsiaTheme="minorHAnsi" w:hAnsiTheme="minorHAnsi" w:cstheme="minorBidi"/>
          <w:sz w:val="22"/>
          <w:szCs w:val="22"/>
          <w:lang w:val="es-CR"/>
        </w:rPr>
      </w:pPr>
    </w:p>
    <w:p w14:paraId="3BD6BA58" w14:textId="77777777" w:rsidR="00594851" w:rsidRPr="00CB6343" w:rsidRDefault="00594851" w:rsidP="00594851">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14:paraId="37B7A0E7" w14:textId="77777777" w:rsidR="00594851" w:rsidRPr="00CB6343" w:rsidRDefault="00594851" w:rsidP="00594851">
      <w:pPr>
        <w:tabs>
          <w:tab w:val="left" w:pos="567"/>
        </w:tabs>
        <w:jc w:val="both"/>
        <w:rPr>
          <w:rFonts w:eastAsiaTheme="minorHAnsi" w:cstheme="minorBidi"/>
          <w:b/>
          <w:szCs w:val="22"/>
          <w:lang w:val="es-MX"/>
        </w:rPr>
      </w:pPr>
    </w:p>
    <w:p w14:paraId="1AA49D14" w14:textId="77777777" w:rsidR="00594851" w:rsidRDefault="00594851" w:rsidP="00A809F1">
      <w:pPr>
        <w:pStyle w:val="Numberedparagraphs"/>
        <w:tabs>
          <w:tab w:val="left" w:pos="567"/>
        </w:tabs>
      </w:pPr>
      <w:r w:rsidRPr="00594851">
        <w:t>La Resolución del Presidente de la Corte Interamericana de Derechos Humanos (e</w:t>
      </w:r>
      <w:r w:rsidR="00B44465">
        <w:t xml:space="preserve">n adelante “el Presidente”) de </w:t>
      </w:r>
      <w:r w:rsidR="00653215">
        <w:t>12</w:t>
      </w:r>
      <w:r w:rsidR="00B44465">
        <w:t xml:space="preserve"> de diciembre</w:t>
      </w:r>
      <w:r w:rsidR="00653215">
        <w:t xml:space="preserve"> de 2019</w:t>
      </w:r>
      <w:r w:rsidRPr="00594851">
        <w:t xml:space="preserve"> (en adelante “la Resolución del Presidente”) mediante la cual, </w:t>
      </w:r>
      <w:r w:rsidRPr="00B44465">
        <w:rPr>
          <w:i/>
        </w:rPr>
        <w:t xml:space="preserve">inter </w:t>
      </w:r>
      <w:proofErr w:type="spellStart"/>
      <w:r w:rsidRPr="00B44465">
        <w:rPr>
          <w:i/>
        </w:rPr>
        <w:t>alia</w:t>
      </w:r>
      <w:proofErr w:type="spellEnd"/>
      <w:r w:rsidRPr="00594851">
        <w:t xml:space="preserve">, ordenó la recepción de diversas declaraciones en audiencia pública y mediante </w:t>
      </w:r>
      <w:r w:rsidRPr="00B44465">
        <w:rPr>
          <w:i/>
        </w:rPr>
        <w:t>affid</w:t>
      </w:r>
      <w:r w:rsidR="00A549D7">
        <w:rPr>
          <w:i/>
        </w:rPr>
        <w:t>a</w:t>
      </w:r>
      <w:r w:rsidRPr="00B44465">
        <w:rPr>
          <w:i/>
        </w:rPr>
        <w:t>vit</w:t>
      </w:r>
      <w:r w:rsidRPr="00594851">
        <w:t xml:space="preserve"> y convocó a la Comisión Interamericana de Derecho</w:t>
      </w:r>
      <w:r w:rsidR="00134713">
        <w:t>s Humanos (en adelante también</w:t>
      </w:r>
      <w:r w:rsidR="00314B3F">
        <w:t xml:space="preserve"> “la Comisión”), </w:t>
      </w:r>
      <w:r w:rsidR="00653215">
        <w:t>a los representantes de la presunta víctima</w:t>
      </w:r>
      <w:r w:rsidR="001779B3">
        <w:t xml:space="preserve"> (en adelante también “</w:t>
      </w:r>
      <w:r w:rsidR="00653215">
        <w:t>los representantes</w:t>
      </w:r>
      <w:r w:rsidRPr="00594851">
        <w:t xml:space="preserve">”) y </w:t>
      </w:r>
      <w:r w:rsidR="00134713">
        <w:t xml:space="preserve">a la </w:t>
      </w:r>
      <w:r w:rsidR="00653215">
        <w:t>República de Colombia</w:t>
      </w:r>
      <w:r w:rsidRPr="00594851">
        <w:t xml:space="preserve"> (en adelante “el Estado” o “</w:t>
      </w:r>
      <w:r w:rsidR="00653215">
        <w:t>Colombia</w:t>
      </w:r>
      <w:r w:rsidRPr="00594851">
        <w:t>”) a una aud</w:t>
      </w:r>
      <w:r w:rsidR="00653215">
        <w:t>iencia pública a celebrarse el 6</w:t>
      </w:r>
      <w:r w:rsidR="00B44465">
        <w:t xml:space="preserve"> </w:t>
      </w:r>
      <w:r w:rsidR="00653215">
        <w:t>y 7 de febrero de 2020</w:t>
      </w:r>
      <w:r w:rsidRPr="00594851">
        <w:t xml:space="preserve"> para recibir sus alegatos finales orales so</w:t>
      </w:r>
      <w:r w:rsidR="00B44465">
        <w:t>bre las excepciones preliminares,</w:t>
      </w:r>
      <w:r w:rsidRPr="00594851">
        <w:t xml:space="preserve"> </w:t>
      </w:r>
      <w:r w:rsidR="008D67EA">
        <w:t xml:space="preserve">y </w:t>
      </w:r>
      <w:r w:rsidRPr="00594851">
        <w:t>eventuales fondo, reparaciones y costas en el presente caso</w:t>
      </w:r>
      <w:r w:rsidR="008D67EA">
        <w:t>.</w:t>
      </w:r>
    </w:p>
    <w:p w14:paraId="382AD5F8" w14:textId="77777777" w:rsidR="00653215" w:rsidRDefault="00653215" w:rsidP="00653215">
      <w:pPr>
        <w:pStyle w:val="Numberedparagraphs"/>
        <w:numPr>
          <w:ilvl w:val="0"/>
          <w:numId w:val="0"/>
        </w:numPr>
        <w:tabs>
          <w:tab w:val="left" w:pos="567"/>
        </w:tabs>
      </w:pPr>
    </w:p>
    <w:p w14:paraId="5E5F4C6E" w14:textId="77777777" w:rsidR="00653215" w:rsidRDefault="00653215" w:rsidP="00A809F1">
      <w:pPr>
        <w:pStyle w:val="Numberedparagraphs"/>
        <w:tabs>
          <w:tab w:val="left" w:pos="567"/>
        </w:tabs>
      </w:pPr>
      <w:r>
        <w:t>El escrito de 17 de diciembre de 2019, mediante el cual los representantes de la presunta víctima se dirigieron a la Corte “con el propósito de recurrir la Resolución del Presidente de 12 de diciembre de 2019 […] en particular los considerandos 21 a 24, mediante los cuales analiza la prueba y concluye que ‘rechaza el ofrecimiento de los peritajes de Alberto Yepes Palacio, Francisco Gutiérrez Sanín, Julio César Ortiz y Olga Lucía Durán, y del Instituto de Estudios Socio Históricos Fray Alonso de Zamora”, con el objetivo de solicitar “se revoque parcialmente la decisión y en su lugar se disponga la admisión de la prueba ofrecida por los representantes”.</w:t>
      </w:r>
    </w:p>
    <w:p w14:paraId="090400CA" w14:textId="77777777" w:rsidR="00594851" w:rsidRPr="00AA5469" w:rsidRDefault="00594851" w:rsidP="00A809F1">
      <w:pPr>
        <w:pStyle w:val="Numberedparagraphs"/>
        <w:numPr>
          <w:ilvl w:val="0"/>
          <w:numId w:val="0"/>
        </w:numPr>
        <w:tabs>
          <w:tab w:val="left" w:pos="567"/>
        </w:tabs>
      </w:pPr>
    </w:p>
    <w:p w14:paraId="799EFD47" w14:textId="77777777" w:rsidR="0030501A" w:rsidRPr="00A330CE" w:rsidRDefault="00A330CE" w:rsidP="00A809F1">
      <w:pPr>
        <w:pStyle w:val="Numberedparagraphs"/>
        <w:tabs>
          <w:tab w:val="left" w:pos="567"/>
        </w:tabs>
      </w:pPr>
      <w:r w:rsidRPr="00A330CE">
        <w:t xml:space="preserve">El </w:t>
      </w:r>
      <w:r>
        <w:t>escrito de 24 de diciembre de 2019, mediante el cual el Estado recurrió la decisión del Presidente, de forma que “</w:t>
      </w:r>
      <w:proofErr w:type="spellStart"/>
      <w:r>
        <w:t>solicit</w:t>
      </w:r>
      <w:proofErr w:type="spellEnd"/>
      <w:r>
        <w:t>[</w:t>
      </w:r>
      <w:proofErr w:type="spellStart"/>
      <w:r>
        <w:t>ó</w:t>
      </w:r>
      <w:proofErr w:type="spellEnd"/>
      <w:r>
        <w:t xml:space="preserve">] que la Corte modifique la Resolución de 12 de diciembre de 2019 en el sentido de convocar a </w:t>
      </w:r>
      <w:proofErr w:type="spellStart"/>
      <w:r>
        <w:t>Matthias</w:t>
      </w:r>
      <w:proofErr w:type="spellEnd"/>
      <w:r>
        <w:t xml:space="preserve"> </w:t>
      </w:r>
      <w:proofErr w:type="spellStart"/>
      <w:r>
        <w:t>Herdegen</w:t>
      </w:r>
      <w:proofErr w:type="spellEnd"/>
      <w:r w:rsidR="00861C67">
        <w:t xml:space="preserve"> para que su declaración sea recibida en audiencia pública. Lo anterior, considerando que el asunto sobre el cual versa el </w:t>
      </w:r>
      <w:r w:rsidR="002E753B">
        <w:t>dictamen pericial es un asunto de interés p</w:t>
      </w:r>
      <w:r w:rsidR="00FC2F85">
        <w:t>úblico interamericano, y teniendo en cuenta los principios de inmediación de la prueba e igualdad de armas”.</w:t>
      </w:r>
    </w:p>
    <w:p w14:paraId="636779F6" w14:textId="77777777" w:rsidR="00DA400F" w:rsidRPr="00134713" w:rsidRDefault="00DA400F" w:rsidP="00A809F1">
      <w:pPr>
        <w:tabs>
          <w:tab w:val="left" w:pos="567"/>
        </w:tabs>
        <w:rPr>
          <w:lang w:val="es-CR"/>
        </w:rPr>
      </w:pPr>
    </w:p>
    <w:p w14:paraId="13BEC53C" w14:textId="77777777" w:rsidR="00FC2F85" w:rsidRDefault="00FC2F85" w:rsidP="00FC2F85">
      <w:pPr>
        <w:pStyle w:val="Numberedparagraphs"/>
        <w:tabs>
          <w:tab w:val="left" w:pos="567"/>
        </w:tabs>
      </w:pPr>
      <w:r>
        <w:t xml:space="preserve">Las comunicaciones de la Secretaría del Tribunal de </w:t>
      </w:r>
      <w:r w:rsidR="008316AB">
        <w:t>20</w:t>
      </w:r>
      <w:r>
        <w:t xml:space="preserve"> de </w:t>
      </w:r>
      <w:r w:rsidR="008316AB">
        <w:t>diciembre</w:t>
      </w:r>
      <w:r>
        <w:t xml:space="preserve"> de 2019</w:t>
      </w:r>
      <w:r w:rsidR="008316AB">
        <w:t xml:space="preserve"> y 8 de enero de 2020</w:t>
      </w:r>
      <w:r>
        <w:t xml:space="preserve">, mediante las cuales, siguiendo instrucciones </w:t>
      </w:r>
      <w:r w:rsidR="00705036">
        <w:t>de la Presidencia de la Corte</w:t>
      </w:r>
      <w:r>
        <w:t xml:space="preserve">, </w:t>
      </w:r>
      <w:r w:rsidR="00705036">
        <w:t xml:space="preserve">se </w:t>
      </w:r>
      <w:r>
        <w:t>otorgó plazo a la Comisión</w:t>
      </w:r>
      <w:r w:rsidR="008316AB">
        <w:t xml:space="preserve"> y a las partes</w:t>
      </w:r>
      <w:r>
        <w:t xml:space="preserve"> para que presentaran las observaciones que estimaren pertinentes a la</w:t>
      </w:r>
      <w:r w:rsidR="008316AB">
        <w:t>s</w:t>
      </w:r>
      <w:r>
        <w:t xml:space="preserve"> solicitud</w:t>
      </w:r>
      <w:r w:rsidR="008316AB">
        <w:t>es</w:t>
      </w:r>
      <w:r>
        <w:t xml:space="preserve"> de reconsideración.</w:t>
      </w:r>
    </w:p>
    <w:p w14:paraId="18A153BC" w14:textId="77777777" w:rsidR="00FC2F85" w:rsidRDefault="00FC2F85" w:rsidP="00FC2F85">
      <w:pPr>
        <w:pStyle w:val="Numberedparagraphs"/>
        <w:numPr>
          <w:ilvl w:val="0"/>
          <w:numId w:val="0"/>
        </w:numPr>
        <w:tabs>
          <w:tab w:val="left" w:pos="567"/>
        </w:tabs>
      </w:pPr>
    </w:p>
    <w:p w14:paraId="00160AF9" w14:textId="77777777" w:rsidR="001779B3" w:rsidRPr="0030501A" w:rsidRDefault="008316AB" w:rsidP="00A809F1">
      <w:pPr>
        <w:pStyle w:val="Numberedparagraphs"/>
        <w:tabs>
          <w:tab w:val="left" w:pos="567"/>
        </w:tabs>
      </w:pPr>
      <w:r>
        <w:rPr>
          <w:lang w:val="es-CR"/>
        </w:rPr>
        <w:t>Los escritos de 8 de enero</w:t>
      </w:r>
      <w:r w:rsidR="00705036">
        <w:rPr>
          <w:lang w:val="es-CR"/>
        </w:rPr>
        <w:t xml:space="preserve"> y 13 de enero de 2020</w:t>
      </w:r>
      <w:r>
        <w:rPr>
          <w:lang w:val="es-CR"/>
        </w:rPr>
        <w:t xml:space="preserve">, </w:t>
      </w:r>
      <w:r w:rsidR="001779B3">
        <w:t xml:space="preserve">mediante </w:t>
      </w:r>
      <w:r w:rsidR="002C7584">
        <w:t xml:space="preserve">los </w:t>
      </w:r>
      <w:r w:rsidR="001779B3">
        <w:t>cual</w:t>
      </w:r>
      <w:r w:rsidR="002C7584">
        <w:t>es</w:t>
      </w:r>
      <w:r w:rsidR="00705036">
        <w:t xml:space="preserve"> los</w:t>
      </w:r>
      <w:r w:rsidR="001779B3">
        <w:t xml:space="preserve"> representante</w:t>
      </w:r>
      <w:r w:rsidR="00705036">
        <w:t>s, el Estado</w:t>
      </w:r>
      <w:r w:rsidR="001779B3">
        <w:t xml:space="preserve"> </w:t>
      </w:r>
      <w:r w:rsidR="00A809F1">
        <w:t>y la Comisión, respectivamente, presentaron sus observaciones a la</w:t>
      </w:r>
      <w:r w:rsidR="00705036">
        <w:t>s</w:t>
      </w:r>
      <w:r w:rsidR="00A809F1">
        <w:t xml:space="preserve"> solicitud</w:t>
      </w:r>
      <w:r w:rsidR="00705036">
        <w:t>es</w:t>
      </w:r>
      <w:r w:rsidR="00A809F1">
        <w:t xml:space="preserve"> de reconsideración.</w:t>
      </w:r>
    </w:p>
    <w:p w14:paraId="68AFA45B" w14:textId="77777777" w:rsidR="00594851" w:rsidRPr="005C5BB3" w:rsidRDefault="00594851" w:rsidP="00594851">
      <w:pPr>
        <w:pStyle w:val="Numberedparagraphs"/>
        <w:numPr>
          <w:ilvl w:val="0"/>
          <w:numId w:val="0"/>
        </w:numPr>
        <w:tabs>
          <w:tab w:val="left" w:pos="567"/>
        </w:tabs>
        <w:rPr>
          <w:lang w:val="es-VE"/>
        </w:rPr>
      </w:pPr>
    </w:p>
    <w:p w14:paraId="35413637" w14:textId="77777777" w:rsidR="00594851" w:rsidRPr="00CB6343" w:rsidRDefault="00594851" w:rsidP="00594851">
      <w:pPr>
        <w:pStyle w:val="Numberedparagraphs"/>
        <w:numPr>
          <w:ilvl w:val="0"/>
          <w:numId w:val="0"/>
        </w:numPr>
        <w:tabs>
          <w:tab w:val="left" w:pos="567"/>
        </w:tabs>
        <w:rPr>
          <w:b/>
        </w:rPr>
      </w:pPr>
      <w:r>
        <w:rPr>
          <w:b/>
        </w:rPr>
        <w:t>CONSIDERANDO</w:t>
      </w:r>
      <w:r w:rsidR="002C7584">
        <w:rPr>
          <w:b/>
        </w:rPr>
        <w:t xml:space="preserve"> QUE</w:t>
      </w:r>
      <w:r w:rsidRPr="00CB6343">
        <w:rPr>
          <w:b/>
        </w:rPr>
        <w:t>:</w:t>
      </w:r>
    </w:p>
    <w:p w14:paraId="21C9A676" w14:textId="77777777" w:rsidR="00594851" w:rsidRPr="00F27801" w:rsidRDefault="00594851" w:rsidP="00594851">
      <w:pPr>
        <w:spacing w:line="200" w:lineRule="exact"/>
        <w:rPr>
          <w:rFonts w:ascii="Times New Roman" w:hAnsi="Times New Roman"/>
          <w:lang w:val="es-PE"/>
        </w:rPr>
      </w:pPr>
    </w:p>
    <w:p w14:paraId="5003C579" w14:textId="77777777" w:rsidR="00F92895" w:rsidRPr="00F92895" w:rsidRDefault="001779B3" w:rsidP="005C5BB3">
      <w:pPr>
        <w:pStyle w:val="ListParagraph"/>
        <w:numPr>
          <w:ilvl w:val="0"/>
          <w:numId w:val="3"/>
        </w:numPr>
        <w:tabs>
          <w:tab w:val="left" w:pos="540"/>
        </w:tabs>
        <w:spacing w:after="0" w:line="246" w:lineRule="auto"/>
        <w:ind w:left="0" w:right="4" w:firstLine="0"/>
        <w:jc w:val="both"/>
        <w:rPr>
          <w:rFonts w:eastAsia="Verdana"/>
          <w:lang w:val="es-PE"/>
        </w:rPr>
      </w:pPr>
      <w:r>
        <w:rPr>
          <w:rFonts w:ascii="Verdana" w:eastAsia="Verdana" w:hAnsi="Verdana"/>
          <w:sz w:val="20"/>
          <w:szCs w:val="20"/>
          <w:lang w:val="es-PE"/>
        </w:rPr>
        <w:t xml:space="preserve">Las decisiones del Presidente, que no sean de mero trámite, son recurribles ante la Corte Interamericana de Derechos Humanos </w:t>
      </w:r>
      <w:r w:rsidR="00F92895">
        <w:rPr>
          <w:rFonts w:ascii="Verdana" w:eastAsia="Verdana" w:hAnsi="Verdana"/>
          <w:sz w:val="20"/>
          <w:szCs w:val="20"/>
          <w:lang w:val="es-PE"/>
        </w:rPr>
        <w:t>(en adelante “la Corte” o “el Tribunal”, en los términos del artículo 31.2 del Reglamento de este tribunal (en adelante “el Reglamento”).</w:t>
      </w:r>
    </w:p>
    <w:p w14:paraId="3BBB8D2C" w14:textId="77777777" w:rsidR="00F92895" w:rsidRPr="001779B3" w:rsidRDefault="00F92895" w:rsidP="00F92895">
      <w:pPr>
        <w:pStyle w:val="ListParagraph"/>
        <w:tabs>
          <w:tab w:val="left" w:pos="540"/>
        </w:tabs>
        <w:spacing w:after="0" w:line="246" w:lineRule="auto"/>
        <w:ind w:left="0" w:right="440"/>
        <w:jc w:val="both"/>
        <w:rPr>
          <w:rFonts w:eastAsia="Verdana"/>
          <w:lang w:val="es-PE"/>
        </w:rPr>
      </w:pPr>
    </w:p>
    <w:p w14:paraId="25239F23" w14:textId="77777777" w:rsidR="00E248AF" w:rsidRDefault="00F11E17" w:rsidP="002C7584">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El ofrecimiento y la admisión de la prueba, así como la citación de presuntas víctimas, testigos y peritos se encuentran regulados en los artículos 35.1.f, 40.2.c, 41.1.c, 46, 47, 48, 50, 52.3, 57 y 58 del Reglamento.</w:t>
      </w:r>
    </w:p>
    <w:p w14:paraId="629CC67F" w14:textId="77777777" w:rsidR="00F11E17" w:rsidRPr="00F11E17" w:rsidRDefault="00F11E17" w:rsidP="002C7584">
      <w:pPr>
        <w:pStyle w:val="ListParagraph"/>
        <w:ind w:right="48"/>
        <w:rPr>
          <w:rFonts w:ascii="Verdana" w:eastAsia="Verdana" w:hAnsi="Verdana"/>
          <w:sz w:val="20"/>
          <w:szCs w:val="20"/>
          <w:lang w:val="es-PE"/>
        </w:rPr>
      </w:pPr>
    </w:p>
    <w:p w14:paraId="3377EC99" w14:textId="77777777" w:rsidR="00F11E17" w:rsidRDefault="00F11E17" w:rsidP="002C7584">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El Tribunal tiene amplias facultades en cuanto a la admisión y a la modalidad de recepción de la prueba, de conformidad con los artículos 46, 49 y 50 del Reglamento.</w:t>
      </w:r>
    </w:p>
    <w:p w14:paraId="1ABC8A18" w14:textId="77777777" w:rsidR="00C87D0C" w:rsidRDefault="00C87D0C" w:rsidP="00C87D0C">
      <w:pPr>
        <w:pStyle w:val="ListParagraph"/>
        <w:rPr>
          <w:rFonts w:ascii="Verdana" w:eastAsia="Verdana" w:hAnsi="Verdana"/>
          <w:sz w:val="20"/>
          <w:szCs w:val="20"/>
          <w:lang w:val="es-PE"/>
        </w:rPr>
      </w:pPr>
    </w:p>
    <w:p w14:paraId="4E0A6C65" w14:textId="77777777" w:rsidR="00704E6C" w:rsidRPr="00704E6C" w:rsidRDefault="00704E6C" w:rsidP="00704E6C">
      <w:pPr>
        <w:pStyle w:val="ListParagraph"/>
        <w:numPr>
          <w:ilvl w:val="0"/>
          <w:numId w:val="6"/>
        </w:numPr>
        <w:rPr>
          <w:rFonts w:ascii="Verdana" w:eastAsia="Verdana" w:hAnsi="Verdana"/>
          <w:b/>
          <w:i/>
          <w:sz w:val="20"/>
          <w:szCs w:val="20"/>
          <w:lang w:val="es-PE"/>
        </w:rPr>
      </w:pPr>
      <w:r>
        <w:rPr>
          <w:rFonts w:ascii="Verdana" w:eastAsia="Verdana" w:hAnsi="Verdana"/>
          <w:b/>
          <w:i/>
          <w:sz w:val="20"/>
          <w:szCs w:val="20"/>
          <w:lang w:val="es-PE"/>
        </w:rPr>
        <w:t>Respecto de la admisibilidad de la declaración de dos testigos ofrecidos por los representantes</w:t>
      </w:r>
    </w:p>
    <w:p w14:paraId="00ED48F2" w14:textId="77777777" w:rsidR="00704E6C" w:rsidRPr="00C87D0C" w:rsidRDefault="00704E6C" w:rsidP="00C87D0C">
      <w:pPr>
        <w:pStyle w:val="ListParagraph"/>
        <w:rPr>
          <w:rFonts w:ascii="Verdana" w:eastAsia="Verdana" w:hAnsi="Verdana"/>
          <w:sz w:val="20"/>
          <w:szCs w:val="20"/>
          <w:lang w:val="es-PE"/>
        </w:rPr>
      </w:pPr>
    </w:p>
    <w:p w14:paraId="2A140EC2" w14:textId="77777777" w:rsidR="00FA0E67" w:rsidRDefault="00704E6C" w:rsidP="00FA0E67">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L</w:t>
      </w:r>
      <w:r w:rsidR="00C87D0C">
        <w:rPr>
          <w:rFonts w:ascii="Verdana" w:eastAsia="Verdana" w:hAnsi="Verdana"/>
          <w:sz w:val="20"/>
          <w:szCs w:val="20"/>
          <w:lang w:val="es-PE"/>
        </w:rPr>
        <w:t xml:space="preserve">os </w:t>
      </w:r>
      <w:r w:rsidR="00C87D0C">
        <w:rPr>
          <w:rFonts w:ascii="Verdana" w:eastAsia="Verdana" w:hAnsi="Verdana"/>
          <w:b/>
          <w:i/>
          <w:sz w:val="20"/>
          <w:szCs w:val="20"/>
          <w:lang w:val="es-PE"/>
        </w:rPr>
        <w:t xml:space="preserve">representantes </w:t>
      </w:r>
      <w:r w:rsidR="00C87D0C">
        <w:rPr>
          <w:rFonts w:ascii="Verdana" w:eastAsia="Verdana" w:hAnsi="Verdana"/>
          <w:sz w:val="20"/>
          <w:szCs w:val="20"/>
          <w:lang w:val="es-PE"/>
        </w:rPr>
        <w:t>alegaron que “[s]i bien, en nuestro escrito definitivo de declarantes, el abogado Ortiz y la abogada Durán fueron incluidos en el listado de peritos, ello obedeció a un error involuntario; ya que en nuestra comprensión, claramente no pueden actuar en la condición de peritos dada su relación con la víctima y conocimiento previo del caso. Así lo demuestra el objeto del testimonio de los abogados, el cual reitera la solicitud en los términos exactos del ESAP.” En razón de ello, y de acuerdo con los criterios sobre flexibilidad de la admisión y valoración probatoria, solicitaron que “se admitan como declarantes a los señores Julio César Ortiz y Olga Lucía Durán”. Al respecto,</w:t>
      </w:r>
      <w:r w:rsidR="00C87D0C">
        <w:rPr>
          <w:rFonts w:ascii="Verdana" w:eastAsia="Verdana" w:hAnsi="Verdana"/>
          <w:b/>
          <w:i/>
          <w:sz w:val="20"/>
          <w:szCs w:val="20"/>
          <w:lang w:val="es-PE"/>
        </w:rPr>
        <w:t xml:space="preserve"> </w:t>
      </w:r>
      <w:r w:rsidR="00C87D0C">
        <w:rPr>
          <w:rFonts w:ascii="Verdana" w:eastAsia="Verdana" w:hAnsi="Verdana"/>
          <w:sz w:val="20"/>
          <w:szCs w:val="20"/>
          <w:lang w:val="es-PE"/>
        </w:rPr>
        <w:t xml:space="preserve">el </w:t>
      </w:r>
      <w:r w:rsidR="00ED77DA">
        <w:rPr>
          <w:rFonts w:ascii="Verdana" w:eastAsia="Verdana" w:hAnsi="Verdana"/>
          <w:b/>
          <w:i/>
          <w:sz w:val="20"/>
          <w:szCs w:val="20"/>
          <w:lang w:val="es-PE"/>
        </w:rPr>
        <w:t xml:space="preserve">Estado </w:t>
      </w:r>
      <w:r w:rsidR="00ED77DA">
        <w:rPr>
          <w:rFonts w:ascii="Verdana" w:eastAsia="Verdana" w:hAnsi="Verdana"/>
          <w:sz w:val="20"/>
          <w:szCs w:val="20"/>
          <w:lang w:val="es-PE"/>
        </w:rPr>
        <w:t xml:space="preserve">alegó que la lista definitiva de declarantes es “la oportunidad procesal únicamente para que los representantes confirmen o desistan del ofrecimiento de las declaraciones ofrecidas en el momento procesal correspondiente” por lo que la prueba testimonial del señor Ortiz y Durán no fue confirmada como tal en las listas definitivas y por lo tanto debe ser rechazada. La </w:t>
      </w:r>
      <w:r w:rsidR="00ED77DA">
        <w:rPr>
          <w:rFonts w:ascii="Verdana" w:eastAsia="Verdana" w:hAnsi="Verdana"/>
          <w:b/>
          <w:i/>
          <w:sz w:val="20"/>
          <w:szCs w:val="20"/>
          <w:lang w:val="es-PE"/>
        </w:rPr>
        <w:t xml:space="preserve">Comisión </w:t>
      </w:r>
      <w:r w:rsidR="00ED77DA">
        <w:rPr>
          <w:rFonts w:ascii="Verdana" w:eastAsia="Verdana" w:hAnsi="Verdana"/>
          <w:sz w:val="20"/>
          <w:szCs w:val="20"/>
          <w:lang w:val="es-PE"/>
        </w:rPr>
        <w:t>observó que las declaraciones de Julio César Ortiz y Olga Lucía Durán fueron ofrecidas en el momento procesal oportuno, es decir en su escrito de solicitudes, argumentos y pruebas, por lo que debe ser admitidas.</w:t>
      </w:r>
    </w:p>
    <w:p w14:paraId="5E86EDB6" w14:textId="77777777" w:rsidR="00FA0E67" w:rsidRDefault="00FA0E67" w:rsidP="00FA0E67">
      <w:pPr>
        <w:pStyle w:val="ListParagraph"/>
        <w:tabs>
          <w:tab w:val="left" w:pos="540"/>
        </w:tabs>
        <w:spacing w:after="0" w:line="246" w:lineRule="auto"/>
        <w:ind w:left="0" w:right="48"/>
        <w:jc w:val="both"/>
        <w:rPr>
          <w:rFonts w:ascii="Verdana" w:eastAsia="Verdana" w:hAnsi="Verdana"/>
          <w:sz w:val="20"/>
          <w:szCs w:val="20"/>
          <w:lang w:val="es-PE"/>
        </w:rPr>
      </w:pPr>
    </w:p>
    <w:p w14:paraId="795A3E29" w14:textId="77777777" w:rsidR="00773F8C" w:rsidRPr="00773F8C" w:rsidRDefault="005E4000" w:rsidP="00773F8C">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sidRPr="00FA0E67">
        <w:rPr>
          <w:rFonts w:ascii="Verdana" w:hAnsi="Verdana"/>
          <w:sz w:val="20"/>
          <w:szCs w:val="20"/>
          <w:lang w:val="es-MX"/>
        </w:rPr>
        <w:t>La Corte</w:t>
      </w:r>
      <w:r w:rsidR="00CD1E65" w:rsidRPr="00FA0E67">
        <w:rPr>
          <w:rFonts w:ascii="Verdana" w:hAnsi="Verdana"/>
          <w:sz w:val="20"/>
          <w:szCs w:val="20"/>
          <w:lang w:val="es-MX"/>
        </w:rPr>
        <w:t xml:space="preserve"> constata que</w:t>
      </w:r>
      <w:r w:rsidR="00442ADE">
        <w:rPr>
          <w:rFonts w:ascii="Verdana" w:hAnsi="Verdana"/>
          <w:sz w:val="20"/>
          <w:szCs w:val="20"/>
          <w:lang w:val="es-MX"/>
        </w:rPr>
        <w:t xml:space="preserve"> las referidas declaraciones del señor </w:t>
      </w:r>
      <w:r w:rsidR="008336DD" w:rsidRPr="00FA0E67">
        <w:rPr>
          <w:rFonts w:ascii="Verdana" w:hAnsi="Verdana"/>
          <w:sz w:val="20"/>
          <w:szCs w:val="20"/>
          <w:lang w:val="es-MX"/>
        </w:rPr>
        <w:t xml:space="preserve">Ortiz y </w:t>
      </w:r>
      <w:r w:rsidR="00442ADE">
        <w:rPr>
          <w:rFonts w:ascii="Verdana" w:hAnsi="Verdana"/>
          <w:sz w:val="20"/>
          <w:szCs w:val="20"/>
          <w:lang w:val="es-MX"/>
        </w:rPr>
        <w:t xml:space="preserve">la señora </w:t>
      </w:r>
      <w:r w:rsidR="008336DD" w:rsidRPr="00FA0E67">
        <w:rPr>
          <w:rFonts w:ascii="Verdana" w:hAnsi="Verdana"/>
          <w:sz w:val="20"/>
          <w:szCs w:val="20"/>
          <w:lang w:val="es-MX"/>
        </w:rPr>
        <w:t xml:space="preserve">Durán </w:t>
      </w:r>
      <w:r w:rsidR="00CD1E65" w:rsidRPr="00FA0E67">
        <w:rPr>
          <w:rFonts w:ascii="Verdana" w:hAnsi="Verdana"/>
          <w:sz w:val="20"/>
          <w:szCs w:val="20"/>
          <w:lang w:val="es-MX"/>
        </w:rPr>
        <w:t xml:space="preserve">fueron propuestas en </w:t>
      </w:r>
      <w:r w:rsidR="008336DD" w:rsidRPr="00FA0E67">
        <w:rPr>
          <w:rFonts w:ascii="Verdana" w:hAnsi="Verdana"/>
          <w:sz w:val="20"/>
          <w:szCs w:val="20"/>
          <w:lang w:val="es-MX"/>
        </w:rPr>
        <w:t>el escrito</w:t>
      </w:r>
      <w:r w:rsidR="00CD1E65" w:rsidRPr="00FA0E67">
        <w:rPr>
          <w:rFonts w:ascii="Verdana" w:hAnsi="Verdana"/>
          <w:sz w:val="20"/>
          <w:szCs w:val="20"/>
          <w:lang w:val="es-MX"/>
        </w:rPr>
        <w:t xml:space="preserve"> de solicitudes y pruebas</w:t>
      </w:r>
      <w:r w:rsidR="008336DD" w:rsidRPr="00FA0E67">
        <w:rPr>
          <w:rFonts w:ascii="Verdana" w:hAnsi="Verdana"/>
          <w:sz w:val="20"/>
          <w:szCs w:val="20"/>
          <w:lang w:val="es-MX"/>
        </w:rPr>
        <w:t xml:space="preserve"> como prueba testimonial, y posteriormente en sus listas definitivas fueron propuestas como prueba pericial</w:t>
      </w:r>
      <w:r w:rsidR="00CD1E65" w:rsidRPr="00FA0E67">
        <w:rPr>
          <w:rFonts w:ascii="Verdana" w:hAnsi="Verdana"/>
          <w:sz w:val="20"/>
          <w:szCs w:val="20"/>
          <w:lang w:val="es-MX"/>
        </w:rPr>
        <w:t>.</w:t>
      </w:r>
      <w:r w:rsidRPr="00FA0E67">
        <w:rPr>
          <w:rFonts w:ascii="Verdana" w:hAnsi="Verdana"/>
          <w:sz w:val="20"/>
          <w:szCs w:val="20"/>
          <w:lang w:val="es-MX"/>
        </w:rPr>
        <w:t xml:space="preserve"> En razón de ello, en aplicación del artículo 40.2.c. del Reglamento, el Presidente rechazó el ofrecimiento de dichas declaraciones</w:t>
      </w:r>
      <w:r w:rsidR="00442ADE">
        <w:rPr>
          <w:rFonts w:ascii="Verdana" w:hAnsi="Verdana"/>
          <w:sz w:val="20"/>
          <w:szCs w:val="20"/>
          <w:lang w:val="es-MX"/>
        </w:rPr>
        <w:t xml:space="preserve"> en su resolución de 12 de diciembre de 2019</w:t>
      </w:r>
      <w:r w:rsidRPr="00FA0E67">
        <w:rPr>
          <w:rFonts w:ascii="Verdana" w:hAnsi="Verdana"/>
          <w:sz w:val="20"/>
          <w:szCs w:val="20"/>
          <w:lang w:val="es-MX"/>
        </w:rPr>
        <w:t>.</w:t>
      </w:r>
      <w:r w:rsidR="00CD1E65" w:rsidRPr="00FA0E67">
        <w:rPr>
          <w:rFonts w:ascii="Verdana" w:hAnsi="Verdana"/>
          <w:sz w:val="20"/>
          <w:szCs w:val="20"/>
          <w:lang w:val="es-MX"/>
        </w:rPr>
        <w:t xml:space="preserve"> Al respecto, </w:t>
      </w:r>
      <w:r w:rsidR="008336DD" w:rsidRPr="00FA0E67">
        <w:rPr>
          <w:rFonts w:ascii="Verdana" w:hAnsi="Verdana"/>
          <w:sz w:val="20"/>
          <w:szCs w:val="20"/>
          <w:lang w:val="es-MX"/>
        </w:rPr>
        <w:t>la Corte</w:t>
      </w:r>
      <w:r w:rsidR="00CD1E65" w:rsidRPr="00FA0E67">
        <w:rPr>
          <w:rFonts w:ascii="Verdana" w:hAnsi="Verdana"/>
          <w:sz w:val="20"/>
          <w:szCs w:val="20"/>
        </w:rPr>
        <w:t xml:space="preserve"> recuerda que el momento procesal oportuno para que los representantes propongan su prueba testimonial lo constituye el escrito de solicitudes, argumentos y pruebas</w:t>
      </w:r>
      <w:r w:rsidR="00CD1E65" w:rsidRPr="00FA0E67">
        <w:rPr>
          <w:rFonts w:ascii="Verdana" w:hAnsi="Verdana"/>
          <w:sz w:val="20"/>
          <w:szCs w:val="20"/>
          <w:vertAlign w:val="superscript"/>
        </w:rPr>
        <w:footnoteReference w:id="2"/>
      </w:r>
      <w:r w:rsidR="00CD1E65" w:rsidRPr="00FA0E67">
        <w:rPr>
          <w:rFonts w:ascii="Verdana" w:hAnsi="Verdana"/>
          <w:sz w:val="20"/>
          <w:szCs w:val="20"/>
        </w:rPr>
        <w:t>. La solicitud a las partes para que presenten una lista definitiva de las personas que proponen para que sean convocadas a declarar, no representa una nueva oportunidad procesal para ofrecer prueba</w:t>
      </w:r>
      <w:r w:rsidR="00CD1E65" w:rsidRPr="00FA0E67">
        <w:rPr>
          <w:rFonts w:ascii="Verdana" w:hAnsi="Verdana"/>
          <w:sz w:val="20"/>
          <w:szCs w:val="20"/>
          <w:vertAlign w:val="superscript"/>
        </w:rPr>
        <w:footnoteReference w:id="3"/>
      </w:r>
      <w:r w:rsidR="00CD1E65" w:rsidRPr="00FA0E67">
        <w:rPr>
          <w:rFonts w:ascii="Verdana" w:hAnsi="Verdana"/>
          <w:sz w:val="20"/>
          <w:szCs w:val="20"/>
        </w:rPr>
        <w:t>,</w:t>
      </w:r>
      <w:r w:rsidR="008336DD" w:rsidRPr="00FA0E67">
        <w:rPr>
          <w:rFonts w:ascii="Verdana" w:hAnsi="Verdana"/>
          <w:sz w:val="20"/>
          <w:szCs w:val="20"/>
        </w:rPr>
        <w:t xml:space="preserve"> o para modificar la </w:t>
      </w:r>
      <w:r w:rsidR="00FA0E67">
        <w:rPr>
          <w:rFonts w:ascii="Verdana" w:hAnsi="Verdana"/>
          <w:sz w:val="20"/>
          <w:szCs w:val="20"/>
        </w:rPr>
        <w:t>modalidad</w:t>
      </w:r>
      <w:r w:rsidR="008336DD" w:rsidRPr="00FA0E67">
        <w:rPr>
          <w:rFonts w:ascii="Verdana" w:hAnsi="Verdana"/>
          <w:sz w:val="20"/>
          <w:szCs w:val="20"/>
        </w:rPr>
        <w:t xml:space="preserve"> de la prueba ofrecida oportunamente,</w:t>
      </w:r>
      <w:r w:rsidR="00CD1E65" w:rsidRPr="00FA0E67">
        <w:rPr>
          <w:rFonts w:ascii="Verdana" w:hAnsi="Verdana"/>
          <w:sz w:val="20"/>
          <w:szCs w:val="20"/>
        </w:rPr>
        <w:t xml:space="preserve"> salvo las excepciones establecidas en el artículo 57.2 del Reglamento, esto es: fuerza mayor, impedimento grave o hechos supervinientes</w:t>
      </w:r>
      <w:r w:rsidR="00CD1E65" w:rsidRPr="00FA0E67">
        <w:rPr>
          <w:rFonts w:ascii="Verdana" w:hAnsi="Verdana"/>
          <w:sz w:val="20"/>
          <w:szCs w:val="20"/>
          <w:vertAlign w:val="superscript"/>
        </w:rPr>
        <w:footnoteReference w:id="4"/>
      </w:r>
      <w:r w:rsidR="00442ADE">
        <w:rPr>
          <w:rFonts w:ascii="Verdana" w:hAnsi="Verdana"/>
          <w:sz w:val="20"/>
          <w:szCs w:val="20"/>
        </w:rPr>
        <w:t>.</w:t>
      </w:r>
    </w:p>
    <w:p w14:paraId="160FA7BA" w14:textId="77777777" w:rsidR="00773F8C" w:rsidRDefault="00773F8C" w:rsidP="00773F8C">
      <w:pPr>
        <w:pStyle w:val="ListParagraph"/>
      </w:pPr>
    </w:p>
    <w:p w14:paraId="71A255B8" w14:textId="458EAB47" w:rsidR="00773F8C" w:rsidRPr="00773F8C" w:rsidRDefault="00CD1E65" w:rsidP="00773F8C">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sidRPr="00773F8C">
        <w:rPr>
          <w:rFonts w:ascii="Verdana" w:hAnsi="Verdana"/>
          <w:sz w:val="20"/>
          <w:szCs w:val="20"/>
        </w:rPr>
        <w:lastRenderedPageBreak/>
        <w:t xml:space="preserve">En el presente caso </w:t>
      </w:r>
      <w:r w:rsidR="00FA0E67" w:rsidRPr="00773F8C">
        <w:rPr>
          <w:rFonts w:ascii="Verdana" w:hAnsi="Verdana"/>
          <w:sz w:val="20"/>
          <w:szCs w:val="20"/>
        </w:rPr>
        <w:t xml:space="preserve">la Corte </w:t>
      </w:r>
      <w:r w:rsidR="00442ADE" w:rsidRPr="00773F8C">
        <w:rPr>
          <w:rFonts w:ascii="Verdana" w:hAnsi="Verdana"/>
          <w:sz w:val="20"/>
          <w:szCs w:val="20"/>
        </w:rPr>
        <w:t>recuerda</w:t>
      </w:r>
      <w:r w:rsidRPr="00773F8C">
        <w:rPr>
          <w:rFonts w:ascii="Verdana" w:hAnsi="Verdana"/>
          <w:sz w:val="20"/>
          <w:szCs w:val="20"/>
        </w:rPr>
        <w:t xml:space="preserve"> que </w:t>
      </w:r>
      <w:r w:rsidR="008336DD" w:rsidRPr="00773F8C">
        <w:rPr>
          <w:rFonts w:ascii="Verdana" w:hAnsi="Verdana"/>
          <w:sz w:val="20"/>
          <w:szCs w:val="20"/>
        </w:rPr>
        <w:t xml:space="preserve">los representantes </w:t>
      </w:r>
      <w:r w:rsidR="00FA0E67" w:rsidRPr="00773F8C">
        <w:rPr>
          <w:rFonts w:ascii="Verdana" w:hAnsi="Verdana"/>
          <w:sz w:val="20"/>
          <w:szCs w:val="20"/>
        </w:rPr>
        <w:t>alegaron</w:t>
      </w:r>
      <w:r w:rsidR="00442ADE" w:rsidRPr="00773F8C">
        <w:rPr>
          <w:rFonts w:ascii="Verdana" w:hAnsi="Verdana"/>
          <w:sz w:val="20"/>
          <w:szCs w:val="20"/>
        </w:rPr>
        <w:t xml:space="preserve"> en su solicitud de reconsideración</w:t>
      </w:r>
      <w:r w:rsidR="00FA0E67" w:rsidRPr="00773F8C">
        <w:rPr>
          <w:rFonts w:ascii="Verdana" w:hAnsi="Verdana"/>
          <w:sz w:val="20"/>
          <w:szCs w:val="20"/>
        </w:rPr>
        <w:t xml:space="preserve"> que dicha modificación se debió a un error involuntario</w:t>
      </w:r>
      <w:r w:rsidRPr="00773F8C">
        <w:rPr>
          <w:rFonts w:ascii="Verdana" w:hAnsi="Verdana"/>
          <w:sz w:val="20"/>
          <w:szCs w:val="20"/>
        </w:rPr>
        <w:t xml:space="preserve">. </w:t>
      </w:r>
      <w:r w:rsidR="00FA0E67" w:rsidRPr="00773F8C">
        <w:rPr>
          <w:rFonts w:ascii="Verdana" w:hAnsi="Verdana"/>
          <w:sz w:val="20"/>
          <w:szCs w:val="20"/>
        </w:rPr>
        <w:t xml:space="preserve">Al respecto, la Corte constata que los representantes no solicitaron el cambio de modalidad de la declaración </w:t>
      </w:r>
      <w:r w:rsidR="00442ADE" w:rsidRPr="00773F8C">
        <w:rPr>
          <w:rFonts w:ascii="Verdana" w:hAnsi="Verdana"/>
          <w:sz w:val="20"/>
          <w:szCs w:val="20"/>
          <w:lang w:val="es-MX"/>
        </w:rPr>
        <w:t>del señor Ortiz y la señora Durán</w:t>
      </w:r>
      <w:r w:rsidR="00773F8C" w:rsidRPr="00773F8C">
        <w:rPr>
          <w:rFonts w:ascii="Verdana" w:hAnsi="Verdana"/>
          <w:sz w:val="20"/>
          <w:szCs w:val="20"/>
          <w:lang w:val="es-MX"/>
        </w:rPr>
        <w:t xml:space="preserve"> en sus listas definitivas</w:t>
      </w:r>
      <w:r w:rsidR="00FA0E67" w:rsidRPr="00773F8C">
        <w:rPr>
          <w:rFonts w:ascii="Verdana" w:hAnsi="Verdana"/>
          <w:sz w:val="20"/>
          <w:szCs w:val="20"/>
        </w:rPr>
        <w:t xml:space="preserve">, no modificaron el objeto de su declaración, ni adjuntaron </w:t>
      </w:r>
      <w:r w:rsidR="00442ADE" w:rsidRPr="00773F8C">
        <w:rPr>
          <w:rFonts w:ascii="Verdana" w:hAnsi="Verdana"/>
          <w:sz w:val="20"/>
          <w:szCs w:val="20"/>
        </w:rPr>
        <w:t>su</w:t>
      </w:r>
      <w:r w:rsidR="00FA0E67" w:rsidRPr="00773F8C">
        <w:rPr>
          <w:rFonts w:ascii="Verdana" w:hAnsi="Verdana"/>
          <w:sz w:val="20"/>
          <w:szCs w:val="20"/>
        </w:rPr>
        <w:t xml:space="preserve"> hoja de vida. Estos elementos permiten</w:t>
      </w:r>
      <w:r w:rsidR="00442ADE" w:rsidRPr="00773F8C">
        <w:rPr>
          <w:rFonts w:ascii="Verdana" w:hAnsi="Verdana"/>
          <w:sz w:val="20"/>
          <w:szCs w:val="20"/>
        </w:rPr>
        <w:t xml:space="preserve"> al Tribunal</w:t>
      </w:r>
      <w:r w:rsidR="00FA0E67" w:rsidRPr="00773F8C">
        <w:rPr>
          <w:rFonts w:ascii="Verdana" w:hAnsi="Verdana"/>
          <w:sz w:val="20"/>
          <w:szCs w:val="20"/>
        </w:rPr>
        <w:t xml:space="preserve"> concluir que los representantes </w:t>
      </w:r>
      <w:r w:rsidR="00442ADE" w:rsidRPr="00773F8C">
        <w:rPr>
          <w:rFonts w:ascii="Verdana" w:hAnsi="Verdana"/>
          <w:sz w:val="20"/>
          <w:szCs w:val="20"/>
        </w:rPr>
        <w:t>incurrieron</w:t>
      </w:r>
      <w:r w:rsidR="00FA0E67" w:rsidRPr="00773F8C">
        <w:rPr>
          <w:rFonts w:ascii="Verdana" w:hAnsi="Verdana"/>
          <w:sz w:val="20"/>
          <w:szCs w:val="20"/>
        </w:rPr>
        <w:t xml:space="preserve"> en un error </w:t>
      </w:r>
      <w:r w:rsidR="00442ADE" w:rsidRPr="00773F8C">
        <w:rPr>
          <w:rFonts w:ascii="Verdana" w:hAnsi="Verdana"/>
          <w:sz w:val="20"/>
          <w:szCs w:val="20"/>
        </w:rPr>
        <w:t xml:space="preserve">material </w:t>
      </w:r>
      <w:r w:rsidR="00FA0E67" w:rsidRPr="00773F8C">
        <w:rPr>
          <w:rFonts w:ascii="Verdana" w:hAnsi="Verdana"/>
          <w:sz w:val="20"/>
          <w:szCs w:val="20"/>
        </w:rPr>
        <w:t>en sus listas definitivas</w:t>
      </w:r>
      <w:r w:rsidR="00773F8C" w:rsidRPr="00773F8C">
        <w:rPr>
          <w:rFonts w:ascii="Verdana" w:hAnsi="Verdana"/>
          <w:sz w:val="20"/>
          <w:szCs w:val="20"/>
        </w:rPr>
        <w:t xml:space="preserve"> al ofrecer dichas declaraciones como peritajes</w:t>
      </w:r>
      <w:r w:rsidR="00FA0E67" w:rsidRPr="00773F8C">
        <w:rPr>
          <w:rFonts w:ascii="Verdana" w:hAnsi="Verdana"/>
          <w:sz w:val="20"/>
          <w:szCs w:val="20"/>
        </w:rPr>
        <w:t>. La Corte recuerda</w:t>
      </w:r>
      <w:r w:rsidR="00773F8C" w:rsidRPr="00773F8C">
        <w:rPr>
          <w:rFonts w:ascii="Verdana" w:hAnsi="Verdana"/>
          <w:sz w:val="20"/>
          <w:szCs w:val="20"/>
        </w:rPr>
        <w:t xml:space="preserve"> que</w:t>
      </w:r>
      <w:r w:rsidRPr="00773F8C">
        <w:rPr>
          <w:rFonts w:ascii="Verdana" w:hAnsi="Verdana"/>
          <w:sz w:val="20"/>
          <w:szCs w:val="20"/>
          <w:lang w:val="es-MX"/>
        </w:rPr>
        <w:t xml:space="preserve"> </w:t>
      </w:r>
      <w:r w:rsidR="006014DE">
        <w:rPr>
          <w:rFonts w:ascii="Verdana" w:hAnsi="Verdana"/>
          <w:sz w:val="20"/>
          <w:szCs w:val="20"/>
          <w:lang w:val="es-MX"/>
        </w:rPr>
        <w:t>por tratarse de</w:t>
      </w:r>
      <w:r w:rsidRPr="00773F8C">
        <w:rPr>
          <w:rFonts w:ascii="Verdana" w:hAnsi="Verdana"/>
          <w:sz w:val="20"/>
          <w:szCs w:val="20"/>
          <w:lang w:val="es-MX"/>
        </w:rPr>
        <w:t xml:space="preserve"> un tribunal internacional cuyo fin es la protección de los derechos humanos, </w:t>
      </w:r>
      <w:r w:rsidR="006014DE">
        <w:rPr>
          <w:rFonts w:ascii="Verdana" w:hAnsi="Verdana"/>
          <w:sz w:val="20"/>
          <w:szCs w:val="20"/>
          <w:lang w:val="es-MX"/>
        </w:rPr>
        <w:t>su</w:t>
      </w:r>
      <w:r w:rsidRPr="00773F8C">
        <w:rPr>
          <w:rFonts w:ascii="Verdana" w:hAnsi="Verdana"/>
          <w:sz w:val="20"/>
          <w:szCs w:val="20"/>
          <w:lang w:val="es-MX"/>
        </w:rPr>
        <w:t xml:space="preserve"> procedimiento reviste particularidades propias que le diferencian del procedimiento en el derecho interno</w:t>
      </w:r>
      <w:r w:rsidR="006014DE">
        <w:rPr>
          <w:rFonts w:ascii="Verdana" w:hAnsi="Verdana"/>
          <w:sz w:val="20"/>
          <w:szCs w:val="20"/>
          <w:lang w:val="es-MX"/>
        </w:rPr>
        <w:t xml:space="preserve">, al ser </w:t>
      </w:r>
      <w:r w:rsidRPr="00773F8C">
        <w:rPr>
          <w:rFonts w:ascii="Verdana" w:hAnsi="Verdana"/>
          <w:sz w:val="20"/>
          <w:szCs w:val="20"/>
          <w:lang w:val="es-MX"/>
        </w:rPr>
        <w:t>menos formal y más flexible, sin que por ello deje de velar por la seguridad jurídica y por el equilibrio procesal de las partes</w:t>
      </w:r>
      <w:r w:rsidRPr="00773F8C">
        <w:rPr>
          <w:rFonts w:ascii="Verdana" w:hAnsi="Verdana"/>
          <w:sz w:val="20"/>
          <w:szCs w:val="20"/>
          <w:vertAlign w:val="superscript"/>
          <w:lang w:val="es-MX"/>
        </w:rPr>
        <w:footnoteReference w:id="5"/>
      </w:r>
      <w:r w:rsidRPr="00773F8C">
        <w:rPr>
          <w:rFonts w:ascii="Verdana" w:hAnsi="Verdana"/>
          <w:i/>
          <w:iCs/>
          <w:sz w:val="20"/>
          <w:szCs w:val="20"/>
          <w:lang w:val="es-MX"/>
        </w:rPr>
        <w:t xml:space="preserve">. </w:t>
      </w:r>
      <w:r w:rsidRPr="00773F8C">
        <w:rPr>
          <w:rFonts w:ascii="Verdana" w:hAnsi="Verdana"/>
          <w:sz w:val="20"/>
          <w:szCs w:val="20"/>
          <w:lang w:val="es-MX"/>
        </w:rPr>
        <w:t>La Corte ha sostenido que tiene el deber “de suplir cualquier deficiencia procesal con el propósito de esclarecer la verdad de los hechos investigados”</w:t>
      </w:r>
      <w:r w:rsidRPr="00773F8C">
        <w:rPr>
          <w:rFonts w:ascii="Verdana" w:hAnsi="Verdana"/>
          <w:sz w:val="20"/>
          <w:szCs w:val="20"/>
          <w:vertAlign w:val="superscript"/>
          <w:lang w:val="es-MX"/>
        </w:rPr>
        <w:footnoteReference w:id="6"/>
      </w:r>
      <w:r w:rsidRPr="00773F8C">
        <w:rPr>
          <w:rFonts w:ascii="Verdana" w:hAnsi="Verdana"/>
          <w:sz w:val="20"/>
          <w:szCs w:val="20"/>
          <w:lang w:val="es-MX"/>
        </w:rPr>
        <w:t>.</w:t>
      </w:r>
    </w:p>
    <w:p w14:paraId="7BBF7B29" w14:textId="77777777" w:rsidR="00773F8C" w:rsidRPr="00773F8C" w:rsidRDefault="00773F8C" w:rsidP="00773F8C">
      <w:pPr>
        <w:pStyle w:val="ListParagraph"/>
        <w:tabs>
          <w:tab w:val="left" w:pos="540"/>
        </w:tabs>
        <w:spacing w:after="0" w:line="246" w:lineRule="auto"/>
        <w:ind w:left="0" w:right="48"/>
        <w:jc w:val="both"/>
        <w:rPr>
          <w:rFonts w:ascii="Verdana" w:eastAsia="Verdana" w:hAnsi="Verdana"/>
          <w:sz w:val="20"/>
          <w:szCs w:val="20"/>
          <w:lang w:val="es-PE"/>
        </w:rPr>
      </w:pPr>
    </w:p>
    <w:p w14:paraId="7BE4D5E4" w14:textId="77777777" w:rsidR="00CD1E65" w:rsidRPr="00773F8C" w:rsidRDefault="00442ADE" w:rsidP="00773F8C">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sidRPr="00773F8C">
        <w:rPr>
          <w:rFonts w:ascii="Verdana" w:hAnsi="Verdana"/>
          <w:sz w:val="20"/>
          <w:szCs w:val="20"/>
        </w:rPr>
        <w:t xml:space="preserve">Por tanto, </w:t>
      </w:r>
      <w:r w:rsidR="00773F8C" w:rsidRPr="00773F8C">
        <w:rPr>
          <w:rFonts w:ascii="Verdana" w:hAnsi="Verdana"/>
          <w:sz w:val="20"/>
          <w:szCs w:val="20"/>
        </w:rPr>
        <w:t>la Corte</w:t>
      </w:r>
      <w:r w:rsidRPr="00773F8C">
        <w:rPr>
          <w:rFonts w:ascii="Verdana" w:hAnsi="Verdana"/>
          <w:sz w:val="20"/>
          <w:szCs w:val="20"/>
        </w:rPr>
        <w:t xml:space="preserve"> estima pertinente admitir la declaración </w:t>
      </w:r>
      <w:r w:rsidR="00773F8C" w:rsidRPr="00773F8C">
        <w:rPr>
          <w:rFonts w:ascii="Verdana" w:hAnsi="Verdana"/>
          <w:sz w:val="20"/>
          <w:szCs w:val="20"/>
        </w:rPr>
        <w:t>del señor</w:t>
      </w:r>
      <w:r w:rsidRPr="00773F8C">
        <w:rPr>
          <w:rFonts w:ascii="Verdana" w:hAnsi="Verdana"/>
          <w:sz w:val="20"/>
          <w:szCs w:val="20"/>
        </w:rPr>
        <w:t xml:space="preserve"> Ortiz y</w:t>
      </w:r>
      <w:r w:rsidR="00773F8C" w:rsidRPr="00773F8C">
        <w:rPr>
          <w:rFonts w:ascii="Verdana" w:hAnsi="Verdana"/>
          <w:sz w:val="20"/>
          <w:szCs w:val="20"/>
        </w:rPr>
        <w:t xml:space="preserve"> la señora</w:t>
      </w:r>
      <w:r w:rsidRPr="00773F8C">
        <w:rPr>
          <w:rFonts w:ascii="Verdana" w:hAnsi="Verdana"/>
          <w:sz w:val="20"/>
          <w:szCs w:val="20"/>
        </w:rPr>
        <w:t xml:space="preserve"> Durán. De conformidad con el artículo 50 del Reglamento, </w:t>
      </w:r>
      <w:r w:rsidRPr="00773F8C">
        <w:rPr>
          <w:rFonts w:ascii="Verdana" w:hAnsi="Verdana"/>
          <w:sz w:val="20"/>
          <w:szCs w:val="20"/>
          <w:lang w:val="es-GT"/>
        </w:rPr>
        <w:t>el Presidente precisará su objeto en la parte resolutiva de esta Resolución</w:t>
      </w:r>
      <w:r w:rsidRPr="00773F8C">
        <w:rPr>
          <w:rFonts w:ascii="Verdana" w:hAnsi="Verdana"/>
          <w:sz w:val="20"/>
          <w:szCs w:val="20"/>
        </w:rPr>
        <w:t>.</w:t>
      </w:r>
    </w:p>
    <w:p w14:paraId="14EE91BA" w14:textId="77777777" w:rsidR="00704E6C" w:rsidRPr="00CD1E65" w:rsidRDefault="00704E6C" w:rsidP="00704E6C">
      <w:pPr>
        <w:tabs>
          <w:tab w:val="left" w:pos="540"/>
        </w:tabs>
        <w:spacing w:line="246" w:lineRule="auto"/>
        <w:ind w:right="48"/>
        <w:jc w:val="both"/>
        <w:rPr>
          <w:rFonts w:eastAsia="Verdana"/>
          <w:lang w:val="es-CR"/>
        </w:rPr>
      </w:pPr>
    </w:p>
    <w:p w14:paraId="1F5956D4" w14:textId="77777777" w:rsidR="00704E6C" w:rsidRPr="00704E6C" w:rsidRDefault="00704E6C" w:rsidP="00704E6C">
      <w:pPr>
        <w:pStyle w:val="ListParagraph"/>
        <w:numPr>
          <w:ilvl w:val="0"/>
          <w:numId w:val="6"/>
        </w:numPr>
        <w:jc w:val="both"/>
        <w:rPr>
          <w:rFonts w:ascii="Verdana" w:eastAsia="Verdana" w:hAnsi="Verdana"/>
          <w:b/>
          <w:i/>
          <w:sz w:val="20"/>
          <w:szCs w:val="20"/>
          <w:lang w:val="es-PE"/>
        </w:rPr>
      </w:pPr>
      <w:r>
        <w:rPr>
          <w:rFonts w:ascii="Verdana" w:eastAsia="Verdana" w:hAnsi="Verdana"/>
          <w:b/>
          <w:i/>
          <w:sz w:val="20"/>
          <w:szCs w:val="20"/>
          <w:lang w:val="es-PE"/>
        </w:rPr>
        <w:t>Respecto de la admisibilidad de tres peritajes ofrecidos por los representantes</w:t>
      </w:r>
    </w:p>
    <w:p w14:paraId="4164B6B7" w14:textId="77777777" w:rsidR="00ED77DA" w:rsidRDefault="00ED77DA" w:rsidP="00ED77DA">
      <w:pPr>
        <w:pStyle w:val="ListParagraph"/>
        <w:tabs>
          <w:tab w:val="left" w:pos="540"/>
        </w:tabs>
        <w:spacing w:after="0" w:line="246" w:lineRule="auto"/>
        <w:ind w:left="0" w:right="48"/>
        <w:jc w:val="both"/>
        <w:rPr>
          <w:rFonts w:ascii="Verdana" w:eastAsia="Verdana" w:hAnsi="Verdana"/>
          <w:sz w:val="20"/>
          <w:szCs w:val="20"/>
          <w:lang w:val="es-PE"/>
        </w:rPr>
      </w:pPr>
    </w:p>
    <w:p w14:paraId="4FC2710F" w14:textId="77777777" w:rsidR="00773F8C" w:rsidRDefault="00704E6C" w:rsidP="00C87D0C">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L</w:t>
      </w:r>
      <w:r w:rsidR="00ED77DA">
        <w:rPr>
          <w:rFonts w:ascii="Verdana" w:eastAsia="Verdana" w:hAnsi="Verdana"/>
          <w:sz w:val="20"/>
          <w:szCs w:val="20"/>
          <w:lang w:val="es-PE"/>
        </w:rPr>
        <w:t xml:space="preserve">os </w:t>
      </w:r>
      <w:r w:rsidR="00ED77DA">
        <w:rPr>
          <w:rFonts w:ascii="Verdana" w:eastAsia="Verdana" w:hAnsi="Verdana"/>
          <w:b/>
          <w:i/>
          <w:sz w:val="20"/>
          <w:szCs w:val="20"/>
          <w:lang w:val="es-PE"/>
        </w:rPr>
        <w:t xml:space="preserve">representantes </w:t>
      </w:r>
      <w:r w:rsidR="00ED77DA">
        <w:rPr>
          <w:rFonts w:ascii="Verdana" w:eastAsia="Verdana" w:hAnsi="Verdana"/>
          <w:sz w:val="20"/>
          <w:szCs w:val="20"/>
          <w:lang w:val="es-PE"/>
        </w:rPr>
        <w:t xml:space="preserve">alegaron que </w:t>
      </w:r>
      <w:r w:rsidR="0048006D">
        <w:rPr>
          <w:rFonts w:ascii="Verdana" w:eastAsia="Verdana" w:hAnsi="Verdana"/>
          <w:sz w:val="20"/>
          <w:szCs w:val="20"/>
          <w:lang w:val="es-PE"/>
        </w:rPr>
        <w:t>“en conjunto con la presentación del Instituto de Estudios Socio-Históricos Fray Alonso de Zamora, los representantes remitimos en la oportunidad correspondiente las hojas de vida de sus integrantes, esto es, en nuestro ESAP del 2 de noviembre de 2018 […] En consecuencia, dado que se cumplieron con los requisitos de identificación, contacto y objeto establecidos en el Reglamento de la Corte para que un peritaje sea admisible, solicitamos […] admitir el peritaje</w:t>
      </w:r>
      <w:r w:rsidR="006014DE">
        <w:rPr>
          <w:rFonts w:ascii="Verdana" w:eastAsia="Verdana" w:hAnsi="Verdana"/>
          <w:sz w:val="20"/>
          <w:szCs w:val="20"/>
          <w:lang w:val="es-PE"/>
        </w:rPr>
        <w:t>”</w:t>
      </w:r>
      <w:r w:rsidR="0048006D">
        <w:rPr>
          <w:rFonts w:ascii="Verdana" w:eastAsia="Verdana" w:hAnsi="Verdana"/>
          <w:sz w:val="20"/>
          <w:szCs w:val="20"/>
          <w:lang w:val="es-PE"/>
        </w:rPr>
        <w:t xml:space="preserve">. </w:t>
      </w:r>
      <w:r w:rsidR="00773F8C">
        <w:rPr>
          <w:rFonts w:ascii="Verdana" w:eastAsia="Verdana" w:hAnsi="Verdana"/>
          <w:sz w:val="20"/>
          <w:szCs w:val="20"/>
          <w:lang w:val="es-PE"/>
        </w:rPr>
        <w:t xml:space="preserve">Adicionalmente, alegaron que en su lista definitiva de declarantes no expusieron los motivos por los cuales la señora Vilma Liliana Villa y el señor Ariel </w:t>
      </w:r>
      <w:proofErr w:type="spellStart"/>
      <w:r w:rsidR="00773F8C">
        <w:rPr>
          <w:rFonts w:ascii="Verdana" w:eastAsia="Verdana" w:hAnsi="Verdana"/>
          <w:sz w:val="20"/>
          <w:szCs w:val="20"/>
          <w:lang w:val="es-PE"/>
        </w:rPr>
        <w:t>Dulitsky</w:t>
      </w:r>
      <w:proofErr w:type="spellEnd"/>
      <w:r w:rsidR="00773F8C">
        <w:rPr>
          <w:rFonts w:ascii="Verdana" w:eastAsia="Verdana" w:hAnsi="Verdana"/>
          <w:sz w:val="20"/>
          <w:szCs w:val="20"/>
          <w:lang w:val="es-PE"/>
        </w:rPr>
        <w:t xml:space="preserve"> estaban imposibilitados para desarrollar sus peritajes, en virtud de que el Reglamento de la Corte no exige este requisito. En cambio, alegaron que habrían cumplido con los requisitos previstos por el Reglamento para solicitar una sustitución. En consecuencia, “en atención a la petición fundada de sustitución de los peritos y su correspondiente individualización, solicitamos a la Corte […] admitir los peritajes de Alberto Yepes Palacio y Francisco Gutiérrez Sanín”.</w:t>
      </w:r>
    </w:p>
    <w:p w14:paraId="71781979" w14:textId="77777777" w:rsidR="00773F8C" w:rsidRDefault="00773F8C" w:rsidP="00773F8C">
      <w:pPr>
        <w:pStyle w:val="ListParagraph"/>
        <w:tabs>
          <w:tab w:val="left" w:pos="540"/>
        </w:tabs>
        <w:spacing w:after="0" w:line="246" w:lineRule="auto"/>
        <w:ind w:left="0" w:right="48"/>
        <w:jc w:val="both"/>
        <w:rPr>
          <w:rFonts w:ascii="Verdana" w:eastAsia="Verdana" w:hAnsi="Verdana"/>
          <w:sz w:val="20"/>
          <w:szCs w:val="20"/>
          <w:lang w:val="es-PE"/>
        </w:rPr>
      </w:pPr>
    </w:p>
    <w:p w14:paraId="27762CAC" w14:textId="369067C8" w:rsidR="0048006D" w:rsidRPr="00773F8C" w:rsidRDefault="00773F8C" w:rsidP="000904EE">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sidRPr="00773F8C">
        <w:rPr>
          <w:rFonts w:ascii="Verdana" w:eastAsia="Verdana" w:hAnsi="Verdana"/>
          <w:sz w:val="20"/>
          <w:szCs w:val="20"/>
          <w:lang w:val="es-PE"/>
        </w:rPr>
        <w:t>E</w:t>
      </w:r>
      <w:r w:rsidR="0048006D" w:rsidRPr="00773F8C">
        <w:rPr>
          <w:rFonts w:ascii="Verdana" w:eastAsia="Verdana" w:hAnsi="Verdana"/>
          <w:sz w:val="20"/>
          <w:szCs w:val="20"/>
          <w:lang w:val="es-PE"/>
        </w:rPr>
        <w:t xml:space="preserve">l </w:t>
      </w:r>
      <w:r w:rsidR="0048006D" w:rsidRPr="00773F8C">
        <w:rPr>
          <w:rFonts w:ascii="Verdana" w:eastAsia="Verdana" w:hAnsi="Verdana"/>
          <w:b/>
          <w:i/>
          <w:sz w:val="20"/>
          <w:szCs w:val="20"/>
          <w:lang w:val="es-PE"/>
        </w:rPr>
        <w:t xml:space="preserve">Estado </w:t>
      </w:r>
      <w:r w:rsidR="0048006D" w:rsidRPr="00773F8C">
        <w:rPr>
          <w:rFonts w:ascii="Verdana" w:eastAsia="Verdana" w:hAnsi="Verdana"/>
          <w:sz w:val="20"/>
          <w:szCs w:val="20"/>
          <w:lang w:val="es-PE"/>
        </w:rPr>
        <w:t>no formuló observaciones</w:t>
      </w:r>
      <w:r w:rsidRPr="00773F8C">
        <w:rPr>
          <w:rFonts w:ascii="Verdana" w:eastAsia="Verdana" w:hAnsi="Verdana"/>
          <w:sz w:val="20"/>
          <w:szCs w:val="20"/>
          <w:lang w:val="es-PE"/>
        </w:rPr>
        <w:t xml:space="preserve"> respecto a la admisibilidad del peritaje del Instituto de Estudios Socio-Históricos Fray Alonso de Zamora</w:t>
      </w:r>
      <w:r w:rsidR="0048006D" w:rsidRPr="00773F8C">
        <w:rPr>
          <w:rFonts w:ascii="Verdana" w:eastAsia="Verdana" w:hAnsi="Verdana"/>
          <w:sz w:val="20"/>
          <w:szCs w:val="20"/>
          <w:lang w:val="es-PE"/>
        </w:rPr>
        <w:t xml:space="preserve">. </w:t>
      </w:r>
      <w:r w:rsidR="006014DE">
        <w:rPr>
          <w:rFonts w:ascii="Verdana" w:eastAsia="Verdana" w:hAnsi="Verdana"/>
          <w:sz w:val="20"/>
          <w:szCs w:val="20"/>
          <w:lang w:val="es-PE"/>
        </w:rPr>
        <w:t xml:space="preserve">En relación con la solicitud de </w:t>
      </w:r>
      <w:r w:rsidRPr="00773F8C">
        <w:rPr>
          <w:rFonts w:ascii="Verdana" w:eastAsia="Verdana" w:hAnsi="Verdana"/>
          <w:sz w:val="20"/>
          <w:szCs w:val="20"/>
          <w:lang w:val="es-PE"/>
        </w:rPr>
        <w:t xml:space="preserve">sustitución de peritos </w:t>
      </w:r>
      <w:r w:rsidR="006014DE">
        <w:rPr>
          <w:rFonts w:ascii="Verdana" w:eastAsia="Verdana" w:hAnsi="Verdana"/>
          <w:sz w:val="20"/>
          <w:szCs w:val="20"/>
          <w:lang w:val="es-PE"/>
        </w:rPr>
        <w:t xml:space="preserve">formulada </w:t>
      </w:r>
      <w:r w:rsidRPr="00773F8C">
        <w:rPr>
          <w:rFonts w:ascii="Verdana" w:eastAsia="Verdana" w:hAnsi="Verdana"/>
          <w:sz w:val="20"/>
          <w:szCs w:val="20"/>
          <w:lang w:val="es-PE"/>
        </w:rPr>
        <w:t xml:space="preserve">por los representantes manifestó que </w:t>
      </w:r>
      <w:r w:rsidR="006014DE">
        <w:rPr>
          <w:rFonts w:ascii="Verdana" w:eastAsia="Verdana" w:hAnsi="Verdana"/>
          <w:sz w:val="20"/>
          <w:szCs w:val="20"/>
          <w:lang w:val="es-PE"/>
        </w:rPr>
        <w:t xml:space="preserve">estos </w:t>
      </w:r>
      <w:r w:rsidRPr="00773F8C">
        <w:rPr>
          <w:rFonts w:ascii="Verdana" w:eastAsia="Verdana" w:hAnsi="Verdana"/>
          <w:sz w:val="20"/>
          <w:szCs w:val="20"/>
          <w:lang w:val="es-PE"/>
        </w:rPr>
        <w:t>“no cumplieron con los requisitos de carácter mandatorio establecidos en el Reglamento de la Corte IDH para efectos de solicitar la práctica de una prueba pericial”.</w:t>
      </w:r>
      <w:r>
        <w:rPr>
          <w:rFonts w:ascii="Verdana" w:eastAsia="Verdana" w:hAnsi="Verdana"/>
          <w:sz w:val="20"/>
          <w:szCs w:val="20"/>
          <w:lang w:val="es-PE"/>
        </w:rPr>
        <w:t xml:space="preserve"> </w:t>
      </w:r>
      <w:r w:rsidR="0048006D" w:rsidRPr="00773F8C">
        <w:rPr>
          <w:rFonts w:ascii="Verdana" w:eastAsia="Verdana" w:hAnsi="Verdana"/>
          <w:sz w:val="20"/>
          <w:szCs w:val="20"/>
          <w:lang w:val="es-PE"/>
        </w:rPr>
        <w:t xml:space="preserve">La </w:t>
      </w:r>
      <w:r w:rsidR="0048006D" w:rsidRPr="00773F8C">
        <w:rPr>
          <w:rFonts w:ascii="Verdana" w:eastAsia="Verdana" w:hAnsi="Verdana"/>
          <w:b/>
          <w:i/>
          <w:sz w:val="20"/>
          <w:szCs w:val="20"/>
          <w:lang w:val="es-PE"/>
        </w:rPr>
        <w:t xml:space="preserve">Comisión </w:t>
      </w:r>
      <w:r w:rsidR="0048006D" w:rsidRPr="00773F8C">
        <w:rPr>
          <w:rFonts w:ascii="Verdana" w:eastAsia="Verdana" w:hAnsi="Verdana"/>
          <w:sz w:val="20"/>
          <w:szCs w:val="20"/>
          <w:lang w:val="es-PE"/>
        </w:rPr>
        <w:t xml:space="preserve">observó que los representantes se refirieron al Instituto de Estudios Socio-Históricos Fray Alonso de Zamora como la entidad que realizaría el peritaje, y lo ofrecieron en su escrito de solicitudes, argumentos y pruebas. </w:t>
      </w:r>
      <w:r w:rsidRPr="00773F8C">
        <w:rPr>
          <w:rFonts w:ascii="Verdana" w:eastAsia="Verdana" w:hAnsi="Verdana"/>
          <w:sz w:val="20"/>
          <w:szCs w:val="20"/>
          <w:lang w:val="es-PE"/>
        </w:rPr>
        <w:t xml:space="preserve">Asimismo, </w:t>
      </w:r>
      <w:r w:rsidR="009322FC" w:rsidRPr="00773F8C">
        <w:rPr>
          <w:rFonts w:ascii="Verdana" w:eastAsia="Verdana" w:hAnsi="Verdana"/>
          <w:sz w:val="20"/>
          <w:szCs w:val="20"/>
          <w:lang w:val="es-PE"/>
        </w:rPr>
        <w:t>observó que a efectos de decidir sobre la admisibilidad de la solicitud de sustitución</w:t>
      </w:r>
      <w:r w:rsidRPr="00773F8C">
        <w:rPr>
          <w:rFonts w:ascii="Verdana" w:eastAsia="Verdana" w:hAnsi="Verdana"/>
          <w:sz w:val="20"/>
          <w:szCs w:val="20"/>
          <w:lang w:val="es-PE"/>
        </w:rPr>
        <w:t xml:space="preserve"> de peritos</w:t>
      </w:r>
      <w:r w:rsidR="009322FC" w:rsidRPr="00773F8C">
        <w:rPr>
          <w:rFonts w:ascii="Verdana" w:eastAsia="Verdana" w:hAnsi="Verdana"/>
          <w:sz w:val="20"/>
          <w:szCs w:val="20"/>
          <w:lang w:val="es-PE"/>
        </w:rPr>
        <w:t>, la Corte debía evaluar si los aspectos manifestados por los representantes constituyen una razón fundada en términos del artículo 49 del Reglamento de la Corte.</w:t>
      </w:r>
    </w:p>
    <w:p w14:paraId="7B9C83BE" w14:textId="77777777" w:rsidR="00605F0C" w:rsidRPr="00773F8C" w:rsidRDefault="00605F0C" w:rsidP="00773F8C">
      <w:pPr>
        <w:pStyle w:val="ListParagraph"/>
        <w:rPr>
          <w:rFonts w:ascii="Verdana" w:eastAsia="Verdana" w:hAnsi="Verdana"/>
          <w:sz w:val="20"/>
          <w:szCs w:val="20"/>
          <w:lang w:val="es-PE"/>
        </w:rPr>
      </w:pPr>
    </w:p>
    <w:p w14:paraId="3E77183E" w14:textId="77777777" w:rsidR="00773F8C" w:rsidRDefault="00605F0C" w:rsidP="00A93A30">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lastRenderedPageBreak/>
        <w:t>La Corte recuerda que los representantes ofrecieron en su escrito de solicitudes y pruebas el peritaje del Instituto de Estudios Socio-Históricos Fray Alonso de Zamora, el cual fue rechazado por el Presidente en razón de que la carta de presentación de dicho instituto no constituye una hoja de vida en términos del artículo 40.2.c y que el peritaje debe ser rendido por una persona física determinada, cuyos conocimientos y experticia sea posible verificar. Esta decisión fue impugnada por los representantes en los términos antes mencionados (</w:t>
      </w:r>
      <w:r w:rsidRPr="005C0A08">
        <w:rPr>
          <w:rFonts w:ascii="Verdana" w:eastAsia="Verdana" w:hAnsi="Verdana"/>
          <w:i/>
          <w:sz w:val="20"/>
          <w:szCs w:val="20"/>
          <w:lang w:val="es-PE"/>
        </w:rPr>
        <w:t>supra</w:t>
      </w:r>
      <w:r>
        <w:rPr>
          <w:rFonts w:ascii="Verdana" w:eastAsia="Verdana" w:hAnsi="Verdana"/>
          <w:sz w:val="20"/>
          <w:szCs w:val="20"/>
          <w:lang w:val="es-PE"/>
        </w:rPr>
        <w:t xml:space="preserve"> párr. 8). Al respecto, el Tribunal </w:t>
      </w:r>
      <w:r w:rsidR="005C0A08">
        <w:rPr>
          <w:rFonts w:ascii="Verdana" w:eastAsia="Verdana" w:hAnsi="Verdana"/>
          <w:sz w:val="20"/>
          <w:szCs w:val="20"/>
          <w:lang w:val="es-PE"/>
        </w:rPr>
        <w:t>considera que la presentación del peritaje en los términos propuestos por los representantes no permite identificar con claridad quien será la persona que declarará como perito ante el Tribunal, y por lo tanto dicha presentación es innominada y no cumple con los requisitos previstos por el artículo 42.2.c del Reglamento, el cual establece que el escrito de solicitudes y argumentos deberá contener “c. la individualización de declarantes y el objeto de su declaración”. Al ofrecer la lista definitiva de declarantes los representantes tampoco especificaron quién sería la persona que realizaría la prueba pericial, lo cual es necesario para que las partes ejerzan su derecho a la defensa.</w:t>
      </w:r>
    </w:p>
    <w:p w14:paraId="79E9E50D" w14:textId="77777777" w:rsidR="005C0A08" w:rsidRDefault="005C0A08" w:rsidP="005C0A08">
      <w:pPr>
        <w:pStyle w:val="ListParagraph"/>
        <w:tabs>
          <w:tab w:val="left" w:pos="540"/>
        </w:tabs>
        <w:spacing w:after="0" w:line="246" w:lineRule="auto"/>
        <w:ind w:left="0" w:right="48"/>
        <w:jc w:val="both"/>
        <w:rPr>
          <w:rFonts w:ascii="Verdana" w:eastAsia="Verdana" w:hAnsi="Verdana"/>
          <w:sz w:val="20"/>
          <w:szCs w:val="20"/>
          <w:lang w:val="es-PE"/>
        </w:rPr>
      </w:pPr>
    </w:p>
    <w:p w14:paraId="1D051E75" w14:textId="77777777" w:rsidR="005C0A08" w:rsidRPr="00AF0EC0" w:rsidRDefault="00C53930" w:rsidP="00A93A30">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 xml:space="preserve">En relación con las solicitudes de sustitución de los peritajes de la señora Vilma Liliana Villa y el señor Ariel </w:t>
      </w:r>
      <w:proofErr w:type="spellStart"/>
      <w:r>
        <w:rPr>
          <w:rFonts w:ascii="Verdana" w:eastAsia="Verdana" w:hAnsi="Verdana"/>
          <w:sz w:val="20"/>
          <w:szCs w:val="20"/>
          <w:lang w:val="es-PE"/>
        </w:rPr>
        <w:t>Dulitsky</w:t>
      </w:r>
      <w:proofErr w:type="spellEnd"/>
      <w:r>
        <w:rPr>
          <w:rFonts w:ascii="Verdana" w:eastAsia="Verdana" w:hAnsi="Verdana"/>
          <w:sz w:val="20"/>
          <w:szCs w:val="20"/>
          <w:lang w:val="es-PE"/>
        </w:rPr>
        <w:t>,</w:t>
      </w:r>
      <w:r w:rsidR="00FF7736">
        <w:rPr>
          <w:rFonts w:ascii="Verdana" w:eastAsia="Verdana" w:hAnsi="Verdana"/>
          <w:sz w:val="20"/>
          <w:szCs w:val="20"/>
          <w:lang w:val="es-PE"/>
        </w:rPr>
        <w:t xml:space="preserve"> </w:t>
      </w:r>
      <w:r>
        <w:rPr>
          <w:rFonts w:ascii="Verdana" w:eastAsia="Verdana" w:hAnsi="Verdana"/>
          <w:sz w:val="20"/>
          <w:szCs w:val="20"/>
          <w:lang w:val="es-PE"/>
        </w:rPr>
        <w:t>la Corte recuerda que los representantes no indicaron las razones por los cuales los representantes solicitaron la sustitución de dichos peritajes. La falta de motivación de dicha solicitud derivó en el rechazo de la misma por parte del Presidente. Esta decisión fue impugnada por los representantes en los términos antes mencionados (</w:t>
      </w:r>
      <w:r w:rsidRPr="005C0A08">
        <w:rPr>
          <w:rFonts w:ascii="Verdana" w:eastAsia="Verdana" w:hAnsi="Verdana"/>
          <w:i/>
          <w:sz w:val="20"/>
          <w:szCs w:val="20"/>
          <w:lang w:val="es-PE"/>
        </w:rPr>
        <w:t>supra</w:t>
      </w:r>
      <w:r>
        <w:rPr>
          <w:rFonts w:ascii="Verdana" w:eastAsia="Verdana" w:hAnsi="Verdana"/>
          <w:sz w:val="20"/>
          <w:szCs w:val="20"/>
          <w:lang w:val="es-PE"/>
        </w:rPr>
        <w:t xml:space="preserve"> párr. 8). Al respecto, el Tribunal reitera que según lo previsto por el artículo 49 del Reglamento </w:t>
      </w:r>
      <w:r w:rsidR="009E4BE1" w:rsidRPr="009E4BE1">
        <w:rPr>
          <w:rFonts w:ascii="Verdana" w:hAnsi="Verdana" w:cs="Verdana"/>
          <w:sz w:val="20"/>
          <w:szCs w:val="20"/>
          <w:lang w:bidi="en-US"/>
        </w:rPr>
        <w:t>“[e]</w:t>
      </w:r>
      <w:proofErr w:type="spellStart"/>
      <w:r w:rsidR="009E4BE1" w:rsidRPr="009E4BE1">
        <w:rPr>
          <w:rFonts w:ascii="Verdana" w:hAnsi="Verdana" w:cs="Verdana"/>
          <w:sz w:val="20"/>
          <w:szCs w:val="20"/>
          <w:lang w:bidi="en-US"/>
        </w:rPr>
        <w:t>xcepcionalmente</w:t>
      </w:r>
      <w:proofErr w:type="spellEnd"/>
      <w:r w:rsidR="009E4BE1" w:rsidRPr="009E4BE1">
        <w:rPr>
          <w:rFonts w:ascii="Verdana" w:hAnsi="Verdana" w:cs="Verdana"/>
          <w:sz w:val="20"/>
          <w:szCs w:val="20"/>
          <w:lang w:bidi="en-US"/>
        </w:rPr>
        <w:t>, frente a solicitud fundada y oído el parecer de la contraparte, la Corte podrá aceptar la sustitución de un declarante siempre que se individualice el sustituto y se respete el objeto de la declaración, testimonio o peritaje originalmente ofrecido”.</w:t>
      </w:r>
      <w:r w:rsidR="009E4BE1">
        <w:rPr>
          <w:rFonts w:ascii="Verdana" w:hAnsi="Verdana" w:cs="Verdana"/>
          <w:sz w:val="20"/>
          <w:szCs w:val="20"/>
          <w:lang w:bidi="en-US"/>
        </w:rPr>
        <w:t xml:space="preserve"> La Corte ha interpretado de manera constante que la sustituci</w:t>
      </w:r>
      <w:r w:rsidR="00AF0EC0">
        <w:rPr>
          <w:rFonts w:ascii="Verdana" w:hAnsi="Verdana" w:cs="Verdana"/>
          <w:sz w:val="20"/>
          <w:szCs w:val="20"/>
          <w:lang w:bidi="en-US"/>
        </w:rPr>
        <w:t>ón de peritos se justifica en una situación “excepcional” y por lo tanto que quien la proponga debe especificar las razones que lo justifiquen</w:t>
      </w:r>
      <w:r w:rsidR="004376F2">
        <w:rPr>
          <w:rStyle w:val="FootnoteReference"/>
          <w:rFonts w:ascii="Verdana" w:hAnsi="Verdana" w:cs="Verdana"/>
          <w:sz w:val="20"/>
          <w:szCs w:val="20"/>
          <w:lang w:bidi="en-US"/>
        </w:rPr>
        <w:footnoteReference w:id="7"/>
      </w:r>
      <w:r w:rsidR="00AF0EC0">
        <w:rPr>
          <w:rFonts w:ascii="Verdana" w:hAnsi="Verdana" w:cs="Verdana"/>
          <w:sz w:val="20"/>
          <w:szCs w:val="20"/>
          <w:lang w:bidi="en-US"/>
        </w:rPr>
        <w:t>. Esta situación no ocurrió en la solicitud de los representantes cuando solicitaron la sustitución de los peritajes ofrecidos en el escrito de solicitudes y argumentos en sus listas definitivas de declarantes.</w:t>
      </w:r>
    </w:p>
    <w:p w14:paraId="686E365C" w14:textId="77777777" w:rsidR="00AF0EC0" w:rsidRPr="00AF0EC0" w:rsidRDefault="00AF0EC0" w:rsidP="00AF0EC0">
      <w:pPr>
        <w:pStyle w:val="ListParagraph"/>
        <w:tabs>
          <w:tab w:val="left" w:pos="540"/>
        </w:tabs>
        <w:spacing w:after="0" w:line="246" w:lineRule="auto"/>
        <w:ind w:left="0" w:right="48"/>
        <w:jc w:val="both"/>
        <w:rPr>
          <w:rFonts w:ascii="Verdana" w:eastAsia="Verdana" w:hAnsi="Verdana"/>
          <w:sz w:val="20"/>
          <w:szCs w:val="20"/>
          <w:lang w:val="es-PE"/>
        </w:rPr>
      </w:pPr>
    </w:p>
    <w:p w14:paraId="672848AD" w14:textId="77777777" w:rsidR="00AF0EC0" w:rsidRDefault="00AF0EC0" w:rsidP="00A93A30">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 xml:space="preserve">En razón de lo anterior, la Corte rechaza la solicitud de reconsideración de los representantes respecto a las declaraciones periciales del Instituto de Estudios Socio-Históricos Fray Alonso de Zamora y de la sustitución de los peritajes de la señora Vilma Liliana Villa y el señor Ariel </w:t>
      </w:r>
      <w:proofErr w:type="spellStart"/>
      <w:r>
        <w:rPr>
          <w:rFonts w:ascii="Verdana" w:eastAsia="Verdana" w:hAnsi="Verdana"/>
          <w:sz w:val="20"/>
          <w:szCs w:val="20"/>
          <w:lang w:val="es-PE"/>
        </w:rPr>
        <w:t>Dulitsky</w:t>
      </w:r>
      <w:proofErr w:type="spellEnd"/>
      <w:r>
        <w:rPr>
          <w:rFonts w:ascii="Verdana" w:eastAsia="Verdana" w:hAnsi="Verdana"/>
          <w:sz w:val="20"/>
          <w:szCs w:val="20"/>
          <w:lang w:val="es-PE"/>
        </w:rPr>
        <w:t>.</w:t>
      </w:r>
    </w:p>
    <w:p w14:paraId="0F790C36" w14:textId="77777777" w:rsidR="00E248AF" w:rsidRDefault="00E248AF" w:rsidP="00E248AF">
      <w:pPr>
        <w:pStyle w:val="ListParagraph"/>
        <w:rPr>
          <w:rFonts w:ascii="Verdana" w:eastAsia="Verdana" w:hAnsi="Verdana"/>
          <w:sz w:val="20"/>
          <w:szCs w:val="20"/>
          <w:lang w:val="es-PE"/>
        </w:rPr>
      </w:pPr>
    </w:p>
    <w:p w14:paraId="31D634A8" w14:textId="77777777" w:rsidR="00704E6C" w:rsidRPr="00704E6C" w:rsidRDefault="00704E6C" w:rsidP="00704E6C">
      <w:pPr>
        <w:pStyle w:val="ListParagraph"/>
        <w:numPr>
          <w:ilvl w:val="0"/>
          <w:numId w:val="6"/>
        </w:numPr>
        <w:jc w:val="both"/>
        <w:rPr>
          <w:rFonts w:ascii="Verdana" w:eastAsia="Verdana" w:hAnsi="Verdana"/>
          <w:b/>
          <w:i/>
          <w:sz w:val="20"/>
          <w:szCs w:val="20"/>
          <w:lang w:val="es-PE"/>
        </w:rPr>
      </w:pPr>
      <w:r>
        <w:rPr>
          <w:rFonts w:ascii="Verdana" w:eastAsia="Verdana" w:hAnsi="Verdana"/>
          <w:b/>
          <w:i/>
          <w:sz w:val="20"/>
          <w:szCs w:val="20"/>
          <w:lang w:val="es-PE"/>
        </w:rPr>
        <w:t>Respecto del cambio de modalidad de presentación de un peritaje propuesto por el Estado</w:t>
      </w:r>
    </w:p>
    <w:p w14:paraId="01AEDDFD" w14:textId="77777777" w:rsidR="00704E6C" w:rsidRPr="00E248AF" w:rsidRDefault="00704E6C" w:rsidP="00E248AF">
      <w:pPr>
        <w:pStyle w:val="ListParagraph"/>
        <w:rPr>
          <w:rFonts w:ascii="Verdana" w:eastAsia="Verdana" w:hAnsi="Verdana"/>
          <w:sz w:val="20"/>
          <w:szCs w:val="20"/>
          <w:lang w:val="es-PE"/>
        </w:rPr>
      </w:pPr>
    </w:p>
    <w:p w14:paraId="2C86D4EE" w14:textId="5CEA2824" w:rsidR="0066798D" w:rsidRPr="00D14344" w:rsidRDefault="00C45F80" w:rsidP="009A14BC">
      <w:pPr>
        <w:pStyle w:val="ListParagraph"/>
        <w:numPr>
          <w:ilvl w:val="0"/>
          <w:numId w:val="3"/>
        </w:numPr>
        <w:tabs>
          <w:tab w:val="left" w:pos="540"/>
        </w:tabs>
        <w:spacing w:after="0" w:line="240" w:lineRule="auto"/>
        <w:ind w:left="0" w:right="48" w:firstLine="0"/>
        <w:jc w:val="both"/>
        <w:rPr>
          <w:rFonts w:ascii="Verdana" w:eastAsia="Verdana" w:hAnsi="Verdana"/>
          <w:sz w:val="20"/>
          <w:szCs w:val="20"/>
          <w:lang w:val="es-PE"/>
        </w:rPr>
      </w:pPr>
      <w:r>
        <w:rPr>
          <w:rFonts w:ascii="Verdana" w:hAnsi="Verdana"/>
          <w:sz w:val="20"/>
          <w:szCs w:val="20"/>
          <w:lang w:val="es-PE"/>
        </w:rPr>
        <w:t xml:space="preserve">Por otro lado, el </w:t>
      </w:r>
      <w:r>
        <w:rPr>
          <w:rFonts w:ascii="Verdana" w:hAnsi="Verdana"/>
          <w:b/>
          <w:i/>
          <w:sz w:val="20"/>
          <w:szCs w:val="20"/>
          <w:lang w:val="es-PE"/>
        </w:rPr>
        <w:t xml:space="preserve">Estado </w:t>
      </w:r>
      <w:r w:rsidR="00522EDE">
        <w:rPr>
          <w:rFonts w:ascii="Verdana" w:hAnsi="Verdana"/>
          <w:sz w:val="20"/>
          <w:szCs w:val="20"/>
          <w:lang w:val="es-PE"/>
        </w:rPr>
        <w:t xml:space="preserve">solicitó que se convoque al señor </w:t>
      </w:r>
      <w:proofErr w:type="spellStart"/>
      <w:r w:rsidR="00522EDE">
        <w:rPr>
          <w:rFonts w:ascii="Verdana" w:hAnsi="Verdana"/>
          <w:sz w:val="20"/>
          <w:szCs w:val="20"/>
          <w:lang w:val="es-PE"/>
        </w:rPr>
        <w:t>Matthias</w:t>
      </w:r>
      <w:proofErr w:type="spellEnd"/>
      <w:r w:rsidR="00522EDE">
        <w:rPr>
          <w:rFonts w:ascii="Verdana" w:hAnsi="Verdana"/>
          <w:sz w:val="20"/>
          <w:szCs w:val="20"/>
          <w:lang w:val="es-PE"/>
        </w:rPr>
        <w:t xml:space="preserve"> </w:t>
      </w:r>
      <w:proofErr w:type="spellStart"/>
      <w:r w:rsidR="00522EDE">
        <w:rPr>
          <w:rFonts w:ascii="Verdana" w:hAnsi="Verdana"/>
          <w:sz w:val="20"/>
          <w:szCs w:val="20"/>
          <w:lang w:val="es-PE"/>
        </w:rPr>
        <w:t>Herdegen</w:t>
      </w:r>
      <w:proofErr w:type="spellEnd"/>
      <w:r w:rsidR="00522EDE">
        <w:rPr>
          <w:rFonts w:ascii="Verdana" w:hAnsi="Verdana"/>
          <w:sz w:val="20"/>
          <w:szCs w:val="20"/>
          <w:lang w:val="es-PE"/>
        </w:rPr>
        <w:t xml:space="preserve"> para que su declaración sea recibida en audiencia pública. Alegaron que el objeto del dictamen pericial del señor Roberto </w:t>
      </w:r>
      <w:proofErr w:type="spellStart"/>
      <w:r w:rsidR="00522EDE">
        <w:rPr>
          <w:rFonts w:ascii="Verdana" w:hAnsi="Verdana"/>
          <w:sz w:val="20"/>
          <w:szCs w:val="20"/>
          <w:lang w:val="es-PE"/>
        </w:rPr>
        <w:t>Gargarella</w:t>
      </w:r>
      <w:proofErr w:type="spellEnd"/>
      <w:r w:rsidR="00522EDE">
        <w:rPr>
          <w:rFonts w:ascii="Verdana" w:hAnsi="Verdana"/>
          <w:sz w:val="20"/>
          <w:szCs w:val="20"/>
          <w:lang w:val="es-PE"/>
        </w:rPr>
        <w:t xml:space="preserve"> guarda estrecha relación con el objeto del peritaje del señor </w:t>
      </w:r>
      <w:proofErr w:type="spellStart"/>
      <w:r w:rsidR="00522EDE">
        <w:rPr>
          <w:rFonts w:ascii="Verdana" w:hAnsi="Verdana"/>
          <w:sz w:val="20"/>
          <w:szCs w:val="20"/>
          <w:lang w:val="es-PE"/>
        </w:rPr>
        <w:t>Herdegen</w:t>
      </w:r>
      <w:proofErr w:type="spellEnd"/>
      <w:r w:rsidR="00522EDE">
        <w:rPr>
          <w:rFonts w:ascii="Verdana" w:hAnsi="Verdana"/>
          <w:sz w:val="20"/>
          <w:szCs w:val="20"/>
          <w:lang w:val="es-PE"/>
        </w:rPr>
        <w:t>. En ese sentido, alegaron que “es pertinente y útil que la jueza y los jueces de la Corte IDH tengan la oportunidad de escuchar, de manera presencial, al perito […], así como de formularle las preguntas que consideren convenientes.”</w:t>
      </w:r>
      <w:r w:rsidR="00910C1F">
        <w:rPr>
          <w:rFonts w:ascii="Verdana" w:hAnsi="Verdana"/>
          <w:sz w:val="20"/>
          <w:szCs w:val="20"/>
          <w:lang w:val="es-PE"/>
        </w:rPr>
        <w:t xml:space="preserve"> Asimismo, consideraron que esta solicitud resulta acorde al principio de inmediación de la prueba e igualdad procesal. Los </w:t>
      </w:r>
      <w:r w:rsidR="00910C1F">
        <w:rPr>
          <w:rFonts w:ascii="Verdana" w:hAnsi="Verdana"/>
          <w:b/>
          <w:i/>
          <w:sz w:val="20"/>
          <w:szCs w:val="20"/>
          <w:lang w:val="es-PE"/>
        </w:rPr>
        <w:t xml:space="preserve">representantes </w:t>
      </w:r>
      <w:r w:rsidR="00910C1F">
        <w:rPr>
          <w:rFonts w:ascii="Verdana" w:hAnsi="Verdana"/>
          <w:sz w:val="20"/>
          <w:szCs w:val="20"/>
          <w:lang w:val="es-PE"/>
        </w:rPr>
        <w:t>manifestaron que si</w:t>
      </w:r>
      <w:r w:rsidR="009A1B0B">
        <w:rPr>
          <w:rFonts w:ascii="Verdana" w:hAnsi="Verdana"/>
          <w:sz w:val="20"/>
          <w:szCs w:val="20"/>
          <w:lang w:val="es-PE"/>
        </w:rPr>
        <w:t xml:space="preserve"> la</w:t>
      </w:r>
      <w:r w:rsidR="00910C1F">
        <w:rPr>
          <w:rFonts w:ascii="Verdana" w:hAnsi="Verdana"/>
          <w:sz w:val="20"/>
          <w:szCs w:val="20"/>
          <w:lang w:val="es-PE"/>
        </w:rPr>
        <w:t xml:space="preserve"> decisión fuera admitir el peritaje de </w:t>
      </w:r>
      <w:proofErr w:type="spellStart"/>
      <w:r w:rsidR="00910C1F">
        <w:rPr>
          <w:rFonts w:ascii="Verdana" w:hAnsi="Verdana"/>
          <w:sz w:val="20"/>
          <w:szCs w:val="20"/>
          <w:lang w:val="es-PE"/>
        </w:rPr>
        <w:lastRenderedPageBreak/>
        <w:t>Matthias</w:t>
      </w:r>
      <w:proofErr w:type="spellEnd"/>
      <w:r w:rsidR="00910C1F">
        <w:rPr>
          <w:rFonts w:ascii="Verdana" w:hAnsi="Verdana"/>
          <w:sz w:val="20"/>
          <w:szCs w:val="20"/>
          <w:lang w:val="es-PE"/>
        </w:rPr>
        <w:t xml:space="preserve"> </w:t>
      </w:r>
      <w:proofErr w:type="spellStart"/>
      <w:r w:rsidR="00910C1F">
        <w:rPr>
          <w:rFonts w:ascii="Verdana" w:hAnsi="Verdana"/>
          <w:sz w:val="20"/>
          <w:szCs w:val="20"/>
          <w:lang w:val="es-PE"/>
        </w:rPr>
        <w:t>Herdegen</w:t>
      </w:r>
      <w:proofErr w:type="spellEnd"/>
      <w:r w:rsidR="00910C1F">
        <w:rPr>
          <w:rFonts w:ascii="Verdana" w:hAnsi="Verdana"/>
          <w:sz w:val="20"/>
          <w:szCs w:val="20"/>
          <w:lang w:val="es-PE"/>
        </w:rPr>
        <w:t xml:space="preserve"> en los términos señalados por el Estado, no tendrían objeción siempre que se respete la igualdad y el equilibrio procesal entre las partes. La </w:t>
      </w:r>
      <w:r w:rsidR="00910C1F">
        <w:rPr>
          <w:rFonts w:ascii="Verdana" w:hAnsi="Verdana"/>
          <w:b/>
          <w:i/>
          <w:sz w:val="20"/>
          <w:szCs w:val="20"/>
          <w:lang w:val="es-PE"/>
        </w:rPr>
        <w:t xml:space="preserve">Comisión </w:t>
      </w:r>
      <w:r w:rsidR="00910C1F">
        <w:rPr>
          <w:rFonts w:ascii="Verdana" w:hAnsi="Verdana"/>
          <w:sz w:val="20"/>
          <w:szCs w:val="20"/>
          <w:lang w:val="es-PE"/>
        </w:rPr>
        <w:t>observó que no encuentra razones para apartarse de la decisión del Presidente de 12 de diciembre de 2019, pues esta decisión no viola de manera alguna los principios señalados por el Estado.</w:t>
      </w:r>
    </w:p>
    <w:p w14:paraId="4BA373C6" w14:textId="77777777" w:rsidR="004376F2" w:rsidRPr="00D14344" w:rsidRDefault="004376F2" w:rsidP="00D14344">
      <w:pPr>
        <w:pStyle w:val="ListParagraph"/>
        <w:tabs>
          <w:tab w:val="left" w:pos="540"/>
        </w:tabs>
        <w:spacing w:after="0" w:line="240" w:lineRule="auto"/>
        <w:ind w:left="0" w:right="48"/>
        <w:jc w:val="both"/>
        <w:rPr>
          <w:rFonts w:ascii="Verdana" w:eastAsia="Verdana" w:hAnsi="Verdana"/>
          <w:sz w:val="20"/>
          <w:szCs w:val="20"/>
          <w:lang w:val="es-PE"/>
        </w:rPr>
      </w:pPr>
    </w:p>
    <w:p w14:paraId="589D3E15" w14:textId="77777777" w:rsidR="00BA4FA3" w:rsidRPr="00BA4FA3" w:rsidRDefault="00D14344" w:rsidP="00BA4FA3">
      <w:pPr>
        <w:pStyle w:val="ListParagraph"/>
        <w:numPr>
          <w:ilvl w:val="0"/>
          <w:numId w:val="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48" w:firstLine="0"/>
        <w:jc w:val="both"/>
        <w:rPr>
          <w:rFonts w:ascii="Verdana" w:hAnsi="Verdana" w:cs="Verdana"/>
          <w:sz w:val="20"/>
          <w:szCs w:val="20"/>
          <w:lang w:bidi="en-US"/>
        </w:rPr>
      </w:pPr>
      <w:r w:rsidRPr="004376F2">
        <w:rPr>
          <w:rFonts w:ascii="Verdana" w:eastAsia="Verdana" w:hAnsi="Verdana"/>
          <w:sz w:val="20"/>
          <w:szCs w:val="20"/>
          <w:lang w:val="es-PE"/>
        </w:rPr>
        <w:t xml:space="preserve">En relación con lo anterior, </w:t>
      </w:r>
      <w:r w:rsidR="004376F2">
        <w:rPr>
          <w:rFonts w:ascii="Verdana" w:hAnsi="Verdana" w:cs="Verdana"/>
          <w:sz w:val="20"/>
          <w:szCs w:val="20"/>
          <w:lang w:bidi="en-US"/>
        </w:rPr>
        <w:t>la Corte considera</w:t>
      </w:r>
      <w:r w:rsidR="004376F2" w:rsidRPr="004376F2">
        <w:rPr>
          <w:rFonts w:ascii="Verdana" w:hAnsi="Verdana" w:cs="Verdana"/>
          <w:sz w:val="20"/>
          <w:szCs w:val="20"/>
          <w:lang w:bidi="en-US"/>
        </w:rPr>
        <w:t xml:space="preserve"> que la s</w:t>
      </w:r>
      <w:r w:rsidR="004376F2">
        <w:rPr>
          <w:rFonts w:ascii="Verdana" w:hAnsi="Verdana" w:cs="Verdana"/>
          <w:sz w:val="20"/>
          <w:szCs w:val="20"/>
          <w:lang w:bidi="en-US"/>
        </w:rPr>
        <w:t>olicitud del Estado no implica</w:t>
      </w:r>
      <w:r w:rsidR="004376F2" w:rsidRPr="004376F2">
        <w:rPr>
          <w:rFonts w:ascii="Verdana" w:hAnsi="Verdana" w:cs="Verdana"/>
          <w:sz w:val="20"/>
          <w:szCs w:val="20"/>
          <w:lang w:bidi="en-US"/>
        </w:rPr>
        <w:t xml:space="preserve"> una nueva prueba, una sustitución de declarante o un cambio en el objeto del dictamen,</w:t>
      </w:r>
      <w:r w:rsidR="004376F2">
        <w:rPr>
          <w:rFonts w:ascii="Verdana" w:hAnsi="Verdana" w:cs="Verdana"/>
          <w:sz w:val="20"/>
          <w:szCs w:val="20"/>
          <w:lang w:bidi="en-US"/>
        </w:rPr>
        <w:t xml:space="preserve"> sino solamente que se reciba </w:t>
      </w:r>
      <w:r w:rsidR="004376F2" w:rsidRPr="004376F2">
        <w:rPr>
          <w:rFonts w:ascii="Verdana" w:hAnsi="Verdana" w:cs="Verdana"/>
          <w:sz w:val="20"/>
          <w:szCs w:val="20"/>
          <w:lang w:bidi="en-US"/>
        </w:rPr>
        <w:t xml:space="preserve">mediante </w:t>
      </w:r>
      <w:r w:rsidR="004376F2">
        <w:rPr>
          <w:rFonts w:ascii="Verdana" w:hAnsi="Verdana" w:cs="Verdana"/>
          <w:sz w:val="20"/>
          <w:szCs w:val="20"/>
          <w:lang w:bidi="en-US"/>
        </w:rPr>
        <w:t>audiencia pública</w:t>
      </w:r>
      <w:r w:rsidR="004376F2" w:rsidRPr="004376F2">
        <w:rPr>
          <w:rFonts w:ascii="Verdana" w:hAnsi="Verdana" w:cs="Verdana"/>
          <w:sz w:val="20"/>
          <w:szCs w:val="20"/>
          <w:lang w:bidi="en-US"/>
        </w:rPr>
        <w:t xml:space="preserve"> el mismo peritaje que había sido requerido en la Resolución del Presidente</w:t>
      </w:r>
      <w:r w:rsidR="004376F2">
        <w:rPr>
          <w:rFonts w:ascii="Verdana" w:hAnsi="Verdana" w:cs="Verdana"/>
          <w:sz w:val="20"/>
          <w:szCs w:val="20"/>
          <w:lang w:bidi="en-US"/>
        </w:rPr>
        <w:t xml:space="preserve"> de 12 de diciembre de 2019</w:t>
      </w:r>
      <w:r w:rsidR="004376F2" w:rsidRPr="004376F2">
        <w:rPr>
          <w:rFonts w:ascii="Verdana" w:hAnsi="Verdana" w:cs="Verdana"/>
          <w:sz w:val="20"/>
          <w:szCs w:val="20"/>
          <w:lang w:bidi="en-US"/>
        </w:rPr>
        <w:t xml:space="preserve"> para rendirse </w:t>
      </w:r>
      <w:r w:rsidR="004376F2">
        <w:rPr>
          <w:rFonts w:ascii="Verdana" w:hAnsi="Verdana" w:cs="Verdana"/>
          <w:sz w:val="20"/>
          <w:szCs w:val="20"/>
          <w:lang w:bidi="en-US"/>
        </w:rPr>
        <w:t xml:space="preserve">por </w:t>
      </w:r>
      <w:r w:rsidR="004376F2" w:rsidRPr="004376F2">
        <w:rPr>
          <w:rFonts w:ascii="Verdana" w:hAnsi="Verdana" w:cs="Verdana"/>
          <w:i/>
          <w:sz w:val="20"/>
          <w:szCs w:val="20"/>
          <w:lang w:bidi="en-US"/>
        </w:rPr>
        <w:t>affidavit</w:t>
      </w:r>
      <w:r w:rsidR="004376F2" w:rsidRPr="004376F2">
        <w:rPr>
          <w:rFonts w:ascii="Verdana" w:hAnsi="Verdana" w:cs="Verdana"/>
          <w:sz w:val="20"/>
          <w:szCs w:val="20"/>
          <w:lang w:bidi="en-US"/>
        </w:rPr>
        <w:t>.</w:t>
      </w:r>
      <w:r w:rsidR="004376F2">
        <w:rPr>
          <w:rFonts w:ascii="Verdana" w:hAnsi="Verdana" w:cs="Verdana"/>
          <w:sz w:val="20"/>
          <w:szCs w:val="20"/>
          <w:lang w:bidi="en-US"/>
        </w:rPr>
        <w:t xml:space="preserve"> Asimismo, la Corte advierte que los representantes no expresaron objeciones a la admisión del peritaje siempre que se respete la igualdad y equilibrio procesal de las partes.</w:t>
      </w:r>
      <w:r w:rsidR="004376F2" w:rsidRPr="004376F2">
        <w:rPr>
          <w:rFonts w:ascii="Verdana" w:hAnsi="Verdana" w:cs="Verdana"/>
          <w:sz w:val="20"/>
          <w:szCs w:val="20"/>
          <w:lang w:bidi="en-US"/>
        </w:rPr>
        <w:t xml:space="preserve"> </w:t>
      </w:r>
      <w:r w:rsidR="004376F2">
        <w:rPr>
          <w:rFonts w:ascii="Verdana" w:hAnsi="Verdana" w:cs="Verdana"/>
          <w:sz w:val="20"/>
          <w:szCs w:val="20"/>
          <w:lang w:bidi="en-US"/>
        </w:rPr>
        <w:t>E</w:t>
      </w:r>
      <w:r w:rsidR="004376F2" w:rsidRPr="004376F2">
        <w:rPr>
          <w:rFonts w:ascii="Verdana" w:hAnsi="Verdana" w:cs="Verdana"/>
          <w:sz w:val="20"/>
          <w:szCs w:val="20"/>
          <w:lang w:bidi="en-US"/>
        </w:rPr>
        <w:t xml:space="preserve">n atención a las razones expuestas por el Estado, y dado que el peritaje del señor </w:t>
      </w:r>
      <w:proofErr w:type="spellStart"/>
      <w:r w:rsidR="004376F2">
        <w:rPr>
          <w:rFonts w:ascii="Verdana" w:hAnsi="Verdana"/>
          <w:sz w:val="20"/>
          <w:szCs w:val="20"/>
          <w:lang w:val="es-PE"/>
        </w:rPr>
        <w:t>Matthias</w:t>
      </w:r>
      <w:proofErr w:type="spellEnd"/>
      <w:r w:rsidR="004376F2">
        <w:rPr>
          <w:rFonts w:ascii="Verdana" w:hAnsi="Verdana"/>
          <w:sz w:val="20"/>
          <w:szCs w:val="20"/>
          <w:lang w:val="es-PE"/>
        </w:rPr>
        <w:t xml:space="preserve"> </w:t>
      </w:r>
      <w:proofErr w:type="spellStart"/>
      <w:r w:rsidR="004376F2">
        <w:rPr>
          <w:rFonts w:ascii="Verdana" w:hAnsi="Verdana"/>
          <w:sz w:val="20"/>
          <w:szCs w:val="20"/>
          <w:lang w:val="es-PE"/>
        </w:rPr>
        <w:t>Herdegen</w:t>
      </w:r>
      <w:proofErr w:type="spellEnd"/>
      <w:r w:rsidR="004376F2">
        <w:rPr>
          <w:rFonts w:ascii="Verdana" w:hAnsi="Verdana"/>
          <w:sz w:val="20"/>
          <w:szCs w:val="20"/>
          <w:lang w:val="es-PE"/>
        </w:rPr>
        <w:t xml:space="preserve"> </w:t>
      </w:r>
      <w:r w:rsidR="00CF5563">
        <w:rPr>
          <w:rFonts w:ascii="Verdana" w:hAnsi="Verdana" w:cs="Verdana"/>
          <w:sz w:val="20"/>
          <w:szCs w:val="20"/>
          <w:lang w:bidi="en-US"/>
        </w:rPr>
        <w:t>es</w:t>
      </w:r>
      <w:r w:rsidR="004376F2" w:rsidRPr="004376F2">
        <w:rPr>
          <w:rFonts w:ascii="Verdana" w:hAnsi="Verdana" w:cs="Verdana"/>
          <w:sz w:val="20"/>
          <w:szCs w:val="20"/>
          <w:lang w:bidi="en-US"/>
        </w:rPr>
        <w:t xml:space="preserve"> relevante para el conocimiento del caso,</w:t>
      </w:r>
      <w:r w:rsidR="00CF5563">
        <w:rPr>
          <w:rFonts w:ascii="Verdana" w:hAnsi="Verdana" w:cs="Verdana"/>
          <w:sz w:val="20"/>
          <w:szCs w:val="20"/>
          <w:lang w:bidi="en-US"/>
        </w:rPr>
        <w:t xml:space="preserve"> y no altera de manera sustancial la presentación de otras pruebas durante la audiencia pública,</w:t>
      </w:r>
      <w:r w:rsidR="004376F2" w:rsidRPr="004376F2">
        <w:rPr>
          <w:rFonts w:ascii="Verdana" w:hAnsi="Verdana" w:cs="Verdana"/>
          <w:sz w:val="20"/>
          <w:szCs w:val="20"/>
          <w:lang w:bidi="en-US"/>
        </w:rPr>
        <w:t xml:space="preserve"> </w:t>
      </w:r>
      <w:r w:rsidR="00CF5563">
        <w:rPr>
          <w:rFonts w:ascii="Verdana" w:hAnsi="Verdana" w:cs="Verdana"/>
          <w:sz w:val="20"/>
          <w:szCs w:val="20"/>
          <w:lang w:bidi="en-US"/>
        </w:rPr>
        <w:t>la Corte estima</w:t>
      </w:r>
      <w:r w:rsidR="004376F2" w:rsidRPr="004376F2">
        <w:rPr>
          <w:rFonts w:ascii="Verdana" w:hAnsi="Verdana" w:cs="Verdana"/>
          <w:sz w:val="20"/>
          <w:szCs w:val="20"/>
          <w:lang w:bidi="en-US"/>
        </w:rPr>
        <w:t xml:space="preserve"> conducente que el mismo </w:t>
      </w:r>
      <w:r w:rsidR="00CF5563">
        <w:rPr>
          <w:rFonts w:ascii="Verdana" w:hAnsi="Verdana" w:cs="Verdana"/>
          <w:sz w:val="20"/>
          <w:szCs w:val="20"/>
          <w:lang w:bidi="en-US"/>
        </w:rPr>
        <w:t>sea</w:t>
      </w:r>
      <w:r w:rsidR="004376F2" w:rsidRPr="004376F2">
        <w:rPr>
          <w:rFonts w:ascii="Verdana" w:hAnsi="Verdana" w:cs="Verdana"/>
          <w:sz w:val="20"/>
          <w:szCs w:val="20"/>
          <w:lang w:bidi="en-US"/>
        </w:rPr>
        <w:t xml:space="preserve"> rendido </w:t>
      </w:r>
      <w:r w:rsidR="00CF5563">
        <w:rPr>
          <w:rFonts w:ascii="Verdana" w:hAnsi="Verdana" w:cs="Verdana"/>
          <w:sz w:val="20"/>
          <w:szCs w:val="20"/>
          <w:lang w:bidi="en-US"/>
        </w:rPr>
        <w:t>durante la audiencia pública</w:t>
      </w:r>
      <w:r w:rsidR="004376F2" w:rsidRPr="004376F2">
        <w:rPr>
          <w:rStyle w:val="FootnoteReference"/>
          <w:rFonts w:ascii="Verdana" w:hAnsi="Verdana"/>
          <w:sz w:val="20"/>
          <w:szCs w:val="20"/>
          <w:lang w:bidi="en-US"/>
        </w:rPr>
        <w:footnoteReference w:id="8"/>
      </w:r>
      <w:r w:rsidR="004376F2" w:rsidRPr="004376F2">
        <w:rPr>
          <w:rFonts w:ascii="Verdana" w:hAnsi="Verdana" w:cs="Verdana"/>
          <w:sz w:val="20"/>
          <w:szCs w:val="20"/>
          <w:lang w:bidi="en-US"/>
        </w:rPr>
        <w:t xml:space="preserve">. </w:t>
      </w:r>
      <w:r w:rsidR="00CF5563" w:rsidRPr="00773F8C">
        <w:rPr>
          <w:rFonts w:ascii="Verdana" w:hAnsi="Verdana"/>
          <w:sz w:val="20"/>
          <w:szCs w:val="20"/>
        </w:rPr>
        <w:t xml:space="preserve">De conformidad con el artículo 50 del Reglamento, </w:t>
      </w:r>
      <w:r w:rsidR="00CF5563">
        <w:rPr>
          <w:rFonts w:ascii="Verdana" w:hAnsi="Verdana"/>
          <w:sz w:val="20"/>
          <w:szCs w:val="20"/>
          <w:lang w:val="es-GT"/>
        </w:rPr>
        <w:t>la Corte</w:t>
      </w:r>
      <w:r w:rsidR="00CF5563" w:rsidRPr="00773F8C">
        <w:rPr>
          <w:rFonts w:ascii="Verdana" w:hAnsi="Verdana"/>
          <w:sz w:val="20"/>
          <w:szCs w:val="20"/>
          <w:lang w:val="es-GT"/>
        </w:rPr>
        <w:t xml:space="preserve"> precisará </w:t>
      </w:r>
      <w:r w:rsidR="00CF5563">
        <w:rPr>
          <w:rFonts w:ascii="Verdana" w:hAnsi="Verdana"/>
          <w:sz w:val="20"/>
          <w:szCs w:val="20"/>
          <w:lang w:val="es-GT"/>
        </w:rPr>
        <w:t>la modalidad del peritaje</w:t>
      </w:r>
      <w:r w:rsidR="00CF5563" w:rsidRPr="00773F8C">
        <w:rPr>
          <w:rFonts w:ascii="Verdana" w:hAnsi="Verdana"/>
          <w:sz w:val="20"/>
          <w:szCs w:val="20"/>
          <w:lang w:val="es-GT"/>
        </w:rPr>
        <w:t xml:space="preserve"> en la parte resolutiva de esta Resolución</w:t>
      </w:r>
      <w:r w:rsidR="00CF5563" w:rsidRPr="00773F8C">
        <w:rPr>
          <w:rFonts w:ascii="Verdana" w:hAnsi="Verdana"/>
          <w:sz w:val="20"/>
          <w:szCs w:val="20"/>
        </w:rPr>
        <w:t>.</w:t>
      </w:r>
    </w:p>
    <w:p w14:paraId="712B3BB4" w14:textId="77777777" w:rsidR="00646116" w:rsidRPr="00BA4FA3" w:rsidRDefault="00646116" w:rsidP="00594851">
      <w:pPr>
        <w:pStyle w:val="Numberedparagraphs"/>
        <w:numPr>
          <w:ilvl w:val="0"/>
          <w:numId w:val="0"/>
        </w:numPr>
        <w:tabs>
          <w:tab w:val="left" w:pos="567"/>
        </w:tabs>
        <w:rPr>
          <w:lang w:val="es-ES"/>
        </w:rPr>
      </w:pPr>
    </w:p>
    <w:p w14:paraId="229E5A35" w14:textId="77777777" w:rsidR="00594851" w:rsidRPr="00CB6343" w:rsidRDefault="00594851" w:rsidP="00594851">
      <w:pPr>
        <w:pStyle w:val="PrrafodeSentencia"/>
        <w:numPr>
          <w:ilvl w:val="0"/>
          <w:numId w:val="0"/>
        </w:numPr>
        <w:rPr>
          <w:b/>
        </w:rPr>
      </w:pPr>
      <w:r w:rsidRPr="00CB6343">
        <w:rPr>
          <w:b/>
        </w:rPr>
        <w:t>POR TANTO:</w:t>
      </w:r>
    </w:p>
    <w:p w14:paraId="2FF779CC" w14:textId="77777777" w:rsidR="00594851" w:rsidRPr="00CB6343" w:rsidRDefault="00594851" w:rsidP="00594851">
      <w:pPr>
        <w:tabs>
          <w:tab w:val="left" w:pos="567"/>
        </w:tabs>
        <w:jc w:val="both"/>
        <w:rPr>
          <w:b/>
          <w:lang w:val="es-MX"/>
        </w:rPr>
      </w:pPr>
    </w:p>
    <w:p w14:paraId="44085915" w14:textId="77777777" w:rsidR="00594851" w:rsidRPr="00CB6343" w:rsidRDefault="00594851" w:rsidP="00594851">
      <w:pPr>
        <w:tabs>
          <w:tab w:val="left" w:pos="567"/>
        </w:tabs>
        <w:jc w:val="both"/>
        <w:rPr>
          <w:b/>
          <w:lang w:val="es-MX"/>
        </w:rPr>
      </w:pPr>
      <w:r w:rsidRPr="00CB6343">
        <w:rPr>
          <w:b/>
          <w:lang w:val="es-MX"/>
        </w:rPr>
        <w:t>LA CORTE INTERAMERICANA DE DERECHOS HUMANOS,</w:t>
      </w:r>
    </w:p>
    <w:p w14:paraId="0F4E4988" w14:textId="77777777" w:rsidR="00594851" w:rsidRPr="00CB6343" w:rsidRDefault="00594851" w:rsidP="00594851">
      <w:pPr>
        <w:tabs>
          <w:tab w:val="left" w:pos="567"/>
        </w:tabs>
        <w:jc w:val="both"/>
        <w:rPr>
          <w:lang w:val="es-MX"/>
        </w:rPr>
      </w:pPr>
    </w:p>
    <w:p w14:paraId="4967A426" w14:textId="77777777" w:rsidR="00594851" w:rsidRDefault="00365164" w:rsidP="00594851">
      <w:pPr>
        <w:tabs>
          <w:tab w:val="left" w:pos="567"/>
        </w:tabs>
        <w:jc w:val="both"/>
        <w:rPr>
          <w:lang w:val="es-MX"/>
        </w:rPr>
      </w:pPr>
      <w:r w:rsidRPr="00365164">
        <w:rPr>
          <w:lang w:val="es-MX"/>
        </w:rPr>
        <w:t>de conformidad con el artículo 25.2 del Estatuto de la Corte y con los artículos 31.2, 49 y 50 del Reglamento,</w:t>
      </w:r>
    </w:p>
    <w:p w14:paraId="2811130F" w14:textId="77777777" w:rsidR="00365164" w:rsidRPr="00CB6343" w:rsidRDefault="00365164" w:rsidP="00594851">
      <w:pPr>
        <w:tabs>
          <w:tab w:val="left" w:pos="567"/>
        </w:tabs>
        <w:jc w:val="both"/>
        <w:rPr>
          <w:b/>
          <w:lang w:val="es-MX"/>
        </w:rPr>
      </w:pPr>
    </w:p>
    <w:p w14:paraId="3214E457" w14:textId="77777777" w:rsidR="00594851" w:rsidRPr="00CB6343" w:rsidRDefault="00594851" w:rsidP="00594851">
      <w:pPr>
        <w:tabs>
          <w:tab w:val="left" w:pos="567"/>
        </w:tabs>
        <w:jc w:val="both"/>
        <w:rPr>
          <w:b/>
        </w:rPr>
      </w:pPr>
      <w:r w:rsidRPr="00CB6343">
        <w:rPr>
          <w:b/>
          <w:lang w:val="es-MX"/>
        </w:rPr>
        <w:t>RESUELVE</w:t>
      </w:r>
      <w:r w:rsidRPr="00CB6343">
        <w:rPr>
          <w:b/>
        </w:rPr>
        <w:t>:</w:t>
      </w:r>
    </w:p>
    <w:p w14:paraId="6688B8CB" w14:textId="77777777" w:rsidR="00594851" w:rsidRDefault="00594851" w:rsidP="00594851">
      <w:pPr>
        <w:tabs>
          <w:tab w:val="left" w:pos="567"/>
        </w:tabs>
        <w:jc w:val="both"/>
        <w:rPr>
          <w:b/>
        </w:rPr>
      </w:pPr>
    </w:p>
    <w:p w14:paraId="26261FC3" w14:textId="77777777" w:rsidR="00806EC9" w:rsidRPr="00806EC9" w:rsidRDefault="00806EC9" w:rsidP="00594851">
      <w:pPr>
        <w:tabs>
          <w:tab w:val="left" w:pos="567"/>
        </w:tabs>
        <w:jc w:val="both"/>
        <w:rPr>
          <w:b/>
        </w:rPr>
      </w:pPr>
      <w:proofErr w:type="spellStart"/>
      <w:r>
        <w:rPr>
          <w:b/>
        </w:rPr>
        <w:t>por</w:t>
      </w:r>
      <w:proofErr w:type="spellEnd"/>
      <w:r>
        <w:rPr>
          <w:b/>
        </w:rPr>
        <w:t xml:space="preserve"> </w:t>
      </w:r>
      <w:proofErr w:type="spellStart"/>
      <w:r>
        <w:rPr>
          <w:b/>
        </w:rPr>
        <w:t>unanimidad</w:t>
      </w:r>
      <w:proofErr w:type="spellEnd"/>
      <w:r>
        <w:rPr>
          <w:b/>
        </w:rPr>
        <w:t>,</w:t>
      </w:r>
    </w:p>
    <w:p w14:paraId="1F9D316A" w14:textId="77777777" w:rsidR="00806EC9" w:rsidRPr="00CB6343" w:rsidRDefault="00806EC9" w:rsidP="00594851">
      <w:pPr>
        <w:tabs>
          <w:tab w:val="left" w:pos="567"/>
        </w:tabs>
        <w:jc w:val="both"/>
        <w:rPr>
          <w:b/>
        </w:rPr>
      </w:pPr>
    </w:p>
    <w:p w14:paraId="6C7D8479" w14:textId="78EAF34A" w:rsidR="00F13F6F" w:rsidRPr="00EE6268" w:rsidRDefault="00365164" w:rsidP="007917BD">
      <w:pPr>
        <w:pStyle w:val="Numberedparagraphs"/>
        <w:numPr>
          <w:ilvl w:val="0"/>
          <w:numId w:val="2"/>
        </w:numPr>
        <w:tabs>
          <w:tab w:val="clear" w:pos="720"/>
          <w:tab w:val="num" w:pos="540"/>
          <w:tab w:val="left" w:pos="567"/>
        </w:tabs>
        <w:rPr>
          <w:lang w:val="es-PE"/>
        </w:rPr>
      </w:pPr>
      <w:r w:rsidRPr="00EE6268">
        <w:t>Modificar, en lo p</w:t>
      </w:r>
      <w:r w:rsidR="00253BC4" w:rsidRPr="00EE6268">
        <w:t xml:space="preserve">ertinente, el punto resolutivo </w:t>
      </w:r>
      <w:r w:rsidR="00F13F6F" w:rsidRPr="00EE6268">
        <w:t>4</w:t>
      </w:r>
      <w:r w:rsidRPr="00EE6268">
        <w:t xml:space="preserve">, inciso </w:t>
      </w:r>
      <w:r w:rsidR="00F13F6F" w:rsidRPr="00EE6268">
        <w:t>b</w:t>
      </w:r>
      <w:r w:rsidRPr="00EE6268">
        <w:t>), de la Resoluci</w:t>
      </w:r>
      <w:r w:rsidR="00F13F6F" w:rsidRPr="00EE6268">
        <w:t>ón del Presidente de 12 de diciembre de 2019</w:t>
      </w:r>
      <w:r w:rsidRPr="00EE6268">
        <w:t>, en atención a</w:t>
      </w:r>
      <w:r w:rsidR="00F13F6F" w:rsidRPr="00EE6268">
        <w:t xml:space="preserve"> </w:t>
      </w:r>
      <w:r w:rsidR="004A05F8" w:rsidRPr="00EE6268">
        <w:t>l</w:t>
      </w:r>
      <w:r w:rsidR="00F13F6F" w:rsidRPr="00EE6268">
        <w:t>os</w:t>
      </w:r>
      <w:r w:rsidR="004A05F8" w:rsidRPr="00EE6268">
        <w:t xml:space="preserve"> considerando</w:t>
      </w:r>
      <w:r w:rsidR="00F13F6F" w:rsidRPr="00EE6268">
        <w:t>s</w:t>
      </w:r>
      <w:r w:rsidRPr="00EE6268">
        <w:t xml:space="preserve"> </w:t>
      </w:r>
      <w:r w:rsidR="00F13F6F" w:rsidRPr="00EE6268">
        <w:t>5 al 7</w:t>
      </w:r>
      <w:r w:rsidR="00253BC4" w:rsidRPr="00EE6268">
        <w:t xml:space="preserve"> de la presente </w:t>
      </w:r>
      <w:r w:rsidR="00904EF1" w:rsidRPr="00EE6268">
        <w:t>Resolución</w:t>
      </w:r>
      <w:r w:rsidR="00253BC4" w:rsidRPr="00EE6268">
        <w:t xml:space="preserve"> con la finalidad de</w:t>
      </w:r>
      <w:r w:rsidRPr="00EE6268">
        <w:t xml:space="preserve"> </w:t>
      </w:r>
      <w:r w:rsidR="00F13F6F" w:rsidRPr="00EE6268">
        <w:t xml:space="preserve">admitir la declaración de </w:t>
      </w:r>
      <w:r w:rsidR="00F13F6F" w:rsidRPr="00EE6268">
        <w:rPr>
          <w:rFonts w:eastAsia="Verdana"/>
          <w:lang w:val="es-PE"/>
        </w:rPr>
        <w:t>Julio César Ortiz y Olga Lucía Durán para que declaren sobre “</w:t>
      </w:r>
      <w:r w:rsidR="00F13F6F" w:rsidRPr="00EE6268">
        <w:t>las afectaciones al debido proceso que se produjeron en el desarrollo de los procesos disciplinarios en los que actuaron como defensores y las consecuencias de las mismas”. Dichas declaraciones deberán remitirse por escrito al Tribunal a más tardar el 3 de febrero de 2020.</w:t>
      </w:r>
      <w:r w:rsidR="00EE6268">
        <w:t xml:space="preserve"> El Estado podrá, de considerarlo pertinente, y en el plazo improrrogable que vence el 30 de enero de 2020, remitir las preguntas que estime formular a través de la Corte Interamericana a </w:t>
      </w:r>
      <w:r w:rsidR="00EE6268" w:rsidRPr="00EE6268">
        <w:rPr>
          <w:rFonts w:eastAsia="Verdana"/>
          <w:lang w:val="es-PE"/>
        </w:rPr>
        <w:t>Julio César Ortiz y Olga Lucía Durán</w:t>
      </w:r>
      <w:r w:rsidR="00EE6268">
        <w:rPr>
          <w:rFonts w:eastAsia="Verdana"/>
          <w:lang w:val="es-PE"/>
        </w:rPr>
        <w:t>.</w:t>
      </w:r>
    </w:p>
    <w:p w14:paraId="26501569" w14:textId="77777777" w:rsidR="00FF7736" w:rsidRPr="00FF7736" w:rsidRDefault="00FF7736" w:rsidP="00FF7736">
      <w:pPr>
        <w:pStyle w:val="Numberedparagraphs"/>
        <w:numPr>
          <w:ilvl w:val="0"/>
          <w:numId w:val="0"/>
        </w:numPr>
        <w:tabs>
          <w:tab w:val="left" w:pos="567"/>
        </w:tabs>
        <w:rPr>
          <w:lang w:val="es-PE"/>
        </w:rPr>
      </w:pPr>
    </w:p>
    <w:p w14:paraId="695235EF" w14:textId="77777777" w:rsidR="00FF7736" w:rsidRPr="00BA4FA3" w:rsidRDefault="00FF7736" w:rsidP="007917BD">
      <w:pPr>
        <w:pStyle w:val="Numberedparagraphs"/>
        <w:numPr>
          <w:ilvl w:val="0"/>
          <w:numId w:val="2"/>
        </w:numPr>
        <w:tabs>
          <w:tab w:val="clear" w:pos="720"/>
          <w:tab w:val="num" w:pos="540"/>
          <w:tab w:val="left" w:pos="567"/>
        </w:tabs>
        <w:rPr>
          <w:lang w:val="es-PE"/>
        </w:rPr>
      </w:pPr>
      <w:r>
        <w:t xml:space="preserve">Modificar, en lo pertinente, el punto resolutivo 1, inciso c), de la Resolución del Presidente de 12 de diciembre de 2019, en atención al considerando 14 de la presente Resolución con la finalidad de convocar a la audiencia pública al señor </w:t>
      </w:r>
      <w:proofErr w:type="spellStart"/>
      <w:r>
        <w:rPr>
          <w:lang w:val="es-PE"/>
        </w:rPr>
        <w:t>Matthias</w:t>
      </w:r>
      <w:proofErr w:type="spellEnd"/>
      <w:r>
        <w:rPr>
          <w:lang w:val="es-PE"/>
        </w:rPr>
        <w:t xml:space="preserve"> </w:t>
      </w:r>
      <w:proofErr w:type="spellStart"/>
      <w:r>
        <w:rPr>
          <w:lang w:val="es-PE"/>
        </w:rPr>
        <w:t>Herdegen</w:t>
      </w:r>
      <w:proofErr w:type="spellEnd"/>
      <w:r>
        <w:rPr>
          <w:lang w:val="es-PE"/>
        </w:rPr>
        <w:t xml:space="preserve"> </w:t>
      </w:r>
      <w:r w:rsidRPr="00F13F6F">
        <w:rPr>
          <w:lang w:val="es-PE"/>
        </w:rPr>
        <w:t xml:space="preserve">con el objeto de que brinde su </w:t>
      </w:r>
      <w:r>
        <w:rPr>
          <w:lang w:val="es-PE"/>
        </w:rPr>
        <w:t>peritaje</w:t>
      </w:r>
      <w:r w:rsidRPr="00F13F6F">
        <w:rPr>
          <w:lang w:val="es-PE"/>
        </w:rPr>
        <w:t xml:space="preserve"> ante la Corte.</w:t>
      </w:r>
      <w:r>
        <w:t xml:space="preserve"> </w:t>
      </w:r>
      <w:r w:rsidRPr="00FF7736">
        <w:rPr>
          <w:rFonts w:eastAsia="Times"/>
          <w:lang w:val="es-ES"/>
        </w:rPr>
        <w:t>El perito, de considerarlo pertinente, deberá aportar una versión escrita de su peritaje a más tardar el 27 de enero de 2020</w:t>
      </w:r>
      <w:r w:rsidRPr="00FF7736">
        <w:t>.</w:t>
      </w:r>
    </w:p>
    <w:p w14:paraId="11EBF508" w14:textId="77777777" w:rsidR="00BA4FA3" w:rsidRPr="00BA4FA3" w:rsidRDefault="00BA4FA3" w:rsidP="00BA4FA3">
      <w:pPr>
        <w:rPr>
          <w:lang w:val="es-PE"/>
        </w:rPr>
      </w:pPr>
    </w:p>
    <w:p w14:paraId="5146CF44" w14:textId="77777777" w:rsidR="00F13F6F" w:rsidRPr="00BA4FA3" w:rsidRDefault="00FF7736" w:rsidP="00FF7736">
      <w:pPr>
        <w:pStyle w:val="Numberedparagraphs"/>
        <w:numPr>
          <w:ilvl w:val="0"/>
          <w:numId w:val="2"/>
        </w:numPr>
        <w:tabs>
          <w:tab w:val="clear" w:pos="720"/>
          <w:tab w:val="num" w:pos="540"/>
          <w:tab w:val="left" w:pos="567"/>
        </w:tabs>
        <w:rPr>
          <w:lang w:val="es-PE"/>
        </w:rPr>
      </w:pPr>
      <w:r w:rsidRPr="00FF7736">
        <w:t>D</w:t>
      </w:r>
      <w:r w:rsidR="007917BD" w:rsidRPr="00FF7736">
        <w:t xml:space="preserve">eclarar improcedente la solicitud </w:t>
      </w:r>
      <w:r w:rsidRPr="00FF7736">
        <w:t>de los representantes</w:t>
      </w:r>
      <w:r w:rsidR="007917BD" w:rsidRPr="00FF7736">
        <w:t xml:space="preserve"> para </w:t>
      </w:r>
      <w:r w:rsidRPr="00FF7736">
        <w:t xml:space="preserve">admitir el peritaje del </w:t>
      </w:r>
      <w:r w:rsidRPr="00FF7736">
        <w:rPr>
          <w:rFonts w:eastAsia="Verdana"/>
          <w:lang w:val="es-PE"/>
        </w:rPr>
        <w:t>Instituto de Estudios Socio-Históricos Fray Alonso de Zamora</w:t>
      </w:r>
      <w:r w:rsidR="007917BD" w:rsidRPr="00FF7736">
        <w:rPr>
          <w:rFonts w:eastAsia="Verdana"/>
          <w:lang w:val="es-PE"/>
        </w:rPr>
        <w:t>,</w:t>
      </w:r>
      <w:r w:rsidRPr="00FF7736">
        <w:rPr>
          <w:rFonts w:eastAsia="Verdana"/>
          <w:lang w:val="es-PE"/>
        </w:rPr>
        <w:t xml:space="preserve"> y para admitir</w:t>
      </w:r>
      <w:r w:rsidR="00B23B6D">
        <w:rPr>
          <w:rFonts w:eastAsia="Verdana"/>
          <w:lang w:val="es-PE"/>
        </w:rPr>
        <w:t xml:space="preserve"> la sustitución de</w:t>
      </w:r>
      <w:r w:rsidRPr="00FF7736">
        <w:rPr>
          <w:rFonts w:eastAsia="Verdana"/>
          <w:lang w:val="es-PE"/>
        </w:rPr>
        <w:t xml:space="preserve"> los peritajes </w:t>
      </w:r>
      <w:r w:rsidR="00B23B6D">
        <w:rPr>
          <w:rFonts w:eastAsia="Verdana"/>
          <w:lang w:val="es-PE"/>
        </w:rPr>
        <w:t xml:space="preserve">de la señora Vilma Liliana Villa y el señor Ariel </w:t>
      </w:r>
      <w:proofErr w:type="spellStart"/>
      <w:r w:rsidR="00B23B6D">
        <w:rPr>
          <w:rFonts w:eastAsia="Verdana"/>
          <w:lang w:val="es-PE"/>
        </w:rPr>
        <w:t>Dulitsky</w:t>
      </w:r>
      <w:proofErr w:type="spellEnd"/>
      <w:r w:rsidRPr="00FF7736">
        <w:rPr>
          <w:rFonts w:eastAsia="Verdana"/>
          <w:lang w:val="es-PE"/>
        </w:rPr>
        <w:t>,</w:t>
      </w:r>
      <w:r w:rsidR="007917BD" w:rsidRPr="00FF7736">
        <w:rPr>
          <w:rFonts w:eastAsia="Verdana"/>
          <w:lang w:val="es-PE"/>
        </w:rPr>
        <w:t xml:space="preserve"> </w:t>
      </w:r>
      <w:r w:rsidR="00253BC4" w:rsidRPr="00FF7736">
        <w:rPr>
          <w:rFonts w:eastAsia="Verdana"/>
          <w:lang w:val="es-PE"/>
        </w:rPr>
        <w:t xml:space="preserve">en </w:t>
      </w:r>
      <w:r w:rsidR="007917BD" w:rsidRPr="00FF7736">
        <w:rPr>
          <w:rFonts w:eastAsia="Verdana"/>
          <w:lang w:val="es-PE"/>
        </w:rPr>
        <w:t xml:space="preserve">atención a los considerandos </w:t>
      </w:r>
      <w:r w:rsidRPr="00FF7736">
        <w:rPr>
          <w:rFonts w:eastAsia="Verdana"/>
          <w:lang w:val="es-PE"/>
        </w:rPr>
        <w:t xml:space="preserve">10 </w:t>
      </w:r>
      <w:r w:rsidR="00DC200F" w:rsidRPr="00FF7736">
        <w:rPr>
          <w:rFonts w:eastAsia="Verdana"/>
          <w:lang w:val="es-PE"/>
        </w:rPr>
        <w:t>al 1</w:t>
      </w:r>
      <w:r w:rsidRPr="00FF7736">
        <w:rPr>
          <w:rFonts w:eastAsia="Verdana"/>
          <w:lang w:val="es-PE"/>
        </w:rPr>
        <w:t>2</w:t>
      </w:r>
      <w:r w:rsidR="008420F1" w:rsidRPr="00FF7736">
        <w:rPr>
          <w:rFonts w:eastAsia="Verdana"/>
          <w:lang w:val="es-PE"/>
        </w:rPr>
        <w:t xml:space="preserve"> de la presente </w:t>
      </w:r>
      <w:r w:rsidR="00904EF1" w:rsidRPr="00FF7736">
        <w:rPr>
          <w:rFonts w:eastAsia="Verdana"/>
          <w:lang w:val="es-PE"/>
        </w:rPr>
        <w:t>R</w:t>
      </w:r>
      <w:r w:rsidR="008420F1" w:rsidRPr="00FF7736">
        <w:rPr>
          <w:rFonts w:eastAsia="Verdana"/>
          <w:lang w:val="es-PE"/>
        </w:rPr>
        <w:t>esolución.</w:t>
      </w:r>
    </w:p>
    <w:p w14:paraId="248A439D" w14:textId="77777777" w:rsidR="008420F1" w:rsidRPr="001F475B" w:rsidRDefault="008420F1" w:rsidP="001F475B">
      <w:pPr>
        <w:rPr>
          <w:lang w:val="es-PE"/>
        </w:rPr>
      </w:pPr>
    </w:p>
    <w:p w14:paraId="6750A4B1" w14:textId="77777777" w:rsidR="008420F1" w:rsidRPr="007917BD" w:rsidRDefault="008420F1" w:rsidP="007917BD">
      <w:pPr>
        <w:pStyle w:val="Numberedparagraphs"/>
        <w:numPr>
          <w:ilvl w:val="0"/>
          <w:numId w:val="2"/>
        </w:numPr>
        <w:tabs>
          <w:tab w:val="clear" w:pos="720"/>
          <w:tab w:val="num" w:pos="540"/>
          <w:tab w:val="left" w:pos="567"/>
        </w:tabs>
        <w:rPr>
          <w:lang w:val="es-PE"/>
        </w:rPr>
      </w:pPr>
      <w:r>
        <w:rPr>
          <w:lang w:val="es-PE"/>
        </w:rPr>
        <w:t xml:space="preserve">Disponer que la Secretaría de la Corte Interamericana notifique la presente Resolución al Estado, </w:t>
      </w:r>
      <w:r w:rsidR="00FF7736">
        <w:rPr>
          <w:lang w:val="es-PE"/>
        </w:rPr>
        <w:t>los representantes de la presunta víctima</w:t>
      </w:r>
      <w:r>
        <w:rPr>
          <w:lang w:val="es-PE"/>
        </w:rPr>
        <w:t xml:space="preserve"> y a la Comisión Interamericana.</w:t>
      </w:r>
    </w:p>
    <w:p w14:paraId="1BCAFF28" w14:textId="77777777" w:rsidR="00BA4FA3" w:rsidRDefault="00BA4FA3">
      <w:pPr>
        <w:spacing w:after="160" w:line="259" w:lineRule="auto"/>
        <w:rPr>
          <w:rFonts w:ascii="Calibri" w:eastAsia="Calibri" w:hAnsi="Calibri"/>
          <w:sz w:val="22"/>
          <w:szCs w:val="22"/>
          <w:lang w:val="es-CR"/>
        </w:rPr>
      </w:pPr>
      <w:r w:rsidRPr="003F490A">
        <w:rPr>
          <w:lang w:val="es-CR"/>
        </w:rPr>
        <w:br w:type="page"/>
      </w:r>
    </w:p>
    <w:p w14:paraId="55AB67BD" w14:textId="77777777" w:rsidR="00281CA5" w:rsidRPr="00281CA5" w:rsidRDefault="00281CA5" w:rsidP="00281CA5">
      <w:pPr>
        <w:keepNext/>
        <w:jc w:val="both"/>
        <w:outlineLvl w:val="0"/>
        <w:rPr>
          <w:rFonts w:cs="Arial"/>
          <w:lang w:val="es-CR"/>
        </w:rPr>
      </w:pPr>
      <w:r>
        <w:rPr>
          <w:rFonts w:cs="Courier New"/>
          <w:noProof/>
          <w:lang w:val="es-AR"/>
        </w:rPr>
        <w:lastRenderedPageBreak/>
        <w:t xml:space="preserve">Corte IDH. </w:t>
      </w:r>
      <w:r w:rsidRPr="00281CA5">
        <w:rPr>
          <w:bCs/>
          <w:i/>
          <w:lang w:val="es-CR"/>
        </w:rPr>
        <w:t>Caso Petro Urrego Vs. Colombia.</w:t>
      </w:r>
      <w:r w:rsidRPr="00281CA5">
        <w:rPr>
          <w:rFonts w:cs="Arial"/>
          <w:lang w:val="es-CR"/>
        </w:rPr>
        <w:t xml:space="preserve"> </w:t>
      </w:r>
      <w:r>
        <w:rPr>
          <w:lang w:val="es-ES"/>
        </w:rPr>
        <w:t>Resolución de la Corte Interamericana de Derechos Humanos de 27 de enero</w:t>
      </w:r>
      <w:r w:rsidRPr="00281CA5">
        <w:rPr>
          <w:lang w:val="es-CR"/>
        </w:rPr>
        <w:t xml:space="preserve"> de 2020</w:t>
      </w:r>
      <w:r>
        <w:rPr>
          <w:lang w:val="es-ES"/>
        </w:rPr>
        <w:t>.</w:t>
      </w:r>
    </w:p>
    <w:p w14:paraId="2BB79F12" w14:textId="77777777" w:rsidR="00281CA5" w:rsidRPr="00281CA5" w:rsidRDefault="00281CA5" w:rsidP="00281CA5">
      <w:pPr>
        <w:rPr>
          <w:lang w:val="es-CR"/>
        </w:rPr>
      </w:pPr>
    </w:p>
    <w:p w14:paraId="3E5E2E1C" w14:textId="77777777" w:rsidR="00281CA5" w:rsidRDefault="00281CA5" w:rsidP="00281CA5">
      <w:pPr>
        <w:rPr>
          <w:lang w:val="es-ES"/>
        </w:rPr>
      </w:pPr>
    </w:p>
    <w:p w14:paraId="3E1BC755" w14:textId="77777777" w:rsidR="00281CA5" w:rsidRDefault="00281CA5" w:rsidP="00281CA5">
      <w:pPr>
        <w:rPr>
          <w:lang w:val="es-ES"/>
        </w:rPr>
      </w:pPr>
    </w:p>
    <w:p w14:paraId="4ABAD594" w14:textId="77777777" w:rsidR="00281CA5" w:rsidRDefault="00281CA5" w:rsidP="00281CA5">
      <w:pPr>
        <w:rPr>
          <w:lang w:val="es-ES"/>
        </w:rPr>
      </w:pPr>
    </w:p>
    <w:p w14:paraId="7CA07677" w14:textId="77777777" w:rsidR="00281CA5" w:rsidRDefault="00281CA5" w:rsidP="00281CA5">
      <w:pPr>
        <w:rPr>
          <w:lang w:val="es-ES"/>
        </w:rPr>
      </w:pPr>
    </w:p>
    <w:p w14:paraId="32ED9C0E" w14:textId="77777777" w:rsidR="00281CA5" w:rsidRDefault="00281CA5" w:rsidP="00281CA5">
      <w:pPr>
        <w:jc w:val="center"/>
        <w:rPr>
          <w:lang w:val="pt-BR"/>
        </w:rPr>
      </w:pPr>
      <w:r>
        <w:rPr>
          <w:lang w:val="pt-BR"/>
        </w:rPr>
        <w:t>Elizabeth Odio Benito</w:t>
      </w:r>
    </w:p>
    <w:p w14:paraId="6088A36B" w14:textId="77777777" w:rsidR="00281CA5" w:rsidRDefault="00281CA5" w:rsidP="00281CA5">
      <w:pPr>
        <w:jc w:val="center"/>
        <w:rPr>
          <w:lang w:val="pt-BR"/>
        </w:rPr>
      </w:pPr>
      <w:r>
        <w:rPr>
          <w:lang w:val="pt-BR"/>
        </w:rPr>
        <w:t>Presidenta</w:t>
      </w:r>
    </w:p>
    <w:p w14:paraId="74F23402" w14:textId="77777777" w:rsidR="00281CA5" w:rsidRDefault="00281CA5" w:rsidP="00281CA5">
      <w:pPr>
        <w:jc w:val="both"/>
        <w:rPr>
          <w:lang w:val="pt-BR"/>
        </w:rPr>
      </w:pPr>
    </w:p>
    <w:p w14:paraId="0AC21F66" w14:textId="77777777" w:rsidR="00281CA5" w:rsidRDefault="00281CA5" w:rsidP="00281CA5">
      <w:pPr>
        <w:jc w:val="both"/>
        <w:rPr>
          <w:lang w:val="pt-BR"/>
        </w:rPr>
      </w:pPr>
    </w:p>
    <w:p w14:paraId="543B4A78" w14:textId="77777777" w:rsidR="00281CA5" w:rsidRDefault="00281CA5" w:rsidP="00281CA5">
      <w:pPr>
        <w:jc w:val="both"/>
        <w:rPr>
          <w:lang w:val="pt-BR"/>
        </w:rPr>
      </w:pPr>
    </w:p>
    <w:p w14:paraId="01A4C333" w14:textId="77777777" w:rsidR="00281CA5" w:rsidRDefault="00281CA5" w:rsidP="00281CA5">
      <w:pPr>
        <w:jc w:val="both"/>
        <w:rPr>
          <w:lang w:val="pt-BR"/>
        </w:rPr>
      </w:pPr>
    </w:p>
    <w:p w14:paraId="28E13AB2" w14:textId="77777777" w:rsidR="00281CA5" w:rsidRDefault="00281CA5" w:rsidP="00281CA5">
      <w:pPr>
        <w:jc w:val="both"/>
        <w:rPr>
          <w:lang w:val="pt-BR"/>
        </w:rPr>
      </w:pPr>
    </w:p>
    <w:p w14:paraId="639576DC" w14:textId="77777777" w:rsidR="00281CA5" w:rsidRDefault="00281CA5" w:rsidP="00281CA5">
      <w:pPr>
        <w:rPr>
          <w:lang w:val="pt-BR"/>
        </w:rPr>
      </w:pPr>
      <w:r>
        <w:rPr>
          <w:lang w:val="pt-BR"/>
        </w:rPr>
        <w:t>L. Patricio Pazmiño Freire</w:t>
      </w:r>
      <w:r>
        <w:rPr>
          <w:lang w:val="pt-BR"/>
        </w:rPr>
        <w:tab/>
      </w:r>
      <w:r>
        <w:rPr>
          <w:lang w:val="pt-BR"/>
        </w:rPr>
        <w:tab/>
      </w:r>
      <w:r>
        <w:rPr>
          <w:lang w:val="pt-BR"/>
        </w:rPr>
        <w:tab/>
      </w:r>
      <w:r>
        <w:rPr>
          <w:lang w:val="pt-BR"/>
        </w:rPr>
        <w:tab/>
      </w:r>
      <w:r>
        <w:rPr>
          <w:lang w:val="pt-BR"/>
        </w:rPr>
        <w:tab/>
        <w:t xml:space="preserve">                  Eduardo Vio Grossi</w:t>
      </w:r>
    </w:p>
    <w:p w14:paraId="77FDC41A" w14:textId="77777777" w:rsidR="00281CA5" w:rsidRDefault="00281CA5" w:rsidP="00281CA5">
      <w:pPr>
        <w:rPr>
          <w:lang w:val="pt-BR"/>
        </w:rPr>
      </w:pPr>
    </w:p>
    <w:p w14:paraId="5D590A70" w14:textId="77777777" w:rsidR="00281CA5" w:rsidRDefault="00281CA5" w:rsidP="00281CA5">
      <w:pPr>
        <w:rPr>
          <w:lang w:val="pt-BR"/>
        </w:rPr>
      </w:pPr>
    </w:p>
    <w:p w14:paraId="3BF2413B" w14:textId="77777777" w:rsidR="00281CA5" w:rsidRDefault="00281CA5" w:rsidP="00281CA5">
      <w:pPr>
        <w:rPr>
          <w:lang w:val="pt-BR"/>
        </w:rPr>
      </w:pPr>
    </w:p>
    <w:p w14:paraId="57BD4667" w14:textId="77777777" w:rsidR="00281CA5" w:rsidRDefault="00281CA5" w:rsidP="00281CA5">
      <w:pPr>
        <w:rPr>
          <w:lang w:val="pt-BR"/>
        </w:rPr>
      </w:pPr>
    </w:p>
    <w:p w14:paraId="1342D2AF" w14:textId="77777777" w:rsidR="00281CA5" w:rsidRDefault="00281CA5" w:rsidP="00281CA5">
      <w:pPr>
        <w:jc w:val="both"/>
        <w:rPr>
          <w:lang w:val="pt-BR"/>
        </w:rPr>
      </w:pPr>
    </w:p>
    <w:p w14:paraId="05994152" w14:textId="77777777" w:rsidR="00281CA5" w:rsidRDefault="00281CA5" w:rsidP="00281CA5">
      <w:pPr>
        <w:rPr>
          <w:lang w:val="pt-BR"/>
        </w:rPr>
      </w:pPr>
      <w:r>
        <w:rPr>
          <w:lang w:val="pt-BR"/>
        </w:rPr>
        <w:t>Eduardo Ferrer Mac-Gregor Poisot</w:t>
      </w:r>
      <w:r>
        <w:rPr>
          <w:lang w:val="pt-BR"/>
        </w:rPr>
        <w:tab/>
      </w:r>
      <w:r>
        <w:rPr>
          <w:lang w:val="pt-BR"/>
        </w:rPr>
        <w:tab/>
      </w:r>
      <w:r>
        <w:rPr>
          <w:lang w:val="pt-BR"/>
        </w:rPr>
        <w:tab/>
        <w:t xml:space="preserve">      </w:t>
      </w:r>
      <w:r>
        <w:rPr>
          <w:lang w:val="pt-BR"/>
        </w:rPr>
        <w:tab/>
      </w:r>
      <w:r>
        <w:rPr>
          <w:lang w:val="pt-BR"/>
        </w:rPr>
        <w:tab/>
        <w:t xml:space="preserve">  Eugenio Raúl Zaffaroni</w:t>
      </w:r>
    </w:p>
    <w:p w14:paraId="636B8DAD" w14:textId="77777777" w:rsidR="00281CA5" w:rsidRDefault="00281CA5" w:rsidP="00281CA5">
      <w:pPr>
        <w:rPr>
          <w:lang w:val="pt-BR"/>
        </w:rPr>
      </w:pPr>
    </w:p>
    <w:p w14:paraId="30270A1A" w14:textId="77777777" w:rsidR="00281CA5" w:rsidRDefault="00281CA5" w:rsidP="00281CA5">
      <w:pPr>
        <w:rPr>
          <w:lang w:val="pt-BR"/>
        </w:rPr>
      </w:pPr>
    </w:p>
    <w:p w14:paraId="64BB62A2" w14:textId="77777777" w:rsidR="00281CA5" w:rsidRDefault="00281CA5" w:rsidP="00281CA5">
      <w:pPr>
        <w:rPr>
          <w:lang w:val="pt-BR"/>
        </w:rPr>
      </w:pPr>
    </w:p>
    <w:p w14:paraId="03C3BCDE" w14:textId="77777777" w:rsidR="00281CA5" w:rsidRDefault="00281CA5" w:rsidP="00281CA5">
      <w:pPr>
        <w:rPr>
          <w:lang w:val="pt-BR"/>
        </w:rPr>
      </w:pPr>
    </w:p>
    <w:p w14:paraId="0731463A" w14:textId="77777777" w:rsidR="00281CA5" w:rsidRDefault="00281CA5" w:rsidP="00281CA5">
      <w:pPr>
        <w:rPr>
          <w:lang w:val="pt-BR"/>
        </w:rPr>
      </w:pPr>
    </w:p>
    <w:p w14:paraId="085FCDAE" w14:textId="77777777" w:rsidR="00281CA5" w:rsidRPr="00281CA5" w:rsidRDefault="00281CA5" w:rsidP="00281CA5">
      <w:pPr>
        <w:jc w:val="center"/>
        <w:rPr>
          <w:lang w:val="es-CR"/>
        </w:rPr>
      </w:pPr>
      <w:r w:rsidRPr="00281CA5">
        <w:rPr>
          <w:lang w:val="es-CR"/>
        </w:rPr>
        <w:t>Ricardo C. Pérez Manrique</w:t>
      </w:r>
    </w:p>
    <w:p w14:paraId="5E623EF0" w14:textId="77777777" w:rsidR="00281CA5" w:rsidRDefault="00281CA5" w:rsidP="00281CA5">
      <w:pPr>
        <w:jc w:val="both"/>
        <w:rPr>
          <w:lang w:val="pt-BR"/>
        </w:rPr>
      </w:pPr>
    </w:p>
    <w:p w14:paraId="7A1555E6" w14:textId="77777777" w:rsidR="00281CA5" w:rsidRDefault="00281CA5" w:rsidP="00281CA5">
      <w:pPr>
        <w:jc w:val="both"/>
        <w:rPr>
          <w:lang w:val="pt-BR"/>
        </w:rPr>
      </w:pPr>
    </w:p>
    <w:p w14:paraId="1F8D5B28" w14:textId="77777777" w:rsidR="00281CA5" w:rsidRDefault="00281CA5" w:rsidP="00281CA5">
      <w:pPr>
        <w:jc w:val="both"/>
        <w:rPr>
          <w:lang w:val="pt-BR"/>
        </w:rPr>
      </w:pPr>
    </w:p>
    <w:p w14:paraId="0CEED817" w14:textId="77777777" w:rsidR="00281CA5" w:rsidRDefault="00281CA5" w:rsidP="00281CA5">
      <w:pPr>
        <w:jc w:val="both"/>
        <w:rPr>
          <w:lang w:val="pt-BR"/>
        </w:rPr>
      </w:pPr>
    </w:p>
    <w:p w14:paraId="41E49391" w14:textId="77777777" w:rsidR="00281CA5" w:rsidRDefault="00281CA5" w:rsidP="00281CA5">
      <w:pPr>
        <w:jc w:val="both"/>
        <w:rPr>
          <w:lang w:val="pt-BR"/>
        </w:rPr>
      </w:pPr>
    </w:p>
    <w:p w14:paraId="78FDF7C4" w14:textId="77777777" w:rsidR="00281CA5" w:rsidRDefault="00281CA5" w:rsidP="00281CA5">
      <w:pPr>
        <w:jc w:val="center"/>
        <w:rPr>
          <w:lang w:val="pt-BR"/>
        </w:rPr>
      </w:pPr>
      <w:r>
        <w:rPr>
          <w:lang w:val="pt-BR"/>
        </w:rPr>
        <w:t>Pablo Saavedra Alessandri</w:t>
      </w:r>
    </w:p>
    <w:p w14:paraId="42170F17" w14:textId="77777777" w:rsidR="00281CA5" w:rsidRDefault="00281CA5" w:rsidP="00281CA5">
      <w:pPr>
        <w:jc w:val="center"/>
        <w:rPr>
          <w:lang w:val="pt-BR"/>
        </w:rPr>
      </w:pPr>
      <w:r>
        <w:rPr>
          <w:lang w:val="pt-BR"/>
        </w:rPr>
        <w:t>Secretario</w:t>
      </w:r>
    </w:p>
    <w:p w14:paraId="09AACCFC" w14:textId="77777777" w:rsidR="00281CA5" w:rsidRDefault="00281CA5" w:rsidP="00281CA5">
      <w:pPr>
        <w:rPr>
          <w:lang w:val="pt-BR"/>
        </w:rPr>
      </w:pPr>
    </w:p>
    <w:p w14:paraId="78869B09" w14:textId="77777777" w:rsidR="00281CA5" w:rsidRDefault="00281CA5" w:rsidP="00281CA5">
      <w:pPr>
        <w:rPr>
          <w:lang w:val="pt-BR"/>
        </w:rPr>
      </w:pPr>
    </w:p>
    <w:p w14:paraId="5EF6B103" w14:textId="77777777" w:rsidR="00281CA5" w:rsidRDefault="00281CA5" w:rsidP="00281CA5">
      <w:pPr>
        <w:rPr>
          <w:lang w:val="pt-BR"/>
        </w:rPr>
      </w:pPr>
    </w:p>
    <w:p w14:paraId="38F1ACF6" w14:textId="77777777" w:rsidR="00281CA5" w:rsidRDefault="00281CA5" w:rsidP="00281CA5">
      <w:pPr>
        <w:pStyle w:val="FootnoteText"/>
        <w:rPr>
          <w:lang w:val="pt-BR"/>
        </w:rPr>
      </w:pPr>
    </w:p>
    <w:p w14:paraId="2A853049" w14:textId="77777777" w:rsidR="00281CA5" w:rsidRDefault="00281CA5" w:rsidP="00281CA5">
      <w:pPr>
        <w:jc w:val="both"/>
        <w:rPr>
          <w:lang w:val="pt-BR"/>
        </w:rPr>
      </w:pPr>
      <w:r>
        <w:rPr>
          <w:lang w:val="pt-BR"/>
        </w:rPr>
        <w:t>Comuníquese y ejecútese,</w:t>
      </w:r>
    </w:p>
    <w:p w14:paraId="529A2EF8" w14:textId="77777777" w:rsidR="00281CA5" w:rsidRDefault="00281CA5" w:rsidP="00281CA5">
      <w:pPr>
        <w:jc w:val="both"/>
        <w:rPr>
          <w:lang w:val="pt-BR"/>
        </w:rPr>
      </w:pPr>
    </w:p>
    <w:p w14:paraId="0008C0C1" w14:textId="77777777" w:rsidR="00281CA5" w:rsidRDefault="00281CA5" w:rsidP="00281CA5">
      <w:pPr>
        <w:jc w:val="both"/>
        <w:rPr>
          <w:lang w:val="pt-BR"/>
        </w:rPr>
      </w:pPr>
    </w:p>
    <w:p w14:paraId="6AD76BBA" w14:textId="77777777" w:rsidR="00281CA5" w:rsidRDefault="00281CA5" w:rsidP="00281CA5">
      <w:pPr>
        <w:jc w:val="both"/>
        <w:rPr>
          <w:lang w:val="pt-BR"/>
        </w:rPr>
      </w:pPr>
    </w:p>
    <w:p w14:paraId="654CA093" w14:textId="77777777" w:rsidR="00281CA5" w:rsidRDefault="00281CA5" w:rsidP="00281CA5">
      <w:pPr>
        <w:jc w:val="both"/>
        <w:rPr>
          <w:lang w:val="pt-BR"/>
        </w:rPr>
      </w:pPr>
    </w:p>
    <w:p w14:paraId="47B92582" w14:textId="77777777" w:rsidR="00281CA5" w:rsidRDefault="00281CA5" w:rsidP="00281CA5">
      <w:pPr>
        <w:jc w:val="both"/>
        <w:rPr>
          <w:lang w:val="pt-BR"/>
        </w:rPr>
      </w:pPr>
    </w:p>
    <w:p w14:paraId="24E0BA9B" w14:textId="77777777" w:rsidR="00281CA5" w:rsidRDefault="00281CA5" w:rsidP="00281CA5">
      <w:pPr>
        <w:ind w:left="5664"/>
        <w:jc w:val="center"/>
        <w:rPr>
          <w:lang w:val="pt-BR"/>
        </w:rPr>
      </w:pPr>
      <w:r>
        <w:rPr>
          <w:lang w:val="pt-BR"/>
        </w:rPr>
        <w:t>Elizabeth Odio Benito</w:t>
      </w:r>
    </w:p>
    <w:p w14:paraId="5C637FA2" w14:textId="77777777" w:rsidR="00281CA5" w:rsidRDefault="00281CA5" w:rsidP="00281CA5">
      <w:pPr>
        <w:ind w:left="5664"/>
        <w:jc w:val="center"/>
        <w:rPr>
          <w:lang w:val="pt-BR"/>
        </w:rPr>
      </w:pPr>
      <w:r>
        <w:rPr>
          <w:lang w:val="pt-BR"/>
        </w:rPr>
        <w:t>Presidenta</w:t>
      </w:r>
    </w:p>
    <w:p w14:paraId="702453F3" w14:textId="77777777" w:rsidR="00281CA5" w:rsidRDefault="00281CA5" w:rsidP="00281CA5">
      <w:pPr>
        <w:jc w:val="both"/>
        <w:rPr>
          <w:lang w:val="pt-BR"/>
        </w:rPr>
      </w:pPr>
    </w:p>
    <w:p w14:paraId="3CB572E9" w14:textId="77777777" w:rsidR="00281CA5" w:rsidRDefault="00281CA5" w:rsidP="00281CA5">
      <w:pPr>
        <w:jc w:val="both"/>
        <w:rPr>
          <w:lang w:val="pt-BR"/>
        </w:rPr>
      </w:pPr>
    </w:p>
    <w:p w14:paraId="18062233" w14:textId="77777777" w:rsidR="00281CA5" w:rsidRDefault="00281CA5" w:rsidP="00281CA5">
      <w:pPr>
        <w:jc w:val="both"/>
        <w:rPr>
          <w:lang w:val="pt-BR"/>
        </w:rPr>
      </w:pPr>
    </w:p>
    <w:p w14:paraId="3E5AB1EE" w14:textId="77777777" w:rsidR="00281CA5" w:rsidRDefault="00281CA5" w:rsidP="00281CA5">
      <w:pPr>
        <w:jc w:val="both"/>
        <w:rPr>
          <w:lang w:val="pt-BR"/>
        </w:rPr>
      </w:pPr>
    </w:p>
    <w:p w14:paraId="3868C22A" w14:textId="77777777" w:rsidR="00281CA5" w:rsidRDefault="00281CA5" w:rsidP="00281CA5">
      <w:pPr>
        <w:jc w:val="both"/>
        <w:rPr>
          <w:lang w:val="pt-BR"/>
        </w:rPr>
      </w:pPr>
    </w:p>
    <w:p w14:paraId="25EDA2C5" w14:textId="77777777" w:rsidR="00281CA5" w:rsidRDefault="00281CA5" w:rsidP="00281CA5">
      <w:pPr>
        <w:jc w:val="both"/>
        <w:rPr>
          <w:lang w:val="es-ES"/>
        </w:rPr>
      </w:pPr>
      <w:r>
        <w:rPr>
          <w:lang w:val="es-ES"/>
        </w:rPr>
        <w:t>Pablo Saavedra Alessandri</w:t>
      </w:r>
    </w:p>
    <w:p w14:paraId="288A2D6B" w14:textId="77777777" w:rsidR="00B6502D" w:rsidRPr="00281CA5" w:rsidRDefault="00281CA5" w:rsidP="00594851">
      <w:r>
        <w:rPr>
          <w:lang w:val="es-ES"/>
        </w:rPr>
        <w:tab/>
      </w:r>
      <w:proofErr w:type="spellStart"/>
      <w:r>
        <w:t>Secretario</w:t>
      </w:r>
      <w:proofErr w:type="spellEnd"/>
    </w:p>
    <w:sectPr w:rsidR="00B6502D" w:rsidRPr="00281CA5" w:rsidSect="002C7584">
      <w:headerReference w:type="default" r:id="rId9"/>
      <w:pgSz w:w="12240" w:h="15840"/>
      <w:pgMar w:top="1418" w:right="1418" w:bottom="1418" w:left="141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FCE8" w14:textId="77777777" w:rsidR="00FB4F4A" w:rsidRDefault="00FB4F4A" w:rsidP="00594851">
      <w:r>
        <w:separator/>
      </w:r>
    </w:p>
  </w:endnote>
  <w:endnote w:type="continuationSeparator" w:id="0">
    <w:p w14:paraId="6C63AB7B" w14:textId="77777777" w:rsidR="00FB4F4A" w:rsidRDefault="00FB4F4A" w:rsidP="0059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EF03" w14:textId="77777777" w:rsidR="00FB4F4A" w:rsidRDefault="00FB4F4A" w:rsidP="00594851">
      <w:r>
        <w:separator/>
      </w:r>
    </w:p>
  </w:footnote>
  <w:footnote w:type="continuationSeparator" w:id="0">
    <w:p w14:paraId="5C557267" w14:textId="77777777" w:rsidR="00FB4F4A" w:rsidRDefault="00FB4F4A" w:rsidP="00594851">
      <w:r>
        <w:continuationSeparator/>
      </w:r>
    </w:p>
  </w:footnote>
  <w:footnote w:id="1">
    <w:p w14:paraId="7D5915DB" w14:textId="77777777" w:rsidR="00AC7107" w:rsidRPr="00C1736C" w:rsidRDefault="00AC7107" w:rsidP="00C1736C">
      <w:pPr>
        <w:tabs>
          <w:tab w:val="left" w:pos="426"/>
        </w:tabs>
        <w:jc w:val="both"/>
        <w:rPr>
          <w:sz w:val="16"/>
          <w:szCs w:val="16"/>
          <w:lang w:val="es-CR"/>
        </w:rPr>
      </w:pPr>
      <w:r w:rsidRPr="00C1736C">
        <w:rPr>
          <w:rStyle w:val="FootnoteReference"/>
          <w:sz w:val="16"/>
          <w:szCs w:val="16"/>
          <w:lang w:val="es-CR"/>
        </w:rPr>
        <w:t>*</w:t>
      </w:r>
      <w:r w:rsidRPr="00C1736C">
        <w:rPr>
          <w:sz w:val="16"/>
          <w:szCs w:val="16"/>
          <w:lang w:val="es-CR"/>
        </w:rPr>
        <w:t xml:space="preserve"> </w:t>
      </w:r>
      <w:r w:rsidRPr="00C1736C">
        <w:rPr>
          <w:sz w:val="16"/>
          <w:szCs w:val="16"/>
          <w:lang w:val="es-CR"/>
        </w:rPr>
        <w:tab/>
      </w:r>
      <w:r w:rsidR="00705036" w:rsidRPr="00C1736C">
        <w:rPr>
          <w:sz w:val="16"/>
          <w:szCs w:val="16"/>
          <w:lang w:val="es-CR"/>
        </w:rPr>
        <w:t>El Juez Humberto Antonio Sierra Porto, de nacionalidad colombiana, no participó en la deliberación y firma de esta Resolución, de conformidad con lo dispuesto en el artículo 19.1 del Reglamento de la Corte.</w:t>
      </w:r>
    </w:p>
  </w:footnote>
  <w:footnote w:id="2">
    <w:p w14:paraId="5DA85DC8" w14:textId="77777777" w:rsidR="00CD1E65" w:rsidRPr="00C1736C" w:rsidRDefault="00CD1E65" w:rsidP="00C1736C">
      <w:pPr>
        <w:pStyle w:val="FootnoteText"/>
        <w:jc w:val="both"/>
        <w:rPr>
          <w:sz w:val="16"/>
          <w:szCs w:val="16"/>
          <w:lang w:val="es-CR"/>
        </w:rPr>
      </w:pPr>
      <w:r w:rsidRPr="00C1736C">
        <w:rPr>
          <w:rStyle w:val="FootnoteReference"/>
          <w:sz w:val="16"/>
          <w:szCs w:val="16"/>
        </w:rPr>
        <w:footnoteRef/>
      </w:r>
      <w:r w:rsidRPr="00C1736C">
        <w:rPr>
          <w:sz w:val="16"/>
          <w:szCs w:val="16"/>
          <w:lang w:val="es-BO"/>
        </w:rPr>
        <w:tab/>
      </w:r>
      <w:r w:rsidR="00C1736C">
        <w:rPr>
          <w:i/>
          <w:sz w:val="16"/>
          <w:szCs w:val="16"/>
          <w:lang w:val="es-BO"/>
        </w:rPr>
        <w:t>M</w:t>
      </w:r>
      <w:r w:rsidRPr="00C1736C">
        <w:rPr>
          <w:i/>
          <w:sz w:val="16"/>
          <w:szCs w:val="16"/>
          <w:lang w:val="es-BO"/>
        </w:rPr>
        <w:t>utatis mutandis, Caso Quintana Coello y otros Vs. Ecuador</w:t>
      </w:r>
      <w:r w:rsidRPr="00C1736C">
        <w:rPr>
          <w:sz w:val="16"/>
          <w:szCs w:val="16"/>
          <w:lang w:val="es-BO"/>
        </w:rPr>
        <w:t xml:space="preserve">. </w:t>
      </w:r>
      <w:r w:rsidRPr="00C1736C">
        <w:rPr>
          <w:i/>
          <w:sz w:val="16"/>
          <w:szCs w:val="16"/>
          <w:lang w:val="es-BO"/>
        </w:rPr>
        <w:t>Resolución del Presidente de la Corte Interamericana de Derechos Humanos de 20 de diciembre de 2012.</w:t>
      </w:r>
      <w:r w:rsidRPr="00C1736C">
        <w:rPr>
          <w:sz w:val="16"/>
          <w:szCs w:val="16"/>
          <w:lang w:val="es-BO"/>
        </w:rPr>
        <w:t xml:space="preserve"> Considerando décimo segundo. </w:t>
      </w:r>
    </w:p>
  </w:footnote>
  <w:footnote w:id="3">
    <w:p w14:paraId="1F2298CD" w14:textId="77777777" w:rsidR="00CD1E65" w:rsidRPr="00C1736C" w:rsidRDefault="00CD1E65" w:rsidP="00C1736C">
      <w:pPr>
        <w:pStyle w:val="FootnoteText"/>
        <w:jc w:val="both"/>
        <w:rPr>
          <w:sz w:val="16"/>
          <w:szCs w:val="16"/>
          <w:lang w:val="es-BO"/>
        </w:rPr>
      </w:pPr>
      <w:r w:rsidRPr="00C1736C">
        <w:rPr>
          <w:rStyle w:val="FootnoteReference"/>
          <w:sz w:val="16"/>
          <w:szCs w:val="16"/>
        </w:rPr>
        <w:footnoteRef/>
      </w:r>
      <w:r w:rsidRPr="00C1736C">
        <w:rPr>
          <w:sz w:val="16"/>
          <w:szCs w:val="16"/>
          <w:lang w:val="es-BO"/>
        </w:rPr>
        <w:tab/>
      </w:r>
      <w:r w:rsidRPr="00C1736C">
        <w:rPr>
          <w:i/>
          <w:sz w:val="16"/>
          <w:szCs w:val="16"/>
          <w:lang w:val="es-BO"/>
        </w:rPr>
        <w:t xml:space="preserve">Cfr. Caso </w:t>
      </w:r>
      <w:proofErr w:type="spellStart"/>
      <w:r w:rsidRPr="00C1736C">
        <w:rPr>
          <w:i/>
          <w:sz w:val="16"/>
          <w:szCs w:val="16"/>
          <w:lang w:val="es-BO"/>
        </w:rPr>
        <w:t>Anzualdo</w:t>
      </w:r>
      <w:proofErr w:type="spellEnd"/>
      <w:r w:rsidRPr="00C1736C">
        <w:rPr>
          <w:i/>
          <w:sz w:val="16"/>
          <w:szCs w:val="16"/>
          <w:lang w:val="es-BO"/>
        </w:rPr>
        <w:t xml:space="preserve"> Castro Vs. Perú. Resolución de la Presidenta de la Corte de 26 de febrero de 2009</w:t>
      </w:r>
      <w:r w:rsidR="00C1736C">
        <w:rPr>
          <w:sz w:val="16"/>
          <w:szCs w:val="16"/>
          <w:lang w:val="es-BO"/>
        </w:rPr>
        <w:t>.</w:t>
      </w:r>
      <w:r w:rsidRPr="00C1736C">
        <w:rPr>
          <w:sz w:val="16"/>
          <w:szCs w:val="16"/>
          <w:lang w:val="es-BO"/>
        </w:rPr>
        <w:t xml:space="preserve"> Considerando décimo cuarto, y</w:t>
      </w:r>
      <w:r w:rsidRPr="00C1736C">
        <w:rPr>
          <w:i/>
          <w:sz w:val="16"/>
          <w:szCs w:val="16"/>
          <w:lang w:val="es-BO"/>
        </w:rPr>
        <w:t xml:space="preserve"> Caso Quintana Coello y otros Vs. Ecuador</w:t>
      </w:r>
      <w:r w:rsidRPr="00C1736C">
        <w:rPr>
          <w:sz w:val="16"/>
          <w:szCs w:val="16"/>
          <w:lang w:val="es-BO"/>
        </w:rPr>
        <w:t xml:space="preserve">. </w:t>
      </w:r>
      <w:r w:rsidRPr="00C1736C">
        <w:rPr>
          <w:i/>
          <w:sz w:val="16"/>
          <w:szCs w:val="16"/>
          <w:lang w:val="es-BO"/>
        </w:rPr>
        <w:t>Resolución del Presidente de la Corte de 20 de diciembre de 2012.</w:t>
      </w:r>
      <w:r w:rsidRPr="00C1736C">
        <w:rPr>
          <w:sz w:val="16"/>
          <w:szCs w:val="16"/>
          <w:lang w:val="es-BO"/>
        </w:rPr>
        <w:t xml:space="preserve"> Considerando décimo segundo.</w:t>
      </w:r>
    </w:p>
  </w:footnote>
  <w:footnote w:id="4">
    <w:p w14:paraId="0D4CAD78" w14:textId="77777777" w:rsidR="00CD1E65" w:rsidRPr="00C1736C" w:rsidRDefault="00CD1E65" w:rsidP="00C1736C">
      <w:pPr>
        <w:pStyle w:val="FootnoteText"/>
        <w:jc w:val="both"/>
        <w:rPr>
          <w:sz w:val="16"/>
          <w:szCs w:val="16"/>
          <w:lang w:val="es-BO"/>
        </w:rPr>
      </w:pPr>
      <w:r w:rsidRPr="00C1736C">
        <w:rPr>
          <w:rStyle w:val="FootnoteReference"/>
          <w:sz w:val="16"/>
          <w:szCs w:val="16"/>
        </w:rPr>
        <w:footnoteRef/>
      </w:r>
      <w:r w:rsidRPr="00C1736C">
        <w:rPr>
          <w:sz w:val="16"/>
          <w:szCs w:val="16"/>
          <w:lang w:val="es-BO"/>
        </w:rPr>
        <w:tab/>
      </w:r>
      <w:r w:rsidRPr="00C1736C">
        <w:rPr>
          <w:i/>
          <w:sz w:val="16"/>
          <w:szCs w:val="16"/>
          <w:lang w:val="es-BO"/>
        </w:rPr>
        <w:t>Cfr. Caso de la “Masacre de la Rochela” Vs. Colombia</w:t>
      </w:r>
      <w:r w:rsidRPr="00C1736C">
        <w:rPr>
          <w:sz w:val="16"/>
          <w:szCs w:val="16"/>
          <w:lang w:val="es-BO"/>
        </w:rPr>
        <w:t xml:space="preserve">. </w:t>
      </w:r>
      <w:r w:rsidRPr="00C1736C">
        <w:rPr>
          <w:i/>
          <w:sz w:val="16"/>
          <w:szCs w:val="16"/>
          <w:lang w:val="es-BO"/>
        </w:rPr>
        <w:t>Resolución del Presidente de la C</w:t>
      </w:r>
      <w:r w:rsidR="00C1736C" w:rsidRPr="00C1736C">
        <w:rPr>
          <w:i/>
          <w:sz w:val="16"/>
          <w:szCs w:val="16"/>
          <w:lang w:val="es-BO"/>
        </w:rPr>
        <w:t>orte de 22 de diciembre de 2006</w:t>
      </w:r>
      <w:r w:rsidR="00C1736C">
        <w:rPr>
          <w:sz w:val="16"/>
          <w:szCs w:val="16"/>
          <w:lang w:val="es-BO"/>
        </w:rPr>
        <w:t>.</w:t>
      </w:r>
      <w:r w:rsidRPr="00C1736C">
        <w:rPr>
          <w:sz w:val="16"/>
          <w:szCs w:val="16"/>
          <w:lang w:val="es-BO"/>
        </w:rPr>
        <w:t xml:space="preserve"> </w:t>
      </w:r>
      <w:r w:rsidR="00C1736C" w:rsidRPr="00C1736C">
        <w:rPr>
          <w:sz w:val="16"/>
          <w:szCs w:val="16"/>
          <w:lang w:val="es-BO"/>
        </w:rPr>
        <w:t>Considerando vigésimo</w:t>
      </w:r>
      <w:r w:rsidRPr="00C1736C">
        <w:rPr>
          <w:sz w:val="16"/>
          <w:szCs w:val="16"/>
          <w:lang w:val="es-BO"/>
        </w:rPr>
        <w:t xml:space="preserve"> al vigésimo cuarto, y </w:t>
      </w:r>
      <w:r w:rsidRPr="00C1736C">
        <w:rPr>
          <w:i/>
          <w:sz w:val="16"/>
          <w:szCs w:val="16"/>
          <w:lang w:val="es-BO"/>
        </w:rPr>
        <w:t>Caso Quintana Coello y otros Vs. Ecuador</w:t>
      </w:r>
      <w:r w:rsidRPr="00C1736C">
        <w:rPr>
          <w:sz w:val="16"/>
          <w:szCs w:val="16"/>
          <w:lang w:val="es-BO"/>
        </w:rPr>
        <w:t xml:space="preserve">. </w:t>
      </w:r>
      <w:r w:rsidRPr="00C1736C">
        <w:rPr>
          <w:i/>
          <w:sz w:val="16"/>
          <w:szCs w:val="16"/>
          <w:lang w:val="es-BO"/>
        </w:rPr>
        <w:t>Resolución del Presidente de la Corte de 20 de diciembre de 2012</w:t>
      </w:r>
      <w:r w:rsidR="00C1736C">
        <w:rPr>
          <w:i/>
          <w:sz w:val="16"/>
          <w:szCs w:val="16"/>
          <w:lang w:val="es-BO"/>
        </w:rPr>
        <w:t>.</w:t>
      </w:r>
      <w:r w:rsidRPr="00C1736C">
        <w:rPr>
          <w:sz w:val="16"/>
          <w:szCs w:val="16"/>
          <w:lang w:val="es-BO"/>
        </w:rPr>
        <w:t xml:space="preserve"> Considerando décimo segundo.</w:t>
      </w:r>
    </w:p>
  </w:footnote>
  <w:footnote w:id="5">
    <w:p w14:paraId="51A78286" w14:textId="77777777" w:rsidR="00CD1E65" w:rsidRPr="00C1736C" w:rsidRDefault="00CD1E65" w:rsidP="00C1736C">
      <w:pPr>
        <w:pStyle w:val="FootnoteText"/>
        <w:jc w:val="both"/>
        <w:rPr>
          <w:sz w:val="16"/>
          <w:szCs w:val="16"/>
          <w:lang w:val="es-BO"/>
        </w:rPr>
      </w:pPr>
      <w:r w:rsidRPr="00C1736C">
        <w:rPr>
          <w:rStyle w:val="FootnoteReference"/>
          <w:sz w:val="16"/>
          <w:szCs w:val="16"/>
        </w:rPr>
        <w:footnoteRef/>
      </w:r>
      <w:r w:rsidRPr="00C1736C">
        <w:rPr>
          <w:sz w:val="16"/>
          <w:szCs w:val="16"/>
          <w:lang w:val="es-BO"/>
        </w:rPr>
        <w:t xml:space="preserve"> </w:t>
      </w:r>
      <w:r w:rsidRPr="00C1736C">
        <w:rPr>
          <w:sz w:val="16"/>
          <w:szCs w:val="16"/>
          <w:lang w:val="es-BO"/>
        </w:rPr>
        <w:tab/>
      </w:r>
      <w:r w:rsidRPr="00C1736C">
        <w:rPr>
          <w:i/>
          <w:sz w:val="16"/>
          <w:szCs w:val="16"/>
          <w:lang w:val="es-BO"/>
        </w:rPr>
        <w:t>Cfr. Caso Velásquez Rodríguez Vs. Honduras. Fondo.</w:t>
      </w:r>
      <w:r w:rsidRPr="00C1736C">
        <w:rPr>
          <w:sz w:val="16"/>
          <w:szCs w:val="16"/>
          <w:lang w:val="es-BO"/>
        </w:rPr>
        <w:t xml:space="preserve"> Sentencia de 29 de julio de 1988. Serie</w:t>
      </w:r>
      <w:r w:rsidR="00C1736C">
        <w:rPr>
          <w:sz w:val="16"/>
          <w:szCs w:val="16"/>
          <w:lang w:val="es-BO"/>
        </w:rPr>
        <w:t xml:space="preserve"> C No. 4, </w:t>
      </w:r>
      <w:proofErr w:type="spellStart"/>
      <w:r w:rsidR="00C1736C">
        <w:rPr>
          <w:sz w:val="16"/>
          <w:szCs w:val="16"/>
          <w:lang w:val="es-BO"/>
        </w:rPr>
        <w:t>párrs</w:t>
      </w:r>
      <w:proofErr w:type="spellEnd"/>
      <w:r w:rsidR="00C1736C">
        <w:rPr>
          <w:sz w:val="16"/>
          <w:szCs w:val="16"/>
          <w:lang w:val="es-BO"/>
        </w:rPr>
        <w:t>. 128, 132 a 133,</w:t>
      </w:r>
      <w:r w:rsidRPr="00C1736C">
        <w:rPr>
          <w:sz w:val="16"/>
          <w:szCs w:val="16"/>
          <w:lang w:val="es-BO"/>
        </w:rPr>
        <w:t xml:space="preserve"> y </w:t>
      </w:r>
      <w:r w:rsidRPr="00C1736C">
        <w:rPr>
          <w:i/>
          <w:sz w:val="16"/>
          <w:szCs w:val="16"/>
          <w:lang w:val="es-BO"/>
        </w:rPr>
        <w:t>Caso Escher y otros Vs. Brasil. Resolución de la Presidenta de la Corte de 8 de octubre de 2008</w:t>
      </w:r>
      <w:r w:rsidR="00C1736C">
        <w:rPr>
          <w:i/>
          <w:sz w:val="16"/>
          <w:szCs w:val="16"/>
          <w:lang w:val="es-BO"/>
        </w:rPr>
        <w:t>.</w:t>
      </w:r>
      <w:r w:rsidR="00C1736C">
        <w:rPr>
          <w:sz w:val="16"/>
          <w:szCs w:val="16"/>
          <w:lang w:val="es-BO"/>
        </w:rPr>
        <w:t xml:space="preserve"> C</w:t>
      </w:r>
      <w:r w:rsidRPr="00C1736C">
        <w:rPr>
          <w:sz w:val="16"/>
          <w:szCs w:val="16"/>
          <w:lang w:val="es-BO"/>
        </w:rPr>
        <w:t>onsiderando noveno.</w:t>
      </w:r>
    </w:p>
  </w:footnote>
  <w:footnote w:id="6">
    <w:p w14:paraId="224735C8" w14:textId="77777777" w:rsidR="00CD1E65" w:rsidRPr="00C1736C" w:rsidRDefault="00CD1E65" w:rsidP="00C1736C">
      <w:pPr>
        <w:pStyle w:val="FootnoteText"/>
        <w:jc w:val="both"/>
        <w:rPr>
          <w:sz w:val="16"/>
          <w:szCs w:val="16"/>
          <w:lang w:val="es-BO"/>
        </w:rPr>
      </w:pPr>
      <w:r w:rsidRPr="00C1736C">
        <w:rPr>
          <w:rStyle w:val="FootnoteReference"/>
          <w:sz w:val="16"/>
          <w:szCs w:val="16"/>
        </w:rPr>
        <w:footnoteRef/>
      </w:r>
      <w:r w:rsidRPr="00C1736C">
        <w:rPr>
          <w:sz w:val="16"/>
          <w:szCs w:val="16"/>
          <w:lang w:val="es-BO"/>
        </w:rPr>
        <w:t xml:space="preserve"> </w:t>
      </w:r>
      <w:r w:rsidRPr="00C1736C">
        <w:rPr>
          <w:sz w:val="16"/>
          <w:szCs w:val="16"/>
          <w:lang w:val="es-BO"/>
        </w:rPr>
        <w:tab/>
      </w:r>
      <w:r w:rsidRPr="00C1736C">
        <w:rPr>
          <w:i/>
          <w:sz w:val="16"/>
          <w:szCs w:val="16"/>
          <w:lang w:val="es-BO"/>
        </w:rPr>
        <w:t>Caso Salvador Chiriboga Vs. Ecuador. Resolución del Presidente de la Corte de 17 de septiembre de 2007</w:t>
      </w:r>
      <w:r w:rsidR="00C1736C">
        <w:rPr>
          <w:sz w:val="16"/>
          <w:szCs w:val="16"/>
          <w:lang w:val="es-BO"/>
        </w:rPr>
        <w:t>. C</w:t>
      </w:r>
      <w:r w:rsidRPr="00C1736C">
        <w:rPr>
          <w:sz w:val="16"/>
          <w:szCs w:val="16"/>
          <w:lang w:val="es-BO"/>
        </w:rPr>
        <w:t>onsiderando duodécimo.</w:t>
      </w:r>
    </w:p>
  </w:footnote>
  <w:footnote w:id="7">
    <w:p w14:paraId="20E7111A" w14:textId="5943F233" w:rsidR="004376F2" w:rsidRPr="00C1736C" w:rsidRDefault="004376F2" w:rsidP="00C1736C">
      <w:pPr>
        <w:pStyle w:val="FootnoteText"/>
        <w:jc w:val="both"/>
        <w:rPr>
          <w:sz w:val="16"/>
          <w:szCs w:val="16"/>
          <w:lang w:val="es-CR"/>
        </w:rPr>
      </w:pPr>
      <w:r w:rsidRPr="00C1736C">
        <w:rPr>
          <w:rStyle w:val="FootnoteReference"/>
          <w:sz w:val="16"/>
          <w:szCs w:val="16"/>
        </w:rPr>
        <w:footnoteRef/>
      </w:r>
      <w:r w:rsidRPr="00C1736C">
        <w:rPr>
          <w:sz w:val="16"/>
          <w:szCs w:val="16"/>
          <w:lang w:val="es-CR"/>
        </w:rPr>
        <w:t xml:space="preserve"> </w:t>
      </w:r>
      <w:r w:rsidRPr="00C1736C">
        <w:rPr>
          <w:sz w:val="16"/>
          <w:szCs w:val="16"/>
          <w:lang w:val="es-CR"/>
        </w:rPr>
        <w:tab/>
      </w:r>
      <w:r w:rsidRPr="00C1736C">
        <w:rPr>
          <w:i/>
          <w:sz w:val="16"/>
          <w:szCs w:val="16"/>
          <w:lang w:val="es-CR"/>
        </w:rPr>
        <w:t xml:space="preserve">Cfr. </w:t>
      </w:r>
      <w:r w:rsidRPr="00C1736C">
        <w:rPr>
          <w:bCs/>
          <w:i/>
          <w:sz w:val="16"/>
          <w:szCs w:val="16"/>
          <w:lang w:val="es-CR"/>
        </w:rPr>
        <w:t>Caso Bueno Alves Vs. Argentina. Resolución del Presidente de la Corte Interamericana de Derechos Humanos de 6 de diciembre de 2006.</w:t>
      </w:r>
      <w:r w:rsidRPr="00C1736C">
        <w:rPr>
          <w:bCs/>
          <w:sz w:val="16"/>
          <w:szCs w:val="16"/>
          <w:lang w:val="es-CR"/>
        </w:rPr>
        <w:t xml:space="preserve"> </w:t>
      </w:r>
      <w:r w:rsidRPr="00C1736C">
        <w:rPr>
          <w:sz w:val="16"/>
          <w:szCs w:val="16"/>
          <w:lang w:val="es-CR"/>
        </w:rPr>
        <w:t xml:space="preserve">Párrafos Considerativos 18 y 19; </w:t>
      </w:r>
      <w:r w:rsidRPr="00C1736C">
        <w:rPr>
          <w:i/>
          <w:sz w:val="16"/>
          <w:szCs w:val="16"/>
          <w:lang w:val="es-CR"/>
        </w:rPr>
        <w:t xml:space="preserve">Caso Rosendo Cantú Vs México, </w:t>
      </w:r>
      <w:r w:rsidR="00C1736C" w:rsidRPr="00C1736C">
        <w:rPr>
          <w:i/>
          <w:sz w:val="16"/>
          <w:szCs w:val="16"/>
          <w:lang w:val="es-CR"/>
        </w:rPr>
        <w:t>Resolución</w:t>
      </w:r>
      <w:r w:rsidRPr="00C1736C">
        <w:rPr>
          <w:i/>
          <w:sz w:val="16"/>
          <w:szCs w:val="16"/>
          <w:lang w:val="es-CR"/>
        </w:rPr>
        <w:t xml:space="preserve"> del Presidente de la Corte </w:t>
      </w:r>
      <w:r w:rsidRPr="00C1736C">
        <w:rPr>
          <w:bCs/>
          <w:i/>
          <w:sz w:val="16"/>
          <w:szCs w:val="16"/>
          <w:lang w:val="es-CR"/>
        </w:rPr>
        <w:t>Interamericana de Derechos Humanos</w:t>
      </w:r>
      <w:r w:rsidRPr="00C1736C">
        <w:rPr>
          <w:i/>
          <w:sz w:val="16"/>
          <w:szCs w:val="16"/>
          <w:lang w:val="es-CR"/>
        </w:rPr>
        <w:t xml:space="preserve"> de 23 de abril de 2010</w:t>
      </w:r>
      <w:r w:rsidRPr="00C1736C">
        <w:rPr>
          <w:sz w:val="16"/>
          <w:szCs w:val="16"/>
          <w:lang w:val="es-CR"/>
        </w:rPr>
        <w:t xml:space="preserve">. Considerando 24; y </w:t>
      </w:r>
      <w:r w:rsidRPr="00C1736C">
        <w:rPr>
          <w:i/>
          <w:sz w:val="16"/>
          <w:szCs w:val="16"/>
          <w:lang w:val="es-CR"/>
        </w:rPr>
        <w:t xml:space="preserve">Caso del Pueblo Indígena </w:t>
      </w:r>
      <w:proofErr w:type="spellStart"/>
      <w:r w:rsidRPr="00C1736C">
        <w:rPr>
          <w:i/>
          <w:sz w:val="16"/>
          <w:szCs w:val="16"/>
          <w:lang w:val="es-CR"/>
        </w:rPr>
        <w:t>Kichwa</w:t>
      </w:r>
      <w:proofErr w:type="spellEnd"/>
      <w:r w:rsidRPr="00C1736C">
        <w:rPr>
          <w:i/>
          <w:sz w:val="16"/>
          <w:szCs w:val="16"/>
          <w:lang w:val="es-CR"/>
        </w:rPr>
        <w:t xml:space="preserve"> de </w:t>
      </w:r>
      <w:proofErr w:type="spellStart"/>
      <w:r w:rsidRPr="00C1736C">
        <w:rPr>
          <w:i/>
          <w:sz w:val="16"/>
          <w:szCs w:val="16"/>
          <w:lang w:val="es-CR"/>
        </w:rPr>
        <w:t>Sarayaku</w:t>
      </w:r>
      <w:proofErr w:type="spellEnd"/>
      <w:r w:rsidRPr="00C1736C">
        <w:rPr>
          <w:i/>
          <w:sz w:val="16"/>
          <w:szCs w:val="16"/>
          <w:lang w:val="es-CR"/>
        </w:rPr>
        <w:t xml:space="preserve"> Vs. Ecuador, </w:t>
      </w:r>
      <w:r w:rsidR="009A1B0B" w:rsidRPr="00C1736C">
        <w:rPr>
          <w:i/>
          <w:sz w:val="16"/>
          <w:szCs w:val="16"/>
          <w:lang w:val="es-CR"/>
        </w:rPr>
        <w:t>Resolución</w:t>
      </w:r>
      <w:r w:rsidRPr="00C1736C">
        <w:rPr>
          <w:i/>
          <w:sz w:val="16"/>
          <w:szCs w:val="16"/>
          <w:lang w:val="es-CR"/>
        </w:rPr>
        <w:t xml:space="preserve"> del Presidente de la Corte Interamericana de Derechos Humanos de 17 de junio de 2011</w:t>
      </w:r>
      <w:r w:rsidRPr="00C1736C">
        <w:rPr>
          <w:sz w:val="16"/>
          <w:szCs w:val="16"/>
          <w:lang w:val="es-CR"/>
        </w:rPr>
        <w:t>, Párrafos Considerativos 16 y 17.</w:t>
      </w:r>
    </w:p>
  </w:footnote>
  <w:footnote w:id="8">
    <w:p w14:paraId="5B87C4F2" w14:textId="77777777" w:rsidR="004376F2" w:rsidRPr="00C1736C" w:rsidRDefault="004376F2" w:rsidP="00C1736C">
      <w:pPr>
        <w:pStyle w:val="FootnoteText"/>
        <w:jc w:val="both"/>
        <w:rPr>
          <w:sz w:val="16"/>
          <w:szCs w:val="16"/>
          <w:lang w:val="es-ES_tradnl"/>
        </w:rPr>
      </w:pPr>
      <w:r w:rsidRPr="00C1736C">
        <w:rPr>
          <w:rStyle w:val="FootnoteReference"/>
          <w:sz w:val="16"/>
          <w:szCs w:val="16"/>
          <w:lang w:val="es-ES_tradnl"/>
        </w:rPr>
        <w:footnoteRef/>
      </w:r>
      <w:r w:rsidRPr="00C1736C">
        <w:rPr>
          <w:sz w:val="16"/>
          <w:szCs w:val="16"/>
          <w:lang w:val="es-ES_tradnl"/>
        </w:rPr>
        <w:t xml:space="preserve"> </w:t>
      </w:r>
      <w:r w:rsidR="00CF5563" w:rsidRPr="00C1736C">
        <w:rPr>
          <w:i/>
          <w:sz w:val="16"/>
          <w:szCs w:val="16"/>
          <w:lang w:val="es-ES_tradnl"/>
        </w:rPr>
        <w:t>Mutatis mutand</w:t>
      </w:r>
      <w:r w:rsidR="00FF7736" w:rsidRPr="00C1736C">
        <w:rPr>
          <w:i/>
          <w:sz w:val="16"/>
          <w:szCs w:val="16"/>
          <w:lang w:val="es-ES_tradnl"/>
        </w:rPr>
        <w:t>is</w:t>
      </w:r>
      <w:r w:rsidR="00CF5563" w:rsidRPr="00C1736C">
        <w:rPr>
          <w:sz w:val="16"/>
          <w:szCs w:val="16"/>
          <w:lang w:val="es-ES_tradnl"/>
        </w:rPr>
        <w:t xml:space="preserve">, </w:t>
      </w:r>
      <w:r w:rsidRPr="00C1736C">
        <w:rPr>
          <w:i/>
          <w:sz w:val="16"/>
          <w:szCs w:val="16"/>
          <w:lang w:val="es-ES_tradnl"/>
        </w:rPr>
        <w:t xml:space="preserve">Caso Vélez Loor </w:t>
      </w:r>
      <w:r w:rsidR="00CF5563" w:rsidRPr="00C1736C">
        <w:rPr>
          <w:i/>
          <w:sz w:val="16"/>
          <w:szCs w:val="16"/>
          <w:lang w:val="es-ES_tradnl"/>
        </w:rPr>
        <w:t>V</w:t>
      </w:r>
      <w:r w:rsidRPr="00C1736C">
        <w:rPr>
          <w:i/>
          <w:sz w:val="16"/>
          <w:szCs w:val="16"/>
          <w:lang w:val="es-ES_tradnl"/>
        </w:rPr>
        <w:t xml:space="preserve">s. Panamá, Resolución del Presidente de la Corte </w:t>
      </w:r>
      <w:r w:rsidR="00CF5563" w:rsidRPr="00C1736C">
        <w:rPr>
          <w:i/>
          <w:sz w:val="16"/>
          <w:szCs w:val="16"/>
          <w:lang w:val="es-ES_tradnl"/>
        </w:rPr>
        <w:t>Interamericana de Derechos Humanos de 10 de agosto de 2010.</w:t>
      </w:r>
      <w:r w:rsidRPr="00C1736C">
        <w:rPr>
          <w:sz w:val="16"/>
          <w:szCs w:val="16"/>
          <w:lang w:val="es-ES_tradnl"/>
        </w:rPr>
        <w:t xml:space="preserve"> Párrafos Considerativos 5 y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88736"/>
      <w:docPartObj>
        <w:docPartGallery w:val="Page Numbers (Top of Page)"/>
        <w:docPartUnique/>
      </w:docPartObj>
    </w:sdtPr>
    <w:sdtEndPr/>
    <w:sdtContent>
      <w:p w14:paraId="32B7F6F7" w14:textId="77777777" w:rsidR="00B44465" w:rsidRDefault="002C7584" w:rsidP="002C7584">
        <w:pPr>
          <w:pStyle w:val="Header"/>
          <w:ind w:left="720"/>
          <w:jc w:val="center"/>
        </w:pPr>
        <w:r>
          <w:t xml:space="preserve">- </w:t>
        </w:r>
        <w:r w:rsidR="00B44465">
          <w:fldChar w:fldCharType="begin"/>
        </w:r>
        <w:r w:rsidR="00B44465">
          <w:instrText>PAGE   \* MERGEFORMAT</w:instrText>
        </w:r>
        <w:r w:rsidR="00B44465">
          <w:fldChar w:fldCharType="separate"/>
        </w:r>
        <w:r w:rsidR="00DA3970" w:rsidRPr="00DA3970">
          <w:rPr>
            <w:noProof/>
            <w:lang w:val="es-ES"/>
          </w:rPr>
          <w:t>7</w:t>
        </w:r>
        <w:r w:rsidR="00B44465">
          <w:fldChar w:fldCharType="end"/>
        </w:r>
        <w:r>
          <w:t>-</w:t>
        </w:r>
      </w:p>
    </w:sdtContent>
  </w:sdt>
  <w:p w14:paraId="568A3BB8" w14:textId="77777777" w:rsidR="00B44465" w:rsidRDefault="00B44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6349"/>
    <w:multiLevelType w:val="hybridMultilevel"/>
    <w:tmpl w:val="FDD80300"/>
    <w:lvl w:ilvl="0" w:tplc="950A1A0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2FB44328"/>
    <w:multiLevelType w:val="multilevel"/>
    <w:tmpl w:val="25800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42E7508"/>
    <w:multiLevelType w:val="multilevel"/>
    <w:tmpl w:val="F9168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80A1E13"/>
    <w:multiLevelType w:val="hybridMultilevel"/>
    <w:tmpl w:val="153E525A"/>
    <w:lvl w:ilvl="0" w:tplc="6024A4A0">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62342"/>
    <w:multiLevelType w:val="hybridMultilevel"/>
    <w:tmpl w:val="58029556"/>
    <w:lvl w:ilvl="0" w:tplc="950A1A0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55AA2C29"/>
    <w:multiLevelType w:val="hybridMultilevel"/>
    <w:tmpl w:val="629A1250"/>
    <w:lvl w:ilvl="0" w:tplc="950A1A0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664D7704"/>
    <w:multiLevelType w:val="hybridMultilevel"/>
    <w:tmpl w:val="58029556"/>
    <w:lvl w:ilvl="0" w:tplc="950A1A0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lvlOverride w:ilvl="0">
      <w:startOverride w:val="1"/>
    </w:lvlOverride>
  </w:num>
  <w:num w:numId="3">
    <w:abstractNumId w:val="4"/>
  </w:num>
  <w:num w:numId="4">
    <w:abstractNumId w:val="3"/>
  </w:num>
  <w:num w:numId="5">
    <w:abstractNumId w:val="2"/>
  </w:num>
  <w:num w:numId="6">
    <w:abstractNumId w:val="6"/>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AR" w:vendorID="64" w:dllVersion="6" w:nlCheck="1" w:checkStyle="1"/>
  <w:activeWritingStyle w:appName="MSWord" w:lang="es-CR" w:vendorID="64" w:dllVersion="6" w:nlCheck="1" w:checkStyle="0"/>
  <w:activeWritingStyle w:appName="MSWord" w:lang="es-MX"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CR"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CR" w:vendorID="64" w:dllVersion="131078" w:nlCheck="1" w:checkStyle="1"/>
  <w:activeWritingStyle w:appName="MSWord" w:lang="es-B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51"/>
    <w:rsid w:val="0002270B"/>
    <w:rsid w:val="00061F56"/>
    <w:rsid w:val="000A6061"/>
    <w:rsid w:val="000C71BD"/>
    <w:rsid w:val="00134713"/>
    <w:rsid w:val="00153F33"/>
    <w:rsid w:val="0015517C"/>
    <w:rsid w:val="001779B3"/>
    <w:rsid w:val="001B6E97"/>
    <w:rsid w:val="001E70F7"/>
    <w:rsid w:val="001F475B"/>
    <w:rsid w:val="0025367C"/>
    <w:rsid w:val="00253BC4"/>
    <w:rsid w:val="00281CA5"/>
    <w:rsid w:val="002A1337"/>
    <w:rsid w:val="002C7584"/>
    <w:rsid w:val="002D6B50"/>
    <w:rsid w:val="002E753B"/>
    <w:rsid w:val="002E7C07"/>
    <w:rsid w:val="0030501A"/>
    <w:rsid w:val="00313E40"/>
    <w:rsid w:val="00314B3F"/>
    <w:rsid w:val="0031555C"/>
    <w:rsid w:val="00352363"/>
    <w:rsid w:val="00365164"/>
    <w:rsid w:val="003E1861"/>
    <w:rsid w:val="003F490A"/>
    <w:rsid w:val="0043416F"/>
    <w:rsid w:val="004358D7"/>
    <w:rsid w:val="004376F2"/>
    <w:rsid w:val="00442ADE"/>
    <w:rsid w:val="0048006D"/>
    <w:rsid w:val="004A05F8"/>
    <w:rsid w:val="004A1535"/>
    <w:rsid w:val="00522EDE"/>
    <w:rsid w:val="00594851"/>
    <w:rsid w:val="005B46B6"/>
    <w:rsid w:val="005C0A08"/>
    <w:rsid w:val="005C5BB3"/>
    <w:rsid w:val="005E4000"/>
    <w:rsid w:val="005E46AD"/>
    <w:rsid w:val="006014DE"/>
    <w:rsid w:val="00604690"/>
    <w:rsid w:val="00605F0C"/>
    <w:rsid w:val="00646116"/>
    <w:rsid w:val="00653215"/>
    <w:rsid w:val="0066798D"/>
    <w:rsid w:val="006A13D5"/>
    <w:rsid w:val="006C6A25"/>
    <w:rsid w:val="006D30EA"/>
    <w:rsid w:val="006E3E11"/>
    <w:rsid w:val="006F3CA9"/>
    <w:rsid w:val="00704E6C"/>
    <w:rsid w:val="00705036"/>
    <w:rsid w:val="00762369"/>
    <w:rsid w:val="00773F8C"/>
    <w:rsid w:val="0078502E"/>
    <w:rsid w:val="007917BD"/>
    <w:rsid w:val="007C4E7F"/>
    <w:rsid w:val="00806EC9"/>
    <w:rsid w:val="008316AB"/>
    <w:rsid w:val="008336DD"/>
    <w:rsid w:val="008420F1"/>
    <w:rsid w:val="00846D8A"/>
    <w:rsid w:val="00861C67"/>
    <w:rsid w:val="008A7F28"/>
    <w:rsid w:val="008C1BBE"/>
    <w:rsid w:val="008D5C2F"/>
    <w:rsid w:val="008D67EA"/>
    <w:rsid w:val="008E782D"/>
    <w:rsid w:val="00904EF1"/>
    <w:rsid w:val="0090738C"/>
    <w:rsid w:val="00910C1F"/>
    <w:rsid w:val="009136EB"/>
    <w:rsid w:val="009322FC"/>
    <w:rsid w:val="009559BC"/>
    <w:rsid w:val="009A14BC"/>
    <w:rsid w:val="009A1B0B"/>
    <w:rsid w:val="009B5706"/>
    <w:rsid w:val="009E4BE1"/>
    <w:rsid w:val="00A31BD4"/>
    <w:rsid w:val="00A330CE"/>
    <w:rsid w:val="00A510B3"/>
    <w:rsid w:val="00A549D7"/>
    <w:rsid w:val="00A809F1"/>
    <w:rsid w:val="00AA35B4"/>
    <w:rsid w:val="00AC67BF"/>
    <w:rsid w:val="00AC7107"/>
    <w:rsid w:val="00AE142F"/>
    <w:rsid w:val="00AF0EC0"/>
    <w:rsid w:val="00B12F9C"/>
    <w:rsid w:val="00B23B6D"/>
    <w:rsid w:val="00B31836"/>
    <w:rsid w:val="00B35738"/>
    <w:rsid w:val="00B412C9"/>
    <w:rsid w:val="00B44465"/>
    <w:rsid w:val="00B505F9"/>
    <w:rsid w:val="00B57B93"/>
    <w:rsid w:val="00B6502D"/>
    <w:rsid w:val="00B8047A"/>
    <w:rsid w:val="00BA4FA3"/>
    <w:rsid w:val="00BD5EC0"/>
    <w:rsid w:val="00BF679A"/>
    <w:rsid w:val="00C1736C"/>
    <w:rsid w:val="00C449E7"/>
    <w:rsid w:val="00C45F80"/>
    <w:rsid w:val="00C53930"/>
    <w:rsid w:val="00C758D1"/>
    <w:rsid w:val="00C87D0C"/>
    <w:rsid w:val="00CD1E65"/>
    <w:rsid w:val="00CF391F"/>
    <w:rsid w:val="00CF5563"/>
    <w:rsid w:val="00D14344"/>
    <w:rsid w:val="00D21FCE"/>
    <w:rsid w:val="00D31F75"/>
    <w:rsid w:val="00D90FD2"/>
    <w:rsid w:val="00DA3970"/>
    <w:rsid w:val="00DA400F"/>
    <w:rsid w:val="00DC200F"/>
    <w:rsid w:val="00E10807"/>
    <w:rsid w:val="00E248AF"/>
    <w:rsid w:val="00EB6DF2"/>
    <w:rsid w:val="00EB7C0F"/>
    <w:rsid w:val="00ED77DA"/>
    <w:rsid w:val="00EE1182"/>
    <w:rsid w:val="00EE6268"/>
    <w:rsid w:val="00F11E17"/>
    <w:rsid w:val="00F13F6F"/>
    <w:rsid w:val="00F92895"/>
    <w:rsid w:val="00FA0E67"/>
    <w:rsid w:val="00FB4F4A"/>
    <w:rsid w:val="00FC2F85"/>
    <w:rsid w:val="00FD204F"/>
    <w:rsid w:val="00FD7167"/>
    <w:rsid w:val="00FF64CE"/>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5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AC67BF"/>
    <w:pPr>
      <w:keepNext/>
      <w:ind w:right="48"/>
      <w:outlineLvl w:val="0"/>
    </w:pPr>
    <w:rPr>
      <w:rFonts w:eastAsia="Verdana"/>
      <w:b/>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FA Fu Car,ft,C"/>
    <w:basedOn w:val="Normal"/>
    <w:link w:val="FootnoteTextChar"/>
    <w:qFormat/>
    <w:rsid w:val="00594851"/>
  </w:style>
  <w:style w:type="character" w:customStyle="1" w:styleId="TextonotapieCar">
    <w:name w:val="Texto nota pie Car"/>
    <w:basedOn w:val="DefaultParagraphFont"/>
    <w:uiPriority w:val="99"/>
    <w:semiHidden/>
    <w:rsid w:val="00594851"/>
    <w:rPr>
      <w:rFonts w:ascii="Verdana" w:eastAsia="Times New Roman" w:hAnsi="Verdana"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ft Char"/>
    <w:link w:val="FootnoteText"/>
    <w:qFormat/>
    <w:rsid w:val="00594851"/>
    <w:rPr>
      <w:rFonts w:ascii="Verdana" w:eastAsia="Times New Roman" w:hAnsi="Verdana" w:cs="Times New Roman"/>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594851"/>
    <w:rPr>
      <w:vertAlign w:val="superscript"/>
    </w:rPr>
  </w:style>
  <w:style w:type="paragraph" w:customStyle="1" w:styleId="Numberedparagraphs">
    <w:name w:val="Numbered paragraphs"/>
    <w:basedOn w:val="Normal"/>
    <w:link w:val="NumberedparagraphsCar"/>
    <w:qFormat/>
    <w:rsid w:val="00594851"/>
    <w:pPr>
      <w:numPr>
        <w:numId w:val="1"/>
      </w:numPr>
      <w:jc w:val="both"/>
    </w:pPr>
    <w:rPr>
      <w:rFonts w:eastAsia="MS Mincho"/>
      <w:color w:val="000000"/>
      <w:lang w:val="es-ES_tradnl"/>
    </w:rPr>
  </w:style>
  <w:style w:type="paragraph" w:styleId="ListParagraph">
    <w:name w:val="List Paragraph"/>
    <w:aliases w:val="Párrafo de lista1,List Paragraph2,Lista vistosa - Énfasis 11,List Paragraph11,List Paragraph1,Footnote,Footnote1"/>
    <w:basedOn w:val="Normal"/>
    <w:link w:val="ListParagraphChar"/>
    <w:uiPriority w:val="34"/>
    <w:qFormat/>
    <w:rsid w:val="00594851"/>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94851"/>
    <w:pPr>
      <w:jc w:val="both"/>
    </w:pPr>
    <w:rPr>
      <w:rFonts w:asciiTheme="minorHAnsi" w:eastAsiaTheme="minorHAnsi" w:hAnsiTheme="minorHAnsi" w:cstheme="minorBidi"/>
      <w:sz w:val="22"/>
      <w:szCs w:val="22"/>
      <w:vertAlign w:val="superscript"/>
    </w:rPr>
  </w:style>
  <w:style w:type="paragraph" w:customStyle="1" w:styleId="PrrafodeSentencia">
    <w:name w:val="*. Párrafo de Sentencia"/>
    <w:basedOn w:val="Numberedparagraphs"/>
    <w:link w:val="PrrafodeSentenciaChar"/>
    <w:qFormat/>
    <w:rsid w:val="00594851"/>
    <w:pPr>
      <w:tabs>
        <w:tab w:val="clear" w:pos="720"/>
        <w:tab w:val="left" w:pos="567"/>
      </w:tabs>
    </w:pPr>
  </w:style>
  <w:style w:type="character" w:customStyle="1" w:styleId="PrrafodeSentenciaChar">
    <w:name w:val="*. Párrafo de Sentencia Char"/>
    <w:link w:val="PrrafodeSentencia"/>
    <w:rsid w:val="00594851"/>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594851"/>
    <w:rPr>
      <w:rFonts w:ascii="Verdana" w:eastAsia="MS Mincho" w:hAnsi="Verdana" w:cs="Times New Roman"/>
      <w:color w:val="000000"/>
      <w:sz w:val="20"/>
      <w:szCs w:val="20"/>
      <w:lang w:val="es-ES_tradnl"/>
    </w:rPr>
  </w:style>
  <w:style w:type="character" w:customStyle="1" w:styleId="ListParagraphChar">
    <w:name w:val="List Paragraph Char"/>
    <w:aliases w:val="Párrafo de lista1 Char,List Paragraph2 Char,Lista vistosa - Énfasis 11 Char,List Paragraph11 Char,List Paragraph1 Char,Footnote Char,Footnote1 Char"/>
    <w:basedOn w:val="DefaultParagraphFont"/>
    <w:link w:val="ListParagraph"/>
    <w:uiPriority w:val="34"/>
    <w:locked/>
    <w:rsid w:val="00594851"/>
    <w:rPr>
      <w:rFonts w:ascii="Calibri" w:eastAsia="Calibri" w:hAnsi="Calibri" w:cs="Times New Roman"/>
      <w:lang w:val="es-CR"/>
    </w:rPr>
  </w:style>
  <w:style w:type="paragraph" w:styleId="Header">
    <w:name w:val="header"/>
    <w:basedOn w:val="Normal"/>
    <w:link w:val="HeaderChar"/>
    <w:uiPriority w:val="99"/>
    <w:unhideWhenUsed/>
    <w:rsid w:val="00B44465"/>
    <w:pPr>
      <w:tabs>
        <w:tab w:val="center" w:pos="4680"/>
        <w:tab w:val="right" w:pos="9360"/>
      </w:tabs>
    </w:pPr>
  </w:style>
  <w:style w:type="character" w:customStyle="1" w:styleId="HeaderChar">
    <w:name w:val="Header Char"/>
    <w:basedOn w:val="DefaultParagraphFont"/>
    <w:link w:val="Header"/>
    <w:uiPriority w:val="99"/>
    <w:rsid w:val="00B44465"/>
    <w:rPr>
      <w:rFonts w:ascii="Verdana" w:eastAsia="Times New Roman" w:hAnsi="Verdana" w:cs="Times New Roman"/>
      <w:sz w:val="20"/>
      <w:szCs w:val="20"/>
    </w:rPr>
  </w:style>
  <w:style w:type="paragraph" w:styleId="Footer">
    <w:name w:val="footer"/>
    <w:basedOn w:val="Normal"/>
    <w:link w:val="FooterChar"/>
    <w:uiPriority w:val="99"/>
    <w:unhideWhenUsed/>
    <w:rsid w:val="00B44465"/>
    <w:pPr>
      <w:tabs>
        <w:tab w:val="center" w:pos="4680"/>
        <w:tab w:val="right" w:pos="9360"/>
      </w:tabs>
    </w:pPr>
  </w:style>
  <w:style w:type="character" w:customStyle="1" w:styleId="FooterChar">
    <w:name w:val="Footer Char"/>
    <w:basedOn w:val="DefaultParagraphFont"/>
    <w:link w:val="Footer"/>
    <w:uiPriority w:val="99"/>
    <w:rsid w:val="00B44465"/>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34713"/>
    <w:rPr>
      <w:sz w:val="16"/>
      <w:szCs w:val="16"/>
    </w:rPr>
  </w:style>
  <w:style w:type="paragraph" w:styleId="CommentText">
    <w:name w:val="annotation text"/>
    <w:basedOn w:val="Normal"/>
    <w:link w:val="CommentTextChar"/>
    <w:uiPriority w:val="99"/>
    <w:semiHidden/>
    <w:unhideWhenUsed/>
    <w:rsid w:val="00134713"/>
  </w:style>
  <w:style w:type="character" w:customStyle="1" w:styleId="CommentTextChar">
    <w:name w:val="Comment Text Char"/>
    <w:basedOn w:val="DefaultParagraphFont"/>
    <w:link w:val="CommentText"/>
    <w:uiPriority w:val="99"/>
    <w:semiHidden/>
    <w:rsid w:val="0013471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34713"/>
    <w:rPr>
      <w:b/>
      <w:bCs/>
    </w:rPr>
  </w:style>
  <w:style w:type="character" w:customStyle="1" w:styleId="CommentSubjectChar">
    <w:name w:val="Comment Subject Char"/>
    <w:basedOn w:val="CommentTextChar"/>
    <w:link w:val="CommentSubject"/>
    <w:uiPriority w:val="99"/>
    <w:semiHidden/>
    <w:rsid w:val="0013471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134713"/>
    <w:rPr>
      <w:rFonts w:ascii="Tahoma" w:hAnsi="Tahoma" w:cs="Tahoma"/>
      <w:sz w:val="16"/>
      <w:szCs w:val="16"/>
    </w:rPr>
  </w:style>
  <w:style w:type="character" w:customStyle="1" w:styleId="BalloonTextChar">
    <w:name w:val="Balloon Text Char"/>
    <w:basedOn w:val="DefaultParagraphFont"/>
    <w:link w:val="BalloonText"/>
    <w:uiPriority w:val="99"/>
    <w:semiHidden/>
    <w:rsid w:val="00134713"/>
    <w:rPr>
      <w:rFonts w:ascii="Tahoma" w:eastAsia="Times New Roman" w:hAnsi="Tahoma" w:cs="Tahoma"/>
      <w:sz w:val="16"/>
      <w:szCs w:val="16"/>
    </w:rPr>
  </w:style>
  <w:style w:type="paragraph" w:styleId="Title">
    <w:name w:val="Title"/>
    <w:basedOn w:val="Normal"/>
    <w:next w:val="Normal"/>
    <w:link w:val="TitleChar"/>
    <w:qFormat/>
    <w:rsid w:val="00AC7107"/>
    <w:pPr>
      <w:jc w:val="center"/>
    </w:pPr>
    <w:rPr>
      <w:rFonts w:eastAsiaTheme="minorHAnsi" w:cstheme="minorBidi"/>
      <w:b/>
      <w:szCs w:val="22"/>
    </w:rPr>
  </w:style>
  <w:style w:type="character" w:customStyle="1" w:styleId="TitleChar">
    <w:name w:val="Title Char"/>
    <w:basedOn w:val="DefaultParagraphFont"/>
    <w:link w:val="Title"/>
    <w:rsid w:val="00AC7107"/>
    <w:rPr>
      <w:rFonts w:ascii="Verdana" w:hAnsi="Verdana"/>
      <w:b/>
      <w:sz w:val="20"/>
    </w:rPr>
  </w:style>
  <w:style w:type="character" w:customStyle="1" w:styleId="Heading1Char">
    <w:name w:val="Heading 1 Char"/>
    <w:basedOn w:val="DefaultParagraphFont"/>
    <w:link w:val="Heading1"/>
    <w:uiPriority w:val="9"/>
    <w:rsid w:val="00AC67BF"/>
    <w:rPr>
      <w:rFonts w:ascii="Verdana" w:eastAsia="Verdana" w:hAnsi="Verdana" w:cs="Times New Roman"/>
      <w:b/>
      <w:sz w:val="20"/>
      <w:szCs w:val="20"/>
      <w:lang w:val="es-PE"/>
    </w:rPr>
  </w:style>
  <w:style w:type="paragraph" w:styleId="NoSpacing">
    <w:name w:val="No Spacing"/>
    <w:uiPriority w:val="1"/>
    <w:qFormat/>
    <w:rsid w:val="00D14344"/>
    <w:pPr>
      <w:spacing w:after="0" w:line="240" w:lineRule="auto"/>
    </w:pPr>
    <w:rPr>
      <w:rFonts w:ascii="Verdana" w:eastAsia="Times New Roman" w:hAnsi="Verdana" w:cs="Times New Roman"/>
      <w:sz w:val="28"/>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5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AC67BF"/>
    <w:pPr>
      <w:keepNext/>
      <w:ind w:right="48"/>
      <w:outlineLvl w:val="0"/>
    </w:pPr>
    <w:rPr>
      <w:rFonts w:eastAsia="Verdana"/>
      <w:b/>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FA Fu Car,ft,C"/>
    <w:basedOn w:val="Normal"/>
    <w:link w:val="FootnoteTextChar"/>
    <w:qFormat/>
    <w:rsid w:val="00594851"/>
  </w:style>
  <w:style w:type="character" w:customStyle="1" w:styleId="TextonotapieCar">
    <w:name w:val="Texto nota pie Car"/>
    <w:basedOn w:val="DefaultParagraphFont"/>
    <w:uiPriority w:val="99"/>
    <w:semiHidden/>
    <w:rsid w:val="00594851"/>
    <w:rPr>
      <w:rFonts w:ascii="Verdana" w:eastAsia="Times New Roman" w:hAnsi="Verdana"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ft Char"/>
    <w:link w:val="FootnoteText"/>
    <w:qFormat/>
    <w:rsid w:val="00594851"/>
    <w:rPr>
      <w:rFonts w:ascii="Verdana" w:eastAsia="Times New Roman" w:hAnsi="Verdana" w:cs="Times New Roman"/>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594851"/>
    <w:rPr>
      <w:vertAlign w:val="superscript"/>
    </w:rPr>
  </w:style>
  <w:style w:type="paragraph" w:customStyle="1" w:styleId="Numberedparagraphs">
    <w:name w:val="Numbered paragraphs"/>
    <w:basedOn w:val="Normal"/>
    <w:link w:val="NumberedparagraphsCar"/>
    <w:qFormat/>
    <w:rsid w:val="00594851"/>
    <w:pPr>
      <w:numPr>
        <w:numId w:val="1"/>
      </w:numPr>
      <w:jc w:val="both"/>
    </w:pPr>
    <w:rPr>
      <w:rFonts w:eastAsia="MS Mincho"/>
      <w:color w:val="000000"/>
      <w:lang w:val="es-ES_tradnl"/>
    </w:rPr>
  </w:style>
  <w:style w:type="paragraph" w:styleId="ListParagraph">
    <w:name w:val="List Paragraph"/>
    <w:aliases w:val="Párrafo de lista1,List Paragraph2,Lista vistosa - Énfasis 11,List Paragraph11,List Paragraph1,Footnote,Footnote1"/>
    <w:basedOn w:val="Normal"/>
    <w:link w:val="ListParagraphChar"/>
    <w:uiPriority w:val="34"/>
    <w:qFormat/>
    <w:rsid w:val="00594851"/>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94851"/>
    <w:pPr>
      <w:jc w:val="both"/>
    </w:pPr>
    <w:rPr>
      <w:rFonts w:asciiTheme="minorHAnsi" w:eastAsiaTheme="minorHAnsi" w:hAnsiTheme="minorHAnsi" w:cstheme="minorBidi"/>
      <w:sz w:val="22"/>
      <w:szCs w:val="22"/>
      <w:vertAlign w:val="superscript"/>
    </w:rPr>
  </w:style>
  <w:style w:type="paragraph" w:customStyle="1" w:styleId="PrrafodeSentencia">
    <w:name w:val="*. Párrafo de Sentencia"/>
    <w:basedOn w:val="Numberedparagraphs"/>
    <w:link w:val="PrrafodeSentenciaChar"/>
    <w:qFormat/>
    <w:rsid w:val="00594851"/>
    <w:pPr>
      <w:tabs>
        <w:tab w:val="clear" w:pos="720"/>
        <w:tab w:val="left" w:pos="567"/>
      </w:tabs>
    </w:pPr>
  </w:style>
  <w:style w:type="character" w:customStyle="1" w:styleId="PrrafodeSentenciaChar">
    <w:name w:val="*. Párrafo de Sentencia Char"/>
    <w:link w:val="PrrafodeSentencia"/>
    <w:rsid w:val="00594851"/>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594851"/>
    <w:rPr>
      <w:rFonts w:ascii="Verdana" w:eastAsia="MS Mincho" w:hAnsi="Verdana" w:cs="Times New Roman"/>
      <w:color w:val="000000"/>
      <w:sz w:val="20"/>
      <w:szCs w:val="20"/>
      <w:lang w:val="es-ES_tradnl"/>
    </w:rPr>
  </w:style>
  <w:style w:type="character" w:customStyle="1" w:styleId="ListParagraphChar">
    <w:name w:val="List Paragraph Char"/>
    <w:aliases w:val="Párrafo de lista1 Char,List Paragraph2 Char,Lista vistosa - Énfasis 11 Char,List Paragraph11 Char,List Paragraph1 Char,Footnote Char,Footnote1 Char"/>
    <w:basedOn w:val="DefaultParagraphFont"/>
    <w:link w:val="ListParagraph"/>
    <w:uiPriority w:val="34"/>
    <w:locked/>
    <w:rsid w:val="00594851"/>
    <w:rPr>
      <w:rFonts w:ascii="Calibri" w:eastAsia="Calibri" w:hAnsi="Calibri" w:cs="Times New Roman"/>
      <w:lang w:val="es-CR"/>
    </w:rPr>
  </w:style>
  <w:style w:type="paragraph" w:styleId="Header">
    <w:name w:val="header"/>
    <w:basedOn w:val="Normal"/>
    <w:link w:val="HeaderChar"/>
    <w:uiPriority w:val="99"/>
    <w:unhideWhenUsed/>
    <w:rsid w:val="00B44465"/>
    <w:pPr>
      <w:tabs>
        <w:tab w:val="center" w:pos="4680"/>
        <w:tab w:val="right" w:pos="9360"/>
      </w:tabs>
    </w:pPr>
  </w:style>
  <w:style w:type="character" w:customStyle="1" w:styleId="HeaderChar">
    <w:name w:val="Header Char"/>
    <w:basedOn w:val="DefaultParagraphFont"/>
    <w:link w:val="Header"/>
    <w:uiPriority w:val="99"/>
    <w:rsid w:val="00B44465"/>
    <w:rPr>
      <w:rFonts w:ascii="Verdana" w:eastAsia="Times New Roman" w:hAnsi="Verdana" w:cs="Times New Roman"/>
      <w:sz w:val="20"/>
      <w:szCs w:val="20"/>
    </w:rPr>
  </w:style>
  <w:style w:type="paragraph" w:styleId="Footer">
    <w:name w:val="footer"/>
    <w:basedOn w:val="Normal"/>
    <w:link w:val="FooterChar"/>
    <w:uiPriority w:val="99"/>
    <w:unhideWhenUsed/>
    <w:rsid w:val="00B44465"/>
    <w:pPr>
      <w:tabs>
        <w:tab w:val="center" w:pos="4680"/>
        <w:tab w:val="right" w:pos="9360"/>
      </w:tabs>
    </w:pPr>
  </w:style>
  <w:style w:type="character" w:customStyle="1" w:styleId="FooterChar">
    <w:name w:val="Footer Char"/>
    <w:basedOn w:val="DefaultParagraphFont"/>
    <w:link w:val="Footer"/>
    <w:uiPriority w:val="99"/>
    <w:rsid w:val="00B44465"/>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34713"/>
    <w:rPr>
      <w:sz w:val="16"/>
      <w:szCs w:val="16"/>
    </w:rPr>
  </w:style>
  <w:style w:type="paragraph" w:styleId="CommentText">
    <w:name w:val="annotation text"/>
    <w:basedOn w:val="Normal"/>
    <w:link w:val="CommentTextChar"/>
    <w:uiPriority w:val="99"/>
    <w:semiHidden/>
    <w:unhideWhenUsed/>
    <w:rsid w:val="00134713"/>
  </w:style>
  <w:style w:type="character" w:customStyle="1" w:styleId="CommentTextChar">
    <w:name w:val="Comment Text Char"/>
    <w:basedOn w:val="DefaultParagraphFont"/>
    <w:link w:val="CommentText"/>
    <w:uiPriority w:val="99"/>
    <w:semiHidden/>
    <w:rsid w:val="0013471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34713"/>
    <w:rPr>
      <w:b/>
      <w:bCs/>
    </w:rPr>
  </w:style>
  <w:style w:type="character" w:customStyle="1" w:styleId="CommentSubjectChar">
    <w:name w:val="Comment Subject Char"/>
    <w:basedOn w:val="CommentTextChar"/>
    <w:link w:val="CommentSubject"/>
    <w:uiPriority w:val="99"/>
    <w:semiHidden/>
    <w:rsid w:val="0013471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134713"/>
    <w:rPr>
      <w:rFonts w:ascii="Tahoma" w:hAnsi="Tahoma" w:cs="Tahoma"/>
      <w:sz w:val="16"/>
      <w:szCs w:val="16"/>
    </w:rPr>
  </w:style>
  <w:style w:type="character" w:customStyle="1" w:styleId="BalloonTextChar">
    <w:name w:val="Balloon Text Char"/>
    <w:basedOn w:val="DefaultParagraphFont"/>
    <w:link w:val="BalloonText"/>
    <w:uiPriority w:val="99"/>
    <w:semiHidden/>
    <w:rsid w:val="00134713"/>
    <w:rPr>
      <w:rFonts w:ascii="Tahoma" w:eastAsia="Times New Roman" w:hAnsi="Tahoma" w:cs="Tahoma"/>
      <w:sz w:val="16"/>
      <w:szCs w:val="16"/>
    </w:rPr>
  </w:style>
  <w:style w:type="paragraph" w:styleId="Title">
    <w:name w:val="Title"/>
    <w:basedOn w:val="Normal"/>
    <w:next w:val="Normal"/>
    <w:link w:val="TitleChar"/>
    <w:qFormat/>
    <w:rsid w:val="00AC7107"/>
    <w:pPr>
      <w:jc w:val="center"/>
    </w:pPr>
    <w:rPr>
      <w:rFonts w:eastAsiaTheme="minorHAnsi" w:cstheme="minorBidi"/>
      <w:b/>
      <w:szCs w:val="22"/>
    </w:rPr>
  </w:style>
  <w:style w:type="character" w:customStyle="1" w:styleId="TitleChar">
    <w:name w:val="Title Char"/>
    <w:basedOn w:val="DefaultParagraphFont"/>
    <w:link w:val="Title"/>
    <w:rsid w:val="00AC7107"/>
    <w:rPr>
      <w:rFonts w:ascii="Verdana" w:hAnsi="Verdana"/>
      <w:b/>
      <w:sz w:val="20"/>
    </w:rPr>
  </w:style>
  <w:style w:type="character" w:customStyle="1" w:styleId="Heading1Char">
    <w:name w:val="Heading 1 Char"/>
    <w:basedOn w:val="DefaultParagraphFont"/>
    <w:link w:val="Heading1"/>
    <w:uiPriority w:val="9"/>
    <w:rsid w:val="00AC67BF"/>
    <w:rPr>
      <w:rFonts w:ascii="Verdana" w:eastAsia="Verdana" w:hAnsi="Verdana" w:cs="Times New Roman"/>
      <w:b/>
      <w:sz w:val="20"/>
      <w:szCs w:val="20"/>
      <w:lang w:val="es-PE"/>
    </w:rPr>
  </w:style>
  <w:style w:type="paragraph" w:styleId="NoSpacing">
    <w:name w:val="No Spacing"/>
    <w:uiPriority w:val="1"/>
    <w:qFormat/>
    <w:rsid w:val="00D14344"/>
    <w:pPr>
      <w:spacing w:after="0" w:line="240" w:lineRule="auto"/>
    </w:pPr>
    <w:rPr>
      <w:rFonts w:ascii="Verdana" w:eastAsia="Times New Roman" w:hAnsi="Verdana" w:cs="Times New Roman"/>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038">
      <w:bodyDiv w:val="1"/>
      <w:marLeft w:val="0"/>
      <w:marRight w:val="0"/>
      <w:marTop w:val="0"/>
      <w:marBottom w:val="0"/>
      <w:divBdr>
        <w:top w:val="none" w:sz="0" w:space="0" w:color="auto"/>
        <w:left w:val="none" w:sz="0" w:space="0" w:color="auto"/>
        <w:bottom w:val="none" w:sz="0" w:space="0" w:color="auto"/>
        <w:right w:val="none" w:sz="0" w:space="0" w:color="auto"/>
      </w:divBdr>
    </w:div>
    <w:div w:id="732430465">
      <w:bodyDiv w:val="1"/>
      <w:marLeft w:val="0"/>
      <w:marRight w:val="0"/>
      <w:marTop w:val="0"/>
      <w:marBottom w:val="0"/>
      <w:divBdr>
        <w:top w:val="none" w:sz="0" w:space="0" w:color="auto"/>
        <w:left w:val="none" w:sz="0" w:space="0" w:color="auto"/>
        <w:bottom w:val="none" w:sz="0" w:space="0" w:color="auto"/>
        <w:right w:val="none" w:sz="0" w:space="0" w:color="auto"/>
      </w:divBdr>
    </w:div>
    <w:div w:id="776944735">
      <w:bodyDiv w:val="1"/>
      <w:marLeft w:val="0"/>
      <w:marRight w:val="0"/>
      <w:marTop w:val="0"/>
      <w:marBottom w:val="0"/>
      <w:divBdr>
        <w:top w:val="none" w:sz="0" w:space="0" w:color="auto"/>
        <w:left w:val="none" w:sz="0" w:space="0" w:color="auto"/>
        <w:bottom w:val="none" w:sz="0" w:space="0" w:color="auto"/>
        <w:right w:val="none" w:sz="0" w:space="0" w:color="auto"/>
      </w:divBdr>
    </w:div>
    <w:div w:id="798959831">
      <w:bodyDiv w:val="1"/>
      <w:marLeft w:val="0"/>
      <w:marRight w:val="0"/>
      <w:marTop w:val="0"/>
      <w:marBottom w:val="0"/>
      <w:divBdr>
        <w:top w:val="none" w:sz="0" w:space="0" w:color="auto"/>
        <w:left w:val="none" w:sz="0" w:space="0" w:color="auto"/>
        <w:bottom w:val="none" w:sz="0" w:space="0" w:color="auto"/>
        <w:right w:val="none" w:sz="0" w:space="0" w:color="auto"/>
      </w:divBdr>
    </w:div>
    <w:div w:id="1651667671">
      <w:bodyDiv w:val="1"/>
      <w:marLeft w:val="0"/>
      <w:marRight w:val="0"/>
      <w:marTop w:val="0"/>
      <w:marBottom w:val="0"/>
      <w:divBdr>
        <w:top w:val="none" w:sz="0" w:space="0" w:color="auto"/>
        <w:left w:val="none" w:sz="0" w:space="0" w:color="auto"/>
        <w:bottom w:val="none" w:sz="0" w:space="0" w:color="auto"/>
        <w:right w:val="none" w:sz="0" w:space="0" w:color="auto"/>
      </w:divBdr>
    </w:div>
    <w:div w:id="2056391457">
      <w:bodyDiv w:val="1"/>
      <w:marLeft w:val="0"/>
      <w:marRight w:val="0"/>
      <w:marTop w:val="0"/>
      <w:marBottom w:val="0"/>
      <w:divBdr>
        <w:top w:val="none" w:sz="0" w:space="0" w:color="auto"/>
        <w:left w:val="none" w:sz="0" w:space="0" w:color="auto"/>
        <w:bottom w:val="none" w:sz="0" w:space="0" w:color="auto"/>
        <w:right w:val="none" w:sz="0" w:space="0" w:color="auto"/>
      </w:divBdr>
    </w:div>
    <w:div w:id="20669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0AF5-B968-44B3-A5DB-09B1A8D6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14000</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TCU03</cp:lastModifiedBy>
  <cp:revision>2</cp:revision>
  <cp:lastPrinted>2019-01-29T21:41:00Z</cp:lastPrinted>
  <dcterms:created xsi:type="dcterms:W3CDTF">2020-01-29T20:09:00Z</dcterms:created>
  <dcterms:modified xsi:type="dcterms:W3CDTF">2020-01-29T20:09:00Z</dcterms:modified>
</cp:coreProperties>
</file>