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0EF64" w14:textId="77777777" w:rsidR="00DF2489" w:rsidRPr="009A4354" w:rsidRDefault="00DF2489" w:rsidP="009F6714">
      <w:pPr>
        <w:spacing w:after="0"/>
        <w:ind w:right="-317"/>
        <w:rPr>
          <w:rFonts w:cs="Verdana Bold"/>
          <w:bCs/>
          <w:caps/>
          <w:szCs w:val="20"/>
        </w:rPr>
      </w:pPr>
    </w:p>
    <w:p w14:paraId="1EDC7F49" w14:textId="77777777" w:rsidR="00DF2489" w:rsidRPr="009A4354" w:rsidRDefault="00DF2489" w:rsidP="002933BD">
      <w:pPr>
        <w:spacing w:after="0"/>
        <w:ind w:right="-317"/>
        <w:jc w:val="center"/>
        <w:rPr>
          <w:rFonts w:cs="Verdana Bold"/>
          <w:bCs/>
          <w:caps/>
          <w:szCs w:val="20"/>
        </w:rPr>
      </w:pPr>
    </w:p>
    <w:p w14:paraId="0C0BD097" w14:textId="77777777" w:rsidR="00DF2489" w:rsidRPr="009A4354" w:rsidRDefault="00DF2489" w:rsidP="002933BD">
      <w:pPr>
        <w:spacing w:after="0"/>
        <w:ind w:right="-316"/>
        <w:jc w:val="center"/>
        <w:rPr>
          <w:rFonts w:cs="Verdana Bold"/>
          <w:b/>
          <w:bCs/>
          <w:caps/>
          <w:szCs w:val="20"/>
        </w:rPr>
      </w:pPr>
      <w:r w:rsidRPr="009A4354">
        <w:rPr>
          <w:rFonts w:cs="Verdana Bold"/>
          <w:b/>
          <w:bCs/>
          <w:caps/>
          <w:szCs w:val="20"/>
        </w:rPr>
        <w:t>Resolución del Presidente de la</w:t>
      </w:r>
    </w:p>
    <w:p w14:paraId="3C4DF142" w14:textId="77777777" w:rsidR="00DF2489" w:rsidRPr="009A4354" w:rsidRDefault="00DF2489" w:rsidP="002933BD">
      <w:pPr>
        <w:spacing w:after="0"/>
        <w:ind w:right="-316"/>
        <w:jc w:val="center"/>
        <w:rPr>
          <w:rFonts w:cs="Verdana Bold"/>
          <w:b/>
          <w:bCs/>
          <w:caps/>
          <w:szCs w:val="20"/>
        </w:rPr>
      </w:pPr>
      <w:r w:rsidRPr="009A4354">
        <w:rPr>
          <w:rFonts w:cs="Verdana Bold"/>
          <w:b/>
          <w:bCs/>
          <w:caps/>
          <w:szCs w:val="20"/>
        </w:rPr>
        <w:t>Corte Interamericana de Derechos Humanos</w:t>
      </w:r>
    </w:p>
    <w:p w14:paraId="152D3C3F" w14:textId="77777777" w:rsidR="00DF2489" w:rsidRPr="009A4354" w:rsidRDefault="00DF2489" w:rsidP="002933BD">
      <w:pPr>
        <w:spacing w:after="0"/>
        <w:ind w:right="-316"/>
        <w:rPr>
          <w:rFonts w:cs="Verdana Bold"/>
          <w:bCs/>
          <w:caps/>
          <w:szCs w:val="20"/>
        </w:rPr>
      </w:pPr>
    </w:p>
    <w:p w14:paraId="036CEECB" w14:textId="49A292DC" w:rsidR="00DF2489" w:rsidRPr="009A4354" w:rsidRDefault="00DF2489" w:rsidP="002933BD">
      <w:pPr>
        <w:spacing w:after="0"/>
        <w:ind w:right="-316"/>
        <w:jc w:val="center"/>
        <w:rPr>
          <w:rFonts w:cs="Verdana Bold"/>
          <w:b/>
          <w:bCs/>
          <w:caps/>
          <w:szCs w:val="20"/>
        </w:rPr>
      </w:pPr>
      <w:r w:rsidRPr="008644C2">
        <w:rPr>
          <w:rFonts w:cs="Verdana Bold"/>
          <w:b/>
          <w:bCs/>
          <w:caps/>
          <w:szCs w:val="20"/>
        </w:rPr>
        <w:t xml:space="preserve">DE </w:t>
      </w:r>
      <w:r w:rsidR="000E18A1">
        <w:rPr>
          <w:rFonts w:cs="Verdana Bold"/>
          <w:b/>
          <w:bCs/>
          <w:caps/>
          <w:szCs w:val="20"/>
        </w:rPr>
        <w:t>12</w:t>
      </w:r>
      <w:r w:rsidRPr="008644C2">
        <w:rPr>
          <w:rFonts w:cs="Verdana Bold"/>
          <w:b/>
          <w:bCs/>
          <w:caps/>
          <w:szCs w:val="20"/>
        </w:rPr>
        <w:t xml:space="preserve"> de </w:t>
      </w:r>
      <w:r w:rsidR="00694653">
        <w:rPr>
          <w:rFonts w:cs="Verdana Bold"/>
          <w:b/>
          <w:bCs/>
          <w:caps/>
          <w:szCs w:val="20"/>
        </w:rPr>
        <w:t>DICIEMBRE</w:t>
      </w:r>
      <w:r w:rsidRPr="008644C2">
        <w:rPr>
          <w:rFonts w:cs="Verdana Bold"/>
          <w:b/>
          <w:bCs/>
          <w:caps/>
          <w:szCs w:val="20"/>
        </w:rPr>
        <w:t xml:space="preserve"> de 2019</w:t>
      </w:r>
    </w:p>
    <w:p w14:paraId="0511942D" w14:textId="77777777" w:rsidR="00DF2489" w:rsidRPr="009A4354" w:rsidRDefault="00DF2489" w:rsidP="002933BD">
      <w:pPr>
        <w:spacing w:after="0"/>
        <w:ind w:right="-316"/>
        <w:rPr>
          <w:rFonts w:cs="Verdana Bold"/>
          <w:bCs/>
          <w:caps/>
          <w:szCs w:val="20"/>
        </w:rPr>
      </w:pPr>
    </w:p>
    <w:p w14:paraId="0E6E3F31" w14:textId="77777777" w:rsidR="00DF2489" w:rsidRDefault="00DF2489" w:rsidP="002933BD">
      <w:pPr>
        <w:spacing w:after="0"/>
        <w:ind w:right="-316"/>
        <w:jc w:val="center"/>
        <w:rPr>
          <w:rFonts w:cs="Verdana Bold"/>
          <w:b/>
          <w:bCs/>
          <w:caps/>
          <w:szCs w:val="20"/>
        </w:rPr>
      </w:pPr>
      <w:r w:rsidRPr="009A4354">
        <w:rPr>
          <w:rFonts w:cs="Verdana Bold"/>
          <w:b/>
          <w:bCs/>
          <w:szCs w:val="20"/>
          <w:lang w:val="es-CR"/>
        </w:rPr>
        <w:t xml:space="preserve">CASO </w:t>
      </w:r>
      <w:bookmarkStart w:id="0" w:name="_GoBack"/>
      <w:r w:rsidR="00694653">
        <w:rPr>
          <w:rFonts w:cs="Arial"/>
          <w:b/>
          <w:szCs w:val="20"/>
          <w:lang w:val="es-CR"/>
        </w:rPr>
        <w:t>PETRO URREGO</w:t>
      </w:r>
      <w:r w:rsidRPr="009A4354">
        <w:rPr>
          <w:rFonts w:cs="Arial"/>
          <w:b/>
          <w:szCs w:val="20"/>
          <w:lang w:val="es-CR"/>
        </w:rPr>
        <w:t xml:space="preserve"> </w:t>
      </w:r>
      <w:bookmarkEnd w:id="0"/>
      <w:r w:rsidRPr="009A4354">
        <w:rPr>
          <w:rFonts w:cs="Verdana Bold"/>
          <w:b/>
          <w:bCs/>
          <w:caps/>
          <w:szCs w:val="20"/>
          <w:lang w:val="es-CR"/>
        </w:rPr>
        <w:t xml:space="preserve">VS. </w:t>
      </w:r>
      <w:r w:rsidR="00694653">
        <w:rPr>
          <w:rFonts w:cs="Verdana Bold"/>
          <w:b/>
          <w:bCs/>
          <w:caps/>
          <w:szCs w:val="20"/>
        </w:rPr>
        <w:t>COLOMBIA</w:t>
      </w:r>
    </w:p>
    <w:p w14:paraId="367B0129" w14:textId="77777777" w:rsidR="00E82E67" w:rsidRPr="009A4354" w:rsidRDefault="00E82E67" w:rsidP="002933BD">
      <w:pPr>
        <w:spacing w:after="0"/>
        <w:ind w:right="-316"/>
        <w:jc w:val="center"/>
        <w:rPr>
          <w:rFonts w:cs="Verdana Bold"/>
          <w:b/>
          <w:bCs/>
          <w:caps/>
          <w:szCs w:val="20"/>
        </w:rPr>
      </w:pPr>
      <w:r>
        <w:rPr>
          <w:rFonts w:cs="Verdana Bold"/>
          <w:b/>
          <w:bCs/>
          <w:caps/>
          <w:szCs w:val="20"/>
        </w:rPr>
        <w:t>CONVOCATORIA A AUDIENCIA</w:t>
      </w:r>
    </w:p>
    <w:p w14:paraId="27E84AE0" w14:textId="77777777" w:rsidR="00DF2489" w:rsidRPr="009A4354" w:rsidRDefault="00DF2489" w:rsidP="002933BD">
      <w:pPr>
        <w:spacing w:after="0"/>
        <w:rPr>
          <w:rFonts w:cs="Verdana"/>
          <w:bCs/>
          <w:caps/>
          <w:szCs w:val="20"/>
        </w:rPr>
      </w:pPr>
    </w:p>
    <w:p w14:paraId="158D4A12" w14:textId="77777777" w:rsidR="00DF2489" w:rsidRPr="009A4354" w:rsidRDefault="00DF2489" w:rsidP="002933BD">
      <w:pPr>
        <w:spacing w:after="0"/>
        <w:rPr>
          <w:rFonts w:cs="Verdana"/>
          <w:bCs/>
          <w:caps/>
          <w:szCs w:val="20"/>
        </w:rPr>
      </w:pPr>
    </w:p>
    <w:p w14:paraId="685F4E15" w14:textId="77777777" w:rsidR="00DF2489" w:rsidRPr="009A4354" w:rsidRDefault="00DF2489" w:rsidP="002933BD">
      <w:pPr>
        <w:spacing w:after="0"/>
        <w:rPr>
          <w:rFonts w:cs="Verdana"/>
          <w:b/>
          <w:bCs/>
          <w:caps/>
          <w:szCs w:val="20"/>
        </w:rPr>
      </w:pPr>
      <w:r w:rsidRPr="009A4354">
        <w:rPr>
          <w:rFonts w:cs="Verdana"/>
          <w:b/>
          <w:bCs/>
          <w:caps/>
          <w:szCs w:val="20"/>
        </w:rPr>
        <w:t>Visto:</w:t>
      </w:r>
    </w:p>
    <w:p w14:paraId="2B4368A7" w14:textId="77777777" w:rsidR="00DF2489" w:rsidRPr="009A4354" w:rsidRDefault="00DF2489" w:rsidP="002933BD">
      <w:pPr>
        <w:spacing w:after="0"/>
        <w:rPr>
          <w:rFonts w:cs="Verdana"/>
          <w:bCs/>
          <w:caps/>
          <w:szCs w:val="20"/>
        </w:rPr>
      </w:pPr>
    </w:p>
    <w:p w14:paraId="54128D28" w14:textId="515392AD" w:rsidR="00256205" w:rsidRDefault="00DF2489" w:rsidP="002933BD">
      <w:pPr>
        <w:pStyle w:val="Prrafodelista"/>
        <w:widowControl w:val="0"/>
        <w:numPr>
          <w:ilvl w:val="0"/>
          <w:numId w:val="3"/>
        </w:numPr>
        <w:tabs>
          <w:tab w:val="left" w:pos="567"/>
          <w:tab w:val="left" w:pos="720"/>
        </w:tabs>
        <w:autoSpaceDE w:val="0"/>
        <w:autoSpaceDN w:val="0"/>
        <w:adjustRightInd w:val="0"/>
        <w:ind w:left="0" w:right="22" w:firstLine="0"/>
        <w:jc w:val="both"/>
        <w:rPr>
          <w:rFonts w:ascii="Verdana" w:hAnsi="Verdana"/>
          <w:sz w:val="20"/>
          <w:szCs w:val="20"/>
          <w:lang w:val="es-CR"/>
        </w:rPr>
      </w:pPr>
      <w:bookmarkStart w:id="1" w:name="_Ref393297742"/>
      <w:bookmarkStart w:id="2" w:name="_Ref352676460"/>
      <w:bookmarkStart w:id="3" w:name="_Ref393297780"/>
      <w:bookmarkStart w:id="4" w:name="_Ref393920719"/>
      <w:r w:rsidRPr="009A4354">
        <w:rPr>
          <w:rFonts w:ascii="Verdana" w:hAnsi="Verdana"/>
          <w:sz w:val="20"/>
          <w:szCs w:val="20"/>
          <w:lang w:val="es-CR"/>
        </w:rPr>
        <w:t>El escrito de sometimiento del caso y el Informe de Fondo de la Comisión Interamericana de Derechos Humanos (en adelante “la Comisión Interamericana” o “la Comisión”)</w:t>
      </w:r>
      <w:bookmarkEnd w:id="1"/>
      <w:r w:rsidRPr="009A4354">
        <w:rPr>
          <w:rFonts w:ascii="Verdana" w:hAnsi="Verdana"/>
          <w:sz w:val="20"/>
          <w:szCs w:val="20"/>
          <w:lang w:val="es-CR"/>
        </w:rPr>
        <w:t xml:space="preserve">; </w:t>
      </w:r>
      <w:bookmarkStart w:id="5" w:name="_Ref351983508"/>
      <w:bookmarkStart w:id="6" w:name="_Ref393297751"/>
      <w:bookmarkEnd w:id="2"/>
      <w:r w:rsidRPr="009A4354">
        <w:rPr>
          <w:rFonts w:ascii="Verdana" w:hAnsi="Verdana"/>
          <w:sz w:val="20"/>
          <w:szCs w:val="20"/>
          <w:lang w:val="es-CR"/>
        </w:rPr>
        <w:t xml:space="preserve">el escrito de solicitudes, argumentos y pruebas (en adelante “escrito de solicitudes y argumentos”) </w:t>
      </w:r>
      <w:r w:rsidRPr="009A4354">
        <w:rPr>
          <w:rFonts w:ascii="Verdana" w:hAnsi="Verdana"/>
          <w:sz w:val="20"/>
          <w:szCs w:val="20"/>
          <w:lang w:val="es-CL" w:eastAsia="en-US"/>
        </w:rPr>
        <w:t>de los representantes</w:t>
      </w:r>
      <w:r w:rsidRPr="009A4354">
        <w:rPr>
          <w:rStyle w:val="Refdenotaalpie"/>
          <w:rFonts w:ascii="Verdana" w:hAnsi="Verdana"/>
          <w:sz w:val="20"/>
          <w:szCs w:val="20"/>
          <w:lang w:val="es-CL"/>
        </w:rPr>
        <w:t xml:space="preserve"> </w:t>
      </w:r>
      <w:r w:rsidR="001A53E8">
        <w:rPr>
          <w:rFonts w:ascii="Verdana" w:hAnsi="Verdana"/>
          <w:sz w:val="20"/>
          <w:szCs w:val="20"/>
          <w:lang w:val="es-CL" w:eastAsia="en-US"/>
        </w:rPr>
        <w:t>de la presunta víctima</w:t>
      </w:r>
      <w:r w:rsidRPr="009A4354">
        <w:rPr>
          <w:rFonts w:ascii="Verdana" w:hAnsi="Verdana"/>
          <w:sz w:val="20"/>
          <w:szCs w:val="20"/>
          <w:lang w:val="es-CR"/>
        </w:rPr>
        <w:t xml:space="preserve"> (en adelante “los representantes”); </w:t>
      </w:r>
      <w:bookmarkStart w:id="7" w:name="_Ref352676532"/>
      <w:bookmarkEnd w:id="5"/>
      <w:bookmarkEnd w:id="6"/>
      <w:r w:rsidRPr="009A4354">
        <w:rPr>
          <w:rFonts w:ascii="Verdana" w:hAnsi="Verdana"/>
          <w:sz w:val="20"/>
          <w:szCs w:val="20"/>
          <w:lang w:val="es-CR"/>
        </w:rPr>
        <w:t>el escrito de excepciones preliminares y contestación al sometimiento del caso y al escrito de solicitudes y argumentos (en adelant</w:t>
      </w:r>
      <w:r w:rsidR="00694653">
        <w:rPr>
          <w:rFonts w:ascii="Verdana" w:hAnsi="Verdana"/>
          <w:sz w:val="20"/>
          <w:szCs w:val="20"/>
          <w:lang w:val="es-CR"/>
        </w:rPr>
        <w:t xml:space="preserve">e “escrito de contestación”) del Estado de Colombia </w:t>
      </w:r>
      <w:r w:rsidRPr="009A4354">
        <w:rPr>
          <w:rFonts w:ascii="Verdana" w:hAnsi="Verdana"/>
          <w:sz w:val="20"/>
          <w:szCs w:val="20"/>
          <w:lang w:val="es-CR"/>
        </w:rPr>
        <w:t>(en adelante “</w:t>
      </w:r>
      <w:r w:rsidR="00694653">
        <w:rPr>
          <w:rFonts w:ascii="Verdana" w:hAnsi="Verdana"/>
          <w:sz w:val="20"/>
          <w:szCs w:val="20"/>
          <w:lang w:val="es-CR"/>
        </w:rPr>
        <w:t>Colombia</w:t>
      </w:r>
      <w:r w:rsidRPr="009A4354">
        <w:rPr>
          <w:rFonts w:ascii="Verdana" w:hAnsi="Verdana"/>
          <w:sz w:val="20"/>
          <w:szCs w:val="20"/>
          <w:lang w:val="es-CR"/>
        </w:rPr>
        <w:t>” o “el Estado”)</w:t>
      </w:r>
      <w:bookmarkEnd w:id="7"/>
      <w:r w:rsidRPr="009A4354">
        <w:rPr>
          <w:rFonts w:ascii="Verdana" w:hAnsi="Verdana"/>
          <w:sz w:val="20"/>
          <w:szCs w:val="20"/>
          <w:lang w:val="es-CR"/>
        </w:rPr>
        <w:t xml:space="preserve">; </w:t>
      </w:r>
      <w:r w:rsidRPr="00256205">
        <w:rPr>
          <w:rFonts w:ascii="Verdana" w:hAnsi="Verdana"/>
          <w:sz w:val="20"/>
          <w:szCs w:val="20"/>
          <w:lang w:val="es-CR"/>
        </w:rPr>
        <w:t>así como los escritos de observaciones a las excepciones preliminares presentados por la Comisión y por los representantes.</w:t>
      </w:r>
      <w:bookmarkEnd w:id="3"/>
    </w:p>
    <w:p w14:paraId="66BE241A" w14:textId="77777777" w:rsidR="00256205" w:rsidRDefault="00256205" w:rsidP="002933BD">
      <w:pPr>
        <w:pStyle w:val="Prrafodelista"/>
        <w:widowControl w:val="0"/>
        <w:tabs>
          <w:tab w:val="left" w:pos="567"/>
          <w:tab w:val="left" w:pos="720"/>
        </w:tabs>
        <w:autoSpaceDE w:val="0"/>
        <w:autoSpaceDN w:val="0"/>
        <w:adjustRightInd w:val="0"/>
        <w:ind w:left="0" w:right="22"/>
        <w:jc w:val="both"/>
        <w:rPr>
          <w:rFonts w:ascii="Verdana" w:hAnsi="Verdana"/>
          <w:sz w:val="20"/>
          <w:szCs w:val="20"/>
          <w:lang w:val="es-CR"/>
        </w:rPr>
      </w:pPr>
    </w:p>
    <w:p w14:paraId="277BDADB" w14:textId="77777777" w:rsidR="00DF2489" w:rsidRPr="00256205" w:rsidRDefault="00DF2489" w:rsidP="002933BD">
      <w:pPr>
        <w:pStyle w:val="Prrafodelista"/>
        <w:widowControl w:val="0"/>
        <w:numPr>
          <w:ilvl w:val="0"/>
          <w:numId w:val="3"/>
        </w:numPr>
        <w:tabs>
          <w:tab w:val="left" w:pos="567"/>
          <w:tab w:val="left" w:pos="720"/>
        </w:tabs>
        <w:autoSpaceDE w:val="0"/>
        <w:autoSpaceDN w:val="0"/>
        <w:adjustRightInd w:val="0"/>
        <w:ind w:left="0" w:right="22" w:firstLine="0"/>
        <w:jc w:val="both"/>
        <w:rPr>
          <w:rFonts w:ascii="Verdana" w:hAnsi="Verdana"/>
          <w:sz w:val="20"/>
          <w:szCs w:val="20"/>
          <w:lang w:val="es-CR"/>
        </w:rPr>
      </w:pPr>
      <w:r w:rsidRPr="00256205">
        <w:rPr>
          <w:rFonts w:ascii="Verdana" w:hAnsi="Verdana"/>
          <w:sz w:val="20"/>
          <w:szCs w:val="20"/>
          <w:lang w:val="es-CR"/>
        </w:rPr>
        <w:t>Las listas definitivas de declarantes presentadas por los representantes, el Estado y la Comisión, y las correspondientes observaciones a dichas listas.</w:t>
      </w:r>
      <w:bookmarkEnd w:id="4"/>
    </w:p>
    <w:p w14:paraId="5587BC21" w14:textId="77777777" w:rsidR="00DF2489" w:rsidRPr="009A4354" w:rsidRDefault="00DF2489" w:rsidP="002933BD">
      <w:pPr>
        <w:pStyle w:val="Prrafodelista"/>
        <w:widowControl w:val="0"/>
        <w:tabs>
          <w:tab w:val="left" w:pos="567"/>
          <w:tab w:val="left" w:pos="720"/>
        </w:tabs>
        <w:autoSpaceDE w:val="0"/>
        <w:autoSpaceDN w:val="0"/>
        <w:adjustRightInd w:val="0"/>
        <w:ind w:left="0" w:right="22"/>
        <w:rPr>
          <w:rFonts w:ascii="Verdana" w:hAnsi="Verdana"/>
          <w:sz w:val="20"/>
          <w:szCs w:val="20"/>
          <w:lang w:val="es-CR"/>
        </w:rPr>
      </w:pPr>
    </w:p>
    <w:p w14:paraId="53491D25" w14:textId="77777777" w:rsidR="00DF2489" w:rsidRPr="009A4354" w:rsidRDefault="00DF2489" w:rsidP="002933BD">
      <w:pPr>
        <w:tabs>
          <w:tab w:val="left" w:pos="720"/>
        </w:tabs>
        <w:autoSpaceDE w:val="0"/>
        <w:autoSpaceDN w:val="0"/>
        <w:adjustRightInd w:val="0"/>
        <w:spacing w:after="0"/>
        <w:jc w:val="left"/>
        <w:rPr>
          <w:rFonts w:eastAsia="Times New Roman" w:cs="Verdana"/>
          <w:b/>
          <w:bCs/>
          <w:szCs w:val="20"/>
          <w:lang w:val="es-CL" w:eastAsia="en-US"/>
        </w:rPr>
      </w:pPr>
      <w:r w:rsidRPr="009A4354">
        <w:rPr>
          <w:rFonts w:eastAsia="Times New Roman" w:cs="Verdana"/>
          <w:b/>
          <w:bCs/>
          <w:szCs w:val="20"/>
          <w:lang w:val="es-CL" w:eastAsia="en-US"/>
        </w:rPr>
        <w:t>CONSIDERANDO QUE:</w:t>
      </w:r>
    </w:p>
    <w:p w14:paraId="36F00882" w14:textId="77777777" w:rsidR="00DF2489" w:rsidRPr="009A4354" w:rsidRDefault="00DF2489" w:rsidP="002933BD">
      <w:pPr>
        <w:pStyle w:val="Prrafodelista"/>
        <w:autoSpaceDE w:val="0"/>
        <w:autoSpaceDN w:val="0"/>
        <w:adjustRightInd w:val="0"/>
        <w:ind w:left="180"/>
        <w:rPr>
          <w:rFonts w:ascii="Verdana" w:hAnsi="Verdana"/>
          <w:sz w:val="20"/>
          <w:szCs w:val="20"/>
          <w:lang w:val="es-ES"/>
        </w:rPr>
      </w:pPr>
    </w:p>
    <w:p w14:paraId="31832491" w14:textId="77777777" w:rsidR="00DF2489" w:rsidRPr="009A4354" w:rsidRDefault="00DF2489" w:rsidP="002933BD">
      <w:pPr>
        <w:numPr>
          <w:ilvl w:val="0"/>
          <w:numId w:val="3"/>
        </w:numPr>
        <w:autoSpaceDE w:val="0"/>
        <w:autoSpaceDN w:val="0"/>
        <w:adjustRightInd w:val="0"/>
        <w:spacing w:after="0"/>
        <w:ind w:left="0" w:firstLine="0"/>
        <w:rPr>
          <w:rFonts w:eastAsia="Times New Roman" w:cs="Verdana"/>
          <w:szCs w:val="20"/>
          <w:lang w:val="es-CL" w:eastAsia="en-US"/>
        </w:rPr>
      </w:pPr>
      <w:r w:rsidRPr="009A4354">
        <w:rPr>
          <w:rFonts w:eastAsia="Times New Roman" w:cs="Verdana"/>
          <w:szCs w:val="20"/>
          <w:lang w:val="es-CL" w:eastAsia="en-US"/>
        </w:rPr>
        <w:t xml:space="preserve">El ofrecimiento y la admisión de la prueba, así como la citación de presuntas víctimas, testigos y peritos, se encuentran regulados en los artículos 35.1.f, 40.2.c, 41.1.c, 46, 48, 50 y 57 del Reglamento </w:t>
      </w:r>
      <w:r w:rsidR="001E2E03">
        <w:rPr>
          <w:rFonts w:eastAsia="Times New Roman" w:cs="Verdana"/>
          <w:szCs w:val="20"/>
          <w:lang w:val="es-CL" w:eastAsia="en-US"/>
        </w:rPr>
        <w:t>de la Corte Interamericana de Derechos Humanos (en adelante “la Corte” o “el Tribunal”)</w:t>
      </w:r>
      <w:r w:rsidRPr="009A4354">
        <w:rPr>
          <w:rFonts w:eastAsia="Times New Roman" w:cs="Verdana"/>
          <w:szCs w:val="20"/>
          <w:lang w:val="es-CL" w:eastAsia="en-US"/>
        </w:rPr>
        <w:t>.</w:t>
      </w:r>
    </w:p>
    <w:p w14:paraId="0F1E9124" w14:textId="77777777" w:rsidR="00DF2489" w:rsidRPr="009A4354" w:rsidRDefault="00DF2489" w:rsidP="002933BD">
      <w:pPr>
        <w:autoSpaceDE w:val="0"/>
        <w:autoSpaceDN w:val="0"/>
        <w:adjustRightInd w:val="0"/>
        <w:spacing w:after="0"/>
        <w:rPr>
          <w:rFonts w:eastAsia="Times New Roman" w:cs="Verdana"/>
          <w:szCs w:val="20"/>
          <w:lang w:val="es-CL" w:eastAsia="en-US"/>
        </w:rPr>
      </w:pPr>
    </w:p>
    <w:p w14:paraId="22B2C9FA" w14:textId="77777777" w:rsidR="00DF2489" w:rsidRPr="009A4354" w:rsidRDefault="00DF2489" w:rsidP="002933BD">
      <w:pPr>
        <w:numPr>
          <w:ilvl w:val="0"/>
          <w:numId w:val="3"/>
        </w:numPr>
        <w:autoSpaceDE w:val="0"/>
        <w:autoSpaceDN w:val="0"/>
        <w:adjustRightInd w:val="0"/>
        <w:spacing w:after="0"/>
        <w:ind w:left="0" w:firstLine="0"/>
        <w:rPr>
          <w:rFonts w:eastAsia="Times New Roman" w:cs="Verdana"/>
          <w:szCs w:val="20"/>
          <w:lang w:val="es-CL" w:eastAsia="en-US"/>
        </w:rPr>
      </w:pPr>
      <w:r w:rsidRPr="009A4354">
        <w:rPr>
          <w:rFonts w:eastAsia="Times New Roman" w:cs="Verdana"/>
          <w:szCs w:val="20"/>
          <w:lang w:val="es-CL" w:eastAsia="en-US"/>
        </w:rPr>
        <w:t xml:space="preserve">La Comisión ofreció como prueba </w:t>
      </w:r>
      <w:r w:rsidR="0054767A">
        <w:rPr>
          <w:rFonts w:eastAsia="Times New Roman" w:cs="Verdana"/>
          <w:szCs w:val="20"/>
          <w:lang w:val="es-CL" w:eastAsia="en-US"/>
        </w:rPr>
        <w:t>un dictamen pericial</w:t>
      </w:r>
      <w:r w:rsidRPr="009A4354">
        <w:rPr>
          <w:rFonts w:eastAsia="Times New Roman" w:cs="Verdana"/>
          <w:szCs w:val="20"/>
          <w:lang w:val="es-CL" w:eastAsia="en-US"/>
        </w:rPr>
        <w:t xml:space="preserve">; los representantes ofrecieron, en su escrito de solicitudes y argumentos, la declaración de </w:t>
      </w:r>
      <w:r w:rsidR="001A53E8">
        <w:rPr>
          <w:rFonts w:eastAsia="Times New Roman" w:cs="Verdana"/>
          <w:szCs w:val="20"/>
          <w:lang w:val="es-CL" w:eastAsia="en-US"/>
        </w:rPr>
        <w:t>la</w:t>
      </w:r>
      <w:r w:rsidRPr="009A4354">
        <w:rPr>
          <w:rFonts w:eastAsia="Times New Roman" w:cs="Verdana"/>
          <w:szCs w:val="20"/>
          <w:lang w:val="es-CL" w:eastAsia="en-US"/>
        </w:rPr>
        <w:t xml:space="preserve"> presunta víctima</w:t>
      </w:r>
      <w:r w:rsidR="0054767A">
        <w:rPr>
          <w:rFonts w:eastAsia="Times New Roman" w:cs="Verdana"/>
          <w:szCs w:val="20"/>
          <w:lang w:val="es-CL" w:eastAsia="en-US"/>
        </w:rPr>
        <w:t>, dos</w:t>
      </w:r>
      <w:r w:rsidRPr="009A4354">
        <w:rPr>
          <w:rFonts w:eastAsia="Times New Roman" w:cs="Verdana"/>
          <w:szCs w:val="20"/>
          <w:lang w:val="es-CL" w:eastAsia="en-US"/>
        </w:rPr>
        <w:t xml:space="preserve"> </w:t>
      </w:r>
      <w:r w:rsidR="0054767A">
        <w:rPr>
          <w:rFonts w:eastAsia="Times New Roman" w:cs="Verdana"/>
          <w:szCs w:val="20"/>
          <w:lang w:val="es-CL" w:eastAsia="en-US"/>
        </w:rPr>
        <w:t>declaraciones</w:t>
      </w:r>
      <w:r w:rsidRPr="009A4354">
        <w:rPr>
          <w:rFonts w:eastAsia="Times New Roman" w:cs="Verdana"/>
          <w:szCs w:val="20"/>
          <w:lang w:val="es-CL" w:eastAsia="en-US"/>
        </w:rPr>
        <w:t xml:space="preserve"> testimonial</w:t>
      </w:r>
      <w:r w:rsidR="0054767A">
        <w:rPr>
          <w:rFonts w:eastAsia="Times New Roman" w:cs="Verdana"/>
          <w:szCs w:val="20"/>
          <w:lang w:val="es-CL" w:eastAsia="en-US"/>
        </w:rPr>
        <w:t>es y tres dictámenes periciales</w:t>
      </w:r>
      <w:r w:rsidRPr="009A4354">
        <w:rPr>
          <w:rFonts w:eastAsia="Times New Roman" w:cs="Verdana"/>
          <w:szCs w:val="20"/>
          <w:lang w:val="es-CL" w:eastAsia="en-US"/>
        </w:rPr>
        <w:t xml:space="preserve">; y el Estado ofreció, en su escrito de contestación, </w:t>
      </w:r>
      <w:r w:rsidR="0054767A">
        <w:rPr>
          <w:rFonts w:eastAsia="Times New Roman" w:cs="Verdana"/>
          <w:szCs w:val="20"/>
          <w:lang w:val="es-CL" w:eastAsia="en-US"/>
        </w:rPr>
        <w:t>tres dictámenes periciales y tres declaraciones testimoniales</w:t>
      </w:r>
      <w:r w:rsidRPr="009A4354">
        <w:rPr>
          <w:rFonts w:eastAsia="Times New Roman" w:cs="Verdana"/>
          <w:szCs w:val="20"/>
          <w:lang w:val="es-CL" w:eastAsia="en-US"/>
        </w:rPr>
        <w:t>.</w:t>
      </w:r>
    </w:p>
    <w:p w14:paraId="3FFB42A1" w14:textId="77777777" w:rsidR="00DF2489" w:rsidRPr="009A4354" w:rsidRDefault="00DF2489" w:rsidP="002933BD">
      <w:pPr>
        <w:autoSpaceDE w:val="0"/>
        <w:autoSpaceDN w:val="0"/>
        <w:adjustRightInd w:val="0"/>
        <w:spacing w:after="0"/>
        <w:rPr>
          <w:rFonts w:eastAsia="Times New Roman" w:cs="Verdana"/>
          <w:szCs w:val="20"/>
          <w:lang w:val="es-CL" w:eastAsia="en-US"/>
        </w:rPr>
      </w:pPr>
    </w:p>
    <w:p w14:paraId="2537E6EB" w14:textId="77777777" w:rsidR="009A4354" w:rsidRDefault="00DF2489" w:rsidP="002933BD">
      <w:pPr>
        <w:pStyle w:val="Prrafodelista"/>
        <w:widowControl w:val="0"/>
        <w:numPr>
          <w:ilvl w:val="0"/>
          <w:numId w:val="3"/>
        </w:numPr>
        <w:autoSpaceDE w:val="0"/>
        <w:autoSpaceDN w:val="0"/>
        <w:adjustRightInd w:val="0"/>
        <w:ind w:left="0" w:right="22" w:firstLine="0"/>
        <w:jc w:val="both"/>
        <w:rPr>
          <w:rFonts w:ascii="Verdana" w:hAnsi="Verdana"/>
          <w:sz w:val="20"/>
          <w:szCs w:val="20"/>
          <w:lang w:val="es-CR"/>
        </w:rPr>
      </w:pPr>
      <w:r w:rsidRPr="009A4354">
        <w:rPr>
          <w:rFonts w:ascii="Verdana" w:eastAsia="Times New Roman" w:hAnsi="Verdana" w:cs="Verdana"/>
          <w:sz w:val="20"/>
          <w:szCs w:val="20"/>
          <w:lang w:val="es-CL" w:eastAsia="en-US"/>
        </w:rPr>
        <w:t xml:space="preserve">El Estado, en su escrito de contestación, solicitó a la Corte desestimar </w:t>
      </w:r>
      <w:r w:rsidR="0054767A">
        <w:rPr>
          <w:rFonts w:ascii="Verdana" w:eastAsia="Times New Roman" w:hAnsi="Verdana" w:cs="Verdana"/>
          <w:sz w:val="20"/>
          <w:szCs w:val="20"/>
          <w:lang w:val="es-CL" w:eastAsia="en-US"/>
        </w:rPr>
        <w:t>el dictamen pericial ofrecido</w:t>
      </w:r>
      <w:r w:rsidRPr="009A4354">
        <w:rPr>
          <w:rFonts w:ascii="Verdana" w:eastAsia="Times New Roman" w:hAnsi="Verdana" w:cs="Verdana"/>
          <w:sz w:val="20"/>
          <w:szCs w:val="20"/>
          <w:lang w:val="es-CL" w:eastAsia="en-US"/>
        </w:rPr>
        <w:t xml:space="preserve"> por los representantes</w:t>
      </w:r>
      <w:r w:rsidR="0054767A">
        <w:rPr>
          <w:rFonts w:ascii="Verdana" w:eastAsia="Times New Roman" w:hAnsi="Verdana" w:cs="Verdana"/>
          <w:sz w:val="20"/>
          <w:szCs w:val="20"/>
          <w:lang w:val="es-CL" w:eastAsia="en-US"/>
        </w:rPr>
        <w:t xml:space="preserve"> de la señora Vilma Liliana Franco</w:t>
      </w:r>
      <w:r w:rsidRPr="009A4354">
        <w:rPr>
          <w:rFonts w:ascii="Verdana" w:eastAsia="Times New Roman" w:hAnsi="Verdana" w:cs="Verdana"/>
          <w:sz w:val="20"/>
          <w:szCs w:val="20"/>
          <w:lang w:val="es-CL" w:eastAsia="en-US"/>
        </w:rPr>
        <w:t xml:space="preserve">, toda vez que </w:t>
      </w:r>
      <w:r w:rsidR="0054767A">
        <w:rPr>
          <w:rFonts w:ascii="Verdana" w:eastAsia="Times New Roman" w:hAnsi="Verdana" w:cs="Verdana"/>
          <w:sz w:val="20"/>
          <w:szCs w:val="20"/>
          <w:lang w:val="es-CL" w:eastAsia="en-US"/>
        </w:rPr>
        <w:t>la hoja de vida de la perita no fue remitida en el escrito de solicitudes y argumentos ni en los anexos enviados con posterioridad</w:t>
      </w:r>
      <w:r w:rsidRPr="009A4354">
        <w:rPr>
          <w:rFonts w:ascii="Verdana" w:eastAsia="Times New Roman" w:hAnsi="Verdana" w:cs="Verdana"/>
          <w:sz w:val="20"/>
          <w:szCs w:val="20"/>
          <w:lang w:val="es-CL" w:eastAsia="en-US"/>
        </w:rPr>
        <w:t>.</w:t>
      </w:r>
    </w:p>
    <w:p w14:paraId="6CA28356" w14:textId="77777777" w:rsidR="009A4354" w:rsidRPr="009A4354" w:rsidRDefault="009A4354" w:rsidP="002933BD">
      <w:pPr>
        <w:pStyle w:val="Prrafodelista"/>
        <w:ind w:left="0"/>
        <w:rPr>
          <w:rFonts w:ascii="Verdana" w:hAnsi="Verdana"/>
          <w:sz w:val="20"/>
          <w:szCs w:val="20"/>
          <w:lang w:val="es-CR"/>
        </w:rPr>
      </w:pPr>
    </w:p>
    <w:p w14:paraId="31955C66" w14:textId="77777777" w:rsidR="00450559" w:rsidRPr="00450559" w:rsidRDefault="00DF2489" w:rsidP="002933BD">
      <w:pPr>
        <w:pStyle w:val="Prrafodelista"/>
        <w:widowControl w:val="0"/>
        <w:numPr>
          <w:ilvl w:val="0"/>
          <w:numId w:val="3"/>
        </w:numPr>
        <w:autoSpaceDE w:val="0"/>
        <w:autoSpaceDN w:val="0"/>
        <w:adjustRightInd w:val="0"/>
        <w:ind w:left="0" w:right="22" w:firstLine="0"/>
        <w:jc w:val="both"/>
        <w:rPr>
          <w:rFonts w:ascii="Verdana" w:hAnsi="Verdana"/>
          <w:sz w:val="20"/>
          <w:szCs w:val="20"/>
          <w:lang w:val="es-CR"/>
        </w:rPr>
      </w:pPr>
      <w:r w:rsidRPr="00450559">
        <w:rPr>
          <w:rFonts w:ascii="Verdana" w:hAnsi="Verdana"/>
          <w:sz w:val="20"/>
          <w:szCs w:val="20"/>
          <w:lang w:val="es-CR"/>
        </w:rPr>
        <w:t xml:space="preserve">La Comisión, en su lista definitiva, reiteró el ofrecimiento </w:t>
      </w:r>
      <w:r w:rsidR="00256205" w:rsidRPr="00450559">
        <w:rPr>
          <w:rFonts w:ascii="Verdana" w:hAnsi="Verdana"/>
          <w:sz w:val="20"/>
          <w:szCs w:val="20"/>
          <w:lang w:val="es-CR"/>
        </w:rPr>
        <w:t>de la prueba pericial ofrecida</w:t>
      </w:r>
      <w:r w:rsidRPr="00450559">
        <w:rPr>
          <w:rFonts w:ascii="Verdana" w:hAnsi="Verdana"/>
          <w:sz w:val="20"/>
          <w:szCs w:val="20"/>
          <w:lang w:val="es-CR"/>
        </w:rPr>
        <w:t xml:space="preserve"> mediante el sometimiento del caso ante la Corte</w:t>
      </w:r>
      <w:r w:rsidR="00256205" w:rsidRPr="00450559">
        <w:rPr>
          <w:rFonts w:ascii="Verdana" w:hAnsi="Verdana"/>
          <w:sz w:val="20"/>
          <w:szCs w:val="20"/>
          <w:lang w:val="es-CR"/>
        </w:rPr>
        <w:t>, y solicitó que este fuera recibido en audiencia pública</w:t>
      </w:r>
      <w:r w:rsidRPr="00450559">
        <w:rPr>
          <w:rFonts w:ascii="Verdana" w:hAnsi="Verdana"/>
          <w:sz w:val="20"/>
          <w:szCs w:val="20"/>
          <w:lang w:val="es-CR"/>
        </w:rPr>
        <w:t xml:space="preserve">. </w:t>
      </w:r>
      <w:r w:rsidR="00450559" w:rsidRPr="00450559">
        <w:rPr>
          <w:rFonts w:ascii="Verdana" w:hAnsi="Verdana"/>
          <w:sz w:val="20"/>
          <w:szCs w:val="20"/>
          <w:lang w:val="es-CR"/>
        </w:rPr>
        <w:t>Asimismo, solicitó la oportunidad verbal de realizar preguntas al perito ofrecido por el Estado.</w:t>
      </w:r>
    </w:p>
    <w:p w14:paraId="4A068D18" w14:textId="77777777" w:rsidR="00450559" w:rsidRPr="00450559" w:rsidRDefault="00450559" w:rsidP="002933BD">
      <w:pPr>
        <w:pStyle w:val="Prrafodelista"/>
        <w:rPr>
          <w:rFonts w:ascii="Verdana" w:hAnsi="Verdana"/>
          <w:sz w:val="20"/>
          <w:szCs w:val="20"/>
          <w:highlight w:val="yellow"/>
          <w:lang w:val="es-CR"/>
        </w:rPr>
      </w:pPr>
    </w:p>
    <w:p w14:paraId="785FBBF7" w14:textId="4AE5564C" w:rsidR="00450559" w:rsidRPr="00450559" w:rsidRDefault="00DF2489" w:rsidP="002933BD">
      <w:pPr>
        <w:pStyle w:val="Prrafodelista"/>
        <w:widowControl w:val="0"/>
        <w:numPr>
          <w:ilvl w:val="0"/>
          <w:numId w:val="3"/>
        </w:numPr>
        <w:autoSpaceDE w:val="0"/>
        <w:autoSpaceDN w:val="0"/>
        <w:adjustRightInd w:val="0"/>
        <w:ind w:left="0" w:right="22" w:firstLine="0"/>
        <w:jc w:val="both"/>
        <w:rPr>
          <w:rFonts w:ascii="Verdana" w:hAnsi="Verdana"/>
          <w:sz w:val="20"/>
          <w:szCs w:val="20"/>
          <w:lang w:val="es-CR"/>
        </w:rPr>
      </w:pPr>
      <w:r w:rsidRPr="00450559">
        <w:rPr>
          <w:rFonts w:ascii="Verdana" w:hAnsi="Verdana"/>
          <w:sz w:val="20"/>
          <w:szCs w:val="20"/>
          <w:lang w:val="es-CR"/>
        </w:rPr>
        <w:t xml:space="preserve">Los representantes, en su lista definitiva, señalaron que </w:t>
      </w:r>
      <w:r w:rsidR="00256205" w:rsidRPr="00450559">
        <w:rPr>
          <w:rFonts w:ascii="Verdana" w:hAnsi="Verdana"/>
          <w:sz w:val="20"/>
          <w:szCs w:val="20"/>
          <w:lang w:val="es-CR"/>
        </w:rPr>
        <w:t>dos declaraciones y un peritaje ofrecidos</w:t>
      </w:r>
      <w:r w:rsidRPr="00450559">
        <w:rPr>
          <w:rFonts w:ascii="Verdana" w:hAnsi="Verdana"/>
          <w:sz w:val="20"/>
          <w:szCs w:val="20"/>
          <w:lang w:val="es-CR"/>
        </w:rPr>
        <w:t xml:space="preserve"> en su escrito</w:t>
      </w:r>
      <w:r w:rsidR="00256205" w:rsidRPr="00450559">
        <w:rPr>
          <w:rFonts w:ascii="Verdana" w:hAnsi="Verdana"/>
          <w:sz w:val="20"/>
          <w:szCs w:val="20"/>
          <w:lang w:val="es-CR"/>
        </w:rPr>
        <w:t xml:space="preserve"> de solicitudes y argumentos </w:t>
      </w:r>
      <w:r w:rsidR="00A95979">
        <w:rPr>
          <w:rFonts w:ascii="Verdana" w:hAnsi="Verdana"/>
          <w:sz w:val="20"/>
          <w:szCs w:val="20"/>
          <w:lang w:val="es-CR"/>
        </w:rPr>
        <w:t>serían</w:t>
      </w:r>
      <w:r w:rsidR="00256205" w:rsidRPr="00450559">
        <w:rPr>
          <w:rFonts w:ascii="Verdana" w:hAnsi="Verdana"/>
          <w:sz w:val="20"/>
          <w:szCs w:val="20"/>
          <w:lang w:val="es-CR"/>
        </w:rPr>
        <w:t xml:space="preserve"> </w:t>
      </w:r>
      <w:r w:rsidR="00450559">
        <w:rPr>
          <w:rFonts w:ascii="Verdana" w:hAnsi="Verdana"/>
          <w:sz w:val="20"/>
          <w:szCs w:val="20"/>
          <w:lang w:val="es-CR"/>
        </w:rPr>
        <w:t>rendidos</w:t>
      </w:r>
      <w:r w:rsidR="00256205" w:rsidRPr="00450559">
        <w:rPr>
          <w:rFonts w:ascii="Verdana" w:hAnsi="Verdana"/>
          <w:sz w:val="20"/>
          <w:szCs w:val="20"/>
          <w:lang w:val="es-CR"/>
        </w:rPr>
        <w:t xml:space="preserve"> en audiencia p</w:t>
      </w:r>
      <w:r w:rsidR="00450559" w:rsidRPr="00450559">
        <w:rPr>
          <w:rFonts w:ascii="Verdana" w:hAnsi="Verdana"/>
          <w:sz w:val="20"/>
          <w:szCs w:val="20"/>
          <w:lang w:val="es-CR"/>
        </w:rPr>
        <w:t>ública,</w:t>
      </w:r>
      <w:r w:rsidR="00256205" w:rsidRPr="00450559">
        <w:rPr>
          <w:rFonts w:ascii="Verdana" w:hAnsi="Verdana"/>
          <w:sz w:val="20"/>
          <w:szCs w:val="20"/>
          <w:lang w:val="es-CR"/>
        </w:rPr>
        <w:t xml:space="preserve"> </w:t>
      </w:r>
      <w:r w:rsidR="00450559" w:rsidRPr="00450559">
        <w:rPr>
          <w:rFonts w:ascii="Verdana" w:hAnsi="Verdana"/>
          <w:sz w:val="20"/>
          <w:szCs w:val="20"/>
          <w:lang w:val="es-CR"/>
        </w:rPr>
        <w:t>y solicitaron que cuatro peritajes se rindieran mediante declaración jurada (</w:t>
      </w:r>
      <w:r w:rsidR="00450559" w:rsidRPr="00450559">
        <w:rPr>
          <w:rFonts w:ascii="Verdana" w:hAnsi="Verdana"/>
          <w:i/>
          <w:sz w:val="20"/>
          <w:szCs w:val="20"/>
          <w:lang w:val="es-CR"/>
        </w:rPr>
        <w:t>affidavit</w:t>
      </w:r>
      <w:r w:rsidR="00450559" w:rsidRPr="00450559">
        <w:rPr>
          <w:rFonts w:ascii="Verdana" w:hAnsi="Verdana"/>
          <w:sz w:val="20"/>
          <w:szCs w:val="20"/>
          <w:lang w:val="es-CR"/>
        </w:rPr>
        <w:t>)</w:t>
      </w:r>
      <w:r w:rsidRPr="00450559">
        <w:rPr>
          <w:rFonts w:ascii="Verdana" w:hAnsi="Verdana"/>
          <w:sz w:val="20"/>
          <w:szCs w:val="20"/>
          <w:lang w:val="es-CR"/>
        </w:rPr>
        <w:t xml:space="preserve">. </w:t>
      </w:r>
      <w:r w:rsidR="00450559" w:rsidRPr="00450559">
        <w:rPr>
          <w:rFonts w:ascii="Verdana" w:hAnsi="Verdana"/>
          <w:sz w:val="20"/>
          <w:szCs w:val="20"/>
          <w:lang w:val="es-CR"/>
        </w:rPr>
        <w:t xml:space="preserve">Adicionalmente, en sus observaciones a las listas definitivas, </w:t>
      </w:r>
      <w:r w:rsidR="00450559">
        <w:rPr>
          <w:rFonts w:ascii="Verdana" w:eastAsia="Times New Roman" w:hAnsi="Verdana" w:cs="Verdana"/>
          <w:sz w:val="20"/>
          <w:szCs w:val="20"/>
          <w:lang w:val="es-CL" w:eastAsia="en-US"/>
        </w:rPr>
        <w:t>formularon diversas objeciones a las declaraciones ofrecidas por el Estado</w:t>
      </w:r>
      <w:r w:rsidR="00450559" w:rsidRPr="00450559">
        <w:rPr>
          <w:rFonts w:ascii="Verdana" w:eastAsia="Times New Roman" w:hAnsi="Verdana" w:cs="Verdana"/>
          <w:sz w:val="20"/>
          <w:szCs w:val="20"/>
          <w:lang w:val="es-CL" w:eastAsia="en-US"/>
        </w:rPr>
        <w:t>.</w:t>
      </w:r>
    </w:p>
    <w:p w14:paraId="0BBAE24D" w14:textId="77777777" w:rsidR="00450559" w:rsidRPr="00450559" w:rsidRDefault="00450559" w:rsidP="002933BD">
      <w:pPr>
        <w:pStyle w:val="Prrafodelista"/>
        <w:rPr>
          <w:rFonts w:ascii="Verdana" w:hAnsi="Verdana"/>
          <w:sz w:val="20"/>
          <w:szCs w:val="20"/>
          <w:highlight w:val="yellow"/>
          <w:lang w:val="es-CR"/>
        </w:rPr>
      </w:pPr>
    </w:p>
    <w:p w14:paraId="1B886949" w14:textId="3B02B50B" w:rsidR="00C37E4F" w:rsidRDefault="00DF2489" w:rsidP="002933BD">
      <w:pPr>
        <w:pStyle w:val="Prrafodelista"/>
        <w:widowControl w:val="0"/>
        <w:numPr>
          <w:ilvl w:val="0"/>
          <w:numId w:val="3"/>
        </w:numPr>
        <w:autoSpaceDE w:val="0"/>
        <w:autoSpaceDN w:val="0"/>
        <w:adjustRightInd w:val="0"/>
        <w:ind w:left="0" w:right="22" w:firstLine="0"/>
        <w:jc w:val="both"/>
        <w:rPr>
          <w:rFonts w:ascii="Verdana" w:hAnsi="Verdana"/>
          <w:sz w:val="20"/>
          <w:szCs w:val="20"/>
          <w:lang w:val="es-CR"/>
        </w:rPr>
      </w:pPr>
      <w:r w:rsidRPr="00FF2AB4">
        <w:rPr>
          <w:rFonts w:ascii="Verdana" w:hAnsi="Verdana"/>
          <w:sz w:val="20"/>
          <w:szCs w:val="20"/>
          <w:lang w:val="es-CR"/>
        </w:rPr>
        <w:lastRenderedPageBreak/>
        <w:t xml:space="preserve">El Estado, en su lista definitiva, </w:t>
      </w:r>
      <w:r w:rsidR="00450559" w:rsidRPr="00FF2AB4">
        <w:rPr>
          <w:rFonts w:ascii="Verdana" w:hAnsi="Verdana"/>
          <w:sz w:val="20"/>
          <w:szCs w:val="20"/>
          <w:lang w:val="es-CR"/>
        </w:rPr>
        <w:t xml:space="preserve">señaló que una declaración y un peritaje </w:t>
      </w:r>
      <w:r w:rsidR="00A95979">
        <w:rPr>
          <w:rFonts w:ascii="Verdana" w:hAnsi="Verdana"/>
          <w:sz w:val="20"/>
          <w:szCs w:val="20"/>
          <w:lang w:val="es-CR"/>
        </w:rPr>
        <w:t>serían</w:t>
      </w:r>
      <w:r w:rsidR="00450559" w:rsidRPr="00FF2AB4">
        <w:rPr>
          <w:rFonts w:ascii="Verdana" w:hAnsi="Verdana"/>
          <w:sz w:val="20"/>
          <w:szCs w:val="20"/>
          <w:lang w:val="es-CR"/>
        </w:rPr>
        <w:t xml:space="preserve"> rendido</w:t>
      </w:r>
      <w:r w:rsidR="00A95979">
        <w:rPr>
          <w:rFonts w:ascii="Verdana" w:hAnsi="Verdana"/>
          <w:sz w:val="20"/>
          <w:szCs w:val="20"/>
          <w:lang w:val="es-CR"/>
        </w:rPr>
        <w:t>s</w:t>
      </w:r>
      <w:r w:rsidR="00450559" w:rsidRPr="00FF2AB4">
        <w:rPr>
          <w:rFonts w:ascii="Verdana" w:hAnsi="Verdana"/>
          <w:sz w:val="20"/>
          <w:szCs w:val="20"/>
          <w:lang w:val="es-CR"/>
        </w:rPr>
        <w:t xml:space="preserve"> en audiencia pública, y solicitaron que una declaración y un peritaje se rindiera</w:t>
      </w:r>
      <w:r w:rsidR="00A95979">
        <w:rPr>
          <w:rFonts w:ascii="Verdana" w:hAnsi="Verdana"/>
          <w:sz w:val="20"/>
          <w:szCs w:val="20"/>
          <w:lang w:val="es-CR"/>
        </w:rPr>
        <w:t>n</w:t>
      </w:r>
      <w:r w:rsidR="00450559" w:rsidRPr="00FF2AB4">
        <w:rPr>
          <w:rFonts w:ascii="Verdana" w:hAnsi="Verdana"/>
          <w:sz w:val="20"/>
          <w:szCs w:val="20"/>
          <w:lang w:val="es-CR"/>
        </w:rPr>
        <w:t xml:space="preserve"> mediante declaración jurada</w:t>
      </w:r>
      <w:r w:rsidR="00436C67" w:rsidRPr="00FF2AB4">
        <w:rPr>
          <w:rFonts w:ascii="Verdana" w:hAnsi="Verdana"/>
          <w:sz w:val="20"/>
          <w:szCs w:val="20"/>
          <w:lang w:val="es-CR"/>
        </w:rPr>
        <w:t xml:space="preserve"> (</w:t>
      </w:r>
      <w:r w:rsidR="00436C67" w:rsidRPr="00FF2AB4">
        <w:rPr>
          <w:rFonts w:ascii="Verdana" w:hAnsi="Verdana"/>
          <w:i/>
          <w:sz w:val="20"/>
          <w:szCs w:val="20"/>
          <w:lang w:val="es-CR"/>
        </w:rPr>
        <w:t>affidavit</w:t>
      </w:r>
      <w:r w:rsidR="00436C67" w:rsidRPr="00FF2AB4">
        <w:rPr>
          <w:rFonts w:ascii="Verdana" w:hAnsi="Verdana"/>
          <w:sz w:val="20"/>
          <w:szCs w:val="20"/>
          <w:lang w:val="es-CR"/>
        </w:rPr>
        <w:t>)</w:t>
      </w:r>
      <w:r w:rsidRPr="00FF2AB4">
        <w:rPr>
          <w:rFonts w:ascii="Verdana" w:hAnsi="Verdana"/>
          <w:sz w:val="20"/>
          <w:szCs w:val="20"/>
          <w:lang w:val="es-CR"/>
        </w:rPr>
        <w:t xml:space="preserve">. </w:t>
      </w:r>
      <w:r w:rsidR="00436C67" w:rsidRPr="00FF2AB4">
        <w:rPr>
          <w:rFonts w:ascii="Verdana" w:hAnsi="Verdana"/>
          <w:sz w:val="20"/>
          <w:szCs w:val="20"/>
          <w:lang w:val="es-CR"/>
        </w:rPr>
        <w:t>Adicionalmente,</w:t>
      </w:r>
      <w:r w:rsidR="001A53E8">
        <w:rPr>
          <w:rFonts w:ascii="Verdana" w:hAnsi="Verdana"/>
          <w:sz w:val="20"/>
          <w:szCs w:val="20"/>
          <w:lang w:val="es-CR"/>
        </w:rPr>
        <w:t xml:space="preserve"> en sus observaciones a las listas definitivas,</w:t>
      </w:r>
      <w:r w:rsidR="00436C67" w:rsidRPr="00FF2AB4">
        <w:rPr>
          <w:rFonts w:ascii="Verdana" w:hAnsi="Verdana"/>
          <w:sz w:val="20"/>
          <w:szCs w:val="20"/>
          <w:lang w:val="es-CR"/>
        </w:rPr>
        <w:t xml:space="preserve"> e</w:t>
      </w:r>
      <w:r w:rsidR="00200606" w:rsidRPr="00FF2AB4">
        <w:rPr>
          <w:rFonts w:ascii="Verdana" w:hAnsi="Verdana"/>
          <w:sz w:val="20"/>
          <w:szCs w:val="20"/>
          <w:lang w:val="es-CR"/>
        </w:rPr>
        <w:t xml:space="preserve">l Estado presentó </w:t>
      </w:r>
      <w:r w:rsidR="00436C67" w:rsidRPr="00FF2AB4">
        <w:rPr>
          <w:rFonts w:ascii="Verdana" w:hAnsi="Verdana"/>
          <w:sz w:val="20"/>
          <w:szCs w:val="20"/>
          <w:lang w:val="es-CR"/>
        </w:rPr>
        <w:t xml:space="preserve">diversas </w:t>
      </w:r>
      <w:r w:rsidR="001A53E8">
        <w:rPr>
          <w:rFonts w:ascii="Verdana" w:hAnsi="Verdana"/>
          <w:sz w:val="20"/>
          <w:szCs w:val="20"/>
          <w:lang w:val="es-CR"/>
        </w:rPr>
        <w:t>objeciones</w:t>
      </w:r>
      <w:r w:rsidR="00436C67" w:rsidRPr="00FF2AB4">
        <w:rPr>
          <w:rFonts w:ascii="Verdana" w:hAnsi="Verdana"/>
          <w:sz w:val="20"/>
          <w:szCs w:val="20"/>
          <w:lang w:val="es-CR"/>
        </w:rPr>
        <w:t xml:space="preserve"> respecto a la admisibilidad</w:t>
      </w:r>
      <w:r w:rsidR="00FF2AB4" w:rsidRPr="00FF2AB4">
        <w:rPr>
          <w:rFonts w:ascii="Verdana" w:hAnsi="Verdana"/>
          <w:sz w:val="20"/>
          <w:szCs w:val="20"/>
          <w:lang w:val="es-CR"/>
        </w:rPr>
        <w:t xml:space="preserve"> y el objeto</w:t>
      </w:r>
      <w:r w:rsidR="00436C67" w:rsidRPr="00FF2AB4">
        <w:rPr>
          <w:rFonts w:ascii="Verdana" w:hAnsi="Verdana"/>
          <w:sz w:val="20"/>
          <w:szCs w:val="20"/>
          <w:lang w:val="es-CR"/>
        </w:rPr>
        <w:t xml:space="preserve"> de cuatro peritajes ofrecidos por los representantes</w:t>
      </w:r>
      <w:r w:rsidR="00FF2AB4" w:rsidRPr="00FF2AB4">
        <w:rPr>
          <w:rFonts w:ascii="Verdana" w:hAnsi="Verdana"/>
          <w:sz w:val="20"/>
          <w:szCs w:val="20"/>
          <w:lang w:val="es-CR"/>
        </w:rPr>
        <w:t xml:space="preserve">, así como respecto del objeto de </w:t>
      </w:r>
      <w:r w:rsidR="00C541FC">
        <w:rPr>
          <w:rFonts w:ascii="Verdana" w:hAnsi="Verdana"/>
          <w:sz w:val="20"/>
          <w:szCs w:val="20"/>
          <w:lang w:val="es-CR"/>
        </w:rPr>
        <w:t>una declaración</w:t>
      </w:r>
      <w:r w:rsidR="00200606" w:rsidRPr="00FF2AB4">
        <w:rPr>
          <w:rFonts w:ascii="Verdana" w:hAnsi="Verdana"/>
          <w:sz w:val="20"/>
          <w:szCs w:val="20"/>
          <w:lang w:val="es-CR"/>
        </w:rPr>
        <w:t>.</w:t>
      </w:r>
    </w:p>
    <w:p w14:paraId="5B3BC9AB" w14:textId="77777777" w:rsidR="00C37E4F" w:rsidRPr="00C37E4F" w:rsidRDefault="00C37E4F" w:rsidP="002933BD">
      <w:pPr>
        <w:pStyle w:val="Prrafodelista"/>
        <w:rPr>
          <w:szCs w:val="20"/>
          <w:lang w:val="es-MX"/>
        </w:rPr>
      </w:pPr>
    </w:p>
    <w:p w14:paraId="1FB48F26" w14:textId="456DCE80" w:rsidR="00C37E4F" w:rsidRPr="00C37E4F" w:rsidRDefault="00C37E4F" w:rsidP="002933BD">
      <w:pPr>
        <w:pStyle w:val="Prrafodelista"/>
        <w:widowControl w:val="0"/>
        <w:numPr>
          <w:ilvl w:val="0"/>
          <w:numId w:val="3"/>
        </w:numPr>
        <w:autoSpaceDE w:val="0"/>
        <w:autoSpaceDN w:val="0"/>
        <w:adjustRightInd w:val="0"/>
        <w:ind w:left="0" w:right="22" w:firstLine="0"/>
        <w:jc w:val="both"/>
        <w:rPr>
          <w:rFonts w:ascii="Verdana" w:hAnsi="Verdana"/>
          <w:sz w:val="20"/>
          <w:szCs w:val="20"/>
          <w:lang w:val="es-CR"/>
        </w:rPr>
      </w:pPr>
      <w:r w:rsidRPr="00C37E4F">
        <w:rPr>
          <w:rFonts w:ascii="Verdana" w:hAnsi="Verdana"/>
          <w:sz w:val="20"/>
          <w:szCs w:val="20"/>
          <w:lang w:val="es-MX"/>
        </w:rPr>
        <w:t xml:space="preserve">En cuanto a las declaraciones que no han sido objetadas, esta Presidencia considera conveniente recabar dicha prueba, a efectos de que el Tribunal pueda apreciar su valor en la debida oportunidad procesal, dentro del contexto del acervo probatorio existente, y según las reglas de la sana crítica. Por consiguiente, el </w:t>
      </w:r>
      <w:proofErr w:type="gramStart"/>
      <w:r w:rsidRPr="00C37E4F">
        <w:rPr>
          <w:rFonts w:ascii="Verdana" w:hAnsi="Verdana"/>
          <w:sz w:val="20"/>
          <w:szCs w:val="20"/>
          <w:lang w:val="es-MX"/>
        </w:rPr>
        <w:t>Presidente</w:t>
      </w:r>
      <w:proofErr w:type="gramEnd"/>
      <w:r w:rsidRPr="00C37E4F">
        <w:rPr>
          <w:rFonts w:ascii="Verdana" w:hAnsi="Verdana"/>
          <w:sz w:val="20"/>
          <w:szCs w:val="20"/>
          <w:lang w:val="es-MX"/>
        </w:rPr>
        <w:t xml:space="preserve"> admite la declaración pericial ofrecida por los representantes </w:t>
      </w:r>
      <w:r w:rsidR="00C76924">
        <w:rPr>
          <w:rFonts w:ascii="Verdana" w:hAnsi="Verdana"/>
          <w:sz w:val="20"/>
          <w:szCs w:val="20"/>
          <w:lang w:val="es-MX"/>
        </w:rPr>
        <w:t>del perito Alfredo Beltrán Sierra</w:t>
      </w:r>
      <w:r w:rsidRPr="00C37E4F">
        <w:rPr>
          <w:rFonts w:ascii="Verdana" w:hAnsi="Verdana" w:cs="Verdana"/>
          <w:sz w:val="20"/>
          <w:szCs w:val="20"/>
          <w:lang w:val="es-CR" w:bidi="en-US"/>
        </w:rPr>
        <w:t>.</w:t>
      </w:r>
    </w:p>
    <w:p w14:paraId="6CE4591A" w14:textId="77777777" w:rsidR="00DF2489" w:rsidRPr="009A4354" w:rsidRDefault="00DF2489" w:rsidP="002933BD">
      <w:pPr>
        <w:pStyle w:val="Prrafodelista"/>
        <w:widowControl w:val="0"/>
        <w:autoSpaceDE w:val="0"/>
        <w:autoSpaceDN w:val="0"/>
        <w:adjustRightInd w:val="0"/>
        <w:ind w:left="0" w:right="22"/>
        <w:rPr>
          <w:rFonts w:ascii="Verdana" w:hAnsi="Verdana"/>
          <w:sz w:val="20"/>
          <w:szCs w:val="20"/>
          <w:lang w:val="es-CR"/>
        </w:rPr>
      </w:pPr>
    </w:p>
    <w:p w14:paraId="0F3B3269" w14:textId="0D494A88" w:rsidR="00DF2489" w:rsidRPr="009A4354" w:rsidRDefault="00DF2489" w:rsidP="002933BD">
      <w:pPr>
        <w:pStyle w:val="Prrafodelista"/>
        <w:widowControl w:val="0"/>
        <w:numPr>
          <w:ilvl w:val="0"/>
          <w:numId w:val="3"/>
        </w:numPr>
        <w:autoSpaceDE w:val="0"/>
        <w:autoSpaceDN w:val="0"/>
        <w:adjustRightInd w:val="0"/>
        <w:ind w:left="0" w:right="22" w:firstLine="0"/>
        <w:jc w:val="both"/>
        <w:rPr>
          <w:rFonts w:ascii="Verdana" w:hAnsi="Verdana"/>
          <w:bCs/>
          <w:iCs/>
          <w:sz w:val="20"/>
          <w:szCs w:val="20"/>
          <w:lang w:val="es-CR"/>
        </w:rPr>
      </w:pPr>
      <w:r w:rsidRPr="009A4354">
        <w:rPr>
          <w:rFonts w:ascii="Verdana" w:eastAsia="Times New Roman" w:hAnsi="Verdana" w:cs="Verdana"/>
          <w:sz w:val="20"/>
          <w:szCs w:val="20"/>
          <w:lang w:val="es-CR" w:eastAsia="en-US"/>
        </w:rPr>
        <w:t xml:space="preserve">Tomando en consideración lo anterior, </w:t>
      </w:r>
      <w:r w:rsidRPr="009A4354">
        <w:rPr>
          <w:rFonts w:ascii="Verdana" w:eastAsia="Times New Roman" w:hAnsi="Verdana" w:cs="Verdana"/>
          <w:sz w:val="20"/>
          <w:szCs w:val="20"/>
          <w:lang w:val="es-CL" w:eastAsia="en-US"/>
        </w:rPr>
        <w:t>a</w:t>
      </w:r>
      <w:r w:rsidRPr="009A4354">
        <w:rPr>
          <w:rFonts w:ascii="Verdana" w:hAnsi="Verdana"/>
          <w:sz w:val="20"/>
          <w:szCs w:val="20"/>
          <w:lang w:val="es-CR"/>
        </w:rPr>
        <w:t xml:space="preserve"> continuación, el </w:t>
      </w:r>
      <w:proofErr w:type="gramStart"/>
      <w:r w:rsidRPr="009A4354">
        <w:rPr>
          <w:rFonts w:ascii="Verdana" w:hAnsi="Verdana"/>
          <w:sz w:val="20"/>
          <w:szCs w:val="20"/>
          <w:lang w:val="es-CR"/>
        </w:rPr>
        <w:t>Presidente</w:t>
      </w:r>
      <w:proofErr w:type="gramEnd"/>
      <w:r w:rsidRPr="009A4354">
        <w:rPr>
          <w:rFonts w:ascii="Verdana" w:hAnsi="Verdana"/>
          <w:sz w:val="20"/>
          <w:szCs w:val="20"/>
          <w:lang w:val="es-CR"/>
        </w:rPr>
        <w:t xml:space="preserve"> examinará en forma particular: a) la admisibilidad de la prueba pericial ofrecida por la Comi</w:t>
      </w:r>
      <w:r w:rsidR="0054767A">
        <w:rPr>
          <w:rFonts w:ascii="Verdana" w:hAnsi="Verdana"/>
          <w:sz w:val="20"/>
          <w:szCs w:val="20"/>
          <w:lang w:val="es-CR"/>
        </w:rPr>
        <w:t>sión; b) la admisibilidad de los peritajes y las</w:t>
      </w:r>
      <w:r w:rsidRPr="009A4354">
        <w:rPr>
          <w:rFonts w:ascii="Verdana" w:hAnsi="Verdana"/>
          <w:sz w:val="20"/>
          <w:szCs w:val="20"/>
          <w:lang w:val="es-CR"/>
        </w:rPr>
        <w:t xml:space="preserve"> declaraciones testimoniales</w:t>
      </w:r>
      <w:r w:rsidR="009A4354">
        <w:rPr>
          <w:rFonts w:ascii="Verdana" w:hAnsi="Verdana"/>
          <w:sz w:val="20"/>
          <w:szCs w:val="20"/>
          <w:lang w:val="es-CR"/>
        </w:rPr>
        <w:t xml:space="preserve"> ofrecida</w:t>
      </w:r>
      <w:r w:rsidRPr="009A4354">
        <w:rPr>
          <w:rFonts w:ascii="Verdana" w:hAnsi="Verdana"/>
          <w:sz w:val="20"/>
          <w:szCs w:val="20"/>
          <w:lang w:val="es-CR"/>
        </w:rPr>
        <w:t>s por los representantes</w:t>
      </w:r>
      <w:r w:rsidR="00462B5D">
        <w:rPr>
          <w:rFonts w:ascii="Verdana" w:hAnsi="Verdana"/>
          <w:sz w:val="20"/>
          <w:szCs w:val="20"/>
          <w:lang w:val="es-CR"/>
        </w:rPr>
        <w:t>,</w:t>
      </w:r>
      <w:r w:rsidRPr="009A4354">
        <w:rPr>
          <w:rFonts w:ascii="Verdana" w:hAnsi="Verdana"/>
          <w:bCs/>
          <w:iCs/>
          <w:sz w:val="20"/>
          <w:szCs w:val="20"/>
          <w:lang w:val="es-CR"/>
        </w:rPr>
        <w:t xml:space="preserve"> c) la admisibilidad de</w:t>
      </w:r>
      <w:r w:rsidR="0054767A">
        <w:rPr>
          <w:rFonts w:ascii="Verdana" w:hAnsi="Verdana"/>
          <w:bCs/>
          <w:iCs/>
          <w:sz w:val="20"/>
          <w:szCs w:val="20"/>
          <w:lang w:val="es-CR"/>
        </w:rPr>
        <w:t xml:space="preserve"> </w:t>
      </w:r>
      <w:r w:rsidRPr="009A4354">
        <w:rPr>
          <w:rFonts w:ascii="Verdana" w:hAnsi="Verdana"/>
          <w:bCs/>
          <w:iCs/>
          <w:sz w:val="20"/>
          <w:szCs w:val="20"/>
          <w:lang w:val="es-CR"/>
        </w:rPr>
        <w:t>l</w:t>
      </w:r>
      <w:r w:rsidR="0054767A">
        <w:rPr>
          <w:rFonts w:ascii="Verdana" w:hAnsi="Verdana"/>
          <w:bCs/>
          <w:iCs/>
          <w:sz w:val="20"/>
          <w:szCs w:val="20"/>
          <w:lang w:val="es-CR"/>
        </w:rPr>
        <w:t>os</w:t>
      </w:r>
      <w:r w:rsidRPr="009A4354">
        <w:rPr>
          <w:rFonts w:ascii="Verdana" w:hAnsi="Verdana"/>
          <w:bCs/>
          <w:iCs/>
          <w:sz w:val="20"/>
          <w:szCs w:val="20"/>
          <w:lang w:val="es-CR"/>
        </w:rPr>
        <w:t xml:space="preserve"> peritaje</w:t>
      </w:r>
      <w:r w:rsidR="0054767A">
        <w:rPr>
          <w:rFonts w:ascii="Verdana" w:hAnsi="Verdana"/>
          <w:bCs/>
          <w:iCs/>
          <w:sz w:val="20"/>
          <w:szCs w:val="20"/>
          <w:lang w:val="es-CR"/>
        </w:rPr>
        <w:t>s</w:t>
      </w:r>
      <w:r w:rsidRPr="009A4354">
        <w:rPr>
          <w:rFonts w:ascii="Verdana" w:hAnsi="Verdana"/>
          <w:bCs/>
          <w:iCs/>
          <w:sz w:val="20"/>
          <w:szCs w:val="20"/>
          <w:lang w:val="es-CR"/>
        </w:rPr>
        <w:t xml:space="preserve"> </w:t>
      </w:r>
      <w:r w:rsidR="0054767A">
        <w:rPr>
          <w:rFonts w:ascii="Verdana" w:hAnsi="Verdana"/>
          <w:bCs/>
          <w:iCs/>
          <w:sz w:val="20"/>
          <w:szCs w:val="20"/>
          <w:lang w:val="es-CR"/>
        </w:rPr>
        <w:t xml:space="preserve">y las declaraciones testimoniales </w:t>
      </w:r>
      <w:r w:rsidRPr="009A4354">
        <w:rPr>
          <w:rFonts w:ascii="Verdana" w:hAnsi="Verdana"/>
          <w:bCs/>
          <w:iCs/>
          <w:sz w:val="20"/>
          <w:szCs w:val="20"/>
          <w:lang w:val="es-CR"/>
        </w:rPr>
        <w:t>ofre</w:t>
      </w:r>
      <w:r w:rsidR="0054767A">
        <w:rPr>
          <w:rFonts w:ascii="Verdana" w:hAnsi="Verdana"/>
          <w:bCs/>
          <w:iCs/>
          <w:sz w:val="20"/>
          <w:szCs w:val="20"/>
          <w:lang w:val="es-CR"/>
        </w:rPr>
        <w:t>cidas</w:t>
      </w:r>
      <w:r w:rsidRPr="009A4354">
        <w:rPr>
          <w:rFonts w:ascii="Verdana" w:hAnsi="Verdana"/>
          <w:bCs/>
          <w:iCs/>
          <w:sz w:val="20"/>
          <w:szCs w:val="20"/>
          <w:lang w:val="es-CR"/>
        </w:rPr>
        <w:t xml:space="preserve"> por el Estado</w:t>
      </w:r>
      <w:r w:rsidR="00DE57DC">
        <w:rPr>
          <w:rFonts w:ascii="Verdana" w:hAnsi="Verdana"/>
          <w:bCs/>
          <w:iCs/>
          <w:sz w:val="20"/>
          <w:szCs w:val="20"/>
          <w:lang w:val="es-CR"/>
        </w:rPr>
        <w:t xml:space="preserve">, y d) </w:t>
      </w:r>
      <w:r w:rsidR="00DE57DC" w:rsidRPr="00DE57DC">
        <w:rPr>
          <w:rFonts w:ascii="Verdana" w:hAnsi="Verdana"/>
          <w:bCs/>
          <w:iCs/>
          <w:sz w:val="20"/>
          <w:szCs w:val="20"/>
          <w:lang w:val="es-ES"/>
        </w:rPr>
        <w:t>La solicitud de la Comisión para formular preguntas al perito ofrecido por el Estado</w:t>
      </w:r>
      <w:r w:rsidRPr="00DE57DC">
        <w:rPr>
          <w:rFonts w:ascii="Verdana" w:hAnsi="Verdana"/>
          <w:bCs/>
          <w:iCs/>
          <w:sz w:val="20"/>
          <w:szCs w:val="20"/>
          <w:lang w:val="es-CR"/>
        </w:rPr>
        <w:t>.</w:t>
      </w:r>
    </w:p>
    <w:p w14:paraId="6D099246" w14:textId="77777777" w:rsidR="00DF2489" w:rsidRPr="009A4354" w:rsidRDefault="00DF2489" w:rsidP="002933BD">
      <w:pPr>
        <w:pStyle w:val="Prrafodelista"/>
        <w:rPr>
          <w:rFonts w:ascii="Verdana" w:hAnsi="Verdana"/>
          <w:bCs/>
          <w:iCs/>
          <w:sz w:val="20"/>
          <w:szCs w:val="20"/>
          <w:lang w:val="es-CR"/>
        </w:rPr>
      </w:pPr>
    </w:p>
    <w:p w14:paraId="233D871C" w14:textId="77777777" w:rsidR="00DF2489" w:rsidRPr="009A4354" w:rsidRDefault="00DF2489" w:rsidP="002933BD">
      <w:pPr>
        <w:pStyle w:val="ListParagraph1"/>
        <w:numPr>
          <w:ilvl w:val="0"/>
          <w:numId w:val="2"/>
        </w:numPr>
        <w:ind w:right="11"/>
        <w:jc w:val="both"/>
        <w:rPr>
          <w:rFonts w:ascii="Verdana" w:hAnsi="Verdana"/>
          <w:b/>
          <w:i/>
          <w:sz w:val="20"/>
          <w:szCs w:val="20"/>
          <w:lang w:val="es-CR"/>
        </w:rPr>
      </w:pPr>
      <w:r w:rsidRPr="009A4354">
        <w:rPr>
          <w:rFonts w:ascii="Verdana" w:hAnsi="Verdana"/>
          <w:b/>
          <w:i/>
          <w:sz w:val="20"/>
          <w:szCs w:val="20"/>
          <w:lang w:val="es-CR"/>
        </w:rPr>
        <w:t>Admisibilidad de la prueba pericial ofrecida por la Comisión Interamericana</w:t>
      </w:r>
    </w:p>
    <w:p w14:paraId="0A75046F" w14:textId="77777777" w:rsidR="00DF2489" w:rsidRPr="00F23581" w:rsidRDefault="00DF2489" w:rsidP="002933BD">
      <w:pPr>
        <w:pStyle w:val="ListParagraph1"/>
        <w:ind w:left="0" w:right="11"/>
        <w:jc w:val="both"/>
        <w:rPr>
          <w:rFonts w:ascii="Verdana" w:hAnsi="Verdana"/>
          <w:sz w:val="20"/>
          <w:szCs w:val="20"/>
          <w:lang w:val="es-CR"/>
        </w:rPr>
      </w:pPr>
    </w:p>
    <w:p w14:paraId="4637BFD6" w14:textId="5B2C8D5B" w:rsidR="00DF2489" w:rsidRPr="002933BD" w:rsidRDefault="00DF2489" w:rsidP="002933BD">
      <w:pPr>
        <w:pStyle w:val="Prrafodelista"/>
        <w:numPr>
          <w:ilvl w:val="0"/>
          <w:numId w:val="3"/>
        </w:numPr>
        <w:ind w:left="0" w:firstLine="0"/>
        <w:jc w:val="both"/>
        <w:rPr>
          <w:rFonts w:ascii="Verdana" w:hAnsi="Verdana" w:cs="Arial"/>
          <w:sz w:val="20"/>
          <w:szCs w:val="20"/>
          <w:lang w:val="es-CL"/>
        </w:rPr>
      </w:pPr>
      <w:r w:rsidRPr="009A4354">
        <w:rPr>
          <w:rFonts w:ascii="Verdana" w:hAnsi="Verdana" w:cs="Arial"/>
          <w:sz w:val="20"/>
          <w:szCs w:val="20"/>
          <w:lang w:val="es-CR"/>
        </w:rPr>
        <w:t xml:space="preserve">La </w:t>
      </w:r>
      <w:r w:rsidRPr="009A4354">
        <w:rPr>
          <w:rFonts w:ascii="Verdana" w:hAnsi="Verdana" w:cs="Arial"/>
          <w:b/>
          <w:i/>
          <w:sz w:val="20"/>
          <w:szCs w:val="20"/>
          <w:lang w:val="es-CR"/>
        </w:rPr>
        <w:t>Comisión</w:t>
      </w:r>
      <w:r w:rsidRPr="009A4354">
        <w:rPr>
          <w:rFonts w:ascii="Verdana" w:hAnsi="Verdana" w:cs="Arial"/>
          <w:sz w:val="20"/>
          <w:szCs w:val="20"/>
          <w:lang w:val="es-CR"/>
        </w:rPr>
        <w:t xml:space="preserve"> ofreció, como prueba pericial, las declaraciones </w:t>
      </w:r>
      <w:r w:rsidR="00E053A0">
        <w:rPr>
          <w:rFonts w:ascii="Verdana" w:hAnsi="Verdana" w:cs="Arial"/>
          <w:sz w:val="20"/>
          <w:szCs w:val="20"/>
          <w:lang w:val="es-CR"/>
        </w:rPr>
        <w:t xml:space="preserve">del señor Roberto </w:t>
      </w:r>
      <w:proofErr w:type="spellStart"/>
      <w:r w:rsidR="00E053A0">
        <w:rPr>
          <w:rFonts w:ascii="Verdana" w:hAnsi="Verdana" w:cs="Arial"/>
          <w:sz w:val="20"/>
          <w:szCs w:val="20"/>
          <w:lang w:val="es-CR"/>
        </w:rPr>
        <w:t>Gargarella</w:t>
      </w:r>
      <w:proofErr w:type="spellEnd"/>
      <w:r w:rsidRPr="009A4354">
        <w:rPr>
          <w:rStyle w:val="Refdenotaalpie"/>
          <w:rFonts w:ascii="Verdana" w:hAnsi="Verdana" w:cs="Arial"/>
          <w:sz w:val="20"/>
          <w:szCs w:val="20"/>
          <w:lang w:val="es-CR"/>
        </w:rPr>
        <w:footnoteReference w:id="1"/>
      </w:r>
      <w:r w:rsidRPr="009A4354">
        <w:rPr>
          <w:rFonts w:ascii="Verdana" w:hAnsi="Verdana" w:cs="Arial"/>
          <w:sz w:val="20"/>
          <w:szCs w:val="20"/>
          <w:lang w:val="es-CR"/>
        </w:rPr>
        <w:t>, indicó el objeto de su declaración, y adjuntó su hoja de vida.</w:t>
      </w:r>
      <w:r w:rsidRPr="009A4354">
        <w:rPr>
          <w:rFonts w:ascii="Verdana" w:hAnsi="Verdana" w:cs="Verdana"/>
          <w:sz w:val="20"/>
          <w:szCs w:val="20"/>
          <w:lang w:val="es-CR" w:bidi="en-US"/>
        </w:rPr>
        <w:t xml:space="preserve"> </w:t>
      </w:r>
      <w:r w:rsidRPr="009A4354">
        <w:rPr>
          <w:rFonts w:ascii="Verdana" w:hAnsi="Verdana" w:cs="Arial"/>
          <w:sz w:val="20"/>
          <w:szCs w:val="20"/>
          <w:lang w:val="es-CR"/>
        </w:rPr>
        <w:t xml:space="preserve">Ni el </w:t>
      </w:r>
      <w:r w:rsidRPr="009A4354">
        <w:rPr>
          <w:rFonts w:ascii="Verdana" w:hAnsi="Verdana" w:cs="Arial"/>
          <w:b/>
          <w:i/>
          <w:sz w:val="20"/>
          <w:szCs w:val="20"/>
          <w:lang w:val="es-CR"/>
        </w:rPr>
        <w:t>Estado</w:t>
      </w:r>
      <w:r w:rsidRPr="009A4354">
        <w:rPr>
          <w:rFonts w:ascii="Verdana" w:hAnsi="Verdana" w:cs="Arial"/>
          <w:b/>
          <w:sz w:val="20"/>
          <w:szCs w:val="20"/>
          <w:lang w:val="es-CR"/>
        </w:rPr>
        <w:t>,</w:t>
      </w:r>
      <w:r w:rsidRPr="009A4354">
        <w:rPr>
          <w:rFonts w:ascii="Verdana" w:hAnsi="Verdana" w:cs="Arial"/>
          <w:sz w:val="20"/>
          <w:szCs w:val="20"/>
          <w:lang w:val="es-CR"/>
        </w:rPr>
        <w:t xml:space="preserve"> ni los </w:t>
      </w:r>
      <w:r w:rsidRPr="009A4354">
        <w:rPr>
          <w:rFonts w:ascii="Verdana" w:hAnsi="Verdana" w:cs="Arial"/>
          <w:b/>
          <w:i/>
          <w:sz w:val="20"/>
          <w:szCs w:val="20"/>
          <w:lang w:val="es-CR"/>
        </w:rPr>
        <w:t>representantes</w:t>
      </w:r>
      <w:r w:rsidRPr="00FC35CF">
        <w:rPr>
          <w:rFonts w:ascii="Verdana" w:hAnsi="Verdana" w:cs="Arial"/>
          <w:sz w:val="20"/>
          <w:szCs w:val="20"/>
          <w:lang w:val="es-CR"/>
        </w:rPr>
        <w:t>,</w:t>
      </w:r>
      <w:r w:rsidRPr="009A4354">
        <w:rPr>
          <w:rFonts w:ascii="Verdana" w:hAnsi="Verdana" w:cs="Arial"/>
          <w:sz w:val="20"/>
          <w:szCs w:val="20"/>
          <w:lang w:val="es-CR"/>
        </w:rPr>
        <w:t xml:space="preserve"> objetaron el ofrecimiento de dicha prueba pericial. Por lo tanto, el </w:t>
      </w:r>
      <w:proofErr w:type="gramStart"/>
      <w:r w:rsidRPr="009A4354">
        <w:rPr>
          <w:rFonts w:ascii="Verdana" w:hAnsi="Verdana" w:cs="Arial"/>
          <w:sz w:val="20"/>
          <w:szCs w:val="20"/>
          <w:lang w:val="es-CR"/>
        </w:rPr>
        <w:t>Presidente</w:t>
      </w:r>
      <w:proofErr w:type="gramEnd"/>
      <w:r w:rsidRPr="009A4354">
        <w:rPr>
          <w:rFonts w:ascii="Verdana" w:hAnsi="Verdana" w:cs="Arial"/>
          <w:sz w:val="20"/>
          <w:szCs w:val="20"/>
          <w:lang w:val="es-CR"/>
        </w:rPr>
        <w:t xml:space="preserve"> procederá a analizar la admisibilidad del peritaje</w:t>
      </w:r>
      <w:r w:rsidR="00227CAB">
        <w:rPr>
          <w:rFonts w:ascii="Verdana" w:hAnsi="Verdana" w:cs="Arial"/>
          <w:sz w:val="20"/>
          <w:szCs w:val="20"/>
          <w:lang w:val="es-CR"/>
        </w:rPr>
        <w:t xml:space="preserve"> </w:t>
      </w:r>
      <w:r w:rsidR="00227CAB">
        <w:rPr>
          <w:rFonts w:ascii="Verdana" w:hAnsi="Verdana" w:cs="Arial"/>
          <w:sz w:val="20"/>
          <w:szCs w:val="20"/>
          <w:lang w:val="es-ES_tradnl"/>
        </w:rPr>
        <w:t xml:space="preserve">con fundamento </w:t>
      </w:r>
      <w:r w:rsidR="00227CAB" w:rsidRPr="00227CAB">
        <w:rPr>
          <w:rFonts w:ascii="Verdana" w:hAnsi="Verdana" w:cs="Arial"/>
          <w:sz w:val="20"/>
          <w:szCs w:val="20"/>
          <w:lang w:val="es-ES_tradnl"/>
        </w:rPr>
        <w:t>en el artículo 35.1.f del Reglamento de la Corte</w:t>
      </w:r>
      <w:r w:rsidR="00227CAB" w:rsidRPr="00227CAB">
        <w:rPr>
          <w:rFonts w:ascii="Verdana" w:hAnsi="Verdana" w:cs="Arial"/>
          <w:sz w:val="20"/>
          <w:szCs w:val="20"/>
          <w:vertAlign w:val="superscript"/>
          <w:lang w:val="es-ES_tradnl"/>
        </w:rPr>
        <w:footnoteReference w:id="2"/>
      </w:r>
      <w:r w:rsidR="00227CAB" w:rsidRPr="00227CAB">
        <w:rPr>
          <w:rFonts w:ascii="Verdana" w:hAnsi="Verdana" w:cs="Arial"/>
          <w:sz w:val="20"/>
          <w:szCs w:val="20"/>
          <w:lang w:val="es-ES_tradnl"/>
        </w:rPr>
        <w:t>, en donde se supedita el eventual ofrecimiento de peritos cuando se afecte de manera relevante el orden público interamericano de los derechos humanos, lo cual corresponde a la Comisión sustentar</w:t>
      </w:r>
      <w:r w:rsidR="00227CAB" w:rsidRPr="00227CAB">
        <w:rPr>
          <w:rFonts w:ascii="Verdana" w:hAnsi="Verdana" w:cs="Arial"/>
          <w:sz w:val="20"/>
          <w:szCs w:val="20"/>
          <w:vertAlign w:val="superscript"/>
          <w:lang w:val="es-ES_tradnl"/>
        </w:rPr>
        <w:footnoteReference w:id="3"/>
      </w:r>
      <w:r w:rsidRPr="009A4354">
        <w:rPr>
          <w:rFonts w:ascii="Verdana" w:hAnsi="Verdana" w:cs="Arial"/>
          <w:sz w:val="20"/>
          <w:szCs w:val="20"/>
          <w:lang w:val="es-CR"/>
        </w:rPr>
        <w:t>.</w:t>
      </w:r>
    </w:p>
    <w:p w14:paraId="63C74058" w14:textId="77777777" w:rsidR="002933BD" w:rsidRPr="009A4354" w:rsidRDefault="002933BD" w:rsidP="002933BD">
      <w:pPr>
        <w:pStyle w:val="Prrafodelista"/>
        <w:ind w:left="0"/>
        <w:jc w:val="both"/>
        <w:rPr>
          <w:rFonts w:ascii="Verdana" w:hAnsi="Verdana" w:cs="Arial"/>
          <w:sz w:val="20"/>
          <w:szCs w:val="20"/>
          <w:lang w:val="es-CL"/>
        </w:rPr>
      </w:pPr>
    </w:p>
    <w:p w14:paraId="6DFC545F" w14:textId="77777777" w:rsidR="00DF2489" w:rsidRPr="002933BD" w:rsidRDefault="00DF2489" w:rsidP="002933BD">
      <w:pPr>
        <w:pStyle w:val="Prrafodelista"/>
        <w:numPr>
          <w:ilvl w:val="0"/>
          <w:numId w:val="3"/>
        </w:numPr>
        <w:ind w:left="0" w:firstLine="0"/>
        <w:jc w:val="both"/>
        <w:rPr>
          <w:rFonts w:ascii="Verdana" w:hAnsi="Verdana" w:cs="Arial"/>
          <w:sz w:val="20"/>
          <w:szCs w:val="20"/>
          <w:lang w:val="es-CL"/>
        </w:rPr>
      </w:pPr>
      <w:r w:rsidRPr="009A4354">
        <w:rPr>
          <w:rFonts w:ascii="Verdana" w:hAnsi="Verdana" w:cs="Arial"/>
          <w:sz w:val="20"/>
          <w:szCs w:val="20"/>
          <w:lang w:val="es-CR"/>
        </w:rPr>
        <w:t>Según la Comisión, este caso involucra cuestiones de orde</w:t>
      </w:r>
      <w:r w:rsidR="002933BD">
        <w:rPr>
          <w:rFonts w:ascii="Verdana" w:hAnsi="Verdana" w:cs="Arial"/>
          <w:sz w:val="20"/>
          <w:szCs w:val="20"/>
          <w:lang w:val="es-CR"/>
        </w:rPr>
        <w:t>n público interamericano, pues:</w:t>
      </w:r>
    </w:p>
    <w:p w14:paraId="043DA9A4" w14:textId="77777777" w:rsidR="002933BD" w:rsidRPr="009A4354" w:rsidRDefault="002933BD" w:rsidP="002933BD">
      <w:pPr>
        <w:pStyle w:val="Prrafodelista"/>
        <w:ind w:left="0"/>
        <w:jc w:val="both"/>
        <w:rPr>
          <w:rFonts w:ascii="Verdana" w:hAnsi="Verdana" w:cs="Arial"/>
          <w:sz w:val="20"/>
          <w:szCs w:val="20"/>
          <w:lang w:val="es-CL"/>
        </w:rPr>
      </w:pPr>
    </w:p>
    <w:p w14:paraId="4CA1A60F" w14:textId="5AC82FF9" w:rsidR="00DF2489" w:rsidRDefault="00E053A0" w:rsidP="002933BD">
      <w:pPr>
        <w:pStyle w:val="Prrafodelista"/>
        <w:ind w:left="709" w:right="1182"/>
        <w:jc w:val="both"/>
        <w:rPr>
          <w:rFonts w:ascii="Verdana" w:hAnsi="Verdana" w:cs="Arial"/>
          <w:sz w:val="18"/>
          <w:szCs w:val="18"/>
          <w:lang w:val="es-CL"/>
        </w:rPr>
      </w:pPr>
      <w:r>
        <w:rPr>
          <w:rFonts w:ascii="Verdana" w:hAnsi="Verdana" w:cs="Arial"/>
          <w:sz w:val="18"/>
          <w:szCs w:val="18"/>
          <w:lang w:val="es-CL"/>
        </w:rPr>
        <w:t xml:space="preserve">“[…] versa sobre la inhabilitación y destitución de un funcionario de elección popular. La primera cuestión relacionada con la </w:t>
      </w:r>
      <w:r w:rsidR="003978A7">
        <w:rPr>
          <w:rFonts w:ascii="Verdana" w:hAnsi="Verdana" w:cs="Arial"/>
          <w:sz w:val="18"/>
          <w:szCs w:val="18"/>
          <w:lang w:val="es-CL"/>
        </w:rPr>
        <w:t xml:space="preserve">sanción de inhabilitación permitiría a la Corte Interamericana consolidar su jurisprudencia respecto de la compatibilidad </w:t>
      </w:r>
      <w:r w:rsidR="003978A7">
        <w:rPr>
          <w:rFonts w:ascii="Verdana" w:hAnsi="Verdana" w:cs="Arial"/>
          <w:sz w:val="18"/>
          <w:szCs w:val="18"/>
          <w:lang w:val="es-CL"/>
        </w:rPr>
        <w:lastRenderedPageBreak/>
        <w:t xml:space="preserve">de la sanción de inhabilitación de funcionarios de elección popular a través de procesos disciplinarios con el artículo 23 de la Convención Americana, cuestión abordada previamente en el caso </w:t>
      </w:r>
      <w:r w:rsidR="003978A7">
        <w:rPr>
          <w:rFonts w:ascii="Verdana" w:hAnsi="Verdana" w:cs="Arial"/>
          <w:i/>
          <w:sz w:val="18"/>
          <w:szCs w:val="18"/>
          <w:lang w:val="es-CL"/>
        </w:rPr>
        <w:t>López Mendoza vs. Argentina</w:t>
      </w:r>
      <w:r w:rsidR="003978A7">
        <w:rPr>
          <w:rFonts w:ascii="Verdana" w:hAnsi="Verdana" w:cs="Arial"/>
          <w:sz w:val="18"/>
          <w:szCs w:val="18"/>
          <w:lang w:val="es-CL"/>
        </w:rPr>
        <w:t>. Asimismo, el presente caso plantea la cuestión relacionada con la compatibilidad de la sanción de destitución de funcionarios de elección popular a través de procedimientos administrativos sancionatorios con la Convención Americana, tomando en cuenta que el artículo 23 de la Convención establece que “la ley puede reglamentar el ejercicio de los derechos y oportunidades a que se refiere el inciso anterior, exclusivamente por razones de edad, nacionalidad, residencia, idioma, instrucción, capacidad civil o mental, o condena, por juez competente, en proceso penal”.</w:t>
      </w:r>
    </w:p>
    <w:p w14:paraId="4CE542D7" w14:textId="77777777" w:rsidR="009F6714" w:rsidRPr="003978A7" w:rsidRDefault="009F6714" w:rsidP="002933BD">
      <w:pPr>
        <w:pStyle w:val="Prrafodelista"/>
        <w:ind w:left="709" w:right="1182"/>
        <w:jc w:val="both"/>
        <w:rPr>
          <w:rFonts w:ascii="Verdana" w:hAnsi="Verdana" w:cs="Arial"/>
          <w:sz w:val="18"/>
          <w:szCs w:val="18"/>
          <w:lang w:val="es-CL"/>
        </w:rPr>
      </w:pPr>
    </w:p>
    <w:p w14:paraId="706C711A" w14:textId="77777777" w:rsidR="00A96D9D" w:rsidRPr="009A4354" w:rsidRDefault="00A96D9D" w:rsidP="002933BD">
      <w:pPr>
        <w:spacing w:after="0"/>
        <w:ind w:right="1182"/>
        <w:rPr>
          <w:rFonts w:cs="Arial"/>
          <w:szCs w:val="20"/>
          <w:lang w:val="es-CL"/>
        </w:rPr>
      </w:pPr>
    </w:p>
    <w:p w14:paraId="0B3BE29E" w14:textId="19054ABE" w:rsidR="00DF2489" w:rsidRPr="009A4354" w:rsidRDefault="00DF2489" w:rsidP="002933BD">
      <w:pPr>
        <w:numPr>
          <w:ilvl w:val="0"/>
          <w:numId w:val="3"/>
        </w:numPr>
        <w:autoSpaceDE w:val="0"/>
        <w:autoSpaceDN w:val="0"/>
        <w:adjustRightInd w:val="0"/>
        <w:spacing w:after="0"/>
        <w:ind w:left="0" w:firstLine="0"/>
        <w:rPr>
          <w:szCs w:val="20"/>
        </w:rPr>
      </w:pPr>
      <w:r w:rsidRPr="009A4354">
        <w:rPr>
          <w:szCs w:val="20"/>
        </w:rPr>
        <w:t xml:space="preserve">En este sentido, el </w:t>
      </w:r>
      <w:proofErr w:type="gramStart"/>
      <w:r w:rsidRPr="009A4354">
        <w:rPr>
          <w:szCs w:val="20"/>
        </w:rPr>
        <w:t>Presidente</w:t>
      </w:r>
      <w:proofErr w:type="gramEnd"/>
      <w:r w:rsidRPr="009A4354">
        <w:rPr>
          <w:szCs w:val="20"/>
        </w:rPr>
        <w:t xml:space="preserve"> considera que el objeto </w:t>
      </w:r>
      <w:r w:rsidR="009061EF">
        <w:rPr>
          <w:szCs w:val="20"/>
        </w:rPr>
        <w:t>del peritaje propuesto</w:t>
      </w:r>
      <w:r w:rsidRPr="009A4354">
        <w:rPr>
          <w:szCs w:val="20"/>
        </w:rPr>
        <w:t xml:space="preserve"> trasciende el interés y objeto del presente caso, pues se refiere a </w:t>
      </w:r>
      <w:r w:rsidR="009061EF">
        <w:rPr>
          <w:szCs w:val="20"/>
        </w:rPr>
        <w:t>las obligaciones que l</w:t>
      </w:r>
      <w:r w:rsidR="00592348">
        <w:rPr>
          <w:szCs w:val="20"/>
        </w:rPr>
        <w:t>os Estados deben cumplir cuando se destituyen funcionarios de elección popular a través de procedimientos administrativos sancionatorios, lo cual implica también interpretar los alcances del artículo 23 de la Convención Americana</w:t>
      </w:r>
      <w:r w:rsidRPr="00B20D9C">
        <w:rPr>
          <w:szCs w:val="20"/>
        </w:rPr>
        <w:t>.</w:t>
      </w:r>
      <w:r w:rsidRPr="009A4354">
        <w:rPr>
          <w:szCs w:val="20"/>
        </w:rPr>
        <w:t xml:space="preserve"> </w:t>
      </w:r>
      <w:r w:rsidR="006F0C16">
        <w:rPr>
          <w:szCs w:val="20"/>
        </w:rPr>
        <w:t>E</w:t>
      </w:r>
      <w:r w:rsidRPr="009A4354">
        <w:rPr>
          <w:szCs w:val="20"/>
        </w:rPr>
        <w:t xml:space="preserve">l </w:t>
      </w:r>
      <w:proofErr w:type="gramStart"/>
      <w:r w:rsidRPr="009A4354">
        <w:rPr>
          <w:szCs w:val="20"/>
        </w:rPr>
        <w:t>Presidente</w:t>
      </w:r>
      <w:proofErr w:type="gramEnd"/>
      <w:r w:rsidRPr="009A4354">
        <w:rPr>
          <w:szCs w:val="20"/>
        </w:rPr>
        <w:t xml:space="preserve"> advierte que</w:t>
      </w:r>
      <w:r w:rsidR="006F0C16">
        <w:rPr>
          <w:szCs w:val="20"/>
        </w:rPr>
        <w:t xml:space="preserve"> esta cuestión es relevante no solo para el caso particular,</w:t>
      </w:r>
      <w:r w:rsidRPr="009A4354">
        <w:rPr>
          <w:szCs w:val="20"/>
        </w:rPr>
        <w:t xml:space="preserve"> </w:t>
      </w:r>
      <w:r w:rsidR="006F0C16">
        <w:rPr>
          <w:szCs w:val="20"/>
        </w:rPr>
        <w:t>sino que involucra un supuesto que puede</w:t>
      </w:r>
      <w:r w:rsidR="003024F7">
        <w:rPr>
          <w:szCs w:val="20"/>
        </w:rPr>
        <w:t xml:space="preserve"> tener impacto sobre situaciones ocurridas en otros Estados, por lo que son</w:t>
      </w:r>
      <w:r w:rsidRPr="009A4354">
        <w:rPr>
          <w:szCs w:val="20"/>
        </w:rPr>
        <w:t xml:space="preserve"> de orden público interamericano.</w:t>
      </w:r>
    </w:p>
    <w:p w14:paraId="137177BB" w14:textId="77777777" w:rsidR="00DF2489" w:rsidRPr="009A4354" w:rsidRDefault="00DF2489" w:rsidP="002933BD">
      <w:pPr>
        <w:autoSpaceDE w:val="0"/>
        <w:autoSpaceDN w:val="0"/>
        <w:adjustRightInd w:val="0"/>
        <w:spacing w:after="0"/>
        <w:rPr>
          <w:szCs w:val="20"/>
        </w:rPr>
      </w:pPr>
    </w:p>
    <w:p w14:paraId="030AFA7C" w14:textId="77777777" w:rsidR="00DF2489" w:rsidRPr="009A4354" w:rsidRDefault="00DF2489" w:rsidP="002933BD">
      <w:pPr>
        <w:numPr>
          <w:ilvl w:val="0"/>
          <w:numId w:val="3"/>
        </w:numPr>
        <w:autoSpaceDE w:val="0"/>
        <w:autoSpaceDN w:val="0"/>
        <w:adjustRightInd w:val="0"/>
        <w:spacing w:after="0"/>
        <w:ind w:left="0" w:firstLine="0"/>
        <w:rPr>
          <w:szCs w:val="20"/>
        </w:rPr>
      </w:pPr>
      <w:r w:rsidRPr="009A4354">
        <w:rPr>
          <w:szCs w:val="20"/>
        </w:rPr>
        <w:t xml:space="preserve"> Por lo an</w:t>
      </w:r>
      <w:r w:rsidR="00592348">
        <w:rPr>
          <w:szCs w:val="20"/>
        </w:rPr>
        <w:t xml:space="preserve">terior, el </w:t>
      </w:r>
      <w:proofErr w:type="gramStart"/>
      <w:r w:rsidR="00592348">
        <w:rPr>
          <w:szCs w:val="20"/>
        </w:rPr>
        <w:t>Presidente</w:t>
      </w:r>
      <w:proofErr w:type="gramEnd"/>
      <w:r w:rsidR="00592348">
        <w:rPr>
          <w:szCs w:val="20"/>
        </w:rPr>
        <w:t xml:space="preserve"> admite la declaración</w:t>
      </w:r>
      <w:r w:rsidRPr="009A4354">
        <w:rPr>
          <w:szCs w:val="20"/>
        </w:rPr>
        <w:t xml:space="preserve"> </w:t>
      </w:r>
      <w:r w:rsidR="00592348">
        <w:rPr>
          <w:rFonts w:cs="Arial"/>
          <w:szCs w:val="20"/>
          <w:lang w:val="es-CR"/>
        </w:rPr>
        <w:t xml:space="preserve">del señor Roberto </w:t>
      </w:r>
      <w:proofErr w:type="spellStart"/>
      <w:r w:rsidR="00592348">
        <w:rPr>
          <w:rFonts w:cs="Arial"/>
          <w:szCs w:val="20"/>
          <w:lang w:val="es-CR"/>
        </w:rPr>
        <w:t>Gargarella</w:t>
      </w:r>
      <w:proofErr w:type="spellEnd"/>
      <w:r w:rsidRPr="009A4354">
        <w:rPr>
          <w:rFonts w:cs="Arial"/>
          <w:szCs w:val="20"/>
          <w:lang w:val="es-CR"/>
        </w:rPr>
        <w:t xml:space="preserve">, cuyo objeto y modalidad se determinarán en la parte resolutiva de la presente Resolución </w:t>
      </w:r>
      <w:r w:rsidRPr="008644C2">
        <w:rPr>
          <w:rFonts w:cs="Arial"/>
          <w:szCs w:val="20"/>
          <w:lang w:val="es-CR"/>
        </w:rPr>
        <w:t>(</w:t>
      </w:r>
      <w:r w:rsidRPr="008644C2">
        <w:rPr>
          <w:rFonts w:cs="Arial"/>
          <w:i/>
          <w:szCs w:val="20"/>
          <w:lang w:val="es-CR"/>
        </w:rPr>
        <w:t xml:space="preserve">infra </w:t>
      </w:r>
      <w:r w:rsidR="002933BD">
        <w:rPr>
          <w:rFonts w:cs="Arial"/>
          <w:szCs w:val="20"/>
          <w:lang w:val="es-CR"/>
        </w:rPr>
        <w:t>punto resolutivo 1</w:t>
      </w:r>
      <w:r w:rsidRPr="008644C2">
        <w:rPr>
          <w:rFonts w:cs="Arial"/>
          <w:szCs w:val="20"/>
          <w:lang w:val="es-CR"/>
        </w:rPr>
        <w:t>).</w:t>
      </w:r>
    </w:p>
    <w:p w14:paraId="57380757" w14:textId="77777777" w:rsidR="00DF2489" w:rsidRPr="009A4354" w:rsidRDefault="00DF2489" w:rsidP="002933BD">
      <w:pPr>
        <w:pStyle w:val="Sangradetextonormal"/>
        <w:tabs>
          <w:tab w:val="left" w:pos="0"/>
          <w:tab w:val="left" w:pos="810"/>
        </w:tabs>
        <w:spacing w:after="0"/>
        <w:ind w:left="0"/>
        <w:rPr>
          <w:rFonts w:cs="Verdana"/>
          <w:szCs w:val="20"/>
          <w:lang w:bidi="en-US"/>
        </w:rPr>
      </w:pPr>
    </w:p>
    <w:p w14:paraId="1B7E7977" w14:textId="77777777" w:rsidR="00DF2489" w:rsidRPr="009A4354" w:rsidRDefault="00DF2489" w:rsidP="002933BD">
      <w:pPr>
        <w:pStyle w:val="ListParagraph1"/>
        <w:numPr>
          <w:ilvl w:val="0"/>
          <w:numId w:val="2"/>
        </w:numPr>
        <w:ind w:right="11"/>
        <w:jc w:val="both"/>
        <w:rPr>
          <w:rFonts w:ascii="Verdana" w:hAnsi="Verdana"/>
          <w:b/>
          <w:i/>
          <w:sz w:val="20"/>
          <w:szCs w:val="20"/>
          <w:lang w:val="es-CR"/>
        </w:rPr>
      </w:pPr>
      <w:r w:rsidRPr="009A4354">
        <w:rPr>
          <w:rFonts w:ascii="Verdana" w:hAnsi="Verdana"/>
          <w:b/>
          <w:i/>
          <w:sz w:val="20"/>
          <w:szCs w:val="20"/>
          <w:lang w:val="es-CR"/>
        </w:rPr>
        <w:t>Admisibilidad de las declaraciones testimoniales</w:t>
      </w:r>
      <w:r w:rsidR="00C76924">
        <w:rPr>
          <w:rFonts w:ascii="Verdana" w:hAnsi="Verdana"/>
          <w:b/>
          <w:i/>
          <w:sz w:val="20"/>
          <w:szCs w:val="20"/>
          <w:lang w:val="es-CR"/>
        </w:rPr>
        <w:t xml:space="preserve"> y periciales</w:t>
      </w:r>
      <w:r w:rsidRPr="009A4354">
        <w:rPr>
          <w:rFonts w:ascii="Verdana" w:hAnsi="Verdana"/>
          <w:b/>
          <w:i/>
          <w:sz w:val="20"/>
          <w:szCs w:val="20"/>
          <w:lang w:val="es-CR"/>
        </w:rPr>
        <w:t xml:space="preserve"> </w:t>
      </w:r>
      <w:r w:rsidR="00A35510">
        <w:rPr>
          <w:rFonts w:ascii="Verdana" w:hAnsi="Verdana"/>
          <w:b/>
          <w:i/>
          <w:sz w:val="20"/>
          <w:szCs w:val="20"/>
          <w:lang w:val="es-CR"/>
        </w:rPr>
        <w:t>ofrecida</w:t>
      </w:r>
      <w:r w:rsidRPr="009A4354">
        <w:rPr>
          <w:rFonts w:ascii="Verdana" w:hAnsi="Verdana"/>
          <w:b/>
          <w:i/>
          <w:sz w:val="20"/>
          <w:szCs w:val="20"/>
          <w:lang w:val="es-CR"/>
        </w:rPr>
        <w:t>s por los representantes</w:t>
      </w:r>
    </w:p>
    <w:p w14:paraId="5E068114" w14:textId="77777777" w:rsidR="00DF2489" w:rsidRPr="009A4354" w:rsidRDefault="00DF2489" w:rsidP="002933BD">
      <w:pPr>
        <w:pStyle w:val="Sangradetextonormal"/>
        <w:tabs>
          <w:tab w:val="left" w:pos="0"/>
        </w:tabs>
        <w:spacing w:after="0"/>
        <w:ind w:left="0"/>
        <w:rPr>
          <w:rFonts w:cs="Verdana"/>
          <w:szCs w:val="20"/>
          <w:lang w:bidi="en-US"/>
        </w:rPr>
      </w:pPr>
    </w:p>
    <w:p w14:paraId="3A92B49B" w14:textId="77777777" w:rsidR="00DF2489" w:rsidRPr="009A4354" w:rsidRDefault="00DF2489" w:rsidP="002933BD">
      <w:pPr>
        <w:pStyle w:val="Sangradetextonormal"/>
        <w:tabs>
          <w:tab w:val="left" w:pos="0"/>
        </w:tabs>
        <w:spacing w:after="0"/>
        <w:ind w:left="0"/>
        <w:rPr>
          <w:rFonts w:cs="Verdana"/>
          <w:i/>
          <w:szCs w:val="20"/>
          <w:lang w:bidi="en-US"/>
        </w:rPr>
      </w:pPr>
      <w:r w:rsidRPr="009A4354">
        <w:rPr>
          <w:rFonts w:cs="Verdana"/>
          <w:i/>
          <w:szCs w:val="20"/>
          <w:lang w:bidi="en-US"/>
        </w:rPr>
        <w:t>B.1) Objeciones del Estado respecto de las declaraciones testimoniales ofrecidas por los representantes</w:t>
      </w:r>
    </w:p>
    <w:p w14:paraId="29277E12" w14:textId="77777777" w:rsidR="00DF2489" w:rsidRPr="009A4354" w:rsidRDefault="00DF2489" w:rsidP="002933BD">
      <w:pPr>
        <w:pStyle w:val="Sangradetextonormal"/>
        <w:tabs>
          <w:tab w:val="left" w:pos="0"/>
        </w:tabs>
        <w:spacing w:after="0"/>
        <w:ind w:left="0"/>
        <w:rPr>
          <w:rFonts w:cs="Verdana"/>
          <w:b/>
          <w:szCs w:val="20"/>
          <w:lang w:bidi="en-US"/>
        </w:rPr>
      </w:pPr>
    </w:p>
    <w:p w14:paraId="6B1C3142" w14:textId="16855D4F" w:rsidR="00C76924" w:rsidRDefault="00DF2489" w:rsidP="002933BD">
      <w:pPr>
        <w:pStyle w:val="Sangradetextonormal"/>
        <w:numPr>
          <w:ilvl w:val="0"/>
          <w:numId w:val="3"/>
        </w:numPr>
        <w:tabs>
          <w:tab w:val="left" w:pos="0"/>
        </w:tabs>
        <w:spacing w:after="0"/>
        <w:ind w:left="0" w:firstLine="0"/>
        <w:rPr>
          <w:rFonts w:cs="Verdana"/>
          <w:szCs w:val="20"/>
          <w:lang w:bidi="en-US"/>
        </w:rPr>
      </w:pPr>
      <w:r w:rsidRPr="009A4354">
        <w:rPr>
          <w:rFonts w:cs="Verdana"/>
          <w:szCs w:val="20"/>
          <w:lang w:bidi="en-US"/>
        </w:rPr>
        <w:t xml:space="preserve">Los </w:t>
      </w:r>
      <w:r w:rsidRPr="009A4354">
        <w:rPr>
          <w:rFonts w:cs="Verdana"/>
          <w:b/>
          <w:i/>
          <w:szCs w:val="20"/>
          <w:lang w:bidi="en-US"/>
        </w:rPr>
        <w:t>representantes</w:t>
      </w:r>
      <w:r w:rsidR="00C76924">
        <w:rPr>
          <w:rFonts w:cs="Verdana"/>
          <w:szCs w:val="20"/>
          <w:lang w:bidi="en-US"/>
        </w:rPr>
        <w:t xml:space="preserve"> ofrecieron los testimonios de </w:t>
      </w:r>
      <w:r w:rsidR="00F62792">
        <w:rPr>
          <w:rFonts w:cs="Verdana"/>
          <w:szCs w:val="20"/>
          <w:lang w:bidi="en-US"/>
        </w:rPr>
        <w:t xml:space="preserve">Gustavo Francisco Petro Urrego </w:t>
      </w:r>
      <w:r w:rsidR="00C76924">
        <w:rPr>
          <w:rFonts w:cs="Verdana"/>
          <w:szCs w:val="20"/>
          <w:lang w:bidi="en-US"/>
        </w:rPr>
        <w:t xml:space="preserve">e </w:t>
      </w:r>
      <w:r w:rsidR="00A95979">
        <w:rPr>
          <w:rFonts w:cs="Verdana"/>
          <w:szCs w:val="20"/>
          <w:lang w:bidi="en-US"/>
        </w:rPr>
        <w:t>Iván</w:t>
      </w:r>
      <w:r w:rsidR="00C76924">
        <w:rPr>
          <w:rFonts w:cs="Verdana"/>
          <w:szCs w:val="20"/>
          <w:lang w:bidi="en-US"/>
        </w:rPr>
        <w:t xml:space="preserve"> Cepeda Castro. Asimismo, en su lista definitiva de declarantes</w:t>
      </w:r>
      <w:r w:rsidR="006F0C16">
        <w:rPr>
          <w:rFonts w:cs="Verdana"/>
          <w:szCs w:val="20"/>
          <w:lang w:bidi="en-US"/>
        </w:rPr>
        <w:t>,</w:t>
      </w:r>
      <w:r w:rsidR="00C76924">
        <w:rPr>
          <w:rFonts w:cs="Verdana"/>
          <w:szCs w:val="20"/>
          <w:lang w:bidi="en-US"/>
        </w:rPr>
        <w:t xml:space="preserve"> manifestaron que los señores Petro Urrego</w:t>
      </w:r>
      <w:r w:rsidR="00AC1DF2">
        <w:rPr>
          <w:rStyle w:val="Refdenotaalpie"/>
          <w:rFonts w:cs="Verdana"/>
          <w:szCs w:val="20"/>
          <w:lang w:bidi="en-US"/>
        </w:rPr>
        <w:footnoteReference w:id="4"/>
      </w:r>
      <w:r w:rsidR="00C76924">
        <w:rPr>
          <w:rFonts w:cs="Verdana"/>
          <w:szCs w:val="20"/>
          <w:lang w:bidi="en-US"/>
        </w:rPr>
        <w:t xml:space="preserve"> y Cepeda Castro</w:t>
      </w:r>
      <w:r w:rsidR="00AC1DF2">
        <w:rPr>
          <w:rStyle w:val="Refdenotaalpie"/>
          <w:rFonts w:cs="Verdana"/>
          <w:szCs w:val="20"/>
          <w:lang w:bidi="en-US"/>
        </w:rPr>
        <w:footnoteReference w:id="5"/>
      </w:r>
      <w:r w:rsidR="00C76924">
        <w:rPr>
          <w:rFonts w:cs="Verdana"/>
          <w:szCs w:val="20"/>
          <w:lang w:bidi="en-US"/>
        </w:rPr>
        <w:t xml:space="preserve"> podrían rendir su declaración en audiencia pública</w:t>
      </w:r>
      <w:r w:rsidR="00692586">
        <w:rPr>
          <w:rFonts w:cs="Verdana"/>
          <w:szCs w:val="20"/>
          <w:lang w:bidi="en-US"/>
        </w:rPr>
        <w:t xml:space="preserve">. El </w:t>
      </w:r>
      <w:r w:rsidR="00692586">
        <w:rPr>
          <w:rFonts w:cs="Verdana"/>
          <w:b/>
          <w:i/>
          <w:szCs w:val="20"/>
          <w:lang w:bidi="en-US"/>
        </w:rPr>
        <w:t>Estado</w:t>
      </w:r>
      <w:r w:rsidR="00692586" w:rsidRPr="00692586">
        <w:rPr>
          <w:rFonts w:cs="Verdana"/>
          <w:i/>
          <w:szCs w:val="20"/>
          <w:lang w:bidi="en-US"/>
        </w:rPr>
        <w:t xml:space="preserve"> </w:t>
      </w:r>
      <w:r w:rsidR="00692586">
        <w:rPr>
          <w:rFonts w:cs="Verdana"/>
          <w:szCs w:val="20"/>
          <w:lang w:bidi="en-US"/>
        </w:rPr>
        <w:t xml:space="preserve">solicitó que en caso de admitir la declaración del señor Petro Urrego, </w:t>
      </w:r>
      <w:r w:rsidR="00AC1DF2">
        <w:rPr>
          <w:rFonts w:cs="Verdana"/>
          <w:szCs w:val="20"/>
          <w:lang w:bidi="en-US"/>
        </w:rPr>
        <w:t>deberá retirar aquellos aspectos del objeto de dicha declaración que prejuzguen sobre aspectos que se encuentren en controversia en el caso. En relación con la declaración del señor Cepeda Vargas, el Estado solicitó que en caso de admitir dicha declaraci</w:t>
      </w:r>
      <w:r w:rsidR="003024F7">
        <w:rPr>
          <w:rFonts w:cs="Verdana"/>
          <w:szCs w:val="20"/>
          <w:lang w:bidi="en-US"/>
        </w:rPr>
        <w:t>ón</w:t>
      </w:r>
      <w:r w:rsidR="00AC1DF2">
        <w:rPr>
          <w:rFonts w:cs="Verdana"/>
          <w:szCs w:val="20"/>
          <w:lang w:bidi="en-US"/>
        </w:rPr>
        <w:t xml:space="preserve"> delimite el objeto de la misma.</w:t>
      </w:r>
      <w:r w:rsidR="00C76924">
        <w:rPr>
          <w:rFonts w:cs="Verdana"/>
          <w:szCs w:val="20"/>
          <w:lang w:bidi="en-US"/>
        </w:rPr>
        <w:t xml:space="preserve"> </w:t>
      </w:r>
      <w:r w:rsidR="00AC1DF2" w:rsidRPr="009A4354">
        <w:rPr>
          <w:rFonts w:cs="Verdana"/>
          <w:szCs w:val="20"/>
          <w:lang w:bidi="en-US"/>
        </w:rPr>
        <w:t xml:space="preserve">La </w:t>
      </w:r>
      <w:r w:rsidR="00AC1DF2" w:rsidRPr="009A4354">
        <w:rPr>
          <w:rFonts w:cs="Verdana"/>
          <w:b/>
          <w:i/>
          <w:szCs w:val="20"/>
          <w:lang w:bidi="en-US"/>
        </w:rPr>
        <w:t xml:space="preserve">Comisión </w:t>
      </w:r>
      <w:r w:rsidR="00AC1DF2" w:rsidRPr="009A4354">
        <w:rPr>
          <w:rFonts w:cs="Verdana"/>
          <w:szCs w:val="20"/>
          <w:lang w:bidi="en-US"/>
        </w:rPr>
        <w:t>informó que no tiene observaciones a formular respecto a las listas definitivas presentadas por las partes.</w:t>
      </w:r>
    </w:p>
    <w:p w14:paraId="339A9E13" w14:textId="77777777" w:rsidR="00A35510" w:rsidRDefault="00A35510" w:rsidP="002933BD">
      <w:pPr>
        <w:pStyle w:val="Sangradetextonormal"/>
        <w:tabs>
          <w:tab w:val="left" w:pos="0"/>
        </w:tabs>
        <w:spacing w:after="0"/>
        <w:ind w:left="0"/>
        <w:rPr>
          <w:rFonts w:cs="Verdana"/>
          <w:szCs w:val="20"/>
          <w:lang w:bidi="en-US"/>
        </w:rPr>
      </w:pPr>
    </w:p>
    <w:p w14:paraId="79D35EBF" w14:textId="276D52DF" w:rsidR="00013DE3" w:rsidRPr="00013DE3" w:rsidRDefault="003024F7" w:rsidP="00013DE3">
      <w:pPr>
        <w:pStyle w:val="Sangradetextonormal"/>
        <w:widowControl w:val="0"/>
        <w:numPr>
          <w:ilvl w:val="0"/>
          <w:numId w:val="3"/>
        </w:numPr>
        <w:tabs>
          <w:tab w:val="left" w:pos="0"/>
          <w:tab w:val="left" w:pos="567"/>
        </w:tabs>
        <w:autoSpaceDE w:val="0"/>
        <w:autoSpaceDN w:val="0"/>
        <w:adjustRightInd w:val="0"/>
        <w:spacing w:after="0"/>
        <w:ind w:left="0" w:firstLine="0"/>
        <w:rPr>
          <w:rFonts w:cs="Verdana"/>
          <w:szCs w:val="20"/>
          <w:lang w:bidi="en-US"/>
        </w:rPr>
      </w:pPr>
      <w:r w:rsidRPr="00013DE3">
        <w:rPr>
          <w:szCs w:val="20"/>
        </w:rPr>
        <w:t xml:space="preserve">En relación con los argumentos presentados por Colombia, esta Presidencia considera que el Estado no objetó que la presunta víctima o el testigo rindieran sus declaraciones, sino que sostuvo que el modo en que están propuestos los objetos a los que harán referencia en sus intervenciones implica </w:t>
      </w:r>
      <w:r w:rsidR="00F62792" w:rsidRPr="00013DE3">
        <w:rPr>
          <w:szCs w:val="20"/>
        </w:rPr>
        <w:t>un prejuzgamiento sobre el caso</w:t>
      </w:r>
      <w:r w:rsidRPr="00013DE3">
        <w:rPr>
          <w:szCs w:val="20"/>
        </w:rPr>
        <w:t xml:space="preserve">. </w:t>
      </w:r>
      <w:r w:rsidR="00013DE3" w:rsidRPr="00013DE3">
        <w:rPr>
          <w:szCs w:val="20"/>
        </w:rPr>
        <w:t xml:space="preserve">Al respecto, el </w:t>
      </w:r>
      <w:proofErr w:type="gramStart"/>
      <w:r w:rsidR="00013DE3" w:rsidRPr="00013DE3">
        <w:rPr>
          <w:szCs w:val="20"/>
        </w:rPr>
        <w:t>Presidente</w:t>
      </w:r>
      <w:proofErr w:type="gramEnd"/>
      <w:r w:rsidR="00013DE3" w:rsidRPr="00013DE3">
        <w:rPr>
          <w:szCs w:val="20"/>
        </w:rPr>
        <w:t xml:space="preserve"> señala que para los testigos rige el deber consagrado en el artículo 51.3 del Reglamento de decir “la verdad, toda la verdad y nada más que la verdad” respecto a los hechos y circunstancias que </w:t>
      </w:r>
      <w:r w:rsidR="00013DE3" w:rsidRPr="00013DE3">
        <w:rPr>
          <w:szCs w:val="20"/>
        </w:rPr>
        <w:lastRenderedPageBreak/>
        <w:t>le consten</w:t>
      </w:r>
      <w:r w:rsidR="00013DE3" w:rsidRPr="00B94874">
        <w:rPr>
          <w:rStyle w:val="Refdenotaalpie"/>
          <w:szCs w:val="20"/>
        </w:rPr>
        <w:footnoteReference w:id="6"/>
      </w:r>
      <w:r w:rsidR="00013DE3" w:rsidRPr="00013DE3">
        <w:rPr>
          <w:szCs w:val="20"/>
        </w:rPr>
        <w:t>, no así el deber de objetividad, el cual es exigible a los peritos</w:t>
      </w:r>
      <w:r w:rsidR="00013DE3" w:rsidRPr="00B94874">
        <w:rPr>
          <w:rStyle w:val="Refdenotaalpie"/>
          <w:szCs w:val="20"/>
        </w:rPr>
        <w:footnoteReference w:id="7"/>
      </w:r>
      <w:r w:rsidR="00013DE3" w:rsidRPr="00013DE3">
        <w:rPr>
          <w:szCs w:val="20"/>
        </w:rPr>
        <w:t xml:space="preserve">. </w:t>
      </w:r>
      <w:r w:rsidR="00854D0B">
        <w:rPr>
          <w:szCs w:val="20"/>
        </w:rPr>
        <w:t>Por esta razón, debido a que las presuntas víctimas y los testigos no se encuentran obligados por el deber de objetividad, contrario a las declaraciones de peritos,</w:t>
      </w:r>
      <w:r w:rsidR="00013DE3" w:rsidRPr="00013DE3">
        <w:rPr>
          <w:szCs w:val="20"/>
        </w:rPr>
        <w:t xml:space="preserve"> </w:t>
      </w:r>
      <w:r w:rsidR="00C541FC">
        <w:rPr>
          <w:szCs w:val="20"/>
        </w:rPr>
        <w:t xml:space="preserve">el </w:t>
      </w:r>
      <w:proofErr w:type="gramStart"/>
      <w:r w:rsidR="00C541FC">
        <w:rPr>
          <w:szCs w:val="20"/>
        </w:rPr>
        <w:t>Presidente</w:t>
      </w:r>
      <w:proofErr w:type="gramEnd"/>
      <w:r w:rsidR="00C541FC">
        <w:rPr>
          <w:szCs w:val="20"/>
        </w:rPr>
        <w:t xml:space="preserve"> rechaza la solicitud del Estado de retirar aquellos aspectos que podrían constituir un prejuzgamiento o que se encuentren en controversia en el caso</w:t>
      </w:r>
      <w:r w:rsidR="00854D0B">
        <w:rPr>
          <w:szCs w:val="20"/>
        </w:rPr>
        <w:t>.</w:t>
      </w:r>
    </w:p>
    <w:p w14:paraId="4E4725DF" w14:textId="77777777" w:rsidR="001061A0" w:rsidRPr="001061A0" w:rsidRDefault="001061A0" w:rsidP="002933BD">
      <w:pPr>
        <w:pStyle w:val="Sangradetextonormal"/>
        <w:tabs>
          <w:tab w:val="left" w:pos="0"/>
        </w:tabs>
        <w:spacing w:after="0"/>
        <w:ind w:left="0"/>
        <w:rPr>
          <w:rFonts w:cs="Verdana"/>
          <w:szCs w:val="20"/>
          <w:lang w:bidi="en-US"/>
        </w:rPr>
      </w:pPr>
    </w:p>
    <w:p w14:paraId="1A84BDCC" w14:textId="77777777" w:rsidR="00C77A1B" w:rsidRPr="001061A0" w:rsidRDefault="003024F7" w:rsidP="002933BD">
      <w:pPr>
        <w:pStyle w:val="Sangradetextonormal"/>
        <w:numPr>
          <w:ilvl w:val="0"/>
          <w:numId w:val="3"/>
        </w:numPr>
        <w:tabs>
          <w:tab w:val="left" w:pos="0"/>
        </w:tabs>
        <w:spacing w:after="0"/>
        <w:ind w:left="0" w:firstLine="0"/>
        <w:rPr>
          <w:rFonts w:cs="Verdana"/>
          <w:szCs w:val="20"/>
          <w:lang w:bidi="en-US"/>
        </w:rPr>
      </w:pPr>
      <w:r w:rsidRPr="003024F7">
        <w:rPr>
          <w:szCs w:val="20"/>
        </w:rPr>
        <w:t xml:space="preserve">En </w:t>
      </w:r>
      <w:r w:rsidR="001061A0">
        <w:rPr>
          <w:szCs w:val="20"/>
        </w:rPr>
        <w:t>virtud de lo anterior</w:t>
      </w:r>
      <w:r w:rsidRPr="003024F7">
        <w:rPr>
          <w:szCs w:val="20"/>
        </w:rPr>
        <w:t>,</w:t>
      </w:r>
      <w:r w:rsidR="00A47DAE">
        <w:rPr>
          <w:szCs w:val="20"/>
        </w:rPr>
        <w:t xml:space="preserve"> el </w:t>
      </w:r>
      <w:proofErr w:type="gramStart"/>
      <w:r w:rsidR="00A47DAE">
        <w:rPr>
          <w:szCs w:val="20"/>
        </w:rPr>
        <w:t>Presidente</w:t>
      </w:r>
      <w:proofErr w:type="gramEnd"/>
      <w:r w:rsidR="00A47DAE">
        <w:rPr>
          <w:szCs w:val="20"/>
        </w:rPr>
        <w:t xml:space="preserve"> admite las declaraciones de </w:t>
      </w:r>
      <w:r w:rsidR="00A47DAE">
        <w:rPr>
          <w:rFonts w:cs="Verdana"/>
          <w:szCs w:val="20"/>
          <w:lang w:bidi="en-US"/>
        </w:rPr>
        <w:t xml:space="preserve">Gustavo Francisco Petro Urrego y de </w:t>
      </w:r>
      <w:proofErr w:type="spellStart"/>
      <w:r w:rsidR="00A47DAE">
        <w:rPr>
          <w:rFonts w:cs="Verdana"/>
          <w:szCs w:val="20"/>
          <w:lang w:bidi="en-US"/>
        </w:rPr>
        <w:t>Ivan</w:t>
      </w:r>
      <w:proofErr w:type="spellEnd"/>
      <w:r w:rsidR="00A47DAE">
        <w:rPr>
          <w:rFonts w:cs="Verdana"/>
          <w:szCs w:val="20"/>
          <w:lang w:bidi="en-US"/>
        </w:rPr>
        <w:t xml:space="preserve"> Cepeda Castro.</w:t>
      </w:r>
      <w:r w:rsidR="00A47DAE">
        <w:rPr>
          <w:szCs w:val="20"/>
        </w:rPr>
        <w:t xml:space="preserve"> E</w:t>
      </w:r>
      <w:r w:rsidRPr="003024F7">
        <w:rPr>
          <w:szCs w:val="20"/>
        </w:rPr>
        <w:t xml:space="preserve">l objeto y la modalidad de las declaraciones de </w:t>
      </w:r>
      <w:r w:rsidR="001061A0">
        <w:rPr>
          <w:szCs w:val="20"/>
        </w:rPr>
        <w:t>la presunta víctima y el testigo</w:t>
      </w:r>
      <w:r w:rsidRPr="003024F7">
        <w:rPr>
          <w:szCs w:val="20"/>
        </w:rPr>
        <w:t xml:space="preserve"> se determinará en la parte resolutiva de la presente Resolución (</w:t>
      </w:r>
      <w:r w:rsidRPr="002933BD">
        <w:rPr>
          <w:i/>
          <w:szCs w:val="20"/>
        </w:rPr>
        <w:t>infra</w:t>
      </w:r>
      <w:r w:rsidRPr="003024F7">
        <w:rPr>
          <w:szCs w:val="20"/>
        </w:rPr>
        <w:t xml:space="preserve"> puntos resolutivos </w:t>
      </w:r>
      <w:r w:rsidRPr="002933BD">
        <w:rPr>
          <w:szCs w:val="20"/>
        </w:rPr>
        <w:t>1 y 4</w:t>
      </w:r>
      <w:r w:rsidRPr="003024F7">
        <w:rPr>
          <w:szCs w:val="20"/>
        </w:rPr>
        <w:t>)</w:t>
      </w:r>
    </w:p>
    <w:p w14:paraId="7171F028" w14:textId="77777777" w:rsidR="001061A0" w:rsidRPr="00933FE2" w:rsidRDefault="001061A0" w:rsidP="002933BD">
      <w:pPr>
        <w:pStyle w:val="Prrafodelista"/>
        <w:rPr>
          <w:rFonts w:cs="Verdana"/>
          <w:szCs w:val="20"/>
          <w:lang w:val="es-CR" w:bidi="en-US"/>
        </w:rPr>
      </w:pPr>
    </w:p>
    <w:p w14:paraId="3B171F73" w14:textId="77777777" w:rsidR="001061A0" w:rsidRPr="00933FE2" w:rsidRDefault="001061A0" w:rsidP="002933BD">
      <w:pPr>
        <w:pStyle w:val="Sangradetextonormal"/>
        <w:tabs>
          <w:tab w:val="left" w:pos="0"/>
          <w:tab w:val="left" w:pos="810"/>
        </w:tabs>
        <w:spacing w:after="0"/>
        <w:ind w:left="0"/>
        <w:rPr>
          <w:rFonts w:cs="Verdana"/>
          <w:lang w:val="es-CR" w:bidi="en-US"/>
        </w:rPr>
      </w:pPr>
      <w:r w:rsidRPr="00933FE2">
        <w:rPr>
          <w:rFonts w:cs="Verdana"/>
          <w:i/>
          <w:lang w:bidi="en-US"/>
        </w:rPr>
        <w:t>B.2) Objeciones del Estado respecto de los dictámenes periciales ofrecidos por los representantes</w:t>
      </w:r>
    </w:p>
    <w:p w14:paraId="011E4E6E" w14:textId="77777777" w:rsidR="001061A0" w:rsidRPr="00F134DE" w:rsidRDefault="001061A0" w:rsidP="002933BD">
      <w:pPr>
        <w:pStyle w:val="Sangradetextonormal"/>
        <w:tabs>
          <w:tab w:val="left" w:pos="0"/>
        </w:tabs>
        <w:spacing w:after="0"/>
        <w:ind w:left="0"/>
        <w:rPr>
          <w:rFonts w:cs="Verdana"/>
          <w:szCs w:val="20"/>
          <w:highlight w:val="red"/>
          <w:lang w:val="es-CR" w:bidi="en-US"/>
        </w:rPr>
      </w:pPr>
    </w:p>
    <w:p w14:paraId="02B388AA" w14:textId="6696EB64" w:rsidR="00553BFE" w:rsidRDefault="001061A0" w:rsidP="002933BD">
      <w:pPr>
        <w:pStyle w:val="Sangradetextonormal"/>
        <w:numPr>
          <w:ilvl w:val="0"/>
          <w:numId w:val="3"/>
        </w:numPr>
        <w:tabs>
          <w:tab w:val="left" w:pos="0"/>
        </w:tabs>
        <w:spacing w:after="0"/>
        <w:ind w:left="0" w:firstLine="0"/>
        <w:rPr>
          <w:rFonts w:cs="Verdana"/>
          <w:szCs w:val="20"/>
          <w:lang w:val="es-CR" w:bidi="en-US"/>
        </w:rPr>
      </w:pPr>
      <w:r w:rsidRPr="00A47DAE">
        <w:rPr>
          <w:rFonts w:cs="Verdana"/>
          <w:szCs w:val="20"/>
          <w:lang w:val="es-CR" w:bidi="en-US"/>
        </w:rPr>
        <w:t xml:space="preserve">Los </w:t>
      </w:r>
      <w:r w:rsidRPr="00A47DAE">
        <w:rPr>
          <w:rFonts w:cs="Verdana"/>
          <w:b/>
          <w:i/>
          <w:szCs w:val="20"/>
          <w:lang w:val="es-CR" w:bidi="en-US"/>
        </w:rPr>
        <w:t>representantes</w:t>
      </w:r>
      <w:r w:rsidRPr="00A47DAE">
        <w:rPr>
          <w:rFonts w:cs="Verdana"/>
          <w:szCs w:val="20"/>
          <w:lang w:val="es-CR" w:bidi="en-US"/>
        </w:rPr>
        <w:t xml:space="preserve"> ofrecieron en su escrito </w:t>
      </w:r>
      <w:r w:rsidR="00933FE2" w:rsidRPr="00A47DAE">
        <w:rPr>
          <w:rFonts w:cs="Verdana"/>
          <w:szCs w:val="20"/>
          <w:lang w:val="es-CR" w:bidi="en-US"/>
        </w:rPr>
        <w:t>de solicitudes y argumentos las declaraciones periciales de Vilma Liliana Franco, Alfredo Beltrán Sierra</w:t>
      </w:r>
      <w:r w:rsidR="00933FE2">
        <w:rPr>
          <w:rStyle w:val="Refdenotaalpie"/>
          <w:rFonts w:cs="Verdana"/>
          <w:szCs w:val="20"/>
          <w:lang w:val="es-CR" w:bidi="en-US"/>
        </w:rPr>
        <w:footnoteReference w:id="8"/>
      </w:r>
      <w:r w:rsidR="00933FE2" w:rsidRPr="00A47DAE">
        <w:rPr>
          <w:rFonts w:cs="Verdana"/>
          <w:szCs w:val="20"/>
          <w:lang w:val="es-CR" w:bidi="en-US"/>
        </w:rPr>
        <w:t>,</w:t>
      </w:r>
      <w:r w:rsidR="00C30CB2" w:rsidRPr="00A47DAE">
        <w:rPr>
          <w:rFonts w:cs="Verdana"/>
          <w:szCs w:val="20"/>
          <w:lang w:val="es-CR" w:bidi="en-US"/>
        </w:rPr>
        <w:t xml:space="preserve"> Ariel E. </w:t>
      </w:r>
      <w:proofErr w:type="spellStart"/>
      <w:r w:rsidR="00C30CB2" w:rsidRPr="00A47DAE">
        <w:rPr>
          <w:rFonts w:cs="Verdana"/>
          <w:szCs w:val="20"/>
          <w:lang w:val="es-CR" w:bidi="en-US"/>
        </w:rPr>
        <w:t>Dulitzki</w:t>
      </w:r>
      <w:proofErr w:type="spellEnd"/>
      <w:r w:rsidR="00F541D6">
        <w:rPr>
          <w:rStyle w:val="Refdenotaalpie"/>
          <w:rFonts w:cs="Verdana"/>
          <w:szCs w:val="20"/>
          <w:lang w:val="es-CR" w:bidi="en-US"/>
        </w:rPr>
        <w:footnoteReference w:id="9"/>
      </w:r>
      <w:r w:rsidR="00933FE2" w:rsidRPr="00A47DAE">
        <w:rPr>
          <w:rFonts w:cs="Verdana"/>
          <w:szCs w:val="20"/>
          <w:lang w:val="es-CR" w:bidi="en-US"/>
        </w:rPr>
        <w:t xml:space="preserve"> y del Instituto de Estudios Socio-Históricos Fray Alonso de Zamora</w:t>
      </w:r>
      <w:r w:rsidR="00933FE2">
        <w:rPr>
          <w:rStyle w:val="Refdenotaalpie"/>
          <w:rFonts w:cs="Verdana"/>
          <w:szCs w:val="20"/>
          <w:lang w:val="es-CR" w:bidi="en-US"/>
        </w:rPr>
        <w:footnoteReference w:id="10"/>
      </w:r>
      <w:r w:rsidR="00933FE2" w:rsidRPr="00A47DAE">
        <w:rPr>
          <w:rFonts w:cs="Verdana"/>
          <w:szCs w:val="20"/>
          <w:lang w:val="es-CR" w:bidi="en-US"/>
        </w:rPr>
        <w:t xml:space="preserve">. </w:t>
      </w:r>
      <w:r w:rsidR="000A7E23" w:rsidRPr="00A47DAE">
        <w:rPr>
          <w:rFonts w:cs="Verdana"/>
          <w:szCs w:val="20"/>
          <w:lang w:val="es-CR" w:bidi="en-US"/>
        </w:rPr>
        <w:t>Adicionalmente,</w:t>
      </w:r>
      <w:r w:rsidR="00933FE2" w:rsidRPr="00A47DAE">
        <w:rPr>
          <w:rFonts w:cs="Verdana"/>
          <w:szCs w:val="20"/>
          <w:lang w:val="es-CR" w:bidi="en-US"/>
        </w:rPr>
        <w:t xml:space="preserve"> e</w:t>
      </w:r>
      <w:r w:rsidR="000A7E23" w:rsidRPr="00A47DAE">
        <w:rPr>
          <w:rFonts w:cs="Verdana"/>
          <w:szCs w:val="20"/>
          <w:lang w:val="es-CR" w:bidi="en-US"/>
        </w:rPr>
        <w:t>n su lista definitiva, ofrecieron el peritaje de Francisco Gutiérrez Sanín</w:t>
      </w:r>
      <w:r w:rsidR="000A7E23">
        <w:rPr>
          <w:rStyle w:val="Refdenotaalpie"/>
          <w:rFonts w:cs="Verdana"/>
          <w:szCs w:val="20"/>
          <w:lang w:val="es-CR" w:bidi="en-US"/>
        </w:rPr>
        <w:footnoteReference w:id="11"/>
      </w:r>
      <w:r w:rsidR="000A7E23" w:rsidRPr="00A47DAE">
        <w:rPr>
          <w:rFonts w:cs="Verdana"/>
          <w:szCs w:val="20"/>
          <w:lang w:val="es-CR" w:bidi="en-US"/>
        </w:rPr>
        <w:t>, de Alberto Yepes Palacio</w:t>
      </w:r>
      <w:r w:rsidR="000A7E23">
        <w:rPr>
          <w:rStyle w:val="Refdenotaalpie"/>
          <w:rFonts w:cs="Verdana"/>
          <w:szCs w:val="20"/>
          <w:lang w:val="es-CR" w:bidi="en-US"/>
        </w:rPr>
        <w:footnoteReference w:id="12"/>
      </w:r>
      <w:r w:rsidR="000A7E23" w:rsidRPr="00A47DAE">
        <w:rPr>
          <w:rFonts w:cs="Verdana"/>
          <w:szCs w:val="20"/>
          <w:lang w:val="es-CR" w:bidi="en-US"/>
        </w:rPr>
        <w:t xml:space="preserve">, </w:t>
      </w:r>
      <w:r w:rsidR="000A7E23" w:rsidRPr="00013DE3">
        <w:rPr>
          <w:rFonts w:cs="Verdana"/>
          <w:szCs w:val="20"/>
          <w:lang w:val="es-CR" w:bidi="en-US"/>
        </w:rPr>
        <w:t>Julio César Ortiz</w:t>
      </w:r>
      <w:r w:rsidR="000A7E23" w:rsidRPr="00A47DAE">
        <w:rPr>
          <w:rFonts w:cs="Verdana"/>
          <w:szCs w:val="20"/>
          <w:lang w:val="es-CR" w:bidi="en-US"/>
        </w:rPr>
        <w:t xml:space="preserve"> y Olga Lucía Durán</w:t>
      </w:r>
      <w:r w:rsidR="000A7E23">
        <w:rPr>
          <w:rStyle w:val="Refdenotaalpie"/>
          <w:rFonts w:cs="Verdana"/>
          <w:szCs w:val="20"/>
          <w:lang w:val="es-CR" w:bidi="en-US"/>
        </w:rPr>
        <w:footnoteReference w:id="13"/>
      </w:r>
      <w:r w:rsidR="000A7E23" w:rsidRPr="00A47DAE">
        <w:rPr>
          <w:rFonts w:cs="Verdana"/>
          <w:szCs w:val="20"/>
          <w:lang w:val="es-CR" w:bidi="en-US"/>
        </w:rPr>
        <w:t>, e informaron que Vilma Liliana Franco</w:t>
      </w:r>
      <w:r w:rsidR="00C30CB2" w:rsidRPr="00A47DAE">
        <w:rPr>
          <w:rFonts w:cs="Verdana"/>
          <w:szCs w:val="20"/>
          <w:lang w:val="es-CR" w:bidi="en-US"/>
        </w:rPr>
        <w:t xml:space="preserve"> y Ariel E. </w:t>
      </w:r>
      <w:proofErr w:type="spellStart"/>
      <w:r w:rsidR="00C30CB2" w:rsidRPr="00A47DAE">
        <w:rPr>
          <w:rFonts w:cs="Verdana"/>
          <w:szCs w:val="20"/>
          <w:lang w:val="es-CR" w:bidi="en-US"/>
        </w:rPr>
        <w:t>Dulitzki</w:t>
      </w:r>
      <w:proofErr w:type="spellEnd"/>
      <w:r w:rsidR="000A7E23" w:rsidRPr="00A47DAE">
        <w:rPr>
          <w:rFonts w:cs="Verdana"/>
          <w:szCs w:val="20"/>
          <w:lang w:val="es-CR" w:bidi="en-US"/>
        </w:rPr>
        <w:t xml:space="preserve"> no podría</w:t>
      </w:r>
      <w:r w:rsidR="00C30CB2" w:rsidRPr="00A47DAE">
        <w:rPr>
          <w:rFonts w:cs="Verdana"/>
          <w:szCs w:val="20"/>
          <w:lang w:val="es-CR" w:bidi="en-US"/>
        </w:rPr>
        <w:t>n</w:t>
      </w:r>
      <w:r w:rsidR="000A7E23" w:rsidRPr="00A47DAE">
        <w:rPr>
          <w:rFonts w:cs="Verdana"/>
          <w:szCs w:val="20"/>
          <w:lang w:val="es-CR" w:bidi="en-US"/>
        </w:rPr>
        <w:t xml:space="preserve"> realizar su pericia.</w:t>
      </w:r>
    </w:p>
    <w:p w14:paraId="3C8E85CD" w14:textId="77777777" w:rsidR="00F541D6" w:rsidRPr="00A47DAE" w:rsidRDefault="00F541D6" w:rsidP="002933BD">
      <w:pPr>
        <w:pStyle w:val="Sangradetextonormal"/>
        <w:tabs>
          <w:tab w:val="left" w:pos="0"/>
        </w:tabs>
        <w:spacing w:after="0"/>
        <w:ind w:left="0"/>
        <w:rPr>
          <w:rFonts w:cs="Verdana"/>
          <w:szCs w:val="20"/>
          <w:lang w:val="es-CR" w:bidi="en-US"/>
        </w:rPr>
      </w:pPr>
    </w:p>
    <w:p w14:paraId="42AFD69C" w14:textId="15482E7A" w:rsidR="00553BFE" w:rsidRDefault="00B81928" w:rsidP="002933BD">
      <w:pPr>
        <w:pStyle w:val="Sangradetextonormal"/>
        <w:numPr>
          <w:ilvl w:val="0"/>
          <w:numId w:val="3"/>
        </w:numPr>
        <w:tabs>
          <w:tab w:val="left" w:pos="0"/>
        </w:tabs>
        <w:spacing w:after="0"/>
        <w:ind w:left="0" w:firstLine="0"/>
        <w:rPr>
          <w:rFonts w:cs="Verdana"/>
          <w:szCs w:val="20"/>
          <w:lang w:val="es-CR" w:bidi="en-US"/>
        </w:rPr>
      </w:pPr>
      <w:r w:rsidRPr="004733A2">
        <w:rPr>
          <w:rFonts w:cs="Verdana"/>
          <w:szCs w:val="20"/>
          <w:lang w:val="es-CR" w:bidi="en-US"/>
        </w:rPr>
        <w:t xml:space="preserve">El </w:t>
      </w:r>
      <w:r w:rsidRPr="004733A2">
        <w:rPr>
          <w:rFonts w:cs="Verdana"/>
          <w:b/>
          <w:i/>
          <w:szCs w:val="20"/>
          <w:lang w:val="es-CR" w:bidi="en-US"/>
        </w:rPr>
        <w:t xml:space="preserve">Estado </w:t>
      </w:r>
      <w:r w:rsidRPr="004733A2">
        <w:rPr>
          <w:rFonts w:cs="Verdana"/>
          <w:szCs w:val="20"/>
          <w:lang w:val="es-CR" w:bidi="en-US"/>
        </w:rPr>
        <w:t>alegó</w:t>
      </w:r>
      <w:r w:rsidR="00207D3C" w:rsidRPr="004733A2">
        <w:rPr>
          <w:rFonts w:cs="Verdana"/>
          <w:szCs w:val="20"/>
          <w:lang w:val="es-CR" w:bidi="en-US"/>
        </w:rPr>
        <w:t xml:space="preserve"> que el peritaje de Vilma Liliana Franco debía ser rechazado en virtud de los artículos 28 y 40 del Reglamento de la Corte.</w:t>
      </w:r>
      <w:r w:rsidRPr="004733A2">
        <w:rPr>
          <w:rFonts w:cs="Verdana"/>
          <w:szCs w:val="20"/>
          <w:lang w:val="es-CR" w:bidi="en-US"/>
        </w:rPr>
        <w:t xml:space="preserve"> </w:t>
      </w:r>
      <w:r w:rsidR="00207D3C" w:rsidRPr="004733A2">
        <w:rPr>
          <w:rFonts w:cs="Verdana"/>
          <w:szCs w:val="20"/>
          <w:lang w:val="es-CR" w:bidi="en-US"/>
        </w:rPr>
        <w:t>Manifestó que</w:t>
      </w:r>
      <w:r w:rsidRPr="004733A2">
        <w:rPr>
          <w:rFonts w:cs="Verdana"/>
          <w:szCs w:val="20"/>
          <w:lang w:val="es-CR" w:bidi="en-US"/>
        </w:rPr>
        <w:t xml:space="preserve"> el peritaje de Francisco </w:t>
      </w:r>
      <w:r w:rsidRPr="004733A2">
        <w:rPr>
          <w:rFonts w:cs="Verdana"/>
          <w:szCs w:val="20"/>
          <w:lang w:val="es-CR" w:bidi="en-US"/>
        </w:rPr>
        <w:lastRenderedPageBreak/>
        <w:t xml:space="preserve">Gutiérrez Sanín debía ser rechazado debido a que los representantes no ofrecieron dicho peritaje en el momento procesal oportuno. Asimismo, </w:t>
      </w:r>
      <w:r w:rsidR="00207D3C" w:rsidRPr="004733A2">
        <w:rPr>
          <w:rFonts w:cs="Verdana"/>
          <w:szCs w:val="20"/>
          <w:lang w:val="es-CR" w:bidi="en-US"/>
        </w:rPr>
        <w:t>expresó</w:t>
      </w:r>
      <w:r w:rsidRPr="004733A2">
        <w:rPr>
          <w:rFonts w:cs="Verdana"/>
          <w:szCs w:val="20"/>
          <w:lang w:val="es-CR" w:bidi="en-US"/>
        </w:rPr>
        <w:t xml:space="preserve"> que el peritaje de Alberto Yepes Palacio debía ser rechazado pues el perito incurso en la causal de recusación prevista en el artículo 48.1.c del Reglamento de la Corte, y además el objeto previsto por los representantes excede el objeto previsto en el escrito de argumentos y pruebas. Adicionalmente, </w:t>
      </w:r>
      <w:r w:rsidR="00BB26F3" w:rsidRPr="004733A2">
        <w:rPr>
          <w:rFonts w:cs="Verdana"/>
          <w:szCs w:val="20"/>
          <w:lang w:val="es-CR" w:bidi="en-US"/>
        </w:rPr>
        <w:t>alegó</w:t>
      </w:r>
      <w:r w:rsidRPr="004733A2">
        <w:rPr>
          <w:rFonts w:cs="Verdana"/>
          <w:szCs w:val="20"/>
          <w:lang w:val="es-CR" w:bidi="en-US"/>
        </w:rPr>
        <w:t xml:space="preserve"> que el peritaje de Julio César Ortiz y Olga Lucía Giraldo Duran debía ser rechazado al no haber sido ofrecidos en el momento procesal oportuno</w:t>
      </w:r>
      <w:r w:rsidR="00ED3CD6" w:rsidRPr="004733A2">
        <w:rPr>
          <w:rFonts w:cs="Verdana"/>
          <w:szCs w:val="20"/>
          <w:lang w:val="es-CR" w:bidi="en-US"/>
        </w:rPr>
        <w:t>,</w:t>
      </w:r>
      <w:r w:rsidRPr="004733A2">
        <w:rPr>
          <w:rFonts w:cs="Verdana"/>
          <w:szCs w:val="20"/>
          <w:lang w:val="es-CR" w:bidi="en-US"/>
        </w:rPr>
        <w:t xml:space="preserve"> y </w:t>
      </w:r>
      <w:r w:rsidR="00ED3CD6" w:rsidRPr="004733A2">
        <w:rPr>
          <w:rFonts w:cs="Verdana"/>
          <w:szCs w:val="20"/>
          <w:lang w:val="es-CR" w:bidi="en-US"/>
        </w:rPr>
        <w:t>en virtud de que</w:t>
      </w:r>
      <w:r w:rsidR="00207D3C" w:rsidRPr="004733A2">
        <w:rPr>
          <w:rFonts w:cs="Verdana"/>
          <w:szCs w:val="20"/>
          <w:lang w:val="es-CR" w:bidi="en-US"/>
        </w:rPr>
        <w:t xml:space="preserve"> incurren en la causal de recusación prevista en el artículo 48.1.b del Reglamento de la Corte</w:t>
      </w:r>
      <w:r w:rsidR="00013DE3">
        <w:rPr>
          <w:rFonts w:cs="Verdana"/>
          <w:szCs w:val="20"/>
          <w:lang w:val="es-CR" w:bidi="en-US"/>
        </w:rPr>
        <w:t xml:space="preserve"> pues</w:t>
      </w:r>
      <w:r w:rsidR="00207D3C" w:rsidRPr="004733A2">
        <w:rPr>
          <w:rFonts w:cs="Verdana"/>
          <w:szCs w:val="20"/>
          <w:lang w:val="es-CR" w:bidi="en-US"/>
        </w:rPr>
        <w:t xml:space="preserve"> actuaron como representantes del señor Petro en varios procedimientos a nivel interno directamente relacionados con los hechos del caso en conocimiento de la Corte.</w:t>
      </w:r>
      <w:r w:rsidR="004733A2">
        <w:rPr>
          <w:rFonts w:cs="Verdana"/>
          <w:szCs w:val="20"/>
          <w:lang w:val="es-CR" w:bidi="en-US"/>
        </w:rPr>
        <w:t xml:space="preserve"> </w:t>
      </w:r>
    </w:p>
    <w:p w14:paraId="6EC8F4B0" w14:textId="77777777" w:rsidR="00553BFE" w:rsidRDefault="00553BFE" w:rsidP="002933BD">
      <w:pPr>
        <w:pStyle w:val="Sangradetextonormal"/>
        <w:tabs>
          <w:tab w:val="left" w:pos="0"/>
        </w:tabs>
        <w:spacing w:after="0"/>
        <w:ind w:left="0"/>
        <w:rPr>
          <w:rFonts w:cs="Verdana"/>
          <w:szCs w:val="20"/>
          <w:lang w:val="es-CR" w:bidi="en-US"/>
        </w:rPr>
      </w:pPr>
    </w:p>
    <w:p w14:paraId="2E5FF1DC" w14:textId="0D2BAECD" w:rsidR="00207D3C" w:rsidRPr="004733A2" w:rsidRDefault="00207D3C" w:rsidP="002933BD">
      <w:pPr>
        <w:pStyle w:val="Sangradetextonormal"/>
        <w:numPr>
          <w:ilvl w:val="0"/>
          <w:numId w:val="3"/>
        </w:numPr>
        <w:tabs>
          <w:tab w:val="left" w:pos="0"/>
        </w:tabs>
        <w:spacing w:after="0"/>
        <w:ind w:left="0" w:firstLine="0"/>
        <w:rPr>
          <w:rFonts w:cs="Verdana"/>
          <w:szCs w:val="20"/>
          <w:lang w:val="es-CR" w:bidi="en-US"/>
        </w:rPr>
      </w:pPr>
      <w:r w:rsidRPr="004733A2">
        <w:rPr>
          <w:rFonts w:cs="Verdana"/>
          <w:szCs w:val="20"/>
          <w:lang w:bidi="en-US"/>
        </w:rPr>
        <w:t xml:space="preserve">La </w:t>
      </w:r>
      <w:r w:rsidRPr="004733A2">
        <w:rPr>
          <w:rFonts w:cs="Verdana"/>
          <w:b/>
          <w:i/>
          <w:szCs w:val="20"/>
          <w:lang w:bidi="en-US"/>
        </w:rPr>
        <w:t xml:space="preserve">Comisión </w:t>
      </w:r>
      <w:r w:rsidRPr="004733A2">
        <w:rPr>
          <w:rFonts w:cs="Verdana"/>
          <w:szCs w:val="20"/>
          <w:lang w:bidi="en-US"/>
        </w:rPr>
        <w:t>informó que no tiene observaciones a formular respecto a las listas definitivas presentadas por las partes.</w:t>
      </w:r>
    </w:p>
    <w:p w14:paraId="31CE4A62" w14:textId="77777777" w:rsidR="00207D3C" w:rsidRPr="00207D3C" w:rsidRDefault="00207D3C" w:rsidP="002933BD">
      <w:pPr>
        <w:pStyle w:val="Prrafodelista"/>
        <w:rPr>
          <w:rFonts w:cs="Verdana"/>
          <w:sz w:val="20"/>
          <w:szCs w:val="20"/>
          <w:lang w:val="es-CR" w:bidi="en-US"/>
        </w:rPr>
      </w:pPr>
    </w:p>
    <w:p w14:paraId="520853B0" w14:textId="472A9FF4" w:rsidR="00207D3C" w:rsidRDefault="00ED3CD6" w:rsidP="002933BD">
      <w:pPr>
        <w:pStyle w:val="Sangradetextonormal"/>
        <w:numPr>
          <w:ilvl w:val="0"/>
          <w:numId w:val="3"/>
        </w:numPr>
        <w:tabs>
          <w:tab w:val="left" w:pos="0"/>
        </w:tabs>
        <w:spacing w:after="0"/>
        <w:ind w:left="0" w:firstLine="0"/>
        <w:rPr>
          <w:rFonts w:cs="Verdana"/>
          <w:szCs w:val="20"/>
          <w:lang w:val="es-CR" w:bidi="en-US"/>
        </w:rPr>
      </w:pPr>
      <w:r>
        <w:rPr>
          <w:rFonts w:cs="Verdana"/>
          <w:szCs w:val="20"/>
          <w:lang w:val="es-CR" w:bidi="en-US"/>
        </w:rPr>
        <w:t xml:space="preserve">En primer lugar, el </w:t>
      </w:r>
      <w:proofErr w:type="gramStart"/>
      <w:r w:rsidR="00037A31">
        <w:rPr>
          <w:rFonts w:cs="Verdana"/>
          <w:szCs w:val="20"/>
          <w:lang w:val="es-CR" w:bidi="en-US"/>
        </w:rPr>
        <w:t>Presidente</w:t>
      </w:r>
      <w:proofErr w:type="gramEnd"/>
      <w:r>
        <w:rPr>
          <w:rFonts w:cs="Verdana"/>
          <w:szCs w:val="20"/>
          <w:lang w:val="es-CR" w:bidi="en-US"/>
        </w:rPr>
        <w:t xml:space="preserve"> advierte que los representantes ofrecieron, en su lista definitiva de declarantes, las declaraciones de Francisco Gutiérrez Sanín, Alberto Yepes Palacio, Julio César Ortiz y Olga Lucía Durán como prueba pericial.</w:t>
      </w:r>
      <w:r w:rsidR="00037A31">
        <w:rPr>
          <w:rFonts w:cs="Verdana"/>
          <w:szCs w:val="20"/>
          <w:lang w:val="es-CR" w:bidi="en-US"/>
        </w:rPr>
        <w:t xml:space="preserve"> Sin embargo, </w:t>
      </w:r>
      <w:r w:rsidR="00564154">
        <w:rPr>
          <w:rFonts w:cs="Verdana"/>
          <w:szCs w:val="20"/>
          <w:lang w:val="es-CR" w:bidi="en-US"/>
        </w:rPr>
        <w:t xml:space="preserve">el </w:t>
      </w:r>
      <w:proofErr w:type="gramStart"/>
      <w:r w:rsidR="00564154">
        <w:rPr>
          <w:rFonts w:cs="Verdana"/>
          <w:szCs w:val="20"/>
          <w:lang w:val="es-CR" w:bidi="en-US"/>
        </w:rPr>
        <w:t>Presidente</w:t>
      </w:r>
      <w:proofErr w:type="gramEnd"/>
      <w:r w:rsidR="00564154">
        <w:rPr>
          <w:rFonts w:cs="Verdana"/>
          <w:szCs w:val="20"/>
          <w:lang w:val="es-CR" w:bidi="en-US"/>
        </w:rPr>
        <w:t xml:space="preserve"> constata </w:t>
      </w:r>
      <w:r w:rsidR="00037A31">
        <w:rPr>
          <w:rFonts w:cs="Verdana"/>
          <w:szCs w:val="20"/>
          <w:lang w:val="es-CR" w:bidi="en-US"/>
        </w:rPr>
        <w:t>que dichas declaraciones no fueron ofrecidas como prueba pericial en el escrito de solicitudes y argumentos.</w:t>
      </w:r>
      <w:r>
        <w:rPr>
          <w:rFonts w:cs="Verdana"/>
          <w:szCs w:val="20"/>
          <w:lang w:val="es-CR" w:bidi="en-US"/>
        </w:rPr>
        <w:t xml:space="preserve"> </w:t>
      </w:r>
      <w:r w:rsidR="00687C7F">
        <w:rPr>
          <w:rFonts w:cs="Verdana"/>
          <w:szCs w:val="20"/>
          <w:lang w:val="es-CR" w:bidi="en-US"/>
        </w:rPr>
        <w:t>Al respecto</w:t>
      </w:r>
      <w:r>
        <w:rPr>
          <w:rFonts w:cs="Verdana"/>
          <w:szCs w:val="20"/>
          <w:lang w:val="es-CR" w:bidi="en-US"/>
        </w:rPr>
        <w:t>,</w:t>
      </w:r>
      <w:r w:rsidR="00037A31">
        <w:rPr>
          <w:rFonts w:cs="Verdana"/>
          <w:szCs w:val="20"/>
          <w:lang w:val="es-CR" w:bidi="en-US"/>
        </w:rPr>
        <w:t xml:space="preserve"> el </w:t>
      </w:r>
      <w:proofErr w:type="gramStart"/>
      <w:r w:rsidR="00037A31">
        <w:rPr>
          <w:rFonts w:cs="Verdana"/>
          <w:szCs w:val="20"/>
          <w:lang w:val="es-CR" w:bidi="en-US"/>
        </w:rPr>
        <w:t>Presidente</w:t>
      </w:r>
      <w:proofErr w:type="gramEnd"/>
      <w:r w:rsidR="00037A31">
        <w:rPr>
          <w:rFonts w:cs="Verdana"/>
          <w:szCs w:val="20"/>
          <w:lang w:val="es-CR" w:bidi="en-US"/>
        </w:rPr>
        <w:t xml:space="preserve"> recuerda que</w:t>
      </w:r>
      <w:r>
        <w:rPr>
          <w:rFonts w:cs="Verdana"/>
          <w:szCs w:val="20"/>
          <w:lang w:val="es-CR" w:bidi="en-US"/>
        </w:rPr>
        <w:t xml:space="preserve"> según lo previsto en el artículo 40.2.c. del Reglamento, el escrito de solicitudes y pruebas deberá contener “la individualización de declarantes y el objeto de la declaración. En el caso de los peritos, deberán además remitir su hoja de vida y sus datos de contacto”. En </w:t>
      </w:r>
      <w:r w:rsidR="00037A31">
        <w:rPr>
          <w:rFonts w:cs="Verdana"/>
          <w:szCs w:val="20"/>
          <w:lang w:val="es-CR" w:bidi="en-US"/>
        </w:rPr>
        <w:t>ese sentido,</w:t>
      </w:r>
      <w:r>
        <w:rPr>
          <w:rFonts w:cs="Verdana"/>
          <w:szCs w:val="20"/>
          <w:lang w:val="es-CR" w:bidi="en-US"/>
        </w:rPr>
        <w:t xml:space="preserve"> el momento procesal oportuno para la presentaci</w:t>
      </w:r>
      <w:r w:rsidR="00037A31">
        <w:rPr>
          <w:rFonts w:cs="Verdana"/>
          <w:szCs w:val="20"/>
          <w:lang w:val="es-CR" w:bidi="en-US"/>
        </w:rPr>
        <w:t xml:space="preserve">ón de la prueba pericial, en el caso de los representantes, es en el escrito de solicitudes y argumentos, mismo que deberá contener la </w:t>
      </w:r>
      <w:proofErr w:type="gramStart"/>
      <w:r w:rsidR="00037A31">
        <w:rPr>
          <w:rFonts w:cs="Verdana"/>
          <w:szCs w:val="20"/>
          <w:lang w:val="es-CR" w:bidi="en-US"/>
        </w:rPr>
        <w:t>individualización declarantes</w:t>
      </w:r>
      <w:proofErr w:type="gramEnd"/>
      <w:r w:rsidR="00037A31">
        <w:rPr>
          <w:rFonts w:cs="Verdana"/>
          <w:szCs w:val="20"/>
          <w:lang w:val="es-CR" w:bidi="en-US"/>
        </w:rPr>
        <w:t>, el objeto de su declaración, y en el caso de los peritos, su hoja de vida y sus datos de contacto, salvo excepciones de fuerza mayor o gravedad contempladas en el Reglamento.</w:t>
      </w:r>
    </w:p>
    <w:p w14:paraId="247F68B9" w14:textId="77777777" w:rsidR="00037A31" w:rsidRDefault="00037A31" w:rsidP="002933BD">
      <w:pPr>
        <w:pStyle w:val="Prrafodelista"/>
        <w:rPr>
          <w:rFonts w:cs="Verdana"/>
          <w:szCs w:val="20"/>
          <w:lang w:val="es-CR" w:bidi="en-US"/>
        </w:rPr>
      </w:pPr>
    </w:p>
    <w:p w14:paraId="46E13642" w14:textId="447F6E3C" w:rsidR="00FE6997" w:rsidRDefault="009F2345" w:rsidP="002933BD">
      <w:pPr>
        <w:pStyle w:val="Sangradetextonormal"/>
        <w:numPr>
          <w:ilvl w:val="0"/>
          <w:numId w:val="3"/>
        </w:numPr>
        <w:tabs>
          <w:tab w:val="left" w:pos="0"/>
        </w:tabs>
        <w:spacing w:after="0"/>
        <w:ind w:left="0" w:firstLine="0"/>
        <w:rPr>
          <w:rFonts w:cs="Verdana"/>
          <w:szCs w:val="20"/>
          <w:lang w:val="es-CR" w:bidi="en-US"/>
        </w:rPr>
      </w:pPr>
      <w:r>
        <w:rPr>
          <w:rFonts w:cs="Verdana"/>
          <w:szCs w:val="20"/>
          <w:lang w:val="es-CR" w:bidi="en-US"/>
        </w:rPr>
        <w:t>En segundo lugar</w:t>
      </w:r>
      <w:r w:rsidR="00564154" w:rsidRPr="00FE6997">
        <w:rPr>
          <w:rFonts w:cs="Verdana"/>
          <w:szCs w:val="20"/>
          <w:lang w:val="es-CR" w:bidi="en-US"/>
        </w:rPr>
        <w:t>, e</w:t>
      </w:r>
      <w:r w:rsidR="00037A31" w:rsidRPr="00FE6997">
        <w:rPr>
          <w:rFonts w:cs="Verdana"/>
          <w:szCs w:val="20"/>
          <w:lang w:val="es-CR" w:bidi="en-US"/>
        </w:rPr>
        <w:t xml:space="preserve">l </w:t>
      </w:r>
      <w:proofErr w:type="gramStart"/>
      <w:r w:rsidR="00037A31" w:rsidRPr="00FE6997">
        <w:rPr>
          <w:rFonts w:cs="Verdana"/>
          <w:szCs w:val="20"/>
          <w:lang w:val="es-CR" w:bidi="en-US"/>
        </w:rPr>
        <w:t>Presidente</w:t>
      </w:r>
      <w:proofErr w:type="gramEnd"/>
      <w:r w:rsidR="00037A31" w:rsidRPr="00FE6997">
        <w:rPr>
          <w:rFonts w:cs="Verdana"/>
          <w:szCs w:val="20"/>
          <w:lang w:val="es-CR" w:bidi="en-US"/>
        </w:rPr>
        <w:t xml:space="preserve"> constata que </w:t>
      </w:r>
      <w:r w:rsidR="00687C7F" w:rsidRPr="00FE6997">
        <w:rPr>
          <w:rFonts w:cs="Verdana"/>
          <w:szCs w:val="20"/>
          <w:lang w:val="es-CR" w:bidi="en-US"/>
        </w:rPr>
        <w:t>los representantes informaron, junto con el ofrecimiento del peritaje de Francisco Gutiérrez Sanín, que “la doctora Vilma Liliana Franco, cuyo peritaje fue ofrecido por los representantes en el ESAP, ha manifestado su imposibilidad de realizar su pericia”.</w:t>
      </w:r>
      <w:r w:rsidR="003D76E7">
        <w:rPr>
          <w:rFonts w:cs="Verdana"/>
          <w:szCs w:val="20"/>
          <w:lang w:val="es-CR" w:bidi="en-US"/>
        </w:rPr>
        <w:t xml:space="preserve"> Asimismo, manifestaron, junto al ofrecimiento del peritaje de Alberto Yepes Palacio, que “el señor Ariel E. </w:t>
      </w:r>
      <w:proofErr w:type="spellStart"/>
      <w:r w:rsidR="003D76E7">
        <w:rPr>
          <w:rFonts w:cs="Verdana"/>
          <w:szCs w:val="20"/>
          <w:lang w:val="es-CR" w:bidi="en-US"/>
        </w:rPr>
        <w:t>Dulitzky</w:t>
      </w:r>
      <w:proofErr w:type="spellEnd"/>
      <w:r w:rsidR="003D76E7">
        <w:rPr>
          <w:rFonts w:cs="Verdana"/>
          <w:szCs w:val="20"/>
          <w:lang w:val="es-CR" w:bidi="en-US"/>
        </w:rPr>
        <w:t xml:space="preserve">, quien fue ofrecido por la </w:t>
      </w:r>
      <w:proofErr w:type="spellStart"/>
      <w:r w:rsidR="003D76E7">
        <w:rPr>
          <w:rFonts w:cs="Verdana"/>
          <w:szCs w:val="20"/>
          <w:lang w:val="es-CR" w:bidi="en-US"/>
        </w:rPr>
        <w:t>representanción</w:t>
      </w:r>
      <w:proofErr w:type="spellEnd"/>
      <w:r w:rsidR="003D76E7">
        <w:rPr>
          <w:rFonts w:cs="Verdana"/>
          <w:szCs w:val="20"/>
          <w:lang w:val="es-CR" w:bidi="en-US"/>
        </w:rPr>
        <w:t xml:space="preserve"> para la realización del peritaje sobre persecución, ha manifestado que, por razones de fuerza mayor, ya no cuenta con disponibilidad para hacerlo”.</w:t>
      </w:r>
      <w:r w:rsidR="00687C7F" w:rsidRPr="00FE6997">
        <w:rPr>
          <w:rFonts w:cs="Verdana"/>
          <w:szCs w:val="20"/>
          <w:lang w:val="es-CR" w:bidi="en-US"/>
        </w:rPr>
        <w:t xml:space="preserve"> Al respecto, el </w:t>
      </w:r>
      <w:proofErr w:type="gramStart"/>
      <w:r w:rsidR="00687C7F" w:rsidRPr="00FE6997">
        <w:rPr>
          <w:rFonts w:cs="Verdana"/>
          <w:szCs w:val="20"/>
          <w:lang w:val="es-CR" w:bidi="en-US"/>
        </w:rPr>
        <w:t>Presidente</w:t>
      </w:r>
      <w:proofErr w:type="gramEnd"/>
      <w:r w:rsidR="00687C7F" w:rsidRPr="00FE6997">
        <w:rPr>
          <w:rFonts w:cs="Verdana"/>
          <w:szCs w:val="20"/>
          <w:lang w:val="es-CR" w:bidi="en-US"/>
        </w:rPr>
        <w:t xml:space="preserve"> recuerda que según lo previsto en el artículo 49 del Reglamento, “[e]</w:t>
      </w:r>
      <w:proofErr w:type="spellStart"/>
      <w:r w:rsidR="00687C7F" w:rsidRPr="00FE6997">
        <w:rPr>
          <w:rFonts w:cs="Verdana"/>
          <w:szCs w:val="20"/>
          <w:lang w:val="es-CR" w:bidi="en-US"/>
        </w:rPr>
        <w:t>xcepcionalmente</w:t>
      </w:r>
      <w:proofErr w:type="spellEnd"/>
      <w:r w:rsidR="00687C7F" w:rsidRPr="00FE6997">
        <w:rPr>
          <w:rFonts w:cs="Verdana"/>
          <w:szCs w:val="20"/>
          <w:lang w:val="es-CR" w:bidi="en-US"/>
        </w:rPr>
        <w:t xml:space="preserve">, frente a solicitud fundada y oído el parecer de la contraparte, la Corte podrá aceptar la sustitución de un declarante siempre que se individualice el sustituto y se respete el objeto de la declaración, testimonio o peritaje originalmente ofrecido”. En ese sentido, el </w:t>
      </w:r>
      <w:proofErr w:type="gramStart"/>
      <w:r w:rsidR="00687C7F" w:rsidRPr="00FE6997">
        <w:rPr>
          <w:rFonts w:cs="Verdana"/>
          <w:szCs w:val="20"/>
          <w:lang w:val="es-CR" w:bidi="en-US"/>
        </w:rPr>
        <w:t>Presidente</w:t>
      </w:r>
      <w:proofErr w:type="gramEnd"/>
      <w:r w:rsidR="00687C7F" w:rsidRPr="00FE6997">
        <w:rPr>
          <w:rFonts w:cs="Verdana"/>
          <w:szCs w:val="20"/>
          <w:lang w:val="es-CR" w:bidi="en-US"/>
        </w:rPr>
        <w:t xml:space="preserve"> observa que los representantes no indicaron las razones por las cuales solicit</w:t>
      </w:r>
      <w:r w:rsidR="003D76E7">
        <w:rPr>
          <w:rFonts w:cs="Verdana"/>
          <w:szCs w:val="20"/>
          <w:lang w:val="es-CR" w:bidi="en-US"/>
        </w:rPr>
        <w:t xml:space="preserve">aron la sustitución de la señora Franco ni del señor </w:t>
      </w:r>
      <w:proofErr w:type="spellStart"/>
      <w:r w:rsidR="003D76E7">
        <w:rPr>
          <w:rFonts w:cs="Verdana"/>
          <w:szCs w:val="20"/>
          <w:lang w:val="es-CR" w:bidi="en-US"/>
        </w:rPr>
        <w:t>Dulitzky</w:t>
      </w:r>
      <w:proofErr w:type="spellEnd"/>
      <w:r w:rsidR="00687C7F" w:rsidRPr="00FE6997">
        <w:rPr>
          <w:rFonts w:cs="Verdana"/>
          <w:szCs w:val="20"/>
          <w:lang w:val="es-CR" w:bidi="en-US"/>
        </w:rPr>
        <w:t xml:space="preserve">, por lo que </w:t>
      </w:r>
      <w:r w:rsidR="00564154" w:rsidRPr="00FE6997">
        <w:rPr>
          <w:rFonts w:cs="Verdana"/>
          <w:szCs w:val="20"/>
          <w:lang w:val="es-CR" w:bidi="en-US"/>
        </w:rPr>
        <w:t>el Presidente advierte</w:t>
      </w:r>
      <w:r w:rsidR="00687C7F" w:rsidRPr="00FE6997">
        <w:rPr>
          <w:rFonts w:cs="Verdana"/>
          <w:szCs w:val="20"/>
          <w:lang w:val="es-CR" w:bidi="en-US"/>
        </w:rPr>
        <w:t xml:space="preserve"> la ausencia de debida motivación que permita valorar la necesidad de la </w:t>
      </w:r>
      <w:r w:rsidR="004733A2" w:rsidRPr="00FE6997">
        <w:rPr>
          <w:rFonts w:cs="Verdana"/>
          <w:szCs w:val="20"/>
          <w:lang w:val="es-CR" w:bidi="en-US"/>
        </w:rPr>
        <w:t xml:space="preserve">situación “excepcional” que justifique la </w:t>
      </w:r>
      <w:r w:rsidR="00687C7F" w:rsidRPr="00FE6997">
        <w:rPr>
          <w:rFonts w:cs="Verdana"/>
          <w:szCs w:val="20"/>
          <w:lang w:val="es-CR" w:bidi="en-US"/>
        </w:rPr>
        <w:t>sustitución</w:t>
      </w:r>
      <w:r w:rsidR="004733A2" w:rsidRPr="00FE6997">
        <w:rPr>
          <w:rFonts w:cs="Verdana"/>
          <w:szCs w:val="20"/>
          <w:lang w:val="es-CR" w:bidi="en-US"/>
        </w:rPr>
        <w:t xml:space="preserve"> de la perito</w:t>
      </w:r>
      <w:r w:rsidR="00687C7F" w:rsidRPr="00FE6997">
        <w:rPr>
          <w:rFonts w:cs="Verdana"/>
          <w:szCs w:val="20"/>
          <w:lang w:val="es-CR" w:bidi="en-US"/>
        </w:rPr>
        <w:t>.</w:t>
      </w:r>
    </w:p>
    <w:p w14:paraId="1BA3F606" w14:textId="77777777" w:rsidR="009F2345" w:rsidRDefault="009F2345" w:rsidP="009F2345">
      <w:pPr>
        <w:pStyle w:val="Sangradetextonormal"/>
        <w:tabs>
          <w:tab w:val="left" w:pos="0"/>
        </w:tabs>
        <w:spacing w:after="0"/>
        <w:ind w:left="0"/>
        <w:rPr>
          <w:rFonts w:cs="Verdana"/>
          <w:szCs w:val="20"/>
          <w:lang w:val="es-CR" w:bidi="en-US"/>
        </w:rPr>
      </w:pPr>
    </w:p>
    <w:p w14:paraId="67B4BC2D" w14:textId="2810F00F" w:rsidR="009F2345" w:rsidRDefault="009F2345" w:rsidP="002933BD">
      <w:pPr>
        <w:pStyle w:val="Sangradetextonormal"/>
        <w:numPr>
          <w:ilvl w:val="0"/>
          <w:numId w:val="3"/>
        </w:numPr>
        <w:tabs>
          <w:tab w:val="left" w:pos="0"/>
        </w:tabs>
        <w:spacing w:after="0"/>
        <w:ind w:left="0" w:firstLine="0"/>
        <w:rPr>
          <w:rFonts w:cs="Verdana"/>
          <w:szCs w:val="20"/>
          <w:lang w:val="es-CR" w:bidi="en-US"/>
        </w:rPr>
      </w:pPr>
      <w:r>
        <w:rPr>
          <w:rFonts w:cs="Verdana"/>
          <w:szCs w:val="20"/>
          <w:lang w:val="es-CR" w:bidi="en-US"/>
        </w:rPr>
        <w:t xml:space="preserve">En tercer lugar, el </w:t>
      </w:r>
      <w:proofErr w:type="gramStart"/>
      <w:r>
        <w:rPr>
          <w:rFonts w:cs="Verdana"/>
          <w:szCs w:val="20"/>
          <w:lang w:val="es-CR" w:bidi="en-US"/>
        </w:rPr>
        <w:t>Presidente</w:t>
      </w:r>
      <w:proofErr w:type="gramEnd"/>
      <w:r>
        <w:rPr>
          <w:rFonts w:cs="Verdana"/>
          <w:szCs w:val="20"/>
          <w:lang w:val="es-CR" w:bidi="en-US"/>
        </w:rPr>
        <w:t xml:space="preserve"> advierte que los representantes ofrecieron el peritaje del </w:t>
      </w:r>
      <w:r w:rsidRPr="00A47DAE">
        <w:rPr>
          <w:rFonts w:cs="Verdana"/>
          <w:szCs w:val="20"/>
          <w:lang w:val="es-CR" w:bidi="en-US"/>
        </w:rPr>
        <w:t>Instituto de Estudios Socio-Históricos Fray Alonso de Zamora</w:t>
      </w:r>
      <w:r>
        <w:rPr>
          <w:rFonts w:cs="Verdana"/>
          <w:szCs w:val="20"/>
          <w:lang w:val="es-CR" w:bidi="en-US"/>
        </w:rPr>
        <w:t xml:space="preserve">, y adjuntaron a su escrito de solicitudes una carta de presentación de dicho Instituto. Al respecto, el Tribunal </w:t>
      </w:r>
      <w:r w:rsidR="002C7F79">
        <w:rPr>
          <w:rFonts w:cs="Verdana"/>
          <w:szCs w:val="20"/>
          <w:lang w:val="es-CR" w:bidi="en-US"/>
        </w:rPr>
        <w:t xml:space="preserve">considera que la mencionada carta de presentación no constituye una hoja de vida en términos del artículo 40.2.c. del reglamento. Adicionalmente, esta Presidencia considera que </w:t>
      </w:r>
      <w:r w:rsidR="004125AB">
        <w:rPr>
          <w:rFonts w:cs="Verdana"/>
          <w:szCs w:val="20"/>
          <w:lang w:val="es-CR" w:bidi="en-US"/>
        </w:rPr>
        <w:t>cuando una de las partes ofrece un peritaje, éste debe ser</w:t>
      </w:r>
      <w:r w:rsidR="00C541FC">
        <w:rPr>
          <w:rFonts w:cs="Verdana"/>
          <w:szCs w:val="20"/>
          <w:lang w:val="es-CR" w:bidi="en-US"/>
        </w:rPr>
        <w:t xml:space="preserve"> rendido por</w:t>
      </w:r>
      <w:r w:rsidR="004125AB">
        <w:rPr>
          <w:rFonts w:cs="Verdana"/>
          <w:szCs w:val="20"/>
          <w:lang w:val="es-CR" w:bidi="en-US"/>
        </w:rPr>
        <w:t xml:space="preserve"> una persona física determinada, cuyos conocimientos y experticia sea posible verificar. La ausencia de remisión de una hoja de vida, y la falta de determinación de la persona que realizará el peritaje no permiten su admisión.</w:t>
      </w:r>
      <w:r w:rsidR="002C7F79">
        <w:rPr>
          <w:rFonts w:cs="Verdana"/>
          <w:szCs w:val="20"/>
          <w:lang w:val="es-CR" w:bidi="en-US"/>
        </w:rPr>
        <w:t xml:space="preserve"> </w:t>
      </w:r>
    </w:p>
    <w:p w14:paraId="0F3B8F48" w14:textId="77777777" w:rsidR="003D76E7" w:rsidRPr="003D76E7" w:rsidRDefault="003D76E7" w:rsidP="002933BD">
      <w:pPr>
        <w:pStyle w:val="Sangradetextonormal"/>
        <w:tabs>
          <w:tab w:val="left" w:pos="0"/>
        </w:tabs>
        <w:spacing w:after="0"/>
        <w:ind w:left="0"/>
        <w:rPr>
          <w:rFonts w:cs="Verdana"/>
          <w:szCs w:val="20"/>
          <w:lang w:val="es-CR" w:bidi="en-US"/>
        </w:rPr>
      </w:pPr>
    </w:p>
    <w:p w14:paraId="7AF46551" w14:textId="3F7B7061" w:rsidR="003D76E7" w:rsidRDefault="003D76E7" w:rsidP="002933BD">
      <w:pPr>
        <w:pStyle w:val="Sangradetextonormal"/>
        <w:numPr>
          <w:ilvl w:val="0"/>
          <w:numId w:val="3"/>
        </w:numPr>
        <w:tabs>
          <w:tab w:val="left" w:pos="0"/>
        </w:tabs>
        <w:spacing w:after="0"/>
        <w:ind w:left="0" w:firstLine="0"/>
        <w:rPr>
          <w:rFonts w:cs="Verdana"/>
          <w:szCs w:val="20"/>
          <w:lang w:val="es-CR" w:bidi="en-US"/>
        </w:rPr>
      </w:pPr>
      <w:r w:rsidRPr="00FE6997">
        <w:rPr>
          <w:rFonts w:cs="Verdana"/>
          <w:szCs w:val="20"/>
          <w:lang w:val="es-CR" w:bidi="en-US"/>
        </w:rPr>
        <w:lastRenderedPageBreak/>
        <w:t xml:space="preserve">En virtud de lo anterior, el </w:t>
      </w:r>
      <w:proofErr w:type="gramStart"/>
      <w:r w:rsidRPr="00FE6997">
        <w:rPr>
          <w:rFonts w:cs="Verdana"/>
          <w:szCs w:val="20"/>
          <w:lang w:val="es-CR" w:bidi="en-US"/>
        </w:rPr>
        <w:t>Presidente</w:t>
      </w:r>
      <w:proofErr w:type="gramEnd"/>
      <w:r w:rsidRPr="00FE6997">
        <w:rPr>
          <w:rFonts w:cs="Verdana"/>
          <w:szCs w:val="20"/>
          <w:lang w:val="es-CR" w:bidi="en-US"/>
        </w:rPr>
        <w:t xml:space="preserve"> rechaza el ofrecimiento de los peritaje</w:t>
      </w:r>
      <w:r>
        <w:rPr>
          <w:rFonts w:cs="Verdana"/>
          <w:szCs w:val="20"/>
          <w:lang w:val="es-CR" w:bidi="en-US"/>
        </w:rPr>
        <w:t xml:space="preserve">s de </w:t>
      </w:r>
      <w:r w:rsidR="00013DE3" w:rsidRPr="00FE6997">
        <w:rPr>
          <w:rFonts w:cs="Verdana"/>
          <w:szCs w:val="20"/>
          <w:lang w:val="es-CR" w:bidi="en-US"/>
        </w:rPr>
        <w:t>Alberto Yepes Palacio</w:t>
      </w:r>
      <w:r w:rsidR="00013DE3">
        <w:rPr>
          <w:rFonts w:cs="Verdana"/>
          <w:szCs w:val="20"/>
          <w:lang w:val="es-CR" w:bidi="en-US"/>
        </w:rPr>
        <w:t xml:space="preserve">, </w:t>
      </w:r>
      <w:r>
        <w:rPr>
          <w:rFonts w:cs="Verdana"/>
          <w:szCs w:val="20"/>
          <w:lang w:val="es-CR" w:bidi="en-US"/>
        </w:rPr>
        <w:t>Francisco Gutiérrez Sanín</w:t>
      </w:r>
      <w:r w:rsidR="004125AB">
        <w:rPr>
          <w:rFonts w:cs="Verdana"/>
          <w:szCs w:val="20"/>
          <w:lang w:val="es-CR" w:bidi="en-US"/>
        </w:rPr>
        <w:t>,</w:t>
      </w:r>
      <w:r w:rsidR="00013DE3">
        <w:rPr>
          <w:rFonts w:cs="Verdana"/>
          <w:szCs w:val="20"/>
          <w:lang w:val="es-CR" w:bidi="en-US"/>
        </w:rPr>
        <w:t xml:space="preserve"> </w:t>
      </w:r>
      <w:r w:rsidRPr="00FE6997">
        <w:rPr>
          <w:rFonts w:cs="Verdana"/>
          <w:szCs w:val="20"/>
          <w:lang w:val="es-CR" w:bidi="en-US"/>
        </w:rPr>
        <w:t>Julio César Ortiz y Olga Lucía Durán</w:t>
      </w:r>
      <w:r w:rsidR="004125AB">
        <w:rPr>
          <w:rFonts w:cs="Verdana"/>
          <w:szCs w:val="20"/>
          <w:lang w:val="es-CR" w:bidi="en-US"/>
        </w:rPr>
        <w:t xml:space="preserve">, y del </w:t>
      </w:r>
      <w:r w:rsidR="004125AB" w:rsidRPr="00A47DAE">
        <w:rPr>
          <w:rFonts w:cs="Verdana"/>
          <w:szCs w:val="20"/>
          <w:lang w:val="es-CR" w:bidi="en-US"/>
        </w:rPr>
        <w:t>Instituto de Estudios Socio-Históricos Fray Alonso de Zamora</w:t>
      </w:r>
      <w:r w:rsidR="00013DE3">
        <w:rPr>
          <w:rFonts w:cs="Verdana"/>
          <w:szCs w:val="20"/>
          <w:lang w:val="es-CR" w:bidi="en-US"/>
        </w:rPr>
        <w:t>.</w:t>
      </w:r>
    </w:p>
    <w:p w14:paraId="0CDFBC0E" w14:textId="77777777" w:rsidR="00C77A1B" w:rsidRDefault="00C77A1B" w:rsidP="002933BD">
      <w:pPr>
        <w:pStyle w:val="Sangradetextonormal"/>
        <w:tabs>
          <w:tab w:val="left" w:pos="0"/>
        </w:tabs>
        <w:spacing w:after="0"/>
        <w:ind w:left="0"/>
        <w:rPr>
          <w:rFonts w:cs="Verdana"/>
          <w:szCs w:val="20"/>
          <w:lang w:bidi="en-US"/>
        </w:rPr>
      </w:pPr>
    </w:p>
    <w:p w14:paraId="7E3E20A7" w14:textId="77777777" w:rsidR="004733A2" w:rsidRPr="009A4354" w:rsidRDefault="004733A2" w:rsidP="002933BD">
      <w:pPr>
        <w:pStyle w:val="ListParagraph1"/>
        <w:numPr>
          <w:ilvl w:val="0"/>
          <w:numId w:val="2"/>
        </w:numPr>
        <w:ind w:right="11"/>
        <w:jc w:val="both"/>
        <w:rPr>
          <w:rFonts w:ascii="Verdana" w:hAnsi="Verdana"/>
          <w:b/>
          <w:i/>
          <w:sz w:val="20"/>
          <w:szCs w:val="20"/>
          <w:lang w:val="es-CR"/>
        </w:rPr>
      </w:pPr>
      <w:r w:rsidRPr="009A4354">
        <w:rPr>
          <w:rFonts w:ascii="Verdana" w:hAnsi="Verdana"/>
          <w:b/>
          <w:i/>
          <w:sz w:val="20"/>
          <w:szCs w:val="20"/>
          <w:lang w:val="es-CR"/>
        </w:rPr>
        <w:t>Admisibilidad de las declaraciones testimoniales</w:t>
      </w:r>
      <w:r>
        <w:rPr>
          <w:rFonts w:ascii="Verdana" w:hAnsi="Verdana"/>
          <w:b/>
          <w:i/>
          <w:sz w:val="20"/>
          <w:szCs w:val="20"/>
          <w:lang w:val="es-CR"/>
        </w:rPr>
        <w:t xml:space="preserve"> y periciales</w:t>
      </w:r>
      <w:r w:rsidRPr="009A4354">
        <w:rPr>
          <w:rFonts w:ascii="Verdana" w:hAnsi="Verdana"/>
          <w:b/>
          <w:i/>
          <w:sz w:val="20"/>
          <w:szCs w:val="20"/>
          <w:lang w:val="es-CR"/>
        </w:rPr>
        <w:t xml:space="preserve"> </w:t>
      </w:r>
      <w:r>
        <w:rPr>
          <w:rFonts w:ascii="Verdana" w:hAnsi="Verdana"/>
          <w:b/>
          <w:i/>
          <w:sz w:val="20"/>
          <w:szCs w:val="20"/>
          <w:lang w:val="es-CR"/>
        </w:rPr>
        <w:t>ofrecida</w:t>
      </w:r>
      <w:r w:rsidRPr="009A4354">
        <w:rPr>
          <w:rFonts w:ascii="Verdana" w:hAnsi="Verdana"/>
          <w:b/>
          <w:i/>
          <w:sz w:val="20"/>
          <w:szCs w:val="20"/>
          <w:lang w:val="es-CR"/>
        </w:rPr>
        <w:t xml:space="preserve">s por </w:t>
      </w:r>
      <w:r w:rsidR="00553BFE">
        <w:rPr>
          <w:rFonts w:ascii="Verdana" w:hAnsi="Verdana"/>
          <w:b/>
          <w:i/>
          <w:sz w:val="20"/>
          <w:szCs w:val="20"/>
          <w:lang w:val="es-CR"/>
        </w:rPr>
        <w:t>el Estado</w:t>
      </w:r>
    </w:p>
    <w:p w14:paraId="30779005" w14:textId="77777777" w:rsidR="004733A2" w:rsidRDefault="004733A2" w:rsidP="002933BD">
      <w:pPr>
        <w:pStyle w:val="Sangradetextonormal"/>
        <w:tabs>
          <w:tab w:val="left" w:pos="0"/>
        </w:tabs>
        <w:spacing w:after="0"/>
        <w:ind w:left="0"/>
        <w:rPr>
          <w:rFonts w:cs="Verdana"/>
          <w:szCs w:val="20"/>
          <w:lang w:bidi="en-US"/>
        </w:rPr>
      </w:pPr>
    </w:p>
    <w:p w14:paraId="75DCD246" w14:textId="77777777" w:rsidR="00553BFE" w:rsidRPr="009A4354" w:rsidRDefault="003D76E7" w:rsidP="002933BD">
      <w:pPr>
        <w:pStyle w:val="Sangradetextonormal"/>
        <w:tabs>
          <w:tab w:val="left" w:pos="0"/>
        </w:tabs>
        <w:spacing w:after="0"/>
        <w:ind w:left="0"/>
        <w:rPr>
          <w:rFonts w:cs="Verdana"/>
          <w:i/>
          <w:szCs w:val="20"/>
          <w:lang w:bidi="en-US"/>
        </w:rPr>
      </w:pPr>
      <w:r>
        <w:rPr>
          <w:rFonts w:cs="Verdana"/>
          <w:i/>
          <w:szCs w:val="20"/>
          <w:lang w:bidi="en-US"/>
        </w:rPr>
        <w:t>C</w:t>
      </w:r>
      <w:r w:rsidR="00553BFE" w:rsidRPr="009A4354">
        <w:rPr>
          <w:rFonts w:cs="Verdana"/>
          <w:i/>
          <w:szCs w:val="20"/>
          <w:lang w:bidi="en-US"/>
        </w:rPr>
        <w:t xml:space="preserve">.1) Objeciones </w:t>
      </w:r>
      <w:r w:rsidR="00553BFE">
        <w:rPr>
          <w:rFonts w:cs="Verdana"/>
          <w:i/>
          <w:szCs w:val="20"/>
          <w:lang w:bidi="en-US"/>
        </w:rPr>
        <w:t>de los representantes</w:t>
      </w:r>
      <w:r w:rsidR="00553BFE" w:rsidRPr="009A4354">
        <w:rPr>
          <w:rFonts w:cs="Verdana"/>
          <w:i/>
          <w:szCs w:val="20"/>
          <w:lang w:bidi="en-US"/>
        </w:rPr>
        <w:t xml:space="preserve"> respecto de las declaraciones testimoniales ofrecidas por </w:t>
      </w:r>
      <w:r w:rsidR="00553BFE">
        <w:rPr>
          <w:rFonts w:cs="Verdana"/>
          <w:i/>
          <w:szCs w:val="20"/>
          <w:lang w:bidi="en-US"/>
        </w:rPr>
        <w:t>el Estado</w:t>
      </w:r>
    </w:p>
    <w:p w14:paraId="337BCC0E" w14:textId="77777777" w:rsidR="00553BFE" w:rsidRPr="00C77A1B" w:rsidRDefault="00553BFE" w:rsidP="002933BD">
      <w:pPr>
        <w:pStyle w:val="Sangradetextonormal"/>
        <w:tabs>
          <w:tab w:val="left" w:pos="0"/>
        </w:tabs>
        <w:spacing w:after="0"/>
        <w:ind w:left="0"/>
        <w:rPr>
          <w:rFonts w:cs="Verdana"/>
          <w:szCs w:val="20"/>
          <w:lang w:bidi="en-US"/>
        </w:rPr>
      </w:pPr>
    </w:p>
    <w:p w14:paraId="2F4FFC0B" w14:textId="52268C79" w:rsidR="00553BFE" w:rsidRPr="003C510D" w:rsidRDefault="00DF2489" w:rsidP="002933BD">
      <w:pPr>
        <w:pStyle w:val="Sangradetextonormal"/>
        <w:numPr>
          <w:ilvl w:val="0"/>
          <w:numId w:val="3"/>
        </w:numPr>
        <w:tabs>
          <w:tab w:val="left" w:pos="0"/>
        </w:tabs>
        <w:spacing w:after="0"/>
        <w:ind w:left="0" w:firstLine="0"/>
        <w:rPr>
          <w:rFonts w:cs="Verdana"/>
          <w:szCs w:val="20"/>
          <w:lang w:val="es-CR" w:bidi="en-US"/>
        </w:rPr>
      </w:pPr>
      <w:r w:rsidRPr="009A4354">
        <w:rPr>
          <w:rFonts w:cs="Verdana"/>
          <w:szCs w:val="20"/>
          <w:lang w:bidi="en-US"/>
        </w:rPr>
        <w:t xml:space="preserve">El </w:t>
      </w:r>
      <w:r w:rsidRPr="009A4354">
        <w:rPr>
          <w:rFonts w:cs="Verdana"/>
          <w:b/>
          <w:i/>
          <w:szCs w:val="20"/>
          <w:lang w:bidi="en-US"/>
        </w:rPr>
        <w:t>Estado</w:t>
      </w:r>
      <w:r w:rsidR="00553BFE">
        <w:rPr>
          <w:rFonts w:cs="Verdana"/>
          <w:szCs w:val="20"/>
          <w:lang w:bidi="en-US"/>
        </w:rPr>
        <w:t xml:space="preserve"> ofreció en su escrito de contestación la declaración testimonial de Edgardo José Maya Villa</w:t>
      </w:r>
      <w:r w:rsidR="00227CAB">
        <w:rPr>
          <w:rFonts w:cs="Verdana"/>
          <w:szCs w:val="20"/>
          <w:lang w:bidi="en-US"/>
        </w:rPr>
        <w:t>z</w:t>
      </w:r>
      <w:r w:rsidR="00C619B4">
        <w:rPr>
          <w:rFonts w:cs="Verdana"/>
          <w:szCs w:val="20"/>
          <w:lang w:bidi="en-US"/>
        </w:rPr>
        <w:t>ó</w:t>
      </w:r>
      <w:r w:rsidR="00553BFE">
        <w:rPr>
          <w:rFonts w:cs="Verdana"/>
          <w:szCs w:val="20"/>
          <w:lang w:bidi="en-US"/>
        </w:rPr>
        <w:t>n</w:t>
      </w:r>
      <w:r w:rsidR="00553BFE">
        <w:rPr>
          <w:rStyle w:val="Refdenotaalpie"/>
          <w:rFonts w:cs="Verdana"/>
          <w:szCs w:val="20"/>
          <w:lang w:bidi="en-US"/>
        </w:rPr>
        <w:footnoteReference w:id="14"/>
      </w:r>
      <w:r w:rsidR="00553BFE">
        <w:rPr>
          <w:rFonts w:cs="Verdana"/>
          <w:szCs w:val="20"/>
          <w:lang w:bidi="en-US"/>
        </w:rPr>
        <w:t xml:space="preserve"> y de Jaime Bernal Cuellar</w:t>
      </w:r>
      <w:r w:rsidR="00553BFE">
        <w:rPr>
          <w:rStyle w:val="Refdenotaalpie"/>
          <w:rFonts w:cs="Verdana"/>
          <w:szCs w:val="20"/>
          <w:lang w:bidi="en-US"/>
        </w:rPr>
        <w:footnoteReference w:id="15"/>
      </w:r>
      <w:r w:rsidR="00553BFE">
        <w:rPr>
          <w:rFonts w:cs="Verdana"/>
          <w:szCs w:val="20"/>
          <w:lang w:bidi="en-US"/>
        </w:rPr>
        <w:t>. En su lista definitiva, el Estado solicitó que la declaración del señor Maya Villa</w:t>
      </w:r>
      <w:r w:rsidR="00227CAB">
        <w:rPr>
          <w:rFonts w:cs="Verdana"/>
          <w:szCs w:val="20"/>
          <w:lang w:bidi="en-US"/>
        </w:rPr>
        <w:t>z</w:t>
      </w:r>
      <w:r w:rsidR="00C619B4">
        <w:rPr>
          <w:rFonts w:cs="Verdana"/>
          <w:szCs w:val="20"/>
          <w:lang w:bidi="en-US"/>
        </w:rPr>
        <w:t>ó</w:t>
      </w:r>
      <w:r w:rsidR="00553BFE">
        <w:rPr>
          <w:rFonts w:cs="Verdana"/>
          <w:szCs w:val="20"/>
          <w:lang w:bidi="en-US"/>
        </w:rPr>
        <w:t xml:space="preserve">n sea rendida en audiencia pública, y la declaración del señor </w:t>
      </w:r>
      <w:r w:rsidR="00A95979">
        <w:rPr>
          <w:rFonts w:cs="Verdana"/>
          <w:szCs w:val="20"/>
          <w:lang w:bidi="en-US"/>
        </w:rPr>
        <w:t>Bernal Cuellar</w:t>
      </w:r>
      <w:r w:rsidR="00553BFE">
        <w:rPr>
          <w:rFonts w:cs="Verdana"/>
          <w:szCs w:val="20"/>
          <w:lang w:bidi="en-US"/>
        </w:rPr>
        <w:t xml:space="preserve"> sea rendida ante fedatario público. </w:t>
      </w:r>
      <w:r w:rsidR="003C510D">
        <w:rPr>
          <w:rFonts w:cs="Verdana"/>
          <w:szCs w:val="20"/>
          <w:lang w:bidi="en-US"/>
        </w:rPr>
        <w:t xml:space="preserve">Los </w:t>
      </w:r>
      <w:r w:rsidR="003C510D">
        <w:rPr>
          <w:rFonts w:cs="Verdana"/>
          <w:b/>
          <w:i/>
          <w:szCs w:val="20"/>
          <w:lang w:bidi="en-US"/>
        </w:rPr>
        <w:t xml:space="preserve">representantes </w:t>
      </w:r>
      <w:r w:rsidR="003C510D">
        <w:rPr>
          <w:rFonts w:cs="Verdana"/>
          <w:szCs w:val="20"/>
          <w:lang w:bidi="en-US"/>
        </w:rPr>
        <w:t xml:space="preserve">alegaron que </w:t>
      </w:r>
      <w:proofErr w:type="gramStart"/>
      <w:r w:rsidR="003C510D">
        <w:rPr>
          <w:rFonts w:cs="Verdana"/>
          <w:szCs w:val="20"/>
          <w:lang w:bidi="en-US"/>
        </w:rPr>
        <w:t>el objeto de las declaraciones ofrecidas por el Estado desbordan</w:t>
      </w:r>
      <w:proofErr w:type="gramEnd"/>
      <w:r w:rsidR="003C510D">
        <w:rPr>
          <w:rFonts w:cs="Verdana"/>
          <w:szCs w:val="20"/>
          <w:lang w:bidi="en-US"/>
        </w:rPr>
        <w:t xml:space="preserve"> el objeto de un testimonio, pues presentan un concepto sobre un tema jurídico. En ese sentido, alegaron que la naturaleza de una declaración testimonial reside en la capacidad de un sujeto de declarar sobre hechos o circunstancias que le consten, situación que no ocurre en el caso. </w:t>
      </w:r>
      <w:r w:rsidR="003C510D" w:rsidRPr="004733A2">
        <w:rPr>
          <w:rFonts w:cs="Verdana"/>
          <w:szCs w:val="20"/>
          <w:lang w:bidi="en-US"/>
        </w:rPr>
        <w:t xml:space="preserve">La </w:t>
      </w:r>
      <w:r w:rsidR="003C510D" w:rsidRPr="004733A2">
        <w:rPr>
          <w:rFonts w:cs="Verdana"/>
          <w:b/>
          <w:i/>
          <w:szCs w:val="20"/>
          <w:lang w:bidi="en-US"/>
        </w:rPr>
        <w:t xml:space="preserve">Comisión </w:t>
      </w:r>
      <w:r w:rsidR="003C510D" w:rsidRPr="004733A2">
        <w:rPr>
          <w:rFonts w:cs="Verdana"/>
          <w:szCs w:val="20"/>
          <w:lang w:bidi="en-US"/>
        </w:rPr>
        <w:t>informó que no tiene observaciones a formular respecto a las listas definitivas presentadas por las partes.</w:t>
      </w:r>
    </w:p>
    <w:p w14:paraId="2A850C5C" w14:textId="77777777" w:rsidR="003C510D" w:rsidRPr="003C510D" w:rsidRDefault="003C510D" w:rsidP="002933BD">
      <w:pPr>
        <w:pStyle w:val="Sangradetextonormal"/>
        <w:tabs>
          <w:tab w:val="left" w:pos="0"/>
        </w:tabs>
        <w:spacing w:after="0"/>
        <w:ind w:left="0"/>
        <w:rPr>
          <w:rFonts w:cs="Verdana"/>
          <w:szCs w:val="20"/>
          <w:lang w:val="es-CR" w:bidi="en-US"/>
        </w:rPr>
      </w:pPr>
    </w:p>
    <w:p w14:paraId="4D380182" w14:textId="5EE7B463" w:rsidR="003D76E7" w:rsidRDefault="003C510D" w:rsidP="002933BD">
      <w:pPr>
        <w:pStyle w:val="Sangradetextonormal"/>
        <w:numPr>
          <w:ilvl w:val="0"/>
          <w:numId w:val="3"/>
        </w:numPr>
        <w:tabs>
          <w:tab w:val="left" w:pos="0"/>
        </w:tabs>
        <w:spacing w:after="0"/>
        <w:ind w:left="0" w:firstLine="0"/>
        <w:rPr>
          <w:rFonts w:cs="Verdana"/>
          <w:szCs w:val="20"/>
          <w:lang w:val="es-CR" w:bidi="en-US"/>
        </w:rPr>
      </w:pPr>
      <w:r>
        <w:rPr>
          <w:rFonts w:cs="Verdana"/>
          <w:szCs w:val="20"/>
          <w:lang w:val="es-CR" w:bidi="en-US"/>
        </w:rPr>
        <w:t>Al respecto, esta Presidencia constata que los objetos de las de</w:t>
      </w:r>
      <w:r w:rsidR="006838A5">
        <w:rPr>
          <w:rFonts w:cs="Verdana"/>
          <w:szCs w:val="20"/>
          <w:lang w:val="es-CR" w:bidi="en-US"/>
        </w:rPr>
        <w:t>claraciones de José Maya Villazón</w:t>
      </w:r>
      <w:r>
        <w:rPr>
          <w:rFonts w:cs="Verdana"/>
          <w:szCs w:val="20"/>
          <w:lang w:val="es-CR" w:bidi="en-US"/>
        </w:rPr>
        <w:t xml:space="preserve"> y Jaime Bernal Cuellar estarían relacionadas con elementos más generales de los instrumentos legales y la estructura institucional del Estado para el control del ejercicio de la función pública, los cuales se vinculan en mayor medida a aspectos relacionados con su trayectoria profesional y conocimientos adquiridos, y no a hechos o circunstancias que le consten en relación con el presente caso, por lo que no revisten la naturaleza de una declaración testimonial. Sin embargo, esta Presidencia estima que dichas declaraciones podrían ser útiles y pertinentes, en atención a los hechos que las pa</w:t>
      </w:r>
      <w:r w:rsidR="006838A5">
        <w:rPr>
          <w:rFonts w:cs="Verdana"/>
          <w:szCs w:val="20"/>
          <w:lang w:val="es-CR" w:bidi="en-US"/>
        </w:rPr>
        <w:t>rtes alegan y pretenden probar, así como el objeto central de la controversia que será analizada por el Tribunal.</w:t>
      </w:r>
    </w:p>
    <w:p w14:paraId="789EBB21" w14:textId="77777777" w:rsidR="003D76E7" w:rsidRDefault="003D76E7" w:rsidP="002933BD">
      <w:pPr>
        <w:pStyle w:val="Prrafodelista"/>
        <w:rPr>
          <w:rFonts w:cs="Verdana"/>
          <w:szCs w:val="20"/>
          <w:lang w:val="es-CR" w:bidi="en-US"/>
        </w:rPr>
      </w:pPr>
    </w:p>
    <w:p w14:paraId="7C7DD832" w14:textId="727FDAED" w:rsidR="003C510D" w:rsidRDefault="003C510D" w:rsidP="002933BD">
      <w:pPr>
        <w:pStyle w:val="Sangradetextonormal"/>
        <w:numPr>
          <w:ilvl w:val="0"/>
          <w:numId w:val="3"/>
        </w:numPr>
        <w:tabs>
          <w:tab w:val="left" w:pos="0"/>
        </w:tabs>
        <w:spacing w:after="0"/>
        <w:ind w:left="0" w:firstLine="0"/>
        <w:rPr>
          <w:rFonts w:cs="Verdana"/>
          <w:szCs w:val="20"/>
          <w:lang w:val="es-CR" w:bidi="en-US"/>
        </w:rPr>
      </w:pPr>
      <w:r>
        <w:rPr>
          <w:rFonts w:cs="Verdana"/>
          <w:szCs w:val="20"/>
          <w:lang w:val="es-CR" w:bidi="en-US"/>
        </w:rPr>
        <w:t xml:space="preserve">En consecuencia, el </w:t>
      </w:r>
      <w:proofErr w:type="gramStart"/>
      <w:r>
        <w:rPr>
          <w:rFonts w:cs="Verdana"/>
          <w:szCs w:val="20"/>
          <w:lang w:val="es-CR" w:bidi="en-US"/>
        </w:rPr>
        <w:t>Presidente</w:t>
      </w:r>
      <w:proofErr w:type="gramEnd"/>
      <w:r>
        <w:rPr>
          <w:rFonts w:cs="Verdana"/>
          <w:szCs w:val="20"/>
          <w:lang w:val="es-CR" w:bidi="en-US"/>
        </w:rPr>
        <w:t xml:space="preserve"> considera pertinente recibir las declaraciones de los señores Maya Villa</w:t>
      </w:r>
      <w:r w:rsidR="00C619B4">
        <w:rPr>
          <w:rFonts w:cs="Verdana"/>
          <w:szCs w:val="20"/>
          <w:lang w:val="es-CR" w:bidi="en-US"/>
        </w:rPr>
        <w:t>zó</w:t>
      </w:r>
      <w:r w:rsidR="006838A5">
        <w:rPr>
          <w:rFonts w:cs="Verdana"/>
          <w:szCs w:val="20"/>
          <w:lang w:val="es-CR" w:bidi="en-US"/>
        </w:rPr>
        <w:t>n y Bernal Cuellar</w:t>
      </w:r>
      <w:r>
        <w:rPr>
          <w:rFonts w:cs="Verdana"/>
          <w:szCs w:val="20"/>
          <w:lang w:val="es-CR" w:bidi="en-US"/>
        </w:rPr>
        <w:t xml:space="preserve"> </w:t>
      </w:r>
      <w:r w:rsidRPr="006838A5">
        <w:rPr>
          <w:rFonts w:cs="Verdana"/>
          <w:szCs w:val="20"/>
          <w:lang w:val="es-CR" w:bidi="en-US"/>
        </w:rPr>
        <w:t>como declarantes a título informativo.</w:t>
      </w:r>
      <w:r>
        <w:rPr>
          <w:rFonts w:cs="Verdana"/>
          <w:szCs w:val="20"/>
          <w:lang w:val="es-CR" w:bidi="en-US"/>
        </w:rPr>
        <w:t xml:space="preserve"> El objeto y la modalidad se determina en la parte resolutiva de la presente Resolución </w:t>
      </w:r>
      <w:r>
        <w:t>(</w:t>
      </w:r>
      <w:r w:rsidRPr="002933BD">
        <w:rPr>
          <w:i/>
        </w:rPr>
        <w:t>infra</w:t>
      </w:r>
      <w:r>
        <w:t xml:space="preserve"> punto</w:t>
      </w:r>
      <w:r w:rsidR="002933BD">
        <w:t>s</w:t>
      </w:r>
      <w:r>
        <w:t xml:space="preserve"> resolutivo</w:t>
      </w:r>
      <w:r w:rsidR="002933BD">
        <w:t>s</w:t>
      </w:r>
      <w:r>
        <w:t xml:space="preserve"> </w:t>
      </w:r>
      <w:r w:rsidRPr="002933BD">
        <w:t>1</w:t>
      </w:r>
      <w:r w:rsidR="002933BD">
        <w:t xml:space="preserve"> y 4</w:t>
      </w:r>
      <w:r>
        <w:t>).</w:t>
      </w:r>
    </w:p>
    <w:p w14:paraId="02DBF612" w14:textId="77777777" w:rsidR="003C510D" w:rsidRDefault="003C510D" w:rsidP="002933BD">
      <w:pPr>
        <w:pStyle w:val="Sangradetextonormal"/>
        <w:tabs>
          <w:tab w:val="left" w:pos="0"/>
        </w:tabs>
        <w:spacing w:after="0"/>
        <w:ind w:left="0"/>
        <w:rPr>
          <w:rFonts w:cs="Verdana"/>
          <w:b/>
          <w:szCs w:val="20"/>
          <w:lang w:val="es-CR" w:bidi="en-US"/>
        </w:rPr>
      </w:pPr>
    </w:p>
    <w:p w14:paraId="4B7BC66A" w14:textId="77777777" w:rsidR="003C510D" w:rsidRPr="00933FE2" w:rsidRDefault="003D76E7" w:rsidP="002933BD">
      <w:pPr>
        <w:pStyle w:val="Sangradetextonormal"/>
        <w:tabs>
          <w:tab w:val="left" w:pos="0"/>
          <w:tab w:val="left" w:pos="810"/>
        </w:tabs>
        <w:spacing w:after="0"/>
        <w:ind w:left="0"/>
        <w:rPr>
          <w:rFonts w:cs="Verdana"/>
          <w:lang w:val="es-CR" w:bidi="en-US"/>
        </w:rPr>
      </w:pPr>
      <w:r>
        <w:rPr>
          <w:rFonts w:cs="Verdana"/>
          <w:i/>
          <w:lang w:val="es-CR" w:bidi="en-US"/>
        </w:rPr>
        <w:t>C</w:t>
      </w:r>
      <w:r w:rsidR="003C510D" w:rsidRPr="00933FE2">
        <w:rPr>
          <w:rFonts w:cs="Verdana"/>
          <w:i/>
          <w:lang w:bidi="en-US"/>
        </w:rPr>
        <w:t xml:space="preserve">.2) Objeciones </w:t>
      </w:r>
      <w:r w:rsidR="00D535BD">
        <w:rPr>
          <w:rFonts w:cs="Verdana"/>
          <w:i/>
          <w:lang w:bidi="en-US"/>
        </w:rPr>
        <w:t>de los representantes</w:t>
      </w:r>
      <w:r w:rsidR="003C510D" w:rsidRPr="00933FE2">
        <w:rPr>
          <w:rFonts w:cs="Verdana"/>
          <w:i/>
          <w:lang w:bidi="en-US"/>
        </w:rPr>
        <w:t xml:space="preserve"> respecto de los dictámenes periciales ofrecidos por </w:t>
      </w:r>
      <w:r w:rsidR="00D535BD">
        <w:rPr>
          <w:rFonts w:cs="Verdana"/>
          <w:i/>
          <w:lang w:bidi="en-US"/>
        </w:rPr>
        <w:t>el Estado</w:t>
      </w:r>
    </w:p>
    <w:p w14:paraId="66779AFD" w14:textId="77777777" w:rsidR="003C510D" w:rsidRDefault="003C510D" w:rsidP="002933BD">
      <w:pPr>
        <w:pStyle w:val="Sangradetextonormal"/>
        <w:tabs>
          <w:tab w:val="left" w:pos="0"/>
        </w:tabs>
        <w:spacing w:after="0"/>
        <w:ind w:left="0"/>
        <w:rPr>
          <w:rFonts w:cs="Verdana"/>
          <w:b/>
          <w:szCs w:val="20"/>
          <w:lang w:val="es-CR" w:bidi="en-US"/>
        </w:rPr>
      </w:pPr>
    </w:p>
    <w:p w14:paraId="1581BB86" w14:textId="2BE7E37D" w:rsidR="00BC1FA4" w:rsidRPr="004B140F" w:rsidRDefault="00C86998" w:rsidP="002933BD">
      <w:pPr>
        <w:pStyle w:val="Sangradetextonormal"/>
        <w:numPr>
          <w:ilvl w:val="0"/>
          <w:numId w:val="3"/>
        </w:numPr>
        <w:tabs>
          <w:tab w:val="left" w:pos="0"/>
        </w:tabs>
        <w:spacing w:after="0"/>
        <w:ind w:left="0" w:firstLine="0"/>
        <w:rPr>
          <w:rFonts w:cs="Verdana"/>
          <w:b/>
          <w:szCs w:val="20"/>
          <w:lang w:val="es-CR" w:bidi="en-US"/>
        </w:rPr>
      </w:pPr>
      <w:r>
        <w:rPr>
          <w:rFonts w:cs="Verdana"/>
          <w:szCs w:val="20"/>
          <w:lang w:val="es-CR" w:bidi="en-US"/>
        </w:rPr>
        <w:lastRenderedPageBreak/>
        <w:t xml:space="preserve">El </w:t>
      </w:r>
      <w:r w:rsidRPr="00D31165">
        <w:rPr>
          <w:rFonts w:cs="Verdana"/>
          <w:b/>
          <w:i/>
          <w:szCs w:val="20"/>
          <w:lang w:val="es-CR" w:bidi="en-US"/>
        </w:rPr>
        <w:t>Estado</w:t>
      </w:r>
      <w:r>
        <w:rPr>
          <w:rFonts w:cs="Verdana"/>
          <w:szCs w:val="20"/>
          <w:lang w:val="es-CR" w:bidi="en-US"/>
        </w:rPr>
        <w:t xml:space="preserve"> </w:t>
      </w:r>
      <w:r w:rsidR="00D31165">
        <w:rPr>
          <w:rFonts w:cs="Verdana"/>
          <w:szCs w:val="20"/>
          <w:lang w:val="es-CR" w:bidi="en-US"/>
        </w:rPr>
        <w:t>ofreció en su escrito de contestaci</w:t>
      </w:r>
      <w:r w:rsidR="00422492">
        <w:rPr>
          <w:rFonts w:cs="Verdana"/>
          <w:szCs w:val="20"/>
          <w:lang w:val="es-CR" w:bidi="en-US"/>
        </w:rPr>
        <w:t xml:space="preserve">ón las declaraciones periciales de Matthias </w:t>
      </w:r>
      <w:proofErr w:type="spellStart"/>
      <w:r w:rsidR="00422492">
        <w:rPr>
          <w:rFonts w:cs="Verdana"/>
          <w:szCs w:val="20"/>
          <w:lang w:val="es-CR" w:bidi="en-US"/>
        </w:rPr>
        <w:t>Herdegen</w:t>
      </w:r>
      <w:proofErr w:type="spellEnd"/>
      <w:r w:rsidR="00422492">
        <w:rPr>
          <w:rStyle w:val="Refdenotaalpie"/>
          <w:rFonts w:cs="Verdana"/>
          <w:szCs w:val="20"/>
          <w:lang w:val="es-CR" w:bidi="en-US"/>
        </w:rPr>
        <w:footnoteReference w:id="16"/>
      </w:r>
      <w:r w:rsidR="00422492">
        <w:rPr>
          <w:rFonts w:cs="Verdana"/>
          <w:szCs w:val="20"/>
          <w:lang w:val="es-CR" w:bidi="en-US"/>
        </w:rPr>
        <w:t xml:space="preserve"> y Enrique </w:t>
      </w:r>
      <w:proofErr w:type="spellStart"/>
      <w:r w:rsidR="00422492">
        <w:rPr>
          <w:rFonts w:cs="Verdana"/>
          <w:szCs w:val="20"/>
          <w:lang w:val="es-CR" w:bidi="en-US"/>
        </w:rPr>
        <w:t>Arevalo</w:t>
      </w:r>
      <w:proofErr w:type="spellEnd"/>
      <w:r w:rsidR="00422492">
        <w:rPr>
          <w:rFonts w:cs="Verdana"/>
          <w:szCs w:val="20"/>
          <w:lang w:val="es-CR" w:bidi="en-US"/>
        </w:rPr>
        <w:t xml:space="preserve"> Narváez</w:t>
      </w:r>
      <w:r w:rsidR="00422492">
        <w:rPr>
          <w:rStyle w:val="Refdenotaalpie"/>
          <w:rFonts w:cs="Verdana"/>
          <w:szCs w:val="20"/>
          <w:lang w:val="es-CR" w:bidi="en-US"/>
        </w:rPr>
        <w:footnoteReference w:id="17"/>
      </w:r>
      <w:r w:rsidR="00422492">
        <w:rPr>
          <w:rFonts w:cs="Verdana"/>
          <w:szCs w:val="20"/>
          <w:lang w:val="es-CR" w:bidi="en-US"/>
        </w:rPr>
        <w:t xml:space="preserve">. </w:t>
      </w:r>
      <w:r w:rsidR="00422492">
        <w:rPr>
          <w:rFonts w:cs="Verdana"/>
          <w:szCs w:val="20"/>
          <w:lang w:bidi="en-US"/>
        </w:rPr>
        <w:t xml:space="preserve">En su lista definitiva, el Estado solicitó que la declaración del señor </w:t>
      </w:r>
      <w:proofErr w:type="spellStart"/>
      <w:r w:rsidR="00422492">
        <w:rPr>
          <w:rFonts w:cs="Verdana"/>
          <w:szCs w:val="20"/>
          <w:lang w:val="es-CR" w:bidi="en-US"/>
        </w:rPr>
        <w:t>Herdegen</w:t>
      </w:r>
      <w:proofErr w:type="spellEnd"/>
      <w:r w:rsidR="00422492">
        <w:rPr>
          <w:rFonts w:cs="Verdana"/>
          <w:szCs w:val="20"/>
          <w:lang w:bidi="en-US"/>
        </w:rPr>
        <w:t xml:space="preserve"> sea rendida en audiencia pública, y la declaración del señor </w:t>
      </w:r>
      <w:proofErr w:type="spellStart"/>
      <w:r w:rsidR="00422492">
        <w:rPr>
          <w:rFonts w:cs="Verdana"/>
          <w:szCs w:val="20"/>
          <w:lang w:val="es-CR" w:bidi="en-US"/>
        </w:rPr>
        <w:t>Arevalo</w:t>
      </w:r>
      <w:proofErr w:type="spellEnd"/>
      <w:r w:rsidR="00422492">
        <w:rPr>
          <w:rFonts w:cs="Verdana"/>
          <w:szCs w:val="20"/>
          <w:lang w:val="es-CR" w:bidi="en-US"/>
        </w:rPr>
        <w:t xml:space="preserve"> Narváez</w:t>
      </w:r>
      <w:r w:rsidR="00422492">
        <w:rPr>
          <w:rFonts w:cs="Verdana"/>
          <w:szCs w:val="20"/>
          <w:lang w:bidi="en-US"/>
        </w:rPr>
        <w:t xml:space="preserve"> sea rendida ante fedatario público. </w:t>
      </w:r>
      <w:r w:rsidR="004B140F">
        <w:rPr>
          <w:rFonts w:cs="Verdana"/>
          <w:szCs w:val="20"/>
          <w:lang w:bidi="en-US"/>
        </w:rPr>
        <w:t xml:space="preserve">Los </w:t>
      </w:r>
      <w:r w:rsidR="004B140F">
        <w:rPr>
          <w:rFonts w:cs="Verdana"/>
          <w:b/>
          <w:i/>
          <w:szCs w:val="20"/>
          <w:lang w:bidi="en-US"/>
        </w:rPr>
        <w:t xml:space="preserve">representantes </w:t>
      </w:r>
      <w:r w:rsidR="004B140F">
        <w:rPr>
          <w:rFonts w:cs="Verdana"/>
          <w:szCs w:val="20"/>
          <w:lang w:bidi="en-US"/>
        </w:rPr>
        <w:t xml:space="preserve">manifestaron que los peritajes ofrecidos por el Estado plantean una utilidad para el litigio, más no existe claridad respecto del objeto de la pericia que rendirán ante la Corte. En consecuencia, consideraron que resulta fundamental el esclarecimiento o delimitación del objeto de los peritajes propuestos por el Estado colombiano en función de la controversia en conocimiento del Tribunal Interamericano. </w:t>
      </w:r>
      <w:r w:rsidR="004B140F" w:rsidRPr="004733A2">
        <w:rPr>
          <w:rFonts w:cs="Verdana"/>
          <w:szCs w:val="20"/>
          <w:lang w:bidi="en-US"/>
        </w:rPr>
        <w:t xml:space="preserve">La </w:t>
      </w:r>
      <w:r w:rsidR="004B140F" w:rsidRPr="004733A2">
        <w:rPr>
          <w:rFonts w:cs="Verdana"/>
          <w:b/>
          <w:i/>
          <w:szCs w:val="20"/>
          <w:lang w:bidi="en-US"/>
        </w:rPr>
        <w:t xml:space="preserve">Comisión </w:t>
      </w:r>
      <w:r w:rsidR="004B140F" w:rsidRPr="004733A2">
        <w:rPr>
          <w:rFonts w:cs="Verdana"/>
          <w:szCs w:val="20"/>
          <w:lang w:bidi="en-US"/>
        </w:rPr>
        <w:t>informó que no tiene observaciones a formular respecto a las listas definitivas presentadas por las partes.</w:t>
      </w:r>
    </w:p>
    <w:p w14:paraId="2D03AE77" w14:textId="77777777" w:rsidR="004B140F" w:rsidRDefault="004B140F" w:rsidP="002933BD">
      <w:pPr>
        <w:pStyle w:val="Sangradetextonormal"/>
        <w:tabs>
          <w:tab w:val="left" w:pos="0"/>
        </w:tabs>
        <w:spacing w:after="0"/>
        <w:ind w:left="0"/>
        <w:rPr>
          <w:rFonts w:cs="Verdana"/>
          <w:b/>
          <w:szCs w:val="20"/>
          <w:lang w:val="es-CR" w:bidi="en-US"/>
        </w:rPr>
      </w:pPr>
    </w:p>
    <w:p w14:paraId="0148DA36" w14:textId="5FECEFBD" w:rsidR="004B140F" w:rsidRPr="004B140F" w:rsidRDefault="004B140F" w:rsidP="002933BD">
      <w:pPr>
        <w:pStyle w:val="Sangradetextonormal"/>
        <w:numPr>
          <w:ilvl w:val="0"/>
          <w:numId w:val="3"/>
        </w:numPr>
        <w:tabs>
          <w:tab w:val="left" w:pos="0"/>
        </w:tabs>
        <w:spacing w:after="0"/>
        <w:ind w:left="0" w:firstLine="0"/>
        <w:rPr>
          <w:rFonts w:cs="Verdana"/>
          <w:b/>
          <w:szCs w:val="20"/>
          <w:lang w:val="es-CR" w:bidi="en-US"/>
        </w:rPr>
      </w:pPr>
      <w:r>
        <w:rPr>
          <w:rFonts w:cs="Verdana"/>
          <w:szCs w:val="20"/>
          <w:lang w:val="es-CR" w:bidi="en-US"/>
        </w:rPr>
        <w:t xml:space="preserve">Al respecto, esta Presidencia </w:t>
      </w:r>
      <w:r w:rsidR="00CD7774">
        <w:rPr>
          <w:rFonts w:cs="Verdana"/>
          <w:szCs w:val="20"/>
          <w:lang w:val="es-CR" w:bidi="en-US"/>
        </w:rPr>
        <w:t xml:space="preserve">recuerda que el artículo 41.1.c. del Reglamento establece que el Estado deberá indicar en su contestación “la propuesta e identificación de los declarantes y el objeto de su declaración. En el caso de los peritos, deberá además remitir su hoja de vida y sus datos de contacto”. En el particular, el </w:t>
      </w:r>
      <w:proofErr w:type="gramStart"/>
      <w:r w:rsidR="00CD7774">
        <w:rPr>
          <w:rFonts w:cs="Verdana"/>
          <w:szCs w:val="20"/>
          <w:lang w:val="es-CR" w:bidi="en-US"/>
        </w:rPr>
        <w:t>Presidente</w:t>
      </w:r>
      <w:proofErr w:type="gramEnd"/>
      <w:r w:rsidR="00CD7774">
        <w:rPr>
          <w:rFonts w:cs="Verdana"/>
          <w:szCs w:val="20"/>
          <w:lang w:val="es-CR" w:bidi="en-US"/>
        </w:rPr>
        <w:t xml:space="preserve"> constata que el Estado cumplió con los requisitos previstos en dicha disposición al momento de ofrecer la prueba pericial en su escrito de contestación. Sin embargo, después de analizar detalladamente el objeto de los peritajes propuestos, se estima que dicho objeto es más amplio de lo necesario y pertinente en el caso, por lo que el </w:t>
      </w:r>
      <w:proofErr w:type="gramStart"/>
      <w:r w:rsidR="00CD7774">
        <w:rPr>
          <w:rFonts w:cs="Verdana"/>
          <w:szCs w:val="20"/>
          <w:lang w:val="es-CR" w:bidi="en-US"/>
        </w:rPr>
        <w:t>Presidente</w:t>
      </w:r>
      <w:proofErr w:type="gramEnd"/>
      <w:r w:rsidR="00CD7774">
        <w:rPr>
          <w:rFonts w:cs="Verdana"/>
          <w:szCs w:val="20"/>
          <w:lang w:val="es-CR" w:bidi="en-US"/>
        </w:rPr>
        <w:t xml:space="preserve"> considera conveniente</w:t>
      </w:r>
      <w:r w:rsidR="00B34BB7">
        <w:rPr>
          <w:rFonts w:cs="Verdana"/>
          <w:szCs w:val="20"/>
          <w:lang w:val="es-CR" w:bidi="en-US"/>
        </w:rPr>
        <w:t xml:space="preserve"> admitir dichos peritajes y</w:t>
      </w:r>
      <w:r w:rsidR="00CD7774">
        <w:rPr>
          <w:rFonts w:cs="Verdana"/>
          <w:szCs w:val="20"/>
          <w:lang w:val="es-CR" w:bidi="en-US"/>
        </w:rPr>
        <w:t xml:space="preserve"> establecer </w:t>
      </w:r>
      <w:r w:rsidR="00B34BB7">
        <w:rPr>
          <w:rFonts w:cs="Verdana"/>
          <w:szCs w:val="20"/>
          <w:lang w:val="es-CR" w:bidi="en-US"/>
        </w:rPr>
        <w:t>su objeto</w:t>
      </w:r>
      <w:r w:rsidR="00CD7774">
        <w:rPr>
          <w:rFonts w:cs="Verdana"/>
          <w:szCs w:val="20"/>
          <w:lang w:val="es-CR" w:bidi="en-US"/>
        </w:rPr>
        <w:t xml:space="preserve"> en los términos dispuesto en la parte resolutiva de la presente Resolución </w:t>
      </w:r>
      <w:r w:rsidR="00CD7774">
        <w:t>(</w:t>
      </w:r>
      <w:r w:rsidR="00CD7774" w:rsidRPr="002933BD">
        <w:rPr>
          <w:i/>
        </w:rPr>
        <w:t>infra</w:t>
      </w:r>
      <w:r w:rsidR="00CD7774">
        <w:t xml:space="preserve"> punto resolutivo </w:t>
      </w:r>
      <w:r w:rsidR="002933BD">
        <w:t>4</w:t>
      </w:r>
      <w:r w:rsidR="00CD7774">
        <w:t>).</w:t>
      </w:r>
    </w:p>
    <w:p w14:paraId="62E7E7F6" w14:textId="77777777" w:rsidR="00422492" w:rsidRDefault="00422492" w:rsidP="002933BD">
      <w:pPr>
        <w:pStyle w:val="Sangradetextonormal"/>
        <w:tabs>
          <w:tab w:val="left" w:pos="0"/>
        </w:tabs>
        <w:spacing w:after="0"/>
        <w:ind w:left="0"/>
        <w:rPr>
          <w:rFonts w:ascii="Cambria" w:eastAsia="Cambria" w:hAnsi="Cambria" w:cs="Cambria"/>
          <w:bCs/>
          <w:iCs/>
          <w:color w:val="000000"/>
          <w:sz w:val="24"/>
          <w:szCs w:val="20"/>
          <w:u w:color="000000"/>
          <w:lang w:val="es-ES"/>
        </w:rPr>
      </w:pPr>
    </w:p>
    <w:p w14:paraId="75BAB7DC" w14:textId="77777777" w:rsidR="00CD7774" w:rsidRPr="00CD7774" w:rsidRDefault="00CD7774" w:rsidP="002933BD">
      <w:pPr>
        <w:pStyle w:val="Sangradetextonormal"/>
        <w:numPr>
          <w:ilvl w:val="0"/>
          <w:numId w:val="2"/>
        </w:numPr>
        <w:tabs>
          <w:tab w:val="left" w:pos="0"/>
        </w:tabs>
        <w:spacing w:after="0"/>
        <w:ind w:left="0" w:firstLine="0"/>
        <w:rPr>
          <w:rFonts w:eastAsia="Cambria" w:cs="Cambria"/>
          <w:b/>
          <w:bCs/>
          <w:i/>
          <w:iCs/>
          <w:color w:val="000000"/>
          <w:szCs w:val="20"/>
          <w:u w:color="000000"/>
          <w:lang w:val="es-ES"/>
        </w:rPr>
      </w:pPr>
      <w:r w:rsidRPr="00CD7774">
        <w:rPr>
          <w:rFonts w:eastAsia="Cambria" w:cs="Cambria"/>
          <w:b/>
          <w:bCs/>
          <w:i/>
          <w:iCs/>
          <w:color w:val="000000"/>
          <w:szCs w:val="20"/>
          <w:u w:color="000000"/>
          <w:lang w:val="es-ES"/>
        </w:rPr>
        <w:t xml:space="preserve">La solicitud de la Comisión para formular preguntas </w:t>
      </w:r>
      <w:r>
        <w:rPr>
          <w:rFonts w:eastAsia="Cambria" w:cs="Cambria"/>
          <w:b/>
          <w:bCs/>
          <w:i/>
          <w:iCs/>
          <w:color w:val="000000"/>
          <w:szCs w:val="20"/>
          <w:u w:color="000000"/>
          <w:lang w:val="es-ES"/>
        </w:rPr>
        <w:t>al perito ofrecido por el Estado</w:t>
      </w:r>
    </w:p>
    <w:p w14:paraId="172C6304" w14:textId="77777777" w:rsidR="00CD7774" w:rsidRDefault="00CD7774" w:rsidP="002933BD">
      <w:pPr>
        <w:pStyle w:val="Sangradetextonormal"/>
        <w:tabs>
          <w:tab w:val="left" w:pos="0"/>
        </w:tabs>
        <w:spacing w:after="0"/>
        <w:ind w:left="0"/>
        <w:rPr>
          <w:rFonts w:ascii="Cambria" w:eastAsia="Cambria" w:hAnsi="Cambria" w:cs="Cambria"/>
          <w:bCs/>
          <w:iCs/>
          <w:color w:val="000000"/>
          <w:sz w:val="24"/>
          <w:szCs w:val="20"/>
          <w:u w:color="000000"/>
          <w:lang w:val="es-ES"/>
        </w:rPr>
      </w:pPr>
    </w:p>
    <w:p w14:paraId="1CDF601B" w14:textId="77777777" w:rsidR="00C906BB" w:rsidRDefault="003839FD" w:rsidP="002933BD">
      <w:pPr>
        <w:pStyle w:val="Sangradetextonormal"/>
        <w:numPr>
          <w:ilvl w:val="0"/>
          <w:numId w:val="3"/>
        </w:numPr>
        <w:tabs>
          <w:tab w:val="left" w:pos="0"/>
        </w:tabs>
        <w:spacing w:after="0"/>
        <w:ind w:left="0" w:firstLine="0"/>
        <w:rPr>
          <w:rFonts w:eastAsia="Cambria" w:cs="Cambria"/>
          <w:bCs/>
          <w:iCs/>
          <w:color w:val="000000"/>
          <w:szCs w:val="20"/>
          <w:u w:color="000000"/>
          <w:lang w:val="es-ES"/>
        </w:rPr>
      </w:pPr>
      <w:r>
        <w:rPr>
          <w:rFonts w:eastAsia="Cambria" w:cs="Cambria"/>
          <w:bCs/>
          <w:iCs/>
          <w:color w:val="000000"/>
          <w:szCs w:val="20"/>
          <w:u w:color="000000"/>
          <w:lang w:val="es-ES"/>
        </w:rPr>
        <w:t xml:space="preserve">La </w:t>
      </w:r>
      <w:r>
        <w:rPr>
          <w:rFonts w:eastAsia="Cambria" w:cs="Cambria"/>
          <w:b/>
          <w:bCs/>
          <w:i/>
          <w:iCs/>
          <w:color w:val="000000"/>
          <w:szCs w:val="20"/>
          <w:u w:color="000000"/>
          <w:lang w:val="es-ES"/>
        </w:rPr>
        <w:t xml:space="preserve">Comisión </w:t>
      </w:r>
      <w:r>
        <w:rPr>
          <w:rFonts w:eastAsia="Cambria" w:cs="Cambria"/>
          <w:bCs/>
          <w:iCs/>
          <w:color w:val="000000"/>
          <w:szCs w:val="20"/>
          <w:u w:color="000000"/>
          <w:lang w:val="es-ES"/>
        </w:rPr>
        <w:t xml:space="preserve">solicitó a la Corte “la oportunidad verbal o escrita de formular preguntas” al perito Matthias </w:t>
      </w:r>
      <w:proofErr w:type="spellStart"/>
      <w:r>
        <w:rPr>
          <w:rFonts w:eastAsia="Cambria" w:cs="Cambria"/>
          <w:bCs/>
          <w:iCs/>
          <w:color w:val="000000"/>
          <w:szCs w:val="20"/>
          <w:u w:color="000000"/>
          <w:lang w:val="es-ES"/>
        </w:rPr>
        <w:t>Herdegen</w:t>
      </w:r>
      <w:proofErr w:type="spellEnd"/>
      <w:r>
        <w:rPr>
          <w:rFonts w:eastAsia="Cambria" w:cs="Cambria"/>
          <w:bCs/>
          <w:iCs/>
          <w:color w:val="000000"/>
          <w:szCs w:val="20"/>
          <w:u w:color="000000"/>
          <w:lang w:val="es-ES"/>
        </w:rPr>
        <w:t xml:space="preserve">, ofrecido por el Estado. Explicó que “se observa claramente la relación cercana de dicho peritaje en la cuestión de orden público </w:t>
      </w:r>
      <w:proofErr w:type="gramStart"/>
      <w:r>
        <w:rPr>
          <w:rFonts w:eastAsia="Cambria" w:cs="Cambria"/>
          <w:bCs/>
          <w:iCs/>
          <w:color w:val="000000"/>
          <w:szCs w:val="20"/>
          <w:u w:color="000000"/>
          <w:lang w:val="es-ES"/>
        </w:rPr>
        <w:t>interamericano</w:t>
      </w:r>
      <w:proofErr w:type="gramEnd"/>
      <w:r>
        <w:rPr>
          <w:rFonts w:eastAsia="Cambria" w:cs="Cambria"/>
          <w:bCs/>
          <w:iCs/>
          <w:color w:val="000000"/>
          <w:szCs w:val="20"/>
          <w:u w:color="000000"/>
          <w:lang w:val="es-ES"/>
        </w:rPr>
        <w:t xml:space="preserve"> así como una estrecha similitud entre los objetos de ambos peritajes”. </w:t>
      </w:r>
    </w:p>
    <w:p w14:paraId="4076A282" w14:textId="77777777" w:rsidR="00C906BB" w:rsidRDefault="00C906BB" w:rsidP="002933BD">
      <w:pPr>
        <w:pStyle w:val="Sangradetextonormal"/>
        <w:tabs>
          <w:tab w:val="left" w:pos="0"/>
        </w:tabs>
        <w:spacing w:after="0"/>
        <w:ind w:left="0"/>
        <w:rPr>
          <w:rFonts w:eastAsia="Cambria" w:cs="Cambria"/>
          <w:bCs/>
          <w:iCs/>
          <w:color w:val="000000"/>
          <w:szCs w:val="20"/>
          <w:u w:color="000000"/>
          <w:lang w:val="es-ES"/>
        </w:rPr>
      </w:pPr>
    </w:p>
    <w:p w14:paraId="22451FA2" w14:textId="77777777" w:rsidR="00C906BB" w:rsidRPr="00C906BB" w:rsidRDefault="00C906BB" w:rsidP="002933BD">
      <w:pPr>
        <w:pStyle w:val="Sangradetextonormal"/>
        <w:numPr>
          <w:ilvl w:val="0"/>
          <w:numId w:val="3"/>
        </w:numPr>
        <w:tabs>
          <w:tab w:val="left" w:pos="0"/>
        </w:tabs>
        <w:spacing w:after="0"/>
        <w:ind w:left="0" w:firstLine="0"/>
        <w:rPr>
          <w:rFonts w:eastAsia="Cambria" w:cs="Cambria"/>
          <w:bCs/>
          <w:iCs/>
          <w:color w:val="000000"/>
          <w:szCs w:val="20"/>
          <w:u w:color="000000"/>
          <w:lang w:val="es-ES"/>
        </w:rPr>
      </w:pPr>
      <w:r>
        <w:t xml:space="preserve">El </w:t>
      </w:r>
      <w:proofErr w:type="gramStart"/>
      <w:r>
        <w:t>Presidente</w:t>
      </w:r>
      <w:proofErr w:type="gramEnd"/>
      <w:r>
        <w:t xml:space="preserve"> recuerda las normas del Reglamento del Tribunal en cuanto a la recepción de declaraciones propuestas por la Comisión, así como en relación con la facultad de ésta para interrogar a los declarantes ofrecidos por las partes</w:t>
      </w:r>
      <w:r>
        <w:rPr>
          <w:rStyle w:val="Refdenotaalpie"/>
        </w:rPr>
        <w:footnoteReference w:id="18"/>
      </w:r>
      <w:r>
        <w:t xml:space="preserve">. En particular, es pertinente recordar lo establecido en los artículos 50.5 y 52.3 del Reglamento, de modo tal que corresponde a la Comisión fundamentar en cada caso cuál es el vínculo tanto con el orden público interamericano como con la materia sobre la que verse un peritaje ofrecido por la misma, para que pueda evaluarse la solicitud oportunamente y, si corresponde, autorizar la posibilidad de que la Comisión haga su interrogatorio. </w:t>
      </w:r>
    </w:p>
    <w:p w14:paraId="50DB4B7D" w14:textId="77777777" w:rsidR="00C906BB" w:rsidRPr="001A53E8" w:rsidRDefault="00C906BB" w:rsidP="002933BD">
      <w:pPr>
        <w:pStyle w:val="Prrafodelista"/>
        <w:rPr>
          <w:lang w:val="es-CR"/>
        </w:rPr>
      </w:pPr>
    </w:p>
    <w:p w14:paraId="07EBD8C0" w14:textId="2DFE9987" w:rsidR="003839FD" w:rsidRPr="00C906BB" w:rsidRDefault="00C906BB" w:rsidP="002933BD">
      <w:pPr>
        <w:pStyle w:val="Sangradetextonormal"/>
        <w:numPr>
          <w:ilvl w:val="0"/>
          <w:numId w:val="3"/>
        </w:numPr>
        <w:tabs>
          <w:tab w:val="left" w:pos="0"/>
        </w:tabs>
        <w:spacing w:after="0"/>
        <w:ind w:left="0" w:firstLine="0"/>
        <w:rPr>
          <w:rFonts w:eastAsia="Cambria" w:cs="Cambria"/>
          <w:bCs/>
          <w:iCs/>
          <w:color w:val="000000"/>
          <w:szCs w:val="20"/>
          <w:u w:color="000000"/>
          <w:lang w:val="es-ES"/>
        </w:rPr>
      </w:pPr>
      <w:r>
        <w:lastRenderedPageBreak/>
        <w:t xml:space="preserve">Con respecto a la solicitud de la Comisión, esta Presidencia considera que efectivamente el dictamen del Estado se encuentra relacionado con el peritaje propuestos por la Comisión, motivo por el cual considera procedente, conforme a los artículos 50.5 y 52.3 del Reglamento, conceder oportunidad a la Comisión para formular preguntas al señor Matthias </w:t>
      </w:r>
      <w:proofErr w:type="spellStart"/>
      <w:r>
        <w:t>Herdegen</w:t>
      </w:r>
      <w:proofErr w:type="spellEnd"/>
      <w:r>
        <w:t>.</w:t>
      </w:r>
    </w:p>
    <w:p w14:paraId="7DE6E529" w14:textId="77777777" w:rsidR="003839FD" w:rsidRDefault="003839FD" w:rsidP="002933BD">
      <w:pPr>
        <w:pStyle w:val="Sangradetextonormal"/>
        <w:tabs>
          <w:tab w:val="left" w:pos="0"/>
        </w:tabs>
        <w:spacing w:after="0"/>
        <w:ind w:left="0"/>
        <w:rPr>
          <w:rFonts w:ascii="Cambria" w:eastAsia="Cambria" w:hAnsi="Cambria" w:cs="Cambria"/>
          <w:bCs/>
          <w:iCs/>
          <w:color w:val="000000"/>
          <w:sz w:val="24"/>
          <w:szCs w:val="20"/>
          <w:u w:color="000000"/>
          <w:lang w:val="es-ES"/>
        </w:rPr>
      </w:pPr>
    </w:p>
    <w:p w14:paraId="1DF24491" w14:textId="77777777" w:rsidR="00DF2489" w:rsidRPr="009A4354" w:rsidRDefault="00DF2489" w:rsidP="00293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sidRPr="009A4354">
        <w:rPr>
          <w:rFonts w:cs="Verdana"/>
          <w:b/>
          <w:bCs/>
          <w:szCs w:val="20"/>
          <w:lang w:bidi="en-US"/>
        </w:rPr>
        <w:t>POR TANTO:</w:t>
      </w:r>
    </w:p>
    <w:p w14:paraId="723D2D17" w14:textId="77777777" w:rsidR="00DF2489" w:rsidRPr="009A4354" w:rsidRDefault="00DF2489" w:rsidP="00293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14:paraId="2FF7B0F6" w14:textId="77777777" w:rsidR="00DF2489" w:rsidRPr="009A4354" w:rsidRDefault="00DF2489" w:rsidP="002933BD">
      <w:pPr>
        <w:spacing w:after="0"/>
        <w:rPr>
          <w:rFonts w:eastAsia="Times New Roman"/>
          <w:szCs w:val="20"/>
          <w:lang w:val="es-CR"/>
        </w:rPr>
      </w:pPr>
      <w:r w:rsidRPr="009A4354">
        <w:rPr>
          <w:rFonts w:eastAsia="Times New Roman"/>
          <w:b/>
          <w:bCs/>
          <w:color w:val="000000"/>
          <w:szCs w:val="20"/>
          <w:lang w:val="es-CR"/>
        </w:rPr>
        <w:t xml:space="preserve">EL PRESIDENTE DE LA CORTE INTERAMERICANA DE DERECHOS HUMANOS, </w:t>
      </w:r>
    </w:p>
    <w:p w14:paraId="4C4C8C88" w14:textId="77777777" w:rsidR="00DF2489" w:rsidRPr="009A4354" w:rsidRDefault="00DF2489" w:rsidP="002933BD">
      <w:pPr>
        <w:spacing w:after="0"/>
        <w:ind w:left="360"/>
        <w:rPr>
          <w:rFonts w:eastAsia="Times New Roman"/>
          <w:szCs w:val="20"/>
          <w:lang w:val="es-CR"/>
        </w:rPr>
      </w:pPr>
    </w:p>
    <w:p w14:paraId="2FB81BF8" w14:textId="77777777" w:rsidR="00DF2489" w:rsidRPr="009A4354" w:rsidRDefault="00DF2489" w:rsidP="002933BD">
      <w:pPr>
        <w:spacing w:after="0"/>
        <w:rPr>
          <w:rFonts w:eastAsia="Times New Roman"/>
          <w:szCs w:val="20"/>
          <w:lang w:val="es-CR"/>
        </w:rPr>
      </w:pPr>
      <w:r w:rsidRPr="009A4354">
        <w:rPr>
          <w:rFonts w:eastAsia="Times New Roman"/>
          <w:color w:val="000000"/>
          <w:szCs w:val="20"/>
          <w:lang w:val="es-CR"/>
        </w:rPr>
        <w:t xml:space="preserve">de conformidad con los artículos 24.1 y 25.2 del Estatuto de la Corte, y con los artículos 4, 15.1, 26.1, 31.2, 35.1, 40.2, 41.1, 45, 46, 50 a 56 y 60 del Reglamento, </w:t>
      </w:r>
    </w:p>
    <w:p w14:paraId="4515B569" w14:textId="77777777" w:rsidR="00DF2489" w:rsidRPr="009A4354" w:rsidRDefault="00DF2489" w:rsidP="002933BD">
      <w:pPr>
        <w:spacing w:after="0"/>
        <w:ind w:left="360"/>
        <w:rPr>
          <w:rFonts w:eastAsia="Times New Roman"/>
          <w:szCs w:val="20"/>
          <w:lang w:val="es-CR"/>
        </w:rPr>
      </w:pPr>
    </w:p>
    <w:p w14:paraId="6CDD5F73" w14:textId="77777777" w:rsidR="00DF2489" w:rsidRPr="009A4354" w:rsidRDefault="00DF2489" w:rsidP="002933BD">
      <w:pPr>
        <w:spacing w:after="0"/>
        <w:rPr>
          <w:rFonts w:eastAsia="Times New Roman"/>
          <w:b/>
          <w:bCs/>
          <w:color w:val="000000"/>
          <w:szCs w:val="20"/>
          <w:lang w:val="es-CR"/>
        </w:rPr>
      </w:pPr>
      <w:r w:rsidRPr="009A4354">
        <w:rPr>
          <w:rFonts w:eastAsia="Times New Roman"/>
          <w:b/>
          <w:bCs/>
          <w:color w:val="000000"/>
          <w:szCs w:val="20"/>
          <w:lang w:val="es-CR"/>
        </w:rPr>
        <w:t>RESUELVE:</w:t>
      </w:r>
    </w:p>
    <w:p w14:paraId="03A3A49C" w14:textId="77777777" w:rsidR="00DF2489" w:rsidRPr="009A4354" w:rsidRDefault="00DF2489" w:rsidP="002933BD">
      <w:pPr>
        <w:spacing w:after="0"/>
        <w:rPr>
          <w:rFonts w:eastAsia="Times New Roman"/>
          <w:b/>
          <w:bCs/>
          <w:color w:val="000000"/>
          <w:szCs w:val="20"/>
          <w:lang w:val="es-CR"/>
        </w:rPr>
      </w:pPr>
    </w:p>
    <w:p w14:paraId="37EEA274" w14:textId="3B987A67" w:rsidR="00DF2489" w:rsidRPr="009A4354" w:rsidRDefault="00DF2489" w:rsidP="002933BD">
      <w:pPr>
        <w:numPr>
          <w:ilvl w:val="0"/>
          <w:numId w:val="6"/>
        </w:numPr>
        <w:spacing w:after="0"/>
        <w:ind w:left="0" w:firstLine="0"/>
        <w:contextualSpacing/>
        <w:rPr>
          <w:rFonts w:eastAsia="Times New Roman"/>
          <w:b/>
          <w:bCs/>
          <w:color w:val="000000"/>
          <w:szCs w:val="20"/>
          <w:lang w:val="es-CR"/>
        </w:rPr>
      </w:pPr>
      <w:r w:rsidRPr="009A4354">
        <w:rPr>
          <w:rFonts w:eastAsia="Times New Roman"/>
          <w:color w:val="000000"/>
          <w:szCs w:val="20"/>
          <w:lang w:val="es-CR"/>
        </w:rPr>
        <w:t xml:space="preserve">Convocar al Estado de </w:t>
      </w:r>
      <w:r w:rsidR="00525C55">
        <w:rPr>
          <w:rFonts w:eastAsia="Times New Roman"/>
          <w:color w:val="000000"/>
          <w:szCs w:val="20"/>
          <w:lang w:val="es-CR"/>
        </w:rPr>
        <w:t>Colombia</w:t>
      </w:r>
      <w:r w:rsidRPr="009A4354">
        <w:rPr>
          <w:rFonts w:eastAsia="Times New Roman"/>
          <w:color w:val="000000"/>
          <w:szCs w:val="20"/>
          <w:lang w:val="es-CR"/>
        </w:rPr>
        <w:t>, a los representantes y a la Comisión Interamericana de Derechos Humanos, a una audiencia pública sobre</w:t>
      </w:r>
      <w:r w:rsidR="00525C55">
        <w:rPr>
          <w:rFonts w:eastAsia="Times New Roman"/>
          <w:color w:val="000000"/>
          <w:szCs w:val="20"/>
          <w:lang w:val="es-CR"/>
        </w:rPr>
        <w:t xml:space="preserve"> excepciones preliminares,</w:t>
      </w:r>
      <w:r w:rsidRPr="009A4354">
        <w:rPr>
          <w:rFonts w:eastAsia="Times New Roman"/>
          <w:color w:val="000000"/>
          <w:szCs w:val="20"/>
          <w:lang w:val="es-CR"/>
        </w:rPr>
        <w:t xml:space="preserve"> fondo, y eventuales reparaciones y costas que se celebrará el día </w:t>
      </w:r>
      <w:r w:rsidR="006838A5" w:rsidRPr="006838A5">
        <w:rPr>
          <w:rFonts w:eastAsia="Times New Roman"/>
          <w:color w:val="000000"/>
          <w:szCs w:val="20"/>
          <w:lang w:val="es-CR"/>
        </w:rPr>
        <w:t>6</w:t>
      </w:r>
      <w:r w:rsidRPr="006838A5">
        <w:rPr>
          <w:rFonts w:eastAsia="Times New Roman"/>
          <w:color w:val="000000"/>
          <w:szCs w:val="20"/>
          <w:lang w:val="es-CR"/>
        </w:rPr>
        <w:t xml:space="preserve"> de </w:t>
      </w:r>
      <w:r w:rsidR="006838A5" w:rsidRPr="006838A5">
        <w:rPr>
          <w:rFonts w:eastAsia="Times New Roman"/>
          <w:color w:val="000000"/>
          <w:szCs w:val="20"/>
          <w:lang w:val="es-CR"/>
        </w:rPr>
        <w:t>febrero</w:t>
      </w:r>
      <w:r w:rsidRPr="006838A5">
        <w:rPr>
          <w:rFonts w:eastAsia="Times New Roman"/>
          <w:color w:val="000000"/>
          <w:szCs w:val="20"/>
          <w:lang w:val="es-CR"/>
        </w:rPr>
        <w:t xml:space="preserve"> de </w:t>
      </w:r>
      <w:r w:rsidR="00525C55" w:rsidRPr="006838A5">
        <w:rPr>
          <w:rFonts w:eastAsia="Times New Roman"/>
          <w:color w:val="000000"/>
          <w:szCs w:val="20"/>
          <w:lang w:val="es-CR"/>
        </w:rPr>
        <w:t>2020</w:t>
      </w:r>
      <w:r w:rsidRPr="006838A5">
        <w:rPr>
          <w:rFonts w:eastAsia="Times New Roman"/>
          <w:color w:val="000000"/>
          <w:szCs w:val="20"/>
          <w:lang w:val="es-CR"/>
        </w:rPr>
        <w:t xml:space="preserve">, de las </w:t>
      </w:r>
      <w:r w:rsidR="0059529F" w:rsidRPr="006838A5">
        <w:rPr>
          <w:rFonts w:eastAsia="Times New Roman"/>
          <w:bCs/>
          <w:color w:val="000000"/>
          <w:szCs w:val="20"/>
          <w:lang w:val="es-CR"/>
        </w:rPr>
        <w:t>15:00 a las 18</w:t>
      </w:r>
      <w:r w:rsidRPr="006838A5">
        <w:rPr>
          <w:rFonts w:eastAsia="Times New Roman"/>
          <w:bCs/>
          <w:color w:val="000000"/>
          <w:szCs w:val="20"/>
          <w:lang w:val="es-CR"/>
        </w:rPr>
        <w:t xml:space="preserve">:00 </w:t>
      </w:r>
      <w:proofErr w:type="spellStart"/>
      <w:r w:rsidRPr="006838A5">
        <w:rPr>
          <w:rFonts w:eastAsia="Times New Roman"/>
          <w:bCs/>
          <w:color w:val="000000"/>
          <w:szCs w:val="20"/>
          <w:lang w:val="es-CR"/>
        </w:rPr>
        <w:t>hrs</w:t>
      </w:r>
      <w:proofErr w:type="spellEnd"/>
      <w:r w:rsidRPr="006838A5">
        <w:rPr>
          <w:rFonts w:eastAsia="Times New Roman"/>
          <w:bCs/>
          <w:color w:val="000000"/>
          <w:szCs w:val="20"/>
          <w:lang w:val="es-CR"/>
        </w:rPr>
        <w:t>.</w:t>
      </w:r>
      <w:r w:rsidRPr="006838A5">
        <w:rPr>
          <w:rFonts w:eastAsia="Times New Roman"/>
          <w:color w:val="000000"/>
          <w:szCs w:val="20"/>
          <w:lang w:val="es-CR"/>
        </w:rPr>
        <w:t>,</w:t>
      </w:r>
      <w:r w:rsidR="006838A5" w:rsidRPr="006838A5">
        <w:rPr>
          <w:rFonts w:eastAsia="Times New Roman"/>
          <w:color w:val="000000"/>
          <w:szCs w:val="20"/>
          <w:lang w:val="es-CR"/>
        </w:rPr>
        <w:t xml:space="preserve"> y el día 7 de febrero, de las 9:00 a las 13:00 </w:t>
      </w:r>
      <w:proofErr w:type="spellStart"/>
      <w:r w:rsidR="006838A5" w:rsidRPr="006838A5">
        <w:rPr>
          <w:rFonts w:eastAsia="Times New Roman"/>
          <w:color w:val="000000"/>
          <w:szCs w:val="20"/>
          <w:lang w:val="es-CR"/>
        </w:rPr>
        <w:t>hrs</w:t>
      </w:r>
      <w:proofErr w:type="spellEnd"/>
      <w:r w:rsidR="006838A5" w:rsidRPr="006838A5">
        <w:rPr>
          <w:rFonts w:eastAsia="Times New Roman"/>
          <w:color w:val="000000"/>
          <w:szCs w:val="20"/>
          <w:lang w:val="es-CR"/>
        </w:rPr>
        <w:t>.</w:t>
      </w:r>
      <w:r w:rsidRPr="006838A5">
        <w:rPr>
          <w:rFonts w:eastAsia="Times New Roman"/>
          <w:color w:val="000000"/>
          <w:szCs w:val="20"/>
          <w:lang w:val="es-CR"/>
        </w:rPr>
        <w:t xml:space="preserve"> </w:t>
      </w:r>
      <w:r w:rsidR="003C3A3C" w:rsidRPr="006838A5">
        <w:rPr>
          <w:rFonts w:eastAsia="Times New Roman"/>
          <w:color w:val="000000"/>
          <w:szCs w:val="20"/>
          <w:lang w:val="es-CR"/>
        </w:rPr>
        <w:t>d</w:t>
      </w:r>
      <w:r w:rsidR="003C3A3C" w:rsidRPr="00B160F1">
        <w:rPr>
          <w:rFonts w:eastAsia="Times New Roman"/>
          <w:color w:val="000000"/>
          <w:szCs w:val="20"/>
          <w:lang w:val="es-CR"/>
        </w:rPr>
        <w:t xml:space="preserve">urante el </w:t>
      </w:r>
      <w:r w:rsidR="006838A5">
        <w:rPr>
          <w:rFonts w:eastAsia="Times New Roman"/>
          <w:bCs/>
          <w:color w:val="000000"/>
          <w:szCs w:val="20"/>
          <w:lang w:val="es-CR"/>
        </w:rPr>
        <w:t>133</w:t>
      </w:r>
      <w:r w:rsidR="003C3A3C" w:rsidRPr="00B160F1">
        <w:rPr>
          <w:rFonts w:eastAsia="Times New Roman"/>
          <w:b/>
          <w:bCs/>
          <w:color w:val="000000"/>
          <w:szCs w:val="20"/>
          <w:lang w:val="es-CR"/>
        </w:rPr>
        <w:t xml:space="preserve"> </w:t>
      </w:r>
      <w:r w:rsidR="003C3A3C" w:rsidRPr="00B160F1">
        <w:rPr>
          <w:rFonts w:eastAsia="Times New Roman"/>
          <w:color w:val="000000"/>
          <w:szCs w:val="20"/>
          <w:lang w:val="es-CR"/>
        </w:rPr>
        <w:t>Período Ordinario de Sesiones,</w:t>
      </w:r>
      <w:r w:rsidR="003C3A3C" w:rsidRPr="00094E86">
        <w:rPr>
          <w:rFonts w:eastAsia="Times New Roman"/>
          <w:color w:val="000000"/>
          <w:szCs w:val="20"/>
          <w:lang w:val="es-CR"/>
        </w:rPr>
        <w:t xml:space="preserve"> que se llevará a cabo en la sede de la Corte en San José, Costa Rica</w:t>
      </w:r>
      <w:r w:rsidR="003C3A3C">
        <w:rPr>
          <w:rFonts w:eastAsia="Times New Roman"/>
          <w:color w:val="000000"/>
          <w:szCs w:val="20"/>
          <w:lang w:val="es-CR"/>
        </w:rPr>
        <w:t>,</w:t>
      </w:r>
      <w:r w:rsidR="003C3A3C" w:rsidRPr="00094E86">
        <w:rPr>
          <w:rFonts w:eastAsia="Times New Roman"/>
          <w:color w:val="000000"/>
          <w:szCs w:val="20"/>
          <w:lang w:val="es-CR"/>
        </w:rPr>
        <w:t xml:space="preserve"> para recibir sus alegatos y observaciones finales orales, así como para recibir las declaraciones de las siguientes personas:</w:t>
      </w:r>
    </w:p>
    <w:p w14:paraId="58DB154E" w14:textId="77777777" w:rsidR="00DF2489" w:rsidRDefault="00DF2489" w:rsidP="002933BD">
      <w:pPr>
        <w:spacing w:after="0"/>
        <w:rPr>
          <w:rFonts w:eastAsia="Times New Roman"/>
          <w:color w:val="000000"/>
          <w:szCs w:val="20"/>
          <w:lang w:val="es-CR"/>
        </w:rPr>
      </w:pPr>
    </w:p>
    <w:p w14:paraId="67CD3104" w14:textId="77777777" w:rsidR="00B9638A" w:rsidRPr="000C41A3" w:rsidRDefault="00B9638A" w:rsidP="002933BD">
      <w:pPr>
        <w:numPr>
          <w:ilvl w:val="0"/>
          <w:numId w:val="5"/>
        </w:numPr>
        <w:spacing w:after="0"/>
        <w:contextualSpacing/>
        <w:rPr>
          <w:rFonts w:eastAsia="Times New Roman"/>
          <w:b/>
          <w:szCs w:val="20"/>
        </w:rPr>
      </w:pPr>
      <w:r>
        <w:rPr>
          <w:rFonts w:eastAsia="Times New Roman"/>
          <w:b/>
          <w:szCs w:val="20"/>
        </w:rPr>
        <w:t>Presunta víctima</w:t>
      </w:r>
      <w:r w:rsidRPr="000C41A3">
        <w:rPr>
          <w:rFonts w:eastAsia="Times New Roman"/>
          <w:b/>
          <w:szCs w:val="20"/>
        </w:rPr>
        <w:t xml:space="preserve"> </w:t>
      </w:r>
      <w:r>
        <w:rPr>
          <w:rFonts w:eastAsia="Times New Roman"/>
          <w:b/>
          <w:szCs w:val="20"/>
        </w:rPr>
        <w:t>(propuesto por los representantes)</w:t>
      </w:r>
    </w:p>
    <w:p w14:paraId="45DE64EF" w14:textId="77777777" w:rsidR="00B9638A" w:rsidRPr="000C41A3" w:rsidRDefault="00B9638A" w:rsidP="002933BD">
      <w:pPr>
        <w:spacing w:after="0"/>
        <w:ind w:left="360"/>
        <w:rPr>
          <w:rFonts w:eastAsia="Times New Roman"/>
          <w:b/>
          <w:szCs w:val="20"/>
        </w:rPr>
      </w:pPr>
    </w:p>
    <w:p w14:paraId="7FD2EFAD" w14:textId="0C8B2A08" w:rsidR="00B9638A" w:rsidRPr="00BA31C7" w:rsidRDefault="00BA31C7" w:rsidP="002933BD">
      <w:pPr>
        <w:pStyle w:val="Prrafodelista"/>
        <w:ind w:left="709"/>
        <w:contextualSpacing/>
        <w:jc w:val="both"/>
        <w:rPr>
          <w:rFonts w:ascii="Verdana" w:eastAsia="Times New Roman" w:hAnsi="Verdana"/>
          <w:sz w:val="20"/>
          <w:szCs w:val="20"/>
          <w:lang w:val="es-CR"/>
        </w:rPr>
      </w:pPr>
      <w:r>
        <w:rPr>
          <w:rFonts w:ascii="Verdana" w:hAnsi="Verdana" w:cs="Arial-BoldMT"/>
          <w:bCs/>
          <w:sz w:val="20"/>
          <w:szCs w:val="20"/>
          <w:lang w:val="es-CR" w:eastAsia="es-CR"/>
        </w:rPr>
        <w:t xml:space="preserve">(1) </w:t>
      </w:r>
      <w:r w:rsidR="00B9638A" w:rsidRPr="00BA31C7">
        <w:rPr>
          <w:rFonts w:ascii="Verdana" w:hAnsi="Verdana" w:cs="Arial-BoldMT"/>
          <w:bCs/>
          <w:i/>
          <w:sz w:val="20"/>
          <w:szCs w:val="20"/>
          <w:lang w:val="es-CR" w:eastAsia="es-CR"/>
        </w:rPr>
        <w:t>Gustavo Francisco Petro Urrego</w:t>
      </w:r>
      <w:r w:rsidR="00B9638A" w:rsidRPr="00BA31C7">
        <w:rPr>
          <w:rFonts w:ascii="Verdana" w:eastAsia="Times New Roman" w:hAnsi="Verdana"/>
          <w:sz w:val="20"/>
          <w:szCs w:val="20"/>
          <w:lang w:val="es-CR"/>
        </w:rPr>
        <w:t>, quien declarará sobre</w:t>
      </w:r>
      <w:r w:rsidR="006838A5">
        <w:rPr>
          <w:rFonts w:ascii="Verdana" w:eastAsia="Times New Roman" w:hAnsi="Verdana"/>
          <w:sz w:val="20"/>
          <w:szCs w:val="20"/>
          <w:lang w:val="es-CR"/>
        </w:rPr>
        <w:t xml:space="preserve"> la persecución de que ha sido objeto como líder político de oposición, en particular sobre</w:t>
      </w:r>
      <w:r w:rsidR="00B9638A" w:rsidRPr="00BA31C7">
        <w:rPr>
          <w:rFonts w:ascii="Verdana" w:eastAsia="Times New Roman" w:hAnsi="Verdana"/>
          <w:sz w:val="20"/>
          <w:szCs w:val="20"/>
          <w:lang w:val="es-CR"/>
        </w:rPr>
        <w:t xml:space="preserve"> </w:t>
      </w:r>
      <w:r w:rsidR="00B9638A" w:rsidRPr="00BA31C7">
        <w:rPr>
          <w:rFonts w:ascii="Verdana" w:hAnsi="Verdana" w:cs="ArialMT"/>
          <w:sz w:val="20"/>
          <w:szCs w:val="20"/>
          <w:lang w:val="es-CR" w:eastAsia="es-CR"/>
        </w:rPr>
        <w:t xml:space="preserve">los procesos disciplinarios y fiscales </w:t>
      </w:r>
      <w:r w:rsidR="00854D0B">
        <w:rPr>
          <w:rFonts w:ascii="Verdana" w:hAnsi="Verdana" w:cs="ArialMT"/>
          <w:sz w:val="20"/>
          <w:szCs w:val="20"/>
          <w:lang w:val="es-CR" w:eastAsia="es-CR"/>
        </w:rPr>
        <w:t>seguidos</w:t>
      </w:r>
      <w:r w:rsidR="00B9638A" w:rsidRPr="00BA31C7">
        <w:rPr>
          <w:rFonts w:ascii="Verdana" w:hAnsi="Verdana" w:cs="ArialMT"/>
          <w:sz w:val="20"/>
          <w:szCs w:val="20"/>
          <w:lang w:val="es-CR" w:eastAsia="es-CR"/>
        </w:rPr>
        <w:t xml:space="preserve"> en su contra, en razón de sus actuaciones como Alcalde Mayor de Bogotá D.C.; las consecuencias de tales hechos en su vida personal, familiar y política; y las medidas que debería adoptar el Estado colombiano para la reparación del daño sufrido, el pleno restablecimiento de sus derechos, y las garantías de no repetición de los hechos.</w:t>
      </w:r>
    </w:p>
    <w:p w14:paraId="5A41AB4B" w14:textId="77777777" w:rsidR="00304DAC" w:rsidRPr="00304DAC" w:rsidRDefault="00304DAC" w:rsidP="002933BD">
      <w:pPr>
        <w:spacing w:after="0"/>
        <w:ind w:left="709"/>
        <w:contextualSpacing/>
        <w:rPr>
          <w:rFonts w:eastAsia="Times New Roman"/>
          <w:szCs w:val="20"/>
          <w:lang w:val="es-CR"/>
        </w:rPr>
      </w:pPr>
    </w:p>
    <w:p w14:paraId="2455485F" w14:textId="77777777" w:rsidR="00304DAC" w:rsidRPr="000C41A3" w:rsidRDefault="00304DAC" w:rsidP="002933BD">
      <w:pPr>
        <w:numPr>
          <w:ilvl w:val="0"/>
          <w:numId w:val="5"/>
        </w:numPr>
        <w:spacing w:after="0"/>
        <w:contextualSpacing/>
        <w:rPr>
          <w:rFonts w:eastAsia="Times New Roman"/>
          <w:b/>
          <w:szCs w:val="20"/>
        </w:rPr>
      </w:pPr>
      <w:r>
        <w:rPr>
          <w:rFonts w:eastAsia="Times New Roman"/>
          <w:b/>
          <w:szCs w:val="20"/>
        </w:rPr>
        <w:t>Declarante a título informativo</w:t>
      </w:r>
      <w:r w:rsidRPr="000C41A3">
        <w:rPr>
          <w:rFonts w:eastAsia="Times New Roman"/>
          <w:b/>
          <w:szCs w:val="20"/>
        </w:rPr>
        <w:t xml:space="preserve"> </w:t>
      </w:r>
      <w:r>
        <w:rPr>
          <w:rFonts w:eastAsia="Times New Roman"/>
          <w:b/>
          <w:szCs w:val="20"/>
        </w:rPr>
        <w:t>(propuesto por el Estado)</w:t>
      </w:r>
    </w:p>
    <w:p w14:paraId="76C61C1B" w14:textId="77777777" w:rsidR="00304DAC" w:rsidRPr="00304DAC" w:rsidRDefault="00304DAC" w:rsidP="002933BD">
      <w:pPr>
        <w:spacing w:after="0"/>
        <w:ind w:left="709"/>
        <w:rPr>
          <w:rFonts w:eastAsia="Times New Roman"/>
          <w:szCs w:val="20"/>
          <w:highlight w:val="yellow"/>
        </w:rPr>
      </w:pPr>
    </w:p>
    <w:p w14:paraId="29312F79" w14:textId="08E63132" w:rsidR="00304DAC" w:rsidRPr="00BA31C7" w:rsidRDefault="00BA31C7" w:rsidP="002933BD">
      <w:pPr>
        <w:pStyle w:val="Prrafodelista"/>
        <w:ind w:left="709"/>
        <w:contextualSpacing/>
        <w:jc w:val="both"/>
        <w:rPr>
          <w:rFonts w:ascii="Verdana" w:eastAsia="Times New Roman" w:hAnsi="Verdana"/>
          <w:sz w:val="20"/>
          <w:szCs w:val="20"/>
          <w:lang w:val="es-CR"/>
        </w:rPr>
      </w:pPr>
      <w:r w:rsidRPr="00BA31C7">
        <w:rPr>
          <w:rFonts w:ascii="Verdana" w:hAnsi="Verdana" w:cs="Arial-BoldMT"/>
          <w:bCs/>
          <w:sz w:val="20"/>
          <w:szCs w:val="20"/>
          <w:lang w:val="es-CR" w:eastAsia="es-CR"/>
        </w:rPr>
        <w:t>(2)</w:t>
      </w:r>
      <w:r>
        <w:rPr>
          <w:rFonts w:ascii="Verdana" w:hAnsi="Verdana" w:cs="Arial-BoldMT"/>
          <w:bCs/>
          <w:i/>
          <w:sz w:val="20"/>
          <w:szCs w:val="20"/>
          <w:lang w:val="es-CR" w:eastAsia="es-CR"/>
        </w:rPr>
        <w:t xml:space="preserve"> </w:t>
      </w:r>
      <w:r w:rsidR="00304DAC" w:rsidRPr="00BA31C7">
        <w:rPr>
          <w:rFonts w:ascii="Verdana" w:hAnsi="Verdana" w:cs="Arial-BoldMT"/>
          <w:bCs/>
          <w:i/>
          <w:sz w:val="20"/>
          <w:szCs w:val="20"/>
          <w:lang w:val="es-CR" w:eastAsia="es-CR"/>
        </w:rPr>
        <w:t>Edgardo José Maya Villa</w:t>
      </w:r>
      <w:r w:rsidR="00C619B4">
        <w:rPr>
          <w:rFonts w:ascii="Verdana" w:hAnsi="Verdana" w:cs="Arial-BoldMT"/>
          <w:bCs/>
          <w:i/>
          <w:sz w:val="20"/>
          <w:szCs w:val="20"/>
          <w:lang w:val="es-CR" w:eastAsia="es-CR"/>
        </w:rPr>
        <w:t>zó</w:t>
      </w:r>
      <w:r w:rsidR="00304DAC" w:rsidRPr="00BA31C7">
        <w:rPr>
          <w:rFonts w:ascii="Verdana" w:hAnsi="Verdana" w:cs="Arial-BoldMT"/>
          <w:bCs/>
          <w:i/>
          <w:sz w:val="20"/>
          <w:szCs w:val="20"/>
          <w:lang w:val="es-CR" w:eastAsia="es-CR"/>
        </w:rPr>
        <w:t>n</w:t>
      </w:r>
      <w:r w:rsidR="00304DAC" w:rsidRPr="00BA31C7">
        <w:rPr>
          <w:rFonts w:ascii="Verdana" w:eastAsia="Times New Roman" w:hAnsi="Verdana"/>
          <w:sz w:val="20"/>
          <w:szCs w:val="20"/>
          <w:lang w:val="es-CR"/>
        </w:rPr>
        <w:t xml:space="preserve">, quien declarará sobre </w:t>
      </w:r>
      <w:r w:rsidR="00304DAC" w:rsidRPr="00BA31C7">
        <w:rPr>
          <w:rFonts w:ascii="Verdana" w:hAnsi="Verdana" w:cs="ArialMT"/>
          <w:sz w:val="20"/>
          <w:szCs w:val="20"/>
          <w:lang w:val="es-CR" w:eastAsia="es-CR"/>
        </w:rPr>
        <w:t>la función que cumplen los órganos de control, incluyendo la Procuraduría General de la Nación y las contralorías, en relación con el control de función pública. Asimismo, declarará sobre el desarrollo de las facultades de estos órganos de control a lo largo de la historia de la República de Colombia y su lugar en el esquema constitucional colombiano.</w:t>
      </w:r>
    </w:p>
    <w:p w14:paraId="5EF6EB94" w14:textId="77777777" w:rsidR="007974FF" w:rsidRDefault="007974FF" w:rsidP="002933BD">
      <w:pPr>
        <w:spacing w:after="0"/>
        <w:contextualSpacing/>
        <w:rPr>
          <w:rFonts w:eastAsia="Times New Roman"/>
          <w:szCs w:val="20"/>
          <w:lang w:val="es-CR"/>
        </w:rPr>
      </w:pPr>
    </w:p>
    <w:p w14:paraId="41B87691" w14:textId="1FB60605" w:rsidR="00B9638A" w:rsidRPr="006838A5" w:rsidRDefault="00B9638A" w:rsidP="002933BD">
      <w:pPr>
        <w:pStyle w:val="Prrafodelista"/>
        <w:numPr>
          <w:ilvl w:val="0"/>
          <w:numId w:val="5"/>
        </w:numPr>
        <w:contextualSpacing/>
        <w:rPr>
          <w:rFonts w:ascii="Verdana" w:eastAsia="Times New Roman" w:hAnsi="Verdana"/>
          <w:b/>
          <w:sz w:val="20"/>
          <w:szCs w:val="20"/>
          <w:lang w:val="es-CR"/>
        </w:rPr>
      </w:pPr>
      <w:r w:rsidRPr="006838A5">
        <w:rPr>
          <w:rFonts w:ascii="Verdana" w:eastAsia="Times New Roman" w:hAnsi="Verdana"/>
          <w:b/>
          <w:sz w:val="20"/>
          <w:szCs w:val="20"/>
          <w:lang w:val="es-CR"/>
        </w:rPr>
        <w:t>Perito</w:t>
      </w:r>
      <w:r w:rsidR="004125AB">
        <w:rPr>
          <w:rFonts w:ascii="Verdana" w:eastAsia="Times New Roman" w:hAnsi="Verdana"/>
          <w:b/>
          <w:sz w:val="20"/>
          <w:szCs w:val="20"/>
          <w:lang w:val="es-CR"/>
        </w:rPr>
        <w:t xml:space="preserve"> (propuesto por la Comisión Interamericana)</w:t>
      </w:r>
    </w:p>
    <w:p w14:paraId="5CA95E6F" w14:textId="77777777" w:rsidR="00B9638A" w:rsidRDefault="00B9638A" w:rsidP="002933BD">
      <w:pPr>
        <w:spacing w:after="0"/>
        <w:rPr>
          <w:rFonts w:eastAsia="Times New Roman"/>
          <w:color w:val="000000"/>
          <w:szCs w:val="20"/>
          <w:lang w:val="es-CR"/>
        </w:rPr>
      </w:pPr>
    </w:p>
    <w:p w14:paraId="6898A648" w14:textId="77777777" w:rsidR="00B9638A" w:rsidRPr="00B351EF" w:rsidRDefault="00B9638A" w:rsidP="002933BD">
      <w:pPr>
        <w:spacing w:after="0"/>
        <w:ind w:firstLine="360"/>
        <w:rPr>
          <w:i/>
          <w:szCs w:val="20"/>
          <w:lang w:val="es-CR"/>
        </w:rPr>
      </w:pPr>
      <w:r>
        <w:rPr>
          <w:i/>
          <w:szCs w:val="20"/>
          <w:lang w:val="es-CR"/>
        </w:rPr>
        <w:t>Propuesto</w:t>
      </w:r>
      <w:r w:rsidRPr="00B351EF">
        <w:rPr>
          <w:i/>
          <w:szCs w:val="20"/>
          <w:lang w:val="es-CR"/>
        </w:rPr>
        <w:t xml:space="preserve"> por la Comisión Interamericana</w:t>
      </w:r>
    </w:p>
    <w:p w14:paraId="43300FD1" w14:textId="77777777" w:rsidR="00B9638A" w:rsidRDefault="00B9638A" w:rsidP="002933BD">
      <w:pPr>
        <w:spacing w:after="0"/>
        <w:ind w:left="1440"/>
        <w:rPr>
          <w:szCs w:val="20"/>
          <w:highlight w:val="yellow"/>
          <w:lang w:val="es-CR"/>
        </w:rPr>
      </w:pPr>
    </w:p>
    <w:p w14:paraId="25DBA1D7" w14:textId="77777777" w:rsidR="00B9638A" w:rsidRPr="007974FF" w:rsidRDefault="00BA31C7" w:rsidP="002933BD">
      <w:pPr>
        <w:pStyle w:val="Prrafodelista"/>
        <w:ind w:left="709"/>
        <w:jc w:val="both"/>
        <w:rPr>
          <w:rFonts w:ascii="Verdana" w:hAnsi="Verdana"/>
          <w:sz w:val="20"/>
          <w:szCs w:val="20"/>
          <w:lang w:val="es-CR"/>
        </w:rPr>
      </w:pPr>
      <w:r w:rsidRPr="00BA31C7">
        <w:rPr>
          <w:rFonts w:ascii="Verdana" w:hAnsi="Verdana" w:cs="Arial"/>
          <w:sz w:val="20"/>
          <w:szCs w:val="20"/>
          <w:lang w:val="es-CR"/>
        </w:rPr>
        <w:t>(3)</w:t>
      </w:r>
      <w:r>
        <w:rPr>
          <w:rFonts w:ascii="Verdana" w:hAnsi="Verdana" w:cs="Arial"/>
          <w:i/>
          <w:sz w:val="20"/>
          <w:szCs w:val="20"/>
          <w:lang w:val="es-CR"/>
        </w:rPr>
        <w:t xml:space="preserve"> </w:t>
      </w:r>
      <w:r w:rsidR="00D22750" w:rsidRPr="007974FF">
        <w:rPr>
          <w:rFonts w:ascii="Verdana" w:hAnsi="Verdana" w:cs="Arial"/>
          <w:i/>
          <w:sz w:val="20"/>
          <w:szCs w:val="20"/>
          <w:lang w:val="es-CR"/>
        </w:rPr>
        <w:t xml:space="preserve">Roberto </w:t>
      </w:r>
      <w:proofErr w:type="spellStart"/>
      <w:r w:rsidR="00D22750" w:rsidRPr="007974FF">
        <w:rPr>
          <w:rFonts w:ascii="Verdana" w:hAnsi="Verdana" w:cs="Arial"/>
          <w:i/>
          <w:sz w:val="20"/>
          <w:szCs w:val="20"/>
          <w:lang w:val="es-CR"/>
        </w:rPr>
        <w:t>Gargarella</w:t>
      </w:r>
      <w:proofErr w:type="spellEnd"/>
      <w:r w:rsidR="00B9638A" w:rsidRPr="007974FF">
        <w:rPr>
          <w:rFonts w:ascii="Verdana" w:hAnsi="Verdana"/>
          <w:sz w:val="20"/>
          <w:szCs w:val="20"/>
          <w:lang w:val="es-CR"/>
        </w:rPr>
        <w:t xml:space="preserve">, quien rendirá dictamen pericial sobre </w:t>
      </w:r>
      <w:r w:rsidR="00D22750" w:rsidRPr="007974FF">
        <w:rPr>
          <w:rFonts w:ascii="Verdana" w:hAnsi="Verdana" w:cs="Arial"/>
          <w:sz w:val="20"/>
          <w:szCs w:val="20"/>
          <w:lang w:val="es-CR"/>
        </w:rPr>
        <w:t xml:space="preserve">los estándares internacionales aplicables para determinar las restricciones admisibles a los derechos políticos en el contexto de procesos sancionatorios. Particularmente, </w:t>
      </w:r>
      <w:r w:rsidR="007974FF">
        <w:rPr>
          <w:rFonts w:ascii="Verdana" w:hAnsi="Verdana" w:cs="Arial"/>
          <w:sz w:val="20"/>
          <w:szCs w:val="20"/>
          <w:lang w:val="es-CR"/>
        </w:rPr>
        <w:t>declarará</w:t>
      </w:r>
      <w:r w:rsidR="00D22750" w:rsidRPr="007974FF">
        <w:rPr>
          <w:rFonts w:ascii="Verdana" w:hAnsi="Verdana" w:cs="Arial"/>
          <w:sz w:val="20"/>
          <w:szCs w:val="20"/>
          <w:lang w:val="es-CR"/>
        </w:rPr>
        <w:t xml:space="preserve"> sobre la compatibilidad con la Convención Americana de la imposición de una sanción de destitución e inhabilitación a funcionarios de elección popular, tomando en especial consideración la dimensión tanto individual como colectiva de los derechos políticos protegidos por el artículo 23 de dicho instrumento. </w:t>
      </w:r>
      <w:proofErr w:type="gramStart"/>
      <w:r w:rsidR="00D22750" w:rsidRPr="007974FF">
        <w:rPr>
          <w:rFonts w:ascii="Verdana" w:hAnsi="Verdana" w:cs="Arial"/>
          <w:sz w:val="20"/>
          <w:szCs w:val="20"/>
          <w:lang w:val="es-CR"/>
        </w:rPr>
        <w:t>Igualmente</w:t>
      </w:r>
      <w:proofErr w:type="gramEnd"/>
      <w:r w:rsidR="00D22750" w:rsidRPr="007974FF">
        <w:rPr>
          <w:rFonts w:ascii="Verdana" w:hAnsi="Verdana" w:cs="Arial"/>
          <w:sz w:val="20"/>
          <w:szCs w:val="20"/>
          <w:lang w:val="es-CR"/>
        </w:rPr>
        <w:t xml:space="preserve"> sobre las garantías del debido proceso y al alcance del derecho a la protección judicial aplicables a este tipo </w:t>
      </w:r>
      <w:r w:rsidR="00D22750" w:rsidRPr="007974FF">
        <w:rPr>
          <w:rFonts w:ascii="Verdana" w:hAnsi="Verdana" w:cs="Arial"/>
          <w:sz w:val="20"/>
          <w:szCs w:val="20"/>
          <w:lang w:val="es-CR"/>
        </w:rPr>
        <w:lastRenderedPageBreak/>
        <w:t>de procedimientos, incluyendo cuando se alega el</w:t>
      </w:r>
      <w:r w:rsidR="00A62999" w:rsidRPr="007974FF">
        <w:rPr>
          <w:rFonts w:ascii="Verdana" w:hAnsi="Verdana" w:cs="Arial"/>
          <w:sz w:val="20"/>
          <w:szCs w:val="20"/>
          <w:lang w:val="es-CR"/>
        </w:rPr>
        <w:t xml:space="preserve"> uso</w:t>
      </w:r>
      <w:r w:rsidR="00D22750" w:rsidRPr="007974FF">
        <w:rPr>
          <w:rFonts w:ascii="Verdana" w:hAnsi="Verdana" w:cs="Arial"/>
          <w:sz w:val="20"/>
          <w:szCs w:val="20"/>
          <w:lang w:val="es-CR"/>
        </w:rPr>
        <w:t xml:space="preserve"> arbitrario</w:t>
      </w:r>
      <w:r w:rsidR="00A62999" w:rsidRPr="007974FF">
        <w:rPr>
          <w:rFonts w:ascii="Verdana" w:hAnsi="Verdana" w:cs="Arial"/>
          <w:sz w:val="20"/>
          <w:szCs w:val="20"/>
          <w:lang w:val="es-CR"/>
        </w:rPr>
        <w:t xml:space="preserve"> de los mismos. El perito podrá referirse a los hechos del caso a fin de ejemplificar los estándares del peritaje.</w:t>
      </w:r>
    </w:p>
    <w:p w14:paraId="75DC7192" w14:textId="77777777" w:rsidR="000F09E8" w:rsidRDefault="000F09E8" w:rsidP="002933BD">
      <w:pPr>
        <w:spacing w:after="0"/>
        <w:rPr>
          <w:szCs w:val="20"/>
          <w:lang w:val="es-CR"/>
        </w:rPr>
      </w:pPr>
    </w:p>
    <w:p w14:paraId="38043020" w14:textId="77777777" w:rsidR="002720C2" w:rsidRPr="00ED6FEF" w:rsidRDefault="002720C2" w:rsidP="002933BD">
      <w:pPr>
        <w:pStyle w:val="Prrafodelista"/>
        <w:numPr>
          <w:ilvl w:val="0"/>
          <w:numId w:val="6"/>
        </w:numPr>
        <w:ind w:left="0" w:firstLine="0"/>
        <w:jc w:val="both"/>
        <w:rPr>
          <w:rFonts w:ascii="Verdana" w:hAnsi="Verdana"/>
          <w:sz w:val="20"/>
          <w:szCs w:val="20"/>
          <w:lang w:val="es-CR"/>
        </w:rPr>
      </w:pPr>
      <w:r w:rsidRPr="00ED6FEF">
        <w:rPr>
          <w:rFonts w:ascii="Verdana" w:hAnsi="Verdana"/>
          <w:sz w:val="20"/>
          <w:szCs w:val="20"/>
          <w:lang w:val="es-CR"/>
        </w:rPr>
        <w:t xml:space="preserve">Requerir a los peritos convocados a declarar en audiencia que, de considerarlo conveniente, aporten una versión escrita de su peritaje a más tardar el </w:t>
      </w:r>
      <w:r w:rsidR="00FC4C89" w:rsidRPr="00ED6FEF">
        <w:rPr>
          <w:rFonts w:ascii="Verdana" w:hAnsi="Verdana"/>
          <w:sz w:val="20"/>
          <w:szCs w:val="20"/>
          <w:lang w:val="es-CR"/>
        </w:rPr>
        <w:t>20 de enero de 2020</w:t>
      </w:r>
      <w:r w:rsidRPr="00ED6FEF">
        <w:rPr>
          <w:rFonts w:ascii="Verdana" w:hAnsi="Verdana"/>
          <w:sz w:val="20"/>
          <w:szCs w:val="20"/>
          <w:lang w:val="es-CR"/>
        </w:rPr>
        <w:t>.</w:t>
      </w:r>
    </w:p>
    <w:p w14:paraId="13B71012" w14:textId="77777777" w:rsidR="002720C2" w:rsidRPr="002720C2" w:rsidRDefault="002720C2" w:rsidP="002933BD">
      <w:pPr>
        <w:spacing w:after="0"/>
        <w:rPr>
          <w:szCs w:val="20"/>
          <w:lang w:val="es-CR"/>
        </w:rPr>
      </w:pPr>
    </w:p>
    <w:p w14:paraId="70F05136" w14:textId="77777777" w:rsidR="00BA31C7" w:rsidRPr="002720C2" w:rsidRDefault="00B9638A" w:rsidP="002933BD">
      <w:pPr>
        <w:pStyle w:val="Prrafodelista"/>
        <w:numPr>
          <w:ilvl w:val="0"/>
          <w:numId w:val="6"/>
        </w:numPr>
        <w:ind w:left="0" w:firstLine="0"/>
        <w:contextualSpacing/>
        <w:jc w:val="both"/>
        <w:rPr>
          <w:rFonts w:ascii="Verdana" w:eastAsia="Times New Roman" w:hAnsi="Verdana"/>
          <w:sz w:val="20"/>
          <w:szCs w:val="20"/>
          <w:lang w:val="es-CR"/>
        </w:rPr>
      </w:pPr>
      <w:r w:rsidRPr="002720C2">
        <w:rPr>
          <w:rFonts w:ascii="Verdana" w:eastAsia="Times New Roman" w:hAnsi="Verdana"/>
          <w:sz w:val="20"/>
          <w:szCs w:val="20"/>
          <w:lang w:val="es-CR"/>
        </w:rPr>
        <w:t xml:space="preserve">Requerir a </w:t>
      </w:r>
      <w:r w:rsidR="00304DAC" w:rsidRPr="002720C2">
        <w:rPr>
          <w:rFonts w:ascii="Verdana" w:eastAsia="Times New Roman" w:hAnsi="Verdana"/>
          <w:sz w:val="20"/>
          <w:szCs w:val="20"/>
          <w:lang w:val="es-CR"/>
        </w:rPr>
        <w:t>Colombia</w:t>
      </w:r>
      <w:r w:rsidRPr="002720C2">
        <w:rPr>
          <w:rFonts w:ascii="Verdana" w:eastAsia="Times New Roman" w:hAnsi="Verdana"/>
          <w:sz w:val="20"/>
          <w:szCs w:val="20"/>
          <w:lang w:val="es-CR"/>
        </w:rPr>
        <w:t xml:space="preserve"> que facilite la salida y entrada de su territorio de los declarantes, si residen o se encuentran en él, quienes han sido citados en la presente Resolución a rendir declaración en la referida audiencia pública, de conformidad con lo dispuesto en el artículo 2</w:t>
      </w:r>
      <w:r w:rsidR="00BA31C7" w:rsidRPr="002720C2">
        <w:rPr>
          <w:rFonts w:ascii="Verdana" w:eastAsia="Times New Roman" w:hAnsi="Verdana"/>
          <w:sz w:val="20"/>
          <w:szCs w:val="20"/>
          <w:lang w:val="es-CR"/>
        </w:rPr>
        <w:t>6.1 del Reglamento de la Corte.</w:t>
      </w:r>
    </w:p>
    <w:p w14:paraId="4E687A2E" w14:textId="77777777" w:rsidR="00BA31C7" w:rsidRDefault="00BA31C7" w:rsidP="002933BD">
      <w:pPr>
        <w:pStyle w:val="Prrafodelista"/>
        <w:ind w:left="0"/>
        <w:contextualSpacing/>
        <w:jc w:val="both"/>
        <w:rPr>
          <w:rFonts w:ascii="Verdana" w:eastAsia="Times New Roman" w:hAnsi="Verdana"/>
          <w:sz w:val="20"/>
          <w:szCs w:val="20"/>
          <w:lang w:val="es-CR"/>
        </w:rPr>
      </w:pPr>
    </w:p>
    <w:p w14:paraId="19241067" w14:textId="77777777" w:rsidR="00B9638A" w:rsidRPr="00BA31C7" w:rsidRDefault="00B9638A" w:rsidP="002933BD">
      <w:pPr>
        <w:pStyle w:val="Prrafodelista"/>
        <w:numPr>
          <w:ilvl w:val="0"/>
          <w:numId w:val="6"/>
        </w:numPr>
        <w:ind w:left="0" w:firstLine="0"/>
        <w:contextualSpacing/>
        <w:jc w:val="both"/>
        <w:rPr>
          <w:rFonts w:ascii="Verdana" w:eastAsia="Times New Roman" w:hAnsi="Verdana"/>
          <w:sz w:val="20"/>
          <w:szCs w:val="20"/>
          <w:lang w:val="es-CR"/>
        </w:rPr>
      </w:pPr>
      <w:r w:rsidRPr="00BA31C7">
        <w:rPr>
          <w:rFonts w:ascii="Verdana" w:eastAsia="Times New Roman" w:hAnsi="Verdana"/>
          <w:sz w:val="20"/>
          <w:szCs w:val="20"/>
          <w:lang w:val="es-CR"/>
        </w:rPr>
        <w:t>Requerir, por las razones expuestas en la presente Resolución, de conformidad con el principio de economía procesal, y de la facultad que le otorga el artículo 50.1 del Reglamento de la Corte, que las siguientes personas presten su declaración ante fedatario público</w:t>
      </w:r>
      <w:r w:rsidR="000F09E8">
        <w:rPr>
          <w:rFonts w:ascii="Verdana" w:eastAsia="Times New Roman" w:hAnsi="Verdana"/>
          <w:sz w:val="20"/>
          <w:szCs w:val="20"/>
          <w:lang w:val="es-CR"/>
        </w:rPr>
        <w:t xml:space="preserve"> </w:t>
      </w:r>
      <w:r w:rsidR="000F09E8">
        <w:rPr>
          <w:rFonts w:ascii="Verdana" w:eastAsia="Times New Roman" w:hAnsi="Verdana"/>
          <w:i/>
          <w:sz w:val="20"/>
          <w:szCs w:val="20"/>
          <w:lang w:val="es-CR"/>
        </w:rPr>
        <w:t>(Affidavit)</w:t>
      </w:r>
      <w:r w:rsidRPr="00BA31C7">
        <w:rPr>
          <w:rFonts w:ascii="Verdana" w:eastAsia="Times New Roman" w:hAnsi="Verdana"/>
          <w:sz w:val="20"/>
          <w:szCs w:val="20"/>
          <w:lang w:val="es-CR"/>
        </w:rPr>
        <w:t>:</w:t>
      </w:r>
    </w:p>
    <w:p w14:paraId="17960328" w14:textId="77777777" w:rsidR="00B9638A" w:rsidRPr="00A12DED" w:rsidRDefault="00B9638A" w:rsidP="002933BD">
      <w:pPr>
        <w:spacing w:after="0"/>
        <w:contextualSpacing/>
        <w:rPr>
          <w:rFonts w:eastAsia="Times New Roman"/>
          <w:i/>
          <w:color w:val="000000"/>
          <w:szCs w:val="20"/>
          <w:lang w:val="es-CR"/>
        </w:rPr>
      </w:pPr>
    </w:p>
    <w:p w14:paraId="7103D0CC" w14:textId="6F32E570" w:rsidR="00B9638A" w:rsidRPr="000F09E8" w:rsidRDefault="000F09E8" w:rsidP="002933BD">
      <w:pPr>
        <w:spacing w:after="0"/>
        <w:rPr>
          <w:rFonts w:eastAsia="Times New Roman"/>
          <w:b/>
          <w:szCs w:val="20"/>
          <w:lang w:val="es-CR"/>
        </w:rPr>
      </w:pPr>
      <w:r>
        <w:rPr>
          <w:rFonts w:eastAsia="Times New Roman"/>
          <w:b/>
          <w:szCs w:val="20"/>
          <w:lang w:val="es-CR"/>
        </w:rPr>
        <w:t xml:space="preserve">A. </w:t>
      </w:r>
      <w:r w:rsidR="00207FDB">
        <w:rPr>
          <w:rFonts w:eastAsia="Times New Roman"/>
          <w:b/>
          <w:szCs w:val="20"/>
          <w:lang w:val="es-CR"/>
        </w:rPr>
        <w:t>Testigo</w:t>
      </w:r>
    </w:p>
    <w:p w14:paraId="3A6E15F3" w14:textId="77777777" w:rsidR="00B9638A" w:rsidRPr="00BA31C7" w:rsidRDefault="00B9638A" w:rsidP="002933BD">
      <w:pPr>
        <w:spacing w:after="0"/>
        <w:ind w:left="1440" w:firstLine="720"/>
        <w:rPr>
          <w:i/>
          <w:szCs w:val="20"/>
          <w:lang w:val="es-CR"/>
        </w:rPr>
      </w:pPr>
    </w:p>
    <w:p w14:paraId="2C4CDE39" w14:textId="77777777" w:rsidR="00B9638A" w:rsidRPr="00BA31C7" w:rsidRDefault="00B9638A" w:rsidP="002933BD">
      <w:pPr>
        <w:spacing w:after="0"/>
        <w:ind w:firstLine="426"/>
        <w:rPr>
          <w:i/>
          <w:szCs w:val="20"/>
          <w:lang w:val="es-CR"/>
        </w:rPr>
      </w:pPr>
      <w:r w:rsidRPr="00BA31C7">
        <w:rPr>
          <w:i/>
          <w:szCs w:val="20"/>
          <w:lang w:val="es-CR"/>
        </w:rPr>
        <w:t xml:space="preserve">Propuesto por los representantes </w:t>
      </w:r>
    </w:p>
    <w:p w14:paraId="1BF60D79" w14:textId="77777777" w:rsidR="00B9638A" w:rsidRPr="00BA31C7" w:rsidRDefault="00B9638A" w:rsidP="002933BD">
      <w:pPr>
        <w:spacing w:after="0"/>
        <w:rPr>
          <w:i/>
          <w:szCs w:val="20"/>
          <w:lang w:val="es-CR"/>
        </w:rPr>
      </w:pPr>
    </w:p>
    <w:p w14:paraId="496F897D" w14:textId="2642D5DF" w:rsidR="00345F90" w:rsidRDefault="004125AB" w:rsidP="002933BD">
      <w:pPr>
        <w:pStyle w:val="Prrafodelista"/>
        <w:ind w:left="709"/>
        <w:contextualSpacing/>
        <w:jc w:val="both"/>
        <w:rPr>
          <w:rFonts w:ascii="Verdana" w:hAnsi="Verdana" w:cs="Verdana"/>
          <w:sz w:val="20"/>
          <w:szCs w:val="20"/>
          <w:lang w:val="es-CR" w:bidi="en-US"/>
        </w:rPr>
      </w:pPr>
      <w:r>
        <w:rPr>
          <w:rFonts w:ascii="Verdana" w:hAnsi="Verdana" w:cs="Verdana"/>
          <w:sz w:val="20"/>
          <w:szCs w:val="20"/>
          <w:lang w:val="es-CR" w:bidi="en-US"/>
        </w:rPr>
        <w:t>(4</w:t>
      </w:r>
      <w:r w:rsidR="000F09E8" w:rsidRPr="00207FDB">
        <w:rPr>
          <w:rFonts w:ascii="Verdana" w:hAnsi="Verdana" w:cs="Verdana"/>
          <w:sz w:val="20"/>
          <w:szCs w:val="20"/>
          <w:lang w:val="es-CR" w:bidi="en-US"/>
        </w:rPr>
        <w:t xml:space="preserve">) </w:t>
      </w:r>
      <w:r w:rsidR="00A95979" w:rsidRPr="00207FDB">
        <w:rPr>
          <w:rFonts w:ascii="Verdana" w:hAnsi="Verdana" w:cs="Verdana"/>
          <w:i/>
          <w:sz w:val="20"/>
          <w:szCs w:val="20"/>
          <w:lang w:val="es-CR" w:bidi="en-US"/>
        </w:rPr>
        <w:t>Iván</w:t>
      </w:r>
      <w:r w:rsidR="00345F90" w:rsidRPr="00207FDB">
        <w:rPr>
          <w:rFonts w:ascii="Verdana" w:hAnsi="Verdana" w:cs="Verdana"/>
          <w:i/>
          <w:sz w:val="20"/>
          <w:szCs w:val="20"/>
          <w:lang w:val="es-CR" w:bidi="en-US"/>
        </w:rPr>
        <w:t xml:space="preserve"> Cepeda Castro</w:t>
      </w:r>
      <w:r w:rsidR="00B9638A" w:rsidRPr="00207FDB">
        <w:rPr>
          <w:rFonts w:ascii="Verdana" w:hAnsi="Verdana" w:cs="Verdana"/>
          <w:sz w:val="20"/>
          <w:szCs w:val="20"/>
          <w:lang w:val="es-CR" w:bidi="en-US"/>
        </w:rPr>
        <w:t>, quien declarará sobre</w:t>
      </w:r>
      <w:r w:rsidR="00345F90" w:rsidRPr="00207FDB">
        <w:rPr>
          <w:rFonts w:ascii="Verdana" w:hAnsi="Verdana" w:cs="Verdana"/>
          <w:sz w:val="20"/>
          <w:szCs w:val="20"/>
          <w:lang w:val="es-CR" w:bidi="en-US"/>
        </w:rPr>
        <w:t xml:space="preserve"> la motivación </w:t>
      </w:r>
      <w:r w:rsidR="00207FDB" w:rsidRPr="00207FDB">
        <w:rPr>
          <w:rFonts w:ascii="Verdana" w:hAnsi="Verdana" w:cs="Verdana"/>
          <w:sz w:val="20"/>
          <w:szCs w:val="20"/>
          <w:lang w:val="es-CR" w:bidi="en-US"/>
        </w:rPr>
        <w:t>política y discriminatoria del ejercicio disciplinario de la Procuraduría General de la Nación en su caso</w:t>
      </w:r>
      <w:r w:rsidR="000F09E8" w:rsidRPr="00207FDB">
        <w:rPr>
          <w:rFonts w:ascii="Verdana" w:hAnsi="Verdana" w:cs="Verdana"/>
          <w:sz w:val="20"/>
          <w:szCs w:val="20"/>
          <w:lang w:val="es-CR" w:bidi="en-US"/>
        </w:rPr>
        <w:t>.</w:t>
      </w:r>
    </w:p>
    <w:p w14:paraId="25AEE796" w14:textId="77777777" w:rsidR="00207FDB" w:rsidRDefault="00207FDB" w:rsidP="00207FDB">
      <w:pPr>
        <w:contextualSpacing/>
        <w:rPr>
          <w:rFonts w:eastAsia="Times New Roman"/>
          <w:szCs w:val="20"/>
          <w:lang w:val="es-CR"/>
        </w:rPr>
      </w:pPr>
    </w:p>
    <w:p w14:paraId="17EC0397" w14:textId="7BDBBE5D" w:rsidR="00207FDB" w:rsidRPr="000F09E8" w:rsidRDefault="00207FDB" w:rsidP="00207FDB">
      <w:pPr>
        <w:spacing w:after="0"/>
        <w:rPr>
          <w:rFonts w:eastAsia="Times New Roman"/>
          <w:b/>
          <w:szCs w:val="20"/>
          <w:lang w:val="es-CR"/>
        </w:rPr>
      </w:pPr>
      <w:r>
        <w:rPr>
          <w:rFonts w:eastAsia="Times New Roman"/>
          <w:b/>
          <w:szCs w:val="20"/>
          <w:lang w:val="es-CR"/>
        </w:rPr>
        <w:t>B. Declarante a título informativo</w:t>
      </w:r>
    </w:p>
    <w:p w14:paraId="6B14DFE7" w14:textId="77777777" w:rsidR="00207FDB" w:rsidRPr="002933BD" w:rsidRDefault="00207FDB" w:rsidP="002933BD">
      <w:pPr>
        <w:pStyle w:val="Prrafodelista"/>
        <w:rPr>
          <w:rFonts w:ascii="Verdana" w:hAnsi="Verdana"/>
          <w:sz w:val="20"/>
          <w:szCs w:val="20"/>
          <w:lang w:val="es-CR"/>
        </w:rPr>
      </w:pPr>
    </w:p>
    <w:p w14:paraId="5C3D083E" w14:textId="77777777" w:rsidR="00304DAC" w:rsidRPr="002933BD" w:rsidRDefault="00304DAC" w:rsidP="002933BD">
      <w:pPr>
        <w:spacing w:after="0"/>
        <w:ind w:left="426"/>
        <w:rPr>
          <w:i/>
          <w:szCs w:val="20"/>
          <w:lang w:val="es-CR"/>
        </w:rPr>
      </w:pPr>
      <w:r w:rsidRPr="002933BD">
        <w:rPr>
          <w:i/>
          <w:szCs w:val="20"/>
          <w:lang w:val="es-CR"/>
        </w:rPr>
        <w:t xml:space="preserve">Propuesto por el Estado </w:t>
      </w:r>
    </w:p>
    <w:p w14:paraId="2C720E63" w14:textId="77777777" w:rsidR="00304DAC" w:rsidRPr="002933BD" w:rsidRDefault="00304DAC" w:rsidP="002933BD">
      <w:pPr>
        <w:pStyle w:val="Prrafodelista"/>
        <w:rPr>
          <w:rFonts w:ascii="Verdana" w:hAnsi="Verdana"/>
          <w:sz w:val="20"/>
          <w:szCs w:val="20"/>
          <w:lang w:val="es-CR"/>
        </w:rPr>
      </w:pPr>
    </w:p>
    <w:p w14:paraId="2E9EB9F7" w14:textId="25727202" w:rsidR="00345F90" w:rsidRPr="002933BD" w:rsidRDefault="004125AB" w:rsidP="002933BD">
      <w:pPr>
        <w:pStyle w:val="Prrafodelista"/>
        <w:ind w:left="709"/>
        <w:contextualSpacing/>
        <w:jc w:val="both"/>
        <w:rPr>
          <w:rFonts w:ascii="Verdana" w:eastAsia="Times New Roman" w:hAnsi="Verdana" w:cs="Times New Roman"/>
          <w:i/>
          <w:sz w:val="20"/>
          <w:szCs w:val="20"/>
          <w:lang w:val="es-CR"/>
        </w:rPr>
      </w:pPr>
      <w:r>
        <w:rPr>
          <w:rFonts w:ascii="Verdana" w:hAnsi="Verdana" w:cs="Times New Roman"/>
          <w:sz w:val="20"/>
          <w:szCs w:val="20"/>
          <w:lang w:val="es-CR" w:bidi="en-US"/>
        </w:rPr>
        <w:t>(5</w:t>
      </w:r>
      <w:r w:rsidR="000F09E8" w:rsidRPr="002933BD">
        <w:rPr>
          <w:rFonts w:ascii="Verdana" w:hAnsi="Verdana" w:cs="Times New Roman"/>
          <w:sz w:val="20"/>
          <w:szCs w:val="20"/>
          <w:lang w:val="es-CR" w:bidi="en-US"/>
        </w:rPr>
        <w:t xml:space="preserve">) </w:t>
      </w:r>
      <w:r w:rsidR="00E34110" w:rsidRPr="002933BD">
        <w:rPr>
          <w:rFonts w:ascii="Verdana" w:hAnsi="Verdana" w:cs="Times New Roman"/>
          <w:i/>
          <w:sz w:val="20"/>
          <w:szCs w:val="20"/>
          <w:lang w:val="es-CR" w:bidi="en-US"/>
        </w:rPr>
        <w:t>Jaime Bernal Cuellar</w:t>
      </w:r>
      <w:r w:rsidR="00B9638A" w:rsidRPr="002933BD">
        <w:rPr>
          <w:rFonts w:ascii="Verdana" w:hAnsi="Verdana" w:cs="Times New Roman"/>
          <w:sz w:val="20"/>
          <w:szCs w:val="20"/>
          <w:lang w:val="es-CR" w:bidi="en-US"/>
        </w:rPr>
        <w:t xml:space="preserve">, quien declarará sobre </w:t>
      </w:r>
      <w:r w:rsidR="00E34110" w:rsidRPr="002933BD">
        <w:rPr>
          <w:rFonts w:ascii="Verdana" w:hAnsi="Verdana" w:cs="Times New Roman"/>
          <w:sz w:val="20"/>
          <w:szCs w:val="20"/>
          <w:lang w:val="es-CR"/>
        </w:rPr>
        <w:t xml:space="preserve">las garantías procesales otorgadas en el marco de los procesos disciplinarios desarrollados por la Procuraduría General de la Nación </w:t>
      </w:r>
      <w:r w:rsidR="002933BD" w:rsidRPr="002933BD">
        <w:rPr>
          <w:rFonts w:ascii="Verdana" w:hAnsi="Verdana" w:cs="Times New Roman"/>
          <w:sz w:val="20"/>
          <w:szCs w:val="20"/>
          <w:lang w:val="es-CR"/>
        </w:rPr>
        <w:t>en contra de</w:t>
      </w:r>
      <w:r w:rsidR="00E34110" w:rsidRPr="002933BD">
        <w:rPr>
          <w:rFonts w:ascii="Verdana" w:hAnsi="Verdana" w:cs="Times New Roman"/>
          <w:sz w:val="20"/>
          <w:szCs w:val="20"/>
          <w:lang w:val="es-CR"/>
        </w:rPr>
        <w:t xml:space="preserve"> servidores públicos de elección popular, así como el control judicial que existe sobre las decisiones que se profieran en esa materia</w:t>
      </w:r>
      <w:r w:rsidR="002933BD" w:rsidRPr="002933BD">
        <w:rPr>
          <w:rFonts w:ascii="Verdana" w:hAnsi="Verdana" w:cs="Times New Roman"/>
          <w:sz w:val="20"/>
          <w:szCs w:val="20"/>
          <w:lang w:val="es-CR"/>
        </w:rPr>
        <w:t xml:space="preserve"> en Colombia.</w:t>
      </w:r>
    </w:p>
    <w:p w14:paraId="1A5115F2" w14:textId="77777777" w:rsidR="00B9638A" w:rsidRPr="00BA31C7" w:rsidRDefault="00B9638A" w:rsidP="002933BD">
      <w:pPr>
        <w:pStyle w:val="Prrafodelista"/>
        <w:ind w:left="709"/>
        <w:contextualSpacing/>
        <w:jc w:val="both"/>
        <w:rPr>
          <w:rFonts w:ascii="Verdana" w:eastAsia="Times New Roman" w:hAnsi="Verdana"/>
          <w:i/>
          <w:sz w:val="20"/>
          <w:szCs w:val="20"/>
          <w:lang w:val="es-CR"/>
        </w:rPr>
      </w:pPr>
    </w:p>
    <w:p w14:paraId="33C396E4" w14:textId="2DC2B96C" w:rsidR="00B9638A" w:rsidRPr="00BA31C7" w:rsidRDefault="00207FDB" w:rsidP="002933BD">
      <w:pPr>
        <w:spacing w:after="0"/>
        <w:contextualSpacing/>
        <w:rPr>
          <w:rFonts w:eastAsia="Times New Roman"/>
          <w:b/>
          <w:color w:val="000000"/>
          <w:szCs w:val="20"/>
          <w:lang w:val="es-CR"/>
        </w:rPr>
      </w:pPr>
      <w:r>
        <w:rPr>
          <w:rFonts w:eastAsia="Times New Roman"/>
          <w:b/>
          <w:color w:val="000000"/>
          <w:szCs w:val="20"/>
          <w:lang w:val="es-CR"/>
        </w:rPr>
        <w:t>C</w:t>
      </w:r>
      <w:r w:rsidR="000F09E8">
        <w:rPr>
          <w:rFonts w:eastAsia="Times New Roman"/>
          <w:b/>
          <w:color w:val="000000"/>
          <w:szCs w:val="20"/>
          <w:lang w:val="es-CR"/>
        </w:rPr>
        <w:t xml:space="preserve">. </w:t>
      </w:r>
      <w:r w:rsidR="00B9638A" w:rsidRPr="00BA31C7">
        <w:rPr>
          <w:rFonts w:eastAsia="Times New Roman"/>
          <w:b/>
          <w:color w:val="000000"/>
          <w:szCs w:val="20"/>
          <w:lang w:val="es-CR"/>
        </w:rPr>
        <w:t>Peritos</w:t>
      </w:r>
    </w:p>
    <w:p w14:paraId="71808895" w14:textId="77777777" w:rsidR="00E34110" w:rsidRPr="00BA31C7" w:rsidRDefault="00E34110" w:rsidP="002933BD">
      <w:pPr>
        <w:spacing w:after="0"/>
        <w:ind w:left="360"/>
        <w:contextualSpacing/>
        <w:rPr>
          <w:rFonts w:eastAsia="Times New Roman"/>
          <w:b/>
          <w:color w:val="000000"/>
          <w:szCs w:val="20"/>
          <w:lang w:val="es-CR"/>
        </w:rPr>
      </w:pPr>
    </w:p>
    <w:p w14:paraId="6B04C193" w14:textId="0A268C57" w:rsidR="00B9638A" w:rsidRPr="00BA31C7" w:rsidRDefault="004125AB" w:rsidP="002933BD">
      <w:pPr>
        <w:spacing w:after="0"/>
        <w:ind w:left="567"/>
        <w:rPr>
          <w:i/>
          <w:szCs w:val="20"/>
          <w:lang w:val="es-CR"/>
        </w:rPr>
      </w:pPr>
      <w:r>
        <w:rPr>
          <w:i/>
          <w:szCs w:val="20"/>
          <w:lang w:val="es-CR"/>
        </w:rPr>
        <w:t>Propuesto</w:t>
      </w:r>
      <w:r w:rsidR="00B9638A" w:rsidRPr="00BA31C7">
        <w:rPr>
          <w:i/>
          <w:szCs w:val="20"/>
          <w:lang w:val="es-CR"/>
        </w:rPr>
        <w:t xml:space="preserve"> por los representantes</w:t>
      </w:r>
    </w:p>
    <w:p w14:paraId="30831193" w14:textId="77777777" w:rsidR="00B9638A" w:rsidRPr="00BA31C7" w:rsidRDefault="00B9638A" w:rsidP="002933BD">
      <w:pPr>
        <w:spacing w:after="0"/>
        <w:rPr>
          <w:szCs w:val="20"/>
          <w:lang w:val="es-CR"/>
        </w:rPr>
      </w:pPr>
    </w:p>
    <w:p w14:paraId="2F4600E8" w14:textId="33497B33" w:rsidR="00B9638A" w:rsidRPr="00BA31C7" w:rsidRDefault="004125AB" w:rsidP="002933BD">
      <w:pPr>
        <w:pStyle w:val="Prrafodelista"/>
        <w:autoSpaceDE w:val="0"/>
        <w:autoSpaceDN w:val="0"/>
        <w:adjustRightInd w:val="0"/>
        <w:ind w:left="709"/>
        <w:jc w:val="both"/>
        <w:rPr>
          <w:rFonts w:ascii="Verdana" w:hAnsi="Verdana"/>
          <w:sz w:val="20"/>
          <w:szCs w:val="20"/>
          <w:lang w:val="es-CR"/>
        </w:rPr>
      </w:pPr>
      <w:r>
        <w:rPr>
          <w:rFonts w:ascii="Verdana" w:hAnsi="Verdana" w:cs="Verdana"/>
          <w:sz w:val="20"/>
          <w:szCs w:val="20"/>
          <w:lang w:val="es-CR" w:bidi="en-US"/>
        </w:rPr>
        <w:t>(6</w:t>
      </w:r>
      <w:r w:rsidR="000F09E8">
        <w:rPr>
          <w:rFonts w:ascii="Verdana" w:hAnsi="Verdana" w:cs="Verdana"/>
          <w:sz w:val="20"/>
          <w:szCs w:val="20"/>
          <w:lang w:val="es-CR" w:bidi="en-US"/>
        </w:rPr>
        <w:t xml:space="preserve">) </w:t>
      </w:r>
      <w:r w:rsidR="00E34110" w:rsidRPr="00BA31C7">
        <w:rPr>
          <w:rFonts w:ascii="Verdana" w:hAnsi="Verdana" w:cs="Verdana"/>
          <w:i/>
          <w:sz w:val="20"/>
          <w:szCs w:val="20"/>
          <w:lang w:val="es-CR" w:bidi="en-US"/>
        </w:rPr>
        <w:t xml:space="preserve">Alfredo </w:t>
      </w:r>
      <w:proofErr w:type="spellStart"/>
      <w:r w:rsidR="00E34110" w:rsidRPr="00BA31C7">
        <w:rPr>
          <w:rFonts w:ascii="Verdana" w:hAnsi="Verdana" w:cs="Verdana"/>
          <w:i/>
          <w:sz w:val="20"/>
          <w:szCs w:val="20"/>
          <w:lang w:val="es-CR" w:bidi="en-US"/>
        </w:rPr>
        <w:t>Beltran</w:t>
      </w:r>
      <w:proofErr w:type="spellEnd"/>
      <w:r w:rsidR="00E34110" w:rsidRPr="00BA31C7">
        <w:rPr>
          <w:rFonts w:ascii="Verdana" w:hAnsi="Verdana" w:cs="Verdana"/>
          <w:i/>
          <w:sz w:val="20"/>
          <w:szCs w:val="20"/>
          <w:lang w:val="es-CR" w:bidi="en-US"/>
        </w:rPr>
        <w:t xml:space="preserve"> Sierra</w:t>
      </w:r>
      <w:r w:rsidR="00B9638A" w:rsidRPr="00BA31C7">
        <w:rPr>
          <w:rFonts w:ascii="Verdana" w:hAnsi="Verdana"/>
          <w:sz w:val="20"/>
          <w:szCs w:val="20"/>
          <w:lang w:val="es-CR"/>
        </w:rPr>
        <w:t xml:space="preserve">, quien rendirá dictamen pericial sobre </w:t>
      </w:r>
      <w:r w:rsidR="00E34110" w:rsidRPr="00BA31C7">
        <w:rPr>
          <w:rFonts w:ascii="Verdana" w:hAnsi="Verdana"/>
          <w:sz w:val="20"/>
          <w:szCs w:val="20"/>
          <w:lang w:val="es-CR"/>
        </w:rPr>
        <w:t xml:space="preserve">el contenido y alcance del debido proceso, tomando en consideración si las garantías judiciales propias de todo proceso, indistintamente de su naturaleza, se observan en el desarrollo de los procesos disciplinarios </w:t>
      </w:r>
      <w:r w:rsidR="00854D0B">
        <w:rPr>
          <w:rFonts w:ascii="Verdana" w:hAnsi="Verdana"/>
          <w:sz w:val="20"/>
          <w:szCs w:val="20"/>
          <w:lang w:val="es-CR"/>
        </w:rPr>
        <w:t>seguidos</w:t>
      </w:r>
      <w:r w:rsidR="00E34110" w:rsidRPr="00BA31C7">
        <w:rPr>
          <w:rFonts w:ascii="Verdana" w:hAnsi="Verdana"/>
          <w:sz w:val="20"/>
          <w:szCs w:val="20"/>
          <w:lang w:val="es-CR"/>
        </w:rPr>
        <w:t xml:space="preserve"> por la Procuraduría General de la Nación. Adicionalmente, se referirá sobre los principios que deben observarse en el marco de las investigaciones disciplinarias y sobre legitimidad que tienen las autoridades administrativas para restringir los derechos políticos de funcionarios electos por voto popular a través de este tipo de procesos y no mediante proceso penal</w:t>
      </w:r>
      <w:r w:rsidR="00B9638A" w:rsidRPr="00BA31C7">
        <w:rPr>
          <w:rFonts w:ascii="Verdana" w:hAnsi="Verdana" w:cs="ArialMT"/>
          <w:sz w:val="20"/>
          <w:szCs w:val="20"/>
          <w:lang w:val="es-CR" w:eastAsia="es-CR"/>
        </w:rPr>
        <w:t>.</w:t>
      </w:r>
    </w:p>
    <w:p w14:paraId="2B9D8938" w14:textId="77777777" w:rsidR="00B9638A" w:rsidRPr="00BA31C7" w:rsidRDefault="00B9638A" w:rsidP="002933BD">
      <w:pPr>
        <w:pStyle w:val="Prrafodelista"/>
        <w:rPr>
          <w:rFonts w:ascii="Verdana" w:hAnsi="Verdana"/>
          <w:sz w:val="20"/>
          <w:szCs w:val="20"/>
          <w:lang w:val="es-CR"/>
        </w:rPr>
      </w:pPr>
    </w:p>
    <w:p w14:paraId="6F0530CF" w14:textId="59C67ABD" w:rsidR="00E34110" w:rsidRPr="00BA31C7" w:rsidRDefault="00E34110" w:rsidP="00207FDB">
      <w:pPr>
        <w:spacing w:after="0"/>
        <w:ind w:left="426"/>
        <w:rPr>
          <w:i/>
          <w:szCs w:val="20"/>
          <w:lang w:val="es-CR"/>
        </w:rPr>
      </w:pPr>
      <w:r w:rsidRPr="00BA31C7">
        <w:rPr>
          <w:i/>
          <w:szCs w:val="20"/>
          <w:lang w:val="es-CR"/>
        </w:rPr>
        <w:t>Propuesto</w:t>
      </w:r>
      <w:r w:rsidR="004125AB">
        <w:rPr>
          <w:i/>
          <w:szCs w:val="20"/>
          <w:lang w:val="es-CR"/>
        </w:rPr>
        <w:t>s</w:t>
      </w:r>
      <w:r w:rsidRPr="00BA31C7">
        <w:rPr>
          <w:i/>
          <w:szCs w:val="20"/>
          <w:lang w:val="es-CR"/>
        </w:rPr>
        <w:t xml:space="preserve"> por el Estado</w:t>
      </w:r>
    </w:p>
    <w:p w14:paraId="352E552F" w14:textId="77777777" w:rsidR="00E34110" w:rsidRDefault="00E34110" w:rsidP="002933BD">
      <w:pPr>
        <w:pStyle w:val="Prrafodelista"/>
        <w:autoSpaceDE w:val="0"/>
        <w:autoSpaceDN w:val="0"/>
        <w:adjustRightInd w:val="0"/>
        <w:ind w:left="709"/>
        <w:jc w:val="both"/>
        <w:rPr>
          <w:rFonts w:ascii="Verdana" w:hAnsi="Verdana"/>
          <w:i/>
          <w:sz w:val="20"/>
          <w:szCs w:val="20"/>
          <w:lang w:val="es-CR"/>
        </w:rPr>
      </w:pPr>
    </w:p>
    <w:p w14:paraId="35BE492F" w14:textId="5454DB39" w:rsidR="004125AB" w:rsidRPr="007974FF" w:rsidRDefault="004125AB" w:rsidP="004125AB">
      <w:pPr>
        <w:pStyle w:val="Prrafodelista"/>
        <w:autoSpaceDE w:val="0"/>
        <w:autoSpaceDN w:val="0"/>
        <w:adjustRightInd w:val="0"/>
        <w:ind w:left="709"/>
        <w:jc w:val="both"/>
        <w:rPr>
          <w:rFonts w:ascii="Verdana" w:hAnsi="Verdana"/>
          <w:sz w:val="20"/>
          <w:szCs w:val="20"/>
          <w:lang w:val="es-CR"/>
        </w:rPr>
      </w:pPr>
      <w:r>
        <w:rPr>
          <w:rFonts w:ascii="Verdana" w:eastAsia="Times New Roman" w:hAnsi="Verdana" w:cs="Verdana"/>
          <w:sz w:val="20"/>
          <w:szCs w:val="20"/>
          <w:lang w:val="es-AR" w:eastAsia="en-US"/>
        </w:rPr>
        <w:t xml:space="preserve">(7) </w:t>
      </w:r>
      <w:r w:rsidRPr="007974FF">
        <w:rPr>
          <w:rFonts w:ascii="Verdana" w:eastAsia="Times New Roman" w:hAnsi="Verdana" w:cs="Verdana"/>
          <w:i/>
          <w:sz w:val="20"/>
          <w:szCs w:val="20"/>
          <w:lang w:val="es-AR" w:eastAsia="en-US"/>
        </w:rPr>
        <w:t xml:space="preserve">Matthias </w:t>
      </w:r>
      <w:proofErr w:type="spellStart"/>
      <w:r w:rsidRPr="007974FF">
        <w:rPr>
          <w:rFonts w:ascii="Verdana" w:eastAsia="Times New Roman" w:hAnsi="Verdana" w:cs="Verdana"/>
          <w:i/>
          <w:sz w:val="20"/>
          <w:szCs w:val="20"/>
          <w:lang w:val="es-AR" w:eastAsia="en-US"/>
        </w:rPr>
        <w:t>Herdegen</w:t>
      </w:r>
      <w:proofErr w:type="spellEnd"/>
      <w:r w:rsidRPr="007974FF">
        <w:rPr>
          <w:rFonts w:ascii="Verdana" w:eastAsia="Times New Roman" w:hAnsi="Verdana" w:cs="Verdana"/>
          <w:sz w:val="20"/>
          <w:szCs w:val="20"/>
          <w:lang w:val="es-AR" w:eastAsia="en-US"/>
        </w:rPr>
        <w:t xml:space="preserve">, quien rendirá dictamen pericial </w:t>
      </w:r>
      <w:r w:rsidRPr="007974FF">
        <w:rPr>
          <w:rFonts w:ascii="Verdana" w:hAnsi="Verdana"/>
          <w:sz w:val="20"/>
          <w:szCs w:val="20"/>
          <w:lang w:val="es-CR" w:eastAsia="es-CR"/>
        </w:rPr>
        <w:t xml:space="preserve">para analizar la convencionalidad de las facultades de las autoridades administrativas encargadas del control de la función pública para adoptar medidas que puedan restringir los derechos políticos, tales como las sanciones de destitución, suspensión e inhabilidad. El perito se referirá a las experiencias comparadas en relación con los modelos disciplinarios de </w:t>
      </w:r>
      <w:r w:rsidRPr="007974FF">
        <w:rPr>
          <w:rFonts w:ascii="Verdana" w:hAnsi="Verdana"/>
          <w:sz w:val="20"/>
          <w:szCs w:val="20"/>
          <w:lang w:val="es-CR" w:eastAsia="es-CR"/>
        </w:rPr>
        <w:lastRenderedPageBreak/>
        <w:t>naturaleza administrativa que se aplican a los funcionarios de elección popular, en los Estados Parte de la Convención Americana.</w:t>
      </w:r>
    </w:p>
    <w:p w14:paraId="243C3B5E" w14:textId="77777777" w:rsidR="004125AB" w:rsidRPr="00BA31C7" w:rsidRDefault="004125AB" w:rsidP="002933BD">
      <w:pPr>
        <w:pStyle w:val="Prrafodelista"/>
        <w:autoSpaceDE w:val="0"/>
        <w:autoSpaceDN w:val="0"/>
        <w:adjustRightInd w:val="0"/>
        <w:ind w:left="709"/>
        <w:jc w:val="both"/>
        <w:rPr>
          <w:rFonts w:ascii="Verdana" w:hAnsi="Verdana"/>
          <w:i/>
          <w:sz w:val="20"/>
          <w:szCs w:val="20"/>
          <w:lang w:val="es-CR"/>
        </w:rPr>
      </w:pPr>
    </w:p>
    <w:p w14:paraId="4D86B9C6" w14:textId="6291F68F" w:rsidR="00E34110" w:rsidRPr="000F09E8" w:rsidRDefault="004125AB" w:rsidP="002933BD">
      <w:pPr>
        <w:pStyle w:val="Prrafodelista"/>
        <w:autoSpaceDE w:val="0"/>
        <w:autoSpaceDN w:val="0"/>
        <w:adjustRightInd w:val="0"/>
        <w:ind w:left="709"/>
        <w:jc w:val="both"/>
        <w:rPr>
          <w:rFonts w:ascii="Verdana" w:hAnsi="Verdana"/>
          <w:sz w:val="20"/>
          <w:szCs w:val="20"/>
          <w:lang w:val="es-CR"/>
        </w:rPr>
      </w:pPr>
      <w:r>
        <w:rPr>
          <w:rFonts w:ascii="Verdana" w:hAnsi="Verdana" w:cs="Verdana"/>
          <w:sz w:val="20"/>
          <w:szCs w:val="20"/>
          <w:lang w:val="es-CR" w:bidi="en-US"/>
        </w:rPr>
        <w:t>(8</w:t>
      </w:r>
      <w:r w:rsidR="000F09E8" w:rsidRPr="000F09E8">
        <w:rPr>
          <w:rFonts w:ascii="Verdana" w:hAnsi="Verdana" w:cs="Verdana"/>
          <w:sz w:val="20"/>
          <w:szCs w:val="20"/>
          <w:lang w:val="es-CR" w:bidi="en-US"/>
        </w:rPr>
        <w:t xml:space="preserve">) </w:t>
      </w:r>
      <w:r w:rsidR="00E34110" w:rsidRPr="000F09E8">
        <w:rPr>
          <w:rFonts w:ascii="Verdana" w:hAnsi="Verdana" w:cs="Verdana"/>
          <w:i/>
          <w:sz w:val="20"/>
          <w:szCs w:val="20"/>
          <w:lang w:val="es-CR" w:bidi="en-US"/>
        </w:rPr>
        <w:t xml:space="preserve">Enrique </w:t>
      </w:r>
      <w:r w:rsidR="00A95979" w:rsidRPr="000F09E8">
        <w:rPr>
          <w:rFonts w:ascii="Verdana" w:hAnsi="Verdana" w:cs="Verdana"/>
          <w:i/>
          <w:sz w:val="20"/>
          <w:szCs w:val="20"/>
          <w:lang w:val="es-CR" w:bidi="en-US"/>
        </w:rPr>
        <w:t>Arévalo</w:t>
      </w:r>
      <w:r w:rsidR="00E34110" w:rsidRPr="000F09E8">
        <w:rPr>
          <w:rFonts w:ascii="Verdana" w:hAnsi="Verdana" w:cs="Verdana"/>
          <w:i/>
          <w:sz w:val="20"/>
          <w:szCs w:val="20"/>
          <w:lang w:val="es-CR" w:bidi="en-US"/>
        </w:rPr>
        <w:t xml:space="preserve"> Narváez</w:t>
      </w:r>
      <w:r w:rsidR="00E34110" w:rsidRPr="000F09E8">
        <w:rPr>
          <w:rFonts w:ascii="Verdana" w:hAnsi="Verdana"/>
          <w:sz w:val="20"/>
          <w:szCs w:val="20"/>
          <w:lang w:val="es-CR"/>
        </w:rPr>
        <w:t>, quien rendirá dictamen pericial sobre la carga de la prueba que le corresponde cumplir a</w:t>
      </w:r>
      <w:r w:rsidR="000F09E8" w:rsidRPr="000F09E8">
        <w:rPr>
          <w:rFonts w:ascii="Verdana" w:hAnsi="Verdana"/>
          <w:sz w:val="20"/>
          <w:szCs w:val="20"/>
          <w:lang w:val="es-CR"/>
        </w:rPr>
        <w:t xml:space="preserve"> una</w:t>
      </w:r>
      <w:r w:rsidR="00E34110" w:rsidRPr="000F09E8">
        <w:rPr>
          <w:rFonts w:ascii="Verdana" w:hAnsi="Verdana"/>
          <w:sz w:val="20"/>
          <w:szCs w:val="20"/>
          <w:lang w:val="es-CR"/>
        </w:rPr>
        <w:t xml:space="preserve"> presunta víctima cuando se alega la existencia de una discriminación encubierta</w:t>
      </w:r>
      <w:r w:rsidR="000F09E8" w:rsidRPr="000F09E8">
        <w:rPr>
          <w:rFonts w:ascii="Verdana" w:hAnsi="Verdana"/>
          <w:sz w:val="20"/>
          <w:szCs w:val="20"/>
          <w:lang w:val="es-CR"/>
        </w:rPr>
        <w:t xml:space="preserve"> conforme a los estándares del Sistema Interamericano de Derechos Humanos y el derecho colombiano</w:t>
      </w:r>
      <w:r w:rsidR="00E34110" w:rsidRPr="000F09E8">
        <w:rPr>
          <w:rFonts w:ascii="Verdana" w:hAnsi="Verdana"/>
          <w:sz w:val="20"/>
          <w:szCs w:val="20"/>
          <w:lang w:val="es-CR"/>
        </w:rPr>
        <w:t xml:space="preserve">. </w:t>
      </w:r>
    </w:p>
    <w:p w14:paraId="4491C8A1" w14:textId="77777777" w:rsidR="00B9638A" w:rsidRDefault="00B9638A" w:rsidP="002933BD">
      <w:pPr>
        <w:spacing w:after="0"/>
        <w:rPr>
          <w:szCs w:val="20"/>
          <w:highlight w:val="yellow"/>
          <w:lang w:val="es-CR"/>
        </w:rPr>
      </w:pPr>
    </w:p>
    <w:p w14:paraId="27CAB151" w14:textId="3B373BE9" w:rsidR="002720C2" w:rsidRPr="002933BD" w:rsidRDefault="002720C2" w:rsidP="002933BD">
      <w:pPr>
        <w:pStyle w:val="Prrafodelista"/>
        <w:numPr>
          <w:ilvl w:val="0"/>
          <w:numId w:val="19"/>
        </w:numPr>
        <w:ind w:left="0" w:firstLine="0"/>
        <w:jc w:val="both"/>
        <w:rPr>
          <w:rFonts w:ascii="Verdana" w:hAnsi="Verdana"/>
          <w:sz w:val="20"/>
          <w:szCs w:val="20"/>
          <w:lang w:val="es-CR"/>
        </w:rPr>
      </w:pPr>
      <w:r w:rsidRPr="002933BD">
        <w:rPr>
          <w:rFonts w:ascii="Verdana" w:hAnsi="Verdana"/>
          <w:sz w:val="20"/>
          <w:szCs w:val="20"/>
          <w:lang w:val="es-CR"/>
        </w:rPr>
        <w:t xml:space="preserve">Requerir a las partes y la Comisión que remitan, de considerarlo pertinente, en lo que les corresponda y en el plazo improrrogable que vence el </w:t>
      </w:r>
      <w:r w:rsidR="00207FDB" w:rsidRPr="00207FDB">
        <w:rPr>
          <w:rFonts w:ascii="Verdana" w:hAnsi="Verdana"/>
          <w:sz w:val="20"/>
          <w:szCs w:val="20"/>
          <w:lang w:val="es-CR"/>
        </w:rPr>
        <w:t>7</w:t>
      </w:r>
      <w:r w:rsidR="00FC4C89" w:rsidRPr="00207FDB">
        <w:rPr>
          <w:rFonts w:ascii="Verdana" w:hAnsi="Verdana"/>
          <w:sz w:val="20"/>
          <w:szCs w:val="20"/>
          <w:lang w:val="es-CR"/>
        </w:rPr>
        <w:t xml:space="preserve"> de enero de 2020</w:t>
      </w:r>
      <w:r w:rsidRPr="00207FDB">
        <w:rPr>
          <w:rFonts w:ascii="Verdana" w:hAnsi="Verdana"/>
          <w:sz w:val="20"/>
          <w:szCs w:val="20"/>
          <w:lang w:val="es-CR"/>
        </w:rPr>
        <w:t>,</w:t>
      </w:r>
      <w:r w:rsidRPr="002933BD">
        <w:rPr>
          <w:rFonts w:ascii="Verdana" w:hAnsi="Verdana"/>
          <w:sz w:val="20"/>
          <w:szCs w:val="20"/>
          <w:lang w:val="es-CR"/>
        </w:rPr>
        <w:t xml:space="preserve"> las preguntas que estimen pertinentes formular a través de la Corte Interamericana a los declarantes y los peritos indicados en </w:t>
      </w:r>
      <w:r w:rsidRPr="00FC4C89">
        <w:rPr>
          <w:rFonts w:ascii="Verdana" w:hAnsi="Verdana"/>
          <w:sz w:val="20"/>
          <w:szCs w:val="20"/>
          <w:lang w:val="es-CR"/>
        </w:rPr>
        <w:t>el punto resolutivo 4</w:t>
      </w:r>
      <w:r w:rsidRPr="002933BD">
        <w:rPr>
          <w:rFonts w:ascii="Verdana" w:hAnsi="Verdana"/>
          <w:sz w:val="20"/>
          <w:szCs w:val="20"/>
          <w:lang w:val="es-CR"/>
        </w:rPr>
        <w:t xml:space="preserve"> de la presente Resolución. Las declaraciones y los peritajes requeridos deberán ser presentados al Tribunal a más tardar el </w:t>
      </w:r>
      <w:r w:rsidR="00FC4C89" w:rsidRPr="00207FDB">
        <w:rPr>
          <w:rFonts w:ascii="Verdana" w:hAnsi="Verdana"/>
          <w:sz w:val="20"/>
          <w:szCs w:val="20"/>
          <w:lang w:val="es-CR"/>
        </w:rPr>
        <w:t>20 de enero de 2020</w:t>
      </w:r>
      <w:r w:rsidRPr="00207FDB">
        <w:rPr>
          <w:rFonts w:ascii="Verdana" w:hAnsi="Verdana"/>
          <w:sz w:val="20"/>
          <w:szCs w:val="20"/>
          <w:lang w:val="es-CR"/>
        </w:rPr>
        <w:t>.</w:t>
      </w:r>
    </w:p>
    <w:p w14:paraId="26012853" w14:textId="77777777" w:rsidR="002720C2" w:rsidRPr="002933BD" w:rsidRDefault="002720C2" w:rsidP="002933BD">
      <w:pPr>
        <w:pStyle w:val="Prrafodelista"/>
        <w:ind w:left="0"/>
        <w:jc w:val="both"/>
        <w:rPr>
          <w:rFonts w:ascii="Verdana" w:hAnsi="Verdana"/>
          <w:sz w:val="20"/>
          <w:szCs w:val="20"/>
          <w:lang w:val="es-CR"/>
        </w:rPr>
      </w:pPr>
    </w:p>
    <w:p w14:paraId="1574BEF6" w14:textId="77777777" w:rsidR="002720C2" w:rsidRPr="002933BD" w:rsidRDefault="002720C2" w:rsidP="002933BD">
      <w:pPr>
        <w:pStyle w:val="Prrafodelista"/>
        <w:numPr>
          <w:ilvl w:val="0"/>
          <w:numId w:val="19"/>
        </w:numPr>
        <w:ind w:left="0" w:firstLine="0"/>
        <w:jc w:val="both"/>
        <w:rPr>
          <w:rFonts w:ascii="Verdana" w:hAnsi="Verdana"/>
          <w:sz w:val="20"/>
          <w:szCs w:val="20"/>
          <w:lang w:val="es-CR"/>
        </w:rPr>
      </w:pPr>
      <w:r w:rsidRPr="002933BD">
        <w:rPr>
          <w:rFonts w:ascii="Verdana" w:hAnsi="Verdana"/>
          <w:sz w:val="20"/>
          <w:szCs w:val="20"/>
          <w:lang w:val="es-CR"/>
        </w:rPr>
        <w:t xml:space="preserve">Requerir a los representantes y al Estado que coordinen y realicen las diligencias necesarias para que, una vez recibidas las preguntas, si las hubiere, los declarantes propuestos incluyan las respuestas en sus respectivas declaraciones y dictámenes rendidos ante fedatario público, de conformidad con </w:t>
      </w:r>
      <w:r w:rsidRPr="00FC4C89">
        <w:rPr>
          <w:rFonts w:ascii="Verdana" w:hAnsi="Verdana"/>
          <w:sz w:val="20"/>
          <w:szCs w:val="20"/>
          <w:lang w:val="es-CR"/>
        </w:rPr>
        <w:t>el punto resolutivo 4</w:t>
      </w:r>
      <w:r w:rsidRPr="002933BD">
        <w:rPr>
          <w:rFonts w:ascii="Verdana" w:hAnsi="Verdana"/>
          <w:sz w:val="20"/>
          <w:szCs w:val="20"/>
          <w:lang w:val="es-CR"/>
        </w:rPr>
        <w:t xml:space="preserve"> de la presente Resolución.</w:t>
      </w:r>
    </w:p>
    <w:p w14:paraId="3ACEAFCB" w14:textId="77777777" w:rsidR="002720C2" w:rsidRPr="002933BD" w:rsidRDefault="002720C2" w:rsidP="002933BD">
      <w:pPr>
        <w:pStyle w:val="Prrafodelista"/>
        <w:rPr>
          <w:rFonts w:ascii="Verdana" w:hAnsi="Verdana"/>
          <w:sz w:val="20"/>
          <w:szCs w:val="20"/>
          <w:lang w:val="es-CR"/>
        </w:rPr>
      </w:pPr>
    </w:p>
    <w:p w14:paraId="263AE314" w14:textId="77777777" w:rsidR="002720C2" w:rsidRPr="002933BD" w:rsidRDefault="002720C2" w:rsidP="002933BD">
      <w:pPr>
        <w:pStyle w:val="Prrafodelista"/>
        <w:numPr>
          <w:ilvl w:val="0"/>
          <w:numId w:val="19"/>
        </w:numPr>
        <w:ind w:left="0" w:firstLine="0"/>
        <w:jc w:val="both"/>
        <w:rPr>
          <w:rFonts w:ascii="Verdana" w:hAnsi="Verdana"/>
          <w:sz w:val="20"/>
          <w:szCs w:val="20"/>
          <w:lang w:val="es-CR"/>
        </w:rPr>
      </w:pPr>
      <w:r w:rsidRPr="002933BD">
        <w:rPr>
          <w:rFonts w:ascii="Verdana" w:hAnsi="Verdana"/>
          <w:sz w:val="20"/>
          <w:szCs w:val="20"/>
          <w:lang w:val="es-CR"/>
        </w:rPr>
        <w:t xml:space="preserve">Disponer que, una vez recibidos los peritajes, las declaraciones y los testimonios requeridos en </w:t>
      </w:r>
      <w:r w:rsidRPr="00FC4C89">
        <w:rPr>
          <w:rFonts w:ascii="Verdana" w:hAnsi="Verdana"/>
          <w:sz w:val="20"/>
          <w:szCs w:val="20"/>
          <w:lang w:val="es-CR"/>
        </w:rPr>
        <w:t>el punto resolutivo 4,</w:t>
      </w:r>
      <w:r w:rsidRPr="002933BD">
        <w:rPr>
          <w:rFonts w:ascii="Verdana" w:hAnsi="Verdana"/>
          <w:sz w:val="20"/>
          <w:szCs w:val="20"/>
          <w:lang w:val="es-CR"/>
        </w:rPr>
        <w:t xml:space="preserve"> la Secretaría de la Corte Interamericana los transmita al Estado, a los representantes y a la Comisión para que, si lo estiman necesario y en lo que les corresponda, presenten sus observaciones a dichos peritajes y testimonio, a más tardar con sus alegatos u observaciones finales escritas, respectivamente. </w:t>
      </w:r>
    </w:p>
    <w:p w14:paraId="3C26320F" w14:textId="77777777" w:rsidR="002720C2" w:rsidRPr="002933BD" w:rsidRDefault="002720C2" w:rsidP="002933BD">
      <w:pPr>
        <w:pStyle w:val="Prrafodelista"/>
        <w:rPr>
          <w:rFonts w:ascii="Verdana" w:hAnsi="Verdana"/>
          <w:sz w:val="20"/>
          <w:szCs w:val="20"/>
          <w:lang w:val="es-CR"/>
        </w:rPr>
      </w:pPr>
    </w:p>
    <w:p w14:paraId="205B4158" w14:textId="77777777" w:rsidR="002720C2" w:rsidRPr="002933BD" w:rsidRDefault="002720C2" w:rsidP="002933BD">
      <w:pPr>
        <w:pStyle w:val="Prrafodelista"/>
        <w:numPr>
          <w:ilvl w:val="0"/>
          <w:numId w:val="19"/>
        </w:numPr>
        <w:ind w:left="0" w:firstLine="0"/>
        <w:jc w:val="both"/>
        <w:rPr>
          <w:rFonts w:ascii="Verdana" w:hAnsi="Verdana"/>
          <w:sz w:val="20"/>
          <w:szCs w:val="20"/>
          <w:lang w:val="es-CR"/>
        </w:rPr>
      </w:pPr>
      <w:r w:rsidRPr="002933BD">
        <w:rPr>
          <w:rFonts w:ascii="Verdana" w:hAnsi="Verdana"/>
          <w:sz w:val="20"/>
          <w:szCs w:val="20"/>
          <w:lang w:val="es-CR"/>
        </w:rPr>
        <w:t>Requerir a la Comisión Interamericana, a los representantes y al Estado que notifiquen la presente Resolución a las personas por ellos propuestas, que han sido convocadas a rendir declaración, de conformidad con lo dispuesto en los artículos 50.2 y 50.4 del Reglamento.</w:t>
      </w:r>
    </w:p>
    <w:p w14:paraId="67E682EA" w14:textId="77777777" w:rsidR="002720C2" w:rsidRPr="002933BD" w:rsidRDefault="002720C2" w:rsidP="002933BD">
      <w:pPr>
        <w:pStyle w:val="Prrafodelista"/>
        <w:rPr>
          <w:rFonts w:ascii="Verdana" w:hAnsi="Verdana"/>
          <w:sz w:val="20"/>
          <w:szCs w:val="20"/>
          <w:lang w:val="es-CR"/>
        </w:rPr>
      </w:pPr>
    </w:p>
    <w:p w14:paraId="113942D2" w14:textId="77777777" w:rsidR="002720C2" w:rsidRPr="002933BD" w:rsidRDefault="002720C2" w:rsidP="002933BD">
      <w:pPr>
        <w:pStyle w:val="Prrafodelista"/>
        <w:numPr>
          <w:ilvl w:val="0"/>
          <w:numId w:val="19"/>
        </w:numPr>
        <w:ind w:left="0" w:firstLine="0"/>
        <w:jc w:val="both"/>
        <w:rPr>
          <w:rFonts w:ascii="Verdana" w:hAnsi="Verdana"/>
          <w:sz w:val="20"/>
          <w:szCs w:val="20"/>
          <w:lang w:val="es-CR"/>
        </w:rPr>
      </w:pPr>
      <w:r w:rsidRPr="002933BD">
        <w:rPr>
          <w:rFonts w:ascii="Verdana" w:hAnsi="Verdana"/>
          <w:sz w:val="20"/>
          <w:szCs w:val="20"/>
          <w:lang w:val="es-CR"/>
        </w:rPr>
        <w:t xml:space="preserve">Informar a la Comisión y a las partes que deben cubrir los gastos que ocasione la aportación o rendición de la prueba propuesta por ellos, de conformidad con lo dispuesto en el artículo 60 del Reglamento. </w:t>
      </w:r>
    </w:p>
    <w:p w14:paraId="5CC536C6" w14:textId="77777777" w:rsidR="002720C2" w:rsidRPr="00227CAB" w:rsidRDefault="002720C2" w:rsidP="002933BD">
      <w:pPr>
        <w:pStyle w:val="Prrafodelista"/>
        <w:rPr>
          <w:rFonts w:ascii="Verdana" w:hAnsi="Verdana"/>
          <w:sz w:val="20"/>
          <w:szCs w:val="20"/>
          <w:lang w:val="es-ES"/>
        </w:rPr>
      </w:pPr>
    </w:p>
    <w:p w14:paraId="14D32485" w14:textId="77777777" w:rsidR="002720C2" w:rsidRPr="002933BD" w:rsidRDefault="002720C2" w:rsidP="002933BD">
      <w:pPr>
        <w:pStyle w:val="Prrafodelista"/>
        <w:numPr>
          <w:ilvl w:val="0"/>
          <w:numId w:val="19"/>
        </w:numPr>
        <w:ind w:left="0" w:firstLine="0"/>
        <w:jc w:val="both"/>
        <w:rPr>
          <w:rFonts w:ascii="Verdana" w:hAnsi="Verdana"/>
          <w:sz w:val="20"/>
          <w:szCs w:val="20"/>
          <w:lang w:val="es-CR"/>
        </w:rPr>
      </w:pPr>
      <w:r w:rsidRPr="002933BD">
        <w:rPr>
          <w:rFonts w:ascii="Verdana" w:hAnsi="Verdana"/>
          <w:sz w:val="20"/>
          <w:szCs w:val="20"/>
          <w:lang w:val="es-CR"/>
        </w:rPr>
        <w:t>Requerir a la Comisión, a los representantes y al Estado 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w:t>
      </w:r>
    </w:p>
    <w:p w14:paraId="032CCCF3" w14:textId="77777777" w:rsidR="002720C2" w:rsidRPr="002933BD" w:rsidRDefault="002720C2" w:rsidP="002933BD">
      <w:pPr>
        <w:pStyle w:val="Prrafodelista"/>
        <w:rPr>
          <w:rFonts w:ascii="Verdana" w:hAnsi="Verdana"/>
          <w:sz w:val="20"/>
          <w:szCs w:val="20"/>
          <w:lang w:val="es-CR"/>
        </w:rPr>
      </w:pPr>
    </w:p>
    <w:p w14:paraId="68BF3674" w14:textId="77777777" w:rsidR="002720C2" w:rsidRPr="002933BD" w:rsidRDefault="002720C2" w:rsidP="002933BD">
      <w:pPr>
        <w:pStyle w:val="Prrafodelista"/>
        <w:numPr>
          <w:ilvl w:val="0"/>
          <w:numId w:val="19"/>
        </w:numPr>
        <w:ind w:left="0" w:firstLine="0"/>
        <w:jc w:val="both"/>
        <w:rPr>
          <w:rFonts w:ascii="Verdana" w:hAnsi="Verdana"/>
          <w:sz w:val="20"/>
          <w:szCs w:val="20"/>
          <w:lang w:val="es-CR"/>
        </w:rPr>
      </w:pPr>
      <w:r w:rsidRPr="002933BD">
        <w:rPr>
          <w:rFonts w:ascii="Verdana" w:hAnsi="Verdana"/>
          <w:sz w:val="20"/>
          <w:szCs w:val="20"/>
          <w:lang w:val="es-CR"/>
        </w:rPr>
        <w:t>Informar a los representantes, al Estado y a la Comisión Interamericana que, al término de las declaraciones rendidas en la audiencia pública, podrán presentar ante el Tribunal sus alegatos finales orales y observaciones finales orales, respectivamente, sobre los eventuales fondo, reparacione</w:t>
      </w:r>
      <w:r w:rsidR="002933BD">
        <w:rPr>
          <w:rFonts w:ascii="Verdana" w:hAnsi="Verdana"/>
          <w:sz w:val="20"/>
          <w:szCs w:val="20"/>
          <w:lang w:val="es-CR"/>
        </w:rPr>
        <w:t>s y costas en el presente caso.</w:t>
      </w:r>
    </w:p>
    <w:p w14:paraId="0A98F87B" w14:textId="77777777" w:rsidR="002720C2" w:rsidRPr="002933BD" w:rsidRDefault="002720C2" w:rsidP="002933BD">
      <w:pPr>
        <w:pStyle w:val="Prrafodelista"/>
        <w:rPr>
          <w:rFonts w:ascii="Verdana" w:hAnsi="Verdana"/>
          <w:sz w:val="20"/>
          <w:szCs w:val="20"/>
          <w:lang w:val="es-CR"/>
        </w:rPr>
      </w:pPr>
    </w:p>
    <w:p w14:paraId="29814639" w14:textId="77777777" w:rsidR="002720C2" w:rsidRPr="002933BD" w:rsidRDefault="002720C2" w:rsidP="002933BD">
      <w:pPr>
        <w:pStyle w:val="Prrafodelista"/>
        <w:numPr>
          <w:ilvl w:val="0"/>
          <w:numId w:val="19"/>
        </w:numPr>
        <w:ind w:left="0" w:firstLine="0"/>
        <w:jc w:val="both"/>
        <w:rPr>
          <w:rFonts w:ascii="Verdana" w:hAnsi="Verdana"/>
          <w:sz w:val="20"/>
          <w:szCs w:val="20"/>
          <w:lang w:val="es-CR"/>
        </w:rPr>
      </w:pPr>
      <w:r w:rsidRPr="002933BD">
        <w:rPr>
          <w:rFonts w:ascii="Verdana" w:hAnsi="Verdana"/>
          <w:sz w:val="20"/>
          <w:szCs w:val="20"/>
          <w:lang w:val="es-CR"/>
        </w:rPr>
        <w:t xml:space="preserve">Disponer que la Secretaría de la Corte, de conformidad con lo dispuesto en el artículo 55.3 del Reglamento, indique a la Comisión Interamericana, a los representantes y al Estado el enlace donde se encontrará disponible la grabación de la audiencia pública sobre los eventuales fondo, reparaciones y costas, a la brevedad posible luego de la celebración de la referida audiencia. </w:t>
      </w:r>
    </w:p>
    <w:p w14:paraId="5F6FD3BE" w14:textId="77777777" w:rsidR="002720C2" w:rsidRPr="00227CAB" w:rsidRDefault="002720C2" w:rsidP="002933BD">
      <w:pPr>
        <w:pStyle w:val="Prrafodelista"/>
        <w:rPr>
          <w:rFonts w:ascii="Verdana" w:hAnsi="Verdana"/>
          <w:sz w:val="20"/>
          <w:szCs w:val="20"/>
          <w:lang w:val="es-ES"/>
        </w:rPr>
      </w:pPr>
    </w:p>
    <w:p w14:paraId="601B1476" w14:textId="0F024F2B" w:rsidR="002933BD" w:rsidRPr="00FC4C89" w:rsidRDefault="002720C2" w:rsidP="002933BD">
      <w:pPr>
        <w:pStyle w:val="Prrafodelista"/>
        <w:numPr>
          <w:ilvl w:val="0"/>
          <w:numId w:val="19"/>
        </w:numPr>
        <w:ind w:left="0" w:firstLine="0"/>
        <w:jc w:val="both"/>
        <w:rPr>
          <w:rFonts w:ascii="Verdana" w:hAnsi="Verdana"/>
          <w:sz w:val="20"/>
          <w:szCs w:val="20"/>
          <w:lang w:val="es-CR"/>
        </w:rPr>
      </w:pPr>
      <w:r w:rsidRPr="00FC4C89">
        <w:rPr>
          <w:rFonts w:ascii="Verdana" w:hAnsi="Verdana"/>
          <w:sz w:val="20"/>
          <w:szCs w:val="20"/>
          <w:lang w:val="es-CR"/>
        </w:rPr>
        <w:t xml:space="preserve">Informar a los representantes, al Estado y a la Comisión Interamericana que cuentan con un plazo hasta el </w:t>
      </w:r>
      <w:r w:rsidR="00794C78" w:rsidRPr="00794C78">
        <w:rPr>
          <w:rFonts w:ascii="Verdana" w:hAnsi="Verdana"/>
          <w:sz w:val="20"/>
          <w:szCs w:val="20"/>
          <w:lang w:val="es-CR"/>
        </w:rPr>
        <w:t>9</w:t>
      </w:r>
      <w:r w:rsidR="00FC4C89" w:rsidRPr="00794C78">
        <w:rPr>
          <w:rFonts w:ascii="Verdana" w:hAnsi="Verdana"/>
          <w:sz w:val="20"/>
          <w:szCs w:val="20"/>
          <w:lang w:val="es-CR"/>
        </w:rPr>
        <w:t xml:space="preserve"> de marzo de 2020</w:t>
      </w:r>
      <w:r w:rsidRPr="00FC4C89">
        <w:rPr>
          <w:rFonts w:ascii="Verdana" w:hAnsi="Verdana"/>
          <w:sz w:val="20"/>
          <w:szCs w:val="20"/>
          <w:lang w:val="es-CR"/>
        </w:rPr>
        <w:t xml:space="preserve"> para presentar sus alegatos finales escritos y </w:t>
      </w:r>
      <w:r w:rsidRPr="00FC4C89">
        <w:rPr>
          <w:rFonts w:ascii="Verdana" w:hAnsi="Verdana"/>
          <w:sz w:val="20"/>
          <w:szCs w:val="20"/>
          <w:lang w:val="es-CR"/>
        </w:rPr>
        <w:lastRenderedPageBreak/>
        <w:t xml:space="preserve">observaciones finales escritas, respectivamente, en relación con los eventuales fondo, reparaciones y costas en el presente caso. Este plazo es improrrogable e independiente de la puesta a disposición de las partes de la grabación de la audiencia pública. </w:t>
      </w:r>
    </w:p>
    <w:p w14:paraId="09ECD70D" w14:textId="6AC6A05F" w:rsidR="002933BD" w:rsidRPr="00227CAB" w:rsidRDefault="002933BD" w:rsidP="002933BD">
      <w:pPr>
        <w:pStyle w:val="Prrafodelista"/>
        <w:rPr>
          <w:rFonts w:ascii="Verdana" w:hAnsi="Verdana"/>
          <w:sz w:val="20"/>
          <w:szCs w:val="20"/>
          <w:lang w:val="es-ES"/>
        </w:rPr>
      </w:pPr>
    </w:p>
    <w:p w14:paraId="5E02BB94" w14:textId="3ED57B98" w:rsidR="00B9638A" w:rsidRPr="002933BD" w:rsidRDefault="002720C2" w:rsidP="002933BD">
      <w:pPr>
        <w:pStyle w:val="Prrafodelista"/>
        <w:numPr>
          <w:ilvl w:val="0"/>
          <w:numId w:val="19"/>
        </w:numPr>
        <w:ind w:left="0" w:firstLine="0"/>
        <w:jc w:val="both"/>
        <w:rPr>
          <w:rFonts w:ascii="Verdana" w:hAnsi="Verdana"/>
          <w:sz w:val="20"/>
          <w:szCs w:val="20"/>
          <w:lang w:val="es-CR"/>
        </w:rPr>
      </w:pPr>
      <w:r w:rsidRPr="002933BD">
        <w:rPr>
          <w:rFonts w:ascii="Verdana" w:hAnsi="Verdana"/>
          <w:sz w:val="20"/>
          <w:szCs w:val="20"/>
          <w:lang w:val="es-CR"/>
        </w:rPr>
        <w:t>Disponer que la Secretaría de la Corte Interamericana notifique la presente Resolución a la Comisión Interamericana de Derechos Humanos, a los representantes de las presuntas víctimas y a la República de Colombia.</w:t>
      </w:r>
    </w:p>
    <w:p w14:paraId="29E2FCE6" w14:textId="1B4B2B5E" w:rsidR="00FC4C89" w:rsidRDefault="00FC4C89" w:rsidP="002933BD">
      <w:pPr>
        <w:spacing w:after="0"/>
        <w:rPr>
          <w:szCs w:val="20"/>
          <w:lang w:val="es-CR"/>
        </w:rPr>
      </w:pPr>
    </w:p>
    <w:p w14:paraId="040CDF1F" w14:textId="2B0DB0DD" w:rsidR="00FC4C89" w:rsidRDefault="00FC4C89" w:rsidP="002933BD">
      <w:pPr>
        <w:spacing w:after="0"/>
        <w:rPr>
          <w:szCs w:val="20"/>
          <w:lang w:val="es-CR"/>
        </w:rPr>
      </w:pPr>
    </w:p>
    <w:p w14:paraId="510224CC" w14:textId="31CA2485" w:rsidR="00207FDB" w:rsidRPr="00A12164" w:rsidRDefault="00207FDB" w:rsidP="002933BD">
      <w:pPr>
        <w:spacing w:after="0"/>
        <w:rPr>
          <w:szCs w:val="20"/>
          <w:lang w:val="es-CR"/>
        </w:rPr>
      </w:pPr>
    </w:p>
    <w:p w14:paraId="37001CFB" w14:textId="77777777" w:rsidR="00CB434D" w:rsidRDefault="00CB434D" w:rsidP="002933BD">
      <w:pPr>
        <w:spacing w:after="0"/>
        <w:rPr>
          <w:szCs w:val="20"/>
          <w:lang w:val="es-CR"/>
        </w:rPr>
      </w:pPr>
    </w:p>
    <w:p w14:paraId="1A64A63F" w14:textId="77777777" w:rsidR="00CB434D" w:rsidRDefault="00CB434D" w:rsidP="002933BD">
      <w:pPr>
        <w:spacing w:after="0"/>
        <w:rPr>
          <w:szCs w:val="20"/>
          <w:lang w:val="es-CR"/>
        </w:rPr>
      </w:pPr>
    </w:p>
    <w:p w14:paraId="224A894B" w14:textId="77777777" w:rsidR="00CB434D" w:rsidRDefault="00CB434D" w:rsidP="002933BD">
      <w:pPr>
        <w:spacing w:after="0"/>
        <w:rPr>
          <w:szCs w:val="20"/>
          <w:lang w:val="es-CR"/>
        </w:rPr>
      </w:pPr>
    </w:p>
    <w:p w14:paraId="2081C3E3" w14:textId="77777777" w:rsidR="00CB434D" w:rsidRDefault="00CB434D" w:rsidP="002933BD">
      <w:pPr>
        <w:spacing w:after="0"/>
        <w:rPr>
          <w:szCs w:val="20"/>
          <w:lang w:val="es-CR"/>
        </w:rPr>
      </w:pPr>
    </w:p>
    <w:p w14:paraId="2D449370" w14:textId="77777777" w:rsidR="00CB434D" w:rsidRDefault="00CB434D" w:rsidP="002933BD">
      <w:pPr>
        <w:spacing w:after="0"/>
        <w:rPr>
          <w:szCs w:val="20"/>
          <w:lang w:val="es-CR"/>
        </w:rPr>
      </w:pPr>
    </w:p>
    <w:p w14:paraId="12F31415" w14:textId="3D4ADF09" w:rsidR="00AD71B2" w:rsidRDefault="00AD71B2" w:rsidP="002933BD">
      <w:pPr>
        <w:spacing w:after="0"/>
        <w:rPr>
          <w:szCs w:val="20"/>
          <w:lang w:val="es-CR"/>
        </w:rPr>
      </w:pPr>
    </w:p>
    <w:p w14:paraId="12562BA5" w14:textId="3F3E3537" w:rsidR="00AD71B2" w:rsidRDefault="00AD71B2" w:rsidP="002933BD">
      <w:pPr>
        <w:spacing w:after="0"/>
        <w:rPr>
          <w:szCs w:val="20"/>
          <w:lang w:val="es-CR"/>
        </w:rPr>
      </w:pPr>
    </w:p>
    <w:p w14:paraId="5A4A8711" w14:textId="67EE0887" w:rsidR="00207FDB" w:rsidRPr="002933BD" w:rsidRDefault="00207FDB" w:rsidP="002933BD">
      <w:pPr>
        <w:spacing w:after="0"/>
        <w:rPr>
          <w:szCs w:val="20"/>
          <w:lang w:val="es-CR"/>
        </w:rPr>
      </w:pPr>
    </w:p>
    <w:p w14:paraId="7CD85A63" w14:textId="68C8196F" w:rsidR="00B9638A" w:rsidRPr="002933BD" w:rsidRDefault="00B9638A" w:rsidP="002933BD">
      <w:pPr>
        <w:spacing w:after="0"/>
        <w:ind w:left="360"/>
        <w:jc w:val="right"/>
        <w:rPr>
          <w:szCs w:val="20"/>
          <w:lang w:val="es-CR"/>
        </w:rPr>
      </w:pPr>
      <w:r w:rsidRPr="002933BD">
        <w:rPr>
          <w:szCs w:val="20"/>
          <w:lang w:val="es-CR"/>
        </w:rPr>
        <w:t>Eduardo Ferrer Mac-</w:t>
      </w:r>
      <w:proofErr w:type="spellStart"/>
      <w:r w:rsidRPr="002933BD">
        <w:rPr>
          <w:szCs w:val="20"/>
          <w:lang w:val="es-CR"/>
        </w:rPr>
        <w:t>Gregor</w:t>
      </w:r>
      <w:proofErr w:type="spellEnd"/>
      <w:r w:rsidRPr="002933BD">
        <w:rPr>
          <w:szCs w:val="20"/>
          <w:lang w:val="es-CR"/>
        </w:rPr>
        <w:t xml:space="preserve"> </w:t>
      </w:r>
      <w:proofErr w:type="spellStart"/>
      <w:r w:rsidRPr="002933BD">
        <w:rPr>
          <w:szCs w:val="20"/>
          <w:lang w:val="es-CR"/>
        </w:rPr>
        <w:t>Poisot</w:t>
      </w:r>
      <w:proofErr w:type="spellEnd"/>
    </w:p>
    <w:p w14:paraId="131075AA" w14:textId="275B0B19" w:rsidR="00B9638A" w:rsidRPr="002933BD" w:rsidRDefault="00B9638A" w:rsidP="002933BD">
      <w:pPr>
        <w:spacing w:after="0"/>
        <w:ind w:left="360"/>
        <w:jc w:val="center"/>
        <w:rPr>
          <w:szCs w:val="20"/>
          <w:lang w:val="es-CR"/>
        </w:rPr>
      </w:pPr>
      <w:r w:rsidRPr="002933BD">
        <w:rPr>
          <w:szCs w:val="20"/>
          <w:lang w:val="es-CR"/>
        </w:rPr>
        <w:t xml:space="preserve">                                                                             Presidente</w:t>
      </w:r>
    </w:p>
    <w:p w14:paraId="797EAB3C" w14:textId="5BD6D9C3" w:rsidR="00B9638A" w:rsidRPr="002933BD" w:rsidRDefault="00B9638A" w:rsidP="002933BD">
      <w:pPr>
        <w:spacing w:after="0"/>
        <w:ind w:left="360"/>
        <w:rPr>
          <w:szCs w:val="20"/>
          <w:lang w:val="es-CR"/>
        </w:rPr>
      </w:pPr>
    </w:p>
    <w:p w14:paraId="0B7C0AA5" w14:textId="3B2CB7E1" w:rsidR="00B9638A" w:rsidRDefault="00B9638A" w:rsidP="002933BD">
      <w:pPr>
        <w:spacing w:after="0"/>
        <w:ind w:left="360"/>
        <w:rPr>
          <w:szCs w:val="20"/>
          <w:lang w:val="es-CR"/>
        </w:rPr>
      </w:pPr>
    </w:p>
    <w:p w14:paraId="30B11A82" w14:textId="17BA339E" w:rsidR="00FC4C89" w:rsidRDefault="00FC4C89" w:rsidP="002933BD">
      <w:pPr>
        <w:spacing w:after="0"/>
        <w:ind w:left="360"/>
        <w:rPr>
          <w:szCs w:val="20"/>
          <w:lang w:val="es-CR"/>
        </w:rPr>
      </w:pPr>
    </w:p>
    <w:p w14:paraId="3316612A" w14:textId="77777777" w:rsidR="00CB434D" w:rsidRDefault="00CB434D" w:rsidP="002933BD">
      <w:pPr>
        <w:spacing w:after="0"/>
        <w:ind w:left="360"/>
        <w:rPr>
          <w:szCs w:val="20"/>
          <w:lang w:val="es-CR"/>
        </w:rPr>
      </w:pPr>
    </w:p>
    <w:p w14:paraId="0BAF30CE" w14:textId="77777777" w:rsidR="00CB434D" w:rsidRDefault="00CB434D" w:rsidP="002933BD">
      <w:pPr>
        <w:spacing w:after="0"/>
        <w:ind w:left="360"/>
        <w:rPr>
          <w:szCs w:val="20"/>
          <w:lang w:val="es-CR"/>
        </w:rPr>
      </w:pPr>
    </w:p>
    <w:p w14:paraId="5AEFFBB8" w14:textId="77777777" w:rsidR="00CB434D" w:rsidRDefault="00CB434D" w:rsidP="002933BD">
      <w:pPr>
        <w:spacing w:after="0"/>
        <w:ind w:left="360"/>
        <w:rPr>
          <w:szCs w:val="20"/>
          <w:lang w:val="es-CR"/>
        </w:rPr>
      </w:pPr>
    </w:p>
    <w:p w14:paraId="1552BA68" w14:textId="62301C76" w:rsidR="00FC4C89" w:rsidRPr="002933BD" w:rsidRDefault="00FC4C89" w:rsidP="002933BD">
      <w:pPr>
        <w:spacing w:after="0"/>
        <w:ind w:left="360"/>
        <w:rPr>
          <w:szCs w:val="20"/>
          <w:lang w:val="es-CR"/>
        </w:rPr>
      </w:pPr>
    </w:p>
    <w:p w14:paraId="21C5DEB5" w14:textId="738218C2" w:rsidR="00B9638A" w:rsidRPr="002933BD" w:rsidRDefault="00B9638A" w:rsidP="002933BD">
      <w:pPr>
        <w:spacing w:after="0"/>
        <w:ind w:left="360"/>
        <w:rPr>
          <w:szCs w:val="20"/>
          <w:lang w:val="es-CR"/>
        </w:rPr>
      </w:pPr>
      <w:r w:rsidRPr="002933BD">
        <w:rPr>
          <w:szCs w:val="20"/>
          <w:lang w:val="es-CR"/>
        </w:rPr>
        <w:t xml:space="preserve">Pablo Saavedra Alessandri </w:t>
      </w:r>
    </w:p>
    <w:p w14:paraId="3EFD7EB3" w14:textId="51666CDD" w:rsidR="00B9638A" w:rsidRPr="002933BD" w:rsidRDefault="00B9638A" w:rsidP="002933BD">
      <w:pPr>
        <w:spacing w:after="0"/>
        <w:ind w:left="360"/>
        <w:rPr>
          <w:szCs w:val="20"/>
          <w:lang w:val="es-CR"/>
        </w:rPr>
      </w:pPr>
      <w:r w:rsidRPr="002933BD">
        <w:rPr>
          <w:szCs w:val="20"/>
          <w:lang w:val="es-CR"/>
        </w:rPr>
        <w:t xml:space="preserve">           Secretario </w:t>
      </w:r>
    </w:p>
    <w:p w14:paraId="1DF274AB" w14:textId="79EE0303" w:rsidR="00B9638A" w:rsidRPr="002933BD" w:rsidRDefault="00B9638A" w:rsidP="002933BD">
      <w:pPr>
        <w:spacing w:after="0"/>
        <w:ind w:left="360"/>
        <w:rPr>
          <w:szCs w:val="20"/>
          <w:lang w:val="es-CR"/>
        </w:rPr>
      </w:pPr>
    </w:p>
    <w:p w14:paraId="79727D37" w14:textId="73D29683" w:rsidR="00B9638A" w:rsidRDefault="00B9638A" w:rsidP="002933BD">
      <w:pPr>
        <w:spacing w:after="0"/>
        <w:ind w:left="360"/>
        <w:rPr>
          <w:szCs w:val="20"/>
          <w:lang w:val="es-CR"/>
        </w:rPr>
      </w:pPr>
    </w:p>
    <w:p w14:paraId="383A908E" w14:textId="672C9DC1" w:rsidR="00FC4C89" w:rsidRPr="002933BD" w:rsidRDefault="00FC4C89" w:rsidP="00FC4C89">
      <w:pPr>
        <w:spacing w:after="0"/>
        <w:rPr>
          <w:szCs w:val="20"/>
          <w:lang w:val="es-CR"/>
        </w:rPr>
      </w:pPr>
    </w:p>
    <w:p w14:paraId="39C86EE1" w14:textId="32E7D75C" w:rsidR="00B9638A" w:rsidRPr="002933BD" w:rsidRDefault="00B9638A" w:rsidP="002933BD">
      <w:pPr>
        <w:spacing w:after="0"/>
        <w:ind w:left="360"/>
        <w:rPr>
          <w:szCs w:val="20"/>
          <w:lang w:val="es-CR"/>
        </w:rPr>
      </w:pPr>
    </w:p>
    <w:p w14:paraId="595278AA" w14:textId="256391B9" w:rsidR="00B9638A" w:rsidRPr="002933BD" w:rsidRDefault="00B9638A" w:rsidP="002933BD">
      <w:pPr>
        <w:spacing w:after="0"/>
        <w:ind w:left="360"/>
        <w:rPr>
          <w:szCs w:val="20"/>
          <w:lang w:val="es-CR"/>
        </w:rPr>
      </w:pPr>
      <w:r w:rsidRPr="002933BD">
        <w:rPr>
          <w:szCs w:val="20"/>
          <w:lang w:val="es-CR"/>
        </w:rPr>
        <w:t xml:space="preserve">Comuníquese y ejecútese, </w:t>
      </w:r>
    </w:p>
    <w:p w14:paraId="4BEC042C" w14:textId="3405DAF6" w:rsidR="00B9638A" w:rsidRPr="002933BD" w:rsidRDefault="00B9638A" w:rsidP="002933BD">
      <w:pPr>
        <w:spacing w:after="0"/>
        <w:ind w:left="360"/>
        <w:rPr>
          <w:szCs w:val="20"/>
          <w:lang w:val="es-CR"/>
        </w:rPr>
      </w:pPr>
    </w:p>
    <w:p w14:paraId="3868F3D6" w14:textId="7094D188" w:rsidR="00B9638A" w:rsidRDefault="00B9638A" w:rsidP="002933BD">
      <w:pPr>
        <w:spacing w:after="0"/>
        <w:ind w:left="360"/>
        <w:rPr>
          <w:szCs w:val="20"/>
          <w:lang w:val="es-CR"/>
        </w:rPr>
      </w:pPr>
    </w:p>
    <w:p w14:paraId="0DAEF13F" w14:textId="0DAC9338" w:rsidR="00CB434D" w:rsidRDefault="00CB434D" w:rsidP="002933BD">
      <w:pPr>
        <w:spacing w:after="0"/>
        <w:ind w:left="360"/>
        <w:rPr>
          <w:szCs w:val="20"/>
          <w:lang w:val="es-CR"/>
        </w:rPr>
      </w:pPr>
    </w:p>
    <w:p w14:paraId="0B69B650" w14:textId="42126576" w:rsidR="00CB434D" w:rsidRDefault="00CB434D" w:rsidP="002933BD">
      <w:pPr>
        <w:spacing w:after="0"/>
        <w:ind w:left="360"/>
        <w:rPr>
          <w:szCs w:val="20"/>
          <w:lang w:val="es-CR"/>
        </w:rPr>
      </w:pPr>
    </w:p>
    <w:p w14:paraId="7183C5EB" w14:textId="027F879E" w:rsidR="00CB434D" w:rsidRDefault="00CB434D" w:rsidP="002933BD">
      <w:pPr>
        <w:spacing w:after="0"/>
        <w:ind w:left="360"/>
        <w:rPr>
          <w:szCs w:val="20"/>
          <w:lang w:val="es-CR"/>
        </w:rPr>
      </w:pPr>
    </w:p>
    <w:p w14:paraId="674CC4AD" w14:textId="033DC47C" w:rsidR="00CB434D" w:rsidRDefault="00CB434D" w:rsidP="002933BD">
      <w:pPr>
        <w:spacing w:after="0"/>
        <w:ind w:left="360"/>
        <w:rPr>
          <w:szCs w:val="20"/>
          <w:lang w:val="es-CR"/>
        </w:rPr>
      </w:pPr>
    </w:p>
    <w:p w14:paraId="072207E1" w14:textId="25E8F1BF" w:rsidR="00CB434D" w:rsidRPr="002933BD" w:rsidRDefault="00CB434D" w:rsidP="002933BD">
      <w:pPr>
        <w:spacing w:after="0"/>
        <w:ind w:left="360"/>
        <w:rPr>
          <w:szCs w:val="20"/>
          <w:lang w:val="es-CR"/>
        </w:rPr>
      </w:pPr>
    </w:p>
    <w:p w14:paraId="2D5F2924" w14:textId="30E8F1CB" w:rsidR="00B9638A" w:rsidRPr="002933BD" w:rsidRDefault="00B9638A" w:rsidP="002933BD">
      <w:pPr>
        <w:spacing w:after="0"/>
        <w:ind w:left="360"/>
        <w:jc w:val="right"/>
        <w:rPr>
          <w:szCs w:val="20"/>
          <w:lang w:val="es-CR"/>
        </w:rPr>
      </w:pPr>
      <w:r w:rsidRPr="002933BD">
        <w:rPr>
          <w:szCs w:val="20"/>
          <w:lang w:val="es-CR"/>
        </w:rPr>
        <w:t>Eduardo Ferrer Mac-</w:t>
      </w:r>
      <w:proofErr w:type="spellStart"/>
      <w:r w:rsidRPr="002933BD">
        <w:rPr>
          <w:szCs w:val="20"/>
          <w:lang w:val="es-CR"/>
        </w:rPr>
        <w:t>Gregor</w:t>
      </w:r>
      <w:proofErr w:type="spellEnd"/>
      <w:r w:rsidRPr="002933BD">
        <w:rPr>
          <w:szCs w:val="20"/>
          <w:lang w:val="es-CR"/>
        </w:rPr>
        <w:t xml:space="preserve"> </w:t>
      </w:r>
      <w:proofErr w:type="spellStart"/>
      <w:r w:rsidRPr="002933BD">
        <w:rPr>
          <w:szCs w:val="20"/>
          <w:lang w:val="es-CR"/>
        </w:rPr>
        <w:t>Poisot</w:t>
      </w:r>
      <w:proofErr w:type="spellEnd"/>
    </w:p>
    <w:p w14:paraId="36BA2019" w14:textId="77777777" w:rsidR="00B9638A" w:rsidRPr="002933BD" w:rsidRDefault="00B9638A" w:rsidP="002933BD">
      <w:pPr>
        <w:spacing w:after="0"/>
        <w:ind w:left="360"/>
        <w:jc w:val="center"/>
        <w:rPr>
          <w:szCs w:val="20"/>
          <w:lang w:val="es-CR"/>
        </w:rPr>
      </w:pPr>
      <w:r w:rsidRPr="002933BD">
        <w:rPr>
          <w:szCs w:val="20"/>
          <w:lang w:val="es-CR"/>
        </w:rPr>
        <w:t xml:space="preserve">                                                                              Presidente</w:t>
      </w:r>
    </w:p>
    <w:p w14:paraId="1D6E26A4" w14:textId="5B249C75" w:rsidR="00B9638A" w:rsidRPr="002933BD" w:rsidRDefault="00B9638A" w:rsidP="002933BD">
      <w:pPr>
        <w:spacing w:after="0"/>
        <w:ind w:left="360"/>
        <w:rPr>
          <w:szCs w:val="20"/>
          <w:lang w:val="es-CR"/>
        </w:rPr>
      </w:pPr>
    </w:p>
    <w:p w14:paraId="25CD26F7" w14:textId="61B448B8" w:rsidR="00B9638A" w:rsidRPr="002933BD" w:rsidRDefault="00B9638A" w:rsidP="002933BD">
      <w:pPr>
        <w:spacing w:after="0"/>
        <w:ind w:left="360"/>
        <w:rPr>
          <w:szCs w:val="20"/>
          <w:lang w:val="es-CR"/>
        </w:rPr>
      </w:pPr>
    </w:p>
    <w:p w14:paraId="4A5C8CD9" w14:textId="77777777" w:rsidR="00B9638A" w:rsidRDefault="00B9638A" w:rsidP="002933BD">
      <w:pPr>
        <w:spacing w:after="0"/>
        <w:ind w:left="360"/>
        <w:rPr>
          <w:szCs w:val="20"/>
          <w:lang w:val="es-CR"/>
        </w:rPr>
      </w:pPr>
    </w:p>
    <w:p w14:paraId="230149E6" w14:textId="1844A032" w:rsidR="00CB434D" w:rsidRDefault="00CB434D" w:rsidP="002933BD">
      <w:pPr>
        <w:spacing w:after="0"/>
        <w:ind w:left="360"/>
        <w:rPr>
          <w:szCs w:val="20"/>
          <w:lang w:val="es-CR"/>
        </w:rPr>
      </w:pPr>
    </w:p>
    <w:p w14:paraId="4AB0CAA2" w14:textId="31BBFC42" w:rsidR="00CB434D" w:rsidRPr="002933BD" w:rsidRDefault="00CB434D" w:rsidP="002933BD">
      <w:pPr>
        <w:spacing w:after="0"/>
        <w:ind w:left="360"/>
        <w:rPr>
          <w:szCs w:val="20"/>
          <w:lang w:val="es-CR"/>
        </w:rPr>
      </w:pPr>
    </w:p>
    <w:p w14:paraId="5B9446BC" w14:textId="77777777" w:rsidR="00B9638A" w:rsidRPr="002933BD" w:rsidRDefault="00B9638A" w:rsidP="002933BD">
      <w:pPr>
        <w:spacing w:after="0"/>
        <w:ind w:left="360"/>
        <w:rPr>
          <w:szCs w:val="20"/>
          <w:lang w:val="es-CR"/>
        </w:rPr>
      </w:pPr>
      <w:r w:rsidRPr="002933BD">
        <w:rPr>
          <w:szCs w:val="20"/>
          <w:lang w:val="es-CR"/>
        </w:rPr>
        <w:t xml:space="preserve">Pablo Saavedra Alessandri </w:t>
      </w:r>
    </w:p>
    <w:p w14:paraId="626A7555" w14:textId="77777777" w:rsidR="00B9638A" w:rsidRPr="002933BD" w:rsidRDefault="00B9638A" w:rsidP="002933BD">
      <w:pPr>
        <w:spacing w:after="0"/>
        <w:ind w:left="360"/>
        <w:rPr>
          <w:szCs w:val="20"/>
          <w:lang w:val="es-CR"/>
        </w:rPr>
      </w:pPr>
      <w:r w:rsidRPr="002933BD">
        <w:rPr>
          <w:szCs w:val="20"/>
          <w:lang w:val="es-CR"/>
        </w:rPr>
        <w:t xml:space="preserve">          Secretario</w:t>
      </w:r>
    </w:p>
    <w:p w14:paraId="29243252" w14:textId="77777777" w:rsidR="00FE6997" w:rsidRPr="009A4354" w:rsidRDefault="00FE6997" w:rsidP="002933BD">
      <w:pPr>
        <w:pStyle w:val="Prrafodelista"/>
        <w:ind w:left="360"/>
        <w:contextualSpacing/>
        <w:jc w:val="both"/>
        <w:rPr>
          <w:szCs w:val="20"/>
        </w:rPr>
      </w:pPr>
    </w:p>
    <w:sectPr w:rsidR="00FE6997" w:rsidRPr="009A4354" w:rsidSect="00FE6997">
      <w:footerReference w:type="default" r:id="rId8"/>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F272F" w14:textId="77777777" w:rsidR="00FE6997" w:rsidRDefault="00FE6997" w:rsidP="00DF2489">
      <w:pPr>
        <w:spacing w:after="0"/>
      </w:pPr>
      <w:r>
        <w:separator/>
      </w:r>
    </w:p>
  </w:endnote>
  <w:endnote w:type="continuationSeparator" w:id="0">
    <w:p w14:paraId="016D6517" w14:textId="77777777" w:rsidR="00FE6997" w:rsidRDefault="00FE6997" w:rsidP="00DF24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Bold">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198000"/>
      <w:docPartObj>
        <w:docPartGallery w:val="Page Numbers (Bottom of Page)"/>
        <w:docPartUnique/>
      </w:docPartObj>
    </w:sdtPr>
    <w:sdtEndPr>
      <w:rPr>
        <w:noProof/>
      </w:rPr>
    </w:sdtEndPr>
    <w:sdtContent>
      <w:p w14:paraId="12ACFEAD" w14:textId="77777777" w:rsidR="00FE6997" w:rsidRDefault="00FE6997">
        <w:pPr>
          <w:pStyle w:val="Piedepgina"/>
          <w:jc w:val="center"/>
        </w:pPr>
        <w:r>
          <w:fldChar w:fldCharType="begin"/>
        </w:r>
        <w:r>
          <w:instrText xml:space="preserve"> PAGE   \* MERGEFORMAT </w:instrText>
        </w:r>
        <w:r>
          <w:fldChar w:fldCharType="separate"/>
        </w:r>
        <w:r w:rsidR="00C06A9C">
          <w:rPr>
            <w:noProof/>
          </w:rPr>
          <w:t>4</w:t>
        </w:r>
        <w:r>
          <w:rPr>
            <w:noProof/>
          </w:rPr>
          <w:fldChar w:fldCharType="end"/>
        </w:r>
      </w:p>
    </w:sdtContent>
  </w:sdt>
  <w:p w14:paraId="11B2F1A4" w14:textId="77777777" w:rsidR="00FE6997" w:rsidRDefault="00FE69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D6435" w14:textId="77777777" w:rsidR="00FE6997" w:rsidRDefault="00FE6997" w:rsidP="00DF2489">
      <w:pPr>
        <w:spacing w:after="0"/>
      </w:pPr>
      <w:r>
        <w:separator/>
      </w:r>
    </w:p>
  </w:footnote>
  <w:footnote w:type="continuationSeparator" w:id="0">
    <w:p w14:paraId="36DB2059" w14:textId="77777777" w:rsidR="00FE6997" w:rsidRDefault="00FE6997" w:rsidP="00DF2489">
      <w:pPr>
        <w:spacing w:after="0"/>
      </w:pPr>
      <w:r>
        <w:continuationSeparator/>
      </w:r>
    </w:p>
  </w:footnote>
  <w:footnote w:id="1">
    <w:p w14:paraId="1F08E1D7" w14:textId="77777777" w:rsidR="00FE6997" w:rsidRPr="009504CB" w:rsidRDefault="00FE6997" w:rsidP="002933BD">
      <w:pPr>
        <w:pStyle w:val="Textonotapie"/>
        <w:rPr>
          <w:rFonts w:ascii="Verdana" w:hAnsi="Verdana"/>
          <w:sz w:val="16"/>
          <w:szCs w:val="16"/>
        </w:rPr>
      </w:pPr>
      <w:r w:rsidRPr="009504CB">
        <w:rPr>
          <w:rStyle w:val="Refdenotaalpie"/>
          <w:rFonts w:ascii="Verdana" w:eastAsia="Batang" w:hAnsi="Verdana"/>
          <w:sz w:val="16"/>
          <w:szCs w:val="16"/>
        </w:rPr>
        <w:footnoteRef/>
      </w:r>
      <w:r w:rsidRPr="009504CB">
        <w:rPr>
          <w:rFonts w:ascii="Verdana" w:hAnsi="Verdana"/>
          <w:sz w:val="16"/>
          <w:szCs w:val="16"/>
        </w:rPr>
        <w:t xml:space="preserve"> </w:t>
      </w:r>
      <w:r w:rsidRPr="009504CB">
        <w:rPr>
          <w:rFonts w:ascii="Verdana" w:hAnsi="Verdana"/>
          <w:sz w:val="16"/>
          <w:szCs w:val="16"/>
        </w:rPr>
        <w:tab/>
        <w:t>La Comisión informó que el perito declararía sobre “los estándares internacionales aplicables para determinar las restricciones admisibles a los derechos políticos en el contexto de procesos sancionatorios</w:t>
      </w:r>
      <w:r w:rsidR="001A53E8">
        <w:rPr>
          <w:rFonts w:ascii="Verdana" w:hAnsi="Verdana"/>
          <w:sz w:val="16"/>
          <w:szCs w:val="16"/>
        </w:rPr>
        <w:t xml:space="preserve">. </w:t>
      </w:r>
      <w:r w:rsidR="006F0C16">
        <w:rPr>
          <w:rFonts w:ascii="Verdana" w:hAnsi="Verdana"/>
          <w:sz w:val="16"/>
          <w:szCs w:val="16"/>
        </w:rPr>
        <w:t xml:space="preserve">Particularmente, tratará sobre la compatibilidad con la Convención Americana de la imposición de una sanción de destitución e inhabilitación a funcionarios de elección popular, tomando en especial consideración la dimensión tanto individual como colectiva de los derechos políticos protegidos por el artículo 23 de dicho instrumento. </w:t>
      </w:r>
      <w:proofErr w:type="gramStart"/>
      <w:r w:rsidR="006F0C16">
        <w:rPr>
          <w:rFonts w:ascii="Verdana" w:hAnsi="Verdana"/>
          <w:sz w:val="16"/>
          <w:szCs w:val="16"/>
        </w:rPr>
        <w:t>Igualmente</w:t>
      </w:r>
      <w:proofErr w:type="gramEnd"/>
      <w:r w:rsidR="006F0C16">
        <w:rPr>
          <w:rFonts w:ascii="Verdana" w:hAnsi="Verdana"/>
          <w:sz w:val="16"/>
          <w:szCs w:val="16"/>
        </w:rPr>
        <w:t xml:space="preserve"> sobre las garantías del debido proceso y al alcance del derecho a la protección judicial aplicables a este tipo de procedimientos, incluyendo cuando se alega el arbitrario de los mismos. El perito podrá referirse a los hechos del caso a fin de ejemplificar los estándares del peritaje</w:t>
      </w:r>
      <w:r w:rsidRPr="009504CB">
        <w:rPr>
          <w:rFonts w:ascii="Verdana" w:hAnsi="Verdana"/>
          <w:sz w:val="16"/>
          <w:szCs w:val="16"/>
        </w:rPr>
        <w:t>”.</w:t>
      </w:r>
    </w:p>
  </w:footnote>
  <w:footnote w:id="2">
    <w:p w14:paraId="32CCC62E" w14:textId="77777777" w:rsidR="00227CAB" w:rsidRPr="009504CB" w:rsidRDefault="00227CAB" w:rsidP="00227CAB">
      <w:pPr>
        <w:pStyle w:val="Textonotapie"/>
        <w:rPr>
          <w:rFonts w:ascii="Verdana" w:hAnsi="Verdana"/>
          <w:sz w:val="16"/>
          <w:szCs w:val="16"/>
        </w:rPr>
      </w:pPr>
      <w:r w:rsidRPr="009504CB">
        <w:rPr>
          <w:rStyle w:val="Refdenotaalpie"/>
          <w:rFonts w:ascii="Verdana" w:eastAsia="Batang" w:hAnsi="Verdana"/>
          <w:sz w:val="16"/>
          <w:szCs w:val="16"/>
        </w:rPr>
        <w:footnoteRef/>
      </w:r>
      <w:r w:rsidRPr="009504CB">
        <w:rPr>
          <w:rFonts w:ascii="Verdana" w:hAnsi="Verdana"/>
          <w:sz w:val="16"/>
          <w:szCs w:val="16"/>
        </w:rPr>
        <w:t xml:space="preserve"> </w:t>
      </w:r>
      <w:r w:rsidRPr="009504CB">
        <w:rPr>
          <w:rFonts w:ascii="Verdana" w:hAnsi="Verdana"/>
          <w:sz w:val="16"/>
          <w:szCs w:val="16"/>
        </w:rPr>
        <w:tab/>
        <w:t>El artículo 35.1.f del Reglamento establece lo siguiente: “1. El caso será sometido a la Corte mediante la presentación del informe al que se refiere el artículo 50 de la Convención, que contenga todos los hechos supuestamente violatorios, inclusive la identificación de las presuntas víctimas. Para que el caso pueda ser examinado, la Corte deberá recibir la siguiente información: […] f. cuando se afecte de manera relevante el orden público interamericano de los derechos humanos, la eventual designación de peritos, indicando el objeto de sus declaraciones y acompañando su hoja de vida”.</w:t>
      </w:r>
    </w:p>
  </w:footnote>
  <w:footnote w:id="3">
    <w:p w14:paraId="74DB9AB7" w14:textId="3B66C677" w:rsidR="00227CAB" w:rsidRPr="009504CB" w:rsidRDefault="00227CAB" w:rsidP="00227CAB">
      <w:pPr>
        <w:pStyle w:val="Textonotapie"/>
        <w:rPr>
          <w:rFonts w:ascii="Verdana" w:hAnsi="Verdana"/>
          <w:sz w:val="16"/>
          <w:szCs w:val="16"/>
        </w:rPr>
      </w:pPr>
      <w:r w:rsidRPr="009504CB">
        <w:rPr>
          <w:rStyle w:val="Refdenotaalpie"/>
          <w:rFonts w:ascii="Verdana" w:eastAsia="Batang" w:hAnsi="Verdana"/>
          <w:sz w:val="16"/>
          <w:szCs w:val="16"/>
        </w:rPr>
        <w:footnoteRef/>
      </w:r>
      <w:r w:rsidRPr="009504CB">
        <w:rPr>
          <w:rFonts w:ascii="Verdana" w:hAnsi="Verdana"/>
          <w:sz w:val="16"/>
          <w:szCs w:val="16"/>
        </w:rPr>
        <w:t xml:space="preserve"> </w:t>
      </w:r>
      <w:r w:rsidRPr="009504CB">
        <w:rPr>
          <w:rFonts w:ascii="Verdana" w:hAnsi="Verdana"/>
          <w:sz w:val="16"/>
          <w:szCs w:val="16"/>
        </w:rPr>
        <w:tab/>
      </w:r>
      <w:r w:rsidRPr="009504CB">
        <w:rPr>
          <w:rFonts w:ascii="Verdana" w:hAnsi="Verdana"/>
          <w:i/>
          <w:sz w:val="16"/>
          <w:szCs w:val="16"/>
        </w:rPr>
        <w:t xml:space="preserve">Cfr. Caso Pedro Miguel Vera </w:t>
      </w:r>
      <w:proofErr w:type="spellStart"/>
      <w:r w:rsidRPr="009504CB">
        <w:rPr>
          <w:rFonts w:ascii="Verdana" w:hAnsi="Verdana"/>
          <w:i/>
          <w:sz w:val="16"/>
          <w:szCs w:val="16"/>
        </w:rPr>
        <w:t>Vera</w:t>
      </w:r>
      <w:proofErr w:type="spellEnd"/>
      <w:r w:rsidRPr="009504CB">
        <w:rPr>
          <w:rFonts w:ascii="Verdana" w:hAnsi="Verdana"/>
          <w:i/>
          <w:sz w:val="16"/>
          <w:szCs w:val="16"/>
        </w:rPr>
        <w:t xml:space="preserve"> y otros Vs. Ecuador. Convocatoria a audiencia</w:t>
      </w:r>
      <w:r w:rsidRPr="009504CB">
        <w:rPr>
          <w:rFonts w:ascii="Verdana" w:hAnsi="Verdana"/>
          <w:sz w:val="16"/>
          <w:szCs w:val="16"/>
        </w:rPr>
        <w:t xml:space="preserve">. Resolución del </w:t>
      </w:r>
      <w:proofErr w:type="gramStart"/>
      <w:r w:rsidRPr="009504CB">
        <w:rPr>
          <w:rFonts w:ascii="Verdana" w:hAnsi="Verdana"/>
          <w:sz w:val="16"/>
          <w:szCs w:val="16"/>
        </w:rPr>
        <w:t>Presidente</w:t>
      </w:r>
      <w:proofErr w:type="gramEnd"/>
      <w:r w:rsidRPr="009504CB">
        <w:rPr>
          <w:rFonts w:ascii="Verdana" w:hAnsi="Verdana"/>
          <w:sz w:val="16"/>
          <w:szCs w:val="16"/>
        </w:rPr>
        <w:t xml:space="preserve"> de la Corte Interamericana de Derechos Humanos de 23 de diciembre de 2010, Considerando 9, y </w:t>
      </w:r>
      <w:r w:rsidR="00794C78" w:rsidRPr="00794C78">
        <w:rPr>
          <w:rStyle w:val="Textoennegrita"/>
          <w:rFonts w:ascii="Verdana" w:hAnsi="Verdana"/>
          <w:b w:val="0"/>
          <w:i/>
          <w:color w:val="000000"/>
          <w:sz w:val="16"/>
          <w:szCs w:val="16"/>
          <w:shd w:val="clear" w:color="auto" w:fill="FFFFFF"/>
        </w:rPr>
        <w:t>Caso Noguera y otros Vs. Paraguay. Convocatoria a audiencia.</w:t>
      </w:r>
      <w:r w:rsidR="00794C78" w:rsidRPr="00794C78">
        <w:rPr>
          <w:rStyle w:val="Textoennegrita"/>
          <w:rFonts w:ascii="Verdana" w:hAnsi="Verdana"/>
          <w:b w:val="0"/>
          <w:color w:val="000000"/>
          <w:sz w:val="16"/>
          <w:szCs w:val="16"/>
          <w:shd w:val="clear" w:color="auto" w:fill="FFFFFF"/>
        </w:rPr>
        <w:t xml:space="preserve"> Resolución del </w:t>
      </w:r>
      <w:proofErr w:type="gramStart"/>
      <w:r w:rsidR="00794C78" w:rsidRPr="00794C78">
        <w:rPr>
          <w:rStyle w:val="Textoennegrita"/>
          <w:rFonts w:ascii="Verdana" w:hAnsi="Verdana"/>
          <w:b w:val="0"/>
          <w:color w:val="000000"/>
          <w:sz w:val="16"/>
          <w:szCs w:val="16"/>
          <w:shd w:val="clear" w:color="auto" w:fill="FFFFFF"/>
        </w:rPr>
        <w:t>Presidente</w:t>
      </w:r>
      <w:proofErr w:type="gramEnd"/>
      <w:r w:rsidR="00794C78" w:rsidRPr="00794C78">
        <w:rPr>
          <w:rStyle w:val="Textoennegrita"/>
          <w:rFonts w:ascii="Verdana" w:hAnsi="Verdana"/>
          <w:b w:val="0"/>
          <w:color w:val="000000"/>
          <w:sz w:val="16"/>
          <w:szCs w:val="16"/>
          <w:shd w:val="clear" w:color="auto" w:fill="FFFFFF"/>
        </w:rPr>
        <w:t xml:space="preserve"> de la Corte Interamericana de Derechos Humanos de 8 de julio de 2019, párr. 9.</w:t>
      </w:r>
    </w:p>
  </w:footnote>
  <w:footnote w:id="4">
    <w:p w14:paraId="008A321A" w14:textId="22D5291C" w:rsidR="00FE6997" w:rsidRPr="009504CB" w:rsidRDefault="00FE6997" w:rsidP="002933BD">
      <w:pPr>
        <w:pStyle w:val="Textonotapie"/>
        <w:rPr>
          <w:rFonts w:ascii="Verdana" w:hAnsi="Verdana"/>
          <w:sz w:val="16"/>
          <w:szCs w:val="16"/>
        </w:rPr>
      </w:pPr>
      <w:r w:rsidRPr="009504CB">
        <w:rPr>
          <w:rStyle w:val="Refdenotaalpie"/>
          <w:rFonts w:ascii="Verdana" w:hAnsi="Verdana"/>
          <w:sz w:val="16"/>
          <w:szCs w:val="16"/>
        </w:rPr>
        <w:footnoteRef/>
      </w:r>
      <w:r w:rsidRPr="009504CB">
        <w:rPr>
          <w:rFonts w:ascii="Verdana" w:hAnsi="Verdana"/>
          <w:sz w:val="16"/>
          <w:szCs w:val="16"/>
        </w:rPr>
        <w:t xml:space="preserve"> </w:t>
      </w:r>
      <w:r w:rsidRPr="009504CB">
        <w:rPr>
          <w:rFonts w:ascii="Verdana" w:hAnsi="Verdana"/>
          <w:sz w:val="16"/>
          <w:szCs w:val="16"/>
        </w:rPr>
        <w:tab/>
        <w:t xml:space="preserve">Los representantes informaron que la declaración del señor Petro Urrego versaría sobre “la persecución de que ha sido objeto como líder político de oposición, en particular sobre los procesos disciplinarios y fiscales adelantados en su contra, en razón de sus actuaciones como Alcalde Mayor de Bogotá D.C.; las consecuencias de </w:t>
      </w:r>
      <w:proofErr w:type="spellStart"/>
      <w:r w:rsidRPr="009504CB">
        <w:rPr>
          <w:rFonts w:ascii="Verdana" w:hAnsi="Verdana"/>
          <w:sz w:val="16"/>
          <w:szCs w:val="16"/>
        </w:rPr>
        <w:t>tles</w:t>
      </w:r>
      <w:proofErr w:type="spellEnd"/>
      <w:r w:rsidRPr="009504CB">
        <w:rPr>
          <w:rFonts w:ascii="Verdana" w:hAnsi="Verdana"/>
          <w:sz w:val="16"/>
          <w:szCs w:val="16"/>
        </w:rPr>
        <w:t xml:space="preserve"> hechos en su vida personal, familiar y política; y las medidas que debería adoptar el Estado colombiano para la reparación del daño sufrido, el pleno restablecimiento de sus derechos, y las garantías de no repetición de los hechos”.</w:t>
      </w:r>
    </w:p>
  </w:footnote>
  <w:footnote w:id="5">
    <w:p w14:paraId="50B0AEFD" w14:textId="15596DC7" w:rsidR="00FE6997" w:rsidRPr="009504CB" w:rsidRDefault="00FE6997" w:rsidP="002933BD">
      <w:pPr>
        <w:pStyle w:val="Textonotapie"/>
        <w:rPr>
          <w:rFonts w:ascii="Verdana" w:hAnsi="Verdana"/>
          <w:sz w:val="16"/>
          <w:szCs w:val="16"/>
        </w:rPr>
      </w:pPr>
      <w:r w:rsidRPr="009504CB">
        <w:rPr>
          <w:rStyle w:val="Refdenotaalpie"/>
          <w:rFonts w:ascii="Verdana" w:hAnsi="Verdana"/>
          <w:sz w:val="16"/>
          <w:szCs w:val="16"/>
        </w:rPr>
        <w:footnoteRef/>
      </w:r>
      <w:r w:rsidRPr="009504CB">
        <w:rPr>
          <w:rFonts w:ascii="Verdana" w:hAnsi="Verdana"/>
          <w:sz w:val="16"/>
          <w:szCs w:val="16"/>
        </w:rPr>
        <w:t xml:space="preserve"> </w:t>
      </w:r>
      <w:r w:rsidRPr="009504CB">
        <w:rPr>
          <w:rFonts w:ascii="Verdana" w:hAnsi="Verdana"/>
          <w:sz w:val="16"/>
          <w:szCs w:val="16"/>
        </w:rPr>
        <w:tab/>
        <w:t>Los representantes informaron que la declaración del señor Cepeda Castro versaría sobre “la motivación política y discriminatoria del ejercicio disciplinario de la Procuraduría General de la Nación en su caso”.</w:t>
      </w:r>
    </w:p>
  </w:footnote>
  <w:footnote w:id="6">
    <w:p w14:paraId="10CCFD50" w14:textId="7B111E02" w:rsidR="00013DE3" w:rsidRPr="00013DE3" w:rsidRDefault="00013DE3" w:rsidP="00013DE3">
      <w:pPr>
        <w:rPr>
          <w:sz w:val="16"/>
          <w:szCs w:val="16"/>
        </w:rPr>
      </w:pPr>
      <w:r w:rsidRPr="00013DE3">
        <w:rPr>
          <w:rStyle w:val="Refdenotaalpie"/>
          <w:sz w:val="16"/>
          <w:szCs w:val="16"/>
        </w:rPr>
        <w:footnoteRef/>
      </w:r>
      <w:r>
        <w:rPr>
          <w:sz w:val="16"/>
          <w:szCs w:val="16"/>
        </w:rPr>
        <w:t xml:space="preserve"> </w:t>
      </w:r>
      <w:r w:rsidR="00794C78">
        <w:rPr>
          <w:sz w:val="16"/>
          <w:szCs w:val="16"/>
        </w:rPr>
        <w:tab/>
      </w:r>
      <w:r w:rsidRPr="000A1100">
        <w:rPr>
          <w:i/>
          <w:sz w:val="16"/>
          <w:szCs w:val="16"/>
        </w:rPr>
        <w:t>Cfr. Caso Reverón Trujillo Vs. Venezuela.</w:t>
      </w:r>
      <w:r w:rsidRPr="000A1100">
        <w:rPr>
          <w:sz w:val="16"/>
          <w:szCs w:val="16"/>
        </w:rPr>
        <w:t xml:space="preserve"> Resolución de la </w:t>
      </w:r>
      <w:proofErr w:type="gramStart"/>
      <w:r w:rsidRPr="000A1100">
        <w:rPr>
          <w:sz w:val="16"/>
          <w:szCs w:val="16"/>
        </w:rPr>
        <w:t>Presidenta</w:t>
      </w:r>
      <w:proofErr w:type="gramEnd"/>
      <w:r w:rsidRPr="000A1100">
        <w:rPr>
          <w:sz w:val="16"/>
          <w:szCs w:val="16"/>
        </w:rPr>
        <w:t xml:space="preserve"> de la Corte Interamericana de Derechos Humanos de 24 de septiembre de 2008. Considerando 18, y Cfr. </w:t>
      </w:r>
      <w:r w:rsidRPr="000A1100">
        <w:rPr>
          <w:i/>
          <w:sz w:val="16"/>
          <w:szCs w:val="16"/>
        </w:rPr>
        <w:t xml:space="preserve">Caso Yarce y Otros Vs. Colombia. </w:t>
      </w:r>
      <w:r w:rsidRPr="000A1100">
        <w:rPr>
          <w:sz w:val="16"/>
          <w:szCs w:val="16"/>
        </w:rPr>
        <w:t xml:space="preserve">Resolución del </w:t>
      </w:r>
      <w:proofErr w:type="gramStart"/>
      <w:r w:rsidRPr="000A1100">
        <w:rPr>
          <w:sz w:val="16"/>
          <w:szCs w:val="16"/>
        </w:rPr>
        <w:t>Presidente</w:t>
      </w:r>
      <w:proofErr w:type="gramEnd"/>
      <w:r w:rsidRPr="000A1100">
        <w:rPr>
          <w:sz w:val="16"/>
          <w:szCs w:val="16"/>
        </w:rPr>
        <w:t xml:space="preserve"> de la Corte Interamericana de Derechos Humanos de 26 de mayo de 2015, Considerando 47.</w:t>
      </w:r>
    </w:p>
  </w:footnote>
  <w:footnote w:id="7">
    <w:p w14:paraId="231E963E" w14:textId="5AB91B66" w:rsidR="00013DE3" w:rsidRPr="000A1100" w:rsidRDefault="00013DE3" w:rsidP="00013DE3">
      <w:pPr>
        <w:rPr>
          <w:sz w:val="16"/>
          <w:szCs w:val="16"/>
        </w:rPr>
      </w:pPr>
      <w:r w:rsidRPr="00013DE3">
        <w:rPr>
          <w:rStyle w:val="Refdenotaalpie"/>
          <w:sz w:val="16"/>
          <w:szCs w:val="16"/>
        </w:rPr>
        <w:footnoteRef/>
      </w:r>
      <w:r>
        <w:rPr>
          <w:sz w:val="16"/>
          <w:szCs w:val="16"/>
        </w:rPr>
        <w:t xml:space="preserve"> </w:t>
      </w:r>
      <w:r w:rsidR="00794C78">
        <w:rPr>
          <w:sz w:val="16"/>
          <w:szCs w:val="16"/>
        </w:rPr>
        <w:tab/>
      </w:r>
      <w:r w:rsidRPr="000A1100">
        <w:rPr>
          <w:i/>
          <w:sz w:val="16"/>
          <w:szCs w:val="16"/>
        </w:rPr>
        <w:t>Cfr. Caso Gabriela Perozo y otros Vs. Venezuela.</w:t>
      </w:r>
      <w:r w:rsidRPr="000A1100">
        <w:rPr>
          <w:sz w:val="16"/>
          <w:szCs w:val="16"/>
        </w:rPr>
        <w:t xml:space="preserve"> Resolución de la Corte de 2 de mayo de 2008, Considerando 5, y </w:t>
      </w:r>
      <w:r w:rsidRPr="000A1100">
        <w:rPr>
          <w:i/>
          <w:sz w:val="16"/>
          <w:szCs w:val="16"/>
        </w:rPr>
        <w:t>Flor Freire Vs. Ecuador</w:t>
      </w:r>
      <w:r w:rsidRPr="000A1100">
        <w:rPr>
          <w:sz w:val="16"/>
          <w:szCs w:val="16"/>
        </w:rPr>
        <w:t xml:space="preserve">. Resolución del </w:t>
      </w:r>
      <w:proofErr w:type="gramStart"/>
      <w:r w:rsidRPr="000A1100">
        <w:rPr>
          <w:sz w:val="16"/>
          <w:szCs w:val="16"/>
        </w:rPr>
        <w:t>Presidente</w:t>
      </w:r>
      <w:proofErr w:type="gramEnd"/>
      <w:r w:rsidRPr="000A1100">
        <w:rPr>
          <w:sz w:val="16"/>
          <w:szCs w:val="16"/>
        </w:rPr>
        <w:t xml:space="preserve"> de la Corte Interamericana de Derechos Humanos de 16 de diciembre de 2015, Considerando 19</w:t>
      </w:r>
      <w:r w:rsidRPr="00013DE3">
        <w:rPr>
          <w:sz w:val="16"/>
          <w:szCs w:val="16"/>
        </w:rPr>
        <w:t>.</w:t>
      </w:r>
    </w:p>
  </w:footnote>
  <w:footnote w:id="8">
    <w:p w14:paraId="25360BCF" w14:textId="64B9CE42" w:rsidR="00FE6997" w:rsidRPr="009504CB" w:rsidRDefault="00FE6997" w:rsidP="002933BD">
      <w:pPr>
        <w:pStyle w:val="Textonotapie"/>
        <w:rPr>
          <w:rFonts w:ascii="Verdana" w:hAnsi="Verdana"/>
          <w:sz w:val="16"/>
          <w:szCs w:val="16"/>
        </w:rPr>
      </w:pPr>
      <w:r w:rsidRPr="009504CB">
        <w:rPr>
          <w:rStyle w:val="Refdenotaalpie"/>
          <w:rFonts w:ascii="Verdana" w:hAnsi="Verdana"/>
          <w:sz w:val="16"/>
          <w:szCs w:val="16"/>
        </w:rPr>
        <w:footnoteRef/>
      </w:r>
      <w:r w:rsidRPr="009504CB">
        <w:rPr>
          <w:rFonts w:ascii="Verdana" w:hAnsi="Verdana"/>
          <w:sz w:val="16"/>
          <w:szCs w:val="16"/>
        </w:rPr>
        <w:t xml:space="preserve"> </w:t>
      </w:r>
      <w:r w:rsidRPr="009504CB">
        <w:rPr>
          <w:rFonts w:ascii="Verdana" w:hAnsi="Verdana"/>
          <w:sz w:val="16"/>
          <w:szCs w:val="16"/>
        </w:rPr>
        <w:tab/>
        <w:t xml:space="preserve">Los representantes informaron que el señor Beltrán Sierra declararía sobre </w:t>
      </w:r>
      <w:r w:rsidR="00A95979">
        <w:rPr>
          <w:rFonts w:ascii="Verdana" w:hAnsi="Verdana"/>
          <w:sz w:val="16"/>
          <w:szCs w:val="16"/>
        </w:rPr>
        <w:t xml:space="preserve">el </w:t>
      </w:r>
      <w:r w:rsidRPr="009504CB">
        <w:rPr>
          <w:rFonts w:ascii="Verdana" w:hAnsi="Verdana"/>
          <w:sz w:val="16"/>
          <w:szCs w:val="16"/>
        </w:rPr>
        <w:t>“contenido y alcance del debido proceso, tomando en consideración si las garantías judiciales propias de todo proceso, indistintamente de su naturaleza, se observan en el desarrollo de los procesos disciplinarios adelantados por la Procuraduría General de la Nación. Adicionalmente, se referirá sobre los principios que deben observarse en el marco de las investigaciones disciplinarias y sobre legitimidad que tienen las autoridades administrativas para restringir los derechos políticos de funcionarios electos por voto popular a través de este tipo de procesos y no mediante proceso penal”.</w:t>
      </w:r>
    </w:p>
  </w:footnote>
  <w:footnote w:id="9">
    <w:p w14:paraId="256FD8B8" w14:textId="77777777" w:rsidR="00F541D6" w:rsidRPr="00F541D6" w:rsidRDefault="00F541D6" w:rsidP="002933BD">
      <w:pPr>
        <w:pStyle w:val="Textonotapie"/>
        <w:rPr>
          <w:rFonts w:ascii="Verdana" w:hAnsi="Verdana"/>
          <w:sz w:val="16"/>
          <w:szCs w:val="16"/>
        </w:rPr>
      </w:pPr>
      <w:r w:rsidRPr="00F541D6">
        <w:rPr>
          <w:rStyle w:val="Refdenotaalpie"/>
          <w:rFonts w:ascii="Verdana" w:hAnsi="Verdana"/>
          <w:sz w:val="16"/>
          <w:szCs w:val="16"/>
        </w:rPr>
        <w:footnoteRef/>
      </w:r>
      <w:r w:rsidRPr="00F541D6">
        <w:rPr>
          <w:rFonts w:ascii="Verdana" w:hAnsi="Verdana"/>
          <w:sz w:val="16"/>
          <w:szCs w:val="16"/>
        </w:rPr>
        <w:t xml:space="preserve"> </w:t>
      </w:r>
      <w:r w:rsidRPr="00F541D6">
        <w:rPr>
          <w:rFonts w:ascii="Verdana" w:hAnsi="Verdana"/>
          <w:sz w:val="16"/>
          <w:szCs w:val="16"/>
        </w:rPr>
        <w:tab/>
        <w:t xml:space="preserve">Los representantes informaron que el señor </w:t>
      </w:r>
      <w:proofErr w:type="spellStart"/>
      <w:r w:rsidRPr="00F541D6">
        <w:rPr>
          <w:rFonts w:ascii="Verdana" w:hAnsi="Verdana"/>
          <w:sz w:val="16"/>
          <w:szCs w:val="16"/>
        </w:rPr>
        <w:t>Dulitzki</w:t>
      </w:r>
      <w:proofErr w:type="spellEnd"/>
      <w:r w:rsidRPr="00F541D6">
        <w:rPr>
          <w:rFonts w:ascii="Verdana" w:hAnsi="Verdana"/>
          <w:sz w:val="16"/>
          <w:szCs w:val="16"/>
        </w:rPr>
        <w:t xml:space="preserve"> declararía sobre “i. Cuál es la definición y alcance de la persecución política; </w:t>
      </w:r>
      <w:proofErr w:type="spellStart"/>
      <w:r w:rsidRPr="00F541D6">
        <w:rPr>
          <w:rFonts w:ascii="Verdana" w:hAnsi="Verdana"/>
          <w:sz w:val="16"/>
          <w:szCs w:val="16"/>
        </w:rPr>
        <w:t>ii</w:t>
      </w:r>
      <w:proofErr w:type="spellEnd"/>
      <w:r w:rsidRPr="00F541D6">
        <w:rPr>
          <w:rFonts w:ascii="Verdana" w:hAnsi="Verdana"/>
          <w:sz w:val="16"/>
          <w:szCs w:val="16"/>
        </w:rPr>
        <w:t xml:space="preserve">. Cuál es el impacto de la persecución política en la dimensión individual y colectiva de los derechos políticos; </w:t>
      </w:r>
      <w:proofErr w:type="spellStart"/>
      <w:r w:rsidRPr="00F541D6">
        <w:rPr>
          <w:rFonts w:ascii="Verdana" w:hAnsi="Verdana"/>
          <w:sz w:val="16"/>
          <w:szCs w:val="16"/>
        </w:rPr>
        <w:t>iii</w:t>
      </w:r>
      <w:proofErr w:type="spellEnd"/>
      <w:r w:rsidRPr="00F541D6">
        <w:rPr>
          <w:rFonts w:ascii="Verdana" w:hAnsi="Verdana"/>
          <w:sz w:val="16"/>
          <w:szCs w:val="16"/>
        </w:rPr>
        <w:t xml:space="preserve">. Cómo se ha desarrollado el concepto de persecución política en el derecho internacional y; </w:t>
      </w:r>
      <w:proofErr w:type="spellStart"/>
      <w:r w:rsidRPr="00F541D6">
        <w:rPr>
          <w:rFonts w:ascii="Verdana" w:hAnsi="Verdana"/>
          <w:sz w:val="16"/>
          <w:szCs w:val="16"/>
        </w:rPr>
        <w:t>iv</w:t>
      </w:r>
      <w:proofErr w:type="spellEnd"/>
      <w:r w:rsidRPr="00F541D6">
        <w:rPr>
          <w:rFonts w:ascii="Verdana" w:hAnsi="Verdana"/>
          <w:sz w:val="16"/>
          <w:szCs w:val="16"/>
        </w:rPr>
        <w:t>. Cuál es la relación entre persecución política y discriminación basada en opiniones políticas.</w:t>
      </w:r>
    </w:p>
  </w:footnote>
  <w:footnote w:id="10">
    <w:p w14:paraId="4ED9E07C" w14:textId="77777777" w:rsidR="00FE6997" w:rsidRPr="009504CB" w:rsidRDefault="00FE6997" w:rsidP="002933BD">
      <w:pPr>
        <w:pStyle w:val="Textonotapie"/>
        <w:rPr>
          <w:rFonts w:ascii="Verdana" w:hAnsi="Verdana"/>
          <w:sz w:val="16"/>
          <w:szCs w:val="16"/>
        </w:rPr>
      </w:pPr>
      <w:r w:rsidRPr="009504CB">
        <w:rPr>
          <w:rStyle w:val="Refdenotaalpie"/>
          <w:rFonts w:ascii="Verdana" w:hAnsi="Verdana"/>
          <w:sz w:val="16"/>
          <w:szCs w:val="16"/>
        </w:rPr>
        <w:footnoteRef/>
      </w:r>
      <w:r w:rsidRPr="009504CB">
        <w:rPr>
          <w:rFonts w:ascii="Verdana" w:hAnsi="Verdana"/>
          <w:sz w:val="16"/>
          <w:szCs w:val="16"/>
        </w:rPr>
        <w:t xml:space="preserve"> </w:t>
      </w:r>
      <w:r w:rsidRPr="009504CB">
        <w:rPr>
          <w:rFonts w:ascii="Verdana" w:hAnsi="Verdana"/>
          <w:sz w:val="16"/>
          <w:szCs w:val="16"/>
        </w:rPr>
        <w:tab/>
        <w:t xml:space="preserve">Los representantes informaron que el </w:t>
      </w:r>
      <w:r w:rsidRPr="009504CB">
        <w:rPr>
          <w:rFonts w:ascii="Verdana" w:hAnsi="Verdana" w:cs="Verdana"/>
          <w:sz w:val="16"/>
          <w:szCs w:val="16"/>
          <w:lang w:val="es-CR" w:bidi="en-US"/>
        </w:rPr>
        <w:t>Instituto de Estudios Socio-Históricos Fray Alonso de Zamora declararía sobre “los estudios de derecho comparado relacionado con los regímenes sancionatorios administrativos penales y de otros órdenes relacionados con los derechos políticos de América Latina.”</w:t>
      </w:r>
    </w:p>
  </w:footnote>
  <w:footnote w:id="11">
    <w:p w14:paraId="1785E67E" w14:textId="77777777" w:rsidR="00FE6997" w:rsidRPr="009504CB" w:rsidRDefault="00FE6997" w:rsidP="002933BD">
      <w:pPr>
        <w:pStyle w:val="Textonotapie"/>
        <w:rPr>
          <w:rFonts w:ascii="Verdana" w:hAnsi="Verdana"/>
          <w:sz w:val="16"/>
          <w:szCs w:val="16"/>
        </w:rPr>
      </w:pPr>
      <w:r w:rsidRPr="009504CB">
        <w:rPr>
          <w:rStyle w:val="Refdenotaalpie"/>
          <w:rFonts w:ascii="Verdana" w:hAnsi="Verdana"/>
          <w:sz w:val="16"/>
          <w:szCs w:val="16"/>
        </w:rPr>
        <w:footnoteRef/>
      </w:r>
      <w:r w:rsidRPr="009504CB">
        <w:rPr>
          <w:rFonts w:ascii="Verdana" w:hAnsi="Verdana"/>
          <w:sz w:val="16"/>
          <w:szCs w:val="16"/>
        </w:rPr>
        <w:t xml:space="preserve"> </w:t>
      </w:r>
      <w:r w:rsidRPr="009504CB">
        <w:rPr>
          <w:rFonts w:ascii="Verdana" w:hAnsi="Verdana"/>
          <w:sz w:val="16"/>
          <w:szCs w:val="16"/>
        </w:rPr>
        <w:tab/>
        <w:t>Los representantes informaron que el señor Gutiérrez Sanín declararía sobre “las principales características del régimen político colombiano a lo largo del Siglo XX y lo ocurrido en el Siglo XXI, así como el funcionamiento del régimen de partidos desde la perspectiva del pluralismo y la participación política, y sus consecuencias sobre los partidos de oposición”.</w:t>
      </w:r>
    </w:p>
  </w:footnote>
  <w:footnote w:id="12">
    <w:p w14:paraId="06E82367" w14:textId="77777777" w:rsidR="00FE6997" w:rsidRPr="009504CB" w:rsidRDefault="00FE6997" w:rsidP="002933BD">
      <w:pPr>
        <w:pStyle w:val="Textonotapie"/>
        <w:rPr>
          <w:rFonts w:ascii="Verdana" w:hAnsi="Verdana"/>
          <w:sz w:val="16"/>
          <w:szCs w:val="16"/>
        </w:rPr>
      </w:pPr>
      <w:r w:rsidRPr="009504CB">
        <w:rPr>
          <w:rStyle w:val="Refdenotaalpie"/>
          <w:rFonts w:ascii="Verdana" w:hAnsi="Verdana"/>
          <w:sz w:val="16"/>
          <w:szCs w:val="16"/>
        </w:rPr>
        <w:footnoteRef/>
      </w:r>
      <w:r w:rsidRPr="009504CB">
        <w:rPr>
          <w:rFonts w:ascii="Verdana" w:hAnsi="Verdana"/>
          <w:sz w:val="16"/>
          <w:szCs w:val="16"/>
        </w:rPr>
        <w:t xml:space="preserve"> </w:t>
      </w:r>
      <w:r w:rsidRPr="009504CB">
        <w:rPr>
          <w:rFonts w:ascii="Verdana" w:hAnsi="Verdana"/>
          <w:sz w:val="16"/>
          <w:szCs w:val="16"/>
        </w:rPr>
        <w:tab/>
        <w:t xml:space="preserve">Los representantes informaron que el señor Yepes Palacio declararía sobre “la noción jurídica de la persecución política y abuso del derecho. Al respecto, determinará: i. ¿Cuál es la definición y alcance de la persecución política y abuso del derecho?; </w:t>
      </w:r>
      <w:proofErr w:type="spellStart"/>
      <w:r w:rsidRPr="009504CB">
        <w:rPr>
          <w:rFonts w:ascii="Verdana" w:hAnsi="Verdana"/>
          <w:sz w:val="16"/>
          <w:szCs w:val="16"/>
        </w:rPr>
        <w:t>ii</w:t>
      </w:r>
      <w:proofErr w:type="spellEnd"/>
      <w:r w:rsidRPr="009504CB">
        <w:rPr>
          <w:rFonts w:ascii="Verdana" w:hAnsi="Verdana"/>
          <w:sz w:val="16"/>
          <w:szCs w:val="16"/>
        </w:rPr>
        <w:t xml:space="preserve">. ¿Cuál es el impacto de la persecución política y abuso del derecho en la dimensión individual y colectiva de los derechos políticos?; y </w:t>
      </w:r>
      <w:proofErr w:type="spellStart"/>
      <w:r w:rsidRPr="009504CB">
        <w:rPr>
          <w:rFonts w:ascii="Verdana" w:hAnsi="Verdana"/>
          <w:sz w:val="16"/>
          <w:szCs w:val="16"/>
        </w:rPr>
        <w:t>iii</w:t>
      </w:r>
      <w:proofErr w:type="spellEnd"/>
      <w:r w:rsidRPr="009504CB">
        <w:rPr>
          <w:rFonts w:ascii="Verdana" w:hAnsi="Verdana"/>
          <w:sz w:val="16"/>
          <w:szCs w:val="16"/>
        </w:rPr>
        <w:t>. ¿Cuál es la relación entre persecución política/abuso del derecho, con la discriminación basada en opiniones políticas?</w:t>
      </w:r>
      <w:r w:rsidR="00E34110">
        <w:rPr>
          <w:rFonts w:ascii="Verdana" w:hAnsi="Verdana"/>
          <w:sz w:val="16"/>
          <w:szCs w:val="16"/>
        </w:rPr>
        <w:t>”</w:t>
      </w:r>
    </w:p>
  </w:footnote>
  <w:footnote w:id="13">
    <w:p w14:paraId="12A2DFAB" w14:textId="77777777" w:rsidR="00FE6997" w:rsidRPr="009504CB" w:rsidRDefault="00FE6997" w:rsidP="002933BD">
      <w:pPr>
        <w:pStyle w:val="Textonotapie"/>
        <w:rPr>
          <w:rFonts w:ascii="Verdana" w:hAnsi="Verdana"/>
          <w:sz w:val="16"/>
          <w:szCs w:val="16"/>
        </w:rPr>
      </w:pPr>
      <w:r w:rsidRPr="009504CB">
        <w:rPr>
          <w:rStyle w:val="Refdenotaalpie"/>
          <w:rFonts w:ascii="Verdana" w:hAnsi="Verdana"/>
          <w:sz w:val="16"/>
          <w:szCs w:val="16"/>
        </w:rPr>
        <w:footnoteRef/>
      </w:r>
      <w:r w:rsidRPr="009504CB">
        <w:rPr>
          <w:rFonts w:ascii="Verdana" w:hAnsi="Verdana"/>
          <w:sz w:val="16"/>
          <w:szCs w:val="16"/>
        </w:rPr>
        <w:t xml:space="preserve"> </w:t>
      </w:r>
      <w:r w:rsidRPr="009504CB">
        <w:rPr>
          <w:rFonts w:ascii="Verdana" w:hAnsi="Verdana"/>
          <w:sz w:val="16"/>
          <w:szCs w:val="16"/>
        </w:rPr>
        <w:tab/>
        <w:t>Los representantes informaron que el señor César Ortiz y la señora Giraldo Durán declararía sobre “las afectaciones al debido proceso que se produjeron en el desarrollo de los procesos disciplinarios en los que actuaron como defensores y las consecuencias de las mismas”.</w:t>
      </w:r>
    </w:p>
  </w:footnote>
  <w:footnote w:id="14">
    <w:p w14:paraId="68988C41" w14:textId="77777777" w:rsidR="00FE6997" w:rsidRPr="009504CB" w:rsidRDefault="00FE6997" w:rsidP="002933BD">
      <w:pPr>
        <w:pStyle w:val="Textonotapie"/>
        <w:rPr>
          <w:rFonts w:ascii="Verdana" w:hAnsi="Verdana"/>
          <w:sz w:val="16"/>
          <w:szCs w:val="16"/>
        </w:rPr>
      </w:pPr>
      <w:r w:rsidRPr="009504CB">
        <w:rPr>
          <w:rStyle w:val="Refdenotaalpie"/>
          <w:rFonts w:ascii="Verdana" w:hAnsi="Verdana"/>
          <w:sz w:val="16"/>
          <w:szCs w:val="16"/>
        </w:rPr>
        <w:footnoteRef/>
      </w:r>
      <w:r w:rsidRPr="009504CB">
        <w:rPr>
          <w:rFonts w:ascii="Verdana" w:hAnsi="Verdana"/>
          <w:sz w:val="16"/>
          <w:szCs w:val="16"/>
        </w:rPr>
        <w:t xml:space="preserve"> </w:t>
      </w:r>
      <w:r w:rsidRPr="009504CB">
        <w:rPr>
          <w:rFonts w:ascii="Verdana" w:hAnsi="Verdana"/>
          <w:sz w:val="16"/>
          <w:szCs w:val="16"/>
        </w:rPr>
        <w:tab/>
        <w:t xml:space="preserve">El Estado informó que el señor Maya </w:t>
      </w:r>
      <w:proofErr w:type="spellStart"/>
      <w:r w:rsidRPr="009504CB">
        <w:rPr>
          <w:rFonts w:ascii="Verdana" w:hAnsi="Verdana"/>
          <w:sz w:val="16"/>
          <w:szCs w:val="16"/>
        </w:rPr>
        <w:t>Villason</w:t>
      </w:r>
      <w:proofErr w:type="spellEnd"/>
      <w:r w:rsidRPr="009504CB">
        <w:rPr>
          <w:rFonts w:ascii="Verdana" w:hAnsi="Verdana"/>
          <w:sz w:val="16"/>
          <w:szCs w:val="16"/>
        </w:rPr>
        <w:t xml:space="preserve"> declararía sobre “la importancia del control de la gestión pública en el ámbito nacional, ejercido a través de órganos de control, incluyendo un relato sobre el origen y evolución de las funciones de dichos órganos”.</w:t>
      </w:r>
    </w:p>
  </w:footnote>
  <w:footnote w:id="15">
    <w:p w14:paraId="3F4984B0" w14:textId="77777777" w:rsidR="00FE6997" w:rsidRPr="009504CB" w:rsidRDefault="00FE6997" w:rsidP="002933BD">
      <w:pPr>
        <w:pStyle w:val="Textonotapie"/>
        <w:rPr>
          <w:rFonts w:ascii="Verdana" w:hAnsi="Verdana"/>
          <w:sz w:val="16"/>
          <w:szCs w:val="16"/>
        </w:rPr>
      </w:pPr>
      <w:r w:rsidRPr="009504CB">
        <w:rPr>
          <w:rStyle w:val="Refdenotaalpie"/>
          <w:rFonts w:ascii="Verdana" w:hAnsi="Verdana"/>
          <w:sz w:val="16"/>
          <w:szCs w:val="16"/>
        </w:rPr>
        <w:footnoteRef/>
      </w:r>
      <w:r w:rsidRPr="009504CB">
        <w:rPr>
          <w:rFonts w:ascii="Verdana" w:hAnsi="Verdana"/>
          <w:sz w:val="16"/>
          <w:szCs w:val="16"/>
        </w:rPr>
        <w:t xml:space="preserve"> </w:t>
      </w:r>
      <w:r w:rsidRPr="009504CB">
        <w:rPr>
          <w:rFonts w:ascii="Verdana" w:hAnsi="Verdana"/>
          <w:sz w:val="16"/>
          <w:szCs w:val="16"/>
        </w:rPr>
        <w:tab/>
        <w:t>El Estado informó que el señor Bernal Cuellar declararía sobre “las garantías procesales otorgadas en el marco de los procesos disciplinarios desarrollados por la Procuraduría General de la Nación en relación con los servidores públicos de elección popular, así como el control judicial pleno e integral que existe sobre las decisiones que se profieran en esa materia”.</w:t>
      </w:r>
    </w:p>
  </w:footnote>
  <w:footnote w:id="16">
    <w:p w14:paraId="02741D12" w14:textId="77777777" w:rsidR="00FE6997" w:rsidRPr="009504CB" w:rsidRDefault="00FE6997" w:rsidP="002933BD">
      <w:pPr>
        <w:pStyle w:val="Textonotapie"/>
        <w:rPr>
          <w:rFonts w:ascii="Verdana" w:hAnsi="Verdana"/>
          <w:sz w:val="16"/>
          <w:szCs w:val="16"/>
        </w:rPr>
      </w:pPr>
      <w:r w:rsidRPr="009504CB">
        <w:rPr>
          <w:rStyle w:val="Refdenotaalpie"/>
          <w:rFonts w:ascii="Verdana" w:hAnsi="Verdana"/>
          <w:sz w:val="16"/>
          <w:szCs w:val="16"/>
        </w:rPr>
        <w:footnoteRef/>
      </w:r>
      <w:r w:rsidRPr="009504CB">
        <w:rPr>
          <w:rFonts w:ascii="Verdana" w:hAnsi="Verdana"/>
          <w:sz w:val="16"/>
          <w:szCs w:val="16"/>
        </w:rPr>
        <w:t xml:space="preserve"> </w:t>
      </w:r>
      <w:r w:rsidRPr="009504CB">
        <w:rPr>
          <w:rFonts w:ascii="Verdana" w:hAnsi="Verdana"/>
          <w:sz w:val="16"/>
          <w:szCs w:val="16"/>
        </w:rPr>
        <w:tab/>
        <w:t xml:space="preserve">El Estado informó que el señor </w:t>
      </w:r>
      <w:proofErr w:type="spellStart"/>
      <w:r w:rsidRPr="009504CB">
        <w:rPr>
          <w:rFonts w:ascii="Verdana" w:hAnsi="Verdana"/>
          <w:sz w:val="16"/>
          <w:szCs w:val="16"/>
        </w:rPr>
        <w:t>Herdegen</w:t>
      </w:r>
      <w:proofErr w:type="spellEnd"/>
      <w:r w:rsidRPr="009504CB">
        <w:rPr>
          <w:rFonts w:ascii="Verdana" w:hAnsi="Verdana"/>
          <w:sz w:val="16"/>
          <w:szCs w:val="16"/>
        </w:rPr>
        <w:t xml:space="preserve"> declararía sobre “la convencionalidad de las facultades de las autoridades administrativas encargadas del control de la función pública para adoptar medidas que pueden restringir los derechos políticos, tales como las sanciones de destitución, suspensión e inhabilidad. Con el fin de realizar un análisis integral a la luz de las reglas consuetudinarias de derecho internacional público aplicables, este peritaje incluirá un estudio sobre las experiencias comparadas en relación con los modelos disciplinarios de naturaleza administrativa que se aplican a los funcionarios de elección popular, en los Estados parte de la CIDH”.</w:t>
      </w:r>
    </w:p>
  </w:footnote>
  <w:footnote w:id="17">
    <w:p w14:paraId="3B8BF9CE" w14:textId="77777777" w:rsidR="00FE6997" w:rsidRPr="009504CB" w:rsidRDefault="00FE6997" w:rsidP="002933BD">
      <w:pPr>
        <w:pStyle w:val="Textonotapie"/>
        <w:rPr>
          <w:rFonts w:ascii="Verdana" w:hAnsi="Verdana"/>
          <w:sz w:val="16"/>
          <w:szCs w:val="16"/>
        </w:rPr>
      </w:pPr>
      <w:r w:rsidRPr="009504CB">
        <w:rPr>
          <w:rStyle w:val="Refdenotaalpie"/>
          <w:rFonts w:ascii="Verdana" w:hAnsi="Verdana"/>
          <w:sz w:val="16"/>
          <w:szCs w:val="16"/>
        </w:rPr>
        <w:footnoteRef/>
      </w:r>
      <w:r w:rsidRPr="009504CB">
        <w:rPr>
          <w:rFonts w:ascii="Verdana" w:hAnsi="Verdana"/>
          <w:sz w:val="16"/>
          <w:szCs w:val="16"/>
        </w:rPr>
        <w:t xml:space="preserve"> </w:t>
      </w:r>
      <w:r w:rsidRPr="009504CB">
        <w:rPr>
          <w:rFonts w:ascii="Verdana" w:hAnsi="Verdana"/>
          <w:sz w:val="16"/>
          <w:szCs w:val="16"/>
        </w:rPr>
        <w:tab/>
        <w:t xml:space="preserve">El Estado informó que el señor </w:t>
      </w:r>
      <w:proofErr w:type="spellStart"/>
      <w:r w:rsidRPr="009504CB">
        <w:rPr>
          <w:rFonts w:ascii="Verdana" w:hAnsi="Verdana"/>
          <w:sz w:val="16"/>
          <w:szCs w:val="16"/>
        </w:rPr>
        <w:t>Arevalo</w:t>
      </w:r>
      <w:proofErr w:type="spellEnd"/>
      <w:r w:rsidRPr="009504CB">
        <w:rPr>
          <w:rFonts w:ascii="Verdana" w:hAnsi="Verdana"/>
          <w:sz w:val="16"/>
          <w:szCs w:val="16"/>
        </w:rPr>
        <w:t xml:space="preserve"> Narváez declararía sobre “la carga de la prueba que le corresponde cumplir a la presunta víctima cuando se alega la existencia de una discriminación encubierta. Lo anterior, con el fin de desvirtuar las inversiones de la carga de la prueba propuestas tanto por la H. Comisión Interamericana de Derechos Humanos, como por los representantes de las presuntas víctimas”.</w:t>
      </w:r>
    </w:p>
  </w:footnote>
  <w:footnote w:id="18">
    <w:p w14:paraId="03FB2B82" w14:textId="27BFA2B9" w:rsidR="00FE6997" w:rsidRPr="009504CB" w:rsidRDefault="00FE6997" w:rsidP="002933BD">
      <w:pPr>
        <w:pStyle w:val="Textonotapie"/>
        <w:rPr>
          <w:rFonts w:ascii="Verdana" w:hAnsi="Verdana"/>
          <w:sz w:val="16"/>
          <w:szCs w:val="16"/>
          <w:lang w:val="es-CR"/>
        </w:rPr>
      </w:pPr>
      <w:r w:rsidRPr="009504CB">
        <w:rPr>
          <w:rStyle w:val="Refdenotaalpie"/>
          <w:rFonts w:ascii="Verdana" w:hAnsi="Verdana"/>
          <w:sz w:val="16"/>
          <w:szCs w:val="16"/>
        </w:rPr>
        <w:footnoteRef/>
      </w:r>
      <w:r w:rsidRPr="009504CB">
        <w:rPr>
          <w:rFonts w:ascii="Verdana" w:hAnsi="Verdana"/>
          <w:sz w:val="16"/>
          <w:szCs w:val="16"/>
        </w:rPr>
        <w:t xml:space="preserve"> </w:t>
      </w:r>
      <w:r w:rsidRPr="009504CB">
        <w:rPr>
          <w:rFonts w:ascii="Verdana" w:hAnsi="Verdana"/>
          <w:sz w:val="16"/>
          <w:szCs w:val="16"/>
          <w:lang w:val="es-CR"/>
        </w:rPr>
        <w:tab/>
      </w:r>
      <w:r w:rsidRPr="00794C78">
        <w:rPr>
          <w:rFonts w:ascii="Verdana" w:hAnsi="Verdana"/>
          <w:i/>
          <w:sz w:val="16"/>
          <w:szCs w:val="16"/>
        </w:rPr>
        <w:t xml:space="preserve">Cfr. Caso </w:t>
      </w:r>
      <w:proofErr w:type="spellStart"/>
      <w:r w:rsidRPr="00794C78">
        <w:rPr>
          <w:rFonts w:ascii="Verdana" w:hAnsi="Verdana"/>
          <w:i/>
          <w:sz w:val="16"/>
          <w:szCs w:val="16"/>
        </w:rPr>
        <w:t>Barbani</w:t>
      </w:r>
      <w:proofErr w:type="spellEnd"/>
      <w:r w:rsidRPr="00794C78">
        <w:rPr>
          <w:rFonts w:ascii="Verdana" w:hAnsi="Verdana"/>
          <w:i/>
          <w:sz w:val="16"/>
          <w:szCs w:val="16"/>
        </w:rPr>
        <w:t xml:space="preserve"> Duarte y Otros Vs. Uruguay. Resolución del </w:t>
      </w:r>
      <w:proofErr w:type="gramStart"/>
      <w:r w:rsidRPr="00794C78">
        <w:rPr>
          <w:rFonts w:ascii="Verdana" w:hAnsi="Verdana"/>
          <w:i/>
          <w:sz w:val="16"/>
          <w:szCs w:val="16"/>
        </w:rPr>
        <w:t>Presidente</w:t>
      </w:r>
      <w:proofErr w:type="gramEnd"/>
      <w:r w:rsidRPr="00794C78">
        <w:rPr>
          <w:rFonts w:ascii="Verdana" w:hAnsi="Verdana"/>
          <w:i/>
          <w:sz w:val="16"/>
          <w:szCs w:val="16"/>
        </w:rPr>
        <w:t xml:space="preserve"> de la Corte Interamericana de Derechos Humanos de 31 de enero de 2011</w:t>
      </w:r>
      <w:r w:rsidRPr="009504CB">
        <w:rPr>
          <w:rFonts w:ascii="Verdana" w:hAnsi="Verdana"/>
          <w:sz w:val="16"/>
          <w:szCs w:val="16"/>
        </w:rPr>
        <w:t xml:space="preserve">, Considerando 16, y </w:t>
      </w:r>
      <w:r w:rsidR="00794C78" w:rsidRPr="00794C78">
        <w:rPr>
          <w:rStyle w:val="Textoennegrita"/>
          <w:rFonts w:ascii="Verdana" w:hAnsi="Verdana"/>
          <w:b w:val="0"/>
          <w:color w:val="000000"/>
          <w:sz w:val="16"/>
          <w:szCs w:val="16"/>
          <w:shd w:val="clear" w:color="auto" w:fill="FFFFFF"/>
        </w:rPr>
        <w:t>C</w:t>
      </w:r>
      <w:r w:rsidR="00794C78" w:rsidRPr="00794C78">
        <w:rPr>
          <w:rStyle w:val="Textoennegrita"/>
          <w:rFonts w:ascii="Verdana" w:hAnsi="Verdana"/>
          <w:b w:val="0"/>
          <w:i/>
          <w:color w:val="000000"/>
          <w:sz w:val="16"/>
          <w:szCs w:val="16"/>
          <w:shd w:val="clear" w:color="auto" w:fill="FFFFFF"/>
        </w:rPr>
        <w:t>aso Vereda La Esperanza Vs. Colombia. Convocatoria a audiencia.</w:t>
      </w:r>
      <w:r w:rsidR="00794C78" w:rsidRPr="00794C78">
        <w:rPr>
          <w:rStyle w:val="Textoennegrita"/>
          <w:rFonts w:ascii="Verdana" w:hAnsi="Verdana"/>
          <w:b w:val="0"/>
          <w:color w:val="000000"/>
          <w:sz w:val="16"/>
          <w:szCs w:val="16"/>
          <w:shd w:val="clear" w:color="auto" w:fill="FFFFFF"/>
        </w:rPr>
        <w:t xml:space="preserve"> Resolución del </w:t>
      </w:r>
      <w:proofErr w:type="gramStart"/>
      <w:r w:rsidR="00794C78" w:rsidRPr="00794C78">
        <w:rPr>
          <w:rStyle w:val="Textoennegrita"/>
          <w:rFonts w:ascii="Verdana" w:hAnsi="Verdana"/>
          <w:b w:val="0"/>
          <w:color w:val="000000"/>
          <w:sz w:val="16"/>
          <w:szCs w:val="16"/>
          <w:shd w:val="clear" w:color="auto" w:fill="FFFFFF"/>
        </w:rPr>
        <w:t>Presidente</w:t>
      </w:r>
      <w:proofErr w:type="gramEnd"/>
      <w:r w:rsidR="00794C78" w:rsidRPr="00794C78">
        <w:rPr>
          <w:rStyle w:val="Textoennegrita"/>
          <w:rFonts w:ascii="Verdana" w:hAnsi="Verdana"/>
          <w:b w:val="0"/>
          <w:color w:val="000000"/>
          <w:sz w:val="16"/>
          <w:szCs w:val="16"/>
          <w:shd w:val="clear" w:color="auto" w:fill="FFFFFF"/>
        </w:rPr>
        <w:t xml:space="preserve"> de la Corte Interamericana de Derechos Humanos de 10 de mayo de 2016,</w:t>
      </w:r>
      <w:r w:rsidR="00794C78">
        <w:rPr>
          <w:rStyle w:val="Textoennegrita"/>
          <w:rFonts w:ascii="Verdana" w:hAnsi="Verdana"/>
          <w:color w:val="000000"/>
          <w:shd w:val="clear" w:color="auto" w:fill="FFFFFF"/>
        </w:rPr>
        <w:t xml:space="preserve"> </w:t>
      </w:r>
      <w:r w:rsidRPr="009504CB">
        <w:rPr>
          <w:rFonts w:ascii="Verdana" w:hAnsi="Verdana"/>
          <w:sz w:val="16"/>
          <w:szCs w:val="16"/>
        </w:rPr>
        <w:t>Considerando 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3A0A"/>
    <w:multiLevelType w:val="hybridMultilevel"/>
    <w:tmpl w:val="3D24E59A"/>
    <w:lvl w:ilvl="0" w:tplc="D158D870">
      <w:start w:val="1"/>
      <w:numFmt w:val="decimal"/>
      <w:lvlText w:val="%1."/>
      <w:lvlJc w:val="left"/>
      <w:pPr>
        <w:ind w:left="720" w:hanging="360"/>
      </w:pPr>
      <w:rPr>
        <w:rFonts w:hint="default"/>
        <w:b w:val="0"/>
        <w:color w:val="auto"/>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F0867BD"/>
    <w:multiLevelType w:val="hybridMultilevel"/>
    <w:tmpl w:val="549E96A8"/>
    <w:lvl w:ilvl="0" w:tplc="C76AEAF0">
      <w:start w:val="1"/>
      <w:numFmt w:val="decimal"/>
      <w:lvlText w:val="%1."/>
      <w:lvlJc w:val="left"/>
      <w:pPr>
        <w:ind w:left="360" w:hanging="360"/>
      </w:pPr>
      <w:rPr>
        <w:b w:val="0"/>
        <w:color w:val="000000"/>
      </w:rPr>
    </w:lvl>
    <w:lvl w:ilvl="1" w:tplc="3C308C40">
      <w:start w:val="1"/>
      <w:numFmt w:val="lowerLetter"/>
      <w:lvlText w:val="%2."/>
      <w:lvlJc w:val="left"/>
      <w:pPr>
        <w:ind w:left="1080" w:hanging="360"/>
      </w:pPr>
      <w:rPr>
        <w:i w:val="0"/>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286C3432">
      <w:start w:val="1"/>
      <w:numFmt w:val="lowerLetter"/>
      <w:lvlText w:val="%7."/>
      <w:lvlJc w:val="left"/>
      <w:pPr>
        <w:ind w:left="4680" w:hanging="360"/>
      </w:pPr>
      <w:rPr>
        <w:rFonts w:ascii="Verdana" w:eastAsia="Calibri" w:hAnsi="Verdana" w:cs="Verdana"/>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577227C"/>
    <w:multiLevelType w:val="hybridMultilevel"/>
    <w:tmpl w:val="B9568A1A"/>
    <w:lvl w:ilvl="0" w:tplc="560A30FA">
      <w:start w:val="9"/>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15262"/>
    <w:multiLevelType w:val="hybridMultilevel"/>
    <w:tmpl w:val="E858241E"/>
    <w:lvl w:ilvl="0" w:tplc="543C1500">
      <w:start w:val="1"/>
      <w:numFmt w:val="lowerLetter"/>
      <w:lvlText w:val="%1)"/>
      <w:lvlJc w:val="left"/>
      <w:pPr>
        <w:ind w:left="643" w:hanging="360"/>
      </w:pPr>
      <w:rPr>
        <w:rFonts w:hint="default"/>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4" w15:restartNumberingAfterBreak="0">
    <w:nsid w:val="3A38404A"/>
    <w:multiLevelType w:val="hybridMultilevel"/>
    <w:tmpl w:val="FABCC80C"/>
    <w:lvl w:ilvl="0" w:tplc="96607EE2">
      <w:start w:val="1"/>
      <w:numFmt w:val="decimal"/>
      <w:lvlText w:val="%1."/>
      <w:lvlJc w:val="left"/>
      <w:pPr>
        <w:tabs>
          <w:tab w:val="num" w:pos="3870"/>
        </w:tabs>
      </w:pPr>
      <w:rPr>
        <w:rFonts w:ascii="Verdana" w:hAnsi="Verdana" w:cs="Times New Roman" w:hint="default"/>
        <w:b w:val="0"/>
        <w:i w:val="0"/>
        <w:color w:val="auto"/>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3BCD6FEF"/>
    <w:multiLevelType w:val="hybridMultilevel"/>
    <w:tmpl w:val="72720ACC"/>
    <w:lvl w:ilvl="0" w:tplc="140A0015">
      <w:start w:val="1"/>
      <w:numFmt w:val="upperLetter"/>
      <w:lvlText w:val="%1."/>
      <w:lvlJc w:val="left"/>
      <w:pPr>
        <w:ind w:left="450" w:hanging="360"/>
      </w:pPr>
      <w:rPr>
        <w:rFonts w:hint="default"/>
      </w:rPr>
    </w:lvl>
    <w:lvl w:ilvl="1" w:tplc="323EEAAC">
      <w:start w:val="1"/>
      <w:numFmt w:val="lowerLetter"/>
      <w:lvlText w:val="%2."/>
      <w:lvlJc w:val="left"/>
      <w:pPr>
        <w:ind w:left="1440" w:hanging="360"/>
      </w:pPr>
    </w:lvl>
    <w:lvl w:ilvl="2" w:tplc="B96C1A40"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2004AD5"/>
    <w:multiLevelType w:val="hybridMultilevel"/>
    <w:tmpl w:val="444ED67A"/>
    <w:lvl w:ilvl="0" w:tplc="9FE824E0">
      <w:start w:val="1"/>
      <w:numFmt w:val="upperLetter"/>
      <w:lvlText w:val="%1."/>
      <w:lvlJc w:val="left"/>
      <w:pPr>
        <w:ind w:left="360" w:hanging="360"/>
      </w:pPr>
      <w:rPr>
        <w:rFonts w:ascii="Verdana" w:hAnsi="Verdana" w:hint="default"/>
        <w:b/>
        <w:color w:val="000000"/>
        <w:sz w:val="20"/>
        <w:szCs w:val="20"/>
      </w:rPr>
    </w:lvl>
    <w:lvl w:ilvl="1" w:tplc="9C82A476">
      <w:start w:val="1"/>
      <w:numFmt w:val="lowerLetter"/>
      <w:lvlText w:val="%2."/>
      <w:lvlJc w:val="left"/>
      <w:pPr>
        <w:ind w:left="1080" w:hanging="360"/>
      </w:pPr>
      <w:rPr>
        <w:b w:val="0"/>
        <w:lang w:val="es-ES_tradnl"/>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4A9D3974"/>
    <w:multiLevelType w:val="hybridMultilevel"/>
    <w:tmpl w:val="27A0774E"/>
    <w:lvl w:ilvl="0" w:tplc="A3966368">
      <w:start w:val="1"/>
      <w:numFmt w:val="upperLetter"/>
      <w:lvlText w:val="%1."/>
      <w:lvlJc w:val="left"/>
      <w:pPr>
        <w:ind w:left="360" w:hanging="360"/>
      </w:pPr>
      <w:rPr>
        <w:b/>
        <w:color w:val="000000"/>
      </w:rPr>
    </w:lvl>
    <w:lvl w:ilvl="1" w:tplc="58B80EF8">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C5A6277"/>
    <w:multiLevelType w:val="hybridMultilevel"/>
    <w:tmpl w:val="677A3D52"/>
    <w:lvl w:ilvl="0" w:tplc="3C308C40">
      <w:start w:val="1"/>
      <w:numFmt w:val="lowerLetter"/>
      <w:lvlText w:val="%1."/>
      <w:lvlJc w:val="left"/>
      <w:pPr>
        <w:ind w:left="1080" w:hanging="360"/>
      </w:pPr>
      <w:rPr>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EDF1884"/>
    <w:multiLevelType w:val="hybridMultilevel"/>
    <w:tmpl w:val="CC9CFA08"/>
    <w:lvl w:ilvl="0" w:tplc="A3661314">
      <w:start w:val="1"/>
      <w:numFmt w:val="decimal"/>
      <w:lvlText w:val="%1."/>
      <w:lvlJc w:val="left"/>
      <w:pPr>
        <w:ind w:left="720" w:hanging="360"/>
      </w:pPr>
      <w:rPr>
        <w:rFonts w:hint="default"/>
        <w:u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33725C7"/>
    <w:multiLevelType w:val="hybridMultilevel"/>
    <w:tmpl w:val="E00CEF96"/>
    <w:lvl w:ilvl="0" w:tplc="140A0015">
      <w:start w:val="1"/>
      <w:numFmt w:val="upperLetter"/>
      <w:lvlText w:val="%1."/>
      <w:lvlJc w:val="left"/>
      <w:pPr>
        <w:ind w:left="450" w:hanging="360"/>
      </w:pPr>
      <w:rPr>
        <w:rFonts w:hint="default"/>
      </w:rPr>
    </w:lvl>
    <w:lvl w:ilvl="1" w:tplc="323EEAAC">
      <w:start w:val="1"/>
      <w:numFmt w:val="lowerLetter"/>
      <w:lvlText w:val="%2."/>
      <w:lvlJc w:val="left"/>
      <w:pPr>
        <w:ind w:left="1440" w:hanging="360"/>
      </w:pPr>
    </w:lvl>
    <w:lvl w:ilvl="2" w:tplc="B96C1A40"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53761D39"/>
    <w:multiLevelType w:val="hybridMultilevel"/>
    <w:tmpl w:val="9584698E"/>
    <w:lvl w:ilvl="0" w:tplc="011CED58">
      <w:start w:val="4"/>
      <w:numFmt w:val="decimal"/>
      <w:lvlText w:val="%1."/>
      <w:lvlJc w:val="left"/>
      <w:pPr>
        <w:ind w:left="1069" w:hanging="360"/>
      </w:pPr>
      <w:rPr>
        <w:rFonts w:eastAsia="Times New Roman" w:cs="Verdana" w:hint="default"/>
        <w:i w:val="0"/>
      </w:rPr>
    </w:lvl>
    <w:lvl w:ilvl="1" w:tplc="140A0019">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2" w15:restartNumberingAfterBreak="0">
    <w:nsid w:val="590E2591"/>
    <w:multiLevelType w:val="hybridMultilevel"/>
    <w:tmpl w:val="D714BDB8"/>
    <w:lvl w:ilvl="0" w:tplc="ACB8A732">
      <w:start w:val="1"/>
      <w:numFmt w:val="decimal"/>
      <w:lvlText w:val="(%1)"/>
      <w:lvlJc w:val="left"/>
      <w:pPr>
        <w:ind w:left="2520" w:hanging="360"/>
      </w:pPr>
      <w:rPr>
        <w:rFonts w:eastAsia="Calibri" w:cs="Arial-BoldMT" w:hint="default"/>
        <w:i/>
      </w:rPr>
    </w:lvl>
    <w:lvl w:ilvl="1" w:tplc="140A0019" w:tentative="1">
      <w:start w:val="1"/>
      <w:numFmt w:val="lowerLetter"/>
      <w:lvlText w:val="%2."/>
      <w:lvlJc w:val="left"/>
      <w:pPr>
        <w:ind w:left="3240" w:hanging="360"/>
      </w:pPr>
    </w:lvl>
    <w:lvl w:ilvl="2" w:tplc="140A001B" w:tentative="1">
      <w:start w:val="1"/>
      <w:numFmt w:val="lowerRoman"/>
      <w:lvlText w:val="%3."/>
      <w:lvlJc w:val="right"/>
      <w:pPr>
        <w:ind w:left="3960" w:hanging="180"/>
      </w:pPr>
    </w:lvl>
    <w:lvl w:ilvl="3" w:tplc="140A000F" w:tentative="1">
      <w:start w:val="1"/>
      <w:numFmt w:val="decimal"/>
      <w:lvlText w:val="%4."/>
      <w:lvlJc w:val="left"/>
      <w:pPr>
        <w:ind w:left="4680" w:hanging="360"/>
      </w:pPr>
    </w:lvl>
    <w:lvl w:ilvl="4" w:tplc="140A0019" w:tentative="1">
      <w:start w:val="1"/>
      <w:numFmt w:val="lowerLetter"/>
      <w:lvlText w:val="%5."/>
      <w:lvlJc w:val="left"/>
      <w:pPr>
        <w:ind w:left="5400" w:hanging="360"/>
      </w:pPr>
    </w:lvl>
    <w:lvl w:ilvl="5" w:tplc="140A001B" w:tentative="1">
      <w:start w:val="1"/>
      <w:numFmt w:val="lowerRoman"/>
      <w:lvlText w:val="%6."/>
      <w:lvlJc w:val="right"/>
      <w:pPr>
        <w:ind w:left="6120" w:hanging="180"/>
      </w:pPr>
    </w:lvl>
    <w:lvl w:ilvl="6" w:tplc="140A000F" w:tentative="1">
      <w:start w:val="1"/>
      <w:numFmt w:val="decimal"/>
      <w:lvlText w:val="%7."/>
      <w:lvlJc w:val="left"/>
      <w:pPr>
        <w:ind w:left="6840" w:hanging="360"/>
      </w:pPr>
    </w:lvl>
    <w:lvl w:ilvl="7" w:tplc="140A0019" w:tentative="1">
      <w:start w:val="1"/>
      <w:numFmt w:val="lowerLetter"/>
      <w:lvlText w:val="%8."/>
      <w:lvlJc w:val="left"/>
      <w:pPr>
        <w:ind w:left="7560" w:hanging="360"/>
      </w:pPr>
    </w:lvl>
    <w:lvl w:ilvl="8" w:tplc="140A001B" w:tentative="1">
      <w:start w:val="1"/>
      <w:numFmt w:val="lowerRoman"/>
      <w:lvlText w:val="%9."/>
      <w:lvlJc w:val="right"/>
      <w:pPr>
        <w:ind w:left="8280" w:hanging="180"/>
      </w:pPr>
    </w:lvl>
  </w:abstractNum>
  <w:abstractNum w:abstractNumId="13" w15:restartNumberingAfterBreak="0">
    <w:nsid w:val="5AF5218D"/>
    <w:multiLevelType w:val="hybridMultilevel"/>
    <w:tmpl w:val="CD48C8AC"/>
    <w:lvl w:ilvl="0" w:tplc="140A0015">
      <w:start w:val="2"/>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BF477E8"/>
    <w:multiLevelType w:val="hybridMultilevel"/>
    <w:tmpl w:val="021C66DE"/>
    <w:lvl w:ilvl="0" w:tplc="140A0019">
      <w:start w:val="3"/>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15D6ECD"/>
    <w:multiLevelType w:val="hybridMultilevel"/>
    <w:tmpl w:val="ED9C2C40"/>
    <w:lvl w:ilvl="0" w:tplc="ED0459E8">
      <w:start w:val="1"/>
      <w:numFmt w:val="lowerLetter"/>
      <w:lvlText w:val="%1)"/>
      <w:lvlJc w:val="left"/>
      <w:pPr>
        <w:ind w:left="1080" w:hanging="360"/>
      </w:pPr>
      <w:rPr>
        <w:rFonts w:ascii="Verdana" w:hAnsi="Verdana" w:cs="Tahoma" w:hint="default"/>
        <w:sz w:val="20"/>
        <w:szCs w:val="20"/>
      </w:rPr>
    </w:lvl>
    <w:lvl w:ilvl="1" w:tplc="323EEAAC">
      <w:start w:val="1"/>
      <w:numFmt w:val="decimal"/>
      <w:lvlText w:val="%2."/>
      <w:lvlJc w:val="left"/>
      <w:pPr>
        <w:tabs>
          <w:tab w:val="num" w:pos="0"/>
        </w:tabs>
      </w:pPr>
      <w:rPr>
        <w:rFonts w:hint="default"/>
        <w:b w:val="0"/>
        <w:bCs w:val="0"/>
        <w:sz w:val="20"/>
        <w:szCs w:val="20"/>
      </w:rPr>
    </w:lvl>
    <w:lvl w:ilvl="2" w:tplc="B96C1A40">
      <w:start w:val="1"/>
      <w:numFmt w:val="lowerLetter"/>
      <w:lvlText w:val="%3)"/>
      <w:lvlJc w:val="left"/>
      <w:pPr>
        <w:ind w:left="2700" w:hanging="360"/>
      </w:pPr>
      <w:rPr>
        <w:rFonts w:ascii="Verdana" w:hAnsi="Verdana" w:cs="Tahoma" w:hint="default"/>
        <w:b w:val="0"/>
        <w:bCs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16" w15:restartNumberingAfterBreak="0">
    <w:nsid w:val="62C97D24"/>
    <w:multiLevelType w:val="hybridMultilevel"/>
    <w:tmpl w:val="EF646EAA"/>
    <w:lvl w:ilvl="0" w:tplc="ED0459E8">
      <w:start w:val="1"/>
      <w:numFmt w:val="decimal"/>
      <w:lvlText w:val="%1."/>
      <w:lvlJc w:val="left"/>
      <w:pPr>
        <w:ind w:left="1080" w:hanging="720"/>
      </w:pPr>
      <w:rPr>
        <w:b w:val="0"/>
      </w:rPr>
    </w:lvl>
    <w:lvl w:ilvl="1" w:tplc="323EEAAC">
      <w:start w:val="1"/>
      <w:numFmt w:val="lowerRoman"/>
      <w:lvlText w:val="%2."/>
      <w:lvlJc w:val="left"/>
      <w:pPr>
        <w:ind w:left="1800" w:hanging="720"/>
      </w:pPr>
    </w:lvl>
    <w:lvl w:ilvl="2" w:tplc="B96C1A40">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7" w15:restartNumberingAfterBreak="0">
    <w:nsid w:val="75FB7C72"/>
    <w:multiLevelType w:val="hybridMultilevel"/>
    <w:tmpl w:val="D584C428"/>
    <w:lvl w:ilvl="0" w:tplc="140A0015">
      <w:start w:val="1"/>
      <w:numFmt w:val="upperLetter"/>
      <w:lvlText w:val="%1."/>
      <w:lvlJc w:val="left"/>
      <w:pPr>
        <w:ind w:left="450" w:hanging="360"/>
      </w:pPr>
      <w:rPr>
        <w:rFonts w:hint="default"/>
      </w:rPr>
    </w:lvl>
    <w:lvl w:ilvl="1" w:tplc="323EEAAC">
      <w:start w:val="1"/>
      <w:numFmt w:val="lowerLetter"/>
      <w:lvlText w:val="%2."/>
      <w:lvlJc w:val="left"/>
      <w:pPr>
        <w:ind w:left="1440" w:hanging="360"/>
      </w:pPr>
    </w:lvl>
    <w:lvl w:ilvl="2" w:tplc="B96C1A40"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78BE69C2"/>
    <w:multiLevelType w:val="hybridMultilevel"/>
    <w:tmpl w:val="384C2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17"/>
  </w:num>
  <w:num w:numId="3">
    <w:abstractNumId w:val="16"/>
  </w:num>
  <w:num w:numId="4">
    <w:abstractNumId w:val="1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18"/>
  </w:num>
  <w:num w:numId="9">
    <w:abstractNumId w:val="0"/>
  </w:num>
  <w:num w:numId="10">
    <w:abstractNumId w:val="10"/>
  </w:num>
  <w:num w:numId="11">
    <w:abstractNumId w:val="9"/>
  </w:num>
  <w:num w:numId="12">
    <w:abstractNumId w:val="3"/>
  </w:num>
  <w:num w:numId="13">
    <w:abstractNumId w:val="6"/>
  </w:num>
  <w:num w:numId="14">
    <w:abstractNumId w:val="7"/>
  </w:num>
  <w:num w:numId="15">
    <w:abstractNumId w:val="5"/>
  </w:num>
  <w:num w:numId="16">
    <w:abstractNumId w:val="13"/>
  </w:num>
  <w:num w:numId="17">
    <w:abstractNumId w:val="2"/>
  </w:num>
  <w:num w:numId="18">
    <w:abstractNumId w:val="14"/>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489"/>
    <w:rsid w:val="00013DE3"/>
    <w:rsid w:val="00017B33"/>
    <w:rsid w:val="00037A31"/>
    <w:rsid w:val="00047244"/>
    <w:rsid w:val="00074702"/>
    <w:rsid w:val="000A7E23"/>
    <w:rsid w:val="000D076B"/>
    <w:rsid w:val="000D2439"/>
    <w:rsid w:val="000E0A1E"/>
    <w:rsid w:val="000E18A1"/>
    <w:rsid w:val="000F09E8"/>
    <w:rsid w:val="001061A0"/>
    <w:rsid w:val="0012423F"/>
    <w:rsid w:val="0013124C"/>
    <w:rsid w:val="0014007E"/>
    <w:rsid w:val="00150342"/>
    <w:rsid w:val="00170341"/>
    <w:rsid w:val="001A53E8"/>
    <w:rsid w:val="001D0528"/>
    <w:rsid w:val="001E2E03"/>
    <w:rsid w:val="00200606"/>
    <w:rsid w:val="00207D3C"/>
    <w:rsid w:val="00207FDB"/>
    <w:rsid w:val="002170F3"/>
    <w:rsid w:val="00227CAB"/>
    <w:rsid w:val="00246031"/>
    <w:rsid w:val="00256205"/>
    <w:rsid w:val="002720C2"/>
    <w:rsid w:val="002933BD"/>
    <w:rsid w:val="00297C21"/>
    <w:rsid w:val="002C7F79"/>
    <w:rsid w:val="002D6DD5"/>
    <w:rsid w:val="002F6691"/>
    <w:rsid w:val="003024F7"/>
    <w:rsid w:val="00304DAC"/>
    <w:rsid w:val="00345F90"/>
    <w:rsid w:val="003558B8"/>
    <w:rsid w:val="00364232"/>
    <w:rsid w:val="003839FD"/>
    <w:rsid w:val="003978A7"/>
    <w:rsid w:val="003A4ABD"/>
    <w:rsid w:val="003A5DF7"/>
    <w:rsid w:val="003B77F8"/>
    <w:rsid w:val="003C3A3C"/>
    <w:rsid w:val="003C510D"/>
    <w:rsid w:val="003D1596"/>
    <w:rsid w:val="003D76E7"/>
    <w:rsid w:val="004125AB"/>
    <w:rsid w:val="0041764D"/>
    <w:rsid w:val="004216E3"/>
    <w:rsid w:val="00422492"/>
    <w:rsid w:val="00427572"/>
    <w:rsid w:val="00436C67"/>
    <w:rsid w:val="00450559"/>
    <w:rsid w:val="00451469"/>
    <w:rsid w:val="00462B5D"/>
    <w:rsid w:val="004733A2"/>
    <w:rsid w:val="004B140F"/>
    <w:rsid w:val="00525C55"/>
    <w:rsid w:val="00542986"/>
    <w:rsid w:val="0054767A"/>
    <w:rsid w:val="00553BFE"/>
    <w:rsid w:val="00564154"/>
    <w:rsid w:val="0056475E"/>
    <w:rsid w:val="00564EC4"/>
    <w:rsid w:val="0056645D"/>
    <w:rsid w:val="005676ED"/>
    <w:rsid w:val="00592348"/>
    <w:rsid w:val="0059529F"/>
    <w:rsid w:val="005B6BD2"/>
    <w:rsid w:val="005D5CF9"/>
    <w:rsid w:val="005D7798"/>
    <w:rsid w:val="00622C8C"/>
    <w:rsid w:val="0062349A"/>
    <w:rsid w:val="006838A5"/>
    <w:rsid w:val="00687C7F"/>
    <w:rsid w:val="00692586"/>
    <w:rsid w:val="00694653"/>
    <w:rsid w:val="006C1152"/>
    <w:rsid w:val="006C1775"/>
    <w:rsid w:val="006F0C16"/>
    <w:rsid w:val="006F7BC0"/>
    <w:rsid w:val="00716F68"/>
    <w:rsid w:val="00723B65"/>
    <w:rsid w:val="00794C78"/>
    <w:rsid w:val="007974FF"/>
    <w:rsid w:val="007A3D7B"/>
    <w:rsid w:val="007B1968"/>
    <w:rsid w:val="00822914"/>
    <w:rsid w:val="00854D0B"/>
    <w:rsid w:val="008644C2"/>
    <w:rsid w:val="008B207D"/>
    <w:rsid w:val="0090499F"/>
    <w:rsid w:val="009061EF"/>
    <w:rsid w:val="0093022B"/>
    <w:rsid w:val="009317CC"/>
    <w:rsid w:val="00933FE2"/>
    <w:rsid w:val="00940729"/>
    <w:rsid w:val="009504CB"/>
    <w:rsid w:val="00964813"/>
    <w:rsid w:val="009A4354"/>
    <w:rsid w:val="009B43EE"/>
    <w:rsid w:val="009F2345"/>
    <w:rsid w:val="009F6714"/>
    <w:rsid w:val="00A12164"/>
    <w:rsid w:val="00A34188"/>
    <w:rsid w:val="00A35510"/>
    <w:rsid w:val="00A47DAE"/>
    <w:rsid w:val="00A5437A"/>
    <w:rsid w:val="00A62999"/>
    <w:rsid w:val="00A67C14"/>
    <w:rsid w:val="00A82267"/>
    <w:rsid w:val="00A90254"/>
    <w:rsid w:val="00A95979"/>
    <w:rsid w:val="00A96D9D"/>
    <w:rsid w:val="00AA1D2F"/>
    <w:rsid w:val="00AC1DF2"/>
    <w:rsid w:val="00AD5CA9"/>
    <w:rsid w:val="00AD71B2"/>
    <w:rsid w:val="00AE0996"/>
    <w:rsid w:val="00AE6B76"/>
    <w:rsid w:val="00AE7D1A"/>
    <w:rsid w:val="00B20D9C"/>
    <w:rsid w:val="00B27E59"/>
    <w:rsid w:val="00B34BB7"/>
    <w:rsid w:val="00B35B2B"/>
    <w:rsid w:val="00B7449D"/>
    <w:rsid w:val="00B81928"/>
    <w:rsid w:val="00B9449A"/>
    <w:rsid w:val="00B9638A"/>
    <w:rsid w:val="00BA31C7"/>
    <w:rsid w:val="00BB26F3"/>
    <w:rsid w:val="00BC1FA4"/>
    <w:rsid w:val="00BC2B9A"/>
    <w:rsid w:val="00C06A9C"/>
    <w:rsid w:val="00C20AEA"/>
    <w:rsid w:val="00C30CB2"/>
    <w:rsid w:val="00C37E4F"/>
    <w:rsid w:val="00C541FC"/>
    <w:rsid w:val="00C619B4"/>
    <w:rsid w:val="00C76924"/>
    <w:rsid w:val="00C77A1B"/>
    <w:rsid w:val="00C86998"/>
    <w:rsid w:val="00C8707C"/>
    <w:rsid w:val="00C87E51"/>
    <w:rsid w:val="00C906BB"/>
    <w:rsid w:val="00C94EE9"/>
    <w:rsid w:val="00CB434D"/>
    <w:rsid w:val="00CD7774"/>
    <w:rsid w:val="00CE6E06"/>
    <w:rsid w:val="00D22750"/>
    <w:rsid w:val="00D31165"/>
    <w:rsid w:val="00D535BD"/>
    <w:rsid w:val="00D772EC"/>
    <w:rsid w:val="00D84FBE"/>
    <w:rsid w:val="00D87B6A"/>
    <w:rsid w:val="00D95E2B"/>
    <w:rsid w:val="00DA6BEB"/>
    <w:rsid w:val="00DE57DC"/>
    <w:rsid w:val="00DE7893"/>
    <w:rsid w:val="00DF2489"/>
    <w:rsid w:val="00E053A0"/>
    <w:rsid w:val="00E10049"/>
    <w:rsid w:val="00E2528F"/>
    <w:rsid w:val="00E25616"/>
    <w:rsid w:val="00E34110"/>
    <w:rsid w:val="00E55F21"/>
    <w:rsid w:val="00E62C30"/>
    <w:rsid w:val="00E82E67"/>
    <w:rsid w:val="00EA645D"/>
    <w:rsid w:val="00EC58B1"/>
    <w:rsid w:val="00ED3CD6"/>
    <w:rsid w:val="00ED6FEF"/>
    <w:rsid w:val="00EE0679"/>
    <w:rsid w:val="00F134DE"/>
    <w:rsid w:val="00F23581"/>
    <w:rsid w:val="00F53AA6"/>
    <w:rsid w:val="00F541D6"/>
    <w:rsid w:val="00F62792"/>
    <w:rsid w:val="00F8600D"/>
    <w:rsid w:val="00FB56A5"/>
    <w:rsid w:val="00FC35CF"/>
    <w:rsid w:val="00FC4C89"/>
    <w:rsid w:val="00FC5E16"/>
    <w:rsid w:val="00FE6997"/>
    <w:rsid w:val="00FF2AB4"/>
    <w:rsid w:val="00FF78F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2E88"/>
  <w15:docId w15:val="{A5C17EE6-5A92-418B-BBB6-7C75D082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489"/>
    <w:pPr>
      <w:spacing w:after="120"/>
      <w:jc w:val="both"/>
    </w:pPr>
    <w:rPr>
      <w:rFonts w:ascii="Verdana" w:hAnsi="Verdana" w:cs="Times"/>
      <w:szCs w:val="24"/>
      <w:lang w:val="es-ES_tradnl" w:eastAsia="es-ES"/>
    </w:rPr>
  </w:style>
  <w:style w:type="paragraph" w:styleId="Ttulo1">
    <w:name w:val="heading 1"/>
    <w:basedOn w:val="Normal"/>
    <w:next w:val="Normal"/>
    <w:link w:val="Ttulo1Car"/>
    <w:uiPriority w:val="9"/>
    <w:qFormat/>
    <w:rsid w:val="005D5CF9"/>
    <w:pPr>
      <w:keepNext/>
      <w:spacing w:before="240" w:after="60" w:line="276" w:lineRule="auto"/>
      <w:jc w:val="center"/>
      <w:outlineLvl w:val="0"/>
    </w:pPr>
    <w:rPr>
      <w:rFonts w:ascii="Verdana Bold" w:eastAsia="Times New Roman" w:hAnsi="Verdana Bold"/>
      <w:b/>
      <w:bCs/>
      <w:caps/>
      <w:kern w:val="32"/>
      <w:szCs w:val="32"/>
    </w:rPr>
  </w:style>
  <w:style w:type="paragraph" w:styleId="Ttulo2">
    <w:name w:val="heading 2"/>
    <w:basedOn w:val="Normal"/>
    <w:next w:val="Normal"/>
    <w:link w:val="Ttulo2Car"/>
    <w:uiPriority w:val="9"/>
    <w:unhideWhenUsed/>
    <w:qFormat/>
    <w:rsid w:val="005D5CF9"/>
    <w:pPr>
      <w:keepNext/>
      <w:spacing w:before="240" w:after="60" w:line="276" w:lineRule="auto"/>
      <w:outlineLvl w:val="1"/>
    </w:pPr>
    <w:rPr>
      <w:rFonts w:eastAsia="Times New Roman"/>
      <w:b/>
      <w:bCs/>
      <w:i/>
      <w:iCs/>
      <w:szCs w:val="28"/>
    </w:rPr>
  </w:style>
  <w:style w:type="paragraph" w:styleId="Ttulo3">
    <w:name w:val="heading 3"/>
    <w:basedOn w:val="Normal"/>
    <w:next w:val="Normal"/>
    <w:link w:val="Ttulo3Car"/>
    <w:uiPriority w:val="9"/>
    <w:semiHidden/>
    <w:unhideWhenUsed/>
    <w:qFormat/>
    <w:rsid w:val="005D5CF9"/>
    <w:pPr>
      <w:keepNext/>
      <w:spacing w:before="240" w:after="60" w:line="276" w:lineRule="auto"/>
      <w:outlineLvl w:val="2"/>
    </w:pPr>
    <w:rPr>
      <w:rFonts w:ascii="Cambria" w:eastAsia="Times New Roman" w:hAnsi="Cambria"/>
      <w:b/>
      <w:bCs/>
      <w:sz w:val="26"/>
      <w:szCs w:val="26"/>
    </w:rPr>
  </w:style>
  <w:style w:type="paragraph" w:styleId="Ttulo5">
    <w:name w:val="heading 5"/>
    <w:basedOn w:val="Normal"/>
    <w:next w:val="Normal"/>
    <w:link w:val="Ttulo5Car"/>
    <w:qFormat/>
    <w:rsid w:val="005D5CF9"/>
    <w:pPr>
      <w:spacing w:before="240" w:after="60"/>
      <w:outlineLvl w:val="4"/>
    </w:pPr>
    <w:rPr>
      <w:rFonts w:eastAsia="Times New Roman"/>
      <w:b/>
      <w:i/>
      <w:szCs w:val="26"/>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delibro">
    <w:name w:val="Título de libro"/>
    <w:uiPriority w:val="33"/>
    <w:qFormat/>
    <w:rsid w:val="005D5CF9"/>
    <w:rPr>
      <w:b/>
      <w:bCs/>
      <w:smallCaps/>
      <w:spacing w:val="5"/>
    </w:rPr>
  </w:style>
  <w:style w:type="paragraph" w:customStyle="1" w:styleId="Estilo1">
    <w:name w:val="Estilo1"/>
    <w:basedOn w:val="Normal"/>
    <w:link w:val="Estilo1Car"/>
    <w:qFormat/>
    <w:rsid w:val="005D5CF9"/>
    <w:pPr>
      <w:ind w:left="2018" w:right="6" w:hanging="180"/>
    </w:pPr>
    <w:rPr>
      <w:rFonts w:eastAsia="Batang"/>
      <w:i/>
      <w:noProof/>
      <w:lang w:eastAsia="en-US"/>
    </w:rPr>
  </w:style>
  <w:style w:type="character" w:customStyle="1" w:styleId="Estilo1Car">
    <w:name w:val="Estilo1 Car"/>
    <w:link w:val="Estilo1"/>
    <w:rsid w:val="005D5CF9"/>
    <w:rPr>
      <w:rFonts w:ascii="Verdana" w:eastAsia="Batang" w:hAnsi="Verdana" w:cs="Times"/>
      <w:i/>
      <w:noProof/>
      <w:szCs w:val="24"/>
      <w:lang w:val="es-ES_tradnl" w:eastAsia="en-US"/>
    </w:rPr>
  </w:style>
  <w:style w:type="character" w:customStyle="1" w:styleId="Ttulo1Car">
    <w:name w:val="Título 1 Car"/>
    <w:link w:val="Ttulo1"/>
    <w:uiPriority w:val="9"/>
    <w:rsid w:val="005D5CF9"/>
    <w:rPr>
      <w:rFonts w:ascii="Verdana Bold" w:eastAsia="Times New Roman" w:hAnsi="Verdana Bold"/>
      <w:b/>
      <w:bCs/>
      <w:caps/>
      <w:kern w:val="32"/>
      <w:szCs w:val="32"/>
    </w:rPr>
  </w:style>
  <w:style w:type="character" w:customStyle="1" w:styleId="Ttulo2Car">
    <w:name w:val="Título 2 Car"/>
    <w:link w:val="Ttulo2"/>
    <w:uiPriority w:val="9"/>
    <w:rsid w:val="005D5CF9"/>
    <w:rPr>
      <w:rFonts w:ascii="Verdana" w:eastAsia="Times New Roman" w:hAnsi="Verdana"/>
      <w:b/>
      <w:bCs/>
      <w:i/>
      <w:iCs/>
      <w:szCs w:val="28"/>
    </w:rPr>
  </w:style>
  <w:style w:type="character" w:customStyle="1" w:styleId="Ttulo3Car">
    <w:name w:val="Título 3 Car"/>
    <w:link w:val="Ttulo3"/>
    <w:uiPriority w:val="9"/>
    <w:semiHidden/>
    <w:rsid w:val="005D5CF9"/>
    <w:rPr>
      <w:rFonts w:ascii="Cambria" w:eastAsia="Times New Roman" w:hAnsi="Cambria"/>
      <w:b/>
      <w:bCs/>
      <w:sz w:val="26"/>
      <w:szCs w:val="26"/>
    </w:rPr>
  </w:style>
  <w:style w:type="character" w:customStyle="1" w:styleId="Ttulo5Car">
    <w:name w:val="Título 5 Car"/>
    <w:link w:val="Ttulo5"/>
    <w:rsid w:val="005D5CF9"/>
    <w:rPr>
      <w:rFonts w:ascii="Verdana" w:eastAsia="Times New Roman" w:hAnsi="Verdana"/>
      <w:b/>
      <w:i/>
      <w:szCs w:val="26"/>
      <w:lang w:eastAsia="x-none"/>
    </w:rPr>
  </w:style>
  <w:style w:type="paragraph" w:styleId="Textonotapie">
    <w:name w:val="footnote text"/>
    <w:aliases w:val="Footnote Text Char Char Char Char Char,Footnote Text Char Char Char Char,Footnote reference,FA Fu,Footnote Text Char Char Char,footnote text,Footnote Text Cha,FA Fußnotentext,FA Fuﬂnotentext,Texto nota pie Car,Footnote Text Char Char,Car"/>
    <w:basedOn w:val="Normal"/>
    <w:link w:val="TextonotapieCar1"/>
    <w:qFormat/>
    <w:rsid w:val="005D5CF9"/>
    <w:rPr>
      <w:rFonts w:ascii="Times New Roman" w:eastAsia="Times New Roman" w:hAnsi="Times New Roman"/>
      <w:lang w:val="es-MX"/>
    </w:rPr>
  </w:style>
  <w:style w:type="character" w:customStyle="1" w:styleId="TextonotapieCar1">
    <w:name w:val="Texto nota pie Car1"/>
    <w:aliases w:val="Footnote Text Char Char Char Char Char Car,Footnote Text Char Char Char Char Car,Footnote reference Car,FA Fu Car,Footnote Text Char Char Char Car,footnote text Car,Footnote Text Cha Car,FA Fußnotentext Car,FA Fuﬂnotentext Car"/>
    <w:link w:val="Textonotapie"/>
    <w:qFormat/>
    <w:rsid w:val="005D5CF9"/>
    <w:rPr>
      <w:rFonts w:ascii="Times New Roman" w:eastAsia="Times New Roman" w:hAnsi="Times New Roman"/>
      <w:lang w:val="es-MX"/>
    </w:rPr>
  </w:style>
  <w:style w:type="paragraph" w:styleId="Ttulo">
    <w:name w:val="Title"/>
    <w:basedOn w:val="Normal"/>
    <w:link w:val="TtuloCar"/>
    <w:uiPriority w:val="99"/>
    <w:qFormat/>
    <w:rsid w:val="005D5CF9"/>
    <w:pPr>
      <w:spacing w:before="60" w:after="60"/>
      <w:jc w:val="center"/>
    </w:pPr>
    <w:rPr>
      <w:rFonts w:eastAsia="Times New Roman"/>
      <w:b/>
      <w:lang w:eastAsia="en-US"/>
    </w:rPr>
  </w:style>
  <w:style w:type="character" w:customStyle="1" w:styleId="TtuloCar">
    <w:name w:val="Título Car"/>
    <w:link w:val="Ttulo"/>
    <w:uiPriority w:val="99"/>
    <w:rsid w:val="005D5CF9"/>
    <w:rPr>
      <w:rFonts w:ascii="Verdana" w:eastAsia="Times New Roman" w:hAnsi="Verdana"/>
      <w:b/>
      <w:lang w:val="es-ES_tradnl" w:eastAsia="en-US"/>
    </w:rPr>
  </w:style>
  <w:style w:type="paragraph" w:styleId="Subttulo">
    <w:name w:val="Subtitle"/>
    <w:basedOn w:val="Normal"/>
    <w:next w:val="Normal"/>
    <w:link w:val="SubttuloCar"/>
    <w:qFormat/>
    <w:rsid w:val="005D5CF9"/>
    <w:pPr>
      <w:numPr>
        <w:ilvl w:val="1"/>
      </w:numPr>
      <w:spacing w:before="60" w:after="60"/>
      <w:jc w:val="center"/>
    </w:pPr>
    <w:rPr>
      <w:rFonts w:eastAsia="Times New Roman"/>
      <w:b/>
      <w:i/>
      <w:iCs/>
      <w:spacing w:val="15"/>
      <w:lang w:eastAsia="en-US"/>
    </w:rPr>
  </w:style>
  <w:style w:type="character" w:customStyle="1" w:styleId="SubttuloCar">
    <w:name w:val="Subtítulo Car"/>
    <w:link w:val="Subttulo"/>
    <w:rsid w:val="005D5CF9"/>
    <w:rPr>
      <w:rFonts w:ascii="Verdana" w:eastAsia="Times New Roman" w:hAnsi="Verdana"/>
      <w:b/>
      <w:i/>
      <w:iCs/>
      <w:spacing w:val="15"/>
      <w:szCs w:val="24"/>
      <w:lang w:val="es-ES_tradnl" w:eastAsia="en-US"/>
    </w:rPr>
  </w:style>
  <w:style w:type="character" w:styleId="Textoennegrita">
    <w:name w:val="Strong"/>
    <w:uiPriority w:val="22"/>
    <w:qFormat/>
    <w:rsid w:val="005D5CF9"/>
    <w:rPr>
      <w:b/>
      <w:bCs/>
    </w:rPr>
  </w:style>
  <w:style w:type="paragraph" w:styleId="Sinespaciado">
    <w:name w:val="No Spacing"/>
    <w:uiPriority w:val="1"/>
    <w:qFormat/>
    <w:rsid w:val="005D5CF9"/>
    <w:rPr>
      <w:sz w:val="22"/>
      <w:szCs w:val="22"/>
      <w:lang w:val="en-US" w:eastAsia="en-US"/>
    </w:rPr>
  </w:style>
  <w:style w:type="paragraph" w:styleId="Prrafodelista">
    <w:name w:val="List Paragraph"/>
    <w:aliases w:val="Colorful List - Accent 11,Lista vistosa - Énfasis 11,Footnote,List Paragraph2,Párrafo de lista1"/>
    <w:uiPriority w:val="99"/>
    <w:qFormat/>
    <w:rsid w:val="005D5CF9"/>
    <w:pPr>
      <w:ind w:left="720"/>
    </w:pPr>
    <w:rPr>
      <w:rFonts w:ascii="Cambria" w:eastAsia="Cambria" w:hAnsi="Cambria" w:cs="Cambria"/>
      <w:color w:val="000000"/>
      <w:sz w:val="24"/>
      <w:szCs w:val="24"/>
      <w:u w:color="000000"/>
      <w:lang w:val="en-US" w:eastAsia="es-ES"/>
    </w:rPr>
  </w:style>
  <w:style w:type="paragraph" w:styleId="TtuloTDC">
    <w:name w:val="TOC Heading"/>
    <w:basedOn w:val="Ttulo1"/>
    <w:next w:val="Normal"/>
    <w:uiPriority w:val="39"/>
    <w:semiHidden/>
    <w:unhideWhenUsed/>
    <w:qFormat/>
    <w:rsid w:val="005D5CF9"/>
    <w:pPr>
      <w:keepLines/>
      <w:spacing w:before="480" w:after="0"/>
      <w:jc w:val="left"/>
      <w:outlineLvl w:val="9"/>
    </w:pPr>
    <w:rPr>
      <w:rFonts w:ascii="Cambria" w:hAnsi="Cambria"/>
      <w:color w:val="365F91"/>
      <w:kern w:val="0"/>
      <w:sz w:val="28"/>
      <w:szCs w:val="28"/>
      <w:lang w:val="en-US" w:eastAsia="ja-JP"/>
    </w:rPr>
  </w:style>
  <w:style w:type="character" w:customStyle="1" w:styleId="ColorfulList-Accent1Char">
    <w:name w:val="Colorful List - Accent 1 Char"/>
    <w:aliases w:val="Párrafo de lista1 Char,List Paragraph1 Char,List Paragraph2 Char,List Paragraph Char,Footnote Char,Colorful List - Accent 11 Char,Lista vistosa - Énfasis 11 Char"/>
    <w:link w:val="Listavistosa-nfasis1"/>
    <w:uiPriority w:val="99"/>
    <w:rsid w:val="005D5CF9"/>
    <w:rPr>
      <w:rFonts w:eastAsia="Times New Roman"/>
      <w:lang w:val="es-CR" w:eastAsia="es-CR"/>
    </w:rPr>
  </w:style>
  <w:style w:type="table" w:styleId="Listavistosa-nfasis1">
    <w:name w:val="Colorful List Accent 1"/>
    <w:basedOn w:val="Tablanormal"/>
    <w:link w:val="ColorfulList-Accent1Char"/>
    <w:uiPriority w:val="99"/>
    <w:rsid w:val="005D5CF9"/>
    <w:rPr>
      <w:rFonts w:eastAsia="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DF2489"/>
    <w:rPr>
      <w:vertAlign w:val="superscript"/>
    </w:rPr>
  </w:style>
  <w:style w:type="paragraph" w:customStyle="1" w:styleId="ListParagraph1">
    <w:name w:val="List Paragraph1"/>
    <w:basedOn w:val="Normal"/>
    <w:rsid w:val="00DF2489"/>
    <w:pPr>
      <w:spacing w:after="0"/>
      <w:ind w:left="720"/>
      <w:jc w:val="left"/>
    </w:pPr>
    <w:rPr>
      <w:rFonts w:ascii="Times New Roman" w:hAnsi="Times New Roman" w:cs="Times New Roman"/>
      <w:sz w:val="24"/>
      <w:lang w:val="es-ES"/>
    </w:rPr>
  </w:style>
  <w:style w:type="paragraph" w:styleId="Piedepgina">
    <w:name w:val="footer"/>
    <w:basedOn w:val="Normal"/>
    <w:link w:val="PiedepginaCar"/>
    <w:uiPriority w:val="99"/>
    <w:unhideWhenUsed/>
    <w:rsid w:val="00DF2489"/>
    <w:pPr>
      <w:tabs>
        <w:tab w:val="center" w:pos="4680"/>
        <w:tab w:val="right" w:pos="9360"/>
      </w:tabs>
      <w:spacing w:after="0"/>
    </w:pPr>
    <w:rPr>
      <w:rFonts w:cs="Times New Roman"/>
    </w:rPr>
  </w:style>
  <w:style w:type="character" w:customStyle="1" w:styleId="PiedepginaCar">
    <w:name w:val="Pie de página Car"/>
    <w:basedOn w:val="Fuentedeprrafopredeter"/>
    <w:link w:val="Piedepgina"/>
    <w:uiPriority w:val="99"/>
    <w:rsid w:val="00DF2489"/>
    <w:rPr>
      <w:rFonts w:ascii="Verdana" w:hAnsi="Verdana"/>
      <w:szCs w:val="24"/>
      <w:lang w:val="es-ES_tradnl" w:eastAsia="es-ES"/>
    </w:rPr>
  </w:style>
  <w:style w:type="paragraph" w:styleId="Sangradetextonormal">
    <w:name w:val="Body Text Indent"/>
    <w:basedOn w:val="Normal"/>
    <w:link w:val="SangradetextonormalCar"/>
    <w:uiPriority w:val="99"/>
    <w:unhideWhenUsed/>
    <w:rsid w:val="00DF2489"/>
    <w:pPr>
      <w:ind w:left="283"/>
    </w:pPr>
    <w:rPr>
      <w:rFonts w:cs="Times New Roman"/>
    </w:rPr>
  </w:style>
  <w:style w:type="character" w:customStyle="1" w:styleId="SangradetextonormalCar">
    <w:name w:val="Sangría de texto normal Car"/>
    <w:basedOn w:val="Fuentedeprrafopredeter"/>
    <w:link w:val="Sangradetextonormal"/>
    <w:uiPriority w:val="99"/>
    <w:rsid w:val="00DF2489"/>
    <w:rPr>
      <w:rFonts w:ascii="Verdana" w:hAnsi="Verdana"/>
      <w:szCs w:val="24"/>
      <w:lang w:val="es-ES_tradnl" w:eastAsia="es-ES"/>
    </w:rPr>
  </w:style>
  <w:style w:type="character" w:styleId="Refdecomentario">
    <w:name w:val="annotation reference"/>
    <w:semiHidden/>
    <w:unhideWhenUsed/>
    <w:rsid w:val="00DF2489"/>
    <w:rPr>
      <w:sz w:val="16"/>
      <w:szCs w:val="16"/>
    </w:rPr>
  </w:style>
  <w:style w:type="paragraph" w:styleId="Textocomentario">
    <w:name w:val="annotation text"/>
    <w:basedOn w:val="Normal"/>
    <w:link w:val="TextocomentarioCar"/>
    <w:semiHidden/>
    <w:unhideWhenUsed/>
    <w:rsid w:val="00DF2489"/>
    <w:rPr>
      <w:rFonts w:cs="Times New Roman"/>
      <w:szCs w:val="20"/>
    </w:rPr>
  </w:style>
  <w:style w:type="character" w:customStyle="1" w:styleId="TextocomentarioCar">
    <w:name w:val="Texto comentario Car"/>
    <w:basedOn w:val="Fuentedeprrafopredeter"/>
    <w:link w:val="Textocomentario"/>
    <w:uiPriority w:val="99"/>
    <w:semiHidden/>
    <w:rsid w:val="00DF2489"/>
    <w:rPr>
      <w:rFonts w:ascii="Verdana" w:hAnsi="Verdana"/>
      <w:lang w:val="es-ES_tradnl" w:eastAsia="es-ES"/>
    </w:rPr>
  </w:style>
  <w:style w:type="paragraph" w:styleId="Textodeglobo">
    <w:name w:val="Balloon Text"/>
    <w:basedOn w:val="Normal"/>
    <w:link w:val="TextodegloboCar"/>
    <w:uiPriority w:val="99"/>
    <w:semiHidden/>
    <w:unhideWhenUsed/>
    <w:rsid w:val="00DF248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2489"/>
    <w:rPr>
      <w:rFonts w:ascii="Tahoma" w:hAnsi="Tahoma" w:cs="Tahoma"/>
      <w:sz w:val="16"/>
      <w:szCs w:val="16"/>
      <w:lang w:val="es-ES_tradnl" w:eastAsia="es-ES"/>
    </w:rPr>
  </w:style>
  <w:style w:type="character" w:styleId="Hipervnculo">
    <w:name w:val="Hyperlink"/>
    <w:uiPriority w:val="99"/>
    <w:rsid w:val="00D87B6A"/>
    <w:rPr>
      <w:rFonts w:cs="Times New Roman"/>
      <w:color w:val="0000FF"/>
      <w:u w:val="single"/>
    </w:rPr>
  </w:style>
  <w:style w:type="paragraph" w:styleId="Asuntodelcomentario">
    <w:name w:val="annotation subject"/>
    <w:basedOn w:val="Textocomentario"/>
    <w:next w:val="Textocomentario"/>
    <w:link w:val="AsuntodelcomentarioCar"/>
    <w:uiPriority w:val="99"/>
    <w:semiHidden/>
    <w:unhideWhenUsed/>
    <w:rsid w:val="002F6691"/>
    <w:rPr>
      <w:rFonts w:cs="Times"/>
      <w:b/>
      <w:bCs/>
    </w:rPr>
  </w:style>
  <w:style w:type="character" w:customStyle="1" w:styleId="AsuntodelcomentarioCar">
    <w:name w:val="Asunto del comentario Car"/>
    <w:basedOn w:val="TextocomentarioCar"/>
    <w:link w:val="Asuntodelcomentario"/>
    <w:uiPriority w:val="99"/>
    <w:semiHidden/>
    <w:rsid w:val="002F6691"/>
    <w:rPr>
      <w:rFonts w:ascii="Verdana" w:hAnsi="Verdana" w:cs="Times"/>
      <w:b/>
      <w:bCs/>
      <w:lang w:val="es-ES_tradnl" w:eastAsia="es-ES"/>
    </w:rPr>
  </w:style>
  <w:style w:type="character" w:styleId="nfasissutil">
    <w:name w:val="Subtle Emphasis"/>
    <w:uiPriority w:val="19"/>
    <w:qFormat/>
    <w:rsid w:val="00C77A1B"/>
    <w:rPr>
      <w:rFonts w:ascii="Verdana" w:hAnsi="Verdana"/>
      <w:i/>
      <w:iCs/>
      <w:color w:val="808080"/>
      <w:sz w:val="20"/>
      <w:u w:val="single"/>
    </w:rPr>
  </w:style>
  <w:style w:type="paragraph" w:styleId="Textodebloque">
    <w:name w:val="Block Text"/>
    <w:basedOn w:val="Normal"/>
    <w:uiPriority w:val="99"/>
    <w:unhideWhenUsed/>
    <w:rsid w:val="00FB56A5"/>
    <w:pPr>
      <w:tabs>
        <w:tab w:val="left" w:pos="851"/>
      </w:tabs>
      <w:autoSpaceDE w:val="0"/>
      <w:autoSpaceDN w:val="0"/>
      <w:adjustRightInd w:val="0"/>
      <w:spacing w:after="0"/>
      <w:ind w:left="567" w:right="571"/>
    </w:pPr>
    <w:rPr>
      <w:rFonts w:eastAsiaTheme="minorHAnsi" w:cs="Arial"/>
      <w:szCs w:val="20"/>
      <w:lang w:val="es-C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D17D9-853C-478B-94FB-F634CB24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4503</Words>
  <Characters>24771</Characters>
  <Application>Microsoft Office Word</Application>
  <DocSecurity>4</DocSecurity>
  <Lines>206</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Mabel Fernandez</cp:lastModifiedBy>
  <cp:revision>2</cp:revision>
  <cp:lastPrinted>2019-12-13T19:52:00Z</cp:lastPrinted>
  <dcterms:created xsi:type="dcterms:W3CDTF">2019-12-13T20:42:00Z</dcterms:created>
  <dcterms:modified xsi:type="dcterms:W3CDTF">2019-12-13T20:42:00Z</dcterms:modified>
</cp:coreProperties>
</file>