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E0" w:rsidRDefault="008031E0" w:rsidP="00BE2C67">
      <w:pPr>
        <w:spacing w:before="0" w:after="0"/>
        <w:jc w:val="center"/>
        <w:rPr>
          <w:b/>
          <w:szCs w:val="20"/>
        </w:rPr>
      </w:pPr>
      <w:bookmarkStart w:id="0" w:name="_GoBack"/>
      <w:bookmarkEnd w:id="0"/>
    </w:p>
    <w:p w:rsidR="008031E0" w:rsidRDefault="008031E0" w:rsidP="00BE2C67">
      <w:pPr>
        <w:spacing w:before="0" w:after="0"/>
        <w:jc w:val="center"/>
        <w:rPr>
          <w:b/>
          <w:szCs w:val="20"/>
        </w:rPr>
      </w:pPr>
    </w:p>
    <w:p w:rsidR="008031E0" w:rsidRDefault="008031E0" w:rsidP="00BE2C67">
      <w:pPr>
        <w:spacing w:before="0" w:after="0"/>
        <w:jc w:val="center"/>
        <w:rPr>
          <w:b/>
          <w:szCs w:val="20"/>
        </w:rPr>
      </w:pPr>
    </w:p>
    <w:p w:rsidR="008031E0" w:rsidRDefault="008031E0" w:rsidP="00BE2C67">
      <w:pPr>
        <w:spacing w:before="0" w:after="0"/>
        <w:jc w:val="center"/>
        <w:rPr>
          <w:b/>
          <w:szCs w:val="20"/>
        </w:rPr>
      </w:pPr>
    </w:p>
    <w:p w:rsidR="006F6D58" w:rsidRPr="00BE2C67" w:rsidRDefault="006F6D58" w:rsidP="00BE2C67">
      <w:pPr>
        <w:spacing w:before="0" w:after="0"/>
        <w:jc w:val="center"/>
        <w:rPr>
          <w:b/>
          <w:szCs w:val="20"/>
        </w:rPr>
      </w:pPr>
      <w:r w:rsidRPr="00BE2C67">
        <w:rPr>
          <w:b/>
          <w:szCs w:val="20"/>
        </w:rPr>
        <w:t>RESOLUCIÓN DEL PRESIDENTE DE LA</w:t>
      </w:r>
    </w:p>
    <w:p w:rsidR="006F6D58" w:rsidRPr="00BE2C67" w:rsidRDefault="006F6D58" w:rsidP="00BE2C67">
      <w:pPr>
        <w:spacing w:before="0" w:after="0"/>
        <w:jc w:val="center"/>
        <w:rPr>
          <w:b/>
          <w:szCs w:val="20"/>
        </w:rPr>
      </w:pPr>
      <w:r w:rsidRPr="00BE2C67">
        <w:rPr>
          <w:b/>
          <w:szCs w:val="20"/>
        </w:rPr>
        <w:t>CORTE INTERAMERICANA DE DERECHOS HUMANOS</w:t>
      </w:r>
    </w:p>
    <w:p w:rsidR="006F6D58" w:rsidRPr="00BE2C67" w:rsidRDefault="006F6D58" w:rsidP="00BE2C67">
      <w:pPr>
        <w:spacing w:before="0" w:after="0"/>
        <w:jc w:val="center"/>
        <w:rPr>
          <w:b/>
          <w:szCs w:val="20"/>
        </w:rPr>
      </w:pPr>
      <w:r w:rsidRPr="00BE2C67">
        <w:rPr>
          <w:b/>
          <w:szCs w:val="20"/>
        </w:rPr>
        <w:t xml:space="preserve">DE </w:t>
      </w:r>
      <w:r w:rsidR="009055EB">
        <w:rPr>
          <w:b/>
          <w:szCs w:val="20"/>
        </w:rPr>
        <w:t>14</w:t>
      </w:r>
      <w:r w:rsidRPr="00BE2C67">
        <w:rPr>
          <w:b/>
          <w:szCs w:val="20"/>
        </w:rPr>
        <w:t xml:space="preserve"> DE SEPTIEMBRE DE 2016</w:t>
      </w:r>
    </w:p>
    <w:p w:rsidR="006F6D58" w:rsidRPr="00BE2C67" w:rsidRDefault="006F6D58" w:rsidP="00BE2C67">
      <w:pPr>
        <w:spacing w:before="0" w:after="0"/>
        <w:jc w:val="center"/>
        <w:rPr>
          <w:b/>
          <w:szCs w:val="20"/>
        </w:rPr>
      </w:pPr>
      <w:r w:rsidRPr="00BE2C67">
        <w:rPr>
          <w:b/>
          <w:szCs w:val="20"/>
        </w:rPr>
        <w:t>CASO TRABAJADORES CESADOS DE PETROPERÚ, DEL MINISTERIO DE EDUCACIÓN, DEL MINISTERIO DE ECONOMÍA Y FINANZAS Y DE LA EMPRE</w:t>
      </w:r>
      <w:r w:rsidR="00825680">
        <w:rPr>
          <w:b/>
          <w:szCs w:val="20"/>
        </w:rPr>
        <w:t>SA NACIONAL DE PUERTOS VS. PERÚ</w:t>
      </w:r>
    </w:p>
    <w:p w:rsidR="006F6D58" w:rsidRPr="00BE2C67" w:rsidRDefault="006F6D58" w:rsidP="00BE2C67">
      <w:pPr>
        <w:spacing w:before="0" w:after="0"/>
        <w:rPr>
          <w:b/>
          <w:szCs w:val="20"/>
        </w:rPr>
      </w:pPr>
    </w:p>
    <w:p w:rsidR="006F6D58" w:rsidRPr="00BE2C67" w:rsidRDefault="006F6D58" w:rsidP="00BE2C67">
      <w:pPr>
        <w:spacing w:before="0" w:after="0"/>
        <w:rPr>
          <w:b/>
          <w:szCs w:val="20"/>
        </w:rPr>
      </w:pPr>
    </w:p>
    <w:p w:rsidR="006F6D58" w:rsidRPr="00BE2C67" w:rsidRDefault="006F6D58" w:rsidP="00BE2C67">
      <w:pPr>
        <w:spacing w:before="0" w:after="0"/>
        <w:rPr>
          <w:b/>
          <w:szCs w:val="20"/>
        </w:rPr>
      </w:pPr>
      <w:r w:rsidRPr="00BE2C67">
        <w:rPr>
          <w:b/>
          <w:szCs w:val="20"/>
        </w:rPr>
        <w:t>VISTO:</w:t>
      </w:r>
    </w:p>
    <w:p w:rsidR="006F6D58" w:rsidRPr="00BE2C67" w:rsidRDefault="006F6D58" w:rsidP="00BE2C67">
      <w:pPr>
        <w:spacing w:before="0" w:after="0"/>
        <w:rPr>
          <w:b/>
          <w:szCs w:val="20"/>
        </w:rPr>
      </w:pPr>
    </w:p>
    <w:p w:rsidR="00935D38" w:rsidRPr="00BE2C67" w:rsidRDefault="006F6D58" w:rsidP="00BE2C67">
      <w:pPr>
        <w:pStyle w:val="ListParagraph"/>
        <w:numPr>
          <w:ilvl w:val="0"/>
          <w:numId w:val="2"/>
        </w:numPr>
        <w:tabs>
          <w:tab w:val="left" w:pos="708"/>
        </w:tabs>
        <w:spacing w:before="0"/>
        <w:ind w:left="0" w:right="0" w:firstLine="0"/>
        <w:rPr>
          <w:b/>
        </w:rPr>
      </w:pPr>
      <w:bookmarkStart w:id="1" w:name="_Ref393297742"/>
      <w:bookmarkStart w:id="2" w:name="_Ref352676460"/>
      <w:r w:rsidRPr="00BE2C67">
        <w:t>El escrito de sometimiento del caso y el Informe de Admisibilidad y Fondo de la Comisión Interamericana de Derechos Humanos (en adelante “la Comisión Interamericana” o “la Comisión”)</w:t>
      </w:r>
      <w:bookmarkEnd w:id="1"/>
      <w:r w:rsidR="00142AA9" w:rsidRPr="00BE2C67">
        <w:t>;</w:t>
      </w:r>
      <w:r w:rsidRPr="00BE2C67">
        <w:t xml:space="preserve"> </w:t>
      </w:r>
      <w:bookmarkStart w:id="3" w:name="_Ref351983508"/>
      <w:bookmarkStart w:id="4" w:name="_Ref393297751"/>
      <w:bookmarkEnd w:id="2"/>
      <w:r w:rsidRPr="00BE2C67">
        <w:t xml:space="preserve">los escritos de solicitudes, argumentos y pruebas (en adelante </w:t>
      </w:r>
      <w:r w:rsidR="00813BF6" w:rsidRPr="00BE2C67">
        <w:t>los</w:t>
      </w:r>
      <w:r w:rsidRPr="00BE2C67">
        <w:t xml:space="preserve"> “escrito</w:t>
      </w:r>
      <w:r w:rsidR="00813BF6" w:rsidRPr="00BE2C67">
        <w:t>s</w:t>
      </w:r>
      <w:r w:rsidRPr="00BE2C67">
        <w:t xml:space="preserve"> de solicitudes y argumentos”) de </w:t>
      </w:r>
      <w:r w:rsidR="007A155D" w:rsidRPr="00BE2C67">
        <w:t xml:space="preserve">los </w:t>
      </w:r>
      <w:r w:rsidRPr="00BE2C67">
        <w:t>intervinientes comunes que representan a las presuntas víctimas</w:t>
      </w:r>
      <w:r w:rsidRPr="00BE2C67">
        <w:rPr>
          <w:rStyle w:val="FootnoteReference"/>
          <w:sz w:val="20"/>
          <w:szCs w:val="20"/>
        </w:rPr>
        <w:footnoteReference w:id="1"/>
      </w:r>
      <w:r w:rsidRPr="00BE2C67">
        <w:t xml:space="preserve"> (en adelante “los intervinientes comunes”)</w:t>
      </w:r>
      <w:r w:rsidR="00813BF6" w:rsidRPr="00BE2C67">
        <w:t xml:space="preserve">; </w:t>
      </w:r>
      <w:bookmarkStart w:id="5" w:name="_Ref352676532"/>
      <w:bookmarkEnd w:id="3"/>
      <w:bookmarkEnd w:id="4"/>
      <w:r w:rsidRPr="00BE2C67">
        <w:t>el escrito de excepciones preliminares, contestación al sometimiento del caso y de observaciones a</w:t>
      </w:r>
      <w:r w:rsidR="00935D38" w:rsidRPr="00BE2C67">
        <w:t xml:space="preserve"> los</w:t>
      </w:r>
      <w:r w:rsidRPr="00BE2C67">
        <w:t xml:space="preserve"> escrito</w:t>
      </w:r>
      <w:r w:rsidR="00935D38" w:rsidRPr="00BE2C67">
        <w:t>s</w:t>
      </w:r>
      <w:r w:rsidRPr="00BE2C67">
        <w:t xml:space="preserve"> de solicitudes y argumentos (en adelante “escrito de contestación”) de la República del Perú (en adelante “el Perú” o “el Estado”)</w:t>
      </w:r>
      <w:bookmarkEnd w:id="5"/>
      <w:r w:rsidR="00B10853" w:rsidRPr="00BE2C67">
        <w:t>;</w:t>
      </w:r>
      <w:r w:rsidR="00813BF6" w:rsidRPr="00BE2C67">
        <w:t xml:space="preserve"> </w:t>
      </w:r>
      <w:r w:rsidRPr="00BE2C67">
        <w:t>los escritos de observaciones a las excepciones preliminares</w:t>
      </w:r>
      <w:r w:rsidR="00935D38" w:rsidRPr="00BE2C67">
        <w:t xml:space="preserve"> presentados por la Comisión y los intervinientes comunes</w:t>
      </w:r>
      <w:r w:rsidR="009359FE">
        <w:t>,</w:t>
      </w:r>
      <w:r w:rsidR="00813BF6" w:rsidRPr="00BE2C67">
        <w:t xml:space="preserve"> </w:t>
      </w:r>
      <w:r w:rsidR="00AB6F53" w:rsidRPr="00BE2C67">
        <w:rPr>
          <w:rFonts w:eastAsiaTheme="minorHAnsi" w:cs="Times New Roman"/>
        </w:rPr>
        <w:t>así como los</w:t>
      </w:r>
      <w:r w:rsidR="00935D38" w:rsidRPr="00BE2C67">
        <w:rPr>
          <w:rFonts w:eastAsiaTheme="minorHAnsi" w:cs="Times New Roman"/>
        </w:rPr>
        <w:t xml:space="preserve"> escrito</w:t>
      </w:r>
      <w:r w:rsidR="00AB6F53" w:rsidRPr="00BE2C67">
        <w:rPr>
          <w:rFonts w:eastAsiaTheme="minorHAnsi" w:cs="Times New Roman"/>
        </w:rPr>
        <w:t>s</w:t>
      </w:r>
      <w:r w:rsidR="00935D38" w:rsidRPr="00BE2C67">
        <w:rPr>
          <w:rFonts w:eastAsiaTheme="minorHAnsi" w:cs="Times New Roman"/>
        </w:rPr>
        <w:t xml:space="preserve"> de 1 de septiembre de 2015</w:t>
      </w:r>
      <w:r w:rsidR="006E555F" w:rsidRPr="00BE2C67">
        <w:rPr>
          <w:rFonts w:eastAsiaTheme="minorHAnsi" w:cs="Times New Roman"/>
        </w:rPr>
        <w:t xml:space="preserve"> y</w:t>
      </w:r>
      <w:r w:rsidR="00AB6F53" w:rsidRPr="00BE2C67">
        <w:rPr>
          <w:rFonts w:eastAsiaTheme="minorHAnsi" w:cs="Times New Roman"/>
        </w:rPr>
        <w:t xml:space="preserve"> </w:t>
      </w:r>
      <w:r w:rsidR="002A0BE1" w:rsidRPr="00BE2C67">
        <w:rPr>
          <w:rFonts w:eastAsiaTheme="minorHAnsi" w:cs="Arial"/>
        </w:rPr>
        <w:t>2</w:t>
      </w:r>
      <w:r w:rsidR="00464042" w:rsidRPr="00BE2C67">
        <w:rPr>
          <w:rFonts w:eastAsiaTheme="minorHAnsi" w:cs="Arial"/>
        </w:rPr>
        <w:t>2</w:t>
      </w:r>
      <w:r w:rsidR="00B10853" w:rsidRPr="00BE2C67">
        <w:rPr>
          <w:rFonts w:eastAsiaTheme="minorHAnsi" w:cs="Arial"/>
        </w:rPr>
        <w:t xml:space="preserve"> de </w:t>
      </w:r>
      <w:r w:rsidR="002A0BE1" w:rsidRPr="00BE2C67">
        <w:rPr>
          <w:rFonts w:eastAsiaTheme="minorHAnsi" w:cs="Arial"/>
        </w:rPr>
        <w:t>marzo</w:t>
      </w:r>
      <w:r w:rsidR="006E555F" w:rsidRPr="00BE2C67">
        <w:rPr>
          <w:rFonts w:eastAsiaTheme="minorHAnsi" w:cs="Arial"/>
        </w:rPr>
        <w:t xml:space="preserve"> </w:t>
      </w:r>
      <w:r w:rsidR="00AB6F53" w:rsidRPr="00BE2C67">
        <w:rPr>
          <w:rFonts w:eastAsiaTheme="minorHAnsi" w:cs="Arial"/>
        </w:rPr>
        <w:t>de</w:t>
      </w:r>
      <w:r w:rsidR="00B10853" w:rsidRPr="00BE2C67">
        <w:rPr>
          <w:rFonts w:eastAsiaTheme="minorHAnsi" w:cs="Arial"/>
        </w:rPr>
        <w:t xml:space="preserve"> 2016</w:t>
      </w:r>
      <w:r w:rsidR="00464042" w:rsidRPr="00BE2C67">
        <w:rPr>
          <w:rFonts w:eastAsiaTheme="minorHAnsi" w:cs="Arial"/>
        </w:rPr>
        <w:t xml:space="preserve"> </w:t>
      </w:r>
      <w:r w:rsidR="00464042" w:rsidRPr="00BE2C67">
        <w:rPr>
          <w:rFonts w:eastAsiaTheme="minorHAnsi" w:cs="Times New Roman"/>
        </w:rPr>
        <w:t>presentado</w:t>
      </w:r>
      <w:r w:rsidR="006E555F" w:rsidRPr="00BE2C67">
        <w:rPr>
          <w:rFonts w:eastAsiaTheme="minorHAnsi" w:cs="Times New Roman"/>
        </w:rPr>
        <w:t>s</w:t>
      </w:r>
      <w:r w:rsidR="00464042" w:rsidRPr="00BE2C67">
        <w:rPr>
          <w:rFonts w:eastAsiaTheme="minorHAnsi" w:cs="Times New Roman"/>
        </w:rPr>
        <w:t xml:space="preserve"> por </w:t>
      </w:r>
      <w:r w:rsidR="00AB6F53" w:rsidRPr="00BE2C67">
        <w:rPr>
          <w:rFonts w:eastAsiaTheme="minorHAnsi" w:cs="Times New Roman"/>
        </w:rPr>
        <w:t>la Comisión</w:t>
      </w:r>
      <w:r w:rsidR="006E555F" w:rsidRPr="00BE2C67">
        <w:rPr>
          <w:rFonts w:eastAsiaTheme="minorHAnsi" w:cs="Arial"/>
        </w:rPr>
        <w:t xml:space="preserve"> y</w:t>
      </w:r>
      <w:r w:rsidR="00AB6F53" w:rsidRPr="00BE2C67">
        <w:rPr>
          <w:rFonts w:eastAsiaTheme="minorHAnsi" w:cs="Arial"/>
        </w:rPr>
        <w:t xml:space="preserve"> </w:t>
      </w:r>
      <w:r w:rsidR="00464042" w:rsidRPr="00BE2C67">
        <w:rPr>
          <w:rFonts w:eastAsiaTheme="minorHAnsi" w:cs="Times New Roman"/>
        </w:rPr>
        <w:t xml:space="preserve">la </w:t>
      </w:r>
      <w:r w:rsidR="00464042" w:rsidRPr="00BE2C67">
        <w:t>interviniente común Carolina Loa</w:t>
      </w:r>
      <w:r w:rsidR="00CC1E86">
        <w:t>y</w:t>
      </w:r>
      <w:r w:rsidR="00464042" w:rsidRPr="00BE2C67">
        <w:t>za Tamayo</w:t>
      </w:r>
      <w:r w:rsidR="00AB6F53" w:rsidRPr="00BE2C67">
        <w:t>, respectivamente.</w:t>
      </w:r>
      <w:r w:rsidR="00464042" w:rsidRPr="00BE2C67">
        <w:rPr>
          <w:rFonts w:eastAsiaTheme="minorHAnsi" w:cs="Arial"/>
        </w:rPr>
        <w:t xml:space="preserve"> </w:t>
      </w:r>
    </w:p>
    <w:p w:rsidR="00935D38" w:rsidRPr="00BE2C67" w:rsidRDefault="00935D38" w:rsidP="00BE2C67">
      <w:pPr>
        <w:pStyle w:val="ListParagraph"/>
        <w:numPr>
          <w:ilvl w:val="0"/>
          <w:numId w:val="0"/>
        </w:numPr>
        <w:tabs>
          <w:tab w:val="left" w:pos="708"/>
        </w:tabs>
        <w:spacing w:before="0"/>
        <w:ind w:right="0"/>
        <w:rPr>
          <w:b/>
        </w:rPr>
      </w:pPr>
    </w:p>
    <w:p w:rsidR="006F6D58" w:rsidRPr="00BE2C67" w:rsidRDefault="006F6D58" w:rsidP="00BE2C67">
      <w:pPr>
        <w:pStyle w:val="ListParagraph"/>
        <w:numPr>
          <w:ilvl w:val="0"/>
          <w:numId w:val="2"/>
        </w:numPr>
        <w:tabs>
          <w:tab w:val="left" w:pos="708"/>
        </w:tabs>
        <w:spacing w:before="0"/>
        <w:ind w:left="0" w:right="0" w:firstLine="0"/>
        <w:rPr>
          <w:b/>
        </w:rPr>
      </w:pPr>
      <w:bookmarkStart w:id="6" w:name="_Ref393920719"/>
      <w:bookmarkStart w:id="7" w:name="_Ref393297780"/>
      <w:r w:rsidRPr="00BE2C67">
        <w:t>La</w:t>
      </w:r>
      <w:r w:rsidR="005D10DA" w:rsidRPr="00BE2C67">
        <w:t>s</w:t>
      </w:r>
      <w:r w:rsidRPr="00BE2C67">
        <w:t xml:space="preserve"> </w:t>
      </w:r>
      <w:bookmarkEnd w:id="6"/>
      <w:bookmarkEnd w:id="7"/>
      <w:r w:rsidRPr="00BE2C67">
        <w:t>lista</w:t>
      </w:r>
      <w:r w:rsidR="005D10DA" w:rsidRPr="00BE2C67">
        <w:t>s</w:t>
      </w:r>
      <w:r w:rsidRPr="00BE2C67">
        <w:t xml:space="preserve"> definitiva</w:t>
      </w:r>
      <w:r w:rsidR="005D10DA" w:rsidRPr="00BE2C67">
        <w:t>s</w:t>
      </w:r>
      <w:r w:rsidRPr="00BE2C67">
        <w:t xml:space="preserve"> de declarantes presentada</w:t>
      </w:r>
      <w:r w:rsidR="005D10DA" w:rsidRPr="00BE2C67">
        <w:t>s</w:t>
      </w:r>
      <w:r w:rsidR="00554C57" w:rsidRPr="00BE2C67">
        <w:t xml:space="preserve"> por el Estado</w:t>
      </w:r>
      <w:r w:rsidR="007A155D" w:rsidRPr="00BE2C67">
        <w:t>, la Comisión</w:t>
      </w:r>
      <w:r w:rsidRPr="00BE2C67">
        <w:t xml:space="preserve"> y l</w:t>
      </w:r>
      <w:r w:rsidR="00C05A67" w:rsidRPr="00BE2C67">
        <w:t>a</w:t>
      </w:r>
      <w:r w:rsidRPr="00BE2C67">
        <w:t xml:space="preserve"> interviniente c</w:t>
      </w:r>
      <w:r w:rsidR="00554C57" w:rsidRPr="00BE2C67">
        <w:t>om</w:t>
      </w:r>
      <w:r w:rsidR="00C05A67" w:rsidRPr="00BE2C67">
        <w:t>ú</w:t>
      </w:r>
      <w:r w:rsidR="00554C57" w:rsidRPr="00BE2C67">
        <w:t>n Carolina Loa</w:t>
      </w:r>
      <w:r w:rsidR="00CC1E86">
        <w:t>y</w:t>
      </w:r>
      <w:r w:rsidR="00554C57" w:rsidRPr="00BE2C67">
        <w:t>za Tamayo</w:t>
      </w:r>
      <w:r w:rsidRPr="00BE2C67">
        <w:t>. Además, las correspondientes observaciones a las referidas listas definitivas</w:t>
      </w:r>
      <w:r w:rsidR="00963868" w:rsidRPr="00BE2C67">
        <w:t>, y</w:t>
      </w:r>
      <w:r w:rsidRPr="00BE2C67">
        <w:t xml:space="preserve"> </w:t>
      </w:r>
      <w:r w:rsidR="00963868" w:rsidRPr="00BE2C67">
        <w:t>las observaciones de</w:t>
      </w:r>
      <w:r w:rsidR="004B18CB" w:rsidRPr="00BE2C67">
        <w:t xml:space="preserve"> una</w:t>
      </w:r>
      <w:r w:rsidR="00963868" w:rsidRPr="00BE2C67">
        <w:t xml:space="preserve"> persona</w:t>
      </w:r>
      <w:r w:rsidR="004B18CB" w:rsidRPr="00BE2C67">
        <w:t xml:space="preserve"> ofrecida como perito</w:t>
      </w:r>
      <w:r w:rsidR="00963868" w:rsidRPr="00BE2C67">
        <w:t xml:space="preserve"> respecto de la recusaci</w:t>
      </w:r>
      <w:r w:rsidR="004B18CB" w:rsidRPr="00BE2C67">
        <w:t>ó</w:t>
      </w:r>
      <w:r w:rsidR="00963868" w:rsidRPr="00BE2C67">
        <w:t>n presentada por el Estado en su contra.</w:t>
      </w:r>
      <w:r w:rsidR="00421856" w:rsidRPr="00BE2C67">
        <w:t xml:space="preserve"> Además, </w:t>
      </w:r>
      <w:r w:rsidR="006E555F" w:rsidRPr="00BE2C67">
        <w:t xml:space="preserve">el escrito de </w:t>
      </w:r>
      <w:r w:rsidR="006E555F" w:rsidRPr="00BE2C67">
        <w:rPr>
          <w:rFonts w:eastAsiaTheme="minorHAnsi" w:cs="Arial"/>
        </w:rPr>
        <w:t>5 de septiembre de 2016</w:t>
      </w:r>
      <w:r w:rsidR="006E555F" w:rsidRPr="00BE2C67">
        <w:t xml:space="preserve"> presentado por el Estado</w:t>
      </w:r>
      <w:r w:rsidR="00F7765B">
        <w:t>, mediante la cual solicitó sustituir la modalidad de presentación de un peritaje</w:t>
      </w:r>
      <w:r w:rsidR="00421856" w:rsidRPr="00BE2C67">
        <w:t>.</w:t>
      </w:r>
    </w:p>
    <w:p w:rsidR="004B18CB" w:rsidRPr="00BE2C67" w:rsidRDefault="004B18CB" w:rsidP="00BE2C67">
      <w:pPr>
        <w:pStyle w:val="ListParagraph"/>
        <w:numPr>
          <w:ilvl w:val="0"/>
          <w:numId w:val="0"/>
        </w:numPr>
        <w:spacing w:before="0"/>
        <w:rPr>
          <w:b/>
        </w:rPr>
      </w:pPr>
    </w:p>
    <w:p w:rsidR="004C0782" w:rsidRPr="00BE2C67" w:rsidRDefault="004C0782" w:rsidP="00BE2C67">
      <w:pPr>
        <w:pStyle w:val="ListParagraph"/>
        <w:numPr>
          <w:ilvl w:val="0"/>
          <w:numId w:val="2"/>
        </w:numPr>
        <w:tabs>
          <w:tab w:val="left" w:pos="708"/>
        </w:tabs>
        <w:spacing w:before="0"/>
        <w:ind w:left="0" w:right="0" w:firstLine="0"/>
        <w:rPr>
          <w:b/>
        </w:rPr>
      </w:pPr>
      <w:r w:rsidRPr="00BE2C67">
        <w:t xml:space="preserve">La Resolución del Presidente de la Corte Interamericana de Derechos Humanos (en adelante “el Presidente”) de </w:t>
      </w:r>
      <w:r w:rsidR="007C08BB" w:rsidRPr="00BE2C67">
        <w:t>22</w:t>
      </w:r>
      <w:r w:rsidRPr="00BE2C67">
        <w:t xml:space="preserve"> de </w:t>
      </w:r>
      <w:r w:rsidR="007C08BB" w:rsidRPr="00BE2C67">
        <w:t>junio</w:t>
      </w:r>
      <w:r w:rsidRPr="00BE2C67">
        <w:t xml:space="preserve"> de 201</w:t>
      </w:r>
      <w:r w:rsidR="007C08BB" w:rsidRPr="00BE2C67">
        <w:t>6</w:t>
      </w:r>
      <w:r w:rsidRPr="00BE2C67">
        <w:t xml:space="preserve"> sobre el Fondo de Asistencia Legal de Víctimas</w:t>
      </w:r>
      <w:r w:rsidR="00617700">
        <w:rPr>
          <w:rStyle w:val="FootnoteReference"/>
        </w:rPr>
        <w:footnoteReference w:id="2"/>
      </w:r>
      <w:r w:rsidRPr="00BE2C67">
        <w:t>.</w:t>
      </w:r>
    </w:p>
    <w:p w:rsidR="006F6D58" w:rsidRPr="00BE2C67" w:rsidRDefault="006F6D58" w:rsidP="00BE2C67">
      <w:pPr>
        <w:pStyle w:val="ListParagraph"/>
        <w:numPr>
          <w:ilvl w:val="0"/>
          <w:numId w:val="0"/>
        </w:numPr>
        <w:tabs>
          <w:tab w:val="left" w:pos="708"/>
        </w:tabs>
        <w:spacing w:before="0"/>
        <w:ind w:right="0"/>
      </w:pPr>
    </w:p>
    <w:p w:rsidR="006F6D58" w:rsidRPr="00BE2C67" w:rsidRDefault="006F6D58" w:rsidP="00BE2C67">
      <w:pPr>
        <w:spacing w:before="0" w:after="0"/>
        <w:rPr>
          <w:b/>
          <w:szCs w:val="20"/>
        </w:rPr>
      </w:pPr>
      <w:r w:rsidRPr="00BE2C67">
        <w:rPr>
          <w:b/>
          <w:szCs w:val="20"/>
        </w:rPr>
        <w:t>CONSIDERANDO QUE:</w:t>
      </w:r>
    </w:p>
    <w:p w:rsidR="006F6D58" w:rsidRPr="00BE2C67" w:rsidRDefault="006F6D58" w:rsidP="00BE2C67">
      <w:pPr>
        <w:spacing w:before="0" w:after="0"/>
        <w:rPr>
          <w:b/>
          <w:szCs w:val="20"/>
        </w:rPr>
      </w:pPr>
    </w:p>
    <w:p w:rsidR="006F6D58" w:rsidRPr="00BE2C67" w:rsidRDefault="006F6D58" w:rsidP="00BE2C67">
      <w:pPr>
        <w:numPr>
          <w:ilvl w:val="0"/>
          <w:numId w:val="3"/>
        </w:numPr>
        <w:autoSpaceDE w:val="0"/>
        <w:autoSpaceDN w:val="0"/>
        <w:adjustRightInd w:val="0"/>
        <w:spacing w:before="0" w:after="0"/>
        <w:rPr>
          <w:rFonts w:eastAsia="Times New Roman" w:cs="Verdana"/>
          <w:szCs w:val="20"/>
        </w:rPr>
      </w:pPr>
      <w:r w:rsidRPr="00BE2C67">
        <w:rPr>
          <w:rFonts w:eastAsia="Times New Roman" w:cs="Verdana"/>
          <w:szCs w:val="20"/>
        </w:rPr>
        <w:t xml:space="preserve">El ofrecimiento y la admisión de la prueba, así como la citación de presuntas víctimas, testigos y peritos, se encuentran regulados en los artículos 35.1.f, 40.2.c, 41.1.c, 46, 47, 48, 50, 52.3 y 57 </w:t>
      </w:r>
      <w:r w:rsidRPr="00BE2C67">
        <w:rPr>
          <w:szCs w:val="20"/>
        </w:rPr>
        <w:t>del Reglamento de la Corte Interamericana de Derechos Humanos (en adelante “la Corte Interamericana”, “la Corte” o “el Tribunal”).</w:t>
      </w:r>
    </w:p>
    <w:p w:rsidR="006F6D58" w:rsidRPr="00BE2C67" w:rsidRDefault="006F6D58" w:rsidP="00BE2C67">
      <w:pPr>
        <w:autoSpaceDE w:val="0"/>
        <w:autoSpaceDN w:val="0"/>
        <w:adjustRightInd w:val="0"/>
        <w:spacing w:before="0" w:after="0"/>
        <w:rPr>
          <w:rFonts w:eastAsia="Times New Roman" w:cs="Verdana"/>
          <w:szCs w:val="20"/>
        </w:rPr>
      </w:pPr>
    </w:p>
    <w:p w:rsidR="00472EB8" w:rsidRPr="00BE2C67" w:rsidRDefault="006F6D58" w:rsidP="00BE2C67">
      <w:pPr>
        <w:numPr>
          <w:ilvl w:val="0"/>
          <w:numId w:val="3"/>
        </w:numPr>
        <w:autoSpaceDE w:val="0"/>
        <w:autoSpaceDN w:val="0"/>
        <w:adjustRightInd w:val="0"/>
        <w:spacing w:before="0" w:after="0"/>
        <w:rPr>
          <w:rFonts w:eastAsia="Times New Roman" w:cs="Verdana"/>
          <w:szCs w:val="20"/>
        </w:rPr>
      </w:pPr>
      <w:r w:rsidRPr="00BE2C67">
        <w:rPr>
          <w:szCs w:val="20"/>
        </w:rPr>
        <w:t xml:space="preserve">La Comisión </w:t>
      </w:r>
      <w:r w:rsidR="00312179" w:rsidRPr="00BE2C67">
        <w:rPr>
          <w:rFonts w:eastAsiaTheme="minorHAnsi" w:cs="Times New Roman"/>
          <w:szCs w:val="20"/>
        </w:rPr>
        <w:t xml:space="preserve">solicitó </w:t>
      </w:r>
      <w:r w:rsidR="00312179" w:rsidRPr="00BE2C67">
        <w:rPr>
          <w:rFonts w:eastAsiaTheme="minorHAnsi" w:cs="Arial"/>
          <w:szCs w:val="20"/>
        </w:rPr>
        <w:t xml:space="preserve">que se traslade a este caso </w:t>
      </w:r>
      <w:r w:rsidR="00FB0100" w:rsidRPr="00BE2C67">
        <w:rPr>
          <w:rFonts w:eastAsiaTheme="minorHAnsi" w:cs="Arial"/>
          <w:szCs w:val="20"/>
        </w:rPr>
        <w:t>un</w:t>
      </w:r>
      <w:r w:rsidR="00312179" w:rsidRPr="00BE2C67">
        <w:rPr>
          <w:rFonts w:eastAsiaTheme="minorHAnsi" w:cs="Arial"/>
          <w:szCs w:val="20"/>
        </w:rPr>
        <w:t xml:space="preserve"> peritaje rendido en el </w:t>
      </w:r>
      <w:r w:rsidR="00312179" w:rsidRPr="00BE2C67">
        <w:rPr>
          <w:rStyle w:val="Strong"/>
          <w:b w:val="0"/>
          <w:i/>
          <w:szCs w:val="20"/>
          <w:shd w:val="clear" w:color="auto" w:fill="FFFFFF"/>
        </w:rPr>
        <w:t xml:space="preserve">Caso Canales </w:t>
      </w:r>
      <w:proofErr w:type="spellStart"/>
      <w:r w:rsidR="00312179" w:rsidRPr="00BE2C67">
        <w:rPr>
          <w:rStyle w:val="Strong"/>
          <w:b w:val="0"/>
          <w:i/>
          <w:szCs w:val="20"/>
          <w:shd w:val="clear" w:color="auto" w:fill="FFFFFF"/>
        </w:rPr>
        <w:t>Huapaya</w:t>
      </w:r>
      <w:proofErr w:type="spellEnd"/>
      <w:r w:rsidR="00312179" w:rsidRPr="00BE2C67">
        <w:rPr>
          <w:rStyle w:val="Strong"/>
          <w:b w:val="0"/>
          <w:i/>
          <w:szCs w:val="20"/>
          <w:shd w:val="clear" w:color="auto" w:fill="FFFFFF"/>
        </w:rPr>
        <w:t xml:space="preserve"> y otros Vs. Perú</w:t>
      </w:r>
      <w:r w:rsidR="00312179" w:rsidRPr="00BE2C67">
        <w:rPr>
          <w:rFonts w:eastAsiaTheme="minorHAnsi" w:cs="Arial"/>
          <w:szCs w:val="20"/>
        </w:rPr>
        <w:t xml:space="preserve">. </w:t>
      </w:r>
      <w:r w:rsidR="00963868" w:rsidRPr="00BE2C67">
        <w:rPr>
          <w:szCs w:val="20"/>
        </w:rPr>
        <w:t>L</w:t>
      </w:r>
      <w:r w:rsidRPr="00BE2C67">
        <w:rPr>
          <w:szCs w:val="20"/>
        </w:rPr>
        <w:t>a interviniente común</w:t>
      </w:r>
      <w:r w:rsidRPr="00BE2C67">
        <w:rPr>
          <w:rFonts w:cs="Verdana"/>
          <w:spacing w:val="-2"/>
          <w:szCs w:val="20"/>
          <w:lang w:val="es-ES"/>
        </w:rPr>
        <w:t xml:space="preserve"> Carolina Loayza Tamayo</w:t>
      </w:r>
      <w:r w:rsidR="00312179" w:rsidRPr="00BE2C67">
        <w:rPr>
          <w:rFonts w:cs="Verdana"/>
          <w:spacing w:val="-2"/>
          <w:szCs w:val="20"/>
          <w:lang w:val="es-ES"/>
        </w:rPr>
        <w:t xml:space="preserve"> ofreció </w:t>
      </w:r>
      <w:r w:rsidR="00101DB8" w:rsidRPr="00BE2C67">
        <w:rPr>
          <w:rFonts w:cs="Verdana"/>
          <w:spacing w:val="-2"/>
          <w:szCs w:val="20"/>
          <w:lang w:val="es-ES"/>
        </w:rPr>
        <w:t xml:space="preserve">seis </w:t>
      </w:r>
      <w:r w:rsidRPr="00BE2C67">
        <w:rPr>
          <w:rFonts w:cs="Verdana"/>
          <w:spacing w:val="-2"/>
          <w:szCs w:val="20"/>
          <w:lang w:val="es-ES"/>
        </w:rPr>
        <w:lastRenderedPageBreak/>
        <w:t>declaraciones de presuntas víctimas</w:t>
      </w:r>
      <w:r w:rsidR="00464042" w:rsidRPr="00BE2C67">
        <w:rPr>
          <w:rFonts w:cs="Verdana"/>
          <w:spacing w:val="-2"/>
          <w:szCs w:val="20"/>
          <w:lang w:val="es-ES"/>
        </w:rPr>
        <w:t xml:space="preserve"> y</w:t>
      </w:r>
      <w:r w:rsidRPr="00BE2C67">
        <w:rPr>
          <w:rFonts w:cs="Verdana"/>
          <w:spacing w:val="-2"/>
          <w:szCs w:val="20"/>
          <w:lang w:val="es-ES"/>
        </w:rPr>
        <w:t xml:space="preserve"> cinco peritajes</w:t>
      </w:r>
      <w:r w:rsidR="00464042" w:rsidRPr="00BE2C67">
        <w:rPr>
          <w:rFonts w:cs="Verdana"/>
          <w:spacing w:val="-2"/>
          <w:szCs w:val="20"/>
          <w:lang w:val="es-ES"/>
        </w:rPr>
        <w:t xml:space="preserve">, </w:t>
      </w:r>
      <w:r w:rsidR="00F172F4">
        <w:rPr>
          <w:rFonts w:cs="Verdana"/>
          <w:spacing w:val="-2"/>
          <w:szCs w:val="20"/>
          <w:lang w:val="es-ES"/>
        </w:rPr>
        <w:t>así como</w:t>
      </w:r>
      <w:r w:rsidR="00464042" w:rsidRPr="00BE2C67">
        <w:rPr>
          <w:rFonts w:cs="Verdana"/>
          <w:spacing w:val="-2"/>
          <w:szCs w:val="20"/>
          <w:lang w:val="es-ES"/>
        </w:rPr>
        <w:t xml:space="preserve"> </w:t>
      </w:r>
      <w:r w:rsidR="00FB0100" w:rsidRPr="00BE2C67">
        <w:rPr>
          <w:rFonts w:cs="Verdana"/>
          <w:spacing w:val="-2"/>
          <w:szCs w:val="20"/>
          <w:lang w:val="es-ES"/>
        </w:rPr>
        <w:t>dos</w:t>
      </w:r>
      <w:r w:rsidR="00963868" w:rsidRPr="00BE2C67">
        <w:rPr>
          <w:rFonts w:cs="Verdana"/>
          <w:spacing w:val="-2"/>
          <w:szCs w:val="20"/>
          <w:lang w:val="es-ES"/>
        </w:rPr>
        <w:t xml:space="preserve"> dictámenes periciales rendidos </w:t>
      </w:r>
      <w:r w:rsidR="00312179" w:rsidRPr="00BE2C67">
        <w:rPr>
          <w:rFonts w:eastAsiaTheme="minorHAnsi" w:cs="Arial"/>
          <w:szCs w:val="20"/>
        </w:rPr>
        <w:t xml:space="preserve">en el </w:t>
      </w:r>
      <w:r w:rsidR="00312179" w:rsidRPr="00BE2C67">
        <w:rPr>
          <w:rStyle w:val="Strong"/>
          <w:b w:val="0"/>
          <w:i/>
          <w:szCs w:val="20"/>
          <w:shd w:val="clear" w:color="auto" w:fill="FFFFFF"/>
        </w:rPr>
        <w:t xml:space="preserve">Caso Canales </w:t>
      </w:r>
      <w:proofErr w:type="spellStart"/>
      <w:r w:rsidR="00312179" w:rsidRPr="00BE2C67">
        <w:rPr>
          <w:rStyle w:val="Strong"/>
          <w:b w:val="0"/>
          <w:i/>
          <w:szCs w:val="20"/>
          <w:shd w:val="clear" w:color="auto" w:fill="FFFFFF"/>
        </w:rPr>
        <w:t>Huapaya</w:t>
      </w:r>
      <w:proofErr w:type="spellEnd"/>
      <w:r w:rsidR="00312179" w:rsidRPr="00BE2C67">
        <w:rPr>
          <w:rStyle w:val="Strong"/>
          <w:b w:val="0"/>
          <w:i/>
          <w:szCs w:val="20"/>
          <w:shd w:val="clear" w:color="auto" w:fill="FFFFFF"/>
        </w:rPr>
        <w:t xml:space="preserve"> y otros Vs. Perú</w:t>
      </w:r>
      <w:r w:rsidR="00015E3B" w:rsidRPr="00BE2C67">
        <w:rPr>
          <w:rStyle w:val="Strong"/>
          <w:b w:val="0"/>
          <w:szCs w:val="20"/>
          <w:shd w:val="clear" w:color="auto" w:fill="FFFFFF"/>
        </w:rPr>
        <w:t xml:space="preserve">. </w:t>
      </w:r>
      <w:r w:rsidR="00963868" w:rsidRPr="00BE2C67">
        <w:rPr>
          <w:rFonts w:cs="Verdana"/>
          <w:spacing w:val="-2"/>
          <w:szCs w:val="20"/>
          <w:lang w:val="es-ES"/>
        </w:rPr>
        <w:t>E</w:t>
      </w:r>
      <w:r w:rsidRPr="00BE2C67">
        <w:rPr>
          <w:rFonts w:cs="Verdana"/>
          <w:spacing w:val="-2"/>
          <w:szCs w:val="20"/>
          <w:lang w:val="es-ES"/>
        </w:rPr>
        <w:t xml:space="preserve">l Estado </w:t>
      </w:r>
      <w:r w:rsidR="002D323D" w:rsidRPr="00BE2C67">
        <w:rPr>
          <w:rFonts w:cs="Verdana"/>
          <w:spacing w:val="-2"/>
          <w:szCs w:val="20"/>
          <w:lang w:val="es-ES"/>
        </w:rPr>
        <w:t xml:space="preserve">ofreció </w:t>
      </w:r>
      <w:r w:rsidRPr="00BE2C67">
        <w:rPr>
          <w:rFonts w:cs="Verdana"/>
          <w:spacing w:val="-2"/>
          <w:szCs w:val="20"/>
          <w:lang w:val="es-ES"/>
        </w:rPr>
        <w:t>un testigo y un perito.</w:t>
      </w:r>
      <w:r w:rsidR="00084976" w:rsidRPr="00BE2C67">
        <w:rPr>
          <w:rFonts w:cs="Verdana"/>
          <w:spacing w:val="-2"/>
          <w:szCs w:val="20"/>
          <w:lang w:val="es-ES"/>
        </w:rPr>
        <w:t xml:space="preserve"> </w:t>
      </w:r>
      <w:r w:rsidR="0031708A" w:rsidRPr="00BE2C67">
        <w:rPr>
          <w:szCs w:val="20"/>
        </w:rPr>
        <w:t xml:space="preserve">Los intervinientes comunes Roxana </w:t>
      </w:r>
      <w:proofErr w:type="spellStart"/>
      <w:r w:rsidR="0031708A" w:rsidRPr="00BE2C67">
        <w:rPr>
          <w:szCs w:val="20"/>
        </w:rPr>
        <w:t>Miriana</w:t>
      </w:r>
      <w:proofErr w:type="spellEnd"/>
      <w:r w:rsidR="0031708A" w:rsidRPr="00BE2C67">
        <w:rPr>
          <w:szCs w:val="20"/>
        </w:rPr>
        <w:t xml:space="preserve"> Palomino </w:t>
      </w:r>
      <w:proofErr w:type="spellStart"/>
      <w:r w:rsidR="0031708A" w:rsidRPr="00BE2C67">
        <w:rPr>
          <w:szCs w:val="20"/>
        </w:rPr>
        <w:t>Mayta</w:t>
      </w:r>
      <w:proofErr w:type="spellEnd"/>
      <w:r w:rsidR="0031708A" w:rsidRPr="00BE2C67">
        <w:rPr>
          <w:szCs w:val="20"/>
        </w:rPr>
        <w:t xml:space="preserve">, Gregorio Paredes </w:t>
      </w:r>
      <w:proofErr w:type="spellStart"/>
      <w:r w:rsidR="0031708A" w:rsidRPr="00BE2C67">
        <w:rPr>
          <w:szCs w:val="20"/>
        </w:rPr>
        <w:t>Chipana</w:t>
      </w:r>
      <w:proofErr w:type="spellEnd"/>
      <w:r w:rsidR="0031708A" w:rsidRPr="00BE2C67">
        <w:rPr>
          <w:szCs w:val="20"/>
        </w:rPr>
        <w:t xml:space="preserve"> y Manuel Eugenio </w:t>
      </w:r>
      <w:proofErr w:type="spellStart"/>
      <w:r w:rsidR="0031708A" w:rsidRPr="00BE2C67">
        <w:rPr>
          <w:szCs w:val="20"/>
        </w:rPr>
        <w:t>Paiba</w:t>
      </w:r>
      <w:proofErr w:type="spellEnd"/>
      <w:r w:rsidR="0031708A" w:rsidRPr="00BE2C67">
        <w:rPr>
          <w:szCs w:val="20"/>
        </w:rPr>
        <w:t xml:space="preserve"> </w:t>
      </w:r>
      <w:proofErr w:type="spellStart"/>
      <w:r w:rsidR="0031708A" w:rsidRPr="00BE2C67">
        <w:rPr>
          <w:szCs w:val="20"/>
        </w:rPr>
        <w:t>Cossíos</w:t>
      </w:r>
      <w:proofErr w:type="spellEnd"/>
      <w:r w:rsidR="0031708A" w:rsidRPr="00BE2C67">
        <w:rPr>
          <w:szCs w:val="20"/>
        </w:rPr>
        <w:t xml:space="preserve"> no ofrecieron declarantes dentro del plazo establecido para tal efecto</w:t>
      </w:r>
      <w:r w:rsidR="00B814CC" w:rsidRPr="00BE2C67">
        <w:rPr>
          <w:szCs w:val="20"/>
        </w:rPr>
        <w:t>.</w:t>
      </w:r>
      <w:r w:rsidR="002D323D" w:rsidRPr="00BE2C67">
        <w:rPr>
          <w:szCs w:val="20"/>
        </w:rPr>
        <w:t xml:space="preserve"> </w:t>
      </w:r>
      <w:r w:rsidR="002D323D" w:rsidRPr="00BE2C67">
        <w:rPr>
          <w:rFonts w:eastAsia="Times New Roman"/>
          <w:szCs w:val="20"/>
          <w:lang w:val="es-CL"/>
        </w:rPr>
        <w:t xml:space="preserve">La Corte garantizó a las partes el derecho de defensa respecto de los ofrecimientos probatorios oportunamente realizados. El Estado presentó dos recusaciones y </w:t>
      </w:r>
      <w:r w:rsidR="00392CC1">
        <w:rPr>
          <w:rFonts w:eastAsia="Times New Roman"/>
          <w:szCs w:val="20"/>
          <w:lang w:val="es-CL"/>
        </w:rPr>
        <w:t>diversas</w:t>
      </w:r>
      <w:r w:rsidR="002D323D" w:rsidRPr="00BE2C67">
        <w:rPr>
          <w:rFonts w:eastAsia="Times New Roman"/>
          <w:szCs w:val="20"/>
          <w:lang w:val="es-CL"/>
        </w:rPr>
        <w:t xml:space="preserve"> objeciones y observaciones a las declaraciones ofrecida</w:t>
      </w:r>
      <w:r w:rsidR="00392CC1">
        <w:rPr>
          <w:rFonts w:eastAsia="Times New Roman"/>
          <w:szCs w:val="20"/>
          <w:lang w:val="es-CL"/>
        </w:rPr>
        <w:t>s</w:t>
      </w:r>
      <w:r w:rsidR="002D323D" w:rsidRPr="00BE2C67">
        <w:rPr>
          <w:rFonts w:eastAsia="Times New Roman"/>
          <w:szCs w:val="20"/>
          <w:lang w:val="es-CL"/>
        </w:rPr>
        <w:t xml:space="preserve"> por la Comisión y </w:t>
      </w:r>
      <w:r w:rsidRPr="00BE2C67">
        <w:rPr>
          <w:szCs w:val="20"/>
        </w:rPr>
        <w:t>la intervinien</w:t>
      </w:r>
      <w:r w:rsidR="0014333A" w:rsidRPr="00BE2C67">
        <w:rPr>
          <w:szCs w:val="20"/>
        </w:rPr>
        <w:t>te común Carolina Loa</w:t>
      </w:r>
      <w:r w:rsidR="00CC1E86">
        <w:rPr>
          <w:szCs w:val="20"/>
        </w:rPr>
        <w:t>y</w:t>
      </w:r>
      <w:r w:rsidR="0014333A" w:rsidRPr="00BE2C67">
        <w:rPr>
          <w:szCs w:val="20"/>
        </w:rPr>
        <w:t>za Tamayo.</w:t>
      </w:r>
      <w:r w:rsidR="00DD0A74" w:rsidRPr="00BE2C67">
        <w:rPr>
          <w:szCs w:val="20"/>
        </w:rPr>
        <w:t xml:space="preserve"> </w:t>
      </w:r>
      <w:r w:rsidR="00285F88" w:rsidRPr="00BE2C67">
        <w:rPr>
          <w:szCs w:val="20"/>
        </w:rPr>
        <w:t>Ni</w:t>
      </w:r>
      <w:r w:rsidR="0059447D" w:rsidRPr="00BE2C67">
        <w:rPr>
          <w:szCs w:val="20"/>
        </w:rPr>
        <w:t xml:space="preserve"> </w:t>
      </w:r>
      <w:r w:rsidR="00285F88" w:rsidRPr="00BE2C67">
        <w:rPr>
          <w:szCs w:val="20"/>
        </w:rPr>
        <w:t xml:space="preserve">la </w:t>
      </w:r>
      <w:r w:rsidR="0059447D" w:rsidRPr="00BE2C67">
        <w:rPr>
          <w:szCs w:val="20"/>
        </w:rPr>
        <w:t>Comisión ni los intervinientes comunes presentaron observaciones, objeciones o recusación a las declaraciones ofrecid</w:t>
      </w:r>
      <w:r w:rsidR="009359FE">
        <w:rPr>
          <w:szCs w:val="20"/>
        </w:rPr>
        <w:t>a</w:t>
      </w:r>
      <w:r w:rsidR="0059447D" w:rsidRPr="00BE2C67">
        <w:rPr>
          <w:szCs w:val="20"/>
        </w:rPr>
        <w:t>s por el Estado.</w:t>
      </w:r>
    </w:p>
    <w:p w:rsidR="00472EB8" w:rsidRPr="00BE2C67" w:rsidRDefault="00472EB8" w:rsidP="00BE2C67">
      <w:pPr>
        <w:pStyle w:val="ListParagraph"/>
        <w:numPr>
          <w:ilvl w:val="0"/>
          <w:numId w:val="0"/>
        </w:numPr>
        <w:spacing w:before="0"/>
      </w:pPr>
    </w:p>
    <w:p w:rsidR="00472EB8" w:rsidRPr="00BE2C67" w:rsidRDefault="00472EB8" w:rsidP="00BE2C67">
      <w:pPr>
        <w:numPr>
          <w:ilvl w:val="0"/>
          <w:numId w:val="3"/>
        </w:numPr>
        <w:autoSpaceDE w:val="0"/>
        <w:autoSpaceDN w:val="0"/>
        <w:adjustRightInd w:val="0"/>
        <w:spacing w:before="0" w:after="0"/>
        <w:rPr>
          <w:rFonts w:eastAsia="Times New Roman" w:cs="Verdana"/>
          <w:szCs w:val="20"/>
        </w:rPr>
      </w:pPr>
      <w:r w:rsidRPr="00BE2C67">
        <w:rPr>
          <w:szCs w:val="20"/>
        </w:rPr>
        <w:t xml:space="preserve">En cuanto a las declaraciones </w:t>
      </w:r>
      <w:r w:rsidR="003B3A11" w:rsidRPr="00BE2C67">
        <w:rPr>
          <w:szCs w:val="20"/>
        </w:rPr>
        <w:t>ofrecida</w:t>
      </w:r>
      <w:r w:rsidRPr="00BE2C67">
        <w:rPr>
          <w:szCs w:val="20"/>
        </w:rPr>
        <w:t xml:space="preserve">s por el Estado que no han sido objetadas, esta Presidencia considera conveniente recabarlas, por lo cual admite </w:t>
      </w:r>
      <w:r w:rsidR="00392CC1">
        <w:rPr>
          <w:szCs w:val="20"/>
        </w:rPr>
        <w:t>la del testigo</w:t>
      </w:r>
      <w:r w:rsidRPr="00BE2C67">
        <w:rPr>
          <w:szCs w:val="20"/>
        </w:rPr>
        <w:t xml:space="preserve"> </w:t>
      </w:r>
      <w:r w:rsidRPr="00BE2C67">
        <w:rPr>
          <w:rFonts w:eastAsiaTheme="minorHAnsi" w:cs="Arial"/>
          <w:bCs/>
          <w:szCs w:val="20"/>
        </w:rPr>
        <w:t xml:space="preserve">Ricardo Gabriel </w:t>
      </w:r>
      <w:proofErr w:type="spellStart"/>
      <w:r w:rsidRPr="00BE2C67">
        <w:rPr>
          <w:rFonts w:eastAsiaTheme="minorHAnsi" w:cs="Arial"/>
          <w:bCs/>
          <w:szCs w:val="20"/>
        </w:rPr>
        <w:t>Herbozo</w:t>
      </w:r>
      <w:proofErr w:type="spellEnd"/>
      <w:r w:rsidRPr="00BE2C67">
        <w:rPr>
          <w:rFonts w:eastAsiaTheme="minorHAnsi" w:cs="Arial"/>
          <w:bCs/>
          <w:szCs w:val="20"/>
        </w:rPr>
        <w:t xml:space="preserve"> </w:t>
      </w:r>
      <w:proofErr w:type="spellStart"/>
      <w:r w:rsidRPr="00BE2C67">
        <w:rPr>
          <w:rFonts w:eastAsiaTheme="minorHAnsi" w:cs="Arial"/>
          <w:bCs/>
          <w:szCs w:val="20"/>
        </w:rPr>
        <w:t>Colque</w:t>
      </w:r>
      <w:proofErr w:type="spellEnd"/>
      <w:r w:rsidRPr="00BE2C67">
        <w:rPr>
          <w:rFonts w:eastAsiaTheme="minorHAnsi" w:cs="Arial"/>
          <w:bCs/>
          <w:szCs w:val="20"/>
        </w:rPr>
        <w:t xml:space="preserve"> y la </w:t>
      </w:r>
      <w:r w:rsidR="00392CC1">
        <w:rPr>
          <w:rFonts w:eastAsiaTheme="minorHAnsi" w:cs="Arial"/>
          <w:bCs/>
          <w:szCs w:val="20"/>
        </w:rPr>
        <w:t>del perito</w:t>
      </w:r>
      <w:r w:rsidRPr="00BE2C67">
        <w:rPr>
          <w:rFonts w:eastAsiaTheme="minorHAnsi" w:cs="Arial"/>
          <w:bCs/>
          <w:szCs w:val="20"/>
        </w:rPr>
        <w:t xml:space="preserve"> Luis Raúl Sáenz Dávalos, </w:t>
      </w:r>
      <w:r w:rsidRPr="00BE2C67">
        <w:rPr>
          <w:szCs w:val="20"/>
        </w:rPr>
        <w:t>según el objeto y modalidad determinados en la parte resolutiva de esta decisión.</w:t>
      </w:r>
    </w:p>
    <w:p w:rsidR="00472EB8" w:rsidRPr="00BE2C67" w:rsidRDefault="00472EB8" w:rsidP="00BE2C67">
      <w:pPr>
        <w:pStyle w:val="ListParagraph"/>
        <w:numPr>
          <w:ilvl w:val="0"/>
          <w:numId w:val="0"/>
        </w:numPr>
        <w:spacing w:before="0"/>
      </w:pPr>
    </w:p>
    <w:p w:rsidR="000D0EF2" w:rsidRPr="00BE2C67" w:rsidRDefault="006F6D58" w:rsidP="00BE2C67">
      <w:pPr>
        <w:pStyle w:val="ListParagraph"/>
        <w:numPr>
          <w:ilvl w:val="0"/>
          <w:numId w:val="3"/>
        </w:numPr>
        <w:spacing w:before="0"/>
      </w:pPr>
      <w:r w:rsidRPr="00BE2C67">
        <w:t xml:space="preserve">A continuación, el Presidente examinará en forma particular: a) </w:t>
      </w:r>
      <w:r w:rsidR="00AB629B" w:rsidRPr="00BE2C67">
        <w:t xml:space="preserve">la solicitud de la Comisión y los representantes de que </w:t>
      </w:r>
      <w:r w:rsidR="006A6694" w:rsidRPr="00BE2C67">
        <w:t xml:space="preserve">se </w:t>
      </w:r>
      <w:r w:rsidR="00AB629B" w:rsidRPr="00BE2C67">
        <w:rPr>
          <w:rFonts w:eastAsiaTheme="minorHAnsi" w:cs="Arial"/>
        </w:rPr>
        <w:t>traslade</w:t>
      </w:r>
      <w:r w:rsidR="00E77F81">
        <w:rPr>
          <w:rFonts w:eastAsiaTheme="minorHAnsi" w:cs="Arial"/>
        </w:rPr>
        <w:t>n</w:t>
      </w:r>
      <w:r w:rsidR="00AB629B" w:rsidRPr="00BE2C67">
        <w:rPr>
          <w:rFonts w:eastAsiaTheme="minorHAnsi" w:cs="Arial"/>
        </w:rPr>
        <w:t xml:space="preserve"> a este caso dos peritajes rendidos en el </w:t>
      </w:r>
      <w:r w:rsidR="00AB629B" w:rsidRPr="00BE2C67">
        <w:rPr>
          <w:rStyle w:val="Strong"/>
          <w:b w:val="0"/>
          <w:i/>
          <w:shd w:val="clear" w:color="auto" w:fill="FFFFFF"/>
        </w:rPr>
        <w:t xml:space="preserve">Caso Canales </w:t>
      </w:r>
      <w:proofErr w:type="spellStart"/>
      <w:r w:rsidR="00AB629B" w:rsidRPr="00BE2C67">
        <w:rPr>
          <w:rStyle w:val="Strong"/>
          <w:b w:val="0"/>
          <w:i/>
          <w:shd w:val="clear" w:color="auto" w:fill="FFFFFF"/>
        </w:rPr>
        <w:t>Huapaya</w:t>
      </w:r>
      <w:proofErr w:type="spellEnd"/>
      <w:r w:rsidR="00AB629B" w:rsidRPr="00BE2C67">
        <w:rPr>
          <w:rStyle w:val="Strong"/>
          <w:b w:val="0"/>
          <w:i/>
          <w:shd w:val="clear" w:color="auto" w:fill="FFFFFF"/>
        </w:rPr>
        <w:t xml:space="preserve"> y otros Vs. Perú</w:t>
      </w:r>
      <w:r w:rsidR="006A6694" w:rsidRPr="00BE2C67">
        <w:t xml:space="preserve">; b) </w:t>
      </w:r>
      <w:r w:rsidR="003705CF" w:rsidRPr="00BE2C67">
        <w:t>la</w:t>
      </w:r>
      <w:r w:rsidR="004758E1">
        <w:t>s</w:t>
      </w:r>
      <w:r w:rsidR="003010D3" w:rsidRPr="00BE2C67">
        <w:t xml:space="preserve"> declaraci</w:t>
      </w:r>
      <w:r w:rsidR="004758E1">
        <w:t>ones</w:t>
      </w:r>
      <w:r w:rsidR="003705CF" w:rsidRPr="00BE2C67">
        <w:t xml:space="preserve"> </w:t>
      </w:r>
      <w:r w:rsidR="006A6694" w:rsidRPr="00BE2C67">
        <w:t>de presuntas víctimas</w:t>
      </w:r>
      <w:r w:rsidR="003010D3" w:rsidRPr="00BE2C67">
        <w:t xml:space="preserve"> y la prueba pericial </w:t>
      </w:r>
      <w:r w:rsidR="006A6694" w:rsidRPr="00BE2C67">
        <w:t>ofrecida por la interviniente común</w:t>
      </w:r>
      <w:r w:rsidR="006A6694" w:rsidRPr="00BE2C67">
        <w:rPr>
          <w:spacing w:val="-2"/>
          <w:lang w:val="es-ES"/>
        </w:rPr>
        <w:t xml:space="preserve"> Carolina Loayza Tamayo</w:t>
      </w:r>
      <w:r w:rsidR="009359FE">
        <w:rPr>
          <w:bCs/>
          <w:iCs/>
        </w:rPr>
        <w:t>,</w:t>
      </w:r>
      <w:r w:rsidR="00016EDC" w:rsidRPr="00BE2C67">
        <w:rPr>
          <w:bCs/>
          <w:iCs/>
        </w:rPr>
        <w:t xml:space="preserve"> </w:t>
      </w:r>
      <w:r w:rsidR="008A5647">
        <w:rPr>
          <w:bCs/>
          <w:iCs/>
        </w:rPr>
        <w:t xml:space="preserve">y </w:t>
      </w:r>
      <w:r w:rsidR="00016EDC" w:rsidRPr="00BE2C67">
        <w:rPr>
          <w:bCs/>
          <w:iCs/>
        </w:rPr>
        <w:t xml:space="preserve">c) </w:t>
      </w:r>
      <w:r w:rsidR="001A6EBA" w:rsidRPr="00BE2C67">
        <w:t>la a</w:t>
      </w:r>
      <w:r w:rsidR="000D0EF2" w:rsidRPr="00BE2C67">
        <w:t>plicación del Fondo de Asistencia Legal de Víctimas ante la Corte</w:t>
      </w:r>
      <w:r w:rsidR="0071016B" w:rsidRPr="00BE2C67">
        <w:t>.</w:t>
      </w:r>
    </w:p>
    <w:p w:rsidR="006F6D58" w:rsidRPr="00BE2C67" w:rsidRDefault="006F6D58" w:rsidP="00BE2C67">
      <w:pPr>
        <w:pStyle w:val="ListParagraph"/>
        <w:numPr>
          <w:ilvl w:val="0"/>
          <w:numId w:val="0"/>
        </w:numPr>
        <w:tabs>
          <w:tab w:val="left" w:pos="708"/>
        </w:tabs>
        <w:spacing w:before="0"/>
        <w:ind w:right="0"/>
        <w:rPr>
          <w:b/>
          <w:i/>
        </w:rPr>
      </w:pPr>
    </w:p>
    <w:p w:rsidR="006F6D58" w:rsidRPr="00BE2C67" w:rsidRDefault="003705CF" w:rsidP="00E77F81">
      <w:pPr>
        <w:pStyle w:val="ListParagraph"/>
        <w:numPr>
          <w:ilvl w:val="0"/>
          <w:numId w:val="4"/>
        </w:numPr>
        <w:spacing w:before="0"/>
        <w:ind w:left="0" w:right="0" w:firstLine="0"/>
        <w:rPr>
          <w:b/>
          <w:i/>
        </w:rPr>
      </w:pPr>
      <w:r w:rsidRPr="00BE2C67">
        <w:rPr>
          <w:b/>
          <w:i/>
        </w:rPr>
        <w:t xml:space="preserve">Solicitud de la Comisión y los representantes de que se </w:t>
      </w:r>
      <w:r w:rsidRPr="00BE2C67">
        <w:rPr>
          <w:rFonts w:eastAsiaTheme="minorHAnsi" w:cs="Arial"/>
          <w:b/>
          <w:i/>
        </w:rPr>
        <w:t>traslade</w:t>
      </w:r>
      <w:r w:rsidR="00E77F81">
        <w:rPr>
          <w:rFonts w:eastAsiaTheme="minorHAnsi" w:cs="Arial"/>
          <w:b/>
          <w:i/>
        </w:rPr>
        <w:t>n</w:t>
      </w:r>
      <w:r w:rsidRPr="00BE2C67">
        <w:rPr>
          <w:rFonts w:eastAsiaTheme="minorHAnsi" w:cs="Arial"/>
          <w:b/>
          <w:i/>
        </w:rPr>
        <w:t xml:space="preserve"> a este caso dos peritajes rendidos en el </w:t>
      </w:r>
      <w:r w:rsidRPr="00D569A6">
        <w:rPr>
          <w:rStyle w:val="Strong"/>
          <w:shd w:val="clear" w:color="auto" w:fill="FFFFFF"/>
        </w:rPr>
        <w:t xml:space="preserve">Caso Canales </w:t>
      </w:r>
      <w:proofErr w:type="spellStart"/>
      <w:r w:rsidRPr="00D569A6">
        <w:rPr>
          <w:rStyle w:val="Strong"/>
          <w:shd w:val="clear" w:color="auto" w:fill="FFFFFF"/>
        </w:rPr>
        <w:t>Huapaya</w:t>
      </w:r>
      <w:proofErr w:type="spellEnd"/>
      <w:r w:rsidRPr="00D569A6">
        <w:rPr>
          <w:rStyle w:val="Strong"/>
          <w:shd w:val="clear" w:color="auto" w:fill="FFFFFF"/>
        </w:rPr>
        <w:t xml:space="preserve"> y otros Vs. Perú</w:t>
      </w:r>
    </w:p>
    <w:p w:rsidR="006F6D58" w:rsidRPr="00BE2C67" w:rsidRDefault="006F6D58" w:rsidP="00BE2C67">
      <w:pPr>
        <w:spacing w:before="0" w:after="0"/>
        <w:jc w:val="left"/>
        <w:rPr>
          <w:b/>
          <w:i/>
          <w:szCs w:val="20"/>
        </w:rPr>
      </w:pPr>
    </w:p>
    <w:p w:rsidR="00017684" w:rsidRPr="00017684" w:rsidRDefault="00DB7349" w:rsidP="00017684">
      <w:pPr>
        <w:pStyle w:val="ListParagraph"/>
        <w:numPr>
          <w:ilvl w:val="0"/>
          <w:numId w:val="3"/>
        </w:numPr>
        <w:spacing w:before="0"/>
        <w:rPr>
          <w:rFonts w:eastAsiaTheme="minorHAnsi" w:cs="Times New Roman"/>
        </w:rPr>
      </w:pPr>
      <w:r w:rsidRPr="00BE2C67">
        <w:t xml:space="preserve">La Comisión </w:t>
      </w:r>
      <w:r w:rsidRPr="00BE2C67">
        <w:rPr>
          <w:rFonts w:eastAsiaTheme="minorHAnsi" w:cs="Times New Roman"/>
        </w:rPr>
        <w:t xml:space="preserve">solicitó </w:t>
      </w:r>
      <w:r w:rsidRPr="00BE2C67">
        <w:rPr>
          <w:rFonts w:eastAsiaTheme="minorHAnsi" w:cs="Arial"/>
        </w:rPr>
        <w:t xml:space="preserve">que se traslade a este caso el peritaje rendido por Carlos Alza Barco en el </w:t>
      </w:r>
      <w:r w:rsidRPr="00BE2C67">
        <w:rPr>
          <w:rStyle w:val="Strong"/>
          <w:b w:val="0"/>
          <w:i/>
          <w:shd w:val="clear" w:color="auto" w:fill="FFFFFF"/>
        </w:rPr>
        <w:t xml:space="preserve">Caso Canales </w:t>
      </w:r>
      <w:proofErr w:type="spellStart"/>
      <w:r w:rsidRPr="00BE2C67">
        <w:rPr>
          <w:rStyle w:val="Strong"/>
          <w:b w:val="0"/>
          <w:i/>
          <w:shd w:val="clear" w:color="auto" w:fill="FFFFFF"/>
        </w:rPr>
        <w:t>Huapaya</w:t>
      </w:r>
      <w:proofErr w:type="spellEnd"/>
      <w:r w:rsidRPr="00BE2C67">
        <w:rPr>
          <w:rStyle w:val="Strong"/>
          <w:b w:val="0"/>
          <w:i/>
          <w:shd w:val="clear" w:color="auto" w:fill="FFFFFF"/>
        </w:rPr>
        <w:t xml:space="preserve"> y otros Vs. Perú</w:t>
      </w:r>
      <w:r w:rsidRPr="00BE2C67">
        <w:rPr>
          <w:rFonts w:eastAsiaTheme="minorHAnsi" w:cs="Arial"/>
        </w:rPr>
        <w:t xml:space="preserve">. </w:t>
      </w:r>
      <w:r w:rsidRPr="00BE2C67">
        <w:t>La interviniente común</w:t>
      </w:r>
      <w:r w:rsidRPr="00BE2C67">
        <w:rPr>
          <w:spacing w:val="-2"/>
          <w:lang w:val="es-ES"/>
        </w:rPr>
        <w:t xml:space="preserve"> Carolina Loayza Tamayo ofreció los dictámenes periciales rendidos por </w:t>
      </w:r>
      <w:r w:rsidRPr="00BE2C67">
        <w:rPr>
          <w:rFonts w:eastAsiaTheme="minorHAnsi" w:cs="Arial"/>
        </w:rPr>
        <w:t>Lourdes Flores Nano y Carlos Alza Barco</w:t>
      </w:r>
      <w:r w:rsidR="00223057">
        <w:rPr>
          <w:rFonts w:eastAsiaTheme="minorHAnsi" w:cs="Arial"/>
        </w:rPr>
        <w:t>,</w:t>
      </w:r>
      <w:r w:rsidRPr="00BE2C67">
        <w:rPr>
          <w:rFonts w:eastAsiaTheme="minorHAnsi" w:cs="Arial"/>
        </w:rPr>
        <w:t xml:space="preserve"> también en el </w:t>
      </w:r>
      <w:r w:rsidRPr="00BE2C67">
        <w:rPr>
          <w:rStyle w:val="Strong"/>
          <w:b w:val="0"/>
          <w:i/>
          <w:shd w:val="clear" w:color="auto" w:fill="FFFFFF"/>
        </w:rPr>
        <w:t xml:space="preserve">Caso Canales </w:t>
      </w:r>
      <w:proofErr w:type="spellStart"/>
      <w:r w:rsidRPr="00BE2C67">
        <w:rPr>
          <w:rStyle w:val="Strong"/>
          <w:b w:val="0"/>
          <w:i/>
          <w:shd w:val="clear" w:color="auto" w:fill="FFFFFF"/>
        </w:rPr>
        <w:t>Huapaya</w:t>
      </w:r>
      <w:proofErr w:type="spellEnd"/>
      <w:r w:rsidRPr="00BE2C67">
        <w:rPr>
          <w:rStyle w:val="Strong"/>
          <w:b w:val="0"/>
          <w:i/>
          <w:shd w:val="clear" w:color="auto" w:fill="FFFFFF"/>
        </w:rPr>
        <w:t xml:space="preserve"> y otros Vs. Perú</w:t>
      </w:r>
      <w:r w:rsidRPr="00BE2C67">
        <w:rPr>
          <w:rStyle w:val="Strong"/>
          <w:b w:val="0"/>
          <w:shd w:val="clear" w:color="auto" w:fill="FFFFFF"/>
        </w:rPr>
        <w:t xml:space="preserve">. </w:t>
      </w:r>
      <w:r w:rsidR="00F13A1E" w:rsidRPr="00BE2C67">
        <w:rPr>
          <w:rFonts w:eastAsiaTheme="minorHAnsi" w:cs="Times New Roman"/>
        </w:rPr>
        <w:t xml:space="preserve">El Estado objetó que se pretenda trasladar </w:t>
      </w:r>
      <w:r w:rsidR="005C19BF">
        <w:rPr>
          <w:rFonts w:eastAsiaTheme="minorHAnsi" w:cs="Times New Roman"/>
        </w:rPr>
        <w:t>dichos</w:t>
      </w:r>
      <w:r w:rsidR="005C19BF" w:rsidRPr="00BE2C67">
        <w:rPr>
          <w:rFonts w:eastAsiaTheme="minorHAnsi" w:cs="Times New Roman"/>
        </w:rPr>
        <w:t xml:space="preserve"> </w:t>
      </w:r>
      <w:r w:rsidR="00F13A1E" w:rsidRPr="00BE2C67">
        <w:rPr>
          <w:rFonts w:eastAsiaTheme="minorHAnsi" w:cs="Times New Roman"/>
        </w:rPr>
        <w:t>peritajes</w:t>
      </w:r>
      <w:r w:rsidR="005C19BF">
        <w:rPr>
          <w:rFonts w:eastAsiaTheme="minorHAnsi" w:cs="Times New Roman"/>
        </w:rPr>
        <w:t>,</w:t>
      </w:r>
      <w:r w:rsidR="00F13A1E" w:rsidRPr="00BE2C67">
        <w:rPr>
          <w:rFonts w:eastAsiaTheme="minorHAnsi" w:cs="Times New Roman"/>
        </w:rPr>
        <w:t xml:space="preserve"> “por cuanto la situación de los tres trabajadores cesados del Congreso difiere de la situación de las ciento sesenta y tres (163) presuntas víctimas que integran el presente caso”.</w:t>
      </w:r>
      <w:r w:rsidR="009823F2" w:rsidRPr="00BE2C67">
        <w:rPr>
          <w:rFonts w:eastAsiaTheme="minorHAnsi" w:cs="Times New Roman"/>
        </w:rPr>
        <w:t xml:space="preserve"> </w:t>
      </w:r>
    </w:p>
    <w:p w:rsidR="005A234F" w:rsidRPr="00BE2C67" w:rsidRDefault="005A234F" w:rsidP="00BE2C67">
      <w:pPr>
        <w:pStyle w:val="ListParagraph"/>
        <w:numPr>
          <w:ilvl w:val="0"/>
          <w:numId w:val="0"/>
        </w:numPr>
        <w:spacing w:before="0"/>
        <w:rPr>
          <w:rFonts w:eastAsiaTheme="minorHAnsi" w:cs="Times New Roman"/>
        </w:rPr>
      </w:pPr>
    </w:p>
    <w:p w:rsidR="003B67BD" w:rsidRPr="00BE2C67" w:rsidRDefault="00352454" w:rsidP="00BE2C67">
      <w:pPr>
        <w:pStyle w:val="ListParagraph"/>
        <w:numPr>
          <w:ilvl w:val="0"/>
          <w:numId w:val="3"/>
        </w:numPr>
        <w:spacing w:before="0"/>
        <w:rPr>
          <w:rFonts w:eastAsiaTheme="minorHAnsi" w:cs="Times New Roman"/>
        </w:rPr>
      </w:pPr>
      <w:r w:rsidRPr="00BE2C67">
        <w:rPr>
          <w:rFonts w:eastAsiaTheme="minorHAnsi" w:cs="Arial"/>
        </w:rPr>
        <w:t>Esta Presidencia</w:t>
      </w:r>
      <w:r w:rsidR="005A234F" w:rsidRPr="00BE2C67">
        <w:rPr>
          <w:rFonts w:eastAsiaTheme="minorHAnsi" w:cs="Arial"/>
        </w:rPr>
        <w:t xml:space="preserve"> advierte que</w:t>
      </w:r>
      <w:r w:rsidR="005A234F" w:rsidRPr="00BE2C67">
        <w:t xml:space="preserve"> al notificar el presente caso se corrió traslado a las partes del </w:t>
      </w:r>
      <w:r w:rsidR="00676368" w:rsidRPr="00BE2C67">
        <w:rPr>
          <w:rFonts w:eastAsiaTheme="minorHAnsi" w:cs="Arial"/>
        </w:rPr>
        <w:t xml:space="preserve">peritaje rendido por Carlos Alza Barco en el </w:t>
      </w:r>
      <w:r w:rsidR="00676368" w:rsidRPr="00BE2C67">
        <w:rPr>
          <w:rStyle w:val="Strong"/>
          <w:b w:val="0"/>
          <w:i/>
          <w:shd w:val="clear" w:color="auto" w:fill="FFFFFF"/>
        </w:rPr>
        <w:t xml:space="preserve">Caso Canales </w:t>
      </w:r>
      <w:proofErr w:type="spellStart"/>
      <w:r w:rsidR="00676368" w:rsidRPr="00BE2C67">
        <w:rPr>
          <w:rStyle w:val="Strong"/>
          <w:b w:val="0"/>
          <w:i/>
          <w:shd w:val="clear" w:color="auto" w:fill="FFFFFF"/>
        </w:rPr>
        <w:t>Huapaya</w:t>
      </w:r>
      <w:proofErr w:type="spellEnd"/>
      <w:r w:rsidR="00676368" w:rsidRPr="00BE2C67">
        <w:rPr>
          <w:rStyle w:val="Strong"/>
          <w:b w:val="0"/>
          <w:i/>
          <w:shd w:val="clear" w:color="auto" w:fill="FFFFFF"/>
        </w:rPr>
        <w:t xml:space="preserve"> y otros Vs. Perú</w:t>
      </w:r>
      <w:r w:rsidR="0037782A" w:rsidRPr="003200AB">
        <w:rPr>
          <w:rStyle w:val="FootnoteReference"/>
          <w:bCs/>
          <w:sz w:val="20"/>
          <w:szCs w:val="20"/>
          <w:shd w:val="clear" w:color="auto" w:fill="FFFFFF"/>
        </w:rPr>
        <w:footnoteReference w:id="3"/>
      </w:r>
      <w:r w:rsidR="003B67BD" w:rsidRPr="00BE2C67">
        <w:rPr>
          <w:rStyle w:val="Strong"/>
          <w:b w:val="0"/>
          <w:i/>
          <w:shd w:val="clear" w:color="auto" w:fill="FFFFFF"/>
        </w:rPr>
        <w:t>,</w:t>
      </w:r>
      <w:r w:rsidR="003B67BD" w:rsidRPr="00BE2C67">
        <w:t xml:space="preserve"> debido a que fue aportado por la Comisión al momento de realizar su ofrecimiento</w:t>
      </w:r>
      <w:r w:rsidR="005A234F" w:rsidRPr="00BE2C67">
        <w:t>. Es decir, el referido document</w:t>
      </w:r>
      <w:r w:rsidR="005A7DF5">
        <w:t>o</w:t>
      </w:r>
      <w:r w:rsidR="005A234F" w:rsidRPr="00BE2C67">
        <w:t xml:space="preserve"> ya ha</w:t>
      </w:r>
      <w:r w:rsidR="00765CA4" w:rsidRPr="00BE2C67">
        <w:t xml:space="preserve"> sido incorporado</w:t>
      </w:r>
      <w:r w:rsidR="005A234F" w:rsidRPr="00BE2C67">
        <w:t xml:space="preserve"> al expediente del presente caso, de modo que las partes han tenido y t</w:t>
      </w:r>
      <w:r w:rsidR="00676368" w:rsidRPr="00BE2C67">
        <w:t xml:space="preserve">ienen amplias posibilidades de </w:t>
      </w:r>
      <w:r w:rsidR="005A234F" w:rsidRPr="00BE2C67">
        <w:t>presentar las observaciones que estimen pertinentes sobre la admisibilidad o</w:t>
      </w:r>
      <w:r w:rsidR="00765CA4" w:rsidRPr="00BE2C67">
        <w:t xml:space="preserve"> valoración </w:t>
      </w:r>
      <w:r w:rsidR="005A7DF5">
        <w:t>del mismo</w:t>
      </w:r>
      <w:r w:rsidR="005A234F" w:rsidRPr="00BE2C67">
        <w:rPr>
          <w:rStyle w:val="FootnoteReference"/>
          <w:sz w:val="20"/>
          <w:szCs w:val="20"/>
        </w:rPr>
        <w:footnoteReference w:id="4"/>
      </w:r>
      <w:r w:rsidR="005A234F" w:rsidRPr="00BE2C67">
        <w:t>.</w:t>
      </w:r>
      <w:r w:rsidR="00F12DFA" w:rsidRPr="00BE2C67">
        <w:t xml:space="preserve"> </w:t>
      </w:r>
      <w:r w:rsidR="003B67BD" w:rsidRPr="00BE2C67">
        <w:t>Por otro lado, en cuanto a</w:t>
      </w:r>
      <w:r w:rsidR="00F12DFA" w:rsidRPr="00BE2C67">
        <w:t>l ofrecimiento del peritaje rendido por</w:t>
      </w:r>
      <w:r w:rsidR="003B67BD" w:rsidRPr="00BE2C67">
        <w:t xml:space="preserve"> </w:t>
      </w:r>
      <w:r w:rsidR="00F12DFA" w:rsidRPr="00BE2C67">
        <w:rPr>
          <w:rFonts w:eastAsiaTheme="minorHAnsi" w:cs="Arial"/>
        </w:rPr>
        <w:t xml:space="preserve">Lourdes Flores Nano en el </w:t>
      </w:r>
      <w:r w:rsidR="00F12DFA" w:rsidRPr="00BE2C67">
        <w:rPr>
          <w:rStyle w:val="Strong"/>
          <w:b w:val="0"/>
          <w:i/>
          <w:shd w:val="clear" w:color="auto" w:fill="FFFFFF"/>
        </w:rPr>
        <w:t xml:space="preserve">Caso Canales </w:t>
      </w:r>
      <w:proofErr w:type="spellStart"/>
      <w:r w:rsidR="00F12DFA" w:rsidRPr="00BE2C67">
        <w:rPr>
          <w:rStyle w:val="Strong"/>
          <w:b w:val="0"/>
          <w:i/>
          <w:shd w:val="clear" w:color="auto" w:fill="FFFFFF"/>
        </w:rPr>
        <w:t>Huapaya</w:t>
      </w:r>
      <w:proofErr w:type="spellEnd"/>
      <w:r w:rsidR="00F12DFA" w:rsidRPr="00BE2C67">
        <w:rPr>
          <w:rStyle w:val="Strong"/>
          <w:b w:val="0"/>
          <w:i/>
          <w:shd w:val="clear" w:color="auto" w:fill="FFFFFF"/>
        </w:rPr>
        <w:t xml:space="preserve"> y otros Vs. Perú</w:t>
      </w:r>
      <w:r w:rsidR="00F12DFA" w:rsidRPr="003200AB">
        <w:rPr>
          <w:rStyle w:val="FootnoteReference"/>
          <w:bCs/>
          <w:sz w:val="20"/>
          <w:szCs w:val="20"/>
          <w:shd w:val="clear" w:color="auto" w:fill="FFFFFF"/>
        </w:rPr>
        <w:footnoteReference w:id="5"/>
      </w:r>
      <w:r w:rsidR="003B67BD" w:rsidRPr="00BE2C67">
        <w:t>, en atención al principio de economía procesal, esta Presidencia considera oportuno incorporar al acervo probatorio del presente caso</w:t>
      </w:r>
      <w:r w:rsidR="00765CA4" w:rsidRPr="00BE2C67">
        <w:t>,</w:t>
      </w:r>
      <w:r w:rsidR="0018732A" w:rsidRPr="00BE2C67">
        <w:rPr>
          <w:rFonts w:eastAsiaTheme="minorHAnsi" w:cs="Times New Roman"/>
        </w:rPr>
        <w:t xml:space="preserve"> </w:t>
      </w:r>
      <w:r w:rsidR="00765CA4" w:rsidRPr="00BE2C67">
        <w:t xml:space="preserve">en lo que resulte pertinente, </w:t>
      </w:r>
      <w:r w:rsidR="0018732A" w:rsidRPr="00BE2C67">
        <w:t xml:space="preserve">la grabación del peritaje rendido en audiencia pública y a la cual se puede acceder en línea mediante la </w:t>
      </w:r>
      <w:r w:rsidR="0018732A" w:rsidRPr="00BE2C67">
        <w:rPr>
          <w:i/>
        </w:rPr>
        <w:t>web</w:t>
      </w:r>
      <w:r w:rsidR="00017918" w:rsidRPr="00BE2C67">
        <w:rPr>
          <w:rStyle w:val="FootnoteReference"/>
          <w:i/>
          <w:sz w:val="20"/>
          <w:szCs w:val="20"/>
        </w:rPr>
        <w:footnoteReference w:id="6"/>
      </w:r>
      <w:r w:rsidR="00553C38" w:rsidRPr="00BE2C67">
        <w:t>,</w:t>
      </w:r>
      <w:r w:rsidR="003B67BD" w:rsidRPr="00BE2C67">
        <w:t xml:space="preserve"> toda vez que podría resultar útil para la resolución del presente caso</w:t>
      </w:r>
      <w:r w:rsidRPr="00BE2C67">
        <w:rPr>
          <w:rStyle w:val="FootnoteReference"/>
          <w:sz w:val="20"/>
          <w:szCs w:val="20"/>
        </w:rPr>
        <w:footnoteReference w:id="7"/>
      </w:r>
      <w:r w:rsidR="003B67BD" w:rsidRPr="00BE2C67">
        <w:t>.</w:t>
      </w:r>
      <w:r w:rsidR="00553C38" w:rsidRPr="00BE2C67">
        <w:t xml:space="preserve"> Las partes podrán </w:t>
      </w:r>
      <w:r w:rsidR="00553C38" w:rsidRPr="00BE2C67">
        <w:lastRenderedPageBreak/>
        <w:t xml:space="preserve">referirse a </w:t>
      </w:r>
      <w:r w:rsidR="00A23A68" w:rsidRPr="00BE2C67">
        <w:t>la admisibilidad,</w:t>
      </w:r>
      <w:r w:rsidR="005A44FE" w:rsidRPr="00BE2C67">
        <w:t xml:space="preserve"> contenido,</w:t>
      </w:r>
      <w:r w:rsidR="00A23A68" w:rsidRPr="00BE2C67">
        <w:t xml:space="preserve"> peso y alcance probatorio de </w:t>
      </w:r>
      <w:r w:rsidR="00553C38" w:rsidRPr="00BE2C67">
        <w:t>dichos dictámenes en sus alegatos finales.</w:t>
      </w:r>
    </w:p>
    <w:p w:rsidR="005A234F" w:rsidRPr="00BE2C67" w:rsidRDefault="005A234F" w:rsidP="00BE2C67">
      <w:pPr>
        <w:autoSpaceDE w:val="0"/>
        <w:autoSpaceDN w:val="0"/>
        <w:adjustRightInd w:val="0"/>
        <w:spacing w:before="0" w:after="0"/>
        <w:rPr>
          <w:b/>
          <w:bCs/>
          <w:i/>
          <w:szCs w:val="20"/>
        </w:rPr>
      </w:pPr>
    </w:p>
    <w:p w:rsidR="006F6D58" w:rsidRPr="00BE2C67" w:rsidRDefault="003010D3" w:rsidP="007D4AB6">
      <w:pPr>
        <w:pStyle w:val="ListParagraph"/>
        <w:numPr>
          <w:ilvl w:val="0"/>
          <w:numId w:val="4"/>
        </w:numPr>
        <w:spacing w:before="0"/>
        <w:ind w:left="0" w:right="0" w:firstLine="0"/>
        <w:rPr>
          <w:b/>
          <w:i/>
        </w:rPr>
      </w:pPr>
      <w:r w:rsidRPr="00BE2C67">
        <w:rPr>
          <w:b/>
          <w:i/>
        </w:rPr>
        <w:t>D</w:t>
      </w:r>
      <w:r w:rsidR="00D35EB7" w:rsidRPr="00BE2C67">
        <w:rPr>
          <w:b/>
          <w:i/>
        </w:rPr>
        <w:t>eclaración</w:t>
      </w:r>
      <w:r w:rsidRPr="00BE2C67">
        <w:rPr>
          <w:b/>
          <w:i/>
        </w:rPr>
        <w:t xml:space="preserve"> de presuntas víctimas y prueba pericial ofrecida por la interviniente común</w:t>
      </w:r>
      <w:r w:rsidRPr="00BE2C67">
        <w:rPr>
          <w:b/>
          <w:i/>
          <w:spacing w:val="-2"/>
          <w:lang w:val="es-ES"/>
        </w:rPr>
        <w:t xml:space="preserve"> Carolina Loayza Tamayo</w:t>
      </w:r>
    </w:p>
    <w:p w:rsidR="001774C9" w:rsidRPr="00BE2C67" w:rsidRDefault="001774C9" w:rsidP="00BE2C67">
      <w:pPr>
        <w:pStyle w:val="ListParagraph"/>
        <w:numPr>
          <w:ilvl w:val="0"/>
          <w:numId w:val="0"/>
        </w:numPr>
        <w:spacing w:before="0"/>
        <w:rPr>
          <w:rFonts w:eastAsiaTheme="minorHAnsi"/>
        </w:rPr>
      </w:pPr>
    </w:p>
    <w:p w:rsidR="001774C9" w:rsidRPr="00BE2C67" w:rsidRDefault="001774C9" w:rsidP="00BE2C67">
      <w:pPr>
        <w:spacing w:before="0" w:after="0"/>
        <w:ind w:left="900"/>
        <w:rPr>
          <w:i/>
          <w:szCs w:val="20"/>
        </w:rPr>
      </w:pPr>
      <w:r w:rsidRPr="00BE2C67">
        <w:rPr>
          <w:i/>
          <w:szCs w:val="20"/>
        </w:rPr>
        <w:t>B.1. Objeciones del Estado a las declaraciones de seis presuntas víctimas</w:t>
      </w:r>
    </w:p>
    <w:p w:rsidR="001774C9" w:rsidRPr="00BE2C67" w:rsidRDefault="001774C9" w:rsidP="00BE2C67">
      <w:pPr>
        <w:pStyle w:val="ListParagraph"/>
        <w:numPr>
          <w:ilvl w:val="0"/>
          <w:numId w:val="0"/>
        </w:numPr>
        <w:spacing w:before="0"/>
        <w:rPr>
          <w:rFonts w:eastAsiaTheme="minorHAnsi"/>
        </w:rPr>
      </w:pPr>
    </w:p>
    <w:p w:rsidR="00F44313" w:rsidRPr="00BE2C67" w:rsidRDefault="000D10D9" w:rsidP="00BE2C67">
      <w:pPr>
        <w:pStyle w:val="ListParagraph"/>
        <w:numPr>
          <w:ilvl w:val="0"/>
          <w:numId w:val="3"/>
        </w:numPr>
        <w:spacing w:before="0"/>
        <w:rPr>
          <w:rFonts w:eastAsiaTheme="minorHAnsi"/>
        </w:rPr>
      </w:pPr>
      <w:r w:rsidRPr="00BE2C67">
        <w:t>L</w:t>
      </w:r>
      <w:r w:rsidR="006F6D58" w:rsidRPr="00BE2C67">
        <w:t xml:space="preserve">a </w:t>
      </w:r>
      <w:r w:rsidR="00C468DE" w:rsidRPr="00BE2C67">
        <w:t xml:space="preserve">interviniente </w:t>
      </w:r>
      <w:r w:rsidR="001774C9" w:rsidRPr="00BE2C67">
        <w:t xml:space="preserve">común </w:t>
      </w:r>
      <w:r w:rsidR="006F6D58" w:rsidRPr="00BE2C67">
        <w:rPr>
          <w:spacing w:val="-2"/>
          <w:lang w:val="es-ES"/>
        </w:rPr>
        <w:t>Carolina Loayza Tamayo</w:t>
      </w:r>
      <w:r w:rsidR="001774C9" w:rsidRPr="00BE2C67">
        <w:rPr>
          <w:spacing w:val="-2"/>
          <w:lang w:val="es-AR"/>
        </w:rPr>
        <w:t xml:space="preserve"> </w:t>
      </w:r>
      <w:r w:rsidR="006F6D58" w:rsidRPr="00BE2C67">
        <w:rPr>
          <w:spacing w:val="-2"/>
          <w:lang w:val="es-AR"/>
        </w:rPr>
        <w:t>ofreció las declaraciones de</w:t>
      </w:r>
      <w:r w:rsidR="001774C9" w:rsidRPr="00BE2C67">
        <w:rPr>
          <w:spacing w:val="-2"/>
          <w:lang w:val="es-AR"/>
        </w:rPr>
        <w:t xml:space="preserve"> las siguientes seis presuntas víctimas: </w:t>
      </w:r>
      <w:proofErr w:type="spellStart"/>
      <w:r w:rsidR="00923F43" w:rsidRPr="00BE2C67">
        <w:rPr>
          <w:rFonts w:eastAsiaTheme="minorHAnsi"/>
        </w:rPr>
        <w:t>Isi</w:t>
      </w:r>
      <w:proofErr w:type="spellEnd"/>
      <w:r w:rsidR="00A3654E">
        <w:rPr>
          <w:rFonts w:eastAsiaTheme="minorHAnsi"/>
        </w:rPr>
        <w:t xml:space="preserve"> Antonia</w:t>
      </w:r>
      <w:r w:rsidR="00923F43" w:rsidRPr="00BE2C67">
        <w:rPr>
          <w:rFonts w:eastAsiaTheme="minorHAnsi"/>
        </w:rPr>
        <w:t xml:space="preserve"> Rosas Meléndez,</w:t>
      </w:r>
      <w:r w:rsidR="00783A81" w:rsidRPr="00BE2C67">
        <w:rPr>
          <w:rFonts w:eastAsiaTheme="minorHAnsi"/>
        </w:rPr>
        <w:t xml:space="preserve"> </w:t>
      </w:r>
      <w:r w:rsidR="007B5D94">
        <w:rPr>
          <w:rFonts w:eastAsiaTheme="minorHAnsi" w:cs="Times New Roman"/>
        </w:rPr>
        <w:t>presunta</w:t>
      </w:r>
      <w:r w:rsidR="007B5D94" w:rsidRPr="00BE2C67">
        <w:rPr>
          <w:rFonts w:eastAsiaTheme="minorHAnsi" w:cs="Times New Roman"/>
        </w:rPr>
        <w:t xml:space="preserve"> </w:t>
      </w:r>
      <w:r w:rsidR="00783A81" w:rsidRPr="00BE2C67">
        <w:rPr>
          <w:rFonts w:eastAsiaTheme="minorHAnsi" w:cs="Times New Roman"/>
        </w:rPr>
        <w:t>trabajadora cesada de</w:t>
      </w:r>
      <w:r w:rsidR="00A55CB4" w:rsidRPr="00BE2C67">
        <w:rPr>
          <w:rFonts w:eastAsiaTheme="minorHAnsi" w:cs="Times New Roman"/>
        </w:rPr>
        <w:t xml:space="preserve"> la Empresa Nacional de Puertos S.A.</w:t>
      </w:r>
      <w:r w:rsidR="00783A81" w:rsidRPr="00BE2C67">
        <w:rPr>
          <w:rFonts w:eastAsiaTheme="minorHAnsi" w:cs="Times New Roman"/>
        </w:rPr>
        <w:t xml:space="preserve"> </w:t>
      </w:r>
      <w:r w:rsidR="00A55CB4" w:rsidRPr="00BE2C67">
        <w:rPr>
          <w:rFonts w:eastAsiaTheme="minorHAnsi" w:cs="Times New Roman"/>
        </w:rPr>
        <w:t>(</w:t>
      </w:r>
      <w:r w:rsidR="007007CF" w:rsidRPr="00BE2C67">
        <w:rPr>
          <w:rFonts w:eastAsiaTheme="minorHAnsi" w:cs="Times New Roman"/>
        </w:rPr>
        <w:t>en adelante “</w:t>
      </w:r>
      <w:r w:rsidR="00783A81" w:rsidRPr="00BE2C67">
        <w:rPr>
          <w:rFonts w:eastAsiaTheme="minorHAnsi" w:cs="Times New Roman"/>
        </w:rPr>
        <w:t>ENAPU</w:t>
      </w:r>
      <w:r w:rsidR="007007CF" w:rsidRPr="00BE2C67">
        <w:rPr>
          <w:rFonts w:eastAsiaTheme="minorHAnsi" w:cs="Times New Roman"/>
        </w:rPr>
        <w:t>”</w:t>
      </w:r>
      <w:r w:rsidR="00A55CB4" w:rsidRPr="00BE2C67">
        <w:rPr>
          <w:rFonts w:eastAsiaTheme="minorHAnsi" w:cs="Times New Roman"/>
        </w:rPr>
        <w:t>)</w:t>
      </w:r>
      <w:r w:rsidR="00783A81" w:rsidRPr="00BE2C67">
        <w:rPr>
          <w:rFonts w:eastAsiaTheme="minorHAnsi" w:cs="Times New Roman"/>
        </w:rPr>
        <w:t>,</w:t>
      </w:r>
      <w:r w:rsidR="00923F43" w:rsidRPr="00BE2C67">
        <w:rPr>
          <w:rFonts w:eastAsiaTheme="minorHAnsi"/>
        </w:rPr>
        <w:t xml:space="preserve"> Gloria Moreno Cueva</w:t>
      </w:r>
      <w:r w:rsidR="00783A81" w:rsidRPr="00BE2C67">
        <w:rPr>
          <w:rFonts w:eastAsiaTheme="minorHAnsi"/>
        </w:rPr>
        <w:t xml:space="preserve">, </w:t>
      </w:r>
      <w:r w:rsidR="007B5D94">
        <w:rPr>
          <w:rFonts w:eastAsiaTheme="minorHAnsi" w:cs="Times New Roman"/>
        </w:rPr>
        <w:t>presunta</w:t>
      </w:r>
      <w:r w:rsidR="007B5D94" w:rsidRPr="00BE2C67">
        <w:rPr>
          <w:rFonts w:eastAsiaTheme="minorHAnsi" w:cs="Times New Roman"/>
        </w:rPr>
        <w:t xml:space="preserve"> </w:t>
      </w:r>
      <w:r w:rsidR="00783A81" w:rsidRPr="00BE2C67">
        <w:rPr>
          <w:rFonts w:eastAsiaTheme="minorHAnsi" w:cs="Times New Roman"/>
        </w:rPr>
        <w:t>trabajadora cesad</w:t>
      </w:r>
      <w:r w:rsidR="00036063">
        <w:rPr>
          <w:rFonts w:eastAsiaTheme="minorHAnsi" w:cs="Times New Roman"/>
        </w:rPr>
        <w:t>a</w:t>
      </w:r>
      <w:r w:rsidR="00783A81" w:rsidRPr="00BE2C67">
        <w:rPr>
          <w:rFonts w:eastAsiaTheme="minorHAnsi" w:cs="Times New Roman"/>
        </w:rPr>
        <w:t xml:space="preserve"> de</w:t>
      </w:r>
      <w:r w:rsidR="00A55CB4" w:rsidRPr="00BE2C67">
        <w:rPr>
          <w:rFonts w:eastAsiaTheme="minorHAnsi" w:cs="Times New Roman"/>
        </w:rPr>
        <w:t>l Ministerio de Economía y Finanzas</w:t>
      </w:r>
      <w:r w:rsidR="00783A81" w:rsidRPr="00BE2C67">
        <w:rPr>
          <w:rFonts w:eastAsiaTheme="minorHAnsi" w:cs="Times New Roman"/>
        </w:rPr>
        <w:t xml:space="preserve"> </w:t>
      </w:r>
      <w:r w:rsidR="00A55CB4" w:rsidRPr="00BE2C67">
        <w:rPr>
          <w:rFonts w:eastAsiaTheme="minorHAnsi" w:cs="Times New Roman"/>
        </w:rPr>
        <w:t>(</w:t>
      </w:r>
      <w:r w:rsidR="007007CF" w:rsidRPr="00BE2C67">
        <w:rPr>
          <w:rFonts w:eastAsiaTheme="minorHAnsi" w:cs="Times New Roman"/>
        </w:rPr>
        <w:t>en adelante “</w:t>
      </w:r>
      <w:r w:rsidR="00783A81" w:rsidRPr="00BE2C67">
        <w:rPr>
          <w:rFonts w:eastAsiaTheme="minorHAnsi" w:cs="Times New Roman"/>
        </w:rPr>
        <w:t>MEF</w:t>
      </w:r>
      <w:r w:rsidR="007007CF" w:rsidRPr="00BE2C67">
        <w:rPr>
          <w:rFonts w:eastAsiaTheme="minorHAnsi" w:cs="Times New Roman"/>
        </w:rPr>
        <w:t>”</w:t>
      </w:r>
      <w:r w:rsidR="00A55CB4" w:rsidRPr="00BE2C67">
        <w:rPr>
          <w:rFonts w:eastAsiaTheme="minorHAnsi" w:cs="Times New Roman"/>
        </w:rPr>
        <w:t>)</w:t>
      </w:r>
      <w:r w:rsidR="00494E8A" w:rsidRPr="00BE2C67">
        <w:rPr>
          <w:rFonts w:eastAsiaTheme="minorHAnsi"/>
        </w:rPr>
        <w:t xml:space="preserve">, </w:t>
      </w:r>
      <w:proofErr w:type="spellStart"/>
      <w:r w:rsidR="00494E8A" w:rsidRPr="00BE2C67">
        <w:rPr>
          <w:rFonts w:eastAsiaTheme="minorHAnsi"/>
        </w:rPr>
        <w:t>Gerber</w:t>
      </w:r>
      <w:proofErr w:type="spellEnd"/>
      <w:r w:rsidR="00494E8A" w:rsidRPr="00BE2C67">
        <w:rPr>
          <w:rFonts w:eastAsiaTheme="minorHAnsi"/>
        </w:rPr>
        <w:t xml:space="preserve"> Acedo Martínez, Eduardo </w:t>
      </w:r>
      <w:proofErr w:type="spellStart"/>
      <w:r w:rsidR="00494E8A" w:rsidRPr="00BE2C67">
        <w:rPr>
          <w:rFonts w:eastAsiaTheme="minorHAnsi"/>
        </w:rPr>
        <w:t>Chávarry</w:t>
      </w:r>
      <w:proofErr w:type="spellEnd"/>
      <w:r w:rsidR="00494E8A" w:rsidRPr="00BE2C67">
        <w:rPr>
          <w:rFonts w:eastAsiaTheme="minorHAnsi"/>
        </w:rPr>
        <w:t xml:space="preserve"> Vélez, María Esther Medina Crisanto</w:t>
      </w:r>
      <w:r w:rsidR="00F54182" w:rsidRPr="00BE2C67">
        <w:rPr>
          <w:rFonts w:eastAsiaTheme="minorHAnsi"/>
        </w:rPr>
        <w:t xml:space="preserve"> y</w:t>
      </w:r>
      <w:r w:rsidR="00494E8A" w:rsidRPr="00BE2C67">
        <w:rPr>
          <w:rFonts w:eastAsiaTheme="minorHAnsi"/>
        </w:rPr>
        <w:t xml:space="preserve"> Maritza Amaya </w:t>
      </w:r>
      <w:proofErr w:type="spellStart"/>
      <w:r w:rsidR="00494E8A" w:rsidRPr="00BE2C67">
        <w:rPr>
          <w:rFonts w:eastAsiaTheme="minorHAnsi"/>
        </w:rPr>
        <w:t>Cobeñas</w:t>
      </w:r>
      <w:proofErr w:type="spellEnd"/>
      <w:r w:rsidR="00783A81" w:rsidRPr="00BE2C67">
        <w:rPr>
          <w:rFonts w:eastAsiaTheme="minorHAnsi"/>
        </w:rPr>
        <w:t xml:space="preserve">, </w:t>
      </w:r>
      <w:r w:rsidR="007B5D94">
        <w:rPr>
          <w:rFonts w:eastAsiaTheme="minorHAnsi" w:cs="Times New Roman"/>
        </w:rPr>
        <w:t>presuntos</w:t>
      </w:r>
      <w:r w:rsidR="007B5D94" w:rsidRPr="00BE2C67">
        <w:rPr>
          <w:rFonts w:eastAsiaTheme="minorHAnsi" w:cs="Times New Roman"/>
        </w:rPr>
        <w:t xml:space="preserve"> </w:t>
      </w:r>
      <w:r w:rsidR="00783A81" w:rsidRPr="00BE2C67">
        <w:rPr>
          <w:rFonts w:eastAsiaTheme="minorHAnsi" w:cs="Times New Roman"/>
        </w:rPr>
        <w:t xml:space="preserve">trabajadores cesados de </w:t>
      </w:r>
      <w:r w:rsidR="00A55CB4" w:rsidRPr="00BE2C67">
        <w:rPr>
          <w:rFonts w:eastAsiaTheme="minorHAnsi" w:cs="Times New Roman"/>
        </w:rPr>
        <w:t>Petróleos del Perú (</w:t>
      </w:r>
      <w:r w:rsidR="007007CF" w:rsidRPr="00BE2C67">
        <w:rPr>
          <w:rFonts w:eastAsiaTheme="minorHAnsi" w:cs="Times New Roman"/>
        </w:rPr>
        <w:t>en adelante “</w:t>
      </w:r>
      <w:r w:rsidR="00783A81" w:rsidRPr="00BE2C67">
        <w:rPr>
          <w:rFonts w:eastAsiaTheme="minorHAnsi" w:cs="Times New Roman"/>
        </w:rPr>
        <w:t>PETROPERU</w:t>
      </w:r>
      <w:r w:rsidR="007007CF" w:rsidRPr="00BE2C67">
        <w:rPr>
          <w:rFonts w:eastAsiaTheme="minorHAnsi" w:cs="Times New Roman"/>
        </w:rPr>
        <w:t>”</w:t>
      </w:r>
      <w:r w:rsidR="00A55CB4" w:rsidRPr="00BE2C67">
        <w:rPr>
          <w:rFonts w:eastAsiaTheme="minorHAnsi" w:cs="Times New Roman"/>
        </w:rPr>
        <w:t>)</w:t>
      </w:r>
      <w:r w:rsidR="00D75F9C" w:rsidRPr="00BE2C67">
        <w:rPr>
          <w:rStyle w:val="FootnoteReference"/>
          <w:rFonts w:eastAsiaTheme="minorHAnsi"/>
          <w:sz w:val="20"/>
          <w:szCs w:val="20"/>
        </w:rPr>
        <w:footnoteReference w:id="8"/>
      </w:r>
      <w:r w:rsidR="00F54182" w:rsidRPr="00BE2C67">
        <w:rPr>
          <w:rFonts w:eastAsiaTheme="minorHAnsi"/>
        </w:rPr>
        <w:t>.</w:t>
      </w:r>
      <w:r w:rsidR="007A61B4" w:rsidRPr="00BE2C67">
        <w:rPr>
          <w:rFonts w:eastAsiaTheme="minorHAnsi"/>
        </w:rPr>
        <w:t xml:space="preserve"> </w:t>
      </w:r>
      <w:r w:rsidR="00F54182" w:rsidRPr="00BE2C67">
        <w:rPr>
          <w:rFonts w:eastAsiaTheme="minorHAnsi"/>
        </w:rPr>
        <w:t>E</w:t>
      </w:r>
      <w:r w:rsidR="00B51546" w:rsidRPr="00BE2C67">
        <w:rPr>
          <w:rFonts w:eastAsiaTheme="minorHAnsi"/>
        </w:rPr>
        <w:t xml:space="preserve">l Estado </w:t>
      </w:r>
      <w:r w:rsidR="00BC22E4">
        <w:rPr>
          <w:rFonts w:eastAsiaTheme="minorHAnsi" w:cs="Times New Roman"/>
        </w:rPr>
        <w:t>not</w:t>
      </w:r>
      <w:r w:rsidR="00B51546" w:rsidRPr="00BE2C67">
        <w:rPr>
          <w:rFonts w:eastAsiaTheme="minorHAnsi" w:cs="Times New Roman"/>
        </w:rPr>
        <w:t xml:space="preserve">ó que los objetos </w:t>
      </w:r>
      <w:r w:rsidR="00D213BC" w:rsidRPr="00BE2C67">
        <w:rPr>
          <w:rFonts w:eastAsiaTheme="minorHAnsi" w:cs="Times New Roman"/>
        </w:rPr>
        <w:t xml:space="preserve">propuestos </w:t>
      </w:r>
      <w:r w:rsidR="00E5328A" w:rsidRPr="00BE2C67">
        <w:rPr>
          <w:rFonts w:eastAsiaTheme="minorHAnsi" w:cs="Times New Roman"/>
        </w:rPr>
        <w:t xml:space="preserve">a cargo de los declarantes </w:t>
      </w:r>
      <w:proofErr w:type="spellStart"/>
      <w:r w:rsidR="00D213BC" w:rsidRPr="00BE2C67">
        <w:rPr>
          <w:rFonts w:eastAsiaTheme="minorHAnsi" w:cs="Times New Roman"/>
        </w:rPr>
        <w:t>Gerber</w:t>
      </w:r>
      <w:proofErr w:type="spellEnd"/>
      <w:r w:rsidR="00D213BC" w:rsidRPr="00BE2C67">
        <w:rPr>
          <w:rFonts w:eastAsiaTheme="minorHAnsi" w:cs="Times New Roman"/>
        </w:rPr>
        <w:t xml:space="preserve"> Acedo M</w:t>
      </w:r>
      <w:r w:rsidR="002E0741" w:rsidRPr="00BE2C67">
        <w:rPr>
          <w:rFonts w:eastAsiaTheme="minorHAnsi" w:cs="Times New Roman"/>
        </w:rPr>
        <w:t xml:space="preserve">artínez, Eduardo </w:t>
      </w:r>
      <w:proofErr w:type="spellStart"/>
      <w:r w:rsidR="002E0741" w:rsidRPr="00BE2C67">
        <w:rPr>
          <w:rFonts w:eastAsiaTheme="minorHAnsi" w:cs="Times New Roman"/>
        </w:rPr>
        <w:t>Chávarry</w:t>
      </w:r>
      <w:proofErr w:type="spellEnd"/>
      <w:r w:rsidR="002E0741" w:rsidRPr="00BE2C67">
        <w:rPr>
          <w:rFonts w:eastAsiaTheme="minorHAnsi" w:cs="Times New Roman"/>
        </w:rPr>
        <w:t xml:space="preserve"> Vélez,</w:t>
      </w:r>
      <w:r w:rsidR="00E5328A" w:rsidRPr="00BE2C67">
        <w:rPr>
          <w:rFonts w:eastAsiaTheme="minorHAnsi" w:cs="Times New Roman"/>
        </w:rPr>
        <w:t xml:space="preserve"> María Esther Medina Crisanto y </w:t>
      </w:r>
      <w:r w:rsidR="00D213BC" w:rsidRPr="00BE2C67">
        <w:rPr>
          <w:rFonts w:eastAsiaTheme="minorHAnsi" w:cs="Times New Roman"/>
        </w:rPr>
        <w:t xml:space="preserve">Maritza Amaya </w:t>
      </w:r>
      <w:proofErr w:type="spellStart"/>
      <w:r w:rsidR="00D213BC" w:rsidRPr="00BE2C67">
        <w:rPr>
          <w:rFonts w:eastAsiaTheme="minorHAnsi" w:cs="Times New Roman"/>
        </w:rPr>
        <w:t>Cobeñas</w:t>
      </w:r>
      <w:proofErr w:type="spellEnd"/>
      <w:r w:rsidR="00E5328A" w:rsidRPr="00BE2C67">
        <w:rPr>
          <w:rFonts w:eastAsiaTheme="minorHAnsi" w:cs="Times New Roman"/>
        </w:rPr>
        <w:t>, “</w:t>
      </w:r>
      <w:r w:rsidR="00B51546" w:rsidRPr="00BE2C67">
        <w:rPr>
          <w:rFonts w:eastAsiaTheme="minorHAnsi" w:cs="Times New Roman"/>
        </w:rPr>
        <w:t>son idénticos</w:t>
      </w:r>
      <w:r w:rsidR="00E5328A" w:rsidRPr="00BE2C67">
        <w:rPr>
          <w:rFonts w:eastAsiaTheme="minorHAnsi" w:cs="Times New Roman"/>
        </w:rPr>
        <w:t>”</w:t>
      </w:r>
      <w:r w:rsidR="00B51546" w:rsidRPr="00BE2C67">
        <w:rPr>
          <w:rFonts w:eastAsiaTheme="minorHAnsi" w:cs="Times New Roman"/>
        </w:rPr>
        <w:t>. En tal sentido, solicitó a la Corte que se desestime alguna de las declaraciones propuesta</w:t>
      </w:r>
      <w:r w:rsidR="00E5328A" w:rsidRPr="00BE2C67">
        <w:rPr>
          <w:rFonts w:eastAsiaTheme="minorHAnsi" w:cs="Times New Roman"/>
        </w:rPr>
        <w:t>s</w:t>
      </w:r>
      <w:r w:rsidR="00B51546" w:rsidRPr="00BE2C67">
        <w:rPr>
          <w:rFonts w:eastAsiaTheme="minorHAnsi" w:cs="Times New Roman"/>
        </w:rPr>
        <w:t xml:space="preserve"> para el caso </w:t>
      </w:r>
      <w:r w:rsidR="00D75F9C" w:rsidRPr="00BE2C67">
        <w:rPr>
          <w:rFonts w:eastAsiaTheme="minorHAnsi" w:cs="Times New Roman"/>
        </w:rPr>
        <w:t xml:space="preserve">de los trabajadores cesados de PETROPERU </w:t>
      </w:r>
      <w:r w:rsidR="00B51546" w:rsidRPr="00BE2C67">
        <w:rPr>
          <w:rFonts w:eastAsiaTheme="minorHAnsi" w:cs="Times New Roman"/>
        </w:rPr>
        <w:t>y se considere</w:t>
      </w:r>
      <w:r w:rsidR="00BC22E4">
        <w:rPr>
          <w:rFonts w:eastAsiaTheme="minorHAnsi" w:cs="Times New Roman"/>
        </w:rPr>
        <w:t>n</w:t>
      </w:r>
      <w:r w:rsidR="00B51546" w:rsidRPr="00BE2C67">
        <w:rPr>
          <w:rFonts w:eastAsiaTheme="minorHAnsi" w:cs="Times New Roman"/>
        </w:rPr>
        <w:t xml:space="preserve"> </w:t>
      </w:r>
      <w:r w:rsidR="00E5328A" w:rsidRPr="00BE2C67">
        <w:rPr>
          <w:rFonts w:eastAsiaTheme="minorHAnsi" w:cs="Times New Roman"/>
        </w:rPr>
        <w:t>“</w:t>
      </w:r>
      <w:r w:rsidR="00B51546" w:rsidRPr="00BE2C67">
        <w:rPr>
          <w:rFonts w:eastAsiaTheme="minorHAnsi" w:cs="Times New Roman"/>
        </w:rPr>
        <w:t>por lo menos solo dos</w:t>
      </w:r>
      <w:r w:rsidR="00E5328A" w:rsidRPr="00BE2C67">
        <w:rPr>
          <w:rFonts w:eastAsiaTheme="minorHAnsi" w:cs="Times New Roman"/>
        </w:rPr>
        <w:t xml:space="preserve"> (2)</w:t>
      </w:r>
      <w:r w:rsidR="00B51546" w:rsidRPr="00BE2C67">
        <w:rPr>
          <w:rFonts w:eastAsiaTheme="minorHAnsi" w:cs="Times New Roman"/>
        </w:rPr>
        <w:t xml:space="preserve"> de ellas, pues no resulta necesaria la presentación de cuatro </w:t>
      </w:r>
      <w:r w:rsidR="00E5328A" w:rsidRPr="00BE2C67">
        <w:rPr>
          <w:rFonts w:eastAsiaTheme="minorHAnsi" w:cs="Times New Roman"/>
        </w:rPr>
        <w:t xml:space="preserve">(4) </w:t>
      </w:r>
      <w:r w:rsidR="00B51546" w:rsidRPr="00BE2C67">
        <w:rPr>
          <w:rFonts w:eastAsiaTheme="minorHAnsi" w:cs="Times New Roman"/>
        </w:rPr>
        <w:t>declaraciones con el mismo objeto en el mismo caso</w:t>
      </w:r>
      <w:r w:rsidR="00E5328A" w:rsidRPr="00BE2C67">
        <w:rPr>
          <w:rFonts w:eastAsiaTheme="minorHAnsi" w:cs="Times New Roman"/>
        </w:rPr>
        <w:t>”</w:t>
      </w:r>
      <w:r w:rsidR="007A61B4" w:rsidRPr="00BE2C67">
        <w:rPr>
          <w:rFonts w:eastAsiaTheme="minorHAnsi" w:cs="Times New Roman"/>
        </w:rPr>
        <w:t xml:space="preserve">, </w:t>
      </w:r>
      <w:r w:rsidR="00BC22E4">
        <w:rPr>
          <w:rFonts w:eastAsiaTheme="minorHAnsi" w:cs="Times New Roman"/>
        </w:rPr>
        <w:t>ya que</w:t>
      </w:r>
      <w:r w:rsidR="00BC22E4" w:rsidRPr="00BE2C67">
        <w:rPr>
          <w:rFonts w:eastAsiaTheme="minorHAnsi" w:cs="Times New Roman"/>
        </w:rPr>
        <w:t xml:space="preserve"> </w:t>
      </w:r>
      <w:r w:rsidR="007A61B4" w:rsidRPr="00BE2C67">
        <w:rPr>
          <w:rFonts w:eastAsiaTheme="minorHAnsi" w:cs="Times New Roman"/>
        </w:rPr>
        <w:t>resultaría “repetitivo y no traería consigo un aporte importante para la eventual decisión sobre el caso”</w:t>
      </w:r>
      <w:r w:rsidR="00B51546" w:rsidRPr="00BE2C67">
        <w:rPr>
          <w:rFonts w:eastAsiaTheme="minorHAnsi" w:cs="Times New Roman"/>
        </w:rPr>
        <w:t>.</w:t>
      </w:r>
      <w:r w:rsidR="007A61B4" w:rsidRPr="00BE2C67">
        <w:rPr>
          <w:rFonts w:eastAsiaTheme="minorHAnsi" w:cs="Times New Roman"/>
        </w:rPr>
        <w:t xml:space="preserve"> </w:t>
      </w:r>
      <w:r w:rsidR="00B51546" w:rsidRPr="00BE2C67">
        <w:rPr>
          <w:rFonts w:eastAsiaTheme="minorHAnsi" w:cs="Times New Roman"/>
        </w:rPr>
        <w:t xml:space="preserve">Asimismo, el Estado alegó que el objeto de </w:t>
      </w:r>
      <w:r w:rsidR="002E0741" w:rsidRPr="00BE2C67">
        <w:rPr>
          <w:rFonts w:eastAsiaTheme="minorHAnsi" w:cs="Times New Roman"/>
        </w:rPr>
        <w:t xml:space="preserve">todas </w:t>
      </w:r>
      <w:r w:rsidR="00B51546" w:rsidRPr="00BE2C67">
        <w:rPr>
          <w:rFonts w:eastAsiaTheme="minorHAnsi" w:cs="Times New Roman"/>
        </w:rPr>
        <w:t>las declaraciones</w:t>
      </w:r>
      <w:r w:rsidR="002E0741" w:rsidRPr="00BE2C67">
        <w:rPr>
          <w:rFonts w:eastAsiaTheme="minorHAnsi" w:cs="Times New Roman"/>
        </w:rPr>
        <w:t xml:space="preserve"> propuestas</w:t>
      </w:r>
      <w:r w:rsidR="00B51546" w:rsidRPr="00BE2C67">
        <w:rPr>
          <w:rFonts w:eastAsiaTheme="minorHAnsi" w:cs="Times New Roman"/>
        </w:rPr>
        <w:t xml:space="preserve"> es “bastante general </w:t>
      </w:r>
      <w:r w:rsidR="00B51546" w:rsidRPr="00BE2C67">
        <w:rPr>
          <w:rFonts w:eastAsiaTheme="minorHAnsi" w:cs="Arial"/>
        </w:rPr>
        <w:t xml:space="preserve">y </w:t>
      </w:r>
      <w:r w:rsidR="00B51546" w:rsidRPr="00BE2C67">
        <w:rPr>
          <w:rFonts w:eastAsiaTheme="minorHAnsi" w:cs="Times New Roman"/>
        </w:rPr>
        <w:t>poco específico en torno a qué aspectos pueden ser entendidos como hechos que damnificaron a las presuntas víctimas”. Al respecto, solicitó a la Corte que delimite dicho objeto</w:t>
      </w:r>
      <w:r w:rsidR="00BC22E4">
        <w:rPr>
          <w:rFonts w:eastAsiaTheme="minorHAnsi" w:cs="Times New Roman"/>
        </w:rPr>
        <w:t xml:space="preserve"> con</w:t>
      </w:r>
      <w:r w:rsidR="00F44313" w:rsidRPr="00BE2C67">
        <w:rPr>
          <w:rFonts w:eastAsiaTheme="minorHAnsi" w:cs="Times New Roman"/>
        </w:rPr>
        <w:t xml:space="preserve"> la</w:t>
      </w:r>
      <w:r w:rsidR="00B51546" w:rsidRPr="00BE2C67">
        <w:rPr>
          <w:rFonts w:eastAsiaTheme="minorHAnsi" w:cs="Times New Roman"/>
        </w:rPr>
        <w:t xml:space="preserve"> mayor claridad posible</w:t>
      </w:r>
      <w:r w:rsidR="00F44313" w:rsidRPr="00BE2C67">
        <w:rPr>
          <w:rFonts w:eastAsiaTheme="minorHAnsi" w:cs="Times New Roman"/>
        </w:rPr>
        <w:t xml:space="preserve"> y establezca con exactitud cuáles son los </w:t>
      </w:r>
      <w:r w:rsidR="00BC22E4">
        <w:rPr>
          <w:rFonts w:eastAsiaTheme="minorHAnsi" w:cs="Times New Roman"/>
        </w:rPr>
        <w:t>“</w:t>
      </w:r>
      <w:r w:rsidR="00F44313" w:rsidRPr="00BE2C67">
        <w:rPr>
          <w:rFonts w:eastAsiaTheme="minorHAnsi" w:cs="Times New Roman"/>
        </w:rPr>
        <w:t xml:space="preserve">hechos </w:t>
      </w:r>
      <w:proofErr w:type="spellStart"/>
      <w:r w:rsidR="00F44313" w:rsidRPr="00BE2C67">
        <w:rPr>
          <w:rFonts w:eastAsiaTheme="minorHAnsi" w:cs="Times New Roman"/>
        </w:rPr>
        <w:t>vulnera</w:t>
      </w:r>
      <w:r w:rsidR="00BC22E4">
        <w:rPr>
          <w:rFonts w:eastAsiaTheme="minorHAnsi" w:cs="Times New Roman"/>
        </w:rPr>
        <w:t>torios</w:t>
      </w:r>
      <w:proofErr w:type="spellEnd"/>
      <w:r w:rsidR="00BC22E4">
        <w:rPr>
          <w:rFonts w:eastAsiaTheme="minorHAnsi" w:cs="Times New Roman"/>
        </w:rPr>
        <w:t>”</w:t>
      </w:r>
      <w:r w:rsidR="00F44313" w:rsidRPr="00BE2C67">
        <w:rPr>
          <w:rFonts w:eastAsiaTheme="minorHAnsi" w:cs="Times New Roman"/>
        </w:rPr>
        <w:t xml:space="preserve"> a los que se referirán los declarantes</w:t>
      </w:r>
      <w:r w:rsidR="00B51546" w:rsidRPr="00BE2C67">
        <w:rPr>
          <w:rFonts w:eastAsiaTheme="minorHAnsi" w:cs="Times New Roman"/>
        </w:rPr>
        <w:t>, a efectos de permitir que las partes orienten sus intervenciones a los puntos establecidos como controvertidos y que no excedan los mismos.</w:t>
      </w:r>
      <w:r w:rsidR="00AB3411" w:rsidRPr="00BE2C67">
        <w:rPr>
          <w:rFonts w:eastAsiaTheme="minorHAnsi" w:cs="Times New Roman"/>
        </w:rPr>
        <w:t xml:space="preserve"> </w:t>
      </w:r>
    </w:p>
    <w:p w:rsidR="00F44313" w:rsidRPr="00BE2C67" w:rsidRDefault="00F44313" w:rsidP="00BE2C67">
      <w:pPr>
        <w:pStyle w:val="ListParagraph"/>
        <w:numPr>
          <w:ilvl w:val="0"/>
          <w:numId w:val="0"/>
        </w:numPr>
        <w:spacing w:before="0"/>
        <w:rPr>
          <w:rFonts w:eastAsiaTheme="minorHAnsi"/>
        </w:rPr>
      </w:pPr>
    </w:p>
    <w:p w:rsidR="00F44313" w:rsidRPr="00BE2C67" w:rsidRDefault="00F44313" w:rsidP="00BE2C67">
      <w:pPr>
        <w:pStyle w:val="ListParagraph"/>
        <w:numPr>
          <w:ilvl w:val="0"/>
          <w:numId w:val="3"/>
        </w:numPr>
        <w:spacing w:before="0"/>
        <w:rPr>
          <w:rFonts w:eastAsiaTheme="minorHAnsi"/>
        </w:rPr>
      </w:pPr>
      <w:r w:rsidRPr="00BE2C67">
        <w:rPr>
          <w:lang w:val="es-AR"/>
        </w:rPr>
        <w:t xml:space="preserve">En cuanto a las observaciones del Estado referidas a la identidad del objeto de </w:t>
      </w:r>
      <w:r w:rsidR="002E0741" w:rsidRPr="00BE2C67">
        <w:rPr>
          <w:lang w:val="es-AR"/>
        </w:rPr>
        <w:t xml:space="preserve">cuatro de </w:t>
      </w:r>
      <w:r w:rsidRPr="00BE2C67">
        <w:rPr>
          <w:lang w:val="es-AR"/>
        </w:rPr>
        <w:t xml:space="preserve">las declaraciones propuestas, el Presidente recuerda que es necesario procurar la más amplia presentación de pruebas por las partes en todo lo que sea pertinente y </w:t>
      </w:r>
      <w:r w:rsidRPr="00BE2C67">
        <w:t>que la Corte ha destacado la utilidad de las declaraciones de las presuntas víctimas y otras personas con un interés directo en el caso, en la medida en que pueden proporcionar mayor información sobre las violaciones alegadas y sus consecuencias</w:t>
      </w:r>
      <w:r w:rsidRPr="00BE2C67">
        <w:rPr>
          <w:rStyle w:val="FootnoteReference"/>
          <w:sz w:val="20"/>
          <w:szCs w:val="20"/>
        </w:rPr>
        <w:footnoteReference w:id="9"/>
      </w:r>
      <w:r w:rsidRPr="00BE2C67">
        <w:t xml:space="preserve">. Por ello, el Presidente considera que, en este caso, las razones señaladas por el Estado son insuficientes para excluir las declaraciones </w:t>
      </w:r>
      <w:r w:rsidR="002E0741" w:rsidRPr="00BE2C67">
        <w:t xml:space="preserve">de </w:t>
      </w:r>
      <w:proofErr w:type="spellStart"/>
      <w:r w:rsidR="002E0741" w:rsidRPr="00BE2C67">
        <w:rPr>
          <w:rFonts w:eastAsiaTheme="minorHAnsi" w:cs="Times New Roman"/>
        </w:rPr>
        <w:t>Gerber</w:t>
      </w:r>
      <w:proofErr w:type="spellEnd"/>
      <w:r w:rsidR="002E0741" w:rsidRPr="00BE2C67">
        <w:rPr>
          <w:rFonts w:eastAsiaTheme="minorHAnsi" w:cs="Times New Roman"/>
        </w:rPr>
        <w:t xml:space="preserve"> Acedo Martínez, Eduardo </w:t>
      </w:r>
      <w:proofErr w:type="spellStart"/>
      <w:r w:rsidR="002E0741" w:rsidRPr="00BE2C67">
        <w:rPr>
          <w:rFonts w:eastAsiaTheme="minorHAnsi" w:cs="Times New Roman"/>
        </w:rPr>
        <w:t>Chávarry</w:t>
      </w:r>
      <w:proofErr w:type="spellEnd"/>
      <w:r w:rsidR="002E0741" w:rsidRPr="00BE2C67">
        <w:rPr>
          <w:rFonts w:eastAsiaTheme="minorHAnsi" w:cs="Times New Roman"/>
        </w:rPr>
        <w:t xml:space="preserve"> Vélez, María Esther Medina Crisanto y Maritza Amaya </w:t>
      </w:r>
      <w:proofErr w:type="spellStart"/>
      <w:r w:rsidR="002E0741" w:rsidRPr="00BE2C67">
        <w:rPr>
          <w:rFonts w:eastAsiaTheme="minorHAnsi" w:cs="Times New Roman"/>
        </w:rPr>
        <w:t>Cobeñas</w:t>
      </w:r>
      <w:proofErr w:type="spellEnd"/>
      <w:r w:rsidRPr="00BE2C67">
        <w:t xml:space="preserve">. Las demás observaciones se refieren al eventual </w:t>
      </w:r>
      <w:r w:rsidR="002E0741" w:rsidRPr="00BE2C67">
        <w:t xml:space="preserve">objeto de dichas declaraciones, </w:t>
      </w:r>
      <w:r w:rsidRPr="00BE2C67">
        <w:t xml:space="preserve">pero no afectan su admisibilidad. En consecuencia, esta Presidencia considera pertinente recibir </w:t>
      </w:r>
      <w:r w:rsidR="002E0741" w:rsidRPr="00BE2C67">
        <w:t>las</w:t>
      </w:r>
      <w:r w:rsidRPr="00BE2C67">
        <w:t xml:space="preserve"> </w:t>
      </w:r>
      <w:r w:rsidR="002E0741" w:rsidRPr="00BE2C67">
        <w:t>seis</w:t>
      </w:r>
      <w:r w:rsidRPr="00BE2C67">
        <w:t xml:space="preserve"> declaraciones propuestas por </w:t>
      </w:r>
      <w:r w:rsidR="002E0741" w:rsidRPr="00BE2C67">
        <w:t xml:space="preserve">la interviniente común </w:t>
      </w:r>
      <w:r w:rsidR="002E0741" w:rsidRPr="00BE2C67">
        <w:rPr>
          <w:spacing w:val="-2"/>
          <w:lang w:val="es-ES"/>
        </w:rPr>
        <w:t>Carolina Loayza Tamayo</w:t>
      </w:r>
      <w:r w:rsidRPr="00BE2C67">
        <w:t xml:space="preserve">, según el objeto y modalidad determinados en la parte resolutiva de esta </w:t>
      </w:r>
      <w:r w:rsidR="00BC22E4">
        <w:t>Resoluc</w:t>
      </w:r>
      <w:r w:rsidRPr="00BE2C67">
        <w:t>ión</w:t>
      </w:r>
      <w:r w:rsidR="0002048F" w:rsidRPr="00BE2C67">
        <w:t>.</w:t>
      </w:r>
    </w:p>
    <w:p w:rsidR="000D0EF2" w:rsidRPr="00BE2C67" w:rsidRDefault="000D0EF2" w:rsidP="00BE2C67">
      <w:pPr>
        <w:pStyle w:val="ListParagraph"/>
        <w:numPr>
          <w:ilvl w:val="0"/>
          <w:numId w:val="0"/>
        </w:numPr>
        <w:spacing w:before="0"/>
        <w:rPr>
          <w:rFonts w:eastAsiaTheme="minorHAnsi"/>
        </w:rPr>
      </w:pPr>
    </w:p>
    <w:p w:rsidR="00D43F68" w:rsidRPr="00BE2C67" w:rsidRDefault="00D43F68" w:rsidP="00D43F68">
      <w:pPr>
        <w:spacing w:before="0" w:after="0"/>
        <w:ind w:left="900"/>
        <w:rPr>
          <w:i/>
          <w:szCs w:val="20"/>
        </w:rPr>
      </w:pPr>
      <w:r w:rsidRPr="00BE2C67">
        <w:rPr>
          <w:i/>
          <w:szCs w:val="20"/>
        </w:rPr>
        <w:t>B.</w:t>
      </w:r>
      <w:r>
        <w:rPr>
          <w:i/>
          <w:szCs w:val="20"/>
        </w:rPr>
        <w:t>2</w:t>
      </w:r>
      <w:r w:rsidRPr="00BE2C67">
        <w:rPr>
          <w:i/>
          <w:szCs w:val="20"/>
        </w:rPr>
        <w:t xml:space="preserve">. </w:t>
      </w:r>
      <w:r>
        <w:rPr>
          <w:bCs/>
          <w:i/>
          <w:iCs/>
          <w:szCs w:val="20"/>
        </w:rPr>
        <w:t>R</w:t>
      </w:r>
      <w:r w:rsidRPr="00BE2C67">
        <w:rPr>
          <w:bCs/>
          <w:i/>
          <w:iCs/>
          <w:szCs w:val="20"/>
        </w:rPr>
        <w:t xml:space="preserve">ecusaciones </w:t>
      </w:r>
      <w:r>
        <w:rPr>
          <w:bCs/>
          <w:i/>
          <w:iCs/>
          <w:szCs w:val="20"/>
        </w:rPr>
        <w:t xml:space="preserve">presentadas por el Estado </w:t>
      </w:r>
      <w:r w:rsidRPr="00BE2C67">
        <w:rPr>
          <w:i/>
          <w:szCs w:val="20"/>
        </w:rPr>
        <w:t>a dos peritos propuestos</w:t>
      </w:r>
    </w:p>
    <w:p w:rsidR="00D43F68" w:rsidRPr="00BE2C67" w:rsidRDefault="00D43F68" w:rsidP="00D43F68">
      <w:pPr>
        <w:pStyle w:val="ListParagraph"/>
        <w:numPr>
          <w:ilvl w:val="0"/>
          <w:numId w:val="0"/>
        </w:numPr>
        <w:spacing w:before="0"/>
        <w:rPr>
          <w:rFonts w:eastAsiaTheme="minorHAnsi"/>
        </w:rPr>
      </w:pPr>
    </w:p>
    <w:p w:rsidR="00D43F68" w:rsidRPr="00747296" w:rsidRDefault="00D43F68" w:rsidP="00747296">
      <w:pPr>
        <w:pStyle w:val="ListParagraph"/>
        <w:numPr>
          <w:ilvl w:val="0"/>
          <w:numId w:val="3"/>
        </w:numPr>
        <w:spacing w:before="0"/>
        <w:rPr>
          <w:rFonts w:eastAsiaTheme="minorHAnsi"/>
          <w:b/>
        </w:rPr>
      </w:pPr>
      <w:r w:rsidRPr="00BE2C67">
        <w:lastRenderedPageBreak/>
        <w:t xml:space="preserve">La interviniente común </w:t>
      </w:r>
      <w:r w:rsidRPr="00BE2C67">
        <w:rPr>
          <w:spacing w:val="-2"/>
          <w:lang w:val="es-ES"/>
        </w:rPr>
        <w:t>Carolina Loayza Tamayo</w:t>
      </w:r>
      <w:r w:rsidRPr="00BE2C67">
        <w:rPr>
          <w:spacing w:val="-2"/>
          <w:lang w:val="es-AR"/>
        </w:rPr>
        <w:t xml:space="preserve"> ofreció </w:t>
      </w:r>
      <w:r w:rsidRPr="00BE2C67">
        <w:rPr>
          <w:rFonts w:eastAsiaTheme="minorHAnsi"/>
        </w:rPr>
        <w:t xml:space="preserve">los dictámenes periciales de </w:t>
      </w:r>
      <w:r w:rsidRPr="006C2F2B">
        <w:rPr>
          <w:rFonts w:eastAsiaTheme="minorHAnsi"/>
        </w:rPr>
        <w:t xml:space="preserve">Adolfo Granadino Farías y </w:t>
      </w:r>
      <w:r w:rsidRPr="006C2F2B">
        <w:rPr>
          <w:rFonts w:eastAsiaTheme="minorHAnsi" w:cs="Times New Roman"/>
        </w:rPr>
        <w:t xml:space="preserve">Manuel Enrique Ernesto </w:t>
      </w:r>
      <w:proofErr w:type="spellStart"/>
      <w:r w:rsidRPr="006C2F2B">
        <w:rPr>
          <w:rFonts w:eastAsiaTheme="minorHAnsi" w:cs="Times New Roman"/>
        </w:rPr>
        <w:t>Dammert</w:t>
      </w:r>
      <w:proofErr w:type="spellEnd"/>
      <w:r w:rsidRPr="006C2F2B">
        <w:rPr>
          <w:rFonts w:eastAsiaTheme="minorHAnsi" w:cs="Times New Roman"/>
        </w:rPr>
        <w:t xml:space="preserve"> Ego Aguirre</w:t>
      </w:r>
      <w:r w:rsidRPr="006C2F2B">
        <w:rPr>
          <w:rFonts w:eastAsiaTheme="minorHAnsi"/>
        </w:rPr>
        <w:t>.</w:t>
      </w:r>
      <w:r w:rsidRPr="00BE2C67">
        <w:rPr>
          <w:rFonts w:eastAsiaTheme="minorHAnsi"/>
        </w:rPr>
        <w:t xml:space="preserve"> </w:t>
      </w:r>
      <w:r w:rsidRPr="00747296">
        <w:rPr>
          <w:rFonts w:eastAsiaTheme="minorHAnsi" w:cs="Times New Roman"/>
        </w:rPr>
        <w:t xml:space="preserve">De conformidad con el artículo 48, literal c) del Reglamento de la Corte, el Perú recusó a </w:t>
      </w:r>
      <w:r w:rsidR="001E3733">
        <w:rPr>
          <w:rFonts w:eastAsiaTheme="minorHAnsi" w:cs="Times New Roman"/>
        </w:rPr>
        <w:t>dichos</w:t>
      </w:r>
      <w:r w:rsidR="001E3733" w:rsidRPr="00747296">
        <w:rPr>
          <w:rFonts w:eastAsiaTheme="minorHAnsi" w:cs="Times New Roman"/>
        </w:rPr>
        <w:t xml:space="preserve"> </w:t>
      </w:r>
      <w:r w:rsidRPr="00747296">
        <w:rPr>
          <w:rFonts w:eastAsiaTheme="minorHAnsi" w:cs="Times New Roman"/>
        </w:rPr>
        <w:t xml:space="preserve">peritos propuestos, debido a que, según el Estado, se evidenciaría una vinculación estrecha entre </w:t>
      </w:r>
      <w:r w:rsidR="000A58CC" w:rsidRPr="00747296">
        <w:rPr>
          <w:rFonts w:eastAsiaTheme="minorHAnsi" w:cs="Times New Roman"/>
        </w:rPr>
        <w:t>aquellos</w:t>
      </w:r>
      <w:r w:rsidRPr="00747296">
        <w:rPr>
          <w:rFonts w:eastAsiaTheme="minorHAnsi" w:cs="Times New Roman"/>
        </w:rPr>
        <w:t xml:space="preserve"> y las presuntas víctimas de ENAPU, afectando su objetividad.</w:t>
      </w:r>
      <w:r w:rsidRPr="00BE2C67">
        <w:t xml:space="preserve"> Por un lado, </w:t>
      </w:r>
      <w:r w:rsidRPr="00747296">
        <w:rPr>
          <w:rFonts w:eastAsiaTheme="minorHAnsi" w:cs="Times New Roman"/>
        </w:rPr>
        <w:t xml:space="preserve">argumentó que el perito propuesto Manuel Enrique Ernesto </w:t>
      </w:r>
      <w:proofErr w:type="spellStart"/>
      <w:r w:rsidRPr="00747296">
        <w:rPr>
          <w:rFonts w:eastAsiaTheme="minorHAnsi" w:cs="Times New Roman"/>
        </w:rPr>
        <w:t>Dammet</w:t>
      </w:r>
      <w:proofErr w:type="spellEnd"/>
      <w:r w:rsidRPr="00747296">
        <w:rPr>
          <w:rFonts w:eastAsiaTheme="minorHAnsi" w:cs="Times New Roman"/>
        </w:rPr>
        <w:t xml:space="preserve"> Ego Aguirre fue representante de la Federación de Trabajadores de ENAPU en el año 2007, y asesor entre los años 2000 y 2008. Por otro lado, alegó que el perito Adolfo Granadino Farías había ocupado cargos directivos en 1990 -2008 dentro del FENTENAPU, que sería la organización sindical a la que pertenecían las presuntas víctimas de ENAPU. Además, al ser dirigente sindical había intervenido como participante activo en el proceso de formulación e implementación de la Ley N° 27803. </w:t>
      </w:r>
    </w:p>
    <w:p w:rsidR="00D43F68" w:rsidRPr="00BE2C67" w:rsidRDefault="00D43F68" w:rsidP="00D43F68">
      <w:pPr>
        <w:pStyle w:val="ListParagraph"/>
        <w:numPr>
          <w:ilvl w:val="0"/>
          <w:numId w:val="0"/>
        </w:numPr>
        <w:spacing w:before="0"/>
      </w:pPr>
    </w:p>
    <w:p w:rsidR="00D43F68" w:rsidRPr="00BE2C67" w:rsidRDefault="00D43F68" w:rsidP="00D43F68">
      <w:pPr>
        <w:pStyle w:val="ListParagraph"/>
        <w:numPr>
          <w:ilvl w:val="0"/>
          <w:numId w:val="3"/>
        </w:numPr>
        <w:spacing w:before="0"/>
        <w:rPr>
          <w:rFonts w:eastAsiaTheme="minorHAnsi" w:cs="Times New Roman"/>
        </w:rPr>
      </w:pPr>
      <w:r w:rsidRPr="00BE2C67">
        <w:t>Al respecto, el señor Granadino Farías manifestó que “no t[</w:t>
      </w:r>
      <w:proofErr w:type="spellStart"/>
      <w:r w:rsidRPr="00BE2C67">
        <w:t>iene</w:t>
      </w:r>
      <w:proofErr w:type="spellEnd"/>
      <w:r w:rsidRPr="00BE2C67">
        <w:t>] vinculación estrecha, no h[a] participado en el proceso de formulación e implementación de la Ley 27803 ni t[</w:t>
      </w:r>
      <w:proofErr w:type="spellStart"/>
      <w:r w:rsidRPr="00BE2C67">
        <w:t>iene</w:t>
      </w:r>
      <w:proofErr w:type="spellEnd"/>
      <w:r w:rsidRPr="00BE2C67">
        <w:t>] relación directa[,] amistad, enemistad, ni de otra índole[,] con las personas a quienes el Estado llama presuntas víctimas, menos aún h[a] tenido ni t[</w:t>
      </w:r>
      <w:proofErr w:type="spellStart"/>
      <w:r w:rsidRPr="00BE2C67">
        <w:t>iene</w:t>
      </w:r>
      <w:proofErr w:type="spellEnd"/>
      <w:r w:rsidRPr="00BE2C67">
        <w:t>] relación de subordinación funcional con ellas ni con su representante legal, por lo que en modo alguno está en riesgo [su] imparcialidad en calidad de perito”. Por su parte y no obstante haber sido solicitado por este Tribunal</w:t>
      </w:r>
      <w:r w:rsidRPr="00BE2C67">
        <w:rPr>
          <w:rStyle w:val="FootnoteReference"/>
          <w:sz w:val="20"/>
          <w:szCs w:val="20"/>
        </w:rPr>
        <w:footnoteReference w:id="10"/>
      </w:r>
      <w:r w:rsidRPr="00BE2C67">
        <w:t xml:space="preserve">, el señor </w:t>
      </w:r>
      <w:proofErr w:type="spellStart"/>
      <w:r w:rsidRPr="00BE2C67">
        <w:rPr>
          <w:rFonts w:eastAsiaTheme="minorHAnsi" w:cs="Times New Roman"/>
        </w:rPr>
        <w:t>Dammet</w:t>
      </w:r>
      <w:proofErr w:type="spellEnd"/>
      <w:r w:rsidRPr="00BE2C67">
        <w:rPr>
          <w:rFonts w:eastAsiaTheme="minorHAnsi" w:cs="Times New Roman"/>
        </w:rPr>
        <w:t xml:space="preserve"> Ego Aguirre no presentó </w:t>
      </w:r>
      <w:r w:rsidRPr="00BE2C67">
        <w:t>observaciones respecto de la recusación presentada por el Estado en su contra.</w:t>
      </w:r>
    </w:p>
    <w:p w:rsidR="00D43F68" w:rsidRPr="00BE2C67" w:rsidRDefault="00D43F68" w:rsidP="00D43F68">
      <w:pPr>
        <w:pStyle w:val="ListParagraph"/>
        <w:numPr>
          <w:ilvl w:val="0"/>
          <w:numId w:val="0"/>
        </w:numPr>
        <w:spacing w:before="0"/>
      </w:pPr>
    </w:p>
    <w:p w:rsidR="00D43F68" w:rsidRDefault="00D43F68" w:rsidP="00D43F68">
      <w:pPr>
        <w:pStyle w:val="ListParagraph"/>
        <w:numPr>
          <w:ilvl w:val="0"/>
          <w:numId w:val="3"/>
        </w:numPr>
        <w:spacing w:before="0"/>
        <w:rPr>
          <w:rFonts w:eastAsiaTheme="minorHAnsi" w:cs="Times New Roman"/>
        </w:rPr>
      </w:pPr>
      <w:r>
        <w:t>E</w:t>
      </w:r>
      <w:r w:rsidRPr="00BE2C67">
        <w:t xml:space="preserve">n lo que se refiere a la recusación planteada en contra del señor </w:t>
      </w:r>
      <w:r w:rsidRPr="00BE2C67">
        <w:rPr>
          <w:rFonts w:eastAsiaTheme="minorHAnsi" w:cs="Times New Roman"/>
        </w:rPr>
        <w:t xml:space="preserve">Adolfo Granadino Farías, </w:t>
      </w:r>
      <w:r w:rsidRPr="00BE2C67">
        <w:t>se desprende de su hoja de vida que</w:t>
      </w:r>
      <w:r w:rsidR="000A58CC">
        <w:t>:</w:t>
      </w:r>
      <w:r w:rsidRPr="00BE2C67">
        <w:t xml:space="preserve"> “[e]n 1990 </w:t>
      </w:r>
      <w:r>
        <w:t>[…</w:t>
      </w:r>
      <w:r w:rsidRPr="00BE2C67">
        <w:t>]</w:t>
      </w:r>
      <w:r>
        <w:rPr>
          <w:rFonts w:eastAsiaTheme="minorHAnsi" w:cs="Arial"/>
        </w:rPr>
        <w:t xml:space="preserve"> </w:t>
      </w:r>
      <w:proofErr w:type="spellStart"/>
      <w:r w:rsidRPr="00BE2C67">
        <w:rPr>
          <w:rFonts w:eastAsiaTheme="minorHAnsi" w:cs="Arial"/>
        </w:rPr>
        <w:t>fund</w:t>
      </w:r>
      <w:proofErr w:type="spellEnd"/>
      <w:r w:rsidRPr="00BE2C67">
        <w:rPr>
          <w:rFonts w:eastAsiaTheme="minorHAnsi" w:cs="Arial"/>
        </w:rPr>
        <w:t>[</w:t>
      </w:r>
      <w:proofErr w:type="spellStart"/>
      <w:r w:rsidRPr="00BE2C67">
        <w:rPr>
          <w:rFonts w:eastAsiaTheme="minorHAnsi" w:cs="Arial"/>
        </w:rPr>
        <w:t>ó</w:t>
      </w:r>
      <w:proofErr w:type="spellEnd"/>
      <w:r w:rsidRPr="00BE2C67">
        <w:rPr>
          <w:rFonts w:eastAsiaTheme="minorHAnsi" w:cs="Arial"/>
        </w:rPr>
        <w:t>]</w:t>
      </w:r>
      <w:r w:rsidRPr="00BE2C67">
        <w:rPr>
          <w:rFonts w:eastAsiaTheme="minorHAnsi" w:cs="Times New Roman"/>
        </w:rPr>
        <w:t xml:space="preserve"> </w:t>
      </w:r>
      <w:r>
        <w:rPr>
          <w:rFonts w:eastAsiaTheme="minorHAnsi" w:cs="Times New Roman"/>
        </w:rPr>
        <w:t xml:space="preserve">[la </w:t>
      </w:r>
      <w:r w:rsidRPr="00B54FB1">
        <w:rPr>
          <w:rFonts w:eastAsiaTheme="minorHAnsi"/>
        </w:rPr>
        <w:t>Federación Nacional de Trabajadores de la Empresa Nacional de Puertos S.A</w:t>
      </w:r>
      <w:r>
        <w:rPr>
          <w:rFonts w:eastAsiaTheme="minorHAnsi" w:cs="Times New Roman"/>
        </w:rPr>
        <w:t xml:space="preserve">] </w:t>
      </w:r>
      <w:r w:rsidRPr="00BE2C67">
        <w:rPr>
          <w:rFonts w:eastAsiaTheme="minorHAnsi" w:cs="Arial"/>
        </w:rPr>
        <w:t>FENTENAPU</w:t>
      </w:r>
      <w:r>
        <w:rPr>
          <w:rFonts w:eastAsiaTheme="minorHAnsi" w:cs="Arial"/>
        </w:rPr>
        <w:t>[,]</w:t>
      </w:r>
      <w:r w:rsidRPr="00BE2C67">
        <w:rPr>
          <w:rFonts w:eastAsiaTheme="minorHAnsi" w:cs="Arial"/>
        </w:rPr>
        <w:t xml:space="preserve"> ocupando la Secretaría de Organización”;</w:t>
      </w:r>
      <w:r w:rsidRPr="00BE2C67">
        <w:t xml:space="preserve"> “[e]n 1994 </w:t>
      </w:r>
      <w:proofErr w:type="spellStart"/>
      <w:r w:rsidRPr="00BE2C67">
        <w:t>asum</w:t>
      </w:r>
      <w:proofErr w:type="spellEnd"/>
      <w:r w:rsidRPr="00BE2C67">
        <w:t>[</w:t>
      </w:r>
      <w:proofErr w:type="spellStart"/>
      <w:r w:rsidRPr="00BE2C67">
        <w:t>ió</w:t>
      </w:r>
      <w:proofErr w:type="spellEnd"/>
      <w:r w:rsidRPr="00BE2C67">
        <w:t xml:space="preserve">] la Secretaría General de FENTENAPU”; “[fue] reelegido en la secretaría general de FENTENAPU en 1996, 1998, 2000, 2002, luego lo vuelven a elegir en 2006 hasta el 2008 donde </w:t>
      </w:r>
      <w:proofErr w:type="spellStart"/>
      <w:r w:rsidRPr="00BE2C67">
        <w:t>termin</w:t>
      </w:r>
      <w:proofErr w:type="spellEnd"/>
      <w:r>
        <w:t>[</w:t>
      </w:r>
      <w:proofErr w:type="spellStart"/>
      <w:r>
        <w:t>ó</w:t>
      </w:r>
      <w:proofErr w:type="spellEnd"/>
      <w:r>
        <w:t>]</w:t>
      </w:r>
      <w:r w:rsidRPr="00BE2C67">
        <w:t xml:space="preserve"> su carrera sindical portuaria”; </w:t>
      </w:r>
      <w:r>
        <w:t xml:space="preserve">y </w:t>
      </w:r>
      <w:r w:rsidRPr="00BE2C67">
        <w:t>“[l]</w:t>
      </w:r>
      <w:proofErr w:type="spellStart"/>
      <w:r w:rsidRPr="00BE2C67">
        <w:t>ogró</w:t>
      </w:r>
      <w:proofErr w:type="spellEnd"/>
      <w:r w:rsidRPr="00BE2C67">
        <w:t xml:space="preserve"> que FENTENAPU sea la única federación que pudo plantear una iniciativa legislativa con participación ciudadana y aprobada por el Congreso de la República y convertida en Ley”; y “</w:t>
      </w:r>
      <w:r w:rsidRPr="00BE2C67">
        <w:rPr>
          <w:rFonts w:eastAsiaTheme="minorHAnsi" w:cs="Arial"/>
        </w:rPr>
        <w:t>hoy asesora a</w:t>
      </w:r>
      <w:r w:rsidRPr="00BE2C67">
        <w:t xml:space="preserve"> </w:t>
      </w:r>
      <w:r w:rsidRPr="00BE2C67">
        <w:rPr>
          <w:rFonts w:eastAsiaTheme="minorHAnsi" w:cs="Arial"/>
        </w:rPr>
        <w:t>FENTENAPU”</w:t>
      </w:r>
      <w:r w:rsidRPr="00BE2C67">
        <w:rPr>
          <w:rStyle w:val="FootnoteReference"/>
          <w:rFonts w:eastAsiaTheme="minorHAnsi"/>
          <w:sz w:val="20"/>
          <w:szCs w:val="20"/>
        </w:rPr>
        <w:footnoteReference w:id="11"/>
      </w:r>
      <w:r w:rsidRPr="00BE2C67">
        <w:rPr>
          <w:rFonts w:eastAsiaTheme="minorHAnsi" w:cs="Arial"/>
        </w:rPr>
        <w:t xml:space="preserve">. Al respecto, en el litigio </w:t>
      </w:r>
      <w:r>
        <w:rPr>
          <w:rFonts w:eastAsiaTheme="minorHAnsi" w:cs="Arial"/>
        </w:rPr>
        <w:t xml:space="preserve">ante la Corte se ha alegado </w:t>
      </w:r>
      <w:r w:rsidRPr="00BE2C67">
        <w:t xml:space="preserve">que </w:t>
      </w:r>
      <w:r w:rsidRPr="00BE2C67">
        <w:rPr>
          <w:rFonts w:eastAsiaTheme="minorHAnsi"/>
        </w:rPr>
        <w:t xml:space="preserve">las </w:t>
      </w:r>
      <w:r>
        <w:rPr>
          <w:rFonts w:eastAsiaTheme="minorHAnsi"/>
        </w:rPr>
        <w:t>presuntas</w:t>
      </w:r>
      <w:r w:rsidRPr="00BE2C67">
        <w:rPr>
          <w:rFonts w:eastAsiaTheme="minorHAnsi"/>
        </w:rPr>
        <w:t xml:space="preserve"> víctimas cesadas por la ENAPU estaban sindicalizadas en el FENTENAPU, y que tras ser cesadas, dicha Federación inició acciones judiciales entre los años 1996 a 1998</w:t>
      </w:r>
      <w:r w:rsidRPr="00BE2C67">
        <w:t xml:space="preserve"> </w:t>
      </w:r>
      <w:r>
        <w:t xml:space="preserve">y </w:t>
      </w:r>
      <w:r w:rsidRPr="00BE2C67">
        <w:t xml:space="preserve">presentó </w:t>
      </w:r>
      <w:r>
        <w:t>una</w:t>
      </w:r>
      <w:r w:rsidRPr="00BE2C67">
        <w:t xml:space="preserve"> petición ante la Comisión Interamericana</w:t>
      </w:r>
      <w:r>
        <w:t xml:space="preserve"> </w:t>
      </w:r>
      <w:r w:rsidRPr="00BE2C67">
        <w:t>el 2 de noviembre 1998 por el cese colectivo de trabajadores de ENAPU</w:t>
      </w:r>
      <w:r>
        <w:t>, siendo</w:t>
      </w:r>
      <w:r w:rsidRPr="00BE2C67">
        <w:t xml:space="preserve"> recién el </w:t>
      </w:r>
      <w:r w:rsidRPr="00BE2C67">
        <w:rPr>
          <w:rFonts w:eastAsiaTheme="minorHAnsi"/>
        </w:rPr>
        <w:t>16 de marzo de 2001</w:t>
      </w:r>
      <w:r>
        <w:rPr>
          <w:rFonts w:eastAsiaTheme="minorHAnsi"/>
        </w:rPr>
        <w:t xml:space="preserve"> que</w:t>
      </w:r>
      <w:r w:rsidRPr="00BE2C67">
        <w:rPr>
          <w:rFonts w:eastAsiaTheme="minorHAnsi"/>
        </w:rPr>
        <w:t xml:space="preserve"> la </w:t>
      </w:r>
      <w:r w:rsidRPr="00BE2C67">
        <w:t>interviniente común Carolina Loa</w:t>
      </w:r>
      <w:r w:rsidR="000A58CC">
        <w:t>y</w:t>
      </w:r>
      <w:r w:rsidRPr="00BE2C67">
        <w:t>za Tamayo</w:t>
      </w:r>
      <w:r w:rsidRPr="00BE2C67">
        <w:rPr>
          <w:rFonts w:eastAsiaTheme="minorHAnsi"/>
        </w:rPr>
        <w:t xml:space="preserve"> asumió la representación legal de los peticionarios</w:t>
      </w:r>
      <w:r w:rsidRPr="00BE2C67">
        <w:t>.</w:t>
      </w:r>
      <w:r w:rsidRPr="00BE2C67">
        <w:rPr>
          <w:b/>
          <w:bCs/>
        </w:rPr>
        <w:t xml:space="preserve"> </w:t>
      </w:r>
      <w:r w:rsidRPr="00BE2C67">
        <w:t xml:space="preserve">En consecuencia, debido a la trayectoria del señor </w:t>
      </w:r>
      <w:r w:rsidRPr="00B54FB1">
        <w:rPr>
          <w:rFonts w:eastAsiaTheme="minorHAnsi" w:cs="Times New Roman"/>
        </w:rPr>
        <w:t>Granadino Farías</w:t>
      </w:r>
      <w:r w:rsidRPr="00BE2C67">
        <w:t xml:space="preserve"> como Secretario General de la FENTENAPU en</w:t>
      </w:r>
      <w:r w:rsidR="000A58CC">
        <w:t>tre</w:t>
      </w:r>
      <w:r w:rsidRPr="00BE2C67">
        <w:t xml:space="preserve"> los años 1996 y 2002, y teniendo en cuenta que las presuntas víctimas hab</w:t>
      </w:r>
      <w:r>
        <w:t>r</w:t>
      </w:r>
      <w:r w:rsidRPr="00BE2C67">
        <w:t xml:space="preserve">ían sido miembros de dicha Federación, la cual </w:t>
      </w:r>
      <w:r>
        <w:t xml:space="preserve">habría tenido </w:t>
      </w:r>
      <w:r w:rsidRPr="00BE2C67">
        <w:t>un papel activo en los procedimientos a nivel interno y ante el sistema interamericano en el período indicado, esta Presidencia considera que es procedente la recusación planteada en su contra.</w:t>
      </w:r>
    </w:p>
    <w:p w:rsidR="00D43F68" w:rsidRDefault="00D43F68" w:rsidP="00D43F68">
      <w:pPr>
        <w:pStyle w:val="ListParagraph"/>
        <w:numPr>
          <w:ilvl w:val="0"/>
          <w:numId w:val="0"/>
        </w:numPr>
        <w:spacing w:before="0"/>
        <w:rPr>
          <w:rFonts w:eastAsiaTheme="minorHAnsi" w:cs="Times New Roman"/>
        </w:rPr>
      </w:pPr>
    </w:p>
    <w:p w:rsidR="00D43F68" w:rsidRPr="00D569A6" w:rsidRDefault="00D43F68" w:rsidP="00D43F68">
      <w:pPr>
        <w:pStyle w:val="ListParagraph"/>
        <w:numPr>
          <w:ilvl w:val="0"/>
          <w:numId w:val="3"/>
        </w:numPr>
        <w:spacing w:before="0"/>
      </w:pPr>
      <w:r w:rsidRPr="003E4621">
        <w:rPr>
          <w:rFonts w:eastAsiaTheme="minorHAnsi" w:cs="Times New Roman"/>
        </w:rPr>
        <w:t xml:space="preserve">En relación con la </w:t>
      </w:r>
      <w:r w:rsidRPr="003E4621">
        <w:t xml:space="preserve">recusación planteada en contra del señor </w:t>
      </w:r>
      <w:r w:rsidRPr="003E4621">
        <w:rPr>
          <w:rFonts w:eastAsiaTheme="minorHAnsi" w:cs="Times New Roman"/>
        </w:rPr>
        <w:t xml:space="preserve">Manuel Enrique Ernesto </w:t>
      </w:r>
      <w:proofErr w:type="spellStart"/>
      <w:r w:rsidRPr="003E4621">
        <w:rPr>
          <w:rFonts w:eastAsiaTheme="minorHAnsi" w:cs="Times New Roman"/>
        </w:rPr>
        <w:t>Dammert</w:t>
      </w:r>
      <w:proofErr w:type="spellEnd"/>
      <w:r w:rsidRPr="003E4621">
        <w:rPr>
          <w:rFonts w:eastAsiaTheme="minorHAnsi" w:cs="Times New Roman"/>
        </w:rPr>
        <w:t xml:space="preserve"> Ego Aguirre, </w:t>
      </w:r>
      <w:r w:rsidRPr="003E4621">
        <w:t>se desprende de su hoja de vida que en el año “</w:t>
      </w:r>
      <w:r w:rsidRPr="00D569A6">
        <w:t>2007 [fue] nombrado por la Federación Nacional de Trabajadores Portuarios (</w:t>
      </w:r>
      <w:r w:rsidR="00C75D6D" w:rsidRPr="00D569A6">
        <w:t>[FENTENAPU]</w:t>
      </w:r>
      <w:r w:rsidRPr="00D569A6">
        <w:t>), su representante ante la Autoridad Portuaria Nacional (APN)” y “[f]</w:t>
      </w:r>
      <w:proofErr w:type="spellStart"/>
      <w:r w:rsidRPr="00D569A6">
        <w:t>undament</w:t>
      </w:r>
      <w:proofErr w:type="spellEnd"/>
      <w:r w:rsidRPr="00D569A6">
        <w:t>[</w:t>
      </w:r>
      <w:proofErr w:type="spellStart"/>
      <w:r w:rsidRPr="00D569A6">
        <w:t>ó</w:t>
      </w:r>
      <w:proofErr w:type="spellEnd"/>
      <w:r w:rsidRPr="00D569A6">
        <w:t xml:space="preserve">] las ilegalidades en la privatización de Paita y de </w:t>
      </w:r>
      <w:proofErr w:type="spellStart"/>
      <w:r w:rsidRPr="00D569A6">
        <w:t>Enapu</w:t>
      </w:r>
      <w:proofErr w:type="spellEnd"/>
      <w:r w:rsidRPr="00D569A6">
        <w:t xml:space="preserve">-Callao, así como la destrucción del sistema nacional portuario”. </w:t>
      </w:r>
      <w:r w:rsidRPr="003E4621">
        <w:rPr>
          <w:rFonts w:eastAsiaTheme="minorHAnsi" w:cs="Times New Roman"/>
        </w:rPr>
        <w:t xml:space="preserve">Al respecto, </w:t>
      </w:r>
      <w:r w:rsidRPr="00D569A6">
        <w:t xml:space="preserve">si bien el Estado señaló que </w:t>
      </w:r>
      <w:r w:rsidRPr="003E4621">
        <w:rPr>
          <w:rFonts w:eastAsiaTheme="minorHAnsi" w:cs="Times New Roman"/>
        </w:rPr>
        <w:t xml:space="preserve">el señor </w:t>
      </w:r>
      <w:proofErr w:type="spellStart"/>
      <w:r w:rsidRPr="003E4621">
        <w:rPr>
          <w:rFonts w:eastAsiaTheme="minorHAnsi" w:cs="Times New Roman"/>
        </w:rPr>
        <w:t>Dammert</w:t>
      </w:r>
      <w:proofErr w:type="spellEnd"/>
      <w:r w:rsidRPr="003E4621">
        <w:rPr>
          <w:rFonts w:eastAsiaTheme="minorHAnsi" w:cs="Times New Roman"/>
        </w:rPr>
        <w:t xml:space="preserve"> Ego Aguirre </w:t>
      </w:r>
      <w:r w:rsidRPr="00D569A6">
        <w:t>fue</w:t>
      </w:r>
      <w:r w:rsidRPr="003E4621">
        <w:rPr>
          <w:rFonts w:eastAsiaTheme="minorHAnsi" w:cs="Times New Roman"/>
        </w:rPr>
        <w:t xml:space="preserve"> representante de </w:t>
      </w:r>
      <w:r w:rsidRPr="003E4621">
        <w:t>FENTENAPU</w:t>
      </w:r>
      <w:r w:rsidRPr="003E4621">
        <w:rPr>
          <w:rFonts w:eastAsiaTheme="minorHAnsi" w:cs="Times New Roman"/>
        </w:rPr>
        <w:t xml:space="preserve"> en el año 200</w:t>
      </w:r>
      <w:r w:rsidRPr="00D569A6">
        <w:rPr>
          <w:rFonts w:eastAsiaTheme="minorHAnsi" w:cs="Times New Roman"/>
        </w:rPr>
        <w:t xml:space="preserve">7 y su asesor entre los años 2000 y 2008, </w:t>
      </w:r>
      <w:r w:rsidRPr="00D569A6">
        <w:t>esta Presidencia no tiene claridad sobre</w:t>
      </w:r>
      <w:r w:rsidRPr="00D569A6">
        <w:rPr>
          <w:rFonts w:eastAsiaTheme="minorHAnsi" w:cs="Times New Roman"/>
        </w:rPr>
        <w:t xml:space="preserve"> el grado de vinculación existente entre el perito propuesto </w:t>
      </w:r>
      <w:r w:rsidRPr="00D569A6">
        <w:rPr>
          <w:rFonts w:eastAsiaTheme="minorHAnsi" w:cs="Arial"/>
        </w:rPr>
        <w:t xml:space="preserve">y </w:t>
      </w:r>
      <w:r w:rsidRPr="00D569A6">
        <w:rPr>
          <w:rFonts w:eastAsiaTheme="minorHAnsi" w:cs="Times New Roman"/>
        </w:rPr>
        <w:t>las presuntas víctimas, y tampoco de qué manera dicha vinculación afectaría su imparcialidad y/</w:t>
      </w:r>
      <w:proofErr w:type="spellStart"/>
      <w:r w:rsidRPr="00D569A6">
        <w:rPr>
          <w:rFonts w:eastAsiaTheme="minorHAnsi" w:cs="Times New Roman"/>
        </w:rPr>
        <w:t>o</w:t>
      </w:r>
      <w:proofErr w:type="spellEnd"/>
      <w:r w:rsidRPr="00D569A6">
        <w:rPr>
          <w:rFonts w:eastAsiaTheme="minorHAnsi" w:cs="Times New Roman"/>
        </w:rPr>
        <w:t xml:space="preserve"> objetividad</w:t>
      </w:r>
      <w:r w:rsidR="00C75D6D" w:rsidRPr="00D569A6">
        <w:rPr>
          <w:rFonts w:eastAsiaTheme="minorHAnsi" w:cs="Times New Roman"/>
        </w:rPr>
        <w:t>. P</w:t>
      </w:r>
      <w:r w:rsidRPr="00D569A6">
        <w:t xml:space="preserve">or ejemplo, no queda claro si hizo parte del equipo que asesoró a la referida Federación en la </w:t>
      </w:r>
      <w:r w:rsidRPr="00D569A6">
        <w:lastRenderedPageBreak/>
        <w:t>petición y defensa del caso durante el trámite ante la Comisión Interamericana o a nivel interno.</w:t>
      </w:r>
      <w:r w:rsidRPr="00D569A6">
        <w:rPr>
          <w:rFonts w:eastAsiaTheme="minorHAnsi" w:cs="Times New Roman"/>
        </w:rPr>
        <w:t xml:space="preserve"> El Presidente considera que</w:t>
      </w:r>
      <w:r w:rsidR="008A5647" w:rsidRPr="00D569A6">
        <w:rPr>
          <w:rFonts w:eastAsiaTheme="minorHAnsi" w:cs="Times New Roman"/>
        </w:rPr>
        <w:t>,</w:t>
      </w:r>
      <w:r w:rsidRPr="00D569A6">
        <w:rPr>
          <w:rFonts w:eastAsiaTheme="minorHAnsi" w:cs="Times New Roman"/>
        </w:rPr>
        <w:t xml:space="preserve"> a</w:t>
      </w:r>
      <w:r w:rsidRPr="00D569A6">
        <w:t>nte la recusación planteada en su contra, el perito tenía la carga de desvirtuar la alegada falta de objetividad y/o imparcialidad señalada por el Estado</w:t>
      </w:r>
      <w:r w:rsidR="00C75D6D" w:rsidRPr="00D569A6">
        <w:t>,</w:t>
      </w:r>
      <w:r w:rsidRPr="00D569A6">
        <w:t xml:space="preserve"> en </w:t>
      </w:r>
      <w:r w:rsidR="00C75D6D" w:rsidRPr="00D569A6">
        <w:t xml:space="preserve">los </w:t>
      </w:r>
      <w:r w:rsidRPr="00D569A6">
        <w:t>términos del artículo 48.3 del Reglamento de la Corte</w:t>
      </w:r>
      <w:r w:rsidRPr="00D569A6">
        <w:rPr>
          <w:rFonts w:eastAsiaTheme="minorHAnsi" w:cs="Times New Roman"/>
        </w:rPr>
        <w:t xml:space="preserve">, sin embargo, el señor </w:t>
      </w:r>
      <w:proofErr w:type="spellStart"/>
      <w:r w:rsidRPr="00D569A6">
        <w:rPr>
          <w:rFonts w:eastAsiaTheme="minorHAnsi" w:cs="Times New Roman"/>
        </w:rPr>
        <w:t>Dammert</w:t>
      </w:r>
      <w:proofErr w:type="spellEnd"/>
      <w:r w:rsidRPr="00D569A6">
        <w:rPr>
          <w:rFonts w:eastAsiaTheme="minorHAnsi" w:cs="Times New Roman"/>
        </w:rPr>
        <w:t xml:space="preserve"> Ego Aguirre no presentó </w:t>
      </w:r>
      <w:r w:rsidRPr="00D569A6">
        <w:t>observaciones al respecto (</w:t>
      </w:r>
      <w:r w:rsidRPr="00D569A6">
        <w:rPr>
          <w:i/>
        </w:rPr>
        <w:t>supra</w:t>
      </w:r>
      <w:r w:rsidRPr="00D569A6">
        <w:t xml:space="preserve"> </w:t>
      </w:r>
      <w:r w:rsidR="009055EB" w:rsidRPr="00D569A6">
        <w:t>Considerando 10</w:t>
      </w:r>
      <w:r w:rsidRPr="00D569A6">
        <w:t>). Por ende y dado que no fue desvirtuada la recusación presentada contra su participación como perito en el presente caso, corresponde declararla procedente.</w:t>
      </w:r>
    </w:p>
    <w:p w:rsidR="00D43F68" w:rsidRPr="00D569A6" w:rsidRDefault="00D43F68" w:rsidP="00BE2C67">
      <w:pPr>
        <w:spacing w:before="0" w:after="0"/>
        <w:ind w:left="900"/>
        <w:rPr>
          <w:i/>
          <w:szCs w:val="20"/>
        </w:rPr>
      </w:pPr>
    </w:p>
    <w:p w:rsidR="004D225E" w:rsidRPr="00D569A6" w:rsidRDefault="00464042" w:rsidP="00A65CE0">
      <w:pPr>
        <w:spacing w:before="0" w:after="0"/>
        <w:ind w:left="900"/>
        <w:rPr>
          <w:i/>
          <w:szCs w:val="20"/>
        </w:rPr>
      </w:pPr>
      <w:r w:rsidRPr="00D569A6">
        <w:rPr>
          <w:i/>
          <w:szCs w:val="20"/>
        </w:rPr>
        <w:t>B.</w:t>
      </w:r>
      <w:r w:rsidR="00C40455" w:rsidRPr="00D569A6">
        <w:rPr>
          <w:i/>
          <w:szCs w:val="20"/>
        </w:rPr>
        <w:t>3</w:t>
      </w:r>
      <w:r w:rsidRPr="00D569A6">
        <w:rPr>
          <w:i/>
          <w:szCs w:val="20"/>
        </w:rPr>
        <w:t xml:space="preserve">. </w:t>
      </w:r>
      <w:r w:rsidR="00A65CE0" w:rsidRPr="00D569A6">
        <w:rPr>
          <w:i/>
          <w:szCs w:val="20"/>
        </w:rPr>
        <w:t>Objeciones y observaciones del Estado a las pruebas periciales ofrecidas</w:t>
      </w:r>
      <w:r w:rsidR="00A65CE0" w:rsidRPr="00D569A6" w:rsidDel="00A65CE0">
        <w:rPr>
          <w:i/>
          <w:szCs w:val="20"/>
        </w:rPr>
        <w:t xml:space="preserve"> </w:t>
      </w:r>
    </w:p>
    <w:p w:rsidR="00A65CE0" w:rsidRPr="00D569A6" w:rsidRDefault="00A65CE0" w:rsidP="00D569A6">
      <w:pPr>
        <w:spacing w:before="0" w:after="0"/>
        <w:ind w:left="907"/>
        <w:rPr>
          <w:rFonts w:eastAsiaTheme="minorHAnsi"/>
        </w:rPr>
      </w:pPr>
    </w:p>
    <w:p w:rsidR="001C5037" w:rsidRPr="001F6631" w:rsidRDefault="00C94F5F" w:rsidP="00D569A6">
      <w:pPr>
        <w:pStyle w:val="ListParagraph"/>
        <w:numPr>
          <w:ilvl w:val="0"/>
          <w:numId w:val="3"/>
        </w:numPr>
        <w:spacing w:before="0"/>
        <w:rPr>
          <w:rFonts w:cs="Times New Roman"/>
        </w:rPr>
      </w:pPr>
      <w:r w:rsidRPr="00D569A6">
        <w:t xml:space="preserve">La interviniente común </w:t>
      </w:r>
      <w:r w:rsidRPr="00D569A6">
        <w:rPr>
          <w:spacing w:val="-2"/>
          <w:lang w:val="es-ES"/>
        </w:rPr>
        <w:t>Carolina Loayza Tamayo</w:t>
      </w:r>
      <w:r w:rsidRPr="00D569A6">
        <w:rPr>
          <w:spacing w:val="-2"/>
          <w:lang w:val="es-AR"/>
        </w:rPr>
        <w:t xml:space="preserve"> </w:t>
      </w:r>
      <w:r w:rsidR="00A65CE0" w:rsidRPr="00D569A6">
        <w:rPr>
          <w:spacing w:val="-2"/>
          <w:lang w:val="es-AR"/>
        </w:rPr>
        <w:t xml:space="preserve">también </w:t>
      </w:r>
      <w:r w:rsidRPr="00D569A6">
        <w:rPr>
          <w:spacing w:val="-2"/>
          <w:lang w:val="es-AR"/>
        </w:rPr>
        <w:t xml:space="preserve">ofreció </w:t>
      </w:r>
      <w:r w:rsidR="006F6D58" w:rsidRPr="00D569A6">
        <w:rPr>
          <w:rFonts w:eastAsiaTheme="minorHAnsi"/>
        </w:rPr>
        <w:t xml:space="preserve">los dictámenes periciales </w:t>
      </w:r>
      <w:r w:rsidR="00464042" w:rsidRPr="00D569A6">
        <w:rPr>
          <w:rFonts w:eastAsiaTheme="minorHAnsi"/>
        </w:rPr>
        <w:t xml:space="preserve">de </w:t>
      </w:r>
      <w:r w:rsidRPr="00D569A6">
        <w:rPr>
          <w:rFonts w:eastAsiaTheme="minorHAnsi"/>
        </w:rPr>
        <w:t xml:space="preserve">Jorge </w:t>
      </w:r>
      <w:r w:rsidR="00FB1BCA" w:rsidRPr="00D569A6">
        <w:rPr>
          <w:rFonts w:eastAsiaTheme="minorHAnsi"/>
        </w:rPr>
        <w:t xml:space="preserve">Eusebio </w:t>
      </w:r>
      <w:r w:rsidRPr="00D569A6">
        <w:rPr>
          <w:rFonts w:eastAsiaTheme="minorHAnsi"/>
        </w:rPr>
        <w:t xml:space="preserve">Manco </w:t>
      </w:r>
      <w:proofErr w:type="spellStart"/>
      <w:r w:rsidRPr="00D569A6">
        <w:rPr>
          <w:rFonts w:eastAsiaTheme="minorHAnsi"/>
        </w:rPr>
        <w:t>Zaconetti</w:t>
      </w:r>
      <w:proofErr w:type="spellEnd"/>
      <w:r w:rsidR="00A30F28" w:rsidRPr="003E4621">
        <w:rPr>
          <w:rStyle w:val="FootnoteReference"/>
          <w:rFonts w:eastAsiaTheme="minorHAnsi"/>
          <w:sz w:val="20"/>
          <w:szCs w:val="20"/>
        </w:rPr>
        <w:footnoteReference w:id="12"/>
      </w:r>
      <w:r w:rsidR="00D125C4" w:rsidRPr="003E4621">
        <w:rPr>
          <w:rFonts w:eastAsiaTheme="minorHAnsi"/>
        </w:rPr>
        <w:t>,</w:t>
      </w:r>
      <w:r w:rsidR="006F6D58" w:rsidRPr="0007213D">
        <w:rPr>
          <w:rFonts w:eastAsiaTheme="minorHAnsi"/>
        </w:rPr>
        <w:t xml:space="preserve"> Jorge </w:t>
      </w:r>
      <w:r w:rsidR="00FB1BCA" w:rsidRPr="0007213D">
        <w:rPr>
          <w:rFonts w:eastAsiaTheme="minorHAnsi"/>
        </w:rPr>
        <w:t xml:space="preserve">Guido </w:t>
      </w:r>
      <w:proofErr w:type="spellStart"/>
      <w:r w:rsidR="006F6D58" w:rsidRPr="0007213D">
        <w:rPr>
          <w:rFonts w:eastAsiaTheme="minorHAnsi"/>
        </w:rPr>
        <w:t>Bernedo</w:t>
      </w:r>
      <w:proofErr w:type="spellEnd"/>
      <w:r w:rsidR="006F6D58" w:rsidRPr="0007213D">
        <w:rPr>
          <w:rFonts w:eastAsiaTheme="minorHAnsi"/>
        </w:rPr>
        <w:t xml:space="preserve"> Alvarado</w:t>
      </w:r>
      <w:r w:rsidR="00A30F28" w:rsidRPr="003E4621">
        <w:rPr>
          <w:rStyle w:val="FootnoteReference"/>
          <w:rFonts w:eastAsiaTheme="minorHAnsi"/>
          <w:sz w:val="20"/>
          <w:szCs w:val="20"/>
        </w:rPr>
        <w:footnoteReference w:id="13"/>
      </w:r>
      <w:r w:rsidR="006F6D58" w:rsidRPr="003E4621">
        <w:rPr>
          <w:rFonts w:eastAsiaTheme="minorHAnsi"/>
        </w:rPr>
        <w:t xml:space="preserve"> </w:t>
      </w:r>
      <w:r w:rsidR="00D125C4" w:rsidRPr="0007213D">
        <w:rPr>
          <w:rFonts w:eastAsiaTheme="minorHAnsi"/>
        </w:rPr>
        <w:t>y</w:t>
      </w:r>
      <w:r w:rsidR="00A30F28" w:rsidRPr="0007213D">
        <w:rPr>
          <w:rFonts w:eastAsiaTheme="minorHAnsi" w:cs="Times New Roman"/>
        </w:rPr>
        <w:t xml:space="preserve"> </w:t>
      </w:r>
      <w:r w:rsidR="002E71FE" w:rsidRPr="0007213D">
        <w:rPr>
          <w:rFonts w:eastAsiaTheme="minorHAnsi"/>
        </w:rPr>
        <w:t xml:space="preserve">Christian </w:t>
      </w:r>
      <w:proofErr w:type="spellStart"/>
      <w:r w:rsidR="002E71FE" w:rsidRPr="0007213D">
        <w:rPr>
          <w:rFonts w:eastAsiaTheme="minorHAnsi"/>
        </w:rPr>
        <w:t>Courtis</w:t>
      </w:r>
      <w:proofErr w:type="spellEnd"/>
      <w:r w:rsidR="00115B7D" w:rsidRPr="003E4621">
        <w:rPr>
          <w:rStyle w:val="FootnoteReference"/>
          <w:rFonts w:eastAsiaTheme="minorHAnsi"/>
          <w:sz w:val="20"/>
          <w:szCs w:val="20"/>
        </w:rPr>
        <w:footnoteReference w:id="14"/>
      </w:r>
      <w:r w:rsidR="00115B7D" w:rsidRPr="003E4621">
        <w:rPr>
          <w:rFonts w:eastAsiaTheme="minorHAnsi"/>
        </w:rPr>
        <w:t>.</w:t>
      </w:r>
      <w:r w:rsidR="002E71FE" w:rsidRPr="0007213D">
        <w:rPr>
          <w:rFonts w:eastAsiaTheme="minorHAnsi"/>
        </w:rPr>
        <w:t xml:space="preserve"> </w:t>
      </w:r>
      <w:r w:rsidR="00423528" w:rsidRPr="0007213D">
        <w:rPr>
          <w:rFonts w:eastAsiaTheme="minorHAnsi" w:cs="Times New Roman"/>
        </w:rPr>
        <w:t>El Estado sostuvo que “los objetos de los</w:t>
      </w:r>
      <w:r w:rsidR="00423528" w:rsidRPr="0007213D">
        <w:rPr>
          <w:rFonts w:eastAsiaTheme="minorHAnsi"/>
          <w:b/>
        </w:rPr>
        <w:t xml:space="preserve"> </w:t>
      </w:r>
      <w:r w:rsidR="00423528" w:rsidRPr="0007213D">
        <w:rPr>
          <w:rFonts w:eastAsiaTheme="minorHAnsi" w:cs="Times New Roman"/>
        </w:rPr>
        <w:t xml:space="preserve">peritajes propuestos son </w:t>
      </w:r>
      <w:r w:rsidR="00423528" w:rsidRPr="00FB288B">
        <w:rPr>
          <w:rFonts w:eastAsiaTheme="minorHAnsi" w:cs="Times New Roman"/>
        </w:rPr>
        <w:t>bastante amplios, no solo porque se hace referencia a</w:t>
      </w:r>
      <w:r w:rsidR="00423528" w:rsidRPr="00D569A6">
        <w:rPr>
          <w:rFonts w:eastAsiaTheme="minorHAnsi"/>
          <w:b/>
        </w:rPr>
        <w:t xml:space="preserve"> </w:t>
      </w:r>
      <w:r w:rsidR="00423528" w:rsidRPr="00D569A6">
        <w:rPr>
          <w:rFonts w:eastAsiaTheme="minorHAnsi" w:cs="Times New Roman"/>
        </w:rPr>
        <w:t>varios temas de manera general</w:t>
      </w:r>
      <w:r w:rsidR="00BA56DC" w:rsidRPr="00D569A6">
        <w:rPr>
          <w:rFonts w:eastAsiaTheme="minorHAnsi" w:cs="Times New Roman"/>
        </w:rPr>
        <w:t xml:space="preserve"> […] </w:t>
      </w:r>
      <w:r w:rsidR="00423528" w:rsidRPr="00D569A6">
        <w:rPr>
          <w:rFonts w:eastAsiaTheme="minorHAnsi" w:cs="Times New Roman"/>
        </w:rPr>
        <w:t>sino tambi</w:t>
      </w:r>
      <w:r w:rsidR="00BA56DC" w:rsidRPr="00D569A6">
        <w:rPr>
          <w:rFonts w:eastAsiaTheme="minorHAnsi" w:cs="Times New Roman"/>
        </w:rPr>
        <w:t>é</w:t>
      </w:r>
      <w:r w:rsidR="00423528" w:rsidRPr="00D569A6">
        <w:rPr>
          <w:rFonts w:eastAsiaTheme="minorHAnsi" w:cs="Times New Roman"/>
        </w:rPr>
        <w:t xml:space="preserve">n por </w:t>
      </w:r>
      <w:r w:rsidR="00BA56DC" w:rsidRPr="00D569A6">
        <w:rPr>
          <w:rFonts w:eastAsiaTheme="minorHAnsi" w:cs="Times New Roman"/>
        </w:rPr>
        <w:t>l</w:t>
      </w:r>
      <w:r w:rsidR="00423528" w:rsidRPr="00D569A6">
        <w:rPr>
          <w:rFonts w:eastAsiaTheme="minorHAnsi" w:cs="Times New Roman"/>
        </w:rPr>
        <w:t xml:space="preserve">a forma en </w:t>
      </w:r>
      <w:r w:rsidR="00BA56DC" w:rsidRPr="00D569A6">
        <w:rPr>
          <w:rFonts w:eastAsiaTheme="minorHAnsi" w:cs="Times New Roman"/>
        </w:rPr>
        <w:t>l</w:t>
      </w:r>
      <w:r w:rsidR="00423528" w:rsidRPr="00D569A6">
        <w:rPr>
          <w:rFonts w:eastAsiaTheme="minorHAnsi" w:cs="Times New Roman"/>
        </w:rPr>
        <w:t>a que han sido planteados</w:t>
      </w:r>
      <w:r w:rsidR="00BA56DC" w:rsidRPr="00D569A6">
        <w:rPr>
          <w:rFonts w:eastAsiaTheme="minorHAnsi" w:cs="Times New Roman"/>
        </w:rPr>
        <w:t>”</w:t>
      </w:r>
      <w:r w:rsidR="00423528" w:rsidRPr="00D569A6">
        <w:rPr>
          <w:rFonts w:eastAsiaTheme="minorHAnsi" w:cs="Times New Roman"/>
        </w:rPr>
        <w:t>. En</w:t>
      </w:r>
      <w:r w:rsidR="00BA56DC" w:rsidRPr="00D569A6">
        <w:rPr>
          <w:rFonts w:eastAsiaTheme="minorHAnsi" w:cs="Times New Roman"/>
        </w:rPr>
        <w:t xml:space="preserve"> </w:t>
      </w:r>
      <w:r w:rsidR="00423528" w:rsidRPr="00D569A6">
        <w:rPr>
          <w:rFonts w:eastAsiaTheme="minorHAnsi" w:cs="Times New Roman"/>
        </w:rPr>
        <w:t>ese sentido, solicit</w:t>
      </w:r>
      <w:r w:rsidR="00BA56DC" w:rsidRPr="00D569A6">
        <w:rPr>
          <w:rFonts w:eastAsiaTheme="minorHAnsi" w:cs="Times New Roman"/>
        </w:rPr>
        <w:t>ó</w:t>
      </w:r>
      <w:r w:rsidR="00423528" w:rsidRPr="00D569A6">
        <w:rPr>
          <w:rFonts w:eastAsiaTheme="minorHAnsi" w:cs="Times New Roman"/>
        </w:rPr>
        <w:t xml:space="preserve"> a </w:t>
      </w:r>
      <w:r w:rsidR="00BA56DC" w:rsidRPr="00D569A6">
        <w:rPr>
          <w:rFonts w:eastAsiaTheme="minorHAnsi" w:cs="Times New Roman"/>
        </w:rPr>
        <w:t>l</w:t>
      </w:r>
      <w:r w:rsidR="00423528" w:rsidRPr="00D569A6">
        <w:rPr>
          <w:rFonts w:eastAsiaTheme="minorHAnsi" w:cs="Times New Roman"/>
        </w:rPr>
        <w:t>a Corte que aclare el objeto de</w:t>
      </w:r>
      <w:r w:rsidR="00BA56DC" w:rsidRPr="00D569A6">
        <w:rPr>
          <w:rFonts w:eastAsiaTheme="minorHAnsi" w:cs="Times New Roman"/>
        </w:rPr>
        <w:t xml:space="preserve"> </w:t>
      </w:r>
      <w:r w:rsidR="00423528" w:rsidRPr="00D569A6">
        <w:rPr>
          <w:rFonts w:eastAsiaTheme="minorHAnsi" w:cs="Times New Roman"/>
        </w:rPr>
        <w:t>l</w:t>
      </w:r>
      <w:r w:rsidR="00BA56DC" w:rsidRPr="00D569A6">
        <w:rPr>
          <w:rFonts w:eastAsiaTheme="minorHAnsi" w:cs="Times New Roman"/>
        </w:rPr>
        <w:t>os</w:t>
      </w:r>
      <w:r w:rsidR="00423528" w:rsidRPr="00D569A6">
        <w:rPr>
          <w:rFonts w:eastAsiaTheme="minorHAnsi" w:cs="Times New Roman"/>
        </w:rPr>
        <w:t xml:space="preserve"> </w:t>
      </w:r>
      <w:r w:rsidR="00423528" w:rsidRPr="003200AB">
        <w:rPr>
          <w:rFonts w:eastAsiaTheme="minorHAnsi" w:cs="Times New Roman"/>
        </w:rPr>
        <w:t>peritaje</w:t>
      </w:r>
      <w:r w:rsidR="00BA56DC" w:rsidRPr="003200AB">
        <w:rPr>
          <w:rFonts w:eastAsiaTheme="minorHAnsi" w:cs="Times New Roman"/>
        </w:rPr>
        <w:t xml:space="preserve">s </w:t>
      </w:r>
      <w:r w:rsidR="00423528" w:rsidRPr="003200AB">
        <w:rPr>
          <w:rFonts w:eastAsiaTheme="minorHAnsi" w:cs="Times New Roman"/>
        </w:rPr>
        <w:t xml:space="preserve">y que, a su vez, los centre en los hechos del caso en concreto, </w:t>
      </w:r>
      <w:r w:rsidR="00BA56DC" w:rsidRPr="003200AB">
        <w:rPr>
          <w:rFonts w:eastAsiaTheme="minorHAnsi" w:cs="Times New Roman"/>
        </w:rPr>
        <w:t>“</w:t>
      </w:r>
      <w:r w:rsidR="00423528" w:rsidRPr="003200AB">
        <w:rPr>
          <w:rFonts w:eastAsiaTheme="minorHAnsi" w:cs="Times New Roman"/>
        </w:rPr>
        <w:t xml:space="preserve">pues los </w:t>
      </w:r>
      <w:r w:rsidR="00BA56DC" w:rsidRPr="003200AB">
        <w:rPr>
          <w:rFonts w:eastAsiaTheme="minorHAnsi" w:cs="Times New Roman"/>
        </w:rPr>
        <w:t>términos</w:t>
      </w:r>
      <w:r w:rsidR="00423528" w:rsidRPr="003200AB">
        <w:rPr>
          <w:rFonts w:eastAsiaTheme="minorHAnsi" w:cs="Times New Roman"/>
        </w:rPr>
        <w:t xml:space="preserve"> en</w:t>
      </w:r>
      <w:r w:rsidR="00BA56DC" w:rsidRPr="003200AB">
        <w:rPr>
          <w:rFonts w:eastAsiaTheme="minorHAnsi" w:cs="Times New Roman"/>
        </w:rPr>
        <w:t xml:space="preserve"> </w:t>
      </w:r>
      <w:r w:rsidR="00423528" w:rsidRPr="003200AB">
        <w:rPr>
          <w:rFonts w:eastAsiaTheme="minorHAnsi" w:cs="Times New Roman"/>
        </w:rPr>
        <w:t>los cuales ha</w:t>
      </w:r>
      <w:r w:rsidR="00BA56DC" w:rsidRPr="003200AB">
        <w:rPr>
          <w:rFonts w:eastAsiaTheme="minorHAnsi" w:cs="Times New Roman"/>
        </w:rPr>
        <w:t>[n]</w:t>
      </w:r>
      <w:r w:rsidR="00423528" w:rsidRPr="003200AB">
        <w:rPr>
          <w:rFonts w:eastAsiaTheme="minorHAnsi" w:cs="Times New Roman"/>
        </w:rPr>
        <w:t xml:space="preserve"> sido redactados </w:t>
      </w:r>
      <w:proofErr w:type="gramStart"/>
      <w:r w:rsidR="00423528" w:rsidRPr="003200AB">
        <w:rPr>
          <w:rFonts w:eastAsiaTheme="minorHAnsi" w:cs="Times New Roman"/>
        </w:rPr>
        <w:t>s</w:t>
      </w:r>
      <w:r w:rsidR="00BA56DC" w:rsidRPr="003200AB">
        <w:rPr>
          <w:rFonts w:eastAsiaTheme="minorHAnsi" w:cs="Times New Roman"/>
        </w:rPr>
        <w:t>[</w:t>
      </w:r>
      <w:proofErr w:type="spellStart"/>
      <w:proofErr w:type="gramEnd"/>
      <w:r w:rsidR="00BA56DC" w:rsidRPr="003200AB">
        <w:rPr>
          <w:rFonts w:eastAsiaTheme="minorHAnsi" w:cs="Times New Roman"/>
        </w:rPr>
        <w:t>erían</w:t>
      </w:r>
      <w:proofErr w:type="spellEnd"/>
      <w:r w:rsidR="00BA56DC" w:rsidRPr="003200AB">
        <w:rPr>
          <w:rFonts w:eastAsiaTheme="minorHAnsi" w:cs="Times New Roman"/>
        </w:rPr>
        <w:t>]</w:t>
      </w:r>
      <w:r w:rsidR="00423528" w:rsidRPr="003200AB">
        <w:rPr>
          <w:rFonts w:eastAsiaTheme="minorHAnsi" w:cs="Times New Roman"/>
        </w:rPr>
        <w:t xml:space="preserve"> tan amplios que podr</w:t>
      </w:r>
      <w:r w:rsidR="00BA56DC" w:rsidRPr="003200AB">
        <w:rPr>
          <w:rFonts w:eastAsiaTheme="minorHAnsi" w:cs="Times New Roman"/>
        </w:rPr>
        <w:t>í</w:t>
      </w:r>
      <w:r w:rsidR="00423528" w:rsidRPr="003200AB">
        <w:rPr>
          <w:rFonts w:eastAsiaTheme="minorHAnsi" w:cs="Times New Roman"/>
        </w:rPr>
        <w:t>a</w:t>
      </w:r>
      <w:r w:rsidR="0007213D">
        <w:rPr>
          <w:rFonts w:eastAsiaTheme="minorHAnsi" w:cs="Times New Roman"/>
        </w:rPr>
        <w:t>[n]</w:t>
      </w:r>
      <w:r w:rsidR="00423528" w:rsidRPr="003200AB">
        <w:rPr>
          <w:rFonts w:eastAsiaTheme="minorHAnsi" w:cs="Times New Roman"/>
        </w:rPr>
        <w:t xml:space="preserve"> extenderse en aspectos que</w:t>
      </w:r>
      <w:r w:rsidR="00BA56DC" w:rsidRPr="003200AB">
        <w:rPr>
          <w:rFonts w:eastAsiaTheme="minorHAnsi" w:cs="Times New Roman"/>
        </w:rPr>
        <w:t xml:space="preserve"> </w:t>
      </w:r>
      <w:r w:rsidR="00423528" w:rsidRPr="003200AB">
        <w:rPr>
          <w:rFonts w:eastAsiaTheme="minorHAnsi" w:cs="Times New Roman"/>
        </w:rPr>
        <w:t>no necesariamente se vinculan directa o indirectamente con el caso concreto, a la</w:t>
      </w:r>
      <w:r w:rsidR="00BA56DC" w:rsidRPr="003200AB">
        <w:rPr>
          <w:rFonts w:eastAsiaTheme="minorHAnsi" w:cs="Times New Roman"/>
        </w:rPr>
        <w:t xml:space="preserve"> </w:t>
      </w:r>
      <w:r w:rsidR="00423528" w:rsidRPr="003200AB">
        <w:rPr>
          <w:rFonts w:eastAsiaTheme="minorHAnsi" w:cs="Times New Roman"/>
        </w:rPr>
        <w:t xml:space="preserve">vez de dificultar </w:t>
      </w:r>
      <w:r w:rsidR="00BA56DC" w:rsidRPr="003200AB">
        <w:rPr>
          <w:rFonts w:eastAsiaTheme="minorHAnsi" w:cs="Times New Roman"/>
        </w:rPr>
        <w:t>l</w:t>
      </w:r>
      <w:r w:rsidR="00423528" w:rsidRPr="003200AB">
        <w:rPr>
          <w:rFonts w:eastAsiaTheme="minorHAnsi" w:cs="Times New Roman"/>
        </w:rPr>
        <w:t>a formulaci</w:t>
      </w:r>
      <w:r w:rsidR="00BA56DC" w:rsidRPr="003200AB">
        <w:rPr>
          <w:rFonts w:eastAsiaTheme="minorHAnsi" w:cs="Times New Roman"/>
        </w:rPr>
        <w:t>ó</w:t>
      </w:r>
      <w:r w:rsidR="00423528" w:rsidRPr="003200AB">
        <w:rPr>
          <w:rFonts w:eastAsiaTheme="minorHAnsi" w:cs="Times New Roman"/>
        </w:rPr>
        <w:t>n de preguntas concretas por parte del Estado</w:t>
      </w:r>
      <w:r w:rsidR="00BA56DC" w:rsidRPr="003200AB">
        <w:rPr>
          <w:rFonts w:eastAsiaTheme="minorHAnsi" w:cs="Times New Roman"/>
        </w:rPr>
        <w:t>”</w:t>
      </w:r>
      <w:r w:rsidR="009F5275" w:rsidRPr="003200AB">
        <w:rPr>
          <w:rFonts w:eastAsiaTheme="minorHAnsi" w:cs="Times New Roman"/>
        </w:rPr>
        <w:t xml:space="preserve">. </w:t>
      </w:r>
      <w:r w:rsidR="001F6631" w:rsidRPr="001F6631">
        <w:rPr>
          <w:rFonts w:eastAsiaTheme="minorHAnsi" w:cs="Times New Roman"/>
        </w:rPr>
        <w:t xml:space="preserve">Asimismo, sostuvo que “no es objeto de controversia la </w:t>
      </w:r>
      <w:proofErr w:type="spellStart"/>
      <w:r w:rsidR="001F6631" w:rsidRPr="001F6631">
        <w:rPr>
          <w:rFonts w:eastAsiaTheme="minorHAnsi" w:cs="Times New Roman"/>
        </w:rPr>
        <w:t>justiciabilidad</w:t>
      </w:r>
      <w:proofErr w:type="spellEnd"/>
      <w:r w:rsidR="001F6631" w:rsidRPr="001F6631">
        <w:rPr>
          <w:rFonts w:eastAsiaTheme="minorHAnsi" w:cs="Times New Roman"/>
        </w:rPr>
        <w:t xml:space="preserve"> de los Derechos </w:t>
      </w:r>
      <w:proofErr w:type="gramStart"/>
      <w:r w:rsidR="001F6631" w:rsidRPr="001F6631">
        <w:rPr>
          <w:rFonts w:eastAsiaTheme="minorHAnsi" w:cs="Times New Roman"/>
        </w:rPr>
        <w:t>Económicos[</w:t>
      </w:r>
      <w:proofErr w:type="gramEnd"/>
      <w:r w:rsidR="001F6631" w:rsidRPr="001F6631">
        <w:rPr>
          <w:rFonts w:eastAsiaTheme="minorHAnsi" w:cs="Times New Roman"/>
        </w:rPr>
        <w:t xml:space="preserve">,] Sociales y Culturales, conforme a las propias competencias de la Corte”, las cuales “impiden el pronunciarse sobre la afectación a tales derechos”. Es así que los objetos de </w:t>
      </w:r>
      <w:r w:rsidR="005F3B1E">
        <w:rPr>
          <w:rFonts w:eastAsiaTheme="minorHAnsi" w:cs="Times New Roman"/>
        </w:rPr>
        <w:t>los</w:t>
      </w:r>
      <w:r w:rsidR="005F3B1E" w:rsidRPr="001F6631">
        <w:rPr>
          <w:rFonts w:eastAsiaTheme="minorHAnsi" w:cs="Times New Roman"/>
        </w:rPr>
        <w:t xml:space="preserve"> </w:t>
      </w:r>
      <w:r w:rsidR="001F6631" w:rsidRPr="001F6631">
        <w:rPr>
          <w:rFonts w:eastAsiaTheme="minorHAnsi" w:cs="Times New Roman"/>
        </w:rPr>
        <w:t>peri</w:t>
      </w:r>
      <w:r w:rsidR="005F3B1E">
        <w:rPr>
          <w:rFonts w:eastAsiaTheme="minorHAnsi" w:cs="Times New Roman"/>
        </w:rPr>
        <w:t>tajes</w:t>
      </w:r>
      <w:r w:rsidR="001F6631" w:rsidRPr="001F6631">
        <w:rPr>
          <w:rFonts w:eastAsiaTheme="minorHAnsi" w:cs="Times New Roman"/>
        </w:rPr>
        <w:t xml:space="preserve"> propuest</w:t>
      </w:r>
      <w:r w:rsidR="005F3B1E">
        <w:rPr>
          <w:rFonts w:eastAsiaTheme="minorHAnsi" w:cs="Times New Roman"/>
        </w:rPr>
        <w:t>o</w:t>
      </w:r>
      <w:r w:rsidR="001F6631" w:rsidRPr="001F6631">
        <w:rPr>
          <w:rFonts w:eastAsiaTheme="minorHAnsi" w:cs="Times New Roman"/>
        </w:rPr>
        <w:t xml:space="preserve">s a cargo de Jorge Guido </w:t>
      </w:r>
      <w:proofErr w:type="spellStart"/>
      <w:r w:rsidR="001F6631" w:rsidRPr="001F6631">
        <w:rPr>
          <w:rFonts w:eastAsiaTheme="minorHAnsi" w:cs="Times New Roman"/>
        </w:rPr>
        <w:t>Bernedo</w:t>
      </w:r>
      <w:proofErr w:type="spellEnd"/>
      <w:r w:rsidR="001F6631" w:rsidRPr="001F6631">
        <w:rPr>
          <w:rFonts w:eastAsiaTheme="minorHAnsi" w:cs="Times New Roman"/>
        </w:rPr>
        <w:t xml:space="preserve"> Alvarado y Christian </w:t>
      </w:r>
      <w:proofErr w:type="spellStart"/>
      <w:r w:rsidR="001F6631" w:rsidRPr="001F6631">
        <w:rPr>
          <w:rFonts w:eastAsiaTheme="minorHAnsi" w:cs="Times New Roman"/>
        </w:rPr>
        <w:t>Courtis</w:t>
      </w:r>
      <w:proofErr w:type="spellEnd"/>
      <w:r w:rsidR="001F6631" w:rsidRPr="001F6631">
        <w:rPr>
          <w:rFonts w:eastAsiaTheme="minorHAnsi" w:cs="Times New Roman"/>
        </w:rPr>
        <w:t xml:space="preserve">, al referirse a temas relacionados con el derecho al trabajo usando términos tales como “flexibilización laboral” y la presunta afectación a los derechos laborales, no debían ser admitidos por la Corte. </w:t>
      </w:r>
    </w:p>
    <w:p w:rsidR="001F6631" w:rsidRPr="003200AB" w:rsidRDefault="001F6631" w:rsidP="003200AB">
      <w:pPr>
        <w:spacing w:before="0" w:after="0"/>
        <w:rPr>
          <w:rFonts w:eastAsiaTheme="minorHAnsi" w:cs="Times New Roman"/>
        </w:rPr>
      </w:pPr>
    </w:p>
    <w:p w:rsidR="00966E7F" w:rsidRPr="00BE2C67" w:rsidRDefault="001C5037" w:rsidP="00E06D72">
      <w:pPr>
        <w:pStyle w:val="ListParagraph"/>
        <w:numPr>
          <w:ilvl w:val="0"/>
          <w:numId w:val="3"/>
        </w:numPr>
        <w:spacing w:before="0"/>
        <w:rPr>
          <w:rFonts w:eastAsiaTheme="minorHAnsi" w:cs="Times New Roman"/>
        </w:rPr>
      </w:pPr>
      <w:r w:rsidRPr="00BE2C67">
        <w:rPr>
          <w:rFonts w:eastAsiaTheme="minorHAnsi" w:cs="Times New Roman"/>
        </w:rPr>
        <w:t>De manera particular, el Estado presentó observaciones y objeciones a cada uno de los</w:t>
      </w:r>
      <w:r w:rsidR="00EF58DA" w:rsidRPr="00BE2C67">
        <w:rPr>
          <w:rFonts w:eastAsiaTheme="minorHAnsi" w:cs="Times New Roman"/>
        </w:rPr>
        <w:t xml:space="preserve"> peritos propuestos, y solicitó que no se admitan </w:t>
      </w:r>
      <w:r w:rsidR="00C67068">
        <w:rPr>
          <w:rFonts w:eastAsiaTheme="minorHAnsi" w:cs="Times New Roman"/>
        </w:rPr>
        <w:t>los peritajes</w:t>
      </w:r>
      <w:r w:rsidR="00EF58DA" w:rsidRPr="00BE2C67">
        <w:rPr>
          <w:rFonts w:eastAsiaTheme="minorHAnsi" w:cs="Times New Roman"/>
        </w:rPr>
        <w:t xml:space="preserve"> ofrecid</w:t>
      </w:r>
      <w:r w:rsidR="00C67068">
        <w:rPr>
          <w:rFonts w:eastAsiaTheme="minorHAnsi" w:cs="Times New Roman"/>
        </w:rPr>
        <w:t>o</w:t>
      </w:r>
      <w:r w:rsidR="00EF58DA" w:rsidRPr="00BE2C67">
        <w:rPr>
          <w:rFonts w:eastAsiaTheme="minorHAnsi" w:cs="Times New Roman"/>
        </w:rPr>
        <w:t xml:space="preserve">s. </w:t>
      </w:r>
      <w:r w:rsidR="005F3B1E">
        <w:rPr>
          <w:rFonts w:eastAsiaTheme="minorHAnsi"/>
        </w:rPr>
        <w:t>E</w:t>
      </w:r>
      <w:r w:rsidR="00F154CF" w:rsidRPr="00BE2C67">
        <w:rPr>
          <w:rFonts w:eastAsiaTheme="minorHAnsi"/>
        </w:rPr>
        <w:t xml:space="preserve">n cuanto al perito </w:t>
      </w:r>
      <w:r w:rsidR="00F154CF" w:rsidRPr="00BE2C67">
        <w:rPr>
          <w:rFonts w:eastAsiaTheme="minorHAnsi" w:cs="Times New Roman"/>
        </w:rPr>
        <w:t xml:space="preserve">Jorge Eusebio Manco </w:t>
      </w:r>
      <w:proofErr w:type="spellStart"/>
      <w:r w:rsidR="00F154CF" w:rsidRPr="00BE2C67">
        <w:rPr>
          <w:rFonts w:eastAsiaTheme="minorHAnsi" w:cs="Times New Roman"/>
        </w:rPr>
        <w:t>Zaconetti</w:t>
      </w:r>
      <w:proofErr w:type="spellEnd"/>
      <w:r w:rsidR="00F154CF" w:rsidRPr="00BE2C67">
        <w:rPr>
          <w:rFonts w:eastAsiaTheme="minorHAnsi" w:cs="Times New Roman"/>
        </w:rPr>
        <w:t xml:space="preserve">, </w:t>
      </w:r>
      <w:r w:rsidR="004043F7" w:rsidRPr="00BE2C67">
        <w:rPr>
          <w:rFonts w:eastAsiaTheme="minorHAnsi" w:cs="Times New Roman"/>
        </w:rPr>
        <w:t>cuestionó que la controversia en el presente caso tuviera alguna conexidad</w:t>
      </w:r>
      <w:r w:rsidR="00F154CF" w:rsidRPr="00BE2C67">
        <w:rPr>
          <w:rFonts w:eastAsiaTheme="minorHAnsi" w:cs="Times New Roman"/>
        </w:rPr>
        <w:t xml:space="preserve"> con el </w:t>
      </w:r>
      <w:r w:rsidR="004043F7" w:rsidRPr="00BE2C67">
        <w:rPr>
          <w:rFonts w:eastAsiaTheme="minorHAnsi" w:cs="Times New Roman"/>
        </w:rPr>
        <w:t>alegado “contexto de privatización” y la “carga laboral”</w:t>
      </w:r>
      <w:r w:rsidR="004043F7" w:rsidRPr="00BE2C67">
        <w:rPr>
          <w:spacing w:val="-2"/>
          <w:lang w:val="es-ES"/>
        </w:rPr>
        <w:t>,</w:t>
      </w:r>
      <w:r w:rsidR="00EF58DA" w:rsidRPr="00BE2C67">
        <w:rPr>
          <w:spacing w:val="-2"/>
          <w:lang w:val="es-ES"/>
        </w:rPr>
        <w:t xml:space="preserve"> y</w:t>
      </w:r>
      <w:r w:rsidR="004043F7" w:rsidRPr="00BE2C67">
        <w:rPr>
          <w:spacing w:val="-2"/>
          <w:lang w:val="es-ES"/>
        </w:rPr>
        <w:t xml:space="preserve"> consideró que no quedaría claro a qué se referiría el concepto de </w:t>
      </w:r>
      <w:r w:rsidR="004043F7" w:rsidRPr="00BE2C67">
        <w:rPr>
          <w:rFonts w:eastAsiaTheme="minorHAnsi" w:cs="Times New Roman"/>
        </w:rPr>
        <w:t xml:space="preserve">“carga laboral” ni </w:t>
      </w:r>
      <w:r w:rsidR="004538CF" w:rsidRPr="00BE2C67">
        <w:rPr>
          <w:rFonts w:eastAsiaTheme="minorHAnsi" w:cs="Times New Roman"/>
        </w:rPr>
        <w:t>qu</w:t>
      </w:r>
      <w:r w:rsidR="004043F7" w:rsidRPr="00BE2C67">
        <w:rPr>
          <w:rFonts w:eastAsiaTheme="minorHAnsi" w:cs="Times New Roman"/>
        </w:rPr>
        <w:t>é</w:t>
      </w:r>
      <w:r w:rsidR="004538CF" w:rsidRPr="00BE2C67">
        <w:rPr>
          <w:rFonts w:eastAsiaTheme="minorHAnsi" w:cs="Times New Roman"/>
        </w:rPr>
        <w:t xml:space="preserve"> aspecto abordar</w:t>
      </w:r>
      <w:r w:rsidR="004043F7" w:rsidRPr="00BE2C67">
        <w:rPr>
          <w:rFonts w:eastAsiaTheme="minorHAnsi" w:cs="Times New Roman"/>
        </w:rPr>
        <w:t>ía</w:t>
      </w:r>
      <w:r w:rsidR="004538CF" w:rsidRPr="00BE2C67">
        <w:rPr>
          <w:rFonts w:eastAsiaTheme="minorHAnsi" w:cs="Times New Roman"/>
        </w:rPr>
        <w:t xml:space="preserve"> </w:t>
      </w:r>
      <w:r w:rsidR="004043F7" w:rsidRPr="00BE2C67">
        <w:rPr>
          <w:rFonts w:eastAsiaTheme="minorHAnsi" w:cs="Times New Roman"/>
        </w:rPr>
        <w:t xml:space="preserve">el </w:t>
      </w:r>
      <w:r w:rsidR="004538CF" w:rsidRPr="00BE2C67">
        <w:rPr>
          <w:rFonts w:eastAsiaTheme="minorHAnsi" w:cs="Times New Roman"/>
        </w:rPr>
        <w:t xml:space="preserve">“retorno a la democracia”. </w:t>
      </w:r>
      <w:r w:rsidR="009314E8" w:rsidRPr="009314E8">
        <w:rPr>
          <w:rFonts w:eastAsiaTheme="minorHAnsi" w:cs="Times New Roman"/>
        </w:rPr>
        <w:t>Respecto al</w:t>
      </w:r>
      <w:r w:rsidR="009314E8">
        <w:rPr>
          <w:rFonts w:eastAsiaTheme="minorHAnsi" w:cs="Times New Roman"/>
        </w:rPr>
        <w:t xml:space="preserve"> </w:t>
      </w:r>
      <w:r w:rsidR="00966E7F" w:rsidRPr="00BE2C67">
        <w:rPr>
          <w:rFonts w:eastAsiaTheme="minorHAnsi" w:cs="Times New Roman"/>
        </w:rPr>
        <w:t xml:space="preserve">perito Jorge Guido </w:t>
      </w:r>
      <w:proofErr w:type="spellStart"/>
      <w:r w:rsidR="00966E7F" w:rsidRPr="00BE2C67">
        <w:rPr>
          <w:rFonts w:eastAsiaTheme="minorHAnsi" w:cs="Times New Roman"/>
        </w:rPr>
        <w:t>Bernedo</w:t>
      </w:r>
      <w:proofErr w:type="spellEnd"/>
      <w:r w:rsidR="00966E7F" w:rsidRPr="00BE2C67">
        <w:rPr>
          <w:rFonts w:eastAsiaTheme="minorHAnsi" w:cs="Times New Roman"/>
        </w:rPr>
        <w:t xml:space="preserve"> Alvarado, sostuvo que el término “destrucción de la carrera pública” no está vinculado a la controversia del presente caso, y que el término “garantías de supervisión” resulta sumamente ambiguo</w:t>
      </w:r>
      <w:r w:rsidR="00606C01">
        <w:rPr>
          <w:rFonts w:eastAsiaTheme="minorHAnsi" w:cs="Times New Roman"/>
        </w:rPr>
        <w:t>,</w:t>
      </w:r>
      <w:r w:rsidR="00966E7F" w:rsidRPr="00BE2C67">
        <w:rPr>
          <w:rFonts w:eastAsiaTheme="minorHAnsi" w:cs="Times New Roman"/>
        </w:rPr>
        <w:t xml:space="preserve"> “toda vez que no existe claridad si se refiere a mecanismos procedimentales, procesales o a las reglas que tienen que cumplirse en </w:t>
      </w:r>
      <w:r w:rsidR="00421856" w:rsidRPr="00BE2C67">
        <w:rPr>
          <w:rFonts w:eastAsiaTheme="minorHAnsi" w:cs="Times New Roman"/>
        </w:rPr>
        <w:t>[…]</w:t>
      </w:r>
      <w:r w:rsidR="00966E7F" w:rsidRPr="00BE2C67">
        <w:rPr>
          <w:rFonts w:eastAsiaTheme="minorHAnsi" w:cs="Times New Roman"/>
        </w:rPr>
        <w:t xml:space="preserve"> los mismos</w:t>
      </w:r>
      <w:r w:rsidR="00421856" w:rsidRPr="00BE2C67">
        <w:rPr>
          <w:rFonts w:eastAsiaTheme="minorHAnsi" w:cs="Times New Roman"/>
        </w:rPr>
        <w:t>”</w:t>
      </w:r>
      <w:r w:rsidR="00966E7F" w:rsidRPr="00BE2C67">
        <w:rPr>
          <w:rFonts w:eastAsiaTheme="minorHAnsi" w:cs="Times New Roman"/>
        </w:rPr>
        <w:t>. Asimismo, resaltó que debido a que el objeto de su peri</w:t>
      </w:r>
      <w:r w:rsidR="00606C01">
        <w:rPr>
          <w:rFonts w:eastAsiaTheme="minorHAnsi" w:cs="Times New Roman"/>
        </w:rPr>
        <w:t>taje</w:t>
      </w:r>
      <w:r w:rsidR="00966E7F" w:rsidRPr="00BE2C67">
        <w:rPr>
          <w:rFonts w:eastAsiaTheme="minorHAnsi" w:cs="Times New Roman"/>
        </w:rPr>
        <w:t xml:space="preserve"> se centraría en los casos de PETROPERU y ENAPU,</w:t>
      </w:r>
      <w:r w:rsidR="00DC4E6A">
        <w:rPr>
          <w:rFonts w:eastAsiaTheme="minorHAnsi" w:cs="Times New Roman"/>
        </w:rPr>
        <w:t xml:space="preserve"> que son empresas del Estado,</w:t>
      </w:r>
      <w:r w:rsidR="00966E7F" w:rsidRPr="00BE2C67">
        <w:rPr>
          <w:rFonts w:eastAsiaTheme="minorHAnsi" w:cs="Times New Roman"/>
        </w:rPr>
        <w:t xml:space="preserve"> no podría abordar lo relacionado a los efectos de las reformas legislativas en el sector público. </w:t>
      </w:r>
      <w:r w:rsidR="00E06D72" w:rsidRPr="00BE2C67">
        <w:rPr>
          <w:rFonts w:eastAsiaTheme="minorHAnsi" w:cs="Times New Roman"/>
        </w:rPr>
        <w:t xml:space="preserve">Además, </w:t>
      </w:r>
      <w:r w:rsidR="00E06D72">
        <w:rPr>
          <w:rFonts w:eastAsiaTheme="minorHAnsi" w:cs="Times New Roman"/>
        </w:rPr>
        <w:t>señaló</w:t>
      </w:r>
      <w:r w:rsidR="00E06D72" w:rsidRPr="00BE2C67">
        <w:rPr>
          <w:rFonts w:eastAsiaTheme="minorHAnsi" w:cs="Times New Roman"/>
        </w:rPr>
        <w:t xml:space="preserve"> que según </w:t>
      </w:r>
      <w:r w:rsidR="00966E7F" w:rsidRPr="00BE2C67">
        <w:rPr>
          <w:rFonts w:eastAsiaTheme="minorHAnsi" w:cs="Times New Roman"/>
        </w:rPr>
        <w:t xml:space="preserve">dicho objeto, el análisis de la legislación se realizaría desde el año </w:t>
      </w:r>
      <w:r w:rsidR="00966E7F" w:rsidRPr="00BE2C67">
        <w:rPr>
          <w:rFonts w:eastAsiaTheme="minorHAnsi" w:cs="Times New Roman"/>
        </w:rPr>
        <w:lastRenderedPageBreak/>
        <w:t xml:space="preserve">1992, siendo que los hechos del caso que se alegan violatorios a los derechos humanos serían posteriores a dicho año. </w:t>
      </w:r>
      <w:r w:rsidR="00747296">
        <w:rPr>
          <w:rFonts w:eastAsiaTheme="minorHAnsi" w:cs="Times New Roman"/>
        </w:rPr>
        <w:t>Sostuvo</w:t>
      </w:r>
      <w:r w:rsidR="00747296" w:rsidRPr="00BE2C67">
        <w:rPr>
          <w:rFonts w:eastAsiaTheme="minorHAnsi" w:cs="Times New Roman"/>
        </w:rPr>
        <w:t xml:space="preserve"> </w:t>
      </w:r>
      <w:r w:rsidR="00966E7F" w:rsidRPr="00BE2C67">
        <w:rPr>
          <w:rFonts w:eastAsiaTheme="minorHAnsi" w:cs="Times New Roman"/>
        </w:rPr>
        <w:t xml:space="preserve">que algunos puntos del peritaje propuesto guardarían similitud con algunos aspectos </w:t>
      </w:r>
      <w:r w:rsidR="00E06D72">
        <w:rPr>
          <w:rFonts w:eastAsiaTheme="minorHAnsi" w:cs="Times New Roman"/>
        </w:rPr>
        <w:t>del peritaje</w:t>
      </w:r>
      <w:r w:rsidR="00966E7F" w:rsidRPr="00BE2C67">
        <w:rPr>
          <w:rFonts w:eastAsiaTheme="minorHAnsi" w:cs="Times New Roman"/>
        </w:rPr>
        <w:t xml:space="preserve"> a cargo de Manco </w:t>
      </w:r>
      <w:proofErr w:type="spellStart"/>
      <w:r w:rsidR="00966E7F" w:rsidRPr="00BE2C67">
        <w:rPr>
          <w:rFonts w:eastAsiaTheme="minorHAnsi" w:cs="Times New Roman"/>
        </w:rPr>
        <w:t>Zaconetti</w:t>
      </w:r>
      <w:proofErr w:type="spellEnd"/>
      <w:r w:rsidR="00966E7F" w:rsidRPr="00BE2C67">
        <w:rPr>
          <w:rFonts w:eastAsiaTheme="minorHAnsi" w:cs="Times New Roman"/>
        </w:rPr>
        <w:t>. Además, indicó que el objeto propuesto</w:t>
      </w:r>
      <w:r w:rsidR="00162222">
        <w:rPr>
          <w:rFonts w:eastAsiaTheme="minorHAnsi" w:cs="Times New Roman"/>
        </w:rPr>
        <w:t>,</w:t>
      </w:r>
      <w:r w:rsidR="00966E7F" w:rsidRPr="00BE2C67">
        <w:rPr>
          <w:rFonts w:eastAsiaTheme="minorHAnsi" w:cs="Times New Roman"/>
        </w:rPr>
        <w:t xml:space="preserve"> </w:t>
      </w:r>
      <w:r w:rsidR="009F4DE3">
        <w:rPr>
          <w:rFonts w:eastAsiaTheme="minorHAnsi" w:cs="Times New Roman"/>
        </w:rPr>
        <w:t>“</w:t>
      </w:r>
      <w:r w:rsidR="00966E7F" w:rsidRPr="00BE2C67">
        <w:rPr>
          <w:rFonts w:eastAsiaTheme="minorHAnsi" w:cs="Times New Roman"/>
        </w:rPr>
        <w:t>al referirse a condiciones de vidas específicas referidos a los trabajadores de PETROPERU</w:t>
      </w:r>
      <w:r w:rsidR="009F4DE3">
        <w:rPr>
          <w:rFonts w:eastAsiaTheme="minorHAnsi" w:cs="Times New Roman"/>
        </w:rPr>
        <w:t>”</w:t>
      </w:r>
      <w:r w:rsidR="00966E7F" w:rsidRPr="00BE2C67">
        <w:rPr>
          <w:rFonts w:eastAsiaTheme="minorHAnsi" w:cs="Times New Roman"/>
        </w:rPr>
        <w:t>, así como al alegado ambiente de presión y hostilización, pareciera estar referido</w:t>
      </w:r>
      <w:r w:rsidR="00AA169B">
        <w:rPr>
          <w:rFonts w:eastAsiaTheme="minorHAnsi" w:cs="Times New Roman"/>
        </w:rPr>
        <w:t xml:space="preserve"> a</w:t>
      </w:r>
      <w:r w:rsidR="00966E7F" w:rsidRPr="00BE2C67">
        <w:rPr>
          <w:rFonts w:eastAsiaTheme="minorHAnsi" w:cs="Times New Roman"/>
        </w:rPr>
        <w:t xml:space="preserve"> una declaración testimonial.</w:t>
      </w:r>
      <w:r w:rsidR="00413E99" w:rsidRPr="00BE2C67">
        <w:rPr>
          <w:rFonts w:eastAsiaTheme="minorHAnsi" w:cs="Times New Roman"/>
        </w:rPr>
        <w:t xml:space="preserve"> </w:t>
      </w:r>
      <w:r w:rsidR="007A2B06" w:rsidRPr="007A2B06">
        <w:rPr>
          <w:rFonts w:eastAsiaTheme="minorHAnsi" w:cs="Times New Roman"/>
        </w:rPr>
        <w:t>E</w:t>
      </w:r>
      <w:r w:rsidR="00966E7F" w:rsidRPr="00BE2C67">
        <w:rPr>
          <w:rFonts w:eastAsiaTheme="minorHAnsi" w:cs="Times New Roman"/>
        </w:rPr>
        <w:t xml:space="preserve">n relación con el perito Christian </w:t>
      </w:r>
      <w:proofErr w:type="spellStart"/>
      <w:r w:rsidR="00966E7F" w:rsidRPr="00BE2C67">
        <w:rPr>
          <w:rFonts w:eastAsiaTheme="minorHAnsi" w:cs="Times New Roman"/>
        </w:rPr>
        <w:t>Courtis</w:t>
      </w:r>
      <w:proofErr w:type="spellEnd"/>
      <w:r w:rsidR="00966E7F" w:rsidRPr="00BE2C67">
        <w:rPr>
          <w:rFonts w:eastAsiaTheme="minorHAnsi" w:cs="Times New Roman"/>
        </w:rPr>
        <w:t>, alegó que el término “estándares internacionales” es muy amplio, por lo que tal objeto no debía ser admitido</w:t>
      </w:r>
      <w:r w:rsidR="00413E99" w:rsidRPr="00BE2C67">
        <w:rPr>
          <w:rFonts w:eastAsiaTheme="minorHAnsi" w:cs="Times New Roman"/>
        </w:rPr>
        <w:t xml:space="preserve">, y que debido a que no era objeto de la controversia </w:t>
      </w:r>
      <w:r w:rsidR="00966E7F" w:rsidRPr="00BE2C67">
        <w:rPr>
          <w:rFonts w:eastAsiaTheme="minorHAnsi" w:cs="Times New Roman"/>
        </w:rPr>
        <w:t xml:space="preserve">determinar si </w:t>
      </w:r>
      <w:r w:rsidR="00413E99" w:rsidRPr="00BE2C67">
        <w:rPr>
          <w:rFonts w:eastAsiaTheme="minorHAnsi" w:cs="Times New Roman"/>
        </w:rPr>
        <w:t>se</w:t>
      </w:r>
      <w:r w:rsidR="00966E7F" w:rsidRPr="00BE2C67">
        <w:rPr>
          <w:rFonts w:eastAsiaTheme="minorHAnsi" w:cs="Times New Roman"/>
        </w:rPr>
        <w:t xml:space="preserve"> vulneró el derecho al trabajo, no resulta</w:t>
      </w:r>
      <w:r w:rsidR="00413E99" w:rsidRPr="00BE2C67">
        <w:rPr>
          <w:rFonts w:eastAsiaTheme="minorHAnsi" w:cs="Times New Roman"/>
        </w:rPr>
        <w:t>ba</w:t>
      </w:r>
      <w:r w:rsidR="00966E7F" w:rsidRPr="00BE2C67">
        <w:rPr>
          <w:rFonts w:eastAsiaTheme="minorHAnsi" w:cs="Times New Roman"/>
        </w:rPr>
        <w:t xml:space="preserve"> pertinente abordar lo referente a tal derecho ni a las condiciones justas </w:t>
      </w:r>
      <w:r w:rsidR="00966E7F" w:rsidRPr="00BE2C67">
        <w:rPr>
          <w:rFonts w:eastAsiaTheme="minorHAnsi" w:cs="Arial"/>
        </w:rPr>
        <w:t xml:space="preserve">y </w:t>
      </w:r>
      <w:r w:rsidR="00966E7F" w:rsidRPr="00BE2C67">
        <w:rPr>
          <w:rFonts w:eastAsiaTheme="minorHAnsi" w:cs="Times New Roman"/>
        </w:rPr>
        <w:t xml:space="preserve">equitativas de trabajo, por </w:t>
      </w:r>
      <w:r w:rsidR="00413E99" w:rsidRPr="00BE2C67">
        <w:rPr>
          <w:rFonts w:eastAsiaTheme="minorHAnsi" w:cs="Times New Roman"/>
        </w:rPr>
        <w:t xml:space="preserve">ende, </w:t>
      </w:r>
      <w:r w:rsidR="00966E7F" w:rsidRPr="00BE2C67">
        <w:rPr>
          <w:rFonts w:eastAsiaTheme="minorHAnsi" w:cs="Times New Roman"/>
        </w:rPr>
        <w:t>no resulta</w:t>
      </w:r>
      <w:r w:rsidR="00413E99" w:rsidRPr="00BE2C67">
        <w:rPr>
          <w:rFonts w:eastAsiaTheme="minorHAnsi" w:cs="Times New Roman"/>
        </w:rPr>
        <w:t>ba</w:t>
      </w:r>
      <w:r w:rsidR="00966E7F" w:rsidRPr="00BE2C67">
        <w:rPr>
          <w:rFonts w:eastAsiaTheme="minorHAnsi" w:cs="Times New Roman"/>
        </w:rPr>
        <w:t xml:space="preserve"> pertinente el objeto del peritaje. </w:t>
      </w:r>
    </w:p>
    <w:p w:rsidR="0001696F" w:rsidRPr="00BE2C67" w:rsidRDefault="0001696F" w:rsidP="00BE2C67">
      <w:pPr>
        <w:pStyle w:val="ListParagraph"/>
        <w:numPr>
          <w:ilvl w:val="0"/>
          <w:numId w:val="0"/>
        </w:numPr>
        <w:spacing w:before="0"/>
        <w:rPr>
          <w:rFonts w:eastAsiaTheme="minorHAnsi" w:cs="Times New Roman"/>
        </w:rPr>
      </w:pPr>
    </w:p>
    <w:p w:rsidR="00A13024" w:rsidRPr="00BE2C67" w:rsidRDefault="007A2B06" w:rsidP="007A2B06">
      <w:pPr>
        <w:pStyle w:val="ListParagraph"/>
        <w:numPr>
          <w:ilvl w:val="0"/>
          <w:numId w:val="3"/>
        </w:numPr>
        <w:spacing w:before="0"/>
        <w:ind w:right="29"/>
        <w:rPr>
          <w:rFonts w:eastAsiaTheme="minorHAnsi" w:cs="Times New Roman"/>
        </w:rPr>
      </w:pPr>
      <w:r w:rsidRPr="006424ED">
        <w:rPr>
          <w:rFonts w:eastAsiaTheme="minorHAnsi" w:cs="Times New Roman"/>
        </w:rPr>
        <w:t xml:space="preserve">Finalmente, </w:t>
      </w:r>
      <w:r w:rsidR="00EF58DA" w:rsidRPr="00BE2C67">
        <w:rPr>
          <w:rFonts w:eastAsiaTheme="minorHAnsi" w:cs="Times New Roman"/>
        </w:rPr>
        <w:t>d</w:t>
      </w:r>
      <w:r w:rsidR="00553F3B" w:rsidRPr="00BE2C67">
        <w:rPr>
          <w:rFonts w:eastAsiaTheme="minorHAnsi" w:cs="Times New Roman"/>
        </w:rPr>
        <w:t xml:space="preserve">e manera detallada y teniendo en cuenta el objeto de </w:t>
      </w:r>
      <w:r w:rsidR="00191278" w:rsidRPr="00BE2C67">
        <w:rPr>
          <w:rFonts w:eastAsiaTheme="minorHAnsi" w:cs="Times New Roman"/>
        </w:rPr>
        <w:t>cada una de las</w:t>
      </w:r>
      <w:r w:rsidR="00553F3B" w:rsidRPr="00BE2C67">
        <w:rPr>
          <w:rFonts w:eastAsiaTheme="minorHAnsi" w:cs="Times New Roman"/>
        </w:rPr>
        <w:t xml:space="preserve"> pericial</w:t>
      </w:r>
      <w:r w:rsidR="00191278" w:rsidRPr="00BE2C67">
        <w:rPr>
          <w:rFonts w:eastAsiaTheme="minorHAnsi" w:cs="Times New Roman"/>
        </w:rPr>
        <w:t>es</w:t>
      </w:r>
      <w:r w:rsidR="00553F3B" w:rsidRPr="00BE2C67">
        <w:rPr>
          <w:rFonts w:eastAsiaTheme="minorHAnsi" w:cs="Times New Roman"/>
        </w:rPr>
        <w:t xml:space="preserve"> propuesta</w:t>
      </w:r>
      <w:r w:rsidR="00191278" w:rsidRPr="00BE2C67">
        <w:rPr>
          <w:rFonts w:eastAsiaTheme="minorHAnsi" w:cs="Times New Roman"/>
        </w:rPr>
        <w:t>s</w:t>
      </w:r>
      <w:r w:rsidR="00553F3B" w:rsidRPr="00BE2C67">
        <w:rPr>
          <w:rFonts w:eastAsiaTheme="minorHAnsi" w:cs="Times New Roman"/>
        </w:rPr>
        <w:t xml:space="preserve">, el Estado </w:t>
      </w:r>
      <w:r w:rsidR="00B56B28" w:rsidRPr="00BE2C67">
        <w:rPr>
          <w:rFonts w:eastAsiaTheme="minorHAnsi" w:cs="Times New Roman"/>
        </w:rPr>
        <w:t xml:space="preserve">cuestionó la calidad de </w:t>
      </w:r>
      <w:r w:rsidR="00553F3B" w:rsidRPr="00BE2C67">
        <w:rPr>
          <w:rFonts w:eastAsiaTheme="minorHAnsi" w:cs="Times New Roman"/>
        </w:rPr>
        <w:t>experto</w:t>
      </w:r>
      <w:r w:rsidR="00B56B28" w:rsidRPr="00BE2C67">
        <w:rPr>
          <w:rFonts w:eastAsiaTheme="minorHAnsi" w:cs="Times New Roman"/>
        </w:rPr>
        <w:t>s</w:t>
      </w:r>
      <w:r w:rsidR="00553F3B" w:rsidRPr="00BE2C67">
        <w:rPr>
          <w:rFonts w:eastAsiaTheme="minorHAnsi" w:cs="Times New Roman"/>
        </w:rPr>
        <w:t xml:space="preserve"> </w:t>
      </w:r>
      <w:r w:rsidR="00111FBA" w:rsidRPr="00BE2C67">
        <w:rPr>
          <w:rFonts w:eastAsiaTheme="minorHAnsi" w:cs="Times New Roman"/>
        </w:rPr>
        <w:t xml:space="preserve">en el presente caso </w:t>
      </w:r>
      <w:r w:rsidR="00553F3B" w:rsidRPr="00BE2C67">
        <w:rPr>
          <w:rFonts w:eastAsiaTheme="minorHAnsi" w:cs="Times New Roman"/>
        </w:rPr>
        <w:t>de</w:t>
      </w:r>
      <w:r w:rsidR="00EF58DA" w:rsidRPr="00BE2C67">
        <w:rPr>
          <w:rFonts w:eastAsiaTheme="minorHAnsi" w:cs="Times New Roman"/>
        </w:rPr>
        <w:t xml:space="preserve"> </w:t>
      </w:r>
      <w:r w:rsidR="0001696F" w:rsidRPr="00BE2C67">
        <w:rPr>
          <w:rFonts w:eastAsiaTheme="minorHAnsi" w:cs="Times New Roman"/>
        </w:rPr>
        <w:t xml:space="preserve">los señores </w:t>
      </w:r>
      <w:r w:rsidR="00553F3B" w:rsidRPr="00BE2C67">
        <w:rPr>
          <w:rFonts w:eastAsiaTheme="minorHAnsi" w:cs="Times New Roman"/>
        </w:rPr>
        <w:t xml:space="preserve">Manco </w:t>
      </w:r>
      <w:proofErr w:type="spellStart"/>
      <w:r w:rsidR="00553F3B" w:rsidRPr="00BE2C67">
        <w:rPr>
          <w:rFonts w:eastAsiaTheme="minorHAnsi" w:cs="Times New Roman"/>
        </w:rPr>
        <w:t>Zaconetti</w:t>
      </w:r>
      <w:proofErr w:type="spellEnd"/>
      <w:r w:rsidR="00232505" w:rsidRPr="00BE2C67">
        <w:rPr>
          <w:rStyle w:val="FootnoteReference"/>
          <w:rFonts w:eastAsiaTheme="minorHAnsi"/>
          <w:sz w:val="20"/>
          <w:szCs w:val="20"/>
        </w:rPr>
        <w:footnoteReference w:id="15"/>
      </w:r>
      <w:r w:rsidR="00B56B28" w:rsidRPr="00BE2C67">
        <w:rPr>
          <w:rFonts w:eastAsiaTheme="minorHAnsi" w:cs="Times New Roman"/>
        </w:rPr>
        <w:t xml:space="preserve"> y </w:t>
      </w:r>
      <w:proofErr w:type="spellStart"/>
      <w:r w:rsidR="00B56B28" w:rsidRPr="00BE2C67">
        <w:rPr>
          <w:rFonts w:eastAsiaTheme="minorHAnsi" w:cs="Times New Roman"/>
        </w:rPr>
        <w:t>Bernedo</w:t>
      </w:r>
      <w:proofErr w:type="spellEnd"/>
      <w:r w:rsidR="00B56B28" w:rsidRPr="00BE2C67">
        <w:rPr>
          <w:rFonts w:eastAsiaTheme="minorHAnsi" w:cs="Times New Roman"/>
        </w:rPr>
        <w:t xml:space="preserve"> Alvarado</w:t>
      </w:r>
      <w:r w:rsidR="00580E49" w:rsidRPr="00BE2C67">
        <w:rPr>
          <w:rStyle w:val="FootnoteReference"/>
          <w:rFonts w:eastAsiaTheme="minorHAnsi"/>
          <w:sz w:val="20"/>
          <w:szCs w:val="20"/>
        </w:rPr>
        <w:footnoteReference w:id="16"/>
      </w:r>
      <w:r w:rsidR="00B56B28" w:rsidRPr="00BE2C67">
        <w:rPr>
          <w:rFonts w:eastAsiaTheme="minorHAnsi" w:cs="Times New Roman"/>
        </w:rPr>
        <w:t>.</w:t>
      </w:r>
    </w:p>
    <w:p w:rsidR="00A13024" w:rsidRPr="00BE2C67" w:rsidRDefault="00A13024" w:rsidP="007A2B06">
      <w:pPr>
        <w:pStyle w:val="ListParagraph"/>
        <w:numPr>
          <w:ilvl w:val="0"/>
          <w:numId w:val="0"/>
        </w:numPr>
        <w:spacing w:before="0"/>
        <w:ind w:right="29"/>
        <w:rPr>
          <w:rFonts w:eastAsiaTheme="minorHAnsi" w:cs="Times New Roman"/>
        </w:rPr>
      </w:pPr>
    </w:p>
    <w:p w:rsidR="007A2B06" w:rsidRPr="006424ED" w:rsidRDefault="007A2B06" w:rsidP="007A2B06">
      <w:pPr>
        <w:pStyle w:val="ListParagraph"/>
        <w:numPr>
          <w:ilvl w:val="0"/>
          <w:numId w:val="3"/>
        </w:numPr>
        <w:spacing w:before="0"/>
        <w:ind w:right="29"/>
        <w:rPr>
          <w:rFonts w:eastAsiaTheme="minorHAnsi" w:cs="Times New Roman"/>
        </w:rPr>
      </w:pPr>
      <w:r w:rsidRPr="006424ED">
        <w:t xml:space="preserve">Las observaciones y objeciones presentadas por el Estado a los tres peritos se refieren a cuatro aspectos generales: a) el objeto de los peritajes; b) la </w:t>
      </w:r>
      <w:r w:rsidR="008A5647">
        <w:t xml:space="preserve">alegada </w:t>
      </w:r>
      <w:r w:rsidRPr="006424ED">
        <w:t xml:space="preserve">similitud de los objetos propuestos; c) los aspectos controvertidos en el caso; y d) el cuestionamiento a la </w:t>
      </w:r>
      <w:r w:rsidRPr="006424ED">
        <w:rPr>
          <w:rFonts w:eastAsiaTheme="minorHAnsi" w:cs="Times New Roman"/>
        </w:rPr>
        <w:t xml:space="preserve">calidad de expertos de los tres peritos </w:t>
      </w:r>
      <w:r>
        <w:rPr>
          <w:rFonts w:eastAsiaTheme="minorHAnsi" w:cs="Times New Roman"/>
        </w:rPr>
        <w:t>mencionados</w:t>
      </w:r>
      <w:r w:rsidRPr="006424ED">
        <w:rPr>
          <w:rFonts w:eastAsiaTheme="minorHAnsi" w:cs="Times New Roman"/>
        </w:rPr>
        <w:t xml:space="preserve">. El Presidente </w:t>
      </w:r>
      <w:r w:rsidRPr="006424ED">
        <w:t>procederá a continuación a resolver dichas observaciones y objeciones.</w:t>
      </w:r>
    </w:p>
    <w:p w:rsidR="007A2B06" w:rsidRPr="006424ED" w:rsidRDefault="007A2B06" w:rsidP="007A2B06">
      <w:pPr>
        <w:pStyle w:val="ListParagraph"/>
        <w:numPr>
          <w:ilvl w:val="0"/>
          <w:numId w:val="0"/>
        </w:numPr>
        <w:spacing w:before="0"/>
        <w:ind w:right="29"/>
      </w:pPr>
    </w:p>
    <w:p w:rsidR="0077269F" w:rsidRPr="0077269F" w:rsidRDefault="007A2B06" w:rsidP="0077269F">
      <w:pPr>
        <w:pStyle w:val="ListParagraph"/>
        <w:numPr>
          <w:ilvl w:val="0"/>
          <w:numId w:val="3"/>
        </w:numPr>
        <w:tabs>
          <w:tab w:val="left" w:pos="720"/>
        </w:tabs>
        <w:spacing w:before="0"/>
        <w:ind w:right="29"/>
        <w:rPr>
          <w:rFonts w:eastAsiaTheme="minorHAnsi" w:cs="Times New Roman"/>
        </w:rPr>
      </w:pPr>
      <w:r w:rsidRPr="006424ED">
        <w:t xml:space="preserve">En primer lugar, se reitera que las observaciones que se refieren al eventual objeto de la prueba ofrecida no afectan su admisibilidad, sin embargo, serán tomadas en cuenta al momento de establecer el objeto de </w:t>
      </w:r>
      <w:r w:rsidR="00AA0E07">
        <w:t>los eventuales peritajes</w:t>
      </w:r>
      <w:r w:rsidRPr="006424ED">
        <w:t xml:space="preserve"> que se orden</w:t>
      </w:r>
      <w:r w:rsidR="00AA0E07">
        <w:t>e</w:t>
      </w:r>
      <w:r w:rsidRPr="006424ED">
        <w:t xml:space="preserve"> realizar. </w:t>
      </w:r>
    </w:p>
    <w:p w:rsidR="0077269F" w:rsidRPr="0077269F" w:rsidRDefault="0077269F" w:rsidP="0077269F">
      <w:pPr>
        <w:pStyle w:val="ListParagraph"/>
        <w:numPr>
          <w:ilvl w:val="0"/>
          <w:numId w:val="0"/>
        </w:numPr>
        <w:spacing w:before="0"/>
        <w:ind w:right="29"/>
        <w:rPr>
          <w:rFonts w:eastAsiaTheme="minorHAnsi" w:cs="Times New Roman"/>
        </w:rPr>
      </w:pPr>
    </w:p>
    <w:p w:rsidR="007A2B06" w:rsidRPr="006424ED" w:rsidRDefault="007A2B06" w:rsidP="007A2B06">
      <w:pPr>
        <w:pStyle w:val="ListParagraph"/>
        <w:numPr>
          <w:ilvl w:val="0"/>
          <w:numId w:val="3"/>
        </w:numPr>
        <w:tabs>
          <w:tab w:val="left" w:pos="720"/>
        </w:tabs>
        <w:spacing w:before="0"/>
        <w:ind w:right="29"/>
        <w:rPr>
          <w:rFonts w:eastAsiaTheme="minorHAnsi" w:cs="Times New Roman"/>
        </w:rPr>
      </w:pPr>
      <w:r w:rsidRPr="006424ED">
        <w:t>En segundo lugar,</w:t>
      </w:r>
      <w:r w:rsidRPr="006424ED">
        <w:rPr>
          <w:rFonts w:eastAsiaTheme="minorHAnsi" w:cs="Times New Roman"/>
        </w:rPr>
        <w:t xml:space="preserve"> </w:t>
      </w:r>
      <w:r w:rsidRPr="006424ED">
        <w:rPr>
          <w:lang w:val="es-MX"/>
        </w:rPr>
        <w:t>el Presidente advierte que si bien los objetos propuestos de los peritos</w:t>
      </w:r>
      <w:r w:rsidRPr="006424ED">
        <w:rPr>
          <w:rFonts w:eastAsiaTheme="minorHAnsi" w:cs="Times New Roman"/>
        </w:rPr>
        <w:t xml:space="preserve"> Manco </w:t>
      </w:r>
      <w:proofErr w:type="spellStart"/>
      <w:r w:rsidRPr="006424ED">
        <w:rPr>
          <w:rFonts w:eastAsiaTheme="minorHAnsi" w:cs="Times New Roman"/>
        </w:rPr>
        <w:t>Zaconetti</w:t>
      </w:r>
      <w:proofErr w:type="spellEnd"/>
      <w:r w:rsidRPr="006424ED">
        <w:rPr>
          <w:rFonts w:eastAsiaTheme="minorHAnsi" w:cs="Times New Roman"/>
        </w:rPr>
        <w:t xml:space="preserve"> y </w:t>
      </w:r>
      <w:proofErr w:type="spellStart"/>
      <w:r w:rsidRPr="006424ED">
        <w:rPr>
          <w:rFonts w:eastAsiaTheme="minorHAnsi" w:cs="Times New Roman"/>
        </w:rPr>
        <w:t>Bernedo</w:t>
      </w:r>
      <w:proofErr w:type="spellEnd"/>
      <w:r w:rsidRPr="006424ED">
        <w:rPr>
          <w:rFonts w:eastAsiaTheme="minorHAnsi" w:cs="Times New Roman"/>
        </w:rPr>
        <w:t xml:space="preserve"> Alvarado</w:t>
      </w:r>
      <w:r w:rsidRPr="006424ED">
        <w:rPr>
          <w:lang w:val="es-MX"/>
        </w:rPr>
        <w:t xml:space="preserve"> en algunos aspectos muy puntuales presentan una cierta coincidencia o similitud, los dos peritajes claramente tienen un contenido y alcance propio. Sin perjuicio de ello, es pertinente recordar que corresponde a cada parte determinar su estrategia de litigio. La relevancia y pertinencia de la prueba ofrecida por las partes en el trámite del proceso, </w:t>
      </w:r>
      <w:r w:rsidRPr="00F7554B">
        <w:rPr>
          <w:lang w:val="es-MX"/>
        </w:rPr>
        <w:t>así como una eventual superabundancia o inutilidad de la misma, hace</w:t>
      </w:r>
      <w:r w:rsidRPr="006424ED">
        <w:rPr>
          <w:lang w:val="es-MX"/>
        </w:rPr>
        <w:t xml:space="preserve"> parte de su respectiva estrategia de litigio</w:t>
      </w:r>
      <w:r w:rsidRPr="006424ED">
        <w:rPr>
          <w:rStyle w:val="FootnoteReference"/>
          <w:sz w:val="20"/>
          <w:szCs w:val="20"/>
          <w:lang w:val="es-MX"/>
        </w:rPr>
        <w:footnoteReference w:id="17"/>
      </w:r>
      <w:r w:rsidRPr="006424ED">
        <w:rPr>
          <w:lang w:val="es-MX"/>
        </w:rPr>
        <w:t>. En este caso, el Estado también ha tenido oportunidad de ofrecer la prueba que ha estimado pertinente que este Tribunal reciba</w:t>
      </w:r>
      <w:r w:rsidRPr="006424ED">
        <w:rPr>
          <w:lang w:val="es-ES" w:eastAsia="es-ES"/>
        </w:rPr>
        <w:t xml:space="preserve">. En este sentido, no es </w:t>
      </w:r>
      <w:r w:rsidRPr="006424ED">
        <w:rPr>
          <w:lang w:val="es-MX"/>
        </w:rPr>
        <w:t>procedente la solicitud del Estado de que se excluyan los peritajes ofrecidos o se limiten sus objetos</w:t>
      </w:r>
      <w:r w:rsidRPr="006424ED">
        <w:t>.</w:t>
      </w:r>
    </w:p>
    <w:p w:rsidR="007A2B06" w:rsidRPr="006424ED" w:rsidRDefault="007A2B06" w:rsidP="007A2B06">
      <w:pPr>
        <w:pStyle w:val="ListParagraph"/>
        <w:numPr>
          <w:ilvl w:val="0"/>
          <w:numId w:val="0"/>
        </w:numPr>
        <w:spacing w:before="0"/>
        <w:rPr>
          <w:rFonts w:eastAsiaTheme="minorHAnsi" w:cs="Times New Roman"/>
        </w:rPr>
      </w:pPr>
    </w:p>
    <w:p w:rsidR="0077269F" w:rsidRPr="0077269F" w:rsidRDefault="007A2B06" w:rsidP="007A2B06">
      <w:pPr>
        <w:pStyle w:val="ListParagraph"/>
        <w:numPr>
          <w:ilvl w:val="0"/>
          <w:numId w:val="3"/>
        </w:numPr>
        <w:tabs>
          <w:tab w:val="left" w:pos="720"/>
        </w:tabs>
        <w:spacing w:before="0"/>
        <w:rPr>
          <w:rFonts w:eastAsiaTheme="minorHAnsi" w:cs="Times New Roman"/>
        </w:rPr>
      </w:pPr>
      <w:r w:rsidRPr="006424ED">
        <w:rPr>
          <w:lang w:val="es-AR"/>
        </w:rPr>
        <w:t xml:space="preserve">En tercer lugar, </w:t>
      </w:r>
      <w:r w:rsidRPr="006424ED">
        <w:t xml:space="preserve">es importante advertir que una parte fundamental de los argumentos </w:t>
      </w:r>
      <w:r w:rsidRPr="006424ED">
        <w:rPr>
          <w:rFonts w:eastAsiaTheme="minorHAnsi" w:cs="Times New Roman"/>
        </w:rPr>
        <w:t xml:space="preserve">planteados por la </w:t>
      </w:r>
      <w:r w:rsidRPr="006424ED">
        <w:t>interviniente común Carolina Loa</w:t>
      </w:r>
      <w:r>
        <w:t>y</w:t>
      </w:r>
      <w:r w:rsidRPr="006424ED">
        <w:t>za Tamayo</w:t>
      </w:r>
      <w:r w:rsidR="00F7554B">
        <w:t>,</w:t>
      </w:r>
      <w:r w:rsidRPr="006424ED">
        <w:t xml:space="preserve"> en su escrito de </w:t>
      </w:r>
      <w:r w:rsidR="00F7554B">
        <w:t xml:space="preserve">solicitudes y </w:t>
      </w:r>
      <w:r w:rsidRPr="006424ED">
        <w:t>argumentos</w:t>
      </w:r>
      <w:r w:rsidR="00F7554B">
        <w:t>,</w:t>
      </w:r>
      <w:r w:rsidRPr="006424ED">
        <w:t xml:space="preserve"> se refiere a la alegada </w:t>
      </w:r>
      <w:proofErr w:type="spellStart"/>
      <w:r w:rsidRPr="006424ED">
        <w:rPr>
          <w:rFonts w:eastAsiaTheme="minorHAnsi" w:cs="Times New Roman"/>
        </w:rPr>
        <w:t>justiciabilidad</w:t>
      </w:r>
      <w:proofErr w:type="spellEnd"/>
      <w:r w:rsidRPr="006424ED">
        <w:rPr>
          <w:rFonts w:eastAsiaTheme="minorHAnsi" w:cs="Times New Roman"/>
        </w:rPr>
        <w:t xml:space="preserve"> de los derechos económicos, sociales y culturales, la presunta afectación del derecho al trabajo, de los </w:t>
      </w:r>
      <w:r w:rsidRPr="006424ED">
        <w:rPr>
          <w:rFonts w:eastAsiaTheme="minorHAnsi"/>
        </w:rPr>
        <w:t>derechos laborales</w:t>
      </w:r>
      <w:r w:rsidRPr="006424ED">
        <w:rPr>
          <w:rFonts w:eastAsiaTheme="minorHAnsi" w:cs="Times New Roman"/>
        </w:rPr>
        <w:t xml:space="preserve"> y del derecho a la libertad sindical, así como las </w:t>
      </w:r>
      <w:r w:rsidRPr="006424ED">
        <w:rPr>
          <w:rFonts w:eastAsiaTheme="minorHAnsi"/>
        </w:rPr>
        <w:t>causales de término de la carrera administrativa y</w:t>
      </w:r>
      <w:r w:rsidRPr="006424ED">
        <w:rPr>
          <w:rFonts w:eastAsiaTheme="minorHAnsi" w:cs="Times New Roman"/>
        </w:rPr>
        <w:t xml:space="preserve"> </w:t>
      </w:r>
      <w:r w:rsidRPr="006424ED">
        <w:rPr>
          <w:rFonts w:eastAsiaTheme="minorHAnsi" w:cs="Times New Roman"/>
        </w:rPr>
        <w:lastRenderedPageBreak/>
        <w:t xml:space="preserve">los </w:t>
      </w:r>
      <w:r w:rsidRPr="006424ED">
        <w:rPr>
          <w:rFonts w:eastAsiaTheme="minorHAnsi"/>
        </w:rPr>
        <w:t>procesos de privatización de empresas estatales referidas en el presente caso</w:t>
      </w:r>
      <w:r w:rsidRPr="006424ED">
        <w:t xml:space="preserve">. En este sentido, se hace notar la idoneidad y pertinencia de los peritajes en estos extremos. Sin embargo, cabe recordar que </w:t>
      </w:r>
      <w:r w:rsidRPr="006424ED">
        <w:rPr>
          <w:bCs/>
          <w:iCs/>
        </w:rPr>
        <w:t>el hecho de que esta Presidencia ordene recibir esta prueba no implica una decisión o prejuzgamiento respecto al fondo del caso</w:t>
      </w:r>
      <w:r w:rsidRPr="006424ED">
        <w:rPr>
          <w:rStyle w:val="FootnoteReference"/>
          <w:bCs/>
          <w:iCs/>
          <w:sz w:val="20"/>
          <w:szCs w:val="20"/>
        </w:rPr>
        <w:footnoteReference w:id="18"/>
      </w:r>
      <w:r w:rsidRPr="006424ED">
        <w:rPr>
          <w:bCs/>
          <w:iCs/>
        </w:rPr>
        <w:t>. Una vez que la prueba sea recabada, el Estado se encontrará en oportunidad de presentar las observaciones que estime pertinentes respecto de su contenido</w:t>
      </w:r>
      <w:r w:rsidRPr="006424ED">
        <w:rPr>
          <w:rStyle w:val="FootnoteReference"/>
          <w:bCs/>
          <w:iCs/>
          <w:sz w:val="20"/>
          <w:szCs w:val="20"/>
        </w:rPr>
        <w:footnoteReference w:id="19"/>
      </w:r>
      <w:r w:rsidRPr="006424ED">
        <w:rPr>
          <w:bCs/>
          <w:iCs/>
        </w:rPr>
        <w:t xml:space="preserve">. </w:t>
      </w:r>
    </w:p>
    <w:p w:rsidR="0077269F" w:rsidRPr="003200AB" w:rsidRDefault="0077269F" w:rsidP="0077269F">
      <w:pPr>
        <w:pStyle w:val="ListParagraph"/>
        <w:numPr>
          <w:ilvl w:val="0"/>
          <w:numId w:val="0"/>
        </w:numPr>
        <w:spacing w:before="0"/>
        <w:rPr>
          <w:rFonts w:eastAsiaTheme="minorHAnsi" w:cs="Times New Roman"/>
        </w:rPr>
      </w:pPr>
    </w:p>
    <w:p w:rsidR="007A2B06" w:rsidRPr="006424ED" w:rsidRDefault="007A2B06" w:rsidP="007A2B06">
      <w:pPr>
        <w:pStyle w:val="ListParagraph"/>
        <w:numPr>
          <w:ilvl w:val="0"/>
          <w:numId w:val="3"/>
        </w:numPr>
        <w:tabs>
          <w:tab w:val="left" w:pos="720"/>
        </w:tabs>
        <w:spacing w:before="0"/>
        <w:rPr>
          <w:rFonts w:eastAsiaTheme="minorHAnsi" w:cs="Times New Roman"/>
        </w:rPr>
      </w:pPr>
      <w:r w:rsidRPr="006424ED">
        <w:t xml:space="preserve">En cuarto lugar, se recuerda que no es necesario que el perito tenga un conocimiento directo de los hechos del caso o </w:t>
      </w:r>
      <w:r w:rsidR="009B74E5">
        <w:t xml:space="preserve">que </w:t>
      </w:r>
      <w:r w:rsidRPr="006424ED">
        <w:t>su declaración busque establecer la veracidad de los mismos</w:t>
      </w:r>
      <w:r w:rsidRPr="006424ED">
        <w:rPr>
          <w:rStyle w:val="FootnoteReference"/>
          <w:sz w:val="20"/>
          <w:szCs w:val="20"/>
        </w:rPr>
        <w:footnoteReference w:id="20"/>
      </w:r>
      <w:r w:rsidRPr="006424ED">
        <w:t>. Al respecto, de la hoja de vida de los peritos se desprende que tienen especial conocimiento en los temas incluidos en el objeto propuesto de su peritaje</w:t>
      </w:r>
      <w:r w:rsidRPr="006424ED">
        <w:rPr>
          <w:rStyle w:val="FootnoteReference"/>
          <w:sz w:val="20"/>
          <w:szCs w:val="20"/>
        </w:rPr>
        <w:footnoteReference w:id="21"/>
      </w:r>
      <w:r w:rsidRPr="006424ED">
        <w:t xml:space="preserve">. Así pues, en los términos en que fueron ofrecidos por la interviniente común, el Estado no ha desvirtuado la pertinencia de los peritajes en relación con los hechos del presente caso, ni ha demostrado que los peritos carezcan de calificaciones o de idoneidad para presentar un dictamen sobre los temas para los que su declaración fue propuesta. </w:t>
      </w:r>
    </w:p>
    <w:p w:rsidR="007A2B06" w:rsidRPr="006424ED" w:rsidRDefault="007A2B06" w:rsidP="007A2B06">
      <w:pPr>
        <w:pStyle w:val="ListParagraph"/>
        <w:numPr>
          <w:ilvl w:val="0"/>
          <w:numId w:val="0"/>
        </w:numPr>
        <w:spacing w:before="0"/>
        <w:rPr>
          <w:rFonts w:eastAsiaTheme="minorHAnsi" w:cs="Times New Roman"/>
        </w:rPr>
      </w:pPr>
    </w:p>
    <w:p w:rsidR="00FE6750" w:rsidRDefault="007A2B06" w:rsidP="00FE6750">
      <w:pPr>
        <w:pStyle w:val="ListParagraph"/>
        <w:numPr>
          <w:ilvl w:val="0"/>
          <w:numId w:val="3"/>
        </w:numPr>
        <w:tabs>
          <w:tab w:val="left" w:pos="720"/>
        </w:tabs>
        <w:spacing w:before="0"/>
        <w:ind w:right="29"/>
        <w:rPr>
          <w:rFonts w:eastAsiaTheme="minorHAnsi" w:cs="Times New Roman"/>
        </w:rPr>
      </w:pPr>
      <w:r w:rsidRPr="006424ED">
        <w:t xml:space="preserve">Por las razones expuestas, el Presidente estima pertinente que la Corte reciba los dictámenes periciales de los señores </w:t>
      </w:r>
      <w:r w:rsidRPr="006424ED">
        <w:rPr>
          <w:rFonts w:eastAsiaTheme="minorHAnsi"/>
        </w:rPr>
        <w:t xml:space="preserve">Jorge Eusebio Manco </w:t>
      </w:r>
      <w:proofErr w:type="spellStart"/>
      <w:r w:rsidRPr="006424ED">
        <w:rPr>
          <w:rFonts w:eastAsiaTheme="minorHAnsi"/>
        </w:rPr>
        <w:t>Zaconetti</w:t>
      </w:r>
      <w:proofErr w:type="spellEnd"/>
      <w:r w:rsidRPr="006424ED">
        <w:rPr>
          <w:rFonts w:eastAsiaTheme="minorHAnsi"/>
        </w:rPr>
        <w:t xml:space="preserve">, Jorge Guido </w:t>
      </w:r>
      <w:proofErr w:type="spellStart"/>
      <w:r w:rsidRPr="006424ED">
        <w:rPr>
          <w:rFonts w:eastAsiaTheme="minorHAnsi"/>
        </w:rPr>
        <w:t>Bernedo</w:t>
      </w:r>
      <w:proofErr w:type="spellEnd"/>
      <w:r w:rsidRPr="006424ED">
        <w:rPr>
          <w:rFonts w:eastAsiaTheme="minorHAnsi"/>
        </w:rPr>
        <w:t xml:space="preserve"> Alvarado y</w:t>
      </w:r>
      <w:r w:rsidRPr="006424ED">
        <w:rPr>
          <w:rFonts w:eastAsiaTheme="minorHAnsi" w:cs="Times New Roman"/>
        </w:rPr>
        <w:t xml:space="preserve"> </w:t>
      </w:r>
      <w:r w:rsidRPr="006424ED">
        <w:rPr>
          <w:rFonts w:eastAsiaTheme="minorHAnsi"/>
        </w:rPr>
        <w:t xml:space="preserve">Christian </w:t>
      </w:r>
      <w:proofErr w:type="spellStart"/>
      <w:r w:rsidRPr="006424ED">
        <w:rPr>
          <w:rFonts w:eastAsiaTheme="minorHAnsi"/>
        </w:rPr>
        <w:t>Courtis</w:t>
      </w:r>
      <w:proofErr w:type="spellEnd"/>
      <w:r w:rsidRPr="006424ED">
        <w:t>, según el objeto y modalidad determinados en la parte resolutiva de esta decisión.</w:t>
      </w:r>
    </w:p>
    <w:p w:rsidR="00FE6750" w:rsidRPr="00FE6750" w:rsidRDefault="00FE6750" w:rsidP="00FE6750">
      <w:pPr>
        <w:pStyle w:val="ListParagraph"/>
        <w:numPr>
          <w:ilvl w:val="0"/>
          <w:numId w:val="0"/>
        </w:numPr>
        <w:spacing w:before="0"/>
        <w:ind w:right="29"/>
        <w:rPr>
          <w:rFonts w:eastAsiaTheme="minorHAnsi" w:cs="Times New Roman"/>
        </w:rPr>
      </w:pPr>
    </w:p>
    <w:p w:rsidR="00FE6750" w:rsidRPr="00BE2C67" w:rsidRDefault="00FE6750" w:rsidP="00FE6750">
      <w:pPr>
        <w:pStyle w:val="NoSpacing"/>
        <w:numPr>
          <w:ilvl w:val="0"/>
          <w:numId w:val="4"/>
        </w:numPr>
        <w:tabs>
          <w:tab w:val="left" w:pos="567"/>
        </w:tabs>
        <w:jc w:val="both"/>
        <w:rPr>
          <w:rFonts w:ascii="Verdana" w:hAnsi="Verdana" w:cs="Verdana"/>
          <w:b/>
          <w:bCs/>
          <w:i/>
          <w:iCs/>
          <w:sz w:val="20"/>
          <w:szCs w:val="20"/>
          <w:lang w:val="es-CR"/>
        </w:rPr>
      </w:pPr>
      <w:r w:rsidRPr="00BE2C67">
        <w:rPr>
          <w:rFonts w:ascii="Verdana" w:hAnsi="Verdana" w:cs="Verdana"/>
          <w:b/>
          <w:bCs/>
          <w:i/>
          <w:iCs/>
          <w:sz w:val="20"/>
          <w:szCs w:val="20"/>
          <w:lang w:val="es-CR"/>
        </w:rPr>
        <w:t>Aplicación del Fondo de Asistencia Legal de Víctimas ante la Corte</w:t>
      </w:r>
    </w:p>
    <w:p w:rsidR="00FE6750" w:rsidRPr="00BE2C67" w:rsidRDefault="00FE6750" w:rsidP="00FE6750">
      <w:pPr>
        <w:pStyle w:val="ListParagraph"/>
        <w:numPr>
          <w:ilvl w:val="0"/>
          <w:numId w:val="0"/>
        </w:numPr>
        <w:tabs>
          <w:tab w:val="left" w:pos="708"/>
        </w:tabs>
        <w:spacing w:before="0"/>
        <w:rPr>
          <w:lang w:eastAsia="es-ES"/>
        </w:rPr>
      </w:pPr>
    </w:p>
    <w:p w:rsidR="00FE6750" w:rsidRPr="00BE2C67" w:rsidRDefault="00FE6750" w:rsidP="00FE6750">
      <w:pPr>
        <w:pStyle w:val="ListParagraph"/>
        <w:numPr>
          <w:ilvl w:val="0"/>
          <w:numId w:val="3"/>
        </w:numPr>
        <w:tabs>
          <w:tab w:val="left" w:pos="567"/>
          <w:tab w:val="left" w:pos="810"/>
        </w:tabs>
        <w:spacing w:before="0"/>
        <w:rPr>
          <w:lang w:eastAsia="es-ES"/>
        </w:rPr>
      </w:pPr>
      <w:r w:rsidRPr="00BE2C67">
        <w:rPr>
          <w:rFonts w:cs="Times"/>
          <w:lang w:val="es-ES_tradnl" w:eastAsia="es-ES"/>
        </w:rPr>
        <w:t xml:space="preserve">En la Resolución adoptada por </w:t>
      </w:r>
      <w:r>
        <w:rPr>
          <w:rFonts w:cs="Times"/>
          <w:lang w:val="es-ES_tradnl" w:eastAsia="es-ES"/>
        </w:rPr>
        <w:t>la</w:t>
      </w:r>
      <w:r w:rsidRPr="00BE2C67">
        <w:rPr>
          <w:rFonts w:cs="Times"/>
          <w:lang w:val="es-ES_tradnl" w:eastAsia="es-ES"/>
        </w:rPr>
        <w:t xml:space="preserve"> Presidencia </w:t>
      </w:r>
      <w:r>
        <w:rPr>
          <w:rFonts w:cs="Times"/>
          <w:lang w:val="es-ES_tradnl" w:eastAsia="es-ES"/>
        </w:rPr>
        <w:t>el</w:t>
      </w:r>
      <w:r w:rsidRPr="00BE2C67">
        <w:rPr>
          <w:rFonts w:cs="Times"/>
          <w:lang w:val="es-ES_tradnl" w:eastAsia="es-ES"/>
        </w:rPr>
        <w:t xml:space="preserve"> 2</w:t>
      </w:r>
      <w:r>
        <w:rPr>
          <w:rFonts w:cs="Times"/>
          <w:lang w:val="es-ES_tradnl" w:eastAsia="es-ES"/>
        </w:rPr>
        <w:t>2</w:t>
      </w:r>
      <w:r w:rsidRPr="00BE2C67">
        <w:rPr>
          <w:rFonts w:cs="Times"/>
          <w:lang w:val="es-ES_tradnl" w:eastAsia="es-ES"/>
        </w:rPr>
        <w:t xml:space="preserve"> de junio de 2016 (</w:t>
      </w:r>
      <w:r w:rsidRPr="00BE2C67">
        <w:rPr>
          <w:rFonts w:cs="Times"/>
          <w:i/>
          <w:lang w:val="es-ES_tradnl" w:eastAsia="es-ES"/>
        </w:rPr>
        <w:t xml:space="preserve">supra </w:t>
      </w:r>
      <w:r>
        <w:rPr>
          <w:rFonts w:cs="Times"/>
          <w:lang w:val="es-ES_tradnl" w:eastAsia="es-ES"/>
        </w:rPr>
        <w:t>V</w:t>
      </w:r>
      <w:r w:rsidRPr="00BE2C67">
        <w:rPr>
          <w:rFonts w:cs="Times"/>
          <w:lang w:val="es-ES_tradnl" w:eastAsia="es-ES"/>
        </w:rPr>
        <w:t xml:space="preserve">isto </w:t>
      </w:r>
      <w:r>
        <w:rPr>
          <w:rFonts w:cs="Times"/>
          <w:lang w:val="es-ES_tradnl" w:eastAsia="es-ES"/>
        </w:rPr>
        <w:t>3</w:t>
      </w:r>
      <w:r w:rsidRPr="00BE2C67">
        <w:rPr>
          <w:rFonts w:cs="Times"/>
          <w:lang w:val="es-ES_tradnl" w:eastAsia="es-ES"/>
        </w:rPr>
        <w:t xml:space="preserve">), se resolvió </w:t>
      </w:r>
      <w:r w:rsidRPr="00BE2C67">
        <w:rPr>
          <w:lang w:val="es-ES_tradnl" w:eastAsia="es-ES"/>
        </w:rPr>
        <w:t>declarar</w:t>
      </w:r>
      <w:r w:rsidRPr="00BE2C67">
        <w:rPr>
          <w:rFonts w:cs="Times"/>
          <w:lang w:val="es-ES_tradnl" w:eastAsia="es-ES"/>
        </w:rPr>
        <w:t xml:space="preserve"> procedente la solicitud realizada por </w:t>
      </w:r>
      <w:r>
        <w:rPr>
          <w:rFonts w:cs="Times"/>
          <w:lang w:val="es-ES_tradnl" w:eastAsia="es-ES"/>
        </w:rPr>
        <w:t>un grupo de</w:t>
      </w:r>
      <w:r w:rsidRPr="00BE2C67">
        <w:rPr>
          <w:rFonts w:cs="Times"/>
          <w:lang w:val="es-ES_tradnl" w:eastAsia="es-ES"/>
        </w:rPr>
        <w:t xml:space="preserve"> presuntas víctimas, a través de la interviniente común Carolina Loa</w:t>
      </w:r>
      <w:r>
        <w:rPr>
          <w:rFonts w:cs="Times"/>
          <w:lang w:val="es-ES_tradnl" w:eastAsia="es-ES"/>
        </w:rPr>
        <w:t>y</w:t>
      </w:r>
      <w:r w:rsidRPr="00BE2C67">
        <w:rPr>
          <w:rFonts w:cs="Times"/>
          <w:lang w:val="es-ES_tradnl" w:eastAsia="es-ES"/>
        </w:rPr>
        <w:t xml:space="preserve">za Tamayo, </w:t>
      </w:r>
      <w:r w:rsidRPr="00BE2C67">
        <w:rPr>
          <w:lang w:val="es-ES_tradnl" w:eastAsia="es-ES"/>
        </w:rPr>
        <w:t xml:space="preserve">para acogerse al Fondo de Asistencia Legal de Víctimas de la Corte Interamericana. En dicha Resolución se resolvió que se otorgaría a las presuntas víctimas el apoyo económico necesario para la presentación de </w:t>
      </w:r>
      <w:r w:rsidRPr="008C79F1">
        <w:rPr>
          <w:spacing w:val="-2"/>
        </w:rPr>
        <w:t>dos declaraciones de presuntas víctimas y un peritaje, ya sea en audiencia o por affidávit, así como la comparecencia de la señora Carolina Loayza Tamayo en la audiencia pública</w:t>
      </w:r>
      <w:r w:rsidRPr="00BE2C67">
        <w:rPr>
          <w:lang w:val="es-ES_tradnl" w:eastAsia="es-ES"/>
        </w:rPr>
        <w:t>.</w:t>
      </w:r>
      <w:r w:rsidRPr="00BE2C67">
        <w:rPr>
          <w:rFonts w:cs="Times"/>
          <w:lang w:val="es-ES_tradnl" w:eastAsia="es-ES"/>
        </w:rPr>
        <w:t xml:space="preserve"> </w:t>
      </w:r>
      <w:r>
        <w:t>Corresponde seguidamente precisar el destino y objeto específicos de dicha asistencia.</w:t>
      </w:r>
      <w:r w:rsidRPr="00F04E24">
        <w:t xml:space="preserve"> </w:t>
      </w:r>
    </w:p>
    <w:p w:rsidR="00FE6750" w:rsidRPr="00BE2C67" w:rsidRDefault="00FE6750" w:rsidP="00FE6750">
      <w:pPr>
        <w:pStyle w:val="ListParagraph"/>
        <w:numPr>
          <w:ilvl w:val="0"/>
          <w:numId w:val="0"/>
        </w:numPr>
        <w:tabs>
          <w:tab w:val="left" w:pos="708"/>
        </w:tabs>
        <w:spacing w:before="0"/>
        <w:rPr>
          <w:lang w:eastAsia="es-ES"/>
        </w:rPr>
      </w:pPr>
    </w:p>
    <w:p w:rsidR="00FE6750" w:rsidRDefault="00FE6750" w:rsidP="00FE6750">
      <w:pPr>
        <w:pStyle w:val="ListParagraph"/>
        <w:numPr>
          <w:ilvl w:val="0"/>
          <w:numId w:val="3"/>
        </w:numPr>
        <w:tabs>
          <w:tab w:val="left" w:pos="567"/>
          <w:tab w:val="left" w:pos="810"/>
          <w:tab w:val="left" w:pos="3690"/>
        </w:tabs>
        <w:spacing w:before="0"/>
      </w:pPr>
      <w:bookmarkStart w:id="8" w:name="_Ref453009957"/>
      <w:r w:rsidRPr="00EA0C19">
        <w:rPr>
          <w:rFonts w:cs="Times"/>
          <w:lang w:val="es-ES_tradnl" w:eastAsia="es-ES"/>
        </w:rPr>
        <w:t xml:space="preserve">El </w:t>
      </w:r>
      <w:r w:rsidRPr="003200AB">
        <w:rPr>
          <w:spacing w:val="-2"/>
        </w:rPr>
        <w:t>Presidente</w:t>
      </w:r>
      <w:r w:rsidRPr="00EA0C19">
        <w:rPr>
          <w:rFonts w:cs="Times"/>
          <w:lang w:val="es-ES_tradnl" w:eastAsia="es-ES"/>
        </w:rPr>
        <w:t xml:space="preserve"> dispone que la asistencia económica estará asignada para cubrir los </w:t>
      </w:r>
      <w:r w:rsidRPr="00EA0C19">
        <w:rPr>
          <w:lang w:val="es-ES_tradnl" w:eastAsia="es-ES"/>
        </w:rPr>
        <w:t>gastos</w:t>
      </w:r>
      <w:r w:rsidRPr="00EA0C19">
        <w:rPr>
          <w:rFonts w:cs="Times"/>
          <w:lang w:val="es-ES_tradnl" w:eastAsia="es-ES"/>
        </w:rPr>
        <w:t xml:space="preserve"> de viaje y estadía necesarios para que la presunta víctima </w:t>
      </w:r>
      <w:proofErr w:type="spellStart"/>
      <w:r w:rsidRPr="008D687E">
        <w:rPr>
          <w:rFonts w:eastAsiaTheme="minorHAnsi"/>
        </w:rPr>
        <w:t>Isi</w:t>
      </w:r>
      <w:proofErr w:type="spellEnd"/>
      <w:r w:rsidRPr="008D687E">
        <w:rPr>
          <w:rFonts w:eastAsiaTheme="minorHAnsi"/>
        </w:rPr>
        <w:t xml:space="preserve"> Antonia Rosas Meléndez</w:t>
      </w:r>
      <w:r w:rsidRPr="00EA0C19">
        <w:rPr>
          <w:rFonts w:eastAsiaTheme="minorHAnsi"/>
        </w:rPr>
        <w:t xml:space="preserve"> y el perito Christian </w:t>
      </w:r>
      <w:proofErr w:type="spellStart"/>
      <w:r w:rsidRPr="00EA0C19">
        <w:rPr>
          <w:rFonts w:eastAsiaTheme="minorHAnsi"/>
        </w:rPr>
        <w:t>Courtis</w:t>
      </w:r>
      <w:proofErr w:type="spellEnd"/>
      <w:r w:rsidRPr="00EA0C19">
        <w:rPr>
          <w:rFonts w:cs="Times"/>
          <w:lang w:val="es-ES_tradnl" w:eastAsia="es-ES"/>
        </w:rPr>
        <w:t xml:space="preserve"> comparezcan ante el Tribunal a rendir sus declaraciones en la audiencia pública </w:t>
      </w:r>
      <w:r>
        <w:t>por celebrarse en el presente caso</w:t>
      </w:r>
      <w:r w:rsidRPr="00EA0C19">
        <w:rPr>
          <w:rFonts w:cs="Times"/>
          <w:lang w:val="es-ES_tradnl" w:eastAsia="es-ES"/>
        </w:rPr>
        <w:t xml:space="preserve">. </w:t>
      </w:r>
      <w:bookmarkEnd w:id="8"/>
      <w:r>
        <w:t xml:space="preserve">Adicionalmente, los gastos razonables de formalización y envío del </w:t>
      </w:r>
      <w:r w:rsidRPr="00B11DA1">
        <w:t>af</w:t>
      </w:r>
      <w:r>
        <w:t>f</w:t>
      </w:r>
      <w:r w:rsidRPr="00B11DA1">
        <w:t>idávit</w:t>
      </w:r>
      <w:r>
        <w:rPr>
          <w:i/>
        </w:rPr>
        <w:t xml:space="preserve"> </w:t>
      </w:r>
      <w:r>
        <w:t>de una declaración de presunta víctima ofrecida por la interviniente común Loayza Tamayo, según lo determine ésta, podrá ser cubierta con recursos del referido Fondo de Asistencia. L</w:t>
      </w:r>
      <w:r w:rsidRPr="00EA0C19">
        <w:t>a interviniente común Loayza Tamayo</w:t>
      </w:r>
      <w:r>
        <w:t xml:space="preserve"> deberá comunicar a la Corte el nombre del declarante cuyo </w:t>
      </w:r>
      <w:r w:rsidRPr="00B11DA1">
        <w:t>af</w:t>
      </w:r>
      <w:r>
        <w:t>f</w:t>
      </w:r>
      <w:r w:rsidRPr="00B11DA1">
        <w:t>idávit</w:t>
      </w:r>
      <w:r>
        <w:rPr>
          <w:i/>
        </w:rPr>
        <w:t xml:space="preserve"> </w:t>
      </w:r>
      <w:r>
        <w:t>será cubierto por el Fondo y remitir la cotización del costo de la formalización de la declaración jurada en el país de residencia del declarante y de su envío, en el plazo establecido en la parte resolutiva de esta decisión.</w:t>
      </w:r>
    </w:p>
    <w:p w:rsidR="00FE6750" w:rsidRDefault="00FE6750" w:rsidP="00FE6750">
      <w:pPr>
        <w:pStyle w:val="ListParagraph"/>
        <w:numPr>
          <w:ilvl w:val="0"/>
          <w:numId w:val="0"/>
        </w:numPr>
        <w:tabs>
          <w:tab w:val="left" w:pos="567"/>
          <w:tab w:val="left" w:pos="810"/>
        </w:tabs>
        <w:spacing w:before="0"/>
        <w:rPr>
          <w:lang w:eastAsia="es-ES"/>
        </w:rPr>
      </w:pPr>
    </w:p>
    <w:p w:rsidR="00FE6750" w:rsidRPr="00BE2C67" w:rsidRDefault="00FE6750" w:rsidP="00FE6750">
      <w:pPr>
        <w:pStyle w:val="ListParagraph"/>
        <w:numPr>
          <w:ilvl w:val="0"/>
          <w:numId w:val="3"/>
        </w:numPr>
        <w:tabs>
          <w:tab w:val="left" w:pos="567"/>
          <w:tab w:val="left" w:pos="810"/>
        </w:tabs>
        <w:spacing w:before="0"/>
        <w:rPr>
          <w:lang w:eastAsia="es-ES"/>
        </w:rPr>
      </w:pPr>
      <w:r w:rsidRPr="00BE2C67">
        <w:rPr>
          <w:rFonts w:cs="Times"/>
          <w:lang w:val="es-ES_tradnl" w:eastAsia="es-ES"/>
        </w:rPr>
        <w:t xml:space="preserve">La Corte realizará las gestiones pertinentes y necesarias para cubrir los costos de traslado, alojamiento y manutención de </w:t>
      </w:r>
      <w:r>
        <w:rPr>
          <w:rFonts w:cs="Times"/>
          <w:lang w:val="es-ES_tradnl" w:eastAsia="es-ES"/>
        </w:rPr>
        <w:t>dichos</w:t>
      </w:r>
      <w:r w:rsidRPr="00BE2C67">
        <w:rPr>
          <w:rFonts w:cs="Times"/>
          <w:lang w:val="es-ES_tradnl" w:eastAsia="es-ES"/>
        </w:rPr>
        <w:t xml:space="preserve"> compareciente</w:t>
      </w:r>
      <w:r>
        <w:rPr>
          <w:rFonts w:cs="Times"/>
          <w:lang w:val="es-ES_tradnl" w:eastAsia="es-ES"/>
        </w:rPr>
        <w:t>s en la audiencia pública</w:t>
      </w:r>
      <w:r w:rsidRPr="00BE2C67">
        <w:rPr>
          <w:rFonts w:cs="Times"/>
          <w:lang w:val="es-ES_tradnl" w:eastAsia="es-ES"/>
        </w:rPr>
        <w:t xml:space="preserve"> con recursos provenientes del Fondo de Asistencia. </w:t>
      </w:r>
    </w:p>
    <w:p w:rsidR="00FE6750" w:rsidRPr="00BE2C67" w:rsidRDefault="00FE6750" w:rsidP="00FE6750">
      <w:pPr>
        <w:pStyle w:val="ListParagraph"/>
        <w:numPr>
          <w:ilvl w:val="0"/>
          <w:numId w:val="0"/>
        </w:numPr>
        <w:tabs>
          <w:tab w:val="left" w:pos="708"/>
        </w:tabs>
        <w:spacing w:before="0"/>
        <w:rPr>
          <w:lang w:eastAsia="es-ES"/>
        </w:rPr>
      </w:pPr>
    </w:p>
    <w:p w:rsidR="00FE6750" w:rsidRPr="00FC607A" w:rsidRDefault="00FE6750" w:rsidP="00FE6750">
      <w:pPr>
        <w:pStyle w:val="ListParagraph"/>
        <w:numPr>
          <w:ilvl w:val="0"/>
          <w:numId w:val="3"/>
        </w:numPr>
        <w:tabs>
          <w:tab w:val="left" w:pos="567"/>
          <w:tab w:val="left" w:pos="810"/>
        </w:tabs>
        <w:spacing w:before="0"/>
        <w:rPr>
          <w:lang w:eastAsia="es-ES"/>
        </w:rPr>
      </w:pPr>
      <w:r w:rsidRPr="00BE2C67">
        <w:rPr>
          <w:rFonts w:cs="Times"/>
          <w:lang w:val="es-ES_tradnl" w:eastAsia="es-ES"/>
        </w:rPr>
        <w:t xml:space="preserve">Finalmente, el Presidente recuerda que, </w:t>
      </w:r>
      <w:r w:rsidRPr="00FC607A">
        <w:rPr>
          <w:rFonts w:cs="Times"/>
          <w:lang w:val="es-ES_tradnl" w:eastAsia="es-ES"/>
        </w:rPr>
        <w:t>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rsidR="00FE6750" w:rsidRPr="00FC607A" w:rsidRDefault="00FE6750" w:rsidP="00FE6750">
      <w:pPr>
        <w:tabs>
          <w:tab w:val="left" w:pos="567"/>
        </w:tabs>
        <w:spacing w:before="0" w:after="0"/>
        <w:rPr>
          <w:szCs w:val="20"/>
        </w:rPr>
      </w:pPr>
    </w:p>
    <w:p w:rsidR="00FE6750" w:rsidRPr="00FC607A" w:rsidRDefault="00FE6750" w:rsidP="006A14D3">
      <w:pPr>
        <w:tabs>
          <w:tab w:val="left" w:pos="567"/>
        </w:tabs>
        <w:spacing w:before="0" w:afterLines="20" w:after="48"/>
        <w:rPr>
          <w:rFonts w:cs="Verdana"/>
          <w:b/>
          <w:bCs/>
          <w:szCs w:val="20"/>
        </w:rPr>
      </w:pPr>
      <w:r w:rsidRPr="00FC607A">
        <w:rPr>
          <w:rFonts w:cs="Verdana"/>
          <w:b/>
          <w:bCs/>
          <w:szCs w:val="20"/>
        </w:rPr>
        <w:t>POR TANTO:</w:t>
      </w:r>
    </w:p>
    <w:p w:rsidR="00FE6750" w:rsidRPr="00FC607A" w:rsidRDefault="00FE6750" w:rsidP="006A14D3">
      <w:pPr>
        <w:tabs>
          <w:tab w:val="left" w:pos="567"/>
        </w:tabs>
        <w:spacing w:before="0" w:afterLines="20" w:after="48"/>
        <w:rPr>
          <w:rFonts w:cs="Verdana"/>
          <w:b/>
          <w:bCs/>
          <w:szCs w:val="20"/>
        </w:rPr>
      </w:pPr>
    </w:p>
    <w:p w:rsidR="00FE6750" w:rsidRPr="00FC607A" w:rsidRDefault="00FE6750" w:rsidP="006A14D3">
      <w:pPr>
        <w:tabs>
          <w:tab w:val="left" w:pos="567"/>
        </w:tabs>
        <w:spacing w:before="0" w:afterLines="20" w:after="48"/>
        <w:rPr>
          <w:rFonts w:cs="Verdana"/>
          <w:b/>
          <w:bCs/>
          <w:szCs w:val="20"/>
        </w:rPr>
      </w:pPr>
      <w:r w:rsidRPr="00FC607A">
        <w:rPr>
          <w:rFonts w:cs="Verdana"/>
          <w:b/>
          <w:bCs/>
          <w:szCs w:val="20"/>
        </w:rPr>
        <w:t xml:space="preserve">EL PRESIDENTE DE LA CORTE INTERAMERICANA DE DERECHOS HUMANOS, </w:t>
      </w:r>
    </w:p>
    <w:p w:rsidR="00FE6750" w:rsidRPr="00FC607A" w:rsidRDefault="00FE6750" w:rsidP="006A14D3">
      <w:pPr>
        <w:tabs>
          <w:tab w:val="left" w:pos="567"/>
        </w:tabs>
        <w:spacing w:before="0" w:afterLines="20" w:after="48"/>
        <w:rPr>
          <w:rFonts w:cs="Verdana"/>
          <w:b/>
          <w:bCs/>
          <w:szCs w:val="20"/>
        </w:rPr>
      </w:pPr>
    </w:p>
    <w:p w:rsidR="00FE6750" w:rsidRPr="00FC607A" w:rsidRDefault="00FE6750" w:rsidP="006A14D3">
      <w:pPr>
        <w:tabs>
          <w:tab w:val="left" w:pos="567"/>
        </w:tabs>
        <w:spacing w:before="0" w:afterLines="20" w:after="48"/>
        <w:rPr>
          <w:rFonts w:cs="Verdana"/>
          <w:szCs w:val="20"/>
        </w:rPr>
      </w:pPr>
      <w:r w:rsidRPr="00FC607A">
        <w:rPr>
          <w:rFonts w:cs="Verdana"/>
          <w:szCs w:val="20"/>
        </w:rPr>
        <w:t xml:space="preserve">de conformidad con los artículos 24.1 y 25.2 del Estatuto de la Corte y con los artículos 4, 15.1, 26.1, 31.2, 35.1, 40.2, 41.1, 45, 46 a 48, 50 a 56 y 60 del Reglamento, </w:t>
      </w:r>
    </w:p>
    <w:p w:rsidR="00FE6750" w:rsidRPr="00FC607A" w:rsidRDefault="00FE6750" w:rsidP="006A14D3">
      <w:pPr>
        <w:tabs>
          <w:tab w:val="left" w:pos="567"/>
        </w:tabs>
        <w:spacing w:before="0" w:afterLines="20" w:after="48"/>
        <w:rPr>
          <w:rFonts w:cs="Verdana"/>
          <w:szCs w:val="20"/>
        </w:rPr>
      </w:pPr>
    </w:p>
    <w:p w:rsidR="00FE6750" w:rsidRPr="00FC607A" w:rsidRDefault="00FE6750" w:rsidP="006A14D3">
      <w:pPr>
        <w:tabs>
          <w:tab w:val="left" w:pos="567"/>
        </w:tabs>
        <w:spacing w:before="0" w:afterLines="20" w:after="48"/>
        <w:rPr>
          <w:rFonts w:cs="Verdana"/>
          <w:b/>
          <w:bCs/>
          <w:szCs w:val="20"/>
        </w:rPr>
      </w:pPr>
      <w:r w:rsidRPr="00FC607A">
        <w:rPr>
          <w:rFonts w:cs="Verdana"/>
          <w:b/>
          <w:bCs/>
          <w:szCs w:val="20"/>
        </w:rPr>
        <w:t>RESUELVE:</w:t>
      </w:r>
    </w:p>
    <w:p w:rsidR="00FE6750" w:rsidRPr="00FC607A" w:rsidRDefault="00FE6750" w:rsidP="006A14D3">
      <w:pPr>
        <w:tabs>
          <w:tab w:val="left" w:pos="567"/>
        </w:tabs>
        <w:spacing w:before="0" w:afterLines="20" w:after="48"/>
        <w:rPr>
          <w:rFonts w:cs="Verdana"/>
          <w:b/>
          <w:bCs/>
          <w:szCs w:val="20"/>
        </w:rPr>
      </w:pPr>
    </w:p>
    <w:p w:rsidR="00FE6750" w:rsidRPr="00FC607A" w:rsidRDefault="00FE6750" w:rsidP="006A14D3">
      <w:pPr>
        <w:numPr>
          <w:ilvl w:val="3"/>
          <w:numId w:val="21"/>
        </w:numPr>
        <w:tabs>
          <w:tab w:val="left" w:pos="567"/>
        </w:tabs>
        <w:spacing w:before="0" w:afterLines="20" w:after="48"/>
        <w:ind w:left="0" w:firstLine="0"/>
        <w:rPr>
          <w:rFonts w:eastAsia="MS Mincho" w:cs="Times"/>
          <w:szCs w:val="20"/>
        </w:rPr>
      </w:pPr>
      <w:r w:rsidRPr="00FC607A">
        <w:rPr>
          <w:rFonts w:cs="Verdana"/>
          <w:szCs w:val="20"/>
          <w:lang w:eastAsia="es-ES"/>
        </w:rPr>
        <w:t>Convocar</w:t>
      </w:r>
      <w:r w:rsidRPr="00FC607A">
        <w:rPr>
          <w:rFonts w:eastAsia="MS Mincho" w:cs="Times"/>
          <w:szCs w:val="20"/>
        </w:rPr>
        <w:t xml:space="preserve"> al Estado, </w:t>
      </w:r>
      <w:r w:rsidRPr="00FC607A">
        <w:rPr>
          <w:szCs w:val="20"/>
        </w:rPr>
        <w:t>a los intervinientes comunes</w:t>
      </w:r>
      <w:r w:rsidRPr="00FC607A">
        <w:rPr>
          <w:rFonts w:eastAsia="MS Mincho" w:cs="Times"/>
          <w:szCs w:val="20"/>
        </w:rPr>
        <w:t xml:space="preserve"> y a la Comisión Interamericana a una audiencia </w:t>
      </w:r>
      <w:r w:rsidRPr="00FC607A">
        <w:rPr>
          <w:rFonts w:cs="Verdana"/>
          <w:szCs w:val="20"/>
        </w:rPr>
        <w:t>que se celebrará los días 11 y 12 de octubre de 2016, a partir de las 1</w:t>
      </w:r>
      <w:r w:rsidR="005C5525">
        <w:rPr>
          <w:rFonts w:cs="Verdana"/>
          <w:szCs w:val="20"/>
        </w:rPr>
        <w:t>3</w:t>
      </w:r>
      <w:r w:rsidRPr="00FC607A">
        <w:rPr>
          <w:rFonts w:cs="Verdana"/>
          <w:szCs w:val="20"/>
        </w:rPr>
        <w:t xml:space="preserve">:00 horas del día 11 de octubre, durante el 56 Período Extraordinario de Sesiones, </w:t>
      </w:r>
      <w:r w:rsidRPr="00FC607A">
        <w:rPr>
          <w:szCs w:val="20"/>
        </w:rPr>
        <w:t>por realizarse en la ciudad de Quito, Ecuador</w:t>
      </w:r>
      <w:r w:rsidRPr="00FC607A">
        <w:rPr>
          <w:rFonts w:cs="Verdana"/>
          <w:szCs w:val="20"/>
        </w:rPr>
        <w:t xml:space="preserve">, </w:t>
      </w:r>
      <w:r w:rsidRPr="00FC607A">
        <w:rPr>
          <w:rFonts w:eastAsia="MS Mincho" w:cs="Times"/>
          <w:szCs w:val="20"/>
        </w:rPr>
        <w:t xml:space="preserve">para recibir sus alegatos y observaciones finales orales sobre las excepciones preliminares y eventuales fondo, reparaciones y costas en los términos del artículo 51 del Reglamento, así como las declaraciones de las siguientes personas:   </w:t>
      </w:r>
    </w:p>
    <w:p w:rsidR="00FE6750" w:rsidRPr="00FC607A" w:rsidRDefault="00FE6750" w:rsidP="006A14D3">
      <w:pPr>
        <w:tabs>
          <w:tab w:val="left" w:pos="567"/>
          <w:tab w:val="left" w:pos="851"/>
        </w:tabs>
        <w:autoSpaceDE w:val="0"/>
        <w:autoSpaceDN w:val="0"/>
        <w:adjustRightInd w:val="0"/>
        <w:spacing w:before="0" w:afterLines="20" w:after="48"/>
        <w:rPr>
          <w:rFonts w:cs="Verdana"/>
          <w:b/>
          <w:i/>
          <w:szCs w:val="20"/>
        </w:rPr>
      </w:pPr>
    </w:p>
    <w:p w:rsidR="00FE6750" w:rsidRPr="00FC607A" w:rsidRDefault="00FE6750" w:rsidP="006A14D3">
      <w:pPr>
        <w:pStyle w:val="ListParagraph"/>
        <w:widowControl/>
        <w:numPr>
          <w:ilvl w:val="0"/>
          <w:numId w:val="7"/>
        </w:numPr>
        <w:tabs>
          <w:tab w:val="left" w:pos="567"/>
        </w:tabs>
        <w:autoSpaceDE/>
        <w:adjustRightInd/>
        <w:spacing w:before="0" w:afterLines="20" w:after="48"/>
        <w:ind w:right="0"/>
        <w:rPr>
          <w:b/>
          <w:bCs/>
          <w:i/>
          <w:iCs/>
        </w:rPr>
      </w:pPr>
      <w:r w:rsidRPr="00FC607A">
        <w:rPr>
          <w:b/>
          <w:bCs/>
          <w:i/>
          <w:iCs/>
        </w:rPr>
        <w:t xml:space="preserve">Presuntas víctimas </w:t>
      </w: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bCs/>
          <w:i/>
          <w:iCs/>
        </w:rPr>
      </w:pP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bCs/>
          <w:i/>
          <w:iCs/>
        </w:rPr>
      </w:pPr>
      <w:r w:rsidRPr="00FC607A">
        <w:rPr>
          <w:bCs/>
          <w:i/>
          <w:iCs/>
        </w:rPr>
        <w:t>P</w:t>
      </w:r>
      <w:r w:rsidRPr="00FC607A">
        <w:rPr>
          <w:i/>
          <w:iCs/>
        </w:rPr>
        <w:t xml:space="preserve">ropuesta por la interviniente común </w:t>
      </w:r>
      <w:r w:rsidRPr="00FC607A">
        <w:rPr>
          <w:i/>
        </w:rPr>
        <w:t>Carolina Loayza Tamayo</w:t>
      </w:r>
    </w:p>
    <w:p w:rsidR="00FE6750" w:rsidRPr="00FC607A" w:rsidRDefault="00FE6750" w:rsidP="006A14D3">
      <w:pPr>
        <w:spacing w:before="0" w:afterLines="20" w:after="48"/>
        <w:rPr>
          <w:rFonts w:eastAsiaTheme="minorHAnsi"/>
          <w:i/>
          <w:szCs w:val="20"/>
        </w:rPr>
      </w:pPr>
    </w:p>
    <w:p w:rsidR="00FE6750" w:rsidRPr="00FC607A" w:rsidRDefault="00FE6750" w:rsidP="006A14D3">
      <w:pPr>
        <w:pStyle w:val="ListParagraph"/>
        <w:numPr>
          <w:ilvl w:val="3"/>
          <w:numId w:val="7"/>
        </w:numPr>
        <w:spacing w:before="0" w:afterLines="20" w:after="48"/>
        <w:ind w:left="720" w:firstLine="0"/>
        <w:rPr>
          <w:rFonts w:eastAsiaTheme="minorHAnsi" w:cs="Times New Roman"/>
        </w:rPr>
      </w:pPr>
      <w:proofErr w:type="spellStart"/>
      <w:r w:rsidRPr="00FC607A">
        <w:rPr>
          <w:rFonts w:eastAsiaTheme="minorHAnsi"/>
        </w:rPr>
        <w:t>Isi</w:t>
      </w:r>
      <w:proofErr w:type="spellEnd"/>
      <w:r w:rsidRPr="00FC607A">
        <w:rPr>
          <w:rFonts w:eastAsiaTheme="minorHAnsi"/>
        </w:rPr>
        <w:t xml:space="preserve"> Antonia Rosas Meléndez, </w:t>
      </w:r>
      <w:r w:rsidRPr="00FC607A">
        <w:rPr>
          <w:rFonts w:eastAsiaTheme="minorHAnsi" w:cs="Times New Roman"/>
        </w:rPr>
        <w:t xml:space="preserve">quien </w:t>
      </w:r>
      <w:r w:rsidRPr="00FC607A">
        <w:t xml:space="preserve">declarará sobre </w:t>
      </w:r>
      <w:r w:rsidRPr="00FC607A">
        <w:rPr>
          <w:rFonts w:eastAsiaTheme="minorHAnsi"/>
        </w:rPr>
        <w:t>las circunstancias de modo, tiempo y lugar en relación con el alegado cese colectivo que sufrió; la alegada falta de justicia y de reparación, así como la alegada discriminación de la que habría sido víctima; las alegadas consecuencias personales, familiares, sociales y económicas que habrían producido en su vida los hechos del caso, y el impacto en la vida de los integrantes de su familia.</w:t>
      </w:r>
    </w:p>
    <w:p w:rsidR="00FE6750" w:rsidRPr="00FC607A" w:rsidRDefault="00FE6750" w:rsidP="006A14D3">
      <w:pPr>
        <w:pStyle w:val="ListParagraph"/>
        <w:numPr>
          <w:ilvl w:val="0"/>
          <w:numId w:val="0"/>
        </w:numPr>
        <w:spacing w:before="0" w:afterLines="20" w:after="48"/>
        <w:ind w:left="1440"/>
        <w:rPr>
          <w:rFonts w:eastAsiaTheme="minorHAnsi" w:cs="Times New Roman"/>
        </w:rPr>
      </w:pPr>
    </w:p>
    <w:p w:rsidR="00FE6750" w:rsidRPr="00FC607A" w:rsidRDefault="00FE6750" w:rsidP="006A14D3">
      <w:pPr>
        <w:numPr>
          <w:ilvl w:val="0"/>
          <w:numId w:val="7"/>
        </w:numPr>
        <w:tabs>
          <w:tab w:val="left" w:pos="567"/>
        </w:tabs>
        <w:spacing w:before="0" w:afterLines="20" w:after="48"/>
        <w:rPr>
          <w:rFonts w:cs="Verdana"/>
          <w:b/>
          <w:bCs/>
          <w:i/>
          <w:iCs/>
          <w:szCs w:val="20"/>
        </w:rPr>
      </w:pPr>
      <w:r w:rsidRPr="00FC607A">
        <w:rPr>
          <w:rFonts w:cs="Verdana"/>
          <w:b/>
          <w:bCs/>
          <w:i/>
          <w:iCs/>
          <w:szCs w:val="20"/>
        </w:rPr>
        <w:t xml:space="preserve">Peritos </w:t>
      </w:r>
    </w:p>
    <w:p w:rsidR="00FE6750" w:rsidRPr="00FC607A" w:rsidRDefault="00FE6750" w:rsidP="006A14D3">
      <w:pPr>
        <w:tabs>
          <w:tab w:val="left" w:pos="1418"/>
          <w:tab w:val="left" w:pos="11682"/>
        </w:tabs>
        <w:spacing w:before="0" w:afterLines="20" w:after="48"/>
        <w:contextualSpacing/>
        <w:rPr>
          <w:rFonts w:cs="Verdana"/>
          <w:szCs w:val="20"/>
          <w:lang w:val="es-MX"/>
        </w:rPr>
      </w:pPr>
    </w:p>
    <w:p w:rsidR="00FE6750" w:rsidRPr="00FC607A" w:rsidRDefault="00FE6750" w:rsidP="006A14D3">
      <w:pPr>
        <w:tabs>
          <w:tab w:val="left" w:pos="567"/>
          <w:tab w:val="left" w:pos="1134"/>
        </w:tabs>
        <w:spacing w:before="0" w:afterLines="20" w:after="48"/>
        <w:ind w:left="720"/>
        <w:rPr>
          <w:rFonts w:cs="Verdana"/>
          <w:i/>
          <w:iCs/>
          <w:szCs w:val="20"/>
        </w:rPr>
      </w:pPr>
      <w:r w:rsidRPr="00FC607A">
        <w:rPr>
          <w:rFonts w:cs="Verdana"/>
          <w:i/>
          <w:iCs/>
          <w:szCs w:val="20"/>
        </w:rPr>
        <w:t xml:space="preserve">Propuesto por la interviniente común </w:t>
      </w:r>
      <w:r w:rsidRPr="00FC607A">
        <w:rPr>
          <w:i/>
          <w:szCs w:val="20"/>
        </w:rPr>
        <w:t>Carolina Loayza Tamayo</w:t>
      </w:r>
    </w:p>
    <w:p w:rsidR="00FE6750" w:rsidRPr="00FC607A" w:rsidRDefault="00FE6750" w:rsidP="006A14D3">
      <w:pPr>
        <w:tabs>
          <w:tab w:val="left" w:pos="567"/>
        </w:tabs>
        <w:spacing w:before="0" w:afterLines="20" w:after="48"/>
        <w:rPr>
          <w:rFonts w:cs="Verdana"/>
          <w:szCs w:val="20"/>
          <w:lang w:eastAsia="es-ES"/>
        </w:rPr>
      </w:pPr>
    </w:p>
    <w:p w:rsidR="00FE6750" w:rsidRPr="00FC607A" w:rsidRDefault="00FE6750" w:rsidP="006A14D3">
      <w:pPr>
        <w:pStyle w:val="ListParagraph"/>
        <w:numPr>
          <w:ilvl w:val="3"/>
          <w:numId w:val="7"/>
        </w:numPr>
        <w:spacing w:before="0" w:afterLines="20" w:after="48"/>
        <w:ind w:left="720" w:firstLine="0"/>
        <w:rPr>
          <w:b/>
        </w:rPr>
      </w:pPr>
      <w:r w:rsidRPr="00FC607A">
        <w:rPr>
          <w:rFonts w:eastAsiaTheme="minorHAnsi"/>
        </w:rPr>
        <w:t xml:space="preserve">Christian </w:t>
      </w:r>
      <w:proofErr w:type="spellStart"/>
      <w:r w:rsidRPr="00FC607A">
        <w:rPr>
          <w:rFonts w:eastAsiaTheme="minorHAnsi"/>
        </w:rPr>
        <w:t>Courtis</w:t>
      </w:r>
      <w:proofErr w:type="spellEnd"/>
      <w:r w:rsidRPr="00FC607A">
        <w:rPr>
          <w:rFonts w:eastAsiaTheme="minorHAnsi"/>
        </w:rPr>
        <w:t xml:space="preserve">, </w:t>
      </w:r>
      <w:r w:rsidRPr="00FC607A">
        <w:t>quien rendirá un peritaje sobre los estándares internacionales en materia de la protección del derecho al trabajo y a condiciones justas y equitativas de trabajo, y sobre su relación con los derechos protegidos por la Convención Americana sobre</w:t>
      </w:r>
      <w:r w:rsidRPr="00FC607A">
        <w:rPr>
          <w:rFonts w:cs="Times New Roman"/>
        </w:rPr>
        <w:t xml:space="preserve"> </w:t>
      </w:r>
      <w:r w:rsidRPr="00FC607A">
        <w:t>Derechos Humanos. Lo anterior, haciendo especial referencia a estándares, precedentes y jurisprudencia de otros sistemas de derechos humanos, regionales y universales distintos al sistema interamericano, así como, de ser el caso, al derecho comparado nacional. Finalmente, ejemplificará los estándares desarrollados en el peritaje aplicándolos al caso concreto.</w:t>
      </w:r>
    </w:p>
    <w:p w:rsidR="00FE6750" w:rsidRPr="00FC607A" w:rsidRDefault="00FE6750" w:rsidP="006A14D3">
      <w:pPr>
        <w:tabs>
          <w:tab w:val="left" w:pos="567"/>
        </w:tabs>
        <w:spacing w:before="0" w:afterLines="20" w:after="48"/>
        <w:rPr>
          <w:rFonts w:cs="Verdana"/>
          <w:szCs w:val="20"/>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szCs w:val="20"/>
        </w:rPr>
        <w:t>Requerir al perito convocado a declarar en audiencia que</w:t>
      </w:r>
      <w:r w:rsidR="0005624E">
        <w:rPr>
          <w:szCs w:val="20"/>
        </w:rPr>
        <w:t>,</w:t>
      </w:r>
      <w:r w:rsidRPr="00FC607A">
        <w:rPr>
          <w:szCs w:val="20"/>
        </w:rPr>
        <w:t xml:space="preserve"> de considerarlo conveniente, aporte una versión escrita de su peritaje </w:t>
      </w:r>
      <w:r w:rsidRPr="00FC607A">
        <w:rPr>
          <w:rFonts w:eastAsia="MS Mincho" w:cs="Times"/>
          <w:szCs w:val="20"/>
        </w:rPr>
        <w:t>a más tardar el 3 de octubre de 2016</w:t>
      </w:r>
      <w:r w:rsidRPr="00FC607A">
        <w:rPr>
          <w:szCs w:val="20"/>
        </w:rPr>
        <w:t>.</w:t>
      </w:r>
    </w:p>
    <w:p w:rsidR="00FE6750" w:rsidRPr="00FC607A" w:rsidRDefault="00FE6750" w:rsidP="006A14D3">
      <w:pPr>
        <w:tabs>
          <w:tab w:val="left" w:pos="567"/>
        </w:tabs>
        <w:spacing w:before="0" w:afterLines="20" w:after="48"/>
        <w:rPr>
          <w:szCs w:val="20"/>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lastRenderedPageBreak/>
        <w:t xml:space="preserve">Requerir al Estado del Perú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FE6750" w:rsidRPr="00FC607A" w:rsidRDefault="00FE6750" w:rsidP="006A14D3">
      <w:pPr>
        <w:tabs>
          <w:tab w:val="left" w:pos="567"/>
        </w:tabs>
        <w:spacing w:before="0" w:afterLines="20" w:after="48"/>
        <w:rPr>
          <w:rFonts w:cs="Verdana"/>
          <w:szCs w:val="20"/>
          <w:lang w:eastAsia="es-ES"/>
        </w:rPr>
      </w:pPr>
    </w:p>
    <w:p w:rsidR="00FE6750" w:rsidRPr="00FC607A" w:rsidRDefault="00FE6750" w:rsidP="006A14D3">
      <w:pPr>
        <w:numPr>
          <w:ilvl w:val="0"/>
          <w:numId w:val="32"/>
        </w:numPr>
        <w:tabs>
          <w:tab w:val="left" w:pos="567"/>
        </w:tabs>
        <w:spacing w:before="0" w:afterLines="20" w:after="48"/>
        <w:rPr>
          <w:rFonts w:cs="Verdana"/>
          <w:szCs w:val="20"/>
          <w:lang w:eastAsia="es-ES"/>
        </w:rPr>
      </w:pPr>
      <w:r w:rsidRPr="00FC607A">
        <w:rPr>
          <w:rFonts w:cs="Verdana"/>
          <w:szCs w:val="20"/>
          <w:lang w:eastAsia="es-ES"/>
        </w:rPr>
        <w:t xml:space="preserve">Solicitar al Estado de Ecuador, de conformidad con lo dispuesto en el artículo 26 incisos 1 y 3 del Reglamento de la Corte, su cooperación para llevar a cabo la audiencia pública sobre excepciones preliminares y eventuales fondo, reparaciones y costas, por celebrarse en ese país, convocada mediante la presente Resolución, así como para facilitar la entrada y salida de su territorio de las personas que fueron citadas a rendir su declaración ante la Corte Interamericana en la referida audiencia y de quienes representarán a la Comisión Interamericana, al Perú y a los intervinientes comunes, representantes de las presuntas víctimas, durante la misma. Para tal efecto se dispone que la Secretaría notifique la presente Resolución a Ecuador. </w:t>
      </w:r>
    </w:p>
    <w:p w:rsidR="00FE6750" w:rsidRPr="00FC607A" w:rsidRDefault="00FE6750" w:rsidP="006A14D3">
      <w:pPr>
        <w:tabs>
          <w:tab w:val="left" w:pos="567"/>
        </w:tabs>
        <w:spacing w:before="0" w:afterLines="20" w:after="48"/>
        <w:rPr>
          <w:szCs w:val="20"/>
        </w:rPr>
      </w:pPr>
    </w:p>
    <w:p w:rsidR="00FE6750" w:rsidRPr="00FC607A" w:rsidRDefault="00FE6750" w:rsidP="006A14D3">
      <w:pPr>
        <w:numPr>
          <w:ilvl w:val="0"/>
          <w:numId w:val="32"/>
        </w:numPr>
        <w:tabs>
          <w:tab w:val="left" w:pos="567"/>
        </w:tabs>
        <w:spacing w:before="0" w:afterLines="20" w:after="48"/>
        <w:rPr>
          <w:szCs w:val="20"/>
        </w:rPr>
      </w:pPr>
      <w:r w:rsidRPr="00FC607A">
        <w:rPr>
          <w:szCs w:val="20"/>
        </w:rPr>
        <w:t>Requerir, de conformidad con el principio de economía procesal y de la facultad que le otorga el artículo 50.1 del Reglamento de la Corte, que las siguientes personas presten su declaración ante fedatario público:</w:t>
      </w:r>
      <w:bookmarkStart w:id="9" w:name="_Ref445286350"/>
    </w:p>
    <w:bookmarkEnd w:id="9"/>
    <w:p w:rsidR="00FE6750" w:rsidRPr="00FC607A" w:rsidRDefault="00FE6750" w:rsidP="006A14D3">
      <w:pPr>
        <w:pStyle w:val="ListParagraph"/>
        <w:numPr>
          <w:ilvl w:val="0"/>
          <w:numId w:val="0"/>
        </w:numPr>
        <w:tabs>
          <w:tab w:val="left" w:pos="567"/>
        </w:tabs>
        <w:spacing w:before="0" w:afterLines="20" w:after="48"/>
      </w:pPr>
    </w:p>
    <w:p w:rsidR="00FE6750" w:rsidRPr="00FC607A" w:rsidRDefault="00FE6750" w:rsidP="006A14D3">
      <w:pPr>
        <w:pStyle w:val="ListParagraph"/>
        <w:widowControl/>
        <w:numPr>
          <w:ilvl w:val="0"/>
          <w:numId w:val="14"/>
        </w:numPr>
        <w:tabs>
          <w:tab w:val="left" w:pos="567"/>
        </w:tabs>
        <w:autoSpaceDE/>
        <w:adjustRightInd/>
        <w:spacing w:before="0" w:afterLines="20" w:after="48"/>
        <w:ind w:right="0"/>
        <w:rPr>
          <w:b/>
          <w:bCs/>
          <w:i/>
          <w:iCs/>
        </w:rPr>
      </w:pPr>
      <w:r w:rsidRPr="00FC607A">
        <w:rPr>
          <w:b/>
          <w:bCs/>
          <w:i/>
          <w:iCs/>
        </w:rPr>
        <w:t>Presuntas víctimas</w:t>
      </w: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b/>
          <w:bCs/>
          <w:i/>
          <w:iCs/>
        </w:rPr>
      </w:pP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i/>
          <w:iCs/>
        </w:rPr>
      </w:pPr>
      <w:r w:rsidRPr="00FC607A">
        <w:rPr>
          <w:i/>
          <w:iCs/>
        </w:rPr>
        <w:t xml:space="preserve">Propuestas por la interviniente común </w:t>
      </w:r>
      <w:r w:rsidRPr="00FC607A">
        <w:rPr>
          <w:i/>
        </w:rPr>
        <w:t>Carolina Loayza Tamayo</w:t>
      </w:r>
    </w:p>
    <w:p w:rsidR="00FE6750" w:rsidRPr="00FC607A" w:rsidRDefault="00FE6750" w:rsidP="006A14D3">
      <w:pPr>
        <w:pStyle w:val="ListParagraph"/>
        <w:numPr>
          <w:ilvl w:val="0"/>
          <w:numId w:val="0"/>
        </w:numPr>
        <w:spacing w:before="0" w:afterLines="20" w:after="48"/>
        <w:rPr>
          <w:rFonts w:eastAsiaTheme="minorHAnsi"/>
          <w:b/>
        </w:rPr>
      </w:pPr>
    </w:p>
    <w:p w:rsidR="00FE6750" w:rsidRPr="00FC607A" w:rsidRDefault="00FE6750" w:rsidP="006A14D3">
      <w:pPr>
        <w:pStyle w:val="ListParagraph"/>
        <w:numPr>
          <w:ilvl w:val="3"/>
          <w:numId w:val="14"/>
        </w:numPr>
        <w:spacing w:before="0" w:afterLines="20" w:after="48"/>
        <w:ind w:left="720" w:firstLine="0"/>
        <w:rPr>
          <w:rFonts w:eastAsiaTheme="minorHAnsi"/>
        </w:rPr>
      </w:pPr>
      <w:r w:rsidRPr="00FC607A">
        <w:rPr>
          <w:rFonts w:eastAsiaTheme="minorHAnsi"/>
        </w:rPr>
        <w:t xml:space="preserve">Gloria Moreno Cueva, </w:t>
      </w:r>
      <w:proofErr w:type="spellStart"/>
      <w:r w:rsidRPr="00FC607A">
        <w:rPr>
          <w:rFonts w:eastAsiaTheme="minorHAnsi"/>
        </w:rPr>
        <w:t>Gerber</w:t>
      </w:r>
      <w:proofErr w:type="spellEnd"/>
      <w:r w:rsidRPr="00FC607A">
        <w:rPr>
          <w:rFonts w:eastAsiaTheme="minorHAnsi"/>
        </w:rPr>
        <w:t xml:space="preserve"> Acedo Martínez, Eduardo </w:t>
      </w:r>
      <w:proofErr w:type="spellStart"/>
      <w:r w:rsidRPr="00FC607A">
        <w:rPr>
          <w:rFonts w:eastAsiaTheme="minorHAnsi"/>
        </w:rPr>
        <w:t>Chávarry</w:t>
      </w:r>
      <w:proofErr w:type="spellEnd"/>
      <w:r w:rsidRPr="00FC607A">
        <w:rPr>
          <w:rFonts w:eastAsiaTheme="minorHAnsi"/>
        </w:rPr>
        <w:t xml:space="preserve"> Vélez, María Esther Medina Crisanto y Maritza Amaya </w:t>
      </w:r>
      <w:proofErr w:type="spellStart"/>
      <w:r w:rsidRPr="00FC607A">
        <w:rPr>
          <w:rFonts w:eastAsiaTheme="minorHAnsi"/>
        </w:rPr>
        <w:t>Cobeñas</w:t>
      </w:r>
      <w:proofErr w:type="spellEnd"/>
      <w:r w:rsidRPr="00FC607A">
        <w:rPr>
          <w:rFonts w:eastAsiaTheme="minorHAnsi"/>
        </w:rPr>
        <w:t xml:space="preserve">, quienes </w:t>
      </w:r>
      <w:r w:rsidRPr="00FC607A">
        <w:t xml:space="preserve">declararán, de manera individual, sobre </w:t>
      </w:r>
      <w:r w:rsidRPr="00FC607A">
        <w:rPr>
          <w:rFonts w:eastAsiaTheme="minorHAnsi"/>
        </w:rPr>
        <w:t>las circunstancias de modo, tiempo y lugar en relación con el alegado cese colectivo que sufrieron; la alegada falta de justicia y de reparación, así como la alegada discriminación de la que habrían sido víctimas; las alegadas consecuencias personales, familiares, sociales y económicas que habrían producido en sus vida los hechos del caso, y el impacto en la vida de los integrantes de su familia.</w:t>
      </w:r>
    </w:p>
    <w:p w:rsidR="00FE6750" w:rsidRPr="00FC607A" w:rsidRDefault="00FE6750" w:rsidP="006A14D3">
      <w:pPr>
        <w:pStyle w:val="ListParagraph"/>
        <w:numPr>
          <w:ilvl w:val="0"/>
          <w:numId w:val="0"/>
        </w:numPr>
        <w:tabs>
          <w:tab w:val="left" w:pos="567"/>
        </w:tabs>
        <w:spacing w:before="0" w:afterLines="20" w:after="48"/>
      </w:pPr>
    </w:p>
    <w:p w:rsidR="00FE6750" w:rsidRPr="00FC607A" w:rsidRDefault="00FE6750" w:rsidP="006A14D3">
      <w:pPr>
        <w:pStyle w:val="ListParagraph"/>
        <w:widowControl/>
        <w:numPr>
          <w:ilvl w:val="0"/>
          <w:numId w:val="14"/>
        </w:numPr>
        <w:tabs>
          <w:tab w:val="left" w:pos="567"/>
        </w:tabs>
        <w:autoSpaceDE/>
        <w:adjustRightInd/>
        <w:spacing w:before="0" w:afterLines="20" w:after="48"/>
        <w:ind w:right="0"/>
        <w:rPr>
          <w:b/>
          <w:bCs/>
          <w:i/>
          <w:iCs/>
        </w:rPr>
      </w:pPr>
      <w:r w:rsidRPr="00FC607A">
        <w:rPr>
          <w:b/>
          <w:bCs/>
          <w:i/>
          <w:iCs/>
        </w:rPr>
        <w:t>Testigo</w:t>
      </w: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b/>
          <w:bCs/>
          <w:i/>
          <w:iCs/>
        </w:rPr>
      </w:pP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i/>
          <w:iCs/>
        </w:rPr>
      </w:pPr>
      <w:r w:rsidRPr="00FC607A">
        <w:rPr>
          <w:i/>
          <w:iCs/>
        </w:rPr>
        <w:t>Propuesto por el Estado</w:t>
      </w:r>
    </w:p>
    <w:p w:rsidR="00FE6750" w:rsidRPr="00FC607A" w:rsidRDefault="00FE6750" w:rsidP="006A14D3">
      <w:pPr>
        <w:pStyle w:val="ListParagraph"/>
        <w:widowControl/>
        <w:numPr>
          <w:ilvl w:val="0"/>
          <w:numId w:val="0"/>
        </w:numPr>
        <w:tabs>
          <w:tab w:val="left" w:pos="567"/>
        </w:tabs>
        <w:autoSpaceDE/>
        <w:adjustRightInd/>
        <w:spacing w:before="0" w:afterLines="20" w:after="48"/>
        <w:ind w:left="720" w:right="0"/>
        <w:rPr>
          <w:i/>
          <w:iCs/>
        </w:rPr>
      </w:pPr>
    </w:p>
    <w:p w:rsidR="00FE6750" w:rsidRPr="00FC607A" w:rsidRDefault="00FE6750" w:rsidP="006A14D3">
      <w:pPr>
        <w:pStyle w:val="ListParagraph"/>
        <w:widowControl/>
        <w:numPr>
          <w:ilvl w:val="3"/>
          <w:numId w:val="14"/>
        </w:numPr>
        <w:autoSpaceDE/>
        <w:adjustRightInd/>
        <w:spacing w:before="0" w:afterLines="20" w:after="48"/>
        <w:ind w:left="720" w:right="0" w:firstLine="0"/>
        <w:rPr>
          <w:bCs/>
          <w:iCs/>
        </w:rPr>
      </w:pPr>
      <w:r w:rsidRPr="00FC607A">
        <w:rPr>
          <w:rFonts w:eastAsiaTheme="minorHAnsi" w:cs="Arial"/>
          <w:bCs/>
        </w:rPr>
        <w:t xml:space="preserve">Ricardo Gabriel </w:t>
      </w:r>
      <w:proofErr w:type="spellStart"/>
      <w:r w:rsidRPr="00FC607A">
        <w:rPr>
          <w:rFonts w:eastAsiaTheme="minorHAnsi" w:cs="Arial"/>
          <w:bCs/>
        </w:rPr>
        <w:t>Herbozo</w:t>
      </w:r>
      <w:proofErr w:type="spellEnd"/>
      <w:r w:rsidRPr="00FC607A">
        <w:rPr>
          <w:rFonts w:eastAsiaTheme="minorHAnsi" w:cs="Arial"/>
          <w:bCs/>
        </w:rPr>
        <w:t xml:space="preserve"> </w:t>
      </w:r>
      <w:proofErr w:type="spellStart"/>
      <w:r w:rsidRPr="00FC607A">
        <w:rPr>
          <w:rFonts w:eastAsiaTheme="minorHAnsi" w:cs="Arial"/>
          <w:bCs/>
        </w:rPr>
        <w:t>Colque</w:t>
      </w:r>
      <w:proofErr w:type="spellEnd"/>
      <w:r w:rsidRPr="00FC607A">
        <w:rPr>
          <w:rFonts w:eastAsiaTheme="minorHAnsi" w:cs="Arial"/>
          <w:bCs/>
        </w:rPr>
        <w:t xml:space="preserve">, quien declarará </w:t>
      </w:r>
      <w:r w:rsidRPr="00FC607A">
        <w:rPr>
          <w:rFonts w:eastAsiaTheme="minorHAnsi" w:cs="Arial"/>
        </w:rPr>
        <w:t>sobre los antecedentes de la inscripción en el Registro Nacional de Trabajadores Cesados Irregularmente y la ejecución de los beneficios otorgados a los ex trabajadores cesados irregularmente conforme el mandato de la Ley N</w:t>
      </w:r>
      <w:r w:rsidR="00107F1F">
        <w:rPr>
          <w:rFonts w:eastAsiaTheme="minorHAnsi" w:cs="Arial"/>
        </w:rPr>
        <w:t>o.</w:t>
      </w:r>
      <w:r w:rsidRPr="00FC607A">
        <w:rPr>
          <w:rFonts w:eastAsiaTheme="minorHAnsi" w:cs="Arial"/>
        </w:rPr>
        <w:t xml:space="preserve"> 27803.</w:t>
      </w:r>
    </w:p>
    <w:p w:rsidR="00FE6750" w:rsidRPr="00FC607A" w:rsidRDefault="00FE6750" w:rsidP="006A14D3">
      <w:pPr>
        <w:pStyle w:val="ListParagraph"/>
        <w:numPr>
          <w:ilvl w:val="0"/>
          <w:numId w:val="0"/>
        </w:numPr>
        <w:tabs>
          <w:tab w:val="left" w:pos="567"/>
        </w:tabs>
        <w:spacing w:before="0" w:afterLines="20" w:after="48"/>
      </w:pPr>
    </w:p>
    <w:p w:rsidR="00FE6750" w:rsidRPr="00FC607A" w:rsidRDefault="00FE6750" w:rsidP="006A14D3">
      <w:pPr>
        <w:pStyle w:val="ListParagraph"/>
        <w:widowControl/>
        <w:numPr>
          <w:ilvl w:val="0"/>
          <w:numId w:val="14"/>
        </w:numPr>
        <w:tabs>
          <w:tab w:val="left" w:pos="567"/>
        </w:tabs>
        <w:autoSpaceDE/>
        <w:adjustRightInd/>
        <w:spacing w:before="0" w:afterLines="20" w:after="48"/>
        <w:ind w:right="0"/>
        <w:rPr>
          <w:b/>
          <w:bCs/>
          <w:i/>
          <w:iCs/>
        </w:rPr>
      </w:pPr>
      <w:r w:rsidRPr="00FC607A">
        <w:rPr>
          <w:b/>
          <w:bCs/>
          <w:i/>
          <w:iCs/>
        </w:rPr>
        <w:t xml:space="preserve">Peritos </w:t>
      </w:r>
    </w:p>
    <w:p w:rsidR="00FE6750" w:rsidRPr="00FC607A" w:rsidRDefault="00FE6750" w:rsidP="006A14D3">
      <w:pPr>
        <w:tabs>
          <w:tab w:val="left" w:pos="567"/>
          <w:tab w:val="left" w:pos="1134"/>
        </w:tabs>
        <w:spacing w:before="0" w:afterLines="20" w:after="48"/>
        <w:ind w:left="720"/>
        <w:rPr>
          <w:rFonts w:cs="Verdana"/>
          <w:i/>
          <w:iCs/>
          <w:szCs w:val="20"/>
        </w:rPr>
      </w:pPr>
    </w:p>
    <w:p w:rsidR="00FE6750" w:rsidRPr="00FC607A" w:rsidRDefault="00FE6750" w:rsidP="006A14D3">
      <w:pPr>
        <w:tabs>
          <w:tab w:val="left" w:pos="567"/>
          <w:tab w:val="left" w:pos="1134"/>
        </w:tabs>
        <w:spacing w:before="0" w:afterLines="20" w:after="48"/>
        <w:ind w:left="720"/>
        <w:rPr>
          <w:rFonts w:cs="Verdana"/>
          <w:i/>
          <w:iCs/>
          <w:szCs w:val="20"/>
        </w:rPr>
      </w:pPr>
      <w:r w:rsidRPr="00FC607A">
        <w:rPr>
          <w:rFonts w:cs="Verdana"/>
          <w:i/>
          <w:iCs/>
          <w:szCs w:val="20"/>
        </w:rPr>
        <w:t>Propuesto por el Estado</w:t>
      </w:r>
    </w:p>
    <w:p w:rsidR="00FE6750" w:rsidRPr="00FC607A" w:rsidRDefault="00FE6750" w:rsidP="006A14D3">
      <w:pPr>
        <w:tabs>
          <w:tab w:val="left" w:pos="567"/>
          <w:tab w:val="left" w:pos="1134"/>
        </w:tabs>
        <w:spacing w:before="0" w:afterLines="20" w:after="48"/>
        <w:rPr>
          <w:rFonts w:cs="Verdana"/>
          <w:iCs/>
          <w:szCs w:val="20"/>
        </w:rPr>
      </w:pPr>
    </w:p>
    <w:p w:rsidR="00FE6750" w:rsidRPr="00FC607A" w:rsidRDefault="00FE6750" w:rsidP="006A14D3">
      <w:pPr>
        <w:pStyle w:val="ListParagraph"/>
        <w:numPr>
          <w:ilvl w:val="3"/>
          <w:numId w:val="5"/>
        </w:numPr>
        <w:spacing w:before="0" w:afterLines="20" w:after="48"/>
        <w:ind w:left="720" w:firstLine="0"/>
        <w:rPr>
          <w:iCs/>
        </w:rPr>
      </w:pPr>
      <w:r w:rsidRPr="00FC607A">
        <w:rPr>
          <w:rFonts w:eastAsiaTheme="minorHAnsi" w:cs="Arial"/>
          <w:bCs/>
        </w:rPr>
        <w:t xml:space="preserve">Luis Raúl Sáenz Dávalos, </w:t>
      </w:r>
      <w:r w:rsidRPr="00FC607A">
        <w:t xml:space="preserve">quien rendirá un peritaje sobre </w:t>
      </w:r>
      <w:r w:rsidRPr="00FC607A">
        <w:rPr>
          <w:rFonts w:eastAsiaTheme="minorHAnsi" w:cs="Arial"/>
        </w:rPr>
        <w:t>el contexto de la actividad jurisdiccional realizada por el Tribunal Constitucional en el período 1996-2000.</w:t>
      </w:r>
    </w:p>
    <w:p w:rsidR="00FE6750" w:rsidRPr="00FC607A" w:rsidRDefault="00FE6750" w:rsidP="006A14D3">
      <w:pPr>
        <w:tabs>
          <w:tab w:val="left" w:pos="567"/>
        </w:tabs>
        <w:spacing w:before="0" w:afterLines="20" w:after="48"/>
        <w:rPr>
          <w:rFonts w:cs="Verdana"/>
          <w:iCs/>
          <w:szCs w:val="20"/>
          <w:lang w:val="es-ES"/>
        </w:rPr>
      </w:pPr>
    </w:p>
    <w:p w:rsidR="00FE6750" w:rsidRPr="00FC607A" w:rsidRDefault="00FE6750" w:rsidP="006A14D3">
      <w:pPr>
        <w:pStyle w:val="ListParagraph"/>
        <w:widowControl/>
        <w:numPr>
          <w:ilvl w:val="0"/>
          <w:numId w:val="0"/>
        </w:numPr>
        <w:tabs>
          <w:tab w:val="left" w:pos="567"/>
          <w:tab w:val="left" w:pos="1134"/>
        </w:tabs>
        <w:autoSpaceDE/>
        <w:adjustRightInd/>
        <w:spacing w:before="0" w:afterLines="20" w:after="48"/>
        <w:ind w:left="720" w:right="0"/>
        <w:rPr>
          <w:i/>
        </w:rPr>
      </w:pPr>
      <w:r w:rsidRPr="00FC607A">
        <w:rPr>
          <w:i/>
          <w:iCs/>
        </w:rPr>
        <w:t xml:space="preserve">Propuestos por la interviniente común </w:t>
      </w:r>
      <w:r w:rsidRPr="00FC607A">
        <w:rPr>
          <w:i/>
        </w:rPr>
        <w:t>Carolina Loayza Tamayo</w:t>
      </w:r>
    </w:p>
    <w:p w:rsidR="00FE6750" w:rsidRPr="00FC607A" w:rsidRDefault="00FE6750" w:rsidP="006A14D3">
      <w:pPr>
        <w:tabs>
          <w:tab w:val="left" w:pos="567"/>
          <w:tab w:val="left" w:pos="1134"/>
        </w:tabs>
        <w:spacing w:before="0" w:afterLines="20" w:after="48"/>
        <w:rPr>
          <w:i/>
          <w:iCs/>
        </w:rPr>
      </w:pPr>
    </w:p>
    <w:p w:rsidR="00FE6750" w:rsidRPr="00FC607A" w:rsidRDefault="00FE6750" w:rsidP="006A14D3">
      <w:pPr>
        <w:pStyle w:val="ListParagraph"/>
        <w:numPr>
          <w:ilvl w:val="3"/>
          <w:numId w:val="5"/>
        </w:numPr>
        <w:spacing w:before="0" w:afterLines="20" w:after="48"/>
        <w:ind w:left="720" w:firstLine="0"/>
        <w:rPr>
          <w:iCs/>
        </w:rPr>
      </w:pPr>
      <w:r w:rsidRPr="00FC607A">
        <w:rPr>
          <w:rFonts w:eastAsiaTheme="minorHAnsi"/>
        </w:rPr>
        <w:lastRenderedPageBreak/>
        <w:t xml:space="preserve">Jorge Eusebio Manco </w:t>
      </w:r>
      <w:proofErr w:type="spellStart"/>
      <w:r w:rsidRPr="00FC607A">
        <w:rPr>
          <w:rFonts w:eastAsiaTheme="minorHAnsi"/>
        </w:rPr>
        <w:t>Zaconetti</w:t>
      </w:r>
      <w:proofErr w:type="spellEnd"/>
      <w:r w:rsidRPr="00FC607A">
        <w:rPr>
          <w:rFonts w:eastAsiaTheme="minorHAnsi"/>
        </w:rPr>
        <w:t xml:space="preserve">, </w:t>
      </w:r>
      <w:r w:rsidRPr="00FC607A">
        <w:t xml:space="preserve">quien rendirá un peritaje sobre </w:t>
      </w:r>
      <w:r w:rsidRPr="00FC607A">
        <w:rPr>
          <w:rFonts w:cs="Times New Roman"/>
        </w:rPr>
        <w:t xml:space="preserve">los resultados económicos de la privatización en el Perú; el proceso de ceses colectivos </w:t>
      </w:r>
      <w:r w:rsidRPr="00FC607A">
        <w:rPr>
          <w:rFonts w:cs="Arial"/>
        </w:rPr>
        <w:t xml:space="preserve">y </w:t>
      </w:r>
      <w:r w:rsidRPr="00FC607A">
        <w:rPr>
          <w:rFonts w:cs="Times New Roman"/>
        </w:rPr>
        <w:t xml:space="preserve">sus efectos laborales en las empresas del Estado, con especial énfasis en la empresa Petroperú, </w:t>
      </w:r>
      <w:r w:rsidRPr="00FC607A">
        <w:rPr>
          <w:rFonts w:cs="Arial"/>
        </w:rPr>
        <w:t xml:space="preserve">y </w:t>
      </w:r>
      <w:r w:rsidRPr="00FC607A">
        <w:rPr>
          <w:rFonts w:cs="Times New Roman"/>
        </w:rPr>
        <w:t xml:space="preserve">la </w:t>
      </w:r>
      <w:r w:rsidRPr="00FC607A">
        <w:rPr>
          <w:rFonts w:eastAsiaTheme="minorHAnsi" w:cs="Arial"/>
        </w:rPr>
        <w:t>implementación</w:t>
      </w:r>
      <w:r w:rsidRPr="00FC607A">
        <w:rPr>
          <w:rFonts w:cs="Times New Roman"/>
        </w:rPr>
        <w:t xml:space="preserve"> de medidas de reparación para las víctimas de los ceses colectivos y sus efectos, específicamente respecto al caso de Petroperú.</w:t>
      </w:r>
    </w:p>
    <w:p w:rsidR="00FE6750" w:rsidRPr="00FC607A" w:rsidRDefault="00FE6750" w:rsidP="006A14D3">
      <w:pPr>
        <w:pStyle w:val="ListParagraph"/>
        <w:numPr>
          <w:ilvl w:val="0"/>
          <w:numId w:val="0"/>
        </w:numPr>
        <w:spacing w:before="0" w:afterLines="20" w:after="48"/>
        <w:ind w:left="720"/>
        <w:rPr>
          <w:iCs/>
        </w:rPr>
      </w:pPr>
    </w:p>
    <w:p w:rsidR="00FE6750" w:rsidRPr="00FC607A" w:rsidRDefault="00FE6750" w:rsidP="006A14D3">
      <w:pPr>
        <w:pStyle w:val="ListParagraph"/>
        <w:numPr>
          <w:ilvl w:val="3"/>
          <w:numId w:val="5"/>
        </w:numPr>
        <w:spacing w:before="0" w:afterLines="20" w:after="48"/>
        <w:ind w:left="720" w:firstLine="0"/>
        <w:rPr>
          <w:iCs/>
        </w:rPr>
      </w:pPr>
      <w:r w:rsidRPr="00FC607A">
        <w:rPr>
          <w:rFonts w:eastAsiaTheme="minorHAnsi"/>
        </w:rPr>
        <w:t xml:space="preserve">Jorge Guido </w:t>
      </w:r>
      <w:proofErr w:type="spellStart"/>
      <w:r w:rsidRPr="00FC607A">
        <w:rPr>
          <w:rFonts w:eastAsiaTheme="minorHAnsi"/>
        </w:rPr>
        <w:t>Bernedo</w:t>
      </w:r>
      <w:proofErr w:type="spellEnd"/>
      <w:r w:rsidRPr="00FC607A">
        <w:rPr>
          <w:rFonts w:eastAsiaTheme="minorHAnsi"/>
        </w:rPr>
        <w:t xml:space="preserve"> Alvarado, </w:t>
      </w:r>
      <w:r w:rsidRPr="00FC607A">
        <w:t xml:space="preserve">quien rendirá un peritaje sobre </w:t>
      </w:r>
      <w:r w:rsidRPr="00FC607A">
        <w:rPr>
          <w:rFonts w:cs="Times New Roman"/>
        </w:rPr>
        <w:t xml:space="preserve">las modificaciones sustanciales efectuadas en la legislación laboral en el Perú a partir del 5 de abril de 1992, que habrían llevado a la flexibilización laboral, y sus efectos en el sector público, en las empresas del </w:t>
      </w:r>
      <w:r w:rsidRPr="00FC607A">
        <w:rPr>
          <w:rFonts w:eastAsiaTheme="minorHAnsi" w:cs="Arial"/>
        </w:rPr>
        <w:t>Estado</w:t>
      </w:r>
      <w:r w:rsidRPr="00FC607A">
        <w:rPr>
          <w:rFonts w:cs="Times New Roman"/>
        </w:rPr>
        <w:t xml:space="preserve"> y en la reducción de su personal a través de ceses colectivos específicamente en los casos de PETROPERU </w:t>
      </w:r>
      <w:r w:rsidRPr="00FC607A">
        <w:rPr>
          <w:rFonts w:cs="Arial"/>
        </w:rPr>
        <w:t xml:space="preserve">y </w:t>
      </w:r>
      <w:r w:rsidRPr="00FC607A">
        <w:rPr>
          <w:rFonts w:cs="Times New Roman"/>
        </w:rPr>
        <w:t xml:space="preserve">ENAPU; la alegada ausencia de garantías de supervisión de la legalidad y/o constitucionalidad en la implementación de los ceses colectivos en el sector público y en las empresas del Estado y su alegada sustitución por entidades </w:t>
      </w:r>
      <w:r w:rsidRPr="00D569A6">
        <w:rPr>
          <w:rFonts w:cs="Times New Roman"/>
          <w:i/>
        </w:rPr>
        <w:t>ad hoc</w:t>
      </w:r>
      <w:r w:rsidRPr="00FC607A">
        <w:rPr>
          <w:rFonts w:cs="Times New Roman"/>
        </w:rPr>
        <w:t>; el impacto socio-económico de estas medidas en las condiciones de vida de los trabajadores y sus familias específicamente en el caso de los trabajadores de PETROPERU, y las acciones iniciadas para determinar los efectos de las medidas adoptadas en la década de los años 90 en la gestión de recursos humanos del Estado.</w:t>
      </w:r>
    </w:p>
    <w:p w:rsidR="00FE6750" w:rsidRPr="00FC607A" w:rsidRDefault="00FE6750" w:rsidP="006A14D3">
      <w:pPr>
        <w:pStyle w:val="ListParagraph"/>
        <w:numPr>
          <w:ilvl w:val="0"/>
          <w:numId w:val="0"/>
        </w:numPr>
        <w:tabs>
          <w:tab w:val="left" w:pos="567"/>
        </w:tabs>
        <w:spacing w:before="0" w:afterLines="20" w:after="48"/>
      </w:pPr>
    </w:p>
    <w:p w:rsidR="00FE6750" w:rsidRPr="00FC607A" w:rsidRDefault="00FE6750" w:rsidP="006A14D3">
      <w:pPr>
        <w:numPr>
          <w:ilvl w:val="0"/>
          <w:numId w:val="32"/>
        </w:numPr>
        <w:tabs>
          <w:tab w:val="left" w:pos="567"/>
        </w:tabs>
        <w:spacing w:before="0" w:afterLines="20" w:after="48"/>
        <w:rPr>
          <w:szCs w:val="20"/>
        </w:rPr>
      </w:pPr>
      <w:bookmarkStart w:id="10" w:name="_Ref393464381"/>
      <w:bookmarkStart w:id="11" w:name="_Ref453008393"/>
      <w:r w:rsidRPr="00FC607A">
        <w:rPr>
          <w:rFonts w:eastAsia="MS Mincho" w:cs="Times"/>
          <w:szCs w:val="20"/>
        </w:rPr>
        <w:t xml:space="preserve">Requerir a </w:t>
      </w:r>
      <w:r w:rsidRPr="00FC607A">
        <w:rPr>
          <w:rFonts w:eastAsia="MS Mincho" w:cs="Times"/>
          <w:szCs w:val="20"/>
          <w:lang w:eastAsia="es-ES"/>
        </w:rPr>
        <w:t xml:space="preserve">los intervinientes comunes </w:t>
      </w:r>
      <w:r w:rsidRPr="00FC607A">
        <w:rPr>
          <w:rFonts w:eastAsia="MS Mincho" w:cs="Times"/>
          <w:szCs w:val="20"/>
        </w:rPr>
        <w:t xml:space="preserve">y al Estado que remitan, </w:t>
      </w:r>
      <w:r w:rsidRPr="00FC607A">
        <w:rPr>
          <w:szCs w:val="20"/>
        </w:rPr>
        <w:t>en los términos del artículo 50.5 del Reglamento y</w:t>
      </w:r>
      <w:r w:rsidRPr="00FC607A">
        <w:rPr>
          <w:rFonts w:eastAsia="MS Mincho" w:cs="Times"/>
          <w:szCs w:val="20"/>
        </w:rPr>
        <w:t xml:space="preserve"> de considerarlo pertinente, en lo que les corresponda y en el plazo</w:t>
      </w:r>
      <w:r w:rsidRPr="00FC607A">
        <w:rPr>
          <w:rFonts w:eastAsia="MS Mincho" w:cs="Verdana"/>
          <w:szCs w:val="20"/>
        </w:rPr>
        <w:t xml:space="preserve"> improrrogable que vence el </w:t>
      </w:r>
      <w:r w:rsidR="00913124" w:rsidRPr="00FC607A">
        <w:rPr>
          <w:rFonts w:eastAsia="MS Mincho" w:cs="Verdana"/>
          <w:szCs w:val="20"/>
        </w:rPr>
        <w:t>23</w:t>
      </w:r>
      <w:r w:rsidRPr="00FC607A">
        <w:rPr>
          <w:rFonts w:eastAsia="MS Mincho" w:cs="Verdana"/>
          <w:szCs w:val="20"/>
        </w:rPr>
        <w:t xml:space="preserve"> de septiembre de 2016, las preguntas que estimen pertinentes formular a través de la Corte Interamericana a las presuntas víctimas, el testigo y los peritos </w:t>
      </w:r>
      <w:r w:rsidRPr="00FC607A">
        <w:rPr>
          <w:rFonts w:eastAsia="MS Mincho" w:cs="Times"/>
          <w:szCs w:val="20"/>
        </w:rPr>
        <w:t xml:space="preserve">indicados en el punto resolutivo </w:t>
      </w:r>
      <w:r w:rsidR="008D0DEC" w:rsidRPr="00FC607A">
        <w:rPr>
          <w:rFonts w:eastAsia="MS Mincho" w:cs="Times"/>
          <w:szCs w:val="20"/>
        </w:rPr>
        <w:t>5</w:t>
      </w:r>
      <w:r w:rsidRPr="00FC607A">
        <w:rPr>
          <w:rFonts w:eastAsia="MS Mincho" w:cs="Times"/>
          <w:szCs w:val="20"/>
        </w:rPr>
        <w:t xml:space="preserve"> de esta Resolución.</w:t>
      </w:r>
      <w:bookmarkEnd w:id="10"/>
      <w:bookmarkEnd w:id="11"/>
    </w:p>
    <w:p w:rsidR="00FE6750" w:rsidRPr="00FC607A" w:rsidRDefault="00FE6750" w:rsidP="006A14D3">
      <w:pPr>
        <w:tabs>
          <w:tab w:val="left" w:pos="567"/>
        </w:tabs>
        <w:spacing w:before="0" w:afterLines="20" w:after="48"/>
        <w:rPr>
          <w:szCs w:val="20"/>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t xml:space="preserve">Requerir a </w:t>
      </w:r>
      <w:r w:rsidRPr="00FC607A">
        <w:rPr>
          <w:szCs w:val="20"/>
        </w:rPr>
        <w:t>la interviniente común Carolina Loayza Tamayo</w:t>
      </w:r>
      <w:r w:rsidRPr="00FC607A">
        <w:rPr>
          <w:rFonts w:cs="Verdana"/>
          <w:szCs w:val="20"/>
          <w:lang w:eastAsia="es-ES"/>
        </w:rPr>
        <w:t xml:space="preserve"> que comunique y </w:t>
      </w:r>
      <w:r w:rsidRPr="00FC607A">
        <w:rPr>
          <w:szCs w:val="20"/>
        </w:rPr>
        <w:t xml:space="preserve">remita </w:t>
      </w:r>
      <w:r w:rsidRPr="00FC607A">
        <w:rPr>
          <w:rFonts w:cs="Verdana"/>
          <w:szCs w:val="20"/>
          <w:lang w:eastAsia="es-ES"/>
        </w:rPr>
        <w:t xml:space="preserve">a la Corte, a más tardar el </w:t>
      </w:r>
      <w:r w:rsidR="00913124" w:rsidRPr="00FC607A">
        <w:rPr>
          <w:rFonts w:cs="Verdana"/>
          <w:szCs w:val="20"/>
          <w:lang w:eastAsia="es-ES"/>
        </w:rPr>
        <w:t>2</w:t>
      </w:r>
      <w:r w:rsidR="005C5525">
        <w:rPr>
          <w:rFonts w:cs="Verdana"/>
          <w:szCs w:val="20"/>
          <w:lang w:eastAsia="es-ES"/>
        </w:rPr>
        <w:t>1</w:t>
      </w:r>
      <w:r w:rsidRPr="00FC607A">
        <w:rPr>
          <w:rFonts w:cs="Verdana"/>
          <w:szCs w:val="20"/>
          <w:lang w:eastAsia="es-ES"/>
        </w:rPr>
        <w:t xml:space="preserve"> de septiembre de 2016, </w:t>
      </w:r>
      <w:r w:rsidRPr="00FC607A">
        <w:rPr>
          <w:szCs w:val="20"/>
        </w:rPr>
        <w:t>el nombre del declarante cuya declaración jurada</w:t>
      </w:r>
      <w:r w:rsidRPr="00FC607A">
        <w:rPr>
          <w:i/>
          <w:iCs/>
          <w:szCs w:val="20"/>
        </w:rPr>
        <w:t xml:space="preserve"> </w:t>
      </w:r>
      <w:r w:rsidRPr="00FC607A">
        <w:rPr>
          <w:szCs w:val="20"/>
        </w:rPr>
        <w:t>ser</w:t>
      </w:r>
      <w:r w:rsidR="00032C8A">
        <w:rPr>
          <w:szCs w:val="20"/>
        </w:rPr>
        <w:t>á</w:t>
      </w:r>
      <w:r w:rsidRPr="00FC607A">
        <w:rPr>
          <w:szCs w:val="20"/>
        </w:rPr>
        <w:t xml:space="preserve"> cubierta por el Fondo de Asistencia y una cotización del costo de la formalización de la misma en el país de residencia del declarante y de su respectivo envío, de conformidad con lo establecido en el párrafo considerativo 23 de la presente Resolución.</w:t>
      </w:r>
    </w:p>
    <w:p w:rsidR="00FE6750" w:rsidRPr="00FC607A" w:rsidRDefault="00FE6750" w:rsidP="006A14D3">
      <w:pPr>
        <w:pStyle w:val="ListParagraph"/>
        <w:numPr>
          <w:ilvl w:val="0"/>
          <w:numId w:val="0"/>
        </w:numPr>
        <w:spacing w:before="0" w:afterLines="20" w:after="48"/>
        <w:rPr>
          <w:rFonts w:eastAsia="MS Mincho" w:cs="Times"/>
        </w:rPr>
      </w:pPr>
    </w:p>
    <w:p w:rsidR="00FE6750" w:rsidRPr="00FC607A" w:rsidRDefault="00FE6750" w:rsidP="006A14D3">
      <w:pPr>
        <w:numPr>
          <w:ilvl w:val="0"/>
          <w:numId w:val="32"/>
        </w:numPr>
        <w:tabs>
          <w:tab w:val="left" w:pos="567"/>
        </w:tabs>
        <w:spacing w:before="0" w:afterLines="20" w:after="48"/>
        <w:rPr>
          <w:szCs w:val="20"/>
        </w:rPr>
      </w:pPr>
      <w:r w:rsidRPr="00FC607A">
        <w:rPr>
          <w:rFonts w:eastAsia="MS Mincho" w:cs="Times"/>
          <w:szCs w:val="20"/>
        </w:rPr>
        <w:t xml:space="preserve">Requerir a </w:t>
      </w:r>
      <w:r w:rsidRPr="00FC607A">
        <w:rPr>
          <w:szCs w:val="20"/>
        </w:rPr>
        <w:t>la interviniente común Carolina Loayza Tamayo</w:t>
      </w:r>
      <w:r w:rsidRPr="00FC607A">
        <w:rPr>
          <w:rFonts w:cs="Verdana"/>
          <w:szCs w:val="20"/>
          <w:lang w:eastAsia="es-ES"/>
        </w:rPr>
        <w:t xml:space="preserve"> </w:t>
      </w:r>
      <w:r w:rsidRPr="00FC607A">
        <w:rPr>
          <w:rFonts w:eastAsia="MS Mincho" w:cs="Times"/>
          <w:szCs w:val="20"/>
        </w:rPr>
        <w:t>y al Estado</w:t>
      </w:r>
      <w:r w:rsidRPr="00FC607A">
        <w:rPr>
          <w:rFonts w:eastAsia="MS Mincho" w:cs="Times"/>
          <w:szCs w:val="20"/>
          <w:lang w:eastAsia="es-ES"/>
        </w:rPr>
        <w:t xml:space="preserve"> </w:t>
      </w:r>
      <w:r w:rsidRPr="00FC607A">
        <w:rPr>
          <w:rFonts w:eastAsia="MS Mincho" w:cs="Times"/>
          <w:szCs w:val="20"/>
        </w:rPr>
        <w:t xml:space="preserve">que coordinen y realicen las diligencias necesarias para que, una vez recibidas las preguntas de los </w:t>
      </w:r>
      <w:r w:rsidRPr="00FC607A">
        <w:rPr>
          <w:rFonts w:eastAsia="MS Mincho" w:cs="Times"/>
          <w:szCs w:val="20"/>
          <w:lang w:eastAsia="es-ES"/>
        </w:rPr>
        <w:t>intervinientes comunes</w:t>
      </w:r>
      <w:r w:rsidRPr="00FC607A">
        <w:rPr>
          <w:rFonts w:eastAsia="MS Mincho" w:cs="Times"/>
          <w:szCs w:val="20"/>
        </w:rPr>
        <w:t xml:space="preserve"> y el Estado, según corresponda, </w:t>
      </w:r>
      <w:r w:rsidRPr="00FC607A">
        <w:rPr>
          <w:rFonts w:eastAsia="MS Mincho" w:cs="Verdana"/>
          <w:szCs w:val="20"/>
        </w:rPr>
        <w:t xml:space="preserve">las presuntas víctimas, el testigo y los peritos </w:t>
      </w:r>
      <w:r w:rsidRPr="00FC607A">
        <w:rPr>
          <w:rFonts w:eastAsia="MS Mincho" w:cs="Times"/>
          <w:szCs w:val="20"/>
        </w:rPr>
        <w:t xml:space="preserve">incluyan las respuestas en las respectivas declaraciones y dictámenes que rendirán ante fedatario público, </w:t>
      </w:r>
      <w:r w:rsidRPr="00FC607A">
        <w:rPr>
          <w:szCs w:val="20"/>
        </w:rPr>
        <w:t>salvo que el Presidente disponga lo contrario cuando la Secretaría de la Corte las transmita</w:t>
      </w:r>
      <w:r w:rsidRPr="00FC607A">
        <w:rPr>
          <w:rFonts w:eastAsia="MS Mincho" w:cs="Times"/>
          <w:szCs w:val="20"/>
        </w:rPr>
        <w:t>. Las declaraciones y los dictámenes requeridos deberán ser presentados al Tribunal a más tardar el 3 de octubre de 2016.</w:t>
      </w:r>
    </w:p>
    <w:p w:rsidR="00FE6750" w:rsidRPr="00FC607A" w:rsidRDefault="00FE6750" w:rsidP="006A14D3">
      <w:pPr>
        <w:pStyle w:val="ListParagraph"/>
        <w:numPr>
          <w:ilvl w:val="0"/>
          <w:numId w:val="0"/>
        </w:numPr>
        <w:spacing w:before="0" w:afterLines="20" w:after="48"/>
        <w:rPr>
          <w:rFonts w:eastAsia="MS Mincho" w:cs="Times"/>
        </w:rPr>
      </w:pPr>
    </w:p>
    <w:p w:rsidR="00FE6750" w:rsidRPr="00FC607A" w:rsidRDefault="00FE6750" w:rsidP="006A14D3">
      <w:pPr>
        <w:numPr>
          <w:ilvl w:val="0"/>
          <w:numId w:val="32"/>
        </w:numPr>
        <w:tabs>
          <w:tab w:val="left" w:pos="567"/>
        </w:tabs>
        <w:spacing w:before="0" w:afterLines="20" w:after="48"/>
        <w:rPr>
          <w:szCs w:val="20"/>
        </w:rPr>
      </w:pPr>
      <w:r w:rsidRPr="00FC607A">
        <w:rPr>
          <w:rFonts w:eastAsia="MS Mincho" w:cs="Times"/>
          <w:szCs w:val="20"/>
        </w:rPr>
        <w:t xml:space="preserve">Disponer </w:t>
      </w:r>
      <w:r w:rsidRPr="00FC607A">
        <w:rPr>
          <w:szCs w:val="20"/>
        </w:rPr>
        <w:t xml:space="preserve">conforme al artículo 50.6 del Reglamento </w:t>
      </w:r>
      <w:r w:rsidRPr="00FC607A">
        <w:rPr>
          <w:rFonts w:eastAsia="MS Mincho" w:cs="Times"/>
          <w:szCs w:val="20"/>
        </w:rPr>
        <w:t xml:space="preserve">que, una vez recibidas las declaraciones, testimonio y peritajes, la Secretaría de la Corte Interamericana las transmita al Estado, a los </w:t>
      </w:r>
      <w:r w:rsidRPr="00FC607A">
        <w:rPr>
          <w:rFonts w:eastAsia="MS Mincho" w:cs="Times"/>
          <w:szCs w:val="20"/>
          <w:lang w:eastAsia="es-ES"/>
        </w:rPr>
        <w:t>intervinientes comunes</w:t>
      </w:r>
      <w:r w:rsidRPr="00FC607A">
        <w:rPr>
          <w:rFonts w:eastAsia="MS Mincho" w:cs="Times"/>
          <w:szCs w:val="20"/>
        </w:rPr>
        <w:t xml:space="preserve"> y a la Comisión para que, si lo estiman pertinente</w:t>
      </w:r>
      <w:r w:rsidRPr="00FC607A">
        <w:rPr>
          <w:rFonts w:eastAsia="MS Mincho" w:cs="Times"/>
          <w:szCs w:val="20"/>
          <w:lang w:val="es-ES_tradnl"/>
        </w:rPr>
        <w:t xml:space="preserve"> y en cuanto les corresponda</w:t>
      </w:r>
      <w:r w:rsidRPr="00FC607A">
        <w:rPr>
          <w:rFonts w:eastAsia="MS Mincho" w:cs="Times"/>
          <w:szCs w:val="20"/>
        </w:rPr>
        <w:t xml:space="preserve">, presenten sus observaciones a más tardar </w:t>
      </w:r>
      <w:r w:rsidRPr="00FC607A">
        <w:rPr>
          <w:rFonts w:eastAsia="MS Mincho" w:cs="Times"/>
          <w:szCs w:val="20"/>
          <w:lang w:val="es-ES_tradnl"/>
        </w:rPr>
        <w:t>con sus alegatos u observaciones finales escritos, respectivamente.</w:t>
      </w:r>
    </w:p>
    <w:p w:rsidR="00FE6750" w:rsidRPr="00FC607A" w:rsidRDefault="00FE6750" w:rsidP="006A14D3">
      <w:pPr>
        <w:pStyle w:val="ListParagraph"/>
        <w:numPr>
          <w:ilvl w:val="0"/>
          <w:numId w:val="0"/>
        </w:numPr>
        <w:spacing w:before="0" w:afterLines="20" w:after="48"/>
        <w:rPr>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t xml:space="preserve">Requerir al Estado y a </w:t>
      </w:r>
      <w:r w:rsidRPr="00FC607A">
        <w:rPr>
          <w:szCs w:val="20"/>
        </w:rPr>
        <w:t>la interviniente común Carolina Loayza Tamayo</w:t>
      </w:r>
      <w:r w:rsidRPr="00FC607A">
        <w:rPr>
          <w:rFonts w:cs="Verdana"/>
          <w:szCs w:val="20"/>
          <w:lang w:eastAsia="es-ES"/>
        </w:rPr>
        <w:t xml:space="preserve"> que notifiquen la presente Resolución a las personas que han sido convocadas a rendir declaración, respectivamente según fueron por ellos propuestas, de conformidad con lo dispuesto en los artículos 50.2 y 50.4 del Reglamento.</w:t>
      </w:r>
    </w:p>
    <w:p w:rsidR="00FE6750" w:rsidRPr="00FC607A" w:rsidRDefault="00FE6750" w:rsidP="006A14D3">
      <w:pPr>
        <w:pStyle w:val="ListParagraph"/>
        <w:numPr>
          <w:ilvl w:val="0"/>
          <w:numId w:val="0"/>
        </w:numPr>
        <w:spacing w:before="0" w:afterLines="20" w:after="48"/>
        <w:rPr>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lastRenderedPageBreak/>
        <w:t xml:space="preserve">Informar a </w:t>
      </w:r>
      <w:r w:rsidRPr="00FC607A">
        <w:rPr>
          <w:szCs w:val="20"/>
        </w:rPr>
        <w:t>la interviniente común Carolina Loayza Tamayo</w:t>
      </w:r>
      <w:r w:rsidRPr="00FC607A">
        <w:rPr>
          <w:rFonts w:cs="Verdana"/>
          <w:szCs w:val="20"/>
          <w:lang w:eastAsia="es-ES"/>
        </w:rPr>
        <w:t xml:space="preserve"> y al Estado </w:t>
      </w:r>
      <w:r w:rsidRPr="00FC607A">
        <w:rPr>
          <w:szCs w:val="20"/>
        </w:rPr>
        <w:t>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rsidR="00FE6750" w:rsidRPr="00FC607A" w:rsidRDefault="00FE6750" w:rsidP="006A14D3">
      <w:pPr>
        <w:pStyle w:val="ListParagraph"/>
        <w:numPr>
          <w:ilvl w:val="0"/>
          <w:numId w:val="0"/>
        </w:numPr>
        <w:spacing w:before="0" w:afterLines="20" w:after="48"/>
        <w:rPr>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t xml:space="preserve">Requerir al Estado y a </w:t>
      </w:r>
      <w:r w:rsidR="00FB288B" w:rsidRPr="00FC607A">
        <w:rPr>
          <w:szCs w:val="20"/>
        </w:rPr>
        <w:t>la interviniente común Carolina Loayza Tamayo</w:t>
      </w:r>
      <w:r w:rsidR="00FB288B" w:rsidRPr="00FC607A">
        <w:rPr>
          <w:rFonts w:cs="Verdana"/>
          <w:szCs w:val="20"/>
          <w:lang w:eastAsia="es-ES"/>
        </w:rPr>
        <w:t xml:space="preserve"> </w:t>
      </w:r>
      <w:r w:rsidRPr="00FC607A">
        <w:rPr>
          <w:rFonts w:cs="Verdana"/>
          <w:szCs w:val="20"/>
          <w:lang w:eastAsia="es-ES"/>
        </w:rPr>
        <w:t>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FE6750" w:rsidRPr="00FC607A" w:rsidRDefault="00FE6750" w:rsidP="006A14D3">
      <w:pPr>
        <w:pStyle w:val="ListParagraph"/>
        <w:numPr>
          <w:ilvl w:val="0"/>
          <w:numId w:val="0"/>
        </w:numPr>
        <w:spacing w:before="0" w:afterLines="20" w:after="48"/>
      </w:pPr>
    </w:p>
    <w:p w:rsidR="00FE6750" w:rsidRPr="00FC607A" w:rsidRDefault="00FE6750" w:rsidP="006A14D3">
      <w:pPr>
        <w:numPr>
          <w:ilvl w:val="0"/>
          <w:numId w:val="32"/>
        </w:numPr>
        <w:tabs>
          <w:tab w:val="left" w:pos="567"/>
        </w:tabs>
        <w:spacing w:before="0" w:afterLines="20" w:after="48"/>
        <w:rPr>
          <w:szCs w:val="20"/>
        </w:rPr>
      </w:pPr>
      <w:r w:rsidRPr="00FC607A">
        <w:rPr>
          <w:szCs w:val="20"/>
        </w:rPr>
        <w:t xml:space="preserve">Incorporar al acervo probatorio del presente caso, en lo que resulte pertinente, los peritajes rendidos por </w:t>
      </w:r>
      <w:r w:rsidRPr="00FC607A">
        <w:rPr>
          <w:rFonts w:eastAsiaTheme="minorHAnsi" w:cs="Times New Roman"/>
          <w:szCs w:val="20"/>
        </w:rPr>
        <w:t>Carlos Alza Barco y</w:t>
      </w:r>
      <w:r w:rsidRPr="00FC607A">
        <w:rPr>
          <w:szCs w:val="20"/>
        </w:rPr>
        <w:t xml:space="preserve"> Lourdes Flores Nano en el </w:t>
      </w:r>
      <w:r w:rsidRPr="00FC607A">
        <w:rPr>
          <w:rFonts w:eastAsiaTheme="minorHAnsi" w:cs="Times New Roman"/>
          <w:i/>
          <w:szCs w:val="20"/>
        </w:rPr>
        <w:t xml:space="preserve">Caso Canales </w:t>
      </w:r>
      <w:proofErr w:type="spellStart"/>
      <w:r w:rsidRPr="00FC607A">
        <w:rPr>
          <w:rFonts w:eastAsiaTheme="minorHAnsi" w:cs="Times New Roman"/>
          <w:i/>
          <w:szCs w:val="20"/>
        </w:rPr>
        <w:t>Huapaya</w:t>
      </w:r>
      <w:proofErr w:type="spellEnd"/>
      <w:r w:rsidRPr="00FC607A">
        <w:rPr>
          <w:rFonts w:eastAsiaTheme="minorHAnsi" w:cs="Times New Roman"/>
          <w:i/>
          <w:szCs w:val="20"/>
        </w:rPr>
        <w:t xml:space="preserve"> y otros Vs. Perú</w:t>
      </w:r>
      <w:r w:rsidRPr="00FC607A">
        <w:rPr>
          <w:szCs w:val="20"/>
        </w:rPr>
        <w:t>. Las partes podrán presentar las observaciones que consideren pertinentes en los alegatos finales orales y escritos, de conformidad con los párrafos considerativos 5 y 6</w:t>
      </w:r>
      <w:r w:rsidR="008D0DEC" w:rsidRPr="00FC607A">
        <w:rPr>
          <w:szCs w:val="20"/>
        </w:rPr>
        <w:t xml:space="preserve"> de esta Resolución</w:t>
      </w:r>
      <w:r w:rsidRPr="00FC607A">
        <w:rPr>
          <w:szCs w:val="20"/>
        </w:rPr>
        <w:t>.</w:t>
      </w:r>
    </w:p>
    <w:p w:rsidR="00FE6750" w:rsidRPr="00FC607A" w:rsidRDefault="00FE6750" w:rsidP="006A14D3">
      <w:pPr>
        <w:pStyle w:val="ListParagraph"/>
        <w:numPr>
          <w:ilvl w:val="0"/>
          <w:numId w:val="0"/>
        </w:numPr>
        <w:spacing w:before="0" w:afterLines="20" w:after="48"/>
        <w:rPr>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t xml:space="preserve">Informar a </w:t>
      </w:r>
      <w:r w:rsidRPr="00FC607A">
        <w:rPr>
          <w:szCs w:val="20"/>
          <w:lang w:eastAsia="es-ES"/>
        </w:rPr>
        <w:t xml:space="preserve">los </w:t>
      </w:r>
      <w:r w:rsidRPr="00FC607A">
        <w:rPr>
          <w:rFonts w:eastAsia="MS Mincho" w:cs="Times"/>
          <w:szCs w:val="20"/>
          <w:lang w:eastAsia="es-ES"/>
        </w:rPr>
        <w:t>intervinientes comunes</w:t>
      </w:r>
      <w:r w:rsidRPr="00FC607A">
        <w:rPr>
          <w:szCs w:val="20"/>
          <w:lang w:eastAsia="es-ES"/>
        </w:rPr>
        <w:t xml:space="preserve">, </w:t>
      </w:r>
      <w:r w:rsidRPr="00FC607A">
        <w:rPr>
          <w:rFonts w:cs="Verdana"/>
          <w:szCs w:val="20"/>
          <w:lang w:eastAsia="es-ES"/>
        </w:rPr>
        <w:t>al Estado y a la Comisión Interamericana que, luego de las declaraciones rendidas en la audiencia pública, podrán presentar ante el Tribunal sus alegatos finales orales y observaciones finales orales, respectivamente, sobre las excepciones preliminares y eventuales fondo, reparaciones y costas en el presente caso.</w:t>
      </w:r>
    </w:p>
    <w:p w:rsidR="00FE6750" w:rsidRPr="00FC607A" w:rsidRDefault="00FE6750" w:rsidP="006A14D3">
      <w:pPr>
        <w:pStyle w:val="ListParagraph"/>
        <w:numPr>
          <w:ilvl w:val="0"/>
          <w:numId w:val="0"/>
        </w:numPr>
        <w:spacing w:before="0" w:afterLines="20" w:after="48"/>
        <w:rPr>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t xml:space="preserve">Disponer que la Secretaría de la Corte, de conformidad con lo dispuesto en el artículo 55.3 del Reglamento, indique a la Comisión Interamericana, a los </w:t>
      </w:r>
      <w:r w:rsidRPr="00FC607A">
        <w:rPr>
          <w:rFonts w:eastAsia="MS Mincho" w:cs="Times"/>
          <w:szCs w:val="20"/>
          <w:lang w:eastAsia="es-ES"/>
        </w:rPr>
        <w:t>intervinientes comunes</w:t>
      </w:r>
      <w:r w:rsidRPr="00FC607A">
        <w:rPr>
          <w:rFonts w:cs="Verdana"/>
          <w:szCs w:val="20"/>
          <w:lang w:eastAsia="es-ES"/>
        </w:rPr>
        <w:t xml:space="preserve"> y al Estado el enlace donde se encontrará disponible la grabación de la audiencia pública, a la brevedad posible luego de la celebración de la referida audiencia.</w:t>
      </w:r>
    </w:p>
    <w:p w:rsidR="00FE6750" w:rsidRPr="00FC607A" w:rsidRDefault="00FE6750" w:rsidP="006A14D3">
      <w:pPr>
        <w:pStyle w:val="ListParagraph"/>
        <w:numPr>
          <w:ilvl w:val="0"/>
          <w:numId w:val="0"/>
        </w:numPr>
        <w:spacing w:before="0" w:afterLines="20" w:after="48"/>
        <w:rPr>
          <w:lang w:eastAsia="es-ES"/>
        </w:rPr>
      </w:pPr>
    </w:p>
    <w:p w:rsidR="00FE6750" w:rsidRPr="00FC607A" w:rsidRDefault="00FE6750" w:rsidP="006A14D3">
      <w:pPr>
        <w:numPr>
          <w:ilvl w:val="0"/>
          <w:numId w:val="32"/>
        </w:numPr>
        <w:tabs>
          <w:tab w:val="left" w:pos="567"/>
        </w:tabs>
        <w:spacing w:before="0" w:afterLines="20" w:after="48"/>
        <w:rPr>
          <w:szCs w:val="20"/>
        </w:rPr>
      </w:pPr>
      <w:r w:rsidRPr="00FC607A">
        <w:rPr>
          <w:rFonts w:cs="Verdana"/>
          <w:szCs w:val="20"/>
          <w:lang w:eastAsia="es-ES"/>
        </w:rPr>
        <w:t xml:space="preserve">Informar a </w:t>
      </w:r>
      <w:r w:rsidRPr="00FC607A">
        <w:rPr>
          <w:szCs w:val="20"/>
          <w:lang w:eastAsia="es-ES"/>
        </w:rPr>
        <w:t xml:space="preserve">los </w:t>
      </w:r>
      <w:r w:rsidRPr="00FC607A">
        <w:rPr>
          <w:rFonts w:eastAsia="MS Mincho" w:cs="Times"/>
          <w:szCs w:val="20"/>
          <w:lang w:eastAsia="es-ES"/>
        </w:rPr>
        <w:t>intervinientes comunes</w:t>
      </w:r>
      <w:r w:rsidRPr="00FC607A">
        <w:rPr>
          <w:rFonts w:cs="Verdana"/>
          <w:szCs w:val="20"/>
          <w:lang w:eastAsia="es-ES"/>
        </w:rPr>
        <w:t xml:space="preserve"> y a la Comisión Interamericana que, en los términos d</w:t>
      </w:r>
      <w:r w:rsidRPr="00FC607A">
        <w:rPr>
          <w:szCs w:val="20"/>
          <w:lang w:eastAsia="es-ES"/>
        </w:rPr>
        <w:t>el artículo 56 del Reglamento,</w:t>
      </w:r>
      <w:r w:rsidRPr="00FC607A">
        <w:rPr>
          <w:rFonts w:cs="Verdana"/>
          <w:szCs w:val="20"/>
          <w:lang w:eastAsia="es-ES"/>
        </w:rPr>
        <w:t xml:space="preserve"> cuentan con un plazo hasta el 14 de noviembre de 2016 para presentar sus alegatos finales escritos y observaciones finales escritas, respectivamente, en relación con las excepciones preliminares y eventuales fondo, reparaciones y costas en el presente caso.</w:t>
      </w:r>
      <w:r w:rsidR="00913124" w:rsidRPr="00FC607A">
        <w:rPr>
          <w:rFonts w:cs="Verdana"/>
          <w:szCs w:val="20"/>
          <w:lang w:eastAsia="es-ES"/>
        </w:rPr>
        <w:t xml:space="preserve"> Por su parte, el Estado cuenta con un plazo hasta el 14 de diciembre de 2016 para presentar sus alegatos finales escritos.</w:t>
      </w:r>
      <w:r w:rsidRPr="00FC607A">
        <w:rPr>
          <w:rFonts w:cs="Verdana"/>
          <w:szCs w:val="20"/>
          <w:lang w:eastAsia="es-ES"/>
        </w:rPr>
        <w:t xml:space="preserve"> </w:t>
      </w:r>
      <w:r w:rsidR="00913124" w:rsidRPr="00FC607A">
        <w:rPr>
          <w:rFonts w:cs="Verdana"/>
          <w:szCs w:val="20"/>
          <w:lang w:eastAsia="es-ES"/>
        </w:rPr>
        <w:t>Estos plazos son</w:t>
      </w:r>
      <w:r w:rsidRPr="00FC607A">
        <w:rPr>
          <w:rFonts w:cs="Verdana"/>
          <w:szCs w:val="20"/>
          <w:lang w:eastAsia="es-ES"/>
        </w:rPr>
        <w:t xml:space="preserve"> improrrogable</w:t>
      </w:r>
      <w:r w:rsidR="00913124" w:rsidRPr="00FC607A">
        <w:rPr>
          <w:rFonts w:cs="Verdana"/>
          <w:szCs w:val="20"/>
          <w:lang w:eastAsia="es-ES"/>
        </w:rPr>
        <w:t>s</w:t>
      </w:r>
      <w:r w:rsidRPr="00FC607A">
        <w:rPr>
          <w:rFonts w:cs="Verdana"/>
          <w:szCs w:val="20"/>
          <w:lang w:eastAsia="es-ES"/>
        </w:rPr>
        <w:t xml:space="preserve"> e independiente</w:t>
      </w:r>
      <w:r w:rsidR="00913124" w:rsidRPr="00FC607A">
        <w:rPr>
          <w:rFonts w:cs="Verdana"/>
          <w:szCs w:val="20"/>
          <w:lang w:eastAsia="es-ES"/>
        </w:rPr>
        <w:t>s</w:t>
      </w:r>
      <w:r w:rsidRPr="00FC607A">
        <w:rPr>
          <w:rFonts w:cs="Verdana"/>
          <w:szCs w:val="20"/>
          <w:lang w:eastAsia="es-ES"/>
        </w:rPr>
        <w:t xml:space="preserve"> de la puesta a disposición de las partes de la grabación de la audiencia pública.</w:t>
      </w:r>
    </w:p>
    <w:p w:rsidR="00FE6750" w:rsidRPr="00FC607A" w:rsidRDefault="00FE6750" w:rsidP="006A14D3">
      <w:pPr>
        <w:tabs>
          <w:tab w:val="left" w:pos="567"/>
        </w:tabs>
        <w:spacing w:before="0" w:afterLines="20" w:after="48"/>
        <w:rPr>
          <w:szCs w:val="20"/>
        </w:rPr>
      </w:pPr>
    </w:p>
    <w:p w:rsidR="00FE6750" w:rsidRPr="00FC607A" w:rsidRDefault="00FE6750" w:rsidP="006A14D3">
      <w:pPr>
        <w:numPr>
          <w:ilvl w:val="0"/>
          <w:numId w:val="32"/>
        </w:numPr>
        <w:tabs>
          <w:tab w:val="left" w:pos="567"/>
        </w:tabs>
        <w:spacing w:before="0" w:afterLines="20" w:after="48"/>
        <w:rPr>
          <w:szCs w:val="20"/>
        </w:rPr>
      </w:pPr>
      <w:r w:rsidRPr="00FC607A">
        <w:rPr>
          <w:szCs w:val="20"/>
        </w:rPr>
        <w:t>Declarar procedente la aplicación del Fondo de Asistencia Legal de Víctimas de la Corte Interamericana en los términos dispuestos en los párrafos considerativos 22 a 25 de esta Resolución.</w:t>
      </w:r>
    </w:p>
    <w:p w:rsidR="00FE6750" w:rsidRPr="00FC607A" w:rsidRDefault="00FE6750" w:rsidP="006A14D3">
      <w:pPr>
        <w:tabs>
          <w:tab w:val="left" w:pos="567"/>
        </w:tabs>
        <w:autoSpaceDE w:val="0"/>
        <w:autoSpaceDN w:val="0"/>
        <w:adjustRightInd w:val="0"/>
        <w:spacing w:before="0" w:afterLines="20" w:after="48"/>
        <w:rPr>
          <w:rFonts w:cs="Verdana"/>
          <w:szCs w:val="20"/>
          <w:lang w:eastAsia="es-ES"/>
        </w:rPr>
      </w:pPr>
    </w:p>
    <w:p w:rsidR="00FE6750" w:rsidRPr="0056364A" w:rsidRDefault="00FE6750" w:rsidP="006A14D3">
      <w:pPr>
        <w:pStyle w:val="ListParagraph"/>
        <w:numPr>
          <w:ilvl w:val="0"/>
          <w:numId w:val="32"/>
        </w:numPr>
        <w:tabs>
          <w:tab w:val="left" w:pos="567"/>
        </w:tabs>
        <w:spacing w:before="0" w:afterLines="20" w:after="48"/>
        <w:rPr>
          <w:lang w:eastAsia="es-ES"/>
        </w:rPr>
      </w:pPr>
      <w:r w:rsidRPr="00FC607A">
        <w:t>Disponer, de conformidad con el artículo 4 del Reglamento de la Corte sobre el Funcionamiento del Fondo de Asistencia Legal de Víctimas, que la Secretaría</w:t>
      </w:r>
      <w:r w:rsidRPr="00006036">
        <w:t xml:space="preserve"> del Tribunal abra un expediente de gastos, donde se documentará cada una de las erogaciones que se realicen con el Fondo de Asistencia Legal de Víctimas.</w:t>
      </w:r>
      <w:r w:rsidRPr="0056364A">
        <w:rPr>
          <w:lang w:eastAsia="es-ES"/>
        </w:rPr>
        <w:t xml:space="preserve"> </w:t>
      </w:r>
    </w:p>
    <w:p w:rsidR="00FE6750" w:rsidRPr="00880A99" w:rsidRDefault="00FE6750" w:rsidP="006A14D3">
      <w:pPr>
        <w:pStyle w:val="ListParagraph"/>
        <w:numPr>
          <w:ilvl w:val="0"/>
          <w:numId w:val="0"/>
        </w:numPr>
        <w:tabs>
          <w:tab w:val="left" w:pos="567"/>
        </w:tabs>
        <w:spacing w:before="0" w:afterLines="20" w:after="48"/>
        <w:rPr>
          <w:lang w:eastAsia="es-ES"/>
        </w:rPr>
      </w:pPr>
    </w:p>
    <w:p w:rsidR="00FE6750" w:rsidRPr="00880A99" w:rsidRDefault="00FE6750" w:rsidP="006A14D3">
      <w:pPr>
        <w:numPr>
          <w:ilvl w:val="0"/>
          <w:numId w:val="32"/>
        </w:numPr>
        <w:tabs>
          <w:tab w:val="left" w:pos="567"/>
        </w:tabs>
        <w:autoSpaceDE w:val="0"/>
        <w:autoSpaceDN w:val="0"/>
        <w:adjustRightInd w:val="0"/>
        <w:spacing w:before="0" w:afterLines="20" w:after="48"/>
        <w:rPr>
          <w:szCs w:val="20"/>
          <w:lang w:val="es-MX"/>
        </w:rPr>
      </w:pPr>
      <w:r w:rsidRPr="00880A99">
        <w:rPr>
          <w:rFonts w:cs="Verdana"/>
          <w:szCs w:val="20"/>
          <w:lang w:eastAsia="es-ES"/>
        </w:rPr>
        <w:t xml:space="preserve">Disponer que la Secretaría de la Corte Interamericana notifique la presente Resolución a la Comisión Interamericana, a los </w:t>
      </w:r>
      <w:r w:rsidRPr="00880A99">
        <w:rPr>
          <w:szCs w:val="20"/>
        </w:rPr>
        <w:t>intervinientes comunes que representan a las presuntas víctimas</w:t>
      </w:r>
      <w:r w:rsidRPr="00880A99">
        <w:rPr>
          <w:rFonts w:cs="Verdana"/>
          <w:szCs w:val="20"/>
          <w:lang w:eastAsia="es-ES"/>
        </w:rPr>
        <w:t xml:space="preserve"> y al Estado.</w:t>
      </w:r>
    </w:p>
    <w:p w:rsidR="00FE6750" w:rsidRPr="003B3E3C" w:rsidRDefault="00FE6750" w:rsidP="006A14D3">
      <w:pPr>
        <w:tabs>
          <w:tab w:val="left" w:pos="567"/>
        </w:tabs>
        <w:spacing w:before="0" w:afterLines="20" w:after="48"/>
        <w:rPr>
          <w:szCs w:val="20"/>
          <w:lang w:val="es-MX"/>
        </w:rPr>
      </w:pPr>
    </w:p>
    <w:p w:rsidR="008031E0" w:rsidRPr="008031E0" w:rsidRDefault="008031E0" w:rsidP="008031E0">
      <w:pPr>
        <w:rPr>
          <w:szCs w:val="18"/>
        </w:rPr>
      </w:pPr>
      <w:r w:rsidRPr="008031E0">
        <w:rPr>
          <w:rFonts w:cs="Verdana"/>
          <w:bCs/>
          <w:szCs w:val="20"/>
          <w:lang w:val="es-ES"/>
        </w:rPr>
        <w:lastRenderedPageBreak/>
        <w:t xml:space="preserve">Resolución del Presidente de la Corte Interamericana de Derechos Humanos. </w:t>
      </w:r>
      <w:r w:rsidRPr="008031E0">
        <w:rPr>
          <w:szCs w:val="18"/>
        </w:rPr>
        <w:t>Caso Trabajadores Cesados de Petroperú, del Ministerio de Educación, del Ministerio de Economía y Finanzas y de la Empresa Nacional de Puertos vs. Perú.</w:t>
      </w:r>
    </w:p>
    <w:p w:rsidR="008031E0" w:rsidRPr="008031E0" w:rsidRDefault="008031E0" w:rsidP="008031E0">
      <w:pPr>
        <w:tabs>
          <w:tab w:val="left" w:pos="567"/>
        </w:tabs>
        <w:spacing w:after="0"/>
        <w:rPr>
          <w:rFonts w:cs="Verdana"/>
          <w:bCs/>
          <w:szCs w:val="20"/>
        </w:rPr>
      </w:pPr>
    </w:p>
    <w:p w:rsidR="00F3228C" w:rsidRDefault="00F3228C">
      <w:pPr>
        <w:spacing w:before="0" w:after="200" w:line="276" w:lineRule="auto"/>
        <w:jc w:val="left"/>
        <w:rPr>
          <w:rFonts w:cs="Verdana"/>
          <w:szCs w:val="20"/>
          <w:lang w:val="es-MX"/>
        </w:rPr>
      </w:pPr>
    </w:p>
    <w:p w:rsidR="00F3228C" w:rsidRDefault="00F3228C" w:rsidP="00F3228C">
      <w:pPr>
        <w:tabs>
          <w:tab w:val="left" w:pos="567"/>
        </w:tabs>
        <w:spacing w:after="0"/>
        <w:rPr>
          <w:rFonts w:cs="Verdana"/>
          <w:bCs/>
          <w:szCs w:val="20"/>
          <w:lang w:val="es-ES"/>
        </w:rPr>
      </w:pPr>
    </w:p>
    <w:p w:rsidR="00F3228C" w:rsidRDefault="00F3228C" w:rsidP="00F3228C">
      <w:pPr>
        <w:tabs>
          <w:tab w:val="left" w:pos="567"/>
        </w:tabs>
        <w:spacing w:before="0" w:after="0"/>
        <w:rPr>
          <w:szCs w:val="20"/>
          <w:lang w:val="es-MX"/>
        </w:rPr>
      </w:pPr>
    </w:p>
    <w:p w:rsidR="00F3228C" w:rsidRPr="00405A8F" w:rsidRDefault="00F3228C" w:rsidP="00F3228C">
      <w:pPr>
        <w:tabs>
          <w:tab w:val="left" w:pos="567"/>
          <w:tab w:val="left" w:pos="6663"/>
        </w:tabs>
        <w:spacing w:before="0" w:after="0"/>
        <w:rPr>
          <w:szCs w:val="20"/>
          <w:lang w:val="es-MX"/>
        </w:rPr>
      </w:pPr>
    </w:p>
    <w:p w:rsidR="00F3228C" w:rsidRDefault="00F3228C" w:rsidP="00F3228C">
      <w:pPr>
        <w:tabs>
          <w:tab w:val="left" w:pos="567"/>
          <w:tab w:val="left" w:pos="6663"/>
        </w:tabs>
        <w:spacing w:before="0" w:after="0"/>
        <w:rPr>
          <w:szCs w:val="20"/>
        </w:rPr>
      </w:pPr>
    </w:p>
    <w:p w:rsidR="00F3228C" w:rsidRDefault="00F3228C" w:rsidP="00F3228C">
      <w:pPr>
        <w:tabs>
          <w:tab w:val="left" w:pos="567"/>
          <w:tab w:val="left" w:pos="6663"/>
        </w:tabs>
        <w:spacing w:before="0" w:after="0"/>
        <w:rPr>
          <w:szCs w:val="20"/>
        </w:rPr>
      </w:pPr>
    </w:p>
    <w:p w:rsidR="00F3228C" w:rsidRDefault="00F3228C" w:rsidP="00F3228C">
      <w:pPr>
        <w:tabs>
          <w:tab w:val="left" w:pos="567"/>
          <w:tab w:val="left" w:pos="6663"/>
        </w:tabs>
        <w:spacing w:before="0" w:after="0"/>
        <w:rPr>
          <w:szCs w:val="20"/>
        </w:rPr>
      </w:pPr>
    </w:p>
    <w:p w:rsidR="00402C44" w:rsidRDefault="00402C44" w:rsidP="00F3228C">
      <w:pPr>
        <w:tabs>
          <w:tab w:val="left" w:pos="567"/>
          <w:tab w:val="left" w:pos="6663"/>
        </w:tabs>
        <w:spacing w:before="0" w:after="0"/>
        <w:rPr>
          <w:szCs w:val="20"/>
        </w:rPr>
      </w:pPr>
    </w:p>
    <w:p w:rsidR="00F3228C" w:rsidRDefault="00F3228C" w:rsidP="00F3228C">
      <w:pPr>
        <w:tabs>
          <w:tab w:val="left" w:pos="567"/>
          <w:tab w:val="left" w:pos="6663"/>
        </w:tabs>
        <w:spacing w:before="0" w:after="0"/>
        <w:rPr>
          <w:szCs w:val="20"/>
        </w:rPr>
      </w:pPr>
    </w:p>
    <w:p w:rsidR="00F3228C" w:rsidRDefault="00F3228C" w:rsidP="00F3228C">
      <w:pPr>
        <w:tabs>
          <w:tab w:val="left" w:pos="567"/>
        </w:tabs>
        <w:spacing w:before="0" w:after="0"/>
        <w:ind w:left="4253"/>
        <w:jc w:val="center"/>
        <w:rPr>
          <w:szCs w:val="20"/>
          <w:lang w:val="pt-BR"/>
        </w:rPr>
      </w:pPr>
      <w:r>
        <w:rPr>
          <w:szCs w:val="20"/>
          <w:lang w:val="pt-BR"/>
        </w:rPr>
        <w:t>Roberto F. Caldas</w:t>
      </w:r>
    </w:p>
    <w:p w:rsidR="00F3228C" w:rsidRDefault="00F3228C" w:rsidP="00F3228C">
      <w:pPr>
        <w:tabs>
          <w:tab w:val="left" w:pos="567"/>
        </w:tabs>
        <w:spacing w:before="0" w:after="0"/>
        <w:ind w:left="4253"/>
        <w:jc w:val="center"/>
        <w:rPr>
          <w:szCs w:val="20"/>
          <w:lang w:val="pt-BR"/>
        </w:rPr>
      </w:pPr>
      <w:r>
        <w:rPr>
          <w:szCs w:val="20"/>
          <w:lang w:val="pt-BR"/>
        </w:rPr>
        <w:t>Presidente</w:t>
      </w: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p>
    <w:p w:rsidR="00F3228C" w:rsidRDefault="00F3228C" w:rsidP="00F3228C">
      <w:pPr>
        <w:tabs>
          <w:tab w:val="left" w:pos="567"/>
          <w:tab w:val="left" w:pos="2835"/>
        </w:tabs>
        <w:spacing w:before="0" w:after="0"/>
        <w:ind w:right="6003"/>
        <w:rPr>
          <w:szCs w:val="20"/>
          <w:lang w:val="es-ES"/>
        </w:rPr>
      </w:pPr>
      <w:r>
        <w:rPr>
          <w:szCs w:val="20"/>
          <w:lang w:val="es-ES"/>
        </w:rPr>
        <w:t>Pablo Saavedra Alessandri</w:t>
      </w:r>
    </w:p>
    <w:p w:rsidR="00F3228C" w:rsidRDefault="00F3228C" w:rsidP="00F3228C">
      <w:pPr>
        <w:tabs>
          <w:tab w:val="left" w:pos="567"/>
          <w:tab w:val="left" w:pos="2835"/>
        </w:tabs>
        <w:spacing w:before="0" w:after="0"/>
        <w:ind w:right="6003"/>
        <w:jc w:val="center"/>
        <w:rPr>
          <w:szCs w:val="20"/>
          <w:lang w:val="es-ES"/>
        </w:rPr>
      </w:pPr>
      <w:r>
        <w:rPr>
          <w:szCs w:val="20"/>
          <w:lang w:val="es-ES"/>
        </w:rPr>
        <w:t>Secretario</w:t>
      </w:r>
    </w:p>
    <w:p w:rsidR="00F3228C" w:rsidRDefault="00F3228C" w:rsidP="00F3228C">
      <w:pPr>
        <w:tabs>
          <w:tab w:val="left" w:pos="567"/>
        </w:tabs>
        <w:spacing w:before="0" w:after="0"/>
        <w:rPr>
          <w:szCs w:val="20"/>
          <w:lang w:val="es-MX"/>
        </w:rPr>
      </w:pPr>
    </w:p>
    <w:p w:rsidR="00F3228C" w:rsidRDefault="00F3228C" w:rsidP="00F3228C">
      <w:pPr>
        <w:tabs>
          <w:tab w:val="left" w:pos="567"/>
        </w:tabs>
        <w:spacing w:before="0" w:after="0"/>
        <w:rPr>
          <w:szCs w:val="20"/>
        </w:rPr>
      </w:pPr>
    </w:p>
    <w:p w:rsidR="00F3228C" w:rsidRDefault="00F3228C" w:rsidP="00F3228C">
      <w:pPr>
        <w:tabs>
          <w:tab w:val="left" w:pos="567"/>
        </w:tabs>
        <w:spacing w:before="0" w:after="0"/>
        <w:rPr>
          <w:szCs w:val="20"/>
        </w:rPr>
      </w:pPr>
    </w:p>
    <w:p w:rsidR="00F3228C" w:rsidRDefault="00F3228C" w:rsidP="00F3228C">
      <w:pPr>
        <w:tabs>
          <w:tab w:val="left" w:pos="567"/>
        </w:tabs>
        <w:spacing w:before="0" w:after="0"/>
        <w:rPr>
          <w:noProof/>
          <w:szCs w:val="20"/>
          <w:lang w:eastAsia="es-CR"/>
        </w:rPr>
      </w:pPr>
      <w:r>
        <w:rPr>
          <w:szCs w:val="20"/>
        </w:rPr>
        <w:t>Comuníquese y ejecútese,</w:t>
      </w:r>
      <w:r>
        <w:rPr>
          <w:noProof/>
          <w:szCs w:val="20"/>
          <w:lang w:eastAsia="es-CR"/>
        </w:rPr>
        <w:t xml:space="preserve"> </w:t>
      </w:r>
    </w:p>
    <w:p w:rsidR="00F3228C" w:rsidRDefault="00F3228C" w:rsidP="00F3228C">
      <w:pPr>
        <w:tabs>
          <w:tab w:val="left" w:pos="567"/>
        </w:tabs>
        <w:spacing w:before="0" w:after="0"/>
        <w:rPr>
          <w:noProof/>
          <w:szCs w:val="20"/>
          <w:lang w:eastAsia="es-CR"/>
        </w:rPr>
      </w:pPr>
    </w:p>
    <w:p w:rsidR="00F3228C" w:rsidRDefault="00F3228C" w:rsidP="00F3228C">
      <w:pPr>
        <w:tabs>
          <w:tab w:val="left" w:pos="567"/>
        </w:tabs>
        <w:spacing w:before="0" w:after="0"/>
        <w:rPr>
          <w:szCs w:val="20"/>
          <w:lang w:val="es-MX"/>
        </w:rPr>
      </w:pPr>
    </w:p>
    <w:p w:rsidR="00F3228C" w:rsidRDefault="00F3228C" w:rsidP="00F3228C">
      <w:pPr>
        <w:tabs>
          <w:tab w:val="left" w:pos="567"/>
        </w:tabs>
        <w:spacing w:before="0" w:after="0"/>
        <w:rPr>
          <w:szCs w:val="20"/>
        </w:rPr>
      </w:pPr>
    </w:p>
    <w:p w:rsidR="00F3228C" w:rsidRDefault="00F3228C" w:rsidP="00F3228C">
      <w:pPr>
        <w:tabs>
          <w:tab w:val="left" w:pos="567"/>
        </w:tabs>
        <w:spacing w:before="0" w:after="0"/>
        <w:rPr>
          <w:szCs w:val="20"/>
        </w:rPr>
      </w:pPr>
    </w:p>
    <w:p w:rsidR="00F3228C" w:rsidRDefault="00F3228C" w:rsidP="00F3228C">
      <w:pPr>
        <w:tabs>
          <w:tab w:val="left" w:pos="567"/>
        </w:tabs>
        <w:spacing w:before="0" w:after="0"/>
        <w:ind w:left="4536"/>
        <w:jc w:val="center"/>
        <w:rPr>
          <w:szCs w:val="20"/>
          <w:lang w:val="pt-BR"/>
        </w:rPr>
      </w:pPr>
    </w:p>
    <w:p w:rsidR="00F3228C" w:rsidRDefault="00F3228C" w:rsidP="00F3228C">
      <w:pPr>
        <w:tabs>
          <w:tab w:val="left" w:pos="567"/>
        </w:tabs>
        <w:spacing w:before="0" w:after="0"/>
        <w:ind w:left="4536"/>
        <w:jc w:val="center"/>
        <w:rPr>
          <w:szCs w:val="20"/>
          <w:lang w:val="pt-BR"/>
        </w:rPr>
      </w:pPr>
    </w:p>
    <w:p w:rsidR="00F3228C" w:rsidRDefault="00F3228C" w:rsidP="00F3228C">
      <w:pPr>
        <w:tabs>
          <w:tab w:val="left" w:pos="567"/>
        </w:tabs>
        <w:spacing w:before="0" w:after="0"/>
        <w:ind w:left="4536"/>
        <w:jc w:val="center"/>
        <w:rPr>
          <w:szCs w:val="20"/>
          <w:lang w:val="pt-BR"/>
        </w:rPr>
      </w:pPr>
      <w:r>
        <w:rPr>
          <w:szCs w:val="20"/>
          <w:lang w:val="pt-BR"/>
        </w:rPr>
        <w:t>Roberto F. Caldas</w:t>
      </w:r>
    </w:p>
    <w:p w:rsidR="00F3228C" w:rsidRDefault="00F3228C" w:rsidP="00F3228C">
      <w:pPr>
        <w:tabs>
          <w:tab w:val="left" w:pos="567"/>
        </w:tabs>
        <w:spacing w:before="0" w:after="0"/>
        <w:ind w:left="4536"/>
        <w:jc w:val="center"/>
        <w:rPr>
          <w:szCs w:val="20"/>
          <w:lang w:val="es-MX"/>
        </w:rPr>
      </w:pPr>
      <w:r>
        <w:rPr>
          <w:szCs w:val="20"/>
          <w:lang w:val="pt-BR"/>
        </w:rPr>
        <w:t>Presidente</w:t>
      </w: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p>
    <w:p w:rsidR="00F3228C" w:rsidRDefault="00F3228C" w:rsidP="00F3228C">
      <w:pPr>
        <w:tabs>
          <w:tab w:val="left" w:pos="567"/>
        </w:tabs>
        <w:spacing w:before="0" w:after="0"/>
        <w:ind w:right="6003"/>
        <w:rPr>
          <w:szCs w:val="20"/>
        </w:rPr>
      </w:pPr>
      <w:r>
        <w:rPr>
          <w:szCs w:val="20"/>
        </w:rPr>
        <w:t>Pablo Saavedra Alessandri</w:t>
      </w:r>
    </w:p>
    <w:p w:rsidR="00F3228C" w:rsidRDefault="00F3228C" w:rsidP="00F3228C">
      <w:pPr>
        <w:tabs>
          <w:tab w:val="left" w:pos="567"/>
        </w:tabs>
        <w:spacing w:before="0" w:after="0"/>
        <w:ind w:right="6003"/>
        <w:jc w:val="center"/>
        <w:rPr>
          <w:szCs w:val="20"/>
        </w:rPr>
      </w:pPr>
      <w:r>
        <w:rPr>
          <w:szCs w:val="20"/>
        </w:rPr>
        <w:t>Secretario</w:t>
      </w:r>
    </w:p>
    <w:p w:rsidR="00F3228C" w:rsidRDefault="00F3228C" w:rsidP="00F3228C">
      <w:pPr>
        <w:tabs>
          <w:tab w:val="left" w:pos="567"/>
        </w:tabs>
        <w:spacing w:before="0" w:after="0"/>
        <w:ind w:right="6003"/>
        <w:jc w:val="center"/>
      </w:pPr>
    </w:p>
    <w:p w:rsidR="00B13463" w:rsidRPr="00FE6750" w:rsidRDefault="00B13463" w:rsidP="00F3228C">
      <w:pPr>
        <w:pStyle w:val="ListParagraph"/>
        <w:numPr>
          <w:ilvl w:val="0"/>
          <w:numId w:val="0"/>
        </w:numPr>
        <w:spacing w:before="0"/>
        <w:rPr>
          <w:lang w:val="es-MX"/>
        </w:rPr>
      </w:pPr>
    </w:p>
    <w:sectPr w:rsidR="00B13463" w:rsidRPr="00FE6750" w:rsidSect="009055EB">
      <w:headerReference w:type="defaul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3D" w:rsidRDefault="004F6A3D" w:rsidP="006F6D58">
      <w:pPr>
        <w:spacing w:before="0" w:after="0"/>
      </w:pPr>
      <w:r>
        <w:separator/>
      </w:r>
    </w:p>
  </w:endnote>
  <w:endnote w:type="continuationSeparator" w:id="0">
    <w:p w:rsidR="004F6A3D" w:rsidRDefault="004F6A3D" w:rsidP="006F6D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3D" w:rsidRDefault="004F6A3D" w:rsidP="006F6D58">
      <w:pPr>
        <w:spacing w:before="0" w:after="0"/>
      </w:pPr>
      <w:r>
        <w:separator/>
      </w:r>
    </w:p>
  </w:footnote>
  <w:footnote w:type="continuationSeparator" w:id="0">
    <w:p w:rsidR="004F6A3D" w:rsidRDefault="004F6A3D" w:rsidP="006F6D58">
      <w:pPr>
        <w:spacing w:before="0" w:after="0"/>
      </w:pPr>
      <w:r>
        <w:continuationSeparator/>
      </w:r>
    </w:p>
  </w:footnote>
  <w:footnote w:id="1">
    <w:p w:rsidR="001A344E" w:rsidRPr="006E1EE9" w:rsidRDefault="001A344E" w:rsidP="00501C5D">
      <w:pPr>
        <w:pStyle w:val="Default"/>
        <w:jc w:val="both"/>
        <w:rPr>
          <w:sz w:val="16"/>
          <w:szCs w:val="16"/>
          <w:lang w:val="es-CR"/>
        </w:rPr>
      </w:pPr>
      <w:r w:rsidRPr="006E1EE9">
        <w:rPr>
          <w:rStyle w:val="FootnoteReference"/>
        </w:rPr>
        <w:footnoteRef/>
      </w:r>
      <w:r w:rsidRPr="006E1EE9">
        <w:rPr>
          <w:sz w:val="16"/>
          <w:szCs w:val="16"/>
          <w:lang w:val="es-CR"/>
        </w:rPr>
        <w:t xml:space="preserve"> </w:t>
      </w:r>
      <w:r w:rsidRPr="006E1EE9">
        <w:rPr>
          <w:sz w:val="16"/>
          <w:szCs w:val="16"/>
          <w:lang w:val="es-CR"/>
        </w:rPr>
        <w:tab/>
        <w:t xml:space="preserve">En el presente caso existen tres intervinientes comunes con participación autónoma: 1) la señora Carolina Loayza Tamayo; 2) la señora Roxana </w:t>
      </w:r>
      <w:proofErr w:type="spellStart"/>
      <w:r w:rsidRPr="006E1EE9">
        <w:rPr>
          <w:sz w:val="16"/>
          <w:szCs w:val="16"/>
          <w:lang w:val="es-CR"/>
        </w:rPr>
        <w:t>Miriana</w:t>
      </w:r>
      <w:proofErr w:type="spellEnd"/>
      <w:r w:rsidRPr="006E1EE9">
        <w:rPr>
          <w:sz w:val="16"/>
          <w:szCs w:val="16"/>
          <w:lang w:val="es-CR"/>
        </w:rPr>
        <w:t xml:space="preserve"> Palomino </w:t>
      </w:r>
      <w:proofErr w:type="spellStart"/>
      <w:r w:rsidRPr="006E1EE9">
        <w:rPr>
          <w:sz w:val="16"/>
          <w:szCs w:val="16"/>
          <w:lang w:val="es-CR"/>
        </w:rPr>
        <w:t>Mayta</w:t>
      </w:r>
      <w:proofErr w:type="spellEnd"/>
      <w:r w:rsidRPr="006E1EE9">
        <w:rPr>
          <w:sz w:val="16"/>
          <w:szCs w:val="16"/>
          <w:lang w:val="es-CR"/>
        </w:rPr>
        <w:t xml:space="preserve">, y 3) los señores Gregorio Paredes </w:t>
      </w:r>
      <w:proofErr w:type="spellStart"/>
      <w:r w:rsidRPr="006E1EE9">
        <w:rPr>
          <w:sz w:val="16"/>
          <w:szCs w:val="16"/>
          <w:lang w:val="es-CR"/>
        </w:rPr>
        <w:t>Chipana</w:t>
      </w:r>
      <w:proofErr w:type="spellEnd"/>
      <w:r w:rsidRPr="006E1EE9">
        <w:rPr>
          <w:sz w:val="16"/>
          <w:szCs w:val="16"/>
          <w:lang w:val="es-CR"/>
        </w:rPr>
        <w:t xml:space="preserve"> y Manuel Eugenio </w:t>
      </w:r>
      <w:proofErr w:type="spellStart"/>
      <w:r w:rsidRPr="006E1EE9">
        <w:rPr>
          <w:sz w:val="16"/>
          <w:szCs w:val="16"/>
          <w:lang w:val="es-CR"/>
        </w:rPr>
        <w:t>Paiba</w:t>
      </w:r>
      <w:proofErr w:type="spellEnd"/>
      <w:r w:rsidRPr="006E1EE9">
        <w:rPr>
          <w:sz w:val="16"/>
          <w:szCs w:val="16"/>
          <w:lang w:val="es-CR"/>
        </w:rPr>
        <w:t xml:space="preserve"> </w:t>
      </w:r>
      <w:proofErr w:type="spellStart"/>
      <w:r w:rsidRPr="006E1EE9">
        <w:rPr>
          <w:sz w:val="16"/>
          <w:szCs w:val="16"/>
          <w:lang w:val="es-CR"/>
        </w:rPr>
        <w:t>Cossíos</w:t>
      </w:r>
      <w:proofErr w:type="spellEnd"/>
      <w:r w:rsidRPr="006E1EE9">
        <w:rPr>
          <w:sz w:val="16"/>
          <w:szCs w:val="16"/>
          <w:lang w:val="es-CR"/>
        </w:rPr>
        <w:t xml:space="preserve">. Los intervinientes comunes Carolina Loayza Tamayo, así como Gregorio Paredes </w:t>
      </w:r>
      <w:proofErr w:type="spellStart"/>
      <w:r w:rsidRPr="006E1EE9">
        <w:rPr>
          <w:sz w:val="16"/>
          <w:szCs w:val="16"/>
          <w:lang w:val="es-CR"/>
        </w:rPr>
        <w:t>Chipana</w:t>
      </w:r>
      <w:proofErr w:type="spellEnd"/>
      <w:r w:rsidRPr="006E1EE9">
        <w:rPr>
          <w:sz w:val="16"/>
          <w:szCs w:val="16"/>
          <w:lang w:val="es-CR"/>
        </w:rPr>
        <w:t xml:space="preserve"> y Manuel Eugenio </w:t>
      </w:r>
      <w:proofErr w:type="spellStart"/>
      <w:r w:rsidRPr="006E1EE9">
        <w:rPr>
          <w:sz w:val="16"/>
          <w:szCs w:val="16"/>
          <w:lang w:val="es-CR"/>
        </w:rPr>
        <w:t>Paiba</w:t>
      </w:r>
      <w:proofErr w:type="spellEnd"/>
      <w:r w:rsidRPr="006E1EE9">
        <w:rPr>
          <w:sz w:val="16"/>
          <w:szCs w:val="16"/>
          <w:lang w:val="es-CR"/>
        </w:rPr>
        <w:t xml:space="preserve"> </w:t>
      </w:r>
      <w:proofErr w:type="spellStart"/>
      <w:r w:rsidRPr="006E1EE9">
        <w:rPr>
          <w:sz w:val="16"/>
          <w:szCs w:val="16"/>
          <w:lang w:val="es-CR"/>
        </w:rPr>
        <w:t>Cossíos</w:t>
      </w:r>
      <w:proofErr w:type="spellEnd"/>
      <w:r w:rsidRPr="006E1EE9">
        <w:rPr>
          <w:sz w:val="16"/>
          <w:szCs w:val="16"/>
          <w:lang w:val="es-CR"/>
        </w:rPr>
        <w:t xml:space="preserve">, presentaron sus respectivos escritos de solicitudes y argumentos. La señora Roxana </w:t>
      </w:r>
      <w:proofErr w:type="spellStart"/>
      <w:r w:rsidRPr="006E1EE9">
        <w:rPr>
          <w:sz w:val="16"/>
          <w:szCs w:val="16"/>
          <w:lang w:val="es-CR"/>
        </w:rPr>
        <w:t>Miriana</w:t>
      </w:r>
      <w:proofErr w:type="spellEnd"/>
      <w:r w:rsidRPr="006E1EE9">
        <w:rPr>
          <w:sz w:val="16"/>
          <w:szCs w:val="16"/>
          <w:lang w:val="es-CR"/>
        </w:rPr>
        <w:t xml:space="preserve"> Palomino </w:t>
      </w:r>
      <w:proofErr w:type="spellStart"/>
      <w:r w:rsidRPr="006E1EE9">
        <w:rPr>
          <w:sz w:val="16"/>
          <w:szCs w:val="16"/>
          <w:lang w:val="es-CR"/>
        </w:rPr>
        <w:t>Mayta</w:t>
      </w:r>
      <w:proofErr w:type="spellEnd"/>
      <w:r w:rsidRPr="006E1EE9">
        <w:rPr>
          <w:sz w:val="16"/>
          <w:szCs w:val="16"/>
          <w:lang w:val="es-CR"/>
        </w:rPr>
        <w:t xml:space="preserve"> no presentó dicho escrito en el plazo estipulado para tal efecto. A su vez, únicamente Carolina Loayza Tamayo ofreció declarantes en su escrito de solicitudes, argumentos y pruebas, en términos del artículo 40.2.c del Reglamento de la Corte.</w:t>
      </w:r>
    </w:p>
  </w:footnote>
  <w:footnote w:id="2">
    <w:p w:rsidR="001A344E" w:rsidRPr="00617700" w:rsidRDefault="001A344E" w:rsidP="00501C5D">
      <w:pPr>
        <w:pStyle w:val="FootnoteText"/>
        <w:spacing w:before="0" w:after="0"/>
      </w:pPr>
      <w:r>
        <w:rPr>
          <w:rStyle w:val="FootnoteReference"/>
        </w:rPr>
        <w:footnoteRef/>
      </w:r>
      <w:r>
        <w:t xml:space="preserve"> </w:t>
      </w:r>
      <w:r>
        <w:tab/>
      </w:r>
      <w:r w:rsidRPr="00BE2C67">
        <w:t>Resolución del Presidente de la Corte Interamericana de Derechos Humanos de 22 de junio de 2016</w:t>
      </w:r>
      <w:r>
        <w:t>. Disponible en:</w:t>
      </w:r>
      <w:r w:rsidRPr="00617700">
        <w:t xml:space="preserve"> http://www.corteidh.or.cr/docs/asuntos/petroperu_fv_16.pdf</w:t>
      </w:r>
      <w:r w:rsidR="00C927D7">
        <w:t>.</w:t>
      </w:r>
    </w:p>
  </w:footnote>
  <w:footnote w:id="3">
    <w:p w:rsidR="001A344E" w:rsidRPr="003200AB" w:rsidRDefault="001A344E" w:rsidP="00501C5D">
      <w:pPr>
        <w:pStyle w:val="FootnoteText"/>
        <w:spacing w:before="0" w:after="0"/>
        <w:rPr>
          <w:lang w:val="es-CR"/>
        </w:rPr>
      </w:pPr>
      <w:r w:rsidRPr="006E1EE9">
        <w:rPr>
          <w:rStyle w:val="FootnoteReference"/>
        </w:rPr>
        <w:footnoteRef/>
      </w:r>
      <w:r w:rsidRPr="006E1EE9">
        <w:t xml:space="preserve"> </w:t>
      </w:r>
      <w:r w:rsidRPr="006E1EE9">
        <w:rPr>
          <w:lang w:val="es-CR"/>
        </w:rPr>
        <w:tab/>
      </w:r>
      <w:r w:rsidRPr="006E1EE9">
        <w:t>Carlos Alza Barco</w:t>
      </w:r>
      <w:r w:rsidRPr="003200AB">
        <w:t xml:space="preserve"> emitió un dictamen sobre “los estándares a tomar en consideración al momento de evaluar la idoneidad y efectividad de las medidas de reparación dispuestas por un Estado para responder a una situación estructural de denegación de justicia frente a un contexto de ceses colectivos en la función pública”, en lo pertinente para el presente caso.</w:t>
      </w:r>
    </w:p>
  </w:footnote>
  <w:footnote w:id="4">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i/>
        </w:rPr>
        <w:t xml:space="preserve">Cfr. </w:t>
      </w:r>
      <w:r w:rsidRPr="003200AB">
        <w:rPr>
          <w:rStyle w:val="Strong"/>
          <w:b w:val="0"/>
          <w:i/>
          <w:color w:val="000000"/>
          <w:shd w:val="clear" w:color="auto" w:fill="FFFFFF"/>
        </w:rPr>
        <w:t>Caso Marino López y otros (Operación Génesis) Vs. Colombia</w:t>
      </w:r>
      <w:r w:rsidRPr="006E1EE9">
        <w:rPr>
          <w:rStyle w:val="Strong"/>
          <w:b w:val="0"/>
          <w:color w:val="000000"/>
          <w:shd w:val="clear" w:color="auto" w:fill="FFFFFF"/>
        </w:rPr>
        <w:t xml:space="preserve">. Convocatoria de audiencia. Resolución del Presidente de la Corte Interamericana de Derechos Humanos de 19 de diciembre de 2012, </w:t>
      </w:r>
      <w:r>
        <w:rPr>
          <w:rStyle w:val="Strong"/>
          <w:b w:val="0"/>
          <w:color w:val="000000"/>
          <w:shd w:val="clear" w:color="auto" w:fill="FFFFFF"/>
        </w:rPr>
        <w:t>C</w:t>
      </w:r>
      <w:r w:rsidRPr="006E1EE9">
        <w:rPr>
          <w:rStyle w:val="Strong"/>
          <w:b w:val="0"/>
          <w:color w:val="000000"/>
          <w:shd w:val="clear" w:color="auto" w:fill="FFFFFF"/>
        </w:rPr>
        <w:t>onsiderando</w:t>
      </w:r>
      <w:r w:rsidRPr="006E1EE9">
        <w:t xml:space="preserve"> 39. </w:t>
      </w:r>
    </w:p>
  </w:footnote>
  <w:footnote w:id="5">
    <w:p w:rsidR="001A344E" w:rsidRPr="003200AB" w:rsidRDefault="001A344E" w:rsidP="00501C5D">
      <w:pPr>
        <w:pStyle w:val="FootnoteText"/>
        <w:spacing w:before="0" w:after="0"/>
        <w:rPr>
          <w:lang w:val="es-CR"/>
        </w:rPr>
      </w:pPr>
      <w:r w:rsidRPr="006E1EE9">
        <w:rPr>
          <w:rStyle w:val="FootnoteReference"/>
        </w:rPr>
        <w:footnoteRef/>
      </w:r>
      <w:r w:rsidRPr="006E1EE9">
        <w:t xml:space="preserve"> </w:t>
      </w:r>
      <w:r w:rsidRPr="006E1EE9">
        <w:rPr>
          <w:lang w:val="es-CR"/>
        </w:rPr>
        <w:tab/>
      </w:r>
      <w:r w:rsidRPr="006E1EE9">
        <w:rPr>
          <w:rFonts w:cs="Arial"/>
          <w:color w:val="0F0F0F"/>
        </w:rPr>
        <w:t>Lourdes Flores Nano</w:t>
      </w:r>
      <w:r w:rsidRPr="003200AB">
        <w:t xml:space="preserve"> emitió un dictamen sobre “los hechos acaecidos y sus efectos en el contexto sociopolítico durante la década de los años 90 en el Perú”, así como “el desarrollo de la legislación laboral existente”, en lo relevante para el presente caso.</w:t>
      </w:r>
    </w:p>
  </w:footnote>
  <w:footnote w:id="6">
    <w:p w:rsidR="001A344E" w:rsidRPr="006E1EE9" w:rsidRDefault="001A344E" w:rsidP="00501C5D">
      <w:pPr>
        <w:pStyle w:val="FootnoteText"/>
        <w:spacing w:before="0" w:after="0"/>
      </w:pPr>
      <w:r w:rsidRPr="006E1EE9">
        <w:rPr>
          <w:rStyle w:val="FootnoteReference"/>
        </w:rPr>
        <w:footnoteRef/>
      </w:r>
      <w:r w:rsidRPr="006E1EE9">
        <w:t xml:space="preserve"> </w:t>
      </w:r>
      <w:r w:rsidRPr="006E1EE9">
        <w:tab/>
      </w:r>
      <w:r w:rsidRPr="006E1EE9">
        <w:rPr>
          <w:lang w:val="es-CR"/>
        </w:rPr>
        <w:t xml:space="preserve">La grabación de la audiencia pública realizada el 17 de octubre de 2014, en relación con el caso </w:t>
      </w:r>
      <w:r w:rsidRPr="006E1EE9">
        <w:rPr>
          <w:i/>
          <w:iCs/>
          <w:lang w:val="es-CR"/>
        </w:rPr>
        <w:t xml:space="preserve">Canales </w:t>
      </w:r>
      <w:proofErr w:type="spellStart"/>
      <w:r w:rsidRPr="006E1EE9">
        <w:rPr>
          <w:i/>
          <w:iCs/>
          <w:lang w:val="es-CR"/>
        </w:rPr>
        <w:t>Huapaya</w:t>
      </w:r>
      <w:proofErr w:type="spellEnd"/>
      <w:r w:rsidRPr="006E1EE9">
        <w:rPr>
          <w:i/>
          <w:iCs/>
          <w:lang w:val="es-CR"/>
        </w:rPr>
        <w:t xml:space="preserve"> y otros Vs. Perú</w:t>
      </w:r>
      <w:r w:rsidRPr="003200AB">
        <w:rPr>
          <w:lang w:val="es-CR"/>
        </w:rPr>
        <w:t xml:space="preserve">, se encuentra disponible en el siguiente enlace: </w:t>
      </w:r>
      <w:hyperlink r:id="rId1" w:history="1">
        <w:r w:rsidRPr="006E1EE9">
          <w:rPr>
            <w:rStyle w:val="Hyperlink"/>
          </w:rPr>
          <w:t>https://vimeo.com/109624006</w:t>
        </w:r>
      </w:hyperlink>
      <w:r w:rsidR="00951837">
        <w:rPr>
          <w:rStyle w:val="Hyperlink"/>
        </w:rPr>
        <w:t>.</w:t>
      </w:r>
    </w:p>
  </w:footnote>
  <w:footnote w:id="7">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i/>
          <w:iCs/>
          <w:lang w:val="es-CR"/>
        </w:rPr>
        <w:t>Cfr</w:t>
      </w:r>
      <w:r w:rsidRPr="006E1EE9">
        <w:rPr>
          <w:lang w:val="es-CR"/>
        </w:rPr>
        <w:t xml:space="preserve">. </w:t>
      </w:r>
      <w:r w:rsidRPr="003200AB">
        <w:rPr>
          <w:i/>
          <w:iCs/>
          <w:lang w:val="es-CR"/>
        </w:rPr>
        <w:t xml:space="preserve">Caso García </w:t>
      </w:r>
      <w:proofErr w:type="spellStart"/>
      <w:r w:rsidRPr="003200AB">
        <w:rPr>
          <w:i/>
          <w:iCs/>
          <w:lang w:val="es-CR"/>
        </w:rPr>
        <w:t>Asto</w:t>
      </w:r>
      <w:proofErr w:type="spellEnd"/>
      <w:r w:rsidRPr="003200AB">
        <w:rPr>
          <w:i/>
          <w:iCs/>
          <w:lang w:val="es-CR"/>
        </w:rPr>
        <w:t xml:space="preserve"> y Ramírez Rojas Vs. Perú. </w:t>
      </w:r>
      <w:r w:rsidRPr="003200AB">
        <w:rPr>
          <w:lang w:val="es-CR"/>
        </w:rPr>
        <w:t xml:space="preserve">Resolución del Presidente de la Corte de 18 de marzo de 2005, Considerandos 7 a 10, y </w:t>
      </w:r>
      <w:r w:rsidRPr="003200AB">
        <w:rPr>
          <w:rStyle w:val="Strong"/>
          <w:b w:val="0"/>
          <w:i/>
          <w:color w:val="000000"/>
          <w:shd w:val="clear" w:color="auto" w:fill="FFFFFF"/>
        </w:rPr>
        <w:t xml:space="preserve">Caso </w:t>
      </w:r>
      <w:proofErr w:type="spellStart"/>
      <w:r w:rsidRPr="003200AB">
        <w:rPr>
          <w:rStyle w:val="Strong"/>
          <w:b w:val="0"/>
          <w:i/>
          <w:color w:val="000000"/>
          <w:shd w:val="clear" w:color="auto" w:fill="FFFFFF"/>
        </w:rPr>
        <w:t>Rochac</w:t>
      </w:r>
      <w:proofErr w:type="spellEnd"/>
      <w:r w:rsidRPr="003200AB">
        <w:rPr>
          <w:rStyle w:val="Strong"/>
          <w:b w:val="0"/>
          <w:i/>
          <w:color w:val="000000"/>
          <w:shd w:val="clear" w:color="auto" w:fill="FFFFFF"/>
        </w:rPr>
        <w:t xml:space="preserve"> Hernández y otros Vs. El Salvador</w:t>
      </w:r>
      <w:r w:rsidRPr="006E1EE9">
        <w:rPr>
          <w:rStyle w:val="Strong"/>
          <w:b w:val="0"/>
          <w:color w:val="000000"/>
          <w:shd w:val="clear" w:color="auto" w:fill="FFFFFF"/>
        </w:rPr>
        <w:t>. Convocatoria de audiencia. Resolución del Presidente de la Corte Interamericana de Derechos Humanos de 3 de marzo de 2014,</w:t>
      </w:r>
      <w:r w:rsidRPr="003200AB">
        <w:rPr>
          <w:rStyle w:val="Strong"/>
          <w:b w:val="0"/>
          <w:color w:val="000000"/>
          <w:shd w:val="clear" w:color="auto" w:fill="FFFFFF"/>
        </w:rPr>
        <w:t xml:space="preserve"> Considerando 14</w:t>
      </w:r>
      <w:r w:rsidRPr="003200AB">
        <w:rPr>
          <w:lang w:val="es-CR"/>
        </w:rPr>
        <w:t>.</w:t>
      </w:r>
    </w:p>
  </w:footnote>
  <w:footnote w:id="8">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t>El objeto de las seis declaraciones propuestas versaría sobre: “las circunstancias de modo, tiempo y lugar en relación a los hechos presentados por la Comisión IDH y, sobre todo, acerca de las consecuencias (personales, familiares, sociales, económicas, etc.) que les produjo el cese colectivo y la falta de justicia y de reparación, y en algunos casos de di</w:t>
      </w:r>
      <w:r w:rsidRPr="003200AB">
        <w:t xml:space="preserve">scriminación por parte del Estado de Perú. Asimismo, declararan, a la luz de los hechos anteriormente reseñados, sobre el impacto que tales hechos tuvo en sus vidas personales, en las relaciones sociales, en sus estudios y, en general, en su desarrollo integral; asimismo, declararan sobre las distintas vicisitudes de la vida de los integrantes de sus respectivas familias a partir de los hechos del caso”. </w:t>
      </w:r>
    </w:p>
  </w:footnote>
  <w:footnote w:id="9">
    <w:p w:rsidR="001A344E" w:rsidRPr="003200AB" w:rsidRDefault="001A344E" w:rsidP="00501C5D">
      <w:pPr>
        <w:pStyle w:val="FootnoteText"/>
        <w:spacing w:before="0" w:after="0"/>
        <w:rPr>
          <w:lang w:val="es-CR"/>
        </w:rPr>
      </w:pPr>
      <w:r w:rsidRPr="006E1EE9">
        <w:rPr>
          <w:rStyle w:val="FootnoteReference"/>
        </w:rPr>
        <w:footnoteRef/>
      </w:r>
      <w:r w:rsidRPr="006E1EE9">
        <w:rPr>
          <w:lang w:val="es-CR"/>
        </w:rPr>
        <w:t xml:space="preserve"> </w:t>
      </w:r>
      <w:r w:rsidRPr="006E1EE9">
        <w:rPr>
          <w:lang w:val="es-CR"/>
        </w:rPr>
        <w:tab/>
      </w:r>
      <w:r w:rsidRPr="006E1EE9">
        <w:rPr>
          <w:i/>
        </w:rPr>
        <w:t>Cfr. Caso de la “Masacre de Pueblo Bello”</w:t>
      </w:r>
      <w:r w:rsidRPr="006E1EE9">
        <w:t xml:space="preserve"> </w:t>
      </w:r>
      <w:r w:rsidRPr="003200AB">
        <w:rPr>
          <w:i/>
        </w:rPr>
        <w:t>Vs. Colombia</w:t>
      </w:r>
      <w:r w:rsidRPr="003200AB">
        <w:t xml:space="preserve">. Resolución del Presidente de la Corte Interamericana de Derechos Humanos de 29 de julio de 2005, Considerando 7, y </w:t>
      </w:r>
      <w:r w:rsidRPr="003200AB">
        <w:rPr>
          <w:i/>
        </w:rPr>
        <w:t>Caso Zegarra Marín Vs. Perú</w:t>
      </w:r>
      <w:r w:rsidRPr="003200AB">
        <w:t>. Resolución del Presidente de la Corte Interamericana de Derechos Humanos de 17 de diciembre de 2015, Considerando 16.</w:t>
      </w:r>
    </w:p>
  </w:footnote>
  <w:footnote w:id="10">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00951837">
        <w:rPr>
          <w:i/>
        </w:rPr>
        <w:t xml:space="preserve">Cfr. </w:t>
      </w:r>
      <w:r w:rsidRPr="006E1EE9">
        <w:t xml:space="preserve">Nota de Secretaría de la Corte de </w:t>
      </w:r>
      <w:r w:rsidRPr="006E1EE9">
        <w:rPr>
          <w:lang w:val="es-CR"/>
        </w:rPr>
        <w:t>29 de agosto de 2016 (expediente de fondo</w:t>
      </w:r>
      <w:r w:rsidR="00951837">
        <w:rPr>
          <w:lang w:val="es-CR"/>
        </w:rPr>
        <w:t>, folio 1638</w:t>
      </w:r>
      <w:r w:rsidRPr="006E1EE9">
        <w:rPr>
          <w:lang w:val="es-CR"/>
        </w:rPr>
        <w:t>).</w:t>
      </w:r>
    </w:p>
  </w:footnote>
  <w:footnote w:id="11">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00951837" w:rsidRPr="00FC607A">
        <w:rPr>
          <w:i/>
        </w:rPr>
        <w:t>Cfr</w:t>
      </w:r>
      <w:r w:rsidR="00951837" w:rsidRPr="00951837">
        <w:t xml:space="preserve">. </w:t>
      </w:r>
      <w:r w:rsidRPr="006E1EE9">
        <w:t xml:space="preserve">Hoja de vida del señor </w:t>
      </w:r>
      <w:r w:rsidRPr="006E1EE9">
        <w:rPr>
          <w:rFonts w:cs="Times New Roman"/>
        </w:rPr>
        <w:t>Adolfo Granadino Farías</w:t>
      </w:r>
      <w:r w:rsidR="009055EB">
        <w:rPr>
          <w:rFonts w:cs="Times New Roman"/>
        </w:rPr>
        <w:t>.</w:t>
      </w:r>
    </w:p>
  </w:footnote>
  <w:footnote w:id="12">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lang w:val="es-CR"/>
        </w:rPr>
        <w:t>El peritaje versaría sobre</w:t>
      </w:r>
      <w:r w:rsidRPr="006E1EE9">
        <w:t xml:space="preserve">: </w:t>
      </w:r>
      <w:r w:rsidRPr="006E1EE9">
        <w:rPr>
          <w:rFonts w:cs="Times New Roman"/>
        </w:rPr>
        <w:t xml:space="preserve">“la privatización en el Perú, los resultados económicos de la privatización en el Perú, el proceso de ceses colectivos </w:t>
      </w:r>
      <w:r w:rsidRPr="003200AB">
        <w:rPr>
          <w:rFonts w:cs="Arial"/>
        </w:rPr>
        <w:t xml:space="preserve">y </w:t>
      </w:r>
      <w:r w:rsidRPr="003200AB">
        <w:rPr>
          <w:rFonts w:cs="Times New Roman"/>
        </w:rPr>
        <w:t xml:space="preserve">sus efectos respecto a la carga laboral de las empresas del Estado, con especial énfasis en la empresa Petroperú; el retorno a la democracia </w:t>
      </w:r>
      <w:r w:rsidRPr="003200AB">
        <w:rPr>
          <w:rFonts w:cs="Arial"/>
        </w:rPr>
        <w:t xml:space="preserve">y </w:t>
      </w:r>
      <w:r w:rsidRPr="003200AB">
        <w:rPr>
          <w:rFonts w:cs="Times New Roman"/>
        </w:rPr>
        <w:t xml:space="preserve">la implementación de medidas de reparación para las víctimas de los ceses colectivos y sus efectos, […] específicamente respecto al caso de Petroperú”. </w:t>
      </w:r>
    </w:p>
  </w:footnote>
  <w:footnote w:id="13">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lang w:val="es-CR"/>
        </w:rPr>
        <w:t>El peritaje versaría sobre</w:t>
      </w:r>
      <w:r w:rsidRPr="006E1EE9">
        <w:t xml:space="preserve">: “(a) </w:t>
      </w:r>
      <w:r w:rsidRPr="003200AB">
        <w:rPr>
          <w:rFonts w:cs="Times New Roman"/>
        </w:rPr>
        <w:t xml:space="preserve">las modificaciones sustanciales efectuadas en la legislación laboral en el Perú, a partir del 5 de abril de 1992 que llevó a la flexibilización laboral en los años noventa y sus efectos tanto en el sector público (destrucción de la carrera pública) como en las empresas del Estado (proceso de privatización) que condujo a la reducción drástica de su personal a través de ceses colectivos específicamente en los casos de PETROPERU </w:t>
      </w:r>
      <w:r w:rsidRPr="003200AB">
        <w:rPr>
          <w:rFonts w:cs="Arial"/>
        </w:rPr>
        <w:t xml:space="preserve">y </w:t>
      </w:r>
      <w:r w:rsidRPr="003200AB">
        <w:rPr>
          <w:rFonts w:cs="Times New Roman"/>
        </w:rPr>
        <w:t xml:space="preserve">ENAPU[;] (b) la implementación de los ceses colectivos en el sector público y en las empresas del Estado y la ausencia de garantías de supervisión de su legalidad y/o constitucionalidad por supresión o recorte de facultades legales y constitucionales de entidades públicas competentes y sustitución por entidades </w:t>
      </w:r>
      <w:r w:rsidRPr="00D569A6">
        <w:rPr>
          <w:rFonts w:cs="Times New Roman"/>
          <w:i/>
        </w:rPr>
        <w:t>ad hoc</w:t>
      </w:r>
      <w:r w:rsidRPr="003200AB">
        <w:rPr>
          <w:rFonts w:cs="Times New Roman"/>
        </w:rPr>
        <w:t xml:space="preserve">; (c) el impacto socio-económico de estas medidas en las condiciones de vida de los trabajadores y sus familias específicamente en el caso de los trabajadores de PETROPERU Talara[,] y el ambiente de presión y hostilización con </w:t>
      </w:r>
      <w:r w:rsidRPr="003200AB">
        <w:rPr>
          <w:rFonts w:cs="Arial"/>
        </w:rPr>
        <w:t xml:space="preserve">el </w:t>
      </w:r>
      <w:r w:rsidRPr="003200AB">
        <w:rPr>
          <w:rFonts w:cs="Times New Roman"/>
        </w:rPr>
        <w:t xml:space="preserve">propósito del desistimiento de toda reclamación administrativa y/o judicial[, y] (d) el retorno a la democracia, las acciones iniciadas para determinar los efectos de las medidas adoptadas en la década de los 90 en la gestión de recursos humanos del Estado”. </w:t>
      </w:r>
    </w:p>
  </w:footnote>
  <w:footnote w:id="14">
    <w:p w:rsidR="001A344E" w:rsidRPr="003200AB" w:rsidRDefault="001A344E" w:rsidP="00501C5D">
      <w:pPr>
        <w:pStyle w:val="FootnoteText"/>
        <w:spacing w:before="0" w:after="0"/>
        <w:rPr>
          <w:lang w:val="es-CR"/>
        </w:rPr>
      </w:pPr>
      <w:r w:rsidRPr="006E1EE9">
        <w:rPr>
          <w:rStyle w:val="FootnoteReference"/>
        </w:rPr>
        <w:footnoteRef/>
      </w:r>
      <w:r w:rsidRPr="006E1EE9">
        <w:t xml:space="preserve"> </w:t>
      </w:r>
      <w:r w:rsidRPr="006E1EE9">
        <w:rPr>
          <w:lang w:val="es-CR"/>
        </w:rPr>
        <w:tab/>
        <w:t>El peritaje versaría sobre</w:t>
      </w:r>
      <w:r w:rsidRPr="006E1EE9">
        <w:t>: “</w:t>
      </w:r>
      <w:r w:rsidRPr="006E1EE9">
        <w:rPr>
          <w:lang w:val="es-CR"/>
        </w:rPr>
        <w:t>los</w:t>
      </w:r>
      <w:r w:rsidRPr="003200AB">
        <w:t xml:space="preserve"> </w:t>
      </w:r>
      <w:r w:rsidRPr="003200AB">
        <w:rPr>
          <w:lang w:val="es-CR"/>
        </w:rPr>
        <w:t>estándares internacionales en</w:t>
      </w:r>
      <w:r w:rsidRPr="003200AB">
        <w:t xml:space="preserve"> </w:t>
      </w:r>
      <w:r w:rsidRPr="003200AB">
        <w:rPr>
          <w:lang w:val="es-CR"/>
        </w:rPr>
        <w:t>materia de la protección del derecho</w:t>
      </w:r>
      <w:r w:rsidRPr="003200AB">
        <w:t xml:space="preserve"> </w:t>
      </w:r>
      <w:r w:rsidRPr="003200AB">
        <w:rPr>
          <w:lang w:val="es-CR"/>
        </w:rPr>
        <w:t>al trabajo y a condiciones justas y</w:t>
      </w:r>
      <w:r w:rsidRPr="003200AB">
        <w:t xml:space="preserve"> </w:t>
      </w:r>
      <w:r w:rsidRPr="003200AB">
        <w:rPr>
          <w:lang w:val="es-CR"/>
        </w:rPr>
        <w:t>equitativas de trabajo, y sobre su</w:t>
      </w:r>
      <w:r w:rsidRPr="003200AB">
        <w:t xml:space="preserve"> </w:t>
      </w:r>
      <w:r w:rsidRPr="003200AB">
        <w:rPr>
          <w:lang w:val="es-CR"/>
        </w:rPr>
        <w:t>relación con los derechos protegidos</w:t>
      </w:r>
      <w:r w:rsidRPr="003200AB">
        <w:t xml:space="preserve"> </w:t>
      </w:r>
      <w:r w:rsidRPr="003200AB">
        <w:rPr>
          <w:lang w:val="es-CR"/>
        </w:rPr>
        <w:t>por la Convención Americana sobre</w:t>
      </w:r>
      <w:r w:rsidRPr="003200AB">
        <w:rPr>
          <w:rFonts w:cs="Times New Roman"/>
        </w:rPr>
        <w:t xml:space="preserve"> </w:t>
      </w:r>
      <w:r w:rsidRPr="003200AB">
        <w:rPr>
          <w:lang w:val="es-CR"/>
        </w:rPr>
        <w:t>Derechos Humanos</w:t>
      </w:r>
      <w:r w:rsidRPr="003200AB">
        <w:t>”</w:t>
      </w:r>
      <w:r w:rsidRPr="003200AB">
        <w:rPr>
          <w:lang w:val="es-CR"/>
        </w:rPr>
        <w:t>.</w:t>
      </w:r>
      <w:r w:rsidRPr="003200AB">
        <w:t xml:space="preserve"> </w:t>
      </w:r>
    </w:p>
  </w:footnote>
  <w:footnote w:id="15">
    <w:p w:rsidR="001A344E" w:rsidRPr="003200AB" w:rsidRDefault="001A344E" w:rsidP="00501C5D">
      <w:pPr>
        <w:pStyle w:val="FootnoteText"/>
        <w:spacing w:before="0" w:after="0"/>
        <w:rPr>
          <w:b/>
          <w:lang w:val="es-CR"/>
        </w:rPr>
      </w:pPr>
      <w:r w:rsidRPr="006E1EE9">
        <w:rPr>
          <w:rStyle w:val="FootnoteReference"/>
        </w:rPr>
        <w:footnoteRef/>
      </w:r>
      <w:r w:rsidRPr="006E1EE9">
        <w:t xml:space="preserve"> </w:t>
      </w:r>
      <w:r w:rsidRPr="006E1EE9">
        <w:rPr>
          <w:lang w:val="es-CR"/>
        </w:rPr>
        <w:tab/>
      </w:r>
      <w:r w:rsidRPr="006E1EE9">
        <w:rPr>
          <w:rFonts w:cs="Times New Roman"/>
        </w:rPr>
        <w:t xml:space="preserve">El Estado sostuvo que nada de lo que se ha precisado sobre el perito propuesto ni en su </w:t>
      </w:r>
      <w:proofErr w:type="spellStart"/>
      <w:r w:rsidRPr="006E1EE9">
        <w:rPr>
          <w:rFonts w:cs="Times New Roman"/>
          <w:i/>
          <w:iCs/>
        </w:rPr>
        <w:t>curriculum</w:t>
      </w:r>
      <w:proofErr w:type="spellEnd"/>
      <w:r w:rsidRPr="006E1EE9">
        <w:rPr>
          <w:rFonts w:cs="Times New Roman"/>
          <w:i/>
          <w:iCs/>
        </w:rPr>
        <w:t xml:space="preserve"> vitae</w:t>
      </w:r>
      <w:r w:rsidRPr="006E1EE9">
        <w:rPr>
          <w:rFonts w:cs="Times New Roman"/>
        </w:rPr>
        <w:t xml:space="preserve"> puede llevar a pensar que es experto en temas relacionados a procesos de privatización y materia laboral, en específico, en lo referido al caso de la </w:t>
      </w:r>
      <w:r w:rsidRPr="003200AB">
        <w:rPr>
          <w:rFonts w:cs="Times New Roman"/>
        </w:rPr>
        <w:t>empresa Petroperú, y tampoco en</w:t>
      </w:r>
      <w:r w:rsidRPr="003200AB">
        <w:rPr>
          <w:rFonts w:cs="Times New Roman"/>
          <w:lang w:val="es-CR"/>
        </w:rPr>
        <w:t xml:space="preserve"> las medidas que ha</w:t>
      </w:r>
      <w:r w:rsidRPr="003200AB">
        <w:rPr>
          <w:rFonts w:cs="Times New Roman"/>
        </w:rPr>
        <w:t xml:space="preserve"> </w:t>
      </w:r>
      <w:r w:rsidRPr="003200AB">
        <w:rPr>
          <w:rFonts w:cs="Times New Roman"/>
          <w:lang w:val="es-CR"/>
        </w:rPr>
        <w:t>implementado el Estado para otorgar beneficios a las presuntas víctimas de</w:t>
      </w:r>
      <w:r w:rsidRPr="003200AB">
        <w:rPr>
          <w:rFonts w:cs="Times New Roman"/>
        </w:rPr>
        <w:t xml:space="preserve"> </w:t>
      </w:r>
      <w:r w:rsidRPr="003200AB">
        <w:rPr>
          <w:rFonts w:cs="Times New Roman"/>
          <w:lang w:val="es-CR"/>
        </w:rPr>
        <w:t>PETROPERU.</w:t>
      </w:r>
      <w:r w:rsidRPr="003200AB">
        <w:rPr>
          <w:rFonts w:cs="Times New Roman"/>
        </w:rPr>
        <w:t xml:space="preserve"> Además, no </w:t>
      </w:r>
      <w:r w:rsidRPr="003200AB">
        <w:rPr>
          <w:rFonts w:cs="Times New Roman"/>
          <w:lang w:val="es-CR"/>
        </w:rPr>
        <w:t>se habría</w:t>
      </w:r>
      <w:r w:rsidRPr="003200AB">
        <w:rPr>
          <w:rFonts w:cs="Times New Roman"/>
        </w:rPr>
        <w:t xml:space="preserve"> </w:t>
      </w:r>
      <w:r w:rsidRPr="003200AB">
        <w:rPr>
          <w:rFonts w:cs="Times New Roman"/>
          <w:lang w:val="es-CR"/>
        </w:rPr>
        <w:t>precisado las investigaciones que habría realizado el perito propuesto, respecto a cada</w:t>
      </w:r>
      <w:r w:rsidRPr="003200AB">
        <w:rPr>
          <w:rFonts w:cs="Times New Roman"/>
        </w:rPr>
        <w:t xml:space="preserve"> </w:t>
      </w:r>
      <w:r w:rsidRPr="003200AB">
        <w:rPr>
          <w:rFonts w:cs="Times New Roman"/>
          <w:lang w:val="es-CR"/>
        </w:rPr>
        <w:t xml:space="preserve">uno de los puntos contenidos en el objeto de </w:t>
      </w:r>
      <w:r w:rsidRPr="003200AB">
        <w:rPr>
          <w:rFonts w:cs="Times New Roman"/>
        </w:rPr>
        <w:t>l</w:t>
      </w:r>
      <w:r w:rsidRPr="003200AB">
        <w:rPr>
          <w:rFonts w:cs="Times New Roman"/>
          <w:lang w:val="es-CR"/>
        </w:rPr>
        <w:t xml:space="preserve">a declaración. </w:t>
      </w:r>
    </w:p>
  </w:footnote>
  <w:footnote w:id="16">
    <w:p w:rsidR="001A344E" w:rsidRPr="003200AB" w:rsidRDefault="001A344E" w:rsidP="00501C5D">
      <w:pPr>
        <w:pStyle w:val="FootnoteText"/>
        <w:spacing w:before="0" w:after="0"/>
        <w:rPr>
          <w:b/>
        </w:rPr>
      </w:pPr>
      <w:r w:rsidRPr="006E1EE9">
        <w:rPr>
          <w:rStyle w:val="FootnoteReference"/>
        </w:rPr>
        <w:footnoteRef/>
      </w:r>
      <w:r w:rsidRPr="006E1EE9">
        <w:t xml:space="preserve"> </w:t>
      </w:r>
      <w:r w:rsidRPr="006E1EE9">
        <w:tab/>
      </w:r>
      <w:r w:rsidRPr="006E1EE9">
        <w:rPr>
          <w:rFonts w:cs="Times New Roman"/>
        </w:rPr>
        <w:t xml:space="preserve">El Estado argumentó que “[e]l perito tendría el título de profesor en matemática y </w:t>
      </w:r>
      <w:proofErr w:type="spellStart"/>
      <w:r w:rsidRPr="006E1EE9">
        <w:rPr>
          <w:rFonts w:cs="Times New Roman"/>
        </w:rPr>
        <w:t>fí</w:t>
      </w:r>
      <w:r w:rsidRPr="006E1EE9">
        <w:rPr>
          <w:rFonts w:cs="Times New Roman"/>
          <w:lang w:val="es-CR"/>
        </w:rPr>
        <w:t>sica</w:t>
      </w:r>
      <w:proofErr w:type="spellEnd"/>
      <w:r w:rsidRPr="006E1EE9">
        <w:rPr>
          <w:rFonts w:cs="Times New Roman"/>
          <w:lang w:val="es-CR"/>
        </w:rPr>
        <w:t>, lo que</w:t>
      </w:r>
      <w:r w:rsidRPr="006E1EE9">
        <w:rPr>
          <w:rFonts w:cs="Times New Roman"/>
        </w:rPr>
        <w:t xml:space="preserve"> no tiene </w:t>
      </w:r>
      <w:r w:rsidRPr="003200AB">
        <w:rPr>
          <w:rFonts w:cs="Times New Roman"/>
        </w:rPr>
        <w:t>vinculación</w:t>
      </w:r>
      <w:r w:rsidRPr="003200AB">
        <w:rPr>
          <w:rFonts w:cs="Times New Roman"/>
          <w:lang w:val="es-CR"/>
        </w:rPr>
        <w:t xml:space="preserve"> con el objeto del peritaje. Lo propio respecto a sus estudios en</w:t>
      </w:r>
      <w:r w:rsidRPr="003200AB">
        <w:rPr>
          <w:rFonts w:cs="Times New Roman"/>
        </w:rPr>
        <w:t xml:space="preserve"> </w:t>
      </w:r>
      <w:r w:rsidRPr="003200AB">
        <w:rPr>
          <w:rFonts w:cs="Times New Roman"/>
          <w:lang w:val="es-CR"/>
        </w:rPr>
        <w:t>f</w:t>
      </w:r>
      <w:r w:rsidRPr="003200AB">
        <w:rPr>
          <w:rFonts w:cs="Times New Roman"/>
        </w:rPr>
        <w:t>í</w:t>
      </w:r>
      <w:proofErr w:type="spellStart"/>
      <w:r w:rsidRPr="003200AB">
        <w:rPr>
          <w:rFonts w:cs="Times New Roman"/>
          <w:lang w:val="es-CR"/>
        </w:rPr>
        <w:t>sica</w:t>
      </w:r>
      <w:proofErr w:type="spellEnd"/>
      <w:r w:rsidRPr="003200AB">
        <w:rPr>
          <w:rFonts w:cs="Times New Roman"/>
          <w:lang w:val="es-CR"/>
        </w:rPr>
        <w:t xml:space="preserve"> y </w:t>
      </w:r>
      <w:proofErr w:type="spellStart"/>
      <w:r w:rsidRPr="003200AB">
        <w:rPr>
          <w:rFonts w:cs="Times New Roman"/>
          <w:lang w:val="es-CR"/>
        </w:rPr>
        <w:t>demograf</w:t>
      </w:r>
      <w:r w:rsidRPr="003200AB">
        <w:rPr>
          <w:rFonts w:cs="Times New Roman"/>
        </w:rPr>
        <w:t>ía</w:t>
      </w:r>
      <w:proofErr w:type="spellEnd"/>
      <w:r w:rsidRPr="003200AB">
        <w:rPr>
          <w:rFonts w:cs="Times New Roman"/>
        </w:rPr>
        <w:t xml:space="preserve">”. </w:t>
      </w:r>
      <w:r w:rsidRPr="003200AB">
        <w:rPr>
          <w:rFonts w:cs="Times New Roman"/>
          <w:lang w:val="es-CR"/>
        </w:rPr>
        <w:t xml:space="preserve">Por otro </w:t>
      </w:r>
      <w:r w:rsidRPr="003200AB">
        <w:rPr>
          <w:rFonts w:cs="Times New Roman"/>
        </w:rPr>
        <w:t>l</w:t>
      </w:r>
      <w:proofErr w:type="spellStart"/>
      <w:r w:rsidRPr="003200AB">
        <w:rPr>
          <w:rFonts w:cs="Times New Roman"/>
          <w:lang w:val="es-CR"/>
        </w:rPr>
        <w:t>ado</w:t>
      </w:r>
      <w:proofErr w:type="spellEnd"/>
      <w:r w:rsidRPr="003200AB">
        <w:rPr>
          <w:rFonts w:cs="Times New Roman"/>
          <w:lang w:val="es-CR"/>
        </w:rPr>
        <w:t xml:space="preserve">, </w:t>
      </w:r>
      <w:r w:rsidRPr="003200AB">
        <w:rPr>
          <w:rFonts w:cs="Times New Roman"/>
        </w:rPr>
        <w:t>“</w:t>
      </w:r>
      <w:r w:rsidRPr="003200AB">
        <w:rPr>
          <w:rFonts w:cs="Times New Roman"/>
          <w:lang w:val="es-CR"/>
        </w:rPr>
        <w:t xml:space="preserve">respecto al cargo de Director de Estudios de Empleo, no se </w:t>
      </w:r>
      <w:proofErr w:type="gramStart"/>
      <w:r w:rsidRPr="003200AB">
        <w:rPr>
          <w:rFonts w:cs="Times New Roman"/>
          <w:lang w:val="es-CR"/>
        </w:rPr>
        <w:t>ha</w:t>
      </w:r>
      <w:r w:rsidRPr="003200AB">
        <w:rPr>
          <w:rFonts w:cs="Times New Roman"/>
        </w:rPr>
        <w:t>[</w:t>
      </w:r>
      <w:proofErr w:type="spellStart"/>
      <w:proofErr w:type="gramEnd"/>
      <w:r w:rsidRPr="003200AB">
        <w:rPr>
          <w:rFonts w:cs="Times New Roman"/>
        </w:rPr>
        <w:t>bía</w:t>
      </w:r>
      <w:proofErr w:type="spellEnd"/>
      <w:r w:rsidRPr="003200AB">
        <w:rPr>
          <w:rFonts w:cs="Times New Roman"/>
        </w:rPr>
        <w:t xml:space="preserve">] </w:t>
      </w:r>
      <w:r w:rsidRPr="003200AB">
        <w:rPr>
          <w:rFonts w:cs="Times New Roman"/>
          <w:lang w:val="es-CR"/>
        </w:rPr>
        <w:t xml:space="preserve">precisado el tiempo que </w:t>
      </w:r>
      <w:proofErr w:type="spellStart"/>
      <w:r w:rsidRPr="003200AB">
        <w:rPr>
          <w:rFonts w:cs="Times New Roman"/>
          <w:lang w:val="es-CR"/>
        </w:rPr>
        <w:t>ocup</w:t>
      </w:r>
      <w:r w:rsidRPr="003200AB">
        <w:rPr>
          <w:rFonts w:cs="Times New Roman"/>
        </w:rPr>
        <w:t>ó</w:t>
      </w:r>
      <w:proofErr w:type="spellEnd"/>
      <w:r w:rsidRPr="003200AB">
        <w:rPr>
          <w:rFonts w:cs="Times New Roman"/>
          <w:lang w:val="es-CR"/>
        </w:rPr>
        <w:t xml:space="preserve"> tal cargo ni las labores que le </w:t>
      </w:r>
      <w:proofErr w:type="spellStart"/>
      <w:r w:rsidRPr="003200AB">
        <w:rPr>
          <w:rFonts w:cs="Times New Roman"/>
          <w:lang w:val="es-CR"/>
        </w:rPr>
        <w:t>compet</w:t>
      </w:r>
      <w:proofErr w:type="spellEnd"/>
      <w:r w:rsidRPr="003200AB">
        <w:rPr>
          <w:rFonts w:cs="Times New Roman"/>
        </w:rPr>
        <w:t>í</w:t>
      </w:r>
      <w:proofErr w:type="spellStart"/>
      <w:r w:rsidRPr="003200AB">
        <w:rPr>
          <w:rFonts w:cs="Times New Roman"/>
          <w:lang w:val="es-CR"/>
        </w:rPr>
        <w:t>an</w:t>
      </w:r>
      <w:proofErr w:type="spellEnd"/>
      <w:r w:rsidRPr="003200AB">
        <w:rPr>
          <w:rFonts w:cs="Times New Roman"/>
        </w:rPr>
        <w:t>”</w:t>
      </w:r>
      <w:r w:rsidRPr="003200AB">
        <w:rPr>
          <w:rFonts w:cs="Times New Roman"/>
          <w:lang w:val="es-CR"/>
        </w:rPr>
        <w:t>.</w:t>
      </w:r>
      <w:r w:rsidRPr="003200AB">
        <w:rPr>
          <w:rFonts w:cs="Times New Roman"/>
        </w:rPr>
        <w:t xml:space="preserve"> Tampoco “se </w:t>
      </w:r>
      <w:proofErr w:type="gramStart"/>
      <w:r w:rsidRPr="003200AB">
        <w:rPr>
          <w:rFonts w:cs="Times New Roman"/>
        </w:rPr>
        <w:t>ha[</w:t>
      </w:r>
      <w:proofErr w:type="spellStart"/>
      <w:proofErr w:type="gramEnd"/>
      <w:r w:rsidRPr="003200AB">
        <w:rPr>
          <w:rFonts w:cs="Times New Roman"/>
        </w:rPr>
        <w:t>bía</w:t>
      </w:r>
      <w:proofErr w:type="spellEnd"/>
      <w:r w:rsidRPr="003200AB">
        <w:rPr>
          <w:rFonts w:cs="Times New Roman"/>
        </w:rPr>
        <w:t xml:space="preserve">] precisado </w:t>
      </w:r>
      <w:r w:rsidRPr="003200AB">
        <w:rPr>
          <w:rFonts w:cs="Times New Roman"/>
          <w:lang w:val="es-CR"/>
        </w:rPr>
        <w:t xml:space="preserve">las funciones que </w:t>
      </w:r>
      <w:proofErr w:type="spellStart"/>
      <w:r w:rsidRPr="003200AB">
        <w:rPr>
          <w:rFonts w:cs="Times New Roman"/>
          <w:lang w:val="es-CR"/>
        </w:rPr>
        <w:t>realiz</w:t>
      </w:r>
      <w:r w:rsidRPr="003200AB">
        <w:rPr>
          <w:rFonts w:cs="Times New Roman"/>
        </w:rPr>
        <w:t>ó</w:t>
      </w:r>
      <w:proofErr w:type="spellEnd"/>
      <w:r w:rsidRPr="003200AB">
        <w:rPr>
          <w:rFonts w:cs="Times New Roman"/>
          <w:lang w:val="es-CR"/>
        </w:rPr>
        <w:t xml:space="preserve"> en el </w:t>
      </w:r>
      <w:proofErr w:type="spellStart"/>
      <w:r w:rsidRPr="003200AB">
        <w:rPr>
          <w:rFonts w:cs="Times New Roman"/>
          <w:lang w:val="es-CR"/>
        </w:rPr>
        <w:t>ejerc</w:t>
      </w:r>
      <w:r w:rsidRPr="003200AB">
        <w:rPr>
          <w:rFonts w:cs="Times New Roman"/>
        </w:rPr>
        <w:t>icio</w:t>
      </w:r>
      <w:proofErr w:type="spellEnd"/>
      <w:r w:rsidRPr="003200AB">
        <w:rPr>
          <w:rFonts w:cs="Times New Roman"/>
        </w:rPr>
        <w:t xml:space="preserve"> </w:t>
      </w:r>
      <w:r w:rsidRPr="003200AB">
        <w:rPr>
          <w:rFonts w:cs="Times New Roman"/>
          <w:lang w:val="es-CR"/>
        </w:rPr>
        <w:t>del cargo</w:t>
      </w:r>
      <w:r w:rsidRPr="003200AB">
        <w:rPr>
          <w:rFonts w:cs="Times New Roman"/>
        </w:rPr>
        <w:t xml:space="preserve">” </w:t>
      </w:r>
      <w:r w:rsidRPr="003200AB">
        <w:rPr>
          <w:rFonts w:cs="Times New Roman"/>
          <w:lang w:val="es-CR"/>
        </w:rPr>
        <w:t>de asesor del despacho del Viceministerio de Trabajo</w:t>
      </w:r>
      <w:r w:rsidRPr="003200AB">
        <w:rPr>
          <w:rFonts w:cs="Times New Roman"/>
        </w:rPr>
        <w:t xml:space="preserve"> y </w:t>
      </w:r>
      <w:r w:rsidRPr="003200AB">
        <w:rPr>
          <w:rFonts w:cs="Times New Roman"/>
          <w:lang w:val="es-CR"/>
        </w:rPr>
        <w:t xml:space="preserve">como Investigador </w:t>
      </w:r>
      <w:r w:rsidRPr="003200AB">
        <w:rPr>
          <w:rFonts w:cs="Arial"/>
          <w:lang w:val="es-CR"/>
        </w:rPr>
        <w:t xml:space="preserve">y </w:t>
      </w:r>
      <w:r w:rsidRPr="003200AB">
        <w:rPr>
          <w:rFonts w:cs="Times New Roman"/>
          <w:lang w:val="es-CR"/>
        </w:rPr>
        <w:t>Oficial de</w:t>
      </w:r>
      <w:r w:rsidRPr="003200AB">
        <w:rPr>
          <w:rFonts w:cs="Times New Roman"/>
        </w:rPr>
        <w:t xml:space="preserve"> </w:t>
      </w:r>
      <w:r w:rsidRPr="003200AB">
        <w:rPr>
          <w:rFonts w:cs="Times New Roman"/>
          <w:lang w:val="es-CR"/>
        </w:rPr>
        <w:t xml:space="preserve">Coordinador de </w:t>
      </w:r>
      <w:r w:rsidRPr="003200AB">
        <w:rPr>
          <w:rFonts w:cs="Times New Roman"/>
        </w:rPr>
        <w:t>l</w:t>
      </w:r>
      <w:r w:rsidRPr="003200AB">
        <w:rPr>
          <w:rFonts w:cs="Times New Roman"/>
          <w:lang w:val="es-CR"/>
        </w:rPr>
        <w:t>a Unidad de Desarrollo Humano del Programa de las Naciones</w:t>
      </w:r>
      <w:r w:rsidRPr="003200AB">
        <w:rPr>
          <w:rFonts w:cs="Times New Roman"/>
        </w:rPr>
        <w:t xml:space="preserve"> </w:t>
      </w:r>
      <w:r w:rsidRPr="003200AB">
        <w:rPr>
          <w:rFonts w:cs="Times New Roman"/>
          <w:lang w:val="es-CR"/>
        </w:rPr>
        <w:t xml:space="preserve">Unidas para el Desarrollo. Asimismo, </w:t>
      </w:r>
      <w:r w:rsidRPr="003200AB">
        <w:rPr>
          <w:rFonts w:cs="Times New Roman"/>
        </w:rPr>
        <w:t>“</w:t>
      </w:r>
      <w:r w:rsidRPr="003200AB">
        <w:rPr>
          <w:rFonts w:cs="Times New Roman"/>
          <w:lang w:val="es-CR"/>
        </w:rPr>
        <w:t>de las publicaciones que se mencionan,</w:t>
      </w:r>
      <w:r w:rsidRPr="003200AB">
        <w:rPr>
          <w:rFonts w:cs="Times New Roman"/>
        </w:rPr>
        <w:t xml:space="preserve"> </w:t>
      </w:r>
      <w:r w:rsidRPr="003200AB">
        <w:rPr>
          <w:rFonts w:cs="Times New Roman"/>
          <w:lang w:val="es-CR"/>
        </w:rPr>
        <w:t xml:space="preserve">ninguna </w:t>
      </w:r>
      <w:proofErr w:type="spellStart"/>
      <w:proofErr w:type="gramStart"/>
      <w:r w:rsidRPr="003200AB">
        <w:rPr>
          <w:rFonts w:cs="Times New Roman"/>
          <w:lang w:val="es-CR"/>
        </w:rPr>
        <w:t>est</w:t>
      </w:r>
      <w:proofErr w:type="spellEnd"/>
      <w:r w:rsidRPr="003200AB">
        <w:rPr>
          <w:rFonts w:cs="Times New Roman"/>
        </w:rPr>
        <w:t>[</w:t>
      </w:r>
      <w:proofErr w:type="spellStart"/>
      <w:proofErr w:type="gramEnd"/>
      <w:r w:rsidRPr="003200AB">
        <w:rPr>
          <w:rFonts w:cs="Times New Roman"/>
        </w:rPr>
        <w:t>arí</w:t>
      </w:r>
      <w:proofErr w:type="spellEnd"/>
      <w:r w:rsidRPr="003200AB">
        <w:rPr>
          <w:rFonts w:cs="Times New Roman"/>
          <w:lang w:val="es-CR"/>
        </w:rPr>
        <w:t>a</w:t>
      </w:r>
      <w:r w:rsidRPr="003200AB">
        <w:rPr>
          <w:rFonts w:cs="Times New Roman"/>
        </w:rPr>
        <w:t>]</w:t>
      </w:r>
      <w:r w:rsidRPr="003200AB">
        <w:rPr>
          <w:rFonts w:cs="Times New Roman"/>
          <w:lang w:val="es-CR"/>
        </w:rPr>
        <w:t xml:space="preserve"> referidas a los ceses de las presuntas v</w:t>
      </w:r>
      <w:r w:rsidRPr="003200AB">
        <w:rPr>
          <w:rFonts w:cs="Times New Roman"/>
        </w:rPr>
        <w:t>í</w:t>
      </w:r>
      <w:proofErr w:type="spellStart"/>
      <w:r w:rsidRPr="003200AB">
        <w:rPr>
          <w:rFonts w:cs="Times New Roman"/>
          <w:lang w:val="es-CR"/>
        </w:rPr>
        <w:t>ctimas</w:t>
      </w:r>
      <w:proofErr w:type="spellEnd"/>
      <w:r w:rsidRPr="003200AB">
        <w:rPr>
          <w:rFonts w:cs="Times New Roman"/>
          <w:lang w:val="es-CR"/>
        </w:rPr>
        <w:t xml:space="preserve"> de ENAPU </w:t>
      </w:r>
      <w:r w:rsidRPr="003200AB">
        <w:rPr>
          <w:rFonts w:cs="Arial"/>
          <w:lang w:val="es-CR"/>
        </w:rPr>
        <w:t>y</w:t>
      </w:r>
      <w:r w:rsidRPr="003200AB">
        <w:rPr>
          <w:rFonts w:cs="Times New Roman"/>
        </w:rPr>
        <w:t xml:space="preserve"> </w:t>
      </w:r>
      <w:r w:rsidRPr="003200AB">
        <w:rPr>
          <w:rFonts w:cs="Times New Roman"/>
          <w:lang w:val="es-CR"/>
        </w:rPr>
        <w:t>PETROPERU</w:t>
      </w:r>
      <w:r w:rsidRPr="003200AB">
        <w:rPr>
          <w:rFonts w:cs="Times New Roman"/>
        </w:rPr>
        <w:t>”</w:t>
      </w:r>
      <w:r w:rsidRPr="003200AB">
        <w:rPr>
          <w:rFonts w:cs="Times New Roman"/>
          <w:lang w:val="es-CR"/>
        </w:rPr>
        <w:t xml:space="preserve">. </w:t>
      </w:r>
    </w:p>
  </w:footnote>
  <w:footnote w:id="17">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i/>
          <w:iCs/>
        </w:rPr>
        <w:t>Cfr.</w:t>
      </w:r>
      <w:r w:rsidRPr="006E1EE9">
        <w:t xml:space="preserve"> </w:t>
      </w:r>
      <w:r w:rsidRPr="006E1EE9">
        <w:rPr>
          <w:i/>
          <w:iCs/>
        </w:rPr>
        <w:t xml:space="preserve">Caso Néstor José y Luis </w:t>
      </w:r>
      <w:proofErr w:type="spellStart"/>
      <w:r w:rsidRPr="006E1EE9">
        <w:rPr>
          <w:i/>
          <w:iCs/>
        </w:rPr>
        <w:t>Uzcátegui</w:t>
      </w:r>
      <w:proofErr w:type="spellEnd"/>
      <w:r w:rsidRPr="006E1EE9">
        <w:rPr>
          <w:i/>
          <w:iCs/>
        </w:rPr>
        <w:t xml:space="preserve"> Vs. Venezuela.</w:t>
      </w:r>
      <w:r w:rsidRPr="006E1EE9">
        <w:t xml:space="preserve"> Resolución del Presidente de la Corte Interamericana de Derechos Humanos de 3 de noviembre de 2011, Considerando </w:t>
      </w:r>
      <w:r w:rsidR="00ED1759">
        <w:t>6</w:t>
      </w:r>
      <w:r w:rsidRPr="006E1EE9">
        <w:t>.</w:t>
      </w:r>
    </w:p>
  </w:footnote>
  <w:footnote w:id="18">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i/>
          <w:iCs/>
        </w:rPr>
        <w:t>Cfr. Caso Rodríguez Vera y otros Vs. Colombia</w:t>
      </w:r>
      <w:r w:rsidRPr="006E1EE9">
        <w:t xml:space="preserve">. Resolución del Presidente de la Corte Interamericana de Derechos Humanos de fecha 16 de octubre de 2013, Considerando 27, y </w:t>
      </w:r>
      <w:r w:rsidRPr="003200AB">
        <w:rPr>
          <w:i/>
          <w:iCs/>
        </w:rPr>
        <w:t xml:space="preserve">Caso Velázquez </w:t>
      </w:r>
      <w:proofErr w:type="spellStart"/>
      <w:r w:rsidRPr="003200AB">
        <w:rPr>
          <w:i/>
          <w:iCs/>
        </w:rPr>
        <w:t>Paiz</w:t>
      </w:r>
      <w:proofErr w:type="spellEnd"/>
      <w:r w:rsidRPr="003200AB">
        <w:rPr>
          <w:i/>
          <w:iCs/>
        </w:rPr>
        <w:t xml:space="preserve"> y otros Vs. Guatemala. </w:t>
      </w:r>
      <w:r w:rsidRPr="003200AB">
        <w:t xml:space="preserve">Resolución del Presidente de la Corte Interamericana de Derechos Humanos de fecha 19 de marzo de 2015, Considerando 20.  </w:t>
      </w:r>
    </w:p>
  </w:footnote>
  <w:footnote w:id="19">
    <w:p w:rsidR="001A344E" w:rsidRPr="003200AB" w:rsidRDefault="001A344E" w:rsidP="00501C5D">
      <w:pPr>
        <w:pStyle w:val="FootnoteText"/>
        <w:spacing w:before="0" w:after="0"/>
      </w:pPr>
      <w:r w:rsidRPr="006E1EE9">
        <w:rPr>
          <w:rStyle w:val="FootnoteReference"/>
        </w:rPr>
        <w:footnoteRef/>
      </w:r>
      <w:r w:rsidRPr="006E1EE9">
        <w:t xml:space="preserve"> </w:t>
      </w:r>
      <w:r w:rsidRPr="006E1EE9">
        <w:tab/>
      </w:r>
      <w:r w:rsidRPr="006E1EE9">
        <w:rPr>
          <w:i/>
          <w:iCs/>
        </w:rPr>
        <w:t xml:space="preserve">Cfr. </w:t>
      </w:r>
      <w:r w:rsidRPr="00FC607A">
        <w:rPr>
          <w:i/>
        </w:rPr>
        <w:t>Caso Tenorio Roca y otros Vs. Perú.</w:t>
      </w:r>
      <w:r w:rsidRPr="006E1EE9">
        <w:t xml:space="preserve"> Convocatoria de audiencia. Resolución del Presidente de la Corte Interamericana de Derecho</w:t>
      </w:r>
      <w:r w:rsidRPr="003200AB">
        <w:t xml:space="preserve">s Humanos de 15 de diciembre de 2015, </w:t>
      </w:r>
      <w:r w:rsidR="00ED1759">
        <w:t>Considerandos</w:t>
      </w:r>
      <w:r w:rsidRPr="003200AB">
        <w:t xml:space="preserve"> 22 y 23</w:t>
      </w:r>
      <w:r w:rsidR="008A2948">
        <w:t>.</w:t>
      </w:r>
    </w:p>
  </w:footnote>
  <w:footnote w:id="20">
    <w:p w:rsidR="001A344E" w:rsidRPr="00D3122F" w:rsidRDefault="001A344E" w:rsidP="00501C5D">
      <w:pPr>
        <w:pStyle w:val="FootnoteText"/>
        <w:spacing w:before="0" w:after="0"/>
      </w:pPr>
      <w:r w:rsidRPr="006E1EE9">
        <w:rPr>
          <w:rStyle w:val="FootnoteReference"/>
        </w:rPr>
        <w:footnoteRef/>
      </w:r>
      <w:r w:rsidRPr="006E1EE9">
        <w:t xml:space="preserve"> </w:t>
      </w:r>
      <w:r w:rsidRPr="006E1EE9">
        <w:tab/>
      </w:r>
      <w:r w:rsidRPr="006E1EE9">
        <w:rPr>
          <w:i/>
        </w:rPr>
        <w:t>Cfr.</w:t>
      </w:r>
      <w:r w:rsidRPr="006E1EE9">
        <w:t xml:space="preserve"> </w:t>
      </w:r>
      <w:r w:rsidRPr="00D569A6">
        <w:rPr>
          <w:i/>
        </w:rPr>
        <w:t>Caso Chinchilla Sandoval y otros Vs. Guatemala</w:t>
      </w:r>
      <w:r w:rsidRPr="006E1EE9">
        <w:t xml:space="preserve">. Resolución del Presidente de la Corte Interamericana de Derechos </w:t>
      </w:r>
      <w:r w:rsidRPr="003200AB">
        <w:t>Humanos de 12 de mayo de 2015, Considerando 19.</w:t>
      </w:r>
    </w:p>
  </w:footnote>
  <w:footnote w:id="21">
    <w:p w:rsidR="001A344E" w:rsidRPr="003200AB" w:rsidRDefault="001A344E" w:rsidP="00501C5D">
      <w:pPr>
        <w:pStyle w:val="FootnoteText"/>
        <w:spacing w:before="0" w:after="0"/>
      </w:pPr>
      <w:r w:rsidRPr="003200AB">
        <w:rPr>
          <w:rStyle w:val="FootnoteReference"/>
        </w:rPr>
        <w:footnoteRef/>
      </w:r>
      <w:r w:rsidRPr="003200AB">
        <w:t xml:space="preserve"> </w:t>
      </w:r>
      <w:r w:rsidRPr="003200AB">
        <w:tab/>
      </w:r>
      <w:r w:rsidR="00584619" w:rsidRPr="00584619">
        <w:rPr>
          <w:i/>
          <w:lang w:val="es-CR"/>
        </w:rPr>
        <w:t>Cfr.</w:t>
      </w:r>
      <w:r w:rsidR="00584619" w:rsidRPr="00584619">
        <w:rPr>
          <w:lang w:val="es-CR"/>
        </w:rPr>
        <w:t xml:space="preserve"> </w:t>
      </w:r>
      <w:r w:rsidRPr="00D3122F">
        <w:t xml:space="preserve">Hojas de vida de </w:t>
      </w:r>
      <w:proofErr w:type="spellStart"/>
      <w:r w:rsidRPr="003200AB">
        <w:rPr>
          <w:rFonts w:cs="Times New Roman"/>
        </w:rPr>
        <w:t>Bernedo</w:t>
      </w:r>
      <w:proofErr w:type="spellEnd"/>
      <w:r w:rsidRPr="00D3122F">
        <w:rPr>
          <w:rFonts w:cs="Times New Roman"/>
        </w:rPr>
        <w:t xml:space="preserve"> Alvarado</w:t>
      </w:r>
      <w:r w:rsidRPr="000D65F8" w:rsidDel="003200AB">
        <w:t xml:space="preserve"> </w:t>
      </w:r>
      <w:r w:rsidRPr="000D65F8">
        <w:t xml:space="preserve">y </w:t>
      </w:r>
      <w:r w:rsidRPr="000D65F8">
        <w:rPr>
          <w:rFonts w:cs="Times New Roman"/>
        </w:rPr>
        <w:t xml:space="preserve">Jorge Eusebio Manco </w:t>
      </w:r>
      <w:proofErr w:type="spellStart"/>
      <w:r w:rsidRPr="000D65F8">
        <w:rPr>
          <w:rFonts w:cs="Times New Roman"/>
        </w:rPr>
        <w:t>Zaconetti</w:t>
      </w:r>
      <w:proofErr w:type="spellEnd"/>
      <w:r w:rsidR="009055EB">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81637"/>
      <w:docPartObj>
        <w:docPartGallery w:val="Page Numbers (Top of Page)"/>
        <w:docPartUnique/>
      </w:docPartObj>
    </w:sdtPr>
    <w:sdtEndPr>
      <w:rPr>
        <w:noProof/>
      </w:rPr>
    </w:sdtEndPr>
    <w:sdtContent>
      <w:p w:rsidR="003B6693" w:rsidRDefault="003B6693">
        <w:pPr>
          <w:pStyle w:val="Header"/>
          <w:jc w:val="center"/>
        </w:pPr>
        <w:r>
          <w:fldChar w:fldCharType="begin"/>
        </w:r>
        <w:r>
          <w:instrText xml:space="preserve"> PAGE   \* MERGEFORMAT </w:instrText>
        </w:r>
        <w:r>
          <w:fldChar w:fldCharType="separate"/>
        </w:r>
        <w:r w:rsidR="003A07E0">
          <w:rPr>
            <w:noProof/>
          </w:rPr>
          <w:t>12</w:t>
        </w:r>
        <w:r>
          <w:rPr>
            <w:noProof/>
          </w:rPr>
          <w:fldChar w:fldCharType="end"/>
        </w:r>
      </w:p>
    </w:sdtContent>
  </w:sdt>
  <w:p w:rsidR="003B6693" w:rsidRDefault="003B6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35E864B2"/>
    <w:lvl w:ilvl="0" w:tplc="04090015">
      <w:start w:val="1"/>
      <w:numFmt w:val="upperLetter"/>
      <w:lvlText w:val="%1."/>
      <w:lvlJc w:val="left"/>
      <w:pPr>
        <w:ind w:left="720" w:hanging="360"/>
      </w:pPr>
    </w:lvl>
    <w:lvl w:ilvl="1" w:tplc="6888A558">
      <w:start w:val="1"/>
      <w:numFmt w:val="decimal"/>
      <w:lvlText w:val="%2)"/>
      <w:lvlJc w:val="left"/>
      <w:pPr>
        <w:ind w:left="1440" w:hanging="360"/>
      </w:pPr>
      <w:rPr>
        <w:rFonts w:ascii="Verdana" w:eastAsia="Batang" w:hAnsi="Verdana" w:cs="Calibri"/>
        <w:b w:val="0"/>
        <w:bCs/>
        <w:i w:val="0"/>
        <w:iCs w:val="0"/>
      </w:rPr>
    </w:lvl>
    <w:lvl w:ilvl="2" w:tplc="0409001B">
      <w:start w:val="1"/>
      <w:numFmt w:val="lowerRoman"/>
      <w:lvlText w:val="%3."/>
      <w:lvlJc w:val="right"/>
      <w:pPr>
        <w:ind w:left="2160" w:hanging="180"/>
      </w:pPr>
    </w:lvl>
    <w:lvl w:ilvl="3" w:tplc="5F2EF54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780770"/>
    <w:multiLevelType w:val="hybridMultilevel"/>
    <w:tmpl w:val="017C6B78"/>
    <w:lvl w:ilvl="0" w:tplc="40100D72">
      <w:start w:val="1"/>
      <w:numFmt w:val="decimal"/>
      <w:lvlText w:val="%1."/>
      <w:lvlJc w:val="left"/>
      <w:pPr>
        <w:ind w:left="6030" w:hanging="720"/>
      </w:pPr>
      <w:rPr>
        <w:rFonts w:ascii="Verdana" w:hAnsi="Verdana" w:hint="default"/>
        <w:b w:val="0"/>
        <w:i w:val="0"/>
        <w:color w:val="auto"/>
        <w:sz w:val="20"/>
        <w:szCs w:val="20"/>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C754BB"/>
    <w:multiLevelType w:val="hybridMultilevel"/>
    <w:tmpl w:val="95C2CA64"/>
    <w:lvl w:ilvl="0" w:tplc="04090015">
      <w:start w:val="1"/>
      <w:numFmt w:val="upperLetter"/>
      <w:lvlText w:val="%1."/>
      <w:lvlJc w:val="left"/>
      <w:pPr>
        <w:ind w:left="720" w:hanging="360"/>
      </w:p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F69074D8">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D11B61"/>
    <w:multiLevelType w:val="hybridMultilevel"/>
    <w:tmpl w:val="B600921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0265906"/>
    <w:multiLevelType w:val="hybridMultilevel"/>
    <w:tmpl w:val="56E2A2AE"/>
    <w:lvl w:ilvl="0" w:tplc="0FD0E226">
      <w:start w:val="2"/>
      <w:numFmt w:val="decimal"/>
      <w:lvlText w:val="%1."/>
      <w:lvlJc w:val="left"/>
      <w:pPr>
        <w:tabs>
          <w:tab w:val="num" w:pos="1440"/>
        </w:tabs>
        <w:ind w:left="0" w:firstLine="0"/>
      </w:pPr>
      <w:rPr>
        <w:rFonts w:ascii="Verdana" w:hAnsi="Verdana"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A38404A"/>
    <w:multiLevelType w:val="hybridMultilevel"/>
    <w:tmpl w:val="48DC98EC"/>
    <w:lvl w:ilvl="0" w:tplc="06E03C86">
      <w:start w:val="1"/>
      <w:numFmt w:val="decimal"/>
      <w:lvlText w:val="%1."/>
      <w:lvlJc w:val="left"/>
      <w:pPr>
        <w:tabs>
          <w:tab w:val="num" w:pos="720"/>
        </w:tabs>
        <w:ind w:left="0" w:firstLine="0"/>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40292478"/>
    <w:multiLevelType w:val="hybridMultilevel"/>
    <w:tmpl w:val="E25200D8"/>
    <w:lvl w:ilvl="0" w:tplc="140A0019">
      <w:start w:val="7"/>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352659A"/>
    <w:multiLevelType w:val="hybridMultilevel"/>
    <w:tmpl w:val="F80A438E"/>
    <w:lvl w:ilvl="0" w:tplc="5E6E2D30">
      <w:start w:val="1"/>
      <w:numFmt w:val="upperLetter"/>
      <w:lvlText w:val="%1."/>
      <w:lvlJc w:val="left"/>
      <w:pPr>
        <w:ind w:left="1211" w:hanging="360"/>
      </w:pPr>
    </w:lvl>
    <w:lvl w:ilvl="1" w:tplc="140A0019">
      <w:start w:val="1"/>
      <w:numFmt w:val="lowerLetter"/>
      <w:lvlText w:val="%2."/>
      <w:lvlJc w:val="left"/>
      <w:pPr>
        <w:ind w:left="5051" w:hanging="360"/>
      </w:pPr>
    </w:lvl>
    <w:lvl w:ilvl="2" w:tplc="140A001B">
      <w:start w:val="1"/>
      <w:numFmt w:val="lowerRoman"/>
      <w:lvlText w:val="%3."/>
      <w:lvlJc w:val="right"/>
      <w:pPr>
        <w:ind w:left="5771" w:hanging="180"/>
      </w:pPr>
    </w:lvl>
    <w:lvl w:ilvl="3" w:tplc="140A000F">
      <w:start w:val="1"/>
      <w:numFmt w:val="decimal"/>
      <w:lvlText w:val="%4."/>
      <w:lvlJc w:val="left"/>
      <w:pPr>
        <w:ind w:left="6491" w:hanging="360"/>
      </w:pPr>
    </w:lvl>
    <w:lvl w:ilvl="4" w:tplc="140A0019">
      <w:start w:val="1"/>
      <w:numFmt w:val="lowerLetter"/>
      <w:lvlText w:val="%5."/>
      <w:lvlJc w:val="left"/>
      <w:pPr>
        <w:ind w:left="7211" w:hanging="360"/>
      </w:pPr>
    </w:lvl>
    <w:lvl w:ilvl="5" w:tplc="140A001B">
      <w:start w:val="1"/>
      <w:numFmt w:val="lowerRoman"/>
      <w:lvlText w:val="%6."/>
      <w:lvlJc w:val="right"/>
      <w:pPr>
        <w:ind w:left="7931" w:hanging="180"/>
      </w:pPr>
    </w:lvl>
    <w:lvl w:ilvl="6" w:tplc="140A000F">
      <w:start w:val="1"/>
      <w:numFmt w:val="decimal"/>
      <w:lvlText w:val="%7."/>
      <w:lvlJc w:val="left"/>
      <w:pPr>
        <w:ind w:left="8651" w:hanging="360"/>
      </w:pPr>
    </w:lvl>
    <w:lvl w:ilvl="7" w:tplc="140A0019">
      <w:start w:val="1"/>
      <w:numFmt w:val="lowerLetter"/>
      <w:lvlText w:val="%8."/>
      <w:lvlJc w:val="left"/>
      <w:pPr>
        <w:ind w:left="9371" w:hanging="360"/>
      </w:pPr>
    </w:lvl>
    <w:lvl w:ilvl="8" w:tplc="140A001B">
      <w:start w:val="1"/>
      <w:numFmt w:val="lowerRoman"/>
      <w:lvlText w:val="%9."/>
      <w:lvlJc w:val="right"/>
      <w:pPr>
        <w:ind w:left="10091" w:hanging="180"/>
      </w:pPr>
    </w:lvl>
  </w:abstractNum>
  <w:abstractNum w:abstractNumId="8">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8E0B8B"/>
    <w:multiLevelType w:val="hybridMultilevel"/>
    <w:tmpl w:val="05E0D170"/>
    <w:lvl w:ilvl="0" w:tplc="CA70C708">
      <w:start w:val="1"/>
      <w:numFmt w:val="upperLetter"/>
      <w:lvlText w:val="%1."/>
      <w:lvlJc w:val="left"/>
      <w:pPr>
        <w:ind w:left="1080" w:hanging="720"/>
      </w:pPr>
      <w:rPr>
        <w:b/>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0FB0065"/>
    <w:multiLevelType w:val="hybridMultilevel"/>
    <w:tmpl w:val="A0BE1E8A"/>
    <w:lvl w:ilvl="0" w:tplc="AD36795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00530A"/>
    <w:multiLevelType w:val="hybridMultilevel"/>
    <w:tmpl w:val="B600921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5BF4704"/>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F5055A"/>
    <w:multiLevelType w:val="hybridMultilevel"/>
    <w:tmpl w:val="872C0368"/>
    <w:lvl w:ilvl="0" w:tplc="E674A7F4">
      <w:start w:val="1"/>
      <w:numFmt w:val="decimal"/>
      <w:lvlText w:val="%1)"/>
      <w:lvlJc w:val="left"/>
      <w:pPr>
        <w:ind w:left="1211" w:hanging="360"/>
      </w:pPr>
      <w:rPr>
        <w:rFonts w:eastAsiaTheme="minorHAnsi" w:hint="default"/>
        <w:b w:val="0"/>
        <w:i w:val="0"/>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4">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pStyle w:val="ListParagraph"/>
      <w:lvlText w:val="%2."/>
      <w:lvlJc w:val="left"/>
      <w:pPr>
        <w:tabs>
          <w:tab w:val="num" w:pos="993"/>
        </w:tabs>
        <w:ind w:left="0" w:firstLine="0"/>
      </w:pPr>
      <w:rPr>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5">
    <w:nsid w:val="62923DF3"/>
    <w:multiLevelType w:val="hybridMultilevel"/>
    <w:tmpl w:val="BF0CC2EA"/>
    <w:lvl w:ilvl="0" w:tplc="F04E79F8">
      <w:start w:val="1"/>
      <w:numFmt w:val="decimal"/>
      <w:lvlText w:val="%1."/>
      <w:lvlJc w:val="left"/>
      <w:pPr>
        <w:tabs>
          <w:tab w:val="num" w:pos="1800"/>
        </w:tabs>
        <w:ind w:left="360" w:firstLine="0"/>
      </w:pPr>
      <w:rPr>
        <w:rFonts w:ascii="Verdana" w:hAnsi="Verdana"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97D24"/>
    <w:multiLevelType w:val="hybridMultilevel"/>
    <w:tmpl w:val="C0FAAC86"/>
    <w:lvl w:ilvl="0" w:tplc="3F2CF080">
      <w:start w:val="1"/>
      <w:numFmt w:val="decimal"/>
      <w:lvlText w:val="%1."/>
      <w:lvlJc w:val="left"/>
      <w:pPr>
        <w:ind w:left="4482" w:hanging="720"/>
      </w:pPr>
      <w:rPr>
        <w:b w:val="0"/>
      </w:rPr>
    </w:lvl>
    <w:lvl w:ilvl="1" w:tplc="B08C5A98">
      <w:start w:val="1"/>
      <w:numFmt w:val="lowerRoman"/>
      <w:lvlText w:val="%2."/>
      <w:lvlJc w:val="left"/>
      <w:pPr>
        <w:ind w:left="5202" w:hanging="720"/>
      </w:pPr>
    </w:lvl>
    <w:lvl w:ilvl="2" w:tplc="0409001B">
      <w:start w:val="1"/>
      <w:numFmt w:val="lowerRoman"/>
      <w:lvlText w:val="%3."/>
      <w:lvlJc w:val="right"/>
      <w:pPr>
        <w:ind w:left="5562" w:hanging="180"/>
      </w:pPr>
    </w:lvl>
    <w:lvl w:ilvl="3" w:tplc="0409000F">
      <w:start w:val="1"/>
      <w:numFmt w:val="decimal"/>
      <w:lvlText w:val="%4."/>
      <w:lvlJc w:val="left"/>
      <w:pPr>
        <w:ind w:left="6282" w:hanging="360"/>
      </w:pPr>
    </w:lvl>
    <w:lvl w:ilvl="4" w:tplc="04090019">
      <w:start w:val="1"/>
      <w:numFmt w:val="lowerLetter"/>
      <w:lvlText w:val="%5."/>
      <w:lvlJc w:val="left"/>
      <w:pPr>
        <w:ind w:left="7002" w:hanging="360"/>
      </w:pPr>
    </w:lvl>
    <w:lvl w:ilvl="5" w:tplc="0409001B">
      <w:start w:val="1"/>
      <w:numFmt w:val="lowerRoman"/>
      <w:lvlText w:val="%6."/>
      <w:lvlJc w:val="right"/>
      <w:pPr>
        <w:ind w:left="7722" w:hanging="180"/>
      </w:pPr>
    </w:lvl>
    <w:lvl w:ilvl="6" w:tplc="0409000F">
      <w:start w:val="1"/>
      <w:numFmt w:val="decimal"/>
      <w:lvlText w:val="%7."/>
      <w:lvlJc w:val="left"/>
      <w:pPr>
        <w:ind w:left="8442" w:hanging="360"/>
      </w:pPr>
    </w:lvl>
    <w:lvl w:ilvl="7" w:tplc="04090019">
      <w:start w:val="1"/>
      <w:numFmt w:val="lowerLetter"/>
      <w:lvlText w:val="%8."/>
      <w:lvlJc w:val="left"/>
      <w:pPr>
        <w:ind w:left="9162" w:hanging="360"/>
      </w:pPr>
    </w:lvl>
    <w:lvl w:ilvl="8" w:tplc="0409001B">
      <w:start w:val="1"/>
      <w:numFmt w:val="lowerRoman"/>
      <w:lvlText w:val="%9."/>
      <w:lvlJc w:val="right"/>
      <w:pPr>
        <w:ind w:left="9882" w:hanging="180"/>
      </w:pPr>
    </w:lvl>
  </w:abstractNum>
  <w:abstractNum w:abstractNumId="17">
    <w:nsid w:val="62D67737"/>
    <w:multiLevelType w:val="hybridMultilevel"/>
    <w:tmpl w:val="AC36151A"/>
    <w:lvl w:ilvl="0" w:tplc="C3A882F0">
      <w:start w:val="1"/>
      <w:numFmt w:val="upperLetter"/>
      <w:lvlText w:val="%1."/>
      <w:lvlJc w:val="left"/>
      <w:pPr>
        <w:ind w:left="930" w:hanging="360"/>
      </w:pPr>
      <w:rPr>
        <w:rFonts w:hint="default"/>
        <w:b w: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8">
    <w:nsid w:val="644167C5"/>
    <w:multiLevelType w:val="hybridMultilevel"/>
    <w:tmpl w:val="56E2A2AE"/>
    <w:lvl w:ilvl="0" w:tplc="0FD0E226">
      <w:start w:val="2"/>
      <w:numFmt w:val="decimal"/>
      <w:lvlText w:val="%1."/>
      <w:lvlJc w:val="left"/>
      <w:pPr>
        <w:tabs>
          <w:tab w:val="num" w:pos="1440"/>
        </w:tabs>
        <w:ind w:left="0" w:firstLine="0"/>
      </w:pPr>
      <w:rPr>
        <w:rFonts w:ascii="Verdana" w:hAnsi="Verdana"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A5679FD"/>
    <w:multiLevelType w:val="hybridMultilevel"/>
    <w:tmpl w:val="A0BE1E8A"/>
    <w:lvl w:ilvl="0" w:tplc="AD36795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17"/>
  </w:num>
  <w:num w:numId="23">
    <w:abstractNumId w:val="14"/>
  </w:num>
  <w:num w:numId="24">
    <w:abstractNumId w:val="16"/>
  </w:num>
  <w:num w:numId="25">
    <w:abstractNumId w:val="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58"/>
    <w:rsid w:val="00006036"/>
    <w:rsid w:val="00013AC9"/>
    <w:rsid w:val="00015E3B"/>
    <w:rsid w:val="0001696F"/>
    <w:rsid w:val="00016EDC"/>
    <w:rsid w:val="00017684"/>
    <w:rsid w:val="00017918"/>
    <w:rsid w:val="0002048F"/>
    <w:rsid w:val="00032C8A"/>
    <w:rsid w:val="00036063"/>
    <w:rsid w:val="00036DE0"/>
    <w:rsid w:val="00040C74"/>
    <w:rsid w:val="00040EFA"/>
    <w:rsid w:val="000420FE"/>
    <w:rsid w:val="00054A4D"/>
    <w:rsid w:val="0005624E"/>
    <w:rsid w:val="00061110"/>
    <w:rsid w:val="00065BB2"/>
    <w:rsid w:val="0007213D"/>
    <w:rsid w:val="0007781C"/>
    <w:rsid w:val="00084976"/>
    <w:rsid w:val="0009238E"/>
    <w:rsid w:val="00092E6D"/>
    <w:rsid w:val="00095226"/>
    <w:rsid w:val="000A58CC"/>
    <w:rsid w:val="000A6583"/>
    <w:rsid w:val="000A6BC0"/>
    <w:rsid w:val="000B3972"/>
    <w:rsid w:val="000B4536"/>
    <w:rsid w:val="000C019F"/>
    <w:rsid w:val="000D0099"/>
    <w:rsid w:val="000D0EF2"/>
    <w:rsid w:val="000D10D9"/>
    <w:rsid w:val="000D65F8"/>
    <w:rsid w:val="000E7FBC"/>
    <w:rsid w:val="000F4339"/>
    <w:rsid w:val="000F7B3D"/>
    <w:rsid w:val="000F7D8C"/>
    <w:rsid w:val="00101BBD"/>
    <w:rsid w:val="00101DB8"/>
    <w:rsid w:val="00102D7F"/>
    <w:rsid w:val="00107F1F"/>
    <w:rsid w:val="00111FBA"/>
    <w:rsid w:val="00115B7D"/>
    <w:rsid w:val="001420A3"/>
    <w:rsid w:val="00142AA9"/>
    <w:rsid w:val="0014333A"/>
    <w:rsid w:val="00145F6E"/>
    <w:rsid w:val="00150C87"/>
    <w:rsid w:val="00152773"/>
    <w:rsid w:val="00162222"/>
    <w:rsid w:val="00173E64"/>
    <w:rsid w:val="00174899"/>
    <w:rsid w:val="001767E0"/>
    <w:rsid w:val="001774C9"/>
    <w:rsid w:val="0018732A"/>
    <w:rsid w:val="00191278"/>
    <w:rsid w:val="001A344E"/>
    <w:rsid w:val="001A4973"/>
    <w:rsid w:val="001A67C0"/>
    <w:rsid w:val="001A6EBA"/>
    <w:rsid w:val="001B0DFF"/>
    <w:rsid w:val="001B25E1"/>
    <w:rsid w:val="001B2D70"/>
    <w:rsid w:val="001C0A69"/>
    <w:rsid w:val="001C4862"/>
    <w:rsid w:val="001C5037"/>
    <w:rsid w:val="001C5652"/>
    <w:rsid w:val="001C701B"/>
    <w:rsid w:val="001D16A3"/>
    <w:rsid w:val="001E3733"/>
    <w:rsid w:val="001E7215"/>
    <w:rsid w:val="001F0042"/>
    <w:rsid w:val="001F6631"/>
    <w:rsid w:val="002001AD"/>
    <w:rsid w:val="00202099"/>
    <w:rsid w:val="00211A44"/>
    <w:rsid w:val="00216771"/>
    <w:rsid w:val="00220C50"/>
    <w:rsid w:val="00223057"/>
    <w:rsid w:val="00223E13"/>
    <w:rsid w:val="00226E8E"/>
    <w:rsid w:val="00231C82"/>
    <w:rsid w:val="0023238C"/>
    <w:rsid w:val="00232505"/>
    <w:rsid w:val="0024102B"/>
    <w:rsid w:val="00247FA9"/>
    <w:rsid w:val="00266DCC"/>
    <w:rsid w:val="00275E80"/>
    <w:rsid w:val="00285F88"/>
    <w:rsid w:val="00285FD8"/>
    <w:rsid w:val="002931B9"/>
    <w:rsid w:val="00297321"/>
    <w:rsid w:val="002A0BE1"/>
    <w:rsid w:val="002B52DB"/>
    <w:rsid w:val="002C0723"/>
    <w:rsid w:val="002C171B"/>
    <w:rsid w:val="002C38EC"/>
    <w:rsid w:val="002D0ED0"/>
    <w:rsid w:val="002D323D"/>
    <w:rsid w:val="002E0741"/>
    <w:rsid w:val="002E1274"/>
    <w:rsid w:val="002E186F"/>
    <w:rsid w:val="002E3781"/>
    <w:rsid w:val="002E3CA6"/>
    <w:rsid w:val="002E5BCD"/>
    <w:rsid w:val="002E71FE"/>
    <w:rsid w:val="003010D3"/>
    <w:rsid w:val="00301B12"/>
    <w:rsid w:val="003035A5"/>
    <w:rsid w:val="003069DD"/>
    <w:rsid w:val="00311E38"/>
    <w:rsid w:val="00312179"/>
    <w:rsid w:val="00314746"/>
    <w:rsid w:val="0031708A"/>
    <w:rsid w:val="0031766B"/>
    <w:rsid w:val="003200AB"/>
    <w:rsid w:val="00322549"/>
    <w:rsid w:val="003245F0"/>
    <w:rsid w:val="00333BCB"/>
    <w:rsid w:val="0033566E"/>
    <w:rsid w:val="0034210A"/>
    <w:rsid w:val="00343CE3"/>
    <w:rsid w:val="00344FE8"/>
    <w:rsid w:val="00352454"/>
    <w:rsid w:val="00366BF3"/>
    <w:rsid w:val="0037026C"/>
    <w:rsid w:val="003705CF"/>
    <w:rsid w:val="0037782A"/>
    <w:rsid w:val="00384B4A"/>
    <w:rsid w:val="003912FC"/>
    <w:rsid w:val="00391632"/>
    <w:rsid w:val="00392CC1"/>
    <w:rsid w:val="00396319"/>
    <w:rsid w:val="003A07E0"/>
    <w:rsid w:val="003A0C3F"/>
    <w:rsid w:val="003A14A0"/>
    <w:rsid w:val="003B3799"/>
    <w:rsid w:val="003B3A11"/>
    <w:rsid w:val="003B3C70"/>
    <w:rsid w:val="003B3E3C"/>
    <w:rsid w:val="003B6693"/>
    <w:rsid w:val="003B67BD"/>
    <w:rsid w:val="003C4413"/>
    <w:rsid w:val="003D2E82"/>
    <w:rsid w:val="003D6851"/>
    <w:rsid w:val="003E3F26"/>
    <w:rsid w:val="003E4621"/>
    <w:rsid w:val="003E650C"/>
    <w:rsid w:val="003F1CE0"/>
    <w:rsid w:val="00402C44"/>
    <w:rsid w:val="004033E0"/>
    <w:rsid w:val="004043F7"/>
    <w:rsid w:val="00405A8F"/>
    <w:rsid w:val="00406E74"/>
    <w:rsid w:val="00410DF2"/>
    <w:rsid w:val="004110D2"/>
    <w:rsid w:val="00412A47"/>
    <w:rsid w:val="00412F08"/>
    <w:rsid w:val="00413E99"/>
    <w:rsid w:val="00414AE6"/>
    <w:rsid w:val="00415727"/>
    <w:rsid w:val="00420E1A"/>
    <w:rsid w:val="00421856"/>
    <w:rsid w:val="00423528"/>
    <w:rsid w:val="00427E9E"/>
    <w:rsid w:val="00431645"/>
    <w:rsid w:val="00444DF1"/>
    <w:rsid w:val="00452290"/>
    <w:rsid w:val="004538CF"/>
    <w:rsid w:val="004553BD"/>
    <w:rsid w:val="00461C2A"/>
    <w:rsid w:val="00463021"/>
    <w:rsid w:val="00464042"/>
    <w:rsid w:val="00467C26"/>
    <w:rsid w:val="00470581"/>
    <w:rsid w:val="0047091B"/>
    <w:rsid w:val="00472EB8"/>
    <w:rsid w:val="00473CF4"/>
    <w:rsid w:val="00474256"/>
    <w:rsid w:val="004758E1"/>
    <w:rsid w:val="00475C37"/>
    <w:rsid w:val="00493934"/>
    <w:rsid w:val="00494E8A"/>
    <w:rsid w:val="004B18CB"/>
    <w:rsid w:val="004C0782"/>
    <w:rsid w:val="004C6BBE"/>
    <w:rsid w:val="004D225E"/>
    <w:rsid w:val="004D2A96"/>
    <w:rsid w:val="004D4FE9"/>
    <w:rsid w:val="004F2A81"/>
    <w:rsid w:val="004F5EFC"/>
    <w:rsid w:val="004F6A3D"/>
    <w:rsid w:val="004F78BC"/>
    <w:rsid w:val="00501C5D"/>
    <w:rsid w:val="00503869"/>
    <w:rsid w:val="00517BC4"/>
    <w:rsid w:val="005205D9"/>
    <w:rsid w:val="005221FE"/>
    <w:rsid w:val="0052230A"/>
    <w:rsid w:val="0052369F"/>
    <w:rsid w:val="00527D4D"/>
    <w:rsid w:val="00530625"/>
    <w:rsid w:val="00532A87"/>
    <w:rsid w:val="00532F5B"/>
    <w:rsid w:val="00536EFD"/>
    <w:rsid w:val="0054048C"/>
    <w:rsid w:val="005419C7"/>
    <w:rsid w:val="00541A52"/>
    <w:rsid w:val="00544B49"/>
    <w:rsid w:val="0054662D"/>
    <w:rsid w:val="00551AC2"/>
    <w:rsid w:val="00551EF4"/>
    <w:rsid w:val="00552DB9"/>
    <w:rsid w:val="00553C38"/>
    <w:rsid w:val="00553F3B"/>
    <w:rsid w:val="00554C57"/>
    <w:rsid w:val="00556A90"/>
    <w:rsid w:val="00557CDD"/>
    <w:rsid w:val="005634DB"/>
    <w:rsid w:val="0056364A"/>
    <w:rsid w:val="00572338"/>
    <w:rsid w:val="00580E49"/>
    <w:rsid w:val="00584619"/>
    <w:rsid w:val="00590E5A"/>
    <w:rsid w:val="0059447D"/>
    <w:rsid w:val="0059569A"/>
    <w:rsid w:val="00597FDE"/>
    <w:rsid w:val="005A234F"/>
    <w:rsid w:val="005A37D1"/>
    <w:rsid w:val="005A44FE"/>
    <w:rsid w:val="005A7DF5"/>
    <w:rsid w:val="005A7E89"/>
    <w:rsid w:val="005B3BB1"/>
    <w:rsid w:val="005C19BF"/>
    <w:rsid w:val="005C1CF5"/>
    <w:rsid w:val="005C3418"/>
    <w:rsid w:val="005C5525"/>
    <w:rsid w:val="005D10DA"/>
    <w:rsid w:val="005D2B60"/>
    <w:rsid w:val="005D4CC1"/>
    <w:rsid w:val="005F3B1E"/>
    <w:rsid w:val="005F45D1"/>
    <w:rsid w:val="00606C01"/>
    <w:rsid w:val="00617700"/>
    <w:rsid w:val="00617FE6"/>
    <w:rsid w:val="00620E11"/>
    <w:rsid w:val="006220AC"/>
    <w:rsid w:val="006228F2"/>
    <w:rsid w:val="00623B4E"/>
    <w:rsid w:val="00630636"/>
    <w:rsid w:val="00636659"/>
    <w:rsid w:val="00637B04"/>
    <w:rsid w:val="00643624"/>
    <w:rsid w:val="00645B25"/>
    <w:rsid w:val="00654451"/>
    <w:rsid w:val="006579C0"/>
    <w:rsid w:val="00661C29"/>
    <w:rsid w:val="00662B6C"/>
    <w:rsid w:val="006715C8"/>
    <w:rsid w:val="00671F61"/>
    <w:rsid w:val="00672892"/>
    <w:rsid w:val="00676368"/>
    <w:rsid w:val="006822BC"/>
    <w:rsid w:val="00682302"/>
    <w:rsid w:val="00696B2A"/>
    <w:rsid w:val="006A14D3"/>
    <w:rsid w:val="006A6694"/>
    <w:rsid w:val="006B4D49"/>
    <w:rsid w:val="006C1E1B"/>
    <w:rsid w:val="006C7E0A"/>
    <w:rsid w:val="006D3938"/>
    <w:rsid w:val="006D45E7"/>
    <w:rsid w:val="006E1EE9"/>
    <w:rsid w:val="006E2EDC"/>
    <w:rsid w:val="006E555F"/>
    <w:rsid w:val="006E604D"/>
    <w:rsid w:val="006E784D"/>
    <w:rsid w:val="006F1762"/>
    <w:rsid w:val="006F351F"/>
    <w:rsid w:val="006F3C14"/>
    <w:rsid w:val="006F5307"/>
    <w:rsid w:val="006F6D58"/>
    <w:rsid w:val="006F7E9D"/>
    <w:rsid w:val="007007CF"/>
    <w:rsid w:val="0070164A"/>
    <w:rsid w:val="007024A4"/>
    <w:rsid w:val="00703008"/>
    <w:rsid w:val="00703CA9"/>
    <w:rsid w:val="00706F80"/>
    <w:rsid w:val="0071016B"/>
    <w:rsid w:val="00712997"/>
    <w:rsid w:val="00713ECA"/>
    <w:rsid w:val="00735127"/>
    <w:rsid w:val="00735B6F"/>
    <w:rsid w:val="00744DDD"/>
    <w:rsid w:val="00745434"/>
    <w:rsid w:val="00747296"/>
    <w:rsid w:val="0075131B"/>
    <w:rsid w:val="00763974"/>
    <w:rsid w:val="007652DC"/>
    <w:rsid w:val="00765CA4"/>
    <w:rsid w:val="0077269F"/>
    <w:rsid w:val="007767FA"/>
    <w:rsid w:val="00781CA7"/>
    <w:rsid w:val="00783A81"/>
    <w:rsid w:val="00783C16"/>
    <w:rsid w:val="00787833"/>
    <w:rsid w:val="00792A50"/>
    <w:rsid w:val="007A155D"/>
    <w:rsid w:val="007A2B06"/>
    <w:rsid w:val="007A50F5"/>
    <w:rsid w:val="007A61B4"/>
    <w:rsid w:val="007A7E49"/>
    <w:rsid w:val="007B17B5"/>
    <w:rsid w:val="007B5D94"/>
    <w:rsid w:val="007C08BB"/>
    <w:rsid w:val="007C5A28"/>
    <w:rsid w:val="007D092D"/>
    <w:rsid w:val="007D4AB6"/>
    <w:rsid w:val="007D5593"/>
    <w:rsid w:val="007E2409"/>
    <w:rsid w:val="007E413B"/>
    <w:rsid w:val="007E558A"/>
    <w:rsid w:val="007F4D94"/>
    <w:rsid w:val="008031E0"/>
    <w:rsid w:val="00813BF6"/>
    <w:rsid w:val="00822785"/>
    <w:rsid w:val="0082453D"/>
    <w:rsid w:val="00825652"/>
    <w:rsid w:val="00825680"/>
    <w:rsid w:val="0083681D"/>
    <w:rsid w:val="00843F21"/>
    <w:rsid w:val="008559E4"/>
    <w:rsid w:val="00871798"/>
    <w:rsid w:val="008731A8"/>
    <w:rsid w:val="00886381"/>
    <w:rsid w:val="0089228E"/>
    <w:rsid w:val="008937B4"/>
    <w:rsid w:val="00895646"/>
    <w:rsid w:val="00895F75"/>
    <w:rsid w:val="008A2948"/>
    <w:rsid w:val="008A507B"/>
    <w:rsid w:val="008A5647"/>
    <w:rsid w:val="008B6F26"/>
    <w:rsid w:val="008C07ED"/>
    <w:rsid w:val="008C3522"/>
    <w:rsid w:val="008C3F13"/>
    <w:rsid w:val="008C79F1"/>
    <w:rsid w:val="008D0DEC"/>
    <w:rsid w:val="008D25CC"/>
    <w:rsid w:val="008D687E"/>
    <w:rsid w:val="008D774B"/>
    <w:rsid w:val="008E1E8B"/>
    <w:rsid w:val="008E3DA6"/>
    <w:rsid w:val="008E7133"/>
    <w:rsid w:val="008F053D"/>
    <w:rsid w:val="008F0BB8"/>
    <w:rsid w:val="009055EB"/>
    <w:rsid w:val="00913124"/>
    <w:rsid w:val="0091318C"/>
    <w:rsid w:val="0091493B"/>
    <w:rsid w:val="00915089"/>
    <w:rsid w:val="0092236A"/>
    <w:rsid w:val="00923F43"/>
    <w:rsid w:val="009314E8"/>
    <w:rsid w:val="009359FE"/>
    <w:rsid w:val="00935D38"/>
    <w:rsid w:val="00936806"/>
    <w:rsid w:val="00951837"/>
    <w:rsid w:val="0095183B"/>
    <w:rsid w:val="00957292"/>
    <w:rsid w:val="00957469"/>
    <w:rsid w:val="009603AD"/>
    <w:rsid w:val="0096156B"/>
    <w:rsid w:val="00963868"/>
    <w:rsid w:val="00966E7F"/>
    <w:rsid w:val="009676D0"/>
    <w:rsid w:val="00970757"/>
    <w:rsid w:val="00973CF0"/>
    <w:rsid w:val="0097588F"/>
    <w:rsid w:val="00977C92"/>
    <w:rsid w:val="009823F2"/>
    <w:rsid w:val="00983F0E"/>
    <w:rsid w:val="00983FFD"/>
    <w:rsid w:val="00997D81"/>
    <w:rsid w:val="009A3F13"/>
    <w:rsid w:val="009A6690"/>
    <w:rsid w:val="009B07F1"/>
    <w:rsid w:val="009B74E5"/>
    <w:rsid w:val="009C5D9E"/>
    <w:rsid w:val="009D3910"/>
    <w:rsid w:val="009D5790"/>
    <w:rsid w:val="009F013E"/>
    <w:rsid w:val="009F4DE3"/>
    <w:rsid w:val="009F5275"/>
    <w:rsid w:val="009F7309"/>
    <w:rsid w:val="009F7593"/>
    <w:rsid w:val="00A0248D"/>
    <w:rsid w:val="00A13024"/>
    <w:rsid w:val="00A23A68"/>
    <w:rsid w:val="00A24E74"/>
    <w:rsid w:val="00A30F28"/>
    <w:rsid w:val="00A3654E"/>
    <w:rsid w:val="00A37911"/>
    <w:rsid w:val="00A41570"/>
    <w:rsid w:val="00A45377"/>
    <w:rsid w:val="00A54194"/>
    <w:rsid w:val="00A55CB4"/>
    <w:rsid w:val="00A5704F"/>
    <w:rsid w:val="00A608D5"/>
    <w:rsid w:val="00A65CE0"/>
    <w:rsid w:val="00A66F4A"/>
    <w:rsid w:val="00A735E4"/>
    <w:rsid w:val="00A75D4A"/>
    <w:rsid w:val="00A75DD3"/>
    <w:rsid w:val="00A810F6"/>
    <w:rsid w:val="00A933D8"/>
    <w:rsid w:val="00A9594A"/>
    <w:rsid w:val="00A97B3F"/>
    <w:rsid w:val="00AA0E07"/>
    <w:rsid w:val="00AA169B"/>
    <w:rsid w:val="00AA250E"/>
    <w:rsid w:val="00AB0A67"/>
    <w:rsid w:val="00AB1886"/>
    <w:rsid w:val="00AB3411"/>
    <w:rsid w:val="00AB3E63"/>
    <w:rsid w:val="00AB3F9E"/>
    <w:rsid w:val="00AB46B2"/>
    <w:rsid w:val="00AB629B"/>
    <w:rsid w:val="00AB6F53"/>
    <w:rsid w:val="00AC369F"/>
    <w:rsid w:val="00AC4CB2"/>
    <w:rsid w:val="00AC50C6"/>
    <w:rsid w:val="00AD063B"/>
    <w:rsid w:val="00AD57C1"/>
    <w:rsid w:val="00AE0D84"/>
    <w:rsid w:val="00AE5385"/>
    <w:rsid w:val="00AF10B4"/>
    <w:rsid w:val="00AF1A4E"/>
    <w:rsid w:val="00B02263"/>
    <w:rsid w:val="00B06DCA"/>
    <w:rsid w:val="00B072E0"/>
    <w:rsid w:val="00B10853"/>
    <w:rsid w:val="00B11158"/>
    <w:rsid w:val="00B13463"/>
    <w:rsid w:val="00B17056"/>
    <w:rsid w:val="00B2250B"/>
    <w:rsid w:val="00B235B8"/>
    <w:rsid w:val="00B411AD"/>
    <w:rsid w:val="00B428B9"/>
    <w:rsid w:val="00B43654"/>
    <w:rsid w:val="00B43EAE"/>
    <w:rsid w:val="00B51546"/>
    <w:rsid w:val="00B5309C"/>
    <w:rsid w:val="00B56B28"/>
    <w:rsid w:val="00B60018"/>
    <w:rsid w:val="00B72896"/>
    <w:rsid w:val="00B814CC"/>
    <w:rsid w:val="00B859BC"/>
    <w:rsid w:val="00B870A6"/>
    <w:rsid w:val="00B9651D"/>
    <w:rsid w:val="00BA56DC"/>
    <w:rsid w:val="00BB123E"/>
    <w:rsid w:val="00BC09C8"/>
    <w:rsid w:val="00BC22E4"/>
    <w:rsid w:val="00BC2EEF"/>
    <w:rsid w:val="00BC4EF0"/>
    <w:rsid w:val="00BC6D75"/>
    <w:rsid w:val="00BC75DE"/>
    <w:rsid w:val="00BD212B"/>
    <w:rsid w:val="00BE2C67"/>
    <w:rsid w:val="00BE64AB"/>
    <w:rsid w:val="00BF082C"/>
    <w:rsid w:val="00C0028E"/>
    <w:rsid w:val="00C05A67"/>
    <w:rsid w:val="00C1157C"/>
    <w:rsid w:val="00C124FC"/>
    <w:rsid w:val="00C127C3"/>
    <w:rsid w:val="00C22987"/>
    <w:rsid w:val="00C26CFC"/>
    <w:rsid w:val="00C35205"/>
    <w:rsid w:val="00C40455"/>
    <w:rsid w:val="00C468DE"/>
    <w:rsid w:val="00C5239D"/>
    <w:rsid w:val="00C6197C"/>
    <w:rsid w:val="00C67068"/>
    <w:rsid w:val="00C70789"/>
    <w:rsid w:val="00C75D6D"/>
    <w:rsid w:val="00C8516D"/>
    <w:rsid w:val="00C927D7"/>
    <w:rsid w:val="00C92C98"/>
    <w:rsid w:val="00C93758"/>
    <w:rsid w:val="00C94F5F"/>
    <w:rsid w:val="00CA0945"/>
    <w:rsid w:val="00CA2444"/>
    <w:rsid w:val="00CA2A1B"/>
    <w:rsid w:val="00CA743D"/>
    <w:rsid w:val="00CB0676"/>
    <w:rsid w:val="00CB20CA"/>
    <w:rsid w:val="00CB7F01"/>
    <w:rsid w:val="00CC1E86"/>
    <w:rsid w:val="00CE5A51"/>
    <w:rsid w:val="00CE6A7B"/>
    <w:rsid w:val="00CE7DAB"/>
    <w:rsid w:val="00CF0283"/>
    <w:rsid w:val="00CF6741"/>
    <w:rsid w:val="00D012DC"/>
    <w:rsid w:val="00D11828"/>
    <w:rsid w:val="00D125C4"/>
    <w:rsid w:val="00D147E2"/>
    <w:rsid w:val="00D213BC"/>
    <w:rsid w:val="00D22206"/>
    <w:rsid w:val="00D2223B"/>
    <w:rsid w:val="00D23CD7"/>
    <w:rsid w:val="00D2539D"/>
    <w:rsid w:val="00D3122F"/>
    <w:rsid w:val="00D332B9"/>
    <w:rsid w:val="00D35EB7"/>
    <w:rsid w:val="00D43F68"/>
    <w:rsid w:val="00D46860"/>
    <w:rsid w:val="00D526D0"/>
    <w:rsid w:val="00D55820"/>
    <w:rsid w:val="00D569A6"/>
    <w:rsid w:val="00D732FF"/>
    <w:rsid w:val="00D7405F"/>
    <w:rsid w:val="00D75ED1"/>
    <w:rsid w:val="00D75F9C"/>
    <w:rsid w:val="00D85B68"/>
    <w:rsid w:val="00D90799"/>
    <w:rsid w:val="00D91B47"/>
    <w:rsid w:val="00D9646A"/>
    <w:rsid w:val="00DB7349"/>
    <w:rsid w:val="00DC4E6A"/>
    <w:rsid w:val="00DD0A74"/>
    <w:rsid w:val="00DD1A32"/>
    <w:rsid w:val="00DD2F87"/>
    <w:rsid w:val="00DF6BE0"/>
    <w:rsid w:val="00E06D72"/>
    <w:rsid w:val="00E10930"/>
    <w:rsid w:val="00E2259C"/>
    <w:rsid w:val="00E25BB3"/>
    <w:rsid w:val="00E35823"/>
    <w:rsid w:val="00E42244"/>
    <w:rsid w:val="00E5328A"/>
    <w:rsid w:val="00E5521C"/>
    <w:rsid w:val="00E70261"/>
    <w:rsid w:val="00E718CC"/>
    <w:rsid w:val="00E71F53"/>
    <w:rsid w:val="00E77F81"/>
    <w:rsid w:val="00E805CE"/>
    <w:rsid w:val="00E8096C"/>
    <w:rsid w:val="00E837A0"/>
    <w:rsid w:val="00E91C6D"/>
    <w:rsid w:val="00E950FC"/>
    <w:rsid w:val="00E97517"/>
    <w:rsid w:val="00EA0C19"/>
    <w:rsid w:val="00EA2F29"/>
    <w:rsid w:val="00ED1759"/>
    <w:rsid w:val="00ED25BB"/>
    <w:rsid w:val="00ED5B26"/>
    <w:rsid w:val="00EF1518"/>
    <w:rsid w:val="00EF4075"/>
    <w:rsid w:val="00EF5626"/>
    <w:rsid w:val="00EF58DA"/>
    <w:rsid w:val="00EF70B9"/>
    <w:rsid w:val="00F0461B"/>
    <w:rsid w:val="00F04E24"/>
    <w:rsid w:val="00F062AE"/>
    <w:rsid w:val="00F11703"/>
    <w:rsid w:val="00F127D1"/>
    <w:rsid w:val="00F12DFA"/>
    <w:rsid w:val="00F13A1E"/>
    <w:rsid w:val="00F14DE3"/>
    <w:rsid w:val="00F154CF"/>
    <w:rsid w:val="00F172F4"/>
    <w:rsid w:val="00F21475"/>
    <w:rsid w:val="00F23480"/>
    <w:rsid w:val="00F24FC4"/>
    <w:rsid w:val="00F259B3"/>
    <w:rsid w:val="00F307D7"/>
    <w:rsid w:val="00F3181E"/>
    <w:rsid w:val="00F3228C"/>
    <w:rsid w:val="00F32849"/>
    <w:rsid w:val="00F34310"/>
    <w:rsid w:val="00F36140"/>
    <w:rsid w:val="00F40532"/>
    <w:rsid w:val="00F4271D"/>
    <w:rsid w:val="00F42A35"/>
    <w:rsid w:val="00F434EE"/>
    <w:rsid w:val="00F43C0A"/>
    <w:rsid w:val="00F44313"/>
    <w:rsid w:val="00F463D5"/>
    <w:rsid w:val="00F47454"/>
    <w:rsid w:val="00F52F3E"/>
    <w:rsid w:val="00F54182"/>
    <w:rsid w:val="00F55F03"/>
    <w:rsid w:val="00F646C2"/>
    <w:rsid w:val="00F7003B"/>
    <w:rsid w:val="00F7554B"/>
    <w:rsid w:val="00F7765B"/>
    <w:rsid w:val="00F81733"/>
    <w:rsid w:val="00F932B4"/>
    <w:rsid w:val="00F938F0"/>
    <w:rsid w:val="00FA0DCF"/>
    <w:rsid w:val="00FA1C6D"/>
    <w:rsid w:val="00FA25CE"/>
    <w:rsid w:val="00FA38A0"/>
    <w:rsid w:val="00FB0100"/>
    <w:rsid w:val="00FB1BCA"/>
    <w:rsid w:val="00FB288B"/>
    <w:rsid w:val="00FB5E8E"/>
    <w:rsid w:val="00FC607A"/>
    <w:rsid w:val="00FD22E4"/>
    <w:rsid w:val="00FD337D"/>
    <w:rsid w:val="00FE1D6F"/>
    <w:rsid w:val="00FE354F"/>
    <w:rsid w:val="00FE6750"/>
    <w:rsid w:val="00FE73FC"/>
    <w:rsid w:val="00FE7B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58"/>
    <w:pPr>
      <w:spacing w:before="120" w:after="120" w:line="240" w:lineRule="auto"/>
      <w:jc w:val="both"/>
    </w:pPr>
    <w:rPr>
      <w:rFonts w:ascii="Verdana" w:eastAsia="Batang" w:hAnsi="Verdana"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A Fu Char1,Footnote Text Char Char Char Char Char Char1,Footnote Text Char Char Char Char Char2,Footnote reference Char1,Footnote Text Char Char Char Char2,FA Fu Car Char1,FA Fu Car Car Char1,Footnote Text Cha Char,Ca Char"/>
    <w:link w:val="FootnoteText"/>
    <w:locked/>
    <w:rsid w:val="006F6D58"/>
    <w:rPr>
      <w:rFonts w:ascii="Verdana" w:hAnsi="Verdana" w:cs="Verdana"/>
      <w:sz w:val="16"/>
      <w:szCs w:val="16"/>
      <w:lang w:val="es-ES_tradnl" w:eastAsia="es-ES"/>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
    <w:basedOn w:val="Normal"/>
    <w:link w:val="FootnoteTextChar"/>
    <w:autoRedefine/>
    <w:unhideWhenUsed/>
    <w:qFormat/>
    <w:rsid w:val="006F6D58"/>
    <w:pPr>
      <w:tabs>
        <w:tab w:val="left" w:pos="567"/>
      </w:tabs>
    </w:pPr>
    <w:rPr>
      <w:rFonts w:eastAsiaTheme="minorHAnsi" w:cs="Verdana"/>
      <w:sz w:val="16"/>
      <w:szCs w:val="16"/>
      <w:lang w:val="es-ES_tradnl" w:eastAsia="es-ES"/>
    </w:rPr>
  </w:style>
  <w:style w:type="character" w:customStyle="1" w:styleId="TextonotapieCar">
    <w:name w:val="Texto nota pie Car"/>
    <w:basedOn w:val="DefaultParagraphFont"/>
    <w:uiPriority w:val="99"/>
    <w:semiHidden/>
    <w:rsid w:val="006F6D58"/>
    <w:rPr>
      <w:rFonts w:ascii="Verdana" w:eastAsia="Batang" w:hAnsi="Verdana" w:cs="Calibri"/>
      <w:sz w:val="20"/>
      <w:szCs w:val="20"/>
    </w:rPr>
  </w:style>
  <w:style w:type="paragraph" w:styleId="ListParagraph">
    <w:name w:val="List Paragraph"/>
    <w:aliases w:val="Footnote,List Paragraph2"/>
    <w:basedOn w:val="Normal"/>
    <w:uiPriority w:val="99"/>
    <w:qFormat/>
    <w:rsid w:val="006F6D58"/>
    <w:pPr>
      <w:widowControl w:val="0"/>
      <w:numPr>
        <w:ilvl w:val="1"/>
        <w:numId w:val="1"/>
      </w:numPr>
      <w:autoSpaceDE w:val="0"/>
      <w:autoSpaceDN w:val="0"/>
      <w:adjustRightInd w:val="0"/>
      <w:spacing w:after="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unhideWhenUsed/>
    <w:qFormat/>
    <w:rsid w:val="006F6D58"/>
    <w:rPr>
      <w:rFonts w:ascii="Verdana" w:hAnsi="Verdana" w:cs="Verdana" w:hint="default"/>
      <w:sz w:val="16"/>
      <w:szCs w:val="16"/>
      <w:vertAlign w:val="superscript"/>
    </w:rPr>
  </w:style>
  <w:style w:type="paragraph" w:styleId="NoSpacing">
    <w:name w:val="No Spacing"/>
    <w:uiPriority w:val="99"/>
    <w:qFormat/>
    <w:rsid w:val="006F6D58"/>
    <w:pPr>
      <w:spacing w:after="0" w:line="240" w:lineRule="auto"/>
    </w:pPr>
    <w:rPr>
      <w:rFonts w:ascii="Calibri" w:eastAsia="Batang" w:hAnsi="Calibri" w:cs="Calibri"/>
      <w:lang w:val="en-US"/>
    </w:rPr>
  </w:style>
  <w:style w:type="paragraph" w:customStyle="1" w:styleId="ColorfulList-Accent11">
    <w:name w:val="Colorful List - Accent 11"/>
    <w:basedOn w:val="Normal"/>
    <w:uiPriority w:val="99"/>
    <w:rsid w:val="006F6D58"/>
    <w:pPr>
      <w:spacing w:before="0" w:after="0"/>
      <w:ind w:left="720"/>
      <w:jc w:val="left"/>
    </w:pPr>
    <w:rPr>
      <w:rFonts w:ascii="Times" w:eastAsia="MS Mincho" w:hAnsi="Times" w:cs="Times"/>
      <w:sz w:val="24"/>
      <w:szCs w:val="24"/>
      <w:lang w:val="es-ES_tradnl"/>
    </w:rPr>
  </w:style>
  <w:style w:type="character" w:styleId="CommentReference">
    <w:name w:val="annotation reference"/>
    <w:basedOn w:val="DefaultParagraphFont"/>
    <w:uiPriority w:val="99"/>
    <w:semiHidden/>
    <w:unhideWhenUsed/>
    <w:rsid w:val="00EF70B9"/>
    <w:rPr>
      <w:sz w:val="16"/>
      <w:szCs w:val="16"/>
    </w:rPr>
  </w:style>
  <w:style w:type="paragraph" w:styleId="CommentText">
    <w:name w:val="annotation text"/>
    <w:basedOn w:val="Normal"/>
    <w:link w:val="CommentTextChar"/>
    <w:uiPriority w:val="99"/>
    <w:semiHidden/>
    <w:unhideWhenUsed/>
    <w:rsid w:val="00EF70B9"/>
    <w:rPr>
      <w:szCs w:val="20"/>
    </w:rPr>
  </w:style>
  <w:style w:type="character" w:customStyle="1" w:styleId="CommentTextChar">
    <w:name w:val="Comment Text Char"/>
    <w:basedOn w:val="DefaultParagraphFont"/>
    <w:link w:val="CommentText"/>
    <w:uiPriority w:val="99"/>
    <w:semiHidden/>
    <w:rsid w:val="00EF70B9"/>
    <w:rPr>
      <w:rFonts w:ascii="Verdana" w:eastAsia="Batang" w:hAnsi="Verdana" w:cs="Calibri"/>
      <w:sz w:val="20"/>
      <w:szCs w:val="20"/>
    </w:rPr>
  </w:style>
  <w:style w:type="paragraph" w:styleId="CommentSubject">
    <w:name w:val="annotation subject"/>
    <w:basedOn w:val="CommentText"/>
    <w:next w:val="CommentText"/>
    <w:link w:val="CommentSubjectChar"/>
    <w:uiPriority w:val="99"/>
    <w:semiHidden/>
    <w:unhideWhenUsed/>
    <w:rsid w:val="00EF70B9"/>
    <w:rPr>
      <w:b/>
      <w:bCs/>
    </w:rPr>
  </w:style>
  <w:style w:type="character" w:customStyle="1" w:styleId="CommentSubjectChar">
    <w:name w:val="Comment Subject Char"/>
    <w:basedOn w:val="CommentTextChar"/>
    <w:link w:val="CommentSubject"/>
    <w:uiPriority w:val="99"/>
    <w:semiHidden/>
    <w:rsid w:val="00EF70B9"/>
    <w:rPr>
      <w:rFonts w:ascii="Verdana" w:eastAsia="Batang" w:hAnsi="Verdana" w:cs="Calibri"/>
      <w:b/>
      <w:bCs/>
      <w:sz w:val="20"/>
      <w:szCs w:val="20"/>
    </w:rPr>
  </w:style>
  <w:style w:type="paragraph" w:styleId="BalloonText">
    <w:name w:val="Balloon Text"/>
    <w:basedOn w:val="Normal"/>
    <w:link w:val="BalloonTextChar"/>
    <w:uiPriority w:val="99"/>
    <w:semiHidden/>
    <w:unhideWhenUsed/>
    <w:rsid w:val="00EF70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B9"/>
    <w:rPr>
      <w:rFonts w:ascii="Tahoma" w:eastAsia="Batang" w:hAnsi="Tahoma" w:cs="Tahoma"/>
      <w:sz w:val="16"/>
      <w:szCs w:val="16"/>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E5521C"/>
    <w:rPr>
      <w:rFonts w:ascii="Verdana" w:hAnsi="Verdana"/>
      <w:lang w:eastAsia="es-ES"/>
    </w:rPr>
  </w:style>
  <w:style w:type="character" w:styleId="Strong">
    <w:name w:val="Strong"/>
    <w:basedOn w:val="DefaultParagraphFont"/>
    <w:uiPriority w:val="22"/>
    <w:qFormat/>
    <w:rsid w:val="00C26CFC"/>
    <w:rPr>
      <w:b/>
      <w:bCs/>
    </w:rPr>
  </w:style>
  <w:style w:type="paragraph" w:customStyle="1" w:styleId="Default">
    <w:name w:val="Default"/>
    <w:rsid w:val="00CA2A1B"/>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iPriority w:val="99"/>
    <w:unhideWhenUsed/>
    <w:rsid w:val="003B67BD"/>
    <w:rPr>
      <w:color w:val="0000FF"/>
      <w:u w:val="single"/>
    </w:rPr>
  </w:style>
  <w:style w:type="paragraph" w:styleId="Header">
    <w:name w:val="header"/>
    <w:basedOn w:val="Normal"/>
    <w:link w:val="HeaderChar"/>
    <w:uiPriority w:val="99"/>
    <w:unhideWhenUsed/>
    <w:rsid w:val="003B6693"/>
    <w:pPr>
      <w:tabs>
        <w:tab w:val="center" w:pos="4680"/>
        <w:tab w:val="right" w:pos="9360"/>
      </w:tabs>
      <w:spacing w:before="0" w:after="0"/>
    </w:pPr>
  </w:style>
  <w:style w:type="character" w:customStyle="1" w:styleId="HeaderChar">
    <w:name w:val="Header Char"/>
    <w:basedOn w:val="DefaultParagraphFont"/>
    <w:link w:val="Header"/>
    <w:uiPriority w:val="99"/>
    <w:rsid w:val="003B6693"/>
    <w:rPr>
      <w:rFonts w:ascii="Verdana" w:eastAsia="Batang" w:hAnsi="Verdana" w:cs="Calibri"/>
      <w:sz w:val="20"/>
    </w:rPr>
  </w:style>
  <w:style w:type="paragraph" w:styleId="Footer">
    <w:name w:val="footer"/>
    <w:basedOn w:val="Normal"/>
    <w:link w:val="FooterChar"/>
    <w:uiPriority w:val="99"/>
    <w:unhideWhenUsed/>
    <w:rsid w:val="003B6693"/>
    <w:pPr>
      <w:tabs>
        <w:tab w:val="center" w:pos="4680"/>
        <w:tab w:val="right" w:pos="9360"/>
      </w:tabs>
      <w:spacing w:before="0" w:after="0"/>
    </w:pPr>
  </w:style>
  <w:style w:type="character" w:customStyle="1" w:styleId="FooterChar">
    <w:name w:val="Footer Char"/>
    <w:basedOn w:val="DefaultParagraphFont"/>
    <w:link w:val="Footer"/>
    <w:uiPriority w:val="99"/>
    <w:rsid w:val="003B6693"/>
    <w:rPr>
      <w:rFonts w:ascii="Verdana" w:eastAsia="Batang" w:hAnsi="Verdana"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58"/>
    <w:pPr>
      <w:spacing w:before="120" w:after="120" w:line="240" w:lineRule="auto"/>
      <w:jc w:val="both"/>
    </w:pPr>
    <w:rPr>
      <w:rFonts w:ascii="Verdana" w:eastAsia="Batang" w:hAnsi="Verdana"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A Fu Char1,Footnote Text Char Char Char Char Char Char1,Footnote Text Char Char Char Char Char2,Footnote reference Char1,Footnote Text Char Char Char Char2,FA Fu Car Char1,FA Fu Car Car Char1,Footnote Text Cha Char,Ca Char"/>
    <w:link w:val="FootnoteText"/>
    <w:locked/>
    <w:rsid w:val="006F6D58"/>
    <w:rPr>
      <w:rFonts w:ascii="Verdana" w:hAnsi="Verdana" w:cs="Verdana"/>
      <w:sz w:val="16"/>
      <w:szCs w:val="16"/>
      <w:lang w:val="es-ES_tradnl" w:eastAsia="es-ES"/>
    </w:rPr>
  </w:style>
  <w:style w:type="paragraph" w:styleId="FootnoteText">
    <w:name w:val="footnote text"/>
    <w:aliases w:val="FA Fu,Footnote Text Char Char Char Char Char,Footnote Text Char Char Char Char,Footnote reference,Footnote Text Char Char Char,FA Fu Car,FA Fu Car Car,Footnote Text Cha,FA Fußnotentext,FA Fuﬂnotentext,FA Fu?notentext,Ca"/>
    <w:basedOn w:val="Normal"/>
    <w:link w:val="FootnoteTextChar"/>
    <w:autoRedefine/>
    <w:unhideWhenUsed/>
    <w:qFormat/>
    <w:rsid w:val="006F6D58"/>
    <w:pPr>
      <w:tabs>
        <w:tab w:val="left" w:pos="567"/>
      </w:tabs>
    </w:pPr>
    <w:rPr>
      <w:rFonts w:eastAsiaTheme="minorHAnsi" w:cs="Verdana"/>
      <w:sz w:val="16"/>
      <w:szCs w:val="16"/>
      <w:lang w:val="es-ES_tradnl" w:eastAsia="es-ES"/>
    </w:rPr>
  </w:style>
  <w:style w:type="character" w:customStyle="1" w:styleId="TextonotapieCar">
    <w:name w:val="Texto nota pie Car"/>
    <w:basedOn w:val="DefaultParagraphFont"/>
    <w:uiPriority w:val="99"/>
    <w:semiHidden/>
    <w:rsid w:val="006F6D58"/>
    <w:rPr>
      <w:rFonts w:ascii="Verdana" w:eastAsia="Batang" w:hAnsi="Verdana" w:cs="Calibri"/>
      <w:sz w:val="20"/>
      <w:szCs w:val="20"/>
    </w:rPr>
  </w:style>
  <w:style w:type="paragraph" w:styleId="ListParagraph">
    <w:name w:val="List Paragraph"/>
    <w:aliases w:val="Footnote,List Paragraph2"/>
    <w:basedOn w:val="Normal"/>
    <w:uiPriority w:val="99"/>
    <w:qFormat/>
    <w:rsid w:val="006F6D58"/>
    <w:pPr>
      <w:widowControl w:val="0"/>
      <w:numPr>
        <w:ilvl w:val="1"/>
        <w:numId w:val="1"/>
      </w:numPr>
      <w:autoSpaceDE w:val="0"/>
      <w:autoSpaceDN w:val="0"/>
      <w:adjustRightInd w:val="0"/>
      <w:spacing w:after="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unhideWhenUsed/>
    <w:qFormat/>
    <w:rsid w:val="006F6D58"/>
    <w:rPr>
      <w:rFonts w:ascii="Verdana" w:hAnsi="Verdana" w:cs="Verdana" w:hint="default"/>
      <w:sz w:val="16"/>
      <w:szCs w:val="16"/>
      <w:vertAlign w:val="superscript"/>
    </w:rPr>
  </w:style>
  <w:style w:type="paragraph" w:styleId="NoSpacing">
    <w:name w:val="No Spacing"/>
    <w:uiPriority w:val="99"/>
    <w:qFormat/>
    <w:rsid w:val="006F6D58"/>
    <w:pPr>
      <w:spacing w:after="0" w:line="240" w:lineRule="auto"/>
    </w:pPr>
    <w:rPr>
      <w:rFonts w:ascii="Calibri" w:eastAsia="Batang" w:hAnsi="Calibri" w:cs="Calibri"/>
      <w:lang w:val="en-US"/>
    </w:rPr>
  </w:style>
  <w:style w:type="paragraph" w:customStyle="1" w:styleId="ColorfulList-Accent11">
    <w:name w:val="Colorful List - Accent 11"/>
    <w:basedOn w:val="Normal"/>
    <w:uiPriority w:val="99"/>
    <w:rsid w:val="006F6D58"/>
    <w:pPr>
      <w:spacing w:before="0" w:after="0"/>
      <w:ind w:left="720"/>
      <w:jc w:val="left"/>
    </w:pPr>
    <w:rPr>
      <w:rFonts w:ascii="Times" w:eastAsia="MS Mincho" w:hAnsi="Times" w:cs="Times"/>
      <w:sz w:val="24"/>
      <w:szCs w:val="24"/>
      <w:lang w:val="es-ES_tradnl"/>
    </w:rPr>
  </w:style>
  <w:style w:type="character" w:styleId="CommentReference">
    <w:name w:val="annotation reference"/>
    <w:basedOn w:val="DefaultParagraphFont"/>
    <w:uiPriority w:val="99"/>
    <w:semiHidden/>
    <w:unhideWhenUsed/>
    <w:rsid w:val="00EF70B9"/>
    <w:rPr>
      <w:sz w:val="16"/>
      <w:szCs w:val="16"/>
    </w:rPr>
  </w:style>
  <w:style w:type="paragraph" w:styleId="CommentText">
    <w:name w:val="annotation text"/>
    <w:basedOn w:val="Normal"/>
    <w:link w:val="CommentTextChar"/>
    <w:uiPriority w:val="99"/>
    <w:semiHidden/>
    <w:unhideWhenUsed/>
    <w:rsid w:val="00EF70B9"/>
    <w:rPr>
      <w:szCs w:val="20"/>
    </w:rPr>
  </w:style>
  <w:style w:type="character" w:customStyle="1" w:styleId="CommentTextChar">
    <w:name w:val="Comment Text Char"/>
    <w:basedOn w:val="DefaultParagraphFont"/>
    <w:link w:val="CommentText"/>
    <w:uiPriority w:val="99"/>
    <w:semiHidden/>
    <w:rsid w:val="00EF70B9"/>
    <w:rPr>
      <w:rFonts w:ascii="Verdana" w:eastAsia="Batang" w:hAnsi="Verdana" w:cs="Calibri"/>
      <w:sz w:val="20"/>
      <w:szCs w:val="20"/>
    </w:rPr>
  </w:style>
  <w:style w:type="paragraph" w:styleId="CommentSubject">
    <w:name w:val="annotation subject"/>
    <w:basedOn w:val="CommentText"/>
    <w:next w:val="CommentText"/>
    <w:link w:val="CommentSubjectChar"/>
    <w:uiPriority w:val="99"/>
    <w:semiHidden/>
    <w:unhideWhenUsed/>
    <w:rsid w:val="00EF70B9"/>
    <w:rPr>
      <w:b/>
      <w:bCs/>
    </w:rPr>
  </w:style>
  <w:style w:type="character" w:customStyle="1" w:styleId="CommentSubjectChar">
    <w:name w:val="Comment Subject Char"/>
    <w:basedOn w:val="CommentTextChar"/>
    <w:link w:val="CommentSubject"/>
    <w:uiPriority w:val="99"/>
    <w:semiHidden/>
    <w:rsid w:val="00EF70B9"/>
    <w:rPr>
      <w:rFonts w:ascii="Verdana" w:eastAsia="Batang" w:hAnsi="Verdana" w:cs="Calibri"/>
      <w:b/>
      <w:bCs/>
      <w:sz w:val="20"/>
      <w:szCs w:val="20"/>
    </w:rPr>
  </w:style>
  <w:style w:type="paragraph" w:styleId="BalloonText">
    <w:name w:val="Balloon Text"/>
    <w:basedOn w:val="Normal"/>
    <w:link w:val="BalloonTextChar"/>
    <w:uiPriority w:val="99"/>
    <w:semiHidden/>
    <w:unhideWhenUsed/>
    <w:rsid w:val="00EF70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B9"/>
    <w:rPr>
      <w:rFonts w:ascii="Tahoma" w:eastAsia="Batang" w:hAnsi="Tahoma" w:cs="Tahoma"/>
      <w:sz w:val="16"/>
      <w:szCs w:val="16"/>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E5521C"/>
    <w:rPr>
      <w:rFonts w:ascii="Verdana" w:hAnsi="Verdana"/>
      <w:lang w:eastAsia="es-ES"/>
    </w:rPr>
  </w:style>
  <w:style w:type="character" w:styleId="Strong">
    <w:name w:val="Strong"/>
    <w:basedOn w:val="DefaultParagraphFont"/>
    <w:uiPriority w:val="22"/>
    <w:qFormat/>
    <w:rsid w:val="00C26CFC"/>
    <w:rPr>
      <w:b/>
      <w:bCs/>
    </w:rPr>
  </w:style>
  <w:style w:type="paragraph" w:customStyle="1" w:styleId="Default">
    <w:name w:val="Default"/>
    <w:rsid w:val="00CA2A1B"/>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iPriority w:val="99"/>
    <w:unhideWhenUsed/>
    <w:rsid w:val="003B67BD"/>
    <w:rPr>
      <w:color w:val="0000FF"/>
      <w:u w:val="single"/>
    </w:rPr>
  </w:style>
  <w:style w:type="paragraph" w:styleId="Header">
    <w:name w:val="header"/>
    <w:basedOn w:val="Normal"/>
    <w:link w:val="HeaderChar"/>
    <w:uiPriority w:val="99"/>
    <w:unhideWhenUsed/>
    <w:rsid w:val="003B6693"/>
    <w:pPr>
      <w:tabs>
        <w:tab w:val="center" w:pos="4680"/>
        <w:tab w:val="right" w:pos="9360"/>
      </w:tabs>
      <w:spacing w:before="0" w:after="0"/>
    </w:pPr>
  </w:style>
  <w:style w:type="character" w:customStyle="1" w:styleId="HeaderChar">
    <w:name w:val="Header Char"/>
    <w:basedOn w:val="DefaultParagraphFont"/>
    <w:link w:val="Header"/>
    <w:uiPriority w:val="99"/>
    <w:rsid w:val="003B6693"/>
    <w:rPr>
      <w:rFonts w:ascii="Verdana" w:eastAsia="Batang" w:hAnsi="Verdana" w:cs="Calibri"/>
      <w:sz w:val="20"/>
    </w:rPr>
  </w:style>
  <w:style w:type="paragraph" w:styleId="Footer">
    <w:name w:val="footer"/>
    <w:basedOn w:val="Normal"/>
    <w:link w:val="FooterChar"/>
    <w:uiPriority w:val="99"/>
    <w:unhideWhenUsed/>
    <w:rsid w:val="003B6693"/>
    <w:pPr>
      <w:tabs>
        <w:tab w:val="center" w:pos="4680"/>
        <w:tab w:val="right" w:pos="9360"/>
      </w:tabs>
      <w:spacing w:before="0" w:after="0"/>
    </w:pPr>
  </w:style>
  <w:style w:type="character" w:customStyle="1" w:styleId="FooterChar">
    <w:name w:val="Footer Char"/>
    <w:basedOn w:val="DefaultParagraphFont"/>
    <w:link w:val="Footer"/>
    <w:uiPriority w:val="99"/>
    <w:rsid w:val="003B6693"/>
    <w:rPr>
      <w:rFonts w:ascii="Verdana" w:eastAsia="Batang" w:hAnsi="Verdana"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6657">
      <w:bodyDiv w:val="1"/>
      <w:marLeft w:val="0"/>
      <w:marRight w:val="0"/>
      <w:marTop w:val="0"/>
      <w:marBottom w:val="0"/>
      <w:divBdr>
        <w:top w:val="none" w:sz="0" w:space="0" w:color="auto"/>
        <w:left w:val="none" w:sz="0" w:space="0" w:color="auto"/>
        <w:bottom w:val="none" w:sz="0" w:space="0" w:color="auto"/>
        <w:right w:val="none" w:sz="0" w:space="0" w:color="auto"/>
      </w:divBdr>
    </w:div>
    <w:div w:id="226454423">
      <w:bodyDiv w:val="1"/>
      <w:marLeft w:val="0"/>
      <w:marRight w:val="0"/>
      <w:marTop w:val="0"/>
      <w:marBottom w:val="0"/>
      <w:divBdr>
        <w:top w:val="none" w:sz="0" w:space="0" w:color="auto"/>
        <w:left w:val="none" w:sz="0" w:space="0" w:color="auto"/>
        <w:bottom w:val="none" w:sz="0" w:space="0" w:color="auto"/>
        <w:right w:val="none" w:sz="0" w:space="0" w:color="auto"/>
      </w:divBdr>
    </w:div>
    <w:div w:id="501168613">
      <w:bodyDiv w:val="1"/>
      <w:marLeft w:val="0"/>
      <w:marRight w:val="0"/>
      <w:marTop w:val="0"/>
      <w:marBottom w:val="0"/>
      <w:divBdr>
        <w:top w:val="none" w:sz="0" w:space="0" w:color="auto"/>
        <w:left w:val="none" w:sz="0" w:space="0" w:color="auto"/>
        <w:bottom w:val="none" w:sz="0" w:space="0" w:color="auto"/>
        <w:right w:val="none" w:sz="0" w:space="0" w:color="auto"/>
      </w:divBdr>
    </w:div>
    <w:div w:id="1221675911">
      <w:bodyDiv w:val="1"/>
      <w:marLeft w:val="0"/>
      <w:marRight w:val="0"/>
      <w:marTop w:val="0"/>
      <w:marBottom w:val="0"/>
      <w:divBdr>
        <w:top w:val="none" w:sz="0" w:space="0" w:color="auto"/>
        <w:left w:val="none" w:sz="0" w:space="0" w:color="auto"/>
        <w:bottom w:val="none" w:sz="0" w:space="0" w:color="auto"/>
        <w:right w:val="none" w:sz="0" w:space="0" w:color="auto"/>
      </w:divBdr>
    </w:div>
    <w:div w:id="1304656640">
      <w:bodyDiv w:val="1"/>
      <w:marLeft w:val="0"/>
      <w:marRight w:val="0"/>
      <w:marTop w:val="0"/>
      <w:marBottom w:val="0"/>
      <w:divBdr>
        <w:top w:val="none" w:sz="0" w:space="0" w:color="auto"/>
        <w:left w:val="none" w:sz="0" w:space="0" w:color="auto"/>
        <w:bottom w:val="none" w:sz="0" w:space="0" w:color="auto"/>
        <w:right w:val="none" w:sz="0" w:space="0" w:color="auto"/>
      </w:divBdr>
    </w:div>
    <w:div w:id="1398474826">
      <w:bodyDiv w:val="1"/>
      <w:marLeft w:val="0"/>
      <w:marRight w:val="0"/>
      <w:marTop w:val="0"/>
      <w:marBottom w:val="0"/>
      <w:divBdr>
        <w:top w:val="none" w:sz="0" w:space="0" w:color="auto"/>
        <w:left w:val="none" w:sz="0" w:space="0" w:color="auto"/>
        <w:bottom w:val="none" w:sz="0" w:space="0" w:color="auto"/>
        <w:right w:val="none" w:sz="0" w:space="0" w:color="auto"/>
      </w:divBdr>
    </w:div>
    <w:div w:id="1518763246">
      <w:bodyDiv w:val="1"/>
      <w:marLeft w:val="0"/>
      <w:marRight w:val="0"/>
      <w:marTop w:val="0"/>
      <w:marBottom w:val="0"/>
      <w:divBdr>
        <w:top w:val="none" w:sz="0" w:space="0" w:color="auto"/>
        <w:left w:val="none" w:sz="0" w:space="0" w:color="auto"/>
        <w:bottom w:val="none" w:sz="0" w:space="0" w:color="auto"/>
        <w:right w:val="none" w:sz="0" w:space="0" w:color="auto"/>
      </w:divBdr>
    </w:div>
    <w:div w:id="15443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meo.com/1096240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A2CC-B8B8-490B-BFAF-47A4F2EB2E1C}">
  <ds:schemaRefs>
    <ds:schemaRef ds:uri="http://schemas.microsoft.com/office/2006/metadata/properties"/>
  </ds:schemaRefs>
</ds:datastoreItem>
</file>

<file path=customXml/itemProps2.xml><?xml version="1.0" encoding="utf-8"?>
<ds:datastoreItem xmlns:ds="http://schemas.openxmlformats.org/officeDocument/2006/customXml" ds:itemID="{FDDC74AD-AB3D-4091-AE42-000AC4D5E075}">
  <ds:schemaRefs>
    <ds:schemaRef ds:uri="http://schemas.microsoft.com/sharepoint/v3/contenttype/forms"/>
  </ds:schemaRefs>
</ds:datastoreItem>
</file>

<file path=customXml/itemProps3.xml><?xml version="1.0" encoding="utf-8"?>
<ds:datastoreItem xmlns:ds="http://schemas.openxmlformats.org/officeDocument/2006/customXml" ds:itemID="{7A8F5B5A-BED8-457A-A5DD-7C15E489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77F3D5-0627-4246-9418-84C9BDC2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5397</Words>
  <Characters>29689</Characters>
  <Application>Microsoft Office Word</Application>
  <DocSecurity>4</DocSecurity>
  <Lines>247</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2016-09-16T17:04:00Z</cp:lastPrinted>
  <dcterms:created xsi:type="dcterms:W3CDTF">2016-09-16T16:54:00Z</dcterms:created>
  <dcterms:modified xsi:type="dcterms:W3CDTF">2016-09-16T17:15:00Z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