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49A" w:rsidRDefault="0032649A" w:rsidP="0032649A">
      <w:pPr>
        <w:spacing w:after="0"/>
        <w:jc w:val="center"/>
        <w:rPr>
          <w:rFonts w:ascii="Verdana" w:hAnsi="Verdana"/>
          <w:b/>
          <w:sz w:val="20"/>
          <w:szCs w:val="20"/>
          <w:lang w:val="es-CR"/>
        </w:rPr>
      </w:pPr>
    </w:p>
    <w:p w:rsidR="001D4FEA" w:rsidRDefault="001D4FEA" w:rsidP="0032649A">
      <w:pPr>
        <w:spacing w:after="0"/>
        <w:jc w:val="center"/>
        <w:rPr>
          <w:rFonts w:ascii="Verdana" w:hAnsi="Verdana"/>
          <w:b/>
          <w:sz w:val="20"/>
          <w:szCs w:val="20"/>
          <w:lang w:val="es-CR"/>
        </w:rPr>
      </w:pPr>
    </w:p>
    <w:p w:rsidR="001D4FEA" w:rsidRDefault="001D4FEA" w:rsidP="0032649A">
      <w:pPr>
        <w:spacing w:after="0"/>
        <w:jc w:val="center"/>
        <w:rPr>
          <w:rFonts w:ascii="Verdana" w:hAnsi="Verdana"/>
          <w:b/>
          <w:sz w:val="20"/>
          <w:szCs w:val="20"/>
          <w:lang w:val="es-CR"/>
        </w:rPr>
      </w:pPr>
    </w:p>
    <w:p w:rsidR="001D4FEA" w:rsidRDefault="001D4FEA" w:rsidP="0032649A">
      <w:pPr>
        <w:spacing w:after="0"/>
        <w:jc w:val="center"/>
        <w:rPr>
          <w:rFonts w:ascii="Verdana" w:hAnsi="Verdana"/>
          <w:b/>
          <w:sz w:val="20"/>
          <w:szCs w:val="20"/>
          <w:lang w:val="es-CR"/>
        </w:rPr>
      </w:pPr>
    </w:p>
    <w:p w:rsidR="001D4FEA" w:rsidRDefault="001D4FEA" w:rsidP="0032649A">
      <w:pPr>
        <w:spacing w:after="0"/>
        <w:jc w:val="center"/>
        <w:rPr>
          <w:rFonts w:ascii="Verdana" w:hAnsi="Verdana"/>
          <w:b/>
          <w:sz w:val="20"/>
          <w:szCs w:val="20"/>
          <w:lang w:val="es-CR"/>
        </w:rPr>
      </w:pPr>
    </w:p>
    <w:p w:rsidR="0032649A" w:rsidRPr="00870DB2" w:rsidRDefault="0032649A" w:rsidP="0032649A">
      <w:pPr>
        <w:spacing w:after="0"/>
        <w:jc w:val="center"/>
        <w:rPr>
          <w:rFonts w:ascii="Verdana" w:hAnsi="Verdana"/>
          <w:b/>
          <w:sz w:val="20"/>
          <w:szCs w:val="20"/>
          <w:lang w:val="es-CR"/>
        </w:rPr>
      </w:pPr>
      <w:r w:rsidRPr="00870DB2">
        <w:rPr>
          <w:rFonts w:ascii="Verdana" w:hAnsi="Verdana"/>
          <w:b/>
          <w:sz w:val="20"/>
          <w:szCs w:val="20"/>
          <w:lang w:val="es-CR"/>
        </w:rPr>
        <w:t xml:space="preserve">RESOLUCIÓN DEL PRESIDENTE DE LA </w:t>
      </w:r>
      <w:r w:rsidRPr="00870DB2">
        <w:rPr>
          <w:rFonts w:ascii="Verdana" w:hAnsi="Verdana"/>
          <w:b/>
          <w:sz w:val="20"/>
          <w:szCs w:val="20"/>
          <w:lang w:val="es-CR"/>
        </w:rPr>
        <w:br/>
        <w:t xml:space="preserve">CORTE INTERAMERICANA DE DERECHOS HUMANOS </w:t>
      </w:r>
      <w:r w:rsidRPr="00870DB2">
        <w:rPr>
          <w:rFonts w:ascii="Verdana" w:hAnsi="Verdana"/>
          <w:b/>
          <w:sz w:val="20"/>
          <w:szCs w:val="20"/>
          <w:lang w:val="es-CR"/>
        </w:rPr>
        <w:br/>
      </w:r>
    </w:p>
    <w:p w:rsidR="0032649A" w:rsidRPr="00870DB2" w:rsidRDefault="00340E08" w:rsidP="0032649A">
      <w:pPr>
        <w:spacing w:after="0"/>
        <w:jc w:val="center"/>
        <w:rPr>
          <w:rFonts w:ascii="Verdana" w:hAnsi="Verdana"/>
          <w:b/>
          <w:sz w:val="20"/>
          <w:szCs w:val="20"/>
          <w:lang w:val="es-CR"/>
        </w:rPr>
      </w:pPr>
      <w:r>
        <w:rPr>
          <w:rFonts w:ascii="Verdana" w:hAnsi="Verdana"/>
          <w:b/>
          <w:sz w:val="20"/>
          <w:szCs w:val="20"/>
          <w:lang w:val="es-CR"/>
        </w:rPr>
        <w:t xml:space="preserve">DE </w:t>
      </w:r>
      <w:r w:rsidR="002D0921" w:rsidRPr="00014A5A">
        <w:rPr>
          <w:rFonts w:ascii="Verdana" w:hAnsi="Verdana"/>
          <w:b/>
          <w:sz w:val="20"/>
          <w:szCs w:val="20"/>
          <w:lang w:val="es-CR"/>
        </w:rPr>
        <w:t>15</w:t>
      </w:r>
      <w:r w:rsidR="0032649A">
        <w:rPr>
          <w:rFonts w:ascii="Verdana" w:hAnsi="Verdana"/>
          <w:b/>
          <w:sz w:val="20"/>
          <w:szCs w:val="20"/>
          <w:lang w:val="es-CR"/>
        </w:rPr>
        <w:t xml:space="preserve"> DE FEBRERO</w:t>
      </w:r>
      <w:r w:rsidR="0032649A" w:rsidRPr="00870DB2">
        <w:rPr>
          <w:rFonts w:ascii="Verdana" w:hAnsi="Verdana"/>
          <w:b/>
          <w:sz w:val="20"/>
          <w:szCs w:val="20"/>
          <w:lang w:val="es-CR"/>
        </w:rPr>
        <w:t xml:space="preserve"> DE 2019</w:t>
      </w:r>
    </w:p>
    <w:p w:rsidR="0032649A" w:rsidRPr="00870DB2" w:rsidRDefault="0032649A" w:rsidP="0032649A">
      <w:pPr>
        <w:spacing w:after="0"/>
        <w:jc w:val="center"/>
        <w:rPr>
          <w:rFonts w:ascii="Verdana" w:hAnsi="Verdana"/>
          <w:b/>
          <w:sz w:val="20"/>
          <w:szCs w:val="20"/>
          <w:lang w:val="es-CR"/>
        </w:rPr>
      </w:pPr>
    </w:p>
    <w:p w:rsidR="0032649A" w:rsidRDefault="0032649A" w:rsidP="0032649A">
      <w:pPr>
        <w:spacing w:after="0"/>
        <w:jc w:val="center"/>
        <w:rPr>
          <w:rFonts w:ascii="Verdana" w:hAnsi="Verdana"/>
          <w:b/>
          <w:sz w:val="20"/>
          <w:szCs w:val="20"/>
          <w:lang w:val="es-CR"/>
        </w:rPr>
      </w:pPr>
      <w:r w:rsidRPr="00870DB2">
        <w:rPr>
          <w:rFonts w:ascii="Verdana" w:hAnsi="Verdana"/>
          <w:b/>
          <w:sz w:val="20"/>
          <w:szCs w:val="20"/>
          <w:lang w:val="es-CR"/>
        </w:rPr>
        <w:t>CASO RODRÍGUEZ REVOLORIO Y OTROS VS. GUATEMALA</w:t>
      </w:r>
    </w:p>
    <w:p w:rsidR="0032649A" w:rsidRPr="004234FA" w:rsidRDefault="0032649A" w:rsidP="0032649A">
      <w:pPr>
        <w:spacing w:after="0"/>
        <w:ind w:right="49"/>
        <w:jc w:val="center"/>
        <w:rPr>
          <w:rFonts w:ascii="Verdana" w:hAnsi="Verdana"/>
          <w:b/>
          <w:caps/>
          <w:sz w:val="20"/>
          <w:szCs w:val="20"/>
          <w:lang w:val="es-CR"/>
        </w:rPr>
      </w:pPr>
      <w:r w:rsidRPr="004234FA">
        <w:rPr>
          <w:rFonts w:ascii="Verdana" w:hAnsi="Verdana"/>
          <w:b/>
          <w:caps/>
          <w:sz w:val="20"/>
          <w:szCs w:val="20"/>
          <w:lang w:val="es-CR"/>
        </w:rPr>
        <w:t>CONVOCATORIA A AUDIENCIA</w:t>
      </w:r>
    </w:p>
    <w:p w:rsidR="0032649A" w:rsidRPr="00870DB2" w:rsidRDefault="0032649A" w:rsidP="0032649A">
      <w:pPr>
        <w:spacing w:after="0"/>
        <w:jc w:val="center"/>
        <w:rPr>
          <w:rFonts w:ascii="Verdana" w:hAnsi="Verdana"/>
          <w:b/>
          <w:sz w:val="20"/>
          <w:szCs w:val="20"/>
          <w:lang w:val="es-CR"/>
        </w:rPr>
      </w:pPr>
    </w:p>
    <w:p w:rsidR="0032649A" w:rsidRPr="00870DB2" w:rsidRDefault="0032649A" w:rsidP="0032649A">
      <w:pPr>
        <w:spacing w:after="0"/>
        <w:jc w:val="both"/>
        <w:rPr>
          <w:rFonts w:ascii="Verdana" w:hAnsi="Verdana"/>
          <w:b/>
          <w:sz w:val="20"/>
          <w:szCs w:val="20"/>
          <w:lang w:val="es-CR"/>
        </w:rPr>
      </w:pPr>
    </w:p>
    <w:p w:rsidR="0032649A" w:rsidRPr="00870DB2" w:rsidRDefault="0032649A" w:rsidP="0032649A">
      <w:pPr>
        <w:spacing w:after="0"/>
        <w:jc w:val="both"/>
        <w:rPr>
          <w:rFonts w:ascii="Verdana" w:hAnsi="Verdana"/>
          <w:b/>
          <w:sz w:val="20"/>
          <w:szCs w:val="20"/>
          <w:lang w:val="es-CR"/>
        </w:rPr>
      </w:pPr>
      <w:r w:rsidRPr="00870DB2">
        <w:rPr>
          <w:rFonts w:ascii="Verdana" w:hAnsi="Verdana"/>
          <w:b/>
          <w:sz w:val="20"/>
          <w:szCs w:val="20"/>
          <w:lang w:val="es-CR"/>
        </w:rPr>
        <w:t>VISTO:</w:t>
      </w:r>
    </w:p>
    <w:p w:rsidR="0032649A" w:rsidRPr="00870DB2" w:rsidRDefault="0032649A" w:rsidP="0032649A">
      <w:pPr>
        <w:spacing w:after="0"/>
        <w:jc w:val="both"/>
        <w:rPr>
          <w:rFonts w:ascii="Verdana" w:hAnsi="Verdana"/>
          <w:b/>
          <w:sz w:val="20"/>
          <w:szCs w:val="20"/>
          <w:lang w:val="es-CR"/>
        </w:rPr>
      </w:pPr>
    </w:p>
    <w:p w:rsidR="0032649A" w:rsidRPr="00870DB2" w:rsidRDefault="0032649A" w:rsidP="0032649A">
      <w:pPr>
        <w:pStyle w:val="Normal1"/>
        <w:widowControl/>
        <w:numPr>
          <w:ilvl w:val="0"/>
          <w:numId w:val="1"/>
        </w:numPr>
        <w:spacing w:line="276" w:lineRule="auto"/>
        <w:ind w:left="0" w:firstLine="0"/>
        <w:contextualSpacing/>
        <w:jc w:val="both"/>
        <w:rPr>
          <w:rFonts w:ascii="Verdana" w:eastAsia="Verdana" w:hAnsi="Verdana" w:cs="Verdana"/>
          <w:color w:val="000000"/>
          <w:sz w:val="20"/>
          <w:szCs w:val="20"/>
        </w:rPr>
      </w:pPr>
      <w:r w:rsidRPr="00870DB2">
        <w:rPr>
          <w:rFonts w:ascii="Verdana" w:hAnsi="Verdana"/>
          <w:sz w:val="20"/>
          <w:szCs w:val="20"/>
        </w:rPr>
        <w:t xml:space="preserve">El escrito de sometimiento del caso y el Informe de Admisibilidad y Fondo de la Comisión Interamericana de Derechos Humanos (en adelante “la Comisión Interamericana” o “la Comisión”); el escrito de solicitudes, argumentos y pruebas (en adelante el “escrito de </w:t>
      </w:r>
      <w:r>
        <w:rPr>
          <w:rFonts w:ascii="Verdana" w:hAnsi="Verdana"/>
          <w:sz w:val="20"/>
          <w:szCs w:val="20"/>
        </w:rPr>
        <w:t>solicitudes y argumentos”) de</w:t>
      </w:r>
      <w:r w:rsidR="006028C4">
        <w:rPr>
          <w:rFonts w:ascii="Verdana" w:hAnsi="Verdana"/>
          <w:sz w:val="20"/>
          <w:szCs w:val="20"/>
        </w:rPr>
        <w:t xml:space="preserve"> las representantes de las presuntas víctimas</w:t>
      </w:r>
      <w:r w:rsidRPr="00870DB2">
        <w:rPr>
          <w:rStyle w:val="FootnoteReference"/>
          <w:rFonts w:ascii="Verdana" w:hAnsi="Verdana"/>
          <w:sz w:val="20"/>
          <w:szCs w:val="20"/>
        </w:rPr>
        <w:footnoteReference w:id="1"/>
      </w:r>
      <w:r w:rsidRPr="00870DB2">
        <w:rPr>
          <w:rFonts w:ascii="Verdana" w:hAnsi="Verdana"/>
          <w:sz w:val="20"/>
          <w:szCs w:val="20"/>
        </w:rPr>
        <w:t xml:space="preserve"> (en adelante </w:t>
      </w:r>
      <w:proofErr w:type="gramStart"/>
      <w:r>
        <w:rPr>
          <w:rFonts w:ascii="Verdana" w:hAnsi="Verdana"/>
          <w:sz w:val="20"/>
          <w:szCs w:val="20"/>
        </w:rPr>
        <w:t xml:space="preserve">“ </w:t>
      </w:r>
      <w:r w:rsidR="006028C4">
        <w:rPr>
          <w:rFonts w:ascii="Verdana" w:hAnsi="Verdana"/>
          <w:sz w:val="20"/>
          <w:szCs w:val="20"/>
        </w:rPr>
        <w:t>“</w:t>
      </w:r>
      <w:proofErr w:type="gramEnd"/>
      <w:r w:rsidR="006028C4">
        <w:rPr>
          <w:rFonts w:ascii="Verdana" w:hAnsi="Verdana"/>
          <w:sz w:val="20"/>
          <w:szCs w:val="20"/>
        </w:rPr>
        <w:t>la</w:t>
      </w:r>
      <w:r w:rsidRPr="00870DB2">
        <w:rPr>
          <w:rFonts w:ascii="Verdana" w:hAnsi="Verdana"/>
          <w:sz w:val="20"/>
          <w:szCs w:val="20"/>
        </w:rPr>
        <w:t>s representantes”</w:t>
      </w:r>
      <w:r w:rsidR="006028C4">
        <w:rPr>
          <w:rFonts w:ascii="Verdana" w:hAnsi="Verdana"/>
          <w:sz w:val="20"/>
          <w:szCs w:val="20"/>
        </w:rPr>
        <w:t xml:space="preserve"> o “las defensoras”</w:t>
      </w:r>
      <w:r w:rsidRPr="00870DB2">
        <w:rPr>
          <w:rFonts w:ascii="Verdana" w:hAnsi="Verdana"/>
          <w:sz w:val="20"/>
          <w:szCs w:val="20"/>
        </w:rPr>
        <w:t>); el escrito de contestación al sometimiento del caso y al escrito de solicitudes y argumentos (en adelante “escrito de contestación”) de la República de Guatemala (en adelante “Guatemala” o “el Estado”).</w:t>
      </w:r>
    </w:p>
    <w:p w:rsidR="0032649A" w:rsidRPr="00870DB2" w:rsidRDefault="0032649A" w:rsidP="0032649A">
      <w:pPr>
        <w:pStyle w:val="Normal1"/>
        <w:widowControl/>
        <w:spacing w:line="276" w:lineRule="auto"/>
        <w:contextualSpacing/>
        <w:jc w:val="both"/>
        <w:rPr>
          <w:rFonts w:ascii="Verdana" w:eastAsia="Verdana" w:hAnsi="Verdana" w:cs="Verdana"/>
          <w:color w:val="000000"/>
          <w:sz w:val="20"/>
          <w:szCs w:val="20"/>
        </w:rPr>
      </w:pPr>
    </w:p>
    <w:p w:rsidR="006028C4" w:rsidRPr="006028C4" w:rsidRDefault="006028C4" w:rsidP="006028C4">
      <w:pPr>
        <w:pStyle w:val="Normal1"/>
        <w:widowControl/>
        <w:numPr>
          <w:ilvl w:val="0"/>
          <w:numId w:val="1"/>
        </w:numPr>
        <w:spacing w:line="276" w:lineRule="auto"/>
        <w:ind w:left="0" w:firstLine="0"/>
        <w:contextualSpacing/>
        <w:jc w:val="both"/>
        <w:rPr>
          <w:rFonts w:ascii="Verdana" w:eastAsia="Verdana" w:hAnsi="Verdana" w:cs="Verdana"/>
          <w:color w:val="000000"/>
          <w:sz w:val="20"/>
          <w:szCs w:val="20"/>
        </w:rPr>
      </w:pPr>
      <w:r w:rsidRPr="00870DB2">
        <w:rPr>
          <w:rFonts w:ascii="Verdana" w:hAnsi="Verdana"/>
          <w:sz w:val="20"/>
          <w:szCs w:val="20"/>
        </w:rPr>
        <w:t xml:space="preserve">La comunicación de la Secretaría de 11 de enero de 2019 relativa a la procedencia del Fondo de Asistencia Legal de Víctimas de la Corte Interamericana de Derechos Humanos (en adelante “Fondo de Asistencia Legal de Víctimas”). </w:t>
      </w:r>
    </w:p>
    <w:p w:rsidR="006028C4" w:rsidRPr="00870DB2" w:rsidRDefault="006028C4" w:rsidP="006028C4">
      <w:pPr>
        <w:pStyle w:val="Normal1"/>
        <w:widowControl/>
        <w:spacing w:line="276" w:lineRule="auto"/>
        <w:contextualSpacing/>
        <w:jc w:val="both"/>
        <w:rPr>
          <w:rFonts w:ascii="Verdana" w:eastAsia="Verdana" w:hAnsi="Verdana" w:cs="Verdana"/>
          <w:color w:val="000000"/>
          <w:sz w:val="20"/>
          <w:szCs w:val="20"/>
        </w:rPr>
      </w:pPr>
    </w:p>
    <w:p w:rsidR="0032649A" w:rsidRPr="00BC1A5C" w:rsidRDefault="0032649A" w:rsidP="0032649A">
      <w:pPr>
        <w:pStyle w:val="Normal1"/>
        <w:widowControl/>
        <w:numPr>
          <w:ilvl w:val="0"/>
          <w:numId w:val="1"/>
        </w:numPr>
        <w:spacing w:line="276" w:lineRule="auto"/>
        <w:ind w:left="0" w:firstLine="0"/>
        <w:contextualSpacing/>
        <w:jc w:val="both"/>
        <w:rPr>
          <w:rFonts w:ascii="Verdana" w:eastAsia="Verdana" w:hAnsi="Verdana" w:cs="Verdana"/>
          <w:sz w:val="20"/>
          <w:szCs w:val="20"/>
        </w:rPr>
      </w:pPr>
      <w:r w:rsidRPr="00870DB2">
        <w:rPr>
          <w:rFonts w:ascii="Verdana" w:hAnsi="Verdana"/>
          <w:sz w:val="20"/>
          <w:szCs w:val="20"/>
        </w:rPr>
        <w:t>Las listas definitivas d</w:t>
      </w:r>
      <w:r w:rsidR="00F22007">
        <w:rPr>
          <w:rFonts w:ascii="Verdana" w:hAnsi="Verdana"/>
          <w:sz w:val="20"/>
          <w:szCs w:val="20"/>
        </w:rPr>
        <w:t>e declarantes presentadas por la</w:t>
      </w:r>
      <w:r w:rsidRPr="00870DB2">
        <w:rPr>
          <w:rFonts w:ascii="Verdana" w:hAnsi="Verdana"/>
          <w:sz w:val="20"/>
          <w:szCs w:val="20"/>
        </w:rPr>
        <w:t>s representantes y la Comisión</w:t>
      </w:r>
      <w:r w:rsidRPr="00BC1A5C">
        <w:rPr>
          <w:rFonts w:ascii="Verdana" w:hAnsi="Verdana"/>
          <w:sz w:val="20"/>
          <w:szCs w:val="20"/>
        </w:rPr>
        <w:t xml:space="preserve">, y las correspondientes observaciones </w:t>
      </w:r>
      <w:r w:rsidR="006028C4">
        <w:rPr>
          <w:rFonts w:ascii="Verdana" w:hAnsi="Verdana"/>
          <w:sz w:val="20"/>
          <w:szCs w:val="20"/>
        </w:rPr>
        <w:t xml:space="preserve">del Estado </w:t>
      </w:r>
      <w:r w:rsidRPr="00BC1A5C">
        <w:rPr>
          <w:rFonts w:ascii="Verdana" w:hAnsi="Verdana"/>
          <w:sz w:val="20"/>
          <w:szCs w:val="20"/>
        </w:rPr>
        <w:t>a dichas listas.</w:t>
      </w:r>
      <w:r w:rsidR="006028C4" w:rsidRPr="006028C4">
        <w:rPr>
          <w:rFonts w:ascii="Verdana" w:hAnsi="Verdana"/>
          <w:b/>
          <w:sz w:val="16"/>
          <w:szCs w:val="16"/>
        </w:rPr>
        <w:t xml:space="preserve"> </w:t>
      </w:r>
    </w:p>
    <w:p w:rsidR="0032649A" w:rsidRPr="00870DB2" w:rsidRDefault="0032649A" w:rsidP="0032649A">
      <w:pPr>
        <w:pStyle w:val="Normal1"/>
        <w:widowControl/>
        <w:spacing w:line="276" w:lineRule="auto"/>
        <w:contextualSpacing/>
        <w:jc w:val="both"/>
        <w:rPr>
          <w:rFonts w:ascii="Verdana" w:eastAsiaTheme="minorHAnsi" w:hAnsi="Verdana" w:cstheme="minorBidi"/>
          <w:b/>
          <w:sz w:val="20"/>
          <w:szCs w:val="20"/>
        </w:rPr>
      </w:pPr>
    </w:p>
    <w:p w:rsidR="0032649A" w:rsidRPr="00870DB2" w:rsidRDefault="0032649A" w:rsidP="0032649A">
      <w:pPr>
        <w:pStyle w:val="Normal1"/>
        <w:widowControl/>
        <w:spacing w:line="276" w:lineRule="auto"/>
        <w:contextualSpacing/>
        <w:jc w:val="both"/>
        <w:rPr>
          <w:rFonts w:ascii="Verdana" w:hAnsi="Verdana"/>
          <w:b/>
          <w:sz w:val="20"/>
          <w:szCs w:val="20"/>
        </w:rPr>
      </w:pPr>
      <w:r w:rsidRPr="00870DB2">
        <w:rPr>
          <w:rFonts w:ascii="Verdana" w:hAnsi="Verdana"/>
          <w:b/>
          <w:sz w:val="20"/>
          <w:szCs w:val="20"/>
        </w:rPr>
        <w:t>CONSIDERANDO QUE:</w:t>
      </w:r>
    </w:p>
    <w:p w:rsidR="0032649A" w:rsidRPr="00870DB2" w:rsidRDefault="0032649A" w:rsidP="0032649A">
      <w:pPr>
        <w:pStyle w:val="Normal1"/>
        <w:widowControl/>
        <w:spacing w:line="276" w:lineRule="auto"/>
        <w:contextualSpacing/>
        <w:jc w:val="both"/>
        <w:rPr>
          <w:rFonts w:ascii="Verdana" w:hAnsi="Verdana"/>
          <w:sz w:val="20"/>
          <w:szCs w:val="20"/>
        </w:rPr>
      </w:pPr>
    </w:p>
    <w:p w:rsidR="0032649A" w:rsidRPr="00870DB2" w:rsidRDefault="0032649A" w:rsidP="0032649A">
      <w:pPr>
        <w:pStyle w:val="Normal1"/>
        <w:widowControl/>
        <w:numPr>
          <w:ilvl w:val="0"/>
          <w:numId w:val="2"/>
        </w:numPr>
        <w:spacing w:line="276" w:lineRule="auto"/>
        <w:ind w:left="0" w:firstLine="0"/>
        <w:contextualSpacing/>
        <w:jc w:val="both"/>
        <w:rPr>
          <w:rFonts w:ascii="Verdana" w:eastAsia="Verdana" w:hAnsi="Verdana" w:cs="Verdana"/>
          <w:color w:val="000000"/>
          <w:sz w:val="20"/>
          <w:szCs w:val="20"/>
        </w:rPr>
      </w:pPr>
      <w:r w:rsidRPr="00870DB2">
        <w:rPr>
          <w:rFonts w:ascii="Verdana" w:hAnsi="Verdana"/>
          <w:sz w:val="20"/>
          <w:szCs w:val="20"/>
        </w:rPr>
        <w:t xml:space="preserve">El ofrecimiento y la admisión de la prueba, así como la citación de declarantes se encuentran regulados en los artículos </w:t>
      </w:r>
      <w:r w:rsidR="00B9793C">
        <w:rPr>
          <w:rFonts w:ascii="Verdana" w:hAnsi="Verdana"/>
          <w:sz w:val="20"/>
          <w:szCs w:val="20"/>
        </w:rPr>
        <w:t>35</w:t>
      </w:r>
      <w:r w:rsidR="00F82A5D">
        <w:rPr>
          <w:rFonts w:ascii="Verdana" w:hAnsi="Verdana"/>
          <w:sz w:val="20"/>
          <w:szCs w:val="20"/>
        </w:rPr>
        <w:t>, 40.2.c, 41.1.c, 46,</w:t>
      </w:r>
      <w:r w:rsidRPr="004247BC">
        <w:rPr>
          <w:rFonts w:ascii="Verdana" w:hAnsi="Verdana"/>
          <w:sz w:val="20"/>
          <w:szCs w:val="20"/>
        </w:rPr>
        <w:t xml:space="preserve"> </w:t>
      </w:r>
      <w:r w:rsidR="00F82A5D">
        <w:rPr>
          <w:rFonts w:ascii="Verdana" w:hAnsi="Verdana"/>
          <w:sz w:val="20"/>
          <w:szCs w:val="20"/>
        </w:rPr>
        <w:t>47</w:t>
      </w:r>
      <w:r>
        <w:rPr>
          <w:rFonts w:ascii="Verdana" w:hAnsi="Verdana"/>
          <w:sz w:val="20"/>
          <w:szCs w:val="20"/>
        </w:rPr>
        <w:t xml:space="preserve">, </w:t>
      </w:r>
      <w:r w:rsidR="00B9793C">
        <w:rPr>
          <w:rFonts w:ascii="Verdana" w:hAnsi="Verdana"/>
          <w:sz w:val="20"/>
          <w:szCs w:val="20"/>
        </w:rPr>
        <w:t>50, 51,</w:t>
      </w:r>
      <w:r w:rsidR="00B0428E">
        <w:rPr>
          <w:rFonts w:ascii="Verdana" w:hAnsi="Verdana"/>
          <w:sz w:val="20"/>
          <w:szCs w:val="20"/>
        </w:rPr>
        <w:t xml:space="preserve"> 52</w:t>
      </w:r>
      <w:r w:rsidRPr="004247BC">
        <w:rPr>
          <w:rFonts w:ascii="Verdana" w:hAnsi="Verdana"/>
          <w:sz w:val="20"/>
          <w:szCs w:val="20"/>
        </w:rPr>
        <w:t xml:space="preserve"> </w:t>
      </w:r>
      <w:r w:rsidR="00B9793C">
        <w:rPr>
          <w:rFonts w:ascii="Verdana" w:hAnsi="Verdana"/>
          <w:sz w:val="20"/>
          <w:szCs w:val="20"/>
        </w:rPr>
        <w:t xml:space="preserve">y 57 </w:t>
      </w:r>
      <w:r w:rsidRPr="00870DB2">
        <w:rPr>
          <w:rFonts w:ascii="Verdana" w:hAnsi="Verdana"/>
          <w:sz w:val="20"/>
          <w:szCs w:val="20"/>
        </w:rPr>
        <w:t>del Reglamento de la Corte Interamericana de Derechos Humanos (en adelante también “la Corte Interamericana”, “la Corte” o “el Tribunal”).</w:t>
      </w:r>
    </w:p>
    <w:p w:rsidR="0032649A" w:rsidRPr="00870DB2" w:rsidRDefault="0032649A" w:rsidP="0032649A">
      <w:pPr>
        <w:pStyle w:val="Normal1"/>
        <w:widowControl/>
        <w:spacing w:line="276" w:lineRule="auto"/>
        <w:contextualSpacing/>
        <w:jc w:val="both"/>
        <w:rPr>
          <w:rFonts w:ascii="Verdana" w:eastAsia="Verdana" w:hAnsi="Verdana" w:cs="Verdana"/>
          <w:color w:val="000000"/>
          <w:sz w:val="20"/>
          <w:szCs w:val="20"/>
        </w:rPr>
      </w:pPr>
    </w:p>
    <w:p w:rsidR="0032649A" w:rsidRPr="00386199" w:rsidRDefault="0032649A" w:rsidP="0032649A">
      <w:pPr>
        <w:pStyle w:val="Normal1"/>
        <w:widowControl/>
        <w:numPr>
          <w:ilvl w:val="0"/>
          <w:numId w:val="2"/>
        </w:numPr>
        <w:spacing w:line="276" w:lineRule="auto"/>
        <w:ind w:left="0" w:firstLine="0"/>
        <w:contextualSpacing/>
        <w:jc w:val="both"/>
        <w:rPr>
          <w:rFonts w:ascii="Verdana" w:eastAsia="Verdana" w:hAnsi="Verdana" w:cs="Verdana"/>
          <w:color w:val="000000"/>
          <w:sz w:val="20"/>
          <w:szCs w:val="20"/>
        </w:rPr>
      </w:pPr>
      <w:r w:rsidRPr="00870DB2">
        <w:rPr>
          <w:rFonts w:ascii="Verdana" w:hAnsi="Verdana"/>
          <w:sz w:val="20"/>
          <w:szCs w:val="20"/>
        </w:rPr>
        <w:t xml:space="preserve">La </w:t>
      </w:r>
      <w:r w:rsidRPr="0034397A">
        <w:rPr>
          <w:rFonts w:ascii="Verdana" w:hAnsi="Verdana"/>
          <w:i/>
          <w:sz w:val="20"/>
          <w:szCs w:val="20"/>
        </w:rPr>
        <w:t>Comisión</w:t>
      </w:r>
      <w:r w:rsidRPr="00870DB2">
        <w:rPr>
          <w:rFonts w:ascii="Verdana" w:hAnsi="Verdana"/>
          <w:sz w:val="20"/>
          <w:szCs w:val="20"/>
        </w:rPr>
        <w:t xml:space="preserve"> </w:t>
      </w:r>
      <w:r w:rsidRPr="00325560">
        <w:rPr>
          <w:rFonts w:ascii="Verdana" w:hAnsi="Verdana"/>
          <w:sz w:val="20"/>
          <w:szCs w:val="20"/>
        </w:rPr>
        <w:t xml:space="preserve">ofreció </w:t>
      </w:r>
      <w:r>
        <w:rPr>
          <w:rFonts w:ascii="Verdana" w:hAnsi="Verdana"/>
          <w:sz w:val="20"/>
          <w:szCs w:val="20"/>
        </w:rPr>
        <w:t xml:space="preserve">dos peritos, quienes rendirán un peritaje conjunto, </w:t>
      </w:r>
      <w:r w:rsidRPr="00325560">
        <w:rPr>
          <w:rFonts w:ascii="Verdana" w:hAnsi="Verdana"/>
          <w:sz w:val="20"/>
          <w:szCs w:val="20"/>
        </w:rPr>
        <w:t xml:space="preserve">para los casos </w:t>
      </w:r>
      <w:r w:rsidR="00014A5A">
        <w:rPr>
          <w:rFonts w:ascii="Verdana" w:hAnsi="Verdana"/>
          <w:sz w:val="20"/>
          <w:szCs w:val="20"/>
        </w:rPr>
        <w:t>“</w:t>
      </w:r>
      <w:r w:rsidRPr="00325560">
        <w:rPr>
          <w:rFonts w:ascii="Verdana" w:hAnsi="Verdana"/>
          <w:i/>
          <w:sz w:val="20"/>
          <w:szCs w:val="20"/>
        </w:rPr>
        <w:t xml:space="preserve">Girón </w:t>
      </w:r>
      <w:r w:rsidR="00014A5A">
        <w:rPr>
          <w:rFonts w:ascii="Verdana" w:hAnsi="Verdana"/>
          <w:i/>
          <w:sz w:val="20"/>
          <w:szCs w:val="20"/>
        </w:rPr>
        <w:t xml:space="preserve">y </w:t>
      </w:r>
      <w:r w:rsidRPr="00325560">
        <w:rPr>
          <w:rFonts w:ascii="Verdana" w:hAnsi="Verdana"/>
          <w:i/>
          <w:sz w:val="20"/>
          <w:szCs w:val="20"/>
        </w:rPr>
        <w:t>Castillo, Martínez Coronado y Ruiz Fuentes</w:t>
      </w:r>
      <w:r w:rsidR="00014A5A">
        <w:rPr>
          <w:rFonts w:ascii="Verdana" w:hAnsi="Verdana"/>
          <w:i/>
          <w:sz w:val="20"/>
          <w:szCs w:val="20"/>
        </w:rPr>
        <w:t>”</w:t>
      </w:r>
      <w:r w:rsidR="006028C4">
        <w:rPr>
          <w:rFonts w:ascii="Verdana" w:hAnsi="Verdana"/>
          <w:i/>
          <w:sz w:val="20"/>
          <w:szCs w:val="20"/>
        </w:rPr>
        <w:t xml:space="preserve">, </w:t>
      </w:r>
      <w:r w:rsidR="006028C4" w:rsidRPr="006028C4">
        <w:rPr>
          <w:rFonts w:ascii="Verdana" w:hAnsi="Verdana"/>
          <w:sz w:val="20"/>
          <w:szCs w:val="20"/>
        </w:rPr>
        <w:t>todos</w:t>
      </w:r>
      <w:r w:rsidRPr="006028C4">
        <w:rPr>
          <w:rFonts w:ascii="Verdana" w:hAnsi="Verdana"/>
          <w:sz w:val="20"/>
          <w:szCs w:val="20"/>
        </w:rPr>
        <w:t xml:space="preserve"> </w:t>
      </w:r>
      <w:r>
        <w:rPr>
          <w:rFonts w:ascii="Verdana" w:hAnsi="Verdana"/>
          <w:sz w:val="20"/>
          <w:szCs w:val="20"/>
        </w:rPr>
        <w:t xml:space="preserve">contra Guatemala, </w:t>
      </w:r>
      <w:r w:rsidRPr="00870DB2">
        <w:rPr>
          <w:rFonts w:ascii="Verdana" w:hAnsi="Verdana"/>
          <w:sz w:val="20"/>
          <w:szCs w:val="20"/>
        </w:rPr>
        <w:t>los que se encuentran en trámite ante esta Corte,</w:t>
      </w:r>
      <w:r>
        <w:rPr>
          <w:rFonts w:ascii="Verdana" w:hAnsi="Verdana"/>
          <w:sz w:val="20"/>
          <w:szCs w:val="20"/>
        </w:rPr>
        <w:t xml:space="preserve"> y solicitó que el dictamen pericial sea trasladado al presente caso.</w:t>
      </w:r>
      <w:r w:rsidRPr="00870DB2">
        <w:rPr>
          <w:rFonts w:ascii="Verdana" w:hAnsi="Verdana"/>
          <w:sz w:val="20"/>
          <w:szCs w:val="20"/>
        </w:rPr>
        <w:t xml:space="preserve"> </w:t>
      </w:r>
      <w:r>
        <w:rPr>
          <w:rFonts w:ascii="Verdana" w:hAnsi="Verdana"/>
          <w:sz w:val="20"/>
          <w:szCs w:val="20"/>
        </w:rPr>
        <w:t>L</w:t>
      </w:r>
      <w:r w:rsidR="0034397A">
        <w:rPr>
          <w:rFonts w:ascii="Verdana" w:hAnsi="Verdana"/>
          <w:sz w:val="20"/>
          <w:szCs w:val="20"/>
        </w:rPr>
        <w:t xml:space="preserve">as </w:t>
      </w:r>
      <w:r w:rsidR="0034397A" w:rsidRPr="0034397A">
        <w:rPr>
          <w:rFonts w:ascii="Verdana" w:hAnsi="Verdana"/>
          <w:b/>
          <w:i/>
          <w:sz w:val="20"/>
          <w:szCs w:val="20"/>
        </w:rPr>
        <w:t>representantes</w:t>
      </w:r>
      <w:r w:rsidRPr="00870DB2">
        <w:rPr>
          <w:rFonts w:ascii="Verdana" w:hAnsi="Verdana"/>
          <w:sz w:val="20"/>
          <w:szCs w:val="20"/>
        </w:rPr>
        <w:t xml:space="preserve"> propusieron en su escrito de solicitudes y </w:t>
      </w:r>
      <w:r w:rsidRPr="00870DB2">
        <w:rPr>
          <w:rFonts w:ascii="Verdana" w:hAnsi="Verdana"/>
          <w:sz w:val="20"/>
          <w:szCs w:val="20"/>
        </w:rPr>
        <w:lastRenderedPageBreak/>
        <w:t xml:space="preserve">argumentos las declaraciones de Miguel Ángel Rodríguez </w:t>
      </w:r>
      <w:proofErr w:type="spellStart"/>
      <w:r w:rsidRPr="00870DB2">
        <w:rPr>
          <w:rFonts w:ascii="Verdana" w:hAnsi="Verdana"/>
          <w:sz w:val="20"/>
          <w:szCs w:val="20"/>
        </w:rPr>
        <w:t>Revolorio</w:t>
      </w:r>
      <w:proofErr w:type="spellEnd"/>
      <w:r w:rsidRPr="00870DB2">
        <w:rPr>
          <w:rFonts w:ascii="Verdana" w:hAnsi="Verdana"/>
          <w:sz w:val="20"/>
          <w:szCs w:val="20"/>
        </w:rPr>
        <w:t xml:space="preserve">, y </w:t>
      </w:r>
      <w:r>
        <w:rPr>
          <w:rFonts w:ascii="Verdana" w:hAnsi="Verdana"/>
          <w:sz w:val="20"/>
          <w:szCs w:val="20"/>
        </w:rPr>
        <w:t>de un</w:t>
      </w:r>
      <w:r w:rsidR="001125A8">
        <w:rPr>
          <w:rFonts w:ascii="Verdana" w:hAnsi="Verdana"/>
          <w:sz w:val="20"/>
          <w:szCs w:val="20"/>
        </w:rPr>
        <w:t>a</w:t>
      </w:r>
      <w:r>
        <w:rPr>
          <w:rFonts w:ascii="Verdana" w:hAnsi="Verdana"/>
          <w:sz w:val="20"/>
          <w:szCs w:val="20"/>
        </w:rPr>
        <w:t xml:space="preserve"> familiar</w:t>
      </w:r>
      <w:r w:rsidRPr="00870DB2">
        <w:rPr>
          <w:rFonts w:ascii="Verdana" w:hAnsi="Verdana"/>
          <w:sz w:val="20"/>
          <w:szCs w:val="20"/>
        </w:rPr>
        <w:t xml:space="preserve"> de Miguel Ángel López Calo </w:t>
      </w:r>
      <w:r>
        <w:rPr>
          <w:rFonts w:ascii="Verdana" w:hAnsi="Verdana"/>
          <w:sz w:val="20"/>
          <w:szCs w:val="20"/>
        </w:rPr>
        <w:t>y un</w:t>
      </w:r>
      <w:r w:rsidR="001125A8">
        <w:rPr>
          <w:rFonts w:ascii="Verdana" w:hAnsi="Verdana"/>
          <w:sz w:val="20"/>
          <w:szCs w:val="20"/>
        </w:rPr>
        <w:t>a</w:t>
      </w:r>
      <w:r>
        <w:rPr>
          <w:rFonts w:ascii="Verdana" w:hAnsi="Verdana"/>
          <w:sz w:val="20"/>
          <w:szCs w:val="20"/>
        </w:rPr>
        <w:t xml:space="preserve"> familiar de </w:t>
      </w:r>
      <w:r w:rsidRPr="00870DB2">
        <w:rPr>
          <w:rFonts w:ascii="Verdana" w:hAnsi="Verdana"/>
          <w:sz w:val="20"/>
          <w:szCs w:val="20"/>
        </w:rPr>
        <w:t>Aníbal Archila Pérez,</w:t>
      </w:r>
      <w:r>
        <w:rPr>
          <w:rFonts w:ascii="Verdana" w:hAnsi="Verdana"/>
          <w:sz w:val="20"/>
          <w:szCs w:val="20"/>
        </w:rPr>
        <w:t xml:space="preserve"> así como </w:t>
      </w:r>
      <w:r w:rsidRPr="00B71187">
        <w:rPr>
          <w:rFonts w:ascii="Verdana" w:hAnsi="Verdana"/>
          <w:sz w:val="20"/>
          <w:szCs w:val="20"/>
        </w:rPr>
        <w:t>seis</w:t>
      </w:r>
      <w:r w:rsidR="008F4CE7">
        <w:rPr>
          <w:rFonts w:ascii="Verdana" w:hAnsi="Verdana"/>
          <w:sz w:val="20"/>
          <w:szCs w:val="20"/>
        </w:rPr>
        <w:t xml:space="preserve"> declarantes </w:t>
      </w:r>
      <w:r w:rsidRPr="00870DB2">
        <w:rPr>
          <w:rFonts w:ascii="Verdana" w:hAnsi="Verdana"/>
          <w:sz w:val="20"/>
          <w:szCs w:val="20"/>
        </w:rPr>
        <w:t xml:space="preserve">y </w:t>
      </w:r>
      <w:r w:rsidRPr="00B71187">
        <w:rPr>
          <w:rFonts w:ascii="Verdana" w:hAnsi="Verdana"/>
          <w:sz w:val="20"/>
          <w:szCs w:val="20"/>
        </w:rPr>
        <w:t>dos</w:t>
      </w:r>
      <w:r w:rsidRPr="00870DB2">
        <w:rPr>
          <w:rFonts w:ascii="Verdana" w:hAnsi="Verdana"/>
          <w:sz w:val="20"/>
          <w:szCs w:val="20"/>
        </w:rPr>
        <w:t xml:space="preserve"> peritajes, </w:t>
      </w:r>
      <w:r>
        <w:rPr>
          <w:rFonts w:ascii="Verdana" w:hAnsi="Verdana"/>
          <w:sz w:val="20"/>
          <w:szCs w:val="20"/>
        </w:rPr>
        <w:t>y</w:t>
      </w:r>
      <w:r w:rsidRPr="00870DB2">
        <w:rPr>
          <w:rFonts w:ascii="Verdana" w:hAnsi="Verdana"/>
          <w:sz w:val="20"/>
          <w:szCs w:val="20"/>
        </w:rPr>
        <w:t xml:space="preserve"> el traslado de</w:t>
      </w:r>
      <w:r>
        <w:rPr>
          <w:rFonts w:ascii="Verdana" w:hAnsi="Verdana"/>
          <w:sz w:val="20"/>
          <w:szCs w:val="20"/>
        </w:rPr>
        <w:t xml:space="preserve"> los</w:t>
      </w:r>
      <w:r w:rsidRPr="00870DB2">
        <w:rPr>
          <w:rFonts w:ascii="Verdana" w:hAnsi="Verdana"/>
          <w:sz w:val="20"/>
          <w:szCs w:val="20"/>
        </w:rPr>
        <w:t xml:space="preserve"> peritaje</w:t>
      </w:r>
      <w:r>
        <w:rPr>
          <w:rFonts w:ascii="Verdana" w:hAnsi="Verdana"/>
          <w:sz w:val="20"/>
          <w:szCs w:val="20"/>
        </w:rPr>
        <w:t>s</w:t>
      </w:r>
      <w:r w:rsidRPr="00870DB2">
        <w:rPr>
          <w:rFonts w:ascii="Verdana" w:hAnsi="Verdana"/>
          <w:sz w:val="20"/>
          <w:szCs w:val="20"/>
        </w:rPr>
        <w:t xml:space="preserve"> </w:t>
      </w:r>
      <w:r w:rsidR="001D4FEA">
        <w:rPr>
          <w:rFonts w:ascii="Verdana" w:hAnsi="Verdana"/>
          <w:sz w:val="20"/>
          <w:szCs w:val="20"/>
        </w:rPr>
        <w:t>de Eduardo Monteale</w:t>
      </w:r>
      <w:r>
        <w:rPr>
          <w:rFonts w:ascii="Verdana" w:hAnsi="Verdana"/>
          <w:sz w:val="20"/>
          <w:szCs w:val="20"/>
        </w:rPr>
        <w:t xml:space="preserve">gre </w:t>
      </w:r>
      <w:proofErr w:type="spellStart"/>
      <w:r>
        <w:rPr>
          <w:rFonts w:ascii="Verdana" w:hAnsi="Verdana"/>
          <w:sz w:val="20"/>
          <w:szCs w:val="20"/>
        </w:rPr>
        <w:t>L</w:t>
      </w:r>
      <w:r w:rsidR="004024F5">
        <w:rPr>
          <w:rFonts w:ascii="Verdana" w:hAnsi="Verdana"/>
          <w:sz w:val="20"/>
          <w:szCs w:val="20"/>
        </w:rPr>
        <w:t>y</w:t>
      </w:r>
      <w:r>
        <w:rPr>
          <w:rFonts w:ascii="Verdana" w:hAnsi="Verdana"/>
          <w:sz w:val="20"/>
          <w:szCs w:val="20"/>
        </w:rPr>
        <w:t>net</w:t>
      </w:r>
      <w:proofErr w:type="spellEnd"/>
      <w:r>
        <w:rPr>
          <w:rFonts w:ascii="Verdana" w:hAnsi="Verdana"/>
          <w:sz w:val="20"/>
          <w:szCs w:val="20"/>
        </w:rPr>
        <w:t xml:space="preserve">, Alberto Martín </w:t>
      </w:r>
      <w:proofErr w:type="spellStart"/>
      <w:r>
        <w:rPr>
          <w:rFonts w:ascii="Verdana" w:hAnsi="Verdana"/>
          <w:sz w:val="20"/>
          <w:szCs w:val="20"/>
        </w:rPr>
        <w:t>Binder</w:t>
      </w:r>
      <w:proofErr w:type="spellEnd"/>
      <w:r>
        <w:rPr>
          <w:rFonts w:ascii="Verdana" w:hAnsi="Verdana"/>
          <w:sz w:val="20"/>
          <w:szCs w:val="20"/>
        </w:rPr>
        <w:t xml:space="preserve">, Alejandro E. Álvarez y César </w:t>
      </w:r>
      <w:proofErr w:type="spellStart"/>
      <w:r>
        <w:rPr>
          <w:rFonts w:ascii="Verdana" w:hAnsi="Verdana"/>
          <w:sz w:val="20"/>
          <w:szCs w:val="20"/>
        </w:rPr>
        <w:t>Pellecer</w:t>
      </w:r>
      <w:proofErr w:type="spellEnd"/>
      <w:r>
        <w:rPr>
          <w:rFonts w:ascii="Verdana" w:hAnsi="Verdana"/>
          <w:sz w:val="20"/>
          <w:szCs w:val="20"/>
        </w:rPr>
        <w:t xml:space="preserve"> Barrientos rendidos </w:t>
      </w:r>
      <w:r w:rsidRPr="00870DB2">
        <w:rPr>
          <w:rFonts w:ascii="Verdana" w:hAnsi="Verdana"/>
          <w:sz w:val="20"/>
          <w:szCs w:val="20"/>
        </w:rPr>
        <w:t xml:space="preserve">en </w:t>
      </w:r>
      <w:r>
        <w:rPr>
          <w:rFonts w:ascii="Verdana" w:hAnsi="Verdana"/>
          <w:sz w:val="20"/>
          <w:szCs w:val="20"/>
        </w:rPr>
        <w:t>el c</w:t>
      </w:r>
      <w:r w:rsidRPr="00870DB2">
        <w:rPr>
          <w:rFonts w:ascii="Verdana" w:hAnsi="Verdana"/>
          <w:sz w:val="20"/>
          <w:szCs w:val="20"/>
        </w:rPr>
        <w:t>aso</w:t>
      </w:r>
      <w:r w:rsidRPr="00870DB2">
        <w:rPr>
          <w:rFonts w:ascii="Verdana" w:hAnsi="Verdana"/>
          <w:i/>
          <w:sz w:val="20"/>
          <w:szCs w:val="20"/>
        </w:rPr>
        <w:t xml:space="preserve"> Fermín Ramírez Vs. Guatemala</w:t>
      </w:r>
      <w:r w:rsidR="006028C4">
        <w:rPr>
          <w:rFonts w:ascii="Verdana" w:hAnsi="Verdana"/>
          <w:i/>
          <w:sz w:val="20"/>
          <w:szCs w:val="20"/>
        </w:rPr>
        <w:t xml:space="preserve">. </w:t>
      </w:r>
      <w:r w:rsidR="00B03EE8">
        <w:rPr>
          <w:rFonts w:ascii="Verdana" w:hAnsi="Verdana"/>
          <w:sz w:val="20"/>
          <w:szCs w:val="20"/>
        </w:rPr>
        <w:t>E</w:t>
      </w:r>
      <w:r w:rsidR="006028C4">
        <w:rPr>
          <w:rFonts w:ascii="Verdana" w:hAnsi="Verdana"/>
          <w:sz w:val="20"/>
          <w:szCs w:val="20"/>
        </w:rPr>
        <w:t xml:space="preserve">n </w:t>
      </w:r>
      <w:r>
        <w:rPr>
          <w:rFonts w:ascii="Verdana" w:hAnsi="Verdana"/>
          <w:sz w:val="20"/>
          <w:szCs w:val="20"/>
        </w:rPr>
        <w:t xml:space="preserve">su lista definitiva </w:t>
      </w:r>
      <w:r w:rsidR="00B03EE8">
        <w:rPr>
          <w:rFonts w:ascii="Verdana" w:hAnsi="Verdana"/>
          <w:sz w:val="20"/>
          <w:szCs w:val="20"/>
        </w:rPr>
        <w:t xml:space="preserve">las representantes propusieron </w:t>
      </w:r>
      <w:r w:rsidR="008F4CE7">
        <w:rPr>
          <w:rFonts w:ascii="Verdana" w:hAnsi="Verdana"/>
          <w:sz w:val="20"/>
          <w:szCs w:val="20"/>
        </w:rPr>
        <w:t xml:space="preserve">ocho </w:t>
      </w:r>
      <w:r>
        <w:rPr>
          <w:rFonts w:ascii="Verdana" w:hAnsi="Verdana"/>
          <w:sz w:val="20"/>
          <w:szCs w:val="20"/>
        </w:rPr>
        <w:t>declarantes y tres peritajes</w:t>
      </w:r>
      <w:r w:rsidRPr="00870DB2">
        <w:rPr>
          <w:rFonts w:ascii="Verdana" w:hAnsi="Verdana"/>
          <w:sz w:val="20"/>
          <w:szCs w:val="20"/>
        </w:rPr>
        <w:t xml:space="preserve">. Mientras que </w:t>
      </w:r>
      <w:r w:rsidR="00B03EE8" w:rsidRPr="00870DB2">
        <w:rPr>
          <w:rFonts w:ascii="Verdana" w:hAnsi="Verdana"/>
          <w:sz w:val="20"/>
          <w:szCs w:val="20"/>
        </w:rPr>
        <w:t>en su escrito de contestación</w:t>
      </w:r>
      <w:r w:rsidR="00B03EE8">
        <w:rPr>
          <w:rFonts w:ascii="Verdana" w:hAnsi="Verdana"/>
          <w:sz w:val="20"/>
          <w:szCs w:val="20"/>
        </w:rPr>
        <w:t>,</w:t>
      </w:r>
      <w:r w:rsidR="00B03EE8" w:rsidRPr="00870DB2">
        <w:rPr>
          <w:rFonts w:ascii="Verdana" w:hAnsi="Verdana"/>
          <w:sz w:val="20"/>
          <w:szCs w:val="20"/>
        </w:rPr>
        <w:t xml:space="preserve"> </w:t>
      </w:r>
      <w:r w:rsidRPr="00870DB2">
        <w:rPr>
          <w:rFonts w:ascii="Verdana" w:hAnsi="Verdana"/>
          <w:sz w:val="20"/>
          <w:szCs w:val="20"/>
        </w:rPr>
        <w:t xml:space="preserve">el </w:t>
      </w:r>
      <w:r w:rsidRPr="00340E08">
        <w:rPr>
          <w:rFonts w:ascii="Verdana" w:hAnsi="Verdana"/>
          <w:b/>
          <w:i/>
          <w:sz w:val="20"/>
          <w:szCs w:val="20"/>
        </w:rPr>
        <w:t>Estado</w:t>
      </w:r>
      <w:r w:rsidR="0034397A" w:rsidRPr="0034397A">
        <w:rPr>
          <w:rFonts w:ascii="Verdana" w:hAnsi="Verdana"/>
          <w:sz w:val="20"/>
          <w:szCs w:val="20"/>
        </w:rPr>
        <w:t xml:space="preserve"> </w:t>
      </w:r>
      <w:r w:rsidR="0034397A" w:rsidRPr="00870DB2">
        <w:rPr>
          <w:rFonts w:ascii="Verdana" w:hAnsi="Verdana"/>
          <w:sz w:val="20"/>
          <w:szCs w:val="20"/>
        </w:rPr>
        <w:t>ofreció un declarante</w:t>
      </w:r>
      <w:r w:rsidRPr="00870DB2">
        <w:rPr>
          <w:rFonts w:ascii="Verdana" w:hAnsi="Verdana"/>
          <w:sz w:val="20"/>
          <w:szCs w:val="20"/>
        </w:rPr>
        <w:t xml:space="preserve">. </w:t>
      </w:r>
    </w:p>
    <w:p w:rsidR="0032649A" w:rsidRPr="004260BB" w:rsidRDefault="0032649A" w:rsidP="0032649A">
      <w:pPr>
        <w:pStyle w:val="Normal1"/>
        <w:widowControl/>
        <w:spacing w:line="276" w:lineRule="auto"/>
        <w:contextualSpacing/>
        <w:jc w:val="both"/>
        <w:rPr>
          <w:rFonts w:ascii="Verdana" w:eastAsia="Verdana" w:hAnsi="Verdana" w:cs="Verdana"/>
          <w:color w:val="000000"/>
          <w:sz w:val="20"/>
          <w:szCs w:val="20"/>
        </w:rPr>
      </w:pPr>
    </w:p>
    <w:p w:rsidR="0032649A" w:rsidRPr="00870DB2" w:rsidRDefault="0032649A" w:rsidP="0032649A">
      <w:pPr>
        <w:pStyle w:val="Normal1"/>
        <w:widowControl/>
        <w:numPr>
          <w:ilvl w:val="0"/>
          <w:numId w:val="2"/>
        </w:numPr>
        <w:spacing w:line="276" w:lineRule="auto"/>
        <w:ind w:left="0" w:firstLine="0"/>
        <w:contextualSpacing/>
        <w:jc w:val="both"/>
        <w:rPr>
          <w:rFonts w:ascii="Verdana" w:eastAsia="Verdana" w:hAnsi="Verdana" w:cs="Verdana"/>
          <w:color w:val="000000"/>
          <w:sz w:val="20"/>
          <w:szCs w:val="20"/>
        </w:rPr>
      </w:pPr>
      <w:r w:rsidRPr="00870DB2">
        <w:rPr>
          <w:rFonts w:ascii="Verdana" w:eastAsia="Verdana" w:hAnsi="Verdana" w:cs="Verdana"/>
          <w:color w:val="000000"/>
          <w:sz w:val="20"/>
          <w:szCs w:val="20"/>
        </w:rPr>
        <w:t>La Corte garantizó a las partes</w:t>
      </w:r>
      <w:r w:rsidR="00014A5A">
        <w:rPr>
          <w:rFonts w:ascii="Verdana" w:eastAsia="Verdana" w:hAnsi="Verdana" w:cs="Verdana"/>
          <w:color w:val="000000"/>
          <w:sz w:val="20"/>
          <w:szCs w:val="20"/>
        </w:rPr>
        <w:t xml:space="preserve"> y a la Comisión</w:t>
      </w:r>
      <w:r w:rsidRPr="00870DB2">
        <w:rPr>
          <w:rFonts w:ascii="Verdana" w:eastAsia="Verdana" w:hAnsi="Verdana" w:cs="Verdana"/>
          <w:color w:val="000000"/>
          <w:sz w:val="20"/>
          <w:szCs w:val="20"/>
        </w:rPr>
        <w:t xml:space="preserve"> el derecho de defensa respecto de los ofrecimientos probatorios oportunamente realizados. </w:t>
      </w:r>
      <w:r w:rsidR="0056566D">
        <w:rPr>
          <w:rFonts w:ascii="Verdana" w:eastAsia="Verdana" w:hAnsi="Verdana" w:cs="Verdana"/>
          <w:color w:val="000000"/>
          <w:sz w:val="20"/>
          <w:szCs w:val="20"/>
        </w:rPr>
        <w:t xml:space="preserve">La Comisión solicitó formular preguntas a un perito ofrecido por ellas, mientras que </w:t>
      </w:r>
      <w:r w:rsidR="0056566D">
        <w:rPr>
          <w:rFonts w:ascii="Verdana" w:eastAsia="Verdana" w:hAnsi="Verdana" w:cs="Verdana"/>
          <w:sz w:val="20"/>
          <w:szCs w:val="20"/>
        </w:rPr>
        <w:t xml:space="preserve">las </w:t>
      </w:r>
      <w:r w:rsidRPr="00870DB2">
        <w:rPr>
          <w:rFonts w:ascii="Verdana" w:eastAsia="Verdana" w:hAnsi="Verdana" w:cs="Verdana"/>
          <w:sz w:val="20"/>
          <w:szCs w:val="20"/>
        </w:rPr>
        <w:t>representantes no presentaron observaciones respecto de los ofrecimientos probatorios</w:t>
      </w:r>
      <w:r w:rsidRPr="00870DB2">
        <w:rPr>
          <w:rFonts w:ascii="Verdana" w:eastAsia="Verdana" w:hAnsi="Verdana" w:cs="Verdana"/>
          <w:color w:val="000000"/>
          <w:sz w:val="20"/>
          <w:szCs w:val="20"/>
        </w:rPr>
        <w:t>.</w:t>
      </w:r>
      <w:r w:rsidR="0056566D">
        <w:rPr>
          <w:rFonts w:ascii="Verdana" w:eastAsia="Verdana" w:hAnsi="Verdana" w:cs="Verdana"/>
          <w:color w:val="000000"/>
          <w:sz w:val="20"/>
          <w:szCs w:val="20"/>
        </w:rPr>
        <w:t xml:space="preserve"> El Estado no presentó la lista definitiva.</w:t>
      </w:r>
    </w:p>
    <w:p w:rsidR="0032649A" w:rsidRPr="00870DB2" w:rsidRDefault="0032649A" w:rsidP="0032649A">
      <w:pPr>
        <w:pStyle w:val="Normal1"/>
        <w:widowControl/>
        <w:spacing w:line="276" w:lineRule="auto"/>
        <w:contextualSpacing/>
        <w:jc w:val="both"/>
        <w:rPr>
          <w:rFonts w:ascii="Verdana" w:eastAsia="Verdana" w:hAnsi="Verdana" w:cs="Verdana"/>
          <w:color w:val="000000"/>
          <w:sz w:val="20"/>
          <w:szCs w:val="20"/>
        </w:rPr>
      </w:pPr>
    </w:p>
    <w:p w:rsidR="0032649A" w:rsidRPr="00EF43C6" w:rsidRDefault="00D157F4" w:rsidP="0032649A">
      <w:pPr>
        <w:pStyle w:val="Normal1"/>
        <w:widowControl/>
        <w:numPr>
          <w:ilvl w:val="0"/>
          <w:numId w:val="2"/>
        </w:numPr>
        <w:spacing w:line="276" w:lineRule="auto"/>
        <w:ind w:left="0" w:firstLine="0"/>
        <w:contextualSpacing/>
        <w:jc w:val="both"/>
        <w:rPr>
          <w:rFonts w:ascii="Verdana" w:eastAsia="Verdana" w:hAnsi="Verdana" w:cs="Verdana"/>
          <w:b/>
          <w:color w:val="000000"/>
          <w:sz w:val="16"/>
          <w:szCs w:val="16"/>
        </w:rPr>
      </w:pPr>
      <w:r>
        <w:rPr>
          <w:rFonts w:ascii="Verdana" w:hAnsi="Verdana"/>
          <w:sz w:val="20"/>
          <w:szCs w:val="20"/>
        </w:rPr>
        <w:t>R</w:t>
      </w:r>
      <w:r w:rsidR="0032649A" w:rsidRPr="00870DB2">
        <w:rPr>
          <w:rFonts w:ascii="Verdana" w:hAnsi="Verdana"/>
          <w:sz w:val="20"/>
          <w:szCs w:val="20"/>
        </w:rPr>
        <w:t xml:space="preserve">especto de la prueba testimonial </w:t>
      </w:r>
      <w:r w:rsidR="00B03EE8">
        <w:rPr>
          <w:rFonts w:ascii="Verdana" w:hAnsi="Verdana"/>
          <w:sz w:val="20"/>
          <w:szCs w:val="20"/>
        </w:rPr>
        <w:t>ofrecida por las</w:t>
      </w:r>
      <w:r>
        <w:rPr>
          <w:rFonts w:ascii="Verdana" w:hAnsi="Verdana"/>
          <w:sz w:val="20"/>
          <w:szCs w:val="20"/>
        </w:rPr>
        <w:t xml:space="preserve"> representantes, el</w:t>
      </w:r>
      <w:r w:rsidRPr="00870DB2">
        <w:rPr>
          <w:rFonts w:ascii="Verdana" w:hAnsi="Verdana"/>
          <w:sz w:val="20"/>
          <w:szCs w:val="20"/>
        </w:rPr>
        <w:t xml:space="preserve"> </w:t>
      </w:r>
      <w:r w:rsidRPr="00D157F4">
        <w:rPr>
          <w:rFonts w:ascii="Verdana" w:hAnsi="Verdana"/>
          <w:b/>
          <w:i/>
          <w:sz w:val="20"/>
          <w:szCs w:val="20"/>
        </w:rPr>
        <w:t>Estado</w:t>
      </w:r>
      <w:r>
        <w:rPr>
          <w:rFonts w:ascii="Verdana" w:hAnsi="Verdana"/>
          <w:sz w:val="20"/>
          <w:szCs w:val="20"/>
        </w:rPr>
        <w:t xml:space="preserve"> </w:t>
      </w:r>
      <w:r w:rsidR="007606EA">
        <w:rPr>
          <w:rFonts w:ascii="Verdana" w:hAnsi="Verdana"/>
          <w:sz w:val="20"/>
          <w:szCs w:val="20"/>
        </w:rPr>
        <w:t xml:space="preserve">expresó que </w:t>
      </w:r>
      <w:r w:rsidR="002C2401">
        <w:rPr>
          <w:rFonts w:ascii="Verdana" w:hAnsi="Verdana"/>
          <w:sz w:val="20"/>
          <w:szCs w:val="20"/>
        </w:rPr>
        <w:t xml:space="preserve">tanto </w:t>
      </w:r>
      <w:r w:rsidR="007606EA">
        <w:rPr>
          <w:rFonts w:ascii="Verdana" w:hAnsi="Verdana"/>
          <w:sz w:val="20"/>
          <w:szCs w:val="20"/>
        </w:rPr>
        <w:t>las declaraciones de la presunta víctima como las testimoniales “radican en los mismos hechos argumentados por la Co</w:t>
      </w:r>
      <w:r w:rsidR="00F22007">
        <w:rPr>
          <w:rFonts w:ascii="Verdana" w:hAnsi="Verdana"/>
          <w:sz w:val="20"/>
          <w:szCs w:val="20"/>
        </w:rPr>
        <w:t>misión y la</w:t>
      </w:r>
      <w:r w:rsidR="007606EA">
        <w:rPr>
          <w:rFonts w:ascii="Verdana" w:hAnsi="Verdana"/>
          <w:sz w:val="20"/>
          <w:szCs w:val="20"/>
        </w:rPr>
        <w:t xml:space="preserve">s representantes, aunado a ello, presentan un interés directo en el presente asunto el cual constituye causa suficiente” para que la Corte no admita su diligenciamiento. </w:t>
      </w:r>
      <w:r>
        <w:rPr>
          <w:rFonts w:ascii="Verdana" w:hAnsi="Verdana"/>
          <w:sz w:val="20"/>
          <w:szCs w:val="20"/>
        </w:rPr>
        <w:t xml:space="preserve">Agregó </w:t>
      </w:r>
      <w:r w:rsidR="0032649A" w:rsidRPr="00870DB2">
        <w:rPr>
          <w:rFonts w:ascii="Verdana" w:hAnsi="Verdana"/>
          <w:sz w:val="20"/>
          <w:szCs w:val="20"/>
        </w:rPr>
        <w:t xml:space="preserve">que los dictámenes </w:t>
      </w:r>
      <w:r>
        <w:rPr>
          <w:rFonts w:ascii="Verdana" w:hAnsi="Verdana"/>
          <w:sz w:val="20"/>
          <w:szCs w:val="20"/>
        </w:rPr>
        <w:t xml:space="preserve">periciales </w:t>
      </w:r>
      <w:r w:rsidR="00F22007">
        <w:rPr>
          <w:rFonts w:ascii="Verdana" w:hAnsi="Verdana"/>
          <w:sz w:val="20"/>
          <w:szCs w:val="20"/>
        </w:rPr>
        <w:t>ofrecidos por la</w:t>
      </w:r>
      <w:r w:rsidR="0032649A" w:rsidRPr="00870DB2">
        <w:rPr>
          <w:rFonts w:ascii="Verdana" w:hAnsi="Verdana"/>
          <w:sz w:val="20"/>
          <w:szCs w:val="20"/>
        </w:rPr>
        <w:t xml:space="preserve">s representantes son innecesarios, ya que el objeto de pericia ha sido “desarrollado bastantemente en el presente caso”. Finalmente, el Estado objetó el traslado del peritaje rendido en el caso </w:t>
      </w:r>
      <w:r w:rsidR="0032649A">
        <w:rPr>
          <w:rFonts w:ascii="Verdana" w:hAnsi="Verdana"/>
          <w:i/>
          <w:sz w:val="20"/>
          <w:szCs w:val="20"/>
        </w:rPr>
        <w:t xml:space="preserve">Fermín Ramírez Vs. Guatemala, </w:t>
      </w:r>
      <w:r w:rsidR="0032649A" w:rsidRPr="00870DB2">
        <w:rPr>
          <w:rFonts w:ascii="Verdana" w:hAnsi="Verdana"/>
          <w:sz w:val="20"/>
          <w:szCs w:val="20"/>
        </w:rPr>
        <w:t xml:space="preserve">al considerar que “es indispensable comprender los verdaderos hechos del caso objeto del presente [caso]”. </w:t>
      </w:r>
    </w:p>
    <w:p w:rsidR="0032649A" w:rsidRPr="00870DB2" w:rsidRDefault="0032649A" w:rsidP="0032649A">
      <w:pPr>
        <w:pStyle w:val="Normal1"/>
        <w:widowControl/>
        <w:spacing w:line="276" w:lineRule="auto"/>
        <w:contextualSpacing/>
        <w:jc w:val="both"/>
        <w:rPr>
          <w:rFonts w:ascii="Verdana" w:eastAsia="Verdana" w:hAnsi="Verdana" w:cs="Verdana"/>
          <w:b/>
          <w:color w:val="000000"/>
          <w:sz w:val="20"/>
          <w:szCs w:val="20"/>
        </w:rPr>
      </w:pPr>
    </w:p>
    <w:p w:rsidR="0032649A" w:rsidRPr="00870DB2" w:rsidRDefault="0032649A" w:rsidP="0032649A">
      <w:pPr>
        <w:pStyle w:val="Normal1"/>
        <w:widowControl/>
        <w:numPr>
          <w:ilvl w:val="0"/>
          <w:numId w:val="2"/>
        </w:numPr>
        <w:spacing w:line="276" w:lineRule="auto"/>
        <w:ind w:left="0" w:firstLine="0"/>
        <w:contextualSpacing/>
        <w:jc w:val="both"/>
        <w:rPr>
          <w:rFonts w:ascii="Verdana" w:eastAsia="Verdana" w:hAnsi="Verdana" w:cs="Verdana"/>
          <w:b/>
          <w:color w:val="000000"/>
          <w:sz w:val="20"/>
          <w:szCs w:val="20"/>
        </w:rPr>
      </w:pPr>
      <w:r w:rsidRPr="00870DB2">
        <w:rPr>
          <w:rFonts w:ascii="Verdana" w:hAnsi="Verdana"/>
          <w:sz w:val="20"/>
          <w:szCs w:val="20"/>
        </w:rPr>
        <w:t>A continuación, el Presidente de la Corte (en adelante también “el Presidente” o “esta Presidencia”) analizará en forma pa</w:t>
      </w:r>
      <w:r w:rsidR="002C2401">
        <w:rPr>
          <w:rFonts w:ascii="Verdana" w:hAnsi="Verdana"/>
          <w:sz w:val="20"/>
          <w:szCs w:val="20"/>
        </w:rPr>
        <w:t>rticular: a) admisibilidad de los declarantes</w:t>
      </w:r>
      <w:r w:rsidRPr="00870DB2">
        <w:rPr>
          <w:rFonts w:ascii="Verdana" w:hAnsi="Verdana"/>
          <w:sz w:val="20"/>
          <w:szCs w:val="20"/>
        </w:rPr>
        <w:t xml:space="preserve"> y dictám</w:t>
      </w:r>
      <w:r w:rsidR="00B03EE8">
        <w:rPr>
          <w:rFonts w:ascii="Verdana" w:hAnsi="Verdana"/>
          <w:sz w:val="20"/>
          <w:szCs w:val="20"/>
        </w:rPr>
        <w:t>enes periciales ofrecidos por la</w:t>
      </w:r>
      <w:r w:rsidRPr="00870DB2">
        <w:rPr>
          <w:rFonts w:ascii="Verdana" w:hAnsi="Verdana"/>
          <w:sz w:val="20"/>
          <w:szCs w:val="20"/>
        </w:rPr>
        <w:t>s representantes</w:t>
      </w:r>
      <w:r>
        <w:rPr>
          <w:rFonts w:ascii="Verdana" w:hAnsi="Verdana"/>
          <w:sz w:val="20"/>
          <w:szCs w:val="20"/>
        </w:rPr>
        <w:t>;</w:t>
      </w:r>
      <w:r w:rsidRPr="00870DB2">
        <w:rPr>
          <w:rFonts w:ascii="Verdana" w:hAnsi="Verdana"/>
          <w:sz w:val="20"/>
          <w:szCs w:val="20"/>
        </w:rPr>
        <w:t xml:space="preserve"> b)</w:t>
      </w:r>
      <w:r>
        <w:rPr>
          <w:rFonts w:ascii="Verdana" w:hAnsi="Verdana"/>
          <w:sz w:val="20"/>
          <w:szCs w:val="20"/>
        </w:rPr>
        <w:t xml:space="preserve"> a</w:t>
      </w:r>
      <w:r w:rsidRPr="002E3D9C">
        <w:rPr>
          <w:rFonts w:ascii="Verdana" w:hAnsi="Verdana"/>
          <w:sz w:val="20"/>
          <w:szCs w:val="20"/>
        </w:rPr>
        <w:t xml:space="preserve">dmisibilidad del traslado de prueba pericial del Caso </w:t>
      </w:r>
      <w:r w:rsidRPr="002E3D9C">
        <w:rPr>
          <w:rFonts w:ascii="Verdana" w:hAnsi="Verdana"/>
          <w:i/>
          <w:sz w:val="20"/>
          <w:szCs w:val="20"/>
        </w:rPr>
        <w:t>Fermín Ramírez Vs Guatemala</w:t>
      </w:r>
      <w:r w:rsidR="00B03EE8">
        <w:rPr>
          <w:rFonts w:ascii="Verdana" w:hAnsi="Verdana"/>
          <w:sz w:val="20"/>
          <w:szCs w:val="20"/>
        </w:rPr>
        <w:t xml:space="preserve"> solicitado por la</w:t>
      </w:r>
      <w:r w:rsidRPr="002E3D9C">
        <w:rPr>
          <w:rFonts w:ascii="Verdana" w:hAnsi="Verdana"/>
          <w:sz w:val="20"/>
          <w:szCs w:val="20"/>
        </w:rPr>
        <w:t>s representantes</w:t>
      </w:r>
      <w:r>
        <w:rPr>
          <w:rFonts w:ascii="Verdana" w:hAnsi="Verdana"/>
          <w:sz w:val="20"/>
          <w:szCs w:val="20"/>
        </w:rPr>
        <w:t>; c)</w:t>
      </w:r>
      <w:r w:rsidRPr="00870DB2">
        <w:rPr>
          <w:rFonts w:ascii="Verdana" w:hAnsi="Verdana"/>
          <w:sz w:val="20"/>
          <w:szCs w:val="20"/>
        </w:rPr>
        <w:t xml:space="preserve"> </w:t>
      </w:r>
      <w:r w:rsidRPr="00162B8C">
        <w:rPr>
          <w:rFonts w:ascii="Verdana" w:hAnsi="Verdana"/>
          <w:sz w:val="20"/>
          <w:szCs w:val="20"/>
        </w:rPr>
        <w:t>admisibilidad de la declaración testimonial planteada por el Estado, d</w:t>
      </w:r>
      <w:r w:rsidRPr="00870DB2">
        <w:rPr>
          <w:rFonts w:ascii="Verdana" w:hAnsi="Verdana"/>
          <w:sz w:val="20"/>
          <w:szCs w:val="20"/>
        </w:rPr>
        <w:t xml:space="preserve">) admisibilidad </w:t>
      </w:r>
      <w:r>
        <w:rPr>
          <w:rFonts w:ascii="Verdana" w:hAnsi="Verdana"/>
          <w:sz w:val="20"/>
          <w:szCs w:val="20"/>
        </w:rPr>
        <w:t>del traslado de la prueba pericial propuesta</w:t>
      </w:r>
      <w:r w:rsidRPr="00870DB2">
        <w:rPr>
          <w:rFonts w:ascii="Verdana" w:hAnsi="Verdana"/>
          <w:sz w:val="20"/>
          <w:szCs w:val="20"/>
        </w:rPr>
        <w:t xml:space="preserve"> por la Comisión Interamericana</w:t>
      </w:r>
      <w:r w:rsidR="00FF5AFD">
        <w:rPr>
          <w:rFonts w:ascii="Verdana" w:hAnsi="Verdana"/>
          <w:sz w:val="20"/>
          <w:szCs w:val="20"/>
        </w:rPr>
        <w:t>;</w:t>
      </w:r>
      <w:r w:rsidR="00014A5A">
        <w:rPr>
          <w:rFonts w:ascii="Verdana" w:hAnsi="Verdana"/>
          <w:sz w:val="20"/>
          <w:szCs w:val="20"/>
        </w:rPr>
        <w:t xml:space="preserve"> e</w:t>
      </w:r>
      <w:r>
        <w:rPr>
          <w:rFonts w:ascii="Verdana" w:hAnsi="Verdana"/>
          <w:sz w:val="20"/>
          <w:szCs w:val="20"/>
        </w:rPr>
        <w:t xml:space="preserve">) </w:t>
      </w:r>
      <w:r w:rsidR="00FF5AFD">
        <w:rPr>
          <w:rFonts w:ascii="Verdana" w:hAnsi="Verdana"/>
          <w:sz w:val="20"/>
          <w:szCs w:val="20"/>
        </w:rPr>
        <w:t>solicitud de la Comisión para formular preguntas respecto a una declaración pericial ofrecida por las representantes y f)</w:t>
      </w:r>
      <w:r w:rsidRPr="00870DB2">
        <w:rPr>
          <w:rFonts w:ascii="Verdana" w:hAnsi="Verdana"/>
          <w:sz w:val="20"/>
          <w:szCs w:val="20"/>
        </w:rPr>
        <w:t>aplicación del Fondo de Asistencia Legal de Víctimas.</w:t>
      </w:r>
    </w:p>
    <w:p w:rsidR="0032649A" w:rsidRPr="00870DB2" w:rsidRDefault="0032649A" w:rsidP="0032649A">
      <w:pPr>
        <w:pStyle w:val="ListParagraph"/>
        <w:spacing w:after="0"/>
        <w:jc w:val="both"/>
        <w:rPr>
          <w:rFonts w:ascii="Verdana" w:hAnsi="Verdana"/>
          <w:b/>
          <w:sz w:val="20"/>
          <w:szCs w:val="20"/>
          <w:lang w:val="es-PE"/>
        </w:rPr>
      </w:pPr>
    </w:p>
    <w:p w:rsidR="0032649A" w:rsidRPr="00870DB2" w:rsidRDefault="0032649A" w:rsidP="0032649A">
      <w:pPr>
        <w:pStyle w:val="ListParagraph"/>
        <w:spacing w:after="0"/>
        <w:jc w:val="both"/>
        <w:rPr>
          <w:rFonts w:ascii="Verdana" w:hAnsi="Verdana"/>
          <w:b/>
          <w:i/>
          <w:sz w:val="20"/>
          <w:szCs w:val="20"/>
          <w:lang w:val="es-CR"/>
        </w:rPr>
      </w:pPr>
      <w:r w:rsidRPr="00870DB2">
        <w:rPr>
          <w:rFonts w:ascii="Verdana" w:hAnsi="Verdana"/>
          <w:b/>
          <w:i/>
          <w:sz w:val="20"/>
          <w:szCs w:val="20"/>
          <w:lang w:val="es-CR"/>
        </w:rPr>
        <w:t>A. Admisibilidad de los declarantes y dictám</w:t>
      </w:r>
      <w:r w:rsidR="00B03EE8">
        <w:rPr>
          <w:rFonts w:ascii="Verdana" w:hAnsi="Verdana"/>
          <w:b/>
          <w:i/>
          <w:sz w:val="20"/>
          <w:szCs w:val="20"/>
          <w:lang w:val="es-CR"/>
        </w:rPr>
        <w:t>enes periciales ofrecidos por la</w:t>
      </w:r>
      <w:r w:rsidRPr="00870DB2">
        <w:rPr>
          <w:rFonts w:ascii="Verdana" w:hAnsi="Verdana"/>
          <w:b/>
          <w:i/>
          <w:sz w:val="20"/>
          <w:szCs w:val="20"/>
          <w:lang w:val="es-CR"/>
        </w:rPr>
        <w:t>s representantes</w:t>
      </w:r>
    </w:p>
    <w:p w:rsidR="0032649A" w:rsidRPr="00870DB2" w:rsidRDefault="0032649A" w:rsidP="0032649A">
      <w:pPr>
        <w:spacing w:after="0"/>
        <w:rPr>
          <w:rFonts w:ascii="Verdana" w:hAnsi="Verdana"/>
          <w:i/>
          <w:sz w:val="20"/>
          <w:szCs w:val="20"/>
          <w:lang w:val="es-CR"/>
        </w:rPr>
      </w:pPr>
    </w:p>
    <w:p w:rsidR="0032649A" w:rsidRPr="00870DB2" w:rsidRDefault="0032649A" w:rsidP="0032649A">
      <w:pPr>
        <w:spacing w:after="0"/>
        <w:ind w:left="720"/>
        <w:rPr>
          <w:rFonts w:ascii="Verdana" w:hAnsi="Verdana"/>
          <w:i/>
          <w:sz w:val="20"/>
          <w:szCs w:val="20"/>
          <w:lang w:val="es-CR"/>
        </w:rPr>
      </w:pPr>
      <w:r w:rsidRPr="00870DB2">
        <w:rPr>
          <w:rFonts w:ascii="Verdana" w:hAnsi="Verdana"/>
          <w:i/>
          <w:sz w:val="20"/>
          <w:szCs w:val="20"/>
          <w:lang w:val="es-CR"/>
        </w:rPr>
        <w:t xml:space="preserve">A.1) Admisibilidad de </w:t>
      </w:r>
      <w:r w:rsidR="00F22007">
        <w:rPr>
          <w:rFonts w:ascii="Verdana" w:hAnsi="Verdana"/>
          <w:i/>
          <w:sz w:val="20"/>
          <w:szCs w:val="20"/>
          <w:lang w:val="es-CR"/>
        </w:rPr>
        <w:t>los declarantes ofrecidos por la</w:t>
      </w:r>
      <w:r w:rsidRPr="00870DB2">
        <w:rPr>
          <w:rFonts w:ascii="Verdana" w:hAnsi="Verdana"/>
          <w:i/>
          <w:sz w:val="20"/>
          <w:szCs w:val="20"/>
          <w:lang w:val="es-CR"/>
        </w:rPr>
        <w:t>s representantes</w:t>
      </w:r>
    </w:p>
    <w:p w:rsidR="0032649A" w:rsidRPr="00870DB2" w:rsidRDefault="0032649A" w:rsidP="0032649A">
      <w:pPr>
        <w:pStyle w:val="Normal1"/>
        <w:widowControl/>
        <w:autoSpaceDE w:val="0"/>
        <w:autoSpaceDN w:val="0"/>
        <w:adjustRightInd w:val="0"/>
        <w:spacing w:line="276" w:lineRule="auto"/>
        <w:contextualSpacing/>
        <w:jc w:val="both"/>
        <w:rPr>
          <w:rFonts w:ascii="Verdana" w:hAnsi="Verdana"/>
          <w:sz w:val="20"/>
          <w:szCs w:val="20"/>
        </w:rPr>
      </w:pPr>
    </w:p>
    <w:p w:rsidR="0032649A" w:rsidRPr="00870DB2" w:rsidRDefault="00B03EE8" w:rsidP="0032649A">
      <w:pPr>
        <w:pStyle w:val="Normal1"/>
        <w:numPr>
          <w:ilvl w:val="0"/>
          <w:numId w:val="2"/>
        </w:numPr>
        <w:autoSpaceDE w:val="0"/>
        <w:autoSpaceDN w:val="0"/>
        <w:adjustRightInd w:val="0"/>
        <w:spacing w:line="276" w:lineRule="auto"/>
        <w:ind w:left="0" w:firstLine="0"/>
        <w:contextualSpacing/>
        <w:jc w:val="both"/>
        <w:rPr>
          <w:rFonts w:ascii="Verdana" w:hAnsi="Verdana"/>
          <w:sz w:val="20"/>
          <w:szCs w:val="20"/>
        </w:rPr>
      </w:pPr>
      <w:r>
        <w:rPr>
          <w:rFonts w:ascii="Verdana" w:hAnsi="Verdana"/>
          <w:sz w:val="20"/>
          <w:szCs w:val="20"/>
        </w:rPr>
        <w:t>La</w:t>
      </w:r>
      <w:r w:rsidR="0032649A" w:rsidRPr="00870DB2">
        <w:rPr>
          <w:rFonts w:ascii="Verdana" w:hAnsi="Verdana"/>
          <w:sz w:val="20"/>
          <w:szCs w:val="20"/>
        </w:rPr>
        <w:t xml:space="preserve">s </w:t>
      </w:r>
      <w:r w:rsidR="0032649A" w:rsidRPr="00870DB2">
        <w:rPr>
          <w:rFonts w:ascii="Verdana" w:hAnsi="Verdana"/>
          <w:b/>
          <w:i/>
          <w:sz w:val="20"/>
          <w:szCs w:val="20"/>
        </w:rPr>
        <w:t>representantes</w:t>
      </w:r>
      <w:r w:rsidR="0032649A" w:rsidRPr="00870DB2">
        <w:rPr>
          <w:rFonts w:ascii="Verdana" w:hAnsi="Verdana"/>
          <w:sz w:val="20"/>
          <w:szCs w:val="20"/>
        </w:rPr>
        <w:t xml:space="preserve"> en su escrito de solicitudes y argumentos y en su lista definitiva ofrecieron las declaraciones de las siguientes personas: </w:t>
      </w:r>
      <w:r w:rsidR="00014A5A">
        <w:rPr>
          <w:rFonts w:ascii="Verdana" w:hAnsi="Verdana"/>
          <w:sz w:val="20"/>
          <w:szCs w:val="20"/>
        </w:rPr>
        <w:t xml:space="preserve">el </w:t>
      </w:r>
      <w:r w:rsidR="0032649A" w:rsidRPr="00870DB2">
        <w:rPr>
          <w:rFonts w:ascii="Verdana" w:hAnsi="Verdana"/>
          <w:sz w:val="20"/>
          <w:szCs w:val="20"/>
        </w:rPr>
        <w:t xml:space="preserve">Miguel Ángel Rodríguez </w:t>
      </w:r>
      <w:proofErr w:type="spellStart"/>
      <w:r w:rsidR="0032649A" w:rsidRPr="00870DB2">
        <w:rPr>
          <w:rFonts w:ascii="Verdana" w:hAnsi="Verdana"/>
          <w:sz w:val="20"/>
          <w:szCs w:val="20"/>
        </w:rPr>
        <w:t>Revolorio</w:t>
      </w:r>
      <w:proofErr w:type="spellEnd"/>
      <w:r w:rsidR="0032649A" w:rsidRPr="00870DB2">
        <w:rPr>
          <w:rStyle w:val="FootnoteReference"/>
          <w:rFonts w:ascii="Verdana" w:hAnsi="Verdana"/>
          <w:sz w:val="20"/>
          <w:szCs w:val="20"/>
        </w:rPr>
        <w:footnoteReference w:id="2"/>
      </w:r>
      <w:r w:rsidR="0032649A" w:rsidRPr="00870DB2">
        <w:rPr>
          <w:rFonts w:ascii="Verdana" w:hAnsi="Verdana"/>
          <w:sz w:val="20"/>
          <w:szCs w:val="20"/>
        </w:rPr>
        <w:t xml:space="preserve">, presunta víctima en el presente caso; las señoras Miriam </w:t>
      </w:r>
      <w:proofErr w:type="spellStart"/>
      <w:r w:rsidR="0032649A" w:rsidRPr="00870DB2">
        <w:rPr>
          <w:rFonts w:ascii="Verdana" w:hAnsi="Verdana"/>
          <w:sz w:val="20"/>
          <w:szCs w:val="20"/>
        </w:rPr>
        <w:t>Floridalma</w:t>
      </w:r>
      <w:proofErr w:type="spellEnd"/>
      <w:r w:rsidR="0032649A" w:rsidRPr="00870DB2">
        <w:rPr>
          <w:rFonts w:ascii="Verdana" w:hAnsi="Verdana"/>
          <w:sz w:val="20"/>
          <w:szCs w:val="20"/>
        </w:rPr>
        <w:t xml:space="preserve"> Osorio García de López</w:t>
      </w:r>
      <w:r w:rsidR="0032649A" w:rsidRPr="00870DB2">
        <w:rPr>
          <w:rStyle w:val="FootnoteReference"/>
          <w:rFonts w:ascii="Verdana" w:hAnsi="Verdana"/>
          <w:sz w:val="20"/>
          <w:szCs w:val="20"/>
        </w:rPr>
        <w:footnoteReference w:id="3"/>
      </w:r>
      <w:r w:rsidR="0032649A" w:rsidRPr="00870DB2">
        <w:rPr>
          <w:rFonts w:ascii="Verdana" w:hAnsi="Verdana"/>
          <w:sz w:val="20"/>
          <w:szCs w:val="20"/>
        </w:rPr>
        <w:t>, esposa de Miguel Ángel López Calo, e Irma Morales Morata</w:t>
      </w:r>
      <w:r w:rsidR="0032649A" w:rsidRPr="00870DB2">
        <w:rPr>
          <w:rStyle w:val="FootnoteReference"/>
          <w:rFonts w:ascii="Verdana" w:hAnsi="Verdana"/>
          <w:sz w:val="20"/>
          <w:szCs w:val="20"/>
        </w:rPr>
        <w:footnoteReference w:id="4"/>
      </w:r>
      <w:r w:rsidR="0032649A" w:rsidRPr="00870DB2">
        <w:rPr>
          <w:rFonts w:ascii="Verdana" w:hAnsi="Verdana"/>
          <w:sz w:val="20"/>
          <w:szCs w:val="20"/>
        </w:rPr>
        <w:t xml:space="preserve"> esposa de </w:t>
      </w:r>
      <w:r w:rsidR="0032649A" w:rsidRPr="00870DB2">
        <w:rPr>
          <w:rFonts w:ascii="Verdana" w:hAnsi="Verdana"/>
          <w:sz w:val="20"/>
          <w:szCs w:val="20"/>
        </w:rPr>
        <w:lastRenderedPageBreak/>
        <w:t>Aníbal Arc</w:t>
      </w:r>
      <w:r w:rsidR="00014A5A">
        <w:rPr>
          <w:rFonts w:ascii="Verdana" w:hAnsi="Verdana"/>
          <w:sz w:val="20"/>
          <w:szCs w:val="20"/>
        </w:rPr>
        <w:t xml:space="preserve">hila Pérez; </w:t>
      </w:r>
      <w:r w:rsidR="00D157F4" w:rsidRPr="00870DB2">
        <w:rPr>
          <w:rFonts w:ascii="Verdana" w:hAnsi="Verdana"/>
          <w:sz w:val="20"/>
          <w:szCs w:val="20"/>
        </w:rPr>
        <w:t xml:space="preserve">las señoras </w:t>
      </w:r>
      <w:r w:rsidR="00D157F4" w:rsidRPr="00870DB2">
        <w:rPr>
          <w:rFonts w:ascii="Verdana" w:hAnsi="Verdana"/>
          <w:sz w:val="20"/>
          <w:szCs w:val="20"/>
          <w:lang w:val="es-PE"/>
        </w:rPr>
        <w:t xml:space="preserve">Irma </w:t>
      </w:r>
      <w:proofErr w:type="spellStart"/>
      <w:r w:rsidR="00D157F4" w:rsidRPr="00870DB2">
        <w:rPr>
          <w:rFonts w:ascii="Verdana" w:hAnsi="Verdana"/>
          <w:sz w:val="20"/>
          <w:szCs w:val="20"/>
          <w:lang w:val="es-PE"/>
        </w:rPr>
        <w:t>Yazmin</w:t>
      </w:r>
      <w:proofErr w:type="spellEnd"/>
      <w:r w:rsidR="00D157F4" w:rsidRPr="00870DB2">
        <w:rPr>
          <w:rFonts w:ascii="Verdana" w:hAnsi="Verdana"/>
          <w:sz w:val="20"/>
          <w:szCs w:val="20"/>
          <w:lang w:val="es-PE"/>
        </w:rPr>
        <w:t xml:space="preserve"> Archila</w:t>
      </w:r>
      <w:r w:rsidR="00D157F4" w:rsidRPr="00870DB2">
        <w:rPr>
          <w:rStyle w:val="FootnoteReference"/>
          <w:rFonts w:ascii="Verdana" w:hAnsi="Verdana"/>
          <w:sz w:val="20"/>
          <w:szCs w:val="20"/>
          <w:lang w:val="es-PE"/>
        </w:rPr>
        <w:footnoteReference w:id="5"/>
      </w:r>
      <w:r w:rsidR="00D157F4" w:rsidRPr="00870DB2">
        <w:rPr>
          <w:rFonts w:ascii="Verdana" w:hAnsi="Verdana"/>
          <w:sz w:val="20"/>
          <w:szCs w:val="20"/>
          <w:lang w:val="es-PE"/>
        </w:rPr>
        <w:t xml:space="preserve"> y </w:t>
      </w:r>
      <w:proofErr w:type="spellStart"/>
      <w:r w:rsidR="00D157F4" w:rsidRPr="00870DB2">
        <w:rPr>
          <w:rFonts w:ascii="Verdana" w:hAnsi="Verdana"/>
          <w:sz w:val="20"/>
          <w:szCs w:val="20"/>
          <w:lang w:val="es-PE"/>
        </w:rPr>
        <w:t>Yazmi</w:t>
      </w:r>
      <w:proofErr w:type="spellEnd"/>
      <w:r w:rsidR="00D157F4" w:rsidRPr="00870DB2">
        <w:rPr>
          <w:rFonts w:ascii="Verdana" w:hAnsi="Verdana"/>
          <w:sz w:val="20"/>
          <w:szCs w:val="20"/>
          <w:lang w:val="es-PE"/>
        </w:rPr>
        <w:t xml:space="preserve"> Lisbeth López Osorio</w:t>
      </w:r>
      <w:r w:rsidR="00D157F4" w:rsidRPr="00870DB2">
        <w:rPr>
          <w:rStyle w:val="FootnoteReference"/>
          <w:rFonts w:ascii="Verdana" w:hAnsi="Verdana"/>
          <w:sz w:val="20"/>
          <w:szCs w:val="20"/>
          <w:lang w:val="es-PE"/>
        </w:rPr>
        <w:footnoteReference w:id="6"/>
      </w:r>
      <w:r w:rsidR="0032649A" w:rsidRPr="00870DB2">
        <w:rPr>
          <w:rFonts w:ascii="Verdana" w:hAnsi="Verdana"/>
          <w:sz w:val="20"/>
          <w:szCs w:val="20"/>
        </w:rPr>
        <w:t xml:space="preserve"> </w:t>
      </w:r>
      <w:r w:rsidR="00D157F4">
        <w:rPr>
          <w:rFonts w:ascii="Verdana" w:hAnsi="Verdana"/>
          <w:sz w:val="20"/>
          <w:szCs w:val="20"/>
        </w:rPr>
        <w:t xml:space="preserve">y de </w:t>
      </w:r>
      <w:r w:rsidR="0032649A" w:rsidRPr="00870DB2">
        <w:rPr>
          <w:rFonts w:ascii="Verdana" w:hAnsi="Verdana"/>
          <w:sz w:val="20"/>
          <w:szCs w:val="20"/>
        </w:rPr>
        <w:t xml:space="preserve">los señores Ismael Rodríguez </w:t>
      </w:r>
      <w:proofErr w:type="spellStart"/>
      <w:r w:rsidR="0032649A" w:rsidRPr="00870DB2">
        <w:rPr>
          <w:rFonts w:ascii="Verdana" w:hAnsi="Verdana"/>
          <w:sz w:val="20"/>
          <w:szCs w:val="20"/>
        </w:rPr>
        <w:t>Revolorio</w:t>
      </w:r>
      <w:proofErr w:type="spellEnd"/>
      <w:r w:rsidR="0032649A" w:rsidRPr="00870DB2">
        <w:rPr>
          <w:rStyle w:val="FootnoteReference"/>
          <w:rFonts w:ascii="Verdana" w:hAnsi="Verdana"/>
          <w:sz w:val="20"/>
          <w:szCs w:val="20"/>
        </w:rPr>
        <w:footnoteReference w:id="7"/>
      </w:r>
      <w:r w:rsidR="0032649A" w:rsidRPr="00870DB2">
        <w:rPr>
          <w:rFonts w:ascii="Verdana" w:hAnsi="Verdana"/>
          <w:sz w:val="20"/>
          <w:szCs w:val="20"/>
        </w:rPr>
        <w:t xml:space="preserve">; </w:t>
      </w:r>
      <w:r w:rsidR="0032649A" w:rsidRPr="00870DB2">
        <w:rPr>
          <w:rFonts w:ascii="Verdana" w:hAnsi="Verdana"/>
          <w:sz w:val="20"/>
          <w:szCs w:val="20"/>
          <w:lang w:val="es-PE"/>
        </w:rPr>
        <w:t>Víctor Hugo Cano y Roberto Enrique Quiñ</w:t>
      </w:r>
      <w:r w:rsidR="002C2401">
        <w:rPr>
          <w:rFonts w:ascii="Verdana" w:hAnsi="Verdana"/>
          <w:sz w:val="20"/>
          <w:szCs w:val="20"/>
          <w:lang w:val="es-PE"/>
        </w:rPr>
        <w:t xml:space="preserve">onez </w:t>
      </w:r>
      <w:r w:rsidR="0032649A" w:rsidRPr="00870DB2">
        <w:rPr>
          <w:rFonts w:ascii="Verdana" w:hAnsi="Verdana"/>
          <w:sz w:val="20"/>
          <w:szCs w:val="20"/>
          <w:lang w:val="es-PE"/>
        </w:rPr>
        <w:t>Días</w:t>
      </w:r>
      <w:r w:rsidR="0032649A" w:rsidRPr="00870DB2">
        <w:rPr>
          <w:rStyle w:val="FootnoteReference"/>
          <w:rFonts w:ascii="Verdana" w:hAnsi="Verdana"/>
          <w:sz w:val="20"/>
          <w:szCs w:val="20"/>
          <w:lang w:val="es-PE"/>
        </w:rPr>
        <w:footnoteReference w:id="8"/>
      </w:r>
      <w:r w:rsidR="00D157F4">
        <w:rPr>
          <w:rFonts w:ascii="Verdana" w:hAnsi="Verdana"/>
          <w:sz w:val="20"/>
          <w:szCs w:val="20"/>
          <w:lang w:val="es-PE"/>
        </w:rPr>
        <w:t>.</w:t>
      </w:r>
      <w:r w:rsidR="0032649A" w:rsidRPr="00870DB2">
        <w:rPr>
          <w:rFonts w:ascii="Verdana" w:hAnsi="Verdana"/>
          <w:sz w:val="20"/>
          <w:szCs w:val="20"/>
          <w:lang w:val="es-PE"/>
        </w:rPr>
        <w:t xml:space="preserve"> No obst</w:t>
      </w:r>
      <w:r>
        <w:rPr>
          <w:rFonts w:ascii="Verdana" w:hAnsi="Verdana"/>
          <w:sz w:val="20"/>
          <w:szCs w:val="20"/>
          <w:lang w:val="es-PE"/>
        </w:rPr>
        <w:t>ante lo anterior, las representantes</w:t>
      </w:r>
      <w:r w:rsidR="0032649A" w:rsidRPr="00870DB2">
        <w:rPr>
          <w:rFonts w:ascii="Verdana" w:hAnsi="Verdana"/>
          <w:sz w:val="20"/>
          <w:szCs w:val="20"/>
          <w:lang w:val="es-PE"/>
        </w:rPr>
        <w:t xml:space="preserve"> en su lista definitiva variaron el ofrecimiento planteado en su escrito de solicitudes </w:t>
      </w:r>
      <w:r w:rsidR="0032649A">
        <w:rPr>
          <w:rFonts w:ascii="Verdana" w:hAnsi="Verdana"/>
          <w:sz w:val="20"/>
          <w:szCs w:val="20"/>
          <w:lang w:val="es-PE"/>
        </w:rPr>
        <w:t xml:space="preserve">y argumentos, ya que </w:t>
      </w:r>
      <w:r w:rsidR="0032649A" w:rsidRPr="00870DB2">
        <w:rPr>
          <w:rFonts w:ascii="Verdana" w:hAnsi="Verdana"/>
          <w:sz w:val="20"/>
          <w:szCs w:val="20"/>
          <w:lang w:val="es-PE"/>
        </w:rPr>
        <w:t xml:space="preserve">desistieron de la declaración de Calixto </w:t>
      </w:r>
      <w:r w:rsidR="0032649A" w:rsidRPr="00870DB2">
        <w:rPr>
          <w:rFonts w:ascii="Verdana" w:hAnsi="Verdana"/>
          <w:sz w:val="20"/>
          <w:szCs w:val="20"/>
        </w:rPr>
        <w:t>Pérez Saso</w:t>
      </w:r>
      <w:r w:rsidR="0032649A" w:rsidRPr="00870DB2">
        <w:rPr>
          <w:rStyle w:val="FootnoteReference"/>
          <w:rFonts w:ascii="Verdana" w:hAnsi="Verdana"/>
          <w:sz w:val="20"/>
          <w:szCs w:val="20"/>
        </w:rPr>
        <w:footnoteReference w:id="9"/>
      </w:r>
      <w:r w:rsidR="0032649A" w:rsidRPr="00870DB2">
        <w:rPr>
          <w:rFonts w:ascii="Verdana" w:hAnsi="Verdana"/>
          <w:sz w:val="20"/>
          <w:szCs w:val="20"/>
        </w:rPr>
        <w:t xml:space="preserve"> y solicitaron su sustitución por el dictamen pericial de un nuevo perito, el</w:t>
      </w:r>
      <w:r w:rsidR="0032649A" w:rsidRPr="00870DB2">
        <w:rPr>
          <w:rFonts w:ascii="Verdana" w:hAnsi="Verdana"/>
          <w:sz w:val="20"/>
          <w:szCs w:val="20"/>
          <w:lang w:val="es-PE"/>
        </w:rPr>
        <w:t xml:space="preserve"> señor Héctor Oswaldo Samayoa Sosa.</w:t>
      </w:r>
    </w:p>
    <w:p w:rsidR="0032649A" w:rsidRPr="00870DB2" w:rsidRDefault="0032649A" w:rsidP="0032649A">
      <w:pPr>
        <w:pStyle w:val="Normal1"/>
        <w:widowControl/>
        <w:autoSpaceDE w:val="0"/>
        <w:autoSpaceDN w:val="0"/>
        <w:adjustRightInd w:val="0"/>
        <w:spacing w:line="276" w:lineRule="auto"/>
        <w:contextualSpacing/>
        <w:jc w:val="both"/>
        <w:rPr>
          <w:rFonts w:ascii="Verdana" w:hAnsi="Verdana"/>
          <w:sz w:val="20"/>
          <w:szCs w:val="20"/>
        </w:rPr>
      </w:pPr>
    </w:p>
    <w:p w:rsidR="0032649A" w:rsidRPr="00870DB2" w:rsidRDefault="0032649A" w:rsidP="0032649A">
      <w:pPr>
        <w:pStyle w:val="Normal1"/>
        <w:numPr>
          <w:ilvl w:val="0"/>
          <w:numId w:val="2"/>
        </w:numPr>
        <w:autoSpaceDE w:val="0"/>
        <w:autoSpaceDN w:val="0"/>
        <w:adjustRightInd w:val="0"/>
        <w:spacing w:line="276" w:lineRule="auto"/>
        <w:ind w:left="0" w:firstLine="0"/>
        <w:jc w:val="both"/>
        <w:rPr>
          <w:rFonts w:ascii="Verdana" w:hAnsi="Verdana"/>
          <w:sz w:val="20"/>
          <w:szCs w:val="20"/>
          <w:lang w:val="es-PE"/>
        </w:rPr>
      </w:pPr>
      <w:r w:rsidRPr="00870DB2">
        <w:rPr>
          <w:rFonts w:ascii="Verdana" w:hAnsi="Verdana"/>
          <w:sz w:val="20"/>
          <w:szCs w:val="20"/>
          <w:lang w:val="es-PE"/>
        </w:rPr>
        <w:t xml:space="preserve">El </w:t>
      </w:r>
      <w:r w:rsidRPr="00870DB2">
        <w:rPr>
          <w:rFonts w:ascii="Verdana" w:hAnsi="Verdana"/>
          <w:b/>
          <w:i/>
          <w:sz w:val="20"/>
          <w:szCs w:val="20"/>
          <w:lang w:val="es-PE"/>
        </w:rPr>
        <w:t>Estado</w:t>
      </w:r>
      <w:r w:rsidRPr="00870DB2">
        <w:rPr>
          <w:rFonts w:ascii="Verdana" w:hAnsi="Verdana"/>
          <w:sz w:val="20"/>
          <w:szCs w:val="20"/>
          <w:lang w:val="es-PE"/>
        </w:rPr>
        <w:t xml:space="preserve"> manifestó en su escrito de contestación que el ofrecimiento de la declaración de la presunta víctima puede ser considerado como una “victimización”, y que </w:t>
      </w:r>
      <w:r w:rsidRPr="00870DB2">
        <w:rPr>
          <w:rFonts w:ascii="Verdana" w:hAnsi="Verdana"/>
          <w:sz w:val="20"/>
          <w:szCs w:val="20"/>
        </w:rPr>
        <w:t>“[lo que] pudiesen manifestar los familiares de las supuestas víctimas del caso, en ningún momento será contrario a los hechos ya indicados tanto por la representación […] como por la Comisión”</w:t>
      </w:r>
      <w:r w:rsidR="002C2401">
        <w:rPr>
          <w:rFonts w:ascii="Verdana" w:hAnsi="Verdana"/>
          <w:sz w:val="20"/>
          <w:szCs w:val="20"/>
        </w:rPr>
        <w:t>.</w:t>
      </w:r>
      <w:r w:rsidRPr="00D339B6">
        <w:rPr>
          <w:rFonts w:ascii="Verdana" w:hAnsi="Verdana"/>
          <w:sz w:val="20"/>
          <w:szCs w:val="20"/>
          <w:lang w:val="es-PE"/>
        </w:rPr>
        <w:t xml:space="preserve"> As</w:t>
      </w:r>
      <w:r w:rsidRPr="00870DB2">
        <w:rPr>
          <w:rFonts w:ascii="Verdana" w:hAnsi="Verdana"/>
          <w:sz w:val="20"/>
          <w:szCs w:val="20"/>
          <w:lang w:val="es-PE"/>
        </w:rPr>
        <w:t>imismo, indicó en su escrito de observaciones a las listas definitivas que “las pruebas testimoniales ofrecidas […] presentan manifiestamente un interés directo en el presente asunto el cual constituye causa suficiente para que el […] tribunal no admita para su diligenciamiento las declaraciones que se pretenden”. También, sobre las testimoniales de Víctor Hugo Cano y Roberto Quiñones Días señaló que son “</w:t>
      </w:r>
      <w:proofErr w:type="spellStart"/>
      <w:proofErr w:type="gramStart"/>
      <w:r w:rsidRPr="00870DB2">
        <w:rPr>
          <w:rFonts w:ascii="Verdana" w:hAnsi="Verdana"/>
          <w:sz w:val="20"/>
          <w:szCs w:val="20"/>
          <w:lang w:val="es-PE"/>
        </w:rPr>
        <w:t>inoportun</w:t>
      </w:r>
      <w:proofErr w:type="spellEnd"/>
      <w:r w:rsidRPr="00870DB2">
        <w:rPr>
          <w:rFonts w:ascii="Verdana" w:hAnsi="Verdana"/>
          <w:sz w:val="20"/>
          <w:szCs w:val="20"/>
          <w:lang w:val="es-PE"/>
        </w:rPr>
        <w:t>[</w:t>
      </w:r>
      <w:proofErr w:type="gramEnd"/>
      <w:r w:rsidRPr="00870DB2">
        <w:rPr>
          <w:rFonts w:ascii="Verdana" w:hAnsi="Verdana"/>
          <w:sz w:val="20"/>
          <w:szCs w:val="20"/>
          <w:lang w:val="es-PE"/>
        </w:rPr>
        <w:t xml:space="preserve">as] y </w:t>
      </w:r>
      <w:proofErr w:type="spellStart"/>
      <w:r w:rsidRPr="00870DB2">
        <w:rPr>
          <w:rFonts w:ascii="Verdana" w:hAnsi="Verdana"/>
          <w:sz w:val="20"/>
          <w:szCs w:val="20"/>
          <w:lang w:val="es-PE"/>
        </w:rPr>
        <w:t>redudante</w:t>
      </w:r>
      <w:proofErr w:type="spellEnd"/>
      <w:r w:rsidRPr="00870DB2">
        <w:rPr>
          <w:rFonts w:ascii="Verdana" w:hAnsi="Verdana"/>
          <w:sz w:val="20"/>
          <w:szCs w:val="20"/>
          <w:lang w:val="es-PE"/>
        </w:rPr>
        <w:t>[s]”</w:t>
      </w:r>
      <w:r>
        <w:rPr>
          <w:rFonts w:ascii="Verdana" w:hAnsi="Verdana"/>
          <w:sz w:val="20"/>
          <w:szCs w:val="20"/>
          <w:lang w:val="es-PE"/>
        </w:rPr>
        <w:t>.</w:t>
      </w:r>
      <w:r w:rsidRPr="00870DB2">
        <w:rPr>
          <w:rFonts w:ascii="Verdana" w:hAnsi="Verdana"/>
          <w:sz w:val="20"/>
          <w:szCs w:val="20"/>
          <w:lang w:val="es-PE"/>
        </w:rPr>
        <w:t xml:space="preserve"> </w:t>
      </w:r>
    </w:p>
    <w:p w:rsidR="0032649A" w:rsidRPr="00870DB2" w:rsidRDefault="0032649A" w:rsidP="0032649A">
      <w:pPr>
        <w:pStyle w:val="ListParagraph"/>
        <w:spacing w:after="0"/>
        <w:rPr>
          <w:rFonts w:ascii="Verdana" w:hAnsi="Verdana"/>
          <w:sz w:val="20"/>
          <w:szCs w:val="20"/>
          <w:lang w:val="es-PE"/>
        </w:rPr>
      </w:pPr>
    </w:p>
    <w:p w:rsidR="00A37B21" w:rsidRDefault="0032649A" w:rsidP="007811CF">
      <w:pPr>
        <w:pStyle w:val="Normal1"/>
        <w:widowControl/>
        <w:numPr>
          <w:ilvl w:val="0"/>
          <w:numId w:val="2"/>
        </w:numPr>
        <w:autoSpaceDE w:val="0"/>
        <w:autoSpaceDN w:val="0"/>
        <w:adjustRightInd w:val="0"/>
        <w:spacing w:line="276" w:lineRule="auto"/>
        <w:ind w:left="0" w:firstLine="0"/>
        <w:contextualSpacing/>
        <w:jc w:val="both"/>
        <w:rPr>
          <w:rFonts w:ascii="Verdana" w:hAnsi="Verdana"/>
          <w:sz w:val="20"/>
          <w:szCs w:val="20"/>
        </w:rPr>
      </w:pPr>
      <w:r w:rsidRPr="00A927C8">
        <w:rPr>
          <w:rFonts w:ascii="Verdana" w:hAnsi="Verdana"/>
          <w:sz w:val="20"/>
          <w:szCs w:val="20"/>
          <w:lang w:val="es-PE"/>
        </w:rPr>
        <w:t xml:space="preserve">En primer lugar, respecto a la declaración de la presunta víctima Miguel Ángel Rodríguez </w:t>
      </w:r>
      <w:proofErr w:type="spellStart"/>
      <w:r w:rsidRPr="00A927C8">
        <w:rPr>
          <w:rFonts w:ascii="Verdana" w:hAnsi="Verdana"/>
          <w:sz w:val="20"/>
          <w:szCs w:val="20"/>
          <w:lang w:val="es-PE"/>
        </w:rPr>
        <w:t>Revolorio</w:t>
      </w:r>
      <w:proofErr w:type="spellEnd"/>
      <w:r w:rsidRPr="00A927C8">
        <w:rPr>
          <w:rFonts w:ascii="Verdana" w:hAnsi="Verdana"/>
          <w:sz w:val="20"/>
          <w:szCs w:val="20"/>
          <w:lang w:val="es-PE"/>
        </w:rPr>
        <w:t xml:space="preserve">, y de las declaraciones de los familiares de las presuntas víctimas Miguel Ángel López Calo y Aníbal Archila Pérez, el Presidente considera que lo planteado por el Estado se relaciona con el peso probatorio de las declaraciones propuestas, mas no con su admisibilidad y eventual valoración por parte de la Corte. Asimismo, esta Presidencia </w:t>
      </w:r>
      <w:r w:rsidR="00A37B21">
        <w:rPr>
          <w:rFonts w:ascii="Verdana" w:hAnsi="Verdana"/>
          <w:sz w:val="20"/>
          <w:szCs w:val="20"/>
          <w:lang w:val="es-PE"/>
        </w:rPr>
        <w:t xml:space="preserve">recuerda </w:t>
      </w:r>
      <w:r w:rsidRPr="00A927C8">
        <w:rPr>
          <w:rFonts w:ascii="Verdana" w:hAnsi="Verdana"/>
          <w:sz w:val="20"/>
          <w:szCs w:val="20"/>
          <w:lang w:val="es-PE"/>
        </w:rPr>
        <w:t>que las declaraciones de las presuntas víctimas y otras personas con un interés directo en el caso son útiles en la medida en que pueden proporcionar mayor información sobre las alegadas violaciones y sus consecuencias</w:t>
      </w:r>
      <w:r w:rsidRPr="00870DB2">
        <w:rPr>
          <w:rStyle w:val="FootnoteReference"/>
          <w:rFonts w:ascii="Verdana" w:hAnsi="Verdana"/>
          <w:sz w:val="20"/>
          <w:szCs w:val="20"/>
          <w:lang w:val="es-PE"/>
        </w:rPr>
        <w:footnoteReference w:id="10"/>
      </w:r>
      <w:r w:rsidRPr="00A927C8">
        <w:rPr>
          <w:rFonts w:ascii="Verdana" w:hAnsi="Verdana"/>
          <w:sz w:val="20"/>
          <w:szCs w:val="20"/>
          <w:lang w:val="es-PE"/>
        </w:rPr>
        <w:t>.</w:t>
      </w:r>
      <w:r w:rsidRPr="00A927C8">
        <w:rPr>
          <w:rFonts w:ascii="Verdana" w:hAnsi="Verdana"/>
          <w:sz w:val="20"/>
          <w:szCs w:val="20"/>
        </w:rPr>
        <w:t xml:space="preserve"> </w:t>
      </w:r>
    </w:p>
    <w:p w:rsidR="00A37B21" w:rsidRPr="006028C4" w:rsidRDefault="00A37B21" w:rsidP="007811CF">
      <w:pPr>
        <w:pStyle w:val="ListParagraph"/>
        <w:spacing w:after="0"/>
        <w:rPr>
          <w:rFonts w:ascii="Verdana" w:hAnsi="Verdana"/>
          <w:sz w:val="20"/>
          <w:szCs w:val="20"/>
          <w:lang w:val="es-CR"/>
        </w:rPr>
      </w:pPr>
    </w:p>
    <w:p w:rsidR="0032649A" w:rsidRPr="001F7A25" w:rsidRDefault="0032649A" w:rsidP="007811CF">
      <w:pPr>
        <w:pStyle w:val="Normal1"/>
        <w:widowControl/>
        <w:numPr>
          <w:ilvl w:val="0"/>
          <w:numId w:val="2"/>
        </w:numPr>
        <w:autoSpaceDE w:val="0"/>
        <w:autoSpaceDN w:val="0"/>
        <w:adjustRightInd w:val="0"/>
        <w:spacing w:line="276" w:lineRule="auto"/>
        <w:ind w:left="0" w:firstLine="0"/>
        <w:contextualSpacing/>
        <w:jc w:val="both"/>
        <w:rPr>
          <w:rFonts w:ascii="Verdana" w:hAnsi="Verdana"/>
          <w:sz w:val="20"/>
          <w:szCs w:val="20"/>
        </w:rPr>
      </w:pPr>
      <w:r>
        <w:rPr>
          <w:rFonts w:ascii="Verdana" w:hAnsi="Verdana"/>
          <w:sz w:val="20"/>
          <w:szCs w:val="20"/>
        </w:rPr>
        <w:lastRenderedPageBreak/>
        <w:t>No obstante</w:t>
      </w:r>
      <w:r w:rsidR="00A37B21">
        <w:rPr>
          <w:rFonts w:ascii="Verdana" w:hAnsi="Verdana"/>
          <w:sz w:val="20"/>
          <w:szCs w:val="20"/>
        </w:rPr>
        <w:t xml:space="preserve"> lo anterior</w:t>
      </w:r>
      <w:r>
        <w:rPr>
          <w:rFonts w:ascii="Verdana" w:hAnsi="Verdana"/>
          <w:sz w:val="20"/>
          <w:szCs w:val="20"/>
        </w:rPr>
        <w:t xml:space="preserve">, debe notarse que en el presente caso el objeto del ofrecimiento de las declaraciones de </w:t>
      </w:r>
      <w:proofErr w:type="spellStart"/>
      <w:r w:rsidR="00986EB4" w:rsidRPr="00870E4C">
        <w:rPr>
          <w:rFonts w:ascii="Verdana" w:hAnsi="Verdana"/>
          <w:sz w:val="20"/>
          <w:szCs w:val="20"/>
          <w:lang w:val="es-PE"/>
        </w:rPr>
        <w:t>Yazmi</w:t>
      </w:r>
      <w:proofErr w:type="spellEnd"/>
      <w:r w:rsidR="00986EB4" w:rsidRPr="00870E4C">
        <w:rPr>
          <w:rFonts w:ascii="Verdana" w:hAnsi="Verdana"/>
          <w:sz w:val="20"/>
          <w:szCs w:val="20"/>
          <w:lang w:val="es-PE"/>
        </w:rPr>
        <w:t xml:space="preserve"> Lisbeth López Osorio</w:t>
      </w:r>
      <w:r w:rsidR="00986EB4" w:rsidRPr="00A927C8">
        <w:rPr>
          <w:rFonts w:ascii="Verdana" w:hAnsi="Verdana"/>
          <w:sz w:val="20"/>
          <w:szCs w:val="20"/>
          <w:lang w:val="es-PE"/>
        </w:rPr>
        <w:t xml:space="preserve"> </w:t>
      </w:r>
      <w:r w:rsidR="00986EB4">
        <w:rPr>
          <w:rFonts w:ascii="Verdana" w:hAnsi="Verdana"/>
          <w:sz w:val="20"/>
          <w:szCs w:val="20"/>
          <w:lang w:val="es-PE"/>
        </w:rPr>
        <w:t xml:space="preserve">e Irma </w:t>
      </w:r>
      <w:proofErr w:type="spellStart"/>
      <w:r w:rsidR="00986EB4">
        <w:rPr>
          <w:rFonts w:ascii="Verdana" w:hAnsi="Verdana"/>
          <w:sz w:val="20"/>
          <w:szCs w:val="20"/>
          <w:lang w:val="es-PE"/>
        </w:rPr>
        <w:t>Yazmín</w:t>
      </w:r>
      <w:proofErr w:type="spellEnd"/>
      <w:r w:rsidR="00986EB4">
        <w:rPr>
          <w:rFonts w:ascii="Verdana" w:hAnsi="Verdana"/>
          <w:sz w:val="20"/>
          <w:szCs w:val="20"/>
          <w:lang w:val="es-PE"/>
        </w:rPr>
        <w:t xml:space="preserve"> Archila</w:t>
      </w:r>
      <w:r w:rsidR="00A37B21">
        <w:rPr>
          <w:rFonts w:ascii="Verdana" w:hAnsi="Verdana"/>
          <w:sz w:val="20"/>
          <w:szCs w:val="20"/>
          <w:lang w:val="es-PE"/>
        </w:rPr>
        <w:t xml:space="preserve">, hijas de las presuntas víctimas, </w:t>
      </w:r>
      <w:r>
        <w:rPr>
          <w:rFonts w:ascii="Verdana" w:hAnsi="Verdana"/>
          <w:sz w:val="20"/>
          <w:szCs w:val="20"/>
          <w:lang w:val="es-PE"/>
        </w:rPr>
        <w:t xml:space="preserve">es similar al de las señoras </w:t>
      </w:r>
      <w:r w:rsidRPr="00A927C8">
        <w:rPr>
          <w:rFonts w:ascii="Verdana" w:hAnsi="Verdana"/>
          <w:sz w:val="20"/>
          <w:szCs w:val="20"/>
        </w:rPr>
        <w:t xml:space="preserve">Miriam </w:t>
      </w:r>
      <w:proofErr w:type="spellStart"/>
      <w:r w:rsidRPr="00A927C8">
        <w:rPr>
          <w:rFonts w:ascii="Verdana" w:hAnsi="Verdana"/>
          <w:sz w:val="20"/>
          <w:szCs w:val="20"/>
        </w:rPr>
        <w:t>Floridalma</w:t>
      </w:r>
      <w:proofErr w:type="spellEnd"/>
      <w:r w:rsidRPr="00A927C8">
        <w:rPr>
          <w:rFonts w:ascii="Verdana" w:hAnsi="Verdana"/>
          <w:sz w:val="20"/>
          <w:szCs w:val="20"/>
        </w:rPr>
        <w:t xml:space="preserve"> Osorio García de López</w:t>
      </w:r>
      <w:r>
        <w:rPr>
          <w:rFonts w:ascii="Verdana" w:hAnsi="Verdana"/>
          <w:sz w:val="20"/>
          <w:szCs w:val="20"/>
        </w:rPr>
        <w:t xml:space="preserve"> e</w:t>
      </w:r>
      <w:r w:rsidRPr="00A927C8">
        <w:rPr>
          <w:rFonts w:ascii="Verdana" w:hAnsi="Verdana"/>
          <w:sz w:val="20"/>
          <w:szCs w:val="20"/>
        </w:rPr>
        <w:t xml:space="preserve"> Irma Morales Morata</w:t>
      </w:r>
      <w:r w:rsidR="00A37B21">
        <w:rPr>
          <w:rFonts w:ascii="Verdana" w:hAnsi="Verdana"/>
          <w:sz w:val="20"/>
          <w:szCs w:val="20"/>
        </w:rPr>
        <w:t>.</w:t>
      </w:r>
      <w:r w:rsidR="00650515">
        <w:rPr>
          <w:rFonts w:ascii="Verdana" w:hAnsi="Verdana"/>
          <w:sz w:val="20"/>
          <w:szCs w:val="20"/>
        </w:rPr>
        <w:t xml:space="preserve"> </w:t>
      </w:r>
      <w:r w:rsidR="00A37B21">
        <w:rPr>
          <w:rFonts w:ascii="Verdana" w:hAnsi="Verdana"/>
          <w:sz w:val="20"/>
          <w:szCs w:val="20"/>
        </w:rPr>
        <w:t xml:space="preserve">Igualmente la </w:t>
      </w:r>
      <w:r w:rsidR="00650515">
        <w:rPr>
          <w:rFonts w:ascii="Verdana" w:hAnsi="Verdana"/>
          <w:sz w:val="20"/>
          <w:szCs w:val="20"/>
        </w:rPr>
        <w:t xml:space="preserve">declaración del señor Ismael Rodríguez </w:t>
      </w:r>
      <w:proofErr w:type="spellStart"/>
      <w:r w:rsidR="00650515">
        <w:rPr>
          <w:rFonts w:ascii="Verdana" w:hAnsi="Verdana"/>
          <w:sz w:val="20"/>
          <w:szCs w:val="20"/>
        </w:rPr>
        <w:t>Revolorio</w:t>
      </w:r>
      <w:proofErr w:type="spellEnd"/>
      <w:r w:rsidR="00650515">
        <w:rPr>
          <w:rFonts w:ascii="Verdana" w:hAnsi="Verdana"/>
          <w:sz w:val="20"/>
          <w:szCs w:val="20"/>
        </w:rPr>
        <w:t xml:space="preserve"> se referirá a las mismas circunstancias que</w:t>
      </w:r>
      <w:r w:rsidR="00A37B21">
        <w:rPr>
          <w:rFonts w:ascii="Verdana" w:hAnsi="Verdana"/>
          <w:sz w:val="20"/>
          <w:szCs w:val="20"/>
        </w:rPr>
        <w:t xml:space="preserve"> están fijadas en el objeto de la declaración </w:t>
      </w:r>
      <w:r w:rsidR="00650515">
        <w:rPr>
          <w:rFonts w:ascii="Verdana" w:hAnsi="Verdana"/>
          <w:sz w:val="20"/>
          <w:szCs w:val="20"/>
        </w:rPr>
        <w:t xml:space="preserve">del señor Miguel Ángel Rodríguez </w:t>
      </w:r>
      <w:proofErr w:type="spellStart"/>
      <w:r w:rsidR="00650515">
        <w:rPr>
          <w:rFonts w:ascii="Verdana" w:hAnsi="Verdana"/>
          <w:sz w:val="20"/>
          <w:szCs w:val="20"/>
        </w:rPr>
        <w:t>Revolorio</w:t>
      </w:r>
      <w:proofErr w:type="spellEnd"/>
      <w:r w:rsidR="00A37B21">
        <w:rPr>
          <w:rFonts w:ascii="Verdana" w:hAnsi="Verdana"/>
          <w:sz w:val="20"/>
          <w:szCs w:val="20"/>
        </w:rPr>
        <w:t>.</w:t>
      </w:r>
      <w:r>
        <w:rPr>
          <w:rFonts w:ascii="Verdana" w:hAnsi="Verdana"/>
          <w:sz w:val="20"/>
          <w:szCs w:val="20"/>
        </w:rPr>
        <w:t xml:space="preserve"> </w:t>
      </w:r>
      <w:r w:rsidR="00A37B21">
        <w:rPr>
          <w:rFonts w:ascii="Verdana" w:hAnsi="Verdana"/>
          <w:sz w:val="20"/>
          <w:szCs w:val="20"/>
          <w:lang w:val="es-PE"/>
        </w:rPr>
        <w:t>A</w:t>
      </w:r>
      <w:r w:rsidRPr="001F7A25">
        <w:rPr>
          <w:rFonts w:ascii="Verdana" w:hAnsi="Verdana"/>
          <w:sz w:val="20"/>
          <w:szCs w:val="20"/>
          <w:lang w:val="es-PE"/>
        </w:rPr>
        <w:t xml:space="preserve">hora bien, </w:t>
      </w:r>
      <w:r>
        <w:rPr>
          <w:rFonts w:ascii="Verdana" w:hAnsi="Verdana"/>
          <w:sz w:val="20"/>
          <w:szCs w:val="20"/>
          <w:lang w:val="es-PE"/>
        </w:rPr>
        <w:t xml:space="preserve">aunque ya en ocasiones anteriores ha sido establecido por esta Presidencia que el hecho </w:t>
      </w:r>
      <w:r w:rsidRPr="001F7A25">
        <w:rPr>
          <w:rFonts w:ascii="Verdana" w:hAnsi="Verdana"/>
          <w:sz w:val="20"/>
          <w:szCs w:val="20"/>
          <w:lang w:val="es-PE"/>
        </w:rPr>
        <w:t>de que el objeto de dos declaraciones sea coincidente</w:t>
      </w:r>
      <w:r>
        <w:rPr>
          <w:rFonts w:ascii="Verdana" w:hAnsi="Verdana"/>
          <w:sz w:val="20"/>
          <w:szCs w:val="20"/>
          <w:lang w:val="es-PE"/>
        </w:rPr>
        <w:t xml:space="preserve"> no constituye</w:t>
      </w:r>
      <w:r w:rsidRPr="001F7A25">
        <w:rPr>
          <w:rFonts w:ascii="Verdana" w:hAnsi="Verdana"/>
          <w:sz w:val="20"/>
          <w:szCs w:val="20"/>
          <w:lang w:val="es-PE"/>
        </w:rPr>
        <w:t xml:space="preserve"> </w:t>
      </w:r>
      <w:r w:rsidRPr="00A37B21">
        <w:rPr>
          <w:rFonts w:ascii="Verdana" w:hAnsi="Verdana"/>
          <w:i/>
          <w:sz w:val="20"/>
          <w:szCs w:val="20"/>
          <w:lang w:val="es-PE"/>
        </w:rPr>
        <w:t>per se</w:t>
      </w:r>
      <w:r w:rsidRPr="001F7A25">
        <w:rPr>
          <w:rFonts w:ascii="Verdana" w:hAnsi="Verdana"/>
          <w:sz w:val="20"/>
          <w:szCs w:val="20"/>
          <w:lang w:val="es-PE"/>
        </w:rPr>
        <w:t xml:space="preserve"> un motivo suficiente para no recibir </w:t>
      </w:r>
      <w:r w:rsidR="00061E6F">
        <w:rPr>
          <w:rFonts w:ascii="Verdana" w:hAnsi="Verdana"/>
          <w:sz w:val="20"/>
          <w:szCs w:val="20"/>
          <w:lang w:val="es-PE"/>
        </w:rPr>
        <w:t>una de ellas</w:t>
      </w:r>
      <w:r w:rsidRPr="001F7A25">
        <w:rPr>
          <w:rFonts w:ascii="Verdana" w:hAnsi="Verdana"/>
          <w:sz w:val="20"/>
          <w:szCs w:val="20"/>
          <w:lang w:val="es-PE"/>
        </w:rPr>
        <w:t xml:space="preserve">, </w:t>
      </w:r>
      <w:r>
        <w:rPr>
          <w:rFonts w:ascii="Verdana" w:hAnsi="Verdana"/>
          <w:sz w:val="20"/>
          <w:szCs w:val="20"/>
          <w:lang w:val="es-PE"/>
        </w:rPr>
        <w:t xml:space="preserve">también se ha señalado que </w:t>
      </w:r>
      <w:r w:rsidRPr="001F7A25">
        <w:rPr>
          <w:rFonts w:ascii="Verdana" w:hAnsi="Verdana"/>
          <w:sz w:val="20"/>
          <w:szCs w:val="20"/>
          <w:lang w:val="es-PE"/>
        </w:rPr>
        <w:t>se</w:t>
      </w:r>
      <w:r>
        <w:rPr>
          <w:rFonts w:ascii="Verdana" w:hAnsi="Verdana"/>
          <w:sz w:val="20"/>
          <w:szCs w:val="20"/>
          <w:lang w:val="es-PE"/>
        </w:rPr>
        <w:t xml:space="preserve"> debe</w:t>
      </w:r>
      <w:r w:rsidRPr="001F7A25">
        <w:rPr>
          <w:rFonts w:ascii="Verdana" w:hAnsi="Verdana"/>
          <w:sz w:val="20"/>
          <w:szCs w:val="20"/>
          <w:lang w:val="es-PE"/>
        </w:rPr>
        <w:t xml:space="preserve"> apreciar su pertinencia de acuerdo a las características particulares del caso y al objeto de la controversia entre las partes</w:t>
      </w:r>
      <w:r>
        <w:rPr>
          <w:rStyle w:val="FootnoteReference"/>
          <w:rFonts w:ascii="Verdana" w:hAnsi="Verdana"/>
          <w:sz w:val="20"/>
          <w:szCs w:val="20"/>
          <w:lang w:val="es-PE"/>
        </w:rPr>
        <w:footnoteReference w:id="11"/>
      </w:r>
      <w:r>
        <w:rPr>
          <w:rFonts w:ascii="Verdana" w:hAnsi="Verdana"/>
          <w:sz w:val="20"/>
          <w:szCs w:val="20"/>
          <w:lang w:val="es-PE"/>
        </w:rPr>
        <w:t>. En ese sentido,</w:t>
      </w:r>
      <w:r w:rsidR="00AA7445">
        <w:rPr>
          <w:rFonts w:ascii="Verdana" w:hAnsi="Verdana"/>
          <w:sz w:val="20"/>
          <w:szCs w:val="20"/>
          <w:lang w:val="es-PE"/>
        </w:rPr>
        <w:t xml:space="preserve"> considerando</w:t>
      </w:r>
      <w:r w:rsidR="00B03EE8">
        <w:rPr>
          <w:rFonts w:ascii="Verdana" w:hAnsi="Verdana"/>
          <w:sz w:val="20"/>
          <w:szCs w:val="20"/>
          <w:lang w:val="es-PE"/>
        </w:rPr>
        <w:t xml:space="preserve"> el principio de economía procesal</w:t>
      </w:r>
      <w:r w:rsidR="00AA7445">
        <w:rPr>
          <w:rFonts w:ascii="Verdana" w:hAnsi="Verdana"/>
          <w:sz w:val="20"/>
          <w:szCs w:val="20"/>
          <w:lang w:val="es-PE"/>
        </w:rPr>
        <w:t>, y</w:t>
      </w:r>
      <w:r>
        <w:rPr>
          <w:rFonts w:ascii="Verdana" w:hAnsi="Verdana"/>
          <w:sz w:val="20"/>
          <w:szCs w:val="20"/>
          <w:lang w:val="es-PE"/>
        </w:rPr>
        <w:t xml:space="preserve"> toda vez que las señoras </w:t>
      </w:r>
      <w:r w:rsidRPr="00A927C8">
        <w:rPr>
          <w:rFonts w:ascii="Verdana" w:hAnsi="Verdana"/>
          <w:sz w:val="20"/>
          <w:szCs w:val="20"/>
        </w:rPr>
        <w:t xml:space="preserve">Miriam </w:t>
      </w:r>
      <w:proofErr w:type="spellStart"/>
      <w:r w:rsidRPr="00A927C8">
        <w:rPr>
          <w:rFonts w:ascii="Verdana" w:hAnsi="Verdana"/>
          <w:sz w:val="20"/>
          <w:szCs w:val="20"/>
        </w:rPr>
        <w:t>Floridalma</w:t>
      </w:r>
      <w:proofErr w:type="spellEnd"/>
      <w:r w:rsidRPr="00A927C8">
        <w:rPr>
          <w:rFonts w:ascii="Verdana" w:hAnsi="Verdana"/>
          <w:sz w:val="20"/>
          <w:szCs w:val="20"/>
        </w:rPr>
        <w:t xml:space="preserve"> Osorio García de López</w:t>
      </w:r>
      <w:r>
        <w:rPr>
          <w:rFonts w:ascii="Verdana" w:hAnsi="Verdana"/>
          <w:sz w:val="20"/>
          <w:szCs w:val="20"/>
        </w:rPr>
        <w:t xml:space="preserve"> e</w:t>
      </w:r>
      <w:r w:rsidRPr="00A927C8">
        <w:rPr>
          <w:rFonts w:ascii="Verdana" w:hAnsi="Verdana"/>
          <w:sz w:val="20"/>
          <w:szCs w:val="20"/>
        </w:rPr>
        <w:t xml:space="preserve"> Irma Morales Morata</w:t>
      </w:r>
      <w:r>
        <w:rPr>
          <w:rFonts w:ascii="Verdana" w:hAnsi="Verdana"/>
          <w:sz w:val="20"/>
          <w:szCs w:val="20"/>
          <w:lang w:val="es-PE"/>
        </w:rPr>
        <w:t xml:space="preserve"> </w:t>
      </w:r>
      <w:r w:rsidRPr="00B06DCC">
        <w:rPr>
          <w:rFonts w:ascii="Verdana" w:hAnsi="Verdana"/>
          <w:sz w:val="20"/>
          <w:szCs w:val="20"/>
          <w:lang w:val="es-PE"/>
        </w:rPr>
        <w:t>declararán entre otras cosas sobre el supuesto impacto que las circunstancias del caso tuvieron el entorno familiar de las presuntas víctimas,</w:t>
      </w:r>
      <w:r w:rsidR="00AA7445">
        <w:rPr>
          <w:rFonts w:ascii="Verdana" w:hAnsi="Verdana"/>
          <w:sz w:val="20"/>
          <w:szCs w:val="20"/>
          <w:lang w:val="es-PE"/>
        </w:rPr>
        <w:t xml:space="preserve"> y que la declaración como presunta víctima de Miguel Ángel Rodríguez </w:t>
      </w:r>
      <w:proofErr w:type="spellStart"/>
      <w:r w:rsidR="00AA7445">
        <w:rPr>
          <w:rFonts w:ascii="Verdana" w:hAnsi="Verdana"/>
          <w:sz w:val="20"/>
          <w:szCs w:val="20"/>
          <w:lang w:val="es-PE"/>
        </w:rPr>
        <w:t>Revolorio</w:t>
      </w:r>
      <w:proofErr w:type="spellEnd"/>
      <w:r w:rsidR="00AA7445">
        <w:rPr>
          <w:rFonts w:ascii="Verdana" w:hAnsi="Verdana"/>
          <w:sz w:val="20"/>
          <w:szCs w:val="20"/>
          <w:lang w:val="es-PE"/>
        </w:rPr>
        <w:t xml:space="preserve"> brinda una perspectiva completa de su</w:t>
      </w:r>
      <w:r w:rsidR="00986EB4">
        <w:rPr>
          <w:rFonts w:ascii="Verdana" w:hAnsi="Verdana"/>
          <w:sz w:val="20"/>
          <w:szCs w:val="20"/>
          <w:lang w:val="es-PE"/>
        </w:rPr>
        <w:t xml:space="preserve"> propia</w:t>
      </w:r>
      <w:r w:rsidR="00AA7445">
        <w:rPr>
          <w:rFonts w:ascii="Verdana" w:hAnsi="Verdana"/>
          <w:sz w:val="20"/>
          <w:szCs w:val="20"/>
          <w:lang w:val="es-PE"/>
        </w:rPr>
        <w:t xml:space="preserve"> situación, </w:t>
      </w:r>
      <w:r>
        <w:rPr>
          <w:rFonts w:ascii="Verdana" w:hAnsi="Verdana"/>
          <w:sz w:val="20"/>
          <w:szCs w:val="20"/>
          <w:lang w:val="es-PE"/>
        </w:rPr>
        <w:t>el Presidente estima pertinente admitir</w:t>
      </w:r>
      <w:r w:rsidRPr="00A927C8">
        <w:rPr>
          <w:rFonts w:ascii="Verdana" w:hAnsi="Verdana"/>
          <w:sz w:val="20"/>
          <w:szCs w:val="20"/>
          <w:lang w:val="es-PE"/>
        </w:rPr>
        <w:t xml:space="preserve"> las declaraciones de </w:t>
      </w:r>
      <w:r w:rsidRPr="00A927C8">
        <w:rPr>
          <w:rFonts w:ascii="Verdana" w:hAnsi="Verdana"/>
          <w:sz w:val="20"/>
          <w:szCs w:val="20"/>
        </w:rPr>
        <w:t xml:space="preserve">Miguel Ángel Rodríguez </w:t>
      </w:r>
      <w:proofErr w:type="spellStart"/>
      <w:r w:rsidRPr="00A927C8">
        <w:rPr>
          <w:rFonts w:ascii="Verdana" w:hAnsi="Verdana"/>
          <w:sz w:val="20"/>
          <w:szCs w:val="20"/>
        </w:rPr>
        <w:t>Revolorio</w:t>
      </w:r>
      <w:proofErr w:type="spellEnd"/>
      <w:r w:rsidRPr="00A927C8">
        <w:rPr>
          <w:rFonts w:ascii="Verdana" w:hAnsi="Verdana"/>
          <w:sz w:val="20"/>
          <w:szCs w:val="20"/>
        </w:rPr>
        <w:t xml:space="preserve">, Miriam </w:t>
      </w:r>
      <w:proofErr w:type="spellStart"/>
      <w:r w:rsidRPr="00A927C8">
        <w:rPr>
          <w:rFonts w:ascii="Verdana" w:hAnsi="Verdana"/>
          <w:sz w:val="20"/>
          <w:szCs w:val="20"/>
        </w:rPr>
        <w:t>Fl</w:t>
      </w:r>
      <w:r w:rsidR="00986EB4">
        <w:rPr>
          <w:rFonts w:ascii="Verdana" w:hAnsi="Verdana"/>
          <w:sz w:val="20"/>
          <w:szCs w:val="20"/>
        </w:rPr>
        <w:t>oridalma</w:t>
      </w:r>
      <w:proofErr w:type="spellEnd"/>
      <w:r w:rsidR="00986EB4">
        <w:rPr>
          <w:rFonts w:ascii="Verdana" w:hAnsi="Verdana"/>
          <w:sz w:val="20"/>
          <w:szCs w:val="20"/>
        </w:rPr>
        <w:t xml:space="preserve"> Osorio García de López</w:t>
      </w:r>
      <w:r w:rsidRPr="00A927C8">
        <w:rPr>
          <w:rFonts w:ascii="Verdana" w:hAnsi="Verdana"/>
          <w:sz w:val="20"/>
          <w:szCs w:val="20"/>
        </w:rPr>
        <w:t xml:space="preserve"> </w:t>
      </w:r>
      <w:r w:rsidR="00986EB4">
        <w:rPr>
          <w:rFonts w:ascii="Verdana" w:hAnsi="Verdana"/>
          <w:sz w:val="20"/>
          <w:szCs w:val="20"/>
        </w:rPr>
        <w:t xml:space="preserve">e </w:t>
      </w:r>
      <w:r w:rsidRPr="00A927C8">
        <w:rPr>
          <w:rFonts w:ascii="Verdana" w:hAnsi="Verdana"/>
          <w:sz w:val="20"/>
          <w:szCs w:val="20"/>
        </w:rPr>
        <w:t xml:space="preserve">Irma Morales Morata, </w:t>
      </w:r>
      <w:r>
        <w:rPr>
          <w:rFonts w:ascii="Verdana" w:hAnsi="Verdana"/>
          <w:sz w:val="20"/>
          <w:szCs w:val="20"/>
        </w:rPr>
        <w:t xml:space="preserve">y </w:t>
      </w:r>
      <w:r>
        <w:rPr>
          <w:rFonts w:ascii="Verdana" w:hAnsi="Verdana"/>
          <w:sz w:val="20"/>
          <w:szCs w:val="20"/>
          <w:lang w:val="es-PE"/>
        </w:rPr>
        <w:t>advier</w:t>
      </w:r>
      <w:r w:rsidR="00A37B21">
        <w:rPr>
          <w:rFonts w:ascii="Verdana" w:hAnsi="Verdana"/>
          <w:sz w:val="20"/>
          <w:szCs w:val="20"/>
          <w:lang w:val="es-PE"/>
        </w:rPr>
        <w:t>te que no es necesario admitir las</w:t>
      </w:r>
      <w:r>
        <w:rPr>
          <w:rFonts w:ascii="Verdana" w:hAnsi="Verdana"/>
          <w:sz w:val="20"/>
          <w:szCs w:val="20"/>
          <w:lang w:val="es-PE"/>
        </w:rPr>
        <w:t xml:space="preserve"> declaraciones de</w:t>
      </w:r>
      <w:r w:rsidR="00AA7445" w:rsidRPr="001404EF">
        <w:rPr>
          <w:rFonts w:ascii="Verdana" w:hAnsi="Verdana"/>
          <w:sz w:val="20"/>
          <w:szCs w:val="20"/>
          <w:lang w:val="es-PE"/>
        </w:rPr>
        <w:t xml:space="preserve"> </w:t>
      </w:r>
      <w:proofErr w:type="spellStart"/>
      <w:r w:rsidRPr="001404EF">
        <w:rPr>
          <w:rFonts w:ascii="Verdana" w:hAnsi="Verdana"/>
          <w:sz w:val="20"/>
          <w:szCs w:val="20"/>
          <w:lang w:val="es-PE"/>
        </w:rPr>
        <w:t>Yazmi</w:t>
      </w:r>
      <w:proofErr w:type="spellEnd"/>
      <w:r w:rsidRPr="001404EF">
        <w:rPr>
          <w:rFonts w:ascii="Verdana" w:hAnsi="Verdana"/>
          <w:sz w:val="20"/>
          <w:szCs w:val="20"/>
          <w:lang w:val="es-PE"/>
        </w:rPr>
        <w:t xml:space="preserve"> Lisbeth López Osorio</w:t>
      </w:r>
      <w:r w:rsidR="00986EB4">
        <w:rPr>
          <w:rFonts w:ascii="Verdana" w:hAnsi="Verdana"/>
          <w:sz w:val="20"/>
          <w:szCs w:val="20"/>
          <w:lang w:val="es-PE"/>
        </w:rPr>
        <w:t xml:space="preserve">, </w:t>
      </w:r>
      <w:r w:rsidR="00986EB4" w:rsidRPr="001404EF">
        <w:rPr>
          <w:rFonts w:ascii="Verdana" w:hAnsi="Verdana"/>
          <w:sz w:val="20"/>
          <w:szCs w:val="20"/>
          <w:lang w:val="es-PE"/>
        </w:rPr>
        <w:t xml:space="preserve">Irma </w:t>
      </w:r>
      <w:proofErr w:type="spellStart"/>
      <w:r w:rsidR="00986EB4" w:rsidRPr="001404EF">
        <w:rPr>
          <w:rFonts w:ascii="Verdana" w:hAnsi="Verdana"/>
          <w:sz w:val="20"/>
          <w:szCs w:val="20"/>
          <w:lang w:val="es-PE"/>
        </w:rPr>
        <w:t>Yazmín</w:t>
      </w:r>
      <w:proofErr w:type="spellEnd"/>
      <w:r w:rsidR="00986EB4" w:rsidRPr="001404EF">
        <w:rPr>
          <w:rFonts w:ascii="Verdana" w:hAnsi="Verdana"/>
          <w:sz w:val="20"/>
          <w:szCs w:val="20"/>
          <w:lang w:val="es-PE"/>
        </w:rPr>
        <w:t xml:space="preserve"> Archila</w:t>
      </w:r>
      <w:r w:rsidR="00AA7445" w:rsidRPr="001404EF">
        <w:rPr>
          <w:rFonts w:ascii="Verdana" w:hAnsi="Verdana"/>
          <w:sz w:val="20"/>
          <w:szCs w:val="20"/>
          <w:lang w:val="es-PE"/>
        </w:rPr>
        <w:t xml:space="preserve"> ni</w:t>
      </w:r>
      <w:r w:rsidR="00AA7445" w:rsidRPr="002C2401">
        <w:rPr>
          <w:rFonts w:ascii="Verdana" w:hAnsi="Verdana"/>
          <w:sz w:val="20"/>
          <w:szCs w:val="20"/>
          <w:lang w:val="es-PE"/>
        </w:rPr>
        <w:t xml:space="preserve"> </w:t>
      </w:r>
      <w:r w:rsidR="00AA7445">
        <w:rPr>
          <w:rFonts w:ascii="Verdana" w:hAnsi="Verdana"/>
          <w:sz w:val="20"/>
          <w:szCs w:val="20"/>
        </w:rPr>
        <w:t xml:space="preserve">Ismael Rodríguez </w:t>
      </w:r>
      <w:proofErr w:type="spellStart"/>
      <w:r w:rsidR="00AA7445">
        <w:rPr>
          <w:rFonts w:ascii="Verdana" w:hAnsi="Verdana"/>
          <w:sz w:val="20"/>
          <w:szCs w:val="20"/>
        </w:rPr>
        <w:t>Revolorio</w:t>
      </w:r>
      <w:proofErr w:type="spellEnd"/>
      <w:r>
        <w:rPr>
          <w:rFonts w:ascii="Verdana" w:hAnsi="Verdana"/>
          <w:sz w:val="20"/>
          <w:szCs w:val="20"/>
          <w:lang w:val="es-PE"/>
        </w:rPr>
        <w:t xml:space="preserve">, </w:t>
      </w:r>
      <w:r w:rsidR="00014A5A">
        <w:rPr>
          <w:rFonts w:ascii="Verdana" w:hAnsi="Verdana"/>
          <w:sz w:val="20"/>
          <w:szCs w:val="20"/>
          <w:lang w:val="es-PE"/>
        </w:rPr>
        <w:t xml:space="preserve">considerando además que </w:t>
      </w:r>
      <w:r w:rsidR="00A37B21">
        <w:rPr>
          <w:rFonts w:ascii="Verdana" w:hAnsi="Verdana"/>
          <w:sz w:val="20"/>
          <w:szCs w:val="20"/>
          <w:lang w:val="es-PE"/>
        </w:rPr>
        <w:t>se cuenta</w:t>
      </w:r>
      <w:r>
        <w:rPr>
          <w:rFonts w:ascii="Verdana" w:hAnsi="Verdana"/>
          <w:sz w:val="20"/>
          <w:szCs w:val="20"/>
          <w:lang w:val="es-PE"/>
        </w:rPr>
        <w:t xml:space="preserve"> con declaraciones anexadas como prueba documental en el expediente</w:t>
      </w:r>
      <w:r w:rsidR="00A37B21">
        <w:rPr>
          <w:rFonts w:ascii="Verdana" w:hAnsi="Verdana"/>
          <w:sz w:val="20"/>
          <w:szCs w:val="20"/>
          <w:lang w:val="es-PE"/>
        </w:rPr>
        <w:t xml:space="preserve"> del presente caso</w:t>
      </w:r>
      <w:r>
        <w:rPr>
          <w:rStyle w:val="FootnoteReference"/>
          <w:rFonts w:ascii="Verdana" w:hAnsi="Verdana"/>
          <w:sz w:val="20"/>
          <w:szCs w:val="20"/>
          <w:lang w:val="es-PE"/>
        </w:rPr>
        <w:footnoteReference w:id="12"/>
      </w:r>
      <w:r w:rsidR="002D0942">
        <w:rPr>
          <w:rFonts w:ascii="Verdana" w:hAnsi="Verdana"/>
          <w:sz w:val="20"/>
          <w:szCs w:val="20"/>
          <w:lang w:val="es-PE"/>
        </w:rPr>
        <w:t>.</w:t>
      </w:r>
    </w:p>
    <w:p w:rsidR="0032649A" w:rsidRPr="00A927C8" w:rsidRDefault="0032649A" w:rsidP="0032649A">
      <w:pPr>
        <w:pStyle w:val="Normal1"/>
        <w:widowControl/>
        <w:autoSpaceDE w:val="0"/>
        <w:autoSpaceDN w:val="0"/>
        <w:adjustRightInd w:val="0"/>
        <w:spacing w:line="276" w:lineRule="auto"/>
        <w:contextualSpacing/>
        <w:jc w:val="both"/>
        <w:rPr>
          <w:rFonts w:ascii="Verdana" w:hAnsi="Verdana"/>
          <w:sz w:val="20"/>
          <w:szCs w:val="20"/>
        </w:rPr>
      </w:pPr>
    </w:p>
    <w:p w:rsidR="0032649A" w:rsidRPr="00A927C8" w:rsidRDefault="0032649A" w:rsidP="007811CF">
      <w:pPr>
        <w:pStyle w:val="Normal1"/>
        <w:widowControl/>
        <w:numPr>
          <w:ilvl w:val="0"/>
          <w:numId w:val="2"/>
        </w:numPr>
        <w:autoSpaceDE w:val="0"/>
        <w:autoSpaceDN w:val="0"/>
        <w:adjustRightInd w:val="0"/>
        <w:spacing w:line="276" w:lineRule="auto"/>
        <w:ind w:left="0" w:firstLine="0"/>
        <w:contextualSpacing/>
        <w:jc w:val="both"/>
        <w:rPr>
          <w:rFonts w:ascii="Verdana" w:hAnsi="Verdana"/>
          <w:sz w:val="20"/>
          <w:szCs w:val="20"/>
        </w:rPr>
      </w:pPr>
      <w:r w:rsidRPr="00A927C8">
        <w:rPr>
          <w:rFonts w:ascii="Verdana" w:hAnsi="Verdana"/>
          <w:sz w:val="20"/>
          <w:szCs w:val="20"/>
        </w:rPr>
        <w:t xml:space="preserve">En segundo lugar, sobre las declaraciones de </w:t>
      </w:r>
      <w:r w:rsidRPr="00A927C8">
        <w:rPr>
          <w:rFonts w:ascii="Verdana" w:hAnsi="Verdana"/>
          <w:sz w:val="20"/>
          <w:szCs w:val="20"/>
          <w:lang w:val="es-PE"/>
        </w:rPr>
        <w:t>los señores Víctor Hugo</w:t>
      </w:r>
      <w:r w:rsidR="00014A5A">
        <w:rPr>
          <w:rFonts w:ascii="Verdana" w:hAnsi="Verdana"/>
          <w:sz w:val="20"/>
          <w:szCs w:val="20"/>
          <w:lang w:val="es-PE"/>
        </w:rPr>
        <w:t xml:space="preserve"> Cano y Roberto Enrique Quiñonez</w:t>
      </w:r>
      <w:r w:rsidRPr="00A927C8">
        <w:rPr>
          <w:rFonts w:ascii="Verdana" w:hAnsi="Verdana"/>
          <w:sz w:val="20"/>
          <w:szCs w:val="20"/>
          <w:lang w:val="es-PE"/>
        </w:rPr>
        <w:t xml:space="preserve"> Días</w:t>
      </w:r>
      <w:r w:rsidRPr="00A927C8">
        <w:rPr>
          <w:rFonts w:ascii="Verdana" w:hAnsi="Verdana"/>
          <w:sz w:val="20"/>
          <w:szCs w:val="20"/>
        </w:rPr>
        <w:t xml:space="preserve">, </w:t>
      </w:r>
      <w:r w:rsidRPr="00A927C8">
        <w:rPr>
          <w:rFonts w:ascii="Verdana" w:hAnsi="Verdana"/>
          <w:sz w:val="20"/>
          <w:szCs w:val="20"/>
          <w:lang w:val="es-PE"/>
        </w:rPr>
        <w:t xml:space="preserve">dado que su condición de abogados intervinientes en el proceso penal </w:t>
      </w:r>
      <w:r w:rsidR="00B03EE8">
        <w:rPr>
          <w:rFonts w:ascii="Verdana" w:hAnsi="Verdana"/>
          <w:sz w:val="20"/>
          <w:szCs w:val="20"/>
          <w:lang w:val="es-PE"/>
        </w:rPr>
        <w:t>que se tramitó en la jurisdicción interna</w:t>
      </w:r>
      <w:r w:rsidR="00A37B21">
        <w:rPr>
          <w:rFonts w:ascii="Verdana" w:hAnsi="Verdana"/>
          <w:sz w:val="20"/>
          <w:szCs w:val="20"/>
          <w:lang w:val="es-PE"/>
        </w:rPr>
        <w:t xml:space="preserve"> y </w:t>
      </w:r>
      <w:r w:rsidRPr="00A927C8">
        <w:rPr>
          <w:rFonts w:ascii="Verdana" w:hAnsi="Verdana"/>
          <w:sz w:val="20"/>
          <w:szCs w:val="20"/>
          <w:lang w:val="es-PE"/>
        </w:rPr>
        <w:t>en el que se condenó a l</w:t>
      </w:r>
      <w:r w:rsidR="00A37B21">
        <w:rPr>
          <w:rFonts w:ascii="Verdana" w:hAnsi="Verdana"/>
          <w:sz w:val="20"/>
          <w:szCs w:val="20"/>
          <w:lang w:val="es-PE"/>
        </w:rPr>
        <w:t xml:space="preserve">as presuntas víctimas les </w:t>
      </w:r>
      <w:r w:rsidR="00F0655F">
        <w:rPr>
          <w:rFonts w:ascii="Verdana" w:hAnsi="Verdana"/>
          <w:sz w:val="20"/>
          <w:szCs w:val="20"/>
          <w:lang w:val="es-PE"/>
        </w:rPr>
        <w:t>pro</w:t>
      </w:r>
      <w:r w:rsidR="00A37B21">
        <w:rPr>
          <w:rFonts w:ascii="Verdana" w:hAnsi="Verdana"/>
          <w:sz w:val="20"/>
          <w:szCs w:val="20"/>
          <w:lang w:val="es-PE"/>
        </w:rPr>
        <w:t>porciona</w:t>
      </w:r>
      <w:r w:rsidRPr="00A927C8">
        <w:rPr>
          <w:rFonts w:ascii="Verdana" w:hAnsi="Verdana"/>
          <w:sz w:val="20"/>
          <w:szCs w:val="20"/>
          <w:lang w:val="es-PE"/>
        </w:rPr>
        <w:t xml:space="preserve"> un conocimiento </w:t>
      </w:r>
      <w:r w:rsidR="00A37B21">
        <w:rPr>
          <w:rFonts w:ascii="Verdana" w:hAnsi="Verdana"/>
          <w:sz w:val="20"/>
          <w:szCs w:val="20"/>
          <w:lang w:val="es-PE"/>
        </w:rPr>
        <w:t xml:space="preserve">concreto y </w:t>
      </w:r>
      <w:r w:rsidRPr="00A927C8">
        <w:rPr>
          <w:rFonts w:ascii="Verdana" w:hAnsi="Verdana"/>
          <w:sz w:val="20"/>
          <w:szCs w:val="20"/>
          <w:lang w:val="es-PE"/>
        </w:rPr>
        <w:t>especializado</w:t>
      </w:r>
      <w:r w:rsidR="009E3C0A">
        <w:rPr>
          <w:rFonts w:ascii="Verdana" w:hAnsi="Verdana"/>
          <w:sz w:val="20"/>
          <w:szCs w:val="20"/>
          <w:lang w:val="es-PE"/>
        </w:rPr>
        <w:t>,</w:t>
      </w:r>
      <w:r w:rsidRPr="00A927C8">
        <w:rPr>
          <w:rFonts w:ascii="Verdana" w:hAnsi="Verdana"/>
          <w:sz w:val="20"/>
          <w:szCs w:val="20"/>
          <w:lang w:val="es-PE"/>
        </w:rPr>
        <w:t xml:space="preserve"> sobre los supuestos hechos y las alegadas vulneraciones a las que se vieron expuestos </w:t>
      </w:r>
      <w:r w:rsidR="00A37B21">
        <w:rPr>
          <w:rFonts w:ascii="Verdana" w:hAnsi="Verdana"/>
          <w:sz w:val="20"/>
          <w:szCs w:val="20"/>
          <w:lang w:val="es-PE"/>
        </w:rPr>
        <w:t xml:space="preserve">los señores </w:t>
      </w:r>
      <w:r w:rsidRPr="00A927C8">
        <w:rPr>
          <w:rFonts w:ascii="Verdana" w:hAnsi="Verdana"/>
          <w:sz w:val="20"/>
          <w:szCs w:val="20"/>
          <w:lang w:val="es-PE"/>
        </w:rPr>
        <w:t xml:space="preserve">Miguel Ángel Rodríguez </w:t>
      </w:r>
      <w:proofErr w:type="spellStart"/>
      <w:r w:rsidRPr="00A927C8">
        <w:rPr>
          <w:rFonts w:ascii="Verdana" w:hAnsi="Verdana"/>
          <w:sz w:val="20"/>
          <w:szCs w:val="20"/>
          <w:lang w:val="es-PE"/>
        </w:rPr>
        <w:t>Rev</w:t>
      </w:r>
      <w:r w:rsidR="00A37B21">
        <w:rPr>
          <w:rFonts w:ascii="Verdana" w:hAnsi="Verdana"/>
          <w:sz w:val="20"/>
          <w:szCs w:val="20"/>
          <w:lang w:val="es-PE"/>
        </w:rPr>
        <w:t>olorio</w:t>
      </w:r>
      <w:proofErr w:type="spellEnd"/>
      <w:r w:rsidR="00A37B21">
        <w:rPr>
          <w:rFonts w:ascii="Verdana" w:hAnsi="Verdana"/>
          <w:sz w:val="20"/>
          <w:szCs w:val="20"/>
          <w:lang w:val="es-PE"/>
        </w:rPr>
        <w:t>, Miguel Ángel Ló</w:t>
      </w:r>
      <w:r w:rsidR="007811CF">
        <w:rPr>
          <w:rFonts w:ascii="Verdana" w:hAnsi="Verdana"/>
          <w:sz w:val="20"/>
          <w:szCs w:val="20"/>
          <w:lang w:val="es-PE"/>
        </w:rPr>
        <w:t xml:space="preserve">pez Calo y Aníbal Archila Pérez, </w:t>
      </w:r>
      <w:r w:rsidRPr="00A927C8">
        <w:rPr>
          <w:rFonts w:ascii="Verdana" w:hAnsi="Verdana"/>
          <w:sz w:val="20"/>
          <w:szCs w:val="20"/>
          <w:lang w:val="es-PE"/>
        </w:rPr>
        <w:t>esta Presidencia considera oportuno admitirlas en tanto podrían contribuir a esclarecer los hechos del presente caso.</w:t>
      </w:r>
    </w:p>
    <w:p w:rsidR="0032649A" w:rsidRPr="00870DB2" w:rsidRDefault="0032649A" w:rsidP="007811CF">
      <w:pPr>
        <w:pStyle w:val="ListParagraph"/>
        <w:spacing w:after="0"/>
        <w:rPr>
          <w:rFonts w:ascii="Verdana" w:hAnsi="Verdana"/>
          <w:sz w:val="20"/>
          <w:szCs w:val="20"/>
          <w:lang w:val="es-CR"/>
        </w:rPr>
      </w:pPr>
    </w:p>
    <w:p w:rsidR="0032649A" w:rsidRDefault="0032649A" w:rsidP="007811CF">
      <w:pPr>
        <w:pStyle w:val="Normal1"/>
        <w:widowControl/>
        <w:numPr>
          <w:ilvl w:val="0"/>
          <w:numId w:val="2"/>
        </w:numPr>
        <w:autoSpaceDE w:val="0"/>
        <w:autoSpaceDN w:val="0"/>
        <w:adjustRightInd w:val="0"/>
        <w:spacing w:line="276" w:lineRule="auto"/>
        <w:ind w:left="0" w:firstLine="0"/>
        <w:contextualSpacing/>
        <w:jc w:val="both"/>
        <w:rPr>
          <w:rFonts w:ascii="Verdana" w:hAnsi="Verdana"/>
          <w:sz w:val="20"/>
          <w:szCs w:val="20"/>
        </w:rPr>
      </w:pPr>
      <w:r w:rsidRPr="00870DB2">
        <w:rPr>
          <w:rFonts w:ascii="Verdana" w:hAnsi="Verdana"/>
          <w:sz w:val="20"/>
          <w:szCs w:val="20"/>
        </w:rPr>
        <w:t>En tercer lugar, esta Presidencia tiene por desistida la declaración del señor Calixto Pérez Saso (</w:t>
      </w:r>
      <w:r w:rsidRPr="00D91693">
        <w:rPr>
          <w:rFonts w:ascii="Verdana" w:hAnsi="Verdana"/>
          <w:i/>
          <w:sz w:val="20"/>
          <w:szCs w:val="20"/>
        </w:rPr>
        <w:t xml:space="preserve">supra </w:t>
      </w:r>
      <w:r w:rsidR="007811CF">
        <w:rPr>
          <w:rFonts w:ascii="Verdana" w:hAnsi="Verdana"/>
          <w:sz w:val="20"/>
          <w:szCs w:val="20"/>
        </w:rPr>
        <w:t>C</w:t>
      </w:r>
      <w:r>
        <w:rPr>
          <w:rFonts w:ascii="Verdana" w:hAnsi="Verdana"/>
          <w:sz w:val="20"/>
          <w:szCs w:val="20"/>
        </w:rPr>
        <w:t xml:space="preserve">onsiderando </w:t>
      </w:r>
      <w:r w:rsidR="007811CF">
        <w:rPr>
          <w:rFonts w:ascii="Verdana" w:hAnsi="Verdana"/>
          <w:sz w:val="20"/>
          <w:szCs w:val="20"/>
        </w:rPr>
        <w:t>6</w:t>
      </w:r>
      <w:r w:rsidRPr="00870DB2">
        <w:rPr>
          <w:rFonts w:ascii="Verdana" w:hAnsi="Verdana"/>
          <w:sz w:val="20"/>
          <w:szCs w:val="20"/>
        </w:rPr>
        <w:t xml:space="preserve">), cuya sustitución será resuelta </w:t>
      </w:r>
      <w:r w:rsidRPr="00870DB2">
        <w:rPr>
          <w:rFonts w:ascii="Verdana" w:hAnsi="Verdana"/>
          <w:i/>
          <w:sz w:val="20"/>
          <w:szCs w:val="20"/>
        </w:rPr>
        <w:t>infra</w:t>
      </w:r>
      <w:r w:rsidRPr="00870DB2">
        <w:rPr>
          <w:rFonts w:ascii="Verdana" w:hAnsi="Verdana"/>
          <w:sz w:val="20"/>
          <w:szCs w:val="20"/>
        </w:rPr>
        <w:t>.</w:t>
      </w:r>
    </w:p>
    <w:p w:rsidR="0032649A" w:rsidRPr="002E3D9C" w:rsidRDefault="0032649A" w:rsidP="0032649A">
      <w:pPr>
        <w:pStyle w:val="ListParagraph"/>
        <w:spacing w:after="0"/>
        <w:rPr>
          <w:rFonts w:ascii="Verdana" w:hAnsi="Verdana"/>
          <w:sz w:val="20"/>
          <w:szCs w:val="20"/>
          <w:lang w:val="es-CR"/>
        </w:rPr>
      </w:pPr>
    </w:p>
    <w:p w:rsidR="0032649A" w:rsidRPr="00870DB2" w:rsidRDefault="0032649A" w:rsidP="0032649A">
      <w:pPr>
        <w:pStyle w:val="Normal1"/>
        <w:widowControl/>
        <w:numPr>
          <w:ilvl w:val="0"/>
          <w:numId w:val="2"/>
        </w:numPr>
        <w:autoSpaceDE w:val="0"/>
        <w:autoSpaceDN w:val="0"/>
        <w:adjustRightInd w:val="0"/>
        <w:spacing w:line="276" w:lineRule="auto"/>
        <w:ind w:left="0" w:firstLine="0"/>
        <w:contextualSpacing/>
        <w:jc w:val="both"/>
        <w:rPr>
          <w:rFonts w:ascii="Verdana" w:hAnsi="Verdana"/>
          <w:sz w:val="20"/>
          <w:szCs w:val="20"/>
        </w:rPr>
      </w:pPr>
      <w:r>
        <w:rPr>
          <w:rFonts w:ascii="Verdana" w:hAnsi="Verdana"/>
          <w:sz w:val="20"/>
        </w:rPr>
        <w:t xml:space="preserve">En consecuencia, el Presidente </w:t>
      </w:r>
      <w:r w:rsidRPr="0073760A">
        <w:rPr>
          <w:rFonts w:ascii="Verdana" w:hAnsi="Verdana"/>
          <w:sz w:val="20"/>
        </w:rPr>
        <w:t>admite la</w:t>
      </w:r>
      <w:r>
        <w:rPr>
          <w:rFonts w:ascii="Verdana" w:hAnsi="Verdana"/>
          <w:sz w:val="20"/>
        </w:rPr>
        <w:t xml:space="preserve">s declaraciones de </w:t>
      </w:r>
      <w:r w:rsidRPr="00870DB2">
        <w:rPr>
          <w:rFonts w:ascii="Verdana" w:hAnsi="Verdana"/>
          <w:sz w:val="20"/>
          <w:szCs w:val="20"/>
        </w:rPr>
        <w:t>M</w:t>
      </w:r>
      <w:r w:rsidR="007811CF">
        <w:rPr>
          <w:rFonts w:ascii="Verdana" w:hAnsi="Verdana"/>
          <w:sz w:val="20"/>
          <w:szCs w:val="20"/>
        </w:rPr>
        <w:t xml:space="preserve">iguel Ángel Rodríguez </w:t>
      </w:r>
      <w:proofErr w:type="spellStart"/>
      <w:r w:rsidR="007811CF">
        <w:rPr>
          <w:rFonts w:ascii="Verdana" w:hAnsi="Verdana"/>
          <w:sz w:val="20"/>
          <w:szCs w:val="20"/>
        </w:rPr>
        <w:t>Revolorio</w:t>
      </w:r>
      <w:proofErr w:type="spellEnd"/>
      <w:r w:rsidR="007811CF">
        <w:rPr>
          <w:rFonts w:ascii="Verdana" w:hAnsi="Verdana"/>
          <w:sz w:val="20"/>
          <w:szCs w:val="20"/>
        </w:rPr>
        <w:t>,</w:t>
      </w:r>
      <w:r w:rsidRPr="00870DB2">
        <w:rPr>
          <w:rFonts w:ascii="Verdana" w:hAnsi="Verdana"/>
          <w:sz w:val="20"/>
          <w:szCs w:val="20"/>
        </w:rPr>
        <w:t xml:space="preserve"> Miriam </w:t>
      </w:r>
      <w:proofErr w:type="spellStart"/>
      <w:r w:rsidRPr="00870DB2">
        <w:rPr>
          <w:rFonts w:ascii="Verdana" w:hAnsi="Verdana"/>
          <w:sz w:val="20"/>
          <w:szCs w:val="20"/>
        </w:rPr>
        <w:t>Floridalma</w:t>
      </w:r>
      <w:proofErr w:type="spellEnd"/>
      <w:r w:rsidRPr="00870DB2">
        <w:rPr>
          <w:rFonts w:ascii="Verdana" w:hAnsi="Verdana"/>
          <w:sz w:val="20"/>
          <w:szCs w:val="20"/>
        </w:rPr>
        <w:t xml:space="preserve"> Osorio García de López</w:t>
      </w:r>
      <w:r>
        <w:rPr>
          <w:rFonts w:ascii="Verdana" w:hAnsi="Verdana"/>
          <w:sz w:val="20"/>
          <w:szCs w:val="20"/>
        </w:rPr>
        <w:t>,</w:t>
      </w:r>
      <w:r w:rsidRPr="00870DB2">
        <w:rPr>
          <w:rFonts w:ascii="Verdana" w:hAnsi="Verdana"/>
          <w:sz w:val="20"/>
          <w:szCs w:val="20"/>
        </w:rPr>
        <w:t xml:space="preserve"> Irma Morales </w:t>
      </w:r>
      <w:proofErr w:type="spellStart"/>
      <w:r w:rsidRPr="00870DB2">
        <w:rPr>
          <w:rFonts w:ascii="Verdana" w:hAnsi="Verdana"/>
          <w:sz w:val="20"/>
          <w:szCs w:val="20"/>
        </w:rPr>
        <w:t>Moratas</w:t>
      </w:r>
      <w:proofErr w:type="spellEnd"/>
      <w:r>
        <w:rPr>
          <w:rFonts w:ascii="Verdana" w:hAnsi="Verdana"/>
          <w:sz w:val="20"/>
          <w:szCs w:val="20"/>
        </w:rPr>
        <w:t>,</w:t>
      </w:r>
      <w:r w:rsidRPr="00870DB2">
        <w:rPr>
          <w:rFonts w:ascii="Verdana" w:hAnsi="Verdana"/>
          <w:sz w:val="20"/>
          <w:szCs w:val="20"/>
        </w:rPr>
        <w:t xml:space="preserve"> </w:t>
      </w:r>
      <w:r w:rsidRPr="00870DB2">
        <w:rPr>
          <w:rFonts w:ascii="Verdana" w:hAnsi="Verdana"/>
          <w:sz w:val="20"/>
          <w:szCs w:val="20"/>
          <w:lang w:val="es-PE"/>
        </w:rPr>
        <w:t xml:space="preserve">Víctor Hugo Cano </w:t>
      </w:r>
      <w:r w:rsidR="009412C2">
        <w:rPr>
          <w:rFonts w:ascii="Verdana" w:hAnsi="Verdana"/>
          <w:sz w:val="20"/>
          <w:szCs w:val="20"/>
          <w:lang w:val="es-PE"/>
        </w:rPr>
        <w:t xml:space="preserve">y </w:t>
      </w:r>
      <w:r w:rsidRPr="00870DB2">
        <w:rPr>
          <w:rFonts w:ascii="Verdana" w:hAnsi="Verdana"/>
          <w:sz w:val="20"/>
          <w:szCs w:val="20"/>
          <w:lang w:val="es-PE"/>
        </w:rPr>
        <w:t>Roberto Enrique Quiñones Días</w:t>
      </w:r>
      <w:r w:rsidR="009412C2" w:rsidRPr="009412C2">
        <w:rPr>
          <w:rFonts w:ascii="Verdana" w:hAnsi="Verdana"/>
          <w:sz w:val="20"/>
          <w:szCs w:val="20"/>
          <w:lang w:val="es-PE"/>
        </w:rPr>
        <w:t>,</w:t>
      </w:r>
      <w:r w:rsidRPr="009412C2">
        <w:rPr>
          <w:rFonts w:ascii="Verdana" w:hAnsi="Verdana"/>
          <w:sz w:val="20"/>
        </w:rPr>
        <w:t xml:space="preserve"> </w:t>
      </w:r>
      <w:r w:rsidRPr="0073760A">
        <w:rPr>
          <w:rFonts w:ascii="Verdana" w:hAnsi="Verdana"/>
          <w:sz w:val="20"/>
        </w:rPr>
        <w:t xml:space="preserve">según el objeto definido </w:t>
      </w:r>
      <w:r w:rsidRPr="007A6929">
        <w:rPr>
          <w:rFonts w:ascii="Verdana" w:hAnsi="Verdana"/>
          <w:sz w:val="20"/>
          <w:szCs w:val="20"/>
        </w:rPr>
        <w:t xml:space="preserve">y modalidad </w:t>
      </w:r>
      <w:r>
        <w:rPr>
          <w:rFonts w:ascii="Verdana" w:hAnsi="Verdana"/>
          <w:sz w:val="20"/>
          <w:szCs w:val="20"/>
        </w:rPr>
        <w:t xml:space="preserve">de presentación </w:t>
      </w:r>
      <w:r w:rsidRPr="007A6929">
        <w:rPr>
          <w:rFonts w:ascii="Verdana" w:hAnsi="Verdana"/>
          <w:sz w:val="20"/>
          <w:szCs w:val="20"/>
        </w:rPr>
        <w:t xml:space="preserve">de las declaraciones </w:t>
      </w:r>
      <w:r w:rsidRPr="0073760A">
        <w:rPr>
          <w:rFonts w:ascii="Verdana" w:hAnsi="Verdana"/>
          <w:sz w:val="20"/>
        </w:rPr>
        <w:t xml:space="preserve">en la parte resolutiva de la </w:t>
      </w:r>
      <w:r w:rsidR="007811CF">
        <w:rPr>
          <w:rFonts w:ascii="Verdana" w:hAnsi="Verdana"/>
          <w:sz w:val="20"/>
        </w:rPr>
        <w:t>presente R</w:t>
      </w:r>
      <w:r w:rsidRPr="0073760A">
        <w:rPr>
          <w:rFonts w:ascii="Verdana" w:hAnsi="Verdana"/>
          <w:sz w:val="20"/>
        </w:rPr>
        <w:t>esolución (</w:t>
      </w:r>
      <w:r w:rsidRPr="0073760A">
        <w:rPr>
          <w:rFonts w:ascii="Verdana" w:hAnsi="Verdana"/>
          <w:i/>
          <w:sz w:val="20"/>
        </w:rPr>
        <w:t>infra</w:t>
      </w:r>
      <w:r>
        <w:rPr>
          <w:rFonts w:ascii="Verdana" w:hAnsi="Verdana"/>
          <w:sz w:val="20"/>
        </w:rPr>
        <w:t xml:space="preserve"> punto</w:t>
      </w:r>
      <w:r w:rsidR="00014A5A">
        <w:rPr>
          <w:rFonts w:ascii="Verdana" w:hAnsi="Verdana"/>
          <w:sz w:val="20"/>
        </w:rPr>
        <w:t>s</w:t>
      </w:r>
      <w:r>
        <w:rPr>
          <w:rFonts w:ascii="Verdana" w:hAnsi="Verdana"/>
          <w:sz w:val="20"/>
        </w:rPr>
        <w:t xml:space="preserve"> resolutivo</w:t>
      </w:r>
      <w:r w:rsidR="00014A5A">
        <w:rPr>
          <w:rFonts w:ascii="Verdana" w:hAnsi="Verdana"/>
          <w:sz w:val="20"/>
        </w:rPr>
        <w:t>s</w:t>
      </w:r>
      <w:r>
        <w:rPr>
          <w:rFonts w:ascii="Verdana" w:hAnsi="Verdana"/>
          <w:sz w:val="20"/>
        </w:rPr>
        <w:t xml:space="preserve"> 1</w:t>
      </w:r>
      <w:r w:rsidR="00014A5A">
        <w:rPr>
          <w:rFonts w:ascii="Verdana" w:hAnsi="Verdana"/>
          <w:sz w:val="20"/>
        </w:rPr>
        <w:t xml:space="preserve"> y 3</w:t>
      </w:r>
      <w:r w:rsidRPr="0073760A">
        <w:rPr>
          <w:rFonts w:ascii="Verdana" w:hAnsi="Verdana"/>
          <w:sz w:val="20"/>
        </w:rPr>
        <w:t>).</w:t>
      </w:r>
    </w:p>
    <w:p w:rsidR="00FF5AFD" w:rsidRDefault="00FF5AFD" w:rsidP="0032649A">
      <w:pPr>
        <w:pStyle w:val="Normal1"/>
        <w:widowControl/>
        <w:autoSpaceDE w:val="0"/>
        <w:autoSpaceDN w:val="0"/>
        <w:adjustRightInd w:val="0"/>
        <w:spacing w:line="276" w:lineRule="auto"/>
        <w:contextualSpacing/>
        <w:jc w:val="both"/>
        <w:rPr>
          <w:rFonts w:ascii="Verdana" w:hAnsi="Verdana"/>
          <w:sz w:val="20"/>
          <w:szCs w:val="20"/>
        </w:rPr>
      </w:pPr>
    </w:p>
    <w:p w:rsidR="00DF0269" w:rsidRDefault="00DF0269" w:rsidP="0032649A">
      <w:pPr>
        <w:pStyle w:val="Normal1"/>
        <w:widowControl/>
        <w:autoSpaceDE w:val="0"/>
        <w:autoSpaceDN w:val="0"/>
        <w:adjustRightInd w:val="0"/>
        <w:spacing w:line="276" w:lineRule="auto"/>
        <w:contextualSpacing/>
        <w:jc w:val="both"/>
        <w:rPr>
          <w:rFonts w:ascii="Verdana" w:hAnsi="Verdana"/>
          <w:sz w:val="20"/>
          <w:szCs w:val="20"/>
        </w:rPr>
      </w:pPr>
    </w:p>
    <w:p w:rsidR="00DF0269" w:rsidRDefault="00DF0269" w:rsidP="0032649A">
      <w:pPr>
        <w:pStyle w:val="Normal1"/>
        <w:widowControl/>
        <w:autoSpaceDE w:val="0"/>
        <w:autoSpaceDN w:val="0"/>
        <w:adjustRightInd w:val="0"/>
        <w:spacing w:line="276" w:lineRule="auto"/>
        <w:contextualSpacing/>
        <w:jc w:val="both"/>
        <w:rPr>
          <w:rFonts w:ascii="Verdana" w:hAnsi="Verdana"/>
          <w:sz w:val="20"/>
          <w:szCs w:val="20"/>
        </w:rPr>
      </w:pPr>
    </w:p>
    <w:p w:rsidR="00DF0269" w:rsidRDefault="00DF0269" w:rsidP="0032649A">
      <w:pPr>
        <w:pStyle w:val="Normal1"/>
        <w:widowControl/>
        <w:autoSpaceDE w:val="0"/>
        <w:autoSpaceDN w:val="0"/>
        <w:adjustRightInd w:val="0"/>
        <w:spacing w:line="276" w:lineRule="auto"/>
        <w:contextualSpacing/>
        <w:jc w:val="both"/>
        <w:rPr>
          <w:rFonts w:ascii="Verdana" w:hAnsi="Verdana"/>
          <w:sz w:val="20"/>
          <w:szCs w:val="20"/>
        </w:rPr>
      </w:pPr>
    </w:p>
    <w:p w:rsidR="00DF0269" w:rsidRPr="00870DB2" w:rsidRDefault="00DF0269" w:rsidP="0032649A">
      <w:pPr>
        <w:pStyle w:val="Normal1"/>
        <w:widowControl/>
        <w:autoSpaceDE w:val="0"/>
        <w:autoSpaceDN w:val="0"/>
        <w:adjustRightInd w:val="0"/>
        <w:spacing w:line="276" w:lineRule="auto"/>
        <w:contextualSpacing/>
        <w:jc w:val="both"/>
        <w:rPr>
          <w:rFonts w:ascii="Verdana" w:hAnsi="Verdana"/>
          <w:sz w:val="20"/>
          <w:szCs w:val="20"/>
        </w:rPr>
      </w:pPr>
    </w:p>
    <w:p w:rsidR="0032649A" w:rsidRPr="00870DB2" w:rsidRDefault="0032649A" w:rsidP="0032649A">
      <w:pPr>
        <w:pStyle w:val="ListParagraph"/>
        <w:spacing w:after="0"/>
        <w:ind w:left="450"/>
        <w:rPr>
          <w:rFonts w:ascii="Verdana" w:hAnsi="Verdana"/>
          <w:i/>
          <w:sz w:val="20"/>
          <w:szCs w:val="20"/>
          <w:lang w:val="es-CR"/>
        </w:rPr>
      </w:pPr>
      <w:r w:rsidRPr="00870DB2">
        <w:rPr>
          <w:rFonts w:ascii="Verdana" w:hAnsi="Verdana"/>
          <w:i/>
          <w:sz w:val="20"/>
          <w:szCs w:val="20"/>
          <w:lang w:val="es-CR"/>
        </w:rPr>
        <w:t>A.2) Admisibilidad de los dictám</w:t>
      </w:r>
      <w:r w:rsidR="00B03EE8">
        <w:rPr>
          <w:rFonts w:ascii="Verdana" w:hAnsi="Verdana"/>
          <w:i/>
          <w:sz w:val="20"/>
          <w:szCs w:val="20"/>
          <w:lang w:val="es-CR"/>
        </w:rPr>
        <w:t>enes periciales ofrecidos por la</w:t>
      </w:r>
      <w:r w:rsidRPr="00870DB2">
        <w:rPr>
          <w:rFonts w:ascii="Verdana" w:hAnsi="Verdana"/>
          <w:i/>
          <w:sz w:val="20"/>
          <w:szCs w:val="20"/>
          <w:lang w:val="es-CR"/>
        </w:rPr>
        <w:t>s representantes</w:t>
      </w:r>
    </w:p>
    <w:p w:rsidR="0032649A" w:rsidRPr="00870DB2" w:rsidRDefault="0032649A" w:rsidP="0032649A">
      <w:pPr>
        <w:pStyle w:val="Normal1"/>
        <w:widowControl/>
        <w:autoSpaceDE w:val="0"/>
        <w:autoSpaceDN w:val="0"/>
        <w:adjustRightInd w:val="0"/>
        <w:spacing w:line="276" w:lineRule="auto"/>
        <w:contextualSpacing/>
        <w:jc w:val="both"/>
        <w:rPr>
          <w:rFonts w:ascii="Verdana" w:hAnsi="Verdana"/>
          <w:sz w:val="20"/>
          <w:szCs w:val="20"/>
        </w:rPr>
      </w:pPr>
    </w:p>
    <w:p w:rsidR="0032649A" w:rsidRPr="00EC5435" w:rsidRDefault="00B03EE8" w:rsidP="0032649A">
      <w:pPr>
        <w:pStyle w:val="Normal1"/>
        <w:widowControl/>
        <w:numPr>
          <w:ilvl w:val="0"/>
          <w:numId w:val="2"/>
        </w:numPr>
        <w:autoSpaceDE w:val="0"/>
        <w:autoSpaceDN w:val="0"/>
        <w:adjustRightInd w:val="0"/>
        <w:spacing w:line="276" w:lineRule="auto"/>
        <w:ind w:left="0" w:firstLine="0"/>
        <w:contextualSpacing/>
        <w:jc w:val="both"/>
        <w:rPr>
          <w:rFonts w:ascii="Verdana" w:hAnsi="Verdana"/>
          <w:sz w:val="20"/>
          <w:szCs w:val="20"/>
        </w:rPr>
      </w:pPr>
      <w:r>
        <w:rPr>
          <w:rFonts w:ascii="Verdana" w:hAnsi="Verdana"/>
          <w:sz w:val="20"/>
          <w:szCs w:val="20"/>
        </w:rPr>
        <w:t>La</w:t>
      </w:r>
      <w:r w:rsidR="0032649A" w:rsidRPr="00D91693">
        <w:rPr>
          <w:rFonts w:ascii="Verdana" w:hAnsi="Verdana"/>
          <w:sz w:val="20"/>
          <w:szCs w:val="20"/>
        </w:rPr>
        <w:t xml:space="preserve">s </w:t>
      </w:r>
      <w:r w:rsidR="0032649A" w:rsidRPr="00D91693">
        <w:rPr>
          <w:rFonts w:ascii="Verdana" w:hAnsi="Verdana"/>
          <w:b/>
          <w:i/>
          <w:sz w:val="20"/>
          <w:szCs w:val="20"/>
        </w:rPr>
        <w:t>representantes,</w:t>
      </w:r>
      <w:r w:rsidR="0032649A" w:rsidRPr="00D91693">
        <w:rPr>
          <w:rFonts w:ascii="Verdana" w:hAnsi="Verdana"/>
          <w:sz w:val="20"/>
          <w:szCs w:val="20"/>
        </w:rPr>
        <w:t xml:space="preserve"> tanto en su escrito de solicitudes y argumentos como en su lista definitiva, ofrecieron como p</w:t>
      </w:r>
      <w:r w:rsidR="002C2401">
        <w:rPr>
          <w:rFonts w:ascii="Verdana" w:hAnsi="Verdana"/>
          <w:sz w:val="20"/>
          <w:szCs w:val="20"/>
        </w:rPr>
        <w:t>eritos a los señores Alberto Bov</w:t>
      </w:r>
      <w:r w:rsidR="0032649A" w:rsidRPr="00D91693">
        <w:rPr>
          <w:rFonts w:ascii="Verdana" w:hAnsi="Verdana"/>
          <w:sz w:val="20"/>
          <w:szCs w:val="20"/>
        </w:rPr>
        <w:t>ino</w:t>
      </w:r>
      <w:r w:rsidR="0032649A" w:rsidRPr="00870DB2">
        <w:rPr>
          <w:rStyle w:val="FootnoteReference"/>
          <w:rFonts w:ascii="Verdana" w:hAnsi="Verdana"/>
          <w:sz w:val="20"/>
          <w:szCs w:val="20"/>
        </w:rPr>
        <w:footnoteReference w:id="13"/>
      </w:r>
      <w:r w:rsidR="0032649A" w:rsidRPr="00D91693">
        <w:rPr>
          <w:rFonts w:ascii="Verdana" w:hAnsi="Verdana"/>
          <w:sz w:val="20"/>
          <w:szCs w:val="20"/>
        </w:rPr>
        <w:t xml:space="preserve"> y Juan José Hernández Mejía</w:t>
      </w:r>
      <w:r w:rsidR="0032649A" w:rsidRPr="00870DB2">
        <w:rPr>
          <w:rStyle w:val="FootnoteReference"/>
          <w:rFonts w:ascii="Verdana" w:hAnsi="Verdana"/>
          <w:sz w:val="20"/>
          <w:szCs w:val="20"/>
        </w:rPr>
        <w:footnoteReference w:id="14"/>
      </w:r>
      <w:r w:rsidR="0032649A" w:rsidRPr="00D91693">
        <w:rPr>
          <w:rFonts w:ascii="Verdana" w:hAnsi="Verdana"/>
          <w:sz w:val="20"/>
          <w:szCs w:val="20"/>
        </w:rPr>
        <w:t>.</w:t>
      </w:r>
      <w:r w:rsidR="0032649A" w:rsidRPr="00D91693">
        <w:rPr>
          <w:rFonts w:ascii="Verdana" w:hAnsi="Verdana"/>
          <w:sz w:val="20"/>
          <w:szCs w:val="20"/>
          <w:lang w:val="es-PE"/>
        </w:rPr>
        <w:t xml:space="preserve"> Además, al presentar la lista definitiva correspondiente, plantearon la sustitución de una declaración testimonial por un tercer dictamen pericial del señor Héctor Oswaldo Samayoa Sosa</w:t>
      </w:r>
      <w:r w:rsidR="0032649A" w:rsidRPr="00870DB2">
        <w:rPr>
          <w:rStyle w:val="FootnoteReference"/>
          <w:rFonts w:ascii="Verdana" w:hAnsi="Verdana"/>
          <w:sz w:val="20"/>
          <w:szCs w:val="20"/>
          <w:lang w:val="es-PE"/>
        </w:rPr>
        <w:footnoteReference w:id="15"/>
      </w:r>
      <w:r w:rsidR="0032649A" w:rsidRPr="00D91693">
        <w:rPr>
          <w:rFonts w:ascii="Verdana" w:hAnsi="Verdana"/>
          <w:sz w:val="20"/>
          <w:szCs w:val="20"/>
          <w:lang w:val="es-PE"/>
        </w:rPr>
        <w:t xml:space="preserve"> (</w:t>
      </w:r>
      <w:r w:rsidR="0032649A" w:rsidRPr="00D91693">
        <w:rPr>
          <w:rFonts w:ascii="Verdana" w:hAnsi="Verdana"/>
          <w:i/>
          <w:sz w:val="20"/>
          <w:szCs w:val="20"/>
          <w:lang w:val="es-PE"/>
        </w:rPr>
        <w:t>supra</w:t>
      </w:r>
      <w:r w:rsidR="0032649A" w:rsidRPr="00D91693">
        <w:rPr>
          <w:rFonts w:ascii="Verdana" w:hAnsi="Verdana"/>
          <w:sz w:val="20"/>
          <w:szCs w:val="20"/>
          <w:lang w:val="es-PE"/>
        </w:rPr>
        <w:t xml:space="preserve"> considerando 6). </w:t>
      </w:r>
      <w:r w:rsidR="0032649A" w:rsidRPr="00D91693">
        <w:rPr>
          <w:rFonts w:ascii="Verdana" w:hAnsi="Verdana"/>
          <w:sz w:val="20"/>
          <w:szCs w:val="20"/>
        </w:rPr>
        <w:t xml:space="preserve">Por su parte, el </w:t>
      </w:r>
      <w:r w:rsidR="0032649A" w:rsidRPr="00D91693">
        <w:rPr>
          <w:rFonts w:ascii="Verdana" w:hAnsi="Verdana"/>
          <w:b/>
          <w:i/>
          <w:sz w:val="20"/>
          <w:szCs w:val="20"/>
        </w:rPr>
        <w:t>Estado</w:t>
      </w:r>
      <w:r w:rsidR="0032649A" w:rsidRPr="00D91693">
        <w:rPr>
          <w:rFonts w:ascii="Verdana" w:hAnsi="Verdana"/>
          <w:sz w:val="20"/>
          <w:szCs w:val="20"/>
        </w:rPr>
        <w:t xml:space="preserve"> manifestó que los peritajes no son necesarios pues los temas sobre los que versarán ya han sido ampliamente desarrollados a lo largo del trámite del presente caso</w:t>
      </w:r>
      <w:r w:rsidR="0032649A" w:rsidRPr="00D91693">
        <w:rPr>
          <w:rFonts w:ascii="Verdana" w:hAnsi="Verdana"/>
          <w:sz w:val="20"/>
          <w:szCs w:val="20"/>
          <w:lang w:val="es-PE"/>
        </w:rPr>
        <w:t xml:space="preserve">. </w:t>
      </w:r>
    </w:p>
    <w:p w:rsidR="0032649A" w:rsidRPr="00D91693" w:rsidRDefault="0032649A" w:rsidP="0032649A">
      <w:pPr>
        <w:pStyle w:val="Normal1"/>
        <w:widowControl/>
        <w:autoSpaceDE w:val="0"/>
        <w:autoSpaceDN w:val="0"/>
        <w:adjustRightInd w:val="0"/>
        <w:spacing w:line="276" w:lineRule="auto"/>
        <w:contextualSpacing/>
        <w:jc w:val="both"/>
        <w:rPr>
          <w:rFonts w:ascii="Verdana" w:hAnsi="Verdana"/>
          <w:sz w:val="20"/>
          <w:szCs w:val="20"/>
        </w:rPr>
      </w:pPr>
    </w:p>
    <w:p w:rsidR="0032649A" w:rsidRPr="00BF72DB" w:rsidRDefault="002C2401" w:rsidP="0032649A">
      <w:pPr>
        <w:pStyle w:val="Normal1"/>
        <w:widowControl/>
        <w:numPr>
          <w:ilvl w:val="0"/>
          <w:numId w:val="2"/>
        </w:numPr>
        <w:autoSpaceDE w:val="0"/>
        <w:autoSpaceDN w:val="0"/>
        <w:adjustRightInd w:val="0"/>
        <w:spacing w:line="276" w:lineRule="auto"/>
        <w:ind w:left="0" w:firstLine="0"/>
        <w:contextualSpacing/>
        <w:jc w:val="both"/>
        <w:rPr>
          <w:rFonts w:ascii="Verdana" w:hAnsi="Verdana"/>
          <w:sz w:val="20"/>
          <w:szCs w:val="20"/>
        </w:rPr>
      </w:pPr>
      <w:r>
        <w:rPr>
          <w:rFonts w:ascii="Verdana" w:hAnsi="Verdana"/>
          <w:sz w:val="20"/>
          <w:szCs w:val="20"/>
        </w:rPr>
        <w:t>En primer lugar</w:t>
      </w:r>
      <w:r w:rsidR="0032649A" w:rsidRPr="00BF72DB">
        <w:rPr>
          <w:rFonts w:ascii="Verdana" w:hAnsi="Verdana"/>
          <w:sz w:val="20"/>
          <w:szCs w:val="20"/>
        </w:rPr>
        <w:t>, en cuant</w:t>
      </w:r>
      <w:r>
        <w:rPr>
          <w:rFonts w:ascii="Verdana" w:hAnsi="Verdana"/>
          <w:sz w:val="20"/>
          <w:szCs w:val="20"/>
        </w:rPr>
        <w:t>o a los peritajes de Alberto Bov</w:t>
      </w:r>
      <w:r w:rsidR="0032649A" w:rsidRPr="00BF72DB">
        <w:rPr>
          <w:rFonts w:ascii="Verdana" w:hAnsi="Verdana"/>
          <w:sz w:val="20"/>
          <w:szCs w:val="20"/>
        </w:rPr>
        <w:t xml:space="preserve">ino y Juan José Hernández Mejía, </w:t>
      </w:r>
      <w:r w:rsidR="00ED0DA4" w:rsidRPr="00BF72DB">
        <w:rPr>
          <w:rFonts w:ascii="Verdana" w:hAnsi="Verdana"/>
          <w:sz w:val="20"/>
          <w:szCs w:val="20"/>
        </w:rPr>
        <w:t>esta Presidencia considera que el objeto del dictamen pericial del señor Bovino es particularmente relevante</w:t>
      </w:r>
      <w:r w:rsidR="00BF72DB" w:rsidRPr="00BF72DB">
        <w:rPr>
          <w:rFonts w:ascii="Verdana" w:hAnsi="Verdana"/>
          <w:sz w:val="20"/>
          <w:szCs w:val="20"/>
        </w:rPr>
        <w:t xml:space="preserve"> por su análisis d</w:t>
      </w:r>
      <w:r w:rsidR="0032649A" w:rsidRPr="00BF72DB">
        <w:rPr>
          <w:rFonts w:ascii="Verdana" w:hAnsi="Verdana"/>
          <w:sz w:val="20"/>
          <w:szCs w:val="20"/>
        </w:rPr>
        <w:t xml:space="preserve">el proceso, las garantías y los estándares que se seguían en Guatemala sobre la pena de muerte, </w:t>
      </w:r>
      <w:r w:rsidR="00ED0DA4" w:rsidRPr="00BF72DB">
        <w:rPr>
          <w:rFonts w:ascii="Verdana" w:hAnsi="Verdana"/>
          <w:sz w:val="20"/>
          <w:szCs w:val="20"/>
        </w:rPr>
        <w:t>por lo que estima</w:t>
      </w:r>
      <w:r w:rsidR="0032649A" w:rsidRPr="00BF72DB">
        <w:rPr>
          <w:rFonts w:ascii="Verdana" w:hAnsi="Verdana"/>
          <w:sz w:val="20"/>
          <w:szCs w:val="20"/>
        </w:rPr>
        <w:t xml:space="preserve"> oportuno admitirlo</w:t>
      </w:r>
      <w:r w:rsidR="00ED0DA4" w:rsidRPr="00BF72DB">
        <w:rPr>
          <w:rFonts w:ascii="Verdana" w:hAnsi="Verdana"/>
          <w:sz w:val="20"/>
          <w:szCs w:val="20"/>
        </w:rPr>
        <w:t xml:space="preserve">. En lo referente al </w:t>
      </w:r>
      <w:r w:rsidR="009B2CDA" w:rsidRPr="00BF72DB">
        <w:rPr>
          <w:rFonts w:ascii="Verdana" w:hAnsi="Verdana"/>
          <w:sz w:val="20"/>
          <w:szCs w:val="20"/>
        </w:rPr>
        <w:t xml:space="preserve">peritaje de Juan José Hernández Mejía sobre las reformas judiciales en Guatemala, el Presidente juzga pertinente su admisión </w:t>
      </w:r>
      <w:r w:rsidR="00BF72DB" w:rsidRPr="00BF72DB">
        <w:rPr>
          <w:rFonts w:ascii="Verdana" w:hAnsi="Verdana"/>
          <w:sz w:val="20"/>
          <w:szCs w:val="20"/>
        </w:rPr>
        <w:t>para comprender en su integridad el contexto jurídico en que se desarrollaron los hechos del caso</w:t>
      </w:r>
      <w:r w:rsidR="00B03EE8">
        <w:rPr>
          <w:rFonts w:ascii="Verdana" w:hAnsi="Verdana"/>
          <w:sz w:val="20"/>
          <w:szCs w:val="20"/>
        </w:rPr>
        <w:t xml:space="preserve"> y sus reformas</w:t>
      </w:r>
      <w:r w:rsidR="009B2CDA" w:rsidRPr="00BF72DB">
        <w:rPr>
          <w:rFonts w:ascii="Verdana" w:hAnsi="Verdana"/>
          <w:sz w:val="20"/>
          <w:szCs w:val="20"/>
        </w:rPr>
        <w:t xml:space="preserve">, aunque </w:t>
      </w:r>
      <w:r w:rsidR="00BF72DB" w:rsidRPr="00BF72DB">
        <w:rPr>
          <w:rFonts w:ascii="Verdana" w:hAnsi="Verdana"/>
          <w:sz w:val="20"/>
          <w:szCs w:val="20"/>
        </w:rPr>
        <w:t>resalta que esta Corte ha tomado conocimiento al respecto en casos anteriores y cuenta información sobre el particular.</w:t>
      </w:r>
      <w:r w:rsidR="00BF72DB">
        <w:rPr>
          <w:rFonts w:ascii="Verdana" w:hAnsi="Verdana"/>
          <w:sz w:val="20"/>
          <w:szCs w:val="20"/>
        </w:rPr>
        <w:t xml:space="preserve"> En ese sentido, se admite ambos dictámenes </w:t>
      </w:r>
      <w:r w:rsidR="0032649A" w:rsidRPr="00BF72DB">
        <w:rPr>
          <w:rFonts w:ascii="Verdana" w:hAnsi="Verdana"/>
          <w:sz w:val="20"/>
          <w:szCs w:val="20"/>
        </w:rPr>
        <w:t xml:space="preserve">según el objeto y la modalidad detallados en la parte Resolutiva de la presente </w:t>
      </w:r>
      <w:r w:rsidR="0032649A" w:rsidRPr="007811CF">
        <w:rPr>
          <w:rFonts w:ascii="Verdana" w:hAnsi="Verdana"/>
          <w:sz w:val="20"/>
          <w:szCs w:val="20"/>
          <w:lang w:val="es-PE"/>
        </w:rPr>
        <w:t>(</w:t>
      </w:r>
      <w:r w:rsidR="0032649A" w:rsidRPr="00BF72DB">
        <w:rPr>
          <w:rFonts w:ascii="Verdana" w:hAnsi="Verdana"/>
          <w:i/>
          <w:sz w:val="20"/>
          <w:szCs w:val="20"/>
          <w:lang w:val="es-PE"/>
        </w:rPr>
        <w:t xml:space="preserve">infra </w:t>
      </w:r>
      <w:r>
        <w:rPr>
          <w:rFonts w:ascii="Verdana" w:hAnsi="Verdana"/>
          <w:sz w:val="20"/>
          <w:szCs w:val="20"/>
          <w:lang w:val="es-PE"/>
        </w:rPr>
        <w:t>punto resolutivo 3</w:t>
      </w:r>
      <w:r w:rsidR="0032649A" w:rsidRPr="00BF72DB">
        <w:rPr>
          <w:rFonts w:ascii="Verdana" w:hAnsi="Verdana"/>
          <w:sz w:val="20"/>
          <w:szCs w:val="20"/>
          <w:lang w:val="es-PE"/>
        </w:rPr>
        <w:t>)</w:t>
      </w:r>
      <w:r w:rsidR="0032649A" w:rsidRPr="00BF72DB">
        <w:rPr>
          <w:rFonts w:ascii="Verdana" w:hAnsi="Verdana"/>
          <w:sz w:val="20"/>
          <w:szCs w:val="20"/>
        </w:rPr>
        <w:t xml:space="preserve">. </w:t>
      </w:r>
    </w:p>
    <w:p w:rsidR="0032649A" w:rsidRPr="0030714D" w:rsidRDefault="0032649A" w:rsidP="0032649A">
      <w:pPr>
        <w:pStyle w:val="Normal1"/>
        <w:widowControl/>
        <w:autoSpaceDE w:val="0"/>
        <w:autoSpaceDN w:val="0"/>
        <w:adjustRightInd w:val="0"/>
        <w:spacing w:line="276" w:lineRule="auto"/>
        <w:contextualSpacing/>
        <w:jc w:val="both"/>
        <w:rPr>
          <w:rFonts w:ascii="Verdana" w:hAnsi="Verdana"/>
          <w:sz w:val="20"/>
          <w:szCs w:val="20"/>
        </w:rPr>
      </w:pPr>
    </w:p>
    <w:p w:rsidR="0032649A" w:rsidRDefault="0032649A" w:rsidP="0032649A">
      <w:pPr>
        <w:pStyle w:val="Normal1"/>
        <w:widowControl/>
        <w:numPr>
          <w:ilvl w:val="0"/>
          <w:numId w:val="2"/>
        </w:numPr>
        <w:autoSpaceDE w:val="0"/>
        <w:autoSpaceDN w:val="0"/>
        <w:adjustRightInd w:val="0"/>
        <w:spacing w:line="276" w:lineRule="auto"/>
        <w:ind w:left="0" w:firstLine="0"/>
        <w:contextualSpacing/>
        <w:jc w:val="both"/>
        <w:rPr>
          <w:rFonts w:ascii="Verdana" w:hAnsi="Verdana"/>
          <w:sz w:val="20"/>
          <w:szCs w:val="20"/>
        </w:rPr>
      </w:pPr>
      <w:r w:rsidRPr="00870DB2">
        <w:rPr>
          <w:rFonts w:ascii="Verdana" w:hAnsi="Verdana"/>
          <w:sz w:val="20"/>
          <w:szCs w:val="20"/>
        </w:rPr>
        <w:t>En segundo lugar, respecto a la sustitución de la declaración testimonial de</w:t>
      </w:r>
      <w:r>
        <w:rPr>
          <w:rFonts w:ascii="Verdana" w:hAnsi="Verdana"/>
          <w:sz w:val="20"/>
          <w:szCs w:val="20"/>
        </w:rPr>
        <w:t>l señor</w:t>
      </w:r>
      <w:r w:rsidRPr="00870DB2">
        <w:rPr>
          <w:rFonts w:ascii="Verdana" w:hAnsi="Verdana"/>
          <w:sz w:val="20"/>
          <w:szCs w:val="20"/>
        </w:rPr>
        <w:t xml:space="preserve"> Calixto Pérez Saso por el dictamen pericial de Héctor Oswaldo Samayoa Sosa, la Presidencia recuerda que el artículo 49 del Reglamento de la Corte indica que se aceptará la sustitución de un declarante siempre que se individualice al sustituto y se respete el objeto de la declaración, testimonio o peritaje originalmente ofrecido</w:t>
      </w:r>
      <w:r w:rsidRPr="00870DB2">
        <w:rPr>
          <w:rStyle w:val="FootnoteReference"/>
          <w:rFonts w:ascii="Verdana" w:hAnsi="Verdana"/>
          <w:sz w:val="20"/>
          <w:szCs w:val="20"/>
        </w:rPr>
        <w:footnoteReference w:id="16"/>
      </w:r>
      <w:r w:rsidRPr="00870DB2">
        <w:rPr>
          <w:rFonts w:ascii="Verdana" w:hAnsi="Verdana"/>
          <w:sz w:val="20"/>
          <w:szCs w:val="20"/>
        </w:rPr>
        <w:t xml:space="preserve">. En ese sentido, al diferir la calidad de la persona interviniente (de declarante por perito) y el objeto sobre el que </w:t>
      </w:r>
      <w:r w:rsidRPr="00870DB2">
        <w:rPr>
          <w:rFonts w:ascii="Verdana" w:hAnsi="Verdana"/>
          <w:sz w:val="20"/>
          <w:szCs w:val="20"/>
        </w:rPr>
        <w:lastRenderedPageBreak/>
        <w:t>versará su intervención, esta Presidencia considera que dicha sustitución resulta inadmisible.</w:t>
      </w:r>
    </w:p>
    <w:p w:rsidR="003401D7" w:rsidRPr="00254394" w:rsidRDefault="003401D7" w:rsidP="003401D7">
      <w:pPr>
        <w:pStyle w:val="Normal1"/>
        <w:widowControl/>
        <w:autoSpaceDE w:val="0"/>
        <w:autoSpaceDN w:val="0"/>
        <w:adjustRightInd w:val="0"/>
        <w:spacing w:line="276" w:lineRule="auto"/>
        <w:contextualSpacing/>
        <w:jc w:val="both"/>
        <w:rPr>
          <w:rFonts w:ascii="Verdana" w:hAnsi="Verdana"/>
          <w:sz w:val="20"/>
          <w:szCs w:val="20"/>
        </w:rPr>
      </w:pPr>
    </w:p>
    <w:p w:rsidR="0032649A" w:rsidRDefault="0032649A" w:rsidP="0032649A">
      <w:pPr>
        <w:pStyle w:val="Normal1"/>
        <w:widowControl/>
        <w:autoSpaceDE w:val="0"/>
        <w:autoSpaceDN w:val="0"/>
        <w:adjustRightInd w:val="0"/>
        <w:spacing w:line="276" w:lineRule="auto"/>
        <w:ind w:firstLine="720"/>
        <w:contextualSpacing/>
        <w:jc w:val="both"/>
        <w:rPr>
          <w:rFonts w:ascii="Verdana" w:hAnsi="Verdana"/>
          <w:sz w:val="20"/>
          <w:szCs w:val="20"/>
        </w:rPr>
      </w:pPr>
      <w:r w:rsidRPr="002E3D9C">
        <w:rPr>
          <w:rFonts w:ascii="Verdana" w:hAnsi="Verdana"/>
          <w:b/>
          <w:i/>
          <w:sz w:val="20"/>
          <w:szCs w:val="20"/>
        </w:rPr>
        <w:t>B. Admisibilidad del traslado de prueba pericial del Caso Fermín Ramíre</w:t>
      </w:r>
      <w:r w:rsidR="00F22007">
        <w:rPr>
          <w:rFonts w:ascii="Verdana" w:hAnsi="Verdana"/>
          <w:b/>
          <w:i/>
          <w:sz w:val="20"/>
          <w:szCs w:val="20"/>
        </w:rPr>
        <w:t>z Vs Guatemala solicitado por la</w:t>
      </w:r>
      <w:r w:rsidRPr="002E3D9C">
        <w:rPr>
          <w:rFonts w:ascii="Verdana" w:hAnsi="Verdana"/>
          <w:b/>
          <w:i/>
          <w:sz w:val="20"/>
          <w:szCs w:val="20"/>
        </w:rPr>
        <w:t>s representantes</w:t>
      </w:r>
    </w:p>
    <w:p w:rsidR="0032649A" w:rsidRPr="00870DB2" w:rsidRDefault="0032649A" w:rsidP="0032649A">
      <w:pPr>
        <w:pStyle w:val="Normal1"/>
        <w:widowControl/>
        <w:autoSpaceDE w:val="0"/>
        <w:autoSpaceDN w:val="0"/>
        <w:adjustRightInd w:val="0"/>
        <w:spacing w:line="276" w:lineRule="auto"/>
        <w:contextualSpacing/>
        <w:jc w:val="both"/>
        <w:rPr>
          <w:rFonts w:ascii="Verdana" w:hAnsi="Verdana"/>
          <w:sz w:val="20"/>
          <w:szCs w:val="20"/>
        </w:rPr>
      </w:pPr>
    </w:p>
    <w:p w:rsidR="0032649A" w:rsidRPr="006E0C73" w:rsidRDefault="00014A5A" w:rsidP="0032649A">
      <w:pPr>
        <w:pStyle w:val="Normal1"/>
        <w:widowControl/>
        <w:numPr>
          <w:ilvl w:val="0"/>
          <w:numId w:val="2"/>
        </w:numPr>
        <w:autoSpaceDE w:val="0"/>
        <w:autoSpaceDN w:val="0"/>
        <w:adjustRightInd w:val="0"/>
        <w:spacing w:line="276" w:lineRule="auto"/>
        <w:ind w:left="0" w:firstLine="0"/>
        <w:contextualSpacing/>
        <w:jc w:val="both"/>
        <w:rPr>
          <w:rFonts w:ascii="Verdana" w:hAnsi="Verdana"/>
          <w:sz w:val="20"/>
          <w:szCs w:val="20"/>
        </w:rPr>
      </w:pPr>
      <w:r>
        <w:rPr>
          <w:rFonts w:ascii="Verdana" w:hAnsi="Verdana"/>
          <w:sz w:val="20"/>
          <w:szCs w:val="20"/>
        </w:rPr>
        <w:t>L</w:t>
      </w:r>
      <w:r w:rsidR="00441228">
        <w:rPr>
          <w:rFonts w:ascii="Verdana" w:hAnsi="Verdana"/>
          <w:sz w:val="20"/>
          <w:szCs w:val="20"/>
        </w:rPr>
        <w:t>a</w:t>
      </w:r>
      <w:r w:rsidR="00254394">
        <w:rPr>
          <w:rFonts w:ascii="Verdana" w:hAnsi="Verdana"/>
          <w:sz w:val="20"/>
          <w:szCs w:val="20"/>
        </w:rPr>
        <w:t xml:space="preserve">s representantes solicitaron el </w:t>
      </w:r>
      <w:r w:rsidR="0032649A" w:rsidRPr="00870DB2">
        <w:rPr>
          <w:rFonts w:ascii="Verdana" w:hAnsi="Verdana"/>
          <w:sz w:val="20"/>
          <w:szCs w:val="20"/>
        </w:rPr>
        <w:t>tras</w:t>
      </w:r>
      <w:r w:rsidR="00254394">
        <w:rPr>
          <w:rFonts w:ascii="Verdana" w:hAnsi="Verdana"/>
          <w:sz w:val="20"/>
          <w:szCs w:val="20"/>
        </w:rPr>
        <w:t>lado de la prueba pericial del c</w:t>
      </w:r>
      <w:r w:rsidR="0032649A" w:rsidRPr="00870DB2">
        <w:rPr>
          <w:rFonts w:ascii="Verdana" w:hAnsi="Verdana"/>
          <w:sz w:val="20"/>
          <w:szCs w:val="20"/>
        </w:rPr>
        <w:t>aso</w:t>
      </w:r>
      <w:r w:rsidR="0032649A" w:rsidRPr="00870DB2">
        <w:rPr>
          <w:rFonts w:ascii="Verdana" w:hAnsi="Verdana"/>
          <w:i/>
          <w:sz w:val="20"/>
          <w:szCs w:val="20"/>
        </w:rPr>
        <w:t xml:space="preserve"> Fermín Ramírez Vs. Guatemala</w:t>
      </w:r>
      <w:r w:rsidR="0032649A" w:rsidRPr="00870DB2">
        <w:rPr>
          <w:rFonts w:ascii="Verdana" w:hAnsi="Verdana"/>
          <w:sz w:val="20"/>
          <w:szCs w:val="20"/>
        </w:rPr>
        <w:t xml:space="preserve"> </w:t>
      </w:r>
      <w:r w:rsidR="0032649A">
        <w:rPr>
          <w:rFonts w:ascii="Verdana" w:hAnsi="Verdana"/>
          <w:sz w:val="20"/>
          <w:szCs w:val="20"/>
        </w:rPr>
        <w:t xml:space="preserve">de los </w:t>
      </w:r>
      <w:r w:rsidR="0032649A" w:rsidRPr="00870DB2">
        <w:rPr>
          <w:rFonts w:ascii="Verdana" w:hAnsi="Verdana"/>
          <w:sz w:val="20"/>
          <w:szCs w:val="20"/>
          <w:lang w:val="es-PE"/>
        </w:rPr>
        <w:t xml:space="preserve">peritajes rendidos por los señores Eduardo Montealegre </w:t>
      </w:r>
      <w:proofErr w:type="spellStart"/>
      <w:r w:rsidR="0032649A" w:rsidRPr="00870DB2">
        <w:rPr>
          <w:rFonts w:ascii="Verdana" w:hAnsi="Verdana"/>
          <w:sz w:val="20"/>
          <w:szCs w:val="20"/>
          <w:lang w:val="es-PE"/>
        </w:rPr>
        <w:t>L</w:t>
      </w:r>
      <w:r w:rsidR="00BE019A">
        <w:rPr>
          <w:rFonts w:ascii="Verdana" w:hAnsi="Verdana"/>
          <w:sz w:val="20"/>
          <w:szCs w:val="20"/>
          <w:lang w:val="es-PE"/>
        </w:rPr>
        <w:t>y</w:t>
      </w:r>
      <w:r w:rsidR="0032649A" w:rsidRPr="00870DB2">
        <w:rPr>
          <w:rFonts w:ascii="Verdana" w:hAnsi="Verdana"/>
          <w:sz w:val="20"/>
          <w:szCs w:val="20"/>
          <w:lang w:val="es-PE"/>
        </w:rPr>
        <w:t>inet</w:t>
      </w:r>
      <w:proofErr w:type="spellEnd"/>
      <w:r w:rsidR="0032649A">
        <w:rPr>
          <w:rStyle w:val="FootnoteReference"/>
          <w:rFonts w:ascii="Verdana" w:hAnsi="Verdana"/>
          <w:sz w:val="20"/>
          <w:szCs w:val="20"/>
          <w:lang w:val="es-PE"/>
        </w:rPr>
        <w:footnoteReference w:id="17"/>
      </w:r>
      <w:r w:rsidR="0032649A" w:rsidRPr="00870DB2">
        <w:rPr>
          <w:rFonts w:ascii="Verdana" w:hAnsi="Verdana"/>
          <w:sz w:val="20"/>
          <w:szCs w:val="20"/>
          <w:lang w:val="es-PE"/>
        </w:rPr>
        <w:t xml:space="preserve">, Alberto Martín </w:t>
      </w:r>
      <w:proofErr w:type="spellStart"/>
      <w:r w:rsidR="0032649A" w:rsidRPr="00870DB2">
        <w:rPr>
          <w:rFonts w:ascii="Verdana" w:hAnsi="Verdana"/>
          <w:sz w:val="20"/>
          <w:szCs w:val="20"/>
          <w:lang w:val="es-PE"/>
        </w:rPr>
        <w:t>Binder</w:t>
      </w:r>
      <w:proofErr w:type="spellEnd"/>
      <w:r w:rsidR="0032649A">
        <w:rPr>
          <w:rStyle w:val="FootnoteReference"/>
          <w:rFonts w:ascii="Verdana" w:hAnsi="Verdana"/>
          <w:sz w:val="20"/>
          <w:szCs w:val="20"/>
          <w:lang w:val="es-PE"/>
        </w:rPr>
        <w:footnoteReference w:id="18"/>
      </w:r>
      <w:r w:rsidR="0032649A" w:rsidRPr="00870DB2">
        <w:rPr>
          <w:rFonts w:ascii="Verdana" w:hAnsi="Verdana"/>
          <w:sz w:val="20"/>
          <w:szCs w:val="20"/>
          <w:lang w:val="es-PE"/>
        </w:rPr>
        <w:t>, Alejandro E. Álvarez</w:t>
      </w:r>
      <w:r w:rsidR="0032649A">
        <w:rPr>
          <w:rStyle w:val="FootnoteReference"/>
          <w:rFonts w:ascii="Verdana" w:hAnsi="Verdana"/>
          <w:sz w:val="20"/>
          <w:szCs w:val="20"/>
          <w:lang w:val="es-PE"/>
        </w:rPr>
        <w:footnoteReference w:id="19"/>
      </w:r>
      <w:r w:rsidR="00254394">
        <w:rPr>
          <w:rFonts w:ascii="Verdana" w:hAnsi="Verdana"/>
          <w:sz w:val="20"/>
          <w:szCs w:val="20"/>
          <w:lang w:val="es-PE"/>
        </w:rPr>
        <w:t>, y Cé</w:t>
      </w:r>
      <w:r w:rsidR="0032649A" w:rsidRPr="00870DB2">
        <w:rPr>
          <w:rFonts w:ascii="Verdana" w:hAnsi="Verdana"/>
          <w:sz w:val="20"/>
          <w:szCs w:val="20"/>
          <w:lang w:val="es-PE"/>
        </w:rPr>
        <w:t xml:space="preserve">sar Barrientos </w:t>
      </w:r>
      <w:proofErr w:type="spellStart"/>
      <w:r w:rsidR="0032649A" w:rsidRPr="00870DB2">
        <w:rPr>
          <w:rFonts w:ascii="Verdana" w:hAnsi="Verdana"/>
          <w:sz w:val="20"/>
          <w:szCs w:val="20"/>
          <w:lang w:val="es-PE"/>
        </w:rPr>
        <w:t>Pellecer</w:t>
      </w:r>
      <w:proofErr w:type="spellEnd"/>
      <w:r w:rsidR="0032649A">
        <w:rPr>
          <w:rStyle w:val="FootnoteReference"/>
          <w:rFonts w:ascii="Verdana" w:hAnsi="Verdana"/>
          <w:sz w:val="20"/>
          <w:szCs w:val="20"/>
          <w:lang w:val="es-PE"/>
        </w:rPr>
        <w:footnoteReference w:id="20"/>
      </w:r>
      <w:r w:rsidR="0032649A" w:rsidRPr="00870DB2">
        <w:rPr>
          <w:rFonts w:ascii="Verdana" w:hAnsi="Verdana"/>
          <w:sz w:val="20"/>
          <w:szCs w:val="20"/>
          <w:lang w:val="es-PE"/>
        </w:rPr>
        <w:t xml:space="preserve">, </w:t>
      </w:r>
      <w:r w:rsidR="0032649A" w:rsidRPr="00870DB2">
        <w:rPr>
          <w:rFonts w:ascii="Verdana" w:hAnsi="Verdana"/>
          <w:sz w:val="20"/>
          <w:szCs w:val="20"/>
        </w:rPr>
        <w:t>bajo el argumento de su utilidad para acreditar el contexto general de violación a las garantías judiciales, la situación procesal penal y carcelaria</w:t>
      </w:r>
      <w:r w:rsidR="00B03EE8">
        <w:rPr>
          <w:rFonts w:ascii="Verdana" w:hAnsi="Verdana"/>
          <w:sz w:val="20"/>
          <w:szCs w:val="20"/>
        </w:rPr>
        <w:t>.</w:t>
      </w:r>
      <w:r w:rsidR="00340E08">
        <w:rPr>
          <w:rFonts w:ascii="Verdana" w:hAnsi="Verdana"/>
          <w:b/>
          <w:sz w:val="16"/>
          <w:szCs w:val="16"/>
          <w:lang w:val="es-PE"/>
        </w:rPr>
        <w:t xml:space="preserve"> </w:t>
      </w:r>
      <w:r w:rsidR="00B03EE8">
        <w:rPr>
          <w:rFonts w:ascii="Verdana" w:hAnsi="Verdana"/>
          <w:sz w:val="20"/>
          <w:szCs w:val="20"/>
        </w:rPr>
        <w:t>E</w:t>
      </w:r>
      <w:r w:rsidR="0032649A" w:rsidRPr="00870DB2">
        <w:rPr>
          <w:rFonts w:ascii="Verdana" w:hAnsi="Verdana"/>
          <w:sz w:val="20"/>
          <w:szCs w:val="20"/>
        </w:rPr>
        <w:t xml:space="preserve">l Estado señaló que es necesario enfocarse en los hechos del presente caso </w:t>
      </w:r>
      <w:r w:rsidR="009F1322">
        <w:rPr>
          <w:rFonts w:ascii="Verdana" w:hAnsi="Verdana"/>
          <w:sz w:val="20"/>
          <w:szCs w:val="20"/>
        </w:rPr>
        <w:t xml:space="preserve">y solicitó su rechazo. </w:t>
      </w:r>
    </w:p>
    <w:p w:rsidR="0032649A" w:rsidRPr="00A65A2E" w:rsidRDefault="0032649A" w:rsidP="0032649A">
      <w:pPr>
        <w:pStyle w:val="Normal1"/>
        <w:widowControl/>
        <w:autoSpaceDE w:val="0"/>
        <w:autoSpaceDN w:val="0"/>
        <w:adjustRightInd w:val="0"/>
        <w:spacing w:line="276" w:lineRule="auto"/>
        <w:contextualSpacing/>
        <w:jc w:val="both"/>
        <w:rPr>
          <w:rFonts w:ascii="Verdana" w:hAnsi="Verdana"/>
          <w:sz w:val="20"/>
          <w:szCs w:val="20"/>
        </w:rPr>
      </w:pPr>
      <w:r w:rsidRPr="00A65A2E">
        <w:rPr>
          <w:rFonts w:ascii="Verdana" w:hAnsi="Verdana"/>
          <w:sz w:val="20"/>
          <w:szCs w:val="20"/>
        </w:rPr>
        <w:t xml:space="preserve"> </w:t>
      </w:r>
    </w:p>
    <w:p w:rsidR="0032649A" w:rsidRPr="00870DB2" w:rsidRDefault="0032649A" w:rsidP="0032649A">
      <w:pPr>
        <w:pStyle w:val="Normal1"/>
        <w:widowControl/>
        <w:numPr>
          <w:ilvl w:val="0"/>
          <w:numId w:val="2"/>
        </w:numPr>
        <w:autoSpaceDE w:val="0"/>
        <w:autoSpaceDN w:val="0"/>
        <w:adjustRightInd w:val="0"/>
        <w:spacing w:line="276" w:lineRule="auto"/>
        <w:ind w:left="0" w:firstLine="0"/>
        <w:contextualSpacing/>
        <w:jc w:val="both"/>
        <w:rPr>
          <w:rFonts w:ascii="Verdana" w:hAnsi="Verdana"/>
          <w:sz w:val="20"/>
          <w:szCs w:val="20"/>
        </w:rPr>
      </w:pPr>
      <w:r w:rsidRPr="00870DB2">
        <w:rPr>
          <w:rFonts w:ascii="Verdana" w:hAnsi="Verdana"/>
          <w:sz w:val="20"/>
          <w:szCs w:val="20"/>
        </w:rPr>
        <w:t xml:space="preserve"> </w:t>
      </w:r>
      <w:r>
        <w:rPr>
          <w:rFonts w:ascii="Verdana" w:hAnsi="Verdana"/>
          <w:sz w:val="20"/>
          <w:szCs w:val="20"/>
        </w:rPr>
        <w:t>E</w:t>
      </w:r>
      <w:r w:rsidRPr="00870DB2">
        <w:rPr>
          <w:rFonts w:ascii="Verdana" w:hAnsi="Verdana"/>
          <w:sz w:val="20"/>
          <w:szCs w:val="20"/>
          <w:lang w:val="es-PE"/>
        </w:rPr>
        <w:t>l Presidente reitera en esta oportunidad que la incorporación de dictámenes periciales rendidos en otros casos al expediente de un caso en trámite no significa que tales elementos tengan el valor o peso probatorio de un dictamen pericial. De tal modo, en ocasiones anteriores</w:t>
      </w:r>
      <w:r>
        <w:rPr>
          <w:rFonts w:ascii="Verdana" w:hAnsi="Verdana"/>
          <w:sz w:val="20"/>
          <w:szCs w:val="20"/>
          <w:lang w:val="es-PE"/>
        </w:rPr>
        <w:t>,</w:t>
      </w:r>
      <w:r w:rsidRPr="00870DB2">
        <w:rPr>
          <w:rFonts w:ascii="Verdana" w:hAnsi="Verdana"/>
          <w:sz w:val="20"/>
          <w:szCs w:val="20"/>
          <w:lang w:val="es-PE"/>
        </w:rPr>
        <w:t xml:space="preserve"> la Presidencia ha considerado pertinente el traslado de peritajes rendidos en otros casos, incluso contra Estados distintos, </w:t>
      </w:r>
      <w:r w:rsidRPr="00162B8C">
        <w:rPr>
          <w:rFonts w:ascii="Verdana" w:hAnsi="Verdana"/>
          <w:sz w:val="20"/>
          <w:szCs w:val="20"/>
          <w:lang w:val="es-PE"/>
        </w:rPr>
        <w:t xml:space="preserve">como elementos documentales </w:t>
      </w:r>
      <w:r>
        <w:rPr>
          <w:rFonts w:ascii="Verdana" w:hAnsi="Verdana"/>
          <w:sz w:val="20"/>
          <w:szCs w:val="20"/>
          <w:lang w:val="es-PE"/>
        </w:rPr>
        <w:t xml:space="preserve">cuyo </w:t>
      </w:r>
      <w:r w:rsidRPr="00870DB2">
        <w:rPr>
          <w:rFonts w:ascii="Verdana" w:hAnsi="Verdana"/>
          <w:sz w:val="20"/>
          <w:szCs w:val="20"/>
          <w:lang w:val="es-PE"/>
        </w:rPr>
        <w:t xml:space="preserve">valor probatorio </w:t>
      </w:r>
      <w:r>
        <w:rPr>
          <w:rFonts w:ascii="Verdana" w:hAnsi="Verdana"/>
          <w:sz w:val="20"/>
          <w:szCs w:val="20"/>
          <w:lang w:val="es-PE"/>
        </w:rPr>
        <w:t xml:space="preserve">será evaluado </w:t>
      </w:r>
      <w:r w:rsidRPr="00870DB2">
        <w:rPr>
          <w:rFonts w:ascii="Verdana" w:hAnsi="Verdana"/>
          <w:sz w:val="20"/>
          <w:szCs w:val="20"/>
          <w:lang w:val="es-PE"/>
        </w:rPr>
        <w:t>en el momento procesal oportuno, tomando en consideración las observaciones presentadas por las partes en ejercicio de su derecho de defensa</w:t>
      </w:r>
      <w:r w:rsidRPr="00870DB2">
        <w:rPr>
          <w:rStyle w:val="FootnoteReference"/>
          <w:rFonts w:ascii="Verdana" w:hAnsi="Verdana"/>
          <w:sz w:val="20"/>
          <w:szCs w:val="20"/>
          <w:lang w:val="es-PE"/>
        </w:rPr>
        <w:footnoteReference w:id="21"/>
      </w:r>
      <w:r w:rsidRPr="00870DB2">
        <w:rPr>
          <w:rFonts w:ascii="Verdana" w:hAnsi="Verdana"/>
          <w:sz w:val="20"/>
          <w:szCs w:val="20"/>
          <w:lang w:val="es-PE"/>
        </w:rPr>
        <w:t>.</w:t>
      </w:r>
    </w:p>
    <w:p w:rsidR="0032649A" w:rsidRPr="00274ADC" w:rsidRDefault="0032649A" w:rsidP="0032649A">
      <w:pPr>
        <w:pStyle w:val="Normal1"/>
        <w:widowControl/>
        <w:autoSpaceDE w:val="0"/>
        <w:autoSpaceDN w:val="0"/>
        <w:adjustRightInd w:val="0"/>
        <w:spacing w:line="276" w:lineRule="auto"/>
        <w:contextualSpacing/>
        <w:jc w:val="both"/>
        <w:rPr>
          <w:rFonts w:ascii="Verdana" w:hAnsi="Verdana"/>
          <w:i/>
          <w:sz w:val="20"/>
          <w:szCs w:val="20"/>
        </w:rPr>
      </w:pPr>
    </w:p>
    <w:p w:rsidR="0032649A" w:rsidRPr="00D33E60" w:rsidRDefault="0032649A" w:rsidP="0032649A">
      <w:pPr>
        <w:pStyle w:val="ListParagraph"/>
        <w:widowControl w:val="0"/>
        <w:numPr>
          <w:ilvl w:val="0"/>
          <w:numId w:val="2"/>
        </w:numPr>
        <w:tabs>
          <w:tab w:val="left" w:pos="567"/>
          <w:tab w:val="left" w:pos="810"/>
        </w:tabs>
        <w:autoSpaceDE w:val="0"/>
        <w:autoSpaceDN w:val="0"/>
        <w:adjustRightInd w:val="0"/>
        <w:spacing w:after="0"/>
        <w:ind w:left="0" w:right="22" w:firstLine="0"/>
        <w:jc w:val="both"/>
        <w:rPr>
          <w:color w:val="000000" w:themeColor="text1"/>
          <w:lang w:val="es-ES"/>
        </w:rPr>
      </w:pPr>
      <w:r w:rsidRPr="003E00F1">
        <w:rPr>
          <w:rFonts w:ascii="Verdana" w:hAnsi="Verdana"/>
          <w:color w:val="000000" w:themeColor="text1"/>
          <w:sz w:val="20"/>
          <w:szCs w:val="20"/>
          <w:lang w:val="es-ES"/>
        </w:rPr>
        <w:t xml:space="preserve">El Presidente nota que los peritajes rendidos por </w:t>
      </w:r>
      <w:r w:rsidRPr="003E00F1">
        <w:rPr>
          <w:rFonts w:ascii="Verdana" w:hAnsi="Verdana"/>
          <w:sz w:val="20"/>
          <w:szCs w:val="20"/>
          <w:lang w:val="es-PE"/>
        </w:rPr>
        <w:t>los seño</w:t>
      </w:r>
      <w:r>
        <w:rPr>
          <w:rFonts w:ascii="Verdana" w:hAnsi="Verdana"/>
          <w:sz w:val="20"/>
          <w:szCs w:val="20"/>
          <w:lang w:val="es-PE"/>
        </w:rPr>
        <w:t xml:space="preserve">res Eduardo Montealegre </w:t>
      </w:r>
      <w:proofErr w:type="spellStart"/>
      <w:r>
        <w:rPr>
          <w:rFonts w:ascii="Verdana" w:hAnsi="Verdana"/>
          <w:sz w:val="20"/>
          <w:szCs w:val="20"/>
          <w:lang w:val="es-PE"/>
        </w:rPr>
        <w:t>L</w:t>
      </w:r>
      <w:r w:rsidR="00BE019A">
        <w:rPr>
          <w:rFonts w:ascii="Verdana" w:hAnsi="Verdana"/>
          <w:sz w:val="20"/>
          <w:szCs w:val="20"/>
          <w:lang w:val="es-PE"/>
        </w:rPr>
        <w:t>y</w:t>
      </w:r>
      <w:r>
        <w:rPr>
          <w:rFonts w:ascii="Verdana" w:hAnsi="Verdana"/>
          <w:sz w:val="20"/>
          <w:szCs w:val="20"/>
          <w:lang w:val="es-PE"/>
        </w:rPr>
        <w:t>inet</w:t>
      </w:r>
      <w:proofErr w:type="spellEnd"/>
      <w:r>
        <w:rPr>
          <w:rFonts w:ascii="Verdana" w:hAnsi="Verdana"/>
          <w:sz w:val="20"/>
          <w:szCs w:val="20"/>
          <w:lang w:val="es-PE"/>
        </w:rPr>
        <w:t>,</w:t>
      </w:r>
      <w:r w:rsidRPr="003E00F1">
        <w:rPr>
          <w:rFonts w:ascii="Verdana" w:hAnsi="Verdana"/>
          <w:sz w:val="20"/>
          <w:szCs w:val="20"/>
          <w:lang w:val="es-PE"/>
        </w:rPr>
        <w:t xml:space="preserve"> Alberto Martín </w:t>
      </w:r>
      <w:proofErr w:type="spellStart"/>
      <w:r w:rsidRPr="003E00F1">
        <w:rPr>
          <w:rFonts w:ascii="Verdana" w:hAnsi="Verdana"/>
          <w:sz w:val="20"/>
          <w:szCs w:val="20"/>
          <w:lang w:val="es-PE"/>
        </w:rPr>
        <w:t>Binder</w:t>
      </w:r>
      <w:proofErr w:type="spellEnd"/>
      <w:r w:rsidRPr="003E00F1">
        <w:rPr>
          <w:rFonts w:ascii="Verdana" w:hAnsi="Verdana"/>
          <w:sz w:val="20"/>
          <w:szCs w:val="20"/>
          <w:lang w:val="es-PE"/>
        </w:rPr>
        <w:t>,</w:t>
      </w:r>
      <w:r>
        <w:rPr>
          <w:rFonts w:ascii="Verdana" w:hAnsi="Verdana"/>
          <w:sz w:val="20"/>
          <w:szCs w:val="20"/>
          <w:lang w:val="es-PE"/>
        </w:rPr>
        <w:t xml:space="preserve"> </w:t>
      </w:r>
      <w:r w:rsidRPr="003E00F1">
        <w:rPr>
          <w:rFonts w:ascii="Verdana" w:hAnsi="Verdana"/>
          <w:sz w:val="20"/>
          <w:szCs w:val="20"/>
          <w:lang w:val="es-PE"/>
        </w:rPr>
        <w:t>Alejandro E. Álvarez, y Cesar Barrientos</w:t>
      </w:r>
      <w:r>
        <w:rPr>
          <w:rFonts w:ascii="Verdana" w:hAnsi="Verdana"/>
          <w:sz w:val="20"/>
          <w:szCs w:val="20"/>
          <w:lang w:val="es-PE"/>
        </w:rPr>
        <w:t xml:space="preserve"> </w:t>
      </w:r>
      <w:proofErr w:type="spellStart"/>
      <w:r w:rsidRPr="003E00F1">
        <w:rPr>
          <w:rFonts w:ascii="Verdana" w:hAnsi="Verdana"/>
          <w:sz w:val="20"/>
          <w:szCs w:val="20"/>
          <w:lang w:val="es-PE"/>
        </w:rPr>
        <w:t>Pellecer</w:t>
      </w:r>
      <w:proofErr w:type="spellEnd"/>
      <w:r w:rsidRPr="003E00F1">
        <w:rPr>
          <w:rFonts w:ascii="Verdana" w:hAnsi="Verdana"/>
          <w:color w:val="000000" w:themeColor="text1"/>
          <w:sz w:val="20"/>
          <w:szCs w:val="20"/>
          <w:lang w:val="es-ES"/>
        </w:rPr>
        <w:t xml:space="preserve"> son relativos al desarrollo del proceso penal en Guatemala, en especial s</w:t>
      </w:r>
      <w:r>
        <w:rPr>
          <w:rFonts w:ascii="Verdana" w:hAnsi="Verdana"/>
          <w:color w:val="000000" w:themeColor="text1"/>
          <w:sz w:val="20"/>
          <w:szCs w:val="20"/>
          <w:lang w:val="es-ES"/>
        </w:rPr>
        <w:t>obre las garantías en él contem</w:t>
      </w:r>
      <w:r w:rsidR="009F6594">
        <w:rPr>
          <w:rFonts w:ascii="Verdana" w:hAnsi="Verdana"/>
          <w:color w:val="000000" w:themeColor="text1"/>
          <w:sz w:val="20"/>
          <w:szCs w:val="20"/>
          <w:lang w:val="es-ES"/>
        </w:rPr>
        <w:t>pladas, como el derecho defensa,</w:t>
      </w:r>
      <w:r>
        <w:rPr>
          <w:rFonts w:ascii="Verdana" w:hAnsi="Verdana"/>
          <w:color w:val="000000" w:themeColor="text1"/>
          <w:sz w:val="20"/>
          <w:szCs w:val="20"/>
          <w:lang w:val="es-ES"/>
        </w:rPr>
        <w:t xml:space="preserve"> y de manera particular</w:t>
      </w:r>
      <w:r w:rsidR="003401D7">
        <w:rPr>
          <w:rFonts w:ascii="Verdana" w:hAnsi="Verdana"/>
          <w:color w:val="000000" w:themeColor="text1"/>
          <w:sz w:val="20"/>
          <w:szCs w:val="20"/>
          <w:lang w:val="es-ES"/>
        </w:rPr>
        <w:t>,</w:t>
      </w:r>
      <w:r>
        <w:rPr>
          <w:rFonts w:ascii="Verdana" w:hAnsi="Verdana"/>
          <w:color w:val="000000" w:themeColor="text1"/>
          <w:sz w:val="20"/>
          <w:szCs w:val="20"/>
          <w:lang w:val="es-ES"/>
        </w:rPr>
        <w:t xml:space="preserve"> en referencia a los</w:t>
      </w:r>
      <w:r w:rsidRPr="003E00F1">
        <w:rPr>
          <w:rFonts w:ascii="Verdana" w:hAnsi="Verdana"/>
          <w:color w:val="000000" w:themeColor="text1"/>
          <w:sz w:val="20"/>
          <w:szCs w:val="20"/>
          <w:lang w:val="es-ES"/>
        </w:rPr>
        <w:t xml:space="preserve"> procesos en los que el </w:t>
      </w:r>
      <w:r>
        <w:rPr>
          <w:rFonts w:ascii="Verdana" w:hAnsi="Verdana"/>
          <w:color w:val="000000" w:themeColor="text1"/>
          <w:sz w:val="20"/>
          <w:szCs w:val="20"/>
          <w:lang w:val="es-ES"/>
        </w:rPr>
        <w:t>tipo penal invocado contempla como alternativa la sanción de la</w:t>
      </w:r>
      <w:r w:rsidRPr="003E00F1">
        <w:rPr>
          <w:rFonts w:ascii="Verdana" w:hAnsi="Verdana"/>
          <w:color w:val="000000" w:themeColor="text1"/>
          <w:sz w:val="20"/>
          <w:szCs w:val="20"/>
          <w:lang w:val="es-ES"/>
        </w:rPr>
        <w:t xml:space="preserve"> pena </w:t>
      </w:r>
      <w:r w:rsidRPr="003E00F1">
        <w:rPr>
          <w:rFonts w:ascii="Verdana" w:hAnsi="Verdana"/>
          <w:color w:val="000000" w:themeColor="text1"/>
          <w:sz w:val="20"/>
          <w:szCs w:val="20"/>
          <w:lang w:val="es-ES"/>
        </w:rPr>
        <w:lastRenderedPageBreak/>
        <w:t>de muerte</w:t>
      </w:r>
      <w:r w:rsidR="009F6594">
        <w:rPr>
          <w:rFonts w:ascii="Verdana" w:hAnsi="Verdana"/>
          <w:color w:val="000000" w:themeColor="text1"/>
          <w:sz w:val="20"/>
          <w:szCs w:val="20"/>
          <w:lang w:val="es-ES"/>
        </w:rPr>
        <w:t>,</w:t>
      </w:r>
      <w:r>
        <w:rPr>
          <w:rFonts w:ascii="Verdana" w:hAnsi="Verdana"/>
          <w:color w:val="000000" w:themeColor="text1"/>
          <w:sz w:val="20"/>
          <w:szCs w:val="20"/>
          <w:lang w:val="es-ES"/>
        </w:rPr>
        <w:t xml:space="preserve"> temas estrechamente vinculados con la plataforma fáctica del caso </w:t>
      </w:r>
      <w:r>
        <w:rPr>
          <w:rFonts w:ascii="Verdana" w:hAnsi="Verdana"/>
          <w:i/>
          <w:color w:val="000000" w:themeColor="text1"/>
          <w:sz w:val="20"/>
          <w:szCs w:val="20"/>
          <w:lang w:val="es-ES"/>
        </w:rPr>
        <w:t>sub examine.</w:t>
      </w:r>
    </w:p>
    <w:p w:rsidR="0032649A" w:rsidRPr="00FF5AFD" w:rsidRDefault="0032649A" w:rsidP="0032649A">
      <w:pPr>
        <w:pStyle w:val="ListParagraph"/>
        <w:widowControl w:val="0"/>
        <w:tabs>
          <w:tab w:val="left" w:pos="567"/>
          <w:tab w:val="left" w:pos="810"/>
        </w:tabs>
        <w:autoSpaceDE w:val="0"/>
        <w:autoSpaceDN w:val="0"/>
        <w:adjustRightInd w:val="0"/>
        <w:spacing w:after="0"/>
        <w:ind w:left="0" w:right="22"/>
        <w:jc w:val="both"/>
        <w:rPr>
          <w:b/>
          <w:color w:val="000000" w:themeColor="text1"/>
          <w:lang w:val="es-CR"/>
        </w:rPr>
      </w:pPr>
    </w:p>
    <w:p w:rsidR="0032649A" w:rsidRPr="00870DB2" w:rsidRDefault="0032649A" w:rsidP="0032649A">
      <w:pPr>
        <w:pStyle w:val="Normal1"/>
        <w:widowControl/>
        <w:numPr>
          <w:ilvl w:val="0"/>
          <w:numId w:val="2"/>
        </w:numPr>
        <w:autoSpaceDE w:val="0"/>
        <w:autoSpaceDN w:val="0"/>
        <w:adjustRightInd w:val="0"/>
        <w:spacing w:line="276" w:lineRule="auto"/>
        <w:ind w:left="0" w:firstLine="0"/>
        <w:contextualSpacing/>
        <w:jc w:val="both"/>
        <w:rPr>
          <w:rFonts w:ascii="Verdana" w:hAnsi="Verdana"/>
          <w:i/>
          <w:sz w:val="20"/>
          <w:szCs w:val="20"/>
        </w:rPr>
      </w:pPr>
      <w:r w:rsidRPr="00870DB2">
        <w:rPr>
          <w:rFonts w:ascii="Verdana" w:hAnsi="Verdana"/>
          <w:sz w:val="20"/>
          <w:szCs w:val="20"/>
          <w:lang w:val="es-PE"/>
        </w:rPr>
        <w:t xml:space="preserve">De manera que, en atención a los principios de economía y celeridad procesales, esta Presidencia considera oportuno, toda vez que podrían resultar útiles para la resolución del presente caso, incorporar al acervo probatorio en lo que resulte pertinente los peritajes rendidos por los señores Eduardo Montealegre </w:t>
      </w:r>
      <w:proofErr w:type="spellStart"/>
      <w:r w:rsidRPr="00870DB2">
        <w:rPr>
          <w:rFonts w:ascii="Verdana" w:hAnsi="Verdana"/>
          <w:sz w:val="20"/>
          <w:szCs w:val="20"/>
          <w:lang w:val="es-PE"/>
        </w:rPr>
        <w:t>L</w:t>
      </w:r>
      <w:r w:rsidR="00BE019A">
        <w:rPr>
          <w:rFonts w:ascii="Verdana" w:hAnsi="Verdana"/>
          <w:sz w:val="20"/>
          <w:szCs w:val="20"/>
          <w:lang w:val="es-PE"/>
        </w:rPr>
        <w:t>y</w:t>
      </w:r>
      <w:r w:rsidRPr="00870DB2">
        <w:rPr>
          <w:rFonts w:ascii="Verdana" w:hAnsi="Verdana"/>
          <w:sz w:val="20"/>
          <w:szCs w:val="20"/>
          <w:lang w:val="es-PE"/>
        </w:rPr>
        <w:t>inet</w:t>
      </w:r>
      <w:proofErr w:type="spellEnd"/>
      <w:r w:rsidRPr="00870DB2">
        <w:rPr>
          <w:rFonts w:ascii="Verdana" w:hAnsi="Verdana"/>
          <w:sz w:val="20"/>
          <w:szCs w:val="20"/>
          <w:lang w:val="es-PE"/>
        </w:rPr>
        <w:t xml:space="preserve">, Alberto Martín </w:t>
      </w:r>
      <w:proofErr w:type="spellStart"/>
      <w:r w:rsidRPr="00870DB2">
        <w:rPr>
          <w:rFonts w:ascii="Verdana" w:hAnsi="Verdana"/>
          <w:sz w:val="20"/>
          <w:szCs w:val="20"/>
          <w:lang w:val="es-PE"/>
        </w:rPr>
        <w:t>Binder</w:t>
      </w:r>
      <w:proofErr w:type="spellEnd"/>
      <w:r w:rsidRPr="00870DB2">
        <w:rPr>
          <w:rFonts w:ascii="Verdana" w:hAnsi="Verdana"/>
          <w:sz w:val="20"/>
          <w:szCs w:val="20"/>
          <w:lang w:val="es-PE"/>
        </w:rPr>
        <w:t xml:space="preserve">, Alejandro E. Álvarez, y Cesar </w:t>
      </w:r>
      <w:proofErr w:type="spellStart"/>
      <w:r w:rsidRPr="00870DB2">
        <w:rPr>
          <w:rFonts w:ascii="Verdana" w:hAnsi="Verdana"/>
          <w:sz w:val="20"/>
          <w:szCs w:val="20"/>
          <w:lang w:val="es-PE"/>
        </w:rPr>
        <w:t>Pellecer</w:t>
      </w:r>
      <w:proofErr w:type="spellEnd"/>
      <w:r w:rsidRPr="00870DB2">
        <w:rPr>
          <w:rFonts w:ascii="Verdana" w:hAnsi="Verdana"/>
          <w:sz w:val="20"/>
          <w:szCs w:val="20"/>
          <w:lang w:val="es-PE"/>
        </w:rPr>
        <w:t xml:space="preserve"> Barrientos, en el caso </w:t>
      </w:r>
      <w:r w:rsidRPr="00870DB2">
        <w:rPr>
          <w:rFonts w:ascii="Verdana" w:hAnsi="Verdana"/>
          <w:i/>
          <w:sz w:val="20"/>
          <w:szCs w:val="20"/>
          <w:lang w:val="es-PE"/>
        </w:rPr>
        <w:t xml:space="preserve">Fermín Ramírez Vs. Guatemala. </w:t>
      </w:r>
      <w:r w:rsidRPr="00870DB2">
        <w:rPr>
          <w:rFonts w:ascii="Verdana" w:hAnsi="Verdana"/>
          <w:sz w:val="20"/>
          <w:szCs w:val="20"/>
          <w:lang w:val="es-PE"/>
        </w:rPr>
        <w:t>En tanto que dichos dictámenes son prueba documental a efectos del presente caso, las partes podrán referirse al mismo en sus alegatos finales orales</w:t>
      </w:r>
      <w:r>
        <w:rPr>
          <w:rFonts w:ascii="Verdana" w:hAnsi="Verdana"/>
          <w:sz w:val="20"/>
          <w:szCs w:val="20"/>
          <w:lang w:val="es-PE"/>
        </w:rPr>
        <w:t xml:space="preserve"> y escritos</w:t>
      </w:r>
      <w:r w:rsidRPr="00870DB2">
        <w:rPr>
          <w:rFonts w:ascii="Verdana" w:hAnsi="Verdana"/>
          <w:i/>
          <w:sz w:val="20"/>
          <w:szCs w:val="20"/>
          <w:lang w:val="es-PE"/>
        </w:rPr>
        <w:t>.</w:t>
      </w:r>
    </w:p>
    <w:p w:rsidR="0032649A" w:rsidRPr="00870DB2" w:rsidRDefault="0032649A" w:rsidP="0032649A">
      <w:pPr>
        <w:pStyle w:val="Normal1"/>
        <w:widowControl/>
        <w:autoSpaceDE w:val="0"/>
        <w:autoSpaceDN w:val="0"/>
        <w:adjustRightInd w:val="0"/>
        <w:spacing w:line="276" w:lineRule="auto"/>
        <w:contextualSpacing/>
        <w:jc w:val="both"/>
        <w:rPr>
          <w:rFonts w:ascii="Verdana" w:hAnsi="Verdana"/>
          <w:sz w:val="20"/>
          <w:szCs w:val="20"/>
        </w:rPr>
      </w:pPr>
    </w:p>
    <w:p w:rsidR="0032649A" w:rsidRPr="00162B8C" w:rsidRDefault="0032649A" w:rsidP="0032649A">
      <w:pPr>
        <w:pStyle w:val="ListParagraph"/>
        <w:spacing w:after="0"/>
        <w:jc w:val="both"/>
        <w:rPr>
          <w:rFonts w:ascii="Verdana" w:hAnsi="Verdana"/>
          <w:b/>
          <w:i/>
          <w:sz w:val="20"/>
          <w:szCs w:val="20"/>
          <w:lang w:val="es-CR"/>
        </w:rPr>
      </w:pPr>
      <w:r w:rsidRPr="00162B8C">
        <w:rPr>
          <w:rFonts w:ascii="Verdana" w:hAnsi="Verdana"/>
          <w:b/>
          <w:i/>
          <w:sz w:val="20"/>
          <w:szCs w:val="20"/>
          <w:lang w:val="es-CR"/>
        </w:rPr>
        <w:t xml:space="preserve">C. Admisibilidad </w:t>
      </w:r>
      <w:r w:rsidRPr="00682BD4">
        <w:rPr>
          <w:rFonts w:ascii="Verdana" w:hAnsi="Verdana"/>
          <w:b/>
          <w:i/>
          <w:sz w:val="20"/>
          <w:szCs w:val="20"/>
          <w:lang w:val="es-PE"/>
        </w:rPr>
        <w:t>de la declaración testimonial planteada por el Estado</w:t>
      </w:r>
      <w:r w:rsidRPr="00162B8C">
        <w:rPr>
          <w:rFonts w:ascii="Verdana" w:hAnsi="Verdana"/>
          <w:b/>
          <w:i/>
          <w:sz w:val="20"/>
          <w:szCs w:val="20"/>
          <w:lang w:val="es-CR"/>
        </w:rPr>
        <w:t>.</w:t>
      </w:r>
    </w:p>
    <w:p w:rsidR="0032649A" w:rsidRPr="00162B8C" w:rsidRDefault="0032649A" w:rsidP="0032649A">
      <w:pPr>
        <w:pStyle w:val="ListParagraph"/>
        <w:spacing w:after="0"/>
        <w:jc w:val="both"/>
        <w:rPr>
          <w:rFonts w:ascii="Verdana" w:hAnsi="Verdana"/>
          <w:b/>
          <w:i/>
          <w:sz w:val="20"/>
          <w:szCs w:val="20"/>
          <w:lang w:val="es-CR"/>
        </w:rPr>
      </w:pPr>
    </w:p>
    <w:p w:rsidR="0032649A" w:rsidRPr="00162B8C" w:rsidRDefault="0032649A" w:rsidP="00340E08">
      <w:pPr>
        <w:pStyle w:val="Normal1"/>
        <w:widowControl/>
        <w:numPr>
          <w:ilvl w:val="0"/>
          <w:numId w:val="2"/>
        </w:numPr>
        <w:autoSpaceDE w:val="0"/>
        <w:autoSpaceDN w:val="0"/>
        <w:adjustRightInd w:val="0"/>
        <w:spacing w:line="276" w:lineRule="auto"/>
        <w:ind w:left="0" w:firstLine="0"/>
        <w:contextualSpacing/>
        <w:jc w:val="both"/>
        <w:rPr>
          <w:rFonts w:ascii="Verdana" w:hAnsi="Verdana"/>
          <w:sz w:val="20"/>
          <w:szCs w:val="20"/>
        </w:rPr>
      </w:pPr>
      <w:r w:rsidRPr="00162B8C">
        <w:rPr>
          <w:rFonts w:ascii="Verdana" w:hAnsi="Verdana"/>
          <w:sz w:val="20"/>
          <w:szCs w:val="20"/>
        </w:rPr>
        <w:t xml:space="preserve">El </w:t>
      </w:r>
      <w:r w:rsidRPr="00162B8C">
        <w:rPr>
          <w:rFonts w:ascii="Verdana" w:hAnsi="Verdana"/>
          <w:b/>
          <w:i/>
          <w:sz w:val="20"/>
          <w:szCs w:val="20"/>
        </w:rPr>
        <w:t>Estado</w:t>
      </w:r>
      <w:r w:rsidRPr="00162B8C">
        <w:rPr>
          <w:rFonts w:ascii="Verdana" w:hAnsi="Verdana"/>
          <w:sz w:val="20"/>
          <w:szCs w:val="20"/>
        </w:rPr>
        <w:t xml:space="preserve"> propuso en su escrito de contestación el testimonio del señor Pedro Motta Gonzáles</w:t>
      </w:r>
      <w:r w:rsidRPr="00162B8C">
        <w:rPr>
          <w:rStyle w:val="FootnoteReference"/>
          <w:rFonts w:ascii="Verdana" w:hAnsi="Verdana"/>
          <w:sz w:val="20"/>
          <w:szCs w:val="20"/>
        </w:rPr>
        <w:footnoteReference w:id="22"/>
      </w:r>
      <w:r w:rsidRPr="00162B8C">
        <w:rPr>
          <w:rFonts w:ascii="Verdana" w:hAnsi="Verdana"/>
          <w:sz w:val="20"/>
          <w:szCs w:val="20"/>
        </w:rPr>
        <w:t>, agraviado en el proceso interno por el cual se condenó a pena de muerte a las presunt</w:t>
      </w:r>
      <w:r w:rsidR="00340E08">
        <w:rPr>
          <w:rFonts w:ascii="Verdana" w:hAnsi="Verdana"/>
          <w:sz w:val="20"/>
          <w:szCs w:val="20"/>
        </w:rPr>
        <w:t>as víctimas en el presente caso.</w:t>
      </w:r>
    </w:p>
    <w:p w:rsidR="0032649A" w:rsidRPr="00162B8C" w:rsidRDefault="0032649A" w:rsidP="00340E08">
      <w:pPr>
        <w:pStyle w:val="Normal1"/>
        <w:widowControl/>
        <w:autoSpaceDE w:val="0"/>
        <w:autoSpaceDN w:val="0"/>
        <w:adjustRightInd w:val="0"/>
        <w:spacing w:line="276" w:lineRule="auto"/>
        <w:contextualSpacing/>
        <w:jc w:val="both"/>
        <w:rPr>
          <w:rFonts w:ascii="Verdana" w:hAnsi="Verdana"/>
          <w:sz w:val="20"/>
          <w:szCs w:val="20"/>
        </w:rPr>
      </w:pPr>
    </w:p>
    <w:p w:rsidR="0032649A" w:rsidRPr="00162B8C" w:rsidRDefault="00B03EE8" w:rsidP="00340E08">
      <w:pPr>
        <w:pStyle w:val="Normal1"/>
        <w:widowControl/>
        <w:numPr>
          <w:ilvl w:val="0"/>
          <w:numId w:val="2"/>
        </w:numPr>
        <w:autoSpaceDE w:val="0"/>
        <w:autoSpaceDN w:val="0"/>
        <w:adjustRightInd w:val="0"/>
        <w:spacing w:line="276" w:lineRule="auto"/>
        <w:ind w:left="0" w:firstLine="0"/>
        <w:contextualSpacing/>
        <w:jc w:val="both"/>
        <w:rPr>
          <w:rFonts w:ascii="Verdana" w:hAnsi="Verdana"/>
          <w:sz w:val="20"/>
          <w:szCs w:val="20"/>
        </w:rPr>
      </w:pPr>
      <w:r>
        <w:rPr>
          <w:rFonts w:ascii="Verdana" w:hAnsi="Verdana"/>
          <w:sz w:val="20"/>
          <w:szCs w:val="20"/>
        </w:rPr>
        <w:t>E</w:t>
      </w:r>
      <w:r w:rsidR="0032649A" w:rsidRPr="00162B8C">
        <w:rPr>
          <w:rFonts w:ascii="Verdana" w:hAnsi="Verdana"/>
          <w:sz w:val="20"/>
          <w:szCs w:val="20"/>
        </w:rPr>
        <w:t xml:space="preserve">sta Presidencia hace notar que </w:t>
      </w:r>
      <w:r w:rsidR="0032649A" w:rsidRPr="00162B8C">
        <w:rPr>
          <w:rFonts w:ascii="Verdana" w:hAnsi="Verdana"/>
          <w:sz w:val="20"/>
          <w:szCs w:val="20"/>
          <w:lang w:val="es-PE"/>
        </w:rPr>
        <w:t xml:space="preserve">el Estado no ha cumplido con enviar su lista definitiva de declarantes en el plazo establecido para tales efectos, por lo que entiende que no ha ratificado su ofrecimiento. Por lo expuesto, al haber </w:t>
      </w:r>
      <w:proofErr w:type="spellStart"/>
      <w:r w:rsidR="0032649A" w:rsidRPr="00162B8C">
        <w:rPr>
          <w:rFonts w:ascii="Verdana" w:hAnsi="Verdana"/>
          <w:sz w:val="20"/>
          <w:szCs w:val="20"/>
          <w:lang w:val="es-PE"/>
        </w:rPr>
        <w:t>precluído</w:t>
      </w:r>
      <w:proofErr w:type="spellEnd"/>
      <w:r w:rsidR="0032649A" w:rsidRPr="00162B8C">
        <w:rPr>
          <w:rFonts w:ascii="Verdana" w:hAnsi="Verdana"/>
          <w:sz w:val="20"/>
          <w:szCs w:val="20"/>
          <w:lang w:val="es-PE"/>
        </w:rPr>
        <w:t xml:space="preserve"> la etapa procesal contenida en el artículo 46 del Reglamento de la Corte, tal prueba resulta inadmisible</w:t>
      </w:r>
      <w:r w:rsidR="0032649A" w:rsidRPr="00162B8C">
        <w:rPr>
          <w:rFonts w:ascii="Verdana" w:hAnsi="Verdana"/>
          <w:sz w:val="20"/>
          <w:szCs w:val="20"/>
        </w:rPr>
        <w:t xml:space="preserve">. </w:t>
      </w:r>
    </w:p>
    <w:p w:rsidR="0032649A" w:rsidRPr="00870DB2" w:rsidRDefault="0032649A" w:rsidP="0032649A">
      <w:pPr>
        <w:pStyle w:val="ListParagraph"/>
        <w:spacing w:after="0"/>
        <w:jc w:val="both"/>
        <w:rPr>
          <w:rFonts w:ascii="Verdana" w:hAnsi="Verdana"/>
          <w:b/>
          <w:i/>
          <w:sz w:val="20"/>
          <w:szCs w:val="20"/>
          <w:lang w:val="es-CR"/>
        </w:rPr>
      </w:pPr>
    </w:p>
    <w:p w:rsidR="0032649A" w:rsidRPr="00870DB2" w:rsidRDefault="0032649A" w:rsidP="0032649A">
      <w:pPr>
        <w:pStyle w:val="ListParagraph"/>
        <w:spacing w:after="0"/>
        <w:jc w:val="both"/>
        <w:rPr>
          <w:rFonts w:ascii="Verdana" w:hAnsi="Verdana"/>
          <w:b/>
          <w:i/>
          <w:sz w:val="20"/>
          <w:szCs w:val="20"/>
          <w:lang w:val="es-CR"/>
        </w:rPr>
      </w:pPr>
      <w:r>
        <w:rPr>
          <w:rFonts w:ascii="Verdana" w:hAnsi="Verdana"/>
          <w:b/>
          <w:i/>
          <w:sz w:val="20"/>
          <w:szCs w:val="20"/>
          <w:lang w:val="es-CR"/>
        </w:rPr>
        <w:t>D</w:t>
      </w:r>
      <w:r w:rsidRPr="00870DB2">
        <w:rPr>
          <w:rFonts w:ascii="Verdana" w:hAnsi="Verdana"/>
          <w:b/>
          <w:i/>
          <w:sz w:val="20"/>
          <w:szCs w:val="20"/>
          <w:lang w:val="es-CR"/>
        </w:rPr>
        <w:t xml:space="preserve">. Admisibilidad </w:t>
      </w:r>
      <w:r>
        <w:rPr>
          <w:rFonts w:ascii="Verdana" w:hAnsi="Verdana"/>
          <w:b/>
          <w:i/>
          <w:sz w:val="20"/>
          <w:szCs w:val="20"/>
          <w:lang w:val="es-CR"/>
        </w:rPr>
        <w:t xml:space="preserve">del traslado </w:t>
      </w:r>
      <w:r w:rsidRPr="00870DB2">
        <w:rPr>
          <w:rFonts w:ascii="Verdana" w:hAnsi="Verdana"/>
          <w:b/>
          <w:i/>
          <w:sz w:val="20"/>
          <w:szCs w:val="20"/>
          <w:lang w:val="es-CR"/>
        </w:rPr>
        <w:t>d</w:t>
      </w:r>
      <w:r>
        <w:rPr>
          <w:rFonts w:ascii="Verdana" w:hAnsi="Verdana"/>
          <w:b/>
          <w:i/>
          <w:sz w:val="20"/>
          <w:szCs w:val="20"/>
          <w:lang w:val="es-CR"/>
        </w:rPr>
        <w:t>e la prueba pericial propuesta</w:t>
      </w:r>
      <w:r w:rsidRPr="00870DB2">
        <w:rPr>
          <w:rFonts w:ascii="Verdana" w:hAnsi="Verdana"/>
          <w:b/>
          <w:i/>
          <w:sz w:val="20"/>
          <w:szCs w:val="20"/>
          <w:lang w:val="es-CR"/>
        </w:rPr>
        <w:t xml:space="preserve"> por</w:t>
      </w:r>
      <w:r>
        <w:rPr>
          <w:rFonts w:ascii="Verdana" w:hAnsi="Verdana"/>
          <w:b/>
          <w:i/>
          <w:sz w:val="20"/>
          <w:szCs w:val="20"/>
          <w:lang w:val="es-CR"/>
        </w:rPr>
        <w:t xml:space="preserve"> la Comisión Interamericana</w:t>
      </w:r>
    </w:p>
    <w:p w:rsidR="0032649A" w:rsidRPr="00870DB2" w:rsidRDefault="0032649A" w:rsidP="0032649A">
      <w:pPr>
        <w:pStyle w:val="Normal1"/>
        <w:widowControl/>
        <w:spacing w:line="276" w:lineRule="auto"/>
        <w:contextualSpacing/>
        <w:jc w:val="both"/>
        <w:rPr>
          <w:rFonts w:ascii="Verdana" w:hAnsi="Verdana"/>
          <w:sz w:val="20"/>
          <w:szCs w:val="20"/>
        </w:rPr>
      </w:pPr>
    </w:p>
    <w:p w:rsidR="0032649A" w:rsidRPr="00BC7157" w:rsidRDefault="0032649A" w:rsidP="0032649A">
      <w:pPr>
        <w:pStyle w:val="Normal1"/>
        <w:widowControl/>
        <w:numPr>
          <w:ilvl w:val="0"/>
          <w:numId w:val="2"/>
        </w:numPr>
        <w:spacing w:line="276" w:lineRule="auto"/>
        <w:ind w:left="0" w:firstLine="0"/>
        <w:contextualSpacing/>
        <w:jc w:val="both"/>
        <w:rPr>
          <w:rFonts w:ascii="Verdana" w:hAnsi="Verdana"/>
          <w:sz w:val="20"/>
          <w:szCs w:val="20"/>
        </w:rPr>
      </w:pPr>
      <w:r w:rsidRPr="00870DB2">
        <w:rPr>
          <w:rFonts w:ascii="Verdana" w:hAnsi="Verdana"/>
          <w:sz w:val="20"/>
          <w:szCs w:val="20"/>
        </w:rPr>
        <w:t xml:space="preserve">La </w:t>
      </w:r>
      <w:r w:rsidRPr="00870DB2">
        <w:rPr>
          <w:rFonts w:ascii="Verdana" w:hAnsi="Verdana"/>
          <w:b/>
          <w:i/>
          <w:sz w:val="20"/>
          <w:szCs w:val="20"/>
        </w:rPr>
        <w:t>Comisión</w:t>
      </w:r>
      <w:r w:rsidRPr="00870DB2">
        <w:rPr>
          <w:rFonts w:ascii="Verdana" w:hAnsi="Verdana"/>
          <w:sz w:val="20"/>
          <w:szCs w:val="20"/>
        </w:rPr>
        <w:t xml:space="preserve"> en su escrito de sometimiento del caso </w:t>
      </w:r>
      <w:r w:rsidR="009F6594">
        <w:rPr>
          <w:rFonts w:ascii="Verdana" w:hAnsi="Verdana"/>
          <w:sz w:val="20"/>
          <w:szCs w:val="20"/>
        </w:rPr>
        <w:t xml:space="preserve">solicitó </w:t>
      </w:r>
      <w:r>
        <w:rPr>
          <w:rFonts w:ascii="Verdana" w:hAnsi="Verdana"/>
          <w:sz w:val="20"/>
          <w:szCs w:val="20"/>
        </w:rPr>
        <w:t xml:space="preserve">el </w:t>
      </w:r>
      <w:r w:rsidRPr="00870DB2">
        <w:rPr>
          <w:rFonts w:ascii="Verdana" w:hAnsi="Verdana"/>
          <w:sz w:val="20"/>
          <w:szCs w:val="20"/>
        </w:rPr>
        <w:t xml:space="preserve">peritaje conjunto de </w:t>
      </w:r>
      <w:proofErr w:type="spellStart"/>
      <w:r w:rsidRPr="00870DB2">
        <w:rPr>
          <w:rFonts w:ascii="Verdana" w:hAnsi="Verdana" w:cs="Arial"/>
          <w:color w:val="1E1E1E"/>
          <w:sz w:val="20"/>
          <w:szCs w:val="20"/>
        </w:rPr>
        <w:t>Parvais</w:t>
      </w:r>
      <w:proofErr w:type="spellEnd"/>
      <w:r w:rsidRPr="00870DB2">
        <w:rPr>
          <w:rFonts w:ascii="Verdana" w:hAnsi="Verdana" w:cs="Arial"/>
          <w:color w:val="1E1E1E"/>
          <w:sz w:val="20"/>
          <w:szCs w:val="20"/>
        </w:rPr>
        <w:t xml:space="preserve"> </w:t>
      </w:r>
      <w:proofErr w:type="spellStart"/>
      <w:r w:rsidRPr="00870DB2">
        <w:rPr>
          <w:rFonts w:ascii="Verdana" w:hAnsi="Verdana" w:cs="Arial"/>
          <w:color w:val="0E0E0E"/>
          <w:sz w:val="20"/>
          <w:szCs w:val="20"/>
        </w:rPr>
        <w:t>Jabbar</w:t>
      </w:r>
      <w:proofErr w:type="spellEnd"/>
      <w:r w:rsidRPr="00870DB2">
        <w:rPr>
          <w:rFonts w:ascii="Verdana" w:hAnsi="Verdana" w:cs="Arial"/>
          <w:color w:val="0E0E0E"/>
          <w:sz w:val="20"/>
          <w:szCs w:val="20"/>
        </w:rPr>
        <w:t xml:space="preserve"> </w:t>
      </w:r>
      <w:r w:rsidRPr="00870DB2">
        <w:rPr>
          <w:rFonts w:ascii="Verdana" w:hAnsi="Verdana" w:cs="Arial"/>
          <w:color w:val="1E1E1E"/>
          <w:sz w:val="20"/>
          <w:szCs w:val="20"/>
        </w:rPr>
        <w:t xml:space="preserve">y </w:t>
      </w:r>
      <w:r>
        <w:rPr>
          <w:rFonts w:ascii="Verdana" w:hAnsi="Verdana" w:cs="Arial"/>
          <w:color w:val="0E0E0E"/>
          <w:sz w:val="20"/>
          <w:szCs w:val="20"/>
        </w:rPr>
        <w:t xml:space="preserve">Edward </w:t>
      </w:r>
      <w:proofErr w:type="spellStart"/>
      <w:r>
        <w:rPr>
          <w:rFonts w:ascii="Verdana" w:hAnsi="Verdana" w:cs="Arial"/>
          <w:color w:val="0E0E0E"/>
          <w:sz w:val="20"/>
          <w:szCs w:val="20"/>
        </w:rPr>
        <w:t>Fitzgerald</w:t>
      </w:r>
      <w:proofErr w:type="spellEnd"/>
      <w:r w:rsidRPr="00870DB2">
        <w:rPr>
          <w:rFonts w:ascii="Verdana" w:hAnsi="Verdana"/>
          <w:sz w:val="20"/>
          <w:szCs w:val="20"/>
          <w:lang w:val="es-PE"/>
        </w:rPr>
        <w:t xml:space="preserve"> ofrecid</w:t>
      </w:r>
      <w:r>
        <w:rPr>
          <w:rFonts w:ascii="Verdana" w:hAnsi="Verdana"/>
          <w:sz w:val="20"/>
          <w:szCs w:val="20"/>
          <w:lang w:val="es-PE"/>
        </w:rPr>
        <w:t>o</w:t>
      </w:r>
      <w:r w:rsidRPr="00870DB2">
        <w:rPr>
          <w:rFonts w:ascii="Verdana" w:hAnsi="Verdana"/>
          <w:sz w:val="20"/>
          <w:szCs w:val="20"/>
          <w:lang w:val="es-PE"/>
        </w:rPr>
        <w:t xml:space="preserve"> en los casos </w:t>
      </w:r>
      <w:r w:rsidRPr="00870DB2">
        <w:rPr>
          <w:rFonts w:ascii="Verdana" w:hAnsi="Verdana"/>
          <w:i/>
          <w:iCs/>
          <w:sz w:val="20"/>
          <w:szCs w:val="20"/>
          <w:lang w:val="es-PE"/>
        </w:rPr>
        <w:t>Girón y Castillo, Martínez Coronado y Ruíz Fuentes</w:t>
      </w:r>
      <w:r w:rsidRPr="00870DB2">
        <w:rPr>
          <w:rFonts w:ascii="Verdana" w:eastAsiaTheme="minorHAnsi" w:hAnsi="Verdana"/>
          <w:color w:val="1C1C1C"/>
          <w:sz w:val="20"/>
          <w:szCs w:val="20"/>
          <w:lang w:val="es-PE"/>
        </w:rPr>
        <w:t xml:space="preserve"> </w:t>
      </w:r>
      <w:r>
        <w:rPr>
          <w:rFonts w:ascii="Verdana" w:hAnsi="Verdana"/>
          <w:iCs/>
          <w:sz w:val="20"/>
          <w:szCs w:val="20"/>
          <w:lang w:val="es-PE"/>
        </w:rPr>
        <w:t>contra Guatemala, sea trasladado</w:t>
      </w:r>
      <w:r w:rsidRPr="00870DB2">
        <w:rPr>
          <w:rFonts w:ascii="Verdana" w:hAnsi="Verdana"/>
          <w:iCs/>
          <w:sz w:val="20"/>
          <w:szCs w:val="20"/>
          <w:lang w:val="es-PE"/>
        </w:rPr>
        <w:t xml:space="preserve"> al presente caso</w:t>
      </w:r>
      <w:r w:rsidR="00340E08">
        <w:rPr>
          <w:rFonts w:ascii="Verdana" w:hAnsi="Verdana"/>
          <w:iCs/>
          <w:sz w:val="20"/>
          <w:szCs w:val="20"/>
          <w:lang w:val="es-PE"/>
        </w:rPr>
        <w:t>.</w:t>
      </w:r>
      <w:r>
        <w:rPr>
          <w:rFonts w:ascii="Verdana" w:hAnsi="Verdana"/>
          <w:iCs/>
          <w:sz w:val="20"/>
          <w:szCs w:val="20"/>
          <w:lang w:val="es-PE"/>
        </w:rPr>
        <w:t xml:space="preserve"> El ofrecimiento fue reiterado en la</w:t>
      </w:r>
      <w:r w:rsidRPr="00A00193">
        <w:rPr>
          <w:rFonts w:ascii="Verdana" w:hAnsi="Verdana"/>
          <w:sz w:val="20"/>
          <w:szCs w:val="20"/>
        </w:rPr>
        <w:t xml:space="preserve"> lista definitiva</w:t>
      </w:r>
      <w:r>
        <w:rPr>
          <w:rFonts w:ascii="Verdana" w:hAnsi="Verdana"/>
          <w:sz w:val="20"/>
          <w:szCs w:val="20"/>
        </w:rPr>
        <w:t>, sin embargo,</w:t>
      </w:r>
      <w:r w:rsidRPr="00A00193">
        <w:rPr>
          <w:rFonts w:ascii="Verdana" w:hAnsi="Verdana"/>
          <w:sz w:val="20"/>
          <w:szCs w:val="20"/>
        </w:rPr>
        <w:t xml:space="preserve"> la Comisión </w:t>
      </w:r>
      <w:r>
        <w:rPr>
          <w:rFonts w:ascii="Verdana" w:hAnsi="Verdana"/>
          <w:sz w:val="20"/>
          <w:szCs w:val="20"/>
        </w:rPr>
        <w:t>en dicha</w:t>
      </w:r>
      <w:r w:rsidRPr="00A00193">
        <w:rPr>
          <w:rFonts w:ascii="Verdana" w:hAnsi="Verdana"/>
          <w:sz w:val="20"/>
          <w:szCs w:val="20"/>
        </w:rPr>
        <w:t xml:space="preserve"> </w:t>
      </w:r>
      <w:r>
        <w:rPr>
          <w:rFonts w:ascii="Verdana" w:hAnsi="Verdana"/>
          <w:sz w:val="20"/>
          <w:szCs w:val="20"/>
        </w:rPr>
        <w:t xml:space="preserve">ocasión indicó que según las notas de sometimiento de los casos guatemaltecos, su dictamen versará </w:t>
      </w:r>
      <w:r w:rsidRPr="00A00193">
        <w:rPr>
          <w:rFonts w:ascii="Verdana" w:hAnsi="Verdana"/>
          <w:sz w:val="20"/>
          <w:szCs w:val="20"/>
        </w:rPr>
        <w:t xml:space="preserve">sobre </w:t>
      </w:r>
      <w:r>
        <w:rPr>
          <w:rFonts w:ascii="Verdana" w:hAnsi="Verdana"/>
          <w:sz w:val="20"/>
          <w:szCs w:val="20"/>
        </w:rPr>
        <w:t>“</w:t>
      </w:r>
      <w:r w:rsidRPr="00A00193">
        <w:rPr>
          <w:rFonts w:ascii="Verdana" w:hAnsi="Verdana"/>
          <w:sz w:val="20"/>
          <w:szCs w:val="20"/>
        </w:rPr>
        <w:t>los estándares internacionales sobre la pena de muerte en los aspectos relevantes para el presente caso</w:t>
      </w:r>
      <w:r>
        <w:rPr>
          <w:rFonts w:ascii="Verdana" w:hAnsi="Verdana"/>
          <w:sz w:val="20"/>
          <w:szCs w:val="20"/>
        </w:rPr>
        <w:t>”,</w:t>
      </w:r>
      <w:r w:rsidRPr="00A00193">
        <w:rPr>
          <w:rFonts w:ascii="Verdana" w:hAnsi="Verdana"/>
          <w:sz w:val="20"/>
          <w:szCs w:val="20"/>
        </w:rPr>
        <w:t xml:space="preserve"> </w:t>
      </w:r>
      <w:r>
        <w:rPr>
          <w:rFonts w:ascii="Verdana" w:hAnsi="Verdana"/>
          <w:sz w:val="20"/>
          <w:szCs w:val="20"/>
        </w:rPr>
        <w:t>y que</w:t>
      </w:r>
      <w:r w:rsidRPr="00A00193">
        <w:rPr>
          <w:rFonts w:ascii="Verdana" w:hAnsi="Verdana"/>
          <w:sz w:val="20"/>
          <w:szCs w:val="20"/>
        </w:rPr>
        <w:t xml:space="preserve"> se referirán a las cuestiones </w:t>
      </w:r>
      <w:r w:rsidRPr="00BC7157">
        <w:rPr>
          <w:rFonts w:ascii="Verdana" w:hAnsi="Verdana"/>
          <w:color w:val="212121"/>
          <w:sz w:val="20"/>
          <w:szCs w:val="16"/>
        </w:rPr>
        <w:t>relacionad</w:t>
      </w:r>
      <w:r w:rsidR="0049548F">
        <w:rPr>
          <w:rFonts w:ascii="Verdana" w:hAnsi="Verdana"/>
          <w:color w:val="212121"/>
          <w:sz w:val="20"/>
          <w:szCs w:val="16"/>
        </w:rPr>
        <w:t>as con el</w:t>
      </w:r>
      <w:r w:rsidRPr="00BC7157">
        <w:rPr>
          <w:rFonts w:ascii="Verdana" w:hAnsi="Verdana"/>
          <w:color w:val="212121"/>
          <w:sz w:val="20"/>
          <w:szCs w:val="16"/>
        </w:rPr>
        <w:t xml:space="preserve"> debido proceso</w:t>
      </w:r>
      <w:r w:rsidR="0049548F">
        <w:rPr>
          <w:rFonts w:ascii="Verdana" w:hAnsi="Verdana"/>
          <w:color w:val="212121"/>
          <w:sz w:val="20"/>
          <w:szCs w:val="16"/>
        </w:rPr>
        <w:t>,</w:t>
      </w:r>
      <w:r w:rsidRPr="00BC7157">
        <w:rPr>
          <w:rFonts w:ascii="Verdana" w:hAnsi="Verdana"/>
          <w:color w:val="212121"/>
          <w:sz w:val="20"/>
          <w:szCs w:val="16"/>
        </w:rPr>
        <w:t xml:space="preserve"> tales como: 1. La asistencia jurídica por parte de estudiantes de derecho a personas procesadas en delitos que contemplan la pena de muerte; </w:t>
      </w:r>
      <w:r>
        <w:rPr>
          <w:rFonts w:ascii="Verdana" w:hAnsi="Verdana"/>
          <w:color w:val="212121"/>
          <w:sz w:val="20"/>
          <w:szCs w:val="16"/>
        </w:rPr>
        <w:t xml:space="preserve">2. La defensa común de los imputados en el marco de los procesos penales que prevén la aplicación de la pena de muerte; </w:t>
      </w:r>
      <w:r w:rsidRPr="00BC7157">
        <w:rPr>
          <w:rFonts w:ascii="Verdana" w:hAnsi="Verdana"/>
          <w:color w:val="212121"/>
          <w:sz w:val="20"/>
          <w:szCs w:val="16"/>
        </w:rPr>
        <w:t>3. La prohibición de utilizar la noción de peligrosidad de una persona, como expresión del derecho penal de autor, para imponer la pena de muerte; 4. El derecho de recurrir el fallo mediante una revisión integral en casos de pena de muerte; 5. La responsabilidad de control del juez de las actuaciones de la defensa en casos con posibilidad de imponer la pena de muerte”.</w:t>
      </w:r>
      <w:r>
        <w:rPr>
          <w:rFonts w:ascii="Verdana" w:hAnsi="Verdana"/>
          <w:color w:val="212121"/>
          <w:sz w:val="20"/>
          <w:szCs w:val="16"/>
        </w:rPr>
        <w:t xml:space="preserve"> </w:t>
      </w:r>
      <w:r w:rsidR="00F439B9">
        <w:rPr>
          <w:rFonts w:ascii="Verdana" w:hAnsi="Verdana"/>
          <w:sz w:val="20"/>
          <w:szCs w:val="20"/>
        </w:rPr>
        <w:t>Además,</w:t>
      </w:r>
      <w:r>
        <w:rPr>
          <w:rFonts w:ascii="Verdana" w:hAnsi="Verdana"/>
          <w:sz w:val="20"/>
          <w:szCs w:val="20"/>
        </w:rPr>
        <w:t xml:space="preserve"> solicitó que dich</w:t>
      </w:r>
      <w:r w:rsidR="00202641">
        <w:rPr>
          <w:rFonts w:ascii="Verdana" w:hAnsi="Verdana"/>
          <w:sz w:val="20"/>
          <w:szCs w:val="20"/>
        </w:rPr>
        <w:t>os peritajes sean recibidos en a</w:t>
      </w:r>
      <w:r>
        <w:rPr>
          <w:rFonts w:ascii="Verdana" w:hAnsi="Verdana"/>
          <w:sz w:val="20"/>
          <w:szCs w:val="20"/>
        </w:rPr>
        <w:t>udiencia pública.</w:t>
      </w:r>
      <w:r w:rsidR="00F439B9" w:rsidRPr="00F439B9">
        <w:rPr>
          <w:rFonts w:ascii="Verdana" w:hAnsi="Verdana"/>
          <w:b/>
          <w:color w:val="212121"/>
          <w:sz w:val="16"/>
          <w:szCs w:val="16"/>
        </w:rPr>
        <w:t xml:space="preserve"> </w:t>
      </w:r>
      <w:r w:rsidR="00F439B9">
        <w:rPr>
          <w:rFonts w:ascii="Verdana" w:hAnsi="Verdana"/>
          <w:sz w:val="20"/>
          <w:szCs w:val="20"/>
        </w:rPr>
        <w:t xml:space="preserve"> </w:t>
      </w:r>
    </w:p>
    <w:p w:rsidR="0032649A" w:rsidRPr="00870DB2" w:rsidRDefault="0032649A" w:rsidP="0032649A">
      <w:pPr>
        <w:pStyle w:val="Normal1"/>
        <w:widowControl/>
        <w:autoSpaceDE w:val="0"/>
        <w:autoSpaceDN w:val="0"/>
        <w:adjustRightInd w:val="0"/>
        <w:spacing w:line="276" w:lineRule="auto"/>
        <w:contextualSpacing/>
        <w:jc w:val="both"/>
        <w:rPr>
          <w:rFonts w:ascii="Verdana" w:hAnsi="Verdana"/>
          <w:sz w:val="20"/>
          <w:szCs w:val="20"/>
          <w:lang w:val="es-PE"/>
        </w:rPr>
      </w:pPr>
    </w:p>
    <w:p w:rsidR="0032649A" w:rsidRPr="00131056" w:rsidRDefault="0032649A" w:rsidP="0032649A">
      <w:pPr>
        <w:pStyle w:val="Normal1"/>
        <w:widowControl/>
        <w:numPr>
          <w:ilvl w:val="0"/>
          <w:numId w:val="2"/>
        </w:numPr>
        <w:spacing w:line="276" w:lineRule="auto"/>
        <w:ind w:left="0" w:firstLine="0"/>
        <w:contextualSpacing/>
        <w:jc w:val="both"/>
        <w:rPr>
          <w:rFonts w:ascii="Verdana" w:hAnsi="Verdana"/>
          <w:sz w:val="20"/>
          <w:szCs w:val="20"/>
        </w:rPr>
      </w:pPr>
      <w:r w:rsidRPr="00870DB2">
        <w:rPr>
          <w:rFonts w:ascii="Verdana" w:hAnsi="Verdana"/>
          <w:sz w:val="20"/>
          <w:szCs w:val="20"/>
          <w:lang w:val="es-PE"/>
        </w:rPr>
        <w:t xml:space="preserve">El </w:t>
      </w:r>
      <w:r w:rsidRPr="00870DB2">
        <w:rPr>
          <w:rFonts w:ascii="Verdana" w:hAnsi="Verdana"/>
          <w:b/>
          <w:i/>
          <w:sz w:val="20"/>
          <w:szCs w:val="20"/>
          <w:lang w:val="es-PE"/>
        </w:rPr>
        <w:t>Estado</w:t>
      </w:r>
      <w:r w:rsidRPr="00870DB2">
        <w:rPr>
          <w:rFonts w:ascii="Verdana" w:hAnsi="Verdana"/>
          <w:sz w:val="20"/>
          <w:szCs w:val="20"/>
          <w:lang w:val="es-PE"/>
        </w:rPr>
        <w:t xml:space="preserve"> en su escrito de observaciones a las listas definitivas indicó que “tanto el Estado, c</w:t>
      </w:r>
      <w:r>
        <w:rPr>
          <w:rFonts w:ascii="Verdana" w:hAnsi="Verdana"/>
          <w:sz w:val="20"/>
          <w:szCs w:val="20"/>
          <w:lang w:val="es-PE"/>
        </w:rPr>
        <w:t>omo los miembros de la […]</w:t>
      </w:r>
      <w:r w:rsidRPr="00870DB2">
        <w:rPr>
          <w:rFonts w:ascii="Verdana" w:hAnsi="Verdana"/>
          <w:sz w:val="20"/>
          <w:szCs w:val="20"/>
          <w:lang w:val="es-PE"/>
        </w:rPr>
        <w:t xml:space="preserve"> Corte conocen perfectamente las obligaciones y los </w:t>
      </w:r>
      <w:r w:rsidRPr="00870DB2">
        <w:rPr>
          <w:rFonts w:ascii="Verdana" w:hAnsi="Verdana"/>
          <w:sz w:val="20"/>
          <w:szCs w:val="20"/>
          <w:lang w:val="es-PE"/>
        </w:rPr>
        <w:lastRenderedPageBreak/>
        <w:t>deberes que se adquieren y se desprenden de los tratados ratificados por los Estados, por lo que […] no hay necesidad que dos peritos expongan en función de un caso en particular”.</w:t>
      </w:r>
      <w:r w:rsidR="0049548F">
        <w:rPr>
          <w:rFonts w:ascii="Verdana" w:hAnsi="Verdana"/>
          <w:sz w:val="20"/>
          <w:szCs w:val="20"/>
          <w:lang w:val="es-PE"/>
        </w:rPr>
        <w:t xml:space="preserve"> </w:t>
      </w:r>
    </w:p>
    <w:p w:rsidR="0032649A" w:rsidRPr="00131056" w:rsidRDefault="0032649A" w:rsidP="0032649A">
      <w:pPr>
        <w:pStyle w:val="Normal1"/>
        <w:widowControl/>
        <w:spacing w:line="276" w:lineRule="auto"/>
        <w:contextualSpacing/>
        <w:jc w:val="both"/>
        <w:rPr>
          <w:rFonts w:ascii="Verdana" w:hAnsi="Verdana"/>
          <w:sz w:val="20"/>
          <w:szCs w:val="20"/>
        </w:rPr>
      </w:pPr>
    </w:p>
    <w:p w:rsidR="0032649A" w:rsidRPr="00870DB2" w:rsidRDefault="0049548F" w:rsidP="0032649A">
      <w:pPr>
        <w:pStyle w:val="Normal1"/>
        <w:widowControl/>
        <w:numPr>
          <w:ilvl w:val="0"/>
          <w:numId w:val="2"/>
        </w:numPr>
        <w:spacing w:line="276" w:lineRule="auto"/>
        <w:ind w:left="0" w:firstLine="0"/>
        <w:contextualSpacing/>
        <w:jc w:val="both"/>
        <w:rPr>
          <w:rFonts w:ascii="Verdana" w:hAnsi="Verdana"/>
          <w:sz w:val="20"/>
          <w:szCs w:val="20"/>
        </w:rPr>
      </w:pPr>
      <w:r>
        <w:rPr>
          <w:rFonts w:ascii="Verdana" w:hAnsi="Verdana"/>
          <w:sz w:val="20"/>
          <w:szCs w:val="20"/>
        </w:rPr>
        <w:t>E</w:t>
      </w:r>
      <w:r w:rsidR="0032649A">
        <w:rPr>
          <w:rFonts w:ascii="Verdana" w:hAnsi="Verdana"/>
          <w:sz w:val="20"/>
          <w:szCs w:val="20"/>
          <w:lang w:val="es-PE"/>
        </w:rPr>
        <w:t xml:space="preserve">l Presidente resalta que el objeto del peritaje que se pretende trasladar va más allá de hacer referencia a los deberes que adquiere el Estado a la firma </w:t>
      </w:r>
      <w:r w:rsidR="000F159A">
        <w:rPr>
          <w:rFonts w:ascii="Verdana" w:hAnsi="Verdana"/>
          <w:sz w:val="20"/>
          <w:szCs w:val="20"/>
          <w:lang w:val="es-PE"/>
        </w:rPr>
        <w:t>de un tratado, especialmente sobre los estándares internacionales sobre la pena de muerte y cuestiones relacionadas con el</w:t>
      </w:r>
      <w:r w:rsidR="0032649A">
        <w:rPr>
          <w:rFonts w:ascii="Verdana" w:hAnsi="Verdana"/>
          <w:sz w:val="20"/>
          <w:szCs w:val="20"/>
          <w:lang w:val="es-PE"/>
        </w:rPr>
        <w:t xml:space="preserve"> debido proceso penal, tema de primordial interés para la resolución del presente caso. Asimismo recuerda que el traslado de un dictamen pericial se incorpora como prueba documental en el expediente, por lo que su valor para probar o no un hecho, se evalúa al momento de realizar un análisis integral de la prueba, es decir, en una etapa procesal distinta a la admisibilidad de la misma.</w:t>
      </w:r>
    </w:p>
    <w:p w:rsidR="0032649A" w:rsidRPr="00131056" w:rsidRDefault="0032649A" w:rsidP="0032649A">
      <w:pPr>
        <w:pStyle w:val="ListParagraph"/>
        <w:spacing w:after="0"/>
        <w:rPr>
          <w:rFonts w:ascii="Verdana" w:hAnsi="Verdana"/>
          <w:sz w:val="20"/>
          <w:szCs w:val="20"/>
          <w:lang w:val="es-CR"/>
        </w:rPr>
      </w:pPr>
    </w:p>
    <w:p w:rsidR="0032649A" w:rsidRPr="003F3EA0" w:rsidRDefault="0032649A" w:rsidP="0032649A">
      <w:pPr>
        <w:pStyle w:val="Normal1"/>
        <w:widowControl/>
        <w:numPr>
          <w:ilvl w:val="0"/>
          <w:numId w:val="2"/>
        </w:numPr>
        <w:spacing w:line="276" w:lineRule="auto"/>
        <w:ind w:left="0" w:firstLine="0"/>
        <w:contextualSpacing/>
        <w:jc w:val="both"/>
        <w:rPr>
          <w:rFonts w:ascii="Verdana" w:hAnsi="Verdana"/>
          <w:strike/>
          <w:sz w:val="20"/>
          <w:szCs w:val="20"/>
          <w:lang w:val="es-PE"/>
        </w:rPr>
      </w:pPr>
      <w:r>
        <w:rPr>
          <w:rFonts w:ascii="Verdana" w:hAnsi="Verdana"/>
          <w:sz w:val="20"/>
          <w:szCs w:val="20"/>
          <w:lang w:val="es-PE"/>
        </w:rPr>
        <w:t xml:space="preserve">Por otro lado, </w:t>
      </w:r>
      <w:r w:rsidRPr="00BC7157">
        <w:rPr>
          <w:rFonts w:ascii="Verdana" w:hAnsi="Verdana"/>
          <w:sz w:val="20"/>
          <w:szCs w:val="20"/>
          <w:lang w:val="es-PE"/>
        </w:rPr>
        <w:t xml:space="preserve">esta Presidencia nota que la Comisión en el escrito de sometimiento del </w:t>
      </w:r>
      <w:r>
        <w:rPr>
          <w:rFonts w:ascii="Verdana" w:hAnsi="Verdana"/>
          <w:sz w:val="20"/>
          <w:szCs w:val="20"/>
          <w:lang w:val="es-PE"/>
        </w:rPr>
        <w:t xml:space="preserve">presente </w:t>
      </w:r>
      <w:r w:rsidRPr="00BC7157">
        <w:rPr>
          <w:rFonts w:ascii="Verdana" w:hAnsi="Verdana"/>
          <w:sz w:val="20"/>
          <w:szCs w:val="20"/>
          <w:lang w:val="es-PE"/>
        </w:rPr>
        <w:t xml:space="preserve">caso </w:t>
      </w:r>
      <w:r>
        <w:rPr>
          <w:rFonts w:ascii="Verdana" w:hAnsi="Verdana"/>
          <w:sz w:val="20"/>
          <w:szCs w:val="20"/>
          <w:lang w:val="es-PE"/>
        </w:rPr>
        <w:t>solicitó</w:t>
      </w:r>
      <w:r w:rsidRPr="00BC7157">
        <w:rPr>
          <w:rFonts w:ascii="Verdana" w:hAnsi="Verdana"/>
          <w:sz w:val="20"/>
          <w:szCs w:val="20"/>
          <w:lang w:val="es-PE"/>
        </w:rPr>
        <w:t xml:space="preserve"> el traslado de la prueba pericial ofrecida </w:t>
      </w:r>
      <w:r>
        <w:rPr>
          <w:rFonts w:ascii="Verdana" w:hAnsi="Verdana"/>
          <w:sz w:val="20"/>
          <w:szCs w:val="20"/>
          <w:lang w:val="es-PE"/>
        </w:rPr>
        <w:t xml:space="preserve">por ella </w:t>
      </w:r>
      <w:r w:rsidRPr="00BC7157">
        <w:rPr>
          <w:rFonts w:ascii="Verdana" w:hAnsi="Verdana"/>
          <w:sz w:val="20"/>
          <w:szCs w:val="20"/>
          <w:lang w:val="es-PE"/>
        </w:rPr>
        <w:t xml:space="preserve">en los casos </w:t>
      </w:r>
      <w:r w:rsidRPr="003F3EA0">
        <w:rPr>
          <w:rFonts w:ascii="Verdana" w:hAnsi="Verdana"/>
          <w:i/>
          <w:iCs/>
          <w:sz w:val="20"/>
          <w:szCs w:val="20"/>
          <w:lang w:val="es-PE"/>
        </w:rPr>
        <w:t>Girón y Castillo, Martínez Coronado y Ruíz Fuentes,</w:t>
      </w:r>
      <w:r>
        <w:rPr>
          <w:rFonts w:ascii="Verdana" w:hAnsi="Verdana"/>
          <w:i/>
          <w:iCs/>
          <w:sz w:val="20"/>
          <w:szCs w:val="20"/>
          <w:lang w:val="es-PE"/>
        </w:rPr>
        <w:t xml:space="preserve"> </w:t>
      </w:r>
      <w:r w:rsidRPr="00F138CA">
        <w:rPr>
          <w:rFonts w:ascii="Verdana" w:hAnsi="Verdana"/>
          <w:iCs/>
          <w:sz w:val="20"/>
          <w:szCs w:val="20"/>
          <w:lang w:val="es-PE"/>
        </w:rPr>
        <w:t>todos contra Guatemala</w:t>
      </w:r>
      <w:r>
        <w:rPr>
          <w:rFonts w:ascii="Verdana" w:hAnsi="Verdana"/>
          <w:sz w:val="20"/>
          <w:szCs w:val="20"/>
          <w:lang w:val="es-PE"/>
        </w:rPr>
        <w:t>. No obstante, en su lista definitiva, la Comisión solicitó que</w:t>
      </w:r>
      <w:r w:rsidRPr="003F3EA0">
        <w:rPr>
          <w:rFonts w:ascii="Verdana" w:hAnsi="Verdana"/>
          <w:sz w:val="20"/>
          <w:szCs w:val="20"/>
          <w:lang w:val="es-PE"/>
        </w:rPr>
        <w:t xml:space="preserve"> los señores </w:t>
      </w:r>
      <w:proofErr w:type="spellStart"/>
      <w:r w:rsidRPr="003F3EA0">
        <w:rPr>
          <w:rFonts w:ascii="Verdana" w:hAnsi="Verdana"/>
          <w:sz w:val="20"/>
          <w:szCs w:val="20"/>
          <w:lang w:val="es-PE"/>
        </w:rPr>
        <w:t>Parvais</w:t>
      </w:r>
      <w:proofErr w:type="spellEnd"/>
      <w:r w:rsidRPr="003F3EA0">
        <w:rPr>
          <w:rFonts w:ascii="Verdana" w:hAnsi="Verdana"/>
          <w:sz w:val="20"/>
          <w:szCs w:val="20"/>
          <w:lang w:val="es-PE"/>
        </w:rPr>
        <w:t xml:space="preserve"> </w:t>
      </w:r>
      <w:proofErr w:type="spellStart"/>
      <w:r w:rsidRPr="003F3EA0">
        <w:rPr>
          <w:rFonts w:ascii="Verdana" w:hAnsi="Verdana"/>
          <w:sz w:val="20"/>
          <w:szCs w:val="20"/>
          <w:lang w:val="es-PE"/>
        </w:rPr>
        <w:t>Jabbar</w:t>
      </w:r>
      <w:proofErr w:type="spellEnd"/>
      <w:r w:rsidRPr="003F3EA0">
        <w:rPr>
          <w:rFonts w:ascii="Verdana" w:hAnsi="Verdana"/>
          <w:sz w:val="20"/>
          <w:szCs w:val="20"/>
          <w:lang w:val="es-PE"/>
        </w:rPr>
        <w:t xml:space="preserve"> y Edward </w:t>
      </w:r>
      <w:proofErr w:type="spellStart"/>
      <w:r w:rsidRPr="003F3EA0">
        <w:rPr>
          <w:rFonts w:ascii="Verdana" w:hAnsi="Verdana"/>
          <w:sz w:val="20"/>
          <w:szCs w:val="20"/>
          <w:lang w:val="es-PE"/>
        </w:rPr>
        <w:t>Fitzgerald</w:t>
      </w:r>
      <w:proofErr w:type="spellEnd"/>
      <w:r w:rsidRPr="003F3EA0">
        <w:rPr>
          <w:rFonts w:ascii="Verdana" w:hAnsi="Verdana"/>
          <w:sz w:val="20"/>
          <w:szCs w:val="20"/>
          <w:lang w:val="es-PE"/>
        </w:rPr>
        <w:t xml:space="preserve"> rindan su dictamen pericial </w:t>
      </w:r>
      <w:r>
        <w:rPr>
          <w:rFonts w:ascii="Verdana" w:hAnsi="Verdana"/>
          <w:sz w:val="20"/>
          <w:szCs w:val="20"/>
          <w:lang w:val="es-PE"/>
        </w:rPr>
        <w:t>en audiencia pública. Esta Presidencia entiende que dicha solicitud está relacionada con los casos anteriormente indicados</w:t>
      </w:r>
      <w:r>
        <w:rPr>
          <w:rFonts w:ascii="Verdana" w:hAnsi="Verdana"/>
          <w:i/>
          <w:iCs/>
          <w:sz w:val="20"/>
          <w:szCs w:val="20"/>
          <w:lang w:val="es-PE"/>
        </w:rPr>
        <w:t xml:space="preserve">, </w:t>
      </w:r>
      <w:r>
        <w:rPr>
          <w:rFonts w:ascii="Verdana" w:hAnsi="Verdana"/>
          <w:iCs/>
          <w:sz w:val="20"/>
          <w:szCs w:val="20"/>
          <w:lang w:val="es-PE"/>
        </w:rPr>
        <w:t xml:space="preserve">en donde </w:t>
      </w:r>
      <w:r w:rsidRPr="00F138CA">
        <w:rPr>
          <w:rFonts w:ascii="Verdana" w:hAnsi="Verdana"/>
          <w:iCs/>
          <w:sz w:val="20"/>
          <w:szCs w:val="20"/>
          <w:lang w:val="es-PE"/>
        </w:rPr>
        <w:t>ofreci</w:t>
      </w:r>
      <w:r>
        <w:rPr>
          <w:rFonts w:ascii="Verdana" w:hAnsi="Verdana"/>
          <w:iCs/>
          <w:sz w:val="20"/>
          <w:szCs w:val="20"/>
          <w:lang w:val="es-PE"/>
        </w:rPr>
        <w:t xml:space="preserve">ó dicha prueba pericial, por lo que </w:t>
      </w:r>
      <w:r w:rsidRPr="00F138CA">
        <w:rPr>
          <w:rFonts w:ascii="Verdana" w:hAnsi="Verdana"/>
          <w:iCs/>
          <w:sz w:val="20"/>
          <w:szCs w:val="20"/>
          <w:lang w:val="es-PE"/>
        </w:rPr>
        <w:t>considera</w:t>
      </w:r>
      <w:r>
        <w:rPr>
          <w:rFonts w:ascii="Verdana" w:hAnsi="Verdana"/>
          <w:i/>
          <w:iCs/>
          <w:sz w:val="20"/>
          <w:szCs w:val="20"/>
          <w:lang w:val="es-PE"/>
        </w:rPr>
        <w:t xml:space="preserve"> </w:t>
      </w:r>
      <w:r w:rsidRPr="003F3EA0">
        <w:rPr>
          <w:rFonts w:ascii="Verdana" w:hAnsi="Verdana"/>
          <w:iCs/>
          <w:sz w:val="20"/>
          <w:szCs w:val="20"/>
          <w:lang w:val="es-PE"/>
        </w:rPr>
        <w:t xml:space="preserve">que para el presente caso se mantiene </w:t>
      </w:r>
      <w:r w:rsidRPr="003F3EA0">
        <w:rPr>
          <w:rFonts w:ascii="Verdana" w:hAnsi="Verdana"/>
          <w:sz w:val="20"/>
          <w:szCs w:val="20"/>
          <w:lang w:val="es-PE"/>
        </w:rPr>
        <w:t xml:space="preserve">la solicitud realizada </w:t>
      </w:r>
      <w:r>
        <w:rPr>
          <w:rFonts w:ascii="Verdana" w:hAnsi="Verdana"/>
          <w:sz w:val="20"/>
          <w:szCs w:val="20"/>
          <w:lang w:val="es-PE"/>
        </w:rPr>
        <w:t xml:space="preserve">originalmente </w:t>
      </w:r>
      <w:r w:rsidRPr="003F3EA0">
        <w:rPr>
          <w:rFonts w:ascii="Verdana" w:hAnsi="Verdana"/>
          <w:sz w:val="20"/>
          <w:szCs w:val="20"/>
          <w:lang w:val="es-PE"/>
        </w:rPr>
        <w:t>en el e</w:t>
      </w:r>
      <w:r>
        <w:rPr>
          <w:rFonts w:ascii="Verdana" w:hAnsi="Verdana"/>
          <w:sz w:val="20"/>
          <w:szCs w:val="20"/>
          <w:lang w:val="es-PE"/>
        </w:rPr>
        <w:t>scrito de sometimiento del caso.</w:t>
      </w:r>
      <w:r w:rsidRPr="003F3EA0">
        <w:rPr>
          <w:rFonts w:ascii="Verdana" w:hAnsi="Verdana"/>
          <w:sz w:val="20"/>
          <w:szCs w:val="20"/>
          <w:lang w:val="es-PE"/>
        </w:rPr>
        <w:t xml:space="preserve"> </w:t>
      </w:r>
      <w:r>
        <w:rPr>
          <w:rFonts w:ascii="Verdana" w:hAnsi="Verdana"/>
          <w:sz w:val="20"/>
          <w:szCs w:val="20"/>
          <w:lang w:val="es-PE"/>
        </w:rPr>
        <w:t>En consecuencia el Presidente</w:t>
      </w:r>
      <w:r w:rsidRPr="003F3EA0">
        <w:rPr>
          <w:rFonts w:ascii="Verdana" w:hAnsi="Verdana"/>
          <w:sz w:val="20"/>
          <w:szCs w:val="20"/>
          <w:lang w:val="es-PE"/>
        </w:rPr>
        <w:t xml:space="preserve"> </w:t>
      </w:r>
      <w:r>
        <w:rPr>
          <w:rFonts w:ascii="Verdana" w:hAnsi="Verdana"/>
          <w:sz w:val="20"/>
          <w:szCs w:val="20"/>
          <w:lang w:val="es-PE"/>
        </w:rPr>
        <w:t>estima</w:t>
      </w:r>
      <w:r w:rsidRPr="003F3EA0">
        <w:rPr>
          <w:rFonts w:ascii="Verdana" w:hAnsi="Verdana"/>
          <w:sz w:val="20"/>
          <w:szCs w:val="20"/>
          <w:lang w:val="es-PE"/>
        </w:rPr>
        <w:t xml:space="preserve"> procedente trasladar dicho di</w:t>
      </w:r>
      <w:r>
        <w:rPr>
          <w:rFonts w:ascii="Verdana" w:hAnsi="Verdana"/>
          <w:sz w:val="20"/>
          <w:szCs w:val="20"/>
          <w:lang w:val="es-PE"/>
        </w:rPr>
        <w:t xml:space="preserve">ctamen pericial una vez rendido, </w:t>
      </w:r>
      <w:r w:rsidRPr="003F3EA0">
        <w:rPr>
          <w:rFonts w:ascii="Verdana" w:hAnsi="Verdana"/>
          <w:sz w:val="20"/>
          <w:szCs w:val="20"/>
          <w:lang w:val="es-PE"/>
        </w:rPr>
        <w:t>al presente caso.</w:t>
      </w:r>
    </w:p>
    <w:p w:rsidR="0032649A" w:rsidRDefault="0032649A" w:rsidP="0032649A">
      <w:pPr>
        <w:pStyle w:val="Normal1"/>
        <w:widowControl/>
        <w:autoSpaceDE w:val="0"/>
        <w:autoSpaceDN w:val="0"/>
        <w:adjustRightInd w:val="0"/>
        <w:spacing w:line="276" w:lineRule="auto"/>
        <w:contextualSpacing/>
        <w:jc w:val="both"/>
        <w:rPr>
          <w:rFonts w:ascii="Verdana" w:hAnsi="Verdana"/>
          <w:sz w:val="20"/>
          <w:szCs w:val="20"/>
        </w:rPr>
      </w:pPr>
    </w:p>
    <w:p w:rsidR="0032649A" w:rsidRDefault="0032649A" w:rsidP="0032649A">
      <w:pPr>
        <w:spacing w:after="0"/>
        <w:ind w:left="720"/>
        <w:jc w:val="both"/>
        <w:rPr>
          <w:rFonts w:ascii="Verdana" w:hAnsi="Verdana"/>
          <w:b/>
          <w:i/>
          <w:sz w:val="20"/>
          <w:szCs w:val="20"/>
          <w:lang w:val="es-PE"/>
        </w:rPr>
      </w:pPr>
      <w:r>
        <w:rPr>
          <w:rFonts w:ascii="Verdana" w:hAnsi="Verdana"/>
          <w:b/>
          <w:i/>
          <w:sz w:val="20"/>
          <w:szCs w:val="20"/>
          <w:lang w:val="es-PE"/>
        </w:rPr>
        <w:t>E</w:t>
      </w:r>
      <w:r w:rsidRPr="00A64F71">
        <w:rPr>
          <w:rFonts w:ascii="Verdana" w:hAnsi="Verdana"/>
          <w:b/>
          <w:i/>
          <w:sz w:val="20"/>
          <w:szCs w:val="20"/>
          <w:lang w:val="es-PE"/>
        </w:rPr>
        <w:t>. Solicitud de la Comisión para formular preguntas respecto a una decl</w:t>
      </w:r>
      <w:r w:rsidR="00B03EE8">
        <w:rPr>
          <w:rFonts w:ascii="Verdana" w:hAnsi="Verdana"/>
          <w:b/>
          <w:i/>
          <w:sz w:val="20"/>
          <w:szCs w:val="20"/>
          <w:lang w:val="es-PE"/>
        </w:rPr>
        <w:t>aración pericial ofrecida por la</w:t>
      </w:r>
      <w:r w:rsidRPr="00A64F71">
        <w:rPr>
          <w:rFonts w:ascii="Verdana" w:hAnsi="Verdana"/>
          <w:b/>
          <w:i/>
          <w:sz w:val="20"/>
          <w:szCs w:val="20"/>
          <w:lang w:val="es-PE"/>
        </w:rPr>
        <w:t xml:space="preserve">s representantes </w:t>
      </w:r>
    </w:p>
    <w:p w:rsidR="0032649A" w:rsidRPr="00A64F71" w:rsidRDefault="0032649A" w:rsidP="0032649A">
      <w:pPr>
        <w:spacing w:after="0"/>
        <w:ind w:left="720"/>
        <w:jc w:val="both"/>
        <w:rPr>
          <w:rFonts w:ascii="Verdana" w:hAnsi="Verdana"/>
          <w:b/>
          <w:i/>
          <w:sz w:val="20"/>
          <w:szCs w:val="20"/>
          <w:lang w:val="es-PE"/>
        </w:rPr>
      </w:pPr>
    </w:p>
    <w:p w:rsidR="0032649A" w:rsidRPr="00A64F71" w:rsidRDefault="00FF5AFD" w:rsidP="0032649A">
      <w:pPr>
        <w:pStyle w:val="Normal1"/>
        <w:widowControl/>
        <w:numPr>
          <w:ilvl w:val="0"/>
          <w:numId w:val="2"/>
        </w:numPr>
        <w:autoSpaceDE w:val="0"/>
        <w:autoSpaceDN w:val="0"/>
        <w:adjustRightInd w:val="0"/>
        <w:spacing w:line="276" w:lineRule="auto"/>
        <w:ind w:left="0" w:firstLine="0"/>
        <w:contextualSpacing/>
        <w:jc w:val="both"/>
        <w:rPr>
          <w:rFonts w:ascii="Verdana" w:hAnsi="Verdana"/>
          <w:sz w:val="20"/>
          <w:szCs w:val="20"/>
        </w:rPr>
      </w:pPr>
      <w:r>
        <w:rPr>
          <w:rFonts w:ascii="Verdana" w:hAnsi="Verdana"/>
          <w:sz w:val="20"/>
          <w:szCs w:val="20"/>
          <w:lang w:val="es-PE"/>
        </w:rPr>
        <w:t>L</w:t>
      </w:r>
      <w:r w:rsidR="0032649A" w:rsidRPr="00A64F71">
        <w:rPr>
          <w:rFonts w:ascii="Verdana" w:hAnsi="Verdana"/>
          <w:sz w:val="20"/>
          <w:szCs w:val="20"/>
        </w:rPr>
        <w:t xml:space="preserve">a </w:t>
      </w:r>
      <w:r w:rsidR="0032649A" w:rsidRPr="00A64F71">
        <w:rPr>
          <w:rFonts w:ascii="Verdana" w:hAnsi="Verdana"/>
          <w:b/>
          <w:i/>
          <w:sz w:val="20"/>
          <w:szCs w:val="20"/>
        </w:rPr>
        <w:t>Comisión</w:t>
      </w:r>
      <w:r w:rsidR="0032649A" w:rsidRPr="00A64F71">
        <w:rPr>
          <w:rFonts w:ascii="Verdana" w:hAnsi="Verdana"/>
          <w:sz w:val="20"/>
          <w:szCs w:val="20"/>
        </w:rPr>
        <w:t xml:space="preserve"> en su escrito de observaciones a las listas definitivas, solicitó la oportunidad verbal o escrita de formular preguntas al señor</w:t>
      </w:r>
      <w:r w:rsidR="00634B34">
        <w:rPr>
          <w:rFonts w:ascii="Verdana" w:hAnsi="Verdana"/>
          <w:sz w:val="20"/>
          <w:szCs w:val="20"/>
        </w:rPr>
        <w:t xml:space="preserve"> Alberto Bovino</w:t>
      </w:r>
      <w:r w:rsidR="0032649A" w:rsidRPr="00A64F71">
        <w:rPr>
          <w:rFonts w:ascii="Verdana" w:hAnsi="Verdana"/>
          <w:sz w:val="20"/>
          <w:szCs w:val="20"/>
        </w:rPr>
        <w:t xml:space="preserve">, </w:t>
      </w:r>
      <w:r w:rsidR="0032649A" w:rsidRPr="00DA4C08">
        <w:rPr>
          <w:rFonts w:ascii="Verdana" w:hAnsi="Verdana"/>
          <w:sz w:val="20"/>
          <w:szCs w:val="20"/>
        </w:rPr>
        <w:t>cuya declaración pericial, a entender de la Comisión, se relacionaría tanto con el orden público interamericanos como con la materia sobre la cual versa el peritaje ofrecido por la Comisión Intera</w:t>
      </w:r>
      <w:r w:rsidR="00DA4C08" w:rsidRPr="00DA4C08">
        <w:rPr>
          <w:rFonts w:ascii="Verdana" w:hAnsi="Verdana"/>
          <w:sz w:val="20"/>
          <w:szCs w:val="20"/>
        </w:rPr>
        <w:t xml:space="preserve">mericana. La solicitud se basa en </w:t>
      </w:r>
      <w:r w:rsidR="0032649A" w:rsidRPr="00DA4C08">
        <w:rPr>
          <w:rFonts w:ascii="Verdana" w:hAnsi="Verdana"/>
          <w:sz w:val="20"/>
          <w:szCs w:val="20"/>
        </w:rPr>
        <w:t>“la importancia de permitir que las declaraciones periciales que se relacionan entre sí ofrezcan una variedad de perspectivas –distintas o complementarias- sobre los temas que se pretenden desarrollar, a fin de enriquecer los elementos de información con los cuáles contará el Tribunal al momento de decidir el presente caso</w:t>
      </w:r>
      <w:r w:rsidR="0032649A" w:rsidRPr="00A64F71">
        <w:rPr>
          <w:rFonts w:ascii="Verdana" w:hAnsi="Verdana"/>
          <w:sz w:val="20"/>
          <w:szCs w:val="20"/>
        </w:rPr>
        <w:t>”</w:t>
      </w:r>
      <w:r w:rsidR="000F159A">
        <w:rPr>
          <w:rFonts w:ascii="Verdana" w:hAnsi="Verdana"/>
          <w:sz w:val="20"/>
          <w:szCs w:val="20"/>
        </w:rPr>
        <w:t>.</w:t>
      </w:r>
      <w:r w:rsidR="0032649A" w:rsidRPr="00A64F71">
        <w:rPr>
          <w:rFonts w:ascii="Verdana" w:hAnsi="Verdana"/>
          <w:sz w:val="20"/>
          <w:szCs w:val="20"/>
        </w:rPr>
        <w:t xml:space="preserve"> </w:t>
      </w:r>
    </w:p>
    <w:p w:rsidR="0032649A" w:rsidRPr="00A64F71" w:rsidRDefault="0032649A" w:rsidP="0032649A">
      <w:pPr>
        <w:pStyle w:val="Normal1"/>
        <w:widowControl/>
        <w:autoSpaceDE w:val="0"/>
        <w:autoSpaceDN w:val="0"/>
        <w:adjustRightInd w:val="0"/>
        <w:spacing w:line="276" w:lineRule="auto"/>
        <w:contextualSpacing/>
        <w:jc w:val="both"/>
        <w:rPr>
          <w:rFonts w:ascii="Verdana" w:hAnsi="Verdana"/>
          <w:sz w:val="20"/>
          <w:szCs w:val="20"/>
        </w:rPr>
      </w:pPr>
    </w:p>
    <w:p w:rsidR="0032649A" w:rsidRPr="00EE25B7" w:rsidRDefault="00EE25B7" w:rsidP="00EE25B7">
      <w:pPr>
        <w:pStyle w:val="Normal1"/>
        <w:widowControl/>
        <w:numPr>
          <w:ilvl w:val="0"/>
          <w:numId w:val="2"/>
        </w:numPr>
        <w:autoSpaceDE w:val="0"/>
        <w:autoSpaceDN w:val="0"/>
        <w:adjustRightInd w:val="0"/>
        <w:spacing w:line="276" w:lineRule="auto"/>
        <w:ind w:left="0" w:firstLine="0"/>
        <w:contextualSpacing/>
        <w:jc w:val="both"/>
        <w:rPr>
          <w:rFonts w:ascii="Verdana" w:hAnsi="Verdana"/>
          <w:b/>
          <w:i/>
          <w:sz w:val="20"/>
          <w:szCs w:val="20"/>
          <w:lang w:val="es-PE"/>
        </w:rPr>
      </w:pPr>
      <w:r>
        <w:rPr>
          <w:rFonts w:ascii="Verdana" w:hAnsi="Verdana"/>
          <w:sz w:val="20"/>
          <w:szCs w:val="20"/>
        </w:rPr>
        <w:t xml:space="preserve">Respecto </w:t>
      </w:r>
      <w:r w:rsidR="00FF5AFD">
        <w:rPr>
          <w:rFonts w:ascii="Verdana" w:hAnsi="Verdana"/>
          <w:sz w:val="20"/>
          <w:szCs w:val="20"/>
        </w:rPr>
        <w:t xml:space="preserve">a esta solicitud, se </w:t>
      </w:r>
      <w:r>
        <w:rPr>
          <w:rFonts w:ascii="Verdana" w:hAnsi="Verdana"/>
          <w:sz w:val="20"/>
          <w:szCs w:val="20"/>
        </w:rPr>
        <w:t>hace notar que en cuanto</w:t>
      </w:r>
      <w:r w:rsidR="00FF5AFD" w:rsidRPr="00A64F71">
        <w:rPr>
          <w:rFonts w:ascii="Verdana" w:hAnsi="Verdana"/>
          <w:sz w:val="20"/>
          <w:szCs w:val="20"/>
          <w:lang w:val="es-PE"/>
        </w:rPr>
        <w:t xml:space="preserve"> </w:t>
      </w:r>
      <w:r>
        <w:rPr>
          <w:rFonts w:ascii="Verdana" w:hAnsi="Verdana"/>
          <w:sz w:val="20"/>
          <w:szCs w:val="20"/>
          <w:lang w:val="es-PE"/>
        </w:rPr>
        <w:t xml:space="preserve">al </w:t>
      </w:r>
      <w:r w:rsidR="00FF5AFD" w:rsidRPr="00A64F71">
        <w:rPr>
          <w:rFonts w:ascii="Verdana" w:hAnsi="Verdana"/>
          <w:sz w:val="20"/>
          <w:szCs w:val="20"/>
          <w:lang w:val="es-PE"/>
        </w:rPr>
        <w:t xml:space="preserve">dictamen </w:t>
      </w:r>
      <w:r>
        <w:rPr>
          <w:rFonts w:ascii="Verdana" w:hAnsi="Verdana"/>
          <w:sz w:val="20"/>
          <w:szCs w:val="20"/>
          <w:lang w:val="es-PE"/>
        </w:rPr>
        <w:t xml:space="preserve">pericial </w:t>
      </w:r>
      <w:r w:rsidR="00FF5AFD" w:rsidRPr="00A64F71">
        <w:rPr>
          <w:rFonts w:ascii="Verdana" w:hAnsi="Verdana"/>
          <w:sz w:val="20"/>
          <w:szCs w:val="20"/>
          <w:lang w:val="es-PE"/>
        </w:rPr>
        <w:t xml:space="preserve">conjunto a cargo de </w:t>
      </w:r>
      <w:proofErr w:type="spellStart"/>
      <w:r w:rsidR="00FF5AFD" w:rsidRPr="00A64F71">
        <w:rPr>
          <w:rFonts w:ascii="Verdana" w:hAnsi="Verdana"/>
          <w:sz w:val="20"/>
          <w:szCs w:val="20"/>
          <w:lang w:val="es-PE"/>
        </w:rPr>
        <w:t>Parvais</w:t>
      </w:r>
      <w:proofErr w:type="spellEnd"/>
      <w:r w:rsidR="00FF5AFD" w:rsidRPr="00A64F71">
        <w:rPr>
          <w:rFonts w:ascii="Verdana" w:hAnsi="Verdana"/>
          <w:sz w:val="20"/>
          <w:szCs w:val="20"/>
          <w:lang w:val="es-PE"/>
        </w:rPr>
        <w:t xml:space="preserve"> </w:t>
      </w:r>
      <w:proofErr w:type="spellStart"/>
      <w:r w:rsidR="00FF5AFD" w:rsidRPr="00A64F71">
        <w:rPr>
          <w:rFonts w:ascii="Verdana" w:hAnsi="Verdana"/>
          <w:sz w:val="20"/>
          <w:szCs w:val="20"/>
          <w:lang w:val="es-PE"/>
        </w:rPr>
        <w:t>Jabbar</w:t>
      </w:r>
      <w:proofErr w:type="spellEnd"/>
      <w:r w:rsidR="00FF5AFD" w:rsidRPr="00A64F71">
        <w:rPr>
          <w:rFonts w:ascii="Verdana" w:hAnsi="Verdana"/>
          <w:sz w:val="20"/>
          <w:szCs w:val="20"/>
          <w:lang w:val="es-PE"/>
        </w:rPr>
        <w:t xml:space="preserve"> y Edward </w:t>
      </w:r>
      <w:proofErr w:type="spellStart"/>
      <w:r w:rsidR="00FF5AFD" w:rsidRPr="00A64F71">
        <w:rPr>
          <w:rFonts w:ascii="Verdana" w:hAnsi="Verdana"/>
          <w:sz w:val="20"/>
          <w:szCs w:val="20"/>
          <w:lang w:val="es-PE"/>
        </w:rPr>
        <w:t>Fitzgerald</w:t>
      </w:r>
      <w:proofErr w:type="spellEnd"/>
      <w:r w:rsidR="00FF5AFD">
        <w:rPr>
          <w:rFonts w:ascii="Verdana" w:hAnsi="Verdana"/>
          <w:sz w:val="20"/>
          <w:szCs w:val="20"/>
          <w:lang w:val="es-PE"/>
        </w:rPr>
        <w:t xml:space="preserve"> ofrecido por la Comisión, esta Presidencia decidió admitir su traslado de conformidad con el Considerando 26 de la presente Resolución. En razón de lo anterior, como ya se recordó, </w:t>
      </w:r>
      <w:r w:rsidR="00FF5AFD" w:rsidRPr="00FF5AFD">
        <w:rPr>
          <w:rFonts w:ascii="Verdana" w:hAnsi="Verdana"/>
          <w:sz w:val="20"/>
          <w:szCs w:val="20"/>
          <w:lang w:val="es-PE"/>
        </w:rPr>
        <w:t xml:space="preserve">la incorporación de dictámenes periciales rendidos en otros casos al expediente de un caso en trámite </w:t>
      </w:r>
      <w:r w:rsidR="00AB0704">
        <w:rPr>
          <w:rFonts w:ascii="Verdana" w:hAnsi="Verdana"/>
          <w:sz w:val="20"/>
          <w:szCs w:val="20"/>
          <w:lang w:val="es-PE"/>
        </w:rPr>
        <w:t xml:space="preserve">es prueba documental. </w:t>
      </w:r>
      <w:r>
        <w:rPr>
          <w:rFonts w:ascii="Verdana" w:hAnsi="Verdana"/>
          <w:sz w:val="20"/>
          <w:szCs w:val="20"/>
          <w:lang w:val="es-PE"/>
        </w:rPr>
        <w:t xml:space="preserve">En consecuencia, esta Presidencia considera que no </w:t>
      </w:r>
      <w:r w:rsidRPr="00A64F71">
        <w:rPr>
          <w:rFonts w:ascii="Verdana" w:hAnsi="Verdana"/>
          <w:sz w:val="20"/>
          <w:szCs w:val="20"/>
          <w:lang w:val="es-PE"/>
        </w:rPr>
        <w:t xml:space="preserve">corresponde admitir </w:t>
      </w:r>
      <w:r>
        <w:rPr>
          <w:rFonts w:ascii="Verdana" w:hAnsi="Verdana"/>
          <w:sz w:val="20"/>
          <w:szCs w:val="20"/>
          <w:lang w:val="es-PE"/>
        </w:rPr>
        <w:t xml:space="preserve">la solicitud de la Comisión de formular </w:t>
      </w:r>
      <w:r w:rsidRPr="00A64F71">
        <w:rPr>
          <w:rFonts w:ascii="Verdana" w:hAnsi="Verdana"/>
          <w:sz w:val="20"/>
          <w:szCs w:val="20"/>
          <w:lang w:val="es-PE"/>
        </w:rPr>
        <w:t xml:space="preserve">preguntas </w:t>
      </w:r>
      <w:r>
        <w:rPr>
          <w:rFonts w:ascii="Verdana" w:hAnsi="Verdana"/>
          <w:sz w:val="20"/>
          <w:szCs w:val="20"/>
          <w:lang w:val="es-PE"/>
        </w:rPr>
        <w:t>al</w:t>
      </w:r>
      <w:r w:rsidR="00202641">
        <w:rPr>
          <w:rFonts w:ascii="Verdana" w:hAnsi="Verdana"/>
          <w:sz w:val="20"/>
          <w:szCs w:val="20"/>
          <w:lang w:val="es-PE"/>
        </w:rPr>
        <w:t xml:space="preserve"> perito </w:t>
      </w:r>
      <w:r>
        <w:rPr>
          <w:rFonts w:ascii="Verdana" w:hAnsi="Verdana"/>
          <w:sz w:val="20"/>
          <w:szCs w:val="20"/>
          <w:lang w:val="es-PE"/>
        </w:rPr>
        <w:t>Alberto Bovino.</w:t>
      </w:r>
    </w:p>
    <w:p w:rsidR="00EE25B7" w:rsidRPr="00870DB2" w:rsidRDefault="00EE25B7" w:rsidP="00EE25B7">
      <w:pPr>
        <w:pStyle w:val="Normal1"/>
        <w:widowControl/>
        <w:autoSpaceDE w:val="0"/>
        <w:autoSpaceDN w:val="0"/>
        <w:adjustRightInd w:val="0"/>
        <w:spacing w:line="276" w:lineRule="auto"/>
        <w:contextualSpacing/>
        <w:jc w:val="both"/>
        <w:rPr>
          <w:rFonts w:ascii="Verdana" w:hAnsi="Verdana"/>
          <w:b/>
          <w:i/>
          <w:sz w:val="20"/>
          <w:szCs w:val="20"/>
          <w:lang w:val="es-PE"/>
        </w:rPr>
      </w:pPr>
    </w:p>
    <w:p w:rsidR="0032649A" w:rsidRPr="00870DB2" w:rsidRDefault="0032649A" w:rsidP="0032649A">
      <w:pPr>
        <w:spacing w:after="0"/>
        <w:ind w:left="720"/>
        <w:jc w:val="both"/>
        <w:rPr>
          <w:rFonts w:ascii="Verdana" w:hAnsi="Verdana"/>
          <w:b/>
          <w:i/>
          <w:sz w:val="20"/>
          <w:szCs w:val="20"/>
          <w:lang w:val="es-CR"/>
        </w:rPr>
      </w:pPr>
      <w:r>
        <w:rPr>
          <w:rFonts w:ascii="Verdana" w:hAnsi="Verdana"/>
          <w:b/>
          <w:i/>
          <w:sz w:val="20"/>
          <w:szCs w:val="20"/>
          <w:lang w:val="es-PE"/>
        </w:rPr>
        <w:t>F</w:t>
      </w:r>
      <w:r w:rsidRPr="00870DB2">
        <w:rPr>
          <w:rFonts w:ascii="Verdana" w:hAnsi="Verdana"/>
          <w:b/>
          <w:i/>
          <w:sz w:val="20"/>
          <w:szCs w:val="20"/>
          <w:lang w:val="es-PE"/>
        </w:rPr>
        <w:t>.</w:t>
      </w:r>
      <w:r w:rsidRPr="00870DB2">
        <w:rPr>
          <w:rFonts w:ascii="Verdana" w:hAnsi="Verdana"/>
          <w:b/>
          <w:i/>
          <w:sz w:val="20"/>
          <w:szCs w:val="20"/>
          <w:lang w:val="es-CR"/>
        </w:rPr>
        <w:t xml:space="preserve"> Aplicación del Fondo de Asistencia Legal de Víctimas ante la Corte</w:t>
      </w:r>
    </w:p>
    <w:p w:rsidR="0032649A" w:rsidRPr="00870DB2" w:rsidRDefault="0032649A" w:rsidP="0032649A">
      <w:pPr>
        <w:spacing w:after="0"/>
        <w:ind w:left="720"/>
        <w:jc w:val="both"/>
        <w:rPr>
          <w:rFonts w:ascii="Verdana" w:hAnsi="Verdana"/>
          <w:b/>
          <w:i/>
          <w:sz w:val="20"/>
          <w:szCs w:val="20"/>
          <w:lang w:val="es-CR"/>
        </w:rPr>
      </w:pPr>
    </w:p>
    <w:p w:rsidR="0032649A" w:rsidRPr="00401D05" w:rsidRDefault="0032649A" w:rsidP="0032649A">
      <w:pPr>
        <w:pStyle w:val="Normal1"/>
        <w:numPr>
          <w:ilvl w:val="0"/>
          <w:numId w:val="2"/>
        </w:numPr>
        <w:spacing w:line="276" w:lineRule="auto"/>
        <w:ind w:left="0" w:firstLine="0"/>
        <w:contextualSpacing/>
        <w:jc w:val="both"/>
        <w:rPr>
          <w:rFonts w:ascii="Verdana" w:hAnsi="Verdana"/>
          <w:sz w:val="20"/>
          <w:szCs w:val="20"/>
          <w:lang w:val="es-PE"/>
        </w:rPr>
      </w:pPr>
      <w:r w:rsidRPr="00870DB2">
        <w:rPr>
          <w:rFonts w:ascii="Verdana" w:hAnsi="Verdana"/>
          <w:sz w:val="20"/>
          <w:szCs w:val="20"/>
        </w:rPr>
        <w:lastRenderedPageBreak/>
        <w:t>En el presente caso fueron designadas defensoras públicas interamericanas para representar a las presuntas víctimas</w:t>
      </w:r>
      <w:r>
        <w:rPr>
          <w:rFonts w:ascii="Verdana" w:hAnsi="Verdana"/>
          <w:sz w:val="20"/>
          <w:szCs w:val="20"/>
        </w:rPr>
        <w:t xml:space="preserve">, señalando en su </w:t>
      </w:r>
      <w:r w:rsidRPr="00870DB2">
        <w:rPr>
          <w:rFonts w:ascii="Verdana" w:hAnsi="Verdana"/>
          <w:sz w:val="20"/>
          <w:szCs w:val="20"/>
        </w:rPr>
        <w:t xml:space="preserve">escrito de solicitudes y </w:t>
      </w:r>
      <w:r w:rsidR="00F22007">
        <w:rPr>
          <w:rFonts w:ascii="Verdana" w:hAnsi="Verdana"/>
          <w:sz w:val="20"/>
          <w:szCs w:val="20"/>
        </w:rPr>
        <w:t xml:space="preserve">argumentos, que </w:t>
      </w:r>
      <w:proofErr w:type="gramStart"/>
      <w:r w:rsidR="00F22007">
        <w:rPr>
          <w:rFonts w:ascii="Verdana" w:hAnsi="Verdana"/>
          <w:sz w:val="20"/>
          <w:szCs w:val="20"/>
        </w:rPr>
        <w:t>la</w:t>
      </w:r>
      <w:r w:rsidRPr="00870DB2">
        <w:rPr>
          <w:rFonts w:ascii="Verdana" w:hAnsi="Verdana"/>
          <w:sz w:val="20"/>
          <w:szCs w:val="20"/>
        </w:rPr>
        <w:t>s</w:t>
      </w:r>
      <w:proofErr w:type="gramEnd"/>
      <w:r w:rsidRPr="00870DB2">
        <w:rPr>
          <w:rFonts w:ascii="Verdana" w:hAnsi="Verdana"/>
          <w:sz w:val="20"/>
          <w:szCs w:val="20"/>
        </w:rPr>
        <w:t xml:space="preserve"> representados carecen de recursos para solventar los costos del litigio ante la Corte dada la precaria situación eco</w:t>
      </w:r>
      <w:r w:rsidR="002C1CDD">
        <w:rPr>
          <w:rFonts w:ascii="Verdana" w:hAnsi="Verdana"/>
          <w:sz w:val="20"/>
          <w:szCs w:val="20"/>
        </w:rPr>
        <w:t>nómica en la que se encuentran.</w:t>
      </w:r>
      <w:r w:rsidRPr="00870DB2">
        <w:rPr>
          <w:rFonts w:ascii="Verdana" w:hAnsi="Verdana"/>
          <w:sz w:val="20"/>
          <w:szCs w:val="20"/>
        </w:rPr>
        <w:t xml:space="preserve"> Las defensoras solicitaron asistencia económica para </w:t>
      </w:r>
      <w:r>
        <w:rPr>
          <w:rFonts w:ascii="Verdana" w:hAnsi="Verdana"/>
          <w:sz w:val="20"/>
          <w:szCs w:val="20"/>
        </w:rPr>
        <w:t xml:space="preserve">cubrir los costos: i) </w:t>
      </w:r>
      <w:r w:rsidRPr="00870DB2">
        <w:rPr>
          <w:rFonts w:ascii="Verdana" w:hAnsi="Verdana"/>
          <w:sz w:val="20"/>
          <w:szCs w:val="20"/>
        </w:rPr>
        <w:t xml:space="preserve">por viaje, traslados, hospedaje y viáticos que irroguen la estadía del señor </w:t>
      </w:r>
      <w:r w:rsidRPr="00870DB2">
        <w:rPr>
          <w:rFonts w:ascii="Verdana" w:hAnsi="Verdana"/>
          <w:sz w:val="20"/>
          <w:szCs w:val="20"/>
          <w:lang w:val="es-PE"/>
        </w:rPr>
        <w:t xml:space="preserve">Miguel Ángel Rodríguez </w:t>
      </w:r>
      <w:proofErr w:type="spellStart"/>
      <w:r w:rsidRPr="00870DB2">
        <w:rPr>
          <w:rFonts w:ascii="Verdana" w:hAnsi="Verdana"/>
          <w:sz w:val="20"/>
          <w:szCs w:val="20"/>
          <w:lang w:val="es-PE"/>
        </w:rPr>
        <w:t>Revolorio</w:t>
      </w:r>
      <w:proofErr w:type="spellEnd"/>
      <w:r w:rsidRPr="00870DB2">
        <w:rPr>
          <w:rFonts w:ascii="Verdana" w:hAnsi="Verdana"/>
          <w:sz w:val="20"/>
          <w:szCs w:val="20"/>
          <w:lang w:val="es-PE"/>
        </w:rPr>
        <w:t xml:space="preserve">, y las señoras Miriam </w:t>
      </w:r>
      <w:proofErr w:type="spellStart"/>
      <w:r w:rsidRPr="00870DB2">
        <w:rPr>
          <w:rFonts w:ascii="Verdana" w:hAnsi="Verdana"/>
          <w:sz w:val="20"/>
          <w:szCs w:val="20"/>
          <w:lang w:val="es-PE"/>
        </w:rPr>
        <w:t>Floridalma</w:t>
      </w:r>
      <w:proofErr w:type="spellEnd"/>
      <w:r w:rsidRPr="00870DB2">
        <w:rPr>
          <w:rFonts w:ascii="Verdana" w:hAnsi="Verdana"/>
          <w:sz w:val="20"/>
          <w:szCs w:val="20"/>
          <w:lang w:val="es-PE"/>
        </w:rPr>
        <w:t xml:space="preserve"> Osorio García de López (esposa de Miguel Ángel López Calo, ya fallecido</w:t>
      </w:r>
      <w:r>
        <w:rPr>
          <w:rFonts w:ascii="Verdana" w:hAnsi="Verdana"/>
          <w:sz w:val="20"/>
          <w:szCs w:val="20"/>
          <w:lang w:val="es-PE"/>
        </w:rPr>
        <w:t xml:space="preserve">) e </w:t>
      </w:r>
      <w:r w:rsidRPr="00870DB2">
        <w:rPr>
          <w:rFonts w:ascii="Verdana" w:hAnsi="Verdana"/>
          <w:sz w:val="20"/>
          <w:szCs w:val="20"/>
          <w:lang w:val="es-PE"/>
        </w:rPr>
        <w:t xml:space="preserve">Irma Morales </w:t>
      </w:r>
      <w:proofErr w:type="spellStart"/>
      <w:r w:rsidRPr="00870DB2">
        <w:rPr>
          <w:rFonts w:ascii="Verdana" w:hAnsi="Verdana"/>
          <w:sz w:val="20"/>
          <w:szCs w:val="20"/>
          <w:lang w:val="es-PE"/>
        </w:rPr>
        <w:t>Morataya</w:t>
      </w:r>
      <w:proofErr w:type="spellEnd"/>
      <w:r w:rsidRPr="00870DB2">
        <w:rPr>
          <w:rFonts w:ascii="Verdana" w:hAnsi="Verdana"/>
          <w:sz w:val="20"/>
          <w:szCs w:val="20"/>
          <w:lang w:val="es-PE"/>
        </w:rPr>
        <w:t xml:space="preserve"> (esposa Aníbal Archila Pérez, ya fallecido)</w:t>
      </w:r>
      <w:r>
        <w:rPr>
          <w:rFonts w:ascii="Verdana" w:hAnsi="Verdana"/>
          <w:sz w:val="20"/>
          <w:szCs w:val="20"/>
          <w:lang w:val="es-PE"/>
        </w:rPr>
        <w:t xml:space="preserve">; ii) </w:t>
      </w:r>
      <w:r w:rsidRPr="00B74BAB">
        <w:rPr>
          <w:rFonts w:ascii="Verdana" w:hAnsi="Verdana"/>
          <w:sz w:val="20"/>
          <w:szCs w:val="20"/>
          <w:lang w:val="es-PE"/>
        </w:rPr>
        <w:t>la cobertura de los gastos que implique</w:t>
      </w:r>
      <w:r>
        <w:rPr>
          <w:rFonts w:ascii="Verdana" w:hAnsi="Verdana"/>
          <w:sz w:val="20"/>
          <w:szCs w:val="20"/>
          <w:lang w:val="es-PE"/>
        </w:rPr>
        <w:t>n</w:t>
      </w:r>
      <w:r w:rsidRPr="00B74BAB">
        <w:rPr>
          <w:rFonts w:ascii="Verdana" w:hAnsi="Verdana"/>
          <w:sz w:val="20"/>
          <w:szCs w:val="20"/>
          <w:lang w:val="es-PE"/>
        </w:rPr>
        <w:t xml:space="preserve"> que los peritajes de los señores </w:t>
      </w:r>
      <w:r w:rsidRPr="00B74BAB">
        <w:rPr>
          <w:rFonts w:ascii="Verdana" w:hAnsi="Verdana"/>
          <w:bCs/>
          <w:sz w:val="20"/>
          <w:szCs w:val="20"/>
          <w:lang w:val="es-PE"/>
        </w:rPr>
        <w:t xml:space="preserve">Alberto Bovino y Juan José Hernández Mejía </w:t>
      </w:r>
      <w:r w:rsidRPr="00B74BAB">
        <w:rPr>
          <w:rFonts w:ascii="Verdana" w:hAnsi="Verdana"/>
          <w:sz w:val="20"/>
          <w:szCs w:val="20"/>
          <w:lang w:val="es-PE"/>
        </w:rPr>
        <w:t xml:space="preserve">deban efectuarse por </w:t>
      </w:r>
      <w:r w:rsidRPr="0045035F">
        <w:rPr>
          <w:rFonts w:ascii="Verdana" w:hAnsi="Verdana"/>
          <w:iCs/>
          <w:sz w:val="20"/>
          <w:szCs w:val="20"/>
          <w:lang w:val="es-PE"/>
        </w:rPr>
        <w:t>afidávit</w:t>
      </w:r>
      <w:r>
        <w:rPr>
          <w:rFonts w:ascii="Verdana" w:hAnsi="Verdana"/>
          <w:sz w:val="20"/>
          <w:szCs w:val="20"/>
          <w:lang w:val="es-PE"/>
        </w:rPr>
        <w:t>; iii)</w:t>
      </w:r>
      <w:r w:rsidRPr="00B74BAB">
        <w:rPr>
          <w:rFonts w:ascii="Verdana" w:hAnsi="Verdana"/>
          <w:sz w:val="20"/>
          <w:szCs w:val="20"/>
          <w:lang w:val="es-PE"/>
        </w:rPr>
        <w:t xml:space="preserve"> para completar la prueba testimonial, y en caso</w:t>
      </w:r>
      <w:r w:rsidR="003401D7">
        <w:rPr>
          <w:rFonts w:ascii="Verdana" w:hAnsi="Verdana"/>
          <w:sz w:val="20"/>
          <w:szCs w:val="20"/>
          <w:lang w:val="es-PE"/>
        </w:rPr>
        <w:t xml:space="preserve"> que</w:t>
      </w:r>
      <w:r w:rsidRPr="00B74BAB">
        <w:rPr>
          <w:rFonts w:ascii="Verdana" w:hAnsi="Verdana"/>
          <w:sz w:val="20"/>
          <w:szCs w:val="20"/>
          <w:lang w:val="es-PE"/>
        </w:rPr>
        <w:t xml:space="preserve"> Guatemala objete las declaraciones juradas rendidas ente notario público y acompañadas como prueba documental, o bien requiera formular preguntas adicionales, solicitaron se contemple la cobertura para los viajes, traslados, hospedaje y viáticos que irroguen su estadía en la ciudad de San José de Costa Rica o en la que la Corte determine a fin de llevar </w:t>
      </w:r>
      <w:r>
        <w:rPr>
          <w:rFonts w:ascii="Verdana" w:hAnsi="Verdana"/>
          <w:sz w:val="20"/>
          <w:szCs w:val="20"/>
          <w:lang w:val="es-PE"/>
        </w:rPr>
        <w:t>adelante la audiencia de juicio, y iv) cubrir los gastos que pudieran irrogar las declaraciones ante fedatario público (</w:t>
      </w:r>
      <w:r w:rsidRPr="0045035F">
        <w:rPr>
          <w:rFonts w:ascii="Verdana" w:hAnsi="Verdana"/>
          <w:iCs/>
          <w:sz w:val="20"/>
          <w:szCs w:val="20"/>
          <w:lang w:val="es-PE"/>
        </w:rPr>
        <w:t>afidávit</w:t>
      </w:r>
      <w:r>
        <w:rPr>
          <w:rFonts w:ascii="Verdana" w:hAnsi="Verdana"/>
          <w:iCs/>
          <w:sz w:val="20"/>
          <w:szCs w:val="20"/>
          <w:lang w:val="es-PE"/>
        </w:rPr>
        <w:t>),</w:t>
      </w:r>
      <w:r>
        <w:rPr>
          <w:rFonts w:ascii="Verdana" w:hAnsi="Verdana"/>
          <w:sz w:val="20"/>
          <w:szCs w:val="20"/>
          <w:lang w:val="es-PE"/>
        </w:rPr>
        <w:t xml:space="preserve"> en caso de que las presuntas víctimas o alguno de los testigos o peritos propuestos, por razones de fuerza mayor no pudiesen viajar a la audiencia o así lo dispusiera la Corte, en la oportunidad procesal establecida en el artículo 50 del Reglamento.</w:t>
      </w:r>
      <w:r w:rsidRPr="00401D05">
        <w:rPr>
          <w:rFonts w:ascii="Verdana" w:hAnsi="Verdana"/>
          <w:sz w:val="20"/>
          <w:szCs w:val="20"/>
          <w:lang w:val="es-PE"/>
        </w:rPr>
        <w:t xml:space="preserve"> Adic</w:t>
      </w:r>
      <w:r>
        <w:rPr>
          <w:rFonts w:ascii="Verdana" w:hAnsi="Verdana"/>
          <w:sz w:val="20"/>
          <w:szCs w:val="20"/>
          <w:lang w:val="es-PE"/>
        </w:rPr>
        <w:t>i</w:t>
      </w:r>
      <w:r w:rsidRPr="00401D05">
        <w:rPr>
          <w:rFonts w:ascii="Verdana" w:hAnsi="Verdana"/>
          <w:sz w:val="20"/>
          <w:szCs w:val="20"/>
          <w:lang w:val="es-PE"/>
        </w:rPr>
        <w:t>onalmente</w:t>
      </w:r>
      <w:r>
        <w:rPr>
          <w:rFonts w:ascii="Verdana" w:hAnsi="Verdana"/>
          <w:sz w:val="20"/>
          <w:szCs w:val="20"/>
          <w:lang w:val="es-PE"/>
        </w:rPr>
        <w:t xml:space="preserve">, las defensoras solicitaron el reintegro de lo siguiente: i) gastos realizados para la presentación vía </w:t>
      </w:r>
      <w:proofErr w:type="spellStart"/>
      <w:r>
        <w:rPr>
          <w:rFonts w:ascii="Verdana" w:hAnsi="Verdana"/>
          <w:sz w:val="20"/>
          <w:szCs w:val="20"/>
          <w:lang w:val="es-PE"/>
        </w:rPr>
        <w:t>courier</w:t>
      </w:r>
      <w:proofErr w:type="spellEnd"/>
      <w:r>
        <w:rPr>
          <w:rFonts w:ascii="Verdana" w:hAnsi="Verdana"/>
          <w:sz w:val="20"/>
          <w:szCs w:val="20"/>
          <w:lang w:val="es-PE"/>
        </w:rPr>
        <w:t xml:space="preserve"> de los archivos informáticos del escrito de solicitudes y argumentos y sus anexos, monto a determinar; ii) gastos de viaje, traslados, hospedaje y viáticos durante la estadía en San José de Costa Rica o en la ciudad que la Corte determine para asistir a las audiencias de este caso; iii) gastos de viaje, traslados, hospedaje y viáticos para tomar contacto personal con las presuntas víctimas con anterioridad a la audiencia pública, en la República de Guatemala, dónde la mismas residen, y previsión de gastos futuros, como cobertura por envío Courier del original y las dos copias del escrito de alegatos finales y sus anexos, que se deberá producir luego de la audiencia del caso o bien del soporte informático que los contenga, monto a determinar. </w:t>
      </w:r>
    </w:p>
    <w:p w:rsidR="0032649A" w:rsidRPr="00870DB2" w:rsidRDefault="0032649A" w:rsidP="0032649A">
      <w:pPr>
        <w:pStyle w:val="ListParagraph"/>
        <w:spacing w:after="0"/>
        <w:rPr>
          <w:rFonts w:ascii="Verdana" w:hAnsi="Verdana"/>
          <w:sz w:val="20"/>
          <w:szCs w:val="20"/>
          <w:lang w:val="es-CR"/>
        </w:rPr>
      </w:pPr>
    </w:p>
    <w:p w:rsidR="0032649A" w:rsidRPr="00870DB2" w:rsidRDefault="0032649A" w:rsidP="0032649A">
      <w:pPr>
        <w:pStyle w:val="Normal1"/>
        <w:widowControl/>
        <w:numPr>
          <w:ilvl w:val="0"/>
          <w:numId w:val="2"/>
        </w:numPr>
        <w:autoSpaceDE w:val="0"/>
        <w:autoSpaceDN w:val="0"/>
        <w:adjustRightInd w:val="0"/>
        <w:spacing w:line="276" w:lineRule="auto"/>
        <w:ind w:left="0" w:firstLine="0"/>
        <w:contextualSpacing/>
        <w:jc w:val="both"/>
        <w:rPr>
          <w:rFonts w:ascii="Verdana" w:hAnsi="Verdana"/>
          <w:sz w:val="20"/>
          <w:szCs w:val="20"/>
        </w:rPr>
      </w:pPr>
      <w:r w:rsidRPr="00870DB2">
        <w:rPr>
          <w:rFonts w:ascii="Verdana" w:hAnsi="Verdana"/>
          <w:sz w:val="20"/>
          <w:szCs w:val="20"/>
        </w:rPr>
        <w:t>El Presidente recuerda que, en casos en que la representación sea asumida gratuitamente por un defensor interamericano, en los términos del artículo 37 del Reglamento de la Corte Interamericana, se brindará ayuda a través del Fondo de Asistencia para sufragar, en la medida de lo posible, los gastos razonables y necesarios que origine tal representación. Es decir, la aplicación del Fondo en estas situaciones se rige por lo establecido en el artículo 4 del Acuerdo de Entendimiento entre la Corte Interamericana y la Asociación Interamericana de Defensoría Públicas, de modo que el defensor interamericano designado “deberá presentar ante la Corte todos los comprobantes necesarios que acrediten los gastos en que se ha incurrido con motivo de la tramitación del caso ante ésta”. Lo anterior fue expresamente señalado mediante comunicación de 11 de enero de 2019.</w:t>
      </w:r>
    </w:p>
    <w:p w:rsidR="0032649A" w:rsidRPr="00870DB2" w:rsidRDefault="0032649A" w:rsidP="0032649A">
      <w:pPr>
        <w:pStyle w:val="ListParagraph"/>
        <w:spacing w:after="0"/>
        <w:rPr>
          <w:rFonts w:ascii="Verdana" w:hAnsi="Verdana"/>
          <w:sz w:val="20"/>
          <w:szCs w:val="20"/>
          <w:lang w:val="es-CR"/>
        </w:rPr>
      </w:pPr>
    </w:p>
    <w:p w:rsidR="0032649A" w:rsidRPr="00406143" w:rsidRDefault="0032649A" w:rsidP="0032649A">
      <w:pPr>
        <w:pStyle w:val="Normal1"/>
        <w:widowControl/>
        <w:numPr>
          <w:ilvl w:val="0"/>
          <w:numId w:val="2"/>
        </w:numPr>
        <w:autoSpaceDE w:val="0"/>
        <w:autoSpaceDN w:val="0"/>
        <w:adjustRightInd w:val="0"/>
        <w:spacing w:line="276" w:lineRule="auto"/>
        <w:ind w:left="0" w:firstLine="0"/>
        <w:contextualSpacing/>
        <w:jc w:val="both"/>
        <w:rPr>
          <w:rFonts w:ascii="Verdana" w:hAnsi="Verdana"/>
          <w:sz w:val="20"/>
          <w:szCs w:val="20"/>
        </w:rPr>
      </w:pPr>
      <w:r w:rsidRPr="00870DB2">
        <w:rPr>
          <w:rFonts w:ascii="Verdana" w:hAnsi="Verdana"/>
          <w:sz w:val="20"/>
          <w:szCs w:val="20"/>
          <w:lang w:val="es-PE"/>
        </w:rPr>
        <w:t xml:space="preserve">En </w:t>
      </w:r>
      <w:r w:rsidR="00F0655F">
        <w:rPr>
          <w:rFonts w:ascii="Verdana" w:hAnsi="Verdana"/>
          <w:sz w:val="20"/>
          <w:szCs w:val="20"/>
          <w:lang w:val="es-PE"/>
        </w:rPr>
        <w:t>razón</w:t>
      </w:r>
      <w:r w:rsidRPr="00870DB2">
        <w:rPr>
          <w:rFonts w:ascii="Verdana" w:hAnsi="Verdana"/>
          <w:sz w:val="20"/>
          <w:szCs w:val="20"/>
          <w:lang w:val="es-PE"/>
        </w:rPr>
        <w:t xml:space="preserve"> de lo anterior, </w:t>
      </w:r>
      <w:r w:rsidR="00CC1C16">
        <w:rPr>
          <w:rFonts w:ascii="Verdana" w:hAnsi="Verdana"/>
          <w:sz w:val="20"/>
          <w:szCs w:val="20"/>
          <w:lang w:val="es-PE"/>
        </w:rPr>
        <w:t xml:space="preserve">según lo </w:t>
      </w:r>
      <w:r w:rsidRPr="00870DB2">
        <w:rPr>
          <w:rFonts w:ascii="Verdana" w:hAnsi="Verdana"/>
          <w:sz w:val="20"/>
          <w:szCs w:val="20"/>
          <w:lang w:val="es-PE"/>
        </w:rPr>
        <w:t xml:space="preserve">resuelto sobre la procedencia de las declaraciones y dictámenes periciales de acuerdo a </w:t>
      </w:r>
      <w:r w:rsidR="00DB0393">
        <w:rPr>
          <w:rFonts w:ascii="Verdana" w:hAnsi="Verdana"/>
          <w:sz w:val="20"/>
          <w:szCs w:val="20"/>
          <w:lang w:val="es-PE"/>
        </w:rPr>
        <w:t xml:space="preserve">su pertinencia, </w:t>
      </w:r>
      <w:r w:rsidRPr="00870DB2">
        <w:rPr>
          <w:rFonts w:ascii="Verdana" w:hAnsi="Verdana"/>
          <w:sz w:val="20"/>
          <w:szCs w:val="20"/>
          <w:lang w:val="es-PE"/>
        </w:rPr>
        <w:t>y por la disponibilidad de fondos, esta Presidencia dispone que la asistencia económica será asignada para cubrir: i) los gastos de viaje</w:t>
      </w:r>
      <w:r w:rsidR="003401D7">
        <w:rPr>
          <w:rFonts w:ascii="Verdana" w:hAnsi="Verdana"/>
          <w:sz w:val="20"/>
          <w:szCs w:val="20"/>
          <w:lang w:val="es-PE"/>
        </w:rPr>
        <w:t>, traslados, hospedaje y viáticos</w:t>
      </w:r>
      <w:r w:rsidRPr="00870DB2">
        <w:rPr>
          <w:rFonts w:ascii="Verdana" w:hAnsi="Verdana"/>
          <w:sz w:val="20"/>
          <w:szCs w:val="20"/>
          <w:lang w:val="es-PE"/>
        </w:rPr>
        <w:t xml:space="preserve"> necesarios para que la presunta víctima, </w:t>
      </w:r>
      <w:r w:rsidRPr="00DB0393">
        <w:rPr>
          <w:rFonts w:ascii="Verdana" w:hAnsi="Verdana"/>
          <w:sz w:val="20"/>
          <w:szCs w:val="20"/>
          <w:lang w:val="es-PE"/>
        </w:rPr>
        <w:t xml:space="preserve">Miguel Ángel Rodríguez </w:t>
      </w:r>
      <w:proofErr w:type="spellStart"/>
      <w:r w:rsidRPr="00DB0393">
        <w:rPr>
          <w:rFonts w:ascii="Verdana" w:hAnsi="Verdana"/>
          <w:sz w:val="20"/>
          <w:szCs w:val="20"/>
          <w:lang w:val="es-PE"/>
        </w:rPr>
        <w:t>Revolorio</w:t>
      </w:r>
      <w:proofErr w:type="spellEnd"/>
      <w:r w:rsidRPr="00870DB2">
        <w:rPr>
          <w:rFonts w:ascii="Verdana" w:hAnsi="Verdana"/>
          <w:sz w:val="20"/>
          <w:szCs w:val="20"/>
          <w:lang w:val="es-PE"/>
        </w:rPr>
        <w:t>, comparezca ante el Tribunal a rendir su respectiva declaración en la audiencia pública a celebrarse en el presente caso</w:t>
      </w:r>
      <w:r w:rsidR="00DB0393">
        <w:rPr>
          <w:rFonts w:ascii="Verdana" w:hAnsi="Verdana"/>
          <w:sz w:val="20"/>
          <w:szCs w:val="20"/>
          <w:lang w:val="es-PE"/>
        </w:rPr>
        <w:t>;</w:t>
      </w:r>
      <w:r w:rsidRPr="00870DB2">
        <w:rPr>
          <w:rFonts w:ascii="Verdana" w:hAnsi="Verdana"/>
          <w:sz w:val="20"/>
          <w:szCs w:val="20"/>
          <w:lang w:val="es-PE"/>
        </w:rPr>
        <w:t xml:space="preserve"> ii) los costos que generen la rendición de </w:t>
      </w:r>
      <w:r w:rsidRPr="00870DB2">
        <w:rPr>
          <w:rFonts w:ascii="Verdana" w:hAnsi="Verdana"/>
          <w:sz w:val="20"/>
          <w:szCs w:val="20"/>
          <w:lang w:val="es-PE"/>
        </w:rPr>
        <w:lastRenderedPageBreak/>
        <w:t xml:space="preserve">las declaraciones por medio de afidávit de </w:t>
      </w:r>
      <w:r w:rsidR="003401D7">
        <w:rPr>
          <w:rFonts w:ascii="Verdana" w:hAnsi="Verdana"/>
          <w:sz w:val="20"/>
          <w:szCs w:val="20"/>
          <w:lang w:val="es-PE"/>
        </w:rPr>
        <w:t>las señora</w:t>
      </w:r>
      <w:r w:rsidR="00F0655F">
        <w:rPr>
          <w:rFonts w:ascii="Verdana" w:hAnsi="Verdana"/>
          <w:sz w:val="20"/>
          <w:szCs w:val="20"/>
          <w:lang w:val="es-PE"/>
        </w:rPr>
        <w:t xml:space="preserve">s </w:t>
      </w:r>
      <w:r w:rsidRPr="00DB0393">
        <w:rPr>
          <w:rFonts w:ascii="Verdana" w:hAnsi="Verdana"/>
          <w:sz w:val="20"/>
          <w:szCs w:val="20"/>
          <w:lang w:val="es-PE"/>
        </w:rPr>
        <w:t xml:space="preserve">Miriam </w:t>
      </w:r>
      <w:proofErr w:type="spellStart"/>
      <w:r w:rsidRPr="00DB0393">
        <w:rPr>
          <w:rFonts w:ascii="Verdana" w:hAnsi="Verdana"/>
          <w:sz w:val="20"/>
          <w:szCs w:val="20"/>
          <w:lang w:val="es-PE"/>
        </w:rPr>
        <w:t>Flo</w:t>
      </w:r>
      <w:r w:rsidR="00F0655F">
        <w:rPr>
          <w:rFonts w:ascii="Verdana" w:hAnsi="Verdana"/>
          <w:sz w:val="20"/>
          <w:szCs w:val="20"/>
          <w:lang w:val="es-PE"/>
        </w:rPr>
        <w:t>ridalma</w:t>
      </w:r>
      <w:proofErr w:type="spellEnd"/>
      <w:r w:rsidR="00F0655F">
        <w:rPr>
          <w:rFonts w:ascii="Verdana" w:hAnsi="Verdana"/>
          <w:sz w:val="20"/>
          <w:szCs w:val="20"/>
          <w:lang w:val="es-PE"/>
        </w:rPr>
        <w:t xml:space="preserve"> Osorio García de López e</w:t>
      </w:r>
      <w:r w:rsidRPr="00DB0393">
        <w:rPr>
          <w:rFonts w:ascii="Verdana" w:hAnsi="Verdana"/>
          <w:sz w:val="20"/>
          <w:szCs w:val="20"/>
          <w:lang w:val="es-PE"/>
        </w:rPr>
        <w:t xml:space="preserve"> Irma Morales </w:t>
      </w:r>
      <w:proofErr w:type="spellStart"/>
      <w:r w:rsidRPr="00DB0393">
        <w:rPr>
          <w:rFonts w:ascii="Verdana" w:hAnsi="Verdana"/>
          <w:sz w:val="20"/>
          <w:szCs w:val="20"/>
          <w:lang w:val="es-PE"/>
        </w:rPr>
        <w:t>Morataya</w:t>
      </w:r>
      <w:proofErr w:type="spellEnd"/>
      <w:r w:rsidRPr="00DB0393">
        <w:rPr>
          <w:rFonts w:ascii="Verdana" w:hAnsi="Verdana"/>
          <w:sz w:val="20"/>
          <w:szCs w:val="20"/>
          <w:lang w:val="es-PE"/>
        </w:rPr>
        <w:t xml:space="preserve">, </w:t>
      </w:r>
      <w:r w:rsidR="00CC1C16" w:rsidRPr="00DB0393">
        <w:rPr>
          <w:rFonts w:ascii="Verdana" w:hAnsi="Verdana"/>
          <w:sz w:val="20"/>
          <w:szCs w:val="20"/>
          <w:lang w:val="es-PE"/>
        </w:rPr>
        <w:t>y</w:t>
      </w:r>
      <w:r w:rsidRPr="00DB0393">
        <w:rPr>
          <w:rFonts w:ascii="Verdana" w:hAnsi="Verdana"/>
          <w:sz w:val="20"/>
          <w:szCs w:val="20"/>
        </w:rPr>
        <w:t xml:space="preserve"> </w:t>
      </w:r>
      <w:r w:rsidR="00A62372">
        <w:rPr>
          <w:rFonts w:ascii="Verdana" w:hAnsi="Verdana"/>
          <w:sz w:val="20"/>
          <w:szCs w:val="20"/>
        </w:rPr>
        <w:t>de los</w:t>
      </w:r>
      <w:r w:rsidR="00F0655F">
        <w:rPr>
          <w:rFonts w:ascii="Verdana" w:hAnsi="Verdana"/>
          <w:sz w:val="20"/>
          <w:szCs w:val="20"/>
        </w:rPr>
        <w:t xml:space="preserve"> señor</w:t>
      </w:r>
      <w:r w:rsidR="00A62372">
        <w:rPr>
          <w:rFonts w:ascii="Verdana" w:hAnsi="Verdana"/>
          <w:sz w:val="20"/>
          <w:szCs w:val="20"/>
        </w:rPr>
        <w:t>es</w:t>
      </w:r>
      <w:r w:rsidR="00F0655F">
        <w:rPr>
          <w:rFonts w:ascii="Verdana" w:hAnsi="Verdana"/>
          <w:sz w:val="20"/>
          <w:szCs w:val="20"/>
        </w:rPr>
        <w:t xml:space="preserve"> </w:t>
      </w:r>
      <w:r w:rsidRPr="00DB0393">
        <w:rPr>
          <w:rFonts w:ascii="Verdana" w:hAnsi="Verdana"/>
          <w:sz w:val="20"/>
          <w:szCs w:val="20"/>
        </w:rPr>
        <w:t xml:space="preserve">Víctor </w:t>
      </w:r>
      <w:r w:rsidRPr="00406143">
        <w:rPr>
          <w:rFonts w:ascii="Verdana" w:hAnsi="Verdana"/>
          <w:sz w:val="20"/>
          <w:szCs w:val="20"/>
        </w:rPr>
        <w:t>Hugo Cano</w:t>
      </w:r>
      <w:r w:rsidR="00A62372">
        <w:rPr>
          <w:rFonts w:ascii="Verdana" w:hAnsi="Verdana"/>
          <w:sz w:val="20"/>
          <w:szCs w:val="20"/>
        </w:rPr>
        <w:t xml:space="preserve"> </w:t>
      </w:r>
      <w:r w:rsidR="00A62372" w:rsidRPr="00340E08">
        <w:rPr>
          <w:rFonts w:ascii="Verdana" w:hAnsi="Verdana"/>
          <w:sz w:val="20"/>
          <w:szCs w:val="20"/>
        </w:rPr>
        <w:t>y Roberto Enrique Quiñonez Días</w:t>
      </w:r>
      <w:r w:rsidR="003401D7" w:rsidRPr="00340E08">
        <w:rPr>
          <w:rFonts w:ascii="Verdana" w:hAnsi="Verdana"/>
          <w:sz w:val="20"/>
          <w:szCs w:val="20"/>
        </w:rPr>
        <w:t>,</w:t>
      </w:r>
      <w:r w:rsidR="00CC1C16" w:rsidRPr="00340E08">
        <w:rPr>
          <w:rFonts w:ascii="Verdana" w:hAnsi="Verdana"/>
          <w:sz w:val="20"/>
          <w:szCs w:val="20"/>
          <w:lang w:val="es-PE"/>
        </w:rPr>
        <w:t xml:space="preserve"> así como</w:t>
      </w:r>
      <w:r w:rsidRPr="00340E08">
        <w:rPr>
          <w:rFonts w:ascii="Verdana" w:hAnsi="Verdana"/>
          <w:sz w:val="20"/>
          <w:szCs w:val="20"/>
          <w:lang w:val="es-PE"/>
        </w:rPr>
        <w:t xml:space="preserve"> </w:t>
      </w:r>
      <w:r w:rsidR="00DB0393" w:rsidRPr="00340E08">
        <w:rPr>
          <w:rFonts w:ascii="Verdana" w:hAnsi="Verdana"/>
          <w:sz w:val="20"/>
          <w:szCs w:val="20"/>
          <w:lang w:val="es-PE"/>
        </w:rPr>
        <w:t xml:space="preserve">la del </w:t>
      </w:r>
      <w:r w:rsidRPr="00340E08">
        <w:rPr>
          <w:rFonts w:ascii="Verdana" w:hAnsi="Verdana"/>
          <w:sz w:val="20"/>
          <w:szCs w:val="20"/>
          <w:lang w:val="es-PE"/>
        </w:rPr>
        <w:t xml:space="preserve">perito </w:t>
      </w:r>
      <w:r w:rsidRPr="00340E08">
        <w:rPr>
          <w:rFonts w:ascii="Verdana" w:hAnsi="Verdana"/>
          <w:sz w:val="20"/>
          <w:szCs w:val="20"/>
        </w:rPr>
        <w:t>Alberto Bovino</w:t>
      </w:r>
      <w:r w:rsidR="00A62372" w:rsidRPr="00340E08">
        <w:rPr>
          <w:rFonts w:ascii="Verdana" w:hAnsi="Verdana"/>
          <w:sz w:val="20"/>
          <w:szCs w:val="20"/>
        </w:rPr>
        <w:t xml:space="preserve"> y Juan José Hernández Mejía</w:t>
      </w:r>
      <w:r w:rsidR="00DB0393" w:rsidRPr="00340E08">
        <w:rPr>
          <w:rFonts w:ascii="Verdana" w:hAnsi="Verdana"/>
          <w:sz w:val="20"/>
          <w:szCs w:val="20"/>
        </w:rPr>
        <w:t>;</w:t>
      </w:r>
      <w:r w:rsidRPr="00340E08">
        <w:rPr>
          <w:rFonts w:ascii="Verdana" w:hAnsi="Verdana"/>
          <w:sz w:val="20"/>
          <w:szCs w:val="20"/>
          <w:lang w:val="es-PE"/>
        </w:rPr>
        <w:t xml:space="preserve"> iii</w:t>
      </w:r>
      <w:r w:rsidRPr="00406143">
        <w:rPr>
          <w:rFonts w:ascii="Verdana" w:hAnsi="Verdana"/>
          <w:sz w:val="20"/>
          <w:szCs w:val="20"/>
          <w:lang w:val="es-PE"/>
        </w:rPr>
        <w:t>) los demás gastos razonables y necesarios en que haya</w:t>
      </w:r>
      <w:r w:rsidR="003401D7" w:rsidRPr="00406143">
        <w:rPr>
          <w:rFonts w:ascii="Verdana" w:hAnsi="Verdana"/>
          <w:sz w:val="20"/>
          <w:szCs w:val="20"/>
          <w:lang w:val="es-PE"/>
        </w:rPr>
        <w:t>n incurrido o puedan incurrir las defensora</w:t>
      </w:r>
      <w:r w:rsidRPr="00406143">
        <w:rPr>
          <w:rFonts w:ascii="Verdana" w:hAnsi="Verdana"/>
          <w:sz w:val="20"/>
          <w:szCs w:val="20"/>
          <w:lang w:val="es-PE"/>
        </w:rPr>
        <w:t xml:space="preserve">s, para lo cual deberán remitir al Tribunal tanto la justificación de tales gastos como sus comprobantes, </w:t>
      </w:r>
      <w:r w:rsidR="00A62372">
        <w:rPr>
          <w:rFonts w:ascii="Verdana" w:hAnsi="Verdana"/>
          <w:sz w:val="20"/>
          <w:szCs w:val="20"/>
        </w:rPr>
        <w:t xml:space="preserve">en el caso que los </w:t>
      </w:r>
      <w:r w:rsidR="00A62372" w:rsidRPr="00DB453A">
        <w:rPr>
          <w:rFonts w:ascii="Verdana" w:hAnsi="Verdana"/>
          <w:sz w:val="20"/>
          <w:szCs w:val="20"/>
        </w:rPr>
        <w:t xml:space="preserve">defensores </w:t>
      </w:r>
      <w:r w:rsidR="00A62372" w:rsidRPr="00D4760A">
        <w:rPr>
          <w:rFonts w:ascii="Verdana" w:hAnsi="Verdana" w:cs="Verdana"/>
          <w:spacing w:val="-2"/>
          <w:sz w:val="20"/>
          <w:szCs w:val="20"/>
          <w:lang w:val="es-ES"/>
        </w:rPr>
        <w:t>requieran tomar contacto personal con los familiares de las presuntas víctimas, se incluye</w:t>
      </w:r>
      <w:r w:rsidR="00A62372" w:rsidRPr="00D4760A">
        <w:rPr>
          <w:rFonts w:ascii="Verdana" w:hAnsi="Verdana"/>
          <w:sz w:val="20"/>
          <w:szCs w:val="20"/>
        </w:rPr>
        <w:t xml:space="preserve"> los gastos de </w:t>
      </w:r>
      <w:r w:rsidR="00A62372" w:rsidRPr="00D4760A">
        <w:rPr>
          <w:rFonts w:ascii="Verdana" w:hAnsi="Verdana" w:cs="Verdana"/>
          <w:spacing w:val="-2"/>
          <w:sz w:val="20"/>
          <w:szCs w:val="20"/>
          <w:lang w:val="es-ES"/>
        </w:rPr>
        <w:t>viaje, traslados, hospedaje y viáticos de un defensor interamericano</w:t>
      </w:r>
      <w:r w:rsidR="00A62372">
        <w:rPr>
          <w:rFonts w:ascii="Verdana" w:hAnsi="Verdana" w:cs="Verdana"/>
          <w:spacing w:val="-2"/>
          <w:sz w:val="20"/>
          <w:szCs w:val="20"/>
          <w:lang w:val="es-ES"/>
        </w:rPr>
        <w:t xml:space="preserve">, </w:t>
      </w:r>
      <w:r w:rsidRPr="00406143">
        <w:rPr>
          <w:rFonts w:ascii="Verdana" w:hAnsi="Verdana"/>
          <w:sz w:val="20"/>
          <w:szCs w:val="20"/>
          <w:lang w:val="es-PE"/>
        </w:rPr>
        <w:t xml:space="preserve">a más tardar con la presentación de los alegatos finales escritos, siendo esa la última oportunidad procesal para hacerlo, salvo que esta Presidencia o la Corte otorguen alguna otra oportunidad procesal. </w:t>
      </w:r>
    </w:p>
    <w:p w:rsidR="0032649A" w:rsidRPr="00406143" w:rsidRDefault="0032649A" w:rsidP="0032649A">
      <w:pPr>
        <w:pStyle w:val="Normal1"/>
        <w:widowControl/>
        <w:autoSpaceDE w:val="0"/>
        <w:autoSpaceDN w:val="0"/>
        <w:adjustRightInd w:val="0"/>
        <w:spacing w:line="276" w:lineRule="auto"/>
        <w:contextualSpacing/>
        <w:jc w:val="both"/>
        <w:rPr>
          <w:rFonts w:ascii="Verdana" w:hAnsi="Verdana"/>
          <w:sz w:val="20"/>
          <w:szCs w:val="20"/>
        </w:rPr>
      </w:pPr>
    </w:p>
    <w:p w:rsidR="0032649A" w:rsidRPr="00870DB2" w:rsidRDefault="003401D7" w:rsidP="0032649A">
      <w:pPr>
        <w:pStyle w:val="Normal1"/>
        <w:widowControl/>
        <w:numPr>
          <w:ilvl w:val="0"/>
          <w:numId w:val="2"/>
        </w:numPr>
        <w:autoSpaceDE w:val="0"/>
        <w:autoSpaceDN w:val="0"/>
        <w:adjustRightInd w:val="0"/>
        <w:spacing w:line="276" w:lineRule="auto"/>
        <w:ind w:left="0" w:firstLine="0"/>
        <w:contextualSpacing/>
        <w:jc w:val="both"/>
        <w:rPr>
          <w:rFonts w:ascii="Verdana" w:hAnsi="Verdana"/>
          <w:sz w:val="20"/>
          <w:szCs w:val="20"/>
        </w:rPr>
      </w:pPr>
      <w:r w:rsidRPr="00406143">
        <w:rPr>
          <w:rFonts w:ascii="Verdana" w:hAnsi="Verdana"/>
          <w:sz w:val="20"/>
          <w:szCs w:val="20"/>
        </w:rPr>
        <w:t>Las defensoras interamericana</w:t>
      </w:r>
      <w:r w:rsidR="0032649A" w:rsidRPr="00406143">
        <w:rPr>
          <w:rFonts w:ascii="Verdana" w:hAnsi="Verdana"/>
          <w:sz w:val="20"/>
          <w:szCs w:val="20"/>
        </w:rPr>
        <w:t>s deberán remitir a la Corte una cotización en dólares de los Estados Unidos de América del costo de la realización, formalización y envío, tanto de las declaraciones como de los dictámenes periciales en</w:t>
      </w:r>
      <w:r w:rsidR="0032649A" w:rsidRPr="00BC38A8">
        <w:rPr>
          <w:rFonts w:ascii="Verdana" w:hAnsi="Verdana"/>
          <w:sz w:val="20"/>
          <w:szCs w:val="20"/>
        </w:rPr>
        <w:t xml:space="preserve"> el país de residencia de los declarantes, debiendo establecer el criterio de referencia utilizado para el establecimiento del valor de los pertinentes honorarios y gastos, en el plazo establecido en la parte resolutiva de la presente Resolución.</w:t>
      </w:r>
    </w:p>
    <w:p w:rsidR="0032649A" w:rsidRPr="00870DB2" w:rsidRDefault="0032649A" w:rsidP="0032649A">
      <w:pPr>
        <w:pStyle w:val="Normal1"/>
        <w:widowControl/>
        <w:autoSpaceDE w:val="0"/>
        <w:autoSpaceDN w:val="0"/>
        <w:adjustRightInd w:val="0"/>
        <w:spacing w:line="276" w:lineRule="auto"/>
        <w:contextualSpacing/>
        <w:jc w:val="both"/>
        <w:rPr>
          <w:rFonts w:ascii="Verdana" w:hAnsi="Verdana"/>
          <w:sz w:val="20"/>
          <w:szCs w:val="20"/>
        </w:rPr>
      </w:pPr>
    </w:p>
    <w:p w:rsidR="0032649A" w:rsidRPr="00870DB2" w:rsidRDefault="0032649A" w:rsidP="0032649A">
      <w:pPr>
        <w:pStyle w:val="Normal1"/>
        <w:widowControl/>
        <w:numPr>
          <w:ilvl w:val="0"/>
          <w:numId w:val="2"/>
        </w:numPr>
        <w:autoSpaceDE w:val="0"/>
        <w:autoSpaceDN w:val="0"/>
        <w:adjustRightInd w:val="0"/>
        <w:spacing w:line="276" w:lineRule="auto"/>
        <w:ind w:left="0" w:firstLine="0"/>
        <w:contextualSpacing/>
        <w:jc w:val="both"/>
        <w:rPr>
          <w:rFonts w:ascii="Verdana" w:hAnsi="Verdana"/>
          <w:sz w:val="20"/>
          <w:szCs w:val="20"/>
        </w:rPr>
      </w:pPr>
      <w:r w:rsidRPr="00870DB2">
        <w:rPr>
          <w:rFonts w:ascii="Verdana" w:hAnsi="Verdana"/>
          <w:sz w:val="20"/>
          <w:szCs w:val="20"/>
        </w:rPr>
        <w:t xml:space="preserve">Según lo requerido por el artículo 4 del Reglamento del Fondo de Asistencia, se dispone que la Secretaría abra un expediente de gastos a los fines de llevar la contabilidad y en el cual se documentará cada una de las erogaciones que se realice en relación con el referido Fondo. </w:t>
      </w:r>
    </w:p>
    <w:p w:rsidR="0032649A" w:rsidRPr="00870DB2" w:rsidRDefault="0032649A" w:rsidP="0032649A">
      <w:pPr>
        <w:pStyle w:val="Normal1"/>
        <w:widowControl/>
        <w:autoSpaceDE w:val="0"/>
        <w:autoSpaceDN w:val="0"/>
        <w:adjustRightInd w:val="0"/>
        <w:spacing w:line="276" w:lineRule="auto"/>
        <w:contextualSpacing/>
        <w:jc w:val="both"/>
        <w:rPr>
          <w:rFonts w:ascii="Verdana" w:hAnsi="Verdana"/>
          <w:sz w:val="20"/>
          <w:szCs w:val="20"/>
        </w:rPr>
      </w:pPr>
    </w:p>
    <w:p w:rsidR="0032649A" w:rsidRPr="00870DB2" w:rsidRDefault="0032649A" w:rsidP="0032649A">
      <w:pPr>
        <w:pStyle w:val="Normal1"/>
        <w:widowControl/>
        <w:numPr>
          <w:ilvl w:val="0"/>
          <w:numId w:val="2"/>
        </w:numPr>
        <w:autoSpaceDE w:val="0"/>
        <w:autoSpaceDN w:val="0"/>
        <w:adjustRightInd w:val="0"/>
        <w:spacing w:line="276" w:lineRule="auto"/>
        <w:ind w:left="0" w:firstLine="0"/>
        <w:contextualSpacing/>
        <w:jc w:val="both"/>
        <w:rPr>
          <w:rFonts w:ascii="Verdana" w:hAnsi="Verdana"/>
          <w:sz w:val="20"/>
          <w:szCs w:val="20"/>
        </w:rPr>
      </w:pPr>
      <w:r w:rsidRPr="00870DB2">
        <w:rPr>
          <w:rFonts w:ascii="Verdana" w:hAnsi="Verdana"/>
          <w:sz w:val="20"/>
          <w:szCs w:val="20"/>
        </w:rPr>
        <w:t>Finalmente, el Presidente recuerda que, según el artículo 5 del Reglamento del Fondo, oportunamente se informará al Estado acerca de las erogaciones realizadas en aplicación del Fondo de Asistencia, para que presente sus observaciones, si así lo desea, dentro del plazo que se establezca al efecto.</w:t>
      </w:r>
    </w:p>
    <w:p w:rsidR="00340E08" w:rsidRPr="00870DB2" w:rsidRDefault="00340E08" w:rsidP="0032649A">
      <w:pPr>
        <w:pStyle w:val="Normal1"/>
        <w:widowControl/>
        <w:autoSpaceDE w:val="0"/>
        <w:autoSpaceDN w:val="0"/>
        <w:adjustRightInd w:val="0"/>
        <w:spacing w:line="276" w:lineRule="auto"/>
        <w:contextualSpacing/>
        <w:jc w:val="both"/>
        <w:rPr>
          <w:rFonts w:ascii="Verdana" w:hAnsi="Verdana"/>
          <w:sz w:val="20"/>
          <w:szCs w:val="20"/>
        </w:rPr>
      </w:pPr>
    </w:p>
    <w:p w:rsidR="0032649A" w:rsidRPr="00870DB2" w:rsidRDefault="0032649A" w:rsidP="0032649A">
      <w:pPr>
        <w:spacing w:after="0"/>
        <w:jc w:val="both"/>
        <w:rPr>
          <w:rFonts w:ascii="Verdana" w:hAnsi="Verdana"/>
          <w:b/>
          <w:sz w:val="20"/>
          <w:szCs w:val="20"/>
          <w:lang w:val="es-CR"/>
        </w:rPr>
      </w:pPr>
      <w:r w:rsidRPr="00870DB2">
        <w:rPr>
          <w:rFonts w:ascii="Verdana" w:hAnsi="Verdana"/>
          <w:b/>
          <w:sz w:val="20"/>
          <w:szCs w:val="20"/>
          <w:lang w:val="es-CR"/>
        </w:rPr>
        <w:t>POR TANTO:</w:t>
      </w:r>
    </w:p>
    <w:p w:rsidR="0032649A" w:rsidRPr="00870DB2" w:rsidRDefault="0032649A" w:rsidP="0032649A">
      <w:pPr>
        <w:spacing w:after="0"/>
        <w:jc w:val="both"/>
        <w:rPr>
          <w:rFonts w:ascii="Verdana" w:hAnsi="Verdana"/>
          <w:b/>
          <w:sz w:val="20"/>
          <w:szCs w:val="20"/>
          <w:lang w:val="es-CR"/>
        </w:rPr>
      </w:pPr>
    </w:p>
    <w:p w:rsidR="0032649A" w:rsidRPr="00870DB2" w:rsidRDefault="0032649A" w:rsidP="0032649A">
      <w:pPr>
        <w:spacing w:after="0"/>
        <w:jc w:val="both"/>
        <w:rPr>
          <w:rFonts w:ascii="Verdana" w:hAnsi="Verdana"/>
          <w:b/>
          <w:sz w:val="20"/>
          <w:szCs w:val="20"/>
          <w:lang w:val="es-CR"/>
        </w:rPr>
      </w:pPr>
      <w:r w:rsidRPr="00870DB2">
        <w:rPr>
          <w:rFonts w:ascii="Verdana" w:hAnsi="Verdana"/>
          <w:b/>
          <w:sz w:val="20"/>
          <w:szCs w:val="20"/>
          <w:lang w:val="es-CR"/>
        </w:rPr>
        <w:t>EL PRESIDENTE DE LA CORTE INTERAMERICANA DE DERECHOS HUMANOS,</w:t>
      </w:r>
    </w:p>
    <w:p w:rsidR="0032649A" w:rsidRPr="00870DB2" w:rsidRDefault="0032649A" w:rsidP="0032649A">
      <w:pPr>
        <w:spacing w:after="0"/>
        <w:jc w:val="both"/>
        <w:rPr>
          <w:rFonts w:ascii="Verdana" w:hAnsi="Verdana"/>
          <w:b/>
          <w:sz w:val="20"/>
          <w:szCs w:val="20"/>
          <w:lang w:val="es-CR"/>
        </w:rPr>
      </w:pPr>
    </w:p>
    <w:p w:rsidR="0032649A" w:rsidRPr="00870DB2" w:rsidRDefault="0032649A" w:rsidP="0032649A">
      <w:pPr>
        <w:spacing w:after="0"/>
        <w:jc w:val="both"/>
        <w:rPr>
          <w:rFonts w:ascii="Verdana" w:hAnsi="Verdana"/>
          <w:sz w:val="20"/>
          <w:szCs w:val="20"/>
          <w:lang w:val="es-CR"/>
        </w:rPr>
      </w:pPr>
      <w:r w:rsidRPr="00870DB2">
        <w:rPr>
          <w:rFonts w:ascii="Verdana" w:hAnsi="Verdana"/>
          <w:sz w:val="20"/>
          <w:szCs w:val="20"/>
          <w:lang w:val="es-CR"/>
        </w:rPr>
        <w:t xml:space="preserve">de conformidad con el artículo 25.2 del Estatuto de la Corte y con los artículos </w:t>
      </w:r>
      <w:r w:rsidR="009B2223">
        <w:rPr>
          <w:rFonts w:ascii="Verdana" w:hAnsi="Verdana"/>
          <w:sz w:val="20"/>
          <w:szCs w:val="20"/>
          <w:lang w:val="es-CR"/>
        </w:rPr>
        <w:t>4, 15.1, 26.1, 31.2, 35</w:t>
      </w:r>
      <w:r w:rsidRPr="004247BC">
        <w:rPr>
          <w:rFonts w:ascii="Verdana" w:hAnsi="Verdana"/>
          <w:sz w:val="20"/>
          <w:szCs w:val="20"/>
          <w:lang w:val="es-CR"/>
        </w:rPr>
        <w:t>, 37,</w:t>
      </w:r>
      <w:r w:rsidR="00D578D2">
        <w:rPr>
          <w:rFonts w:ascii="Verdana" w:hAnsi="Verdana"/>
          <w:sz w:val="20"/>
          <w:szCs w:val="20"/>
          <w:lang w:val="es-CR"/>
        </w:rPr>
        <w:t xml:space="preserve"> 40.2, 41.1, 42, 45 a</w:t>
      </w:r>
      <w:r w:rsidR="009B2223">
        <w:rPr>
          <w:rFonts w:ascii="Verdana" w:hAnsi="Verdana"/>
          <w:sz w:val="20"/>
          <w:szCs w:val="20"/>
          <w:lang w:val="es-CR"/>
        </w:rPr>
        <w:t xml:space="preserve"> 47,</w:t>
      </w:r>
      <w:r w:rsidR="00F22007">
        <w:rPr>
          <w:rFonts w:ascii="Verdana" w:hAnsi="Verdana"/>
          <w:sz w:val="20"/>
          <w:szCs w:val="20"/>
          <w:lang w:val="es-CR"/>
        </w:rPr>
        <w:t xml:space="preserve"> y 50 a 56</w:t>
      </w:r>
      <w:r w:rsidRPr="00870DB2">
        <w:rPr>
          <w:rFonts w:ascii="Verdana" w:hAnsi="Verdana"/>
          <w:sz w:val="20"/>
          <w:szCs w:val="20"/>
          <w:lang w:val="es-CR"/>
        </w:rPr>
        <w:t xml:space="preserve"> del Reglamento y el Reglamento sobre el Fondo de Asistencia Legal,</w:t>
      </w:r>
    </w:p>
    <w:p w:rsidR="0032649A" w:rsidRPr="00870DB2" w:rsidRDefault="0032649A" w:rsidP="0032649A">
      <w:pPr>
        <w:spacing w:after="0"/>
        <w:jc w:val="both"/>
        <w:rPr>
          <w:rFonts w:ascii="Verdana" w:hAnsi="Verdana"/>
          <w:sz w:val="20"/>
          <w:szCs w:val="20"/>
          <w:lang w:val="es-CR"/>
        </w:rPr>
      </w:pPr>
    </w:p>
    <w:p w:rsidR="0032649A" w:rsidRPr="00870DB2" w:rsidRDefault="0032649A" w:rsidP="0032649A">
      <w:pPr>
        <w:spacing w:after="0"/>
        <w:jc w:val="both"/>
        <w:rPr>
          <w:rFonts w:ascii="Verdana" w:hAnsi="Verdana"/>
          <w:sz w:val="20"/>
          <w:szCs w:val="20"/>
          <w:lang w:val="es-CR"/>
        </w:rPr>
      </w:pPr>
      <w:r w:rsidRPr="00870DB2">
        <w:rPr>
          <w:rFonts w:ascii="Verdana" w:hAnsi="Verdana"/>
          <w:b/>
          <w:sz w:val="20"/>
          <w:szCs w:val="20"/>
          <w:lang w:val="es-CR"/>
        </w:rPr>
        <w:t>RESUELVE:</w:t>
      </w:r>
    </w:p>
    <w:p w:rsidR="0032649A" w:rsidRPr="00870DB2" w:rsidRDefault="0032649A" w:rsidP="00EE78FF">
      <w:pPr>
        <w:spacing w:after="0"/>
        <w:jc w:val="both"/>
        <w:rPr>
          <w:rFonts w:ascii="Verdana" w:hAnsi="Verdana"/>
          <w:sz w:val="20"/>
          <w:szCs w:val="20"/>
          <w:lang w:val="es-CR"/>
        </w:rPr>
      </w:pPr>
    </w:p>
    <w:p w:rsidR="0032649A" w:rsidRPr="001D4FEA" w:rsidRDefault="00FE736A" w:rsidP="00EE78FF">
      <w:pPr>
        <w:pStyle w:val="ListParagraph"/>
        <w:numPr>
          <w:ilvl w:val="3"/>
          <w:numId w:val="2"/>
        </w:numPr>
        <w:spacing w:after="0"/>
        <w:ind w:left="0" w:firstLine="0"/>
        <w:jc w:val="both"/>
        <w:rPr>
          <w:rFonts w:ascii="Verdana" w:hAnsi="Verdana"/>
          <w:sz w:val="20"/>
          <w:szCs w:val="20"/>
          <w:lang w:val="es-CR"/>
        </w:rPr>
      </w:pPr>
      <w:r>
        <w:rPr>
          <w:rFonts w:ascii="Verdana" w:hAnsi="Verdana"/>
          <w:sz w:val="20"/>
          <w:szCs w:val="20"/>
          <w:lang w:val="es-PE"/>
        </w:rPr>
        <w:t xml:space="preserve">Convocar </w:t>
      </w:r>
      <w:r w:rsidRPr="00870DB2">
        <w:rPr>
          <w:rFonts w:ascii="Verdana" w:hAnsi="Verdana"/>
          <w:sz w:val="20"/>
          <w:szCs w:val="20"/>
          <w:lang w:val="es-PE"/>
        </w:rPr>
        <w:t>al Estado de Guatemala</w:t>
      </w:r>
      <w:r>
        <w:rPr>
          <w:rFonts w:ascii="Verdana" w:hAnsi="Verdana"/>
          <w:sz w:val="20"/>
          <w:szCs w:val="20"/>
          <w:lang w:val="es-PE"/>
        </w:rPr>
        <w:t>, a</w:t>
      </w:r>
      <w:r w:rsidRPr="00870DB2">
        <w:rPr>
          <w:rFonts w:ascii="Verdana" w:hAnsi="Verdana"/>
          <w:sz w:val="20"/>
          <w:szCs w:val="20"/>
          <w:lang w:val="es-PE"/>
        </w:rPr>
        <w:t xml:space="preserve"> </w:t>
      </w:r>
      <w:r w:rsidR="0032649A" w:rsidRPr="00BC1A5C">
        <w:rPr>
          <w:rFonts w:ascii="Verdana" w:hAnsi="Verdana"/>
          <w:sz w:val="20"/>
          <w:szCs w:val="20"/>
          <w:lang w:val="es-PE"/>
        </w:rPr>
        <w:t>los representantes</w:t>
      </w:r>
      <w:r w:rsidR="0032649A" w:rsidRPr="00870DB2">
        <w:rPr>
          <w:rFonts w:ascii="Verdana" w:hAnsi="Verdana"/>
          <w:sz w:val="20"/>
          <w:szCs w:val="20"/>
          <w:lang w:val="es-PE"/>
        </w:rPr>
        <w:t xml:space="preserve"> de las presuntas víctimas, y a la Comisión Interamericana de Derechos Humanos a una audiencia pública sobre excepción preliminar y eventuales fondo, reparaciones y costas que se celebrará durante el 130° Período Ordinario de Sesiones, por llevarse a cabo en la sede de la Corte en </w:t>
      </w:r>
      <w:r w:rsidR="00EE78FF">
        <w:rPr>
          <w:rFonts w:ascii="Verdana" w:hAnsi="Verdana"/>
          <w:sz w:val="20"/>
          <w:szCs w:val="20"/>
          <w:lang w:val="es-PE"/>
        </w:rPr>
        <w:t>San José, Costa Rica, el día 8</w:t>
      </w:r>
      <w:r w:rsidR="0032649A" w:rsidRPr="00870DB2">
        <w:rPr>
          <w:rFonts w:ascii="Verdana" w:hAnsi="Verdana"/>
          <w:sz w:val="20"/>
          <w:szCs w:val="20"/>
          <w:lang w:val="es-PE"/>
        </w:rPr>
        <w:t xml:space="preserve"> de m</w:t>
      </w:r>
      <w:r w:rsidR="00EE78FF">
        <w:rPr>
          <w:rFonts w:ascii="Verdana" w:hAnsi="Verdana"/>
          <w:sz w:val="20"/>
          <w:szCs w:val="20"/>
          <w:lang w:val="es-PE"/>
        </w:rPr>
        <w:t>arzo de 2019 a partir de las 08:30</w:t>
      </w:r>
      <w:r w:rsidR="0032649A" w:rsidRPr="00870DB2">
        <w:rPr>
          <w:rFonts w:ascii="Verdana" w:hAnsi="Verdana"/>
          <w:sz w:val="20"/>
          <w:szCs w:val="20"/>
          <w:lang w:val="es-PE"/>
        </w:rPr>
        <w:t xml:space="preserve"> horas, para recibir sus alegatos y observaciones finales orales y la declaración de la siguiente persona: </w:t>
      </w:r>
    </w:p>
    <w:p w:rsidR="001D4FEA" w:rsidRPr="00870DB2" w:rsidRDefault="001D4FEA" w:rsidP="001D4FEA">
      <w:pPr>
        <w:pStyle w:val="ListParagraph"/>
        <w:spacing w:after="0"/>
        <w:ind w:left="0"/>
        <w:jc w:val="both"/>
        <w:rPr>
          <w:rFonts w:ascii="Verdana" w:hAnsi="Verdana"/>
          <w:sz w:val="20"/>
          <w:szCs w:val="20"/>
          <w:lang w:val="es-CR"/>
        </w:rPr>
      </w:pPr>
    </w:p>
    <w:p w:rsidR="00F22007" w:rsidRPr="00870DB2" w:rsidRDefault="00F22007" w:rsidP="00EE78FF">
      <w:pPr>
        <w:spacing w:after="0"/>
        <w:jc w:val="both"/>
        <w:rPr>
          <w:rFonts w:ascii="Verdana" w:hAnsi="Verdana"/>
          <w:b/>
          <w:i/>
          <w:sz w:val="20"/>
          <w:szCs w:val="20"/>
          <w:lang w:val="es-CR"/>
        </w:rPr>
      </w:pPr>
    </w:p>
    <w:p w:rsidR="0032649A" w:rsidRPr="00870DB2" w:rsidRDefault="0032649A" w:rsidP="00EE78FF">
      <w:pPr>
        <w:pStyle w:val="ListParagraph"/>
        <w:numPr>
          <w:ilvl w:val="0"/>
          <w:numId w:val="4"/>
        </w:numPr>
        <w:spacing w:after="0"/>
        <w:ind w:left="0" w:firstLine="0"/>
        <w:jc w:val="both"/>
        <w:rPr>
          <w:rFonts w:ascii="Verdana" w:hAnsi="Verdana"/>
          <w:sz w:val="20"/>
          <w:szCs w:val="20"/>
          <w:lang w:val="es-PE"/>
        </w:rPr>
      </w:pPr>
      <w:r w:rsidRPr="00870DB2">
        <w:rPr>
          <w:rFonts w:ascii="Verdana" w:hAnsi="Verdana"/>
          <w:b/>
          <w:i/>
          <w:sz w:val="20"/>
          <w:szCs w:val="20"/>
          <w:lang w:val="es-CR"/>
        </w:rPr>
        <w:lastRenderedPageBreak/>
        <w:t>Presunta Víctima (propuesta p</w:t>
      </w:r>
      <w:r w:rsidR="003401D7">
        <w:rPr>
          <w:rFonts w:ascii="Verdana" w:hAnsi="Verdana"/>
          <w:b/>
          <w:i/>
          <w:sz w:val="20"/>
          <w:szCs w:val="20"/>
          <w:lang w:val="es-CR"/>
        </w:rPr>
        <w:t>or la</w:t>
      </w:r>
      <w:r w:rsidR="00EE78FF">
        <w:rPr>
          <w:rFonts w:ascii="Verdana" w:hAnsi="Verdana"/>
          <w:b/>
          <w:i/>
          <w:sz w:val="20"/>
          <w:szCs w:val="20"/>
          <w:lang w:val="es-CR"/>
        </w:rPr>
        <w:t>s representantes</w:t>
      </w:r>
      <w:r w:rsidRPr="00870DB2">
        <w:rPr>
          <w:rFonts w:ascii="Verdana" w:hAnsi="Verdana"/>
          <w:b/>
          <w:i/>
          <w:sz w:val="20"/>
          <w:szCs w:val="20"/>
          <w:lang w:val="es-CR"/>
        </w:rPr>
        <w:t>)</w:t>
      </w:r>
    </w:p>
    <w:p w:rsidR="0032649A" w:rsidRPr="00870DB2" w:rsidRDefault="0032649A" w:rsidP="00EE78FF">
      <w:pPr>
        <w:spacing w:after="0"/>
        <w:jc w:val="both"/>
        <w:rPr>
          <w:rFonts w:ascii="Verdana" w:hAnsi="Verdana"/>
          <w:b/>
          <w:i/>
          <w:sz w:val="20"/>
          <w:szCs w:val="20"/>
          <w:lang w:val="es-CR"/>
        </w:rPr>
      </w:pPr>
    </w:p>
    <w:p w:rsidR="0032649A" w:rsidRPr="002C1CDD" w:rsidRDefault="0032649A" w:rsidP="00EE78FF">
      <w:pPr>
        <w:pStyle w:val="ListParagraph"/>
        <w:spacing w:after="0"/>
        <w:jc w:val="both"/>
        <w:rPr>
          <w:rFonts w:ascii="Verdana" w:hAnsi="Verdana"/>
          <w:b/>
          <w:sz w:val="20"/>
          <w:szCs w:val="20"/>
          <w:lang w:val="es-PE"/>
        </w:rPr>
      </w:pPr>
      <w:r w:rsidRPr="00870DB2">
        <w:rPr>
          <w:rFonts w:ascii="Verdana" w:hAnsi="Verdana"/>
          <w:i/>
          <w:sz w:val="20"/>
          <w:szCs w:val="20"/>
          <w:lang w:val="es-PE"/>
        </w:rPr>
        <w:t xml:space="preserve">Miguel Ángel Rodríguez </w:t>
      </w:r>
      <w:proofErr w:type="spellStart"/>
      <w:r w:rsidRPr="00870DB2">
        <w:rPr>
          <w:rFonts w:ascii="Verdana" w:hAnsi="Verdana"/>
          <w:i/>
          <w:sz w:val="20"/>
          <w:szCs w:val="20"/>
          <w:lang w:val="es-PE"/>
        </w:rPr>
        <w:t>Revolorio</w:t>
      </w:r>
      <w:proofErr w:type="spellEnd"/>
      <w:r w:rsidRPr="00870DB2">
        <w:rPr>
          <w:rFonts w:ascii="Verdana" w:hAnsi="Verdana"/>
          <w:i/>
          <w:sz w:val="20"/>
          <w:szCs w:val="20"/>
          <w:lang w:val="es-PE"/>
        </w:rPr>
        <w:t>,</w:t>
      </w:r>
      <w:r w:rsidR="00F92A9D">
        <w:rPr>
          <w:rFonts w:ascii="Verdana" w:hAnsi="Verdana"/>
          <w:i/>
          <w:sz w:val="20"/>
          <w:szCs w:val="20"/>
          <w:lang w:val="es-PE"/>
        </w:rPr>
        <w:t xml:space="preserve"> presunta víctima,</w:t>
      </w:r>
      <w:r w:rsidRPr="00870DB2">
        <w:rPr>
          <w:rFonts w:ascii="Verdana" w:hAnsi="Verdana"/>
          <w:sz w:val="20"/>
          <w:szCs w:val="20"/>
          <w:lang w:val="es-PE"/>
        </w:rPr>
        <w:t xml:space="preserve"> quien declarará sobre: i) las</w:t>
      </w:r>
      <w:r w:rsidR="002C1CDD">
        <w:rPr>
          <w:rFonts w:ascii="Verdana" w:hAnsi="Verdana"/>
          <w:sz w:val="20"/>
          <w:szCs w:val="20"/>
          <w:lang w:val="es-PE"/>
        </w:rPr>
        <w:t xml:space="preserve"> alegadas</w:t>
      </w:r>
      <w:r w:rsidRPr="00870DB2">
        <w:rPr>
          <w:rFonts w:ascii="Verdana" w:hAnsi="Verdana"/>
          <w:sz w:val="20"/>
          <w:szCs w:val="20"/>
          <w:lang w:val="es-PE"/>
        </w:rPr>
        <w:t xml:space="preserve"> circunstancias </w:t>
      </w:r>
      <w:r>
        <w:rPr>
          <w:rFonts w:ascii="Verdana" w:hAnsi="Verdana"/>
          <w:sz w:val="20"/>
          <w:szCs w:val="20"/>
          <w:lang w:val="es-PE"/>
        </w:rPr>
        <w:t>a las que se vio expuesto</w:t>
      </w:r>
      <w:r w:rsidRPr="000A6460">
        <w:rPr>
          <w:rFonts w:ascii="Verdana" w:hAnsi="Verdana"/>
          <w:sz w:val="20"/>
          <w:szCs w:val="20"/>
          <w:lang w:val="es-PE"/>
        </w:rPr>
        <w:t xml:space="preserve"> </w:t>
      </w:r>
      <w:r>
        <w:rPr>
          <w:rFonts w:ascii="Verdana" w:hAnsi="Verdana"/>
          <w:sz w:val="20"/>
          <w:szCs w:val="20"/>
          <w:lang w:val="es-PE"/>
        </w:rPr>
        <w:t xml:space="preserve">desde </w:t>
      </w:r>
      <w:r w:rsidRPr="000A6460">
        <w:rPr>
          <w:rFonts w:ascii="Verdana" w:hAnsi="Verdana"/>
          <w:sz w:val="20"/>
          <w:szCs w:val="20"/>
          <w:lang w:val="es-PE"/>
        </w:rPr>
        <w:t>los hechos que se le imputaron, a lo largo del proceso penal seguido en su contra</w:t>
      </w:r>
      <w:r>
        <w:rPr>
          <w:rFonts w:ascii="Verdana" w:hAnsi="Verdana"/>
          <w:sz w:val="20"/>
          <w:szCs w:val="20"/>
          <w:lang w:val="es-PE"/>
        </w:rPr>
        <w:t>,</w:t>
      </w:r>
      <w:r w:rsidRPr="000A6460">
        <w:rPr>
          <w:rFonts w:ascii="Verdana" w:hAnsi="Verdana"/>
          <w:sz w:val="20"/>
          <w:szCs w:val="20"/>
          <w:lang w:val="es-PE"/>
        </w:rPr>
        <w:t xml:space="preserve"> y durante su internamiento en el centro </w:t>
      </w:r>
      <w:r w:rsidRPr="00755D75">
        <w:rPr>
          <w:rFonts w:ascii="Verdana" w:hAnsi="Verdana"/>
          <w:sz w:val="20"/>
          <w:szCs w:val="20"/>
          <w:lang w:val="es-PE"/>
        </w:rPr>
        <w:t>penitenciario, y ii) el supuesto impacto que dichas circunstancias tuvieron en su vida personal, en su desempeño en la sociedad</w:t>
      </w:r>
      <w:r w:rsidR="007E0B3A" w:rsidRPr="00755D75">
        <w:rPr>
          <w:rFonts w:ascii="Verdana" w:hAnsi="Verdana"/>
          <w:sz w:val="20"/>
          <w:szCs w:val="20"/>
          <w:lang w:val="es-PE"/>
        </w:rPr>
        <w:t>,</w:t>
      </w:r>
      <w:r w:rsidRPr="00755D75">
        <w:rPr>
          <w:rFonts w:ascii="Verdana" w:hAnsi="Verdana"/>
          <w:sz w:val="20"/>
          <w:szCs w:val="20"/>
          <w:lang w:val="es-PE"/>
        </w:rPr>
        <w:t xml:space="preserve"> tanto como ciudadano como profesional, y dentro de su entorno familiar.</w:t>
      </w:r>
      <w:r w:rsidR="00F0655F">
        <w:rPr>
          <w:rFonts w:ascii="Verdana" w:hAnsi="Verdana"/>
          <w:sz w:val="20"/>
          <w:szCs w:val="20"/>
          <w:lang w:val="es-PE"/>
        </w:rPr>
        <w:t xml:space="preserve"> </w:t>
      </w:r>
    </w:p>
    <w:p w:rsidR="0032649A" w:rsidRPr="00870DB2" w:rsidRDefault="0032649A" w:rsidP="00EE78FF">
      <w:pPr>
        <w:spacing w:after="0"/>
        <w:jc w:val="both"/>
        <w:rPr>
          <w:rFonts w:ascii="Verdana" w:hAnsi="Verdana"/>
          <w:b/>
          <w:i/>
          <w:sz w:val="20"/>
          <w:szCs w:val="20"/>
          <w:lang w:val="es-CR"/>
        </w:rPr>
      </w:pPr>
    </w:p>
    <w:p w:rsidR="00EE78FF" w:rsidRDefault="00EE78FF" w:rsidP="00EE78FF">
      <w:pPr>
        <w:pStyle w:val="ListParagraph"/>
        <w:numPr>
          <w:ilvl w:val="3"/>
          <w:numId w:val="2"/>
        </w:numPr>
        <w:spacing w:after="0" w:line="240" w:lineRule="auto"/>
        <w:ind w:left="0" w:firstLine="0"/>
        <w:jc w:val="both"/>
        <w:rPr>
          <w:rFonts w:ascii="Verdana" w:hAnsi="Verdana"/>
          <w:bCs/>
          <w:iCs/>
          <w:sz w:val="20"/>
          <w:szCs w:val="24"/>
          <w:lang w:val="es-CR"/>
        </w:rPr>
      </w:pPr>
      <w:r w:rsidRPr="00EE78FF">
        <w:rPr>
          <w:rFonts w:ascii="Verdana" w:hAnsi="Verdana"/>
          <w:bCs/>
          <w:iCs/>
          <w:sz w:val="20"/>
          <w:szCs w:val="24"/>
          <w:lang w:val="es-CR"/>
        </w:rPr>
        <w:t>Requerir al Estado que facilite la salid</w:t>
      </w:r>
      <w:r>
        <w:rPr>
          <w:rFonts w:ascii="Verdana" w:hAnsi="Verdana"/>
          <w:bCs/>
          <w:iCs/>
          <w:sz w:val="20"/>
          <w:szCs w:val="24"/>
          <w:lang w:val="es-CR"/>
        </w:rPr>
        <w:t>a y entrada de su territorio del declarante, si reside</w:t>
      </w:r>
      <w:r w:rsidRPr="00EE78FF">
        <w:rPr>
          <w:rFonts w:ascii="Verdana" w:hAnsi="Verdana"/>
          <w:bCs/>
          <w:iCs/>
          <w:sz w:val="20"/>
          <w:szCs w:val="24"/>
          <w:lang w:val="es-CR"/>
        </w:rPr>
        <w:t xml:space="preserve"> o se encuentra</w:t>
      </w:r>
      <w:r>
        <w:rPr>
          <w:rFonts w:ascii="Verdana" w:hAnsi="Verdana"/>
          <w:bCs/>
          <w:iCs/>
          <w:sz w:val="20"/>
          <w:szCs w:val="24"/>
          <w:lang w:val="es-CR"/>
        </w:rPr>
        <w:t xml:space="preserve"> en él, quien ha</w:t>
      </w:r>
      <w:r w:rsidRPr="00EE78FF">
        <w:rPr>
          <w:rFonts w:ascii="Verdana" w:hAnsi="Verdana"/>
          <w:bCs/>
          <w:iCs/>
          <w:sz w:val="20"/>
          <w:szCs w:val="24"/>
          <w:lang w:val="es-CR"/>
        </w:rPr>
        <w:t xml:space="preserve"> sido citado en la presente Resolución a rendir declaración en la referida audiencia pública, de conformidad con lo dispuesto en el artículo 26.1 del Reglamento de la Corte. </w:t>
      </w:r>
    </w:p>
    <w:p w:rsidR="00EE78FF" w:rsidRPr="00EE78FF" w:rsidRDefault="00EE78FF" w:rsidP="00EE78FF">
      <w:pPr>
        <w:pStyle w:val="ListParagraph"/>
        <w:spacing w:after="0" w:line="240" w:lineRule="auto"/>
        <w:ind w:left="0"/>
        <w:jc w:val="both"/>
        <w:rPr>
          <w:rFonts w:ascii="Verdana" w:hAnsi="Verdana"/>
          <w:bCs/>
          <w:iCs/>
          <w:sz w:val="20"/>
          <w:szCs w:val="24"/>
          <w:lang w:val="es-CR"/>
        </w:rPr>
      </w:pPr>
    </w:p>
    <w:p w:rsidR="0032649A" w:rsidRPr="00870DB2" w:rsidRDefault="0032649A" w:rsidP="00EE78FF">
      <w:pPr>
        <w:pStyle w:val="ListParagraph"/>
        <w:numPr>
          <w:ilvl w:val="3"/>
          <w:numId w:val="2"/>
        </w:numPr>
        <w:spacing w:after="0"/>
        <w:ind w:left="0" w:firstLine="0"/>
        <w:jc w:val="both"/>
        <w:rPr>
          <w:rFonts w:ascii="Verdana" w:hAnsi="Verdana"/>
          <w:sz w:val="20"/>
          <w:szCs w:val="20"/>
          <w:lang w:val="es-CR"/>
        </w:rPr>
      </w:pPr>
      <w:r w:rsidRPr="00870DB2">
        <w:rPr>
          <w:rFonts w:ascii="Verdana" w:hAnsi="Verdana"/>
          <w:sz w:val="20"/>
          <w:szCs w:val="20"/>
          <w:lang w:val="es-CR"/>
        </w:rPr>
        <w:t>Requerir, por las razones expuestas en la presente Resolución, de conformidad con el principio de economía procesal y en el ejercicio de la facultad que le otorga los artículos 50.1 y 50.3 del Reglamento, que l</w:t>
      </w:r>
      <w:r w:rsidR="00EE78FF">
        <w:rPr>
          <w:rFonts w:ascii="Verdana" w:hAnsi="Verdana"/>
          <w:sz w:val="20"/>
          <w:szCs w:val="20"/>
          <w:lang w:val="es-CR"/>
        </w:rPr>
        <w:t>as siguientes personas presten</w:t>
      </w:r>
      <w:r w:rsidRPr="00870DB2">
        <w:rPr>
          <w:rFonts w:ascii="Verdana" w:hAnsi="Verdana"/>
          <w:sz w:val="20"/>
          <w:szCs w:val="20"/>
          <w:lang w:val="es-CR"/>
        </w:rPr>
        <w:t xml:space="preserve"> sus declaraciones ante fedatario público:</w:t>
      </w:r>
    </w:p>
    <w:p w:rsidR="0032649A" w:rsidRPr="00870DB2" w:rsidRDefault="0032649A" w:rsidP="0032649A">
      <w:pPr>
        <w:spacing w:after="0"/>
        <w:jc w:val="both"/>
        <w:rPr>
          <w:rFonts w:ascii="Verdana" w:hAnsi="Verdana"/>
          <w:b/>
          <w:i/>
          <w:sz w:val="20"/>
          <w:szCs w:val="20"/>
          <w:lang w:val="es-CR"/>
        </w:rPr>
      </w:pPr>
    </w:p>
    <w:p w:rsidR="0032649A" w:rsidRPr="00870DB2" w:rsidRDefault="0032649A" w:rsidP="0032649A">
      <w:pPr>
        <w:pStyle w:val="ListParagraph"/>
        <w:numPr>
          <w:ilvl w:val="0"/>
          <w:numId w:val="5"/>
        </w:numPr>
        <w:spacing w:after="0"/>
        <w:jc w:val="both"/>
        <w:rPr>
          <w:rFonts w:ascii="Verdana" w:hAnsi="Verdana"/>
          <w:i/>
          <w:sz w:val="20"/>
          <w:szCs w:val="20"/>
          <w:lang w:val="es-CR"/>
        </w:rPr>
      </w:pPr>
      <w:r w:rsidRPr="00870DB2">
        <w:rPr>
          <w:rFonts w:ascii="Verdana" w:hAnsi="Verdana"/>
          <w:b/>
          <w:i/>
          <w:sz w:val="20"/>
          <w:szCs w:val="20"/>
          <w:lang w:val="es-CR"/>
        </w:rPr>
        <w:t xml:space="preserve">Declarantes </w:t>
      </w:r>
      <w:r w:rsidR="003401D7">
        <w:rPr>
          <w:rFonts w:ascii="Verdana" w:hAnsi="Verdana"/>
          <w:i/>
          <w:sz w:val="20"/>
          <w:szCs w:val="20"/>
          <w:lang w:val="es-CR"/>
        </w:rPr>
        <w:t>(Propuestos por las representantes</w:t>
      </w:r>
      <w:r w:rsidRPr="00870DB2">
        <w:rPr>
          <w:rFonts w:ascii="Verdana" w:hAnsi="Verdana"/>
          <w:i/>
          <w:sz w:val="20"/>
          <w:szCs w:val="20"/>
          <w:lang w:val="es-CR"/>
        </w:rPr>
        <w:t>)</w:t>
      </w:r>
    </w:p>
    <w:p w:rsidR="0032649A" w:rsidRPr="00870DB2" w:rsidRDefault="0032649A" w:rsidP="0032649A">
      <w:pPr>
        <w:pStyle w:val="ListParagraph"/>
        <w:spacing w:after="0"/>
        <w:jc w:val="both"/>
        <w:rPr>
          <w:rFonts w:ascii="Verdana" w:hAnsi="Verdana"/>
          <w:b/>
          <w:i/>
          <w:sz w:val="20"/>
          <w:szCs w:val="20"/>
          <w:lang w:val="es-CR"/>
        </w:rPr>
      </w:pPr>
    </w:p>
    <w:p w:rsidR="0032649A" w:rsidRPr="00AC0D97" w:rsidRDefault="0032649A" w:rsidP="00F0655F">
      <w:pPr>
        <w:pStyle w:val="ListParagraph"/>
        <w:numPr>
          <w:ilvl w:val="0"/>
          <w:numId w:val="6"/>
        </w:numPr>
        <w:spacing w:after="0"/>
        <w:ind w:firstLine="0"/>
        <w:jc w:val="both"/>
        <w:rPr>
          <w:rFonts w:ascii="Verdana" w:hAnsi="Verdana"/>
          <w:sz w:val="20"/>
          <w:szCs w:val="20"/>
          <w:lang w:val="es-PE"/>
        </w:rPr>
      </w:pPr>
      <w:r w:rsidRPr="00AC0D97">
        <w:rPr>
          <w:rFonts w:ascii="Verdana" w:eastAsia="Times New Roman" w:hAnsi="Verdana" w:cs="Times New Roman"/>
          <w:i/>
          <w:sz w:val="20"/>
          <w:szCs w:val="20"/>
          <w:lang w:val="es-CR"/>
        </w:rPr>
        <w:t xml:space="preserve">Miriam </w:t>
      </w:r>
      <w:proofErr w:type="spellStart"/>
      <w:r w:rsidRPr="00AC0D97">
        <w:rPr>
          <w:rFonts w:ascii="Verdana" w:eastAsia="Times New Roman" w:hAnsi="Verdana" w:cs="Times New Roman"/>
          <w:i/>
          <w:sz w:val="20"/>
          <w:szCs w:val="20"/>
          <w:lang w:val="es-CR"/>
        </w:rPr>
        <w:t>Floridalma</w:t>
      </w:r>
      <w:proofErr w:type="spellEnd"/>
      <w:r w:rsidRPr="00AC0D97">
        <w:rPr>
          <w:rFonts w:ascii="Verdana" w:eastAsia="Times New Roman" w:hAnsi="Verdana" w:cs="Times New Roman"/>
          <w:i/>
          <w:sz w:val="20"/>
          <w:szCs w:val="20"/>
          <w:lang w:val="es-CR"/>
        </w:rPr>
        <w:t xml:space="preserve"> Osorio García de López,</w:t>
      </w:r>
      <w:r w:rsidRPr="00AC0D97">
        <w:rPr>
          <w:rFonts w:ascii="Verdana" w:eastAsia="Times New Roman" w:hAnsi="Verdana" w:cs="Times New Roman"/>
          <w:sz w:val="20"/>
          <w:szCs w:val="20"/>
          <w:lang w:val="es-CR"/>
        </w:rPr>
        <w:t xml:space="preserve"> esposa de Miguel Ángel López Calo, </w:t>
      </w:r>
      <w:r w:rsidRPr="00AC0D97">
        <w:rPr>
          <w:rFonts w:ascii="Verdana" w:hAnsi="Verdana"/>
          <w:sz w:val="20"/>
          <w:szCs w:val="20"/>
          <w:lang w:val="es-PE"/>
        </w:rPr>
        <w:t xml:space="preserve">quien declarará sobre: i) las alegadas circunstancias a las que se vio expuesto su esposo desde los hechos que se le imputaron, a lo largo del proceso penal seguido en su contra, y durante su internamiento en el centro penitenciario, y ii) el supuesto impacto que dichas circunstancias tuvieron en su vida personal, en su desempeño en la sociedad tanto como ciudadano como profesional, y dentro de su entorno familiar. </w:t>
      </w:r>
    </w:p>
    <w:p w:rsidR="0032649A" w:rsidRPr="00AC0D97" w:rsidRDefault="0032649A" w:rsidP="00F0655F">
      <w:pPr>
        <w:pStyle w:val="ListParagraph"/>
        <w:spacing w:after="0"/>
        <w:ind w:left="0"/>
        <w:jc w:val="both"/>
        <w:rPr>
          <w:rFonts w:ascii="Verdana" w:hAnsi="Verdana"/>
          <w:sz w:val="20"/>
          <w:szCs w:val="20"/>
          <w:lang w:val="es-PE"/>
        </w:rPr>
      </w:pPr>
    </w:p>
    <w:p w:rsidR="0032649A" w:rsidRPr="00907C10" w:rsidRDefault="0032649A" w:rsidP="00F0655F">
      <w:pPr>
        <w:pStyle w:val="ListParagraph"/>
        <w:numPr>
          <w:ilvl w:val="0"/>
          <w:numId w:val="6"/>
        </w:numPr>
        <w:spacing w:after="0"/>
        <w:ind w:firstLine="0"/>
        <w:jc w:val="both"/>
        <w:rPr>
          <w:rFonts w:ascii="Verdana" w:hAnsi="Verdana"/>
          <w:sz w:val="20"/>
          <w:szCs w:val="20"/>
          <w:u w:val="single"/>
          <w:lang w:val="es-PE"/>
        </w:rPr>
      </w:pPr>
      <w:r w:rsidRPr="00AC0D97">
        <w:rPr>
          <w:rFonts w:ascii="Verdana" w:hAnsi="Verdana"/>
          <w:i/>
          <w:sz w:val="20"/>
          <w:szCs w:val="20"/>
          <w:lang w:val="es-PE"/>
        </w:rPr>
        <w:t>Irma Morales Morata</w:t>
      </w:r>
      <w:r w:rsidRPr="00AC0D97">
        <w:rPr>
          <w:rFonts w:ascii="Verdana" w:hAnsi="Verdana"/>
          <w:sz w:val="20"/>
          <w:szCs w:val="20"/>
          <w:lang w:val="es-PE"/>
        </w:rPr>
        <w:t>, esposa de Aníbal Archila Pérez, quien declarará sobre: i) las alegadas circunstancias a las que se vio expuesto su esposo desde los hechos que se le imputaron, a lo largo del proceso penal seguido en su contra, y durante su internamiento en el centro penitenciario, y ii) el supuesto impacto que dichas circunstancias tuvieron en su vida personal, en su desempeño en la sociedad tanto como ciudadano como profesional, y dentro de su entorno familiar.</w:t>
      </w:r>
    </w:p>
    <w:p w:rsidR="00907C10" w:rsidRPr="00907C10" w:rsidRDefault="00907C10" w:rsidP="00F0655F">
      <w:pPr>
        <w:pStyle w:val="ListParagraph"/>
        <w:spacing w:after="0"/>
        <w:ind w:left="0"/>
        <w:jc w:val="both"/>
        <w:rPr>
          <w:rFonts w:ascii="Verdana" w:hAnsi="Verdana"/>
          <w:sz w:val="20"/>
          <w:szCs w:val="20"/>
          <w:u w:val="single"/>
          <w:lang w:val="es-PE"/>
        </w:rPr>
      </w:pPr>
    </w:p>
    <w:p w:rsidR="0032649A" w:rsidRPr="00AC0D97" w:rsidRDefault="0032649A" w:rsidP="00F0655F">
      <w:pPr>
        <w:pStyle w:val="ListParagraph"/>
        <w:numPr>
          <w:ilvl w:val="0"/>
          <w:numId w:val="6"/>
        </w:numPr>
        <w:spacing w:after="0"/>
        <w:ind w:firstLine="0"/>
        <w:jc w:val="both"/>
        <w:rPr>
          <w:rFonts w:ascii="Verdana" w:hAnsi="Verdana"/>
          <w:sz w:val="20"/>
          <w:szCs w:val="20"/>
          <w:lang w:val="es-PE"/>
        </w:rPr>
      </w:pPr>
      <w:r w:rsidRPr="00907C10">
        <w:rPr>
          <w:rFonts w:ascii="Verdana" w:hAnsi="Verdana"/>
          <w:i/>
          <w:sz w:val="20"/>
          <w:szCs w:val="20"/>
          <w:lang w:val="es-CR"/>
        </w:rPr>
        <w:t>Víctor Hugo Cano</w:t>
      </w:r>
      <w:r w:rsidRPr="00907C10">
        <w:rPr>
          <w:rFonts w:ascii="Verdana" w:hAnsi="Verdana"/>
          <w:sz w:val="20"/>
          <w:szCs w:val="20"/>
          <w:lang w:val="es-CR"/>
        </w:rPr>
        <w:t xml:space="preserve">, abogado de Miguel Ángel Rodríguez </w:t>
      </w:r>
      <w:proofErr w:type="spellStart"/>
      <w:r w:rsidRPr="00907C10">
        <w:rPr>
          <w:rFonts w:ascii="Verdana" w:hAnsi="Verdana"/>
          <w:sz w:val="20"/>
          <w:szCs w:val="20"/>
          <w:lang w:val="es-CR"/>
        </w:rPr>
        <w:t>Revolorio</w:t>
      </w:r>
      <w:proofErr w:type="spellEnd"/>
      <w:r w:rsidRPr="00907C10">
        <w:rPr>
          <w:rFonts w:ascii="Verdana" w:hAnsi="Verdana"/>
          <w:sz w:val="20"/>
          <w:szCs w:val="20"/>
          <w:lang w:val="es-CR"/>
        </w:rPr>
        <w:t xml:space="preserve"> en el proceso interno seguido en su contra, </w:t>
      </w:r>
      <w:r w:rsidRPr="00907C10">
        <w:rPr>
          <w:rFonts w:ascii="Verdana" w:hAnsi="Verdana"/>
          <w:sz w:val="20"/>
          <w:szCs w:val="20"/>
          <w:lang w:val="es-PE"/>
        </w:rPr>
        <w:t xml:space="preserve">quien declarará </w:t>
      </w:r>
      <w:r w:rsidRPr="00907C10">
        <w:rPr>
          <w:rFonts w:ascii="Verdana" w:hAnsi="Verdana"/>
          <w:sz w:val="20"/>
          <w:szCs w:val="20"/>
          <w:lang w:val="es-CR"/>
        </w:rPr>
        <w:t>sobre: i) las supuestas circunstancias procesales en fase de investigación y juicio a las que se vio expuesto, su entonces patrocinado, y ii) la alegada falta de imparcialidad del Tribunal Cuarto de Sentencia al momento de resolver la situación de las presuntas víctimas en el presente caso</w:t>
      </w:r>
      <w:r w:rsidRPr="00AC0D97">
        <w:rPr>
          <w:rFonts w:ascii="Verdana" w:hAnsi="Verdana"/>
          <w:sz w:val="20"/>
          <w:szCs w:val="20"/>
          <w:lang w:val="es-CR"/>
        </w:rPr>
        <w:t xml:space="preserve">. </w:t>
      </w:r>
    </w:p>
    <w:p w:rsidR="0032649A" w:rsidRPr="00AC0D97" w:rsidRDefault="0032649A" w:rsidP="00F0655F">
      <w:pPr>
        <w:pStyle w:val="ListParagraph"/>
        <w:rPr>
          <w:rFonts w:ascii="Verdana" w:hAnsi="Verdana"/>
          <w:sz w:val="20"/>
          <w:szCs w:val="20"/>
          <w:lang w:val="es-PE"/>
        </w:rPr>
      </w:pPr>
    </w:p>
    <w:p w:rsidR="0032649A" w:rsidRPr="00870DB2" w:rsidRDefault="0032649A" w:rsidP="00F0655F">
      <w:pPr>
        <w:pStyle w:val="ListParagraph"/>
        <w:numPr>
          <w:ilvl w:val="0"/>
          <w:numId w:val="6"/>
        </w:numPr>
        <w:spacing w:after="0"/>
        <w:ind w:firstLine="0"/>
        <w:jc w:val="both"/>
        <w:rPr>
          <w:rFonts w:ascii="Verdana" w:hAnsi="Verdana"/>
          <w:sz w:val="20"/>
          <w:szCs w:val="20"/>
          <w:lang w:val="es-PE"/>
        </w:rPr>
      </w:pPr>
      <w:r w:rsidRPr="00870DB2">
        <w:rPr>
          <w:rFonts w:ascii="Verdana" w:hAnsi="Verdana"/>
          <w:i/>
          <w:sz w:val="20"/>
          <w:szCs w:val="20"/>
          <w:lang w:val="es-CR"/>
        </w:rPr>
        <w:t>Roberto Enrique Quiñonez Días,</w:t>
      </w:r>
      <w:r w:rsidRPr="00870DB2">
        <w:rPr>
          <w:rFonts w:ascii="Verdana" w:hAnsi="Verdana"/>
          <w:sz w:val="20"/>
          <w:szCs w:val="20"/>
          <w:lang w:val="es-CR"/>
        </w:rPr>
        <w:t xml:space="preserve"> </w:t>
      </w:r>
      <w:r>
        <w:rPr>
          <w:rFonts w:ascii="Verdana" w:hAnsi="Verdana"/>
          <w:sz w:val="20"/>
          <w:szCs w:val="20"/>
          <w:lang w:val="es-CR"/>
        </w:rPr>
        <w:t>abogado</w:t>
      </w:r>
      <w:r w:rsidRPr="00870DB2">
        <w:rPr>
          <w:rFonts w:ascii="Verdana" w:hAnsi="Verdana"/>
          <w:sz w:val="20"/>
          <w:szCs w:val="20"/>
          <w:lang w:val="es-CR"/>
        </w:rPr>
        <w:t xml:space="preserve">, </w:t>
      </w:r>
      <w:r w:rsidR="003401D7">
        <w:rPr>
          <w:rFonts w:ascii="Verdana" w:hAnsi="Verdana"/>
          <w:sz w:val="20"/>
          <w:szCs w:val="20"/>
          <w:lang w:val="es-CR"/>
        </w:rPr>
        <w:t>quien declarará</w:t>
      </w:r>
      <w:r w:rsidRPr="00870DB2">
        <w:rPr>
          <w:rFonts w:ascii="Verdana" w:hAnsi="Verdana"/>
          <w:sz w:val="20"/>
          <w:szCs w:val="20"/>
          <w:lang w:val="es-CR"/>
        </w:rPr>
        <w:t xml:space="preserve"> sobre: </w:t>
      </w:r>
      <w:r w:rsidR="007E0B3A">
        <w:rPr>
          <w:rFonts w:ascii="Verdana" w:hAnsi="Verdana"/>
          <w:sz w:val="20"/>
          <w:szCs w:val="20"/>
          <w:lang w:val="es-CR"/>
        </w:rPr>
        <w:t xml:space="preserve">i) </w:t>
      </w:r>
      <w:r w:rsidRPr="00870DB2">
        <w:rPr>
          <w:rFonts w:ascii="Verdana" w:hAnsi="Verdana"/>
          <w:sz w:val="20"/>
          <w:szCs w:val="20"/>
          <w:lang w:val="es-CR"/>
        </w:rPr>
        <w:t xml:space="preserve">las alegadas circunstancias procesales en fase de investigación y juicio a las </w:t>
      </w:r>
      <w:r w:rsidR="007E0B3A">
        <w:rPr>
          <w:rFonts w:ascii="Verdana" w:hAnsi="Verdana"/>
          <w:sz w:val="20"/>
          <w:szCs w:val="20"/>
          <w:lang w:val="es-CR"/>
        </w:rPr>
        <w:t>que se vieron expuesta</w:t>
      </w:r>
      <w:r w:rsidRPr="00870DB2">
        <w:rPr>
          <w:rFonts w:ascii="Verdana" w:hAnsi="Verdana"/>
          <w:sz w:val="20"/>
          <w:szCs w:val="20"/>
          <w:lang w:val="es-CR"/>
        </w:rPr>
        <w:t xml:space="preserve">s las presuntas víctimas, y </w:t>
      </w:r>
      <w:r w:rsidR="007E0B3A">
        <w:rPr>
          <w:rFonts w:ascii="Verdana" w:hAnsi="Verdana"/>
          <w:sz w:val="20"/>
          <w:szCs w:val="20"/>
          <w:lang w:val="es-CR"/>
        </w:rPr>
        <w:t xml:space="preserve">ii) la alegada falta de </w:t>
      </w:r>
      <w:r w:rsidRPr="00870DB2">
        <w:rPr>
          <w:rFonts w:ascii="Verdana" w:hAnsi="Verdana"/>
          <w:sz w:val="20"/>
          <w:szCs w:val="20"/>
          <w:lang w:val="es-CR"/>
        </w:rPr>
        <w:t>imparcialidad de Tribunal Cuarto de Sentencia al momento de resolver su situación</w:t>
      </w:r>
      <w:r w:rsidR="007E0B3A">
        <w:rPr>
          <w:rFonts w:ascii="Verdana" w:hAnsi="Verdana"/>
          <w:sz w:val="20"/>
          <w:szCs w:val="20"/>
          <w:lang w:val="es-CR"/>
        </w:rPr>
        <w:t xml:space="preserve"> </w:t>
      </w:r>
      <w:r w:rsidR="007E0B3A" w:rsidRPr="00907C10">
        <w:rPr>
          <w:rFonts w:ascii="Verdana" w:hAnsi="Verdana"/>
          <w:sz w:val="20"/>
          <w:szCs w:val="20"/>
          <w:lang w:val="es-CR"/>
        </w:rPr>
        <w:t>de las presuntas víctimas en el presente caso</w:t>
      </w:r>
      <w:r w:rsidRPr="00870DB2">
        <w:rPr>
          <w:rFonts w:ascii="Verdana" w:hAnsi="Verdana"/>
          <w:sz w:val="20"/>
          <w:szCs w:val="20"/>
          <w:lang w:val="es-CR"/>
        </w:rPr>
        <w:t>.</w:t>
      </w:r>
    </w:p>
    <w:p w:rsidR="0032649A" w:rsidRPr="00870DB2" w:rsidRDefault="0032649A" w:rsidP="0032649A">
      <w:pPr>
        <w:pStyle w:val="ListParagraph"/>
        <w:spacing w:after="0"/>
        <w:ind w:left="0"/>
        <w:jc w:val="both"/>
        <w:rPr>
          <w:rFonts w:ascii="Verdana" w:hAnsi="Verdana"/>
          <w:sz w:val="20"/>
          <w:szCs w:val="20"/>
          <w:lang w:val="es-PE"/>
        </w:rPr>
      </w:pPr>
    </w:p>
    <w:p w:rsidR="00EE78FF" w:rsidRPr="00EE78FF" w:rsidRDefault="0032649A" w:rsidP="00EE78FF">
      <w:pPr>
        <w:pStyle w:val="ListParagraph"/>
        <w:numPr>
          <w:ilvl w:val="0"/>
          <w:numId w:val="5"/>
        </w:numPr>
        <w:spacing w:after="0"/>
        <w:jc w:val="both"/>
        <w:rPr>
          <w:rFonts w:ascii="Verdana" w:hAnsi="Verdana"/>
          <w:b/>
          <w:i/>
          <w:sz w:val="20"/>
          <w:szCs w:val="20"/>
          <w:lang w:val="es-CR"/>
        </w:rPr>
      </w:pPr>
      <w:r w:rsidRPr="00EE78FF">
        <w:rPr>
          <w:rFonts w:ascii="Verdana" w:hAnsi="Verdana"/>
          <w:b/>
          <w:i/>
          <w:sz w:val="20"/>
          <w:szCs w:val="20"/>
          <w:lang w:val="es-CR"/>
        </w:rPr>
        <w:lastRenderedPageBreak/>
        <w:t xml:space="preserve">Peritos </w:t>
      </w:r>
      <w:r w:rsidR="003401D7">
        <w:rPr>
          <w:rFonts w:ascii="Verdana" w:hAnsi="Verdana"/>
          <w:i/>
          <w:sz w:val="20"/>
          <w:szCs w:val="20"/>
          <w:lang w:val="es-CR"/>
        </w:rPr>
        <w:t>(Propuestos por la</w:t>
      </w:r>
      <w:r w:rsidR="00EE78FF" w:rsidRPr="00EE78FF">
        <w:rPr>
          <w:rFonts w:ascii="Verdana" w:hAnsi="Verdana"/>
          <w:i/>
          <w:sz w:val="20"/>
          <w:szCs w:val="20"/>
          <w:lang w:val="es-CR"/>
        </w:rPr>
        <w:t>s representantes)</w:t>
      </w:r>
    </w:p>
    <w:p w:rsidR="0032649A" w:rsidRPr="00870DB2" w:rsidRDefault="0032649A" w:rsidP="00EE78FF">
      <w:pPr>
        <w:spacing w:after="0"/>
        <w:jc w:val="both"/>
        <w:rPr>
          <w:rFonts w:ascii="Verdana" w:hAnsi="Verdana"/>
          <w:b/>
          <w:i/>
          <w:sz w:val="20"/>
          <w:szCs w:val="20"/>
          <w:lang w:val="es-CR"/>
        </w:rPr>
      </w:pPr>
    </w:p>
    <w:p w:rsidR="0032649A" w:rsidRPr="00907C10" w:rsidRDefault="0032649A" w:rsidP="00F0655F">
      <w:pPr>
        <w:pStyle w:val="ListParagraph"/>
        <w:numPr>
          <w:ilvl w:val="0"/>
          <w:numId w:val="7"/>
        </w:numPr>
        <w:ind w:left="720" w:firstLine="0"/>
        <w:jc w:val="both"/>
        <w:rPr>
          <w:rFonts w:ascii="Verdana" w:hAnsi="Verdana"/>
          <w:sz w:val="20"/>
          <w:szCs w:val="20"/>
          <w:lang w:val="es-CR"/>
        </w:rPr>
      </w:pPr>
      <w:r w:rsidRPr="00907C10">
        <w:rPr>
          <w:rFonts w:ascii="Verdana" w:hAnsi="Verdana"/>
          <w:i/>
          <w:sz w:val="20"/>
          <w:szCs w:val="20"/>
          <w:lang w:val="es-CR"/>
        </w:rPr>
        <w:t>Alberto Bovino</w:t>
      </w:r>
      <w:r w:rsidRPr="00907C10">
        <w:rPr>
          <w:rFonts w:ascii="Verdana" w:hAnsi="Verdana"/>
          <w:sz w:val="20"/>
          <w:szCs w:val="20"/>
          <w:lang w:val="es-CR"/>
        </w:rPr>
        <w:t xml:space="preserve">, abogado, </w:t>
      </w:r>
      <w:r w:rsidR="003401D7">
        <w:rPr>
          <w:rFonts w:ascii="Verdana" w:hAnsi="Verdana"/>
          <w:sz w:val="20"/>
          <w:szCs w:val="20"/>
          <w:lang w:val="es-CR"/>
        </w:rPr>
        <w:t xml:space="preserve">quien rendirá </w:t>
      </w:r>
      <w:r w:rsidRPr="00907C10">
        <w:rPr>
          <w:rFonts w:ascii="Verdana" w:hAnsi="Verdana"/>
          <w:sz w:val="20"/>
          <w:szCs w:val="20"/>
          <w:lang w:val="es-CR"/>
        </w:rPr>
        <w:t>peritaje sobre: i) los estándares sobre el derecho a la vida por la imposición de la pena de muerte y las garantías judiciales, y ii) las cuestiones de debido proceso que plantea el caso, como el derecho de ser juzgado por un juez o tribunal competente, independiente e imparcial, derecho de defensa, presunción de inocencia, acceso a un recurso efectivo, así como de la debida motivación y a la protección judicial.</w:t>
      </w:r>
    </w:p>
    <w:p w:rsidR="0032649A" w:rsidRPr="00907C10" w:rsidRDefault="0032649A" w:rsidP="00F0655F">
      <w:pPr>
        <w:pStyle w:val="ListParagraph"/>
        <w:jc w:val="both"/>
        <w:rPr>
          <w:rFonts w:ascii="Verdana" w:hAnsi="Verdana"/>
          <w:sz w:val="20"/>
          <w:szCs w:val="20"/>
          <w:lang w:val="es-CR"/>
        </w:rPr>
      </w:pPr>
      <w:r w:rsidRPr="00907C10">
        <w:rPr>
          <w:rFonts w:ascii="Verdana" w:hAnsi="Verdana"/>
          <w:sz w:val="20"/>
          <w:szCs w:val="20"/>
          <w:lang w:val="es-CR"/>
        </w:rPr>
        <w:t xml:space="preserve"> </w:t>
      </w:r>
    </w:p>
    <w:p w:rsidR="0032649A" w:rsidRPr="00907C10" w:rsidRDefault="0032649A" w:rsidP="00F0655F">
      <w:pPr>
        <w:pStyle w:val="ListParagraph"/>
        <w:numPr>
          <w:ilvl w:val="0"/>
          <w:numId w:val="7"/>
        </w:numPr>
        <w:spacing w:after="0"/>
        <w:ind w:left="720" w:firstLine="0"/>
        <w:jc w:val="both"/>
        <w:rPr>
          <w:rFonts w:ascii="Verdana" w:hAnsi="Verdana"/>
          <w:sz w:val="20"/>
          <w:szCs w:val="20"/>
          <w:lang w:val="es-CR"/>
        </w:rPr>
      </w:pPr>
      <w:r w:rsidRPr="00907C10">
        <w:rPr>
          <w:rFonts w:ascii="Verdana" w:hAnsi="Verdana"/>
          <w:i/>
          <w:sz w:val="20"/>
          <w:szCs w:val="20"/>
          <w:lang w:val="es-CR"/>
        </w:rPr>
        <w:t>Juan José Hernández Mejía,</w:t>
      </w:r>
      <w:r w:rsidRPr="00907C10">
        <w:rPr>
          <w:rFonts w:ascii="Verdana" w:hAnsi="Verdana"/>
          <w:sz w:val="20"/>
          <w:szCs w:val="20"/>
          <w:lang w:val="es-CR"/>
        </w:rPr>
        <w:t xml:space="preserve"> licenciado en ciencias jurídicas y sociales, abogado y Notario, </w:t>
      </w:r>
      <w:r w:rsidR="003401D7">
        <w:rPr>
          <w:rFonts w:ascii="Verdana" w:hAnsi="Verdana"/>
          <w:sz w:val="20"/>
          <w:szCs w:val="20"/>
          <w:lang w:val="es-CR"/>
        </w:rPr>
        <w:t xml:space="preserve">quien rendirá </w:t>
      </w:r>
      <w:r w:rsidRPr="00907C10">
        <w:rPr>
          <w:rFonts w:ascii="Verdana" w:hAnsi="Verdana"/>
          <w:sz w:val="20"/>
          <w:szCs w:val="20"/>
          <w:lang w:val="es-CR"/>
        </w:rPr>
        <w:t>peritaje sobre: i) los estándares sobre las reformas judiciales (penal y proceso penal) en Guatemala respecto de la pena de muerte y garantías judiciales, y ii) a las cuestiones de principios de derecho penal sustantivo y de prisión.</w:t>
      </w:r>
    </w:p>
    <w:p w:rsidR="0032649A" w:rsidRPr="00870DB2" w:rsidRDefault="0032649A" w:rsidP="0032649A">
      <w:pPr>
        <w:pStyle w:val="ListParagraph"/>
        <w:spacing w:after="0"/>
        <w:jc w:val="both"/>
        <w:rPr>
          <w:rFonts w:ascii="Verdana" w:hAnsi="Verdana"/>
          <w:sz w:val="20"/>
          <w:szCs w:val="20"/>
          <w:lang w:val="es-CR"/>
        </w:rPr>
      </w:pPr>
    </w:p>
    <w:p w:rsidR="0032649A" w:rsidRPr="005E1042" w:rsidRDefault="007E0B3A" w:rsidP="00EE78FF">
      <w:pPr>
        <w:pStyle w:val="Normal1"/>
        <w:widowControl/>
        <w:autoSpaceDE w:val="0"/>
        <w:autoSpaceDN w:val="0"/>
        <w:adjustRightInd w:val="0"/>
        <w:spacing w:line="276" w:lineRule="auto"/>
        <w:contextualSpacing/>
        <w:jc w:val="both"/>
        <w:rPr>
          <w:rFonts w:ascii="Verdana" w:hAnsi="Verdana"/>
          <w:sz w:val="20"/>
          <w:szCs w:val="20"/>
        </w:rPr>
      </w:pPr>
      <w:r>
        <w:rPr>
          <w:rFonts w:ascii="Verdana" w:hAnsi="Verdana"/>
          <w:sz w:val="20"/>
          <w:szCs w:val="20"/>
        </w:rPr>
        <w:t>4</w:t>
      </w:r>
      <w:r w:rsidR="00F22007">
        <w:rPr>
          <w:rFonts w:ascii="Verdana" w:hAnsi="Verdana"/>
          <w:sz w:val="20"/>
          <w:szCs w:val="20"/>
        </w:rPr>
        <w:t>.</w:t>
      </w:r>
      <w:r w:rsidR="00F22007">
        <w:rPr>
          <w:rFonts w:ascii="Verdana" w:hAnsi="Verdana"/>
          <w:sz w:val="20"/>
          <w:szCs w:val="20"/>
        </w:rPr>
        <w:tab/>
        <w:t>Requerir a la</w:t>
      </w:r>
      <w:r w:rsidR="0032649A" w:rsidRPr="005E1042">
        <w:rPr>
          <w:rFonts w:ascii="Verdana" w:hAnsi="Verdana"/>
          <w:sz w:val="20"/>
          <w:szCs w:val="20"/>
        </w:rPr>
        <w:t>s representantes que notifiquen la presente Res</w:t>
      </w:r>
      <w:r w:rsidR="007F26F0">
        <w:rPr>
          <w:rFonts w:ascii="Verdana" w:hAnsi="Verdana"/>
          <w:sz w:val="20"/>
          <w:szCs w:val="20"/>
        </w:rPr>
        <w:t>olución a las personas por ellas</w:t>
      </w:r>
      <w:r w:rsidR="0032649A" w:rsidRPr="005E1042">
        <w:rPr>
          <w:rFonts w:ascii="Verdana" w:hAnsi="Verdana"/>
          <w:sz w:val="20"/>
          <w:szCs w:val="20"/>
        </w:rPr>
        <w:t xml:space="preserve"> propuestas, respectivamente, que han sido convocados a rendir declaración, de conformidad con lo dispuesto en los artículos 50.2 y 50.4 del Reglamento.</w:t>
      </w:r>
    </w:p>
    <w:p w:rsidR="0032649A" w:rsidRPr="005E1042" w:rsidRDefault="0032649A" w:rsidP="00EE78FF">
      <w:pPr>
        <w:pStyle w:val="Normal1"/>
        <w:widowControl/>
        <w:autoSpaceDE w:val="0"/>
        <w:autoSpaceDN w:val="0"/>
        <w:adjustRightInd w:val="0"/>
        <w:spacing w:line="276" w:lineRule="auto"/>
        <w:contextualSpacing/>
        <w:jc w:val="both"/>
        <w:rPr>
          <w:rFonts w:ascii="Verdana" w:hAnsi="Verdana"/>
          <w:sz w:val="20"/>
          <w:szCs w:val="20"/>
        </w:rPr>
      </w:pPr>
    </w:p>
    <w:p w:rsidR="00AB0704" w:rsidRDefault="00AB0704" w:rsidP="00AB0704">
      <w:pPr>
        <w:pStyle w:val="Normal1"/>
        <w:widowControl/>
        <w:numPr>
          <w:ilvl w:val="3"/>
          <w:numId w:val="9"/>
        </w:numPr>
        <w:autoSpaceDE w:val="0"/>
        <w:autoSpaceDN w:val="0"/>
        <w:adjustRightInd w:val="0"/>
        <w:spacing w:line="276" w:lineRule="auto"/>
        <w:ind w:left="0" w:firstLine="0"/>
        <w:contextualSpacing/>
        <w:jc w:val="both"/>
        <w:rPr>
          <w:rFonts w:ascii="Verdana" w:hAnsi="Verdana"/>
          <w:sz w:val="20"/>
          <w:szCs w:val="20"/>
        </w:rPr>
      </w:pPr>
      <w:r>
        <w:rPr>
          <w:rFonts w:ascii="Verdana" w:hAnsi="Verdana"/>
          <w:sz w:val="20"/>
          <w:szCs w:val="20"/>
        </w:rPr>
        <w:t>Requerir a la</w:t>
      </w:r>
      <w:r w:rsidRPr="00DF0269">
        <w:rPr>
          <w:rFonts w:ascii="Verdana" w:hAnsi="Verdana"/>
          <w:sz w:val="20"/>
          <w:szCs w:val="20"/>
        </w:rPr>
        <w:t xml:space="preserve">s representantes que comuniquen y remitan a la Corte, a más tardar el </w:t>
      </w:r>
      <w:r>
        <w:rPr>
          <w:rFonts w:ascii="Verdana" w:hAnsi="Verdana"/>
          <w:sz w:val="20"/>
          <w:szCs w:val="20"/>
        </w:rPr>
        <w:t>19</w:t>
      </w:r>
      <w:r w:rsidRPr="00DF0269">
        <w:rPr>
          <w:rFonts w:ascii="Verdana" w:hAnsi="Verdana"/>
          <w:sz w:val="20"/>
          <w:szCs w:val="20"/>
        </w:rPr>
        <w:t xml:space="preserve"> de febrero de 2019, una cotización del costo de la formalización de las declaraciones y peritajes ante fedatario público en el país de residencia de los declarantes y peritos de sus respectivos envíos, a fin de que sean cubiertos por el Fondo de Asistencia, de conformidad con lo establecido en el Considerando </w:t>
      </w:r>
      <w:r>
        <w:rPr>
          <w:rFonts w:ascii="Verdana" w:hAnsi="Verdana"/>
          <w:sz w:val="20"/>
          <w:szCs w:val="20"/>
        </w:rPr>
        <w:t>31</w:t>
      </w:r>
      <w:r w:rsidRPr="00DF0269">
        <w:rPr>
          <w:rFonts w:ascii="Verdana" w:hAnsi="Verdana"/>
          <w:sz w:val="20"/>
          <w:szCs w:val="20"/>
        </w:rPr>
        <w:t xml:space="preserve"> de la presente Resolución.</w:t>
      </w:r>
    </w:p>
    <w:p w:rsidR="00AB0704" w:rsidRPr="00DF0269" w:rsidRDefault="00AB0704" w:rsidP="00AB0704">
      <w:pPr>
        <w:pStyle w:val="Normal1"/>
        <w:widowControl/>
        <w:autoSpaceDE w:val="0"/>
        <w:autoSpaceDN w:val="0"/>
        <w:adjustRightInd w:val="0"/>
        <w:spacing w:line="276" w:lineRule="auto"/>
        <w:contextualSpacing/>
        <w:jc w:val="both"/>
        <w:rPr>
          <w:rFonts w:ascii="Verdana" w:hAnsi="Verdana"/>
          <w:sz w:val="20"/>
          <w:szCs w:val="20"/>
        </w:rPr>
      </w:pPr>
    </w:p>
    <w:p w:rsidR="0032649A" w:rsidRPr="00DF0269" w:rsidRDefault="0032649A" w:rsidP="00AB0704">
      <w:pPr>
        <w:pStyle w:val="Normal1"/>
        <w:widowControl/>
        <w:numPr>
          <w:ilvl w:val="3"/>
          <w:numId w:val="9"/>
        </w:numPr>
        <w:autoSpaceDE w:val="0"/>
        <w:autoSpaceDN w:val="0"/>
        <w:adjustRightInd w:val="0"/>
        <w:spacing w:line="276" w:lineRule="auto"/>
        <w:ind w:left="0" w:firstLine="0"/>
        <w:contextualSpacing/>
        <w:jc w:val="both"/>
        <w:rPr>
          <w:rFonts w:ascii="Verdana" w:hAnsi="Verdana"/>
          <w:sz w:val="20"/>
          <w:szCs w:val="20"/>
        </w:rPr>
      </w:pPr>
      <w:r w:rsidRPr="00DF0269">
        <w:rPr>
          <w:rFonts w:ascii="Verdana" w:hAnsi="Verdana"/>
          <w:sz w:val="20"/>
          <w:szCs w:val="20"/>
        </w:rPr>
        <w:t xml:space="preserve">Requerir al Estado </w:t>
      </w:r>
      <w:r w:rsidR="00DF0269">
        <w:rPr>
          <w:rFonts w:ascii="Verdana" w:hAnsi="Verdana"/>
          <w:sz w:val="20"/>
          <w:szCs w:val="20"/>
        </w:rPr>
        <w:t>que remita</w:t>
      </w:r>
      <w:r w:rsidRPr="00DF0269">
        <w:rPr>
          <w:rFonts w:ascii="Verdana" w:hAnsi="Verdana"/>
          <w:sz w:val="20"/>
          <w:szCs w:val="20"/>
        </w:rPr>
        <w:t xml:space="preserve">, en los términos del artículo 50.5 del Reglamento y de considerarlo pertinente, en el plazo improrrogable que vence el </w:t>
      </w:r>
      <w:r w:rsidR="009A180E" w:rsidRPr="00DF0269">
        <w:rPr>
          <w:rFonts w:ascii="Verdana" w:hAnsi="Verdana"/>
          <w:sz w:val="20"/>
          <w:szCs w:val="20"/>
        </w:rPr>
        <w:t>1</w:t>
      </w:r>
      <w:r w:rsidR="00AB0704">
        <w:rPr>
          <w:rFonts w:ascii="Verdana" w:hAnsi="Verdana"/>
          <w:sz w:val="20"/>
          <w:szCs w:val="20"/>
        </w:rPr>
        <w:t>9</w:t>
      </w:r>
      <w:r w:rsidR="009A180E" w:rsidRPr="00DF0269">
        <w:rPr>
          <w:rFonts w:ascii="Verdana" w:hAnsi="Verdana"/>
          <w:sz w:val="20"/>
          <w:szCs w:val="20"/>
        </w:rPr>
        <w:t xml:space="preserve"> de febrero</w:t>
      </w:r>
      <w:r w:rsidRPr="00DF0269">
        <w:rPr>
          <w:rFonts w:ascii="Verdana" w:hAnsi="Verdana"/>
          <w:sz w:val="20"/>
          <w:szCs w:val="20"/>
        </w:rPr>
        <w:t xml:space="preserve"> de 2019</w:t>
      </w:r>
      <w:r w:rsidR="00DF0269">
        <w:rPr>
          <w:rFonts w:ascii="Verdana" w:hAnsi="Verdana"/>
          <w:sz w:val="20"/>
          <w:szCs w:val="20"/>
        </w:rPr>
        <w:t>, las preguntas que estime</w:t>
      </w:r>
      <w:r w:rsidRPr="00DF0269">
        <w:rPr>
          <w:rFonts w:ascii="Verdana" w:hAnsi="Verdana"/>
          <w:sz w:val="20"/>
          <w:szCs w:val="20"/>
        </w:rPr>
        <w:t xml:space="preserve"> pertinente formular, a través de la Corte Interamericana, a </w:t>
      </w:r>
      <w:r w:rsidR="00EE78FF" w:rsidRPr="00DF0269">
        <w:rPr>
          <w:rFonts w:ascii="Verdana" w:hAnsi="Verdana"/>
          <w:sz w:val="20"/>
          <w:szCs w:val="20"/>
        </w:rPr>
        <w:t>los de</w:t>
      </w:r>
      <w:r w:rsidR="003401D7" w:rsidRPr="00DF0269">
        <w:rPr>
          <w:rFonts w:ascii="Verdana" w:hAnsi="Verdana"/>
          <w:sz w:val="20"/>
          <w:szCs w:val="20"/>
        </w:rPr>
        <w:t>clarantes indicados en el punto</w:t>
      </w:r>
      <w:r w:rsidR="00EE78FF" w:rsidRPr="00DF0269">
        <w:rPr>
          <w:rFonts w:ascii="Verdana" w:hAnsi="Verdana"/>
          <w:sz w:val="20"/>
          <w:szCs w:val="20"/>
        </w:rPr>
        <w:t xml:space="preserve"> resolutivo 3</w:t>
      </w:r>
      <w:r w:rsidR="00DF0269">
        <w:rPr>
          <w:rFonts w:ascii="Verdana" w:hAnsi="Verdana"/>
          <w:sz w:val="20"/>
          <w:szCs w:val="20"/>
        </w:rPr>
        <w:t xml:space="preserve"> de la presente Resolución</w:t>
      </w:r>
      <w:r w:rsidRPr="00DF0269">
        <w:rPr>
          <w:rFonts w:ascii="Verdana" w:hAnsi="Verdana"/>
          <w:sz w:val="20"/>
          <w:szCs w:val="20"/>
        </w:rPr>
        <w:t>.</w:t>
      </w:r>
    </w:p>
    <w:p w:rsidR="0032649A" w:rsidRPr="00DF0269" w:rsidRDefault="0032649A" w:rsidP="00EE78FF">
      <w:pPr>
        <w:pStyle w:val="Normal1"/>
        <w:widowControl/>
        <w:autoSpaceDE w:val="0"/>
        <w:autoSpaceDN w:val="0"/>
        <w:adjustRightInd w:val="0"/>
        <w:spacing w:line="276" w:lineRule="auto"/>
        <w:contextualSpacing/>
        <w:jc w:val="both"/>
        <w:rPr>
          <w:rFonts w:ascii="Verdana" w:hAnsi="Verdana"/>
          <w:sz w:val="20"/>
          <w:szCs w:val="20"/>
        </w:rPr>
      </w:pPr>
    </w:p>
    <w:p w:rsidR="009C183D" w:rsidRPr="00DF0269" w:rsidRDefault="00F22007" w:rsidP="007E0B3A">
      <w:pPr>
        <w:pStyle w:val="Normal1"/>
        <w:widowControl/>
        <w:numPr>
          <w:ilvl w:val="3"/>
          <w:numId w:val="9"/>
        </w:numPr>
        <w:autoSpaceDE w:val="0"/>
        <w:autoSpaceDN w:val="0"/>
        <w:adjustRightInd w:val="0"/>
        <w:spacing w:line="276" w:lineRule="auto"/>
        <w:ind w:left="0" w:firstLine="0"/>
        <w:contextualSpacing/>
        <w:jc w:val="both"/>
        <w:rPr>
          <w:rFonts w:ascii="Verdana" w:hAnsi="Verdana"/>
          <w:sz w:val="20"/>
          <w:szCs w:val="20"/>
        </w:rPr>
      </w:pPr>
      <w:r>
        <w:rPr>
          <w:rFonts w:ascii="Verdana" w:hAnsi="Verdana"/>
          <w:sz w:val="20"/>
          <w:szCs w:val="20"/>
        </w:rPr>
        <w:t>Requerir a la</w:t>
      </w:r>
      <w:r w:rsidR="0032649A" w:rsidRPr="00DF0269">
        <w:rPr>
          <w:rFonts w:ascii="Verdana" w:hAnsi="Verdana"/>
          <w:sz w:val="20"/>
          <w:szCs w:val="20"/>
        </w:rPr>
        <w:t>s representantes que coordinen y realicen las diligencias necesarias para que, una vez recibidas las preguntas de la contraparte, los declarantes incluyan las respuestas en sus declaraciones rendidas ante fedatario público, salvo que el Presidente disponga lo contrario cuando la Secretaría de la Corte las transmita. Las declaraciones reque</w:t>
      </w:r>
      <w:r w:rsidR="00EE78FF" w:rsidRPr="00DF0269">
        <w:rPr>
          <w:rFonts w:ascii="Verdana" w:hAnsi="Verdana"/>
          <w:sz w:val="20"/>
          <w:szCs w:val="20"/>
        </w:rPr>
        <w:t>ridas en el punto resolutivo 3</w:t>
      </w:r>
      <w:r w:rsidR="0032649A" w:rsidRPr="00DF0269">
        <w:rPr>
          <w:rFonts w:ascii="Verdana" w:hAnsi="Verdana"/>
          <w:sz w:val="20"/>
          <w:szCs w:val="20"/>
        </w:rPr>
        <w:t xml:space="preserve"> de la presente Resolución deberán </w:t>
      </w:r>
      <w:r w:rsidR="009A180E" w:rsidRPr="00DF0269">
        <w:rPr>
          <w:rFonts w:ascii="Verdana" w:hAnsi="Verdana"/>
          <w:sz w:val="20"/>
          <w:szCs w:val="20"/>
        </w:rPr>
        <w:t>ser presentados a más tardar el 4 de marzo</w:t>
      </w:r>
      <w:r w:rsidR="0032649A" w:rsidRPr="00DF0269">
        <w:rPr>
          <w:rFonts w:ascii="Verdana" w:hAnsi="Verdana"/>
          <w:sz w:val="20"/>
          <w:szCs w:val="20"/>
        </w:rPr>
        <w:t xml:space="preserve"> de 2019.</w:t>
      </w:r>
    </w:p>
    <w:p w:rsidR="001A2D9F" w:rsidRPr="00DF0269" w:rsidRDefault="001A2D9F" w:rsidP="001A2D9F">
      <w:pPr>
        <w:pStyle w:val="ListParagraph"/>
        <w:spacing w:after="0"/>
        <w:rPr>
          <w:rFonts w:ascii="Verdana" w:hAnsi="Verdana"/>
          <w:sz w:val="20"/>
          <w:szCs w:val="20"/>
          <w:lang w:val="es-CR"/>
        </w:rPr>
      </w:pPr>
    </w:p>
    <w:p w:rsidR="001A2D9F" w:rsidRPr="00DF0269" w:rsidRDefault="001A2D9F" w:rsidP="007E0B3A">
      <w:pPr>
        <w:pStyle w:val="Normal1"/>
        <w:widowControl/>
        <w:numPr>
          <w:ilvl w:val="3"/>
          <w:numId w:val="9"/>
        </w:numPr>
        <w:autoSpaceDE w:val="0"/>
        <w:autoSpaceDN w:val="0"/>
        <w:adjustRightInd w:val="0"/>
        <w:spacing w:line="276" w:lineRule="auto"/>
        <w:ind w:left="0" w:firstLine="0"/>
        <w:contextualSpacing/>
        <w:jc w:val="both"/>
        <w:rPr>
          <w:rFonts w:ascii="Verdana" w:hAnsi="Verdana"/>
          <w:sz w:val="20"/>
          <w:szCs w:val="20"/>
        </w:rPr>
      </w:pPr>
      <w:r w:rsidRPr="00DF0269">
        <w:rPr>
          <w:rFonts w:ascii="Verdana" w:hAnsi="Verdana"/>
          <w:bCs/>
          <w:iCs/>
          <w:sz w:val="20"/>
        </w:rPr>
        <w:t>Disponer, conforme al artículo 50.6 del Reglamento que, una vez recibidas las declaraciones y peritajes, la Secretaría de la Corte Interamericana las transmita al Estad</w:t>
      </w:r>
      <w:r w:rsidR="00F22007">
        <w:rPr>
          <w:rFonts w:ascii="Verdana" w:hAnsi="Verdana"/>
          <w:bCs/>
          <w:iCs/>
          <w:sz w:val="20"/>
        </w:rPr>
        <w:t>o, a la</w:t>
      </w:r>
      <w:r w:rsidRPr="00DF0269">
        <w:rPr>
          <w:rFonts w:ascii="Verdana" w:hAnsi="Verdana"/>
          <w:bCs/>
          <w:iCs/>
          <w:sz w:val="20"/>
        </w:rPr>
        <w:t>s representantes y a la Comisión para que, si lo estiman pertinente y en cuanto les corresponda, presenten sus observaciones a más tardar con sus alegatos u observaciones finales escritos, respectivamente.</w:t>
      </w:r>
    </w:p>
    <w:p w:rsidR="0032649A" w:rsidRPr="00DF0269" w:rsidRDefault="0032649A" w:rsidP="001A2D9F">
      <w:pPr>
        <w:pStyle w:val="Normal1"/>
        <w:widowControl/>
        <w:autoSpaceDE w:val="0"/>
        <w:autoSpaceDN w:val="0"/>
        <w:adjustRightInd w:val="0"/>
        <w:spacing w:line="276" w:lineRule="auto"/>
        <w:contextualSpacing/>
        <w:jc w:val="both"/>
        <w:rPr>
          <w:rFonts w:ascii="Verdana" w:hAnsi="Verdana"/>
          <w:sz w:val="20"/>
          <w:szCs w:val="20"/>
        </w:rPr>
      </w:pPr>
    </w:p>
    <w:p w:rsidR="00665184" w:rsidRPr="00DF0269" w:rsidRDefault="0032649A" w:rsidP="007E0B3A">
      <w:pPr>
        <w:pStyle w:val="Normal1"/>
        <w:widowControl/>
        <w:numPr>
          <w:ilvl w:val="3"/>
          <w:numId w:val="9"/>
        </w:numPr>
        <w:autoSpaceDE w:val="0"/>
        <w:autoSpaceDN w:val="0"/>
        <w:adjustRightInd w:val="0"/>
        <w:spacing w:line="276" w:lineRule="auto"/>
        <w:ind w:left="0" w:firstLine="0"/>
        <w:contextualSpacing/>
        <w:jc w:val="both"/>
        <w:rPr>
          <w:rFonts w:ascii="Verdana" w:hAnsi="Verdana"/>
          <w:sz w:val="20"/>
          <w:szCs w:val="20"/>
        </w:rPr>
      </w:pPr>
      <w:r w:rsidRPr="00DF0269">
        <w:rPr>
          <w:rFonts w:ascii="Verdana" w:hAnsi="Verdana"/>
          <w:sz w:val="20"/>
          <w:szCs w:val="20"/>
        </w:rPr>
        <w:t xml:space="preserve">Informar a las partes y a la Comisión que los gastos relativos a las declaraciones ofrecidas por las representantes en el presente caso serán cubiertos por el Fondo de </w:t>
      </w:r>
      <w:r w:rsidRPr="00DF0269">
        <w:rPr>
          <w:rFonts w:ascii="Verdana" w:hAnsi="Verdana"/>
          <w:sz w:val="20"/>
          <w:szCs w:val="20"/>
        </w:rPr>
        <w:lastRenderedPageBreak/>
        <w:t>Asistencia Legal de Víctimas, de conformidad a lo s</w:t>
      </w:r>
      <w:r w:rsidR="00F918E8" w:rsidRPr="00DF0269">
        <w:rPr>
          <w:rFonts w:ascii="Verdana" w:hAnsi="Verdana"/>
          <w:sz w:val="20"/>
          <w:szCs w:val="20"/>
        </w:rPr>
        <w:t xml:space="preserve">eñalado en los Considerandos </w:t>
      </w:r>
      <w:r w:rsidR="00441228">
        <w:rPr>
          <w:rFonts w:ascii="Verdana" w:hAnsi="Verdana"/>
          <w:sz w:val="20"/>
          <w:szCs w:val="20"/>
        </w:rPr>
        <w:t>30</w:t>
      </w:r>
      <w:r w:rsidR="00DF0269">
        <w:rPr>
          <w:rFonts w:ascii="Verdana" w:hAnsi="Verdana"/>
          <w:sz w:val="20"/>
          <w:szCs w:val="20"/>
        </w:rPr>
        <w:t xml:space="preserve"> a 3</w:t>
      </w:r>
      <w:r w:rsidR="00441228">
        <w:rPr>
          <w:rFonts w:ascii="Verdana" w:hAnsi="Verdana"/>
          <w:sz w:val="20"/>
          <w:szCs w:val="20"/>
        </w:rPr>
        <w:t>1</w:t>
      </w:r>
      <w:r w:rsidR="00DF0269">
        <w:rPr>
          <w:rFonts w:ascii="Verdana" w:hAnsi="Verdana"/>
          <w:sz w:val="20"/>
          <w:szCs w:val="20"/>
        </w:rPr>
        <w:t xml:space="preserve"> </w:t>
      </w:r>
      <w:r w:rsidRPr="00DF0269">
        <w:rPr>
          <w:rFonts w:ascii="Verdana" w:hAnsi="Verdana"/>
          <w:sz w:val="20"/>
          <w:szCs w:val="20"/>
        </w:rPr>
        <w:t>de la presente Resolución.</w:t>
      </w:r>
    </w:p>
    <w:p w:rsidR="001A2D9F" w:rsidRPr="00DF0269" w:rsidRDefault="001A2D9F" w:rsidP="001A2D9F">
      <w:pPr>
        <w:pStyle w:val="Normal1"/>
        <w:widowControl/>
        <w:autoSpaceDE w:val="0"/>
        <w:autoSpaceDN w:val="0"/>
        <w:adjustRightInd w:val="0"/>
        <w:spacing w:line="276" w:lineRule="auto"/>
        <w:contextualSpacing/>
        <w:jc w:val="both"/>
        <w:rPr>
          <w:rFonts w:ascii="Verdana" w:hAnsi="Verdana"/>
          <w:sz w:val="20"/>
          <w:szCs w:val="20"/>
        </w:rPr>
      </w:pPr>
    </w:p>
    <w:p w:rsidR="001A2D9F" w:rsidRPr="00DF0269" w:rsidRDefault="00F22007" w:rsidP="007E0B3A">
      <w:pPr>
        <w:pStyle w:val="Normal1"/>
        <w:widowControl/>
        <w:numPr>
          <w:ilvl w:val="3"/>
          <w:numId w:val="9"/>
        </w:numPr>
        <w:autoSpaceDE w:val="0"/>
        <w:autoSpaceDN w:val="0"/>
        <w:adjustRightInd w:val="0"/>
        <w:spacing w:line="276" w:lineRule="auto"/>
        <w:ind w:left="0" w:firstLine="0"/>
        <w:contextualSpacing/>
        <w:jc w:val="both"/>
        <w:rPr>
          <w:rFonts w:ascii="Verdana" w:hAnsi="Verdana"/>
          <w:sz w:val="20"/>
          <w:szCs w:val="20"/>
        </w:rPr>
      </w:pPr>
      <w:r>
        <w:rPr>
          <w:rFonts w:ascii="Verdana" w:hAnsi="Verdana"/>
          <w:sz w:val="20"/>
          <w:szCs w:val="20"/>
        </w:rPr>
        <w:t>Requerir a la</w:t>
      </w:r>
      <w:r w:rsidR="001A2D9F" w:rsidRPr="00DF0269">
        <w:rPr>
          <w:rFonts w:ascii="Verdana" w:hAnsi="Verdana"/>
          <w:sz w:val="20"/>
          <w:szCs w:val="20"/>
        </w:rPr>
        <w:t>s representantes que informen a las personas convocadas por la Corte para declarar que, según lo dispuesto en el artículo 54 del Reglamento, el Tribunal pondrá en conocimiento del Estado los casos en que las personas requeridas para comparecer o declarar no comparecieren o rehusaren deponer sin motivo legítimo o que, en el parecer de la misma Corte, hayan violado el juramento o la declaración solemne, para los fines previstos en la legislación nacional correspondiente.</w:t>
      </w:r>
    </w:p>
    <w:p w:rsidR="001A2D9F" w:rsidRPr="00DF0269" w:rsidRDefault="001A2D9F" w:rsidP="001A2D9F">
      <w:pPr>
        <w:pStyle w:val="Normal1"/>
        <w:widowControl/>
        <w:autoSpaceDE w:val="0"/>
        <w:autoSpaceDN w:val="0"/>
        <w:adjustRightInd w:val="0"/>
        <w:spacing w:line="276" w:lineRule="auto"/>
        <w:contextualSpacing/>
        <w:jc w:val="both"/>
        <w:rPr>
          <w:rFonts w:ascii="Verdana" w:hAnsi="Verdana"/>
          <w:sz w:val="20"/>
          <w:szCs w:val="20"/>
        </w:rPr>
      </w:pPr>
    </w:p>
    <w:p w:rsidR="005E1042" w:rsidRPr="00DF0269" w:rsidRDefault="00F22007" w:rsidP="007E0B3A">
      <w:pPr>
        <w:pStyle w:val="ListParagraph"/>
        <w:numPr>
          <w:ilvl w:val="3"/>
          <w:numId w:val="9"/>
        </w:numPr>
        <w:spacing w:after="0" w:line="240" w:lineRule="auto"/>
        <w:ind w:left="0" w:firstLine="0"/>
        <w:jc w:val="both"/>
        <w:rPr>
          <w:rFonts w:ascii="Verdana" w:hAnsi="Verdana"/>
          <w:bCs/>
          <w:iCs/>
          <w:sz w:val="20"/>
          <w:szCs w:val="24"/>
          <w:lang w:val="es-CR"/>
        </w:rPr>
      </w:pPr>
      <w:r>
        <w:rPr>
          <w:rFonts w:ascii="Verdana" w:hAnsi="Verdana"/>
          <w:bCs/>
          <w:iCs/>
          <w:sz w:val="20"/>
          <w:szCs w:val="24"/>
          <w:lang w:val="es-CR"/>
        </w:rPr>
        <w:t>Informar a la</w:t>
      </w:r>
      <w:r w:rsidR="005E1042" w:rsidRPr="00DF0269">
        <w:rPr>
          <w:rFonts w:ascii="Verdana" w:hAnsi="Verdana"/>
          <w:bCs/>
          <w:iCs/>
          <w:sz w:val="20"/>
          <w:szCs w:val="24"/>
          <w:lang w:val="es-CR"/>
        </w:rPr>
        <w:t>s representantes, al Estado y a la Comisión Interamericana que, al término de la declaración rendida en la audiencia pública, podrán presentar ante el Tribunal sus alegatos finales orales y observaciones finales orales, respectivamente, sobre la excepción preliminar y eventuales fondo, reparaciones y costas en el presente caso.</w:t>
      </w:r>
    </w:p>
    <w:p w:rsidR="009C183D" w:rsidRPr="00DF0269" w:rsidRDefault="009C183D" w:rsidP="001A2D9F">
      <w:pPr>
        <w:pStyle w:val="Normal1"/>
        <w:widowControl/>
        <w:autoSpaceDE w:val="0"/>
        <w:autoSpaceDN w:val="0"/>
        <w:adjustRightInd w:val="0"/>
        <w:spacing w:line="276" w:lineRule="auto"/>
        <w:contextualSpacing/>
        <w:jc w:val="both"/>
        <w:rPr>
          <w:rFonts w:ascii="Verdana" w:hAnsi="Verdana"/>
          <w:sz w:val="20"/>
          <w:szCs w:val="20"/>
        </w:rPr>
      </w:pPr>
    </w:p>
    <w:p w:rsidR="005E1042" w:rsidRPr="00DF0269" w:rsidRDefault="005E1042" w:rsidP="007E0B3A">
      <w:pPr>
        <w:pStyle w:val="Normal1"/>
        <w:widowControl/>
        <w:numPr>
          <w:ilvl w:val="3"/>
          <w:numId w:val="9"/>
        </w:numPr>
        <w:autoSpaceDE w:val="0"/>
        <w:autoSpaceDN w:val="0"/>
        <w:adjustRightInd w:val="0"/>
        <w:spacing w:line="276" w:lineRule="auto"/>
        <w:ind w:left="0" w:firstLine="0"/>
        <w:contextualSpacing/>
        <w:jc w:val="both"/>
        <w:rPr>
          <w:rFonts w:ascii="Verdana" w:hAnsi="Verdana"/>
          <w:sz w:val="20"/>
          <w:szCs w:val="20"/>
        </w:rPr>
      </w:pPr>
      <w:r w:rsidRPr="00DF0269">
        <w:rPr>
          <w:rFonts w:ascii="Verdana" w:hAnsi="Verdana"/>
          <w:bCs/>
          <w:iCs/>
          <w:sz w:val="20"/>
        </w:rPr>
        <w:t xml:space="preserve">Disponer que la Secretaría de la Corte, de conformidad con lo dispuesto en el artículo 55.3 del Reglamento, indique a </w:t>
      </w:r>
      <w:r w:rsidR="00F22007">
        <w:rPr>
          <w:rFonts w:ascii="Verdana" w:hAnsi="Verdana"/>
          <w:bCs/>
          <w:iCs/>
          <w:sz w:val="20"/>
        </w:rPr>
        <w:t>la Comisión Interamericana, a la</w:t>
      </w:r>
      <w:r w:rsidRPr="00DF0269">
        <w:rPr>
          <w:rFonts w:ascii="Verdana" w:hAnsi="Verdana"/>
          <w:bCs/>
          <w:iCs/>
          <w:sz w:val="20"/>
        </w:rPr>
        <w:t xml:space="preserve">s representantes y al Estado el enlace donde se encontrará disponible la grabación de la audiencia pública, a la brevedad posible luego de la celebración de la referida audiencia. </w:t>
      </w:r>
    </w:p>
    <w:p w:rsidR="005E1042" w:rsidRPr="00DF0269" w:rsidRDefault="005E1042" w:rsidP="005E1042">
      <w:pPr>
        <w:pStyle w:val="ListParagraph"/>
        <w:spacing w:after="0"/>
        <w:rPr>
          <w:rFonts w:ascii="Verdana" w:hAnsi="Verdana"/>
          <w:sz w:val="20"/>
          <w:szCs w:val="20"/>
          <w:lang w:val="es-CR"/>
        </w:rPr>
      </w:pPr>
    </w:p>
    <w:p w:rsidR="005E1042" w:rsidRPr="00DF0269" w:rsidRDefault="00F22007" w:rsidP="007E0B3A">
      <w:pPr>
        <w:pStyle w:val="Normal1"/>
        <w:widowControl/>
        <w:numPr>
          <w:ilvl w:val="3"/>
          <w:numId w:val="9"/>
        </w:numPr>
        <w:autoSpaceDE w:val="0"/>
        <w:autoSpaceDN w:val="0"/>
        <w:adjustRightInd w:val="0"/>
        <w:spacing w:line="276" w:lineRule="auto"/>
        <w:ind w:left="0" w:firstLine="0"/>
        <w:contextualSpacing/>
        <w:jc w:val="both"/>
        <w:rPr>
          <w:rFonts w:ascii="Verdana" w:hAnsi="Verdana"/>
          <w:sz w:val="20"/>
          <w:szCs w:val="20"/>
        </w:rPr>
      </w:pPr>
      <w:r>
        <w:rPr>
          <w:rFonts w:ascii="Verdana" w:hAnsi="Verdana"/>
          <w:bCs/>
          <w:iCs/>
          <w:sz w:val="20"/>
        </w:rPr>
        <w:t>Informar a la</w:t>
      </w:r>
      <w:r w:rsidR="005E1042" w:rsidRPr="00DF0269">
        <w:rPr>
          <w:rFonts w:ascii="Verdana" w:hAnsi="Verdana"/>
          <w:bCs/>
          <w:iCs/>
          <w:sz w:val="20"/>
        </w:rPr>
        <w:t>s representantes, al Estado y a la Comisión Interamericana que, en los términos del artículo 56 del Reglamento, c</w:t>
      </w:r>
      <w:r w:rsidR="009A180E" w:rsidRPr="00DF0269">
        <w:rPr>
          <w:rFonts w:ascii="Verdana" w:hAnsi="Verdana"/>
          <w:bCs/>
          <w:iCs/>
          <w:sz w:val="20"/>
        </w:rPr>
        <w:t>uentan con un plazo hasta el 8</w:t>
      </w:r>
      <w:r w:rsidR="005E1042" w:rsidRPr="00DF0269">
        <w:rPr>
          <w:rFonts w:ascii="Verdana" w:hAnsi="Verdana"/>
          <w:bCs/>
          <w:iCs/>
          <w:sz w:val="20"/>
        </w:rPr>
        <w:t xml:space="preserve"> de abril de 2019 para presentar sus alegatos finales escritos y observaciones finales escritas, respectivamente, en relación con la excepción preliminar y eventuales fondo, reparaciones y costas en el presente caso. Este plazo es improrrogable e independiente de la puesta a disposición de las partes de la grabación de la audiencia pública. </w:t>
      </w:r>
    </w:p>
    <w:p w:rsidR="005E1042" w:rsidRPr="007F26F0" w:rsidRDefault="005E1042" w:rsidP="005E1042">
      <w:pPr>
        <w:pStyle w:val="ListParagraph"/>
        <w:spacing w:after="0"/>
        <w:rPr>
          <w:rFonts w:ascii="Verdana" w:hAnsi="Verdana"/>
          <w:sz w:val="20"/>
          <w:szCs w:val="20"/>
          <w:highlight w:val="yellow"/>
          <w:lang w:val="es-CR"/>
        </w:rPr>
      </w:pPr>
    </w:p>
    <w:p w:rsidR="005E1042" w:rsidRPr="00F6133F" w:rsidRDefault="005E1042" w:rsidP="007E0B3A">
      <w:pPr>
        <w:pStyle w:val="Normal1"/>
        <w:widowControl/>
        <w:numPr>
          <w:ilvl w:val="3"/>
          <w:numId w:val="9"/>
        </w:numPr>
        <w:autoSpaceDE w:val="0"/>
        <w:autoSpaceDN w:val="0"/>
        <w:adjustRightInd w:val="0"/>
        <w:spacing w:line="276" w:lineRule="auto"/>
        <w:ind w:left="0" w:firstLine="0"/>
        <w:contextualSpacing/>
        <w:jc w:val="both"/>
        <w:rPr>
          <w:rFonts w:ascii="Verdana" w:hAnsi="Verdana"/>
          <w:sz w:val="20"/>
          <w:szCs w:val="20"/>
        </w:rPr>
      </w:pPr>
      <w:r w:rsidRPr="00F6133F">
        <w:rPr>
          <w:rFonts w:ascii="Verdana" w:hAnsi="Verdana"/>
          <w:bCs/>
          <w:iCs/>
          <w:sz w:val="20"/>
        </w:rPr>
        <w:t xml:space="preserve">Declarar procedente la aplicación del Fondo de Asistencia Legal de Víctimas de la Corte Interamericana en los términos dispuestos en los párrafos considerativos </w:t>
      </w:r>
      <w:r w:rsidR="00DF0269">
        <w:rPr>
          <w:rFonts w:ascii="Verdana" w:hAnsi="Verdana"/>
          <w:bCs/>
          <w:iCs/>
          <w:sz w:val="20"/>
        </w:rPr>
        <w:t>2</w:t>
      </w:r>
      <w:r w:rsidR="00441228">
        <w:rPr>
          <w:rFonts w:ascii="Verdana" w:hAnsi="Verdana"/>
          <w:bCs/>
          <w:iCs/>
          <w:sz w:val="20"/>
        </w:rPr>
        <w:t>8 a 33</w:t>
      </w:r>
      <w:r w:rsidRPr="00F6133F">
        <w:rPr>
          <w:rFonts w:ascii="Verdana" w:hAnsi="Verdana"/>
          <w:bCs/>
          <w:iCs/>
          <w:sz w:val="20"/>
        </w:rPr>
        <w:t xml:space="preserve"> de esta Resolución.</w:t>
      </w:r>
    </w:p>
    <w:p w:rsidR="005E1042" w:rsidRPr="005E1042" w:rsidRDefault="005E1042" w:rsidP="005E1042">
      <w:pPr>
        <w:pStyle w:val="ListParagraph"/>
        <w:spacing w:after="0"/>
        <w:rPr>
          <w:rFonts w:ascii="Verdana" w:hAnsi="Verdana"/>
          <w:sz w:val="20"/>
          <w:szCs w:val="20"/>
          <w:lang w:val="es-CR"/>
        </w:rPr>
      </w:pPr>
    </w:p>
    <w:p w:rsidR="0032649A" w:rsidRPr="00870DB2" w:rsidRDefault="0032649A" w:rsidP="007E0B3A">
      <w:pPr>
        <w:pStyle w:val="Normal1"/>
        <w:widowControl/>
        <w:numPr>
          <w:ilvl w:val="3"/>
          <w:numId w:val="9"/>
        </w:numPr>
        <w:autoSpaceDE w:val="0"/>
        <w:autoSpaceDN w:val="0"/>
        <w:adjustRightInd w:val="0"/>
        <w:spacing w:line="276" w:lineRule="auto"/>
        <w:ind w:left="0" w:firstLine="0"/>
        <w:contextualSpacing/>
        <w:jc w:val="both"/>
        <w:rPr>
          <w:rFonts w:ascii="Verdana" w:hAnsi="Verdana"/>
          <w:sz w:val="20"/>
          <w:szCs w:val="20"/>
        </w:rPr>
      </w:pPr>
      <w:r w:rsidRPr="00870DB2">
        <w:rPr>
          <w:rFonts w:ascii="Verdana" w:hAnsi="Verdana"/>
          <w:sz w:val="20"/>
          <w:szCs w:val="20"/>
        </w:rPr>
        <w:t>Disponer, de conformidad con el artículo 4 del Reglamento de la Corte sobre el Funcionamiento del Fondo de Asistencia Legal de Víctimas, que la Secretaría del Tribunal abra un expediente de gastos, donde se documentará cada una de las erogaciones que se realicen con el Fondo de Asistencia Legal de Víctimas.</w:t>
      </w:r>
    </w:p>
    <w:p w:rsidR="0032649A" w:rsidRPr="00870DB2" w:rsidRDefault="0032649A" w:rsidP="001A2D9F">
      <w:pPr>
        <w:pStyle w:val="Normal1"/>
        <w:widowControl/>
        <w:autoSpaceDE w:val="0"/>
        <w:autoSpaceDN w:val="0"/>
        <w:adjustRightInd w:val="0"/>
        <w:spacing w:line="276" w:lineRule="auto"/>
        <w:contextualSpacing/>
        <w:jc w:val="both"/>
        <w:rPr>
          <w:rFonts w:ascii="Verdana" w:hAnsi="Verdana"/>
          <w:sz w:val="20"/>
          <w:szCs w:val="20"/>
        </w:rPr>
      </w:pPr>
    </w:p>
    <w:p w:rsidR="0032649A" w:rsidRPr="00162B8C" w:rsidRDefault="0032649A" w:rsidP="007E0B3A">
      <w:pPr>
        <w:pStyle w:val="Normal1"/>
        <w:widowControl/>
        <w:numPr>
          <w:ilvl w:val="3"/>
          <w:numId w:val="9"/>
        </w:numPr>
        <w:autoSpaceDE w:val="0"/>
        <w:autoSpaceDN w:val="0"/>
        <w:adjustRightInd w:val="0"/>
        <w:spacing w:line="276" w:lineRule="auto"/>
        <w:ind w:left="0" w:firstLine="0"/>
        <w:contextualSpacing/>
        <w:jc w:val="both"/>
        <w:rPr>
          <w:rFonts w:ascii="Verdana" w:hAnsi="Verdana"/>
          <w:sz w:val="20"/>
          <w:szCs w:val="20"/>
        </w:rPr>
      </w:pPr>
      <w:r w:rsidRPr="00870DB2">
        <w:rPr>
          <w:rFonts w:ascii="Verdana" w:hAnsi="Verdana"/>
          <w:sz w:val="20"/>
          <w:szCs w:val="20"/>
        </w:rPr>
        <w:t>Disponer que la Secretaría de la Corte Interamericana notifique la presente Resolución a la Comisión Interame</w:t>
      </w:r>
      <w:r w:rsidR="00F22007">
        <w:rPr>
          <w:rFonts w:ascii="Verdana" w:hAnsi="Verdana"/>
          <w:sz w:val="20"/>
          <w:szCs w:val="20"/>
        </w:rPr>
        <w:t>ricana de Derechos Humanos, a la</w:t>
      </w:r>
      <w:r w:rsidRPr="00870DB2">
        <w:rPr>
          <w:rFonts w:ascii="Verdana" w:hAnsi="Verdana"/>
          <w:sz w:val="20"/>
          <w:szCs w:val="20"/>
        </w:rPr>
        <w:t>s representantes y al Estado de Guatemala.</w:t>
      </w:r>
    </w:p>
    <w:p w:rsidR="001E1C24" w:rsidRDefault="001E1C24">
      <w:pPr>
        <w:rPr>
          <w:lang w:val="es-CR"/>
        </w:rPr>
      </w:pPr>
    </w:p>
    <w:p w:rsidR="001D4FEA" w:rsidRDefault="001D4FEA">
      <w:pPr>
        <w:rPr>
          <w:lang w:val="es-CR"/>
        </w:rPr>
      </w:pPr>
    </w:p>
    <w:p w:rsidR="001D4FEA" w:rsidRDefault="001D4FEA">
      <w:pPr>
        <w:rPr>
          <w:lang w:val="es-CR"/>
        </w:rPr>
      </w:pPr>
    </w:p>
    <w:p w:rsidR="001D4FEA" w:rsidRPr="00401C8D" w:rsidRDefault="001D4FEA" w:rsidP="00FD09A3">
      <w:pPr>
        <w:spacing w:after="0" w:line="256" w:lineRule="auto"/>
        <w:rPr>
          <w:rFonts w:ascii="Verdana" w:hAnsi="Verdana"/>
          <w:sz w:val="20"/>
          <w:szCs w:val="20"/>
          <w:lang w:val="es-ES"/>
        </w:rPr>
      </w:pPr>
      <w:bookmarkStart w:id="0" w:name="_GoBack"/>
      <w:bookmarkEnd w:id="0"/>
    </w:p>
    <w:p w:rsidR="001D4FEA" w:rsidRPr="00401C8D" w:rsidRDefault="001D4FEA" w:rsidP="001D4FEA">
      <w:pPr>
        <w:spacing w:after="0" w:line="256" w:lineRule="auto"/>
        <w:ind w:left="43"/>
        <w:rPr>
          <w:rFonts w:ascii="Verdana" w:hAnsi="Verdana"/>
          <w:sz w:val="20"/>
          <w:szCs w:val="20"/>
          <w:lang w:val="es-ES"/>
        </w:rPr>
      </w:pPr>
    </w:p>
    <w:p w:rsidR="001D4FEA" w:rsidRPr="00401C8D" w:rsidRDefault="001D4FEA" w:rsidP="001D4FEA">
      <w:pPr>
        <w:spacing w:after="0" w:line="256" w:lineRule="auto"/>
        <w:ind w:left="43"/>
        <w:rPr>
          <w:rFonts w:ascii="Verdana" w:hAnsi="Verdana"/>
          <w:sz w:val="20"/>
          <w:szCs w:val="20"/>
          <w:lang w:val="es-ES"/>
        </w:rPr>
      </w:pPr>
    </w:p>
    <w:p w:rsidR="001D4FEA" w:rsidRPr="00401C8D" w:rsidRDefault="001D4FEA" w:rsidP="001D4FEA">
      <w:pPr>
        <w:spacing w:after="0" w:line="256" w:lineRule="auto"/>
        <w:ind w:left="4999"/>
        <w:rPr>
          <w:rFonts w:ascii="Verdana" w:hAnsi="Verdana"/>
          <w:sz w:val="20"/>
          <w:szCs w:val="20"/>
          <w:lang w:val="es-ES"/>
        </w:rPr>
      </w:pPr>
      <w:r w:rsidRPr="00401C8D">
        <w:rPr>
          <w:rFonts w:ascii="Verdana" w:hAnsi="Verdana"/>
          <w:sz w:val="20"/>
          <w:szCs w:val="20"/>
          <w:lang w:val="es-ES"/>
        </w:rPr>
        <w:t xml:space="preserve">     </w:t>
      </w:r>
      <w:r w:rsidRPr="00401C8D">
        <w:rPr>
          <w:rFonts w:ascii="Verdana" w:hAnsi="Verdana"/>
          <w:sz w:val="20"/>
          <w:szCs w:val="20"/>
          <w:lang w:val="es-ES"/>
        </w:rPr>
        <w:tab/>
        <w:t xml:space="preserve"> Eduardo Ferrer Mac-Gregor Poisot</w:t>
      </w:r>
    </w:p>
    <w:p w:rsidR="001D4FEA" w:rsidRPr="00401C8D" w:rsidRDefault="001D4FEA" w:rsidP="001D4FEA">
      <w:pPr>
        <w:spacing w:after="0" w:line="256" w:lineRule="auto"/>
        <w:ind w:left="5760"/>
        <w:rPr>
          <w:rFonts w:ascii="Verdana" w:hAnsi="Verdana"/>
          <w:sz w:val="20"/>
          <w:szCs w:val="20"/>
          <w:lang w:val="es-ES"/>
        </w:rPr>
      </w:pPr>
      <w:r w:rsidRPr="00401C8D">
        <w:rPr>
          <w:rFonts w:ascii="Verdana" w:hAnsi="Verdana"/>
          <w:sz w:val="20"/>
          <w:szCs w:val="20"/>
          <w:lang w:val="es-ES"/>
        </w:rPr>
        <w:t xml:space="preserve">                   Presidente</w:t>
      </w:r>
    </w:p>
    <w:p w:rsidR="001D4FEA" w:rsidRPr="00401C8D" w:rsidRDefault="001D4FEA" w:rsidP="001D4FEA">
      <w:pPr>
        <w:spacing w:after="0" w:line="256" w:lineRule="auto"/>
        <w:ind w:left="43"/>
        <w:rPr>
          <w:rFonts w:ascii="Verdana" w:hAnsi="Verdana"/>
          <w:sz w:val="20"/>
          <w:szCs w:val="20"/>
          <w:lang w:val="es-ES"/>
        </w:rPr>
      </w:pPr>
    </w:p>
    <w:p w:rsidR="001D4FEA" w:rsidRDefault="001D4FEA" w:rsidP="001D4FEA">
      <w:pPr>
        <w:spacing w:after="0" w:line="256" w:lineRule="auto"/>
        <w:ind w:left="43"/>
        <w:rPr>
          <w:rFonts w:ascii="Verdana" w:hAnsi="Verdana"/>
          <w:sz w:val="20"/>
          <w:szCs w:val="20"/>
          <w:lang w:val="es-ES"/>
        </w:rPr>
      </w:pPr>
    </w:p>
    <w:p w:rsidR="001D4FEA" w:rsidRDefault="001D4FEA" w:rsidP="001D4FEA">
      <w:pPr>
        <w:spacing w:after="0" w:line="256" w:lineRule="auto"/>
        <w:ind w:left="43"/>
        <w:rPr>
          <w:rFonts w:ascii="Verdana" w:hAnsi="Verdana"/>
          <w:sz w:val="20"/>
          <w:szCs w:val="20"/>
          <w:lang w:val="es-ES"/>
        </w:rPr>
      </w:pPr>
    </w:p>
    <w:p w:rsidR="001D4FEA" w:rsidRDefault="001D4FEA" w:rsidP="001D4FEA">
      <w:pPr>
        <w:spacing w:after="0" w:line="256" w:lineRule="auto"/>
        <w:ind w:left="43"/>
        <w:rPr>
          <w:rFonts w:ascii="Verdana" w:hAnsi="Verdana"/>
          <w:sz w:val="20"/>
          <w:szCs w:val="20"/>
          <w:lang w:val="es-ES"/>
        </w:rPr>
      </w:pPr>
    </w:p>
    <w:p w:rsidR="001D4FEA" w:rsidRDefault="001D4FEA" w:rsidP="001D4FEA">
      <w:pPr>
        <w:spacing w:after="0" w:line="256" w:lineRule="auto"/>
        <w:ind w:left="43"/>
        <w:rPr>
          <w:rFonts w:ascii="Verdana" w:hAnsi="Verdana"/>
          <w:sz w:val="20"/>
          <w:szCs w:val="20"/>
          <w:lang w:val="es-ES"/>
        </w:rPr>
      </w:pPr>
    </w:p>
    <w:p w:rsidR="001D4FEA" w:rsidRDefault="001D4FEA" w:rsidP="001D4FEA">
      <w:pPr>
        <w:spacing w:after="0" w:line="256" w:lineRule="auto"/>
        <w:ind w:left="43"/>
        <w:rPr>
          <w:rFonts w:ascii="Verdana" w:hAnsi="Verdana"/>
          <w:sz w:val="20"/>
          <w:szCs w:val="20"/>
          <w:lang w:val="es-ES"/>
        </w:rPr>
      </w:pPr>
    </w:p>
    <w:p w:rsidR="001D4FEA" w:rsidRDefault="001D4FEA" w:rsidP="001D4FEA">
      <w:pPr>
        <w:spacing w:after="0" w:line="256" w:lineRule="auto"/>
        <w:ind w:left="43"/>
        <w:rPr>
          <w:rFonts w:ascii="Verdana" w:hAnsi="Verdana"/>
          <w:sz w:val="20"/>
          <w:szCs w:val="20"/>
          <w:lang w:val="es-ES"/>
        </w:rPr>
      </w:pPr>
    </w:p>
    <w:p w:rsidR="001D4FEA" w:rsidRPr="00401C8D" w:rsidRDefault="001D4FEA" w:rsidP="001D4FEA">
      <w:pPr>
        <w:spacing w:after="0" w:line="256" w:lineRule="auto"/>
        <w:ind w:left="43"/>
        <w:rPr>
          <w:rFonts w:ascii="Verdana" w:hAnsi="Verdana"/>
          <w:sz w:val="20"/>
          <w:szCs w:val="20"/>
          <w:lang w:val="es-ES"/>
        </w:rPr>
      </w:pPr>
    </w:p>
    <w:p w:rsidR="001D4FEA" w:rsidRPr="00401C8D" w:rsidRDefault="001D4FEA" w:rsidP="001D4FEA">
      <w:pPr>
        <w:spacing w:after="0" w:line="256" w:lineRule="auto"/>
        <w:ind w:left="43"/>
        <w:rPr>
          <w:rFonts w:ascii="Verdana" w:hAnsi="Verdana"/>
          <w:sz w:val="20"/>
          <w:szCs w:val="20"/>
          <w:lang w:val="es-ES"/>
        </w:rPr>
      </w:pPr>
    </w:p>
    <w:p w:rsidR="001D4FEA" w:rsidRPr="00401C8D" w:rsidRDefault="001D4FEA" w:rsidP="001D4FEA">
      <w:pPr>
        <w:spacing w:after="0" w:line="256" w:lineRule="auto"/>
        <w:ind w:left="43"/>
        <w:rPr>
          <w:rFonts w:ascii="Verdana" w:hAnsi="Verdana"/>
          <w:sz w:val="20"/>
          <w:szCs w:val="20"/>
          <w:lang w:val="es-ES"/>
        </w:rPr>
      </w:pPr>
      <w:r w:rsidRPr="00401C8D">
        <w:rPr>
          <w:rFonts w:ascii="Verdana" w:hAnsi="Verdana"/>
          <w:sz w:val="20"/>
          <w:szCs w:val="20"/>
          <w:lang w:val="es-ES"/>
        </w:rPr>
        <w:t>Pablo Saavedra Alessandri</w:t>
      </w:r>
    </w:p>
    <w:p w:rsidR="001D4FEA" w:rsidRPr="00401C8D" w:rsidRDefault="001D4FEA" w:rsidP="001D4FEA">
      <w:pPr>
        <w:spacing w:after="0" w:line="256" w:lineRule="auto"/>
        <w:ind w:left="43"/>
        <w:rPr>
          <w:rFonts w:ascii="Verdana" w:hAnsi="Verdana"/>
          <w:sz w:val="20"/>
          <w:szCs w:val="20"/>
          <w:lang w:val="es-ES"/>
        </w:rPr>
      </w:pPr>
      <w:r w:rsidRPr="00401C8D">
        <w:rPr>
          <w:rFonts w:ascii="Verdana" w:hAnsi="Verdana"/>
          <w:sz w:val="20"/>
          <w:szCs w:val="20"/>
          <w:lang w:val="es-ES"/>
        </w:rPr>
        <w:t xml:space="preserve">           Secretario</w:t>
      </w:r>
    </w:p>
    <w:p w:rsidR="001D4FEA" w:rsidRPr="00401C8D" w:rsidRDefault="001D4FEA" w:rsidP="001D4FEA">
      <w:pPr>
        <w:spacing w:after="0" w:line="256" w:lineRule="auto"/>
        <w:ind w:left="43"/>
        <w:rPr>
          <w:rFonts w:ascii="Verdana" w:hAnsi="Verdana"/>
          <w:sz w:val="20"/>
          <w:szCs w:val="20"/>
          <w:lang w:val="es-ES"/>
        </w:rPr>
      </w:pPr>
    </w:p>
    <w:p w:rsidR="001D4FEA" w:rsidRPr="00401C8D" w:rsidRDefault="001D4FEA" w:rsidP="001D4FEA">
      <w:pPr>
        <w:spacing w:after="0" w:line="256" w:lineRule="auto"/>
        <w:ind w:left="43"/>
        <w:rPr>
          <w:rFonts w:ascii="Verdana" w:hAnsi="Verdana"/>
          <w:sz w:val="20"/>
          <w:szCs w:val="20"/>
          <w:lang w:val="es-ES"/>
        </w:rPr>
      </w:pPr>
    </w:p>
    <w:p w:rsidR="001D4FEA" w:rsidRPr="00401C8D" w:rsidRDefault="001D4FEA" w:rsidP="001D4FEA">
      <w:pPr>
        <w:spacing w:after="0" w:line="256" w:lineRule="auto"/>
        <w:ind w:left="43"/>
        <w:rPr>
          <w:rFonts w:ascii="Verdana" w:hAnsi="Verdana"/>
          <w:sz w:val="20"/>
          <w:szCs w:val="20"/>
          <w:lang w:val="es-ES"/>
        </w:rPr>
      </w:pPr>
    </w:p>
    <w:p w:rsidR="001D4FEA" w:rsidRPr="00401C8D" w:rsidRDefault="001D4FEA" w:rsidP="001D4FEA">
      <w:pPr>
        <w:spacing w:after="0" w:line="256" w:lineRule="auto"/>
        <w:ind w:left="43"/>
        <w:rPr>
          <w:rFonts w:ascii="Verdana" w:hAnsi="Verdana"/>
          <w:sz w:val="20"/>
          <w:szCs w:val="20"/>
          <w:lang w:val="es-ES"/>
        </w:rPr>
      </w:pPr>
    </w:p>
    <w:p w:rsidR="001D4FEA" w:rsidRPr="00401C8D" w:rsidRDefault="001D4FEA" w:rsidP="001D4FEA">
      <w:pPr>
        <w:spacing w:after="0" w:line="256" w:lineRule="auto"/>
        <w:ind w:left="43"/>
        <w:rPr>
          <w:rFonts w:ascii="Verdana" w:hAnsi="Verdana"/>
          <w:sz w:val="20"/>
          <w:szCs w:val="20"/>
          <w:lang w:val="es-ES"/>
        </w:rPr>
      </w:pPr>
    </w:p>
    <w:p w:rsidR="001D4FEA" w:rsidRPr="00401C8D" w:rsidRDefault="001D4FEA" w:rsidP="001D4FEA">
      <w:pPr>
        <w:spacing w:after="0" w:line="256" w:lineRule="auto"/>
        <w:ind w:left="43"/>
        <w:rPr>
          <w:rFonts w:ascii="Verdana" w:hAnsi="Verdana"/>
          <w:sz w:val="20"/>
          <w:szCs w:val="20"/>
          <w:lang w:val="es-ES"/>
        </w:rPr>
      </w:pPr>
    </w:p>
    <w:p w:rsidR="001D4FEA" w:rsidRPr="00401C8D" w:rsidRDefault="001D4FEA" w:rsidP="001D4FEA">
      <w:pPr>
        <w:spacing w:after="0" w:line="256" w:lineRule="auto"/>
        <w:ind w:left="43"/>
        <w:rPr>
          <w:rFonts w:ascii="Verdana" w:hAnsi="Verdana"/>
          <w:sz w:val="20"/>
          <w:szCs w:val="20"/>
          <w:lang w:val="es-ES"/>
        </w:rPr>
      </w:pPr>
      <w:r w:rsidRPr="00401C8D">
        <w:rPr>
          <w:rFonts w:ascii="Verdana" w:hAnsi="Verdana"/>
          <w:sz w:val="20"/>
          <w:szCs w:val="20"/>
          <w:lang w:val="es-ES"/>
        </w:rPr>
        <w:t>Comuníquese y ejecútese,</w:t>
      </w:r>
    </w:p>
    <w:p w:rsidR="001D4FEA" w:rsidRDefault="001D4FEA" w:rsidP="001D4FEA">
      <w:pPr>
        <w:spacing w:after="0" w:line="256" w:lineRule="auto"/>
        <w:ind w:left="43"/>
        <w:rPr>
          <w:rFonts w:ascii="Verdana" w:hAnsi="Verdana"/>
          <w:sz w:val="20"/>
          <w:szCs w:val="20"/>
          <w:lang w:val="es-ES"/>
        </w:rPr>
      </w:pPr>
    </w:p>
    <w:p w:rsidR="001D4FEA" w:rsidRDefault="001D4FEA" w:rsidP="001D4FEA">
      <w:pPr>
        <w:spacing w:after="0" w:line="256" w:lineRule="auto"/>
        <w:ind w:left="43"/>
        <w:rPr>
          <w:rFonts w:ascii="Verdana" w:hAnsi="Verdana"/>
          <w:sz w:val="20"/>
          <w:szCs w:val="20"/>
          <w:lang w:val="es-ES"/>
        </w:rPr>
      </w:pPr>
    </w:p>
    <w:p w:rsidR="001D4FEA" w:rsidRPr="00401C8D" w:rsidRDefault="001D4FEA" w:rsidP="001D4FEA">
      <w:pPr>
        <w:spacing w:after="0" w:line="256" w:lineRule="auto"/>
        <w:ind w:left="43"/>
        <w:rPr>
          <w:rFonts w:ascii="Verdana" w:hAnsi="Verdana"/>
          <w:sz w:val="20"/>
          <w:szCs w:val="20"/>
          <w:lang w:val="es-ES"/>
        </w:rPr>
      </w:pPr>
    </w:p>
    <w:p w:rsidR="001D4FEA" w:rsidRPr="00401C8D" w:rsidRDefault="001D4FEA" w:rsidP="001D4FEA">
      <w:pPr>
        <w:spacing w:after="0" w:line="256" w:lineRule="auto"/>
        <w:ind w:left="43"/>
        <w:rPr>
          <w:rFonts w:ascii="Verdana" w:hAnsi="Verdana"/>
          <w:sz w:val="20"/>
          <w:szCs w:val="20"/>
          <w:lang w:val="es-ES"/>
        </w:rPr>
      </w:pPr>
    </w:p>
    <w:p w:rsidR="001D4FEA" w:rsidRPr="00401C8D" w:rsidRDefault="001D4FEA" w:rsidP="001D4FEA">
      <w:pPr>
        <w:spacing w:after="0" w:line="256" w:lineRule="auto"/>
        <w:ind w:left="43"/>
        <w:rPr>
          <w:rFonts w:ascii="Verdana" w:hAnsi="Verdana"/>
          <w:sz w:val="20"/>
          <w:szCs w:val="20"/>
          <w:lang w:val="es-ES"/>
        </w:rPr>
      </w:pPr>
    </w:p>
    <w:p w:rsidR="001D4FEA" w:rsidRPr="00401C8D" w:rsidRDefault="001D4FEA" w:rsidP="001D4FEA">
      <w:pPr>
        <w:spacing w:after="0" w:line="256" w:lineRule="auto"/>
        <w:ind w:left="43"/>
        <w:rPr>
          <w:rFonts w:ascii="Verdana" w:hAnsi="Verdana"/>
          <w:sz w:val="20"/>
          <w:szCs w:val="20"/>
          <w:lang w:val="es-ES"/>
        </w:rPr>
      </w:pPr>
    </w:p>
    <w:p w:rsidR="001D4FEA" w:rsidRPr="00401C8D" w:rsidRDefault="001D4FEA" w:rsidP="001D4FEA">
      <w:pPr>
        <w:spacing w:after="0" w:line="256" w:lineRule="auto"/>
        <w:ind w:left="43"/>
        <w:rPr>
          <w:rFonts w:ascii="Verdana" w:hAnsi="Verdana"/>
          <w:sz w:val="20"/>
          <w:szCs w:val="20"/>
          <w:lang w:val="es-ES"/>
        </w:rPr>
      </w:pPr>
    </w:p>
    <w:p w:rsidR="001D4FEA" w:rsidRPr="00401C8D" w:rsidRDefault="001D4FEA" w:rsidP="001D4FEA">
      <w:pPr>
        <w:spacing w:after="0" w:line="256" w:lineRule="auto"/>
        <w:ind w:left="4320" w:firstLine="720"/>
        <w:rPr>
          <w:rFonts w:ascii="Verdana" w:hAnsi="Verdana"/>
          <w:sz w:val="20"/>
          <w:szCs w:val="20"/>
          <w:lang w:val="es-ES"/>
        </w:rPr>
      </w:pPr>
      <w:r w:rsidRPr="00401C8D">
        <w:rPr>
          <w:rFonts w:ascii="Verdana" w:hAnsi="Verdana"/>
          <w:sz w:val="20"/>
          <w:szCs w:val="20"/>
          <w:lang w:val="es-ES"/>
        </w:rPr>
        <w:t xml:space="preserve">      </w:t>
      </w:r>
      <w:r>
        <w:rPr>
          <w:rFonts w:ascii="Verdana" w:hAnsi="Verdana"/>
          <w:sz w:val="20"/>
          <w:szCs w:val="20"/>
          <w:lang w:val="es-ES"/>
        </w:rPr>
        <w:t xml:space="preserve">      </w:t>
      </w:r>
      <w:r w:rsidRPr="00401C8D">
        <w:rPr>
          <w:rFonts w:ascii="Verdana" w:hAnsi="Verdana"/>
          <w:sz w:val="20"/>
          <w:szCs w:val="20"/>
          <w:lang w:val="es-ES"/>
        </w:rPr>
        <w:t>Eduardo Ferrer Mac-Gregor Poisot</w:t>
      </w:r>
    </w:p>
    <w:p w:rsidR="001D4FEA" w:rsidRPr="00401C8D" w:rsidRDefault="001D4FEA" w:rsidP="001D4FEA">
      <w:pPr>
        <w:spacing w:after="0" w:line="256" w:lineRule="auto"/>
        <w:ind w:left="5760"/>
        <w:rPr>
          <w:rFonts w:ascii="Verdana" w:hAnsi="Verdana"/>
          <w:sz w:val="20"/>
          <w:szCs w:val="20"/>
          <w:lang w:val="es-ES"/>
        </w:rPr>
      </w:pPr>
      <w:r w:rsidRPr="00401C8D">
        <w:rPr>
          <w:rFonts w:ascii="Verdana" w:hAnsi="Verdana"/>
          <w:sz w:val="20"/>
          <w:szCs w:val="20"/>
          <w:lang w:val="es-ES"/>
        </w:rPr>
        <w:t xml:space="preserve">                    Presidente</w:t>
      </w:r>
    </w:p>
    <w:p w:rsidR="001D4FEA" w:rsidRPr="00401C8D" w:rsidRDefault="001D4FEA" w:rsidP="001D4FEA">
      <w:pPr>
        <w:spacing w:after="0" w:line="256" w:lineRule="auto"/>
        <w:ind w:left="43"/>
        <w:rPr>
          <w:rFonts w:ascii="Verdana" w:hAnsi="Verdana"/>
          <w:sz w:val="20"/>
          <w:szCs w:val="20"/>
          <w:lang w:val="es-ES"/>
        </w:rPr>
      </w:pPr>
    </w:p>
    <w:p w:rsidR="001D4FEA" w:rsidRPr="00401C8D" w:rsidRDefault="001D4FEA" w:rsidP="001D4FEA">
      <w:pPr>
        <w:spacing w:after="0" w:line="256" w:lineRule="auto"/>
        <w:ind w:left="43"/>
        <w:rPr>
          <w:rFonts w:ascii="Verdana" w:hAnsi="Verdana"/>
          <w:sz w:val="20"/>
          <w:szCs w:val="20"/>
          <w:lang w:val="es-ES"/>
        </w:rPr>
      </w:pPr>
    </w:p>
    <w:p w:rsidR="001D4FEA" w:rsidRPr="00401C8D" w:rsidRDefault="001D4FEA" w:rsidP="001D4FEA">
      <w:pPr>
        <w:spacing w:after="0" w:line="256" w:lineRule="auto"/>
        <w:ind w:left="43"/>
        <w:rPr>
          <w:rFonts w:ascii="Verdana" w:hAnsi="Verdana"/>
          <w:sz w:val="20"/>
          <w:szCs w:val="20"/>
          <w:lang w:val="es-ES"/>
        </w:rPr>
      </w:pPr>
    </w:p>
    <w:p w:rsidR="001D4FEA" w:rsidRPr="00401C8D" w:rsidRDefault="001D4FEA" w:rsidP="001D4FEA">
      <w:pPr>
        <w:spacing w:after="0" w:line="256" w:lineRule="auto"/>
        <w:ind w:left="43"/>
        <w:rPr>
          <w:rFonts w:ascii="Verdana" w:hAnsi="Verdana"/>
          <w:sz w:val="20"/>
          <w:szCs w:val="20"/>
          <w:lang w:val="es-ES"/>
        </w:rPr>
      </w:pPr>
    </w:p>
    <w:p w:rsidR="001D4FEA" w:rsidRPr="00401C8D" w:rsidRDefault="001D4FEA" w:rsidP="001D4FEA">
      <w:pPr>
        <w:spacing w:after="0" w:line="256" w:lineRule="auto"/>
        <w:ind w:left="43"/>
        <w:rPr>
          <w:rFonts w:ascii="Verdana" w:hAnsi="Verdana"/>
          <w:sz w:val="20"/>
          <w:szCs w:val="20"/>
          <w:lang w:val="es-ES"/>
        </w:rPr>
      </w:pPr>
    </w:p>
    <w:p w:rsidR="001D4FEA" w:rsidRPr="00401C8D" w:rsidRDefault="001D4FEA" w:rsidP="001D4FEA">
      <w:pPr>
        <w:spacing w:after="0" w:line="256" w:lineRule="auto"/>
        <w:ind w:left="43"/>
        <w:rPr>
          <w:rFonts w:ascii="Verdana" w:hAnsi="Verdana"/>
          <w:sz w:val="20"/>
          <w:szCs w:val="20"/>
          <w:lang w:val="es-ES"/>
        </w:rPr>
      </w:pPr>
    </w:p>
    <w:p w:rsidR="001D4FEA" w:rsidRPr="00401C8D" w:rsidRDefault="001D4FEA" w:rsidP="001D4FEA">
      <w:pPr>
        <w:spacing w:after="0" w:line="256" w:lineRule="auto"/>
        <w:ind w:left="43"/>
        <w:rPr>
          <w:rFonts w:ascii="Verdana" w:hAnsi="Verdana"/>
          <w:sz w:val="20"/>
          <w:szCs w:val="20"/>
          <w:lang w:val="es-ES"/>
        </w:rPr>
      </w:pPr>
      <w:r w:rsidRPr="00401C8D">
        <w:rPr>
          <w:rFonts w:ascii="Verdana" w:hAnsi="Verdana"/>
          <w:sz w:val="20"/>
          <w:szCs w:val="20"/>
          <w:lang w:val="es-ES"/>
        </w:rPr>
        <w:t>Pablo Saavedra Alessandri</w:t>
      </w:r>
    </w:p>
    <w:p w:rsidR="001D4FEA" w:rsidRPr="0032649A" w:rsidRDefault="001D4FEA" w:rsidP="00746A40">
      <w:pPr>
        <w:spacing w:after="0" w:line="256" w:lineRule="auto"/>
        <w:ind w:left="43"/>
        <w:rPr>
          <w:lang w:val="es-CR"/>
        </w:rPr>
      </w:pPr>
      <w:r w:rsidRPr="00401C8D">
        <w:rPr>
          <w:rFonts w:ascii="Verdana" w:hAnsi="Verdana"/>
          <w:sz w:val="20"/>
          <w:szCs w:val="20"/>
          <w:lang w:val="es-ES"/>
        </w:rPr>
        <w:t xml:space="preserve">           Secretario</w:t>
      </w:r>
    </w:p>
    <w:sectPr w:rsidR="001D4FEA" w:rsidRPr="0032649A" w:rsidSect="001153FC">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830" w:rsidRDefault="00EF7830" w:rsidP="0032649A">
      <w:pPr>
        <w:spacing w:after="0" w:line="240" w:lineRule="auto"/>
      </w:pPr>
      <w:r>
        <w:separator/>
      </w:r>
    </w:p>
  </w:endnote>
  <w:endnote w:type="continuationSeparator" w:id="0">
    <w:p w:rsidR="00EF7830" w:rsidRDefault="00EF7830" w:rsidP="00326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830" w:rsidRDefault="00EF7830" w:rsidP="0032649A">
      <w:pPr>
        <w:spacing w:after="0" w:line="240" w:lineRule="auto"/>
      </w:pPr>
      <w:r>
        <w:separator/>
      </w:r>
    </w:p>
  </w:footnote>
  <w:footnote w:type="continuationSeparator" w:id="0">
    <w:p w:rsidR="00EF7830" w:rsidRDefault="00EF7830" w:rsidP="0032649A">
      <w:pPr>
        <w:spacing w:after="0" w:line="240" w:lineRule="auto"/>
      </w:pPr>
      <w:r>
        <w:continuationSeparator/>
      </w:r>
    </w:p>
  </w:footnote>
  <w:footnote w:id="1">
    <w:p w:rsidR="0032649A" w:rsidRPr="00907C10" w:rsidRDefault="0032649A" w:rsidP="00907C10">
      <w:pPr>
        <w:pStyle w:val="FootnoteText"/>
        <w:jc w:val="both"/>
        <w:rPr>
          <w:rFonts w:ascii="Verdana" w:hAnsi="Verdana"/>
          <w:b/>
          <w:sz w:val="16"/>
          <w:szCs w:val="16"/>
          <w:lang w:val="es-CR"/>
        </w:rPr>
      </w:pPr>
      <w:r w:rsidRPr="00907C10">
        <w:rPr>
          <w:rStyle w:val="FootnoteReference"/>
          <w:rFonts w:ascii="Verdana" w:hAnsi="Verdana"/>
          <w:sz w:val="16"/>
          <w:szCs w:val="16"/>
        </w:rPr>
        <w:footnoteRef/>
      </w:r>
      <w:r w:rsidRPr="00907C10">
        <w:rPr>
          <w:rFonts w:ascii="Verdana" w:hAnsi="Verdana"/>
          <w:sz w:val="16"/>
          <w:szCs w:val="16"/>
          <w:lang w:val="es-CR"/>
        </w:rPr>
        <w:t xml:space="preserve"> </w:t>
      </w:r>
      <w:r w:rsidRPr="00907C10">
        <w:rPr>
          <w:rFonts w:ascii="Verdana" w:hAnsi="Verdana"/>
          <w:sz w:val="16"/>
          <w:szCs w:val="16"/>
          <w:lang w:val="es-CR"/>
        </w:rPr>
        <w:tab/>
        <w:t xml:space="preserve">De conformidad con el artículo 37 del Reglamento de la Corte, los señores Miguel Ángel Rodríguez </w:t>
      </w:r>
      <w:proofErr w:type="spellStart"/>
      <w:r w:rsidRPr="00907C10">
        <w:rPr>
          <w:rFonts w:ascii="Verdana" w:hAnsi="Verdana"/>
          <w:sz w:val="16"/>
          <w:szCs w:val="16"/>
          <w:lang w:val="es-CR"/>
        </w:rPr>
        <w:t>Revolorio</w:t>
      </w:r>
      <w:proofErr w:type="spellEnd"/>
      <w:r w:rsidRPr="00907C10">
        <w:rPr>
          <w:rFonts w:ascii="Verdana" w:hAnsi="Verdana"/>
          <w:sz w:val="16"/>
          <w:szCs w:val="16"/>
          <w:lang w:val="es-CR"/>
        </w:rPr>
        <w:t xml:space="preserve">, Miguel Ángel López Calo y Aníbal Archila Pérez son representados por las Defensoras Públicas Interamericanas </w:t>
      </w:r>
      <w:proofErr w:type="spellStart"/>
      <w:r w:rsidRPr="00907C10">
        <w:rPr>
          <w:rFonts w:ascii="Verdana" w:hAnsi="Verdana"/>
          <w:sz w:val="16"/>
          <w:szCs w:val="16"/>
          <w:lang w:val="es-CR"/>
        </w:rPr>
        <w:t>Rivana</w:t>
      </w:r>
      <w:proofErr w:type="spellEnd"/>
      <w:r w:rsidRPr="00907C10">
        <w:rPr>
          <w:rFonts w:ascii="Verdana" w:hAnsi="Verdana"/>
          <w:sz w:val="16"/>
          <w:szCs w:val="16"/>
          <w:lang w:val="es-CR"/>
        </w:rPr>
        <w:t xml:space="preserve"> Barreto Ricarte de Oliveira y </w:t>
      </w:r>
      <w:proofErr w:type="spellStart"/>
      <w:r w:rsidRPr="00907C10">
        <w:rPr>
          <w:rFonts w:ascii="Verdana" w:hAnsi="Verdana"/>
          <w:sz w:val="16"/>
          <w:szCs w:val="16"/>
          <w:lang w:val="es-CR"/>
        </w:rPr>
        <w:t>Yanela</w:t>
      </w:r>
      <w:proofErr w:type="spellEnd"/>
      <w:r w:rsidRPr="00907C10">
        <w:rPr>
          <w:rFonts w:ascii="Verdana" w:hAnsi="Verdana"/>
          <w:sz w:val="16"/>
          <w:szCs w:val="16"/>
          <w:lang w:val="es-CR"/>
        </w:rPr>
        <w:t xml:space="preserve"> Romero de Pimentel</w:t>
      </w:r>
      <w:r w:rsidR="004024F5">
        <w:rPr>
          <w:rFonts w:ascii="Verdana" w:hAnsi="Verdana"/>
          <w:sz w:val="16"/>
          <w:szCs w:val="16"/>
          <w:lang w:val="es-CR"/>
        </w:rPr>
        <w:t>,</w:t>
      </w:r>
      <w:r w:rsidRPr="00907C10">
        <w:rPr>
          <w:rFonts w:ascii="Verdana" w:hAnsi="Verdana"/>
          <w:sz w:val="16"/>
          <w:szCs w:val="16"/>
          <w:lang w:val="es-CR"/>
        </w:rPr>
        <w:t xml:space="preserve"> cuya designación para desempeñar esa función fue informada por la Asociación Interamericana de Defensorías Públicas (AIDEF) a la Secretaría de la Corte el 20 de marzo de 2018. </w:t>
      </w:r>
    </w:p>
  </w:footnote>
  <w:footnote w:id="2">
    <w:p w:rsidR="0032649A" w:rsidRPr="00907C10" w:rsidRDefault="0032649A" w:rsidP="00907C10">
      <w:pPr>
        <w:pStyle w:val="FootnoteText"/>
        <w:jc w:val="both"/>
        <w:rPr>
          <w:rFonts w:ascii="Verdana" w:hAnsi="Verdana"/>
          <w:b/>
          <w:sz w:val="16"/>
          <w:szCs w:val="16"/>
          <w:lang w:val="es-PE"/>
        </w:rPr>
      </w:pPr>
      <w:r w:rsidRPr="00907C10">
        <w:rPr>
          <w:rStyle w:val="FootnoteReference"/>
          <w:rFonts w:ascii="Verdana" w:hAnsi="Verdana"/>
          <w:sz w:val="16"/>
          <w:szCs w:val="16"/>
        </w:rPr>
        <w:footnoteRef/>
      </w:r>
      <w:r w:rsidR="00534023">
        <w:rPr>
          <w:rFonts w:ascii="Verdana" w:hAnsi="Verdana"/>
          <w:sz w:val="16"/>
          <w:szCs w:val="16"/>
          <w:lang w:val="es-PE"/>
        </w:rPr>
        <w:t xml:space="preserve"> </w:t>
      </w:r>
      <w:r w:rsidR="00534023">
        <w:rPr>
          <w:rFonts w:ascii="Verdana" w:hAnsi="Verdana"/>
          <w:sz w:val="16"/>
          <w:szCs w:val="16"/>
          <w:lang w:val="es-PE"/>
        </w:rPr>
        <w:tab/>
      </w:r>
      <w:r w:rsidR="00014A5A">
        <w:rPr>
          <w:rFonts w:ascii="Verdana" w:hAnsi="Verdana"/>
          <w:sz w:val="16"/>
          <w:szCs w:val="16"/>
          <w:lang w:val="es-PE"/>
        </w:rPr>
        <w:t>Declarará</w:t>
      </w:r>
      <w:r w:rsidRPr="00907C10">
        <w:rPr>
          <w:rFonts w:ascii="Verdana" w:hAnsi="Verdana"/>
          <w:sz w:val="16"/>
          <w:szCs w:val="16"/>
          <w:lang w:val="es-PE"/>
        </w:rPr>
        <w:t xml:space="preserve"> sobre “las circunstancias de modo, tiempo y lugar relacionadas con los hechos que lo damnificaron y sobre el impacto que ello tuvo en su vida personal, familiar y de relación”. </w:t>
      </w:r>
    </w:p>
    <w:p w:rsidR="0032649A" w:rsidRPr="00907C10" w:rsidRDefault="0032649A" w:rsidP="00907C10">
      <w:pPr>
        <w:pStyle w:val="FootnoteText"/>
        <w:jc w:val="both"/>
        <w:rPr>
          <w:rFonts w:ascii="Verdana" w:hAnsi="Verdana"/>
          <w:sz w:val="16"/>
          <w:szCs w:val="16"/>
          <w:lang w:val="es-PE"/>
        </w:rPr>
      </w:pPr>
    </w:p>
  </w:footnote>
  <w:footnote w:id="3">
    <w:p w:rsidR="0032649A" w:rsidRPr="00907C10" w:rsidRDefault="0032649A" w:rsidP="00907C10">
      <w:pPr>
        <w:pStyle w:val="FootnoteText"/>
        <w:jc w:val="both"/>
        <w:rPr>
          <w:rFonts w:ascii="Verdana" w:hAnsi="Verdana"/>
          <w:b/>
          <w:sz w:val="16"/>
          <w:szCs w:val="16"/>
          <w:lang w:val="es-PE"/>
        </w:rPr>
      </w:pPr>
      <w:r w:rsidRPr="00907C10">
        <w:rPr>
          <w:rStyle w:val="FootnoteReference"/>
          <w:rFonts w:ascii="Verdana" w:hAnsi="Verdana"/>
          <w:sz w:val="16"/>
          <w:szCs w:val="16"/>
        </w:rPr>
        <w:footnoteRef/>
      </w:r>
      <w:r w:rsidRPr="00907C10">
        <w:rPr>
          <w:rFonts w:ascii="Verdana" w:hAnsi="Verdana"/>
          <w:sz w:val="16"/>
          <w:szCs w:val="16"/>
          <w:lang w:val="es-PE"/>
        </w:rPr>
        <w:t xml:space="preserve"> </w:t>
      </w:r>
      <w:r w:rsidRPr="00907C10">
        <w:rPr>
          <w:rFonts w:ascii="Verdana" w:hAnsi="Verdana"/>
          <w:sz w:val="16"/>
          <w:szCs w:val="16"/>
          <w:lang w:val="es-PE"/>
        </w:rPr>
        <w:tab/>
      </w:r>
      <w:r w:rsidR="00014A5A">
        <w:rPr>
          <w:rFonts w:ascii="Verdana" w:hAnsi="Verdana"/>
          <w:sz w:val="16"/>
          <w:szCs w:val="16"/>
          <w:lang w:val="es-PE"/>
        </w:rPr>
        <w:t>Declarará</w:t>
      </w:r>
      <w:r w:rsidR="00014A5A" w:rsidRPr="00907C10">
        <w:rPr>
          <w:rFonts w:ascii="Verdana" w:hAnsi="Verdana"/>
          <w:sz w:val="16"/>
          <w:szCs w:val="16"/>
          <w:lang w:val="es-PE"/>
        </w:rPr>
        <w:t xml:space="preserve"> </w:t>
      </w:r>
      <w:r w:rsidRPr="00907C10">
        <w:rPr>
          <w:rFonts w:ascii="Verdana" w:hAnsi="Verdana"/>
          <w:sz w:val="16"/>
          <w:szCs w:val="16"/>
          <w:lang w:val="es-PE"/>
        </w:rPr>
        <w:t>sobre</w:t>
      </w:r>
      <w:r w:rsidR="009F1322">
        <w:rPr>
          <w:rFonts w:ascii="Verdana" w:hAnsi="Verdana"/>
          <w:sz w:val="16"/>
          <w:szCs w:val="16"/>
          <w:lang w:val="es-PE"/>
        </w:rPr>
        <w:t>:</w:t>
      </w:r>
      <w:r w:rsidRPr="00907C10">
        <w:rPr>
          <w:rFonts w:ascii="Verdana" w:hAnsi="Verdana"/>
          <w:sz w:val="16"/>
          <w:szCs w:val="16"/>
          <w:lang w:val="es-PE"/>
        </w:rPr>
        <w:t xml:space="preserve"> “las circunstancias de modo, tiempo y lugar relacionadas con los hechos que lo damnificaron y sobre el impacto que ello tuvo en su vida personal, familiar y de relación”. </w:t>
      </w:r>
    </w:p>
    <w:p w:rsidR="0032649A" w:rsidRPr="00907C10" w:rsidRDefault="0032649A" w:rsidP="00907C10">
      <w:pPr>
        <w:pStyle w:val="FootnoteText"/>
        <w:jc w:val="both"/>
        <w:rPr>
          <w:rFonts w:ascii="Verdana" w:hAnsi="Verdana"/>
          <w:sz w:val="16"/>
          <w:szCs w:val="16"/>
          <w:lang w:val="es-PE"/>
        </w:rPr>
      </w:pPr>
    </w:p>
  </w:footnote>
  <w:footnote w:id="4">
    <w:p w:rsidR="0032649A" w:rsidRPr="00907C10" w:rsidRDefault="0032649A" w:rsidP="00907C10">
      <w:pPr>
        <w:pStyle w:val="FootnoteText"/>
        <w:jc w:val="both"/>
        <w:rPr>
          <w:rFonts w:ascii="Verdana" w:hAnsi="Verdana"/>
          <w:b/>
          <w:sz w:val="16"/>
          <w:szCs w:val="16"/>
          <w:lang w:val="es-PE"/>
        </w:rPr>
      </w:pPr>
      <w:r w:rsidRPr="00907C10">
        <w:rPr>
          <w:rStyle w:val="FootnoteReference"/>
          <w:rFonts w:ascii="Verdana" w:hAnsi="Verdana"/>
          <w:sz w:val="16"/>
          <w:szCs w:val="16"/>
        </w:rPr>
        <w:footnoteRef/>
      </w:r>
      <w:r w:rsidRPr="00907C10">
        <w:rPr>
          <w:rFonts w:ascii="Verdana" w:hAnsi="Verdana"/>
          <w:sz w:val="16"/>
          <w:szCs w:val="16"/>
          <w:lang w:val="es-PE"/>
        </w:rPr>
        <w:t xml:space="preserve"> </w:t>
      </w:r>
      <w:r w:rsidRPr="00907C10">
        <w:rPr>
          <w:rFonts w:ascii="Verdana" w:hAnsi="Verdana"/>
          <w:sz w:val="16"/>
          <w:szCs w:val="16"/>
          <w:lang w:val="es-PE"/>
        </w:rPr>
        <w:tab/>
      </w:r>
      <w:r w:rsidR="00014A5A">
        <w:rPr>
          <w:rFonts w:ascii="Verdana" w:hAnsi="Verdana"/>
          <w:sz w:val="16"/>
          <w:szCs w:val="16"/>
          <w:lang w:val="es-PE"/>
        </w:rPr>
        <w:t>Declarará</w:t>
      </w:r>
      <w:r w:rsidR="00014A5A" w:rsidRPr="00907C10">
        <w:rPr>
          <w:rFonts w:ascii="Verdana" w:hAnsi="Verdana"/>
          <w:sz w:val="16"/>
          <w:szCs w:val="16"/>
          <w:lang w:val="es-PE"/>
        </w:rPr>
        <w:t xml:space="preserve"> s</w:t>
      </w:r>
      <w:r w:rsidRPr="00907C10">
        <w:rPr>
          <w:rFonts w:ascii="Verdana" w:hAnsi="Verdana"/>
          <w:sz w:val="16"/>
          <w:szCs w:val="16"/>
          <w:lang w:val="es-PE"/>
        </w:rPr>
        <w:t>obre</w:t>
      </w:r>
      <w:r w:rsidR="009F1322">
        <w:rPr>
          <w:rFonts w:ascii="Verdana" w:hAnsi="Verdana"/>
          <w:sz w:val="16"/>
          <w:szCs w:val="16"/>
          <w:lang w:val="es-PE"/>
        </w:rPr>
        <w:t>:</w:t>
      </w:r>
      <w:r w:rsidRPr="00907C10">
        <w:rPr>
          <w:rFonts w:ascii="Verdana" w:hAnsi="Verdana"/>
          <w:sz w:val="16"/>
          <w:szCs w:val="16"/>
          <w:lang w:val="es-PE"/>
        </w:rPr>
        <w:t xml:space="preserve"> “las circunstancias de modo, tiempo y lugar relacionadas con los hechos que lo damnificaron y sobre el impacto que ello tuvo en su vida personal, familiar y de relación”. </w:t>
      </w:r>
    </w:p>
    <w:p w:rsidR="0032649A" w:rsidRPr="00907C10" w:rsidRDefault="0032649A" w:rsidP="00907C10">
      <w:pPr>
        <w:pStyle w:val="FootnoteText"/>
        <w:jc w:val="both"/>
        <w:rPr>
          <w:rFonts w:ascii="Verdana" w:hAnsi="Verdana"/>
          <w:sz w:val="16"/>
          <w:szCs w:val="16"/>
          <w:lang w:val="es-PE"/>
        </w:rPr>
      </w:pPr>
      <w:r w:rsidRPr="00907C10">
        <w:rPr>
          <w:rFonts w:ascii="Verdana" w:hAnsi="Verdana"/>
          <w:sz w:val="16"/>
          <w:szCs w:val="16"/>
          <w:lang w:val="es-PE"/>
        </w:rPr>
        <w:t xml:space="preserve"> </w:t>
      </w:r>
    </w:p>
  </w:footnote>
  <w:footnote w:id="5">
    <w:p w:rsidR="00D157F4" w:rsidRPr="00907C10" w:rsidRDefault="00D157F4" w:rsidP="00D157F4">
      <w:pPr>
        <w:pStyle w:val="FootnoteText"/>
        <w:jc w:val="both"/>
        <w:rPr>
          <w:rFonts w:ascii="Verdana" w:hAnsi="Verdana"/>
          <w:b/>
          <w:sz w:val="16"/>
          <w:szCs w:val="16"/>
          <w:lang w:val="es-PE"/>
        </w:rPr>
      </w:pPr>
      <w:r w:rsidRPr="00907C10">
        <w:rPr>
          <w:rStyle w:val="FootnoteReference"/>
          <w:rFonts w:ascii="Verdana" w:hAnsi="Verdana"/>
          <w:sz w:val="16"/>
          <w:szCs w:val="16"/>
        </w:rPr>
        <w:footnoteRef/>
      </w:r>
      <w:r w:rsidRPr="00907C10">
        <w:rPr>
          <w:rFonts w:ascii="Verdana" w:hAnsi="Verdana"/>
          <w:sz w:val="16"/>
          <w:szCs w:val="16"/>
          <w:lang w:val="es-PE"/>
        </w:rPr>
        <w:t xml:space="preserve"> </w:t>
      </w:r>
      <w:r w:rsidRPr="00907C10">
        <w:rPr>
          <w:rFonts w:ascii="Verdana" w:hAnsi="Verdana"/>
          <w:sz w:val="16"/>
          <w:szCs w:val="16"/>
          <w:lang w:val="es-PE"/>
        </w:rPr>
        <w:tab/>
      </w:r>
      <w:r w:rsidR="00014A5A">
        <w:rPr>
          <w:rFonts w:ascii="Verdana" w:hAnsi="Verdana"/>
          <w:sz w:val="16"/>
          <w:szCs w:val="16"/>
          <w:lang w:val="es-PE"/>
        </w:rPr>
        <w:t>Declarará</w:t>
      </w:r>
      <w:r w:rsidR="00014A5A" w:rsidRPr="00907C10">
        <w:rPr>
          <w:rFonts w:ascii="Verdana" w:hAnsi="Verdana"/>
          <w:sz w:val="16"/>
          <w:szCs w:val="16"/>
          <w:lang w:val="es-PE"/>
        </w:rPr>
        <w:t xml:space="preserve"> </w:t>
      </w:r>
      <w:r w:rsidRPr="00907C10">
        <w:rPr>
          <w:rFonts w:ascii="Verdana" w:hAnsi="Verdana"/>
          <w:sz w:val="16"/>
          <w:szCs w:val="16"/>
          <w:lang w:val="es-PE"/>
        </w:rPr>
        <w:t>sobre</w:t>
      </w:r>
      <w:r w:rsidR="009F1322">
        <w:rPr>
          <w:rFonts w:ascii="Verdana" w:hAnsi="Verdana"/>
          <w:sz w:val="16"/>
          <w:szCs w:val="16"/>
          <w:lang w:val="es-PE"/>
        </w:rPr>
        <w:t>:</w:t>
      </w:r>
      <w:r w:rsidRPr="00907C10">
        <w:rPr>
          <w:rFonts w:ascii="Verdana" w:hAnsi="Verdana"/>
          <w:sz w:val="16"/>
          <w:szCs w:val="16"/>
          <w:lang w:val="es-PE"/>
        </w:rPr>
        <w:t xml:space="preserve"> “las circunstancias de los efectos personales, familiares, sociales, psicológicos y económicos, que generaron a ella y sus familias el sometimiento, juzgamiento y sanción de su padre”. </w:t>
      </w:r>
    </w:p>
    <w:p w:rsidR="00D157F4" w:rsidRPr="00907C10" w:rsidRDefault="00D157F4" w:rsidP="00D157F4">
      <w:pPr>
        <w:pStyle w:val="FootnoteText"/>
        <w:jc w:val="both"/>
        <w:rPr>
          <w:rFonts w:ascii="Verdana" w:hAnsi="Verdana"/>
          <w:sz w:val="16"/>
          <w:szCs w:val="16"/>
          <w:lang w:val="es-PE"/>
        </w:rPr>
      </w:pPr>
    </w:p>
  </w:footnote>
  <w:footnote w:id="6">
    <w:p w:rsidR="00D157F4" w:rsidRPr="00907C10" w:rsidRDefault="00D157F4" w:rsidP="00D157F4">
      <w:pPr>
        <w:pStyle w:val="FootnoteText"/>
        <w:jc w:val="both"/>
        <w:rPr>
          <w:rFonts w:ascii="Verdana" w:hAnsi="Verdana"/>
          <w:b/>
          <w:sz w:val="16"/>
          <w:szCs w:val="16"/>
          <w:lang w:val="es-PE"/>
        </w:rPr>
      </w:pPr>
      <w:r w:rsidRPr="00907C10">
        <w:rPr>
          <w:rStyle w:val="FootnoteReference"/>
          <w:rFonts w:ascii="Verdana" w:hAnsi="Verdana"/>
          <w:sz w:val="16"/>
          <w:szCs w:val="16"/>
        </w:rPr>
        <w:footnoteRef/>
      </w:r>
      <w:r w:rsidRPr="00907C10">
        <w:rPr>
          <w:rFonts w:ascii="Verdana" w:hAnsi="Verdana"/>
          <w:sz w:val="16"/>
          <w:szCs w:val="16"/>
          <w:lang w:val="es-PE"/>
        </w:rPr>
        <w:t xml:space="preserve"> </w:t>
      </w:r>
      <w:r w:rsidRPr="00907C10">
        <w:rPr>
          <w:rFonts w:ascii="Verdana" w:hAnsi="Verdana"/>
          <w:sz w:val="16"/>
          <w:szCs w:val="16"/>
          <w:lang w:val="es-PE"/>
        </w:rPr>
        <w:tab/>
      </w:r>
      <w:r w:rsidR="00014A5A">
        <w:rPr>
          <w:rFonts w:ascii="Verdana" w:hAnsi="Verdana"/>
          <w:sz w:val="16"/>
          <w:szCs w:val="16"/>
          <w:lang w:val="es-PE"/>
        </w:rPr>
        <w:t>Declarará</w:t>
      </w:r>
      <w:r w:rsidR="00014A5A" w:rsidRPr="00907C10">
        <w:rPr>
          <w:rFonts w:ascii="Verdana" w:hAnsi="Verdana"/>
          <w:sz w:val="16"/>
          <w:szCs w:val="16"/>
          <w:lang w:val="es-PE"/>
        </w:rPr>
        <w:t xml:space="preserve"> </w:t>
      </w:r>
      <w:r w:rsidRPr="00907C10">
        <w:rPr>
          <w:rFonts w:ascii="Verdana" w:hAnsi="Verdana"/>
          <w:sz w:val="16"/>
          <w:szCs w:val="16"/>
          <w:lang w:val="es-PE"/>
        </w:rPr>
        <w:t>sobre</w:t>
      </w:r>
      <w:r w:rsidR="009F1322">
        <w:rPr>
          <w:rFonts w:ascii="Verdana" w:hAnsi="Verdana"/>
          <w:sz w:val="16"/>
          <w:szCs w:val="16"/>
          <w:lang w:val="es-PE"/>
        </w:rPr>
        <w:t>:</w:t>
      </w:r>
      <w:r w:rsidRPr="00907C10">
        <w:rPr>
          <w:rFonts w:ascii="Verdana" w:hAnsi="Verdana"/>
          <w:sz w:val="16"/>
          <w:szCs w:val="16"/>
          <w:lang w:val="es-PE"/>
        </w:rPr>
        <w:t xml:space="preserve"> “las circunstancias de los efectos personales, familiares, sociales, psicológicos y económicos, que generaron a ella y sus familias el sometimiento, juzgamiento y sanción de su padre”. </w:t>
      </w:r>
      <w:r w:rsidRPr="00907C10">
        <w:rPr>
          <w:rFonts w:ascii="Verdana" w:hAnsi="Verdana"/>
          <w:b/>
          <w:sz w:val="16"/>
          <w:szCs w:val="16"/>
          <w:lang w:val="es-PE"/>
        </w:rPr>
        <w:t xml:space="preserve"> </w:t>
      </w:r>
    </w:p>
    <w:p w:rsidR="00D157F4" w:rsidRPr="00907C10" w:rsidRDefault="00D157F4" w:rsidP="00D157F4">
      <w:pPr>
        <w:pStyle w:val="FootnoteText"/>
        <w:jc w:val="both"/>
        <w:rPr>
          <w:rFonts w:ascii="Verdana" w:hAnsi="Verdana"/>
          <w:sz w:val="16"/>
          <w:szCs w:val="16"/>
          <w:lang w:val="es-PE"/>
        </w:rPr>
      </w:pPr>
    </w:p>
  </w:footnote>
  <w:footnote w:id="7">
    <w:p w:rsidR="0032649A" w:rsidRPr="00907C10" w:rsidRDefault="0032649A" w:rsidP="00907C10">
      <w:pPr>
        <w:pStyle w:val="FootnoteText"/>
        <w:jc w:val="both"/>
        <w:rPr>
          <w:rFonts w:ascii="Verdana" w:hAnsi="Verdana"/>
          <w:b/>
          <w:sz w:val="16"/>
          <w:szCs w:val="16"/>
          <w:lang w:val="es-PE"/>
        </w:rPr>
      </w:pPr>
      <w:r w:rsidRPr="00907C10">
        <w:rPr>
          <w:rStyle w:val="FootnoteReference"/>
          <w:rFonts w:ascii="Verdana" w:hAnsi="Verdana"/>
          <w:sz w:val="16"/>
          <w:szCs w:val="16"/>
        </w:rPr>
        <w:footnoteRef/>
      </w:r>
      <w:r w:rsidRPr="00907C10">
        <w:rPr>
          <w:rFonts w:ascii="Verdana" w:hAnsi="Verdana"/>
          <w:sz w:val="16"/>
          <w:szCs w:val="16"/>
          <w:lang w:val="es-PE"/>
        </w:rPr>
        <w:t xml:space="preserve"> </w:t>
      </w:r>
      <w:r w:rsidRPr="00907C10">
        <w:rPr>
          <w:rFonts w:ascii="Verdana" w:hAnsi="Verdana"/>
          <w:sz w:val="16"/>
          <w:szCs w:val="16"/>
          <w:lang w:val="es-PE"/>
        </w:rPr>
        <w:tab/>
      </w:r>
      <w:r w:rsidR="00014A5A">
        <w:rPr>
          <w:rFonts w:ascii="Verdana" w:hAnsi="Verdana"/>
          <w:sz w:val="16"/>
          <w:szCs w:val="16"/>
          <w:lang w:val="es-PE"/>
        </w:rPr>
        <w:t>Declarará</w:t>
      </w:r>
      <w:r w:rsidR="00014A5A" w:rsidRPr="00907C10">
        <w:rPr>
          <w:rFonts w:ascii="Verdana" w:hAnsi="Verdana"/>
          <w:sz w:val="16"/>
          <w:szCs w:val="16"/>
          <w:lang w:val="es-PE"/>
        </w:rPr>
        <w:t xml:space="preserve"> </w:t>
      </w:r>
      <w:r w:rsidRPr="00907C10">
        <w:rPr>
          <w:rFonts w:ascii="Verdana" w:hAnsi="Verdana"/>
          <w:sz w:val="16"/>
          <w:szCs w:val="16"/>
          <w:lang w:val="es-PE"/>
        </w:rPr>
        <w:t>sobre</w:t>
      </w:r>
      <w:r w:rsidR="009F1322">
        <w:rPr>
          <w:rFonts w:ascii="Verdana" w:hAnsi="Verdana"/>
          <w:sz w:val="16"/>
          <w:szCs w:val="16"/>
          <w:lang w:val="es-PE"/>
        </w:rPr>
        <w:t>:</w:t>
      </w:r>
      <w:r w:rsidRPr="00907C10">
        <w:rPr>
          <w:rFonts w:ascii="Verdana" w:hAnsi="Verdana"/>
          <w:sz w:val="16"/>
          <w:szCs w:val="16"/>
          <w:lang w:val="es-PE"/>
        </w:rPr>
        <w:t xml:space="preserve"> </w:t>
      </w:r>
      <w:r w:rsidR="002C2401">
        <w:rPr>
          <w:rFonts w:ascii="Verdana" w:hAnsi="Verdana"/>
          <w:sz w:val="16"/>
          <w:szCs w:val="16"/>
          <w:lang w:val="es-PE"/>
        </w:rPr>
        <w:t>“</w:t>
      </w:r>
      <w:r w:rsidRPr="00907C10">
        <w:rPr>
          <w:rFonts w:ascii="Verdana" w:hAnsi="Verdana"/>
          <w:sz w:val="16"/>
          <w:szCs w:val="16"/>
          <w:lang w:val="es-PE"/>
        </w:rPr>
        <w:t xml:space="preserve">las circunstancias de modo, tiempo y lugar relacionadas con los hechos que damnificaron al señor Miguel Ángel Rodríguez </w:t>
      </w:r>
      <w:proofErr w:type="spellStart"/>
      <w:r w:rsidRPr="00907C10">
        <w:rPr>
          <w:rFonts w:ascii="Verdana" w:hAnsi="Verdana"/>
          <w:sz w:val="16"/>
          <w:szCs w:val="16"/>
          <w:lang w:val="es-PE"/>
        </w:rPr>
        <w:t>Revolorio</w:t>
      </w:r>
      <w:proofErr w:type="spellEnd"/>
      <w:r w:rsidRPr="00907C10">
        <w:rPr>
          <w:rFonts w:ascii="Verdana" w:hAnsi="Verdana"/>
          <w:sz w:val="16"/>
          <w:szCs w:val="16"/>
          <w:lang w:val="es-PE"/>
        </w:rPr>
        <w:t>, y que fueron de su conocimiento, relativas a la atención que le brindara a la familia de la víctima y destacando las condiciones de prisión, así com</w:t>
      </w:r>
      <w:r w:rsidR="002C2401">
        <w:rPr>
          <w:rFonts w:ascii="Verdana" w:hAnsi="Verdana"/>
          <w:sz w:val="16"/>
          <w:szCs w:val="16"/>
          <w:lang w:val="es-PE"/>
        </w:rPr>
        <w:t>o el seguimiento realizado [</w:t>
      </w:r>
      <w:r w:rsidRPr="00907C10">
        <w:rPr>
          <w:rFonts w:ascii="Verdana" w:hAnsi="Verdana"/>
          <w:sz w:val="16"/>
          <w:szCs w:val="16"/>
          <w:lang w:val="es-PE"/>
        </w:rPr>
        <w:t xml:space="preserve">al Sr. Rodríguez </w:t>
      </w:r>
      <w:proofErr w:type="spellStart"/>
      <w:r w:rsidRPr="00907C10">
        <w:rPr>
          <w:rFonts w:ascii="Verdana" w:hAnsi="Verdana"/>
          <w:sz w:val="16"/>
          <w:szCs w:val="16"/>
          <w:lang w:val="es-PE"/>
        </w:rPr>
        <w:t>Revolorio</w:t>
      </w:r>
      <w:proofErr w:type="spellEnd"/>
      <w:r w:rsidR="002C2401">
        <w:rPr>
          <w:rFonts w:ascii="Verdana" w:hAnsi="Verdana"/>
          <w:sz w:val="16"/>
          <w:szCs w:val="16"/>
          <w:lang w:val="es-PE"/>
        </w:rPr>
        <w:t>]</w:t>
      </w:r>
      <w:r w:rsidRPr="00907C10">
        <w:rPr>
          <w:rFonts w:ascii="Verdana" w:hAnsi="Verdana"/>
          <w:sz w:val="16"/>
          <w:szCs w:val="16"/>
          <w:lang w:val="es-PE"/>
        </w:rPr>
        <w:t xml:space="preserve"> en las visitas que le realizaba, y sobre todo, acerca de los efectos personales, familiares, sociales, psicológicos y económicos, que generó a él y su familia el sometimiento, juzgamiento y sanción del Sr. Rodríguez”. </w:t>
      </w:r>
    </w:p>
    <w:p w:rsidR="0032649A" w:rsidRPr="00907C10" w:rsidRDefault="0032649A" w:rsidP="00907C10">
      <w:pPr>
        <w:pStyle w:val="FootnoteText"/>
        <w:jc w:val="both"/>
        <w:rPr>
          <w:rFonts w:ascii="Verdana" w:hAnsi="Verdana"/>
          <w:sz w:val="16"/>
          <w:szCs w:val="16"/>
          <w:lang w:val="es-PE"/>
        </w:rPr>
      </w:pPr>
    </w:p>
  </w:footnote>
  <w:footnote w:id="8">
    <w:p w:rsidR="0032649A" w:rsidRPr="00907C10" w:rsidRDefault="0032649A" w:rsidP="00907C10">
      <w:pPr>
        <w:pStyle w:val="FootnoteText"/>
        <w:jc w:val="both"/>
        <w:rPr>
          <w:rFonts w:ascii="Verdana" w:hAnsi="Verdana"/>
          <w:b/>
          <w:sz w:val="16"/>
          <w:szCs w:val="16"/>
          <w:lang w:val="es-PE"/>
        </w:rPr>
      </w:pPr>
      <w:r w:rsidRPr="00907C10">
        <w:rPr>
          <w:rStyle w:val="FootnoteReference"/>
          <w:rFonts w:ascii="Verdana" w:hAnsi="Verdana"/>
          <w:sz w:val="16"/>
          <w:szCs w:val="16"/>
        </w:rPr>
        <w:footnoteRef/>
      </w:r>
      <w:r w:rsidRPr="00907C10">
        <w:rPr>
          <w:rFonts w:ascii="Verdana" w:hAnsi="Verdana"/>
          <w:sz w:val="16"/>
          <w:szCs w:val="16"/>
          <w:lang w:val="es-PE"/>
        </w:rPr>
        <w:t xml:space="preserve"> </w:t>
      </w:r>
      <w:r w:rsidRPr="00907C10">
        <w:rPr>
          <w:rFonts w:ascii="Verdana" w:hAnsi="Verdana"/>
          <w:sz w:val="16"/>
          <w:szCs w:val="16"/>
          <w:lang w:val="es-PE"/>
        </w:rPr>
        <w:tab/>
      </w:r>
      <w:r w:rsidR="00014A5A">
        <w:rPr>
          <w:rFonts w:ascii="Verdana" w:hAnsi="Verdana"/>
          <w:sz w:val="16"/>
          <w:szCs w:val="16"/>
          <w:lang w:val="es-PE"/>
        </w:rPr>
        <w:t>Declararán</w:t>
      </w:r>
      <w:r w:rsidRPr="00907C10">
        <w:rPr>
          <w:rFonts w:ascii="Verdana" w:hAnsi="Verdana"/>
          <w:sz w:val="16"/>
          <w:szCs w:val="16"/>
          <w:lang w:val="es-PE"/>
        </w:rPr>
        <w:t xml:space="preserve"> sobre</w:t>
      </w:r>
      <w:r w:rsidR="009F1322">
        <w:rPr>
          <w:rFonts w:ascii="Verdana" w:hAnsi="Verdana"/>
          <w:sz w:val="16"/>
          <w:szCs w:val="16"/>
          <w:lang w:val="es-PE"/>
        </w:rPr>
        <w:t>:</w:t>
      </w:r>
      <w:r w:rsidRPr="00907C10">
        <w:rPr>
          <w:rFonts w:ascii="Verdana" w:hAnsi="Verdana"/>
          <w:sz w:val="16"/>
          <w:szCs w:val="16"/>
          <w:lang w:val="es-PE"/>
        </w:rPr>
        <w:t xml:space="preserve"> “las circunstancias procesales en fase de investigación y juicio, y acerca de imparcialidad de Tribunal Cuarto de Sentencia”. </w:t>
      </w:r>
    </w:p>
    <w:p w:rsidR="0032649A" w:rsidRPr="00907C10" w:rsidRDefault="0032649A" w:rsidP="00907C10">
      <w:pPr>
        <w:pStyle w:val="FootnoteText"/>
        <w:jc w:val="both"/>
        <w:rPr>
          <w:rFonts w:ascii="Verdana" w:hAnsi="Verdana"/>
          <w:sz w:val="16"/>
          <w:szCs w:val="16"/>
          <w:lang w:val="es-PE"/>
        </w:rPr>
      </w:pPr>
    </w:p>
  </w:footnote>
  <w:footnote w:id="9">
    <w:p w:rsidR="0032649A" w:rsidRPr="00907C10" w:rsidRDefault="0032649A" w:rsidP="00907C10">
      <w:pPr>
        <w:pStyle w:val="FootnoteText"/>
        <w:jc w:val="both"/>
        <w:rPr>
          <w:rFonts w:ascii="Verdana" w:hAnsi="Verdana"/>
          <w:b/>
          <w:sz w:val="16"/>
          <w:szCs w:val="16"/>
          <w:lang w:val="es-PE"/>
        </w:rPr>
      </w:pPr>
      <w:r w:rsidRPr="00907C10">
        <w:rPr>
          <w:rStyle w:val="FootnoteReference"/>
          <w:rFonts w:ascii="Verdana" w:hAnsi="Verdana"/>
          <w:sz w:val="16"/>
          <w:szCs w:val="16"/>
        </w:rPr>
        <w:footnoteRef/>
      </w:r>
      <w:r w:rsidRPr="00907C10">
        <w:rPr>
          <w:rFonts w:ascii="Verdana" w:hAnsi="Verdana"/>
          <w:sz w:val="16"/>
          <w:szCs w:val="16"/>
          <w:lang w:val="es-PE"/>
        </w:rPr>
        <w:t xml:space="preserve"> </w:t>
      </w:r>
      <w:r w:rsidRPr="00907C10">
        <w:rPr>
          <w:rFonts w:ascii="Verdana" w:hAnsi="Verdana"/>
          <w:sz w:val="16"/>
          <w:szCs w:val="16"/>
          <w:lang w:val="es-PE"/>
        </w:rPr>
        <w:tab/>
      </w:r>
      <w:r w:rsidR="00014A5A">
        <w:rPr>
          <w:rFonts w:ascii="Verdana" w:hAnsi="Verdana"/>
          <w:sz w:val="16"/>
          <w:szCs w:val="16"/>
          <w:lang w:val="es-PE"/>
        </w:rPr>
        <w:t>Declarará</w:t>
      </w:r>
      <w:r w:rsidR="00014A5A" w:rsidRPr="00907C10">
        <w:rPr>
          <w:rFonts w:ascii="Verdana" w:hAnsi="Verdana"/>
          <w:sz w:val="16"/>
          <w:szCs w:val="16"/>
          <w:lang w:val="es-PE"/>
        </w:rPr>
        <w:t xml:space="preserve"> </w:t>
      </w:r>
      <w:r w:rsidRPr="00907C10">
        <w:rPr>
          <w:rFonts w:ascii="Verdana" w:hAnsi="Verdana"/>
          <w:sz w:val="16"/>
          <w:szCs w:val="16"/>
          <w:lang w:val="es-PE"/>
        </w:rPr>
        <w:t>sobre</w:t>
      </w:r>
      <w:r w:rsidR="009F1322">
        <w:rPr>
          <w:rFonts w:ascii="Verdana" w:hAnsi="Verdana"/>
          <w:sz w:val="16"/>
          <w:szCs w:val="16"/>
          <w:lang w:val="es-PE"/>
        </w:rPr>
        <w:t>:</w:t>
      </w:r>
      <w:r w:rsidRPr="00907C10">
        <w:rPr>
          <w:rFonts w:ascii="Verdana" w:hAnsi="Verdana"/>
          <w:sz w:val="16"/>
          <w:szCs w:val="16"/>
          <w:lang w:val="es-PE"/>
        </w:rPr>
        <w:t xml:space="preserve"> “las circunstancias procesales en fase de investigación y juicio, y acerca de imparcialidad de Tribunal Cuarto de Sentencia”. </w:t>
      </w:r>
    </w:p>
    <w:p w:rsidR="0032649A" w:rsidRPr="00907C10" w:rsidRDefault="0032649A" w:rsidP="00907C10">
      <w:pPr>
        <w:pStyle w:val="FootnoteText"/>
        <w:jc w:val="both"/>
        <w:rPr>
          <w:rFonts w:ascii="Verdana" w:hAnsi="Verdana"/>
          <w:sz w:val="16"/>
          <w:szCs w:val="16"/>
          <w:lang w:val="es-PE"/>
        </w:rPr>
      </w:pPr>
    </w:p>
  </w:footnote>
  <w:footnote w:id="10">
    <w:p w:rsidR="0032649A" w:rsidRPr="00907C10" w:rsidRDefault="0032649A" w:rsidP="00907C10">
      <w:pPr>
        <w:spacing w:line="240" w:lineRule="auto"/>
        <w:jc w:val="both"/>
        <w:rPr>
          <w:rFonts w:ascii="Verdana" w:hAnsi="Verdana"/>
          <w:sz w:val="16"/>
          <w:szCs w:val="16"/>
          <w:lang w:val="es-PE"/>
        </w:rPr>
      </w:pPr>
      <w:r w:rsidRPr="00907C10">
        <w:rPr>
          <w:rStyle w:val="FootnoteReference"/>
          <w:rFonts w:ascii="Verdana" w:hAnsi="Verdana"/>
          <w:sz w:val="16"/>
          <w:szCs w:val="16"/>
        </w:rPr>
        <w:footnoteRef/>
      </w:r>
      <w:r w:rsidR="009F1322">
        <w:rPr>
          <w:rFonts w:ascii="Verdana" w:hAnsi="Verdana"/>
          <w:sz w:val="16"/>
          <w:szCs w:val="16"/>
          <w:lang w:val="es-CR"/>
        </w:rPr>
        <w:t xml:space="preserve"> </w:t>
      </w:r>
      <w:r w:rsidR="009F1322">
        <w:rPr>
          <w:rFonts w:ascii="Verdana" w:hAnsi="Verdana"/>
          <w:sz w:val="16"/>
          <w:szCs w:val="16"/>
          <w:lang w:val="es-CR"/>
        </w:rPr>
        <w:tab/>
      </w:r>
      <w:r w:rsidR="002C2401" w:rsidRPr="002C2401">
        <w:rPr>
          <w:rFonts w:ascii="Verdana" w:hAnsi="Verdana"/>
          <w:i/>
          <w:sz w:val="16"/>
          <w:szCs w:val="16"/>
          <w:lang w:val="es-CR"/>
        </w:rPr>
        <w:t>Cfr.</w:t>
      </w:r>
      <w:r w:rsidR="002C2401">
        <w:rPr>
          <w:rFonts w:ascii="Verdana" w:hAnsi="Verdana"/>
          <w:sz w:val="16"/>
          <w:szCs w:val="16"/>
          <w:lang w:val="es-CR"/>
        </w:rPr>
        <w:t xml:space="preserve"> </w:t>
      </w:r>
      <w:r w:rsidRPr="00DA409A">
        <w:rPr>
          <w:rFonts w:ascii="Verdana" w:hAnsi="Verdana"/>
          <w:i/>
          <w:sz w:val="16"/>
          <w:szCs w:val="16"/>
          <w:lang w:val="es-PE"/>
        </w:rPr>
        <w:t>Caso</w:t>
      </w:r>
      <w:r w:rsidRPr="00907C10">
        <w:rPr>
          <w:rFonts w:ascii="Verdana" w:hAnsi="Verdana"/>
          <w:sz w:val="16"/>
          <w:szCs w:val="16"/>
          <w:lang w:val="es-PE"/>
        </w:rPr>
        <w:t xml:space="preserve"> </w:t>
      </w:r>
      <w:r w:rsidRPr="00907C10">
        <w:rPr>
          <w:rFonts w:ascii="Verdana" w:hAnsi="Verdana"/>
          <w:i/>
          <w:sz w:val="16"/>
          <w:szCs w:val="16"/>
          <w:lang w:val="es-PE"/>
        </w:rPr>
        <w:t>Jenkins Vs. Argentina</w:t>
      </w:r>
      <w:r w:rsidRPr="00907C10">
        <w:rPr>
          <w:rFonts w:ascii="Verdana" w:hAnsi="Verdana"/>
          <w:sz w:val="16"/>
          <w:szCs w:val="16"/>
          <w:lang w:val="es-PE"/>
        </w:rPr>
        <w:t xml:space="preserve">. </w:t>
      </w:r>
      <w:r w:rsidR="00DA409A" w:rsidRPr="00907C10">
        <w:rPr>
          <w:rFonts w:ascii="Verdana" w:hAnsi="Verdana"/>
          <w:sz w:val="16"/>
          <w:szCs w:val="16"/>
          <w:lang w:val="es-PE"/>
        </w:rPr>
        <w:t>Convocatori</w:t>
      </w:r>
      <w:r w:rsidR="00DA409A">
        <w:rPr>
          <w:rFonts w:ascii="Verdana" w:hAnsi="Verdana"/>
          <w:sz w:val="16"/>
          <w:szCs w:val="16"/>
          <w:lang w:val="es-PE"/>
        </w:rPr>
        <w:t>a a audiencia</w:t>
      </w:r>
      <w:r w:rsidR="00DA409A" w:rsidRPr="00907C10">
        <w:rPr>
          <w:rFonts w:ascii="Verdana" w:hAnsi="Verdana"/>
          <w:sz w:val="16"/>
          <w:szCs w:val="16"/>
          <w:lang w:val="es-PE"/>
        </w:rPr>
        <w:t xml:space="preserve">. </w:t>
      </w:r>
      <w:r w:rsidRPr="00907C10">
        <w:rPr>
          <w:rFonts w:ascii="Verdana" w:hAnsi="Verdana"/>
          <w:sz w:val="16"/>
          <w:szCs w:val="16"/>
          <w:lang w:val="es-PE"/>
        </w:rPr>
        <w:t>Resolución del Presidente de la Corte de 19 de diciembre de 2018</w:t>
      </w:r>
      <w:r w:rsidR="009F6594">
        <w:rPr>
          <w:rFonts w:ascii="Verdana" w:hAnsi="Verdana"/>
          <w:sz w:val="16"/>
          <w:szCs w:val="16"/>
          <w:lang w:val="es-PE"/>
        </w:rPr>
        <w:t>, C</w:t>
      </w:r>
      <w:r w:rsidR="009F1322">
        <w:rPr>
          <w:rFonts w:ascii="Verdana" w:hAnsi="Verdana"/>
          <w:sz w:val="16"/>
          <w:szCs w:val="16"/>
          <w:lang w:val="es-PE"/>
        </w:rPr>
        <w:t xml:space="preserve">onsiderando 17, y </w:t>
      </w:r>
      <w:r w:rsidRPr="00DA409A">
        <w:rPr>
          <w:rFonts w:ascii="Verdana" w:hAnsi="Verdana"/>
          <w:i/>
          <w:sz w:val="16"/>
          <w:szCs w:val="16"/>
          <w:lang w:val="es-PE"/>
        </w:rPr>
        <w:t>Caso de la</w:t>
      </w:r>
      <w:r w:rsidRPr="00907C10">
        <w:rPr>
          <w:rFonts w:ascii="Verdana" w:hAnsi="Verdana"/>
          <w:sz w:val="16"/>
          <w:szCs w:val="16"/>
          <w:lang w:val="es-PE"/>
        </w:rPr>
        <w:t xml:space="preserve"> </w:t>
      </w:r>
      <w:r w:rsidRPr="00907C10">
        <w:rPr>
          <w:rFonts w:ascii="Verdana" w:hAnsi="Verdana"/>
          <w:i/>
          <w:sz w:val="16"/>
          <w:szCs w:val="16"/>
          <w:lang w:val="es-PE"/>
        </w:rPr>
        <w:t>Masacre de Pueblo Bello Vs. Colombia</w:t>
      </w:r>
      <w:r w:rsidRPr="00907C10">
        <w:rPr>
          <w:rFonts w:ascii="Verdana" w:hAnsi="Verdana"/>
          <w:sz w:val="16"/>
          <w:szCs w:val="16"/>
          <w:lang w:val="es-PE"/>
        </w:rPr>
        <w:t xml:space="preserve">. </w:t>
      </w:r>
      <w:r w:rsidR="00DA409A" w:rsidRPr="00907C10">
        <w:rPr>
          <w:rFonts w:ascii="Verdana" w:hAnsi="Verdana"/>
          <w:sz w:val="16"/>
          <w:szCs w:val="16"/>
          <w:lang w:val="es-PE"/>
        </w:rPr>
        <w:t>Convoca</w:t>
      </w:r>
      <w:r w:rsidR="00DA409A">
        <w:rPr>
          <w:rFonts w:ascii="Verdana" w:hAnsi="Verdana"/>
          <w:sz w:val="16"/>
          <w:szCs w:val="16"/>
          <w:lang w:val="es-PE"/>
        </w:rPr>
        <w:t>toria a audiencia</w:t>
      </w:r>
      <w:r w:rsidR="00DA409A" w:rsidRPr="00907C10">
        <w:rPr>
          <w:rFonts w:ascii="Verdana" w:hAnsi="Verdana"/>
          <w:sz w:val="16"/>
          <w:szCs w:val="16"/>
          <w:lang w:val="es-PE"/>
        </w:rPr>
        <w:t xml:space="preserve">. </w:t>
      </w:r>
      <w:r w:rsidRPr="00907C10">
        <w:rPr>
          <w:rFonts w:ascii="Verdana" w:hAnsi="Verdana"/>
          <w:sz w:val="16"/>
          <w:szCs w:val="16"/>
          <w:lang w:val="es-PE"/>
        </w:rPr>
        <w:t>Resolución del Presidente de l</w:t>
      </w:r>
      <w:r w:rsidR="00DA409A">
        <w:rPr>
          <w:rFonts w:ascii="Verdana" w:hAnsi="Verdana"/>
          <w:sz w:val="16"/>
          <w:szCs w:val="16"/>
          <w:lang w:val="es-PE"/>
        </w:rPr>
        <w:t>a Corte de 29 de julio de 2005</w:t>
      </w:r>
      <w:r w:rsidR="009F6594">
        <w:rPr>
          <w:rFonts w:ascii="Verdana" w:hAnsi="Verdana"/>
          <w:sz w:val="16"/>
          <w:szCs w:val="16"/>
          <w:lang w:val="es-PE"/>
        </w:rPr>
        <w:t>, C</w:t>
      </w:r>
      <w:r w:rsidRPr="00907C10">
        <w:rPr>
          <w:rFonts w:ascii="Verdana" w:hAnsi="Verdana"/>
          <w:sz w:val="16"/>
          <w:szCs w:val="16"/>
          <w:lang w:val="es-PE"/>
        </w:rPr>
        <w:t>onsiderando 7.</w:t>
      </w:r>
    </w:p>
  </w:footnote>
  <w:footnote w:id="11">
    <w:p w:rsidR="0032649A" w:rsidRPr="00907C10" w:rsidRDefault="0032649A" w:rsidP="00907C10">
      <w:pPr>
        <w:spacing w:line="240" w:lineRule="auto"/>
        <w:jc w:val="both"/>
        <w:rPr>
          <w:rFonts w:ascii="Verdana" w:hAnsi="Verdana"/>
          <w:sz w:val="16"/>
          <w:szCs w:val="16"/>
          <w:lang w:val="es-PE"/>
        </w:rPr>
      </w:pPr>
      <w:r w:rsidRPr="00907C10">
        <w:rPr>
          <w:rStyle w:val="FootnoteReference"/>
          <w:rFonts w:ascii="Verdana" w:hAnsi="Verdana"/>
          <w:sz w:val="16"/>
          <w:szCs w:val="16"/>
        </w:rPr>
        <w:footnoteRef/>
      </w:r>
      <w:r w:rsidRPr="00907C10">
        <w:rPr>
          <w:rFonts w:ascii="Verdana" w:hAnsi="Verdana"/>
          <w:sz w:val="16"/>
          <w:szCs w:val="16"/>
          <w:lang w:val="es-PE"/>
        </w:rPr>
        <w:t xml:space="preserve"> </w:t>
      </w:r>
      <w:r w:rsidR="009F1322">
        <w:rPr>
          <w:rFonts w:ascii="Verdana" w:hAnsi="Verdana"/>
          <w:sz w:val="16"/>
          <w:szCs w:val="16"/>
          <w:lang w:val="es-PE"/>
        </w:rPr>
        <w:tab/>
      </w:r>
      <w:r w:rsidRPr="00907C10">
        <w:rPr>
          <w:rFonts w:ascii="Verdana" w:hAnsi="Verdana"/>
          <w:i/>
          <w:sz w:val="16"/>
          <w:szCs w:val="16"/>
          <w:lang w:val="es-PE"/>
        </w:rPr>
        <w:t>Cfr</w:t>
      </w:r>
      <w:r w:rsidRPr="00907C10">
        <w:rPr>
          <w:rFonts w:ascii="Verdana" w:hAnsi="Verdana"/>
          <w:sz w:val="16"/>
          <w:szCs w:val="16"/>
          <w:lang w:val="es-PE"/>
        </w:rPr>
        <w:t xml:space="preserve">. </w:t>
      </w:r>
      <w:r w:rsidRPr="002C1CDD">
        <w:rPr>
          <w:rFonts w:ascii="Verdana" w:hAnsi="Verdana"/>
          <w:i/>
          <w:sz w:val="16"/>
          <w:szCs w:val="16"/>
          <w:lang w:val="es-PE"/>
        </w:rPr>
        <w:t>Caso V.R.</w:t>
      </w:r>
      <w:r w:rsidRPr="00907C10">
        <w:rPr>
          <w:rFonts w:ascii="Verdana" w:hAnsi="Verdana"/>
          <w:i/>
          <w:sz w:val="16"/>
          <w:szCs w:val="16"/>
          <w:lang w:val="es-PE"/>
        </w:rPr>
        <w:t>P. y V.P.C. Vs. Nicaragua</w:t>
      </w:r>
      <w:r w:rsidRPr="00907C10">
        <w:rPr>
          <w:rFonts w:ascii="Verdana" w:hAnsi="Verdana"/>
          <w:sz w:val="16"/>
          <w:szCs w:val="16"/>
          <w:lang w:val="es-PE"/>
        </w:rPr>
        <w:t xml:space="preserve">. </w:t>
      </w:r>
      <w:r w:rsidR="00DA409A" w:rsidRPr="00907C10">
        <w:rPr>
          <w:rFonts w:ascii="Verdana" w:hAnsi="Verdana"/>
          <w:sz w:val="16"/>
          <w:szCs w:val="16"/>
          <w:lang w:val="es-PE"/>
        </w:rPr>
        <w:t>Convoca</w:t>
      </w:r>
      <w:r w:rsidR="00DA409A">
        <w:rPr>
          <w:rFonts w:ascii="Verdana" w:hAnsi="Verdana"/>
          <w:sz w:val="16"/>
          <w:szCs w:val="16"/>
          <w:lang w:val="es-PE"/>
        </w:rPr>
        <w:t>toria a audiencia</w:t>
      </w:r>
      <w:r w:rsidR="00DA409A" w:rsidRPr="00907C10">
        <w:rPr>
          <w:rFonts w:ascii="Verdana" w:hAnsi="Verdana"/>
          <w:sz w:val="16"/>
          <w:szCs w:val="16"/>
          <w:lang w:val="es-PE"/>
        </w:rPr>
        <w:t xml:space="preserve">. </w:t>
      </w:r>
      <w:r w:rsidRPr="00907C10">
        <w:rPr>
          <w:rFonts w:ascii="Verdana" w:hAnsi="Verdana"/>
          <w:sz w:val="16"/>
          <w:szCs w:val="16"/>
          <w:lang w:val="es-PE"/>
        </w:rPr>
        <w:t>Resolución del Presidente de la Co</w:t>
      </w:r>
      <w:r w:rsidR="00DA409A">
        <w:rPr>
          <w:rFonts w:ascii="Verdana" w:hAnsi="Verdana"/>
          <w:sz w:val="16"/>
          <w:szCs w:val="16"/>
          <w:lang w:val="es-PE"/>
        </w:rPr>
        <w:t>rte de 21 de septiembre de 2017</w:t>
      </w:r>
      <w:r w:rsidR="009F6594">
        <w:rPr>
          <w:rFonts w:ascii="Verdana" w:hAnsi="Verdana"/>
          <w:sz w:val="16"/>
          <w:szCs w:val="16"/>
          <w:lang w:val="es-PE"/>
        </w:rPr>
        <w:t>, C</w:t>
      </w:r>
      <w:r w:rsidR="009F1322">
        <w:rPr>
          <w:rFonts w:ascii="Verdana" w:hAnsi="Verdana"/>
          <w:sz w:val="16"/>
          <w:szCs w:val="16"/>
          <w:lang w:val="es-PE"/>
        </w:rPr>
        <w:t xml:space="preserve">onsiderando 12, </w:t>
      </w:r>
      <w:r w:rsidR="009F1322" w:rsidRPr="00F22007">
        <w:rPr>
          <w:rFonts w:ascii="Verdana" w:hAnsi="Verdana"/>
          <w:sz w:val="16"/>
          <w:szCs w:val="16"/>
          <w:lang w:val="es-PE"/>
        </w:rPr>
        <w:t>y</w:t>
      </w:r>
      <w:r w:rsidRPr="00F22007">
        <w:rPr>
          <w:rFonts w:ascii="Verdana" w:hAnsi="Verdana"/>
          <w:sz w:val="16"/>
          <w:szCs w:val="16"/>
          <w:lang w:val="es-PE"/>
        </w:rPr>
        <w:t xml:space="preserve"> </w:t>
      </w:r>
      <w:r w:rsidRPr="00F22007">
        <w:rPr>
          <w:rFonts w:ascii="Verdana" w:hAnsi="Verdana"/>
          <w:i/>
          <w:sz w:val="16"/>
          <w:szCs w:val="16"/>
          <w:lang w:val="es-PE"/>
        </w:rPr>
        <w:t>Caso Valle Jaramillo y otros Vs. Colombia</w:t>
      </w:r>
      <w:r w:rsidRPr="00F22007">
        <w:rPr>
          <w:rFonts w:ascii="Verdana" w:hAnsi="Verdana"/>
          <w:sz w:val="16"/>
          <w:szCs w:val="16"/>
          <w:lang w:val="es-PE"/>
        </w:rPr>
        <w:t xml:space="preserve">. </w:t>
      </w:r>
      <w:r w:rsidR="00DA409A" w:rsidRPr="00907C10">
        <w:rPr>
          <w:rFonts w:ascii="Verdana" w:hAnsi="Verdana"/>
          <w:sz w:val="16"/>
          <w:szCs w:val="16"/>
          <w:lang w:val="es-PE"/>
        </w:rPr>
        <w:t>Convoca</w:t>
      </w:r>
      <w:r w:rsidR="00DA409A">
        <w:rPr>
          <w:rFonts w:ascii="Verdana" w:hAnsi="Verdana"/>
          <w:sz w:val="16"/>
          <w:szCs w:val="16"/>
          <w:lang w:val="es-PE"/>
        </w:rPr>
        <w:t>toria a audiencia</w:t>
      </w:r>
      <w:r w:rsidR="00DA409A" w:rsidRPr="00F22007">
        <w:rPr>
          <w:rFonts w:ascii="Verdana" w:hAnsi="Verdana"/>
          <w:sz w:val="16"/>
          <w:szCs w:val="16"/>
          <w:lang w:val="es-PE"/>
        </w:rPr>
        <w:t xml:space="preserve">. </w:t>
      </w:r>
      <w:r w:rsidRPr="00F22007">
        <w:rPr>
          <w:rFonts w:ascii="Verdana" w:hAnsi="Verdana"/>
          <w:sz w:val="16"/>
          <w:szCs w:val="16"/>
          <w:lang w:val="es-PE"/>
        </w:rPr>
        <w:t>Resolución de la Presidenta de la Cor</w:t>
      </w:r>
      <w:r w:rsidR="00014A5A" w:rsidRPr="00F22007">
        <w:rPr>
          <w:rFonts w:ascii="Verdana" w:hAnsi="Verdana"/>
          <w:sz w:val="16"/>
          <w:szCs w:val="16"/>
          <w:lang w:val="es-PE"/>
        </w:rPr>
        <w:t>te de 30 de noviembre de 2007,</w:t>
      </w:r>
      <w:r w:rsidR="009F6594" w:rsidRPr="00F22007">
        <w:rPr>
          <w:rFonts w:ascii="Verdana" w:hAnsi="Verdana"/>
          <w:sz w:val="16"/>
          <w:szCs w:val="16"/>
          <w:lang w:val="es-PE"/>
        </w:rPr>
        <w:t xml:space="preserve"> C</w:t>
      </w:r>
      <w:r w:rsidRPr="00F22007">
        <w:rPr>
          <w:rFonts w:ascii="Verdana" w:hAnsi="Verdana"/>
          <w:sz w:val="16"/>
          <w:szCs w:val="16"/>
          <w:lang w:val="es-PE"/>
        </w:rPr>
        <w:t>onsiderandos</w:t>
      </w:r>
      <w:r w:rsidRPr="00907C10">
        <w:rPr>
          <w:rFonts w:ascii="Verdana" w:hAnsi="Verdana"/>
          <w:sz w:val="16"/>
          <w:szCs w:val="16"/>
          <w:lang w:val="es-PE"/>
        </w:rPr>
        <w:t xml:space="preserve"> 5, 10, 14, 16 y 21</w:t>
      </w:r>
      <w:r w:rsidR="002C2401">
        <w:rPr>
          <w:rFonts w:ascii="Verdana" w:hAnsi="Verdana"/>
          <w:sz w:val="16"/>
          <w:szCs w:val="16"/>
          <w:lang w:val="es-PE"/>
        </w:rPr>
        <w:t>.</w:t>
      </w:r>
    </w:p>
  </w:footnote>
  <w:footnote w:id="12">
    <w:p w:rsidR="00014A5A" w:rsidRDefault="0032649A" w:rsidP="00907C10">
      <w:pPr>
        <w:pStyle w:val="FootnoteText"/>
        <w:jc w:val="both"/>
        <w:rPr>
          <w:rFonts w:ascii="Verdana" w:hAnsi="Verdana"/>
          <w:sz w:val="16"/>
          <w:szCs w:val="16"/>
          <w:lang w:val="es-PE"/>
        </w:rPr>
      </w:pPr>
      <w:r w:rsidRPr="00907C10">
        <w:rPr>
          <w:rStyle w:val="FootnoteReference"/>
          <w:rFonts w:ascii="Verdana" w:hAnsi="Verdana"/>
          <w:sz w:val="16"/>
          <w:szCs w:val="16"/>
        </w:rPr>
        <w:footnoteRef/>
      </w:r>
      <w:r w:rsidR="00340E08">
        <w:rPr>
          <w:rFonts w:ascii="Verdana" w:hAnsi="Verdana"/>
          <w:sz w:val="16"/>
          <w:szCs w:val="16"/>
          <w:lang w:val="es-PE"/>
        </w:rPr>
        <w:t xml:space="preserve"> </w:t>
      </w:r>
      <w:r w:rsidR="009F1322">
        <w:rPr>
          <w:rFonts w:ascii="Verdana" w:hAnsi="Verdana"/>
          <w:sz w:val="16"/>
          <w:szCs w:val="16"/>
          <w:lang w:val="es-PE"/>
        </w:rPr>
        <w:tab/>
      </w:r>
      <w:r w:rsidR="007811CF" w:rsidRPr="009F1322">
        <w:rPr>
          <w:rFonts w:ascii="Verdana" w:hAnsi="Verdana"/>
          <w:i/>
          <w:sz w:val="16"/>
          <w:szCs w:val="16"/>
          <w:lang w:val="es-PE"/>
        </w:rPr>
        <w:t>Cfr.</w:t>
      </w:r>
      <w:r w:rsidR="007811CF">
        <w:rPr>
          <w:rFonts w:ascii="Verdana" w:hAnsi="Verdana"/>
          <w:sz w:val="16"/>
          <w:szCs w:val="16"/>
          <w:lang w:val="es-PE"/>
        </w:rPr>
        <w:t xml:space="preserve"> </w:t>
      </w:r>
      <w:r w:rsidR="002C2401">
        <w:rPr>
          <w:rFonts w:ascii="Verdana" w:hAnsi="Verdana"/>
          <w:sz w:val="16"/>
          <w:szCs w:val="16"/>
          <w:lang w:val="es-PE"/>
        </w:rPr>
        <w:t>Expediente de anexos al e</w:t>
      </w:r>
      <w:r w:rsidRPr="00907C10">
        <w:rPr>
          <w:rFonts w:ascii="Verdana" w:hAnsi="Verdana"/>
          <w:sz w:val="16"/>
          <w:szCs w:val="16"/>
          <w:lang w:val="es-PE"/>
        </w:rPr>
        <w:t xml:space="preserve">scrito de solicitudes y argumentos, </w:t>
      </w:r>
      <w:r w:rsidR="009E3C0A" w:rsidRPr="00907C10">
        <w:rPr>
          <w:rFonts w:ascii="Verdana" w:hAnsi="Verdana"/>
          <w:sz w:val="16"/>
          <w:szCs w:val="16"/>
          <w:lang w:val="es-CR"/>
        </w:rPr>
        <w:t>anexo</w:t>
      </w:r>
      <w:r w:rsidR="00014A5A">
        <w:rPr>
          <w:rFonts w:ascii="Verdana" w:hAnsi="Verdana"/>
          <w:sz w:val="16"/>
          <w:szCs w:val="16"/>
          <w:lang w:val="es-CR"/>
        </w:rPr>
        <w:t xml:space="preserve">s 20 y </w:t>
      </w:r>
      <w:r w:rsidR="00014A5A">
        <w:rPr>
          <w:rFonts w:ascii="Verdana" w:hAnsi="Verdana"/>
          <w:sz w:val="16"/>
          <w:szCs w:val="16"/>
          <w:lang w:val="es-PE"/>
        </w:rPr>
        <w:t>21</w:t>
      </w:r>
      <w:r w:rsidRPr="00907C10">
        <w:rPr>
          <w:rFonts w:ascii="Verdana" w:hAnsi="Verdana"/>
          <w:sz w:val="16"/>
          <w:szCs w:val="16"/>
          <w:lang w:val="es-CR"/>
        </w:rPr>
        <w:t>.</w:t>
      </w:r>
      <w:r w:rsidRPr="00907C10">
        <w:rPr>
          <w:rFonts w:ascii="Verdana" w:hAnsi="Verdana"/>
          <w:sz w:val="16"/>
          <w:szCs w:val="16"/>
          <w:lang w:val="es-PE"/>
        </w:rPr>
        <w:t xml:space="preserve"> </w:t>
      </w:r>
    </w:p>
    <w:p w:rsidR="00014A5A" w:rsidRPr="00014A5A" w:rsidRDefault="00014A5A" w:rsidP="00907C10">
      <w:pPr>
        <w:pStyle w:val="FootnoteText"/>
        <w:jc w:val="both"/>
        <w:rPr>
          <w:rFonts w:ascii="Verdana" w:hAnsi="Verdana"/>
          <w:sz w:val="16"/>
          <w:szCs w:val="16"/>
          <w:lang w:val="es-PE"/>
        </w:rPr>
      </w:pPr>
    </w:p>
  </w:footnote>
  <w:footnote w:id="13">
    <w:p w:rsidR="0032649A" w:rsidRPr="00907C10" w:rsidRDefault="0032649A" w:rsidP="00907C10">
      <w:pPr>
        <w:pStyle w:val="FootnoteText"/>
        <w:jc w:val="both"/>
        <w:rPr>
          <w:rFonts w:ascii="Verdana" w:hAnsi="Verdana"/>
          <w:b/>
          <w:sz w:val="16"/>
          <w:szCs w:val="16"/>
          <w:lang w:val="es-PE"/>
        </w:rPr>
      </w:pPr>
      <w:r w:rsidRPr="00907C10">
        <w:rPr>
          <w:rStyle w:val="FootnoteReference"/>
          <w:rFonts w:ascii="Verdana" w:hAnsi="Verdana"/>
          <w:sz w:val="16"/>
          <w:szCs w:val="16"/>
        </w:rPr>
        <w:footnoteRef/>
      </w:r>
      <w:r w:rsidRPr="00907C10">
        <w:rPr>
          <w:rFonts w:ascii="Verdana" w:hAnsi="Verdana"/>
          <w:sz w:val="16"/>
          <w:szCs w:val="16"/>
          <w:lang w:val="es-PE"/>
        </w:rPr>
        <w:t xml:space="preserve"> </w:t>
      </w:r>
      <w:r w:rsidRPr="00907C10">
        <w:rPr>
          <w:rFonts w:ascii="Verdana" w:hAnsi="Verdana"/>
          <w:sz w:val="16"/>
          <w:szCs w:val="16"/>
          <w:lang w:val="es-PE"/>
        </w:rPr>
        <w:tab/>
      </w:r>
      <w:r w:rsidR="00014A5A">
        <w:rPr>
          <w:rFonts w:ascii="Verdana" w:hAnsi="Verdana"/>
          <w:sz w:val="16"/>
          <w:szCs w:val="16"/>
          <w:lang w:val="es-PE"/>
        </w:rPr>
        <w:t xml:space="preserve">Rendirá </w:t>
      </w:r>
      <w:r w:rsidRPr="00907C10">
        <w:rPr>
          <w:rFonts w:ascii="Verdana" w:hAnsi="Verdana"/>
          <w:sz w:val="16"/>
          <w:szCs w:val="16"/>
          <w:lang w:val="es-PE"/>
        </w:rPr>
        <w:t>dictamen sobre</w:t>
      </w:r>
      <w:r w:rsidR="009F1322">
        <w:rPr>
          <w:rFonts w:ascii="Verdana" w:hAnsi="Verdana"/>
          <w:sz w:val="16"/>
          <w:szCs w:val="16"/>
          <w:lang w:val="es-PE"/>
        </w:rPr>
        <w:t>:</w:t>
      </w:r>
      <w:r w:rsidRPr="00907C10">
        <w:rPr>
          <w:rFonts w:ascii="Verdana" w:hAnsi="Verdana"/>
          <w:sz w:val="16"/>
          <w:szCs w:val="16"/>
          <w:lang w:val="es-PE"/>
        </w:rPr>
        <w:t xml:space="preserve"> “los estándares sobre el derecho a la vida por la imposición de la pena de muerte y las garantías judiciales. Además, se referirán a las cuestiones de debido proceso que plantea el caso, como el derecho de ser juzgado por un juez o trib</w:t>
      </w:r>
      <w:r w:rsidR="009F6594">
        <w:rPr>
          <w:rFonts w:ascii="Verdana" w:hAnsi="Verdana"/>
          <w:sz w:val="16"/>
          <w:szCs w:val="16"/>
          <w:lang w:val="es-PE"/>
        </w:rPr>
        <w:t>unal competente, independiente e</w:t>
      </w:r>
      <w:r w:rsidRPr="00907C10">
        <w:rPr>
          <w:rFonts w:ascii="Verdana" w:hAnsi="Verdana"/>
          <w:sz w:val="16"/>
          <w:szCs w:val="16"/>
          <w:lang w:val="es-PE"/>
        </w:rPr>
        <w:t xml:space="preserve"> imparcial, derecho de defensa, presunción de inocencia, acceso a un recurso efectivo, así como de la debida motivación y a la protección judicial”. </w:t>
      </w:r>
    </w:p>
    <w:p w:rsidR="0032649A" w:rsidRPr="00907C10" w:rsidRDefault="0032649A" w:rsidP="00907C10">
      <w:pPr>
        <w:pStyle w:val="FootnoteText"/>
        <w:jc w:val="both"/>
        <w:rPr>
          <w:rFonts w:ascii="Verdana" w:hAnsi="Verdana"/>
          <w:sz w:val="16"/>
          <w:szCs w:val="16"/>
          <w:lang w:val="es-PE"/>
        </w:rPr>
      </w:pPr>
      <w:r w:rsidRPr="00907C10">
        <w:rPr>
          <w:rFonts w:ascii="Verdana" w:hAnsi="Verdana"/>
          <w:sz w:val="16"/>
          <w:szCs w:val="16"/>
          <w:lang w:val="es-PE"/>
        </w:rPr>
        <w:t xml:space="preserve">  </w:t>
      </w:r>
    </w:p>
  </w:footnote>
  <w:footnote w:id="14">
    <w:p w:rsidR="0032649A" w:rsidRPr="00907C10" w:rsidRDefault="0032649A" w:rsidP="00907C10">
      <w:pPr>
        <w:pStyle w:val="FootnoteText"/>
        <w:jc w:val="both"/>
        <w:rPr>
          <w:rFonts w:ascii="Verdana" w:hAnsi="Verdana"/>
          <w:sz w:val="16"/>
          <w:szCs w:val="16"/>
          <w:lang w:val="es-PE"/>
        </w:rPr>
      </w:pPr>
      <w:r w:rsidRPr="00907C10">
        <w:rPr>
          <w:rStyle w:val="FootnoteReference"/>
          <w:rFonts w:ascii="Verdana" w:hAnsi="Verdana"/>
          <w:sz w:val="16"/>
          <w:szCs w:val="16"/>
        </w:rPr>
        <w:footnoteRef/>
      </w:r>
      <w:r w:rsidRPr="00907C10">
        <w:rPr>
          <w:rFonts w:ascii="Verdana" w:hAnsi="Verdana"/>
          <w:sz w:val="16"/>
          <w:szCs w:val="16"/>
          <w:lang w:val="es-PE"/>
        </w:rPr>
        <w:t xml:space="preserve"> </w:t>
      </w:r>
      <w:r w:rsidR="00014A5A">
        <w:rPr>
          <w:rFonts w:ascii="Verdana" w:hAnsi="Verdana"/>
          <w:sz w:val="16"/>
          <w:szCs w:val="16"/>
          <w:lang w:val="es-PE"/>
        </w:rPr>
        <w:tab/>
        <w:t xml:space="preserve"> Rendirá </w:t>
      </w:r>
      <w:r w:rsidRPr="00907C10">
        <w:rPr>
          <w:rFonts w:ascii="Verdana" w:hAnsi="Verdana"/>
          <w:sz w:val="16"/>
          <w:szCs w:val="16"/>
          <w:lang w:val="es-PE"/>
        </w:rPr>
        <w:t>dictamen sobre</w:t>
      </w:r>
      <w:r w:rsidR="009F1322">
        <w:rPr>
          <w:rFonts w:ascii="Verdana" w:hAnsi="Verdana"/>
          <w:sz w:val="16"/>
          <w:szCs w:val="16"/>
          <w:lang w:val="es-PE"/>
        </w:rPr>
        <w:t>:</w:t>
      </w:r>
      <w:r w:rsidRPr="00907C10">
        <w:rPr>
          <w:rFonts w:ascii="Verdana" w:hAnsi="Verdana"/>
          <w:sz w:val="16"/>
          <w:szCs w:val="16"/>
          <w:lang w:val="es-PE"/>
        </w:rPr>
        <w:t xml:space="preserve"> “los estándares sobre las reformas judiciales (penal y proceso penal) en Guatemala acerca de pena de muerte y garantías judiciales. Además, se referirá a las cuestiones de principios de derecho penal substantivo y de prisión, tomando siempre en cuenta los hechos del caso para desarrollar su peritaje”. </w:t>
      </w:r>
    </w:p>
    <w:p w:rsidR="0032649A" w:rsidRPr="00907C10" w:rsidRDefault="0032649A" w:rsidP="00907C10">
      <w:pPr>
        <w:pStyle w:val="FootnoteText"/>
        <w:jc w:val="both"/>
        <w:rPr>
          <w:rFonts w:ascii="Verdana" w:hAnsi="Verdana"/>
          <w:sz w:val="16"/>
          <w:szCs w:val="16"/>
          <w:lang w:val="es-PE"/>
        </w:rPr>
      </w:pPr>
    </w:p>
  </w:footnote>
  <w:footnote w:id="15">
    <w:p w:rsidR="0032649A" w:rsidRPr="00907C10" w:rsidRDefault="0032649A" w:rsidP="00907C10">
      <w:pPr>
        <w:pStyle w:val="FootnoteText"/>
        <w:jc w:val="both"/>
        <w:rPr>
          <w:rFonts w:ascii="Verdana" w:hAnsi="Verdana"/>
          <w:sz w:val="16"/>
          <w:szCs w:val="16"/>
          <w:lang w:val="es-PE"/>
        </w:rPr>
      </w:pPr>
      <w:r w:rsidRPr="00907C10">
        <w:rPr>
          <w:rStyle w:val="FootnoteReference"/>
          <w:rFonts w:ascii="Verdana" w:hAnsi="Verdana"/>
          <w:sz w:val="16"/>
          <w:szCs w:val="16"/>
        </w:rPr>
        <w:footnoteRef/>
      </w:r>
      <w:r w:rsidR="009F1322">
        <w:rPr>
          <w:rFonts w:ascii="Verdana" w:hAnsi="Verdana"/>
          <w:sz w:val="16"/>
          <w:szCs w:val="16"/>
          <w:lang w:val="es-PE"/>
        </w:rPr>
        <w:t xml:space="preserve"> </w:t>
      </w:r>
      <w:r w:rsidR="009F1322">
        <w:rPr>
          <w:rFonts w:ascii="Verdana" w:hAnsi="Verdana"/>
          <w:sz w:val="16"/>
          <w:szCs w:val="16"/>
          <w:lang w:val="es-PE"/>
        </w:rPr>
        <w:tab/>
      </w:r>
      <w:r w:rsidR="00014A5A">
        <w:rPr>
          <w:rFonts w:ascii="Verdana" w:hAnsi="Verdana"/>
          <w:sz w:val="16"/>
          <w:szCs w:val="16"/>
          <w:lang w:val="es-PE"/>
        </w:rPr>
        <w:t xml:space="preserve">Rendirá </w:t>
      </w:r>
      <w:r w:rsidRPr="00907C10">
        <w:rPr>
          <w:rFonts w:ascii="Verdana" w:hAnsi="Verdana"/>
          <w:sz w:val="16"/>
          <w:szCs w:val="16"/>
          <w:lang w:val="es-PE"/>
        </w:rPr>
        <w:t>dictamen sobre</w:t>
      </w:r>
      <w:r w:rsidR="009F1322">
        <w:rPr>
          <w:rFonts w:ascii="Verdana" w:hAnsi="Verdana"/>
          <w:sz w:val="16"/>
          <w:szCs w:val="16"/>
          <w:lang w:val="es-PE"/>
        </w:rPr>
        <w:t>:</w:t>
      </w:r>
      <w:r w:rsidRPr="00907C10">
        <w:rPr>
          <w:rFonts w:ascii="Verdana" w:hAnsi="Verdana"/>
          <w:sz w:val="16"/>
          <w:szCs w:val="16"/>
          <w:lang w:val="es-PE"/>
        </w:rPr>
        <w:t xml:space="preserve"> “el contenido del caso a la luz de los estándares internacionales </w:t>
      </w:r>
      <w:r w:rsidR="002C2401">
        <w:rPr>
          <w:rFonts w:ascii="Verdana" w:hAnsi="Verdana"/>
          <w:sz w:val="16"/>
          <w:szCs w:val="16"/>
          <w:lang w:val="es-PE"/>
        </w:rPr>
        <w:t>respecto al fenómeno d</w:t>
      </w:r>
      <w:r w:rsidRPr="00907C10">
        <w:rPr>
          <w:rFonts w:ascii="Verdana" w:hAnsi="Verdana"/>
          <w:sz w:val="16"/>
          <w:szCs w:val="16"/>
          <w:lang w:val="es-PE"/>
        </w:rPr>
        <w:t>el corredor de la muerte en Guatemala y las posibles violaciones a la Convención Interamericana para P</w:t>
      </w:r>
      <w:r w:rsidR="002C2401">
        <w:rPr>
          <w:rFonts w:ascii="Verdana" w:hAnsi="Verdana"/>
          <w:sz w:val="16"/>
          <w:szCs w:val="16"/>
          <w:lang w:val="es-PE"/>
        </w:rPr>
        <w:t>revenir y Sancionar la Tortura. Además, ofrecerá a la Corte</w:t>
      </w:r>
      <w:r w:rsidRPr="00907C10">
        <w:rPr>
          <w:rFonts w:ascii="Verdana" w:hAnsi="Verdana"/>
          <w:sz w:val="16"/>
          <w:szCs w:val="16"/>
          <w:lang w:val="es-PE"/>
        </w:rPr>
        <w:t xml:space="preserve"> detalle del contexto en que sucedieron los hechos y las condiciones carcelarias en Guatemala, tomando en cuenta los hechos del caso y los principios de derecho penal sustantivo y derecho pe</w:t>
      </w:r>
      <w:r w:rsidR="009F1322">
        <w:rPr>
          <w:rFonts w:ascii="Verdana" w:hAnsi="Verdana"/>
          <w:sz w:val="16"/>
          <w:szCs w:val="16"/>
          <w:lang w:val="es-PE"/>
        </w:rPr>
        <w:t xml:space="preserve">nitenciario aplicables.”. </w:t>
      </w:r>
    </w:p>
    <w:p w:rsidR="0032649A" w:rsidRPr="00907C10" w:rsidRDefault="0032649A" w:rsidP="00907C10">
      <w:pPr>
        <w:pStyle w:val="FootnoteText"/>
        <w:jc w:val="both"/>
        <w:rPr>
          <w:rFonts w:ascii="Verdana" w:hAnsi="Verdana"/>
          <w:sz w:val="16"/>
          <w:szCs w:val="16"/>
          <w:lang w:val="es-PE"/>
        </w:rPr>
      </w:pPr>
      <w:r w:rsidRPr="00907C10">
        <w:rPr>
          <w:rFonts w:ascii="Verdana" w:hAnsi="Verdana"/>
          <w:sz w:val="16"/>
          <w:szCs w:val="16"/>
          <w:lang w:val="es-PE"/>
        </w:rPr>
        <w:t xml:space="preserve"> </w:t>
      </w:r>
    </w:p>
  </w:footnote>
  <w:footnote w:id="16">
    <w:p w:rsidR="0032649A" w:rsidRPr="00907C10" w:rsidRDefault="0032649A" w:rsidP="00907C10">
      <w:pPr>
        <w:pStyle w:val="FootnoteText"/>
        <w:jc w:val="both"/>
        <w:rPr>
          <w:rFonts w:ascii="Verdana" w:hAnsi="Verdana"/>
          <w:sz w:val="16"/>
          <w:szCs w:val="16"/>
          <w:lang w:val="es-PE"/>
        </w:rPr>
      </w:pPr>
      <w:r w:rsidRPr="00907C10">
        <w:rPr>
          <w:rStyle w:val="FootnoteReference"/>
          <w:rFonts w:ascii="Verdana" w:hAnsi="Verdana"/>
          <w:sz w:val="16"/>
          <w:szCs w:val="16"/>
        </w:rPr>
        <w:footnoteRef/>
      </w:r>
      <w:r w:rsidRPr="00907C10">
        <w:rPr>
          <w:rFonts w:ascii="Verdana" w:hAnsi="Verdana"/>
          <w:sz w:val="16"/>
          <w:szCs w:val="16"/>
          <w:lang w:val="es-CR"/>
        </w:rPr>
        <w:t xml:space="preserve"> </w:t>
      </w:r>
      <w:r w:rsidRPr="00907C10">
        <w:rPr>
          <w:rFonts w:ascii="Verdana" w:hAnsi="Verdana"/>
          <w:sz w:val="16"/>
          <w:szCs w:val="16"/>
          <w:lang w:val="es-CR"/>
        </w:rPr>
        <w:tab/>
      </w:r>
      <w:r w:rsidRPr="00907C10">
        <w:rPr>
          <w:rFonts w:ascii="Verdana" w:hAnsi="Verdana"/>
          <w:i/>
          <w:sz w:val="16"/>
          <w:szCs w:val="16"/>
          <w:lang w:val="es-CR"/>
        </w:rPr>
        <w:t>Cfr.</w:t>
      </w:r>
      <w:r w:rsidRPr="00907C10">
        <w:rPr>
          <w:rFonts w:ascii="Verdana" w:hAnsi="Verdana"/>
          <w:sz w:val="16"/>
          <w:szCs w:val="16"/>
          <w:lang w:val="es-CR"/>
        </w:rPr>
        <w:t xml:space="preserve"> </w:t>
      </w:r>
      <w:r w:rsidRPr="002C1CDD">
        <w:rPr>
          <w:rFonts w:ascii="Verdana" w:hAnsi="Verdana"/>
          <w:i/>
          <w:sz w:val="16"/>
          <w:szCs w:val="16"/>
          <w:lang w:val="es-PE"/>
        </w:rPr>
        <w:t xml:space="preserve">Caso </w:t>
      </w:r>
      <w:r w:rsidRPr="00907C10">
        <w:rPr>
          <w:rFonts w:ascii="Verdana" w:hAnsi="Verdana"/>
          <w:i/>
          <w:sz w:val="16"/>
          <w:szCs w:val="16"/>
          <w:lang w:val="es-PE"/>
        </w:rPr>
        <w:t>Selvas Gómez y otras Vs. México</w:t>
      </w:r>
      <w:r w:rsidRPr="00907C10">
        <w:rPr>
          <w:rFonts w:ascii="Verdana" w:hAnsi="Verdana"/>
          <w:sz w:val="16"/>
          <w:szCs w:val="16"/>
          <w:lang w:val="es-PE"/>
        </w:rPr>
        <w:t xml:space="preserve">. </w:t>
      </w:r>
      <w:r w:rsidR="00C72292" w:rsidRPr="00907C10">
        <w:rPr>
          <w:rFonts w:ascii="Verdana" w:hAnsi="Verdana"/>
          <w:sz w:val="16"/>
          <w:szCs w:val="16"/>
          <w:lang w:val="es-PE"/>
        </w:rPr>
        <w:t>Convoca</w:t>
      </w:r>
      <w:r w:rsidR="00C72292">
        <w:rPr>
          <w:rFonts w:ascii="Verdana" w:hAnsi="Verdana"/>
          <w:sz w:val="16"/>
          <w:szCs w:val="16"/>
          <w:lang w:val="es-PE"/>
        </w:rPr>
        <w:t xml:space="preserve">toria a audiencia. </w:t>
      </w:r>
      <w:r w:rsidRPr="00907C10">
        <w:rPr>
          <w:rFonts w:ascii="Verdana" w:hAnsi="Verdana"/>
          <w:sz w:val="16"/>
          <w:szCs w:val="16"/>
          <w:lang w:val="es-PE"/>
        </w:rPr>
        <w:t>Resolución del Presidente de la</w:t>
      </w:r>
      <w:r w:rsidR="00C72292">
        <w:rPr>
          <w:rFonts w:ascii="Verdana" w:hAnsi="Verdana"/>
          <w:sz w:val="16"/>
          <w:szCs w:val="16"/>
          <w:lang w:val="es-PE"/>
        </w:rPr>
        <w:t xml:space="preserve"> Corte de 18 de octubre de 2017,</w:t>
      </w:r>
      <w:r w:rsidR="009F6594">
        <w:rPr>
          <w:rFonts w:ascii="Verdana" w:hAnsi="Verdana"/>
          <w:sz w:val="16"/>
          <w:szCs w:val="16"/>
          <w:lang w:val="es-PE"/>
        </w:rPr>
        <w:t xml:space="preserve"> C</w:t>
      </w:r>
      <w:r w:rsidR="00785140">
        <w:rPr>
          <w:rFonts w:ascii="Verdana" w:hAnsi="Verdana"/>
          <w:sz w:val="16"/>
          <w:szCs w:val="16"/>
          <w:lang w:val="es-PE"/>
        </w:rPr>
        <w:t>onsiderando 11, y</w:t>
      </w:r>
      <w:r w:rsidRPr="00907C10">
        <w:rPr>
          <w:rFonts w:ascii="Verdana" w:hAnsi="Verdana"/>
          <w:sz w:val="16"/>
          <w:szCs w:val="16"/>
          <w:lang w:val="es-PE"/>
        </w:rPr>
        <w:t xml:space="preserve"> </w:t>
      </w:r>
      <w:r w:rsidRPr="00907C10">
        <w:rPr>
          <w:rFonts w:ascii="Verdana" w:hAnsi="Verdana"/>
          <w:i/>
          <w:sz w:val="16"/>
          <w:szCs w:val="16"/>
          <w:lang w:val="es-PE"/>
        </w:rPr>
        <w:t>Caso Ramírez Escobar y otros Vs. Guatemala</w:t>
      </w:r>
      <w:r w:rsidRPr="00907C10">
        <w:rPr>
          <w:rFonts w:ascii="Verdana" w:hAnsi="Verdana"/>
          <w:sz w:val="16"/>
          <w:szCs w:val="16"/>
          <w:lang w:val="es-PE"/>
        </w:rPr>
        <w:t>. Convocatoria de audiencia. Resolución del Presidente de la</w:t>
      </w:r>
      <w:r w:rsidR="009F6594">
        <w:rPr>
          <w:rFonts w:ascii="Verdana" w:hAnsi="Verdana"/>
          <w:sz w:val="16"/>
          <w:szCs w:val="16"/>
          <w:lang w:val="es-PE"/>
        </w:rPr>
        <w:t xml:space="preserve"> Corte de 11 de abril de 2017, C</w:t>
      </w:r>
      <w:r w:rsidRPr="00907C10">
        <w:rPr>
          <w:rFonts w:ascii="Verdana" w:hAnsi="Verdana"/>
          <w:sz w:val="16"/>
          <w:szCs w:val="16"/>
          <w:lang w:val="es-PE"/>
        </w:rPr>
        <w:t xml:space="preserve">onsiderando 25. </w:t>
      </w:r>
    </w:p>
    <w:p w:rsidR="0032649A" w:rsidRPr="00907C10" w:rsidRDefault="0032649A" w:rsidP="00907C10">
      <w:pPr>
        <w:pStyle w:val="FootnoteText"/>
        <w:jc w:val="both"/>
        <w:rPr>
          <w:rFonts w:ascii="Verdana" w:hAnsi="Verdana"/>
          <w:sz w:val="16"/>
          <w:szCs w:val="16"/>
          <w:lang w:val="es-CR"/>
        </w:rPr>
      </w:pPr>
    </w:p>
  </w:footnote>
  <w:footnote w:id="17">
    <w:p w:rsidR="0032649A" w:rsidRPr="00907C10" w:rsidRDefault="0032649A" w:rsidP="00907C10">
      <w:pPr>
        <w:pStyle w:val="FootnoteText"/>
        <w:jc w:val="both"/>
        <w:rPr>
          <w:rFonts w:ascii="Verdana" w:hAnsi="Verdana"/>
          <w:sz w:val="16"/>
          <w:szCs w:val="16"/>
          <w:lang w:val="es-PE"/>
        </w:rPr>
      </w:pPr>
      <w:r w:rsidRPr="00907C10">
        <w:rPr>
          <w:rStyle w:val="FootnoteReference"/>
          <w:rFonts w:ascii="Verdana" w:hAnsi="Verdana"/>
          <w:sz w:val="16"/>
          <w:szCs w:val="16"/>
        </w:rPr>
        <w:footnoteRef/>
      </w:r>
      <w:r w:rsidR="00254394">
        <w:rPr>
          <w:rFonts w:ascii="Verdana" w:hAnsi="Verdana"/>
          <w:sz w:val="16"/>
          <w:szCs w:val="16"/>
          <w:lang w:val="es-CR"/>
        </w:rPr>
        <w:t xml:space="preserve"> </w:t>
      </w:r>
      <w:r w:rsidR="00014A5A">
        <w:rPr>
          <w:rFonts w:ascii="Verdana" w:hAnsi="Verdana"/>
          <w:sz w:val="16"/>
          <w:szCs w:val="16"/>
          <w:lang w:val="es-CR"/>
        </w:rPr>
        <w:tab/>
        <w:t>E</w:t>
      </w:r>
      <w:proofErr w:type="spellStart"/>
      <w:r w:rsidRPr="00907C10">
        <w:rPr>
          <w:rFonts w:ascii="Verdana" w:hAnsi="Verdana"/>
          <w:sz w:val="16"/>
          <w:szCs w:val="16"/>
          <w:lang w:val="es-PE"/>
        </w:rPr>
        <w:t>mitió</w:t>
      </w:r>
      <w:proofErr w:type="spellEnd"/>
      <w:r w:rsidRPr="00907C10">
        <w:rPr>
          <w:rFonts w:ascii="Verdana" w:hAnsi="Verdana"/>
          <w:sz w:val="16"/>
          <w:szCs w:val="16"/>
          <w:lang w:val="es-PE"/>
        </w:rPr>
        <w:t xml:space="preserve"> un dictamen </w:t>
      </w:r>
      <w:proofErr w:type="spellStart"/>
      <w:r w:rsidR="00785140">
        <w:rPr>
          <w:rFonts w:ascii="Verdana" w:hAnsi="Verdana"/>
          <w:sz w:val="16"/>
          <w:szCs w:val="16"/>
          <w:lang w:val="es-PE"/>
        </w:rPr>
        <w:t>sobre:”</w:t>
      </w:r>
      <w:r w:rsidRPr="00907C10">
        <w:rPr>
          <w:rFonts w:ascii="Verdana" w:hAnsi="Verdana"/>
          <w:sz w:val="16"/>
          <w:szCs w:val="16"/>
          <w:lang w:val="es-PE"/>
        </w:rPr>
        <w:t>el</w:t>
      </w:r>
      <w:proofErr w:type="spellEnd"/>
      <w:r w:rsidRPr="00907C10">
        <w:rPr>
          <w:rFonts w:ascii="Verdana" w:hAnsi="Verdana"/>
          <w:sz w:val="16"/>
          <w:szCs w:val="16"/>
          <w:lang w:val="es-PE"/>
        </w:rPr>
        <w:t xml:space="preserve"> derecho de defensa y otras garantías judiciales en el proceso penal, en particular en los procesos por delitos cuya sanción aplicable es la pena de muerte", en lo pertinente para el presente caso considerándose la necesidad de demostración de un contexto general de violación a los derechos de defensa y otras garantías judiciales”. (</w:t>
      </w:r>
      <w:r w:rsidRPr="00014A5A">
        <w:rPr>
          <w:rFonts w:ascii="Verdana" w:hAnsi="Verdana"/>
          <w:i/>
          <w:sz w:val="16"/>
          <w:szCs w:val="16"/>
          <w:lang w:val="es-PE"/>
        </w:rPr>
        <w:t xml:space="preserve">Caso </w:t>
      </w:r>
      <w:r w:rsidRPr="00907C10">
        <w:rPr>
          <w:rFonts w:ascii="Verdana" w:hAnsi="Verdana"/>
          <w:i/>
          <w:sz w:val="16"/>
          <w:szCs w:val="16"/>
          <w:lang w:val="es-PE"/>
        </w:rPr>
        <w:t>Fermín Ramírez Vs. Guatemala</w:t>
      </w:r>
      <w:r w:rsidRPr="00907C10">
        <w:rPr>
          <w:rFonts w:ascii="Verdana" w:hAnsi="Verdana"/>
          <w:sz w:val="16"/>
          <w:szCs w:val="16"/>
          <w:lang w:val="es-PE"/>
        </w:rPr>
        <w:t>. Resolución del Presidente de la Corte de 28 de abril de 2005. Convocatoria a audiencia)</w:t>
      </w:r>
      <w:r w:rsidR="00014A5A">
        <w:rPr>
          <w:rFonts w:ascii="Verdana" w:hAnsi="Verdana"/>
          <w:sz w:val="16"/>
          <w:szCs w:val="16"/>
          <w:lang w:val="es-PE"/>
        </w:rPr>
        <w:t>.</w:t>
      </w:r>
    </w:p>
    <w:p w:rsidR="0032649A" w:rsidRPr="00907C10" w:rsidRDefault="0032649A" w:rsidP="00907C10">
      <w:pPr>
        <w:pStyle w:val="FootnoteText"/>
        <w:jc w:val="both"/>
        <w:rPr>
          <w:rFonts w:ascii="Verdana" w:hAnsi="Verdana"/>
          <w:sz w:val="16"/>
          <w:szCs w:val="16"/>
          <w:lang w:val="es-CR"/>
        </w:rPr>
      </w:pPr>
    </w:p>
  </w:footnote>
  <w:footnote w:id="18">
    <w:p w:rsidR="0032649A" w:rsidRPr="00907C10" w:rsidRDefault="0032649A" w:rsidP="00907C10">
      <w:pPr>
        <w:pStyle w:val="FootnoteText"/>
        <w:jc w:val="both"/>
        <w:rPr>
          <w:rFonts w:ascii="Verdana" w:hAnsi="Verdana"/>
          <w:sz w:val="16"/>
          <w:szCs w:val="16"/>
          <w:lang w:val="es-PE"/>
        </w:rPr>
      </w:pPr>
      <w:r w:rsidRPr="00907C10">
        <w:rPr>
          <w:rStyle w:val="FootnoteReference"/>
          <w:rFonts w:ascii="Verdana" w:hAnsi="Verdana"/>
          <w:sz w:val="16"/>
          <w:szCs w:val="16"/>
        </w:rPr>
        <w:footnoteRef/>
      </w:r>
      <w:r w:rsidRPr="00907C10">
        <w:rPr>
          <w:rFonts w:ascii="Verdana" w:hAnsi="Verdana"/>
          <w:sz w:val="16"/>
          <w:szCs w:val="16"/>
          <w:lang w:val="es-CR"/>
        </w:rPr>
        <w:t xml:space="preserve"> </w:t>
      </w:r>
      <w:r w:rsidRPr="00907C10">
        <w:rPr>
          <w:rFonts w:ascii="Verdana" w:hAnsi="Verdana"/>
          <w:sz w:val="16"/>
          <w:szCs w:val="16"/>
          <w:lang w:val="es-CR"/>
        </w:rPr>
        <w:tab/>
      </w:r>
      <w:r w:rsidR="00014A5A">
        <w:rPr>
          <w:rFonts w:ascii="Verdana" w:hAnsi="Verdana"/>
          <w:sz w:val="16"/>
          <w:szCs w:val="16"/>
          <w:lang w:val="es-PE"/>
        </w:rPr>
        <w:t>E</w:t>
      </w:r>
      <w:r w:rsidRPr="00907C10">
        <w:rPr>
          <w:rFonts w:ascii="Verdana" w:hAnsi="Verdana"/>
          <w:sz w:val="16"/>
          <w:szCs w:val="16"/>
          <w:lang w:val="es-PE"/>
        </w:rPr>
        <w:t>mitió un dictamen sobre</w:t>
      </w:r>
      <w:r w:rsidR="00785140">
        <w:rPr>
          <w:rFonts w:ascii="Verdana" w:hAnsi="Verdana"/>
          <w:sz w:val="16"/>
          <w:szCs w:val="16"/>
          <w:lang w:val="es-PE"/>
        </w:rPr>
        <w:t>: “</w:t>
      </w:r>
      <w:r w:rsidRPr="00907C10">
        <w:rPr>
          <w:rFonts w:ascii="Verdana" w:hAnsi="Verdana"/>
          <w:sz w:val="16"/>
          <w:szCs w:val="16"/>
          <w:lang w:val="es-PE"/>
        </w:rPr>
        <w:t>las formas propias del procedimiento penal guatemalteco, en particular las relativas a los cambios de los hechos imputables</w:t>
      </w:r>
      <w:r w:rsidR="00785140">
        <w:rPr>
          <w:rFonts w:ascii="Verdana" w:hAnsi="Verdana"/>
          <w:sz w:val="16"/>
          <w:szCs w:val="16"/>
          <w:lang w:val="es-PE"/>
        </w:rPr>
        <w:t xml:space="preserve"> y de su calificación jurídica</w:t>
      </w:r>
      <w:r w:rsidRPr="00907C10">
        <w:rPr>
          <w:rFonts w:ascii="Verdana" w:hAnsi="Verdana"/>
          <w:sz w:val="16"/>
          <w:szCs w:val="16"/>
          <w:lang w:val="es-PE"/>
        </w:rPr>
        <w:t>”. (</w:t>
      </w:r>
      <w:r w:rsidRPr="00014A5A">
        <w:rPr>
          <w:rFonts w:ascii="Verdana" w:hAnsi="Verdana"/>
          <w:i/>
          <w:sz w:val="16"/>
          <w:szCs w:val="16"/>
          <w:lang w:val="es-PE"/>
        </w:rPr>
        <w:t>Caso</w:t>
      </w:r>
      <w:r w:rsidRPr="00907C10">
        <w:rPr>
          <w:rFonts w:ascii="Verdana" w:hAnsi="Verdana"/>
          <w:sz w:val="16"/>
          <w:szCs w:val="16"/>
          <w:lang w:val="es-PE"/>
        </w:rPr>
        <w:t xml:space="preserve"> </w:t>
      </w:r>
      <w:r w:rsidRPr="00907C10">
        <w:rPr>
          <w:rFonts w:ascii="Verdana" w:hAnsi="Verdana"/>
          <w:i/>
          <w:sz w:val="16"/>
          <w:szCs w:val="16"/>
          <w:lang w:val="es-PE"/>
        </w:rPr>
        <w:t>Fermín Ramírez Vs. Guatemala</w:t>
      </w:r>
      <w:r w:rsidRPr="00907C10">
        <w:rPr>
          <w:rFonts w:ascii="Verdana" w:hAnsi="Verdana"/>
          <w:sz w:val="16"/>
          <w:szCs w:val="16"/>
          <w:lang w:val="es-PE"/>
        </w:rPr>
        <w:t>. Resolución del Presidente de la Corte de 28 de abril de 2005. Convocatoria a audiencia)</w:t>
      </w:r>
      <w:r w:rsidR="00014A5A">
        <w:rPr>
          <w:rFonts w:ascii="Verdana" w:hAnsi="Verdana"/>
          <w:sz w:val="16"/>
          <w:szCs w:val="16"/>
          <w:lang w:val="es-PE"/>
        </w:rPr>
        <w:t>.</w:t>
      </w:r>
    </w:p>
    <w:p w:rsidR="0032649A" w:rsidRPr="00907C10" w:rsidRDefault="0032649A" w:rsidP="00907C10">
      <w:pPr>
        <w:pStyle w:val="FootnoteText"/>
        <w:jc w:val="both"/>
        <w:rPr>
          <w:rFonts w:ascii="Verdana" w:hAnsi="Verdana"/>
          <w:sz w:val="16"/>
          <w:szCs w:val="16"/>
          <w:lang w:val="es-CR"/>
        </w:rPr>
      </w:pPr>
    </w:p>
  </w:footnote>
  <w:footnote w:id="19">
    <w:p w:rsidR="0032649A" w:rsidRPr="00907C10" w:rsidRDefault="0032649A" w:rsidP="00907C10">
      <w:pPr>
        <w:pStyle w:val="FootnoteText"/>
        <w:jc w:val="both"/>
        <w:rPr>
          <w:rFonts w:ascii="Verdana" w:hAnsi="Verdana"/>
          <w:sz w:val="16"/>
          <w:szCs w:val="16"/>
          <w:lang w:val="es-PE"/>
        </w:rPr>
      </w:pPr>
      <w:r w:rsidRPr="00907C10">
        <w:rPr>
          <w:rStyle w:val="FootnoteReference"/>
          <w:rFonts w:ascii="Verdana" w:hAnsi="Verdana"/>
          <w:sz w:val="16"/>
          <w:szCs w:val="16"/>
        </w:rPr>
        <w:footnoteRef/>
      </w:r>
      <w:r w:rsidR="00014A5A">
        <w:rPr>
          <w:rFonts w:ascii="Verdana" w:hAnsi="Verdana"/>
          <w:sz w:val="16"/>
          <w:szCs w:val="16"/>
          <w:lang w:val="es-CR"/>
        </w:rPr>
        <w:t xml:space="preserve"> </w:t>
      </w:r>
      <w:r w:rsidR="00014A5A">
        <w:rPr>
          <w:rFonts w:ascii="Verdana" w:hAnsi="Verdana"/>
          <w:sz w:val="16"/>
          <w:szCs w:val="16"/>
          <w:lang w:val="es-CR"/>
        </w:rPr>
        <w:tab/>
        <w:t>E</w:t>
      </w:r>
      <w:proofErr w:type="spellStart"/>
      <w:r w:rsidRPr="00907C10">
        <w:rPr>
          <w:rFonts w:ascii="Verdana" w:hAnsi="Verdana"/>
          <w:sz w:val="16"/>
          <w:szCs w:val="16"/>
          <w:lang w:val="es-PE"/>
        </w:rPr>
        <w:t>mitió</w:t>
      </w:r>
      <w:proofErr w:type="spellEnd"/>
      <w:r w:rsidRPr="00907C10">
        <w:rPr>
          <w:rFonts w:ascii="Verdana" w:hAnsi="Verdana"/>
          <w:sz w:val="16"/>
          <w:szCs w:val="16"/>
          <w:lang w:val="es-PE"/>
        </w:rPr>
        <w:t xml:space="preserve"> un dictamen </w:t>
      </w:r>
      <w:r w:rsidR="00785140">
        <w:rPr>
          <w:rFonts w:ascii="Verdana" w:hAnsi="Verdana"/>
          <w:sz w:val="16"/>
          <w:szCs w:val="16"/>
          <w:lang w:val="es-PE"/>
        </w:rPr>
        <w:t>sobre: “</w:t>
      </w:r>
      <w:r w:rsidRPr="00907C10">
        <w:rPr>
          <w:rFonts w:ascii="Verdana" w:hAnsi="Verdana"/>
          <w:sz w:val="16"/>
          <w:szCs w:val="16"/>
          <w:lang w:val="es-PE"/>
        </w:rPr>
        <w:t>la forma en que se encuentra regulada en la República de Guatemala los delitos de violación calificada y asesinato, la diferencia de penas contempladas, las circunstancias agravantes que permiten la aplicación de la pena de muerte y su relación con el ejercicio del derecho de defensa y otras garantías judiciales en el proceso penal, en particular en los procesos por delitos cuya sanción aplicable es la pena de muerte, así como sobre [la supuesta] violación [de dichas garantías] en el presente caso por parte del Ministerio Público y los tribunales</w:t>
      </w:r>
      <w:r w:rsidR="00785140">
        <w:rPr>
          <w:rFonts w:ascii="Verdana" w:hAnsi="Verdana"/>
          <w:sz w:val="16"/>
          <w:szCs w:val="16"/>
          <w:lang w:val="es-PE"/>
        </w:rPr>
        <w:t xml:space="preserve"> de la República de Guatemala”</w:t>
      </w:r>
      <w:r w:rsidRPr="00907C10">
        <w:rPr>
          <w:rFonts w:ascii="Verdana" w:hAnsi="Verdana"/>
          <w:sz w:val="16"/>
          <w:szCs w:val="16"/>
          <w:lang w:val="es-PE"/>
        </w:rPr>
        <w:t>. (</w:t>
      </w:r>
      <w:r w:rsidRPr="00014A5A">
        <w:rPr>
          <w:rFonts w:ascii="Verdana" w:hAnsi="Verdana"/>
          <w:i/>
          <w:sz w:val="16"/>
          <w:szCs w:val="16"/>
          <w:lang w:val="es-PE"/>
        </w:rPr>
        <w:t>Caso</w:t>
      </w:r>
      <w:r w:rsidRPr="00907C10">
        <w:rPr>
          <w:rFonts w:ascii="Verdana" w:hAnsi="Verdana"/>
          <w:sz w:val="16"/>
          <w:szCs w:val="16"/>
          <w:lang w:val="es-PE"/>
        </w:rPr>
        <w:t xml:space="preserve"> </w:t>
      </w:r>
      <w:r w:rsidRPr="00907C10">
        <w:rPr>
          <w:rFonts w:ascii="Verdana" w:hAnsi="Verdana"/>
          <w:i/>
          <w:sz w:val="16"/>
          <w:szCs w:val="16"/>
          <w:lang w:val="es-PE"/>
        </w:rPr>
        <w:t>Fermín Ramírez Vs. Guatemala</w:t>
      </w:r>
      <w:r w:rsidRPr="00907C10">
        <w:rPr>
          <w:rFonts w:ascii="Verdana" w:hAnsi="Verdana"/>
          <w:sz w:val="16"/>
          <w:szCs w:val="16"/>
          <w:lang w:val="es-PE"/>
        </w:rPr>
        <w:t>. Resolución del Presidente de la Corte de 28 de abril de 2005. Convocatoria a audiencia)</w:t>
      </w:r>
      <w:r w:rsidR="00014A5A">
        <w:rPr>
          <w:rFonts w:ascii="Verdana" w:hAnsi="Verdana"/>
          <w:sz w:val="16"/>
          <w:szCs w:val="16"/>
          <w:lang w:val="es-PE"/>
        </w:rPr>
        <w:t>.</w:t>
      </w:r>
    </w:p>
    <w:p w:rsidR="0032649A" w:rsidRPr="00907C10" w:rsidRDefault="0032649A" w:rsidP="00907C10">
      <w:pPr>
        <w:pStyle w:val="FootnoteText"/>
        <w:jc w:val="both"/>
        <w:rPr>
          <w:rFonts w:ascii="Verdana" w:hAnsi="Verdana"/>
          <w:sz w:val="16"/>
          <w:szCs w:val="16"/>
          <w:lang w:val="es-CR"/>
        </w:rPr>
      </w:pPr>
    </w:p>
  </w:footnote>
  <w:footnote w:id="20">
    <w:p w:rsidR="0032649A" w:rsidRPr="00907C10" w:rsidRDefault="0032649A" w:rsidP="00907C10">
      <w:pPr>
        <w:pStyle w:val="FootnoteText"/>
        <w:jc w:val="both"/>
        <w:rPr>
          <w:rFonts w:ascii="Verdana" w:hAnsi="Verdana"/>
          <w:sz w:val="16"/>
          <w:szCs w:val="16"/>
          <w:lang w:val="es-PE"/>
        </w:rPr>
      </w:pPr>
      <w:r w:rsidRPr="00907C10">
        <w:rPr>
          <w:rStyle w:val="FootnoteReference"/>
          <w:rFonts w:ascii="Verdana" w:hAnsi="Verdana"/>
          <w:sz w:val="16"/>
          <w:szCs w:val="16"/>
        </w:rPr>
        <w:footnoteRef/>
      </w:r>
      <w:r w:rsidRPr="00907C10">
        <w:rPr>
          <w:rFonts w:ascii="Verdana" w:hAnsi="Verdana"/>
          <w:sz w:val="16"/>
          <w:szCs w:val="16"/>
          <w:lang w:val="es-CR"/>
        </w:rPr>
        <w:t xml:space="preserve"> </w:t>
      </w:r>
      <w:r w:rsidRPr="00907C10">
        <w:rPr>
          <w:rFonts w:ascii="Verdana" w:hAnsi="Verdana"/>
          <w:sz w:val="16"/>
          <w:szCs w:val="16"/>
          <w:lang w:val="es-CR"/>
        </w:rPr>
        <w:tab/>
        <w:t>E</w:t>
      </w:r>
      <w:proofErr w:type="spellStart"/>
      <w:r w:rsidR="00785140">
        <w:rPr>
          <w:rFonts w:ascii="Verdana" w:hAnsi="Verdana"/>
          <w:sz w:val="16"/>
          <w:szCs w:val="16"/>
          <w:lang w:val="es-PE"/>
        </w:rPr>
        <w:t>mitió</w:t>
      </w:r>
      <w:proofErr w:type="spellEnd"/>
      <w:r w:rsidR="00785140">
        <w:rPr>
          <w:rFonts w:ascii="Verdana" w:hAnsi="Verdana"/>
          <w:sz w:val="16"/>
          <w:szCs w:val="16"/>
          <w:lang w:val="es-PE"/>
        </w:rPr>
        <w:t xml:space="preserve"> un dictamen sobre:</w:t>
      </w:r>
      <w:r w:rsidR="00340E08">
        <w:rPr>
          <w:rFonts w:ascii="Verdana" w:hAnsi="Verdana"/>
          <w:sz w:val="16"/>
          <w:szCs w:val="16"/>
          <w:lang w:val="es-PE"/>
        </w:rPr>
        <w:t xml:space="preserve"> </w:t>
      </w:r>
      <w:r w:rsidRPr="00907C10">
        <w:rPr>
          <w:rFonts w:ascii="Verdana" w:hAnsi="Verdana"/>
          <w:sz w:val="16"/>
          <w:szCs w:val="16"/>
          <w:lang w:val="es-PE"/>
        </w:rPr>
        <w:t>"las formas propias del procedimiento penal guatemalteco, en particular las relativas a los cambios de los hechos imputables y de su calificación ju</w:t>
      </w:r>
      <w:r w:rsidR="00785140">
        <w:rPr>
          <w:rFonts w:ascii="Verdana" w:hAnsi="Verdana"/>
          <w:sz w:val="16"/>
          <w:szCs w:val="16"/>
          <w:lang w:val="es-PE"/>
        </w:rPr>
        <w:t>rídica”</w:t>
      </w:r>
      <w:r w:rsidRPr="00907C10">
        <w:rPr>
          <w:rFonts w:ascii="Verdana" w:hAnsi="Verdana"/>
          <w:sz w:val="16"/>
          <w:szCs w:val="16"/>
          <w:lang w:val="es-PE"/>
        </w:rPr>
        <w:t>. (</w:t>
      </w:r>
      <w:r w:rsidRPr="00014A5A">
        <w:rPr>
          <w:rFonts w:ascii="Verdana" w:hAnsi="Verdana"/>
          <w:i/>
          <w:sz w:val="16"/>
          <w:szCs w:val="16"/>
          <w:lang w:val="es-PE"/>
        </w:rPr>
        <w:t>Caso</w:t>
      </w:r>
      <w:r w:rsidRPr="00907C10">
        <w:rPr>
          <w:rFonts w:ascii="Verdana" w:hAnsi="Verdana"/>
          <w:sz w:val="16"/>
          <w:szCs w:val="16"/>
          <w:lang w:val="es-PE"/>
        </w:rPr>
        <w:t xml:space="preserve"> </w:t>
      </w:r>
      <w:r w:rsidRPr="00907C10">
        <w:rPr>
          <w:rFonts w:ascii="Verdana" w:hAnsi="Verdana"/>
          <w:i/>
          <w:sz w:val="16"/>
          <w:szCs w:val="16"/>
          <w:lang w:val="es-PE"/>
        </w:rPr>
        <w:t>Fermín Ramírez Vs. Guatemala</w:t>
      </w:r>
      <w:r w:rsidRPr="00907C10">
        <w:rPr>
          <w:rFonts w:ascii="Verdana" w:hAnsi="Verdana"/>
          <w:sz w:val="16"/>
          <w:szCs w:val="16"/>
          <w:lang w:val="es-PE"/>
        </w:rPr>
        <w:t>. Resolución del Presidente de la Corte de 28 de abril de 2005. Convocatoria a audiencia).</w:t>
      </w:r>
    </w:p>
    <w:p w:rsidR="0032649A" w:rsidRPr="00907C10" w:rsidRDefault="0032649A" w:rsidP="00907C10">
      <w:pPr>
        <w:pStyle w:val="FootnoteText"/>
        <w:jc w:val="both"/>
        <w:rPr>
          <w:rFonts w:ascii="Verdana" w:hAnsi="Verdana"/>
          <w:sz w:val="16"/>
          <w:szCs w:val="16"/>
          <w:lang w:val="es-PE"/>
        </w:rPr>
      </w:pPr>
    </w:p>
  </w:footnote>
  <w:footnote w:id="21">
    <w:p w:rsidR="0032649A" w:rsidRPr="00907C10" w:rsidRDefault="0032649A" w:rsidP="00907C10">
      <w:pPr>
        <w:pStyle w:val="FootnoteText"/>
        <w:jc w:val="both"/>
        <w:rPr>
          <w:rFonts w:ascii="Verdana" w:hAnsi="Verdana"/>
          <w:sz w:val="16"/>
          <w:szCs w:val="16"/>
          <w:lang w:val="es-PE"/>
        </w:rPr>
      </w:pPr>
      <w:r w:rsidRPr="00907C10">
        <w:rPr>
          <w:rStyle w:val="FootnoteReference"/>
          <w:rFonts w:ascii="Verdana" w:hAnsi="Verdana"/>
          <w:sz w:val="16"/>
          <w:szCs w:val="16"/>
        </w:rPr>
        <w:footnoteRef/>
      </w:r>
      <w:r w:rsidRPr="00907C10">
        <w:rPr>
          <w:rFonts w:ascii="Verdana" w:hAnsi="Verdana"/>
          <w:sz w:val="16"/>
          <w:szCs w:val="16"/>
          <w:lang w:val="es-PE"/>
        </w:rPr>
        <w:t xml:space="preserve"> </w:t>
      </w:r>
      <w:r w:rsidRPr="00907C10">
        <w:rPr>
          <w:rFonts w:ascii="Verdana" w:hAnsi="Verdana"/>
          <w:sz w:val="16"/>
          <w:szCs w:val="16"/>
          <w:lang w:val="es-PE"/>
        </w:rPr>
        <w:tab/>
      </w:r>
      <w:r w:rsidR="009F6594" w:rsidRPr="009F6594">
        <w:rPr>
          <w:rFonts w:ascii="Verdana" w:hAnsi="Verdana"/>
          <w:i/>
          <w:sz w:val="16"/>
          <w:szCs w:val="16"/>
          <w:lang w:val="es-PE"/>
        </w:rPr>
        <w:t xml:space="preserve">Cfr. </w:t>
      </w:r>
      <w:r w:rsidRPr="009F6594">
        <w:rPr>
          <w:rFonts w:ascii="Verdana" w:hAnsi="Verdana"/>
          <w:i/>
          <w:sz w:val="16"/>
          <w:szCs w:val="16"/>
          <w:lang w:val="es-PE"/>
        </w:rPr>
        <w:t>Caso</w:t>
      </w:r>
      <w:r w:rsidRPr="00907C10">
        <w:rPr>
          <w:rFonts w:ascii="Verdana" w:hAnsi="Verdana"/>
          <w:sz w:val="16"/>
          <w:szCs w:val="16"/>
          <w:lang w:val="es-PE"/>
        </w:rPr>
        <w:t xml:space="preserve"> </w:t>
      </w:r>
      <w:r w:rsidRPr="00907C10">
        <w:rPr>
          <w:rFonts w:ascii="Verdana" w:hAnsi="Verdana"/>
          <w:i/>
          <w:sz w:val="16"/>
          <w:szCs w:val="16"/>
          <w:lang w:val="es-PE"/>
        </w:rPr>
        <w:t>Pacheco Tineo Vs. Bolivia</w:t>
      </w:r>
      <w:r w:rsidRPr="00907C10">
        <w:rPr>
          <w:rFonts w:ascii="Verdana" w:hAnsi="Verdana"/>
          <w:sz w:val="16"/>
          <w:szCs w:val="16"/>
          <w:lang w:val="es-PE"/>
        </w:rPr>
        <w:t>. Convocatoria a audiencia. Resolución del Presidente de la Corte de 19 de febrero de 2013, Considerando 54</w:t>
      </w:r>
      <w:r w:rsidRPr="00340E08">
        <w:rPr>
          <w:rFonts w:ascii="Verdana" w:hAnsi="Verdana"/>
          <w:sz w:val="16"/>
          <w:szCs w:val="16"/>
          <w:lang w:val="es-PE"/>
        </w:rPr>
        <w:t xml:space="preserve">, </w:t>
      </w:r>
      <w:r w:rsidRPr="00907C10">
        <w:rPr>
          <w:rFonts w:ascii="Verdana" w:hAnsi="Verdana"/>
          <w:sz w:val="16"/>
          <w:szCs w:val="16"/>
          <w:lang w:val="es-PE"/>
        </w:rPr>
        <w:t xml:space="preserve">y </w:t>
      </w:r>
      <w:r w:rsidRPr="00907C10">
        <w:rPr>
          <w:rFonts w:ascii="Verdana" w:hAnsi="Verdana"/>
          <w:i/>
          <w:sz w:val="16"/>
          <w:szCs w:val="16"/>
          <w:lang w:val="es-PE"/>
        </w:rPr>
        <w:t xml:space="preserve">Caso </w:t>
      </w:r>
      <w:proofErr w:type="spellStart"/>
      <w:r w:rsidRPr="00907C10">
        <w:rPr>
          <w:rFonts w:ascii="Verdana" w:hAnsi="Verdana"/>
          <w:i/>
          <w:sz w:val="16"/>
          <w:szCs w:val="16"/>
          <w:lang w:val="es-PE"/>
        </w:rPr>
        <w:t>Coc</w:t>
      </w:r>
      <w:proofErr w:type="spellEnd"/>
      <w:r w:rsidRPr="00907C10">
        <w:rPr>
          <w:rFonts w:ascii="Verdana" w:hAnsi="Verdana"/>
          <w:i/>
          <w:sz w:val="16"/>
          <w:szCs w:val="16"/>
          <w:lang w:val="es-PE"/>
        </w:rPr>
        <w:t xml:space="preserve"> Max y otros Vs. Guatemala</w:t>
      </w:r>
      <w:r w:rsidRPr="00907C10">
        <w:rPr>
          <w:rFonts w:ascii="Verdana" w:hAnsi="Verdana"/>
          <w:sz w:val="16"/>
          <w:szCs w:val="16"/>
          <w:lang w:val="es-PE"/>
        </w:rPr>
        <w:t>, Convocatoria a audiencia, Resolución del Presidente de la Corte de 13 de diciembre de 2017, Considerando 15.</w:t>
      </w:r>
    </w:p>
    <w:p w:rsidR="0032649A" w:rsidRPr="00907C10" w:rsidRDefault="006F4E6F" w:rsidP="006F4E6F">
      <w:pPr>
        <w:pStyle w:val="FootnoteText"/>
        <w:tabs>
          <w:tab w:val="left" w:pos="2280"/>
        </w:tabs>
        <w:jc w:val="both"/>
        <w:rPr>
          <w:rFonts w:ascii="Verdana" w:hAnsi="Verdana"/>
          <w:sz w:val="16"/>
          <w:szCs w:val="16"/>
          <w:lang w:val="es-PE"/>
        </w:rPr>
      </w:pPr>
      <w:r>
        <w:rPr>
          <w:rFonts w:ascii="Verdana" w:hAnsi="Verdana"/>
          <w:sz w:val="16"/>
          <w:szCs w:val="16"/>
          <w:lang w:val="es-PE"/>
        </w:rPr>
        <w:tab/>
      </w:r>
    </w:p>
  </w:footnote>
  <w:footnote w:id="22">
    <w:p w:rsidR="0032649A" w:rsidRPr="00907C10" w:rsidRDefault="0032649A" w:rsidP="00907C10">
      <w:pPr>
        <w:pStyle w:val="FootnoteText"/>
        <w:jc w:val="both"/>
        <w:rPr>
          <w:rFonts w:ascii="Verdana" w:hAnsi="Verdana"/>
          <w:sz w:val="16"/>
          <w:szCs w:val="16"/>
          <w:lang w:val="es-PE"/>
        </w:rPr>
      </w:pPr>
      <w:r w:rsidRPr="00907C10">
        <w:rPr>
          <w:rStyle w:val="FootnoteReference"/>
          <w:rFonts w:ascii="Verdana" w:hAnsi="Verdana"/>
          <w:sz w:val="16"/>
          <w:szCs w:val="16"/>
        </w:rPr>
        <w:footnoteRef/>
      </w:r>
      <w:r w:rsidRPr="00907C10">
        <w:rPr>
          <w:rFonts w:ascii="Verdana" w:hAnsi="Verdana"/>
          <w:sz w:val="16"/>
          <w:szCs w:val="16"/>
          <w:lang w:val="es-PE"/>
        </w:rPr>
        <w:t xml:space="preserve"> </w:t>
      </w:r>
      <w:r w:rsidRPr="00907C10">
        <w:rPr>
          <w:rFonts w:ascii="Verdana" w:hAnsi="Verdana"/>
          <w:sz w:val="16"/>
          <w:szCs w:val="16"/>
          <w:lang w:val="es-PE"/>
        </w:rPr>
        <w:tab/>
      </w:r>
      <w:r w:rsidR="00014A5A">
        <w:rPr>
          <w:rFonts w:ascii="Verdana" w:hAnsi="Verdana"/>
          <w:sz w:val="16"/>
          <w:szCs w:val="16"/>
          <w:lang w:val="es-PE"/>
        </w:rPr>
        <w:t>Declarará</w:t>
      </w:r>
      <w:r w:rsidRPr="00907C10">
        <w:rPr>
          <w:rFonts w:ascii="Verdana" w:hAnsi="Verdana"/>
          <w:sz w:val="16"/>
          <w:szCs w:val="16"/>
          <w:lang w:val="es-PE"/>
        </w:rPr>
        <w:t xml:space="preserve"> sobre</w:t>
      </w:r>
      <w:r w:rsidR="00A55A73">
        <w:rPr>
          <w:rFonts w:ascii="Verdana" w:hAnsi="Verdana"/>
          <w:sz w:val="16"/>
          <w:szCs w:val="16"/>
          <w:lang w:val="es-PE"/>
        </w:rPr>
        <w:t>:</w:t>
      </w:r>
      <w:r w:rsidRPr="00907C10">
        <w:rPr>
          <w:rFonts w:ascii="Verdana" w:hAnsi="Verdana"/>
          <w:sz w:val="16"/>
          <w:szCs w:val="16"/>
          <w:lang w:val="es-PE"/>
        </w:rPr>
        <w:t xml:space="preserve"> “los hechos ocurridos, haciendo énfasis en la forma en que fue introducido a la radio patrulla 603 y, posteriormente, tuvo que fingir su muerte para que ésta no se consumara”.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4D4" w:rsidRPr="001153FC" w:rsidRDefault="007E725C" w:rsidP="001153FC">
    <w:pPr>
      <w:pStyle w:val="Header"/>
      <w:tabs>
        <w:tab w:val="left" w:pos="5310"/>
      </w:tabs>
      <w:rPr>
        <w:rFonts w:ascii="Verdana" w:eastAsiaTheme="majorEastAsia" w:hAnsi="Verdana" w:cstheme="majorBidi"/>
        <w:sz w:val="20"/>
        <w:szCs w:val="20"/>
      </w:rPr>
    </w:pPr>
    <w:r>
      <w:rPr>
        <w:rFonts w:asciiTheme="majorHAnsi" w:eastAsiaTheme="majorEastAsia" w:hAnsiTheme="majorHAnsi" w:cstheme="majorBidi"/>
        <w:sz w:val="28"/>
        <w:szCs w:val="28"/>
      </w:rPr>
      <w:tab/>
    </w:r>
    <w:sdt>
      <w:sdtPr>
        <w:rPr>
          <w:rFonts w:asciiTheme="majorHAnsi" w:eastAsiaTheme="majorEastAsia" w:hAnsiTheme="majorHAnsi" w:cstheme="majorBidi"/>
          <w:sz w:val="28"/>
          <w:szCs w:val="28"/>
        </w:rPr>
        <w:id w:val="1875885426"/>
        <w:docPartObj>
          <w:docPartGallery w:val="Page Numbers (Top of Page)"/>
          <w:docPartUnique/>
        </w:docPartObj>
      </w:sdtPr>
      <w:sdtEndPr>
        <w:rPr>
          <w:rFonts w:ascii="Verdana" w:hAnsi="Verdana"/>
          <w:sz w:val="20"/>
          <w:szCs w:val="20"/>
        </w:rPr>
      </w:sdtEndPr>
      <w:sdtContent>
        <w:r w:rsidRPr="001153FC">
          <w:rPr>
            <w:rFonts w:ascii="Verdana" w:eastAsiaTheme="majorEastAsia" w:hAnsi="Verdana" w:cstheme="majorBidi"/>
            <w:sz w:val="20"/>
            <w:szCs w:val="20"/>
          </w:rPr>
          <w:t xml:space="preserve">- </w:t>
        </w:r>
        <w:r w:rsidRPr="001153FC">
          <w:rPr>
            <w:rFonts w:ascii="Verdana" w:eastAsiaTheme="minorEastAsia" w:hAnsi="Verdana"/>
            <w:sz w:val="20"/>
            <w:szCs w:val="20"/>
          </w:rPr>
          <w:fldChar w:fldCharType="begin"/>
        </w:r>
        <w:r w:rsidRPr="001153FC">
          <w:rPr>
            <w:rFonts w:ascii="Verdana" w:hAnsi="Verdana"/>
            <w:sz w:val="20"/>
            <w:szCs w:val="20"/>
          </w:rPr>
          <w:instrText xml:space="preserve"> PAGE    \* MERGEFORMAT </w:instrText>
        </w:r>
        <w:r w:rsidRPr="001153FC">
          <w:rPr>
            <w:rFonts w:ascii="Verdana" w:eastAsiaTheme="minorEastAsia" w:hAnsi="Verdana"/>
            <w:sz w:val="20"/>
            <w:szCs w:val="20"/>
          </w:rPr>
          <w:fldChar w:fldCharType="separate"/>
        </w:r>
        <w:r w:rsidR="005C2CF8" w:rsidRPr="005C2CF8">
          <w:rPr>
            <w:rFonts w:ascii="Verdana" w:eastAsiaTheme="majorEastAsia" w:hAnsi="Verdana" w:cstheme="majorBidi"/>
            <w:noProof/>
            <w:sz w:val="20"/>
            <w:szCs w:val="20"/>
          </w:rPr>
          <w:t>14</w:t>
        </w:r>
        <w:r w:rsidRPr="001153FC">
          <w:rPr>
            <w:rFonts w:ascii="Verdana" w:eastAsiaTheme="majorEastAsia" w:hAnsi="Verdana" w:cstheme="majorBidi"/>
            <w:noProof/>
            <w:sz w:val="20"/>
            <w:szCs w:val="20"/>
          </w:rPr>
          <w:fldChar w:fldCharType="end"/>
        </w:r>
        <w:r w:rsidRPr="001153FC">
          <w:rPr>
            <w:rFonts w:ascii="Verdana" w:eastAsiaTheme="majorEastAsia" w:hAnsi="Verdana" w:cstheme="majorBidi"/>
            <w:sz w:val="20"/>
            <w:szCs w:val="20"/>
          </w:rPr>
          <w:t xml:space="preserve"> -</w:t>
        </w:r>
      </w:sdtContent>
    </w:sdt>
  </w:p>
  <w:p w:rsidR="006514D4" w:rsidRDefault="005C2C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B5A"/>
    <w:multiLevelType w:val="multilevel"/>
    <w:tmpl w:val="DD72E01A"/>
    <w:lvl w:ilvl="0">
      <w:start w:val="2"/>
      <w:numFmt w:val="decimal"/>
      <w:lvlText w:val="%1."/>
      <w:lvlJc w:val="left"/>
      <w:pPr>
        <w:ind w:left="450" w:hanging="360"/>
      </w:pPr>
      <w:rPr>
        <w:rFonts w:ascii="Verdana" w:hAnsi="Verdana" w:hint="default"/>
        <w:b w:val="0"/>
        <w:i w:val="0"/>
        <w:sz w:val="20"/>
        <w:szCs w:val="20"/>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7E8104A"/>
    <w:multiLevelType w:val="hybridMultilevel"/>
    <w:tmpl w:val="B366C87C"/>
    <w:lvl w:ilvl="0" w:tplc="7D6C1548">
      <w:start w:val="1"/>
      <w:numFmt w:val="upperLetter"/>
      <w:lvlText w:val="%1."/>
      <w:lvlJc w:val="left"/>
      <w:pPr>
        <w:ind w:left="720" w:hanging="360"/>
      </w:pPr>
      <w:rPr>
        <w:rFonts w:hint="default"/>
        <w:b/>
        <w:i/>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B71142E"/>
    <w:multiLevelType w:val="multilevel"/>
    <w:tmpl w:val="FD60D696"/>
    <w:lvl w:ilvl="0">
      <w:start w:val="34"/>
      <w:numFmt w:val="decimal"/>
      <w:lvlText w:val="%1."/>
      <w:lvlJc w:val="left"/>
      <w:pPr>
        <w:ind w:left="450" w:hanging="360"/>
      </w:pPr>
      <w:rPr>
        <w:rFonts w:ascii="Verdana" w:hAnsi="Verdana" w:hint="default"/>
        <w:b w:val="0"/>
        <w:i w:val="0"/>
        <w:strike w:val="0"/>
        <w:color w:val="auto"/>
        <w:sz w:val="20"/>
        <w:szCs w:val="20"/>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5"/>
      <w:numFmt w:val="decimal"/>
      <w:lvlText w:val="%4."/>
      <w:lvlJc w:val="left"/>
      <w:pPr>
        <w:ind w:left="63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2E0A7AE1"/>
    <w:multiLevelType w:val="multilevel"/>
    <w:tmpl w:val="17BAA38C"/>
    <w:lvl w:ilvl="0">
      <w:start w:val="1"/>
      <w:numFmt w:val="decimal"/>
      <w:lvlText w:val="%1."/>
      <w:lvlJc w:val="left"/>
      <w:pPr>
        <w:ind w:left="720" w:hanging="360"/>
      </w:pPr>
      <w:rPr>
        <w:b w:val="0"/>
        <w:i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4E7652"/>
    <w:multiLevelType w:val="hybridMultilevel"/>
    <w:tmpl w:val="03F64B50"/>
    <w:lvl w:ilvl="0" w:tplc="06E03C86">
      <w:start w:val="1"/>
      <w:numFmt w:val="decimal"/>
      <w:lvlText w:val="%1."/>
      <w:lvlJc w:val="left"/>
      <w:pPr>
        <w:ind w:left="1440" w:hanging="360"/>
      </w:pPr>
      <w:rPr>
        <w:rFonts w:ascii="Verdana" w:hAnsi="Verdana" w:cs="Times New Roman"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EAB2DD6"/>
    <w:multiLevelType w:val="hybridMultilevel"/>
    <w:tmpl w:val="1CE26722"/>
    <w:lvl w:ilvl="0" w:tplc="85EE5ADC">
      <w:start w:val="1"/>
      <w:numFmt w:val="decimal"/>
      <w:lvlText w:val="%1)"/>
      <w:lvlJc w:val="left"/>
      <w:pPr>
        <w:ind w:left="1170" w:hanging="360"/>
      </w:pPr>
      <w:rPr>
        <w:rFonts w:hint="default"/>
        <w: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547846BE"/>
    <w:multiLevelType w:val="multilevel"/>
    <w:tmpl w:val="0096C798"/>
    <w:lvl w:ilvl="0">
      <w:start w:val="1"/>
      <w:numFmt w:val="decimal"/>
      <w:lvlText w:val="%1."/>
      <w:lvlJc w:val="left"/>
      <w:pPr>
        <w:ind w:left="450" w:hanging="360"/>
      </w:pPr>
      <w:rPr>
        <w:rFonts w:ascii="Verdana" w:hAnsi="Verdana" w:hint="default"/>
        <w:b w:val="0"/>
        <w:i w:val="0"/>
        <w:strike w:val="0"/>
        <w:color w:val="auto"/>
        <w:sz w:val="20"/>
        <w:szCs w:val="20"/>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63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5B562F05"/>
    <w:multiLevelType w:val="hybridMultilevel"/>
    <w:tmpl w:val="CDC0E33A"/>
    <w:lvl w:ilvl="0" w:tplc="6AF6BEEA">
      <w:start w:val="1"/>
      <w:numFmt w:val="decimal"/>
      <w:lvlText w:val="%1)"/>
      <w:lvlJc w:val="left"/>
      <w:pPr>
        <w:ind w:left="720" w:hanging="360"/>
      </w:pPr>
      <w:rPr>
        <w:rFonts w:eastAsia="Times New Roman" w:cs="Times New Roma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1C1AD3"/>
    <w:multiLevelType w:val="hybridMultilevel"/>
    <w:tmpl w:val="AA5866DC"/>
    <w:lvl w:ilvl="0" w:tplc="40683EE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1"/>
  </w:num>
  <w:num w:numId="5">
    <w:abstractNumId w:val="8"/>
  </w:num>
  <w:num w:numId="6">
    <w:abstractNumId w:val="7"/>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49A"/>
    <w:rsid w:val="0000192E"/>
    <w:rsid w:val="00014A5A"/>
    <w:rsid w:val="00061E6F"/>
    <w:rsid w:val="000A170A"/>
    <w:rsid w:val="000F159A"/>
    <w:rsid w:val="000F397A"/>
    <w:rsid w:val="000F410D"/>
    <w:rsid w:val="001125A8"/>
    <w:rsid w:val="001404EF"/>
    <w:rsid w:val="0014742B"/>
    <w:rsid w:val="00160C8F"/>
    <w:rsid w:val="001A2D9F"/>
    <w:rsid w:val="001D4FEA"/>
    <w:rsid w:val="001E00BC"/>
    <w:rsid w:val="001E1C24"/>
    <w:rsid w:val="00201929"/>
    <w:rsid w:val="00201DCF"/>
    <w:rsid w:val="00202641"/>
    <w:rsid w:val="002223D1"/>
    <w:rsid w:val="00254394"/>
    <w:rsid w:val="002A2616"/>
    <w:rsid w:val="002C1CDD"/>
    <w:rsid w:val="002C2401"/>
    <w:rsid w:val="002D0921"/>
    <w:rsid w:val="002D0942"/>
    <w:rsid w:val="0032649A"/>
    <w:rsid w:val="0033184F"/>
    <w:rsid w:val="003401D7"/>
    <w:rsid w:val="00340E08"/>
    <w:rsid w:val="0034397A"/>
    <w:rsid w:val="004024F5"/>
    <w:rsid w:val="00406143"/>
    <w:rsid w:val="00440B71"/>
    <w:rsid w:val="00441228"/>
    <w:rsid w:val="0049548F"/>
    <w:rsid w:val="00534023"/>
    <w:rsid w:val="0056566D"/>
    <w:rsid w:val="00574F6A"/>
    <w:rsid w:val="00575EAC"/>
    <w:rsid w:val="005C2CF8"/>
    <w:rsid w:val="005E1042"/>
    <w:rsid w:val="006028C4"/>
    <w:rsid w:val="00626639"/>
    <w:rsid w:val="00634B34"/>
    <w:rsid w:val="00650515"/>
    <w:rsid w:val="00665184"/>
    <w:rsid w:val="006F13E9"/>
    <w:rsid w:val="006F4E6F"/>
    <w:rsid w:val="00746A40"/>
    <w:rsid w:val="00755D75"/>
    <w:rsid w:val="007606EA"/>
    <w:rsid w:val="007811CF"/>
    <w:rsid w:val="00785140"/>
    <w:rsid w:val="007E0B3A"/>
    <w:rsid w:val="007E725C"/>
    <w:rsid w:val="007F26F0"/>
    <w:rsid w:val="007F322D"/>
    <w:rsid w:val="00823ED8"/>
    <w:rsid w:val="00870E4C"/>
    <w:rsid w:val="008F4CE7"/>
    <w:rsid w:val="00907C10"/>
    <w:rsid w:val="009412C2"/>
    <w:rsid w:val="00986EB4"/>
    <w:rsid w:val="009A180E"/>
    <w:rsid w:val="009B2223"/>
    <w:rsid w:val="009B2CDA"/>
    <w:rsid w:val="009C183D"/>
    <w:rsid w:val="009E3C0A"/>
    <w:rsid w:val="009F1322"/>
    <w:rsid w:val="009F6594"/>
    <w:rsid w:val="00A37B21"/>
    <w:rsid w:val="00A55A73"/>
    <w:rsid w:val="00A62372"/>
    <w:rsid w:val="00AA7445"/>
    <w:rsid w:val="00AB0704"/>
    <w:rsid w:val="00AC0D97"/>
    <w:rsid w:val="00B03EE8"/>
    <w:rsid w:val="00B0428E"/>
    <w:rsid w:val="00B87133"/>
    <w:rsid w:val="00B9793C"/>
    <w:rsid w:val="00BE019A"/>
    <w:rsid w:val="00BF72DB"/>
    <w:rsid w:val="00C72292"/>
    <w:rsid w:val="00CC1C16"/>
    <w:rsid w:val="00D155A7"/>
    <w:rsid w:val="00D157F4"/>
    <w:rsid w:val="00D4760A"/>
    <w:rsid w:val="00D578D2"/>
    <w:rsid w:val="00D972F5"/>
    <w:rsid w:val="00DA409A"/>
    <w:rsid w:val="00DA4C08"/>
    <w:rsid w:val="00DB0393"/>
    <w:rsid w:val="00DD47D8"/>
    <w:rsid w:val="00DD79F5"/>
    <w:rsid w:val="00DF0269"/>
    <w:rsid w:val="00E61AC1"/>
    <w:rsid w:val="00ED0DA4"/>
    <w:rsid w:val="00EE25B7"/>
    <w:rsid w:val="00EE78FF"/>
    <w:rsid w:val="00EF2A2F"/>
    <w:rsid w:val="00EF7830"/>
    <w:rsid w:val="00F0655F"/>
    <w:rsid w:val="00F22007"/>
    <w:rsid w:val="00F439B9"/>
    <w:rsid w:val="00F6133F"/>
    <w:rsid w:val="00F82A5D"/>
    <w:rsid w:val="00F918E8"/>
    <w:rsid w:val="00F92A9D"/>
    <w:rsid w:val="00FC5648"/>
    <w:rsid w:val="00FD09A3"/>
    <w:rsid w:val="00FE736A"/>
    <w:rsid w:val="00FF5AF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49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4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49A"/>
    <w:rPr>
      <w:lang w:val="en-US"/>
    </w:rPr>
  </w:style>
  <w:style w:type="paragraph" w:styleId="ListParagraph">
    <w:name w:val="List Paragraph"/>
    <w:aliases w:val="Footnote,Colorful List - Accent 11,List Paragraph2,List Paragraph1,Párrafo de lista1,Lista vistosa - Énfasis 11,Subtle Emphasis1,Footnote1"/>
    <w:basedOn w:val="Normal"/>
    <w:link w:val="ListParagraphChar"/>
    <w:uiPriority w:val="99"/>
    <w:qFormat/>
    <w:rsid w:val="0032649A"/>
    <w:pPr>
      <w:ind w:left="720"/>
      <w:contextualSpacing/>
    </w:pPr>
  </w:style>
  <w:style w:type="paragraph" w:customStyle="1" w:styleId="Normal1">
    <w:name w:val="Normal1"/>
    <w:rsid w:val="0032649A"/>
    <w:pPr>
      <w:widowControl w:val="0"/>
      <w:spacing w:after="0" w:line="240" w:lineRule="auto"/>
    </w:pPr>
    <w:rPr>
      <w:rFonts w:ascii="Times New Roman" w:eastAsia="Times New Roman" w:hAnsi="Times New Roman" w:cs="Times New Roman"/>
      <w:sz w:val="24"/>
      <w:szCs w:val="24"/>
      <w:lang w:val="es-CR"/>
    </w:rPr>
  </w:style>
  <w:style w:type="paragraph" w:styleId="FootnoteText">
    <w:name w:val="footnote text"/>
    <w:aliases w:val="Footnote reference,FA Fu,Footnote Text Char Char Char Char Char,Footnote Text Char Char Char Char,Footnote Text Char Char Char,Footnote Text Cha,FA Fußnotentext,FA Fuﬂnotentext,Footnote Text Char Char,FA Fu?notentext,Ca,Texto nota pie Car"/>
    <w:basedOn w:val="Normal"/>
    <w:link w:val="FootnoteTextChar"/>
    <w:uiPriority w:val="99"/>
    <w:unhideWhenUsed/>
    <w:qFormat/>
    <w:rsid w:val="0032649A"/>
    <w:pPr>
      <w:spacing w:after="0" w:line="240" w:lineRule="auto"/>
    </w:pPr>
    <w:rPr>
      <w:sz w:val="20"/>
      <w:szCs w:val="20"/>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A Fuﬂnotentext Char,Ca Char"/>
    <w:basedOn w:val="DefaultParagraphFont"/>
    <w:link w:val="FootnoteText"/>
    <w:uiPriority w:val="99"/>
    <w:qFormat/>
    <w:rsid w:val="0032649A"/>
    <w:rPr>
      <w:sz w:val="20"/>
      <w:szCs w:val="20"/>
      <w:lang w:val="en-US"/>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basedOn w:val="DefaultParagraphFont"/>
    <w:link w:val="4GChar"/>
    <w:uiPriority w:val="99"/>
    <w:unhideWhenUsed/>
    <w:qFormat/>
    <w:rsid w:val="0032649A"/>
    <w:rPr>
      <w:vertAlign w:val="superscript"/>
    </w:rPr>
  </w:style>
  <w:style w:type="character" w:styleId="CommentReference">
    <w:name w:val="annotation reference"/>
    <w:basedOn w:val="DefaultParagraphFont"/>
    <w:uiPriority w:val="99"/>
    <w:semiHidden/>
    <w:unhideWhenUsed/>
    <w:rsid w:val="0032649A"/>
    <w:rPr>
      <w:sz w:val="16"/>
      <w:szCs w:val="16"/>
    </w:rPr>
  </w:style>
  <w:style w:type="paragraph" w:styleId="CommentText">
    <w:name w:val="annotation text"/>
    <w:basedOn w:val="Normal"/>
    <w:link w:val="CommentTextChar"/>
    <w:uiPriority w:val="99"/>
    <w:semiHidden/>
    <w:unhideWhenUsed/>
    <w:rsid w:val="0032649A"/>
    <w:pPr>
      <w:spacing w:line="240" w:lineRule="auto"/>
    </w:pPr>
    <w:rPr>
      <w:sz w:val="20"/>
      <w:szCs w:val="20"/>
    </w:rPr>
  </w:style>
  <w:style w:type="character" w:customStyle="1" w:styleId="CommentTextChar">
    <w:name w:val="Comment Text Char"/>
    <w:basedOn w:val="DefaultParagraphFont"/>
    <w:link w:val="CommentText"/>
    <w:uiPriority w:val="99"/>
    <w:semiHidden/>
    <w:rsid w:val="0032649A"/>
    <w:rPr>
      <w:sz w:val="20"/>
      <w:szCs w:val="20"/>
      <w:lang w:val="en-US"/>
    </w:rPr>
  </w:style>
  <w:style w:type="character" w:customStyle="1" w:styleId="ListParagraphChar">
    <w:name w:val="List Paragraph Char"/>
    <w:aliases w:val="Footnote Char,Colorful List - Accent 11 Char,List Paragraph2 Char,List Paragraph1 Char,Párrafo de lista1 Char,Lista vistosa - Énfasis 11 Char,Subtle Emphasis1 Char,Footnote1 Char"/>
    <w:link w:val="ListParagraph"/>
    <w:uiPriority w:val="99"/>
    <w:rsid w:val="0032649A"/>
    <w:rPr>
      <w:lang w:val="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32649A"/>
    <w:pPr>
      <w:spacing w:after="0" w:line="240" w:lineRule="auto"/>
      <w:jc w:val="both"/>
    </w:pPr>
    <w:rPr>
      <w:vertAlign w:val="superscript"/>
      <w:lang w:val="es-PE"/>
    </w:rPr>
  </w:style>
  <w:style w:type="paragraph" w:styleId="BalloonText">
    <w:name w:val="Balloon Text"/>
    <w:basedOn w:val="Normal"/>
    <w:link w:val="BalloonTextChar"/>
    <w:uiPriority w:val="99"/>
    <w:semiHidden/>
    <w:unhideWhenUsed/>
    <w:rsid w:val="00326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49A"/>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49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4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49A"/>
    <w:rPr>
      <w:lang w:val="en-US"/>
    </w:rPr>
  </w:style>
  <w:style w:type="paragraph" w:styleId="ListParagraph">
    <w:name w:val="List Paragraph"/>
    <w:aliases w:val="Footnote,Colorful List - Accent 11,List Paragraph2,List Paragraph1,Párrafo de lista1,Lista vistosa - Énfasis 11,Subtle Emphasis1,Footnote1"/>
    <w:basedOn w:val="Normal"/>
    <w:link w:val="ListParagraphChar"/>
    <w:uiPriority w:val="99"/>
    <w:qFormat/>
    <w:rsid w:val="0032649A"/>
    <w:pPr>
      <w:ind w:left="720"/>
      <w:contextualSpacing/>
    </w:pPr>
  </w:style>
  <w:style w:type="paragraph" w:customStyle="1" w:styleId="Normal1">
    <w:name w:val="Normal1"/>
    <w:rsid w:val="0032649A"/>
    <w:pPr>
      <w:widowControl w:val="0"/>
      <w:spacing w:after="0" w:line="240" w:lineRule="auto"/>
    </w:pPr>
    <w:rPr>
      <w:rFonts w:ascii="Times New Roman" w:eastAsia="Times New Roman" w:hAnsi="Times New Roman" w:cs="Times New Roman"/>
      <w:sz w:val="24"/>
      <w:szCs w:val="24"/>
      <w:lang w:val="es-CR"/>
    </w:rPr>
  </w:style>
  <w:style w:type="paragraph" w:styleId="FootnoteText">
    <w:name w:val="footnote text"/>
    <w:aliases w:val="Footnote reference,FA Fu,Footnote Text Char Char Char Char Char,Footnote Text Char Char Char Char,Footnote Text Char Char Char,Footnote Text Cha,FA Fußnotentext,FA Fuﬂnotentext,Footnote Text Char Char,FA Fu?notentext,Ca,Texto nota pie Car"/>
    <w:basedOn w:val="Normal"/>
    <w:link w:val="FootnoteTextChar"/>
    <w:uiPriority w:val="99"/>
    <w:unhideWhenUsed/>
    <w:qFormat/>
    <w:rsid w:val="0032649A"/>
    <w:pPr>
      <w:spacing w:after="0" w:line="240" w:lineRule="auto"/>
    </w:pPr>
    <w:rPr>
      <w:sz w:val="20"/>
      <w:szCs w:val="20"/>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A Fuﬂnotentext Char,Ca Char"/>
    <w:basedOn w:val="DefaultParagraphFont"/>
    <w:link w:val="FootnoteText"/>
    <w:uiPriority w:val="99"/>
    <w:qFormat/>
    <w:rsid w:val="0032649A"/>
    <w:rPr>
      <w:sz w:val="20"/>
      <w:szCs w:val="20"/>
      <w:lang w:val="en-US"/>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basedOn w:val="DefaultParagraphFont"/>
    <w:link w:val="4GChar"/>
    <w:uiPriority w:val="99"/>
    <w:unhideWhenUsed/>
    <w:qFormat/>
    <w:rsid w:val="0032649A"/>
    <w:rPr>
      <w:vertAlign w:val="superscript"/>
    </w:rPr>
  </w:style>
  <w:style w:type="character" w:styleId="CommentReference">
    <w:name w:val="annotation reference"/>
    <w:basedOn w:val="DefaultParagraphFont"/>
    <w:uiPriority w:val="99"/>
    <w:semiHidden/>
    <w:unhideWhenUsed/>
    <w:rsid w:val="0032649A"/>
    <w:rPr>
      <w:sz w:val="16"/>
      <w:szCs w:val="16"/>
    </w:rPr>
  </w:style>
  <w:style w:type="paragraph" w:styleId="CommentText">
    <w:name w:val="annotation text"/>
    <w:basedOn w:val="Normal"/>
    <w:link w:val="CommentTextChar"/>
    <w:uiPriority w:val="99"/>
    <w:semiHidden/>
    <w:unhideWhenUsed/>
    <w:rsid w:val="0032649A"/>
    <w:pPr>
      <w:spacing w:line="240" w:lineRule="auto"/>
    </w:pPr>
    <w:rPr>
      <w:sz w:val="20"/>
      <w:szCs w:val="20"/>
    </w:rPr>
  </w:style>
  <w:style w:type="character" w:customStyle="1" w:styleId="CommentTextChar">
    <w:name w:val="Comment Text Char"/>
    <w:basedOn w:val="DefaultParagraphFont"/>
    <w:link w:val="CommentText"/>
    <w:uiPriority w:val="99"/>
    <w:semiHidden/>
    <w:rsid w:val="0032649A"/>
    <w:rPr>
      <w:sz w:val="20"/>
      <w:szCs w:val="20"/>
      <w:lang w:val="en-US"/>
    </w:rPr>
  </w:style>
  <w:style w:type="character" w:customStyle="1" w:styleId="ListParagraphChar">
    <w:name w:val="List Paragraph Char"/>
    <w:aliases w:val="Footnote Char,Colorful List - Accent 11 Char,List Paragraph2 Char,List Paragraph1 Char,Párrafo de lista1 Char,Lista vistosa - Énfasis 11 Char,Subtle Emphasis1 Char,Footnote1 Char"/>
    <w:link w:val="ListParagraph"/>
    <w:uiPriority w:val="99"/>
    <w:rsid w:val="0032649A"/>
    <w:rPr>
      <w:lang w:val="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32649A"/>
    <w:pPr>
      <w:spacing w:after="0" w:line="240" w:lineRule="auto"/>
      <w:jc w:val="both"/>
    </w:pPr>
    <w:rPr>
      <w:vertAlign w:val="superscript"/>
      <w:lang w:val="es-PE"/>
    </w:rPr>
  </w:style>
  <w:style w:type="paragraph" w:styleId="BalloonText">
    <w:name w:val="Balloon Text"/>
    <w:basedOn w:val="Normal"/>
    <w:link w:val="BalloonTextChar"/>
    <w:uiPriority w:val="99"/>
    <w:semiHidden/>
    <w:unhideWhenUsed/>
    <w:rsid w:val="00326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49A"/>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71603-1F7C-46DC-A4AD-14220A385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5179</Words>
  <Characters>29522</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Mabel Fernandez</cp:lastModifiedBy>
  <cp:revision>2</cp:revision>
  <cp:lastPrinted>2019-02-18T15:11:00Z</cp:lastPrinted>
  <dcterms:created xsi:type="dcterms:W3CDTF">2019-02-18T15:11:00Z</dcterms:created>
  <dcterms:modified xsi:type="dcterms:W3CDTF">2019-02-18T15:11:00Z</dcterms:modified>
</cp:coreProperties>
</file>