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0B8EA" w14:textId="77777777" w:rsidR="002C7584" w:rsidRDefault="002C7584" w:rsidP="00774762">
      <w:pPr>
        <w:tabs>
          <w:tab w:val="left" w:pos="567"/>
        </w:tabs>
        <w:jc w:val="center"/>
        <w:rPr>
          <w:rFonts w:eastAsiaTheme="minorHAnsi" w:cstheme="minorBidi"/>
          <w:b/>
          <w:szCs w:val="22"/>
          <w:lang w:val="es-MX"/>
        </w:rPr>
      </w:pPr>
    </w:p>
    <w:p w14:paraId="70A2B848" w14:textId="77777777" w:rsidR="005C5BB3" w:rsidRDefault="005C5BB3" w:rsidP="00774762">
      <w:pPr>
        <w:tabs>
          <w:tab w:val="left" w:pos="567"/>
        </w:tabs>
        <w:jc w:val="center"/>
        <w:rPr>
          <w:rFonts w:eastAsiaTheme="minorHAnsi" w:cstheme="minorBidi"/>
          <w:b/>
          <w:szCs w:val="22"/>
          <w:lang w:val="es-MX"/>
        </w:rPr>
      </w:pPr>
    </w:p>
    <w:p w14:paraId="2D8482BE" w14:textId="77777777" w:rsidR="005C5BB3" w:rsidRDefault="005C5BB3" w:rsidP="00774762">
      <w:pPr>
        <w:tabs>
          <w:tab w:val="left" w:pos="567"/>
        </w:tabs>
        <w:jc w:val="center"/>
        <w:rPr>
          <w:rFonts w:eastAsiaTheme="minorHAnsi" w:cstheme="minorBidi"/>
          <w:b/>
          <w:szCs w:val="22"/>
          <w:lang w:val="es-MX"/>
        </w:rPr>
      </w:pPr>
    </w:p>
    <w:p w14:paraId="4F986BBE" w14:textId="77777777" w:rsidR="005C5BB3" w:rsidRDefault="005C5BB3" w:rsidP="00774762">
      <w:pPr>
        <w:tabs>
          <w:tab w:val="left" w:pos="567"/>
        </w:tabs>
        <w:jc w:val="center"/>
        <w:rPr>
          <w:rFonts w:eastAsiaTheme="minorHAnsi" w:cstheme="minorBidi"/>
          <w:b/>
          <w:szCs w:val="22"/>
          <w:lang w:val="es-MX"/>
        </w:rPr>
      </w:pPr>
    </w:p>
    <w:p w14:paraId="256A451F" w14:textId="568E092E" w:rsidR="00594851" w:rsidRDefault="00594851" w:rsidP="00774762">
      <w:pPr>
        <w:jc w:val="center"/>
        <w:rPr>
          <w:rFonts w:eastAsiaTheme="minorHAnsi" w:cstheme="minorBidi"/>
          <w:b/>
          <w:szCs w:val="22"/>
          <w:lang w:val="es-MX"/>
        </w:rPr>
      </w:pPr>
      <w:r w:rsidRPr="00CB6343">
        <w:rPr>
          <w:rFonts w:eastAsiaTheme="minorHAnsi" w:cstheme="minorBidi"/>
          <w:b/>
          <w:szCs w:val="22"/>
          <w:lang w:val="es-MX"/>
        </w:rPr>
        <w:t>RESOLUCIÓN DE LA</w:t>
      </w:r>
    </w:p>
    <w:p w14:paraId="0C7DF0DD" w14:textId="77777777" w:rsidR="0072153A" w:rsidRPr="00CB6343" w:rsidRDefault="0072153A" w:rsidP="00774762">
      <w:pPr>
        <w:rPr>
          <w:rFonts w:eastAsiaTheme="minorHAnsi" w:cstheme="minorBidi"/>
          <w:b/>
          <w:szCs w:val="22"/>
          <w:lang w:val="es-MX"/>
        </w:rPr>
      </w:pPr>
    </w:p>
    <w:p w14:paraId="78EA7BB8" w14:textId="77777777" w:rsidR="00AC7107" w:rsidRPr="00284EAE" w:rsidRDefault="00AC7107" w:rsidP="00774762">
      <w:pPr>
        <w:pStyle w:val="Ttulo"/>
        <w:tabs>
          <w:tab w:val="left" w:pos="567"/>
        </w:tabs>
        <w:rPr>
          <w:spacing w:val="-4"/>
          <w:lang w:val="es-CR"/>
        </w:rPr>
      </w:pPr>
      <w:r w:rsidRPr="00284EAE">
        <w:rPr>
          <w:spacing w:val="-4"/>
          <w:lang w:val="es-CR"/>
        </w:rPr>
        <w:t>CORTE INTERAMERICANA DE DERECHOS HUMANOS</w:t>
      </w:r>
    </w:p>
    <w:p w14:paraId="56992A4B" w14:textId="77777777" w:rsidR="00594851" w:rsidRPr="00CB6343" w:rsidRDefault="00594851" w:rsidP="00774762">
      <w:pPr>
        <w:tabs>
          <w:tab w:val="left" w:pos="567"/>
        </w:tabs>
        <w:jc w:val="center"/>
        <w:rPr>
          <w:rFonts w:ascii="Garamond" w:eastAsiaTheme="minorHAnsi" w:hAnsi="Garamond" w:cstheme="minorBidi"/>
          <w:b/>
          <w:sz w:val="24"/>
          <w:szCs w:val="22"/>
          <w:lang w:val="es-ES_tradnl"/>
        </w:rPr>
      </w:pPr>
    </w:p>
    <w:p w14:paraId="4CF8612D" w14:textId="28D528D7" w:rsidR="00594851" w:rsidRPr="00CB6343" w:rsidRDefault="00594851" w:rsidP="00774762">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DE </w:t>
      </w:r>
      <w:r w:rsidR="00717702" w:rsidRPr="00717702">
        <w:rPr>
          <w:rStyle w:val="Refdenotaalpie"/>
          <w:b/>
          <w:vertAlign w:val="baseline"/>
          <w:lang w:val="es-CR"/>
        </w:rPr>
        <w:t>26</w:t>
      </w:r>
      <w:r w:rsidR="00712DF8">
        <w:rPr>
          <w:lang w:val="es-CR"/>
        </w:rPr>
        <w:t xml:space="preserve"> </w:t>
      </w:r>
      <w:r w:rsidR="00712DF8">
        <w:rPr>
          <w:b/>
          <w:lang w:val="es-CR"/>
        </w:rPr>
        <w:t xml:space="preserve">DE </w:t>
      </w:r>
      <w:r w:rsidR="00717702">
        <w:rPr>
          <w:b/>
          <w:lang w:val="es-CR"/>
        </w:rPr>
        <w:t xml:space="preserve">AGOSTO </w:t>
      </w:r>
      <w:r>
        <w:rPr>
          <w:rFonts w:eastAsiaTheme="minorHAnsi" w:cstheme="minorBidi"/>
          <w:b/>
          <w:szCs w:val="22"/>
          <w:lang w:val="es-MX"/>
        </w:rPr>
        <w:t>DE 2019</w:t>
      </w:r>
    </w:p>
    <w:p w14:paraId="6FB4E4B2" w14:textId="77777777" w:rsidR="00594851" w:rsidRPr="006A6717" w:rsidRDefault="00594851" w:rsidP="00774762">
      <w:pPr>
        <w:tabs>
          <w:tab w:val="left" w:pos="567"/>
          <w:tab w:val="left" w:pos="3709"/>
        </w:tabs>
        <w:rPr>
          <w:rFonts w:eastAsiaTheme="minorHAnsi" w:cstheme="minorBidi"/>
          <w:b/>
          <w:szCs w:val="22"/>
          <w:lang w:val="es-CR"/>
        </w:rPr>
      </w:pPr>
    </w:p>
    <w:p w14:paraId="09B66958" w14:textId="16FCD7D8" w:rsidR="00594851" w:rsidRPr="006A6717" w:rsidRDefault="006B67F6" w:rsidP="00774762">
      <w:pPr>
        <w:tabs>
          <w:tab w:val="left" w:pos="567"/>
        </w:tabs>
        <w:jc w:val="center"/>
        <w:rPr>
          <w:rFonts w:eastAsiaTheme="minorHAnsi" w:cstheme="minorBidi"/>
          <w:b/>
          <w:szCs w:val="22"/>
          <w:lang w:val="es-CR"/>
        </w:rPr>
      </w:pPr>
      <w:r>
        <w:rPr>
          <w:rFonts w:eastAsiaTheme="minorHAnsi" w:cstheme="minorBidi"/>
          <w:b/>
          <w:szCs w:val="22"/>
          <w:lang w:val="es-CR"/>
        </w:rPr>
        <w:t>CASO ROJAS MARÍ</w:t>
      </w:r>
      <w:r w:rsidR="00712DF8">
        <w:rPr>
          <w:rFonts w:eastAsiaTheme="minorHAnsi" w:cstheme="minorBidi"/>
          <w:b/>
          <w:szCs w:val="22"/>
          <w:lang w:val="es-CR"/>
        </w:rPr>
        <w:t>N Y OTRA</w:t>
      </w:r>
      <w:r w:rsidR="007917BD">
        <w:rPr>
          <w:rFonts w:eastAsiaTheme="minorHAnsi" w:cstheme="minorBidi"/>
          <w:b/>
          <w:szCs w:val="22"/>
          <w:lang w:val="es-CR"/>
        </w:rPr>
        <w:t xml:space="preserve"> </w:t>
      </w:r>
      <w:r w:rsidR="007917BD" w:rsidRPr="007917BD">
        <w:rPr>
          <w:rFonts w:eastAsiaTheme="minorHAnsi" w:cstheme="minorBidi"/>
          <w:b/>
          <w:i/>
          <w:szCs w:val="22"/>
          <w:lang w:val="es-CR"/>
        </w:rPr>
        <w:t>VS.</w:t>
      </w:r>
      <w:r>
        <w:rPr>
          <w:rFonts w:eastAsiaTheme="minorHAnsi" w:cstheme="minorBidi"/>
          <w:b/>
          <w:szCs w:val="22"/>
          <w:lang w:val="es-CR"/>
        </w:rPr>
        <w:t xml:space="preserve"> PERÚ</w:t>
      </w:r>
      <w:r w:rsidR="00712DF8">
        <w:rPr>
          <w:rFonts w:eastAsiaTheme="minorHAnsi" w:cstheme="minorBidi"/>
          <w:b/>
          <w:szCs w:val="22"/>
          <w:lang w:val="es-CR"/>
        </w:rPr>
        <w:t xml:space="preserve"> </w:t>
      </w:r>
    </w:p>
    <w:p w14:paraId="35F3FF01" w14:textId="77777777" w:rsidR="00594851" w:rsidRPr="006A6717" w:rsidRDefault="00594851" w:rsidP="00774762">
      <w:pPr>
        <w:tabs>
          <w:tab w:val="left" w:pos="567"/>
        </w:tabs>
        <w:jc w:val="both"/>
        <w:rPr>
          <w:rFonts w:asciiTheme="minorHAnsi" w:eastAsiaTheme="minorHAnsi" w:hAnsiTheme="minorHAnsi" w:cstheme="minorBidi"/>
          <w:sz w:val="22"/>
          <w:szCs w:val="22"/>
          <w:lang w:val="es-CR"/>
        </w:rPr>
      </w:pPr>
    </w:p>
    <w:p w14:paraId="6C8A9F61" w14:textId="77777777" w:rsidR="00594851" w:rsidRPr="006A6717" w:rsidRDefault="00594851" w:rsidP="00774762">
      <w:pPr>
        <w:tabs>
          <w:tab w:val="left" w:pos="567"/>
        </w:tabs>
        <w:jc w:val="both"/>
        <w:rPr>
          <w:rFonts w:asciiTheme="minorHAnsi" w:eastAsiaTheme="minorHAnsi" w:hAnsiTheme="minorHAnsi" w:cstheme="minorBidi"/>
          <w:sz w:val="22"/>
          <w:szCs w:val="22"/>
          <w:lang w:val="es-CR"/>
        </w:rPr>
      </w:pPr>
    </w:p>
    <w:p w14:paraId="1D113A29" w14:textId="77777777" w:rsidR="00594851" w:rsidRPr="00CB6343" w:rsidRDefault="00594851" w:rsidP="00774762">
      <w:pPr>
        <w:tabs>
          <w:tab w:val="left" w:pos="567"/>
        </w:tabs>
        <w:jc w:val="both"/>
        <w:rPr>
          <w:rFonts w:eastAsiaTheme="minorHAnsi" w:cstheme="minorBidi"/>
          <w:b/>
          <w:szCs w:val="22"/>
          <w:lang w:val="es-MX"/>
        </w:rPr>
      </w:pPr>
      <w:r w:rsidRPr="00CB6343">
        <w:rPr>
          <w:rFonts w:eastAsiaTheme="minorHAnsi" w:cstheme="minorBidi"/>
          <w:b/>
          <w:szCs w:val="22"/>
          <w:lang w:val="es-MX"/>
        </w:rPr>
        <w:t>VISTO:</w:t>
      </w:r>
    </w:p>
    <w:p w14:paraId="38F0FC5B" w14:textId="77777777" w:rsidR="00594851" w:rsidRPr="00CB6343" w:rsidRDefault="00594851" w:rsidP="00774762">
      <w:pPr>
        <w:tabs>
          <w:tab w:val="left" w:pos="567"/>
        </w:tabs>
        <w:jc w:val="both"/>
        <w:rPr>
          <w:rFonts w:eastAsiaTheme="minorHAnsi" w:cstheme="minorBidi"/>
          <w:b/>
          <w:szCs w:val="22"/>
          <w:lang w:val="es-MX"/>
        </w:rPr>
      </w:pPr>
    </w:p>
    <w:p w14:paraId="29CA476B" w14:textId="4B2AC711" w:rsidR="0072153A" w:rsidRDefault="0072153A" w:rsidP="00773E45">
      <w:pPr>
        <w:pStyle w:val="Numberedparagraphs"/>
        <w:tabs>
          <w:tab w:val="left" w:pos="567"/>
        </w:tabs>
      </w:pPr>
      <w:r>
        <w:t xml:space="preserve">La Resolución del </w:t>
      </w:r>
      <w:proofErr w:type="gramStart"/>
      <w:r>
        <w:t>Presidente</w:t>
      </w:r>
      <w:proofErr w:type="gramEnd"/>
      <w:r>
        <w:t xml:space="preserve"> (en adelante “el Presidente”) de la Corte Interamericana de Derechos Humanos (en adelante “la Corte Interamericana”, “la Corte” o “este Tribunal”) de 10 </w:t>
      </w:r>
      <w:r w:rsidR="00773E45">
        <w:t xml:space="preserve">de </w:t>
      </w:r>
      <w:r>
        <w:t xml:space="preserve">julio de 2019 (en adelante “la Resolución”), en la cual, entre otros, resolvió: </w:t>
      </w:r>
    </w:p>
    <w:p w14:paraId="4323A8B3" w14:textId="77777777" w:rsidR="00773E45" w:rsidRPr="00773E45" w:rsidRDefault="00773E45" w:rsidP="00773E45">
      <w:pPr>
        <w:pStyle w:val="Numberedparagraphs"/>
        <w:numPr>
          <w:ilvl w:val="0"/>
          <w:numId w:val="0"/>
        </w:numPr>
        <w:tabs>
          <w:tab w:val="left" w:pos="567"/>
        </w:tabs>
      </w:pPr>
    </w:p>
    <w:p w14:paraId="5022A6BE" w14:textId="77777777" w:rsidR="0072153A" w:rsidRPr="0072153A" w:rsidRDefault="0072153A" w:rsidP="00774762">
      <w:pPr>
        <w:pStyle w:val="Prrafodelista"/>
        <w:numPr>
          <w:ilvl w:val="0"/>
          <w:numId w:val="10"/>
        </w:numPr>
        <w:tabs>
          <w:tab w:val="left" w:pos="567"/>
          <w:tab w:val="left" w:pos="1134"/>
        </w:tabs>
        <w:spacing w:after="0" w:line="240" w:lineRule="auto"/>
        <w:ind w:left="567" w:right="615" w:firstLine="0"/>
        <w:jc w:val="both"/>
        <w:rPr>
          <w:rFonts w:ascii="Verdana" w:hAnsi="Verdana"/>
          <w:sz w:val="16"/>
          <w:szCs w:val="16"/>
        </w:rPr>
      </w:pPr>
      <w:bookmarkStart w:id="0" w:name="_Ref445286350"/>
      <w:r w:rsidRPr="0072153A">
        <w:rPr>
          <w:rFonts w:ascii="Verdana" w:hAnsi="Verdana"/>
          <w:sz w:val="16"/>
          <w:szCs w:val="16"/>
        </w:rPr>
        <w:t>Convocar al Estado de Perú, a las representantes y a la Comisión Interamericana de Derechos Humanos a una audiencia pública sobre las excepciones preliminares y eventuales fondo, reparaciones y costas que se celebrará el día 27 de agosto de 2019 a partir de las 9:00 horas, durante el 62 Período Extraordinario de Sesiones, que se llevará a cabo en Barranquilla, Colombia para recibir sus alegatos y observaciones finales orales, respectivamente, sobre las excepciones preliminares, eventuales fondo, reparaciones y costas, así como las declaraciones de las siguientes personas:</w:t>
      </w:r>
    </w:p>
    <w:p w14:paraId="5C639CD1" w14:textId="77777777" w:rsidR="0072153A" w:rsidRPr="0072153A" w:rsidRDefault="0072153A" w:rsidP="00774762">
      <w:pPr>
        <w:pStyle w:val="Prrafodelista"/>
        <w:tabs>
          <w:tab w:val="left" w:pos="1134"/>
        </w:tabs>
        <w:spacing w:after="0" w:line="240" w:lineRule="auto"/>
        <w:ind w:left="567" w:right="615"/>
        <w:jc w:val="both"/>
        <w:rPr>
          <w:rFonts w:ascii="Verdana" w:hAnsi="Verdana"/>
          <w:sz w:val="16"/>
          <w:szCs w:val="16"/>
          <w:highlight w:val="yellow"/>
        </w:rPr>
      </w:pPr>
    </w:p>
    <w:p w14:paraId="7483D6F0" w14:textId="77777777" w:rsidR="0072153A" w:rsidRPr="0072153A" w:rsidRDefault="0072153A" w:rsidP="00774762">
      <w:pPr>
        <w:pStyle w:val="Prrafodelista"/>
        <w:numPr>
          <w:ilvl w:val="0"/>
          <w:numId w:val="11"/>
        </w:numPr>
        <w:tabs>
          <w:tab w:val="left" w:pos="1134"/>
        </w:tabs>
        <w:spacing w:after="0" w:line="240" w:lineRule="auto"/>
        <w:ind w:left="567" w:right="615" w:firstLine="0"/>
        <w:jc w:val="both"/>
        <w:rPr>
          <w:rFonts w:ascii="Verdana" w:hAnsi="Verdana"/>
          <w:b/>
          <w:bCs/>
          <w:sz w:val="16"/>
          <w:szCs w:val="16"/>
        </w:rPr>
      </w:pPr>
      <w:r w:rsidRPr="0072153A">
        <w:rPr>
          <w:rFonts w:ascii="Verdana" w:hAnsi="Verdana"/>
          <w:b/>
          <w:bCs/>
          <w:i/>
          <w:sz w:val="16"/>
          <w:szCs w:val="16"/>
        </w:rPr>
        <w:t>Presunta víctima</w:t>
      </w:r>
      <w:r w:rsidRPr="0072153A">
        <w:rPr>
          <w:rFonts w:ascii="Verdana" w:hAnsi="Verdana"/>
          <w:b/>
          <w:bCs/>
          <w:sz w:val="16"/>
          <w:szCs w:val="16"/>
        </w:rPr>
        <w:t xml:space="preserve"> </w:t>
      </w:r>
      <w:r w:rsidRPr="0072153A">
        <w:rPr>
          <w:rFonts w:ascii="Verdana" w:hAnsi="Verdana"/>
          <w:i/>
          <w:sz w:val="16"/>
          <w:szCs w:val="16"/>
        </w:rPr>
        <w:t>(p</w:t>
      </w:r>
      <w:r w:rsidRPr="0072153A">
        <w:rPr>
          <w:rFonts w:ascii="Verdana" w:hAnsi="Verdana" w:cs="Verdana"/>
          <w:i/>
          <w:sz w:val="16"/>
          <w:szCs w:val="16"/>
        </w:rPr>
        <w:t>ropuesta</w:t>
      </w:r>
      <w:r w:rsidRPr="0072153A">
        <w:rPr>
          <w:rFonts w:ascii="Verdana" w:hAnsi="Verdana"/>
          <w:i/>
          <w:sz w:val="16"/>
          <w:szCs w:val="16"/>
        </w:rPr>
        <w:t xml:space="preserve"> por las representantes)</w:t>
      </w:r>
    </w:p>
    <w:p w14:paraId="00D9AD4D" w14:textId="77777777" w:rsidR="0072153A" w:rsidRPr="00A463CF" w:rsidRDefault="0072153A" w:rsidP="00774762">
      <w:pPr>
        <w:tabs>
          <w:tab w:val="left" w:pos="1134"/>
        </w:tabs>
        <w:ind w:left="567" w:right="615"/>
        <w:jc w:val="both"/>
        <w:rPr>
          <w:sz w:val="16"/>
          <w:szCs w:val="16"/>
          <w:lang w:val="es-CR"/>
        </w:rPr>
      </w:pPr>
    </w:p>
    <w:p w14:paraId="39DA1D0B" w14:textId="77777777" w:rsidR="0072153A" w:rsidRPr="00A463CF" w:rsidRDefault="0072153A" w:rsidP="00774762">
      <w:pPr>
        <w:tabs>
          <w:tab w:val="left" w:pos="1134"/>
        </w:tabs>
        <w:ind w:left="567" w:right="615"/>
        <w:jc w:val="both"/>
        <w:rPr>
          <w:sz w:val="16"/>
          <w:szCs w:val="16"/>
          <w:lang w:val="es-CR"/>
        </w:rPr>
      </w:pPr>
      <w:r w:rsidRPr="00A463CF">
        <w:rPr>
          <w:i/>
          <w:sz w:val="16"/>
          <w:szCs w:val="16"/>
          <w:lang w:val="es-CR"/>
        </w:rPr>
        <w:t>Azul Rojas Marín</w:t>
      </w:r>
      <w:r w:rsidRPr="00A463CF">
        <w:rPr>
          <w:sz w:val="16"/>
          <w:szCs w:val="16"/>
          <w:lang w:val="es-CR"/>
        </w:rPr>
        <w:t>, quien declarará sobre su detención por funcionarios policiales y de serenazgo el día 25 de febrero de 2008, el trato que recibió al momento de su detención y posteriormente en la Comisaría de Casa Grande, su liberación y búsqueda de justicia, la supuesta discriminación sufrida durante su detención y búsqueda de justicia, el impacto que la detención, y la alegada tortura e impunidad han tenido en su proyecto de vida y estado médico y psicológico; los impactos que los hechos tuvieron en su madre, así como las posibles medidas de reparación.</w:t>
      </w:r>
    </w:p>
    <w:p w14:paraId="7F990011" w14:textId="77777777" w:rsidR="0072153A" w:rsidRPr="00A463CF" w:rsidRDefault="0072153A" w:rsidP="00774762">
      <w:pPr>
        <w:tabs>
          <w:tab w:val="left" w:pos="1134"/>
        </w:tabs>
        <w:ind w:left="567" w:right="615" w:firstLine="720"/>
        <w:jc w:val="both"/>
        <w:rPr>
          <w:sz w:val="16"/>
          <w:szCs w:val="16"/>
          <w:lang w:val="es-CR"/>
        </w:rPr>
      </w:pPr>
    </w:p>
    <w:p w14:paraId="762FB269" w14:textId="1B279FE7" w:rsidR="0072153A" w:rsidRPr="0072153A" w:rsidRDefault="0072153A" w:rsidP="00774762">
      <w:pPr>
        <w:tabs>
          <w:tab w:val="left" w:pos="1134"/>
        </w:tabs>
        <w:ind w:left="567" w:right="615"/>
        <w:jc w:val="both"/>
        <w:rPr>
          <w:sz w:val="16"/>
          <w:szCs w:val="16"/>
        </w:rPr>
      </w:pPr>
      <w:bookmarkStart w:id="1" w:name="_Ref477386390"/>
      <w:r w:rsidRPr="0072153A">
        <w:rPr>
          <w:sz w:val="16"/>
          <w:szCs w:val="16"/>
        </w:rPr>
        <w:t>[…]</w:t>
      </w:r>
    </w:p>
    <w:p w14:paraId="0D1C8BB0" w14:textId="77777777" w:rsidR="0072153A" w:rsidRPr="0072153A" w:rsidRDefault="0072153A" w:rsidP="00774762">
      <w:pPr>
        <w:tabs>
          <w:tab w:val="left" w:pos="1134"/>
        </w:tabs>
        <w:ind w:left="567" w:right="615"/>
        <w:jc w:val="both"/>
        <w:rPr>
          <w:sz w:val="16"/>
          <w:szCs w:val="16"/>
          <w:highlight w:val="yellow"/>
        </w:rPr>
      </w:pPr>
    </w:p>
    <w:p w14:paraId="1EDC6C6B" w14:textId="77777777" w:rsidR="0072153A" w:rsidRPr="0072153A" w:rsidRDefault="0072153A" w:rsidP="00774762">
      <w:pPr>
        <w:pStyle w:val="Prrafodelista"/>
        <w:numPr>
          <w:ilvl w:val="0"/>
          <w:numId w:val="10"/>
        </w:numPr>
        <w:tabs>
          <w:tab w:val="left" w:pos="1134"/>
        </w:tabs>
        <w:spacing w:after="0" w:line="240" w:lineRule="auto"/>
        <w:ind w:left="567" w:right="615" w:firstLine="0"/>
        <w:jc w:val="both"/>
        <w:rPr>
          <w:rFonts w:ascii="Verdana" w:hAnsi="Verdana"/>
          <w:bCs/>
          <w:iCs/>
          <w:sz w:val="16"/>
          <w:szCs w:val="16"/>
        </w:rPr>
      </w:pPr>
      <w:bookmarkStart w:id="2" w:name="_Ref532315339"/>
      <w:r w:rsidRPr="0072153A">
        <w:rPr>
          <w:rFonts w:ascii="Verdana" w:hAnsi="Verdana"/>
          <w:sz w:val="16"/>
          <w:szCs w:val="16"/>
        </w:rPr>
        <w:t>Requerir, de conformidad con el principio de economía procesal y de la facultad que le otorga el artículo 50.1 del Reglamento de la Corte, que las siguientes personas presten su declaración ante fedatario público:</w:t>
      </w:r>
      <w:bookmarkEnd w:id="0"/>
      <w:bookmarkEnd w:id="1"/>
      <w:bookmarkEnd w:id="2"/>
    </w:p>
    <w:p w14:paraId="09380B88" w14:textId="77777777" w:rsidR="0072153A" w:rsidRPr="0072153A" w:rsidRDefault="0072153A" w:rsidP="00774762">
      <w:pPr>
        <w:pStyle w:val="Prrafodelista"/>
        <w:tabs>
          <w:tab w:val="left" w:pos="1134"/>
        </w:tabs>
        <w:spacing w:after="0" w:line="240" w:lineRule="auto"/>
        <w:ind w:left="567" w:right="615"/>
        <w:jc w:val="both"/>
        <w:rPr>
          <w:rFonts w:ascii="Verdana" w:hAnsi="Verdana"/>
          <w:sz w:val="16"/>
          <w:szCs w:val="16"/>
        </w:rPr>
      </w:pPr>
    </w:p>
    <w:p w14:paraId="5C693CD2" w14:textId="64AE33E5" w:rsidR="0072153A" w:rsidRPr="00773E45" w:rsidRDefault="0072153A" w:rsidP="00773E45">
      <w:pPr>
        <w:pStyle w:val="Prrafodelista"/>
        <w:numPr>
          <w:ilvl w:val="0"/>
          <w:numId w:val="12"/>
        </w:numPr>
        <w:tabs>
          <w:tab w:val="left" w:pos="1134"/>
        </w:tabs>
        <w:spacing w:after="0" w:line="240" w:lineRule="auto"/>
        <w:ind w:left="567" w:right="615" w:firstLine="0"/>
        <w:jc w:val="both"/>
        <w:rPr>
          <w:rFonts w:ascii="Verdana" w:hAnsi="Verdana"/>
          <w:b/>
          <w:i/>
          <w:sz w:val="16"/>
          <w:szCs w:val="16"/>
        </w:rPr>
      </w:pPr>
      <w:r w:rsidRPr="0072153A">
        <w:rPr>
          <w:rFonts w:ascii="Verdana" w:hAnsi="Verdana"/>
          <w:b/>
          <w:i/>
          <w:sz w:val="16"/>
          <w:szCs w:val="16"/>
        </w:rPr>
        <w:t>Testigos</w:t>
      </w:r>
      <w:r w:rsidR="00773E45">
        <w:rPr>
          <w:rFonts w:ascii="Verdana" w:hAnsi="Verdana"/>
          <w:b/>
          <w:i/>
          <w:sz w:val="16"/>
          <w:szCs w:val="16"/>
        </w:rPr>
        <w:t xml:space="preserve"> </w:t>
      </w:r>
      <w:r w:rsidRPr="00773E45">
        <w:rPr>
          <w:rFonts w:ascii="Verdana" w:hAnsi="Verdana"/>
          <w:i/>
          <w:sz w:val="16"/>
          <w:szCs w:val="16"/>
        </w:rPr>
        <w:t>(Propuestos por las representantes)</w:t>
      </w:r>
    </w:p>
    <w:p w14:paraId="7CF13CAD" w14:textId="77777777" w:rsidR="006B67F6" w:rsidRPr="0072153A" w:rsidRDefault="006B67F6" w:rsidP="00774762">
      <w:pPr>
        <w:pStyle w:val="Prrafodelista"/>
        <w:tabs>
          <w:tab w:val="left" w:pos="1134"/>
        </w:tabs>
        <w:spacing w:after="0" w:line="240" w:lineRule="auto"/>
        <w:ind w:left="567" w:right="615"/>
        <w:jc w:val="both"/>
        <w:rPr>
          <w:rFonts w:ascii="Verdana" w:hAnsi="Verdana"/>
          <w:i/>
          <w:sz w:val="16"/>
          <w:szCs w:val="16"/>
        </w:rPr>
      </w:pPr>
    </w:p>
    <w:p w14:paraId="4C4F2373" w14:textId="77777777" w:rsidR="0072153A" w:rsidRPr="00A463CF" w:rsidRDefault="0072153A" w:rsidP="00774762">
      <w:pPr>
        <w:tabs>
          <w:tab w:val="left" w:pos="1134"/>
        </w:tabs>
        <w:ind w:left="567" w:right="615"/>
        <w:jc w:val="both"/>
        <w:rPr>
          <w:sz w:val="16"/>
          <w:szCs w:val="16"/>
          <w:lang w:val="es-CR"/>
        </w:rPr>
      </w:pPr>
      <w:r w:rsidRPr="00A463CF">
        <w:rPr>
          <w:i/>
          <w:sz w:val="16"/>
          <w:szCs w:val="16"/>
          <w:lang w:val="es-CR"/>
        </w:rPr>
        <w:t>Víctor Álvarez</w:t>
      </w:r>
      <w:r w:rsidRPr="00A463CF">
        <w:rPr>
          <w:sz w:val="16"/>
          <w:szCs w:val="16"/>
          <w:lang w:val="es-CR"/>
        </w:rPr>
        <w:t>, abogado de Azul Rojas Marín en el proceso interno, quien declarará sobre el proceso de búsqueda de justicia de Azul por la alegada detención ilegal y tortura; el supuesto trato discriminatorio y las alegadas amenazas sufridas por Azul y su familia durante la investigación y proceso en su caso; la respuesta obtenida de parte de las instituciones peruanas durante la investigación, y posibles medidas de reparación.</w:t>
      </w:r>
    </w:p>
    <w:p w14:paraId="3A873F88" w14:textId="77777777" w:rsidR="0072153A" w:rsidRPr="00A463CF" w:rsidRDefault="0072153A" w:rsidP="00774762">
      <w:pPr>
        <w:tabs>
          <w:tab w:val="left" w:pos="1134"/>
        </w:tabs>
        <w:ind w:right="615"/>
        <w:jc w:val="both"/>
        <w:rPr>
          <w:sz w:val="16"/>
          <w:szCs w:val="16"/>
          <w:lang w:val="es-CR"/>
        </w:rPr>
      </w:pPr>
    </w:p>
    <w:p w14:paraId="719D121B" w14:textId="77777777" w:rsidR="0072153A" w:rsidRPr="0072153A" w:rsidRDefault="0072153A" w:rsidP="00774762">
      <w:pPr>
        <w:tabs>
          <w:tab w:val="left" w:pos="1134"/>
        </w:tabs>
        <w:ind w:left="567" w:right="615"/>
        <w:jc w:val="both"/>
        <w:rPr>
          <w:sz w:val="16"/>
          <w:szCs w:val="16"/>
        </w:rPr>
      </w:pPr>
      <w:r w:rsidRPr="0072153A">
        <w:rPr>
          <w:sz w:val="16"/>
          <w:szCs w:val="16"/>
        </w:rPr>
        <w:t>[…]</w:t>
      </w:r>
    </w:p>
    <w:p w14:paraId="45CF3DEB" w14:textId="77777777" w:rsidR="0072153A" w:rsidRPr="00AA5469" w:rsidRDefault="0072153A" w:rsidP="00774762">
      <w:pPr>
        <w:pStyle w:val="Numberedparagraphs"/>
        <w:numPr>
          <w:ilvl w:val="0"/>
          <w:numId w:val="0"/>
        </w:numPr>
        <w:tabs>
          <w:tab w:val="left" w:pos="567"/>
        </w:tabs>
      </w:pPr>
    </w:p>
    <w:p w14:paraId="61D4381E" w14:textId="77777777" w:rsidR="0030501A" w:rsidRPr="00712DF8" w:rsidRDefault="00DA400F" w:rsidP="00774762">
      <w:pPr>
        <w:pStyle w:val="PrrafodeSentencia"/>
        <w:rPr>
          <w:lang w:val="es-CR" w:eastAsia="es-ES"/>
        </w:rPr>
      </w:pPr>
      <w:r w:rsidRPr="00712DF8">
        <w:t>El escrito</w:t>
      </w:r>
      <w:r w:rsidR="00712DF8" w:rsidRPr="00712DF8">
        <w:t xml:space="preserve"> de 18</w:t>
      </w:r>
      <w:r w:rsidRPr="00712DF8">
        <w:t xml:space="preserve"> </w:t>
      </w:r>
      <w:r w:rsidR="00712DF8" w:rsidRPr="00712DF8">
        <w:t>de julio de 2019</w:t>
      </w:r>
      <w:r w:rsidRPr="00712DF8">
        <w:t>, mediante el cual</w:t>
      </w:r>
      <w:r w:rsidR="00712DF8" w:rsidRPr="00712DF8">
        <w:t xml:space="preserve"> las representantes solicitaron una reconsideración parcial de la resolución del Presidente de la Corte Interamericana de Derechos Humanos de 10 de julio de </w:t>
      </w:r>
      <w:proofErr w:type="gramStart"/>
      <w:r w:rsidR="00712DF8" w:rsidRPr="00712DF8">
        <w:t>2019,  fundamentándose</w:t>
      </w:r>
      <w:proofErr w:type="gramEnd"/>
      <w:r w:rsidR="00712DF8" w:rsidRPr="00712DF8">
        <w:t xml:space="preserve"> en los artículos 57.2 y 49 del Reglamento de la Corte. Concretamente las representantes señalaron que por motivos de fuerza mayor la presunta víctima Azul Rojas Marín no podrá asistir a la audiencia a la que fue convocada, solicitando en su cambio a la Corte recibir la declaración del testigo Víctor </w:t>
      </w:r>
      <w:r w:rsidR="00712DF8" w:rsidRPr="00712DF8">
        <w:lastRenderedPageBreak/>
        <w:t>Álvarez quién “</w:t>
      </w:r>
      <w:r w:rsidR="00712DF8" w:rsidRPr="00712DF8">
        <w:rPr>
          <w:lang w:val="es-CR" w:eastAsia="es-ES"/>
        </w:rPr>
        <w:t>fue abogado de Azul en Perú desde que ocurrieron los hechos y en relación con las violaciones alegadas en su contra</w:t>
      </w:r>
      <w:r w:rsidR="00712DF8" w:rsidRPr="00712DF8">
        <w:t>”.</w:t>
      </w:r>
    </w:p>
    <w:p w14:paraId="2579C7D2" w14:textId="77777777" w:rsidR="00DA400F" w:rsidRPr="00134713" w:rsidRDefault="00DA400F" w:rsidP="00774762">
      <w:pPr>
        <w:tabs>
          <w:tab w:val="left" w:pos="567"/>
        </w:tabs>
        <w:rPr>
          <w:lang w:val="es-CR"/>
        </w:rPr>
      </w:pPr>
    </w:p>
    <w:p w14:paraId="4BF38381" w14:textId="1760F9CC" w:rsidR="001779B3" w:rsidRPr="00712DF8" w:rsidRDefault="00712DF8" w:rsidP="00774762">
      <w:pPr>
        <w:pStyle w:val="Numberedparagraphs"/>
        <w:tabs>
          <w:tab w:val="left" w:pos="567"/>
        </w:tabs>
      </w:pPr>
      <w:r>
        <w:t xml:space="preserve">Las </w:t>
      </w:r>
      <w:r w:rsidR="0072153A">
        <w:t>notas</w:t>
      </w:r>
      <w:r>
        <w:t xml:space="preserve"> de la Secretaría del Tribunal de </w:t>
      </w:r>
      <w:r w:rsidR="00513DCB">
        <w:rPr>
          <w:rStyle w:val="Refdenotaalpie"/>
          <w:vertAlign w:val="baseline"/>
          <w:lang w:val="es-CR"/>
        </w:rPr>
        <w:t>1</w:t>
      </w:r>
      <w:r w:rsidR="00513DCB">
        <w:rPr>
          <w:lang w:val="es-CR"/>
        </w:rPr>
        <w:t>8</w:t>
      </w:r>
      <w:r>
        <w:t xml:space="preserve"> de julio de 2019, mediante las cuales, siguiendo instrucciones del </w:t>
      </w:r>
      <w:proofErr w:type="gramStart"/>
      <w:r>
        <w:t>Presidente</w:t>
      </w:r>
      <w:proofErr w:type="gramEnd"/>
      <w:r>
        <w:t xml:space="preserve"> de la Corte, otorgó plazo a la Comisión, y Estado hasta el </w:t>
      </w:r>
      <w:r>
        <w:rPr>
          <w:lang w:val="es-CR"/>
        </w:rPr>
        <w:t>24 de julio de 2019</w:t>
      </w:r>
      <w:r w:rsidR="00621262">
        <w:rPr>
          <w:lang w:val="es-CR"/>
        </w:rPr>
        <w:t xml:space="preserve"> </w:t>
      </w:r>
      <w:r>
        <w:t>para que presentaran las observaciones que estimaren pertinentes a la solicitud de reconsideración.</w:t>
      </w:r>
    </w:p>
    <w:p w14:paraId="5808B8E3" w14:textId="77777777" w:rsidR="00134713" w:rsidRPr="001E70F7" w:rsidRDefault="00134713" w:rsidP="00774762">
      <w:pPr>
        <w:pStyle w:val="Textonotapie"/>
        <w:tabs>
          <w:tab w:val="left" w:pos="567"/>
        </w:tabs>
        <w:rPr>
          <w:lang w:val="es-PE"/>
        </w:rPr>
      </w:pPr>
    </w:p>
    <w:p w14:paraId="61A9D22D" w14:textId="5873DE76" w:rsidR="001779B3" w:rsidRPr="0030501A" w:rsidRDefault="002C7584" w:rsidP="00774762">
      <w:pPr>
        <w:pStyle w:val="Numberedparagraphs"/>
        <w:tabs>
          <w:tab w:val="left" w:pos="567"/>
        </w:tabs>
      </w:pPr>
      <w:r w:rsidRPr="002C7584">
        <w:rPr>
          <w:lang w:val="es-CR"/>
        </w:rPr>
        <w:t>Los</w:t>
      </w:r>
      <w:r w:rsidR="001779B3">
        <w:t xml:space="preserve"> escrit</w:t>
      </w:r>
      <w:r>
        <w:t>os</w:t>
      </w:r>
      <w:r w:rsidR="001779B3">
        <w:t xml:space="preserve"> de </w:t>
      </w:r>
      <w:r w:rsidR="00513DCB">
        <w:rPr>
          <w:rStyle w:val="Refdenotaalpie"/>
          <w:vertAlign w:val="baseline"/>
          <w:lang w:val="es-CR"/>
        </w:rPr>
        <w:t>2</w:t>
      </w:r>
      <w:r w:rsidR="00513DCB">
        <w:rPr>
          <w:lang w:val="es-CR"/>
        </w:rPr>
        <w:t>4 de julio</w:t>
      </w:r>
      <w:r w:rsidR="00712DF8">
        <w:rPr>
          <w:lang w:val="es-CR"/>
        </w:rPr>
        <w:t xml:space="preserve"> </w:t>
      </w:r>
      <w:r w:rsidR="001779B3">
        <w:t xml:space="preserve">de 2019, mediante </w:t>
      </w:r>
      <w:r>
        <w:t xml:space="preserve">los </w:t>
      </w:r>
      <w:r w:rsidR="001779B3">
        <w:t>cual</w:t>
      </w:r>
      <w:r>
        <w:t>es</w:t>
      </w:r>
      <w:r w:rsidR="00981311">
        <w:t xml:space="preserve"> el Estado</w:t>
      </w:r>
      <w:r w:rsidR="001779B3">
        <w:t xml:space="preserve"> </w:t>
      </w:r>
      <w:r w:rsidR="00A809F1">
        <w:t>y la Comisión, respectivamente, presentaron sus observaciones a la solicitud de reconsideración.</w:t>
      </w:r>
    </w:p>
    <w:p w14:paraId="4AF0EFE6" w14:textId="77777777" w:rsidR="00594851" w:rsidRPr="005C5BB3" w:rsidRDefault="00594851" w:rsidP="00774762">
      <w:pPr>
        <w:pStyle w:val="Numberedparagraphs"/>
        <w:numPr>
          <w:ilvl w:val="0"/>
          <w:numId w:val="0"/>
        </w:numPr>
        <w:tabs>
          <w:tab w:val="left" w:pos="567"/>
        </w:tabs>
        <w:rPr>
          <w:lang w:val="es-VE"/>
        </w:rPr>
      </w:pPr>
    </w:p>
    <w:p w14:paraId="18302572" w14:textId="77777777" w:rsidR="00594851" w:rsidRPr="00227456" w:rsidRDefault="00594851" w:rsidP="00774762">
      <w:pPr>
        <w:pStyle w:val="Numberedparagraphs"/>
        <w:numPr>
          <w:ilvl w:val="0"/>
          <w:numId w:val="0"/>
        </w:numPr>
        <w:tabs>
          <w:tab w:val="left" w:pos="567"/>
        </w:tabs>
        <w:rPr>
          <w:b/>
        </w:rPr>
      </w:pPr>
      <w:r w:rsidRPr="00227456">
        <w:rPr>
          <w:b/>
        </w:rPr>
        <w:t>CONSIDERANDO</w:t>
      </w:r>
      <w:r w:rsidR="002C7584" w:rsidRPr="00227456">
        <w:rPr>
          <w:b/>
        </w:rPr>
        <w:t xml:space="preserve"> QUE</w:t>
      </w:r>
      <w:r w:rsidRPr="00227456">
        <w:rPr>
          <w:b/>
        </w:rPr>
        <w:t>:</w:t>
      </w:r>
    </w:p>
    <w:p w14:paraId="0A19468E" w14:textId="77777777" w:rsidR="00594851" w:rsidRPr="00227456" w:rsidRDefault="00594851" w:rsidP="00774762">
      <w:pPr>
        <w:rPr>
          <w:lang w:val="es-PE"/>
        </w:rPr>
      </w:pPr>
    </w:p>
    <w:p w14:paraId="5A118AFB" w14:textId="77777777" w:rsidR="00247AFD" w:rsidRPr="00227456" w:rsidRDefault="00247AFD" w:rsidP="00774762">
      <w:pPr>
        <w:pStyle w:val="Prrafodelista"/>
        <w:numPr>
          <w:ilvl w:val="0"/>
          <w:numId w:val="3"/>
        </w:numPr>
        <w:tabs>
          <w:tab w:val="left" w:pos="540"/>
        </w:tabs>
        <w:spacing w:after="0" w:line="240" w:lineRule="auto"/>
        <w:ind w:left="0" w:right="4" w:firstLine="0"/>
        <w:jc w:val="both"/>
        <w:rPr>
          <w:rFonts w:ascii="Verdana" w:eastAsia="Verdana" w:hAnsi="Verdana"/>
          <w:lang w:val="es-PE"/>
        </w:rPr>
      </w:pPr>
      <w:r w:rsidRPr="00092800">
        <w:rPr>
          <w:rFonts w:ascii="Verdana" w:eastAsia="Verdana" w:hAnsi="Verdana"/>
          <w:sz w:val="20"/>
          <w:szCs w:val="20"/>
          <w:lang w:val="es-PE"/>
        </w:rPr>
        <w:t xml:space="preserve">Las decisiones del </w:t>
      </w:r>
      <w:proofErr w:type="gramStart"/>
      <w:r w:rsidRPr="00092800">
        <w:rPr>
          <w:rFonts w:ascii="Verdana" w:eastAsia="Verdana" w:hAnsi="Verdana"/>
          <w:sz w:val="20"/>
          <w:szCs w:val="20"/>
          <w:lang w:val="es-PE"/>
        </w:rPr>
        <w:t>Presidente</w:t>
      </w:r>
      <w:proofErr w:type="gramEnd"/>
      <w:r w:rsidRPr="00092800">
        <w:rPr>
          <w:rFonts w:ascii="Verdana" w:eastAsia="Verdana" w:hAnsi="Verdana"/>
          <w:sz w:val="20"/>
          <w:szCs w:val="20"/>
          <w:lang w:val="es-PE"/>
        </w:rPr>
        <w:t>, que no sean de mero trámite, son recurribles ante la Corte Interamericana de Derechos Humanos (en adelante “la Corte” o “el Tribunal”, en los términos del artículo 31.</w:t>
      </w:r>
      <w:r w:rsidRPr="00227456">
        <w:rPr>
          <w:rFonts w:ascii="Verdana" w:eastAsia="Verdana" w:hAnsi="Verdana"/>
          <w:sz w:val="20"/>
          <w:szCs w:val="20"/>
          <w:lang w:val="es-PE"/>
        </w:rPr>
        <w:t>2 del Reglamento de este tribunal (en adelante “el Reglamento”).</w:t>
      </w:r>
    </w:p>
    <w:p w14:paraId="6E0DA263" w14:textId="77777777" w:rsidR="00247AFD" w:rsidRPr="00247AFD" w:rsidRDefault="00247AFD" w:rsidP="00774762">
      <w:pPr>
        <w:pStyle w:val="Prrafodelista"/>
        <w:tabs>
          <w:tab w:val="left" w:pos="540"/>
        </w:tabs>
        <w:spacing w:after="0" w:line="240" w:lineRule="auto"/>
        <w:ind w:left="0" w:right="4"/>
        <w:jc w:val="both"/>
        <w:rPr>
          <w:rFonts w:ascii="Verdana" w:eastAsia="Verdana" w:hAnsi="Verdana"/>
          <w:sz w:val="20"/>
          <w:szCs w:val="20"/>
          <w:lang w:val="es-PE"/>
        </w:rPr>
      </w:pPr>
    </w:p>
    <w:p w14:paraId="19D722B6" w14:textId="77777777" w:rsidR="00092800" w:rsidRPr="00092800" w:rsidRDefault="00227456" w:rsidP="00774762">
      <w:pPr>
        <w:pStyle w:val="Prrafodelista"/>
        <w:numPr>
          <w:ilvl w:val="0"/>
          <w:numId w:val="3"/>
        </w:numPr>
        <w:tabs>
          <w:tab w:val="left" w:pos="540"/>
        </w:tabs>
        <w:spacing w:after="0" w:line="240" w:lineRule="auto"/>
        <w:ind w:left="0" w:right="4" w:firstLine="0"/>
        <w:jc w:val="both"/>
        <w:rPr>
          <w:rFonts w:ascii="Verdana" w:eastAsia="Verdana" w:hAnsi="Verdana"/>
          <w:sz w:val="20"/>
          <w:szCs w:val="20"/>
          <w:lang w:val="es-PE"/>
        </w:rPr>
      </w:pPr>
      <w:r w:rsidRPr="00092800">
        <w:rPr>
          <w:rFonts w:ascii="Verdana" w:hAnsi="Verdana"/>
          <w:sz w:val="20"/>
          <w:szCs w:val="20"/>
        </w:rPr>
        <w:t xml:space="preserve">La Corte tiene amplias facultades en cuanto a la admisión, modalidad de recepción y sustitución de la prueba, de conformidad con los artículos 49, 50, 57 y 58 del Reglamento. Al respecto, el artículo 49 del Reglamento establece que: </w:t>
      </w:r>
    </w:p>
    <w:p w14:paraId="668B3E65" w14:textId="77777777" w:rsidR="00092800" w:rsidRPr="00092800" w:rsidRDefault="00092800" w:rsidP="00774762">
      <w:pPr>
        <w:pStyle w:val="Prrafodelista"/>
        <w:tabs>
          <w:tab w:val="left" w:pos="540"/>
        </w:tabs>
        <w:spacing w:after="0" w:line="240" w:lineRule="auto"/>
        <w:ind w:left="0" w:right="4"/>
        <w:jc w:val="both"/>
        <w:rPr>
          <w:rFonts w:ascii="Verdana" w:hAnsi="Verdana"/>
          <w:sz w:val="16"/>
          <w:szCs w:val="16"/>
        </w:rPr>
      </w:pPr>
    </w:p>
    <w:p w14:paraId="08A527F1" w14:textId="6D5B66FF" w:rsidR="00092800" w:rsidRPr="00092800" w:rsidRDefault="00227456" w:rsidP="00774762">
      <w:pPr>
        <w:pStyle w:val="Prrafodelista"/>
        <w:tabs>
          <w:tab w:val="left" w:pos="567"/>
        </w:tabs>
        <w:spacing w:after="0" w:line="240" w:lineRule="auto"/>
        <w:ind w:left="567" w:right="615"/>
        <w:jc w:val="both"/>
        <w:rPr>
          <w:rFonts w:ascii="Verdana" w:eastAsia="Verdana" w:hAnsi="Verdana"/>
          <w:sz w:val="16"/>
          <w:szCs w:val="16"/>
          <w:lang w:val="es-PE"/>
        </w:rPr>
      </w:pPr>
      <w:r w:rsidRPr="00092800">
        <w:rPr>
          <w:rFonts w:ascii="Verdana" w:hAnsi="Verdana"/>
          <w:sz w:val="16"/>
          <w:szCs w:val="16"/>
        </w:rPr>
        <w:t>Excepcionalmente, frente a solicitud fundada y oído el parecer de la contraparte, la Corte podrá aceptar la sustitución de un declarante siempre que se individualice al sustituto y se respete el objeto de la declaración, testimonio o peri</w:t>
      </w:r>
      <w:r w:rsidR="00092800" w:rsidRPr="00092800">
        <w:rPr>
          <w:rFonts w:ascii="Verdana" w:hAnsi="Verdana"/>
          <w:sz w:val="16"/>
          <w:szCs w:val="16"/>
        </w:rPr>
        <w:t xml:space="preserve">taje originalmente ofrecido. </w:t>
      </w:r>
    </w:p>
    <w:p w14:paraId="09E7B9FF" w14:textId="77777777" w:rsidR="00092800" w:rsidRPr="00092800" w:rsidRDefault="00092800" w:rsidP="00774762">
      <w:pPr>
        <w:pStyle w:val="Prrafodelista"/>
        <w:tabs>
          <w:tab w:val="left" w:pos="540"/>
        </w:tabs>
        <w:spacing w:after="0" w:line="240" w:lineRule="auto"/>
        <w:ind w:left="0" w:right="4"/>
        <w:jc w:val="both"/>
        <w:rPr>
          <w:rFonts w:ascii="Verdana" w:eastAsia="Verdana" w:hAnsi="Verdana"/>
          <w:sz w:val="20"/>
          <w:szCs w:val="20"/>
          <w:lang w:val="es-PE"/>
        </w:rPr>
      </w:pPr>
    </w:p>
    <w:p w14:paraId="2EC4A1F5" w14:textId="77777777" w:rsidR="00092800" w:rsidRPr="00092800" w:rsidRDefault="00227456" w:rsidP="00774762">
      <w:pPr>
        <w:pStyle w:val="Prrafodelista"/>
        <w:numPr>
          <w:ilvl w:val="0"/>
          <w:numId w:val="3"/>
        </w:numPr>
        <w:tabs>
          <w:tab w:val="left" w:pos="540"/>
        </w:tabs>
        <w:spacing w:after="0" w:line="240" w:lineRule="auto"/>
        <w:ind w:left="0" w:right="4" w:firstLine="0"/>
        <w:jc w:val="both"/>
        <w:rPr>
          <w:rFonts w:ascii="Verdana" w:eastAsia="Verdana" w:hAnsi="Verdana"/>
          <w:sz w:val="20"/>
          <w:szCs w:val="20"/>
          <w:lang w:val="es-PE"/>
        </w:rPr>
      </w:pPr>
      <w:r w:rsidRPr="00092800">
        <w:rPr>
          <w:rFonts w:ascii="Verdana" w:hAnsi="Verdana"/>
          <w:sz w:val="20"/>
          <w:szCs w:val="20"/>
        </w:rPr>
        <w:t xml:space="preserve">Asimismo, el artículo 57.2 del Reglamento establece que: </w:t>
      </w:r>
    </w:p>
    <w:p w14:paraId="585DF9B1" w14:textId="77777777" w:rsidR="00092800" w:rsidRDefault="00092800" w:rsidP="00774762">
      <w:pPr>
        <w:pStyle w:val="Prrafodelista"/>
        <w:tabs>
          <w:tab w:val="left" w:pos="540"/>
        </w:tabs>
        <w:spacing w:after="0" w:line="240" w:lineRule="auto"/>
        <w:ind w:left="0" w:right="4"/>
        <w:jc w:val="both"/>
        <w:rPr>
          <w:rFonts w:ascii="Verdana" w:hAnsi="Verdana"/>
          <w:sz w:val="20"/>
          <w:szCs w:val="20"/>
        </w:rPr>
      </w:pPr>
    </w:p>
    <w:p w14:paraId="55E7C660" w14:textId="33B5B815" w:rsidR="00092800" w:rsidRPr="00A463CF" w:rsidRDefault="00227456" w:rsidP="00774762">
      <w:pPr>
        <w:ind w:left="567" w:right="615"/>
        <w:jc w:val="both"/>
        <w:rPr>
          <w:sz w:val="16"/>
          <w:szCs w:val="16"/>
          <w:lang w:val="es-CR"/>
        </w:rPr>
      </w:pPr>
      <w:r w:rsidRPr="00A463CF">
        <w:rPr>
          <w:sz w:val="16"/>
          <w:szCs w:val="16"/>
          <w:lang w:val="es-CR"/>
        </w:rPr>
        <w:t>Excepcionalmente y oído el parecer de todos los intervinientes en el proceso, la Corte podrá admitir una prueba si el que la ofrece justificare adecuadamente que por fuerza mayor o impedimento grave no presentó u ofreció dicha prueba en los momentos procesales establecidos en los artículos 35.1, 36.1, 40.2 y 41.1 de este Reglamento. La Corte podrá</w:t>
      </w:r>
      <w:r w:rsidR="00092800" w:rsidRPr="00A463CF">
        <w:rPr>
          <w:sz w:val="16"/>
          <w:szCs w:val="16"/>
          <w:lang w:val="es-CR"/>
        </w:rPr>
        <w:t xml:space="preserve">, además, </w:t>
      </w:r>
      <w:r w:rsidR="00092800" w:rsidRPr="00893423">
        <w:rPr>
          <w:sz w:val="16"/>
          <w:szCs w:val="16"/>
          <w:lang w:val="es-ES_tradnl"/>
        </w:rPr>
        <w:t>admi</w:t>
      </w:r>
      <w:r w:rsidR="00247AFD" w:rsidRPr="00893423">
        <w:rPr>
          <w:sz w:val="16"/>
          <w:szCs w:val="16"/>
          <w:lang w:val="es-ES_tradnl"/>
        </w:rPr>
        <w:t xml:space="preserve">tir una prueba que se refiera a </w:t>
      </w:r>
      <w:r w:rsidR="00092800" w:rsidRPr="00893423">
        <w:rPr>
          <w:sz w:val="16"/>
          <w:szCs w:val="16"/>
          <w:lang w:val="es-ES_tradnl"/>
        </w:rPr>
        <w:t>un hecho ocurrido con posterioridad a los citados momentos procesales.</w:t>
      </w:r>
    </w:p>
    <w:p w14:paraId="26410077" w14:textId="77777777" w:rsidR="00227456" w:rsidRPr="00092800" w:rsidRDefault="00227456" w:rsidP="00774762">
      <w:pPr>
        <w:pStyle w:val="Prrafodelista"/>
        <w:tabs>
          <w:tab w:val="left" w:pos="540"/>
        </w:tabs>
        <w:spacing w:after="0" w:line="240" w:lineRule="auto"/>
        <w:ind w:left="0" w:right="4"/>
        <w:jc w:val="both"/>
        <w:rPr>
          <w:rFonts w:ascii="Verdana" w:eastAsia="Verdana" w:hAnsi="Verdana"/>
          <w:sz w:val="20"/>
          <w:szCs w:val="20"/>
          <w:lang w:val="es-PE"/>
        </w:rPr>
      </w:pPr>
    </w:p>
    <w:p w14:paraId="62F5760F" w14:textId="77777777" w:rsidR="00092800" w:rsidRPr="00893423" w:rsidRDefault="00092800" w:rsidP="00774762">
      <w:pPr>
        <w:pStyle w:val="Prrafodelista"/>
        <w:numPr>
          <w:ilvl w:val="0"/>
          <w:numId w:val="3"/>
        </w:numPr>
        <w:tabs>
          <w:tab w:val="left" w:pos="540"/>
        </w:tabs>
        <w:spacing w:after="0" w:line="240" w:lineRule="auto"/>
        <w:ind w:left="0" w:right="4" w:firstLine="0"/>
        <w:jc w:val="both"/>
        <w:rPr>
          <w:rFonts w:ascii="Verdana" w:eastAsia="Verdana" w:hAnsi="Verdana"/>
          <w:sz w:val="20"/>
          <w:szCs w:val="20"/>
          <w:lang w:val="es-ES_tradnl"/>
        </w:rPr>
      </w:pPr>
      <w:r>
        <w:rPr>
          <w:rFonts w:ascii="Verdana" w:eastAsia="Verdana" w:hAnsi="Verdana"/>
          <w:sz w:val="20"/>
          <w:szCs w:val="20"/>
          <w:lang w:val="es-PE"/>
        </w:rPr>
        <w:t xml:space="preserve">En su Resolución de 10 de julio de 2019, el </w:t>
      </w:r>
      <w:proofErr w:type="gramStart"/>
      <w:r>
        <w:rPr>
          <w:rFonts w:ascii="Verdana" w:eastAsia="Verdana" w:hAnsi="Verdana"/>
          <w:sz w:val="20"/>
          <w:szCs w:val="20"/>
          <w:lang w:val="es-PE"/>
        </w:rPr>
        <w:t>Presidente</w:t>
      </w:r>
      <w:proofErr w:type="gramEnd"/>
      <w:r>
        <w:rPr>
          <w:rFonts w:ascii="Verdana" w:eastAsia="Verdana" w:hAnsi="Verdana"/>
          <w:sz w:val="20"/>
          <w:szCs w:val="20"/>
          <w:lang w:val="es-PE"/>
        </w:rPr>
        <w:t xml:space="preserve"> convocó a declarar en Audiencia Pública a Azul </w:t>
      </w:r>
      <w:r w:rsidRPr="00092800">
        <w:rPr>
          <w:rFonts w:ascii="Verdana" w:eastAsia="Verdana" w:hAnsi="Verdana"/>
          <w:sz w:val="20"/>
          <w:szCs w:val="20"/>
          <w:lang w:val="es-PE"/>
        </w:rPr>
        <w:t xml:space="preserve">Rojas Marín, presunta víctima del presente caso. En dicha decisión también se requirió recibir la declaración ante fedatario público </w:t>
      </w:r>
      <w:r w:rsidRPr="00893423">
        <w:rPr>
          <w:rFonts w:ascii="Verdana" w:eastAsia="Verdana" w:hAnsi="Verdana"/>
          <w:sz w:val="20"/>
          <w:szCs w:val="20"/>
          <w:lang w:val="es-ES_tradnl"/>
        </w:rPr>
        <w:t xml:space="preserve">de Víctor Álvarez, abogado de Azul Rojas Marín en el proceso interno. </w:t>
      </w:r>
    </w:p>
    <w:p w14:paraId="24FEA294" w14:textId="77777777" w:rsidR="00092800" w:rsidRDefault="00092800" w:rsidP="00774762">
      <w:pPr>
        <w:pStyle w:val="Prrafodelista"/>
        <w:tabs>
          <w:tab w:val="left" w:pos="540"/>
        </w:tabs>
        <w:spacing w:after="0" w:line="240" w:lineRule="auto"/>
        <w:ind w:left="0" w:right="4"/>
        <w:jc w:val="both"/>
        <w:rPr>
          <w:rFonts w:ascii="Verdana" w:eastAsia="Verdana" w:hAnsi="Verdana"/>
          <w:sz w:val="20"/>
          <w:szCs w:val="20"/>
          <w:lang w:val="es-PE"/>
        </w:rPr>
      </w:pPr>
    </w:p>
    <w:p w14:paraId="04F6AC02" w14:textId="1FB2D423" w:rsidR="00092800" w:rsidRPr="00247AFD" w:rsidRDefault="00092800" w:rsidP="00774762">
      <w:pPr>
        <w:pStyle w:val="Prrafodelista"/>
        <w:numPr>
          <w:ilvl w:val="0"/>
          <w:numId w:val="3"/>
        </w:numPr>
        <w:tabs>
          <w:tab w:val="left" w:pos="540"/>
        </w:tabs>
        <w:spacing w:after="0" w:line="240" w:lineRule="auto"/>
        <w:ind w:left="0" w:right="4" w:firstLine="0"/>
        <w:jc w:val="both"/>
        <w:rPr>
          <w:rFonts w:ascii="Verdana" w:eastAsia="Verdana" w:hAnsi="Verdana"/>
          <w:sz w:val="20"/>
          <w:szCs w:val="20"/>
          <w:lang w:val="es-PE"/>
        </w:rPr>
      </w:pPr>
      <w:r w:rsidRPr="00092800">
        <w:rPr>
          <w:rFonts w:ascii="Verdana" w:eastAsia="Verdana" w:hAnsi="Verdana"/>
          <w:sz w:val="20"/>
          <w:szCs w:val="20"/>
          <w:lang w:val="es-PE"/>
        </w:rPr>
        <w:t>Luego de dicha resolución, l</w:t>
      </w:r>
      <w:r w:rsidRPr="00092800">
        <w:rPr>
          <w:rFonts w:ascii="Verdana" w:hAnsi="Verdana"/>
          <w:sz w:val="20"/>
          <w:szCs w:val="20"/>
        </w:rPr>
        <w:t xml:space="preserve">as </w:t>
      </w:r>
      <w:r w:rsidRPr="00092800">
        <w:rPr>
          <w:rFonts w:ascii="Verdana" w:hAnsi="Verdana"/>
          <w:b/>
          <w:i/>
          <w:sz w:val="20"/>
          <w:szCs w:val="20"/>
        </w:rPr>
        <w:t>representantes</w:t>
      </w:r>
      <w:r w:rsidRPr="00092800">
        <w:rPr>
          <w:rFonts w:ascii="Verdana" w:hAnsi="Verdana"/>
          <w:sz w:val="20"/>
          <w:szCs w:val="20"/>
        </w:rPr>
        <w:t xml:space="preserve"> informaron que “</w:t>
      </w:r>
      <w:r w:rsidRPr="00092800">
        <w:rPr>
          <w:rFonts w:ascii="Verdana" w:hAnsi="Verdana"/>
          <w:sz w:val="20"/>
          <w:szCs w:val="20"/>
          <w:lang w:eastAsia="es-ES"/>
        </w:rPr>
        <w:t xml:space="preserve">el 8 de julio de 2019, la Segunda Sala Superior Penal de Apelaciones de la Corte Superior de Justicia de La Libertad, en el marco de un proceso penal seguido contra varias personas (incluida Azul Rojas Marín), declaró fundado un requerimiento de prisión preventiva por 36 meses contra ella y, en consecuencia, ha ordenado mandato de detención y captura para su posterior internamiento en el establecimiento que determine el Instituto Nacional Penitenciario (INPE). A la fecha, Azul </w:t>
      </w:r>
      <w:r w:rsidRPr="00092800">
        <w:rPr>
          <w:rFonts w:ascii="Verdana" w:hAnsi="Verdana"/>
          <w:sz w:val="20"/>
          <w:szCs w:val="20"/>
        </w:rPr>
        <w:t xml:space="preserve">[…] </w:t>
      </w:r>
      <w:r w:rsidRPr="00092800">
        <w:rPr>
          <w:rFonts w:ascii="Verdana" w:hAnsi="Verdana"/>
          <w:sz w:val="20"/>
          <w:szCs w:val="20"/>
          <w:lang w:eastAsia="es-ES"/>
        </w:rPr>
        <w:t xml:space="preserve">no se ha presentado para </w:t>
      </w:r>
      <w:r w:rsidRPr="00247AFD">
        <w:rPr>
          <w:rFonts w:ascii="Verdana" w:hAnsi="Verdana"/>
          <w:sz w:val="20"/>
          <w:szCs w:val="20"/>
          <w:lang w:eastAsia="es-ES"/>
        </w:rPr>
        <w:t>cumplir el mandato de detención</w:t>
      </w:r>
      <w:r w:rsidRPr="00247AFD">
        <w:rPr>
          <w:rFonts w:ascii="Verdana" w:hAnsi="Verdana"/>
          <w:sz w:val="20"/>
          <w:szCs w:val="20"/>
        </w:rPr>
        <w:t>”</w:t>
      </w:r>
      <w:r w:rsidRPr="00247AFD">
        <w:rPr>
          <w:rFonts w:ascii="Verdana" w:hAnsi="Verdana"/>
          <w:sz w:val="20"/>
          <w:szCs w:val="20"/>
          <w:lang w:eastAsia="es-ES"/>
        </w:rPr>
        <w:t xml:space="preserve">. </w:t>
      </w:r>
      <w:r w:rsidR="00247AFD" w:rsidRPr="00247AFD">
        <w:rPr>
          <w:rFonts w:ascii="Verdana" w:hAnsi="Verdana"/>
          <w:sz w:val="20"/>
          <w:szCs w:val="20"/>
          <w:lang w:eastAsia="es-ES"/>
        </w:rPr>
        <w:t>Por tanto,</w:t>
      </w:r>
      <w:r w:rsidRPr="00247AFD">
        <w:rPr>
          <w:rFonts w:ascii="Verdana" w:hAnsi="Verdana"/>
          <w:sz w:val="20"/>
          <w:szCs w:val="20"/>
          <w:lang w:eastAsia="es-ES"/>
        </w:rPr>
        <w:t xml:space="preserve"> </w:t>
      </w:r>
      <w:r w:rsidRPr="00247AFD">
        <w:rPr>
          <w:rFonts w:ascii="Verdana" w:hAnsi="Verdana"/>
          <w:sz w:val="20"/>
          <w:szCs w:val="20"/>
        </w:rPr>
        <w:t xml:space="preserve">solicitaron sustituir la declaración de la presunta víctima Azul Rojas Marín por la del testigo </w:t>
      </w:r>
      <w:r w:rsidR="00802F48" w:rsidRPr="00A463CF">
        <w:rPr>
          <w:rFonts w:ascii="Verdana" w:eastAsia="Verdana" w:hAnsi="Verdana"/>
          <w:sz w:val="20"/>
          <w:szCs w:val="20"/>
        </w:rPr>
        <w:t>Víctor Álvarez</w:t>
      </w:r>
      <w:r w:rsidRPr="00247AFD">
        <w:rPr>
          <w:rFonts w:ascii="Verdana" w:hAnsi="Verdana"/>
          <w:sz w:val="20"/>
          <w:szCs w:val="20"/>
        </w:rPr>
        <w:t>. Fundamentaron su solicitud indicando que: (i) las razones señaladas que imposibilitan a la presunta víctima  acudir a la audiencia son excepcionales y de fuerza mayor; (</w:t>
      </w:r>
      <w:proofErr w:type="spellStart"/>
      <w:r w:rsidRPr="00247AFD">
        <w:rPr>
          <w:rFonts w:ascii="Verdana" w:hAnsi="Verdana"/>
          <w:sz w:val="20"/>
          <w:szCs w:val="20"/>
        </w:rPr>
        <w:t>ii</w:t>
      </w:r>
      <w:proofErr w:type="spellEnd"/>
      <w:r w:rsidRPr="00247AFD">
        <w:rPr>
          <w:rFonts w:ascii="Verdana" w:hAnsi="Verdana"/>
          <w:sz w:val="20"/>
          <w:szCs w:val="20"/>
        </w:rPr>
        <w:t>) “</w:t>
      </w:r>
      <w:r w:rsidRPr="00247AFD">
        <w:rPr>
          <w:rFonts w:ascii="Verdana" w:hAnsi="Verdana"/>
          <w:sz w:val="20"/>
          <w:szCs w:val="20"/>
          <w:lang w:eastAsia="es-ES"/>
        </w:rPr>
        <w:t>en ausencia de Azul, las representantes no contaríamos con ningún testimonio ni peritaje a ser evacuado en la audiencia pública, lo cual resultaría contrario al principio de igualdad de armas entre las partes</w:t>
      </w:r>
      <w:r w:rsidRPr="00247AFD">
        <w:rPr>
          <w:rFonts w:ascii="Verdana" w:hAnsi="Verdana"/>
          <w:sz w:val="20"/>
          <w:szCs w:val="20"/>
        </w:rPr>
        <w:t>”, y (</w:t>
      </w:r>
      <w:proofErr w:type="spellStart"/>
      <w:r w:rsidRPr="00247AFD">
        <w:rPr>
          <w:rFonts w:ascii="Verdana" w:hAnsi="Verdana"/>
          <w:sz w:val="20"/>
          <w:szCs w:val="20"/>
        </w:rPr>
        <w:t>iii</w:t>
      </w:r>
      <w:proofErr w:type="spellEnd"/>
      <w:r w:rsidRPr="00247AFD">
        <w:rPr>
          <w:rFonts w:ascii="Verdana" w:hAnsi="Verdana"/>
          <w:sz w:val="20"/>
          <w:szCs w:val="20"/>
        </w:rPr>
        <w:t xml:space="preserve">) que en ausencia de Azul Rojas Marín, el testimonio de Víctor </w:t>
      </w:r>
      <w:r w:rsidR="00893423">
        <w:rPr>
          <w:rFonts w:ascii="Verdana" w:hAnsi="Verdana"/>
          <w:sz w:val="20"/>
          <w:szCs w:val="20"/>
        </w:rPr>
        <w:t>Álvarez</w:t>
      </w:r>
      <w:r w:rsidRPr="00247AFD">
        <w:rPr>
          <w:rFonts w:ascii="Verdana" w:hAnsi="Verdana"/>
          <w:sz w:val="20"/>
          <w:szCs w:val="20"/>
        </w:rPr>
        <w:t xml:space="preserve"> resulta fundamental para la resolución del caso en tanto </w:t>
      </w:r>
      <w:r w:rsidR="00E27CB2" w:rsidRPr="00247AFD">
        <w:rPr>
          <w:rFonts w:ascii="Verdana" w:hAnsi="Verdana"/>
          <w:sz w:val="20"/>
          <w:szCs w:val="20"/>
        </w:rPr>
        <w:t xml:space="preserve">él </w:t>
      </w:r>
      <w:r w:rsidRPr="00247AFD">
        <w:rPr>
          <w:rFonts w:ascii="Verdana" w:hAnsi="Verdana"/>
          <w:sz w:val="20"/>
          <w:szCs w:val="20"/>
        </w:rPr>
        <w:t>sirvió como su abogado al momento de los hechos. Las representantes hicieron tal solicitud “</w:t>
      </w:r>
      <w:r w:rsidRPr="00247AFD">
        <w:rPr>
          <w:rFonts w:ascii="Verdana" w:hAnsi="Verdana"/>
          <w:sz w:val="20"/>
          <w:szCs w:val="20"/>
          <w:lang w:eastAsia="es-ES"/>
        </w:rPr>
        <w:t xml:space="preserve">sin prejuicio de que la Honorable Corte decidiera solicitar el affidávit o declaración de Azul </w:t>
      </w:r>
      <w:r w:rsidRPr="00247AFD">
        <w:rPr>
          <w:rFonts w:ascii="Verdana" w:hAnsi="Verdana"/>
          <w:sz w:val="20"/>
          <w:szCs w:val="20"/>
          <w:lang w:eastAsia="es-ES"/>
        </w:rPr>
        <w:lastRenderedPageBreak/>
        <w:t>Rojas Marín si su situación cambiara, como prueba para mejor resolver de acuerdo con lo dispuesto en el artículo 58(a) del Reglamento de la Corte</w:t>
      </w:r>
      <w:r w:rsidRPr="00247AFD">
        <w:rPr>
          <w:rFonts w:ascii="Verdana" w:hAnsi="Verdana"/>
          <w:sz w:val="20"/>
          <w:szCs w:val="20"/>
        </w:rPr>
        <w:t xml:space="preserve">”. </w:t>
      </w:r>
    </w:p>
    <w:p w14:paraId="1C1B9CB0" w14:textId="77777777" w:rsidR="00247AFD" w:rsidRPr="00247AFD" w:rsidRDefault="00247AFD" w:rsidP="00774762">
      <w:pPr>
        <w:pStyle w:val="Prrafodelista"/>
        <w:tabs>
          <w:tab w:val="left" w:pos="540"/>
        </w:tabs>
        <w:spacing w:after="0" w:line="240" w:lineRule="auto"/>
        <w:ind w:left="0" w:right="4"/>
        <w:jc w:val="both"/>
        <w:rPr>
          <w:rFonts w:ascii="Verdana" w:eastAsia="Verdana" w:hAnsi="Verdana"/>
          <w:sz w:val="20"/>
          <w:szCs w:val="20"/>
          <w:lang w:val="es-PE"/>
        </w:rPr>
      </w:pPr>
    </w:p>
    <w:p w14:paraId="3340F6A4" w14:textId="1AE91317" w:rsidR="00234A8E" w:rsidRPr="00234A8E" w:rsidRDefault="00247AFD" w:rsidP="00774762">
      <w:pPr>
        <w:pStyle w:val="Prrafodelista"/>
        <w:numPr>
          <w:ilvl w:val="0"/>
          <w:numId w:val="3"/>
        </w:numPr>
        <w:tabs>
          <w:tab w:val="left" w:pos="540"/>
        </w:tabs>
        <w:spacing w:after="0" w:line="240" w:lineRule="auto"/>
        <w:ind w:left="0" w:right="4" w:firstLine="0"/>
        <w:jc w:val="both"/>
        <w:rPr>
          <w:rFonts w:ascii="Verdana" w:eastAsia="Verdana" w:hAnsi="Verdana"/>
          <w:sz w:val="20"/>
          <w:szCs w:val="20"/>
          <w:lang w:val="es-PE"/>
        </w:rPr>
      </w:pPr>
      <w:r w:rsidRPr="00247AFD">
        <w:rPr>
          <w:rFonts w:ascii="Verdana" w:hAnsi="Verdana"/>
          <w:sz w:val="20"/>
          <w:szCs w:val="20"/>
        </w:rPr>
        <w:t xml:space="preserve">El </w:t>
      </w:r>
      <w:r w:rsidRPr="00247AFD">
        <w:rPr>
          <w:rFonts w:ascii="Verdana" w:hAnsi="Verdana"/>
          <w:b/>
          <w:i/>
          <w:sz w:val="20"/>
          <w:szCs w:val="20"/>
        </w:rPr>
        <w:t>Estado</w:t>
      </w:r>
      <w:r w:rsidR="00234A8E">
        <w:rPr>
          <w:rFonts w:ascii="Verdana" w:hAnsi="Verdana"/>
          <w:b/>
          <w:i/>
          <w:sz w:val="20"/>
          <w:szCs w:val="20"/>
        </w:rPr>
        <w:t xml:space="preserve"> </w:t>
      </w:r>
      <w:r w:rsidR="00234A8E" w:rsidRPr="00234A8E">
        <w:rPr>
          <w:rFonts w:ascii="Verdana" w:hAnsi="Verdana"/>
          <w:sz w:val="20"/>
          <w:szCs w:val="20"/>
          <w:lang w:val="es-PE"/>
        </w:rPr>
        <w:t xml:space="preserve">indicó que de acuerdo al artículo 49 del reglamento de la Corte la sustitución de un declarante es excepcional y se </w:t>
      </w:r>
      <w:r w:rsidR="00234A8E" w:rsidRPr="00234A8E">
        <w:rPr>
          <w:rFonts w:ascii="Verdana" w:hAnsi="Verdana"/>
          <w:sz w:val="20"/>
          <w:szCs w:val="20"/>
          <w:lang w:val="es-ES_tradnl"/>
        </w:rPr>
        <w:t xml:space="preserve">requiere que “se respete el objeto de la declaración originalmente ofrecida”, lo cual no se cumpliría en este caso, ya que el objeto de la declaración de la presunta víctima, Azul Rojas Marín y el objeto de la declaración del testigo, Víctor </w:t>
      </w:r>
      <w:r w:rsidR="00234A8E" w:rsidRPr="00234A8E">
        <w:rPr>
          <w:rFonts w:ascii="Verdana" w:eastAsia="Verdana" w:hAnsi="Verdana"/>
          <w:sz w:val="20"/>
          <w:szCs w:val="20"/>
          <w:lang w:val="es-ES_tradnl"/>
        </w:rPr>
        <w:t xml:space="preserve">Álvarez son diferentes. Resaltó que las representantes propusieron la declaración de la presunta víctima, sabiendo que esta estaba siendo investigada por hechos no relacionados con este caso, y que la orden de detención de la presunta </w:t>
      </w:r>
      <w:proofErr w:type="spellStart"/>
      <w:r w:rsidR="00234A8E" w:rsidRPr="00234A8E">
        <w:rPr>
          <w:rFonts w:ascii="Verdana" w:eastAsia="Verdana" w:hAnsi="Verdana"/>
          <w:sz w:val="20"/>
          <w:szCs w:val="20"/>
          <w:lang w:val="es-ES_tradnl"/>
        </w:rPr>
        <w:t>victima</w:t>
      </w:r>
      <w:proofErr w:type="spellEnd"/>
      <w:r w:rsidR="00234A8E" w:rsidRPr="00234A8E">
        <w:rPr>
          <w:rFonts w:ascii="Verdana" w:eastAsia="Verdana" w:hAnsi="Verdana"/>
          <w:sz w:val="20"/>
          <w:szCs w:val="20"/>
          <w:lang w:val="es-ES_tradnl"/>
        </w:rPr>
        <w:t xml:space="preserve"> se dictó antes que la Resolución de </w:t>
      </w:r>
      <w:r w:rsidR="00E27CB2">
        <w:rPr>
          <w:rFonts w:ascii="Verdana" w:eastAsia="Verdana" w:hAnsi="Verdana"/>
          <w:sz w:val="20"/>
          <w:szCs w:val="20"/>
          <w:lang w:val="es-ES_tradnl"/>
        </w:rPr>
        <w:t>C</w:t>
      </w:r>
      <w:r w:rsidR="00234A8E" w:rsidRPr="00234A8E">
        <w:rPr>
          <w:rFonts w:ascii="Verdana" w:eastAsia="Verdana" w:hAnsi="Verdana"/>
          <w:sz w:val="20"/>
          <w:szCs w:val="20"/>
          <w:lang w:val="es-ES_tradnl"/>
        </w:rPr>
        <w:t xml:space="preserve">onvocatoria, </w:t>
      </w:r>
      <w:r w:rsidR="00E27CB2">
        <w:rPr>
          <w:rFonts w:ascii="Verdana" w:eastAsia="Verdana" w:hAnsi="Verdana"/>
          <w:sz w:val="20"/>
          <w:szCs w:val="20"/>
          <w:lang w:val="es-ES_tradnl"/>
        </w:rPr>
        <w:t xml:space="preserve">sin </w:t>
      </w:r>
      <w:proofErr w:type="gramStart"/>
      <w:r w:rsidR="00E27CB2">
        <w:rPr>
          <w:rFonts w:ascii="Verdana" w:eastAsia="Verdana" w:hAnsi="Verdana"/>
          <w:sz w:val="20"/>
          <w:szCs w:val="20"/>
          <w:lang w:val="es-ES_tradnl"/>
        </w:rPr>
        <w:t>embargo</w:t>
      </w:r>
      <w:proofErr w:type="gramEnd"/>
      <w:r w:rsidR="00E27CB2">
        <w:rPr>
          <w:rFonts w:ascii="Verdana" w:eastAsia="Verdana" w:hAnsi="Verdana"/>
          <w:sz w:val="20"/>
          <w:szCs w:val="20"/>
          <w:lang w:val="es-ES_tradnl"/>
        </w:rPr>
        <w:t xml:space="preserve"> las representantes </w:t>
      </w:r>
      <w:r w:rsidR="00234A8E" w:rsidRPr="00234A8E">
        <w:rPr>
          <w:rFonts w:ascii="Verdana" w:eastAsia="Verdana" w:hAnsi="Verdana"/>
          <w:sz w:val="20"/>
          <w:szCs w:val="20"/>
          <w:lang w:val="es-ES_tradnl"/>
        </w:rPr>
        <w:t>no informaron a la Corte al respecto. Por tanto, el Estado consideró que “no se presentan las condiciones necesarias para que se acepte la sustitución de la declaración propuesta”.</w:t>
      </w:r>
    </w:p>
    <w:p w14:paraId="449BB802" w14:textId="77777777" w:rsidR="00247AFD" w:rsidRPr="00234A8E" w:rsidRDefault="00247AFD" w:rsidP="00774762">
      <w:pPr>
        <w:pStyle w:val="Prrafodelista"/>
        <w:tabs>
          <w:tab w:val="left" w:pos="540"/>
        </w:tabs>
        <w:spacing w:after="0" w:line="240" w:lineRule="auto"/>
        <w:ind w:left="0" w:right="4"/>
        <w:jc w:val="both"/>
        <w:rPr>
          <w:rFonts w:ascii="Verdana" w:eastAsia="Verdana" w:hAnsi="Verdana"/>
          <w:sz w:val="20"/>
          <w:szCs w:val="20"/>
          <w:lang w:val="es-PE"/>
        </w:rPr>
      </w:pPr>
    </w:p>
    <w:p w14:paraId="6C064B95" w14:textId="77777777" w:rsidR="00234A8E" w:rsidRPr="00234A8E" w:rsidRDefault="00247AFD" w:rsidP="00774762">
      <w:pPr>
        <w:pStyle w:val="Prrafodelista"/>
        <w:numPr>
          <w:ilvl w:val="0"/>
          <w:numId w:val="3"/>
        </w:numPr>
        <w:tabs>
          <w:tab w:val="left" w:pos="540"/>
        </w:tabs>
        <w:spacing w:after="0" w:line="240" w:lineRule="auto"/>
        <w:ind w:left="0" w:right="4" w:firstLine="0"/>
        <w:jc w:val="both"/>
        <w:rPr>
          <w:rFonts w:ascii="Verdana" w:eastAsia="Verdana" w:hAnsi="Verdana"/>
          <w:sz w:val="20"/>
          <w:szCs w:val="20"/>
          <w:lang w:val="es-PE"/>
        </w:rPr>
      </w:pPr>
      <w:r w:rsidRPr="00234A8E">
        <w:rPr>
          <w:rFonts w:ascii="Verdana" w:hAnsi="Verdana"/>
          <w:sz w:val="20"/>
          <w:szCs w:val="20"/>
        </w:rPr>
        <w:t>La</w:t>
      </w:r>
      <w:r w:rsidRPr="00234A8E">
        <w:rPr>
          <w:rFonts w:ascii="Verdana" w:hAnsi="Verdana"/>
          <w:i/>
          <w:sz w:val="20"/>
          <w:szCs w:val="20"/>
        </w:rPr>
        <w:t xml:space="preserve"> </w:t>
      </w:r>
      <w:r w:rsidRPr="00234A8E">
        <w:rPr>
          <w:rFonts w:ascii="Verdana" w:hAnsi="Verdana"/>
          <w:b/>
          <w:i/>
          <w:sz w:val="20"/>
          <w:szCs w:val="20"/>
        </w:rPr>
        <w:t>Comisión</w:t>
      </w:r>
      <w:r w:rsidR="00234A8E" w:rsidRPr="00234A8E">
        <w:rPr>
          <w:rFonts w:ascii="Verdana" w:hAnsi="Verdana"/>
          <w:b/>
          <w:i/>
          <w:sz w:val="20"/>
          <w:szCs w:val="20"/>
        </w:rPr>
        <w:t xml:space="preserve"> </w:t>
      </w:r>
      <w:r w:rsidR="00234A8E" w:rsidRPr="00234A8E">
        <w:rPr>
          <w:rFonts w:ascii="Verdana" w:hAnsi="Verdana"/>
          <w:sz w:val="20"/>
          <w:szCs w:val="20"/>
          <w:lang w:val="es-PE"/>
        </w:rPr>
        <w:t>consideró que la solicitud era razonable, por lo que “no tiene objeción alguna”.</w:t>
      </w:r>
    </w:p>
    <w:p w14:paraId="1F722451" w14:textId="77777777" w:rsidR="00234A8E" w:rsidRPr="00A463CF" w:rsidRDefault="00234A8E" w:rsidP="00774762">
      <w:pPr>
        <w:tabs>
          <w:tab w:val="left" w:pos="540"/>
        </w:tabs>
        <w:ind w:right="4"/>
        <w:jc w:val="both"/>
        <w:rPr>
          <w:lang w:val="es-CR"/>
        </w:rPr>
      </w:pPr>
    </w:p>
    <w:p w14:paraId="49CE36E6" w14:textId="77777777" w:rsidR="00234A8E" w:rsidRDefault="00B97966" w:rsidP="00774762">
      <w:pPr>
        <w:pStyle w:val="Prrafodelista"/>
        <w:numPr>
          <w:ilvl w:val="0"/>
          <w:numId w:val="3"/>
        </w:numPr>
        <w:tabs>
          <w:tab w:val="left" w:pos="540"/>
        </w:tabs>
        <w:spacing w:after="0" w:line="240" w:lineRule="auto"/>
        <w:ind w:left="0" w:right="4" w:firstLine="0"/>
        <w:jc w:val="both"/>
        <w:rPr>
          <w:rFonts w:ascii="Verdana" w:eastAsia="Verdana" w:hAnsi="Verdana"/>
          <w:sz w:val="20"/>
          <w:szCs w:val="20"/>
          <w:lang w:val="es-PE"/>
        </w:rPr>
      </w:pPr>
      <w:r w:rsidRPr="00234A8E">
        <w:rPr>
          <w:rFonts w:ascii="Verdana" w:hAnsi="Verdana"/>
          <w:sz w:val="20"/>
          <w:szCs w:val="20"/>
        </w:rPr>
        <w:t>La</w:t>
      </w:r>
      <w:r w:rsidRPr="00234A8E">
        <w:rPr>
          <w:rFonts w:ascii="Verdana" w:hAnsi="Verdana"/>
          <w:b/>
          <w:i/>
          <w:sz w:val="20"/>
          <w:szCs w:val="20"/>
        </w:rPr>
        <w:t xml:space="preserve"> </w:t>
      </w:r>
      <w:r w:rsidRPr="00234A8E">
        <w:rPr>
          <w:rFonts w:ascii="Verdana" w:hAnsi="Verdana"/>
          <w:sz w:val="20"/>
          <w:szCs w:val="20"/>
        </w:rPr>
        <w:t>Corte re</w:t>
      </w:r>
      <w:r w:rsidR="00234A8E">
        <w:rPr>
          <w:rFonts w:ascii="Verdana" w:hAnsi="Verdana"/>
          <w:sz w:val="20"/>
          <w:szCs w:val="20"/>
        </w:rPr>
        <w:t>cuerda</w:t>
      </w:r>
      <w:r w:rsidRPr="00234A8E">
        <w:rPr>
          <w:rFonts w:ascii="Verdana" w:hAnsi="Verdana"/>
          <w:sz w:val="20"/>
          <w:szCs w:val="20"/>
        </w:rPr>
        <w:t xml:space="preserve"> que en los casos sometidos a su conocimiento es necesario asegurar el conocimiento de la verdad y la más amplia presentación de hechos y argumentos por las partes, en todo lo que sea pertinente para la solución de las cuestiones controvertidas, garantizando a éstas el derecho a la defensa de sus respectivas posiciones</w:t>
      </w:r>
      <w:r w:rsidRPr="00234A8E">
        <w:rPr>
          <w:rStyle w:val="Refdenotaalpie"/>
          <w:rFonts w:ascii="Verdana" w:eastAsia="Verdana" w:hAnsi="Verdana"/>
          <w:sz w:val="20"/>
          <w:szCs w:val="20"/>
          <w:lang w:val="es-PE"/>
        </w:rPr>
        <w:footnoteReference w:id="1"/>
      </w:r>
      <w:r w:rsidRPr="00234A8E">
        <w:rPr>
          <w:rFonts w:ascii="Verdana" w:hAnsi="Verdana"/>
          <w:sz w:val="20"/>
          <w:szCs w:val="20"/>
        </w:rPr>
        <w:t xml:space="preserve">. </w:t>
      </w:r>
    </w:p>
    <w:p w14:paraId="7B9D2CEC" w14:textId="77777777" w:rsidR="00234A8E" w:rsidRPr="00A463CF" w:rsidRDefault="00234A8E" w:rsidP="00774762">
      <w:pPr>
        <w:tabs>
          <w:tab w:val="left" w:pos="540"/>
        </w:tabs>
        <w:ind w:right="4"/>
        <w:jc w:val="both"/>
        <w:rPr>
          <w:lang w:val="es-CR" w:eastAsia="es-ES"/>
        </w:rPr>
      </w:pPr>
    </w:p>
    <w:p w14:paraId="5C3DB94C" w14:textId="5A5770AE" w:rsidR="003B78C1" w:rsidRPr="00234A8E" w:rsidRDefault="00513DCB" w:rsidP="00774762">
      <w:pPr>
        <w:pStyle w:val="Prrafodelista"/>
        <w:numPr>
          <w:ilvl w:val="0"/>
          <w:numId w:val="3"/>
        </w:numPr>
        <w:tabs>
          <w:tab w:val="left" w:pos="540"/>
        </w:tabs>
        <w:spacing w:after="0" w:line="240" w:lineRule="auto"/>
        <w:ind w:left="0" w:right="4" w:firstLine="0"/>
        <w:jc w:val="both"/>
        <w:rPr>
          <w:rFonts w:ascii="Verdana" w:eastAsia="Verdana" w:hAnsi="Verdana"/>
          <w:sz w:val="20"/>
          <w:szCs w:val="20"/>
          <w:lang w:val="es-PE"/>
        </w:rPr>
      </w:pPr>
      <w:r>
        <w:rPr>
          <w:rFonts w:ascii="Verdana" w:hAnsi="Verdana"/>
          <w:sz w:val="20"/>
          <w:szCs w:val="20"/>
          <w:lang w:eastAsia="es-ES"/>
        </w:rPr>
        <w:t xml:space="preserve">En atención a lo </w:t>
      </w:r>
      <w:r w:rsidR="003B78C1" w:rsidRPr="00234A8E">
        <w:rPr>
          <w:rFonts w:ascii="Verdana" w:hAnsi="Verdana"/>
          <w:sz w:val="20"/>
          <w:szCs w:val="20"/>
          <w:lang w:eastAsia="es-ES"/>
        </w:rPr>
        <w:t xml:space="preserve">informado por las representantes, este Tribunal considera que, </w:t>
      </w:r>
      <w:r w:rsidR="004A5016">
        <w:rPr>
          <w:rFonts w:ascii="Verdana" w:hAnsi="Verdana"/>
          <w:sz w:val="20"/>
          <w:szCs w:val="20"/>
          <w:lang w:eastAsia="es-ES"/>
        </w:rPr>
        <w:t xml:space="preserve">su </w:t>
      </w:r>
      <w:r w:rsidR="003B78C1" w:rsidRPr="00234A8E">
        <w:rPr>
          <w:rFonts w:ascii="Verdana" w:hAnsi="Verdana"/>
          <w:sz w:val="20"/>
          <w:szCs w:val="20"/>
          <w:lang w:eastAsia="es-ES"/>
        </w:rPr>
        <w:t xml:space="preserve">solicitud se encuentra debidamente fundada en una situación de fuerza mayor. </w:t>
      </w:r>
      <w:r w:rsidR="00234A8E" w:rsidRPr="00234A8E">
        <w:rPr>
          <w:rFonts w:ascii="Verdana" w:hAnsi="Verdana"/>
          <w:sz w:val="20"/>
          <w:szCs w:val="20"/>
        </w:rPr>
        <w:t>Contrario a lo señalado por el Estado</w:t>
      </w:r>
      <w:r w:rsidR="00E27CB2">
        <w:rPr>
          <w:rFonts w:ascii="Verdana" w:hAnsi="Verdana"/>
          <w:sz w:val="20"/>
          <w:szCs w:val="20"/>
        </w:rPr>
        <w:t>,</w:t>
      </w:r>
      <w:r w:rsidR="00234A8E" w:rsidRPr="00234A8E">
        <w:rPr>
          <w:rFonts w:ascii="Verdana" w:hAnsi="Verdana"/>
          <w:sz w:val="20"/>
          <w:szCs w:val="20"/>
        </w:rPr>
        <w:t xml:space="preserve"> las representantes no solicitan una sustitución de la declaración de la presunta víctima, sino que </w:t>
      </w:r>
      <w:r w:rsidR="00E27CB2">
        <w:rPr>
          <w:rFonts w:ascii="Verdana" w:hAnsi="Verdana"/>
          <w:sz w:val="20"/>
          <w:szCs w:val="20"/>
        </w:rPr>
        <w:t>requiere</w:t>
      </w:r>
      <w:r w:rsidR="00234A8E" w:rsidRPr="00234A8E">
        <w:rPr>
          <w:rFonts w:ascii="Verdana" w:hAnsi="Verdana"/>
          <w:sz w:val="20"/>
          <w:szCs w:val="20"/>
        </w:rPr>
        <w:t xml:space="preserve">n </w:t>
      </w:r>
      <w:proofErr w:type="gramStart"/>
      <w:r w:rsidR="00234A8E" w:rsidRPr="00234A8E">
        <w:rPr>
          <w:rFonts w:ascii="Verdana" w:hAnsi="Verdana"/>
          <w:sz w:val="20"/>
          <w:szCs w:val="20"/>
        </w:rPr>
        <w:t>que</w:t>
      </w:r>
      <w:proofErr w:type="gramEnd"/>
      <w:r w:rsidR="00234A8E" w:rsidRPr="00234A8E">
        <w:rPr>
          <w:rFonts w:ascii="Verdana" w:hAnsi="Verdana"/>
          <w:sz w:val="20"/>
          <w:szCs w:val="20"/>
        </w:rPr>
        <w:t xml:space="preserve"> por medio de una reconsideración de la Resolución de Convocatoria, se modifique la modalidad de la declaración del testigo Víctor Álvarez para que esta sea recibida en la audiencia pública. </w:t>
      </w:r>
      <w:r w:rsidR="003B78C1" w:rsidRPr="00234A8E">
        <w:rPr>
          <w:rFonts w:ascii="Verdana" w:hAnsi="Verdana"/>
          <w:sz w:val="20"/>
          <w:szCs w:val="20"/>
          <w:lang w:eastAsia="es-ES"/>
        </w:rPr>
        <w:t>Por consiguiente, con fundamento en los artículos 49 y 57.2 del</w:t>
      </w:r>
      <w:r w:rsidR="003B78C1" w:rsidRPr="00234A8E">
        <w:rPr>
          <w:rFonts w:ascii="Verdana" w:hAnsi="Verdana"/>
          <w:b/>
          <w:color w:val="C5E0B3" w:themeColor="accent6" w:themeTint="66"/>
          <w:sz w:val="20"/>
          <w:szCs w:val="20"/>
          <w:lang w:eastAsia="es-ES"/>
        </w:rPr>
        <w:t xml:space="preserve"> </w:t>
      </w:r>
      <w:r w:rsidR="003B78C1" w:rsidRPr="00234A8E">
        <w:rPr>
          <w:rFonts w:ascii="Verdana" w:hAnsi="Verdana"/>
          <w:sz w:val="20"/>
          <w:szCs w:val="20"/>
          <w:lang w:eastAsia="es-ES"/>
        </w:rPr>
        <w:t xml:space="preserve">Reglamento, la Corte estima pertinente convocar al </w:t>
      </w:r>
      <w:r w:rsidR="00E27CB2">
        <w:rPr>
          <w:rFonts w:ascii="Verdana" w:hAnsi="Verdana"/>
          <w:sz w:val="20"/>
          <w:szCs w:val="20"/>
          <w:lang w:eastAsia="es-ES"/>
        </w:rPr>
        <w:t>testigo</w:t>
      </w:r>
      <w:r w:rsidR="003B78C1" w:rsidRPr="00234A8E">
        <w:rPr>
          <w:rFonts w:ascii="Verdana" w:hAnsi="Verdana"/>
          <w:sz w:val="20"/>
          <w:szCs w:val="20"/>
          <w:lang w:eastAsia="es-ES"/>
        </w:rPr>
        <w:t xml:space="preserve"> Víctor Álvarez a declarar en la</w:t>
      </w:r>
      <w:r w:rsidR="003B78C1" w:rsidRPr="00234A8E">
        <w:rPr>
          <w:rFonts w:ascii="Verdana" w:hAnsi="Verdana"/>
          <w:b/>
          <w:color w:val="C5E0B3" w:themeColor="accent6" w:themeTint="66"/>
          <w:sz w:val="20"/>
          <w:szCs w:val="20"/>
          <w:lang w:eastAsia="es-ES"/>
        </w:rPr>
        <w:t xml:space="preserve"> </w:t>
      </w:r>
      <w:r w:rsidR="003B78C1" w:rsidRPr="00234A8E">
        <w:rPr>
          <w:rFonts w:ascii="Verdana" w:hAnsi="Verdana"/>
          <w:sz w:val="20"/>
          <w:szCs w:val="20"/>
          <w:lang w:eastAsia="es-ES"/>
        </w:rPr>
        <w:t xml:space="preserve">audiencia pública que se celebrará en el presente caso. </w:t>
      </w:r>
    </w:p>
    <w:p w14:paraId="24C7825D" w14:textId="77777777" w:rsidR="00893423" w:rsidRPr="00F023D8" w:rsidRDefault="00893423" w:rsidP="00774762">
      <w:pPr>
        <w:pStyle w:val="Numberedparagraphs"/>
        <w:numPr>
          <w:ilvl w:val="0"/>
          <w:numId w:val="0"/>
        </w:numPr>
        <w:tabs>
          <w:tab w:val="left" w:pos="567"/>
        </w:tabs>
        <w:rPr>
          <w:lang w:val="es-PE"/>
        </w:rPr>
      </w:pPr>
    </w:p>
    <w:p w14:paraId="138C4318" w14:textId="77777777" w:rsidR="00594851" w:rsidRPr="00CB6343" w:rsidRDefault="00594851" w:rsidP="00774762">
      <w:pPr>
        <w:pStyle w:val="PrrafodeSentencia"/>
        <w:numPr>
          <w:ilvl w:val="0"/>
          <w:numId w:val="0"/>
        </w:numPr>
        <w:rPr>
          <w:b/>
        </w:rPr>
      </w:pPr>
      <w:r w:rsidRPr="00CB6343">
        <w:rPr>
          <w:b/>
        </w:rPr>
        <w:t>POR TANTO:</w:t>
      </w:r>
    </w:p>
    <w:p w14:paraId="06F6B6E8" w14:textId="77777777" w:rsidR="00594851" w:rsidRPr="00CB6343" w:rsidRDefault="00594851" w:rsidP="00774762">
      <w:pPr>
        <w:tabs>
          <w:tab w:val="left" w:pos="567"/>
        </w:tabs>
        <w:jc w:val="both"/>
        <w:rPr>
          <w:b/>
          <w:lang w:val="es-MX"/>
        </w:rPr>
      </w:pPr>
    </w:p>
    <w:p w14:paraId="41D384D3" w14:textId="77777777" w:rsidR="00594851" w:rsidRPr="00CB6343" w:rsidRDefault="00594851" w:rsidP="00774762">
      <w:pPr>
        <w:tabs>
          <w:tab w:val="left" w:pos="567"/>
        </w:tabs>
        <w:jc w:val="both"/>
        <w:rPr>
          <w:b/>
          <w:lang w:val="es-MX"/>
        </w:rPr>
      </w:pPr>
      <w:r w:rsidRPr="00CB6343">
        <w:rPr>
          <w:b/>
          <w:lang w:val="es-MX"/>
        </w:rPr>
        <w:t>LA CORTE INTERAMERICANA DE DERECHOS HUMANOS,</w:t>
      </w:r>
    </w:p>
    <w:p w14:paraId="6A9B6260" w14:textId="77777777" w:rsidR="00594851" w:rsidRPr="00CB6343" w:rsidRDefault="00594851" w:rsidP="00774762">
      <w:pPr>
        <w:tabs>
          <w:tab w:val="left" w:pos="567"/>
        </w:tabs>
        <w:jc w:val="both"/>
        <w:rPr>
          <w:lang w:val="es-MX"/>
        </w:rPr>
      </w:pPr>
    </w:p>
    <w:p w14:paraId="6619E0E7" w14:textId="77777777" w:rsidR="00594851" w:rsidRDefault="00365164" w:rsidP="00774762">
      <w:pPr>
        <w:tabs>
          <w:tab w:val="left" w:pos="567"/>
        </w:tabs>
        <w:jc w:val="both"/>
        <w:rPr>
          <w:lang w:val="es-MX"/>
        </w:rPr>
      </w:pPr>
      <w:r w:rsidRPr="00365164">
        <w:rPr>
          <w:lang w:val="es-MX"/>
        </w:rPr>
        <w:t>de conformidad con el artículo 25.2 del Estatuto de la Corte y</w:t>
      </w:r>
      <w:r w:rsidR="00E814DF">
        <w:rPr>
          <w:lang w:val="es-MX"/>
        </w:rPr>
        <w:t xml:space="preserve"> con los artículos 31.2, 49 y 57</w:t>
      </w:r>
      <w:r w:rsidRPr="00365164">
        <w:rPr>
          <w:lang w:val="es-MX"/>
        </w:rPr>
        <w:t xml:space="preserve"> del Reglamento,</w:t>
      </w:r>
    </w:p>
    <w:p w14:paraId="09D5EA91" w14:textId="77777777" w:rsidR="00365164" w:rsidRPr="00CB6343" w:rsidRDefault="00365164" w:rsidP="00774762">
      <w:pPr>
        <w:tabs>
          <w:tab w:val="left" w:pos="567"/>
        </w:tabs>
        <w:jc w:val="both"/>
        <w:rPr>
          <w:b/>
          <w:lang w:val="es-MX"/>
        </w:rPr>
      </w:pPr>
    </w:p>
    <w:p w14:paraId="6E947EAF" w14:textId="77777777" w:rsidR="00594851" w:rsidRPr="00CB6343" w:rsidRDefault="00594851" w:rsidP="00774762">
      <w:pPr>
        <w:tabs>
          <w:tab w:val="left" w:pos="567"/>
        </w:tabs>
        <w:jc w:val="both"/>
        <w:rPr>
          <w:b/>
        </w:rPr>
      </w:pPr>
      <w:r w:rsidRPr="00CB6343">
        <w:rPr>
          <w:b/>
          <w:lang w:val="es-MX"/>
        </w:rPr>
        <w:t>RESUELVE</w:t>
      </w:r>
      <w:r w:rsidRPr="00CB6343">
        <w:rPr>
          <w:b/>
        </w:rPr>
        <w:t>:</w:t>
      </w:r>
    </w:p>
    <w:p w14:paraId="51CD00C0" w14:textId="77777777" w:rsidR="00594851" w:rsidRPr="00CB6343" w:rsidRDefault="00594851" w:rsidP="00774762">
      <w:pPr>
        <w:tabs>
          <w:tab w:val="left" w:pos="567"/>
        </w:tabs>
        <w:jc w:val="both"/>
        <w:rPr>
          <w:b/>
        </w:rPr>
      </w:pPr>
    </w:p>
    <w:p w14:paraId="7DB288AB" w14:textId="633A3182" w:rsidR="003B78C1" w:rsidRDefault="003B78C1" w:rsidP="00774762">
      <w:pPr>
        <w:pStyle w:val="Prrafodelista"/>
        <w:numPr>
          <w:ilvl w:val="0"/>
          <w:numId w:val="14"/>
        </w:numPr>
        <w:tabs>
          <w:tab w:val="left" w:pos="567"/>
        </w:tabs>
        <w:spacing w:after="0" w:line="240" w:lineRule="auto"/>
        <w:ind w:left="0" w:firstLine="0"/>
        <w:jc w:val="both"/>
        <w:rPr>
          <w:rFonts w:ascii="Verdana" w:hAnsi="Verdana"/>
          <w:sz w:val="20"/>
          <w:szCs w:val="20"/>
        </w:rPr>
      </w:pPr>
      <w:r w:rsidRPr="003B78C1">
        <w:rPr>
          <w:rFonts w:ascii="Verdana" w:hAnsi="Verdana"/>
          <w:sz w:val="20"/>
          <w:szCs w:val="20"/>
        </w:rPr>
        <w:t xml:space="preserve">Convocar al señor </w:t>
      </w:r>
      <w:r>
        <w:rPr>
          <w:rFonts w:ascii="Verdana" w:hAnsi="Verdana"/>
          <w:sz w:val="20"/>
          <w:szCs w:val="20"/>
        </w:rPr>
        <w:t xml:space="preserve">Víctor </w:t>
      </w:r>
      <w:r w:rsidRPr="00234A8E">
        <w:rPr>
          <w:rFonts w:ascii="Verdana" w:hAnsi="Verdana"/>
          <w:sz w:val="20"/>
          <w:szCs w:val="20"/>
          <w:lang w:val="es-ES_tradnl"/>
        </w:rPr>
        <w:t xml:space="preserve">Álvarez a la audiencia pública sobre las excepciones preliminares y eventuales fondo, reparaciones y costas que se celebrará en la ciudad de </w:t>
      </w:r>
      <w:r w:rsidR="004A5016">
        <w:rPr>
          <w:rFonts w:ascii="Verdana" w:hAnsi="Verdana"/>
          <w:sz w:val="20"/>
          <w:szCs w:val="20"/>
          <w:lang w:val="es-ES_tradnl"/>
        </w:rPr>
        <w:t xml:space="preserve">Barranquilla, Colombia </w:t>
      </w:r>
      <w:r w:rsidRPr="00234A8E">
        <w:rPr>
          <w:rFonts w:ascii="Verdana" w:hAnsi="Verdana"/>
          <w:sz w:val="20"/>
          <w:szCs w:val="20"/>
          <w:lang w:val="es-ES_tradnl"/>
        </w:rPr>
        <w:t xml:space="preserve">el 27 de agosto de 2019 a partir de las 9:00 horas, de conformidad con el Considerando </w:t>
      </w:r>
      <w:r w:rsidR="00234A8E" w:rsidRPr="00234A8E">
        <w:rPr>
          <w:rFonts w:ascii="Verdana" w:hAnsi="Verdana"/>
          <w:sz w:val="20"/>
          <w:szCs w:val="20"/>
          <w:lang w:val="es-ES_tradnl"/>
        </w:rPr>
        <w:t>9</w:t>
      </w:r>
      <w:r w:rsidRPr="00234A8E">
        <w:rPr>
          <w:rFonts w:ascii="Verdana" w:hAnsi="Verdana"/>
          <w:sz w:val="20"/>
          <w:szCs w:val="20"/>
          <w:lang w:val="es-ES_tradnl"/>
        </w:rPr>
        <w:t xml:space="preserve"> de la presente Resolución, para que declare sobre el objeto fijado por el </w:t>
      </w:r>
      <w:proofErr w:type="gramStart"/>
      <w:r w:rsidRPr="00234A8E">
        <w:rPr>
          <w:rFonts w:ascii="Verdana" w:hAnsi="Verdana"/>
          <w:sz w:val="20"/>
          <w:szCs w:val="20"/>
          <w:lang w:val="es-ES_tradnl"/>
        </w:rPr>
        <w:t>Presidente</w:t>
      </w:r>
      <w:proofErr w:type="gramEnd"/>
      <w:r w:rsidRPr="00234A8E">
        <w:rPr>
          <w:rFonts w:ascii="Verdana" w:hAnsi="Verdana"/>
          <w:sz w:val="20"/>
          <w:szCs w:val="20"/>
          <w:lang w:val="es-ES_tradnl"/>
        </w:rPr>
        <w:t xml:space="preserve"> de la Corte en su Resolución de 10 de julio de 2019</w:t>
      </w:r>
      <w:r w:rsidRPr="003B78C1">
        <w:rPr>
          <w:rFonts w:ascii="Verdana" w:hAnsi="Verdana"/>
          <w:sz w:val="20"/>
          <w:szCs w:val="20"/>
        </w:rPr>
        <w:t xml:space="preserve">. </w:t>
      </w:r>
    </w:p>
    <w:p w14:paraId="25B7227B" w14:textId="77777777" w:rsidR="003B78C1" w:rsidRDefault="003B78C1" w:rsidP="00774762">
      <w:pPr>
        <w:pStyle w:val="Prrafodelista"/>
        <w:spacing w:after="0" w:line="240" w:lineRule="auto"/>
        <w:ind w:left="0"/>
        <w:jc w:val="both"/>
        <w:rPr>
          <w:rFonts w:ascii="Verdana" w:hAnsi="Verdana"/>
          <w:sz w:val="20"/>
          <w:szCs w:val="20"/>
        </w:rPr>
      </w:pPr>
    </w:p>
    <w:p w14:paraId="0BF5A5D8" w14:textId="706B1D33" w:rsidR="003B78C1" w:rsidRPr="003B78C1" w:rsidRDefault="003B78C1" w:rsidP="00774762">
      <w:pPr>
        <w:pStyle w:val="Prrafodelista"/>
        <w:numPr>
          <w:ilvl w:val="0"/>
          <w:numId w:val="14"/>
        </w:numPr>
        <w:tabs>
          <w:tab w:val="left" w:pos="567"/>
        </w:tabs>
        <w:spacing w:after="0" w:line="240" w:lineRule="auto"/>
        <w:ind w:left="0" w:firstLine="0"/>
        <w:jc w:val="both"/>
        <w:rPr>
          <w:rFonts w:ascii="Verdana" w:hAnsi="Verdana"/>
          <w:sz w:val="20"/>
          <w:szCs w:val="20"/>
        </w:rPr>
      </w:pPr>
      <w:r w:rsidRPr="003B78C1">
        <w:rPr>
          <w:rFonts w:ascii="Verdana" w:hAnsi="Verdana"/>
          <w:sz w:val="20"/>
          <w:szCs w:val="20"/>
        </w:rPr>
        <w:t>Disponer que la Secretaría de la Corte notifique la presente Resolución a l</w:t>
      </w:r>
      <w:r w:rsidR="00E01CA4">
        <w:rPr>
          <w:rFonts w:ascii="Verdana" w:hAnsi="Verdana"/>
          <w:sz w:val="20"/>
          <w:szCs w:val="20"/>
        </w:rPr>
        <w:t>a</w:t>
      </w:r>
      <w:r w:rsidRPr="003B78C1">
        <w:rPr>
          <w:rFonts w:ascii="Verdana" w:hAnsi="Verdana"/>
          <w:sz w:val="20"/>
          <w:szCs w:val="20"/>
        </w:rPr>
        <w:t>s representantes de las presuntas víctimas, al Estado y a la Comisión.</w:t>
      </w:r>
    </w:p>
    <w:p w14:paraId="3AABABB3" w14:textId="77777777" w:rsidR="00A52A6F" w:rsidRDefault="00A52A6F" w:rsidP="00774762">
      <w:pPr>
        <w:jc w:val="center"/>
        <w:rPr>
          <w:lang w:val="es-ES"/>
        </w:rPr>
      </w:pPr>
    </w:p>
    <w:p w14:paraId="308FDA6C" w14:textId="77777777" w:rsidR="00B57E7B" w:rsidRPr="00725418" w:rsidRDefault="00B57E7B" w:rsidP="00B57E7B">
      <w:pPr>
        <w:keepNext/>
        <w:jc w:val="both"/>
        <w:outlineLvl w:val="0"/>
        <w:rPr>
          <w:lang w:val="es-CR"/>
        </w:rPr>
      </w:pPr>
      <w:r w:rsidRPr="00745B6E">
        <w:rPr>
          <w:lang w:val="es-ES"/>
        </w:rPr>
        <w:lastRenderedPageBreak/>
        <w:t xml:space="preserve">Corte IDH. </w:t>
      </w:r>
      <w:r w:rsidRPr="00745B6E">
        <w:rPr>
          <w:i/>
          <w:lang w:val="es-ES"/>
        </w:rPr>
        <w:t xml:space="preserve">Caso </w:t>
      </w:r>
      <w:r>
        <w:rPr>
          <w:i/>
          <w:lang w:val="es-ES"/>
        </w:rPr>
        <w:t>Rojas Marín y otra</w:t>
      </w:r>
      <w:r w:rsidRPr="00745B6E">
        <w:rPr>
          <w:i/>
          <w:lang w:val="es-ES"/>
        </w:rPr>
        <w:t xml:space="preserve"> Vs. P</w:t>
      </w:r>
      <w:r>
        <w:rPr>
          <w:i/>
          <w:lang w:val="es-ES"/>
        </w:rPr>
        <w:t>erú</w:t>
      </w:r>
      <w:r w:rsidRPr="00745B6E">
        <w:rPr>
          <w:i/>
          <w:lang w:val="es-ES"/>
        </w:rPr>
        <w:t xml:space="preserve">. </w:t>
      </w:r>
      <w:r w:rsidRPr="00725418">
        <w:rPr>
          <w:lang w:val="es-ES"/>
        </w:rPr>
        <w:t>Resolución de la Corte Interamericana de Derechos Humanos de 26 de agosto de 2019.</w:t>
      </w:r>
    </w:p>
    <w:p w14:paraId="19BB38C1" w14:textId="77777777" w:rsidR="00B57E7B" w:rsidRPr="00745B6E" w:rsidRDefault="00B57E7B" w:rsidP="00B57E7B">
      <w:pPr>
        <w:jc w:val="center"/>
        <w:rPr>
          <w:lang w:val="es-ES"/>
        </w:rPr>
      </w:pPr>
    </w:p>
    <w:p w14:paraId="3E7CFD95" w14:textId="77777777" w:rsidR="00B57E7B" w:rsidRPr="00745B6E" w:rsidRDefault="00B57E7B" w:rsidP="00B57E7B">
      <w:pPr>
        <w:jc w:val="center"/>
        <w:rPr>
          <w:lang w:val="es-ES"/>
        </w:rPr>
      </w:pPr>
    </w:p>
    <w:p w14:paraId="5C19232E" w14:textId="77777777" w:rsidR="00B57E7B" w:rsidRPr="00745B6E" w:rsidRDefault="00B57E7B" w:rsidP="00B57E7B">
      <w:pPr>
        <w:jc w:val="center"/>
        <w:rPr>
          <w:lang w:val="es-ES"/>
        </w:rPr>
      </w:pPr>
    </w:p>
    <w:p w14:paraId="4B6784AF" w14:textId="77777777" w:rsidR="00B57E7B" w:rsidRPr="00745B6E" w:rsidRDefault="00B57E7B" w:rsidP="00B57E7B">
      <w:pPr>
        <w:jc w:val="center"/>
        <w:rPr>
          <w:lang w:val="es-ES"/>
        </w:rPr>
      </w:pPr>
    </w:p>
    <w:p w14:paraId="5D5A19C5" w14:textId="77777777" w:rsidR="00B57E7B" w:rsidRPr="00745B6E" w:rsidRDefault="00B57E7B" w:rsidP="00B57E7B">
      <w:pPr>
        <w:jc w:val="center"/>
        <w:rPr>
          <w:lang w:val="es-ES"/>
        </w:rPr>
      </w:pPr>
    </w:p>
    <w:p w14:paraId="649B7F7E" w14:textId="77777777" w:rsidR="00B57E7B" w:rsidRPr="00745B6E" w:rsidRDefault="00B57E7B" w:rsidP="00B57E7B">
      <w:pPr>
        <w:jc w:val="center"/>
        <w:rPr>
          <w:lang w:val="es-ES"/>
        </w:rPr>
      </w:pPr>
      <w:r w:rsidRPr="00745B6E">
        <w:rPr>
          <w:lang w:val="es-ES"/>
        </w:rPr>
        <w:t>Eduardo Ferrer Mac-</w:t>
      </w:r>
      <w:proofErr w:type="spellStart"/>
      <w:r w:rsidRPr="00745B6E">
        <w:rPr>
          <w:lang w:val="es-ES"/>
        </w:rPr>
        <w:t>Gregor</w:t>
      </w:r>
      <w:proofErr w:type="spellEnd"/>
      <w:r w:rsidRPr="00745B6E">
        <w:rPr>
          <w:lang w:val="es-ES"/>
        </w:rPr>
        <w:t xml:space="preserve"> </w:t>
      </w:r>
      <w:proofErr w:type="spellStart"/>
      <w:r w:rsidRPr="00745B6E">
        <w:rPr>
          <w:lang w:val="es-ES"/>
        </w:rPr>
        <w:t>Poisot</w:t>
      </w:r>
      <w:proofErr w:type="spellEnd"/>
      <w:r w:rsidRPr="00745B6E">
        <w:rPr>
          <w:lang w:val="es-ES"/>
        </w:rPr>
        <w:t xml:space="preserve"> </w:t>
      </w:r>
    </w:p>
    <w:p w14:paraId="3C76F850" w14:textId="77777777" w:rsidR="00B57E7B" w:rsidRPr="00745B6E" w:rsidRDefault="00B57E7B" w:rsidP="00B57E7B">
      <w:pPr>
        <w:jc w:val="center"/>
        <w:rPr>
          <w:lang w:val="es-ES"/>
        </w:rPr>
      </w:pPr>
      <w:r w:rsidRPr="00745B6E">
        <w:rPr>
          <w:lang w:val="es-ES"/>
        </w:rPr>
        <w:t xml:space="preserve">Presidente </w:t>
      </w:r>
    </w:p>
    <w:p w14:paraId="3B20F259" w14:textId="77777777" w:rsidR="00B57E7B" w:rsidRPr="00745B6E" w:rsidRDefault="00B57E7B" w:rsidP="00B57E7B">
      <w:pPr>
        <w:jc w:val="both"/>
        <w:rPr>
          <w:lang w:val="es-ES"/>
        </w:rPr>
      </w:pPr>
    </w:p>
    <w:p w14:paraId="79FE1FA3" w14:textId="77777777" w:rsidR="00B57E7B" w:rsidRPr="00745B6E" w:rsidRDefault="00B57E7B" w:rsidP="00B57E7B">
      <w:pPr>
        <w:jc w:val="both"/>
        <w:rPr>
          <w:lang w:val="es-ES"/>
        </w:rPr>
      </w:pPr>
    </w:p>
    <w:p w14:paraId="2510B238" w14:textId="77777777" w:rsidR="00B57E7B" w:rsidRPr="00745B6E" w:rsidRDefault="00B57E7B" w:rsidP="00B57E7B">
      <w:pPr>
        <w:jc w:val="both"/>
        <w:rPr>
          <w:lang w:val="es-ES"/>
        </w:rPr>
      </w:pPr>
    </w:p>
    <w:p w14:paraId="0C91C784" w14:textId="77777777" w:rsidR="00B57E7B" w:rsidRPr="00745B6E" w:rsidRDefault="00B57E7B" w:rsidP="00B57E7B">
      <w:pPr>
        <w:jc w:val="both"/>
        <w:rPr>
          <w:lang w:val="es-ES"/>
        </w:rPr>
      </w:pPr>
    </w:p>
    <w:p w14:paraId="4F9FDD22" w14:textId="77777777" w:rsidR="00B57E7B" w:rsidRPr="00745B6E" w:rsidRDefault="00B57E7B" w:rsidP="00B57E7B">
      <w:pPr>
        <w:jc w:val="both"/>
        <w:rPr>
          <w:lang w:val="es-ES"/>
        </w:rPr>
      </w:pPr>
    </w:p>
    <w:p w14:paraId="42F33472" w14:textId="77777777" w:rsidR="00B57E7B" w:rsidRPr="00745B6E" w:rsidRDefault="00B57E7B" w:rsidP="00B57E7B">
      <w:pPr>
        <w:jc w:val="both"/>
        <w:rPr>
          <w:lang w:val="es-ES"/>
        </w:rPr>
      </w:pPr>
      <w:r w:rsidRPr="00745B6E">
        <w:rPr>
          <w:lang w:val="es-ES"/>
        </w:rPr>
        <w:t>Eduardo Vio Grossi</w:t>
      </w:r>
      <w:r w:rsidRPr="00745B6E">
        <w:rPr>
          <w:lang w:val="es-ES"/>
        </w:rPr>
        <w:tab/>
      </w:r>
      <w:r w:rsidRPr="00745B6E">
        <w:rPr>
          <w:lang w:val="es-ES"/>
        </w:rPr>
        <w:tab/>
      </w:r>
      <w:r w:rsidRPr="00745B6E">
        <w:rPr>
          <w:lang w:val="es-ES"/>
        </w:rPr>
        <w:tab/>
      </w:r>
      <w:r w:rsidRPr="00745B6E">
        <w:rPr>
          <w:lang w:val="es-ES"/>
        </w:rPr>
        <w:tab/>
      </w:r>
      <w:r w:rsidRPr="00745B6E">
        <w:rPr>
          <w:lang w:val="es-ES"/>
        </w:rPr>
        <w:tab/>
      </w:r>
      <w:r w:rsidRPr="00745B6E">
        <w:rPr>
          <w:lang w:val="es-ES"/>
        </w:rPr>
        <w:tab/>
        <w:t xml:space="preserve">        Humberto A. Sierra Porto</w:t>
      </w:r>
    </w:p>
    <w:p w14:paraId="072FE41E" w14:textId="77777777" w:rsidR="00B57E7B" w:rsidRPr="00745B6E" w:rsidRDefault="00B57E7B" w:rsidP="00B57E7B">
      <w:pPr>
        <w:jc w:val="both"/>
        <w:rPr>
          <w:lang w:val="es-ES"/>
        </w:rPr>
      </w:pPr>
    </w:p>
    <w:p w14:paraId="534EF930" w14:textId="77777777" w:rsidR="00B57E7B" w:rsidRPr="00745B6E" w:rsidRDefault="00B57E7B" w:rsidP="00B57E7B">
      <w:pPr>
        <w:jc w:val="both"/>
        <w:rPr>
          <w:lang w:val="es-ES"/>
        </w:rPr>
      </w:pPr>
    </w:p>
    <w:p w14:paraId="17BA7950" w14:textId="77777777" w:rsidR="00B57E7B" w:rsidRPr="00745B6E" w:rsidRDefault="00B57E7B" w:rsidP="00B57E7B">
      <w:pPr>
        <w:jc w:val="both"/>
        <w:rPr>
          <w:lang w:val="es-ES"/>
        </w:rPr>
      </w:pPr>
    </w:p>
    <w:p w14:paraId="67CCA17D" w14:textId="77777777" w:rsidR="00B57E7B" w:rsidRPr="00745B6E" w:rsidRDefault="00B57E7B" w:rsidP="00B57E7B">
      <w:pPr>
        <w:jc w:val="both"/>
        <w:rPr>
          <w:lang w:val="es-ES"/>
        </w:rPr>
      </w:pPr>
    </w:p>
    <w:p w14:paraId="305C37CA" w14:textId="77777777" w:rsidR="00B57E7B" w:rsidRPr="00745B6E" w:rsidRDefault="00B57E7B" w:rsidP="00B57E7B">
      <w:pPr>
        <w:jc w:val="both"/>
        <w:rPr>
          <w:lang w:val="es-ES"/>
        </w:rPr>
      </w:pPr>
    </w:p>
    <w:p w14:paraId="5CD51221" w14:textId="77777777" w:rsidR="00B57E7B" w:rsidRPr="00745B6E" w:rsidRDefault="00B57E7B" w:rsidP="00B57E7B">
      <w:pPr>
        <w:jc w:val="center"/>
        <w:rPr>
          <w:lang w:val="es-ES"/>
        </w:rPr>
      </w:pPr>
      <w:r w:rsidRPr="00745B6E">
        <w:rPr>
          <w:lang w:val="es-ES"/>
        </w:rPr>
        <w:t>Elizabeth Odio Benito</w:t>
      </w:r>
      <w:r w:rsidRPr="00745B6E">
        <w:rPr>
          <w:lang w:val="es-ES"/>
        </w:rPr>
        <w:tab/>
      </w:r>
      <w:r w:rsidRPr="00745B6E">
        <w:rPr>
          <w:lang w:val="es-ES"/>
        </w:rPr>
        <w:tab/>
      </w:r>
      <w:r w:rsidRPr="00745B6E">
        <w:rPr>
          <w:lang w:val="es-ES"/>
        </w:rPr>
        <w:tab/>
      </w:r>
      <w:r w:rsidRPr="00745B6E">
        <w:rPr>
          <w:lang w:val="es-ES"/>
        </w:rPr>
        <w:tab/>
      </w:r>
      <w:r w:rsidRPr="00745B6E">
        <w:rPr>
          <w:lang w:val="es-ES"/>
        </w:rPr>
        <w:tab/>
        <w:t xml:space="preserve">        </w:t>
      </w:r>
      <w:r>
        <w:rPr>
          <w:lang w:val="es-ES"/>
        </w:rPr>
        <w:t xml:space="preserve">    Eugenio Raúl Zaffaroni</w:t>
      </w:r>
    </w:p>
    <w:p w14:paraId="75255C58" w14:textId="77777777" w:rsidR="00B57E7B" w:rsidRPr="00745B6E" w:rsidRDefault="00B57E7B" w:rsidP="00B57E7B">
      <w:pPr>
        <w:jc w:val="both"/>
        <w:rPr>
          <w:lang w:val="es-ES"/>
        </w:rPr>
      </w:pPr>
    </w:p>
    <w:p w14:paraId="35548C70" w14:textId="77777777" w:rsidR="00B57E7B" w:rsidRPr="00745B6E" w:rsidRDefault="00B57E7B" w:rsidP="00B57E7B">
      <w:pPr>
        <w:jc w:val="both"/>
        <w:rPr>
          <w:lang w:val="es-ES"/>
        </w:rPr>
      </w:pPr>
    </w:p>
    <w:p w14:paraId="079C70E5" w14:textId="77777777" w:rsidR="00B57E7B" w:rsidRPr="00745B6E" w:rsidRDefault="00B57E7B" w:rsidP="00B57E7B">
      <w:pPr>
        <w:jc w:val="both"/>
        <w:rPr>
          <w:lang w:val="es-ES"/>
        </w:rPr>
      </w:pPr>
    </w:p>
    <w:p w14:paraId="17A3AA41" w14:textId="77777777" w:rsidR="00B57E7B" w:rsidRPr="00745B6E" w:rsidRDefault="00B57E7B" w:rsidP="00B57E7B">
      <w:pPr>
        <w:jc w:val="both"/>
        <w:rPr>
          <w:lang w:val="es-ES"/>
        </w:rPr>
      </w:pPr>
    </w:p>
    <w:p w14:paraId="7CC747C4" w14:textId="77777777" w:rsidR="00B57E7B" w:rsidRDefault="00B57E7B" w:rsidP="00B57E7B">
      <w:pPr>
        <w:jc w:val="center"/>
        <w:rPr>
          <w:lang w:val="es-ES"/>
        </w:rPr>
      </w:pPr>
    </w:p>
    <w:p w14:paraId="04192756" w14:textId="77777777" w:rsidR="00B57E7B" w:rsidRPr="00745B6E" w:rsidRDefault="00B57E7B" w:rsidP="00B57E7B">
      <w:pPr>
        <w:rPr>
          <w:lang w:val="es-CR"/>
        </w:rPr>
      </w:pPr>
      <w:r w:rsidRPr="00745B6E">
        <w:rPr>
          <w:lang w:val="es-ES"/>
        </w:rPr>
        <w:t>L. Patricio Pazmiño Freire</w:t>
      </w:r>
      <w:r w:rsidRPr="00745B6E">
        <w:rPr>
          <w:lang w:val="es-CR"/>
        </w:rPr>
        <w:t xml:space="preserve"> </w:t>
      </w:r>
      <w:r>
        <w:rPr>
          <w:lang w:val="es-CR"/>
        </w:rPr>
        <w:tab/>
      </w:r>
      <w:r>
        <w:rPr>
          <w:lang w:val="es-CR"/>
        </w:rPr>
        <w:tab/>
      </w:r>
      <w:r>
        <w:rPr>
          <w:lang w:val="es-CR"/>
        </w:rPr>
        <w:tab/>
      </w:r>
      <w:r>
        <w:rPr>
          <w:lang w:val="es-CR"/>
        </w:rPr>
        <w:tab/>
      </w:r>
      <w:r>
        <w:rPr>
          <w:lang w:val="es-CR"/>
        </w:rPr>
        <w:tab/>
        <w:t xml:space="preserve">       </w:t>
      </w:r>
      <w:r w:rsidRPr="00745B6E">
        <w:rPr>
          <w:lang w:val="es-CR"/>
        </w:rPr>
        <w:t xml:space="preserve">Ricardo </w:t>
      </w:r>
      <w:r>
        <w:rPr>
          <w:lang w:val="es-CR"/>
        </w:rPr>
        <w:t xml:space="preserve">C. </w:t>
      </w:r>
      <w:r w:rsidRPr="00745B6E">
        <w:rPr>
          <w:lang w:val="es-CR"/>
        </w:rPr>
        <w:t>Pérez Manrique</w:t>
      </w:r>
    </w:p>
    <w:p w14:paraId="5406CEE8" w14:textId="77777777" w:rsidR="00B57E7B" w:rsidRPr="00745B6E" w:rsidRDefault="00B57E7B" w:rsidP="00B57E7B">
      <w:pPr>
        <w:jc w:val="both"/>
        <w:rPr>
          <w:lang w:val="es-ES"/>
        </w:rPr>
      </w:pPr>
    </w:p>
    <w:p w14:paraId="243C6AC2" w14:textId="77777777" w:rsidR="00B57E7B" w:rsidRPr="00745B6E" w:rsidRDefault="00B57E7B" w:rsidP="00B57E7B">
      <w:pPr>
        <w:jc w:val="both"/>
        <w:rPr>
          <w:lang w:val="es-ES"/>
        </w:rPr>
      </w:pPr>
    </w:p>
    <w:p w14:paraId="3CD84B1A" w14:textId="77777777" w:rsidR="00B57E7B" w:rsidRPr="00745B6E" w:rsidRDefault="00B57E7B" w:rsidP="00B57E7B">
      <w:pPr>
        <w:jc w:val="both"/>
        <w:rPr>
          <w:lang w:val="es-ES"/>
        </w:rPr>
      </w:pPr>
    </w:p>
    <w:p w14:paraId="50C5E7E1" w14:textId="77777777" w:rsidR="00B57E7B" w:rsidRPr="00745B6E" w:rsidRDefault="00B57E7B" w:rsidP="00B57E7B">
      <w:pPr>
        <w:jc w:val="both"/>
        <w:rPr>
          <w:lang w:val="es-ES"/>
        </w:rPr>
      </w:pPr>
    </w:p>
    <w:p w14:paraId="535D8EDC" w14:textId="77777777" w:rsidR="00B57E7B" w:rsidRPr="00745B6E" w:rsidRDefault="00B57E7B" w:rsidP="00B57E7B">
      <w:pPr>
        <w:jc w:val="both"/>
        <w:rPr>
          <w:lang w:val="es-ES"/>
        </w:rPr>
      </w:pPr>
    </w:p>
    <w:p w14:paraId="473E6BE2" w14:textId="77777777" w:rsidR="00B57E7B" w:rsidRPr="00745B6E" w:rsidRDefault="00B57E7B" w:rsidP="00B57E7B">
      <w:pPr>
        <w:jc w:val="center"/>
        <w:rPr>
          <w:lang w:val="es-ES"/>
        </w:rPr>
      </w:pPr>
      <w:r w:rsidRPr="00745B6E">
        <w:rPr>
          <w:lang w:val="es-ES"/>
        </w:rPr>
        <w:t>Pablo Saavedra Alessandri</w:t>
      </w:r>
    </w:p>
    <w:p w14:paraId="40BD8E66" w14:textId="77777777" w:rsidR="00B57E7B" w:rsidRPr="00745B6E" w:rsidRDefault="00B57E7B" w:rsidP="00B57E7B">
      <w:pPr>
        <w:jc w:val="center"/>
        <w:rPr>
          <w:lang w:val="es-ES"/>
        </w:rPr>
      </w:pPr>
      <w:r w:rsidRPr="00745B6E">
        <w:rPr>
          <w:lang w:val="es-ES"/>
        </w:rPr>
        <w:t>Secretario</w:t>
      </w:r>
    </w:p>
    <w:p w14:paraId="430CBBF7" w14:textId="77777777" w:rsidR="00B57E7B" w:rsidRPr="00745B6E" w:rsidRDefault="00B57E7B" w:rsidP="00B57E7B">
      <w:pPr>
        <w:rPr>
          <w:lang w:val="es-ES"/>
        </w:rPr>
      </w:pPr>
    </w:p>
    <w:p w14:paraId="5A93D58F" w14:textId="77777777" w:rsidR="00B57E7B" w:rsidRDefault="00B57E7B" w:rsidP="00B57E7B">
      <w:pPr>
        <w:pStyle w:val="Textonotapie"/>
        <w:rPr>
          <w:lang w:val="es-ES"/>
        </w:rPr>
      </w:pPr>
    </w:p>
    <w:p w14:paraId="7474BF30" w14:textId="77777777" w:rsidR="00B57E7B" w:rsidRDefault="00B57E7B" w:rsidP="00B57E7B">
      <w:pPr>
        <w:pStyle w:val="Textonotapie"/>
        <w:rPr>
          <w:lang w:val="es-ES"/>
        </w:rPr>
      </w:pPr>
    </w:p>
    <w:p w14:paraId="3DD79863" w14:textId="77777777" w:rsidR="00B57E7B" w:rsidRPr="00745B6E" w:rsidRDefault="00B57E7B" w:rsidP="00B57E7B">
      <w:pPr>
        <w:pStyle w:val="Textonotapie"/>
        <w:rPr>
          <w:lang w:val="es-ES"/>
        </w:rPr>
      </w:pPr>
    </w:p>
    <w:p w14:paraId="12FDE2DD" w14:textId="77777777" w:rsidR="00B57E7B" w:rsidRPr="00745B6E" w:rsidRDefault="00B57E7B" w:rsidP="00B57E7B">
      <w:pPr>
        <w:pStyle w:val="Textonotapie"/>
        <w:rPr>
          <w:lang w:val="es-ES"/>
        </w:rPr>
      </w:pPr>
    </w:p>
    <w:p w14:paraId="30F4E40B" w14:textId="77777777" w:rsidR="00B57E7B" w:rsidRPr="00745B6E" w:rsidRDefault="00B57E7B" w:rsidP="00B57E7B">
      <w:pPr>
        <w:jc w:val="both"/>
        <w:rPr>
          <w:lang w:val="es-ES"/>
        </w:rPr>
      </w:pPr>
      <w:r w:rsidRPr="00745B6E">
        <w:rPr>
          <w:lang w:val="es-ES"/>
        </w:rPr>
        <w:t>Comuníquese y ejecútese,</w:t>
      </w:r>
    </w:p>
    <w:p w14:paraId="3DDD56D5" w14:textId="77777777" w:rsidR="00B57E7B" w:rsidRPr="00745B6E" w:rsidRDefault="00B57E7B" w:rsidP="00B57E7B">
      <w:pPr>
        <w:jc w:val="both"/>
        <w:rPr>
          <w:lang w:val="es-ES"/>
        </w:rPr>
      </w:pPr>
    </w:p>
    <w:p w14:paraId="6F59053D" w14:textId="77777777" w:rsidR="00B57E7B" w:rsidRPr="00745B6E" w:rsidRDefault="00B57E7B" w:rsidP="00B57E7B">
      <w:pPr>
        <w:jc w:val="both"/>
        <w:rPr>
          <w:lang w:val="es-ES"/>
        </w:rPr>
      </w:pPr>
    </w:p>
    <w:p w14:paraId="452AE986" w14:textId="77777777" w:rsidR="00B57E7B" w:rsidRPr="00745B6E" w:rsidRDefault="00B57E7B" w:rsidP="00B57E7B">
      <w:pPr>
        <w:jc w:val="both"/>
        <w:rPr>
          <w:lang w:val="es-ES"/>
        </w:rPr>
      </w:pPr>
    </w:p>
    <w:p w14:paraId="1A4D96F8" w14:textId="77777777" w:rsidR="00B57E7B" w:rsidRPr="00745B6E" w:rsidRDefault="00B57E7B" w:rsidP="00B57E7B">
      <w:pPr>
        <w:jc w:val="both"/>
        <w:rPr>
          <w:lang w:val="es-ES"/>
        </w:rPr>
      </w:pPr>
    </w:p>
    <w:p w14:paraId="2DA5610A" w14:textId="77777777" w:rsidR="00B57E7B" w:rsidRPr="00745B6E" w:rsidRDefault="00B57E7B" w:rsidP="00B57E7B">
      <w:pPr>
        <w:ind w:left="4956"/>
        <w:jc w:val="center"/>
        <w:rPr>
          <w:lang w:val="es-ES"/>
        </w:rPr>
      </w:pPr>
      <w:r>
        <w:rPr>
          <w:lang w:val="es-ES"/>
        </w:rPr>
        <w:t xml:space="preserve">      </w:t>
      </w:r>
      <w:r w:rsidRPr="00745B6E">
        <w:rPr>
          <w:lang w:val="es-ES"/>
        </w:rPr>
        <w:t>Eduardo Ferrer Mac-</w:t>
      </w:r>
      <w:proofErr w:type="spellStart"/>
      <w:r w:rsidRPr="00745B6E">
        <w:rPr>
          <w:lang w:val="es-ES"/>
        </w:rPr>
        <w:t>Gregor</w:t>
      </w:r>
      <w:proofErr w:type="spellEnd"/>
      <w:r w:rsidRPr="00745B6E">
        <w:rPr>
          <w:lang w:val="es-ES"/>
        </w:rPr>
        <w:t xml:space="preserve"> </w:t>
      </w:r>
      <w:proofErr w:type="spellStart"/>
      <w:r w:rsidRPr="00745B6E">
        <w:rPr>
          <w:lang w:val="es-ES"/>
        </w:rPr>
        <w:t>Poisot</w:t>
      </w:r>
      <w:proofErr w:type="spellEnd"/>
    </w:p>
    <w:p w14:paraId="3C889845" w14:textId="77777777" w:rsidR="00B57E7B" w:rsidRPr="00745B6E" w:rsidRDefault="00B57E7B" w:rsidP="00B57E7B">
      <w:pPr>
        <w:ind w:left="4956"/>
        <w:jc w:val="center"/>
        <w:rPr>
          <w:lang w:val="es-ES"/>
        </w:rPr>
      </w:pPr>
      <w:r>
        <w:rPr>
          <w:lang w:val="es-ES"/>
        </w:rPr>
        <w:t xml:space="preserve">     </w:t>
      </w:r>
      <w:r w:rsidRPr="00745B6E">
        <w:rPr>
          <w:lang w:val="es-ES"/>
        </w:rPr>
        <w:t>Presidente</w:t>
      </w:r>
    </w:p>
    <w:p w14:paraId="5F466E86" w14:textId="77777777" w:rsidR="00B57E7B" w:rsidRPr="00745B6E" w:rsidRDefault="00B57E7B" w:rsidP="00B57E7B">
      <w:pPr>
        <w:jc w:val="both"/>
        <w:rPr>
          <w:lang w:val="es-ES"/>
        </w:rPr>
      </w:pPr>
    </w:p>
    <w:p w14:paraId="2C0AF441" w14:textId="77777777" w:rsidR="00B57E7B" w:rsidRPr="00745B6E" w:rsidRDefault="00B57E7B" w:rsidP="00B57E7B">
      <w:pPr>
        <w:jc w:val="both"/>
        <w:rPr>
          <w:lang w:val="es-ES"/>
        </w:rPr>
      </w:pPr>
    </w:p>
    <w:p w14:paraId="3B4938D5" w14:textId="77777777" w:rsidR="00B57E7B" w:rsidRPr="00745B6E" w:rsidRDefault="00B57E7B" w:rsidP="00B57E7B">
      <w:pPr>
        <w:jc w:val="both"/>
        <w:rPr>
          <w:lang w:val="es-ES"/>
        </w:rPr>
      </w:pPr>
    </w:p>
    <w:p w14:paraId="03160758" w14:textId="77777777" w:rsidR="00B57E7B" w:rsidRPr="00745B6E" w:rsidRDefault="00B57E7B" w:rsidP="00B57E7B">
      <w:pPr>
        <w:jc w:val="both"/>
        <w:rPr>
          <w:lang w:val="es-ES"/>
        </w:rPr>
      </w:pPr>
    </w:p>
    <w:p w14:paraId="7F2464C6" w14:textId="77777777" w:rsidR="00B57E7B" w:rsidRPr="00745B6E" w:rsidRDefault="00B57E7B" w:rsidP="00B57E7B">
      <w:pPr>
        <w:jc w:val="both"/>
        <w:rPr>
          <w:lang w:val="es-ES"/>
        </w:rPr>
      </w:pPr>
    </w:p>
    <w:p w14:paraId="323B0DC6" w14:textId="77777777" w:rsidR="00B57E7B" w:rsidRPr="00745B6E" w:rsidRDefault="00B57E7B" w:rsidP="00B57E7B">
      <w:pPr>
        <w:jc w:val="both"/>
        <w:rPr>
          <w:lang w:val="es-ES"/>
        </w:rPr>
      </w:pPr>
      <w:r w:rsidRPr="00745B6E">
        <w:rPr>
          <w:lang w:val="es-ES"/>
        </w:rPr>
        <w:t>Pablo Saavedra Alessandri</w:t>
      </w:r>
    </w:p>
    <w:p w14:paraId="2F7F3FF4" w14:textId="4FAA63DD" w:rsidR="00B6502D" w:rsidRPr="00F937B5" w:rsidRDefault="00B57E7B" w:rsidP="00774762">
      <w:pPr>
        <w:rPr>
          <w:lang w:val="es-CR"/>
        </w:rPr>
      </w:pPr>
      <w:r>
        <w:rPr>
          <w:lang w:val="es-ES"/>
        </w:rPr>
        <w:tab/>
      </w:r>
      <w:r w:rsidRPr="00745B6E">
        <w:rPr>
          <w:lang w:val="es-CR"/>
        </w:rPr>
        <w:t>Secretario</w:t>
      </w:r>
      <w:bookmarkStart w:id="3" w:name="_GoBack"/>
      <w:bookmarkEnd w:id="3"/>
    </w:p>
    <w:sectPr w:rsidR="00B6502D" w:rsidRPr="00F937B5" w:rsidSect="005D0873">
      <w:headerReference w:type="default" r:id="rId8"/>
      <w:footerReference w:type="default" r:id="rId9"/>
      <w:pgSz w:w="12240" w:h="15840"/>
      <w:pgMar w:top="1418" w:right="1418" w:bottom="1418" w:left="1418"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26ED4" w14:textId="77777777" w:rsidR="00B20CE6" w:rsidRDefault="00B20CE6" w:rsidP="00594851">
      <w:r>
        <w:separator/>
      </w:r>
    </w:p>
  </w:endnote>
  <w:endnote w:type="continuationSeparator" w:id="0">
    <w:p w14:paraId="2CFC6032" w14:textId="77777777" w:rsidR="00B20CE6" w:rsidRDefault="00B20CE6" w:rsidP="0059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357077"/>
      <w:docPartObj>
        <w:docPartGallery w:val="Page Numbers (Bottom of Page)"/>
        <w:docPartUnique/>
      </w:docPartObj>
    </w:sdtPr>
    <w:sdtEndPr/>
    <w:sdtContent>
      <w:p w14:paraId="57B84684" w14:textId="219E2E17" w:rsidR="00773E45" w:rsidRPr="00773E45" w:rsidRDefault="00773E45" w:rsidP="00773E45">
        <w:pPr>
          <w:pStyle w:val="Piedepgina"/>
          <w:tabs>
            <w:tab w:val="clear" w:pos="4680"/>
            <w:tab w:val="center" w:pos="4111"/>
          </w:tabs>
          <w:jc w:val="center"/>
        </w:pPr>
        <w:r w:rsidRPr="00773E45">
          <w:fldChar w:fldCharType="begin"/>
        </w:r>
        <w:r w:rsidRPr="00773E45">
          <w:instrText>PAGE   \* MERGEFORMAT</w:instrText>
        </w:r>
        <w:r w:rsidRPr="00773E45">
          <w:fldChar w:fldCharType="separate"/>
        </w:r>
        <w:r w:rsidR="00E71531" w:rsidRPr="00E71531">
          <w:rPr>
            <w:noProof/>
            <w:lang w:val="es-ES"/>
          </w:rPr>
          <w:t>4</w:t>
        </w:r>
        <w:r w:rsidRPr="00773E45">
          <w:fldChar w:fldCharType="end"/>
        </w:r>
        <w:r>
          <w:t xml:space="preserve"> </w:t>
        </w:r>
      </w:p>
    </w:sdtContent>
  </w:sdt>
  <w:p w14:paraId="6A738E34" w14:textId="77777777" w:rsidR="00773E45" w:rsidRDefault="00773E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8C0B4" w14:textId="77777777" w:rsidR="00B20CE6" w:rsidRDefault="00B20CE6" w:rsidP="00594851">
      <w:r>
        <w:separator/>
      </w:r>
    </w:p>
  </w:footnote>
  <w:footnote w:type="continuationSeparator" w:id="0">
    <w:p w14:paraId="6B7FD1DB" w14:textId="77777777" w:rsidR="00B20CE6" w:rsidRDefault="00B20CE6" w:rsidP="00594851">
      <w:r>
        <w:continuationSeparator/>
      </w:r>
    </w:p>
  </w:footnote>
  <w:footnote w:id="1">
    <w:p w14:paraId="784BFCE8" w14:textId="270DD049" w:rsidR="004A5016" w:rsidRPr="00247AFD" w:rsidRDefault="004A5016" w:rsidP="00247AFD">
      <w:pPr>
        <w:pStyle w:val="Textonotapie"/>
        <w:tabs>
          <w:tab w:val="left" w:pos="567"/>
        </w:tabs>
        <w:jc w:val="both"/>
        <w:rPr>
          <w:sz w:val="16"/>
          <w:szCs w:val="16"/>
          <w:lang w:val="es-PE"/>
        </w:rPr>
      </w:pPr>
      <w:r w:rsidRPr="00247AFD">
        <w:rPr>
          <w:rStyle w:val="Refdenotaalpie"/>
          <w:sz w:val="16"/>
          <w:szCs w:val="16"/>
        </w:rPr>
        <w:footnoteRef/>
      </w:r>
      <w:r w:rsidRPr="00247AFD">
        <w:rPr>
          <w:sz w:val="16"/>
          <w:szCs w:val="16"/>
          <w:lang w:val="es-PE"/>
        </w:rPr>
        <w:t xml:space="preserve"> </w:t>
      </w:r>
      <w:r w:rsidRPr="00247AFD">
        <w:rPr>
          <w:sz w:val="16"/>
          <w:szCs w:val="16"/>
          <w:lang w:val="es-PE"/>
        </w:rPr>
        <w:tab/>
      </w:r>
      <w:r w:rsidRPr="00247AFD">
        <w:rPr>
          <w:i/>
          <w:sz w:val="16"/>
          <w:szCs w:val="16"/>
          <w:lang w:val="es-PE"/>
        </w:rPr>
        <w:t>Cfr.</w:t>
      </w:r>
      <w:r w:rsidRPr="00247AFD">
        <w:rPr>
          <w:sz w:val="16"/>
          <w:szCs w:val="16"/>
          <w:lang w:val="es-PE"/>
        </w:rPr>
        <w:t xml:space="preserve"> </w:t>
      </w:r>
      <w:r w:rsidRPr="00247AFD">
        <w:rPr>
          <w:i/>
          <w:sz w:val="16"/>
          <w:szCs w:val="16"/>
          <w:lang w:val="es-PE"/>
        </w:rPr>
        <w:t>Caso Blanco Romero y otros Vs. Venezuela</w:t>
      </w:r>
      <w:r w:rsidRPr="00247AFD">
        <w:rPr>
          <w:sz w:val="16"/>
          <w:szCs w:val="16"/>
          <w:lang w:val="es-PE"/>
        </w:rPr>
        <w:t xml:space="preserve">, Resolución del </w:t>
      </w:r>
      <w:proofErr w:type="gramStart"/>
      <w:r w:rsidRPr="00247AFD">
        <w:rPr>
          <w:sz w:val="16"/>
          <w:szCs w:val="16"/>
          <w:lang w:val="es-PE"/>
        </w:rPr>
        <w:t>Presidente</w:t>
      </w:r>
      <w:proofErr w:type="gramEnd"/>
      <w:r w:rsidRPr="00247AFD">
        <w:rPr>
          <w:sz w:val="16"/>
          <w:szCs w:val="16"/>
          <w:lang w:val="es-PE"/>
        </w:rPr>
        <w:t xml:space="preserve"> de la Corte Interamericana de Derechos Humanos de 25 de mayo de 2005, Considerandos 11 y 12</w:t>
      </w:r>
      <w:r w:rsidR="00740054">
        <w:rPr>
          <w:sz w:val="16"/>
          <w:szCs w:val="16"/>
          <w:lang w:val="es-PE"/>
        </w:rPr>
        <w:t>,</w:t>
      </w:r>
      <w:r w:rsidRPr="00247AFD">
        <w:rPr>
          <w:sz w:val="18"/>
          <w:szCs w:val="16"/>
          <w:lang w:val="es-PE"/>
        </w:rPr>
        <w:t xml:space="preserve"> </w:t>
      </w:r>
      <w:r w:rsidRPr="00247AFD">
        <w:rPr>
          <w:sz w:val="16"/>
          <w:szCs w:val="16"/>
          <w:lang w:val="es-PE"/>
        </w:rPr>
        <w:t xml:space="preserve">y </w:t>
      </w:r>
      <w:r w:rsidRPr="00247AFD">
        <w:rPr>
          <w:i/>
          <w:sz w:val="16"/>
          <w:szCs w:val="16"/>
          <w:lang w:val="es-PE"/>
        </w:rPr>
        <w:t>Caso Alvarado Espinoza y otros Vs. México</w:t>
      </w:r>
      <w:r w:rsidRPr="00247AFD">
        <w:rPr>
          <w:sz w:val="16"/>
          <w:szCs w:val="16"/>
          <w:lang w:val="es-PE"/>
        </w:rPr>
        <w:t>, Resolución de la Corte Interamericana de Derechos Humanos de 23 de abril de 2018, Considerando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6769" w14:textId="45BFFFD7" w:rsidR="004A5016" w:rsidRDefault="00773E45" w:rsidP="00773E45">
    <w:pPr>
      <w:pStyle w:val="Encabezado"/>
      <w:tabs>
        <w:tab w:val="clear" w:pos="4680"/>
        <w:tab w:val="center" w:pos="4536"/>
        <w:tab w:val="center" w:pos="4702"/>
        <w:tab w:val="left" w:pos="5610"/>
      </w:tabs>
    </w:pPr>
    <w:r>
      <w:tab/>
    </w:r>
  </w:p>
  <w:p w14:paraId="3A620B79" w14:textId="77777777" w:rsidR="004A5016" w:rsidRDefault="004A50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344"/>
    <w:multiLevelType w:val="multilevel"/>
    <w:tmpl w:val="8ADCBDF8"/>
    <w:lvl w:ilvl="0">
      <w:start w:val="1"/>
      <w:numFmt w:val="decimal"/>
      <w:lvlText w:val="%1."/>
      <w:lvlJc w:val="left"/>
      <w:pPr>
        <w:tabs>
          <w:tab w:val="num" w:pos="720"/>
        </w:tabs>
        <w:ind w:left="0" w:firstLine="0"/>
      </w:pPr>
      <w:rPr>
        <w:rFonts w:ascii="Verdana" w:hAnsi="Verdana" w:hint="default"/>
        <w:b w:val="0"/>
        <w:i w:val="0"/>
        <w:strike w:val="0"/>
        <w:color w:val="auto"/>
        <w:sz w:val="20"/>
        <w:szCs w:val="20"/>
        <w:lang w:val="es-CR"/>
      </w:rPr>
    </w:lvl>
    <w:lvl w:ilvl="1">
      <w:start w:val="1"/>
      <w:numFmt w:val="lowerLetter"/>
      <w:lvlText w:val="%2."/>
      <w:lvlJc w:val="left"/>
      <w:pPr>
        <w:ind w:left="2160" w:hanging="360"/>
      </w:pPr>
      <w:rPr>
        <w:rFonts w:hint="default"/>
        <w:b w:val="0"/>
      </w:rPr>
    </w:lvl>
    <w:lvl w:ilvl="2">
      <w:start w:val="1"/>
      <w:numFmt w:val="lowerRoman"/>
      <w:lvlText w:val="%3."/>
      <w:lvlJc w:val="right"/>
      <w:pPr>
        <w:ind w:left="2880" w:hanging="180"/>
      </w:pPr>
    </w:lvl>
    <w:lvl w:ilvl="3">
      <w:start w:val="1"/>
      <w:numFmt w:val="lowerLetter"/>
      <w:lvlText w:val="%4)"/>
      <w:lvlJc w:val="left"/>
      <w:pPr>
        <w:ind w:left="3960" w:hanging="72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54011EC"/>
    <w:multiLevelType w:val="hybridMultilevel"/>
    <w:tmpl w:val="0B7C0BFC"/>
    <w:lvl w:ilvl="0" w:tplc="FE8256B6">
      <w:numFmt w:val="bullet"/>
      <w:lvlText w:val="-"/>
      <w:lvlJc w:val="left"/>
      <w:pPr>
        <w:ind w:left="720" w:hanging="360"/>
      </w:pPr>
      <w:rPr>
        <w:rFonts w:ascii="Verdana" w:eastAsia="Times New Roman"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8666A1"/>
    <w:multiLevelType w:val="hybridMultilevel"/>
    <w:tmpl w:val="E3F00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8617A"/>
    <w:multiLevelType w:val="hybridMultilevel"/>
    <w:tmpl w:val="AEFEBA98"/>
    <w:lvl w:ilvl="0" w:tplc="A4969BD4">
      <w:numFmt w:val="bullet"/>
      <w:lvlText w:val="-"/>
      <w:lvlJc w:val="left"/>
      <w:pPr>
        <w:ind w:left="1080" w:hanging="360"/>
      </w:pPr>
      <w:rPr>
        <w:rFonts w:ascii="Verdana" w:eastAsia="Times New Roman" w:hAnsi="Verdana"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15:restartNumberingAfterBreak="0">
    <w:nsid w:val="17960991"/>
    <w:multiLevelType w:val="multilevel"/>
    <w:tmpl w:val="8ADCBDF8"/>
    <w:lvl w:ilvl="0">
      <w:start w:val="1"/>
      <w:numFmt w:val="decimal"/>
      <w:lvlText w:val="%1."/>
      <w:lvlJc w:val="left"/>
      <w:pPr>
        <w:tabs>
          <w:tab w:val="num" w:pos="720"/>
        </w:tabs>
        <w:ind w:left="0" w:firstLine="0"/>
      </w:pPr>
      <w:rPr>
        <w:rFonts w:ascii="Verdana" w:hAnsi="Verdana" w:hint="default"/>
        <w:b w:val="0"/>
        <w:i w:val="0"/>
        <w:strike w:val="0"/>
        <w:color w:val="auto"/>
        <w:sz w:val="20"/>
        <w:szCs w:val="20"/>
        <w:lang w:val="es-CR"/>
      </w:rPr>
    </w:lvl>
    <w:lvl w:ilvl="1">
      <w:start w:val="1"/>
      <w:numFmt w:val="lowerLetter"/>
      <w:lvlText w:val="%2."/>
      <w:lvlJc w:val="left"/>
      <w:pPr>
        <w:ind w:left="2160" w:hanging="360"/>
      </w:pPr>
      <w:rPr>
        <w:rFonts w:hint="default"/>
        <w:b w:val="0"/>
      </w:rPr>
    </w:lvl>
    <w:lvl w:ilvl="2">
      <w:start w:val="1"/>
      <w:numFmt w:val="lowerRoman"/>
      <w:lvlText w:val="%3."/>
      <w:lvlJc w:val="right"/>
      <w:pPr>
        <w:ind w:left="2880" w:hanging="180"/>
      </w:pPr>
    </w:lvl>
    <w:lvl w:ilvl="3">
      <w:start w:val="1"/>
      <w:numFmt w:val="lowerLetter"/>
      <w:lvlText w:val="%4)"/>
      <w:lvlJc w:val="left"/>
      <w:pPr>
        <w:ind w:left="3960" w:hanging="72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9E60BDB"/>
    <w:multiLevelType w:val="multilevel"/>
    <w:tmpl w:val="8ADCBDF8"/>
    <w:lvl w:ilvl="0">
      <w:start w:val="1"/>
      <w:numFmt w:val="decimal"/>
      <w:lvlText w:val="%1."/>
      <w:lvlJc w:val="left"/>
      <w:pPr>
        <w:tabs>
          <w:tab w:val="num" w:pos="720"/>
        </w:tabs>
        <w:ind w:left="0" w:firstLine="0"/>
      </w:pPr>
      <w:rPr>
        <w:rFonts w:ascii="Verdana" w:hAnsi="Verdana" w:hint="default"/>
        <w:b w:val="0"/>
        <w:i w:val="0"/>
        <w:strike w:val="0"/>
        <w:color w:val="auto"/>
        <w:sz w:val="20"/>
        <w:szCs w:val="20"/>
        <w:lang w:val="es-CR"/>
      </w:rPr>
    </w:lvl>
    <w:lvl w:ilvl="1">
      <w:start w:val="1"/>
      <w:numFmt w:val="lowerLetter"/>
      <w:lvlText w:val="%2."/>
      <w:lvlJc w:val="left"/>
      <w:pPr>
        <w:ind w:left="2160" w:hanging="360"/>
      </w:pPr>
      <w:rPr>
        <w:rFonts w:hint="default"/>
        <w:b w:val="0"/>
      </w:rPr>
    </w:lvl>
    <w:lvl w:ilvl="2">
      <w:start w:val="1"/>
      <w:numFmt w:val="lowerRoman"/>
      <w:lvlText w:val="%3."/>
      <w:lvlJc w:val="right"/>
      <w:pPr>
        <w:ind w:left="2880" w:hanging="180"/>
      </w:pPr>
    </w:lvl>
    <w:lvl w:ilvl="3">
      <w:start w:val="1"/>
      <w:numFmt w:val="lowerLetter"/>
      <w:lvlText w:val="%4)"/>
      <w:lvlJc w:val="left"/>
      <w:pPr>
        <w:ind w:left="3960" w:hanging="72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80A1E13"/>
    <w:multiLevelType w:val="hybridMultilevel"/>
    <w:tmpl w:val="153E525A"/>
    <w:lvl w:ilvl="0" w:tplc="6024A4A0">
      <w:numFmt w:val="bullet"/>
      <w:lvlText w:val="-"/>
      <w:lvlJc w:val="left"/>
      <w:pPr>
        <w:ind w:left="720" w:hanging="360"/>
      </w:pPr>
      <w:rPr>
        <w:rFonts w:ascii="Verdana" w:eastAsia="Times New Roman"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E4E7652"/>
    <w:multiLevelType w:val="hybridMultilevel"/>
    <w:tmpl w:val="A5C4CCEC"/>
    <w:lvl w:ilvl="0" w:tplc="1A9E80C4">
      <w:start w:val="1"/>
      <w:numFmt w:val="decimal"/>
      <w:lvlText w:val="%1."/>
      <w:lvlJc w:val="left"/>
      <w:pPr>
        <w:ind w:left="786" w:hanging="360"/>
      </w:pPr>
      <w:rPr>
        <w:rFonts w:ascii="Verdana" w:hAnsi="Verdana" w:cs="Times New Roman" w:hint="default"/>
        <w:b w:val="0"/>
        <w:i w:val="0"/>
        <w:color w:val="auto"/>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EE4C21"/>
    <w:multiLevelType w:val="hybridMultilevel"/>
    <w:tmpl w:val="903CD64A"/>
    <w:lvl w:ilvl="0" w:tplc="1FE63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85C77"/>
    <w:multiLevelType w:val="multilevel"/>
    <w:tmpl w:val="8ADCBDF8"/>
    <w:lvl w:ilvl="0">
      <w:start w:val="1"/>
      <w:numFmt w:val="decimal"/>
      <w:lvlText w:val="%1."/>
      <w:lvlJc w:val="left"/>
      <w:pPr>
        <w:tabs>
          <w:tab w:val="num" w:pos="720"/>
        </w:tabs>
        <w:ind w:left="0" w:firstLine="0"/>
      </w:pPr>
      <w:rPr>
        <w:rFonts w:ascii="Verdana" w:hAnsi="Verdana" w:hint="default"/>
        <w:b w:val="0"/>
        <w:i w:val="0"/>
        <w:strike w:val="0"/>
        <w:color w:val="auto"/>
        <w:sz w:val="20"/>
        <w:szCs w:val="20"/>
        <w:lang w:val="es-CR"/>
      </w:rPr>
    </w:lvl>
    <w:lvl w:ilvl="1">
      <w:start w:val="1"/>
      <w:numFmt w:val="lowerLetter"/>
      <w:lvlText w:val="%2."/>
      <w:lvlJc w:val="left"/>
      <w:pPr>
        <w:ind w:left="2160" w:hanging="360"/>
      </w:pPr>
      <w:rPr>
        <w:rFonts w:hint="default"/>
        <w:b w:val="0"/>
      </w:rPr>
    </w:lvl>
    <w:lvl w:ilvl="2">
      <w:start w:val="1"/>
      <w:numFmt w:val="lowerRoman"/>
      <w:lvlText w:val="%3."/>
      <w:lvlJc w:val="right"/>
      <w:pPr>
        <w:ind w:left="2880" w:hanging="180"/>
      </w:pPr>
    </w:lvl>
    <w:lvl w:ilvl="3">
      <w:start w:val="1"/>
      <w:numFmt w:val="lowerLetter"/>
      <w:lvlText w:val="%4)"/>
      <w:lvlJc w:val="left"/>
      <w:pPr>
        <w:ind w:left="3960" w:hanging="72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FE23EA0"/>
    <w:multiLevelType w:val="hybridMultilevel"/>
    <w:tmpl w:val="CB66C4D0"/>
    <w:lvl w:ilvl="0" w:tplc="170A1FDE">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4C8295A"/>
    <w:multiLevelType w:val="hybridMultilevel"/>
    <w:tmpl w:val="AB823120"/>
    <w:lvl w:ilvl="0" w:tplc="F3AA6FAC">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64109B4"/>
    <w:multiLevelType w:val="hybridMultilevel"/>
    <w:tmpl w:val="D326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A6F5C"/>
    <w:multiLevelType w:val="hybridMultilevel"/>
    <w:tmpl w:val="8ADCBDF8"/>
    <w:lvl w:ilvl="0" w:tplc="891A315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68BECEB8">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FA4A8440">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DD6B6A"/>
    <w:multiLevelType w:val="multilevel"/>
    <w:tmpl w:val="8ADCBDF8"/>
    <w:lvl w:ilvl="0">
      <w:start w:val="1"/>
      <w:numFmt w:val="decimal"/>
      <w:lvlText w:val="%1."/>
      <w:lvlJc w:val="left"/>
      <w:pPr>
        <w:tabs>
          <w:tab w:val="num" w:pos="720"/>
        </w:tabs>
        <w:ind w:left="0" w:firstLine="0"/>
      </w:pPr>
      <w:rPr>
        <w:rFonts w:ascii="Verdana" w:hAnsi="Verdana" w:hint="default"/>
        <w:b w:val="0"/>
        <w:i w:val="0"/>
        <w:strike w:val="0"/>
        <w:color w:val="auto"/>
        <w:sz w:val="20"/>
        <w:szCs w:val="20"/>
        <w:lang w:val="es-CR"/>
      </w:rPr>
    </w:lvl>
    <w:lvl w:ilvl="1">
      <w:start w:val="1"/>
      <w:numFmt w:val="lowerLetter"/>
      <w:lvlText w:val="%2."/>
      <w:lvlJc w:val="left"/>
      <w:pPr>
        <w:ind w:left="2160" w:hanging="360"/>
      </w:pPr>
      <w:rPr>
        <w:rFonts w:hint="default"/>
        <w:b w:val="0"/>
      </w:rPr>
    </w:lvl>
    <w:lvl w:ilvl="2">
      <w:start w:val="1"/>
      <w:numFmt w:val="lowerRoman"/>
      <w:lvlText w:val="%3."/>
      <w:lvlJc w:val="right"/>
      <w:pPr>
        <w:ind w:left="2880" w:hanging="180"/>
      </w:pPr>
    </w:lvl>
    <w:lvl w:ilvl="3">
      <w:start w:val="1"/>
      <w:numFmt w:val="lowerLetter"/>
      <w:lvlText w:val="%4)"/>
      <w:lvlJc w:val="left"/>
      <w:pPr>
        <w:ind w:left="3960" w:hanging="720"/>
      </w:pPr>
      <w:rPr>
        <w:rFont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3"/>
  </w:num>
  <w:num w:numId="2">
    <w:abstractNumId w:val="13"/>
    <w:lvlOverride w:ilvl="0">
      <w:startOverride w:val="1"/>
    </w:lvlOverride>
  </w:num>
  <w:num w:numId="3">
    <w:abstractNumId w:val="8"/>
  </w:num>
  <w:num w:numId="4">
    <w:abstractNumId w:val="6"/>
  </w:num>
  <w:num w:numId="5">
    <w:abstractNumId w:val="9"/>
  </w:num>
  <w:num w:numId="6">
    <w:abstractNumId w:val="14"/>
  </w:num>
  <w:num w:numId="7">
    <w:abstractNumId w:val="0"/>
  </w:num>
  <w:num w:numId="8">
    <w:abstractNumId w:val="4"/>
  </w:num>
  <w:num w:numId="9">
    <w:abstractNumId w:val="5"/>
  </w:num>
  <w:num w:numId="10">
    <w:abstractNumId w:val="7"/>
  </w:num>
  <w:num w:numId="11">
    <w:abstractNumId w:val="11"/>
  </w:num>
  <w:num w:numId="12">
    <w:abstractNumId w:val="10"/>
  </w:num>
  <w:num w:numId="13">
    <w:abstractNumId w:val="2"/>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51"/>
    <w:rsid w:val="0002270B"/>
    <w:rsid w:val="00061F56"/>
    <w:rsid w:val="00092800"/>
    <w:rsid w:val="000A6061"/>
    <w:rsid w:val="000B0BB7"/>
    <w:rsid w:val="000C71BD"/>
    <w:rsid w:val="00112BF5"/>
    <w:rsid w:val="001174BA"/>
    <w:rsid w:val="00134713"/>
    <w:rsid w:val="00153F33"/>
    <w:rsid w:val="0015517C"/>
    <w:rsid w:val="001779B3"/>
    <w:rsid w:val="001B6E97"/>
    <w:rsid w:val="001E70F7"/>
    <w:rsid w:val="001F475B"/>
    <w:rsid w:val="00227456"/>
    <w:rsid w:val="00234A8E"/>
    <w:rsid w:val="00247AFD"/>
    <w:rsid w:val="0025367C"/>
    <w:rsid w:val="00253BC4"/>
    <w:rsid w:val="002670A5"/>
    <w:rsid w:val="002A1337"/>
    <w:rsid w:val="002C7584"/>
    <w:rsid w:val="002D01EB"/>
    <w:rsid w:val="002D6B50"/>
    <w:rsid w:val="0030501A"/>
    <w:rsid w:val="00313E40"/>
    <w:rsid w:val="00314B3F"/>
    <w:rsid w:val="00352363"/>
    <w:rsid w:val="00365164"/>
    <w:rsid w:val="003B78C1"/>
    <w:rsid w:val="003E1861"/>
    <w:rsid w:val="0043416F"/>
    <w:rsid w:val="004A05F8"/>
    <w:rsid w:val="004A1535"/>
    <w:rsid w:val="004A5016"/>
    <w:rsid w:val="00513DCB"/>
    <w:rsid w:val="00594851"/>
    <w:rsid w:val="005B46B6"/>
    <w:rsid w:val="005C5BB3"/>
    <w:rsid w:val="005D0873"/>
    <w:rsid w:val="005E46AD"/>
    <w:rsid w:val="00604690"/>
    <w:rsid w:val="00621262"/>
    <w:rsid w:val="00646116"/>
    <w:rsid w:val="0066798D"/>
    <w:rsid w:val="006A13D5"/>
    <w:rsid w:val="006B67F6"/>
    <w:rsid w:val="006C6A25"/>
    <w:rsid w:val="006E3E11"/>
    <w:rsid w:val="006F3CA9"/>
    <w:rsid w:val="00712DF8"/>
    <w:rsid w:val="00717702"/>
    <w:rsid w:val="0072153A"/>
    <w:rsid w:val="00740054"/>
    <w:rsid w:val="00773E45"/>
    <w:rsid w:val="00774762"/>
    <w:rsid w:val="0078502E"/>
    <w:rsid w:val="007917BD"/>
    <w:rsid w:val="007C4E7F"/>
    <w:rsid w:val="00802F48"/>
    <w:rsid w:val="008420F1"/>
    <w:rsid w:val="00846D8A"/>
    <w:rsid w:val="00893423"/>
    <w:rsid w:val="008C1BBE"/>
    <w:rsid w:val="008D5D61"/>
    <w:rsid w:val="008D67EA"/>
    <w:rsid w:val="008E782D"/>
    <w:rsid w:val="00904EF1"/>
    <w:rsid w:val="0090738C"/>
    <w:rsid w:val="009136EB"/>
    <w:rsid w:val="009559BC"/>
    <w:rsid w:val="00972716"/>
    <w:rsid w:val="0097322D"/>
    <w:rsid w:val="00981311"/>
    <w:rsid w:val="009A14BC"/>
    <w:rsid w:val="009B5706"/>
    <w:rsid w:val="00A31BD4"/>
    <w:rsid w:val="00A463CF"/>
    <w:rsid w:val="00A510B3"/>
    <w:rsid w:val="00A52A6F"/>
    <w:rsid w:val="00A549D7"/>
    <w:rsid w:val="00A809F1"/>
    <w:rsid w:val="00AA35B4"/>
    <w:rsid w:val="00AA5B4F"/>
    <w:rsid w:val="00AC67BF"/>
    <w:rsid w:val="00AC7107"/>
    <w:rsid w:val="00AE142F"/>
    <w:rsid w:val="00B12F9C"/>
    <w:rsid w:val="00B20CE6"/>
    <w:rsid w:val="00B31836"/>
    <w:rsid w:val="00B35738"/>
    <w:rsid w:val="00B412C9"/>
    <w:rsid w:val="00B44465"/>
    <w:rsid w:val="00B505F9"/>
    <w:rsid w:val="00B57E7B"/>
    <w:rsid w:val="00B6502D"/>
    <w:rsid w:val="00B8047A"/>
    <w:rsid w:val="00B97966"/>
    <w:rsid w:val="00BF679A"/>
    <w:rsid w:val="00C449E7"/>
    <w:rsid w:val="00C758D1"/>
    <w:rsid w:val="00CF391F"/>
    <w:rsid w:val="00D31F75"/>
    <w:rsid w:val="00D90FD2"/>
    <w:rsid w:val="00DA400F"/>
    <w:rsid w:val="00DC200F"/>
    <w:rsid w:val="00E01CA4"/>
    <w:rsid w:val="00E10807"/>
    <w:rsid w:val="00E248AF"/>
    <w:rsid w:val="00E27CB2"/>
    <w:rsid w:val="00E517BE"/>
    <w:rsid w:val="00E71531"/>
    <w:rsid w:val="00E814DF"/>
    <w:rsid w:val="00EB6DF2"/>
    <w:rsid w:val="00EB7C0F"/>
    <w:rsid w:val="00EE1182"/>
    <w:rsid w:val="00F11E17"/>
    <w:rsid w:val="00F67B3A"/>
    <w:rsid w:val="00F92895"/>
    <w:rsid w:val="00F937B5"/>
    <w:rsid w:val="00FD204F"/>
    <w:rsid w:val="00FD7167"/>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0DD8F"/>
  <w15:docId w15:val="{95AD0626-65A3-4D54-848D-E0F82DA2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51"/>
    <w:pPr>
      <w:spacing w:after="0" w:line="240" w:lineRule="auto"/>
    </w:pPr>
    <w:rPr>
      <w:rFonts w:ascii="Verdana" w:eastAsia="Times New Roman" w:hAnsi="Verdana" w:cs="Times New Roman"/>
      <w:sz w:val="20"/>
      <w:szCs w:val="20"/>
    </w:rPr>
  </w:style>
  <w:style w:type="paragraph" w:styleId="Ttulo1">
    <w:name w:val="heading 1"/>
    <w:basedOn w:val="Normal"/>
    <w:next w:val="Normal"/>
    <w:link w:val="Ttulo1Car"/>
    <w:uiPriority w:val="9"/>
    <w:qFormat/>
    <w:rsid w:val="00AC67BF"/>
    <w:pPr>
      <w:keepNext/>
      <w:ind w:right="48"/>
      <w:outlineLvl w:val="0"/>
    </w:pPr>
    <w:rPr>
      <w:rFonts w:eastAsia="Verdana"/>
      <w:b/>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ft"/>
    <w:basedOn w:val="Normal"/>
    <w:link w:val="TextonotapieCar1"/>
    <w:qFormat/>
    <w:rsid w:val="00594851"/>
  </w:style>
  <w:style w:type="character" w:customStyle="1" w:styleId="TextonotapieCar">
    <w:name w:val="Texto nota pie Car"/>
    <w:basedOn w:val="Fuentedeprrafopredeter"/>
    <w:rsid w:val="00594851"/>
    <w:rPr>
      <w:rFonts w:ascii="Verdana" w:eastAsia="Times New Roman" w:hAnsi="Verdana" w:cs="Times New Roman"/>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ink w:val="Textonotapie"/>
    <w:qFormat/>
    <w:rsid w:val="00594851"/>
    <w:rPr>
      <w:rFonts w:ascii="Verdana" w:eastAsia="Times New Roman" w:hAnsi="Verdana" w:cs="Times New Roman"/>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594851"/>
    <w:rPr>
      <w:vertAlign w:val="superscript"/>
    </w:rPr>
  </w:style>
  <w:style w:type="paragraph" w:customStyle="1" w:styleId="Numberedparagraphs">
    <w:name w:val="Numbered paragraphs"/>
    <w:basedOn w:val="Normal"/>
    <w:link w:val="NumberedparagraphsCar"/>
    <w:qFormat/>
    <w:rsid w:val="00594851"/>
    <w:pPr>
      <w:numPr>
        <w:numId w:val="1"/>
      </w:numPr>
      <w:jc w:val="both"/>
    </w:pPr>
    <w:rPr>
      <w:rFonts w:eastAsia="MS Mincho"/>
      <w:color w:val="000000"/>
      <w:lang w:val="es-ES_tradnl"/>
    </w:rPr>
  </w:style>
  <w:style w:type="paragraph" w:styleId="Prrafodelista">
    <w:name w:val="List Paragraph"/>
    <w:aliases w:val="Párrafo de lista1,List Paragraph2,Lista vistosa - Énfasis 11,List Paragraph11,List Paragraph1,Footnote"/>
    <w:basedOn w:val="Normal"/>
    <w:link w:val="PrrafodelistaCar"/>
    <w:uiPriority w:val="34"/>
    <w:qFormat/>
    <w:rsid w:val="00594851"/>
    <w:pPr>
      <w:spacing w:after="200" w:line="276" w:lineRule="auto"/>
      <w:ind w:left="720"/>
      <w:contextualSpacing/>
    </w:pPr>
    <w:rPr>
      <w:rFonts w:ascii="Calibri" w:eastAsia="Calibri" w:hAnsi="Calibri"/>
      <w:sz w:val="22"/>
      <w:szCs w:val="22"/>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594851"/>
    <w:pPr>
      <w:jc w:val="both"/>
    </w:pPr>
    <w:rPr>
      <w:rFonts w:asciiTheme="minorHAnsi" w:eastAsiaTheme="minorHAnsi" w:hAnsiTheme="minorHAnsi" w:cstheme="minorBidi"/>
      <w:sz w:val="22"/>
      <w:szCs w:val="22"/>
      <w:vertAlign w:val="superscript"/>
    </w:rPr>
  </w:style>
  <w:style w:type="paragraph" w:customStyle="1" w:styleId="PrrafodeSentencia">
    <w:name w:val="*. Párrafo de Sentencia"/>
    <w:basedOn w:val="Numberedparagraphs"/>
    <w:link w:val="PrrafodeSentenciaChar"/>
    <w:qFormat/>
    <w:rsid w:val="00594851"/>
    <w:pPr>
      <w:tabs>
        <w:tab w:val="clear" w:pos="720"/>
        <w:tab w:val="left" w:pos="567"/>
      </w:tabs>
    </w:pPr>
  </w:style>
  <w:style w:type="character" w:customStyle="1" w:styleId="PrrafodeSentenciaChar">
    <w:name w:val="*. Párrafo de Sentencia Char"/>
    <w:link w:val="PrrafodeSentencia"/>
    <w:rsid w:val="00594851"/>
    <w:rPr>
      <w:rFonts w:ascii="Verdana" w:eastAsia="MS Mincho" w:hAnsi="Verdana" w:cs="Times New Roman"/>
      <w:color w:val="000000"/>
      <w:sz w:val="20"/>
      <w:szCs w:val="20"/>
      <w:lang w:val="es-ES_tradnl"/>
    </w:rPr>
  </w:style>
  <w:style w:type="character" w:customStyle="1" w:styleId="NumberedparagraphsCar">
    <w:name w:val="Numbered paragraphs Car"/>
    <w:basedOn w:val="Fuentedeprrafopredeter"/>
    <w:link w:val="Numberedparagraphs"/>
    <w:rsid w:val="00594851"/>
    <w:rPr>
      <w:rFonts w:ascii="Verdana" w:eastAsia="MS Mincho" w:hAnsi="Verdana" w:cs="Times New Roman"/>
      <w:color w:val="000000"/>
      <w:sz w:val="20"/>
      <w:szCs w:val="20"/>
      <w:lang w:val="es-ES_tradnl"/>
    </w:rPr>
  </w:style>
  <w:style w:type="character" w:customStyle="1" w:styleId="PrrafodelistaCar">
    <w:name w:val="Párrafo de lista Car"/>
    <w:aliases w:val="Párrafo de lista1 Car,List Paragraph2 Car,Lista vistosa - Énfasis 11 Car,List Paragraph11 Car,List Paragraph1 Car,Footnote Car"/>
    <w:basedOn w:val="Fuentedeprrafopredeter"/>
    <w:link w:val="Prrafodelista"/>
    <w:uiPriority w:val="34"/>
    <w:locked/>
    <w:rsid w:val="00594851"/>
    <w:rPr>
      <w:rFonts w:ascii="Calibri" w:eastAsia="Calibri" w:hAnsi="Calibri" w:cs="Times New Roman"/>
      <w:lang w:val="es-CR"/>
    </w:rPr>
  </w:style>
  <w:style w:type="paragraph" w:styleId="Encabezado">
    <w:name w:val="header"/>
    <w:basedOn w:val="Normal"/>
    <w:link w:val="EncabezadoCar"/>
    <w:uiPriority w:val="99"/>
    <w:unhideWhenUsed/>
    <w:rsid w:val="00B44465"/>
    <w:pPr>
      <w:tabs>
        <w:tab w:val="center" w:pos="4680"/>
        <w:tab w:val="right" w:pos="9360"/>
      </w:tabs>
    </w:pPr>
  </w:style>
  <w:style w:type="character" w:customStyle="1" w:styleId="EncabezadoCar">
    <w:name w:val="Encabezado Car"/>
    <w:basedOn w:val="Fuentedeprrafopredeter"/>
    <w:link w:val="Encabezado"/>
    <w:uiPriority w:val="99"/>
    <w:rsid w:val="00B44465"/>
    <w:rPr>
      <w:rFonts w:ascii="Verdana" w:eastAsia="Times New Roman" w:hAnsi="Verdana" w:cs="Times New Roman"/>
      <w:sz w:val="20"/>
      <w:szCs w:val="20"/>
    </w:rPr>
  </w:style>
  <w:style w:type="paragraph" w:styleId="Piedepgina">
    <w:name w:val="footer"/>
    <w:basedOn w:val="Normal"/>
    <w:link w:val="PiedepginaCar"/>
    <w:uiPriority w:val="99"/>
    <w:unhideWhenUsed/>
    <w:rsid w:val="00B44465"/>
    <w:pPr>
      <w:tabs>
        <w:tab w:val="center" w:pos="4680"/>
        <w:tab w:val="right" w:pos="9360"/>
      </w:tabs>
    </w:pPr>
  </w:style>
  <w:style w:type="character" w:customStyle="1" w:styleId="PiedepginaCar">
    <w:name w:val="Pie de página Car"/>
    <w:basedOn w:val="Fuentedeprrafopredeter"/>
    <w:link w:val="Piedepgina"/>
    <w:uiPriority w:val="99"/>
    <w:rsid w:val="00B44465"/>
    <w:rPr>
      <w:rFonts w:ascii="Verdana" w:eastAsia="Times New Roman" w:hAnsi="Verdana" w:cs="Times New Roman"/>
      <w:sz w:val="20"/>
      <w:szCs w:val="20"/>
    </w:rPr>
  </w:style>
  <w:style w:type="character" w:styleId="Refdecomentario">
    <w:name w:val="annotation reference"/>
    <w:basedOn w:val="Fuentedeprrafopredeter"/>
    <w:uiPriority w:val="99"/>
    <w:semiHidden/>
    <w:unhideWhenUsed/>
    <w:rsid w:val="00134713"/>
    <w:rPr>
      <w:sz w:val="16"/>
      <w:szCs w:val="16"/>
    </w:rPr>
  </w:style>
  <w:style w:type="paragraph" w:styleId="Textocomentario">
    <w:name w:val="annotation text"/>
    <w:basedOn w:val="Normal"/>
    <w:link w:val="TextocomentarioCar"/>
    <w:uiPriority w:val="99"/>
    <w:semiHidden/>
    <w:unhideWhenUsed/>
    <w:rsid w:val="00134713"/>
  </w:style>
  <w:style w:type="character" w:customStyle="1" w:styleId="TextocomentarioCar">
    <w:name w:val="Texto comentario Car"/>
    <w:basedOn w:val="Fuentedeprrafopredeter"/>
    <w:link w:val="Textocomentario"/>
    <w:uiPriority w:val="99"/>
    <w:semiHidden/>
    <w:rsid w:val="00134713"/>
    <w:rPr>
      <w:rFonts w:ascii="Verdana" w:eastAsia="Times New Roman"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34713"/>
    <w:rPr>
      <w:b/>
      <w:bCs/>
    </w:rPr>
  </w:style>
  <w:style w:type="character" w:customStyle="1" w:styleId="AsuntodelcomentarioCar">
    <w:name w:val="Asunto del comentario Car"/>
    <w:basedOn w:val="TextocomentarioCar"/>
    <w:link w:val="Asuntodelcomentario"/>
    <w:uiPriority w:val="99"/>
    <w:semiHidden/>
    <w:rsid w:val="00134713"/>
    <w:rPr>
      <w:rFonts w:ascii="Verdana" w:eastAsia="Times New Roman" w:hAnsi="Verdana" w:cs="Times New Roman"/>
      <w:b/>
      <w:bCs/>
      <w:sz w:val="20"/>
      <w:szCs w:val="20"/>
    </w:rPr>
  </w:style>
  <w:style w:type="paragraph" w:styleId="Textodeglobo">
    <w:name w:val="Balloon Text"/>
    <w:basedOn w:val="Normal"/>
    <w:link w:val="TextodegloboCar"/>
    <w:uiPriority w:val="99"/>
    <w:semiHidden/>
    <w:unhideWhenUsed/>
    <w:rsid w:val="00134713"/>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713"/>
    <w:rPr>
      <w:rFonts w:ascii="Tahoma" w:eastAsia="Times New Roman" w:hAnsi="Tahoma" w:cs="Tahoma"/>
      <w:sz w:val="16"/>
      <w:szCs w:val="16"/>
    </w:rPr>
  </w:style>
  <w:style w:type="paragraph" w:styleId="Ttulo">
    <w:name w:val="Title"/>
    <w:basedOn w:val="Normal"/>
    <w:next w:val="Normal"/>
    <w:link w:val="TtuloCar"/>
    <w:qFormat/>
    <w:rsid w:val="00AC7107"/>
    <w:pPr>
      <w:jc w:val="center"/>
    </w:pPr>
    <w:rPr>
      <w:rFonts w:eastAsiaTheme="minorHAnsi" w:cstheme="minorBidi"/>
      <w:b/>
      <w:szCs w:val="22"/>
    </w:rPr>
  </w:style>
  <w:style w:type="character" w:customStyle="1" w:styleId="TtuloCar">
    <w:name w:val="Título Car"/>
    <w:basedOn w:val="Fuentedeprrafopredeter"/>
    <w:link w:val="Ttulo"/>
    <w:rsid w:val="00AC7107"/>
    <w:rPr>
      <w:rFonts w:ascii="Verdana" w:hAnsi="Verdana"/>
      <w:b/>
      <w:sz w:val="20"/>
    </w:rPr>
  </w:style>
  <w:style w:type="character" w:customStyle="1" w:styleId="Ttulo1Car">
    <w:name w:val="Título 1 Car"/>
    <w:basedOn w:val="Fuentedeprrafopredeter"/>
    <w:link w:val="Ttulo1"/>
    <w:uiPriority w:val="9"/>
    <w:rsid w:val="00AC67BF"/>
    <w:rPr>
      <w:rFonts w:ascii="Verdana" w:eastAsia="Verdana" w:hAnsi="Verdana" w:cs="Times New Roman"/>
      <w:b/>
      <w:sz w:val="20"/>
      <w:szCs w:val="20"/>
      <w:lang w:val="es-PE"/>
    </w:rPr>
  </w:style>
  <w:style w:type="character" w:styleId="Textoennegrita">
    <w:name w:val="Strong"/>
    <w:basedOn w:val="Fuentedeprrafopredeter"/>
    <w:uiPriority w:val="22"/>
    <w:qFormat/>
    <w:rsid w:val="00B97966"/>
    <w:rPr>
      <w:b/>
      <w:bCs/>
    </w:rPr>
  </w:style>
  <w:style w:type="paragraph" w:styleId="Textoindependiente">
    <w:name w:val="Body Text"/>
    <w:basedOn w:val="Normal"/>
    <w:link w:val="TextoindependienteCar"/>
    <w:uiPriority w:val="99"/>
    <w:unhideWhenUsed/>
    <w:rsid w:val="00234A8E"/>
    <w:rPr>
      <w:lang w:val="es-AR"/>
    </w:rPr>
  </w:style>
  <w:style w:type="character" w:customStyle="1" w:styleId="TextoindependienteCar">
    <w:name w:val="Texto independiente Car"/>
    <w:basedOn w:val="Fuentedeprrafopredeter"/>
    <w:link w:val="Textoindependiente"/>
    <w:uiPriority w:val="99"/>
    <w:rsid w:val="00234A8E"/>
    <w:rPr>
      <w:rFonts w:ascii="Verdana" w:eastAsia="Times New Roman" w:hAnsi="Verdana" w:cs="Times New Roman"/>
      <w:sz w:val="20"/>
      <w:szCs w:val="20"/>
      <w:lang w:val="es-AR"/>
    </w:rPr>
  </w:style>
  <w:style w:type="character" w:styleId="Nmerodelnea">
    <w:name w:val="line number"/>
    <w:basedOn w:val="Fuentedeprrafopredeter"/>
    <w:uiPriority w:val="99"/>
    <w:semiHidden/>
    <w:unhideWhenUsed/>
    <w:rsid w:val="00F9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367599">
      <w:bodyDiv w:val="1"/>
      <w:marLeft w:val="0"/>
      <w:marRight w:val="0"/>
      <w:marTop w:val="0"/>
      <w:marBottom w:val="0"/>
      <w:divBdr>
        <w:top w:val="none" w:sz="0" w:space="0" w:color="auto"/>
        <w:left w:val="none" w:sz="0" w:space="0" w:color="auto"/>
        <w:bottom w:val="none" w:sz="0" w:space="0" w:color="auto"/>
        <w:right w:val="none" w:sz="0" w:space="0" w:color="auto"/>
      </w:divBdr>
    </w:div>
    <w:div w:id="350224497">
      <w:bodyDiv w:val="1"/>
      <w:marLeft w:val="0"/>
      <w:marRight w:val="0"/>
      <w:marTop w:val="0"/>
      <w:marBottom w:val="0"/>
      <w:divBdr>
        <w:top w:val="none" w:sz="0" w:space="0" w:color="auto"/>
        <w:left w:val="none" w:sz="0" w:space="0" w:color="auto"/>
        <w:bottom w:val="none" w:sz="0" w:space="0" w:color="auto"/>
        <w:right w:val="none" w:sz="0" w:space="0" w:color="auto"/>
      </w:divBdr>
    </w:div>
    <w:div w:id="539823038">
      <w:bodyDiv w:val="1"/>
      <w:marLeft w:val="0"/>
      <w:marRight w:val="0"/>
      <w:marTop w:val="0"/>
      <w:marBottom w:val="0"/>
      <w:divBdr>
        <w:top w:val="none" w:sz="0" w:space="0" w:color="auto"/>
        <w:left w:val="none" w:sz="0" w:space="0" w:color="auto"/>
        <w:bottom w:val="none" w:sz="0" w:space="0" w:color="auto"/>
        <w:right w:val="none" w:sz="0" w:space="0" w:color="auto"/>
      </w:divBdr>
    </w:div>
    <w:div w:id="541868975">
      <w:bodyDiv w:val="1"/>
      <w:marLeft w:val="0"/>
      <w:marRight w:val="0"/>
      <w:marTop w:val="0"/>
      <w:marBottom w:val="0"/>
      <w:divBdr>
        <w:top w:val="none" w:sz="0" w:space="0" w:color="auto"/>
        <w:left w:val="none" w:sz="0" w:space="0" w:color="auto"/>
        <w:bottom w:val="none" w:sz="0" w:space="0" w:color="auto"/>
        <w:right w:val="none" w:sz="0" w:space="0" w:color="auto"/>
      </w:divBdr>
    </w:div>
    <w:div w:id="609894306">
      <w:bodyDiv w:val="1"/>
      <w:marLeft w:val="0"/>
      <w:marRight w:val="0"/>
      <w:marTop w:val="0"/>
      <w:marBottom w:val="0"/>
      <w:divBdr>
        <w:top w:val="none" w:sz="0" w:space="0" w:color="auto"/>
        <w:left w:val="none" w:sz="0" w:space="0" w:color="auto"/>
        <w:bottom w:val="none" w:sz="0" w:space="0" w:color="auto"/>
        <w:right w:val="none" w:sz="0" w:space="0" w:color="auto"/>
      </w:divBdr>
    </w:div>
    <w:div w:id="619189903">
      <w:bodyDiv w:val="1"/>
      <w:marLeft w:val="0"/>
      <w:marRight w:val="0"/>
      <w:marTop w:val="0"/>
      <w:marBottom w:val="0"/>
      <w:divBdr>
        <w:top w:val="none" w:sz="0" w:space="0" w:color="auto"/>
        <w:left w:val="none" w:sz="0" w:space="0" w:color="auto"/>
        <w:bottom w:val="none" w:sz="0" w:space="0" w:color="auto"/>
        <w:right w:val="none" w:sz="0" w:space="0" w:color="auto"/>
      </w:divBdr>
    </w:div>
    <w:div w:id="636951439">
      <w:bodyDiv w:val="1"/>
      <w:marLeft w:val="0"/>
      <w:marRight w:val="0"/>
      <w:marTop w:val="0"/>
      <w:marBottom w:val="0"/>
      <w:divBdr>
        <w:top w:val="none" w:sz="0" w:space="0" w:color="auto"/>
        <w:left w:val="none" w:sz="0" w:space="0" w:color="auto"/>
        <w:bottom w:val="none" w:sz="0" w:space="0" w:color="auto"/>
        <w:right w:val="none" w:sz="0" w:space="0" w:color="auto"/>
      </w:divBdr>
    </w:div>
    <w:div w:id="732430465">
      <w:bodyDiv w:val="1"/>
      <w:marLeft w:val="0"/>
      <w:marRight w:val="0"/>
      <w:marTop w:val="0"/>
      <w:marBottom w:val="0"/>
      <w:divBdr>
        <w:top w:val="none" w:sz="0" w:space="0" w:color="auto"/>
        <w:left w:val="none" w:sz="0" w:space="0" w:color="auto"/>
        <w:bottom w:val="none" w:sz="0" w:space="0" w:color="auto"/>
        <w:right w:val="none" w:sz="0" w:space="0" w:color="auto"/>
      </w:divBdr>
    </w:div>
    <w:div w:id="986671515">
      <w:bodyDiv w:val="1"/>
      <w:marLeft w:val="0"/>
      <w:marRight w:val="0"/>
      <w:marTop w:val="0"/>
      <w:marBottom w:val="0"/>
      <w:divBdr>
        <w:top w:val="none" w:sz="0" w:space="0" w:color="auto"/>
        <w:left w:val="none" w:sz="0" w:space="0" w:color="auto"/>
        <w:bottom w:val="none" w:sz="0" w:space="0" w:color="auto"/>
        <w:right w:val="none" w:sz="0" w:space="0" w:color="auto"/>
      </w:divBdr>
    </w:div>
    <w:div w:id="1036780495">
      <w:bodyDiv w:val="1"/>
      <w:marLeft w:val="0"/>
      <w:marRight w:val="0"/>
      <w:marTop w:val="0"/>
      <w:marBottom w:val="0"/>
      <w:divBdr>
        <w:top w:val="none" w:sz="0" w:space="0" w:color="auto"/>
        <w:left w:val="none" w:sz="0" w:space="0" w:color="auto"/>
        <w:bottom w:val="none" w:sz="0" w:space="0" w:color="auto"/>
        <w:right w:val="none" w:sz="0" w:space="0" w:color="auto"/>
      </w:divBdr>
    </w:div>
    <w:div w:id="1174109380">
      <w:bodyDiv w:val="1"/>
      <w:marLeft w:val="0"/>
      <w:marRight w:val="0"/>
      <w:marTop w:val="0"/>
      <w:marBottom w:val="0"/>
      <w:divBdr>
        <w:top w:val="none" w:sz="0" w:space="0" w:color="auto"/>
        <w:left w:val="none" w:sz="0" w:space="0" w:color="auto"/>
        <w:bottom w:val="none" w:sz="0" w:space="0" w:color="auto"/>
        <w:right w:val="none" w:sz="0" w:space="0" w:color="auto"/>
      </w:divBdr>
    </w:div>
    <w:div w:id="1379553657">
      <w:bodyDiv w:val="1"/>
      <w:marLeft w:val="0"/>
      <w:marRight w:val="0"/>
      <w:marTop w:val="0"/>
      <w:marBottom w:val="0"/>
      <w:divBdr>
        <w:top w:val="none" w:sz="0" w:space="0" w:color="auto"/>
        <w:left w:val="none" w:sz="0" w:space="0" w:color="auto"/>
        <w:bottom w:val="none" w:sz="0" w:space="0" w:color="auto"/>
        <w:right w:val="none" w:sz="0" w:space="0" w:color="auto"/>
      </w:divBdr>
    </w:div>
    <w:div w:id="1648852460">
      <w:bodyDiv w:val="1"/>
      <w:marLeft w:val="0"/>
      <w:marRight w:val="0"/>
      <w:marTop w:val="0"/>
      <w:marBottom w:val="0"/>
      <w:divBdr>
        <w:top w:val="none" w:sz="0" w:space="0" w:color="auto"/>
        <w:left w:val="none" w:sz="0" w:space="0" w:color="auto"/>
        <w:bottom w:val="none" w:sz="0" w:space="0" w:color="auto"/>
        <w:right w:val="none" w:sz="0" w:space="0" w:color="auto"/>
      </w:divBdr>
    </w:div>
    <w:div w:id="1651667671">
      <w:bodyDiv w:val="1"/>
      <w:marLeft w:val="0"/>
      <w:marRight w:val="0"/>
      <w:marTop w:val="0"/>
      <w:marBottom w:val="0"/>
      <w:divBdr>
        <w:top w:val="none" w:sz="0" w:space="0" w:color="auto"/>
        <w:left w:val="none" w:sz="0" w:space="0" w:color="auto"/>
        <w:bottom w:val="none" w:sz="0" w:space="0" w:color="auto"/>
        <w:right w:val="none" w:sz="0" w:space="0" w:color="auto"/>
      </w:divBdr>
    </w:div>
    <w:div w:id="1681661167">
      <w:bodyDiv w:val="1"/>
      <w:marLeft w:val="0"/>
      <w:marRight w:val="0"/>
      <w:marTop w:val="0"/>
      <w:marBottom w:val="0"/>
      <w:divBdr>
        <w:top w:val="none" w:sz="0" w:space="0" w:color="auto"/>
        <w:left w:val="none" w:sz="0" w:space="0" w:color="auto"/>
        <w:bottom w:val="none" w:sz="0" w:space="0" w:color="auto"/>
        <w:right w:val="none" w:sz="0" w:space="0" w:color="auto"/>
      </w:divBdr>
    </w:div>
    <w:div w:id="1790660232">
      <w:bodyDiv w:val="1"/>
      <w:marLeft w:val="0"/>
      <w:marRight w:val="0"/>
      <w:marTop w:val="0"/>
      <w:marBottom w:val="0"/>
      <w:divBdr>
        <w:top w:val="none" w:sz="0" w:space="0" w:color="auto"/>
        <w:left w:val="none" w:sz="0" w:space="0" w:color="auto"/>
        <w:bottom w:val="none" w:sz="0" w:space="0" w:color="auto"/>
        <w:right w:val="none" w:sz="0" w:space="0" w:color="auto"/>
      </w:divBdr>
    </w:div>
    <w:div w:id="1850021393">
      <w:bodyDiv w:val="1"/>
      <w:marLeft w:val="0"/>
      <w:marRight w:val="0"/>
      <w:marTop w:val="0"/>
      <w:marBottom w:val="0"/>
      <w:divBdr>
        <w:top w:val="none" w:sz="0" w:space="0" w:color="auto"/>
        <w:left w:val="none" w:sz="0" w:space="0" w:color="auto"/>
        <w:bottom w:val="none" w:sz="0" w:space="0" w:color="auto"/>
        <w:right w:val="none" w:sz="0" w:space="0" w:color="auto"/>
      </w:divBdr>
    </w:div>
    <w:div w:id="1929389919">
      <w:bodyDiv w:val="1"/>
      <w:marLeft w:val="0"/>
      <w:marRight w:val="0"/>
      <w:marTop w:val="0"/>
      <w:marBottom w:val="0"/>
      <w:divBdr>
        <w:top w:val="none" w:sz="0" w:space="0" w:color="auto"/>
        <w:left w:val="none" w:sz="0" w:space="0" w:color="auto"/>
        <w:bottom w:val="none" w:sz="0" w:space="0" w:color="auto"/>
        <w:right w:val="none" w:sz="0" w:space="0" w:color="auto"/>
      </w:divBdr>
    </w:div>
    <w:div w:id="1976258681">
      <w:bodyDiv w:val="1"/>
      <w:marLeft w:val="0"/>
      <w:marRight w:val="0"/>
      <w:marTop w:val="0"/>
      <w:marBottom w:val="0"/>
      <w:divBdr>
        <w:top w:val="none" w:sz="0" w:space="0" w:color="auto"/>
        <w:left w:val="none" w:sz="0" w:space="0" w:color="auto"/>
        <w:bottom w:val="none" w:sz="0" w:space="0" w:color="auto"/>
        <w:right w:val="none" w:sz="0" w:space="0" w:color="auto"/>
      </w:divBdr>
    </w:div>
    <w:div w:id="20908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CADA-8A74-4061-94A5-697E50AB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8435</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2019-08-26T16:24:00Z</cp:lastPrinted>
  <dcterms:created xsi:type="dcterms:W3CDTF">2019-08-26T21:20:00Z</dcterms:created>
  <dcterms:modified xsi:type="dcterms:W3CDTF">2019-08-26T21:20:00Z</dcterms:modified>
</cp:coreProperties>
</file>