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238D" w14:textId="7C919D7D" w:rsidR="00721EA7" w:rsidRPr="00E949E1" w:rsidRDefault="00721EA7" w:rsidP="00E97AA8"/>
    <w:p w14:paraId="4E122AAA" w14:textId="77777777" w:rsidR="00BA6210" w:rsidRPr="00E949E1" w:rsidRDefault="00BA6210" w:rsidP="00E97AA8"/>
    <w:p w14:paraId="2D7D028F" w14:textId="77777777" w:rsidR="00553094" w:rsidRPr="00E949E1" w:rsidRDefault="00553094" w:rsidP="00E97AA8"/>
    <w:p w14:paraId="2FD7FF04" w14:textId="3C7347AE" w:rsidR="007E7781" w:rsidRPr="00C41CF4" w:rsidRDefault="00016191" w:rsidP="00C41CF4">
      <w:pPr>
        <w:jc w:val="center"/>
        <w:rPr>
          <w:b/>
        </w:rPr>
      </w:pPr>
      <w:r w:rsidRPr="00C41CF4">
        <w:rPr>
          <w:b/>
        </w:rPr>
        <w:t xml:space="preserve">RESOLUCIÓN </w:t>
      </w:r>
      <w:r w:rsidR="00FF6AD7" w:rsidRPr="00C41CF4">
        <w:rPr>
          <w:b/>
        </w:rPr>
        <w:t>DEL PRESIDENTE</w:t>
      </w:r>
      <w:r w:rsidR="007E7781" w:rsidRPr="00C41CF4">
        <w:rPr>
          <w:b/>
        </w:rPr>
        <w:t xml:space="preserve"> </w:t>
      </w:r>
      <w:r w:rsidRPr="00C41CF4">
        <w:rPr>
          <w:b/>
        </w:rPr>
        <w:t>DE LA</w:t>
      </w:r>
    </w:p>
    <w:p w14:paraId="0C5F18D8" w14:textId="77777777" w:rsidR="00FF6AD7" w:rsidRPr="00C41CF4" w:rsidRDefault="00016191" w:rsidP="00C41CF4">
      <w:pPr>
        <w:jc w:val="center"/>
        <w:rPr>
          <w:b/>
        </w:rPr>
      </w:pPr>
      <w:r w:rsidRPr="00C41CF4">
        <w:rPr>
          <w:b/>
        </w:rPr>
        <w:t>CORTE INTERAMERICANA DE DERECHOS HUMANOS</w:t>
      </w:r>
    </w:p>
    <w:p w14:paraId="653C319A" w14:textId="77777777" w:rsidR="00DF5305" w:rsidRPr="00C41CF4" w:rsidRDefault="00DF5305" w:rsidP="00C41CF4">
      <w:pPr>
        <w:jc w:val="center"/>
        <w:rPr>
          <w:b/>
        </w:rPr>
      </w:pPr>
    </w:p>
    <w:p w14:paraId="1E1F28CE" w14:textId="3701E2A7" w:rsidR="00DF5305" w:rsidRPr="00C41CF4" w:rsidRDefault="00016191" w:rsidP="00C41CF4">
      <w:pPr>
        <w:jc w:val="center"/>
        <w:rPr>
          <w:b/>
        </w:rPr>
      </w:pPr>
      <w:r w:rsidRPr="00C41CF4">
        <w:rPr>
          <w:b/>
        </w:rPr>
        <w:t xml:space="preserve">DE </w:t>
      </w:r>
      <w:r w:rsidR="00C872B7">
        <w:rPr>
          <w:b/>
        </w:rPr>
        <w:t>10</w:t>
      </w:r>
      <w:r w:rsidR="00C872B7" w:rsidRPr="00C41CF4">
        <w:rPr>
          <w:b/>
        </w:rPr>
        <w:t xml:space="preserve"> </w:t>
      </w:r>
      <w:r w:rsidRPr="00C41CF4">
        <w:rPr>
          <w:b/>
        </w:rPr>
        <w:t xml:space="preserve">DE </w:t>
      </w:r>
      <w:r w:rsidR="00C872B7">
        <w:rPr>
          <w:b/>
        </w:rPr>
        <w:t>JULIO</w:t>
      </w:r>
      <w:r w:rsidR="00C872B7" w:rsidRPr="00C41CF4">
        <w:rPr>
          <w:b/>
        </w:rPr>
        <w:t xml:space="preserve"> </w:t>
      </w:r>
      <w:r w:rsidR="005245EB" w:rsidRPr="00C41CF4">
        <w:rPr>
          <w:b/>
        </w:rPr>
        <w:t>DE 2019</w:t>
      </w:r>
    </w:p>
    <w:p w14:paraId="3871CDDC" w14:textId="77777777" w:rsidR="0016379E" w:rsidRPr="00C41CF4" w:rsidRDefault="0016379E" w:rsidP="00C41CF4">
      <w:pPr>
        <w:jc w:val="center"/>
        <w:rPr>
          <w:b/>
        </w:rPr>
      </w:pPr>
    </w:p>
    <w:p w14:paraId="541CAB36" w14:textId="2D91B56E" w:rsidR="006709EC" w:rsidRPr="00C41CF4" w:rsidRDefault="00F71F56" w:rsidP="00C41CF4">
      <w:pPr>
        <w:jc w:val="center"/>
        <w:rPr>
          <w:b/>
        </w:rPr>
      </w:pPr>
      <w:r w:rsidRPr="00C41CF4">
        <w:rPr>
          <w:b/>
        </w:rPr>
        <w:t xml:space="preserve">CASO </w:t>
      </w:r>
      <w:r w:rsidR="00885622" w:rsidRPr="00C41CF4">
        <w:rPr>
          <w:b/>
        </w:rPr>
        <w:t>ROJAS MARÍN</w:t>
      </w:r>
      <w:r w:rsidR="005245EB" w:rsidRPr="00C41CF4">
        <w:rPr>
          <w:b/>
        </w:rPr>
        <w:t xml:space="preserve"> </w:t>
      </w:r>
      <w:r w:rsidR="00885622" w:rsidRPr="00C41CF4">
        <w:rPr>
          <w:b/>
        </w:rPr>
        <w:t>Y OTRA</w:t>
      </w:r>
      <w:r w:rsidRPr="00C41CF4">
        <w:rPr>
          <w:b/>
        </w:rPr>
        <w:t xml:space="preserve"> VS. </w:t>
      </w:r>
      <w:r w:rsidR="00885622" w:rsidRPr="00C41CF4">
        <w:rPr>
          <w:b/>
        </w:rPr>
        <w:t>PERÚ</w:t>
      </w:r>
    </w:p>
    <w:p w14:paraId="426E6D0C" w14:textId="77777777" w:rsidR="003C3755" w:rsidRPr="00E949E1" w:rsidRDefault="003C3755" w:rsidP="00E97AA8">
      <w:bookmarkStart w:id="0" w:name="_GoBack"/>
      <w:bookmarkEnd w:id="0"/>
    </w:p>
    <w:p w14:paraId="4021CA7D" w14:textId="77777777" w:rsidR="00721EA7" w:rsidRPr="00E949E1" w:rsidRDefault="00721EA7" w:rsidP="00E97AA8"/>
    <w:p w14:paraId="75574EFF" w14:textId="04BB67FA" w:rsidR="00FF6AD7" w:rsidRPr="00E949E1" w:rsidRDefault="00FF6AD7" w:rsidP="00E97AA8"/>
    <w:p w14:paraId="317E7E9B" w14:textId="77777777" w:rsidR="00016191" w:rsidRPr="00C41CF4" w:rsidRDefault="00016191" w:rsidP="00E97AA8">
      <w:pPr>
        <w:rPr>
          <w:b/>
        </w:rPr>
      </w:pPr>
      <w:r w:rsidRPr="00C41CF4">
        <w:rPr>
          <w:b/>
        </w:rPr>
        <w:t>VISTO:</w:t>
      </w:r>
    </w:p>
    <w:p w14:paraId="70F282D6" w14:textId="77777777" w:rsidR="00BF78B5" w:rsidRPr="00706A10" w:rsidRDefault="00BF78B5" w:rsidP="00E97AA8"/>
    <w:p w14:paraId="00E8AC79" w14:textId="77777777" w:rsidR="006C2730" w:rsidRDefault="00016191" w:rsidP="006C2730">
      <w:pPr>
        <w:pStyle w:val="Sinespaciado"/>
        <w:rPr>
          <w:lang w:eastAsia="es-ES"/>
        </w:rPr>
      </w:pPr>
      <w:r w:rsidRPr="00706A10">
        <w:t>El escrito de sometimiento del caso y el Informe de Fondo de la Comisión Interamericana de Derechos Humanos (en adelante “la Comisión Interamericana” o “la Comisión”); el escrito de solicitudes, argumentos y pruebas</w:t>
      </w:r>
      <w:r w:rsidR="00844163" w:rsidRPr="00706A10">
        <w:t xml:space="preserve"> </w:t>
      </w:r>
      <w:r w:rsidRPr="00706A10">
        <w:t xml:space="preserve">(en adelante el “escrito de solicitudes y argumentos”) </w:t>
      </w:r>
      <w:r w:rsidR="00706A10" w:rsidRPr="00706A10">
        <w:t xml:space="preserve">de las </w:t>
      </w:r>
      <w:r w:rsidR="005245EB" w:rsidRPr="00706A10">
        <w:t>representante</w:t>
      </w:r>
      <w:r w:rsidR="00706A10" w:rsidRPr="00706A10">
        <w:t>s</w:t>
      </w:r>
      <w:r w:rsidR="00482C53" w:rsidRPr="00706A10">
        <w:t xml:space="preserve"> de la</w:t>
      </w:r>
      <w:r w:rsidR="004E76A1" w:rsidRPr="00706A10">
        <w:t>s presuntas</w:t>
      </w:r>
      <w:r w:rsidR="00482C53" w:rsidRPr="00706A10">
        <w:t xml:space="preserve"> víctima</w:t>
      </w:r>
      <w:r w:rsidR="004E76A1" w:rsidRPr="00706A10">
        <w:t>s</w:t>
      </w:r>
      <w:r w:rsidRPr="00706A10">
        <w:t xml:space="preserve"> (en adelante “</w:t>
      </w:r>
      <w:r w:rsidR="00706A10" w:rsidRPr="00706A10">
        <w:t>las</w:t>
      </w:r>
      <w:r w:rsidR="00FA3A59" w:rsidRPr="00706A10">
        <w:t xml:space="preserve"> </w:t>
      </w:r>
      <w:r w:rsidRPr="00706A10">
        <w:t>representante</w:t>
      </w:r>
      <w:r w:rsidR="00706A10" w:rsidRPr="00706A10">
        <w:t>s</w:t>
      </w:r>
      <w:r w:rsidRPr="00706A10">
        <w:t>”); el escrito</w:t>
      </w:r>
      <w:r w:rsidR="00FA3A59" w:rsidRPr="00706A10">
        <w:t xml:space="preserve"> de</w:t>
      </w:r>
      <w:r w:rsidRPr="00706A10">
        <w:t xml:space="preserve"> </w:t>
      </w:r>
      <w:r w:rsidR="00623828" w:rsidRPr="00706A10">
        <w:t xml:space="preserve">excepciones preliminares y </w:t>
      </w:r>
      <w:r w:rsidRPr="00706A10">
        <w:t>contestación al sometimiento del caso y al escrito de solicitudes y argumentos (en adelant</w:t>
      </w:r>
      <w:r w:rsidR="001F3986" w:rsidRPr="00706A10">
        <w:t xml:space="preserve">e “escrito de contestación”) de </w:t>
      </w:r>
      <w:r w:rsidR="00482C53" w:rsidRPr="00706A10">
        <w:t xml:space="preserve">la República del </w:t>
      </w:r>
      <w:r w:rsidR="00706A10" w:rsidRPr="00706A10">
        <w:t>Perú</w:t>
      </w:r>
      <w:r w:rsidR="006E4645" w:rsidRPr="00706A10">
        <w:t xml:space="preserve"> </w:t>
      </w:r>
      <w:r w:rsidRPr="00706A10">
        <w:t>(en adelante “</w:t>
      </w:r>
      <w:r w:rsidR="00706A10" w:rsidRPr="00706A10">
        <w:t>Perú</w:t>
      </w:r>
      <w:r w:rsidR="001735A7" w:rsidRPr="00706A10">
        <w:t xml:space="preserve">” o “el </w:t>
      </w:r>
      <w:r w:rsidR="001735A7" w:rsidRPr="0026413C">
        <w:t xml:space="preserve">Estado”), </w:t>
      </w:r>
      <w:r w:rsidR="001735A7" w:rsidRPr="00E97AA8">
        <w:rPr>
          <w:lang w:eastAsia="es-ES"/>
        </w:rPr>
        <w:t>así co</w:t>
      </w:r>
      <w:r w:rsidR="00564EC8" w:rsidRPr="00E97AA8">
        <w:rPr>
          <w:lang w:eastAsia="es-ES"/>
        </w:rPr>
        <w:t xml:space="preserve">mo </w:t>
      </w:r>
      <w:r w:rsidR="00BC0019" w:rsidRPr="00E97AA8">
        <w:rPr>
          <w:lang w:eastAsia="es-ES"/>
        </w:rPr>
        <w:t>los escritos</w:t>
      </w:r>
      <w:r w:rsidR="00564EC8" w:rsidRPr="00E97AA8">
        <w:rPr>
          <w:lang w:eastAsia="es-ES"/>
        </w:rPr>
        <w:t xml:space="preserve"> de observaciones</w:t>
      </w:r>
      <w:r w:rsidR="00BC0019" w:rsidRPr="00E97AA8">
        <w:rPr>
          <w:lang w:eastAsia="es-ES"/>
        </w:rPr>
        <w:t xml:space="preserve"> </w:t>
      </w:r>
      <w:r w:rsidR="00D9010B" w:rsidRPr="00E97AA8">
        <w:rPr>
          <w:lang w:eastAsia="es-ES"/>
        </w:rPr>
        <w:t>a la</w:t>
      </w:r>
      <w:r w:rsidR="00CA144D" w:rsidRPr="00E97AA8">
        <w:rPr>
          <w:lang w:eastAsia="es-ES"/>
        </w:rPr>
        <w:t>s</w:t>
      </w:r>
      <w:r w:rsidR="00D9010B" w:rsidRPr="00E97AA8">
        <w:rPr>
          <w:lang w:eastAsia="es-ES"/>
        </w:rPr>
        <w:t xml:space="preserve"> excepci</w:t>
      </w:r>
      <w:r w:rsidR="00CA144D" w:rsidRPr="00E97AA8">
        <w:rPr>
          <w:lang w:eastAsia="es-ES"/>
        </w:rPr>
        <w:t>ones</w:t>
      </w:r>
      <w:r w:rsidR="00D9010B" w:rsidRPr="00E97AA8">
        <w:rPr>
          <w:lang w:eastAsia="es-ES"/>
        </w:rPr>
        <w:t xml:space="preserve"> preliminar</w:t>
      </w:r>
      <w:r w:rsidR="00CA144D" w:rsidRPr="00E97AA8">
        <w:rPr>
          <w:lang w:eastAsia="es-ES"/>
        </w:rPr>
        <w:t>es</w:t>
      </w:r>
      <w:r w:rsidR="008C1B7B" w:rsidRPr="00E97AA8">
        <w:rPr>
          <w:lang w:eastAsia="es-ES"/>
        </w:rPr>
        <w:t xml:space="preserve"> </w:t>
      </w:r>
      <w:r w:rsidR="00BA3628" w:rsidRPr="00E97AA8">
        <w:rPr>
          <w:lang w:eastAsia="es-ES"/>
        </w:rPr>
        <w:t>interpuesta</w:t>
      </w:r>
      <w:r w:rsidR="00CA144D" w:rsidRPr="00E97AA8">
        <w:rPr>
          <w:lang w:eastAsia="es-ES"/>
        </w:rPr>
        <w:t>s</w:t>
      </w:r>
      <w:r w:rsidR="008F0658" w:rsidRPr="00E97AA8">
        <w:rPr>
          <w:lang w:eastAsia="es-ES"/>
        </w:rPr>
        <w:t xml:space="preserve"> </w:t>
      </w:r>
      <w:r w:rsidR="00BC0019" w:rsidRPr="00E97AA8">
        <w:rPr>
          <w:lang w:eastAsia="es-ES"/>
        </w:rPr>
        <w:t>por el Estado</w:t>
      </w:r>
      <w:r w:rsidR="00564EC8" w:rsidRPr="00E97AA8">
        <w:rPr>
          <w:lang w:eastAsia="es-ES"/>
        </w:rPr>
        <w:t xml:space="preserve"> </w:t>
      </w:r>
      <w:r w:rsidR="00BC0019" w:rsidRPr="00E97AA8">
        <w:rPr>
          <w:lang w:eastAsia="es-ES"/>
        </w:rPr>
        <w:t xml:space="preserve">presentados por la Comisión </w:t>
      </w:r>
      <w:r w:rsidR="00005C3B" w:rsidRPr="00E97AA8">
        <w:rPr>
          <w:lang w:eastAsia="es-ES"/>
        </w:rPr>
        <w:t>Interamericana</w:t>
      </w:r>
      <w:r w:rsidR="00BA3628" w:rsidRPr="00E97AA8">
        <w:rPr>
          <w:lang w:eastAsia="es-ES"/>
        </w:rPr>
        <w:t xml:space="preserve"> </w:t>
      </w:r>
      <w:r w:rsidR="00BC0019" w:rsidRPr="00E97AA8">
        <w:rPr>
          <w:lang w:eastAsia="es-ES"/>
        </w:rPr>
        <w:t xml:space="preserve">y </w:t>
      </w:r>
      <w:r w:rsidR="00706A10" w:rsidRPr="00E97AA8">
        <w:rPr>
          <w:lang w:eastAsia="es-ES"/>
        </w:rPr>
        <w:t>las representantes</w:t>
      </w:r>
      <w:r w:rsidR="0010097D" w:rsidRPr="00E97AA8">
        <w:rPr>
          <w:lang w:eastAsia="es-ES"/>
        </w:rPr>
        <w:t xml:space="preserve">. </w:t>
      </w:r>
    </w:p>
    <w:p w14:paraId="5BCD7328" w14:textId="77777777" w:rsidR="006C2730" w:rsidRDefault="006C2730" w:rsidP="006C2730">
      <w:pPr>
        <w:pStyle w:val="Sinespaciado"/>
        <w:numPr>
          <w:ilvl w:val="0"/>
          <w:numId w:val="0"/>
        </w:numPr>
        <w:rPr>
          <w:lang w:eastAsia="es-ES"/>
        </w:rPr>
      </w:pPr>
    </w:p>
    <w:p w14:paraId="5085D72A" w14:textId="792D5972" w:rsidR="00BC0019" w:rsidRPr="006C2730" w:rsidRDefault="00844163" w:rsidP="006C2730">
      <w:pPr>
        <w:pStyle w:val="Sinespaciado"/>
        <w:rPr>
          <w:lang w:eastAsia="es-ES"/>
        </w:rPr>
      </w:pPr>
      <w:r w:rsidRPr="0026413C">
        <w:t>La</w:t>
      </w:r>
      <w:r w:rsidR="00482A2E" w:rsidRPr="0026413C">
        <w:t>s</w:t>
      </w:r>
      <w:r w:rsidRPr="0026413C">
        <w:t xml:space="preserve"> </w:t>
      </w:r>
      <w:r w:rsidR="00BC0019" w:rsidRPr="0026413C">
        <w:t xml:space="preserve">listas definitivas de declarantes </w:t>
      </w:r>
      <w:r w:rsidR="00BC0019" w:rsidRPr="007C03FD">
        <w:t xml:space="preserve">presentadas </w:t>
      </w:r>
      <w:r w:rsidR="00FA3A59" w:rsidRPr="007C03FD">
        <w:t>por el Estado</w:t>
      </w:r>
      <w:r w:rsidR="0026413C" w:rsidRPr="007C03FD">
        <w:t>, la</w:t>
      </w:r>
      <w:r w:rsidR="00FA3A59" w:rsidRPr="007C03FD">
        <w:t>s representantes</w:t>
      </w:r>
      <w:r w:rsidR="006F1A47" w:rsidRPr="007C03FD">
        <w:t xml:space="preserve"> </w:t>
      </w:r>
      <w:r w:rsidR="00FA3A59" w:rsidRPr="007C03FD">
        <w:t>y la Comisión</w:t>
      </w:r>
      <w:r w:rsidR="006C2730" w:rsidRPr="006C2730">
        <w:t>,</w:t>
      </w:r>
      <w:r w:rsidR="006C2730" w:rsidRPr="006C2730">
        <w:rPr>
          <w:b/>
        </w:rPr>
        <w:t xml:space="preserve"> </w:t>
      </w:r>
      <w:r w:rsidR="00FA3A59" w:rsidRPr="007C03FD">
        <w:t>y las correspondientes observaciones a dichas listas presentadas por las partes, la Comisión</w:t>
      </w:r>
      <w:r w:rsidR="00AF3442" w:rsidRPr="00766DD3">
        <w:t xml:space="preserve"> </w:t>
      </w:r>
      <w:r w:rsidR="00FA3A59" w:rsidRPr="00766DD3">
        <w:t xml:space="preserve">y </w:t>
      </w:r>
      <w:r w:rsidR="00766DD3" w:rsidRPr="00766DD3">
        <w:t>el perito recusado</w:t>
      </w:r>
      <w:r w:rsidR="00FA3A59" w:rsidRPr="00766DD3">
        <w:t>.</w:t>
      </w:r>
      <w:r w:rsidR="006F1A47" w:rsidRPr="00766DD3">
        <w:t xml:space="preserve"> </w:t>
      </w:r>
    </w:p>
    <w:p w14:paraId="37F7F387" w14:textId="77777777" w:rsidR="006C2730" w:rsidRPr="0026413C" w:rsidRDefault="006C2730" w:rsidP="00C41CF4">
      <w:pPr>
        <w:pStyle w:val="Sinespaciado"/>
        <w:numPr>
          <w:ilvl w:val="0"/>
          <w:numId w:val="0"/>
        </w:numPr>
      </w:pPr>
    </w:p>
    <w:p w14:paraId="5D188416" w14:textId="73C7BDF0" w:rsidR="001A0EFB" w:rsidRPr="00E97AA8" w:rsidRDefault="00FF5B5F" w:rsidP="00C41CF4">
      <w:pPr>
        <w:pStyle w:val="Sinespaciado"/>
        <w:rPr>
          <w:lang w:eastAsia="es-ES"/>
        </w:rPr>
      </w:pPr>
      <w:bookmarkStart w:id="1" w:name="_Ref479170533"/>
      <w:r w:rsidRPr="0026413C">
        <w:t xml:space="preserve">La </w:t>
      </w:r>
      <w:r w:rsidR="00977843" w:rsidRPr="0026413C">
        <w:t>n</w:t>
      </w:r>
      <w:r w:rsidR="00CA144D" w:rsidRPr="0026413C">
        <w:t xml:space="preserve">ota de Secretaría </w:t>
      </w:r>
      <w:r w:rsidR="007C03FD">
        <w:t>30</w:t>
      </w:r>
      <w:r w:rsidR="00CA144D" w:rsidRPr="0026413C">
        <w:t xml:space="preserve"> de </w:t>
      </w:r>
      <w:r w:rsidR="004A1DF8">
        <w:t xml:space="preserve">mayo </w:t>
      </w:r>
      <w:r w:rsidR="00CA144D" w:rsidRPr="0026413C">
        <w:t xml:space="preserve">de </w:t>
      </w:r>
      <w:r w:rsidR="00C807A8" w:rsidRPr="0026413C">
        <w:t>201</w:t>
      </w:r>
      <w:r w:rsidR="00C807A8">
        <w:t>9</w:t>
      </w:r>
      <w:r w:rsidR="00C807A8" w:rsidRPr="0026413C">
        <w:t xml:space="preserve"> </w:t>
      </w:r>
      <w:r w:rsidR="001A0EFB" w:rsidRPr="0026413C">
        <w:t>relativa a la procedencia del F</w:t>
      </w:r>
      <w:r w:rsidR="001A0EFB" w:rsidRPr="00E97AA8">
        <w:rPr>
          <w:rFonts w:cs="Arial"/>
        </w:rPr>
        <w:t>ondo de Asistencia Legal de</w:t>
      </w:r>
      <w:r w:rsidR="001A0EFB" w:rsidRPr="00E97AA8">
        <w:rPr>
          <w:lang w:eastAsia="es-ES"/>
        </w:rPr>
        <w:t xml:space="preserve"> </w:t>
      </w:r>
      <w:r w:rsidR="001A0EFB" w:rsidRPr="00E97AA8">
        <w:rPr>
          <w:rFonts w:cs="Arial"/>
        </w:rPr>
        <w:t xml:space="preserve">Víctimas de la </w:t>
      </w:r>
      <w:r w:rsidR="001A0EFB" w:rsidRPr="007C03FD">
        <w:rPr>
          <w:rFonts w:cs="Arial"/>
        </w:rPr>
        <w:t>Corte Interamericana de Derechos Humanos (en adelante “</w:t>
      </w:r>
      <w:r w:rsidR="001A0EFB" w:rsidRPr="007C03FD">
        <w:t>Fondo de Asistencia Legal de Víctimas”)</w:t>
      </w:r>
      <w:r w:rsidR="001A0EFB" w:rsidRPr="007C03FD">
        <w:rPr>
          <w:rFonts w:cs="Arial"/>
        </w:rPr>
        <w:t xml:space="preserve">. </w:t>
      </w:r>
    </w:p>
    <w:bookmarkEnd w:id="1"/>
    <w:p w14:paraId="4567966B" w14:textId="77777777" w:rsidR="004C3A43" w:rsidRPr="00E949E1" w:rsidRDefault="004C3A43" w:rsidP="00E97AA8">
      <w:pPr>
        <w:rPr>
          <w:lang w:eastAsia="es-ES"/>
        </w:rPr>
      </w:pPr>
    </w:p>
    <w:p w14:paraId="3ACF6B32" w14:textId="77777777" w:rsidR="006B5876" w:rsidRPr="00C41CF4" w:rsidRDefault="006B5876" w:rsidP="00C41CF4">
      <w:pPr>
        <w:pStyle w:val="Prrafodelista"/>
        <w:ind w:left="0"/>
        <w:rPr>
          <w:b/>
        </w:rPr>
      </w:pPr>
      <w:r w:rsidRPr="00C41CF4">
        <w:rPr>
          <w:b/>
        </w:rPr>
        <w:t xml:space="preserve">CONSIDERANDO QUE: </w:t>
      </w:r>
    </w:p>
    <w:p w14:paraId="3AEA0501" w14:textId="77777777" w:rsidR="001C3BCD" w:rsidRPr="0077745B" w:rsidRDefault="001C3BCD" w:rsidP="00E97AA8"/>
    <w:p w14:paraId="77287E56" w14:textId="21539502" w:rsidR="00C41CF4" w:rsidRPr="00C41CF4" w:rsidRDefault="00902AB2" w:rsidP="00C41CF4">
      <w:pPr>
        <w:pStyle w:val="Sinespaciado"/>
        <w:rPr>
          <w:rFonts w:cs="Times New Roman"/>
        </w:rPr>
      </w:pPr>
      <w:r>
        <w:t xml:space="preserve">El ofrecimiento y la admisión de la prueba, así como la citación de presuntas víctimas, testigos y peritos, se encuentran regulados en los artículos 35.1.f, 40.2.c, 41.1.c, 46, 48, 50 y 57 </w:t>
      </w:r>
      <w:r w:rsidRPr="00902AB2">
        <w:t xml:space="preserve">del Reglamento de la Corte Interamericana de Derechos Humanos (en adelante “la Corte” o “el Tribunal”). </w:t>
      </w:r>
    </w:p>
    <w:p w14:paraId="054C8E04" w14:textId="77777777" w:rsidR="00C41CF4" w:rsidRDefault="00C41CF4" w:rsidP="00C41CF4">
      <w:pPr>
        <w:pStyle w:val="Sinespaciado"/>
        <w:numPr>
          <w:ilvl w:val="0"/>
          <w:numId w:val="0"/>
        </w:numPr>
        <w:rPr>
          <w:rFonts w:cs="Times New Roman"/>
        </w:rPr>
      </w:pPr>
    </w:p>
    <w:p w14:paraId="5BF16071" w14:textId="42F16F03" w:rsidR="00902AB2" w:rsidRPr="00C41CF4" w:rsidRDefault="00902AB2" w:rsidP="00C41CF4">
      <w:pPr>
        <w:pStyle w:val="Sinespaciado"/>
        <w:rPr>
          <w:rFonts w:cs="Times New Roman"/>
        </w:rPr>
      </w:pPr>
      <w:r w:rsidRPr="00902AB2">
        <w:t>La Comisión ofreció como prueba un dictamen pericial; l</w:t>
      </w:r>
      <w:r w:rsidR="0059627C">
        <w:t>a</w:t>
      </w:r>
      <w:r w:rsidRPr="00902AB2">
        <w:t xml:space="preserve">s representantes ofrecieron la declaración de una presunta víctima, una declaración </w:t>
      </w:r>
      <w:r w:rsidRPr="00897B18">
        <w:t xml:space="preserve">testimonial y </w:t>
      </w:r>
      <w:r w:rsidR="00CB1E8F" w:rsidRPr="00897B18">
        <w:t>cinco</w:t>
      </w:r>
      <w:r w:rsidRPr="00897B18">
        <w:t xml:space="preserve"> dictámenes periciales, y el Estado ofreció, dos declaraciones testimoniales y tres</w:t>
      </w:r>
      <w:r w:rsidRPr="00902AB2">
        <w:t xml:space="preserve"> dictámenes periciales.</w:t>
      </w:r>
    </w:p>
    <w:p w14:paraId="4F1518F9" w14:textId="77777777" w:rsidR="00C41CF4" w:rsidRDefault="00C41CF4" w:rsidP="00B81FBB">
      <w:pPr>
        <w:rPr>
          <w:rFonts w:cs="Times New Roman"/>
        </w:rPr>
      </w:pPr>
    </w:p>
    <w:p w14:paraId="10D33AC2" w14:textId="77777777" w:rsidR="00C41CF4" w:rsidRPr="00C41CF4" w:rsidRDefault="00C41CF4" w:rsidP="00C41CF4">
      <w:pPr>
        <w:pStyle w:val="Sinespaciado"/>
        <w:numPr>
          <w:ilvl w:val="0"/>
          <w:numId w:val="0"/>
        </w:numPr>
        <w:rPr>
          <w:rFonts w:cs="Times New Roman"/>
        </w:rPr>
      </w:pPr>
    </w:p>
    <w:p w14:paraId="527F347A" w14:textId="29F013C2" w:rsidR="00C41CF4" w:rsidRDefault="00902AB2" w:rsidP="00C41CF4">
      <w:pPr>
        <w:pStyle w:val="Sinespaciado"/>
      </w:pPr>
      <w:r>
        <w:t>La Corte garantizó a las partes el derecho de defensa respecto de los ofrecimientos probat</w:t>
      </w:r>
      <w:r w:rsidR="00C61C5E">
        <w:t xml:space="preserve">orios oportunamente realizados. </w:t>
      </w:r>
      <w:r>
        <w:t>En cuanto a las declaraciones ofrecidas que no han sido objetadas, esta Presidencia considera conveniente recabar dicha prueba, a efectos de que el Tribunal pueda apreciar su valor en la debida oportunidad procesal, dentro del contexto del acervo probatorio existente y según las reglas de la sana crítica. Por consiguiente, el Presidente admite la</w:t>
      </w:r>
      <w:r w:rsidR="00C61C5E">
        <w:t xml:space="preserve">s </w:t>
      </w:r>
      <w:r w:rsidR="00C61C5E" w:rsidRPr="00C61C5E">
        <w:t xml:space="preserve">declaraciones </w:t>
      </w:r>
      <w:r w:rsidRPr="00C61C5E">
        <w:t xml:space="preserve">de </w:t>
      </w:r>
      <w:r w:rsidR="00C61C5E" w:rsidRPr="00C61C5E">
        <w:t xml:space="preserve">Moisés Valdemar Ponce </w:t>
      </w:r>
      <w:r w:rsidR="00BA1C2A">
        <w:t xml:space="preserve">Malaver </w:t>
      </w:r>
      <w:r w:rsidR="00C61C5E" w:rsidRPr="00C61C5E">
        <w:t>y Víctor Manuel Cubas Villanueva</w:t>
      </w:r>
      <w:r w:rsidRPr="00C61C5E">
        <w:t>, perito</w:t>
      </w:r>
      <w:r w:rsidR="00C61C5E" w:rsidRPr="00C61C5E">
        <w:t>s</w:t>
      </w:r>
      <w:r w:rsidRPr="00C61C5E">
        <w:t xml:space="preserve"> propuesto</w:t>
      </w:r>
      <w:r w:rsidR="00C61C5E" w:rsidRPr="00C61C5E">
        <w:t>s</w:t>
      </w:r>
      <w:r w:rsidRPr="00C61C5E">
        <w:t xml:space="preserve"> por el Estado. </w:t>
      </w:r>
    </w:p>
    <w:p w14:paraId="549C81D7" w14:textId="77777777" w:rsidR="00C41CF4" w:rsidRDefault="00C41CF4" w:rsidP="00C41CF4">
      <w:pPr>
        <w:pStyle w:val="Sinespaciado"/>
        <w:numPr>
          <w:ilvl w:val="0"/>
          <w:numId w:val="0"/>
        </w:numPr>
      </w:pPr>
    </w:p>
    <w:p w14:paraId="5C223F3F" w14:textId="4AA1FE2A" w:rsidR="00E97AA8" w:rsidRPr="000C00AC" w:rsidRDefault="007F3AAA" w:rsidP="000C00AC">
      <w:pPr>
        <w:pStyle w:val="Sinespaciado"/>
        <w:rPr>
          <w:lang w:val="es-ES_tradnl"/>
        </w:rPr>
      </w:pPr>
      <w:r w:rsidRPr="00E97AA8">
        <w:t xml:space="preserve">Tomando en cuenta los alegatos de las partes y la Comisión </w:t>
      </w:r>
      <w:r w:rsidR="00902AB2" w:rsidRPr="00E97AA8">
        <w:t>procederá a examinar en forma particular:</w:t>
      </w:r>
      <w:r w:rsidR="00E97AA8" w:rsidRPr="00E97AA8">
        <w:t xml:space="preserve"> a) el </w:t>
      </w:r>
      <w:r w:rsidR="00E97AA8" w:rsidRPr="00174B71">
        <w:t xml:space="preserve">desistimiento tácito de un declarante ofrecido por las representantes; b) la recusación respecto a la declaración pericial </w:t>
      </w:r>
      <w:r w:rsidR="00E97AA8" w:rsidRPr="00574629">
        <w:t xml:space="preserve">propuesta por </w:t>
      </w:r>
      <w:r w:rsidR="00C41CF4" w:rsidRPr="00574629">
        <w:t>el Estado;</w:t>
      </w:r>
      <w:r w:rsidR="00E97AA8" w:rsidRPr="00574629">
        <w:t xml:space="preserve"> c) </w:t>
      </w:r>
      <w:r w:rsidR="00D25B3E" w:rsidRPr="00574629">
        <w:t xml:space="preserve">la admisibilidad de </w:t>
      </w:r>
      <w:r w:rsidR="00574629">
        <w:t>dos</w:t>
      </w:r>
      <w:r w:rsidR="00574629" w:rsidRPr="00574629">
        <w:t xml:space="preserve"> declaraci</w:t>
      </w:r>
      <w:r w:rsidR="00574629">
        <w:t>ones</w:t>
      </w:r>
      <w:r w:rsidR="00574629" w:rsidRPr="00574629">
        <w:t xml:space="preserve"> pericial</w:t>
      </w:r>
      <w:r w:rsidR="00574629">
        <w:t>es</w:t>
      </w:r>
      <w:r w:rsidR="00574629" w:rsidRPr="00574629">
        <w:t xml:space="preserve"> ofrecida</w:t>
      </w:r>
      <w:r w:rsidR="00574629">
        <w:t>s</w:t>
      </w:r>
      <w:r w:rsidR="00574629" w:rsidRPr="00574629">
        <w:t xml:space="preserve"> por las representantes, </w:t>
      </w:r>
      <w:r w:rsidR="00240A37">
        <w:rPr>
          <w:lang w:val="es-ES_tradnl"/>
        </w:rPr>
        <w:t>d</w:t>
      </w:r>
      <w:r w:rsidR="00E97AA8" w:rsidRPr="002C5F94">
        <w:rPr>
          <w:lang w:val="es-ES_tradnl"/>
        </w:rPr>
        <w:t xml:space="preserve">) </w:t>
      </w:r>
      <w:r w:rsidR="00FF651B" w:rsidRPr="00574629">
        <w:t xml:space="preserve">la admisibilidad de </w:t>
      </w:r>
      <w:r w:rsidR="00FF651B">
        <w:t>l</w:t>
      </w:r>
      <w:r w:rsidR="00FF651B" w:rsidRPr="00574629">
        <w:t xml:space="preserve">a declaración pericial </w:t>
      </w:r>
      <w:r w:rsidR="00FF651B" w:rsidRPr="000C00AC">
        <w:t>ofrecida por la Comisión;</w:t>
      </w:r>
      <w:r w:rsidR="00BA1C2A">
        <w:t xml:space="preserve"> </w:t>
      </w:r>
      <w:r w:rsidR="00240A37">
        <w:t>e</w:t>
      </w:r>
      <w:r w:rsidR="00FF651B" w:rsidRPr="000C00AC">
        <w:t xml:space="preserve">) </w:t>
      </w:r>
      <w:r w:rsidR="002C5F94" w:rsidRPr="000C00AC">
        <w:rPr>
          <w:lang w:val="es-ES_tradnl"/>
        </w:rPr>
        <w:t>observaciones a la</w:t>
      </w:r>
      <w:r w:rsidR="00C807A8">
        <w:rPr>
          <w:lang w:val="es-ES_tradnl"/>
        </w:rPr>
        <w:t>s declaraciones</w:t>
      </w:r>
      <w:r w:rsidR="002C5F94" w:rsidRPr="000C00AC">
        <w:rPr>
          <w:lang w:val="es-ES_tradnl"/>
        </w:rPr>
        <w:t xml:space="preserve"> ofrecida</w:t>
      </w:r>
      <w:r w:rsidR="00C807A8">
        <w:rPr>
          <w:lang w:val="es-ES_tradnl"/>
        </w:rPr>
        <w:t>s</w:t>
      </w:r>
      <w:r w:rsidR="002C5F94" w:rsidRPr="000C00AC">
        <w:rPr>
          <w:lang w:val="es-ES_tradnl"/>
        </w:rPr>
        <w:t xml:space="preserve"> por las representantes</w:t>
      </w:r>
      <w:r w:rsidR="00507CF0">
        <w:rPr>
          <w:lang w:val="es-ES_tradnl"/>
        </w:rPr>
        <w:t xml:space="preserve"> y el Estado, y</w:t>
      </w:r>
      <w:r w:rsidR="00E97AA8" w:rsidRPr="000C00AC">
        <w:rPr>
          <w:lang w:val="es-ES_tradnl"/>
        </w:rPr>
        <w:t xml:space="preserve"> </w:t>
      </w:r>
      <w:r w:rsidR="00240A37">
        <w:rPr>
          <w:lang w:val="es-ES_tradnl"/>
        </w:rPr>
        <w:t>f</w:t>
      </w:r>
      <w:r w:rsidR="00E97AA8" w:rsidRPr="000C00AC">
        <w:rPr>
          <w:lang w:val="es-ES_tradnl"/>
        </w:rPr>
        <w:t xml:space="preserve">) </w:t>
      </w:r>
      <w:r w:rsidR="00E97AA8" w:rsidRPr="000C00AC">
        <w:rPr>
          <w:rFonts w:eastAsia="Calibri" w:cs="Verdana"/>
        </w:rPr>
        <w:t xml:space="preserve">la aplicación del Fondo de Asistencia Legal de Víctimas ante la Corte. </w:t>
      </w:r>
    </w:p>
    <w:p w14:paraId="74F3FCE6" w14:textId="77777777" w:rsidR="00766DD3" w:rsidRPr="00C41CF4" w:rsidRDefault="00766DD3" w:rsidP="00174B71"/>
    <w:p w14:paraId="587CCF27" w14:textId="3ED80D70" w:rsidR="002E27BE" w:rsidRPr="00C41CF4" w:rsidRDefault="00434006" w:rsidP="00C41CF4">
      <w:pPr>
        <w:pStyle w:val="Ttulo1"/>
        <w:tabs>
          <w:tab w:val="left" w:pos="1134"/>
        </w:tabs>
        <w:ind w:hanging="153"/>
      </w:pPr>
      <w:r w:rsidRPr="00C41CF4">
        <w:t xml:space="preserve">Desistimiento </w:t>
      </w:r>
      <w:r w:rsidR="009167EA" w:rsidRPr="00C41CF4">
        <w:t>tácito de un declarante ofrecido</w:t>
      </w:r>
      <w:r w:rsidR="002E27BE" w:rsidRPr="00C41CF4">
        <w:t xml:space="preserve"> por </w:t>
      </w:r>
      <w:r w:rsidR="0077745B" w:rsidRPr="00C41CF4">
        <w:t>las representantes</w:t>
      </w:r>
    </w:p>
    <w:p w14:paraId="543CF0FE" w14:textId="77777777" w:rsidR="00E97AA8" w:rsidRPr="00C41CF4" w:rsidRDefault="00E97AA8" w:rsidP="00E97AA8"/>
    <w:p w14:paraId="3353BE92" w14:textId="706AA3BB" w:rsidR="00E97AA8" w:rsidRPr="00E97AA8" w:rsidRDefault="00E97AA8" w:rsidP="00C41CF4">
      <w:pPr>
        <w:pStyle w:val="Sinespaciado"/>
      </w:pPr>
      <w:r w:rsidRPr="00C41CF4">
        <w:t>El Presidente constata que, en el escrito de solicitudes y argumentos, las representantes ofrecieron la declaración pericial de un “</w:t>
      </w:r>
      <w:r w:rsidRPr="00C41CF4">
        <w:rPr>
          <w:rFonts w:cs="Cambria-Bold"/>
          <w:bCs w:val="0"/>
        </w:rPr>
        <w:t>e</w:t>
      </w:r>
      <w:r w:rsidRPr="00C41CF4">
        <w:rPr>
          <w:rFonts w:cs="Cambria-Bold"/>
        </w:rPr>
        <w:t>xperto/a en salud mental</w:t>
      </w:r>
      <w:r w:rsidRPr="00C41CF4">
        <w:rPr>
          <w:rFonts w:cs="Cambria-Bold"/>
          <w:bCs w:val="0"/>
        </w:rPr>
        <w:t>”</w:t>
      </w:r>
      <w:r w:rsidRPr="00C41CF4">
        <w:rPr>
          <w:rFonts w:cs="Cambria-Bold"/>
        </w:rPr>
        <w:t>,</w:t>
      </w:r>
      <w:r w:rsidRPr="00C41CF4">
        <w:rPr>
          <w:rFonts w:cs="Cambria-Bold"/>
          <w:b/>
        </w:rPr>
        <w:t xml:space="preserve"> </w:t>
      </w:r>
      <w:r w:rsidRPr="00C41CF4">
        <w:t>sin que fuera posteriormente individualizada ni confirmada en su lista definitiva de declarantes. De conformidad con el artículo 46.1 del Reglamento, el momento procesal oportuno para que las partes confirmen o desistan de las declaraciones ofrecidas en su escrito de solicitudes y argumentos o en su escrito de contestación es en</w:t>
      </w:r>
      <w:r w:rsidRPr="00E97AA8">
        <w:t xml:space="preserve"> la lista definitiva solicitada por el Tribunal. Por tanto, al no confirmar la declaraci</w:t>
      </w:r>
      <w:r w:rsidR="009649A4">
        <w:t>ón</w:t>
      </w:r>
      <w:r w:rsidRPr="00E97AA8">
        <w:t xml:space="preserve"> mencionada, </w:t>
      </w:r>
      <w:r w:rsidR="00C41CF4">
        <w:t xml:space="preserve">las </w:t>
      </w:r>
      <w:r w:rsidRPr="00E97AA8">
        <w:t>representante</w:t>
      </w:r>
      <w:r w:rsidR="00C41CF4">
        <w:t>s</w:t>
      </w:r>
      <w:r w:rsidRPr="00E97AA8">
        <w:t xml:space="preserve"> desisti</w:t>
      </w:r>
      <w:r w:rsidR="00C41CF4">
        <w:t>eron</w:t>
      </w:r>
      <w:r w:rsidRPr="00E97AA8">
        <w:t xml:space="preserve"> de la misma. En virtud de lo anterior, el Presidente toma nota de dicho desistimiento.</w:t>
      </w:r>
    </w:p>
    <w:p w14:paraId="0864409A" w14:textId="77777777" w:rsidR="00E97AA8" w:rsidRPr="0077745B" w:rsidRDefault="00E97AA8" w:rsidP="00C41CF4">
      <w:pPr>
        <w:spacing w:line="240" w:lineRule="auto"/>
      </w:pPr>
    </w:p>
    <w:p w14:paraId="65A9E5E3" w14:textId="656F87D6" w:rsidR="00C41CF4" w:rsidRDefault="00C41CF4" w:rsidP="00C41CF4">
      <w:pPr>
        <w:pStyle w:val="Ttulo1"/>
        <w:ind w:left="1134" w:hanging="567"/>
      </w:pPr>
      <w:r w:rsidRPr="00C41CF4">
        <w:t>Recusación respecto a la declaración pericial propuesta por el Estado</w:t>
      </w:r>
    </w:p>
    <w:p w14:paraId="2BA3980B" w14:textId="77777777" w:rsidR="00C41CF4" w:rsidRPr="007C03FD" w:rsidRDefault="00C41CF4" w:rsidP="00C41CF4">
      <w:pPr>
        <w:spacing w:line="240" w:lineRule="auto"/>
      </w:pPr>
    </w:p>
    <w:p w14:paraId="54C5747F" w14:textId="707A0FDF" w:rsidR="007C03FD" w:rsidRPr="00837140" w:rsidRDefault="007C03FD" w:rsidP="00174B71">
      <w:pPr>
        <w:pStyle w:val="Sinespaciado"/>
        <w:rPr>
          <w:lang w:val="es-MX"/>
        </w:rPr>
      </w:pPr>
      <w:r w:rsidRPr="007C03FD">
        <w:rPr>
          <w:lang w:val="es-MX"/>
        </w:rPr>
        <w:t xml:space="preserve">El </w:t>
      </w:r>
      <w:r w:rsidRPr="007C03FD">
        <w:rPr>
          <w:b/>
          <w:i/>
          <w:lang w:val="es-MX"/>
        </w:rPr>
        <w:t xml:space="preserve">Estado </w:t>
      </w:r>
      <w:r w:rsidRPr="007C03FD">
        <w:rPr>
          <w:lang w:val="es-MX"/>
        </w:rPr>
        <w:t>ofreció el peritaje de Luis Alberto Naldos Blanco quien declararía sobre los “</w:t>
      </w:r>
      <w:r w:rsidRPr="007C03FD">
        <w:t xml:space="preserve">aspectos relacionados a los procedimientos establecidos por la Policía Nacional del Perú en relación a la retención para efectos de identificación de Azul Rojas Marín de fecha 25 de febrero de 2008 y su concordancia con lo establecido en el artículo 205º del Nuevo Código Procesal Penal peruano”. </w:t>
      </w:r>
    </w:p>
    <w:p w14:paraId="5CF9E8B8" w14:textId="77777777" w:rsidR="00837140" w:rsidRPr="007C03FD" w:rsidRDefault="00837140" w:rsidP="00837140">
      <w:pPr>
        <w:pStyle w:val="Sinespaciado"/>
        <w:numPr>
          <w:ilvl w:val="0"/>
          <w:numId w:val="0"/>
        </w:numPr>
        <w:rPr>
          <w:lang w:val="es-MX"/>
        </w:rPr>
      </w:pPr>
    </w:p>
    <w:p w14:paraId="50A825F8" w14:textId="520CAE3B" w:rsidR="00837140" w:rsidRPr="00D2294E" w:rsidRDefault="00174B71" w:rsidP="00837140">
      <w:pPr>
        <w:pStyle w:val="Sinespaciado"/>
        <w:rPr>
          <w:lang w:val="es-MX"/>
        </w:rPr>
      </w:pPr>
      <w:r w:rsidRPr="00D2294E">
        <w:rPr>
          <w:lang w:val="es-MX"/>
        </w:rPr>
        <w:t xml:space="preserve">Las </w:t>
      </w:r>
      <w:r w:rsidRPr="00D2294E">
        <w:rPr>
          <w:b/>
          <w:i/>
          <w:lang w:val="es-MX"/>
        </w:rPr>
        <w:t>representantes</w:t>
      </w:r>
      <w:r w:rsidR="007C03FD" w:rsidRPr="00D2294E">
        <w:rPr>
          <w:b/>
          <w:i/>
          <w:lang w:val="es-MX"/>
        </w:rPr>
        <w:t xml:space="preserve"> </w:t>
      </w:r>
      <w:r w:rsidR="00D2294E">
        <w:rPr>
          <w:lang w:val="es-MX"/>
        </w:rPr>
        <w:t>recusaron</w:t>
      </w:r>
      <w:r w:rsidR="007C03FD" w:rsidRPr="00D2294E">
        <w:rPr>
          <w:lang w:val="es-MX"/>
        </w:rPr>
        <w:t xml:space="preserve"> al señor Naldos Blanco bajo la causal prevista en el artículo 48.1.c </w:t>
      </w:r>
      <w:r w:rsidR="007C03FD" w:rsidRPr="00837140">
        <w:t>del Reglamento, indicando que el perito propuesto “pertenece a la misma unidad específica del Estado cuya actuación forma la controversia principal del caso</w:t>
      </w:r>
      <w:r w:rsidR="00837140" w:rsidRPr="00837140">
        <w:t>”. En particular señalaron que el señor Naldos Blanco</w:t>
      </w:r>
      <w:r w:rsidRPr="00D2294E">
        <w:rPr>
          <w:lang w:val="es-MX"/>
        </w:rPr>
        <w:t xml:space="preserve"> “ha estado vinculado profesionalmente con el Ministerio de Interior hasta el mes de octubre de 2018, al cual pertenece la Policía Nacional del Perú, siendo esta entidad la responsable de la alegada detención arbitraria de Azul Rojas Marín, así como de la tortura y otras violaciones denunciadas”. </w:t>
      </w:r>
    </w:p>
    <w:p w14:paraId="78950176" w14:textId="77777777" w:rsidR="00D2294E" w:rsidRPr="00D2294E" w:rsidRDefault="00D2294E" w:rsidP="00D2294E">
      <w:pPr>
        <w:pStyle w:val="Sinespaciado"/>
        <w:numPr>
          <w:ilvl w:val="0"/>
          <w:numId w:val="0"/>
        </w:numPr>
        <w:rPr>
          <w:lang w:val="es-MX"/>
        </w:rPr>
      </w:pPr>
    </w:p>
    <w:p w14:paraId="102B4D27" w14:textId="793EF943" w:rsidR="00CD48D7" w:rsidRPr="00D2294E" w:rsidRDefault="00837140" w:rsidP="00D2294E">
      <w:pPr>
        <w:pStyle w:val="Sinespaciado"/>
        <w:rPr>
          <w:lang w:val="es-MX"/>
        </w:rPr>
      </w:pPr>
      <w:r>
        <w:t>Respondiendo al traslado de la recusación, el señ</w:t>
      </w:r>
      <w:r w:rsidR="00CD48D7">
        <w:t xml:space="preserve">or Naldos Blanco manifestó que la Oficina de Integridad Institucional, en la que trabajó como Director General, “es el órgano encargado de las funciones de supervisión, investigación y control de asuntos disciplinarios y funcionales vinculados a los órganos del Sector Interior incluida la Policía Nacional del Perú”. Explicó que la “Oficina General de Integridad Institucional del Sector Interior no tiene relación de subordinación funcional con la Policía Nacional del Perú”. Por el contrario esta oficina “tiene facultades de investigación sobre los más altos estamentos policiales, incluyendo el propio Comandante General de la Policía Nacional”. </w:t>
      </w:r>
    </w:p>
    <w:p w14:paraId="3BCC77E6" w14:textId="77777777" w:rsidR="00837140" w:rsidRDefault="00837140" w:rsidP="00837140">
      <w:pPr>
        <w:pStyle w:val="Sinespaciado"/>
        <w:rPr>
          <w:lang w:val="es-ES"/>
        </w:rPr>
      </w:pPr>
      <w:bookmarkStart w:id="2" w:name="_Ref532806969"/>
      <w:r>
        <w:rPr>
          <w:lang w:val="es-ES"/>
        </w:rPr>
        <w:t>D</w:t>
      </w:r>
      <w:r w:rsidRPr="00E949E1">
        <w:rPr>
          <w:lang w:val="es-ES"/>
        </w:rPr>
        <w:t>e con</w:t>
      </w:r>
      <w:r>
        <w:rPr>
          <w:lang w:val="es-ES"/>
        </w:rPr>
        <w:t>formidad con el artículo 48.1.c</w:t>
      </w:r>
      <w:r w:rsidRPr="00E949E1">
        <w:rPr>
          <w:lang w:val="es-ES"/>
        </w:rPr>
        <w:t xml:space="preserve"> del Reglamento</w:t>
      </w:r>
      <w:r w:rsidRPr="00E949E1">
        <w:rPr>
          <w:rFonts w:cs="Verdana"/>
          <w:vertAlign w:val="superscript"/>
          <w:lang w:val="es-ES"/>
        </w:rPr>
        <w:footnoteReference w:id="1"/>
      </w:r>
      <w:r w:rsidRPr="00E949E1">
        <w:rPr>
          <w:lang w:val="es-ES"/>
        </w:rPr>
        <w:t xml:space="preserve">, para que la recusación de un perito sobre esa base resulte procedente debe estar condicionada a que concurran dos supuestos: la existencia de un vínculo determinado del perito con la parte proponente y que, </w:t>
      </w:r>
      <w:r w:rsidRPr="00E949E1">
        <w:rPr>
          <w:lang w:val="es-ES"/>
        </w:rPr>
        <w:lastRenderedPageBreak/>
        <w:t>adicionalmente, esa relación, a criterio del Tribunal, afecte su imparcialidad</w:t>
      </w:r>
      <w:r w:rsidRPr="00E949E1">
        <w:rPr>
          <w:rStyle w:val="Refdenotaalpie"/>
          <w:lang w:val="es-ES"/>
        </w:rPr>
        <w:footnoteReference w:id="2"/>
      </w:r>
      <w:r w:rsidRPr="009B5283">
        <w:rPr>
          <w:lang w:val="es-ES"/>
        </w:rPr>
        <w:t>.</w:t>
      </w:r>
      <w:bookmarkEnd w:id="2"/>
    </w:p>
    <w:p w14:paraId="506862C9" w14:textId="77777777" w:rsidR="00837140" w:rsidRDefault="00837140" w:rsidP="00837140">
      <w:pPr>
        <w:pStyle w:val="Prrafodelista"/>
        <w:rPr>
          <w:highlight w:val="yellow"/>
        </w:rPr>
      </w:pPr>
    </w:p>
    <w:p w14:paraId="06435441" w14:textId="7292A946" w:rsidR="00837140" w:rsidRPr="00E949E1" w:rsidRDefault="00837140" w:rsidP="00837140">
      <w:pPr>
        <w:pStyle w:val="Sinespaciado"/>
        <w:rPr>
          <w:lang w:val="es-ES"/>
        </w:rPr>
      </w:pPr>
      <w:bookmarkStart w:id="3" w:name="_Ref532806970"/>
      <w:r w:rsidRPr="00E949E1">
        <w:rPr>
          <w:lang w:val="es-ES"/>
        </w:rPr>
        <w:t xml:space="preserve">El Presidente nota que </w:t>
      </w:r>
      <w:r>
        <w:rPr>
          <w:lang w:val="es-ES"/>
        </w:rPr>
        <w:t>las</w:t>
      </w:r>
      <w:r w:rsidRPr="00E949E1">
        <w:rPr>
          <w:lang w:val="es-ES"/>
        </w:rPr>
        <w:t xml:space="preserve"> representante</w:t>
      </w:r>
      <w:r>
        <w:rPr>
          <w:lang w:val="es-ES"/>
        </w:rPr>
        <w:t>s</w:t>
      </w:r>
      <w:r w:rsidRPr="00E949E1">
        <w:rPr>
          <w:lang w:val="es-ES"/>
        </w:rPr>
        <w:t xml:space="preserve"> fundament</w:t>
      </w:r>
      <w:r>
        <w:rPr>
          <w:lang w:val="es-ES"/>
        </w:rPr>
        <w:t>aron</w:t>
      </w:r>
      <w:r w:rsidRPr="00E949E1">
        <w:rPr>
          <w:lang w:val="es-ES"/>
        </w:rPr>
        <w:t xml:space="preserve"> la recusación en </w:t>
      </w:r>
      <w:r>
        <w:rPr>
          <w:lang w:val="es-ES"/>
        </w:rPr>
        <w:t>que la Policía Nacional del Perú perten</w:t>
      </w:r>
      <w:r w:rsidR="00EE1C2C">
        <w:rPr>
          <w:lang w:val="es-ES"/>
        </w:rPr>
        <w:t>e</w:t>
      </w:r>
      <w:r>
        <w:rPr>
          <w:lang w:val="es-ES"/>
        </w:rPr>
        <w:t>ce al Ministerio del Interior, institución en la cual trabajó el señor Naldos Blanco de marzo de 2017 a octubre de 2018 como Director General de Integridad Institucional</w:t>
      </w:r>
      <w:r>
        <w:rPr>
          <w:rStyle w:val="Refdenotaalpie"/>
          <w:lang w:val="es-ES"/>
        </w:rPr>
        <w:footnoteReference w:id="3"/>
      </w:r>
      <w:r>
        <w:rPr>
          <w:lang w:val="es-ES"/>
        </w:rPr>
        <w:t xml:space="preserve">. </w:t>
      </w:r>
      <w:r w:rsidRPr="00E949E1">
        <w:rPr>
          <w:lang w:val="es-ES"/>
        </w:rPr>
        <w:t xml:space="preserve">Al respecto, es pertinente reiterar que el hecho de que un perito haya ocupado u ocupe un cargo público, no constituye </w:t>
      </w:r>
      <w:r w:rsidRPr="00E949E1">
        <w:rPr>
          <w:i/>
          <w:lang w:val="es-ES"/>
        </w:rPr>
        <w:t>per se</w:t>
      </w:r>
      <w:r w:rsidRPr="00E949E1">
        <w:rPr>
          <w:lang w:val="es-ES"/>
        </w:rPr>
        <w:t xml:space="preserve"> una causal de impedimento</w:t>
      </w:r>
      <w:r w:rsidRPr="00E949E1">
        <w:rPr>
          <w:rStyle w:val="Refdenotaalpie"/>
          <w:lang w:val="es-ES"/>
        </w:rPr>
        <w:footnoteReference w:id="4"/>
      </w:r>
      <w:r w:rsidRPr="00E949E1">
        <w:rPr>
          <w:lang w:val="es-ES"/>
        </w:rPr>
        <w:t>, sino que corresponde demostrar que dicho vínculo o relación, “a juicio de la Corte”, pueda “afectar su imparcialidad” o que la persona tenga un interés directo que pueda “afectar su imparcialidad” al emitir una opinión técnica en el presente caso</w:t>
      </w:r>
      <w:r w:rsidRPr="00E949E1">
        <w:rPr>
          <w:rStyle w:val="Refdenotaalpie"/>
          <w:lang w:val="es-ES"/>
        </w:rPr>
        <w:footnoteReference w:id="5"/>
      </w:r>
      <w:r w:rsidRPr="00E949E1">
        <w:rPr>
          <w:lang w:val="es-ES"/>
        </w:rPr>
        <w:t>.</w:t>
      </w:r>
      <w:bookmarkEnd w:id="3"/>
    </w:p>
    <w:p w14:paraId="6003F0BE" w14:textId="77777777" w:rsidR="00837140" w:rsidRPr="00E949E1" w:rsidRDefault="00837140" w:rsidP="00837140">
      <w:pPr>
        <w:pStyle w:val="Sinespaciado"/>
        <w:numPr>
          <w:ilvl w:val="0"/>
          <w:numId w:val="0"/>
        </w:numPr>
        <w:rPr>
          <w:lang w:val="es-ES"/>
        </w:rPr>
      </w:pPr>
    </w:p>
    <w:p w14:paraId="12378C88" w14:textId="7A32C78C" w:rsidR="00837140" w:rsidRDefault="00837140" w:rsidP="00837140">
      <w:pPr>
        <w:pStyle w:val="Sinespaciado"/>
        <w:rPr>
          <w:lang w:val="es-ES"/>
        </w:rPr>
      </w:pPr>
      <w:r>
        <w:rPr>
          <w:lang w:val="es-ES"/>
        </w:rPr>
        <w:t>No se desprende de la información aportada que el señor</w:t>
      </w:r>
      <w:r w:rsidRPr="009D194E">
        <w:rPr>
          <w:lang w:val="es-ES"/>
        </w:rPr>
        <w:t xml:space="preserve"> </w:t>
      </w:r>
      <w:r w:rsidR="00EE1C2C">
        <w:rPr>
          <w:lang w:val="es-ES"/>
        </w:rPr>
        <w:t xml:space="preserve">Naldos Blanco </w:t>
      </w:r>
      <w:r w:rsidR="009649A4">
        <w:rPr>
          <w:lang w:val="es-ES"/>
        </w:rPr>
        <w:t xml:space="preserve">tenga un interés directo o que </w:t>
      </w:r>
      <w:r w:rsidRPr="009D194E">
        <w:rPr>
          <w:lang w:val="es-ES"/>
        </w:rPr>
        <w:t>tu</w:t>
      </w:r>
      <w:r>
        <w:rPr>
          <w:lang w:val="es-ES"/>
        </w:rPr>
        <w:t xml:space="preserve">viese </w:t>
      </w:r>
      <w:r>
        <w:t xml:space="preserve">algún tipo de relación con o participación en los hechos objeto del presente caso, de modo tal que su imparcialidad se vea afectada. Por tanto, el Presidente desestima la recusación presentada por </w:t>
      </w:r>
      <w:r w:rsidR="00C807A8">
        <w:t xml:space="preserve">las </w:t>
      </w:r>
      <w:r>
        <w:t>representante</w:t>
      </w:r>
      <w:r w:rsidR="00C807A8">
        <w:t>s</w:t>
      </w:r>
      <w:r>
        <w:t>.</w:t>
      </w:r>
    </w:p>
    <w:p w14:paraId="40FDA91E" w14:textId="77777777" w:rsidR="00174B71" w:rsidRPr="00174B71" w:rsidRDefault="00174B71" w:rsidP="00174B71">
      <w:pPr>
        <w:pStyle w:val="Sinespaciado"/>
        <w:numPr>
          <w:ilvl w:val="0"/>
          <w:numId w:val="0"/>
        </w:numPr>
        <w:rPr>
          <w:highlight w:val="yellow"/>
        </w:rPr>
      </w:pPr>
    </w:p>
    <w:p w14:paraId="05D30E7D" w14:textId="36D178AE" w:rsidR="0036290C" w:rsidRPr="00174B71" w:rsidRDefault="00174B71" w:rsidP="00174B71">
      <w:pPr>
        <w:pStyle w:val="Ttulo1"/>
        <w:ind w:left="1134" w:hanging="567"/>
        <w:rPr>
          <w:rFonts w:cs="Arial"/>
        </w:rPr>
      </w:pPr>
      <w:r w:rsidRPr="00174B71">
        <w:rPr>
          <w:lang w:val="es-ES_tradnl"/>
        </w:rPr>
        <w:t xml:space="preserve">Admisibilidad de </w:t>
      </w:r>
      <w:r w:rsidR="00574629">
        <w:rPr>
          <w:lang w:val="es-ES_tradnl"/>
        </w:rPr>
        <w:t>dos</w:t>
      </w:r>
      <w:r w:rsidRPr="00174B71">
        <w:rPr>
          <w:lang w:val="es-ES_tradnl"/>
        </w:rPr>
        <w:t xml:space="preserve"> declaraci</w:t>
      </w:r>
      <w:r w:rsidR="00574629">
        <w:rPr>
          <w:lang w:val="es-ES_tradnl"/>
        </w:rPr>
        <w:t>ones</w:t>
      </w:r>
      <w:r w:rsidRPr="00174B71">
        <w:rPr>
          <w:lang w:val="es-ES_tradnl"/>
        </w:rPr>
        <w:t xml:space="preserve"> pericial</w:t>
      </w:r>
      <w:r w:rsidR="00574629">
        <w:rPr>
          <w:lang w:val="es-ES_tradnl"/>
        </w:rPr>
        <w:t>es</w:t>
      </w:r>
      <w:r w:rsidRPr="00174B71">
        <w:rPr>
          <w:lang w:val="es-ES_tradnl"/>
        </w:rPr>
        <w:t xml:space="preserve"> ofrecida</w:t>
      </w:r>
      <w:r w:rsidR="00574629">
        <w:rPr>
          <w:lang w:val="es-ES_tradnl"/>
        </w:rPr>
        <w:t>s</w:t>
      </w:r>
      <w:r w:rsidRPr="00174B71">
        <w:rPr>
          <w:lang w:val="es-ES_tradnl"/>
        </w:rPr>
        <w:t xml:space="preserve"> por las representantes</w:t>
      </w:r>
    </w:p>
    <w:p w14:paraId="3B840E0E" w14:textId="77777777" w:rsidR="0036290C" w:rsidRPr="0036290C" w:rsidRDefault="0036290C" w:rsidP="00E97AA8"/>
    <w:p w14:paraId="2CA2D1E5" w14:textId="338C799E" w:rsidR="00174B71" w:rsidRPr="00174B71" w:rsidRDefault="00174B71" w:rsidP="00174B71">
      <w:pPr>
        <w:pStyle w:val="Sinespaciado"/>
      </w:pPr>
      <w:r>
        <w:t xml:space="preserve">Las </w:t>
      </w:r>
      <w:r>
        <w:rPr>
          <w:b/>
          <w:i/>
        </w:rPr>
        <w:t>representantes</w:t>
      </w:r>
      <w:r w:rsidRPr="0084531D">
        <w:t xml:space="preserve">, en su escrito de </w:t>
      </w:r>
      <w:r>
        <w:t>solicitudes y argumentos</w:t>
      </w:r>
      <w:r w:rsidRPr="0084531D">
        <w:t>, ofreci</w:t>
      </w:r>
      <w:r>
        <w:t>eron</w:t>
      </w:r>
      <w:r w:rsidRPr="0084531D">
        <w:t xml:space="preserve"> la declaración de</w:t>
      </w:r>
      <w:r>
        <w:t xml:space="preserve"> Carlos Zelada y confirmaron dicho ofrecimiento en su lista definitiva de declarantes. </w:t>
      </w:r>
      <w:r w:rsidRPr="00174B71">
        <w:rPr>
          <w:lang w:val="es-MX"/>
        </w:rPr>
        <w:t xml:space="preserve">El </w:t>
      </w:r>
      <w:r w:rsidRPr="00BA1C2A">
        <w:rPr>
          <w:b/>
          <w:i/>
          <w:lang w:val="es-MX"/>
        </w:rPr>
        <w:t>Estado</w:t>
      </w:r>
      <w:r w:rsidRPr="00174B71">
        <w:rPr>
          <w:lang w:val="es-MX"/>
        </w:rPr>
        <w:t xml:space="preserve"> alegó que l</w:t>
      </w:r>
      <w:r w:rsidR="00E74D80">
        <w:rPr>
          <w:lang w:val="es-MX"/>
        </w:rPr>
        <w:t>a</w:t>
      </w:r>
      <w:r w:rsidRPr="00174B71">
        <w:rPr>
          <w:lang w:val="es-MX"/>
        </w:rPr>
        <w:t xml:space="preserve">s representantes no aportaron la hoja de vida del perito ofrecido. </w:t>
      </w:r>
    </w:p>
    <w:p w14:paraId="4D0F604F" w14:textId="77777777" w:rsidR="00174B71" w:rsidRPr="0084531D" w:rsidRDefault="00174B71" w:rsidP="00174B71">
      <w:pPr>
        <w:pStyle w:val="Sinespaciado"/>
        <w:numPr>
          <w:ilvl w:val="0"/>
          <w:numId w:val="0"/>
        </w:numPr>
      </w:pPr>
    </w:p>
    <w:p w14:paraId="0E188A84" w14:textId="77777777" w:rsidR="009F4D08" w:rsidRDefault="00174B71" w:rsidP="009F4D08">
      <w:pPr>
        <w:pStyle w:val="Sinespaciado"/>
      </w:pPr>
      <w:r w:rsidRPr="0084531D">
        <w:t xml:space="preserve">En ese sentido, según lo previsto por el artículo </w:t>
      </w:r>
      <w:r>
        <w:t>40</w:t>
      </w:r>
      <w:r w:rsidRPr="0084531D">
        <w:t xml:space="preserve"> del Reglamento, </w:t>
      </w:r>
      <w:r w:rsidRPr="0036290C">
        <w:t>“[e]l escrito de solicitudes, argumentos y pruebas deberá contener: […]</w:t>
      </w:r>
      <w:r>
        <w:t xml:space="preserve"> </w:t>
      </w:r>
      <w:r w:rsidRPr="0036290C">
        <w:t>la individualización de declarantes y el objeto de su declaración. En el caso de los peritos, deberán además remitir su hoja de vida y sus datos de contacto”.</w:t>
      </w:r>
      <w:r>
        <w:t xml:space="preserve"> </w:t>
      </w:r>
      <w:r w:rsidRPr="0084531D">
        <w:t xml:space="preserve">En el presente caso, el Presidente advierte que </w:t>
      </w:r>
      <w:r>
        <w:t xml:space="preserve">las representantes no remitieron </w:t>
      </w:r>
      <w:r w:rsidRPr="0084531D">
        <w:t>la hoja de vida del perito en el momento procesal oportuno</w:t>
      </w:r>
      <w:r>
        <w:t xml:space="preserve">. En consecuencia, el ofrecimiento de dicha </w:t>
      </w:r>
      <w:r w:rsidRPr="0084531D">
        <w:t>declaración es inadmisible</w:t>
      </w:r>
      <w:r w:rsidR="00507CF0">
        <w:rPr>
          <w:rStyle w:val="Refdenotaalpie"/>
        </w:rPr>
        <w:footnoteReference w:id="6"/>
      </w:r>
      <w:r w:rsidRPr="0084531D">
        <w:t>.</w:t>
      </w:r>
    </w:p>
    <w:p w14:paraId="6FD359CA" w14:textId="77777777" w:rsidR="009F4D08" w:rsidRDefault="009F4D08" w:rsidP="009F4D08">
      <w:pPr>
        <w:pStyle w:val="Sinespaciado"/>
        <w:numPr>
          <w:ilvl w:val="0"/>
          <w:numId w:val="0"/>
        </w:numPr>
      </w:pPr>
    </w:p>
    <w:p w14:paraId="3C608F5C" w14:textId="188C1EAF" w:rsidR="00574629" w:rsidRPr="009F4D08" w:rsidRDefault="00574629" w:rsidP="009F4D08">
      <w:pPr>
        <w:pStyle w:val="Sinespaciado"/>
        <w:rPr>
          <w:rFonts w:cs="Cambria Bold Italic"/>
          <w:color w:val="000000"/>
          <w:lang w:val="es-ES_tradnl"/>
        </w:rPr>
      </w:pPr>
      <w:r w:rsidRPr="00574629">
        <w:t>Por otra parte,</w:t>
      </w:r>
      <w:r w:rsidR="00301F23">
        <w:t xml:space="preserve"> en el escrito de solicitudes y argumentos las </w:t>
      </w:r>
      <w:r w:rsidR="00301F23" w:rsidRPr="009F4D08">
        <w:rPr>
          <w:b/>
          <w:i/>
        </w:rPr>
        <w:t xml:space="preserve">representantes </w:t>
      </w:r>
      <w:r w:rsidR="00301F23">
        <w:t xml:space="preserve">propusieron la </w:t>
      </w:r>
      <w:r w:rsidR="00301F23" w:rsidRPr="009F4D08">
        <w:rPr>
          <w:lang w:val="es-ES_tradnl"/>
        </w:rPr>
        <w:t xml:space="preserve">declaración de un “experto/a” quien declararía sobre </w:t>
      </w:r>
      <w:r w:rsidR="00301F23" w:rsidRPr="009F4D08">
        <w:rPr>
          <w:rFonts w:cs="Cambria Bold Italic"/>
          <w:color w:val="000000"/>
          <w:lang w:val="es-ES_tradnl"/>
        </w:rPr>
        <w:t>a) los estándares de debida diligencia con perspectiva de género a la luz del derecho internacional en la investigación de casos de violencia contra personas LGBTI; b) las violaciones de debido proceso en el presente caso a la luz de dichos</w:t>
      </w:r>
      <w:r w:rsidR="009F4D08" w:rsidRPr="009F4D08">
        <w:rPr>
          <w:rFonts w:cs="Cambria Bold Italic"/>
          <w:color w:val="000000"/>
          <w:lang w:val="es-ES_tradnl"/>
        </w:rPr>
        <w:t xml:space="preserve"> estándares; c) posibles medidas de reparación”</w:t>
      </w:r>
      <w:r w:rsidR="009F4D08">
        <w:rPr>
          <w:rFonts w:cs="Cambria Bold Italic"/>
          <w:color w:val="000000"/>
          <w:lang w:val="es-ES_tradnl"/>
        </w:rPr>
        <w:t xml:space="preserve">. La hoja de vida de Mauricio Noguera fue </w:t>
      </w:r>
      <w:r w:rsidR="009F4D08" w:rsidRPr="004D24A4">
        <w:t>aportada junto con los anexos a dicho escrito el 20 de diciembre de 2018</w:t>
      </w:r>
      <w:r w:rsidR="009F4D08">
        <w:rPr>
          <w:rStyle w:val="Refdenotaalpie"/>
        </w:rPr>
        <w:footnoteReference w:id="7"/>
      </w:r>
      <w:r w:rsidR="009F4D08">
        <w:t xml:space="preserve">. </w:t>
      </w:r>
      <w:r w:rsidR="009F4D08">
        <w:rPr>
          <w:rFonts w:cs="Cambria Bold Italic"/>
          <w:color w:val="000000"/>
          <w:lang w:val="es-ES_tradnl"/>
        </w:rPr>
        <w:t>E</w:t>
      </w:r>
      <w:r w:rsidRPr="009F4D08">
        <w:rPr>
          <w:rFonts w:cs="Arial"/>
          <w:lang w:val="es-MX"/>
        </w:rPr>
        <w:t xml:space="preserve">l </w:t>
      </w:r>
      <w:r w:rsidRPr="009F4D08">
        <w:rPr>
          <w:rFonts w:cs="Arial"/>
          <w:b/>
          <w:i/>
          <w:lang w:val="es-MX"/>
        </w:rPr>
        <w:t>Estado</w:t>
      </w:r>
      <w:r w:rsidRPr="009F4D08">
        <w:rPr>
          <w:rFonts w:cs="Arial"/>
          <w:i/>
          <w:lang w:val="es-MX"/>
        </w:rPr>
        <w:t xml:space="preserve"> </w:t>
      </w:r>
      <w:r w:rsidRPr="009F4D08">
        <w:rPr>
          <w:rFonts w:cs="Arial"/>
          <w:lang w:val="es-MX"/>
        </w:rPr>
        <w:t xml:space="preserve">señaló respecto a </w:t>
      </w:r>
      <w:r w:rsidR="009F4D08">
        <w:rPr>
          <w:rFonts w:cs="Arial"/>
          <w:lang w:val="es-MX"/>
        </w:rPr>
        <w:t xml:space="preserve">esta </w:t>
      </w:r>
      <w:r w:rsidRPr="009F4D08">
        <w:rPr>
          <w:rFonts w:cs="Arial"/>
          <w:lang w:val="es-MX"/>
        </w:rPr>
        <w:t>declaración</w:t>
      </w:r>
      <w:r w:rsidR="00C807A8" w:rsidRPr="009F4D08">
        <w:rPr>
          <w:rFonts w:cs="Arial"/>
          <w:lang w:val="es-MX"/>
        </w:rPr>
        <w:t xml:space="preserve"> pericial</w:t>
      </w:r>
      <w:r w:rsidRPr="009F4D08">
        <w:rPr>
          <w:rFonts w:cs="Arial"/>
          <w:lang w:val="es-MX"/>
        </w:rPr>
        <w:t xml:space="preserve"> que no fue </w:t>
      </w:r>
      <w:r w:rsidRPr="009F4D08">
        <w:rPr>
          <w:rFonts w:cs="Arial"/>
          <w:lang w:val="es-MX"/>
        </w:rPr>
        <w:lastRenderedPageBreak/>
        <w:t>individualizad</w:t>
      </w:r>
      <w:r w:rsidR="00CD3750">
        <w:rPr>
          <w:rFonts w:cs="Arial"/>
          <w:lang w:val="es-MX"/>
        </w:rPr>
        <w:t>a</w:t>
      </w:r>
      <w:r w:rsidRPr="009F4D08">
        <w:rPr>
          <w:rFonts w:cs="Arial"/>
          <w:lang w:val="es-MX"/>
        </w:rPr>
        <w:t xml:space="preserve"> en el escrito de solicitudes y argumentos. </w:t>
      </w:r>
    </w:p>
    <w:p w14:paraId="47829AA9" w14:textId="77777777" w:rsidR="00574629" w:rsidRPr="004D24A4" w:rsidRDefault="00574629" w:rsidP="00574629">
      <w:pPr>
        <w:pStyle w:val="Sinespaciado"/>
        <w:numPr>
          <w:ilvl w:val="0"/>
          <w:numId w:val="0"/>
        </w:numPr>
      </w:pPr>
    </w:p>
    <w:p w14:paraId="74B0E586" w14:textId="05A6DDCA" w:rsidR="00574629" w:rsidRPr="004D24A4" w:rsidRDefault="00F81D74" w:rsidP="00E74D80">
      <w:pPr>
        <w:pStyle w:val="Sinespaciado"/>
      </w:pPr>
      <w:r w:rsidRPr="004D24A4">
        <w:t xml:space="preserve">Esta Presidencia advierte que, si bien el nombre del perito no fue aportado en el escrito de solicitudes y argumentos, su hoja de vida fue aportada </w:t>
      </w:r>
      <w:r w:rsidR="004D24A4" w:rsidRPr="004D24A4">
        <w:t>junto con los anexos a dicho escrito dentro del plazo de 21 días para presentar anexos</w:t>
      </w:r>
      <w:r w:rsidR="00C807A8">
        <w:rPr>
          <w:rStyle w:val="Refdenotaalpie"/>
        </w:rPr>
        <w:footnoteReference w:id="8"/>
      </w:r>
      <w:r w:rsidR="004D24A4" w:rsidRPr="004D24A4">
        <w:t>. Por tanto, el ofrecimiento de dicha declaración es admisible.</w:t>
      </w:r>
    </w:p>
    <w:p w14:paraId="02FC9DBF" w14:textId="77777777" w:rsidR="00FF651B" w:rsidRPr="005643E0" w:rsidRDefault="00FF651B" w:rsidP="00507CF0">
      <w:pPr>
        <w:pStyle w:val="Sinespaciado"/>
        <w:numPr>
          <w:ilvl w:val="0"/>
          <w:numId w:val="0"/>
        </w:numPr>
      </w:pPr>
    </w:p>
    <w:p w14:paraId="44C390B7" w14:textId="0BDFBF52" w:rsidR="00D25B3E" w:rsidRDefault="00D25B3E" w:rsidP="00507CF0">
      <w:pPr>
        <w:pStyle w:val="Ttulo1"/>
        <w:ind w:left="1134" w:hanging="567"/>
      </w:pPr>
      <w:r>
        <w:t xml:space="preserve">Admisibilidad de </w:t>
      </w:r>
      <w:r w:rsidR="00574629">
        <w:t>la declaración</w:t>
      </w:r>
      <w:r>
        <w:t xml:space="preserve"> pericial ofrecida por la Comisión</w:t>
      </w:r>
    </w:p>
    <w:p w14:paraId="2F035A74" w14:textId="77777777" w:rsidR="005643E0" w:rsidRPr="00574629" w:rsidRDefault="005643E0" w:rsidP="00507CF0">
      <w:pPr>
        <w:spacing w:line="240" w:lineRule="auto"/>
        <w:rPr>
          <w:highlight w:val="yellow"/>
        </w:rPr>
      </w:pPr>
    </w:p>
    <w:p w14:paraId="2EB1D674" w14:textId="2600237A" w:rsidR="005643E0" w:rsidRPr="005643E0" w:rsidRDefault="005643E0" w:rsidP="00507CF0">
      <w:pPr>
        <w:pStyle w:val="Sinespaciado"/>
        <w:rPr>
          <w:color w:val="FF0000"/>
          <w:lang w:val="es-MX"/>
        </w:rPr>
      </w:pPr>
      <w:r w:rsidRPr="00264ECD">
        <w:rPr>
          <w:lang w:val="es-MX"/>
        </w:rPr>
        <w:t xml:space="preserve">La </w:t>
      </w:r>
      <w:r w:rsidRPr="00264ECD">
        <w:rPr>
          <w:b/>
          <w:i/>
          <w:lang w:val="es-MX"/>
        </w:rPr>
        <w:t>Comisión</w:t>
      </w:r>
      <w:r w:rsidR="00B81FBB" w:rsidRPr="00264ECD">
        <w:rPr>
          <w:b/>
          <w:i/>
          <w:lang w:val="es-MX"/>
        </w:rPr>
        <w:t xml:space="preserve"> </w:t>
      </w:r>
      <w:r w:rsidR="00B81FBB" w:rsidRPr="00264ECD">
        <w:rPr>
          <w:lang w:val="es-MX"/>
        </w:rPr>
        <w:t>ofreció, como prueba pericial, la declaración de la señora María Mercedes Gómez</w:t>
      </w:r>
      <w:r w:rsidR="00B81FBB" w:rsidRPr="00264ECD">
        <w:rPr>
          <w:rStyle w:val="Refdenotaalpie"/>
          <w:lang w:val="es-MX"/>
        </w:rPr>
        <w:footnoteReference w:id="9"/>
      </w:r>
      <w:r w:rsidR="00561917" w:rsidRPr="00264ECD">
        <w:rPr>
          <w:lang w:val="es-MX"/>
        </w:rPr>
        <w:t xml:space="preserve">, </w:t>
      </w:r>
      <w:r w:rsidR="00561917" w:rsidRPr="00264ECD">
        <w:t>indicó el objeto de su declaración</w:t>
      </w:r>
      <w:r w:rsidR="00561917">
        <w:t>, y adjuntó su hoja de vida.</w:t>
      </w:r>
    </w:p>
    <w:p w14:paraId="4436B217" w14:textId="77777777" w:rsidR="00574629" w:rsidRPr="00574629" w:rsidRDefault="00574629" w:rsidP="00574629"/>
    <w:p w14:paraId="61566CF4" w14:textId="5C6A2638" w:rsidR="00264ECD" w:rsidRPr="00264ECD" w:rsidRDefault="00561917" w:rsidP="00264ECD">
      <w:pPr>
        <w:pStyle w:val="Sinespaciado"/>
        <w:rPr>
          <w:lang w:val="es-MX"/>
        </w:rPr>
      </w:pPr>
      <w:r w:rsidRPr="00C807A8">
        <w:t xml:space="preserve">La Comisión </w:t>
      </w:r>
      <w:r w:rsidR="00264ECD" w:rsidRPr="00C807A8">
        <w:t xml:space="preserve">consideró que el peritaje ofrecido se refiere a temas de </w:t>
      </w:r>
      <w:r w:rsidRPr="00C807A8">
        <w:t>orden público interamericano</w:t>
      </w:r>
      <w:r w:rsidR="00264ECD" w:rsidRPr="00C807A8">
        <w:rPr>
          <w:lang w:val="es-MX"/>
        </w:rPr>
        <w:t xml:space="preserve">. En particular destacó que “se </w:t>
      </w:r>
      <w:r w:rsidR="00264ECD" w:rsidRPr="00C807A8">
        <w:rPr>
          <w:rFonts w:cs="Arial"/>
        </w:rPr>
        <w:t>se trata del primer caso que se somete a la Corte Interamericana en materia de violencia en contra de las personas LGBT. Así, el presente caso ofrece a la Honorable Corte la oportunidad de profundizar su jurisprudencia respecto de casos de violencia física, psicológica y sexual por parte de agentes de seguridad del Estado, con las particularidades que se desprenden de la violencia por prejuicio, incluyendo los estándares particulares en materia probatoria y de investigaci</w:t>
      </w:r>
      <w:r w:rsidR="00507CF0" w:rsidRPr="00C807A8">
        <w:rPr>
          <w:rFonts w:cs="Arial"/>
        </w:rPr>
        <w:t>ó</w:t>
      </w:r>
      <w:r w:rsidR="00264ECD" w:rsidRPr="00C807A8">
        <w:rPr>
          <w:rFonts w:cs="Arial"/>
        </w:rPr>
        <w:t xml:space="preserve">n </w:t>
      </w:r>
      <w:r w:rsidR="00264ECD" w:rsidRPr="00B55BF9">
        <w:rPr>
          <w:rFonts w:cs="Arial"/>
        </w:rPr>
        <w:t>y sanci</w:t>
      </w:r>
      <w:r w:rsidR="00507CF0" w:rsidRPr="00C807A8">
        <w:rPr>
          <w:rFonts w:cs="Arial"/>
        </w:rPr>
        <w:t>ó</w:t>
      </w:r>
      <w:r w:rsidR="00264ECD" w:rsidRPr="00B55BF9">
        <w:rPr>
          <w:rFonts w:cs="Arial"/>
        </w:rPr>
        <w:t>n a los responsables. Asimismo, la Corte Interamericana podrá pronunciarse sobre los distintos supuestos de estigmatización, descalificación y discriminación que puede sufrir una víctima en un caso como el presente en el contexto de</w:t>
      </w:r>
      <w:r w:rsidR="009649A4" w:rsidRPr="00B55BF9">
        <w:rPr>
          <w:rFonts w:cs="Arial"/>
        </w:rPr>
        <w:t xml:space="preserve"> </w:t>
      </w:r>
      <w:r w:rsidR="00264ECD" w:rsidRPr="00B55BF9">
        <w:rPr>
          <w:rFonts w:cs="Arial"/>
        </w:rPr>
        <w:t>l</w:t>
      </w:r>
      <w:r w:rsidR="009649A4" w:rsidRPr="00B55BF9">
        <w:rPr>
          <w:rFonts w:cs="Arial"/>
        </w:rPr>
        <w:t>a</w:t>
      </w:r>
      <w:r w:rsidR="00264ECD" w:rsidRPr="00B55BF9">
        <w:rPr>
          <w:rFonts w:cs="Arial"/>
        </w:rPr>
        <w:t xml:space="preserve"> investigaci</w:t>
      </w:r>
      <w:r w:rsidR="009649A4" w:rsidRPr="00B55BF9">
        <w:rPr>
          <w:rFonts w:cs="Arial"/>
        </w:rPr>
        <w:t>ó</w:t>
      </w:r>
      <w:r w:rsidR="00264ECD" w:rsidRPr="00B55BF9">
        <w:rPr>
          <w:rFonts w:cs="Arial"/>
        </w:rPr>
        <w:t>n penal. Por otra parte, la Honorable Corte podrá desarrollar su jurisprudencia en materia de libertad personal, en lo relativo a las facultades de los cuerpos de seguridad del Estado de detener a personas con fines de identificaci</w:t>
      </w:r>
      <w:r w:rsidR="00C807A8">
        <w:rPr>
          <w:rFonts w:cs="Arial"/>
        </w:rPr>
        <w:t>ó</w:t>
      </w:r>
      <w:r w:rsidR="00264ECD" w:rsidRPr="00B55BF9">
        <w:rPr>
          <w:rFonts w:cs="Arial"/>
        </w:rPr>
        <w:t>n o de prevenci</w:t>
      </w:r>
      <w:r w:rsidR="00C807A8">
        <w:rPr>
          <w:rFonts w:cs="Arial"/>
        </w:rPr>
        <w:t>ó</w:t>
      </w:r>
      <w:r w:rsidR="00264ECD" w:rsidRPr="00B55BF9">
        <w:rPr>
          <w:rFonts w:cs="Arial"/>
        </w:rPr>
        <w:t xml:space="preserve">n del delito y las salvaguardas tanto procesales como sustantivas necesarias para que dicha </w:t>
      </w:r>
      <w:r w:rsidR="00264ECD" w:rsidRPr="00C807A8">
        <w:rPr>
          <w:rFonts w:cs="Arial"/>
        </w:rPr>
        <w:t>facultad no sea contraria a la Convención Americana”</w:t>
      </w:r>
      <w:r w:rsidR="008A61FF" w:rsidRPr="00C807A8">
        <w:rPr>
          <w:rFonts w:cs="Arial"/>
        </w:rPr>
        <w:t>.</w:t>
      </w:r>
      <w:r w:rsidR="00264ECD" w:rsidRPr="00C807A8">
        <w:rPr>
          <w:rFonts w:cs="Arial"/>
        </w:rPr>
        <w:t xml:space="preserve"> </w:t>
      </w:r>
    </w:p>
    <w:p w14:paraId="58580720" w14:textId="77777777" w:rsidR="00561917" w:rsidRPr="00264ECD" w:rsidRDefault="00561917" w:rsidP="00561917">
      <w:pPr>
        <w:pStyle w:val="Prrafodelista"/>
        <w:rPr>
          <w:lang w:val="es-MX"/>
        </w:rPr>
      </w:pPr>
    </w:p>
    <w:p w14:paraId="1B9984CA" w14:textId="71EE1354" w:rsidR="008A61FF" w:rsidRDefault="00574629" w:rsidP="008A61FF">
      <w:pPr>
        <w:pStyle w:val="Sinespaciado"/>
        <w:rPr>
          <w:lang w:val="es-MX"/>
        </w:rPr>
      </w:pPr>
      <w:r w:rsidRPr="00264ECD">
        <w:rPr>
          <w:lang w:val="es-MX"/>
        </w:rPr>
        <w:t xml:space="preserve">El </w:t>
      </w:r>
      <w:r w:rsidRPr="00264ECD">
        <w:rPr>
          <w:b/>
          <w:i/>
          <w:lang w:val="es-MX"/>
        </w:rPr>
        <w:t>Estado</w:t>
      </w:r>
      <w:r w:rsidRPr="00264ECD">
        <w:rPr>
          <w:lang w:val="es-MX"/>
        </w:rPr>
        <w:t xml:space="preserve"> alegó que la Comisión no fundamentó de modo alguno su afirmación sobre la referencia del peritaje de María Mercedes Gómez sobre temas de orden público interamericano</w:t>
      </w:r>
      <w:r w:rsidR="008C024E">
        <w:rPr>
          <w:lang w:val="es-MX"/>
        </w:rPr>
        <w:t>.</w:t>
      </w:r>
      <w:r w:rsidRPr="00264ECD">
        <w:rPr>
          <w:lang w:val="es-MX"/>
        </w:rPr>
        <w:t xml:space="preserve"> El Estado señaló que la Comisión “no ha elaborado una explicación y argumentación sustancial que permita conocer </w:t>
      </w:r>
      <w:r w:rsidR="00685F6B">
        <w:rPr>
          <w:lang w:val="es-MX"/>
        </w:rPr>
        <w:t xml:space="preserve">las </w:t>
      </w:r>
      <w:r w:rsidRPr="00264ECD">
        <w:rPr>
          <w:lang w:val="es-MX"/>
        </w:rPr>
        <w:t>razones por las cuales considera que se afecta el orden público interamericano</w:t>
      </w:r>
      <w:r w:rsidR="00685F6B">
        <w:rPr>
          <w:lang w:val="es-MX"/>
        </w:rPr>
        <w:t xml:space="preserve"> de manera relevante</w:t>
      </w:r>
      <w:r w:rsidRPr="00264ECD">
        <w:rPr>
          <w:lang w:val="es-MX"/>
        </w:rPr>
        <w:t xml:space="preserve"> y que el objeto del peritaje que ofrece est</w:t>
      </w:r>
      <w:r w:rsidR="00685F6B">
        <w:rPr>
          <w:lang w:val="es-MX"/>
        </w:rPr>
        <w:t>é</w:t>
      </w:r>
      <w:r w:rsidRPr="00264ECD">
        <w:rPr>
          <w:lang w:val="es-MX"/>
        </w:rPr>
        <w:t xml:space="preserve"> vinculado directamente con ello”</w:t>
      </w:r>
      <w:r w:rsidR="00264ECD" w:rsidRPr="00264ECD">
        <w:rPr>
          <w:lang w:val="es-MX"/>
        </w:rPr>
        <w:t>.</w:t>
      </w:r>
      <w:r w:rsidRPr="00264ECD">
        <w:rPr>
          <w:lang w:val="es-MX"/>
        </w:rPr>
        <w:t xml:space="preserve"> </w:t>
      </w:r>
      <w:r w:rsidR="00264ECD" w:rsidRPr="00264ECD">
        <w:rPr>
          <w:lang w:val="es-MX"/>
        </w:rPr>
        <w:t xml:space="preserve">Además indicó </w:t>
      </w:r>
      <w:r w:rsidRPr="00264ECD">
        <w:rPr>
          <w:lang w:val="es-MX"/>
        </w:rPr>
        <w:t>que la Comisión no ha “sustentado la relevancia del peritaje propuesto y su utilidad para la resolución de otros casos, de modo tal que quede demostrado que el peritaje en cuestión va más allá de las particularidades del caso en debate”</w:t>
      </w:r>
      <w:r w:rsidR="00264ECD" w:rsidRPr="00264ECD">
        <w:rPr>
          <w:lang w:val="es-MX"/>
        </w:rPr>
        <w:t xml:space="preserve">. </w:t>
      </w:r>
      <w:r w:rsidRPr="00264ECD">
        <w:rPr>
          <w:lang w:val="es-MX"/>
        </w:rPr>
        <w:t xml:space="preserve"> </w:t>
      </w:r>
    </w:p>
    <w:p w14:paraId="50125F5F" w14:textId="77777777" w:rsidR="008A61FF" w:rsidRDefault="008A61FF" w:rsidP="008A61FF">
      <w:pPr>
        <w:pStyle w:val="Prrafodelista"/>
      </w:pPr>
    </w:p>
    <w:p w14:paraId="65CBA334" w14:textId="55685F72" w:rsidR="008A61FF" w:rsidRPr="008A61FF" w:rsidRDefault="008A61FF" w:rsidP="008A61FF">
      <w:pPr>
        <w:pStyle w:val="Sinespaciado"/>
        <w:rPr>
          <w:lang w:val="es-MX"/>
        </w:rPr>
      </w:pPr>
      <w:r>
        <w:t>Esta Presidencia considera que el peritaje de la señora Gómez resulta relevante al orden público interamericano debido a que este sería el primer caso ante el Sistema Interamericano que podría implicar un análisis de estándares internacionales sobre violencia en contra de personas LGTB</w:t>
      </w:r>
      <w:r w:rsidR="00685F6B">
        <w:t>I</w:t>
      </w:r>
      <w:r>
        <w:t xml:space="preserve">. En ese sentido, el objeto del peritaje trasciende la controversia del presente caso y se refiere a conceptos relevantes para otros Estados Parte </w:t>
      </w:r>
      <w:r w:rsidR="00685F6B">
        <w:t>de</w:t>
      </w:r>
      <w:r>
        <w:t xml:space="preserve"> la Convención. En consecuencia, el Presidente estima conducente admitir dicho dictamen pericial</w:t>
      </w:r>
      <w:r w:rsidR="00685F6B">
        <w:t>.</w:t>
      </w:r>
    </w:p>
    <w:p w14:paraId="2C84A2CA" w14:textId="77777777" w:rsidR="00574629" w:rsidRPr="0077745B" w:rsidRDefault="00574629" w:rsidP="00574629">
      <w:pPr>
        <w:pStyle w:val="Sinespaciado"/>
        <w:numPr>
          <w:ilvl w:val="0"/>
          <w:numId w:val="0"/>
        </w:numPr>
      </w:pPr>
    </w:p>
    <w:p w14:paraId="19EFD558" w14:textId="5B7D26EF" w:rsidR="00BE7FD0" w:rsidRPr="00574629" w:rsidRDefault="00574629" w:rsidP="002C5F94">
      <w:pPr>
        <w:pStyle w:val="Ttulo1"/>
        <w:ind w:left="1134" w:hanging="567"/>
      </w:pPr>
      <w:r w:rsidRPr="00574629">
        <w:t xml:space="preserve">Observaciones </w:t>
      </w:r>
      <w:r w:rsidR="001A549A">
        <w:t>a las declaraciones ofrecidas por las representantes</w:t>
      </w:r>
      <w:r w:rsidR="00271F05">
        <w:t xml:space="preserve"> y el Estado</w:t>
      </w:r>
    </w:p>
    <w:p w14:paraId="01D3A89E" w14:textId="77777777" w:rsidR="005643E0" w:rsidRPr="002B22C5" w:rsidRDefault="005643E0" w:rsidP="005643E0">
      <w:pPr>
        <w:pStyle w:val="Sinespaciado"/>
        <w:numPr>
          <w:ilvl w:val="0"/>
          <w:numId w:val="0"/>
        </w:numPr>
        <w:rPr>
          <w:lang w:val="es-MX"/>
        </w:rPr>
      </w:pPr>
    </w:p>
    <w:p w14:paraId="2A0521BF" w14:textId="45B0690C" w:rsidR="00574629" w:rsidRPr="002B22C5" w:rsidRDefault="00012E73" w:rsidP="00931D35">
      <w:pPr>
        <w:pStyle w:val="Sinespaciado"/>
        <w:rPr>
          <w:lang w:val="es-MX"/>
        </w:rPr>
      </w:pPr>
      <w:r>
        <w:rPr>
          <w:lang w:val="es-MX"/>
        </w:rPr>
        <w:t>Respecto a la declaración de la presunta víctima, e</w:t>
      </w:r>
      <w:r w:rsidR="00574629" w:rsidRPr="002B22C5">
        <w:rPr>
          <w:lang w:val="es-MX"/>
        </w:rPr>
        <w:t xml:space="preserve">l </w:t>
      </w:r>
      <w:r w:rsidR="00574629" w:rsidRPr="002B22C5">
        <w:rPr>
          <w:b/>
          <w:i/>
          <w:lang w:val="es-MX"/>
        </w:rPr>
        <w:t>Estado</w:t>
      </w:r>
      <w:r w:rsidR="00574629" w:rsidRPr="002B22C5">
        <w:rPr>
          <w:b/>
          <w:lang w:val="es-MX"/>
        </w:rPr>
        <w:t xml:space="preserve"> </w:t>
      </w:r>
      <w:r w:rsidR="00574629" w:rsidRPr="002B22C5">
        <w:rPr>
          <w:lang w:val="es-MX"/>
        </w:rPr>
        <w:t>alegó que puede sup</w:t>
      </w:r>
      <w:r w:rsidR="002B22C5" w:rsidRPr="002B22C5">
        <w:rPr>
          <w:lang w:val="es-MX"/>
        </w:rPr>
        <w:t>oner un acto de revictimización</w:t>
      </w:r>
      <w:r w:rsidR="00574629" w:rsidRPr="002B22C5">
        <w:rPr>
          <w:lang w:val="es-MX"/>
        </w:rPr>
        <w:t xml:space="preserve"> para ella misma</w:t>
      </w:r>
      <w:r w:rsidR="002B22C5" w:rsidRPr="002B22C5">
        <w:rPr>
          <w:lang w:val="es-MX"/>
        </w:rPr>
        <w:t>.</w:t>
      </w:r>
      <w:r w:rsidR="00574629" w:rsidRPr="002B22C5">
        <w:rPr>
          <w:lang w:val="es-MX"/>
        </w:rPr>
        <w:t xml:space="preserve"> Conforme a lo anterior, el Estado considera que la señora Rojas Marín ha declarado ya en varias ocasiones </w:t>
      </w:r>
      <w:r w:rsidR="002B22C5">
        <w:rPr>
          <w:lang w:val="es-MX"/>
        </w:rPr>
        <w:t xml:space="preserve">sobre </w:t>
      </w:r>
      <w:r w:rsidR="00574629" w:rsidRPr="002B22C5">
        <w:rPr>
          <w:lang w:val="es-MX"/>
        </w:rPr>
        <w:t>los hechos presuntamente producidos en el mes de febrero del año 2008, por lo que dicha declaración no sería necesaria</w:t>
      </w:r>
      <w:r w:rsidR="002B22C5" w:rsidRPr="002B22C5">
        <w:rPr>
          <w:lang w:val="es-MX"/>
        </w:rPr>
        <w:t>.</w:t>
      </w:r>
      <w:r w:rsidR="00574629" w:rsidRPr="002B22C5">
        <w:rPr>
          <w:lang w:val="es-MX"/>
        </w:rPr>
        <w:t xml:space="preserve"> Además</w:t>
      </w:r>
      <w:r w:rsidR="00507CF0">
        <w:rPr>
          <w:lang w:val="es-MX"/>
        </w:rPr>
        <w:t>,</w:t>
      </w:r>
      <w:r w:rsidR="00574629" w:rsidRPr="002B22C5">
        <w:rPr>
          <w:lang w:val="es-MX"/>
        </w:rPr>
        <w:t xml:space="preserve"> </w:t>
      </w:r>
      <w:r w:rsidR="002B22C5" w:rsidRPr="002B22C5">
        <w:rPr>
          <w:lang w:val="es-MX"/>
        </w:rPr>
        <w:t xml:space="preserve">señaló que de acuerdo al objeto propuesto para esta declaración, la presunta víctima se pronunciaría sobre “posibles medidas de reparación” lo cual debería ser labor de la representación de la presunta víctima. </w:t>
      </w:r>
    </w:p>
    <w:p w14:paraId="0B1E22C1" w14:textId="77777777" w:rsidR="001A549A" w:rsidRPr="00240A37" w:rsidRDefault="001A549A" w:rsidP="00931D35">
      <w:pPr>
        <w:spacing w:line="240" w:lineRule="auto"/>
      </w:pPr>
    </w:p>
    <w:p w14:paraId="6DB8EA90" w14:textId="0313FE4F" w:rsidR="00012E73" w:rsidRPr="00240A37" w:rsidRDefault="00240A37" w:rsidP="00931D35">
      <w:pPr>
        <w:pStyle w:val="Sinespaciado"/>
        <w:rPr>
          <w:lang w:val="es-MX"/>
        </w:rPr>
      </w:pPr>
      <w:r w:rsidRPr="00240A37">
        <w:rPr>
          <w:lang w:val="es-MX"/>
        </w:rPr>
        <w:t xml:space="preserve">Esta Presidencia </w:t>
      </w:r>
      <w:r w:rsidR="00316D90">
        <w:rPr>
          <w:lang w:val="es-MX"/>
        </w:rPr>
        <w:t>advierte que fueron l</w:t>
      </w:r>
      <w:r w:rsidR="00931D35">
        <w:rPr>
          <w:lang w:val="es-MX"/>
        </w:rPr>
        <w:t>a</w:t>
      </w:r>
      <w:r w:rsidR="00316D90">
        <w:rPr>
          <w:lang w:val="es-MX"/>
        </w:rPr>
        <w:t xml:space="preserve">s representantes quienes ofrecieron la declaración de Azul Rojas Marín, por lo que se presume que ella dio su consentimiento para declarar ante la Corte. Por otra parte, las declaraciones de las presuntas víctimas son particularmente útiles </w:t>
      </w:r>
      <w:r w:rsidRPr="00240A37">
        <w:rPr>
          <w:rFonts w:cs="Verdana"/>
        </w:rPr>
        <w:t>en la medida en que pueden proporcionar mayor in</w:t>
      </w:r>
      <w:r w:rsidR="00316D90">
        <w:rPr>
          <w:rFonts w:cs="Verdana"/>
        </w:rPr>
        <w:t>formación sobre las violaciones,</w:t>
      </w:r>
      <w:r w:rsidRPr="00240A37">
        <w:rPr>
          <w:rFonts w:cs="Verdana"/>
        </w:rPr>
        <w:t xml:space="preserve"> sus consecuencias</w:t>
      </w:r>
      <w:r w:rsidR="00316D90">
        <w:rPr>
          <w:rFonts w:cs="Verdana"/>
        </w:rPr>
        <w:t xml:space="preserve"> y qué medidas quisieran que tomara la Corte al respecto. Por ello, </w:t>
      </w:r>
      <w:r w:rsidRPr="00240A37">
        <w:rPr>
          <w:rFonts w:cs="Verdana"/>
        </w:rPr>
        <w:t>se considera que las observaciones realizadas por el Estado no son razones sufi</w:t>
      </w:r>
      <w:r w:rsidR="008C024E">
        <w:rPr>
          <w:rFonts w:cs="Verdana"/>
        </w:rPr>
        <w:t>cientes para rechazar la</w:t>
      </w:r>
      <w:r w:rsidRPr="00240A37">
        <w:rPr>
          <w:rFonts w:cs="Verdana"/>
        </w:rPr>
        <w:t xml:space="preserve"> declaraci</w:t>
      </w:r>
      <w:r w:rsidR="008C024E">
        <w:rPr>
          <w:rFonts w:cs="Verdana"/>
        </w:rPr>
        <w:t>ón de la presunta víctima</w:t>
      </w:r>
      <w:r w:rsidRPr="00240A37">
        <w:rPr>
          <w:rFonts w:cs="Verdana"/>
        </w:rPr>
        <w:t>.</w:t>
      </w:r>
      <w:r w:rsidR="00316D90">
        <w:rPr>
          <w:rFonts w:cs="Verdana"/>
        </w:rPr>
        <w:t xml:space="preserve"> </w:t>
      </w:r>
      <w:r w:rsidR="00316D90">
        <w:t>El objeto y modalidad de esta declaración será determinado en la parte resolutiva de la presente Resolución.</w:t>
      </w:r>
    </w:p>
    <w:p w14:paraId="1C0C8620" w14:textId="77777777" w:rsidR="00012E73" w:rsidRPr="00012E73" w:rsidRDefault="00012E73" w:rsidP="00931D35">
      <w:pPr>
        <w:pStyle w:val="Prrafodelista"/>
        <w:spacing w:line="240" w:lineRule="auto"/>
        <w:rPr>
          <w:lang w:val="es-MX"/>
        </w:rPr>
      </w:pPr>
    </w:p>
    <w:p w14:paraId="26A0884F" w14:textId="5DA109F8" w:rsidR="00012E73" w:rsidRPr="00012E73" w:rsidRDefault="00012E73" w:rsidP="00931D35">
      <w:pPr>
        <w:pStyle w:val="Sinespaciado"/>
        <w:rPr>
          <w:lang w:val="es-MX"/>
        </w:rPr>
      </w:pPr>
      <w:r w:rsidRPr="00012E73">
        <w:rPr>
          <w:lang w:val="es-MX"/>
        </w:rPr>
        <w:t>Respecto a la declaración testimonial de Víctor Álvarez</w:t>
      </w:r>
      <w:r w:rsidR="006457FF">
        <w:rPr>
          <w:lang w:val="es-MX"/>
        </w:rPr>
        <w:t xml:space="preserve"> propuesta por las representantes</w:t>
      </w:r>
      <w:r w:rsidRPr="00012E73">
        <w:rPr>
          <w:lang w:val="es-MX"/>
        </w:rPr>
        <w:t>, e</w:t>
      </w:r>
      <w:r w:rsidR="001A549A" w:rsidRPr="00012E73">
        <w:rPr>
          <w:lang w:val="es-MX"/>
        </w:rPr>
        <w:t xml:space="preserve">l </w:t>
      </w:r>
      <w:r w:rsidR="001A549A" w:rsidRPr="00012E73">
        <w:rPr>
          <w:b/>
          <w:i/>
          <w:lang w:val="es-MX"/>
        </w:rPr>
        <w:t>Estado</w:t>
      </w:r>
      <w:r w:rsidR="001A549A" w:rsidRPr="00012E73">
        <w:rPr>
          <w:b/>
          <w:lang w:val="es-MX"/>
        </w:rPr>
        <w:t xml:space="preserve"> </w:t>
      </w:r>
      <w:r w:rsidR="001A549A" w:rsidRPr="00012E73">
        <w:rPr>
          <w:lang w:val="es-MX"/>
        </w:rPr>
        <w:t>señaló que</w:t>
      </w:r>
      <w:r w:rsidRPr="00012E73">
        <w:rPr>
          <w:lang w:val="es-MX"/>
        </w:rPr>
        <w:t xml:space="preserve"> el objeto de la declaración coincide con el objeto de la declaración de la señora Rojas Marín, con aspectos que ya han sido aportados por las partes en sus escritos ante la Corte, así como  con el objeto de peritajes que se han propuesto. Por tanto consideró que la declaración del señor Álvarez es innecesaria y repetitiva. </w:t>
      </w:r>
    </w:p>
    <w:p w14:paraId="628B5851" w14:textId="77777777" w:rsidR="00012E73" w:rsidRDefault="00012E73" w:rsidP="00931D35">
      <w:pPr>
        <w:pStyle w:val="Prrafodelista"/>
        <w:spacing w:line="240" w:lineRule="auto"/>
        <w:rPr>
          <w:color w:val="FF0000"/>
          <w:lang w:val="es-MX"/>
        </w:rPr>
      </w:pPr>
    </w:p>
    <w:p w14:paraId="48F8704A" w14:textId="4F07F784" w:rsidR="00012E73" w:rsidRPr="00D37330" w:rsidRDefault="00316D90" w:rsidP="00931D35">
      <w:pPr>
        <w:pStyle w:val="Sinespaciado"/>
        <w:rPr>
          <w:lang w:val="es-MX"/>
        </w:rPr>
      </w:pPr>
      <w:r w:rsidRPr="00316D90">
        <w:rPr>
          <w:lang w:val="es-MX"/>
        </w:rPr>
        <w:t>Al respecto</w:t>
      </w:r>
      <w:r w:rsidRPr="00316D90">
        <w:t>, el Presidente recuerda que</w:t>
      </w:r>
      <w:r w:rsidR="00D37330">
        <w:rPr>
          <w:lang w:val="es-MX"/>
        </w:rPr>
        <w:t xml:space="preserve"> </w:t>
      </w:r>
      <w:r w:rsidR="00D37330" w:rsidRPr="00D37330">
        <w:rPr>
          <w:rFonts w:cs="Verdana"/>
        </w:rPr>
        <w:t>es necesario procurar la más amplia presentación de pruebas por las partes en todo lo que sea pertinente</w:t>
      </w:r>
      <w:r w:rsidR="00685F6B">
        <w:rPr>
          <w:rStyle w:val="Refdenotaalpie"/>
          <w:rFonts w:cs="Verdana"/>
        </w:rPr>
        <w:footnoteReference w:id="10"/>
      </w:r>
      <w:r w:rsidR="00D37330" w:rsidRPr="00D37330">
        <w:rPr>
          <w:rFonts w:cs="Verdana"/>
        </w:rPr>
        <w:t>. Por tanto, las razones señaladas por el Estado son insuficientes para excluir la declaración del señor Álvarez.</w:t>
      </w:r>
      <w:r w:rsidR="00D37330" w:rsidRPr="00931D35">
        <w:rPr>
          <w:rFonts w:cs="Verdana"/>
        </w:rPr>
        <w:t xml:space="preserve"> </w:t>
      </w:r>
      <w:r>
        <w:t>El objeto y modalidad de esta declaración será determinado en la parte resolutiva de la presente Resolución.</w:t>
      </w:r>
    </w:p>
    <w:p w14:paraId="0596431F" w14:textId="77777777" w:rsidR="00012E73" w:rsidRPr="005643E0" w:rsidRDefault="00012E73" w:rsidP="00931D35">
      <w:pPr>
        <w:pStyle w:val="Sinespaciado"/>
        <w:numPr>
          <w:ilvl w:val="0"/>
          <w:numId w:val="0"/>
        </w:numPr>
        <w:rPr>
          <w:color w:val="FF0000"/>
          <w:lang w:val="es-MX"/>
        </w:rPr>
      </w:pPr>
    </w:p>
    <w:p w14:paraId="3DD2E87C" w14:textId="7BD681D7" w:rsidR="001A549A" w:rsidRPr="00012E73" w:rsidRDefault="00271F05" w:rsidP="00931D35">
      <w:pPr>
        <w:pStyle w:val="Sinespaciado"/>
      </w:pPr>
      <w:r>
        <w:rPr>
          <w:lang w:val="es-MX"/>
        </w:rPr>
        <w:t>Por otra parte, el Estado presentó observaciones respecto al objeto de</w:t>
      </w:r>
      <w:r w:rsidR="006457FF">
        <w:rPr>
          <w:lang w:val="es-MX"/>
        </w:rPr>
        <w:t xml:space="preserve"> </w:t>
      </w:r>
      <w:r>
        <w:rPr>
          <w:lang w:val="es-MX"/>
        </w:rPr>
        <w:t>l</w:t>
      </w:r>
      <w:r w:rsidR="006457FF">
        <w:rPr>
          <w:lang w:val="es-MX"/>
        </w:rPr>
        <w:t>os</w:t>
      </w:r>
      <w:r>
        <w:rPr>
          <w:lang w:val="es-MX"/>
        </w:rPr>
        <w:t xml:space="preserve"> peritaje</w:t>
      </w:r>
      <w:r w:rsidR="006457FF">
        <w:rPr>
          <w:lang w:val="es-MX"/>
        </w:rPr>
        <w:t>s</w:t>
      </w:r>
      <w:r>
        <w:rPr>
          <w:lang w:val="es-MX"/>
        </w:rPr>
        <w:t xml:space="preserve"> de </w:t>
      </w:r>
      <w:r w:rsidR="00012E73" w:rsidRPr="00012E73">
        <w:rPr>
          <w:lang w:val="es-MX"/>
        </w:rPr>
        <w:t>Juan Méndez</w:t>
      </w:r>
      <w:r w:rsidR="006457FF">
        <w:rPr>
          <w:lang w:val="es-MX"/>
        </w:rPr>
        <w:t xml:space="preserve"> </w:t>
      </w:r>
      <w:r>
        <w:rPr>
          <w:lang w:val="es-MX"/>
        </w:rPr>
        <w:t xml:space="preserve">y de </w:t>
      </w:r>
      <w:r w:rsidRPr="00012E73">
        <w:rPr>
          <w:lang w:val="es-MX"/>
        </w:rPr>
        <w:t>Nora Sveaas</w:t>
      </w:r>
      <w:r>
        <w:rPr>
          <w:lang w:val="es-MX"/>
        </w:rPr>
        <w:t>.</w:t>
      </w:r>
      <w:r w:rsidR="00012E73" w:rsidRPr="00271F05">
        <w:rPr>
          <w:lang w:val="es-MX"/>
        </w:rPr>
        <w:t xml:space="preserve"> </w:t>
      </w:r>
      <w:r>
        <w:rPr>
          <w:lang w:val="es-MX"/>
        </w:rPr>
        <w:t>Por su parte, las representantes</w:t>
      </w:r>
      <w:r w:rsidR="006A60ED">
        <w:rPr>
          <w:lang w:val="es-MX"/>
        </w:rPr>
        <w:t xml:space="preserve"> presentaron observaciones </w:t>
      </w:r>
      <w:r w:rsidR="00931D35">
        <w:rPr>
          <w:lang w:val="es-MX"/>
        </w:rPr>
        <w:t>a</w:t>
      </w:r>
      <w:r w:rsidR="006A60ED">
        <w:rPr>
          <w:lang w:val="es-MX"/>
        </w:rPr>
        <w:t xml:space="preserve">l objeto de la declaración de </w:t>
      </w:r>
      <w:r w:rsidR="006A60ED" w:rsidRPr="00143B34">
        <w:rPr>
          <w:lang w:val="es-MX"/>
        </w:rPr>
        <w:t xml:space="preserve">la señora </w:t>
      </w:r>
      <w:r w:rsidR="008D21FF">
        <w:rPr>
          <w:lang w:val="es-MX"/>
        </w:rPr>
        <w:t xml:space="preserve">Nancy Rosalina </w:t>
      </w:r>
      <w:r w:rsidR="006A60ED" w:rsidRPr="00143B34">
        <w:rPr>
          <w:lang w:val="es-MX"/>
        </w:rPr>
        <w:t>Tolentino Gamarra</w:t>
      </w:r>
      <w:r w:rsidR="006A60ED">
        <w:rPr>
          <w:lang w:val="es-MX"/>
        </w:rPr>
        <w:t xml:space="preserve"> y cuestionaron que </w:t>
      </w:r>
      <w:r w:rsidR="006A60ED" w:rsidRPr="00143B34">
        <w:rPr>
          <w:lang w:val="es-MX"/>
        </w:rPr>
        <w:t xml:space="preserve">declaración de la señora </w:t>
      </w:r>
      <w:r w:rsidR="00CB1E8F">
        <w:rPr>
          <w:lang w:val="es-MX"/>
        </w:rPr>
        <w:t xml:space="preserve">Ketty </w:t>
      </w:r>
      <w:r w:rsidR="006A60ED" w:rsidRPr="00143B34">
        <w:rPr>
          <w:lang w:val="es-MX"/>
        </w:rPr>
        <w:t>Garibay Mascco</w:t>
      </w:r>
      <w:r w:rsidR="006A60ED">
        <w:rPr>
          <w:lang w:val="es-MX"/>
        </w:rPr>
        <w:t xml:space="preserve"> fuese rendida en la audiencia pública. </w:t>
      </w:r>
    </w:p>
    <w:p w14:paraId="2F4434D6" w14:textId="77777777" w:rsidR="00012E73" w:rsidRPr="00F12D7B" w:rsidRDefault="00012E73" w:rsidP="00931D35">
      <w:pPr>
        <w:pStyle w:val="Prrafodelista"/>
        <w:spacing w:line="240" w:lineRule="auto"/>
      </w:pPr>
    </w:p>
    <w:p w14:paraId="7CE30A46" w14:textId="484F780E" w:rsidR="00D37330" w:rsidRPr="00F12D7B" w:rsidRDefault="006A60ED" w:rsidP="00931D35">
      <w:pPr>
        <w:pStyle w:val="Sinespaciado"/>
      </w:pPr>
      <w:r>
        <w:rPr>
          <w:rFonts w:cs="Verdana"/>
        </w:rPr>
        <w:t>Al respecto</w:t>
      </w:r>
      <w:r w:rsidR="006457FF">
        <w:rPr>
          <w:rFonts w:cs="Verdana"/>
        </w:rPr>
        <w:t>,</w:t>
      </w:r>
      <w:r>
        <w:rPr>
          <w:rFonts w:cs="Verdana"/>
        </w:rPr>
        <w:t xml:space="preserve"> la Presidencia observa que est</w:t>
      </w:r>
      <w:r w:rsidR="00F12D7B" w:rsidRPr="00F12D7B">
        <w:rPr>
          <w:rFonts w:cs="Verdana"/>
        </w:rPr>
        <w:t xml:space="preserve">as objeciones no apuntan directamente a la inadmisibilidad de </w:t>
      </w:r>
      <w:r>
        <w:rPr>
          <w:rFonts w:cs="Verdana"/>
        </w:rPr>
        <w:t>las declaraciones</w:t>
      </w:r>
      <w:r w:rsidR="00F12D7B" w:rsidRPr="00F12D7B">
        <w:rPr>
          <w:rFonts w:cs="Verdana"/>
        </w:rPr>
        <w:t xml:space="preserve">, sino a su contenido </w:t>
      </w:r>
      <w:r>
        <w:rPr>
          <w:rFonts w:cs="Verdana"/>
        </w:rPr>
        <w:t>o modalidad</w:t>
      </w:r>
      <w:r w:rsidR="00F12D7B" w:rsidRPr="00F12D7B">
        <w:rPr>
          <w:rFonts w:cs="Verdana"/>
        </w:rPr>
        <w:t xml:space="preserve">. </w:t>
      </w:r>
      <w:r w:rsidR="00D37330" w:rsidRPr="00F12D7B">
        <w:t xml:space="preserve">Las observaciones </w:t>
      </w:r>
      <w:r>
        <w:t>presentadas serán tomadas e</w:t>
      </w:r>
      <w:r w:rsidR="00D37330" w:rsidRPr="00F12D7B">
        <w:t>n cuenta al fijar el objeto de dicha</w:t>
      </w:r>
      <w:r>
        <w:t>s</w:t>
      </w:r>
      <w:r w:rsidR="00D37330" w:rsidRPr="00F12D7B">
        <w:t xml:space="preserve"> declaraci</w:t>
      </w:r>
      <w:r>
        <w:t>ones</w:t>
      </w:r>
      <w:r w:rsidR="00D37330" w:rsidRPr="00F12D7B">
        <w:t xml:space="preserve"> </w:t>
      </w:r>
      <w:r>
        <w:t xml:space="preserve">y la modalidad de la misma </w:t>
      </w:r>
      <w:r w:rsidR="00D37330" w:rsidRPr="00F12D7B">
        <w:t>en la parte resolutiva de esta Resolución.</w:t>
      </w:r>
    </w:p>
    <w:p w14:paraId="5DED1155" w14:textId="77777777" w:rsidR="001A549A" w:rsidRPr="005643E0" w:rsidRDefault="001A549A" w:rsidP="005643E0">
      <w:pPr>
        <w:pStyle w:val="Sinespaciado"/>
        <w:numPr>
          <w:ilvl w:val="0"/>
          <w:numId w:val="0"/>
        </w:numPr>
      </w:pPr>
    </w:p>
    <w:p w14:paraId="423FE566" w14:textId="11D861A3" w:rsidR="00160E30" w:rsidRPr="0077745B" w:rsidRDefault="00160E30" w:rsidP="005643E0">
      <w:pPr>
        <w:pStyle w:val="Ttulo1"/>
        <w:ind w:left="1134" w:hanging="567"/>
      </w:pPr>
      <w:r w:rsidRPr="0077745B">
        <w:t>Aplicación del Fondo de Asistencia Legal de Víctimas ante la Corte</w:t>
      </w:r>
    </w:p>
    <w:p w14:paraId="28504822" w14:textId="77777777" w:rsidR="00160E30" w:rsidRPr="0077745B" w:rsidRDefault="00160E30" w:rsidP="005643E0">
      <w:pPr>
        <w:pStyle w:val="Prrafodelista"/>
        <w:spacing w:line="240" w:lineRule="auto"/>
      </w:pPr>
    </w:p>
    <w:p w14:paraId="6DF82B7E" w14:textId="516D82FF" w:rsidR="00143B34" w:rsidRDefault="00143B34" w:rsidP="00143B34">
      <w:pPr>
        <w:pStyle w:val="Sinespaciado"/>
      </w:pPr>
      <w:r>
        <w:t xml:space="preserve">Mediante nota de Secretaría de 30 de mayo de 2019, se resolvió declarar procedente la solicitud realizada para acogerse al Fondo de Asistencia Legal de Víctimas, de modo que se otorgará el apoyo económico necesario, con cargo al Fondo, para solventar los gastos que </w:t>
      </w:r>
      <w:r>
        <w:lastRenderedPageBreak/>
        <w:t>ocasionaría la presentación de un máximo de tres declaraciones, ya sea en audiencia o por afidávit. Corresponde seguidamente precisar el destino y objeto específicos de dicha asistencia.</w:t>
      </w:r>
    </w:p>
    <w:p w14:paraId="4782018E" w14:textId="77777777" w:rsidR="00143B34" w:rsidRDefault="00143B34" w:rsidP="00143B34">
      <w:pPr>
        <w:pStyle w:val="Sinespaciado"/>
        <w:numPr>
          <w:ilvl w:val="0"/>
          <w:numId w:val="0"/>
        </w:numPr>
      </w:pPr>
    </w:p>
    <w:p w14:paraId="49D97FA1" w14:textId="3A648C4B" w:rsidR="00931D35" w:rsidRDefault="00143B34" w:rsidP="00143B34">
      <w:pPr>
        <w:pStyle w:val="Sinespaciado"/>
      </w:pPr>
      <w:r>
        <w:t xml:space="preserve">El Presidente dispone que la asistencia económica estará asignada para cubrir los gastos de viaje y estadía </w:t>
      </w:r>
      <w:r w:rsidRPr="00CD48D7">
        <w:t>necesarios para que la señora Rojas Marín comparezca ante el Tribunal a rendir su declaración en la audiencia pública por celebrarse en el presente caso. Adicionalmente, esta Presidencia determina que los gastos razonables de formalización y envío de los afidávits de dos declaraciones ofrecida</w:t>
      </w:r>
      <w:r w:rsidR="00EA4BE8">
        <w:t>s</w:t>
      </w:r>
      <w:r w:rsidRPr="00CD48D7">
        <w:t xml:space="preserve"> por l</w:t>
      </w:r>
      <w:r w:rsidR="00931D35">
        <w:t>a</w:t>
      </w:r>
      <w:r w:rsidRPr="00CD48D7">
        <w:t xml:space="preserve">s representantes, según lo determinen éstos, podrán ser cubiertos con recursos del Fondo de Asistencia Legal de Víctimas. </w:t>
      </w:r>
      <w:r w:rsidR="009430D0">
        <w:t>Las</w:t>
      </w:r>
      <w:r w:rsidRPr="00CD48D7">
        <w:t xml:space="preserve"> representante</w:t>
      </w:r>
      <w:r w:rsidR="009430D0">
        <w:t>s</w:t>
      </w:r>
      <w:r w:rsidRPr="00CD48D7">
        <w:t xml:space="preserve"> deberá</w:t>
      </w:r>
      <w:r w:rsidR="009430D0">
        <w:t>n</w:t>
      </w:r>
      <w:r w:rsidRPr="00CD48D7">
        <w:t xml:space="preserve"> comunicar a la Corte el nombre de los declarantes cuyos afidávit</w:t>
      </w:r>
      <w:r w:rsidR="00EA4BE8">
        <w:t>s</w:t>
      </w:r>
      <w:r w:rsidRPr="00CD48D7">
        <w:t xml:space="preserve"> serán cubiertos por el Fondo de Asistencia y remitir la cotización del costo de la formalización de las declaraciones juradas en el país de residencia de los declarantes y de su envío, en el plazo establecido en la parte resolut</w:t>
      </w:r>
      <w:r w:rsidR="00931D35">
        <w:t>iva de la presente Resolución.</w:t>
      </w:r>
    </w:p>
    <w:p w14:paraId="219E520D" w14:textId="77777777" w:rsidR="00931D35" w:rsidRDefault="00931D35" w:rsidP="00931D35">
      <w:pPr>
        <w:pStyle w:val="Prrafodelista"/>
      </w:pPr>
    </w:p>
    <w:p w14:paraId="1768445C" w14:textId="380216CF" w:rsidR="00143B34" w:rsidRDefault="00143B34" w:rsidP="00143B34">
      <w:pPr>
        <w:pStyle w:val="Sinespaciado"/>
      </w:pPr>
      <w:r w:rsidRPr="00CD48D7">
        <w:t xml:space="preserve">La Corte realizará las gestiones pertinentes y necesarias para cubrir los costos de traslado, alojamiento y manutención de la persona compareciente con recursos provenientes del Fondo de Asistencia Legal de Víctimas. </w:t>
      </w:r>
    </w:p>
    <w:p w14:paraId="5EC45838" w14:textId="77777777" w:rsidR="00143B34" w:rsidRDefault="00143B34" w:rsidP="00143B34">
      <w:pPr>
        <w:pStyle w:val="Prrafodelista"/>
      </w:pPr>
    </w:p>
    <w:p w14:paraId="20AA4ABA" w14:textId="77777777" w:rsidR="00143B34" w:rsidRDefault="00143B34" w:rsidP="00143B34">
      <w:pPr>
        <w:pStyle w:val="Sinespaciado"/>
      </w:pPr>
      <w:r>
        <w:t xml:space="preserve">Según lo requerido por el artículo 4 del Reglamento de la Corte sobre el Funcionamiento del Fondo de Asistencia Legal de Víctimas, se dispone que la Secretaría abra un expediente de gastos con el fin de llevar la contabilidad y en el cual se documentará cada una de las erogaciones que se realicen en relación con el referido Fondo. </w:t>
      </w:r>
    </w:p>
    <w:p w14:paraId="0BA92243" w14:textId="77777777" w:rsidR="00143B34" w:rsidRDefault="00143B34" w:rsidP="00143B34">
      <w:pPr>
        <w:pStyle w:val="Prrafodelista"/>
      </w:pPr>
    </w:p>
    <w:p w14:paraId="39A75041" w14:textId="6CDB608C" w:rsidR="00143B34" w:rsidRPr="0077745B" w:rsidRDefault="00143B34" w:rsidP="00143B34">
      <w:pPr>
        <w:pStyle w:val="Sinespaciado"/>
      </w:pPr>
      <w:r>
        <w:t>Finalmente, el Presidente recuerda que, según el artículo 5 del Reglamento del Fondo, se informará oportunamente al Estado demandado las erogaciones realizadas en aplicación del Fondo de Asistencia Legal de Víctimas, para que</w:t>
      </w:r>
      <w:r w:rsidR="00EA4BE8">
        <w:t xml:space="preserve"> </w:t>
      </w:r>
      <w:r w:rsidR="00EA4BE8" w:rsidRPr="00EA4BE8">
        <w:t xml:space="preserve">presente sus observaciones, si así lo desea, dentro del plazo que se establezca al efecto. </w:t>
      </w:r>
    </w:p>
    <w:p w14:paraId="4E66767B" w14:textId="77777777" w:rsidR="003729C8" w:rsidRPr="0077745B" w:rsidRDefault="003729C8" w:rsidP="005643E0">
      <w:pPr>
        <w:spacing w:line="240" w:lineRule="auto"/>
      </w:pPr>
    </w:p>
    <w:p w14:paraId="07FAEB70" w14:textId="77777777" w:rsidR="00802BD5" w:rsidRPr="002C5F94" w:rsidRDefault="00802BD5" w:rsidP="005643E0">
      <w:pPr>
        <w:spacing w:line="240" w:lineRule="auto"/>
        <w:rPr>
          <w:b/>
        </w:rPr>
      </w:pPr>
      <w:r w:rsidRPr="002C5F94">
        <w:rPr>
          <w:b/>
        </w:rPr>
        <w:t>POR TANTO:</w:t>
      </w:r>
    </w:p>
    <w:p w14:paraId="254F06D7" w14:textId="77777777" w:rsidR="00721EA7" w:rsidRPr="002C5F94" w:rsidRDefault="00721EA7" w:rsidP="005643E0">
      <w:pPr>
        <w:spacing w:line="240" w:lineRule="auto"/>
        <w:rPr>
          <w:b/>
        </w:rPr>
      </w:pPr>
    </w:p>
    <w:p w14:paraId="308CCB15" w14:textId="77777777" w:rsidR="00802BD5" w:rsidRPr="002C5F94" w:rsidRDefault="00802BD5" w:rsidP="005643E0">
      <w:pPr>
        <w:spacing w:line="240" w:lineRule="auto"/>
        <w:rPr>
          <w:b/>
        </w:rPr>
      </w:pPr>
      <w:r w:rsidRPr="002C5F94">
        <w:rPr>
          <w:b/>
        </w:rPr>
        <w:t xml:space="preserve">EL PRESIDENTE DE LA CORTE INTERAMERICANA DE DERECHOS HUMANOS, </w:t>
      </w:r>
    </w:p>
    <w:p w14:paraId="11A90F4C" w14:textId="77777777" w:rsidR="00ED2EB4" w:rsidRPr="00885622" w:rsidRDefault="00ED2EB4" w:rsidP="005643E0">
      <w:pPr>
        <w:spacing w:line="240" w:lineRule="auto"/>
      </w:pPr>
    </w:p>
    <w:p w14:paraId="537DE6EC" w14:textId="270827BF" w:rsidR="00802BD5" w:rsidRPr="00885622" w:rsidRDefault="00802BD5" w:rsidP="00B9306E">
      <w:pPr>
        <w:spacing w:line="240" w:lineRule="auto"/>
        <w:jc w:val="both"/>
      </w:pPr>
      <w:r w:rsidRPr="00885622">
        <w:t xml:space="preserve">de conformidad con los artículos </w:t>
      </w:r>
      <w:r w:rsidR="00E949E1" w:rsidRPr="00885622">
        <w:t xml:space="preserve">24.1 </w:t>
      </w:r>
      <w:r w:rsidR="009430D0">
        <w:t xml:space="preserve">y 25.2 </w:t>
      </w:r>
      <w:r w:rsidRPr="00885622">
        <w:t xml:space="preserve">del Estatuto de la Corte y con los artículos </w:t>
      </w:r>
      <w:r w:rsidR="009430D0">
        <w:t xml:space="preserve">4, 15, 26.1, 31.2, 35.1, 40.2, 41.1, </w:t>
      </w:r>
      <w:r w:rsidR="00E949E1" w:rsidRPr="00885622">
        <w:t>45, 46, 47, 48.</w:t>
      </w:r>
      <w:r w:rsidR="009430D0">
        <w:t>1.</w:t>
      </w:r>
      <w:r w:rsidR="00E949E1" w:rsidRPr="00885622">
        <w:t>c, 48.</w:t>
      </w:r>
      <w:r w:rsidR="009430D0">
        <w:t>1.</w:t>
      </w:r>
      <w:r w:rsidR="00E949E1" w:rsidRPr="00885622">
        <w:t xml:space="preserve">f, 50, 52 y 54 </w:t>
      </w:r>
      <w:r w:rsidRPr="00885622">
        <w:t>del Reglamento</w:t>
      </w:r>
      <w:r w:rsidR="009430D0">
        <w:t xml:space="preserve"> de la Corte y el Reglamento del Fondo de Asistencia Legal de Víctimas</w:t>
      </w:r>
      <w:r w:rsidRPr="00885622">
        <w:t xml:space="preserve">, </w:t>
      </w:r>
    </w:p>
    <w:p w14:paraId="63C63FA5" w14:textId="77777777" w:rsidR="00721EA7" w:rsidRPr="00885622" w:rsidRDefault="00721EA7" w:rsidP="005643E0">
      <w:pPr>
        <w:spacing w:line="240" w:lineRule="auto"/>
      </w:pPr>
    </w:p>
    <w:p w14:paraId="75193694" w14:textId="1A834DCE" w:rsidR="00802BD5" w:rsidRPr="002C5F94" w:rsidRDefault="00802BD5" w:rsidP="005643E0">
      <w:pPr>
        <w:spacing w:line="240" w:lineRule="auto"/>
        <w:rPr>
          <w:b/>
        </w:rPr>
      </w:pPr>
      <w:r w:rsidRPr="002C5F94">
        <w:rPr>
          <w:b/>
        </w:rPr>
        <w:t>RESUELVE:</w:t>
      </w:r>
    </w:p>
    <w:p w14:paraId="3A4C931B" w14:textId="77777777" w:rsidR="00CF1C87" w:rsidRPr="00885622" w:rsidRDefault="00CF1C87" w:rsidP="005643E0">
      <w:pPr>
        <w:spacing w:line="240" w:lineRule="auto"/>
      </w:pPr>
    </w:p>
    <w:p w14:paraId="6E7F62E0" w14:textId="4592206A" w:rsidR="0053557B" w:rsidRPr="00885622" w:rsidRDefault="0053557B" w:rsidP="00C80DBD">
      <w:pPr>
        <w:pStyle w:val="Prrafodelista"/>
        <w:numPr>
          <w:ilvl w:val="0"/>
          <w:numId w:val="5"/>
        </w:numPr>
        <w:tabs>
          <w:tab w:val="left" w:pos="567"/>
        </w:tabs>
        <w:spacing w:line="240" w:lineRule="auto"/>
        <w:ind w:left="0" w:firstLine="0"/>
        <w:jc w:val="both"/>
      </w:pPr>
      <w:bookmarkStart w:id="4" w:name="_Ref445286350"/>
      <w:r w:rsidRPr="00885622">
        <w:t xml:space="preserve">Convocar al Estado de </w:t>
      </w:r>
      <w:r w:rsidR="00885622" w:rsidRPr="00885622">
        <w:t>Perú</w:t>
      </w:r>
      <w:r w:rsidRPr="00885622">
        <w:t>, a</w:t>
      </w:r>
      <w:r w:rsidR="009948FD">
        <w:t xml:space="preserve"> </w:t>
      </w:r>
      <w:r w:rsidRPr="00885622">
        <w:t>l</w:t>
      </w:r>
      <w:r w:rsidR="009948FD">
        <w:t>as</w:t>
      </w:r>
      <w:r w:rsidRPr="00885622">
        <w:t xml:space="preserve"> representante</w:t>
      </w:r>
      <w:r w:rsidR="009948FD">
        <w:t>s</w:t>
      </w:r>
      <w:r w:rsidRPr="00885622">
        <w:t xml:space="preserve"> y a la Comisión Interamericana de Derechos Humanos a una audiencia pública </w:t>
      </w:r>
      <w:r w:rsidRPr="00C80DBD">
        <w:t>sobre la</w:t>
      </w:r>
      <w:r w:rsidR="009948FD">
        <w:t>s</w:t>
      </w:r>
      <w:r w:rsidRPr="00C80DBD">
        <w:t xml:space="preserve"> excepci</w:t>
      </w:r>
      <w:r w:rsidR="009948FD">
        <w:t>ones</w:t>
      </w:r>
      <w:r w:rsidRPr="00C80DBD">
        <w:t xml:space="preserve"> preliminar</w:t>
      </w:r>
      <w:r w:rsidR="009948FD">
        <w:t>es</w:t>
      </w:r>
      <w:r w:rsidRPr="00C80DBD">
        <w:t xml:space="preserve"> y eventuales fondo, reparaciones y costas que se celebrará </w:t>
      </w:r>
      <w:r w:rsidR="00C80DBD" w:rsidRPr="00C80DBD">
        <w:t>el día 27 de agosto</w:t>
      </w:r>
      <w:r w:rsidR="00C80DBD">
        <w:t xml:space="preserve"> de 2019 a partir de las 9:00 horas, </w:t>
      </w:r>
      <w:r w:rsidRPr="00885622">
        <w:t xml:space="preserve">durante </w:t>
      </w:r>
      <w:r w:rsidR="00C80DBD">
        <w:t>el 62</w:t>
      </w:r>
      <w:r w:rsidRPr="00885622">
        <w:t xml:space="preserve"> Período </w:t>
      </w:r>
      <w:r w:rsidR="00C80DBD">
        <w:t>Extrao</w:t>
      </w:r>
      <w:r w:rsidRPr="00885622">
        <w:t xml:space="preserve">rdinario de Sesiones, que se llevará a cabo en </w:t>
      </w:r>
      <w:r w:rsidR="00C80DBD">
        <w:t>Barranquilla, Colombia</w:t>
      </w:r>
      <w:r w:rsidRPr="00885622">
        <w:t xml:space="preserve"> para recibir sus alegatos y observaciones finales oral</w:t>
      </w:r>
      <w:r w:rsidR="00F3082B" w:rsidRPr="00885622">
        <w:t>es, respectivamente, sobre las excepciones preliminares, eventuales fondo, reparaciones y costas, así como las declaraciones de las siguientes personas:</w:t>
      </w:r>
    </w:p>
    <w:p w14:paraId="28012848" w14:textId="77777777" w:rsidR="0053557B" w:rsidRPr="00A5121E" w:rsidRDefault="0053557B" w:rsidP="00E97AA8">
      <w:pPr>
        <w:pStyle w:val="Prrafodelista"/>
        <w:rPr>
          <w:highlight w:val="yellow"/>
        </w:rPr>
      </w:pPr>
    </w:p>
    <w:p w14:paraId="4F732434" w14:textId="16CBAB17" w:rsidR="0053557B" w:rsidRPr="005643E0" w:rsidRDefault="00885622" w:rsidP="005643E0">
      <w:pPr>
        <w:pStyle w:val="Prrafodelista"/>
        <w:numPr>
          <w:ilvl w:val="0"/>
          <w:numId w:val="24"/>
        </w:numPr>
        <w:spacing w:line="240" w:lineRule="auto"/>
        <w:jc w:val="both"/>
        <w:rPr>
          <w:b/>
          <w:bCs/>
        </w:rPr>
      </w:pPr>
      <w:r w:rsidRPr="008E6444">
        <w:rPr>
          <w:b/>
          <w:bCs/>
          <w:i/>
        </w:rPr>
        <w:t>Presunta víctima</w:t>
      </w:r>
      <w:r w:rsidR="0053557B" w:rsidRPr="005643E0">
        <w:rPr>
          <w:b/>
          <w:bCs/>
        </w:rPr>
        <w:t xml:space="preserve"> </w:t>
      </w:r>
      <w:r w:rsidR="0053557B" w:rsidRPr="00931D35">
        <w:rPr>
          <w:i/>
        </w:rPr>
        <w:t>(p</w:t>
      </w:r>
      <w:r w:rsidR="00B53A26" w:rsidRPr="00931D35">
        <w:rPr>
          <w:rFonts w:eastAsia="Calibri" w:cs="Verdana"/>
          <w:i/>
        </w:rPr>
        <w:t>ropuesta</w:t>
      </w:r>
      <w:r w:rsidR="0053557B" w:rsidRPr="00931D35">
        <w:rPr>
          <w:i/>
        </w:rPr>
        <w:t xml:space="preserve"> por </w:t>
      </w:r>
      <w:r w:rsidR="00B53A26" w:rsidRPr="00931D35">
        <w:rPr>
          <w:i/>
        </w:rPr>
        <w:t>las</w:t>
      </w:r>
      <w:r w:rsidR="0053557B" w:rsidRPr="00931D35">
        <w:rPr>
          <w:i/>
        </w:rPr>
        <w:t xml:space="preserve"> representante</w:t>
      </w:r>
      <w:r w:rsidR="00B53A26" w:rsidRPr="00931D35">
        <w:rPr>
          <w:i/>
        </w:rPr>
        <w:t>s</w:t>
      </w:r>
      <w:r w:rsidR="0053557B" w:rsidRPr="00931D35">
        <w:rPr>
          <w:i/>
        </w:rPr>
        <w:t>)</w:t>
      </w:r>
    </w:p>
    <w:p w14:paraId="0F40B4C3" w14:textId="77777777" w:rsidR="0053557B" w:rsidRPr="005643E0" w:rsidRDefault="0053557B" w:rsidP="005643E0">
      <w:pPr>
        <w:spacing w:line="240" w:lineRule="auto"/>
        <w:jc w:val="both"/>
      </w:pPr>
    </w:p>
    <w:p w14:paraId="0F8A36AB" w14:textId="2FE0BD1A" w:rsidR="00E206D7" w:rsidRPr="005643E0" w:rsidRDefault="004260E7" w:rsidP="00271F05">
      <w:pPr>
        <w:spacing w:line="240" w:lineRule="auto"/>
        <w:ind w:left="709"/>
        <w:jc w:val="both"/>
      </w:pPr>
      <w:r w:rsidRPr="005643E0">
        <w:rPr>
          <w:i/>
        </w:rPr>
        <w:t>Azul Rojas Marín</w:t>
      </w:r>
      <w:r w:rsidRPr="005643E0">
        <w:t>, quien declarará sobre</w:t>
      </w:r>
      <w:r w:rsidR="00727142">
        <w:t xml:space="preserve"> </w:t>
      </w:r>
      <w:r w:rsidRPr="005643E0">
        <w:t>su detención por funcionarios policiales y de serenazgo el día 25 de febrero de 2008</w:t>
      </w:r>
      <w:r w:rsidR="00727142">
        <w:t>,</w:t>
      </w:r>
      <w:r w:rsidRPr="005643E0">
        <w:t xml:space="preserve"> el trato que recibió al momento de su detención y posteriormente en la Comisaría de Casa Grande</w:t>
      </w:r>
      <w:r w:rsidR="00727142">
        <w:t xml:space="preserve">, </w:t>
      </w:r>
      <w:r w:rsidRPr="005643E0">
        <w:t>su liberación y búsqueda de justicia</w:t>
      </w:r>
      <w:r w:rsidR="00727142">
        <w:t>,</w:t>
      </w:r>
      <w:r w:rsidRPr="005643E0">
        <w:t xml:space="preserve"> </w:t>
      </w:r>
      <w:r w:rsidRPr="005643E0">
        <w:lastRenderedPageBreak/>
        <w:t xml:space="preserve">la </w:t>
      </w:r>
      <w:r w:rsidR="00F71814">
        <w:t xml:space="preserve">supuesta </w:t>
      </w:r>
      <w:r w:rsidRPr="005643E0">
        <w:t>discriminación sufrida durante su detención y búsqueda de justicia</w:t>
      </w:r>
      <w:r w:rsidR="00727142">
        <w:t>,</w:t>
      </w:r>
      <w:r w:rsidRPr="005643E0">
        <w:t xml:space="preserve"> el impacto que la detención, </w:t>
      </w:r>
      <w:r w:rsidR="00F71814">
        <w:t xml:space="preserve">y la alegada </w:t>
      </w:r>
      <w:r w:rsidRPr="005643E0">
        <w:t>tortura e impunidad han tenido en su proyecto de vida y estado médico y psicológico; los impactos que los hechos tuvieron en su madre</w:t>
      </w:r>
      <w:r w:rsidR="00727142">
        <w:t>, así como las</w:t>
      </w:r>
      <w:r w:rsidRPr="005643E0">
        <w:t xml:space="preserve"> posibles medidas de reparación</w:t>
      </w:r>
      <w:r w:rsidR="00E206D7" w:rsidRPr="005643E0">
        <w:t>.</w:t>
      </w:r>
    </w:p>
    <w:p w14:paraId="129046B0" w14:textId="77777777" w:rsidR="0053557B" w:rsidRPr="005643E0" w:rsidRDefault="0053557B" w:rsidP="005643E0">
      <w:pPr>
        <w:spacing w:line="240" w:lineRule="auto"/>
        <w:jc w:val="both"/>
      </w:pPr>
    </w:p>
    <w:p w14:paraId="2E750FB8" w14:textId="090AFAB7" w:rsidR="0053557B" w:rsidRPr="005643E0" w:rsidRDefault="00F3082B" w:rsidP="005643E0">
      <w:pPr>
        <w:pStyle w:val="Ttulo1"/>
        <w:numPr>
          <w:ilvl w:val="0"/>
          <w:numId w:val="24"/>
        </w:numPr>
      </w:pPr>
      <w:r w:rsidRPr="005643E0">
        <w:t>Testigo</w:t>
      </w:r>
    </w:p>
    <w:p w14:paraId="0680408B" w14:textId="77777777" w:rsidR="00B53A26" w:rsidRPr="005643E0" w:rsidRDefault="00B53A26" w:rsidP="005643E0">
      <w:pPr>
        <w:spacing w:line="240" w:lineRule="auto"/>
        <w:jc w:val="both"/>
      </w:pPr>
      <w:bookmarkStart w:id="5" w:name="_Ref477386390"/>
    </w:p>
    <w:p w14:paraId="082DC5E5" w14:textId="43ECB2C9" w:rsidR="00B53A26" w:rsidRPr="00931D35" w:rsidRDefault="00B53A26" w:rsidP="005643E0">
      <w:pPr>
        <w:spacing w:line="240" w:lineRule="auto"/>
        <w:jc w:val="both"/>
        <w:rPr>
          <w:i/>
        </w:rPr>
      </w:pPr>
      <w:r w:rsidRPr="005643E0">
        <w:tab/>
      </w:r>
      <w:r w:rsidRPr="00931D35">
        <w:rPr>
          <w:i/>
        </w:rPr>
        <w:t>(Propuestas por el Estado)</w:t>
      </w:r>
    </w:p>
    <w:p w14:paraId="5F0D8C99" w14:textId="77777777" w:rsidR="00B53A26" w:rsidRPr="005643E0" w:rsidRDefault="00B53A26" w:rsidP="005643E0">
      <w:pPr>
        <w:spacing w:line="240" w:lineRule="auto"/>
        <w:jc w:val="both"/>
      </w:pPr>
    </w:p>
    <w:p w14:paraId="25D7C271" w14:textId="448FCF67" w:rsidR="00B53A26" w:rsidRPr="005643E0" w:rsidRDefault="00B53A26" w:rsidP="006A60ED">
      <w:pPr>
        <w:spacing w:line="240" w:lineRule="auto"/>
        <w:ind w:left="709"/>
        <w:jc w:val="both"/>
      </w:pPr>
      <w:r w:rsidRPr="005643E0">
        <w:rPr>
          <w:i/>
        </w:rPr>
        <w:t>Ketty Garibay Mascco</w:t>
      </w:r>
      <w:r w:rsidRPr="005643E0">
        <w:t xml:space="preserve">, Fiscal Adjunta Provincial Titular de la Segunda Fiscalía Penal Supraprovincial, quien se referirá al estado actual de la investigación penal llevada a cabo ante dicha Fiscalía en contra de los que resulten responsables y en agravio de Azul Rojas Marín por la presunta comisión del delito contra la humanidad – Tortura, así como las diversas diligencias </w:t>
      </w:r>
      <w:r w:rsidR="00727142">
        <w:t>realizadas.</w:t>
      </w:r>
    </w:p>
    <w:p w14:paraId="0BB0871E" w14:textId="77777777" w:rsidR="00885622" w:rsidRPr="005643E0" w:rsidRDefault="00885622" w:rsidP="005643E0">
      <w:pPr>
        <w:spacing w:line="240" w:lineRule="auto"/>
        <w:jc w:val="both"/>
      </w:pPr>
    </w:p>
    <w:p w14:paraId="36389F9A" w14:textId="0E2B96E7" w:rsidR="00885622" w:rsidRPr="00271F05" w:rsidRDefault="00931D35" w:rsidP="005643E0">
      <w:pPr>
        <w:pStyle w:val="Prrafodelista"/>
        <w:numPr>
          <w:ilvl w:val="0"/>
          <w:numId w:val="24"/>
        </w:numPr>
        <w:spacing w:line="240" w:lineRule="auto"/>
        <w:jc w:val="both"/>
        <w:rPr>
          <w:b/>
          <w:i/>
        </w:rPr>
      </w:pPr>
      <w:r>
        <w:rPr>
          <w:b/>
          <w:i/>
        </w:rPr>
        <w:t>Perit</w:t>
      </w:r>
      <w:r w:rsidR="00727142">
        <w:rPr>
          <w:b/>
          <w:i/>
        </w:rPr>
        <w:t>a</w:t>
      </w:r>
    </w:p>
    <w:p w14:paraId="559CD8E0" w14:textId="77777777" w:rsidR="0077745B" w:rsidRPr="005643E0" w:rsidRDefault="0077745B" w:rsidP="005643E0">
      <w:pPr>
        <w:spacing w:line="240" w:lineRule="auto"/>
        <w:jc w:val="both"/>
      </w:pPr>
    </w:p>
    <w:p w14:paraId="643F1211" w14:textId="5E7F9647" w:rsidR="00885622" w:rsidRPr="00931D35" w:rsidRDefault="00885622" w:rsidP="005643E0">
      <w:pPr>
        <w:pStyle w:val="Prrafodelista"/>
        <w:spacing w:line="240" w:lineRule="auto"/>
        <w:jc w:val="both"/>
        <w:rPr>
          <w:i/>
        </w:rPr>
      </w:pPr>
      <w:r w:rsidRPr="00931D35">
        <w:rPr>
          <w:i/>
        </w:rPr>
        <w:t>(Propuesta por la Comisión)</w:t>
      </w:r>
    </w:p>
    <w:p w14:paraId="62A50A50" w14:textId="77777777" w:rsidR="00885622" w:rsidRPr="005643E0" w:rsidRDefault="00885622" w:rsidP="005643E0">
      <w:pPr>
        <w:pStyle w:val="Prrafodelista"/>
        <w:spacing w:line="240" w:lineRule="auto"/>
        <w:jc w:val="both"/>
      </w:pPr>
    </w:p>
    <w:p w14:paraId="70898DBB" w14:textId="1A992E83" w:rsidR="00885622" w:rsidRPr="005643E0" w:rsidRDefault="00885622" w:rsidP="005643E0">
      <w:pPr>
        <w:pStyle w:val="Prrafodelista"/>
        <w:spacing w:line="240" w:lineRule="auto"/>
        <w:jc w:val="both"/>
      </w:pPr>
      <w:r w:rsidRPr="005643E0">
        <w:rPr>
          <w:i/>
        </w:rPr>
        <w:t>María Mercedes Gómez</w:t>
      </w:r>
      <w:r w:rsidRPr="005643E0">
        <w:t xml:space="preserve">, </w:t>
      </w:r>
      <w:r w:rsidR="00727142">
        <w:t xml:space="preserve">quien </w:t>
      </w:r>
      <w:r w:rsidRPr="005643E0">
        <w:t>declarará sobre la violencia contra personas LGBT</w:t>
      </w:r>
      <w:r w:rsidR="00727142">
        <w:t>I</w:t>
      </w:r>
      <w:r w:rsidRPr="005643E0">
        <w:t xml:space="preserve">, sus manifestaciones, así como el concepto de la violencia por prejuicio y el desarrollo de estas cuestiones en el derecho internacional de derechos humanos. La perita se referirá a las particularidades que deben tomarse en cuenta en el análisis probatorio de un caso de tortura sexual con base en la orientación sexual o identidad de género de una persona, así como en el análisis de las obligaciones específicas de investigación y sanción de los responsables. La perita también abordará las reparaciones necesarias en un caso como el presente y para ejemplificar el desarrollo de su peritaje, podrá referirse a los hechos del caso. </w:t>
      </w:r>
    </w:p>
    <w:p w14:paraId="3C11C5CF" w14:textId="77777777" w:rsidR="0053557B" w:rsidRPr="005643E0" w:rsidRDefault="0053557B" w:rsidP="005643E0">
      <w:pPr>
        <w:spacing w:line="240" w:lineRule="auto"/>
        <w:jc w:val="both"/>
        <w:rPr>
          <w:highlight w:val="yellow"/>
        </w:rPr>
      </w:pPr>
    </w:p>
    <w:p w14:paraId="10DE7416" w14:textId="3EEE3466" w:rsidR="0053557B" w:rsidRPr="005643E0" w:rsidRDefault="0053557B" w:rsidP="009948FD">
      <w:pPr>
        <w:pStyle w:val="Prrafodelista"/>
        <w:numPr>
          <w:ilvl w:val="0"/>
          <w:numId w:val="5"/>
        </w:numPr>
        <w:spacing w:line="240" w:lineRule="auto"/>
        <w:ind w:left="0" w:firstLine="0"/>
        <w:jc w:val="both"/>
        <w:rPr>
          <w:bCs/>
          <w:iCs/>
        </w:rPr>
      </w:pPr>
      <w:bookmarkStart w:id="6" w:name="_Ref532315339"/>
      <w:r w:rsidRPr="005643E0">
        <w:t>Requerir, de conformidad con el principio de economía procesal y de la facultad que le otorga el artículo 50.1 del Reglamento de la Corte, que las siguientes personas presten su declaración ante fedatario público:</w:t>
      </w:r>
      <w:bookmarkEnd w:id="4"/>
      <w:bookmarkEnd w:id="5"/>
      <w:bookmarkEnd w:id="6"/>
    </w:p>
    <w:p w14:paraId="4647F924" w14:textId="77777777" w:rsidR="00CF2AEE" w:rsidRPr="005643E0" w:rsidRDefault="00CF2AEE" w:rsidP="005643E0">
      <w:pPr>
        <w:pStyle w:val="Prrafodelista"/>
        <w:spacing w:line="240" w:lineRule="auto"/>
        <w:jc w:val="both"/>
      </w:pPr>
    </w:p>
    <w:p w14:paraId="174B6B1A" w14:textId="77777777" w:rsidR="004A1DF8" w:rsidRPr="008E6444" w:rsidRDefault="004A1DF8" w:rsidP="005643E0">
      <w:pPr>
        <w:pStyle w:val="Prrafodelista"/>
        <w:numPr>
          <w:ilvl w:val="0"/>
          <w:numId w:val="36"/>
        </w:numPr>
        <w:spacing w:line="240" w:lineRule="auto"/>
        <w:jc w:val="both"/>
        <w:rPr>
          <w:b/>
          <w:i/>
        </w:rPr>
      </w:pPr>
      <w:r w:rsidRPr="008E6444">
        <w:rPr>
          <w:b/>
          <w:i/>
        </w:rPr>
        <w:t>Testigos</w:t>
      </w:r>
    </w:p>
    <w:p w14:paraId="56850CDD" w14:textId="77777777" w:rsidR="008E6444" w:rsidRPr="005643E0" w:rsidRDefault="008E6444" w:rsidP="008E6444">
      <w:pPr>
        <w:pStyle w:val="Prrafodelista"/>
        <w:spacing w:line="240" w:lineRule="auto"/>
        <w:jc w:val="both"/>
      </w:pPr>
    </w:p>
    <w:p w14:paraId="6BAD4CDC" w14:textId="0DB50336" w:rsidR="008E6444" w:rsidRPr="00931D35" w:rsidRDefault="008E6444" w:rsidP="008E6444">
      <w:pPr>
        <w:pStyle w:val="Prrafodelista"/>
        <w:spacing w:line="240" w:lineRule="auto"/>
        <w:jc w:val="both"/>
        <w:rPr>
          <w:i/>
        </w:rPr>
      </w:pPr>
      <w:r w:rsidRPr="00931D35">
        <w:rPr>
          <w:i/>
        </w:rPr>
        <w:t>(Propuestos por las representantes)</w:t>
      </w:r>
    </w:p>
    <w:p w14:paraId="5A1DA44B" w14:textId="77777777" w:rsidR="004A1DF8" w:rsidRPr="005643E0" w:rsidRDefault="004A1DF8" w:rsidP="005643E0">
      <w:pPr>
        <w:pStyle w:val="Prrafodelista"/>
        <w:spacing w:line="240" w:lineRule="auto"/>
        <w:jc w:val="both"/>
      </w:pPr>
    </w:p>
    <w:p w14:paraId="5269B25E" w14:textId="398E2FC3" w:rsidR="004A1DF8" w:rsidRDefault="004A1DF8" w:rsidP="006A60ED">
      <w:pPr>
        <w:spacing w:line="240" w:lineRule="auto"/>
        <w:ind w:left="709"/>
        <w:jc w:val="both"/>
      </w:pPr>
      <w:r w:rsidRPr="005643E0">
        <w:rPr>
          <w:i/>
        </w:rPr>
        <w:t>Víctor Álvarez</w:t>
      </w:r>
      <w:r w:rsidRPr="005643E0">
        <w:t>, abogado de Azul Rojas Marín en el proceso interno, quien d</w:t>
      </w:r>
      <w:r w:rsidR="00727142">
        <w:t>eclarará sobre</w:t>
      </w:r>
      <w:r w:rsidR="00931D35">
        <w:t xml:space="preserve"> </w:t>
      </w:r>
      <w:r w:rsidRPr="005643E0">
        <w:t>el proceso de búsqueda de justicia de Azul por la</w:t>
      </w:r>
      <w:r w:rsidR="00F71814">
        <w:t xml:space="preserve"> alegada</w:t>
      </w:r>
      <w:r w:rsidRPr="005643E0">
        <w:t xml:space="preserve"> detención ilegal y tortura</w:t>
      </w:r>
      <w:r w:rsidR="00931D35">
        <w:t xml:space="preserve">; </w:t>
      </w:r>
      <w:r w:rsidRPr="005643E0">
        <w:t xml:space="preserve">el </w:t>
      </w:r>
      <w:r w:rsidR="00F71814">
        <w:t xml:space="preserve">supuesto </w:t>
      </w:r>
      <w:r w:rsidRPr="005643E0">
        <w:t xml:space="preserve">trato discriminatorio y las </w:t>
      </w:r>
      <w:r w:rsidR="00F71814">
        <w:t xml:space="preserve">alegadas </w:t>
      </w:r>
      <w:r w:rsidRPr="005643E0">
        <w:t>amenazas sufridas por Azul y su familia durante la investigación y proceso en su caso; la respuesta obtenida de parte de las instituciones peruanas durante la investigación</w:t>
      </w:r>
      <w:r w:rsidR="00931D35">
        <w:t>, y</w:t>
      </w:r>
      <w:r w:rsidRPr="005643E0">
        <w:t xml:space="preserve"> posibles medidas de reparación.</w:t>
      </w:r>
    </w:p>
    <w:p w14:paraId="20FB5E06" w14:textId="77777777" w:rsidR="008E6444" w:rsidRDefault="008E6444" w:rsidP="006A60ED">
      <w:pPr>
        <w:spacing w:line="240" w:lineRule="auto"/>
        <w:ind w:left="709"/>
        <w:jc w:val="both"/>
      </w:pPr>
    </w:p>
    <w:p w14:paraId="5F6365FB" w14:textId="0426FAFD" w:rsidR="008E6444" w:rsidRPr="00931D35" w:rsidRDefault="008E6444" w:rsidP="008E6444">
      <w:pPr>
        <w:pStyle w:val="Prrafodelista"/>
        <w:spacing w:line="240" w:lineRule="auto"/>
        <w:jc w:val="both"/>
        <w:rPr>
          <w:i/>
        </w:rPr>
      </w:pPr>
      <w:r w:rsidRPr="00931D35">
        <w:rPr>
          <w:i/>
        </w:rPr>
        <w:t>(Propuestos por el Estado)</w:t>
      </w:r>
    </w:p>
    <w:p w14:paraId="4BC0FFC3" w14:textId="77777777" w:rsidR="008E6444" w:rsidRDefault="008E6444" w:rsidP="008E6444">
      <w:pPr>
        <w:spacing w:line="240" w:lineRule="auto"/>
        <w:ind w:left="709"/>
        <w:jc w:val="both"/>
        <w:rPr>
          <w:i/>
        </w:rPr>
      </w:pPr>
    </w:p>
    <w:p w14:paraId="02A3A4AB" w14:textId="77777777" w:rsidR="008E6444" w:rsidRPr="005643E0" w:rsidRDefault="008E6444" w:rsidP="008E6444">
      <w:pPr>
        <w:spacing w:line="240" w:lineRule="auto"/>
        <w:ind w:left="709"/>
        <w:jc w:val="both"/>
      </w:pPr>
      <w:r w:rsidRPr="005643E0">
        <w:rPr>
          <w:i/>
        </w:rPr>
        <w:t>Nancy Rosalina Tolentino Gamarra</w:t>
      </w:r>
      <w:r w:rsidRPr="005643E0">
        <w:t>, Funcionaria del Ministerio de la Mujer y Poblaciones Vulnerables, quien declarará sobre los avances adoptados por el Estado peruano en materia de igualdad de género, particularmente enfocado en la población LGBTI. Para ello, hará énfasis en la política nacional actualmente vigente en el Perú en materia de igualdad de género y de erradicación de la violencia de género y los diferentes instrumentos transversales desarrollados en virtud de dichas políticas, así como cualquier otra acción o medida adoptada por el Estado sobre dicha temática.</w:t>
      </w:r>
    </w:p>
    <w:p w14:paraId="6F53B780" w14:textId="77777777" w:rsidR="004A1DF8" w:rsidRPr="005643E0" w:rsidRDefault="004A1DF8" w:rsidP="008E6444">
      <w:pPr>
        <w:spacing w:line="240" w:lineRule="auto"/>
        <w:jc w:val="both"/>
      </w:pPr>
    </w:p>
    <w:p w14:paraId="5FEC37E9" w14:textId="43587FDD" w:rsidR="00CF2AEE" w:rsidRPr="008E6444" w:rsidRDefault="000A0FDA" w:rsidP="005643E0">
      <w:pPr>
        <w:pStyle w:val="Prrafodelista"/>
        <w:numPr>
          <w:ilvl w:val="0"/>
          <w:numId w:val="36"/>
        </w:numPr>
        <w:spacing w:line="240" w:lineRule="auto"/>
        <w:jc w:val="both"/>
        <w:rPr>
          <w:b/>
          <w:i/>
        </w:rPr>
      </w:pPr>
      <w:r w:rsidRPr="008E6444">
        <w:rPr>
          <w:b/>
          <w:i/>
        </w:rPr>
        <w:t>Perito</w:t>
      </w:r>
      <w:r w:rsidR="00CF2AEE" w:rsidRPr="008E6444">
        <w:rPr>
          <w:b/>
          <w:i/>
        </w:rPr>
        <w:t>s</w:t>
      </w:r>
    </w:p>
    <w:p w14:paraId="2500A0E7" w14:textId="77777777" w:rsidR="00CF2AEE" w:rsidRPr="005643E0" w:rsidRDefault="00CF2AEE" w:rsidP="005643E0">
      <w:pPr>
        <w:pStyle w:val="Prrafodelista"/>
        <w:spacing w:line="240" w:lineRule="auto"/>
        <w:jc w:val="both"/>
      </w:pPr>
    </w:p>
    <w:p w14:paraId="1EA91CFE" w14:textId="230AE23B" w:rsidR="0077745B" w:rsidRPr="00931D35" w:rsidRDefault="0077745B" w:rsidP="005643E0">
      <w:pPr>
        <w:pStyle w:val="Prrafodelista"/>
        <w:spacing w:line="240" w:lineRule="auto"/>
        <w:jc w:val="both"/>
        <w:rPr>
          <w:i/>
        </w:rPr>
      </w:pPr>
      <w:r w:rsidRPr="00931D35">
        <w:rPr>
          <w:i/>
        </w:rPr>
        <w:t>(Propuestos por las representantes)</w:t>
      </w:r>
    </w:p>
    <w:p w14:paraId="04F2A5D0" w14:textId="77777777" w:rsidR="0077745B" w:rsidRPr="005643E0" w:rsidRDefault="0077745B" w:rsidP="005643E0">
      <w:pPr>
        <w:pStyle w:val="Prrafodelista"/>
        <w:spacing w:line="240" w:lineRule="auto"/>
        <w:jc w:val="both"/>
      </w:pPr>
    </w:p>
    <w:p w14:paraId="3D1458EC" w14:textId="7F474C93" w:rsidR="0077745B" w:rsidRPr="005643E0" w:rsidRDefault="0077745B" w:rsidP="00271F05">
      <w:pPr>
        <w:pStyle w:val="Prrafodelista"/>
        <w:spacing w:line="240" w:lineRule="auto"/>
        <w:jc w:val="both"/>
      </w:pPr>
      <w:r w:rsidRPr="005643E0">
        <w:rPr>
          <w:i/>
        </w:rPr>
        <w:t>Juan Méndez</w:t>
      </w:r>
      <w:r w:rsidRPr="005643E0">
        <w:t>, quien rendirá peritaje sobre</w:t>
      </w:r>
      <w:r w:rsidR="00271F05">
        <w:t xml:space="preserve"> </w:t>
      </w:r>
      <w:r w:rsidRPr="005643E0">
        <w:t>los estándares relevantes en el Derecho</w:t>
      </w:r>
      <w:r w:rsidR="00271F05">
        <w:t xml:space="preserve"> </w:t>
      </w:r>
      <w:r w:rsidRPr="005643E0">
        <w:t>Interna</w:t>
      </w:r>
      <w:r w:rsidR="00F71814">
        <w:t>c</w:t>
      </w:r>
      <w:r w:rsidRPr="005643E0">
        <w:t xml:space="preserve">ional sobre tortura, específicamente cuando la misma es cometida por cualquier </w:t>
      </w:r>
      <w:r w:rsidR="00271F05">
        <w:t xml:space="preserve">razón basada en discriminación; </w:t>
      </w:r>
      <w:r w:rsidRPr="005643E0">
        <w:t>los estándares de debida diligencia en la investigación de casos de tortura, y de manera particular respecto a tortura motivada por cualquier tipo de discriminación; la inadecuación del tipo de penal de tortura en el Código Penal peruano a la luz de los estándares internacionales</w:t>
      </w:r>
      <w:r w:rsidR="00271F05">
        <w:t xml:space="preserve">, y </w:t>
      </w:r>
      <w:r w:rsidRPr="005643E0">
        <w:t>posibles medidas de reparación.</w:t>
      </w:r>
    </w:p>
    <w:p w14:paraId="1201B429" w14:textId="77777777" w:rsidR="0077745B" w:rsidRPr="005643E0" w:rsidRDefault="0077745B" w:rsidP="005643E0">
      <w:pPr>
        <w:pStyle w:val="Prrafodelista"/>
        <w:spacing w:line="240" w:lineRule="auto"/>
        <w:jc w:val="both"/>
      </w:pPr>
    </w:p>
    <w:p w14:paraId="4ABA1F00" w14:textId="43A07F7A" w:rsidR="00271F05" w:rsidRDefault="00271F05" w:rsidP="005643E0">
      <w:pPr>
        <w:pStyle w:val="Prrafodelista"/>
        <w:spacing w:line="240" w:lineRule="auto"/>
        <w:jc w:val="both"/>
      </w:pPr>
      <w:r w:rsidRPr="005643E0">
        <w:rPr>
          <w:i/>
        </w:rPr>
        <w:t>Nora Sveaas</w:t>
      </w:r>
      <w:r w:rsidRPr="005643E0">
        <w:t>, quien rendirá peritaje sobre</w:t>
      </w:r>
      <w:r>
        <w:t xml:space="preserve"> </w:t>
      </w:r>
      <w:r w:rsidRPr="005643E0">
        <w:t xml:space="preserve">el impacto de la tortura, la violencia sexual y la falta de investigación con debida diligencia en contextos de discriminación contra personas LGBTI y sus familiares; la rehabilitación como medida de reparación esencial en dichos casos y la manera en que debe </w:t>
      </w:r>
      <w:r w:rsidR="00EA4BE8">
        <w:t xml:space="preserve">operar </w:t>
      </w:r>
      <w:r w:rsidRPr="005643E0">
        <w:t>para subsanar el daño causado, tanto físico como mental</w:t>
      </w:r>
      <w:r w:rsidR="00F71814">
        <w:t>, y</w:t>
      </w:r>
      <w:r w:rsidRPr="005643E0">
        <w:t xml:space="preserve"> otras posibles medidas de reparación necesarias en este tipo de casos</w:t>
      </w:r>
      <w:r>
        <w:t>.</w:t>
      </w:r>
    </w:p>
    <w:p w14:paraId="09F65EF6" w14:textId="77777777" w:rsidR="00271F05" w:rsidRDefault="00271F05" w:rsidP="005643E0">
      <w:pPr>
        <w:pStyle w:val="Prrafodelista"/>
        <w:spacing w:line="240" w:lineRule="auto"/>
        <w:jc w:val="both"/>
      </w:pPr>
    </w:p>
    <w:p w14:paraId="523D578A" w14:textId="718BB4E0" w:rsidR="0077745B" w:rsidRPr="005643E0" w:rsidRDefault="0077745B" w:rsidP="005643E0">
      <w:pPr>
        <w:pStyle w:val="Prrafodelista"/>
        <w:spacing w:line="240" w:lineRule="auto"/>
        <w:jc w:val="both"/>
      </w:pPr>
      <w:r w:rsidRPr="005643E0">
        <w:rPr>
          <w:i/>
        </w:rPr>
        <w:t>Mauricio Noguera</w:t>
      </w:r>
      <w:r w:rsidRPr="005643E0">
        <w:t>, quien rendirá peritaje sobre</w:t>
      </w:r>
      <w:r w:rsidR="00931D35">
        <w:t xml:space="preserve"> </w:t>
      </w:r>
      <w:r w:rsidRPr="005643E0">
        <w:t xml:space="preserve">los estándares de debida diligencia con perspectiva de género a la luz del derecho internacional en la investigación de casos de violencia contra personas LGBTI; las </w:t>
      </w:r>
      <w:r w:rsidR="00F71814">
        <w:t xml:space="preserve">alegadas </w:t>
      </w:r>
      <w:r w:rsidRPr="005643E0">
        <w:t>violaciones de</w:t>
      </w:r>
      <w:r w:rsidR="00F71814">
        <w:t>l</w:t>
      </w:r>
      <w:r w:rsidRPr="005643E0">
        <w:t xml:space="preserve"> debido proceso en el presente caso a la luz de dichos estándares</w:t>
      </w:r>
      <w:r w:rsidR="00931D35">
        <w:t>, y</w:t>
      </w:r>
      <w:r w:rsidRPr="005643E0">
        <w:t xml:space="preserve"> posibles medidas de reparación. El perito tomará en cuenta el contexto de Perú y los hechos del presente caso al desarrollar su peritaje.</w:t>
      </w:r>
    </w:p>
    <w:p w14:paraId="334533B3" w14:textId="1CCAC8B3" w:rsidR="00885622" w:rsidRPr="005643E0" w:rsidRDefault="00885622" w:rsidP="008E6444">
      <w:pPr>
        <w:spacing w:line="240" w:lineRule="auto"/>
        <w:jc w:val="both"/>
      </w:pPr>
    </w:p>
    <w:p w14:paraId="14F51911" w14:textId="48AFE320" w:rsidR="00C04D12" w:rsidRPr="00931D35" w:rsidRDefault="00C04D12" w:rsidP="005643E0">
      <w:pPr>
        <w:pStyle w:val="Prrafodelista"/>
        <w:spacing w:line="240" w:lineRule="auto"/>
        <w:jc w:val="both"/>
        <w:rPr>
          <w:i/>
        </w:rPr>
      </w:pPr>
      <w:r w:rsidRPr="00931D35">
        <w:rPr>
          <w:i/>
        </w:rPr>
        <w:t>(Propuesto</w:t>
      </w:r>
      <w:r w:rsidR="0077745B" w:rsidRPr="00931D35">
        <w:rPr>
          <w:i/>
        </w:rPr>
        <w:t>s</w:t>
      </w:r>
      <w:r w:rsidRPr="00931D35">
        <w:rPr>
          <w:i/>
        </w:rPr>
        <w:t xml:space="preserve"> por el Estado)</w:t>
      </w:r>
    </w:p>
    <w:p w14:paraId="3DB41C68" w14:textId="77777777" w:rsidR="00C04D12" w:rsidRPr="005643E0" w:rsidRDefault="00C04D12" w:rsidP="005643E0">
      <w:pPr>
        <w:pStyle w:val="Prrafodelista"/>
        <w:spacing w:line="240" w:lineRule="auto"/>
        <w:jc w:val="both"/>
      </w:pPr>
    </w:p>
    <w:p w14:paraId="3123BF3D" w14:textId="55A2E747" w:rsidR="00C04D12" w:rsidRPr="005643E0" w:rsidRDefault="00C04D12" w:rsidP="005643E0">
      <w:pPr>
        <w:pStyle w:val="Prrafodelista"/>
        <w:spacing w:line="240" w:lineRule="auto"/>
        <w:jc w:val="both"/>
      </w:pPr>
      <w:r w:rsidRPr="005643E0">
        <w:rPr>
          <w:i/>
        </w:rPr>
        <w:t>Luis Alberto Naldos Blanco</w:t>
      </w:r>
      <w:r w:rsidRPr="005643E0">
        <w:t>, abogado, quien desarrollará aspectos relacionados a los procedimientos establecidos por la Policía Nacional del Perú en relación a la retención para efectos de identificación de Azul Rojas Marín de fecha 25 de febrero de 2008 y su concordancia con lo establecido en el artículo 205º del Nuevo Código Procesal Penal peruano.</w:t>
      </w:r>
    </w:p>
    <w:p w14:paraId="36362129" w14:textId="77777777" w:rsidR="00C04D12" w:rsidRPr="005643E0" w:rsidRDefault="00C04D12" w:rsidP="005643E0">
      <w:pPr>
        <w:pStyle w:val="Prrafodelista"/>
        <w:spacing w:line="240" w:lineRule="auto"/>
        <w:jc w:val="both"/>
      </w:pPr>
    </w:p>
    <w:p w14:paraId="77BE2255" w14:textId="0F5D3E8E" w:rsidR="00C04D12" w:rsidRPr="005643E0" w:rsidRDefault="00C04D12" w:rsidP="005643E0">
      <w:pPr>
        <w:pStyle w:val="Prrafodelista"/>
        <w:spacing w:line="240" w:lineRule="auto"/>
        <w:jc w:val="both"/>
      </w:pPr>
      <w:r w:rsidRPr="005643E0">
        <w:rPr>
          <w:i/>
        </w:rPr>
        <w:t>Moisés Valdemar Ponce Malaver</w:t>
      </w:r>
      <w:r w:rsidRPr="005643E0">
        <w:t xml:space="preserve">, médico cirujano, quien se pronunciará sobre las medidas legislativas y protocolos para la prevención de actos de tortura y violencia sexual y los programas de capacitación y formación para funcionarios públicos encargados de la aplicación de estas medidas, teniendo en cuenta los estándares internacionales. </w:t>
      </w:r>
    </w:p>
    <w:p w14:paraId="07359213" w14:textId="77777777" w:rsidR="00C04D12" w:rsidRPr="005643E0" w:rsidRDefault="00C04D12" w:rsidP="005643E0">
      <w:pPr>
        <w:pStyle w:val="Prrafodelista"/>
        <w:spacing w:line="240" w:lineRule="auto"/>
        <w:jc w:val="both"/>
      </w:pPr>
    </w:p>
    <w:p w14:paraId="1F7251B4" w14:textId="1080A7A3" w:rsidR="00C04D12" w:rsidRPr="005643E0" w:rsidRDefault="00C04D12" w:rsidP="005643E0">
      <w:pPr>
        <w:pStyle w:val="Prrafodelista"/>
        <w:spacing w:line="240" w:lineRule="auto"/>
        <w:jc w:val="both"/>
      </w:pPr>
      <w:r w:rsidRPr="005643E0">
        <w:rPr>
          <w:i/>
        </w:rPr>
        <w:t>Víctor Manuel Cubas Villanueva</w:t>
      </w:r>
      <w:r w:rsidRPr="005643E0">
        <w:t>, abogado, quien desarrollará aspectos relacionadas a la convencionalidad de los artículos 321º del Código Penal peruano y 205º del Nuevo Código Procesal Penal peruano.</w:t>
      </w:r>
    </w:p>
    <w:p w14:paraId="6394DE44" w14:textId="7CAC5A9A" w:rsidR="00A138D5" w:rsidRPr="005643E0" w:rsidRDefault="00A138D5" w:rsidP="005643E0">
      <w:pPr>
        <w:pStyle w:val="Prrafodelista"/>
        <w:tabs>
          <w:tab w:val="left" w:pos="567"/>
        </w:tabs>
        <w:spacing w:line="240" w:lineRule="auto"/>
        <w:ind w:left="0"/>
        <w:jc w:val="both"/>
      </w:pPr>
    </w:p>
    <w:p w14:paraId="2563C62E" w14:textId="17E2CF04" w:rsidR="0053557B" w:rsidRPr="005643E0" w:rsidRDefault="0053557B" w:rsidP="005643E0">
      <w:pPr>
        <w:pStyle w:val="Prrafodelista"/>
        <w:numPr>
          <w:ilvl w:val="0"/>
          <w:numId w:val="5"/>
        </w:numPr>
        <w:tabs>
          <w:tab w:val="left" w:pos="567"/>
        </w:tabs>
        <w:spacing w:line="240" w:lineRule="auto"/>
        <w:ind w:left="0" w:firstLine="0"/>
        <w:jc w:val="both"/>
      </w:pPr>
      <w:r w:rsidRPr="005643E0">
        <w:t xml:space="preserve">Requerir a la Comisión Interamericana y </w:t>
      </w:r>
      <w:r w:rsidR="003E055B" w:rsidRPr="005643E0">
        <w:t>a las partes</w:t>
      </w:r>
      <w:r w:rsidRPr="005643E0">
        <w:t xml:space="preserve"> que notifiquen la presente Resolución a las personas por ellos propuestas, respectivamente, que han sido convocad</w:t>
      </w:r>
      <w:r w:rsidR="00F71814">
        <w:t>a</w:t>
      </w:r>
      <w:r w:rsidRPr="005643E0">
        <w:t xml:space="preserve">s a rendir declaración, de conformidad con lo dispuesto en los artículos 50.2 y 50.4 del Reglamento. </w:t>
      </w:r>
    </w:p>
    <w:p w14:paraId="7FB68A14" w14:textId="77777777" w:rsidR="0053557B" w:rsidRPr="005643E0" w:rsidRDefault="0053557B" w:rsidP="005643E0">
      <w:pPr>
        <w:pStyle w:val="Prrafodelista"/>
        <w:spacing w:line="240" w:lineRule="auto"/>
        <w:ind w:left="0"/>
        <w:jc w:val="both"/>
      </w:pPr>
    </w:p>
    <w:p w14:paraId="7D349953" w14:textId="2EF37F90" w:rsidR="003E055B" w:rsidRPr="005643E0" w:rsidRDefault="0053557B" w:rsidP="005643E0">
      <w:pPr>
        <w:pStyle w:val="Ttulo1"/>
        <w:numPr>
          <w:ilvl w:val="0"/>
          <w:numId w:val="5"/>
        </w:numPr>
        <w:ind w:left="0" w:firstLine="0"/>
        <w:rPr>
          <w:b w:val="0"/>
          <w:i w:val="0"/>
        </w:rPr>
      </w:pPr>
      <w:r w:rsidRPr="005643E0">
        <w:rPr>
          <w:b w:val="0"/>
          <w:i w:val="0"/>
        </w:rPr>
        <w:t>Requerir al Estado y a</w:t>
      </w:r>
      <w:r w:rsidR="00897B18">
        <w:rPr>
          <w:b w:val="0"/>
          <w:i w:val="0"/>
        </w:rPr>
        <w:t xml:space="preserve"> </w:t>
      </w:r>
      <w:r w:rsidR="00B379C0" w:rsidRPr="005643E0">
        <w:rPr>
          <w:b w:val="0"/>
          <w:i w:val="0"/>
        </w:rPr>
        <w:t>l</w:t>
      </w:r>
      <w:r w:rsidR="00897B18">
        <w:rPr>
          <w:b w:val="0"/>
          <w:i w:val="0"/>
        </w:rPr>
        <w:t>as</w:t>
      </w:r>
      <w:r w:rsidR="00B379C0" w:rsidRPr="005643E0">
        <w:rPr>
          <w:b w:val="0"/>
          <w:i w:val="0"/>
        </w:rPr>
        <w:t xml:space="preserve"> representante</w:t>
      </w:r>
      <w:r w:rsidR="00897B18">
        <w:rPr>
          <w:b w:val="0"/>
          <w:i w:val="0"/>
        </w:rPr>
        <w:t>s</w:t>
      </w:r>
      <w:r w:rsidRPr="005643E0">
        <w:rPr>
          <w:b w:val="0"/>
          <w:i w:val="0"/>
        </w:rPr>
        <w:t xml:space="preserve"> que remitan, en los términos del artículo 50.5 del Reglamento y de considerarlo pertinente, en el plazo improrrogable que vence el </w:t>
      </w:r>
      <w:r w:rsidR="001B2DF7">
        <w:rPr>
          <w:b w:val="0"/>
          <w:i w:val="0"/>
        </w:rPr>
        <w:t xml:space="preserve">26 de julio de </w:t>
      </w:r>
      <w:r w:rsidRPr="005643E0">
        <w:rPr>
          <w:b w:val="0"/>
          <w:i w:val="0"/>
        </w:rPr>
        <w:t>201</w:t>
      </w:r>
      <w:r w:rsidR="003E055B" w:rsidRPr="005643E0">
        <w:rPr>
          <w:b w:val="0"/>
          <w:i w:val="0"/>
        </w:rPr>
        <w:t>9</w:t>
      </w:r>
      <w:r w:rsidRPr="005643E0">
        <w:rPr>
          <w:b w:val="0"/>
          <w:i w:val="0"/>
        </w:rPr>
        <w:t xml:space="preserve">, las preguntas que estime pertinente formular, a través de la Corte </w:t>
      </w:r>
      <w:r w:rsidRPr="005643E0">
        <w:rPr>
          <w:b w:val="0"/>
          <w:i w:val="0"/>
        </w:rPr>
        <w:lastRenderedPageBreak/>
        <w:t xml:space="preserve">Interamericana, a los declarantes indicados en el punto resolutivo </w:t>
      </w:r>
      <w:r w:rsidR="003E055B" w:rsidRPr="005643E0">
        <w:rPr>
          <w:b w:val="0"/>
          <w:i w:val="0"/>
        </w:rPr>
        <w:fldChar w:fldCharType="begin"/>
      </w:r>
      <w:r w:rsidR="003E055B" w:rsidRPr="005643E0">
        <w:rPr>
          <w:b w:val="0"/>
          <w:i w:val="0"/>
        </w:rPr>
        <w:instrText xml:space="preserve"> REF _Ref532315339 \r \h </w:instrText>
      </w:r>
      <w:r w:rsidR="00484610" w:rsidRPr="005643E0">
        <w:rPr>
          <w:b w:val="0"/>
          <w:i w:val="0"/>
        </w:rPr>
        <w:instrText xml:space="preserve"> \* MERGEFORMAT </w:instrText>
      </w:r>
      <w:r w:rsidR="003E055B" w:rsidRPr="005643E0">
        <w:rPr>
          <w:b w:val="0"/>
          <w:i w:val="0"/>
        </w:rPr>
      </w:r>
      <w:r w:rsidR="003E055B" w:rsidRPr="005643E0">
        <w:rPr>
          <w:b w:val="0"/>
          <w:i w:val="0"/>
        </w:rPr>
        <w:fldChar w:fldCharType="separate"/>
      </w:r>
      <w:r w:rsidR="006B6D4D">
        <w:rPr>
          <w:b w:val="0"/>
          <w:i w:val="0"/>
        </w:rPr>
        <w:t>2</w:t>
      </w:r>
      <w:r w:rsidR="003E055B" w:rsidRPr="005643E0">
        <w:rPr>
          <w:b w:val="0"/>
          <w:i w:val="0"/>
        </w:rPr>
        <w:fldChar w:fldCharType="end"/>
      </w:r>
      <w:r w:rsidRPr="005643E0">
        <w:rPr>
          <w:b w:val="0"/>
          <w:i w:val="0"/>
        </w:rPr>
        <w:t xml:space="preserve"> de la presente Resolución, según corresponda.</w:t>
      </w:r>
      <w:r w:rsidR="00B379C0" w:rsidRPr="005643E0">
        <w:rPr>
          <w:b w:val="0"/>
          <w:i w:val="0"/>
        </w:rPr>
        <w:t xml:space="preserve"> </w:t>
      </w:r>
    </w:p>
    <w:p w14:paraId="1B4CEB48" w14:textId="77777777" w:rsidR="003E055B" w:rsidRPr="005643E0" w:rsidRDefault="003E055B" w:rsidP="005643E0">
      <w:pPr>
        <w:pStyle w:val="Encabezado"/>
        <w:jc w:val="both"/>
      </w:pPr>
    </w:p>
    <w:p w14:paraId="72A3A514" w14:textId="6246CACD" w:rsidR="0053557B" w:rsidRPr="005643E0" w:rsidRDefault="0053557B" w:rsidP="005643E0">
      <w:pPr>
        <w:pStyle w:val="Ttulo1"/>
        <w:numPr>
          <w:ilvl w:val="0"/>
          <w:numId w:val="5"/>
        </w:numPr>
        <w:ind w:left="0" w:firstLine="0"/>
        <w:rPr>
          <w:b w:val="0"/>
          <w:i w:val="0"/>
        </w:rPr>
      </w:pPr>
      <w:r w:rsidRPr="005643E0">
        <w:rPr>
          <w:b w:val="0"/>
          <w:i w:val="0"/>
        </w:rPr>
        <w:t xml:space="preserve">Requerir a </w:t>
      </w:r>
      <w:r w:rsidR="003E055B" w:rsidRPr="005643E0">
        <w:rPr>
          <w:b w:val="0"/>
          <w:i w:val="0"/>
        </w:rPr>
        <w:t>las partes</w:t>
      </w:r>
      <w:r w:rsidRPr="005643E0">
        <w:rPr>
          <w:b w:val="0"/>
          <w:i w:val="0"/>
        </w:rPr>
        <w:t xml:space="preserve"> y a la Comisión que coordinen y realicen las diligencias necesarias para que, una vez recibidas las preguntas de la contraparte, los declarantes incluyan las respuestas en sus declaraciones rendidas ante fedatario público, salvo que el Presidente disponga lo contrario cuando la Secretaría de la Corte las transmita. La</w:t>
      </w:r>
      <w:r w:rsidR="00E949E1" w:rsidRPr="005643E0">
        <w:rPr>
          <w:b w:val="0"/>
          <w:i w:val="0"/>
        </w:rPr>
        <w:t>s declaraciones y peritajes</w:t>
      </w:r>
      <w:r w:rsidRPr="005643E0">
        <w:rPr>
          <w:b w:val="0"/>
          <w:i w:val="0"/>
        </w:rPr>
        <w:t xml:space="preserve"> requeridos deberán ser presentados a más tardar el </w:t>
      </w:r>
      <w:r w:rsidR="001B2DF7">
        <w:rPr>
          <w:b w:val="0"/>
          <w:i w:val="0"/>
        </w:rPr>
        <w:t>12 de agosto</w:t>
      </w:r>
      <w:r w:rsidRPr="005643E0">
        <w:rPr>
          <w:b w:val="0"/>
          <w:i w:val="0"/>
        </w:rPr>
        <w:t xml:space="preserve"> de 201</w:t>
      </w:r>
      <w:r w:rsidR="003E055B" w:rsidRPr="005643E0">
        <w:rPr>
          <w:b w:val="0"/>
          <w:i w:val="0"/>
        </w:rPr>
        <w:t>9</w:t>
      </w:r>
      <w:r w:rsidRPr="005643E0">
        <w:rPr>
          <w:b w:val="0"/>
          <w:i w:val="0"/>
        </w:rPr>
        <w:t>.</w:t>
      </w:r>
    </w:p>
    <w:p w14:paraId="0B00EB14" w14:textId="77777777" w:rsidR="0053557B" w:rsidRPr="005643E0" w:rsidRDefault="0053557B" w:rsidP="005643E0">
      <w:pPr>
        <w:pStyle w:val="Prrafodelista"/>
        <w:spacing w:line="240" w:lineRule="auto"/>
        <w:ind w:left="0"/>
        <w:jc w:val="both"/>
        <w:rPr>
          <w:highlight w:val="yellow"/>
        </w:rPr>
      </w:pPr>
    </w:p>
    <w:p w14:paraId="3D4706A7" w14:textId="2140B0C8" w:rsidR="0053557B" w:rsidRPr="005643E0" w:rsidRDefault="0053557B" w:rsidP="005643E0">
      <w:pPr>
        <w:pStyle w:val="Ttulo1"/>
        <w:numPr>
          <w:ilvl w:val="0"/>
          <w:numId w:val="5"/>
        </w:numPr>
        <w:ind w:left="0" w:firstLine="0"/>
        <w:rPr>
          <w:b w:val="0"/>
          <w:i w:val="0"/>
        </w:rPr>
      </w:pPr>
      <w:r w:rsidRPr="005643E0">
        <w:rPr>
          <w:b w:val="0"/>
          <w:i w:val="0"/>
        </w:rPr>
        <w:t xml:space="preserve">Disponer, conforme al artículo 50.6 del Reglamento que, una vez recibidas las declaraciones, la Secretaría de la Corte Interamericana las transmita al Estado, a </w:t>
      </w:r>
      <w:r w:rsidR="00E5453C" w:rsidRPr="005643E0">
        <w:rPr>
          <w:b w:val="0"/>
          <w:i w:val="0"/>
        </w:rPr>
        <w:t>las</w:t>
      </w:r>
      <w:r w:rsidRPr="005643E0">
        <w:rPr>
          <w:b w:val="0"/>
          <w:i w:val="0"/>
        </w:rPr>
        <w:t xml:space="preserve"> representantes y a la Comisión para que presenten sus observaciones a más tardar con sus alegatos u observaciones finales escritos, respectivamente.</w:t>
      </w:r>
    </w:p>
    <w:p w14:paraId="68D70AD5" w14:textId="77777777" w:rsidR="0053557B" w:rsidRPr="005643E0" w:rsidRDefault="0053557B" w:rsidP="005643E0">
      <w:pPr>
        <w:pStyle w:val="Prrafodelista"/>
        <w:spacing w:line="240" w:lineRule="auto"/>
        <w:ind w:left="0"/>
        <w:jc w:val="both"/>
      </w:pPr>
    </w:p>
    <w:p w14:paraId="1CC7893D" w14:textId="38BD77F5" w:rsidR="0053557B" w:rsidRPr="005643E0" w:rsidRDefault="0053557B" w:rsidP="005643E0">
      <w:pPr>
        <w:pStyle w:val="Ttulo1"/>
        <w:numPr>
          <w:ilvl w:val="0"/>
          <w:numId w:val="5"/>
        </w:numPr>
        <w:ind w:left="0" w:firstLine="0"/>
        <w:rPr>
          <w:b w:val="0"/>
          <w:i w:val="0"/>
        </w:rPr>
      </w:pPr>
      <w:r w:rsidRPr="005643E0">
        <w:rPr>
          <w:b w:val="0"/>
          <w:i w:val="0"/>
        </w:rPr>
        <w:t xml:space="preserve">Informar a la Comisión y a </w:t>
      </w:r>
      <w:r w:rsidR="003E055B" w:rsidRPr="005643E0">
        <w:rPr>
          <w:b w:val="0"/>
          <w:i w:val="0"/>
        </w:rPr>
        <w:t>las partes</w:t>
      </w:r>
      <w:r w:rsidRPr="005643E0">
        <w:rPr>
          <w:b w:val="0"/>
          <w:i w:val="0"/>
        </w:rPr>
        <w:t xml:space="preserve"> 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14:paraId="2DE8A64E" w14:textId="77777777" w:rsidR="0053557B" w:rsidRPr="005643E0" w:rsidRDefault="0053557B" w:rsidP="005643E0">
      <w:pPr>
        <w:pStyle w:val="Prrafodelista"/>
        <w:spacing w:line="240" w:lineRule="auto"/>
        <w:ind w:left="0"/>
        <w:jc w:val="both"/>
      </w:pPr>
    </w:p>
    <w:p w14:paraId="01CBCDCB" w14:textId="146C3172" w:rsidR="00931D35" w:rsidRPr="00931D35" w:rsidRDefault="00931D35" w:rsidP="005643E0">
      <w:pPr>
        <w:pStyle w:val="Ttulo1"/>
        <w:numPr>
          <w:ilvl w:val="0"/>
          <w:numId w:val="5"/>
        </w:numPr>
        <w:ind w:left="0" w:firstLine="0"/>
        <w:rPr>
          <w:b w:val="0"/>
          <w:i w:val="0"/>
        </w:rPr>
      </w:pPr>
      <w:r w:rsidRPr="00931D35">
        <w:rPr>
          <w:b w:val="0"/>
          <w:i w:val="0"/>
        </w:rPr>
        <w:t>Requerir a</w:t>
      </w:r>
      <w:r>
        <w:rPr>
          <w:b w:val="0"/>
          <w:i w:val="0"/>
        </w:rPr>
        <w:t xml:space="preserve"> </w:t>
      </w:r>
      <w:r w:rsidRPr="00931D35">
        <w:rPr>
          <w:b w:val="0"/>
          <w:i w:val="0"/>
        </w:rPr>
        <w:t>l</w:t>
      </w:r>
      <w:r>
        <w:rPr>
          <w:b w:val="0"/>
          <w:i w:val="0"/>
        </w:rPr>
        <w:t>as</w:t>
      </w:r>
      <w:r w:rsidRPr="00931D35">
        <w:rPr>
          <w:b w:val="0"/>
          <w:i w:val="0"/>
        </w:rPr>
        <w:t xml:space="preserve"> representante</w:t>
      </w:r>
      <w:r>
        <w:rPr>
          <w:b w:val="0"/>
          <w:i w:val="0"/>
        </w:rPr>
        <w:t>s</w:t>
      </w:r>
      <w:r w:rsidRPr="00931D35">
        <w:rPr>
          <w:b w:val="0"/>
          <w:i w:val="0"/>
        </w:rPr>
        <w:t xml:space="preserve"> que comuniquen a la Corte el nombre de los declarantes cuyo</w:t>
      </w:r>
      <w:r w:rsidR="00EA4BE8">
        <w:rPr>
          <w:b w:val="0"/>
          <w:i w:val="0"/>
        </w:rPr>
        <w:t>s</w:t>
      </w:r>
      <w:r w:rsidRPr="00931D35">
        <w:rPr>
          <w:b w:val="0"/>
          <w:i w:val="0"/>
        </w:rPr>
        <w:t xml:space="preserve"> affidavit</w:t>
      </w:r>
      <w:r w:rsidR="00EA4BE8">
        <w:rPr>
          <w:b w:val="0"/>
          <w:i w:val="0"/>
        </w:rPr>
        <w:t>s</w:t>
      </w:r>
      <w:r w:rsidRPr="00931D35">
        <w:rPr>
          <w:b w:val="0"/>
          <w:i w:val="0"/>
        </w:rPr>
        <w:t xml:space="preserve"> serán cubiertos por el Fondo de Asistencia, y que remitan una cotización del costo de la formalización de las declaraciones juradas en el país de residencia de los declarantes y de sus respectivos envíos, a más tardar el </w:t>
      </w:r>
      <w:r w:rsidR="001B2DF7">
        <w:rPr>
          <w:b w:val="0"/>
          <w:i w:val="0"/>
        </w:rPr>
        <w:t xml:space="preserve">26 de julio </w:t>
      </w:r>
      <w:r w:rsidRPr="00931D35">
        <w:rPr>
          <w:b w:val="0"/>
          <w:i w:val="0"/>
        </w:rPr>
        <w:t>de 2019.</w:t>
      </w:r>
    </w:p>
    <w:p w14:paraId="012A9215" w14:textId="77777777" w:rsidR="00931D35" w:rsidRPr="00931D35" w:rsidRDefault="00931D35" w:rsidP="00931D35">
      <w:pPr>
        <w:pStyle w:val="Ttulo1"/>
        <w:numPr>
          <w:ilvl w:val="0"/>
          <w:numId w:val="0"/>
        </w:numPr>
        <w:rPr>
          <w:b w:val="0"/>
          <w:i w:val="0"/>
        </w:rPr>
      </w:pPr>
    </w:p>
    <w:p w14:paraId="5140BA34" w14:textId="02A283EC" w:rsidR="0053557B" w:rsidRPr="005643E0" w:rsidRDefault="0053557B" w:rsidP="005643E0">
      <w:pPr>
        <w:pStyle w:val="Ttulo1"/>
        <w:numPr>
          <w:ilvl w:val="0"/>
          <w:numId w:val="5"/>
        </w:numPr>
        <w:ind w:left="0" w:firstLine="0"/>
        <w:rPr>
          <w:b w:val="0"/>
          <w:i w:val="0"/>
        </w:rPr>
      </w:pPr>
      <w:r w:rsidRPr="005643E0">
        <w:rPr>
          <w:b w:val="0"/>
          <w:i w:val="0"/>
        </w:rPr>
        <w:t xml:space="preserve">Requerir a </w:t>
      </w:r>
      <w:r w:rsidR="003E055B" w:rsidRPr="005643E0">
        <w:rPr>
          <w:b w:val="0"/>
          <w:i w:val="0"/>
        </w:rPr>
        <w:t>las partes</w:t>
      </w:r>
      <w:r w:rsidRPr="005643E0">
        <w:rPr>
          <w:b w:val="0"/>
          <w:i w:val="0"/>
        </w:rPr>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3B343BC0" w14:textId="77777777" w:rsidR="0053557B" w:rsidRPr="005643E0" w:rsidRDefault="0053557B" w:rsidP="005643E0">
      <w:pPr>
        <w:pStyle w:val="Prrafodelista"/>
        <w:spacing w:line="240" w:lineRule="auto"/>
        <w:ind w:left="0"/>
        <w:jc w:val="both"/>
      </w:pPr>
    </w:p>
    <w:p w14:paraId="5DE50CF0" w14:textId="7F2D95D8" w:rsidR="0053557B" w:rsidRPr="005643E0" w:rsidRDefault="0053557B" w:rsidP="005643E0">
      <w:pPr>
        <w:pStyle w:val="Ttulo1"/>
        <w:numPr>
          <w:ilvl w:val="0"/>
          <w:numId w:val="5"/>
        </w:numPr>
        <w:ind w:left="0" w:firstLine="0"/>
        <w:rPr>
          <w:b w:val="0"/>
          <w:i w:val="0"/>
        </w:rPr>
      </w:pPr>
      <w:r w:rsidRPr="005643E0">
        <w:rPr>
          <w:b w:val="0"/>
          <w:i w:val="0"/>
        </w:rPr>
        <w:t>Informar a l</w:t>
      </w:r>
      <w:r w:rsidR="00931D35">
        <w:rPr>
          <w:b w:val="0"/>
          <w:i w:val="0"/>
        </w:rPr>
        <w:t>a</w:t>
      </w:r>
      <w:r w:rsidRPr="005643E0">
        <w:rPr>
          <w:b w:val="0"/>
          <w:i w:val="0"/>
        </w:rPr>
        <w:t>s representantes, al Estado y a la Comisión que, al término de la declaración rendida en la audiencia pública, podrán presentar ante el Tribunal sus alegatos finales orales y observaciones finales orales, respectivamente, sobre la</w:t>
      </w:r>
      <w:r w:rsidR="003E055B" w:rsidRPr="005643E0">
        <w:rPr>
          <w:b w:val="0"/>
          <w:i w:val="0"/>
        </w:rPr>
        <w:t>s</w:t>
      </w:r>
      <w:r w:rsidRPr="005643E0">
        <w:rPr>
          <w:b w:val="0"/>
          <w:i w:val="0"/>
        </w:rPr>
        <w:t xml:space="preserve"> excepci</w:t>
      </w:r>
      <w:r w:rsidR="003E055B" w:rsidRPr="005643E0">
        <w:rPr>
          <w:b w:val="0"/>
          <w:i w:val="0"/>
        </w:rPr>
        <w:t>ones</w:t>
      </w:r>
      <w:r w:rsidRPr="005643E0">
        <w:rPr>
          <w:b w:val="0"/>
          <w:i w:val="0"/>
        </w:rPr>
        <w:t xml:space="preserve"> preliminar</w:t>
      </w:r>
      <w:r w:rsidR="003E055B" w:rsidRPr="005643E0">
        <w:rPr>
          <w:b w:val="0"/>
          <w:i w:val="0"/>
        </w:rPr>
        <w:t>es</w:t>
      </w:r>
      <w:r w:rsidRPr="005643E0">
        <w:rPr>
          <w:b w:val="0"/>
          <w:i w:val="0"/>
        </w:rPr>
        <w:t xml:space="preserve"> y eventuales fondo, reparaciones y costas en el presente caso.</w:t>
      </w:r>
    </w:p>
    <w:p w14:paraId="372E4B60" w14:textId="77777777" w:rsidR="0053557B" w:rsidRPr="005643E0" w:rsidRDefault="0053557B" w:rsidP="005643E0">
      <w:pPr>
        <w:pStyle w:val="Prrafodelista"/>
        <w:spacing w:line="240" w:lineRule="auto"/>
        <w:ind w:left="0"/>
        <w:jc w:val="both"/>
      </w:pPr>
    </w:p>
    <w:p w14:paraId="060E62D7" w14:textId="007B466E" w:rsidR="0053557B" w:rsidRPr="005643E0" w:rsidRDefault="0053557B" w:rsidP="005643E0">
      <w:pPr>
        <w:pStyle w:val="Ttulo1"/>
        <w:numPr>
          <w:ilvl w:val="0"/>
          <w:numId w:val="5"/>
        </w:numPr>
        <w:ind w:left="0" w:firstLine="0"/>
        <w:rPr>
          <w:b w:val="0"/>
          <w:i w:val="0"/>
        </w:rPr>
      </w:pPr>
      <w:r w:rsidRPr="005643E0">
        <w:rPr>
          <w:b w:val="0"/>
          <w:i w:val="0"/>
        </w:rPr>
        <w:t xml:space="preserve">Disponer que la Secretaría de la Corte, de conformidad con lo dispuesto en el artículo 55.3 del Reglamento, indique a la Comisión Interamericana, a </w:t>
      </w:r>
      <w:r w:rsidR="00E5453C" w:rsidRPr="005643E0">
        <w:rPr>
          <w:b w:val="0"/>
          <w:i w:val="0"/>
        </w:rPr>
        <w:t>las</w:t>
      </w:r>
      <w:r w:rsidRPr="005643E0">
        <w:rPr>
          <w:b w:val="0"/>
          <w:i w:val="0"/>
        </w:rPr>
        <w:t xml:space="preserve"> representantes y al Estado el enlace donde se encontrará disponible la grabación de la audiencia pública, a la brevedad posible luego de la celebración de la referida audiencia. </w:t>
      </w:r>
    </w:p>
    <w:p w14:paraId="70F29816" w14:textId="77777777" w:rsidR="0053557B" w:rsidRPr="005643E0" w:rsidRDefault="0053557B" w:rsidP="005643E0">
      <w:pPr>
        <w:pStyle w:val="Prrafodelista"/>
        <w:spacing w:line="240" w:lineRule="auto"/>
        <w:ind w:left="0"/>
        <w:jc w:val="both"/>
      </w:pPr>
    </w:p>
    <w:p w14:paraId="25C176DC" w14:textId="609CD866" w:rsidR="0053557B" w:rsidRPr="005643E0" w:rsidRDefault="0053557B" w:rsidP="005643E0">
      <w:pPr>
        <w:pStyle w:val="Ttulo1"/>
        <w:numPr>
          <w:ilvl w:val="0"/>
          <w:numId w:val="5"/>
        </w:numPr>
        <w:ind w:left="0" w:firstLine="0"/>
        <w:rPr>
          <w:b w:val="0"/>
          <w:i w:val="0"/>
        </w:rPr>
      </w:pPr>
      <w:r w:rsidRPr="005643E0">
        <w:rPr>
          <w:b w:val="0"/>
          <w:i w:val="0"/>
        </w:rPr>
        <w:t xml:space="preserve">Informar a </w:t>
      </w:r>
      <w:r w:rsidR="00E5453C" w:rsidRPr="005643E0">
        <w:rPr>
          <w:b w:val="0"/>
          <w:i w:val="0"/>
        </w:rPr>
        <w:t>las</w:t>
      </w:r>
      <w:r w:rsidRPr="005643E0">
        <w:rPr>
          <w:b w:val="0"/>
          <w:i w:val="0"/>
        </w:rPr>
        <w:t xml:space="preserve"> representantes, al Estado y a la Comisión Interamericana que cuentan con un plazo hasta el </w:t>
      </w:r>
      <w:r w:rsidR="008E6444">
        <w:rPr>
          <w:b w:val="0"/>
          <w:i w:val="0"/>
        </w:rPr>
        <w:t xml:space="preserve">30 de septiembre de </w:t>
      </w:r>
      <w:r w:rsidRPr="005643E0">
        <w:rPr>
          <w:b w:val="0"/>
          <w:i w:val="0"/>
        </w:rPr>
        <w:t>201</w:t>
      </w:r>
      <w:r w:rsidR="003E055B" w:rsidRPr="005643E0">
        <w:rPr>
          <w:b w:val="0"/>
          <w:i w:val="0"/>
        </w:rPr>
        <w:t>9</w:t>
      </w:r>
      <w:r w:rsidRPr="005643E0">
        <w:rPr>
          <w:b w:val="0"/>
          <w:i w:val="0"/>
        </w:rPr>
        <w:t xml:space="preserve"> para presentar sus alegatos finales escritos y observaciones finales escritas, respectivamente, en relación con la</w:t>
      </w:r>
      <w:r w:rsidR="003E055B" w:rsidRPr="005643E0">
        <w:rPr>
          <w:b w:val="0"/>
          <w:i w:val="0"/>
        </w:rPr>
        <w:t>s</w:t>
      </w:r>
      <w:r w:rsidRPr="005643E0">
        <w:rPr>
          <w:b w:val="0"/>
          <w:i w:val="0"/>
        </w:rPr>
        <w:t xml:space="preserve"> excepci</w:t>
      </w:r>
      <w:r w:rsidR="003E055B" w:rsidRPr="005643E0">
        <w:rPr>
          <w:b w:val="0"/>
          <w:i w:val="0"/>
        </w:rPr>
        <w:t>ones</w:t>
      </w:r>
      <w:r w:rsidRPr="005643E0">
        <w:rPr>
          <w:b w:val="0"/>
          <w:i w:val="0"/>
        </w:rPr>
        <w:t xml:space="preserve"> preliminar</w:t>
      </w:r>
      <w:r w:rsidR="003E055B" w:rsidRPr="005643E0">
        <w:rPr>
          <w:b w:val="0"/>
          <w:i w:val="0"/>
        </w:rPr>
        <w:t>es</w:t>
      </w:r>
      <w:r w:rsidRPr="005643E0">
        <w:rPr>
          <w:b w:val="0"/>
          <w:i w:val="0"/>
        </w:rPr>
        <w:t xml:space="preserve"> y eventuales fondo, reparaciones y costas en el presente caso. Este plazo es improrrogable e independiente de la puesta a disposición de las partes de la grabación de la audiencia pública. </w:t>
      </w:r>
    </w:p>
    <w:p w14:paraId="09F99AEF" w14:textId="77777777" w:rsidR="0053557B" w:rsidRPr="005643E0" w:rsidRDefault="0053557B" w:rsidP="005643E0">
      <w:pPr>
        <w:pStyle w:val="Prrafodelista"/>
        <w:spacing w:line="240" w:lineRule="auto"/>
        <w:ind w:left="0"/>
        <w:jc w:val="both"/>
      </w:pPr>
    </w:p>
    <w:p w14:paraId="15A367B4" w14:textId="77777777" w:rsidR="00931D35" w:rsidRPr="00931D35" w:rsidRDefault="00931D35" w:rsidP="005643E0">
      <w:pPr>
        <w:pStyle w:val="Ttulo1"/>
        <w:numPr>
          <w:ilvl w:val="0"/>
          <w:numId w:val="5"/>
        </w:numPr>
        <w:ind w:left="0" w:firstLine="0"/>
        <w:rPr>
          <w:b w:val="0"/>
          <w:i w:val="0"/>
        </w:rPr>
      </w:pPr>
      <w:r w:rsidRPr="00931D35">
        <w:rPr>
          <w:b w:val="0"/>
          <w:i w:val="0"/>
        </w:rPr>
        <w:t>Declarar procedente la aplicación del Fondo de Asistencia Legal de Víctimas de la Corte en los términos dispuestos en esta Resolución.</w:t>
      </w:r>
    </w:p>
    <w:p w14:paraId="617E1A56" w14:textId="77777777" w:rsidR="00931D35" w:rsidRPr="00931D35" w:rsidRDefault="00931D35" w:rsidP="00931D35"/>
    <w:p w14:paraId="47B98177" w14:textId="38CE2CEC" w:rsidR="0053557B" w:rsidRPr="00931D35" w:rsidRDefault="0053557B" w:rsidP="00931D35">
      <w:pPr>
        <w:pStyle w:val="Ttulo1"/>
        <w:numPr>
          <w:ilvl w:val="0"/>
          <w:numId w:val="5"/>
        </w:numPr>
        <w:ind w:left="0" w:firstLine="0"/>
        <w:rPr>
          <w:b w:val="0"/>
          <w:i w:val="0"/>
        </w:rPr>
      </w:pPr>
      <w:r w:rsidRPr="00931D35">
        <w:rPr>
          <w:b w:val="0"/>
          <w:i w:val="0"/>
        </w:rPr>
        <w:lastRenderedPageBreak/>
        <w:t xml:space="preserve">Disponer, de conformidad con el artículo 4 del Reglamento de la Corte sobre el Funcionamiento del Fondo de Asistencia Legal de Víctimas, que la Secretaría del Tribunal abra un expediente de gastos, donde se documentará cada una de las erogaciones que se realicen con el Fondo de Asistencia Legal de Víctimas. </w:t>
      </w:r>
    </w:p>
    <w:p w14:paraId="32A88660" w14:textId="77777777" w:rsidR="0053557B" w:rsidRPr="005643E0" w:rsidRDefault="0053557B" w:rsidP="005643E0">
      <w:pPr>
        <w:pStyle w:val="Prrafodelista"/>
        <w:spacing w:line="240" w:lineRule="auto"/>
        <w:ind w:left="0"/>
        <w:jc w:val="both"/>
      </w:pPr>
    </w:p>
    <w:p w14:paraId="0637EA0B" w14:textId="2718DE3F" w:rsidR="0053557B" w:rsidRPr="005643E0" w:rsidRDefault="0053557B" w:rsidP="005643E0">
      <w:pPr>
        <w:pStyle w:val="Ttulo1"/>
        <w:numPr>
          <w:ilvl w:val="0"/>
          <w:numId w:val="5"/>
        </w:numPr>
        <w:ind w:left="0" w:firstLine="0"/>
        <w:rPr>
          <w:b w:val="0"/>
          <w:i w:val="0"/>
        </w:rPr>
      </w:pPr>
      <w:r w:rsidRPr="005643E0">
        <w:rPr>
          <w:b w:val="0"/>
          <w:i w:val="0"/>
        </w:rPr>
        <w:t xml:space="preserve">Disponer que la Secretaría de la Corte Interamericana notifique la presente Resolución a la Comisión Interamericana de Derechos Humanos, </w:t>
      </w:r>
      <w:r w:rsidR="00E5453C" w:rsidRPr="005643E0">
        <w:rPr>
          <w:b w:val="0"/>
          <w:i w:val="0"/>
        </w:rPr>
        <w:t>a las representantes y al Perú</w:t>
      </w:r>
      <w:r w:rsidRPr="005643E0">
        <w:rPr>
          <w:b w:val="0"/>
          <w:i w:val="0"/>
        </w:rPr>
        <w:t>.</w:t>
      </w:r>
    </w:p>
    <w:p w14:paraId="2A1A6151" w14:textId="77777777" w:rsidR="0053557B" w:rsidRPr="005643E0" w:rsidRDefault="0053557B" w:rsidP="005643E0">
      <w:pPr>
        <w:pStyle w:val="Prrafodelista"/>
        <w:spacing w:line="240" w:lineRule="auto"/>
        <w:jc w:val="both"/>
      </w:pPr>
    </w:p>
    <w:p w14:paraId="5114388A" w14:textId="77777777" w:rsidR="0053557B" w:rsidRPr="005643E0" w:rsidRDefault="0053557B" w:rsidP="005643E0">
      <w:pPr>
        <w:pStyle w:val="Prrafodelista"/>
        <w:spacing w:line="240" w:lineRule="auto"/>
        <w:jc w:val="both"/>
      </w:pPr>
    </w:p>
    <w:p w14:paraId="0FC9F75A" w14:textId="77777777" w:rsidR="0053557B" w:rsidRPr="005643E0" w:rsidRDefault="0053557B" w:rsidP="005643E0">
      <w:pPr>
        <w:pStyle w:val="Prrafodelista"/>
        <w:spacing w:line="240" w:lineRule="auto"/>
        <w:jc w:val="both"/>
      </w:pPr>
    </w:p>
    <w:p w14:paraId="5222FCC7" w14:textId="77777777" w:rsidR="0053557B" w:rsidRPr="005643E0" w:rsidRDefault="0053557B" w:rsidP="005643E0">
      <w:pPr>
        <w:pStyle w:val="Prrafodelista"/>
        <w:spacing w:line="240" w:lineRule="auto"/>
        <w:jc w:val="both"/>
      </w:pPr>
    </w:p>
    <w:p w14:paraId="23484A44" w14:textId="41D7163B" w:rsidR="00563E96" w:rsidRDefault="00563E96">
      <w:pPr>
        <w:spacing w:after="200"/>
      </w:pPr>
      <w:r>
        <w:br w:type="page"/>
      </w:r>
    </w:p>
    <w:p w14:paraId="737CAF1F" w14:textId="68D7975F" w:rsidR="0053557B" w:rsidRPr="005643E0" w:rsidRDefault="0053557B" w:rsidP="005643E0">
      <w:pPr>
        <w:pStyle w:val="Prrafodelista"/>
        <w:spacing w:line="240" w:lineRule="auto"/>
        <w:jc w:val="both"/>
      </w:pPr>
    </w:p>
    <w:p w14:paraId="14D6D5A6" w14:textId="1AC1ACDE" w:rsidR="00563E96" w:rsidRPr="00847B73" w:rsidRDefault="00563E96" w:rsidP="00563E96">
      <w:pPr>
        <w:keepNext/>
        <w:jc w:val="both"/>
        <w:outlineLvl w:val="0"/>
        <w:rPr>
          <w:rFonts w:cs="Verdana"/>
          <w:b/>
          <w:bCs/>
          <w:lang w:val="es-ES"/>
        </w:rPr>
      </w:pPr>
      <w:r w:rsidRPr="00847B73">
        <w:rPr>
          <w:rFonts w:cs="Courier New"/>
          <w:noProof/>
          <w:lang w:val="es-AR"/>
        </w:rPr>
        <w:t xml:space="preserve">Corte IDH. </w:t>
      </w:r>
      <w:r w:rsidRPr="00847B73">
        <w:rPr>
          <w:bCs/>
          <w:i/>
        </w:rPr>
        <w:t xml:space="preserve">Caso </w:t>
      </w:r>
      <w:r>
        <w:rPr>
          <w:bCs/>
          <w:i/>
        </w:rPr>
        <w:t>Rojas Marín y otra Vs. Perú.</w:t>
      </w:r>
      <w:r w:rsidRPr="00847B73">
        <w:rPr>
          <w:bCs/>
          <w:i/>
        </w:rPr>
        <w:t xml:space="preserve"> </w:t>
      </w:r>
      <w:r>
        <w:rPr>
          <w:bCs/>
          <w:i/>
        </w:rPr>
        <w:t>C</w:t>
      </w:r>
      <w:r w:rsidRPr="00563E96">
        <w:rPr>
          <w:bCs/>
        </w:rPr>
        <w:t>onvocatoria a audiencia</w:t>
      </w:r>
      <w:r>
        <w:rPr>
          <w:bCs/>
          <w:i/>
        </w:rPr>
        <w:t xml:space="preserve">. </w:t>
      </w:r>
      <w:r>
        <w:rPr>
          <w:rFonts w:cs="Arial"/>
        </w:rPr>
        <w:t>Resolución del Presidente de la Corte Interamericana de Derechos Humanos</w:t>
      </w:r>
      <w:r>
        <w:rPr>
          <w:rFonts w:cs="Arial"/>
          <w:i/>
        </w:rPr>
        <w:t xml:space="preserve"> </w:t>
      </w:r>
      <w:r>
        <w:rPr>
          <w:rFonts w:cs="Arial"/>
        </w:rPr>
        <w:t xml:space="preserve">de </w:t>
      </w:r>
      <w:r>
        <w:rPr>
          <w:lang w:val="es-ES"/>
        </w:rPr>
        <w:t>10</w:t>
      </w:r>
      <w:r w:rsidRPr="00847B73">
        <w:t xml:space="preserve"> de </w:t>
      </w:r>
      <w:r>
        <w:t xml:space="preserve">julio </w:t>
      </w:r>
      <w:r w:rsidRPr="00847B73">
        <w:t>de 2019</w:t>
      </w:r>
      <w:r w:rsidRPr="00847B73">
        <w:rPr>
          <w:lang w:val="es-ES"/>
        </w:rPr>
        <w:t xml:space="preserve">. </w:t>
      </w:r>
    </w:p>
    <w:p w14:paraId="2390DEA2" w14:textId="1F254230" w:rsidR="003E055B" w:rsidRDefault="003E055B" w:rsidP="005643E0">
      <w:pPr>
        <w:spacing w:line="240" w:lineRule="auto"/>
        <w:jc w:val="both"/>
        <w:rPr>
          <w:lang w:val="es-ES"/>
        </w:rPr>
      </w:pPr>
    </w:p>
    <w:p w14:paraId="73098A3D" w14:textId="05339E6D" w:rsidR="00563E96" w:rsidRPr="00E949E1" w:rsidRDefault="00563E96" w:rsidP="00563E96"/>
    <w:p w14:paraId="5009392D" w14:textId="77777777" w:rsidR="00563E96" w:rsidRDefault="00563E96" w:rsidP="00563E96"/>
    <w:p w14:paraId="7E09BF31" w14:textId="77777777" w:rsidR="00D47A3C" w:rsidRPr="00E949E1" w:rsidRDefault="00D47A3C" w:rsidP="00563E96"/>
    <w:p w14:paraId="0A247C5A" w14:textId="5BC6A059" w:rsidR="00D47A3C" w:rsidRPr="00847B73" w:rsidRDefault="00D47A3C" w:rsidP="00D47A3C">
      <w:pPr>
        <w:jc w:val="center"/>
        <w:rPr>
          <w:lang w:val="es-ES"/>
        </w:rPr>
      </w:pPr>
    </w:p>
    <w:p w14:paraId="0AE00073" w14:textId="00B39D3C" w:rsidR="00D47A3C" w:rsidRDefault="00D47A3C" w:rsidP="00D47A3C">
      <w:pPr>
        <w:rPr>
          <w:lang w:val="es-ES"/>
        </w:rPr>
      </w:pPr>
    </w:p>
    <w:p w14:paraId="4E7DFB2B" w14:textId="7A936A0A" w:rsidR="00D47A3C" w:rsidRDefault="00D47A3C" w:rsidP="00D47A3C">
      <w:pPr>
        <w:rPr>
          <w:lang w:val="es-ES"/>
        </w:rPr>
      </w:pPr>
    </w:p>
    <w:p w14:paraId="52196DB9" w14:textId="7369001B" w:rsidR="00D47A3C" w:rsidRPr="00847B73" w:rsidRDefault="00D47A3C" w:rsidP="00D47A3C">
      <w:pPr>
        <w:rPr>
          <w:lang w:val="es-ES"/>
        </w:rPr>
      </w:pPr>
    </w:p>
    <w:p w14:paraId="4166AFF7" w14:textId="4C1D1AF6" w:rsidR="00D47A3C" w:rsidRPr="00847B73" w:rsidRDefault="00D47A3C" w:rsidP="00D47A3C">
      <w:pPr>
        <w:ind w:left="4320" w:firstLine="720"/>
        <w:rPr>
          <w:lang w:val="pt-BR"/>
        </w:rPr>
      </w:pPr>
      <w:r w:rsidRPr="00847B73">
        <w:rPr>
          <w:lang w:val="pt-BR"/>
        </w:rPr>
        <w:t xml:space="preserve">Eduardo Ferrer Mac-Gregor Poisot </w:t>
      </w:r>
    </w:p>
    <w:p w14:paraId="1B797A9D" w14:textId="6999FEB2" w:rsidR="00D47A3C" w:rsidRPr="00847B73" w:rsidRDefault="00D47A3C" w:rsidP="00D47A3C">
      <w:pPr>
        <w:ind w:left="5760"/>
        <w:rPr>
          <w:lang w:val="pt-BR"/>
        </w:rPr>
      </w:pPr>
      <w:r>
        <w:rPr>
          <w:lang w:val="pt-BR"/>
        </w:rPr>
        <w:t xml:space="preserve">     </w:t>
      </w:r>
      <w:r w:rsidRPr="00847B73">
        <w:rPr>
          <w:lang w:val="pt-BR"/>
        </w:rPr>
        <w:t>Presidente</w:t>
      </w:r>
    </w:p>
    <w:p w14:paraId="1E619162" w14:textId="6DB3AED6" w:rsidR="00D47A3C" w:rsidRPr="00847B73" w:rsidRDefault="00D47A3C" w:rsidP="00D47A3C">
      <w:pPr>
        <w:jc w:val="both"/>
        <w:rPr>
          <w:lang w:val="pt-BR"/>
        </w:rPr>
      </w:pPr>
    </w:p>
    <w:p w14:paraId="201326DC" w14:textId="6344CFBE" w:rsidR="00D47A3C" w:rsidRPr="00847B73" w:rsidRDefault="00D47A3C" w:rsidP="00D47A3C">
      <w:pPr>
        <w:jc w:val="both"/>
        <w:rPr>
          <w:lang w:val="pt-BR"/>
        </w:rPr>
      </w:pPr>
    </w:p>
    <w:p w14:paraId="2A9F6375" w14:textId="77777777" w:rsidR="00D47A3C" w:rsidRDefault="00D47A3C" w:rsidP="00D47A3C">
      <w:pPr>
        <w:jc w:val="both"/>
        <w:rPr>
          <w:lang w:val="pt-BR"/>
        </w:rPr>
      </w:pPr>
    </w:p>
    <w:p w14:paraId="3FB75A51" w14:textId="0BD17101" w:rsidR="00D47A3C" w:rsidRPr="00847B73" w:rsidRDefault="00D47A3C" w:rsidP="00D47A3C">
      <w:pPr>
        <w:jc w:val="both"/>
        <w:rPr>
          <w:lang w:val="pt-BR"/>
        </w:rPr>
      </w:pPr>
    </w:p>
    <w:p w14:paraId="3EB9BF01" w14:textId="7C4B0CA7" w:rsidR="00D47A3C" w:rsidRDefault="00D47A3C" w:rsidP="00D47A3C">
      <w:pPr>
        <w:spacing w:line="240" w:lineRule="auto"/>
        <w:rPr>
          <w:lang w:val="pt-BR"/>
        </w:rPr>
      </w:pPr>
    </w:p>
    <w:p w14:paraId="404B6C31" w14:textId="77777777" w:rsidR="00D47A3C" w:rsidRDefault="00D47A3C" w:rsidP="00D47A3C">
      <w:pPr>
        <w:spacing w:line="240" w:lineRule="auto"/>
        <w:rPr>
          <w:lang w:val="pt-BR"/>
        </w:rPr>
      </w:pPr>
      <w:r w:rsidRPr="00847B73">
        <w:rPr>
          <w:lang w:val="pt-BR"/>
        </w:rPr>
        <w:t>Pablo Saavedra Alessandri</w:t>
      </w:r>
    </w:p>
    <w:p w14:paraId="57275714" w14:textId="25D69614" w:rsidR="00D47A3C" w:rsidRPr="00847B73" w:rsidRDefault="00D47A3C" w:rsidP="00D47A3C">
      <w:pPr>
        <w:spacing w:line="240" w:lineRule="auto"/>
        <w:rPr>
          <w:lang w:val="pt-BR"/>
        </w:rPr>
      </w:pPr>
      <w:r>
        <w:rPr>
          <w:lang w:val="pt-BR"/>
        </w:rPr>
        <w:t xml:space="preserve">            </w:t>
      </w:r>
      <w:r w:rsidRPr="00847B73">
        <w:rPr>
          <w:lang w:val="pt-BR"/>
        </w:rPr>
        <w:t>Secretario</w:t>
      </w:r>
    </w:p>
    <w:p w14:paraId="1B44850A" w14:textId="77777777" w:rsidR="00D47A3C" w:rsidRDefault="00D47A3C" w:rsidP="00D47A3C">
      <w:pPr>
        <w:rPr>
          <w:lang w:val="pt-BR"/>
        </w:rPr>
      </w:pPr>
    </w:p>
    <w:p w14:paraId="34483204" w14:textId="77777777" w:rsidR="00D47A3C" w:rsidRDefault="00D47A3C" w:rsidP="00D47A3C">
      <w:pPr>
        <w:jc w:val="both"/>
        <w:rPr>
          <w:lang w:val="pt-BR"/>
        </w:rPr>
      </w:pPr>
    </w:p>
    <w:p w14:paraId="14EE2033" w14:textId="1E35EF64" w:rsidR="00D47A3C" w:rsidRDefault="00D47A3C" w:rsidP="00D47A3C">
      <w:pPr>
        <w:jc w:val="both"/>
        <w:rPr>
          <w:lang w:val="pt-BR"/>
        </w:rPr>
      </w:pPr>
    </w:p>
    <w:p w14:paraId="0E55F2C3" w14:textId="7D000469" w:rsidR="00D47A3C" w:rsidRDefault="00D47A3C" w:rsidP="00D47A3C">
      <w:pPr>
        <w:jc w:val="both"/>
        <w:rPr>
          <w:lang w:val="pt-BR"/>
        </w:rPr>
      </w:pPr>
    </w:p>
    <w:p w14:paraId="499A205D" w14:textId="066C964E" w:rsidR="00D47A3C" w:rsidRPr="00847B73" w:rsidRDefault="00D47A3C" w:rsidP="00D47A3C">
      <w:pPr>
        <w:jc w:val="both"/>
        <w:rPr>
          <w:lang w:val="pt-BR"/>
        </w:rPr>
      </w:pPr>
      <w:r w:rsidRPr="00847B73">
        <w:rPr>
          <w:lang w:val="pt-BR"/>
        </w:rPr>
        <w:t>Comuníquese y ejecútese,</w:t>
      </w:r>
    </w:p>
    <w:p w14:paraId="0C86801D" w14:textId="1BA1E76A" w:rsidR="00D47A3C" w:rsidRDefault="00D47A3C" w:rsidP="00D47A3C">
      <w:pPr>
        <w:rPr>
          <w:lang w:val="pt-BR"/>
        </w:rPr>
      </w:pPr>
    </w:p>
    <w:p w14:paraId="1EED8D70" w14:textId="5D153C0E" w:rsidR="00D47A3C" w:rsidRDefault="00D47A3C" w:rsidP="00D47A3C">
      <w:pPr>
        <w:rPr>
          <w:lang w:val="pt-BR"/>
        </w:rPr>
      </w:pPr>
    </w:p>
    <w:p w14:paraId="1A57BE4F" w14:textId="2281A42F" w:rsidR="00D47A3C" w:rsidRDefault="00D47A3C" w:rsidP="00D47A3C">
      <w:pPr>
        <w:rPr>
          <w:lang w:val="pt-BR"/>
        </w:rPr>
      </w:pPr>
    </w:p>
    <w:p w14:paraId="332C8E27" w14:textId="11CE1900" w:rsidR="00D47A3C" w:rsidRDefault="00D47A3C" w:rsidP="00D47A3C">
      <w:pPr>
        <w:rPr>
          <w:lang w:val="pt-BR"/>
        </w:rPr>
      </w:pPr>
    </w:p>
    <w:p w14:paraId="124ED917" w14:textId="4CE6B388" w:rsidR="00D47A3C" w:rsidRDefault="00D47A3C" w:rsidP="00D47A3C">
      <w:pPr>
        <w:rPr>
          <w:lang w:val="pt-BR"/>
        </w:rPr>
      </w:pPr>
    </w:p>
    <w:p w14:paraId="7A746FDC" w14:textId="3C343D9A" w:rsidR="00D47A3C" w:rsidRPr="00847B73" w:rsidRDefault="00D47A3C" w:rsidP="00D47A3C">
      <w:pPr>
        <w:ind w:left="5760"/>
        <w:rPr>
          <w:lang w:val="pt-BR"/>
        </w:rPr>
      </w:pPr>
      <w:r w:rsidRPr="00847B73">
        <w:rPr>
          <w:lang w:val="pt-BR"/>
        </w:rPr>
        <w:t xml:space="preserve">Eduardo Ferrer Mac-Gregor Poisot </w:t>
      </w:r>
    </w:p>
    <w:p w14:paraId="5FF4510B" w14:textId="7CD486DC" w:rsidR="00D47A3C" w:rsidRPr="00847B73" w:rsidRDefault="00D47A3C" w:rsidP="00D47A3C">
      <w:pPr>
        <w:ind w:left="4956"/>
        <w:jc w:val="center"/>
        <w:rPr>
          <w:lang w:val="pt-BR"/>
        </w:rPr>
      </w:pPr>
      <w:r w:rsidRPr="00847B73">
        <w:rPr>
          <w:lang w:val="pt-BR"/>
        </w:rPr>
        <w:t>Presidente</w:t>
      </w:r>
    </w:p>
    <w:p w14:paraId="3AD5F23B" w14:textId="162D923E" w:rsidR="00D47A3C" w:rsidRDefault="00D47A3C" w:rsidP="00D47A3C">
      <w:pPr>
        <w:jc w:val="both"/>
        <w:rPr>
          <w:lang w:val="pt-BR"/>
        </w:rPr>
      </w:pPr>
    </w:p>
    <w:p w14:paraId="2F3718FC" w14:textId="6E95199D" w:rsidR="00D47A3C" w:rsidRDefault="00D47A3C" w:rsidP="00D47A3C">
      <w:pPr>
        <w:jc w:val="both"/>
        <w:rPr>
          <w:lang w:val="pt-BR"/>
        </w:rPr>
      </w:pPr>
    </w:p>
    <w:p w14:paraId="6FC636BD" w14:textId="77777777" w:rsidR="00D47A3C" w:rsidRDefault="00D47A3C" w:rsidP="00D47A3C">
      <w:pPr>
        <w:jc w:val="both"/>
        <w:rPr>
          <w:lang w:val="pt-BR"/>
        </w:rPr>
      </w:pPr>
    </w:p>
    <w:p w14:paraId="222EDD88" w14:textId="77777777" w:rsidR="00D47A3C" w:rsidRPr="00847B73" w:rsidRDefault="00D47A3C" w:rsidP="00D47A3C">
      <w:pPr>
        <w:jc w:val="both"/>
        <w:rPr>
          <w:lang w:val="pt-BR"/>
        </w:rPr>
      </w:pPr>
    </w:p>
    <w:p w14:paraId="3CBA961A" w14:textId="2175D65D" w:rsidR="00D47A3C" w:rsidRPr="00847B73" w:rsidRDefault="00D47A3C" w:rsidP="00D47A3C">
      <w:pPr>
        <w:jc w:val="both"/>
        <w:rPr>
          <w:lang w:val="pt-BR"/>
        </w:rPr>
      </w:pPr>
    </w:p>
    <w:p w14:paraId="5D1D4706" w14:textId="77777777" w:rsidR="00D47A3C" w:rsidRDefault="00D47A3C" w:rsidP="00D47A3C">
      <w:pPr>
        <w:jc w:val="both"/>
        <w:rPr>
          <w:lang w:val="pt-BR"/>
        </w:rPr>
      </w:pPr>
    </w:p>
    <w:p w14:paraId="34932887" w14:textId="377530E1" w:rsidR="00D47A3C" w:rsidRDefault="00D47A3C" w:rsidP="00D47A3C">
      <w:pPr>
        <w:jc w:val="both"/>
        <w:rPr>
          <w:lang w:val="pt-BR"/>
        </w:rPr>
      </w:pPr>
    </w:p>
    <w:p w14:paraId="4C8AFB85" w14:textId="702B8E1C" w:rsidR="00D47A3C" w:rsidRPr="00847B73" w:rsidRDefault="00D47A3C" w:rsidP="00D47A3C">
      <w:pPr>
        <w:jc w:val="both"/>
        <w:rPr>
          <w:lang w:val="pt-BR"/>
        </w:rPr>
      </w:pPr>
    </w:p>
    <w:p w14:paraId="2E4155FA" w14:textId="77777777" w:rsidR="00D47A3C" w:rsidRPr="00847B73" w:rsidRDefault="00D47A3C" w:rsidP="00D47A3C">
      <w:pPr>
        <w:jc w:val="both"/>
        <w:rPr>
          <w:lang w:val="es-ES"/>
        </w:rPr>
      </w:pPr>
      <w:r w:rsidRPr="00847B73">
        <w:rPr>
          <w:lang w:val="es-ES"/>
        </w:rPr>
        <w:t>Pablo Saavedra Alessandri</w:t>
      </w:r>
    </w:p>
    <w:p w14:paraId="1B8C3063" w14:textId="77777777" w:rsidR="00D47A3C" w:rsidRPr="00FC7D8B" w:rsidRDefault="00D47A3C" w:rsidP="00D47A3C">
      <w:r w:rsidRPr="00847B73">
        <w:rPr>
          <w:lang w:val="es-ES"/>
        </w:rPr>
        <w:tab/>
      </w:r>
      <w:r w:rsidRPr="00847B73">
        <w:t>Secretario</w:t>
      </w:r>
    </w:p>
    <w:p w14:paraId="7180BE18" w14:textId="77777777" w:rsidR="00563E96" w:rsidRPr="00563E96" w:rsidRDefault="00563E96" w:rsidP="005643E0">
      <w:pPr>
        <w:spacing w:line="240" w:lineRule="auto"/>
        <w:jc w:val="both"/>
        <w:rPr>
          <w:lang w:val="es-ES"/>
        </w:rPr>
      </w:pPr>
    </w:p>
    <w:sectPr w:rsidR="00563E96" w:rsidRPr="00563E96" w:rsidSect="00C872B7">
      <w:headerReference w:type="even" r:id="rId8"/>
      <w:headerReference w:type="default" r:id="rId9"/>
      <w:pgSz w:w="12240" w:h="15840"/>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C9E9" w14:textId="77777777" w:rsidR="009565D6" w:rsidRDefault="009565D6" w:rsidP="00E97AA8">
      <w:r>
        <w:separator/>
      </w:r>
    </w:p>
    <w:p w14:paraId="26C9D71F" w14:textId="77777777" w:rsidR="009565D6" w:rsidRDefault="009565D6" w:rsidP="00E97AA8"/>
  </w:endnote>
  <w:endnote w:type="continuationSeparator" w:id="0">
    <w:p w14:paraId="699A7334" w14:textId="77777777" w:rsidR="009565D6" w:rsidRDefault="009565D6" w:rsidP="00E97AA8">
      <w:r>
        <w:continuationSeparator/>
      </w:r>
    </w:p>
    <w:p w14:paraId="654279D0" w14:textId="77777777" w:rsidR="009565D6" w:rsidRDefault="009565D6" w:rsidP="00E97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mbria Bold 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0FB0" w14:textId="77777777" w:rsidR="009565D6" w:rsidRDefault="009565D6" w:rsidP="00E97AA8">
      <w:r>
        <w:separator/>
      </w:r>
    </w:p>
  </w:footnote>
  <w:footnote w:type="continuationSeparator" w:id="0">
    <w:p w14:paraId="5F22F87B" w14:textId="77777777" w:rsidR="009565D6" w:rsidRDefault="009565D6" w:rsidP="00E97AA8">
      <w:r>
        <w:continuationSeparator/>
      </w:r>
    </w:p>
    <w:p w14:paraId="5BA35DE6" w14:textId="77777777" w:rsidR="009565D6" w:rsidRDefault="009565D6" w:rsidP="00E97AA8"/>
  </w:footnote>
  <w:footnote w:id="1">
    <w:p w14:paraId="2E2082BB" w14:textId="77777777" w:rsidR="00897B18" w:rsidRPr="00837140" w:rsidRDefault="00897B18" w:rsidP="00837140">
      <w:pPr>
        <w:pStyle w:val="Textonotapie"/>
        <w:tabs>
          <w:tab w:val="left" w:pos="567"/>
        </w:tabs>
        <w:contextualSpacing/>
        <w:jc w:val="both"/>
        <w:rPr>
          <w:sz w:val="16"/>
          <w:szCs w:val="16"/>
          <w:lang w:val="es-ES_tradnl"/>
        </w:rPr>
      </w:pPr>
      <w:r w:rsidRPr="001A5338">
        <w:rPr>
          <w:rStyle w:val="Refdenotaalpie"/>
          <w:sz w:val="16"/>
          <w:szCs w:val="16"/>
        </w:rPr>
        <w:footnoteRef/>
      </w:r>
      <w:r w:rsidRPr="001A5338">
        <w:rPr>
          <w:sz w:val="16"/>
          <w:szCs w:val="16"/>
        </w:rPr>
        <w:t xml:space="preserve"> </w:t>
      </w:r>
      <w:r w:rsidRPr="001A5338">
        <w:rPr>
          <w:sz w:val="16"/>
          <w:szCs w:val="16"/>
        </w:rPr>
        <w:tab/>
        <w:t xml:space="preserve">El </w:t>
      </w:r>
      <w:r w:rsidRPr="00837140">
        <w:rPr>
          <w:sz w:val="16"/>
          <w:szCs w:val="16"/>
        </w:rPr>
        <w:t>referido artículo establece que: “1. Los peritos podrán ser recusados cuando incurran en alguna de las siguientes causales: […] c. tener o haber tenido vínculos estrechos o relación de subordinación funcional con la parte que lo propone y que a juicio de la Corte pudiera afectar su imparcialidad”.</w:t>
      </w:r>
    </w:p>
  </w:footnote>
  <w:footnote w:id="2">
    <w:p w14:paraId="3044010C" w14:textId="18E79FAB" w:rsidR="00897B18" w:rsidRPr="00837140" w:rsidRDefault="00897B18" w:rsidP="00837140">
      <w:pPr>
        <w:tabs>
          <w:tab w:val="left" w:pos="567"/>
        </w:tabs>
        <w:spacing w:line="240" w:lineRule="auto"/>
        <w:contextualSpacing/>
        <w:jc w:val="both"/>
        <w:rPr>
          <w:b/>
          <w:sz w:val="16"/>
          <w:szCs w:val="16"/>
        </w:rPr>
      </w:pPr>
      <w:r w:rsidRPr="00837140">
        <w:rPr>
          <w:rStyle w:val="Refdenotaalpie"/>
          <w:sz w:val="16"/>
          <w:szCs w:val="16"/>
        </w:rPr>
        <w:footnoteRef/>
      </w:r>
      <w:r w:rsidRPr="00837140">
        <w:rPr>
          <w:sz w:val="16"/>
          <w:szCs w:val="16"/>
        </w:rPr>
        <w:t xml:space="preserve"> </w:t>
      </w:r>
      <w:r w:rsidRPr="00837140">
        <w:rPr>
          <w:sz w:val="16"/>
          <w:szCs w:val="16"/>
        </w:rPr>
        <w:tab/>
      </w:r>
      <w:r w:rsidRPr="00837140">
        <w:rPr>
          <w:i/>
          <w:sz w:val="16"/>
          <w:szCs w:val="16"/>
        </w:rPr>
        <w:t>Cfr.</w:t>
      </w:r>
      <w:r w:rsidRPr="00837140">
        <w:rPr>
          <w:sz w:val="16"/>
          <w:szCs w:val="16"/>
        </w:rPr>
        <w:t xml:space="preserve"> </w:t>
      </w:r>
      <w:r w:rsidRPr="00837140">
        <w:rPr>
          <w:i/>
          <w:sz w:val="16"/>
          <w:szCs w:val="16"/>
        </w:rPr>
        <w:t>Caso Boyce y otros Vs. Barbados.</w:t>
      </w:r>
      <w:r w:rsidRPr="00837140">
        <w:rPr>
          <w:sz w:val="16"/>
          <w:szCs w:val="16"/>
        </w:rPr>
        <w:t xml:space="preserve"> </w:t>
      </w:r>
      <w:r w:rsidRPr="00837140">
        <w:rPr>
          <w:rStyle w:val="Textoennegrita"/>
          <w:b w:val="0"/>
          <w:sz w:val="16"/>
          <w:szCs w:val="16"/>
          <w:shd w:val="clear" w:color="auto" w:fill="FFFFFF"/>
        </w:rPr>
        <w:t>Convocatoria a audiencia.</w:t>
      </w:r>
      <w:r w:rsidRPr="00837140">
        <w:rPr>
          <w:rStyle w:val="Textoennegrita"/>
          <w:sz w:val="16"/>
          <w:szCs w:val="16"/>
          <w:shd w:val="clear" w:color="auto" w:fill="FFFFFF"/>
        </w:rPr>
        <w:t xml:space="preserve"> </w:t>
      </w:r>
      <w:r w:rsidRPr="00837140">
        <w:rPr>
          <w:sz w:val="16"/>
          <w:szCs w:val="16"/>
        </w:rPr>
        <w:t xml:space="preserve">Resolución del Presidente de la Corte Interamericana de Derechos Humanos de 29 de mayo de 2007, considerando 22, y </w:t>
      </w:r>
      <w:r w:rsidRPr="00E74D80">
        <w:rPr>
          <w:i/>
          <w:sz w:val="16"/>
          <w:szCs w:val="16"/>
        </w:rPr>
        <w:t>Caso Valenzuela Ávila y otros Vs. Guatemala</w:t>
      </w:r>
      <w:r w:rsidRPr="00C807A8">
        <w:rPr>
          <w:sz w:val="16"/>
          <w:szCs w:val="16"/>
        </w:rPr>
        <w:t>. Convocatoria a audiencia. Resolución del Presidente de la Corte Interamericana de Derechos Humanos de 15 de febrero de 2019</w:t>
      </w:r>
      <w:r>
        <w:rPr>
          <w:sz w:val="16"/>
          <w:szCs w:val="16"/>
        </w:rPr>
        <w:t>, considerando 21</w:t>
      </w:r>
      <w:r w:rsidRPr="00C807A8">
        <w:rPr>
          <w:sz w:val="16"/>
          <w:szCs w:val="16"/>
        </w:rPr>
        <w:t>.</w:t>
      </w:r>
    </w:p>
  </w:footnote>
  <w:footnote w:id="3">
    <w:p w14:paraId="349FE5A6" w14:textId="736ED59C" w:rsidR="00897B18" w:rsidRPr="00837140" w:rsidRDefault="00897B18" w:rsidP="00837140">
      <w:pPr>
        <w:pStyle w:val="Textonotapie"/>
        <w:tabs>
          <w:tab w:val="left" w:pos="567"/>
        </w:tabs>
        <w:rPr>
          <w:sz w:val="16"/>
          <w:szCs w:val="16"/>
        </w:rPr>
      </w:pPr>
      <w:r w:rsidRPr="00837140">
        <w:rPr>
          <w:rStyle w:val="Refdenotaalpie"/>
          <w:sz w:val="16"/>
          <w:szCs w:val="16"/>
        </w:rPr>
        <w:footnoteRef/>
      </w:r>
      <w:r w:rsidRPr="00837140">
        <w:rPr>
          <w:sz w:val="16"/>
          <w:szCs w:val="16"/>
        </w:rPr>
        <w:t xml:space="preserve"> </w:t>
      </w:r>
      <w:r>
        <w:rPr>
          <w:sz w:val="16"/>
          <w:szCs w:val="16"/>
        </w:rPr>
        <w:tab/>
      </w:r>
      <w:r>
        <w:rPr>
          <w:i/>
          <w:sz w:val="16"/>
          <w:szCs w:val="16"/>
        </w:rPr>
        <w:t xml:space="preserve">Cfr. </w:t>
      </w:r>
      <w:r>
        <w:rPr>
          <w:sz w:val="16"/>
          <w:szCs w:val="16"/>
        </w:rPr>
        <w:t xml:space="preserve">Hoja de vida de Luis Alberto Naldos Blaco (expediente de prueba, folio 3347). </w:t>
      </w:r>
    </w:p>
  </w:footnote>
  <w:footnote w:id="4">
    <w:p w14:paraId="7816F945" w14:textId="4DD6BE2F" w:rsidR="00897B18" w:rsidRPr="00837140" w:rsidRDefault="00897B18" w:rsidP="00837140">
      <w:pPr>
        <w:tabs>
          <w:tab w:val="left" w:pos="567"/>
        </w:tabs>
        <w:spacing w:line="240" w:lineRule="auto"/>
        <w:contextualSpacing/>
        <w:jc w:val="both"/>
        <w:rPr>
          <w:b/>
          <w:sz w:val="16"/>
          <w:szCs w:val="16"/>
        </w:rPr>
      </w:pPr>
      <w:r w:rsidRPr="00837140">
        <w:rPr>
          <w:rStyle w:val="Refdenotaalpie"/>
          <w:sz w:val="16"/>
          <w:szCs w:val="16"/>
        </w:rPr>
        <w:footnoteRef/>
      </w:r>
      <w:r w:rsidRPr="00837140">
        <w:rPr>
          <w:sz w:val="16"/>
          <w:szCs w:val="16"/>
        </w:rPr>
        <w:t xml:space="preserve"> </w:t>
      </w:r>
      <w:r w:rsidRPr="00837140">
        <w:rPr>
          <w:sz w:val="16"/>
          <w:szCs w:val="16"/>
        </w:rPr>
        <w:tab/>
      </w:r>
      <w:r w:rsidRPr="00837140">
        <w:rPr>
          <w:i/>
          <w:sz w:val="16"/>
          <w:szCs w:val="16"/>
        </w:rPr>
        <w:t xml:space="preserve">Cfr. Caso González y otras (“Campo Algodonero”) Vs. México. </w:t>
      </w:r>
      <w:r w:rsidRPr="00837140">
        <w:rPr>
          <w:rStyle w:val="Textoennegrita"/>
          <w:b w:val="0"/>
          <w:sz w:val="16"/>
          <w:szCs w:val="16"/>
          <w:shd w:val="clear" w:color="auto" w:fill="FFFFFF"/>
        </w:rPr>
        <w:t xml:space="preserve">Convocatoria a audiencia. </w:t>
      </w:r>
      <w:r w:rsidRPr="00837140">
        <w:rPr>
          <w:sz w:val="16"/>
          <w:szCs w:val="16"/>
        </w:rPr>
        <w:t xml:space="preserve">Resolución de la Presidenta de la Corte Interamericana de Derechos Humanos de 18 de marzo de 2009, considerando 88, y </w:t>
      </w:r>
      <w:r w:rsidRPr="00837140">
        <w:rPr>
          <w:i/>
          <w:sz w:val="16"/>
          <w:szCs w:val="16"/>
        </w:rPr>
        <w:t xml:space="preserve">Caso Arrom Suhurt y otros Vs. Paraguay. </w:t>
      </w:r>
      <w:r w:rsidRPr="00837140">
        <w:rPr>
          <w:sz w:val="16"/>
          <w:szCs w:val="16"/>
        </w:rPr>
        <w:t>Convocatoria a audiencia. Resolución del Presidente de la Corte Interamericana de Derechos Humanos de 17 de diciembre de 2018, considerando 1</w:t>
      </w:r>
      <w:r>
        <w:rPr>
          <w:sz w:val="16"/>
          <w:szCs w:val="16"/>
        </w:rPr>
        <w:t>7</w:t>
      </w:r>
      <w:r w:rsidRPr="00837140">
        <w:rPr>
          <w:sz w:val="16"/>
          <w:szCs w:val="16"/>
        </w:rPr>
        <w:t>.</w:t>
      </w:r>
    </w:p>
  </w:footnote>
  <w:footnote w:id="5">
    <w:p w14:paraId="2465D14A" w14:textId="0CF90DFD" w:rsidR="00897B18" w:rsidRPr="001A5338" w:rsidRDefault="00897B18" w:rsidP="00837140">
      <w:pPr>
        <w:tabs>
          <w:tab w:val="left" w:pos="567"/>
        </w:tabs>
        <w:spacing w:line="240" w:lineRule="auto"/>
        <w:contextualSpacing/>
        <w:jc w:val="both"/>
        <w:rPr>
          <w:b/>
          <w:sz w:val="16"/>
          <w:szCs w:val="16"/>
        </w:rPr>
      </w:pPr>
      <w:r w:rsidRPr="00837140">
        <w:rPr>
          <w:rStyle w:val="Refdenotaalpie"/>
          <w:sz w:val="16"/>
          <w:szCs w:val="16"/>
        </w:rPr>
        <w:footnoteRef/>
      </w:r>
      <w:r w:rsidRPr="00837140">
        <w:rPr>
          <w:sz w:val="16"/>
          <w:szCs w:val="16"/>
        </w:rPr>
        <w:t xml:space="preserve"> </w:t>
      </w:r>
      <w:r w:rsidRPr="00837140">
        <w:rPr>
          <w:sz w:val="16"/>
          <w:szCs w:val="16"/>
        </w:rPr>
        <w:tab/>
      </w:r>
      <w:r w:rsidRPr="00837140">
        <w:rPr>
          <w:i/>
          <w:sz w:val="16"/>
          <w:szCs w:val="16"/>
        </w:rPr>
        <w:t xml:space="preserve">Cfr. Caso Abrill Alosilla y otros Vs. Perú. </w:t>
      </w:r>
      <w:r w:rsidRPr="00837140">
        <w:rPr>
          <w:rStyle w:val="Textoennegrita"/>
          <w:b w:val="0"/>
          <w:sz w:val="16"/>
          <w:szCs w:val="16"/>
          <w:shd w:val="clear" w:color="auto" w:fill="FFFFFF"/>
        </w:rPr>
        <w:t>Convocatoria a audiencia</w:t>
      </w:r>
      <w:r w:rsidRPr="00C807A8">
        <w:rPr>
          <w:rStyle w:val="Textoennegrita"/>
          <w:b w:val="0"/>
          <w:sz w:val="16"/>
          <w:szCs w:val="16"/>
          <w:shd w:val="clear" w:color="auto" w:fill="FFFFFF"/>
        </w:rPr>
        <w:t>.</w:t>
      </w:r>
      <w:r w:rsidRPr="00837140">
        <w:rPr>
          <w:rStyle w:val="Textoennegrita"/>
          <w:sz w:val="16"/>
          <w:szCs w:val="16"/>
          <w:shd w:val="clear" w:color="auto" w:fill="FFFFFF"/>
        </w:rPr>
        <w:t xml:space="preserve"> </w:t>
      </w:r>
      <w:r w:rsidRPr="00837140">
        <w:rPr>
          <w:sz w:val="16"/>
          <w:szCs w:val="16"/>
        </w:rPr>
        <w:t xml:space="preserve">Resolución del Presidente de la Corte Interamericana de Derechos Humanos de 8 de septiembre de 2010, considerando 15, y </w:t>
      </w:r>
      <w:r w:rsidRPr="00837140">
        <w:rPr>
          <w:i/>
          <w:sz w:val="16"/>
          <w:szCs w:val="16"/>
        </w:rPr>
        <w:t xml:space="preserve">Caso Arrom Suhurt y otros Vs. Paraguay. </w:t>
      </w:r>
      <w:r w:rsidRPr="00837140">
        <w:rPr>
          <w:sz w:val="16"/>
          <w:szCs w:val="16"/>
        </w:rPr>
        <w:t>Convocatoria a audiencia. Resolución del Presidente de la Corte Interamericana de Derechos Humanos de 17 de diciembre de 2018, considerando 1</w:t>
      </w:r>
      <w:r>
        <w:rPr>
          <w:sz w:val="16"/>
          <w:szCs w:val="16"/>
        </w:rPr>
        <w:t>7</w:t>
      </w:r>
      <w:r w:rsidRPr="00837140">
        <w:rPr>
          <w:sz w:val="16"/>
          <w:szCs w:val="16"/>
        </w:rPr>
        <w:t>.</w:t>
      </w:r>
    </w:p>
  </w:footnote>
  <w:footnote w:id="6">
    <w:p w14:paraId="788B5D0E" w14:textId="4D58E587" w:rsidR="00897B18" w:rsidRPr="00507CF0" w:rsidRDefault="00897B18" w:rsidP="00507CF0">
      <w:pPr>
        <w:pStyle w:val="Textonotapie"/>
        <w:tabs>
          <w:tab w:val="left" w:pos="567"/>
        </w:tabs>
        <w:jc w:val="both"/>
        <w:rPr>
          <w:b/>
          <w:sz w:val="16"/>
          <w:szCs w:val="16"/>
        </w:rPr>
      </w:pPr>
      <w:r w:rsidRPr="00507CF0">
        <w:rPr>
          <w:rStyle w:val="Refdenotaalpie"/>
          <w:sz w:val="16"/>
          <w:szCs w:val="16"/>
        </w:rPr>
        <w:footnoteRef/>
      </w:r>
      <w:r w:rsidRPr="00507CF0">
        <w:rPr>
          <w:sz w:val="16"/>
          <w:szCs w:val="16"/>
        </w:rPr>
        <w:t xml:space="preserve"> </w:t>
      </w:r>
      <w:r w:rsidRPr="00507CF0">
        <w:rPr>
          <w:sz w:val="16"/>
          <w:szCs w:val="16"/>
        </w:rPr>
        <w:tab/>
        <w:t>Por tanto, resulta innecesario pronunciarse sobre la solicitud de la Comisión para realizar preguntas a este perito.</w:t>
      </w:r>
      <w:r>
        <w:rPr>
          <w:sz w:val="16"/>
          <w:szCs w:val="16"/>
        </w:rPr>
        <w:t xml:space="preserve"> </w:t>
      </w:r>
    </w:p>
  </w:footnote>
  <w:footnote w:id="7">
    <w:p w14:paraId="29B19E22" w14:textId="3E0F2E4C" w:rsidR="00897B18" w:rsidRPr="00E74D80" w:rsidRDefault="00897B18" w:rsidP="009F4D08">
      <w:pPr>
        <w:pStyle w:val="Textonotapie"/>
        <w:rPr>
          <w:sz w:val="16"/>
          <w:szCs w:val="16"/>
        </w:rPr>
      </w:pPr>
      <w:r w:rsidRPr="00E74D80">
        <w:rPr>
          <w:rStyle w:val="Refdenotaalpie"/>
          <w:sz w:val="16"/>
          <w:szCs w:val="16"/>
        </w:rPr>
        <w:footnoteRef/>
      </w:r>
      <w:r>
        <w:rPr>
          <w:sz w:val="16"/>
          <w:szCs w:val="16"/>
        </w:rPr>
        <w:t xml:space="preserve">         </w:t>
      </w:r>
      <w:r w:rsidRPr="00E74D80">
        <w:rPr>
          <w:i/>
          <w:sz w:val="16"/>
          <w:szCs w:val="16"/>
        </w:rPr>
        <w:t xml:space="preserve">Cfr. </w:t>
      </w:r>
      <w:r>
        <w:rPr>
          <w:sz w:val="16"/>
          <w:szCs w:val="16"/>
        </w:rPr>
        <w:t>Hoja de vida de Roger Mauricio Noguera Rojas (expediente de prueba, folios 2730 a 2731).</w:t>
      </w:r>
    </w:p>
  </w:footnote>
  <w:footnote w:id="8">
    <w:p w14:paraId="1A023EF3" w14:textId="676FFBD7" w:rsidR="00897B18" w:rsidRPr="00E74D80" w:rsidRDefault="00897B18" w:rsidP="00E74D80">
      <w:pPr>
        <w:pStyle w:val="Textonotapie"/>
        <w:jc w:val="both"/>
        <w:rPr>
          <w:sz w:val="16"/>
          <w:szCs w:val="16"/>
        </w:rPr>
      </w:pPr>
      <w:r w:rsidRPr="00E74D80">
        <w:rPr>
          <w:rStyle w:val="Refdenotaalpie"/>
          <w:sz w:val="16"/>
          <w:szCs w:val="16"/>
        </w:rPr>
        <w:footnoteRef/>
      </w:r>
      <w:r>
        <w:rPr>
          <w:sz w:val="16"/>
          <w:szCs w:val="16"/>
        </w:rPr>
        <w:t xml:space="preserve">      El artículo 28.1 del Reglamento establece que “[…] la totalidad de los </w:t>
      </w:r>
      <w:r w:rsidRPr="00685F6B">
        <w:rPr>
          <w:sz w:val="16"/>
          <w:szCs w:val="16"/>
        </w:rPr>
        <w:t>anexos deberán ser recibidos en el Tribunal a más t</w:t>
      </w:r>
      <w:r>
        <w:rPr>
          <w:sz w:val="16"/>
          <w:szCs w:val="16"/>
        </w:rPr>
        <w:t xml:space="preserve">ardar en el plazo improrrogable </w:t>
      </w:r>
      <w:r w:rsidRPr="00685F6B">
        <w:rPr>
          <w:sz w:val="16"/>
          <w:szCs w:val="16"/>
        </w:rPr>
        <w:t xml:space="preserve">de 21 días, contado a </w:t>
      </w:r>
      <w:r>
        <w:rPr>
          <w:sz w:val="16"/>
          <w:szCs w:val="16"/>
        </w:rPr>
        <w:t xml:space="preserve">partir del día en que venció el plazo para la remisión del </w:t>
      </w:r>
      <w:r w:rsidRPr="00685F6B">
        <w:rPr>
          <w:sz w:val="16"/>
          <w:szCs w:val="16"/>
        </w:rPr>
        <w:t>escrito</w:t>
      </w:r>
      <w:r>
        <w:rPr>
          <w:sz w:val="16"/>
          <w:szCs w:val="16"/>
        </w:rPr>
        <w:t>”.</w:t>
      </w:r>
    </w:p>
  </w:footnote>
  <w:footnote w:id="9">
    <w:p w14:paraId="2C5444B2" w14:textId="38FAD026" w:rsidR="00897B18" w:rsidRPr="00B81FBB" w:rsidRDefault="00897B18" w:rsidP="00BA1C2A">
      <w:pPr>
        <w:tabs>
          <w:tab w:val="left" w:pos="567"/>
        </w:tabs>
        <w:autoSpaceDE w:val="0"/>
        <w:autoSpaceDN w:val="0"/>
        <w:adjustRightInd w:val="0"/>
        <w:spacing w:line="240" w:lineRule="auto"/>
        <w:jc w:val="both"/>
        <w:rPr>
          <w:rFonts w:cs="Arial"/>
          <w:color w:val="494A4A"/>
          <w:sz w:val="16"/>
          <w:szCs w:val="16"/>
        </w:rPr>
      </w:pPr>
      <w:r w:rsidRPr="00B81FBB">
        <w:rPr>
          <w:rStyle w:val="Refdenotaalpie"/>
          <w:sz w:val="16"/>
          <w:szCs w:val="16"/>
        </w:rPr>
        <w:footnoteRef/>
      </w:r>
      <w:r>
        <w:rPr>
          <w:sz w:val="16"/>
          <w:szCs w:val="16"/>
        </w:rPr>
        <w:t xml:space="preserve"> </w:t>
      </w:r>
      <w:r>
        <w:rPr>
          <w:sz w:val="16"/>
          <w:szCs w:val="16"/>
        </w:rPr>
        <w:tab/>
      </w:r>
      <w:r w:rsidRPr="00C807A8">
        <w:rPr>
          <w:sz w:val="16"/>
          <w:szCs w:val="16"/>
        </w:rPr>
        <w:t xml:space="preserve">La Comisión informó que la perito declararía sobre “la </w:t>
      </w:r>
      <w:r w:rsidRPr="00B55BF9">
        <w:rPr>
          <w:rFonts w:cs="Arial"/>
          <w:sz w:val="16"/>
          <w:szCs w:val="16"/>
        </w:rPr>
        <w:t xml:space="preserve">violencia contra personas LGBT, sus manifestaciones, así como el concepto de la violencia por prejuicio y el desarrollo de estas cuestiones en el derecho internacional de los derechos humanos. La perita se referirá a las particularidades que deben tomarse en cuenta en el análisis probatorio de un caso de tortura sexual con base en la orientación sexual o identidad de género de una persona, así como en el análisis de las obligaciones específicas de investigación y sanción de los responsables. La perita también abordara las reparaciones necesarias en un caso como el presente y para ejemplificar el desarrollo de su peritaje, podrá referirse a los hechos del caso”. </w:t>
      </w:r>
    </w:p>
  </w:footnote>
  <w:footnote w:id="10">
    <w:p w14:paraId="7FAF6807" w14:textId="58FC450C" w:rsidR="00897B18" w:rsidRPr="006457FF" w:rsidRDefault="00897B18" w:rsidP="006457FF">
      <w:pPr>
        <w:pStyle w:val="Textonotapie"/>
        <w:tabs>
          <w:tab w:val="left" w:pos="567"/>
        </w:tabs>
        <w:jc w:val="both"/>
        <w:rPr>
          <w:sz w:val="16"/>
          <w:szCs w:val="16"/>
        </w:rPr>
      </w:pPr>
      <w:r w:rsidRPr="006457FF">
        <w:rPr>
          <w:rStyle w:val="Refdenotaalpie"/>
          <w:sz w:val="16"/>
          <w:szCs w:val="16"/>
        </w:rPr>
        <w:footnoteRef/>
      </w:r>
      <w:r w:rsidRPr="006457FF">
        <w:rPr>
          <w:sz w:val="16"/>
          <w:szCs w:val="16"/>
        </w:rPr>
        <w:t xml:space="preserve">  </w:t>
      </w:r>
      <w:r w:rsidRPr="006457FF">
        <w:rPr>
          <w:sz w:val="16"/>
          <w:szCs w:val="16"/>
        </w:rPr>
        <w:tab/>
      </w:r>
      <w:r w:rsidRPr="006457FF">
        <w:rPr>
          <w:i/>
          <w:sz w:val="16"/>
          <w:szCs w:val="16"/>
        </w:rPr>
        <w:t>Cfr. Caso de la “Masacre de Pueblo Bello” Vs. Colombia.</w:t>
      </w:r>
      <w:r w:rsidRPr="006457FF">
        <w:rPr>
          <w:sz w:val="16"/>
          <w:szCs w:val="16"/>
        </w:rPr>
        <w:t xml:space="preserve"> Resolución del Presidente de la Corte Interamericana de 29 de julio de 2005, considerando 7, y </w:t>
      </w:r>
      <w:r w:rsidRPr="006457FF">
        <w:rPr>
          <w:i/>
          <w:sz w:val="16"/>
          <w:szCs w:val="16"/>
        </w:rPr>
        <w:t>Caso Villamizar Durán y otros Vs. Colombia. Convocatoria a audiencia.</w:t>
      </w:r>
      <w:r w:rsidRPr="006457FF">
        <w:rPr>
          <w:sz w:val="16"/>
          <w:szCs w:val="16"/>
        </w:rPr>
        <w:t xml:space="preserve"> Resolución del Presidente de la Corte Interamericana de Derechos Humanos de 12 de septiembre de 2017, considerando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95D6" w14:textId="77777777" w:rsidR="00897B18" w:rsidRDefault="00897B18" w:rsidP="00E97AA8">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02E3986A" w14:textId="77777777" w:rsidR="00897B18" w:rsidRDefault="00897B18" w:rsidP="00E97AA8">
    <w:pPr>
      <w:pStyle w:val="Encabezado"/>
    </w:pPr>
  </w:p>
  <w:p w14:paraId="2773835B" w14:textId="77777777" w:rsidR="00897B18" w:rsidRDefault="00897B18" w:rsidP="00E97A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2202" w14:textId="6FA6EA0D" w:rsidR="00897B18" w:rsidRDefault="00897B18" w:rsidP="00E97AA8">
    <w:pPr>
      <w:pStyle w:val="Encabezado"/>
      <w:jc w:val="center"/>
      <w:rPr>
        <w:rStyle w:val="Nmerodepgina"/>
      </w:rPr>
    </w:pPr>
    <w:r w:rsidRPr="00205583">
      <w:rPr>
        <w:rStyle w:val="Nmerodepgina"/>
      </w:rPr>
      <w:t xml:space="preserve">- </w:t>
    </w:r>
    <w:r w:rsidRPr="00205583">
      <w:rPr>
        <w:rStyle w:val="Nmerodepgina"/>
      </w:rPr>
      <w:fldChar w:fldCharType="begin"/>
    </w:r>
    <w:r w:rsidRPr="00205583">
      <w:rPr>
        <w:rStyle w:val="Nmerodepgina"/>
      </w:rPr>
      <w:instrText xml:space="preserve">PAGE  </w:instrText>
    </w:r>
    <w:r w:rsidRPr="00205583">
      <w:rPr>
        <w:rStyle w:val="Nmerodepgina"/>
      </w:rPr>
      <w:fldChar w:fldCharType="separate"/>
    </w:r>
    <w:r w:rsidR="00AB2A8E">
      <w:rPr>
        <w:rStyle w:val="Nmerodepgina"/>
        <w:noProof/>
      </w:rPr>
      <w:t>11</w:t>
    </w:r>
    <w:r w:rsidRPr="00205583">
      <w:rPr>
        <w:rStyle w:val="Nmerodepgina"/>
      </w:rPr>
      <w:fldChar w:fldCharType="end"/>
    </w:r>
    <w:r>
      <w:rPr>
        <w:rStyle w:val="Nmerodepgina"/>
      </w:rPr>
      <w:t xml:space="preserve"> -</w:t>
    </w:r>
  </w:p>
  <w:p w14:paraId="6907126A" w14:textId="77777777" w:rsidR="00897B18" w:rsidRDefault="00897B18" w:rsidP="00E97AA8">
    <w:pPr>
      <w:pStyle w:val="Encabezado"/>
    </w:pPr>
  </w:p>
  <w:p w14:paraId="34E6923E" w14:textId="77777777" w:rsidR="00897B18" w:rsidRDefault="00897B18" w:rsidP="00E97A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3AC"/>
    <w:multiLevelType w:val="hybridMultilevel"/>
    <w:tmpl w:val="00284C8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4C790E"/>
    <w:multiLevelType w:val="hybridMultilevel"/>
    <w:tmpl w:val="D34A4374"/>
    <w:lvl w:ilvl="0" w:tplc="887A47F8">
      <w:start w:val="1"/>
      <w:numFmt w:val="decimal"/>
      <w:pStyle w:val="PrrafodeSentencia"/>
      <w:lvlText w:val="%1."/>
      <w:lvlJc w:val="left"/>
      <w:pPr>
        <w:ind w:left="720" w:hanging="360"/>
      </w:pPr>
      <w:rPr>
        <w:rFonts w:ascii="Verdana" w:hAnsi="Verdana" w:hint="default"/>
        <w:b w:val="0"/>
        <w:i w:val="0"/>
        <w:strike w:val="0"/>
        <w:dstrike w:val="0"/>
        <w:color w:val="auto"/>
        <w:sz w:val="20"/>
        <w:szCs w:val="20"/>
        <w:u w:val="none"/>
        <w:effect w:val="none"/>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555492"/>
    <w:multiLevelType w:val="hybridMultilevel"/>
    <w:tmpl w:val="1A36D508"/>
    <w:lvl w:ilvl="0" w:tplc="115EB01E">
      <w:start w:val="1"/>
      <w:numFmt w:val="upperLetter"/>
      <w:pStyle w:val="Ttulo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6FFC71A2">
      <w:start w:val="1"/>
      <w:numFmt w:val="decimal"/>
      <w:lvlText w:val="%4."/>
      <w:lvlJc w:val="left"/>
      <w:pPr>
        <w:ind w:left="2062" w:hanging="360"/>
      </w:pPr>
      <w:rPr>
        <w:rFonts w:ascii="Verdana" w:eastAsiaTheme="minorHAnsi" w:hAnsi="Verdana" w:cstheme="minorBidi"/>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2062"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972D6A"/>
    <w:multiLevelType w:val="hybridMultilevel"/>
    <w:tmpl w:val="D6762670"/>
    <w:lvl w:ilvl="0" w:tplc="06E03C86">
      <w:start w:val="1"/>
      <w:numFmt w:val="decimal"/>
      <w:lvlText w:val="%1."/>
      <w:lvlJc w:val="left"/>
      <w:pPr>
        <w:ind w:left="1080" w:hanging="360"/>
      </w:pPr>
      <w:rPr>
        <w:rFonts w:ascii="Verdana" w:hAnsi="Verdana" w:cs="Times New Roman" w:hint="default"/>
        <w:b w:val="0"/>
        <w:i w:val="0"/>
        <w:color w:val="auto"/>
        <w:sz w:val="20"/>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4" w15:restartNumberingAfterBreak="0">
    <w:nsid w:val="11B21985"/>
    <w:multiLevelType w:val="hybridMultilevel"/>
    <w:tmpl w:val="6106906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FF478EE"/>
    <w:multiLevelType w:val="hybridMultilevel"/>
    <w:tmpl w:val="00284C8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4BE3558"/>
    <w:multiLevelType w:val="hybridMultilevel"/>
    <w:tmpl w:val="7634084E"/>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AA2E7A"/>
    <w:multiLevelType w:val="hybridMultilevel"/>
    <w:tmpl w:val="B6209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DC4DDF"/>
    <w:multiLevelType w:val="hybridMultilevel"/>
    <w:tmpl w:val="66622704"/>
    <w:lvl w:ilvl="0" w:tplc="1070EE1C">
      <w:start w:val="1"/>
      <w:numFmt w:val="upp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8E0878"/>
    <w:multiLevelType w:val="hybridMultilevel"/>
    <w:tmpl w:val="00284C8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A63910"/>
    <w:multiLevelType w:val="hybridMultilevel"/>
    <w:tmpl w:val="93187D0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2F2B4A89"/>
    <w:multiLevelType w:val="hybridMultilevel"/>
    <w:tmpl w:val="82D6BE70"/>
    <w:lvl w:ilvl="0" w:tplc="140A000F">
      <w:start w:val="1"/>
      <w:numFmt w:val="decimal"/>
      <w:lvlText w:val="%1."/>
      <w:lvlJc w:val="left"/>
      <w:pPr>
        <w:ind w:left="1070" w:hanging="360"/>
      </w:pPr>
    </w:lvl>
    <w:lvl w:ilvl="1" w:tplc="140A0019">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3" w15:restartNumberingAfterBreak="0">
    <w:nsid w:val="2FE22B0A"/>
    <w:multiLevelType w:val="hybridMultilevel"/>
    <w:tmpl w:val="AFC25334"/>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00E3C67"/>
    <w:multiLevelType w:val="hybridMultilevel"/>
    <w:tmpl w:val="001EF57E"/>
    <w:lvl w:ilvl="0" w:tplc="0A64DB6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50316"/>
    <w:multiLevelType w:val="hybridMultilevel"/>
    <w:tmpl w:val="33661D0A"/>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5A2716"/>
    <w:multiLevelType w:val="hybridMultilevel"/>
    <w:tmpl w:val="71D2E054"/>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525346"/>
    <w:multiLevelType w:val="hybridMultilevel"/>
    <w:tmpl w:val="D7D6A3DA"/>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B5912BD"/>
    <w:multiLevelType w:val="hybridMultilevel"/>
    <w:tmpl w:val="340E8A82"/>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E4E7652"/>
    <w:multiLevelType w:val="hybridMultilevel"/>
    <w:tmpl w:val="D6762670"/>
    <w:lvl w:ilvl="0" w:tplc="06E03C86">
      <w:start w:val="1"/>
      <w:numFmt w:val="decimal"/>
      <w:lvlText w:val="%1."/>
      <w:lvlJc w:val="left"/>
      <w:pPr>
        <w:ind w:left="786"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581941"/>
    <w:multiLevelType w:val="hybridMultilevel"/>
    <w:tmpl w:val="32B25844"/>
    <w:lvl w:ilvl="0" w:tplc="ACA2300E">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3D800A3"/>
    <w:multiLevelType w:val="hybridMultilevel"/>
    <w:tmpl w:val="2698EC64"/>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4292299"/>
    <w:multiLevelType w:val="hybridMultilevel"/>
    <w:tmpl w:val="FC9A6096"/>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B5366BF"/>
    <w:multiLevelType w:val="hybridMultilevel"/>
    <w:tmpl w:val="9E8AB1AE"/>
    <w:lvl w:ilvl="0" w:tplc="B7F47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817A0"/>
    <w:multiLevelType w:val="hybridMultilevel"/>
    <w:tmpl w:val="BE6838E2"/>
    <w:lvl w:ilvl="0" w:tplc="586EF916">
      <w:start w:val="1"/>
      <w:numFmt w:val="upp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555430E5"/>
    <w:multiLevelType w:val="hybridMultilevel"/>
    <w:tmpl w:val="41D4BFE0"/>
    <w:lvl w:ilvl="0" w:tplc="7E9A7056">
      <w:start w:val="1"/>
      <w:numFmt w:val="decimal"/>
      <w:lvlText w:val="%1."/>
      <w:lvlJc w:val="left"/>
      <w:pPr>
        <w:ind w:left="288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DDB6DC6"/>
    <w:multiLevelType w:val="hybridMultilevel"/>
    <w:tmpl w:val="5DFE6406"/>
    <w:lvl w:ilvl="0" w:tplc="99FE4F9E">
      <w:start w:val="1"/>
      <w:numFmt w:val="decimal"/>
      <w:pStyle w:val="Sinespaciado"/>
      <w:lvlText w:val="%1."/>
      <w:lvlJc w:val="left"/>
      <w:pPr>
        <w:ind w:left="7560" w:hanging="360"/>
      </w:pPr>
      <w:rPr>
        <w:rFonts w:ascii="Verdana" w:hAnsi="Verdana" w:hint="default"/>
        <w:b w:val="0"/>
        <w:i w:val="0"/>
        <w:color w:val="auto"/>
        <w:sz w:val="20"/>
        <w:szCs w:val="20"/>
        <w:lang w:val="es-CR"/>
      </w:rPr>
    </w:lvl>
    <w:lvl w:ilvl="1" w:tplc="04090019">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7" w15:restartNumberingAfterBreak="0">
    <w:nsid w:val="5E1C2AF2"/>
    <w:multiLevelType w:val="hybridMultilevel"/>
    <w:tmpl w:val="6486D930"/>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FE23EA0"/>
    <w:multiLevelType w:val="hybridMultilevel"/>
    <w:tmpl w:val="CB66C4D0"/>
    <w:lvl w:ilvl="0" w:tplc="170A1FDE">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062"/>
        </w:tabs>
        <w:ind w:left="2062"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4C8295A"/>
    <w:multiLevelType w:val="hybridMultilevel"/>
    <w:tmpl w:val="AB823120"/>
    <w:lvl w:ilvl="0" w:tplc="F3AA6FAC">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7622986"/>
    <w:multiLevelType w:val="hybridMultilevel"/>
    <w:tmpl w:val="D6762670"/>
    <w:lvl w:ilvl="0" w:tplc="06E03C86">
      <w:start w:val="1"/>
      <w:numFmt w:val="decimal"/>
      <w:lvlText w:val="%1."/>
      <w:lvlJc w:val="left"/>
      <w:pPr>
        <w:ind w:left="786"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C53B13"/>
    <w:multiLevelType w:val="hybridMultilevel"/>
    <w:tmpl w:val="20B87C36"/>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A26595C"/>
    <w:multiLevelType w:val="hybridMultilevel"/>
    <w:tmpl w:val="D68AF9C0"/>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ECD472B"/>
    <w:multiLevelType w:val="hybridMultilevel"/>
    <w:tmpl w:val="E94A3942"/>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1"/>
  </w:num>
  <w:num w:numId="5">
    <w:abstractNumId w:val="19"/>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31"/>
  </w:num>
  <w:num w:numId="13">
    <w:abstractNumId w:val="24"/>
  </w:num>
  <w:num w:numId="14">
    <w:abstractNumId w:val="17"/>
  </w:num>
  <w:num w:numId="15">
    <w:abstractNumId w:val="0"/>
  </w:num>
  <w:num w:numId="16">
    <w:abstractNumId w:val="21"/>
  </w:num>
  <w:num w:numId="17">
    <w:abstractNumId w:val="6"/>
  </w:num>
  <w:num w:numId="18">
    <w:abstractNumId w:val="5"/>
  </w:num>
  <w:num w:numId="19">
    <w:abstractNumId w:val="9"/>
  </w:num>
  <w:num w:numId="20">
    <w:abstractNumId w:val="18"/>
  </w:num>
  <w:num w:numId="21">
    <w:abstractNumId w:val="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30"/>
  </w:num>
  <w:num w:numId="25">
    <w:abstractNumId w:val="20"/>
  </w:num>
  <w:num w:numId="26">
    <w:abstractNumId w:val="8"/>
  </w:num>
  <w:num w:numId="27">
    <w:abstractNumId w:val="33"/>
  </w:num>
  <w:num w:numId="28">
    <w:abstractNumId w:val="15"/>
  </w:num>
  <w:num w:numId="29">
    <w:abstractNumId w:val="22"/>
  </w:num>
  <w:num w:numId="30">
    <w:abstractNumId w:val="32"/>
  </w:num>
  <w:num w:numId="31">
    <w:abstractNumId w:val="34"/>
  </w:num>
  <w:num w:numId="32">
    <w:abstractNumId w:val="27"/>
  </w:num>
  <w:num w:numId="33">
    <w:abstractNumId w:val="13"/>
  </w:num>
  <w:num w:numId="34">
    <w:abstractNumId w:val="16"/>
  </w:num>
  <w:num w:numId="35">
    <w:abstractNumId w:val="11"/>
  </w:num>
  <w:num w:numId="36">
    <w:abstractNumId w:val="28"/>
  </w:num>
  <w:num w:numId="37">
    <w:abstractNumId w:val="7"/>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0"/>
  <w:activeWritingStyle w:appName="MSWord" w:lang="es-C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C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91"/>
    <w:rsid w:val="000033D7"/>
    <w:rsid w:val="00005C3B"/>
    <w:rsid w:val="00010226"/>
    <w:rsid w:val="00012E73"/>
    <w:rsid w:val="00014289"/>
    <w:rsid w:val="00014C78"/>
    <w:rsid w:val="00016191"/>
    <w:rsid w:val="00017AD6"/>
    <w:rsid w:val="000205AC"/>
    <w:rsid w:val="000341DA"/>
    <w:rsid w:val="00035149"/>
    <w:rsid w:val="00043F00"/>
    <w:rsid w:val="0004514C"/>
    <w:rsid w:val="00045F17"/>
    <w:rsid w:val="00047269"/>
    <w:rsid w:val="00055052"/>
    <w:rsid w:val="000572C5"/>
    <w:rsid w:val="00060660"/>
    <w:rsid w:val="00062639"/>
    <w:rsid w:val="00063C33"/>
    <w:rsid w:val="00063E3C"/>
    <w:rsid w:val="00065FFD"/>
    <w:rsid w:val="00066CD6"/>
    <w:rsid w:val="00067B7C"/>
    <w:rsid w:val="000719A4"/>
    <w:rsid w:val="00073E13"/>
    <w:rsid w:val="000759AC"/>
    <w:rsid w:val="0008188C"/>
    <w:rsid w:val="00094A32"/>
    <w:rsid w:val="000951A5"/>
    <w:rsid w:val="00096CC8"/>
    <w:rsid w:val="00096D19"/>
    <w:rsid w:val="000A0FDA"/>
    <w:rsid w:val="000A4368"/>
    <w:rsid w:val="000A7575"/>
    <w:rsid w:val="000B3065"/>
    <w:rsid w:val="000B398F"/>
    <w:rsid w:val="000B61CF"/>
    <w:rsid w:val="000C00AC"/>
    <w:rsid w:val="000C41A4"/>
    <w:rsid w:val="000C7B74"/>
    <w:rsid w:val="000D0F0E"/>
    <w:rsid w:val="000D3879"/>
    <w:rsid w:val="000D4C2C"/>
    <w:rsid w:val="000D4C8E"/>
    <w:rsid w:val="000D608F"/>
    <w:rsid w:val="000F00E0"/>
    <w:rsid w:val="000F095D"/>
    <w:rsid w:val="000F1688"/>
    <w:rsid w:val="000F1A7C"/>
    <w:rsid w:val="0010097D"/>
    <w:rsid w:val="00101232"/>
    <w:rsid w:val="00102153"/>
    <w:rsid w:val="001031A7"/>
    <w:rsid w:val="00104220"/>
    <w:rsid w:val="0010494F"/>
    <w:rsid w:val="00107F5E"/>
    <w:rsid w:val="00113F6D"/>
    <w:rsid w:val="0011434A"/>
    <w:rsid w:val="00117C4F"/>
    <w:rsid w:val="00122A75"/>
    <w:rsid w:val="00123C72"/>
    <w:rsid w:val="00126567"/>
    <w:rsid w:val="001275D0"/>
    <w:rsid w:val="00133CE7"/>
    <w:rsid w:val="001362D7"/>
    <w:rsid w:val="001369CA"/>
    <w:rsid w:val="00136A3D"/>
    <w:rsid w:val="00136EDC"/>
    <w:rsid w:val="00141F7E"/>
    <w:rsid w:val="00143B34"/>
    <w:rsid w:val="00150BD8"/>
    <w:rsid w:val="001517BD"/>
    <w:rsid w:val="00155D07"/>
    <w:rsid w:val="00155FB3"/>
    <w:rsid w:val="00160E30"/>
    <w:rsid w:val="00162BD2"/>
    <w:rsid w:val="0016379E"/>
    <w:rsid w:val="00164C90"/>
    <w:rsid w:val="00165C80"/>
    <w:rsid w:val="00171AAD"/>
    <w:rsid w:val="001735A7"/>
    <w:rsid w:val="00174B71"/>
    <w:rsid w:val="001859C1"/>
    <w:rsid w:val="00187EE7"/>
    <w:rsid w:val="0019023E"/>
    <w:rsid w:val="00191BEF"/>
    <w:rsid w:val="001921B7"/>
    <w:rsid w:val="001A0EFB"/>
    <w:rsid w:val="001A5338"/>
    <w:rsid w:val="001A5456"/>
    <w:rsid w:val="001A549A"/>
    <w:rsid w:val="001B2DF7"/>
    <w:rsid w:val="001B475B"/>
    <w:rsid w:val="001B480E"/>
    <w:rsid w:val="001B73FC"/>
    <w:rsid w:val="001C338D"/>
    <w:rsid w:val="001C3BCD"/>
    <w:rsid w:val="001C510E"/>
    <w:rsid w:val="001D05D4"/>
    <w:rsid w:val="001D221F"/>
    <w:rsid w:val="001D5765"/>
    <w:rsid w:val="001E10EE"/>
    <w:rsid w:val="001E1C89"/>
    <w:rsid w:val="001E33CC"/>
    <w:rsid w:val="001E35BA"/>
    <w:rsid w:val="001E47F0"/>
    <w:rsid w:val="001E5716"/>
    <w:rsid w:val="001F06EF"/>
    <w:rsid w:val="001F1FFC"/>
    <w:rsid w:val="001F3986"/>
    <w:rsid w:val="00201075"/>
    <w:rsid w:val="002045CB"/>
    <w:rsid w:val="002049B3"/>
    <w:rsid w:val="00205583"/>
    <w:rsid w:val="00205F3D"/>
    <w:rsid w:val="002133D6"/>
    <w:rsid w:val="00213D56"/>
    <w:rsid w:val="00216C80"/>
    <w:rsid w:val="00220455"/>
    <w:rsid w:val="00223A2A"/>
    <w:rsid w:val="00226D4A"/>
    <w:rsid w:val="00227A4B"/>
    <w:rsid w:val="002320B9"/>
    <w:rsid w:val="00237232"/>
    <w:rsid w:val="00240A37"/>
    <w:rsid w:val="00241D46"/>
    <w:rsid w:val="00247084"/>
    <w:rsid w:val="00247B1B"/>
    <w:rsid w:val="002509A8"/>
    <w:rsid w:val="00251F34"/>
    <w:rsid w:val="0026413C"/>
    <w:rsid w:val="00264697"/>
    <w:rsid w:val="00264ECD"/>
    <w:rsid w:val="0026641E"/>
    <w:rsid w:val="00266BB1"/>
    <w:rsid w:val="00271CF5"/>
    <w:rsid w:val="00271F05"/>
    <w:rsid w:val="002759D8"/>
    <w:rsid w:val="00287B48"/>
    <w:rsid w:val="00292673"/>
    <w:rsid w:val="002929AD"/>
    <w:rsid w:val="0029627E"/>
    <w:rsid w:val="002A1F81"/>
    <w:rsid w:val="002B0877"/>
    <w:rsid w:val="002B0FEB"/>
    <w:rsid w:val="002B13C6"/>
    <w:rsid w:val="002B22C5"/>
    <w:rsid w:val="002C03B3"/>
    <w:rsid w:val="002C152E"/>
    <w:rsid w:val="002C32E0"/>
    <w:rsid w:val="002C5F94"/>
    <w:rsid w:val="002D0D39"/>
    <w:rsid w:val="002D3F56"/>
    <w:rsid w:val="002D5571"/>
    <w:rsid w:val="002D6B08"/>
    <w:rsid w:val="002E27BE"/>
    <w:rsid w:val="002E32C7"/>
    <w:rsid w:val="002E6E4E"/>
    <w:rsid w:val="002F07BD"/>
    <w:rsid w:val="002F1E83"/>
    <w:rsid w:val="002F548B"/>
    <w:rsid w:val="002F6D60"/>
    <w:rsid w:val="00301F23"/>
    <w:rsid w:val="00304EF4"/>
    <w:rsid w:val="00305A57"/>
    <w:rsid w:val="00305EFF"/>
    <w:rsid w:val="003071BB"/>
    <w:rsid w:val="00310C35"/>
    <w:rsid w:val="003113F3"/>
    <w:rsid w:val="00311412"/>
    <w:rsid w:val="00312E2A"/>
    <w:rsid w:val="00314476"/>
    <w:rsid w:val="00316B6E"/>
    <w:rsid w:val="00316D90"/>
    <w:rsid w:val="00317041"/>
    <w:rsid w:val="00320AD0"/>
    <w:rsid w:val="00327854"/>
    <w:rsid w:val="00332454"/>
    <w:rsid w:val="00332A4B"/>
    <w:rsid w:val="00333A97"/>
    <w:rsid w:val="00341753"/>
    <w:rsid w:val="00342A8B"/>
    <w:rsid w:val="00345597"/>
    <w:rsid w:val="00351965"/>
    <w:rsid w:val="00352332"/>
    <w:rsid w:val="00354CF0"/>
    <w:rsid w:val="00357610"/>
    <w:rsid w:val="00357794"/>
    <w:rsid w:val="0036290C"/>
    <w:rsid w:val="00363877"/>
    <w:rsid w:val="00371CC7"/>
    <w:rsid w:val="003729C8"/>
    <w:rsid w:val="0037566C"/>
    <w:rsid w:val="003825E7"/>
    <w:rsid w:val="00384AAA"/>
    <w:rsid w:val="003862C7"/>
    <w:rsid w:val="00387D2B"/>
    <w:rsid w:val="00391C4F"/>
    <w:rsid w:val="00393775"/>
    <w:rsid w:val="003945D3"/>
    <w:rsid w:val="00397E8F"/>
    <w:rsid w:val="003A018B"/>
    <w:rsid w:val="003A2389"/>
    <w:rsid w:val="003A4FA8"/>
    <w:rsid w:val="003A6106"/>
    <w:rsid w:val="003B01EB"/>
    <w:rsid w:val="003B2554"/>
    <w:rsid w:val="003B38A5"/>
    <w:rsid w:val="003B3F36"/>
    <w:rsid w:val="003B657E"/>
    <w:rsid w:val="003B787B"/>
    <w:rsid w:val="003C0856"/>
    <w:rsid w:val="003C2C2D"/>
    <w:rsid w:val="003C2E75"/>
    <w:rsid w:val="003C3755"/>
    <w:rsid w:val="003C51F4"/>
    <w:rsid w:val="003D07FD"/>
    <w:rsid w:val="003D25B3"/>
    <w:rsid w:val="003D3EA0"/>
    <w:rsid w:val="003E055B"/>
    <w:rsid w:val="003E09BD"/>
    <w:rsid w:val="003E1E70"/>
    <w:rsid w:val="003E2807"/>
    <w:rsid w:val="003E520F"/>
    <w:rsid w:val="003E77F1"/>
    <w:rsid w:val="00404DE4"/>
    <w:rsid w:val="004065DD"/>
    <w:rsid w:val="00412A02"/>
    <w:rsid w:val="0041579F"/>
    <w:rsid w:val="00421DD4"/>
    <w:rsid w:val="00426042"/>
    <w:rsid w:val="004260E7"/>
    <w:rsid w:val="00434006"/>
    <w:rsid w:val="004416D4"/>
    <w:rsid w:val="004419E0"/>
    <w:rsid w:val="004522A7"/>
    <w:rsid w:val="00454412"/>
    <w:rsid w:val="00454E64"/>
    <w:rsid w:val="00455B1E"/>
    <w:rsid w:val="00456601"/>
    <w:rsid w:val="00457D89"/>
    <w:rsid w:val="0046106D"/>
    <w:rsid w:val="0046323D"/>
    <w:rsid w:val="00467E9F"/>
    <w:rsid w:val="00470241"/>
    <w:rsid w:val="004718FD"/>
    <w:rsid w:val="00477642"/>
    <w:rsid w:val="004822C3"/>
    <w:rsid w:val="00482A2E"/>
    <w:rsid w:val="00482C53"/>
    <w:rsid w:val="004836BA"/>
    <w:rsid w:val="00484610"/>
    <w:rsid w:val="00485BA2"/>
    <w:rsid w:val="004863CD"/>
    <w:rsid w:val="0048750C"/>
    <w:rsid w:val="00487AE7"/>
    <w:rsid w:val="00487FF6"/>
    <w:rsid w:val="00496EA3"/>
    <w:rsid w:val="00497516"/>
    <w:rsid w:val="00497960"/>
    <w:rsid w:val="00497C16"/>
    <w:rsid w:val="004A08DF"/>
    <w:rsid w:val="004A1516"/>
    <w:rsid w:val="004A1DF8"/>
    <w:rsid w:val="004A48FE"/>
    <w:rsid w:val="004B2167"/>
    <w:rsid w:val="004B5999"/>
    <w:rsid w:val="004B7966"/>
    <w:rsid w:val="004C0F6E"/>
    <w:rsid w:val="004C1066"/>
    <w:rsid w:val="004C3045"/>
    <w:rsid w:val="004C3A43"/>
    <w:rsid w:val="004D24A4"/>
    <w:rsid w:val="004E3C65"/>
    <w:rsid w:val="004E4058"/>
    <w:rsid w:val="004E76A1"/>
    <w:rsid w:val="004F0195"/>
    <w:rsid w:val="004F5858"/>
    <w:rsid w:val="004F6DA0"/>
    <w:rsid w:val="004F708F"/>
    <w:rsid w:val="004F75CB"/>
    <w:rsid w:val="00501D23"/>
    <w:rsid w:val="005020C1"/>
    <w:rsid w:val="00506B75"/>
    <w:rsid w:val="00507CF0"/>
    <w:rsid w:val="005117D8"/>
    <w:rsid w:val="00512CB8"/>
    <w:rsid w:val="00513D5C"/>
    <w:rsid w:val="00514246"/>
    <w:rsid w:val="005145B8"/>
    <w:rsid w:val="00523AC8"/>
    <w:rsid w:val="005245EB"/>
    <w:rsid w:val="00530162"/>
    <w:rsid w:val="005352E1"/>
    <w:rsid w:val="0053557B"/>
    <w:rsid w:val="00536C09"/>
    <w:rsid w:val="00537B8E"/>
    <w:rsid w:val="00540E03"/>
    <w:rsid w:val="00544E5A"/>
    <w:rsid w:val="00546CE6"/>
    <w:rsid w:val="00547329"/>
    <w:rsid w:val="0055209C"/>
    <w:rsid w:val="00553094"/>
    <w:rsid w:val="00556A78"/>
    <w:rsid w:val="00557B43"/>
    <w:rsid w:val="00561917"/>
    <w:rsid w:val="005620AF"/>
    <w:rsid w:val="00563E96"/>
    <w:rsid w:val="005643E0"/>
    <w:rsid w:val="00564E82"/>
    <w:rsid w:val="00564EC8"/>
    <w:rsid w:val="0056628D"/>
    <w:rsid w:val="00567C99"/>
    <w:rsid w:val="005704D4"/>
    <w:rsid w:val="00572CAE"/>
    <w:rsid w:val="00574629"/>
    <w:rsid w:val="00575D79"/>
    <w:rsid w:val="00576AEA"/>
    <w:rsid w:val="0057712C"/>
    <w:rsid w:val="00585877"/>
    <w:rsid w:val="005931DB"/>
    <w:rsid w:val="0059335C"/>
    <w:rsid w:val="005937AA"/>
    <w:rsid w:val="0059627C"/>
    <w:rsid w:val="005A21F8"/>
    <w:rsid w:val="005A2E9C"/>
    <w:rsid w:val="005A5A75"/>
    <w:rsid w:val="005B5B88"/>
    <w:rsid w:val="005B6B9A"/>
    <w:rsid w:val="005B701F"/>
    <w:rsid w:val="005C5664"/>
    <w:rsid w:val="005C5EF4"/>
    <w:rsid w:val="005C6C93"/>
    <w:rsid w:val="005D25DF"/>
    <w:rsid w:val="005E1076"/>
    <w:rsid w:val="005E1BF7"/>
    <w:rsid w:val="005E291F"/>
    <w:rsid w:val="005E59AE"/>
    <w:rsid w:val="005E66F8"/>
    <w:rsid w:val="005E698B"/>
    <w:rsid w:val="005F152E"/>
    <w:rsid w:val="005F201B"/>
    <w:rsid w:val="005F4EF2"/>
    <w:rsid w:val="005F548F"/>
    <w:rsid w:val="005F632C"/>
    <w:rsid w:val="005F7B36"/>
    <w:rsid w:val="00601AE8"/>
    <w:rsid w:val="00605EAB"/>
    <w:rsid w:val="0060651A"/>
    <w:rsid w:val="00607755"/>
    <w:rsid w:val="006112B3"/>
    <w:rsid w:val="006145F1"/>
    <w:rsid w:val="00614D4B"/>
    <w:rsid w:val="006157EB"/>
    <w:rsid w:val="00615CCA"/>
    <w:rsid w:val="006203C4"/>
    <w:rsid w:val="00623828"/>
    <w:rsid w:val="00624328"/>
    <w:rsid w:val="00630F17"/>
    <w:rsid w:val="00631E58"/>
    <w:rsid w:val="006328EB"/>
    <w:rsid w:val="006422E8"/>
    <w:rsid w:val="00643A12"/>
    <w:rsid w:val="006457FF"/>
    <w:rsid w:val="00645A5F"/>
    <w:rsid w:val="00647660"/>
    <w:rsid w:val="006520ED"/>
    <w:rsid w:val="00652E83"/>
    <w:rsid w:val="0065468B"/>
    <w:rsid w:val="00654FAD"/>
    <w:rsid w:val="00655850"/>
    <w:rsid w:val="00657EBA"/>
    <w:rsid w:val="00662AE7"/>
    <w:rsid w:val="006637F7"/>
    <w:rsid w:val="0066415E"/>
    <w:rsid w:val="00666A2C"/>
    <w:rsid w:val="00666ABF"/>
    <w:rsid w:val="00666B62"/>
    <w:rsid w:val="006701EE"/>
    <w:rsid w:val="006707EE"/>
    <w:rsid w:val="006709EC"/>
    <w:rsid w:val="006720F9"/>
    <w:rsid w:val="00677DC8"/>
    <w:rsid w:val="00677E19"/>
    <w:rsid w:val="00685F6B"/>
    <w:rsid w:val="00687787"/>
    <w:rsid w:val="006929A3"/>
    <w:rsid w:val="00695284"/>
    <w:rsid w:val="006954FE"/>
    <w:rsid w:val="00695A38"/>
    <w:rsid w:val="006A0BE5"/>
    <w:rsid w:val="006A3BB1"/>
    <w:rsid w:val="006A60ED"/>
    <w:rsid w:val="006B279B"/>
    <w:rsid w:val="006B5876"/>
    <w:rsid w:val="006B6D4D"/>
    <w:rsid w:val="006C2730"/>
    <w:rsid w:val="006C7E81"/>
    <w:rsid w:val="006D0C9B"/>
    <w:rsid w:val="006D565D"/>
    <w:rsid w:val="006D68FA"/>
    <w:rsid w:val="006D7485"/>
    <w:rsid w:val="006E4645"/>
    <w:rsid w:val="006E576F"/>
    <w:rsid w:val="006F168C"/>
    <w:rsid w:val="006F1A47"/>
    <w:rsid w:val="006F7C96"/>
    <w:rsid w:val="00702CEE"/>
    <w:rsid w:val="00704831"/>
    <w:rsid w:val="007051D8"/>
    <w:rsid w:val="00706A10"/>
    <w:rsid w:val="007118D1"/>
    <w:rsid w:val="0071192E"/>
    <w:rsid w:val="0071244C"/>
    <w:rsid w:val="00721EA7"/>
    <w:rsid w:val="00727142"/>
    <w:rsid w:val="00727EB6"/>
    <w:rsid w:val="00730250"/>
    <w:rsid w:val="0073089C"/>
    <w:rsid w:val="0074090B"/>
    <w:rsid w:val="00740C5E"/>
    <w:rsid w:val="007414E1"/>
    <w:rsid w:val="00743421"/>
    <w:rsid w:val="00745F74"/>
    <w:rsid w:val="0074714D"/>
    <w:rsid w:val="00747EEE"/>
    <w:rsid w:val="00750F33"/>
    <w:rsid w:val="007521F8"/>
    <w:rsid w:val="00754DCB"/>
    <w:rsid w:val="00755142"/>
    <w:rsid w:val="00766DD3"/>
    <w:rsid w:val="007702C3"/>
    <w:rsid w:val="00771038"/>
    <w:rsid w:val="0077293A"/>
    <w:rsid w:val="007743B9"/>
    <w:rsid w:val="0077745B"/>
    <w:rsid w:val="00784A6C"/>
    <w:rsid w:val="00787F35"/>
    <w:rsid w:val="00794D07"/>
    <w:rsid w:val="00796032"/>
    <w:rsid w:val="007960FD"/>
    <w:rsid w:val="00796E22"/>
    <w:rsid w:val="007A0FB6"/>
    <w:rsid w:val="007A3312"/>
    <w:rsid w:val="007A4D1E"/>
    <w:rsid w:val="007A581C"/>
    <w:rsid w:val="007A7106"/>
    <w:rsid w:val="007B1D63"/>
    <w:rsid w:val="007B50AF"/>
    <w:rsid w:val="007B5BB0"/>
    <w:rsid w:val="007B6003"/>
    <w:rsid w:val="007B7AB7"/>
    <w:rsid w:val="007C03FD"/>
    <w:rsid w:val="007C1F48"/>
    <w:rsid w:val="007C32EE"/>
    <w:rsid w:val="007D0789"/>
    <w:rsid w:val="007D1558"/>
    <w:rsid w:val="007D1957"/>
    <w:rsid w:val="007D2464"/>
    <w:rsid w:val="007D3859"/>
    <w:rsid w:val="007E04D4"/>
    <w:rsid w:val="007E1372"/>
    <w:rsid w:val="007E2B3D"/>
    <w:rsid w:val="007E3522"/>
    <w:rsid w:val="007E503E"/>
    <w:rsid w:val="007E5130"/>
    <w:rsid w:val="007E7781"/>
    <w:rsid w:val="007E7815"/>
    <w:rsid w:val="007F3AAA"/>
    <w:rsid w:val="007F5F37"/>
    <w:rsid w:val="00802BD5"/>
    <w:rsid w:val="00815F5A"/>
    <w:rsid w:val="0082056B"/>
    <w:rsid w:val="00824C61"/>
    <w:rsid w:val="008274AA"/>
    <w:rsid w:val="008279F3"/>
    <w:rsid w:val="00831A60"/>
    <w:rsid w:val="00833277"/>
    <w:rsid w:val="0083405E"/>
    <w:rsid w:val="00837140"/>
    <w:rsid w:val="00844163"/>
    <w:rsid w:val="0084440D"/>
    <w:rsid w:val="00854FA7"/>
    <w:rsid w:val="0085713C"/>
    <w:rsid w:val="008606A8"/>
    <w:rsid w:val="00864F68"/>
    <w:rsid w:val="00865380"/>
    <w:rsid w:val="00870BE2"/>
    <w:rsid w:val="00871010"/>
    <w:rsid w:val="00873CFF"/>
    <w:rsid w:val="00880E65"/>
    <w:rsid w:val="0088228E"/>
    <w:rsid w:val="00885622"/>
    <w:rsid w:val="008974B0"/>
    <w:rsid w:val="00897B18"/>
    <w:rsid w:val="008A2D33"/>
    <w:rsid w:val="008A61FF"/>
    <w:rsid w:val="008A748C"/>
    <w:rsid w:val="008B3852"/>
    <w:rsid w:val="008B55C3"/>
    <w:rsid w:val="008B69D6"/>
    <w:rsid w:val="008C024E"/>
    <w:rsid w:val="008C0F48"/>
    <w:rsid w:val="008C1B7B"/>
    <w:rsid w:val="008C4F57"/>
    <w:rsid w:val="008D0467"/>
    <w:rsid w:val="008D21FF"/>
    <w:rsid w:val="008D2A98"/>
    <w:rsid w:val="008D44FA"/>
    <w:rsid w:val="008D5DDF"/>
    <w:rsid w:val="008D6573"/>
    <w:rsid w:val="008D7101"/>
    <w:rsid w:val="008E6444"/>
    <w:rsid w:val="008E7E64"/>
    <w:rsid w:val="008F0658"/>
    <w:rsid w:val="008F7143"/>
    <w:rsid w:val="00901AE0"/>
    <w:rsid w:val="00902AB2"/>
    <w:rsid w:val="00903EFA"/>
    <w:rsid w:val="009042C4"/>
    <w:rsid w:val="0090445B"/>
    <w:rsid w:val="009050C9"/>
    <w:rsid w:val="00913666"/>
    <w:rsid w:val="00913E6B"/>
    <w:rsid w:val="00915580"/>
    <w:rsid w:val="009167EA"/>
    <w:rsid w:val="00921C02"/>
    <w:rsid w:val="00924F1F"/>
    <w:rsid w:val="00931D35"/>
    <w:rsid w:val="00932A7B"/>
    <w:rsid w:val="00932AE5"/>
    <w:rsid w:val="0093392B"/>
    <w:rsid w:val="009365A1"/>
    <w:rsid w:val="009366A7"/>
    <w:rsid w:val="00936935"/>
    <w:rsid w:val="00936BB0"/>
    <w:rsid w:val="009426A8"/>
    <w:rsid w:val="009430D0"/>
    <w:rsid w:val="00943C6B"/>
    <w:rsid w:val="00954D63"/>
    <w:rsid w:val="009551EF"/>
    <w:rsid w:val="00955248"/>
    <w:rsid w:val="009557CE"/>
    <w:rsid w:val="00955EE9"/>
    <w:rsid w:val="009565D6"/>
    <w:rsid w:val="00956993"/>
    <w:rsid w:val="009604A3"/>
    <w:rsid w:val="009649A4"/>
    <w:rsid w:val="00976EF7"/>
    <w:rsid w:val="00977843"/>
    <w:rsid w:val="00981EC7"/>
    <w:rsid w:val="00982D01"/>
    <w:rsid w:val="00983032"/>
    <w:rsid w:val="009855E5"/>
    <w:rsid w:val="00991CA9"/>
    <w:rsid w:val="00992076"/>
    <w:rsid w:val="009948FD"/>
    <w:rsid w:val="00995865"/>
    <w:rsid w:val="00995CA4"/>
    <w:rsid w:val="00996530"/>
    <w:rsid w:val="00997ED8"/>
    <w:rsid w:val="009A0C4C"/>
    <w:rsid w:val="009B3872"/>
    <w:rsid w:val="009B5283"/>
    <w:rsid w:val="009B617B"/>
    <w:rsid w:val="009B7E8A"/>
    <w:rsid w:val="009C0110"/>
    <w:rsid w:val="009C14DC"/>
    <w:rsid w:val="009D0142"/>
    <w:rsid w:val="009D078A"/>
    <w:rsid w:val="009D194E"/>
    <w:rsid w:val="009D2EA3"/>
    <w:rsid w:val="009D6F17"/>
    <w:rsid w:val="009D7164"/>
    <w:rsid w:val="009E5C52"/>
    <w:rsid w:val="009E645F"/>
    <w:rsid w:val="009E6C4C"/>
    <w:rsid w:val="009F0251"/>
    <w:rsid w:val="009F2719"/>
    <w:rsid w:val="009F40AC"/>
    <w:rsid w:val="009F4A9C"/>
    <w:rsid w:val="009F4D08"/>
    <w:rsid w:val="00A00E05"/>
    <w:rsid w:val="00A01EAC"/>
    <w:rsid w:val="00A0286B"/>
    <w:rsid w:val="00A0297E"/>
    <w:rsid w:val="00A029C1"/>
    <w:rsid w:val="00A138D5"/>
    <w:rsid w:val="00A146BE"/>
    <w:rsid w:val="00A15F82"/>
    <w:rsid w:val="00A20177"/>
    <w:rsid w:val="00A21F4D"/>
    <w:rsid w:val="00A22125"/>
    <w:rsid w:val="00A221A4"/>
    <w:rsid w:val="00A232BF"/>
    <w:rsid w:val="00A25BB2"/>
    <w:rsid w:val="00A35B20"/>
    <w:rsid w:val="00A37A21"/>
    <w:rsid w:val="00A4195E"/>
    <w:rsid w:val="00A4549C"/>
    <w:rsid w:val="00A50558"/>
    <w:rsid w:val="00A5121E"/>
    <w:rsid w:val="00A534C7"/>
    <w:rsid w:val="00A5486B"/>
    <w:rsid w:val="00A5763C"/>
    <w:rsid w:val="00A609DE"/>
    <w:rsid w:val="00A60BFB"/>
    <w:rsid w:val="00A62CB6"/>
    <w:rsid w:val="00A64DCF"/>
    <w:rsid w:val="00A673CE"/>
    <w:rsid w:val="00A675BA"/>
    <w:rsid w:val="00A71713"/>
    <w:rsid w:val="00A73EFD"/>
    <w:rsid w:val="00A74BC1"/>
    <w:rsid w:val="00A76228"/>
    <w:rsid w:val="00A81839"/>
    <w:rsid w:val="00A81B57"/>
    <w:rsid w:val="00A81E8A"/>
    <w:rsid w:val="00A822D8"/>
    <w:rsid w:val="00A827A0"/>
    <w:rsid w:val="00A82E3B"/>
    <w:rsid w:val="00A83462"/>
    <w:rsid w:val="00A84670"/>
    <w:rsid w:val="00A862C6"/>
    <w:rsid w:val="00A87E60"/>
    <w:rsid w:val="00A94AF1"/>
    <w:rsid w:val="00A9685E"/>
    <w:rsid w:val="00A9698F"/>
    <w:rsid w:val="00AA337F"/>
    <w:rsid w:val="00AA53AD"/>
    <w:rsid w:val="00AA55AA"/>
    <w:rsid w:val="00AB2A8E"/>
    <w:rsid w:val="00AB37F0"/>
    <w:rsid w:val="00AC3DFD"/>
    <w:rsid w:val="00AC57C1"/>
    <w:rsid w:val="00AC5CB4"/>
    <w:rsid w:val="00AD6BA7"/>
    <w:rsid w:val="00AD6E59"/>
    <w:rsid w:val="00AD7167"/>
    <w:rsid w:val="00AE2B46"/>
    <w:rsid w:val="00AE6899"/>
    <w:rsid w:val="00AF0E62"/>
    <w:rsid w:val="00AF1E16"/>
    <w:rsid w:val="00AF28DC"/>
    <w:rsid w:val="00AF3442"/>
    <w:rsid w:val="00B01CEE"/>
    <w:rsid w:val="00B01CFF"/>
    <w:rsid w:val="00B0532B"/>
    <w:rsid w:val="00B05548"/>
    <w:rsid w:val="00B0564F"/>
    <w:rsid w:val="00B07D05"/>
    <w:rsid w:val="00B10052"/>
    <w:rsid w:val="00B10C05"/>
    <w:rsid w:val="00B15143"/>
    <w:rsid w:val="00B157E6"/>
    <w:rsid w:val="00B15EC1"/>
    <w:rsid w:val="00B2418E"/>
    <w:rsid w:val="00B242D1"/>
    <w:rsid w:val="00B26D97"/>
    <w:rsid w:val="00B30169"/>
    <w:rsid w:val="00B31CC4"/>
    <w:rsid w:val="00B33E13"/>
    <w:rsid w:val="00B35224"/>
    <w:rsid w:val="00B379C0"/>
    <w:rsid w:val="00B43C78"/>
    <w:rsid w:val="00B47C1E"/>
    <w:rsid w:val="00B51D9B"/>
    <w:rsid w:val="00B53A26"/>
    <w:rsid w:val="00B53D50"/>
    <w:rsid w:val="00B55BF9"/>
    <w:rsid w:val="00B57FCA"/>
    <w:rsid w:val="00B64B6F"/>
    <w:rsid w:val="00B64CCB"/>
    <w:rsid w:val="00B67F60"/>
    <w:rsid w:val="00B71B60"/>
    <w:rsid w:val="00B72EB2"/>
    <w:rsid w:val="00B72FBD"/>
    <w:rsid w:val="00B80F9E"/>
    <w:rsid w:val="00B81FBB"/>
    <w:rsid w:val="00B82897"/>
    <w:rsid w:val="00B9306E"/>
    <w:rsid w:val="00B952F5"/>
    <w:rsid w:val="00BA00EE"/>
    <w:rsid w:val="00BA0675"/>
    <w:rsid w:val="00BA1C2A"/>
    <w:rsid w:val="00BA2335"/>
    <w:rsid w:val="00BA3628"/>
    <w:rsid w:val="00BA6210"/>
    <w:rsid w:val="00BA7C0D"/>
    <w:rsid w:val="00BB44AC"/>
    <w:rsid w:val="00BB7BCF"/>
    <w:rsid w:val="00BC0019"/>
    <w:rsid w:val="00BC3D03"/>
    <w:rsid w:val="00BC7A7F"/>
    <w:rsid w:val="00BD485A"/>
    <w:rsid w:val="00BD4898"/>
    <w:rsid w:val="00BD530A"/>
    <w:rsid w:val="00BD6995"/>
    <w:rsid w:val="00BE0EEB"/>
    <w:rsid w:val="00BE7FD0"/>
    <w:rsid w:val="00BF2B66"/>
    <w:rsid w:val="00BF40FC"/>
    <w:rsid w:val="00BF6548"/>
    <w:rsid w:val="00BF78B5"/>
    <w:rsid w:val="00C04D12"/>
    <w:rsid w:val="00C07F13"/>
    <w:rsid w:val="00C10454"/>
    <w:rsid w:val="00C12030"/>
    <w:rsid w:val="00C12A5D"/>
    <w:rsid w:val="00C16549"/>
    <w:rsid w:val="00C20FE3"/>
    <w:rsid w:val="00C25585"/>
    <w:rsid w:val="00C26738"/>
    <w:rsid w:val="00C26A61"/>
    <w:rsid w:val="00C33F93"/>
    <w:rsid w:val="00C35123"/>
    <w:rsid w:val="00C3598D"/>
    <w:rsid w:val="00C41151"/>
    <w:rsid w:val="00C414A0"/>
    <w:rsid w:val="00C41CF4"/>
    <w:rsid w:val="00C42693"/>
    <w:rsid w:val="00C43841"/>
    <w:rsid w:val="00C44461"/>
    <w:rsid w:val="00C44DAF"/>
    <w:rsid w:val="00C51ED9"/>
    <w:rsid w:val="00C61AC0"/>
    <w:rsid w:val="00C61C5E"/>
    <w:rsid w:val="00C631E0"/>
    <w:rsid w:val="00C67690"/>
    <w:rsid w:val="00C7035C"/>
    <w:rsid w:val="00C73FBA"/>
    <w:rsid w:val="00C74022"/>
    <w:rsid w:val="00C77B5B"/>
    <w:rsid w:val="00C80327"/>
    <w:rsid w:val="00C807A8"/>
    <w:rsid w:val="00C80DBD"/>
    <w:rsid w:val="00C8141A"/>
    <w:rsid w:val="00C872B7"/>
    <w:rsid w:val="00C9221B"/>
    <w:rsid w:val="00C92895"/>
    <w:rsid w:val="00C92D82"/>
    <w:rsid w:val="00C94DEE"/>
    <w:rsid w:val="00CA144D"/>
    <w:rsid w:val="00CA372D"/>
    <w:rsid w:val="00CA488F"/>
    <w:rsid w:val="00CB1CFE"/>
    <w:rsid w:val="00CB1E8F"/>
    <w:rsid w:val="00CB3465"/>
    <w:rsid w:val="00CB74EB"/>
    <w:rsid w:val="00CC3AD7"/>
    <w:rsid w:val="00CC3C93"/>
    <w:rsid w:val="00CC74FC"/>
    <w:rsid w:val="00CD1842"/>
    <w:rsid w:val="00CD33AA"/>
    <w:rsid w:val="00CD3750"/>
    <w:rsid w:val="00CD48D7"/>
    <w:rsid w:val="00CD77F2"/>
    <w:rsid w:val="00CD7F19"/>
    <w:rsid w:val="00CE16DE"/>
    <w:rsid w:val="00CE1C2A"/>
    <w:rsid w:val="00CE2865"/>
    <w:rsid w:val="00CE647D"/>
    <w:rsid w:val="00CE794A"/>
    <w:rsid w:val="00CF1C87"/>
    <w:rsid w:val="00CF2AEE"/>
    <w:rsid w:val="00CF3CF0"/>
    <w:rsid w:val="00D06FC4"/>
    <w:rsid w:val="00D0766A"/>
    <w:rsid w:val="00D14531"/>
    <w:rsid w:val="00D1644F"/>
    <w:rsid w:val="00D2294E"/>
    <w:rsid w:val="00D24541"/>
    <w:rsid w:val="00D24CBB"/>
    <w:rsid w:val="00D25B3E"/>
    <w:rsid w:val="00D33298"/>
    <w:rsid w:val="00D336D8"/>
    <w:rsid w:val="00D348BF"/>
    <w:rsid w:val="00D37330"/>
    <w:rsid w:val="00D375D1"/>
    <w:rsid w:val="00D43BDF"/>
    <w:rsid w:val="00D44A68"/>
    <w:rsid w:val="00D470B2"/>
    <w:rsid w:val="00D47459"/>
    <w:rsid w:val="00D47A3C"/>
    <w:rsid w:val="00D50BFD"/>
    <w:rsid w:val="00D57727"/>
    <w:rsid w:val="00D6345F"/>
    <w:rsid w:val="00D6699F"/>
    <w:rsid w:val="00D66C3C"/>
    <w:rsid w:val="00D76AB0"/>
    <w:rsid w:val="00D81515"/>
    <w:rsid w:val="00D81E43"/>
    <w:rsid w:val="00D82234"/>
    <w:rsid w:val="00D828ED"/>
    <w:rsid w:val="00D82D3B"/>
    <w:rsid w:val="00D83B62"/>
    <w:rsid w:val="00D83CB9"/>
    <w:rsid w:val="00D85B24"/>
    <w:rsid w:val="00D86B7F"/>
    <w:rsid w:val="00D9010B"/>
    <w:rsid w:val="00D90640"/>
    <w:rsid w:val="00D909CB"/>
    <w:rsid w:val="00D925BC"/>
    <w:rsid w:val="00D97C4E"/>
    <w:rsid w:val="00DA087C"/>
    <w:rsid w:val="00DA13CC"/>
    <w:rsid w:val="00DA468B"/>
    <w:rsid w:val="00DA5B2D"/>
    <w:rsid w:val="00DA7CBA"/>
    <w:rsid w:val="00DB38D3"/>
    <w:rsid w:val="00DB3E4B"/>
    <w:rsid w:val="00DB4289"/>
    <w:rsid w:val="00DB4395"/>
    <w:rsid w:val="00DB649B"/>
    <w:rsid w:val="00DC2403"/>
    <w:rsid w:val="00DC30A0"/>
    <w:rsid w:val="00DC4872"/>
    <w:rsid w:val="00DC6638"/>
    <w:rsid w:val="00DC766E"/>
    <w:rsid w:val="00DD25BE"/>
    <w:rsid w:val="00DD5787"/>
    <w:rsid w:val="00DD647C"/>
    <w:rsid w:val="00DE0C1B"/>
    <w:rsid w:val="00DE3635"/>
    <w:rsid w:val="00DE4095"/>
    <w:rsid w:val="00DE4349"/>
    <w:rsid w:val="00DE50B3"/>
    <w:rsid w:val="00DF0810"/>
    <w:rsid w:val="00DF0EC3"/>
    <w:rsid w:val="00DF5305"/>
    <w:rsid w:val="00DF5B63"/>
    <w:rsid w:val="00DF5C67"/>
    <w:rsid w:val="00DF68EB"/>
    <w:rsid w:val="00DF75C5"/>
    <w:rsid w:val="00E03794"/>
    <w:rsid w:val="00E04AD8"/>
    <w:rsid w:val="00E05358"/>
    <w:rsid w:val="00E1130E"/>
    <w:rsid w:val="00E14C6B"/>
    <w:rsid w:val="00E15368"/>
    <w:rsid w:val="00E16756"/>
    <w:rsid w:val="00E206D7"/>
    <w:rsid w:val="00E22361"/>
    <w:rsid w:val="00E23D61"/>
    <w:rsid w:val="00E26B05"/>
    <w:rsid w:val="00E300F8"/>
    <w:rsid w:val="00E340C2"/>
    <w:rsid w:val="00E4080D"/>
    <w:rsid w:val="00E40E0A"/>
    <w:rsid w:val="00E53AA4"/>
    <w:rsid w:val="00E5453C"/>
    <w:rsid w:val="00E62414"/>
    <w:rsid w:val="00E6434E"/>
    <w:rsid w:val="00E64D54"/>
    <w:rsid w:val="00E6602E"/>
    <w:rsid w:val="00E66096"/>
    <w:rsid w:val="00E70596"/>
    <w:rsid w:val="00E71CBE"/>
    <w:rsid w:val="00E743E2"/>
    <w:rsid w:val="00E74D80"/>
    <w:rsid w:val="00E7515E"/>
    <w:rsid w:val="00E758C6"/>
    <w:rsid w:val="00E760B2"/>
    <w:rsid w:val="00E83D45"/>
    <w:rsid w:val="00E85855"/>
    <w:rsid w:val="00E8671B"/>
    <w:rsid w:val="00E87E21"/>
    <w:rsid w:val="00E91797"/>
    <w:rsid w:val="00E918AD"/>
    <w:rsid w:val="00E92832"/>
    <w:rsid w:val="00E92AA5"/>
    <w:rsid w:val="00E949E1"/>
    <w:rsid w:val="00E96D59"/>
    <w:rsid w:val="00E97294"/>
    <w:rsid w:val="00E97AA8"/>
    <w:rsid w:val="00EA0F7B"/>
    <w:rsid w:val="00EA4BE8"/>
    <w:rsid w:val="00EA71EC"/>
    <w:rsid w:val="00EA7F7F"/>
    <w:rsid w:val="00EB0412"/>
    <w:rsid w:val="00EC0566"/>
    <w:rsid w:val="00EC1883"/>
    <w:rsid w:val="00EC24E4"/>
    <w:rsid w:val="00EC5169"/>
    <w:rsid w:val="00EC5585"/>
    <w:rsid w:val="00EC5EFF"/>
    <w:rsid w:val="00EC644B"/>
    <w:rsid w:val="00ED13F4"/>
    <w:rsid w:val="00ED2EB4"/>
    <w:rsid w:val="00ED3795"/>
    <w:rsid w:val="00ED3B4E"/>
    <w:rsid w:val="00ED4988"/>
    <w:rsid w:val="00ED7BDD"/>
    <w:rsid w:val="00EE1C2C"/>
    <w:rsid w:val="00EE49ED"/>
    <w:rsid w:val="00EE4DBC"/>
    <w:rsid w:val="00EE52D3"/>
    <w:rsid w:val="00EE56A8"/>
    <w:rsid w:val="00EE6554"/>
    <w:rsid w:val="00EE74CF"/>
    <w:rsid w:val="00EE7921"/>
    <w:rsid w:val="00EF0ACA"/>
    <w:rsid w:val="00EF17B6"/>
    <w:rsid w:val="00EF1BE0"/>
    <w:rsid w:val="00EF2BDD"/>
    <w:rsid w:val="00EF51DC"/>
    <w:rsid w:val="00EF6C60"/>
    <w:rsid w:val="00EF79E9"/>
    <w:rsid w:val="00F00CD6"/>
    <w:rsid w:val="00F02548"/>
    <w:rsid w:val="00F04AE1"/>
    <w:rsid w:val="00F06D4A"/>
    <w:rsid w:val="00F12D7B"/>
    <w:rsid w:val="00F13FF4"/>
    <w:rsid w:val="00F206A7"/>
    <w:rsid w:val="00F20F60"/>
    <w:rsid w:val="00F21FF2"/>
    <w:rsid w:val="00F2290E"/>
    <w:rsid w:val="00F254DF"/>
    <w:rsid w:val="00F3082B"/>
    <w:rsid w:val="00F32956"/>
    <w:rsid w:val="00F36125"/>
    <w:rsid w:val="00F364C2"/>
    <w:rsid w:val="00F36D1A"/>
    <w:rsid w:val="00F377DA"/>
    <w:rsid w:val="00F402CB"/>
    <w:rsid w:val="00F41E57"/>
    <w:rsid w:val="00F42DE9"/>
    <w:rsid w:val="00F52407"/>
    <w:rsid w:val="00F66814"/>
    <w:rsid w:val="00F66B9C"/>
    <w:rsid w:val="00F67C76"/>
    <w:rsid w:val="00F7020E"/>
    <w:rsid w:val="00F71814"/>
    <w:rsid w:val="00F71F56"/>
    <w:rsid w:val="00F7468B"/>
    <w:rsid w:val="00F81A80"/>
    <w:rsid w:val="00F81ADC"/>
    <w:rsid w:val="00F81D74"/>
    <w:rsid w:val="00F83459"/>
    <w:rsid w:val="00F91CE5"/>
    <w:rsid w:val="00F923BC"/>
    <w:rsid w:val="00F95EAC"/>
    <w:rsid w:val="00FA3A59"/>
    <w:rsid w:val="00FA56C4"/>
    <w:rsid w:val="00FB0EE1"/>
    <w:rsid w:val="00FB6218"/>
    <w:rsid w:val="00FB70EF"/>
    <w:rsid w:val="00FB7869"/>
    <w:rsid w:val="00FC4252"/>
    <w:rsid w:val="00FC55E6"/>
    <w:rsid w:val="00FC72B9"/>
    <w:rsid w:val="00FD126D"/>
    <w:rsid w:val="00FD1695"/>
    <w:rsid w:val="00FD6873"/>
    <w:rsid w:val="00FE61C7"/>
    <w:rsid w:val="00FE66A7"/>
    <w:rsid w:val="00FF082F"/>
    <w:rsid w:val="00FF08A6"/>
    <w:rsid w:val="00FF2ACE"/>
    <w:rsid w:val="00FF5B5F"/>
    <w:rsid w:val="00FF630C"/>
    <w:rsid w:val="00FF651B"/>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5756C"/>
  <w15:docId w15:val="{F0A5335E-C772-41C6-BC81-A8CA29BC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8"/>
    <w:pPr>
      <w:spacing w:after="0"/>
    </w:pPr>
    <w:rPr>
      <w:rFonts w:ascii="Verdana" w:hAnsi="Verdana"/>
      <w:sz w:val="20"/>
      <w:szCs w:val="20"/>
      <w:lang w:val="es-CR"/>
    </w:rPr>
  </w:style>
  <w:style w:type="paragraph" w:styleId="Ttulo1">
    <w:name w:val="heading 1"/>
    <w:basedOn w:val="Normal"/>
    <w:next w:val="Normal"/>
    <w:link w:val="Ttulo1Car"/>
    <w:uiPriority w:val="9"/>
    <w:qFormat/>
    <w:rsid w:val="006637F7"/>
    <w:pPr>
      <w:keepNext/>
      <w:numPr>
        <w:numId w:val="3"/>
      </w:numPr>
      <w:tabs>
        <w:tab w:val="left" w:pos="567"/>
      </w:tabs>
      <w:spacing w:line="240" w:lineRule="auto"/>
      <w:jc w:val="both"/>
      <w:outlineLvl w:val="0"/>
    </w:pPr>
    <w:rPr>
      <w:rFonts w:eastAsia="Calibri" w:cs="Verdana"/>
      <w:b/>
      <w:bCs/>
      <w:i/>
      <w:iCs/>
    </w:rPr>
  </w:style>
  <w:style w:type="paragraph" w:styleId="Ttulo2">
    <w:name w:val="heading 2"/>
    <w:basedOn w:val="Normal"/>
    <w:next w:val="Normal"/>
    <w:link w:val="Ttulo2Car"/>
    <w:uiPriority w:val="9"/>
    <w:unhideWhenUsed/>
    <w:qFormat/>
    <w:rsid w:val="00DF0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2,List Paragraph1,Lista vistosa - Énfasis 11"/>
    <w:basedOn w:val="Normal"/>
    <w:link w:val="PrrafodelistaCar"/>
    <w:uiPriority w:val="34"/>
    <w:qFormat/>
    <w:rsid w:val="00016191"/>
    <w:pPr>
      <w:ind w:left="720"/>
      <w:contextualSpacing/>
    </w:pPr>
  </w:style>
  <w:style w:type="character" w:styleId="Refdecomentario">
    <w:name w:val="annotation reference"/>
    <w:basedOn w:val="Fuentedeprrafopredeter"/>
    <w:uiPriority w:val="99"/>
    <w:semiHidden/>
    <w:unhideWhenUsed/>
    <w:rsid w:val="00995865"/>
    <w:rPr>
      <w:sz w:val="16"/>
      <w:szCs w:val="16"/>
    </w:rPr>
  </w:style>
  <w:style w:type="paragraph" w:styleId="Textocomentario">
    <w:name w:val="annotation text"/>
    <w:basedOn w:val="Normal"/>
    <w:link w:val="TextocomentarioCar"/>
    <w:uiPriority w:val="99"/>
    <w:unhideWhenUsed/>
    <w:rsid w:val="00995865"/>
    <w:pPr>
      <w:spacing w:line="240" w:lineRule="auto"/>
    </w:pPr>
  </w:style>
  <w:style w:type="character" w:customStyle="1" w:styleId="TextocomentarioCar">
    <w:name w:val="Texto comentario Car"/>
    <w:basedOn w:val="Fuentedeprrafopredeter"/>
    <w:link w:val="Textocomentario"/>
    <w:uiPriority w:val="99"/>
    <w:rsid w:val="00995865"/>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995865"/>
    <w:rPr>
      <w:b/>
      <w:bCs/>
    </w:rPr>
  </w:style>
  <w:style w:type="character" w:customStyle="1" w:styleId="AsuntodelcomentarioCar">
    <w:name w:val="Asunto del comentario Car"/>
    <w:basedOn w:val="TextocomentarioCar"/>
    <w:link w:val="Asuntodelcomentario"/>
    <w:uiPriority w:val="99"/>
    <w:semiHidden/>
    <w:rsid w:val="00995865"/>
    <w:rPr>
      <w:b/>
      <w:bCs/>
      <w:sz w:val="20"/>
      <w:szCs w:val="20"/>
      <w:lang w:val="es-CR"/>
    </w:rPr>
  </w:style>
  <w:style w:type="paragraph" w:styleId="Textodeglobo">
    <w:name w:val="Balloon Text"/>
    <w:basedOn w:val="Normal"/>
    <w:link w:val="TextodegloboCar"/>
    <w:uiPriority w:val="99"/>
    <w:semiHidden/>
    <w:unhideWhenUsed/>
    <w:rsid w:val="009958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865"/>
    <w:rPr>
      <w:rFonts w:ascii="Tahoma" w:hAnsi="Tahoma" w:cs="Tahoma"/>
      <w:sz w:val="16"/>
      <w:szCs w:val="16"/>
      <w:lang w:val="es-CR"/>
    </w:r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nhideWhenUsed/>
    <w:qFormat/>
    <w:rsid w:val="006A0BE5"/>
    <w:pPr>
      <w:spacing w:line="240" w:lineRule="auto"/>
    </w:p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qFormat/>
    <w:rsid w:val="006A0BE5"/>
    <w:rPr>
      <w:sz w:val="20"/>
      <w:szCs w:val="20"/>
      <w:lang w:val="es-CR"/>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nhideWhenUsed/>
    <w:qFormat/>
    <w:rsid w:val="006A0BE5"/>
    <w:rPr>
      <w:vertAlign w:val="superscript"/>
    </w:rPr>
  </w:style>
  <w:style w:type="character" w:styleId="Textoennegrita">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Fuentedeprrafopredeter"/>
    <w:uiPriority w:val="99"/>
    <w:locked/>
    <w:rsid w:val="006B279B"/>
    <w:rPr>
      <w:rFonts w:ascii="Verdana" w:hAnsi="Verdana" w:cs="Verdana"/>
      <w:sz w:val="16"/>
      <w:szCs w:val="16"/>
      <w:lang w:val="es-ES_tradnl" w:eastAsia="es-ES"/>
    </w:rPr>
  </w:style>
  <w:style w:type="paragraph" w:styleId="Encabezado">
    <w:name w:val="header"/>
    <w:basedOn w:val="Normal"/>
    <w:link w:val="EncabezadoCar"/>
    <w:uiPriority w:val="99"/>
    <w:unhideWhenUsed/>
    <w:rsid w:val="007B50AF"/>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7B50AF"/>
    <w:rPr>
      <w:lang w:val="es-CR"/>
    </w:rPr>
  </w:style>
  <w:style w:type="paragraph" w:styleId="Piedepgina">
    <w:name w:val="footer"/>
    <w:basedOn w:val="Normal"/>
    <w:link w:val="PiedepginaCar"/>
    <w:uiPriority w:val="99"/>
    <w:unhideWhenUsed/>
    <w:rsid w:val="007B50A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Ttulo2Car">
    <w:name w:val="Título 2 Car"/>
    <w:basedOn w:val="Fuentedeprrafopredeter"/>
    <w:link w:val="Ttulo2"/>
    <w:uiPriority w:val="9"/>
    <w:rsid w:val="00DF0EC3"/>
    <w:rPr>
      <w:rFonts w:asciiTheme="majorHAnsi" w:eastAsiaTheme="majorEastAsia" w:hAnsiTheme="majorHAnsi" w:cstheme="majorBidi"/>
      <w:color w:val="365F91" w:themeColor="accent1" w:themeShade="BF"/>
      <w:sz w:val="26"/>
      <w:szCs w:val="26"/>
      <w:lang w:val="es-CR"/>
    </w:rPr>
  </w:style>
  <w:style w:type="character" w:styleId="Nmerodepgina">
    <w:name w:val="page number"/>
    <w:basedOn w:val="Fuentedeprrafopredeter"/>
    <w:uiPriority w:val="99"/>
    <w:semiHidden/>
    <w:unhideWhenUsed/>
    <w:rsid w:val="00205583"/>
  </w:style>
  <w:style w:type="character" w:customStyle="1" w:styleId="Ttulo1Car">
    <w:name w:val="Título 1 Car"/>
    <w:basedOn w:val="Fuentedeprrafopredeter"/>
    <w:link w:val="Ttulo1"/>
    <w:uiPriority w:val="9"/>
    <w:rsid w:val="006637F7"/>
    <w:rPr>
      <w:rFonts w:ascii="Verdana" w:eastAsia="Calibri" w:hAnsi="Verdana" w:cs="Verdana"/>
      <w:b/>
      <w:bCs/>
      <w:i/>
      <w:iCs/>
      <w:sz w:val="20"/>
      <w:szCs w:val="20"/>
      <w:lang w:val="es-CR"/>
    </w:rPr>
  </w:style>
  <w:style w:type="character" w:styleId="Hipervnculo">
    <w:name w:val="Hyperlink"/>
    <w:basedOn w:val="Fuentedeprrafopredeter"/>
    <w:uiPriority w:val="99"/>
    <w:unhideWhenUsed/>
    <w:rsid w:val="00E53AA4"/>
    <w:rPr>
      <w:color w:val="0000FF" w:themeColor="hyperlink"/>
      <w:u w:val="single"/>
    </w:rPr>
  </w:style>
  <w:style w:type="character" w:styleId="Hipervnculovisitado">
    <w:name w:val="FollowedHyperlink"/>
    <w:basedOn w:val="Fuentedeprrafopredeter"/>
    <w:uiPriority w:val="99"/>
    <w:semiHidden/>
    <w:unhideWhenUsed/>
    <w:rsid w:val="00E53AA4"/>
    <w:rPr>
      <w:color w:val="800080" w:themeColor="followedHyperlink"/>
      <w:u w:val="single"/>
    </w:rPr>
  </w:style>
  <w:style w:type="character" w:styleId="Nmerodelnea">
    <w:name w:val="line number"/>
    <w:basedOn w:val="Fuentedeprrafopredeter"/>
    <w:uiPriority w:val="99"/>
    <w:semiHidden/>
    <w:unhideWhenUsed/>
    <w:rsid w:val="00E6602E"/>
  </w:style>
  <w:style w:type="paragraph" w:styleId="Ttulo">
    <w:name w:val="Title"/>
    <w:basedOn w:val="Normal"/>
    <w:link w:val="TtuloCar"/>
    <w:uiPriority w:val="99"/>
    <w:qFormat/>
    <w:rsid w:val="00796E22"/>
    <w:pPr>
      <w:spacing w:line="240" w:lineRule="auto"/>
      <w:jc w:val="center"/>
    </w:pPr>
    <w:rPr>
      <w:rFonts w:ascii="Garamond" w:eastAsia="Times New Roman" w:hAnsi="Garamond" w:cs="Times New Roman"/>
      <w:b/>
      <w:sz w:val="32"/>
      <w:lang w:val="es-ES_tradnl" w:eastAsia="es-ES"/>
    </w:rPr>
  </w:style>
  <w:style w:type="character" w:customStyle="1" w:styleId="TtuloCar">
    <w:name w:val="Título Car"/>
    <w:basedOn w:val="Fuentedeprrafopredeter"/>
    <w:link w:val="Ttulo"/>
    <w:uiPriority w:val="99"/>
    <w:rsid w:val="00796E22"/>
    <w:rPr>
      <w:rFonts w:ascii="Garamond" w:eastAsia="Times New Roman" w:hAnsi="Garamond" w:cs="Times New Roman"/>
      <w:b/>
      <w:sz w:val="32"/>
      <w:szCs w:val="20"/>
      <w:lang w:val="es-ES_tradnl" w:eastAsia="es-ES"/>
    </w:rPr>
  </w:style>
  <w:style w:type="character" w:styleId="nfasissutil">
    <w:name w:val="Subtle Emphasis"/>
    <w:uiPriority w:val="19"/>
    <w:qFormat/>
    <w:rsid w:val="00796E22"/>
    <w:rPr>
      <w:rFonts w:ascii="Verdana" w:hAnsi="Verdana"/>
      <w:i/>
      <w:iCs/>
      <w:color w:val="808080"/>
      <w:sz w:val="20"/>
      <w:u w:val="single"/>
    </w:rPr>
  </w:style>
  <w:style w:type="paragraph" w:customStyle="1" w:styleId="PrrafodeSentencia">
    <w:name w:val="*. Párrafo de Sentencia"/>
    <w:basedOn w:val="Normal"/>
    <w:rsid w:val="00AC5CB4"/>
    <w:pPr>
      <w:numPr>
        <w:numId w:val="4"/>
      </w:numPr>
    </w:pPr>
  </w:style>
  <w:style w:type="character" w:customStyle="1" w:styleId="PrrafodelistaCar">
    <w:name w:val="Párrafo de lista Car"/>
    <w:aliases w:val="Footnote Car,List Paragraph2 Car,List Paragraph1 Car,Lista vistosa - Énfasis 11 Car"/>
    <w:link w:val="Prrafodelista"/>
    <w:uiPriority w:val="99"/>
    <w:locked/>
    <w:rsid w:val="00C33F9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33F93"/>
    <w:pPr>
      <w:spacing w:line="240" w:lineRule="auto"/>
      <w:jc w:val="both"/>
    </w:pPr>
    <w:rPr>
      <w:vertAlign w:val="superscript"/>
      <w:lang w:val="en-US"/>
    </w:rPr>
  </w:style>
  <w:style w:type="paragraph" w:styleId="Sinespaciado">
    <w:name w:val="No Spacing"/>
    <w:basedOn w:val="Prrafodelista"/>
    <w:uiPriority w:val="1"/>
    <w:qFormat/>
    <w:rsid w:val="00F81ADC"/>
    <w:pPr>
      <w:widowControl w:val="0"/>
      <w:numPr>
        <w:numId w:val="2"/>
      </w:numPr>
      <w:tabs>
        <w:tab w:val="left" w:pos="0"/>
        <w:tab w:val="left" w:pos="567"/>
      </w:tabs>
      <w:autoSpaceDE w:val="0"/>
      <w:autoSpaceDN w:val="0"/>
      <w:adjustRightInd w:val="0"/>
      <w:spacing w:line="240" w:lineRule="auto"/>
      <w:ind w:left="0" w:right="22" w:firstLine="0"/>
      <w:jc w:val="both"/>
    </w:pPr>
    <w:rPr>
      <w:bCs/>
      <w:iCs/>
    </w:rPr>
  </w:style>
  <w:style w:type="paragraph" w:styleId="HTMLconformatoprevio">
    <w:name w:val="HTML Preformatted"/>
    <w:basedOn w:val="Normal"/>
    <w:link w:val="HTMLconformatoprevioCar"/>
    <w:uiPriority w:val="99"/>
    <w:unhideWhenUsed/>
    <w:rsid w:val="00CE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es-CR"/>
    </w:rPr>
  </w:style>
  <w:style w:type="character" w:customStyle="1" w:styleId="HTMLconformatoprevioCar">
    <w:name w:val="HTML con formato previo Car"/>
    <w:basedOn w:val="Fuentedeprrafopredeter"/>
    <w:link w:val="HTMLconformatoprevio"/>
    <w:uiPriority w:val="99"/>
    <w:rsid w:val="00CE16DE"/>
    <w:rPr>
      <w:rFonts w:ascii="Courier New" w:eastAsia="Times New Roman" w:hAnsi="Courier New" w:cs="Courier New"/>
      <w:sz w:val="20"/>
      <w:szCs w:val="20"/>
      <w:lang w:val="es-CR" w:eastAsia="es-CR"/>
    </w:rPr>
  </w:style>
  <w:style w:type="paragraph" w:customStyle="1" w:styleId="Default">
    <w:name w:val="Default"/>
    <w:rsid w:val="00E14C6B"/>
    <w:pPr>
      <w:autoSpaceDE w:val="0"/>
      <w:autoSpaceDN w:val="0"/>
      <w:adjustRightInd w:val="0"/>
      <w:spacing w:after="0" w:line="240" w:lineRule="auto"/>
    </w:pPr>
    <w:rPr>
      <w:rFonts w:ascii="Times New Roman" w:hAnsi="Times New Roman" w:cs="Times New Roman"/>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36998730">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6069">
      <w:bodyDiv w:val="1"/>
      <w:marLeft w:val="0"/>
      <w:marRight w:val="0"/>
      <w:marTop w:val="0"/>
      <w:marBottom w:val="0"/>
      <w:divBdr>
        <w:top w:val="none" w:sz="0" w:space="0" w:color="auto"/>
        <w:left w:val="none" w:sz="0" w:space="0" w:color="auto"/>
        <w:bottom w:val="none" w:sz="0" w:space="0" w:color="auto"/>
        <w:right w:val="none" w:sz="0" w:space="0" w:color="auto"/>
      </w:divBdr>
    </w:div>
    <w:div w:id="519318760">
      <w:bodyDiv w:val="1"/>
      <w:marLeft w:val="0"/>
      <w:marRight w:val="0"/>
      <w:marTop w:val="0"/>
      <w:marBottom w:val="0"/>
      <w:divBdr>
        <w:top w:val="none" w:sz="0" w:space="0" w:color="auto"/>
        <w:left w:val="none" w:sz="0" w:space="0" w:color="auto"/>
        <w:bottom w:val="none" w:sz="0" w:space="0" w:color="auto"/>
        <w:right w:val="none" w:sz="0" w:space="0" w:color="auto"/>
      </w:divBdr>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5806">
      <w:bodyDiv w:val="1"/>
      <w:marLeft w:val="0"/>
      <w:marRight w:val="0"/>
      <w:marTop w:val="0"/>
      <w:marBottom w:val="0"/>
      <w:divBdr>
        <w:top w:val="none" w:sz="0" w:space="0" w:color="auto"/>
        <w:left w:val="none" w:sz="0" w:space="0" w:color="auto"/>
        <w:bottom w:val="none" w:sz="0" w:space="0" w:color="auto"/>
        <w:right w:val="none" w:sz="0" w:space="0" w:color="auto"/>
      </w:divBdr>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760">
      <w:bodyDiv w:val="1"/>
      <w:marLeft w:val="0"/>
      <w:marRight w:val="0"/>
      <w:marTop w:val="0"/>
      <w:marBottom w:val="0"/>
      <w:divBdr>
        <w:top w:val="none" w:sz="0" w:space="0" w:color="auto"/>
        <w:left w:val="none" w:sz="0" w:space="0" w:color="auto"/>
        <w:bottom w:val="none" w:sz="0" w:space="0" w:color="auto"/>
        <w:right w:val="none" w:sz="0" w:space="0" w:color="auto"/>
      </w:divBdr>
    </w:div>
    <w:div w:id="1080172794">
      <w:bodyDiv w:val="1"/>
      <w:marLeft w:val="0"/>
      <w:marRight w:val="0"/>
      <w:marTop w:val="0"/>
      <w:marBottom w:val="0"/>
      <w:divBdr>
        <w:top w:val="none" w:sz="0" w:space="0" w:color="auto"/>
        <w:left w:val="none" w:sz="0" w:space="0" w:color="auto"/>
        <w:bottom w:val="none" w:sz="0" w:space="0" w:color="auto"/>
        <w:right w:val="none" w:sz="0" w:space="0" w:color="auto"/>
      </w:divBdr>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227302377">
      <w:bodyDiv w:val="1"/>
      <w:marLeft w:val="0"/>
      <w:marRight w:val="0"/>
      <w:marTop w:val="0"/>
      <w:marBottom w:val="0"/>
      <w:divBdr>
        <w:top w:val="none" w:sz="0" w:space="0" w:color="auto"/>
        <w:left w:val="none" w:sz="0" w:space="0" w:color="auto"/>
        <w:bottom w:val="none" w:sz="0" w:space="0" w:color="auto"/>
        <w:right w:val="none" w:sz="0" w:space="0" w:color="auto"/>
      </w:divBdr>
    </w:div>
    <w:div w:id="1294603572">
      <w:bodyDiv w:val="1"/>
      <w:marLeft w:val="0"/>
      <w:marRight w:val="0"/>
      <w:marTop w:val="0"/>
      <w:marBottom w:val="0"/>
      <w:divBdr>
        <w:top w:val="none" w:sz="0" w:space="0" w:color="auto"/>
        <w:left w:val="none" w:sz="0" w:space="0" w:color="auto"/>
        <w:bottom w:val="none" w:sz="0" w:space="0" w:color="auto"/>
        <w:right w:val="none" w:sz="0" w:space="0" w:color="auto"/>
      </w:divBdr>
    </w:div>
    <w:div w:id="132147026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435">
      <w:bodyDiv w:val="1"/>
      <w:marLeft w:val="0"/>
      <w:marRight w:val="0"/>
      <w:marTop w:val="0"/>
      <w:marBottom w:val="0"/>
      <w:divBdr>
        <w:top w:val="none" w:sz="0" w:space="0" w:color="auto"/>
        <w:left w:val="none" w:sz="0" w:space="0" w:color="auto"/>
        <w:bottom w:val="none" w:sz="0" w:space="0" w:color="auto"/>
        <w:right w:val="none" w:sz="0" w:space="0" w:color="auto"/>
      </w:divBdr>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7885">
      <w:bodyDiv w:val="1"/>
      <w:marLeft w:val="0"/>
      <w:marRight w:val="0"/>
      <w:marTop w:val="0"/>
      <w:marBottom w:val="0"/>
      <w:divBdr>
        <w:top w:val="none" w:sz="0" w:space="0" w:color="auto"/>
        <w:left w:val="none" w:sz="0" w:space="0" w:color="auto"/>
        <w:bottom w:val="none" w:sz="0" w:space="0" w:color="auto"/>
        <w:right w:val="none" w:sz="0" w:space="0" w:color="auto"/>
      </w:divBdr>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5845">
      <w:bodyDiv w:val="1"/>
      <w:marLeft w:val="0"/>
      <w:marRight w:val="0"/>
      <w:marTop w:val="0"/>
      <w:marBottom w:val="0"/>
      <w:divBdr>
        <w:top w:val="none" w:sz="0" w:space="0" w:color="auto"/>
        <w:left w:val="none" w:sz="0" w:space="0" w:color="auto"/>
        <w:bottom w:val="none" w:sz="0" w:space="0" w:color="auto"/>
        <w:right w:val="none" w:sz="0" w:space="0" w:color="auto"/>
      </w:divBdr>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816557841">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0951">
      <w:bodyDiv w:val="1"/>
      <w:marLeft w:val="0"/>
      <w:marRight w:val="0"/>
      <w:marTop w:val="0"/>
      <w:marBottom w:val="0"/>
      <w:divBdr>
        <w:top w:val="none" w:sz="0" w:space="0" w:color="auto"/>
        <w:left w:val="none" w:sz="0" w:space="0" w:color="auto"/>
        <w:bottom w:val="none" w:sz="0" w:space="0" w:color="auto"/>
        <w:right w:val="none" w:sz="0" w:space="0" w:color="auto"/>
      </w:divBdr>
    </w:div>
    <w:div w:id="2022929243">
      <w:bodyDiv w:val="1"/>
      <w:marLeft w:val="0"/>
      <w:marRight w:val="0"/>
      <w:marTop w:val="0"/>
      <w:marBottom w:val="0"/>
      <w:divBdr>
        <w:top w:val="none" w:sz="0" w:space="0" w:color="auto"/>
        <w:left w:val="none" w:sz="0" w:space="0" w:color="auto"/>
        <w:bottom w:val="none" w:sz="0" w:space="0" w:color="auto"/>
        <w:right w:val="none" w:sz="0" w:space="0" w:color="auto"/>
      </w:divBdr>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B89B-080D-471A-9EDB-D9AC559E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4282</Words>
  <Characters>23551</Characters>
  <Application>Microsoft Office Word</Application>
  <DocSecurity>4</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2019-07-11T23:17:00Z</cp:lastPrinted>
  <dcterms:created xsi:type="dcterms:W3CDTF">2019-07-11T23:22:00Z</dcterms:created>
  <dcterms:modified xsi:type="dcterms:W3CDTF">2019-07-11T23:22:00Z</dcterms:modified>
</cp:coreProperties>
</file>