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DD" w:rsidRPr="004862A3" w:rsidRDefault="00EF2BDD" w:rsidP="001C480A">
      <w:pPr>
        <w:tabs>
          <w:tab w:val="left" w:pos="450"/>
          <w:tab w:val="left" w:pos="567"/>
        </w:tabs>
        <w:spacing w:after="0" w:line="240" w:lineRule="auto"/>
        <w:jc w:val="both"/>
        <w:rPr>
          <w:rFonts w:ascii="Verdana" w:hAnsi="Verdana"/>
          <w:b/>
          <w:sz w:val="20"/>
          <w:szCs w:val="20"/>
        </w:rPr>
      </w:pPr>
    </w:p>
    <w:p w:rsidR="00553094" w:rsidRDefault="00553094" w:rsidP="004862A3">
      <w:pPr>
        <w:tabs>
          <w:tab w:val="left" w:pos="567"/>
        </w:tabs>
        <w:spacing w:after="0" w:line="240" w:lineRule="auto"/>
        <w:jc w:val="both"/>
        <w:rPr>
          <w:rFonts w:ascii="Verdana" w:hAnsi="Verdana"/>
          <w:b/>
          <w:sz w:val="20"/>
          <w:szCs w:val="20"/>
        </w:rPr>
      </w:pPr>
    </w:p>
    <w:p w:rsidR="00281121" w:rsidRDefault="00281121" w:rsidP="004862A3">
      <w:pPr>
        <w:tabs>
          <w:tab w:val="left" w:pos="567"/>
        </w:tabs>
        <w:spacing w:after="0" w:line="240" w:lineRule="auto"/>
        <w:jc w:val="both"/>
        <w:rPr>
          <w:rFonts w:ascii="Verdana" w:hAnsi="Verdana"/>
          <w:b/>
          <w:sz w:val="20"/>
          <w:szCs w:val="20"/>
        </w:rPr>
      </w:pPr>
    </w:p>
    <w:p w:rsidR="00281121" w:rsidRDefault="00281121" w:rsidP="004862A3">
      <w:pPr>
        <w:tabs>
          <w:tab w:val="left" w:pos="567"/>
        </w:tabs>
        <w:spacing w:after="0" w:line="240" w:lineRule="auto"/>
        <w:jc w:val="both"/>
        <w:rPr>
          <w:rFonts w:ascii="Verdana" w:hAnsi="Verdana"/>
          <w:b/>
          <w:sz w:val="20"/>
          <w:szCs w:val="20"/>
        </w:rPr>
      </w:pPr>
    </w:p>
    <w:p w:rsidR="00281121" w:rsidRDefault="00281121" w:rsidP="004862A3">
      <w:pPr>
        <w:tabs>
          <w:tab w:val="left" w:pos="567"/>
        </w:tabs>
        <w:spacing w:after="0" w:line="240" w:lineRule="auto"/>
        <w:jc w:val="both"/>
        <w:rPr>
          <w:rFonts w:ascii="Verdana" w:hAnsi="Verdana"/>
          <w:b/>
          <w:sz w:val="20"/>
          <w:szCs w:val="20"/>
        </w:rPr>
      </w:pPr>
    </w:p>
    <w:p w:rsidR="00281121" w:rsidRDefault="00281121" w:rsidP="004862A3">
      <w:pPr>
        <w:tabs>
          <w:tab w:val="left" w:pos="567"/>
        </w:tabs>
        <w:spacing w:after="0" w:line="240" w:lineRule="auto"/>
        <w:jc w:val="both"/>
        <w:rPr>
          <w:rFonts w:ascii="Verdana" w:hAnsi="Verdana"/>
          <w:b/>
          <w:sz w:val="20"/>
          <w:szCs w:val="20"/>
        </w:rPr>
      </w:pPr>
    </w:p>
    <w:p w:rsidR="00281121" w:rsidRPr="004862A3" w:rsidRDefault="00281121" w:rsidP="004862A3">
      <w:pPr>
        <w:tabs>
          <w:tab w:val="left" w:pos="567"/>
        </w:tabs>
        <w:spacing w:after="0" w:line="240" w:lineRule="auto"/>
        <w:jc w:val="both"/>
        <w:rPr>
          <w:rFonts w:ascii="Verdana" w:hAnsi="Verdana"/>
          <w:b/>
          <w:sz w:val="20"/>
          <w:szCs w:val="20"/>
        </w:rPr>
      </w:pPr>
    </w:p>
    <w:p w:rsidR="007E7781" w:rsidRPr="00C81476" w:rsidRDefault="00016191" w:rsidP="004862A3">
      <w:pPr>
        <w:tabs>
          <w:tab w:val="left" w:pos="567"/>
        </w:tabs>
        <w:spacing w:after="0" w:line="240" w:lineRule="auto"/>
        <w:jc w:val="center"/>
        <w:rPr>
          <w:rFonts w:ascii="Verdana" w:hAnsi="Verdana"/>
          <w:b/>
          <w:sz w:val="20"/>
          <w:szCs w:val="20"/>
        </w:rPr>
      </w:pPr>
      <w:r w:rsidRPr="00C81476">
        <w:rPr>
          <w:rFonts w:ascii="Verdana" w:hAnsi="Verdana"/>
          <w:b/>
          <w:sz w:val="20"/>
          <w:szCs w:val="20"/>
        </w:rPr>
        <w:t xml:space="preserve">RESOLUCIÓN </w:t>
      </w:r>
      <w:r w:rsidR="00FF6AD7" w:rsidRPr="00C81476">
        <w:rPr>
          <w:rFonts w:ascii="Verdana" w:hAnsi="Verdana"/>
          <w:b/>
          <w:sz w:val="20"/>
          <w:szCs w:val="20"/>
        </w:rPr>
        <w:t>DEL PRESIDENTE</w:t>
      </w:r>
      <w:r w:rsidR="007E7781" w:rsidRPr="00C81476">
        <w:rPr>
          <w:rFonts w:ascii="Verdana" w:hAnsi="Verdana"/>
          <w:b/>
          <w:sz w:val="20"/>
          <w:szCs w:val="20"/>
        </w:rPr>
        <w:t xml:space="preserve"> </w:t>
      </w:r>
      <w:r w:rsidR="00B743D4">
        <w:rPr>
          <w:rFonts w:ascii="Verdana" w:hAnsi="Verdana"/>
          <w:b/>
          <w:sz w:val="20"/>
          <w:szCs w:val="20"/>
        </w:rPr>
        <w:t>DE LA</w:t>
      </w:r>
    </w:p>
    <w:p w:rsidR="00FF6AD7" w:rsidRPr="00C81476" w:rsidRDefault="00016191" w:rsidP="004862A3">
      <w:pPr>
        <w:tabs>
          <w:tab w:val="left" w:pos="567"/>
        </w:tabs>
        <w:spacing w:after="0" w:line="240" w:lineRule="auto"/>
        <w:jc w:val="center"/>
        <w:rPr>
          <w:rFonts w:ascii="Verdana" w:hAnsi="Verdana"/>
          <w:b/>
          <w:sz w:val="20"/>
          <w:szCs w:val="20"/>
        </w:rPr>
      </w:pPr>
      <w:r w:rsidRPr="00C81476">
        <w:rPr>
          <w:rFonts w:ascii="Verdana" w:hAnsi="Verdana"/>
          <w:b/>
          <w:sz w:val="20"/>
          <w:szCs w:val="20"/>
        </w:rPr>
        <w:t>CORTE INTERAMERICANA DE DERECHOS HUMANOS</w:t>
      </w:r>
    </w:p>
    <w:p w:rsidR="00817A82" w:rsidRPr="00C81476" w:rsidRDefault="00817A82" w:rsidP="00B63444">
      <w:pPr>
        <w:tabs>
          <w:tab w:val="left" w:pos="567"/>
        </w:tabs>
        <w:spacing w:after="0" w:line="240" w:lineRule="auto"/>
        <w:rPr>
          <w:rFonts w:ascii="Verdana" w:hAnsi="Verdana"/>
          <w:b/>
          <w:sz w:val="20"/>
          <w:szCs w:val="20"/>
        </w:rPr>
      </w:pPr>
    </w:p>
    <w:p w:rsidR="007E7781" w:rsidRPr="00C81476" w:rsidRDefault="00016191" w:rsidP="004862A3">
      <w:pPr>
        <w:tabs>
          <w:tab w:val="left" w:pos="567"/>
        </w:tabs>
        <w:spacing w:after="0" w:line="240" w:lineRule="auto"/>
        <w:jc w:val="center"/>
        <w:rPr>
          <w:rFonts w:ascii="Verdana" w:hAnsi="Verdana"/>
          <w:b/>
          <w:sz w:val="20"/>
          <w:szCs w:val="20"/>
        </w:rPr>
      </w:pPr>
      <w:r w:rsidRPr="00C81476">
        <w:rPr>
          <w:rFonts w:ascii="Verdana" w:hAnsi="Verdana"/>
          <w:b/>
          <w:sz w:val="20"/>
          <w:szCs w:val="20"/>
        </w:rPr>
        <w:t xml:space="preserve">DE </w:t>
      </w:r>
      <w:r w:rsidR="00640BFB">
        <w:rPr>
          <w:rFonts w:ascii="Verdana" w:hAnsi="Verdana"/>
          <w:b/>
          <w:sz w:val="20"/>
          <w:szCs w:val="20"/>
        </w:rPr>
        <w:t>6</w:t>
      </w:r>
      <w:r w:rsidR="00746C14" w:rsidRPr="00C81476">
        <w:rPr>
          <w:rFonts w:ascii="Verdana" w:hAnsi="Verdana"/>
          <w:b/>
          <w:sz w:val="20"/>
          <w:szCs w:val="20"/>
        </w:rPr>
        <w:t xml:space="preserve"> </w:t>
      </w:r>
      <w:r w:rsidRPr="00C81476">
        <w:rPr>
          <w:rFonts w:ascii="Verdana" w:hAnsi="Verdana"/>
          <w:b/>
          <w:sz w:val="20"/>
          <w:szCs w:val="20"/>
        </w:rPr>
        <w:t xml:space="preserve">DE </w:t>
      </w:r>
      <w:r w:rsidR="00640BFB">
        <w:rPr>
          <w:rFonts w:ascii="Verdana" w:hAnsi="Verdana"/>
          <w:b/>
          <w:sz w:val="20"/>
          <w:szCs w:val="20"/>
        </w:rPr>
        <w:t>DICIEMBRE</w:t>
      </w:r>
      <w:r w:rsidR="006B044C" w:rsidRPr="00C81476">
        <w:rPr>
          <w:rFonts w:ascii="Verdana" w:hAnsi="Verdana"/>
          <w:b/>
          <w:sz w:val="20"/>
          <w:szCs w:val="20"/>
        </w:rPr>
        <w:t xml:space="preserve"> DE 2018</w:t>
      </w:r>
    </w:p>
    <w:p w:rsidR="00817A82" w:rsidRPr="00C81476" w:rsidRDefault="00817A82" w:rsidP="00B63444">
      <w:pPr>
        <w:tabs>
          <w:tab w:val="left" w:pos="567"/>
        </w:tabs>
        <w:spacing w:after="0" w:line="240" w:lineRule="auto"/>
        <w:rPr>
          <w:rFonts w:ascii="Verdana" w:hAnsi="Verdana"/>
          <w:b/>
          <w:sz w:val="20"/>
          <w:szCs w:val="20"/>
        </w:rPr>
      </w:pPr>
    </w:p>
    <w:p w:rsidR="0046106D" w:rsidRDefault="00016191" w:rsidP="004862A3">
      <w:pPr>
        <w:tabs>
          <w:tab w:val="left" w:pos="567"/>
        </w:tabs>
        <w:spacing w:after="0" w:line="240" w:lineRule="auto"/>
        <w:jc w:val="center"/>
        <w:rPr>
          <w:rFonts w:ascii="Verdana" w:hAnsi="Verdana"/>
          <w:b/>
          <w:sz w:val="20"/>
          <w:szCs w:val="20"/>
        </w:rPr>
      </w:pPr>
      <w:r w:rsidRPr="00C81476">
        <w:rPr>
          <w:rFonts w:ascii="Verdana" w:hAnsi="Verdana"/>
          <w:b/>
          <w:sz w:val="20"/>
          <w:szCs w:val="20"/>
        </w:rPr>
        <w:t xml:space="preserve">CASO </w:t>
      </w:r>
      <w:r w:rsidR="003D00C9" w:rsidRPr="00C81476">
        <w:rPr>
          <w:rFonts w:ascii="Verdana" w:hAnsi="Verdana"/>
          <w:b/>
          <w:sz w:val="20"/>
          <w:szCs w:val="20"/>
        </w:rPr>
        <w:t>ROSADIO VILLAVICENCIO VS. PERÚ</w:t>
      </w:r>
    </w:p>
    <w:p w:rsidR="00FD3CF8" w:rsidRDefault="00FD3CF8" w:rsidP="004862A3">
      <w:pPr>
        <w:tabs>
          <w:tab w:val="left" w:pos="567"/>
        </w:tabs>
        <w:spacing w:after="0" w:line="240" w:lineRule="auto"/>
        <w:jc w:val="center"/>
        <w:rPr>
          <w:rFonts w:ascii="Verdana" w:hAnsi="Verdana"/>
          <w:b/>
          <w:sz w:val="20"/>
          <w:szCs w:val="20"/>
        </w:rPr>
      </w:pPr>
    </w:p>
    <w:p w:rsidR="00FD3CF8" w:rsidRPr="00C81476" w:rsidRDefault="00FD3CF8" w:rsidP="004862A3">
      <w:pPr>
        <w:tabs>
          <w:tab w:val="left" w:pos="567"/>
        </w:tabs>
        <w:spacing w:after="0" w:line="240" w:lineRule="auto"/>
        <w:jc w:val="center"/>
        <w:rPr>
          <w:rFonts w:ascii="Verdana" w:hAnsi="Verdana"/>
          <w:b/>
          <w:sz w:val="20"/>
          <w:szCs w:val="20"/>
        </w:rPr>
      </w:pPr>
      <w:r>
        <w:rPr>
          <w:rFonts w:ascii="Verdana" w:hAnsi="Verdana"/>
          <w:b/>
          <w:sz w:val="20"/>
          <w:szCs w:val="20"/>
        </w:rPr>
        <w:t xml:space="preserve">CONVOCATORIA A AUDIENCIA </w:t>
      </w:r>
    </w:p>
    <w:p w:rsidR="00E7770D" w:rsidRPr="00C81476" w:rsidRDefault="00E7770D" w:rsidP="004862A3">
      <w:pPr>
        <w:tabs>
          <w:tab w:val="left" w:pos="567"/>
        </w:tabs>
        <w:spacing w:after="0" w:line="240" w:lineRule="auto"/>
        <w:jc w:val="both"/>
        <w:rPr>
          <w:rFonts w:ascii="Verdana" w:hAnsi="Verdana"/>
          <w:b/>
          <w:sz w:val="20"/>
          <w:szCs w:val="20"/>
        </w:rPr>
      </w:pPr>
    </w:p>
    <w:p w:rsidR="006709EC" w:rsidRPr="00C81476" w:rsidRDefault="006709EC" w:rsidP="004862A3">
      <w:pPr>
        <w:tabs>
          <w:tab w:val="left" w:pos="567"/>
        </w:tabs>
        <w:spacing w:after="0" w:line="240" w:lineRule="auto"/>
        <w:jc w:val="both"/>
        <w:rPr>
          <w:rFonts w:ascii="Verdana" w:hAnsi="Verdana"/>
          <w:b/>
          <w:sz w:val="20"/>
          <w:szCs w:val="20"/>
        </w:rPr>
      </w:pPr>
    </w:p>
    <w:p w:rsidR="00016191" w:rsidRPr="00C81476" w:rsidRDefault="00016191" w:rsidP="004862A3">
      <w:pPr>
        <w:tabs>
          <w:tab w:val="left" w:pos="567"/>
        </w:tabs>
        <w:spacing w:after="0" w:line="240" w:lineRule="auto"/>
        <w:jc w:val="both"/>
        <w:rPr>
          <w:rFonts w:ascii="Verdana" w:hAnsi="Verdana"/>
          <w:b/>
          <w:sz w:val="20"/>
          <w:szCs w:val="20"/>
        </w:rPr>
      </w:pPr>
      <w:r w:rsidRPr="00C81476">
        <w:rPr>
          <w:rFonts w:ascii="Verdana" w:hAnsi="Verdana"/>
          <w:b/>
          <w:sz w:val="20"/>
          <w:szCs w:val="20"/>
        </w:rPr>
        <w:t>VISTO:</w:t>
      </w:r>
    </w:p>
    <w:p w:rsidR="00BF78B5" w:rsidRPr="00C81476" w:rsidRDefault="00BF78B5" w:rsidP="004862A3">
      <w:pPr>
        <w:tabs>
          <w:tab w:val="left" w:pos="567"/>
        </w:tabs>
        <w:spacing w:after="0" w:line="240" w:lineRule="auto"/>
        <w:jc w:val="both"/>
        <w:rPr>
          <w:rFonts w:ascii="Verdana" w:hAnsi="Verdana"/>
          <w:b/>
          <w:sz w:val="20"/>
          <w:szCs w:val="20"/>
        </w:rPr>
      </w:pPr>
    </w:p>
    <w:p w:rsidR="002004F5" w:rsidRPr="00C81476" w:rsidRDefault="00016191" w:rsidP="00033738">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r w:rsidRPr="00C81476">
        <w:rPr>
          <w:rFonts w:ascii="Verdana" w:hAnsi="Verdana"/>
          <w:sz w:val="20"/>
          <w:szCs w:val="20"/>
        </w:rPr>
        <w:t>El escrito de sometimiento del caso</w:t>
      </w:r>
      <w:r w:rsidR="00610130" w:rsidRPr="00C81476">
        <w:rPr>
          <w:rStyle w:val="FootnoteReference"/>
          <w:rFonts w:ascii="Verdana" w:hAnsi="Verdana"/>
          <w:sz w:val="20"/>
          <w:szCs w:val="20"/>
        </w:rPr>
        <w:footnoteReference w:id="1"/>
      </w:r>
      <w:r w:rsidRPr="00C81476">
        <w:rPr>
          <w:rFonts w:ascii="Verdana" w:hAnsi="Verdana"/>
          <w:sz w:val="20"/>
          <w:szCs w:val="20"/>
        </w:rPr>
        <w:t xml:space="preserve"> y el Informe de Fondo de la Comisión Interamericana de Derechos Humanos (en adelante “la Comisión Interamericana” o “la Comisión”); el escrito de solicitudes, argumentos y pruebas</w:t>
      </w:r>
      <w:r w:rsidR="00844163" w:rsidRPr="00C81476">
        <w:rPr>
          <w:rFonts w:ascii="Verdana" w:hAnsi="Verdana"/>
          <w:sz w:val="20"/>
          <w:szCs w:val="20"/>
        </w:rPr>
        <w:t xml:space="preserve"> </w:t>
      </w:r>
      <w:r w:rsidRPr="00C81476">
        <w:rPr>
          <w:rFonts w:ascii="Verdana" w:hAnsi="Verdana"/>
          <w:sz w:val="20"/>
          <w:szCs w:val="20"/>
        </w:rPr>
        <w:t xml:space="preserve">(en adelante el “escrito de solicitudes y argumentos”) de </w:t>
      </w:r>
      <w:r w:rsidR="000C584C" w:rsidRPr="00C81476">
        <w:rPr>
          <w:rFonts w:ascii="Verdana" w:hAnsi="Verdana"/>
          <w:sz w:val="20"/>
          <w:szCs w:val="20"/>
        </w:rPr>
        <w:t>la representación de la presunta víctima</w:t>
      </w:r>
      <w:r w:rsidR="00D3475C" w:rsidRPr="00C81476">
        <w:rPr>
          <w:rStyle w:val="FootnoteReference"/>
          <w:rFonts w:ascii="Verdana" w:hAnsi="Verdana"/>
          <w:sz w:val="20"/>
          <w:szCs w:val="20"/>
        </w:rPr>
        <w:footnoteReference w:id="2"/>
      </w:r>
      <w:r w:rsidR="00D3475C" w:rsidRPr="00C81476">
        <w:rPr>
          <w:rFonts w:ascii="Verdana" w:hAnsi="Verdana"/>
          <w:sz w:val="20"/>
          <w:szCs w:val="20"/>
        </w:rPr>
        <w:t xml:space="preserve"> (en adelante “los representantes”) </w:t>
      </w:r>
      <w:r w:rsidR="00B63444" w:rsidRPr="00C81476">
        <w:rPr>
          <w:rFonts w:ascii="Verdana" w:hAnsi="Verdana"/>
          <w:sz w:val="20"/>
          <w:szCs w:val="20"/>
        </w:rPr>
        <w:t>y</w:t>
      </w:r>
      <w:r w:rsidRPr="00C81476">
        <w:rPr>
          <w:rFonts w:ascii="Verdana" w:hAnsi="Verdana"/>
          <w:sz w:val="20"/>
          <w:szCs w:val="20"/>
        </w:rPr>
        <w:t xml:space="preserve"> el escrito de </w:t>
      </w:r>
      <w:r w:rsidR="00330417" w:rsidRPr="00C81476">
        <w:rPr>
          <w:rFonts w:ascii="Verdana" w:hAnsi="Verdana"/>
          <w:sz w:val="20"/>
          <w:szCs w:val="20"/>
        </w:rPr>
        <w:t xml:space="preserve">excepciones preliminares y </w:t>
      </w:r>
      <w:r w:rsidRPr="00C81476">
        <w:rPr>
          <w:rFonts w:ascii="Verdana" w:hAnsi="Verdana"/>
          <w:sz w:val="20"/>
          <w:szCs w:val="20"/>
        </w:rPr>
        <w:t>contestación al sometimiento del caso y al escrito de solicitudes y argumentos (en adelant</w:t>
      </w:r>
      <w:r w:rsidR="00553E2F" w:rsidRPr="00C81476">
        <w:rPr>
          <w:rFonts w:ascii="Verdana" w:hAnsi="Verdana"/>
          <w:sz w:val="20"/>
          <w:szCs w:val="20"/>
        </w:rPr>
        <w:t>e</w:t>
      </w:r>
      <w:r w:rsidR="005E0E15" w:rsidRPr="00C81476">
        <w:rPr>
          <w:rFonts w:ascii="Verdana" w:hAnsi="Verdana"/>
          <w:sz w:val="20"/>
          <w:szCs w:val="20"/>
        </w:rPr>
        <w:t xml:space="preserve"> “escrito de contestación”) de la </w:t>
      </w:r>
      <w:r w:rsidR="00CF35D2" w:rsidRPr="00C81476">
        <w:rPr>
          <w:rFonts w:ascii="Verdana" w:hAnsi="Verdana"/>
          <w:sz w:val="20"/>
          <w:szCs w:val="20"/>
        </w:rPr>
        <w:t>República d</w:t>
      </w:r>
      <w:r w:rsidR="00330417" w:rsidRPr="00C81476">
        <w:rPr>
          <w:rFonts w:ascii="Verdana" w:hAnsi="Verdana"/>
          <w:sz w:val="20"/>
          <w:szCs w:val="20"/>
        </w:rPr>
        <w:t>el Perú</w:t>
      </w:r>
      <w:r w:rsidR="00FE777B">
        <w:rPr>
          <w:rFonts w:ascii="Verdana" w:hAnsi="Verdana"/>
          <w:sz w:val="20"/>
          <w:szCs w:val="20"/>
        </w:rPr>
        <w:t xml:space="preserve"> </w:t>
      </w:r>
      <w:r w:rsidRPr="00C81476">
        <w:rPr>
          <w:rFonts w:ascii="Verdana" w:hAnsi="Verdana"/>
          <w:sz w:val="20"/>
          <w:szCs w:val="20"/>
        </w:rPr>
        <w:t>(en adelante “</w:t>
      </w:r>
      <w:r w:rsidR="00B8505C" w:rsidRPr="00C81476">
        <w:rPr>
          <w:rFonts w:ascii="Verdana" w:hAnsi="Verdana"/>
          <w:sz w:val="20"/>
          <w:szCs w:val="20"/>
        </w:rPr>
        <w:t xml:space="preserve">El </w:t>
      </w:r>
      <w:r w:rsidR="00330417" w:rsidRPr="00C81476">
        <w:rPr>
          <w:rFonts w:ascii="Verdana" w:hAnsi="Verdana"/>
          <w:sz w:val="20"/>
          <w:szCs w:val="20"/>
        </w:rPr>
        <w:t>Perú</w:t>
      </w:r>
      <w:r w:rsidR="002004F5" w:rsidRPr="00C81476">
        <w:rPr>
          <w:rFonts w:ascii="Verdana" w:hAnsi="Verdana"/>
          <w:sz w:val="20"/>
          <w:szCs w:val="20"/>
        </w:rPr>
        <w:t>” o “el Estado”)</w:t>
      </w:r>
      <w:r w:rsidR="002A1425" w:rsidRPr="00C81476">
        <w:rPr>
          <w:rFonts w:ascii="Verdana" w:hAnsi="Verdana"/>
          <w:sz w:val="20"/>
          <w:szCs w:val="20"/>
        </w:rPr>
        <w:t>.</w:t>
      </w:r>
    </w:p>
    <w:p w:rsidR="002004F5" w:rsidRPr="00C81476" w:rsidRDefault="002004F5" w:rsidP="004862A3">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rsidR="0084402F" w:rsidRPr="00C81476" w:rsidRDefault="002004F5" w:rsidP="00033738">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r w:rsidRPr="00C81476">
        <w:rPr>
          <w:rFonts w:ascii="Verdana" w:hAnsi="Verdana"/>
          <w:sz w:val="20"/>
          <w:szCs w:val="20"/>
        </w:rPr>
        <w:t xml:space="preserve">Las listas definitivas de declarantes presentadas por </w:t>
      </w:r>
      <w:r w:rsidR="00D3475C" w:rsidRPr="00C81476">
        <w:rPr>
          <w:rFonts w:ascii="Verdana" w:hAnsi="Verdana"/>
          <w:sz w:val="20"/>
          <w:szCs w:val="20"/>
        </w:rPr>
        <w:t xml:space="preserve">los representantes </w:t>
      </w:r>
      <w:r w:rsidRPr="00C81476">
        <w:rPr>
          <w:rFonts w:ascii="Verdana" w:hAnsi="Verdana"/>
          <w:sz w:val="20"/>
          <w:szCs w:val="20"/>
        </w:rPr>
        <w:t>y la Comisión</w:t>
      </w:r>
      <w:r w:rsidR="004C4C95" w:rsidRPr="00C81476">
        <w:rPr>
          <w:rFonts w:ascii="Verdana" w:hAnsi="Verdana"/>
          <w:sz w:val="20"/>
          <w:szCs w:val="20"/>
        </w:rPr>
        <w:t xml:space="preserve">, </w:t>
      </w:r>
      <w:r w:rsidR="0067147A" w:rsidRPr="00C81476">
        <w:rPr>
          <w:rFonts w:ascii="Verdana" w:hAnsi="Verdana"/>
          <w:sz w:val="20"/>
          <w:szCs w:val="20"/>
        </w:rPr>
        <w:t>y las correspondientes</w:t>
      </w:r>
      <w:r w:rsidR="0067147A" w:rsidRPr="00C81476">
        <w:rPr>
          <w:rFonts w:ascii="Verdana" w:hAnsi="Verdana"/>
          <w:sz w:val="20"/>
          <w:szCs w:val="24"/>
        </w:rPr>
        <w:t xml:space="preserve"> observaciones a dichas listas presentadas por el Estado</w:t>
      </w:r>
      <w:r w:rsidR="00E51BAE" w:rsidRPr="00C81476">
        <w:rPr>
          <w:rFonts w:ascii="Verdana" w:hAnsi="Verdana"/>
          <w:sz w:val="20"/>
          <w:szCs w:val="24"/>
        </w:rPr>
        <w:t>.</w:t>
      </w:r>
      <w:r w:rsidR="006033C3" w:rsidRPr="00C81476">
        <w:rPr>
          <w:rFonts w:ascii="Verdana" w:hAnsi="Verdana"/>
          <w:sz w:val="20"/>
          <w:szCs w:val="24"/>
        </w:rPr>
        <w:t xml:space="preserve"> Asimismo, el escrito de 3 de octubre de 2018 presentado por el señor Hernán Víctor Gullco, propuesto como perito por la Comisión. </w:t>
      </w:r>
    </w:p>
    <w:p w:rsidR="002A1425" w:rsidRPr="00C81476" w:rsidRDefault="002A1425" w:rsidP="002A1425">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rsidR="006B5876" w:rsidRPr="00C81476" w:rsidRDefault="006B5876" w:rsidP="004862A3">
      <w:pPr>
        <w:pStyle w:val="ListParagraph"/>
        <w:tabs>
          <w:tab w:val="left" w:pos="567"/>
        </w:tabs>
        <w:spacing w:after="0" w:line="240" w:lineRule="auto"/>
        <w:ind w:left="0"/>
        <w:jc w:val="both"/>
        <w:rPr>
          <w:rFonts w:ascii="Verdana" w:hAnsi="Verdana"/>
          <w:b/>
          <w:sz w:val="20"/>
          <w:szCs w:val="20"/>
        </w:rPr>
      </w:pPr>
      <w:r w:rsidRPr="00C81476">
        <w:rPr>
          <w:rFonts w:ascii="Verdana" w:hAnsi="Verdana"/>
          <w:b/>
          <w:sz w:val="20"/>
          <w:szCs w:val="20"/>
        </w:rPr>
        <w:t xml:space="preserve">CONSIDERANDO QUE: </w:t>
      </w:r>
    </w:p>
    <w:p w:rsidR="006B5876" w:rsidRPr="00C81476" w:rsidRDefault="006B5876" w:rsidP="004862A3">
      <w:pPr>
        <w:pStyle w:val="ListParagraph"/>
        <w:tabs>
          <w:tab w:val="left" w:pos="567"/>
        </w:tabs>
        <w:spacing w:after="0" w:line="240" w:lineRule="auto"/>
        <w:ind w:left="0"/>
        <w:jc w:val="both"/>
        <w:rPr>
          <w:rFonts w:ascii="Verdana" w:hAnsi="Verdana"/>
          <w:sz w:val="20"/>
          <w:szCs w:val="20"/>
        </w:rPr>
      </w:pPr>
    </w:p>
    <w:p w:rsidR="002B4225" w:rsidRPr="00C81476" w:rsidRDefault="006B5876" w:rsidP="00D471F6">
      <w:pPr>
        <w:pStyle w:val="NoSpacing"/>
        <w:ind w:left="0" w:firstLine="0"/>
        <w:rPr>
          <w:szCs w:val="20"/>
        </w:rPr>
      </w:pPr>
      <w:r w:rsidRPr="00C81476">
        <w:rPr>
          <w:szCs w:val="20"/>
        </w:rPr>
        <w:t xml:space="preserve">El ofrecimiento y la admisión de la prueba, así como la citación de </w:t>
      </w:r>
      <w:r w:rsidR="009D6F17" w:rsidRPr="00C81476">
        <w:rPr>
          <w:szCs w:val="20"/>
        </w:rPr>
        <w:t xml:space="preserve">declarantes </w:t>
      </w:r>
      <w:r w:rsidRPr="00C81476">
        <w:rPr>
          <w:szCs w:val="20"/>
        </w:rPr>
        <w:t>se encuentran regulados en los artículos 35.1.f, 40.2.c, 41.1.c, 46, 47, 48, 50,</w:t>
      </w:r>
      <w:r w:rsidR="00104B9F" w:rsidRPr="00C81476">
        <w:rPr>
          <w:szCs w:val="20"/>
        </w:rPr>
        <w:t xml:space="preserve"> </w:t>
      </w:r>
      <w:r w:rsidRPr="00C81476">
        <w:rPr>
          <w:szCs w:val="20"/>
        </w:rPr>
        <w:t>52.3, 57 y 58 del Reglamento de la Corte Interamericana de Derechos Humanos (en adelante “la Corte Interamericana”, “la Corte” o “e</w:t>
      </w:r>
      <w:r w:rsidR="005E698B" w:rsidRPr="00C81476">
        <w:rPr>
          <w:szCs w:val="20"/>
        </w:rPr>
        <w:t>l Tribunal”).</w:t>
      </w:r>
    </w:p>
    <w:p w:rsidR="002B4225" w:rsidRPr="00C81476" w:rsidRDefault="002B4225" w:rsidP="002B4225">
      <w:pPr>
        <w:pStyle w:val="NoSpacing"/>
        <w:numPr>
          <w:ilvl w:val="0"/>
          <w:numId w:val="0"/>
        </w:numPr>
        <w:rPr>
          <w:szCs w:val="20"/>
        </w:rPr>
      </w:pPr>
    </w:p>
    <w:p w:rsidR="006136AE" w:rsidRPr="00C81476" w:rsidRDefault="00376A83" w:rsidP="00347BC2">
      <w:pPr>
        <w:pStyle w:val="NoSpacing"/>
        <w:ind w:left="0" w:firstLine="0"/>
        <w:rPr>
          <w:szCs w:val="20"/>
        </w:rPr>
      </w:pPr>
      <w:r w:rsidRPr="00C81476">
        <w:t xml:space="preserve">La Comisión ofreció una declaración </w:t>
      </w:r>
      <w:r w:rsidR="00E51BAE" w:rsidRPr="00C81476">
        <w:t xml:space="preserve">pericial y </w:t>
      </w:r>
      <w:r w:rsidR="00D3475C" w:rsidRPr="00C81476">
        <w:t>los representantes</w:t>
      </w:r>
      <w:r w:rsidR="000C584C" w:rsidRPr="00C81476">
        <w:t xml:space="preserve"> </w:t>
      </w:r>
      <w:r w:rsidRPr="00C81476">
        <w:t>ofreci</w:t>
      </w:r>
      <w:r w:rsidR="00D3475C" w:rsidRPr="00C81476">
        <w:t>eron</w:t>
      </w:r>
      <w:r w:rsidRPr="00C81476">
        <w:t xml:space="preserve"> l</w:t>
      </w:r>
      <w:r w:rsidR="002A1425" w:rsidRPr="00C81476">
        <w:t>a declaración de la presunta víctima</w:t>
      </w:r>
      <w:r w:rsidR="007F0EAC" w:rsidRPr="00C81476">
        <w:t xml:space="preserve"> </w:t>
      </w:r>
      <w:r w:rsidR="00330417" w:rsidRPr="00C81476">
        <w:t>en el escrito de solicitudes y argumentos</w:t>
      </w:r>
      <w:r w:rsidR="00347BC2" w:rsidRPr="00C81476">
        <w:t>, así como las declaraciones</w:t>
      </w:r>
      <w:r w:rsidR="000C584C" w:rsidRPr="00C81476">
        <w:t xml:space="preserve"> </w:t>
      </w:r>
      <w:r w:rsidR="007F0EAC" w:rsidRPr="00C81476">
        <w:t>de 13 testigos</w:t>
      </w:r>
      <w:r w:rsidR="00330417" w:rsidRPr="00C81476">
        <w:t xml:space="preserve"> en su lista definitiva de declarantes</w:t>
      </w:r>
      <w:r w:rsidR="000172C0" w:rsidRPr="00C81476">
        <w:rPr>
          <w:rStyle w:val="FootnoteReference"/>
        </w:rPr>
        <w:footnoteReference w:id="3"/>
      </w:r>
      <w:r w:rsidR="00347BC2" w:rsidRPr="00C81476">
        <w:t>.</w:t>
      </w:r>
      <w:r w:rsidR="009A00D5" w:rsidRPr="00C81476">
        <w:t xml:space="preserve"> </w:t>
      </w:r>
      <w:r w:rsidR="00E51BAE" w:rsidRPr="00C81476">
        <w:t>E</w:t>
      </w:r>
      <w:r w:rsidR="009A00D5" w:rsidRPr="00C81476">
        <w:t>l Estado</w:t>
      </w:r>
      <w:r w:rsidRPr="00C81476">
        <w:t xml:space="preserve"> </w:t>
      </w:r>
      <w:r w:rsidR="006136AE" w:rsidRPr="00C81476">
        <w:rPr>
          <w:bCs/>
          <w:iCs/>
        </w:rPr>
        <w:t xml:space="preserve">no propuso declarantes. </w:t>
      </w:r>
    </w:p>
    <w:p w:rsidR="00EC37D5" w:rsidRPr="00C81476" w:rsidRDefault="00EC37D5" w:rsidP="002B4225">
      <w:pPr>
        <w:pStyle w:val="NoSpacing"/>
        <w:numPr>
          <w:ilvl w:val="0"/>
          <w:numId w:val="0"/>
        </w:numPr>
      </w:pPr>
    </w:p>
    <w:p w:rsidR="00321FA0" w:rsidRPr="00C81476" w:rsidRDefault="00376A83" w:rsidP="003E7C9C">
      <w:pPr>
        <w:pStyle w:val="NoSpacing"/>
        <w:ind w:left="0" w:firstLine="0"/>
        <w:rPr>
          <w:szCs w:val="20"/>
        </w:rPr>
      </w:pPr>
      <w:r w:rsidRPr="00C81476">
        <w:rPr>
          <w:szCs w:val="20"/>
        </w:rPr>
        <w:t>La Corte garantizó a las partes el derecho de defensa respecto de los ofrecimientos probatorios</w:t>
      </w:r>
      <w:r w:rsidR="00321FA0" w:rsidRPr="00C81476">
        <w:rPr>
          <w:szCs w:val="20"/>
        </w:rPr>
        <w:t xml:space="preserve"> realizados en </w:t>
      </w:r>
      <w:r w:rsidR="00330417" w:rsidRPr="00C81476">
        <w:rPr>
          <w:szCs w:val="20"/>
        </w:rPr>
        <w:t xml:space="preserve">el </w:t>
      </w:r>
      <w:r w:rsidR="00321FA0" w:rsidRPr="00C81476">
        <w:rPr>
          <w:szCs w:val="20"/>
        </w:rPr>
        <w:t>escrito de sometimiento del caso</w:t>
      </w:r>
      <w:r w:rsidR="00330417" w:rsidRPr="00C81476">
        <w:rPr>
          <w:szCs w:val="20"/>
        </w:rPr>
        <w:t>, el escrito de</w:t>
      </w:r>
      <w:r w:rsidR="00321FA0" w:rsidRPr="00C81476">
        <w:rPr>
          <w:szCs w:val="20"/>
        </w:rPr>
        <w:t xml:space="preserve"> solicitudes</w:t>
      </w:r>
      <w:r w:rsidR="00E51BAE" w:rsidRPr="00C81476">
        <w:rPr>
          <w:szCs w:val="20"/>
        </w:rPr>
        <w:t xml:space="preserve"> y argumentos</w:t>
      </w:r>
      <w:r w:rsidR="00321FA0" w:rsidRPr="00C81476">
        <w:rPr>
          <w:szCs w:val="20"/>
        </w:rPr>
        <w:t>, así como en las respectivas listas definitivas de declarantes</w:t>
      </w:r>
      <w:r w:rsidRPr="00C81476">
        <w:rPr>
          <w:szCs w:val="20"/>
        </w:rPr>
        <w:t>.</w:t>
      </w:r>
      <w:r w:rsidR="005F4000" w:rsidRPr="00C81476">
        <w:rPr>
          <w:szCs w:val="20"/>
        </w:rPr>
        <w:t xml:space="preserve"> </w:t>
      </w:r>
    </w:p>
    <w:p w:rsidR="00321FA0" w:rsidRPr="00C81476" w:rsidRDefault="00321FA0" w:rsidP="00321FA0">
      <w:pPr>
        <w:pStyle w:val="NoSpacing"/>
        <w:numPr>
          <w:ilvl w:val="0"/>
          <w:numId w:val="0"/>
        </w:numPr>
        <w:rPr>
          <w:szCs w:val="20"/>
        </w:rPr>
      </w:pPr>
    </w:p>
    <w:p w:rsidR="009B4740" w:rsidRPr="00C81476" w:rsidRDefault="00F1017D" w:rsidP="003E7C9C">
      <w:pPr>
        <w:pStyle w:val="NoSpacing"/>
        <w:ind w:left="0" w:firstLine="0"/>
        <w:rPr>
          <w:szCs w:val="20"/>
        </w:rPr>
      </w:pPr>
      <w:r w:rsidRPr="00C81476">
        <w:rPr>
          <w:szCs w:val="20"/>
        </w:rPr>
        <w:t xml:space="preserve">El Estado objetó </w:t>
      </w:r>
      <w:r w:rsidR="00321FA0" w:rsidRPr="00C81476">
        <w:rPr>
          <w:szCs w:val="20"/>
        </w:rPr>
        <w:t xml:space="preserve">y </w:t>
      </w:r>
      <w:r w:rsidR="00330417" w:rsidRPr="00C81476">
        <w:rPr>
          <w:szCs w:val="20"/>
        </w:rPr>
        <w:t xml:space="preserve">presentó </w:t>
      </w:r>
      <w:r w:rsidR="00321FA0" w:rsidRPr="00C81476">
        <w:rPr>
          <w:szCs w:val="20"/>
        </w:rPr>
        <w:t>observ</w:t>
      </w:r>
      <w:r w:rsidR="00330417" w:rsidRPr="00C81476">
        <w:rPr>
          <w:szCs w:val="20"/>
        </w:rPr>
        <w:t>aciones</w:t>
      </w:r>
      <w:r w:rsidR="00321FA0" w:rsidRPr="00C81476">
        <w:rPr>
          <w:szCs w:val="20"/>
        </w:rPr>
        <w:t xml:space="preserve"> </w:t>
      </w:r>
      <w:r w:rsidR="00330417" w:rsidRPr="00C81476">
        <w:rPr>
          <w:szCs w:val="20"/>
        </w:rPr>
        <w:t>a</w:t>
      </w:r>
      <w:r w:rsidR="002705C2" w:rsidRPr="00C81476">
        <w:rPr>
          <w:szCs w:val="20"/>
        </w:rPr>
        <w:t>l peritaje</w:t>
      </w:r>
      <w:r w:rsidRPr="00C81476">
        <w:rPr>
          <w:szCs w:val="20"/>
        </w:rPr>
        <w:t xml:space="preserve"> </w:t>
      </w:r>
      <w:r w:rsidR="002705C2" w:rsidRPr="00C81476">
        <w:rPr>
          <w:szCs w:val="20"/>
        </w:rPr>
        <w:t>ofrecido por</w:t>
      </w:r>
      <w:r w:rsidRPr="00C81476">
        <w:rPr>
          <w:szCs w:val="20"/>
        </w:rPr>
        <w:t xml:space="preserve"> la Comisión</w:t>
      </w:r>
      <w:r w:rsidR="00321FA0" w:rsidRPr="00C81476">
        <w:rPr>
          <w:szCs w:val="20"/>
        </w:rPr>
        <w:t xml:space="preserve">, </w:t>
      </w:r>
      <w:r w:rsidR="00330417" w:rsidRPr="00C81476">
        <w:rPr>
          <w:szCs w:val="20"/>
        </w:rPr>
        <w:t>así como a</w:t>
      </w:r>
      <w:r w:rsidR="00321FA0" w:rsidRPr="00C81476">
        <w:rPr>
          <w:szCs w:val="20"/>
        </w:rPr>
        <w:t xml:space="preserve"> </w:t>
      </w:r>
      <w:r w:rsidRPr="00C81476">
        <w:rPr>
          <w:szCs w:val="20"/>
        </w:rPr>
        <w:t xml:space="preserve">la declaración de la presunta </w:t>
      </w:r>
      <w:r w:rsidR="00321FA0" w:rsidRPr="00C81476">
        <w:rPr>
          <w:szCs w:val="20"/>
        </w:rPr>
        <w:t xml:space="preserve">víctima </w:t>
      </w:r>
      <w:r w:rsidRPr="00C81476">
        <w:rPr>
          <w:szCs w:val="20"/>
        </w:rPr>
        <w:t xml:space="preserve">propuesta por </w:t>
      </w:r>
      <w:r w:rsidR="00D3475C" w:rsidRPr="00C81476">
        <w:rPr>
          <w:szCs w:val="20"/>
        </w:rPr>
        <w:t>los representantes</w:t>
      </w:r>
      <w:r w:rsidR="003E7C9C" w:rsidRPr="00C81476">
        <w:rPr>
          <w:szCs w:val="20"/>
        </w:rPr>
        <w:t>,</w:t>
      </w:r>
      <w:r w:rsidRPr="00C81476">
        <w:rPr>
          <w:szCs w:val="20"/>
        </w:rPr>
        <w:t xml:space="preserve"> </w:t>
      </w:r>
      <w:r w:rsidR="009B4740" w:rsidRPr="00C81476">
        <w:rPr>
          <w:szCs w:val="20"/>
        </w:rPr>
        <w:t xml:space="preserve">y objetó </w:t>
      </w:r>
      <w:r w:rsidR="002705C2" w:rsidRPr="00C81476">
        <w:rPr>
          <w:szCs w:val="20"/>
        </w:rPr>
        <w:t>los 13 testigos</w:t>
      </w:r>
      <w:r w:rsidR="00321FA0" w:rsidRPr="00C81476">
        <w:rPr>
          <w:szCs w:val="20"/>
        </w:rPr>
        <w:t xml:space="preserve"> propuestos </w:t>
      </w:r>
      <w:r w:rsidR="000634A4" w:rsidRPr="00C81476">
        <w:rPr>
          <w:szCs w:val="20"/>
        </w:rPr>
        <w:t xml:space="preserve">por </w:t>
      </w:r>
      <w:r w:rsidR="00330417" w:rsidRPr="00C81476">
        <w:rPr>
          <w:szCs w:val="20"/>
        </w:rPr>
        <w:t xml:space="preserve">estos </w:t>
      </w:r>
      <w:r w:rsidR="00E54FC8" w:rsidRPr="00C81476">
        <w:rPr>
          <w:szCs w:val="20"/>
        </w:rPr>
        <w:t>últimos en su lista definitiva</w:t>
      </w:r>
      <w:r w:rsidR="00D3475C" w:rsidRPr="00C81476">
        <w:rPr>
          <w:szCs w:val="20"/>
        </w:rPr>
        <w:t xml:space="preserve">. </w:t>
      </w:r>
      <w:r w:rsidR="00E54FC8" w:rsidRPr="00C81476">
        <w:t>Ni los representantes, ni la Comisión</w:t>
      </w:r>
      <w:r w:rsidR="00217C59" w:rsidRPr="00C81476">
        <w:rPr>
          <w:szCs w:val="20"/>
        </w:rPr>
        <w:t xml:space="preserve"> </w:t>
      </w:r>
      <w:r w:rsidR="00D3475C" w:rsidRPr="00C81476">
        <w:rPr>
          <w:szCs w:val="20"/>
        </w:rPr>
        <w:t>presentaron</w:t>
      </w:r>
      <w:r w:rsidR="009A00D5" w:rsidRPr="00C81476">
        <w:rPr>
          <w:szCs w:val="20"/>
        </w:rPr>
        <w:t xml:space="preserve"> </w:t>
      </w:r>
      <w:r w:rsidR="00321FA0" w:rsidRPr="00C81476">
        <w:rPr>
          <w:szCs w:val="20"/>
        </w:rPr>
        <w:t xml:space="preserve">objeciones u </w:t>
      </w:r>
      <w:r w:rsidR="009A00D5" w:rsidRPr="00C81476">
        <w:rPr>
          <w:szCs w:val="20"/>
        </w:rPr>
        <w:t>observaciones</w:t>
      </w:r>
      <w:r w:rsidR="00D51DFD" w:rsidRPr="00C81476">
        <w:rPr>
          <w:szCs w:val="20"/>
        </w:rPr>
        <w:t xml:space="preserve"> a las declaraciones propuestas</w:t>
      </w:r>
      <w:r w:rsidR="009A00D5" w:rsidRPr="00C81476">
        <w:rPr>
          <w:szCs w:val="20"/>
        </w:rPr>
        <w:t>.</w:t>
      </w:r>
      <w:r w:rsidR="00FD1D05" w:rsidRPr="00C81476">
        <w:rPr>
          <w:szCs w:val="20"/>
        </w:rPr>
        <w:t xml:space="preserve"> </w:t>
      </w:r>
    </w:p>
    <w:p w:rsidR="00B0162E" w:rsidRPr="00C81476" w:rsidRDefault="00B0162E" w:rsidP="00B0162E">
      <w:pPr>
        <w:pStyle w:val="NoSpacing"/>
        <w:numPr>
          <w:ilvl w:val="0"/>
          <w:numId w:val="0"/>
        </w:numPr>
        <w:rPr>
          <w:szCs w:val="20"/>
        </w:rPr>
      </w:pPr>
    </w:p>
    <w:p w:rsidR="00B0162E" w:rsidRPr="00C81476" w:rsidRDefault="00431674" w:rsidP="003E7C9C">
      <w:pPr>
        <w:pStyle w:val="NoSpacing"/>
        <w:ind w:left="0" w:firstLine="0"/>
        <w:rPr>
          <w:szCs w:val="20"/>
        </w:rPr>
      </w:pPr>
      <w:r w:rsidRPr="00C81476">
        <w:rPr>
          <w:szCs w:val="20"/>
        </w:rPr>
        <w:t xml:space="preserve">En vista de que </w:t>
      </w:r>
      <w:r w:rsidR="00E54FC8" w:rsidRPr="00C81476">
        <w:rPr>
          <w:szCs w:val="20"/>
        </w:rPr>
        <w:t>el Estado objetó y presentó observaciones</w:t>
      </w:r>
      <w:r w:rsidRPr="00C81476">
        <w:rPr>
          <w:szCs w:val="20"/>
        </w:rPr>
        <w:t xml:space="preserve"> a</w:t>
      </w:r>
      <w:r w:rsidR="00D77F81">
        <w:rPr>
          <w:szCs w:val="20"/>
        </w:rPr>
        <w:t>l peritaje ofrecido por la Comisión, a</w:t>
      </w:r>
      <w:r w:rsidRPr="00C81476">
        <w:rPr>
          <w:szCs w:val="20"/>
        </w:rPr>
        <w:t xml:space="preserve"> la declaración de la presunta víctima y </w:t>
      </w:r>
      <w:r w:rsidR="00E51BAE" w:rsidRPr="00C81476">
        <w:rPr>
          <w:szCs w:val="20"/>
        </w:rPr>
        <w:t>a los testigos propuesto</w:t>
      </w:r>
      <w:r w:rsidRPr="00C81476">
        <w:rPr>
          <w:szCs w:val="20"/>
        </w:rPr>
        <w:t xml:space="preserve">s por </w:t>
      </w:r>
      <w:r w:rsidR="00D3475C" w:rsidRPr="00C81476">
        <w:rPr>
          <w:szCs w:val="20"/>
        </w:rPr>
        <w:t>los representantes</w:t>
      </w:r>
      <w:r w:rsidRPr="00C81476">
        <w:rPr>
          <w:szCs w:val="20"/>
        </w:rPr>
        <w:t xml:space="preserve">, a continuación, la Corte examinará: A) la admisibilidad del peritaje ofrecido por la Comisión; B) la admisibilidad de </w:t>
      </w:r>
      <w:r w:rsidR="001C1F55" w:rsidRPr="00C81476">
        <w:rPr>
          <w:szCs w:val="20"/>
        </w:rPr>
        <w:t>las declaraciones ofrecidas por los representantes</w:t>
      </w:r>
      <w:r w:rsidR="00B319D3" w:rsidRPr="00C81476">
        <w:rPr>
          <w:szCs w:val="20"/>
        </w:rPr>
        <w:t xml:space="preserve">; y </w:t>
      </w:r>
      <w:r w:rsidR="001C1F55" w:rsidRPr="00C81476">
        <w:rPr>
          <w:szCs w:val="20"/>
        </w:rPr>
        <w:t>C</w:t>
      </w:r>
      <w:r w:rsidR="00AF7CA8" w:rsidRPr="00C81476">
        <w:rPr>
          <w:szCs w:val="20"/>
        </w:rPr>
        <w:t>) la a</w:t>
      </w:r>
      <w:r w:rsidR="00B319D3" w:rsidRPr="00C81476">
        <w:rPr>
          <w:szCs w:val="20"/>
        </w:rPr>
        <w:t>plicación al Fondo de Asistencia Legal de Víctimas</w:t>
      </w:r>
      <w:r w:rsidR="00CF1715" w:rsidRPr="00C81476">
        <w:rPr>
          <w:szCs w:val="20"/>
        </w:rPr>
        <w:t xml:space="preserve">. </w:t>
      </w:r>
    </w:p>
    <w:p w:rsidR="00B0162E" w:rsidRPr="00C81476" w:rsidRDefault="00B0162E" w:rsidP="00B0162E">
      <w:pPr>
        <w:pStyle w:val="ListParagraph"/>
        <w:tabs>
          <w:tab w:val="left" w:pos="0"/>
        </w:tabs>
        <w:autoSpaceDE w:val="0"/>
        <w:autoSpaceDN w:val="0"/>
        <w:adjustRightInd w:val="0"/>
        <w:spacing w:after="0" w:line="240" w:lineRule="auto"/>
        <w:ind w:left="0"/>
        <w:contextualSpacing w:val="0"/>
        <w:jc w:val="both"/>
        <w:rPr>
          <w:szCs w:val="20"/>
        </w:rPr>
      </w:pPr>
    </w:p>
    <w:p w:rsidR="002E5257" w:rsidRPr="00C81476" w:rsidRDefault="002E5257" w:rsidP="004415BD">
      <w:pPr>
        <w:pStyle w:val="ListParagraph"/>
        <w:numPr>
          <w:ilvl w:val="0"/>
          <w:numId w:val="9"/>
        </w:numPr>
        <w:tabs>
          <w:tab w:val="left" w:pos="0"/>
        </w:tabs>
        <w:autoSpaceDE w:val="0"/>
        <w:autoSpaceDN w:val="0"/>
        <w:adjustRightInd w:val="0"/>
        <w:spacing w:after="0" w:line="240" w:lineRule="auto"/>
        <w:contextualSpacing w:val="0"/>
        <w:jc w:val="both"/>
        <w:rPr>
          <w:rFonts w:ascii="Verdana" w:hAnsi="Verdana"/>
          <w:b/>
          <w:i/>
        </w:rPr>
      </w:pPr>
      <w:r w:rsidRPr="00C81476">
        <w:rPr>
          <w:rFonts w:ascii="Verdana" w:hAnsi="Verdana"/>
          <w:b/>
          <w:i/>
          <w:sz w:val="20"/>
        </w:rPr>
        <w:t xml:space="preserve">Admisibilidad </w:t>
      </w:r>
      <w:r w:rsidR="00E54FC8" w:rsidRPr="00C81476">
        <w:rPr>
          <w:rFonts w:ascii="Verdana" w:hAnsi="Verdana"/>
          <w:b/>
          <w:i/>
          <w:sz w:val="20"/>
        </w:rPr>
        <w:t xml:space="preserve">del peritaje </w:t>
      </w:r>
      <w:r w:rsidR="00D52B5A" w:rsidRPr="00C81476">
        <w:rPr>
          <w:rFonts w:ascii="Verdana" w:hAnsi="Verdana"/>
          <w:b/>
          <w:i/>
          <w:sz w:val="20"/>
        </w:rPr>
        <w:t>presentado</w:t>
      </w:r>
      <w:r w:rsidRPr="00C81476">
        <w:rPr>
          <w:rFonts w:ascii="Verdana" w:hAnsi="Verdana"/>
          <w:b/>
          <w:i/>
          <w:sz w:val="20"/>
        </w:rPr>
        <w:t xml:space="preserve"> por la Comisión </w:t>
      </w:r>
    </w:p>
    <w:p w:rsidR="00B0162E" w:rsidRPr="00C81476" w:rsidRDefault="00B0162E" w:rsidP="00B0162E">
      <w:pPr>
        <w:pStyle w:val="ListParagraph"/>
        <w:tabs>
          <w:tab w:val="left" w:pos="0"/>
        </w:tabs>
        <w:autoSpaceDE w:val="0"/>
        <w:autoSpaceDN w:val="0"/>
        <w:adjustRightInd w:val="0"/>
        <w:spacing w:after="0" w:line="240" w:lineRule="auto"/>
        <w:ind w:left="0"/>
        <w:contextualSpacing w:val="0"/>
        <w:jc w:val="both"/>
        <w:rPr>
          <w:szCs w:val="20"/>
        </w:rPr>
      </w:pPr>
    </w:p>
    <w:p w:rsidR="003C6513" w:rsidRPr="00C81476" w:rsidRDefault="002E5257" w:rsidP="005725B1">
      <w:pPr>
        <w:pStyle w:val="NoSpacing"/>
        <w:ind w:left="0" w:firstLine="0"/>
        <w:rPr>
          <w:rFonts w:eastAsia="Times New Roman" w:cs="Verdana"/>
          <w:lang w:val="es-CL"/>
        </w:rPr>
      </w:pPr>
      <w:r w:rsidRPr="00C81476">
        <w:rPr>
          <w:rFonts w:cs="Arial"/>
        </w:rPr>
        <w:t xml:space="preserve">En </w:t>
      </w:r>
      <w:r w:rsidR="00E51BAE" w:rsidRPr="00C81476">
        <w:rPr>
          <w:rFonts w:cs="Arial"/>
        </w:rPr>
        <w:t>su escrito de sometimiento del c</w:t>
      </w:r>
      <w:r w:rsidRPr="00C81476">
        <w:rPr>
          <w:rFonts w:cs="Arial"/>
        </w:rPr>
        <w:t xml:space="preserve">aso, la </w:t>
      </w:r>
      <w:r w:rsidRPr="00C81476">
        <w:rPr>
          <w:rFonts w:cs="Arial"/>
          <w:b/>
          <w:i/>
          <w:lang w:val="es-ES"/>
        </w:rPr>
        <w:t>Comisión</w:t>
      </w:r>
      <w:r w:rsidRPr="00C81476">
        <w:rPr>
          <w:rFonts w:cs="Arial"/>
        </w:rPr>
        <w:t xml:space="preserve"> ofreció el dictamen pericial</w:t>
      </w:r>
      <w:r w:rsidR="00C000B7" w:rsidRPr="00C81476">
        <w:rPr>
          <w:rFonts w:cs="Arial"/>
        </w:rPr>
        <w:t xml:space="preserve"> de </w:t>
      </w:r>
      <w:r w:rsidR="00033738" w:rsidRPr="00C81476">
        <w:rPr>
          <w:rFonts w:cs="Arial"/>
        </w:rPr>
        <w:t>Hernán Víctor Gullco</w:t>
      </w:r>
      <w:r w:rsidR="00A22E44" w:rsidRPr="00C81476">
        <w:rPr>
          <w:rFonts w:cs="Arial"/>
        </w:rPr>
        <w:t xml:space="preserve">, </w:t>
      </w:r>
      <w:r w:rsidR="00610130" w:rsidRPr="00C81476">
        <w:rPr>
          <w:rFonts w:cs="Arial"/>
        </w:rPr>
        <w:t>abogado y Doctor en Derecho</w:t>
      </w:r>
      <w:r w:rsidR="005725B1" w:rsidRPr="00C81476">
        <w:rPr>
          <w:rFonts w:cs="Arial"/>
        </w:rPr>
        <w:t>,</w:t>
      </w:r>
      <w:r w:rsidR="00610130" w:rsidRPr="00C81476">
        <w:rPr>
          <w:rFonts w:cs="Arial"/>
        </w:rPr>
        <w:t xml:space="preserve"> </w:t>
      </w:r>
      <w:r w:rsidR="000634A4" w:rsidRPr="00C81476">
        <w:rPr>
          <w:rFonts w:cs="Arial"/>
        </w:rPr>
        <w:t>“</w:t>
      </w:r>
      <w:r w:rsidR="00033738" w:rsidRPr="00C81476">
        <w:rPr>
          <w:rFonts w:cs="Arial"/>
        </w:rPr>
        <w:t xml:space="preserve">para que exponga sobre </w:t>
      </w:r>
      <w:r w:rsidR="00610130" w:rsidRPr="00C81476">
        <w:rPr>
          <w:rFonts w:cs="Arial"/>
        </w:rPr>
        <w:t xml:space="preserve">la manera en que deben operar </w:t>
      </w:r>
      <w:r w:rsidR="00033738" w:rsidRPr="00C81476">
        <w:rPr>
          <w:rFonts w:cs="Arial"/>
        </w:rPr>
        <w:t xml:space="preserve">las garantías del debido proceso, en particular, </w:t>
      </w:r>
      <w:r w:rsidR="00CF1715" w:rsidRPr="00C81476">
        <w:rPr>
          <w:rFonts w:cs="Arial"/>
        </w:rPr>
        <w:t>d</w:t>
      </w:r>
      <w:r w:rsidR="00033738" w:rsidRPr="00C81476">
        <w:rPr>
          <w:rFonts w:cs="Arial"/>
        </w:rPr>
        <w:t xml:space="preserve">el derecho </w:t>
      </w:r>
      <w:r w:rsidR="00037C05">
        <w:rPr>
          <w:rFonts w:cs="Arial"/>
        </w:rPr>
        <w:t>de</w:t>
      </w:r>
      <w:r w:rsidR="00033738" w:rsidRPr="00C81476">
        <w:rPr>
          <w:rFonts w:cs="Arial"/>
        </w:rPr>
        <w:t xml:space="preserve"> defensa y el principio de presunción de inocencia, cuando se activan diversas vías sancionatorias</w:t>
      </w:r>
      <w:r w:rsidR="00E04901" w:rsidRPr="00C81476">
        <w:rPr>
          <w:rFonts w:cs="Arial"/>
        </w:rPr>
        <w:t xml:space="preserve"> - </w:t>
      </w:r>
      <w:r w:rsidR="00033738" w:rsidRPr="00C81476">
        <w:rPr>
          <w:rFonts w:cs="Arial"/>
        </w:rPr>
        <w:t>ta</w:t>
      </w:r>
      <w:r w:rsidR="00E51BAE" w:rsidRPr="00C81476">
        <w:rPr>
          <w:rFonts w:cs="Arial"/>
        </w:rPr>
        <w:t>nto penales como disciplinarias</w:t>
      </w:r>
      <w:r w:rsidR="00E04901" w:rsidRPr="00C81476">
        <w:rPr>
          <w:rFonts w:cs="Arial"/>
        </w:rPr>
        <w:t xml:space="preserve"> - </w:t>
      </w:r>
      <w:r w:rsidR="00033738" w:rsidRPr="00C81476">
        <w:rPr>
          <w:rFonts w:cs="Arial"/>
        </w:rPr>
        <w:t>par</w:t>
      </w:r>
      <w:r w:rsidR="002705C2" w:rsidRPr="00C81476">
        <w:rPr>
          <w:rFonts w:cs="Arial"/>
        </w:rPr>
        <w:t>al</w:t>
      </w:r>
      <w:r w:rsidR="00033738" w:rsidRPr="00C81476">
        <w:rPr>
          <w:rFonts w:cs="Arial"/>
        </w:rPr>
        <w:t>elas o subsiguientes, sobre la base de la misma plataforma fáctica</w:t>
      </w:r>
      <w:r w:rsidR="00E04901" w:rsidRPr="00C81476">
        <w:rPr>
          <w:rFonts w:cs="Arial"/>
        </w:rPr>
        <w:t xml:space="preserve">. </w:t>
      </w:r>
      <w:r w:rsidR="00610130" w:rsidRPr="00C81476">
        <w:rPr>
          <w:rFonts w:cs="Arial"/>
        </w:rPr>
        <w:t xml:space="preserve">También se referirá a dicha situación a la luz del principio de </w:t>
      </w:r>
      <w:r w:rsidR="00610130" w:rsidRPr="00C81476">
        <w:rPr>
          <w:rFonts w:cs="Arial"/>
          <w:i/>
        </w:rPr>
        <w:t>non bis in ídem</w:t>
      </w:r>
      <w:r w:rsidR="00610130" w:rsidRPr="00C81476">
        <w:rPr>
          <w:rFonts w:cs="Arial"/>
        </w:rPr>
        <w:t>. Tomará en cuenta los hechos del caso para desarrollar su peritaje</w:t>
      </w:r>
      <w:r w:rsidR="000634A4" w:rsidRPr="00C81476">
        <w:rPr>
          <w:rFonts w:cs="Arial"/>
        </w:rPr>
        <w:t>”</w:t>
      </w:r>
      <w:r w:rsidR="00610130" w:rsidRPr="00C81476">
        <w:rPr>
          <w:rFonts w:cs="Arial"/>
        </w:rPr>
        <w:t xml:space="preserve">. </w:t>
      </w:r>
      <w:r w:rsidRPr="00C81476">
        <w:rPr>
          <w:lang w:val="es-CL"/>
        </w:rPr>
        <w:t>La Comisión consi</w:t>
      </w:r>
      <w:r w:rsidR="00E04901" w:rsidRPr="00C81476">
        <w:rPr>
          <w:lang w:val="es-CL"/>
        </w:rPr>
        <w:t xml:space="preserve">deró que </w:t>
      </w:r>
      <w:r w:rsidR="00610130" w:rsidRPr="00C81476">
        <w:rPr>
          <w:lang w:val="es-CL"/>
        </w:rPr>
        <w:t xml:space="preserve">el peritaje </w:t>
      </w:r>
      <w:r w:rsidR="00E04901" w:rsidRPr="00C81476">
        <w:rPr>
          <w:lang w:val="es-CL"/>
        </w:rPr>
        <w:t>ofrecido se refiere</w:t>
      </w:r>
      <w:r w:rsidRPr="00C81476">
        <w:rPr>
          <w:lang w:val="es-CL"/>
        </w:rPr>
        <w:t xml:space="preserve"> a temas de orden público interamericano, </w:t>
      </w:r>
      <w:r w:rsidR="00E04901" w:rsidRPr="00C81476">
        <w:rPr>
          <w:lang w:val="es-CL"/>
        </w:rPr>
        <w:t xml:space="preserve">argumentando que </w:t>
      </w:r>
      <w:r w:rsidR="00DC5593" w:rsidRPr="00C81476">
        <w:rPr>
          <w:lang w:val="es-CL"/>
        </w:rPr>
        <w:t>la Corte podrá profundizar su jurisprudencia sobre las garantías del debido proceso aplicable a procesos sancionatorios, incluyendo aquellos de carácter administrativo, así como penal y penal militar, ofreciend</w:t>
      </w:r>
      <w:r w:rsidR="0044394C" w:rsidRPr="00C81476">
        <w:rPr>
          <w:lang w:val="es-CL"/>
        </w:rPr>
        <w:t>o la oportunidad de analizar las</w:t>
      </w:r>
      <w:r w:rsidR="00DC5593" w:rsidRPr="00C81476">
        <w:rPr>
          <w:lang w:val="es-CL"/>
        </w:rPr>
        <w:t xml:space="preserve"> consecuencias en el marco de la Convención Americana sobre Derechos Humanos </w:t>
      </w:r>
      <w:r w:rsidR="0044394C" w:rsidRPr="00C81476">
        <w:rPr>
          <w:lang w:val="es-CL"/>
        </w:rPr>
        <w:t xml:space="preserve">de la activación del poder punitivo del Estado, a través de diversos mecanismos o bien paralelos o bien subsiguientes el uno del otro y con base en una misma plataforma fáctica. Igualmente, </w:t>
      </w:r>
      <w:r w:rsidR="003C0361" w:rsidRPr="00C81476">
        <w:rPr>
          <w:lang w:val="es-CL"/>
        </w:rPr>
        <w:t xml:space="preserve">la Corte tendría </w:t>
      </w:r>
      <w:r w:rsidR="0044394C" w:rsidRPr="00C81476">
        <w:rPr>
          <w:lang w:val="es-CL"/>
        </w:rPr>
        <w:t xml:space="preserve">la oportunidad de pronunciarse sobre dichas situaciones a la luz del principio de </w:t>
      </w:r>
      <w:r w:rsidR="0044394C" w:rsidRPr="00C81476">
        <w:rPr>
          <w:i/>
          <w:lang w:val="es-CL"/>
        </w:rPr>
        <w:t>non bis in idem</w:t>
      </w:r>
      <w:r w:rsidR="0044394C" w:rsidRPr="00C81476">
        <w:rPr>
          <w:lang w:val="es-CL"/>
        </w:rPr>
        <w:t xml:space="preserve">. </w:t>
      </w:r>
    </w:p>
    <w:p w:rsidR="00AD284F" w:rsidRPr="00C81476" w:rsidRDefault="00AD284F" w:rsidP="002E5257">
      <w:pPr>
        <w:pStyle w:val="NoSpacing"/>
        <w:numPr>
          <w:ilvl w:val="0"/>
          <w:numId w:val="0"/>
        </w:numPr>
        <w:rPr>
          <w:lang w:val="es-CL"/>
        </w:rPr>
      </w:pPr>
    </w:p>
    <w:p w:rsidR="002E5257" w:rsidRPr="00C81476" w:rsidRDefault="002E5257" w:rsidP="00D471F6">
      <w:pPr>
        <w:pStyle w:val="NoSpacing"/>
        <w:ind w:left="0" w:firstLine="0"/>
      </w:pPr>
      <w:r w:rsidRPr="00C81476">
        <w:t xml:space="preserve">El </w:t>
      </w:r>
      <w:r w:rsidRPr="00C81476">
        <w:rPr>
          <w:b/>
          <w:i/>
          <w:lang w:val="es-ES"/>
        </w:rPr>
        <w:t>Estado</w:t>
      </w:r>
      <w:r w:rsidRPr="00C81476">
        <w:t xml:space="preserve"> </w:t>
      </w:r>
      <w:r w:rsidR="00610130" w:rsidRPr="00C81476">
        <w:t>objetó el peritaje</w:t>
      </w:r>
      <w:r w:rsidR="00AD284F" w:rsidRPr="00C81476">
        <w:t xml:space="preserve"> toda vez que</w:t>
      </w:r>
      <w:r w:rsidR="00CF1715" w:rsidRPr="00C81476">
        <w:t xml:space="preserve">, según este, </w:t>
      </w:r>
      <w:r w:rsidR="00582615" w:rsidRPr="00C81476">
        <w:t xml:space="preserve">de conformidad con lo establecido en el artículo 35.1.f del </w:t>
      </w:r>
      <w:r w:rsidR="00582615" w:rsidRPr="00C81476">
        <w:rPr>
          <w:szCs w:val="20"/>
        </w:rPr>
        <w:t>Reglamento</w:t>
      </w:r>
      <w:r w:rsidR="00582615" w:rsidRPr="00C81476">
        <w:t xml:space="preserve"> de la Corte y las distintas decisiones adoptadas por </w:t>
      </w:r>
      <w:r w:rsidR="00CF1715" w:rsidRPr="00C81476">
        <w:t>este Tribunal</w:t>
      </w:r>
      <w:r w:rsidR="00582615" w:rsidRPr="00C81476">
        <w:t xml:space="preserve"> al respecto, se exige que para </w:t>
      </w:r>
      <w:r w:rsidR="00D471F6" w:rsidRPr="00C81476">
        <w:t xml:space="preserve">que </w:t>
      </w:r>
      <w:r w:rsidR="00582615" w:rsidRPr="00C81476">
        <w:t xml:space="preserve">la Comisión </w:t>
      </w:r>
      <w:r w:rsidR="007549D6" w:rsidRPr="00C81476">
        <w:t xml:space="preserve">ofrezca </w:t>
      </w:r>
      <w:r w:rsidR="00582615" w:rsidRPr="00C81476">
        <w:t xml:space="preserve">un perito como medio de prueba, debe haber una afectación relevante del orden público interamericano de los derechos humanos, no siendo suficiente que la prueba tenga relación con una alegada violación de derechos humanos, sino que debe tratarse de aspectos que trasciendan </w:t>
      </w:r>
      <w:r w:rsidR="00037C05">
        <w:t xml:space="preserve">a </w:t>
      </w:r>
      <w:r w:rsidR="00582615" w:rsidRPr="00C81476">
        <w:t xml:space="preserve">los intereses de las partes en litigio y los hechos específicos del caso concreto que se analice. </w:t>
      </w:r>
      <w:r w:rsidR="0013283E" w:rsidRPr="00C81476">
        <w:t xml:space="preserve">Al respecto, señaló que la Comisión no hizo alusión a la existencia o evidencia de alguna problemática general y/o recurrente en torno a una posible práctica de violación de garantías del debido proceso en el marco de procesos de carácter administrativo, penal y penal militar por parte de los Estados Partes del sistema interamericano. Agregó que la Corte debe evaluar si existen </w:t>
      </w:r>
      <w:r w:rsidR="00750E8C" w:rsidRPr="00C81476">
        <w:t xml:space="preserve">otros casos en trámite ante la Comisión que involucren dichas temáticas y que, por tanto, un pronunciamiento </w:t>
      </w:r>
      <w:r w:rsidR="00610130" w:rsidRPr="00C81476">
        <w:t>del Tribunal</w:t>
      </w:r>
      <w:r w:rsidR="00750E8C" w:rsidRPr="00C81476">
        <w:t xml:space="preserve"> en estas materias pueda tener implicaciones o repercusi</w:t>
      </w:r>
      <w:r w:rsidR="003C5236" w:rsidRPr="00C81476">
        <w:t>ones</w:t>
      </w:r>
      <w:r w:rsidR="00750E8C" w:rsidRPr="00C81476">
        <w:t xml:space="preserve"> para la formulación de determinados fundamentos jurídicos en el marco de estos procedimientos. Sin perjuicio de lo anterior, el Estado añadió que la Corte cuenta con amplia jurisprudencia sobre determinados criterios y estándares internacionales en materia de garantías del debido proceso aplicables a procesos sancionatorios, incluyendo de carácter administrativo, penal y </w:t>
      </w:r>
      <w:r w:rsidR="00C071E8">
        <w:t xml:space="preserve">penal </w:t>
      </w:r>
      <w:r w:rsidR="00750E8C" w:rsidRPr="00C81476">
        <w:t xml:space="preserve">militar, por lo </w:t>
      </w:r>
      <w:r w:rsidR="00750E8C" w:rsidRPr="00C81476">
        <w:lastRenderedPageBreak/>
        <w:t>cual no se trataría de temas novedosos. Solicitó a la Corte evaluar si la Comisión ha cumplido con fundamentar adecuadamente la relación de la prueba pericial propuesta con una afectación relevante del orden público interamericano</w:t>
      </w:r>
      <w:r w:rsidR="007549D6" w:rsidRPr="00C81476">
        <w:t>. E</w:t>
      </w:r>
      <w:r w:rsidR="00750E8C" w:rsidRPr="00C81476">
        <w:t>n tales supuestos, se justificar</w:t>
      </w:r>
      <w:r w:rsidR="00CC4B77">
        <w:t>ía</w:t>
      </w:r>
      <w:r w:rsidR="00750E8C" w:rsidRPr="00C81476">
        <w:t xml:space="preserve"> la presentación del peritaje y caso contrario, debería ser rechazado. </w:t>
      </w:r>
    </w:p>
    <w:p w:rsidR="002E5257" w:rsidRPr="00C81476" w:rsidRDefault="002E5257" w:rsidP="002E5257">
      <w:pPr>
        <w:pStyle w:val="NoSpacing"/>
        <w:numPr>
          <w:ilvl w:val="0"/>
          <w:numId w:val="0"/>
        </w:numPr>
        <w:rPr>
          <w:szCs w:val="20"/>
        </w:rPr>
      </w:pPr>
    </w:p>
    <w:p w:rsidR="001E191D" w:rsidRPr="00C81476" w:rsidRDefault="001E191D" w:rsidP="006033C3">
      <w:pPr>
        <w:pStyle w:val="NoSpacing"/>
        <w:ind w:left="0" w:firstLine="0"/>
        <w:rPr>
          <w:szCs w:val="20"/>
        </w:rPr>
      </w:pPr>
      <w:r w:rsidRPr="00C81476">
        <w:t>Por otra parte, en cuanto a la experiencia del perito propuesto</w:t>
      </w:r>
      <w:r w:rsidR="002E5257" w:rsidRPr="00C81476">
        <w:t xml:space="preserve">, el Estado observó que el </w:t>
      </w:r>
      <w:r w:rsidR="00AF2B2C" w:rsidRPr="00C81476">
        <w:t>perito no c</w:t>
      </w:r>
      <w:r w:rsidR="006033C3" w:rsidRPr="00C81476">
        <w:t>ontaría</w:t>
      </w:r>
      <w:r w:rsidR="00AF2B2C" w:rsidRPr="00C81476">
        <w:t xml:space="preserve"> con estudios de especialización y/o publicaciones que se vinculen con las garantías del debido proceso, en particular</w:t>
      </w:r>
      <w:r w:rsidR="000634A4" w:rsidRPr="00C81476">
        <w:t xml:space="preserve">, </w:t>
      </w:r>
      <w:r w:rsidR="00AF2B2C" w:rsidRPr="00C81476">
        <w:t xml:space="preserve">el derecho a la defensa y el principio de presunción de inocencia en el marco de </w:t>
      </w:r>
      <w:r w:rsidR="00AF2B2C" w:rsidRPr="00C81476">
        <w:rPr>
          <w:szCs w:val="20"/>
        </w:rPr>
        <w:t>procedimientos</w:t>
      </w:r>
      <w:r w:rsidR="00AF2B2C" w:rsidRPr="00C81476">
        <w:t xml:space="preserve"> sancionatorios administrativos o penal</w:t>
      </w:r>
      <w:r w:rsidR="009400C1" w:rsidRPr="00C81476">
        <w:t xml:space="preserve">es, </w:t>
      </w:r>
      <w:r w:rsidR="00AF2B2C" w:rsidRPr="00C81476">
        <w:t xml:space="preserve">y mucho menos de penal militar. Así, el Estado observó que el perito no contaría con conocimientos técnicos y especializados que le permitan emitir una opinión con relación a los aspectos específicos que conforman el objeto concreto de su declaración pericial, aunado a que de su hoja de vida no se desprendan conocimientos suficientes sobre estándares internacionales sobre la materia. </w:t>
      </w:r>
    </w:p>
    <w:p w:rsidR="001E191D" w:rsidRPr="00C81476" w:rsidRDefault="001E191D" w:rsidP="001E191D">
      <w:pPr>
        <w:pStyle w:val="NoSpacing"/>
        <w:numPr>
          <w:ilvl w:val="0"/>
          <w:numId w:val="0"/>
        </w:numPr>
        <w:rPr>
          <w:szCs w:val="20"/>
        </w:rPr>
      </w:pPr>
    </w:p>
    <w:p w:rsidR="001E191D" w:rsidRPr="00C81476" w:rsidRDefault="001E191D" w:rsidP="004A0556">
      <w:pPr>
        <w:pStyle w:val="NoSpacing"/>
        <w:ind w:left="0" w:firstLine="0"/>
        <w:rPr>
          <w:szCs w:val="20"/>
        </w:rPr>
      </w:pPr>
      <w:r w:rsidRPr="00C81476">
        <w:rPr>
          <w:szCs w:val="20"/>
        </w:rPr>
        <w:t xml:space="preserve"> Al respecto, el señor </w:t>
      </w:r>
      <w:r w:rsidRPr="00C81476">
        <w:rPr>
          <w:b/>
          <w:i/>
          <w:szCs w:val="20"/>
        </w:rPr>
        <w:t>Hernán Víctor Gullco</w:t>
      </w:r>
      <w:r w:rsidRPr="00C81476">
        <w:rPr>
          <w:szCs w:val="20"/>
        </w:rPr>
        <w:t xml:space="preserve"> sostuvo: a) la inadmisibilidad de la presentación del Estado, toda vez que la fundamentación de la relevancia de la prueba pericial le corresponde a la Corte y a la </w:t>
      </w:r>
      <w:r w:rsidR="006033C3" w:rsidRPr="00C81476">
        <w:rPr>
          <w:szCs w:val="20"/>
        </w:rPr>
        <w:t xml:space="preserve">Comisión </w:t>
      </w:r>
      <w:r w:rsidRPr="00C81476">
        <w:rPr>
          <w:szCs w:val="20"/>
        </w:rPr>
        <w:t>y no al suscripto, así como que dicha presentación, que debe ser entendida como una recusación</w:t>
      </w:r>
      <w:r w:rsidR="00CC0D6D" w:rsidRPr="00C81476">
        <w:rPr>
          <w:szCs w:val="20"/>
        </w:rPr>
        <w:t>, no se ajust</w:t>
      </w:r>
      <w:r w:rsidR="006E7B19" w:rsidRPr="00C81476">
        <w:rPr>
          <w:szCs w:val="20"/>
        </w:rPr>
        <w:t>a</w:t>
      </w:r>
      <w:r w:rsidR="006033C3" w:rsidRPr="00C81476">
        <w:rPr>
          <w:szCs w:val="20"/>
        </w:rPr>
        <w:t>rí</w:t>
      </w:r>
      <w:r w:rsidR="00CC0D6D" w:rsidRPr="00C81476">
        <w:rPr>
          <w:szCs w:val="20"/>
        </w:rPr>
        <w:t>a a ningu</w:t>
      </w:r>
      <w:r w:rsidR="006E7B19" w:rsidRPr="00C81476">
        <w:rPr>
          <w:szCs w:val="20"/>
        </w:rPr>
        <w:t>n</w:t>
      </w:r>
      <w:r w:rsidR="006033C3" w:rsidRPr="00C81476">
        <w:rPr>
          <w:szCs w:val="20"/>
        </w:rPr>
        <w:t>a</w:t>
      </w:r>
      <w:r w:rsidR="00CC0D6D" w:rsidRPr="00C81476">
        <w:rPr>
          <w:szCs w:val="20"/>
        </w:rPr>
        <w:t xml:space="preserve"> de las causales previstas</w:t>
      </w:r>
      <w:r w:rsidR="007D5497" w:rsidRPr="00C81476">
        <w:rPr>
          <w:szCs w:val="20"/>
        </w:rPr>
        <w:t xml:space="preserve"> en el Reglamento</w:t>
      </w:r>
      <w:r w:rsidR="00E01F40">
        <w:rPr>
          <w:szCs w:val="20"/>
        </w:rPr>
        <w:t>, y</w:t>
      </w:r>
      <w:r w:rsidR="00CC0D6D" w:rsidRPr="00C81476">
        <w:rPr>
          <w:szCs w:val="20"/>
        </w:rPr>
        <w:t xml:space="preserve"> b) que ya ha participado como perito en el pasado ante la Corte en el caso </w:t>
      </w:r>
      <w:r w:rsidR="00B14994">
        <w:rPr>
          <w:i/>
          <w:szCs w:val="20"/>
        </w:rPr>
        <w:t>Zegarra Marín V</w:t>
      </w:r>
      <w:r w:rsidR="00CC0D6D" w:rsidRPr="00C81476">
        <w:rPr>
          <w:i/>
          <w:szCs w:val="20"/>
        </w:rPr>
        <w:t>s. Perú</w:t>
      </w:r>
      <w:r w:rsidR="004E59DF" w:rsidRPr="00C81476">
        <w:rPr>
          <w:szCs w:val="20"/>
        </w:rPr>
        <w:t xml:space="preserve">, donde expuso, </w:t>
      </w:r>
      <w:r w:rsidR="004E59DF" w:rsidRPr="00C81476">
        <w:rPr>
          <w:i/>
          <w:szCs w:val="20"/>
        </w:rPr>
        <w:t xml:space="preserve">inter alia, </w:t>
      </w:r>
      <w:r w:rsidR="00CC0D6D" w:rsidRPr="00C81476">
        <w:rPr>
          <w:szCs w:val="20"/>
        </w:rPr>
        <w:t>sobre el contenido del principio de presunción de inocencia en relación con el deber de motivación de las decisiones judiciales, a la luz de los estándares internacionales</w:t>
      </w:r>
      <w:r w:rsidR="004E59DF" w:rsidRPr="00C81476">
        <w:rPr>
          <w:szCs w:val="20"/>
        </w:rPr>
        <w:t>, el derecho a ser oído por un tribunal imparcial y su relación con el principio de inocencia y el derecho a contar con un recurso efectivo para la revisión integral de una sentencia de condena en términos de derecho comparado</w:t>
      </w:r>
      <w:r w:rsidR="006033C3" w:rsidRPr="00C81476">
        <w:rPr>
          <w:szCs w:val="20"/>
        </w:rPr>
        <w:t>. Asimismo</w:t>
      </w:r>
      <w:r w:rsidR="004E59DF" w:rsidRPr="00C81476">
        <w:rPr>
          <w:szCs w:val="20"/>
        </w:rPr>
        <w:t xml:space="preserve">, fungió como perito en el caso </w:t>
      </w:r>
      <w:r w:rsidR="00B14994">
        <w:rPr>
          <w:i/>
          <w:szCs w:val="20"/>
        </w:rPr>
        <w:t>Poblete Vilches V</w:t>
      </w:r>
      <w:r w:rsidR="004E59DF" w:rsidRPr="00C81476">
        <w:rPr>
          <w:i/>
          <w:szCs w:val="20"/>
        </w:rPr>
        <w:t>s. Chile</w:t>
      </w:r>
      <w:r w:rsidR="004E59DF" w:rsidRPr="00C81476">
        <w:rPr>
          <w:szCs w:val="20"/>
        </w:rPr>
        <w:t xml:space="preserve">, por lo cual, la Corte no ha tenido dudas sobre sus conocimientos especializados en el ámbito del derecho internacional de los derechos humanos. Sumado a esto, su actividad docente en materias como “Garantías constitucionales en el proceso penal”, “Fundamentos constitucionales del Derecho Penal” y “Sistema interamericano de derechos humanos” está dirigida al estudio del impacto de la jurisprudencia del sistema interamericano y el derecho comparado con el derecho argentino. </w:t>
      </w:r>
      <w:r w:rsidR="00C77EB9" w:rsidRPr="00C81476">
        <w:rPr>
          <w:szCs w:val="20"/>
        </w:rPr>
        <w:t>P</w:t>
      </w:r>
      <w:r w:rsidR="004E59DF" w:rsidRPr="00C81476">
        <w:rPr>
          <w:szCs w:val="20"/>
        </w:rPr>
        <w:t xml:space="preserve">or último, </w:t>
      </w:r>
      <w:r w:rsidR="006033C3" w:rsidRPr="00C81476">
        <w:rPr>
          <w:szCs w:val="20"/>
        </w:rPr>
        <w:t xml:space="preserve">señaló </w:t>
      </w:r>
      <w:r w:rsidR="004E59DF" w:rsidRPr="00C81476">
        <w:rPr>
          <w:szCs w:val="20"/>
        </w:rPr>
        <w:t xml:space="preserve">que </w:t>
      </w:r>
      <w:r w:rsidR="003919A8" w:rsidRPr="00C81476">
        <w:rPr>
          <w:szCs w:val="20"/>
        </w:rPr>
        <w:t xml:space="preserve">en </w:t>
      </w:r>
      <w:r w:rsidR="004A0556" w:rsidRPr="00C81476">
        <w:rPr>
          <w:szCs w:val="20"/>
        </w:rPr>
        <w:t xml:space="preserve">varias </w:t>
      </w:r>
      <w:r w:rsidR="004E59DF" w:rsidRPr="00C81476">
        <w:rPr>
          <w:szCs w:val="20"/>
        </w:rPr>
        <w:t xml:space="preserve">de sus publicaciones, </w:t>
      </w:r>
      <w:r w:rsidR="003919A8" w:rsidRPr="00C81476">
        <w:rPr>
          <w:szCs w:val="20"/>
        </w:rPr>
        <w:t xml:space="preserve">se exponen los principios del derecho internacional y comparado en la aplicación al derecho interno. </w:t>
      </w:r>
    </w:p>
    <w:p w:rsidR="002E5257" w:rsidRPr="00C81476" w:rsidRDefault="002E5257" w:rsidP="002E5257">
      <w:pPr>
        <w:pStyle w:val="NoSpacing"/>
        <w:numPr>
          <w:ilvl w:val="0"/>
          <w:numId w:val="0"/>
        </w:numPr>
      </w:pPr>
    </w:p>
    <w:p w:rsidR="00B43088" w:rsidRPr="00C81476" w:rsidRDefault="00D3475C" w:rsidP="004A0556">
      <w:pPr>
        <w:pStyle w:val="NoSpacing"/>
        <w:ind w:left="0" w:firstLine="0"/>
      </w:pPr>
      <w:r w:rsidRPr="00C81476">
        <w:rPr>
          <w:b/>
          <w:i/>
          <w:szCs w:val="20"/>
        </w:rPr>
        <w:t>Los representantes</w:t>
      </w:r>
      <w:r w:rsidRPr="00C81476">
        <w:t xml:space="preserve"> no remitieron</w:t>
      </w:r>
      <w:r w:rsidR="00AF2B2C" w:rsidRPr="00C81476">
        <w:t xml:space="preserve"> </w:t>
      </w:r>
      <w:r w:rsidR="00AF2B2C" w:rsidRPr="00C81476">
        <w:rPr>
          <w:szCs w:val="20"/>
        </w:rPr>
        <w:t>observaciones</w:t>
      </w:r>
      <w:r w:rsidR="009A2D5D" w:rsidRPr="00C81476">
        <w:t xml:space="preserve"> respecto de este punto</w:t>
      </w:r>
      <w:r w:rsidR="00AF2B2C" w:rsidRPr="00C81476">
        <w:t>.</w:t>
      </w:r>
      <w:r w:rsidR="00D51DFD" w:rsidRPr="00C81476">
        <w:t xml:space="preserve"> </w:t>
      </w:r>
    </w:p>
    <w:p w:rsidR="006D55F2" w:rsidRPr="00C81476" w:rsidRDefault="006D55F2" w:rsidP="006D55F2">
      <w:pPr>
        <w:pStyle w:val="NoSpacing"/>
        <w:numPr>
          <w:ilvl w:val="0"/>
          <w:numId w:val="0"/>
        </w:numPr>
        <w:rPr>
          <w:szCs w:val="20"/>
        </w:rPr>
      </w:pPr>
    </w:p>
    <w:p w:rsidR="006D55F2" w:rsidRPr="00C81476" w:rsidRDefault="006D55F2" w:rsidP="004A0556">
      <w:pPr>
        <w:pStyle w:val="NoSpacing"/>
        <w:ind w:left="0" w:firstLine="0"/>
      </w:pPr>
      <w:r w:rsidRPr="00C81476">
        <w:t xml:space="preserve">Al respecto, el Presidente estima que el objeto del peritaje ofrecido por la Comisión resulta relevante para el orden público interamericano, particularmente por referirse a las garantías </w:t>
      </w:r>
      <w:r w:rsidR="0041636D" w:rsidRPr="00C81476">
        <w:t>del debido proceso</w:t>
      </w:r>
      <w:r w:rsidR="004A0556" w:rsidRPr="00C81476">
        <w:t>,</w:t>
      </w:r>
      <w:r w:rsidR="0041636D" w:rsidRPr="00C81476">
        <w:t xml:space="preserve"> como son la presunción de inocencia y el</w:t>
      </w:r>
      <w:r w:rsidR="004A0556" w:rsidRPr="00C81476">
        <w:t xml:space="preserve"> principio de</w:t>
      </w:r>
      <w:r w:rsidR="0041636D" w:rsidRPr="00C81476">
        <w:t xml:space="preserve"> </w:t>
      </w:r>
      <w:r w:rsidR="0041636D" w:rsidRPr="00C81476">
        <w:rPr>
          <w:i/>
        </w:rPr>
        <w:t>non bis in</w:t>
      </w:r>
      <w:r w:rsidR="0041636D" w:rsidRPr="00C81476">
        <w:t xml:space="preserve"> </w:t>
      </w:r>
      <w:r w:rsidR="004A0556" w:rsidRPr="00C81476">
        <w:rPr>
          <w:i/>
        </w:rPr>
        <w:t>i</w:t>
      </w:r>
      <w:r w:rsidR="0041636D" w:rsidRPr="00C81476">
        <w:rPr>
          <w:i/>
        </w:rPr>
        <w:t>dem</w:t>
      </w:r>
      <w:r w:rsidR="004A0556" w:rsidRPr="00C81476">
        <w:rPr>
          <w:i/>
        </w:rPr>
        <w:t>,</w:t>
      </w:r>
      <w:r w:rsidR="0041636D" w:rsidRPr="00C81476">
        <w:t xml:space="preserve"> </w:t>
      </w:r>
      <w:r w:rsidR="004A0556" w:rsidRPr="00C81476">
        <w:t xml:space="preserve">dentro de </w:t>
      </w:r>
      <w:r w:rsidR="0041636D" w:rsidRPr="00C81476">
        <w:t xml:space="preserve">procesos </w:t>
      </w:r>
      <w:r w:rsidR="004A0556" w:rsidRPr="00C81476">
        <w:t xml:space="preserve">simultáneos o subsiguientes </w:t>
      </w:r>
      <w:r w:rsidR="0041636D" w:rsidRPr="00C81476">
        <w:t xml:space="preserve">de diversas naturalezas, como pueden ser </w:t>
      </w:r>
      <w:r w:rsidR="004A0556" w:rsidRPr="00C81476">
        <w:t>los</w:t>
      </w:r>
      <w:r w:rsidR="0041636D" w:rsidRPr="00C81476">
        <w:t xml:space="preserve"> administrativ</w:t>
      </w:r>
      <w:r w:rsidR="004A0556" w:rsidRPr="00C81476">
        <w:t>os</w:t>
      </w:r>
      <w:r w:rsidR="0041636D" w:rsidRPr="00C81476">
        <w:t>, penal</w:t>
      </w:r>
      <w:r w:rsidR="00CC4B77">
        <w:t>es</w:t>
      </w:r>
      <w:r w:rsidR="0041636D" w:rsidRPr="00C81476">
        <w:t xml:space="preserve"> y penal militar</w:t>
      </w:r>
      <w:r w:rsidR="00CC4B77">
        <w:t>es</w:t>
      </w:r>
      <w:r w:rsidR="004A0556" w:rsidRPr="00C81476">
        <w:t xml:space="preserve">, </w:t>
      </w:r>
      <w:r w:rsidR="0041636D" w:rsidRPr="00C81476">
        <w:t xml:space="preserve">especialmente cuando </w:t>
      </w:r>
      <w:r w:rsidR="004A0556" w:rsidRPr="00C81476">
        <w:t>existirían</w:t>
      </w:r>
      <w:r w:rsidR="0041636D" w:rsidRPr="00C81476">
        <w:t xml:space="preserve"> similitudes en su </w:t>
      </w:r>
      <w:r w:rsidR="004A0556" w:rsidRPr="00C81476">
        <w:t>base</w:t>
      </w:r>
      <w:r w:rsidR="0041636D" w:rsidRPr="00C81476">
        <w:t xml:space="preserve"> fáctica</w:t>
      </w:r>
      <w:r w:rsidR="004A0556" w:rsidRPr="00C81476">
        <w:t xml:space="preserve">. Al respecto, el </w:t>
      </w:r>
      <w:r w:rsidR="00A948BB">
        <w:t>Presidente</w:t>
      </w:r>
      <w:r w:rsidR="004A0556" w:rsidRPr="00C81476">
        <w:t xml:space="preserve"> destaca que no se ha pronunciado anteriormente en su juri</w:t>
      </w:r>
      <w:r w:rsidR="006E7B19" w:rsidRPr="00C81476">
        <w:t>sprudencia s</w:t>
      </w:r>
      <w:r w:rsidR="004A0556" w:rsidRPr="00C81476">
        <w:t>obre este punto específico.</w:t>
      </w:r>
      <w:r w:rsidRPr="00C81476">
        <w:t xml:space="preserve"> En este sentido, trasciende </w:t>
      </w:r>
      <w:r w:rsidR="00EE7A74">
        <w:t xml:space="preserve">a </w:t>
      </w:r>
      <w:r w:rsidRPr="00C81476">
        <w:t xml:space="preserve">los intereses específicos de las partes en el proceso y puede, eventualmente, tener </w:t>
      </w:r>
      <w:r w:rsidRPr="00C81476">
        <w:rPr>
          <w:szCs w:val="20"/>
        </w:rPr>
        <w:t>impacto</w:t>
      </w:r>
      <w:r w:rsidRPr="00C81476">
        <w:t xml:space="preserve"> sobre situaciones que se presentan en otros Estados Parte en la Convención. Adicionalmente, esta Presidencia observa que del </w:t>
      </w:r>
      <w:r w:rsidRPr="00C81476">
        <w:rPr>
          <w:i/>
        </w:rPr>
        <w:t>curriculum vitae</w:t>
      </w:r>
      <w:r w:rsidR="004A0556" w:rsidRPr="00C81476">
        <w:rPr>
          <w:i/>
        </w:rPr>
        <w:t xml:space="preserve"> </w:t>
      </w:r>
      <w:r w:rsidR="004A0556" w:rsidRPr="00C81476">
        <w:t>del señor Gullco</w:t>
      </w:r>
      <w:r w:rsidRPr="00C81476">
        <w:t xml:space="preserve"> se desprende que el </w:t>
      </w:r>
      <w:r w:rsidR="004A0556" w:rsidRPr="00C81476">
        <w:t>perito propuesto</w:t>
      </w:r>
      <w:r w:rsidRPr="00C81476">
        <w:t xml:space="preserve"> tiene suficiente experiencia en la materia objeto de su experticia</w:t>
      </w:r>
      <w:r w:rsidR="001F6C25" w:rsidRPr="00C81476">
        <w:rPr>
          <w:rStyle w:val="FootnoteReference"/>
        </w:rPr>
        <w:footnoteReference w:id="4"/>
      </w:r>
      <w:r w:rsidRPr="00C81476">
        <w:t xml:space="preserve">. En consecuencia, </w:t>
      </w:r>
      <w:r w:rsidRPr="00C81476">
        <w:lastRenderedPageBreak/>
        <w:t xml:space="preserve">el Presidente estima pertinente admitir el dictamen pericial de </w:t>
      </w:r>
      <w:r w:rsidR="0041636D" w:rsidRPr="00C81476">
        <w:t xml:space="preserve">Hernán </w:t>
      </w:r>
      <w:r w:rsidR="00C81476" w:rsidRPr="00C81476">
        <w:t>Víctor</w:t>
      </w:r>
      <w:r w:rsidR="0041636D" w:rsidRPr="00C81476">
        <w:t xml:space="preserve"> Gullco </w:t>
      </w:r>
      <w:r w:rsidRPr="00C81476">
        <w:t>ofrecido por la Comisión, según el objeto y modalidad determinados en la parte resolutiva de la presente decisión.</w:t>
      </w:r>
    </w:p>
    <w:p w:rsidR="00E32953" w:rsidRPr="00C81476" w:rsidRDefault="00E32953" w:rsidP="00E32953">
      <w:pPr>
        <w:pStyle w:val="NoSpacing"/>
        <w:numPr>
          <w:ilvl w:val="0"/>
          <w:numId w:val="0"/>
        </w:numPr>
      </w:pPr>
    </w:p>
    <w:p w:rsidR="000918EB" w:rsidRPr="00C81476" w:rsidRDefault="000918EB" w:rsidP="000918EB">
      <w:pPr>
        <w:pStyle w:val="NoSpacing"/>
        <w:numPr>
          <w:ilvl w:val="0"/>
          <w:numId w:val="21"/>
        </w:numPr>
        <w:rPr>
          <w:b/>
          <w:i/>
        </w:rPr>
      </w:pPr>
      <w:r w:rsidRPr="00C81476">
        <w:rPr>
          <w:b/>
          <w:i/>
        </w:rPr>
        <w:t>Admisibilidad de las declaraciones ofrecidas por los representantes</w:t>
      </w:r>
    </w:p>
    <w:p w:rsidR="00C16524" w:rsidRPr="00C81476" w:rsidRDefault="00C16524" w:rsidP="00C16524">
      <w:pPr>
        <w:pStyle w:val="NoSpacing"/>
        <w:numPr>
          <w:ilvl w:val="0"/>
          <w:numId w:val="0"/>
        </w:numPr>
      </w:pPr>
    </w:p>
    <w:p w:rsidR="009D135A" w:rsidRPr="00C81476" w:rsidRDefault="00A123C5" w:rsidP="00B956D8">
      <w:pPr>
        <w:pStyle w:val="NoSpacing"/>
        <w:ind w:left="0" w:firstLine="0"/>
        <w:rPr>
          <w:rFonts w:eastAsia="Times New Roman" w:cs="Verdana"/>
          <w:lang w:val="es-CL"/>
        </w:rPr>
      </w:pPr>
      <w:r w:rsidRPr="00C81476">
        <w:t>En su</w:t>
      </w:r>
      <w:r w:rsidRPr="00C81476">
        <w:rPr>
          <w:szCs w:val="20"/>
        </w:rPr>
        <w:t xml:space="preserve"> escrito de solicitudes y argumentos</w:t>
      </w:r>
      <w:r w:rsidRPr="00C81476">
        <w:t xml:space="preserve">, </w:t>
      </w:r>
      <w:r w:rsidRPr="00C81476">
        <w:rPr>
          <w:szCs w:val="20"/>
        </w:rPr>
        <w:t>los</w:t>
      </w:r>
      <w:r w:rsidRPr="00C81476">
        <w:rPr>
          <w:b/>
          <w:i/>
          <w:szCs w:val="20"/>
        </w:rPr>
        <w:t xml:space="preserve"> representantes</w:t>
      </w:r>
      <w:r w:rsidRPr="00C81476">
        <w:rPr>
          <w:i/>
        </w:rPr>
        <w:t xml:space="preserve"> </w:t>
      </w:r>
      <w:r w:rsidR="00B956D8" w:rsidRPr="00C81476">
        <w:t xml:space="preserve">únicamente </w:t>
      </w:r>
      <w:r w:rsidRPr="00C81476">
        <w:t xml:space="preserve">ofrecieron la declaración de la presunta víctima, el señor Jorge Enrique Rosadio Villavicencio, con el objeto de que declare “sobre su vida </w:t>
      </w:r>
      <w:r w:rsidRPr="00C81476">
        <w:rPr>
          <w:szCs w:val="20"/>
        </w:rPr>
        <w:t>antes</w:t>
      </w:r>
      <w:r w:rsidRPr="00C81476">
        <w:t xml:space="preserve"> de ingresar a la carrera servicio militar, las condiciones en que prest</w:t>
      </w:r>
      <w:r w:rsidR="00D825A0" w:rsidRPr="00C81476">
        <w:t>[</w:t>
      </w:r>
      <w:r w:rsidRPr="00C81476">
        <w:t>ó</w:t>
      </w:r>
      <w:r w:rsidR="00D825A0" w:rsidRPr="00C81476">
        <w:t>]</w:t>
      </w:r>
      <w:r w:rsidRPr="00C81476">
        <w:t xml:space="preserve"> servicio militar, los tratos crueles, inhumanos y degradantes que sufri</w:t>
      </w:r>
      <w:r w:rsidR="00D825A0" w:rsidRPr="00C81476">
        <w:t>[</w:t>
      </w:r>
      <w:r w:rsidRPr="00C81476">
        <w:t>ó</w:t>
      </w:r>
      <w:r w:rsidR="00D825A0" w:rsidRPr="00C81476">
        <w:t>]</w:t>
      </w:r>
      <w:r w:rsidRPr="00C81476">
        <w:t xml:space="preserve"> durante la prestaci</w:t>
      </w:r>
      <w:r w:rsidR="00D825A0" w:rsidRPr="00C81476">
        <w:t>[</w:t>
      </w:r>
      <w:r w:rsidRPr="00C81476">
        <w:t>ó</w:t>
      </w:r>
      <w:r w:rsidR="00D825A0" w:rsidRPr="00C81476">
        <w:t>]</w:t>
      </w:r>
      <w:r w:rsidRPr="00C81476">
        <w:t xml:space="preserve">n del servicio militar, las amenazas y agresiones por haber denunciado los hechos, las acciones realizadas para obtener justicia y las consecuencias de los hechos sobre su vida familiar y su proyecto de vida”. </w:t>
      </w:r>
      <w:r w:rsidR="009D135A" w:rsidRPr="00C81476">
        <w:rPr>
          <w:rFonts w:cs="Arial"/>
        </w:rPr>
        <w:t>En su</w:t>
      </w:r>
      <w:r w:rsidR="009D135A" w:rsidRPr="00C81476">
        <w:rPr>
          <w:szCs w:val="20"/>
        </w:rPr>
        <w:t xml:space="preserve"> lista definitiva de declarantes</w:t>
      </w:r>
      <w:r w:rsidR="009D135A" w:rsidRPr="00C81476">
        <w:rPr>
          <w:rFonts w:cs="Arial"/>
        </w:rPr>
        <w:t>, los representantes ofrecieron las declaraciones de 13 testigos que no fueron presentados en el escrito de solicitudes y argumentos</w:t>
      </w:r>
      <w:r w:rsidR="002903CE" w:rsidRPr="00C81476">
        <w:rPr>
          <w:rFonts w:cs="Arial"/>
        </w:rPr>
        <w:t>.</w:t>
      </w:r>
    </w:p>
    <w:p w:rsidR="00A123C5" w:rsidRPr="00C81476" w:rsidRDefault="00A123C5" w:rsidP="00A123C5">
      <w:pPr>
        <w:pStyle w:val="NoSpacing"/>
        <w:numPr>
          <w:ilvl w:val="0"/>
          <w:numId w:val="0"/>
        </w:numPr>
        <w:ind w:left="360"/>
      </w:pPr>
    </w:p>
    <w:p w:rsidR="00F50888" w:rsidRPr="00C81476" w:rsidRDefault="00C16524" w:rsidP="00F50888">
      <w:pPr>
        <w:pStyle w:val="NoSpacing"/>
        <w:ind w:left="0" w:firstLine="0"/>
      </w:pPr>
      <w:r w:rsidRPr="00C81476">
        <w:t xml:space="preserve">El </w:t>
      </w:r>
      <w:r w:rsidRPr="00C81476">
        <w:rPr>
          <w:b/>
          <w:i/>
          <w:lang w:val="es-ES"/>
        </w:rPr>
        <w:t>Estado</w:t>
      </w:r>
      <w:r w:rsidRPr="00C81476">
        <w:t xml:space="preserve"> </w:t>
      </w:r>
      <w:r w:rsidR="008F2ADB" w:rsidRPr="00C81476">
        <w:t xml:space="preserve">sostuvo que, al no haberse confirmado la declaración de </w:t>
      </w:r>
      <w:r w:rsidR="00026598" w:rsidRPr="00C81476">
        <w:t xml:space="preserve">la presunta víctima, Jorge Enrique Rosadio Villavicencio, </w:t>
      </w:r>
      <w:r w:rsidR="0063722C" w:rsidRPr="00C81476">
        <w:t xml:space="preserve">se </w:t>
      </w:r>
      <w:r w:rsidR="0063722C" w:rsidRPr="00C81476">
        <w:rPr>
          <w:szCs w:val="20"/>
        </w:rPr>
        <w:t>entiende</w:t>
      </w:r>
      <w:r w:rsidR="0063722C" w:rsidRPr="00C81476">
        <w:t xml:space="preserve"> que </w:t>
      </w:r>
      <w:r w:rsidR="008F2ADB" w:rsidRPr="00C81476">
        <w:t>los representantes</w:t>
      </w:r>
      <w:r w:rsidR="0063722C" w:rsidRPr="00C81476">
        <w:t xml:space="preserve"> ha</w:t>
      </w:r>
      <w:r w:rsidR="008F2ADB" w:rsidRPr="00C81476">
        <w:t>n</w:t>
      </w:r>
      <w:r w:rsidR="0063722C" w:rsidRPr="00C81476">
        <w:t xml:space="preserve"> desistido de la misma y por ende solicitó a </w:t>
      </w:r>
      <w:r w:rsidR="008F2ADB" w:rsidRPr="00C81476">
        <w:t xml:space="preserve">la </w:t>
      </w:r>
      <w:r w:rsidR="0063722C" w:rsidRPr="00C81476">
        <w:t xml:space="preserve">Corte no admitir la referida declaración. </w:t>
      </w:r>
      <w:r w:rsidR="00B63386" w:rsidRPr="00C81476">
        <w:t xml:space="preserve"> </w:t>
      </w:r>
    </w:p>
    <w:p w:rsidR="00F50888" w:rsidRPr="00C81476" w:rsidRDefault="00F50888" w:rsidP="00F50888">
      <w:pPr>
        <w:pStyle w:val="NoSpacing"/>
        <w:numPr>
          <w:ilvl w:val="0"/>
          <w:numId w:val="0"/>
        </w:numPr>
      </w:pPr>
    </w:p>
    <w:p w:rsidR="009D135A" w:rsidRPr="00C81476" w:rsidRDefault="00317419" w:rsidP="00B63386">
      <w:pPr>
        <w:pStyle w:val="NoSpacing"/>
        <w:ind w:left="0" w:firstLine="0"/>
      </w:pPr>
      <w:r w:rsidRPr="00C81476">
        <w:t>Sin perjuicio de ello, e</w:t>
      </w:r>
      <w:r w:rsidR="00026598" w:rsidRPr="00C81476">
        <w:t xml:space="preserve">l </w:t>
      </w:r>
      <w:r w:rsidR="00026598" w:rsidRPr="00C81476">
        <w:rPr>
          <w:lang w:val="es-ES"/>
        </w:rPr>
        <w:t>Estado</w:t>
      </w:r>
      <w:r w:rsidR="00026598" w:rsidRPr="00C81476">
        <w:t xml:space="preserve"> </w:t>
      </w:r>
      <w:r w:rsidR="009A2D5D" w:rsidRPr="00C81476">
        <w:t>también resaltó</w:t>
      </w:r>
      <w:r w:rsidRPr="00C81476">
        <w:t xml:space="preserve"> que el objeto de la declaración del señor Rosadio Villavicencio incluye las</w:t>
      </w:r>
      <w:r w:rsidR="00080071" w:rsidRPr="00C81476">
        <w:t xml:space="preserve"> </w:t>
      </w:r>
      <w:r w:rsidR="0063722C" w:rsidRPr="00C81476">
        <w:t>“las condiciones en las que prest[ó] servicio militar, tratos crueles, inhumanos y degradantes que sufri[ó] durante la prestaci[ó]n del servicio militar, las amenazas y agresiones por haber denunciado los hechos”</w:t>
      </w:r>
      <w:r w:rsidR="00B63386" w:rsidRPr="00C81476">
        <w:t>,</w:t>
      </w:r>
      <w:r w:rsidR="00080071" w:rsidRPr="00C81476">
        <w:t xml:space="preserve"> y que tales aspectos no fueron considerados e </w:t>
      </w:r>
      <w:r w:rsidR="00080071" w:rsidRPr="00C81476">
        <w:rPr>
          <w:szCs w:val="20"/>
        </w:rPr>
        <w:t>incluidos</w:t>
      </w:r>
      <w:r w:rsidR="00080071" w:rsidRPr="00C81476">
        <w:t xml:space="preserve"> por la Comisión en su </w:t>
      </w:r>
      <w:r w:rsidRPr="00C81476">
        <w:t>I</w:t>
      </w:r>
      <w:r w:rsidR="00080071" w:rsidRPr="00C81476">
        <w:t xml:space="preserve">nforme de </w:t>
      </w:r>
      <w:r w:rsidRPr="00C81476">
        <w:t>F</w:t>
      </w:r>
      <w:r w:rsidR="00080071" w:rsidRPr="00C81476">
        <w:t xml:space="preserve">ondo, ni en la parte relativa a hechos, mucho menos en la parte sobre análisis de fondo. Asimismo, </w:t>
      </w:r>
      <w:r w:rsidRPr="00C81476">
        <w:t xml:space="preserve">señaló </w:t>
      </w:r>
      <w:r w:rsidR="00080071" w:rsidRPr="00C81476">
        <w:t xml:space="preserve">que el derecho a la integridad personal no ha sido considerado como vulnerado en el </w:t>
      </w:r>
      <w:r w:rsidRPr="00C81476">
        <w:t>I</w:t>
      </w:r>
      <w:r w:rsidR="00080071" w:rsidRPr="00C81476">
        <w:t xml:space="preserve">nforme de </w:t>
      </w:r>
      <w:r w:rsidRPr="00C81476">
        <w:t>F</w:t>
      </w:r>
      <w:r w:rsidR="00080071" w:rsidRPr="00C81476">
        <w:t>ondo de la Comisión, ni tampoco se ha precisado o incluido sustento fáctico en la parte relativa a “hechos probados” del referido informe. Por lo cual, el Estado consideró que dichos temas propuestos no resultan adecuados, ni ajustados al marco fáctico del presente caso</w:t>
      </w:r>
      <w:r w:rsidRPr="00C81476">
        <w:t>.</w:t>
      </w:r>
      <w:r w:rsidR="00080071" w:rsidRPr="00C81476">
        <w:t xml:space="preserve"> </w:t>
      </w:r>
    </w:p>
    <w:p w:rsidR="009D135A" w:rsidRPr="00C81476" w:rsidRDefault="009D135A" w:rsidP="009D135A">
      <w:pPr>
        <w:pStyle w:val="NoSpacing"/>
        <w:numPr>
          <w:ilvl w:val="0"/>
          <w:numId w:val="0"/>
        </w:numPr>
        <w:rPr>
          <w:lang w:val="es-CL"/>
        </w:rPr>
      </w:pPr>
      <w:r w:rsidRPr="00C81476">
        <w:t xml:space="preserve"> </w:t>
      </w:r>
    </w:p>
    <w:p w:rsidR="009D135A" w:rsidRPr="00C81476" w:rsidRDefault="00C268B5" w:rsidP="00007CD7">
      <w:pPr>
        <w:pStyle w:val="NoSpacing"/>
        <w:ind w:left="0" w:firstLine="0"/>
      </w:pPr>
      <w:r w:rsidRPr="00C81476">
        <w:t>Por último</w:t>
      </w:r>
      <w:r w:rsidR="000918EB" w:rsidRPr="00C81476">
        <w:t xml:space="preserve">, </w:t>
      </w:r>
      <w:r w:rsidR="00B63386" w:rsidRPr="00C81476">
        <w:t>e</w:t>
      </w:r>
      <w:r w:rsidR="009D135A" w:rsidRPr="00C81476">
        <w:t xml:space="preserve">l </w:t>
      </w:r>
      <w:r w:rsidR="009D135A" w:rsidRPr="00C81476">
        <w:rPr>
          <w:lang w:val="es-ES"/>
        </w:rPr>
        <w:t>Estado</w:t>
      </w:r>
      <w:r w:rsidR="009D135A" w:rsidRPr="00C81476">
        <w:t xml:space="preserve"> objetó las </w:t>
      </w:r>
      <w:r w:rsidR="009D135A" w:rsidRPr="00C81476">
        <w:rPr>
          <w:szCs w:val="20"/>
        </w:rPr>
        <w:t>declaraciones</w:t>
      </w:r>
      <w:r w:rsidR="009D135A" w:rsidRPr="00C81476">
        <w:t xml:space="preserve"> de los 13 testigos propuestos</w:t>
      </w:r>
      <w:r w:rsidR="00B63386" w:rsidRPr="00C81476">
        <w:t xml:space="preserve"> en la lista definitiva</w:t>
      </w:r>
      <w:r w:rsidR="00A60B2C">
        <w:t xml:space="preserve"> de los representantes</w:t>
      </w:r>
      <w:r w:rsidRPr="00C81476">
        <w:t>, por no haber sido promovidas</w:t>
      </w:r>
      <w:r w:rsidR="009D135A" w:rsidRPr="00C81476">
        <w:t xml:space="preserve"> junto con el escrito de solicitudes y a</w:t>
      </w:r>
      <w:r w:rsidRPr="00C81476">
        <w:t>rgumentos</w:t>
      </w:r>
      <w:r w:rsidR="00B63386" w:rsidRPr="00C81476">
        <w:t>.</w:t>
      </w:r>
      <w:r w:rsidRPr="00C81476">
        <w:t xml:space="preserve"> </w:t>
      </w:r>
    </w:p>
    <w:p w:rsidR="00C16524" w:rsidRPr="00C81476" w:rsidRDefault="00C16524" w:rsidP="00C16524">
      <w:pPr>
        <w:pStyle w:val="NoSpacing"/>
        <w:numPr>
          <w:ilvl w:val="0"/>
          <w:numId w:val="0"/>
        </w:numPr>
      </w:pPr>
    </w:p>
    <w:p w:rsidR="00ED201F" w:rsidRPr="00C81476" w:rsidRDefault="00C16524" w:rsidP="00007CD7">
      <w:pPr>
        <w:pStyle w:val="NoSpacing"/>
        <w:ind w:left="0" w:firstLine="0"/>
      </w:pPr>
      <w:r w:rsidRPr="00C81476">
        <w:t xml:space="preserve">La </w:t>
      </w:r>
      <w:r w:rsidR="00746C14" w:rsidRPr="00C81476">
        <w:rPr>
          <w:b/>
          <w:i/>
          <w:lang w:val="es-ES"/>
        </w:rPr>
        <w:t>Comisión</w:t>
      </w:r>
      <w:r w:rsidRPr="00C81476">
        <w:rPr>
          <w:b/>
          <w:lang w:val="es-ES"/>
        </w:rPr>
        <w:t xml:space="preserve"> </w:t>
      </w:r>
      <w:r w:rsidRPr="00C81476">
        <w:t xml:space="preserve">no remitió </w:t>
      </w:r>
      <w:r w:rsidRPr="00C81476">
        <w:rPr>
          <w:szCs w:val="20"/>
        </w:rPr>
        <w:t>observaciones</w:t>
      </w:r>
      <w:r w:rsidR="009D135A" w:rsidRPr="00C81476">
        <w:t xml:space="preserve"> sobre este punto</w:t>
      </w:r>
      <w:r w:rsidRPr="00C81476">
        <w:t>.</w:t>
      </w:r>
      <w:r w:rsidR="009D135A" w:rsidRPr="00C81476">
        <w:t xml:space="preserve"> </w:t>
      </w:r>
    </w:p>
    <w:p w:rsidR="00C16524" w:rsidRPr="00C81476" w:rsidRDefault="00C16524" w:rsidP="00C16524">
      <w:pPr>
        <w:pStyle w:val="NoSpacing"/>
        <w:numPr>
          <w:ilvl w:val="0"/>
          <w:numId w:val="0"/>
        </w:numPr>
        <w:rPr>
          <w:szCs w:val="20"/>
        </w:rPr>
      </w:pPr>
    </w:p>
    <w:p w:rsidR="00B72620" w:rsidRPr="00C81476" w:rsidRDefault="00D014CA" w:rsidP="00D014CA">
      <w:pPr>
        <w:pStyle w:val="NoSpacing"/>
        <w:ind w:left="0" w:firstLine="0"/>
      </w:pPr>
      <w:r w:rsidRPr="00C81476">
        <w:t>Al respecto</w:t>
      </w:r>
      <w:r w:rsidR="006177B9" w:rsidRPr="00C81476">
        <w:t xml:space="preserve">, esta Presidencia </w:t>
      </w:r>
      <w:r w:rsidR="001D00B5" w:rsidRPr="00C81476">
        <w:t xml:space="preserve">reitera </w:t>
      </w:r>
      <w:r w:rsidR="00AD6BCD" w:rsidRPr="00C81476">
        <w:t xml:space="preserve">que </w:t>
      </w:r>
      <w:r w:rsidR="00C0727D" w:rsidRPr="00C81476">
        <w:t>“a la luz del artículo 46 del Reglamento, la lista definitiva de declarantes es tan solo una oportunidad para confirmar o desistir de la prueba oportunamente ofrecida”</w:t>
      </w:r>
      <w:r w:rsidR="00C0727D" w:rsidRPr="00C81476">
        <w:rPr>
          <w:rStyle w:val="FootnoteReference"/>
        </w:rPr>
        <w:footnoteReference w:id="5"/>
      </w:r>
      <w:r w:rsidR="00C0727D" w:rsidRPr="00C81476">
        <w:t xml:space="preserve"> y que “conforme al artículo 40.2.c del Reglamento, la presentación del escrito de solicitudes y argumentos es el momento procesal oportuno para el ofrecimiento de declarantes por parte de los representantes de las presuntas víctimas. La remisión de las listas definitivas de declarantes no constituye una nueva etapa procesal para ofrecer pruebas, sino que constituye una oportunidad para confirmar o desistir de la prueba que haya sido oportunamente ofrecida”</w:t>
      </w:r>
      <w:r w:rsidR="00AD6BCD" w:rsidRPr="00C81476">
        <w:rPr>
          <w:rStyle w:val="FootnoteReference"/>
        </w:rPr>
        <w:footnoteReference w:id="6"/>
      </w:r>
      <w:r w:rsidRPr="00C81476">
        <w:t>.</w:t>
      </w:r>
      <w:r w:rsidR="00AD6BCD" w:rsidRPr="00C81476">
        <w:t xml:space="preserve"> </w:t>
      </w:r>
    </w:p>
    <w:p w:rsidR="00B72620" w:rsidRPr="00C81476" w:rsidRDefault="00B72620" w:rsidP="00B72620">
      <w:pPr>
        <w:pStyle w:val="NoSpacing"/>
        <w:numPr>
          <w:ilvl w:val="0"/>
          <w:numId w:val="0"/>
        </w:numPr>
        <w:ind w:left="360"/>
      </w:pPr>
    </w:p>
    <w:p w:rsidR="00B72620" w:rsidRPr="00C81476" w:rsidRDefault="00B72620" w:rsidP="00007CD7">
      <w:pPr>
        <w:pStyle w:val="NoSpacing"/>
        <w:ind w:left="0" w:firstLine="0"/>
      </w:pPr>
      <w:r w:rsidRPr="00C81476">
        <w:lastRenderedPageBreak/>
        <w:t xml:space="preserve">A continuación, esta Presidencia analizará </w:t>
      </w:r>
      <w:r w:rsidR="00B8505C" w:rsidRPr="00C81476">
        <w:t>las objeciones y observaciones formuladas por el Estado a la declaración de la presunta víctima y a los testigos propuestos por los representantes</w:t>
      </w:r>
      <w:r w:rsidR="00450756" w:rsidRPr="00C81476">
        <w:t>.</w:t>
      </w:r>
    </w:p>
    <w:p w:rsidR="009D135A" w:rsidRPr="00C81476" w:rsidRDefault="009D135A" w:rsidP="009D135A">
      <w:pPr>
        <w:pStyle w:val="NoSpacing"/>
        <w:numPr>
          <w:ilvl w:val="0"/>
          <w:numId w:val="0"/>
        </w:numPr>
        <w:ind w:left="360"/>
      </w:pPr>
    </w:p>
    <w:p w:rsidR="001154CC" w:rsidRPr="00C81476" w:rsidRDefault="00B72620" w:rsidP="00B43088">
      <w:pPr>
        <w:pStyle w:val="NoSpacing"/>
        <w:numPr>
          <w:ilvl w:val="1"/>
          <w:numId w:val="21"/>
        </w:numPr>
        <w:tabs>
          <w:tab w:val="left" w:pos="990"/>
        </w:tabs>
        <w:rPr>
          <w:b/>
          <w:i/>
        </w:rPr>
      </w:pPr>
      <w:r w:rsidRPr="00C81476">
        <w:rPr>
          <w:b/>
          <w:i/>
        </w:rPr>
        <w:t>Objeciones y observaciones del Estado a la declaración de la presunta víctima</w:t>
      </w:r>
    </w:p>
    <w:p w:rsidR="009C0D8A" w:rsidRPr="00C81476" w:rsidRDefault="009C0D8A" w:rsidP="009C0D8A">
      <w:pPr>
        <w:pStyle w:val="NoSpacing"/>
        <w:numPr>
          <w:ilvl w:val="0"/>
          <w:numId w:val="0"/>
        </w:numPr>
        <w:ind w:left="360" w:hanging="360"/>
      </w:pPr>
    </w:p>
    <w:p w:rsidR="00B72620" w:rsidRPr="00C81476" w:rsidRDefault="00B72620" w:rsidP="00B72620">
      <w:pPr>
        <w:pStyle w:val="NoSpacing"/>
        <w:numPr>
          <w:ilvl w:val="2"/>
          <w:numId w:val="21"/>
        </w:numPr>
        <w:tabs>
          <w:tab w:val="left" w:pos="990"/>
        </w:tabs>
        <w:rPr>
          <w:b/>
          <w:i/>
        </w:rPr>
      </w:pPr>
      <w:r w:rsidRPr="00C81476">
        <w:rPr>
          <w:b/>
          <w:i/>
        </w:rPr>
        <w:t>Admisibilidad de la declaración de la presunta víctima</w:t>
      </w:r>
    </w:p>
    <w:p w:rsidR="00B72620" w:rsidRPr="00C81476" w:rsidRDefault="00B72620" w:rsidP="00B72620">
      <w:pPr>
        <w:pStyle w:val="NoSpacing"/>
        <w:numPr>
          <w:ilvl w:val="0"/>
          <w:numId w:val="0"/>
        </w:numPr>
        <w:ind w:left="360"/>
      </w:pPr>
    </w:p>
    <w:p w:rsidR="00A35E30" w:rsidRPr="00C81476" w:rsidRDefault="0047048A" w:rsidP="00007CD7">
      <w:pPr>
        <w:pStyle w:val="NoSpacing"/>
        <w:ind w:left="0" w:firstLine="0"/>
      </w:pPr>
      <w:r w:rsidRPr="00C81476">
        <w:t xml:space="preserve">En cuanto a la admisibilidad de la declaración de la presunta víctima, esta Presidencia considera, en primer lugar, que </w:t>
      </w:r>
      <w:r w:rsidR="002D6B07">
        <w:t>la misma</w:t>
      </w:r>
      <w:r w:rsidR="002D6B07" w:rsidRPr="00C81476">
        <w:t xml:space="preserve"> </w:t>
      </w:r>
      <w:r w:rsidRPr="00C81476">
        <w:t>fue ofrecida en el momento procesal oportuno, esto es, en el escrito de solicitudes y argumentos, y que no se ha visto afectado el derecho de de</w:t>
      </w:r>
      <w:r w:rsidR="000154E5">
        <w:t>fensa del Estado, toda vez que é</w:t>
      </w:r>
      <w:r w:rsidRPr="00C81476">
        <w:t>ste pudo formular las observaciones que estimó pertinentes al respecto en su contestación y escrito de observaciones a la lista definitiva de declarantes de los representantes (</w:t>
      </w:r>
      <w:r w:rsidRPr="00C81476">
        <w:rPr>
          <w:i/>
        </w:rPr>
        <w:t xml:space="preserve">supra </w:t>
      </w:r>
      <w:r w:rsidR="00D9458C">
        <w:t>Vistos 1 y 2, y Considerando</w:t>
      </w:r>
      <w:r w:rsidRPr="00C81476">
        <w:t xml:space="preserve"> </w:t>
      </w:r>
      <w:r w:rsidR="00E44A1C" w:rsidRPr="00C81476">
        <w:t>4</w:t>
      </w:r>
      <w:r w:rsidRPr="00C81476">
        <w:t>)</w:t>
      </w:r>
      <w:r w:rsidR="00B72620" w:rsidRPr="00C81476">
        <w:rPr>
          <w:rStyle w:val="FootnoteReference"/>
        </w:rPr>
        <w:footnoteReference w:id="7"/>
      </w:r>
      <w:r w:rsidRPr="00C81476">
        <w:t>.</w:t>
      </w:r>
      <w:r w:rsidR="00B72620" w:rsidRPr="00C81476">
        <w:t xml:space="preserve"> </w:t>
      </w:r>
    </w:p>
    <w:p w:rsidR="00A35E30" w:rsidRPr="00C81476" w:rsidRDefault="00A35E30" w:rsidP="00A35E30">
      <w:pPr>
        <w:pStyle w:val="NoSpacing"/>
        <w:numPr>
          <w:ilvl w:val="0"/>
          <w:numId w:val="0"/>
        </w:numPr>
        <w:ind w:left="360"/>
      </w:pPr>
    </w:p>
    <w:p w:rsidR="00DC2E2B" w:rsidRPr="00C81476" w:rsidRDefault="00B72620" w:rsidP="00450756">
      <w:pPr>
        <w:pStyle w:val="NoSpacing"/>
        <w:ind w:left="0" w:firstLine="0"/>
      </w:pPr>
      <w:r w:rsidRPr="00C81476">
        <w:t xml:space="preserve">Adicionalmente, </w:t>
      </w:r>
      <w:r w:rsidR="0047048A" w:rsidRPr="00C81476">
        <w:t xml:space="preserve">esta Presidencia estima </w:t>
      </w:r>
      <w:r w:rsidRPr="00C81476">
        <w:t>que en un tribunal internacional como es la Corte, cuyo fin es la protección de los derechos humanos, el procedimiento reviste particularidades propias que lo diferencian del procedimi</w:t>
      </w:r>
      <w:r w:rsidR="009A49E2">
        <w:t>ento en el derecho interno. Aqué</w:t>
      </w:r>
      <w:r w:rsidRPr="00C81476">
        <w:t>l es m</w:t>
      </w:r>
      <w:r w:rsidR="009A49E2">
        <w:t>enos formal y más flexible que é</w:t>
      </w:r>
      <w:r w:rsidRPr="00C81476">
        <w:t xml:space="preserve">ste, sin </w:t>
      </w:r>
      <w:r w:rsidRPr="00C81476">
        <w:rPr>
          <w:szCs w:val="20"/>
        </w:rPr>
        <w:t>que</w:t>
      </w:r>
      <w:r w:rsidRPr="00C81476">
        <w:t xml:space="preserve"> por ello deje de velar por la seguridad jurídica y por el equilibrio procesal de las partes. Por eso la Corte, en ejercicio de su función contenciosa, tiene amplias facultades para recibir la prueba que estime necesaria</w:t>
      </w:r>
      <w:r w:rsidRPr="00C81476">
        <w:rPr>
          <w:rStyle w:val="FootnoteReference"/>
        </w:rPr>
        <w:footnoteReference w:id="8"/>
      </w:r>
      <w:r w:rsidR="0047048A" w:rsidRPr="00C81476">
        <w:t>. Además, la</w:t>
      </w:r>
      <w:r w:rsidRPr="00C81476">
        <w:t xml:space="preserve"> Corte ha señalado reiteradamente que la</w:t>
      </w:r>
      <w:r w:rsidR="000B451D" w:rsidRPr="00C81476">
        <w:t>s</w:t>
      </w:r>
      <w:r w:rsidRPr="00C81476">
        <w:t xml:space="preserve"> declaraci</w:t>
      </w:r>
      <w:r w:rsidR="000B451D" w:rsidRPr="00C81476">
        <w:t>ones</w:t>
      </w:r>
      <w:r w:rsidRPr="00C81476">
        <w:t xml:space="preserve"> de las presuntas víctimas son útiles en la medida en que pueden proporcionar mayor información sobre las alegadas violaciones y sus consecuencias</w:t>
      </w:r>
      <w:r w:rsidRPr="00C81476">
        <w:rPr>
          <w:rStyle w:val="FootnoteReference"/>
        </w:rPr>
        <w:footnoteReference w:id="9"/>
      </w:r>
      <w:r w:rsidRPr="00C81476">
        <w:t xml:space="preserve">. </w:t>
      </w:r>
      <w:r w:rsidR="00A35E30" w:rsidRPr="00C81476">
        <w:t>E</w:t>
      </w:r>
      <w:r w:rsidR="0047048A" w:rsidRPr="00C81476">
        <w:t>n este sentido, e</w:t>
      </w:r>
      <w:r w:rsidR="00A35E30" w:rsidRPr="00C81476">
        <w:t xml:space="preserve">sta </w:t>
      </w:r>
      <w:r w:rsidR="00DC2E2B" w:rsidRPr="00C81476">
        <w:t>Presidencia considera pertinente admitir la</w:t>
      </w:r>
      <w:r w:rsidR="0047048A" w:rsidRPr="00C81476">
        <w:t xml:space="preserve"> declaración de la presunta víctima</w:t>
      </w:r>
      <w:r w:rsidR="00A35E30" w:rsidRPr="00C81476">
        <w:t xml:space="preserve"> </w:t>
      </w:r>
      <w:r w:rsidR="00DC2E2B" w:rsidRPr="00C81476">
        <w:t>en el presente caso.</w:t>
      </w:r>
      <w:r w:rsidR="00DC2E2B" w:rsidRPr="00C81476">
        <w:rPr>
          <w:b/>
        </w:rPr>
        <w:t xml:space="preserve"> </w:t>
      </w:r>
    </w:p>
    <w:p w:rsidR="00B72620" w:rsidRPr="00C81476" w:rsidRDefault="00B72620">
      <w:pPr>
        <w:pStyle w:val="NoSpacing"/>
        <w:numPr>
          <w:ilvl w:val="0"/>
          <w:numId w:val="0"/>
        </w:numPr>
      </w:pPr>
    </w:p>
    <w:p w:rsidR="00B72620" w:rsidRPr="00C81476" w:rsidRDefault="00B72620" w:rsidP="00B72620">
      <w:pPr>
        <w:pStyle w:val="NoSpacing"/>
        <w:numPr>
          <w:ilvl w:val="2"/>
          <w:numId w:val="21"/>
        </w:numPr>
        <w:tabs>
          <w:tab w:val="left" w:pos="990"/>
        </w:tabs>
        <w:rPr>
          <w:b/>
          <w:i/>
        </w:rPr>
      </w:pPr>
      <w:r w:rsidRPr="00C81476">
        <w:rPr>
          <w:b/>
          <w:i/>
        </w:rPr>
        <w:t>Objeto de la declaración de la presunta víctima</w:t>
      </w:r>
    </w:p>
    <w:p w:rsidR="00D859F6" w:rsidRPr="00C81476" w:rsidRDefault="00D859F6" w:rsidP="00D859F6">
      <w:pPr>
        <w:pStyle w:val="NoSpacing"/>
        <w:numPr>
          <w:ilvl w:val="0"/>
          <w:numId w:val="0"/>
        </w:numPr>
      </w:pPr>
    </w:p>
    <w:p w:rsidR="00524C7C" w:rsidRPr="00C81476" w:rsidRDefault="00450756" w:rsidP="00692024">
      <w:pPr>
        <w:pStyle w:val="NoSpacing"/>
        <w:ind w:left="0" w:firstLine="0"/>
        <w:rPr>
          <w:szCs w:val="20"/>
        </w:rPr>
      </w:pPr>
      <w:r w:rsidRPr="00C81476">
        <w:t>Por otra parte</w:t>
      </w:r>
      <w:r w:rsidR="00D859F6" w:rsidRPr="00C81476">
        <w:t xml:space="preserve">, </w:t>
      </w:r>
      <w:r w:rsidR="002E14A4" w:rsidRPr="00C81476">
        <w:t xml:space="preserve">en cuanto al objeto de la declaración de la presunta víctima, </w:t>
      </w:r>
      <w:r w:rsidR="00524C7C" w:rsidRPr="00C81476">
        <w:t xml:space="preserve">el Tribunal ha sostenido reiteradamente que 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w:t>
      </w:r>
      <w:r w:rsidR="00524C7C" w:rsidRPr="00C81476">
        <w:rPr>
          <w:szCs w:val="20"/>
        </w:rPr>
        <w:t>permitan</w:t>
      </w:r>
      <w:r w:rsidR="00524C7C" w:rsidRPr="00C81476">
        <w:t xml:space="preserve"> explicar, aclarar o desestimar los que hayan sido mencionados en el mismo y hayan sido sometidos a consideración de la Corte. La excepción a este principio son los hechos que se califican como supervinientes o cuando se tenga conocimiento de esos hechos o acceso a las pruebas sobre los mismos con posterioridad, siempre que se encuentren ligados a los hechos del proceso</w:t>
      </w:r>
      <w:r w:rsidR="00524C7C" w:rsidRPr="00C81476">
        <w:rPr>
          <w:rStyle w:val="FootnoteReference"/>
        </w:rPr>
        <w:footnoteReference w:id="10"/>
      </w:r>
      <w:r w:rsidR="00524C7C" w:rsidRPr="00C81476">
        <w:t>.</w:t>
      </w:r>
    </w:p>
    <w:p w:rsidR="00524C7C" w:rsidRPr="00C81476" w:rsidRDefault="00524C7C" w:rsidP="00EE7D1B">
      <w:pPr>
        <w:pStyle w:val="NoSpacing"/>
        <w:numPr>
          <w:ilvl w:val="0"/>
          <w:numId w:val="0"/>
        </w:numPr>
        <w:ind w:left="360"/>
        <w:rPr>
          <w:szCs w:val="20"/>
        </w:rPr>
      </w:pPr>
    </w:p>
    <w:p w:rsidR="001533E6" w:rsidRPr="00C81476" w:rsidRDefault="00524C7C" w:rsidP="001533E6">
      <w:pPr>
        <w:pStyle w:val="NoSpacing"/>
        <w:ind w:left="0" w:firstLine="0"/>
        <w:rPr>
          <w:szCs w:val="20"/>
        </w:rPr>
      </w:pPr>
      <w:r w:rsidRPr="00C81476">
        <w:t xml:space="preserve"> Asimismo, las presuntas víctimas y sus representantes pueden invocar la violación de otros derechos distintos a los comprendidos en el Informe de Fondo, siempre y cuando se atengan a los hechos contenidos en dicho documento</w:t>
      </w:r>
      <w:r w:rsidRPr="00C81476">
        <w:rPr>
          <w:rStyle w:val="FootnoteReference"/>
        </w:rPr>
        <w:footnoteReference w:id="11"/>
      </w:r>
      <w:r w:rsidRPr="00C81476">
        <w:t xml:space="preserve">. </w:t>
      </w:r>
    </w:p>
    <w:p w:rsidR="00450756" w:rsidRPr="00C81476" w:rsidRDefault="00450756" w:rsidP="00692024">
      <w:pPr>
        <w:pStyle w:val="NoSpacing"/>
        <w:numPr>
          <w:ilvl w:val="0"/>
          <w:numId w:val="0"/>
        </w:numPr>
        <w:rPr>
          <w:szCs w:val="20"/>
        </w:rPr>
      </w:pPr>
    </w:p>
    <w:p w:rsidR="00F50888" w:rsidRPr="00C81476" w:rsidRDefault="001533E6" w:rsidP="00F50888">
      <w:pPr>
        <w:pStyle w:val="NoSpacing"/>
        <w:ind w:left="0" w:firstLine="0"/>
        <w:rPr>
          <w:szCs w:val="20"/>
        </w:rPr>
      </w:pPr>
      <w:r w:rsidRPr="00C81476">
        <w:t>Esta</w:t>
      </w:r>
      <w:r w:rsidR="00450756" w:rsidRPr="00C81476">
        <w:t xml:space="preserve"> Presidencia</w:t>
      </w:r>
      <w:r w:rsidR="00F50888" w:rsidRPr="00C81476">
        <w:t xml:space="preserve"> observa que </w:t>
      </w:r>
      <w:r w:rsidRPr="00C81476">
        <w:t>parte del</w:t>
      </w:r>
      <w:r w:rsidR="00F50888" w:rsidRPr="00C81476">
        <w:t xml:space="preserve"> objeto de la declaración de la presunta víctima versa sobre “las condiciones en las que prest[ó] servicio militar, tratos crueles, inhumanos y degradantes que sufri[ó] durante la prestaci[ó]n del servicio militar, las amenazas y agresiones por haber denunciado los hechos”. </w:t>
      </w:r>
    </w:p>
    <w:p w:rsidR="00F50888" w:rsidRPr="00C81476" w:rsidRDefault="00F50888" w:rsidP="00F50888">
      <w:pPr>
        <w:pStyle w:val="NoSpacing"/>
        <w:numPr>
          <w:ilvl w:val="0"/>
          <w:numId w:val="0"/>
        </w:numPr>
        <w:rPr>
          <w:szCs w:val="20"/>
        </w:rPr>
      </w:pPr>
    </w:p>
    <w:p w:rsidR="00234D19" w:rsidRPr="00C81476" w:rsidRDefault="00F50888" w:rsidP="00234D19">
      <w:pPr>
        <w:pStyle w:val="NoSpacing"/>
        <w:ind w:left="0" w:firstLine="0"/>
        <w:rPr>
          <w:rFonts w:cs="Arial"/>
          <w:szCs w:val="20"/>
          <w:lang w:val="es-VE"/>
        </w:rPr>
      </w:pPr>
      <w:r w:rsidRPr="00C81476">
        <w:rPr>
          <w:szCs w:val="20"/>
        </w:rPr>
        <w:t>En primer lugar, respecto a “</w:t>
      </w:r>
      <w:r w:rsidRPr="00C81476">
        <w:t xml:space="preserve">las condiciones en las que prest[ó] servicio militar”, esta Presidencia observa </w:t>
      </w:r>
      <w:r w:rsidR="001650FB" w:rsidRPr="00C81476">
        <w:t xml:space="preserve">que </w:t>
      </w:r>
      <w:r w:rsidR="00785675" w:rsidRPr="00C81476">
        <w:t>el</w:t>
      </w:r>
      <w:r w:rsidRPr="00C81476">
        <w:t xml:space="preserve"> objeto</w:t>
      </w:r>
      <w:r w:rsidR="001650FB" w:rsidRPr="00C81476">
        <w:t xml:space="preserve"> propuesto</w:t>
      </w:r>
      <w:r w:rsidRPr="00C81476">
        <w:t xml:space="preserve"> </w:t>
      </w:r>
      <w:r w:rsidR="00785675" w:rsidRPr="00C81476">
        <w:t xml:space="preserve">es </w:t>
      </w:r>
      <w:r w:rsidRPr="00C81476">
        <w:t xml:space="preserve">sumamente amplio </w:t>
      </w:r>
      <w:r w:rsidR="00785675" w:rsidRPr="00C81476">
        <w:t xml:space="preserve">al </w:t>
      </w:r>
      <w:r w:rsidRPr="00C81476">
        <w:t xml:space="preserve">exceder </w:t>
      </w:r>
      <w:r w:rsidR="00785675" w:rsidRPr="00C81476">
        <w:t xml:space="preserve">el marco </w:t>
      </w:r>
      <w:r w:rsidR="001650FB" w:rsidRPr="00C81476">
        <w:t>temporal</w:t>
      </w:r>
      <w:r w:rsidR="00785675" w:rsidRPr="00C81476">
        <w:t xml:space="preserve"> </w:t>
      </w:r>
      <w:r w:rsidRPr="00C81476">
        <w:t xml:space="preserve">de los </w:t>
      </w:r>
      <w:r w:rsidRPr="00C81476">
        <w:rPr>
          <w:szCs w:val="20"/>
        </w:rPr>
        <w:t xml:space="preserve">hechos fijados en el Informe de Fondo de la Comisión, razón por la cual, </w:t>
      </w:r>
      <w:r w:rsidR="0062254F" w:rsidRPr="00C81476">
        <w:rPr>
          <w:szCs w:val="20"/>
        </w:rPr>
        <w:t>modificará</w:t>
      </w:r>
      <w:r w:rsidRPr="00C81476">
        <w:rPr>
          <w:szCs w:val="20"/>
        </w:rPr>
        <w:t xml:space="preserve"> </w:t>
      </w:r>
      <w:r w:rsidR="00234D19" w:rsidRPr="00C81476">
        <w:rPr>
          <w:szCs w:val="20"/>
        </w:rPr>
        <w:t>este aspecto d</w:t>
      </w:r>
      <w:r w:rsidRPr="00C81476">
        <w:rPr>
          <w:szCs w:val="20"/>
        </w:rPr>
        <w:t>el objeto de la declaración de la presunta víctima en la parte resolutiva de la presente decisión.</w:t>
      </w:r>
      <w:r w:rsidRPr="00C81476">
        <w:rPr>
          <w:rFonts w:cs="Arial"/>
          <w:szCs w:val="20"/>
          <w:lang w:val="es-VE"/>
        </w:rPr>
        <w:t xml:space="preserve"> </w:t>
      </w:r>
    </w:p>
    <w:p w:rsidR="001533E6" w:rsidRPr="00C81476" w:rsidRDefault="001533E6" w:rsidP="00785675">
      <w:pPr>
        <w:pStyle w:val="NoSpacing"/>
        <w:numPr>
          <w:ilvl w:val="0"/>
          <w:numId w:val="0"/>
        </w:numPr>
        <w:rPr>
          <w:szCs w:val="20"/>
        </w:rPr>
      </w:pPr>
    </w:p>
    <w:p w:rsidR="00234D19" w:rsidRPr="00C81476" w:rsidRDefault="00F50888" w:rsidP="00885A51">
      <w:pPr>
        <w:pStyle w:val="NoSpacing"/>
        <w:ind w:left="0" w:firstLine="0"/>
        <w:rPr>
          <w:szCs w:val="20"/>
        </w:rPr>
      </w:pPr>
      <w:r w:rsidRPr="00C81476">
        <w:rPr>
          <w:rFonts w:cs="Arial"/>
          <w:szCs w:val="20"/>
          <w:lang w:val="es-VE"/>
        </w:rPr>
        <w:t>En segundo lugar, respecto a los “</w:t>
      </w:r>
      <w:r w:rsidRPr="00C81476">
        <w:t xml:space="preserve">tratos crueles, inhumanos y degradantes que sufri[ó] durante la prestaci[ó]n del servicio militar”, esta Presidencia </w:t>
      </w:r>
      <w:r w:rsidR="00885A51" w:rsidRPr="00C81476">
        <w:rPr>
          <w:rStyle w:val="SubtleEmphasis"/>
          <w:i w:val="0"/>
          <w:color w:val="auto"/>
          <w:u w:val="none"/>
          <w:lang w:val="es-VE"/>
        </w:rPr>
        <w:t xml:space="preserve">recuerda que, cuando una persona es llamada a declarar como </w:t>
      </w:r>
      <w:r w:rsidR="00885A51" w:rsidRPr="00C81476">
        <w:rPr>
          <w:szCs w:val="20"/>
        </w:rPr>
        <w:t xml:space="preserve">testigo </w:t>
      </w:r>
      <w:r w:rsidR="00885A51" w:rsidRPr="00C81476">
        <w:rPr>
          <w:rStyle w:val="SubtleEmphasis"/>
          <w:i w:val="0"/>
          <w:color w:val="auto"/>
          <w:u w:val="none"/>
          <w:lang w:val="es-VE"/>
        </w:rPr>
        <w:t>a la Corte, puede referirse a los hechos y circunstancias que le consten en relación con el objeto de su declaración y debe limitarse a contestar clara y precisamente las preguntas que se le formulan, evitando dar opiniones personales</w:t>
      </w:r>
      <w:r w:rsidR="00885A51" w:rsidRPr="00C81476">
        <w:rPr>
          <w:rStyle w:val="FootnoteReference"/>
          <w:iCs/>
          <w:lang w:val="es-VE"/>
        </w:rPr>
        <w:footnoteReference w:id="12"/>
      </w:r>
      <w:r w:rsidR="00885A51" w:rsidRPr="00C81476">
        <w:rPr>
          <w:rStyle w:val="SubtleEmphasis"/>
          <w:i w:val="0"/>
          <w:color w:val="auto"/>
          <w:u w:val="none"/>
          <w:lang w:val="es-VE"/>
        </w:rPr>
        <w:t>.</w:t>
      </w:r>
      <w:r w:rsidR="00885A51" w:rsidRPr="00C81476">
        <w:rPr>
          <w:szCs w:val="20"/>
        </w:rPr>
        <w:t xml:space="preserve"> </w:t>
      </w:r>
      <w:r w:rsidR="00885A51" w:rsidRPr="00C81476">
        <w:t>E</w:t>
      </w:r>
      <w:r w:rsidR="0062254F" w:rsidRPr="00C81476">
        <w:t>n el presente caso, esta parte del objeto propuesto no llamaría a la presunta víctima a declarar</w:t>
      </w:r>
      <w:r w:rsidR="00234D19" w:rsidRPr="00C81476">
        <w:t xml:space="preserve"> sobre los hechos o circunstancias que le constan, sino que por el contrario, </w:t>
      </w:r>
      <w:r w:rsidR="0062254F" w:rsidRPr="00C81476">
        <w:t>pide que esta les atribuya</w:t>
      </w:r>
      <w:r w:rsidR="00234D19" w:rsidRPr="00C81476">
        <w:t xml:space="preserve"> una calificación jurídica, lo cual corresponde a la Corte en el momento de abordar el fondo del caso</w:t>
      </w:r>
      <w:r w:rsidR="0062254F" w:rsidRPr="00C81476">
        <w:t>. P</w:t>
      </w:r>
      <w:r w:rsidR="00234D19" w:rsidRPr="00C81476">
        <w:t xml:space="preserve">or consiguiente, </w:t>
      </w:r>
      <w:r w:rsidR="001650FB" w:rsidRPr="00C81476">
        <w:t xml:space="preserve">se </w:t>
      </w:r>
      <w:r w:rsidR="0062254F" w:rsidRPr="00C81476">
        <w:rPr>
          <w:szCs w:val="20"/>
        </w:rPr>
        <w:t>modificará</w:t>
      </w:r>
      <w:r w:rsidR="00234D19" w:rsidRPr="00C81476">
        <w:rPr>
          <w:szCs w:val="20"/>
        </w:rPr>
        <w:t xml:space="preserve"> este aspecto del objeto de la declaración de la presunta víctima en la parte resolutiva de la presente decisión.</w:t>
      </w:r>
    </w:p>
    <w:p w:rsidR="00234D19" w:rsidRPr="00C81476" w:rsidRDefault="00234D19" w:rsidP="00785675">
      <w:pPr>
        <w:pStyle w:val="NoSpacing"/>
        <w:numPr>
          <w:ilvl w:val="0"/>
          <w:numId w:val="0"/>
        </w:numPr>
        <w:rPr>
          <w:rFonts w:cs="Arial"/>
          <w:szCs w:val="20"/>
          <w:lang w:val="es-VE"/>
        </w:rPr>
      </w:pPr>
    </w:p>
    <w:p w:rsidR="00234D19" w:rsidRPr="00C81476" w:rsidRDefault="00234D19" w:rsidP="00785675">
      <w:pPr>
        <w:pStyle w:val="NoSpacing"/>
        <w:ind w:left="0" w:firstLine="0"/>
        <w:rPr>
          <w:rFonts w:cs="Arial"/>
          <w:szCs w:val="20"/>
          <w:lang w:val="es-VE"/>
        </w:rPr>
      </w:pPr>
      <w:r w:rsidRPr="00C81476">
        <w:rPr>
          <w:rFonts w:cs="Arial"/>
          <w:szCs w:val="20"/>
          <w:lang w:val="es-VE"/>
        </w:rPr>
        <w:t>Por último, respecto de “</w:t>
      </w:r>
      <w:r w:rsidRPr="00C81476">
        <w:t>las amenazas y agresiones por haber denunciado los hechos”, esta Presidencia observa que efectivamente tales hechos no fueron abordados en el Informe de Fondo presentado por la Comisión</w:t>
      </w:r>
      <w:r w:rsidR="0062254F" w:rsidRPr="00C81476">
        <w:t>. Tampoco se trataría de</w:t>
      </w:r>
      <w:r w:rsidR="001650FB" w:rsidRPr="00C81476">
        <w:t xml:space="preserve"> </w:t>
      </w:r>
      <w:r w:rsidRPr="00C81476">
        <w:t>hechos que buscan aclarar</w:t>
      </w:r>
      <w:r w:rsidR="004D5C4B" w:rsidRPr="00C81476">
        <w:t xml:space="preserve">, </w:t>
      </w:r>
      <w:r w:rsidRPr="00C81476">
        <w:t xml:space="preserve">explicar </w:t>
      </w:r>
      <w:r w:rsidR="004D5C4B" w:rsidRPr="00C81476">
        <w:t xml:space="preserve">o contradecir </w:t>
      </w:r>
      <w:r w:rsidRPr="00C81476">
        <w:t>lo establecido</w:t>
      </w:r>
      <w:r w:rsidR="004D5C4B" w:rsidRPr="00C81476">
        <w:t xml:space="preserve"> en el Informe de Fondo</w:t>
      </w:r>
      <w:r w:rsidRPr="00C81476">
        <w:t>, ni tampoco se ha justificado si estos pudieran ser hechos supervinientes o sobre los cuales se haya tenido conocimiento o acceso a las pruebas sobre los mismos con posterioridad a la emisión del Informe de Fondo</w:t>
      </w:r>
      <w:r w:rsidR="004D5C4B" w:rsidRPr="00C81476">
        <w:t>. Por tanto,</w:t>
      </w:r>
      <w:r w:rsidRPr="00C81476">
        <w:t xml:space="preserve"> esta Presidencia </w:t>
      </w:r>
      <w:r w:rsidR="004D5C4B" w:rsidRPr="00C81476">
        <w:t>modificará</w:t>
      </w:r>
      <w:r w:rsidRPr="00C81476">
        <w:rPr>
          <w:szCs w:val="20"/>
        </w:rPr>
        <w:t xml:space="preserve"> este aspecto del objeto de la declaración de la presunta víctima en la parte resolutiva de la presente decisión.</w:t>
      </w:r>
    </w:p>
    <w:p w:rsidR="009D135A" w:rsidRPr="00C81476" w:rsidRDefault="009D135A" w:rsidP="009D135A">
      <w:pPr>
        <w:pStyle w:val="NoSpacing"/>
        <w:numPr>
          <w:ilvl w:val="0"/>
          <w:numId w:val="0"/>
        </w:numPr>
      </w:pPr>
    </w:p>
    <w:p w:rsidR="009D135A" w:rsidRPr="00C81476" w:rsidRDefault="009D135A" w:rsidP="00EE7D1B">
      <w:pPr>
        <w:pStyle w:val="NoSpacing"/>
        <w:numPr>
          <w:ilvl w:val="1"/>
          <w:numId w:val="21"/>
        </w:numPr>
        <w:tabs>
          <w:tab w:val="left" w:pos="990"/>
        </w:tabs>
        <w:rPr>
          <w:b/>
          <w:i/>
        </w:rPr>
      </w:pPr>
      <w:r w:rsidRPr="00C81476">
        <w:rPr>
          <w:b/>
          <w:i/>
        </w:rPr>
        <w:t>Admisibilidad de la declaración de los testigos ofrecidos por los representantes</w:t>
      </w:r>
    </w:p>
    <w:p w:rsidR="006874A3" w:rsidRPr="00C81476" w:rsidRDefault="006874A3" w:rsidP="006874A3">
      <w:pPr>
        <w:pStyle w:val="NoSpacing"/>
        <w:numPr>
          <w:ilvl w:val="0"/>
          <w:numId w:val="0"/>
        </w:numPr>
      </w:pPr>
    </w:p>
    <w:p w:rsidR="0035063C" w:rsidRPr="00C81476" w:rsidRDefault="006874A3" w:rsidP="0096069E">
      <w:pPr>
        <w:pStyle w:val="NoSpacing"/>
        <w:ind w:left="0" w:firstLine="0"/>
      </w:pPr>
      <w:r w:rsidRPr="00C81476">
        <w:t xml:space="preserve">En el presente caso, </w:t>
      </w:r>
      <w:r w:rsidR="0066768C" w:rsidRPr="00C81476">
        <w:rPr>
          <w:szCs w:val="20"/>
        </w:rPr>
        <w:t>los representantes</w:t>
      </w:r>
      <w:r w:rsidR="0066768C" w:rsidRPr="00C81476">
        <w:t xml:space="preserve"> no </w:t>
      </w:r>
      <w:r w:rsidR="005B3AC3" w:rsidRPr="00C81476">
        <w:t xml:space="preserve">ofrecieron las declaraciones de </w:t>
      </w:r>
      <w:r w:rsidRPr="00C81476">
        <w:t xml:space="preserve">los 13 testigos </w:t>
      </w:r>
      <w:r w:rsidR="00A06676" w:rsidRPr="00C81476">
        <w:rPr>
          <w:rStyle w:val="SubtleEmphasis"/>
          <w:i w:val="0"/>
          <w:color w:val="auto"/>
          <w:u w:val="none"/>
          <w:lang w:val="es-VE"/>
        </w:rPr>
        <w:t>propuestos</w:t>
      </w:r>
      <w:r w:rsidRPr="00C81476">
        <w:t xml:space="preserve"> junto </w:t>
      </w:r>
      <w:r w:rsidRPr="00C81476">
        <w:rPr>
          <w:szCs w:val="20"/>
        </w:rPr>
        <w:t>con</w:t>
      </w:r>
      <w:r w:rsidRPr="00C81476">
        <w:t xml:space="preserve"> su escrito de solicitu</w:t>
      </w:r>
      <w:r w:rsidR="0066768C" w:rsidRPr="00C81476">
        <w:t xml:space="preserve">des y argumentos. Tampoco </w:t>
      </w:r>
      <w:r w:rsidR="001650FB" w:rsidRPr="00C81476">
        <w:t>adujeron</w:t>
      </w:r>
      <w:r w:rsidRPr="00C81476">
        <w:t xml:space="preserve"> </w:t>
      </w:r>
      <w:r w:rsidR="00A06676" w:rsidRPr="00C81476">
        <w:t xml:space="preserve">razón alguna para su presentación extemporánea conforme lo </w:t>
      </w:r>
      <w:r w:rsidR="005B3AC3" w:rsidRPr="00C81476">
        <w:t xml:space="preserve">establece </w:t>
      </w:r>
      <w:r w:rsidR="00A06676" w:rsidRPr="00C81476">
        <w:t>el artículo 57 del Reglamento de la Corte</w:t>
      </w:r>
      <w:r w:rsidR="005B3AC3" w:rsidRPr="00C81476">
        <w:t>.</w:t>
      </w:r>
      <w:r w:rsidR="00A06676" w:rsidRPr="00C81476">
        <w:t xml:space="preserve"> </w:t>
      </w:r>
    </w:p>
    <w:p w:rsidR="0035063C" w:rsidRPr="00C81476" w:rsidRDefault="0035063C" w:rsidP="0035063C">
      <w:pPr>
        <w:pStyle w:val="NoSpacing"/>
        <w:numPr>
          <w:ilvl w:val="0"/>
          <w:numId w:val="0"/>
        </w:numPr>
      </w:pPr>
    </w:p>
    <w:p w:rsidR="00984607" w:rsidRPr="00C81476" w:rsidRDefault="00984607" w:rsidP="0096069E">
      <w:pPr>
        <w:pStyle w:val="NoSpacing"/>
        <w:ind w:left="0" w:firstLine="0"/>
      </w:pPr>
      <w:r w:rsidRPr="00C81476">
        <w:t xml:space="preserve">Por </w:t>
      </w:r>
      <w:r w:rsidRPr="00C81476">
        <w:rPr>
          <w:szCs w:val="20"/>
        </w:rPr>
        <w:t>consiguiente</w:t>
      </w:r>
      <w:r w:rsidRPr="00C81476">
        <w:t xml:space="preserve">, esta Presidencia estima que las declaraciones de los 13 testigos </w:t>
      </w:r>
      <w:r w:rsidR="0096069E" w:rsidRPr="00C81476">
        <w:t xml:space="preserve">propuestos en la lista definitiva de declarantes de los representantes </w:t>
      </w:r>
      <w:r w:rsidRPr="00C81476">
        <w:t xml:space="preserve">resultan extemporáneas, </w:t>
      </w:r>
      <w:r w:rsidR="00D06517" w:rsidRPr="00C81476">
        <w:t>por lo que no serán admitidas.</w:t>
      </w:r>
      <w:r w:rsidRPr="00C81476">
        <w:t xml:space="preserve"> </w:t>
      </w:r>
    </w:p>
    <w:p w:rsidR="00BD2B21" w:rsidRPr="00C81476" w:rsidRDefault="00BD2B21" w:rsidP="004862A3">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43315" w:rsidRPr="00C81476" w:rsidRDefault="00343315" w:rsidP="00EE7D1B">
      <w:pPr>
        <w:pStyle w:val="NoSpacing"/>
        <w:numPr>
          <w:ilvl w:val="0"/>
          <w:numId w:val="25"/>
        </w:numPr>
        <w:rPr>
          <w:b/>
          <w:i/>
        </w:rPr>
      </w:pPr>
      <w:r w:rsidRPr="00C81476">
        <w:rPr>
          <w:b/>
          <w:i/>
        </w:rPr>
        <w:t>Aplicación al Fondo de Asistencia Legal de Víctimas ante la Corte</w:t>
      </w:r>
    </w:p>
    <w:p w:rsidR="00343315" w:rsidRPr="00C81476" w:rsidRDefault="00343315" w:rsidP="00343315">
      <w:pPr>
        <w:pStyle w:val="NoSpacing"/>
        <w:numPr>
          <w:ilvl w:val="0"/>
          <w:numId w:val="0"/>
        </w:numPr>
        <w:rPr>
          <w:szCs w:val="20"/>
        </w:rPr>
      </w:pPr>
    </w:p>
    <w:p w:rsidR="00D06517" w:rsidRPr="00C81476" w:rsidRDefault="001F3CC4" w:rsidP="0035063C">
      <w:pPr>
        <w:pStyle w:val="NoSpacing"/>
        <w:ind w:left="0" w:firstLine="0"/>
      </w:pPr>
      <w:r w:rsidRPr="00C81476">
        <w:rPr>
          <w:lang w:val="es-ES"/>
        </w:rPr>
        <w:t xml:space="preserve"> </w:t>
      </w:r>
      <w:r w:rsidR="00D06517" w:rsidRPr="00C81476">
        <w:rPr>
          <w:lang w:val="es-ES"/>
        </w:rPr>
        <w:t xml:space="preserve">En la resolución adoptada por esta Presidencia el 17 de septiembre de 2018, se resolvió declarar procedente la solicitud interpuesta por la presunta víctima, a través de sus representantes, para acogerse al Fondo de Asistencia Legal de Víctimas de la Corte Interamericana de Derechos Humanos, de modo que se otorgaría el apoyo económico </w:t>
      </w:r>
      <w:r w:rsidR="00D06517" w:rsidRPr="00C81476">
        <w:rPr>
          <w:lang w:val="es-ES"/>
        </w:rPr>
        <w:lastRenderedPageBreak/>
        <w:t xml:space="preserve">necesario, con cargo al Fondo, </w:t>
      </w:r>
      <w:r w:rsidR="00D06517" w:rsidRPr="00C81476">
        <w:t>para solventar los gastos que ocasionaría la present</w:t>
      </w:r>
      <w:r w:rsidR="003365CD" w:rsidRPr="00C81476">
        <w:t xml:space="preserve">ación de la </w:t>
      </w:r>
      <w:r w:rsidR="00D06517" w:rsidRPr="00C81476">
        <w:t>declaración</w:t>
      </w:r>
      <w:r w:rsidR="003365CD" w:rsidRPr="00C81476">
        <w:t xml:space="preserve"> de la presunta víctima en una eventual audiencia pública o por affidávit</w:t>
      </w:r>
      <w:r w:rsidR="00D06517" w:rsidRPr="00C81476">
        <w:t>, así como la comparecencia de un representante legal en la eventual audiencia pública que se convo</w:t>
      </w:r>
      <w:r w:rsidR="00B54C35">
        <w:t>cara</w:t>
      </w:r>
      <w:r w:rsidR="00D06517" w:rsidRPr="00C81476">
        <w:t xml:space="preserve"> en el presente caso. </w:t>
      </w:r>
      <w:r w:rsidR="00D06517" w:rsidRPr="00C81476">
        <w:rPr>
          <w:lang w:val="es-ES"/>
        </w:rPr>
        <w:t>Al respecto, la Presidencia</w:t>
      </w:r>
      <w:r w:rsidR="00D06517" w:rsidRPr="00C81476">
        <w:t xml:space="preserve"> dispone que la asistencia económica estará asignada para cubrir los gastos de viaje y estadía necesarios para que la presunta víctima, el señor Jorge Enrique Rosadio Villavicencio</w:t>
      </w:r>
      <w:r w:rsidR="002B5339">
        <w:t>,</w:t>
      </w:r>
      <w:r w:rsidR="004D5C4B" w:rsidRPr="00C81476">
        <w:t xml:space="preserve"> y un representante</w:t>
      </w:r>
      <w:r w:rsidRPr="00C81476">
        <w:t xml:space="preserve">, </w:t>
      </w:r>
      <w:r w:rsidR="00D06517" w:rsidRPr="00C81476">
        <w:t>comparezca</w:t>
      </w:r>
      <w:r w:rsidR="004D5C4B" w:rsidRPr="00C81476">
        <w:t>n</w:t>
      </w:r>
      <w:r w:rsidR="00963EDA" w:rsidRPr="00C81476">
        <w:t xml:space="preserve"> ante el Tribunal</w:t>
      </w:r>
      <w:r w:rsidR="00803AF5" w:rsidRPr="00C81476">
        <w:t xml:space="preserve"> </w:t>
      </w:r>
      <w:r w:rsidR="00D06517" w:rsidRPr="00C81476">
        <w:t>(</w:t>
      </w:r>
      <w:r w:rsidR="00D06517" w:rsidRPr="00C81476">
        <w:rPr>
          <w:i/>
        </w:rPr>
        <w:t>infra</w:t>
      </w:r>
      <w:r w:rsidR="00D06517" w:rsidRPr="00C81476">
        <w:t xml:space="preserve"> punto resolutivo </w:t>
      </w:r>
      <w:r w:rsidR="00803AF5" w:rsidRPr="00C81476">
        <w:t>9</w:t>
      </w:r>
      <w:r w:rsidR="00D06517" w:rsidRPr="00C81476">
        <w:t>).</w:t>
      </w:r>
    </w:p>
    <w:p w:rsidR="00D06517" w:rsidRPr="00C81476" w:rsidRDefault="00D06517" w:rsidP="001F3CC4">
      <w:pPr>
        <w:pStyle w:val="NoSpacing"/>
        <w:numPr>
          <w:ilvl w:val="0"/>
          <w:numId w:val="0"/>
        </w:numPr>
        <w:ind w:left="360"/>
        <w:rPr>
          <w:szCs w:val="20"/>
        </w:rPr>
      </w:pPr>
    </w:p>
    <w:p w:rsidR="00343315" w:rsidRPr="00C81476" w:rsidRDefault="00343315" w:rsidP="0035063C">
      <w:pPr>
        <w:pStyle w:val="NoSpacing"/>
        <w:ind w:left="0" w:firstLine="0"/>
        <w:rPr>
          <w:szCs w:val="20"/>
        </w:rPr>
      </w:pPr>
      <w:r w:rsidRPr="00C81476">
        <w:rPr>
          <w:szCs w:val="20"/>
        </w:rPr>
        <w:t xml:space="preserve">La Corte realizará las gestiones pertinentes y necesarias para cubrir los costos de traslado, alojamiento y manutención de las personas comparecientes con recursos provenientes del Fondo de Asistencia. </w:t>
      </w:r>
    </w:p>
    <w:p w:rsidR="00343315" w:rsidRPr="00C81476" w:rsidRDefault="00343315" w:rsidP="00343315">
      <w:pPr>
        <w:pStyle w:val="NoSpacing"/>
        <w:numPr>
          <w:ilvl w:val="0"/>
          <w:numId w:val="0"/>
        </w:numPr>
        <w:rPr>
          <w:szCs w:val="20"/>
        </w:rPr>
      </w:pPr>
    </w:p>
    <w:p w:rsidR="00343315" w:rsidRPr="00C81476" w:rsidRDefault="00343315" w:rsidP="0035063C">
      <w:pPr>
        <w:pStyle w:val="NoSpacing"/>
        <w:ind w:left="0" w:firstLine="0"/>
        <w:rPr>
          <w:szCs w:val="20"/>
        </w:rPr>
      </w:pPr>
      <w:r w:rsidRPr="00C81476">
        <w:rPr>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rsidR="00343315" w:rsidRPr="00C81476" w:rsidRDefault="00343315" w:rsidP="00343315">
      <w:pPr>
        <w:pStyle w:val="NoSpacing"/>
        <w:numPr>
          <w:ilvl w:val="0"/>
          <w:numId w:val="0"/>
        </w:numPr>
        <w:rPr>
          <w:szCs w:val="20"/>
        </w:rPr>
      </w:pPr>
    </w:p>
    <w:p w:rsidR="00343315" w:rsidRPr="00C81476" w:rsidRDefault="00343315" w:rsidP="0035063C">
      <w:pPr>
        <w:pStyle w:val="NoSpacing"/>
        <w:ind w:left="0" w:firstLine="0"/>
        <w:rPr>
          <w:szCs w:val="20"/>
        </w:rPr>
      </w:pPr>
      <w:r w:rsidRPr="00C81476">
        <w:rPr>
          <w:szCs w:val="20"/>
        </w:rPr>
        <w:t xml:space="preserve">Finalmente, </w:t>
      </w:r>
      <w:r w:rsidRPr="00C81476">
        <w:rPr>
          <w:szCs w:val="20"/>
          <w:lang w:val="es-ES"/>
        </w:rPr>
        <w:t>la Presidencia</w:t>
      </w:r>
      <w:r w:rsidRPr="00C81476">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rsidR="00343315" w:rsidRPr="00C81476" w:rsidRDefault="00343315" w:rsidP="004862A3">
      <w:pPr>
        <w:tabs>
          <w:tab w:val="left" w:pos="567"/>
        </w:tabs>
        <w:spacing w:after="0" w:line="240" w:lineRule="auto"/>
        <w:jc w:val="both"/>
        <w:rPr>
          <w:rFonts w:ascii="Verdana" w:eastAsia="Calibri" w:hAnsi="Verdana" w:cs="Verdana"/>
          <w:b/>
          <w:bCs/>
          <w:sz w:val="20"/>
          <w:szCs w:val="20"/>
        </w:rPr>
      </w:pPr>
    </w:p>
    <w:p w:rsidR="00802BD5" w:rsidRPr="00C81476" w:rsidRDefault="00802BD5" w:rsidP="004862A3">
      <w:pPr>
        <w:tabs>
          <w:tab w:val="left" w:pos="567"/>
        </w:tabs>
        <w:spacing w:after="0" w:line="240" w:lineRule="auto"/>
        <w:jc w:val="both"/>
        <w:rPr>
          <w:rFonts w:ascii="Verdana" w:eastAsia="Calibri" w:hAnsi="Verdana" w:cs="Verdana"/>
          <w:b/>
          <w:bCs/>
          <w:sz w:val="20"/>
          <w:szCs w:val="20"/>
        </w:rPr>
      </w:pPr>
      <w:r w:rsidRPr="00C81476">
        <w:rPr>
          <w:rFonts w:ascii="Verdana" w:eastAsia="Calibri" w:hAnsi="Verdana" w:cs="Verdana"/>
          <w:b/>
          <w:bCs/>
          <w:sz w:val="20"/>
          <w:szCs w:val="20"/>
        </w:rPr>
        <w:t>POR TANTO:</w:t>
      </w:r>
    </w:p>
    <w:p w:rsidR="00802BD5" w:rsidRPr="00C81476" w:rsidRDefault="00802BD5" w:rsidP="004862A3">
      <w:pPr>
        <w:tabs>
          <w:tab w:val="left" w:pos="567"/>
        </w:tabs>
        <w:spacing w:after="0" w:line="240" w:lineRule="auto"/>
        <w:jc w:val="both"/>
        <w:rPr>
          <w:rFonts w:ascii="Verdana" w:eastAsia="Calibri" w:hAnsi="Verdana" w:cs="Verdana"/>
          <w:b/>
          <w:bCs/>
          <w:sz w:val="20"/>
          <w:szCs w:val="20"/>
        </w:rPr>
      </w:pPr>
    </w:p>
    <w:p w:rsidR="00802BD5" w:rsidRPr="00C81476" w:rsidRDefault="00802BD5" w:rsidP="004862A3">
      <w:pPr>
        <w:tabs>
          <w:tab w:val="left" w:pos="567"/>
        </w:tabs>
        <w:spacing w:after="0" w:line="240" w:lineRule="auto"/>
        <w:jc w:val="both"/>
        <w:rPr>
          <w:rFonts w:ascii="Verdana" w:eastAsia="Calibri" w:hAnsi="Verdana" w:cs="Verdana"/>
          <w:b/>
          <w:bCs/>
          <w:sz w:val="20"/>
          <w:szCs w:val="20"/>
        </w:rPr>
      </w:pPr>
      <w:r w:rsidRPr="00C81476">
        <w:rPr>
          <w:rFonts w:ascii="Verdana" w:eastAsia="Calibri" w:hAnsi="Verdana" w:cs="Verdana"/>
          <w:b/>
          <w:bCs/>
          <w:sz w:val="20"/>
          <w:szCs w:val="20"/>
        </w:rPr>
        <w:t xml:space="preserve">EL PRESIDENTE DE LA CORTE INTERAMERICANA DE DERECHOS HUMANOS, </w:t>
      </w:r>
    </w:p>
    <w:p w:rsidR="00802BD5" w:rsidRPr="00C81476" w:rsidRDefault="00802BD5" w:rsidP="004862A3">
      <w:pPr>
        <w:tabs>
          <w:tab w:val="left" w:pos="567"/>
        </w:tabs>
        <w:spacing w:after="0" w:line="240" w:lineRule="auto"/>
        <w:jc w:val="both"/>
        <w:rPr>
          <w:rFonts w:ascii="Verdana" w:eastAsia="Calibri" w:hAnsi="Verdana" w:cs="Verdana"/>
          <w:b/>
          <w:bCs/>
          <w:sz w:val="20"/>
          <w:szCs w:val="20"/>
        </w:rPr>
      </w:pPr>
    </w:p>
    <w:p w:rsidR="00802BD5" w:rsidRPr="00C81476" w:rsidRDefault="00802BD5" w:rsidP="004862A3">
      <w:pPr>
        <w:tabs>
          <w:tab w:val="left" w:pos="567"/>
        </w:tabs>
        <w:spacing w:after="0" w:line="240" w:lineRule="auto"/>
        <w:jc w:val="both"/>
        <w:rPr>
          <w:rFonts w:ascii="Verdana" w:eastAsia="Calibri" w:hAnsi="Verdana" w:cs="Verdana"/>
          <w:sz w:val="20"/>
          <w:szCs w:val="20"/>
        </w:rPr>
      </w:pPr>
      <w:r w:rsidRPr="00C81476">
        <w:rPr>
          <w:rFonts w:ascii="Verdana" w:eastAsia="Calibri" w:hAnsi="Verdana" w:cs="Verdana"/>
          <w:sz w:val="20"/>
          <w:szCs w:val="20"/>
        </w:rPr>
        <w:t xml:space="preserve">de conformidad con los artículos 24.1 y 25.2 del Estatuto de la Corte y con los artículos 4, 15.1, 26.1, 31.2, 35.1, 40.2, 41.1, </w:t>
      </w:r>
      <w:r w:rsidR="00E300F8" w:rsidRPr="00C81476">
        <w:rPr>
          <w:rFonts w:ascii="Verdana" w:eastAsia="Calibri" w:hAnsi="Verdana" w:cs="Verdana"/>
          <w:sz w:val="20"/>
          <w:szCs w:val="20"/>
        </w:rPr>
        <w:t>42, 45</w:t>
      </w:r>
      <w:r w:rsidRPr="00C81476">
        <w:rPr>
          <w:rFonts w:ascii="Verdana" w:eastAsia="Calibri" w:hAnsi="Verdana" w:cs="Verdana"/>
          <w:sz w:val="20"/>
          <w:szCs w:val="20"/>
        </w:rPr>
        <w:t xml:space="preserve">, </w:t>
      </w:r>
      <w:r w:rsidR="00E300F8" w:rsidRPr="00C81476">
        <w:rPr>
          <w:rFonts w:ascii="Verdana" w:eastAsia="Calibri" w:hAnsi="Verdana" w:cs="Verdana"/>
          <w:sz w:val="20"/>
          <w:szCs w:val="20"/>
        </w:rPr>
        <w:t xml:space="preserve">46, </w:t>
      </w:r>
      <w:r w:rsidR="00571704" w:rsidRPr="00C81476">
        <w:rPr>
          <w:rFonts w:ascii="Verdana" w:eastAsia="Calibri" w:hAnsi="Verdana" w:cs="Verdana"/>
          <w:sz w:val="20"/>
          <w:szCs w:val="20"/>
        </w:rPr>
        <w:t>50 a 56,</w:t>
      </w:r>
      <w:r w:rsidRPr="00C81476">
        <w:rPr>
          <w:rFonts w:ascii="Verdana" w:eastAsia="Calibri" w:hAnsi="Verdana" w:cs="Verdana"/>
          <w:sz w:val="20"/>
          <w:szCs w:val="20"/>
        </w:rPr>
        <w:t xml:space="preserve"> 60</w:t>
      </w:r>
      <w:r w:rsidR="00571704" w:rsidRPr="00C81476">
        <w:rPr>
          <w:rFonts w:ascii="Verdana" w:eastAsia="Calibri" w:hAnsi="Verdana" w:cs="Verdana"/>
          <w:sz w:val="20"/>
          <w:szCs w:val="20"/>
        </w:rPr>
        <w:t xml:space="preserve"> y 62</w:t>
      </w:r>
      <w:r w:rsidRPr="00C81476">
        <w:rPr>
          <w:rFonts w:ascii="Verdana" w:eastAsia="Calibri" w:hAnsi="Verdana" w:cs="Verdana"/>
          <w:sz w:val="20"/>
          <w:szCs w:val="20"/>
        </w:rPr>
        <w:t xml:space="preserve"> del Reglamento</w:t>
      </w:r>
      <w:r w:rsidR="00197C73" w:rsidRPr="00C81476">
        <w:rPr>
          <w:rFonts w:ascii="Verdana" w:eastAsia="Calibri" w:hAnsi="Verdana" w:cs="Verdana"/>
          <w:sz w:val="20"/>
          <w:szCs w:val="20"/>
        </w:rPr>
        <w:t xml:space="preserve"> de la Corte</w:t>
      </w:r>
      <w:r w:rsidRPr="00C81476">
        <w:rPr>
          <w:rFonts w:ascii="Verdana" w:eastAsia="Calibri" w:hAnsi="Verdana" w:cs="Verdana"/>
          <w:sz w:val="20"/>
          <w:szCs w:val="20"/>
        </w:rPr>
        <w:t xml:space="preserve">, </w:t>
      </w:r>
    </w:p>
    <w:p w:rsidR="00802BD5" w:rsidRPr="00C81476" w:rsidRDefault="00802BD5" w:rsidP="004862A3">
      <w:pPr>
        <w:tabs>
          <w:tab w:val="left" w:pos="567"/>
        </w:tabs>
        <w:spacing w:after="0" w:line="240" w:lineRule="auto"/>
        <w:jc w:val="both"/>
        <w:rPr>
          <w:rFonts w:ascii="Verdana" w:eastAsia="Calibri" w:hAnsi="Verdana" w:cs="Verdana"/>
          <w:sz w:val="20"/>
          <w:szCs w:val="20"/>
        </w:rPr>
      </w:pPr>
    </w:p>
    <w:p w:rsidR="00CF1C87" w:rsidRPr="00C81476" w:rsidRDefault="00802BD5" w:rsidP="004862A3">
      <w:pPr>
        <w:tabs>
          <w:tab w:val="left" w:pos="567"/>
        </w:tabs>
        <w:spacing w:after="0" w:line="240" w:lineRule="auto"/>
        <w:jc w:val="both"/>
        <w:rPr>
          <w:rFonts w:ascii="Verdana" w:eastAsia="Calibri" w:hAnsi="Verdana" w:cs="Verdana"/>
          <w:b/>
          <w:bCs/>
          <w:sz w:val="20"/>
          <w:szCs w:val="20"/>
        </w:rPr>
      </w:pPr>
      <w:r w:rsidRPr="00C81476">
        <w:rPr>
          <w:rFonts w:ascii="Verdana" w:eastAsia="Calibri" w:hAnsi="Verdana" w:cs="Verdana"/>
          <w:b/>
          <w:bCs/>
          <w:sz w:val="20"/>
          <w:szCs w:val="20"/>
        </w:rPr>
        <w:t>RESUELVE:</w:t>
      </w:r>
    </w:p>
    <w:p w:rsidR="00FA49F1" w:rsidRPr="00C81476" w:rsidRDefault="00FA49F1" w:rsidP="004862A3">
      <w:pPr>
        <w:tabs>
          <w:tab w:val="left" w:pos="567"/>
        </w:tabs>
        <w:spacing w:after="0" w:line="240" w:lineRule="auto"/>
        <w:jc w:val="both"/>
        <w:rPr>
          <w:rFonts w:ascii="Verdana" w:eastAsia="Calibri" w:hAnsi="Verdana" w:cs="Verdana"/>
          <w:b/>
          <w:bCs/>
          <w:sz w:val="20"/>
          <w:szCs w:val="20"/>
        </w:rPr>
      </w:pPr>
    </w:p>
    <w:p w:rsidR="00CF1C87" w:rsidRPr="00C81476" w:rsidRDefault="00E755C9" w:rsidP="00033738">
      <w:pPr>
        <w:pStyle w:val="NoSpacing"/>
        <w:numPr>
          <w:ilvl w:val="2"/>
          <w:numId w:val="1"/>
        </w:numPr>
        <w:tabs>
          <w:tab w:val="clear" w:pos="1070"/>
          <w:tab w:val="left" w:pos="0"/>
          <w:tab w:val="num" w:pos="567"/>
        </w:tabs>
        <w:ind w:left="0" w:firstLine="0"/>
        <w:rPr>
          <w:szCs w:val="20"/>
        </w:rPr>
      </w:pPr>
      <w:bookmarkStart w:id="0" w:name="_Ref445286350"/>
      <w:r w:rsidRPr="00C81476">
        <w:rPr>
          <w:rStyle w:val="SubtitleChar"/>
        </w:rPr>
        <w:t>Convocar al Estado de</w:t>
      </w:r>
      <w:r w:rsidR="002D2774" w:rsidRPr="00C81476">
        <w:rPr>
          <w:rStyle w:val="SubtitleChar"/>
        </w:rPr>
        <w:t>l</w:t>
      </w:r>
      <w:r w:rsidRPr="00C81476">
        <w:rPr>
          <w:rStyle w:val="SubtitleChar"/>
        </w:rPr>
        <w:t xml:space="preserve"> </w:t>
      </w:r>
      <w:r w:rsidR="00DC1C65" w:rsidRPr="00C81476">
        <w:rPr>
          <w:rStyle w:val="SubtitleChar"/>
        </w:rPr>
        <w:t>Perú</w:t>
      </w:r>
      <w:r w:rsidR="000C584C" w:rsidRPr="00C81476">
        <w:rPr>
          <w:rStyle w:val="SubtitleChar"/>
        </w:rPr>
        <w:t xml:space="preserve">, a </w:t>
      </w:r>
      <w:r w:rsidR="0066768C" w:rsidRPr="00C81476">
        <w:rPr>
          <w:szCs w:val="20"/>
        </w:rPr>
        <w:t>los representantes</w:t>
      </w:r>
      <w:r w:rsidR="0066768C" w:rsidRPr="00C81476">
        <w:rPr>
          <w:rStyle w:val="SubtitleChar"/>
        </w:rPr>
        <w:t xml:space="preserve"> </w:t>
      </w:r>
      <w:r w:rsidRPr="00C81476">
        <w:rPr>
          <w:rStyle w:val="SubtitleChar"/>
        </w:rPr>
        <w:t xml:space="preserve">y a la Comisión </w:t>
      </w:r>
      <w:r w:rsidR="0066768C" w:rsidRPr="00C81476">
        <w:rPr>
          <w:rStyle w:val="SubtitleChar"/>
        </w:rPr>
        <w:t>a una audiencia pública sobre</w:t>
      </w:r>
      <w:r w:rsidR="00F060F4" w:rsidRPr="00C81476">
        <w:rPr>
          <w:rStyle w:val="SubtitleChar"/>
        </w:rPr>
        <w:t xml:space="preserve"> </w:t>
      </w:r>
      <w:r w:rsidR="000D0BD2">
        <w:rPr>
          <w:rStyle w:val="SubtitleChar"/>
        </w:rPr>
        <w:t xml:space="preserve">las </w:t>
      </w:r>
      <w:r w:rsidR="002D2774" w:rsidRPr="00C81476">
        <w:rPr>
          <w:bCs/>
          <w:iCs/>
          <w:szCs w:val="20"/>
        </w:rPr>
        <w:t xml:space="preserve">excepciones preliminares y </w:t>
      </w:r>
      <w:r w:rsidR="000D0BD2">
        <w:rPr>
          <w:bCs/>
          <w:iCs/>
          <w:szCs w:val="20"/>
        </w:rPr>
        <w:t xml:space="preserve">los </w:t>
      </w:r>
      <w:r w:rsidR="002D2774" w:rsidRPr="00C81476">
        <w:rPr>
          <w:bCs/>
          <w:iCs/>
          <w:szCs w:val="20"/>
        </w:rPr>
        <w:t>eventual</w:t>
      </w:r>
      <w:r w:rsidR="000D0BD2">
        <w:rPr>
          <w:bCs/>
          <w:iCs/>
          <w:szCs w:val="20"/>
        </w:rPr>
        <w:t>es</w:t>
      </w:r>
      <w:r w:rsidR="002D2774" w:rsidRPr="00C81476">
        <w:rPr>
          <w:bCs/>
          <w:iCs/>
          <w:szCs w:val="20"/>
        </w:rPr>
        <w:t xml:space="preserve"> fondo, reparaciones y costas</w:t>
      </w:r>
      <w:r w:rsidRPr="00C81476">
        <w:rPr>
          <w:rStyle w:val="SubtitleChar"/>
        </w:rPr>
        <w:t xml:space="preserve">, que se celebrará </w:t>
      </w:r>
      <w:r w:rsidR="00D73606" w:rsidRPr="00C81476">
        <w:rPr>
          <w:bCs/>
          <w:iCs/>
          <w:szCs w:val="20"/>
        </w:rPr>
        <w:t xml:space="preserve">el día </w:t>
      </w:r>
      <w:r w:rsidR="002D2774" w:rsidRPr="00C81476">
        <w:rPr>
          <w:bCs/>
          <w:iCs/>
          <w:szCs w:val="20"/>
        </w:rPr>
        <w:t>6</w:t>
      </w:r>
      <w:r w:rsidR="00F060F4" w:rsidRPr="00C81476">
        <w:rPr>
          <w:bCs/>
          <w:iCs/>
          <w:szCs w:val="20"/>
        </w:rPr>
        <w:t xml:space="preserve"> </w:t>
      </w:r>
      <w:r w:rsidR="0043393C" w:rsidRPr="00C81476">
        <w:rPr>
          <w:bCs/>
          <w:iCs/>
          <w:szCs w:val="20"/>
        </w:rPr>
        <w:t xml:space="preserve">de </w:t>
      </w:r>
      <w:r w:rsidR="002D2774" w:rsidRPr="00C81476">
        <w:rPr>
          <w:bCs/>
          <w:iCs/>
          <w:szCs w:val="20"/>
        </w:rPr>
        <w:t>febrero</w:t>
      </w:r>
      <w:r w:rsidR="00F060F4" w:rsidRPr="00C81476">
        <w:rPr>
          <w:bCs/>
          <w:iCs/>
          <w:szCs w:val="20"/>
        </w:rPr>
        <w:t xml:space="preserve"> </w:t>
      </w:r>
      <w:r w:rsidR="00D73606" w:rsidRPr="00C81476">
        <w:rPr>
          <w:bCs/>
          <w:iCs/>
          <w:szCs w:val="20"/>
        </w:rPr>
        <w:t>de 201</w:t>
      </w:r>
      <w:r w:rsidR="00F060F4" w:rsidRPr="00C81476">
        <w:rPr>
          <w:bCs/>
          <w:iCs/>
          <w:szCs w:val="20"/>
        </w:rPr>
        <w:t>9</w:t>
      </w:r>
      <w:r w:rsidR="00D73606" w:rsidRPr="00C81476">
        <w:rPr>
          <w:bCs/>
          <w:iCs/>
          <w:szCs w:val="20"/>
        </w:rPr>
        <w:t xml:space="preserve"> a partir de las </w:t>
      </w:r>
      <w:r w:rsidR="000D0BD2">
        <w:rPr>
          <w:bCs/>
          <w:iCs/>
          <w:szCs w:val="20"/>
        </w:rPr>
        <w:t>9</w:t>
      </w:r>
      <w:r w:rsidR="00D73606" w:rsidRPr="00C81476">
        <w:rPr>
          <w:bCs/>
          <w:iCs/>
          <w:szCs w:val="20"/>
        </w:rPr>
        <w:t xml:space="preserve">:00 horas, </w:t>
      </w:r>
      <w:r w:rsidRPr="00C81476">
        <w:rPr>
          <w:rStyle w:val="SubtitleChar"/>
        </w:rPr>
        <w:t>durante el 12</w:t>
      </w:r>
      <w:r w:rsidR="00F060F4" w:rsidRPr="00C81476">
        <w:rPr>
          <w:rStyle w:val="SubtitleChar"/>
        </w:rPr>
        <w:t>9</w:t>
      </w:r>
      <w:r w:rsidR="000D0BD2">
        <w:rPr>
          <w:rStyle w:val="SubtitleChar"/>
        </w:rPr>
        <w:t>°</w:t>
      </w:r>
      <w:r w:rsidR="00D73606" w:rsidRPr="00C81476">
        <w:rPr>
          <w:rStyle w:val="SubtitleChar"/>
        </w:rPr>
        <w:t xml:space="preserve"> </w:t>
      </w:r>
      <w:r w:rsidRPr="00C81476">
        <w:rPr>
          <w:rStyle w:val="SubtitleChar"/>
        </w:rPr>
        <w:t xml:space="preserve">Período Ordinario de Sesiones, que se llevará a cabo </w:t>
      </w:r>
      <w:r w:rsidRPr="00C81476">
        <w:rPr>
          <w:rStyle w:val="SubtitleChar"/>
          <w:szCs w:val="20"/>
        </w:rPr>
        <w:t>en la sede de la Corte en San José, Costa Rica para recibir sus alegatos y observaciones finales orales, así como para recibir la</w:t>
      </w:r>
      <w:r w:rsidR="00BC34AD">
        <w:rPr>
          <w:rStyle w:val="SubtitleChar"/>
          <w:szCs w:val="20"/>
        </w:rPr>
        <w:t>s</w:t>
      </w:r>
      <w:r w:rsidRPr="00C81476">
        <w:rPr>
          <w:rStyle w:val="SubtitleChar"/>
          <w:szCs w:val="20"/>
        </w:rPr>
        <w:t xml:space="preserve"> declaraci</w:t>
      </w:r>
      <w:r w:rsidR="00BC34AD">
        <w:rPr>
          <w:rStyle w:val="SubtitleChar"/>
          <w:szCs w:val="20"/>
        </w:rPr>
        <w:t>ones</w:t>
      </w:r>
      <w:r w:rsidRPr="00C81476">
        <w:rPr>
          <w:rStyle w:val="SubtitleChar"/>
          <w:szCs w:val="20"/>
        </w:rPr>
        <w:t xml:space="preserve"> de</w:t>
      </w:r>
      <w:r w:rsidRPr="00C81476">
        <w:rPr>
          <w:szCs w:val="20"/>
        </w:rPr>
        <w:t>:</w:t>
      </w:r>
    </w:p>
    <w:p w:rsidR="00022729" w:rsidRPr="00C81476" w:rsidRDefault="00022729" w:rsidP="004862A3">
      <w:pPr>
        <w:pStyle w:val="ListParagraph"/>
        <w:tabs>
          <w:tab w:val="left" w:pos="567"/>
        </w:tabs>
        <w:spacing w:after="0" w:line="240" w:lineRule="auto"/>
        <w:ind w:left="360"/>
        <w:jc w:val="both"/>
        <w:rPr>
          <w:rFonts w:ascii="Verdana" w:hAnsi="Verdana"/>
          <w:bCs/>
          <w:iCs/>
          <w:sz w:val="20"/>
          <w:szCs w:val="20"/>
        </w:rPr>
      </w:pPr>
    </w:p>
    <w:p w:rsidR="00AD2C90" w:rsidRPr="00C81476" w:rsidRDefault="00930C07" w:rsidP="00033738">
      <w:pPr>
        <w:pStyle w:val="ListParagraph"/>
        <w:numPr>
          <w:ilvl w:val="0"/>
          <w:numId w:val="3"/>
        </w:numPr>
        <w:tabs>
          <w:tab w:val="left" w:pos="567"/>
        </w:tabs>
        <w:spacing w:after="0" w:line="240" w:lineRule="auto"/>
        <w:jc w:val="both"/>
        <w:rPr>
          <w:rFonts w:ascii="Verdana" w:hAnsi="Verdana"/>
          <w:b/>
          <w:bCs/>
          <w:i/>
          <w:iCs/>
          <w:sz w:val="20"/>
          <w:szCs w:val="20"/>
        </w:rPr>
      </w:pPr>
      <w:r w:rsidRPr="00C81476">
        <w:rPr>
          <w:rFonts w:ascii="Verdana" w:hAnsi="Verdana"/>
          <w:b/>
          <w:bCs/>
          <w:i/>
          <w:iCs/>
          <w:sz w:val="20"/>
          <w:szCs w:val="20"/>
        </w:rPr>
        <w:t>Presunta víctima</w:t>
      </w:r>
      <w:r w:rsidR="000E2684" w:rsidRPr="00C81476">
        <w:rPr>
          <w:rFonts w:ascii="Verdana" w:hAnsi="Verdana"/>
          <w:b/>
          <w:bCs/>
          <w:i/>
          <w:iCs/>
          <w:sz w:val="20"/>
          <w:szCs w:val="20"/>
        </w:rPr>
        <w:t xml:space="preserve"> </w:t>
      </w:r>
      <w:r w:rsidR="000E2684" w:rsidRPr="00C81476">
        <w:rPr>
          <w:rFonts w:ascii="Verdana" w:hAnsi="Verdana"/>
          <w:bCs/>
          <w:i/>
          <w:iCs/>
          <w:sz w:val="20"/>
          <w:szCs w:val="20"/>
        </w:rPr>
        <w:t>(p</w:t>
      </w:r>
      <w:r w:rsidRPr="00C81476">
        <w:rPr>
          <w:rFonts w:ascii="Verdana" w:hAnsi="Verdana"/>
          <w:bCs/>
          <w:i/>
          <w:iCs/>
          <w:sz w:val="20"/>
          <w:szCs w:val="20"/>
        </w:rPr>
        <w:t>ropuesto</w:t>
      </w:r>
      <w:r w:rsidR="00AD2C90" w:rsidRPr="00C81476">
        <w:rPr>
          <w:rFonts w:ascii="Verdana" w:hAnsi="Verdana"/>
          <w:bCs/>
          <w:i/>
          <w:iCs/>
          <w:sz w:val="20"/>
          <w:szCs w:val="20"/>
        </w:rPr>
        <w:t xml:space="preserve"> por </w:t>
      </w:r>
      <w:r w:rsidR="0066768C" w:rsidRPr="00C81476">
        <w:rPr>
          <w:rFonts w:ascii="Verdana" w:hAnsi="Verdana"/>
          <w:bCs/>
          <w:i/>
          <w:iCs/>
          <w:sz w:val="20"/>
          <w:szCs w:val="20"/>
        </w:rPr>
        <w:t>los representantes</w:t>
      </w:r>
      <w:r w:rsidR="000E2684" w:rsidRPr="00C81476">
        <w:rPr>
          <w:rFonts w:ascii="Verdana" w:hAnsi="Verdana"/>
          <w:bCs/>
          <w:i/>
          <w:iCs/>
          <w:sz w:val="20"/>
          <w:szCs w:val="20"/>
        </w:rPr>
        <w:t>)</w:t>
      </w:r>
    </w:p>
    <w:p w:rsidR="00AD2C90" w:rsidRPr="00C81476" w:rsidRDefault="00AD2C90" w:rsidP="004862A3">
      <w:pPr>
        <w:pStyle w:val="ListParagraph"/>
        <w:tabs>
          <w:tab w:val="left" w:pos="567"/>
        </w:tabs>
        <w:spacing w:after="0" w:line="240" w:lineRule="auto"/>
        <w:jc w:val="both"/>
        <w:rPr>
          <w:rFonts w:ascii="Verdana" w:hAnsi="Verdana"/>
          <w:bCs/>
          <w:iCs/>
          <w:sz w:val="20"/>
          <w:szCs w:val="20"/>
        </w:rPr>
      </w:pPr>
    </w:p>
    <w:p w:rsidR="00543C03" w:rsidRPr="00C81476" w:rsidRDefault="007A2E15" w:rsidP="004D5C4B">
      <w:pPr>
        <w:autoSpaceDE w:val="0"/>
        <w:autoSpaceDN w:val="0"/>
        <w:adjustRightInd w:val="0"/>
        <w:spacing w:after="0" w:line="240" w:lineRule="auto"/>
        <w:ind w:left="1080"/>
        <w:jc w:val="both"/>
        <w:rPr>
          <w:rFonts w:ascii="Verdana" w:hAnsi="Verdana" w:cs="Arial"/>
          <w:b/>
          <w:sz w:val="20"/>
          <w:szCs w:val="20"/>
          <w:lang w:val="es-VE"/>
        </w:rPr>
      </w:pPr>
      <w:r w:rsidRPr="00C81476">
        <w:rPr>
          <w:rFonts w:ascii="Verdana" w:hAnsi="Verdana"/>
          <w:bCs/>
          <w:i/>
          <w:iCs/>
          <w:sz w:val="20"/>
          <w:szCs w:val="20"/>
        </w:rPr>
        <w:t>Jorge Enrique Rosadio Villavicencio</w:t>
      </w:r>
      <w:r w:rsidR="00E755C9" w:rsidRPr="00C81476">
        <w:rPr>
          <w:rFonts w:ascii="Verdana" w:hAnsi="Verdana"/>
          <w:bCs/>
          <w:iCs/>
          <w:sz w:val="20"/>
          <w:szCs w:val="20"/>
        </w:rPr>
        <w:t xml:space="preserve">, quien </w:t>
      </w:r>
      <w:r w:rsidR="005E4741" w:rsidRPr="00C81476">
        <w:rPr>
          <w:rFonts w:ascii="Verdana" w:hAnsi="Verdana"/>
          <w:bCs/>
          <w:iCs/>
          <w:sz w:val="20"/>
          <w:szCs w:val="20"/>
        </w:rPr>
        <w:t xml:space="preserve">declarará </w:t>
      </w:r>
      <w:r w:rsidRPr="00C81476">
        <w:rPr>
          <w:rFonts w:ascii="Verdana" w:hAnsi="Verdana" w:cs="Arial"/>
          <w:sz w:val="20"/>
          <w:szCs w:val="20"/>
          <w:lang w:val="es-VE"/>
        </w:rPr>
        <w:t xml:space="preserve">sobre su vida antes de ingresar </w:t>
      </w:r>
      <w:r w:rsidRPr="00985A3F">
        <w:rPr>
          <w:rFonts w:ascii="Verdana" w:hAnsi="Verdana" w:cs="Arial"/>
          <w:sz w:val="20"/>
          <w:szCs w:val="20"/>
          <w:lang w:val="es-VE"/>
        </w:rPr>
        <w:t xml:space="preserve">a la carrera servicio militar, las </w:t>
      </w:r>
      <w:r w:rsidR="002D2774" w:rsidRPr="00985A3F">
        <w:rPr>
          <w:rFonts w:ascii="Verdana" w:hAnsi="Verdana" w:cs="Arial"/>
          <w:sz w:val="20"/>
          <w:szCs w:val="20"/>
          <w:lang w:val="es-VE"/>
        </w:rPr>
        <w:t>condiciones en las que prestó</w:t>
      </w:r>
      <w:r w:rsidRPr="00985A3F">
        <w:rPr>
          <w:rFonts w:ascii="Verdana" w:hAnsi="Verdana" w:cs="Arial"/>
          <w:sz w:val="20"/>
          <w:szCs w:val="20"/>
          <w:lang w:val="es-VE"/>
        </w:rPr>
        <w:t xml:space="preserve"> servicio militar</w:t>
      </w:r>
      <w:r w:rsidR="00AC64B9" w:rsidRPr="00985A3F">
        <w:rPr>
          <w:rFonts w:ascii="Verdana" w:hAnsi="Verdana" w:cs="Arial"/>
          <w:sz w:val="20"/>
          <w:szCs w:val="20"/>
          <w:lang w:val="es-VE"/>
        </w:rPr>
        <w:t xml:space="preserve"> </w:t>
      </w:r>
      <w:r w:rsidR="004D5C4B" w:rsidRPr="00245DC5">
        <w:rPr>
          <w:rFonts w:ascii="Verdana" w:hAnsi="Verdana" w:cs="Arial"/>
          <w:sz w:val="20"/>
          <w:szCs w:val="20"/>
          <w:lang w:val="es-VE"/>
        </w:rPr>
        <w:t>a partir d</w:t>
      </w:r>
      <w:r w:rsidR="00AC64B9" w:rsidRPr="00245DC5">
        <w:rPr>
          <w:rFonts w:ascii="Verdana" w:hAnsi="Verdana" w:cs="Arial"/>
          <w:sz w:val="20"/>
          <w:szCs w:val="20"/>
          <w:lang w:val="es-VE"/>
        </w:rPr>
        <w:t>el 30 de junio de 1994 como Teniente de Inteligencia asignado a la Quinta Región Militar, Destacamento “Leoncio Prado”, Compañía de Inteligencia No. 341 en la zona de Sion</w:t>
      </w:r>
      <w:r w:rsidR="00737850">
        <w:rPr>
          <w:rFonts w:ascii="Verdana" w:hAnsi="Verdana" w:cs="Arial"/>
          <w:sz w:val="20"/>
          <w:szCs w:val="20"/>
          <w:lang w:val="es-VE"/>
        </w:rPr>
        <w:t>,</w:t>
      </w:r>
      <w:r w:rsidR="00AC64B9" w:rsidRPr="00985A3F">
        <w:rPr>
          <w:rFonts w:ascii="Verdana" w:hAnsi="Verdana" w:cs="Arial"/>
          <w:sz w:val="20"/>
          <w:szCs w:val="20"/>
          <w:lang w:val="es-VE"/>
        </w:rPr>
        <w:t xml:space="preserve"> </w:t>
      </w:r>
      <w:r w:rsidR="00AC64B9" w:rsidRPr="00245DC5">
        <w:rPr>
          <w:rFonts w:ascii="Verdana" w:hAnsi="Verdana" w:cs="Arial"/>
          <w:sz w:val="20"/>
          <w:szCs w:val="20"/>
          <w:lang w:val="es-VE"/>
        </w:rPr>
        <w:t xml:space="preserve">y las investigaciones y procesos a los que se vio sujeto </w:t>
      </w:r>
      <w:r w:rsidR="00680CC2" w:rsidRPr="00245DC5">
        <w:rPr>
          <w:rFonts w:ascii="Verdana" w:hAnsi="Verdana" w:cs="Arial"/>
          <w:sz w:val="20"/>
          <w:szCs w:val="20"/>
          <w:lang w:val="es-VE"/>
        </w:rPr>
        <w:t>en relación con la misión de inteligencia “Plan Ángel”, así como</w:t>
      </w:r>
      <w:r w:rsidRPr="00985A3F">
        <w:rPr>
          <w:rFonts w:ascii="Verdana" w:hAnsi="Verdana" w:cs="Arial"/>
          <w:sz w:val="20"/>
          <w:szCs w:val="20"/>
          <w:lang w:val="es-VE"/>
        </w:rPr>
        <w:t xml:space="preserve">, </w:t>
      </w:r>
      <w:r w:rsidR="00A519D3" w:rsidRPr="00245DC5">
        <w:rPr>
          <w:rFonts w:ascii="Verdana" w:hAnsi="Verdana" w:cs="Arial"/>
          <w:sz w:val="20"/>
          <w:szCs w:val="20"/>
          <w:lang w:val="es-VE"/>
        </w:rPr>
        <w:t>sobre</w:t>
      </w:r>
      <w:r w:rsidRPr="00985A3F">
        <w:rPr>
          <w:rFonts w:ascii="Verdana" w:hAnsi="Verdana" w:cs="Arial"/>
          <w:sz w:val="20"/>
          <w:szCs w:val="20"/>
          <w:lang w:val="es-VE"/>
        </w:rPr>
        <w:t xml:space="preserve"> las acciones realizadas para obtener justicia y las consecuencias de los hechos </w:t>
      </w:r>
      <w:r w:rsidR="00A519D3" w:rsidRPr="00245DC5">
        <w:rPr>
          <w:rFonts w:ascii="Verdana" w:hAnsi="Verdana" w:cs="Arial"/>
          <w:sz w:val="20"/>
          <w:szCs w:val="20"/>
          <w:lang w:val="es-VE"/>
        </w:rPr>
        <w:t>del caso</w:t>
      </w:r>
      <w:r w:rsidR="00A519D3" w:rsidRPr="00C81476">
        <w:rPr>
          <w:rFonts w:ascii="Verdana" w:hAnsi="Verdana" w:cs="Arial"/>
          <w:sz w:val="20"/>
          <w:szCs w:val="20"/>
          <w:lang w:val="es-VE"/>
        </w:rPr>
        <w:t xml:space="preserve"> </w:t>
      </w:r>
      <w:r w:rsidRPr="00C81476">
        <w:rPr>
          <w:rFonts w:ascii="Verdana" w:hAnsi="Verdana" w:cs="Arial"/>
          <w:sz w:val="20"/>
          <w:szCs w:val="20"/>
          <w:lang w:val="es-VE"/>
        </w:rPr>
        <w:t>sobre su vida familiar y su proyecto de vida.</w:t>
      </w:r>
    </w:p>
    <w:p w:rsidR="005E4741" w:rsidRPr="00C81476" w:rsidRDefault="005E4741" w:rsidP="00A519D3">
      <w:pPr>
        <w:autoSpaceDE w:val="0"/>
        <w:autoSpaceDN w:val="0"/>
        <w:adjustRightInd w:val="0"/>
        <w:spacing w:after="0" w:line="240" w:lineRule="auto"/>
        <w:ind w:left="1080"/>
        <w:jc w:val="both"/>
        <w:rPr>
          <w:rFonts w:ascii="Verdana" w:hAnsi="Verdana"/>
          <w:b/>
          <w:bCs/>
          <w:i/>
          <w:iCs/>
          <w:sz w:val="20"/>
          <w:szCs w:val="20"/>
        </w:rPr>
      </w:pPr>
    </w:p>
    <w:p w:rsidR="00F62D42" w:rsidRPr="00C81476" w:rsidRDefault="00E755C9" w:rsidP="00033738">
      <w:pPr>
        <w:pStyle w:val="ListParagraph"/>
        <w:numPr>
          <w:ilvl w:val="0"/>
          <w:numId w:val="3"/>
        </w:numPr>
        <w:tabs>
          <w:tab w:val="left" w:pos="567"/>
        </w:tabs>
        <w:spacing w:after="0" w:line="240" w:lineRule="auto"/>
        <w:jc w:val="both"/>
        <w:rPr>
          <w:rFonts w:ascii="Verdana" w:hAnsi="Verdana"/>
          <w:b/>
          <w:bCs/>
          <w:i/>
          <w:iCs/>
          <w:sz w:val="20"/>
          <w:szCs w:val="20"/>
        </w:rPr>
      </w:pPr>
      <w:r w:rsidRPr="00C81476">
        <w:rPr>
          <w:rFonts w:ascii="Verdana" w:hAnsi="Verdana"/>
          <w:b/>
          <w:bCs/>
          <w:i/>
          <w:iCs/>
          <w:sz w:val="20"/>
          <w:szCs w:val="20"/>
        </w:rPr>
        <w:t>Perito</w:t>
      </w:r>
      <w:r w:rsidR="00CF1C87" w:rsidRPr="00C81476">
        <w:rPr>
          <w:rFonts w:ascii="Verdana" w:hAnsi="Verdana"/>
          <w:b/>
          <w:bCs/>
          <w:i/>
          <w:iCs/>
          <w:sz w:val="20"/>
          <w:szCs w:val="20"/>
        </w:rPr>
        <w:t xml:space="preserve"> </w:t>
      </w:r>
      <w:bookmarkEnd w:id="0"/>
      <w:r w:rsidR="000E2684" w:rsidRPr="00C81476">
        <w:rPr>
          <w:rFonts w:ascii="Verdana" w:hAnsi="Verdana"/>
          <w:bCs/>
          <w:i/>
          <w:iCs/>
          <w:sz w:val="20"/>
          <w:szCs w:val="20"/>
        </w:rPr>
        <w:t>(</w:t>
      </w:r>
      <w:r w:rsidR="000E2684" w:rsidRPr="00C81476">
        <w:rPr>
          <w:rFonts w:ascii="Verdana" w:eastAsia="Calibri" w:hAnsi="Verdana" w:cs="Calibri"/>
          <w:i/>
          <w:sz w:val="20"/>
          <w:szCs w:val="20"/>
          <w:lang w:val="es-MX"/>
        </w:rPr>
        <w:t>p</w:t>
      </w:r>
      <w:r w:rsidR="00AD2C90" w:rsidRPr="00C81476">
        <w:rPr>
          <w:rFonts w:ascii="Verdana" w:eastAsia="Calibri" w:hAnsi="Verdana" w:cs="Calibri"/>
          <w:i/>
          <w:sz w:val="20"/>
          <w:szCs w:val="20"/>
          <w:lang w:val="es-MX"/>
        </w:rPr>
        <w:t>ropuesto por la Comisión</w:t>
      </w:r>
      <w:r w:rsidR="000E2684" w:rsidRPr="00C81476">
        <w:rPr>
          <w:rFonts w:ascii="Verdana" w:eastAsia="Calibri" w:hAnsi="Verdana" w:cs="Calibri"/>
          <w:i/>
          <w:sz w:val="20"/>
          <w:szCs w:val="20"/>
          <w:lang w:val="es-MX"/>
        </w:rPr>
        <w:t>)</w:t>
      </w:r>
    </w:p>
    <w:p w:rsidR="00937337" w:rsidRPr="00C81476" w:rsidRDefault="00937337" w:rsidP="005E4741">
      <w:pPr>
        <w:pStyle w:val="NoSpacing"/>
        <w:numPr>
          <w:ilvl w:val="0"/>
          <w:numId w:val="0"/>
        </w:numPr>
        <w:rPr>
          <w:rFonts w:eastAsia="Calibri" w:cs="Calibri"/>
          <w:i/>
          <w:szCs w:val="20"/>
          <w:lang w:val="es-MX"/>
        </w:rPr>
      </w:pPr>
    </w:p>
    <w:p w:rsidR="001B0DF1" w:rsidRPr="00C81476" w:rsidRDefault="007A2E15" w:rsidP="00680CC2">
      <w:pPr>
        <w:pStyle w:val="NoSpacing"/>
        <w:numPr>
          <w:ilvl w:val="0"/>
          <w:numId w:val="0"/>
        </w:numPr>
        <w:autoSpaceDE w:val="0"/>
        <w:autoSpaceDN w:val="0"/>
        <w:adjustRightInd w:val="0"/>
        <w:ind w:left="1070"/>
        <w:rPr>
          <w:rFonts w:cs="Arial"/>
        </w:rPr>
      </w:pPr>
      <w:r w:rsidRPr="00C81476">
        <w:rPr>
          <w:rFonts w:cs="Arial"/>
          <w:i/>
        </w:rPr>
        <w:t>Hernán Víctor Gullco</w:t>
      </w:r>
      <w:r w:rsidRPr="00C81476">
        <w:rPr>
          <w:rFonts w:cs="Arial"/>
        </w:rPr>
        <w:t xml:space="preserve">, quien declarará sobre la manera en que deben operar las garantías del debido proceso, en particular, del derecho a la defensa y del principio de presunción de inocencia, cuando se activan diversas vías sancionatorias - tanto </w:t>
      </w:r>
      <w:r w:rsidRPr="00C81476">
        <w:rPr>
          <w:rFonts w:cs="Arial"/>
        </w:rPr>
        <w:lastRenderedPageBreak/>
        <w:t xml:space="preserve">penales como disciplinarias - paralelas o subsiguientes, sobre la base de la misma plataforma fáctica. También se referirá a dicha situación a la luz del principio de </w:t>
      </w:r>
      <w:r w:rsidRPr="00C81476">
        <w:rPr>
          <w:rFonts w:cs="Arial"/>
          <w:i/>
        </w:rPr>
        <w:t>non bis in ídem</w:t>
      </w:r>
      <w:r w:rsidRPr="00C81476">
        <w:rPr>
          <w:rFonts w:cs="Arial"/>
        </w:rPr>
        <w:t xml:space="preserve">. Tomará en cuenta los hechos del caso para desarrollar su peritaje. </w:t>
      </w:r>
    </w:p>
    <w:p w:rsidR="00A519D3" w:rsidRPr="00C81476" w:rsidRDefault="00A519D3" w:rsidP="00281121">
      <w:pPr>
        <w:pStyle w:val="NoSpacing"/>
        <w:numPr>
          <w:ilvl w:val="0"/>
          <w:numId w:val="0"/>
        </w:numPr>
        <w:autoSpaceDE w:val="0"/>
        <w:autoSpaceDN w:val="0"/>
        <w:adjustRightInd w:val="0"/>
        <w:spacing w:after="120"/>
        <w:contextualSpacing w:val="0"/>
        <w:rPr>
          <w:rFonts w:cs="Times New Roman"/>
          <w:szCs w:val="20"/>
        </w:rPr>
      </w:pPr>
    </w:p>
    <w:p w:rsidR="006531EA" w:rsidRPr="00C81476" w:rsidRDefault="001C7251" w:rsidP="00281121">
      <w:pPr>
        <w:pStyle w:val="Subtitle"/>
        <w:spacing w:after="120"/>
        <w:contextualSpacing w:val="0"/>
        <w:rPr>
          <w:szCs w:val="20"/>
        </w:rPr>
      </w:pPr>
      <w:r w:rsidRPr="00C81476">
        <w:rPr>
          <w:szCs w:val="20"/>
        </w:rPr>
        <w:t xml:space="preserve">Requerir al perito convocado a declarar en audiencia que, de considerarlo conveniente, aporte una versión escrita de su peritaje a más tardar el </w:t>
      </w:r>
      <w:r w:rsidR="000D0BD2">
        <w:rPr>
          <w:szCs w:val="20"/>
        </w:rPr>
        <w:t>28 de enero de 2019</w:t>
      </w:r>
      <w:r w:rsidRPr="00C81476">
        <w:rPr>
          <w:szCs w:val="20"/>
        </w:rPr>
        <w:t>.</w:t>
      </w:r>
      <w:r w:rsidR="006531EA" w:rsidRPr="00C81476">
        <w:rPr>
          <w:szCs w:val="20"/>
        </w:rPr>
        <w:t xml:space="preserve"> </w:t>
      </w:r>
    </w:p>
    <w:p w:rsidR="006531EA" w:rsidRPr="00C81476" w:rsidRDefault="006531EA" w:rsidP="00281121">
      <w:pPr>
        <w:pStyle w:val="Subtitle"/>
        <w:numPr>
          <w:ilvl w:val="0"/>
          <w:numId w:val="0"/>
        </w:numPr>
        <w:spacing w:after="120"/>
        <w:contextualSpacing w:val="0"/>
        <w:rPr>
          <w:rFonts w:asciiTheme="minorHAnsi" w:hAnsiTheme="minorHAnsi"/>
          <w:sz w:val="22"/>
          <w:szCs w:val="22"/>
        </w:rPr>
      </w:pPr>
    </w:p>
    <w:p w:rsidR="006531EA" w:rsidRPr="00C81476" w:rsidRDefault="006531EA" w:rsidP="00281121">
      <w:pPr>
        <w:pStyle w:val="Subtitle"/>
        <w:spacing w:after="120"/>
        <w:contextualSpacing w:val="0"/>
      </w:pPr>
      <w:r w:rsidRPr="00C81476">
        <w:rPr>
          <w:bCs/>
          <w:iCs/>
          <w:szCs w:val="20"/>
        </w:rPr>
        <w:t xml:space="preserve">Requerir al Estado del Perú que facilite la salida y entrada de su territorio </w:t>
      </w:r>
      <w:r w:rsidR="007E1575" w:rsidRPr="00C81476">
        <w:rPr>
          <w:bCs/>
          <w:iCs/>
          <w:szCs w:val="20"/>
        </w:rPr>
        <w:t>de los declarantes</w:t>
      </w:r>
      <w:r w:rsidRPr="00C81476">
        <w:rPr>
          <w:bCs/>
          <w:iCs/>
          <w:szCs w:val="20"/>
        </w:rPr>
        <w:t xml:space="preserve">, si residen o se encuentran en él, quienes han sido citados en la presente Resolución a rendir declaración en la referida audiencia pública, de conformidad con lo dispuesto en el artículo 26.1 del Reglamento de la Corte. </w:t>
      </w:r>
    </w:p>
    <w:p w:rsidR="006531EA" w:rsidRPr="00C81476" w:rsidRDefault="006531EA" w:rsidP="00281121">
      <w:pPr>
        <w:pStyle w:val="Subtitle"/>
        <w:numPr>
          <w:ilvl w:val="0"/>
          <w:numId w:val="0"/>
        </w:numPr>
        <w:spacing w:after="120"/>
        <w:contextualSpacing w:val="0"/>
      </w:pPr>
    </w:p>
    <w:p w:rsidR="006531EA" w:rsidRPr="00C81476" w:rsidRDefault="006531EA" w:rsidP="00281121">
      <w:pPr>
        <w:pStyle w:val="Subtitle"/>
        <w:spacing w:after="120"/>
        <w:contextualSpacing w:val="0"/>
        <w:rPr>
          <w:szCs w:val="20"/>
        </w:rPr>
      </w:pPr>
      <w:r w:rsidRPr="00C81476">
        <w:t>Requerir a la Comisión Interamericana y a los representantes que notifiquen la presente Resolución a las personas por ellos propuestas, respectivamente, que han sido convocados a rendir declaración, de conformidad con lo dispuesto en los artículos 50.2 y 50.4 del Reglamento.</w:t>
      </w:r>
      <w:r w:rsidRPr="00C81476">
        <w:rPr>
          <w:bCs/>
          <w:iCs/>
          <w:szCs w:val="20"/>
        </w:rPr>
        <w:t xml:space="preserve"> </w:t>
      </w:r>
    </w:p>
    <w:p w:rsidR="006531EA" w:rsidRPr="00C81476" w:rsidRDefault="006531EA" w:rsidP="00281121">
      <w:pPr>
        <w:pStyle w:val="Subtitle"/>
        <w:numPr>
          <w:ilvl w:val="0"/>
          <w:numId w:val="0"/>
        </w:numPr>
        <w:spacing w:after="120"/>
        <w:contextualSpacing w:val="0"/>
        <w:rPr>
          <w:szCs w:val="20"/>
        </w:rPr>
      </w:pPr>
    </w:p>
    <w:p w:rsidR="006531EA" w:rsidRPr="00C81476" w:rsidRDefault="006531EA" w:rsidP="00281121">
      <w:pPr>
        <w:pStyle w:val="Subtitle"/>
        <w:spacing w:after="120"/>
        <w:contextualSpacing w:val="0"/>
        <w:rPr>
          <w:bCs/>
          <w:iCs/>
          <w:szCs w:val="20"/>
        </w:rPr>
      </w:pPr>
      <w:r w:rsidRPr="00C81476">
        <w:rPr>
          <w:bCs/>
          <w:iCs/>
          <w:szCs w:val="20"/>
        </w:rPr>
        <w:t>Informar a la Comisión que debe cubrir los gastos que ocasione la aportación o rendición de la prueba propuesta por ell</w:t>
      </w:r>
      <w:r w:rsidR="00A519D3" w:rsidRPr="00C81476">
        <w:rPr>
          <w:bCs/>
          <w:iCs/>
          <w:szCs w:val="20"/>
        </w:rPr>
        <w:t>a</w:t>
      </w:r>
      <w:r w:rsidRPr="00C81476">
        <w:rPr>
          <w:bCs/>
          <w:iCs/>
          <w:szCs w:val="20"/>
        </w:rPr>
        <w:t>, de conformidad con lo dispuesto en el artículo 60 del Reglamento</w:t>
      </w:r>
      <w:r w:rsidRPr="00C81476">
        <w:rPr>
          <w:szCs w:val="20"/>
        </w:rPr>
        <w:t>.</w:t>
      </w:r>
      <w:r w:rsidRPr="00C81476">
        <w:rPr>
          <w:bCs/>
          <w:iCs/>
          <w:szCs w:val="20"/>
        </w:rPr>
        <w:t xml:space="preserve"> </w:t>
      </w:r>
    </w:p>
    <w:p w:rsidR="006531EA" w:rsidRPr="00C81476" w:rsidRDefault="006531EA" w:rsidP="00281121">
      <w:pPr>
        <w:pStyle w:val="Subtitle"/>
        <w:numPr>
          <w:ilvl w:val="0"/>
          <w:numId w:val="0"/>
        </w:numPr>
        <w:spacing w:after="120"/>
        <w:contextualSpacing w:val="0"/>
        <w:rPr>
          <w:bCs/>
          <w:iCs/>
          <w:szCs w:val="20"/>
        </w:rPr>
      </w:pPr>
    </w:p>
    <w:p w:rsidR="006531EA" w:rsidRPr="00C81476" w:rsidRDefault="006531EA" w:rsidP="00281121">
      <w:pPr>
        <w:pStyle w:val="Subtitle"/>
        <w:spacing w:after="120"/>
        <w:contextualSpacing w:val="0"/>
      </w:pPr>
      <w:r w:rsidRPr="00C81476">
        <w:rPr>
          <w:bCs/>
          <w:iCs/>
          <w:szCs w:val="20"/>
        </w:rPr>
        <w:t xml:space="preserve">Requerir a </w:t>
      </w:r>
      <w:r w:rsidRPr="00C81476">
        <w:t xml:space="preserve">los representantes </w:t>
      </w:r>
      <w:r w:rsidRPr="00C81476">
        <w:rPr>
          <w:bCs/>
          <w:iCs/>
          <w:szCs w:val="20"/>
        </w:rPr>
        <w:t xml:space="preserve">y a la Comisión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6531EA" w:rsidRPr="00C81476" w:rsidRDefault="006531EA" w:rsidP="00281121">
      <w:pPr>
        <w:pStyle w:val="Subtitle"/>
        <w:numPr>
          <w:ilvl w:val="0"/>
          <w:numId w:val="0"/>
        </w:numPr>
        <w:spacing w:after="120"/>
        <w:contextualSpacing w:val="0"/>
        <w:rPr>
          <w:bCs/>
          <w:iCs/>
          <w:szCs w:val="20"/>
        </w:rPr>
      </w:pPr>
    </w:p>
    <w:p w:rsidR="006531EA" w:rsidRPr="00C81476" w:rsidRDefault="006531EA" w:rsidP="00281121">
      <w:pPr>
        <w:pStyle w:val="Subtitle"/>
        <w:spacing w:after="120"/>
        <w:contextualSpacing w:val="0"/>
        <w:rPr>
          <w:bCs/>
          <w:iCs/>
          <w:szCs w:val="20"/>
        </w:rPr>
      </w:pPr>
      <w:r w:rsidRPr="00C81476">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el fondo, reparaciones y costas en este caso.</w:t>
      </w:r>
      <w:r w:rsidRPr="00C81476">
        <w:rPr>
          <w:bCs/>
          <w:iCs/>
          <w:szCs w:val="20"/>
        </w:rPr>
        <w:t xml:space="preserve"> </w:t>
      </w:r>
    </w:p>
    <w:p w:rsidR="006531EA" w:rsidRPr="00C81476" w:rsidRDefault="006531EA" w:rsidP="00281121">
      <w:pPr>
        <w:pStyle w:val="Subtitle"/>
        <w:numPr>
          <w:ilvl w:val="0"/>
          <w:numId w:val="0"/>
        </w:numPr>
        <w:spacing w:after="120"/>
        <w:contextualSpacing w:val="0"/>
        <w:rPr>
          <w:bCs/>
          <w:iCs/>
          <w:szCs w:val="20"/>
        </w:rPr>
      </w:pPr>
    </w:p>
    <w:p w:rsidR="00803AF5" w:rsidRPr="00C81476" w:rsidRDefault="006531EA" w:rsidP="00281121">
      <w:pPr>
        <w:pStyle w:val="Subtitle"/>
        <w:spacing w:after="120"/>
        <w:contextualSpacing w:val="0"/>
        <w:rPr>
          <w:bCs/>
          <w:iCs/>
          <w:szCs w:val="20"/>
        </w:rPr>
      </w:pPr>
      <w:r w:rsidRPr="00C81476">
        <w:rPr>
          <w:bCs/>
          <w:iCs/>
          <w:szCs w:val="20"/>
        </w:rPr>
        <w:t xml:space="preserve">Informar a </w:t>
      </w:r>
      <w:r w:rsidRPr="00C81476">
        <w:t>los representantes</w:t>
      </w:r>
      <w:r w:rsidRPr="00C81476">
        <w:rPr>
          <w:bCs/>
          <w:iCs/>
          <w:szCs w:val="20"/>
        </w:rPr>
        <w:t xml:space="preserve">, al Estado y a la Comisión Interamericana que cuentan con un plazo improrrogable hasta el </w:t>
      </w:r>
      <w:r w:rsidR="00075E7A">
        <w:rPr>
          <w:bCs/>
          <w:iCs/>
          <w:szCs w:val="20"/>
        </w:rPr>
        <w:t>6</w:t>
      </w:r>
      <w:r w:rsidRPr="00C81476">
        <w:rPr>
          <w:bCs/>
          <w:iCs/>
          <w:szCs w:val="20"/>
        </w:rPr>
        <w:t xml:space="preserve"> de marzo de 2019 para presentar sus alegatos finales escritos y observaciones finales escritas, respectivamente, en relación con las excepciones preliminares y el eventual fondo, reparaciones y costas del presente caso. </w:t>
      </w:r>
    </w:p>
    <w:p w:rsidR="00803AF5" w:rsidRPr="00C81476" w:rsidRDefault="00803AF5" w:rsidP="00281121">
      <w:pPr>
        <w:pStyle w:val="Subtitle"/>
        <w:numPr>
          <w:ilvl w:val="0"/>
          <w:numId w:val="0"/>
        </w:numPr>
        <w:spacing w:after="120"/>
        <w:contextualSpacing w:val="0"/>
        <w:rPr>
          <w:bCs/>
          <w:iCs/>
          <w:szCs w:val="20"/>
        </w:rPr>
      </w:pPr>
    </w:p>
    <w:p w:rsidR="006531EA" w:rsidRPr="00C81476" w:rsidRDefault="00803AF5" w:rsidP="00281121">
      <w:pPr>
        <w:pStyle w:val="Subtitle"/>
        <w:spacing w:after="120"/>
        <w:contextualSpacing w:val="0"/>
        <w:rPr>
          <w:bCs/>
          <w:iCs/>
          <w:szCs w:val="20"/>
        </w:rPr>
      </w:pPr>
      <w:r w:rsidRPr="00C81476">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6531EA" w:rsidRPr="00C81476" w:rsidRDefault="006531EA" w:rsidP="00281121">
      <w:pPr>
        <w:pStyle w:val="Subtitle"/>
        <w:numPr>
          <w:ilvl w:val="0"/>
          <w:numId w:val="0"/>
        </w:numPr>
        <w:spacing w:after="120"/>
        <w:contextualSpacing w:val="0"/>
        <w:rPr>
          <w:rFonts w:cs="Arial"/>
        </w:rPr>
      </w:pPr>
    </w:p>
    <w:p w:rsidR="006531EA" w:rsidRPr="00C81476" w:rsidRDefault="006531EA" w:rsidP="00281121">
      <w:pPr>
        <w:pStyle w:val="Subtitle"/>
        <w:spacing w:after="120"/>
        <w:contextualSpacing w:val="0"/>
        <w:rPr>
          <w:rFonts w:cs="Arial"/>
        </w:rPr>
      </w:pPr>
      <w:r w:rsidRPr="00C81476">
        <w:rPr>
          <w:bCs/>
          <w:iCs/>
          <w:szCs w:val="20"/>
        </w:rPr>
        <w:t xml:space="preserve">Disponer que la Secretaría de la Corte Interamericana notifique la presente Resolución a la Comisión Interamericana de Derechos Humanos, a </w:t>
      </w:r>
      <w:r w:rsidRPr="00C81476">
        <w:t xml:space="preserve">los representantes </w:t>
      </w:r>
      <w:r w:rsidRPr="00C81476">
        <w:rPr>
          <w:bCs/>
          <w:iCs/>
          <w:szCs w:val="20"/>
        </w:rPr>
        <w:t>y al Estado del Perú.</w:t>
      </w:r>
    </w:p>
    <w:p w:rsidR="00C93CF2" w:rsidRPr="00FE0DCF" w:rsidRDefault="00C93CF2">
      <w:pPr>
        <w:rPr>
          <w:rFonts w:ascii="Verdana" w:eastAsia="Calibri" w:hAnsi="Verdana" w:cs="Calibri"/>
          <w:sz w:val="20"/>
          <w:szCs w:val="20"/>
        </w:rPr>
      </w:pPr>
      <w:bookmarkStart w:id="1" w:name="_GoBack"/>
      <w:bookmarkEnd w:id="1"/>
    </w:p>
    <w:p w:rsidR="00C93CF2" w:rsidRDefault="00C93CF2" w:rsidP="00C93CF2">
      <w:pPr>
        <w:spacing w:after="0" w:line="240" w:lineRule="auto"/>
        <w:rPr>
          <w:rFonts w:ascii="Verdana" w:hAnsi="Verdana"/>
          <w:sz w:val="20"/>
          <w:szCs w:val="20"/>
        </w:rPr>
      </w:pPr>
    </w:p>
    <w:p w:rsidR="00C93CF2" w:rsidRDefault="00C93CF2" w:rsidP="00C93CF2">
      <w:pPr>
        <w:spacing w:after="0" w:line="240" w:lineRule="auto"/>
        <w:rPr>
          <w:rFonts w:ascii="Verdana" w:hAnsi="Verdana"/>
          <w:sz w:val="20"/>
          <w:szCs w:val="20"/>
        </w:rPr>
      </w:pPr>
    </w:p>
    <w:p w:rsidR="00C93CF2" w:rsidRDefault="00C93CF2" w:rsidP="00C93CF2">
      <w:pPr>
        <w:spacing w:after="0" w:line="240" w:lineRule="auto"/>
        <w:jc w:val="right"/>
        <w:rPr>
          <w:rFonts w:ascii="Verdana" w:hAnsi="Verdana"/>
          <w:sz w:val="20"/>
          <w:szCs w:val="20"/>
        </w:rPr>
      </w:pPr>
    </w:p>
    <w:p w:rsidR="00C93CF2" w:rsidRDefault="00C93CF2" w:rsidP="00C93CF2">
      <w:pPr>
        <w:spacing w:after="0" w:line="240" w:lineRule="auto"/>
        <w:jc w:val="right"/>
        <w:rPr>
          <w:rFonts w:ascii="Verdana" w:hAnsi="Verdana"/>
          <w:sz w:val="20"/>
          <w:szCs w:val="20"/>
        </w:rPr>
      </w:pPr>
    </w:p>
    <w:p w:rsidR="00C93CF2" w:rsidRDefault="00C93CF2" w:rsidP="00C93CF2">
      <w:pPr>
        <w:spacing w:after="0"/>
        <w:jc w:val="right"/>
        <w:rPr>
          <w:rFonts w:ascii="Verdana" w:hAnsi="Verdana"/>
          <w:sz w:val="20"/>
          <w:szCs w:val="20"/>
        </w:rPr>
      </w:pPr>
    </w:p>
    <w:p w:rsidR="00C93CF2" w:rsidRDefault="00C93CF2" w:rsidP="00C93CF2">
      <w:pPr>
        <w:spacing w:after="0"/>
        <w:jc w:val="right"/>
        <w:rPr>
          <w:rFonts w:ascii="Verdana" w:hAnsi="Verdana"/>
          <w:sz w:val="20"/>
          <w:szCs w:val="20"/>
        </w:rPr>
      </w:pPr>
    </w:p>
    <w:p w:rsidR="00C93CF2" w:rsidRDefault="00C93CF2" w:rsidP="00C93CF2">
      <w:pPr>
        <w:spacing w:after="0"/>
        <w:jc w:val="right"/>
        <w:rPr>
          <w:rFonts w:ascii="Verdana" w:hAnsi="Verdana"/>
          <w:sz w:val="20"/>
          <w:szCs w:val="20"/>
        </w:rPr>
      </w:pPr>
    </w:p>
    <w:p w:rsidR="00C93CF2" w:rsidRDefault="00C93CF2" w:rsidP="00C93CF2">
      <w:pPr>
        <w:spacing w:after="0"/>
        <w:jc w:val="right"/>
        <w:rPr>
          <w:rFonts w:ascii="Verdana" w:hAnsi="Verdana"/>
          <w:sz w:val="20"/>
          <w:szCs w:val="20"/>
        </w:rPr>
      </w:pPr>
    </w:p>
    <w:p w:rsidR="00C93CF2" w:rsidRDefault="00C93CF2" w:rsidP="00C93CF2">
      <w:pPr>
        <w:tabs>
          <w:tab w:val="left" w:pos="567"/>
        </w:tabs>
        <w:spacing w:after="0"/>
        <w:jc w:val="right"/>
        <w:rPr>
          <w:rFonts w:ascii="Verdana" w:hAnsi="Verdana"/>
          <w:sz w:val="20"/>
          <w:szCs w:val="20"/>
          <w:lang w:val="pt-BR"/>
        </w:rPr>
      </w:pPr>
      <w:r>
        <w:rPr>
          <w:rFonts w:ascii="Verdana" w:hAnsi="Verdana"/>
          <w:sz w:val="20"/>
          <w:szCs w:val="20"/>
          <w:lang w:val="pt-BR"/>
        </w:rPr>
        <w:t>Eduardo Ferrer Mac-Gregor Poisot</w:t>
      </w:r>
    </w:p>
    <w:p w:rsidR="00C93CF2" w:rsidRDefault="00C93CF2" w:rsidP="00C93CF2">
      <w:pPr>
        <w:spacing w:after="0"/>
        <w:jc w:val="center"/>
        <w:rPr>
          <w:rFonts w:ascii="Verdana" w:hAnsi="Verdana"/>
          <w:sz w:val="20"/>
          <w:szCs w:val="20"/>
          <w:lang w:val="pt-BR"/>
        </w:rPr>
      </w:pPr>
      <w:r>
        <w:rPr>
          <w:rFonts w:ascii="Verdana" w:hAnsi="Verdana"/>
          <w:sz w:val="20"/>
          <w:szCs w:val="20"/>
          <w:lang w:val="pt-BR"/>
        </w:rPr>
        <w:t xml:space="preserve">                                                                              Presidente</w:t>
      </w:r>
    </w:p>
    <w:p w:rsidR="00C93CF2" w:rsidRDefault="00C93CF2" w:rsidP="00C93CF2">
      <w:pPr>
        <w:spacing w:after="0"/>
        <w:rPr>
          <w:rFonts w:ascii="Verdana" w:hAnsi="Verdana"/>
          <w:sz w:val="20"/>
          <w:szCs w:val="20"/>
          <w:lang w:val="pt-BR"/>
        </w:rPr>
      </w:pPr>
    </w:p>
    <w:p w:rsidR="00C93CF2" w:rsidRDefault="00C93CF2" w:rsidP="00C93CF2">
      <w:pPr>
        <w:spacing w:after="0"/>
        <w:rPr>
          <w:rFonts w:ascii="Verdana" w:hAnsi="Verdana"/>
          <w:sz w:val="20"/>
          <w:szCs w:val="20"/>
          <w:lang w:val="pt-BR"/>
        </w:rPr>
      </w:pPr>
    </w:p>
    <w:p w:rsidR="00C93CF2" w:rsidRDefault="00C93CF2" w:rsidP="00C93CF2">
      <w:pPr>
        <w:spacing w:after="0"/>
        <w:rPr>
          <w:rFonts w:ascii="Verdana" w:hAnsi="Verdana"/>
          <w:sz w:val="20"/>
          <w:szCs w:val="20"/>
          <w:lang w:val="pt-BR"/>
        </w:rPr>
      </w:pPr>
    </w:p>
    <w:p w:rsidR="00C93CF2" w:rsidRDefault="00C93CF2" w:rsidP="00C93CF2">
      <w:pPr>
        <w:spacing w:after="0"/>
        <w:rPr>
          <w:rFonts w:ascii="Verdana" w:hAnsi="Verdana"/>
          <w:sz w:val="20"/>
          <w:szCs w:val="20"/>
          <w:lang w:val="pt-BR"/>
        </w:rPr>
      </w:pPr>
    </w:p>
    <w:p w:rsidR="00C93CF2" w:rsidRDefault="00C93CF2" w:rsidP="00C93CF2">
      <w:pPr>
        <w:spacing w:after="0"/>
        <w:rPr>
          <w:rFonts w:ascii="Verdana" w:hAnsi="Verdana"/>
          <w:sz w:val="20"/>
          <w:szCs w:val="20"/>
          <w:lang w:val="pt-BR"/>
        </w:rPr>
      </w:pPr>
    </w:p>
    <w:p w:rsidR="00C93CF2" w:rsidRDefault="00C93CF2" w:rsidP="00C93CF2">
      <w:pPr>
        <w:spacing w:after="0"/>
        <w:rPr>
          <w:rFonts w:ascii="Verdana" w:hAnsi="Verdana"/>
          <w:sz w:val="20"/>
          <w:szCs w:val="20"/>
          <w:lang w:val="pt-BR"/>
        </w:rPr>
      </w:pPr>
      <w:r>
        <w:rPr>
          <w:rFonts w:ascii="Verdana" w:hAnsi="Verdana"/>
          <w:sz w:val="20"/>
          <w:szCs w:val="20"/>
          <w:lang w:val="pt-BR"/>
        </w:rPr>
        <w:t>Pablo Saavedra Alessandri</w:t>
      </w:r>
    </w:p>
    <w:p w:rsidR="00C93CF2" w:rsidRDefault="00C93CF2" w:rsidP="00C93CF2">
      <w:pPr>
        <w:spacing w:after="0"/>
        <w:rPr>
          <w:rFonts w:ascii="Verdana" w:hAnsi="Verdana"/>
          <w:sz w:val="20"/>
          <w:szCs w:val="20"/>
        </w:rPr>
      </w:pPr>
      <w:r>
        <w:rPr>
          <w:rFonts w:ascii="Verdana" w:hAnsi="Verdana"/>
          <w:sz w:val="20"/>
          <w:szCs w:val="20"/>
          <w:lang w:val="pt-BR"/>
        </w:rPr>
        <w:t xml:space="preserve">           </w:t>
      </w:r>
      <w:r>
        <w:rPr>
          <w:rFonts w:ascii="Verdana" w:hAnsi="Verdana"/>
          <w:sz w:val="20"/>
          <w:szCs w:val="20"/>
        </w:rPr>
        <w:t>Secretario</w:t>
      </w: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rPr>
          <w:rFonts w:ascii="Verdana" w:hAnsi="Verdana"/>
          <w:sz w:val="20"/>
          <w:szCs w:val="20"/>
        </w:rPr>
      </w:pPr>
      <w:r>
        <w:rPr>
          <w:rFonts w:ascii="Verdana" w:hAnsi="Verdana"/>
          <w:sz w:val="20"/>
          <w:szCs w:val="20"/>
        </w:rPr>
        <w:t>Comuníquese y ejecútese,</w:t>
      </w: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rPr>
          <w:rFonts w:ascii="Verdana" w:hAnsi="Verdana"/>
          <w:sz w:val="20"/>
          <w:szCs w:val="20"/>
        </w:rPr>
      </w:pPr>
    </w:p>
    <w:p w:rsidR="00C93CF2" w:rsidRDefault="00C93CF2" w:rsidP="00C93CF2">
      <w:pPr>
        <w:spacing w:after="0"/>
        <w:jc w:val="right"/>
        <w:rPr>
          <w:rFonts w:ascii="Verdana" w:hAnsi="Verdana"/>
          <w:sz w:val="20"/>
          <w:szCs w:val="20"/>
        </w:rPr>
      </w:pPr>
      <w:r>
        <w:rPr>
          <w:rFonts w:ascii="Verdana" w:hAnsi="Verdana"/>
          <w:sz w:val="20"/>
          <w:szCs w:val="20"/>
        </w:rPr>
        <w:t xml:space="preserve">Eduardo Ferrer Mac-Gregor </w:t>
      </w:r>
      <w:r>
        <w:rPr>
          <w:rFonts w:ascii="Verdana" w:hAnsi="Verdana"/>
          <w:sz w:val="20"/>
          <w:szCs w:val="20"/>
          <w:lang w:val="pt-BR"/>
        </w:rPr>
        <w:t>Poisot</w:t>
      </w:r>
    </w:p>
    <w:p w:rsidR="00C93CF2" w:rsidRDefault="00C93CF2" w:rsidP="00C93CF2">
      <w:pPr>
        <w:spacing w:after="0"/>
        <w:jc w:val="center"/>
        <w:rPr>
          <w:rFonts w:ascii="Verdana" w:hAnsi="Verdana"/>
          <w:sz w:val="20"/>
          <w:szCs w:val="20"/>
        </w:rPr>
      </w:pPr>
      <w:r>
        <w:rPr>
          <w:rFonts w:ascii="Verdana" w:hAnsi="Verdana"/>
          <w:sz w:val="20"/>
          <w:szCs w:val="20"/>
        </w:rPr>
        <w:t xml:space="preserve">                                                                             Presidente</w:t>
      </w:r>
    </w:p>
    <w:p w:rsidR="00C93CF2" w:rsidRDefault="00C93CF2" w:rsidP="00C93CF2">
      <w:pPr>
        <w:spacing w:after="0"/>
        <w:jc w:val="center"/>
        <w:rPr>
          <w:rFonts w:ascii="Verdana" w:hAnsi="Verdana"/>
          <w:sz w:val="20"/>
          <w:szCs w:val="20"/>
        </w:rPr>
      </w:pPr>
    </w:p>
    <w:p w:rsidR="00C93CF2" w:rsidRDefault="00C93CF2" w:rsidP="00C93CF2">
      <w:pPr>
        <w:spacing w:after="0"/>
        <w:jc w:val="center"/>
        <w:rPr>
          <w:rFonts w:ascii="Verdana" w:hAnsi="Verdana"/>
          <w:sz w:val="20"/>
          <w:szCs w:val="20"/>
        </w:rPr>
      </w:pPr>
    </w:p>
    <w:p w:rsidR="00C93CF2" w:rsidRDefault="00C93CF2" w:rsidP="00C93CF2">
      <w:pPr>
        <w:spacing w:after="0"/>
        <w:jc w:val="center"/>
        <w:rPr>
          <w:rFonts w:ascii="Verdana" w:hAnsi="Verdana"/>
          <w:sz w:val="20"/>
          <w:szCs w:val="20"/>
        </w:rPr>
      </w:pPr>
    </w:p>
    <w:p w:rsidR="00C93CF2" w:rsidRDefault="00C93CF2" w:rsidP="00C93CF2">
      <w:pPr>
        <w:spacing w:after="0"/>
        <w:jc w:val="center"/>
        <w:rPr>
          <w:rFonts w:ascii="Verdana" w:hAnsi="Verdana"/>
          <w:sz w:val="20"/>
          <w:szCs w:val="20"/>
        </w:rPr>
      </w:pPr>
    </w:p>
    <w:p w:rsidR="00C93CF2" w:rsidRDefault="00C93CF2" w:rsidP="00C93CF2">
      <w:pPr>
        <w:spacing w:after="0"/>
        <w:jc w:val="center"/>
        <w:rPr>
          <w:rFonts w:ascii="Verdana" w:hAnsi="Verdana"/>
          <w:sz w:val="20"/>
          <w:szCs w:val="20"/>
        </w:rPr>
      </w:pPr>
    </w:p>
    <w:p w:rsidR="00C93CF2" w:rsidRDefault="00C93CF2" w:rsidP="00C93CF2">
      <w:pPr>
        <w:spacing w:after="0"/>
        <w:rPr>
          <w:rFonts w:ascii="Verdana" w:hAnsi="Verdana"/>
          <w:sz w:val="20"/>
          <w:szCs w:val="20"/>
        </w:rPr>
      </w:pPr>
      <w:r>
        <w:rPr>
          <w:rFonts w:ascii="Verdana" w:hAnsi="Verdana"/>
          <w:sz w:val="20"/>
          <w:szCs w:val="20"/>
        </w:rPr>
        <w:t>Pablo Saavedra Alessandri</w:t>
      </w:r>
    </w:p>
    <w:p w:rsidR="00C93CF2" w:rsidRDefault="00C93CF2" w:rsidP="00C93CF2">
      <w:pPr>
        <w:spacing w:after="0"/>
        <w:rPr>
          <w:rFonts w:ascii="Verdana" w:hAnsi="Verdana"/>
          <w:sz w:val="20"/>
          <w:szCs w:val="20"/>
        </w:rPr>
      </w:pPr>
      <w:r>
        <w:rPr>
          <w:rFonts w:ascii="Verdana" w:hAnsi="Verdana"/>
          <w:sz w:val="20"/>
          <w:szCs w:val="20"/>
        </w:rPr>
        <w:t xml:space="preserve">           Secretario</w:t>
      </w:r>
    </w:p>
    <w:p w:rsidR="00C93CF2" w:rsidRDefault="00C93CF2" w:rsidP="00C93CF2">
      <w:pPr>
        <w:spacing w:after="0"/>
        <w:rPr>
          <w:rFonts w:ascii="Verdana" w:hAnsi="Verdana"/>
          <w:sz w:val="20"/>
          <w:szCs w:val="20"/>
        </w:rPr>
      </w:pPr>
    </w:p>
    <w:p w:rsidR="00A61E2E" w:rsidRPr="00055330" w:rsidRDefault="00A61E2E" w:rsidP="00C81476">
      <w:pPr>
        <w:tabs>
          <w:tab w:val="left" w:pos="567"/>
        </w:tabs>
        <w:spacing w:after="0" w:line="240" w:lineRule="auto"/>
        <w:ind w:right="6003"/>
        <w:rPr>
          <w:rFonts w:ascii="Verdana" w:eastAsia="Calibri" w:hAnsi="Verdana" w:cs="Calibri"/>
          <w:sz w:val="20"/>
          <w:szCs w:val="20"/>
          <w:lang w:val="es-MX"/>
        </w:rPr>
      </w:pPr>
    </w:p>
    <w:sectPr w:rsidR="00A61E2E" w:rsidRPr="00055330" w:rsidSect="001C480A">
      <w:headerReference w:type="even" r:id="rId12"/>
      <w:headerReference w:type="default" r:id="rId13"/>
      <w:headerReference w:type="firs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BE" w:rsidRDefault="00CA67BE" w:rsidP="006A0BE5">
      <w:pPr>
        <w:spacing w:after="0" w:line="240" w:lineRule="auto"/>
      </w:pPr>
      <w:r>
        <w:separator/>
      </w:r>
    </w:p>
  </w:endnote>
  <w:endnote w:type="continuationSeparator" w:id="0">
    <w:p w:rsidR="00CA67BE" w:rsidRDefault="00CA67BE"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99evfricwybmfr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BE" w:rsidRDefault="00CA67BE" w:rsidP="006A0BE5">
      <w:pPr>
        <w:spacing w:after="0" w:line="240" w:lineRule="auto"/>
      </w:pPr>
      <w:r>
        <w:separator/>
      </w:r>
    </w:p>
  </w:footnote>
  <w:footnote w:type="continuationSeparator" w:id="0">
    <w:p w:rsidR="00CA67BE" w:rsidRDefault="00CA67BE" w:rsidP="006A0BE5">
      <w:pPr>
        <w:spacing w:after="0" w:line="240" w:lineRule="auto"/>
      </w:pPr>
      <w:r>
        <w:continuationSeparator/>
      </w:r>
    </w:p>
  </w:footnote>
  <w:footnote w:id="1">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rPr>
        <w:t xml:space="preserve"> </w:t>
      </w:r>
      <w:r w:rsidR="00914767">
        <w:rPr>
          <w:rFonts w:ascii="Verdana" w:hAnsi="Verdana"/>
          <w:sz w:val="16"/>
          <w:szCs w:val="16"/>
        </w:rPr>
        <w:tab/>
      </w:r>
      <w:r w:rsidRPr="00C81476">
        <w:rPr>
          <w:rFonts w:ascii="Verdana" w:hAnsi="Verdana"/>
          <w:sz w:val="16"/>
          <w:szCs w:val="16"/>
        </w:rPr>
        <w:t xml:space="preserve">El </w:t>
      </w:r>
      <w:r w:rsidR="00037C05">
        <w:rPr>
          <w:rFonts w:ascii="Verdana" w:hAnsi="Verdana"/>
          <w:sz w:val="16"/>
          <w:szCs w:val="16"/>
        </w:rPr>
        <w:t>1</w:t>
      </w:r>
      <w:r w:rsidRPr="00C81476">
        <w:rPr>
          <w:rFonts w:ascii="Verdana" w:hAnsi="Verdana"/>
          <w:sz w:val="16"/>
          <w:szCs w:val="16"/>
        </w:rPr>
        <w:t xml:space="preserve">3 de octubre de 2017 la Comisión identificó al perito ofrecido como Hernán Víctor Gullco y remitió su hoja de vida. </w:t>
      </w:r>
    </w:p>
  </w:footnote>
  <w:footnote w:id="2">
    <w:p w:rsidR="00450756" w:rsidRPr="00C81476" w:rsidRDefault="00450756" w:rsidP="002E731C">
      <w:pPr>
        <w:tabs>
          <w:tab w:val="left" w:pos="426"/>
        </w:tabs>
        <w:autoSpaceDE w:val="0"/>
        <w:autoSpaceDN w:val="0"/>
        <w:adjustRightInd w:val="0"/>
        <w:spacing w:after="0" w:line="240" w:lineRule="auto"/>
        <w:jc w:val="both"/>
        <w:rPr>
          <w:rFonts w:ascii="Verdana" w:hAnsi="Verdana" w:cs="99evfricwybmfrk"/>
          <w:b/>
          <w:sz w:val="16"/>
          <w:szCs w:val="16"/>
        </w:rPr>
      </w:pPr>
      <w:r w:rsidRPr="00C81476">
        <w:rPr>
          <w:rStyle w:val="FootnoteReference"/>
          <w:rFonts w:ascii="Verdana" w:hAnsi="Verdana"/>
          <w:sz w:val="16"/>
          <w:szCs w:val="16"/>
        </w:rPr>
        <w:footnoteRef/>
      </w:r>
      <w:r w:rsidRPr="00C81476">
        <w:rPr>
          <w:rFonts w:ascii="Verdana" w:hAnsi="Verdana"/>
          <w:sz w:val="16"/>
          <w:szCs w:val="16"/>
        </w:rPr>
        <w:t xml:space="preserve"> </w:t>
      </w:r>
      <w:r w:rsidR="00914767">
        <w:rPr>
          <w:rFonts w:ascii="Verdana" w:hAnsi="Verdana"/>
          <w:sz w:val="16"/>
          <w:szCs w:val="16"/>
        </w:rPr>
        <w:tab/>
      </w:r>
      <w:r w:rsidR="00D55B1D">
        <w:rPr>
          <w:rFonts w:ascii="Verdana" w:hAnsi="Verdana"/>
          <w:sz w:val="16"/>
          <w:szCs w:val="16"/>
        </w:rPr>
        <w:tab/>
      </w:r>
      <w:r w:rsidRPr="00C81476">
        <w:rPr>
          <w:rFonts w:ascii="Verdana" w:hAnsi="Verdana"/>
          <w:sz w:val="16"/>
          <w:szCs w:val="16"/>
        </w:rPr>
        <w:t>Los representantes en el presente caso ante la Corte Interamericana son: Jorge Enrique Rosadio Villavicencio, Carlos Alfonso Rosadio Villavicencio y César Villacorta Espinner.</w:t>
      </w:r>
    </w:p>
  </w:footnote>
  <w:footnote w:id="3">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rPr>
        <w:t xml:space="preserve"> </w:t>
      </w:r>
      <w:r w:rsidR="00914767">
        <w:rPr>
          <w:rFonts w:ascii="Verdana" w:hAnsi="Verdana"/>
          <w:sz w:val="16"/>
          <w:szCs w:val="16"/>
        </w:rPr>
        <w:tab/>
      </w:r>
      <w:r w:rsidRPr="00C81476">
        <w:rPr>
          <w:rFonts w:ascii="Verdana" w:hAnsi="Verdana"/>
          <w:sz w:val="16"/>
          <w:szCs w:val="16"/>
        </w:rPr>
        <w:t xml:space="preserve">Específicamente, propusieron que las siguientes personas declararan en audiencia pública: 1. General de Brigada del Ejército del Perú Alfredo Rodríguez Riveros; 2. Coronel de Infantería del Ejército del Perú Emilio Murgueytio Yáñez; 3. Teniente Coronel de Infantería del Ejército del Perú José Núñez Martínez; 4. Mayor del Servicio de Justicia del Ejército del Perú Jorge Magno Ramírez Huerta; 5. Capitán del Servicio de Justicia del Ejército del Perú Fernando Morales Cabala. Asimismo, ofrecieron las declaraciones de las siguientes personas por medio de affidávit: 1. Mayor de Inteligencia del Ejército del Perú Óscar Ravenna Córdova; 2. Capitán del Servicio de Justicia del Ejército del Perú Luis Hernández Sangai; 3. Alférez de Inteligencia del Ejército del Perú Miguel Alva Cárdenas; 4. Teniente de Inteligencia del Ejército del Perú Sandro Mariscal Villavicencio; 5. Capitán del Servicio de Justicia del Ejército del Perú Pedro Miguel Monsalve Navarrete; 6. Mayor del Servicio de Justicia del Ejército del Perú Ronald Pezo Gonzales; 7. Suboficial de Tercera Auxiliar de Inteligencia de Escucha del Ejército del Perú Sandro Javier Sagua Espezúa; 8. Sargento del Ejército del Perú Julio Jaime Jarama Villacorta. </w:t>
      </w:r>
    </w:p>
  </w:footnote>
  <w:footnote w:id="4">
    <w:p w:rsidR="00450756" w:rsidRPr="00C81476" w:rsidRDefault="00450756" w:rsidP="002E731C">
      <w:pPr>
        <w:pStyle w:val="FootnoteText"/>
        <w:jc w:val="both"/>
        <w:rPr>
          <w:rFonts w:ascii="Verdana" w:hAnsi="Verdana"/>
          <w:sz w:val="16"/>
          <w:szCs w:val="16"/>
          <w:lang w:val="es-PR"/>
        </w:rPr>
      </w:pPr>
      <w:r w:rsidRPr="00C81476">
        <w:rPr>
          <w:rStyle w:val="FootnoteReference"/>
          <w:rFonts w:ascii="Verdana" w:hAnsi="Verdana"/>
          <w:sz w:val="16"/>
          <w:szCs w:val="16"/>
        </w:rPr>
        <w:footnoteRef/>
      </w:r>
      <w:r w:rsidRPr="00C81476">
        <w:rPr>
          <w:rFonts w:ascii="Verdana" w:hAnsi="Verdana"/>
          <w:sz w:val="16"/>
          <w:szCs w:val="16"/>
        </w:rPr>
        <w:t xml:space="preserve"> </w:t>
      </w:r>
      <w:r w:rsidRPr="00C81476">
        <w:rPr>
          <w:rFonts w:ascii="Verdana" w:hAnsi="Verdana"/>
          <w:sz w:val="16"/>
          <w:szCs w:val="16"/>
        </w:rPr>
        <w:tab/>
      </w:r>
      <w:r w:rsidRPr="00C81476">
        <w:rPr>
          <w:rFonts w:ascii="Verdana" w:hAnsi="Verdana"/>
          <w:sz w:val="16"/>
          <w:szCs w:val="16"/>
          <w:lang w:val="es-PR"/>
        </w:rPr>
        <w:t xml:space="preserve">En particular, </w:t>
      </w:r>
      <w:r w:rsidR="00A90C5A">
        <w:rPr>
          <w:rFonts w:ascii="Verdana" w:hAnsi="Verdana"/>
          <w:sz w:val="16"/>
          <w:szCs w:val="16"/>
          <w:lang w:val="es-PR"/>
        </w:rPr>
        <w:t>el Presidente</w:t>
      </w:r>
      <w:r w:rsidRPr="00C81476">
        <w:rPr>
          <w:rFonts w:ascii="Verdana" w:hAnsi="Verdana"/>
          <w:sz w:val="16"/>
          <w:szCs w:val="16"/>
          <w:lang w:val="es-PR"/>
        </w:rPr>
        <w:t xml:space="preserve"> observa que</w:t>
      </w:r>
      <w:r w:rsidR="006E7B19" w:rsidRPr="00C81476">
        <w:rPr>
          <w:rFonts w:ascii="Verdana" w:hAnsi="Verdana"/>
          <w:sz w:val="16"/>
          <w:szCs w:val="16"/>
          <w:lang w:val="es-PR"/>
        </w:rPr>
        <w:t xml:space="preserve"> el señor Gullco es un abogado con experiencia en el Sistema Interamericano de Derechos Humanos, toda vez que ya ha fungido como perito en ocasiones previas</w:t>
      </w:r>
      <w:r w:rsidR="00B57FAC" w:rsidRPr="00C81476">
        <w:rPr>
          <w:rFonts w:ascii="Verdana" w:hAnsi="Verdana"/>
          <w:sz w:val="16"/>
          <w:szCs w:val="16"/>
          <w:lang w:val="es-PR"/>
        </w:rPr>
        <w:t xml:space="preserve"> ante el Tribunal</w:t>
      </w:r>
      <w:r w:rsidR="006E7B19" w:rsidRPr="00C81476">
        <w:rPr>
          <w:rFonts w:ascii="Verdana" w:hAnsi="Verdana"/>
          <w:sz w:val="16"/>
          <w:szCs w:val="16"/>
          <w:lang w:val="es-PR"/>
        </w:rPr>
        <w:t xml:space="preserve">, </w:t>
      </w:r>
      <w:r w:rsidR="00B57FAC" w:rsidRPr="00C81476">
        <w:rPr>
          <w:rFonts w:ascii="Verdana" w:hAnsi="Verdana"/>
          <w:sz w:val="16"/>
          <w:szCs w:val="16"/>
          <w:lang w:val="es-PR"/>
        </w:rPr>
        <w:t>declarando sobre</w:t>
      </w:r>
      <w:r w:rsidR="006E7B19" w:rsidRPr="00C81476">
        <w:rPr>
          <w:rFonts w:ascii="Verdana" w:hAnsi="Verdana"/>
          <w:sz w:val="16"/>
          <w:szCs w:val="16"/>
          <w:lang w:val="es-PR"/>
        </w:rPr>
        <w:t xml:space="preserve"> garantías del debido proceso</w:t>
      </w:r>
      <w:r w:rsidR="00142600" w:rsidRPr="00C81476">
        <w:rPr>
          <w:rFonts w:ascii="Verdana" w:hAnsi="Verdana"/>
          <w:sz w:val="16"/>
          <w:szCs w:val="16"/>
          <w:lang w:val="es-PR"/>
        </w:rPr>
        <w:t xml:space="preserve"> </w:t>
      </w:r>
      <w:r w:rsidR="000B451D" w:rsidRPr="00C81476">
        <w:rPr>
          <w:rFonts w:ascii="Verdana" w:hAnsi="Verdana"/>
          <w:sz w:val="16"/>
          <w:szCs w:val="16"/>
          <w:lang w:val="es-PR"/>
        </w:rPr>
        <w:t xml:space="preserve">tales </w:t>
      </w:r>
      <w:r w:rsidR="00142600" w:rsidRPr="00C81476">
        <w:rPr>
          <w:rFonts w:ascii="Verdana" w:hAnsi="Verdana"/>
          <w:sz w:val="16"/>
          <w:szCs w:val="16"/>
          <w:lang w:val="es-PR"/>
        </w:rPr>
        <w:t>como la presunción de inocencia, el derecho a ser oído y el derecho a contar con un recurso efectivo.</w:t>
      </w:r>
      <w:r w:rsidR="00B57FAC" w:rsidRPr="00C81476">
        <w:rPr>
          <w:rFonts w:ascii="Verdana" w:hAnsi="Verdana"/>
          <w:sz w:val="16"/>
          <w:szCs w:val="16"/>
          <w:lang w:val="es-PR"/>
        </w:rPr>
        <w:t xml:space="preserve"> </w:t>
      </w:r>
      <w:r w:rsidR="00B57FAC" w:rsidRPr="00C81476">
        <w:rPr>
          <w:rFonts w:ascii="Verdana" w:hAnsi="Verdana"/>
          <w:i/>
          <w:sz w:val="16"/>
          <w:szCs w:val="16"/>
          <w:lang w:val="es-PR"/>
        </w:rPr>
        <w:t xml:space="preserve">Cfr. Caso Zegarra Marín Vs. Perú. </w:t>
      </w:r>
      <w:r w:rsidR="00B57FAC" w:rsidRPr="00C81476">
        <w:rPr>
          <w:rFonts w:ascii="Verdana" w:hAnsi="Verdana"/>
          <w:sz w:val="16"/>
          <w:szCs w:val="16"/>
          <w:lang w:val="es-PR"/>
        </w:rPr>
        <w:t>Convocatoria a audiencia.</w:t>
      </w:r>
      <w:r w:rsidR="00B57FAC" w:rsidRPr="00C81476">
        <w:rPr>
          <w:rFonts w:ascii="Verdana" w:hAnsi="Verdana"/>
          <w:i/>
          <w:sz w:val="16"/>
          <w:szCs w:val="16"/>
          <w:lang w:val="es-PR"/>
        </w:rPr>
        <w:t xml:space="preserve"> </w:t>
      </w:r>
      <w:r w:rsidR="00B57FAC" w:rsidRPr="00C81476">
        <w:rPr>
          <w:rFonts w:ascii="Verdana" w:hAnsi="Verdana"/>
          <w:sz w:val="16"/>
          <w:szCs w:val="16"/>
          <w:lang w:val="es-PR"/>
        </w:rPr>
        <w:t xml:space="preserve">Resolución del Presidente de la Corte Interamericana de Derechos Humanos de 17 de diciembre de 2015, </w:t>
      </w:r>
      <w:r w:rsidR="001650FB" w:rsidRPr="00C81476">
        <w:rPr>
          <w:rFonts w:ascii="Verdana" w:hAnsi="Verdana"/>
          <w:sz w:val="16"/>
          <w:szCs w:val="16"/>
          <w:lang w:val="es-PR"/>
        </w:rPr>
        <w:t>p</w:t>
      </w:r>
      <w:r w:rsidR="00B57FAC" w:rsidRPr="00C81476">
        <w:rPr>
          <w:rFonts w:ascii="Verdana" w:hAnsi="Verdana"/>
          <w:sz w:val="16"/>
          <w:szCs w:val="16"/>
          <w:lang w:val="es-PR"/>
        </w:rPr>
        <w:t xml:space="preserve">unto </w:t>
      </w:r>
      <w:r w:rsidR="001650FB" w:rsidRPr="00C81476">
        <w:rPr>
          <w:rFonts w:ascii="Verdana" w:hAnsi="Verdana"/>
          <w:sz w:val="16"/>
          <w:szCs w:val="16"/>
          <w:lang w:val="es-PR"/>
        </w:rPr>
        <w:t>r</w:t>
      </w:r>
      <w:r w:rsidR="00B57FAC" w:rsidRPr="00C81476">
        <w:rPr>
          <w:rFonts w:ascii="Verdana" w:hAnsi="Verdana"/>
          <w:sz w:val="16"/>
          <w:szCs w:val="16"/>
          <w:lang w:val="es-PR"/>
        </w:rPr>
        <w:t>esolutivo 5</w:t>
      </w:r>
      <w:r w:rsidR="003770A6">
        <w:rPr>
          <w:rFonts w:ascii="Verdana" w:hAnsi="Verdana"/>
          <w:sz w:val="16"/>
          <w:szCs w:val="16"/>
          <w:lang w:val="es-PR"/>
        </w:rPr>
        <w:t>,</w:t>
      </w:r>
      <w:r w:rsidR="00FF4DDF" w:rsidRPr="00C81476">
        <w:rPr>
          <w:rFonts w:ascii="Verdana" w:hAnsi="Verdana"/>
          <w:sz w:val="16"/>
          <w:szCs w:val="16"/>
          <w:lang w:val="es-PR"/>
        </w:rPr>
        <w:t xml:space="preserve"> y </w:t>
      </w:r>
      <w:r w:rsidR="00FF4DDF" w:rsidRPr="00C81476">
        <w:rPr>
          <w:rFonts w:ascii="Verdana" w:hAnsi="Verdana"/>
          <w:i/>
          <w:sz w:val="16"/>
          <w:szCs w:val="16"/>
          <w:lang w:val="es-PR"/>
        </w:rPr>
        <w:t>Caso Poblete Vilches y otros Vs. Chile</w:t>
      </w:r>
      <w:r w:rsidR="00FF4DDF" w:rsidRPr="00C81476">
        <w:rPr>
          <w:rFonts w:ascii="Verdana" w:hAnsi="Verdana"/>
          <w:sz w:val="16"/>
          <w:szCs w:val="16"/>
          <w:lang w:val="es-PR"/>
        </w:rPr>
        <w:t xml:space="preserve">. Convocatoria de audiencia. Resolución del Presidente de la Corte Interamericana de Derechos Humanos de 21 de septiembre de 2017, </w:t>
      </w:r>
      <w:r w:rsidR="001650FB" w:rsidRPr="00C81476">
        <w:rPr>
          <w:rFonts w:ascii="Verdana" w:hAnsi="Verdana"/>
          <w:sz w:val="16"/>
          <w:szCs w:val="16"/>
          <w:lang w:val="es-PR"/>
        </w:rPr>
        <w:t>p</w:t>
      </w:r>
      <w:r w:rsidR="00FF4DDF" w:rsidRPr="00C81476">
        <w:rPr>
          <w:rFonts w:ascii="Verdana" w:hAnsi="Verdana"/>
          <w:sz w:val="16"/>
          <w:szCs w:val="16"/>
          <w:lang w:val="es-PR"/>
        </w:rPr>
        <w:t xml:space="preserve">unto </w:t>
      </w:r>
      <w:r w:rsidR="001650FB" w:rsidRPr="00C81476">
        <w:rPr>
          <w:rFonts w:ascii="Verdana" w:hAnsi="Verdana"/>
          <w:sz w:val="16"/>
          <w:szCs w:val="16"/>
          <w:lang w:val="es-PR"/>
        </w:rPr>
        <w:t>r</w:t>
      </w:r>
      <w:r w:rsidR="00FF4DDF" w:rsidRPr="00C81476">
        <w:rPr>
          <w:rFonts w:ascii="Verdana" w:hAnsi="Verdana"/>
          <w:sz w:val="16"/>
          <w:szCs w:val="16"/>
          <w:lang w:val="es-PR"/>
        </w:rPr>
        <w:t>esolutivo 5</w:t>
      </w:r>
      <w:r w:rsidR="00B57FAC" w:rsidRPr="00C81476">
        <w:rPr>
          <w:rFonts w:ascii="Verdana" w:hAnsi="Verdana"/>
          <w:sz w:val="16"/>
          <w:szCs w:val="16"/>
          <w:lang w:val="es-PR"/>
        </w:rPr>
        <w:t>.</w:t>
      </w:r>
      <w:r w:rsidR="00142600" w:rsidRPr="00C81476">
        <w:rPr>
          <w:rFonts w:ascii="Verdana" w:hAnsi="Verdana"/>
          <w:sz w:val="16"/>
          <w:szCs w:val="16"/>
          <w:lang w:val="es-PR"/>
        </w:rPr>
        <w:t xml:space="preserve"> </w:t>
      </w:r>
      <w:r w:rsidR="00D931F0" w:rsidRPr="00C81476">
        <w:rPr>
          <w:rFonts w:ascii="Verdana" w:hAnsi="Verdana"/>
          <w:sz w:val="16"/>
          <w:szCs w:val="16"/>
          <w:lang w:val="es-PR"/>
        </w:rPr>
        <w:t>Asimismo</w:t>
      </w:r>
      <w:r w:rsidR="00142600" w:rsidRPr="00C81476">
        <w:rPr>
          <w:rFonts w:ascii="Verdana" w:hAnsi="Verdana"/>
          <w:sz w:val="16"/>
          <w:szCs w:val="16"/>
          <w:lang w:val="es-PR"/>
        </w:rPr>
        <w:t xml:space="preserve">, que el </w:t>
      </w:r>
      <w:r w:rsidR="000B451D" w:rsidRPr="00C81476">
        <w:rPr>
          <w:rFonts w:ascii="Verdana" w:hAnsi="Verdana"/>
          <w:sz w:val="16"/>
          <w:szCs w:val="16"/>
          <w:lang w:val="es-PR"/>
        </w:rPr>
        <w:t>perito propuesto</w:t>
      </w:r>
      <w:r w:rsidR="00142600" w:rsidRPr="00C81476">
        <w:rPr>
          <w:rFonts w:ascii="Verdana" w:hAnsi="Verdana"/>
          <w:sz w:val="16"/>
          <w:szCs w:val="16"/>
          <w:lang w:val="es-PR"/>
        </w:rPr>
        <w:t xml:space="preserve"> </w:t>
      </w:r>
      <w:r w:rsidR="00D931F0" w:rsidRPr="00C81476">
        <w:rPr>
          <w:rFonts w:ascii="Verdana" w:hAnsi="Verdana"/>
          <w:sz w:val="16"/>
          <w:szCs w:val="16"/>
          <w:lang w:val="es-PR"/>
        </w:rPr>
        <w:t>cuenta con experiencia como docente en materias relativas al Derecho Penal y al Derecho Constitucional</w:t>
      </w:r>
      <w:r w:rsidR="000B451D" w:rsidRPr="00C81476">
        <w:rPr>
          <w:rFonts w:ascii="Verdana" w:hAnsi="Verdana"/>
          <w:sz w:val="16"/>
          <w:szCs w:val="16"/>
          <w:lang w:val="es-PR"/>
        </w:rPr>
        <w:t>.</w:t>
      </w:r>
    </w:p>
  </w:footnote>
  <w:footnote w:id="5">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lang w:val="pt-BR"/>
        </w:rPr>
        <w:t xml:space="preserve"> </w:t>
      </w:r>
      <w:r w:rsidRPr="00C81476">
        <w:rPr>
          <w:rFonts w:ascii="Verdana" w:hAnsi="Verdana"/>
          <w:sz w:val="16"/>
          <w:szCs w:val="16"/>
          <w:lang w:val="pt-BR"/>
        </w:rPr>
        <w:tab/>
      </w:r>
      <w:r w:rsidRPr="00C81476">
        <w:rPr>
          <w:rFonts w:ascii="Verdana" w:hAnsi="Verdana"/>
          <w:i/>
          <w:sz w:val="16"/>
          <w:szCs w:val="16"/>
          <w:lang w:val="pt-BR"/>
        </w:rPr>
        <w:t>Cfr.</w:t>
      </w:r>
      <w:r w:rsidR="002E731C" w:rsidRPr="00C81476">
        <w:rPr>
          <w:rFonts w:ascii="Verdana" w:hAnsi="Verdana"/>
          <w:i/>
          <w:iCs/>
          <w:sz w:val="16"/>
          <w:szCs w:val="16"/>
          <w:lang w:val="pt-BR"/>
        </w:rPr>
        <w:t xml:space="preserve"> Caso Masacre de Santo Domingo Vs. </w:t>
      </w:r>
      <w:r w:rsidR="002E731C" w:rsidRPr="00C81476">
        <w:rPr>
          <w:rFonts w:ascii="Verdana" w:hAnsi="Verdana"/>
          <w:i/>
          <w:iCs/>
          <w:sz w:val="16"/>
          <w:szCs w:val="16"/>
          <w:lang w:val="es-VE"/>
        </w:rPr>
        <w:t>Colombia</w:t>
      </w:r>
      <w:r w:rsidR="002E731C" w:rsidRPr="00C81476">
        <w:rPr>
          <w:rFonts w:ascii="Verdana" w:hAnsi="Verdana"/>
          <w:sz w:val="16"/>
          <w:szCs w:val="16"/>
          <w:lang w:val="es-VE"/>
        </w:rPr>
        <w:t xml:space="preserve">. </w:t>
      </w:r>
      <w:r w:rsidR="00D528C8">
        <w:rPr>
          <w:rFonts w:ascii="Verdana" w:hAnsi="Verdana"/>
          <w:sz w:val="16"/>
          <w:szCs w:val="16"/>
          <w:lang w:val="es-VE"/>
        </w:rPr>
        <w:t xml:space="preserve">Convocatoria a audiencia. </w:t>
      </w:r>
      <w:r w:rsidR="002E731C" w:rsidRPr="00C81476">
        <w:rPr>
          <w:rFonts w:ascii="Verdana" w:hAnsi="Verdana"/>
          <w:sz w:val="16"/>
          <w:szCs w:val="16"/>
          <w:lang w:val="es-VE"/>
        </w:rPr>
        <w:t>Resolución del Presidente de la Corte Interamericana de Derechos Humanos de 5 de junio de 2012, considerando 10</w:t>
      </w:r>
      <w:r w:rsidR="00D528C8">
        <w:rPr>
          <w:rFonts w:ascii="Verdana" w:hAnsi="Verdana"/>
          <w:sz w:val="16"/>
          <w:szCs w:val="16"/>
          <w:lang w:val="es-VE"/>
        </w:rPr>
        <w:t xml:space="preserve">, y </w:t>
      </w:r>
      <w:r w:rsidR="002E731C" w:rsidRPr="00C81476">
        <w:rPr>
          <w:rFonts w:ascii="Verdana" w:hAnsi="Verdana"/>
          <w:i/>
          <w:iCs/>
          <w:sz w:val="16"/>
          <w:szCs w:val="16"/>
          <w:lang w:val="es-VE"/>
        </w:rPr>
        <w:t xml:space="preserve">Caso Ramírez Escobar y otros vs. Guatemala. </w:t>
      </w:r>
      <w:r w:rsidR="002E731C" w:rsidRPr="00C25D01">
        <w:rPr>
          <w:rFonts w:ascii="Verdana" w:hAnsi="Verdana"/>
          <w:iCs/>
          <w:sz w:val="16"/>
          <w:szCs w:val="16"/>
          <w:lang w:val="es-VE"/>
        </w:rPr>
        <w:t>Convocatoria de audiencia.</w:t>
      </w:r>
      <w:r w:rsidR="002E731C" w:rsidRPr="00C81476">
        <w:rPr>
          <w:rFonts w:ascii="Verdana" w:hAnsi="Verdana"/>
          <w:i/>
          <w:iCs/>
          <w:sz w:val="16"/>
          <w:szCs w:val="16"/>
          <w:lang w:val="es-VE"/>
        </w:rPr>
        <w:t xml:space="preserve"> </w:t>
      </w:r>
      <w:r w:rsidR="002E731C" w:rsidRPr="00C81476">
        <w:rPr>
          <w:rFonts w:ascii="Verdana" w:hAnsi="Verdana"/>
          <w:sz w:val="16"/>
          <w:szCs w:val="16"/>
          <w:lang w:val="es-VE"/>
        </w:rPr>
        <w:t>Resolución del Presidente de la Corte Interamericana de Derechos Humanos de 11 de abril de 2017, considerando 7.</w:t>
      </w:r>
    </w:p>
  </w:footnote>
  <w:footnote w:id="6">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rPr>
        <w:tab/>
      </w:r>
      <w:r w:rsidRPr="00C81476">
        <w:rPr>
          <w:rFonts w:ascii="Verdana" w:hAnsi="Verdana"/>
          <w:i/>
          <w:sz w:val="16"/>
          <w:szCs w:val="16"/>
          <w:lang w:val="es-VE"/>
        </w:rPr>
        <w:t xml:space="preserve">Cfr. Caso Ramírez Escobar y otros </w:t>
      </w:r>
      <w:r w:rsidR="00D528C8">
        <w:rPr>
          <w:rFonts w:ascii="Verdana" w:hAnsi="Verdana"/>
          <w:i/>
          <w:sz w:val="16"/>
          <w:szCs w:val="16"/>
          <w:lang w:val="es-VE"/>
        </w:rPr>
        <w:t>V</w:t>
      </w:r>
      <w:r w:rsidRPr="00C81476">
        <w:rPr>
          <w:rFonts w:ascii="Verdana" w:hAnsi="Verdana"/>
          <w:i/>
          <w:sz w:val="16"/>
          <w:szCs w:val="16"/>
          <w:lang w:val="es-VE"/>
        </w:rPr>
        <w:t xml:space="preserve">s. Guatemala. Convocatoria de audiencia. </w:t>
      </w:r>
      <w:r w:rsidRPr="00C81476">
        <w:rPr>
          <w:rFonts w:ascii="Verdana" w:hAnsi="Verdana"/>
          <w:sz w:val="16"/>
          <w:szCs w:val="16"/>
          <w:lang w:val="es-VE"/>
        </w:rPr>
        <w:t>Resolución del Presidente de la Corte Interamericana de Derechos Humanos de 11 de abril de 2017, considerando 7.</w:t>
      </w:r>
    </w:p>
  </w:footnote>
  <w:footnote w:id="7">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i/>
          <w:sz w:val="16"/>
          <w:szCs w:val="16"/>
          <w:lang w:val="es-VE"/>
        </w:rPr>
        <w:t xml:space="preserve"> </w:t>
      </w:r>
      <w:r w:rsidRPr="00C81476">
        <w:rPr>
          <w:rFonts w:ascii="Verdana" w:hAnsi="Verdana"/>
          <w:i/>
          <w:sz w:val="16"/>
          <w:szCs w:val="16"/>
          <w:lang w:val="es-VE"/>
        </w:rPr>
        <w:tab/>
      </w:r>
      <w:r w:rsidRPr="00C81476">
        <w:rPr>
          <w:rFonts w:ascii="Verdana" w:hAnsi="Verdana"/>
          <w:sz w:val="16"/>
          <w:szCs w:val="16"/>
          <w:lang w:val="es-VE"/>
        </w:rPr>
        <w:t xml:space="preserve">En el mismo sentido, </w:t>
      </w:r>
      <w:r w:rsidRPr="00C81476">
        <w:rPr>
          <w:rFonts w:ascii="Verdana" w:hAnsi="Verdana"/>
          <w:i/>
          <w:sz w:val="16"/>
          <w:szCs w:val="16"/>
          <w:lang w:val="es-VE"/>
        </w:rPr>
        <w:t xml:space="preserve">véase, Caso Ramírez Escobar y otros vs. Guatemala. Convocatoria de audiencia. </w:t>
      </w:r>
      <w:r w:rsidRPr="00C81476">
        <w:rPr>
          <w:rFonts w:ascii="Verdana" w:hAnsi="Verdana"/>
          <w:sz w:val="16"/>
          <w:szCs w:val="16"/>
          <w:lang w:val="es-VE"/>
        </w:rPr>
        <w:t>Resolución del Presidente de la Corte Interamericana de Derechos Humanos de 11 de abril de 2017, considerando 8.</w:t>
      </w:r>
    </w:p>
  </w:footnote>
  <w:footnote w:id="8">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rPr>
        <w:t xml:space="preserve"> </w:t>
      </w:r>
      <w:r w:rsidRPr="00C81476">
        <w:rPr>
          <w:rFonts w:ascii="Verdana" w:hAnsi="Verdana"/>
          <w:sz w:val="16"/>
          <w:szCs w:val="16"/>
        </w:rPr>
        <w:tab/>
      </w:r>
      <w:r w:rsidR="002D6B07" w:rsidRPr="00C25D01">
        <w:rPr>
          <w:rFonts w:ascii="Verdana" w:hAnsi="Verdana" w:cs="Arial"/>
          <w:i/>
          <w:sz w:val="16"/>
          <w:szCs w:val="16"/>
        </w:rPr>
        <w:t>Cfr</w:t>
      </w:r>
      <w:r w:rsidR="002D6B07" w:rsidRPr="00A57018">
        <w:rPr>
          <w:rFonts w:ascii="Verdana" w:hAnsi="Verdana" w:cs="Arial"/>
          <w:sz w:val="16"/>
          <w:szCs w:val="16"/>
        </w:rPr>
        <w:t xml:space="preserve">. </w:t>
      </w:r>
      <w:r w:rsidR="002D6B07" w:rsidRPr="00C25D01">
        <w:rPr>
          <w:rFonts w:ascii="Verdana" w:hAnsi="Verdana" w:cs="Arial"/>
          <w:i/>
          <w:sz w:val="16"/>
          <w:szCs w:val="16"/>
        </w:rPr>
        <w:t>Caso Velásquez Rodríguez Vs. Honduras. Fondo.</w:t>
      </w:r>
      <w:r w:rsidR="002D6B07" w:rsidRPr="00A57018">
        <w:rPr>
          <w:rFonts w:ascii="Verdana" w:hAnsi="Verdana" w:cs="Arial"/>
          <w:sz w:val="16"/>
          <w:szCs w:val="16"/>
        </w:rPr>
        <w:t xml:space="preserve"> Sentencia de 29 de julio de 1988. Serie C No. 4, párrs. 128, 132 a 133</w:t>
      </w:r>
      <w:r w:rsidR="002D6B07">
        <w:rPr>
          <w:rFonts w:ascii="Verdana" w:hAnsi="Verdana" w:cs="Arial"/>
          <w:sz w:val="16"/>
          <w:szCs w:val="16"/>
          <w:lang w:val="es-VE"/>
        </w:rPr>
        <w:t>, y</w:t>
      </w:r>
      <w:r w:rsidR="002D6B07" w:rsidRPr="00A57018">
        <w:rPr>
          <w:rFonts w:ascii="Verdana" w:hAnsi="Verdana" w:cs="Arial"/>
          <w:sz w:val="16"/>
          <w:szCs w:val="16"/>
          <w:lang w:val="es-VE"/>
        </w:rPr>
        <w:t xml:space="preserve"> </w:t>
      </w:r>
      <w:r w:rsidR="002D6B07" w:rsidRPr="00C25D01">
        <w:rPr>
          <w:rFonts w:ascii="Verdana" w:hAnsi="Verdana" w:cs="Arial"/>
          <w:i/>
          <w:sz w:val="16"/>
          <w:szCs w:val="16"/>
          <w:lang w:val="es-VE"/>
        </w:rPr>
        <w:t xml:space="preserve">Caso Alvarado Espinoza y otros </w:t>
      </w:r>
      <w:r w:rsidR="002D6B07">
        <w:rPr>
          <w:rFonts w:ascii="Verdana" w:hAnsi="Verdana" w:cs="Arial"/>
          <w:i/>
          <w:sz w:val="16"/>
          <w:szCs w:val="16"/>
          <w:lang w:val="es-VE"/>
        </w:rPr>
        <w:t>V</w:t>
      </w:r>
      <w:r w:rsidR="002D6B07" w:rsidRPr="00C25D01">
        <w:rPr>
          <w:rFonts w:ascii="Verdana" w:hAnsi="Verdana" w:cs="Arial"/>
          <w:i/>
          <w:sz w:val="16"/>
          <w:szCs w:val="16"/>
          <w:lang w:val="es-VE"/>
        </w:rPr>
        <w:t>s. México.</w:t>
      </w:r>
      <w:r w:rsidR="002D6B07" w:rsidRPr="00A57018">
        <w:rPr>
          <w:rFonts w:ascii="Verdana" w:hAnsi="Verdana" w:cs="Arial"/>
          <w:sz w:val="16"/>
          <w:szCs w:val="16"/>
          <w:lang w:val="es-VE"/>
        </w:rPr>
        <w:t xml:space="preserve"> Reconsideración de Convocatoria a Audiencia. Resolución de la Corte Interamericana de Derechos Humanos de 23 de abril de 2018, considerando 21.</w:t>
      </w:r>
    </w:p>
  </w:footnote>
  <w:footnote w:id="9">
    <w:p w:rsidR="00450756" w:rsidRPr="002D6B07" w:rsidRDefault="00450756" w:rsidP="002E731C">
      <w:pPr>
        <w:pStyle w:val="FootnoteText"/>
        <w:jc w:val="both"/>
        <w:rPr>
          <w:rFonts w:ascii="Verdana" w:hAnsi="Verdana" w:cs="Arial"/>
          <w:sz w:val="16"/>
          <w:szCs w:val="16"/>
          <w:lang w:val="es-VE"/>
        </w:rPr>
      </w:pPr>
      <w:r w:rsidRPr="00C81476">
        <w:rPr>
          <w:rStyle w:val="FootnoteReference"/>
          <w:rFonts w:ascii="Verdana" w:hAnsi="Verdana"/>
          <w:sz w:val="16"/>
          <w:szCs w:val="16"/>
        </w:rPr>
        <w:footnoteRef/>
      </w:r>
      <w:r w:rsidRPr="00C81476">
        <w:rPr>
          <w:rFonts w:ascii="Verdana" w:hAnsi="Verdana"/>
          <w:sz w:val="16"/>
          <w:szCs w:val="16"/>
        </w:rPr>
        <w:t xml:space="preserve"> </w:t>
      </w:r>
      <w:r w:rsidRPr="00C81476">
        <w:rPr>
          <w:rFonts w:ascii="Verdana" w:hAnsi="Verdana"/>
          <w:sz w:val="16"/>
          <w:szCs w:val="16"/>
        </w:rPr>
        <w:tab/>
      </w:r>
      <w:r w:rsidR="002D6B07" w:rsidRPr="00C25D01">
        <w:rPr>
          <w:rFonts w:ascii="Verdana" w:hAnsi="Verdana" w:cs="Arial"/>
          <w:i/>
          <w:sz w:val="16"/>
          <w:szCs w:val="16"/>
          <w:lang w:val="es-VE"/>
        </w:rPr>
        <w:t xml:space="preserve">Cfr. </w:t>
      </w:r>
      <w:r w:rsidR="002D6B07" w:rsidRPr="00C25D01">
        <w:rPr>
          <w:rFonts w:ascii="Verdana" w:hAnsi="Verdana" w:cs="Arial"/>
          <w:i/>
          <w:sz w:val="16"/>
          <w:szCs w:val="16"/>
        </w:rPr>
        <w:t>Caso de la “Masacre de Pueblo Bello” Vs. Colombia.</w:t>
      </w:r>
      <w:r w:rsidR="002D6B07" w:rsidRPr="00A57018">
        <w:rPr>
          <w:rFonts w:ascii="Verdana" w:hAnsi="Verdana" w:cs="Arial"/>
          <w:sz w:val="16"/>
          <w:szCs w:val="16"/>
        </w:rPr>
        <w:t xml:space="preserve"> Convocatoria a audiencia. Resolución del Presidente de la Corte Interamericana de Derechos Humanos de 29 de julio de 2005, considerando 7</w:t>
      </w:r>
      <w:r w:rsidR="002D6B07">
        <w:rPr>
          <w:rFonts w:ascii="Verdana" w:hAnsi="Verdana" w:cs="Arial"/>
          <w:sz w:val="16"/>
          <w:szCs w:val="16"/>
          <w:lang w:val="es-VE"/>
        </w:rPr>
        <w:t>, y</w:t>
      </w:r>
      <w:r w:rsidR="002D6B07" w:rsidRPr="00A57018">
        <w:rPr>
          <w:rFonts w:ascii="Verdana" w:hAnsi="Verdana" w:cs="Arial"/>
          <w:sz w:val="16"/>
          <w:szCs w:val="16"/>
          <w:lang w:val="es-VE"/>
        </w:rPr>
        <w:t xml:space="preserve"> </w:t>
      </w:r>
      <w:r w:rsidR="002D6B07" w:rsidRPr="00C25D01">
        <w:rPr>
          <w:rFonts w:ascii="Verdana" w:hAnsi="Verdana" w:cs="Arial"/>
          <w:i/>
          <w:sz w:val="16"/>
          <w:szCs w:val="16"/>
          <w:lang w:val="es-VE"/>
        </w:rPr>
        <w:t xml:space="preserve">Caso Álvarez Ramos vs. Venezuela. </w:t>
      </w:r>
      <w:r w:rsidR="002D6B07" w:rsidRPr="00A57018">
        <w:rPr>
          <w:rFonts w:ascii="Verdana" w:hAnsi="Verdana" w:cs="Arial"/>
          <w:sz w:val="16"/>
          <w:szCs w:val="16"/>
          <w:lang w:val="es-VE"/>
        </w:rPr>
        <w:t xml:space="preserve">Convocatoria a Audiencia. Resolución del Presidente de la Corte Interamericana de Derechos Humanos de 21 de junio de 2018, considerando 44. </w:t>
      </w:r>
      <w:r w:rsidR="00AE61B9" w:rsidRPr="00C81476">
        <w:rPr>
          <w:rFonts w:ascii="Verdana" w:hAnsi="Verdana"/>
          <w:i/>
          <w:sz w:val="16"/>
          <w:szCs w:val="16"/>
          <w:lang w:val="es-VE"/>
        </w:rPr>
        <w:t xml:space="preserve"> </w:t>
      </w:r>
    </w:p>
  </w:footnote>
  <w:footnote w:id="10">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lang w:val="es-PR"/>
        </w:rPr>
        <w:t xml:space="preserve"> </w:t>
      </w:r>
      <w:r w:rsidRPr="00C81476">
        <w:rPr>
          <w:rFonts w:ascii="Verdana" w:hAnsi="Verdana"/>
          <w:sz w:val="16"/>
          <w:szCs w:val="16"/>
          <w:lang w:val="es-PR"/>
        </w:rPr>
        <w:tab/>
      </w:r>
      <w:r w:rsidRPr="00C81476">
        <w:rPr>
          <w:rFonts w:ascii="Verdana" w:hAnsi="Verdana"/>
          <w:i/>
          <w:sz w:val="16"/>
          <w:szCs w:val="16"/>
          <w:lang w:val="es-PR"/>
        </w:rPr>
        <w:t>Cfr.</w:t>
      </w:r>
      <w:r w:rsidRPr="00C81476">
        <w:rPr>
          <w:rFonts w:ascii="Verdana" w:hAnsi="Verdana"/>
          <w:sz w:val="16"/>
          <w:szCs w:val="16"/>
          <w:lang w:val="es-PR"/>
        </w:rPr>
        <w:t xml:space="preserve"> </w:t>
      </w:r>
      <w:r w:rsidR="00AE61B9" w:rsidRPr="00C81476">
        <w:rPr>
          <w:rFonts w:ascii="Verdana" w:hAnsi="Verdana"/>
          <w:i/>
          <w:sz w:val="16"/>
          <w:szCs w:val="16"/>
          <w:lang w:val="es-PR"/>
        </w:rPr>
        <w:t xml:space="preserve">Caso Cinco Pensionistas Vs. </w:t>
      </w:r>
      <w:r w:rsidR="00AE61B9" w:rsidRPr="00C81476">
        <w:rPr>
          <w:rFonts w:ascii="Verdana" w:hAnsi="Verdana"/>
          <w:i/>
          <w:sz w:val="16"/>
          <w:szCs w:val="16"/>
        </w:rPr>
        <w:t>Perú</w:t>
      </w:r>
      <w:r w:rsidR="00AE61B9" w:rsidRPr="00C81476">
        <w:rPr>
          <w:rFonts w:ascii="Verdana" w:hAnsi="Verdana"/>
          <w:sz w:val="16"/>
          <w:szCs w:val="16"/>
        </w:rPr>
        <w:t>. Fondo, Reparaciones y Costas. Sentencia de 28 de febrero de 2003. Serie C No. 98, párr. 153</w:t>
      </w:r>
      <w:r w:rsidR="002D6B07">
        <w:rPr>
          <w:rFonts w:ascii="Verdana" w:hAnsi="Verdana"/>
          <w:sz w:val="16"/>
          <w:szCs w:val="16"/>
        </w:rPr>
        <w:t>, y</w:t>
      </w:r>
      <w:r w:rsidR="00AE61B9" w:rsidRPr="00C81476">
        <w:rPr>
          <w:rFonts w:ascii="Verdana" w:hAnsi="Verdana"/>
          <w:sz w:val="16"/>
          <w:szCs w:val="16"/>
        </w:rPr>
        <w:t xml:space="preserve"> </w:t>
      </w:r>
      <w:r w:rsidRPr="00C81476">
        <w:rPr>
          <w:rFonts w:ascii="Verdana" w:hAnsi="Verdana"/>
          <w:i/>
          <w:sz w:val="16"/>
          <w:szCs w:val="16"/>
        </w:rPr>
        <w:t>Caso Amrhein y otros vs. Costa Rica</w:t>
      </w:r>
      <w:r w:rsidRPr="00C81476">
        <w:rPr>
          <w:rFonts w:ascii="Verdana" w:hAnsi="Verdana"/>
          <w:sz w:val="16"/>
          <w:szCs w:val="16"/>
        </w:rPr>
        <w:t>. Resolución de la Corte Interamericana de Derechos Humanos de 21 de agosto de 2017, considerando 7</w:t>
      </w:r>
      <w:r w:rsidR="00AE61B9" w:rsidRPr="00C81476">
        <w:rPr>
          <w:rFonts w:ascii="Verdana" w:hAnsi="Verdana"/>
          <w:sz w:val="16"/>
          <w:szCs w:val="16"/>
        </w:rPr>
        <w:t>.</w:t>
      </w:r>
    </w:p>
  </w:footnote>
  <w:footnote w:id="11">
    <w:p w:rsidR="00450756" w:rsidRPr="00C81476" w:rsidRDefault="00450756" w:rsidP="002E731C">
      <w:pPr>
        <w:pStyle w:val="FootnoteText"/>
        <w:jc w:val="both"/>
        <w:rPr>
          <w:rFonts w:ascii="Verdana" w:hAnsi="Verdana"/>
          <w:sz w:val="16"/>
          <w:szCs w:val="16"/>
          <w:lang w:val="es-VE"/>
        </w:rPr>
      </w:pPr>
      <w:r w:rsidRPr="00C81476">
        <w:rPr>
          <w:rStyle w:val="FootnoteReference"/>
          <w:rFonts w:ascii="Verdana" w:hAnsi="Verdana"/>
          <w:sz w:val="16"/>
          <w:szCs w:val="16"/>
        </w:rPr>
        <w:footnoteRef/>
      </w:r>
      <w:r w:rsidRPr="00C81476">
        <w:rPr>
          <w:rFonts w:ascii="Verdana" w:hAnsi="Verdana"/>
          <w:sz w:val="16"/>
          <w:szCs w:val="16"/>
          <w:lang w:val="es-VE"/>
        </w:rPr>
        <w:t xml:space="preserve"> </w:t>
      </w:r>
      <w:r w:rsidRPr="00C81476">
        <w:rPr>
          <w:rFonts w:ascii="Verdana" w:hAnsi="Verdana"/>
          <w:sz w:val="16"/>
          <w:szCs w:val="16"/>
          <w:lang w:val="es-VE"/>
        </w:rPr>
        <w:tab/>
      </w:r>
      <w:r w:rsidRPr="00C81476">
        <w:rPr>
          <w:rFonts w:ascii="Verdana" w:hAnsi="Verdana"/>
          <w:i/>
          <w:sz w:val="16"/>
          <w:szCs w:val="16"/>
        </w:rPr>
        <w:t>Cfr.</w:t>
      </w:r>
      <w:r w:rsidRPr="00C81476">
        <w:rPr>
          <w:rFonts w:ascii="Verdana" w:hAnsi="Verdana"/>
          <w:sz w:val="16"/>
          <w:szCs w:val="16"/>
        </w:rPr>
        <w:t xml:space="preserve"> </w:t>
      </w:r>
      <w:r w:rsidR="00AE61B9" w:rsidRPr="00C81476">
        <w:rPr>
          <w:rFonts w:ascii="Verdana" w:hAnsi="Verdana"/>
          <w:i/>
          <w:sz w:val="16"/>
          <w:szCs w:val="16"/>
        </w:rPr>
        <w:t>Caso Cinco Pensionistas Vs. Perú</w:t>
      </w:r>
      <w:r w:rsidR="00AE61B9" w:rsidRPr="00C81476">
        <w:rPr>
          <w:rFonts w:ascii="Verdana" w:hAnsi="Verdana"/>
          <w:sz w:val="16"/>
          <w:szCs w:val="16"/>
        </w:rPr>
        <w:t>, párr. 155</w:t>
      </w:r>
      <w:r w:rsidR="00914767">
        <w:rPr>
          <w:rFonts w:ascii="Verdana" w:hAnsi="Verdana"/>
          <w:sz w:val="16"/>
          <w:szCs w:val="16"/>
        </w:rPr>
        <w:t>, y</w:t>
      </w:r>
      <w:r w:rsidR="00AE61B9" w:rsidRPr="00C81476">
        <w:rPr>
          <w:rFonts w:ascii="Verdana" w:hAnsi="Verdana"/>
          <w:sz w:val="16"/>
          <w:szCs w:val="16"/>
        </w:rPr>
        <w:t xml:space="preserve"> </w:t>
      </w:r>
      <w:r w:rsidRPr="00C81476">
        <w:rPr>
          <w:rFonts w:ascii="Verdana" w:hAnsi="Verdana"/>
          <w:i/>
          <w:sz w:val="16"/>
          <w:szCs w:val="16"/>
        </w:rPr>
        <w:t>Caso Amrhein y otros vs. Costa Rica</w:t>
      </w:r>
      <w:r w:rsidRPr="00C81476">
        <w:rPr>
          <w:rFonts w:ascii="Verdana" w:hAnsi="Verdana"/>
          <w:sz w:val="16"/>
          <w:szCs w:val="16"/>
        </w:rPr>
        <w:t>. Resolución de la Corte Interamericana de Derechos Humanos de 21 de agosto de 2017, considerando 7</w:t>
      </w:r>
      <w:r w:rsidR="00AE61B9" w:rsidRPr="00C81476">
        <w:rPr>
          <w:rFonts w:ascii="Verdana" w:hAnsi="Verdana"/>
          <w:sz w:val="16"/>
          <w:szCs w:val="16"/>
        </w:rPr>
        <w:t>.</w:t>
      </w:r>
    </w:p>
  </w:footnote>
  <w:footnote w:id="12">
    <w:p w:rsidR="00885A51" w:rsidRPr="00C25D01" w:rsidRDefault="00885A51" w:rsidP="00C25D01">
      <w:pPr>
        <w:spacing w:after="0" w:line="240" w:lineRule="auto"/>
        <w:jc w:val="both"/>
        <w:rPr>
          <w:rFonts w:ascii="Verdana" w:hAnsi="Verdana"/>
          <w:i/>
          <w:iCs/>
          <w:sz w:val="16"/>
          <w:szCs w:val="16"/>
          <w:lang w:val="es-VE"/>
        </w:rPr>
      </w:pPr>
      <w:r w:rsidRPr="00C81476">
        <w:rPr>
          <w:rStyle w:val="FootnoteReference"/>
          <w:rFonts w:ascii="Verdana" w:hAnsi="Verdana"/>
          <w:sz w:val="16"/>
          <w:szCs w:val="16"/>
        </w:rPr>
        <w:footnoteRef/>
      </w:r>
      <w:r w:rsidRPr="00C81476">
        <w:rPr>
          <w:rFonts w:ascii="Verdana" w:hAnsi="Verdana"/>
          <w:sz w:val="16"/>
          <w:szCs w:val="16"/>
          <w:lang w:val="es-VE"/>
        </w:rPr>
        <w:t xml:space="preserve"> </w:t>
      </w:r>
      <w:r w:rsidR="002D6B07">
        <w:rPr>
          <w:rFonts w:ascii="Verdana" w:hAnsi="Verdana"/>
          <w:sz w:val="16"/>
          <w:szCs w:val="16"/>
          <w:lang w:val="es-VE"/>
        </w:rPr>
        <w:tab/>
      </w:r>
      <w:r w:rsidR="002D6B07" w:rsidRPr="00224E1D">
        <w:rPr>
          <w:rFonts w:ascii="Verdana" w:hAnsi="Verdana"/>
          <w:i/>
          <w:sz w:val="16"/>
          <w:szCs w:val="16"/>
        </w:rPr>
        <w:t>Cfr</w:t>
      </w:r>
      <w:r w:rsidR="002D6B07" w:rsidRPr="00A57018">
        <w:rPr>
          <w:rFonts w:ascii="Verdana" w:hAnsi="Verdana"/>
          <w:sz w:val="16"/>
          <w:szCs w:val="16"/>
        </w:rPr>
        <w:t xml:space="preserve">. </w:t>
      </w:r>
      <w:r w:rsidR="002D6B07" w:rsidRPr="00A57018">
        <w:rPr>
          <w:rFonts w:ascii="Verdana" w:hAnsi="Verdana"/>
          <w:i/>
          <w:iCs/>
          <w:sz w:val="16"/>
          <w:szCs w:val="16"/>
          <w:lang w:val="es-VE"/>
        </w:rPr>
        <w:t>Caso C</w:t>
      </w:r>
      <w:r w:rsidR="002D6B07">
        <w:rPr>
          <w:rFonts w:ascii="Verdana" w:hAnsi="Verdana"/>
          <w:i/>
          <w:iCs/>
          <w:sz w:val="16"/>
          <w:szCs w:val="16"/>
          <w:lang w:val="es-VE"/>
        </w:rPr>
        <w:t>abrera García y Montiel Flores V</w:t>
      </w:r>
      <w:r w:rsidR="002D6B07" w:rsidRPr="00A57018">
        <w:rPr>
          <w:rFonts w:ascii="Verdana" w:hAnsi="Verdana"/>
          <w:i/>
          <w:iCs/>
          <w:sz w:val="16"/>
          <w:szCs w:val="16"/>
          <w:lang w:val="es-VE"/>
        </w:rPr>
        <w:t>s. México</w:t>
      </w:r>
      <w:r w:rsidR="002D6B07" w:rsidRPr="00A57018">
        <w:rPr>
          <w:rFonts w:ascii="Verdana" w:hAnsi="Verdana"/>
          <w:sz w:val="16"/>
          <w:szCs w:val="16"/>
          <w:lang w:val="es-VE"/>
        </w:rPr>
        <w:t xml:space="preserve">. </w:t>
      </w:r>
      <w:r w:rsidR="002D6B07">
        <w:rPr>
          <w:rFonts w:ascii="Verdana" w:hAnsi="Verdana"/>
          <w:sz w:val="16"/>
          <w:szCs w:val="16"/>
          <w:lang w:val="es-VE"/>
        </w:rPr>
        <w:t xml:space="preserve">Convocatoria a audiencia. </w:t>
      </w:r>
      <w:r w:rsidR="002D6B07" w:rsidRPr="00A57018">
        <w:rPr>
          <w:rFonts w:ascii="Verdana" w:hAnsi="Verdana"/>
          <w:sz w:val="16"/>
          <w:szCs w:val="16"/>
          <w:lang w:val="es-VE"/>
        </w:rPr>
        <w:t xml:space="preserve">Resolución del Presidente de la Corte Interamericana de Derechos Humanos de 2 de julio de 2010, considerando 21, y </w:t>
      </w:r>
      <w:r w:rsidR="002D6B07" w:rsidRPr="00A57018">
        <w:rPr>
          <w:rFonts w:ascii="Verdana" w:hAnsi="Verdana"/>
          <w:i/>
          <w:iCs/>
          <w:sz w:val="16"/>
          <w:szCs w:val="16"/>
          <w:lang w:val="es-VE"/>
        </w:rPr>
        <w:t xml:space="preserve">Caso López Soto y otros </w:t>
      </w:r>
      <w:r w:rsidR="002D6B07">
        <w:rPr>
          <w:rFonts w:ascii="Verdana" w:hAnsi="Verdana"/>
          <w:i/>
          <w:iCs/>
          <w:sz w:val="16"/>
          <w:szCs w:val="16"/>
          <w:lang w:val="es-VE"/>
        </w:rPr>
        <w:t>V</w:t>
      </w:r>
      <w:r w:rsidR="002D6B07" w:rsidRPr="00A57018">
        <w:rPr>
          <w:rFonts w:ascii="Verdana" w:hAnsi="Verdana"/>
          <w:i/>
          <w:iCs/>
          <w:sz w:val="16"/>
          <w:szCs w:val="16"/>
          <w:lang w:val="es-VE"/>
        </w:rPr>
        <w:t xml:space="preserve">s. Venezuela. </w:t>
      </w:r>
      <w:r w:rsidR="002D6B07" w:rsidRPr="00224E1D">
        <w:rPr>
          <w:rFonts w:ascii="Verdana" w:hAnsi="Verdana"/>
          <w:iCs/>
          <w:sz w:val="16"/>
          <w:szCs w:val="16"/>
          <w:lang w:val="es-VE"/>
        </w:rPr>
        <w:t>Convocatoria a audiencia.</w:t>
      </w:r>
      <w:r w:rsidR="002D6B07" w:rsidRPr="00A57018">
        <w:rPr>
          <w:rFonts w:ascii="Verdana" w:hAnsi="Verdana"/>
          <w:i/>
          <w:iCs/>
          <w:sz w:val="16"/>
          <w:szCs w:val="16"/>
          <w:lang w:val="es-VE"/>
        </w:rPr>
        <w:t xml:space="preserve"> </w:t>
      </w:r>
      <w:r w:rsidR="002D6B07" w:rsidRPr="00A57018">
        <w:rPr>
          <w:rFonts w:ascii="Verdana" w:hAnsi="Verdana"/>
          <w:sz w:val="16"/>
          <w:szCs w:val="16"/>
          <w:lang w:val="es-VE"/>
        </w:rPr>
        <w:t>Resolución del Presidente de la Corte Interamericana de Derechos Humanos de 13 de diciembre de 2017, considerando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56" w:rsidRDefault="00450756"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756" w:rsidRDefault="00450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56" w:rsidRDefault="00450756"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FE0DCF">
      <w:rPr>
        <w:rStyle w:val="PageNumber"/>
        <w:rFonts w:ascii="Verdana" w:hAnsi="Verdana"/>
        <w:noProof/>
        <w:sz w:val="20"/>
        <w:szCs w:val="20"/>
      </w:rPr>
      <w:t>9</w:t>
    </w:r>
    <w:r w:rsidRPr="00205583">
      <w:rPr>
        <w:rStyle w:val="PageNumber"/>
        <w:rFonts w:ascii="Verdana" w:hAnsi="Verdana"/>
        <w:sz w:val="20"/>
        <w:szCs w:val="20"/>
      </w:rPr>
      <w:fldChar w:fldCharType="end"/>
    </w:r>
    <w:r>
      <w:rPr>
        <w:rStyle w:val="PageNumber"/>
      </w:rPr>
      <w:t xml:space="preserve"> -</w:t>
    </w:r>
  </w:p>
  <w:p w:rsidR="00450756" w:rsidRDefault="00450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46" w:rsidRDefault="00896946" w:rsidP="00896946">
    <w:pPr>
      <w:tabs>
        <w:tab w:val="left" w:pos="567"/>
      </w:tabs>
      <w:spacing w:after="0" w:line="240" w:lineRule="auto"/>
      <w:jc w:val="both"/>
      <w:rPr>
        <w:rFonts w:ascii="Verdana" w:hAnsi="Verdan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ED5"/>
    <w:multiLevelType w:val="hybridMultilevel"/>
    <w:tmpl w:val="A33A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0163E"/>
    <w:multiLevelType w:val="hybridMultilevel"/>
    <w:tmpl w:val="EC4E1F7C"/>
    <w:lvl w:ilvl="0" w:tplc="8E96993C">
      <w:start w:val="3"/>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4613C"/>
    <w:multiLevelType w:val="multilevel"/>
    <w:tmpl w:val="66C625AC"/>
    <w:lvl w:ilvl="0">
      <w:start w:val="1"/>
      <w:numFmt w:val="upperLetter"/>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9F0A54"/>
    <w:multiLevelType w:val="hybridMultilevel"/>
    <w:tmpl w:val="24BC97AC"/>
    <w:lvl w:ilvl="0" w:tplc="09F8DC12">
      <w:start w:val="1"/>
      <w:numFmt w:val="upperLetter"/>
      <w:pStyle w:val="Heading1"/>
      <w:lvlText w:val="%1."/>
      <w:lvlJc w:val="left"/>
      <w:pPr>
        <w:ind w:left="644"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F734F"/>
    <w:multiLevelType w:val="hybridMultilevel"/>
    <w:tmpl w:val="F44E0860"/>
    <w:lvl w:ilvl="0" w:tplc="03A054C8">
      <w:start w:val="1"/>
      <w:numFmt w:val="decimal"/>
      <w:lvlText w:val="%1."/>
      <w:lvlJc w:val="left"/>
      <w:pPr>
        <w:ind w:left="1070" w:hanging="360"/>
      </w:pPr>
      <w:rPr>
        <w:b w:val="0"/>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5">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12C4A"/>
    <w:multiLevelType w:val="hybridMultilevel"/>
    <w:tmpl w:val="1C28AE2A"/>
    <w:lvl w:ilvl="0" w:tplc="A4DE5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76A13"/>
    <w:multiLevelType w:val="hybridMultilevel"/>
    <w:tmpl w:val="6714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93D63"/>
    <w:multiLevelType w:val="hybridMultilevel"/>
    <w:tmpl w:val="6DCA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C6416"/>
    <w:multiLevelType w:val="hybridMultilevel"/>
    <w:tmpl w:val="F7503FB4"/>
    <w:lvl w:ilvl="0" w:tplc="325090EE">
      <w:start w:val="2"/>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2610F"/>
    <w:multiLevelType w:val="hybridMultilevel"/>
    <w:tmpl w:val="65641B80"/>
    <w:lvl w:ilvl="0" w:tplc="4F943E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06B07"/>
    <w:multiLevelType w:val="multilevel"/>
    <w:tmpl w:val="66C625AC"/>
    <w:lvl w:ilvl="0">
      <w:start w:val="1"/>
      <w:numFmt w:val="upperLetter"/>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E403F9"/>
    <w:multiLevelType w:val="hybridMultilevel"/>
    <w:tmpl w:val="39FCCFF2"/>
    <w:lvl w:ilvl="0" w:tplc="3056AA88">
      <w:start w:val="1"/>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E4912"/>
    <w:multiLevelType w:val="hybridMultilevel"/>
    <w:tmpl w:val="A08CC2CC"/>
    <w:lvl w:ilvl="0" w:tplc="6E02AF46">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01341"/>
    <w:multiLevelType w:val="hybridMultilevel"/>
    <w:tmpl w:val="1948388E"/>
    <w:lvl w:ilvl="0" w:tplc="6E02AF46">
      <w:start w:val="1"/>
      <w:numFmt w:val="upperLetter"/>
      <w:lvlText w:val="%1)"/>
      <w:lvlJc w:val="left"/>
      <w:pPr>
        <w:ind w:left="927" w:hanging="360"/>
      </w:pPr>
      <w:rPr>
        <w:rFonts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C127B0B"/>
    <w:multiLevelType w:val="hybridMultilevel"/>
    <w:tmpl w:val="0D746184"/>
    <w:lvl w:ilvl="0" w:tplc="6E02AF46">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B6DC6"/>
    <w:multiLevelType w:val="hybridMultilevel"/>
    <w:tmpl w:val="1C764FCC"/>
    <w:lvl w:ilvl="0" w:tplc="D6367428">
      <w:start w:val="1"/>
      <w:numFmt w:val="decimal"/>
      <w:pStyle w:val="NoSpacing"/>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nsid w:val="5F1337A6"/>
    <w:multiLevelType w:val="multilevel"/>
    <w:tmpl w:val="1B923842"/>
    <w:lvl w:ilvl="0">
      <w:start w:val="2"/>
      <w:numFmt w:val="upperLetter"/>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ED0719"/>
    <w:multiLevelType w:val="hybridMultilevel"/>
    <w:tmpl w:val="1B34F666"/>
    <w:lvl w:ilvl="0" w:tplc="03A054C8">
      <w:start w:val="1"/>
      <w:numFmt w:val="decimal"/>
      <w:lvlText w:val="%1."/>
      <w:lvlJc w:val="left"/>
      <w:pPr>
        <w:ind w:left="1430" w:hanging="720"/>
      </w:pPr>
      <w:rPr>
        <w:b w:val="0"/>
        <w:i w:val="0"/>
      </w:rPr>
    </w:lvl>
    <w:lvl w:ilvl="1" w:tplc="B08C5A98">
      <w:start w:val="1"/>
      <w:numFmt w:val="lowerRoman"/>
      <w:lvlText w:val="%2."/>
      <w:lvlJc w:val="left"/>
      <w:pPr>
        <w:ind w:left="1800" w:hanging="720"/>
      </w:pPr>
    </w:lvl>
    <w:lvl w:ilvl="2" w:tplc="4C0821D4">
      <w:start w:val="1"/>
      <w:numFmt w:val="decimal"/>
      <w:lvlText w:val="%3."/>
      <w:lvlJc w:val="left"/>
      <w:pPr>
        <w:tabs>
          <w:tab w:val="num" w:pos="1070"/>
        </w:tabs>
        <w:ind w:left="1070" w:hanging="360"/>
      </w:pPr>
      <w:rPr>
        <w:strike w:val="0"/>
      </w:rPr>
    </w:lvl>
    <w:lvl w:ilvl="3" w:tplc="0409000F">
      <w:start w:val="1"/>
      <w:numFmt w:val="decimal"/>
      <w:lvlText w:val="%4."/>
      <w:lvlJc w:val="left"/>
      <w:pPr>
        <w:tabs>
          <w:tab w:val="num" w:pos="1070"/>
        </w:tabs>
        <w:ind w:left="1070" w:hanging="360"/>
      </w:pPr>
    </w:lvl>
    <w:lvl w:ilvl="4" w:tplc="04090019">
      <w:start w:val="1"/>
      <w:numFmt w:val="decimal"/>
      <w:lvlText w:val="%5."/>
      <w:lvlJc w:val="left"/>
      <w:pPr>
        <w:tabs>
          <w:tab w:val="num" w:pos="1070"/>
        </w:tabs>
        <w:ind w:left="1070" w:hanging="360"/>
      </w:pPr>
    </w:lvl>
    <w:lvl w:ilvl="5" w:tplc="7428B1DC">
      <w:start w:val="1"/>
      <w:numFmt w:val="decimal"/>
      <w:lvlText w:val="%6."/>
      <w:lvlJc w:val="left"/>
      <w:pPr>
        <w:tabs>
          <w:tab w:val="num" w:pos="1070"/>
        </w:tabs>
        <w:ind w:left="107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C97D24"/>
    <w:multiLevelType w:val="hybridMultilevel"/>
    <w:tmpl w:val="1B34F666"/>
    <w:lvl w:ilvl="0" w:tplc="03A054C8">
      <w:start w:val="1"/>
      <w:numFmt w:val="decimal"/>
      <w:lvlText w:val="%1."/>
      <w:lvlJc w:val="left"/>
      <w:pPr>
        <w:ind w:left="1430" w:hanging="720"/>
      </w:pPr>
      <w:rPr>
        <w:b w:val="0"/>
        <w:i w:val="0"/>
      </w:rPr>
    </w:lvl>
    <w:lvl w:ilvl="1" w:tplc="B08C5A98">
      <w:start w:val="1"/>
      <w:numFmt w:val="lowerRoman"/>
      <w:lvlText w:val="%2."/>
      <w:lvlJc w:val="left"/>
      <w:pPr>
        <w:ind w:left="1800" w:hanging="720"/>
      </w:pPr>
    </w:lvl>
    <w:lvl w:ilvl="2" w:tplc="4C0821D4">
      <w:start w:val="1"/>
      <w:numFmt w:val="decimal"/>
      <w:pStyle w:val="Subtitle"/>
      <w:lvlText w:val="%3."/>
      <w:lvlJc w:val="left"/>
      <w:pPr>
        <w:tabs>
          <w:tab w:val="num" w:pos="1070"/>
        </w:tabs>
        <w:ind w:left="1070" w:hanging="360"/>
      </w:pPr>
      <w:rPr>
        <w:strike w:val="0"/>
      </w:rPr>
    </w:lvl>
    <w:lvl w:ilvl="3" w:tplc="0409000F">
      <w:start w:val="1"/>
      <w:numFmt w:val="decimal"/>
      <w:lvlText w:val="%4."/>
      <w:lvlJc w:val="left"/>
      <w:pPr>
        <w:tabs>
          <w:tab w:val="num" w:pos="1070"/>
        </w:tabs>
        <w:ind w:left="1070" w:hanging="360"/>
      </w:pPr>
    </w:lvl>
    <w:lvl w:ilvl="4" w:tplc="04090019">
      <w:start w:val="1"/>
      <w:numFmt w:val="decimal"/>
      <w:lvlText w:val="%5."/>
      <w:lvlJc w:val="left"/>
      <w:pPr>
        <w:tabs>
          <w:tab w:val="num" w:pos="1070"/>
        </w:tabs>
        <w:ind w:left="1070" w:hanging="360"/>
      </w:pPr>
    </w:lvl>
    <w:lvl w:ilvl="5" w:tplc="7428B1DC">
      <w:start w:val="1"/>
      <w:numFmt w:val="decimal"/>
      <w:lvlText w:val="%6."/>
      <w:lvlJc w:val="left"/>
      <w:pPr>
        <w:tabs>
          <w:tab w:val="num" w:pos="1070"/>
        </w:tabs>
        <w:ind w:left="107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81672E3"/>
    <w:multiLevelType w:val="hybridMultilevel"/>
    <w:tmpl w:val="60DA0642"/>
    <w:lvl w:ilvl="0" w:tplc="50B0D4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74853"/>
    <w:multiLevelType w:val="hybridMultilevel"/>
    <w:tmpl w:val="B20E5CE2"/>
    <w:lvl w:ilvl="0" w:tplc="E06C1D42">
      <w:start w:val="2"/>
      <w:numFmt w:val="decimal"/>
      <w:lvlText w:val="%1."/>
      <w:lvlJc w:val="left"/>
      <w:pPr>
        <w:ind w:left="1070" w:hanging="360"/>
      </w:pPr>
      <w:rPr>
        <w:rFonts w:eastAsiaTheme="minorHAnsi" w:cs="Times New Roman" w:hint="default"/>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24">
    <w:nsid w:val="743858DA"/>
    <w:multiLevelType w:val="multilevel"/>
    <w:tmpl w:val="1B923842"/>
    <w:lvl w:ilvl="0">
      <w:start w:val="2"/>
      <w:numFmt w:val="upperLetter"/>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BE3D5B"/>
    <w:multiLevelType w:val="multilevel"/>
    <w:tmpl w:val="1B923842"/>
    <w:lvl w:ilvl="0">
      <w:start w:val="2"/>
      <w:numFmt w:val="upperLetter"/>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B60D92"/>
    <w:multiLevelType w:val="hybridMultilevel"/>
    <w:tmpl w:val="11C4E73C"/>
    <w:lvl w:ilvl="0" w:tplc="43AEBE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05E9"/>
    <w:multiLevelType w:val="multilevel"/>
    <w:tmpl w:val="1B923842"/>
    <w:lvl w:ilvl="0">
      <w:start w:val="2"/>
      <w:numFmt w:val="upperLetter"/>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3"/>
  </w:num>
  <w:num w:numId="5">
    <w:abstractNumId w:val="21"/>
  </w:num>
  <w:num w:numId="6">
    <w:abstractNumId w:val="23"/>
  </w:num>
  <w:num w:numId="7">
    <w:abstractNumId w:val="4"/>
  </w:num>
  <w:num w:numId="8">
    <w:abstractNumId w:val="6"/>
  </w:num>
  <w:num w:numId="9">
    <w:abstractNumId w:val="2"/>
  </w:num>
  <w:num w:numId="10">
    <w:abstractNumId w:val="5"/>
  </w:num>
  <w:num w:numId="11">
    <w:abstractNumId w:val="17"/>
  </w:num>
  <w:num w:numId="12">
    <w:abstractNumId w:val="15"/>
  </w:num>
  <w:num w:numId="13">
    <w:abstractNumId w:val="11"/>
  </w:num>
  <w:num w:numId="14">
    <w:abstractNumId w:val="18"/>
  </w:num>
  <w:num w:numId="15">
    <w:abstractNumId w:val="7"/>
  </w:num>
  <w:num w:numId="16">
    <w:abstractNumId w:val="0"/>
  </w:num>
  <w:num w:numId="17">
    <w:abstractNumId w:val="8"/>
  </w:num>
  <w:num w:numId="18">
    <w:abstractNumId w:val="16"/>
  </w:num>
  <w:num w:numId="19">
    <w:abstractNumId w:val="9"/>
  </w:num>
  <w:num w:numId="20">
    <w:abstractNumId w:val="14"/>
  </w:num>
  <w:num w:numId="21">
    <w:abstractNumId w:val="27"/>
  </w:num>
  <w:num w:numId="22">
    <w:abstractNumId w:val="19"/>
  </w:num>
  <w:num w:numId="23">
    <w:abstractNumId w:val="24"/>
  </w:num>
  <w:num w:numId="24">
    <w:abstractNumId w:val="25"/>
  </w:num>
  <w:num w:numId="25">
    <w:abstractNumId w:val="1"/>
  </w:num>
  <w:num w:numId="26">
    <w:abstractNumId w:val="13"/>
  </w:num>
  <w:num w:numId="27">
    <w:abstractNumId w:val="10"/>
  </w:num>
  <w:num w:numId="28">
    <w:abstractNumId w:val="20"/>
  </w:num>
  <w:num w:numId="29">
    <w:abstractNumId w:val="26"/>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0C97"/>
    <w:rsid w:val="00005C3B"/>
    <w:rsid w:val="000076B7"/>
    <w:rsid w:val="0000775D"/>
    <w:rsid w:val="00007CD7"/>
    <w:rsid w:val="00010226"/>
    <w:rsid w:val="0001058E"/>
    <w:rsid w:val="00010FB0"/>
    <w:rsid w:val="00014289"/>
    <w:rsid w:val="000154E5"/>
    <w:rsid w:val="00016191"/>
    <w:rsid w:val="000172C0"/>
    <w:rsid w:val="00017AD6"/>
    <w:rsid w:val="000205AC"/>
    <w:rsid w:val="00021B1F"/>
    <w:rsid w:val="00022729"/>
    <w:rsid w:val="00024FBB"/>
    <w:rsid w:val="00026598"/>
    <w:rsid w:val="00027903"/>
    <w:rsid w:val="00033738"/>
    <w:rsid w:val="00035149"/>
    <w:rsid w:val="00037C05"/>
    <w:rsid w:val="0004010B"/>
    <w:rsid w:val="00043F00"/>
    <w:rsid w:val="00045F17"/>
    <w:rsid w:val="00047269"/>
    <w:rsid w:val="00052401"/>
    <w:rsid w:val="00054736"/>
    <w:rsid w:val="00055330"/>
    <w:rsid w:val="000634A4"/>
    <w:rsid w:val="00063E3C"/>
    <w:rsid w:val="00065557"/>
    <w:rsid w:val="00065FFD"/>
    <w:rsid w:val="000719A4"/>
    <w:rsid w:val="000727F2"/>
    <w:rsid w:val="00072BF4"/>
    <w:rsid w:val="00072F5B"/>
    <w:rsid w:val="00073E13"/>
    <w:rsid w:val="00075E7A"/>
    <w:rsid w:val="00080071"/>
    <w:rsid w:val="0008188C"/>
    <w:rsid w:val="000918EB"/>
    <w:rsid w:val="00094A32"/>
    <w:rsid w:val="000951A5"/>
    <w:rsid w:val="00096CC8"/>
    <w:rsid w:val="00096D19"/>
    <w:rsid w:val="000A0342"/>
    <w:rsid w:val="000A67C1"/>
    <w:rsid w:val="000B3065"/>
    <w:rsid w:val="000B316A"/>
    <w:rsid w:val="000B398F"/>
    <w:rsid w:val="000B451D"/>
    <w:rsid w:val="000B453F"/>
    <w:rsid w:val="000B5DCD"/>
    <w:rsid w:val="000B61CF"/>
    <w:rsid w:val="000B7C44"/>
    <w:rsid w:val="000C1AFF"/>
    <w:rsid w:val="000C584C"/>
    <w:rsid w:val="000D0BA7"/>
    <w:rsid w:val="000D0BD2"/>
    <w:rsid w:val="000D0F0E"/>
    <w:rsid w:val="000D3879"/>
    <w:rsid w:val="000D4854"/>
    <w:rsid w:val="000D4C2C"/>
    <w:rsid w:val="000E2684"/>
    <w:rsid w:val="000F00E0"/>
    <w:rsid w:val="000F095D"/>
    <w:rsid w:val="000F1A7C"/>
    <w:rsid w:val="000F1A7D"/>
    <w:rsid w:val="000F43F4"/>
    <w:rsid w:val="000F5EE3"/>
    <w:rsid w:val="000F6CDB"/>
    <w:rsid w:val="0010097D"/>
    <w:rsid w:val="00101232"/>
    <w:rsid w:val="00102153"/>
    <w:rsid w:val="001027F3"/>
    <w:rsid w:val="001028FD"/>
    <w:rsid w:val="00104220"/>
    <w:rsid w:val="0010496B"/>
    <w:rsid w:val="00104B9F"/>
    <w:rsid w:val="00113F6D"/>
    <w:rsid w:val="0011434A"/>
    <w:rsid w:val="001154CC"/>
    <w:rsid w:val="00122A75"/>
    <w:rsid w:val="00126567"/>
    <w:rsid w:val="0013283E"/>
    <w:rsid w:val="001333C4"/>
    <w:rsid w:val="00133CE7"/>
    <w:rsid w:val="001362D7"/>
    <w:rsid w:val="001369CA"/>
    <w:rsid w:val="00136A3D"/>
    <w:rsid w:val="00136EDC"/>
    <w:rsid w:val="00136F7B"/>
    <w:rsid w:val="00141F7E"/>
    <w:rsid w:val="001424DE"/>
    <w:rsid w:val="00142600"/>
    <w:rsid w:val="00146C92"/>
    <w:rsid w:val="001517BD"/>
    <w:rsid w:val="001533E6"/>
    <w:rsid w:val="00155D07"/>
    <w:rsid w:val="00155FB3"/>
    <w:rsid w:val="00157F1F"/>
    <w:rsid w:val="00160E30"/>
    <w:rsid w:val="00162BD2"/>
    <w:rsid w:val="00164691"/>
    <w:rsid w:val="00164C90"/>
    <w:rsid w:val="001650FB"/>
    <w:rsid w:val="00165C80"/>
    <w:rsid w:val="00171AAD"/>
    <w:rsid w:val="001735A7"/>
    <w:rsid w:val="001859C1"/>
    <w:rsid w:val="00187EE7"/>
    <w:rsid w:val="00190C95"/>
    <w:rsid w:val="00191BEF"/>
    <w:rsid w:val="00191EFD"/>
    <w:rsid w:val="001921B7"/>
    <w:rsid w:val="00197C73"/>
    <w:rsid w:val="001A2334"/>
    <w:rsid w:val="001A47FD"/>
    <w:rsid w:val="001B0DF1"/>
    <w:rsid w:val="001B475B"/>
    <w:rsid w:val="001C01FB"/>
    <w:rsid w:val="001C1924"/>
    <w:rsid w:val="001C1F55"/>
    <w:rsid w:val="001C26C3"/>
    <w:rsid w:val="001C480A"/>
    <w:rsid w:val="001C510E"/>
    <w:rsid w:val="001C7251"/>
    <w:rsid w:val="001C794B"/>
    <w:rsid w:val="001D00B5"/>
    <w:rsid w:val="001D221F"/>
    <w:rsid w:val="001E191D"/>
    <w:rsid w:val="001E1C89"/>
    <w:rsid w:val="001E35BA"/>
    <w:rsid w:val="001E6C2B"/>
    <w:rsid w:val="001F06EF"/>
    <w:rsid w:val="001F1FFC"/>
    <w:rsid w:val="001F3986"/>
    <w:rsid w:val="001F3CC4"/>
    <w:rsid w:val="001F62D0"/>
    <w:rsid w:val="001F6C25"/>
    <w:rsid w:val="002004F5"/>
    <w:rsid w:val="00201075"/>
    <w:rsid w:val="002045CB"/>
    <w:rsid w:val="002049B3"/>
    <w:rsid w:val="00205583"/>
    <w:rsid w:val="00206BE0"/>
    <w:rsid w:val="00210C2A"/>
    <w:rsid w:val="0021264E"/>
    <w:rsid w:val="00213D56"/>
    <w:rsid w:val="00217C59"/>
    <w:rsid w:val="002229D1"/>
    <w:rsid w:val="002240CF"/>
    <w:rsid w:val="00224E1D"/>
    <w:rsid w:val="002256F8"/>
    <w:rsid w:val="00226D4A"/>
    <w:rsid w:val="00231449"/>
    <w:rsid w:val="00234D19"/>
    <w:rsid w:val="00237232"/>
    <w:rsid w:val="00241D46"/>
    <w:rsid w:val="00245DC5"/>
    <w:rsid w:val="00247084"/>
    <w:rsid w:val="00247B1B"/>
    <w:rsid w:val="002509A8"/>
    <w:rsid w:val="00251F34"/>
    <w:rsid w:val="0026641E"/>
    <w:rsid w:val="00266D49"/>
    <w:rsid w:val="002705C2"/>
    <w:rsid w:val="00271CF5"/>
    <w:rsid w:val="002759D8"/>
    <w:rsid w:val="00281121"/>
    <w:rsid w:val="002840F1"/>
    <w:rsid w:val="002859AD"/>
    <w:rsid w:val="002903CE"/>
    <w:rsid w:val="002907F9"/>
    <w:rsid w:val="00292673"/>
    <w:rsid w:val="00292785"/>
    <w:rsid w:val="00292869"/>
    <w:rsid w:val="0029421F"/>
    <w:rsid w:val="00295EE6"/>
    <w:rsid w:val="002A1425"/>
    <w:rsid w:val="002A1F81"/>
    <w:rsid w:val="002A35EB"/>
    <w:rsid w:val="002B4225"/>
    <w:rsid w:val="002B5339"/>
    <w:rsid w:val="002C03B3"/>
    <w:rsid w:val="002D0D39"/>
    <w:rsid w:val="002D2774"/>
    <w:rsid w:val="002D3C0C"/>
    <w:rsid w:val="002D5571"/>
    <w:rsid w:val="002D6B07"/>
    <w:rsid w:val="002D6B08"/>
    <w:rsid w:val="002E14A4"/>
    <w:rsid w:val="002E32C7"/>
    <w:rsid w:val="002E4B63"/>
    <w:rsid w:val="002E5257"/>
    <w:rsid w:val="002E6442"/>
    <w:rsid w:val="002E731C"/>
    <w:rsid w:val="002E73EA"/>
    <w:rsid w:val="002F07BD"/>
    <w:rsid w:val="002F1E83"/>
    <w:rsid w:val="002F3145"/>
    <w:rsid w:val="002F548B"/>
    <w:rsid w:val="002F65C4"/>
    <w:rsid w:val="00304038"/>
    <w:rsid w:val="00305A57"/>
    <w:rsid w:val="003071BB"/>
    <w:rsid w:val="00310C35"/>
    <w:rsid w:val="003113F3"/>
    <w:rsid w:val="00314476"/>
    <w:rsid w:val="00316B6E"/>
    <w:rsid w:val="00316FB2"/>
    <w:rsid w:val="00317041"/>
    <w:rsid w:val="00317419"/>
    <w:rsid w:val="00320AD0"/>
    <w:rsid w:val="00321FA0"/>
    <w:rsid w:val="00330417"/>
    <w:rsid w:val="0033562D"/>
    <w:rsid w:val="003365CD"/>
    <w:rsid w:val="00337CFC"/>
    <w:rsid w:val="00341753"/>
    <w:rsid w:val="00342505"/>
    <w:rsid w:val="00342A8B"/>
    <w:rsid w:val="00343315"/>
    <w:rsid w:val="003440F7"/>
    <w:rsid w:val="00347BC2"/>
    <w:rsid w:val="0035063C"/>
    <w:rsid w:val="0035227F"/>
    <w:rsid w:val="00354CF0"/>
    <w:rsid w:val="003550AB"/>
    <w:rsid w:val="00356E89"/>
    <w:rsid w:val="00357610"/>
    <w:rsid w:val="00357794"/>
    <w:rsid w:val="003645BF"/>
    <w:rsid w:val="003648ED"/>
    <w:rsid w:val="00376A83"/>
    <w:rsid w:val="003770A6"/>
    <w:rsid w:val="003774FD"/>
    <w:rsid w:val="0038167F"/>
    <w:rsid w:val="00381AC9"/>
    <w:rsid w:val="003847E4"/>
    <w:rsid w:val="00384AAA"/>
    <w:rsid w:val="00387D2B"/>
    <w:rsid w:val="00387D30"/>
    <w:rsid w:val="003919A8"/>
    <w:rsid w:val="00391C4F"/>
    <w:rsid w:val="0039354A"/>
    <w:rsid w:val="003A018B"/>
    <w:rsid w:val="003A2389"/>
    <w:rsid w:val="003A54D1"/>
    <w:rsid w:val="003B01EB"/>
    <w:rsid w:val="003B0AEA"/>
    <w:rsid w:val="003B4690"/>
    <w:rsid w:val="003B787B"/>
    <w:rsid w:val="003C0361"/>
    <w:rsid w:val="003C0856"/>
    <w:rsid w:val="003C2C2D"/>
    <w:rsid w:val="003C2E75"/>
    <w:rsid w:val="003C3755"/>
    <w:rsid w:val="003C5236"/>
    <w:rsid w:val="003C527D"/>
    <w:rsid w:val="003C6087"/>
    <w:rsid w:val="003C64CF"/>
    <w:rsid w:val="003C6513"/>
    <w:rsid w:val="003D00C9"/>
    <w:rsid w:val="003D1747"/>
    <w:rsid w:val="003D25B3"/>
    <w:rsid w:val="003D2F11"/>
    <w:rsid w:val="003D3EA0"/>
    <w:rsid w:val="003D5C32"/>
    <w:rsid w:val="003E09BD"/>
    <w:rsid w:val="003E1E70"/>
    <w:rsid w:val="003E2807"/>
    <w:rsid w:val="003E75CF"/>
    <w:rsid w:val="003E77F1"/>
    <w:rsid w:val="003E7C9C"/>
    <w:rsid w:val="003F3718"/>
    <w:rsid w:val="003F3D73"/>
    <w:rsid w:val="003F60BD"/>
    <w:rsid w:val="003F697F"/>
    <w:rsid w:val="00412A02"/>
    <w:rsid w:val="0041636D"/>
    <w:rsid w:val="00421DD4"/>
    <w:rsid w:val="00426042"/>
    <w:rsid w:val="00431674"/>
    <w:rsid w:val="00431C90"/>
    <w:rsid w:val="00431FA5"/>
    <w:rsid w:val="0043393C"/>
    <w:rsid w:val="00434B52"/>
    <w:rsid w:val="004415BD"/>
    <w:rsid w:val="0044394C"/>
    <w:rsid w:val="00444110"/>
    <w:rsid w:val="00446EC4"/>
    <w:rsid w:val="00450756"/>
    <w:rsid w:val="004522A7"/>
    <w:rsid w:val="00454412"/>
    <w:rsid w:val="00455B1E"/>
    <w:rsid w:val="00456A8A"/>
    <w:rsid w:val="00457D89"/>
    <w:rsid w:val="0046106D"/>
    <w:rsid w:val="004624E5"/>
    <w:rsid w:val="00470241"/>
    <w:rsid w:val="0047048A"/>
    <w:rsid w:val="004718FD"/>
    <w:rsid w:val="00477642"/>
    <w:rsid w:val="004822C3"/>
    <w:rsid w:val="00482A2E"/>
    <w:rsid w:val="00485BA2"/>
    <w:rsid w:val="004862A3"/>
    <w:rsid w:val="004863CD"/>
    <w:rsid w:val="00486875"/>
    <w:rsid w:val="0048750C"/>
    <w:rsid w:val="00487AE7"/>
    <w:rsid w:val="00487FF6"/>
    <w:rsid w:val="00496EA3"/>
    <w:rsid w:val="00497516"/>
    <w:rsid w:val="00497C16"/>
    <w:rsid w:val="004A0556"/>
    <w:rsid w:val="004A08DF"/>
    <w:rsid w:val="004A1B16"/>
    <w:rsid w:val="004A4851"/>
    <w:rsid w:val="004A48FE"/>
    <w:rsid w:val="004B2167"/>
    <w:rsid w:val="004B4904"/>
    <w:rsid w:val="004B6A62"/>
    <w:rsid w:val="004B7966"/>
    <w:rsid w:val="004C1066"/>
    <w:rsid w:val="004C3045"/>
    <w:rsid w:val="004C3A43"/>
    <w:rsid w:val="004C4C95"/>
    <w:rsid w:val="004C60D2"/>
    <w:rsid w:val="004D5C4B"/>
    <w:rsid w:val="004E4058"/>
    <w:rsid w:val="004E4E18"/>
    <w:rsid w:val="004E59DF"/>
    <w:rsid w:val="004F0195"/>
    <w:rsid w:val="004F4306"/>
    <w:rsid w:val="004F5858"/>
    <w:rsid w:val="004F6DA0"/>
    <w:rsid w:val="004F708F"/>
    <w:rsid w:val="004F70F5"/>
    <w:rsid w:val="004F75CB"/>
    <w:rsid w:val="004F7E9A"/>
    <w:rsid w:val="00501D23"/>
    <w:rsid w:val="005020C1"/>
    <w:rsid w:val="00510A68"/>
    <w:rsid w:val="00512CB8"/>
    <w:rsid w:val="00514246"/>
    <w:rsid w:val="005145B8"/>
    <w:rsid w:val="0052360A"/>
    <w:rsid w:val="00523AC8"/>
    <w:rsid w:val="005241D8"/>
    <w:rsid w:val="00524C7C"/>
    <w:rsid w:val="005352E1"/>
    <w:rsid w:val="00537B8E"/>
    <w:rsid w:val="00543C03"/>
    <w:rsid w:val="00546CE6"/>
    <w:rsid w:val="00547C2D"/>
    <w:rsid w:val="00553094"/>
    <w:rsid w:val="00553E2F"/>
    <w:rsid w:val="00554F6C"/>
    <w:rsid w:val="00556A78"/>
    <w:rsid w:val="00557CB7"/>
    <w:rsid w:val="005605A7"/>
    <w:rsid w:val="005620AF"/>
    <w:rsid w:val="00564E82"/>
    <w:rsid w:val="00564EC8"/>
    <w:rsid w:val="00567C99"/>
    <w:rsid w:val="005704D4"/>
    <w:rsid w:val="00571704"/>
    <w:rsid w:val="00572467"/>
    <w:rsid w:val="005725B1"/>
    <w:rsid w:val="0057425B"/>
    <w:rsid w:val="00575D79"/>
    <w:rsid w:val="0057712C"/>
    <w:rsid w:val="00580DFD"/>
    <w:rsid w:val="00582615"/>
    <w:rsid w:val="00584C59"/>
    <w:rsid w:val="005851D5"/>
    <w:rsid w:val="00585877"/>
    <w:rsid w:val="0059335C"/>
    <w:rsid w:val="00593BFE"/>
    <w:rsid w:val="005A21F8"/>
    <w:rsid w:val="005A3063"/>
    <w:rsid w:val="005A7B4F"/>
    <w:rsid w:val="005B1EA0"/>
    <w:rsid w:val="005B2EF1"/>
    <w:rsid w:val="005B3AC3"/>
    <w:rsid w:val="005B5B88"/>
    <w:rsid w:val="005B6162"/>
    <w:rsid w:val="005B701F"/>
    <w:rsid w:val="005C5EF4"/>
    <w:rsid w:val="005C6C93"/>
    <w:rsid w:val="005D25DF"/>
    <w:rsid w:val="005D5C00"/>
    <w:rsid w:val="005D7E8D"/>
    <w:rsid w:val="005E01B6"/>
    <w:rsid w:val="005E0E15"/>
    <w:rsid w:val="005E1076"/>
    <w:rsid w:val="005E150F"/>
    <w:rsid w:val="005E1F40"/>
    <w:rsid w:val="005E2B98"/>
    <w:rsid w:val="005E4741"/>
    <w:rsid w:val="005E59AE"/>
    <w:rsid w:val="005E66F8"/>
    <w:rsid w:val="005E698B"/>
    <w:rsid w:val="005F152E"/>
    <w:rsid w:val="005F201B"/>
    <w:rsid w:val="005F4000"/>
    <w:rsid w:val="005F4EF2"/>
    <w:rsid w:val="005F5208"/>
    <w:rsid w:val="005F548F"/>
    <w:rsid w:val="005F632C"/>
    <w:rsid w:val="005F7B36"/>
    <w:rsid w:val="00601AE8"/>
    <w:rsid w:val="0060299E"/>
    <w:rsid w:val="006033C3"/>
    <w:rsid w:val="00605EAB"/>
    <w:rsid w:val="0060651A"/>
    <w:rsid w:val="00607497"/>
    <w:rsid w:val="00607755"/>
    <w:rsid w:val="00610130"/>
    <w:rsid w:val="00612B0F"/>
    <w:rsid w:val="006136AE"/>
    <w:rsid w:val="00614D4B"/>
    <w:rsid w:val="006153C1"/>
    <w:rsid w:val="0061588D"/>
    <w:rsid w:val="00615CCA"/>
    <w:rsid w:val="006177B9"/>
    <w:rsid w:val="00617C8F"/>
    <w:rsid w:val="0062254F"/>
    <w:rsid w:val="00624328"/>
    <w:rsid w:val="00624959"/>
    <w:rsid w:val="00631E58"/>
    <w:rsid w:val="00634461"/>
    <w:rsid w:val="0063722C"/>
    <w:rsid w:val="00640BFB"/>
    <w:rsid w:val="00643A12"/>
    <w:rsid w:val="00645A5F"/>
    <w:rsid w:val="00647660"/>
    <w:rsid w:val="006520ED"/>
    <w:rsid w:val="00652E83"/>
    <w:rsid w:val="006531EA"/>
    <w:rsid w:val="0065468B"/>
    <w:rsid w:val="00654FAD"/>
    <w:rsid w:val="00657EBA"/>
    <w:rsid w:val="00662AE7"/>
    <w:rsid w:val="006637F7"/>
    <w:rsid w:val="0066415E"/>
    <w:rsid w:val="00666ABF"/>
    <w:rsid w:val="00666D7F"/>
    <w:rsid w:val="0066768C"/>
    <w:rsid w:val="006701EE"/>
    <w:rsid w:val="006709EC"/>
    <w:rsid w:val="0067147A"/>
    <w:rsid w:val="00677E19"/>
    <w:rsid w:val="00680CC2"/>
    <w:rsid w:val="00681E2A"/>
    <w:rsid w:val="006821E2"/>
    <w:rsid w:val="0068561C"/>
    <w:rsid w:val="006874A3"/>
    <w:rsid w:val="00687787"/>
    <w:rsid w:val="00692024"/>
    <w:rsid w:val="006929A3"/>
    <w:rsid w:val="00695A38"/>
    <w:rsid w:val="006A0BE5"/>
    <w:rsid w:val="006A0C03"/>
    <w:rsid w:val="006A3736"/>
    <w:rsid w:val="006B044C"/>
    <w:rsid w:val="006B279B"/>
    <w:rsid w:val="006B48CD"/>
    <w:rsid w:val="006B5876"/>
    <w:rsid w:val="006B7C06"/>
    <w:rsid w:val="006C1765"/>
    <w:rsid w:val="006C7E81"/>
    <w:rsid w:val="006D28A5"/>
    <w:rsid w:val="006D55F2"/>
    <w:rsid w:val="006D565D"/>
    <w:rsid w:val="006E4645"/>
    <w:rsid w:val="006E576F"/>
    <w:rsid w:val="006E7B19"/>
    <w:rsid w:val="006F0253"/>
    <w:rsid w:val="006F17A3"/>
    <w:rsid w:val="006F3B22"/>
    <w:rsid w:val="006F6BCC"/>
    <w:rsid w:val="006F7C96"/>
    <w:rsid w:val="00700DA1"/>
    <w:rsid w:val="00702CEE"/>
    <w:rsid w:val="00703B18"/>
    <w:rsid w:val="00704589"/>
    <w:rsid w:val="007051D8"/>
    <w:rsid w:val="007118D1"/>
    <w:rsid w:val="0071192E"/>
    <w:rsid w:val="0071244C"/>
    <w:rsid w:val="007140F4"/>
    <w:rsid w:val="00721B8C"/>
    <w:rsid w:val="00725C5B"/>
    <w:rsid w:val="00730250"/>
    <w:rsid w:val="0073089C"/>
    <w:rsid w:val="00733AA3"/>
    <w:rsid w:val="00737850"/>
    <w:rsid w:val="0074090B"/>
    <w:rsid w:val="00745B27"/>
    <w:rsid w:val="00745F74"/>
    <w:rsid w:val="00746C14"/>
    <w:rsid w:val="00750E8C"/>
    <w:rsid w:val="00751BEA"/>
    <w:rsid w:val="007549D6"/>
    <w:rsid w:val="00755142"/>
    <w:rsid w:val="007609EA"/>
    <w:rsid w:val="00760A53"/>
    <w:rsid w:val="00762AB1"/>
    <w:rsid w:val="00770BC2"/>
    <w:rsid w:val="0077293A"/>
    <w:rsid w:val="007810D6"/>
    <w:rsid w:val="00784A6C"/>
    <w:rsid w:val="00785675"/>
    <w:rsid w:val="00787F35"/>
    <w:rsid w:val="00794D07"/>
    <w:rsid w:val="007A0160"/>
    <w:rsid w:val="007A2E15"/>
    <w:rsid w:val="007A3C7E"/>
    <w:rsid w:val="007A581C"/>
    <w:rsid w:val="007A7106"/>
    <w:rsid w:val="007B1D63"/>
    <w:rsid w:val="007B2144"/>
    <w:rsid w:val="007B39F0"/>
    <w:rsid w:val="007B50AF"/>
    <w:rsid w:val="007B5BB0"/>
    <w:rsid w:val="007C0D95"/>
    <w:rsid w:val="007C1F48"/>
    <w:rsid w:val="007C6BE4"/>
    <w:rsid w:val="007D1558"/>
    <w:rsid w:val="007D2464"/>
    <w:rsid w:val="007D5497"/>
    <w:rsid w:val="007E1372"/>
    <w:rsid w:val="007E1575"/>
    <w:rsid w:val="007E2B3D"/>
    <w:rsid w:val="007E3522"/>
    <w:rsid w:val="007E503E"/>
    <w:rsid w:val="007E5130"/>
    <w:rsid w:val="007E677A"/>
    <w:rsid w:val="007E7781"/>
    <w:rsid w:val="007F0EAC"/>
    <w:rsid w:val="008005AC"/>
    <w:rsid w:val="00802BD5"/>
    <w:rsid w:val="00803AF5"/>
    <w:rsid w:val="00817A82"/>
    <w:rsid w:val="0082542C"/>
    <w:rsid w:val="008279F3"/>
    <w:rsid w:val="00831A60"/>
    <w:rsid w:val="00833277"/>
    <w:rsid w:val="008376D9"/>
    <w:rsid w:val="0084402F"/>
    <w:rsid w:val="00844163"/>
    <w:rsid w:val="00844E15"/>
    <w:rsid w:val="008530C5"/>
    <w:rsid w:val="008566DB"/>
    <w:rsid w:val="0085752A"/>
    <w:rsid w:val="008639CC"/>
    <w:rsid w:val="00864F68"/>
    <w:rsid w:val="00865380"/>
    <w:rsid w:val="00870BE2"/>
    <w:rsid w:val="00871010"/>
    <w:rsid w:val="00880E65"/>
    <w:rsid w:val="0088228E"/>
    <w:rsid w:val="00885A51"/>
    <w:rsid w:val="008869F9"/>
    <w:rsid w:val="00896946"/>
    <w:rsid w:val="008A2D33"/>
    <w:rsid w:val="008B175A"/>
    <w:rsid w:val="008B193F"/>
    <w:rsid w:val="008B3FE3"/>
    <w:rsid w:val="008B69D6"/>
    <w:rsid w:val="008B6BB8"/>
    <w:rsid w:val="008B750C"/>
    <w:rsid w:val="008C0F48"/>
    <w:rsid w:val="008C1B7B"/>
    <w:rsid w:val="008C589A"/>
    <w:rsid w:val="008D0467"/>
    <w:rsid w:val="008D44FA"/>
    <w:rsid w:val="008D59EC"/>
    <w:rsid w:val="008D66A1"/>
    <w:rsid w:val="008D7101"/>
    <w:rsid w:val="008D7D7F"/>
    <w:rsid w:val="008E7C68"/>
    <w:rsid w:val="008F0658"/>
    <w:rsid w:val="008F268B"/>
    <w:rsid w:val="008F271D"/>
    <w:rsid w:val="008F2ADB"/>
    <w:rsid w:val="008F37D1"/>
    <w:rsid w:val="008F7143"/>
    <w:rsid w:val="00901AE0"/>
    <w:rsid w:val="009042C4"/>
    <w:rsid w:val="0090445B"/>
    <w:rsid w:val="009050C9"/>
    <w:rsid w:val="0090723E"/>
    <w:rsid w:val="00914767"/>
    <w:rsid w:val="00915580"/>
    <w:rsid w:val="00921C02"/>
    <w:rsid w:val="0092735D"/>
    <w:rsid w:val="00930C07"/>
    <w:rsid w:val="00932A7B"/>
    <w:rsid w:val="00936BB0"/>
    <w:rsid w:val="00937337"/>
    <w:rsid w:val="009400C1"/>
    <w:rsid w:val="00940F7C"/>
    <w:rsid w:val="009426A8"/>
    <w:rsid w:val="00950B15"/>
    <w:rsid w:val="00954D63"/>
    <w:rsid w:val="00955248"/>
    <w:rsid w:val="00955375"/>
    <w:rsid w:val="009557CE"/>
    <w:rsid w:val="00955EE9"/>
    <w:rsid w:val="009604A3"/>
    <w:rsid w:val="0096069E"/>
    <w:rsid w:val="00963EDA"/>
    <w:rsid w:val="00967B36"/>
    <w:rsid w:val="00971364"/>
    <w:rsid w:val="00977956"/>
    <w:rsid w:val="00981EC7"/>
    <w:rsid w:val="00984607"/>
    <w:rsid w:val="00985A3F"/>
    <w:rsid w:val="00990CEA"/>
    <w:rsid w:val="00992076"/>
    <w:rsid w:val="00994E7E"/>
    <w:rsid w:val="00995865"/>
    <w:rsid w:val="00995CA4"/>
    <w:rsid w:val="00996F55"/>
    <w:rsid w:val="0099732A"/>
    <w:rsid w:val="00997ED8"/>
    <w:rsid w:val="009A00D5"/>
    <w:rsid w:val="009A0C4C"/>
    <w:rsid w:val="009A226B"/>
    <w:rsid w:val="009A2D5D"/>
    <w:rsid w:val="009A49E2"/>
    <w:rsid w:val="009B4740"/>
    <w:rsid w:val="009B521A"/>
    <w:rsid w:val="009B617B"/>
    <w:rsid w:val="009C0110"/>
    <w:rsid w:val="009C0D8A"/>
    <w:rsid w:val="009C7D5C"/>
    <w:rsid w:val="009D0142"/>
    <w:rsid w:val="009D135A"/>
    <w:rsid w:val="009D2EA3"/>
    <w:rsid w:val="009D4742"/>
    <w:rsid w:val="009D6F17"/>
    <w:rsid w:val="009E2508"/>
    <w:rsid w:val="009E2BEB"/>
    <w:rsid w:val="009E645F"/>
    <w:rsid w:val="009F0251"/>
    <w:rsid w:val="009F1C13"/>
    <w:rsid w:val="009F2719"/>
    <w:rsid w:val="009F40AC"/>
    <w:rsid w:val="00A004A4"/>
    <w:rsid w:val="00A00915"/>
    <w:rsid w:val="00A00E05"/>
    <w:rsid w:val="00A01601"/>
    <w:rsid w:val="00A01EAC"/>
    <w:rsid w:val="00A0286B"/>
    <w:rsid w:val="00A0297E"/>
    <w:rsid w:val="00A029C1"/>
    <w:rsid w:val="00A05B2B"/>
    <w:rsid w:val="00A06676"/>
    <w:rsid w:val="00A123C5"/>
    <w:rsid w:val="00A17B02"/>
    <w:rsid w:val="00A20177"/>
    <w:rsid w:val="00A201AF"/>
    <w:rsid w:val="00A21F4D"/>
    <w:rsid w:val="00A22125"/>
    <w:rsid w:val="00A221A4"/>
    <w:rsid w:val="00A22E44"/>
    <w:rsid w:val="00A232BF"/>
    <w:rsid w:val="00A33FF8"/>
    <w:rsid w:val="00A35E30"/>
    <w:rsid w:val="00A37A21"/>
    <w:rsid w:val="00A4549C"/>
    <w:rsid w:val="00A50558"/>
    <w:rsid w:val="00A519D3"/>
    <w:rsid w:val="00A534C7"/>
    <w:rsid w:val="00A5486B"/>
    <w:rsid w:val="00A5503B"/>
    <w:rsid w:val="00A5763C"/>
    <w:rsid w:val="00A576A3"/>
    <w:rsid w:val="00A609DE"/>
    <w:rsid w:val="00A60B2C"/>
    <w:rsid w:val="00A60BFB"/>
    <w:rsid w:val="00A61E2E"/>
    <w:rsid w:val="00A62CB6"/>
    <w:rsid w:val="00A64DCF"/>
    <w:rsid w:val="00A675BA"/>
    <w:rsid w:val="00A67CD9"/>
    <w:rsid w:val="00A7281E"/>
    <w:rsid w:val="00A73EFD"/>
    <w:rsid w:val="00A74BC1"/>
    <w:rsid w:val="00A81839"/>
    <w:rsid w:val="00A81E8A"/>
    <w:rsid w:val="00A822D8"/>
    <w:rsid w:val="00A827A0"/>
    <w:rsid w:val="00A82E3B"/>
    <w:rsid w:val="00A83462"/>
    <w:rsid w:val="00A862C6"/>
    <w:rsid w:val="00A87E60"/>
    <w:rsid w:val="00A90C5A"/>
    <w:rsid w:val="00A90E63"/>
    <w:rsid w:val="00A93538"/>
    <w:rsid w:val="00A948BB"/>
    <w:rsid w:val="00A958F9"/>
    <w:rsid w:val="00A959B3"/>
    <w:rsid w:val="00A9698F"/>
    <w:rsid w:val="00A976B8"/>
    <w:rsid w:val="00AA337F"/>
    <w:rsid w:val="00AA531B"/>
    <w:rsid w:val="00AA55AA"/>
    <w:rsid w:val="00AB20B1"/>
    <w:rsid w:val="00AB37F0"/>
    <w:rsid w:val="00AC64B9"/>
    <w:rsid w:val="00AD284F"/>
    <w:rsid w:val="00AD2C90"/>
    <w:rsid w:val="00AD527D"/>
    <w:rsid w:val="00AD6BCD"/>
    <w:rsid w:val="00AE2B46"/>
    <w:rsid w:val="00AE49CB"/>
    <w:rsid w:val="00AE61B9"/>
    <w:rsid w:val="00AE682A"/>
    <w:rsid w:val="00AF0E62"/>
    <w:rsid w:val="00AF1E16"/>
    <w:rsid w:val="00AF28DC"/>
    <w:rsid w:val="00AF2B2C"/>
    <w:rsid w:val="00AF62E7"/>
    <w:rsid w:val="00AF780D"/>
    <w:rsid w:val="00AF7CA8"/>
    <w:rsid w:val="00AF7ED5"/>
    <w:rsid w:val="00B0162E"/>
    <w:rsid w:val="00B01CFF"/>
    <w:rsid w:val="00B0532B"/>
    <w:rsid w:val="00B05548"/>
    <w:rsid w:val="00B0564F"/>
    <w:rsid w:val="00B07D05"/>
    <w:rsid w:val="00B10C05"/>
    <w:rsid w:val="00B13492"/>
    <w:rsid w:val="00B14994"/>
    <w:rsid w:val="00B15143"/>
    <w:rsid w:val="00B157E6"/>
    <w:rsid w:val="00B15EC1"/>
    <w:rsid w:val="00B26734"/>
    <w:rsid w:val="00B26D97"/>
    <w:rsid w:val="00B319D3"/>
    <w:rsid w:val="00B31CC4"/>
    <w:rsid w:val="00B32886"/>
    <w:rsid w:val="00B33E13"/>
    <w:rsid w:val="00B35224"/>
    <w:rsid w:val="00B43088"/>
    <w:rsid w:val="00B43C78"/>
    <w:rsid w:val="00B47C1E"/>
    <w:rsid w:val="00B51C3C"/>
    <w:rsid w:val="00B51D9B"/>
    <w:rsid w:val="00B52FB5"/>
    <w:rsid w:val="00B53D50"/>
    <w:rsid w:val="00B54C35"/>
    <w:rsid w:val="00B5562F"/>
    <w:rsid w:val="00B57FAC"/>
    <w:rsid w:val="00B624A6"/>
    <w:rsid w:val="00B63386"/>
    <w:rsid w:val="00B63444"/>
    <w:rsid w:val="00B64B6F"/>
    <w:rsid w:val="00B64CCB"/>
    <w:rsid w:val="00B673BC"/>
    <w:rsid w:val="00B71FB6"/>
    <w:rsid w:val="00B72620"/>
    <w:rsid w:val="00B7270E"/>
    <w:rsid w:val="00B743D4"/>
    <w:rsid w:val="00B7444F"/>
    <w:rsid w:val="00B74EEB"/>
    <w:rsid w:val="00B77A75"/>
    <w:rsid w:val="00B80F9E"/>
    <w:rsid w:val="00B81718"/>
    <w:rsid w:val="00B838C0"/>
    <w:rsid w:val="00B8505C"/>
    <w:rsid w:val="00B956D8"/>
    <w:rsid w:val="00BA00EE"/>
    <w:rsid w:val="00BA2335"/>
    <w:rsid w:val="00BA2AC4"/>
    <w:rsid w:val="00BA6210"/>
    <w:rsid w:val="00BB1338"/>
    <w:rsid w:val="00BB44AC"/>
    <w:rsid w:val="00BB46AD"/>
    <w:rsid w:val="00BB587E"/>
    <w:rsid w:val="00BC0019"/>
    <w:rsid w:val="00BC34AD"/>
    <w:rsid w:val="00BC4005"/>
    <w:rsid w:val="00BD2B21"/>
    <w:rsid w:val="00BD485A"/>
    <w:rsid w:val="00BD4898"/>
    <w:rsid w:val="00BD530A"/>
    <w:rsid w:val="00BD6995"/>
    <w:rsid w:val="00BE0EEB"/>
    <w:rsid w:val="00BE1DFD"/>
    <w:rsid w:val="00BE73C9"/>
    <w:rsid w:val="00BF2B66"/>
    <w:rsid w:val="00BF5EAF"/>
    <w:rsid w:val="00BF6548"/>
    <w:rsid w:val="00BF78B5"/>
    <w:rsid w:val="00C000B7"/>
    <w:rsid w:val="00C0173C"/>
    <w:rsid w:val="00C055E4"/>
    <w:rsid w:val="00C071E8"/>
    <w:rsid w:val="00C0727D"/>
    <w:rsid w:val="00C07F13"/>
    <w:rsid w:val="00C10454"/>
    <w:rsid w:val="00C12030"/>
    <w:rsid w:val="00C12A5D"/>
    <w:rsid w:val="00C16524"/>
    <w:rsid w:val="00C20FE3"/>
    <w:rsid w:val="00C24B24"/>
    <w:rsid w:val="00C25D01"/>
    <w:rsid w:val="00C25F03"/>
    <w:rsid w:val="00C268B5"/>
    <w:rsid w:val="00C35123"/>
    <w:rsid w:val="00C3598D"/>
    <w:rsid w:val="00C41151"/>
    <w:rsid w:val="00C42693"/>
    <w:rsid w:val="00C42E1A"/>
    <w:rsid w:val="00C43ED7"/>
    <w:rsid w:val="00C51CE6"/>
    <w:rsid w:val="00C53129"/>
    <w:rsid w:val="00C550EE"/>
    <w:rsid w:val="00C5542A"/>
    <w:rsid w:val="00C61AC0"/>
    <w:rsid w:val="00C631E0"/>
    <w:rsid w:val="00C7035C"/>
    <w:rsid w:val="00C73FBA"/>
    <w:rsid w:val="00C74022"/>
    <w:rsid w:val="00C75007"/>
    <w:rsid w:val="00C77B5B"/>
    <w:rsid w:val="00C77EB9"/>
    <w:rsid w:val="00C80327"/>
    <w:rsid w:val="00C8141A"/>
    <w:rsid w:val="00C81476"/>
    <w:rsid w:val="00C9221B"/>
    <w:rsid w:val="00C92895"/>
    <w:rsid w:val="00C93CF2"/>
    <w:rsid w:val="00C94DEE"/>
    <w:rsid w:val="00CA0E2C"/>
    <w:rsid w:val="00CA372D"/>
    <w:rsid w:val="00CA67BE"/>
    <w:rsid w:val="00CA7791"/>
    <w:rsid w:val="00CB1CFE"/>
    <w:rsid w:val="00CB699A"/>
    <w:rsid w:val="00CB74EB"/>
    <w:rsid w:val="00CC0D6D"/>
    <w:rsid w:val="00CC3B6D"/>
    <w:rsid w:val="00CC4B77"/>
    <w:rsid w:val="00CC67CE"/>
    <w:rsid w:val="00CC691A"/>
    <w:rsid w:val="00CC74FC"/>
    <w:rsid w:val="00CD1842"/>
    <w:rsid w:val="00CD33AA"/>
    <w:rsid w:val="00CD7F19"/>
    <w:rsid w:val="00CE1C2A"/>
    <w:rsid w:val="00CE29A4"/>
    <w:rsid w:val="00CE4010"/>
    <w:rsid w:val="00CE4C90"/>
    <w:rsid w:val="00CE5D93"/>
    <w:rsid w:val="00CE6B10"/>
    <w:rsid w:val="00CE794A"/>
    <w:rsid w:val="00CF1715"/>
    <w:rsid w:val="00CF1C87"/>
    <w:rsid w:val="00CF2393"/>
    <w:rsid w:val="00CF35D2"/>
    <w:rsid w:val="00CF3CF0"/>
    <w:rsid w:val="00CF7C1C"/>
    <w:rsid w:val="00D014CA"/>
    <w:rsid w:val="00D03B7D"/>
    <w:rsid w:val="00D06517"/>
    <w:rsid w:val="00D06FC4"/>
    <w:rsid w:val="00D0766A"/>
    <w:rsid w:val="00D10D87"/>
    <w:rsid w:val="00D11495"/>
    <w:rsid w:val="00D1644F"/>
    <w:rsid w:val="00D17619"/>
    <w:rsid w:val="00D33298"/>
    <w:rsid w:val="00D336D8"/>
    <w:rsid w:val="00D3475C"/>
    <w:rsid w:val="00D348BF"/>
    <w:rsid w:val="00D43BDF"/>
    <w:rsid w:val="00D44A68"/>
    <w:rsid w:val="00D44ACC"/>
    <w:rsid w:val="00D470B2"/>
    <w:rsid w:val="00D471F6"/>
    <w:rsid w:val="00D47459"/>
    <w:rsid w:val="00D50579"/>
    <w:rsid w:val="00D51DFD"/>
    <w:rsid w:val="00D521F3"/>
    <w:rsid w:val="00D528C8"/>
    <w:rsid w:val="00D52B5A"/>
    <w:rsid w:val="00D55B1D"/>
    <w:rsid w:val="00D6345F"/>
    <w:rsid w:val="00D66EDB"/>
    <w:rsid w:val="00D67416"/>
    <w:rsid w:val="00D703A9"/>
    <w:rsid w:val="00D73606"/>
    <w:rsid w:val="00D74965"/>
    <w:rsid w:val="00D77F81"/>
    <w:rsid w:val="00D81CD3"/>
    <w:rsid w:val="00D81E43"/>
    <w:rsid w:val="00D825A0"/>
    <w:rsid w:val="00D828ED"/>
    <w:rsid w:val="00D859F6"/>
    <w:rsid w:val="00D85B24"/>
    <w:rsid w:val="00D876E8"/>
    <w:rsid w:val="00D9010B"/>
    <w:rsid w:val="00D9048B"/>
    <w:rsid w:val="00D90640"/>
    <w:rsid w:val="00D909CB"/>
    <w:rsid w:val="00D925BC"/>
    <w:rsid w:val="00D931F0"/>
    <w:rsid w:val="00D9458C"/>
    <w:rsid w:val="00DA087C"/>
    <w:rsid w:val="00DA13CC"/>
    <w:rsid w:val="00DA33A1"/>
    <w:rsid w:val="00DA5B2D"/>
    <w:rsid w:val="00DB13EB"/>
    <w:rsid w:val="00DB38D3"/>
    <w:rsid w:val="00DB4289"/>
    <w:rsid w:val="00DB4395"/>
    <w:rsid w:val="00DB7AD7"/>
    <w:rsid w:val="00DB7B75"/>
    <w:rsid w:val="00DC08EE"/>
    <w:rsid w:val="00DC1C65"/>
    <w:rsid w:val="00DC2403"/>
    <w:rsid w:val="00DC2E2B"/>
    <w:rsid w:val="00DC4872"/>
    <w:rsid w:val="00DC5593"/>
    <w:rsid w:val="00DC6638"/>
    <w:rsid w:val="00DC75F1"/>
    <w:rsid w:val="00DC7909"/>
    <w:rsid w:val="00DD1BCA"/>
    <w:rsid w:val="00DD25BE"/>
    <w:rsid w:val="00DD5787"/>
    <w:rsid w:val="00DD647C"/>
    <w:rsid w:val="00DE03AA"/>
    <w:rsid w:val="00DE3330"/>
    <w:rsid w:val="00DE4095"/>
    <w:rsid w:val="00DF0EC3"/>
    <w:rsid w:val="00DF2306"/>
    <w:rsid w:val="00DF4EC4"/>
    <w:rsid w:val="00DF52CD"/>
    <w:rsid w:val="00DF5B63"/>
    <w:rsid w:val="00DF5C67"/>
    <w:rsid w:val="00DF75C5"/>
    <w:rsid w:val="00E01F40"/>
    <w:rsid w:val="00E02479"/>
    <w:rsid w:val="00E04901"/>
    <w:rsid w:val="00E04AD8"/>
    <w:rsid w:val="00E05D5E"/>
    <w:rsid w:val="00E07CC6"/>
    <w:rsid w:val="00E1130E"/>
    <w:rsid w:val="00E11A46"/>
    <w:rsid w:val="00E16756"/>
    <w:rsid w:val="00E21465"/>
    <w:rsid w:val="00E22577"/>
    <w:rsid w:val="00E23D61"/>
    <w:rsid w:val="00E300F8"/>
    <w:rsid w:val="00E32953"/>
    <w:rsid w:val="00E33F1C"/>
    <w:rsid w:val="00E340C2"/>
    <w:rsid w:val="00E405AE"/>
    <w:rsid w:val="00E4080D"/>
    <w:rsid w:val="00E40E0A"/>
    <w:rsid w:val="00E44A1C"/>
    <w:rsid w:val="00E51BAE"/>
    <w:rsid w:val="00E528F3"/>
    <w:rsid w:val="00E53AA4"/>
    <w:rsid w:val="00E54FC8"/>
    <w:rsid w:val="00E60A13"/>
    <w:rsid w:val="00E62414"/>
    <w:rsid w:val="00E642CA"/>
    <w:rsid w:val="00E6434E"/>
    <w:rsid w:val="00E64D54"/>
    <w:rsid w:val="00E6602E"/>
    <w:rsid w:val="00E66645"/>
    <w:rsid w:val="00E71CBE"/>
    <w:rsid w:val="00E743E2"/>
    <w:rsid w:val="00E755C9"/>
    <w:rsid w:val="00E760B2"/>
    <w:rsid w:val="00E7770D"/>
    <w:rsid w:val="00E8671B"/>
    <w:rsid w:val="00E87E21"/>
    <w:rsid w:val="00E918AD"/>
    <w:rsid w:val="00E92832"/>
    <w:rsid w:val="00E96674"/>
    <w:rsid w:val="00E97294"/>
    <w:rsid w:val="00EA4433"/>
    <w:rsid w:val="00EA71EC"/>
    <w:rsid w:val="00EB0412"/>
    <w:rsid w:val="00EB32DC"/>
    <w:rsid w:val="00EC0664"/>
    <w:rsid w:val="00EC1883"/>
    <w:rsid w:val="00EC344E"/>
    <w:rsid w:val="00EC37D5"/>
    <w:rsid w:val="00EC51EF"/>
    <w:rsid w:val="00EC5585"/>
    <w:rsid w:val="00EC5EFF"/>
    <w:rsid w:val="00EC644B"/>
    <w:rsid w:val="00EC736D"/>
    <w:rsid w:val="00ED03F6"/>
    <w:rsid w:val="00ED201F"/>
    <w:rsid w:val="00ED3795"/>
    <w:rsid w:val="00ED3B4E"/>
    <w:rsid w:val="00ED7894"/>
    <w:rsid w:val="00ED7BDD"/>
    <w:rsid w:val="00EE0C3D"/>
    <w:rsid w:val="00EE56A8"/>
    <w:rsid w:val="00EE5B25"/>
    <w:rsid w:val="00EE6554"/>
    <w:rsid w:val="00EE7534"/>
    <w:rsid w:val="00EE7A74"/>
    <w:rsid w:val="00EE7D1B"/>
    <w:rsid w:val="00EE7DD6"/>
    <w:rsid w:val="00EF0A2B"/>
    <w:rsid w:val="00EF2BDD"/>
    <w:rsid w:val="00EF51DC"/>
    <w:rsid w:val="00EF6C60"/>
    <w:rsid w:val="00F013BA"/>
    <w:rsid w:val="00F02548"/>
    <w:rsid w:val="00F0286D"/>
    <w:rsid w:val="00F04A9C"/>
    <w:rsid w:val="00F060F4"/>
    <w:rsid w:val="00F06D4A"/>
    <w:rsid w:val="00F1017D"/>
    <w:rsid w:val="00F13FF4"/>
    <w:rsid w:val="00F167BE"/>
    <w:rsid w:val="00F206A7"/>
    <w:rsid w:val="00F21B69"/>
    <w:rsid w:val="00F2290E"/>
    <w:rsid w:val="00F249C5"/>
    <w:rsid w:val="00F254DF"/>
    <w:rsid w:val="00F30497"/>
    <w:rsid w:val="00F31DFD"/>
    <w:rsid w:val="00F32956"/>
    <w:rsid w:val="00F36125"/>
    <w:rsid w:val="00F36D1A"/>
    <w:rsid w:val="00F377DA"/>
    <w:rsid w:val="00F402CB"/>
    <w:rsid w:val="00F40421"/>
    <w:rsid w:val="00F41C44"/>
    <w:rsid w:val="00F4290D"/>
    <w:rsid w:val="00F42AE7"/>
    <w:rsid w:val="00F451EB"/>
    <w:rsid w:val="00F50888"/>
    <w:rsid w:val="00F52407"/>
    <w:rsid w:val="00F559D5"/>
    <w:rsid w:val="00F62D42"/>
    <w:rsid w:val="00F66500"/>
    <w:rsid w:val="00F66569"/>
    <w:rsid w:val="00F66655"/>
    <w:rsid w:val="00F66814"/>
    <w:rsid w:val="00F66B9C"/>
    <w:rsid w:val="00F81A80"/>
    <w:rsid w:val="00F83459"/>
    <w:rsid w:val="00F91A42"/>
    <w:rsid w:val="00F91CE5"/>
    <w:rsid w:val="00F923BC"/>
    <w:rsid w:val="00F92789"/>
    <w:rsid w:val="00F95EAC"/>
    <w:rsid w:val="00FA49F1"/>
    <w:rsid w:val="00FB0C9A"/>
    <w:rsid w:val="00FB0EE1"/>
    <w:rsid w:val="00FB1070"/>
    <w:rsid w:val="00FB2D89"/>
    <w:rsid w:val="00FB38CA"/>
    <w:rsid w:val="00FB6218"/>
    <w:rsid w:val="00FB7869"/>
    <w:rsid w:val="00FC4252"/>
    <w:rsid w:val="00FC55E6"/>
    <w:rsid w:val="00FC705C"/>
    <w:rsid w:val="00FC72B9"/>
    <w:rsid w:val="00FC7AE8"/>
    <w:rsid w:val="00FD126D"/>
    <w:rsid w:val="00FD1695"/>
    <w:rsid w:val="00FD1D05"/>
    <w:rsid w:val="00FD3CF8"/>
    <w:rsid w:val="00FD6873"/>
    <w:rsid w:val="00FE0DCF"/>
    <w:rsid w:val="00FE1A44"/>
    <w:rsid w:val="00FE5708"/>
    <w:rsid w:val="00FE61C7"/>
    <w:rsid w:val="00FE62B8"/>
    <w:rsid w:val="00FE777B"/>
    <w:rsid w:val="00FF082F"/>
    <w:rsid w:val="00FF08A6"/>
    <w:rsid w:val="00FF4DDF"/>
    <w:rsid w:val="00FF532A"/>
    <w:rsid w:val="00FF5B5F"/>
    <w:rsid w:val="00FF630C"/>
    <w:rsid w:val="00FF6AD7"/>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4"/>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paragraph" w:styleId="Heading3">
    <w:name w:val="heading 3"/>
    <w:basedOn w:val="Normal"/>
    <w:next w:val="Normal"/>
    <w:link w:val="Heading3Char"/>
    <w:uiPriority w:val="9"/>
    <w:unhideWhenUsed/>
    <w:qFormat/>
    <w:rsid w:val="00C75007"/>
    <w:pPr>
      <w:keepNext/>
      <w:tabs>
        <w:tab w:val="left" w:pos="567"/>
      </w:tabs>
      <w:spacing w:after="0" w:line="240" w:lineRule="auto"/>
      <w:jc w:val="both"/>
      <w:outlineLvl w:val="2"/>
    </w:pPr>
    <w:rPr>
      <w:rFonts w:ascii="Verdana" w:hAnsi="Verdana" w:cs="Georg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34"/>
    <w:locked/>
    <w:rsid w:val="006F17A3"/>
    <w:rPr>
      <w:lang w:val="es-CR"/>
    </w:rPr>
  </w:style>
  <w:style w:type="paragraph" w:styleId="NoSpacing">
    <w:name w:val="No Spacing"/>
    <w:basedOn w:val="ListParagraph"/>
    <w:uiPriority w:val="1"/>
    <w:qFormat/>
    <w:rsid w:val="00E7770D"/>
    <w:pPr>
      <w:numPr>
        <w:numId w:val="2"/>
      </w:numPr>
      <w:tabs>
        <w:tab w:val="left" w:pos="567"/>
      </w:tabs>
      <w:spacing w:after="0" w:line="240" w:lineRule="auto"/>
      <w:jc w:val="both"/>
    </w:pPr>
    <w:rPr>
      <w:rFonts w:ascii="Verdana" w:hAnsi="Verdana"/>
      <w:sz w:val="20"/>
      <w:szCs w:val="24"/>
    </w:rPr>
  </w:style>
  <w:style w:type="paragraph" w:styleId="Subtitle">
    <w:name w:val="Subtitle"/>
    <w:basedOn w:val="NoSpacing"/>
    <w:next w:val="Normal"/>
    <w:link w:val="SubtitleChar"/>
    <w:uiPriority w:val="11"/>
    <w:qFormat/>
    <w:rsid w:val="00B13492"/>
    <w:pPr>
      <w:numPr>
        <w:ilvl w:val="2"/>
        <w:numId w:val="5"/>
      </w:numPr>
      <w:tabs>
        <w:tab w:val="clear" w:pos="1070"/>
        <w:tab w:val="left" w:pos="0"/>
        <w:tab w:val="num" w:pos="567"/>
      </w:tabs>
      <w:ind w:left="0" w:firstLine="0"/>
    </w:pPr>
  </w:style>
  <w:style w:type="character" w:customStyle="1" w:styleId="SubtitleChar">
    <w:name w:val="Subtitle Char"/>
    <w:basedOn w:val="DefaultParagraphFont"/>
    <w:link w:val="Subtitle"/>
    <w:uiPriority w:val="11"/>
    <w:rsid w:val="00B13492"/>
    <w:rPr>
      <w:rFonts w:ascii="Verdana" w:hAnsi="Verdana"/>
      <w:sz w:val="20"/>
      <w:szCs w:val="24"/>
      <w:lang w:val="es-CR"/>
    </w:rPr>
  </w:style>
  <w:style w:type="character" w:customStyle="1" w:styleId="Heading3Char">
    <w:name w:val="Heading 3 Char"/>
    <w:basedOn w:val="DefaultParagraphFont"/>
    <w:link w:val="Heading3"/>
    <w:uiPriority w:val="9"/>
    <w:rsid w:val="00C75007"/>
    <w:rPr>
      <w:rFonts w:ascii="Verdana" w:hAnsi="Verdana" w:cs="Georgia"/>
      <w:b/>
      <w:sz w:val="20"/>
      <w:szCs w:val="20"/>
      <w:lang w:val="es-CR"/>
    </w:rPr>
  </w:style>
  <w:style w:type="paragraph" w:styleId="Revision">
    <w:name w:val="Revision"/>
    <w:hidden/>
    <w:uiPriority w:val="99"/>
    <w:semiHidden/>
    <w:rsid w:val="0044394C"/>
    <w:pPr>
      <w:spacing w:after="0" w:line="240" w:lineRule="auto"/>
    </w:pPr>
    <w:rPr>
      <w:lang w:val="es-CR"/>
    </w:rPr>
  </w:style>
  <w:style w:type="character" w:styleId="Emphasis">
    <w:name w:val="Emphasis"/>
    <w:basedOn w:val="DefaultParagraphFont"/>
    <w:uiPriority w:val="20"/>
    <w:qFormat/>
    <w:rsid w:val="006A3736"/>
    <w:rPr>
      <w:i/>
      <w:iCs/>
    </w:rPr>
  </w:style>
  <w:style w:type="character" w:styleId="SubtleEmphasis">
    <w:name w:val="Subtle Emphasis"/>
    <w:uiPriority w:val="19"/>
    <w:qFormat/>
    <w:rsid w:val="001C7251"/>
    <w:rPr>
      <w:rFonts w:ascii="Verdana" w:hAnsi="Verdana"/>
      <w:i/>
      <w:iCs/>
      <w:color w:val="808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4"/>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paragraph" w:styleId="Heading3">
    <w:name w:val="heading 3"/>
    <w:basedOn w:val="Normal"/>
    <w:next w:val="Normal"/>
    <w:link w:val="Heading3Char"/>
    <w:uiPriority w:val="9"/>
    <w:unhideWhenUsed/>
    <w:qFormat/>
    <w:rsid w:val="00C75007"/>
    <w:pPr>
      <w:keepNext/>
      <w:tabs>
        <w:tab w:val="left" w:pos="567"/>
      </w:tabs>
      <w:spacing w:after="0" w:line="240" w:lineRule="auto"/>
      <w:jc w:val="both"/>
      <w:outlineLvl w:val="2"/>
    </w:pPr>
    <w:rPr>
      <w:rFonts w:ascii="Verdana" w:hAnsi="Verdana" w:cs="Georg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34"/>
    <w:locked/>
    <w:rsid w:val="006F17A3"/>
    <w:rPr>
      <w:lang w:val="es-CR"/>
    </w:rPr>
  </w:style>
  <w:style w:type="paragraph" w:styleId="NoSpacing">
    <w:name w:val="No Spacing"/>
    <w:basedOn w:val="ListParagraph"/>
    <w:uiPriority w:val="1"/>
    <w:qFormat/>
    <w:rsid w:val="00E7770D"/>
    <w:pPr>
      <w:numPr>
        <w:numId w:val="2"/>
      </w:numPr>
      <w:tabs>
        <w:tab w:val="left" w:pos="567"/>
      </w:tabs>
      <w:spacing w:after="0" w:line="240" w:lineRule="auto"/>
      <w:jc w:val="both"/>
    </w:pPr>
    <w:rPr>
      <w:rFonts w:ascii="Verdana" w:hAnsi="Verdana"/>
      <w:sz w:val="20"/>
      <w:szCs w:val="24"/>
    </w:rPr>
  </w:style>
  <w:style w:type="paragraph" w:styleId="Subtitle">
    <w:name w:val="Subtitle"/>
    <w:basedOn w:val="NoSpacing"/>
    <w:next w:val="Normal"/>
    <w:link w:val="SubtitleChar"/>
    <w:uiPriority w:val="11"/>
    <w:qFormat/>
    <w:rsid w:val="00B13492"/>
    <w:pPr>
      <w:numPr>
        <w:ilvl w:val="2"/>
        <w:numId w:val="5"/>
      </w:numPr>
      <w:tabs>
        <w:tab w:val="clear" w:pos="1070"/>
        <w:tab w:val="left" w:pos="0"/>
        <w:tab w:val="num" w:pos="567"/>
      </w:tabs>
      <w:ind w:left="0" w:firstLine="0"/>
    </w:pPr>
  </w:style>
  <w:style w:type="character" w:customStyle="1" w:styleId="SubtitleChar">
    <w:name w:val="Subtitle Char"/>
    <w:basedOn w:val="DefaultParagraphFont"/>
    <w:link w:val="Subtitle"/>
    <w:uiPriority w:val="11"/>
    <w:rsid w:val="00B13492"/>
    <w:rPr>
      <w:rFonts w:ascii="Verdana" w:hAnsi="Verdana"/>
      <w:sz w:val="20"/>
      <w:szCs w:val="24"/>
      <w:lang w:val="es-CR"/>
    </w:rPr>
  </w:style>
  <w:style w:type="character" w:customStyle="1" w:styleId="Heading3Char">
    <w:name w:val="Heading 3 Char"/>
    <w:basedOn w:val="DefaultParagraphFont"/>
    <w:link w:val="Heading3"/>
    <w:uiPriority w:val="9"/>
    <w:rsid w:val="00C75007"/>
    <w:rPr>
      <w:rFonts w:ascii="Verdana" w:hAnsi="Verdana" w:cs="Georgia"/>
      <w:b/>
      <w:sz w:val="20"/>
      <w:szCs w:val="20"/>
      <w:lang w:val="es-CR"/>
    </w:rPr>
  </w:style>
  <w:style w:type="paragraph" w:styleId="Revision">
    <w:name w:val="Revision"/>
    <w:hidden/>
    <w:uiPriority w:val="99"/>
    <w:semiHidden/>
    <w:rsid w:val="0044394C"/>
    <w:pPr>
      <w:spacing w:after="0" w:line="240" w:lineRule="auto"/>
    </w:pPr>
    <w:rPr>
      <w:lang w:val="es-CR"/>
    </w:rPr>
  </w:style>
  <w:style w:type="character" w:styleId="Emphasis">
    <w:name w:val="Emphasis"/>
    <w:basedOn w:val="DefaultParagraphFont"/>
    <w:uiPriority w:val="20"/>
    <w:qFormat/>
    <w:rsid w:val="006A3736"/>
    <w:rPr>
      <w:i/>
      <w:iCs/>
    </w:rPr>
  </w:style>
  <w:style w:type="character" w:styleId="SubtleEmphasis">
    <w:name w:val="Subtle Emphasis"/>
    <w:uiPriority w:val="19"/>
    <w:qFormat/>
    <w:rsid w:val="001C7251"/>
    <w:rPr>
      <w:rFonts w:ascii="Verdana" w:hAnsi="Verdana"/>
      <w:i/>
      <w:iCs/>
      <w:color w:val="808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170874060">
              <w:marLeft w:val="0"/>
              <w:marRight w:val="0"/>
              <w:marTop w:val="0"/>
              <w:marBottom w:val="0"/>
              <w:divBdr>
                <w:top w:val="none" w:sz="0" w:space="0" w:color="auto"/>
                <w:left w:val="none" w:sz="0" w:space="0" w:color="auto"/>
                <w:bottom w:val="none" w:sz="0" w:space="0" w:color="auto"/>
                <w:right w:val="none" w:sz="0" w:space="0" w:color="auto"/>
              </w:divBdr>
            </w:div>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300110341">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1258248776">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404642281">
              <w:marLeft w:val="0"/>
              <w:marRight w:val="0"/>
              <w:marTop w:val="0"/>
              <w:marBottom w:val="0"/>
              <w:divBdr>
                <w:top w:val="none" w:sz="0" w:space="0" w:color="auto"/>
                <w:left w:val="none" w:sz="0" w:space="0" w:color="auto"/>
                <w:bottom w:val="none" w:sz="0" w:space="0" w:color="auto"/>
                <w:right w:val="none" w:sz="0" w:space="0" w:color="auto"/>
              </w:divBdr>
              <w:divsChild>
                <w:div w:id="203370792">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19184646">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sChild>
                </w:div>
                <w:div w:id="1975981605">
                  <w:marLeft w:val="0"/>
                  <w:marRight w:val="0"/>
                  <w:marTop w:val="0"/>
                  <w:marBottom w:val="0"/>
                  <w:divBdr>
                    <w:top w:val="none" w:sz="0" w:space="0" w:color="auto"/>
                    <w:left w:val="none" w:sz="0" w:space="0" w:color="auto"/>
                    <w:bottom w:val="none" w:sz="0" w:space="0" w:color="auto"/>
                    <w:right w:val="none" w:sz="0" w:space="0" w:color="auto"/>
                  </w:divBdr>
                </w:div>
              </w:divsChild>
            </w:div>
            <w:div w:id="1681466465">
              <w:marLeft w:val="0"/>
              <w:marRight w:val="0"/>
              <w:marTop w:val="0"/>
              <w:marBottom w:val="0"/>
              <w:divBdr>
                <w:top w:val="none" w:sz="0" w:space="0" w:color="auto"/>
                <w:left w:val="none" w:sz="0" w:space="0" w:color="auto"/>
                <w:bottom w:val="none" w:sz="0" w:space="0" w:color="auto"/>
                <w:right w:val="none" w:sz="0" w:space="0" w:color="auto"/>
              </w:divBdr>
            </w:div>
          </w:divsChild>
        </w:div>
        <w:div w:id="1860198233">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2013101181">
          <w:marLeft w:val="0"/>
          <w:marRight w:val="0"/>
          <w:marTop w:val="0"/>
          <w:marBottom w:val="0"/>
          <w:divBdr>
            <w:top w:val="none" w:sz="0" w:space="0" w:color="auto"/>
            <w:left w:val="none" w:sz="0" w:space="0" w:color="auto"/>
            <w:bottom w:val="none" w:sz="0" w:space="0" w:color="auto"/>
            <w:right w:val="none" w:sz="0" w:space="0" w:color="auto"/>
          </w:divBdr>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5874">
      <w:bodyDiv w:val="1"/>
      <w:marLeft w:val="0"/>
      <w:marRight w:val="0"/>
      <w:marTop w:val="0"/>
      <w:marBottom w:val="0"/>
      <w:divBdr>
        <w:top w:val="none" w:sz="0" w:space="0" w:color="auto"/>
        <w:left w:val="none" w:sz="0" w:space="0" w:color="auto"/>
        <w:bottom w:val="none" w:sz="0" w:space="0" w:color="auto"/>
        <w:right w:val="none" w:sz="0" w:space="0" w:color="auto"/>
      </w:divBdr>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4629">
      <w:bodyDiv w:val="1"/>
      <w:marLeft w:val="0"/>
      <w:marRight w:val="0"/>
      <w:marTop w:val="0"/>
      <w:marBottom w:val="0"/>
      <w:divBdr>
        <w:top w:val="none" w:sz="0" w:space="0" w:color="auto"/>
        <w:left w:val="none" w:sz="0" w:space="0" w:color="auto"/>
        <w:bottom w:val="none" w:sz="0" w:space="0" w:color="auto"/>
        <w:right w:val="none" w:sz="0" w:space="0" w:color="auto"/>
      </w:divBdr>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742">
      <w:bodyDiv w:val="1"/>
      <w:marLeft w:val="0"/>
      <w:marRight w:val="0"/>
      <w:marTop w:val="0"/>
      <w:marBottom w:val="0"/>
      <w:divBdr>
        <w:top w:val="none" w:sz="0" w:space="0" w:color="auto"/>
        <w:left w:val="none" w:sz="0" w:space="0" w:color="auto"/>
        <w:bottom w:val="none" w:sz="0" w:space="0" w:color="auto"/>
        <w:right w:val="none" w:sz="0" w:space="0" w:color="auto"/>
      </w:divBdr>
    </w:div>
    <w:div w:id="718675592">
      <w:bodyDiv w:val="1"/>
      <w:marLeft w:val="0"/>
      <w:marRight w:val="0"/>
      <w:marTop w:val="0"/>
      <w:marBottom w:val="0"/>
      <w:divBdr>
        <w:top w:val="none" w:sz="0" w:space="0" w:color="auto"/>
        <w:left w:val="none" w:sz="0" w:space="0" w:color="auto"/>
        <w:bottom w:val="none" w:sz="0" w:space="0" w:color="auto"/>
        <w:right w:val="none" w:sz="0" w:space="0" w:color="auto"/>
      </w:divBdr>
    </w:div>
    <w:div w:id="728922039">
      <w:bodyDiv w:val="1"/>
      <w:marLeft w:val="0"/>
      <w:marRight w:val="0"/>
      <w:marTop w:val="0"/>
      <w:marBottom w:val="0"/>
      <w:divBdr>
        <w:top w:val="none" w:sz="0" w:space="0" w:color="auto"/>
        <w:left w:val="none" w:sz="0" w:space="0" w:color="auto"/>
        <w:bottom w:val="none" w:sz="0" w:space="0" w:color="auto"/>
        <w:right w:val="none" w:sz="0" w:space="0" w:color="auto"/>
      </w:divBdr>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46">
      <w:bodyDiv w:val="1"/>
      <w:marLeft w:val="0"/>
      <w:marRight w:val="0"/>
      <w:marTop w:val="0"/>
      <w:marBottom w:val="0"/>
      <w:divBdr>
        <w:top w:val="none" w:sz="0" w:space="0" w:color="auto"/>
        <w:left w:val="none" w:sz="0" w:space="0" w:color="auto"/>
        <w:bottom w:val="none" w:sz="0" w:space="0" w:color="auto"/>
        <w:right w:val="none" w:sz="0" w:space="0" w:color="auto"/>
      </w:divBdr>
      <w:divsChild>
        <w:div w:id="478807810">
          <w:marLeft w:val="0"/>
          <w:marRight w:val="0"/>
          <w:marTop w:val="0"/>
          <w:marBottom w:val="0"/>
          <w:divBdr>
            <w:top w:val="none" w:sz="0" w:space="0" w:color="auto"/>
            <w:left w:val="none" w:sz="0" w:space="0" w:color="auto"/>
            <w:bottom w:val="none" w:sz="0" w:space="0" w:color="auto"/>
            <w:right w:val="none" w:sz="0" w:space="0" w:color="auto"/>
          </w:divBdr>
        </w:div>
        <w:div w:id="913121394">
          <w:marLeft w:val="0"/>
          <w:marRight w:val="0"/>
          <w:marTop w:val="0"/>
          <w:marBottom w:val="0"/>
          <w:divBdr>
            <w:top w:val="none" w:sz="0" w:space="0" w:color="auto"/>
            <w:left w:val="none" w:sz="0" w:space="0" w:color="auto"/>
            <w:bottom w:val="none" w:sz="0" w:space="0" w:color="auto"/>
            <w:right w:val="none" w:sz="0" w:space="0" w:color="auto"/>
          </w:divBdr>
        </w:div>
        <w:div w:id="927688899">
          <w:marLeft w:val="0"/>
          <w:marRight w:val="0"/>
          <w:marTop w:val="0"/>
          <w:marBottom w:val="0"/>
          <w:divBdr>
            <w:top w:val="none" w:sz="0" w:space="0" w:color="auto"/>
            <w:left w:val="none" w:sz="0" w:space="0" w:color="auto"/>
            <w:bottom w:val="none" w:sz="0" w:space="0" w:color="auto"/>
            <w:right w:val="none" w:sz="0" w:space="0" w:color="auto"/>
          </w:divBdr>
        </w:div>
        <w:div w:id="1029184966">
          <w:marLeft w:val="0"/>
          <w:marRight w:val="0"/>
          <w:marTop w:val="0"/>
          <w:marBottom w:val="0"/>
          <w:divBdr>
            <w:top w:val="none" w:sz="0" w:space="0" w:color="auto"/>
            <w:left w:val="none" w:sz="0" w:space="0" w:color="auto"/>
            <w:bottom w:val="none" w:sz="0" w:space="0" w:color="auto"/>
            <w:right w:val="none" w:sz="0" w:space="0" w:color="auto"/>
          </w:divBdr>
        </w:div>
        <w:div w:id="1392343104">
          <w:marLeft w:val="0"/>
          <w:marRight w:val="0"/>
          <w:marTop w:val="0"/>
          <w:marBottom w:val="0"/>
          <w:divBdr>
            <w:top w:val="none" w:sz="0" w:space="0" w:color="auto"/>
            <w:left w:val="none" w:sz="0" w:space="0" w:color="auto"/>
            <w:bottom w:val="none" w:sz="0" w:space="0" w:color="auto"/>
            <w:right w:val="none" w:sz="0" w:space="0" w:color="auto"/>
          </w:divBdr>
        </w:div>
        <w:div w:id="1426801408">
          <w:marLeft w:val="0"/>
          <w:marRight w:val="0"/>
          <w:marTop w:val="0"/>
          <w:marBottom w:val="0"/>
          <w:divBdr>
            <w:top w:val="none" w:sz="0" w:space="0" w:color="auto"/>
            <w:left w:val="none" w:sz="0" w:space="0" w:color="auto"/>
            <w:bottom w:val="none" w:sz="0" w:space="0" w:color="auto"/>
            <w:right w:val="none" w:sz="0" w:space="0" w:color="auto"/>
          </w:divBdr>
        </w:div>
        <w:div w:id="1629430774">
          <w:marLeft w:val="0"/>
          <w:marRight w:val="0"/>
          <w:marTop w:val="0"/>
          <w:marBottom w:val="0"/>
          <w:divBdr>
            <w:top w:val="none" w:sz="0" w:space="0" w:color="auto"/>
            <w:left w:val="none" w:sz="0" w:space="0" w:color="auto"/>
            <w:bottom w:val="none" w:sz="0" w:space="0" w:color="auto"/>
            <w:right w:val="none" w:sz="0" w:space="0" w:color="auto"/>
          </w:divBdr>
        </w:div>
        <w:div w:id="1672298442">
          <w:marLeft w:val="0"/>
          <w:marRight w:val="0"/>
          <w:marTop w:val="0"/>
          <w:marBottom w:val="0"/>
          <w:divBdr>
            <w:top w:val="none" w:sz="0" w:space="0" w:color="auto"/>
            <w:left w:val="none" w:sz="0" w:space="0" w:color="auto"/>
            <w:bottom w:val="none" w:sz="0" w:space="0" w:color="auto"/>
            <w:right w:val="none" w:sz="0" w:space="0" w:color="auto"/>
          </w:divBdr>
        </w:div>
        <w:div w:id="1764571273">
          <w:marLeft w:val="0"/>
          <w:marRight w:val="0"/>
          <w:marTop w:val="0"/>
          <w:marBottom w:val="0"/>
          <w:divBdr>
            <w:top w:val="none" w:sz="0" w:space="0" w:color="auto"/>
            <w:left w:val="none" w:sz="0" w:space="0" w:color="auto"/>
            <w:bottom w:val="none" w:sz="0" w:space="0" w:color="auto"/>
            <w:right w:val="none" w:sz="0" w:space="0" w:color="auto"/>
          </w:divBdr>
        </w:div>
        <w:div w:id="2114352749">
          <w:marLeft w:val="0"/>
          <w:marRight w:val="0"/>
          <w:marTop w:val="0"/>
          <w:marBottom w:val="0"/>
          <w:divBdr>
            <w:top w:val="none" w:sz="0" w:space="0" w:color="auto"/>
            <w:left w:val="none" w:sz="0" w:space="0" w:color="auto"/>
            <w:bottom w:val="none" w:sz="0" w:space="0" w:color="auto"/>
            <w:right w:val="none" w:sz="0" w:space="0" w:color="auto"/>
          </w:divBdr>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251">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772">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834C-90C4-4396-872A-1E6B79F76E1C}">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98D80C44-1834-4DB0-8F1B-502A41A06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67441C-83B5-49A7-8C14-99CD0505148A}">
  <ds:schemaRefs>
    <ds:schemaRef ds:uri="http://schemas.microsoft.com/sharepoint/v3/contenttype/forms"/>
  </ds:schemaRefs>
</ds:datastoreItem>
</file>

<file path=customXml/itemProps4.xml><?xml version="1.0" encoding="utf-8"?>
<ds:datastoreItem xmlns:ds="http://schemas.openxmlformats.org/officeDocument/2006/customXml" ds:itemID="{7BF1DD5A-0A7B-47B5-AE75-21A74C03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3743</Words>
  <Characters>21337</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2018-12-11T22:14:00Z</cp:lastPrinted>
  <dcterms:created xsi:type="dcterms:W3CDTF">2018-12-12T16:39:00Z</dcterms:created>
  <dcterms:modified xsi:type="dcterms:W3CDTF">2018-12-12T16:39:00Z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