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A6E" w:rsidRDefault="00A10A6E" w:rsidP="00B95D3E">
      <w:pPr>
        <w:tabs>
          <w:tab w:val="left" w:pos="567"/>
        </w:tabs>
        <w:spacing w:after="0" w:line="240" w:lineRule="auto"/>
        <w:jc w:val="center"/>
        <w:rPr>
          <w:rFonts w:ascii="Verdana" w:hAnsi="Verdana"/>
          <w:b/>
          <w:sz w:val="20"/>
          <w:szCs w:val="20"/>
          <w:lang w:val="es-CR"/>
        </w:rPr>
      </w:pPr>
    </w:p>
    <w:p w:rsidR="00A10A6E" w:rsidRDefault="00A10A6E" w:rsidP="00B95D3E">
      <w:pPr>
        <w:tabs>
          <w:tab w:val="left" w:pos="567"/>
        </w:tabs>
        <w:spacing w:after="0" w:line="240" w:lineRule="auto"/>
        <w:jc w:val="center"/>
        <w:rPr>
          <w:rFonts w:ascii="Verdana" w:hAnsi="Verdana"/>
          <w:b/>
          <w:sz w:val="20"/>
          <w:szCs w:val="20"/>
          <w:lang w:val="es-CR"/>
        </w:rPr>
      </w:pPr>
    </w:p>
    <w:p w:rsidR="00A10A6E" w:rsidRDefault="00A10A6E" w:rsidP="00B95D3E">
      <w:pPr>
        <w:tabs>
          <w:tab w:val="left" w:pos="567"/>
        </w:tabs>
        <w:spacing w:after="0" w:line="240" w:lineRule="auto"/>
        <w:jc w:val="center"/>
        <w:rPr>
          <w:rFonts w:ascii="Verdana" w:hAnsi="Verdana"/>
          <w:b/>
          <w:sz w:val="20"/>
          <w:szCs w:val="20"/>
          <w:lang w:val="es-CR"/>
        </w:rPr>
      </w:pPr>
    </w:p>
    <w:p w:rsidR="00A10A6E" w:rsidRDefault="00A10A6E" w:rsidP="00B95D3E">
      <w:pPr>
        <w:tabs>
          <w:tab w:val="left" w:pos="567"/>
        </w:tabs>
        <w:spacing w:after="0" w:line="240" w:lineRule="auto"/>
        <w:jc w:val="center"/>
        <w:rPr>
          <w:rFonts w:ascii="Verdana" w:hAnsi="Verdana"/>
          <w:b/>
          <w:sz w:val="20"/>
          <w:szCs w:val="20"/>
          <w:lang w:val="es-CR"/>
        </w:rPr>
      </w:pPr>
    </w:p>
    <w:p w:rsidR="00A10A6E" w:rsidRDefault="00A10A6E" w:rsidP="00B95D3E">
      <w:pPr>
        <w:tabs>
          <w:tab w:val="left" w:pos="567"/>
        </w:tabs>
        <w:spacing w:after="0" w:line="240" w:lineRule="auto"/>
        <w:jc w:val="center"/>
        <w:rPr>
          <w:rFonts w:ascii="Verdana" w:hAnsi="Verdana"/>
          <w:b/>
          <w:sz w:val="20"/>
          <w:szCs w:val="20"/>
          <w:lang w:val="es-CR"/>
        </w:rPr>
      </w:pPr>
    </w:p>
    <w:p w:rsidR="00A10A6E" w:rsidRDefault="00A10A6E" w:rsidP="00B95D3E">
      <w:pPr>
        <w:tabs>
          <w:tab w:val="left" w:pos="567"/>
        </w:tabs>
        <w:spacing w:after="0" w:line="240" w:lineRule="auto"/>
        <w:jc w:val="center"/>
        <w:rPr>
          <w:rFonts w:ascii="Verdana" w:hAnsi="Verdana"/>
          <w:b/>
          <w:sz w:val="20"/>
          <w:szCs w:val="20"/>
          <w:lang w:val="es-CR"/>
        </w:rPr>
      </w:pPr>
    </w:p>
    <w:p w:rsidR="00A10A6E" w:rsidRDefault="00A10A6E" w:rsidP="00B95D3E">
      <w:pPr>
        <w:tabs>
          <w:tab w:val="left" w:pos="567"/>
        </w:tabs>
        <w:spacing w:after="0" w:line="240" w:lineRule="auto"/>
        <w:jc w:val="center"/>
        <w:rPr>
          <w:rFonts w:ascii="Verdana" w:hAnsi="Verdana"/>
          <w:b/>
          <w:sz w:val="20"/>
          <w:szCs w:val="20"/>
          <w:lang w:val="es-CR"/>
        </w:rPr>
      </w:pPr>
    </w:p>
    <w:p w:rsidR="00B95D3E" w:rsidRPr="00C7521F" w:rsidRDefault="00B95D3E" w:rsidP="00B95D3E">
      <w:pPr>
        <w:tabs>
          <w:tab w:val="left" w:pos="567"/>
        </w:tabs>
        <w:spacing w:after="0" w:line="240" w:lineRule="auto"/>
        <w:jc w:val="center"/>
        <w:rPr>
          <w:rFonts w:ascii="Verdana" w:hAnsi="Verdana"/>
          <w:b/>
          <w:sz w:val="20"/>
          <w:szCs w:val="20"/>
          <w:lang w:val="es-CR"/>
        </w:rPr>
      </w:pPr>
      <w:r w:rsidRPr="00C7521F">
        <w:rPr>
          <w:rFonts w:ascii="Verdana" w:hAnsi="Verdana"/>
          <w:b/>
          <w:sz w:val="20"/>
          <w:szCs w:val="20"/>
          <w:lang w:val="es-CR"/>
        </w:rPr>
        <w:t>RESOLUCIÓN DEL PRESIDENTE DE LA</w:t>
      </w:r>
    </w:p>
    <w:p w:rsidR="00B95D3E" w:rsidRPr="00C7521F" w:rsidRDefault="00B95D3E" w:rsidP="00B95D3E">
      <w:pPr>
        <w:tabs>
          <w:tab w:val="left" w:pos="567"/>
        </w:tabs>
        <w:spacing w:after="0" w:line="240" w:lineRule="auto"/>
        <w:jc w:val="center"/>
        <w:rPr>
          <w:rFonts w:ascii="Verdana" w:hAnsi="Verdana"/>
          <w:b/>
          <w:sz w:val="20"/>
          <w:szCs w:val="20"/>
          <w:lang w:val="es-CR"/>
        </w:rPr>
      </w:pPr>
    </w:p>
    <w:p w:rsidR="00B95D3E" w:rsidRDefault="00B95D3E" w:rsidP="00B95D3E">
      <w:pPr>
        <w:tabs>
          <w:tab w:val="left" w:pos="567"/>
        </w:tabs>
        <w:spacing w:after="0" w:line="240" w:lineRule="auto"/>
        <w:jc w:val="center"/>
        <w:rPr>
          <w:rFonts w:ascii="Verdana" w:hAnsi="Verdana"/>
          <w:b/>
          <w:sz w:val="20"/>
          <w:szCs w:val="20"/>
          <w:lang w:val="es-CR"/>
        </w:rPr>
      </w:pPr>
      <w:r w:rsidRPr="00C7521F">
        <w:rPr>
          <w:rFonts w:ascii="Verdana" w:hAnsi="Verdana"/>
          <w:b/>
          <w:sz w:val="20"/>
          <w:szCs w:val="20"/>
          <w:lang w:val="es-CR"/>
        </w:rPr>
        <w:t>CORTE INTERAMERICANA DE DERECHOS HUMANOS</w:t>
      </w:r>
    </w:p>
    <w:p w:rsidR="00B95D3E" w:rsidRPr="00C7521F" w:rsidRDefault="00B95D3E" w:rsidP="00B95D3E">
      <w:pPr>
        <w:tabs>
          <w:tab w:val="left" w:pos="567"/>
        </w:tabs>
        <w:spacing w:after="0" w:line="240" w:lineRule="auto"/>
        <w:jc w:val="center"/>
        <w:rPr>
          <w:rFonts w:ascii="Verdana" w:hAnsi="Verdana"/>
          <w:b/>
          <w:sz w:val="20"/>
          <w:szCs w:val="20"/>
          <w:lang w:val="es-CR"/>
        </w:rPr>
      </w:pPr>
    </w:p>
    <w:p w:rsidR="00FF5487" w:rsidRPr="00C7521F" w:rsidRDefault="00FF5487" w:rsidP="00FF5487">
      <w:pPr>
        <w:tabs>
          <w:tab w:val="left" w:pos="567"/>
        </w:tabs>
        <w:spacing w:after="0" w:line="240" w:lineRule="auto"/>
        <w:jc w:val="center"/>
        <w:rPr>
          <w:rFonts w:ascii="Verdana" w:hAnsi="Verdana"/>
          <w:b/>
          <w:sz w:val="20"/>
          <w:szCs w:val="20"/>
          <w:lang w:val="es-CR"/>
        </w:rPr>
      </w:pPr>
      <w:r w:rsidRPr="00C7521F">
        <w:rPr>
          <w:rFonts w:ascii="Verdana" w:hAnsi="Verdana"/>
          <w:b/>
          <w:sz w:val="20"/>
          <w:szCs w:val="20"/>
          <w:lang w:val="es-CR"/>
        </w:rPr>
        <w:t xml:space="preserve">DE </w:t>
      </w:r>
      <w:r w:rsidR="00A10A6E">
        <w:rPr>
          <w:rFonts w:ascii="Verdana" w:hAnsi="Verdana"/>
          <w:b/>
          <w:sz w:val="20"/>
          <w:szCs w:val="20"/>
          <w:lang w:val="es-CR"/>
        </w:rPr>
        <w:t>11</w:t>
      </w:r>
      <w:r w:rsidR="00DB3859">
        <w:rPr>
          <w:rFonts w:ascii="Verdana" w:hAnsi="Verdana"/>
          <w:b/>
          <w:sz w:val="20"/>
          <w:szCs w:val="20"/>
          <w:lang w:val="es-CR"/>
        </w:rPr>
        <w:t xml:space="preserve"> DE MARZO</w:t>
      </w:r>
      <w:r>
        <w:rPr>
          <w:rFonts w:ascii="Verdana" w:hAnsi="Verdana"/>
          <w:b/>
          <w:sz w:val="20"/>
          <w:szCs w:val="20"/>
          <w:lang w:val="es-CR"/>
        </w:rPr>
        <w:t xml:space="preserve"> </w:t>
      </w:r>
      <w:r w:rsidRPr="00C7521F">
        <w:rPr>
          <w:rFonts w:ascii="Verdana" w:hAnsi="Verdana"/>
          <w:b/>
          <w:sz w:val="20"/>
          <w:szCs w:val="20"/>
          <w:lang w:val="es-CR"/>
        </w:rPr>
        <w:t>DE 20</w:t>
      </w:r>
      <w:r>
        <w:rPr>
          <w:rFonts w:ascii="Verdana" w:hAnsi="Verdana"/>
          <w:b/>
          <w:sz w:val="20"/>
          <w:szCs w:val="20"/>
          <w:lang w:val="es-CR"/>
        </w:rPr>
        <w:t>15</w:t>
      </w:r>
    </w:p>
    <w:p w:rsidR="00B95D3E" w:rsidRPr="00C7521F" w:rsidRDefault="00B95D3E" w:rsidP="00B95D3E">
      <w:pPr>
        <w:tabs>
          <w:tab w:val="left" w:pos="567"/>
        </w:tabs>
        <w:spacing w:after="0" w:line="240" w:lineRule="auto"/>
        <w:jc w:val="center"/>
        <w:rPr>
          <w:rFonts w:ascii="Verdana" w:hAnsi="Verdana"/>
          <w:b/>
          <w:sz w:val="20"/>
          <w:szCs w:val="20"/>
          <w:lang w:val="es-CR"/>
        </w:rPr>
      </w:pPr>
    </w:p>
    <w:p w:rsidR="00B95D3E" w:rsidRDefault="00B95D3E" w:rsidP="00B95D3E">
      <w:pPr>
        <w:tabs>
          <w:tab w:val="left" w:pos="567"/>
        </w:tabs>
        <w:spacing w:after="0" w:line="240" w:lineRule="auto"/>
        <w:jc w:val="center"/>
        <w:rPr>
          <w:rFonts w:ascii="Verdana" w:hAnsi="Verdana"/>
          <w:b/>
          <w:sz w:val="20"/>
          <w:szCs w:val="20"/>
          <w:lang w:val="es-CR"/>
        </w:rPr>
      </w:pPr>
      <w:r w:rsidRPr="00C7521F">
        <w:rPr>
          <w:rFonts w:ascii="Verdana" w:hAnsi="Verdana"/>
          <w:b/>
          <w:sz w:val="20"/>
          <w:szCs w:val="20"/>
          <w:lang w:val="es-CR"/>
        </w:rPr>
        <w:t>CASO</w:t>
      </w:r>
      <w:r>
        <w:rPr>
          <w:rFonts w:ascii="Verdana" w:hAnsi="Verdana"/>
          <w:b/>
          <w:sz w:val="20"/>
          <w:szCs w:val="20"/>
          <w:lang w:val="es-CR"/>
        </w:rPr>
        <w:t xml:space="preserve"> RUANO TORRES</w:t>
      </w:r>
      <w:r w:rsidRPr="00C7521F">
        <w:rPr>
          <w:rFonts w:ascii="Verdana" w:hAnsi="Verdana"/>
          <w:b/>
          <w:sz w:val="20"/>
          <w:szCs w:val="20"/>
          <w:lang w:val="es-CR"/>
        </w:rPr>
        <w:t xml:space="preserve"> Y FAMILIA</w:t>
      </w:r>
      <w:r w:rsidR="00FF5487">
        <w:rPr>
          <w:rFonts w:ascii="Verdana" w:hAnsi="Verdana"/>
          <w:b/>
          <w:sz w:val="20"/>
          <w:szCs w:val="20"/>
          <w:lang w:val="es-CR"/>
        </w:rPr>
        <w:t>RES</w:t>
      </w:r>
      <w:r w:rsidRPr="00C7521F">
        <w:rPr>
          <w:rFonts w:ascii="Verdana" w:hAnsi="Verdana"/>
          <w:b/>
          <w:sz w:val="20"/>
          <w:szCs w:val="20"/>
          <w:vertAlign w:val="superscript"/>
          <w:lang w:val="es-CR"/>
        </w:rPr>
        <w:t xml:space="preserve"> </w:t>
      </w:r>
      <w:r w:rsidRPr="00C7521F">
        <w:rPr>
          <w:rFonts w:ascii="Verdana" w:hAnsi="Verdana"/>
          <w:b/>
          <w:sz w:val="20"/>
          <w:szCs w:val="20"/>
          <w:lang w:val="es-CR"/>
        </w:rPr>
        <w:t>VS.</w:t>
      </w:r>
      <w:r>
        <w:rPr>
          <w:rFonts w:ascii="Verdana" w:hAnsi="Verdana"/>
          <w:b/>
          <w:sz w:val="20"/>
          <w:szCs w:val="20"/>
          <w:lang w:val="es-CR"/>
        </w:rPr>
        <w:t xml:space="preserve"> EL SALVADOR</w:t>
      </w:r>
    </w:p>
    <w:p w:rsidR="00B95D3E" w:rsidRDefault="00B95D3E" w:rsidP="00B95D3E">
      <w:pPr>
        <w:tabs>
          <w:tab w:val="left" w:pos="567"/>
        </w:tabs>
        <w:spacing w:after="0" w:line="240" w:lineRule="auto"/>
        <w:jc w:val="center"/>
        <w:rPr>
          <w:rFonts w:ascii="Verdana" w:hAnsi="Verdana"/>
          <w:b/>
          <w:sz w:val="20"/>
          <w:szCs w:val="20"/>
          <w:lang w:val="es-CR"/>
        </w:rPr>
      </w:pPr>
    </w:p>
    <w:p w:rsidR="00B95D3E" w:rsidRPr="00C7521F" w:rsidRDefault="00B95D3E" w:rsidP="00B95D3E">
      <w:pPr>
        <w:tabs>
          <w:tab w:val="left" w:pos="567"/>
        </w:tabs>
        <w:spacing w:after="0" w:line="240" w:lineRule="auto"/>
        <w:jc w:val="center"/>
        <w:rPr>
          <w:rFonts w:ascii="Verdana" w:hAnsi="Verdana"/>
          <w:b/>
          <w:sz w:val="20"/>
          <w:szCs w:val="20"/>
          <w:lang w:val="es-CR"/>
        </w:rPr>
      </w:pPr>
      <w:r w:rsidRPr="00C7521F">
        <w:rPr>
          <w:rFonts w:ascii="Verdana" w:hAnsi="Verdana"/>
          <w:b/>
          <w:sz w:val="20"/>
          <w:szCs w:val="20"/>
          <w:lang w:val="es-CR"/>
        </w:rPr>
        <w:t xml:space="preserve"> </w:t>
      </w:r>
    </w:p>
    <w:p w:rsidR="00B95D3E" w:rsidRPr="00C7521F" w:rsidRDefault="00B95D3E" w:rsidP="00B95D3E">
      <w:pPr>
        <w:tabs>
          <w:tab w:val="left" w:pos="567"/>
        </w:tabs>
        <w:spacing w:after="0" w:line="240" w:lineRule="auto"/>
        <w:rPr>
          <w:rFonts w:ascii="Verdana" w:hAnsi="Verdana"/>
          <w:sz w:val="20"/>
          <w:szCs w:val="20"/>
          <w:lang w:val="es-CR"/>
        </w:rPr>
      </w:pPr>
    </w:p>
    <w:p w:rsidR="0003427A" w:rsidRPr="00C7521F" w:rsidRDefault="0003427A" w:rsidP="0003427A">
      <w:pPr>
        <w:tabs>
          <w:tab w:val="left" w:pos="567"/>
        </w:tabs>
        <w:spacing w:after="0" w:line="240" w:lineRule="auto"/>
        <w:rPr>
          <w:rFonts w:ascii="Verdana" w:hAnsi="Verdana"/>
          <w:b/>
          <w:sz w:val="20"/>
          <w:szCs w:val="20"/>
          <w:lang w:val="es-CR"/>
        </w:rPr>
      </w:pPr>
      <w:r w:rsidRPr="00C7521F">
        <w:rPr>
          <w:rFonts w:ascii="Verdana" w:hAnsi="Verdana"/>
          <w:b/>
          <w:sz w:val="20"/>
          <w:szCs w:val="20"/>
          <w:lang w:val="es-CR"/>
        </w:rPr>
        <w:t>VISTO:</w:t>
      </w:r>
    </w:p>
    <w:p w:rsidR="0003427A" w:rsidRPr="00C7521F" w:rsidRDefault="0003427A" w:rsidP="0003427A">
      <w:pPr>
        <w:tabs>
          <w:tab w:val="left" w:pos="567"/>
        </w:tabs>
        <w:spacing w:after="0" w:line="240" w:lineRule="auto"/>
        <w:rPr>
          <w:rFonts w:ascii="Verdana" w:hAnsi="Verdana"/>
          <w:b/>
          <w:sz w:val="20"/>
          <w:szCs w:val="20"/>
          <w:lang w:val="es-CR"/>
        </w:rPr>
      </w:pPr>
    </w:p>
    <w:p w:rsidR="0003427A" w:rsidRPr="0003427A" w:rsidRDefault="00765144" w:rsidP="0003427A">
      <w:pPr>
        <w:pStyle w:val="ListParagraph"/>
        <w:numPr>
          <w:ilvl w:val="0"/>
          <w:numId w:val="2"/>
        </w:numPr>
        <w:tabs>
          <w:tab w:val="left" w:pos="567"/>
        </w:tabs>
        <w:ind w:left="0" w:firstLine="0"/>
        <w:rPr>
          <w:lang w:val="es-CR"/>
        </w:rPr>
      </w:pPr>
      <w:bookmarkStart w:id="0" w:name="_Ref393297742"/>
      <w:bookmarkStart w:id="1" w:name="_Ref352676460"/>
      <w:r>
        <w:rPr>
          <w:lang w:val="es-CR"/>
        </w:rPr>
        <w:t>El escrito de sometimiento</w:t>
      </w:r>
      <w:r w:rsidR="0003427A" w:rsidRPr="00C7521F">
        <w:rPr>
          <w:lang w:val="es-CR"/>
        </w:rPr>
        <w:t xml:space="preserve"> del caso y el Informe de Fondo de la Comisión Interamericana de Derechos Humanos (en adelante “la Comisión Interamericana” o “la Comisión”)</w:t>
      </w:r>
      <w:bookmarkEnd w:id="0"/>
      <w:r w:rsidR="00FF5487">
        <w:rPr>
          <w:lang w:val="es-CR"/>
        </w:rPr>
        <w:t>;</w:t>
      </w:r>
      <w:r w:rsidR="0003427A" w:rsidRPr="00C7521F">
        <w:rPr>
          <w:lang w:val="es-CR"/>
        </w:rPr>
        <w:t xml:space="preserve"> </w:t>
      </w:r>
      <w:bookmarkStart w:id="2" w:name="_Ref393297751"/>
      <w:bookmarkStart w:id="3" w:name="_Ref351983508"/>
      <w:bookmarkEnd w:id="1"/>
      <w:r w:rsidR="0003427A" w:rsidRPr="00C7521F">
        <w:rPr>
          <w:lang w:val="es-CR"/>
        </w:rPr>
        <w:t>el escrito de solicitudes, argumentos y pruebas (en adelante el “escrito de solicitudes y argumentos”) de los representantes de las presuntas víctimas</w:t>
      </w:r>
      <w:r w:rsidR="0003427A" w:rsidRPr="00C7521F">
        <w:rPr>
          <w:rStyle w:val="FootnoteReference"/>
          <w:sz w:val="20"/>
          <w:szCs w:val="20"/>
          <w:lang w:val="es-CR"/>
        </w:rPr>
        <w:footnoteReference w:id="1"/>
      </w:r>
      <w:r w:rsidR="0003427A" w:rsidRPr="00C7521F">
        <w:rPr>
          <w:lang w:val="es-CR"/>
        </w:rPr>
        <w:t xml:space="preserve"> (en</w:t>
      </w:r>
      <w:r w:rsidR="00FF5487">
        <w:rPr>
          <w:lang w:val="es-CR"/>
        </w:rPr>
        <w:t xml:space="preserve"> adelante “los representantes”);</w:t>
      </w:r>
      <w:r w:rsidR="0003427A" w:rsidRPr="00C7521F">
        <w:rPr>
          <w:lang w:val="es-CR"/>
        </w:rPr>
        <w:t xml:space="preserve"> y </w:t>
      </w:r>
      <w:bookmarkStart w:id="4" w:name="_Ref352676532"/>
      <w:bookmarkEnd w:id="2"/>
      <w:bookmarkEnd w:id="3"/>
      <w:r w:rsidR="0003427A" w:rsidRPr="00C7521F">
        <w:rPr>
          <w:lang w:val="es-CR"/>
        </w:rPr>
        <w:t>el escrito de contest</w:t>
      </w:r>
      <w:r w:rsidR="00FF5487">
        <w:rPr>
          <w:lang w:val="es-CR"/>
        </w:rPr>
        <w:t xml:space="preserve">ación al sometimiento del caso, </w:t>
      </w:r>
      <w:r w:rsidR="0003427A" w:rsidRPr="00C7521F">
        <w:rPr>
          <w:lang w:val="es-CR"/>
        </w:rPr>
        <w:t xml:space="preserve">de observaciones al escrito de solicitudes y argumentos </w:t>
      </w:r>
      <w:r w:rsidR="00FF5487">
        <w:rPr>
          <w:lang w:val="es-CR"/>
        </w:rPr>
        <w:t xml:space="preserve">y de reconocimiento de responsabilidad </w:t>
      </w:r>
      <w:r w:rsidR="0003427A" w:rsidRPr="00C7521F">
        <w:rPr>
          <w:lang w:val="es-CR"/>
        </w:rPr>
        <w:t xml:space="preserve">(en adelante “escrito de contestación”) </w:t>
      </w:r>
      <w:r w:rsidR="00FF5487">
        <w:rPr>
          <w:lang w:val="es-CR"/>
        </w:rPr>
        <w:t>del Estado</w:t>
      </w:r>
      <w:r w:rsidR="0003427A" w:rsidRPr="00C7521F">
        <w:rPr>
          <w:lang w:val="es-CR"/>
        </w:rPr>
        <w:t xml:space="preserve"> del Ecuador (en adelante “Ecuador” o “el Estado”)</w:t>
      </w:r>
      <w:bookmarkStart w:id="5" w:name="_Ref393297780"/>
      <w:bookmarkStart w:id="6" w:name="_Ref393920719"/>
      <w:bookmarkEnd w:id="4"/>
      <w:r w:rsidR="0012506D">
        <w:rPr>
          <w:lang w:val="es-CR"/>
        </w:rPr>
        <w:t>.</w:t>
      </w:r>
    </w:p>
    <w:p w:rsidR="0003427A" w:rsidRPr="0003427A" w:rsidRDefault="0003427A" w:rsidP="0003427A">
      <w:pPr>
        <w:pStyle w:val="ListParagraph"/>
        <w:numPr>
          <w:ilvl w:val="0"/>
          <w:numId w:val="0"/>
        </w:numPr>
        <w:tabs>
          <w:tab w:val="left" w:pos="567"/>
        </w:tabs>
        <w:rPr>
          <w:lang w:val="es-CR"/>
        </w:rPr>
      </w:pPr>
    </w:p>
    <w:p w:rsidR="0003427A" w:rsidRDefault="0012506D" w:rsidP="0003427A">
      <w:pPr>
        <w:pStyle w:val="ListParagraph"/>
        <w:numPr>
          <w:ilvl w:val="0"/>
          <w:numId w:val="2"/>
        </w:numPr>
        <w:tabs>
          <w:tab w:val="left" w:pos="567"/>
        </w:tabs>
        <w:ind w:left="0" w:firstLine="0"/>
        <w:rPr>
          <w:lang w:val="es-CR"/>
        </w:rPr>
      </w:pPr>
      <w:r>
        <w:rPr>
          <w:lang w:val="es-CR"/>
        </w:rPr>
        <w:t>L</w:t>
      </w:r>
      <w:r w:rsidRPr="00C7521F">
        <w:rPr>
          <w:lang w:val="es-CR"/>
        </w:rPr>
        <w:t xml:space="preserve">os escritos de observaciones </w:t>
      </w:r>
      <w:r>
        <w:rPr>
          <w:lang w:val="es-CR"/>
        </w:rPr>
        <w:t>al reconocimiento de responsabilidad efectuado por el Estado,</w:t>
      </w:r>
      <w:r w:rsidRPr="00C7521F">
        <w:rPr>
          <w:lang w:val="es-CR"/>
        </w:rPr>
        <w:t xml:space="preserve"> presentados por los representantes y la Comisión.</w:t>
      </w:r>
    </w:p>
    <w:p w:rsidR="0003427A" w:rsidRPr="0003427A" w:rsidRDefault="0003427A" w:rsidP="0003427A">
      <w:pPr>
        <w:pStyle w:val="ListParagraph"/>
        <w:numPr>
          <w:ilvl w:val="0"/>
          <w:numId w:val="0"/>
        </w:numPr>
        <w:tabs>
          <w:tab w:val="left" w:pos="567"/>
        </w:tabs>
        <w:rPr>
          <w:lang w:val="es-CR"/>
        </w:rPr>
      </w:pPr>
    </w:p>
    <w:p w:rsidR="0003427A" w:rsidRPr="00C7521F" w:rsidRDefault="0003427A" w:rsidP="0003427A">
      <w:pPr>
        <w:pStyle w:val="ListParagraph"/>
        <w:numPr>
          <w:ilvl w:val="0"/>
          <w:numId w:val="2"/>
        </w:numPr>
        <w:tabs>
          <w:tab w:val="left" w:pos="567"/>
        </w:tabs>
        <w:ind w:left="0" w:firstLine="0"/>
        <w:rPr>
          <w:b/>
          <w:lang w:val="es-CR"/>
        </w:rPr>
      </w:pPr>
      <w:r w:rsidRPr="00C7521F">
        <w:rPr>
          <w:lang w:val="es-CR"/>
        </w:rPr>
        <w:t xml:space="preserve">Las listas definitivas de declarantes presentadas por </w:t>
      </w:r>
      <w:r w:rsidR="00DF242B">
        <w:rPr>
          <w:lang w:val="es-CR"/>
        </w:rPr>
        <w:t>los representantes</w:t>
      </w:r>
      <w:r w:rsidRPr="00C7521F">
        <w:rPr>
          <w:lang w:val="es-CR"/>
        </w:rPr>
        <w:t xml:space="preserve"> y la Comisión y las correspondientes observaciones a dichas listas</w:t>
      </w:r>
      <w:r w:rsidR="00DF242B">
        <w:rPr>
          <w:lang w:val="es-CR"/>
        </w:rPr>
        <w:t>,</w:t>
      </w:r>
      <w:r w:rsidRPr="00C7521F">
        <w:rPr>
          <w:lang w:val="es-CR"/>
        </w:rPr>
        <w:t xml:space="preserve"> presentadas por los representantes</w:t>
      </w:r>
      <w:r w:rsidR="00DF242B">
        <w:rPr>
          <w:lang w:val="es-CR"/>
        </w:rPr>
        <w:t>, el Estado</w:t>
      </w:r>
      <w:r w:rsidRPr="00C7521F">
        <w:rPr>
          <w:lang w:val="es-CR"/>
        </w:rPr>
        <w:t xml:space="preserve"> y la Comisión</w:t>
      </w:r>
      <w:bookmarkEnd w:id="5"/>
      <w:r w:rsidRPr="00C7521F">
        <w:rPr>
          <w:lang w:val="es-CR"/>
        </w:rPr>
        <w:t xml:space="preserve">. </w:t>
      </w:r>
      <w:bookmarkEnd w:id="6"/>
    </w:p>
    <w:p w:rsidR="0003427A" w:rsidRPr="00C7521F" w:rsidRDefault="0003427A" w:rsidP="0003427A">
      <w:pPr>
        <w:pStyle w:val="ListParagraph"/>
        <w:numPr>
          <w:ilvl w:val="0"/>
          <w:numId w:val="0"/>
        </w:numPr>
        <w:tabs>
          <w:tab w:val="left" w:pos="567"/>
        </w:tabs>
        <w:rPr>
          <w:lang w:val="es-CR"/>
        </w:rPr>
      </w:pPr>
    </w:p>
    <w:p w:rsidR="00BE4C35" w:rsidRPr="00C7521F" w:rsidRDefault="00BE4C35" w:rsidP="00BE4C35">
      <w:pPr>
        <w:tabs>
          <w:tab w:val="left" w:pos="567"/>
        </w:tabs>
        <w:spacing w:after="0" w:line="240" w:lineRule="auto"/>
        <w:rPr>
          <w:rFonts w:ascii="Verdana" w:hAnsi="Verdana"/>
          <w:b/>
          <w:sz w:val="20"/>
          <w:szCs w:val="20"/>
          <w:lang w:val="es-CR"/>
        </w:rPr>
      </w:pPr>
      <w:r w:rsidRPr="00C7521F">
        <w:rPr>
          <w:rFonts w:ascii="Verdana" w:hAnsi="Verdana"/>
          <w:b/>
          <w:sz w:val="20"/>
          <w:szCs w:val="20"/>
          <w:lang w:val="es-CR"/>
        </w:rPr>
        <w:t>CONSIDERANDO QUE:</w:t>
      </w:r>
    </w:p>
    <w:p w:rsidR="00BE4C35" w:rsidRPr="00C7521F" w:rsidRDefault="00BE4C35" w:rsidP="00BE4C35">
      <w:pPr>
        <w:tabs>
          <w:tab w:val="left" w:pos="567"/>
          <w:tab w:val="left" w:pos="720"/>
          <w:tab w:val="left" w:pos="810"/>
        </w:tabs>
        <w:spacing w:after="0" w:line="240" w:lineRule="auto"/>
        <w:jc w:val="both"/>
        <w:rPr>
          <w:rFonts w:ascii="Verdana" w:hAnsi="Verdana"/>
          <w:sz w:val="20"/>
          <w:szCs w:val="20"/>
          <w:lang w:val="es-CR"/>
        </w:rPr>
      </w:pPr>
    </w:p>
    <w:p w:rsidR="00BE4C35" w:rsidRPr="00C7521F" w:rsidRDefault="00BE4C35" w:rsidP="00BE4C35">
      <w:pPr>
        <w:pStyle w:val="ListParagraph"/>
        <w:numPr>
          <w:ilvl w:val="0"/>
          <w:numId w:val="3"/>
        </w:numPr>
        <w:tabs>
          <w:tab w:val="left" w:pos="567"/>
          <w:tab w:val="left" w:pos="720"/>
          <w:tab w:val="left" w:pos="810"/>
        </w:tabs>
        <w:ind w:left="0" w:firstLine="0"/>
        <w:rPr>
          <w:lang w:val="es-CR"/>
        </w:rPr>
      </w:pPr>
      <w:r w:rsidRPr="00C7521F">
        <w:rPr>
          <w:lang w:val="es-CR"/>
        </w:rPr>
        <w:t>El ofrecimiento y la admisión de la prueba, así como la citación de presuntas víctimas, testigos y peritos se encuentran regulados en los artículos 35.1.f, 40.2.c, 41.1.c, 46, 47, 48, 50, 52.3, 57 y 58 del Reglamento de la Corte Interamericana de Derechos Humanos (en adelante “la Corte Interamericana”, “la Corte” o “el Tribunal”).</w:t>
      </w:r>
    </w:p>
    <w:p w:rsidR="00EA7658" w:rsidRPr="00C7521F" w:rsidRDefault="00EA7658" w:rsidP="00EA7658">
      <w:pPr>
        <w:pStyle w:val="ListParagraph"/>
        <w:numPr>
          <w:ilvl w:val="0"/>
          <w:numId w:val="0"/>
        </w:numPr>
        <w:tabs>
          <w:tab w:val="left" w:pos="567"/>
          <w:tab w:val="left" w:pos="720"/>
          <w:tab w:val="left" w:pos="810"/>
        </w:tabs>
        <w:rPr>
          <w:lang w:val="es-CR"/>
        </w:rPr>
      </w:pPr>
    </w:p>
    <w:p w:rsidR="00BE4C35" w:rsidRPr="00C7521F" w:rsidRDefault="00BE4C35" w:rsidP="000319C0">
      <w:pPr>
        <w:pStyle w:val="ListParagraph"/>
        <w:numPr>
          <w:ilvl w:val="0"/>
          <w:numId w:val="3"/>
        </w:numPr>
        <w:tabs>
          <w:tab w:val="left" w:pos="567"/>
          <w:tab w:val="left" w:pos="720"/>
          <w:tab w:val="left" w:pos="810"/>
        </w:tabs>
        <w:ind w:left="0" w:firstLine="0"/>
        <w:rPr>
          <w:color w:val="FF0000"/>
          <w:lang w:val="es-CR"/>
        </w:rPr>
      </w:pPr>
      <w:r w:rsidRPr="00C7521F">
        <w:rPr>
          <w:lang w:val="es-CR"/>
        </w:rPr>
        <w:t xml:space="preserve">La Comisión ofreció como prueba </w:t>
      </w:r>
      <w:r w:rsidR="009F4F49">
        <w:rPr>
          <w:lang w:val="es-CR"/>
        </w:rPr>
        <w:t>un dictamen pericial</w:t>
      </w:r>
      <w:r w:rsidR="00062532">
        <w:rPr>
          <w:lang w:val="es-CR"/>
        </w:rPr>
        <w:t xml:space="preserve"> y</w:t>
      </w:r>
      <w:r w:rsidRPr="00C7521F">
        <w:rPr>
          <w:lang w:val="es-CR"/>
        </w:rPr>
        <w:t xml:space="preserve"> los representantes ofrecieron las declaraciones de </w:t>
      </w:r>
      <w:r w:rsidR="00170176">
        <w:rPr>
          <w:lang w:val="es-CR"/>
        </w:rPr>
        <w:t>dos presuntas víctimas</w:t>
      </w:r>
      <w:r w:rsidR="002B3D6C">
        <w:rPr>
          <w:lang w:val="es-CR"/>
        </w:rPr>
        <w:t xml:space="preserve">, </w:t>
      </w:r>
      <w:r w:rsidR="00170176">
        <w:rPr>
          <w:lang w:val="es-CR"/>
        </w:rPr>
        <w:t>un testigo</w:t>
      </w:r>
      <w:r w:rsidR="002B3D6C">
        <w:rPr>
          <w:lang w:val="es-CR"/>
        </w:rPr>
        <w:t xml:space="preserve"> y dos peritos</w:t>
      </w:r>
      <w:r w:rsidR="002B3D6C">
        <w:rPr>
          <w:rStyle w:val="FootnoteReference"/>
          <w:lang w:val="es-CR"/>
        </w:rPr>
        <w:footnoteReference w:id="2"/>
      </w:r>
      <w:r w:rsidR="000319C0">
        <w:rPr>
          <w:lang w:val="es-CR"/>
        </w:rPr>
        <w:t>.</w:t>
      </w:r>
      <w:r w:rsidRPr="00C7521F">
        <w:rPr>
          <w:lang w:val="es-CR"/>
        </w:rPr>
        <w:t xml:space="preserve"> </w:t>
      </w:r>
      <w:r w:rsidRPr="00C7521F">
        <w:rPr>
          <w:b/>
          <w:lang w:val="es-CR"/>
        </w:rPr>
        <w:t xml:space="preserve"> </w:t>
      </w:r>
      <w:r w:rsidRPr="00C7521F">
        <w:rPr>
          <w:lang w:val="es-CR"/>
        </w:rPr>
        <w:t>Todo ello en la debida oportunidad procesal</w:t>
      </w:r>
      <w:r w:rsidRPr="00C7521F">
        <w:rPr>
          <w:b/>
          <w:lang w:val="es-CR"/>
        </w:rPr>
        <w:t xml:space="preserve"> </w:t>
      </w:r>
      <w:r w:rsidRPr="00C7521F">
        <w:rPr>
          <w:lang w:val="es-CR"/>
        </w:rPr>
        <w:t>(</w:t>
      </w:r>
      <w:r w:rsidRPr="00C7521F">
        <w:rPr>
          <w:i/>
          <w:iCs/>
          <w:lang w:val="es-CR"/>
        </w:rPr>
        <w:t xml:space="preserve">supra </w:t>
      </w:r>
      <w:r w:rsidRPr="00C7521F">
        <w:rPr>
          <w:lang w:val="es-CR"/>
        </w:rPr>
        <w:t xml:space="preserve">Vistos </w:t>
      </w:r>
      <w:fldSimple w:instr=" REF _Ref393297742 \r \h  \* MERGEFORMAT ">
        <w:r w:rsidR="004D3363">
          <w:t>1</w:t>
        </w:r>
      </w:fldSimple>
      <w:r w:rsidRPr="00C7521F">
        <w:rPr>
          <w:lang w:val="es-CR"/>
        </w:rPr>
        <w:t xml:space="preserve"> y </w:t>
      </w:r>
      <w:r w:rsidR="00123438">
        <w:t>3</w:t>
      </w:r>
      <w:r w:rsidRPr="00C7521F">
        <w:rPr>
          <w:lang w:val="es-CR"/>
        </w:rPr>
        <w:t>).</w:t>
      </w:r>
      <w:r w:rsidR="000319C0" w:rsidRPr="000319C0">
        <w:rPr>
          <w:lang w:val="es-CR"/>
        </w:rPr>
        <w:t xml:space="preserve"> </w:t>
      </w:r>
      <w:r w:rsidR="000319C0">
        <w:rPr>
          <w:lang w:val="es-CR"/>
        </w:rPr>
        <w:t>Por otra parte, y en relación con su reconocimiento de responsabilidad</w:t>
      </w:r>
      <w:r w:rsidR="002E5CA7">
        <w:rPr>
          <w:rStyle w:val="FootnoteReference"/>
          <w:lang w:val="es-CR"/>
        </w:rPr>
        <w:footnoteReference w:id="3"/>
      </w:r>
      <w:r w:rsidR="000319C0">
        <w:rPr>
          <w:lang w:val="es-CR"/>
        </w:rPr>
        <w:t>, el Estado</w:t>
      </w:r>
      <w:r w:rsidR="000319C0" w:rsidRPr="00995FF2">
        <w:rPr>
          <w:lang w:val="es-CR"/>
        </w:rPr>
        <w:t xml:space="preserve"> </w:t>
      </w:r>
      <w:r w:rsidR="000319C0">
        <w:rPr>
          <w:lang w:val="es-CR"/>
        </w:rPr>
        <w:t xml:space="preserve">manifestó en su contestación que, “en </w:t>
      </w:r>
      <w:r w:rsidR="000319C0">
        <w:rPr>
          <w:lang w:val="es-CR"/>
        </w:rPr>
        <w:lastRenderedPageBreak/>
        <w:t xml:space="preserve">congruencia con esta posición, </w:t>
      </w:r>
      <w:r w:rsidR="000319C0" w:rsidRPr="000E4EE1">
        <w:rPr>
          <w:lang w:val="es-CR"/>
        </w:rPr>
        <w:t>[</w:t>
      </w:r>
      <w:r w:rsidR="000319C0">
        <w:rPr>
          <w:lang w:val="es-CR"/>
        </w:rPr>
        <w:t>…</w:t>
      </w:r>
      <w:r w:rsidR="000319C0" w:rsidRPr="000E4EE1">
        <w:rPr>
          <w:lang w:val="es-CR"/>
        </w:rPr>
        <w:t>]</w:t>
      </w:r>
      <w:r w:rsidR="000319C0">
        <w:rPr>
          <w:lang w:val="es-CR"/>
        </w:rPr>
        <w:t xml:space="preserve"> </w:t>
      </w:r>
      <w:r w:rsidR="000319C0" w:rsidRPr="00995FF2">
        <w:rPr>
          <w:lang w:val="es-CR"/>
        </w:rPr>
        <w:t xml:space="preserve">no </w:t>
      </w:r>
      <w:r w:rsidR="000319C0">
        <w:rPr>
          <w:lang w:val="es-CR"/>
        </w:rPr>
        <w:t xml:space="preserve">ofrece prueba, ni </w:t>
      </w:r>
      <w:r w:rsidR="000319C0" w:rsidRPr="00995FF2">
        <w:rPr>
          <w:lang w:val="es-CR"/>
        </w:rPr>
        <w:t>presen</w:t>
      </w:r>
      <w:r w:rsidR="000319C0">
        <w:rPr>
          <w:lang w:val="es-CR"/>
        </w:rPr>
        <w:t>ta el</w:t>
      </w:r>
      <w:r w:rsidR="000319C0" w:rsidRPr="00995FF2">
        <w:rPr>
          <w:lang w:val="es-CR"/>
        </w:rPr>
        <w:t xml:space="preserve"> lista</w:t>
      </w:r>
      <w:r w:rsidR="000319C0">
        <w:rPr>
          <w:lang w:val="es-CR"/>
        </w:rPr>
        <w:t>do</w:t>
      </w:r>
      <w:r w:rsidR="000319C0" w:rsidRPr="00995FF2">
        <w:rPr>
          <w:lang w:val="es-CR"/>
        </w:rPr>
        <w:t xml:space="preserve"> de declarantes</w:t>
      </w:r>
      <w:r w:rsidR="000319C0">
        <w:rPr>
          <w:lang w:val="es-CR"/>
        </w:rPr>
        <w:t xml:space="preserve"> y peritos previstos en el artículo 41.1 del Reglamento”</w:t>
      </w:r>
      <w:r w:rsidR="000319C0" w:rsidRPr="00C7521F">
        <w:rPr>
          <w:lang w:val="es-CR"/>
        </w:rPr>
        <w:t>.</w:t>
      </w:r>
    </w:p>
    <w:p w:rsidR="00BE4C35" w:rsidRPr="00C7521F" w:rsidRDefault="00BE4C35" w:rsidP="00BE4C35">
      <w:pPr>
        <w:pStyle w:val="ListParagraph"/>
        <w:numPr>
          <w:ilvl w:val="0"/>
          <w:numId w:val="0"/>
        </w:numPr>
        <w:tabs>
          <w:tab w:val="left" w:pos="567"/>
        </w:tabs>
        <w:rPr>
          <w:lang w:val="es-CR"/>
        </w:rPr>
      </w:pPr>
    </w:p>
    <w:p w:rsidR="00941ADD" w:rsidRPr="00E15708" w:rsidRDefault="00BE4C35" w:rsidP="00941ADD">
      <w:pPr>
        <w:pStyle w:val="ListParagraph"/>
        <w:numPr>
          <w:ilvl w:val="0"/>
          <w:numId w:val="3"/>
        </w:numPr>
        <w:tabs>
          <w:tab w:val="left" w:pos="567"/>
          <w:tab w:val="left" w:pos="720"/>
          <w:tab w:val="left" w:pos="810"/>
        </w:tabs>
        <w:ind w:left="0" w:firstLine="0"/>
        <w:rPr>
          <w:lang w:val="es-CR"/>
        </w:rPr>
      </w:pPr>
      <w:r w:rsidRPr="00C7521F">
        <w:rPr>
          <w:lang w:val="es-CR"/>
        </w:rPr>
        <w:t xml:space="preserve">La Comisión y los representantes informaron que no tenían observaciones que formular a las listas definitivas de declarantes, mientras que el Estado </w:t>
      </w:r>
      <w:r w:rsidR="002E5CA7">
        <w:rPr>
          <w:lang w:val="es-CR"/>
        </w:rPr>
        <w:t>manifestó</w:t>
      </w:r>
      <w:r w:rsidR="00C17395">
        <w:rPr>
          <w:lang w:val="es-CR"/>
        </w:rPr>
        <w:t xml:space="preserve"> que las declaraciones que se consideren para ser presentadas en audiencia sean la del señor José Agapito Ruano Torres y</w:t>
      </w:r>
      <w:r w:rsidR="000319C0">
        <w:rPr>
          <w:lang w:val="es-CR"/>
        </w:rPr>
        <w:t xml:space="preserve"> la</w:t>
      </w:r>
      <w:r w:rsidR="00C17395">
        <w:rPr>
          <w:lang w:val="es-CR"/>
        </w:rPr>
        <w:t xml:space="preserve"> del perito señor Alberto Martín Binder y que las </w:t>
      </w:r>
      <w:r w:rsidR="000319C0">
        <w:rPr>
          <w:lang w:val="es-CR"/>
        </w:rPr>
        <w:t xml:space="preserve">demás </w:t>
      </w:r>
      <w:r w:rsidR="00C17395">
        <w:rPr>
          <w:lang w:val="es-CR"/>
        </w:rPr>
        <w:t xml:space="preserve">declaraciones </w:t>
      </w:r>
      <w:r w:rsidR="00C17395" w:rsidRPr="001814A1">
        <w:rPr>
          <w:lang w:val="es-CR"/>
        </w:rPr>
        <w:t>sean rendidas ante fedatario público</w:t>
      </w:r>
      <w:r w:rsidR="00C17395">
        <w:rPr>
          <w:lang w:val="es-CR"/>
        </w:rPr>
        <w:t xml:space="preserve">. Asimismo, </w:t>
      </w:r>
      <w:r w:rsidR="00C17395" w:rsidRPr="00E15708">
        <w:rPr>
          <w:lang w:val="es-CR"/>
        </w:rPr>
        <w:t>el Estado observ</w:t>
      </w:r>
      <w:r w:rsidR="000319C0">
        <w:rPr>
          <w:lang w:val="es-CR"/>
        </w:rPr>
        <w:t>ó</w:t>
      </w:r>
      <w:r w:rsidR="00C17395" w:rsidRPr="00E15708">
        <w:rPr>
          <w:lang w:val="es-CR"/>
        </w:rPr>
        <w:t xml:space="preserve"> que la propuesta de contenido de la declaración del señor Pedro Torres Hércules incluye aspectos relacionados con las “irregularidades que se dieron dentro del proceso penal seguido en contra de la presunta víctima”, lo que el Estado estima requiere una calificación profesional y experiencia que no </w:t>
      </w:r>
      <w:r w:rsidR="00B52FA0" w:rsidRPr="00E15708">
        <w:rPr>
          <w:lang w:val="es-CR"/>
        </w:rPr>
        <w:t>ha</w:t>
      </w:r>
      <w:r w:rsidR="002E5CA7">
        <w:rPr>
          <w:lang w:val="es-CR"/>
        </w:rPr>
        <w:t>n</w:t>
      </w:r>
      <w:r w:rsidR="00B52FA0" w:rsidRPr="00E15708">
        <w:rPr>
          <w:lang w:val="es-CR"/>
        </w:rPr>
        <w:t xml:space="preserve"> sido acreditada</w:t>
      </w:r>
      <w:r w:rsidR="002E5CA7">
        <w:rPr>
          <w:lang w:val="es-CR"/>
        </w:rPr>
        <w:t>s</w:t>
      </w:r>
      <w:r w:rsidR="00B52FA0" w:rsidRPr="00E15708">
        <w:rPr>
          <w:lang w:val="es-CR"/>
        </w:rPr>
        <w:t xml:space="preserve"> respecto del señor Torres Hércules, además de que este aspecto estaría relacionado íntimamente con la declaración del perito Binder, por lo que </w:t>
      </w:r>
      <w:r w:rsidR="000319C0">
        <w:rPr>
          <w:lang w:val="es-CR"/>
        </w:rPr>
        <w:t xml:space="preserve">solicitó que </w:t>
      </w:r>
      <w:r w:rsidR="00B52FA0" w:rsidRPr="00E15708">
        <w:rPr>
          <w:lang w:val="es-CR"/>
        </w:rPr>
        <w:t xml:space="preserve">delimite el contenido de la </w:t>
      </w:r>
      <w:r w:rsidR="000319C0">
        <w:rPr>
          <w:lang w:val="es-CR"/>
        </w:rPr>
        <w:t xml:space="preserve">declaración </w:t>
      </w:r>
      <w:r w:rsidR="00123438">
        <w:rPr>
          <w:lang w:val="es-CR"/>
        </w:rPr>
        <w:t>a aspectos que sí</w:t>
      </w:r>
      <w:r w:rsidR="00B52FA0" w:rsidRPr="00E15708">
        <w:rPr>
          <w:lang w:val="es-CR"/>
        </w:rPr>
        <w:t xml:space="preserve"> puedan tener una relevancia procesal.</w:t>
      </w:r>
    </w:p>
    <w:p w:rsidR="00941ADD" w:rsidRDefault="00941ADD" w:rsidP="00941ADD">
      <w:pPr>
        <w:pStyle w:val="ListParagraph"/>
        <w:numPr>
          <w:ilvl w:val="0"/>
          <w:numId w:val="0"/>
        </w:numPr>
        <w:tabs>
          <w:tab w:val="left" w:pos="567"/>
          <w:tab w:val="left" w:pos="720"/>
          <w:tab w:val="left" w:pos="810"/>
        </w:tabs>
        <w:rPr>
          <w:color w:val="FF0000"/>
          <w:lang w:val="es-CR"/>
        </w:rPr>
      </w:pPr>
    </w:p>
    <w:p w:rsidR="00BE4C35" w:rsidRPr="00941ADD" w:rsidRDefault="00BE4C35" w:rsidP="00941ADD">
      <w:pPr>
        <w:pStyle w:val="ListParagraph"/>
        <w:numPr>
          <w:ilvl w:val="0"/>
          <w:numId w:val="3"/>
        </w:numPr>
        <w:tabs>
          <w:tab w:val="left" w:pos="567"/>
          <w:tab w:val="left" w:pos="720"/>
          <w:tab w:val="left" w:pos="810"/>
        </w:tabs>
        <w:ind w:left="0" w:firstLine="0"/>
        <w:rPr>
          <w:color w:val="FF0000"/>
          <w:lang w:val="es-CR"/>
        </w:rPr>
      </w:pPr>
      <w:r w:rsidRPr="00941ADD">
        <w:rPr>
          <w:lang w:val="es-CR"/>
        </w:rPr>
        <w:t>En cuanto a las declaraciones ofrecidas por los representantes que no han sido objetadas y cumplen con</w:t>
      </w:r>
      <w:r w:rsidR="00495443" w:rsidRPr="00941ADD">
        <w:rPr>
          <w:lang w:val="es-CR"/>
        </w:rPr>
        <w:t xml:space="preserve"> las estipulaciones reglamenta</w:t>
      </w:r>
      <w:r w:rsidRPr="00941ADD">
        <w:rPr>
          <w:lang w:val="es-CR"/>
        </w:rPr>
        <w:t>rias</w:t>
      </w:r>
      <w:r w:rsidR="00B52FA0" w:rsidRPr="00941ADD">
        <w:rPr>
          <w:lang w:val="es-CR"/>
        </w:rPr>
        <w:t xml:space="preserve">, </w:t>
      </w:r>
      <w:r w:rsidRPr="00941ADD">
        <w:rPr>
          <w:lang w:val="es-CR"/>
        </w:rPr>
        <w:t xml:space="preserve">esta Presidencia considera conveniente recabar dicha prueba, a efectos de que el Tribunal pueda apreciar su valor en la debida oportunidad procesal, dentro del contexto del acervo probatorio existente y según las reglas de la sana crítica. Por consiguiente, el Presidente admite los peritajes de </w:t>
      </w:r>
      <w:r w:rsidR="00B52FA0" w:rsidRPr="00941ADD">
        <w:rPr>
          <w:lang w:val="es-CR"/>
        </w:rPr>
        <w:t>Alberto Martín Binder</w:t>
      </w:r>
      <w:r w:rsidRPr="00941ADD">
        <w:rPr>
          <w:lang w:val="es-CR"/>
        </w:rPr>
        <w:t xml:space="preserve"> y de </w:t>
      </w:r>
      <w:r w:rsidR="00B52FA0" w:rsidRPr="00941ADD">
        <w:rPr>
          <w:lang w:val="es-CR"/>
        </w:rPr>
        <w:t>Diana Lourdes Miranda Guerrero</w:t>
      </w:r>
      <w:r w:rsidR="00E64062">
        <w:rPr>
          <w:lang w:val="es-CR"/>
        </w:rPr>
        <w:t xml:space="preserve">, </w:t>
      </w:r>
      <w:r w:rsidRPr="00941ADD">
        <w:rPr>
          <w:lang w:val="es-CR"/>
        </w:rPr>
        <w:t>así como las declaraciones de las presuntas víctimas</w:t>
      </w:r>
      <w:r w:rsidR="00D76E6E" w:rsidRPr="00941ADD">
        <w:rPr>
          <w:lang w:val="es-CR"/>
        </w:rPr>
        <w:t xml:space="preserve"> José Agapito Ruano Torres y María Maribel Guevara de Ruano</w:t>
      </w:r>
      <w:r w:rsidR="000319C0">
        <w:rPr>
          <w:lang w:val="es-CR"/>
        </w:rPr>
        <w:t xml:space="preserve"> y del testigo </w:t>
      </w:r>
      <w:r w:rsidR="000319C0" w:rsidRPr="00E15708">
        <w:rPr>
          <w:lang w:val="es-CR"/>
        </w:rPr>
        <w:t>Pedro Torres Hércules</w:t>
      </w:r>
      <w:r w:rsidR="000319C0">
        <w:rPr>
          <w:lang w:val="es-CR"/>
        </w:rPr>
        <w:t>, según el objeto de tales dictámenes y declaraciones definido en la parte resolutiva de esta Resolución, de conformidad con la facultad otorgada por el artículo 50.1 del Reglamento de la Corte</w:t>
      </w:r>
      <w:r w:rsidR="000319C0">
        <w:t>.</w:t>
      </w:r>
    </w:p>
    <w:p w:rsidR="00941ADD" w:rsidRPr="00941ADD" w:rsidRDefault="00941ADD" w:rsidP="00BE4C35">
      <w:pPr>
        <w:pStyle w:val="ListParagraph"/>
        <w:numPr>
          <w:ilvl w:val="0"/>
          <w:numId w:val="0"/>
        </w:numPr>
        <w:tabs>
          <w:tab w:val="left" w:pos="567"/>
          <w:tab w:val="left" w:pos="720"/>
          <w:tab w:val="left" w:pos="810"/>
        </w:tabs>
        <w:rPr>
          <w:lang w:val="es-ES"/>
        </w:rPr>
      </w:pPr>
    </w:p>
    <w:p w:rsidR="007C5F69" w:rsidRPr="00A14264" w:rsidRDefault="00BE4C35" w:rsidP="00A14264">
      <w:pPr>
        <w:pStyle w:val="ListParagraph"/>
        <w:numPr>
          <w:ilvl w:val="0"/>
          <w:numId w:val="3"/>
        </w:numPr>
        <w:tabs>
          <w:tab w:val="left" w:pos="567"/>
          <w:tab w:val="left" w:pos="720"/>
          <w:tab w:val="left" w:pos="810"/>
        </w:tabs>
        <w:ind w:left="0" w:firstLine="0"/>
        <w:rPr>
          <w:lang w:val="es-CR"/>
        </w:rPr>
      </w:pPr>
      <w:r w:rsidRPr="00A14264">
        <w:rPr>
          <w:lang w:val="es-CR"/>
        </w:rPr>
        <w:t xml:space="preserve">A continuación, el Presidente examinará en forma particular: a) la admisibilidad de </w:t>
      </w:r>
      <w:r w:rsidR="00D76E6E" w:rsidRPr="00A14264">
        <w:rPr>
          <w:lang w:val="es-CR"/>
        </w:rPr>
        <w:t>la prueba pericial ofrecida</w:t>
      </w:r>
      <w:r w:rsidRPr="00A14264">
        <w:rPr>
          <w:lang w:val="es-CR"/>
        </w:rPr>
        <w:t xml:space="preserve"> por </w:t>
      </w:r>
      <w:r w:rsidR="00D76E6E" w:rsidRPr="00A14264">
        <w:rPr>
          <w:lang w:val="es-CR"/>
        </w:rPr>
        <w:t>la Comisión Interamericana</w:t>
      </w:r>
      <w:r w:rsidRPr="00A14264">
        <w:rPr>
          <w:lang w:val="es-CR"/>
        </w:rPr>
        <w:t xml:space="preserve">, </w:t>
      </w:r>
      <w:r w:rsidR="00E64062" w:rsidRPr="00A14264">
        <w:rPr>
          <w:lang w:val="es-CR"/>
        </w:rPr>
        <w:t>b</w:t>
      </w:r>
      <w:r w:rsidR="00D427A7" w:rsidRPr="00A14264">
        <w:rPr>
          <w:lang w:val="es-CR"/>
        </w:rPr>
        <w:t xml:space="preserve">) </w:t>
      </w:r>
      <w:r w:rsidRPr="00A14264">
        <w:rPr>
          <w:lang w:val="es-CR"/>
        </w:rPr>
        <w:t>la modalidad de las declaraciones y di</w:t>
      </w:r>
      <w:r w:rsidR="00123438">
        <w:rPr>
          <w:lang w:val="es-CR"/>
        </w:rPr>
        <w:t>ctámenes periciales por recibir</w:t>
      </w:r>
      <w:r w:rsidR="005F0280" w:rsidRPr="00A14264">
        <w:rPr>
          <w:lang w:val="es-CR"/>
        </w:rPr>
        <w:t>,</w:t>
      </w:r>
      <w:r w:rsidR="00123438">
        <w:rPr>
          <w:lang w:val="es-CR"/>
        </w:rPr>
        <w:t xml:space="preserve"> c</w:t>
      </w:r>
      <w:r w:rsidR="005F0280" w:rsidRPr="00A14264">
        <w:rPr>
          <w:lang w:val="es-CR"/>
        </w:rPr>
        <w:t>)</w:t>
      </w:r>
      <w:r w:rsidR="00B36444" w:rsidRPr="00A14264">
        <w:rPr>
          <w:lang w:val="es-CR"/>
        </w:rPr>
        <w:t xml:space="preserve"> la aplicación del Fondo de Asistencia Legal de Víctimas ante la Corte</w:t>
      </w:r>
      <w:r w:rsidR="00123438">
        <w:rPr>
          <w:lang w:val="es-CR"/>
        </w:rPr>
        <w:t xml:space="preserve"> y, d</w:t>
      </w:r>
      <w:r w:rsidR="00A14264" w:rsidRPr="00A14264">
        <w:rPr>
          <w:lang w:val="es-CR"/>
        </w:rPr>
        <w:t xml:space="preserve">) </w:t>
      </w:r>
      <w:r w:rsidR="005F0280" w:rsidRPr="00A14264">
        <w:rPr>
          <w:lang w:val="es-CR"/>
        </w:rPr>
        <w:t>l</w:t>
      </w:r>
      <w:r w:rsidR="00123438">
        <w:rPr>
          <w:lang w:val="es-CR"/>
        </w:rPr>
        <w:t xml:space="preserve">a oportunidad para </w:t>
      </w:r>
      <w:r w:rsidR="005F0280" w:rsidRPr="00A14264">
        <w:rPr>
          <w:lang w:val="es-CR"/>
        </w:rPr>
        <w:t>alegatos y observaciones finales orales y escritos.</w:t>
      </w:r>
    </w:p>
    <w:p w:rsidR="00D76E6E" w:rsidRDefault="00D76E6E" w:rsidP="007C5F69">
      <w:pPr>
        <w:pStyle w:val="ListParagraph"/>
        <w:numPr>
          <w:ilvl w:val="0"/>
          <w:numId w:val="0"/>
        </w:numPr>
        <w:tabs>
          <w:tab w:val="left" w:pos="567"/>
          <w:tab w:val="left" w:pos="720"/>
          <w:tab w:val="left" w:pos="810"/>
        </w:tabs>
        <w:rPr>
          <w:lang w:val="es-CR"/>
        </w:rPr>
      </w:pPr>
    </w:p>
    <w:p w:rsidR="00A10A6E" w:rsidRPr="00D76E6E" w:rsidRDefault="00A10A6E" w:rsidP="007C5F69">
      <w:pPr>
        <w:pStyle w:val="ListParagraph"/>
        <w:numPr>
          <w:ilvl w:val="0"/>
          <w:numId w:val="0"/>
        </w:numPr>
        <w:tabs>
          <w:tab w:val="left" w:pos="567"/>
          <w:tab w:val="left" w:pos="720"/>
          <w:tab w:val="left" w:pos="810"/>
        </w:tabs>
        <w:rPr>
          <w:lang w:val="es-CR"/>
        </w:rPr>
      </w:pPr>
    </w:p>
    <w:p w:rsidR="007C5F69" w:rsidRPr="00C7521F" w:rsidRDefault="007C5F69" w:rsidP="007C5F69">
      <w:pPr>
        <w:pStyle w:val="ListParagraph"/>
        <w:numPr>
          <w:ilvl w:val="0"/>
          <w:numId w:val="4"/>
        </w:numPr>
        <w:tabs>
          <w:tab w:val="left" w:pos="567"/>
        </w:tabs>
        <w:rPr>
          <w:b/>
          <w:i/>
          <w:lang w:val="es-CR"/>
        </w:rPr>
      </w:pPr>
      <w:r w:rsidRPr="00C7521F">
        <w:rPr>
          <w:b/>
          <w:i/>
          <w:lang w:val="es-CR"/>
        </w:rPr>
        <w:t xml:space="preserve">Admisibilidad de </w:t>
      </w:r>
      <w:r w:rsidR="00D76E6E">
        <w:rPr>
          <w:b/>
          <w:i/>
          <w:lang w:val="es-CR"/>
        </w:rPr>
        <w:t>la prueba pericial ofrecida</w:t>
      </w:r>
      <w:r w:rsidRPr="00C7521F">
        <w:rPr>
          <w:b/>
          <w:i/>
          <w:lang w:val="es-CR"/>
        </w:rPr>
        <w:t xml:space="preserve"> </w:t>
      </w:r>
      <w:r w:rsidR="00D76E6E">
        <w:rPr>
          <w:b/>
          <w:i/>
          <w:lang w:val="es-CR"/>
        </w:rPr>
        <w:t>por la Comisión Interamericana</w:t>
      </w:r>
    </w:p>
    <w:p w:rsidR="007C5F69" w:rsidRPr="00C7521F" w:rsidRDefault="007C5F69" w:rsidP="007C5F69">
      <w:pPr>
        <w:pStyle w:val="ListParagraph"/>
        <w:numPr>
          <w:ilvl w:val="0"/>
          <w:numId w:val="0"/>
        </w:numPr>
        <w:tabs>
          <w:tab w:val="left" w:pos="567"/>
        </w:tabs>
        <w:rPr>
          <w:rFonts w:cs="Times New Roman"/>
          <w:lang w:val="es-CR"/>
        </w:rPr>
      </w:pPr>
    </w:p>
    <w:p w:rsidR="00553643" w:rsidRPr="00C7521F" w:rsidRDefault="00553643" w:rsidP="00553643">
      <w:pPr>
        <w:numPr>
          <w:ilvl w:val="0"/>
          <w:numId w:val="3"/>
        </w:numPr>
        <w:tabs>
          <w:tab w:val="left" w:pos="567"/>
        </w:tabs>
        <w:spacing w:after="0" w:line="240" w:lineRule="auto"/>
        <w:ind w:left="0" w:right="10" w:firstLine="0"/>
        <w:jc w:val="both"/>
        <w:rPr>
          <w:rFonts w:ascii="Verdana" w:hAnsi="Verdana" w:cs="Verdana"/>
          <w:sz w:val="20"/>
          <w:szCs w:val="20"/>
          <w:lang w:val="es-CR"/>
        </w:rPr>
      </w:pPr>
      <w:bookmarkStart w:id="7" w:name="_Ref352681220"/>
      <w:r w:rsidRPr="00C7521F">
        <w:rPr>
          <w:rFonts w:ascii="Verdana" w:hAnsi="Verdana" w:cs="Verdana"/>
          <w:sz w:val="20"/>
          <w:szCs w:val="20"/>
          <w:lang w:val="es-CR"/>
        </w:rPr>
        <w:t xml:space="preserve">De acuerdo </w:t>
      </w:r>
      <w:r w:rsidR="00E276E3">
        <w:rPr>
          <w:rFonts w:ascii="Verdana" w:hAnsi="Verdana" w:cs="Verdana"/>
          <w:sz w:val="20"/>
          <w:szCs w:val="20"/>
          <w:lang w:val="es-CR"/>
        </w:rPr>
        <w:t>con</w:t>
      </w:r>
      <w:r w:rsidRPr="00C7521F">
        <w:rPr>
          <w:rFonts w:ascii="Verdana" w:hAnsi="Verdana" w:cs="Verdana"/>
          <w:sz w:val="20"/>
          <w:szCs w:val="20"/>
          <w:lang w:val="es-CR"/>
        </w:rPr>
        <w:t xml:space="preserve"> lo establecido en el artículo 35.1.f) del Reglamento, la “eventual designación de peritos” podrá ser efectuada por la Comisión Interamericana “cuando se afecte de manera relevante el orden público interamericano de los derechos humanos”, cuyo fundamento y objeto tienen que ser adecuadamente sustentados</w:t>
      </w:r>
      <w:r w:rsidRPr="00C7521F">
        <w:rPr>
          <w:rStyle w:val="FootnoteReference"/>
          <w:sz w:val="20"/>
          <w:szCs w:val="20"/>
          <w:lang w:val="es-CR"/>
        </w:rPr>
        <w:footnoteReference w:id="4"/>
      </w:r>
      <w:r w:rsidRPr="00C7521F">
        <w:rPr>
          <w:rFonts w:ascii="Verdana" w:hAnsi="Verdana" w:cs="Verdana"/>
          <w:sz w:val="20"/>
          <w:szCs w:val="20"/>
          <w:lang w:val="es-CR"/>
        </w:rPr>
        <w:t xml:space="preserve">. </w:t>
      </w:r>
      <w:bookmarkEnd w:id="7"/>
    </w:p>
    <w:p w:rsidR="00553643" w:rsidRPr="00C7521F" w:rsidRDefault="00553643" w:rsidP="00553643">
      <w:pPr>
        <w:tabs>
          <w:tab w:val="left" w:pos="567"/>
        </w:tabs>
        <w:spacing w:after="0" w:line="240" w:lineRule="auto"/>
        <w:ind w:left="1080" w:right="10"/>
        <w:jc w:val="both"/>
        <w:rPr>
          <w:rFonts w:ascii="Verdana" w:hAnsi="Verdana" w:cs="Verdana"/>
          <w:sz w:val="20"/>
          <w:szCs w:val="20"/>
          <w:lang w:val="es-CR"/>
        </w:rPr>
      </w:pPr>
    </w:p>
    <w:p w:rsidR="00553643" w:rsidRPr="00495443" w:rsidRDefault="00553643" w:rsidP="00553643">
      <w:pPr>
        <w:numPr>
          <w:ilvl w:val="0"/>
          <w:numId w:val="3"/>
        </w:numPr>
        <w:tabs>
          <w:tab w:val="left" w:pos="567"/>
        </w:tabs>
        <w:spacing w:after="0" w:line="240" w:lineRule="auto"/>
        <w:ind w:left="0" w:right="10" w:firstLine="0"/>
        <w:jc w:val="both"/>
        <w:rPr>
          <w:rFonts w:ascii="Verdana" w:hAnsi="Verdana" w:cs="Verdana"/>
          <w:sz w:val="20"/>
          <w:szCs w:val="20"/>
          <w:lang w:val="es-CR"/>
        </w:rPr>
      </w:pPr>
      <w:r w:rsidRPr="00495443">
        <w:rPr>
          <w:rFonts w:ascii="Verdana" w:hAnsi="Verdana" w:cs="Verdana"/>
          <w:sz w:val="20"/>
          <w:szCs w:val="20"/>
          <w:lang w:val="es-CR"/>
        </w:rPr>
        <w:t>En su escrito de sometimiento del caso</w:t>
      </w:r>
      <w:r w:rsidR="00E377D3">
        <w:rPr>
          <w:rFonts w:ascii="Verdana" w:hAnsi="Verdana" w:cs="Verdana"/>
          <w:sz w:val="20"/>
          <w:szCs w:val="20"/>
          <w:lang w:val="es-CR"/>
        </w:rPr>
        <w:t>,</w:t>
      </w:r>
      <w:r w:rsidRPr="00495443">
        <w:rPr>
          <w:rFonts w:ascii="Verdana" w:hAnsi="Verdana" w:cs="Verdana"/>
          <w:sz w:val="20"/>
          <w:szCs w:val="20"/>
          <w:lang w:val="es-CR"/>
        </w:rPr>
        <w:t xml:space="preserve"> </w:t>
      </w:r>
      <w:r w:rsidR="00E377D3" w:rsidRPr="00495443">
        <w:rPr>
          <w:rFonts w:ascii="Verdana" w:hAnsi="Verdana" w:cs="Verdana"/>
          <w:sz w:val="20"/>
          <w:szCs w:val="20"/>
          <w:lang w:val="es-CR"/>
        </w:rPr>
        <w:t>la Comisión</w:t>
      </w:r>
      <w:r w:rsidR="00E377D3">
        <w:rPr>
          <w:rFonts w:ascii="Verdana" w:hAnsi="Verdana" w:cs="Verdana"/>
          <w:sz w:val="20"/>
          <w:szCs w:val="20"/>
          <w:lang w:val="es-CR"/>
        </w:rPr>
        <w:t xml:space="preserve"> </w:t>
      </w:r>
      <w:r w:rsidR="00E64062">
        <w:rPr>
          <w:rFonts w:ascii="Verdana" w:hAnsi="Verdana" w:cs="Verdana"/>
          <w:sz w:val="20"/>
          <w:szCs w:val="20"/>
          <w:lang w:val="es-CR"/>
        </w:rPr>
        <w:t xml:space="preserve">ofreció </w:t>
      </w:r>
      <w:r w:rsidR="00E377D3">
        <w:rPr>
          <w:rFonts w:ascii="Verdana" w:hAnsi="Verdana" w:cs="Verdana"/>
          <w:sz w:val="20"/>
          <w:szCs w:val="20"/>
          <w:lang w:val="es-CR"/>
        </w:rPr>
        <w:t>el dictamen</w:t>
      </w:r>
      <w:r w:rsidRPr="00495443">
        <w:rPr>
          <w:rFonts w:ascii="Verdana" w:hAnsi="Verdana" w:cs="Verdana"/>
          <w:sz w:val="20"/>
          <w:szCs w:val="20"/>
          <w:lang w:val="es-CR"/>
        </w:rPr>
        <w:t xml:space="preserve"> pericial de Alberto Martín Binder para </w:t>
      </w:r>
      <w:r w:rsidR="00123438">
        <w:rPr>
          <w:rFonts w:ascii="Verdana" w:hAnsi="Verdana" w:cs="Verdana"/>
          <w:sz w:val="20"/>
          <w:szCs w:val="20"/>
          <w:lang w:val="es-CR"/>
        </w:rPr>
        <w:t xml:space="preserve">(i) </w:t>
      </w:r>
      <w:r w:rsidRPr="00495443">
        <w:rPr>
          <w:rFonts w:ascii="Verdana" w:hAnsi="Verdana" w:cs="Verdana"/>
          <w:sz w:val="20"/>
          <w:szCs w:val="20"/>
          <w:lang w:val="es-CR"/>
        </w:rPr>
        <w:t xml:space="preserve">declarar </w:t>
      </w:r>
      <w:r w:rsidR="00E377D3">
        <w:rPr>
          <w:rFonts w:ascii="Verdana" w:hAnsi="Verdana" w:cs="Verdana"/>
          <w:sz w:val="20"/>
          <w:szCs w:val="20"/>
          <w:lang w:val="es-CR"/>
        </w:rPr>
        <w:t>sobre</w:t>
      </w:r>
      <w:r w:rsidRPr="00495443">
        <w:rPr>
          <w:rFonts w:ascii="Verdana" w:hAnsi="Verdana" w:cs="Verdana"/>
          <w:sz w:val="20"/>
          <w:szCs w:val="20"/>
          <w:lang w:val="es-CR"/>
        </w:rPr>
        <w:t xml:space="preserve"> los estándares internacionales </w:t>
      </w:r>
      <w:r w:rsidR="00B20B20">
        <w:rPr>
          <w:rFonts w:ascii="Verdana" w:hAnsi="Verdana" w:cs="Verdana"/>
          <w:sz w:val="20"/>
          <w:szCs w:val="20"/>
          <w:lang w:val="es-CR"/>
        </w:rPr>
        <w:t>d</w:t>
      </w:r>
      <w:r w:rsidRPr="00495443">
        <w:rPr>
          <w:rFonts w:ascii="Verdana" w:hAnsi="Verdana" w:cs="Verdana"/>
          <w:sz w:val="20"/>
          <w:szCs w:val="20"/>
          <w:lang w:val="es-CR"/>
        </w:rPr>
        <w:t xml:space="preserve">el derecho a la presunción de inocencia y </w:t>
      </w:r>
      <w:r w:rsidR="00B20B20">
        <w:rPr>
          <w:rFonts w:ascii="Verdana" w:hAnsi="Verdana" w:cs="Verdana"/>
          <w:sz w:val="20"/>
          <w:szCs w:val="20"/>
          <w:lang w:val="es-CR"/>
        </w:rPr>
        <w:t>d</w:t>
      </w:r>
      <w:r w:rsidRPr="00495443">
        <w:rPr>
          <w:rFonts w:ascii="Verdana" w:hAnsi="Verdana" w:cs="Verdana"/>
          <w:sz w:val="20"/>
          <w:szCs w:val="20"/>
          <w:lang w:val="es-CR"/>
        </w:rPr>
        <w:t>el derecho de defensa</w:t>
      </w:r>
      <w:r w:rsidR="00E377D3">
        <w:rPr>
          <w:rFonts w:ascii="Verdana" w:hAnsi="Verdana" w:cs="Verdana"/>
          <w:sz w:val="20"/>
          <w:szCs w:val="20"/>
          <w:lang w:val="es-CR"/>
        </w:rPr>
        <w:t>, particularmente</w:t>
      </w:r>
      <w:r w:rsidRPr="00495443">
        <w:rPr>
          <w:rFonts w:ascii="Verdana" w:hAnsi="Verdana" w:cs="Verdana"/>
          <w:sz w:val="20"/>
          <w:szCs w:val="20"/>
          <w:lang w:val="es-CR"/>
        </w:rPr>
        <w:t xml:space="preserve"> las diligencias mínimas que deben realizarse para verificar la identidad de una persona en un proceso penal</w:t>
      </w:r>
      <w:r w:rsidR="00286A0E">
        <w:rPr>
          <w:rFonts w:ascii="Verdana" w:hAnsi="Verdana" w:cs="Verdana"/>
          <w:sz w:val="20"/>
          <w:szCs w:val="20"/>
          <w:lang w:val="es-CR"/>
        </w:rPr>
        <w:t>; (ii)</w:t>
      </w:r>
      <w:r w:rsidRPr="00495443">
        <w:rPr>
          <w:rFonts w:ascii="Verdana" w:hAnsi="Verdana" w:cs="Verdana"/>
          <w:sz w:val="20"/>
          <w:szCs w:val="20"/>
          <w:lang w:val="es-CR"/>
        </w:rPr>
        <w:t xml:space="preserve"> desarrollar los criterios aplicados en otros sistemas de protección de derechos humanos</w:t>
      </w:r>
      <w:r w:rsidR="00E377D3">
        <w:rPr>
          <w:rFonts w:ascii="Verdana" w:hAnsi="Verdana" w:cs="Verdana"/>
          <w:sz w:val="20"/>
          <w:szCs w:val="20"/>
          <w:lang w:val="es-CR"/>
        </w:rPr>
        <w:t>,</w:t>
      </w:r>
      <w:r w:rsidRPr="00495443">
        <w:rPr>
          <w:rFonts w:ascii="Verdana" w:hAnsi="Verdana" w:cs="Verdana"/>
          <w:sz w:val="20"/>
          <w:szCs w:val="20"/>
          <w:lang w:val="es-CR"/>
        </w:rPr>
        <w:t xml:space="preserve"> </w:t>
      </w:r>
      <w:r w:rsidRPr="00495443">
        <w:rPr>
          <w:rFonts w:ascii="Verdana" w:hAnsi="Verdana" w:cs="Verdana"/>
          <w:sz w:val="20"/>
          <w:szCs w:val="20"/>
          <w:lang w:val="es-CR"/>
        </w:rPr>
        <w:lastRenderedPageBreak/>
        <w:t>para distinguir aquellos casos en los cuales se viola la presunción de inocencia de aquellos casos en los cuales se presenta una discrepancia en la valoración probatoria</w:t>
      </w:r>
      <w:r w:rsidR="00286A0E">
        <w:rPr>
          <w:rFonts w:ascii="Verdana" w:hAnsi="Verdana" w:cs="Verdana"/>
          <w:sz w:val="20"/>
          <w:szCs w:val="20"/>
          <w:lang w:val="es-CR"/>
        </w:rPr>
        <w:t xml:space="preserve">; (iii) referirse </w:t>
      </w:r>
      <w:r w:rsidRPr="00495443">
        <w:rPr>
          <w:rFonts w:ascii="Verdana" w:hAnsi="Verdana" w:cs="Verdana"/>
          <w:sz w:val="20"/>
          <w:szCs w:val="20"/>
          <w:lang w:val="es-CR"/>
        </w:rPr>
        <w:t>al derecho a la defensa y, específicamente, a la manera en que las acciones u omisiones de la defensa técnica pu</w:t>
      </w:r>
      <w:r w:rsidR="00286A0E">
        <w:rPr>
          <w:rFonts w:ascii="Verdana" w:hAnsi="Verdana" w:cs="Verdana"/>
          <w:sz w:val="20"/>
          <w:szCs w:val="20"/>
          <w:lang w:val="es-CR"/>
        </w:rPr>
        <w:t>eden</w:t>
      </w:r>
      <w:r w:rsidRPr="00495443">
        <w:rPr>
          <w:rFonts w:ascii="Verdana" w:hAnsi="Verdana" w:cs="Verdana"/>
          <w:sz w:val="20"/>
          <w:szCs w:val="20"/>
          <w:lang w:val="es-CR"/>
        </w:rPr>
        <w:t xml:space="preserve"> comprometer la responsabilidad internacional del Estado.</w:t>
      </w:r>
      <w:r w:rsidR="00E377D3">
        <w:rPr>
          <w:rFonts w:ascii="Verdana" w:hAnsi="Verdana" w:cs="Verdana"/>
          <w:sz w:val="20"/>
          <w:szCs w:val="20"/>
          <w:lang w:val="es-CR"/>
        </w:rPr>
        <w:t xml:space="preserve"> La Comisión indicó que “el perito aplicará dichos estándares a los hechos del presente caso”.</w:t>
      </w:r>
    </w:p>
    <w:p w:rsidR="00553643" w:rsidRPr="00495443" w:rsidRDefault="00553643" w:rsidP="00553643">
      <w:pPr>
        <w:pStyle w:val="ListParagraph"/>
        <w:numPr>
          <w:ilvl w:val="0"/>
          <w:numId w:val="0"/>
        </w:numPr>
        <w:tabs>
          <w:tab w:val="left" w:pos="567"/>
        </w:tabs>
        <w:rPr>
          <w:lang w:val="es-CR"/>
        </w:rPr>
      </w:pPr>
    </w:p>
    <w:p w:rsidR="00495443" w:rsidRPr="00495443" w:rsidRDefault="00495443" w:rsidP="00495443">
      <w:pPr>
        <w:numPr>
          <w:ilvl w:val="0"/>
          <w:numId w:val="3"/>
        </w:numPr>
        <w:tabs>
          <w:tab w:val="left" w:pos="567"/>
        </w:tabs>
        <w:spacing w:after="0" w:line="240" w:lineRule="auto"/>
        <w:ind w:left="0" w:right="10" w:firstLine="0"/>
        <w:jc w:val="both"/>
        <w:rPr>
          <w:rFonts w:ascii="Verdana" w:hAnsi="Verdana" w:cs="Verdana"/>
          <w:sz w:val="20"/>
          <w:szCs w:val="20"/>
          <w:lang w:val="es-CR"/>
        </w:rPr>
      </w:pPr>
      <w:r w:rsidRPr="00495443">
        <w:rPr>
          <w:rFonts w:ascii="Verdana" w:hAnsi="Verdana" w:cs="Verdana"/>
          <w:sz w:val="20"/>
          <w:szCs w:val="20"/>
          <w:lang w:val="es-CR"/>
        </w:rPr>
        <w:t xml:space="preserve">De acuerdo </w:t>
      </w:r>
      <w:r w:rsidR="00B62DB3">
        <w:rPr>
          <w:rFonts w:ascii="Verdana" w:hAnsi="Verdana" w:cs="Verdana"/>
          <w:sz w:val="20"/>
          <w:szCs w:val="20"/>
          <w:lang w:val="es-CR"/>
        </w:rPr>
        <w:t>con</w:t>
      </w:r>
      <w:r w:rsidRPr="00495443">
        <w:rPr>
          <w:rFonts w:ascii="Verdana" w:hAnsi="Verdana" w:cs="Verdana"/>
          <w:sz w:val="20"/>
          <w:szCs w:val="20"/>
          <w:lang w:val="es-CR"/>
        </w:rPr>
        <w:t xml:space="preserve"> la Comisión</w:t>
      </w:r>
      <w:r w:rsidR="00B62DB3">
        <w:rPr>
          <w:rFonts w:ascii="Verdana" w:hAnsi="Verdana" w:cs="Verdana"/>
          <w:sz w:val="20"/>
          <w:szCs w:val="20"/>
          <w:lang w:val="es-CR"/>
        </w:rPr>
        <w:t>,</w:t>
      </w:r>
      <w:r w:rsidRPr="00495443">
        <w:rPr>
          <w:rFonts w:ascii="Verdana" w:hAnsi="Verdana" w:cs="Verdana"/>
          <w:sz w:val="20"/>
          <w:szCs w:val="20"/>
          <w:lang w:val="es-CR"/>
        </w:rPr>
        <w:t xml:space="preserve"> </w:t>
      </w:r>
      <w:r w:rsidR="00553643" w:rsidRPr="00495443">
        <w:rPr>
          <w:rFonts w:ascii="Verdana" w:hAnsi="Verdana" w:cs="Verdana"/>
          <w:sz w:val="20"/>
          <w:szCs w:val="20"/>
          <w:lang w:val="es-CR"/>
        </w:rPr>
        <w:t xml:space="preserve">el caso presenta cuestiones </w:t>
      </w:r>
      <w:r w:rsidRPr="00495443">
        <w:rPr>
          <w:rFonts w:ascii="Verdana" w:hAnsi="Verdana" w:cs="Verdana"/>
          <w:sz w:val="20"/>
          <w:szCs w:val="20"/>
          <w:lang w:val="es-CR"/>
        </w:rPr>
        <w:t>de orden público interamericano</w:t>
      </w:r>
      <w:r w:rsidR="00553643" w:rsidRPr="00495443">
        <w:rPr>
          <w:rFonts w:ascii="Verdana" w:hAnsi="Verdana" w:cs="Verdana"/>
          <w:sz w:val="20"/>
          <w:szCs w:val="20"/>
          <w:lang w:val="es-CR"/>
        </w:rPr>
        <w:t xml:space="preserve"> </w:t>
      </w:r>
      <w:r w:rsidR="00B62DB3">
        <w:rPr>
          <w:rFonts w:ascii="Verdana" w:hAnsi="Verdana" w:cs="Verdana"/>
          <w:sz w:val="20"/>
          <w:szCs w:val="20"/>
          <w:lang w:val="es-CR"/>
        </w:rPr>
        <w:t xml:space="preserve">en relación </w:t>
      </w:r>
      <w:r w:rsidRPr="00495443">
        <w:rPr>
          <w:rFonts w:ascii="Verdana" w:hAnsi="Verdana" w:cs="Verdana"/>
          <w:sz w:val="20"/>
          <w:szCs w:val="20"/>
          <w:lang w:val="es-CR"/>
        </w:rPr>
        <w:t>con el derecho a la defensa y a la presunción de inocencia de personas acusadas en el marco de un proceso penal</w:t>
      </w:r>
      <w:r w:rsidR="00B62DB3">
        <w:rPr>
          <w:rFonts w:ascii="Verdana" w:hAnsi="Verdana" w:cs="Verdana"/>
          <w:sz w:val="20"/>
          <w:szCs w:val="20"/>
          <w:lang w:val="es-CR"/>
        </w:rPr>
        <w:t xml:space="preserve">, por lo que un </w:t>
      </w:r>
      <w:r w:rsidRPr="00495443">
        <w:rPr>
          <w:rFonts w:ascii="Verdana" w:hAnsi="Verdana" w:cs="Verdana"/>
          <w:sz w:val="20"/>
          <w:szCs w:val="20"/>
          <w:lang w:val="es-CR"/>
        </w:rPr>
        <w:t xml:space="preserve">pronunciamiento de la Corte sobre este punto </w:t>
      </w:r>
      <w:r w:rsidR="00B62DB3">
        <w:rPr>
          <w:rFonts w:ascii="Verdana" w:hAnsi="Verdana" w:cs="Verdana"/>
          <w:sz w:val="20"/>
          <w:szCs w:val="20"/>
          <w:lang w:val="es-CR"/>
        </w:rPr>
        <w:t>“</w:t>
      </w:r>
      <w:r w:rsidRPr="00495443">
        <w:rPr>
          <w:rFonts w:ascii="Verdana" w:hAnsi="Verdana" w:cs="Verdana"/>
          <w:sz w:val="20"/>
          <w:szCs w:val="20"/>
          <w:lang w:val="es-CR"/>
        </w:rPr>
        <w:t>permitirá un desarrollo jurisprudencial sobre las diligencias mínimas que debe llevar a cabo un Estado para verificar la identidad de una persona antes de continuar con un proceso penal y emitir una condena en su contra</w:t>
      </w:r>
      <w:r w:rsidR="00B62DB3">
        <w:rPr>
          <w:rFonts w:ascii="Verdana" w:hAnsi="Verdana" w:cs="Verdana"/>
          <w:sz w:val="20"/>
          <w:szCs w:val="20"/>
          <w:lang w:val="es-CR"/>
        </w:rPr>
        <w:t>”</w:t>
      </w:r>
      <w:r w:rsidRPr="00495443">
        <w:rPr>
          <w:rFonts w:ascii="Verdana" w:hAnsi="Verdana" w:cs="Verdana"/>
          <w:sz w:val="20"/>
          <w:szCs w:val="20"/>
          <w:lang w:val="es-CR"/>
        </w:rPr>
        <w:t>. Además, la Comisión indicó que el caso presenta un análisis sobre el alcance de la responsabilidad estatal por las acciones y omisiones en que pudiera incurrir la defensa pública de una persona acusada en el marco de un proceso penal.</w:t>
      </w:r>
    </w:p>
    <w:p w:rsidR="00495443" w:rsidRPr="00495443" w:rsidRDefault="00495443" w:rsidP="00495443">
      <w:pPr>
        <w:tabs>
          <w:tab w:val="left" w:pos="567"/>
        </w:tabs>
        <w:spacing w:after="0" w:line="240" w:lineRule="auto"/>
        <w:ind w:right="10"/>
        <w:jc w:val="both"/>
        <w:rPr>
          <w:rFonts w:cs="Times New Roman"/>
          <w:bCs/>
          <w:iCs/>
          <w:lang w:val="es-CR"/>
        </w:rPr>
      </w:pPr>
    </w:p>
    <w:p w:rsidR="00495443" w:rsidRPr="0027359D" w:rsidRDefault="00495443" w:rsidP="00495443">
      <w:pPr>
        <w:numPr>
          <w:ilvl w:val="0"/>
          <w:numId w:val="3"/>
        </w:numPr>
        <w:tabs>
          <w:tab w:val="left" w:pos="567"/>
        </w:tabs>
        <w:spacing w:after="0" w:line="240" w:lineRule="auto"/>
        <w:ind w:left="0" w:right="10" w:firstLine="0"/>
        <w:jc w:val="both"/>
        <w:rPr>
          <w:rFonts w:ascii="Verdana" w:hAnsi="Verdana" w:cs="Verdana"/>
          <w:sz w:val="20"/>
          <w:szCs w:val="20"/>
          <w:lang w:val="es-CR"/>
        </w:rPr>
      </w:pPr>
      <w:r w:rsidRPr="0027359D">
        <w:rPr>
          <w:rFonts w:ascii="Verdana" w:hAnsi="Verdana" w:cs="Verdana"/>
          <w:sz w:val="20"/>
          <w:szCs w:val="20"/>
          <w:lang w:val="es-CR"/>
        </w:rPr>
        <w:t xml:space="preserve">Al respecto, el Presidente </w:t>
      </w:r>
      <w:r w:rsidR="00123438">
        <w:rPr>
          <w:rFonts w:ascii="Verdana" w:hAnsi="Verdana" w:cs="Verdana"/>
          <w:sz w:val="20"/>
          <w:szCs w:val="20"/>
          <w:lang w:val="es-CR"/>
        </w:rPr>
        <w:t>considera</w:t>
      </w:r>
      <w:r w:rsidR="00B62DB3" w:rsidRPr="0027359D">
        <w:rPr>
          <w:rFonts w:ascii="Verdana" w:hAnsi="Verdana" w:cs="Verdana"/>
          <w:sz w:val="20"/>
          <w:szCs w:val="20"/>
          <w:lang w:val="es-CR"/>
        </w:rPr>
        <w:t xml:space="preserve"> </w:t>
      </w:r>
      <w:r w:rsidRPr="0027359D">
        <w:rPr>
          <w:rFonts w:ascii="Verdana" w:hAnsi="Verdana" w:cs="Verdana"/>
          <w:sz w:val="20"/>
          <w:szCs w:val="20"/>
          <w:lang w:val="es-CR"/>
        </w:rPr>
        <w:t xml:space="preserve">que el objeto de la declaración del perito propuesto </w:t>
      </w:r>
      <w:r w:rsidR="003C3256" w:rsidRPr="00123438">
        <w:rPr>
          <w:rFonts w:ascii="Verdana" w:hAnsi="Verdana" w:cs="Verdana"/>
          <w:sz w:val="20"/>
          <w:szCs w:val="20"/>
          <w:lang w:val="es-CR"/>
        </w:rPr>
        <w:t xml:space="preserve">puede contribuir a fortalecer las capacidades de protección del </w:t>
      </w:r>
      <w:r w:rsidR="00B62DB3">
        <w:rPr>
          <w:rFonts w:ascii="Verdana" w:hAnsi="Verdana" w:cs="Verdana"/>
          <w:sz w:val="20"/>
          <w:szCs w:val="20"/>
          <w:lang w:val="es-CR"/>
        </w:rPr>
        <w:t>S</w:t>
      </w:r>
      <w:r w:rsidR="003C3256" w:rsidRPr="00123438">
        <w:rPr>
          <w:rFonts w:ascii="Verdana" w:hAnsi="Verdana" w:cs="Verdana"/>
          <w:sz w:val="20"/>
          <w:szCs w:val="20"/>
          <w:lang w:val="es-CR"/>
        </w:rPr>
        <w:t xml:space="preserve">istema </w:t>
      </w:r>
      <w:r w:rsidR="00B62DB3">
        <w:rPr>
          <w:rFonts w:ascii="Verdana" w:hAnsi="Verdana" w:cs="Verdana"/>
          <w:sz w:val="20"/>
          <w:szCs w:val="20"/>
          <w:lang w:val="es-CR"/>
        </w:rPr>
        <w:t>I</w:t>
      </w:r>
      <w:r w:rsidR="003C3256" w:rsidRPr="00123438">
        <w:rPr>
          <w:rFonts w:ascii="Verdana" w:hAnsi="Verdana" w:cs="Verdana"/>
          <w:sz w:val="20"/>
          <w:szCs w:val="20"/>
          <w:lang w:val="es-CR"/>
        </w:rPr>
        <w:t xml:space="preserve">nteramericano de </w:t>
      </w:r>
      <w:r w:rsidR="00B62DB3">
        <w:rPr>
          <w:rFonts w:ascii="Verdana" w:hAnsi="Verdana" w:cs="Verdana"/>
          <w:sz w:val="20"/>
          <w:szCs w:val="20"/>
          <w:lang w:val="es-CR"/>
        </w:rPr>
        <w:t>D</w:t>
      </w:r>
      <w:r w:rsidR="003C3256" w:rsidRPr="00123438">
        <w:rPr>
          <w:rFonts w:ascii="Verdana" w:hAnsi="Verdana" w:cs="Verdana"/>
          <w:sz w:val="20"/>
          <w:szCs w:val="20"/>
          <w:lang w:val="es-CR"/>
        </w:rPr>
        <w:t xml:space="preserve">erechos </w:t>
      </w:r>
      <w:r w:rsidR="00B62DB3">
        <w:rPr>
          <w:rFonts w:ascii="Verdana" w:hAnsi="Verdana" w:cs="Verdana"/>
          <w:sz w:val="20"/>
          <w:szCs w:val="20"/>
          <w:lang w:val="es-CR"/>
        </w:rPr>
        <w:t>H</w:t>
      </w:r>
      <w:r w:rsidR="003C3256" w:rsidRPr="00123438">
        <w:rPr>
          <w:rFonts w:ascii="Verdana" w:hAnsi="Verdana" w:cs="Verdana"/>
          <w:sz w:val="20"/>
          <w:szCs w:val="20"/>
          <w:lang w:val="es-CR"/>
        </w:rPr>
        <w:t>umanos</w:t>
      </w:r>
      <w:r w:rsidR="00B62DB3" w:rsidRPr="00B62DB3">
        <w:rPr>
          <w:rFonts w:ascii="Verdana" w:hAnsi="Verdana" w:cs="Verdana"/>
          <w:sz w:val="20"/>
          <w:szCs w:val="20"/>
          <w:lang w:val="es-CR"/>
        </w:rPr>
        <w:t xml:space="preserve"> </w:t>
      </w:r>
      <w:r w:rsidR="00B62DB3" w:rsidRPr="0027359D">
        <w:rPr>
          <w:rFonts w:ascii="Verdana" w:hAnsi="Verdana" w:cs="Verdana"/>
          <w:sz w:val="20"/>
          <w:szCs w:val="20"/>
          <w:lang w:val="es-CR"/>
        </w:rPr>
        <w:t>en aspectos que trascienden los intereses de las partes en el litigio y los hechos específicos del presente caso</w:t>
      </w:r>
      <w:r w:rsidR="00B62DB3" w:rsidRPr="0027359D">
        <w:rPr>
          <w:rStyle w:val="FootnoteReference"/>
          <w:lang w:val="es-ES_tradnl" w:eastAsia="es-ES"/>
        </w:rPr>
        <w:footnoteReference w:id="5"/>
      </w:r>
      <w:r w:rsidR="003C3256" w:rsidRPr="00123438">
        <w:rPr>
          <w:rFonts w:ascii="Verdana" w:hAnsi="Verdana" w:cs="Verdana"/>
          <w:sz w:val="20"/>
          <w:szCs w:val="20"/>
          <w:lang w:val="es-CR"/>
        </w:rPr>
        <w:t>, así como precisar y profundizar la jurisprudencia de este Tribunal sobre los estándares internacionales relativos</w:t>
      </w:r>
      <w:r w:rsidR="00B62DB3">
        <w:rPr>
          <w:rFonts w:ascii="Verdana" w:hAnsi="Verdana" w:cs="Verdana"/>
          <w:sz w:val="20"/>
          <w:szCs w:val="20"/>
          <w:lang w:val="es-CR"/>
        </w:rPr>
        <w:t xml:space="preserve"> a los temas señalados por la Comisión, </w:t>
      </w:r>
      <w:r w:rsidRPr="0027359D">
        <w:rPr>
          <w:rFonts w:ascii="Verdana" w:hAnsi="Verdana" w:cs="Verdana"/>
          <w:sz w:val="20"/>
          <w:szCs w:val="20"/>
          <w:lang w:val="es-CR"/>
        </w:rPr>
        <w:t xml:space="preserve">en cuanto tienen relevancia en diversas partes del continente, por lo que una decisión al respecto puede tener un impacto sobre otros Estados parte </w:t>
      </w:r>
      <w:r w:rsidR="00B62DB3">
        <w:rPr>
          <w:rFonts w:ascii="Verdana" w:hAnsi="Verdana" w:cs="Verdana"/>
          <w:sz w:val="20"/>
          <w:szCs w:val="20"/>
          <w:lang w:val="es-CR"/>
        </w:rPr>
        <w:t>en</w:t>
      </w:r>
      <w:r w:rsidR="00B62DB3" w:rsidRPr="0027359D">
        <w:rPr>
          <w:rFonts w:ascii="Verdana" w:hAnsi="Verdana" w:cs="Verdana"/>
          <w:sz w:val="20"/>
          <w:szCs w:val="20"/>
          <w:lang w:val="es-CR"/>
        </w:rPr>
        <w:t xml:space="preserve"> </w:t>
      </w:r>
      <w:r w:rsidRPr="0027359D">
        <w:rPr>
          <w:rFonts w:ascii="Verdana" w:hAnsi="Verdana" w:cs="Verdana"/>
          <w:sz w:val="20"/>
          <w:szCs w:val="20"/>
          <w:lang w:val="es-CR"/>
        </w:rPr>
        <w:t xml:space="preserve">la Convención. Además, esta Presidencia constata que el peritaje de Alberto Martín Binder no fue objetado por las partes, por lo que estima procedente su recepción. </w:t>
      </w:r>
    </w:p>
    <w:p w:rsidR="00941ADD" w:rsidRDefault="00941ADD" w:rsidP="00941ADD">
      <w:pPr>
        <w:tabs>
          <w:tab w:val="left" w:pos="567"/>
        </w:tabs>
        <w:spacing w:after="0" w:line="240" w:lineRule="auto"/>
        <w:ind w:right="10"/>
        <w:jc w:val="both"/>
        <w:rPr>
          <w:rFonts w:ascii="Verdana" w:hAnsi="Verdana" w:cs="Verdana"/>
          <w:bCs/>
          <w:iCs/>
          <w:sz w:val="20"/>
          <w:szCs w:val="20"/>
          <w:lang w:val="es-CR"/>
        </w:rPr>
      </w:pPr>
    </w:p>
    <w:p w:rsidR="00A10A6E" w:rsidRPr="00941ADD" w:rsidRDefault="00A10A6E" w:rsidP="00941ADD">
      <w:pPr>
        <w:tabs>
          <w:tab w:val="left" w:pos="567"/>
        </w:tabs>
        <w:spacing w:after="0" w:line="240" w:lineRule="auto"/>
        <w:ind w:right="10"/>
        <w:jc w:val="both"/>
        <w:rPr>
          <w:rFonts w:ascii="Verdana" w:hAnsi="Verdana" w:cs="Verdana"/>
          <w:bCs/>
          <w:iCs/>
          <w:sz w:val="20"/>
          <w:szCs w:val="20"/>
          <w:lang w:val="es-CR"/>
        </w:rPr>
      </w:pPr>
    </w:p>
    <w:p w:rsidR="007C5F69" w:rsidRPr="00C7521F" w:rsidRDefault="007C5F69" w:rsidP="007C5F69">
      <w:pPr>
        <w:pStyle w:val="NoSpacing"/>
        <w:numPr>
          <w:ilvl w:val="0"/>
          <w:numId w:val="4"/>
        </w:numPr>
        <w:tabs>
          <w:tab w:val="left" w:pos="567"/>
        </w:tabs>
        <w:jc w:val="both"/>
        <w:rPr>
          <w:rFonts w:ascii="Verdana" w:hAnsi="Verdana" w:cs="Verdana"/>
          <w:b/>
          <w:bCs/>
          <w:i/>
          <w:iCs/>
          <w:sz w:val="20"/>
          <w:szCs w:val="20"/>
          <w:lang w:val="es-CR"/>
        </w:rPr>
      </w:pPr>
      <w:r w:rsidRPr="00C7521F">
        <w:rPr>
          <w:rFonts w:ascii="Verdana" w:hAnsi="Verdana" w:cs="Verdana"/>
          <w:b/>
          <w:bCs/>
          <w:i/>
          <w:iCs/>
          <w:sz w:val="20"/>
          <w:szCs w:val="20"/>
          <w:lang w:val="es-CR"/>
        </w:rPr>
        <w:t>Modalidad de las declaraciones y dictámenes periciales por recibir</w:t>
      </w:r>
    </w:p>
    <w:p w:rsidR="007C5F69" w:rsidRPr="00C7521F" w:rsidRDefault="007C5F69" w:rsidP="007C5F69">
      <w:pPr>
        <w:pStyle w:val="NoSpacing"/>
        <w:tabs>
          <w:tab w:val="left" w:pos="567"/>
        </w:tabs>
        <w:jc w:val="both"/>
        <w:rPr>
          <w:rFonts w:ascii="Verdana" w:hAnsi="Verdana" w:cs="Verdana"/>
          <w:b/>
          <w:bCs/>
          <w:i/>
          <w:iCs/>
          <w:sz w:val="20"/>
          <w:szCs w:val="20"/>
          <w:lang w:val="es-CR"/>
        </w:rPr>
      </w:pPr>
    </w:p>
    <w:p w:rsidR="007C5F69" w:rsidRPr="00C7521F" w:rsidRDefault="007C5F69" w:rsidP="007C5F69">
      <w:pPr>
        <w:numPr>
          <w:ilvl w:val="0"/>
          <w:numId w:val="3"/>
        </w:numPr>
        <w:tabs>
          <w:tab w:val="left" w:pos="567"/>
        </w:tabs>
        <w:autoSpaceDE w:val="0"/>
        <w:autoSpaceDN w:val="0"/>
        <w:spacing w:after="0" w:line="240" w:lineRule="auto"/>
        <w:ind w:left="0" w:right="10" w:firstLine="0"/>
        <w:jc w:val="both"/>
        <w:rPr>
          <w:rFonts w:ascii="Verdana" w:hAnsi="Verdana"/>
          <w:bCs/>
          <w:sz w:val="20"/>
          <w:szCs w:val="20"/>
          <w:lang w:val="es-CR"/>
        </w:rPr>
      </w:pPr>
      <w:bookmarkStart w:id="8" w:name="_Ref404705915"/>
      <w:r w:rsidRPr="00C7521F">
        <w:rPr>
          <w:rFonts w:ascii="Verdana" w:hAnsi="Verdana"/>
          <w:bCs/>
          <w:sz w:val="20"/>
          <w:szCs w:val="20"/>
          <w:lang w:val="es-CR"/>
        </w:rPr>
        <w:t xml:space="preserve">Es </w:t>
      </w:r>
      <w:r w:rsidRPr="00C7521F">
        <w:rPr>
          <w:rFonts w:ascii="Verdana" w:hAnsi="Verdana"/>
          <w:sz w:val="20"/>
          <w:szCs w:val="20"/>
          <w:lang w:val="es-CR"/>
        </w:rPr>
        <w:t>necesario asegurar la más amplia presentación de hechos y argumentos por las partes en todo lo que sea pertinente para la solución de</w:t>
      </w:r>
      <w:r w:rsidR="00B62DB3">
        <w:rPr>
          <w:rFonts w:ascii="Verdana" w:hAnsi="Verdana"/>
          <w:sz w:val="20"/>
          <w:szCs w:val="20"/>
          <w:lang w:val="es-CR"/>
        </w:rPr>
        <w:t>l presente caso</w:t>
      </w:r>
      <w:r w:rsidRPr="00C7521F">
        <w:rPr>
          <w:rFonts w:ascii="Verdana" w:hAnsi="Verdana"/>
          <w:sz w:val="20"/>
          <w:szCs w:val="20"/>
          <w:lang w:val="es-CR"/>
        </w:rPr>
        <w:t xml:space="preserve">, garantizando a éstas tanto el derecho a la defensa de sus respectivas posiciones como la posibilidad de atender adecuadamente los casos sujetos a consideración de la Corte, teniendo en cuenta que su número ha crecido considerablemente y se incrementa de manera constante. Asimismo, es necesario que se garantice un plazo razonable en la duración del proceso, como lo requiere el efectivo acceso a la justicia. En razón de lo anterior, </w:t>
      </w:r>
      <w:r w:rsidR="00B62DB3">
        <w:rPr>
          <w:rFonts w:ascii="Verdana" w:hAnsi="Verdana"/>
          <w:sz w:val="20"/>
          <w:szCs w:val="20"/>
          <w:lang w:val="es-CR"/>
        </w:rPr>
        <w:t xml:space="preserve">y dado que el Estado ha realizado un reconocimiento de responsabilidad, </w:t>
      </w:r>
      <w:r w:rsidRPr="00C7521F">
        <w:rPr>
          <w:rFonts w:ascii="Verdana" w:hAnsi="Verdana"/>
          <w:sz w:val="20"/>
          <w:szCs w:val="20"/>
          <w:lang w:val="es-CR"/>
        </w:rPr>
        <w:t xml:space="preserve">es preciso recibir por declaración rendida ante fedatario público el mayor número posible de declaraciones de presuntas víctimas, testimonios y dictámenes periciales </w:t>
      </w:r>
      <w:r w:rsidR="003C3256" w:rsidRPr="00B843CD">
        <w:rPr>
          <w:rFonts w:ascii="Verdana" w:hAnsi="Verdana"/>
          <w:sz w:val="20"/>
          <w:szCs w:val="20"/>
          <w:lang w:val="es-CR"/>
        </w:rPr>
        <w:t>y escuchar en audiencia pública a aquellas personas cuya declaración directa resulte verdaderamente indispensable, tomando en consideración las circunstancias del caso y el objeto de las declaraciones y dictámenes</w:t>
      </w:r>
      <w:r w:rsidRPr="00C7521F">
        <w:rPr>
          <w:rFonts w:ascii="Verdana" w:hAnsi="Verdana"/>
          <w:sz w:val="20"/>
          <w:szCs w:val="20"/>
          <w:lang w:val="es-CR"/>
        </w:rPr>
        <w:t>.</w:t>
      </w:r>
      <w:bookmarkEnd w:id="8"/>
    </w:p>
    <w:p w:rsidR="007C5F69" w:rsidRPr="00C7521F" w:rsidRDefault="007C5F69" w:rsidP="007C5F69">
      <w:pPr>
        <w:tabs>
          <w:tab w:val="left" w:pos="567"/>
        </w:tabs>
        <w:autoSpaceDE w:val="0"/>
        <w:autoSpaceDN w:val="0"/>
        <w:spacing w:after="0" w:line="240" w:lineRule="auto"/>
        <w:ind w:right="10"/>
        <w:jc w:val="both"/>
        <w:rPr>
          <w:rFonts w:ascii="Verdana" w:hAnsi="Verdana"/>
          <w:bCs/>
          <w:sz w:val="20"/>
          <w:szCs w:val="20"/>
          <w:lang w:val="es-CR"/>
        </w:rPr>
      </w:pPr>
    </w:p>
    <w:p w:rsidR="003B172A" w:rsidRDefault="00B62DB3" w:rsidP="00B843CD">
      <w:pPr>
        <w:tabs>
          <w:tab w:val="left" w:pos="540"/>
        </w:tabs>
        <w:autoSpaceDE w:val="0"/>
        <w:autoSpaceDN w:val="0"/>
        <w:adjustRightInd w:val="0"/>
        <w:spacing w:after="0" w:line="240" w:lineRule="auto"/>
        <w:ind w:left="540"/>
        <w:jc w:val="both"/>
        <w:rPr>
          <w:rFonts w:ascii="Verdana" w:hAnsi="Verdana" w:cs="Verdana"/>
          <w:bCs/>
          <w:i/>
          <w:sz w:val="20"/>
          <w:szCs w:val="20"/>
        </w:rPr>
      </w:pPr>
      <w:r>
        <w:rPr>
          <w:rFonts w:ascii="Verdana" w:hAnsi="Verdana"/>
          <w:bCs/>
          <w:i/>
          <w:sz w:val="20"/>
          <w:szCs w:val="20"/>
          <w:lang w:val="es-CR"/>
        </w:rPr>
        <w:tab/>
      </w:r>
      <w:r w:rsidR="00B843CD">
        <w:rPr>
          <w:rFonts w:ascii="Verdana" w:hAnsi="Verdana"/>
          <w:bCs/>
          <w:i/>
          <w:sz w:val="20"/>
          <w:szCs w:val="20"/>
          <w:lang w:val="es-CR"/>
        </w:rPr>
        <w:t>B</w:t>
      </w:r>
      <w:r w:rsidR="007C5F69" w:rsidRPr="00C7521F">
        <w:rPr>
          <w:rFonts w:ascii="Verdana" w:hAnsi="Verdana"/>
          <w:bCs/>
          <w:i/>
          <w:sz w:val="20"/>
          <w:szCs w:val="20"/>
          <w:lang w:val="es-CR"/>
        </w:rPr>
        <w:t xml:space="preserve">.1. </w:t>
      </w:r>
      <w:r w:rsidR="007C5F69" w:rsidRPr="00C7521F">
        <w:rPr>
          <w:rFonts w:ascii="Verdana" w:hAnsi="Verdana"/>
          <w:i/>
          <w:sz w:val="20"/>
          <w:szCs w:val="20"/>
          <w:lang w:val="es-CR"/>
        </w:rPr>
        <w:t>Declaraciones y dictámenes periciales a ser rendidos ante fedatario público</w:t>
      </w:r>
      <w:r w:rsidR="00FB2609">
        <w:rPr>
          <w:rFonts w:ascii="Verdana" w:hAnsi="Verdana"/>
          <w:i/>
          <w:sz w:val="20"/>
          <w:szCs w:val="20"/>
          <w:lang w:val="es-CR"/>
        </w:rPr>
        <w:t xml:space="preserve"> </w:t>
      </w:r>
      <w:r w:rsidR="00FB2609" w:rsidRPr="00BB7208">
        <w:rPr>
          <w:rFonts w:ascii="Verdana" w:hAnsi="Verdana" w:cs="Verdana"/>
          <w:bCs/>
          <w:i/>
          <w:sz w:val="20"/>
          <w:szCs w:val="20"/>
        </w:rPr>
        <w:t>(</w:t>
      </w:r>
      <w:r w:rsidR="00FB2609" w:rsidRPr="00BB7208">
        <w:rPr>
          <w:rFonts w:ascii="Verdana" w:hAnsi="Verdana" w:cs="Verdana"/>
          <w:bCs/>
          <w:i/>
          <w:iCs/>
          <w:sz w:val="20"/>
          <w:szCs w:val="20"/>
        </w:rPr>
        <w:t>affidávit</w:t>
      </w:r>
      <w:r w:rsidR="00FB2609" w:rsidRPr="00BB7208">
        <w:rPr>
          <w:rFonts w:ascii="Verdana" w:hAnsi="Verdana" w:cs="Verdana"/>
          <w:bCs/>
          <w:i/>
          <w:sz w:val="20"/>
          <w:szCs w:val="20"/>
        </w:rPr>
        <w:t>)</w:t>
      </w:r>
    </w:p>
    <w:p w:rsidR="001814A1" w:rsidRPr="00C7521F" w:rsidRDefault="001814A1" w:rsidP="00FB2609">
      <w:pPr>
        <w:tabs>
          <w:tab w:val="left" w:pos="567"/>
        </w:tabs>
        <w:autoSpaceDE w:val="0"/>
        <w:autoSpaceDN w:val="0"/>
        <w:spacing w:after="0" w:line="240" w:lineRule="auto"/>
        <w:ind w:right="10"/>
        <w:jc w:val="both"/>
        <w:rPr>
          <w:rFonts w:ascii="Verdana" w:hAnsi="Verdana"/>
          <w:i/>
          <w:sz w:val="20"/>
          <w:szCs w:val="20"/>
          <w:lang w:val="es-CR"/>
        </w:rPr>
      </w:pPr>
    </w:p>
    <w:p w:rsidR="00EA7658" w:rsidRPr="001814A1" w:rsidRDefault="00EA7658" w:rsidP="001814A1">
      <w:pPr>
        <w:numPr>
          <w:ilvl w:val="0"/>
          <w:numId w:val="3"/>
        </w:numPr>
        <w:tabs>
          <w:tab w:val="left" w:pos="567"/>
        </w:tabs>
        <w:autoSpaceDE w:val="0"/>
        <w:autoSpaceDN w:val="0"/>
        <w:spacing w:after="0" w:line="240" w:lineRule="auto"/>
        <w:ind w:left="0" w:right="10" w:firstLine="0"/>
        <w:jc w:val="both"/>
        <w:rPr>
          <w:rFonts w:ascii="Verdana" w:hAnsi="Verdana"/>
          <w:sz w:val="20"/>
          <w:szCs w:val="20"/>
          <w:lang w:val="es-CR"/>
        </w:rPr>
      </w:pPr>
      <w:bookmarkStart w:id="9" w:name="_Ref315177774"/>
      <w:r w:rsidRPr="001814A1">
        <w:rPr>
          <w:rFonts w:ascii="Verdana" w:hAnsi="Verdana"/>
          <w:sz w:val="20"/>
          <w:szCs w:val="20"/>
          <w:lang w:val="es-CR"/>
        </w:rPr>
        <w:t xml:space="preserve">Teniendo en cuenta lo estipulado en el artículo 50.1 del Reglamento, lo indicado por </w:t>
      </w:r>
      <w:r w:rsidR="002E5CA7">
        <w:rPr>
          <w:rFonts w:ascii="Verdana" w:hAnsi="Verdana"/>
          <w:sz w:val="20"/>
          <w:szCs w:val="20"/>
          <w:lang w:val="es-CR"/>
        </w:rPr>
        <w:t xml:space="preserve">los representantes y </w:t>
      </w:r>
      <w:r w:rsidRPr="001814A1">
        <w:rPr>
          <w:rFonts w:ascii="Verdana" w:hAnsi="Verdana"/>
          <w:sz w:val="20"/>
          <w:szCs w:val="20"/>
          <w:lang w:val="es-CR"/>
        </w:rPr>
        <w:t>la Comisión en sus listas definitivas de declarantes,</w:t>
      </w:r>
      <w:r w:rsidR="002E5CA7">
        <w:rPr>
          <w:rFonts w:ascii="Verdana" w:hAnsi="Verdana"/>
          <w:sz w:val="20"/>
          <w:szCs w:val="20"/>
          <w:lang w:val="es-CR"/>
        </w:rPr>
        <w:t xml:space="preserve"> las observaciones del Estado,</w:t>
      </w:r>
      <w:r w:rsidRPr="001814A1">
        <w:rPr>
          <w:rFonts w:ascii="Verdana" w:hAnsi="Verdana"/>
          <w:sz w:val="20"/>
          <w:szCs w:val="20"/>
          <w:lang w:val="es-CR"/>
        </w:rPr>
        <w:t xml:space="preserve"> el objeto de las declaraciones ofrecidas, así como el principio de economía procesal, el Presidente estima conveniente recibir, por medio de declaración rendida ante </w:t>
      </w:r>
      <w:r w:rsidRPr="001814A1">
        <w:rPr>
          <w:rFonts w:ascii="Verdana" w:hAnsi="Verdana"/>
          <w:sz w:val="20"/>
          <w:szCs w:val="20"/>
          <w:lang w:val="es-CR"/>
        </w:rPr>
        <w:lastRenderedPageBreak/>
        <w:t xml:space="preserve">fedatario público, </w:t>
      </w:r>
      <w:r w:rsidR="002E5CA7">
        <w:rPr>
          <w:rFonts w:ascii="Verdana" w:hAnsi="Verdana"/>
          <w:sz w:val="20"/>
          <w:szCs w:val="20"/>
          <w:lang w:val="es-CR"/>
        </w:rPr>
        <w:t>el testimonio de</w:t>
      </w:r>
      <w:r w:rsidR="001814A1">
        <w:rPr>
          <w:rFonts w:ascii="Verdana" w:hAnsi="Verdana"/>
          <w:sz w:val="20"/>
          <w:szCs w:val="20"/>
          <w:lang w:val="es-CR"/>
        </w:rPr>
        <w:t xml:space="preserve"> Pedro Torres Hércules, </w:t>
      </w:r>
      <w:r w:rsidR="002E5CA7">
        <w:rPr>
          <w:rFonts w:ascii="Verdana" w:hAnsi="Verdana"/>
          <w:sz w:val="20"/>
          <w:szCs w:val="20"/>
          <w:lang w:val="es-CR"/>
        </w:rPr>
        <w:t xml:space="preserve">la declaración </w:t>
      </w:r>
      <w:r w:rsidR="001814A1">
        <w:rPr>
          <w:rFonts w:ascii="Verdana" w:hAnsi="Verdana"/>
          <w:sz w:val="20"/>
          <w:szCs w:val="20"/>
          <w:lang w:val="es-CR"/>
        </w:rPr>
        <w:t xml:space="preserve">de </w:t>
      </w:r>
      <w:r w:rsidR="00B62DB3">
        <w:rPr>
          <w:rFonts w:ascii="Verdana" w:hAnsi="Verdana"/>
          <w:sz w:val="20"/>
          <w:szCs w:val="20"/>
          <w:lang w:val="es-CR"/>
        </w:rPr>
        <w:t xml:space="preserve">la presunta víctima </w:t>
      </w:r>
      <w:r w:rsidR="001814A1">
        <w:rPr>
          <w:rFonts w:ascii="Verdana" w:hAnsi="Verdana"/>
          <w:sz w:val="20"/>
          <w:szCs w:val="20"/>
          <w:lang w:val="es-CR"/>
        </w:rPr>
        <w:t xml:space="preserve">María Maribel Guevara de Ruano y </w:t>
      </w:r>
      <w:r w:rsidR="002E5CA7">
        <w:rPr>
          <w:rFonts w:ascii="Verdana" w:hAnsi="Verdana"/>
          <w:sz w:val="20"/>
          <w:szCs w:val="20"/>
          <w:lang w:val="es-CR"/>
        </w:rPr>
        <w:t>los dictámenes de</w:t>
      </w:r>
      <w:r w:rsidR="00B62DB3">
        <w:rPr>
          <w:rFonts w:ascii="Verdana" w:hAnsi="Verdana"/>
          <w:sz w:val="20"/>
          <w:szCs w:val="20"/>
          <w:lang w:val="es-CR"/>
        </w:rPr>
        <w:t xml:space="preserve"> Alberto Binder</w:t>
      </w:r>
      <w:bookmarkStart w:id="10" w:name="_GoBack"/>
      <w:bookmarkEnd w:id="10"/>
      <w:r w:rsidR="00B62DB3">
        <w:rPr>
          <w:rFonts w:ascii="Verdana" w:hAnsi="Verdana"/>
          <w:sz w:val="20"/>
          <w:szCs w:val="20"/>
          <w:lang w:val="es-CR"/>
        </w:rPr>
        <w:t xml:space="preserve"> y </w:t>
      </w:r>
      <w:r w:rsidR="00C65E8C">
        <w:rPr>
          <w:rFonts w:ascii="Verdana" w:hAnsi="Verdana"/>
          <w:sz w:val="20"/>
          <w:szCs w:val="20"/>
          <w:lang w:val="es-CR"/>
        </w:rPr>
        <w:t>Diana Lourdes Miranda Guerrero.</w:t>
      </w:r>
    </w:p>
    <w:p w:rsidR="001814A1" w:rsidRPr="001814A1" w:rsidRDefault="001814A1" w:rsidP="00EA7658">
      <w:pPr>
        <w:pStyle w:val="ListParagraph"/>
        <w:numPr>
          <w:ilvl w:val="0"/>
          <w:numId w:val="0"/>
        </w:numPr>
        <w:tabs>
          <w:tab w:val="left" w:pos="567"/>
        </w:tabs>
        <w:rPr>
          <w:lang w:val="es-CR"/>
        </w:rPr>
      </w:pPr>
    </w:p>
    <w:p w:rsidR="00EA7658" w:rsidRPr="00C7521F" w:rsidRDefault="00EA7658" w:rsidP="00EA7658">
      <w:pPr>
        <w:pStyle w:val="ListParagraph"/>
        <w:numPr>
          <w:ilvl w:val="0"/>
          <w:numId w:val="3"/>
        </w:numPr>
        <w:tabs>
          <w:tab w:val="left" w:pos="567"/>
        </w:tabs>
        <w:ind w:left="0" w:firstLine="0"/>
        <w:rPr>
          <w:lang w:val="es-CR"/>
        </w:rPr>
      </w:pPr>
      <w:bookmarkStart w:id="11" w:name="_Ref404704641"/>
      <w:bookmarkStart w:id="12" w:name="_Ref314764554"/>
      <w:bookmarkStart w:id="13" w:name="_Ref352167746"/>
      <w:bookmarkEnd w:id="9"/>
      <w:r w:rsidRPr="00C7521F">
        <w:rPr>
          <w:lang w:val="es-CR"/>
        </w:rPr>
        <w:t xml:space="preserve">En aplicación de lo dispuesto en </w:t>
      </w:r>
      <w:r w:rsidR="002E5CA7">
        <w:rPr>
          <w:lang w:val="es-CR"/>
        </w:rPr>
        <w:t>el artículo 50.5 del R</w:t>
      </w:r>
      <w:r w:rsidR="00286A0E">
        <w:rPr>
          <w:lang w:val="es-CR"/>
        </w:rPr>
        <w:t>eglamento de</w:t>
      </w:r>
      <w:r w:rsidR="00B843CD">
        <w:rPr>
          <w:lang w:val="es-CR"/>
        </w:rPr>
        <w:t xml:space="preserve"> </w:t>
      </w:r>
      <w:r w:rsidR="00286A0E">
        <w:rPr>
          <w:lang w:val="es-CR"/>
        </w:rPr>
        <w:t>la Corte</w:t>
      </w:r>
      <w:r w:rsidRPr="00C7521F">
        <w:rPr>
          <w:lang w:val="es-CR"/>
        </w:rPr>
        <w:t>, el Presidente procede a otorgar una oportunidad para que el Es</w:t>
      </w:r>
      <w:r w:rsidR="00C65E8C">
        <w:rPr>
          <w:lang w:val="es-CR"/>
        </w:rPr>
        <w:t>tado presente, si así lo desea, las preguntas que estime</w:t>
      </w:r>
      <w:r w:rsidRPr="00C7521F">
        <w:rPr>
          <w:lang w:val="es-CR"/>
        </w:rPr>
        <w:t xml:space="preserve"> pertinentes a</w:t>
      </w:r>
      <w:r w:rsidR="00C65E8C">
        <w:rPr>
          <w:lang w:val="es-CR"/>
        </w:rPr>
        <w:t>l testigo,</w:t>
      </w:r>
      <w:r w:rsidRPr="00C7521F">
        <w:rPr>
          <w:lang w:val="es-CR"/>
        </w:rPr>
        <w:t xml:space="preserve"> la presunta víctima</w:t>
      </w:r>
      <w:r w:rsidR="00C65E8C">
        <w:rPr>
          <w:lang w:val="es-CR"/>
        </w:rPr>
        <w:t xml:space="preserve"> </w:t>
      </w:r>
      <w:r w:rsidRPr="00C7521F">
        <w:rPr>
          <w:lang w:val="es-CR"/>
        </w:rPr>
        <w:t xml:space="preserve">y </w:t>
      </w:r>
      <w:r w:rsidR="00B62DB3">
        <w:rPr>
          <w:lang w:val="es-CR"/>
        </w:rPr>
        <w:t xml:space="preserve">los </w:t>
      </w:r>
      <w:r w:rsidR="00C65E8C">
        <w:rPr>
          <w:lang w:val="es-CR"/>
        </w:rPr>
        <w:t>perito</w:t>
      </w:r>
      <w:r w:rsidR="00B62DB3">
        <w:rPr>
          <w:lang w:val="es-CR"/>
        </w:rPr>
        <w:t>s</w:t>
      </w:r>
      <w:r w:rsidR="00B65BC7">
        <w:rPr>
          <w:lang w:val="es-CR"/>
        </w:rPr>
        <w:t>,</w:t>
      </w:r>
      <w:r w:rsidRPr="00C7521F">
        <w:rPr>
          <w:lang w:val="es-CR"/>
        </w:rPr>
        <w:t xml:space="preserve"> referido</w:t>
      </w:r>
      <w:r>
        <w:rPr>
          <w:lang w:val="es-CR"/>
        </w:rPr>
        <w:t>s</w:t>
      </w:r>
      <w:r w:rsidRPr="00C7521F">
        <w:rPr>
          <w:lang w:val="es-CR"/>
        </w:rPr>
        <w:t xml:space="preserve"> en el párrafo anterior. Al rendir su declaración ante fedatario público,</w:t>
      </w:r>
      <w:r w:rsidR="00C65E8C">
        <w:rPr>
          <w:lang w:val="es-CR"/>
        </w:rPr>
        <w:t xml:space="preserve"> el</w:t>
      </w:r>
      <w:r w:rsidRPr="00C7521F">
        <w:rPr>
          <w:lang w:val="es-CR"/>
        </w:rPr>
        <w:t xml:space="preserve"> </w:t>
      </w:r>
      <w:r w:rsidR="00C65E8C">
        <w:rPr>
          <w:lang w:val="es-CR"/>
        </w:rPr>
        <w:t>testigo,</w:t>
      </w:r>
      <w:r w:rsidR="00C65E8C" w:rsidRPr="00C7521F">
        <w:rPr>
          <w:lang w:val="es-CR"/>
        </w:rPr>
        <w:t xml:space="preserve"> la presunta víctima</w:t>
      </w:r>
      <w:r w:rsidR="00C65E8C">
        <w:rPr>
          <w:lang w:val="es-CR"/>
        </w:rPr>
        <w:t xml:space="preserve"> </w:t>
      </w:r>
      <w:r w:rsidR="00C65E8C" w:rsidRPr="00C7521F">
        <w:rPr>
          <w:lang w:val="es-CR"/>
        </w:rPr>
        <w:t xml:space="preserve">y </w:t>
      </w:r>
      <w:r w:rsidR="00B62DB3">
        <w:rPr>
          <w:lang w:val="es-CR"/>
        </w:rPr>
        <w:t xml:space="preserve">los </w:t>
      </w:r>
      <w:r w:rsidR="00C65E8C">
        <w:rPr>
          <w:lang w:val="es-CR"/>
        </w:rPr>
        <w:t>perito</w:t>
      </w:r>
      <w:r w:rsidR="00B62DB3">
        <w:rPr>
          <w:lang w:val="es-CR"/>
        </w:rPr>
        <w:t>s</w:t>
      </w:r>
      <w:r w:rsidRPr="00C7521F">
        <w:rPr>
          <w:lang w:val="es-CR"/>
        </w:rPr>
        <w:t xml:space="preserve"> deberán responder a dichas preguntas, salvo que el Presidente disponga lo contrario. Los plazos correspondientes serán precisados en la parte resolutiva de la presente Resolución.</w:t>
      </w:r>
      <w:r w:rsidRPr="00C7521F">
        <w:rPr>
          <w:b/>
          <w:lang w:val="es-CR"/>
        </w:rPr>
        <w:t xml:space="preserve"> </w:t>
      </w:r>
      <w:r w:rsidRPr="00C7521F">
        <w:rPr>
          <w:lang w:val="es-CR"/>
        </w:rPr>
        <w:t xml:space="preserve">Las declaraciones y </w:t>
      </w:r>
      <w:r w:rsidR="00657112">
        <w:rPr>
          <w:lang w:val="es-CR"/>
        </w:rPr>
        <w:t>el</w:t>
      </w:r>
      <w:r>
        <w:rPr>
          <w:lang w:val="es-CR"/>
        </w:rPr>
        <w:t xml:space="preserve"> </w:t>
      </w:r>
      <w:r w:rsidRPr="00C7521F">
        <w:rPr>
          <w:lang w:val="es-CR"/>
        </w:rPr>
        <w:t>peritaje antes mencionados serán transmitidos a la Comisión, a los representantes y al Estado. A su vez, conforme al artículo 50.6 del Reglamento</w:t>
      </w:r>
      <w:r w:rsidR="00165662">
        <w:rPr>
          <w:lang w:val="es-CR"/>
        </w:rPr>
        <w:t xml:space="preserve"> y si lo estima pertinente</w:t>
      </w:r>
      <w:r w:rsidRPr="00C7521F">
        <w:rPr>
          <w:lang w:val="es-CR"/>
        </w:rPr>
        <w:t>, el Estado</w:t>
      </w:r>
      <w:r w:rsidR="006A0848">
        <w:rPr>
          <w:lang w:val="es-CR"/>
        </w:rPr>
        <w:t xml:space="preserve"> podrá</w:t>
      </w:r>
      <w:r w:rsidRPr="00C7521F">
        <w:rPr>
          <w:lang w:val="es-CR"/>
        </w:rPr>
        <w:t xml:space="preserve"> presentar las observaciones que estime pertinentes respecto de dichas declaraciones en el plazo indicado en la presente Resolución (</w:t>
      </w:r>
      <w:r w:rsidRPr="00C7521F">
        <w:rPr>
          <w:i/>
          <w:iCs/>
          <w:lang w:val="es-CR"/>
        </w:rPr>
        <w:t xml:space="preserve">infra </w:t>
      </w:r>
      <w:r w:rsidRPr="00B65BC7">
        <w:rPr>
          <w:lang w:val="es-CR"/>
        </w:rPr>
        <w:t>puntos resolutivos segundo, tercero y cuarto</w:t>
      </w:r>
      <w:r w:rsidRPr="00C7521F">
        <w:rPr>
          <w:lang w:val="es-CR"/>
        </w:rPr>
        <w:t>).</w:t>
      </w:r>
      <w:bookmarkEnd w:id="11"/>
      <w:r w:rsidRPr="00C7521F">
        <w:rPr>
          <w:lang w:val="es-CR"/>
        </w:rPr>
        <w:t xml:space="preserve"> </w:t>
      </w:r>
      <w:bookmarkEnd w:id="12"/>
      <w:bookmarkEnd w:id="13"/>
    </w:p>
    <w:p w:rsidR="00EA7658" w:rsidRPr="00C7521F" w:rsidRDefault="00EA7658" w:rsidP="00EA7658">
      <w:pPr>
        <w:pStyle w:val="ListParagraph"/>
        <w:numPr>
          <w:ilvl w:val="0"/>
          <w:numId w:val="0"/>
        </w:numPr>
        <w:tabs>
          <w:tab w:val="left" w:pos="567"/>
        </w:tabs>
        <w:rPr>
          <w:lang w:val="es-CR"/>
        </w:rPr>
      </w:pPr>
    </w:p>
    <w:p w:rsidR="003B172A" w:rsidRDefault="00B843CD" w:rsidP="00B843CD">
      <w:pPr>
        <w:tabs>
          <w:tab w:val="left" w:pos="567"/>
        </w:tabs>
        <w:spacing w:after="0" w:line="240" w:lineRule="auto"/>
        <w:ind w:right="10" w:firstLine="720"/>
        <w:jc w:val="both"/>
        <w:rPr>
          <w:rFonts w:ascii="Verdana" w:hAnsi="Verdana"/>
          <w:i/>
          <w:sz w:val="20"/>
          <w:szCs w:val="20"/>
          <w:lang w:val="es-CR"/>
        </w:rPr>
      </w:pPr>
      <w:r>
        <w:rPr>
          <w:rFonts w:ascii="Verdana" w:hAnsi="Verdana"/>
          <w:i/>
          <w:sz w:val="20"/>
          <w:szCs w:val="20"/>
          <w:lang w:val="es-CR"/>
        </w:rPr>
        <w:t>B</w:t>
      </w:r>
      <w:r w:rsidR="00EA7658" w:rsidRPr="00C7521F">
        <w:rPr>
          <w:rFonts w:ascii="Verdana" w:hAnsi="Verdana"/>
          <w:i/>
          <w:sz w:val="20"/>
          <w:szCs w:val="20"/>
          <w:lang w:val="es-CR"/>
        </w:rPr>
        <w:t xml:space="preserve">.2. </w:t>
      </w:r>
      <w:r w:rsidR="00FB2609">
        <w:rPr>
          <w:rFonts w:ascii="Verdana" w:hAnsi="Verdana"/>
          <w:i/>
          <w:sz w:val="20"/>
          <w:szCs w:val="20"/>
          <w:lang w:val="es-CR"/>
        </w:rPr>
        <w:t>Declaraci</w:t>
      </w:r>
      <w:r w:rsidR="00B62DB3">
        <w:rPr>
          <w:rFonts w:ascii="Verdana" w:hAnsi="Verdana"/>
          <w:i/>
          <w:sz w:val="20"/>
          <w:szCs w:val="20"/>
          <w:lang w:val="es-CR"/>
        </w:rPr>
        <w:t>ó</w:t>
      </w:r>
      <w:r w:rsidR="00FB2609">
        <w:rPr>
          <w:rFonts w:ascii="Verdana" w:hAnsi="Verdana"/>
          <w:i/>
          <w:sz w:val="20"/>
          <w:szCs w:val="20"/>
          <w:lang w:val="es-CR"/>
        </w:rPr>
        <w:t xml:space="preserve">n </w:t>
      </w:r>
      <w:r w:rsidR="00B62DB3">
        <w:rPr>
          <w:rFonts w:ascii="Verdana" w:hAnsi="Verdana"/>
          <w:i/>
          <w:sz w:val="20"/>
          <w:szCs w:val="20"/>
          <w:lang w:val="es-CR"/>
        </w:rPr>
        <w:t>por</w:t>
      </w:r>
      <w:r w:rsidR="00EA7658" w:rsidRPr="00C7521F">
        <w:rPr>
          <w:rFonts w:ascii="Verdana" w:hAnsi="Verdana"/>
          <w:i/>
          <w:sz w:val="20"/>
          <w:szCs w:val="20"/>
          <w:lang w:val="es-CR"/>
        </w:rPr>
        <w:t xml:space="preserve"> ser recibid</w:t>
      </w:r>
      <w:r w:rsidR="00B62DB3">
        <w:rPr>
          <w:rFonts w:ascii="Verdana" w:hAnsi="Verdana"/>
          <w:i/>
          <w:sz w:val="20"/>
          <w:szCs w:val="20"/>
          <w:lang w:val="es-CR"/>
        </w:rPr>
        <w:t>a</w:t>
      </w:r>
      <w:r w:rsidR="00EA7658" w:rsidRPr="00C7521F">
        <w:rPr>
          <w:rFonts w:ascii="Verdana" w:hAnsi="Verdana"/>
          <w:i/>
          <w:sz w:val="20"/>
          <w:szCs w:val="20"/>
          <w:lang w:val="es-CR"/>
        </w:rPr>
        <w:t xml:space="preserve"> en audiencia pública</w:t>
      </w:r>
    </w:p>
    <w:p w:rsidR="00EA7658" w:rsidRPr="00C7521F" w:rsidRDefault="00EA7658" w:rsidP="00EA7658">
      <w:pPr>
        <w:tabs>
          <w:tab w:val="left" w:pos="567"/>
        </w:tabs>
        <w:spacing w:after="0" w:line="240" w:lineRule="auto"/>
        <w:ind w:left="-11" w:right="10" w:firstLine="731"/>
        <w:rPr>
          <w:rFonts w:ascii="Verdana" w:hAnsi="Verdana"/>
          <w:i/>
          <w:sz w:val="20"/>
          <w:szCs w:val="20"/>
          <w:lang w:val="es-CR"/>
        </w:rPr>
      </w:pPr>
    </w:p>
    <w:p w:rsidR="005F0280" w:rsidRDefault="00EA7658" w:rsidP="005F0280">
      <w:pPr>
        <w:pStyle w:val="ListParagraph"/>
        <w:numPr>
          <w:ilvl w:val="0"/>
          <w:numId w:val="3"/>
        </w:numPr>
        <w:tabs>
          <w:tab w:val="left" w:pos="567"/>
        </w:tabs>
        <w:ind w:left="0" w:firstLine="0"/>
        <w:rPr>
          <w:lang w:val="es-CR"/>
        </w:rPr>
      </w:pPr>
      <w:r w:rsidRPr="00C7521F">
        <w:rPr>
          <w:bCs/>
          <w:lang w:val="es-CR"/>
        </w:rPr>
        <w:t xml:space="preserve">Los </w:t>
      </w:r>
      <w:r w:rsidRPr="00C7521F">
        <w:rPr>
          <w:lang w:val="es-CR"/>
        </w:rPr>
        <w:t xml:space="preserve">autos en el presente caso se encuentran listos para la apertura del procedimiento oral </w:t>
      </w:r>
      <w:r w:rsidR="00FB2609">
        <w:rPr>
          <w:lang w:val="es-CR"/>
        </w:rPr>
        <w:t xml:space="preserve">en </w:t>
      </w:r>
      <w:r w:rsidR="00FB2609" w:rsidRPr="00741224">
        <w:rPr>
          <w:lang w:val="es-CR"/>
        </w:rPr>
        <w:t xml:space="preserve">cuanto al </w:t>
      </w:r>
      <w:r w:rsidR="00FB2609" w:rsidRPr="00167511">
        <w:rPr>
          <w:lang w:val="es-CR"/>
        </w:rPr>
        <w:t>fondo y eventuales reparaciones y costas</w:t>
      </w:r>
      <w:r w:rsidR="00FB2609">
        <w:rPr>
          <w:lang w:val="es-CR"/>
        </w:rPr>
        <w:t>,</w:t>
      </w:r>
      <w:r w:rsidR="00FB2609" w:rsidRPr="00C7521F">
        <w:rPr>
          <w:lang w:val="es-CR"/>
        </w:rPr>
        <w:t xml:space="preserve"> </w:t>
      </w:r>
      <w:r w:rsidRPr="00C7521F">
        <w:rPr>
          <w:lang w:val="es-CR"/>
        </w:rPr>
        <w:t>por lo que el Presidente estima pertinente convocar a una audiencia pública para recibir la declaración de</w:t>
      </w:r>
      <w:r w:rsidR="00FB2609">
        <w:rPr>
          <w:lang w:val="es-CR"/>
        </w:rPr>
        <w:t xml:space="preserve"> José Agapito Ruano Torres</w:t>
      </w:r>
      <w:r w:rsidRPr="00C7521F">
        <w:rPr>
          <w:lang w:val="es-CR"/>
        </w:rPr>
        <w:t>, presunta víctima</w:t>
      </w:r>
      <w:r w:rsidR="00EF6899">
        <w:rPr>
          <w:lang w:val="es-CR"/>
        </w:rPr>
        <w:t>,</w:t>
      </w:r>
      <w:r w:rsidRPr="00C7521F">
        <w:rPr>
          <w:lang w:val="es-CR"/>
        </w:rPr>
        <w:t xml:space="preserve"> propuest</w:t>
      </w:r>
      <w:r>
        <w:rPr>
          <w:lang w:val="es-CR"/>
        </w:rPr>
        <w:t>a</w:t>
      </w:r>
      <w:r w:rsidRPr="00C7521F">
        <w:rPr>
          <w:lang w:val="es-CR"/>
        </w:rPr>
        <w:t xml:space="preserve"> por los representantes.</w:t>
      </w:r>
    </w:p>
    <w:p w:rsidR="00B36444" w:rsidRDefault="00B36444" w:rsidP="00B36444">
      <w:pPr>
        <w:pStyle w:val="ListParagraph"/>
        <w:numPr>
          <w:ilvl w:val="0"/>
          <w:numId w:val="0"/>
        </w:numPr>
        <w:tabs>
          <w:tab w:val="left" w:pos="567"/>
        </w:tabs>
        <w:rPr>
          <w:lang w:val="es-CR"/>
        </w:rPr>
      </w:pPr>
    </w:p>
    <w:p w:rsidR="00A10A6E" w:rsidRDefault="00A10A6E" w:rsidP="00B36444">
      <w:pPr>
        <w:pStyle w:val="ListParagraph"/>
        <w:numPr>
          <w:ilvl w:val="0"/>
          <w:numId w:val="0"/>
        </w:numPr>
        <w:tabs>
          <w:tab w:val="left" w:pos="567"/>
        </w:tabs>
        <w:rPr>
          <w:lang w:val="es-CR"/>
        </w:rPr>
      </w:pPr>
    </w:p>
    <w:p w:rsidR="00B36444" w:rsidRPr="00B843CD" w:rsidRDefault="003C3256" w:rsidP="00B36444">
      <w:pPr>
        <w:pStyle w:val="NoSpacing"/>
        <w:numPr>
          <w:ilvl w:val="0"/>
          <w:numId w:val="4"/>
        </w:numPr>
        <w:tabs>
          <w:tab w:val="left" w:pos="567"/>
        </w:tabs>
        <w:jc w:val="both"/>
        <w:rPr>
          <w:rFonts w:ascii="Verdana" w:hAnsi="Verdana" w:cs="Verdana"/>
          <w:b/>
          <w:bCs/>
          <w:i/>
          <w:iCs/>
          <w:sz w:val="20"/>
          <w:szCs w:val="20"/>
          <w:lang w:val="es-CR"/>
        </w:rPr>
      </w:pPr>
      <w:r w:rsidRPr="00B843CD">
        <w:rPr>
          <w:rFonts w:ascii="Verdana" w:hAnsi="Verdana" w:cs="Verdana"/>
          <w:b/>
          <w:bCs/>
          <w:i/>
          <w:iCs/>
          <w:sz w:val="20"/>
          <w:szCs w:val="20"/>
          <w:lang w:val="es-CR"/>
        </w:rPr>
        <w:t>Aplicación del Fondo de Asistencia Legal de Víctimas ante la Corte</w:t>
      </w:r>
    </w:p>
    <w:p w:rsidR="00B36444" w:rsidRPr="00B36444" w:rsidRDefault="00B36444" w:rsidP="00C95AF6">
      <w:pPr>
        <w:pStyle w:val="NoSpacing"/>
        <w:tabs>
          <w:tab w:val="left" w:pos="567"/>
        </w:tabs>
        <w:jc w:val="both"/>
        <w:rPr>
          <w:rFonts w:ascii="Verdana" w:hAnsi="Verdana" w:cs="Verdana"/>
          <w:b/>
          <w:bCs/>
          <w:i/>
          <w:iCs/>
          <w:sz w:val="20"/>
          <w:szCs w:val="20"/>
          <w:lang w:val="es-CR"/>
        </w:rPr>
      </w:pPr>
    </w:p>
    <w:p w:rsidR="00B843CD" w:rsidRDefault="00D5170C" w:rsidP="00B843CD">
      <w:pPr>
        <w:pStyle w:val="ListParagraph"/>
        <w:numPr>
          <w:ilvl w:val="0"/>
          <w:numId w:val="3"/>
        </w:numPr>
        <w:tabs>
          <w:tab w:val="left" w:pos="567"/>
        </w:tabs>
        <w:ind w:left="0" w:firstLine="0"/>
        <w:rPr>
          <w:rFonts w:cs="Century Gothic"/>
          <w:color w:val="FF0000"/>
        </w:rPr>
      </w:pPr>
      <w:r w:rsidRPr="00E36E4B">
        <w:rPr>
          <w:rFonts w:cs="Century Gothic"/>
        </w:rPr>
        <w:t>En el presente caso fueron designados dos defensores interamericanos para repre</w:t>
      </w:r>
      <w:r w:rsidR="002E5CA7">
        <w:rPr>
          <w:rFonts w:cs="Century Gothic"/>
        </w:rPr>
        <w:t>sentar a las presuntas víctimas</w:t>
      </w:r>
      <w:r w:rsidRPr="00E36E4B">
        <w:rPr>
          <w:rFonts w:cs="Century Gothic"/>
        </w:rPr>
        <w:t xml:space="preserve">. </w:t>
      </w:r>
      <w:bookmarkStart w:id="14" w:name="_Ref326583898"/>
      <w:r w:rsidRPr="00E36E4B">
        <w:t xml:space="preserve">En el escrito de </w:t>
      </w:r>
      <w:r w:rsidRPr="001342C4">
        <w:rPr>
          <w:rFonts w:cs="Century Gothic"/>
        </w:rPr>
        <w:t>solicitudes</w:t>
      </w:r>
      <w:r w:rsidRPr="00E36E4B">
        <w:t>, argumentos y prueba</w:t>
      </w:r>
      <w:r>
        <w:t>s</w:t>
      </w:r>
      <w:r w:rsidRPr="00E36E4B">
        <w:t xml:space="preserve">, los defensores interamericanos hicieron solicitudes respecto a la utilización del Fondo de Víctimas </w:t>
      </w:r>
      <w:r w:rsidRPr="001342C4">
        <w:rPr>
          <w:lang w:val="es-CL"/>
        </w:rPr>
        <w:t>“</w:t>
      </w:r>
      <w:r w:rsidR="007D7F6B" w:rsidRPr="001342C4">
        <w:rPr>
          <w:lang w:val="es-CL"/>
        </w:rPr>
        <w:t>tanto para el ejercicio de la defensa en el proceso interamericano como en relación a todos los gastos que demande cualquier actividad vinculada a ello</w:t>
      </w:r>
      <w:r w:rsidRPr="001342C4">
        <w:rPr>
          <w:lang w:val="es-CL"/>
        </w:rPr>
        <w:t>”</w:t>
      </w:r>
      <w:r w:rsidRPr="008D2CE7">
        <w:t xml:space="preserve">. En dicho escrito, detallaron que solicitaban </w:t>
      </w:r>
      <w:r w:rsidR="00AC4070">
        <w:t>la aplicación</w:t>
      </w:r>
      <w:r w:rsidRPr="008D2CE7">
        <w:t xml:space="preserve"> del Fondo para</w:t>
      </w:r>
      <w:r>
        <w:t xml:space="preserve"> garantizar la asistencia a la audiencia de </w:t>
      </w:r>
      <w:r w:rsidR="007D7F6B">
        <w:t>las presuntas víctimas, peritos y de ambos defensores</w:t>
      </w:r>
      <w:r>
        <w:t xml:space="preserve"> (</w:t>
      </w:r>
      <w:r w:rsidR="007D7F6B">
        <w:t xml:space="preserve">gastos de viaje, </w:t>
      </w:r>
      <w:r>
        <w:t>t</w:t>
      </w:r>
      <w:r w:rsidR="007D7F6B">
        <w:t>raslados, hospedaje y viáticos), así como</w:t>
      </w:r>
      <w:r>
        <w:t xml:space="preserve"> </w:t>
      </w:r>
      <w:r w:rsidR="007D7F6B">
        <w:t>“los costos de pasaje y estadía del defensor al Estado de El Salvador para entrevistar a las presuntas víctimas del caso y efectuar gestiones imprescindibles para el ejercicio de la defensa”. Mediante nota recibida el 11 de febrero de 2015, reiteraron lo anterior.</w:t>
      </w:r>
      <w:bookmarkEnd w:id="14"/>
    </w:p>
    <w:p w:rsidR="00B843CD" w:rsidRDefault="00B843CD" w:rsidP="00B843CD">
      <w:pPr>
        <w:pStyle w:val="ListParagraph"/>
        <w:numPr>
          <w:ilvl w:val="0"/>
          <w:numId w:val="0"/>
        </w:numPr>
        <w:tabs>
          <w:tab w:val="left" w:pos="567"/>
        </w:tabs>
        <w:rPr>
          <w:rFonts w:cs="Century Gothic"/>
          <w:color w:val="FF0000"/>
        </w:rPr>
      </w:pPr>
    </w:p>
    <w:p w:rsidR="00D956C2" w:rsidRPr="00B843CD" w:rsidRDefault="001342C4" w:rsidP="00B843CD">
      <w:pPr>
        <w:pStyle w:val="ListParagraph"/>
        <w:numPr>
          <w:ilvl w:val="0"/>
          <w:numId w:val="3"/>
        </w:numPr>
        <w:tabs>
          <w:tab w:val="left" w:pos="567"/>
        </w:tabs>
        <w:ind w:left="0" w:firstLine="0"/>
        <w:rPr>
          <w:rFonts w:cs="Century Gothic"/>
          <w:color w:val="FF0000"/>
        </w:rPr>
      </w:pPr>
      <w:r>
        <w:t xml:space="preserve">El Presidente recuerda que, </w:t>
      </w:r>
      <w:r w:rsidR="00E276E3">
        <w:t xml:space="preserve">en casos en que </w:t>
      </w:r>
      <w:r w:rsidR="00286A0E">
        <w:t>las</w:t>
      </w:r>
      <w:r w:rsidR="002321C2" w:rsidRPr="00627233">
        <w:t xml:space="preserve"> presuntas víctimas que no tengan </w:t>
      </w:r>
      <w:r w:rsidR="002E5CA7">
        <w:t>representación</w:t>
      </w:r>
      <w:r w:rsidR="002321C2" w:rsidRPr="00627233">
        <w:t xml:space="preserve"> legal </w:t>
      </w:r>
      <w:r w:rsidR="002E5CA7">
        <w:t xml:space="preserve">debidamente acreditada </w:t>
      </w:r>
      <w:r w:rsidR="002321C2" w:rsidRPr="00627233">
        <w:t xml:space="preserve">en el proceso ante la Corte Interamericana y su representación sea asumida gratuitamente por un defensor interamericano en los términos del artículo 37 del </w:t>
      </w:r>
      <w:r w:rsidR="002321C2" w:rsidRPr="00B843CD">
        <w:rPr>
          <w:rFonts w:cs="Century Gothic"/>
        </w:rPr>
        <w:t>Reglamento</w:t>
      </w:r>
      <w:r w:rsidR="002321C2" w:rsidRPr="00627233">
        <w:t xml:space="preserve"> de la Corte Interamericana</w:t>
      </w:r>
      <w:r w:rsidR="002E5CA7" w:rsidRPr="00E36E4B">
        <w:rPr>
          <w:rStyle w:val="FootnoteReference"/>
          <w:rFonts w:cs="Times"/>
        </w:rPr>
        <w:footnoteReference w:id="6"/>
      </w:r>
      <w:r w:rsidR="002321C2" w:rsidRPr="00627233">
        <w:t>,</w:t>
      </w:r>
      <w:r w:rsidR="002321C2">
        <w:t xml:space="preserve"> </w:t>
      </w:r>
      <w:r w:rsidR="002321C2" w:rsidRPr="00627233">
        <w:t xml:space="preserve">se brindará ayuda a través del Fondo de Asistencia </w:t>
      </w:r>
      <w:r w:rsidR="002321C2" w:rsidRPr="00B843CD">
        <w:rPr>
          <w:lang w:val="es-CR"/>
        </w:rPr>
        <w:t xml:space="preserve">Legal de Víctimas </w:t>
      </w:r>
      <w:r w:rsidR="002321C2" w:rsidRPr="00627233">
        <w:t>para sufragar, en la medida de lo posible, los gastos razonables y necesarios que origine tal representación</w:t>
      </w:r>
      <w:r w:rsidR="002321C2">
        <w:rPr>
          <w:rStyle w:val="FootnoteReference"/>
        </w:rPr>
        <w:footnoteReference w:id="7"/>
      </w:r>
      <w:r w:rsidR="002321C2" w:rsidRPr="00627233">
        <w:t>.</w:t>
      </w:r>
      <w:r w:rsidR="002321C2">
        <w:t xml:space="preserve"> Es decir, l</w:t>
      </w:r>
      <w:r w:rsidRPr="00B843CD">
        <w:rPr>
          <w:lang w:val="es-CR"/>
        </w:rPr>
        <w:t xml:space="preserve">a </w:t>
      </w:r>
      <w:r w:rsidR="00B843CD">
        <w:rPr>
          <w:lang w:val="es-CR"/>
        </w:rPr>
        <w:t xml:space="preserve">aplicación </w:t>
      </w:r>
      <w:r w:rsidR="002321C2" w:rsidRPr="00B843CD">
        <w:rPr>
          <w:lang w:val="es-CR"/>
        </w:rPr>
        <w:t xml:space="preserve">del </w:t>
      </w:r>
      <w:r w:rsidRPr="00B843CD">
        <w:rPr>
          <w:lang w:val="es-CR"/>
        </w:rPr>
        <w:t xml:space="preserve">Fondo </w:t>
      </w:r>
      <w:r w:rsidR="00B843CD">
        <w:rPr>
          <w:lang w:val="es-CR"/>
        </w:rPr>
        <w:t xml:space="preserve">en estas situaciones </w:t>
      </w:r>
      <w:r w:rsidRPr="00B843CD">
        <w:rPr>
          <w:lang w:val="es-CR"/>
        </w:rPr>
        <w:t xml:space="preserve">se rige por lo establecido en el artículo 4 del Acuerdo de Entendimiento ente la Corte Interamericana y la Asociación Interamericana de Defensoría </w:t>
      </w:r>
      <w:r w:rsidRPr="00B843CD">
        <w:rPr>
          <w:lang w:val="es-CR"/>
        </w:rPr>
        <w:lastRenderedPageBreak/>
        <w:t xml:space="preserve">Públicas, </w:t>
      </w:r>
      <w:r w:rsidR="002321C2" w:rsidRPr="00B843CD">
        <w:rPr>
          <w:lang w:val="es-CR"/>
        </w:rPr>
        <w:t xml:space="preserve">de modo que el </w:t>
      </w:r>
      <w:r w:rsidRPr="00B843CD">
        <w:rPr>
          <w:lang w:val="es-CR"/>
        </w:rPr>
        <w:t>defensor interamericano designado “deberá presentar ante la Corte todos los comprobantes necesarios que acrediten los gastos en que se ha incurrido con motivo de la tramitación del caso ante ésta”.</w:t>
      </w:r>
      <w:r w:rsidR="00A91460" w:rsidRPr="00B843CD">
        <w:rPr>
          <w:lang w:val="es-CR"/>
        </w:rPr>
        <w:t xml:space="preserve"> Lo anterior fue expresamente señalado al notificar el sometimiento del presente caso.</w:t>
      </w:r>
    </w:p>
    <w:p w:rsidR="003B172A" w:rsidRPr="00B843CD" w:rsidRDefault="003B172A" w:rsidP="00B843CD">
      <w:pPr>
        <w:pStyle w:val="ListParagraph"/>
        <w:numPr>
          <w:ilvl w:val="0"/>
          <w:numId w:val="0"/>
        </w:numPr>
        <w:tabs>
          <w:tab w:val="left" w:pos="567"/>
        </w:tabs>
      </w:pPr>
      <w:bookmarkStart w:id="15" w:name="_Ref326590102"/>
    </w:p>
    <w:p w:rsidR="003B172A" w:rsidRDefault="00A91460" w:rsidP="00B843CD">
      <w:pPr>
        <w:pStyle w:val="ListParagraph"/>
        <w:numPr>
          <w:ilvl w:val="0"/>
          <w:numId w:val="3"/>
        </w:numPr>
        <w:tabs>
          <w:tab w:val="left" w:pos="567"/>
        </w:tabs>
        <w:ind w:left="0" w:firstLine="0"/>
        <w:rPr>
          <w:rFonts w:cs="Century Gothic"/>
        </w:rPr>
      </w:pPr>
      <w:r>
        <w:rPr>
          <w:lang w:val="es-CR"/>
        </w:rPr>
        <w:t>Al haber determinado</w:t>
      </w:r>
      <w:r w:rsidR="00D5170C" w:rsidRPr="000F2978">
        <w:rPr>
          <w:lang w:val="es-CR"/>
        </w:rPr>
        <w:t xml:space="preserve"> la apertura del procedimiento oral y </w:t>
      </w:r>
      <w:r>
        <w:rPr>
          <w:lang w:val="es-CR"/>
        </w:rPr>
        <w:t xml:space="preserve">resuelto </w:t>
      </w:r>
      <w:r w:rsidR="00D5170C" w:rsidRPr="000F2978">
        <w:rPr>
          <w:lang w:val="es-CR"/>
        </w:rPr>
        <w:t>sobre la procedencia de las declaraciones ofrecidas</w:t>
      </w:r>
      <w:r w:rsidRPr="00A91460">
        <w:t xml:space="preserve"> </w:t>
      </w:r>
      <w:r w:rsidRPr="00151CD1">
        <w:t>por</w:t>
      </w:r>
      <w:r>
        <w:t xml:space="preserve"> los defensores interamericanos, así como </w:t>
      </w:r>
      <w:r w:rsidRPr="00151CD1">
        <w:t xml:space="preserve">el medio por el cual </w:t>
      </w:r>
      <w:r w:rsidRPr="000F2978">
        <w:rPr>
          <w:lang w:val="es-CR"/>
        </w:rPr>
        <w:t>será</w:t>
      </w:r>
      <w:r>
        <w:rPr>
          <w:lang w:val="es-CR"/>
        </w:rPr>
        <w:t>n</w:t>
      </w:r>
      <w:r w:rsidRPr="000F2978">
        <w:rPr>
          <w:lang w:val="es-CR"/>
        </w:rPr>
        <w:t xml:space="preserve"> evacuada</w:t>
      </w:r>
      <w:r>
        <w:rPr>
          <w:lang w:val="es-CR"/>
        </w:rPr>
        <w:t>s</w:t>
      </w:r>
      <w:r w:rsidRPr="00151CD1">
        <w:t xml:space="preserve">, </w:t>
      </w:r>
      <w:bookmarkEnd w:id="15"/>
      <w:r w:rsidR="00AC4070">
        <w:t xml:space="preserve">el </w:t>
      </w:r>
      <w:r w:rsidRPr="006D012A">
        <w:rPr>
          <w:lang w:val="es-CR"/>
        </w:rPr>
        <w:t xml:space="preserve">Presidente dispone que la asistencia económica </w:t>
      </w:r>
      <w:r>
        <w:rPr>
          <w:lang w:val="es-CR"/>
        </w:rPr>
        <w:t>será</w:t>
      </w:r>
      <w:r w:rsidRPr="006D012A">
        <w:rPr>
          <w:lang w:val="es-CR"/>
        </w:rPr>
        <w:t xml:space="preserve"> asignada para</w:t>
      </w:r>
      <w:r w:rsidR="00AC4070" w:rsidRPr="00AC4070">
        <w:rPr>
          <w:lang w:val="es-CR"/>
        </w:rPr>
        <w:t xml:space="preserve"> </w:t>
      </w:r>
      <w:r w:rsidR="00AC4070">
        <w:rPr>
          <w:lang w:val="es-CR"/>
        </w:rPr>
        <w:t>cubrir los gastos de</w:t>
      </w:r>
      <w:r w:rsidRPr="00192A4C">
        <w:rPr>
          <w:lang w:val="es-CR"/>
        </w:rPr>
        <w:t>: i)</w:t>
      </w:r>
      <w:r w:rsidR="00AC4070">
        <w:rPr>
          <w:lang w:val="es-CR"/>
        </w:rPr>
        <w:t xml:space="preserve"> el </w:t>
      </w:r>
      <w:r w:rsidRPr="00192A4C">
        <w:rPr>
          <w:lang w:val="es-CR"/>
        </w:rPr>
        <w:t xml:space="preserve">viaje realizado por </w:t>
      </w:r>
      <w:r>
        <w:rPr>
          <w:lang w:val="es-CR"/>
        </w:rPr>
        <w:t>el defensor interamericano</w:t>
      </w:r>
      <w:r w:rsidRPr="00192A4C">
        <w:rPr>
          <w:lang w:val="es-CR"/>
        </w:rPr>
        <w:t xml:space="preserve"> a </w:t>
      </w:r>
      <w:r>
        <w:rPr>
          <w:lang w:val="es-CR"/>
        </w:rPr>
        <w:t xml:space="preserve">El Salvador </w:t>
      </w:r>
      <w:r w:rsidRPr="0098706C">
        <w:rPr>
          <w:lang w:val="es-CR"/>
        </w:rPr>
        <w:t>para entrevistarse con las presuntas víctimas, en lo que corresponda y en cuanto haya sido debidamente sustentado</w:t>
      </w:r>
      <w:r w:rsidRPr="0098706C">
        <w:rPr>
          <w:rStyle w:val="FootnoteReference"/>
          <w:rFonts w:cs="Times"/>
          <w:lang w:val="es-CR"/>
        </w:rPr>
        <w:footnoteReference w:id="8"/>
      </w:r>
      <w:r w:rsidRPr="0098706C">
        <w:rPr>
          <w:lang w:val="es-CR"/>
        </w:rPr>
        <w:t xml:space="preserve">; </w:t>
      </w:r>
      <w:r w:rsidRPr="00192A4C">
        <w:rPr>
          <w:lang w:val="es-CR"/>
        </w:rPr>
        <w:t xml:space="preserve">ii) </w:t>
      </w:r>
      <w:r w:rsidR="00AC4070" w:rsidRPr="00192A4C">
        <w:rPr>
          <w:lang w:val="es-CR"/>
        </w:rPr>
        <w:t xml:space="preserve">viaje y estadía necesarios para </w:t>
      </w:r>
      <w:r w:rsidRPr="00192A4C">
        <w:rPr>
          <w:lang w:val="es-CR"/>
        </w:rPr>
        <w:t>que los dos defensores interamericanos asis</w:t>
      </w:r>
      <w:r w:rsidRPr="006D012A">
        <w:rPr>
          <w:lang w:val="es-CR"/>
        </w:rPr>
        <w:t>tan a la audiencia pública a ejercer sus labores de representación de la</w:t>
      </w:r>
      <w:r>
        <w:rPr>
          <w:lang w:val="es-CR"/>
        </w:rPr>
        <w:t>s</w:t>
      </w:r>
      <w:r w:rsidRPr="006D012A">
        <w:rPr>
          <w:lang w:val="es-CR"/>
        </w:rPr>
        <w:t xml:space="preserve"> presunta</w:t>
      </w:r>
      <w:r>
        <w:rPr>
          <w:lang w:val="es-CR"/>
        </w:rPr>
        <w:t>s</w:t>
      </w:r>
      <w:r w:rsidRPr="006D012A">
        <w:rPr>
          <w:lang w:val="es-CR"/>
        </w:rPr>
        <w:t xml:space="preserve"> víctima</w:t>
      </w:r>
      <w:r>
        <w:rPr>
          <w:lang w:val="es-CR"/>
        </w:rPr>
        <w:t xml:space="preserve">s; iii) </w:t>
      </w:r>
      <w:r w:rsidR="00AC4070" w:rsidRPr="00192A4C">
        <w:rPr>
          <w:lang w:val="es-CR"/>
        </w:rPr>
        <w:t>viaje y estadía necesarios para</w:t>
      </w:r>
      <w:r w:rsidR="00AC4070">
        <w:rPr>
          <w:lang w:val="es-CR"/>
        </w:rPr>
        <w:t xml:space="preserve"> </w:t>
      </w:r>
      <w:r>
        <w:rPr>
          <w:lang w:val="es-CR"/>
        </w:rPr>
        <w:t xml:space="preserve">que la presunta víctima </w:t>
      </w:r>
      <w:r w:rsidR="000322D6">
        <w:rPr>
          <w:lang w:val="es-CR"/>
        </w:rPr>
        <w:t xml:space="preserve">José Agapito Ruano Torres </w:t>
      </w:r>
      <w:r w:rsidRPr="006D012A">
        <w:rPr>
          <w:lang w:val="es-CR"/>
        </w:rPr>
        <w:t xml:space="preserve">comparezca en dicha audiencia a rendir </w:t>
      </w:r>
      <w:r>
        <w:rPr>
          <w:lang w:val="es-CR"/>
        </w:rPr>
        <w:t>su declaración</w:t>
      </w:r>
      <w:r w:rsidR="000322D6">
        <w:rPr>
          <w:lang w:val="es-CR"/>
        </w:rPr>
        <w:t xml:space="preserve">; iv) </w:t>
      </w:r>
      <w:r w:rsidRPr="006D012A">
        <w:rPr>
          <w:lang w:val="es-CR"/>
        </w:rPr>
        <w:t xml:space="preserve">formalización y envío </w:t>
      </w:r>
      <w:r>
        <w:rPr>
          <w:lang w:val="es-CR"/>
        </w:rPr>
        <w:t>d</w:t>
      </w:r>
      <w:r w:rsidRPr="003C06FF">
        <w:rPr>
          <w:lang w:val="es-CR"/>
        </w:rPr>
        <w:t>e</w:t>
      </w:r>
      <w:r w:rsidR="000322D6">
        <w:rPr>
          <w:lang w:val="es-CR"/>
        </w:rPr>
        <w:t xml:space="preserve"> las declaraciones del testigo Pedro Torres Hércules, de la presunta víctima Marí</w:t>
      </w:r>
      <w:r w:rsidR="00B843CD">
        <w:rPr>
          <w:lang w:val="es-CR"/>
        </w:rPr>
        <w:t>a Maribel Guevara de Ruano y de la perito</w:t>
      </w:r>
      <w:r w:rsidR="000322D6">
        <w:rPr>
          <w:lang w:val="es-CR"/>
        </w:rPr>
        <w:t xml:space="preserve"> Diana Lourdes Miranda Guerrero que se rendirían</w:t>
      </w:r>
      <w:r>
        <w:rPr>
          <w:lang w:val="es-CR"/>
        </w:rPr>
        <w:t xml:space="preserve"> ante </w:t>
      </w:r>
      <w:r w:rsidRPr="003C06FF">
        <w:rPr>
          <w:lang w:val="es-CR"/>
        </w:rPr>
        <w:t>fedatario público</w:t>
      </w:r>
      <w:r w:rsidR="000322D6">
        <w:t xml:space="preserve">; y v) </w:t>
      </w:r>
      <w:r w:rsidR="00AC4070">
        <w:t>l</w:t>
      </w:r>
      <w:r w:rsidRPr="003C06FF">
        <w:t xml:space="preserve">os demás gastos razonables y necesarios en que </w:t>
      </w:r>
      <w:r w:rsidRPr="00536F97">
        <w:t>hayan incurrido o</w:t>
      </w:r>
      <w:r w:rsidRPr="003C06FF">
        <w:t xml:space="preserve"> puedan incurrir los defensores interamericanos, para lo cual deberán </w:t>
      </w:r>
      <w:r w:rsidR="000322D6">
        <w:t>remitir</w:t>
      </w:r>
      <w:r w:rsidRPr="003C06FF">
        <w:t xml:space="preserve"> al Tribunal </w:t>
      </w:r>
      <w:r w:rsidRPr="00536F97">
        <w:t>tanto la justificación de tales gastos como sus comprobantes</w:t>
      </w:r>
      <w:r w:rsidR="00AC4070">
        <w:t xml:space="preserve"> </w:t>
      </w:r>
      <w:r w:rsidR="000322D6" w:rsidRPr="00F40999">
        <w:t>a más tardar con la presentación de los alegatos finales escritos, siendo esa la última oportunidad procesal para hacerlo, salvo que esta Presidencia o la Corte otorguen alguna otra oportunidad procesal.</w:t>
      </w:r>
    </w:p>
    <w:p w:rsidR="003B172A" w:rsidRPr="00B843CD" w:rsidRDefault="003B172A" w:rsidP="00B843CD">
      <w:pPr>
        <w:pStyle w:val="ListParagraph"/>
        <w:numPr>
          <w:ilvl w:val="0"/>
          <w:numId w:val="0"/>
        </w:numPr>
        <w:tabs>
          <w:tab w:val="left" w:pos="567"/>
        </w:tabs>
        <w:rPr>
          <w:lang w:val="es-CR"/>
        </w:rPr>
      </w:pPr>
      <w:bookmarkStart w:id="16" w:name="_Ref326590986"/>
    </w:p>
    <w:p w:rsidR="003B172A" w:rsidRPr="00B843CD" w:rsidRDefault="00D5170C" w:rsidP="00B843CD">
      <w:pPr>
        <w:pStyle w:val="ListParagraph"/>
        <w:numPr>
          <w:ilvl w:val="0"/>
          <w:numId w:val="3"/>
        </w:numPr>
        <w:tabs>
          <w:tab w:val="left" w:pos="567"/>
        </w:tabs>
        <w:ind w:left="0" w:firstLine="0"/>
        <w:rPr>
          <w:lang w:val="es-CR"/>
        </w:rPr>
      </w:pPr>
      <w:bookmarkStart w:id="17" w:name="_Ref326591155"/>
      <w:bookmarkEnd w:id="16"/>
      <w:r w:rsidRPr="00830A42">
        <w:t xml:space="preserve">Los defensores interamericanos deberán remitir a la Corte una cotización </w:t>
      </w:r>
      <w:r w:rsidRPr="002F12DA">
        <w:t>en dólares de los Estados Unidos de América</w:t>
      </w:r>
      <w:r w:rsidRPr="00830A42">
        <w:t xml:space="preserve"> del costo de la formalización de </w:t>
      </w:r>
      <w:r>
        <w:t>la</w:t>
      </w:r>
      <w:r w:rsidR="000322D6">
        <w:t>s</w:t>
      </w:r>
      <w:r>
        <w:t xml:space="preserve"> referida</w:t>
      </w:r>
      <w:r w:rsidR="000322D6">
        <w:t>s declaraciones</w:t>
      </w:r>
      <w:r>
        <w:t xml:space="preserve"> jurada</w:t>
      </w:r>
      <w:r w:rsidR="000322D6">
        <w:t>s</w:t>
      </w:r>
      <w:r w:rsidRPr="00830A42">
        <w:t xml:space="preserve"> y de su envío, en el plazo establecido en la parte resolutiva de la presente Resolución. </w:t>
      </w:r>
      <w:r w:rsidR="003C3256" w:rsidRPr="00B843CD">
        <w:rPr>
          <w:lang w:val="es-CR"/>
        </w:rPr>
        <w:t>Al</w:t>
      </w:r>
      <w:r w:rsidR="003C3256" w:rsidRPr="00B843CD">
        <w:t xml:space="preserve"> presentar la referida cotización, los defensores interamericanos deben aclarar si ello incluye algún costo por honorarios o servicios profesionales</w:t>
      </w:r>
      <w:r w:rsidR="00B843CD">
        <w:t xml:space="preserve"> de la perito</w:t>
      </w:r>
      <w:r w:rsidR="003C3256" w:rsidRPr="00B843CD">
        <w:t>.</w:t>
      </w:r>
      <w:bookmarkEnd w:id="17"/>
      <w:r w:rsidRPr="002F12DA">
        <w:t xml:space="preserve"> </w:t>
      </w:r>
    </w:p>
    <w:p w:rsidR="003B172A" w:rsidRDefault="003B172A" w:rsidP="00B843CD">
      <w:pPr>
        <w:pStyle w:val="ListParagraph"/>
        <w:numPr>
          <w:ilvl w:val="0"/>
          <w:numId w:val="0"/>
        </w:numPr>
        <w:tabs>
          <w:tab w:val="left" w:pos="567"/>
        </w:tabs>
        <w:rPr>
          <w:lang w:val="es-CR"/>
        </w:rPr>
      </w:pPr>
    </w:p>
    <w:p w:rsidR="003B172A" w:rsidRPr="00B843CD" w:rsidRDefault="00D5170C" w:rsidP="00B843CD">
      <w:pPr>
        <w:pStyle w:val="ListParagraph"/>
        <w:numPr>
          <w:ilvl w:val="0"/>
          <w:numId w:val="3"/>
        </w:numPr>
        <w:tabs>
          <w:tab w:val="left" w:pos="567"/>
        </w:tabs>
        <w:ind w:left="0" w:firstLine="0"/>
        <w:rPr>
          <w:lang w:val="es-CR"/>
        </w:rPr>
      </w:pPr>
      <w:r w:rsidRPr="00C834AF">
        <w:rPr>
          <w:lang w:val="es-CR"/>
        </w:rPr>
        <w:t xml:space="preserve">En </w:t>
      </w:r>
      <w:r w:rsidR="003C3256" w:rsidRPr="00B843CD">
        <w:t>cuanto</w:t>
      </w:r>
      <w:r w:rsidRPr="00C834AF">
        <w:rPr>
          <w:lang w:val="es-CR"/>
        </w:rPr>
        <w:t xml:space="preserve"> a </w:t>
      </w:r>
      <w:r>
        <w:rPr>
          <w:lang w:val="es-CR"/>
        </w:rPr>
        <w:t xml:space="preserve">la comparecencia en la audiencia pública de </w:t>
      </w:r>
      <w:r w:rsidRPr="00C834AF">
        <w:rPr>
          <w:lang w:val="es-CR"/>
        </w:rPr>
        <w:t xml:space="preserve">los </w:t>
      </w:r>
      <w:r>
        <w:rPr>
          <w:lang w:val="es-CR"/>
        </w:rPr>
        <w:t>defensores</w:t>
      </w:r>
      <w:r w:rsidR="00A10A6E">
        <w:rPr>
          <w:lang w:val="es-CR"/>
        </w:rPr>
        <w:t xml:space="preserve"> interamericanos y de la presunta víctima</w:t>
      </w:r>
      <w:r w:rsidRPr="00C834AF">
        <w:rPr>
          <w:lang w:val="es-CR"/>
        </w:rPr>
        <w:t xml:space="preserve">, el Tribunal realizará las gestiones pertinentes y necesarias para cubrir los costos de traslado, alojamiento y manutención de dichos </w:t>
      </w:r>
      <w:r w:rsidRPr="00C834AF">
        <w:t xml:space="preserve">comparecientes con recursos provenientes del Fondo de Asistencia. </w:t>
      </w:r>
    </w:p>
    <w:p w:rsidR="003B172A" w:rsidRDefault="003B172A" w:rsidP="00B843CD">
      <w:pPr>
        <w:pStyle w:val="ListParagraph"/>
        <w:numPr>
          <w:ilvl w:val="0"/>
          <w:numId w:val="0"/>
        </w:numPr>
        <w:tabs>
          <w:tab w:val="left" w:pos="567"/>
        </w:tabs>
        <w:rPr>
          <w:lang w:val="es-CR"/>
        </w:rPr>
      </w:pPr>
    </w:p>
    <w:p w:rsidR="003B172A" w:rsidRPr="00B843CD" w:rsidRDefault="00D5170C" w:rsidP="00B843CD">
      <w:pPr>
        <w:pStyle w:val="ListParagraph"/>
        <w:numPr>
          <w:ilvl w:val="0"/>
          <w:numId w:val="3"/>
        </w:numPr>
        <w:tabs>
          <w:tab w:val="left" w:pos="567"/>
        </w:tabs>
        <w:ind w:left="0" w:firstLine="0"/>
        <w:rPr>
          <w:lang w:val="es-CR"/>
        </w:rPr>
      </w:pPr>
      <w:r w:rsidRPr="00C834AF">
        <w:t xml:space="preserve">Según lo requerido por el artículo 4 del Reglamento </w:t>
      </w:r>
      <w:r>
        <w:t>del Fondo de Asistencia</w:t>
      </w:r>
      <w:r w:rsidRPr="00C834AF">
        <w:t xml:space="preserve">, se dispone que la Secretaría abra un expediente de gastos a los fines de llevar la contabilidad y en el cual se documentará cada una de las erogaciones que se realice en relación con el referido Fondo. </w:t>
      </w:r>
    </w:p>
    <w:p w:rsidR="003B172A" w:rsidRDefault="003B172A" w:rsidP="00B843CD">
      <w:pPr>
        <w:pStyle w:val="ListParagraph"/>
        <w:numPr>
          <w:ilvl w:val="0"/>
          <w:numId w:val="0"/>
        </w:numPr>
        <w:tabs>
          <w:tab w:val="left" w:pos="567"/>
        </w:tabs>
        <w:rPr>
          <w:lang w:val="es-CR"/>
        </w:rPr>
      </w:pPr>
    </w:p>
    <w:p w:rsidR="003B172A" w:rsidRPr="00B843CD" w:rsidRDefault="003C3256" w:rsidP="00B843CD">
      <w:pPr>
        <w:pStyle w:val="ListParagraph"/>
        <w:numPr>
          <w:ilvl w:val="0"/>
          <w:numId w:val="3"/>
        </w:numPr>
        <w:tabs>
          <w:tab w:val="left" w:pos="567"/>
        </w:tabs>
        <w:ind w:left="0" w:firstLine="0"/>
        <w:rPr>
          <w:lang w:val="es-CR"/>
        </w:rPr>
      </w:pPr>
      <w:bookmarkStart w:id="18" w:name="_Ref326591026"/>
      <w:r w:rsidRPr="00B843CD">
        <w:t xml:space="preserve">Finalmente, el Presidente recuerda que, según el artículo 5 del Reglamento del Fondo, </w:t>
      </w:r>
      <w:r w:rsidR="00963938" w:rsidRPr="00B843CD">
        <w:t xml:space="preserve">oportunamente </w:t>
      </w:r>
      <w:r w:rsidRPr="00B843CD">
        <w:t xml:space="preserve">se informará al Estado </w:t>
      </w:r>
      <w:r w:rsidR="00963938">
        <w:t xml:space="preserve">acerca de </w:t>
      </w:r>
      <w:r w:rsidRPr="00B843CD">
        <w:t>las erogaciones realizadas en aplicación del Fondo de Asistencia Legal, para que presente sus observaciones, si así lo desea, dentro del plazo que se establezca al efecto</w:t>
      </w:r>
      <w:r w:rsidR="00D5170C" w:rsidRPr="00B843CD">
        <w:t>.</w:t>
      </w:r>
      <w:bookmarkEnd w:id="18"/>
      <w:r w:rsidR="00D5170C" w:rsidRPr="00B843CD">
        <w:t xml:space="preserve"> </w:t>
      </w:r>
    </w:p>
    <w:p w:rsidR="00963938" w:rsidRDefault="00963938" w:rsidP="009B0FE4">
      <w:pPr>
        <w:pStyle w:val="ListParagraph"/>
        <w:numPr>
          <w:ilvl w:val="0"/>
          <w:numId w:val="0"/>
        </w:numPr>
        <w:tabs>
          <w:tab w:val="left" w:pos="567"/>
        </w:tabs>
        <w:rPr>
          <w:lang w:val="es-CR"/>
        </w:rPr>
      </w:pPr>
    </w:p>
    <w:p w:rsidR="00A10A6E" w:rsidRPr="009B0FE4" w:rsidRDefault="00A10A6E" w:rsidP="009B0FE4">
      <w:pPr>
        <w:pStyle w:val="ListParagraph"/>
        <w:numPr>
          <w:ilvl w:val="0"/>
          <w:numId w:val="0"/>
        </w:numPr>
        <w:tabs>
          <w:tab w:val="left" w:pos="567"/>
        </w:tabs>
        <w:rPr>
          <w:lang w:val="es-CR"/>
        </w:rPr>
      </w:pPr>
    </w:p>
    <w:p w:rsidR="005F0280" w:rsidRPr="00C7521F" w:rsidRDefault="005F0280" w:rsidP="005F0280">
      <w:pPr>
        <w:pStyle w:val="NoSpacing"/>
        <w:numPr>
          <w:ilvl w:val="0"/>
          <w:numId w:val="4"/>
        </w:numPr>
        <w:tabs>
          <w:tab w:val="left" w:pos="567"/>
        </w:tabs>
        <w:jc w:val="both"/>
        <w:rPr>
          <w:rFonts w:ascii="Verdana" w:hAnsi="Verdana" w:cs="Verdana"/>
          <w:b/>
          <w:bCs/>
          <w:i/>
          <w:iCs/>
          <w:sz w:val="20"/>
          <w:szCs w:val="20"/>
          <w:lang w:val="es-CR"/>
        </w:rPr>
      </w:pPr>
      <w:r w:rsidRPr="00C7521F">
        <w:rPr>
          <w:rFonts w:ascii="Verdana" w:hAnsi="Verdana" w:cs="Verdana"/>
          <w:b/>
          <w:bCs/>
          <w:i/>
          <w:iCs/>
          <w:sz w:val="20"/>
          <w:szCs w:val="20"/>
          <w:lang w:val="es-CR"/>
        </w:rPr>
        <w:t xml:space="preserve">Alegatos y observaciones finales orales y escritos </w:t>
      </w:r>
    </w:p>
    <w:p w:rsidR="005F0280" w:rsidRPr="00C7521F" w:rsidRDefault="005F0280" w:rsidP="005F0280">
      <w:pPr>
        <w:pStyle w:val="NoSpacing"/>
        <w:tabs>
          <w:tab w:val="left" w:pos="567"/>
        </w:tabs>
        <w:ind w:left="1080"/>
        <w:jc w:val="both"/>
        <w:rPr>
          <w:rFonts w:ascii="Verdana" w:hAnsi="Verdana" w:cs="Verdana"/>
          <w:b/>
          <w:bCs/>
          <w:i/>
          <w:iCs/>
          <w:sz w:val="20"/>
          <w:szCs w:val="20"/>
          <w:lang w:val="es-CR"/>
        </w:rPr>
      </w:pPr>
    </w:p>
    <w:p w:rsidR="005F0280" w:rsidRPr="00C7521F" w:rsidRDefault="005F0280" w:rsidP="005F0280">
      <w:pPr>
        <w:pStyle w:val="ListParagraph"/>
        <w:numPr>
          <w:ilvl w:val="0"/>
          <w:numId w:val="3"/>
        </w:numPr>
        <w:tabs>
          <w:tab w:val="left" w:pos="567"/>
        </w:tabs>
        <w:ind w:left="0" w:firstLine="0"/>
        <w:rPr>
          <w:color w:val="000000"/>
          <w:lang w:val="es-CR" w:eastAsia="es-ES"/>
        </w:rPr>
      </w:pPr>
      <w:r w:rsidRPr="00C7521F">
        <w:rPr>
          <w:lang w:val="es-CR" w:eastAsia="es-MX"/>
        </w:rPr>
        <w:lastRenderedPageBreak/>
        <w:t xml:space="preserve">Los </w:t>
      </w:r>
      <w:r w:rsidRPr="00C7521F">
        <w:rPr>
          <w:color w:val="000000"/>
          <w:lang w:val="es-CR" w:eastAsia="es-ES"/>
        </w:rPr>
        <w:t xml:space="preserve">representantes y el Estado podrán presentar ante el Tribunal sus alegatos finales orales sobre </w:t>
      </w:r>
      <w:r w:rsidR="000322D6">
        <w:rPr>
          <w:color w:val="000000"/>
          <w:lang w:val="es-CR" w:eastAsia="es-ES"/>
        </w:rPr>
        <w:t>el</w:t>
      </w:r>
      <w:r w:rsidRPr="00C7521F">
        <w:rPr>
          <w:color w:val="000000"/>
          <w:lang w:val="es-CR" w:eastAsia="es-ES"/>
        </w:rPr>
        <w:t xml:space="preserve"> fondo</w:t>
      </w:r>
      <w:r w:rsidR="000322D6">
        <w:rPr>
          <w:color w:val="000000"/>
          <w:lang w:val="es-CR" w:eastAsia="es-ES"/>
        </w:rPr>
        <w:t xml:space="preserve"> y eventuales</w:t>
      </w:r>
      <w:r w:rsidRPr="00C7521F">
        <w:rPr>
          <w:color w:val="000000"/>
          <w:lang w:val="es-CR" w:eastAsia="es-ES"/>
        </w:rPr>
        <w:t xml:space="preserve"> reparaciones y costas en este caso, al término de la declaraci</w:t>
      </w:r>
      <w:r w:rsidR="00DC217E">
        <w:rPr>
          <w:color w:val="000000"/>
          <w:lang w:val="es-CR" w:eastAsia="es-ES"/>
        </w:rPr>
        <w:t>ón</w:t>
      </w:r>
      <w:r w:rsidRPr="00C7521F">
        <w:rPr>
          <w:color w:val="000000"/>
          <w:lang w:val="es-CR" w:eastAsia="es-ES"/>
        </w:rPr>
        <w:t xml:space="preserve"> de </w:t>
      </w:r>
      <w:r w:rsidR="00DC217E">
        <w:rPr>
          <w:color w:val="000000"/>
          <w:lang w:val="es-CR" w:eastAsia="es-ES"/>
        </w:rPr>
        <w:t>la presunta víctima</w:t>
      </w:r>
      <w:r w:rsidRPr="00C7521F">
        <w:rPr>
          <w:color w:val="000000"/>
          <w:lang w:val="es-CR" w:eastAsia="es-ES"/>
        </w:rPr>
        <w:t>. Como se establece en el artículo 51.8 del Reglamento, concluidos los alegatos, la Comisión Interamericana presentará sus observaciones finales orales.</w:t>
      </w:r>
    </w:p>
    <w:p w:rsidR="005F0280" w:rsidRPr="00C7521F" w:rsidRDefault="005F0280" w:rsidP="005F0280">
      <w:pPr>
        <w:pStyle w:val="ListParagraph"/>
        <w:numPr>
          <w:ilvl w:val="0"/>
          <w:numId w:val="0"/>
        </w:numPr>
        <w:tabs>
          <w:tab w:val="left" w:pos="567"/>
        </w:tabs>
        <w:rPr>
          <w:color w:val="000000"/>
          <w:lang w:val="es-CR" w:eastAsia="es-ES"/>
        </w:rPr>
      </w:pPr>
    </w:p>
    <w:p w:rsidR="005F0280" w:rsidRPr="00C7521F" w:rsidRDefault="005F0280" w:rsidP="005F0280">
      <w:pPr>
        <w:pStyle w:val="ListParagraph"/>
        <w:numPr>
          <w:ilvl w:val="0"/>
          <w:numId w:val="3"/>
        </w:numPr>
        <w:tabs>
          <w:tab w:val="left" w:pos="567"/>
        </w:tabs>
        <w:ind w:left="0" w:firstLine="0"/>
        <w:rPr>
          <w:color w:val="000000"/>
          <w:lang w:val="es-CR" w:eastAsia="es-ES"/>
        </w:rPr>
      </w:pPr>
      <w:r w:rsidRPr="00C7521F">
        <w:rPr>
          <w:color w:val="000000"/>
          <w:lang w:val="es-CR" w:eastAsia="es-ES"/>
        </w:rPr>
        <w:t xml:space="preserve">De acuerdo con el artículo 56 del Reglamento, los representantes, el Estado y la Comisión podrán presentar sus alegatos finales escritos y observaciones finales escritas, respectivamente, en relación con </w:t>
      </w:r>
      <w:r w:rsidR="00A521EA">
        <w:rPr>
          <w:color w:val="000000"/>
          <w:lang w:val="es-CR" w:eastAsia="es-ES"/>
        </w:rPr>
        <w:t xml:space="preserve">el </w:t>
      </w:r>
      <w:r w:rsidRPr="00C7521F">
        <w:rPr>
          <w:color w:val="000000"/>
          <w:lang w:val="es-CR" w:eastAsia="es-ES"/>
        </w:rPr>
        <w:t>fondo</w:t>
      </w:r>
      <w:r w:rsidR="00A521EA">
        <w:rPr>
          <w:color w:val="000000"/>
          <w:lang w:val="es-CR" w:eastAsia="es-ES"/>
        </w:rPr>
        <w:t xml:space="preserve"> y eventuales</w:t>
      </w:r>
      <w:r w:rsidRPr="00C7521F">
        <w:rPr>
          <w:color w:val="000000"/>
          <w:lang w:val="es-CR" w:eastAsia="es-ES"/>
        </w:rPr>
        <w:t xml:space="preserve"> reparaciones y costas, en el plazo fijado en el punto resolutivo </w:t>
      </w:r>
      <w:r w:rsidR="00A10A6E">
        <w:rPr>
          <w:color w:val="000000"/>
          <w:lang w:val="es-CR" w:eastAsia="es-ES"/>
        </w:rPr>
        <w:t>décimo tercero</w:t>
      </w:r>
      <w:r w:rsidR="00A521EA" w:rsidRPr="00C7521F">
        <w:rPr>
          <w:color w:val="000000"/>
          <w:lang w:val="es-CR" w:eastAsia="es-ES"/>
        </w:rPr>
        <w:t xml:space="preserve"> </w:t>
      </w:r>
      <w:r w:rsidRPr="00C7521F">
        <w:rPr>
          <w:color w:val="000000"/>
          <w:lang w:val="es-CR" w:eastAsia="es-ES"/>
        </w:rPr>
        <w:t>de esta Resolución.</w:t>
      </w:r>
    </w:p>
    <w:p w:rsidR="00EA7658" w:rsidRDefault="00EA7658" w:rsidP="00EA7658">
      <w:pPr>
        <w:tabs>
          <w:tab w:val="left" w:pos="567"/>
        </w:tabs>
        <w:spacing w:after="0" w:line="240" w:lineRule="auto"/>
        <w:rPr>
          <w:rFonts w:ascii="Verdana" w:hAnsi="Verdana"/>
          <w:sz w:val="20"/>
          <w:szCs w:val="20"/>
          <w:lang w:val="es-CR"/>
        </w:rPr>
      </w:pPr>
    </w:p>
    <w:p w:rsidR="00DC217E" w:rsidRPr="00C7521F" w:rsidRDefault="00DC217E" w:rsidP="00EA7658">
      <w:pPr>
        <w:tabs>
          <w:tab w:val="left" w:pos="567"/>
        </w:tabs>
        <w:spacing w:after="0" w:line="240" w:lineRule="auto"/>
        <w:rPr>
          <w:rFonts w:ascii="Verdana" w:hAnsi="Verdana"/>
          <w:sz w:val="20"/>
          <w:szCs w:val="20"/>
          <w:lang w:val="es-CR"/>
        </w:rPr>
      </w:pPr>
    </w:p>
    <w:p w:rsidR="00EA7658" w:rsidRPr="00012305" w:rsidRDefault="00EA7658" w:rsidP="00EA7658">
      <w:pPr>
        <w:tabs>
          <w:tab w:val="left" w:pos="567"/>
        </w:tabs>
        <w:spacing w:after="0" w:line="240" w:lineRule="auto"/>
        <w:jc w:val="both"/>
        <w:rPr>
          <w:rFonts w:ascii="Verdana" w:hAnsi="Verdana" w:cs="Verdana"/>
          <w:b/>
          <w:bCs/>
          <w:sz w:val="20"/>
          <w:szCs w:val="20"/>
          <w:lang w:val="es-CR"/>
        </w:rPr>
      </w:pPr>
      <w:r w:rsidRPr="00012305">
        <w:rPr>
          <w:rFonts w:ascii="Verdana" w:hAnsi="Verdana" w:cs="Verdana"/>
          <w:b/>
          <w:bCs/>
          <w:sz w:val="20"/>
          <w:szCs w:val="20"/>
          <w:lang w:val="es-CR"/>
        </w:rPr>
        <w:t>POR TANTO:</w:t>
      </w:r>
    </w:p>
    <w:p w:rsidR="00EA7658" w:rsidRPr="00012305" w:rsidRDefault="00EA7658" w:rsidP="00EA7658">
      <w:pPr>
        <w:tabs>
          <w:tab w:val="left" w:pos="567"/>
        </w:tabs>
        <w:spacing w:after="0" w:line="240" w:lineRule="auto"/>
        <w:jc w:val="both"/>
        <w:rPr>
          <w:rFonts w:ascii="Verdana" w:hAnsi="Verdana" w:cs="Verdana"/>
          <w:b/>
          <w:bCs/>
          <w:sz w:val="20"/>
          <w:szCs w:val="20"/>
          <w:lang w:val="es-CR"/>
        </w:rPr>
      </w:pPr>
    </w:p>
    <w:p w:rsidR="00EA7658" w:rsidRPr="00012305" w:rsidRDefault="00EA7658" w:rsidP="00EA7658">
      <w:pPr>
        <w:tabs>
          <w:tab w:val="left" w:pos="567"/>
        </w:tabs>
        <w:spacing w:after="0" w:line="240" w:lineRule="auto"/>
        <w:jc w:val="both"/>
        <w:rPr>
          <w:rFonts w:ascii="Verdana" w:hAnsi="Verdana" w:cs="Verdana"/>
          <w:b/>
          <w:bCs/>
          <w:sz w:val="20"/>
          <w:szCs w:val="20"/>
          <w:lang w:val="es-CR"/>
        </w:rPr>
      </w:pPr>
      <w:r w:rsidRPr="00012305">
        <w:rPr>
          <w:rFonts w:ascii="Verdana" w:hAnsi="Verdana" w:cs="Verdana"/>
          <w:b/>
          <w:bCs/>
          <w:sz w:val="20"/>
          <w:szCs w:val="20"/>
          <w:lang w:val="es-CR"/>
        </w:rPr>
        <w:t xml:space="preserve">EL PRESIDENTE DE LA CORTE INTERAMERICANA DE DERECHOS HUMANOS, </w:t>
      </w:r>
    </w:p>
    <w:p w:rsidR="00EA7658" w:rsidRPr="00012305" w:rsidRDefault="00EA7658" w:rsidP="00EA7658">
      <w:pPr>
        <w:tabs>
          <w:tab w:val="left" w:pos="567"/>
        </w:tabs>
        <w:spacing w:after="0" w:line="240" w:lineRule="auto"/>
        <w:jc w:val="both"/>
        <w:rPr>
          <w:rFonts w:ascii="Verdana" w:hAnsi="Verdana" w:cs="Verdana"/>
          <w:b/>
          <w:bCs/>
          <w:sz w:val="20"/>
          <w:szCs w:val="20"/>
          <w:lang w:val="es-CR"/>
        </w:rPr>
      </w:pPr>
    </w:p>
    <w:p w:rsidR="00EA7658" w:rsidRPr="00012305" w:rsidRDefault="00EA7658" w:rsidP="00EA7658">
      <w:pPr>
        <w:tabs>
          <w:tab w:val="left" w:pos="567"/>
        </w:tabs>
        <w:spacing w:after="0" w:line="240" w:lineRule="auto"/>
        <w:jc w:val="both"/>
        <w:rPr>
          <w:rFonts w:ascii="Verdana" w:hAnsi="Verdana" w:cs="Verdana"/>
          <w:sz w:val="20"/>
          <w:szCs w:val="20"/>
          <w:lang w:val="es-CR"/>
        </w:rPr>
      </w:pPr>
      <w:r w:rsidRPr="00012305">
        <w:rPr>
          <w:rFonts w:ascii="Verdana" w:hAnsi="Verdana" w:cs="Verdana"/>
          <w:sz w:val="20"/>
          <w:szCs w:val="20"/>
          <w:lang w:val="es-CR"/>
        </w:rPr>
        <w:t xml:space="preserve">de conformidad con los artículos 24.1 y 25.2 del Estatuto de la Corte y con los artículos 4, 15.1, 26.1, 31.2, 35.1, 40.2, 41.1, 45, 46, 50 a 56 y 60 del Reglamento, </w:t>
      </w:r>
    </w:p>
    <w:p w:rsidR="00EA7658" w:rsidRPr="00012305" w:rsidRDefault="00EA7658" w:rsidP="00EA7658">
      <w:pPr>
        <w:tabs>
          <w:tab w:val="left" w:pos="567"/>
        </w:tabs>
        <w:spacing w:after="0" w:line="240" w:lineRule="auto"/>
        <w:jc w:val="both"/>
        <w:rPr>
          <w:rFonts w:ascii="Verdana" w:hAnsi="Verdana" w:cs="Verdana"/>
          <w:sz w:val="20"/>
          <w:szCs w:val="20"/>
          <w:lang w:val="es-CR"/>
        </w:rPr>
      </w:pPr>
      <w:r w:rsidRPr="00012305">
        <w:rPr>
          <w:rFonts w:ascii="Verdana" w:hAnsi="Verdana" w:cs="Verdana"/>
          <w:sz w:val="20"/>
          <w:szCs w:val="20"/>
          <w:lang w:val="es-CR"/>
        </w:rPr>
        <w:t xml:space="preserve"> </w:t>
      </w:r>
    </w:p>
    <w:p w:rsidR="00EA7658" w:rsidRPr="00012305" w:rsidRDefault="00EA7658" w:rsidP="00EA7658">
      <w:pPr>
        <w:tabs>
          <w:tab w:val="left" w:pos="567"/>
        </w:tabs>
        <w:spacing w:after="0" w:line="240" w:lineRule="auto"/>
        <w:jc w:val="both"/>
        <w:rPr>
          <w:rFonts w:ascii="Verdana" w:hAnsi="Verdana" w:cs="Verdana"/>
          <w:b/>
          <w:bCs/>
          <w:sz w:val="20"/>
          <w:szCs w:val="20"/>
          <w:lang w:val="es-CR"/>
        </w:rPr>
      </w:pPr>
      <w:r w:rsidRPr="00012305">
        <w:rPr>
          <w:rFonts w:ascii="Verdana" w:hAnsi="Verdana" w:cs="Verdana"/>
          <w:b/>
          <w:bCs/>
          <w:sz w:val="20"/>
          <w:szCs w:val="20"/>
          <w:lang w:val="es-CR"/>
        </w:rPr>
        <w:t>RESUELVE:</w:t>
      </w:r>
    </w:p>
    <w:p w:rsidR="00EA7658" w:rsidRPr="009B0FE4" w:rsidRDefault="00EA7658" w:rsidP="00EA7658">
      <w:pPr>
        <w:tabs>
          <w:tab w:val="left" w:pos="567"/>
        </w:tabs>
        <w:spacing w:after="0" w:line="240" w:lineRule="auto"/>
        <w:jc w:val="both"/>
        <w:rPr>
          <w:rFonts w:ascii="Verdana" w:hAnsi="Verdana" w:cs="Verdana"/>
          <w:b/>
          <w:bCs/>
          <w:sz w:val="20"/>
          <w:szCs w:val="20"/>
          <w:highlight w:val="yellow"/>
          <w:lang w:val="es-CR"/>
        </w:rPr>
      </w:pPr>
    </w:p>
    <w:p w:rsidR="00EA7658" w:rsidRPr="00012305" w:rsidRDefault="00EA7658" w:rsidP="00EA7658">
      <w:pPr>
        <w:pStyle w:val="ListParagraph"/>
        <w:numPr>
          <w:ilvl w:val="0"/>
          <w:numId w:val="6"/>
        </w:numPr>
        <w:tabs>
          <w:tab w:val="left" w:pos="567"/>
        </w:tabs>
        <w:ind w:left="0" w:firstLine="0"/>
        <w:rPr>
          <w:lang w:val="es-CR"/>
        </w:rPr>
      </w:pPr>
      <w:r w:rsidRPr="00012305">
        <w:rPr>
          <w:lang w:val="es-CR"/>
        </w:rPr>
        <w:t>Requerir, por las razones expuestas en la presente Resolución (</w:t>
      </w:r>
      <w:r w:rsidRPr="00012305">
        <w:rPr>
          <w:i/>
          <w:lang w:val="es-CR"/>
        </w:rPr>
        <w:t>supra</w:t>
      </w:r>
      <w:r w:rsidRPr="00012305">
        <w:rPr>
          <w:lang w:val="es-CR"/>
        </w:rPr>
        <w:t xml:space="preserve"> </w:t>
      </w:r>
      <w:r w:rsidR="006A0848">
        <w:rPr>
          <w:lang w:val="es-CR"/>
        </w:rPr>
        <w:t>párr. considerativo</w:t>
      </w:r>
      <w:r w:rsidR="006A0848" w:rsidRPr="00A14264">
        <w:rPr>
          <w:lang w:val="es-CR"/>
        </w:rPr>
        <w:t xml:space="preserve"> </w:t>
      </w:r>
      <w:r w:rsidR="006A0848">
        <w:rPr>
          <w:lang w:val="es-CR"/>
        </w:rPr>
        <w:t>10</w:t>
      </w:r>
      <w:r w:rsidRPr="00012305">
        <w:rPr>
          <w:lang w:val="es-CR"/>
        </w:rPr>
        <w:t>), de conformidad con el principio de economía procesal y de la facultad que le otorga el artículo 50.1 del Reglamento de la Corte, que las siguientes personas presten sus declaraciones ante fedatario público:</w:t>
      </w:r>
    </w:p>
    <w:p w:rsidR="00EA7658" w:rsidRPr="009B0FE4" w:rsidRDefault="00EA7658" w:rsidP="00EA7658">
      <w:pPr>
        <w:pStyle w:val="ListParagraph"/>
        <w:numPr>
          <w:ilvl w:val="0"/>
          <w:numId w:val="0"/>
        </w:numPr>
        <w:tabs>
          <w:tab w:val="left" w:pos="567"/>
        </w:tabs>
        <w:rPr>
          <w:highlight w:val="yellow"/>
          <w:lang w:val="es-CR"/>
        </w:rPr>
      </w:pPr>
    </w:p>
    <w:p w:rsidR="00EA7658" w:rsidRPr="00012305" w:rsidRDefault="00012305" w:rsidP="00EA7658">
      <w:pPr>
        <w:pStyle w:val="ListParagraph"/>
        <w:widowControl/>
        <w:numPr>
          <w:ilvl w:val="0"/>
          <w:numId w:val="8"/>
        </w:numPr>
        <w:tabs>
          <w:tab w:val="left" w:pos="567"/>
        </w:tabs>
        <w:autoSpaceDE/>
        <w:autoSpaceDN/>
        <w:adjustRightInd/>
        <w:ind w:right="0"/>
        <w:rPr>
          <w:b/>
          <w:bCs/>
          <w:i/>
          <w:iCs/>
          <w:lang w:val="es-CR"/>
        </w:rPr>
      </w:pPr>
      <w:r w:rsidRPr="00012305">
        <w:rPr>
          <w:b/>
          <w:bCs/>
          <w:i/>
          <w:iCs/>
          <w:lang w:val="es-CR"/>
        </w:rPr>
        <w:t>Presunta víctima</w:t>
      </w:r>
    </w:p>
    <w:p w:rsidR="00EA7658" w:rsidRPr="00012305" w:rsidRDefault="00EA7658" w:rsidP="00EA7658">
      <w:pPr>
        <w:pStyle w:val="ListParagraph"/>
        <w:widowControl/>
        <w:numPr>
          <w:ilvl w:val="0"/>
          <w:numId w:val="0"/>
        </w:numPr>
        <w:tabs>
          <w:tab w:val="left" w:pos="567"/>
        </w:tabs>
        <w:autoSpaceDE/>
        <w:autoSpaceDN/>
        <w:adjustRightInd/>
        <w:ind w:left="720" w:right="0"/>
        <w:rPr>
          <w:b/>
          <w:bCs/>
          <w:i/>
          <w:iCs/>
          <w:lang w:val="es-CR"/>
        </w:rPr>
      </w:pPr>
    </w:p>
    <w:p w:rsidR="00EA7658" w:rsidRPr="00012305" w:rsidRDefault="00012305" w:rsidP="00EA7658">
      <w:pPr>
        <w:pStyle w:val="ListParagraph"/>
        <w:widowControl/>
        <w:numPr>
          <w:ilvl w:val="0"/>
          <w:numId w:val="0"/>
        </w:numPr>
        <w:tabs>
          <w:tab w:val="left" w:pos="567"/>
        </w:tabs>
        <w:autoSpaceDE/>
        <w:autoSpaceDN/>
        <w:adjustRightInd/>
        <w:ind w:left="720" w:right="0"/>
        <w:rPr>
          <w:i/>
          <w:iCs/>
          <w:lang w:val="es-CR"/>
        </w:rPr>
      </w:pPr>
      <w:r w:rsidRPr="00012305">
        <w:rPr>
          <w:i/>
          <w:iCs/>
          <w:lang w:val="es-CR"/>
        </w:rPr>
        <w:t>Propuesta</w:t>
      </w:r>
      <w:r w:rsidR="00EA7658" w:rsidRPr="00012305">
        <w:rPr>
          <w:i/>
          <w:iCs/>
          <w:lang w:val="es-CR"/>
        </w:rPr>
        <w:t xml:space="preserve"> por los representantes</w:t>
      </w:r>
    </w:p>
    <w:p w:rsidR="00EA7658" w:rsidRPr="00012305" w:rsidRDefault="00EA7658" w:rsidP="00EA7658">
      <w:pPr>
        <w:pStyle w:val="ListParagraph"/>
        <w:widowControl/>
        <w:numPr>
          <w:ilvl w:val="0"/>
          <w:numId w:val="0"/>
        </w:numPr>
        <w:tabs>
          <w:tab w:val="left" w:pos="567"/>
        </w:tabs>
        <w:autoSpaceDE/>
        <w:autoSpaceDN/>
        <w:adjustRightInd/>
        <w:ind w:left="720" w:right="0"/>
        <w:rPr>
          <w:i/>
          <w:iCs/>
          <w:lang w:val="es-CR"/>
        </w:rPr>
      </w:pPr>
    </w:p>
    <w:p w:rsidR="00A3314F" w:rsidRPr="00B36444" w:rsidRDefault="00B36444" w:rsidP="00B36444">
      <w:pPr>
        <w:pStyle w:val="ListParagraph"/>
        <w:widowControl/>
        <w:numPr>
          <w:ilvl w:val="0"/>
          <w:numId w:val="0"/>
        </w:numPr>
        <w:tabs>
          <w:tab w:val="left" w:pos="567"/>
        </w:tabs>
        <w:ind w:left="851" w:right="0"/>
        <w:rPr>
          <w:lang w:val="es-ES"/>
        </w:rPr>
      </w:pPr>
      <w:r w:rsidRPr="006A0848">
        <w:rPr>
          <w:lang w:val="es-ES"/>
        </w:rPr>
        <w:t xml:space="preserve">1. </w:t>
      </w:r>
      <w:r w:rsidR="00B843CD" w:rsidRPr="006A0848">
        <w:rPr>
          <w:lang w:val="es-ES"/>
        </w:rPr>
        <w:tab/>
      </w:r>
      <w:r w:rsidR="00012305" w:rsidRPr="00B36444">
        <w:rPr>
          <w:lang w:val="es-ES"/>
        </w:rPr>
        <w:t xml:space="preserve">María Maribel Guevara de Ruano, esposa de José Agapito Ruano Torres, quien declarará </w:t>
      </w:r>
      <w:r w:rsidR="00DC217E">
        <w:rPr>
          <w:lang w:val="es-ES"/>
        </w:rPr>
        <w:t>acerca de</w:t>
      </w:r>
      <w:r w:rsidR="00012305" w:rsidRPr="00B36444">
        <w:rPr>
          <w:lang w:val="es-ES"/>
        </w:rPr>
        <w:t xml:space="preserve"> </w:t>
      </w:r>
      <w:r w:rsidR="00B06B10" w:rsidRPr="00B36444">
        <w:rPr>
          <w:lang w:val="es-ES"/>
        </w:rPr>
        <w:t xml:space="preserve">los </w:t>
      </w:r>
      <w:r w:rsidR="00DC217E">
        <w:rPr>
          <w:lang w:val="es-ES"/>
        </w:rPr>
        <w:t xml:space="preserve">supuestos </w:t>
      </w:r>
      <w:r w:rsidR="00B06B10" w:rsidRPr="00B36444">
        <w:rPr>
          <w:lang w:val="es-ES"/>
        </w:rPr>
        <w:t xml:space="preserve">maltratos físicos </w:t>
      </w:r>
      <w:r w:rsidR="00A3314F" w:rsidRPr="00B36444">
        <w:rPr>
          <w:lang w:val="es-ES"/>
        </w:rPr>
        <w:t xml:space="preserve">e irregularidades que se </w:t>
      </w:r>
      <w:r w:rsidR="00DC217E">
        <w:rPr>
          <w:lang w:val="es-ES"/>
        </w:rPr>
        <w:t>habrían dado</w:t>
      </w:r>
      <w:r w:rsidR="00DC217E" w:rsidRPr="00B36444">
        <w:rPr>
          <w:lang w:val="es-ES"/>
        </w:rPr>
        <w:t xml:space="preserve"> </w:t>
      </w:r>
      <w:r w:rsidR="00DC217E">
        <w:rPr>
          <w:lang w:val="es-ES"/>
        </w:rPr>
        <w:t xml:space="preserve">en </w:t>
      </w:r>
      <w:r w:rsidR="00A3314F" w:rsidRPr="00B36444">
        <w:rPr>
          <w:lang w:val="es-ES"/>
        </w:rPr>
        <w:t xml:space="preserve">el proceso penal seguido en contra de su esposo en los órganos </w:t>
      </w:r>
      <w:r w:rsidR="00DC217E">
        <w:rPr>
          <w:lang w:val="es-ES"/>
        </w:rPr>
        <w:t>j</w:t>
      </w:r>
      <w:r w:rsidR="00A3314F" w:rsidRPr="00B36444">
        <w:rPr>
          <w:lang w:val="es-ES"/>
        </w:rPr>
        <w:t xml:space="preserve">urisdiccionales  y </w:t>
      </w:r>
      <w:r w:rsidR="00DC217E">
        <w:rPr>
          <w:lang w:val="es-ES"/>
        </w:rPr>
        <w:t>c</w:t>
      </w:r>
      <w:r w:rsidR="00A3314F" w:rsidRPr="00B36444">
        <w:rPr>
          <w:lang w:val="es-ES"/>
        </w:rPr>
        <w:t xml:space="preserve">entros </w:t>
      </w:r>
      <w:r w:rsidR="00DC217E">
        <w:rPr>
          <w:lang w:val="es-ES"/>
        </w:rPr>
        <w:t>p</w:t>
      </w:r>
      <w:r w:rsidR="00A3314F" w:rsidRPr="00B36444">
        <w:rPr>
          <w:lang w:val="es-ES"/>
        </w:rPr>
        <w:t xml:space="preserve">enales de San Salvador y, </w:t>
      </w:r>
      <w:r w:rsidR="00DC217E">
        <w:rPr>
          <w:lang w:val="es-ES"/>
        </w:rPr>
        <w:t>en particular</w:t>
      </w:r>
      <w:r w:rsidR="00A3314F" w:rsidRPr="00B36444">
        <w:rPr>
          <w:lang w:val="es-ES"/>
        </w:rPr>
        <w:t>, acerca de las consecuencias personales, familiares, sociales</w:t>
      </w:r>
      <w:r w:rsidR="00DC217E">
        <w:rPr>
          <w:lang w:val="es-ES"/>
        </w:rPr>
        <w:t xml:space="preserve"> y</w:t>
      </w:r>
      <w:r w:rsidR="00A3314F" w:rsidRPr="00B36444">
        <w:rPr>
          <w:lang w:val="es-ES"/>
        </w:rPr>
        <w:t xml:space="preserve"> económicas </w:t>
      </w:r>
      <w:r w:rsidR="00DC217E">
        <w:rPr>
          <w:lang w:val="es-ES"/>
        </w:rPr>
        <w:t xml:space="preserve">que </w:t>
      </w:r>
      <w:r w:rsidR="00A3314F" w:rsidRPr="00B36444">
        <w:rPr>
          <w:lang w:val="es-ES"/>
        </w:rPr>
        <w:t xml:space="preserve">el desarrollo del proceso penal </w:t>
      </w:r>
      <w:r w:rsidR="00DC217E">
        <w:rPr>
          <w:lang w:val="es-ES"/>
        </w:rPr>
        <w:t>y</w:t>
      </w:r>
      <w:r w:rsidR="00DC217E" w:rsidRPr="00B36444">
        <w:rPr>
          <w:lang w:val="es-ES"/>
        </w:rPr>
        <w:t xml:space="preserve"> </w:t>
      </w:r>
      <w:r w:rsidR="00A3314F" w:rsidRPr="00B36444">
        <w:rPr>
          <w:lang w:val="es-ES"/>
        </w:rPr>
        <w:t>la pr</w:t>
      </w:r>
      <w:r w:rsidR="00416110" w:rsidRPr="00B36444">
        <w:rPr>
          <w:lang w:val="es-ES"/>
        </w:rPr>
        <w:t xml:space="preserve">ivación de libertad </w:t>
      </w:r>
      <w:r w:rsidR="00DC217E">
        <w:rPr>
          <w:lang w:val="es-ES"/>
        </w:rPr>
        <w:t xml:space="preserve">de </w:t>
      </w:r>
      <w:r w:rsidR="00A3314F" w:rsidRPr="00B36444">
        <w:rPr>
          <w:lang w:val="es-ES"/>
        </w:rPr>
        <w:t>la presunta víctima</w:t>
      </w:r>
      <w:r w:rsidR="00DC217E">
        <w:rPr>
          <w:lang w:val="es-ES"/>
        </w:rPr>
        <w:t xml:space="preserve"> le produjeron a ella y a su familia</w:t>
      </w:r>
      <w:r w:rsidR="00A3314F" w:rsidRPr="00B36444">
        <w:rPr>
          <w:lang w:val="es-ES"/>
        </w:rPr>
        <w:t>.</w:t>
      </w:r>
    </w:p>
    <w:p w:rsidR="00012305" w:rsidRDefault="00A3314F" w:rsidP="00B843CD">
      <w:pPr>
        <w:tabs>
          <w:tab w:val="left" w:pos="567"/>
          <w:tab w:val="left" w:pos="851"/>
        </w:tabs>
        <w:autoSpaceDE w:val="0"/>
        <w:autoSpaceDN w:val="0"/>
        <w:adjustRightInd w:val="0"/>
        <w:spacing w:after="0" w:line="240" w:lineRule="auto"/>
        <w:ind w:left="925"/>
        <w:jc w:val="both"/>
        <w:rPr>
          <w:rFonts w:ascii="Verdana" w:hAnsi="Verdana" w:cs="Verdana"/>
          <w:b/>
          <w:sz w:val="20"/>
          <w:szCs w:val="20"/>
          <w:lang w:val="es-ES"/>
        </w:rPr>
      </w:pPr>
      <w:r>
        <w:rPr>
          <w:rFonts w:ascii="Verdana" w:hAnsi="Verdana" w:cs="Verdana"/>
          <w:sz w:val="20"/>
          <w:szCs w:val="20"/>
          <w:lang w:val="es-CR"/>
        </w:rPr>
        <w:t xml:space="preserve"> </w:t>
      </w:r>
    </w:p>
    <w:p w:rsidR="00EA7658" w:rsidRDefault="00012305" w:rsidP="00012305">
      <w:pPr>
        <w:pStyle w:val="ListParagraph"/>
        <w:widowControl/>
        <w:numPr>
          <w:ilvl w:val="0"/>
          <w:numId w:val="8"/>
        </w:numPr>
        <w:tabs>
          <w:tab w:val="left" w:pos="567"/>
        </w:tabs>
        <w:autoSpaceDE/>
        <w:autoSpaceDN/>
        <w:adjustRightInd/>
        <w:ind w:right="0"/>
        <w:rPr>
          <w:b/>
          <w:lang w:val="es-ES"/>
        </w:rPr>
      </w:pPr>
      <w:r w:rsidRPr="00012305">
        <w:rPr>
          <w:b/>
          <w:lang w:val="es-ES"/>
        </w:rPr>
        <w:t xml:space="preserve">Testigo </w:t>
      </w:r>
      <w:r w:rsidR="00EA7658" w:rsidRPr="00012305">
        <w:rPr>
          <w:b/>
          <w:lang w:val="es-ES"/>
        </w:rPr>
        <w:t xml:space="preserve"> </w:t>
      </w:r>
    </w:p>
    <w:p w:rsidR="00B06B10" w:rsidRDefault="00B06B10" w:rsidP="00B06B10">
      <w:pPr>
        <w:pStyle w:val="ListParagraph"/>
        <w:widowControl/>
        <w:numPr>
          <w:ilvl w:val="0"/>
          <w:numId w:val="0"/>
        </w:numPr>
        <w:tabs>
          <w:tab w:val="left" w:pos="567"/>
        </w:tabs>
        <w:autoSpaceDE/>
        <w:autoSpaceDN/>
        <w:adjustRightInd/>
        <w:ind w:left="720" w:right="0"/>
        <w:rPr>
          <w:i/>
          <w:iCs/>
          <w:lang w:val="es-CR"/>
        </w:rPr>
      </w:pPr>
    </w:p>
    <w:p w:rsidR="00B06B10" w:rsidRDefault="00B06B10" w:rsidP="00B06B10">
      <w:pPr>
        <w:pStyle w:val="ListParagraph"/>
        <w:widowControl/>
        <w:numPr>
          <w:ilvl w:val="0"/>
          <w:numId w:val="0"/>
        </w:numPr>
        <w:tabs>
          <w:tab w:val="left" w:pos="567"/>
        </w:tabs>
        <w:autoSpaceDE/>
        <w:autoSpaceDN/>
        <w:adjustRightInd/>
        <w:ind w:left="720" w:right="0"/>
        <w:rPr>
          <w:i/>
          <w:iCs/>
          <w:lang w:val="es-CR"/>
        </w:rPr>
      </w:pPr>
      <w:r>
        <w:rPr>
          <w:i/>
          <w:iCs/>
          <w:lang w:val="es-CR"/>
        </w:rPr>
        <w:t>Propuesto</w:t>
      </w:r>
      <w:r w:rsidRPr="00012305">
        <w:rPr>
          <w:i/>
          <w:iCs/>
          <w:lang w:val="es-CR"/>
        </w:rPr>
        <w:t xml:space="preserve"> por los representantes</w:t>
      </w:r>
    </w:p>
    <w:p w:rsidR="00B06B10" w:rsidRDefault="00B06B10" w:rsidP="00B06B10">
      <w:pPr>
        <w:pStyle w:val="ListParagraph"/>
        <w:widowControl/>
        <w:numPr>
          <w:ilvl w:val="0"/>
          <w:numId w:val="0"/>
        </w:numPr>
        <w:tabs>
          <w:tab w:val="left" w:pos="567"/>
        </w:tabs>
        <w:autoSpaceDE/>
        <w:autoSpaceDN/>
        <w:adjustRightInd/>
        <w:ind w:left="720" w:right="0"/>
        <w:rPr>
          <w:i/>
          <w:iCs/>
          <w:lang w:val="es-CR"/>
        </w:rPr>
      </w:pPr>
    </w:p>
    <w:p w:rsidR="00EA7658" w:rsidRDefault="00416110" w:rsidP="00DC217E">
      <w:pPr>
        <w:tabs>
          <w:tab w:val="left" w:pos="567"/>
        </w:tabs>
        <w:spacing w:after="0" w:line="240" w:lineRule="auto"/>
        <w:ind w:left="851"/>
        <w:jc w:val="both"/>
        <w:rPr>
          <w:rFonts w:ascii="Verdana" w:hAnsi="Verdana" w:cs="Verdana"/>
          <w:sz w:val="20"/>
          <w:szCs w:val="20"/>
          <w:lang w:val="es-ES"/>
        </w:rPr>
      </w:pPr>
      <w:r w:rsidRPr="006A0848">
        <w:rPr>
          <w:lang w:val="es-ES"/>
        </w:rPr>
        <w:t>1.</w:t>
      </w:r>
      <w:r w:rsidRPr="00B36444">
        <w:rPr>
          <w:lang w:val="es-ES"/>
        </w:rPr>
        <w:t xml:space="preserve"> </w:t>
      </w:r>
      <w:r w:rsidR="00B843CD">
        <w:rPr>
          <w:lang w:val="es-ES"/>
        </w:rPr>
        <w:tab/>
      </w:r>
      <w:r w:rsidR="00B06B10" w:rsidRPr="00B65BC7">
        <w:rPr>
          <w:rFonts w:ascii="Verdana" w:hAnsi="Verdana" w:cs="Verdana"/>
          <w:sz w:val="20"/>
          <w:szCs w:val="20"/>
          <w:lang w:val="es-ES"/>
        </w:rPr>
        <w:t>Pedro Torres Hércules</w:t>
      </w:r>
      <w:r w:rsidR="00A3314F" w:rsidRPr="00B65BC7">
        <w:rPr>
          <w:rFonts w:ascii="Verdana" w:hAnsi="Verdana" w:cs="Verdana"/>
          <w:sz w:val="20"/>
          <w:szCs w:val="20"/>
          <w:lang w:val="es-ES"/>
        </w:rPr>
        <w:t>, familiar de José Agapito Ruano Torres</w:t>
      </w:r>
      <w:r w:rsidR="00DC217E">
        <w:rPr>
          <w:rFonts w:ascii="Verdana" w:hAnsi="Verdana" w:cs="Verdana"/>
          <w:sz w:val="20"/>
          <w:szCs w:val="20"/>
          <w:lang w:val="es-ES"/>
        </w:rPr>
        <w:t xml:space="preserve"> y peticionario ante la Comisión</w:t>
      </w:r>
      <w:r w:rsidR="00A3314F" w:rsidRPr="00B65BC7">
        <w:rPr>
          <w:rFonts w:ascii="Verdana" w:hAnsi="Verdana" w:cs="Verdana"/>
          <w:sz w:val="20"/>
          <w:szCs w:val="20"/>
          <w:lang w:val="es-ES"/>
        </w:rPr>
        <w:t xml:space="preserve">, </w:t>
      </w:r>
      <w:r w:rsidRPr="00B65BC7">
        <w:rPr>
          <w:rFonts w:ascii="Verdana" w:hAnsi="Verdana" w:cs="Verdana"/>
          <w:sz w:val="20"/>
          <w:szCs w:val="20"/>
          <w:lang w:val="es-ES"/>
        </w:rPr>
        <w:t>quien declarará sobre</w:t>
      </w:r>
      <w:r w:rsidR="00DC217E">
        <w:rPr>
          <w:rFonts w:ascii="Verdana" w:hAnsi="Verdana" w:cs="Verdana"/>
          <w:sz w:val="20"/>
          <w:szCs w:val="20"/>
          <w:lang w:val="es-ES"/>
        </w:rPr>
        <w:t xml:space="preserve"> las circunstancias de hecho que le consten respecto de las supuestas </w:t>
      </w:r>
      <w:r w:rsidR="003C3256" w:rsidRPr="00B843CD">
        <w:rPr>
          <w:rFonts w:ascii="Verdana" w:hAnsi="Verdana" w:cs="Verdana"/>
          <w:sz w:val="20"/>
          <w:szCs w:val="20"/>
          <w:lang w:val="es-ES"/>
        </w:rPr>
        <w:t xml:space="preserve">irregularidades que se habrían dado en el proceso penal seguido contra </w:t>
      </w:r>
      <w:r w:rsidR="00DC217E">
        <w:rPr>
          <w:rFonts w:ascii="Verdana" w:hAnsi="Verdana" w:cs="Verdana"/>
          <w:sz w:val="20"/>
          <w:szCs w:val="20"/>
          <w:lang w:val="es-ES"/>
        </w:rPr>
        <w:t xml:space="preserve">la presunta víctima ante </w:t>
      </w:r>
      <w:r w:rsidR="003C3256" w:rsidRPr="00B843CD">
        <w:rPr>
          <w:rFonts w:ascii="Verdana" w:hAnsi="Verdana" w:cs="Verdana"/>
          <w:sz w:val="20"/>
          <w:szCs w:val="20"/>
          <w:lang w:val="es-ES"/>
        </w:rPr>
        <w:t xml:space="preserve">los órganos jurisdiccionales </w:t>
      </w:r>
      <w:r w:rsidR="00DC217E">
        <w:rPr>
          <w:rFonts w:ascii="Verdana" w:hAnsi="Verdana" w:cs="Verdana"/>
          <w:sz w:val="20"/>
          <w:szCs w:val="20"/>
          <w:lang w:val="es-ES"/>
        </w:rPr>
        <w:t xml:space="preserve">de persecución </w:t>
      </w:r>
      <w:r w:rsidR="003C3256" w:rsidRPr="00B843CD">
        <w:rPr>
          <w:rFonts w:ascii="Verdana" w:hAnsi="Verdana" w:cs="Verdana"/>
          <w:sz w:val="20"/>
          <w:szCs w:val="20"/>
          <w:lang w:val="es-ES"/>
        </w:rPr>
        <w:t>p</w:t>
      </w:r>
      <w:r w:rsidR="00DC217E" w:rsidRPr="00DC217E">
        <w:rPr>
          <w:rFonts w:ascii="Verdana" w:hAnsi="Verdana" w:cs="Verdana"/>
          <w:sz w:val="20"/>
          <w:szCs w:val="20"/>
          <w:lang w:val="es-ES"/>
        </w:rPr>
        <w:t>enal</w:t>
      </w:r>
      <w:r w:rsidR="003C3256" w:rsidRPr="00B843CD">
        <w:rPr>
          <w:rFonts w:ascii="Verdana" w:hAnsi="Verdana" w:cs="Verdana"/>
          <w:sz w:val="20"/>
          <w:szCs w:val="20"/>
          <w:lang w:val="es-ES"/>
        </w:rPr>
        <w:t xml:space="preserve"> de San Salvador</w:t>
      </w:r>
      <w:r w:rsidRPr="00B65BC7">
        <w:rPr>
          <w:rFonts w:ascii="Verdana" w:hAnsi="Verdana" w:cs="Verdana"/>
          <w:sz w:val="20"/>
          <w:szCs w:val="20"/>
          <w:lang w:val="es-ES"/>
        </w:rPr>
        <w:t xml:space="preserve"> y</w:t>
      </w:r>
      <w:r w:rsidR="003C3256" w:rsidRPr="00B843CD">
        <w:rPr>
          <w:rFonts w:ascii="Verdana" w:hAnsi="Verdana" w:cs="Verdana"/>
          <w:sz w:val="20"/>
          <w:szCs w:val="20"/>
          <w:lang w:val="es-ES"/>
        </w:rPr>
        <w:t>, en particular, acerca de las consecuencias personales, familiares, sociales y económicas que el desarrollo del proceso penal y la privación de libertad de la presunta víctima</w:t>
      </w:r>
      <w:r w:rsidR="00DC217E">
        <w:rPr>
          <w:rFonts w:ascii="Verdana" w:hAnsi="Verdana" w:cs="Verdana"/>
          <w:sz w:val="20"/>
          <w:szCs w:val="20"/>
          <w:lang w:val="es-ES"/>
        </w:rPr>
        <w:t xml:space="preserve"> produjeron en </w:t>
      </w:r>
      <w:r w:rsidR="00DC217E" w:rsidRPr="00C20E85">
        <w:rPr>
          <w:rFonts w:ascii="Verdana" w:hAnsi="Verdana" w:cs="Verdana"/>
          <w:sz w:val="20"/>
          <w:szCs w:val="20"/>
          <w:lang w:val="es-ES"/>
        </w:rPr>
        <w:t xml:space="preserve">a su familia </w:t>
      </w:r>
    </w:p>
    <w:p w:rsidR="00DC217E" w:rsidRPr="00B65BC7" w:rsidRDefault="00DC217E" w:rsidP="00DC217E">
      <w:pPr>
        <w:tabs>
          <w:tab w:val="left" w:pos="567"/>
        </w:tabs>
        <w:spacing w:after="0" w:line="240" w:lineRule="auto"/>
        <w:ind w:left="851"/>
        <w:jc w:val="both"/>
        <w:rPr>
          <w:rFonts w:ascii="Verdana" w:hAnsi="Verdana" w:cs="Verdana"/>
          <w:sz w:val="20"/>
          <w:szCs w:val="20"/>
          <w:lang w:val="es-ES"/>
        </w:rPr>
      </w:pPr>
    </w:p>
    <w:p w:rsidR="00EA7658" w:rsidRPr="00B06B10" w:rsidRDefault="00B06B10" w:rsidP="00EA7658">
      <w:pPr>
        <w:pStyle w:val="ListParagraph"/>
        <w:widowControl/>
        <w:numPr>
          <w:ilvl w:val="0"/>
          <w:numId w:val="8"/>
        </w:numPr>
        <w:tabs>
          <w:tab w:val="left" w:pos="567"/>
        </w:tabs>
        <w:autoSpaceDE/>
        <w:autoSpaceDN/>
        <w:adjustRightInd/>
        <w:ind w:right="0"/>
        <w:rPr>
          <w:b/>
          <w:bCs/>
          <w:i/>
          <w:iCs/>
          <w:lang w:val="es-CR"/>
        </w:rPr>
      </w:pPr>
      <w:r w:rsidRPr="00B06B10">
        <w:rPr>
          <w:b/>
          <w:bCs/>
          <w:i/>
          <w:iCs/>
          <w:lang w:val="es-CR"/>
        </w:rPr>
        <w:t>Perito</w:t>
      </w:r>
      <w:r w:rsidR="00DC217E">
        <w:rPr>
          <w:b/>
          <w:bCs/>
          <w:i/>
          <w:iCs/>
          <w:lang w:val="es-CR"/>
        </w:rPr>
        <w:t>s</w:t>
      </w:r>
      <w:r w:rsidR="00EA7658" w:rsidRPr="00B06B10">
        <w:rPr>
          <w:b/>
          <w:bCs/>
          <w:i/>
          <w:iCs/>
          <w:lang w:val="es-CR"/>
        </w:rPr>
        <w:t xml:space="preserve"> </w:t>
      </w:r>
    </w:p>
    <w:p w:rsidR="00EA7658" w:rsidRPr="00B06B10" w:rsidRDefault="00EA7658" w:rsidP="00EA7658">
      <w:pPr>
        <w:tabs>
          <w:tab w:val="left" w:pos="567"/>
        </w:tabs>
        <w:spacing w:after="0" w:line="240" w:lineRule="auto"/>
        <w:ind w:left="851"/>
        <w:rPr>
          <w:rFonts w:ascii="Verdana" w:hAnsi="Verdana" w:cs="Verdana"/>
          <w:b/>
          <w:bCs/>
          <w:i/>
          <w:iCs/>
          <w:sz w:val="20"/>
          <w:szCs w:val="20"/>
          <w:lang w:val="es-CR"/>
        </w:rPr>
      </w:pPr>
    </w:p>
    <w:p w:rsidR="00EA7658" w:rsidRPr="00B06B10" w:rsidRDefault="00B06B10" w:rsidP="00EA7658">
      <w:pPr>
        <w:pStyle w:val="ListParagraph"/>
        <w:widowControl/>
        <w:numPr>
          <w:ilvl w:val="0"/>
          <w:numId w:val="0"/>
        </w:numPr>
        <w:tabs>
          <w:tab w:val="left" w:pos="567"/>
        </w:tabs>
        <w:autoSpaceDE/>
        <w:autoSpaceDN/>
        <w:adjustRightInd/>
        <w:ind w:left="720" w:right="0"/>
        <w:rPr>
          <w:i/>
          <w:iCs/>
          <w:lang w:val="es-CR"/>
        </w:rPr>
      </w:pPr>
      <w:r>
        <w:rPr>
          <w:i/>
          <w:iCs/>
          <w:lang w:val="es-CR"/>
        </w:rPr>
        <w:t>Propuesto por los representantes</w:t>
      </w:r>
    </w:p>
    <w:p w:rsidR="00EA7658" w:rsidRPr="00B06B10" w:rsidRDefault="00EA7658" w:rsidP="00EA7658">
      <w:pPr>
        <w:tabs>
          <w:tab w:val="left" w:pos="567"/>
        </w:tabs>
        <w:spacing w:after="0" w:line="240" w:lineRule="auto"/>
        <w:ind w:left="720"/>
        <w:rPr>
          <w:rFonts w:ascii="Verdana" w:hAnsi="Verdana" w:cs="Verdana"/>
          <w:i/>
          <w:iCs/>
          <w:sz w:val="20"/>
          <w:szCs w:val="20"/>
          <w:lang w:val="es-CR"/>
        </w:rPr>
      </w:pPr>
    </w:p>
    <w:p w:rsidR="00EA7658" w:rsidRPr="00B65BC7" w:rsidRDefault="00B36444" w:rsidP="00B94642">
      <w:pPr>
        <w:pStyle w:val="ListParagraph"/>
        <w:widowControl/>
        <w:numPr>
          <w:ilvl w:val="0"/>
          <w:numId w:val="0"/>
        </w:numPr>
        <w:tabs>
          <w:tab w:val="left" w:pos="567"/>
        </w:tabs>
        <w:ind w:left="851" w:right="0"/>
        <w:rPr>
          <w:lang w:val="es-ES"/>
        </w:rPr>
      </w:pPr>
      <w:r w:rsidRPr="00B94642">
        <w:rPr>
          <w:lang w:val="es-ES"/>
        </w:rPr>
        <w:t xml:space="preserve">1. </w:t>
      </w:r>
      <w:r w:rsidR="00B94642" w:rsidRPr="00B94642">
        <w:rPr>
          <w:lang w:val="es-ES"/>
        </w:rPr>
        <w:tab/>
      </w:r>
      <w:r w:rsidR="00B06B10" w:rsidRPr="00B65BC7">
        <w:rPr>
          <w:lang w:val="es-ES"/>
        </w:rPr>
        <w:t>Diana Lourdes Miranda Guerrero</w:t>
      </w:r>
      <w:r w:rsidR="00416110" w:rsidRPr="00B65BC7">
        <w:rPr>
          <w:lang w:val="es-ES"/>
        </w:rPr>
        <w:t xml:space="preserve">, </w:t>
      </w:r>
      <w:r w:rsidR="00B94642">
        <w:rPr>
          <w:lang w:val="es-ES"/>
        </w:rPr>
        <w:t>psicóloga</w:t>
      </w:r>
      <w:r w:rsidR="00416110" w:rsidRPr="00B65BC7">
        <w:rPr>
          <w:lang w:val="es-ES"/>
        </w:rPr>
        <w:t xml:space="preserve">, quien declarará sobre los </w:t>
      </w:r>
      <w:r w:rsidR="00B94642">
        <w:rPr>
          <w:lang w:val="es-ES"/>
        </w:rPr>
        <w:t xml:space="preserve">supuestos </w:t>
      </w:r>
      <w:r w:rsidR="00416110" w:rsidRPr="00B65BC7">
        <w:rPr>
          <w:lang w:val="es-ES"/>
        </w:rPr>
        <w:t xml:space="preserve">daños clínicos que padeció </w:t>
      </w:r>
      <w:r w:rsidRPr="00B65BC7">
        <w:rPr>
          <w:lang w:val="es-ES"/>
        </w:rPr>
        <w:t>José Agapito Ruano Torres producto de su encarcelamiento desde el punto de vista emocional, psíquico</w:t>
      </w:r>
      <w:r w:rsidR="00B94642">
        <w:rPr>
          <w:lang w:val="es-ES"/>
        </w:rPr>
        <w:t xml:space="preserve"> y</w:t>
      </w:r>
      <w:r w:rsidRPr="00B65BC7">
        <w:rPr>
          <w:lang w:val="es-ES"/>
        </w:rPr>
        <w:t xml:space="preserve"> social.</w:t>
      </w:r>
    </w:p>
    <w:p w:rsidR="00B94642" w:rsidRDefault="00B94642" w:rsidP="00B94642">
      <w:pPr>
        <w:pStyle w:val="ColorfulList-Accent11"/>
        <w:tabs>
          <w:tab w:val="left" w:pos="567"/>
          <w:tab w:val="left" w:pos="1800"/>
        </w:tabs>
        <w:autoSpaceDE w:val="0"/>
        <w:autoSpaceDN w:val="0"/>
        <w:adjustRightInd w:val="0"/>
        <w:ind w:left="0"/>
        <w:contextualSpacing/>
        <w:jc w:val="both"/>
        <w:rPr>
          <w:rFonts w:ascii="Verdana" w:hAnsi="Verdana"/>
          <w:sz w:val="20"/>
          <w:szCs w:val="20"/>
          <w:lang w:val="es-CR"/>
        </w:rPr>
      </w:pPr>
      <w:bookmarkStart w:id="19" w:name="_Ref393464381"/>
    </w:p>
    <w:p w:rsidR="00B94642" w:rsidRPr="00A14264" w:rsidRDefault="00B94642" w:rsidP="00B94642">
      <w:pPr>
        <w:pStyle w:val="ListParagraph"/>
        <w:widowControl/>
        <w:numPr>
          <w:ilvl w:val="0"/>
          <w:numId w:val="0"/>
        </w:numPr>
        <w:tabs>
          <w:tab w:val="left" w:pos="567"/>
        </w:tabs>
        <w:autoSpaceDE/>
        <w:autoSpaceDN/>
        <w:adjustRightInd/>
        <w:ind w:left="720" w:right="0"/>
        <w:rPr>
          <w:b/>
          <w:bCs/>
          <w:i/>
          <w:iCs/>
          <w:lang w:val="es-CR"/>
        </w:rPr>
      </w:pPr>
      <w:r w:rsidRPr="00A14264">
        <w:rPr>
          <w:i/>
          <w:iCs/>
          <w:lang w:val="es-CR"/>
        </w:rPr>
        <w:t>Propuesto por la Comisión</w:t>
      </w:r>
      <w:r>
        <w:rPr>
          <w:i/>
          <w:iCs/>
          <w:lang w:val="es-CR"/>
        </w:rPr>
        <w:t xml:space="preserve"> y los representantes</w:t>
      </w:r>
      <w:r w:rsidRPr="00A14264">
        <w:rPr>
          <w:i/>
          <w:iCs/>
          <w:lang w:val="es-CR"/>
        </w:rPr>
        <w:t xml:space="preserve"> </w:t>
      </w:r>
    </w:p>
    <w:p w:rsidR="00B94642" w:rsidRPr="00A14264" w:rsidRDefault="00B94642" w:rsidP="00B94642">
      <w:pPr>
        <w:pStyle w:val="ListParagraph"/>
        <w:widowControl/>
        <w:numPr>
          <w:ilvl w:val="0"/>
          <w:numId w:val="0"/>
        </w:numPr>
        <w:tabs>
          <w:tab w:val="left" w:pos="567"/>
        </w:tabs>
        <w:ind w:left="810" w:right="0"/>
        <w:rPr>
          <w:lang w:val="es-ES"/>
        </w:rPr>
      </w:pPr>
    </w:p>
    <w:p w:rsidR="00B94642" w:rsidRPr="00A14264" w:rsidRDefault="00B94642" w:rsidP="00B94642">
      <w:pPr>
        <w:pStyle w:val="ListParagraph"/>
        <w:widowControl/>
        <w:numPr>
          <w:ilvl w:val="0"/>
          <w:numId w:val="0"/>
        </w:numPr>
        <w:tabs>
          <w:tab w:val="left" w:pos="567"/>
        </w:tabs>
        <w:ind w:left="851" w:right="0"/>
        <w:rPr>
          <w:b/>
          <w:lang w:val="es-ES_tradnl"/>
        </w:rPr>
      </w:pPr>
      <w:r>
        <w:rPr>
          <w:lang w:val="es-ES"/>
        </w:rPr>
        <w:t xml:space="preserve">2. </w:t>
      </w:r>
      <w:r>
        <w:rPr>
          <w:lang w:val="es-ES"/>
        </w:rPr>
        <w:tab/>
        <w:t xml:space="preserve">Alberto Martín Binder, experto en derecho procesal penal argentino y latinoamericano, quien declarará acerca de los estándares internacionales sobre el derecho a la presunción de inocencia y el derecho de defensa, particularmente las diligencias mínimas que deben realizarse para verificar la identidad de una persona en un proceso penal; los criterios aplicados en otros sistemas de protección de derechos humanos para distinguir aquellos casos en los cuales se viola la presunción de inocencia, de aquellos casos en los cuales se presenta una discrepancia en la valoración probatoria; así como </w:t>
      </w:r>
      <w:r w:rsidR="00B01D99">
        <w:rPr>
          <w:lang w:val="es-ES"/>
        </w:rPr>
        <w:t>e</w:t>
      </w:r>
      <w:r>
        <w:rPr>
          <w:lang w:val="es-ES"/>
        </w:rPr>
        <w:t xml:space="preserve">l derecho a la defensa y, específicamente, a la manera en que las acciones u omisiones de la defensa técnica </w:t>
      </w:r>
      <w:r w:rsidR="00B01D99">
        <w:rPr>
          <w:lang w:val="es-ES"/>
        </w:rPr>
        <w:t>pueden</w:t>
      </w:r>
      <w:r>
        <w:rPr>
          <w:lang w:val="es-ES"/>
        </w:rPr>
        <w:t xml:space="preserve"> comprometer la responsabilidad internacional del Estado. </w:t>
      </w:r>
    </w:p>
    <w:p w:rsidR="00B94642" w:rsidRDefault="00B94642" w:rsidP="00B94642">
      <w:pPr>
        <w:pStyle w:val="ColorfulList-Accent11"/>
        <w:tabs>
          <w:tab w:val="left" w:pos="567"/>
          <w:tab w:val="left" w:pos="1800"/>
        </w:tabs>
        <w:autoSpaceDE w:val="0"/>
        <w:autoSpaceDN w:val="0"/>
        <w:adjustRightInd w:val="0"/>
        <w:ind w:left="0"/>
        <w:contextualSpacing/>
        <w:jc w:val="both"/>
        <w:rPr>
          <w:rFonts w:ascii="Verdana" w:hAnsi="Verdana"/>
          <w:sz w:val="20"/>
          <w:szCs w:val="20"/>
          <w:lang w:val="es-CR"/>
        </w:rPr>
      </w:pPr>
    </w:p>
    <w:p w:rsidR="00EA7658" w:rsidRPr="00A14264" w:rsidRDefault="00EA7658" w:rsidP="00EA7658">
      <w:pPr>
        <w:pStyle w:val="ColorfulList-Accent11"/>
        <w:numPr>
          <w:ilvl w:val="0"/>
          <w:numId w:val="10"/>
        </w:numPr>
        <w:tabs>
          <w:tab w:val="clear" w:pos="1440"/>
          <w:tab w:val="left" w:pos="567"/>
          <w:tab w:val="num" w:pos="720"/>
          <w:tab w:val="left" w:pos="1800"/>
        </w:tabs>
        <w:autoSpaceDE w:val="0"/>
        <w:autoSpaceDN w:val="0"/>
        <w:adjustRightInd w:val="0"/>
        <w:ind w:left="0"/>
        <w:contextualSpacing/>
        <w:jc w:val="both"/>
        <w:rPr>
          <w:rFonts w:ascii="Verdana" w:hAnsi="Verdana"/>
          <w:sz w:val="20"/>
          <w:szCs w:val="20"/>
          <w:lang w:val="es-CR"/>
        </w:rPr>
      </w:pPr>
      <w:r w:rsidRPr="00A14264">
        <w:rPr>
          <w:rFonts w:ascii="Verdana" w:hAnsi="Verdana"/>
          <w:sz w:val="20"/>
          <w:szCs w:val="20"/>
          <w:lang w:val="es-CR"/>
        </w:rPr>
        <w:t>Reque</w:t>
      </w:r>
      <w:r w:rsidR="00B65BC7">
        <w:rPr>
          <w:rFonts w:ascii="Verdana" w:hAnsi="Verdana"/>
          <w:sz w:val="20"/>
          <w:szCs w:val="20"/>
          <w:lang w:val="es-CR"/>
        </w:rPr>
        <w:t>rir al Estado que remita</w:t>
      </w:r>
      <w:r w:rsidRPr="00A14264">
        <w:rPr>
          <w:rFonts w:ascii="Verdana" w:hAnsi="Verdana"/>
          <w:sz w:val="20"/>
          <w:szCs w:val="20"/>
          <w:lang w:val="es-CR"/>
        </w:rPr>
        <w:t>, de consid</w:t>
      </w:r>
      <w:r w:rsidR="00B65BC7">
        <w:rPr>
          <w:rFonts w:ascii="Verdana" w:hAnsi="Verdana"/>
          <w:sz w:val="20"/>
          <w:szCs w:val="20"/>
          <w:lang w:val="es-CR"/>
        </w:rPr>
        <w:t>erarlo pertinente, en lo que le</w:t>
      </w:r>
      <w:r w:rsidRPr="00A14264">
        <w:rPr>
          <w:rFonts w:ascii="Verdana" w:hAnsi="Verdana"/>
          <w:sz w:val="20"/>
          <w:szCs w:val="20"/>
          <w:lang w:val="es-CR"/>
        </w:rPr>
        <w:t xml:space="preserve"> corresponda y en el plazo</w:t>
      </w:r>
      <w:r w:rsidRPr="00A14264">
        <w:rPr>
          <w:rFonts w:ascii="Verdana" w:hAnsi="Verdana" w:cs="Verdana"/>
          <w:sz w:val="20"/>
          <w:szCs w:val="20"/>
          <w:lang w:val="es-CR"/>
        </w:rPr>
        <w:t xml:space="preserve"> improrrogable que vence el </w:t>
      </w:r>
      <w:r w:rsidR="00A10A6E">
        <w:rPr>
          <w:rFonts w:ascii="Verdana" w:hAnsi="Verdana" w:cs="Verdana"/>
          <w:sz w:val="20"/>
          <w:szCs w:val="20"/>
          <w:lang w:val="es-CR"/>
        </w:rPr>
        <w:t>19</w:t>
      </w:r>
      <w:r w:rsidR="00B94642">
        <w:rPr>
          <w:rFonts w:ascii="Verdana" w:hAnsi="Verdana" w:cs="Verdana"/>
          <w:sz w:val="20"/>
          <w:szCs w:val="20"/>
          <w:lang w:val="es-CR"/>
        </w:rPr>
        <w:t xml:space="preserve"> </w:t>
      </w:r>
      <w:r w:rsidR="00B65BC7" w:rsidRPr="00B65BC7">
        <w:rPr>
          <w:rFonts w:ascii="Verdana" w:hAnsi="Verdana" w:cs="Verdana"/>
          <w:sz w:val="20"/>
          <w:szCs w:val="20"/>
          <w:lang w:val="es-CR"/>
        </w:rPr>
        <w:t xml:space="preserve">de </w:t>
      </w:r>
      <w:r w:rsidR="00B94642">
        <w:rPr>
          <w:rFonts w:ascii="Verdana" w:hAnsi="Verdana" w:cs="Verdana"/>
          <w:sz w:val="20"/>
          <w:szCs w:val="20"/>
          <w:lang w:val="es-CR"/>
        </w:rPr>
        <w:t xml:space="preserve">marzo </w:t>
      </w:r>
      <w:r w:rsidR="00B65BC7" w:rsidRPr="00B65BC7">
        <w:rPr>
          <w:rFonts w:ascii="Verdana" w:hAnsi="Verdana" w:cs="Verdana"/>
          <w:sz w:val="20"/>
          <w:szCs w:val="20"/>
          <w:lang w:val="es-CR"/>
        </w:rPr>
        <w:t>de 2015</w:t>
      </w:r>
      <w:r w:rsidR="00B65BC7">
        <w:rPr>
          <w:rFonts w:ascii="Verdana" w:hAnsi="Verdana" w:cs="Verdana"/>
          <w:sz w:val="20"/>
          <w:szCs w:val="20"/>
          <w:lang w:val="es-CR"/>
        </w:rPr>
        <w:t>, las preguntas que estime</w:t>
      </w:r>
      <w:r w:rsidRPr="00A14264">
        <w:rPr>
          <w:rFonts w:ascii="Verdana" w:hAnsi="Verdana" w:cs="Verdana"/>
          <w:sz w:val="20"/>
          <w:szCs w:val="20"/>
          <w:lang w:val="es-CR"/>
        </w:rPr>
        <w:t xml:space="preserve"> pertinentes formular a través de la Corte Interamericana a l</w:t>
      </w:r>
      <w:r w:rsidR="00B65BC7">
        <w:rPr>
          <w:rFonts w:ascii="Verdana" w:hAnsi="Verdana" w:cs="Verdana"/>
          <w:sz w:val="20"/>
          <w:szCs w:val="20"/>
          <w:lang w:val="es-CR"/>
        </w:rPr>
        <w:t>a presunta víctima, al testigo</w:t>
      </w:r>
      <w:r w:rsidRPr="00A14264">
        <w:rPr>
          <w:rFonts w:ascii="Verdana" w:hAnsi="Verdana" w:cs="Verdana"/>
          <w:sz w:val="20"/>
          <w:szCs w:val="20"/>
          <w:lang w:val="es-CR"/>
        </w:rPr>
        <w:t xml:space="preserve"> y a </w:t>
      </w:r>
      <w:r w:rsidR="00B65BC7">
        <w:rPr>
          <w:rFonts w:ascii="Verdana" w:hAnsi="Verdana" w:cs="Verdana"/>
          <w:sz w:val="20"/>
          <w:szCs w:val="20"/>
          <w:lang w:val="es-CR"/>
        </w:rPr>
        <w:t>l</w:t>
      </w:r>
      <w:r w:rsidR="00B94642">
        <w:rPr>
          <w:rFonts w:ascii="Verdana" w:hAnsi="Verdana" w:cs="Verdana"/>
          <w:sz w:val="20"/>
          <w:szCs w:val="20"/>
          <w:lang w:val="es-CR"/>
        </w:rPr>
        <w:t>os</w:t>
      </w:r>
      <w:r w:rsidR="00B65BC7">
        <w:rPr>
          <w:rFonts w:ascii="Verdana" w:hAnsi="Verdana" w:cs="Verdana"/>
          <w:sz w:val="20"/>
          <w:szCs w:val="20"/>
          <w:lang w:val="es-CR"/>
        </w:rPr>
        <w:t xml:space="preserve"> perito</w:t>
      </w:r>
      <w:r w:rsidR="00B94642">
        <w:rPr>
          <w:rFonts w:ascii="Verdana" w:hAnsi="Verdana" w:cs="Verdana"/>
          <w:sz w:val="20"/>
          <w:szCs w:val="20"/>
          <w:lang w:val="es-CR"/>
        </w:rPr>
        <w:t>s</w:t>
      </w:r>
      <w:r w:rsidR="00B65BC7">
        <w:rPr>
          <w:rFonts w:ascii="Verdana" w:hAnsi="Verdana" w:cs="Verdana"/>
          <w:sz w:val="20"/>
          <w:szCs w:val="20"/>
          <w:lang w:val="es-CR"/>
        </w:rPr>
        <w:t xml:space="preserve">, </w:t>
      </w:r>
      <w:r w:rsidRPr="00A14264">
        <w:rPr>
          <w:rFonts w:ascii="Verdana" w:hAnsi="Verdana"/>
          <w:sz w:val="20"/>
          <w:szCs w:val="20"/>
          <w:lang w:val="es-CR"/>
        </w:rPr>
        <w:t xml:space="preserve">indicados en el punto resolutivo primero de la presente Resolución. Las declaraciones y los peritajes requeridos en el punto resolutivo primero deberán ser presentados al Tribunal a más tardar el </w:t>
      </w:r>
      <w:r w:rsidR="00A10A6E">
        <w:rPr>
          <w:rFonts w:ascii="Verdana" w:hAnsi="Verdana"/>
          <w:sz w:val="20"/>
          <w:szCs w:val="20"/>
          <w:lang w:val="es-CR"/>
        </w:rPr>
        <w:t>3 de abril</w:t>
      </w:r>
      <w:r w:rsidRPr="00A14264">
        <w:rPr>
          <w:rFonts w:ascii="Verdana" w:hAnsi="Verdana"/>
          <w:sz w:val="20"/>
          <w:szCs w:val="20"/>
          <w:lang w:val="es-CR"/>
        </w:rPr>
        <w:t xml:space="preserve"> de 2015.</w:t>
      </w:r>
      <w:bookmarkEnd w:id="19"/>
    </w:p>
    <w:p w:rsidR="00EA7658" w:rsidRPr="00A14264" w:rsidRDefault="00EA7658" w:rsidP="00EA7658">
      <w:pPr>
        <w:pStyle w:val="ColorfulList-Accent11"/>
        <w:tabs>
          <w:tab w:val="left" w:pos="567"/>
        </w:tabs>
        <w:autoSpaceDE w:val="0"/>
        <w:autoSpaceDN w:val="0"/>
        <w:adjustRightInd w:val="0"/>
        <w:ind w:left="0"/>
        <w:jc w:val="both"/>
        <w:rPr>
          <w:rFonts w:ascii="Verdana" w:hAnsi="Verdana"/>
          <w:sz w:val="20"/>
          <w:szCs w:val="20"/>
          <w:lang w:val="es-CR"/>
        </w:rPr>
      </w:pPr>
    </w:p>
    <w:p w:rsidR="00EA7658" w:rsidRPr="00A14264" w:rsidRDefault="006A0848" w:rsidP="00EA7658">
      <w:pPr>
        <w:pStyle w:val="ColorfulList-Accent11"/>
        <w:numPr>
          <w:ilvl w:val="0"/>
          <w:numId w:val="10"/>
        </w:numPr>
        <w:tabs>
          <w:tab w:val="clear" w:pos="1440"/>
          <w:tab w:val="left" w:pos="567"/>
          <w:tab w:val="num" w:pos="720"/>
        </w:tabs>
        <w:autoSpaceDE w:val="0"/>
        <w:autoSpaceDN w:val="0"/>
        <w:adjustRightInd w:val="0"/>
        <w:ind w:left="0"/>
        <w:contextualSpacing/>
        <w:jc w:val="both"/>
        <w:rPr>
          <w:rFonts w:ascii="Verdana" w:hAnsi="Verdana"/>
          <w:sz w:val="20"/>
          <w:szCs w:val="20"/>
          <w:lang w:val="es-CR"/>
        </w:rPr>
      </w:pPr>
      <w:r>
        <w:rPr>
          <w:rFonts w:ascii="Verdana" w:hAnsi="Verdana"/>
          <w:sz w:val="20"/>
          <w:szCs w:val="20"/>
          <w:lang w:val="es-CR"/>
        </w:rPr>
        <w:t xml:space="preserve">Requerir a los representantes </w:t>
      </w:r>
      <w:r w:rsidR="00EA7658" w:rsidRPr="00A14264">
        <w:rPr>
          <w:rFonts w:ascii="Verdana" w:hAnsi="Verdana"/>
          <w:sz w:val="20"/>
          <w:szCs w:val="20"/>
          <w:lang w:val="es-CR"/>
        </w:rPr>
        <w:t>y a la Comisión que coordinen y realicen las diligencias necesarias para que, una vez recibidas l</w:t>
      </w:r>
      <w:r w:rsidR="00B65BC7">
        <w:rPr>
          <w:rFonts w:ascii="Verdana" w:hAnsi="Verdana"/>
          <w:sz w:val="20"/>
          <w:szCs w:val="20"/>
          <w:lang w:val="es-CR"/>
        </w:rPr>
        <w:t>as preguntas de</w:t>
      </w:r>
      <w:r w:rsidR="00165662">
        <w:rPr>
          <w:rFonts w:ascii="Verdana" w:hAnsi="Verdana"/>
          <w:sz w:val="20"/>
          <w:szCs w:val="20"/>
          <w:lang w:val="es-CR"/>
        </w:rPr>
        <w:t>l Estado</w:t>
      </w:r>
      <w:r w:rsidR="00EA7658" w:rsidRPr="00A14264">
        <w:rPr>
          <w:rFonts w:ascii="Verdana" w:hAnsi="Verdana"/>
          <w:sz w:val="20"/>
          <w:szCs w:val="20"/>
          <w:lang w:val="es-CR"/>
        </w:rPr>
        <w:t xml:space="preserve">, </w:t>
      </w:r>
      <w:r w:rsidR="00B65BC7">
        <w:rPr>
          <w:rFonts w:ascii="Verdana" w:hAnsi="Verdana"/>
          <w:sz w:val="20"/>
          <w:szCs w:val="20"/>
          <w:lang w:val="es-CR"/>
        </w:rPr>
        <w:t>los declarantes</w:t>
      </w:r>
      <w:r w:rsidR="00EA7658" w:rsidRPr="00A14264">
        <w:rPr>
          <w:rFonts w:ascii="Verdana" w:hAnsi="Verdana"/>
          <w:sz w:val="20"/>
          <w:szCs w:val="20"/>
          <w:lang w:val="es-CR"/>
        </w:rPr>
        <w:t xml:space="preserve"> incluyan las respuestas en sus respectivas declaraciones y dictámenes rendidos ante fedatario público, de co</w:t>
      </w:r>
      <w:r>
        <w:rPr>
          <w:rFonts w:ascii="Verdana" w:hAnsi="Verdana"/>
          <w:sz w:val="20"/>
          <w:szCs w:val="20"/>
          <w:lang w:val="es-CR"/>
        </w:rPr>
        <w:t>nformidad con el párrafo considerativo</w:t>
      </w:r>
      <w:r w:rsidR="00EA7658" w:rsidRPr="00A14264">
        <w:rPr>
          <w:rFonts w:ascii="Verdana" w:hAnsi="Verdana"/>
          <w:sz w:val="20"/>
          <w:szCs w:val="20"/>
          <w:lang w:val="es-CR"/>
        </w:rPr>
        <w:t xml:space="preserve"> </w:t>
      </w:r>
      <w:r>
        <w:rPr>
          <w:rFonts w:ascii="Verdana" w:hAnsi="Verdana"/>
          <w:sz w:val="20"/>
          <w:szCs w:val="20"/>
          <w:lang w:val="es-CR"/>
        </w:rPr>
        <w:t>12</w:t>
      </w:r>
      <w:r w:rsidR="00EA7658" w:rsidRPr="00A14264">
        <w:rPr>
          <w:rFonts w:ascii="Verdana" w:hAnsi="Verdana"/>
          <w:sz w:val="20"/>
          <w:szCs w:val="20"/>
          <w:lang w:val="es-CR"/>
        </w:rPr>
        <w:t xml:space="preserve"> de la presente Resolución. </w:t>
      </w:r>
    </w:p>
    <w:p w:rsidR="00EA7658" w:rsidRPr="00A14264" w:rsidRDefault="00EA7658" w:rsidP="00EA7658">
      <w:pPr>
        <w:pStyle w:val="ListParagraph"/>
        <w:numPr>
          <w:ilvl w:val="0"/>
          <w:numId w:val="0"/>
        </w:numPr>
        <w:tabs>
          <w:tab w:val="left" w:pos="567"/>
        </w:tabs>
        <w:rPr>
          <w:lang w:val="es-CR"/>
        </w:rPr>
      </w:pPr>
    </w:p>
    <w:p w:rsidR="00EA7658" w:rsidRPr="00A14264" w:rsidRDefault="00B65BC7" w:rsidP="00EA7658">
      <w:pPr>
        <w:pStyle w:val="ColorfulList-Accent11"/>
        <w:numPr>
          <w:ilvl w:val="0"/>
          <w:numId w:val="10"/>
        </w:numPr>
        <w:tabs>
          <w:tab w:val="clear" w:pos="1440"/>
          <w:tab w:val="left" w:pos="567"/>
          <w:tab w:val="num" w:pos="720"/>
        </w:tabs>
        <w:autoSpaceDE w:val="0"/>
        <w:autoSpaceDN w:val="0"/>
        <w:adjustRightInd w:val="0"/>
        <w:ind w:left="0"/>
        <w:contextualSpacing/>
        <w:jc w:val="both"/>
        <w:rPr>
          <w:rFonts w:ascii="Verdana" w:hAnsi="Verdana"/>
          <w:sz w:val="20"/>
          <w:szCs w:val="20"/>
          <w:lang w:val="es-CR"/>
        </w:rPr>
      </w:pPr>
      <w:r>
        <w:rPr>
          <w:rFonts w:ascii="Verdana" w:hAnsi="Verdana"/>
          <w:sz w:val="20"/>
          <w:szCs w:val="20"/>
          <w:lang w:val="es-CR"/>
        </w:rPr>
        <w:t>Disponer que, una vez recibida</w:t>
      </w:r>
      <w:r w:rsidR="00EA7658" w:rsidRPr="00A14264">
        <w:rPr>
          <w:rFonts w:ascii="Verdana" w:hAnsi="Verdana"/>
          <w:sz w:val="20"/>
          <w:szCs w:val="20"/>
          <w:lang w:val="es-CR"/>
        </w:rPr>
        <w:t xml:space="preserve">s las declaraciones y </w:t>
      </w:r>
      <w:r>
        <w:rPr>
          <w:rFonts w:ascii="Verdana" w:hAnsi="Verdana"/>
          <w:sz w:val="20"/>
          <w:szCs w:val="20"/>
          <w:lang w:val="es-CR"/>
        </w:rPr>
        <w:t>el peritaje</w:t>
      </w:r>
      <w:r w:rsidR="00EA7658" w:rsidRPr="00A14264">
        <w:rPr>
          <w:rFonts w:ascii="Verdana" w:hAnsi="Verdana"/>
          <w:sz w:val="20"/>
          <w:szCs w:val="20"/>
          <w:lang w:val="es-CR"/>
        </w:rPr>
        <w:t xml:space="preserve"> requeridos en el punto resolutivo primero, la Secretaría de la Corte</w:t>
      </w:r>
      <w:r w:rsidR="006A0848">
        <w:rPr>
          <w:rFonts w:ascii="Verdana" w:hAnsi="Verdana"/>
          <w:sz w:val="20"/>
          <w:szCs w:val="20"/>
          <w:lang w:val="es-CR"/>
        </w:rPr>
        <w:t xml:space="preserve"> Interamericana los transmita al</w:t>
      </w:r>
      <w:r w:rsidR="00EA7658" w:rsidRPr="00A14264">
        <w:rPr>
          <w:rFonts w:ascii="Verdana" w:hAnsi="Verdana"/>
          <w:sz w:val="20"/>
          <w:szCs w:val="20"/>
          <w:lang w:val="es-CR"/>
        </w:rPr>
        <w:t xml:space="preserve"> Estado para que presente sus observaciones</w:t>
      </w:r>
      <w:r w:rsidR="006A0848">
        <w:rPr>
          <w:rFonts w:ascii="Verdana" w:hAnsi="Verdana"/>
          <w:sz w:val="20"/>
          <w:szCs w:val="20"/>
          <w:lang w:val="es-CR"/>
        </w:rPr>
        <w:t xml:space="preserve"> si lo estima pertinente</w:t>
      </w:r>
      <w:r w:rsidR="00EA7658" w:rsidRPr="00A14264">
        <w:rPr>
          <w:rFonts w:ascii="Verdana" w:hAnsi="Verdana"/>
          <w:sz w:val="20"/>
          <w:szCs w:val="20"/>
          <w:lang w:val="es-CR"/>
        </w:rPr>
        <w:t xml:space="preserve">, conforme al </w:t>
      </w:r>
      <w:r w:rsidR="006A0848">
        <w:rPr>
          <w:rFonts w:ascii="Verdana" w:hAnsi="Verdana"/>
          <w:sz w:val="20"/>
          <w:szCs w:val="20"/>
          <w:lang w:val="es-CR"/>
        </w:rPr>
        <w:t>párrafo considerativo</w:t>
      </w:r>
      <w:r w:rsidR="006A0848" w:rsidRPr="00A14264">
        <w:rPr>
          <w:rFonts w:ascii="Verdana" w:hAnsi="Verdana"/>
          <w:sz w:val="20"/>
          <w:szCs w:val="20"/>
          <w:lang w:val="es-CR"/>
        </w:rPr>
        <w:t xml:space="preserve"> </w:t>
      </w:r>
      <w:r w:rsidR="006A0848">
        <w:rPr>
          <w:rFonts w:ascii="Verdana" w:hAnsi="Verdana"/>
          <w:sz w:val="20"/>
          <w:szCs w:val="20"/>
          <w:lang w:val="es-CR"/>
        </w:rPr>
        <w:t>12</w:t>
      </w:r>
      <w:r w:rsidR="00EA7658" w:rsidRPr="00A14264">
        <w:rPr>
          <w:rFonts w:ascii="Verdana" w:hAnsi="Verdana"/>
          <w:sz w:val="20"/>
          <w:szCs w:val="20"/>
          <w:lang w:val="es-CR"/>
        </w:rPr>
        <w:t xml:space="preserve">, </w:t>
      </w:r>
      <w:r w:rsidR="00EA7658" w:rsidRPr="00A14264">
        <w:rPr>
          <w:rFonts w:ascii="Verdana" w:hAnsi="Verdana"/>
          <w:sz w:val="20"/>
          <w:szCs w:val="20"/>
        </w:rPr>
        <w:t xml:space="preserve">a más tardar con sus alegatos </w:t>
      </w:r>
      <w:r w:rsidR="006A0848">
        <w:rPr>
          <w:rFonts w:ascii="Verdana" w:hAnsi="Verdana"/>
          <w:sz w:val="20"/>
          <w:szCs w:val="20"/>
        </w:rPr>
        <w:t>finales escritos</w:t>
      </w:r>
      <w:r w:rsidR="00EA7658" w:rsidRPr="00A14264">
        <w:rPr>
          <w:rFonts w:ascii="Verdana" w:hAnsi="Verdana"/>
          <w:sz w:val="20"/>
          <w:szCs w:val="20"/>
        </w:rPr>
        <w:t>.</w:t>
      </w:r>
    </w:p>
    <w:p w:rsidR="00EA7658" w:rsidRPr="00A14264" w:rsidRDefault="00EA7658" w:rsidP="00EA7658">
      <w:pPr>
        <w:pStyle w:val="ColorfulList-Accent11"/>
        <w:tabs>
          <w:tab w:val="left" w:pos="567"/>
        </w:tabs>
        <w:autoSpaceDE w:val="0"/>
        <w:autoSpaceDN w:val="0"/>
        <w:adjustRightInd w:val="0"/>
        <w:ind w:left="0"/>
        <w:contextualSpacing/>
        <w:jc w:val="both"/>
        <w:rPr>
          <w:rFonts w:ascii="Verdana" w:hAnsi="Verdana"/>
          <w:sz w:val="20"/>
          <w:szCs w:val="20"/>
          <w:lang w:val="es-CR"/>
        </w:rPr>
      </w:pPr>
    </w:p>
    <w:p w:rsidR="00EA7658" w:rsidRPr="00A14264" w:rsidRDefault="00165662" w:rsidP="00A14264">
      <w:pPr>
        <w:pStyle w:val="ColorfulList-Accent11"/>
        <w:numPr>
          <w:ilvl w:val="0"/>
          <w:numId w:val="10"/>
        </w:numPr>
        <w:tabs>
          <w:tab w:val="clear" w:pos="1440"/>
          <w:tab w:val="left" w:pos="567"/>
          <w:tab w:val="num" w:pos="720"/>
        </w:tabs>
        <w:autoSpaceDE w:val="0"/>
        <w:autoSpaceDN w:val="0"/>
        <w:adjustRightInd w:val="0"/>
        <w:ind w:left="0"/>
        <w:contextualSpacing/>
        <w:jc w:val="both"/>
        <w:rPr>
          <w:rFonts w:ascii="Verdana" w:hAnsi="Verdana"/>
          <w:sz w:val="20"/>
          <w:szCs w:val="20"/>
          <w:lang w:val="es-CR"/>
        </w:rPr>
      </w:pPr>
      <w:bookmarkStart w:id="20" w:name="_Ref230577466"/>
      <w:r>
        <w:rPr>
          <w:rFonts w:ascii="Verdana" w:hAnsi="Verdana"/>
          <w:sz w:val="20"/>
          <w:szCs w:val="20"/>
          <w:lang w:val="es-CR"/>
        </w:rPr>
        <w:t xml:space="preserve">Convocar al Estado </w:t>
      </w:r>
      <w:r w:rsidR="00B65BC7">
        <w:rPr>
          <w:rFonts w:ascii="Verdana" w:hAnsi="Verdana"/>
          <w:sz w:val="20"/>
          <w:szCs w:val="20"/>
          <w:lang w:val="es-CR"/>
        </w:rPr>
        <w:t>de El Salvador</w:t>
      </w:r>
      <w:r w:rsidR="00EA7658" w:rsidRPr="00A14264">
        <w:rPr>
          <w:rFonts w:ascii="Verdana" w:hAnsi="Verdana"/>
          <w:sz w:val="20"/>
          <w:szCs w:val="20"/>
          <w:lang w:val="es-CR"/>
        </w:rPr>
        <w:t xml:space="preserve">, a los representantes de las presuntas víctimas y a la Comisión Interamericana de Derechos Humanos a una audiencia pública sobre </w:t>
      </w:r>
      <w:r w:rsidR="00167511">
        <w:rPr>
          <w:rFonts w:ascii="Verdana" w:hAnsi="Verdana"/>
          <w:sz w:val="20"/>
          <w:szCs w:val="20"/>
          <w:lang w:val="es-CR"/>
        </w:rPr>
        <w:t>el fondo y eventuales</w:t>
      </w:r>
      <w:r w:rsidR="00EA7658" w:rsidRPr="00A14264">
        <w:rPr>
          <w:rFonts w:ascii="Verdana" w:hAnsi="Verdana"/>
          <w:sz w:val="20"/>
          <w:szCs w:val="20"/>
          <w:lang w:val="es-CR"/>
        </w:rPr>
        <w:t xml:space="preserve"> reparaciones y costas </w:t>
      </w:r>
      <w:r w:rsidR="00167511">
        <w:rPr>
          <w:rFonts w:ascii="Verdana" w:hAnsi="Verdana"/>
          <w:sz w:val="20"/>
          <w:szCs w:val="20"/>
          <w:lang w:val="es-CR"/>
        </w:rPr>
        <w:t xml:space="preserve">que se celebrará durante el </w:t>
      </w:r>
      <w:r w:rsidR="00DF73B4">
        <w:rPr>
          <w:rFonts w:ascii="Verdana" w:hAnsi="Verdana"/>
          <w:sz w:val="20"/>
          <w:szCs w:val="20"/>
          <w:lang w:val="es-CR"/>
        </w:rPr>
        <w:t>52</w:t>
      </w:r>
      <w:r w:rsidR="00EA7658" w:rsidRPr="00A14264">
        <w:rPr>
          <w:rFonts w:ascii="Verdana" w:hAnsi="Verdana"/>
          <w:sz w:val="20"/>
          <w:szCs w:val="20"/>
          <w:lang w:val="es-CR"/>
        </w:rPr>
        <w:t xml:space="preserve"> Período </w:t>
      </w:r>
      <w:r w:rsidR="00DF73B4">
        <w:rPr>
          <w:rFonts w:ascii="Verdana" w:hAnsi="Verdana"/>
          <w:sz w:val="20"/>
          <w:szCs w:val="20"/>
          <w:lang w:val="es-CR"/>
        </w:rPr>
        <w:t>Extrao</w:t>
      </w:r>
      <w:r w:rsidR="00EA7658" w:rsidRPr="00A14264">
        <w:rPr>
          <w:rFonts w:ascii="Verdana" w:hAnsi="Verdana"/>
          <w:sz w:val="20"/>
          <w:szCs w:val="20"/>
          <w:lang w:val="es-CR"/>
        </w:rPr>
        <w:t>rdinario de Sesio</w:t>
      </w:r>
      <w:r w:rsidR="00167511">
        <w:rPr>
          <w:rFonts w:ascii="Verdana" w:hAnsi="Verdana"/>
          <w:sz w:val="20"/>
          <w:szCs w:val="20"/>
          <w:lang w:val="es-CR"/>
        </w:rPr>
        <w:t xml:space="preserve">nes, que se llevará a cabo en </w:t>
      </w:r>
      <w:r w:rsidR="00167511" w:rsidRPr="00B94642">
        <w:rPr>
          <w:rFonts w:ascii="Verdana" w:hAnsi="Verdana"/>
          <w:sz w:val="20"/>
          <w:szCs w:val="20"/>
          <w:lang w:val="es-CR"/>
        </w:rPr>
        <w:t xml:space="preserve">Colombia, en la ciudad de Cartagena, el </w:t>
      </w:r>
      <w:r w:rsidR="00B94642" w:rsidRPr="00B94642">
        <w:rPr>
          <w:rFonts w:ascii="Verdana" w:hAnsi="Verdana"/>
          <w:sz w:val="20"/>
          <w:szCs w:val="20"/>
          <w:lang w:val="es-CR"/>
        </w:rPr>
        <w:t>23</w:t>
      </w:r>
      <w:r w:rsidR="00167511" w:rsidRPr="00B94642">
        <w:rPr>
          <w:rFonts w:ascii="Verdana" w:hAnsi="Verdana"/>
          <w:sz w:val="20"/>
          <w:szCs w:val="20"/>
          <w:lang w:val="es-CR"/>
        </w:rPr>
        <w:t xml:space="preserve"> de abril</w:t>
      </w:r>
      <w:r w:rsidR="00DF73B4">
        <w:rPr>
          <w:rFonts w:ascii="Verdana" w:hAnsi="Verdana"/>
          <w:sz w:val="20"/>
          <w:szCs w:val="20"/>
          <w:lang w:val="es-CR"/>
        </w:rPr>
        <w:t xml:space="preserve"> de 2015,</w:t>
      </w:r>
      <w:r w:rsidR="00EA7658" w:rsidRPr="00B94642">
        <w:rPr>
          <w:rFonts w:ascii="Verdana" w:hAnsi="Verdana"/>
          <w:sz w:val="20"/>
          <w:szCs w:val="20"/>
          <w:lang w:val="es-CR"/>
        </w:rPr>
        <w:t xml:space="preserve"> a partir de las </w:t>
      </w:r>
      <w:r w:rsidR="00B94642" w:rsidRPr="00B94642">
        <w:rPr>
          <w:rFonts w:ascii="Verdana" w:hAnsi="Verdana"/>
          <w:sz w:val="20"/>
          <w:szCs w:val="20"/>
          <w:lang w:val="es-CR"/>
        </w:rPr>
        <w:t>15</w:t>
      </w:r>
      <w:r w:rsidR="00167511" w:rsidRPr="00B94642">
        <w:rPr>
          <w:rFonts w:ascii="Verdana" w:hAnsi="Verdana"/>
          <w:sz w:val="20"/>
          <w:szCs w:val="20"/>
          <w:lang w:val="es-CR"/>
        </w:rPr>
        <w:t>:</w:t>
      </w:r>
      <w:r w:rsidR="00B94642" w:rsidRPr="00B94642">
        <w:rPr>
          <w:rFonts w:ascii="Verdana" w:hAnsi="Verdana"/>
          <w:sz w:val="20"/>
          <w:szCs w:val="20"/>
          <w:lang w:val="es-CR"/>
        </w:rPr>
        <w:t>00</w:t>
      </w:r>
      <w:r w:rsidR="00EA7658" w:rsidRPr="00B94642">
        <w:rPr>
          <w:rFonts w:ascii="Verdana" w:hAnsi="Verdana"/>
          <w:sz w:val="20"/>
          <w:szCs w:val="20"/>
          <w:lang w:val="es-CR"/>
        </w:rPr>
        <w:t xml:space="preserve"> horas</w:t>
      </w:r>
      <w:r w:rsidR="00DF73B4">
        <w:rPr>
          <w:rFonts w:ascii="Verdana" w:hAnsi="Verdana"/>
          <w:sz w:val="20"/>
          <w:szCs w:val="20"/>
          <w:lang w:val="es-CR"/>
        </w:rPr>
        <w:t>,</w:t>
      </w:r>
      <w:r w:rsidR="00EA7658" w:rsidRPr="00A14264">
        <w:rPr>
          <w:rFonts w:ascii="Verdana" w:hAnsi="Verdana"/>
          <w:sz w:val="20"/>
          <w:szCs w:val="20"/>
          <w:lang w:val="es-CR"/>
        </w:rPr>
        <w:t xml:space="preserve"> para recibir sus alegatos y observaciones finales orales y la</w:t>
      </w:r>
      <w:r w:rsidR="00B94642">
        <w:rPr>
          <w:rFonts w:ascii="Verdana" w:hAnsi="Verdana"/>
          <w:sz w:val="20"/>
          <w:szCs w:val="20"/>
          <w:lang w:val="es-CR"/>
        </w:rPr>
        <w:t xml:space="preserve"> declaración</w:t>
      </w:r>
      <w:r w:rsidR="00EA7658" w:rsidRPr="00A14264">
        <w:rPr>
          <w:rFonts w:ascii="Verdana" w:hAnsi="Verdana"/>
          <w:sz w:val="20"/>
          <w:szCs w:val="20"/>
          <w:lang w:val="es-CR"/>
        </w:rPr>
        <w:t xml:space="preserve"> de las </w:t>
      </w:r>
      <w:r w:rsidR="00B94642">
        <w:rPr>
          <w:rFonts w:ascii="Verdana" w:hAnsi="Verdana"/>
          <w:sz w:val="20"/>
          <w:szCs w:val="20"/>
          <w:lang w:val="es-CR"/>
        </w:rPr>
        <w:t>presunta víctima</w:t>
      </w:r>
      <w:bookmarkEnd w:id="20"/>
      <w:r w:rsidR="00EA7658" w:rsidRPr="00A14264">
        <w:rPr>
          <w:rFonts w:ascii="Verdana" w:hAnsi="Verdana"/>
          <w:sz w:val="20"/>
          <w:szCs w:val="20"/>
          <w:lang w:val="es-CR"/>
        </w:rPr>
        <w:t xml:space="preserve">:   </w:t>
      </w:r>
    </w:p>
    <w:p w:rsidR="00EA7658" w:rsidRPr="00A14264" w:rsidRDefault="00EA7658" w:rsidP="00EA7658">
      <w:pPr>
        <w:pStyle w:val="ListParagraph"/>
        <w:widowControl/>
        <w:numPr>
          <w:ilvl w:val="0"/>
          <w:numId w:val="0"/>
        </w:numPr>
        <w:tabs>
          <w:tab w:val="left" w:pos="567"/>
        </w:tabs>
        <w:autoSpaceDE/>
        <w:autoSpaceDN/>
        <w:adjustRightInd/>
        <w:ind w:left="720" w:right="0"/>
        <w:rPr>
          <w:b/>
          <w:bCs/>
          <w:i/>
          <w:iCs/>
          <w:lang w:val="es-CR"/>
        </w:rPr>
      </w:pPr>
    </w:p>
    <w:p w:rsidR="00EA7658" w:rsidRPr="00A14264" w:rsidRDefault="00167511" w:rsidP="00EA7658">
      <w:pPr>
        <w:pStyle w:val="ListParagraph"/>
        <w:widowControl/>
        <w:numPr>
          <w:ilvl w:val="0"/>
          <w:numId w:val="12"/>
        </w:numPr>
        <w:tabs>
          <w:tab w:val="left" w:pos="567"/>
        </w:tabs>
        <w:ind w:left="810" w:right="0" w:firstLine="0"/>
        <w:rPr>
          <w:lang w:val="es-ES"/>
        </w:rPr>
      </w:pPr>
      <w:r>
        <w:rPr>
          <w:lang w:val="es-ES"/>
        </w:rPr>
        <w:t>José Agapito Ruano Torres, quien declarará sobre las circunstancias de</w:t>
      </w:r>
      <w:r w:rsidR="00DF73B4">
        <w:rPr>
          <w:lang w:val="es-ES"/>
        </w:rPr>
        <w:t xml:space="preserve"> hecho presentadas</w:t>
      </w:r>
      <w:r>
        <w:rPr>
          <w:lang w:val="es-ES"/>
        </w:rPr>
        <w:t xml:space="preserve"> por la Comisión y las consecuencias personales, familiares, sociales</w:t>
      </w:r>
      <w:r w:rsidR="00FE7A23">
        <w:rPr>
          <w:lang w:val="es-ES"/>
        </w:rPr>
        <w:t xml:space="preserve"> y</w:t>
      </w:r>
      <w:r>
        <w:rPr>
          <w:lang w:val="es-ES"/>
        </w:rPr>
        <w:t xml:space="preserve"> económicas que el desarrollo del proceso penal seguido en su contra </w:t>
      </w:r>
      <w:r w:rsidR="00FE7A23">
        <w:rPr>
          <w:lang w:val="es-ES"/>
        </w:rPr>
        <w:t>le produjeron a él y a su familia</w:t>
      </w:r>
      <w:r>
        <w:rPr>
          <w:lang w:val="es-ES"/>
        </w:rPr>
        <w:t xml:space="preserve">, particularmente, la privación de libertad que debió sufrir durante la mayor parte de ese proceso y sobre las </w:t>
      </w:r>
      <w:r w:rsidR="00FE7A23">
        <w:rPr>
          <w:lang w:val="es-ES"/>
        </w:rPr>
        <w:t xml:space="preserve">supuestas </w:t>
      </w:r>
      <w:r>
        <w:rPr>
          <w:lang w:val="es-ES"/>
        </w:rPr>
        <w:t>torturas físicas padecidas al momento en que fue detenido</w:t>
      </w:r>
      <w:r w:rsidR="00EA7658" w:rsidRPr="00A14264">
        <w:rPr>
          <w:lang w:val="es-ES"/>
        </w:rPr>
        <w:t xml:space="preserve">. </w:t>
      </w:r>
    </w:p>
    <w:p w:rsidR="00EA7658" w:rsidRPr="00A14264" w:rsidRDefault="00EA7658" w:rsidP="00EA7658">
      <w:pPr>
        <w:pStyle w:val="ListParagraph"/>
        <w:widowControl/>
        <w:numPr>
          <w:ilvl w:val="0"/>
          <w:numId w:val="0"/>
        </w:numPr>
        <w:tabs>
          <w:tab w:val="left" w:pos="567"/>
        </w:tabs>
        <w:ind w:left="810" w:right="0"/>
        <w:rPr>
          <w:lang w:val="es-ES"/>
        </w:rPr>
      </w:pPr>
    </w:p>
    <w:p w:rsidR="00EA7658" w:rsidRPr="00327682" w:rsidRDefault="00EA7658" w:rsidP="00EA7658">
      <w:pPr>
        <w:numPr>
          <w:ilvl w:val="0"/>
          <w:numId w:val="10"/>
        </w:numPr>
        <w:tabs>
          <w:tab w:val="clear" w:pos="1440"/>
        </w:tabs>
        <w:spacing w:after="0" w:line="240" w:lineRule="auto"/>
        <w:jc w:val="both"/>
        <w:rPr>
          <w:rFonts w:ascii="Verdana" w:hAnsi="Verdana"/>
          <w:sz w:val="20"/>
          <w:szCs w:val="20"/>
          <w:lang w:val="es-CR"/>
        </w:rPr>
      </w:pPr>
      <w:r w:rsidRPr="00A14264">
        <w:rPr>
          <w:rFonts w:ascii="Verdana" w:hAnsi="Verdana" w:cs="Verdana"/>
          <w:color w:val="000000"/>
          <w:sz w:val="20"/>
          <w:szCs w:val="20"/>
          <w:lang w:val="es-CR" w:eastAsia="es-ES"/>
        </w:rPr>
        <w:t xml:space="preserve">Requerir </w:t>
      </w:r>
      <w:r w:rsidR="006444A2">
        <w:rPr>
          <w:rFonts w:ascii="Verdana" w:hAnsi="Verdana" w:cs="Verdana"/>
          <w:color w:val="000000"/>
          <w:sz w:val="20"/>
          <w:szCs w:val="20"/>
          <w:lang w:val="es-CR" w:eastAsia="es-ES"/>
        </w:rPr>
        <w:t>a El Salvador</w:t>
      </w:r>
      <w:r w:rsidRPr="00A14264">
        <w:rPr>
          <w:rFonts w:ascii="Verdana" w:hAnsi="Verdana" w:cs="Verdana"/>
          <w:color w:val="000000"/>
          <w:sz w:val="20"/>
          <w:szCs w:val="20"/>
          <w:lang w:val="es-CR" w:eastAsia="es-ES"/>
        </w:rPr>
        <w:t xml:space="preserve"> que facilite la salida y entrada de su territorio de</w:t>
      </w:r>
      <w:r w:rsidR="007A47C8">
        <w:rPr>
          <w:rFonts w:ascii="Verdana" w:hAnsi="Verdana" w:cs="Verdana"/>
          <w:color w:val="000000"/>
          <w:sz w:val="20"/>
          <w:szCs w:val="20"/>
          <w:lang w:val="es-CR" w:eastAsia="es-ES"/>
        </w:rPr>
        <w:t>l declarante, si reside o se encuentra en él, quien ha</w:t>
      </w:r>
      <w:r w:rsidRPr="00A14264">
        <w:rPr>
          <w:rFonts w:ascii="Verdana" w:hAnsi="Verdana" w:cs="Verdana"/>
          <w:color w:val="000000"/>
          <w:sz w:val="20"/>
          <w:szCs w:val="20"/>
          <w:lang w:val="es-CR" w:eastAsia="es-ES"/>
        </w:rPr>
        <w:t xml:space="preserve"> sido c</w:t>
      </w:r>
      <w:r w:rsidR="007A47C8">
        <w:rPr>
          <w:rFonts w:ascii="Verdana" w:hAnsi="Verdana" w:cs="Verdana"/>
          <w:color w:val="000000"/>
          <w:sz w:val="20"/>
          <w:szCs w:val="20"/>
          <w:lang w:val="es-CR" w:eastAsia="es-ES"/>
        </w:rPr>
        <w:t>itado</w:t>
      </w:r>
      <w:r w:rsidRPr="00A14264">
        <w:rPr>
          <w:rFonts w:ascii="Verdana" w:hAnsi="Verdana" w:cs="Verdana"/>
          <w:color w:val="000000"/>
          <w:sz w:val="20"/>
          <w:szCs w:val="20"/>
          <w:lang w:val="es-CR" w:eastAsia="es-ES"/>
        </w:rPr>
        <w:t xml:space="preserve"> en la presente Resolución a rendir declaración en la referida audiencia pública, de conformidad con lo dispuesto en el artículo 26.1 del Reglamento de la Corte.</w:t>
      </w:r>
    </w:p>
    <w:p w:rsidR="00327682" w:rsidRPr="00327682" w:rsidRDefault="00327682" w:rsidP="00327682">
      <w:pPr>
        <w:spacing w:after="0" w:line="240" w:lineRule="auto"/>
        <w:jc w:val="both"/>
        <w:rPr>
          <w:rFonts w:ascii="Verdana" w:hAnsi="Verdana"/>
          <w:sz w:val="20"/>
          <w:szCs w:val="20"/>
          <w:lang w:val="es-CR"/>
        </w:rPr>
      </w:pPr>
    </w:p>
    <w:p w:rsidR="00327682" w:rsidRPr="00327682" w:rsidRDefault="00327682" w:rsidP="00EA7658">
      <w:pPr>
        <w:numPr>
          <w:ilvl w:val="0"/>
          <w:numId w:val="10"/>
        </w:numPr>
        <w:tabs>
          <w:tab w:val="clear" w:pos="1440"/>
        </w:tabs>
        <w:spacing w:after="0" w:line="240" w:lineRule="auto"/>
        <w:jc w:val="both"/>
        <w:rPr>
          <w:rFonts w:ascii="Verdana" w:hAnsi="Verdana" w:cs="Verdana"/>
          <w:color w:val="000000"/>
          <w:sz w:val="20"/>
          <w:szCs w:val="20"/>
          <w:lang w:val="es-CR" w:eastAsia="es-ES"/>
        </w:rPr>
      </w:pPr>
      <w:r w:rsidRPr="00327682">
        <w:rPr>
          <w:rFonts w:ascii="Verdana" w:hAnsi="Verdana" w:cs="Verdana"/>
          <w:color w:val="000000"/>
          <w:sz w:val="20"/>
          <w:szCs w:val="20"/>
          <w:lang w:val="es-CR" w:eastAsia="es-ES"/>
        </w:rPr>
        <w:t xml:space="preserve">Solicitar a </w:t>
      </w:r>
      <w:r>
        <w:rPr>
          <w:rFonts w:ascii="Verdana" w:hAnsi="Verdana" w:cs="Verdana"/>
          <w:color w:val="000000"/>
          <w:sz w:val="20"/>
          <w:szCs w:val="20"/>
          <w:lang w:val="es-CR" w:eastAsia="es-ES"/>
        </w:rPr>
        <w:t>Colombia</w:t>
      </w:r>
      <w:r w:rsidRPr="00327682">
        <w:rPr>
          <w:rFonts w:ascii="Verdana" w:hAnsi="Verdana" w:cs="Verdana"/>
          <w:color w:val="000000"/>
          <w:sz w:val="20"/>
          <w:szCs w:val="20"/>
          <w:lang w:val="es-CR" w:eastAsia="es-ES"/>
        </w:rPr>
        <w:t>, de conformidad con lo dispuesto en el artículo 26 incisos 1 y 3 del Reglamento, su co</w:t>
      </w:r>
      <w:r w:rsidR="00DF73B4">
        <w:rPr>
          <w:rFonts w:ascii="Verdana" w:hAnsi="Verdana" w:cs="Verdana"/>
          <w:color w:val="000000"/>
          <w:sz w:val="20"/>
          <w:szCs w:val="20"/>
          <w:lang w:val="es-CR" w:eastAsia="es-ES"/>
        </w:rPr>
        <w:t>operación para llevar a cabo la audiencia pública</w:t>
      </w:r>
      <w:r w:rsidRPr="00327682">
        <w:rPr>
          <w:rFonts w:ascii="Verdana" w:hAnsi="Verdana" w:cs="Verdana"/>
          <w:color w:val="000000"/>
          <w:sz w:val="20"/>
          <w:szCs w:val="20"/>
          <w:lang w:val="es-CR" w:eastAsia="es-ES"/>
        </w:rPr>
        <w:t xml:space="preserve"> sobre fondo y eventuales reparaciones y costas, por celebrarse en ese país, convocada mediante la presente Resolución, así como para facilitar la entrada y salida de su territorio de la</w:t>
      </w:r>
      <w:r w:rsidR="007A47C8">
        <w:rPr>
          <w:rFonts w:ascii="Verdana" w:hAnsi="Verdana" w:cs="Verdana"/>
          <w:color w:val="000000"/>
          <w:sz w:val="20"/>
          <w:szCs w:val="20"/>
          <w:lang w:val="es-CR" w:eastAsia="es-ES"/>
        </w:rPr>
        <w:t xml:space="preserve"> persona que fue citada</w:t>
      </w:r>
      <w:r w:rsidRPr="00327682">
        <w:rPr>
          <w:rFonts w:ascii="Verdana" w:hAnsi="Verdana" w:cs="Verdana"/>
          <w:color w:val="000000"/>
          <w:sz w:val="20"/>
          <w:szCs w:val="20"/>
          <w:lang w:val="es-CR" w:eastAsia="es-ES"/>
        </w:rPr>
        <w:t xml:space="preserve"> a rendir su dec</w:t>
      </w:r>
      <w:r w:rsidR="007A47C8">
        <w:rPr>
          <w:rFonts w:ascii="Verdana" w:hAnsi="Verdana" w:cs="Verdana"/>
          <w:color w:val="000000"/>
          <w:sz w:val="20"/>
          <w:szCs w:val="20"/>
          <w:lang w:val="es-CR" w:eastAsia="es-ES"/>
        </w:rPr>
        <w:t>laración en calidad de presunta víctima</w:t>
      </w:r>
      <w:r w:rsidRPr="00327682">
        <w:rPr>
          <w:rFonts w:ascii="Verdana" w:hAnsi="Verdana" w:cs="Verdana"/>
          <w:color w:val="000000"/>
          <w:sz w:val="20"/>
          <w:szCs w:val="20"/>
          <w:lang w:val="es-CR" w:eastAsia="es-ES"/>
        </w:rPr>
        <w:t xml:space="preserve"> ante la Corte Interamericana en la</w:t>
      </w:r>
      <w:r w:rsidR="00563112">
        <w:rPr>
          <w:rFonts w:ascii="Verdana" w:hAnsi="Verdana" w:cs="Verdana"/>
          <w:color w:val="000000"/>
          <w:sz w:val="20"/>
          <w:szCs w:val="20"/>
          <w:lang w:val="es-CR" w:eastAsia="es-ES"/>
        </w:rPr>
        <w:t xml:space="preserve"> referida </w:t>
      </w:r>
      <w:r w:rsidRPr="00327682">
        <w:rPr>
          <w:rFonts w:ascii="Verdana" w:hAnsi="Verdana" w:cs="Verdana"/>
          <w:color w:val="000000"/>
          <w:sz w:val="20"/>
          <w:szCs w:val="20"/>
          <w:lang w:val="es-CR" w:eastAsia="es-ES"/>
        </w:rPr>
        <w:t>audiencia y de quienes representarán a la Comisión Intera</w:t>
      </w:r>
      <w:r w:rsidR="00563112">
        <w:rPr>
          <w:rFonts w:ascii="Verdana" w:hAnsi="Verdana" w:cs="Verdana"/>
          <w:color w:val="000000"/>
          <w:sz w:val="20"/>
          <w:szCs w:val="20"/>
          <w:lang w:val="es-CR" w:eastAsia="es-ES"/>
        </w:rPr>
        <w:t xml:space="preserve">mericana de Derechos Humanos, al Estado de </w:t>
      </w:r>
      <w:r>
        <w:rPr>
          <w:rFonts w:ascii="Verdana" w:hAnsi="Verdana" w:cs="Verdana"/>
          <w:color w:val="000000"/>
          <w:sz w:val="20"/>
          <w:szCs w:val="20"/>
          <w:lang w:val="es-CR" w:eastAsia="es-ES"/>
        </w:rPr>
        <w:t>El Salvador</w:t>
      </w:r>
      <w:r w:rsidRPr="00327682">
        <w:rPr>
          <w:rFonts w:ascii="Verdana" w:hAnsi="Verdana" w:cs="Verdana"/>
          <w:color w:val="000000"/>
          <w:sz w:val="20"/>
          <w:szCs w:val="20"/>
          <w:lang w:val="es-CR" w:eastAsia="es-ES"/>
        </w:rPr>
        <w:t xml:space="preserve"> y a los representantes de las presuntas víctimas durante la misma. Para tal efecto se dispone que la Secretaría notifique la presente Resolución a </w:t>
      </w:r>
      <w:r>
        <w:rPr>
          <w:rFonts w:ascii="Verdana" w:hAnsi="Verdana" w:cs="Verdana"/>
          <w:color w:val="000000"/>
          <w:sz w:val="20"/>
          <w:szCs w:val="20"/>
          <w:lang w:val="es-CR" w:eastAsia="es-ES"/>
        </w:rPr>
        <w:t>Colombia</w:t>
      </w:r>
      <w:r w:rsidRPr="00327682">
        <w:rPr>
          <w:rFonts w:ascii="Verdana" w:hAnsi="Verdana" w:cs="Verdana"/>
          <w:color w:val="000000"/>
          <w:sz w:val="20"/>
          <w:szCs w:val="20"/>
          <w:lang w:val="es-CR" w:eastAsia="es-ES"/>
        </w:rPr>
        <w:t>.</w:t>
      </w:r>
    </w:p>
    <w:p w:rsidR="00327682" w:rsidRPr="00A14264" w:rsidRDefault="00327682" w:rsidP="00EA7658">
      <w:pPr>
        <w:spacing w:after="0" w:line="240" w:lineRule="auto"/>
        <w:jc w:val="both"/>
        <w:rPr>
          <w:rFonts w:ascii="Verdana" w:hAnsi="Verdana"/>
          <w:sz w:val="20"/>
          <w:szCs w:val="20"/>
          <w:lang w:val="es-CR"/>
        </w:rPr>
      </w:pPr>
    </w:p>
    <w:p w:rsidR="00EA7658" w:rsidRPr="00A14264" w:rsidRDefault="00EA7658" w:rsidP="00EA7658">
      <w:pPr>
        <w:numPr>
          <w:ilvl w:val="0"/>
          <w:numId w:val="10"/>
        </w:numPr>
        <w:tabs>
          <w:tab w:val="clear" w:pos="1440"/>
          <w:tab w:val="left" w:pos="567"/>
          <w:tab w:val="num" w:pos="720"/>
        </w:tabs>
        <w:autoSpaceDE w:val="0"/>
        <w:autoSpaceDN w:val="0"/>
        <w:adjustRightInd w:val="0"/>
        <w:spacing w:after="0" w:line="240" w:lineRule="auto"/>
        <w:jc w:val="both"/>
        <w:rPr>
          <w:rFonts w:ascii="Verdana" w:hAnsi="Verdana" w:cs="Verdana"/>
          <w:color w:val="000000"/>
          <w:sz w:val="20"/>
          <w:szCs w:val="20"/>
          <w:lang w:val="es-CR" w:eastAsia="es-ES"/>
        </w:rPr>
      </w:pPr>
      <w:r w:rsidRPr="00A14264">
        <w:rPr>
          <w:rFonts w:ascii="Verdana" w:hAnsi="Verdana" w:cs="Verdana"/>
          <w:color w:val="000000"/>
          <w:sz w:val="20"/>
          <w:szCs w:val="20"/>
          <w:lang w:val="es-CR" w:eastAsia="es-ES"/>
        </w:rPr>
        <w:t>Requeri</w:t>
      </w:r>
      <w:r w:rsidR="00963938">
        <w:rPr>
          <w:rFonts w:ascii="Verdana" w:hAnsi="Verdana" w:cs="Verdana"/>
          <w:color w:val="000000"/>
          <w:sz w:val="20"/>
          <w:szCs w:val="20"/>
          <w:lang w:val="es-CR" w:eastAsia="es-ES"/>
        </w:rPr>
        <w:t xml:space="preserve">r a la Comisión Interamericana </w:t>
      </w:r>
      <w:r w:rsidRPr="00A14264">
        <w:rPr>
          <w:rFonts w:ascii="Verdana" w:hAnsi="Verdana" w:cs="Verdana"/>
          <w:color w:val="000000"/>
          <w:sz w:val="20"/>
          <w:szCs w:val="20"/>
          <w:lang w:val="es-CR" w:eastAsia="es-ES"/>
        </w:rPr>
        <w:t xml:space="preserve">y a los representantes que notifiquen la presente Resolución a las personas por ellos propuestas, respectivamente, que han sido convocados a rendir declaración, de conformidad con lo dispuesto en los artículos 50.2 y 50.4 del Reglamento. </w:t>
      </w:r>
    </w:p>
    <w:p w:rsidR="00EA7658" w:rsidRPr="00A14264" w:rsidRDefault="00EA7658" w:rsidP="00EA7658">
      <w:pPr>
        <w:pStyle w:val="ListParagraph"/>
        <w:numPr>
          <w:ilvl w:val="0"/>
          <w:numId w:val="0"/>
        </w:numPr>
        <w:tabs>
          <w:tab w:val="left" w:pos="567"/>
        </w:tabs>
        <w:rPr>
          <w:lang w:val="es-CR"/>
        </w:rPr>
      </w:pPr>
    </w:p>
    <w:p w:rsidR="00EA7658" w:rsidRPr="007A47C8" w:rsidRDefault="00963938" w:rsidP="00EA7658">
      <w:pPr>
        <w:numPr>
          <w:ilvl w:val="0"/>
          <w:numId w:val="10"/>
        </w:numPr>
        <w:tabs>
          <w:tab w:val="clear" w:pos="1440"/>
          <w:tab w:val="left" w:pos="567"/>
          <w:tab w:val="num" w:pos="720"/>
        </w:tabs>
        <w:autoSpaceDE w:val="0"/>
        <w:autoSpaceDN w:val="0"/>
        <w:adjustRightInd w:val="0"/>
        <w:spacing w:after="0" w:line="240" w:lineRule="auto"/>
        <w:jc w:val="both"/>
        <w:rPr>
          <w:rFonts w:ascii="Verdana" w:hAnsi="Verdana" w:cs="Verdana"/>
          <w:color w:val="000000"/>
          <w:sz w:val="20"/>
          <w:szCs w:val="20"/>
          <w:lang w:val="es-CR" w:eastAsia="es-ES"/>
        </w:rPr>
      </w:pPr>
      <w:r>
        <w:rPr>
          <w:rFonts w:ascii="Verdana" w:hAnsi="Verdana" w:cs="Verdana"/>
          <w:color w:val="000000"/>
          <w:sz w:val="20"/>
          <w:szCs w:val="20"/>
          <w:lang w:val="es-CR" w:eastAsia="es-ES"/>
        </w:rPr>
        <w:t xml:space="preserve">Informar a la Comisión </w:t>
      </w:r>
      <w:r w:rsidR="00EA7658" w:rsidRPr="005A7BA3">
        <w:rPr>
          <w:rFonts w:ascii="Verdana" w:hAnsi="Verdana" w:cs="Verdana"/>
          <w:color w:val="000000"/>
          <w:sz w:val="20"/>
          <w:szCs w:val="20"/>
          <w:lang w:val="es-CR" w:eastAsia="es-ES"/>
        </w:rPr>
        <w:t>y a los representantes que deben cubrir los gastos que ocasione la aportación o rendición de la prueba propuesta por ellos, de conformidad con lo dispuesto en el artículo 60 del Reglamento</w:t>
      </w:r>
      <w:r w:rsidR="005A7BA3" w:rsidRPr="005A7BA3">
        <w:rPr>
          <w:rFonts w:ascii="Verdana" w:hAnsi="Verdana"/>
          <w:sz w:val="20"/>
          <w:szCs w:val="20"/>
          <w:lang w:val="es-CR"/>
        </w:rPr>
        <w:t xml:space="preserve">, </w:t>
      </w:r>
      <w:r w:rsidR="005A7BA3" w:rsidRPr="00963938">
        <w:rPr>
          <w:rFonts w:ascii="Verdana" w:hAnsi="Verdana"/>
          <w:sz w:val="20"/>
          <w:szCs w:val="20"/>
          <w:lang w:val="es-CR"/>
        </w:rPr>
        <w:t xml:space="preserve">sin perjuicio de lo dispuesto en los párrafos considerativos </w:t>
      </w:r>
      <w:r w:rsidRPr="00963938">
        <w:rPr>
          <w:rFonts w:ascii="Verdana" w:hAnsi="Verdana"/>
          <w:sz w:val="20"/>
          <w:szCs w:val="20"/>
          <w:lang w:val="es-CR"/>
        </w:rPr>
        <w:t>14 a 20</w:t>
      </w:r>
      <w:r w:rsidR="005A7BA3" w:rsidRPr="00963938">
        <w:rPr>
          <w:rFonts w:ascii="Verdana" w:hAnsi="Verdana"/>
          <w:sz w:val="20"/>
          <w:szCs w:val="20"/>
          <w:lang w:val="es-CR"/>
        </w:rPr>
        <w:t xml:space="preserve"> de la presente Resolución.</w:t>
      </w:r>
    </w:p>
    <w:p w:rsidR="00EA7658" w:rsidRPr="00A14264" w:rsidRDefault="00EA7658" w:rsidP="00EA7658">
      <w:pPr>
        <w:pStyle w:val="ListParagraph"/>
        <w:numPr>
          <w:ilvl w:val="0"/>
          <w:numId w:val="0"/>
        </w:numPr>
        <w:tabs>
          <w:tab w:val="left" w:pos="567"/>
        </w:tabs>
        <w:rPr>
          <w:color w:val="000000"/>
          <w:lang w:val="es-CR" w:eastAsia="es-ES"/>
        </w:rPr>
      </w:pPr>
    </w:p>
    <w:p w:rsidR="00EA7658" w:rsidRPr="00A14264" w:rsidRDefault="00963938" w:rsidP="00EA7658">
      <w:pPr>
        <w:numPr>
          <w:ilvl w:val="0"/>
          <w:numId w:val="10"/>
        </w:numPr>
        <w:tabs>
          <w:tab w:val="clear" w:pos="1440"/>
          <w:tab w:val="left" w:pos="567"/>
          <w:tab w:val="num" w:pos="720"/>
        </w:tabs>
        <w:autoSpaceDE w:val="0"/>
        <w:autoSpaceDN w:val="0"/>
        <w:adjustRightInd w:val="0"/>
        <w:spacing w:after="0" w:line="240" w:lineRule="auto"/>
        <w:jc w:val="both"/>
        <w:rPr>
          <w:rFonts w:ascii="Verdana" w:hAnsi="Verdana" w:cs="Verdana"/>
          <w:color w:val="000000"/>
          <w:sz w:val="20"/>
          <w:szCs w:val="20"/>
          <w:lang w:val="es-CR" w:eastAsia="es-ES"/>
        </w:rPr>
      </w:pPr>
      <w:r>
        <w:rPr>
          <w:rFonts w:ascii="Verdana" w:hAnsi="Verdana" w:cs="Verdana"/>
          <w:color w:val="000000"/>
          <w:sz w:val="20"/>
          <w:szCs w:val="20"/>
          <w:lang w:val="es-CR" w:eastAsia="es-ES"/>
        </w:rPr>
        <w:t>Requerir a la Comisión</w:t>
      </w:r>
      <w:r w:rsidR="00EA7658" w:rsidRPr="00A14264">
        <w:rPr>
          <w:rFonts w:ascii="Verdana" w:hAnsi="Verdana" w:cs="Verdana"/>
          <w:color w:val="000000"/>
          <w:sz w:val="20"/>
          <w:szCs w:val="20"/>
          <w:lang w:val="es-CR" w:eastAsia="es-ES"/>
        </w:rPr>
        <w:t xml:space="preserve"> y a los representantes que informen a las personas convocadas por la Corte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 </w:t>
      </w:r>
    </w:p>
    <w:p w:rsidR="00EA7658" w:rsidRPr="00A14264" w:rsidRDefault="00EA7658" w:rsidP="00EA7658">
      <w:pPr>
        <w:tabs>
          <w:tab w:val="left" w:pos="567"/>
        </w:tabs>
        <w:autoSpaceDE w:val="0"/>
        <w:autoSpaceDN w:val="0"/>
        <w:adjustRightInd w:val="0"/>
        <w:spacing w:after="0" w:line="240" w:lineRule="auto"/>
        <w:jc w:val="both"/>
        <w:rPr>
          <w:rFonts w:ascii="Verdana" w:hAnsi="Verdana" w:cs="Verdana"/>
          <w:color w:val="000000"/>
          <w:sz w:val="20"/>
          <w:szCs w:val="20"/>
          <w:lang w:val="es-CR" w:eastAsia="es-ES"/>
        </w:rPr>
      </w:pPr>
    </w:p>
    <w:p w:rsidR="00EA7658" w:rsidRPr="00A14264" w:rsidRDefault="00EA7658" w:rsidP="00EA7658">
      <w:pPr>
        <w:numPr>
          <w:ilvl w:val="0"/>
          <w:numId w:val="10"/>
        </w:numPr>
        <w:tabs>
          <w:tab w:val="clear" w:pos="1440"/>
          <w:tab w:val="left" w:pos="567"/>
          <w:tab w:val="num" w:pos="720"/>
        </w:tabs>
        <w:autoSpaceDE w:val="0"/>
        <w:autoSpaceDN w:val="0"/>
        <w:adjustRightInd w:val="0"/>
        <w:spacing w:after="0" w:line="240" w:lineRule="auto"/>
        <w:jc w:val="both"/>
        <w:rPr>
          <w:rFonts w:ascii="Verdana" w:hAnsi="Verdana" w:cs="Verdana"/>
          <w:color w:val="000000"/>
          <w:sz w:val="20"/>
          <w:szCs w:val="20"/>
          <w:lang w:val="es-CR" w:eastAsia="es-ES"/>
        </w:rPr>
      </w:pPr>
      <w:r w:rsidRPr="00A14264">
        <w:rPr>
          <w:rFonts w:ascii="Verdana" w:hAnsi="Verdana" w:cs="Verdana"/>
          <w:color w:val="000000"/>
          <w:sz w:val="20"/>
          <w:szCs w:val="20"/>
          <w:lang w:val="es-CR" w:eastAsia="es-ES"/>
        </w:rPr>
        <w:t xml:space="preserve">Informar a los representantes, al Estado y a la Comisión que, al término de las declaraciones rendidas en la audiencia pública, podrán presentar ante el Tribunal sus alegatos finales orales y observaciones finales orales, respectivamente, sobre </w:t>
      </w:r>
      <w:r w:rsidR="00474F46">
        <w:rPr>
          <w:rFonts w:ascii="Verdana" w:hAnsi="Verdana" w:cs="Verdana"/>
          <w:color w:val="000000"/>
          <w:sz w:val="20"/>
          <w:szCs w:val="20"/>
          <w:lang w:val="es-CR" w:eastAsia="es-ES"/>
        </w:rPr>
        <w:t>el</w:t>
      </w:r>
      <w:r w:rsidRPr="00A14264">
        <w:rPr>
          <w:rFonts w:ascii="Verdana" w:hAnsi="Verdana" w:cs="Verdana"/>
          <w:color w:val="000000"/>
          <w:sz w:val="20"/>
          <w:szCs w:val="20"/>
          <w:lang w:val="es-CR" w:eastAsia="es-ES"/>
        </w:rPr>
        <w:t xml:space="preserve"> </w:t>
      </w:r>
      <w:r w:rsidR="00474F46">
        <w:rPr>
          <w:rFonts w:ascii="Verdana" w:hAnsi="Verdana" w:cs="Verdana"/>
          <w:color w:val="000000"/>
          <w:sz w:val="20"/>
          <w:szCs w:val="20"/>
          <w:lang w:val="es-CR" w:eastAsia="es-ES"/>
        </w:rPr>
        <w:t>fondo y</w:t>
      </w:r>
      <w:r w:rsidR="00474F46" w:rsidRPr="00474F46">
        <w:rPr>
          <w:rFonts w:ascii="Verdana" w:hAnsi="Verdana" w:cs="Verdana"/>
          <w:color w:val="000000"/>
          <w:sz w:val="20"/>
          <w:szCs w:val="20"/>
          <w:lang w:val="es-CR" w:eastAsia="es-ES"/>
        </w:rPr>
        <w:t xml:space="preserve"> </w:t>
      </w:r>
      <w:r w:rsidR="00474F46" w:rsidRPr="00A14264">
        <w:rPr>
          <w:rFonts w:ascii="Verdana" w:hAnsi="Verdana" w:cs="Verdana"/>
          <w:color w:val="000000"/>
          <w:sz w:val="20"/>
          <w:szCs w:val="20"/>
          <w:lang w:val="es-CR" w:eastAsia="es-ES"/>
        </w:rPr>
        <w:t>eventuales</w:t>
      </w:r>
      <w:r w:rsidRPr="00A14264">
        <w:rPr>
          <w:rFonts w:ascii="Verdana" w:hAnsi="Verdana" w:cs="Verdana"/>
          <w:color w:val="000000"/>
          <w:sz w:val="20"/>
          <w:szCs w:val="20"/>
          <w:lang w:val="es-CR" w:eastAsia="es-ES"/>
        </w:rPr>
        <w:t xml:space="preserve"> reparaciones y costas en el presente caso. </w:t>
      </w:r>
    </w:p>
    <w:p w:rsidR="00EA7658" w:rsidRPr="00A14264" w:rsidRDefault="00EA7658" w:rsidP="00EA7658">
      <w:pPr>
        <w:tabs>
          <w:tab w:val="left" w:pos="567"/>
        </w:tabs>
        <w:autoSpaceDE w:val="0"/>
        <w:autoSpaceDN w:val="0"/>
        <w:adjustRightInd w:val="0"/>
        <w:spacing w:after="0" w:line="240" w:lineRule="auto"/>
        <w:jc w:val="both"/>
        <w:rPr>
          <w:rFonts w:ascii="Verdana" w:hAnsi="Verdana" w:cs="Verdana"/>
          <w:color w:val="000000"/>
          <w:sz w:val="20"/>
          <w:szCs w:val="20"/>
          <w:lang w:val="es-CR" w:eastAsia="es-ES"/>
        </w:rPr>
      </w:pPr>
    </w:p>
    <w:p w:rsidR="00EA7658" w:rsidRPr="00A14264" w:rsidRDefault="00EA7658" w:rsidP="00EA7658">
      <w:pPr>
        <w:numPr>
          <w:ilvl w:val="0"/>
          <w:numId w:val="10"/>
        </w:numPr>
        <w:tabs>
          <w:tab w:val="clear" w:pos="1440"/>
          <w:tab w:val="left" w:pos="567"/>
          <w:tab w:val="num" w:pos="720"/>
        </w:tabs>
        <w:autoSpaceDE w:val="0"/>
        <w:autoSpaceDN w:val="0"/>
        <w:adjustRightInd w:val="0"/>
        <w:spacing w:after="0" w:line="240" w:lineRule="auto"/>
        <w:jc w:val="both"/>
        <w:rPr>
          <w:rFonts w:ascii="Verdana" w:hAnsi="Verdana" w:cs="Verdana"/>
          <w:color w:val="000000"/>
          <w:sz w:val="20"/>
          <w:szCs w:val="20"/>
          <w:lang w:val="es-CR" w:eastAsia="es-ES"/>
        </w:rPr>
      </w:pPr>
      <w:r w:rsidRPr="00A14264">
        <w:rPr>
          <w:rFonts w:ascii="Verdana" w:hAnsi="Verdana" w:cs="Verdana"/>
          <w:color w:val="000000"/>
          <w:sz w:val="20"/>
          <w:szCs w:val="20"/>
          <w:lang w:val="es-CR" w:eastAsia="es-ES"/>
        </w:rPr>
        <w:t>Disponer que la Secretaría de la Corte, de conformidad con lo dispuesto en el artículo 55.3 del Reglamento, indique a la Comisión Interamericana, a los representantes y al Estado el enlace donde se encontrará disponible la grabación de la audiencia pública sobre fondo</w:t>
      </w:r>
      <w:r w:rsidR="00963938">
        <w:rPr>
          <w:rFonts w:ascii="Verdana" w:hAnsi="Verdana" w:cs="Verdana"/>
          <w:color w:val="000000"/>
          <w:sz w:val="20"/>
          <w:szCs w:val="20"/>
          <w:lang w:val="es-CR" w:eastAsia="es-ES"/>
        </w:rPr>
        <w:t xml:space="preserve"> y eventuales</w:t>
      </w:r>
      <w:r w:rsidRPr="00A14264">
        <w:rPr>
          <w:rFonts w:ascii="Verdana" w:hAnsi="Verdana" w:cs="Verdana"/>
          <w:color w:val="000000"/>
          <w:sz w:val="20"/>
          <w:szCs w:val="20"/>
          <w:lang w:val="es-CR" w:eastAsia="es-ES"/>
        </w:rPr>
        <w:t xml:space="preserve"> reparaciones y costas, a la brevedad posible luego de la celebración de la referida audiencia. </w:t>
      </w:r>
    </w:p>
    <w:p w:rsidR="00EA7658" w:rsidRPr="00A14264" w:rsidRDefault="00EA7658" w:rsidP="00EA7658">
      <w:pPr>
        <w:tabs>
          <w:tab w:val="left" w:pos="567"/>
        </w:tabs>
        <w:autoSpaceDE w:val="0"/>
        <w:autoSpaceDN w:val="0"/>
        <w:adjustRightInd w:val="0"/>
        <w:spacing w:after="0" w:line="240" w:lineRule="auto"/>
        <w:jc w:val="both"/>
        <w:rPr>
          <w:rFonts w:ascii="Verdana" w:hAnsi="Verdana" w:cs="Verdana"/>
          <w:color w:val="000000"/>
          <w:sz w:val="20"/>
          <w:szCs w:val="20"/>
          <w:lang w:val="es-CR" w:eastAsia="es-ES"/>
        </w:rPr>
      </w:pPr>
    </w:p>
    <w:p w:rsidR="00A521EA" w:rsidRDefault="00EA7658" w:rsidP="00A521EA">
      <w:pPr>
        <w:numPr>
          <w:ilvl w:val="0"/>
          <w:numId w:val="10"/>
        </w:numPr>
        <w:tabs>
          <w:tab w:val="clear" w:pos="1440"/>
          <w:tab w:val="left" w:pos="567"/>
          <w:tab w:val="num" w:pos="720"/>
        </w:tabs>
        <w:autoSpaceDE w:val="0"/>
        <w:autoSpaceDN w:val="0"/>
        <w:adjustRightInd w:val="0"/>
        <w:spacing w:after="0" w:line="240" w:lineRule="auto"/>
        <w:jc w:val="both"/>
        <w:rPr>
          <w:rFonts w:ascii="Verdana" w:hAnsi="Verdana" w:cs="Verdana"/>
          <w:color w:val="000000"/>
          <w:sz w:val="20"/>
          <w:szCs w:val="20"/>
          <w:lang w:val="es-CR" w:eastAsia="es-ES"/>
        </w:rPr>
      </w:pPr>
      <w:r w:rsidRPr="00A14264">
        <w:rPr>
          <w:rFonts w:ascii="Verdana" w:hAnsi="Verdana" w:cs="Verdana"/>
          <w:color w:val="000000"/>
          <w:sz w:val="20"/>
          <w:szCs w:val="20"/>
          <w:lang w:val="es-CR" w:eastAsia="es-ES"/>
        </w:rPr>
        <w:t>Informar a los representantes, al Estado y a la Comisión Interamericana que</w:t>
      </w:r>
      <w:r w:rsidR="00474F46">
        <w:rPr>
          <w:rFonts w:ascii="Verdana" w:hAnsi="Verdana" w:cs="Verdana"/>
          <w:color w:val="000000"/>
          <w:sz w:val="20"/>
          <w:szCs w:val="20"/>
          <w:lang w:val="es-CR" w:eastAsia="es-ES"/>
        </w:rPr>
        <w:t xml:space="preserve"> cuentan con un plazo hasta el </w:t>
      </w:r>
      <w:r w:rsidR="00E27462">
        <w:rPr>
          <w:rFonts w:ascii="Verdana" w:hAnsi="Verdana" w:cs="Verdana"/>
          <w:color w:val="000000"/>
          <w:sz w:val="20"/>
          <w:szCs w:val="20"/>
          <w:lang w:val="es-CR" w:eastAsia="es-ES"/>
        </w:rPr>
        <w:t>24 de mayo</w:t>
      </w:r>
      <w:r w:rsidRPr="00A14264">
        <w:rPr>
          <w:rFonts w:ascii="Verdana" w:hAnsi="Verdana" w:cs="Verdana"/>
          <w:color w:val="000000"/>
          <w:sz w:val="20"/>
          <w:szCs w:val="20"/>
          <w:lang w:val="es-CR" w:eastAsia="es-ES"/>
        </w:rPr>
        <w:t xml:space="preserve"> de 2015 para presentar sus alegatos finales escritos y observaciones finales escritas, respectivamente, en relación con </w:t>
      </w:r>
      <w:r w:rsidR="00474F46">
        <w:rPr>
          <w:rFonts w:ascii="Verdana" w:hAnsi="Verdana" w:cs="Verdana"/>
          <w:color w:val="000000"/>
          <w:sz w:val="20"/>
          <w:szCs w:val="20"/>
          <w:lang w:val="es-CR" w:eastAsia="es-ES"/>
        </w:rPr>
        <w:t>el fondo y eventuales</w:t>
      </w:r>
      <w:r w:rsidRPr="00A14264">
        <w:rPr>
          <w:rFonts w:ascii="Verdana" w:hAnsi="Verdana" w:cs="Verdana"/>
          <w:color w:val="000000"/>
          <w:sz w:val="20"/>
          <w:szCs w:val="20"/>
          <w:lang w:val="es-CR" w:eastAsia="es-ES"/>
        </w:rPr>
        <w:t xml:space="preserve"> reparaciones y costas en el presente caso. Este plazo es improrrogable e independiente de la puesta a disposición de las partes de la grabación de la audiencia pública.</w:t>
      </w:r>
    </w:p>
    <w:p w:rsidR="00A521EA" w:rsidRPr="00A521EA" w:rsidRDefault="00A521EA" w:rsidP="00A521EA">
      <w:pPr>
        <w:tabs>
          <w:tab w:val="left" w:pos="567"/>
        </w:tabs>
        <w:autoSpaceDE w:val="0"/>
        <w:autoSpaceDN w:val="0"/>
        <w:adjustRightInd w:val="0"/>
        <w:spacing w:after="0" w:line="240" w:lineRule="auto"/>
        <w:jc w:val="both"/>
        <w:rPr>
          <w:rFonts w:ascii="Verdana" w:hAnsi="Verdana" w:cs="Verdana"/>
          <w:color w:val="000000"/>
          <w:sz w:val="20"/>
          <w:szCs w:val="20"/>
          <w:lang w:val="es-CR" w:eastAsia="es-ES"/>
        </w:rPr>
      </w:pPr>
    </w:p>
    <w:p w:rsidR="00A521EA" w:rsidRPr="00A521EA" w:rsidRDefault="00A521EA" w:rsidP="00A521EA">
      <w:pPr>
        <w:numPr>
          <w:ilvl w:val="0"/>
          <w:numId w:val="10"/>
        </w:numPr>
        <w:tabs>
          <w:tab w:val="clear" w:pos="1440"/>
          <w:tab w:val="left" w:pos="567"/>
          <w:tab w:val="num" w:pos="720"/>
        </w:tabs>
        <w:autoSpaceDE w:val="0"/>
        <w:autoSpaceDN w:val="0"/>
        <w:adjustRightInd w:val="0"/>
        <w:spacing w:after="0" w:line="240" w:lineRule="auto"/>
        <w:jc w:val="both"/>
        <w:rPr>
          <w:rFonts w:ascii="Verdana" w:hAnsi="Verdana" w:cs="Verdana"/>
          <w:color w:val="000000"/>
          <w:sz w:val="20"/>
          <w:szCs w:val="20"/>
          <w:lang w:val="es-CR" w:eastAsia="es-ES"/>
        </w:rPr>
      </w:pPr>
      <w:r w:rsidRPr="00A521EA">
        <w:rPr>
          <w:rFonts w:ascii="Verdana" w:hAnsi="Verdana" w:cs="Verdana"/>
          <w:color w:val="000000"/>
          <w:sz w:val="20"/>
          <w:szCs w:val="20"/>
          <w:lang w:val="es-CR" w:eastAsia="es-ES"/>
        </w:rPr>
        <w:t xml:space="preserve">Declarar procedente la aplicación del Fondo de Asistencia Legal de Víctimas de la Corte Interamericana de Derechos Humanos, para cubrir los gastos que ocasione la representación de las presuntas víctimas por parte de los defensores interamericanos, de conformidad con lo establecido en los párrafos considerativos </w:t>
      </w:r>
      <w:r w:rsidR="00963938">
        <w:rPr>
          <w:rFonts w:ascii="Verdana" w:hAnsi="Verdana" w:cs="Verdana"/>
          <w:color w:val="000000"/>
          <w:sz w:val="20"/>
          <w:szCs w:val="20"/>
          <w:lang w:val="es-CR" w:eastAsia="es-ES"/>
        </w:rPr>
        <w:t>14 a 20</w:t>
      </w:r>
      <w:r w:rsidRPr="00A521EA">
        <w:rPr>
          <w:rFonts w:ascii="Verdana" w:hAnsi="Verdana" w:cs="Verdana"/>
          <w:color w:val="000000"/>
          <w:sz w:val="20"/>
          <w:szCs w:val="20"/>
          <w:lang w:val="es-CR" w:eastAsia="es-ES"/>
        </w:rPr>
        <w:t xml:space="preserve"> de esta Resolución.</w:t>
      </w:r>
    </w:p>
    <w:p w:rsidR="00A521EA" w:rsidRPr="00A521EA" w:rsidRDefault="00A521EA" w:rsidP="00A521EA">
      <w:pPr>
        <w:tabs>
          <w:tab w:val="left" w:pos="567"/>
        </w:tabs>
        <w:autoSpaceDE w:val="0"/>
        <w:autoSpaceDN w:val="0"/>
        <w:adjustRightInd w:val="0"/>
        <w:spacing w:after="0" w:line="240" w:lineRule="auto"/>
        <w:jc w:val="both"/>
        <w:rPr>
          <w:rFonts w:ascii="Verdana" w:hAnsi="Verdana" w:cs="Verdana"/>
          <w:color w:val="000000"/>
          <w:sz w:val="20"/>
          <w:szCs w:val="20"/>
          <w:lang w:val="es-CR" w:eastAsia="es-ES"/>
        </w:rPr>
      </w:pPr>
    </w:p>
    <w:p w:rsidR="00A521EA" w:rsidRPr="00A521EA" w:rsidRDefault="00A521EA" w:rsidP="00A521EA">
      <w:pPr>
        <w:numPr>
          <w:ilvl w:val="0"/>
          <w:numId w:val="10"/>
        </w:numPr>
        <w:tabs>
          <w:tab w:val="clear" w:pos="1440"/>
          <w:tab w:val="left" w:pos="567"/>
          <w:tab w:val="num" w:pos="720"/>
        </w:tabs>
        <w:autoSpaceDE w:val="0"/>
        <w:autoSpaceDN w:val="0"/>
        <w:adjustRightInd w:val="0"/>
        <w:spacing w:after="0" w:line="240" w:lineRule="auto"/>
        <w:jc w:val="both"/>
        <w:rPr>
          <w:rFonts w:ascii="Verdana" w:hAnsi="Verdana" w:cs="Verdana"/>
          <w:color w:val="000000"/>
          <w:sz w:val="20"/>
          <w:szCs w:val="20"/>
          <w:lang w:val="es-CR" w:eastAsia="es-ES"/>
        </w:rPr>
      </w:pPr>
      <w:r w:rsidRPr="00A521EA">
        <w:rPr>
          <w:rFonts w:ascii="Verdana" w:hAnsi="Verdana" w:cs="Verdana"/>
          <w:color w:val="000000"/>
          <w:sz w:val="20"/>
          <w:szCs w:val="20"/>
          <w:lang w:val="es-CR" w:eastAsia="es-ES"/>
        </w:rPr>
        <w:t>Requerir a los representantes que remitan a la Corte las cotizaciones del costo de la formalización de la</w:t>
      </w:r>
      <w:r>
        <w:rPr>
          <w:rFonts w:ascii="Verdana" w:hAnsi="Verdana" w:cs="Verdana"/>
          <w:color w:val="000000"/>
          <w:sz w:val="20"/>
          <w:szCs w:val="20"/>
          <w:lang w:val="es-CR" w:eastAsia="es-ES"/>
        </w:rPr>
        <w:t>s</w:t>
      </w:r>
      <w:r w:rsidRPr="00A521EA">
        <w:rPr>
          <w:rFonts w:ascii="Verdana" w:hAnsi="Verdana" w:cs="Verdana"/>
          <w:color w:val="000000"/>
          <w:sz w:val="20"/>
          <w:szCs w:val="20"/>
          <w:lang w:val="es-CR" w:eastAsia="es-ES"/>
        </w:rPr>
        <w:t xml:space="preserve"> declaraci</w:t>
      </w:r>
      <w:r>
        <w:rPr>
          <w:rFonts w:ascii="Verdana" w:hAnsi="Verdana" w:cs="Verdana"/>
          <w:color w:val="000000"/>
          <w:sz w:val="20"/>
          <w:szCs w:val="20"/>
          <w:lang w:val="es-CR" w:eastAsia="es-ES"/>
        </w:rPr>
        <w:t>ones</w:t>
      </w:r>
      <w:r w:rsidRPr="00A521EA">
        <w:rPr>
          <w:rFonts w:ascii="Verdana" w:hAnsi="Verdana" w:cs="Verdana"/>
          <w:color w:val="000000"/>
          <w:sz w:val="20"/>
          <w:szCs w:val="20"/>
          <w:lang w:val="es-CR" w:eastAsia="es-ES"/>
        </w:rPr>
        <w:t xml:space="preserve"> jurada</w:t>
      </w:r>
      <w:r>
        <w:rPr>
          <w:rFonts w:ascii="Verdana" w:hAnsi="Verdana" w:cs="Verdana"/>
          <w:color w:val="000000"/>
          <w:sz w:val="20"/>
          <w:szCs w:val="20"/>
          <w:lang w:val="es-CR" w:eastAsia="es-ES"/>
        </w:rPr>
        <w:t>s</w:t>
      </w:r>
      <w:r w:rsidRPr="00A521EA">
        <w:rPr>
          <w:rFonts w:ascii="Verdana" w:hAnsi="Verdana" w:cs="Verdana"/>
          <w:color w:val="000000"/>
          <w:sz w:val="20"/>
          <w:szCs w:val="20"/>
          <w:lang w:val="es-CR" w:eastAsia="es-ES"/>
        </w:rPr>
        <w:t xml:space="preserve"> y de su envío a la sede de la Corte </w:t>
      </w:r>
      <w:r w:rsidRPr="00A521EA">
        <w:rPr>
          <w:rFonts w:ascii="Verdana" w:hAnsi="Verdana" w:cs="Verdana"/>
          <w:color w:val="000000"/>
          <w:sz w:val="20"/>
          <w:szCs w:val="20"/>
          <w:lang w:val="es-CR" w:eastAsia="es-ES"/>
        </w:rPr>
        <w:lastRenderedPageBreak/>
        <w:t xml:space="preserve">Interamericana, </w:t>
      </w:r>
      <w:r w:rsidR="00165662" w:rsidRPr="00A521EA">
        <w:rPr>
          <w:rFonts w:ascii="Verdana" w:hAnsi="Verdana" w:cs="Verdana"/>
          <w:color w:val="000000"/>
          <w:sz w:val="20"/>
          <w:szCs w:val="20"/>
          <w:lang w:val="es-CR" w:eastAsia="es-ES"/>
        </w:rPr>
        <w:t xml:space="preserve">así como el resto de información, </w:t>
      </w:r>
      <w:r w:rsidRPr="00A521EA">
        <w:rPr>
          <w:rFonts w:ascii="Verdana" w:hAnsi="Verdana" w:cs="Verdana"/>
          <w:color w:val="000000"/>
          <w:sz w:val="20"/>
          <w:szCs w:val="20"/>
          <w:lang w:val="es-CR" w:eastAsia="es-ES"/>
        </w:rPr>
        <w:t xml:space="preserve">a más tardar el </w:t>
      </w:r>
      <w:r w:rsidR="00165662">
        <w:rPr>
          <w:rFonts w:ascii="Verdana" w:hAnsi="Verdana" w:cs="Verdana"/>
          <w:color w:val="000000"/>
          <w:sz w:val="20"/>
          <w:szCs w:val="20"/>
          <w:lang w:val="es-CR" w:eastAsia="es-ES"/>
        </w:rPr>
        <w:t>1</w:t>
      </w:r>
      <w:r w:rsidR="00963938">
        <w:rPr>
          <w:rFonts w:ascii="Verdana" w:hAnsi="Verdana" w:cs="Verdana"/>
          <w:color w:val="000000"/>
          <w:sz w:val="20"/>
          <w:szCs w:val="20"/>
          <w:lang w:val="es-CR" w:eastAsia="es-ES"/>
        </w:rPr>
        <w:t>6</w:t>
      </w:r>
      <w:r w:rsidR="00353E07">
        <w:rPr>
          <w:rFonts w:ascii="Verdana" w:hAnsi="Verdana" w:cs="Verdana"/>
          <w:color w:val="000000"/>
          <w:sz w:val="20"/>
          <w:szCs w:val="20"/>
          <w:lang w:val="es-CR" w:eastAsia="es-ES"/>
        </w:rPr>
        <w:t xml:space="preserve"> de marzo</w:t>
      </w:r>
      <w:r w:rsidRPr="00A521EA">
        <w:rPr>
          <w:rFonts w:ascii="Verdana" w:hAnsi="Verdana" w:cs="Verdana"/>
          <w:color w:val="000000"/>
          <w:sz w:val="20"/>
          <w:szCs w:val="20"/>
          <w:lang w:val="es-CR" w:eastAsia="es-ES"/>
        </w:rPr>
        <w:t xml:space="preserve"> de 2013, de conformidad con lo establecido en el párrafo considerativo </w:t>
      </w:r>
      <w:r w:rsidR="00963938">
        <w:rPr>
          <w:rFonts w:ascii="Verdana" w:hAnsi="Verdana" w:cs="Verdana"/>
          <w:color w:val="000000"/>
          <w:sz w:val="20"/>
          <w:szCs w:val="20"/>
          <w:lang w:val="es-CR" w:eastAsia="es-ES"/>
        </w:rPr>
        <w:t>17</w:t>
      </w:r>
      <w:r w:rsidR="00353E07">
        <w:rPr>
          <w:rFonts w:ascii="Verdana" w:hAnsi="Verdana" w:cs="Verdana"/>
          <w:color w:val="000000"/>
          <w:sz w:val="20"/>
          <w:szCs w:val="20"/>
          <w:lang w:val="es-CR" w:eastAsia="es-ES"/>
        </w:rPr>
        <w:t xml:space="preserve"> de esta Resolución</w:t>
      </w:r>
      <w:r w:rsidRPr="00A521EA">
        <w:rPr>
          <w:rFonts w:ascii="Verdana" w:hAnsi="Verdana" w:cs="Verdana"/>
          <w:color w:val="000000"/>
          <w:sz w:val="20"/>
          <w:szCs w:val="20"/>
          <w:lang w:val="es-CR" w:eastAsia="es-ES"/>
        </w:rPr>
        <w:t>.</w:t>
      </w:r>
    </w:p>
    <w:p w:rsidR="00A521EA" w:rsidRDefault="00A521EA" w:rsidP="004B0319">
      <w:pPr>
        <w:tabs>
          <w:tab w:val="left" w:pos="567"/>
        </w:tabs>
        <w:autoSpaceDE w:val="0"/>
        <w:autoSpaceDN w:val="0"/>
        <w:adjustRightInd w:val="0"/>
        <w:spacing w:after="0" w:line="240" w:lineRule="auto"/>
        <w:jc w:val="both"/>
        <w:rPr>
          <w:rFonts w:ascii="Verdana" w:hAnsi="Verdana" w:cs="Verdana"/>
          <w:color w:val="000000"/>
          <w:sz w:val="20"/>
          <w:szCs w:val="20"/>
          <w:lang w:val="es-CR" w:eastAsia="es-ES"/>
        </w:rPr>
      </w:pPr>
    </w:p>
    <w:p w:rsidR="004B0319" w:rsidRPr="00F97FD6" w:rsidRDefault="004B0319" w:rsidP="004B0319">
      <w:pPr>
        <w:numPr>
          <w:ilvl w:val="0"/>
          <w:numId w:val="10"/>
        </w:numPr>
        <w:tabs>
          <w:tab w:val="clear" w:pos="1440"/>
          <w:tab w:val="left" w:pos="567"/>
          <w:tab w:val="num" w:pos="720"/>
        </w:tabs>
        <w:autoSpaceDE w:val="0"/>
        <w:autoSpaceDN w:val="0"/>
        <w:adjustRightInd w:val="0"/>
        <w:spacing w:after="0" w:line="240" w:lineRule="auto"/>
        <w:jc w:val="both"/>
        <w:rPr>
          <w:rFonts w:ascii="Verdana" w:hAnsi="Verdana" w:cs="Verdana"/>
          <w:color w:val="000000"/>
          <w:sz w:val="20"/>
          <w:szCs w:val="20"/>
          <w:lang w:val="es-CR" w:eastAsia="es-ES"/>
        </w:rPr>
      </w:pPr>
      <w:r w:rsidRPr="00F97FD6">
        <w:rPr>
          <w:rFonts w:ascii="Verdana" w:hAnsi="Verdana"/>
          <w:sz w:val="20"/>
          <w:szCs w:val="20"/>
        </w:rPr>
        <w:t>Disponer, de conformidad con el artículo 4 del Reglamento de la Corte sobre el Funcionamiento del Fondo de Asistencia Legal de Víctimas, que la Secretaría del Tribunal abra un expediente de gastos, donde se documentará cada una de las erogaciones que se realicen en aplicación de dicho Fondo.</w:t>
      </w:r>
    </w:p>
    <w:p w:rsidR="00EA7658" w:rsidRPr="00A14264" w:rsidRDefault="00EA7658" w:rsidP="00EA7658">
      <w:pPr>
        <w:pStyle w:val="ListParagraph"/>
        <w:numPr>
          <w:ilvl w:val="0"/>
          <w:numId w:val="0"/>
        </w:numPr>
        <w:tabs>
          <w:tab w:val="left" w:pos="567"/>
        </w:tabs>
        <w:rPr>
          <w:color w:val="000000"/>
          <w:lang w:val="es-CR" w:eastAsia="es-ES"/>
        </w:rPr>
      </w:pPr>
    </w:p>
    <w:p w:rsidR="00EA7658" w:rsidRPr="00A14264" w:rsidRDefault="00EA7658" w:rsidP="00EA7658">
      <w:pPr>
        <w:numPr>
          <w:ilvl w:val="0"/>
          <w:numId w:val="10"/>
        </w:numPr>
        <w:tabs>
          <w:tab w:val="clear" w:pos="1440"/>
          <w:tab w:val="left" w:pos="567"/>
          <w:tab w:val="num" w:pos="720"/>
        </w:tabs>
        <w:autoSpaceDE w:val="0"/>
        <w:autoSpaceDN w:val="0"/>
        <w:adjustRightInd w:val="0"/>
        <w:spacing w:after="0" w:line="240" w:lineRule="auto"/>
        <w:jc w:val="both"/>
        <w:rPr>
          <w:rFonts w:ascii="Verdana" w:hAnsi="Verdana" w:cs="Verdana"/>
          <w:color w:val="000000"/>
          <w:sz w:val="20"/>
          <w:szCs w:val="20"/>
          <w:lang w:val="es-CR" w:eastAsia="es-ES"/>
        </w:rPr>
      </w:pPr>
      <w:r w:rsidRPr="00A14264">
        <w:rPr>
          <w:rFonts w:ascii="Verdana" w:hAnsi="Verdana" w:cs="Verdana"/>
          <w:color w:val="000000"/>
          <w:sz w:val="20"/>
          <w:szCs w:val="20"/>
          <w:lang w:val="es-CR" w:eastAsia="es-ES"/>
        </w:rPr>
        <w:t>Disponer que la Secretaría de la Corte Interamericana notifique la presente Resolución a la Comisión Interamericana de Derechos Humanos, a los representantes de las presuntas víctimas y a</w:t>
      </w:r>
      <w:r w:rsidR="00F97FD6">
        <w:rPr>
          <w:rFonts w:ascii="Verdana" w:hAnsi="Verdana" w:cs="Verdana"/>
          <w:color w:val="000000"/>
          <w:sz w:val="20"/>
          <w:szCs w:val="20"/>
          <w:lang w:val="es-CR" w:eastAsia="es-ES"/>
        </w:rPr>
        <w:t>l Estado</w:t>
      </w:r>
      <w:r w:rsidRPr="00A14264">
        <w:rPr>
          <w:rFonts w:ascii="Verdana" w:hAnsi="Verdana" w:cs="Verdana"/>
          <w:color w:val="000000"/>
          <w:sz w:val="20"/>
          <w:szCs w:val="20"/>
          <w:lang w:val="es-CR" w:eastAsia="es-ES"/>
        </w:rPr>
        <w:t xml:space="preserve">. </w:t>
      </w:r>
    </w:p>
    <w:p w:rsidR="00EA7658" w:rsidRPr="00A14264" w:rsidRDefault="00EA7658" w:rsidP="00EA7658">
      <w:pPr>
        <w:tabs>
          <w:tab w:val="left" w:pos="567"/>
        </w:tabs>
        <w:spacing w:after="0" w:line="240" w:lineRule="auto"/>
        <w:jc w:val="both"/>
        <w:rPr>
          <w:rFonts w:ascii="Verdana" w:hAnsi="Verdana"/>
          <w:sz w:val="20"/>
          <w:szCs w:val="20"/>
        </w:rPr>
      </w:pPr>
    </w:p>
    <w:p w:rsidR="00EA7658" w:rsidRPr="00A14264" w:rsidRDefault="00EA7658" w:rsidP="00EA7658">
      <w:pPr>
        <w:tabs>
          <w:tab w:val="left" w:pos="567"/>
        </w:tabs>
        <w:spacing w:after="0" w:line="240" w:lineRule="auto"/>
        <w:jc w:val="both"/>
        <w:rPr>
          <w:rFonts w:ascii="Verdana" w:hAnsi="Verdana"/>
          <w:sz w:val="20"/>
          <w:szCs w:val="20"/>
        </w:rPr>
      </w:pPr>
    </w:p>
    <w:p w:rsidR="00EA7658" w:rsidRPr="00A14264" w:rsidRDefault="00EA7658" w:rsidP="00EA7658">
      <w:pPr>
        <w:tabs>
          <w:tab w:val="left" w:pos="567"/>
        </w:tabs>
        <w:spacing w:after="0" w:line="240" w:lineRule="auto"/>
        <w:jc w:val="both"/>
        <w:rPr>
          <w:rFonts w:ascii="Verdana" w:hAnsi="Verdana"/>
          <w:sz w:val="20"/>
          <w:szCs w:val="20"/>
        </w:rPr>
      </w:pPr>
    </w:p>
    <w:p w:rsidR="00EA7658" w:rsidRDefault="00EA7658" w:rsidP="00EA7658">
      <w:pPr>
        <w:tabs>
          <w:tab w:val="left" w:pos="567"/>
        </w:tabs>
        <w:spacing w:after="0" w:line="240" w:lineRule="auto"/>
        <w:jc w:val="both"/>
        <w:rPr>
          <w:rFonts w:ascii="Verdana" w:hAnsi="Verdana"/>
          <w:sz w:val="20"/>
          <w:szCs w:val="20"/>
        </w:rPr>
      </w:pPr>
    </w:p>
    <w:p w:rsidR="00165662" w:rsidRDefault="00165662" w:rsidP="00EA7658">
      <w:pPr>
        <w:tabs>
          <w:tab w:val="left" w:pos="567"/>
        </w:tabs>
        <w:spacing w:after="0" w:line="240" w:lineRule="auto"/>
        <w:jc w:val="both"/>
        <w:rPr>
          <w:rFonts w:ascii="Verdana" w:hAnsi="Verdana"/>
          <w:sz w:val="20"/>
          <w:szCs w:val="20"/>
        </w:rPr>
      </w:pPr>
    </w:p>
    <w:p w:rsidR="00165662" w:rsidRPr="00A14264" w:rsidRDefault="00165662" w:rsidP="00EA7658">
      <w:pPr>
        <w:tabs>
          <w:tab w:val="left" w:pos="567"/>
        </w:tabs>
        <w:spacing w:after="0" w:line="240" w:lineRule="auto"/>
        <w:jc w:val="both"/>
        <w:rPr>
          <w:rFonts w:ascii="Verdana" w:hAnsi="Verdana"/>
          <w:sz w:val="20"/>
          <w:szCs w:val="20"/>
        </w:rPr>
      </w:pPr>
    </w:p>
    <w:p w:rsidR="00EA7658" w:rsidRPr="00A14264" w:rsidRDefault="00EA7658" w:rsidP="00EA7658">
      <w:pPr>
        <w:tabs>
          <w:tab w:val="left" w:pos="567"/>
          <w:tab w:val="left" w:pos="6663"/>
        </w:tabs>
        <w:spacing w:after="0" w:line="240" w:lineRule="auto"/>
        <w:jc w:val="both"/>
        <w:rPr>
          <w:rFonts w:ascii="Verdana" w:hAnsi="Verdana"/>
          <w:sz w:val="20"/>
          <w:szCs w:val="20"/>
        </w:rPr>
      </w:pPr>
    </w:p>
    <w:p w:rsidR="00EA7658" w:rsidRPr="00A14264" w:rsidRDefault="00EA7658" w:rsidP="00EA7658">
      <w:pPr>
        <w:tabs>
          <w:tab w:val="left" w:pos="567"/>
        </w:tabs>
        <w:spacing w:after="0" w:line="240" w:lineRule="auto"/>
        <w:ind w:left="4253"/>
        <w:jc w:val="center"/>
        <w:rPr>
          <w:rFonts w:ascii="Verdana" w:hAnsi="Verdana"/>
          <w:sz w:val="20"/>
          <w:szCs w:val="20"/>
          <w:lang w:val="pt-BR"/>
        </w:rPr>
      </w:pPr>
      <w:r w:rsidRPr="00A14264">
        <w:rPr>
          <w:rFonts w:ascii="Verdana" w:hAnsi="Verdana"/>
          <w:sz w:val="20"/>
          <w:szCs w:val="20"/>
          <w:lang w:val="pt-BR"/>
        </w:rPr>
        <w:t>Humberto Antonio Sierra Porto</w:t>
      </w:r>
    </w:p>
    <w:p w:rsidR="00EA7658" w:rsidRPr="00A14264" w:rsidRDefault="00EA7658" w:rsidP="00EA7658">
      <w:pPr>
        <w:tabs>
          <w:tab w:val="left" w:pos="567"/>
        </w:tabs>
        <w:spacing w:after="0" w:line="240" w:lineRule="auto"/>
        <w:ind w:left="4253"/>
        <w:jc w:val="center"/>
        <w:rPr>
          <w:rFonts w:ascii="Verdana" w:hAnsi="Verdana"/>
          <w:sz w:val="20"/>
          <w:szCs w:val="20"/>
          <w:lang w:val="pt-BR"/>
        </w:rPr>
      </w:pPr>
      <w:r w:rsidRPr="00A14264">
        <w:rPr>
          <w:rFonts w:ascii="Verdana" w:hAnsi="Verdana"/>
          <w:sz w:val="20"/>
          <w:szCs w:val="20"/>
          <w:lang w:val="pt-BR"/>
        </w:rPr>
        <w:t>Presidente</w:t>
      </w:r>
    </w:p>
    <w:p w:rsidR="00EA7658" w:rsidRPr="00A14264" w:rsidRDefault="00EA7658" w:rsidP="00EA7658">
      <w:pPr>
        <w:tabs>
          <w:tab w:val="left" w:pos="567"/>
          <w:tab w:val="left" w:pos="2835"/>
        </w:tabs>
        <w:spacing w:after="0" w:line="240" w:lineRule="auto"/>
        <w:ind w:right="6003"/>
        <w:jc w:val="center"/>
        <w:rPr>
          <w:rFonts w:ascii="Verdana" w:hAnsi="Verdana"/>
          <w:sz w:val="20"/>
          <w:szCs w:val="20"/>
          <w:lang w:val="es-ES"/>
        </w:rPr>
      </w:pPr>
    </w:p>
    <w:p w:rsidR="00EA7658" w:rsidRDefault="00EA7658" w:rsidP="00EA7658">
      <w:pPr>
        <w:tabs>
          <w:tab w:val="left" w:pos="567"/>
          <w:tab w:val="left" w:pos="2835"/>
        </w:tabs>
        <w:spacing w:after="0" w:line="240" w:lineRule="auto"/>
        <w:ind w:right="6003"/>
        <w:rPr>
          <w:rFonts w:ascii="Verdana" w:hAnsi="Verdana"/>
          <w:sz w:val="20"/>
          <w:szCs w:val="20"/>
          <w:lang w:val="es-ES"/>
        </w:rPr>
      </w:pPr>
    </w:p>
    <w:p w:rsidR="00165662" w:rsidRDefault="00165662" w:rsidP="00EA7658">
      <w:pPr>
        <w:tabs>
          <w:tab w:val="left" w:pos="567"/>
          <w:tab w:val="left" w:pos="2835"/>
        </w:tabs>
        <w:spacing w:after="0" w:line="240" w:lineRule="auto"/>
        <w:ind w:right="6003"/>
        <w:rPr>
          <w:rFonts w:ascii="Verdana" w:hAnsi="Verdana"/>
          <w:sz w:val="20"/>
          <w:szCs w:val="20"/>
          <w:lang w:val="es-ES"/>
        </w:rPr>
      </w:pPr>
    </w:p>
    <w:p w:rsidR="00165662" w:rsidRDefault="00165662" w:rsidP="00EA7658">
      <w:pPr>
        <w:tabs>
          <w:tab w:val="left" w:pos="567"/>
          <w:tab w:val="left" w:pos="2835"/>
        </w:tabs>
        <w:spacing w:after="0" w:line="240" w:lineRule="auto"/>
        <w:ind w:right="6003"/>
        <w:rPr>
          <w:rFonts w:ascii="Verdana" w:hAnsi="Verdana"/>
          <w:sz w:val="20"/>
          <w:szCs w:val="20"/>
          <w:lang w:val="es-ES"/>
        </w:rPr>
      </w:pPr>
    </w:p>
    <w:p w:rsidR="00165662" w:rsidRDefault="00165662" w:rsidP="00EA7658">
      <w:pPr>
        <w:tabs>
          <w:tab w:val="left" w:pos="567"/>
          <w:tab w:val="left" w:pos="2835"/>
        </w:tabs>
        <w:spacing w:after="0" w:line="240" w:lineRule="auto"/>
        <w:ind w:right="6003"/>
        <w:rPr>
          <w:rFonts w:ascii="Verdana" w:hAnsi="Verdana"/>
          <w:sz w:val="20"/>
          <w:szCs w:val="20"/>
          <w:lang w:val="es-ES"/>
        </w:rPr>
      </w:pPr>
    </w:p>
    <w:p w:rsidR="00165662" w:rsidRPr="00A14264" w:rsidRDefault="00165662" w:rsidP="00EA7658">
      <w:pPr>
        <w:tabs>
          <w:tab w:val="left" w:pos="567"/>
          <w:tab w:val="left" w:pos="2835"/>
        </w:tabs>
        <w:spacing w:after="0" w:line="240" w:lineRule="auto"/>
        <w:ind w:right="6003"/>
        <w:rPr>
          <w:rFonts w:ascii="Verdana" w:hAnsi="Verdana"/>
          <w:sz w:val="20"/>
          <w:szCs w:val="20"/>
          <w:lang w:val="es-ES"/>
        </w:rPr>
      </w:pPr>
    </w:p>
    <w:p w:rsidR="00EA7658" w:rsidRPr="00A14264" w:rsidRDefault="00EA7658" w:rsidP="00EA7658">
      <w:pPr>
        <w:tabs>
          <w:tab w:val="left" w:pos="567"/>
          <w:tab w:val="left" w:pos="2835"/>
        </w:tabs>
        <w:spacing w:after="0" w:line="240" w:lineRule="auto"/>
        <w:ind w:right="6003"/>
        <w:jc w:val="center"/>
        <w:rPr>
          <w:rFonts w:ascii="Verdana" w:hAnsi="Verdana"/>
          <w:sz w:val="20"/>
          <w:szCs w:val="20"/>
          <w:lang w:val="es-ES"/>
        </w:rPr>
      </w:pPr>
    </w:p>
    <w:p w:rsidR="00EA7658" w:rsidRPr="00A14264" w:rsidRDefault="00EA7658" w:rsidP="00EA7658">
      <w:pPr>
        <w:tabs>
          <w:tab w:val="left" w:pos="567"/>
          <w:tab w:val="left" w:pos="2835"/>
        </w:tabs>
        <w:spacing w:after="0" w:line="240" w:lineRule="auto"/>
        <w:ind w:right="6003"/>
        <w:jc w:val="center"/>
        <w:rPr>
          <w:rFonts w:ascii="Verdana" w:hAnsi="Verdana"/>
          <w:sz w:val="20"/>
          <w:szCs w:val="20"/>
          <w:lang w:val="es-ES"/>
        </w:rPr>
      </w:pPr>
      <w:r w:rsidRPr="00A14264">
        <w:rPr>
          <w:rFonts w:ascii="Verdana" w:hAnsi="Verdana"/>
          <w:sz w:val="20"/>
          <w:szCs w:val="20"/>
          <w:lang w:val="es-ES"/>
        </w:rPr>
        <w:t>Pablo Saavedra Alessandri</w:t>
      </w:r>
    </w:p>
    <w:p w:rsidR="00EA7658" w:rsidRPr="00A14264" w:rsidRDefault="00EA7658" w:rsidP="00EA7658">
      <w:pPr>
        <w:tabs>
          <w:tab w:val="left" w:pos="567"/>
          <w:tab w:val="left" w:pos="2835"/>
        </w:tabs>
        <w:spacing w:after="0" w:line="240" w:lineRule="auto"/>
        <w:ind w:right="6003"/>
        <w:jc w:val="center"/>
        <w:rPr>
          <w:rFonts w:ascii="Verdana" w:hAnsi="Verdana"/>
          <w:sz w:val="20"/>
          <w:szCs w:val="20"/>
          <w:lang w:val="es-ES"/>
        </w:rPr>
      </w:pPr>
      <w:r w:rsidRPr="00A14264">
        <w:rPr>
          <w:rFonts w:ascii="Verdana" w:hAnsi="Verdana"/>
          <w:sz w:val="20"/>
          <w:szCs w:val="20"/>
          <w:lang w:val="es-ES"/>
        </w:rPr>
        <w:t>Secretario</w:t>
      </w:r>
    </w:p>
    <w:p w:rsidR="00EA7658" w:rsidRPr="00A14264" w:rsidRDefault="00EA7658" w:rsidP="00EA7658">
      <w:pPr>
        <w:tabs>
          <w:tab w:val="left" w:pos="567"/>
        </w:tabs>
        <w:spacing w:after="0" w:line="240" w:lineRule="auto"/>
        <w:jc w:val="both"/>
        <w:rPr>
          <w:rFonts w:ascii="Verdana" w:hAnsi="Verdana"/>
          <w:sz w:val="20"/>
          <w:szCs w:val="20"/>
        </w:rPr>
      </w:pPr>
    </w:p>
    <w:p w:rsidR="00EA7658" w:rsidRPr="00A14264" w:rsidRDefault="00EA7658" w:rsidP="00EA7658">
      <w:pPr>
        <w:tabs>
          <w:tab w:val="left" w:pos="567"/>
        </w:tabs>
        <w:spacing w:after="0" w:line="240" w:lineRule="auto"/>
        <w:jc w:val="both"/>
        <w:rPr>
          <w:rFonts w:ascii="Verdana" w:hAnsi="Verdana"/>
          <w:sz w:val="20"/>
          <w:szCs w:val="20"/>
        </w:rPr>
      </w:pPr>
    </w:p>
    <w:p w:rsidR="00EA7658" w:rsidRPr="00A14264" w:rsidRDefault="00EA7658" w:rsidP="00EA7658">
      <w:pPr>
        <w:tabs>
          <w:tab w:val="left" w:pos="567"/>
        </w:tabs>
        <w:spacing w:after="0" w:line="240" w:lineRule="auto"/>
        <w:jc w:val="both"/>
        <w:rPr>
          <w:rFonts w:ascii="Verdana" w:hAnsi="Verdana"/>
          <w:sz w:val="20"/>
          <w:szCs w:val="20"/>
        </w:rPr>
      </w:pPr>
    </w:p>
    <w:p w:rsidR="00EA7658" w:rsidRPr="00A14264" w:rsidRDefault="00EA7658" w:rsidP="00EA7658">
      <w:pPr>
        <w:tabs>
          <w:tab w:val="left" w:pos="567"/>
        </w:tabs>
        <w:spacing w:after="0" w:line="240" w:lineRule="auto"/>
        <w:jc w:val="both"/>
        <w:rPr>
          <w:rFonts w:ascii="Verdana" w:hAnsi="Verdana"/>
          <w:sz w:val="20"/>
          <w:szCs w:val="20"/>
        </w:rPr>
      </w:pPr>
    </w:p>
    <w:p w:rsidR="00EA7658" w:rsidRPr="00F96C49" w:rsidRDefault="00EA7658" w:rsidP="00EA7658">
      <w:pPr>
        <w:tabs>
          <w:tab w:val="left" w:pos="567"/>
        </w:tabs>
        <w:spacing w:after="0" w:line="240" w:lineRule="auto"/>
        <w:jc w:val="both"/>
        <w:rPr>
          <w:rFonts w:ascii="Verdana" w:hAnsi="Verdana"/>
          <w:sz w:val="20"/>
          <w:szCs w:val="20"/>
        </w:rPr>
      </w:pPr>
    </w:p>
    <w:p w:rsidR="00EA7658" w:rsidRPr="00A14264" w:rsidRDefault="00EA7658" w:rsidP="00EA7658">
      <w:pPr>
        <w:tabs>
          <w:tab w:val="left" w:pos="567"/>
        </w:tabs>
        <w:spacing w:after="0" w:line="240" w:lineRule="auto"/>
        <w:jc w:val="both"/>
        <w:rPr>
          <w:rFonts w:ascii="Verdana" w:hAnsi="Verdana"/>
          <w:sz w:val="20"/>
          <w:szCs w:val="20"/>
        </w:rPr>
      </w:pPr>
      <w:r w:rsidRPr="00A14264">
        <w:rPr>
          <w:rFonts w:ascii="Verdana" w:hAnsi="Verdana"/>
          <w:sz w:val="20"/>
          <w:szCs w:val="20"/>
        </w:rPr>
        <w:t>Comuníquese y ejecútese,</w:t>
      </w:r>
    </w:p>
    <w:p w:rsidR="00EA7658" w:rsidRDefault="00EA7658" w:rsidP="00EA7658">
      <w:pPr>
        <w:tabs>
          <w:tab w:val="left" w:pos="567"/>
        </w:tabs>
        <w:spacing w:after="0" w:line="240" w:lineRule="auto"/>
        <w:jc w:val="both"/>
        <w:rPr>
          <w:rFonts w:ascii="Verdana" w:hAnsi="Verdana"/>
          <w:sz w:val="20"/>
          <w:szCs w:val="20"/>
        </w:rPr>
      </w:pPr>
    </w:p>
    <w:p w:rsidR="004D3363" w:rsidRDefault="004D3363" w:rsidP="00EA7658">
      <w:pPr>
        <w:tabs>
          <w:tab w:val="left" w:pos="567"/>
        </w:tabs>
        <w:spacing w:after="0" w:line="240" w:lineRule="auto"/>
        <w:jc w:val="both"/>
        <w:rPr>
          <w:rFonts w:ascii="Verdana" w:hAnsi="Verdana"/>
          <w:sz w:val="20"/>
          <w:szCs w:val="20"/>
        </w:rPr>
      </w:pPr>
    </w:p>
    <w:p w:rsidR="004D3363" w:rsidRPr="00A14264" w:rsidRDefault="004D3363" w:rsidP="00EA7658">
      <w:pPr>
        <w:tabs>
          <w:tab w:val="left" w:pos="567"/>
        </w:tabs>
        <w:spacing w:after="0" w:line="240" w:lineRule="auto"/>
        <w:jc w:val="both"/>
        <w:rPr>
          <w:rFonts w:ascii="Verdana" w:hAnsi="Verdana"/>
          <w:sz w:val="20"/>
          <w:szCs w:val="20"/>
        </w:rPr>
      </w:pPr>
    </w:p>
    <w:p w:rsidR="00EA7658" w:rsidRPr="00A14264" w:rsidRDefault="00EA7658" w:rsidP="00EA7658">
      <w:pPr>
        <w:tabs>
          <w:tab w:val="left" w:pos="567"/>
        </w:tabs>
        <w:spacing w:after="0" w:line="240" w:lineRule="auto"/>
        <w:jc w:val="both"/>
        <w:rPr>
          <w:rFonts w:ascii="Verdana" w:hAnsi="Verdana"/>
          <w:sz w:val="20"/>
          <w:szCs w:val="20"/>
        </w:rPr>
      </w:pPr>
    </w:p>
    <w:p w:rsidR="00EA7658" w:rsidRPr="00A14264" w:rsidRDefault="00EA7658" w:rsidP="00EA7658">
      <w:pPr>
        <w:tabs>
          <w:tab w:val="left" w:pos="567"/>
        </w:tabs>
        <w:spacing w:after="0" w:line="240" w:lineRule="auto"/>
        <w:jc w:val="both"/>
        <w:rPr>
          <w:rFonts w:ascii="Verdana" w:hAnsi="Verdana"/>
          <w:sz w:val="20"/>
          <w:szCs w:val="20"/>
        </w:rPr>
      </w:pPr>
    </w:p>
    <w:p w:rsidR="00647D4C" w:rsidRPr="00A14264" w:rsidRDefault="00647D4C" w:rsidP="00647D4C">
      <w:pPr>
        <w:tabs>
          <w:tab w:val="left" w:pos="567"/>
        </w:tabs>
        <w:spacing w:after="0" w:line="240" w:lineRule="auto"/>
        <w:jc w:val="both"/>
        <w:rPr>
          <w:rFonts w:ascii="Verdana" w:hAnsi="Verdana"/>
          <w:sz w:val="20"/>
          <w:szCs w:val="20"/>
        </w:rPr>
      </w:pPr>
    </w:p>
    <w:p w:rsidR="00647D4C" w:rsidRPr="00A14264" w:rsidRDefault="00647D4C" w:rsidP="00647D4C">
      <w:pPr>
        <w:tabs>
          <w:tab w:val="left" w:pos="567"/>
        </w:tabs>
        <w:spacing w:after="0" w:line="240" w:lineRule="auto"/>
        <w:jc w:val="both"/>
        <w:rPr>
          <w:rFonts w:ascii="Verdana" w:hAnsi="Verdana"/>
          <w:sz w:val="20"/>
          <w:szCs w:val="20"/>
        </w:rPr>
      </w:pPr>
    </w:p>
    <w:p w:rsidR="00647D4C" w:rsidRPr="00A14264" w:rsidRDefault="00647D4C" w:rsidP="00647D4C">
      <w:pPr>
        <w:tabs>
          <w:tab w:val="left" w:pos="567"/>
          <w:tab w:val="left" w:pos="6663"/>
        </w:tabs>
        <w:spacing w:after="0" w:line="240" w:lineRule="auto"/>
        <w:jc w:val="both"/>
        <w:rPr>
          <w:rFonts w:ascii="Verdana" w:hAnsi="Verdana"/>
          <w:sz w:val="20"/>
          <w:szCs w:val="20"/>
        </w:rPr>
      </w:pPr>
    </w:p>
    <w:p w:rsidR="00647D4C" w:rsidRPr="00A14264" w:rsidRDefault="00647D4C" w:rsidP="00647D4C">
      <w:pPr>
        <w:tabs>
          <w:tab w:val="left" w:pos="567"/>
        </w:tabs>
        <w:spacing w:after="0" w:line="240" w:lineRule="auto"/>
        <w:ind w:left="4253"/>
        <w:jc w:val="center"/>
        <w:rPr>
          <w:rFonts w:ascii="Verdana" w:hAnsi="Verdana"/>
          <w:sz w:val="20"/>
          <w:szCs w:val="20"/>
          <w:lang w:val="pt-BR"/>
        </w:rPr>
      </w:pPr>
      <w:r w:rsidRPr="00A14264">
        <w:rPr>
          <w:rFonts w:ascii="Verdana" w:hAnsi="Verdana"/>
          <w:sz w:val="20"/>
          <w:szCs w:val="20"/>
          <w:lang w:val="pt-BR"/>
        </w:rPr>
        <w:t>Humberto Antonio Sierra Porto</w:t>
      </w:r>
    </w:p>
    <w:p w:rsidR="00647D4C" w:rsidRPr="00A14264" w:rsidRDefault="00647D4C" w:rsidP="00647D4C">
      <w:pPr>
        <w:tabs>
          <w:tab w:val="left" w:pos="567"/>
        </w:tabs>
        <w:spacing w:after="0" w:line="240" w:lineRule="auto"/>
        <w:ind w:left="4253"/>
        <w:jc w:val="center"/>
        <w:rPr>
          <w:rFonts w:ascii="Verdana" w:hAnsi="Verdana"/>
          <w:sz w:val="20"/>
          <w:szCs w:val="20"/>
          <w:lang w:val="pt-BR"/>
        </w:rPr>
      </w:pPr>
      <w:r w:rsidRPr="00A14264">
        <w:rPr>
          <w:rFonts w:ascii="Verdana" w:hAnsi="Verdana"/>
          <w:sz w:val="20"/>
          <w:szCs w:val="20"/>
          <w:lang w:val="pt-BR"/>
        </w:rPr>
        <w:t>Presidente</w:t>
      </w:r>
    </w:p>
    <w:p w:rsidR="00647D4C" w:rsidRPr="00A14264" w:rsidRDefault="00647D4C" w:rsidP="00647D4C">
      <w:pPr>
        <w:tabs>
          <w:tab w:val="left" w:pos="567"/>
          <w:tab w:val="left" w:pos="2835"/>
        </w:tabs>
        <w:spacing w:after="0" w:line="240" w:lineRule="auto"/>
        <w:ind w:right="6003"/>
        <w:jc w:val="center"/>
        <w:rPr>
          <w:rFonts w:ascii="Verdana" w:hAnsi="Verdana"/>
          <w:sz w:val="20"/>
          <w:szCs w:val="20"/>
          <w:lang w:val="es-ES"/>
        </w:rPr>
      </w:pPr>
    </w:p>
    <w:p w:rsidR="00647D4C" w:rsidRPr="00A14264" w:rsidRDefault="00647D4C" w:rsidP="00647D4C">
      <w:pPr>
        <w:tabs>
          <w:tab w:val="left" w:pos="567"/>
          <w:tab w:val="left" w:pos="2835"/>
        </w:tabs>
        <w:spacing w:after="0" w:line="240" w:lineRule="auto"/>
        <w:ind w:right="6003"/>
        <w:rPr>
          <w:rFonts w:ascii="Verdana" w:hAnsi="Verdana"/>
          <w:sz w:val="20"/>
          <w:szCs w:val="20"/>
          <w:lang w:val="es-ES"/>
        </w:rPr>
      </w:pPr>
    </w:p>
    <w:p w:rsidR="00647D4C" w:rsidRPr="00A14264" w:rsidRDefault="00647D4C" w:rsidP="00647D4C">
      <w:pPr>
        <w:tabs>
          <w:tab w:val="left" w:pos="567"/>
          <w:tab w:val="left" w:pos="2835"/>
        </w:tabs>
        <w:spacing w:after="0" w:line="240" w:lineRule="auto"/>
        <w:ind w:right="6003"/>
        <w:jc w:val="center"/>
        <w:rPr>
          <w:rFonts w:ascii="Verdana" w:hAnsi="Verdana"/>
          <w:sz w:val="20"/>
          <w:szCs w:val="20"/>
          <w:lang w:val="es-ES"/>
        </w:rPr>
      </w:pPr>
    </w:p>
    <w:p w:rsidR="00647D4C" w:rsidRPr="00A14264" w:rsidRDefault="00647D4C" w:rsidP="00647D4C">
      <w:pPr>
        <w:tabs>
          <w:tab w:val="left" w:pos="567"/>
          <w:tab w:val="left" w:pos="2835"/>
        </w:tabs>
        <w:spacing w:after="0" w:line="240" w:lineRule="auto"/>
        <w:ind w:right="6003"/>
        <w:jc w:val="center"/>
        <w:rPr>
          <w:rFonts w:ascii="Verdana" w:hAnsi="Verdana"/>
          <w:sz w:val="20"/>
          <w:szCs w:val="20"/>
          <w:lang w:val="es-ES"/>
        </w:rPr>
      </w:pPr>
      <w:r w:rsidRPr="00A14264">
        <w:rPr>
          <w:rFonts w:ascii="Verdana" w:hAnsi="Verdana"/>
          <w:sz w:val="20"/>
          <w:szCs w:val="20"/>
          <w:lang w:val="es-ES"/>
        </w:rPr>
        <w:t>Pablo Saavedra Alessandri</w:t>
      </w:r>
    </w:p>
    <w:p w:rsidR="00647D4C" w:rsidRPr="00A14264" w:rsidRDefault="00647D4C" w:rsidP="00647D4C">
      <w:pPr>
        <w:tabs>
          <w:tab w:val="left" w:pos="567"/>
          <w:tab w:val="left" w:pos="2835"/>
        </w:tabs>
        <w:spacing w:after="0" w:line="240" w:lineRule="auto"/>
        <w:ind w:right="6003"/>
        <w:jc w:val="center"/>
        <w:rPr>
          <w:rFonts w:ascii="Verdana" w:hAnsi="Verdana"/>
          <w:sz w:val="20"/>
          <w:szCs w:val="20"/>
          <w:lang w:val="es-ES"/>
        </w:rPr>
      </w:pPr>
      <w:r w:rsidRPr="00A14264">
        <w:rPr>
          <w:rFonts w:ascii="Verdana" w:hAnsi="Verdana"/>
          <w:sz w:val="20"/>
          <w:szCs w:val="20"/>
          <w:lang w:val="es-ES"/>
        </w:rPr>
        <w:t>Secretario</w:t>
      </w:r>
    </w:p>
    <w:p w:rsidR="00EA7658" w:rsidRPr="00A14264" w:rsidRDefault="00EA7658" w:rsidP="00EA7658">
      <w:pPr>
        <w:tabs>
          <w:tab w:val="left" w:pos="567"/>
        </w:tabs>
        <w:spacing w:after="0" w:line="240" w:lineRule="auto"/>
        <w:jc w:val="both"/>
        <w:rPr>
          <w:rFonts w:ascii="Verdana" w:hAnsi="Verdana"/>
          <w:sz w:val="20"/>
          <w:szCs w:val="20"/>
        </w:rPr>
      </w:pPr>
    </w:p>
    <w:p w:rsidR="00E04699" w:rsidRPr="00B95D3E" w:rsidRDefault="00765144">
      <w:pPr>
        <w:rPr>
          <w:lang w:val="es-CR"/>
        </w:rPr>
      </w:pPr>
    </w:p>
    <w:sectPr w:rsidR="00E04699" w:rsidRPr="00B95D3E" w:rsidSect="004D3363">
      <w:headerReference w:type="default" r:id="rId8"/>
      <w:pgSz w:w="12240" w:h="15840"/>
      <w:pgMar w:top="1411" w:right="1440" w:bottom="1411"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7C9" w:rsidRDefault="00F937C9" w:rsidP="0003427A">
      <w:pPr>
        <w:spacing w:after="0" w:line="240" w:lineRule="auto"/>
      </w:pPr>
      <w:r>
        <w:separator/>
      </w:r>
    </w:p>
  </w:endnote>
  <w:endnote w:type="continuationSeparator" w:id="0">
    <w:p w:rsidR="00F937C9" w:rsidRDefault="00F937C9" w:rsidP="000342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7C9" w:rsidRDefault="00F937C9" w:rsidP="0003427A">
      <w:pPr>
        <w:spacing w:after="0" w:line="240" w:lineRule="auto"/>
      </w:pPr>
      <w:r>
        <w:separator/>
      </w:r>
    </w:p>
  </w:footnote>
  <w:footnote w:type="continuationSeparator" w:id="0">
    <w:p w:rsidR="00F937C9" w:rsidRDefault="00F937C9" w:rsidP="0003427A">
      <w:pPr>
        <w:spacing w:after="0" w:line="240" w:lineRule="auto"/>
      </w:pPr>
      <w:r>
        <w:continuationSeparator/>
      </w:r>
    </w:p>
  </w:footnote>
  <w:footnote w:id="1">
    <w:p w:rsidR="0003427A" w:rsidRPr="005D10A3" w:rsidRDefault="0003427A" w:rsidP="0003427A">
      <w:pPr>
        <w:pStyle w:val="FootnoteText"/>
      </w:pPr>
      <w:r>
        <w:rPr>
          <w:rStyle w:val="FootnoteReference"/>
        </w:rPr>
        <w:footnoteRef/>
      </w:r>
      <w:r>
        <w:t xml:space="preserve"> </w:t>
      </w:r>
      <w:r>
        <w:tab/>
        <w:t>En el present</w:t>
      </w:r>
      <w:r w:rsidR="00B20B20">
        <w:t>e</w:t>
      </w:r>
      <w:r>
        <w:t xml:space="preserve"> caso, las presuntas víctimas están representadas por </w:t>
      </w:r>
      <w:r w:rsidR="00AD3B36">
        <w:t xml:space="preserve">los </w:t>
      </w:r>
      <w:r w:rsidR="00FF5487">
        <w:t>d</w:t>
      </w:r>
      <w:r w:rsidR="00AD3B36">
        <w:t xml:space="preserve">efensores </w:t>
      </w:r>
      <w:r w:rsidR="00FF5487">
        <w:t>i</w:t>
      </w:r>
      <w:r w:rsidR="00AD3B36">
        <w:t>nteramericanos Rudy Orlando Arreola Higueros y Alberto Hassim González</w:t>
      </w:r>
      <w:r w:rsidR="00BE4C35">
        <w:t xml:space="preserve"> </w:t>
      </w:r>
      <w:r w:rsidR="00AD3B36">
        <w:t>Herrera</w:t>
      </w:r>
      <w:r w:rsidR="00FF5487">
        <w:t xml:space="preserve">. </w:t>
      </w:r>
    </w:p>
  </w:footnote>
  <w:footnote w:id="2">
    <w:p w:rsidR="002B3D6C" w:rsidRPr="002B3D6C" w:rsidRDefault="002B3D6C">
      <w:pPr>
        <w:pStyle w:val="FootnoteText"/>
      </w:pPr>
      <w:r>
        <w:rPr>
          <w:rStyle w:val="FootnoteReference"/>
        </w:rPr>
        <w:footnoteRef/>
      </w:r>
      <w:r>
        <w:t xml:space="preserve"> </w:t>
      </w:r>
      <w:r>
        <w:tab/>
      </w:r>
      <w:r w:rsidR="000319C0">
        <w:t>En su lista definitiva, l</w:t>
      </w:r>
      <w:r>
        <w:t xml:space="preserve">os representantes desistieron del ofrecimiento de </w:t>
      </w:r>
      <w:r w:rsidR="000319C0">
        <w:t>un perito inicialmente propuesto.</w:t>
      </w:r>
    </w:p>
  </w:footnote>
  <w:footnote w:id="3">
    <w:p w:rsidR="002E5CA7" w:rsidRPr="009E713F" w:rsidRDefault="002E5CA7" w:rsidP="002E5CA7">
      <w:pPr>
        <w:pStyle w:val="FootnoteText"/>
      </w:pPr>
      <w:r>
        <w:rPr>
          <w:rStyle w:val="FootnoteReference"/>
        </w:rPr>
        <w:footnoteRef/>
      </w:r>
      <w:r>
        <w:t xml:space="preserve"> </w:t>
      </w:r>
      <w:r>
        <w:tab/>
        <w:t xml:space="preserve">En dicho escrito, el Estado reconoce su responsabilidad en los siguientes términos: “el Estado del Salvador, de conformidad a los artículos 41.1, letra a y 62 del Reglamento de la Corte Interamericana de Derechos Humanos, declara que reconoce y acepta los hechos alegados en la presentación del caso por la Comisión Interamericana de Derechos Humanos en el informe de fondo No.82/13, elaborado sobre el caso en observancia del artículo 50 de la Convención (…)”. </w:t>
      </w:r>
    </w:p>
  </w:footnote>
  <w:footnote w:id="4">
    <w:p w:rsidR="00553643" w:rsidRDefault="00553643" w:rsidP="00553643">
      <w:pPr>
        <w:pStyle w:val="FootnoteText"/>
      </w:pPr>
      <w:r w:rsidRPr="00FC7CDA">
        <w:rPr>
          <w:rStyle w:val="FootnoteReference"/>
        </w:rPr>
        <w:footnoteRef/>
      </w:r>
      <w:r w:rsidRPr="00FC7CDA">
        <w:t xml:space="preserve"> </w:t>
      </w:r>
      <w:r w:rsidRPr="00FC7CDA">
        <w:tab/>
      </w:r>
      <w:r w:rsidRPr="00FC7CDA">
        <w:rPr>
          <w:i/>
        </w:rPr>
        <w:t>Cfr</w:t>
      </w:r>
      <w:r w:rsidRPr="00FC7CDA">
        <w:t xml:space="preserve">. </w:t>
      </w:r>
      <w:r w:rsidRPr="00FC7CDA">
        <w:rPr>
          <w:i/>
        </w:rPr>
        <w:t xml:space="preserve">Caso Pedro Miguel Vera Vera y otros Vs. Ecuador. </w:t>
      </w:r>
      <w:r>
        <w:t xml:space="preserve">Resolución del Presidente de la Corte </w:t>
      </w:r>
      <w:r w:rsidRPr="00FC7CDA">
        <w:t xml:space="preserve">de 23 de diciembre de 2010, Considerando </w:t>
      </w:r>
      <w:r>
        <w:t>9</w:t>
      </w:r>
      <w:r w:rsidRPr="00FC7CDA">
        <w:t xml:space="preserve">, y </w:t>
      </w:r>
      <w:r w:rsidRPr="004C07A2">
        <w:rPr>
          <w:i/>
        </w:rPr>
        <w:t xml:space="preserve">Caso Canales Huapaya y otros Vs. Perú. </w:t>
      </w:r>
      <w:r w:rsidRPr="004C07A2">
        <w:t>Resolución del Presidente de la Corte de 17 de septiembre de 2014</w:t>
      </w:r>
      <w:r>
        <w:t>, Considerando 25.</w:t>
      </w:r>
    </w:p>
  </w:footnote>
  <w:footnote w:id="5">
    <w:p w:rsidR="00B62DB3" w:rsidRDefault="00B62DB3" w:rsidP="00B62DB3">
      <w:pPr>
        <w:pStyle w:val="FootnoteText"/>
        <w:spacing w:before="0" w:after="0"/>
        <w:rPr>
          <w:lang w:val="es-CR"/>
        </w:rPr>
      </w:pPr>
      <w:r w:rsidRPr="001E2C64">
        <w:rPr>
          <w:rStyle w:val="FootnoteReference"/>
        </w:rPr>
        <w:footnoteRef/>
      </w:r>
      <w:r w:rsidRPr="001E2C64">
        <w:t xml:space="preserve"> </w:t>
      </w:r>
      <w:r w:rsidRPr="001E2C64">
        <w:tab/>
      </w:r>
      <w:r w:rsidRPr="001E2C64">
        <w:rPr>
          <w:i/>
        </w:rPr>
        <w:t>Cfr. Caso Contreras y otros Vs. El Salvador</w:t>
      </w:r>
      <w:r>
        <w:t>.</w:t>
      </w:r>
      <w:r w:rsidRPr="001E2C64">
        <w:t xml:space="preserve"> Resolución del Presidente de la Corte Interamericana de 14 de abril de 2010, considerandos 13 y 15</w:t>
      </w:r>
      <w:r>
        <w:t>,</w:t>
      </w:r>
      <w:r w:rsidRPr="001E2C64">
        <w:t xml:space="preserve"> y </w:t>
      </w:r>
      <w:r w:rsidRPr="001E2C64">
        <w:rPr>
          <w:rFonts w:cs="Arial"/>
          <w:i/>
          <w:shd w:val="clear" w:color="auto" w:fill="FFFFFF"/>
        </w:rPr>
        <w:t>Caso Comunidad Garífuna de Punta Piedra Vs. Honduras</w:t>
      </w:r>
      <w:r>
        <w:rPr>
          <w:rFonts w:cs="Arial"/>
          <w:shd w:val="clear" w:color="auto" w:fill="FFFFFF"/>
        </w:rPr>
        <w:t>. Resolución del Presidente de la Corte Interamericana de 31 de julio de 2014, considerando 11.</w:t>
      </w:r>
    </w:p>
  </w:footnote>
  <w:footnote w:id="6">
    <w:p w:rsidR="002E5CA7" w:rsidRDefault="002E5CA7" w:rsidP="002E5CA7">
      <w:pPr>
        <w:pStyle w:val="FootnoteText"/>
        <w:ind w:right="11"/>
      </w:pPr>
      <w:r w:rsidRPr="00ED317C">
        <w:rPr>
          <w:rStyle w:val="FootnoteReference"/>
          <w:rFonts w:cs="Times"/>
        </w:rPr>
        <w:footnoteRef/>
      </w:r>
      <w:r w:rsidRPr="00ED317C">
        <w:t xml:space="preserve"> </w:t>
      </w:r>
      <w:r w:rsidRPr="00ED317C">
        <w:tab/>
        <w:t>Dicha norma prevé que “[e]n casos de presuntas víctimas sin representación legal debidamente acreditada, el Tribunal podrá designar un Defensor Interamericano de oficio que las represente durante la tramitación de[l] caso”.</w:t>
      </w:r>
    </w:p>
  </w:footnote>
  <w:footnote w:id="7">
    <w:p w:rsidR="002321C2" w:rsidRPr="002321C2" w:rsidRDefault="002321C2">
      <w:pPr>
        <w:pStyle w:val="FootnoteText"/>
      </w:pPr>
      <w:r>
        <w:rPr>
          <w:rStyle w:val="FootnoteReference"/>
        </w:rPr>
        <w:footnoteRef/>
      </w:r>
      <w:r>
        <w:t xml:space="preserve"> </w:t>
      </w:r>
      <w:r>
        <w:tab/>
      </w:r>
      <w:r>
        <w:rPr>
          <w:i/>
        </w:rPr>
        <w:t xml:space="preserve">Caso Familia Pacheco Tineo vs. Bolivia. </w:t>
      </w:r>
      <w:r>
        <w:t>Resolución del Presidente de la Corte de 19 de febrero de 2013, párrafo considerativo 11.</w:t>
      </w:r>
    </w:p>
  </w:footnote>
  <w:footnote w:id="8">
    <w:p w:rsidR="00A91460" w:rsidRDefault="00A91460" w:rsidP="00A91460">
      <w:pPr>
        <w:pStyle w:val="FootnoteText"/>
      </w:pPr>
      <w:r>
        <w:rPr>
          <w:rStyle w:val="FootnoteReference"/>
          <w:rFonts w:cs="Times"/>
        </w:rPr>
        <w:footnoteRef/>
      </w:r>
      <w:r>
        <w:t xml:space="preserve"> </w:t>
      </w:r>
      <w:r>
        <w:rPr>
          <w:lang w:val="es-CR"/>
        </w:rPr>
        <w:tab/>
      </w:r>
      <w:r w:rsidR="000322D6">
        <w:rPr>
          <w:lang w:val="es-CR"/>
        </w:rPr>
        <w:t xml:space="preserve">En su escrito de solicitudes y argumentos, </w:t>
      </w:r>
      <w:r w:rsidR="000322D6" w:rsidRPr="00A91460">
        <w:t xml:space="preserve">los defensores interamericanos </w:t>
      </w:r>
      <w:r w:rsidR="000322D6">
        <w:t xml:space="preserve">remitieron comprobantes relacionados con su solicitud </w:t>
      </w:r>
      <w:r w:rsidR="00B843CD">
        <w:t>de</w:t>
      </w:r>
      <w:r w:rsidR="000322D6" w:rsidRPr="00A91460">
        <w:t xml:space="preserve"> asistencia del Fondo para el reintegro de los gastos de su viaje a </w:t>
      </w:r>
      <w:r w:rsidR="000322D6">
        <w:t>El Salvador</w:t>
      </w:r>
      <w:r w:rsidR="000322D6">
        <w:rPr>
          <w:lang w:val="es-CR"/>
        </w:rPr>
        <w:t xml:space="preserve">. </w:t>
      </w:r>
      <w:r>
        <w:rPr>
          <w:lang w:val="es-CR"/>
        </w:rPr>
        <w:t xml:space="preserve">En este sentido, es oportuno recordar que en otros casos han sido cubiertos gastos razonables para preparar la defensa. </w:t>
      </w:r>
      <w:r>
        <w:rPr>
          <w:i/>
          <w:lang w:val="es-CR"/>
        </w:rPr>
        <w:t xml:space="preserve">Cfr. </w:t>
      </w:r>
      <w:r w:rsidRPr="00860826">
        <w:rPr>
          <w:i/>
          <w:lang w:val="es-CR"/>
        </w:rPr>
        <w:t>Caso Mendoza y otros vs. Argentina</w:t>
      </w:r>
      <w:r>
        <w:rPr>
          <w:lang w:val="es-CR"/>
        </w:rPr>
        <w:t xml:space="preserve">, </w:t>
      </w:r>
      <w:r>
        <w:rPr>
          <w:i/>
        </w:rPr>
        <w:t>Caso Familia Pacheco Tineo vs. Bolivia.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7309913"/>
      <w:docPartObj>
        <w:docPartGallery w:val="Page Numbers (Top of Page)"/>
        <w:docPartUnique/>
      </w:docPartObj>
    </w:sdtPr>
    <w:sdtEndPr>
      <w:rPr>
        <w:noProof/>
      </w:rPr>
    </w:sdtEndPr>
    <w:sdtContent>
      <w:p w:rsidR="00E276E3" w:rsidRDefault="00A85541">
        <w:pPr>
          <w:pStyle w:val="Header"/>
          <w:jc w:val="center"/>
        </w:pPr>
        <w:r>
          <w:fldChar w:fldCharType="begin"/>
        </w:r>
        <w:r w:rsidR="00E276E3">
          <w:instrText xml:space="preserve"> PAGE   \* MERGEFORMAT </w:instrText>
        </w:r>
        <w:r>
          <w:fldChar w:fldCharType="separate"/>
        </w:r>
        <w:r w:rsidR="00765144">
          <w:rPr>
            <w:noProof/>
          </w:rPr>
          <w:t>2</w:t>
        </w:r>
        <w:r>
          <w:rPr>
            <w:noProof/>
          </w:rPr>
          <w:fldChar w:fldCharType="end"/>
        </w:r>
      </w:p>
    </w:sdtContent>
  </w:sdt>
  <w:p w:rsidR="00E276E3" w:rsidRDefault="00E276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BFF"/>
    <w:multiLevelType w:val="hybridMultilevel"/>
    <w:tmpl w:val="D090AC0C"/>
    <w:lvl w:ilvl="0" w:tplc="04090015">
      <w:start w:val="1"/>
      <w:numFmt w:val="upperLetter"/>
      <w:lvlText w:val="%1."/>
      <w:lvlJc w:val="left"/>
      <w:pPr>
        <w:ind w:left="720" w:hanging="360"/>
      </w:pPr>
      <w:rPr>
        <w:rFonts w:hint="default"/>
      </w:rPr>
    </w:lvl>
    <w:lvl w:ilvl="1" w:tplc="DF7AD676">
      <w:start w:val="1"/>
      <w:numFmt w:val="decimal"/>
      <w:lvlText w:val="%2)"/>
      <w:lvlJc w:val="left"/>
      <w:pPr>
        <w:ind w:left="1440" w:hanging="360"/>
      </w:pPr>
      <w:rPr>
        <w:b/>
        <w:bCs/>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947C7A"/>
    <w:multiLevelType w:val="hybridMultilevel"/>
    <w:tmpl w:val="A92C69AA"/>
    <w:lvl w:ilvl="0" w:tplc="7C286A54">
      <w:start w:val="1"/>
      <w:numFmt w:val="decimal"/>
      <w:lvlText w:val="%1."/>
      <w:lvlJc w:val="left"/>
      <w:pPr>
        <w:ind w:left="1285" w:hanging="360"/>
      </w:pPr>
      <w:rPr>
        <w:b/>
        <w:bCs/>
      </w:rPr>
    </w:lvl>
    <w:lvl w:ilvl="1" w:tplc="04090019">
      <w:start w:val="1"/>
      <w:numFmt w:val="lowerLetter"/>
      <w:lvlText w:val="%2."/>
      <w:lvlJc w:val="left"/>
      <w:pPr>
        <w:ind w:left="2005" w:hanging="360"/>
      </w:pPr>
    </w:lvl>
    <w:lvl w:ilvl="2" w:tplc="0409001B">
      <w:start w:val="1"/>
      <w:numFmt w:val="lowerRoman"/>
      <w:lvlText w:val="%3."/>
      <w:lvlJc w:val="right"/>
      <w:pPr>
        <w:ind w:left="2725" w:hanging="180"/>
      </w:pPr>
    </w:lvl>
    <w:lvl w:ilvl="3" w:tplc="0409000F">
      <w:start w:val="1"/>
      <w:numFmt w:val="decimal"/>
      <w:lvlText w:val="%4."/>
      <w:lvlJc w:val="left"/>
      <w:pPr>
        <w:ind w:left="3445" w:hanging="360"/>
      </w:pPr>
    </w:lvl>
    <w:lvl w:ilvl="4" w:tplc="04090019">
      <w:start w:val="1"/>
      <w:numFmt w:val="lowerLetter"/>
      <w:lvlText w:val="%5."/>
      <w:lvlJc w:val="left"/>
      <w:pPr>
        <w:ind w:left="4165" w:hanging="360"/>
      </w:pPr>
    </w:lvl>
    <w:lvl w:ilvl="5" w:tplc="0409001B">
      <w:start w:val="1"/>
      <w:numFmt w:val="lowerRoman"/>
      <w:lvlText w:val="%6."/>
      <w:lvlJc w:val="right"/>
      <w:pPr>
        <w:ind w:left="4885" w:hanging="180"/>
      </w:pPr>
    </w:lvl>
    <w:lvl w:ilvl="6" w:tplc="0409000F">
      <w:start w:val="1"/>
      <w:numFmt w:val="decimal"/>
      <w:lvlText w:val="%7."/>
      <w:lvlJc w:val="left"/>
      <w:pPr>
        <w:ind w:left="5605" w:hanging="360"/>
      </w:pPr>
    </w:lvl>
    <w:lvl w:ilvl="7" w:tplc="04090019">
      <w:start w:val="1"/>
      <w:numFmt w:val="lowerLetter"/>
      <w:lvlText w:val="%8."/>
      <w:lvlJc w:val="left"/>
      <w:pPr>
        <w:ind w:left="6325" w:hanging="360"/>
      </w:pPr>
    </w:lvl>
    <w:lvl w:ilvl="8" w:tplc="0409001B">
      <w:start w:val="1"/>
      <w:numFmt w:val="lowerRoman"/>
      <w:lvlText w:val="%9."/>
      <w:lvlJc w:val="right"/>
      <w:pPr>
        <w:ind w:left="7045" w:hanging="180"/>
      </w:pPr>
    </w:lvl>
  </w:abstractNum>
  <w:abstractNum w:abstractNumId="2">
    <w:nsid w:val="0C751DF6"/>
    <w:multiLevelType w:val="hybridMultilevel"/>
    <w:tmpl w:val="579C95FA"/>
    <w:lvl w:ilvl="0" w:tplc="FB6628D0">
      <w:start w:val="1"/>
      <w:numFmt w:val="decimal"/>
      <w:lvlText w:val="%1."/>
      <w:lvlJc w:val="left"/>
      <w:pPr>
        <w:ind w:left="1069" w:hanging="360"/>
      </w:pPr>
      <w:rPr>
        <w:rFonts w:hint="default"/>
        <w:b w:val="0"/>
        <w:bCs/>
        <w:i w:val="0"/>
        <w:iCs w:val="0"/>
      </w:rPr>
    </w:lvl>
    <w:lvl w:ilvl="1" w:tplc="140A0019">
      <w:start w:val="1"/>
      <w:numFmt w:val="lowerLetter"/>
      <w:lvlText w:val="%2."/>
      <w:lvlJc w:val="left"/>
      <w:pPr>
        <w:ind w:left="1788" w:hanging="360"/>
      </w:p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3">
    <w:nsid w:val="2A780770"/>
    <w:multiLevelType w:val="hybridMultilevel"/>
    <w:tmpl w:val="3DC8A7FE"/>
    <w:lvl w:ilvl="0" w:tplc="67E07D4A">
      <w:start w:val="1"/>
      <w:numFmt w:val="decimal"/>
      <w:lvlText w:val="%1."/>
      <w:lvlJc w:val="left"/>
      <w:pPr>
        <w:ind w:left="1080" w:hanging="720"/>
      </w:pPr>
      <w:rPr>
        <w:rFonts w:hint="default"/>
        <w:b w:val="0"/>
        <w:i w:val="0"/>
        <w:color w:val="auto"/>
      </w:rPr>
    </w:lvl>
    <w:lvl w:ilvl="1" w:tplc="7C2C13CE">
      <w:start w:val="1"/>
      <w:numFmt w:val="lowerRoman"/>
      <w:lvlText w:val="%2."/>
      <w:lvlJc w:val="left"/>
      <w:pPr>
        <w:ind w:left="1800" w:hanging="720"/>
      </w:pPr>
      <w:rPr>
        <w:rFonts w:hint="default"/>
      </w:rPr>
    </w:lvl>
    <w:lvl w:ilvl="2" w:tplc="841219D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754BB"/>
    <w:multiLevelType w:val="hybridMultilevel"/>
    <w:tmpl w:val="D090AC0C"/>
    <w:lvl w:ilvl="0" w:tplc="04090015">
      <w:start w:val="1"/>
      <w:numFmt w:val="upperLetter"/>
      <w:lvlText w:val="%1."/>
      <w:lvlJc w:val="left"/>
      <w:pPr>
        <w:ind w:left="720" w:hanging="360"/>
      </w:pPr>
      <w:rPr>
        <w:rFonts w:hint="default"/>
      </w:rPr>
    </w:lvl>
    <w:lvl w:ilvl="1" w:tplc="DF7AD676">
      <w:start w:val="1"/>
      <w:numFmt w:val="decimal"/>
      <w:lvlText w:val="%2)"/>
      <w:lvlJc w:val="left"/>
      <w:pPr>
        <w:ind w:left="1440" w:hanging="360"/>
      </w:pPr>
      <w:rPr>
        <w:b/>
        <w:bCs/>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ECB4BA4"/>
    <w:multiLevelType w:val="hybridMultilevel"/>
    <w:tmpl w:val="86363F24"/>
    <w:lvl w:ilvl="0" w:tplc="140A000F">
      <w:start w:val="1"/>
      <w:numFmt w:val="decimal"/>
      <w:lvlText w:val="%1."/>
      <w:lvlJc w:val="left"/>
      <w:pPr>
        <w:ind w:left="1494" w:hanging="360"/>
      </w:pPr>
      <w:rPr>
        <w:rFonts w:hint="default"/>
        <w:b/>
        <w:bCs/>
        <w:i w:val="0"/>
        <w:iCs w:val="0"/>
      </w:rPr>
    </w:lvl>
    <w:lvl w:ilvl="1" w:tplc="140A0019">
      <w:start w:val="1"/>
      <w:numFmt w:val="lowerLetter"/>
      <w:lvlText w:val="%2."/>
      <w:lvlJc w:val="left"/>
      <w:pPr>
        <w:ind w:left="2214" w:hanging="360"/>
      </w:pPr>
    </w:lvl>
    <w:lvl w:ilvl="2" w:tplc="140A001B">
      <w:start w:val="1"/>
      <w:numFmt w:val="lowerRoman"/>
      <w:lvlText w:val="%3."/>
      <w:lvlJc w:val="right"/>
      <w:pPr>
        <w:ind w:left="2934" w:hanging="180"/>
      </w:pPr>
    </w:lvl>
    <w:lvl w:ilvl="3" w:tplc="140A000F">
      <w:start w:val="1"/>
      <w:numFmt w:val="decimal"/>
      <w:lvlText w:val="%4."/>
      <w:lvlJc w:val="left"/>
      <w:pPr>
        <w:ind w:left="3654" w:hanging="360"/>
      </w:pPr>
    </w:lvl>
    <w:lvl w:ilvl="4" w:tplc="140A0019">
      <w:start w:val="1"/>
      <w:numFmt w:val="lowerLetter"/>
      <w:lvlText w:val="%5."/>
      <w:lvlJc w:val="left"/>
      <w:pPr>
        <w:ind w:left="4374" w:hanging="360"/>
      </w:pPr>
    </w:lvl>
    <w:lvl w:ilvl="5" w:tplc="140A001B">
      <w:start w:val="1"/>
      <w:numFmt w:val="lowerRoman"/>
      <w:lvlText w:val="%6."/>
      <w:lvlJc w:val="right"/>
      <w:pPr>
        <w:ind w:left="5094" w:hanging="180"/>
      </w:pPr>
    </w:lvl>
    <w:lvl w:ilvl="6" w:tplc="140A000F">
      <w:start w:val="1"/>
      <w:numFmt w:val="decimal"/>
      <w:lvlText w:val="%7."/>
      <w:lvlJc w:val="left"/>
      <w:pPr>
        <w:ind w:left="5814" w:hanging="360"/>
      </w:pPr>
    </w:lvl>
    <w:lvl w:ilvl="7" w:tplc="140A0019">
      <w:start w:val="1"/>
      <w:numFmt w:val="lowerLetter"/>
      <w:lvlText w:val="%8."/>
      <w:lvlJc w:val="left"/>
      <w:pPr>
        <w:ind w:left="6534" w:hanging="360"/>
      </w:pPr>
    </w:lvl>
    <w:lvl w:ilvl="8" w:tplc="140A001B">
      <w:start w:val="1"/>
      <w:numFmt w:val="lowerRoman"/>
      <w:lvlText w:val="%9."/>
      <w:lvlJc w:val="right"/>
      <w:pPr>
        <w:ind w:left="7254" w:hanging="180"/>
      </w:pPr>
    </w:lvl>
  </w:abstractNum>
  <w:abstractNum w:abstractNumId="6">
    <w:nsid w:val="3A38404A"/>
    <w:multiLevelType w:val="hybridMultilevel"/>
    <w:tmpl w:val="CAB04AD4"/>
    <w:lvl w:ilvl="0" w:tplc="06E03C86">
      <w:start w:val="1"/>
      <w:numFmt w:val="decimal"/>
      <w:lvlText w:val="%1."/>
      <w:lvlJc w:val="left"/>
      <w:pPr>
        <w:tabs>
          <w:tab w:val="num" w:pos="720"/>
        </w:tabs>
      </w:pPr>
      <w:rPr>
        <w:rFonts w:ascii="Verdana" w:hAnsi="Verdana" w:cs="Times New Roman" w:hint="default"/>
        <w:b w:val="0"/>
        <w:i w:val="0"/>
        <w:color w:val="auto"/>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7">
    <w:nsid w:val="4BFC57B8"/>
    <w:multiLevelType w:val="hybridMultilevel"/>
    <w:tmpl w:val="B69064D8"/>
    <w:lvl w:ilvl="0" w:tplc="9A22BA8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B936DAF"/>
    <w:multiLevelType w:val="hybridMultilevel"/>
    <w:tmpl w:val="FC3297E4"/>
    <w:lvl w:ilvl="0" w:tplc="9B1E4EDA">
      <w:start w:val="1"/>
      <w:numFmt w:val="decimal"/>
      <w:lvlText w:val="%1."/>
      <w:lvlJc w:val="left"/>
      <w:pPr>
        <w:ind w:left="502"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615D6ECD"/>
    <w:multiLevelType w:val="hybridMultilevel"/>
    <w:tmpl w:val="F4BA3FDA"/>
    <w:lvl w:ilvl="0" w:tplc="ED0459E8">
      <w:start w:val="1"/>
      <w:numFmt w:val="lowerLetter"/>
      <w:lvlText w:val="%1)"/>
      <w:lvlJc w:val="left"/>
      <w:pPr>
        <w:ind w:left="1080" w:hanging="360"/>
      </w:pPr>
      <w:rPr>
        <w:rFonts w:ascii="Verdana" w:hAnsi="Verdana" w:cs="Verdana" w:hint="default"/>
        <w:sz w:val="20"/>
        <w:szCs w:val="20"/>
      </w:rPr>
    </w:lvl>
    <w:lvl w:ilvl="1" w:tplc="323EEAAC">
      <w:start w:val="1"/>
      <w:numFmt w:val="decimal"/>
      <w:pStyle w:val="ListParagraph"/>
      <w:lvlText w:val="%2."/>
      <w:lvlJc w:val="left"/>
      <w:pPr>
        <w:tabs>
          <w:tab w:val="num" w:pos="0"/>
        </w:tabs>
      </w:pPr>
      <w:rPr>
        <w:rFonts w:hint="default"/>
        <w:b w:val="0"/>
        <w:bCs w:val="0"/>
        <w:sz w:val="20"/>
        <w:szCs w:val="20"/>
      </w:rPr>
    </w:lvl>
    <w:lvl w:ilvl="2" w:tplc="B96C1A40">
      <w:start w:val="1"/>
      <w:numFmt w:val="lowerLetter"/>
      <w:lvlText w:val="%3)"/>
      <w:lvlJc w:val="left"/>
      <w:pPr>
        <w:ind w:left="2700" w:hanging="360"/>
      </w:pPr>
      <w:rPr>
        <w:rFonts w:ascii="Verdana" w:hAnsi="Verdana" w:cs="Verdana" w:hint="default"/>
        <w:b w:val="0"/>
        <w:bCs w:val="0"/>
        <w:sz w:val="20"/>
        <w:szCs w:val="20"/>
      </w:r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10">
    <w:nsid w:val="62C97D24"/>
    <w:multiLevelType w:val="hybridMultilevel"/>
    <w:tmpl w:val="C0FAAC86"/>
    <w:lvl w:ilvl="0" w:tplc="3F2CF080">
      <w:start w:val="1"/>
      <w:numFmt w:val="decimal"/>
      <w:lvlText w:val="%1."/>
      <w:lvlJc w:val="left"/>
      <w:pPr>
        <w:ind w:left="1080" w:hanging="720"/>
      </w:pPr>
      <w:rPr>
        <w:rFonts w:hint="default"/>
        <w:b w:val="0"/>
      </w:rPr>
    </w:lvl>
    <w:lvl w:ilvl="1" w:tplc="B08C5A9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4167C5"/>
    <w:multiLevelType w:val="hybridMultilevel"/>
    <w:tmpl w:val="56E2A2AE"/>
    <w:lvl w:ilvl="0" w:tplc="0FD0E226">
      <w:start w:val="2"/>
      <w:numFmt w:val="decimal"/>
      <w:lvlText w:val="%1."/>
      <w:lvlJc w:val="left"/>
      <w:pPr>
        <w:tabs>
          <w:tab w:val="num" w:pos="1440"/>
        </w:tabs>
      </w:pPr>
      <w:rPr>
        <w:rFonts w:ascii="Verdana" w:hAnsi="Verdana"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01E7730"/>
    <w:multiLevelType w:val="hybridMultilevel"/>
    <w:tmpl w:val="7512A0FA"/>
    <w:lvl w:ilvl="0" w:tplc="687274CC">
      <w:start w:val="1"/>
      <w:numFmt w:val="upperLetter"/>
      <w:lvlText w:val="%1."/>
      <w:lvlJc w:val="left"/>
      <w:pPr>
        <w:ind w:left="1080" w:hanging="720"/>
      </w:pPr>
      <w:rPr>
        <w:rFonts w:hint="default"/>
        <w:i/>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0B238BB"/>
    <w:multiLevelType w:val="hybridMultilevel"/>
    <w:tmpl w:val="A8622FC4"/>
    <w:lvl w:ilvl="0" w:tplc="634A8A0A">
      <w:start w:val="1"/>
      <w:numFmt w:val="lowerLetter"/>
      <w:lvlText w:val="%1)"/>
      <w:lvlJc w:val="left"/>
      <w:pPr>
        <w:ind w:left="720" w:hanging="360"/>
      </w:pPr>
      <w:rPr>
        <w:rFonts w:cs="Times New Roman" w:hint="default"/>
      </w:rPr>
    </w:lvl>
    <w:lvl w:ilvl="1" w:tplc="340A0019">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9"/>
  </w:num>
  <w:num w:numId="2">
    <w:abstractNumId w:val="10"/>
  </w:num>
  <w:num w:numId="3">
    <w:abstractNumId w:val="3"/>
  </w:num>
  <w:num w:numId="4">
    <w:abstractNumId w:val="12"/>
  </w:num>
  <w:num w:numId="5">
    <w:abstractNumId w:val="9"/>
  </w:num>
  <w:num w:numId="6">
    <w:abstractNumId w:val="7"/>
  </w:num>
  <w:num w:numId="7">
    <w:abstractNumId w:val="5"/>
  </w:num>
  <w:num w:numId="8">
    <w:abstractNumId w:val="4"/>
  </w:num>
  <w:num w:numId="9">
    <w:abstractNumId w:val="1"/>
  </w:num>
  <w:num w:numId="10">
    <w:abstractNumId w:val="11"/>
  </w:num>
  <w:num w:numId="11">
    <w:abstractNumId w:val="0"/>
  </w:num>
  <w:num w:numId="12">
    <w:abstractNumId w:val="2"/>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8"/>
  </w:num>
  <w:num w:numId="21">
    <w:abstractNumId w:val="9"/>
  </w:num>
  <w:num w:numId="22">
    <w:abstractNumId w:val="6"/>
  </w:num>
  <w:num w:numId="23">
    <w:abstractNumId w:val="13"/>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95D3E"/>
    <w:rsid w:val="00012305"/>
    <w:rsid w:val="000319C0"/>
    <w:rsid w:val="000322D6"/>
    <w:rsid w:val="0003427A"/>
    <w:rsid w:val="00047226"/>
    <w:rsid w:val="00062532"/>
    <w:rsid w:val="000656C7"/>
    <w:rsid w:val="0011734E"/>
    <w:rsid w:val="00123438"/>
    <w:rsid w:val="0012506D"/>
    <w:rsid w:val="001342C4"/>
    <w:rsid w:val="00165662"/>
    <w:rsid w:val="00167511"/>
    <w:rsid w:val="00170176"/>
    <w:rsid w:val="001814A1"/>
    <w:rsid w:val="001F2A10"/>
    <w:rsid w:val="00224A83"/>
    <w:rsid w:val="002321C2"/>
    <w:rsid w:val="0027359D"/>
    <w:rsid w:val="00286A0E"/>
    <w:rsid w:val="002922D5"/>
    <w:rsid w:val="002B3D6C"/>
    <w:rsid w:val="002C216E"/>
    <w:rsid w:val="002E5CA7"/>
    <w:rsid w:val="00327682"/>
    <w:rsid w:val="00353E07"/>
    <w:rsid w:val="003B172A"/>
    <w:rsid w:val="003C3256"/>
    <w:rsid w:val="003E677F"/>
    <w:rsid w:val="00416110"/>
    <w:rsid w:val="00417AFF"/>
    <w:rsid w:val="00441A7E"/>
    <w:rsid w:val="00471236"/>
    <w:rsid w:val="00474F46"/>
    <w:rsid w:val="00484F02"/>
    <w:rsid w:val="00492DDD"/>
    <w:rsid w:val="00495443"/>
    <w:rsid w:val="004B0319"/>
    <w:rsid w:val="004D3363"/>
    <w:rsid w:val="004E029E"/>
    <w:rsid w:val="004E374B"/>
    <w:rsid w:val="00514109"/>
    <w:rsid w:val="00553643"/>
    <w:rsid w:val="00563112"/>
    <w:rsid w:val="005A7BA3"/>
    <w:rsid w:val="005F0280"/>
    <w:rsid w:val="006444A2"/>
    <w:rsid w:val="00647D4C"/>
    <w:rsid w:val="0065003B"/>
    <w:rsid w:val="00657112"/>
    <w:rsid w:val="00664259"/>
    <w:rsid w:val="006A0848"/>
    <w:rsid w:val="006A318C"/>
    <w:rsid w:val="006F0619"/>
    <w:rsid w:val="00705472"/>
    <w:rsid w:val="00721ACF"/>
    <w:rsid w:val="00765144"/>
    <w:rsid w:val="00794DB0"/>
    <w:rsid w:val="007A47C8"/>
    <w:rsid w:val="007C5F69"/>
    <w:rsid w:val="007D7F6B"/>
    <w:rsid w:val="00874640"/>
    <w:rsid w:val="008803E0"/>
    <w:rsid w:val="00881767"/>
    <w:rsid w:val="00890B04"/>
    <w:rsid w:val="00905EDF"/>
    <w:rsid w:val="00937C38"/>
    <w:rsid w:val="00941ADD"/>
    <w:rsid w:val="00941F9D"/>
    <w:rsid w:val="00946F88"/>
    <w:rsid w:val="00963938"/>
    <w:rsid w:val="009B0FE4"/>
    <w:rsid w:val="009C4E62"/>
    <w:rsid w:val="009E713F"/>
    <w:rsid w:val="009F4F49"/>
    <w:rsid w:val="00A002D4"/>
    <w:rsid w:val="00A10A6E"/>
    <w:rsid w:val="00A14264"/>
    <w:rsid w:val="00A3314F"/>
    <w:rsid w:val="00A521EA"/>
    <w:rsid w:val="00A571C5"/>
    <w:rsid w:val="00A70EFF"/>
    <w:rsid w:val="00A85541"/>
    <w:rsid w:val="00A91460"/>
    <w:rsid w:val="00AC4070"/>
    <w:rsid w:val="00AD3B36"/>
    <w:rsid w:val="00B01D99"/>
    <w:rsid w:val="00B06B10"/>
    <w:rsid w:val="00B11217"/>
    <w:rsid w:val="00B20B20"/>
    <w:rsid w:val="00B36444"/>
    <w:rsid w:val="00B52FA0"/>
    <w:rsid w:val="00B62DB3"/>
    <w:rsid w:val="00B65BC7"/>
    <w:rsid w:val="00B843CD"/>
    <w:rsid w:val="00B94642"/>
    <w:rsid w:val="00B94684"/>
    <w:rsid w:val="00B95D3E"/>
    <w:rsid w:val="00B9783E"/>
    <w:rsid w:val="00BA1D77"/>
    <w:rsid w:val="00BE4C35"/>
    <w:rsid w:val="00BF2608"/>
    <w:rsid w:val="00C17395"/>
    <w:rsid w:val="00C65E8C"/>
    <w:rsid w:val="00C81B2C"/>
    <w:rsid w:val="00C95AF6"/>
    <w:rsid w:val="00CA01F0"/>
    <w:rsid w:val="00D427A7"/>
    <w:rsid w:val="00D5170C"/>
    <w:rsid w:val="00D76E6E"/>
    <w:rsid w:val="00D956C2"/>
    <w:rsid w:val="00D9725B"/>
    <w:rsid w:val="00DB03DC"/>
    <w:rsid w:val="00DB3859"/>
    <w:rsid w:val="00DC217E"/>
    <w:rsid w:val="00DF242B"/>
    <w:rsid w:val="00DF73B4"/>
    <w:rsid w:val="00E15708"/>
    <w:rsid w:val="00E23157"/>
    <w:rsid w:val="00E27462"/>
    <w:rsid w:val="00E276E3"/>
    <w:rsid w:val="00E377D3"/>
    <w:rsid w:val="00E64062"/>
    <w:rsid w:val="00E67D24"/>
    <w:rsid w:val="00EA7658"/>
    <w:rsid w:val="00EF6899"/>
    <w:rsid w:val="00F35271"/>
    <w:rsid w:val="00F937C9"/>
    <w:rsid w:val="00F96C49"/>
    <w:rsid w:val="00F97FD6"/>
    <w:rsid w:val="00FB2609"/>
    <w:rsid w:val="00FD6FC8"/>
    <w:rsid w:val="00FE7A23"/>
    <w:rsid w:val="00FF54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D3E"/>
    <w:rPr>
      <w:rFonts w:ascii="Calibri" w:eastAsia="Calibri" w:hAnsi="Calibri" w:cs="Calibri"/>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uiPriority w:val="99"/>
    <w:qFormat/>
    <w:rsid w:val="0003427A"/>
    <w:rPr>
      <w:rFonts w:ascii="Verdana" w:hAnsi="Verdana" w:cs="Verdana"/>
      <w:sz w:val="16"/>
      <w:szCs w:val="16"/>
      <w:vertAlign w:val="superscript"/>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1"/>
    <w:autoRedefine/>
    <w:qFormat/>
    <w:rsid w:val="0003427A"/>
    <w:pPr>
      <w:tabs>
        <w:tab w:val="left" w:pos="567"/>
      </w:tabs>
      <w:spacing w:before="120" w:after="120" w:line="240" w:lineRule="auto"/>
      <w:jc w:val="both"/>
    </w:pPr>
    <w:rPr>
      <w:rFonts w:ascii="Verdana" w:hAnsi="Verdana" w:cs="Verdana"/>
      <w:sz w:val="16"/>
      <w:szCs w:val="16"/>
      <w:lang w:val="es-ES_tradnl" w:eastAsia="es-ES"/>
    </w:rPr>
  </w:style>
  <w:style w:type="character" w:customStyle="1" w:styleId="FootnoteTextChar">
    <w:name w:val="Footnote Text Char"/>
    <w:aliases w:val="Footnote Text Cha Char,FA Fuﬂnotentext Char,Ca Char"/>
    <w:basedOn w:val="DefaultParagraphFont"/>
    <w:rsid w:val="0003427A"/>
    <w:rPr>
      <w:rFonts w:ascii="Calibri" w:eastAsia="Calibri" w:hAnsi="Calibri" w:cs="Calibri"/>
      <w:sz w:val="20"/>
      <w:szCs w:val="20"/>
      <w:lang w:val="es-MX"/>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link w:val="FootnoteText"/>
    <w:uiPriority w:val="99"/>
    <w:locked/>
    <w:rsid w:val="0003427A"/>
    <w:rPr>
      <w:rFonts w:ascii="Verdana" w:eastAsia="Calibri" w:hAnsi="Verdana" w:cs="Verdana"/>
      <w:sz w:val="16"/>
      <w:szCs w:val="16"/>
      <w:lang w:val="es-ES_tradnl" w:eastAsia="es-ES"/>
    </w:rPr>
  </w:style>
  <w:style w:type="paragraph" w:styleId="ListParagraph">
    <w:name w:val="List Paragraph"/>
    <w:aliases w:val="Footnote,List Paragraph2"/>
    <w:basedOn w:val="Normal"/>
    <w:uiPriority w:val="99"/>
    <w:qFormat/>
    <w:rsid w:val="0003427A"/>
    <w:pPr>
      <w:widowControl w:val="0"/>
      <w:numPr>
        <w:ilvl w:val="1"/>
        <w:numId w:val="1"/>
      </w:numPr>
      <w:autoSpaceDE w:val="0"/>
      <w:autoSpaceDN w:val="0"/>
      <w:adjustRightInd w:val="0"/>
      <w:spacing w:after="0" w:line="240" w:lineRule="auto"/>
      <w:ind w:right="22"/>
      <w:jc w:val="both"/>
    </w:pPr>
    <w:rPr>
      <w:rFonts w:ascii="Verdana" w:hAnsi="Verdana" w:cs="Verdana"/>
      <w:sz w:val="20"/>
      <w:szCs w:val="20"/>
    </w:rPr>
  </w:style>
  <w:style w:type="character" w:styleId="Strong">
    <w:name w:val="Strong"/>
    <w:basedOn w:val="DefaultParagraphFont"/>
    <w:uiPriority w:val="22"/>
    <w:qFormat/>
    <w:rsid w:val="00BE4C35"/>
    <w:rPr>
      <w:b/>
      <w:bCs/>
    </w:rPr>
  </w:style>
  <w:style w:type="paragraph" w:styleId="NoSpacing">
    <w:name w:val="No Spacing"/>
    <w:uiPriority w:val="99"/>
    <w:qFormat/>
    <w:rsid w:val="007C5F69"/>
    <w:pPr>
      <w:spacing w:after="0" w:line="240" w:lineRule="auto"/>
    </w:pPr>
    <w:rPr>
      <w:rFonts w:ascii="Calibri" w:eastAsia="Calibri" w:hAnsi="Calibri" w:cs="Calibri"/>
      <w:lang w:val="en-US"/>
    </w:rPr>
  </w:style>
  <w:style w:type="character" w:styleId="CommentReference">
    <w:name w:val="annotation reference"/>
    <w:basedOn w:val="DefaultParagraphFont"/>
    <w:uiPriority w:val="99"/>
    <w:semiHidden/>
    <w:unhideWhenUsed/>
    <w:rsid w:val="0065003B"/>
    <w:rPr>
      <w:sz w:val="16"/>
      <w:szCs w:val="16"/>
    </w:rPr>
  </w:style>
  <w:style w:type="paragraph" w:styleId="CommentText">
    <w:name w:val="annotation text"/>
    <w:basedOn w:val="Normal"/>
    <w:link w:val="CommentTextChar"/>
    <w:uiPriority w:val="99"/>
    <w:semiHidden/>
    <w:unhideWhenUsed/>
    <w:rsid w:val="0065003B"/>
    <w:pPr>
      <w:spacing w:line="240" w:lineRule="auto"/>
    </w:pPr>
    <w:rPr>
      <w:sz w:val="20"/>
      <w:szCs w:val="20"/>
    </w:rPr>
  </w:style>
  <w:style w:type="character" w:customStyle="1" w:styleId="CommentTextChar">
    <w:name w:val="Comment Text Char"/>
    <w:basedOn w:val="DefaultParagraphFont"/>
    <w:link w:val="CommentText"/>
    <w:uiPriority w:val="99"/>
    <w:semiHidden/>
    <w:rsid w:val="0065003B"/>
    <w:rPr>
      <w:rFonts w:ascii="Calibri" w:eastAsia="Calibri" w:hAnsi="Calibri" w:cs="Calibri"/>
      <w:sz w:val="20"/>
      <w:szCs w:val="20"/>
      <w:lang w:val="es-MX"/>
    </w:rPr>
  </w:style>
  <w:style w:type="paragraph" w:styleId="CommentSubject">
    <w:name w:val="annotation subject"/>
    <w:basedOn w:val="CommentText"/>
    <w:next w:val="CommentText"/>
    <w:link w:val="CommentSubjectChar"/>
    <w:uiPriority w:val="99"/>
    <w:semiHidden/>
    <w:unhideWhenUsed/>
    <w:rsid w:val="0065003B"/>
    <w:rPr>
      <w:b/>
      <w:bCs/>
    </w:rPr>
  </w:style>
  <w:style w:type="character" w:customStyle="1" w:styleId="CommentSubjectChar">
    <w:name w:val="Comment Subject Char"/>
    <w:basedOn w:val="CommentTextChar"/>
    <w:link w:val="CommentSubject"/>
    <w:uiPriority w:val="99"/>
    <w:semiHidden/>
    <w:rsid w:val="0065003B"/>
    <w:rPr>
      <w:rFonts w:ascii="Calibri" w:eastAsia="Calibri" w:hAnsi="Calibri" w:cs="Calibri"/>
      <w:b/>
      <w:bCs/>
      <w:sz w:val="20"/>
      <w:szCs w:val="20"/>
      <w:lang w:val="es-MX"/>
    </w:rPr>
  </w:style>
  <w:style w:type="paragraph" w:styleId="BalloonText">
    <w:name w:val="Balloon Text"/>
    <w:basedOn w:val="Normal"/>
    <w:link w:val="BalloonTextChar"/>
    <w:uiPriority w:val="99"/>
    <w:semiHidden/>
    <w:unhideWhenUsed/>
    <w:rsid w:val="00650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03B"/>
    <w:rPr>
      <w:rFonts w:ascii="Tahoma" w:eastAsia="Calibri" w:hAnsi="Tahoma" w:cs="Tahoma"/>
      <w:sz w:val="16"/>
      <w:szCs w:val="16"/>
      <w:lang w:val="es-MX"/>
    </w:rPr>
  </w:style>
  <w:style w:type="paragraph" w:customStyle="1" w:styleId="ColorfulList-Accent11">
    <w:name w:val="Colorful List - Accent 11"/>
    <w:basedOn w:val="Normal"/>
    <w:uiPriority w:val="99"/>
    <w:rsid w:val="00EA7658"/>
    <w:pPr>
      <w:spacing w:after="0" w:line="240" w:lineRule="auto"/>
      <w:ind w:left="720"/>
    </w:pPr>
    <w:rPr>
      <w:rFonts w:ascii="Times" w:eastAsia="MS Mincho" w:hAnsi="Times" w:cs="Times"/>
      <w:sz w:val="24"/>
      <w:szCs w:val="24"/>
      <w:lang w:val="es-ES_tradnl"/>
    </w:rPr>
  </w:style>
  <w:style w:type="paragraph" w:customStyle="1" w:styleId="MediumGrid21">
    <w:name w:val="Medium Grid 21"/>
    <w:uiPriority w:val="99"/>
    <w:qFormat/>
    <w:rsid w:val="00B36444"/>
    <w:pPr>
      <w:spacing w:after="0" w:line="240" w:lineRule="auto"/>
    </w:pPr>
    <w:rPr>
      <w:rFonts w:ascii="Verdana" w:eastAsia="Times New Roman" w:hAnsi="Verdana" w:cs="Times New Roman"/>
      <w:sz w:val="28"/>
      <w:szCs w:val="24"/>
      <w:lang w:val="es-ES_tradnl"/>
    </w:rPr>
  </w:style>
  <w:style w:type="paragraph" w:customStyle="1" w:styleId="Default">
    <w:name w:val="Default"/>
    <w:uiPriority w:val="99"/>
    <w:rsid w:val="00B9783E"/>
    <w:pPr>
      <w:autoSpaceDE w:val="0"/>
      <w:autoSpaceDN w:val="0"/>
      <w:adjustRightInd w:val="0"/>
      <w:spacing w:after="0" w:line="240" w:lineRule="auto"/>
    </w:pPr>
    <w:rPr>
      <w:rFonts w:ascii="Verdana" w:hAnsi="Verdana" w:cs="Verdana"/>
      <w:color w:val="000000"/>
      <w:sz w:val="24"/>
      <w:szCs w:val="24"/>
    </w:rPr>
  </w:style>
  <w:style w:type="paragraph" w:customStyle="1" w:styleId="ListParagraph1">
    <w:name w:val="List Paragraph1"/>
    <w:basedOn w:val="Normal"/>
    <w:uiPriority w:val="99"/>
    <w:rsid w:val="00D5170C"/>
    <w:pPr>
      <w:spacing w:after="0" w:line="240" w:lineRule="auto"/>
      <w:ind w:left="720"/>
    </w:pPr>
    <w:rPr>
      <w:rFonts w:ascii="Times New Roman" w:hAnsi="Times New Roman" w:cs="Times New Roman"/>
      <w:sz w:val="24"/>
      <w:szCs w:val="24"/>
      <w:lang w:val="es-ES" w:eastAsia="es-ES"/>
    </w:rPr>
  </w:style>
  <w:style w:type="paragraph" w:styleId="Header">
    <w:name w:val="header"/>
    <w:basedOn w:val="Normal"/>
    <w:link w:val="HeaderChar"/>
    <w:uiPriority w:val="99"/>
    <w:unhideWhenUsed/>
    <w:rsid w:val="00E276E3"/>
    <w:pPr>
      <w:tabs>
        <w:tab w:val="center" w:pos="4419"/>
        <w:tab w:val="right" w:pos="8838"/>
      </w:tabs>
      <w:spacing w:after="0" w:line="240" w:lineRule="auto"/>
    </w:pPr>
  </w:style>
  <w:style w:type="character" w:customStyle="1" w:styleId="HeaderChar">
    <w:name w:val="Header Char"/>
    <w:basedOn w:val="DefaultParagraphFont"/>
    <w:link w:val="Header"/>
    <w:uiPriority w:val="99"/>
    <w:rsid w:val="00E276E3"/>
    <w:rPr>
      <w:rFonts w:ascii="Calibri" w:eastAsia="Calibri" w:hAnsi="Calibri" w:cs="Calibri"/>
      <w:lang w:val="es-MX"/>
    </w:rPr>
  </w:style>
  <w:style w:type="paragraph" w:styleId="Footer">
    <w:name w:val="footer"/>
    <w:basedOn w:val="Normal"/>
    <w:link w:val="FooterChar"/>
    <w:uiPriority w:val="99"/>
    <w:unhideWhenUsed/>
    <w:rsid w:val="00E276E3"/>
    <w:pPr>
      <w:tabs>
        <w:tab w:val="center" w:pos="4419"/>
        <w:tab w:val="right" w:pos="8838"/>
      </w:tabs>
      <w:spacing w:after="0" w:line="240" w:lineRule="auto"/>
    </w:pPr>
  </w:style>
  <w:style w:type="character" w:customStyle="1" w:styleId="FooterChar">
    <w:name w:val="Footer Char"/>
    <w:basedOn w:val="DefaultParagraphFont"/>
    <w:link w:val="Footer"/>
    <w:uiPriority w:val="99"/>
    <w:rsid w:val="00E276E3"/>
    <w:rPr>
      <w:rFonts w:ascii="Calibri" w:eastAsia="Calibri" w:hAnsi="Calibri" w:cs="Calibri"/>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D3E"/>
    <w:rPr>
      <w:rFonts w:ascii="Calibri" w:eastAsia="Calibri" w:hAnsi="Calibri" w:cs="Calibri"/>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uiPriority w:val="99"/>
    <w:qFormat/>
    <w:rsid w:val="0003427A"/>
    <w:rPr>
      <w:rFonts w:ascii="Verdana" w:hAnsi="Verdana" w:cs="Verdana"/>
      <w:sz w:val="16"/>
      <w:szCs w:val="16"/>
      <w:vertAlign w:val="superscript"/>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1"/>
    <w:autoRedefine/>
    <w:qFormat/>
    <w:rsid w:val="0003427A"/>
    <w:pPr>
      <w:tabs>
        <w:tab w:val="left" w:pos="567"/>
      </w:tabs>
      <w:spacing w:before="120" w:after="120" w:line="240" w:lineRule="auto"/>
      <w:jc w:val="both"/>
    </w:pPr>
    <w:rPr>
      <w:rFonts w:ascii="Verdana" w:hAnsi="Verdana" w:cs="Verdana"/>
      <w:sz w:val="16"/>
      <w:szCs w:val="16"/>
      <w:lang w:val="es-ES_tradnl" w:eastAsia="es-ES"/>
    </w:rPr>
  </w:style>
  <w:style w:type="character" w:customStyle="1" w:styleId="FootnoteTextChar">
    <w:name w:val="Footnote Text Char"/>
    <w:aliases w:val="Footnote Text Cha Char,FA Fuﬂnotentext Char,Ca Char"/>
    <w:basedOn w:val="DefaultParagraphFont"/>
    <w:rsid w:val="0003427A"/>
    <w:rPr>
      <w:rFonts w:ascii="Calibri" w:eastAsia="Calibri" w:hAnsi="Calibri" w:cs="Calibri"/>
      <w:sz w:val="20"/>
      <w:szCs w:val="20"/>
      <w:lang w:val="es-MX"/>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link w:val="FootnoteText"/>
    <w:uiPriority w:val="99"/>
    <w:locked/>
    <w:rsid w:val="0003427A"/>
    <w:rPr>
      <w:rFonts w:ascii="Verdana" w:eastAsia="Calibri" w:hAnsi="Verdana" w:cs="Verdana"/>
      <w:sz w:val="16"/>
      <w:szCs w:val="16"/>
      <w:lang w:val="es-ES_tradnl" w:eastAsia="es-ES"/>
    </w:rPr>
  </w:style>
  <w:style w:type="paragraph" w:styleId="ListParagraph">
    <w:name w:val="List Paragraph"/>
    <w:aliases w:val="Footnote,List Paragraph2"/>
    <w:basedOn w:val="Normal"/>
    <w:uiPriority w:val="99"/>
    <w:qFormat/>
    <w:rsid w:val="0003427A"/>
    <w:pPr>
      <w:widowControl w:val="0"/>
      <w:numPr>
        <w:ilvl w:val="1"/>
        <w:numId w:val="1"/>
      </w:numPr>
      <w:autoSpaceDE w:val="0"/>
      <w:autoSpaceDN w:val="0"/>
      <w:adjustRightInd w:val="0"/>
      <w:spacing w:after="0" w:line="240" w:lineRule="auto"/>
      <w:ind w:right="22"/>
      <w:jc w:val="both"/>
    </w:pPr>
    <w:rPr>
      <w:rFonts w:ascii="Verdana" w:hAnsi="Verdana" w:cs="Verdana"/>
      <w:sz w:val="20"/>
      <w:szCs w:val="20"/>
    </w:rPr>
  </w:style>
  <w:style w:type="character" w:styleId="Strong">
    <w:name w:val="Strong"/>
    <w:basedOn w:val="DefaultParagraphFont"/>
    <w:uiPriority w:val="22"/>
    <w:qFormat/>
    <w:rsid w:val="00BE4C35"/>
    <w:rPr>
      <w:b/>
      <w:bCs/>
    </w:rPr>
  </w:style>
  <w:style w:type="paragraph" w:styleId="NoSpacing">
    <w:name w:val="No Spacing"/>
    <w:uiPriority w:val="99"/>
    <w:qFormat/>
    <w:rsid w:val="007C5F69"/>
    <w:pPr>
      <w:spacing w:after="0" w:line="240" w:lineRule="auto"/>
    </w:pPr>
    <w:rPr>
      <w:rFonts w:ascii="Calibri" w:eastAsia="Calibri" w:hAnsi="Calibri" w:cs="Calibri"/>
      <w:lang w:val="en-US"/>
    </w:rPr>
  </w:style>
  <w:style w:type="character" w:styleId="CommentReference">
    <w:name w:val="annotation reference"/>
    <w:basedOn w:val="DefaultParagraphFont"/>
    <w:uiPriority w:val="99"/>
    <w:semiHidden/>
    <w:unhideWhenUsed/>
    <w:rsid w:val="0065003B"/>
    <w:rPr>
      <w:sz w:val="16"/>
      <w:szCs w:val="16"/>
    </w:rPr>
  </w:style>
  <w:style w:type="paragraph" w:styleId="CommentText">
    <w:name w:val="annotation text"/>
    <w:basedOn w:val="Normal"/>
    <w:link w:val="CommentTextChar"/>
    <w:uiPriority w:val="99"/>
    <w:semiHidden/>
    <w:unhideWhenUsed/>
    <w:rsid w:val="0065003B"/>
    <w:pPr>
      <w:spacing w:line="240" w:lineRule="auto"/>
    </w:pPr>
    <w:rPr>
      <w:sz w:val="20"/>
      <w:szCs w:val="20"/>
    </w:rPr>
  </w:style>
  <w:style w:type="character" w:customStyle="1" w:styleId="CommentTextChar">
    <w:name w:val="Comment Text Char"/>
    <w:basedOn w:val="DefaultParagraphFont"/>
    <w:link w:val="CommentText"/>
    <w:uiPriority w:val="99"/>
    <w:semiHidden/>
    <w:rsid w:val="0065003B"/>
    <w:rPr>
      <w:rFonts w:ascii="Calibri" w:eastAsia="Calibri" w:hAnsi="Calibri" w:cs="Calibri"/>
      <w:sz w:val="20"/>
      <w:szCs w:val="20"/>
      <w:lang w:val="es-MX"/>
    </w:rPr>
  </w:style>
  <w:style w:type="paragraph" w:styleId="CommentSubject">
    <w:name w:val="annotation subject"/>
    <w:basedOn w:val="CommentText"/>
    <w:next w:val="CommentText"/>
    <w:link w:val="CommentSubjectChar"/>
    <w:uiPriority w:val="99"/>
    <w:semiHidden/>
    <w:unhideWhenUsed/>
    <w:rsid w:val="0065003B"/>
    <w:rPr>
      <w:b/>
      <w:bCs/>
    </w:rPr>
  </w:style>
  <w:style w:type="character" w:customStyle="1" w:styleId="CommentSubjectChar">
    <w:name w:val="Comment Subject Char"/>
    <w:basedOn w:val="CommentTextChar"/>
    <w:link w:val="CommentSubject"/>
    <w:uiPriority w:val="99"/>
    <w:semiHidden/>
    <w:rsid w:val="0065003B"/>
    <w:rPr>
      <w:rFonts w:ascii="Calibri" w:eastAsia="Calibri" w:hAnsi="Calibri" w:cs="Calibri"/>
      <w:b/>
      <w:bCs/>
      <w:sz w:val="20"/>
      <w:szCs w:val="20"/>
      <w:lang w:val="es-MX"/>
    </w:rPr>
  </w:style>
  <w:style w:type="paragraph" w:styleId="BalloonText">
    <w:name w:val="Balloon Text"/>
    <w:basedOn w:val="Normal"/>
    <w:link w:val="BalloonTextChar"/>
    <w:uiPriority w:val="99"/>
    <w:semiHidden/>
    <w:unhideWhenUsed/>
    <w:rsid w:val="00650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03B"/>
    <w:rPr>
      <w:rFonts w:ascii="Tahoma" w:eastAsia="Calibri" w:hAnsi="Tahoma" w:cs="Tahoma"/>
      <w:sz w:val="16"/>
      <w:szCs w:val="16"/>
      <w:lang w:val="es-MX"/>
    </w:rPr>
  </w:style>
  <w:style w:type="paragraph" w:customStyle="1" w:styleId="ColorfulList-Accent11">
    <w:name w:val="Colorful List - Accent 11"/>
    <w:basedOn w:val="Normal"/>
    <w:uiPriority w:val="99"/>
    <w:rsid w:val="00EA7658"/>
    <w:pPr>
      <w:spacing w:after="0" w:line="240" w:lineRule="auto"/>
      <w:ind w:left="720"/>
    </w:pPr>
    <w:rPr>
      <w:rFonts w:ascii="Times" w:eastAsia="MS Mincho" w:hAnsi="Times" w:cs="Times"/>
      <w:sz w:val="24"/>
      <w:szCs w:val="24"/>
      <w:lang w:val="es-ES_tradnl"/>
    </w:rPr>
  </w:style>
  <w:style w:type="paragraph" w:customStyle="1" w:styleId="MediumGrid21">
    <w:name w:val="Medium Grid 21"/>
    <w:uiPriority w:val="99"/>
    <w:qFormat/>
    <w:rsid w:val="00B36444"/>
    <w:pPr>
      <w:spacing w:after="0" w:line="240" w:lineRule="auto"/>
    </w:pPr>
    <w:rPr>
      <w:rFonts w:ascii="Verdana" w:eastAsia="Times New Roman" w:hAnsi="Verdana" w:cs="Times New Roman"/>
      <w:sz w:val="28"/>
      <w:szCs w:val="24"/>
      <w:lang w:val="es-ES_tradnl"/>
    </w:rPr>
  </w:style>
  <w:style w:type="paragraph" w:customStyle="1" w:styleId="Default">
    <w:name w:val="Default"/>
    <w:uiPriority w:val="99"/>
    <w:rsid w:val="00B9783E"/>
    <w:pPr>
      <w:autoSpaceDE w:val="0"/>
      <w:autoSpaceDN w:val="0"/>
      <w:adjustRightInd w:val="0"/>
      <w:spacing w:after="0" w:line="240" w:lineRule="auto"/>
    </w:pPr>
    <w:rPr>
      <w:rFonts w:ascii="Verdana" w:hAnsi="Verdana" w:cs="Verdana"/>
      <w:color w:val="000000"/>
      <w:sz w:val="24"/>
      <w:szCs w:val="24"/>
    </w:rPr>
  </w:style>
  <w:style w:type="paragraph" w:customStyle="1" w:styleId="ListParagraph1">
    <w:name w:val="List Paragraph1"/>
    <w:basedOn w:val="Normal"/>
    <w:uiPriority w:val="99"/>
    <w:rsid w:val="00D5170C"/>
    <w:pPr>
      <w:spacing w:after="0" w:line="240" w:lineRule="auto"/>
      <w:ind w:left="720"/>
    </w:pPr>
    <w:rPr>
      <w:rFonts w:ascii="Times New Roman" w:hAnsi="Times New Roman" w:cs="Times New Roman"/>
      <w:sz w:val="24"/>
      <w:szCs w:val="24"/>
      <w:lang w:val="es-ES" w:eastAsia="es-ES"/>
    </w:rPr>
  </w:style>
  <w:style w:type="paragraph" w:styleId="Header">
    <w:name w:val="header"/>
    <w:basedOn w:val="Normal"/>
    <w:link w:val="HeaderChar"/>
    <w:uiPriority w:val="99"/>
    <w:unhideWhenUsed/>
    <w:rsid w:val="00E276E3"/>
    <w:pPr>
      <w:tabs>
        <w:tab w:val="center" w:pos="4419"/>
        <w:tab w:val="right" w:pos="8838"/>
      </w:tabs>
      <w:spacing w:after="0" w:line="240" w:lineRule="auto"/>
    </w:pPr>
  </w:style>
  <w:style w:type="character" w:customStyle="1" w:styleId="HeaderChar">
    <w:name w:val="Header Char"/>
    <w:basedOn w:val="DefaultParagraphFont"/>
    <w:link w:val="Header"/>
    <w:uiPriority w:val="99"/>
    <w:rsid w:val="00E276E3"/>
    <w:rPr>
      <w:rFonts w:ascii="Calibri" w:eastAsia="Calibri" w:hAnsi="Calibri" w:cs="Calibri"/>
      <w:lang w:val="es-MX"/>
    </w:rPr>
  </w:style>
  <w:style w:type="paragraph" w:styleId="Footer">
    <w:name w:val="footer"/>
    <w:basedOn w:val="Normal"/>
    <w:link w:val="FooterChar"/>
    <w:uiPriority w:val="99"/>
    <w:unhideWhenUsed/>
    <w:rsid w:val="00E276E3"/>
    <w:pPr>
      <w:tabs>
        <w:tab w:val="center" w:pos="4419"/>
        <w:tab w:val="right" w:pos="8838"/>
      </w:tabs>
      <w:spacing w:after="0" w:line="240" w:lineRule="auto"/>
    </w:pPr>
  </w:style>
  <w:style w:type="character" w:customStyle="1" w:styleId="FooterChar">
    <w:name w:val="Footer Char"/>
    <w:basedOn w:val="DefaultParagraphFont"/>
    <w:link w:val="Footer"/>
    <w:uiPriority w:val="99"/>
    <w:rsid w:val="00E276E3"/>
    <w:rPr>
      <w:rFonts w:ascii="Calibri" w:eastAsia="Calibri" w:hAnsi="Calibri" w:cs="Calibri"/>
      <w:lang w:val="es-MX"/>
    </w:rPr>
  </w:style>
</w:styles>
</file>

<file path=word/webSettings.xml><?xml version="1.0" encoding="utf-8"?>
<w:webSettings xmlns:r="http://schemas.openxmlformats.org/officeDocument/2006/relationships" xmlns:w="http://schemas.openxmlformats.org/wordprocessingml/2006/main">
  <w:divs>
    <w:div w:id="15469511">
      <w:bodyDiv w:val="1"/>
      <w:marLeft w:val="0"/>
      <w:marRight w:val="0"/>
      <w:marTop w:val="0"/>
      <w:marBottom w:val="0"/>
      <w:divBdr>
        <w:top w:val="none" w:sz="0" w:space="0" w:color="auto"/>
        <w:left w:val="none" w:sz="0" w:space="0" w:color="auto"/>
        <w:bottom w:val="none" w:sz="0" w:space="0" w:color="auto"/>
        <w:right w:val="none" w:sz="0" w:space="0" w:color="auto"/>
      </w:divBdr>
    </w:div>
    <w:div w:id="187742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D7602-5A7A-4E09-BE41-57DC43CCF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3878</Words>
  <Characters>21335</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Julliana Saborio</cp:lastModifiedBy>
  <cp:revision>2</cp:revision>
  <cp:lastPrinted>2015-03-11T23:21:00Z</cp:lastPrinted>
  <dcterms:created xsi:type="dcterms:W3CDTF">2015-03-12T17:38:00Z</dcterms:created>
  <dcterms:modified xsi:type="dcterms:W3CDTF">2015-03-12T17:38:00Z</dcterms:modified>
</cp:coreProperties>
</file>