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8F5" w:rsidRDefault="009838F5" w:rsidP="007511E0">
      <w:pPr>
        <w:spacing w:after="0"/>
        <w:ind w:right="49"/>
        <w:jc w:val="center"/>
        <w:rPr>
          <w:rFonts w:cs="Verdana Bold"/>
          <w:b/>
          <w:bCs/>
          <w:caps/>
          <w:szCs w:val="20"/>
        </w:rPr>
      </w:pPr>
    </w:p>
    <w:p w:rsidR="009838F5" w:rsidRDefault="009838F5" w:rsidP="007511E0">
      <w:pPr>
        <w:spacing w:after="0"/>
        <w:ind w:right="49"/>
        <w:jc w:val="center"/>
        <w:rPr>
          <w:rFonts w:cs="Verdana Bold"/>
          <w:b/>
          <w:bCs/>
          <w:caps/>
          <w:szCs w:val="20"/>
        </w:rPr>
      </w:pPr>
    </w:p>
    <w:p w:rsidR="009838F5" w:rsidRDefault="009838F5" w:rsidP="007511E0">
      <w:pPr>
        <w:spacing w:after="0"/>
        <w:ind w:right="49"/>
        <w:jc w:val="center"/>
        <w:rPr>
          <w:rFonts w:cs="Verdana Bold"/>
          <w:b/>
          <w:bCs/>
          <w:caps/>
          <w:szCs w:val="20"/>
        </w:rPr>
      </w:pPr>
    </w:p>
    <w:p w:rsidR="009838F5" w:rsidRDefault="009838F5" w:rsidP="007511E0">
      <w:pPr>
        <w:spacing w:after="0"/>
        <w:ind w:right="49"/>
        <w:jc w:val="center"/>
        <w:rPr>
          <w:rFonts w:cs="Verdana Bold"/>
          <w:b/>
          <w:bCs/>
          <w:caps/>
          <w:szCs w:val="20"/>
        </w:rPr>
      </w:pPr>
    </w:p>
    <w:p w:rsidR="009838F5" w:rsidRDefault="009838F5" w:rsidP="007511E0">
      <w:pPr>
        <w:spacing w:after="0"/>
        <w:ind w:right="49"/>
        <w:jc w:val="center"/>
        <w:rPr>
          <w:rFonts w:cs="Verdana Bold"/>
          <w:b/>
          <w:bCs/>
          <w:caps/>
          <w:szCs w:val="20"/>
        </w:rPr>
      </w:pPr>
    </w:p>
    <w:p w:rsidR="007511E0" w:rsidRPr="00C75778" w:rsidRDefault="00CC2AC1" w:rsidP="007511E0">
      <w:pPr>
        <w:spacing w:after="0"/>
        <w:ind w:right="49"/>
        <w:jc w:val="center"/>
        <w:rPr>
          <w:rFonts w:cs="Verdana Bold"/>
          <w:b/>
          <w:bCs/>
          <w:caps/>
          <w:szCs w:val="20"/>
        </w:rPr>
      </w:pPr>
      <w:r>
        <w:rPr>
          <w:rFonts w:cs="Verdana Bold"/>
          <w:b/>
          <w:bCs/>
          <w:caps/>
          <w:szCs w:val="20"/>
        </w:rPr>
        <w:t>Resolución del Presidente de lA</w:t>
      </w:r>
      <w:bookmarkStart w:id="0" w:name="_GoBack"/>
      <w:bookmarkEnd w:id="0"/>
    </w:p>
    <w:p w:rsidR="007511E0" w:rsidRPr="00C75778" w:rsidRDefault="007511E0" w:rsidP="007511E0">
      <w:pPr>
        <w:spacing w:after="0"/>
        <w:ind w:right="49"/>
        <w:jc w:val="center"/>
        <w:rPr>
          <w:rFonts w:cs="Verdana Bold"/>
          <w:b/>
          <w:bCs/>
          <w:caps/>
          <w:szCs w:val="20"/>
        </w:rPr>
      </w:pPr>
    </w:p>
    <w:p w:rsidR="007511E0" w:rsidRPr="00C75778" w:rsidRDefault="007511E0" w:rsidP="007511E0">
      <w:pPr>
        <w:spacing w:after="0"/>
        <w:ind w:right="-316"/>
        <w:jc w:val="center"/>
        <w:rPr>
          <w:rFonts w:cs="Verdana Bold"/>
          <w:b/>
          <w:bCs/>
          <w:caps/>
          <w:szCs w:val="20"/>
        </w:rPr>
      </w:pPr>
      <w:r w:rsidRPr="00C75778">
        <w:rPr>
          <w:rFonts w:cs="Verdana Bold"/>
          <w:b/>
          <w:bCs/>
          <w:caps/>
          <w:szCs w:val="20"/>
        </w:rPr>
        <w:t>Corte Interamericana de Derechos Humanos</w:t>
      </w:r>
    </w:p>
    <w:p w:rsidR="007511E0" w:rsidRPr="00C75778" w:rsidRDefault="007511E0" w:rsidP="007511E0">
      <w:pPr>
        <w:spacing w:after="0"/>
        <w:ind w:right="-316"/>
        <w:jc w:val="center"/>
        <w:rPr>
          <w:rFonts w:cs="Verdana Bold"/>
          <w:b/>
          <w:bCs/>
          <w:caps/>
          <w:szCs w:val="20"/>
        </w:rPr>
      </w:pPr>
    </w:p>
    <w:p w:rsidR="007511E0" w:rsidRPr="00C75778" w:rsidRDefault="007511E0" w:rsidP="007511E0">
      <w:pPr>
        <w:spacing w:after="0"/>
        <w:ind w:right="49"/>
        <w:jc w:val="center"/>
        <w:rPr>
          <w:rFonts w:cs="Verdana Bold"/>
          <w:b/>
          <w:bCs/>
          <w:caps/>
          <w:szCs w:val="20"/>
        </w:rPr>
      </w:pPr>
      <w:r w:rsidRPr="00C75778">
        <w:rPr>
          <w:rFonts w:cs="Verdana Bold"/>
          <w:b/>
          <w:bCs/>
          <w:caps/>
          <w:szCs w:val="20"/>
        </w:rPr>
        <w:t xml:space="preserve">dE </w:t>
      </w:r>
      <w:r w:rsidR="00422F68">
        <w:rPr>
          <w:rFonts w:cs="Verdana Bold"/>
          <w:b/>
          <w:bCs/>
          <w:caps/>
          <w:szCs w:val="20"/>
        </w:rPr>
        <w:t>14</w:t>
      </w:r>
      <w:r>
        <w:rPr>
          <w:rFonts w:cs="Verdana Bold"/>
          <w:b/>
          <w:bCs/>
          <w:caps/>
          <w:szCs w:val="20"/>
        </w:rPr>
        <w:t xml:space="preserve"> DE </w:t>
      </w:r>
      <w:r w:rsidR="00DA4D2F">
        <w:rPr>
          <w:rFonts w:cs="Verdana Bold"/>
          <w:b/>
          <w:bCs/>
          <w:caps/>
          <w:szCs w:val="20"/>
        </w:rPr>
        <w:t>FEBRERO</w:t>
      </w:r>
      <w:r w:rsidR="00FD1604">
        <w:rPr>
          <w:rFonts w:cs="Verdana Bold"/>
          <w:b/>
          <w:bCs/>
          <w:caps/>
          <w:szCs w:val="20"/>
        </w:rPr>
        <w:t xml:space="preserve"> </w:t>
      </w:r>
      <w:r>
        <w:rPr>
          <w:rFonts w:cs="Verdana Bold"/>
          <w:b/>
          <w:bCs/>
          <w:caps/>
          <w:szCs w:val="20"/>
        </w:rPr>
        <w:t>de 2019</w:t>
      </w:r>
    </w:p>
    <w:p w:rsidR="007511E0" w:rsidRPr="00C75778" w:rsidRDefault="007511E0" w:rsidP="007511E0">
      <w:pPr>
        <w:spacing w:after="0"/>
        <w:ind w:right="-316"/>
        <w:rPr>
          <w:rFonts w:cs="Verdana Bold"/>
          <w:b/>
          <w:bCs/>
          <w:caps/>
          <w:szCs w:val="20"/>
        </w:rPr>
      </w:pPr>
    </w:p>
    <w:p w:rsidR="007511E0" w:rsidRPr="00C75778" w:rsidRDefault="007511E0" w:rsidP="007511E0">
      <w:pPr>
        <w:spacing w:after="0"/>
        <w:ind w:right="49"/>
        <w:jc w:val="center"/>
        <w:rPr>
          <w:rFonts w:cs="Verdana Bold"/>
          <w:b/>
          <w:bCs/>
          <w:caps/>
          <w:szCs w:val="20"/>
        </w:rPr>
      </w:pPr>
      <w:r>
        <w:rPr>
          <w:rFonts w:cs="Verdana Bold"/>
          <w:b/>
          <w:bCs/>
          <w:caps/>
          <w:szCs w:val="20"/>
        </w:rPr>
        <w:t xml:space="preserve">CASO </w:t>
      </w:r>
      <w:r w:rsidR="009C5FA6">
        <w:rPr>
          <w:rFonts w:cs="Verdana Bold"/>
          <w:b/>
          <w:bCs/>
          <w:caps/>
          <w:szCs w:val="20"/>
        </w:rPr>
        <w:t>Ruíz</w:t>
      </w:r>
      <w:r>
        <w:rPr>
          <w:rFonts w:cs="Verdana Bold"/>
          <w:b/>
          <w:bCs/>
          <w:caps/>
          <w:szCs w:val="20"/>
        </w:rPr>
        <w:t xml:space="preserve"> Fuentes vs. GUATEMALA</w:t>
      </w:r>
    </w:p>
    <w:p w:rsidR="007511E0" w:rsidRPr="00C75778" w:rsidRDefault="007511E0" w:rsidP="007511E0">
      <w:pPr>
        <w:spacing w:after="0"/>
        <w:ind w:right="49"/>
        <w:jc w:val="center"/>
        <w:rPr>
          <w:b/>
          <w:caps/>
          <w:szCs w:val="20"/>
          <w:lang w:val="es-CR"/>
        </w:rPr>
      </w:pPr>
      <w:r w:rsidRPr="00C75778">
        <w:rPr>
          <w:b/>
          <w:caps/>
          <w:szCs w:val="20"/>
          <w:lang w:val="es-CR"/>
        </w:rPr>
        <w:t>CONVOCATORIA A AUDIENCIA</w:t>
      </w:r>
    </w:p>
    <w:p w:rsidR="007511E0" w:rsidRPr="00C75778" w:rsidRDefault="007511E0" w:rsidP="007511E0">
      <w:pPr>
        <w:spacing w:after="0"/>
        <w:rPr>
          <w:rFonts w:cs="Verdana"/>
          <w:b/>
          <w:bCs/>
          <w:caps/>
          <w:szCs w:val="20"/>
        </w:rPr>
      </w:pPr>
    </w:p>
    <w:p w:rsidR="007511E0" w:rsidRPr="00C75778" w:rsidRDefault="007511E0" w:rsidP="007511E0">
      <w:pPr>
        <w:spacing w:after="0"/>
        <w:rPr>
          <w:rFonts w:cs="Verdana"/>
          <w:b/>
          <w:bCs/>
          <w:caps/>
          <w:szCs w:val="20"/>
        </w:rPr>
      </w:pPr>
      <w:r w:rsidRPr="00C75778">
        <w:rPr>
          <w:rFonts w:cs="Verdana"/>
          <w:b/>
          <w:bCs/>
          <w:caps/>
          <w:szCs w:val="20"/>
        </w:rPr>
        <w:t>Visto:</w:t>
      </w:r>
    </w:p>
    <w:p w:rsidR="007511E0" w:rsidRPr="00C75778" w:rsidRDefault="007511E0" w:rsidP="007511E0">
      <w:pPr>
        <w:spacing w:after="0"/>
        <w:rPr>
          <w:rFonts w:cs="Verdana"/>
          <w:b/>
          <w:bCs/>
          <w:caps/>
          <w:szCs w:val="20"/>
        </w:rPr>
      </w:pPr>
    </w:p>
    <w:p w:rsidR="007511E0" w:rsidRPr="00C75778" w:rsidRDefault="007511E0" w:rsidP="007511E0">
      <w:pPr>
        <w:pStyle w:val="ListParagraph"/>
        <w:widowControl w:val="0"/>
        <w:numPr>
          <w:ilvl w:val="0"/>
          <w:numId w:val="1"/>
        </w:numPr>
        <w:tabs>
          <w:tab w:val="left" w:pos="567"/>
        </w:tabs>
        <w:autoSpaceDE w:val="0"/>
        <w:autoSpaceDN w:val="0"/>
        <w:adjustRightInd w:val="0"/>
        <w:spacing w:after="0"/>
        <w:ind w:left="0" w:right="23" w:firstLine="0"/>
        <w:contextualSpacing w:val="0"/>
        <w:rPr>
          <w:szCs w:val="20"/>
          <w:lang w:val="es-CR"/>
        </w:rPr>
      </w:pPr>
      <w:bookmarkStart w:id="1" w:name="_Ref393297742"/>
      <w:bookmarkStart w:id="2" w:name="_Ref352676460"/>
      <w:bookmarkStart w:id="3" w:name="_Ref393297780"/>
      <w:bookmarkStart w:id="4" w:name="_Ref393920719"/>
      <w:r w:rsidRPr="00C75778">
        <w:rPr>
          <w:szCs w:val="20"/>
          <w:lang w:val="es-CR"/>
        </w:rPr>
        <w:t>El escrito de sometimiento del caso y el Informe de Fondo de la Comisión Interamericana de Derechos Humanos (en adelante “la Comisión Interamericana” o “la Comisión”)</w:t>
      </w:r>
      <w:bookmarkEnd w:id="1"/>
      <w:r w:rsidRPr="00C75778">
        <w:rPr>
          <w:szCs w:val="20"/>
          <w:lang w:val="es-CR"/>
        </w:rPr>
        <w:t xml:space="preserve">; </w:t>
      </w:r>
      <w:bookmarkStart w:id="5" w:name="_Ref393297751"/>
      <w:bookmarkStart w:id="6" w:name="_Ref351983508"/>
      <w:bookmarkEnd w:id="2"/>
      <w:r w:rsidRPr="00C75778">
        <w:rPr>
          <w:szCs w:val="20"/>
          <w:lang w:val="es-CR"/>
        </w:rPr>
        <w:t xml:space="preserve">el escrito de solicitudes, argumentos y pruebas (en adelante el “escrito de solicitudes y argumentos”) </w:t>
      </w:r>
      <w:r>
        <w:rPr>
          <w:szCs w:val="20"/>
          <w:lang w:val="es-CL" w:eastAsia="en-US"/>
        </w:rPr>
        <w:t>de la</w:t>
      </w:r>
      <w:r w:rsidRPr="00C75778">
        <w:rPr>
          <w:szCs w:val="20"/>
          <w:lang w:val="es-CL" w:eastAsia="en-US"/>
        </w:rPr>
        <w:t>s representantes</w:t>
      </w:r>
      <w:r w:rsidRPr="00C75778">
        <w:rPr>
          <w:rStyle w:val="FootnoteReference"/>
          <w:szCs w:val="20"/>
          <w:lang w:val="es-CL" w:eastAsia="en-US"/>
        </w:rPr>
        <w:t xml:space="preserve"> </w:t>
      </w:r>
      <w:r w:rsidRPr="00C75778">
        <w:rPr>
          <w:szCs w:val="20"/>
          <w:lang w:val="es-CL" w:eastAsia="en-US"/>
        </w:rPr>
        <w:t>de la</w:t>
      </w:r>
      <w:r w:rsidR="00F724B7">
        <w:rPr>
          <w:szCs w:val="20"/>
          <w:lang w:val="es-CL" w:eastAsia="en-US"/>
        </w:rPr>
        <w:t>s</w:t>
      </w:r>
      <w:r w:rsidRPr="00C75778">
        <w:rPr>
          <w:szCs w:val="20"/>
          <w:lang w:val="es-CL" w:eastAsia="en-US"/>
        </w:rPr>
        <w:t xml:space="preserve"> presunta</w:t>
      </w:r>
      <w:r w:rsidR="00F724B7">
        <w:rPr>
          <w:szCs w:val="20"/>
          <w:lang w:val="es-CL" w:eastAsia="en-US"/>
        </w:rPr>
        <w:t>s</w:t>
      </w:r>
      <w:r w:rsidRPr="00C75778">
        <w:rPr>
          <w:szCs w:val="20"/>
          <w:lang w:val="es-CL" w:eastAsia="en-US"/>
        </w:rPr>
        <w:t xml:space="preserve"> víctima</w:t>
      </w:r>
      <w:r w:rsidR="00F724B7">
        <w:rPr>
          <w:szCs w:val="20"/>
          <w:lang w:val="es-CL" w:eastAsia="en-US"/>
        </w:rPr>
        <w:t>s</w:t>
      </w:r>
      <w:r w:rsidR="00D87531" w:rsidRPr="00C75778">
        <w:rPr>
          <w:rStyle w:val="FootnoteReference"/>
          <w:szCs w:val="20"/>
          <w:lang w:val="es-CL" w:eastAsia="en-US"/>
        </w:rPr>
        <w:footnoteReference w:id="1"/>
      </w:r>
      <w:r w:rsidRPr="00C75778">
        <w:rPr>
          <w:szCs w:val="20"/>
          <w:lang w:val="es-CR"/>
        </w:rPr>
        <w:t xml:space="preserve"> (en adelante</w:t>
      </w:r>
      <w:r>
        <w:rPr>
          <w:szCs w:val="20"/>
          <w:lang w:val="es-CR"/>
        </w:rPr>
        <w:t xml:space="preserve"> “la</w:t>
      </w:r>
      <w:r w:rsidRPr="00C75778">
        <w:rPr>
          <w:szCs w:val="20"/>
          <w:lang w:val="es-CR"/>
        </w:rPr>
        <w:t xml:space="preserve">s representantes”), y </w:t>
      </w:r>
      <w:bookmarkStart w:id="7" w:name="_Ref352676532"/>
      <w:bookmarkEnd w:id="5"/>
      <w:bookmarkEnd w:id="6"/>
      <w:r w:rsidRPr="00C75778">
        <w:rPr>
          <w:szCs w:val="20"/>
          <w:lang w:val="es-CR"/>
        </w:rPr>
        <w:t>el escrito de contestació</w:t>
      </w:r>
      <w:r w:rsidR="004964E5">
        <w:rPr>
          <w:szCs w:val="20"/>
          <w:lang w:val="es-CR"/>
        </w:rPr>
        <w:t xml:space="preserve">n al sometimiento del caso y </w:t>
      </w:r>
      <w:r w:rsidR="00F724B7">
        <w:rPr>
          <w:szCs w:val="20"/>
          <w:lang w:val="es-CR"/>
        </w:rPr>
        <w:t>a</w:t>
      </w:r>
      <w:r w:rsidR="004964E5">
        <w:rPr>
          <w:szCs w:val="20"/>
          <w:lang w:val="es-CR"/>
        </w:rPr>
        <w:t xml:space="preserve">l </w:t>
      </w:r>
      <w:r w:rsidRPr="00C75778">
        <w:rPr>
          <w:szCs w:val="20"/>
          <w:lang w:val="es-CR"/>
        </w:rPr>
        <w:t xml:space="preserve">escrito de solicitudes y argumentos (en adelante “escrito de contestación”) del Estado de </w:t>
      </w:r>
      <w:r>
        <w:rPr>
          <w:szCs w:val="20"/>
          <w:lang w:val="es-CR"/>
        </w:rPr>
        <w:t>Guatemala</w:t>
      </w:r>
      <w:r w:rsidRPr="00C75778">
        <w:rPr>
          <w:szCs w:val="20"/>
          <w:lang w:val="es-CR"/>
        </w:rPr>
        <w:t xml:space="preserve"> (en adelante “</w:t>
      </w:r>
      <w:r>
        <w:rPr>
          <w:szCs w:val="20"/>
          <w:lang w:val="es-CR"/>
        </w:rPr>
        <w:t>Guatemala</w:t>
      </w:r>
      <w:r w:rsidRPr="00C75778">
        <w:rPr>
          <w:szCs w:val="20"/>
          <w:lang w:val="es-CR"/>
        </w:rPr>
        <w:t>” o “el Estado”)</w:t>
      </w:r>
      <w:bookmarkEnd w:id="7"/>
      <w:r w:rsidRPr="00C75778">
        <w:rPr>
          <w:szCs w:val="20"/>
          <w:lang w:val="es-CR"/>
        </w:rPr>
        <w:t>.</w:t>
      </w:r>
    </w:p>
    <w:bookmarkEnd w:id="3"/>
    <w:bookmarkEnd w:id="4"/>
    <w:p w:rsidR="007511E0" w:rsidRPr="00C75778" w:rsidRDefault="007511E0" w:rsidP="007511E0">
      <w:pPr>
        <w:pStyle w:val="ListParagraph"/>
        <w:widowControl w:val="0"/>
        <w:tabs>
          <w:tab w:val="left" w:pos="567"/>
        </w:tabs>
        <w:autoSpaceDE w:val="0"/>
        <w:autoSpaceDN w:val="0"/>
        <w:adjustRightInd w:val="0"/>
        <w:spacing w:after="0"/>
        <w:ind w:left="0" w:right="22"/>
        <w:rPr>
          <w:szCs w:val="20"/>
          <w:lang w:val="es-CR"/>
        </w:rPr>
      </w:pPr>
    </w:p>
    <w:p w:rsidR="007511E0" w:rsidRPr="006E4978" w:rsidRDefault="007511E0" w:rsidP="006E4978">
      <w:pPr>
        <w:pStyle w:val="ListParagraph"/>
        <w:widowControl w:val="0"/>
        <w:numPr>
          <w:ilvl w:val="0"/>
          <w:numId w:val="1"/>
        </w:numPr>
        <w:tabs>
          <w:tab w:val="left" w:pos="567"/>
        </w:tabs>
        <w:autoSpaceDE w:val="0"/>
        <w:autoSpaceDN w:val="0"/>
        <w:adjustRightInd w:val="0"/>
        <w:ind w:left="0" w:right="22" w:firstLine="0"/>
        <w:contextualSpacing w:val="0"/>
        <w:rPr>
          <w:lang w:val="es-CR"/>
        </w:rPr>
      </w:pPr>
      <w:r w:rsidRPr="00453B85">
        <w:rPr>
          <w:lang w:val="es-CR"/>
        </w:rPr>
        <w:t>La comunicación de la Secretaría</w:t>
      </w:r>
      <w:r w:rsidR="005B245E">
        <w:rPr>
          <w:lang w:val="es-CR"/>
        </w:rPr>
        <w:t xml:space="preserve"> de la Corte (en adelante también “la Secretaría”)</w:t>
      </w:r>
      <w:r w:rsidRPr="00453B85">
        <w:rPr>
          <w:lang w:val="es-CR"/>
        </w:rPr>
        <w:t xml:space="preserve"> de 22 de agosto de 2018, mediant</w:t>
      </w:r>
      <w:r w:rsidR="004964E5">
        <w:rPr>
          <w:lang w:val="es-CR"/>
        </w:rPr>
        <w:t xml:space="preserve">e la cual se solicitó al Estado, </w:t>
      </w:r>
      <w:r w:rsidRPr="00453B85">
        <w:rPr>
          <w:lang w:val="es-CR"/>
        </w:rPr>
        <w:t>de acuerdo con lo previsto en el artículo 41.1.c</w:t>
      </w:r>
      <w:r w:rsidR="00DA4D2F">
        <w:rPr>
          <w:lang w:val="es-CR"/>
        </w:rPr>
        <w:t>)</w:t>
      </w:r>
      <w:r w:rsidRPr="00453B85">
        <w:rPr>
          <w:lang w:val="es-CR"/>
        </w:rPr>
        <w:t xml:space="preserve"> del Reglamento de la Corte</w:t>
      </w:r>
      <w:r w:rsidR="00FD1604">
        <w:rPr>
          <w:lang w:val="es-CR"/>
        </w:rPr>
        <w:t xml:space="preserve"> Interamericana de Derechos Humanos </w:t>
      </w:r>
      <w:r w:rsidR="00FD1604" w:rsidRPr="00C75778">
        <w:rPr>
          <w:lang w:val="es-ES"/>
        </w:rPr>
        <w:t>(en adelante</w:t>
      </w:r>
      <w:r w:rsidR="00FD1604">
        <w:rPr>
          <w:lang w:val="es-ES"/>
        </w:rPr>
        <w:t xml:space="preserve"> también</w:t>
      </w:r>
      <w:r w:rsidR="00FD1604" w:rsidRPr="00C75778">
        <w:rPr>
          <w:lang w:val="es-ES"/>
        </w:rPr>
        <w:t xml:space="preserve"> “la Corte Interamericana”, “la Corte” o “el Tribunal”)</w:t>
      </w:r>
      <w:r w:rsidR="004964E5">
        <w:rPr>
          <w:lang w:val="es-CR"/>
        </w:rPr>
        <w:t>,</w:t>
      </w:r>
      <w:r w:rsidRPr="00453B85">
        <w:rPr>
          <w:lang w:val="es-CR"/>
        </w:rPr>
        <w:t xml:space="preserve"> la remisión </w:t>
      </w:r>
      <w:r w:rsidR="00FD0111" w:rsidRPr="00453B85">
        <w:rPr>
          <w:lang w:val="es-CR"/>
        </w:rPr>
        <w:t xml:space="preserve">de </w:t>
      </w:r>
      <w:r w:rsidR="00FD0111">
        <w:rPr>
          <w:lang w:val="es-CR"/>
        </w:rPr>
        <w:t xml:space="preserve">los nombres de </w:t>
      </w:r>
      <w:r w:rsidR="00FD0111" w:rsidRPr="00453B85">
        <w:rPr>
          <w:lang w:val="es-CR"/>
        </w:rPr>
        <w:t xml:space="preserve">los tres </w:t>
      </w:r>
      <w:r w:rsidR="00FD0111">
        <w:rPr>
          <w:lang w:val="es-CR"/>
        </w:rPr>
        <w:t xml:space="preserve">testigos </w:t>
      </w:r>
      <w:r w:rsidR="00FD0111" w:rsidRPr="00453B85">
        <w:rPr>
          <w:lang w:val="es-CR"/>
        </w:rPr>
        <w:t xml:space="preserve">y </w:t>
      </w:r>
      <w:r w:rsidR="00FD0111">
        <w:rPr>
          <w:lang w:val="es-CR"/>
        </w:rPr>
        <w:t>de</w:t>
      </w:r>
      <w:r w:rsidRPr="00453B85">
        <w:rPr>
          <w:lang w:val="es-CR"/>
        </w:rPr>
        <w:t xml:space="preserve"> un perito propuestos por el Estado en su escrito de contestación. </w:t>
      </w:r>
      <w:r w:rsidRPr="002E79C3">
        <w:rPr>
          <w:lang w:val="es-CR"/>
        </w:rPr>
        <w:t>La comunicación del Estado de 5 de septiembre</w:t>
      </w:r>
      <w:r w:rsidR="004964E5" w:rsidRPr="002E79C3">
        <w:rPr>
          <w:lang w:val="es-CR"/>
        </w:rPr>
        <w:t xml:space="preserve"> de 2018</w:t>
      </w:r>
      <w:r w:rsidRPr="002E79C3">
        <w:rPr>
          <w:lang w:val="es-CR"/>
        </w:rPr>
        <w:t xml:space="preserve">, mediante la cual solicitó una prórroga para remitir la información solicitada. La comunicación de la Secretaría </w:t>
      </w:r>
      <w:r w:rsidR="005B245E">
        <w:rPr>
          <w:lang w:val="es-CR"/>
        </w:rPr>
        <w:t xml:space="preserve">de 6 de septiembre de 2018 </w:t>
      </w:r>
      <w:r w:rsidRPr="002E79C3">
        <w:rPr>
          <w:lang w:val="es-CR"/>
        </w:rPr>
        <w:t xml:space="preserve">que concede un plazo adicional para remitir los referidos documentos. </w:t>
      </w:r>
      <w:r w:rsidR="002E79C3" w:rsidRPr="002E79C3">
        <w:rPr>
          <w:lang w:val="es-CR"/>
        </w:rPr>
        <w:t>La comunicación del Estado</w:t>
      </w:r>
      <w:r w:rsidR="005B245E">
        <w:rPr>
          <w:lang w:val="es-CR"/>
        </w:rPr>
        <w:t xml:space="preserve"> de </w:t>
      </w:r>
      <w:r w:rsidR="009C5FA6">
        <w:rPr>
          <w:lang w:val="es-CR"/>
        </w:rPr>
        <w:t xml:space="preserve">17 </w:t>
      </w:r>
      <w:r w:rsidR="005B245E">
        <w:rPr>
          <w:lang w:val="es-CR"/>
        </w:rPr>
        <w:t>de septiembre de 2018</w:t>
      </w:r>
      <w:r w:rsidR="002E79C3" w:rsidRPr="002E79C3">
        <w:rPr>
          <w:lang w:val="es-CR"/>
        </w:rPr>
        <w:t xml:space="preserve">, mediante la cual presenta los anexos ofrecidos en el escrito de contestación y no así la información sobre la identificación de los </w:t>
      </w:r>
      <w:r w:rsidR="005B245E">
        <w:rPr>
          <w:lang w:val="es-CR"/>
        </w:rPr>
        <w:t xml:space="preserve">testigos </w:t>
      </w:r>
      <w:r w:rsidR="002E79C3" w:rsidRPr="002E79C3">
        <w:rPr>
          <w:lang w:val="es-CR"/>
        </w:rPr>
        <w:t xml:space="preserve">y perito ofrecidos en este mismo escrito. </w:t>
      </w:r>
    </w:p>
    <w:p w:rsidR="007511E0" w:rsidRPr="00BC43CA" w:rsidRDefault="006E4978" w:rsidP="007511E0">
      <w:pPr>
        <w:pStyle w:val="ListParagraph"/>
        <w:widowControl w:val="0"/>
        <w:numPr>
          <w:ilvl w:val="0"/>
          <w:numId w:val="1"/>
        </w:numPr>
        <w:tabs>
          <w:tab w:val="left" w:pos="567"/>
        </w:tabs>
        <w:autoSpaceDE w:val="0"/>
        <w:autoSpaceDN w:val="0"/>
        <w:adjustRightInd w:val="0"/>
        <w:spacing w:after="0"/>
        <w:ind w:left="0" w:right="22" w:firstLine="0"/>
        <w:contextualSpacing w:val="0"/>
        <w:rPr>
          <w:lang w:val="es-ES"/>
        </w:rPr>
      </w:pPr>
      <w:r>
        <w:rPr>
          <w:szCs w:val="20"/>
        </w:rPr>
        <w:t>La comunicación</w:t>
      </w:r>
      <w:r w:rsidR="007511E0" w:rsidRPr="00E655C8">
        <w:rPr>
          <w:szCs w:val="20"/>
        </w:rPr>
        <w:t xml:space="preserve"> de la Secretaría de 12 de octubre de 2018 relativa a la procedencia del Fondo de Asistencia Legal de Víctimas de la Corte Interamericana de Derechos Humanos (en adelante “Fondo de Asistencia Legal de Víctimas”).</w:t>
      </w:r>
      <w:r w:rsidR="007511E0">
        <w:rPr>
          <w:szCs w:val="20"/>
        </w:rPr>
        <w:t xml:space="preserve"> </w:t>
      </w:r>
    </w:p>
    <w:p w:rsidR="006E4978" w:rsidRPr="006E4978" w:rsidRDefault="006E4978" w:rsidP="00BC43CA">
      <w:pPr>
        <w:pStyle w:val="ListParagraph"/>
        <w:widowControl w:val="0"/>
        <w:tabs>
          <w:tab w:val="left" w:pos="567"/>
        </w:tabs>
        <w:autoSpaceDE w:val="0"/>
        <w:autoSpaceDN w:val="0"/>
        <w:adjustRightInd w:val="0"/>
        <w:spacing w:after="0"/>
        <w:ind w:left="0" w:right="22"/>
        <w:contextualSpacing w:val="0"/>
        <w:rPr>
          <w:lang w:val="es-ES"/>
        </w:rPr>
      </w:pPr>
    </w:p>
    <w:p w:rsidR="007D4BCB" w:rsidRPr="00D562CD" w:rsidRDefault="007D4BCB" w:rsidP="007D4BCB">
      <w:pPr>
        <w:pStyle w:val="ListParagraph"/>
        <w:widowControl w:val="0"/>
        <w:numPr>
          <w:ilvl w:val="0"/>
          <w:numId w:val="1"/>
        </w:numPr>
        <w:tabs>
          <w:tab w:val="left" w:pos="567"/>
        </w:tabs>
        <w:autoSpaceDE w:val="0"/>
        <w:autoSpaceDN w:val="0"/>
        <w:adjustRightInd w:val="0"/>
        <w:spacing w:after="0"/>
        <w:ind w:left="0" w:right="22" w:firstLine="0"/>
        <w:contextualSpacing w:val="0"/>
        <w:rPr>
          <w:lang w:val="es-ES"/>
        </w:rPr>
      </w:pPr>
      <w:r w:rsidRPr="003D5E32">
        <w:rPr>
          <w:lang w:val="es-ES"/>
        </w:rPr>
        <w:t>Las listas definitivas d</w:t>
      </w:r>
      <w:r w:rsidRPr="00031D95">
        <w:rPr>
          <w:lang w:val="es-ES"/>
        </w:rPr>
        <w:t>e declarantes</w:t>
      </w:r>
      <w:r>
        <w:rPr>
          <w:lang w:val="es-ES"/>
        </w:rPr>
        <w:t xml:space="preserve"> y peritos</w:t>
      </w:r>
      <w:r w:rsidRPr="00031D95">
        <w:rPr>
          <w:lang w:val="es-ES"/>
        </w:rPr>
        <w:t xml:space="preserve"> presentadas por</w:t>
      </w:r>
      <w:r>
        <w:rPr>
          <w:lang w:val="es-ES"/>
        </w:rPr>
        <w:t xml:space="preserve"> la Comisión y</w:t>
      </w:r>
      <w:r w:rsidRPr="00031D95">
        <w:rPr>
          <w:lang w:val="es-ES"/>
        </w:rPr>
        <w:t xml:space="preserve"> la</w:t>
      </w:r>
      <w:r w:rsidRPr="00D562CD">
        <w:rPr>
          <w:lang w:val="es-ES"/>
        </w:rPr>
        <w:t>s representantes</w:t>
      </w:r>
      <w:r>
        <w:rPr>
          <w:lang w:val="es-ES"/>
        </w:rPr>
        <w:t xml:space="preserve"> y </w:t>
      </w:r>
      <w:r w:rsidRPr="00031D95">
        <w:rPr>
          <w:lang w:val="es-ES"/>
        </w:rPr>
        <w:t xml:space="preserve">las correspondientes observaciones </w:t>
      </w:r>
      <w:r w:rsidR="005B245E">
        <w:rPr>
          <w:lang w:val="es-ES"/>
        </w:rPr>
        <w:t>d</w:t>
      </w:r>
      <w:r w:rsidR="005B245E" w:rsidRPr="00D562CD">
        <w:rPr>
          <w:lang w:val="es-ES"/>
        </w:rPr>
        <w:t>el Estado</w:t>
      </w:r>
      <w:r w:rsidR="005B245E" w:rsidRPr="00031D95">
        <w:rPr>
          <w:lang w:val="es-ES"/>
        </w:rPr>
        <w:t xml:space="preserve"> </w:t>
      </w:r>
      <w:r w:rsidRPr="00031D95">
        <w:rPr>
          <w:lang w:val="es-ES"/>
        </w:rPr>
        <w:t>a dichas listas</w:t>
      </w:r>
      <w:r w:rsidR="00BB5C2D">
        <w:rPr>
          <w:lang w:val="es-ES"/>
        </w:rPr>
        <w:t>.</w:t>
      </w:r>
      <w:r w:rsidRPr="00D562CD">
        <w:rPr>
          <w:lang w:val="es-ES"/>
        </w:rPr>
        <w:t xml:space="preserve"> </w:t>
      </w:r>
      <w:r w:rsidR="005B245E">
        <w:rPr>
          <w:lang w:val="es-ES"/>
        </w:rPr>
        <w:t>La Comisión ni las representantes formularon observaciones.</w:t>
      </w:r>
      <w:r w:rsidR="00573DFC">
        <w:rPr>
          <w:lang w:val="es-ES"/>
        </w:rPr>
        <w:t xml:space="preserve"> </w:t>
      </w:r>
    </w:p>
    <w:p w:rsidR="007511E0" w:rsidRPr="00C75778" w:rsidRDefault="007511E0" w:rsidP="007511E0">
      <w:pPr>
        <w:pStyle w:val="ListParagraph"/>
        <w:widowControl w:val="0"/>
        <w:tabs>
          <w:tab w:val="left" w:pos="567"/>
        </w:tabs>
        <w:autoSpaceDE w:val="0"/>
        <w:autoSpaceDN w:val="0"/>
        <w:adjustRightInd w:val="0"/>
        <w:spacing w:after="0"/>
        <w:ind w:left="0" w:right="22"/>
        <w:contextualSpacing w:val="0"/>
        <w:rPr>
          <w:lang w:val="es-ES"/>
        </w:rPr>
      </w:pPr>
    </w:p>
    <w:p w:rsidR="007511E0" w:rsidRPr="00C75778" w:rsidRDefault="007511E0" w:rsidP="007511E0">
      <w:pPr>
        <w:autoSpaceDE w:val="0"/>
        <w:autoSpaceDN w:val="0"/>
        <w:adjustRightInd w:val="0"/>
        <w:spacing w:after="0"/>
        <w:jc w:val="left"/>
        <w:rPr>
          <w:rFonts w:eastAsia="Times New Roman" w:cs="Verdana"/>
          <w:b/>
          <w:bCs/>
          <w:szCs w:val="20"/>
          <w:lang w:val="es-CL" w:eastAsia="en-US"/>
        </w:rPr>
      </w:pPr>
      <w:r w:rsidRPr="00C75778">
        <w:rPr>
          <w:rFonts w:eastAsia="Times New Roman" w:cs="Verdana"/>
          <w:b/>
          <w:bCs/>
          <w:szCs w:val="20"/>
          <w:lang w:val="es-CL" w:eastAsia="en-US"/>
        </w:rPr>
        <w:t>CONSIDERANDO QUE:</w:t>
      </w:r>
    </w:p>
    <w:p w:rsidR="007511E0" w:rsidRPr="00C75778" w:rsidRDefault="007511E0" w:rsidP="007511E0">
      <w:pPr>
        <w:autoSpaceDE w:val="0"/>
        <w:autoSpaceDN w:val="0"/>
        <w:adjustRightInd w:val="0"/>
        <w:spacing w:after="0"/>
        <w:jc w:val="left"/>
        <w:rPr>
          <w:rFonts w:eastAsia="Times New Roman" w:cs="Verdana"/>
          <w:b/>
          <w:bCs/>
          <w:szCs w:val="20"/>
          <w:lang w:val="es-CL" w:eastAsia="en-US"/>
        </w:rPr>
      </w:pPr>
    </w:p>
    <w:p w:rsidR="007511E0" w:rsidRPr="00C75778" w:rsidRDefault="007511E0" w:rsidP="007511E0">
      <w:pPr>
        <w:numPr>
          <w:ilvl w:val="0"/>
          <w:numId w:val="2"/>
        </w:numPr>
        <w:tabs>
          <w:tab w:val="left" w:pos="567"/>
        </w:tabs>
        <w:autoSpaceDE w:val="0"/>
        <w:autoSpaceDN w:val="0"/>
        <w:adjustRightInd w:val="0"/>
        <w:spacing w:after="0"/>
        <w:rPr>
          <w:rFonts w:eastAsia="Times New Roman" w:cs="Verdana"/>
          <w:szCs w:val="20"/>
          <w:lang w:val="es-CL" w:eastAsia="en-US"/>
        </w:rPr>
      </w:pPr>
      <w:r w:rsidRPr="00C75778">
        <w:rPr>
          <w:rFonts w:eastAsia="Times New Roman" w:cs="Verdana"/>
          <w:szCs w:val="20"/>
          <w:lang w:val="es-CL" w:eastAsia="en-US"/>
        </w:rPr>
        <w:t xml:space="preserve">El </w:t>
      </w:r>
      <w:r w:rsidRPr="00C75778">
        <w:rPr>
          <w:lang w:val="es-ES"/>
        </w:rPr>
        <w:t xml:space="preserve">ofrecimiento y la admisión de la prueba, así como la citación de declarantes, testigos y peritos se encuentran regulados en los artículos </w:t>
      </w:r>
      <w:r w:rsidRPr="00B41C63">
        <w:rPr>
          <w:lang w:val="es-ES"/>
        </w:rPr>
        <w:t xml:space="preserve">35.1.f, 40.2.c, 41.1.c, </w:t>
      </w:r>
      <w:r w:rsidR="00933A97" w:rsidRPr="00B41C63">
        <w:rPr>
          <w:lang w:val="es-ES"/>
        </w:rPr>
        <w:t xml:space="preserve">45, </w:t>
      </w:r>
      <w:r w:rsidRPr="00B41C63">
        <w:rPr>
          <w:lang w:val="es-ES"/>
        </w:rPr>
        <w:t>46, 47, 50, 51</w:t>
      </w:r>
      <w:r w:rsidR="00725096" w:rsidRPr="00B41C63">
        <w:rPr>
          <w:lang w:val="es-ES"/>
        </w:rPr>
        <w:t>,</w:t>
      </w:r>
      <w:r w:rsidR="00933A97" w:rsidRPr="00B41C63">
        <w:rPr>
          <w:lang w:val="es-ES"/>
        </w:rPr>
        <w:t xml:space="preserve"> </w:t>
      </w:r>
      <w:r w:rsidRPr="00B41C63">
        <w:rPr>
          <w:lang w:val="es-ES"/>
        </w:rPr>
        <w:t>y 57</w:t>
      </w:r>
      <w:r w:rsidRPr="00B83B34">
        <w:rPr>
          <w:lang w:val="es-ES"/>
        </w:rPr>
        <w:t xml:space="preserve"> del Reglamento de la Corte </w:t>
      </w:r>
      <w:r w:rsidR="00FD1604">
        <w:rPr>
          <w:lang w:val="es-ES"/>
        </w:rPr>
        <w:t>(en adelante “el Reglamento”)</w:t>
      </w:r>
      <w:r w:rsidRPr="00C75778">
        <w:rPr>
          <w:lang w:val="es-ES"/>
        </w:rPr>
        <w:t>.</w:t>
      </w:r>
    </w:p>
    <w:p w:rsidR="007511E0" w:rsidRPr="00C75778" w:rsidRDefault="007511E0" w:rsidP="007511E0">
      <w:pPr>
        <w:spacing w:after="0"/>
        <w:rPr>
          <w:rFonts w:eastAsia="Times New Roman" w:cs="Verdana"/>
          <w:szCs w:val="20"/>
          <w:lang w:val="es-CL" w:eastAsia="en-US"/>
        </w:rPr>
      </w:pPr>
    </w:p>
    <w:p w:rsidR="007511E0" w:rsidRPr="00D71602" w:rsidRDefault="004F1037" w:rsidP="009838F5">
      <w:pPr>
        <w:pStyle w:val="ListParagraph"/>
        <w:widowControl w:val="0"/>
        <w:numPr>
          <w:ilvl w:val="0"/>
          <w:numId w:val="2"/>
        </w:numPr>
        <w:tabs>
          <w:tab w:val="left" w:pos="567"/>
        </w:tabs>
        <w:autoSpaceDE w:val="0"/>
        <w:autoSpaceDN w:val="0"/>
        <w:adjustRightInd w:val="0"/>
        <w:spacing w:after="0"/>
        <w:ind w:right="22"/>
        <w:contextualSpacing w:val="0"/>
        <w:rPr>
          <w:lang w:val="es-ES"/>
        </w:rPr>
      </w:pPr>
      <w:r w:rsidRPr="00D71602">
        <w:rPr>
          <w:szCs w:val="20"/>
        </w:rPr>
        <w:lastRenderedPageBreak/>
        <w:t xml:space="preserve">La </w:t>
      </w:r>
      <w:r w:rsidRPr="00D71602">
        <w:rPr>
          <w:b/>
          <w:i/>
          <w:szCs w:val="20"/>
        </w:rPr>
        <w:t xml:space="preserve">Comisión </w:t>
      </w:r>
      <w:r w:rsidRPr="00D71602">
        <w:rPr>
          <w:szCs w:val="20"/>
        </w:rPr>
        <w:t xml:space="preserve">ofreció dos peritos, quienes rendirán un peritaje conjunto, para los casos </w:t>
      </w:r>
      <w:r w:rsidRPr="00D71602">
        <w:rPr>
          <w:i/>
          <w:szCs w:val="20"/>
        </w:rPr>
        <w:t xml:space="preserve">Girón </w:t>
      </w:r>
      <w:r w:rsidR="009C5FA6" w:rsidRPr="00D71602">
        <w:rPr>
          <w:i/>
          <w:szCs w:val="20"/>
        </w:rPr>
        <w:t xml:space="preserve">y </w:t>
      </w:r>
      <w:r w:rsidRPr="00D71602">
        <w:rPr>
          <w:i/>
          <w:szCs w:val="20"/>
        </w:rPr>
        <w:t>Castillo, Martínez Coronado</w:t>
      </w:r>
      <w:r w:rsidR="008E2E5C" w:rsidRPr="00D71602">
        <w:rPr>
          <w:i/>
          <w:szCs w:val="20"/>
        </w:rPr>
        <w:t>,</w:t>
      </w:r>
      <w:r w:rsidRPr="00D71602">
        <w:rPr>
          <w:i/>
          <w:szCs w:val="20"/>
        </w:rPr>
        <w:t xml:space="preserve"> y </w:t>
      </w:r>
      <w:r w:rsidR="009C5FA6" w:rsidRPr="00D71602">
        <w:rPr>
          <w:i/>
          <w:szCs w:val="20"/>
        </w:rPr>
        <w:t>Ruíz</w:t>
      </w:r>
      <w:r w:rsidRPr="00D71602">
        <w:rPr>
          <w:i/>
          <w:szCs w:val="20"/>
        </w:rPr>
        <w:t xml:space="preserve"> Fuentes</w:t>
      </w:r>
      <w:r w:rsidR="00C85316" w:rsidRPr="00D71602">
        <w:rPr>
          <w:i/>
          <w:szCs w:val="20"/>
        </w:rPr>
        <w:t xml:space="preserve"> </w:t>
      </w:r>
      <w:r w:rsidR="00C85316" w:rsidRPr="00D71602">
        <w:rPr>
          <w:szCs w:val="20"/>
        </w:rPr>
        <w:t>contra Guatemala, los que se encuentran en trámite ante esta Corte</w:t>
      </w:r>
      <w:r w:rsidR="007511E0" w:rsidRPr="00D71602">
        <w:rPr>
          <w:lang w:val="es-ES"/>
        </w:rPr>
        <w:t xml:space="preserve">. Las </w:t>
      </w:r>
      <w:r w:rsidR="007511E0" w:rsidRPr="00D71602">
        <w:rPr>
          <w:b/>
          <w:i/>
          <w:lang w:val="es-ES"/>
        </w:rPr>
        <w:t>representantes</w:t>
      </w:r>
      <w:r w:rsidR="007511E0" w:rsidRPr="00D71602">
        <w:rPr>
          <w:b/>
          <w:lang w:val="es-ES"/>
        </w:rPr>
        <w:t xml:space="preserve"> </w:t>
      </w:r>
      <w:r w:rsidR="008452B6" w:rsidRPr="00D71602">
        <w:rPr>
          <w:lang w:val="es-ES"/>
        </w:rPr>
        <w:t>propusieron  en su escrito de solicitudes y argumentos</w:t>
      </w:r>
      <w:r w:rsidR="007511E0" w:rsidRPr="00D71602">
        <w:rPr>
          <w:lang w:val="es-ES"/>
        </w:rPr>
        <w:t xml:space="preserve"> cinco declaraciones</w:t>
      </w:r>
      <w:r w:rsidR="00E473B5" w:rsidRPr="00D71602">
        <w:rPr>
          <w:lang w:val="es-ES"/>
        </w:rPr>
        <w:t xml:space="preserve"> y </w:t>
      </w:r>
      <w:r w:rsidR="007511E0" w:rsidRPr="00D71602">
        <w:rPr>
          <w:lang w:val="es-ES"/>
        </w:rPr>
        <w:t>seis peritajes. Asim</w:t>
      </w:r>
      <w:r w:rsidR="00BC43CA" w:rsidRPr="00D71602">
        <w:rPr>
          <w:lang w:val="es-ES"/>
        </w:rPr>
        <w:t>ismo, solicitaron con</w:t>
      </w:r>
      <w:r w:rsidR="007511E0" w:rsidRPr="00D71602">
        <w:rPr>
          <w:lang w:val="es-ES"/>
        </w:rPr>
        <w:t xml:space="preserve"> base al principio de economía procesal, se incorpore un peritaje de </w:t>
      </w:r>
      <w:r w:rsidR="00B83B34" w:rsidRPr="00D71602">
        <w:rPr>
          <w:lang w:val="es-ES"/>
        </w:rPr>
        <w:t xml:space="preserve">la señora </w:t>
      </w:r>
      <w:r w:rsidR="007511E0" w:rsidRPr="00D71602">
        <w:rPr>
          <w:lang w:val="es-ES"/>
        </w:rPr>
        <w:t xml:space="preserve">Aida Castro Conde </w:t>
      </w:r>
      <w:r w:rsidR="00FA2094" w:rsidRPr="00D71602">
        <w:rPr>
          <w:lang w:val="es-ES"/>
        </w:rPr>
        <w:t xml:space="preserve">rendido en el </w:t>
      </w:r>
      <w:r w:rsidR="007511E0" w:rsidRPr="00D71602">
        <w:rPr>
          <w:i/>
          <w:lang w:val="es-ES"/>
        </w:rPr>
        <w:t xml:space="preserve">caso </w:t>
      </w:r>
      <w:proofErr w:type="spellStart"/>
      <w:r w:rsidR="007511E0" w:rsidRPr="00D71602">
        <w:rPr>
          <w:i/>
          <w:lang w:val="es-ES"/>
        </w:rPr>
        <w:t>Raxcacó</w:t>
      </w:r>
      <w:proofErr w:type="spellEnd"/>
      <w:r w:rsidR="007511E0" w:rsidRPr="00D71602">
        <w:rPr>
          <w:i/>
          <w:lang w:val="es-ES"/>
        </w:rPr>
        <w:t xml:space="preserve"> Reyes Vs. </w:t>
      </w:r>
      <w:r w:rsidR="007511E0" w:rsidRPr="00D71602">
        <w:rPr>
          <w:lang w:val="es-ES"/>
        </w:rPr>
        <w:t xml:space="preserve">Guatemala y la declaración a título </w:t>
      </w:r>
      <w:r w:rsidR="00BC43CA" w:rsidRPr="00D71602">
        <w:rPr>
          <w:lang w:val="es-ES"/>
        </w:rPr>
        <w:t xml:space="preserve">informativo </w:t>
      </w:r>
      <w:r w:rsidR="007511E0" w:rsidRPr="00D71602">
        <w:rPr>
          <w:lang w:val="es-ES"/>
        </w:rPr>
        <w:t>rendida por</w:t>
      </w:r>
      <w:r w:rsidR="00B83B34" w:rsidRPr="00D71602">
        <w:rPr>
          <w:lang w:val="es-ES"/>
        </w:rPr>
        <w:t xml:space="preserve"> el señor </w:t>
      </w:r>
      <w:r w:rsidR="007511E0" w:rsidRPr="00D71602">
        <w:rPr>
          <w:lang w:val="es-ES"/>
        </w:rPr>
        <w:t xml:space="preserve"> Ernesto López Portillo, en el</w:t>
      </w:r>
      <w:r w:rsidR="007511E0" w:rsidRPr="00D71602">
        <w:rPr>
          <w:i/>
          <w:lang w:val="es-ES"/>
        </w:rPr>
        <w:t xml:space="preserve"> caso Mariana Sel</w:t>
      </w:r>
      <w:r w:rsidR="00BB5C2D" w:rsidRPr="00D71602">
        <w:rPr>
          <w:i/>
          <w:lang w:val="es-ES"/>
        </w:rPr>
        <w:t>vas y otras (Atenco) Vs. México</w:t>
      </w:r>
      <w:r w:rsidR="008452B6" w:rsidRPr="00D71602">
        <w:rPr>
          <w:szCs w:val="20"/>
          <w:lang w:val="es-CR"/>
        </w:rPr>
        <w:t>.</w:t>
      </w:r>
      <w:r w:rsidR="00BB5C2D" w:rsidRPr="00D71602">
        <w:rPr>
          <w:szCs w:val="20"/>
          <w:lang w:val="es-CR"/>
        </w:rPr>
        <w:t xml:space="preserve"> No obstante,</w:t>
      </w:r>
      <w:r w:rsidR="008452B6" w:rsidRPr="00D71602">
        <w:rPr>
          <w:szCs w:val="20"/>
          <w:lang w:val="es-CR"/>
        </w:rPr>
        <w:t xml:space="preserve"> variaron su ofrecimiento </w:t>
      </w:r>
      <w:r w:rsidR="00FD1604" w:rsidRPr="00D71602">
        <w:rPr>
          <w:szCs w:val="20"/>
          <w:lang w:val="es-CR"/>
        </w:rPr>
        <w:t xml:space="preserve">en la lista definitiva ya que </w:t>
      </w:r>
      <w:r w:rsidR="008452B6" w:rsidRPr="00D71602">
        <w:rPr>
          <w:szCs w:val="20"/>
          <w:lang w:val="es-CR"/>
        </w:rPr>
        <w:t>propusieron cinco declaraciones y cinco peritajes</w:t>
      </w:r>
      <w:r w:rsidR="00B962D0" w:rsidRPr="00D71602">
        <w:rPr>
          <w:szCs w:val="20"/>
          <w:lang w:val="es-CR"/>
        </w:rPr>
        <w:t>, solicitando la ampliación del objeto de uno de ellos</w:t>
      </w:r>
      <w:r w:rsidR="008452B6" w:rsidRPr="00D71602">
        <w:rPr>
          <w:szCs w:val="20"/>
          <w:lang w:val="es-CR"/>
        </w:rPr>
        <w:t>.</w:t>
      </w:r>
      <w:r w:rsidR="00B8202C" w:rsidRPr="00D71602">
        <w:rPr>
          <w:lang w:val="es-ES"/>
        </w:rPr>
        <w:t xml:space="preserve"> </w:t>
      </w:r>
      <w:r w:rsidR="007511E0" w:rsidRPr="00D71602">
        <w:rPr>
          <w:lang w:val="es-ES"/>
        </w:rPr>
        <w:t>Por su parte</w:t>
      </w:r>
      <w:r w:rsidR="00E473B5" w:rsidRPr="00D71602">
        <w:rPr>
          <w:lang w:val="es-ES"/>
        </w:rPr>
        <w:t>,</w:t>
      </w:r>
      <w:r w:rsidR="007511E0" w:rsidRPr="00D71602">
        <w:rPr>
          <w:lang w:val="es-ES"/>
        </w:rPr>
        <w:t xml:space="preserve"> el Estado ofreció tres </w:t>
      </w:r>
      <w:r w:rsidR="00573DFC" w:rsidRPr="00D71602">
        <w:rPr>
          <w:lang w:val="es-ES"/>
        </w:rPr>
        <w:t xml:space="preserve">testimonios </w:t>
      </w:r>
      <w:r w:rsidR="007511E0" w:rsidRPr="00D71602">
        <w:rPr>
          <w:lang w:val="es-ES"/>
        </w:rPr>
        <w:t>y un peritaje</w:t>
      </w:r>
      <w:r w:rsidR="004964E5" w:rsidRPr="00D71602">
        <w:rPr>
          <w:lang w:val="es-ES"/>
        </w:rPr>
        <w:t>,</w:t>
      </w:r>
      <w:r w:rsidR="007511E0" w:rsidRPr="00D71602">
        <w:rPr>
          <w:lang w:val="es-ES"/>
        </w:rPr>
        <w:t xml:space="preserve"> sin embargo no</w:t>
      </w:r>
      <w:r w:rsidR="00542AB1" w:rsidRPr="00D71602">
        <w:rPr>
          <w:lang w:val="es-ES"/>
        </w:rPr>
        <w:t xml:space="preserve"> los identificó</w:t>
      </w:r>
      <w:r w:rsidR="007E3B7C" w:rsidRPr="00D71602">
        <w:rPr>
          <w:lang w:val="es-ES"/>
        </w:rPr>
        <w:t xml:space="preserve"> </w:t>
      </w:r>
      <w:r w:rsidR="007511E0" w:rsidRPr="00D71602">
        <w:rPr>
          <w:lang w:val="es-ES"/>
        </w:rPr>
        <w:t>en el momento proc</w:t>
      </w:r>
      <w:r w:rsidR="00BC43CA" w:rsidRPr="00D71602">
        <w:rPr>
          <w:lang w:val="es-ES"/>
        </w:rPr>
        <w:t>esal oportuno, por lo que esta P</w:t>
      </w:r>
      <w:r w:rsidR="007511E0" w:rsidRPr="00D71602">
        <w:rPr>
          <w:lang w:val="es-ES"/>
        </w:rPr>
        <w:t xml:space="preserve">residencia considera inadmisible </w:t>
      </w:r>
      <w:r w:rsidR="00573DFC" w:rsidRPr="00D71602">
        <w:rPr>
          <w:lang w:val="es-ES"/>
        </w:rPr>
        <w:t xml:space="preserve">la prueba testimonial y pericial </w:t>
      </w:r>
      <w:r w:rsidR="007511E0" w:rsidRPr="00D71602">
        <w:rPr>
          <w:lang w:val="es-ES"/>
        </w:rPr>
        <w:t>ofrecid</w:t>
      </w:r>
      <w:r w:rsidR="00573DFC" w:rsidRPr="00D71602">
        <w:rPr>
          <w:lang w:val="es-ES"/>
        </w:rPr>
        <w:t>a</w:t>
      </w:r>
      <w:r w:rsidR="007511E0" w:rsidRPr="00D71602">
        <w:rPr>
          <w:lang w:val="es-ES"/>
        </w:rPr>
        <w:t xml:space="preserve"> por el Estado, de conformidad con el artículo 41.1. c) del Reglamento. </w:t>
      </w:r>
    </w:p>
    <w:p w:rsidR="007511E0" w:rsidRPr="00752E9F" w:rsidRDefault="007511E0" w:rsidP="007511E0">
      <w:pPr>
        <w:pStyle w:val="ListParagraph"/>
        <w:rPr>
          <w:rFonts w:eastAsia="Times New Roman"/>
          <w:lang w:val="es-ES"/>
        </w:rPr>
      </w:pPr>
    </w:p>
    <w:p w:rsidR="007511E0" w:rsidRPr="00542AB1" w:rsidRDefault="007511E0" w:rsidP="00B41C63">
      <w:pPr>
        <w:pStyle w:val="ListParagraph"/>
        <w:widowControl w:val="0"/>
        <w:numPr>
          <w:ilvl w:val="0"/>
          <w:numId w:val="2"/>
        </w:numPr>
        <w:tabs>
          <w:tab w:val="left" w:pos="567"/>
          <w:tab w:val="left" w:pos="810"/>
        </w:tabs>
        <w:autoSpaceDE w:val="0"/>
        <w:autoSpaceDN w:val="0"/>
        <w:adjustRightInd w:val="0"/>
        <w:spacing w:after="0"/>
        <w:ind w:right="22"/>
        <w:contextualSpacing w:val="0"/>
        <w:rPr>
          <w:rFonts w:eastAsia="Times New Roman"/>
          <w:lang w:val="es-ES"/>
        </w:rPr>
      </w:pPr>
      <w:r w:rsidRPr="00C75778">
        <w:rPr>
          <w:rFonts w:eastAsia="Times New Roman"/>
          <w:lang w:val="es-ES"/>
        </w:rPr>
        <w:t xml:space="preserve">La Corte garantizó a las partes </w:t>
      </w:r>
      <w:r w:rsidR="00FD1604">
        <w:rPr>
          <w:rFonts w:eastAsia="Times New Roman"/>
          <w:lang w:val="es-ES"/>
        </w:rPr>
        <w:t xml:space="preserve">y a la Comisión </w:t>
      </w:r>
      <w:r w:rsidRPr="00C75778">
        <w:rPr>
          <w:rFonts w:eastAsia="Times New Roman"/>
          <w:lang w:val="es-ES"/>
        </w:rPr>
        <w:t xml:space="preserve">el derecho de defensa respecto de los ofrecimientos probatorios oportunamente realizados. </w:t>
      </w:r>
      <w:r w:rsidR="00573DFC">
        <w:rPr>
          <w:rFonts w:eastAsia="Times New Roman"/>
          <w:lang w:val="es-ES"/>
        </w:rPr>
        <w:t xml:space="preserve">Ni </w:t>
      </w:r>
      <w:r w:rsidRPr="00CE1B7A">
        <w:rPr>
          <w:rFonts w:eastAsia="Times New Roman"/>
          <w:lang w:val="es-ES"/>
        </w:rPr>
        <w:t>la Comisión</w:t>
      </w:r>
      <w:r w:rsidR="00542AB1">
        <w:rPr>
          <w:rFonts w:eastAsia="Times New Roman"/>
          <w:lang w:val="es-ES"/>
        </w:rPr>
        <w:t xml:space="preserve"> </w:t>
      </w:r>
      <w:r w:rsidR="00573DFC">
        <w:rPr>
          <w:rFonts w:eastAsia="Times New Roman"/>
          <w:lang w:val="es-ES"/>
        </w:rPr>
        <w:t>ni</w:t>
      </w:r>
      <w:r w:rsidR="00542AB1">
        <w:rPr>
          <w:rFonts w:eastAsia="Times New Roman"/>
          <w:lang w:val="es-ES"/>
        </w:rPr>
        <w:t xml:space="preserve"> </w:t>
      </w:r>
      <w:r w:rsidRPr="00CE1B7A">
        <w:rPr>
          <w:rFonts w:eastAsia="Times New Roman"/>
          <w:lang w:val="es-ES"/>
        </w:rPr>
        <w:t>las representantes formularon observaciones respecto de los ofrecimientos probatorios.</w:t>
      </w:r>
      <w:r w:rsidR="00542AB1">
        <w:rPr>
          <w:rFonts w:eastAsia="Times New Roman"/>
          <w:lang w:val="es-ES"/>
        </w:rPr>
        <w:t xml:space="preserve"> </w:t>
      </w:r>
      <w:r w:rsidRPr="00B83B34">
        <w:rPr>
          <w:rFonts w:eastAsia="Times New Roman"/>
          <w:lang w:val="es-ES"/>
        </w:rPr>
        <w:t xml:space="preserve">El Estado </w:t>
      </w:r>
      <w:r w:rsidR="006E3178" w:rsidRPr="00B83B34">
        <w:rPr>
          <w:rFonts w:eastAsia="Times New Roman"/>
          <w:lang w:val="es-ES"/>
        </w:rPr>
        <w:t xml:space="preserve">formuló observaciones respecto al objeto y alcance de las declaraciones y peritajes ofrecidos por </w:t>
      </w:r>
      <w:r w:rsidR="007D4BCB" w:rsidRPr="00542AB1">
        <w:rPr>
          <w:rFonts w:eastAsia="Times New Roman"/>
          <w:lang w:val="es-ES"/>
        </w:rPr>
        <w:t xml:space="preserve">la Comisión y </w:t>
      </w:r>
      <w:r w:rsidR="006E3178" w:rsidRPr="00542AB1">
        <w:rPr>
          <w:rFonts w:eastAsia="Times New Roman"/>
          <w:lang w:val="es-ES"/>
        </w:rPr>
        <w:t>las representantes</w:t>
      </w:r>
      <w:r w:rsidR="007D4BCB" w:rsidRPr="00542AB1">
        <w:rPr>
          <w:rFonts w:eastAsia="Times New Roman"/>
          <w:lang w:val="es-ES"/>
        </w:rPr>
        <w:t>.</w:t>
      </w:r>
    </w:p>
    <w:p w:rsidR="007511E0" w:rsidRPr="005820A2" w:rsidRDefault="007511E0" w:rsidP="007511E0">
      <w:pPr>
        <w:pStyle w:val="ListParagraph"/>
        <w:widowControl w:val="0"/>
        <w:tabs>
          <w:tab w:val="left" w:pos="567"/>
          <w:tab w:val="left" w:pos="810"/>
        </w:tabs>
        <w:autoSpaceDE w:val="0"/>
        <w:autoSpaceDN w:val="0"/>
        <w:adjustRightInd w:val="0"/>
        <w:spacing w:after="0"/>
        <w:ind w:left="0" w:right="22"/>
        <w:contextualSpacing w:val="0"/>
        <w:rPr>
          <w:szCs w:val="20"/>
        </w:rPr>
      </w:pPr>
    </w:p>
    <w:p w:rsidR="007511E0" w:rsidRPr="00725096" w:rsidRDefault="007511E0" w:rsidP="00141E43">
      <w:pPr>
        <w:pStyle w:val="ListParagraph"/>
        <w:numPr>
          <w:ilvl w:val="0"/>
          <w:numId w:val="2"/>
        </w:numPr>
        <w:tabs>
          <w:tab w:val="left" w:pos="0"/>
        </w:tabs>
        <w:rPr>
          <w:lang w:val="es-ES"/>
        </w:rPr>
      </w:pPr>
      <w:r w:rsidRPr="00C75778">
        <w:rPr>
          <w:lang w:val="es-ES"/>
        </w:rPr>
        <w:t xml:space="preserve">A continuación, el Presidente </w:t>
      </w:r>
      <w:r w:rsidR="00725096">
        <w:rPr>
          <w:lang w:val="es-ES"/>
        </w:rPr>
        <w:t xml:space="preserve">de la Corte </w:t>
      </w:r>
      <w:r w:rsidR="00725096">
        <w:rPr>
          <w:szCs w:val="20"/>
        </w:rPr>
        <w:t xml:space="preserve">(en adelante “el Presidente” o “esta Presidencia”) </w:t>
      </w:r>
      <w:r w:rsidRPr="00C75778">
        <w:rPr>
          <w:lang w:val="es-ES"/>
        </w:rPr>
        <w:t>exami</w:t>
      </w:r>
      <w:r w:rsidR="00BC43CA">
        <w:rPr>
          <w:lang w:val="es-ES"/>
        </w:rPr>
        <w:t xml:space="preserve">nará en forma particular: </w:t>
      </w:r>
      <w:r w:rsidR="00BC43CA" w:rsidRPr="00725096">
        <w:rPr>
          <w:lang w:val="es-ES"/>
        </w:rPr>
        <w:t>a</w:t>
      </w:r>
      <w:r w:rsidR="00BC43CA" w:rsidRPr="004005BF">
        <w:rPr>
          <w:lang w:val="es-ES"/>
        </w:rPr>
        <w:t xml:space="preserve">) </w:t>
      </w:r>
      <w:r w:rsidR="008E2E5C">
        <w:rPr>
          <w:szCs w:val="20"/>
        </w:rPr>
        <w:t>a</w:t>
      </w:r>
      <w:r w:rsidR="00725096" w:rsidRPr="00A30318">
        <w:rPr>
          <w:szCs w:val="20"/>
        </w:rPr>
        <w:t>dmisibilidad de las declaraciones y dictámenes periciales ofreci</w:t>
      </w:r>
      <w:r w:rsidR="004005BF" w:rsidRPr="0058359E">
        <w:rPr>
          <w:szCs w:val="20"/>
        </w:rPr>
        <w:t>dos</w:t>
      </w:r>
      <w:r w:rsidR="00725096" w:rsidRPr="00A30318">
        <w:rPr>
          <w:szCs w:val="20"/>
        </w:rPr>
        <w:t xml:space="preserve"> por las representantes</w:t>
      </w:r>
      <w:r w:rsidR="00725096" w:rsidRPr="00725096">
        <w:rPr>
          <w:lang w:val="es-ES"/>
        </w:rPr>
        <w:t xml:space="preserve">; </w:t>
      </w:r>
      <w:r w:rsidR="006B1A85">
        <w:rPr>
          <w:lang w:val="es-ES"/>
        </w:rPr>
        <w:t>b</w:t>
      </w:r>
      <w:r w:rsidR="00141E43">
        <w:rPr>
          <w:lang w:val="es-ES"/>
        </w:rPr>
        <w:t>)</w:t>
      </w:r>
      <w:r w:rsidR="0060053B">
        <w:rPr>
          <w:lang w:val="es-ES"/>
        </w:rPr>
        <w:t xml:space="preserve"> </w:t>
      </w:r>
      <w:r w:rsidR="008E2E5C">
        <w:rPr>
          <w:lang w:val="es-ES"/>
        </w:rPr>
        <w:t>a</w:t>
      </w:r>
      <w:r w:rsidRPr="00725096">
        <w:rPr>
          <w:lang w:val="es-ES"/>
        </w:rPr>
        <w:t xml:space="preserve">dmisibilidad del traslado de un peritaje rendido en el marco del </w:t>
      </w:r>
      <w:r w:rsidRPr="00725096">
        <w:rPr>
          <w:i/>
          <w:lang w:val="es-ES"/>
        </w:rPr>
        <w:t xml:space="preserve">caso </w:t>
      </w:r>
      <w:proofErr w:type="spellStart"/>
      <w:r w:rsidRPr="00725096">
        <w:rPr>
          <w:i/>
          <w:lang w:val="es-ES"/>
        </w:rPr>
        <w:t>Raxcacó</w:t>
      </w:r>
      <w:proofErr w:type="spellEnd"/>
      <w:r w:rsidRPr="00725096">
        <w:rPr>
          <w:i/>
          <w:lang w:val="es-ES"/>
        </w:rPr>
        <w:t xml:space="preserve"> Reyes Vs. Guatemala y una </w:t>
      </w:r>
      <w:r w:rsidRPr="00725096">
        <w:rPr>
          <w:lang w:val="es-ES"/>
        </w:rPr>
        <w:t xml:space="preserve">declaración a </w:t>
      </w:r>
      <w:r w:rsidRPr="0058359E">
        <w:rPr>
          <w:lang w:val="es-ES"/>
        </w:rPr>
        <w:t>título</w:t>
      </w:r>
      <w:r w:rsidR="00BC43CA" w:rsidRPr="0058359E">
        <w:rPr>
          <w:lang w:val="es-ES"/>
        </w:rPr>
        <w:t xml:space="preserve"> informativo</w:t>
      </w:r>
      <w:r w:rsidRPr="00725096">
        <w:rPr>
          <w:lang w:val="es-ES"/>
        </w:rPr>
        <w:t xml:space="preserve"> en el</w:t>
      </w:r>
      <w:r w:rsidRPr="00725096">
        <w:rPr>
          <w:i/>
          <w:lang w:val="es-ES"/>
        </w:rPr>
        <w:t xml:space="preserve"> caso Mariana Selvas y otras (Atenco) Vs. México</w:t>
      </w:r>
      <w:r w:rsidR="00FA2094">
        <w:rPr>
          <w:lang w:val="es-ES"/>
        </w:rPr>
        <w:t xml:space="preserve">;  </w:t>
      </w:r>
      <w:r w:rsidR="006B1A85">
        <w:rPr>
          <w:lang w:val="es-ES"/>
        </w:rPr>
        <w:t>c</w:t>
      </w:r>
      <w:r w:rsidRPr="00725096">
        <w:rPr>
          <w:lang w:val="es-ES"/>
        </w:rPr>
        <w:t xml:space="preserve">) </w:t>
      </w:r>
      <w:r w:rsidR="008E2E5C">
        <w:rPr>
          <w:lang w:val="es-ES"/>
        </w:rPr>
        <w:t>a</w:t>
      </w:r>
      <w:r w:rsidR="00C301CA" w:rsidRPr="00725096">
        <w:rPr>
          <w:lang w:val="es-ES"/>
        </w:rPr>
        <w:t>dmisibilidad de la prueba pericial ofrecida por la Comisión</w:t>
      </w:r>
      <w:r w:rsidR="00DA4D2F">
        <w:rPr>
          <w:lang w:val="es-ES"/>
        </w:rPr>
        <w:t>,</w:t>
      </w:r>
      <w:r w:rsidR="00141E43">
        <w:rPr>
          <w:lang w:val="es-ES"/>
        </w:rPr>
        <w:t xml:space="preserve"> y </w:t>
      </w:r>
      <w:r w:rsidR="006B1A85">
        <w:rPr>
          <w:lang w:val="es-ES"/>
        </w:rPr>
        <w:t>d</w:t>
      </w:r>
      <w:r w:rsidR="008E2E5C">
        <w:rPr>
          <w:lang w:val="es-ES"/>
        </w:rPr>
        <w:t>) a</w:t>
      </w:r>
      <w:r w:rsidRPr="00725096">
        <w:rPr>
          <w:lang w:val="es-ES"/>
        </w:rPr>
        <w:t>plicación del Fondo de Asistencia Legal de Víctimas ante la Corte (en adelante “el Fondo de Asistencia” o “el Fondo”)</w:t>
      </w:r>
      <w:r w:rsidR="00C301CA" w:rsidRPr="00725096">
        <w:rPr>
          <w:lang w:val="es-ES"/>
        </w:rPr>
        <w:t>.</w:t>
      </w:r>
      <w:r w:rsidR="00141E43">
        <w:rPr>
          <w:lang w:val="es-ES"/>
        </w:rPr>
        <w:t xml:space="preserve"> </w:t>
      </w:r>
    </w:p>
    <w:p w:rsidR="007511E0" w:rsidRPr="00C75778" w:rsidRDefault="007511E0" w:rsidP="007511E0">
      <w:pPr>
        <w:tabs>
          <w:tab w:val="left" w:pos="0"/>
        </w:tabs>
        <w:autoSpaceDE w:val="0"/>
        <w:autoSpaceDN w:val="0"/>
        <w:adjustRightInd w:val="0"/>
        <w:spacing w:after="0"/>
        <w:rPr>
          <w:szCs w:val="20"/>
          <w:lang w:val="es-ES"/>
        </w:rPr>
      </w:pPr>
    </w:p>
    <w:p w:rsidR="007511E0" w:rsidRPr="00BC43CA" w:rsidRDefault="007511E0" w:rsidP="007511E0">
      <w:pPr>
        <w:pStyle w:val="ListParagraph"/>
        <w:numPr>
          <w:ilvl w:val="0"/>
          <w:numId w:val="5"/>
        </w:numPr>
        <w:tabs>
          <w:tab w:val="left" w:pos="0"/>
        </w:tabs>
        <w:autoSpaceDE w:val="0"/>
        <w:autoSpaceDN w:val="0"/>
        <w:adjustRightInd w:val="0"/>
        <w:spacing w:after="0"/>
        <w:rPr>
          <w:rFonts w:eastAsiaTheme="minorHAnsi" w:cs="Arial"/>
          <w:b/>
          <w:szCs w:val="20"/>
          <w:lang w:val="es-CR" w:eastAsia="en-US"/>
        </w:rPr>
      </w:pPr>
      <w:r w:rsidRPr="00C65FE8">
        <w:rPr>
          <w:b/>
          <w:i/>
          <w:szCs w:val="20"/>
        </w:rPr>
        <w:t>Admis</w:t>
      </w:r>
      <w:r w:rsidR="00BC43CA">
        <w:rPr>
          <w:b/>
          <w:i/>
          <w:szCs w:val="20"/>
        </w:rPr>
        <w:t xml:space="preserve">ibilidad de </w:t>
      </w:r>
      <w:r w:rsidR="004005BF">
        <w:rPr>
          <w:b/>
          <w:i/>
          <w:szCs w:val="20"/>
        </w:rPr>
        <w:t>l</w:t>
      </w:r>
      <w:r w:rsidR="00702B23">
        <w:rPr>
          <w:b/>
          <w:i/>
          <w:szCs w:val="20"/>
        </w:rPr>
        <w:t>a</w:t>
      </w:r>
      <w:r w:rsidR="00725096">
        <w:rPr>
          <w:b/>
          <w:i/>
          <w:szCs w:val="20"/>
        </w:rPr>
        <w:t xml:space="preserve">s </w:t>
      </w:r>
      <w:r w:rsidR="00BC43CA">
        <w:rPr>
          <w:b/>
          <w:i/>
          <w:szCs w:val="20"/>
        </w:rPr>
        <w:t>declar</w:t>
      </w:r>
      <w:r w:rsidR="00702B23">
        <w:rPr>
          <w:b/>
          <w:i/>
          <w:szCs w:val="20"/>
        </w:rPr>
        <w:t>aciones</w:t>
      </w:r>
      <w:r w:rsidR="00BC43CA">
        <w:rPr>
          <w:b/>
          <w:i/>
          <w:szCs w:val="20"/>
        </w:rPr>
        <w:t xml:space="preserve"> </w:t>
      </w:r>
      <w:r w:rsidR="00617A22" w:rsidRPr="006E4978">
        <w:rPr>
          <w:b/>
          <w:i/>
          <w:szCs w:val="20"/>
        </w:rPr>
        <w:t xml:space="preserve">y </w:t>
      </w:r>
      <w:r w:rsidR="00725096">
        <w:rPr>
          <w:b/>
          <w:i/>
          <w:szCs w:val="20"/>
        </w:rPr>
        <w:t>dictámenes</w:t>
      </w:r>
      <w:r w:rsidR="00BC43CA">
        <w:rPr>
          <w:b/>
          <w:i/>
          <w:szCs w:val="20"/>
        </w:rPr>
        <w:t xml:space="preserve"> </w:t>
      </w:r>
      <w:r w:rsidR="00617A22" w:rsidRPr="006E4978">
        <w:rPr>
          <w:b/>
          <w:i/>
          <w:szCs w:val="20"/>
        </w:rPr>
        <w:t>pericial</w:t>
      </w:r>
      <w:r w:rsidR="00725096">
        <w:rPr>
          <w:b/>
          <w:i/>
          <w:szCs w:val="20"/>
        </w:rPr>
        <w:t>es</w:t>
      </w:r>
      <w:r w:rsidRPr="006E4978">
        <w:rPr>
          <w:b/>
          <w:i/>
          <w:szCs w:val="20"/>
        </w:rPr>
        <w:t xml:space="preserve"> ofreci</w:t>
      </w:r>
      <w:r w:rsidR="004005BF">
        <w:rPr>
          <w:b/>
          <w:i/>
          <w:szCs w:val="20"/>
        </w:rPr>
        <w:t>dos</w:t>
      </w:r>
      <w:r w:rsidRPr="006E4978">
        <w:rPr>
          <w:b/>
          <w:i/>
          <w:szCs w:val="20"/>
        </w:rPr>
        <w:t xml:space="preserve"> por l</w:t>
      </w:r>
      <w:r w:rsidR="00CA70D8">
        <w:rPr>
          <w:b/>
          <w:i/>
          <w:szCs w:val="20"/>
        </w:rPr>
        <w:t>a</w:t>
      </w:r>
      <w:r w:rsidRPr="00C65FE8">
        <w:rPr>
          <w:b/>
          <w:i/>
          <w:szCs w:val="20"/>
        </w:rPr>
        <w:t>s representantes</w:t>
      </w:r>
    </w:p>
    <w:p w:rsidR="006E4978" w:rsidRPr="00BC43CA" w:rsidRDefault="006E4978" w:rsidP="00BC43CA">
      <w:pPr>
        <w:pStyle w:val="ListParagraph"/>
        <w:tabs>
          <w:tab w:val="left" w:pos="0"/>
        </w:tabs>
        <w:autoSpaceDE w:val="0"/>
        <w:autoSpaceDN w:val="0"/>
        <w:adjustRightInd w:val="0"/>
        <w:spacing w:after="0"/>
        <w:rPr>
          <w:rFonts w:eastAsiaTheme="minorHAnsi" w:cs="Arial"/>
          <w:b/>
          <w:szCs w:val="20"/>
          <w:lang w:val="es-CR" w:eastAsia="en-US"/>
        </w:rPr>
      </w:pPr>
    </w:p>
    <w:p w:rsidR="006E4978" w:rsidRPr="00BC43CA" w:rsidRDefault="006E4978" w:rsidP="00BC43CA">
      <w:pPr>
        <w:tabs>
          <w:tab w:val="left" w:pos="0"/>
        </w:tabs>
        <w:autoSpaceDE w:val="0"/>
        <w:autoSpaceDN w:val="0"/>
        <w:adjustRightInd w:val="0"/>
        <w:spacing w:after="0"/>
        <w:ind w:left="360"/>
        <w:rPr>
          <w:rFonts w:eastAsiaTheme="minorHAnsi" w:cs="Arial"/>
          <w:szCs w:val="20"/>
          <w:lang w:val="es-CR" w:eastAsia="en-US"/>
        </w:rPr>
      </w:pPr>
      <w:r w:rsidRPr="00C65FE8">
        <w:rPr>
          <w:rFonts w:eastAsiaTheme="minorHAnsi" w:cs="Arial"/>
          <w:szCs w:val="20"/>
          <w:lang w:val="es-CR" w:eastAsia="en-US"/>
        </w:rPr>
        <w:t xml:space="preserve">A.1) </w:t>
      </w:r>
      <w:r w:rsidRPr="00C65FE8">
        <w:rPr>
          <w:i/>
          <w:szCs w:val="20"/>
          <w:lang w:val="es-CR"/>
        </w:rPr>
        <w:t>Admisibilidad de l</w:t>
      </w:r>
      <w:r w:rsidR="00573DFC">
        <w:rPr>
          <w:i/>
          <w:szCs w:val="20"/>
          <w:lang w:val="es-CR"/>
        </w:rPr>
        <w:t>o</w:t>
      </w:r>
      <w:r w:rsidRPr="00C65FE8">
        <w:rPr>
          <w:i/>
          <w:szCs w:val="20"/>
          <w:lang w:val="es-CR"/>
        </w:rPr>
        <w:t>s declarantes ofrecid</w:t>
      </w:r>
      <w:r w:rsidR="00702B23">
        <w:rPr>
          <w:i/>
          <w:szCs w:val="20"/>
          <w:lang w:val="es-CR"/>
        </w:rPr>
        <w:t>o</w:t>
      </w:r>
      <w:r w:rsidR="00082F15">
        <w:rPr>
          <w:i/>
          <w:szCs w:val="20"/>
          <w:lang w:val="es-CR"/>
        </w:rPr>
        <w:t>s por la</w:t>
      </w:r>
      <w:r w:rsidRPr="006E4978">
        <w:rPr>
          <w:i/>
          <w:szCs w:val="20"/>
          <w:lang w:val="es-CR"/>
        </w:rPr>
        <w:t>s representantes</w:t>
      </w:r>
    </w:p>
    <w:p w:rsidR="007511E0" w:rsidRPr="00E56BED" w:rsidRDefault="007511E0" w:rsidP="007511E0">
      <w:pPr>
        <w:pStyle w:val="ListParagraph"/>
        <w:tabs>
          <w:tab w:val="left" w:pos="0"/>
        </w:tabs>
        <w:autoSpaceDE w:val="0"/>
        <w:autoSpaceDN w:val="0"/>
        <w:adjustRightInd w:val="0"/>
        <w:spacing w:after="0"/>
        <w:rPr>
          <w:rFonts w:eastAsiaTheme="minorHAnsi" w:cs="Arial"/>
          <w:szCs w:val="20"/>
          <w:lang w:val="es-CR" w:eastAsia="en-US"/>
        </w:rPr>
      </w:pPr>
    </w:p>
    <w:p w:rsidR="009F727D" w:rsidRPr="00D71602" w:rsidRDefault="007511E0" w:rsidP="00F82D48">
      <w:pPr>
        <w:pStyle w:val="ListParagraph"/>
        <w:numPr>
          <w:ilvl w:val="0"/>
          <w:numId w:val="2"/>
        </w:numPr>
        <w:rPr>
          <w:rFonts w:eastAsia="Times New Roman"/>
          <w:lang w:val="es-ES"/>
        </w:rPr>
      </w:pPr>
      <w:r w:rsidRPr="00F82D48">
        <w:rPr>
          <w:rFonts w:eastAsia="Times New Roman"/>
          <w:lang w:val="es-ES"/>
        </w:rPr>
        <w:t xml:space="preserve">Las </w:t>
      </w:r>
      <w:r w:rsidRPr="00F82D48">
        <w:rPr>
          <w:rFonts w:eastAsia="Times New Roman"/>
          <w:b/>
          <w:i/>
          <w:lang w:val="es-ES"/>
        </w:rPr>
        <w:t>representantes</w:t>
      </w:r>
      <w:r w:rsidRPr="00F82D48">
        <w:rPr>
          <w:rFonts w:eastAsia="Times New Roman"/>
          <w:lang w:val="es-ES"/>
        </w:rPr>
        <w:t xml:space="preserve"> en su escrito de solicitudes y argumentos </w:t>
      </w:r>
      <w:r w:rsidR="00725096" w:rsidRPr="00F82D48">
        <w:rPr>
          <w:rFonts w:eastAsia="Times New Roman"/>
          <w:lang w:val="es-ES"/>
        </w:rPr>
        <w:t xml:space="preserve">y en su lista definitiva </w:t>
      </w:r>
      <w:r w:rsidRPr="00F82D48">
        <w:rPr>
          <w:rFonts w:eastAsia="Times New Roman"/>
          <w:lang w:val="es-ES"/>
        </w:rPr>
        <w:t xml:space="preserve">ofrecieron las declaraciones </w:t>
      </w:r>
      <w:r>
        <w:t>de</w:t>
      </w:r>
      <w:r w:rsidR="005A4102">
        <w:t xml:space="preserve"> tres familiares del señor </w:t>
      </w:r>
      <w:r w:rsidR="009C5FA6">
        <w:t>Ruíz</w:t>
      </w:r>
      <w:r w:rsidR="005A4102">
        <w:t xml:space="preserve"> Fuentes: las señoras</w:t>
      </w:r>
      <w:r w:rsidR="002E79C3">
        <w:t xml:space="preserve"> </w:t>
      </w:r>
      <w:r>
        <w:t xml:space="preserve">Berta </w:t>
      </w:r>
      <w:r w:rsidR="007B68CC">
        <w:t xml:space="preserve">Isabel </w:t>
      </w:r>
      <w:r w:rsidR="009C5FA6">
        <w:t>Ruíz</w:t>
      </w:r>
      <w:r>
        <w:t xml:space="preserve"> Fuentes</w:t>
      </w:r>
      <w:r w:rsidR="00F056A7">
        <w:rPr>
          <w:rStyle w:val="FootnoteReference"/>
        </w:rPr>
        <w:footnoteReference w:id="2"/>
      </w:r>
      <w:r>
        <w:t>,</w:t>
      </w:r>
      <w:r w:rsidR="005A4102">
        <w:t xml:space="preserve"> </w:t>
      </w:r>
      <w:r>
        <w:t xml:space="preserve">Wendy Ester </w:t>
      </w:r>
      <w:r w:rsidR="009C5FA6">
        <w:t>Ruíz</w:t>
      </w:r>
      <w:r>
        <w:t xml:space="preserve"> V</w:t>
      </w:r>
      <w:r w:rsidR="007B68CC">
        <w:t>el</w:t>
      </w:r>
      <w:r>
        <w:t>ásquez</w:t>
      </w:r>
      <w:r w:rsidR="00F056A7">
        <w:rPr>
          <w:rStyle w:val="FootnoteReference"/>
        </w:rPr>
        <w:footnoteReference w:id="3"/>
      </w:r>
      <w:r>
        <w:t xml:space="preserve"> y</w:t>
      </w:r>
      <w:r w:rsidR="005A4102">
        <w:t xml:space="preserve"> </w:t>
      </w:r>
      <w:r>
        <w:t>Ana Marina V</w:t>
      </w:r>
      <w:r w:rsidR="007B68CC">
        <w:t>el</w:t>
      </w:r>
      <w:r>
        <w:t>ásquez</w:t>
      </w:r>
      <w:r w:rsidR="00F056A7">
        <w:rPr>
          <w:rStyle w:val="FootnoteReference"/>
        </w:rPr>
        <w:footnoteReference w:id="4"/>
      </w:r>
      <w:r w:rsidR="00F056A7">
        <w:t xml:space="preserve"> </w:t>
      </w:r>
      <w:r w:rsidRPr="00F82D48">
        <w:rPr>
          <w:rFonts w:eastAsia="Times New Roman"/>
          <w:lang w:val="es-ES"/>
        </w:rPr>
        <w:t>y las declaraciones de</w:t>
      </w:r>
      <w:r w:rsidR="004005BF" w:rsidRPr="00F82D48">
        <w:rPr>
          <w:rFonts w:eastAsia="Times New Roman"/>
          <w:lang w:val="es-ES"/>
        </w:rPr>
        <w:t xml:space="preserve"> los testigos</w:t>
      </w:r>
      <w:r w:rsidR="002E79C3" w:rsidRPr="00F82D48">
        <w:rPr>
          <w:rFonts w:eastAsia="Times New Roman"/>
          <w:lang w:val="es-ES"/>
        </w:rPr>
        <w:t>:</w:t>
      </w:r>
      <w:r w:rsidR="00CA70D8" w:rsidRPr="00F82D48">
        <w:rPr>
          <w:rFonts w:eastAsia="Times New Roman"/>
          <w:lang w:val="es-ES"/>
        </w:rPr>
        <w:t xml:space="preserve"> </w:t>
      </w:r>
      <w:r w:rsidRPr="00F82D48">
        <w:rPr>
          <w:rFonts w:eastAsia="Times New Roman"/>
          <w:lang w:val="es-ES"/>
        </w:rPr>
        <w:t>Jorge Santos</w:t>
      </w:r>
      <w:r w:rsidR="00082F15">
        <w:rPr>
          <w:rStyle w:val="FootnoteReference"/>
          <w:rFonts w:eastAsia="Times New Roman"/>
          <w:lang w:val="es-ES"/>
        </w:rPr>
        <w:footnoteReference w:id="5"/>
      </w:r>
      <w:r w:rsidRPr="00F82D48">
        <w:rPr>
          <w:rFonts w:eastAsia="Times New Roman"/>
          <w:lang w:val="es-ES"/>
        </w:rPr>
        <w:t xml:space="preserve"> y</w:t>
      </w:r>
      <w:r w:rsidR="002E79C3" w:rsidRPr="00F82D48">
        <w:rPr>
          <w:rFonts w:eastAsia="Times New Roman"/>
          <w:lang w:val="es-ES"/>
        </w:rPr>
        <w:t xml:space="preserve"> </w:t>
      </w:r>
      <w:r w:rsidRPr="00F82D48">
        <w:rPr>
          <w:rFonts w:eastAsia="Times New Roman"/>
          <w:lang w:val="es-ES"/>
        </w:rPr>
        <w:t>Benedicto Tenas</w:t>
      </w:r>
      <w:r w:rsidR="00082F15">
        <w:rPr>
          <w:rStyle w:val="FootnoteReference"/>
          <w:rFonts w:eastAsia="Times New Roman"/>
          <w:lang w:val="es-ES"/>
        </w:rPr>
        <w:footnoteReference w:id="6"/>
      </w:r>
      <w:r w:rsidR="008E2E5C">
        <w:rPr>
          <w:rFonts w:eastAsia="Times New Roman"/>
          <w:lang w:val="es-ES"/>
        </w:rPr>
        <w:t>.</w:t>
      </w:r>
      <w:r w:rsidR="00617A22" w:rsidRPr="00F82D48">
        <w:rPr>
          <w:rFonts w:eastAsia="Times New Roman"/>
          <w:lang w:val="es-ES"/>
        </w:rPr>
        <w:t xml:space="preserve"> </w:t>
      </w:r>
      <w:r w:rsidR="00DA4D2F" w:rsidRPr="00F82D48">
        <w:rPr>
          <w:rFonts w:eastAsia="Times New Roman"/>
          <w:lang w:val="es-ES"/>
        </w:rPr>
        <w:t>L</w:t>
      </w:r>
      <w:r w:rsidR="004005BF" w:rsidRPr="00F82D48">
        <w:rPr>
          <w:rFonts w:eastAsia="Times New Roman"/>
          <w:lang w:val="es-ES"/>
        </w:rPr>
        <w:t xml:space="preserve">as </w:t>
      </w:r>
      <w:r w:rsidR="004005BF" w:rsidRPr="00D71602">
        <w:rPr>
          <w:rFonts w:eastAsia="Times New Roman"/>
          <w:lang w:val="es-ES"/>
        </w:rPr>
        <w:lastRenderedPageBreak/>
        <w:t>representantes tanto en su escrito de solicitudes y argumentos, como en su lista definitiva incluyeron a los mismos declarantes.</w:t>
      </w:r>
    </w:p>
    <w:p w:rsidR="00B8202C" w:rsidRPr="00D71602" w:rsidRDefault="00B8202C" w:rsidP="00B8202C">
      <w:pPr>
        <w:pStyle w:val="ListParagraph"/>
        <w:widowControl w:val="0"/>
        <w:tabs>
          <w:tab w:val="left" w:pos="567"/>
        </w:tabs>
        <w:autoSpaceDE w:val="0"/>
        <w:autoSpaceDN w:val="0"/>
        <w:adjustRightInd w:val="0"/>
        <w:spacing w:after="0"/>
        <w:ind w:left="0" w:right="22"/>
        <w:contextualSpacing w:val="0"/>
        <w:rPr>
          <w:lang w:val="es-ES"/>
        </w:rPr>
      </w:pPr>
    </w:p>
    <w:p w:rsidR="00B8202C" w:rsidRPr="00D71602" w:rsidRDefault="007D4BCB" w:rsidP="009838F5">
      <w:pPr>
        <w:pStyle w:val="ListParagraph"/>
        <w:widowControl w:val="0"/>
        <w:numPr>
          <w:ilvl w:val="0"/>
          <w:numId w:val="2"/>
        </w:numPr>
        <w:tabs>
          <w:tab w:val="left" w:pos="567"/>
        </w:tabs>
        <w:autoSpaceDE w:val="0"/>
        <w:autoSpaceDN w:val="0"/>
        <w:adjustRightInd w:val="0"/>
        <w:spacing w:after="0"/>
        <w:ind w:right="22"/>
        <w:contextualSpacing w:val="0"/>
        <w:rPr>
          <w:lang w:val="es-ES"/>
        </w:rPr>
      </w:pPr>
      <w:r w:rsidRPr="00D71602">
        <w:rPr>
          <w:lang w:val="es-ES"/>
        </w:rPr>
        <w:t xml:space="preserve">El </w:t>
      </w:r>
      <w:r w:rsidRPr="00D71602">
        <w:rPr>
          <w:b/>
          <w:i/>
          <w:lang w:val="es-ES"/>
        </w:rPr>
        <w:t>Estado</w:t>
      </w:r>
      <w:r w:rsidRPr="00D71602">
        <w:rPr>
          <w:lang w:val="es-ES"/>
        </w:rPr>
        <w:t xml:space="preserve"> en su escrito de contestación, respecto a las declaraciones de las familiares del señor </w:t>
      </w:r>
      <w:r w:rsidR="009C5FA6" w:rsidRPr="00D71602">
        <w:rPr>
          <w:lang w:val="es-ES"/>
        </w:rPr>
        <w:t>Ruíz</w:t>
      </w:r>
      <w:r w:rsidRPr="00D71602">
        <w:rPr>
          <w:lang w:val="es-ES"/>
        </w:rPr>
        <w:t xml:space="preserve"> Fuentes señaló que “radican en los mismos hechos, por consiguiente, no existen mayores y/o nuevos elementos que permitan diferenciar y/o aclarar de manera veraz lo ocurrido con el señor </w:t>
      </w:r>
      <w:r w:rsidR="009C5FA6" w:rsidRPr="00D71602">
        <w:rPr>
          <w:lang w:val="es-ES"/>
        </w:rPr>
        <w:t>Ruíz</w:t>
      </w:r>
      <w:r w:rsidRPr="00D71602">
        <w:rPr>
          <w:lang w:val="es-ES"/>
        </w:rPr>
        <w:t xml:space="preserve"> Fuentes, por lo que dicha prueba es innecesaria toda vez que no abona al criterio de la </w:t>
      </w:r>
      <w:r w:rsidR="009A7AD0" w:rsidRPr="00D71602">
        <w:rPr>
          <w:lang w:val="es-ES"/>
        </w:rPr>
        <w:t xml:space="preserve">[…] </w:t>
      </w:r>
      <w:r w:rsidRPr="00D71602">
        <w:rPr>
          <w:lang w:val="es-ES"/>
        </w:rPr>
        <w:t>Corte respecto a la materia objeto del presente escrito</w:t>
      </w:r>
      <w:r w:rsidRPr="00D71602">
        <w:rPr>
          <w:szCs w:val="20"/>
        </w:rPr>
        <w:t xml:space="preserve">”. </w:t>
      </w:r>
      <w:r w:rsidR="0058359E" w:rsidRPr="00D71602">
        <w:rPr>
          <w:lang w:val="es-ES"/>
        </w:rPr>
        <w:t>Asimismo, e</w:t>
      </w:r>
      <w:r w:rsidRPr="00D71602">
        <w:rPr>
          <w:lang w:val="es-ES"/>
        </w:rPr>
        <w:t xml:space="preserve">n su escrito de observaciones a la lista definitiva de las representantes, </w:t>
      </w:r>
      <w:r w:rsidR="00E079E7" w:rsidRPr="00D71602">
        <w:rPr>
          <w:lang w:val="es-ES"/>
        </w:rPr>
        <w:t xml:space="preserve">reiteró que las familiares del señor </w:t>
      </w:r>
      <w:r w:rsidR="009C5FA6" w:rsidRPr="00D71602">
        <w:rPr>
          <w:lang w:val="es-ES"/>
        </w:rPr>
        <w:t>Ruíz</w:t>
      </w:r>
      <w:r w:rsidR="00E079E7" w:rsidRPr="00D71602">
        <w:rPr>
          <w:lang w:val="es-ES"/>
        </w:rPr>
        <w:t xml:space="preserve"> Fuentes llamadas a declarar, presentan un interés directo en el asunto y abordaran el mismo tema por</w:t>
      </w:r>
      <w:r w:rsidR="00BB5C2D" w:rsidRPr="00D71602">
        <w:rPr>
          <w:lang w:val="es-ES"/>
        </w:rPr>
        <w:t>,</w:t>
      </w:r>
      <w:r w:rsidR="00E079E7" w:rsidRPr="00D71602">
        <w:rPr>
          <w:lang w:val="es-ES"/>
        </w:rPr>
        <w:t xml:space="preserve"> lo que la Corte debería declarar inadmis</w:t>
      </w:r>
      <w:r w:rsidR="00623D0B" w:rsidRPr="00D71602">
        <w:rPr>
          <w:lang w:val="es-ES"/>
        </w:rPr>
        <w:t>ible esas declaraciones</w:t>
      </w:r>
      <w:r w:rsidR="00E079E7" w:rsidRPr="00D71602">
        <w:rPr>
          <w:lang w:val="es-ES"/>
        </w:rPr>
        <w:t xml:space="preserve">. Adicionalmente, señaló que la única persona identificada como familiar es la señora Berta </w:t>
      </w:r>
      <w:r w:rsidR="007B68CC" w:rsidRPr="00D71602">
        <w:rPr>
          <w:lang w:val="es-ES"/>
        </w:rPr>
        <w:t xml:space="preserve">Isabel </w:t>
      </w:r>
      <w:r w:rsidR="009C5FA6" w:rsidRPr="00D71602">
        <w:rPr>
          <w:lang w:val="es-ES"/>
        </w:rPr>
        <w:t>Ruíz</w:t>
      </w:r>
      <w:r w:rsidR="00E079E7" w:rsidRPr="00D71602">
        <w:rPr>
          <w:lang w:val="es-ES"/>
        </w:rPr>
        <w:t xml:space="preserve"> Fuentes</w:t>
      </w:r>
      <w:r w:rsidR="00573DFC" w:rsidRPr="00D71602">
        <w:rPr>
          <w:lang w:val="es-ES"/>
        </w:rPr>
        <w:t>. P</w:t>
      </w:r>
      <w:r w:rsidR="00E079E7" w:rsidRPr="00D71602">
        <w:rPr>
          <w:lang w:val="es-ES"/>
        </w:rPr>
        <w:t xml:space="preserve">or lo que </w:t>
      </w:r>
      <w:r w:rsidR="00573DFC" w:rsidRPr="00D71602">
        <w:rPr>
          <w:lang w:val="es-ES"/>
        </w:rPr>
        <w:t>rechazó</w:t>
      </w:r>
      <w:r w:rsidR="00F92B40" w:rsidRPr="00D71602">
        <w:rPr>
          <w:lang w:val="es-ES"/>
        </w:rPr>
        <w:t xml:space="preserve"> </w:t>
      </w:r>
      <w:r w:rsidR="00E079E7" w:rsidRPr="00D71602">
        <w:rPr>
          <w:lang w:val="es-ES"/>
        </w:rPr>
        <w:t xml:space="preserve">la erogación de los gastos en que incurran </w:t>
      </w:r>
      <w:r w:rsidR="00CF3ECC" w:rsidRPr="00D71602">
        <w:rPr>
          <w:lang w:val="es-ES"/>
        </w:rPr>
        <w:t>las declarantes y</w:t>
      </w:r>
      <w:r w:rsidR="00E079E7" w:rsidRPr="00D71602">
        <w:rPr>
          <w:lang w:val="es-ES"/>
        </w:rPr>
        <w:t xml:space="preserve"> testigos propuestos por la representación.</w:t>
      </w:r>
      <w:r w:rsidR="00B8202C" w:rsidRPr="00D71602">
        <w:rPr>
          <w:lang w:val="es-ES"/>
        </w:rPr>
        <w:t xml:space="preserve"> </w:t>
      </w:r>
    </w:p>
    <w:p w:rsidR="009B5A0C" w:rsidRPr="00B8202C" w:rsidRDefault="009B5A0C" w:rsidP="00B8202C">
      <w:pPr>
        <w:pStyle w:val="ListParagraph"/>
        <w:widowControl w:val="0"/>
        <w:tabs>
          <w:tab w:val="left" w:pos="567"/>
        </w:tabs>
        <w:autoSpaceDE w:val="0"/>
        <w:autoSpaceDN w:val="0"/>
        <w:adjustRightInd w:val="0"/>
        <w:spacing w:after="0"/>
        <w:ind w:left="0" w:right="22"/>
        <w:contextualSpacing w:val="0"/>
        <w:rPr>
          <w:lang w:val="es-ES"/>
        </w:rPr>
      </w:pPr>
    </w:p>
    <w:p w:rsidR="00407457" w:rsidRPr="00F82D48" w:rsidRDefault="009F727D" w:rsidP="008C5D88">
      <w:pPr>
        <w:pStyle w:val="ListParagraph"/>
        <w:widowControl w:val="0"/>
        <w:numPr>
          <w:ilvl w:val="0"/>
          <w:numId w:val="2"/>
        </w:numPr>
        <w:tabs>
          <w:tab w:val="left" w:pos="567"/>
          <w:tab w:val="left" w:pos="810"/>
        </w:tabs>
        <w:autoSpaceDE w:val="0"/>
        <w:autoSpaceDN w:val="0"/>
        <w:adjustRightInd w:val="0"/>
        <w:spacing w:after="0"/>
        <w:ind w:right="22"/>
        <w:contextualSpacing w:val="0"/>
        <w:rPr>
          <w:rFonts w:eastAsia="Times New Roman"/>
          <w:lang w:val="es-ES"/>
        </w:rPr>
      </w:pPr>
      <w:r w:rsidRPr="008C5D88">
        <w:t xml:space="preserve">Con respecto </w:t>
      </w:r>
      <w:r w:rsidR="00773671">
        <w:t xml:space="preserve">a </w:t>
      </w:r>
      <w:r w:rsidRPr="008C5D88">
        <w:t xml:space="preserve">las observaciones del Estado que indican que las familiares del señor </w:t>
      </w:r>
      <w:r w:rsidR="009C5FA6">
        <w:t>Ruíz</w:t>
      </w:r>
      <w:r w:rsidRPr="008C5D88">
        <w:t xml:space="preserve"> Fuentes “presentan un interés directo en el asunto”, el Presidente nota que las declaraciones de personas con un interés directo en el caso, tal es el caso de las familiares, son útiles en la medida en que pueden proporcionar mayor información sobre las alegadas violaciones y sus consecuencias</w:t>
      </w:r>
      <w:r w:rsidRPr="008C5D88">
        <w:rPr>
          <w:rStyle w:val="FootnoteReference"/>
          <w:szCs w:val="20"/>
        </w:rPr>
        <w:footnoteReference w:id="7"/>
      </w:r>
      <w:r w:rsidR="00773671">
        <w:t>.</w:t>
      </w:r>
      <w:r w:rsidR="0054426F" w:rsidRPr="008C5D88">
        <w:rPr>
          <w:rFonts w:eastAsia="Times New Roman"/>
          <w:lang w:val="es-ES"/>
        </w:rPr>
        <w:t xml:space="preserve"> </w:t>
      </w:r>
      <w:r w:rsidR="00773671" w:rsidRPr="008C5D88">
        <w:rPr>
          <w:rFonts w:eastAsia="Times New Roman"/>
          <w:lang w:val="es-ES"/>
        </w:rPr>
        <w:t xml:space="preserve">En relación a las observaciones del Estado que indican que las declaraciones “radican sobre los mismos hechos”, esta </w:t>
      </w:r>
      <w:r w:rsidR="00773671">
        <w:rPr>
          <w:rFonts w:eastAsia="Times New Roman"/>
          <w:lang w:val="es-ES"/>
        </w:rPr>
        <w:t>P</w:t>
      </w:r>
      <w:r w:rsidR="00773671" w:rsidRPr="008C5D88">
        <w:rPr>
          <w:rFonts w:eastAsia="Times New Roman"/>
          <w:lang w:val="es-ES"/>
        </w:rPr>
        <w:t xml:space="preserve">residencia </w:t>
      </w:r>
      <w:r w:rsidR="00773671" w:rsidRPr="00F82D48">
        <w:rPr>
          <w:rFonts w:eastAsia="Times New Roman"/>
          <w:lang w:val="es-ES"/>
        </w:rPr>
        <w:t>nota</w:t>
      </w:r>
      <w:r w:rsidR="00773671" w:rsidRPr="008C5D88">
        <w:rPr>
          <w:rFonts w:eastAsia="Times New Roman"/>
          <w:lang w:val="es-ES"/>
        </w:rPr>
        <w:t xml:space="preserve"> </w:t>
      </w:r>
      <w:r w:rsidR="00773671" w:rsidRPr="00F82D48">
        <w:rPr>
          <w:rFonts w:eastAsia="Times New Roman"/>
          <w:lang w:val="es-ES"/>
        </w:rPr>
        <w:t xml:space="preserve">que efectivamente </w:t>
      </w:r>
      <w:r w:rsidR="00773671" w:rsidRPr="008C5D88">
        <w:rPr>
          <w:rFonts w:eastAsia="Times New Roman"/>
          <w:lang w:val="es-ES"/>
        </w:rPr>
        <w:t xml:space="preserve">el objeto de las declaraciones de las </w:t>
      </w:r>
      <w:r w:rsidR="00773671" w:rsidRPr="00F82D48">
        <w:rPr>
          <w:rFonts w:eastAsia="Times New Roman"/>
          <w:lang w:val="es-ES"/>
        </w:rPr>
        <w:t>familiares son</w:t>
      </w:r>
      <w:r w:rsidR="00773671" w:rsidRPr="008C5D88">
        <w:rPr>
          <w:rFonts w:eastAsia="Times New Roman"/>
          <w:lang w:val="es-ES"/>
        </w:rPr>
        <w:t xml:space="preserve"> </w:t>
      </w:r>
      <w:r w:rsidR="00773671" w:rsidRPr="00F82D48">
        <w:rPr>
          <w:rFonts w:eastAsia="Times New Roman"/>
          <w:lang w:val="es-ES"/>
        </w:rPr>
        <w:t xml:space="preserve">sustancialmente </w:t>
      </w:r>
      <w:r w:rsidR="00773671" w:rsidRPr="008C5D88">
        <w:rPr>
          <w:rFonts w:eastAsia="Times New Roman"/>
          <w:lang w:val="es-ES"/>
        </w:rPr>
        <w:t>similares entre sí</w:t>
      </w:r>
      <w:r w:rsidR="00214110">
        <w:rPr>
          <w:rFonts w:eastAsia="Times New Roman"/>
          <w:lang w:val="es-ES"/>
        </w:rPr>
        <w:t>;</w:t>
      </w:r>
      <w:r w:rsidR="00773671" w:rsidRPr="008C5D88">
        <w:rPr>
          <w:rFonts w:eastAsia="Times New Roman"/>
          <w:lang w:val="es-ES"/>
        </w:rPr>
        <w:t xml:space="preserve"> </w:t>
      </w:r>
      <w:r w:rsidR="00773671" w:rsidRPr="00F82D48">
        <w:rPr>
          <w:rFonts w:eastAsia="Times New Roman"/>
          <w:lang w:val="es-ES"/>
        </w:rPr>
        <w:t>sin embargo no dejan de ser relevan</w:t>
      </w:r>
      <w:r w:rsidR="00773671">
        <w:rPr>
          <w:rFonts w:eastAsia="Times New Roman"/>
          <w:lang w:val="es-ES"/>
        </w:rPr>
        <w:t>tes para la resolución del caso</w:t>
      </w:r>
      <w:r w:rsidR="00773671" w:rsidRPr="008C5D88">
        <w:rPr>
          <w:rStyle w:val="FootnoteReference"/>
          <w:rFonts w:eastAsia="Times New Roman"/>
          <w:lang w:val="es-ES"/>
        </w:rPr>
        <w:footnoteReference w:id="8"/>
      </w:r>
      <w:r w:rsidR="00773671">
        <w:rPr>
          <w:rFonts w:eastAsia="Times New Roman"/>
          <w:lang w:val="es-ES"/>
        </w:rPr>
        <w:t xml:space="preserve">. </w:t>
      </w:r>
      <w:r w:rsidR="00773671" w:rsidRPr="008C5D88">
        <w:rPr>
          <w:lang w:val="es-ES"/>
        </w:rPr>
        <w:t xml:space="preserve">Asimismo, </w:t>
      </w:r>
      <w:r w:rsidR="00773671" w:rsidRPr="008C5D88">
        <w:rPr>
          <w:szCs w:val="20"/>
        </w:rPr>
        <w:t xml:space="preserve">el Presidente estima que lo planteado por el Estado se relaciona con el valor o peso probatorio de las declaraciones propuestas, pero no afecta su admisibilidad y eventual valoración por parte de la Corte. </w:t>
      </w:r>
      <w:r w:rsidR="00214110">
        <w:rPr>
          <w:szCs w:val="20"/>
        </w:rPr>
        <w:t xml:space="preserve">Por lo expuesto, </w:t>
      </w:r>
      <w:r w:rsidR="00407457" w:rsidRPr="00F82D48">
        <w:rPr>
          <w:rFonts w:eastAsia="Times New Roman"/>
          <w:lang w:val="es-ES"/>
        </w:rPr>
        <w:t xml:space="preserve">esta Presidencia considera pertinente </w:t>
      </w:r>
      <w:r w:rsidR="0054426F" w:rsidRPr="008C5D88">
        <w:rPr>
          <w:rFonts w:eastAsia="Times New Roman"/>
          <w:lang w:val="es-ES"/>
        </w:rPr>
        <w:t>admitir las declaraciones de</w:t>
      </w:r>
      <w:r w:rsidR="00B83B34">
        <w:rPr>
          <w:rFonts w:eastAsia="Times New Roman"/>
          <w:lang w:val="es-ES"/>
        </w:rPr>
        <w:t xml:space="preserve"> </w:t>
      </w:r>
      <w:r w:rsidR="0054426F" w:rsidRPr="008C5D88">
        <w:t xml:space="preserve">Wendy Ester </w:t>
      </w:r>
      <w:r w:rsidR="009C5FA6">
        <w:t>Ruíz</w:t>
      </w:r>
      <w:r w:rsidR="0054426F" w:rsidRPr="008C5D88">
        <w:t xml:space="preserve"> V</w:t>
      </w:r>
      <w:r w:rsidR="007B68CC">
        <w:t>el</w:t>
      </w:r>
      <w:r w:rsidR="0054426F" w:rsidRPr="008C5D88">
        <w:t>ásquez</w:t>
      </w:r>
      <w:r w:rsidR="00F92B40">
        <w:t xml:space="preserve">, </w:t>
      </w:r>
      <w:r w:rsidR="0054426F" w:rsidRPr="008C5D88">
        <w:t>Ana Marina V</w:t>
      </w:r>
      <w:r w:rsidR="001D3173">
        <w:t>el</w:t>
      </w:r>
      <w:r w:rsidR="0054426F" w:rsidRPr="008C5D88">
        <w:t xml:space="preserve">ásquez y Berta </w:t>
      </w:r>
      <w:r w:rsidR="007B68CC">
        <w:t xml:space="preserve">Isabel </w:t>
      </w:r>
      <w:r w:rsidR="009C5FA6">
        <w:t>Ruíz</w:t>
      </w:r>
      <w:r w:rsidR="0054426F" w:rsidRPr="008C5D88">
        <w:t xml:space="preserve"> Fuentes</w:t>
      </w:r>
      <w:r w:rsidR="00407457" w:rsidRPr="00F82D48">
        <w:t>,</w:t>
      </w:r>
      <w:r w:rsidR="009A7AD0" w:rsidRPr="008C5D88">
        <w:rPr>
          <w:szCs w:val="20"/>
        </w:rPr>
        <w:t xml:space="preserve"> a efectos de que el Tribunal pueda apreciar su valor en la debida oportunidad procesal, dentro del contexto del acervo probatorio existente y según las reglas de la sana crítica. E</w:t>
      </w:r>
      <w:r w:rsidR="009A7AD0" w:rsidRPr="008C5D88">
        <w:t>l objeto y modalida</w:t>
      </w:r>
      <w:r w:rsidR="007E3B7C">
        <w:t>d</w:t>
      </w:r>
      <w:r w:rsidR="009A7AD0" w:rsidRPr="008C5D88">
        <w:t xml:space="preserve"> de las declaraciones serán determinados en la parte resolutiva de la presente Resolución (</w:t>
      </w:r>
      <w:r w:rsidR="009A7AD0" w:rsidRPr="008C5D88">
        <w:rPr>
          <w:i/>
        </w:rPr>
        <w:t>infra</w:t>
      </w:r>
      <w:r w:rsidR="009A7AD0" w:rsidRPr="008C5D88">
        <w:t xml:space="preserve"> punto</w:t>
      </w:r>
      <w:r w:rsidR="00C23C78">
        <w:t>s</w:t>
      </w:r>
      <w:r w:rsidR="009A7AD0" w:rsidRPr="008C5D88">
        <w:t xml:space="preserve"> resolutivo</w:t>
      </w:r>
      <w:r w:rsidR="00C23C78">
        <w:t>s</w:t>
      </w:r>
      <w:r w:rsidR="009A7AD0" w:rsidRPr="008C5D88">
        <w:t xml:space="preserve"> </w:t>
      </w:r>
      <w:r w:rsidR="00F06747">
        <w:t>1 y 4</w:t>
      </w:r>
      <w:r w:rsidR="00C23C78" w:rsidRPr="008C5D88">
        <w:t>)</w:t>
      </w:r>
      <w:r w:rsidR="00C23C78">
        <w:t>.</w:t>
      </w:r>
      <w:r w:rsidR="00C23C78" w:rsidRPr="008C5D88">
        <w:t xml:space="preserve"> </w:t>
      </w:r>
    </w:p>
    <w:p w:rsidR="00407457" w:rsidRPr="00E079E7" w:rsidRDefault="00407457" w:rsidP="00F82D48">
      <w:pPr>
        <w:pStyle w:val="ListParagraph"/>
        <w:ind w:left="0"/>
        <w:rPr>
          <w:lang w:val="es-ES"/>
        </w:rPr>
      </w:pPr>
    </w:p>
    <w:p w:rsidR="005D4F3A" w:rsidRDefault="00E079E7" w:rsidP="00F92B40">
      <w:pPr>
        <w:pStyle w:val="ListParagraph"/>
        <w:numPr>
          <w:ilvl w:val="0"/>
          <w:numId w:val="2"/>
        </w:numPr>
        <w:spacing w:after="0"/>
        <w:rPr>
          <w:rFonts w:eastAsia="Times New Roman"/>
          <w:lang w:val="es-ES"/>
        </w:rPr>
      </w:pPr>
      <w:r>
        <w:rPr>
          <w:rFonts w:eastAsia="Times New Roman"/>
          <w:lang w:val="es-ES"/>
        </w:rPr>
        <w:t xml:space="preserve">En cuanto </w:t>
      </w:r>
      <w:r w:rsidRPr="00E079E7">
        <w:rPr>
          <w:rFonts w:eastAsia="Times New Roman"/>
          <w:lang w:val="es-ES"/>
        </w:rPr>
        <w:t xml:space="preserve">a las declaraciones </w:t>
      </w:r>
      <w:r>
        <w:rPr>
          <w:rFonts w:eastAsia="Times New Roman"/>
          <w:lang w:val="es-ES"/>
        </w:rPr>
        <w:t xml:space="preserve">testimoniales </w:t>
      </w:r>
      <w:r w:rsidRPr="00E079E7">
        <w:rPr>
          <w:rFonts w:eastAsia="Times New Roman"/>
          <w:lang w:val="es-ES"/>
        </w:rPr>
        <w:t xml:space="preserve">de </w:t>
      </w:r>
      <w:r>
        <w:rPr>
          <w:rFonts w:eastAsia="Times New Roman"/>
          <w:lang w:val="es-ES"/>
        </w:rPr>
        <w:t xml:space="preserve">los señores </w:t>
      </w:r>
      <w:r w:rsidRPr="00E079E7">
        <w:rPr>
          <w:rFonts w:eastAsia="Times New Roman"/>
          <w:lang w:val="es-ES"/>
        </w:rPr>
        <w:t>Jorge Santos y Benedicto Tenas,</w:t>
      </w:r>
      <w:r>
        <w:rPr>
          <w:rFonts w:eastAsia="Times New Roman"/>
          <w:lang w:val="es-ES"/>
        </w:rPr>
        <w:t xml:space="preserve"> el Estado</w:t>
      </w:r>
      <w:r w:rsidRPr="00E079E7">
        <w:rPr>
          <w:rFonts w:eastAsia="Times New Roman"/>
          <w:lang w:val="es-ES"/>
        </w:rPr>
        <w:t xml:space="preserve"> señaló </w:t>
      </w:r>
      <w:r w:rsidR="004E734B">
        <w:rPr>
          <w:rFonts w:eastAsia="Times New Roman"/>
          <w:lang w:val="es-ES"/>
        </w:rPr>
        <w:t>en la contestación y</w:t>
      </w:r>
      <w:r w:rsidR="00623D0B">
        <w:rPr>
          <w:rFonts w:eastAsia="Times New Roman"/>
          <w:lang w:val="es-ES"/>
        </w:rPr>
        <w:t xml:space="preserve"> lo</w:t>
      </w:r>
      <w:r w:rsidR="004E734B">
        <w:rPr>
          <w:rFonts w:eastAsia="Times New Roman"/>
          <w:lang w:val="es-ES"/>
        </w:rPr>
        <w:t xml:space="preserve"> reiteró en sus observaciones a las listas defini</w:t>
      </w:r>
      <w:r w:rsidR="00623D0B">
        <w:rPr>
          <w:rFonts w:eastAsia="Times New Roman"/>
          <w:lang w:val="es-ES"/>
        </w:rPr>
        <w:t>tivas</w:t>
      </w:r>
      <w:r w:rsidR="004E734B">
        <w:rPr>
          <w:rFonts w:eastAsia="Times New Roman"/>
          <w:lang w:val="es-ES"/>
        </w:rPr>
        <w:t>,</w:t>
      </w:r>
      <w:r w:rsidR="00623D0B">
        <w:rPr>
          <w:rFonts w:eastAsia="Times New Roman"/>
          <w:lang w:val="es-ES"/>
        </w:rPr>
        <w:t xml:space="preserve"> </w:t>
      </w:r>
      <w:r w:rsidRPr="00E079E7">
        <w:rPr>
          <w:rFonts w:eastAsia="Times New Roman"/>
          <w:lang w:val="es-ES"/>
        </w:rPr>
        <w:t xml:space="preserve">que la primera no haría alusión a los hechos ocurridos en el </w:t>
      </w:r>
      <w:r w:rsidRPr="00E079E7">
        <w:rPr>
          <w:rFonts w:eastAsia="Times New Roman"/>
          <w:lang w:val="es-ES"/>
        </w:rPr>
        <w:lastRenderedPageBreak/>
        <w:t xml:space="preserve">centro de privación de libertad </w:t>
      </w:r>
      <w:r w:rsidRPr="00E079E7">
        <w:rPr>
          <w:lang w:val="es-ES"/>
        </w:rPr>
        <w:t>“</w:t>
      </w:r>
      <w:r w:rsidRPr="00E079E7">
        <w:rPr>
          <w:rFonts w:eastAsia="Times New Roman"/>
          <w:lang w:val="es-ES"/>
        </w:rPr>
        <w:t>El Infiernito</w:t>
      </w:r>
      <w:r w:rsidRPr="00E079E7">
        <w:rPr>
          <w:szCs w:val="20"/>
        </w:rPr>
        <w:t>”,</w:t>
      </w:r>
      <w:r w:rsidRPr="00E079E7">
        <w:rPr>
          <w:rFonts w:eastAsia="Times New Roman"/>
          <w:lang w:val="es-ES"/>
        </w:rPr>
        <w:t xml:space="preserve"> y que la segunda haría alusión a temas de detenciones ilegales y arbitrarias y de tortura mismos que según el Estado son actos que no fueron practicados en el presente caso, por lo que la declaración testimonial no ofrece aclarar el tema objeto del presente caso</w:t>
      </w:r>
      <w:r w:rsidR="004E734B">
        <w:rPr>
          <w:rFonts w:eastAsia="Times New Roman"/>
          <w:lang w:val="es-ES"/>
        </w:rPr>
        <w:t>.</w:t>
      </w:r>
      <w:r w:rsidR="00773671">
        <w:rPr>
          <w:rFonts w:eastAsia="Times New Roman"/>
          <w:lang w:val="es-ES"/>
        </w:rPr>
        <w:t xml:space="preserve"> </w:t>
      </w:r>
      <w:r w:rsidR="00623D0B">
        <w:rPr>
          <w:rFonts w:eastAsia="Times New Roman"/>
          <w:lang w:val="es-ES"/>
        </w:rPr>
        <w:t>Además, i</w:t>
      </w:r>
      <w:r w:rsidR="00623D0B" w:rsidRPr="00E079E7">
        <w:rPr>
          <w:rFonts w:eastAsia="Times New Roman"/>
          <w:lang w:val="es-ES"/>
        </w:rPr>
        <w:t>ndicó que los testigos únicamente podrán exponer las relaciones con los familiares y los momentos compartidos, no así, los hechos ocurridos en el presente caso</w:t>
      </w:r>
      <w:r w:rsidR="00623D0B">
        <w:rPr>
          <w:rFonts w:eastAsia="Times New Roman"/>
          <w:lang w:val="es-ES"/>
        </w:rPr>
        <w:t>.</w:t>
      </w:r>
      <w:r w:rsidR="00773671" w:rsidRPr="00773671">
        <w:rPr>
          <w:rFonts w:eastAsia="Times New Roman"/>
          <w:b/>
          <w:sz w:val="16"/>
          <w:szCs w:val="16"/>
          <w:lang w:val="es-ES"/>
        </w:rPr>
        <w:t xml:space="preserve"> </w:t>
      </w:r>
      <w:r w:rsidR="004E734B">
        <w:rPr>
          <w:rFonts w:eastAsia="Times New Roman"/>
          <w:lang w:val="es-ES"/>
        </w:rPr>
        <w:t xml:space="preserve">En consecuencia, </w:t>
      </w:r>
      <w:r w:rsidRPr="00E079E7">
        <w:rPr>
          <w:rFonts w:eastAsia="Times New Roman"/>
          <w:lang w:val="es-ES"/>
        </w:rPr>
        <w:t>el Estado solicitó a la Corte denegar dichas declaraciones.</w:t>
      </w:r>
    </w:p>
    <w:p w:rsidR="005D4F3A" w:rsidRPr="00F82D48" w:rsidRDefault="005D4F3A" w:rsidP="00D47E50">
      <w:pPr>
        <w:widowControl w:val="0"/>
        <w:tabs>
          <w:tab w:val="left" w:pos="567"/>
          <w:tab w:val="left" w:pos="810"/>
        </w:tabs>
        <w:autoSpaceDE w:val="0"/>
        <w:autoSpaceDN w:val="0"/>
        <w:adjustRightInd w:val="0"/>
        <w:spacing w:after="0"/>
        <w:ind w:right="22"/>
        <w:rPr>
          <w:rFonts w:eastAsia="Times New Roman"/>
          <w:lang w:val="es-ES"/>
        </w:rPr>
      </w:pPr>
    </w:p>
    <w:p w:rsidR="001B7989" w:rsidRPr="00D71602" w:rsidRDefault="005D4F3A" w:rsidP="009838F5">
      <w:pPr>
        <w:pStyle w:val="ListParagraph"/>
        <w:widowControl w:val="0"/>
        <w:numPr>
          <w:ilvl w:val="0"/>
          <w:numId w:val="2"/>
        </w:numPr>
        <w:tabs>
          <w:tab w:val="left" w:pos="567"/>
          <w:tab w:val="left" w:pos="810"/>
        </w:tabs>
        <w:autoSpaceDE w:val="0"/>
        <w:autoSpaceDN w:val="0"/>
        <w:adjustRightInd w:val="0"/>
        <w:spacing w:after="0"/>
        <w:ind w:right="22"/>
        <w:contextualSpacing w:val="0"/>
        <w:rPr>
          <w:lang w:val="es-ES"/>
        </w:rPr>
      </w:pPr>
      <w:r w:rsidRPr="00D71602">
        <w:rPr>
          <w:lang w:val="es-ES"/>
        </w:rPr>
        <w:t xml:space="preserve">En cuanto a las observaciones del Estado con respecto a </w:t>
      </w:r>
      <w:r w:rsidR="00650863" w:rsidRPr="00D71602">
        <w:rPr>
          <w:lang w:val="es-ES"/>
        </w:rPr>
        <w:t>“</w:t>
      </w:r>
      <w:r w:rsidRPr="00D71602">
        <w:rPr>
          <w:lang w:val="es-ES"/>
        </w:rPr>
        <w:t>las declaraciones que partirán de supuestos f</w:t>
      </w:r>
      <w:r w:rsidR="00F82D48" w:rsidRPr="00D71602">
        <w:rPr>
          <w:lang w:val="es-ES"/>
        </w:rPr>
        <w:t>á</w:t>
      </w:r>
      <w:r w:rsidRPr="00D71602">
        <w:rPr>
          <w:lang w:val="es-ES"/>
        </w:rPr>
        <w:t>cticos que no tiene</w:t>
      </w:r>
      <w:r w:rsidR="00F82D48" w:rsidRPr="00D71602">
        <w:rPr>
          <w:lang w:val="es-ES"/>
        </w:rPr>
        <w:t>n</w:t>
      </w:r>
      <w:r w:rsidRPr="00D71602">
        <w:rPr>
          <w:lang w:val="es-ES"/>
        </w:rPr>
        <w:t xml:space="preserve"> relación con el caso</w:t>
      </w:r>
      <w:r w:rsidR="00650863" w:rsidRPr="00D71602">
        <w:rPr>
          <w:lang w:val="es-ES"/>
        </w:rPr>
        <w:t>”</w:t>
      </w:r>
      <w:r w:rsidR="004E734B" w:rsidRPr="00D71602">
        <w:rPr>
          <w:lang w:val="es-ES"/>
        </w:rPr>
        <w:t>, e</w:t>
      </w:r>
      <w:r w:rsidR="007511E0" w:rsidRPr="00D71602">
        <w:rPr>
          <w:lang w:val="es-ES"/>
        </w:rPr>
        <w:t xml:space="preserve">l Presidente </w:t>
      </w:r>
      <w:r w:rsidRPr="00D71602">
        <w:t>recuerda que corresponderá al Tribunal en el momento procesal oportuno, determinar los hechos del presente caso, así como las consecuencias jurídicas que se deriven de los mismos, luego de considerar los argumentos de las partes y con base a la evaluación de la prueba presentada, según las reglas de la sana crítica</w:t>
      </w:r>
      <w:r w:rsidRPr="00D71602">
        <w:rPr>
          <w:rStyle w:val="FootnoteReference"/>
        </w:rPr>
        <w:footnoteReference w:id="9"/>
      </w:r>
      <w:r w:rsidRPr="00D71602">
        <w:t>. Cuando se ordena recibir una prueba ello no implica una decisión ni un prejuzgamie</w:t>
      </w:r>
      <w:r w:rsidR="00773671" w:rsidRPr="00D71602">
        <w:t>nto en cuanto al fondo del caso</w:t>
      </w:r>
      <w:r w:rsidRPr="00D71602">
        <w:rPr>
          <w:rStyle w:val="FootnoteReference"/>
        </w:rPr>
        <w:footnoteReference w:id="10"/>
      </w:r>
      <w:r w:rsidR="00773671" w:rsidRPr="00D71602">
        <w:t>.</w:t>
      </w:r>
      <w:r w:rsidR="00650863" w:rsidRPr="00D71602">
        <w:t xml:space="preserve"> Con respecto a las observaciones que indican </w:t>
      </w:r>
      <w:r w:rsidR="007F34DA" w:rsidRPr="00D71602">
        <w:t xml:space="preserve">que los testigos </w:t>
      </w:r>
      <w:r w:rsidR="00650863" w:rsidRPr="00D71602">
        <w:t>“</w:t>
      </w:r>
      <w:r w:rsidR="007F34DA" w:rsidRPr="00D71602">
        <w:rPr>
          <w:rFonts w:eastAsia="Times New Roman"/>
          <w:lang w:val="es-ES"/>
        </w:rPr>
        <w:t>únicamente podrán exponer las relaciones con los familiares y los momentos compartidos, no así, los hechos ocurridos en el presente caso”</w:t>
      </w:r>
      <w:r w:rsidR="00650863" w:rsidRPr="00D71602">
        <w:t xml:space="preserve">, </w:t>
      </w:r>
      <w:r w:rsidR="007F34DA" w:rsidRPr="00D71602">
        <w:t xml:space="preserve">esta Presidencia recuerda que </w:t>
      </w:r>
      <w:r w:rsidR="00650863" w:rsidRPr="00D71602">
        <w:t xml:space="preserve">cuando una persona es llamada a declarar como testigo ante la Corte puede referirse a los hechos y circunstancias que le consten en relación </w:t>
      </w:r>
      <w:r w:rsidR="007F34DA" w:rsidRPr="00D71602">
        <w:t>con el objeto de su declaración</w:t>
      </w:r>
      <w:r w:rsidR="007F34DA" w:rsidRPr="00D71602">
        <w:rPr>
          <w:rStyle w:val="FootnoteReference"/>
        </w:rPr>
        <w:footnoteReference w:id="11"/>
      </w:r>
      <w:r w:rsidR="00F82D48" w:rsidRPr="00D71602">
        <w:t>.</w:t>
      </w:r>
    </w:p>
    <w:p w:rsidR="001B7989" w:rsidRPr="001B7989" w:rsidRDefault="001B7989" w:rsidP="001B7989">
      <w:pPr>
        <w:pStyle w:val="ListParagraph"/>
        <w:rPr>
          <w:lang w:val="es-ES"/>
        </w:rPr>
      </w:pPr>
    </w:p>
    <w:p w:rsidR="00FC375C" w:rsidRPr="001B7989" w:rsidRDefault="005D4F3A" w:rsidP="001B7989">
      <w:pPr>
        <w:pStyle w:val="ListParagraph"/>
        <w:widowControl w:val="0"/>
        <w:numPr>
          <w:ilvl w:val="0"/>
          <w:numId w:val="2"/>
        </w:numPr>
        <w:tabs>
          <w:tab w:val="left" w:pos="567"/>
          <w:tab w:val="left" w:pos="810"/>
        </w:tabs>
        <w:autoSpaceDE w:val="0"/>
        <w:autoSpaceDN w:val="0"/>
        <w:adjustRightInd w:val="0"/>
        <w:spacing w:after="0"/>
        <w:ind w:right="22"/>
        <w:contextualSpacing w:val="0"/>
        <w:rPr>
          <w:lang w:val="es-ES"/>
        </w:rPr>
      </w:pPr>
      <w:r w:rsidRPr="001B7989">
        <w:rPr>
          <w:lang w:val="es-ES"/>
        </w:rPr>
        <w:t xml:space="preserve">Asimismo, esta Presidencia </w:t>
      </w:r>
      <w:r w:rsidR="007511E0" w:rsidRPr="001B7989">
        <w:rPr>
          <w:lang w:val="es-ES"/>
        </w:rPr>
        <w:t>estima que lo planteado por el Estado se relaciona con el valor o peso probatorio de los testimonios propuestos en relación con los hechos establecidos en el marco fáctico del presente caso, p</w:t>
      </w:r>
      <w:r w:rsidR="003B2CEB" w:rsidRPr="001B7989">
        <w:rPr>
          <w:lang w:val="es-ES"/>
        </w:rPr>
        <w:t>or lo que</w:t>
      </w:r>
      <w:r w:rsidR="007511E0" w:rsidRPr="001B7989">
        <w:rPr>
          <w:lang w:val="es-ES"/>
        </w:rPr>
        <w:t xml:space="preserve"> no afecta su admisibilidad y eventual valoración por parte de la Corte. </w:t>
      </w:r>
      <w:r w:rsidR="0030713C" w:rsidRPr="001B7989">
        <w:rPr>
          <w:rFonts w:eastAsia="Times New Roman"/>
          <w:lang w:val="es-ES"/>
        </w:rPr>
        <w:t xml:space="preserve">Por ende, esta Presidencia </w:t>
      </w:r>
      <w:r w:rsidR="005415CC" w:rsidRPr="001B7989">
        <w:rPr>
          <w:rFonts w:eastAsia="Times New Roman"/>
          <w:lang w:val="es-ES"/>
        </w:rPr>
        <w:t>admite la prueba testimonial de</w:t>
      </w:r>
      <w:r w:rsidR="0030713C" w:rsidRPr="001B7989">
        <w:rPr>
          <w:rFonts w:eastAsia="Times New Roman"/>
          <w:lang w:val="es-ES"/>
        </w:rPr>
        <w:t xml:space="preserve"> los señores</w:t>
      </w:r>
      <w:r w:rsidR="005415CC" w:rsidRPr="001B7989">
        <w:rPr>
          <w:rFonts w:eastAsia="Times New Roman"/>
          <w:lang w:val="es-ES"/>
        </w:rPr>
        <w:t xml:space="preserve"> Jorge Santos y Benedicto Tenas, según el objeto y modalidad determinados en la parte res</w:t>
      </w:r>
      <w:r w:rsidR="00773671">
        <w:rPr>
          <w:rFonts w:eastAsia="Times New Roman"/>
          <w:lang w:val="es-ES"/>
        </w:rPr>
        <w:t>olutiva de la presente decisión</w:t>
      </w:r>
      <w:r w:rsidR="005415CC" w:rsidRPr="001B7989">
        <w:rPr>
          <w:rFonts w:eastAsia="Times New Roman"/>
          <w:lang w:val="es-ES"/>
        </w:rPr>
        <w:t xml:space="preserve"> </w:t>
      </w:r>
      <w:r w:rsidR="005415CC">
        <w:t>(</w:t>
      </w:r>
      <w:r w:rsidR="005415CC" w:rsidRPr="001B7989">
        <w:rPr>
          <w:i/>
        </w:rPr>
        <w:t>infra</w:t>
      </w:r>
      <w:r w:rsidR="005415CC">
        <w:t xml:space="preserve"> punto</w:t>
      </w:r>
      <w:r w:rsidR="00F06747">
        <w:t>s</w:t>
      </w:r>
      <w:r w:rsidR="005415CC">
        <w:t xml:space="preserve"> resolutivo</w:t>
      </w:r>
      <w:r w:rsidR="00F06747">
        <w:t>s 1 y 4</w:t>
      </w:r>
      <w:r w:rsidR="005415CC">
        <w:t>)</w:t>
      </w:r>
      <w:r w:rsidR="00D47E50">
        <w:rPr>
          <w:rFonts w:eastAsia="Times New Roman"/>
          <w:lang w:val="es-ES"/>
        </w:rPr>
        <w:t>.</w:t>
      </w:r>
      <w:r w:rsidR="007511E0" w:rsidRPr="001B7989">
        <w:rPr>
          <w:rFonts w:eastAsia="Times New Roman"/>
          <w:lang w:val="es-ES"/>
        </w:rPr>
        <w:t xml:space="preserve"> </w:t>
      </w:r>
      <w:r w:rsidR="00D47E50">
        <w:rPr>
          <w:rFonts w:eastAsia="Times New Roman"/>
          <w:lang w:val="es-ES"/>
        </w:rPr>
        <w:t>U</w:t>
      </w:r>
      <w:r w:rsidR="007511E0" w:rsidRPr="001B7989">
        <w:rPr>
          <w:rFonts w:eastAsia="Times New Roman"/>
          <w:lang w:val="es-ES"/>
        </w:rPr>
        <w:t>na vez que esta prueba</w:t>
      </w:r>
      <w:r w:rsidR="00C478A9" w:rsidRPr="001B7989">
        <w:rPr>
          <w:rFonts w:eastAsia="Times New Roman"/>
          <w:lang w:val="es-ES"/>
        </w:rPr>
        <w:t xml:space="preserve"> sea diligenciada</w:t>
      </w:r>
      <w:r w:rsidR="007511E0" w:rsidRPr="001B7989">
        <w:rPr>
          <w:rFonts w:eastAsia="Times New Roman"/>
          <w:lang w:val="es-ES"/>
        </w:rPr>
        <w:t xml:space="preserve">, el Estado tendrá la oportunidad de presentar las observaciones que estime pertinentes. </w:t>
      </w:r>
    </w:p>
    <w:p w:rsidR="003A7F57" w:rsidRPr="0058359E" w:rsidRDefault="003A7F57" w:rsidP="0058359E">
      <w:pPr>
        <w:pStyle w:val="ListParagraph"/>
        <w:widowControl w:val="0"/>
        <w:tabs>
          <w:tab w:val="left" w:pos="567"/>
          <w:tab w:val="left" w:pos="810"/>
        </w:tabs>
        <w:autoSpaceDE w:val="0"/>
        <w:autoSpaceDN w:val="0"/>
        <w:adjustRightInd w:val="0"/>
        <w:spacing w:after="0"/>
        <w:ind w:left="0" w:right="22"/>
        <w:contextualSpacing w:val="0"/>
        <w:rPr>
          <w:rFonts w:eastAsia="Times New Roman"/>
          <w:lang w:val="es-ES"/>
        </w:rPr>
      </w:pPr>
    </w:p>
    <w:p w:rsidR="003A7F57" w:rsidRPr="00BC43CA" w:rsidRDefault="003A7F57" w:rsidP="00BC43CA">
      <w:pPr>
        <w:tabs>
          <w:tab w:val="left" w:pos="0"/>
        </w:tabs>
        <w:autoSpaceDE w:val="0"/>
        <w:autoSpaceDN w:val="0"/>
        <w:adjustRightInd w:val="0"/>
        <w:spacing w:after="0"/>
        <w:ind w:left="360"/>
        <w:rPr>
          <w:rFonts w:eastAsiaTheme="minorHAnsi" w:cs="Arial"/>
          <w:szCs w:val="20"/>
          <w:lang w:val="es-CR" w:eastAsia="en-US"/>
        </w:rPr>
      </w:pPr>
      <w:r w:rsidRPr="00BC43CA">
        <w:rPr>
          <w:rFonts w:eastAsiaTheme="minorHAnsi" w:cs="Arial"/>
          <w:szCs w:val="20"/>
          <w:lang w:val="es-CR" w:eastAsia="en-US"/>
        </w:rPr>
        <w:t xml:space="preserve">A.2. </w:t>
      </w:r>
      <w:r w:rsidRPr="002D5F03">
        <w:rPr>
          <w:rFonts w:eastAsiaTheme="minorHAnsi" w:cs="Arial"/>
          <w:i/>
          <w:szCs w:val="20"/>
          <w:lang w:val="es-CR" w:eastAsia="en-US"/>
        </w:rPr>
        <w:t>Admisibilidad de la prueba pericial ofrecida por las representantes</w:t>
      </w:r>
    </w:p>
    <w:p w:rsidR="007511E0" w:rsidRPr="00E56BED" w:rsidRDefault="007511E0" w:rsidP="007511E0">
      <w:pPr>
        <w:pStyle w:val="ListParagraph"/>
        <w:widowControl w:val="0"/>
        <w:tabs>
          <w:tab w:val="left" w:pos="567"/>
          <w:tab w:val="left" w:pos="810"/>
        </w:tabs>
        <w:autoSpaceDE w:val="0"/>
        <w:autoSpaceDN w:val="0"/>
        <w:adjustRightInd w:val="0"/>
        <w:spacing w:after="0"/>
        <w:ind w:right="22"/>
        <w:contextualSpacing w:val="0"/>
        <w:rPr>
          <w:rFonts w:eastAsia="Times New Roman"/>
          <w:lang w:val="es-ES"/>
        </w:rPr>
      </w:pPr>
    </w:p>
    <w:p w:rsidR="001B4C40" w:rsidRPr="001B4C40" w:rsidRDefault="00296E98" w:rsidP="004E734B">
      <w:pPr>
        <w:pStyle w:val="ListParagraph"/>
        <w:widowControl w:val="0"/>
        <w:numPr>
          <w:ilvl w:val="0"/>
          <w:numId w:val="2"/>
        </w:numPr>
        <w:tabs>
          <w:tab w:val="left" w:pos="567"/>
          <w:tab w:val="left" w:pos="810"/>
        </w:tabs>
        <w:autoSpaceDE w:val="0"/>
        <w:autoSpaceDN w:val="0"/>
        <w:adjustRightInd w:val="0"/>
        <w:spacing w:after="0"/>
        <w:ind w:right="22"/>
        <w:contextualSpacing w:val="0"/>
        <w:rPr>
          <w:rFonts w:eastAsia="Times New Roman"/>
          <w:lang w:val="es-ES"/>
        </w:rPr>
      </w:pPr>
      <w:r>
        <w:rPr>
          <w:rFonts w:eastAsia="Times New Roman"/>
          <w:lang w:val="es-ES"/>
        </w:rPr>
        <w:t xml:space="preserve">En cuanto </w:t>
      </w:r>
      <w:r w:rsidR="007511E0" w:rsidRPr="00ED4787">
        <w:rPr>
          <w:rFonts w:eastAsia="Times New Roman"/>
          <w:lang w:val="es-ES"/>
        </w:rPr>
        <w:t>a la prueba pericial</w:t>
      </w:r>
      <w:r w:rsidR="00FA6043">
        <w:rPr>
          <w:rFonts w:eastAsia="Times New Roman"/>
          <w:lang w:val="es-ES"/>
        </w:rPr>
        <w:t xml:space="preserve">, las </w:t>
      </w:r>
      <w:r w:rsidR="00FA6043" w:rsidRPr="00F92B40">
        <w:rPr>
          <w:rFonts w:eastAsia="Times New Roman"/>
          <w:b/>
          <w:i/>
          <w:lang w:val="es-ES"/>
        </w:rPr>
        <w:t>representantes</w:t>
      </w:r>
      <w:r w:rsidR="00FA6043" w:rsidRPr="00F92B40">
        <w:rPr>
          <w:rFonts w:eastAsia="Times New Roman"/>
          <w:i/>
          <w:lang w:val="es-ES"/>
        </w:rPr>
        <w:t xml:space="preserve"> </w:t>
      </w:r>
      <w:r w:rsidR="00FA6043">
        <w:rPr>
          <w:rFonts w:eastAsia="Times New Roman"/>
          <w:lang w:val="es-ES"/>
        </w:rPr>
        <w:t xml:space="preserve">ofrecieron los dictámenes periciales </w:t>
      </w:r>
      <w:r w:rsidR="007511E0">
        <w:rPr>
          <w:rFonts w:eastAsia="Times New Roman"/>
          <w:lang w:val="es-ES"/>
        </w:rPr>
        <w:t xml:space="preserve">de Lidia </w:t>
      </w:r>
      <w:proofErr w:type="spellStart"/>
      <w:r w:rsidR="007511E0">
        <w:rPr>
          <w:rFonts w:eastAsia="Times New Roman"/>
          <w:lang w:val="es-ES"/>
        </w:rPr>
        <w:t>Gamul</w:t>
      </w:r>
      <w:r w:rsidR="00B83B34">
        <w:rPr>
          <w:rFonts w:eastAsia="Times New Roman"/>
          <w:lang w:val="es-ES"/>
        </w:rPr>
        <w:t>i</w:t>
      </w:r>
      <w:r w:rsidR="007511E0">
        <w:rPr>
          <w:rFonts w:eastAsia="Times New Roman"/>
          <w:lang w:val="es-ES"/>
        </w:rPr>
        <w:t>n</w:t>
      </w:r>
      <w:proofErr w:type="spellEnd"/>
      <w:r w:rsidR="003A7F57">
        <w:rPr>
          <w:rStyle w:val="FootnoteReference"/>
          <w:rFonts w:eastAsia="Times New Roman"/>
          <w:lang w:val="es-ES"/>
        </w:rPr>
        <w:footnoteReference w:id="12"/>
      </w:r>
      <w:r w:rsidR="004E734B">
        <w:rPr>
          <w:rFonts w:eastAsia="Times New Roman"/>
          <w:lang w:val="es-ES"/>
        </w:rPr>
        <w:t xml:space="preserve"> y</w:t>
      </w:r>
      <w:r w:rsidR="00FA6043">
        <w:rPr>
          <w:rFonts w:eastAsia="Times New Roman"/>
          <w:lang w:val="es-ES"/>
        </w:rPr>
        <w:t xml:space="preserve"> </w:t>
      </w:r>
      <w:r w:rsidR="007511E0">
        <w:rPr>
          <w:rFonts w:eastAsia="Times New Roman"/>
          <w:lang w:val="es-ES"/>
        </w:rPr>
        <w:t>Juan Cristóbal Aldana</w:t>
      </w:r>
      <w:r w:rsidR="003A7F57">
        <w:rPr>
          <w:rStyle w:val="FootnoteReference"/>
          <w:rFonts w:eastAsia="Times New Roman"/>
          <w:lang w:val="es-ES"/>
        </w:rPr>
        <w:footnoteReference w:id="13"/>
      </w:r>
      <w:r w:rsidR="003A7F57">
        <w:rPr>
          <w:rFonts w:eastAsia="Times New Roman"/>
          <w:lang w:val="es-ES"/>
        </w:rPr>
        <w:t xml:space="preserve">. </w:t>
      </w:r>
      <w:r w:rsidR="00FA6043" w:rsidRPr="004E734B">
        <w:rPr>
          <w:rFonts w:eastAsia="Times New Roman"/>
          <w:lang w:val="es-ES"/>
        </w:rPr>
        <w:t xml:space="preserve">Sobre estos, </w:t>
      </w:r>
      <w:r w:rsidR="007511E0" w:rsidRPr="004E734B">
        <w:rPr>
          <w:rFonts w:eastAsia="Times New Roman"/>
          <w:lang w:val="es-ES"/>
        </w:rPr>
        <w:t xml:space="preserve">el </w:t>
      </w:r>
      <w:r w:rsidR="007511E0" w:rsidRPr="00F92B40">
        <w:rPr>
          <w:rFonts w:eastAsia="Times New Roman"/>
          <w:b/>
          <w:i/>
          <w:lang w:val="es-ES"/>
        </w:rPr>
        <w:t>Estado</w:t>
      </w:r>
      <w:r w:rsidR="007511E0" w:rsidRPr="00F92B40">
        <w:rPr>
          <w:rFonts w:eastAsia="Times New Roman"/>
          <w:i/>
          <w:lang w:val="es-ES"/>
        </w:rPr>
        <w:t xml:space="preserve"> </w:t>
      </w:r>
      <w:r w:rsidR="007511E0" w:rsidRPr="004E734B">
        <w:rPr>
          <w:rFonts w:eastAsia="Times New Roman"/>
          <w:lang w:val="es-ES"/>
        </w:rPr>
        <w:t>indicó</w:t>
      </w:r>
      <w:r w:rsidR="005C11CB">
        <w:rPr>
          <w:rStyle w:val="FootnoteReference"/>
          <w:rFonts w:eastAsia="Times New Roman"/>
          <w:lang w:val="es-ES"/>
        </w:rPr>
        <w:footnoteReference w:id="14"/>
      </w:r>
      <w:r w:rsidR="007511E0" w:rsidRPr="004E734B">
        <w:rPr>
          <w:rFonts w:eastAsia="Times New Roman"/>
          <w:lang w:val="es-ES"/>
        </w:rPr>
        <w:t xml:space="preserve"> </w:t>
      </w:r>
      <w:r w:rsidR="007511E0" w:rsidRPr="004E734B">
        <w:rPr>
          <w:rFonts w:eastAsia="Times New Roman"/>
          <w:lang w:val="es-ES"/>
        </w:rPr>
        <w:lastRenderedPageBreak/>
        <w:t>que</w:t>
      </w:r>
      <w:r w:rsidR="005415CC" w:rsidRPr="004E734B">
        <w:rPr>
          <w:rFonts w:eastAsia="Times New Roman"/>
          <w:lang w:val="es-ES"/>
        </w:rPr>
        <w:t xml:space="preserve"> dichos profesionales</w:t>
      </w:r>
      <w:r w:rsidR="008E4E68" w:rsidRPr="004E734B">
        <w:rPr>
          <w:rFonts w:eastAsia="Times New Roman"/>
          <w:lang w:val="es-ES"/>
        </w:rPr>
        <w:t xml:space="preserve"> se referirán a los delitos que tanto la Comisión, como los representantes </w:t>
      </w:r>
      <w:r w:rsidR="00D47E50">
        <w:rPr>
          <w:rFonts w:eastAsia="Times New Roman"/>
          <w:lang w:val="es-ES"/>
        </w:rPr>
        <w:t>“</w:t>
      </w:r>
      <w:r w:rsidR="008E4E68" w:rsidRPr="004E734B">
        <w:rPr>
          <w:rFonts w:eastAsia="Times New Roman"/>
          <w:lang w:val="es-ES"/>
        </w:rPr>
        <w:t xml:space="preserve">pretenden imputarle al Estado sin pruebas fehacientes, por lo que </w:t>
      </w:r>
      <w:r w:rsidR="00D47E50">
        <w:rPr>
          <w:rFonts w:eastAsia="Times New Roman"/>
          <w:lang w:val="es-ES"/>
        </w:rPr>
        <w:t>[…]</w:t>
      </w:r>
      <w:r w:rsidR="00691F04">
        <w:rPr>
          <w:rFonts w:eastAsia="Times New Roman"/>
          <w:lang w:val="es-ES"/>
        </w:rPr>
        <w:t xml:space="preserve"> </w:t>
      </w:r>
      <w:r w:rsidR="008E4E68" w:rsidRPr="004E734B">
        <w:rPr>
          <w:rFonts w:eastAsia="Times New Roman"/>
          <w:lang w:val="es-ES"/>
        </w:rPr>
        <w:t>expresarán sus opiniones profesionales respecto a lo que las supuestas víctimas les hicieron saber y/o creer por</w:t>
      </w:r>
      <w:r w:rsidR="007511E0" w:rsidRPr="004E734B">
        <w:rPr>
          <w:rFonts w:eastAsia="Times New Roman"/>
          <w:lang w:val="es-ES"/>
        </w:rPr>
        <w:t xml:space="preserve"> </w:t>
      </w:r>
      <w:r w:rsidR="008E4E68" w:rsidRPr="004E734B">
        <w:rPr>
          <w:rFonts w:eastAsia="Times New Roman"/>
          <w:lang w:val="es-ES"/>
        </w:rPr>
        <w:t>lo</w:t>
      </w:r>
      <w:r w:rsidR="007511E0" w:rsidRPr="004E734B">
        <w:rPr>
          <w:rFonts w:eastAsia="Times New Roman"/>
          <w:lang w:val="es-ES"/>
        </w:rPr>
        <w:t xml:space="preserve"> </w:t>
      </w:r>
      <w:r w:rsidR="008E4E68" w:rsidRPr="004E734B">
        <w:rPr>
          <w:rFonts w:eastAsia="Times New Roman"/>
          <w:lang w:val="es-ES"/>
        </w:rPr>
        <w:t xml:space="preserve">que sus </w:t>
      </w:r>
      <w:r w:rsidR="007511E0" w:rsidRPr="004E734B">
        <w:rPr>
          <w:rFonts w:eastAsia="Times New Roman"/>
          <w:lang w:val="es-ES"/>
        </w:rPr>
        <w:t>peritajes no constituyen</w:t>
      </w:r>
      <w:r w:rsidR="008E4E68" w:rsidRPr="004E734B">
        <w:rPr>
          <w:rFonts w:eastAsia="Times New Roman"/>
          <w:lang w:val="es-ES"/>
        </w:rPr>
        <w:t xml:space="preserve"> prueba fehaciente al respecto</w:t>
      </w:r>
      <w:r w:rsidR="00576B67">
        <w:rPr>
          <w:rFonts w:eastAsia="Times New Roman"/>
          <w:lang w:val="es-ES"/>
        </w:rPr>
        <w:t>”</w:t>
      </w:r>
      <w:r w:rsidR="00814AAE" w:rsidRPr="004E734B">
        <w:rPr>
          <w:rFonts w:eastAsia="Times New Roman"/>
          <w:lang w:val="es-ES"/>
        </w:rPr>
        <w:t>.</w:t>
      </w:r>
      <w:r w:rsidR="004E734B">
        <w:rPr>
          <w:rFonts w:eastAsia="Times New Roman"/>
          <w:lang w:val="es-ES"/>
        </w:rPr>
        <w:t xml:space="preserve"> </w:t>
      </w:r>
      <w:r>
        <w:rPr>
          <w:rFonts w:eastAsia="Times New Roman"/>
          <w:lang w:val="es-ES"/>
        </w:rPr>
        <w:t xml:space="preserve">Además, las </w:t>
      </w:r>
      <w:r w:rsidRPr="009E1A9E">
        <w:rPr>
          <w:rFonts w:eastAsia="Times New Roman"/>
          <w:b/>
          <w:i/>
          <w:lang w:val="es-ES"/>
        </w:rPr>
        <w:t>representantes</w:t>
      </w:r>
      <w:r w:rsidRPr="009E1A9E">
        <w:rPr>
          <w:rFonts w:eastAsia="Times New Roman"/>
          <w:i/>
          <w:lang w:val="es-ES"/>
        </w:rPr>
        <w:t xml:space="preserve"> </w:t>
      </w:r>
      <w:r w:rsidRPr="009E1A9E">
        <w:rPr>
          <w:rFonts w:eastAsia="Times New Roman"/>
          <w:lang w:val="es-ES"/>
        </w:rPr>
        <w:t>ofrecieron los dictámenes</w:t>
      </w:r>
      <w:r w:rsidR="007950FC" w:rsidRPr="009E1A9E">
        <w:rPr>
          <w:rFonts w:eastAsia="Times New Roman"/>
          <w:lang w:val="es-ES"/>
        </w:rPr>
        <w:t xml:space="preserve"> periciales</w:t>
      </w:r>
      <w:r w:rsidRPr="009E1A9E">
        <w:rPr>
          <w:rFonts w:eastAsia="Times New Roman"/>
          <w:lang w:val="es-ES"/>
        </w:rPr>
        <w:t xml:space="preserve"> de los señores </w:t>
      </w:r>
      <w:r w:rsidR="009E1A9E">
        <w:rPr>
          <w:rFonts w:eastAsia="Times New Roman"/>
          <w:lang w:val="es-ES"/>
        </w:rPr>
        <w:t>Leonel González</w:t>
      </w:r>
      <w:r w:rsidR="006E7286" w:rsidRPr="009E1A9E">
        <w:rPr>
          <w:rStyle w:val="FootnoteReference"/>
          <w:rFonts w:eastAsia="Times New Roman"/>
          <w:lang w:val="es-ES"/>
        </w:rPr>
        <w:footnoteReference w:id="15"/>
      </w:r>
      <w:r w:rsidR="00814AAE" w:rsidRPr="009E1A9E">
        <w:rPr>
          <w:rFonts w:eastAsia="Times New Roman"/>
          <w:lang w:val="es-ES"/>
        </w:rPr>
        <w:t xml:space="preserve">, </w:t>
      </w:r>
      <w:r w:rsidR="00A02268" w:rsidRPr="009E1A9E">
        <w:rPr>
          <w:rFonts w:eastAsia="Times New Roman"/>
          <w:lang w:val="es-ES"/>
        </w:rPr>
        <w:t>Edgar Celada</w:t>
      </w:r>
      <w:r w:rsidR="00A02268" w:rsidRPr="009E1A9E">
        <w:rPr>
          <w:rStyle w:val="FootnoteReference"/>
          <w:rFonts w:eastAsia="Times New Roman"/>
          <w:lang w:val="es-ES"/>
        </w:rPr>
        <w:footnoteReference w:id="16"/>
      </w:r>
      <w:r w:rsidR="00A02268" w:rsidRPr="009E1A9E">
        <w:rPr>
          <w:rFonts w:eastAsia="Times New Roman"/>
          <w:lang w:val="es-ES"/>
        </w:rPr>
        <w:t xml:space="preserve">, </w:t>
      </w:r>
      <w:r w:rsidR="00814AAE" w:rsidRPr="009E1A9E">
        <w:rPr>
          <w:rFonts w:eastAsia="Times New Roman"/>
          <w:lang w:val="es-ES"/>
        </w:rPr>
        <w:t>Guillermo</w:t>
      </w:r>
      <w:r w:rsidR="00814AAE" w:rsidRPr="004E734B">
        <w:rPr>
          <w:rFonts w:eastAsia="Times New Roman"/>
          <w:lang w:val="es-ES"/>
        </w:rPr>
        <w:t xml:space="preserve"> </w:t>
      </w:r>
      <w:proofErr w:type="spellStart"/>
      <w:r w:rsidR="00814AAE" w:rsidRPr="004E734B">
        <w:rPr>
          <w:rFonts w:eastAsia="Times New Roman"/>
          <w:lang w:val="es-ES"/>
        </w:rPr>
        <w:t>Austreberto</w:t>
      </w:r>
      <w:proofErr w:type="spellEnd"/>
      <w:r w:rsidR="00814AAE" w:rsidRPr="004E734B">
        <w:rPr>
          <w:rFonts w:eastAsia="Times New Roman"/>
          <w:lang w:val="es-ES"/>
        </w:rPr>
        <w:t xml:space="preserve"> Carranza</w:t>
      </w:r>
      <w:r w:rsidR="003A7F57">
        <w:rPr>
          <w:rStyle w:val="FootnoteReference"/>
          <w:rFonts w:eastAsia="Times New Roman"/>
          <w:lang w:val="es-ES"/>
        </w:rPr>
        <w:footnoteReference w:id="17"/>
      </w:r>
      <w:r w:rsidR="007950FC">
        <w:rPr>
          <w:rFonts w:eastAsia="Times New Roman"/>
          <w:lang w:val="es-ES"/>
        </w:rPr>
        <w:t>, y</w:t>
      </w:r>
      <w:r w:rsidR="00814AAE" w:rsidRPr="004E734B">
        <w:rPr>
          <w:rFonts w:eastAsia="Times New Roman"/>
          <w:lang w:val="es-ES"/>
        </w:rPr>
        <w:t xml:space="preserve"> Jorge de la Peña Martínez</w:t>
      </w:r>
      <w:r w:rsidR="007250EC">
        <w:rPr>
          <w:rStyle w:val="FootnoteReference"/>
          <w:rFonts w:eastAsia="Times New Roman"/>
          <w:lang w:val="es-ES"/>
        </w:rPr>
        <w:footnoteReference w:id="18"/>
      </w:r>
      <w:r>
        <w:rPr>
          <w:rFonts w:eastAsia="Times New Roman"/>
          <w:lang w:val="es-ES"/>
        </w:rPr>
        <w:t>.</w:t>
      </w:r>
      <w:r w:rsidR="00D47E50">
        <w:rPr>
          <w:rFonts w:eastAsia="Times New Roman"/>
          <w:lang w:val="es-ES"/>
        </w:rPr>
        <w:t xml:space="preserve"> En cuanto al ofrecimiento</w:t>
      </w:r>
      <w:r>
        <w:rPr>
          <w:rFonts w:eastAsia="Times New Roman"/>
          <w:lang w:val="es-ES"/>
        </w:rPr>
        <w:t>,</w:t>
      </w:r>
      <w:r w:rsidR="004E734B">
        <w:rPr>
          <w:rFonts w:eastAsia="Times New Roman"/>
          <w:lang w:val="es-ES"/>
        </w:rPr>
        <w:t xml:space="preserve"> el Estado consideró</w:t>
      </w:r>
      <w:r w:rsidR="004C7121" w:rsidRPr="004E734B">
        <w:rPr>
          <w:rFonts w:eastAsia="Times New Roman"/>
          <w:lang w:val="es-ES"/>
        </w:rPr>
        <w:t xml:space="preserve"> que “dichos peritos</w:t>
      </w:r>
      <w:r w:rsidR="007511E0" w:rsidRPr="004E734B">
        <w:rPr>
          <w:rFonts w:eastAsia="Times New Roman"/>
          <w:lang w:val="es-ES"/>
        </w:rPr>
        <w:t xml:space="preserve"> únicamente podrían hacer recomendaciones de</w:t>
      </w:r>
      <w:r w:rsidR="006F7974" w:rsidRPr="004E734B">
        <w:rPr>
          <w:rFonts w:eastAsia="Times New Roman"/>
          <w:lang w:val="es-ES"/>
        </w:rPr>
        <w:t xml:space="preserve"> acuerdo a su </w:t>
      </w:r>
      <w:proofErr w:type="spellStart"/>
      <w:proofErr w:type="gramStart"/>
      <w:r w:rsidR="006F7974" w:rsidRPr="004E734B">
        <w:rPr>
          <w:rFonts w:eastAsia="Times New Roman"/>
          <w:lang w:val="es-ES"/>
        </w:rPr>
        <w:t>experti</w:t>
      </w:r>
      <w:proofErr w:type="spellEnd"/>
      <w:r w:rsidR="007250EC" w:rsidRPr="004E734B">
        <w:rPr>
          <w:rFonts w:eastAsia="Times New Roman"/>
          <w:lang w:val="es-ES"/>
        </w:rPr>
        <w:t>[</w:t>
      </w:r>
      <w:proofErr w:type="spellStart"/>
      <w:proofErr w:type="gramEnd"/>
      <w:r w:rsidR="007250EC" w:rsidRPr="004E734B">
        <w:rPr>
          <w:rFonts w:eastAsia="Times New Roman"/>
          <w:lang w:val="es-ES"/>
        </w:rPr>
        <w:t>cia</w:t>
      </w:r>
      <w:proofErr w:type="spellEnd"/>
      <w:r w:rsidR="007250EC" w:rsidRPr="004E734B">
        <w:rPr>
          <w:rFonts w:eastAsia="Times New Roman"/>
          <w:lang w:val="es-ES"/>
        </w:rPr>
        <w:t>]</w:t>
      </w:r>
      <w:r w:rsidR="007511E0" w:rsidRPr="004E734B">
        <w:rPr>
          <w:rFonts w:eastAsia="Times New Roman"/>
          <w:lang w:val="es-ES"/>
        </w:rPr>
        <w:t xml:space="preserve"> con presunciones de lo ocurrido en el presente caso</w:t>
      </w:r>
      <w:r w:rsidR="00C478A9" w:rsidRPr="004E734B">
        <w:rPr>
          <w:rFonts w:eastAsia="Times New Roman"/>
          <w:lang w:val="es-ES"/>
        </w:rPr>
        <w:t>, ma</w:t>
      </w:r>
      <w:r w:rsidR="006F7974" w:rsidRPr="004E734B">
        <w:rPr>
          <w:rFonts w:eastAsia="Times New Roman"/>
          <w:lang w:val="es-ES"/>
        </w:rPr>
        <w:t xml:space="preserve">s no así, de los hechos reales ocurridos con el señor </w:t>
      </w:r>
      <w:r w:rsidR="009C5FA6">
        <w:rPr>
          <w:rFonts w:eastAsia="Times New Roman"/>
          <w:lang w:val="es-ES"/>
        </w:rPr>
        <w:t>Ruíz</w:t>
      </w:r>
      <w:r w:rsidR="006F7974" w:rsidRPr="004E734B">
        <w:rPr>
          <w:rFonts w:eastAsia="Times New Roman"/>
          <w:lang w:val="es-ES"/>
        </w:rPr>
        <w:t xml:space="preserve"> Fuentes”</w:t>
      </w:r>
      <w:r w:rsidR="004E734B">
        <w:rPr>
          <w:rFonts w:eastAsia="Times New Roman"/>
          <w:lang w:val="es-ES"/>
        </w:rPr>
        <w:t xml:space="preserve">. Lo cual fue reiterado </w:t>
      </w:r>
      <w:r w:rsidR="004E734B">
        <w:rPr>
          <w:lang w:val="es-CR"/>
        </w:rPr>
        <w:t>en su</w:t>
      </w:r>
      <w:r w:rsidR="00D47E50">
        <w:rPr>
          <w:lang w:val="es-CR"/>
        </w:rPr>
        <w:t>s</w:t>
      </w:r>
      <w:r w:rsidR="007E3B7C">
        <w:rPr>
          <w:lang w:val="es-CR"/>
        </w:rPr>
        <w:t xml:space="preserve"> </w:t>
      </w:r>
      <w:r w:rsidR="004E734B">
        <w:rPr>
          <w:lang w:val="es-CR"/>
        </w:rPr>
        <w:t>observaciones a la lista definitiva.</w:t>
      </w:r>
      <w:r w:rsidR="007511E0" w:rsidRPr="004E734B">
        <w:rPr>
          <w:rFonts w:eastAsia="Times New Roman"/>
          <w:lang w:val="es-ES"/>
        </w:rPr>
        <w:t xml:space="preserve"> </w:t>
      </w:r>
      <w:r w:rsidR="004E734B">
        <w:rPr>
          <w:rFonts w:eastAsia="Times New Roman"/>
          <w:lang w:val="es-ES"/>
        </w:rPr>
        <w:t xml:space="preserve">Por lo tanto, el Estado </w:t>
      </w:r>
      <w:r w:rsidR="007511E0" w:rsidRPr="004E734B">
        <w:rPr>
          <w:rFonts w:eastAsia="Times New Roman"/>
          <w:lang w:val="es-ES"/>
        </w:rPr>
        <w:t xml:space="preserve">solicitó a la Corte rechace </w:t>
      </w:r>
      <w:r w:rsidR="004E734B">
        <w:rPr>
          <w:rFonts w:eastAsia="Times New Roman"/>
          <w:lang w:val="es-ES"/>
        </w:rPr>
        <w:t>el ofrecimiento de dichos peritos</w:t>
      </w:r>
      <w:r w:rsidR="007511E0" w:rsidRPr="004E734B">
        <w:rPr>
          <w:rFonts w:eastAsia="Times New Roman"/>
          <w:lang w:val="es-ES"/>
        </w:rPr>
        <w:t xml:space="preserve">. </w:t>
      </w:r>
    </w:p>
    <w:p w:rsidR="006F7974" w:rsidRPr="004E734B" w:rsidRDefault="00A02268" w:rsidP="001B4C40">
      <w:pPr>
        <w:pStyle w:val="ListParagraph"/>
        <w:widowControl w:val="0"/>
        <w:tabs>
          <w:tab w:val="left" w:pos="567"/>
          <w:tab w:val="left" w:pos="810"/>
        </w:tabs>
        <w:autoSpaceDE w:val="0"/>
        <w:autoSpaceDN w:val="0"/>
        <w:adjustRightInd w:val="0"/>
        <w:spacing w:after="0"/>
        <w:ind w:left="0" w:right="22"/>
        <w:contextualSpacing w:val="0"/>
        <w:rPr>
          <w:rFonts w:eastAsia="Times New Roman"/>
          <w:lang w:val="es-ES"/>
        </w:rPr>
      </w:pPr>
      <w:r w:rsidRPr="004E734B">
        <w:rPr>
          <w:b/>
          <w:sz w:val="16"/>
          <w:szCs w:val="16"/>
          <w:lang w:val="es-CR"/>
        </w:rPr>
        <w:t xml:space="preserve"> </w:t>
      </w:r>
    </w:p>
    <w:p w:rsidR="005415CC" w:rsidRDefault="004F6953" w:rsidP="0058359E">
      <w:pPr>
        <w:pStyle w:val="ListParagraph"/>
        <w:widowControl w:val="0"/>
        <w:numPr>
          <w:ilvl w:val="0"/>
          <w:numId w:val="2"/>
        </w:numPr>
        <w:tabs>
          <w:tab w:val="left" w:pos="567"/>
          <w:tab w:val="left" w:pos="810"/>
        </w:tabs>
        <w:ind w:right="22"/>
        <w:rPr>
          <w:lang w:val="es-CR"/>
        </w:rPr>
      </w:pPr>
      <w:r>
        <w:t>C</w:t>
      </w:r>
      <w:r w:rsidR="00D072DF">
        <w:t>on respecto a</w:t>
      </w:r>
      <w:r w:rsidR="005415CC">
        <w:t xml:space="preserve"> la</w:t>
      </w:r>
      <w:r w:rsidR="00D072DF">
        <w:t xml:space="preserve"> </w:t>
      </w:r>
      <w:r w:rsidR="005415CC">
        <w:t>perita</w:t>
      </w:r>
      <w:r w:rsidR="00D072DF">
        <w:t xml:space="preserve"> </w:t>
      </w:r>
      <w:r w:rsidR="00D072DF">
        <w:rPr>
          <w:rFonts w:eastAsia="Times New Roman"/>
          <w:lang w:val="es-ES"/>
        </w:rPr>
        <w:t xml:space="preserve">Lidia </w:t>
      </w:r>
      <w:proofErr w:type="spellStart"/>
      <w:r w:rsidR="00D072DF">
        <w:rPr>
          <w:rFonts w:eastAsia="Times New Roman"/>
          <w:lang w:val="es-ES"/>
        </w:rPr>
        <w:t>Gamul</w:t>
      </w:r>
      <w:r w:rsidR="00B83B34">
        <w:rPr>
          <w:rFonts w:eastAsia="Times New Roman"/>
          <w:lang w:val="es-ES"/>
        </w:rPr>
        <w:t>i</w:t>
      </w:r>
      <w:r w:rsidR="00D072DF">
        <w:rPr>
          <w:rFonts w:eastAsia="Times New Roman"/>
          <w:lang w:val="es-ES"/>
        </w:rPr>
        <w:t>n</w:t>
      </w:r>
      <w:proofErr w:type="spellEnd"/>
      <w:r w:rsidR="00D072DF">
        <w:rPr>
          <w:rFonts w:eastAsia="Times New Roman"/>
          <w:lang w:val="es-ES"/>
        </w:rPr>
        <w:t xml:space="preserve"> </w:t>
      </w:r>
      <w:r w:rsidR="00ED66EB">
        <w:t xml:space="preserve">las representantes en su lista definitiva señalaron que bajo el </w:t>
      </w:r>
      <w:r w:rsidR="00ED66EB">
        <w:rPr>
          <w:lang w:val="es-CR"/>
        </w:rPr>
        <w:t>artículo 46.1 del R</w:t>
      </w:r>
      <w:r w:rsidR="00ED66EB" w:rsidRPr="0058359E">
        <w:rPr>
          <w:lang w:val="es-CR"/>
        </w:rPr>
        <w:t xml:space="preserve">eglamento </w:t>
      </w:r>
      <w:r w:rsidR="00ED66EB">
        <w:rPr>
          <w:lang w:val="es-CR"/>
        </w:rPr>
        <w:t>desistían</w:t>
      </w:r>
      <w:r w:rsidR="003F091C">
        <w:rPr>
          <w:lang w:val="es-CR"/>
        </w:rPr>
        <w:t xml:space="preserve"> de su</w:t>
      </w:r>
      <w:r w:rsidR="00ED66EB" w:rsidRPr="0058359E">
        <w:rPr>
          <w:lang w:val="es-CR"/>
        </w:rPr>
        <w:t xml:space="preserve"> peritaje</w:t>
      </w:r>
      <w:r>
        <w:rPr>
          <w:lang w:val="es-CR"/>
        </w:rPr>
        <w:t>. Esto</w:t>
      </w:r>
      <w:r w:rsidR="00ED66EB" w:rsidRPr="0058359E">
        <w:rPr>
          <w:lang w:val="es-CR"/>
        </w:rPr>
        <w:t xml:space="preserve"> </w:t>
      </w:r>
      <w:r w:rsidR="00ED66EB">
        <w:rPr>
          <w:lang w:val="es-CR"/>
        </w:rPr>
        <w:t xml:space="preserve">debido a que al momento de la presentación del escrito de solicitudes y argumentos, </w:t>
      </w:r>
      <w:r>
        <w:rPr>
          <w:lang w:val="es-CR"/>
        </w:rPr>
        <w:t xml:space="preserve">la señora </w:t>
      </w:r>
      <w:r w:rsidR="00ED66EB">
        <w:rPr>
          <w:lang w:val="es-CR"/>
        </w:rPr>
        <w:t xml:space="preserve">Berta </w:t>
      </w:r>
      <w:r w:rsidR="007B68CC">
        <w:rPr>
          <w:lang w:val="es-CR"/>
        </w:rPr>
        <w:t xml:space="preserve">Isabel </w:t>
      </w:r>
      <w:r w:rsidR="009C5FA6">
        <w:rPr>
          <w:lang w:val="es-CR"/>
        </w:rPr>
        <w:t>Ruíz</w:t>
      </w:r>
      <w:r w:rsidR="00D072DF">
        <w:rPr>
          <w:lang w:val="es-CR"/>
        </w:rPr>
        <w:t xml:space="preserve"> Fuentes,</w:t>
      </w:r>
      <w:r w:rsidR="00ED66EB">
        <w:rPr>
          <w:lang w:val="es-CR"/>
        </w:rPr>
        <w:t xml:space="preserve"> </w:t>
      </w:r>
      <w:r w:rsidR="00D072DF">
        <w:t xml:space="preserve">hermana </w:t>
      </w:r>
      <w:r w:rsidR="00946930">
        <w:t xml:space="preserve">de </w:t>
      </w:r>
      <w:r w:rsidR="00D072DF">
        <w:t xml:space="preserve">la </w:t>
      </w:r>
      <w:r w:rsidR="005415CC">
        <w:t xml:space="preserve">presunta </w:t>
      </w:r>
      <w:r w:rsidR="00D072DF">
        <w:t>víctima</w:t>
      </w:r>
      <w:r w:rsidR="00D072DF">
        <w:rPr>
          <w:lang w:val="es-CR"/>
        </w:rPr>
        <w:t xml:space="preserve">, </w:t>
      </w:r>
      <w:r w:rsidR="00ED66EB">
        <w:rPr>
          <w:lang w:val="es-CR"/>
        </w:rPr>
        <w:t xml:space="preserve">residía en </w:t>
      </w:r>
      <w:r w:rsidR="00D072DF">
        <w:rPr>
          <w:lang w:val="es-CR"/>
        </w:rPr>
        <w:t xml:space="preserve">los </w:t>
      </w:r>
      <w:r w:rsidR="00946930">
        <w:rPr>
          <w:lang w:val="es-CR"/>
        </w:rPr>
        <w:t>Estados Unidos</w:t>
      </w:r>
      <w:r w:rsidR="005415CC">
        <w:rPr>
          <w:lang w:val="es-CR"/>
        </w:rPr>
        <w:t>,</w:t>
      </w:r>
      <w:r w:rsidR="00946930">
        <w:rPr>
          <w:lang w:val="es-CR"/>
        </w:rPr>
        <w:t xml:space="preserve"> sin embargo</w:t>
      </w:r>
      <w:r w:rsidR="00ED66EB">
        <w:rPr>
          <w:lang w:val="es-CR"/>
        </w:rPr>
        <w:t xml:space="preserve"> poco tie</w:t>
      </w:r>
      <w:r w:rsidR="005415CC">
        <w:rPr>
          <w:lang w:val="es-CR"/>
        </w:rPr>
        <w:t>mpo después se trasladó a la Ciu</w:t>
      </w:r>
      <w:r w:rsidR="00ED66EB">
        <w:rPr>
          <w:lang w:val="es-CR"/>
        </w:rPr>
        <w:t xml:space="preserve">dad de </w:t>
      </w:r>
      <w:r w:rsidR="00ED66EB">
        <w:rPr>
          <w:lang w:val="es-CR"/>
        </w:rPr>
        <w:lastRenderedPageBreak/>
        <w:t>Guatemala donde ha permanecido hasta la actualidad, motivo por el cual es “</w:t>
      </w:r>
      <w:r w:rsidR="00ED66EB" w:rsidRPr="0058359E">
        <w:rPr>
          <w:lang w:val="es-CR"/>
        </w:rPr>
        <w:t xml:space="preserve">imposible que la psicoterapeuta antes referida </w:t>
      </w:r>
      <w:r w:rsidR="00ED66EB">
        <w:rPr>
          <w:lang w:val="es-CR"/>
        </w:rPr>
        <w:t>[pueda] realiza[r] el peritaje propuesto”.</w:t>
      </w:r>
      <w:r w:rsidR="007E3B7C">
        <w:rPr>
          <w:lang w:val="es-CR"/>
        </w:rPr>
        <w:t xml:space="preserve"> </w:t>
      </w:r>
      <w:r>
        <w:rPr>
          <w:lang w:val="es-CR"/>
        </w:rPr>
        <w:t>En consideración de lo anterior</w:t>
      </w:r>
      <w:r w:rsidR="005415CC">
        <w:rPr>
          <w:lang w:val="es-CR"/>
        </w:rPr>
        <w:t xml:space="preserve">, esta Presidencia acepta el </w:t>
      </w:r>
      <w:r w:rsidR="005415CC">
        <w:rPr>
          <w:szCs w:val="20"/>
          <w:lang w:val="es-CR"/>
        </w:rPr>
        <w:t>desistimiento de</w:t>
      </w:r>
      <w:r w:rsidR="00326760">
        <w:rPr>
          <w:szCs w:val="20"/>
          <w:lang w:val="es-CR"/>
        </w:rPr>
        <w:t>l peritaje de</w:t>
      </w:r>
      <w:r w:rsidR="005415CC">
        <w:rPr>
          <w:szCs w:val="20"/>
          <w:lang w:val="es-CR"/>
        </w:rPr>
        <w:t xml:space="preserve"> la </w:t>
      </w:r>
      <w:r w:rsidR="00326760">
        <w:rPr>
          <w:szCs w:val="20"/>
          <w:lang w:val="es-CR"/>
        </w:rPr>
        <w:t xml:space="preserve">señora </w:t>
      </w:r>
      <w:r w:rsidR="005415CC">
        <w:rPr>
          <w:szCs w:val="20"/>
          <w:lang w:val="es-CR"/>
        </w:rPr>
        <w:t xml:space="preserve">Lidia </w:t>
      </w:r>
      <w:proofErr w:type="spellStart"/>
      <w:r w:rsidR="005415CC">
        <w:rPr>
          <w:szCs w:val="20"/>
          <w:lang w:val="es-CR"/>
        </w:rPr>
        <w:t>Gamulin</w:t>
      </w:r>
      <w:proofErr w:type="spellEnd"/>
      <w:r w:rsidR="005415CC">
        <w:rPr>
          <w:szCs w:val="20"/>
          <w:lang w:val="es-CR"/>
        </w:rPr>
        <w:t>.</w:t>
      </w:r>
    </w:p>
    <w:p w:rsidR="005415CC" w:rsidRPr="005415CC" w:rsidRDefault="005415CC" w:rsidP="005415CC">
      <w:pPr>
        <w:pStyle w:val="ListParagraph"/>
        <w:rPr>
          <w:lang w:val="es-CR"/>
        </w:rPr>
      </w:pPr>
    </w:p>
    <w:p w:rsidR="00A02268" w:rsidRPr="005415CC" w:rsidRDefault="005415CC" w:rsidP="0058359E">
      <w:pPr>
        <w:pStyle w:val="ListParagraph"/>
        <w:widowControl w:val="0"/>
        <w:numPr>
          <w:ilvl w:val="0"/>
          <w:numId w:val="2"/>
        </w:numPr>
        <w:tabs>
          <w:tab w:val="left" w:pos="567"/>
          <w:tab w:val="left" w:pos="810"/>
        </w:tabs>
        <w:ind w:right="22"/>
        <w:rPr>
          <w:lang w:val="es-CR"/>
        </w:rPr>
      </w:pPr>
      <w:r>
        <w:rPr>
          <w:lang w:val="es-CR"/>
        </w:rPr>
        <w:t xml:space="preserve">Por otro lado, </w:t>
      </w:r>
      <w:r w:rsidR="002F07C5">
        <w:rPr>
          <w:lang w:val="es-CR"/>
        </w:rPr>
        <w:t xml:space="preserve">las representantes </w:t>
      </w:r>
      <w:r w:rsidR="00ED66EB">
        <w:rPr>
          <w:lang w:val="es-CR"/>
        </w:rPr>
        <w:t xml:space="preserve">solicitaron </w:t>
      </w:r>
      <w:r>
        <w:rPr>
          <w:lang w:val="es-CR"/>
        </w:rPr>
        <w:t xml:space="preserve">de conformidad </w:t>
      </w:r>
      <w:r w:rsidR="00D072DF">
        <w:rPr>
          <w:lang w:val="es-CR"/>
        </w:rPr>
        <w:t xml:space="preserve">con el artículo 45.2 del Reglamento </w:t>
      </w:r>
      <w:r w:rsidR="00ED66EB">
        <w:t xml:space="preserve">que el </w:t>
      </w:r>
      <w:r w:rsidR="002F07C5">
        <w:t xml:space="preserve">señor </w:t>
      </w:r>
      <w:r w:rsidR="00FE2ADF">
        <w:t>Juan Cristóbal Aldana pueda ampliar</w:t>
      </w:r>
      <w:r w:rsidR="00ED66EB">
        <w:t xml:space="preserve"> </w:t>
      </w:r>
      <w:r w:rsidR="00D072DF">
        <w:t xml:space="preserve">el objeto de su peritaje </w:t>
      </w:r>
      <w:r w:rsidR="00ED66EB">
        <w:t xml:space="preserve">para </w:t>
      </w:r>
      <w:r w:rsidR="00D072DF">
        <w:t>“</w:t>
      </w:r>
      <w:r w:rsidR="00ED66EB">
        <w:t>cubrir también los efectos psicosociales</w:t>
      </w:r>
      <w:r w:rsidR="00D072DF">
        <w:t xml:space="preserve"> </w:t>
      </w:r>
      <w:r w:rsidR="00ED66EB">
        <w:t>sufridos po</w:t>
      </w:r>
      <w:r w:rsidR="00D072DF">
        <w:t xml:space="preserve">r la señora Berta </w:t>
      </w:r>
      <w:r w:rsidR="007B68CC">
        <w:t xml:space="preserve">Isabel </w:t>
      </w:r>
      <w:r w:rsidR="009C5FA6">
        <w:t>Ruíz</w:t>
      </w:r>
      <w:r w:rsidR="00D072DF">
        <w:t xml:space="preserve"> Fuentes</w:t>
      </w:r>
      <w:r w:rsidR="00ED66EB">
        <w:t>, a raíz de las violaciones</w:t>
      </w:r>
      <w:r w:rsidR="00D072DF">
        <w:rPr>
          <w:lang w:val="es-CR"/>
        </w:rPr>
        <w:t xml:space="preserve"> </w:t>
      </w:r>
      <w:r w:rsidR="00ED66EB">
        <w:t>padecidas, en particular por la tortura de Hugo Humberto, su permanencia prolongada</w:t>
      </w:r>
      <w:r w:rsidR="00D072DF">
        <w:rPr>
          <w:lang w:val="es-CR"/>
        </w:rPr>
        <w:t xml:space="preserve"> </w:t>
      </w:r>
      <w:r w:rsidR="00ED66EB">
        <w:t>en el corredor de la muerte, su posterior ejecución extrajudicial con la participación de</w:t>
      </w:r>
      <w:r w:rsidR="00D072DF">
        <w:rPr>
          <w:lang w:val="es-CR"/>
        </w:rPr>
        <w:t xml:space="preserve"> </w:t>
      </w:r>
      <w:r w:rsidR="00ED66EB">
        <w:t>agentes del Estado y la impunidad en que se mantienen todos los hechos hasta la fecha</w:t>
      </w:r>
      <w:r w:rsidR="00D072DF">
        <w:t>”</w:t>
      </w:r>
      <w:r w:rsidR="00ED66EB">
        <w:t>.</w:t>
      </w:r>
      <w:r w:rsidR="004F6953">
        <w:t xml:space="preserve"> I</w:t>
      </w:r>
      <w:r w:rsidR="00D072DF">
        <w:t xml:space="preserve">ndicaron que la ampliación solicitada pretende trasladar el objeto del peritaje de </w:t>
      </w:r>
      <w:r w:rsidR="007E3B7C">
        <w:t xml:space="preserve">la señora </w:t>
      </w:r>
      <w:r w:rsidR="00D072DF">
        <w:t xml:space="preserve">Lidia </w:t>
      </w:r>
      <w:proofErr w:type="spellStart"/>
      <w:r w:rsidR="00D072DF">
        <w:t>Gamul</w:t>
      </w:r>
      <w:r>
        <w:t>in</w:t>
      </w:r>
      <w:proofErr w:type="spellEnd"/>
      <w:r>
        <w:t xml:space="preserve"> </w:t>
      </w:r>
      <w:r w:rsidR="00B83B34">
        <w:t>al</w:t>
      </w:r>
      <w:r w:rsidR="007E3B7C">
        <w:t xml:space="preserve"> señor </w:t>
      </w:r>
      <w:r>
        <w:t>Juan Cristóbal Aldana.</w:t>
      </w:r>
    </w:p>
    <w:p w:rsidR="00F36F03" w:rsidRPr="00F218AF" w:rsidRDefault="00F36F03" w:rsidP="0058359E">
      <w:pPr>
        <w:pStyle w:val="ListParagraph"/>
        <w:widowControl w:val="0"/>
        <w:tabs>
          <w:tab w:val="left" w:pos="567"/>
          <w:tab w:val="left" w:pos="810"/>
        </w:tabs>
        <w:ind w:left="0" w:right="22"/>
        <w:rPr>
          <w:lang w:val="es-CR"/>
        </w:rPr>
      </w:pPr>
    </w:p>
    <w:p w:rsidR="00946930" w:rsidRPr="0060053B" w:rsidRDefault="004E734B" w:rsidP="002E79C3">
      <w:pPr>
        <w:pStyle w:val="ListParagraph"/>
        <w:widowControl w:val="0"/>
        <w:numPr>
          <w:ilvl w:val="0"/>
          <w:numId w:val="2"/>
        </w:numPr>
        <w:tabs>
          <w:tab w:val="left" w:pos="567"/>
          <w:tab w:val="left" w:pos="810"/>
        </w:tabs>
        <w:autoSpaceDE w:val="0"/>
        <w:autoSpaceDN w:val="0"/>
        <w:adjustRightInd w:val="0"/>
        <w:spacing w:after="0"/>
        <w:ind w:right="22"/>
        <w:contextualSpacing w:val="0"/>
        <w:rPr>
          <w:rFonts w:eastAsia="Times New Roman"/>
          <w:lang w:val="es-ES"/>
        </w:rPr>
      </w:pPr>
      <w:r>
        <w:rPr>
          <w:szCs w:val="20"/>
          <w:lang w:val="es-CR"/>
        </w:rPr>
        <w:t xml:space="preserve">En cuanto </w:t>
      </w:r>
      <w:r w:rsidR="0041416C">
        <w:rPr>
          <w:szCs w:val="20"/>
        </w:rPr>
        <w:t>a</w:t>
      </w:r>
      <w:r w:rsidR="00326760">
        <w:rPr>
          <w:szCs w:val="20"/>
        </w:rPr>
        <w:t xml:space="preserve"> dicha</w:t>
      </w:r>
      <w:r w:rsidR="00946930">
        <w:rPr>
          <w:szCs w:val="20"/>
        </w:rPr>
        <w:t xml:space="preserve"> solicitud de ampliación del objeto de</w:t>
      </w:r>
      <w:r w:rsidR="004F6953">
        <w:rPr>
          <w:szCs w:val="20"/>
        </w:rPr>
        <w:t>l</w:t>
      </w:r>
      <w:r w:rsidR="00946930">
        <w:rPr>
          <w:szCs w:val="20"/>
        </w:rPr>
        <w:t xml:space="preserve"> peritaje de</w:t>
      </w:r>
      <w:r w:rsidR="004F6953">
        <w:rPr>
          <w:szCs w:val="20"/>
        </w:rPr>
        <w:t>l señor</w:t>
      </w:r>
      <w:r w:rsidR="00946930">
        <w:rPr>
          <w:szCs w:val="20"/>
        </w:rPr>
        <w:t xml:space="preserve"> Juan </w:t>
      </w:r>
      <w:r w:rsidR="0041416C">
        <w:rPr>
          <w:szCs w:val="20"/>
        </w:rPr>
        <w:t xml:space="preserve">Cristóbal Aldana, el Presidente </w:t>
      </w:r>
      <w:r w:rsidR="00EC7647">
        <w:rPr>
          <w:szCs w:val="20"/>
        </w:rPr>
        <w:t xml:space="preserve">nota </w:t>
      </w:r>
      <w:r w:rsidR="0041416C">
        <w:rPr>
          <w:szCs w:val="20"/>
        </w:rPr>
        <w:t>que el</w:t>
      </w:r>
      <w:r w:rsidR="00946930">
        <w:rPr>
          <w:szCs w:val="20"/>
        </w:rPr>
        <w:t xml:space="preserve"> objeto </w:t>
      </w:r>
      <w:r w:rsidR="0070677C">
        <w:rPr>
          <w:szCs w:val="20"/>
        </w:rPr>
        <w:t>de</w:t>
      </w:r>
      <w:r w:rsidR="004F6953">
        <w:rPr>
          <w:szCs w:val="20"/>
        </w:rPr>
        <w:t xml:space="preserve"> su</w:t>
      </w:r>
      <w:r w:rsidR="0070677C">
        <w:rPr>
          <w:szCs w:val="20"/>
        </w:rPr>
        <w:t xml:space="preserve"> peritaje </w:t>
      </w:r>
      <w:r w:rsidR="00946930">
        <w:rPr>
          <w:szCs w:val="20"/>
        </w:rPr>
        <w:t>versa</w:t>
      </w:r>
      <w:r w:rsidR="00946930" w:rsidRPr="0053115C">
        <w:rPr>
          <w:szCs w:val="20"/>
        </w:rPr>
        <w:t xml:space="preserve"> sobre los </w:t>
      </w:r>
      <w:r w:rsidR="00946930">
        <w:rPr>
          <w:szCs w:val="20"/>
        </w:rPr>
        <w:t xml:space="preserve">alegados </w:t>
      </w:r>
      <w:r w:rsidR="00946930" w:rsidRPr="0053115C">
        <w:rPr>
          <w:szCs w:val="20"/>
        </w:rPr>
        <w:t>efectos psiquiátricos y psicosociales experimentados por</w:t>
      </w:r>
      <w:r w:rsidR="00946930">
        <w:rPr>
          <w:szCs w:val="20"/>
        </w:rPr>
        <w:t xml:space="preserve"> </w:t>
      </w:r>
      <w:r>
        <w:rPr>
          <w:szCs w:val="20"/>
        </w:rPr>
        <w:t xml:space="preserve">Wendy </w:t>
      </w:r>
      <w:r w:rsidR="007B68CC">
        <w:rPr>
          <w:szCs w:val="20"/>
        </w:rPr>
        <w:t>Est</w:t>
      </w:r>
      <w:r w:rsidR="00702B23">
        <w:rPr>
          <w:szCs w:val="20"/>
        </w:rPr>
        <w:t xml:space="preserve">er </w:t>
      </w:r>
      <w:r w:rsidR="009C5FA6">
        <w:rPr>
          <w:szCs w:val="20"/>
        </w:rPr>
        <w:t>Ruíz</w:t>
      </w:r>
      <w:r>
        <w:rPr>
          <w:szCs w:val="20"/>
        </w:rPr>
        <w:t xml:space="preserve"> </w:t>
      </w:r>
      <w:r w:rsidR="00702B23">
        <w:rPr>
          <w:szCs w:val="20"/>
        </w:rPr>
        <w:t>V</w:t>
      </w:r>
      <w:r w:rsidR="007B68CC">
        <w:rPr>
          <w:szCs w:val="20"/>
        </w:rPr>
        <w:t>el</w:t>
      </w:r>
      <w:r w:rsidR="00702B23">
        <w:rPr>
          <w:szCs w:val="20"/>
        </w:rPr>
        <w:t>ásquez</w:t>
      </w:r>
      <w:r w:rsidR="007B68CC">
        <w:rPr>
          <w:szCs w:val="20"/>
        </w:rPr>
        <w:t>,</w:t>
      </w:r>
      <w:r w:rsidR="00702B23">
        <w:rPr>
          <w:szCs w:val="20"/>
        </w:rPr>
        <w:t xml:space="preserve"> </w:t>
      </w:r>
      <w:r>
        <w:rPr>
          <w:szCs w:val="20"/>
        </w:rPr>
        <w:t>hija</w:t>
      </w:r>
      <w:r w:rsidR="0070677C">
        <w:rPr>
          <w:szCs w:val="20"/>
        </w:rPr>
        <w:t>, y Ana Marina</w:t>
      </w:r>
      <w:r w:rsidR="00C65C2D">
        <w:rPr>
          <w:szCs w:val="20"/>
        </w:rPr>
        <w:t xml:space="preserve"> V</w:t>
      </w:r>
      <w:r w:rsidR="007B68CC">
        <w:rPr>
          <w:szCs w:val="20"/>
        </w:rPr>
        <w:t>el</w:t>
      </w:r>
      <w:r w:rsidR="00C65C2D">
        <w:rPr>
          <w:szCs w:val="20"/>
        </w:rPr>
        <w:t xml:space="preserve">ásquez, pareja de la presunta </w:t>
      </w:r>
      <w:r w:rsidR="0070677C">
        <w:rPr>
          <w:szCs w:val="20"/>
        </w:rPr>
        <w:t xml:space="preserve">víctima, </w:t>
      </w:r>
      <w:r w:rsidR="00946930" w:rsidRPr="0053115C">
        <w:rPr>
          <w:szCs w:val="20"/>
        </w:rPr>
        <w:t xml:space="preserve">producto de las </w:t>
      </w:r>
      <w:r w:rsidR="0041416C">
        <w:rPr>
          <w:szCs w:val="20"/>
        </w:rPr>
        <w:t xml:space="preserve">supuestas </w:t>
      </w:r>
      <w:r w:rsidR="00946930" w:rsidRPr="0053115C">
        <w:rPr>
          <w:szCs w:val="20"/>
        </w:rPr>
        <w:t xml:space="preserve">violaciones padecidas en este caso, </w:t>
      </w:r>
      <w:r w:rsidR="0041416C">
        <w:rPr>
          <w:szCs w:val="20"/>
        </w:rPr>
        <w:t>entre</w:t>
      </w:r>
      <w:r w:rsidR="0070677C">
        <w:rPr>
          <w:szCs w:val="20"/>
        </w:rPr>
        <w:t xml:space="preserve"> las que se encuentran</w:t>
      </w:r>
      <w:r w:rsidR="0041416C">
        <w:rPr>
          <w:szCs w:val="20"/>
        </w:rPr>
        <w:t xml:space="preserve">, la </w:t>
      </w:r>
      <w:r w:rsidR="00946930" w:rsidRPr="0053115C">
        <w:rPr>
          <w:szCs w:val="20"/>
        </w:rPr>
        <w:t>permanenc</w:t>
      </w:r>
      <w:r w:rsidR="0041416C">
        <w:rPr>
          <w:szCs w:val="20"/>
        </w:rPr>
        <w:t>ia en el corredor de la muerte</w:t>
      </w:r>
      <w:r w:rsidR="00C65C2D">
        <w:rPr>
          <w:szCs w:val="20"/>
        </w:rPr>
        <w:t xml:space="preserve"> del señor </w:t>
      </w:r>
      <w:r w:rsidR="009C5FA6">
        <w:rPr>
          <w:szCs w:val="20"/>
        </w:rPr>
        <w:t>Ruíz</w:t>
      </w:r>
      <w:r w:rsidR="00C65C2D">
        <w:rPr>
          <w:szCs w:val="20"/>
        </w:rPr>
        <w:t xml:space="preserve"> Fuentes</w:t>
      </w:r>
      <w:r w:rsidR="0041416C">
        <w:rPr>
          <w:szCs w:val="20"/>
        </w:rPr>
        <w:t>,</w:t>
      </w:r>
      <w:r w:rsidR="00946930" w:rsidRPr="0053115C">
        <w:rPr>
          <w:szCs w:val="20"/>
        </w:rPr>
        <w:t xml:space="preserve"> las </w:t>
      </w:r>
      <w:r w:rsidR="0041416C">
        <w:rPr>
          <w:szCs w:val="20"/>
        </w:rPr>
        <w:t>supuestas</w:t>
      </w:r>
      <w:r w:rsidR="00946930">
        <w:rPr>
          <w:szCs w:val="20"/>
        </w:rPr>
        <w:t xml:space="preserve"> </w:t>
      </w:r>
      <w:r w:rsidR="00946930" w:rsidRPr="0053115C">
        <w:rPr>
          <w:szCs w:val="20"/>
        </w:rPr>
        <w:t>torturas sufridas</w:t>
      </w:r>
      <w:r w:rsidR="00946930">
        <w:rPr>
          <w:szCs w:val="20"/>
        </w:rPr>
        <w:t xml:space="preserve"> </w:t>
      </w:r>
      <w:r w:rsidR="0041416C">
        <w:rPr>
          <w:szCs w:val="20"/>
        </w:rPr>
        <w:t>y su posterior ejecución extrajudicial con la participación de agentes del Estado.</w:t>
      </w:r>
      <w:r w:rsidR="00946930">
        <w:rPr>
          <w:szCs w:val="20"/>
        </w:rPr>
        <w:t xml:space="preserve"> </w:t>
      </w:r>
      <w:r w:rsidR="0041416C">
        <w:rPr>
          <w:szCs w:val="20"/>
        </w:rPr>
        <w:t>Asimismo, advierte que la solicitud de ampliación del ob</w:t>
      </w:r>
      <w:r w:rsidR="0070677C">
        <w:rPr>
          <w:szCs w:val="20"/>
        </w:rPr>
        <w:t xml:space="preserve">jeto versará sobre los efectos psicosociales de Berta </w:t>
      </w:r>
      <w:r w:rsidR="007B68CC">
        <w:rPr>
          <w:szCs w:val="20"/>
        </w:rPr>
        <w:t xml:space="preserve">Isabel </w:t>
      </w:r>
      <w:r w:rsidR="009C5FA6">
        <w:rPr>
          <w:szCs w:val="20"/>
        </w:rPr>
        <w:t>Ruíz</w:t>
      </w:r>
      <w:r w:rsidR="0070677C">
        <w:rPr>
          <w:szCs w:val="20"/>
        </w:rPr>
        <w:t xml:space="preserve"> Fuentes, hermana, a raíz también de las supuestas violaciones anteriormente nombradas, </w:t>
      </w:r>
      <w:r w:rsidR="00C65C2D" w:rsidRPr="00F82D48">
        <w:rPr>
          <w:szCs w:val="20"/>
        </w:rPr>
        <w:t xml:space="preserve">por lo </w:t>
      </w:r>
      <w:r w:rsidR="00EC7647" w:rsidRPr="00F82D48">
        <w:rPr>
          <w:szCs w:val="20"/>
        </w:rPr>
        <w:t xml:space="preserve">que </w:t>
      </w:r>
      <w:r w:rsidR="00C65C2D" w:rsidRPr="00F82D48">
        <w:rPr>
          <w:szCs w:val="20"/>
        </w:rPr>
        <w:t>versa sobre el mismo objeto inicialmente propuesto para</w:t>
      </w:r>
      <w:r w:rsidR="00326760" w:rsidRPr="00F82D48">
        <w:rPr>
          <w:szCs w:val="20"/>
        </w:rPr>
        <w:t xml:space="preserve"> el peritaje de</w:t>
      </w:r>
      <w:r w:rsidR="00C65C2D" w:rsidRPr="00F82D48">
        <w:rPr>
          <w:szCs w:val="20"/>
        </w:rPr>
        <w:t xml:space="preserve"> la señora </w:t>
      </w:r>
      <w:r w:rsidR="00C65C2D" w:rsidRPr="00F82D48">
        <w:rPr>
          <w:rFonts w:eastAsia="Times New Roman"/>
          <w:lang w:val="es-ES"/>
        </w:rPr>
        <w:t xml:space="preserve">Lidia </w:t>
      </w:r>
      <w:proofErr w:type="spellStart"/>
      <w:r w:rsidR="00C65C2D" w:rsidRPr="00F82D48">
        <w:rPr>
          <w:rFonts w:eastAsia="Times New Roman"/>
          <w:lang w:val="es-ES"/>
        </w:rPr>
        <w:t>Gamul</w:t>
      </w:r>
      <w:r w:rsidR="00B83B34">
        <w:rPr>
          <w:rFonts w:eastAsia="Times New Roman"/>
          <w:lang w:val="es-ES"/>
        </w:rPr>
        <w:t>i</w:t>
      </w:r>
      <w:r w:rsidR="00C65C2D" w:rsidRPr="00F82D48">
        <w:rPr>
          <w:rFonts w:eastAsia="Times New Roman"/>
          <w:lang w:val="es-ES"/>
        </w:rPr>
        <w:t>n</w:t>
      </w:r>
      <w:proofErr w:type="spellEnd"/>
      <w:r w:rsidR="0070677C" w:rsidRPr="008C5D88">
        <w:rPr>
          <w:szCs w:val="20"/>
        </w:rPr>
        <w:t>.</w:t>
      </w:r>
      <w:r w:rsidR="0070677C">
        <w:rPr>
          <w:szCs w:val="20"/>
        </w:rPr>
        <w:t xml:space="preserve"> </w:t>
      </w:r>
      <w:r>
        <w:rPr>
          <w:szCs w:val="20"/>
        </w:rPr>
        <w:t>En consecuencia, el Presidente</w:t>
      </w:r>
      <w:r w:rsidR="00946930" w:rsidRPr="0053115C">
        <w:rPr>
          <w:szCs w:val="20"/>
        </w:rPr>
        <w:t xml:space="preserve"> </w:t>
      </w:r>
      <w:r w:rsidR="00C65C2D">
        <w:rPr>
          <w:szCs w:val="20"/>
        </w:rPr>
        <w:t xml:space="preserve">admite el peritaje </w:t>
      </w:r>
      <w:r w:rsidR="0070677C">
        <w:rPr>
          <w:szCs w:val="20"/>
        </w:rPr>
        <w:t>de</w:t>
      </w:r>
      <w:r w:rsidR="00C65C2D">
        <w:rPr>
          <w:szCs w:val="20"/>
        </w:rPr>
        <w:t>l señor</w:t>
      </w:r>
      <w:r w:rsidR="0070677C">
        <w:rPr>
          <w:szCs w:val="20"/>
        </w:rPr>
        <w:t xml:space="preserve"> Juan Cristóbal Aldana</w:t>
      </w:r>
      <w:r w:rsidR="00C65C2D">
        <w:rPr>
          <w:szCs w:val="20"/>
        </w:rPr>
        <w:t>, y a la vez, considera admisible la ampliación del mismo en lo que respecta a</w:t>
      </w:r>
      <w:r w:rsidR="00326760">
        <w:rPr>
          <w:szCs w:val="20"/>
        </w:rPr>
        <w:t>l peritaje sobre</w:t>
      </w:r>
      <w:r w:rsidR="00C65C2D">
        <w:rPr>
          <w:szCs w:val="20"/>
        </w:rPr>
        <w:t xml:space="preserve"> la señora Berta </w:t>
      </w:r>
      <w:r w:rsidR="007B68CC">
        <w:rPr>
          <w:szCs w:val="20"/>
        </w:rPr>
        <w:t xml:space="preserve">Isabel </w:t>
      </w:r>
      <w:r w:rsidR="009C5FA6">
        <w:rPr>
          <w:szCs w:val="20"/>
        </w:rPr>
        <w:t>Ruíz</w:t>
      </w:r>
      <w:r w:rsidR="00C65C2D">
        <w:rPr>
          <w:szCs w:val="20"/>
        </w:rPr>
        <w:t xml:space="preserve"> Fuentes</w:t>
      </w:r>
      <w:r w:rsidR="003F091C">
        <w:rPr>
          <w:szCs w:val="20"/>
        </w:rPr>
        <w:t xml:space="preserve">, </w:t>
      </w:r>
      <w:r w:rsidR="003F091C" w:rsidRPr="00F82D48">
        <w:rPr>
          <w:szCs w:val="20"/>
          <w:lang w:val="es-CR"/>
        </w:rPr>
        <w:t>según el objeto y la m</w:t>
      </w:r>
      <w:r w:rsidR="003F091C">
        <w:rPr>
          <w:szCs w:val="20"/>
          <w:lang w:val="es-CR"/>
        </w:rPr>
        <w:t>odalidad detallados en la parte</w:t>
      </w:r>
      <w:r w:rsidR="003F091C" w:rsidRPr="00F82D48">
        <w:rPr>
          <w:szCs w:val="20"/>
          <w:lang w:val="es-CR"/>
        </w:rPr>
        <w:t xml:space="preserve"> Resolutiva de la presente </w:t>
      </w:r>
      <w:r w:rsidR="003F091C">
        <w:rPr>
          <w:szCs w:val="20"/>
          <w:lang w:val="es-CR"/>
        </w:rPr>
        <w:t xml:space="preserve">Resolución </w:t>
      </w:r>
      <w:r w:rsidR="003F091C" w:rsidRPr="00F82D48">
        <w:rPr>
          <w:szCs w:val="20"/>
          <w:lang w:val="es-CR"/>
        </w:rPr>
        <w:t>(</w:t>
      </w:r>
      <w:r w:rsidR="003F091C" w:rsidRPr="00691F04">
        <w:rPr>
          <w:i/>
          <w:szCs w:val="20"/>
          <w:lang w:val="es-CR"/>
        </w:rPr>
        <w:t>infra</w:t>
      </w:r>
      <w:r w:rsidR="003F091C" w:rsidRPr="00F82D48">
        <w:rPr>
          <w:szCs w:val="20"/>
          <w:lang w:val="es-CR"/>
        </w:rPr>
        <w:t xml:space="preserve"> punto resolutivo</w:t>
      </w:r>
      <w:r w:rsidR="003F091C">
        <w:rPr>
          <w:szCs w:val="20"/>
          <w:lang w:val="es-CR"/>
        </w:rPr>
        <w:t xml:space="preserve"> 4)</w:t>
      </w:r>
      <w:r w:rsidR="0070677C">
        <w:rPr>
          <w:szCs w:val="20"/>
        </w:rPr>
        <w:t xml:space="preserve">. </w:t>
      </w:r>
    </w:p>
    <w:p w:rsidR="0060053B" w:rsidRPr="0058359E" w:rsidRDefault="0060053B" w:rsidP="0060053B">
      <w:pPr>
        <w:pStyle w:val="ListParagraph"/>
        <w:widowControl w:val="0"/>
        <w:tabs>
          <w:tab w:val="left" w:pos="567"/>
          <w:tab w:val="left" w:pos="810"/>
        </w:tabs>
        <w:autoSpaceDE w:val="0"/>
        <w:autoSpaceDN w:val="0"/>
        <w:adjustRightInd w:val="0"/>
        <w:spacing w:after="0"/>
        <w:ind w:left="0" w:right="22"/>
        <w:contextualSpacing w:val="0"/>
        <w:rPr>
          <w:rFonts w:eastAsia="Times New Roman"/>
          <w:lang w:val="es-ES"/>
        </w:rPr>
      </w:pPr>
    </w:p>
    <w:p w:rsidR="001B7989" w:rsidRDefault="001B7989" w:rsidP="001B7989">
      <w:pPr>
        <w:pStyle w:val="ListParagraph"/>
        <w:widowControl w:val="0"/>
        <w:numPr>
          <w:ilvl w:val="0"/>
          <w:numId w:val="2"/>
        </w:numPr>
        <w:tabs>
          <w:tab w:val="left" w:pos="567"/>
          <w:tab w:val="left" w:pos="810"/>
        </w:tabs>
        <w:autoSpaceDE w:val="0"/>
        <w:autoSpaceDN w:val="0"/>
        <w:adjustRightInd w:val="0"/>
        <w:spacing w:after="0"/>
        <w:ind w:right="22"/>
        <w:contextualSpacing w:val="0"/>
        <w:rPr>
          <w:szCs w:val="20"/>
          <w:lang w:val="es-CR"/>
        </w:rPr>
      </w:pPr>
      <w:r w:rsidRPr="00EE6148">
        <w:rPr>
          <w:szCs w:val="20"/>
          <w:lang w:val="es-CR"/>
        </w:rPr>
        <w:t xml:space="preserve">En lo </w:t>
      </w:r>
      <w:r w:rsidR="00827D83">
        <w:rPr>
          <w:szCs w:val="20"/>
          <w:lang w:val="es-CR"/>
        </w:rPr>
        <w:t>referente</w:t>
      </w:r>
      <w:r w:rsidRPr="00EE6148">
        <w:rPr>
          <w:szCs w:val="20"/>
          <w:lang w:val="es-CR"/>
        </w:rPr>
        <w:t xml:space="preserve"> a</w:t>
      </w:r>
      <w:r w:rsidRPr="00B57548">
        <w:rPr>
          <w:szCs w:val="20"/>
          <w:lang w:val="es-CR"/>
        </w:rPr>
        <w:t>l ofrecimiento de</w:t>
      </w:r>
      <w:r>
        <w:rPr>
          <w:szCs w:val="20"/>
          <w:lang w:val="es-CR"/>
        </w:rPr>
        <w:t>l</w:t>
      </w:r>
      <w:r w:rsidRPr="00F82D48">
        <w:rPr>
          <w:szCs w:val="20"/>
          <w:lang w:val="es-CR"/>
        </w:rPr>
        <w:t xml:space="preserve"> </w:t>
      </w:r>
      <w:r w:rsidRPr="00B57548">
        <w:rPr>
          <w:szCs w:val="20"/>
          <w:lang w:val="es-CR"/>
        </w:rPr>
        <w:t>dictamen</w:t>
      </w:r>
      <w:r w:rsidRPr="00F82D48">
        <w:rPr>
          <w:szCs w:val="20"/>
          <w:lang w:val="es-CR"/>
        </w:rPr>
        <w:t xml:space="preserve"> pericial de</w:t>
      </w:r>
      <w:r>
        <w:rPr>
          <w:szCs w:val="20"/>
          <w:lang w:val="es-CR"/>
        </w:rPr>
        <w:t>l</w:t>
      </w:r>
      <w:r w:rsidRPr="00F82D48">
        <w:rPr>
          <w:szCs w:val="20"/>
          <w:lang w:val="es-CR"/>
        </w:rPr>
        <w:t xml:space="preserve"> señor Leonel Gonzále</w:t>
      </w:r>
      <w:r w:rsidR="00897D41">
        <w:rPr>
          <w:szCs w:val="20"/>
          <w:lang w:val="es-CR"/>
        </w:rPr>
        <w:t>z</w:t>
      </w:r>
      <w:r>
        <w:rPr>
          <w:szCs w:val="20"/>
          <w:lang w:val="es-CR"/>
        </w:rPr>
        <w:t>,</w:t>
      </w:r>
      <w:r w:rsidRPr="00F82D48">
        <w:rPr>
          <w:szCs w:val="20"/>
          <w:lang w:val="es-CR"/>
        </w:rPr>
        <w:t xml:space="preserve"> esta Presidencia considera que en razón de </w:t>
      </w:r>
      <w:r>
        <w:rPr>
          <w:szCs w:val="20"/>
          <w:lang w:val="es-CR"/>
        </w:rPr>
        <w:t xml:space="preserve">la importancia </w:t>
      </w:r>
      <w:r w:rsidRPr="00F82D48">
        <w:rPr>
          <w:szCs w:val="20"/>
          <w:lang w:val="es-CR"/>
        </w:rPr>
        <w:t xml:space="preserve">para comprender en su integridad el expediente del proceso judicial </w:t>
      </w:r>
      <w:r>
        <w:rPr>
          <w:szCs w:val="20"/>
          <w:lang w:val="es-CR"/>
        </w:rPr>
        <w:t xml:space="preserve">que condenó a muerte al señor </w:t>
      </w:r>
      <w:r w:rsidR="009C5FA6">
        <w:rPr>
          <w:szCs w:val="20"/>
          <w:lang w:val="es-CR"/>
        </w:rPr>
        <w:t>Ruíz</w:t>
      </w:r>
      <w:r>
        <w:rPr>
          <w:szCs w:val="20"/>
          <w:lang w:val="es-CR"/>
        </w:rPr>
        <w:t xml:space="preserve"> Fuentes, mismo que abarcaría los problemas jurídicos que se desprenden del presente caso y sus consecuencias, </w:t>
      </w:r>
      <w:r w:rsidRPr="00B57548">
        <w:rPr>
          <w:szCs w:val="20"/>
          <w:lang w:val="es-CR"/>
        </w:rPr>
        <w:t xml:space="preserve">esta Presidencia </w:t>
      </w:r>
      <w:r>
        <w:rPr>
          <w:szCs w:val="20"/>
          <w:lang w:val="es-CR"/>
        </w:rPr>
        <w:t>estima</w:t>
      </w:r>
      <w:r w:rsidRPr="00F82D48">
        <w:rPr>
          <w:szCs w:val="20"/>
          <w:lang w:val="es-CR"/>
        </w:rPr>
        <w:t xml:space="preserve"> oportuno</w:t>
      </w:r>
      <w:r w:rsidRPr="00A23AE5">
        <w:rPr>
          <w:szCs w:val="20"/>
          <w:lang w:val="es-CR"/>
        </w:rPr>
        <w:t xml:space="preserve"> admitir</w:t>
      </w:r>
      <w:r>
        <w:rPr>
          <w:szCs w:val="20"/>
          <w:lang w:val="es-CR"/>
        </w:rPr>
        <w:t xml:space="preserve"> este dictamen pericial</w:t>
      </w:r>
      <w:r w:rsidRPr="00F82D48">
        <w:rPr>
          <w:szCs w:val="20"/>
          <w:lang w:val="es-CR"/>
        </w:rPr>
        <w:t xml:space="preserve"> según el objeto y la m</w:t>
      </w:r>
      <w:r w:rsidR="003F091C">
        <w:rPr>
          <w:szCs w:val="20"/>
          <w:lang w:val="es-CR"/>
        </w:rPr>
        <w:t>odalidad detallados en la parte</w:t>
      </w:r>
      <w:r w:rsidRPr="00F82D48">
        <w:rPr>
          <w:szCs w:val="20"/>
          <w:lang w:val="es-CR"/>
        </w:rPr>
        <w:t xml:space="preserve"> Resolutiva de la presente </w:t>
      </w:r>
      <w:r w:rsidR="003F091C">
        <w:rPr>
          <w:szCs w:val="20"/>
          <w:lang w:val="es-CR"/>
        </w:rPr>
        <w:t xml:space="preserve">Resolución </w:t>
      </w:r>
      <w:r w:rsidRPr="00F82D48">
        <w:rPr>
          <w:szCs w:val="20"/>
          <w:lang w:val="es-CR"/>
        </w:rPr>
        <w:t>(</w:t>
      </w:r>
      <w:r w:rsidRPr="00691F04">
        <w:rPr>
          <w:i/>
          <w:szCs w:val="20"/>
          <w:lang w:val="es-CR"/>
        </w:rPr>
        <w:t>infra</w:t>
      </w:r>
      <w:r w:rsidRPr="00F82D48">
        <w:rPr>
          <w:szCs w:val="20"/>
          <w:lang w:val="es-CR"/>
        </w:rPr>
        <w:t xml:space="preserve"> punto resolutivo</w:t>
      </w:r>
      <w:r w:rsidR="00F06747">
        <w:rPr>
          <w:szCs w:val="20"/>
          <w:lang w:val="es-CR"/>
        </w:rPr>
        <w:t xml:space="preserve"> 4</w:t>
      </w:r>
      <w:r w:rsidRPr="00F82D48">
        <w:rPr>
          <w:szCs w:val="20"/>
          <w:lang w:val="es-CR"/>
        </w:rPr>
        <w:t xml:space="preserve">). </w:t>
      </w:r>
    </w:p>
    <w:p w:rsidR="001B7989" w:rsidRDefault="001B7989" w:rsidP="001B7989">
      <w:pPr>
        <w:pStyle w:val="ListParagraph"/>
        <w:widowControl w:val="0"/>
        <w:tabs>
          <w:tab w:val="left" w:pos="567"/>
          <w:tab w:val="left" w:pos="810"/>
        </w:tabs>
        <w:autoSpaceDE w:val="0"/>
        <w:autoSpaceDN w:val="0"/>
        <w:adjustRightInd w:val="0"/>
        <w:spacing w:after="0"/>
        <w:ind w:left="0" w:right="22"/>
        <w:contextualSpacing w:val="0"/>
        <w:rPr>
          <w:szCs w:val="20"/>
          <w:lang w:val="es-CR"/>
        </w:rPr>
      </w:pPr>
    </w:p>
    <w:p w:rsidR="00E674E3" w:rsidRPr="00E674E3" w:rsidRDefault="00CB76DC" w:rsidP="00CB76DC">
      <w:pPr>
        <w:pStyle w:val="ListParagraph"/>
        <w:widowControl w:val="0"/>
        <w:numPr>
          <w:ilvl w:val="0"/>
          <w:numId w:val="2"/>
        </w:numPr>
        <w:tabs>
          <w:tab w:val="left" w:pos="567"/>
          <w:tab w:val="left" w:pos="810"/>
        </w:tabs>
        <w:autoSpaceDE w:val="0"/>
        <w:autoSpaceDN w:val="0"/>
        <w:adjustRightInd w:val="0"/>
        <w:spacing w:after="0"/>
        <w:ind w:right="22"/>
        <w:contextualSpacing w:val="0"/>
        <w:rPr>
          <w:szCs w:val="20"/>
          <w:lang w:val="es-CR"/>
        </w:rPr>
      </w:pPr>
      <w:r w:rsidRPr="009E1A9E">
        <w:rPr>
          <w:szCs w:val="20"/>
          <w:lang w:val="es-CR"/>
        </w:rPr>
        <w:t xml:space="preserve">En lo que respecta al ofrecimiento pericial del señor </w:t>
      </w:r>
      <w:r w:rsidRPr="009E1A9E">
        <w:rPr>
          <w:rFonts w:eastAsia="Times New Roman"/>
          <w:lang w:val="es-ES"/>
        </w:rPr>
        <w:t xml:space="preserve">Guillermo </w:t>
      </w:r>
      <w:proofErr w:type="spellStart"/>
      <w:r w:rsidRPr="009E1A9E">
        <w:rPr>
          <w:rFonts w:eastAsia="Times New Roman"/>
          <w:lang w:val="es-ES"/>
        </w:rPr>
        <w:t>Austrebe</w:t>
      </w:r>
      <w:r w:rsidR="00E674E3">
        <w:rPr>
          <w:rFonts w:eastAsia="Times New Roman"/>
          <w:lang w:val="es-ES"/>
        </w:rPr>
        <w:t>rto</w:t>
      </w:r>
      <w:proofErr w:type="spellEnd"/>
      <w:r w:rsidR="00E674E3">
        <w:rPr>
          <w:rFonts w:eastAsia="Times New Roman"/>
          <w:lang w:val="es-ES"/>
        </w:rPr>
        <w:t xml:space="preserve"> Carranza, esta Presidencia </w:t>
      </w:r>
      <w:r w:rsidRPr="009E1A9E">
        <w:rPr>
          <w:rFonts w:eastAsia="Times New Roman"/>
          <w:lang w:val="es-ES"/>
        </w:rPr>
        <w:t>por ser un peritaje de importancia para la resolución del presente caso</w:t>
      </w:r>
      <w:r>
        <w:rPr>
          <w:rFonts w:eastAsia="Times New Roman"/>
          <w:lang w:val="es-ES"/>
        </w:rPr>
        <w:t xml:space="preserve">, mismo que pretende hacer un análisis de las constancias que reposan en el expediente acerca de las primeras diligencias de investigación sobre la alegada ejecución del señor </w:t>
      </w:r>
      <w:r w:rsidR="009C5FA6">
        <w:rPr>
          <w:rFonts w:eastAsia="Times New Roman"/>
          <w:lang w:val="es-ES"/>
        </w:rPr>
        <w:t>Ruíz</w:t>
      </w:r>
      <w:r>
        <w:rPr>
          <w:rFonts w:eastAsia="Times New Roman"/>
          <w:lang w:val="es-ES"/>
        </w:rPr>
        <w:t xml:space="preserve"> Fuentes y sobre las alegadas agresiones sufr</w:t>
      </w:r>
      <w:r w:rsidR="004218D7">
        <w:rPr>
          <w:rFonts w:eastAsia="Times New Roman"/>
          <w:lang w:val="es-ES"/>
        </w:rPr>
        <w:t>idas al momento de su detención</w:t>
      </w:r>
      <w:r>
        <w:rPr>
          <w:rFonts w:eastAsia="Times New Roman"/>
          <w:lang w:val="es-ES"/>
        </w:rPr>
        <w:t xml:space="preserve">, </w:t>
      </w:r>
      <w:r w:rsidRPr="009E1A9E">
        <w:rPr>
          <w:rFonts w:eastAsia="Times New Roman"/>
          <w:lang w:val="es-ES"/>
        </w:rPr>
        <w:t>admite el mismo siempre que se refiera estrictamente al</w:t>
      </w:r>
      <w:r w:rsidRPr="009E1A9E">
        <w:rPr>
          <w:szCs w:val="20"/>
          <w:lang w:val="es-CR"/>
        </w:rPr>
        <w:t xml:space="preserve"> objeto y la modalidad detallados en la parte Resolutiva de la presente</w:t>
      </w:r>
      <w:r>
        <w:rPr>
          <w:szCs w:val="20"/>
          <w:lang w:val="es-CR"/>
        </w:rPr>
        <w:t xml:space="preserve"> Resolución</w:t>
      </w:r>
      <w:r w:rsidRPr="009E1A9E">
        <w:rPr>
          <w:szCs w:val="20"/>
          <w:lang w:val="es-CR"/>
        </w:rPr>
        <w:t xml:space="preserve"> (</w:t>
      </w:r>
      <w:r w:rsidRPr="009E1A9E">
        <w:rPr>
          <w:i/>
          <w:szCs w:val="20"/>
          <w:lang w:val="es-CR"/>
        </w:rPr>
        <w:t>infra</w:t>
      </w:r>
      <w:r w:rsidRPr="009E1A9E">
        <w:rPr>
          <w:szCs w:val="20"/>
          <w:lang w:val="es-CR"/>
        </w:rPr>
        <w:t xml:space="preserve"> punto resolutivo </w:t>
      </w:r>
      <w:r w:rsidR="00125C39">
        <w:rPr>
          <w:szCs w:val="20"/>
          <w:lang w:val="es-CR"/>
        </w:rPr>
        <w:t>1</w:t>
      </w:r>
      <w:r w:rsidR="00125C39" w:rsidRPr="009E1A9E">
        <w:rPr>
          <w:szCs w:val="20"/>
          <w:lang w:val="es-CR"/>
        </w:rPr>
        <w:t xml:space="preserve">). </w:t>
      </w:r>
    </w:p>
    <w:p w:rsidR="00E674E3" w:rsidRPr="00E674E3" w:rsidRDefault="00E674E3" w:rsidP="00E674E3">
      <w:pPr>
        <w:pStyle w:val="ListParagraph"/>
        <w:rPr>
          <w:rFonts w:eastAsia="Times New Roman"/>
          <w:lang w:val="es-ES"/>
        </w:rPr>
      </w:pPr>
    </w:p>
    <w:p w:rsidR="00CB76DC" w:rsidRPr="00F82D48" w:rsidRDefault="00CB76DC" w:rsidP="00CB76DC">
      <w:pPr>
        <w:pStyle w:val="ListParagraph"/>
        <w:widowControl w:val="0"/>
        <w:numPr>
          <w:ilvl w:val="0"/>
          <w:numId w:val="2"/>
        </w:numPr>
        <w:tabs>
          <w:tab w:val="left" w:pos="567"/>
          <w:tab w:val="left" w:pos="810"/>
        </w:tabs>
        <w:autoSpaceDE w:val="0"/>
        <w:autoSpaceDN w:val="0"/>
        <w:adjustRightInd w:val="0"/>
        <w:spacing w:after="0"/>
        <w:ind w:right="22"/>
        <w:contextualSpacing w:val="0"/>
        <w:rPr>
          <w:szCs w:val="20"/>
          <w:lang w:val="es-CR"/>
        </w:rPr>
      </w:pPr>
      <w:r>
        <w:rPr>
          <w:rFonts w:eastAsia="Times New Roman"/>
          <w:lang w:val="es-ES"/>
        </w:rPr>
        <w:t xml:space="preserve">Con respecto, al ofrecimiento pericial del señor </w:t>
      </w:r>
      <w:r w:rsidRPr="00326760">
        <w:rPr>
          <w:rFonts w:eastAsia="Times New Roman"/>
          <w:lang w:val="es-ES"/>
        </w:rPr>
        <w:t xml:space="preserve">Edgar </w:t>
      </w:r>
      <w:r>
        <w:rPr>
          <w:rFonts w:eastAsia="Times New Roman"/>
          <w:lang w:val="es-ES"/>
        </w:rPr>
        <w:t xml:space="preserve">René </w:t>
      </w:r>
      <w:r w:rsidRPr="00326760">
        <w:rPr>
          <w:rFonts w:eastAsia="Times New Roman"/>
          <w:lang w:val="es-ES"/>
        </w:rPr>
        <w:t>Celada</w:t>
      </w:r>
      <w:r>
        <w:rPr>
          <w:rFonts w:eastAsia="Times New Roman"/>
          <w:lang w:val="es-ES"/>
        </w:rPr>
        <w:t xml:space="preserve"> Quezada</w:t>
      </w:r>
      <w:r w:rsidRPr="00326760">
        <w:rPr>
          <w:rFonts w:eastAsia="Times New Roman"/>
          <w:lang w:val="es-ES"/>
        </w:rPr>
        <w:t>,</w:t>
      </w:r>
      <w:r>
        <w:rPr>
          <w:rFonts w:eastAsia="Times New Roman"/>
          <w:lang w:val="es-ES"/>
        </w:rPr>
        <w:t xml:space="preserve"> que en razón de su relevancia para conocer el funcionamiento de la Policía Nacional Civil de Guatemala y sus problemas estructurales, dado que en el presente caso se alega la participación de la misma en la alegada ejecución extrajudicial del señor </w:t>
      </w:r>
      <w:r w:rsidR="009C5FA6">
        <w:rPr>
          <w:rFonts w:cs="Times New Roman"/>
          <w:color w:val="292929"/>
          <w:szCs w:val="20"/>
          <w:lang w:val="es-PE"/>
        </w:rPr>
        <w:t>Ruíz</w:t>
      </w:r>
      <w:r>
        <w:rPr>
          <w:rFonts w:cs="Times New Roman"/>
          <w:color w:val="292929"/>
          <w:szCs w:val="20"/>
          <w:lang w:val="es-PE"/>
        </w:rPr>
        <w:t xml:space="preserve"> Fuentes en el marco del operativo de recaptura “Plan Gavilán”</w:t>
      </w:r>
      <w:r>
        <w:rPr>
          <w:rFonts w:eastAsia="Times New Roman"/>
          <w:lang w:val="es-ES"/>
        </w:rPr>
        <w:t xml:space="preserve">, esta Presidencia </w:t>
      </w:r>
      <w:r w:rsidRPr="00D562CD">
        <w:rPr>
          <w:szCs w:val="20"/>
          <w:lang w:val="es-CR"/>
        </w:rPr>
        <w:t xml:space="preserve">considera </w:t>
      </w:r>
      <w:r w:rsidRPr="00D562CD">
        <w:rPr>
          <w:szCs w:val="20"/>
          <w:lang w:val="es-CR"/>
        </w:rPr>
        <w:lastRenderedPageBreak/>
        <w:t>oportuno</w:t>
      </w:r>
      <w:r w:rsidRPr="00A23AE5">
        <w:rPr>
          <w:szCs w:val="20"/>
          <w:lang w:val="es-CR"/>
        </w:rPr>
        <w:t xml:space="preserve"> admitir</w:t>
      </w:r>
      <w:r>
        <w:rPr>
          <w:szCs w:val="20"/>
          <w:lang w:val="es-CR"/>
        </w:rPr>
        <w:t xml:space="preserve"> la misma</w:t>
      </w:r>
      <w:r w:rsidRPr="00D562CD">
        <w:rPr>
          <w:szCs w:val="20"/>
          <w:lang w:val="es-CR"/>
        </w:rPr>
        <w:t xml:space="preserve"> según el objeto y la modalidad detallados en la partes Resolutiva de la presente (</w:t>
      </w:r>
      <w:r w:rsidRPr="00F06747">
        <w:rPr>
          <w:i/>
          <w:szCs w:val="20"/>
          <w:lang w:val="es-CR"/>
        </w:rPr>
        <w:t>infra</w:t>
      </w:r>
      <w:r w:rsidRPr="00D562CD">
        <w:rPr>
          <w:szCs w:val="20"/>
          <w:lang w:val="es-CR"/>
        </w:rPr>
        <w:t xml:space="preserve"> punto resolutivo</w:t>
      </w:r>
      <w:r w:rsidRPr="00A23AE5">
        <w:rPr>
          <w:szCs w:val="20"/>
          <w:lang w:val="es-CR"/>
        </w:rPr>
        <w:t xml:space="preserve"> </w:t>
      </w:r>
      <w:r w:rsidR="00F06747">
        <w:rPr>
          <w:szCs w:val="20"/>
          <w:lang w:val="es-CR"/>
        </w:rPr>
        <w:t>4</w:t>
      </w:r>
      <w:r w:rsidR="00897AA4" w:rsidRPr="00D562CD">
        <w:rPr>
          <w:szCs w:val="20"/>
          <w:lang w:val="es-CR"/>
        </w:rPr>
        <w:t xml:space="preserve">). </w:t>
      </w:r>
    </w:p>
    <w:p w:rsidR="00EF5AC1" w:rsidRPr="00CB76DC" w:rsidRDefault="00EF5AC1" w:rsidP="00F82D48">
      <w:pPr>
        <w:pStyle w:val="ListParagraph"/>
        <w:rPr>
          <w:rFonts w:eastAsia="Times New Roman"/>
          <w:lang w:val="es-CR"/>
        </w:rPr>
      </w:pPr>
    </w:p>
    <w:p w:rsidR="009E1A9E" w:rsidRPr="00691F04" w:rsidRDefault="00B57548" w:rsidP="006B1A85">
      <w:pPr>
        <w:pStyle w:val="ListParagraph"/>
        <w:widowControl w:val="0"/>
        <w:numPr>
          <w:ilvl w:val="0"/>
          <w:numId w:val="2"/>
        </w:numPr>
        <w:tabs>
          <w:tab w:val="left" w:pos="567"/>
          <w:tab w:val="left" w:pos="810"/>
        </w:tabs>
        <w:autoSpaceDE w:val="0"/>
        <w:autoSpaceDN w:val="0"/>
        <w:adjustRightInd w:val="0"/>
        <w:spacing w:after="0"/>
        <w:ind w:right="22"/>
        <w:contextualSpacing w:val="0"/>
        <w:rPr>
          <w:szCs w:val="20"/>
          <w:lang w:val="es-CR"/>
        </w:rPr>
      </w:pPr>
      <w:r>
        <w:rPr>
          <w:rFonts w:eastAsia="Times New Roman"/>
          <w:lang w:val="es-ES"/>
        </w:rPr>
        <w:t xml:space="preserve">Por último, </w:t>
      </w:r>
      <w:r w:rsidR="00EE6148">
        <w:rPr>
          <w:rFonts w:eastAsia="Times New Roman"/>
          <w:lang w:val="es-ES"/>
        </w:rPr>
        <w:t xml:space="preserve">en lo que respecta al </w:t>
      </w:r>
      <w:r w:rsidR="00921888">
        <w:rPr>
          <w:rFonts w:eastAsia="Times New Roman"/>
          <w:lang w:val="es-ES"/>
        </w:rPr>
        <w:t xml:space="preserve">peritaje </w:t>
      </w:r>
      <w:r w:rsidR="00EE6148">
        <w:rPr>
          <w:rFonts w:eastAsia="Times New Roman"/>
          <w:lang w:val="es-ES"/>
        </w:rPr>
        <w:t xml:space="preserve">del señor </w:t>
      </w:r>
      <w:r w:rsidR="00F36F03" w:rsidRPr="00326760">
        <w:rPr>
          <w:rFonts w:eastAsia="Times New Roman"/>
          <w:lang w:val="es-ES"/>
        </w:rPr>
        <w:t>Jorge de la Peña Martínez</w:t>
      </w:r>
      <w:r w:rsidR="00EE6148">
        <w:rPr>
          <w:rFonts w:eastAsia="Times New Roman"/>
          <w:lang w:val="es-ES"/>
        </w:rPr>
        <w:t>, mismo que versara sobre la implementación del Protocolo de Estambul</w:t>
      </w:r>
      <w:r w:rsidR="00921888">
        <w:rPr>
          <w:rFonts w:eastAsia="Times New Roman"/>
          <w:lang w:val="es-ES"/>
        </w:rPr>
        <w:t xml:space="preserve"> en las realización de las investigaciones en casos de tortura y la adecuada implementación de la I</w:t>
      </w:r>
      <w:r w:rsidR="00921888" w:rsidRPr="00921888">
        <w:rPr>
          <w:rFonts w:eastAsia="Times New Roman"/>
          <w:lang w:val="es-ES"/>
        </w:rPr>
        <w:t xml:space="preserve">nstrucción </w:t>
      </w:r>
      <w:r w:rsidR="00921888">
        <w:rPr>
          <w:rFonts w:eastAsia="Times New Roman"/>
          <w:lang w:val="es-ES"/>
        </w:rPr>
        <w:t>G</w:t>
      </w:r>
      <w:r w:rsidR="00921888" w:rsidRPr="00921888">
        <w:rPr>
          <w:rFonts w:eastAsia="Times New Roman"/>
          <w:lang w:val="es-ES"/>
        </w:rPr>
        <w:t>eneral 13-2008</w:t>
      </w:r>
      <w:r w:rsidR="00EE6148">
        <w:rPr>
          <w:rFonts w:eastAsia="Times New Roman"/>
          <w:lang w:val="es-ES"/>
        </w:rPr>
        <w:t xml:space="preserve">, </w:t>
      </w:r>
      <w:r w:rsidR="00691F04">
        <w:rPr>
          <w:rFonts w:eastAsia="Times New Roman"/>
          <w:lang w:val="es-ES"/>
        </w:rPr>
        <w:t xml:space="preserve">esta Presidencia en razón de que la Corte ha tomado conocimiento </w:t>
      </w:r>
      <w:r w:rsidR="00A976CC">
        <w:rPr>
          <w:rFonts w:eastAsia="Times New Roman"/>
          <w:lang w:val="es-ES"/>
        </w:rPr>
        <w:t xml:space="preserve">sobre el Protocolo de Estambul y la manera de implementarlo en otros casos resulta innecesario en el presente caso dicho peritaje. </w:t>
      </w:r>
    </w:p>
    <w:p w:rsidR="004A15F2" w:rsidRPr="009E1A9E" w:rsidRDefault="004A15F2" w:rsidP="006B1A85">
      <w:pPr>
        <w:tabs>
          <w:tab w:val="left" w:pos="567"/>
        </w:tabs>
        <w:autoSpaceDE w:val="0"/>
        <w:autoSpaceDN w:val="0"/>
        <w:adjustRightInd w:val="0"/>
        <w:spacing w:after="0"/>
        <w:rPr>
          <w:b/>
          <w:lang w:val="es-ES"/>
        </w:rPr>
      </w:pPr>
    </w:p>
    <w:p w:rsidR="008C5D88" w:rsidRPr="008E2E5C" w:rsidRDefault="00C478A9" w:rsidP="008E2E5C">
      <w:pPr>
        <w:pStyle w:val="ListParagraph"/>
        <w:numPr>
          <w:ilvl w:val="0"/>
          <w:numId w:val="5"/>
        </w:numPr>
        <w:tabs>
          <w:tab w:val="left" w:pos="567"/>
        </w:tabs>
        <w:autoSpaceDE w:val="0"/>
        <w:autoSpaceDN w:val="0"/>
        <w:adjustRightInd w:val="0"/>
        <w:spacing w:after="0"/>
        <w:rPr>
          <w:b/>
          <w:color w:val="000000" w:themeColor="text1"/>
          <w:lang w:val="es-ES"/>
        </w:rPr>
      </w:pPr>
      <w:r w:rsidRPr="008E2E5C">
        <w:rPr>
          <w:b/>
          <w:color w:val="000000" w:themeColor="text1"/>
          <w:lang w:val="es-ES"/>
        </w:rPr>
        <w:t>Admisibilidad del traslado del</w:t>
      </w:r>
      <w:r w:rsidR="007511E0" w:rsidRPr="008E2E5C">
        <w:rPr>
          <w:b/>
          <w:color w:val="000000" w:themeColor="text1"/>
          <w:lang w:val="es-ES"/>
        </w:rPr>
        <w:t xml:space="preserve"> peritaje rendido </w:t>
      </w:r>
      <w:r w:rsidR="00E473B5" w:rsidRPr="008E2E5C">
        <w:rPr>
          <w:b/>
          <w:color w:val="000000" w:themeColor="text1"/>
          <w:lang w:val="es-ES"/>
        </w:rPr>
        <w:t xml:space="preserve">en el </w:t>
      </w:r>
      <w:r w:rsidR="007511E0" w:rsidRPr="008E2E5C">
        <w:rPr>
          <w:b/>
          <w:i/>
          <w:color w:val="000000" w:themeColor="text1"/>
          <w:lang w:val="es-ES"/>
        </w:rPr>
        <w:t xml:space="preserve">caso </w:t>
      </w:r>
      <w:proofErr w:type="spellStart"/>
      <w:r w:rsidR="007511E0" w:rsidRPr="008E2E5C">
        <w:rPr>
          <w:b/>
          <w:i/>
          <w:color w:val="000000" w:themeColor="text1"/>
          <w:lang w:val="es-ES"/>
        </w:rPr>
        <w:t>R</w:t>
      </w:r>
      <w:r w:rsidRPr="008E2E5C">
        <w:rPr>
          <w:b/>
          <w:i/>
          <w:color w:val="000000" w:themeColor="text1"/>
          <w:lang w:val="es-ES"/>
        </w:rPr>
        <w:t>axcacó</w:t>
      </w:r>
      <w:proofErr w:type="spellEnd"/>
      <w:r w:rsidRPr="008E2E5C">
        <w:rPr>
          <w:b/>
          <w:i/>
          <w:color w:val="000000" w:themeColor="text1"/>
          <w:lang w:val="es-ES"/>
        </w:rPr>
        <w:t xml:space="preserve"> Reyes Vs. Guatemala y de la</w:t>
      </w:r>
      <w:r w:rsidR="007511E0" w:rsidRPr="008E2E5C">
        <w:rPr>
          <w:b/>
          <w:i/>
          <w:color w:val="000000" w:themeColor="text1"/>
          <w:lang w:val="es-ES"/>
        </w:rPr>
        <w:t xml:space="preserve"> </w:t>
      </w:r>
      <w:r w:rsidR="007511E0" w:rsidRPr="008E2E5C">
        <w:rPr>
          <w:b/>
          <w:color w:val="000000" w:themeColor="text1"/>
          <w:lang w:val="es-ES"/>
        </w:rPr>
        <w:t>declaración a título</w:t>
      </w:r>
      <w:r w:rsidR="00FA2094" w:rsidRPr="008E2E5C">
        <w:rPr>
          <w:b/>
          <w:color w:val="000000" w:themeColor="text1"/>
          <w:lang w:val="es-ES"/>
        </w:rPr>
        <w:t xml:space="preserve"> informativo</w:t>
      </w:r>
      <w:r w:rsidR="006E7286" w:rsidRPr="008E2E5C">
        <w:rPr>
          <w:b/>
          <w:color w:val="000000" w:themeColor="text1"/>
          <w:lang w:val="es-ES"/>
        </w:rPr>
        <w:t xml:space="preserve"> rendido</w:t>
      </w:r>
      <w:r w:rsidR="007511E0" w:rsidRPr="008E2E5C">
        <w:rPr>
          <w:b/>
          <w:color w:val="000000" w:themeColor="text1"/>
          <w:lang w:val="es-ES"/>
        </w:rPr>
        <w:t xml:space="preserve"> en el</w:t>
      </w:r>
      <w:r w:rsidR="007511E0" w:rsidRPr="008E2E5C">
        <w:rPr>
          <w:b/>
          <w:i/>
          <w:color w:val="000000" w:themeColor="text1"/>
          <w:lang w:val="es-ES"/>
        </w:rPr>
        <w:t xml:space="preserve"> caso Mariana Selvas y otras (Atenco) Vs. México</w:t>
      </w:r>
      <w:r w:rsidR="00E473B5" w:rsidRPr="008E2E5C">
        <w:rPr>
          <w:b/>
          <w:i/>
          <w:color w:val="000000" w:themeColor="text1"/>
          <w:lang w:val="es-ES"/>
        </w:rPr>
        <w:t xml:space="preserve"> solicitado por las representantes</w:t>
      </w:r>
    </w:p>
    <w:p w:rsidR="00B205BC" w:rsidRPr="00E473B5" w:rsidRDefault="00B205BC" w:rsidP="00B205BC">
      <w:pPr>
        <w:pStyle w:val="ListParagraph"/>
        <w:widowControl w:val="0"/>
        <w:tabs>
          <w:tab w:val="left" w:pos="567"/>
          <w:tab w:val="left" w:pos="810"/>
        </w:tabs>
        <w:autoSpaceDE w:val="0"/>
        <w:autoSpaceDN w:val="0"/>
        <w:adjustRightInd w:val="0"/>
        <w:spacing w:after="0"/>
        <w:ind w:left="0" w:right="22"/>
        <w:rPr>
          <w:color w:val="000000" w:themeColor="text1"/>
          <w:highlight w:val="yellow"/>
          <w:lang w:val="es-CR"/>
        </w:rPr>
      </w:pPr>
    </w:p>
    <w:p w:rsidR="008E2E5C" w:rsidRPr="008E2E5C" w:rsidRDefault="008E2E5C" w:rsidP="002E79C3">
      <w:pPr>
        <w:pStyle w:val="ListParagraph"/>
        <w:widowControl w:val="0"/>
        <w:numPr>
          <w:ilvl w:val="0"/>
          <w:numId w:val="2"/>
        </w:numPr>
        <w:tabs>
          <w:tab w:val="left" w:pos="567"/>
          <w:tab w:val="left" w:pos="810"/>
        </w:tabs>
        <w:autoSpaceDE w:val="0"/>
        <w:autoSpaceDN w:val="0"/>
        <w:adjustRightInd w:val="0"/>
        <w:spacing w:after="0"/>
        <w:ind w:right="22"/>
        <w:rPr>
          <w:color w:val="000000" w:themeColor="text1"/>
          <w:lang w:val="es-ES"/>
        </w:rPr>
      </w:pPr>
      <w:r w:rsidRPr="008E2E5C">
        <w:rPr>
          <w:color w:val="000000" w:themeColor="text1"/>
          <w:lang w:val="es-ES"/>
        </w:rPr>
        <w:t xml:space="preserve">Las </w:t>
      </w:r>
      <w:r w:rsidRPr="00171EC3">
        <w:rPr>
          <w:b/>
          <w:i/>
          <w:color w:val="000000" w:themeColor="text1"/>
          <w:lang w:val="es-ES"/>
        </w:rPr>
        <w:t>representantes</w:t>
      </w:r>
      <w:r w:rsidRPr="00171EC3">
        <w:rPr>
          <w:i/>
          <w:color w:val="000000" w:themeColor="text1"/>
          <w:lang w:val="es-ES"/>
        </w:rPr>
        <w:t xml:space="preserve"> </w:t>
      </w:r>
      <w:r w:rsidRPr="008E2E5C">
        <w:rPr>
          <w:color w:val="000000" w:themeColor="text1"/>
          <w:lang w:val="es-ES"/>
        </w:rPr>
        <w:t xml:space="preserve">solicitaron la incorporación al proceso del presente caso el peritaje rendido mediante afidávit de </w:t>
      </w:r>
      <w:r w:rsidR="007E3B7C">
        <w:rPr>
          <w:color w:val="000000" w:themeColor="text1"/>
          <w:lang w:val="es-ES"/>
        </w:rPr>
        <w:t xml:space="preserve">la señora </w:t>
      </w:r>
      <w:r w:rsidRPr="008E2E5C">
        <w:rPr>
          <w:color w:val="000000" w:themeColor="text1"/>
          <w:lang w:val="es-ES"/>
        </w:rPr>
        <w:t xml:space="preserve">Aida Castro Conde en el </w:t>
      </w:r>
      <w:r w:rsidRPr="008E2E5C">
        <w:rPr>
          <w:i/>
          <w:color w:val="000000" w:themeColor="text1"/>
          <w:lang w:val="es-ES"/>
        </w:rPr>
        <w:t xml:space="preserve">caso </w:t>
      </w:r>
      <w:proofErr w:type="spellStart"/>
      <w:r w:rsidRPr="008E2E5C">
        <w:rPr>
          <w:i/>
          <w:color w:val="000000" w:themeColor="text1"/>
          <w:lang w:val="es-ES"/>
        </w:rPr>
        <w:t>Raxcacó</w:t>
      </w:r>
      <w:proofErr w:type="spellEnd"/>
      <w:r w:rsidRPr="008E2E5C">
        <w:rPr>
          <w:i/>
          <w:color w:val="000000" w:themeColor="text1"/>
          <w:lang w:val="es-ES"/>
        </w:rPr>
        <w:t xml:space="preserve"> Reyes Vs. Guatemala</w:t>
      </w:r>
      <w:r w:rsidRPr="008E2E5C">
        <w:rPr>
          <w:rStyle w:val="FootnoteReference"/>
          <w:color w:val="000000" w:themeColor="text1"/>
          <w:lang w:val="es-ES"/>
        </w:rPr>
        <w:footnoteReference w:id="19"/>
      </w:r>
      <w:r w:rsidRPr="008E2E5C">
        <w:rPr>
          <w:color w:val="000000" w:themeColor="text1"/>
          <w:lang w:val="es-ES"/>
        </w:rPr>
        <w:t xml:space="preserve"> y la declaración a título informativo</w:t>
      </w:r>
      <w:r>
        <w:rPr>
          <w:color w:val="000000" w:themeColor="text1"/>
          <w:lang w:val="es-ES"/>
        </w:rPr>
        <w:t xml:space="preserve"> </w:t>
      </w:r>
      <w:r w:rsidRPr="000625EA">
        <w:rPr>
          <w:color w:val="000000" w:themeColor="text1"/>
          <w:lang w:val="es-ES"/>
        </w:rPr>
        <w:t>ren</w:t>
      </w:r>
      <w:r>
        <w:rPr>
          <w:color w:val="000000" w:themeColor="text1"/>
          <w:lang w:val="es-ES"/>
        </w:rPr>
        <w:t xml:space="preserve">dida por </w:t>
      </w:r>
      <w:r w:rsidR="007E3B7C">
        <w:rPr>
          <w:color w:val="000000" w:themeColor="text1"/>
          <w:lang w:val="es-ES"/>
        </w:rPr>
        <w:t xml:space="preserve">el señor </w:t>
      </w:r>
      <w:r>
        <w:rPr>
          <w:color w:val="000000" w:themeColor="text1"/>
          <w:lang w:val="es-ES"/>
        </w:rPr>
        <w:t>Ernesto López Portillo</w:t>
      </w:r>
      <w:r w:rsidRPr="000625EA">
        <w:rPr>
          <w:color w:val="000000" w:themeColor="text1"/>
          <w:lang w:val="es-ES"/>
        </w:rPr>
        <w:t xml:space="preserve"> en el</w:t>
      </w:r>
      <w:r w:rsidRPr="000625EA">
        <w:rPr>
          <w:i/>
          <w:color w:val="000000" w:themeColor="text1"/>
          <w:lang w:val="es-ES"/>
        </w:rPr>
        <w:t xml:space="preserve"> caso Mariana Selvas y otras (Atenco) Vs. México</w:t>
      </w:r>
      <w:r w:rsidRPr="00FA2094">
        <w:rPr>
          <w:rStyle w:val="FootnoteReference"/>
          <w:color w:val="000000" w:themeColor="text1"/>
          <w:lang w:val="es-ES"/>
        </w:rPr>
        <w:footnoteReference w:id="20"/>
      </w:r>
      <w:r w:rsidRPr="000625EA">
        <w:rPr>
          <w:color w:val="000000" w:themeColor="text1"/>
          <w:lang w:val="es-ES"/>
        </w:rPr>
        <w:t xml:space="preserve">, </w:t>
      </w:r>
      <w:r>
        <w:rPr>
          <w:color w:val="000000" w:themeColor="text1"/>
          <w:lang w:val="es-ES"/>
        </w:rPr>
        <w:t xml:space="preserve">con base en que </w:t>
      </w:r>
      <w:r w:rsidRPr="000625EA">
        <w:rPr>
          <w:color w:val="000000" w:themeColor="text1"/>
          <w:lang w:val="es-CR"/>
        </w:rPr>
        <w:t>podrían brindar elementos útiles para valorar el accionar de la policía de Guatemala y percepciones de las medidas que el Estado debería aportar para evitar la repetición de los alegados</w:t>
      </w:r>
      <w:r>
        <w:rPr>
          <w:color w:val="000000" w:themeColor="text1"/>
          <w:lang w:val="es-CR"/>
        </w:rPr>
        <w:t xml:space="preserve"> </w:t>
      </w:r>
      <w:r w:rsidRPr="008E2E5C">
        <w:rPr>
          <w:color w:val="000000" w:themeColor="text1"/>
          <w:lang w:val="es-CR"/>
        </w:rPr>
        <w:t xml:space="preserve">hechos. </w:t>
      </w:r>
    </w:p>
    <w:p w:rsidR="008E2E5C" w:rsidRDefault="008E2E5C" w:rsidP="008E2E5C">
      <w:pPr>
        <w:pStyle w:val="ListParagraph"/>
        <w:widowControl w:val="0"/>
        <w:tabs>
          <w:tab w:val="left" w:pos="567"/>
          <w:tab w:val="left" w:pos="810"/>
        </w:tabs>
        <w:autoSpaceDE w:val="0"/>
        <w:autoSpaceDN w:val="0"/>
        <w:adjustRightInd w:val="0"/>
        <w:spacing w:after="0"/>
        <w:ind w:left="0" w:right="22"/>
        <w:rPr>
          <w:color w:val="000000" w:themeColor="text1"/>
          <w:lang w:val="es-ES"/>
        </w:rPr>
      </w:pPr>
    </w:p>
    <w:p w:rsidR="002E79C3" w:rsidRDefault="00B205BC" w:rsidP="002E79C3">
      <w:pPr>
        <w:pStyle w:val="ListParagraph"/>
        <w:widowControl w:val="0"/>
        <w:numPr>
          <w:ilvl w:val="0"/>
          <w:numId w:val="2"/>
        </w:numPr>
        <w:tabs>
          <w:tab w:val="left" w:pos="567"/>
          <w:tab w:val="left" w:pos="810"/>
        </w:tabs>
        <w:autoSpaceDE w:val="0"/>
        <w:autoSpaceDN w:val="0"/>
        <w:adjustRightInd w:val="0"/>
        <w:spacing w:after="0"/>
        <w:ind w:right="22"/>
        <w:rPr>
          <w:color w:val="000000" w:themeColor="text1"/>
          <w:lang w:val="es-ES"/>
        </w:rPr>
      </w:pPr>
      <w:r>
        <w:rPr>
          <w:color w:val="000000" w:themeColor="text1"/>
          <w:lang w:val="es-ES"/>
        </w:rPr>
        <w:t>E</w:t>
      </w:r>
      <w:r w:rsidR="002E79C3" w:rsidRPr="00C12E7E">
        <w:rPr>
          <w:color w:val="000000" w:themeColor="text1"/>
          <w:lang w:val="es-ES"/>
        </w:rPr>
        <w:t>l Presidente reitera que la incorporación d</w:t>
      </w:r>
      <w:r w:rsidR="008D2B25">
        <w:rPr>
          <w:color w:val="000000" w:themeColor="text1"/>
          <w:lang w:val="es-ES"/>
        </w:rPr>
        <w:t>e peritajes y declaraciones a tí</w:t>
      </w:r>
      <w:r w:rsidR="002E79C3" w:rsidRPr="00C12E7E">
        <w:rPr>
          <w:color w:val="000000" w:themeColor="text1"/>
          <w:lang w:val="es-ES"/>
        </w:rPr>
        <w:t>tulo</w:t>
      </w:r>
      <w:r w:rsidR="008D2B25">
        <w:rPr>
          <w:color w:val="000000" w:themeColor="text1"/>
          <w:lang w:val="es-ES"/>
        </w:rPr>
        <w:t xml:space="preserve"> </w:t>
      </w:r>
      <w:r w:rsidR="008D2B25" w:rsidRPr="008E2E5C">
        <w:rPr>
          <w:color w:val="000000" w:themeColor="text1"/>
          <w:lang w:val="es-ES"/>
        </w:rPr>
        <w:t>informativo</w:t>
      </w:r>
      <w:r w:rsidR="002E79C3" w:rsidRPr="008E2E5C">
        <w:rPr>
          <w:color w:val="000000" w:themeColor="text1"/>
          <w:lang w:val="es-ES"/>
        </w:rPr>
        <w:t xml:space="preserve"> rendidos en otros casos al expediente de un caso en trámite no significa que tales elementos</w:t>
      </w:r>
      <w:r w:rsidR="002E79C3" w:rsidRPr="00C12E7E">
        <w:rPr>
          <w:color w:val="000000" w:themeColor="text1"/>
          <w:lang w:val="es-ES"/>
        </w:rPr>
        <w:t xml:space="preserve"> tengan el valor o peso probatorio de un dictamen pericial. De tal modo, en oportunidades anteriores la Presidencia de la Corte ha considerado pertinente el traslado de peritajes rendidos en otros casos, incluso contra Estados distint</w:t>
      </w:r>
      <w:r w:rsidR="008D2B25">
        <w:rPr>
          <w:color w:val="000000" w:themeColor="text1"/>
          <w:lang w:val="es-ES"/>
        </w:rPr>
        <w:t>os, como elementos documentales</w:t>
      </w:r>
      <w:r w:rsidR="002E79C3" w:rsidRPr="00C12E7E">
        <w:rPr>
          <w:color w:val="000000" w:themeColor="text1"/>
          <w:lang w:val="es-ES"/>
        </w:rPr>
        <w:t xml:space="preserve"> para que la Corte determine su admisibilidad y valor probatorio en el momento procesal oportuno, tomando en consideración las observaciones presentadas por las partes en ejercicio de su derecho de defensa</w:t>
      </w:r>
      <w:r w:rsidR="002E79C3">
        <w:rPr>
          <w:rStyle w:val="FootnoteReference"/>
          <w:color w:val="000000" w:themeColor="text1"/>
          <w:lang w:val="es-ES"/>
        </w:rPr>
        <w:footnoteReference w:id="21"/>
      </w:r>
      <w:r w:rsidR="002E79C3" w:rsidRPr="00C12E7E">
        <w:rPr>
          <w:color w:val="000000" w:themeColor="text1"/>
          <w:lang w:val="es-ES"/>
        </w:rPr>
        <w:t xml:space="preserve">. </w:t>
      </w:r>
    </w:p>
    <w:p w:rsidR="002E79C3" w:rsidRPr="00C12E7E" w:rsidRDefault="002E79C3" w:rsidP="002E79C3">
      <w:pPr>
        <w:pStyle w:val="ListParagraph"/>
        <w:rPr>
          <w:color w:val="000000" w:themeColor="text1"/>
          <w:lang w:val="es-ES"/>
        </w:rPr>
      </w:pPr>
    </w:p>
    <w:p w:rsidR="002E79C3" w:rsidRDefault="005465FC" w:rsidP="002E79C3">
      <w:pPr>
        <w:pStyle w:val="ListParagraph"/>
        <w:widowControl w:val="0"/>
        <w:numPr>
          <w:ilvl w:val="0"/>
          <w:numId w:val="2"/>
        </w:numPr>
        <w:tabs>
          <w:tab w:val="left" w:pos="567"/>
          <w:tab w:val="left" w:pos="810"/>
        </w:tabs>
        <w:autoSpaceDE w:val="0"/>
        <w:autoSpaceDN w:val="0"/>
        <w:adjustRightInd w:val="0"/>
        <w:spacing w:after="0"/>
        <w:ind w:right="22"/>
        <w:rPr>
          <w:color w:val="000000" w:themeColor="text1"/>
          <w:lang w:val="es-ES"/>
        </w:rPr>
      </w:pPr>
      <w:r>
        <w:rPr>
          <w:color w:val="000000" w:themeColor="text1"/>
          <w:lang w:val="es-ES"/>
        </w:rPr>
        <w:t>Conforme a lo expuesto, e</w:t>
      </w:r>
      <w:r w:rsidR="008D2B25">
        <w:rPr>
          <w:color w:val="000000" w:themeColor="text1"/>
          <w:lang w:val="es-ES"/>
        </w:rPr>
        <w:t>l Presidente not</w:t>
      </w:r>
      <w:r w:rsidR="002E79C3">
        <w:rPr>
          <w:color w:val="000000" w:themeColor="text1"/>
          <w:lang w:val="es-ES"/>
        </w:rPr>
        <w:t>a</w:t>
      </w:r>
      <w:r w:rsidR="002E79C3" w:rsidRPr="00926781">
        <w:rPr>
          <w:color w:val="000000" w:themeColor="text1"/>
          <w:lang w:val="es-ES"/>
        </w:rPr>
        <w:t xml:space="preserve"> que el peritaje rendido por </w:t>
      </w:r>
      <w:r w:rsidR="007E3B7C">
        <w:rPr>
          <w:color w:val="000000" w:themeColor="text1"/>
          <w:lang w:val="es-ES"/>
        </w:rPr>
        <w:t xml:space="preserve">la señora </w:t>
      </w:r>
      <w:r w:rsidR="002E79C3" w:rsidRPr="00926781">
        <w:rPr>
          <w:color w:val="000000" w:themeColor="text1"/>
          <w:lang w:val="es-ES"/>
        </w:rPr>
        <w:t xml:space="preserve">Aida Castro Conde es relativo a las condiciones carcelarias en el centro donde permaneció recluido el señor </w:t>
      </w:r>
      <w:r w:rsidR="009C5FA6">
        <w:rPr>
          <w:color w:val="000000" w:themeColor="text1"/>
          <w:lang w:val="es-ES"/>
        </w:rPr>
        <w:t>Ruíz</w:t>
      </w:r>
      <w:r w:rsidR="002E79C3" w:rsidRPr="00926781">
        <w:rPr>
          <w:color w:val="000000" w:themeColor="text1"/>
          <w:lang w:val="es-ES"/>
        </w:rPr>
        <w:t xml:space="preserve"> Fuentes</w:t>
      </w:r>
      <w:r w:rsidR="008D2B25">
        <w:rPr>
          <w:color w:val="000000" w:themeColor="text1"/>
          <w:lang w:val="es-ES"/>
        </w:rPr>
        <w:t>,</w:t>
      </w:r>
      <w:r w:rsidR="002E79C3" w:rsidRPr="00926781">
        <w:rPr>
          <w:color w:val="000000" w:themeColor="text1"/>
          <w:lang w:val="es-ES"/>
        </w:rPr>
        <w:t xml:space="preserve"> por lo </w:t>
      </w:r>
      <w:r w:rsidR="002E79C3">
        <w:rPr>
          <w:color w:val="000000" w:themeColor="text1"/>
          <w:lang w:val="es-ES"/>
        </w:rPr>
        <w:t>que podría resultar útil para la resolución del presente caso</w:t>
      </w:r>
      <w:r w:rsidR="002E79C3" w:rsidRPr="0060053B">
        <w:rPr>
          <w:color w:val="000000" w:themeColor="text1"/>
          <w:lang w:val="es-ES"/>
        </w:rPr>
        <w:t>. Con respecto a la incorporación de l</w:t>
      </w:r>
      <w:r w:rsidR="008D2B25" w:rsidRPr="0060053B">
        <w:rPr>
          <w:color w:val="000000" w:themeColor="text1"/>
          <w:lang w:val="es-ES"/>
        </w:rPr>
        <w:t>a declaración a tí</w:t>
      </w:r>
      <w:r w:rsidR="002E79C3" w:rsidRPr="0060053B">
        <w:rPr>
          <w:color w:val="000000" w:themeColor="text1"/>
          <w:lang w:val="es-ES"/>
        </w:rPr>
        <w:t xml:space="preserve">tulo </w:t>
      </w:r>
      <w:r w:rsidR="008D2B25" w:rsidRPr="0060053B">
        <w:rPr>
          <w:color w:val="000000" w:themeColor="text1"/>
          <w:lang w:val="es-ES"/>
        </w:rPr>
        <w:t xml:space="preserve">informativo </w:t>
      </w:r>
      <w:r w:rsidR="002E79C3" w:rsidRPr="0060053B">
        <w:rPr>
          <w:color w:val="000000" w:themeColor="text1"/>
          <w:lang w:val="es-ES"/>
        </w:rPr>
        <w:t xml:space="preserve">rendida por </w:t>
      </w:r>
      <w:r w:rsidR="007E3B7C">
        <w:rPr>
          <w:color w:val="000000" w:themeColor="text1"/>
          <w:lang w:val="es-ES"/>
        </w:rPr>
        <w:t xml:space="preserve">el señor </w:t>
      </w:r>
      <w:r w:rsidR="00F218AF">
        <w:rPr>
          <w:color w:val="000000" w:themeColor="text1"/>
          <w:lang w:val="es-ES"/>
        </w:rPr>
        <w:t>Ernesto López Portillo, la P</w:t>
      </w:r>
      <w:r w:rsidR="002E79C3" w:rsidRPr="0060053B">
        <w:rPr>
          <w:color w:val="000000" w:themeColor="text1"/>
          <w:lang w:val="es-ES"/>
        </w:rPr>
        <w:t xml:space="preserve">residencia </w:t>
      </w:r>
      <w:r w:rsidR="00983B88" w:rsidRPr="0060053B">
        <w:t>considera que, sin prejuzgar sobre el fondo del asunto, el mencionado peritaje podría ser útil en función de los alegatos que las partes pretenden demostrar en el presente litigio</w:t>
      </w:r>
      <w:r w:rsidR="00983B88" w:rsidRPr="0060053B">
        <w:rPr>
          <w:rStyle w:val="FootnoteReference"/>
        </w:rPr>
        <w:footnoteReference w:id="22"/>
      </w:r>
      <w:r w:rsidR="00983B88" w:rsidRPr="0060053B">
        <w:t>. De manera que, esta Presidencia considera oportuno incorporar al acervo probatorio del presente caso, en lo que resulte pertinente.</w:t>
      </w:r>
    </w:p>
    <w:p w:rsidR="006A2EB0" w:rsidRDefault="006A2EB0" w:rsidP="006A2EB0">
      <w:pPr>
        <w:pStyle w:val="ListParagraph"/>
        <w:rPr>
          <w:color w:val="000000" w:themeColor="text1"/>
          <w:lang w:val="es-ES"/>
        </w:rPr>
      </w:pPr>
    </w:p>
    <w:p w:rsidR="007511E0" w:rsidRPr="006A2EB0" w:rsidRDefault="002E79C3" w:rsidP="007511E0">
      <w:pPr>
        <w:pStyle w:val="ListParagraph"/>
        <w:widowControl w:val="0"/>
        <w:numPr>
          <w:ilvl w:val="0"/>
          <w:numId w:val="2"/>
        </w:numPr>
        <w:tabs>
          <w:tab w:val="left" w:pos="567"/>
          <w:tab w:val="left" w:pos="810"/>
        </w:tabs>
        <w:autoSpaceDE w:val="0"/>
        <w:autoSpaceDN w:val="0"/>
        <w:adjustRightInd w:val="0"/>
        <w:spacing w:after="0"/>
        <w:ind w:right="22"/>
        <w:rPr>
          <w:color w:val="000000" w:themeColor="text1"/>
          <w:lang w:val="es-ES"/>
        </w:rPr>
      </w:pPr>
      <w:r w:rsidRPr="006A2EB0">
        <w:rPr>
          <w:color w:val="000000" w:themeColor="text1"/>
          <w:lang w:val="es-ES"/>
        </w:rPr>
        <w:t>De manera que, en atención a los principios de economía y celeridad procesales, esta Presidencia considera oportuno incorporar al acervo probatorio del presente caso, en lo que resulte pertinente, ambos ofrecimientos. En tanto dichos dictámenes son prueba documental a efectos del presente caso, las partes podrán referirse al mismo en sus alegatos finales escritos u orales.</w:t>
      </w:r>
    </w:p>
    <w:p w:rsidR="00210F76" w:rsidRPr="002D5F03" w:rsidRDefault="00210F76" w:rsidP="007511E0">
      <w:pPr>
        <w:pStyle w:val="ListParagraph"/>
        <w:widowControl w:val="0"/>
        <w:tabs>
          <w:tab w:val="left" w:pos="567"/>
          <w:tab w:val="left" w:pos="810"/>
        </w:tabs>
        <w:autoSpaceDE w:val="0"/>
        <w:autoSpaceDN w:val="0"/>
        <w:adjustRightInd w:val="0"/>
        <w:spacing w:after="0"/>
        <w:ind w:left="0" w:right="22"/>
        <w:rPr>
          <w:b/>
          <w:color w:val="000000" w:themeColor="text1"/>
          <w:lang w:val="es-ES"/>
        </w:rPr>
      </w:pPr>
    </w:p>
    <w:p w:rsidR="00F36F03" w:rsidRPr="002D5F03" w:rsidRDefault="00F36F03" w:rsidP="007511E0">
      <w:pPr>
        <w:pStyle w:val="ListParagraph"/>
        <w:numPr>
          <w:ilvl w:val="0"/>
          <w:numId w:val="5"/>
        </w:numPr>
        <w:tabs>
          <w:tab w:val="left" w:pos="567"/>
        </w:tabs>
        <w:autoSpaceDE w:val="0"/>
        <w:autoSpaceDN w:val="0"/>
        <w:adjustRightInd w:val="0"/>
        <w:spacing w:after="0"/>
        <w:rPr>
          <w:b/>
          <w:color w:val="000000" w:themeColor="text1"/>
          <w:lang w:val="es-ES"/>
        </w:rPr>
      </w:pPr>
      <w:r w:rsidRPr="002D5F03">
        <w:rPr>
          <w:b/>
          <w:lang w:val="es-ES"/>
        </w:rPr>
        <w:t>Admisibilidad de la prueba pericial ofrecida por la Comisión</w:t>
      </w:r>
    </w:p>
    <w:p w:rsidR="007D1889" w:rsidRPr="0058359E" w:rsidRDefault="007D1889" w:rsidP="0058359E">
      <w:pPr>
        <w:pStyle w:val="ListParagraph"/>
        <w:tabs>
          <w:tab w:val="left" w:pos="567"/>
        </w:tabs>
        <w:autoSpaceDE w:val="0"/>
        <w:autoSpaceDN w:val="0"/>
        <w:adjustRightInd w:val="0"/>
        <w:spacing w:after="0"/>
        <w:rPr>
          <w:color w:val="000000" w:themeColor="text1"/>
          <w:lang w:val="es-ES"/>
        </w:rPr>
      </w:pPr>
    </w:p>
    <w:p w:rsidR="00B205BC" w:rsidRDefault="007D1889" w:rsidP="00B205BC">
      <w:pPr>
        <w:pStyle w:val="Normal1"/>
        <w:widowControl/>
        <w:numPr>
          <w:ilvl w:val="0"/>
          <w:numId w:val="2"/>
        </w:numPr>
        <w:contextualSpacing/>
        <w:jc w:val="both"/>
        <w:rPr>
          <w:rFonts w:ascii="Verdana" w:hAnsi="Verdana"/>
          <w:sz w:val="20"/>
          <w:szCs w:val="20"/>
        </w:rPr>
      </w:pPr>
      <w:r>
        <w:rPr>
          <w:rFonts w:ascii="Verdana" w:hAnsi="Verdana"/>
          <w:sz w:val="20"/>
          <w:szCs w:val="20"/>
        </w:rPr>
        <w:t>L</w:t>
      </w:r>
      <w:r w:rsidRPr="009F0E31">
        <w:rPr>
          <w:rFonts w:ascii="Verdana" w:hAnsi="Verdana"/>
          <w:sz w:val="20"/>
          <w:szCs w:val="20"/>
        </w:rPr>
        <w:t xml:space="preserve">a </w:t>
      </w:r>
      <w:r w:rsidRPr="009F0E31">
        <w:rPr>
          <w:rFonts w:ascii="Verdana" w:hAnsi="Verdana"/>
          <w:b/>
          <w:i/>
          <w:sz w:val="20"/>
          <w:szCs w:val="20"/>
        </w:rPr>
        <w:t>Comisión</w:t>
      </w:r>
      <w:r w:rsidRPr="009F0E31">
        <w:rPr>
          <w:rFonts w:ascii="Verdana" w:hAnsi="Verdana"/>
          <w:sz w:val="20"/>
          <w:szCs w:val="20"/>
        </w:rPr>
        <w:t xml:space="preserve"> </w:t>
      </w:r>
      <w:r w:rsidR="00E473B5">
        <w:rPr>
          <w:rFonts w:ascii="Verdana" w:hAnsi="Verdana"/>
          <w:sz w:val="20"/>
          <w:szCs w:val="20"/>
        </w:rPr>
        <w:t xml:space="preserve">ofreció </w:t>
      </w:r>
      <w:r w:rsidRPr="009F0E31">
        <w:rPr>
          <w:rFonts w:ascii="Verdana" w:hAnsi="Verdana"/>
          <w:sz w:val="20"/>
          <w:szCs w:val="20"/>
        </w:rPr>
        <w:t xml:space="preserve">en su escrito de sometimiento del </w:t>
      </w:r>
      <w:r>
        <w:rPr>
          <w:rFonts w:ascii="Verdana" w:hAnsi="Verdana"/>
          <w:sz w:val="20"/>
          <w:szCs w:val="20"/>
        </w:rPr>
        <w:t xml:space="preserve">caso y en su comunicación del </w:t>
      </w:r>
      <w:r w:rsidR="00E473B5">
        <w:rPr>
          <w:rFonts w:ascii="Verdana" w:hAnsi="Verdana"/>
          <w:sz w:val="20"/>
          <w:szCs w:val="20"/>
        </w:rPr>
        <w:t>21</w:t>
      </w:r>
      <w:r>
        <w:rPr>
          <w:rFonts w:ascii="Verdana" w:hAnsi="Verdana"/>
          <w:sz w:val="20"/>
          <w:szCs w:val="20"/>
        </w:rPr>
        <w:t xml:space="preserve"> de diciembre de 2017</w:t>
      </w:r>
      <w:r w:rsidRPr="009F0E31">
        <w:rPr>
          <w:rFonts w:ascii="Verdana" w:hAnsi="Verdana"/>
          <w:sz w:val="20"/>
          <w:szCs w:val="20"/>
        </w:rPr>
        <w:t xml:space="preserve"> el peritaje conjunto de </w:t>
      </w:r>
      <w:r w:rsidR="007E3B7C">
        <w:rPr>
          <w:rFonts w:ascii="Verdana" w:hAnsi="Verdana"/>
          <w:sz w:val="20"/>
          <w:szCs w:val="20"/>
        </w:rPr>
        <w:t xml:space="preserve">los señores </w:t>
      </w:r>
      <w:proofErr w:type="spellStart"/>
      <w:r w:rsidRPr="009F0E31">
        <w:rPr>
          <w:rFonts w:ascii="Verdana" w:hAnsi="Verdana" w:cs="Arial"/>
          <w:color w:val="1E1E1E"/>
          <w:sz w:val="20"/>
          <w:szCs w:val="20"/>
        </w:rPr>
        <w:t>Parvais</w:t>
      </w:r>
      <w:proofErr w:type="spellEnd"/>
      <w:r w:rsidRPr="009F0E31">
        <w:rPr>
          <w:rFonts w:ascii="Verdana" w:hAnsi="Verdana" w:cs="Arial"/>
          <w:color w:val="1E1E1E"/>
          <w:sz w:val="20"/>
          <w:szCs w:val="20"/>
        </w:rPr>
        <w:t xml:space="preserve"> </w:t>
      </w:r>
      <w:proofErr w:type="spellStart"/>
      <w:r w:rsidRPr="009F0E31">
        <w:rPr>
          <w:rFonts w:ascii="Verdana" w:hAnsi="Verdana" w:cs="Arial"/>
          <w:color w:val="0E0E0E"/>
          <w:sz w:val="20"/>
          <w:szCs w:val="20"/>
        </w:rPr>
        <w:t>Jabbar</w:t>
      </w:r>
      <w:proofErr w:type="spellEnd"/>
      <w:r w:rsidRPr="009F0E31">
        <w:rPr>
          <w:rFonts w:ascii="Verdana" w:hAnsi="Verdana" w:cs="Arial"/>
          <w:color w:val="0E0E0E"/>
          <w:sz w:val="20"/>
          <w:szCs w:val="20"/>
        </w:rPr>
        <w:t xml:space="preserve"> </w:t>
      </w:r>
      <w:r w:rsidRPr="009F0E31">
        <w:rPr>
          <w:rFonts w:ascii="Verdana" w:hAnsi="Verdana" w:cs="Arial"/>
          <w:color w:val="1E1E1E"/>
          <w:sz w:val="20"/>
          <w:szCs w:val="20"/>
        </w:rPr>
        <w:t xml:space="preserve">y </w:t>
      </w:r>
      <w:r w:rsidR="00E473B5">
        <w:rPr>
          <w:rFonts w:ascii="Verdana" w:hAnsi="Verdana" w:cs="Arial"/>
          <w:color w:val="0E0E0E"/>
          <w:sz w:val="20"/>
          <w:szCs w:val="20"/>
        </w:rPr>
        <w:t xml:space="preserve">Edward </w:t>
      </w:r>
      <w:proofErr w:type="spellStart"/>
      <w:r w:rsidR="00E473B5">
        <w:rPr>
          <w:rFonts w:ascii="Verdana" w:hAnsi="Verdana" w:cs="Arial"/>
          <w:color w:val="0E0E0E"/>
          <w:sz w:val="20"/>
          <w:szCs w:val="20"/>
        </w:rPr>
        <w:t>Fitzgerald</w:t>
      </w:r>
      <w:proofErr w:type="spellEnd"/>
      <w:r w:rsidR="00E473B5">
        <w:rPr>
          <w:rFonts w:ascii="Verdana" w:hAnsi="Verdana" w:cs="Arial"/>
          <w:color w:val="0E0E0E"/>
          <w:sz w:val="20"/>
          <w:szCs w:val="20"/>
        </w:rPr>
        <w:t xml:space="preserve"> que </w:t>
      </w:r>
      <w:r w:rsidRPr="009F0E31">
        <w:rPr>
          <w:rFonts w:ascii="Verdana" w:hAnsi="Verdana" w:cs="Arial"/>
          <w:color w:val="0E0E0E"/>
          <w:sz w:val="20"/>
          <w:szCs w:val="20"/>
        </w:rPr>
        <w:t xml:space="preserve">versaría sobre </w:t>
      </w:r>
      <w:r w:rsidRPr="009F0E31">
        <w:rPr>
          <w:rFonts w:ascii="Verdana" w:hAnsi="Verdana"/>
          <w:color w:val="212121"/>
          <w:sz w:val="20"/>
          <w:szCs w:val="20"/>
        </w:rPr>
        <w:t xml:space="preserve">los “estándares internacionales sobre </w:t>
      </w:r>
      <w:r w:rsidRPr="009F0E31">
        <w:rPr>
          <w:rFonts w:ascii="Verdana" w:hAnsi="Verdana"/>
          <w:color w:val="0F0F0F"/>
          <w:sz w:val="20"/>
          <w:szCs w:val="20"/>
        </w:rPr>
        <w:t xml:space="preserve">la </w:t>
      </w:r>
      <w:r w:rsidRPr="009F0E31">
        <w:rPr>
          <w:rFonts w:ascii="Verdana" w:hAnsi="Verdana"/>
          <w:color w:val="212121"/>
          <w:sz w:val="20"/>
          <w:szCs w:val="20"/>
        </w:rPr>
        <w:t xml:space="preserve">pena de muerte en los aspectos relevantes </w:t>
      </w:r>
      <w:r>
        <w:rPr>
          <w:rFonts w:ascii="Verdana" w:hAnsi="Verdana"/>
          <w:color w:val="212121"/>
          <w:sz w:val="20"/>
          <w:szCs w:val="20"/>
        </w:rPr>
        <w:t>para el presente caso</w:t>
      </w:r>
      <w:r w:rsidRPr="00CE16DB">
        <w:rPr>
          <w:rFonts w:ascii="Verdana" w:hAnsi="Verdana"/>
          <w:color w:val="212121"/>
          <w:sz w:val="20"/>
          <w:szCs w:val="20"/>
        </w:rPr>
        <w:t>” y “las cuestiones de debido proceso penal</w:t>
      </w:r>
      <w:r w:rsidR="00CE16DB" w:rsidRPr="00CE16DB">
        <w:rPr>
          <w:rFonts w:ascii="Verdana" w:hAnsi="Verdana"/>
          <w:color w:val="212121"/>
          <w:sz w:val="20"/>
          <w:szCs w:val="20"/>
        </w:rPr>
        <w:t xml:space="preserve"> que plantea el caso como la responsabilidad de control del juez de las actuaciones de la defensa en casos con la posibilidad de imponer la pena de muerte” y “tomará en cuenta los hechos del caso para desarrollar el peritaje</w:t>
      </w:r>
      <w:r w:rsidR="00DA2B83" w:rsidRPr="00CE16DB">
        <w:rPr>
          <w:rFonts w:ascii="Verdana" w:hAnsi="Verdana"/>
          <w:color w:val="212121"/>
          <w:sz w:val="20"/>
          <w:szCs w:val="20"/>
        </w:rPr>
        <w:t>”.</w:t>
      </w:r>
      <w:r w:rsidR="00DD384A">
        <w:rPr>
          <w:rFonts w:ascii="Verdana" w:hAnsi="Verdana"/>
          <w:color w:val="212121"/>
          <w:sz w:val="20"/>
          <w:szCs w:val="20"/>
        </w:rPr>
        <w:t xml:space="preserve"> </w:t>
      </w:r>
      <w:r w:rsidR="00DD384A">
        <w:rPr>
          <w:rFonts w:ascii="Verdana" w:hAnsi="Verdana"/>
          <w:color w:val="212121"/>
          <w:sz w:val="20"/>
          <w:szCs w:val="16"/>
        </w:rPr>
        <w:t xml:space="preserve">El </w:t>
      </w:r>
      <w:r w:rsidR="00DD384A" w:rsidRPr="00182F51">
        <w:rPr>
          <w:rFonts w:ascii="Verdana" w:hAnsi="Verdana"/>
          <w:color w:val="212121"/>
          <w:sz w:val="20"/>
          <w:szCs w:val="16"/>
        </w:rPr>
        <w:t>o</w:t>
      </w:r>
      <w:r w:rsidR="00DD384A" w:rsidRPr="00D43DD4">
        <w:rPr>
          <w:rFonts w:ascii="Verdana" w:hAnsi="Verdana"/>
          <w:color w:val="212121"/>
          <w:sz w:val="20"/>
          <w:szCs w:val="16"/>
        </w:rPr>
        <w:t>frecimiento fue reiterado en la respectiva lista definitiva, sin embargo, la Comisión</w:t>
      </w:r>
      <w:r w:rsidR="00DD384A">
        <w:rPr>
          <w:rFonts w:ascii="Verdana" w:hAnsi="Verdana"/>
          <w:color w:val="212121"/>
          <w:sz w:val="20"/>
          <w:szCs w:val="16"/>
        </w:rPr>
        <w:t xml:space="preserve"> en dicha ocasión indicó que según las notas de sometimiento de los casos guatemaltecos su dictamen versaría</w:t>
      </w:r>
      <w:r w:rsidR="00DA2B83" w:rsidRPr="00D43DD4">
        <w:rPr>
          <w:rFonts w:ascii="Verdana" w:hAnsi="Verdana"/>
          <w:color w:val="212121"/>
          <w:sz w:val="20"/>
          <w:szCs w:val="20"/>
        </w:rPr>
        <w:t xml:space="preserve"> </w:t>
      </w:r>
      <w:r w:rsidR="00DD384A">
        <w:rPr>
          <w:rFonts w:ascii="Verdana" w:hAnsi="Verdana"/>
          <w:color w:val="212121"/>
          <w:sz w:val="20"/>
          <w:szCs w:val="20"/>
        </w:rPr>
        <w:t xml:space="preserve">también </w:t>
      </w:r>
      <w:r w:rsidR="00DA2B83" w:rsidRPr="00DD384A">
        <w:rPr>
          <w:rFonts w:ascii="Verdana" w:hAnsi="Verdana"/>
          <w:color w:val="212121"/>
          <w:sz w:val="20"/>
          <w:szCs w:val="16"/>
        </w:rPr>
        <w:t>sobre “cuestiones relacionadas con debido proceso tales como: 1. La asistencia jurídica</w:t>
      </w:r>
      <w:r w:rsidR="00DA2B83" w:rsidRPr="00182F51">
        <w:rPr>
          <w:rFonts w:ascii="Verdana" w:hAnsi="Verdana"/>
          <w:color w:val="212121"/>
          <w:sz w:val="20"/>
          <w:szCs w:val="16"/>
        </w:rPr>
        <w:t xml:space="preserve"> por parte de estudiantes</w:t>
      </w:r>
      <w:r w:rsidR="00DA2B83" w:rsidRPr="00D43DD4">
        <w:rPr>
          <w:rFonts w:ascii="Verdana" w:hAnsi="Verdana"/>
          <w:color w:val="212121"/>
          <w:sz w:val="20"/>
          <w:szCs w:val="16"/>
        </w:rPr>
        <w:t xml:space="preserve"> </w:t>
      </w:r>
      <w:r w:rsidR="00DA2B83" w:rsidRPr="00182F51">
        <w:rPr>
          <w:rFonts w:ascii="Verdana" w:hAnsi="Verdana"/>
          <w:color w:val="212121"/>
          <w:sz w:val="20"/>
          <w:szCs w:val="16"/>
        </w:rPr>
        <w:t xml:space="preserve">de derecho a personas procesadas en delitos que contemplan la pena de muerte; </w:t>
      </w:r>
      <w:r w:rsidR="003D4EEC">
        <w:rPr>
          <w:rFonts w:ascii="Verdana" w:hAnsi="Verdana"/>
          <w:color w:val="212121"/>
          <w:sz w:val="20"/>
          <w:szCs w:val="16"/>
        </w:rPr>
        <w:t>2.</w:t>
      </w:r>
      <w:r w:rsidR="003D4EEC">
        <w:rPr>
          <w:rFonts w:ascii="Verdana" w:hAnsi="Verdana"/>
          <w:sz w:val="20"/>
          <w:szCs w:val="20"/>
        </w:rPr>
        <w:t xml:space="preserve"> </w:t>
      </w:r>
      <w:r w:rsidR="003D4EEC">
        <w:rPr>
          <w:rFonts w:ascii="Verdana" w:hAnsi="Verdana"/>
          <w:color w:val="212121"/>
          <w:sz w:val="20"/>
          <w:szCs w:val="20"/>
        </w:rPr>
        <w:t>L</w:t>
      </w:r>
      <w:r w:rsidR="003D4EEC" w:rsidRPr="00D43DD4">
        <w:rPr>
          <w:rFonts w:ascii="Verdana" w:hAnsi="Verdana"/>
          <w:color w:val="212121"/>
          <w:sz w:val="20"/>
          <w:szCs w:val="20"/>
        </w:rPr>
        <w:t xml:space="preserve">a defensa común de coimputados en el marco de proceso penales que prevén la aplicación de </w:t>
      </w:r>
      <w:r w:rsidR="003D4EEC" w:rsidRPr="00D43DD4">
        <w:rPr>
          <w:rFonts w:ascii="Verdana" w:hAnsi="Verdana"/>
          <w:color w:val="0F0F0F"/>
          <w:sz w:val="20"/>
          <w:szCs w:val="20"/>
        </w:rPr>
        <w:t xml:space="preserve">la </w:t>
      </w:r>
      <w:r w:rsidR="003D4EEC" w:rsidRPr="00D43DD4">
        <w:rPr>
          <w:rFonts w:ascii="Verdana" w:hAnsi="Verdana"/>
          <w:color w:val="212121"/>
          <w:sz w:val="20"/>
          <w:szCs w:val="20"/>
        </w:rPr>
        <w:t>pena de muerte</w:t>
      </w:r>
      <w:r w:rsidR="003D4EEC">
        <w:rPr>
          <w:rFonts w:ascii="Verdana" w:hAnsi="Verdana"/>
          <w:color w:val="212121"/>
          <w:sz w:val="20"/>
          <w:szCs w:val="20"/>
        </w:rPr>
        <w:t>;</w:t>
      </w:r>
      <w:r w:rsidR="00DA2B83">
        <w:rPr>
          <w:rFonts w:ascii="Verdana" w:hAnsi="Verdana"/>
          <w:color w:val="212121"/>
          <w:sz w:val="20"/>
          <w:szCs w:val="16"/>
        </w:rPr>
        <w:t xml:space="preserve"> </w:t>
      </w:r>
      <w:r w:rsidR="00DA2B83" w:rsidRPr="00182F51">
        <w:rPr>
          <w:rFonts w:ascii="Verdana" w:hAnsi="Verdana"/>
          <w:color w:val="212121"/>
          <w:sz w:val="20"/>
          <w:szCs w:val="16"/>
        </w:rPr>
        <w:t>3. La</w:t>
      </w:r>
      <w:r w:rsidR="00DA2B83" w:rsidRPr="00D43DD4">
        <w:rPr>
          <w:rFonts w:ascii="Verdana" w:hAnsi="Verdana"/>
          <w:color w:val="212121"/>
          <w:sz w:val="20"/>
          <w:szCs w:val="16"/>
        </w:rPr>
        <w:t xml:space="preserve"> </w:t>
      </w:r>
      <w:r w:rsidR="00DA2B83" w:rsidRPr="00182F51">
        <w:rPr>
          <w:rFonts w:ascii="Verdana" w:hAnsi="Verdana"/>
          <w:color w:val="212121"/>
          <w:sz w:val="20"/>
          <w:szCs w:val="16"/>
        </w:rPr>
        <w:t>prohibición de utilizar la noción de peligrosidad de una persona, como expresión del derecho penal de</w:t>
      </w:r>
      <w:r w:rsidR="00DA2B83" w:rsidRPr="00D43DD4">
        <w:rPr>
          <w:rFonts w:ascii="Verdana" w:hAnsi="Verdana"/>
          <w:color w:val="212121"/>
          <w:sz w:val="20"/>
          <w:szCs w:val="16"/>
        </w:rPr>
        <w:t xml:space="preserve"> </w:t>
      </w:r>
      <w:r w:rsidR="00DA2B83" w:rsidRPr="00182F51">
        <w:rPr>
          <w:rFonts w:ascii="Verdana" w:hAnsi="Verdana"/>
          <w:color w:val="212121"/>
          <w:sz w:val="20"/>
          <w:szCs w:val="16"/>
        </w:rPr>
        <w:t>autor, para imponer la pena de muerte; 4. El derecho de recurrir el fallo mediante una revisión integral en</w:t>
      </w:r>
      <w:r w:rsidR="00DA2B83" w:rsidRPr="00D43DD4">
        <w:rPr>
          <w:rFonts w:ascii="Verdana" w:hAnsi="Verdana"/>
          <w:color w:val="212121"/>
          <w:sz w:val="20"/>
          <w:szCs w:val="16"/>
        </w:rPr>
        <w:t xml:space="preserve"> </w:t>
      </w:r>
      <w:r w:rsidR="00DA2B83" w:rsidRPr="0088322C">
        <w:rPr>
          <w:rFonts w:ascii="Verdana" w:hAnsi="Verdana"/>
          <w:color w:val="212121"/>
          <w:sz w:val="20"/>
          <w:szCs w:val="16"/>
        </w:rPr>
        <w:t>casos de pena de muerte</w:t>
      </w:r>
      <w:r w:rsidR="00DA2B83" w:rsidRPr="00182F51">
        <w:rPr>
          <w:rFonts w:ascii="Verdana" w:hAnsi="Verdana"/>
          <w:color w:val="212121"/>
          <w:sz w:val="20"/>
          <w:szCs w:val="16"/>
        </w:rPr>
        <w:t>; 5.</w:t>
      </w:r>
      <w:r w:rsidR="003D4EEC">
        <w:rPr>
          <w:rFonts w:ascii="Verdana" w:hAnsi="Verdana"/>
          <w:color w:val="212121"/>
          <w:sz w:val="20"/>
          <w:szCs w:val="16"/>
        </w:rPr>
        <w:t xml:space="preserve"> […]</w:t>
      </w:r>
      <w:r w:rsidR="00CF3F4B">
        <w:rPr>
          <w:rFonts w:ascii="Verdana" w:hAnsi="Verdana"/>
          <w:color w:val="212121"/>
          <w:sz w:val="20"/>
          <w:szCs w:val="16"/>
        </w:rPr>
        <w:t xml:space="preserve"> </w:t>
      </w:r>
      <w:r w:rsidR="00CF3F4B" w:rsidRPr="00F851A9">
        <w:rPr>
          <w:rFonts w:ascii="Verdana" w:hAnsi="Verdana"/>
          <w:sz w:val="20"/>
          <w:szCs w:val="20"/>
        </w:rPr>
        <w:t>Adicionalmente, la Comisión solicitó que dichos peritajes sean recibidos en audiencia pública</w:t>
      </w:r>
      <w:r w:rsidR="00CF3F4B">
        <w:rPr>
          <w:rFonts w:ascii="Verdana" w:hAnsi="Verdana"/>
          <w:sz w:val="20"/>
          <w:szCs w:val="20"/>
        </w:rPr>
        <w:t>.</w:t>
      </w:r>
      <w:r w:rsidR="00A038E9">
        <w:rPr>
          <w:rFonts w:ascii="Verdana" w:hAnsi="Verdana"/>
          <w:sz w:val="20"/>
          <w:szCs w:val="20"/>
        </w:rPr>
        <w:t xml:space="preserve"> </w:t>
      </w:r>
    </w:p>
    <w:p w:rsidR="003D4EEC" w:rsidRPr="003D4EEC" w:rsidRDefault="003D4EEC" w:rsidP="003D4EEC">
      <w:pPr>
        <w:pStyle w:val="Normal1"/>
        <w:widowControl/>
        <w:contextualSpacing/>
        <w:jc w:val="both"/>
        <w:rPr>
          <w:rFonts w:ascii="Verdana" w:hAnsi="Verdana"/>
          <w:sz w:val="20"/>
          <w:szCs w:val="20"/>
        </w:rPr>
      </w:pPr>
    </w:p>
    <w:p w:rsidR="007D4BCB" w:rsidRPr="00B205BC" w:rsidRDefault="007D1889" w:rsidP="00B205BC">
      <w:pPr>
        <w:pStyle w:val="Normal1"/>
        <w:widowControl/>
        <w:numPr>
          <w:ilvl w:val="0"/>
          <w:numId w:val="2"/>
        </w:numPr>
        <w:contextualSpacing/>
        <w:jc w:val="both"/>
        <w:rPr>
          <w:rFonts w:ascii="Verdana" w:hAnsi="Verdana"/>
          <w:sz w:val="20"/>
          <w:szCs w:val="20"/>
        </w:rPr>
      </w:pPr>
      <w:r w:rsidRPr="00B205BC">
        <w:rPr>
          <w:rFonts w:ascii="Verdana" w:hAnsi="Verdana"/>
          <w:color w:val="212121"/>
          <w:sz w:val="20"/>
          <w:szCs w:val="16"/>
        </w:rPr>
        <w:t>El</w:t>
      </w:r>
      <w:r w:rsidRPr="00B205BC">
        <w:rPr>
          <w:rFonts w:ascii="Verdana" w:hAnsi="Verdana"/>
          <w:b/>
          <w:color w:val="212121"/>
          <w:sz w:val="20"/>
          <w:szCs w:val="16"/>
        </w:rPr>
        <w:t xml:space="preserve"> </w:t>
      </w:r>
      <w:r w:rsidRPr="00171EC3">
        <w:rPr>
          <w:rFonts w:ascii="Verdana" w:hAnsi="Verdana"/>
          <w:b/>
          <w:i/>
          <w:color w:val="212121"/>
          <w:sz w:val="20"/>
          <w:szCs w:val="16"/>
        </w:rPr>
        <w:t>Estado</w:t>
      </w:r>
      <w:r w:rsidRPr="00171EC3">
        <w:rPr>
          <w:rFonts w:ascii="Verdana" w:hAnsi="Verdana"/>
          <w:i/>
          <w:color w:val="212121"/>
          <w:sz w:val="20"/>
          <w:szCs w:val="16"/>
        </w:rPr>
        <w:t xml:space="preserve"> </w:t>
      </w:r>
      <w:r w:rsidR="007D4BCB" w:rsidRPr="00B205BC">
        <w:rPr>
          <w:rFonts w:ascii="Verdana" w:hAnsi="Verdana"/>
          <w:color w:val="212121"/>
          <w:sz w:val="20"/>
          <w:szCs w:val="16"/>
        </w:rPr>
        <w:t>en su escrito de observaciones a la lista definitiva de peritos propuestos por la Comisión indicó que “tanto el Estado, c</w:t>
      </w:r>
      <w:r w:rsidR="00B205BC" w:rsidRPr="00B205BC">
        <w:rPr>
          <w:rFonts w:ascii="Verdana" w:hAnsi="Verdana"/>
          <w:color w:val="212121"/>
          <w:sz w:val="20"/>
          <w:szCs w:val="16"/>
        </w:rPr>
        <w:t>omo los miembros de la […]</w:t>
      </w:r>
      <w:r w:rsidR="007D4BCB" w:rsidRPr="00B205BC">
        <w:rPr>
          <w:rFonts w:ascii="Verdana" w:hAnsi="Verdana"/>
          <w:color w:val="212121"/>
          <w:sz w:val="20"/>
          <w:szCs w:val="16"/>
        </w:rPr>
        <w:t xml:space="preserve"> Corte conocen perfectamente las obligaciones y los deberes que se adquieren y se desprenden de los tratados ratificados por los Estados, por lo que […] no hay necesidad que dos peritos expongan en función de un caso en particular”.</w:t>
      </w:r>
      <w:r w:rsidR="00852655">
        <w:rPr>
          <w:rFonts w:ascii="Verdana" w:hAnsi="Verdana"/>
          <w:color w:val="212121"/>
          <w:sz w:val="20"/>
          <w:szCs w:val="16"/>
        </w:rPr>
        <w:t xml:space="preserve"> Además que la intervención de los peritos no cumple con el artículo 35.1.f) del Reglamento</w:t>
      </w:r>
      <w:r w:rsidR="00832417">
        <w:rPr>
          <w:rStyle w:val="FootnoteReference"/>
          <w:rFonts w:ascii="Verdana" w:hAnsi="Verdana"/>
          <w:color w:val="212121"/>
          <w:sz w:val="20"/>
          <w:szCs w:val="16"/>
        </w:rPr>
        <w:footnoteReference w:id="23"/>
      </w:r>
      <w:r w:rsidR="00852655">
        <w:rPr>
          <w:rFonts w:ascii="Verdana" w:hAnsi="Verdana"/>
          <w:color w:val="212121"/>
          <w:sz w:val="20"/>
          <w:szCs w:val="16"/>
        </w:rPr>
        <w:t>.</w:t>
      </w:r>
    </w:p>
    <w:p w:rsidR="007D1889" w:rsidRPr="007D4BCB" w:rsidRDefault="007D1889" w:rsidP="004F1037">
      <w:pPr>
        <w:pStyle w:val="Normal1"/>
        <w:widowControl/>
        <w:contextualSpacing/>
        <w:jc w:val="both"/>
        <w:rPr>
          <w:szCs w:val="20"/>
        </w:rPr>
      </w:pPr>
    </w:p>
    <w:p w:rsidR="007D1889" w:rsidRDefault="007D701C" w:rsidP="007D1889">
      <w:pPr>
        <w:pStyle w:val="Normal1"/>
        <w:widowControl/>
        <w:numPr>
          <w:ilvl w:val="0"/>
          <w:numId w:val="2"/>
        </w:numPr>
        <w:autoSpaceDE w:val="0"/>
        <w:autoSpaceDN w:val="0"/>
        <w:adjustRightInd w:val="0"/>
        <w:contextualSpacing/>
        <w:jc w:val="both"/>
        <w:rPr>
          <w:rFonts w:ascii="Verdana" w:hAnsi="Verdana"/>
          <w:sz w:val="20"/>
          <w:szCs w:val="20"/>
        </w:rPr>
      </w:pPr>
      <w:r>
        <w:rPr>
          <w:rFonts w:ascii="Verdana" w:hAnsi="Verdana"/>
          <w:sz w:val="20"/>
          <w:szCs w:val="20"/>
        </w:rPr>
        <w:t>E</w:t>
      </w:r>
      <w:r w:rsidR="007D1889" w:rsidRPr="009F0E31">
        <w:rPr>
          <w:rFonts w:ascii="Verdana" w:hAnsi="Verdana"/>
          <w:sz w:val="20"/>
          <w:szCs w:val="20"/>
        </w:rPr>
        <w:t xml:space="preserve">l Presidente recuerda que </w:t>
      </w:r>
      <w:r w:rsidR="007D1889">
        <w:rPr>
          <w:rFonts w:ascii="Verdana" w:hAnsi="Verdana"/>
          <w:sz w:val="20"/>
          <w:szCs w:val="20"/>
        </w:rPr>
        <w:t>el ofrecimiento de dictámenes</w:t>
      </w:r>
      <w:r w:rsidR="007D1889" w:rsidRPr="009F0E31">
        <w:rPr>
          <w:rFonts w:ascii="Verdana" w:hAnsi="Verdana"/>
          <w:sz w:val="20"/>
          <w:szCs w:val="20"/>
        </w:rPr>
        <w:t xml:space="preserve"> periciales por parte de la Comisión, se fundamenta en el artículo 35.1.f</w:t>
      </w:r>
      <w:r w:rsidR="001A4F23">
        <w:rPr>
          <w:rFonts w:ascii="Verdana" w:hAnsi="Verdana"/>
          <w:sz w:val="20"/>
          <w:szCs w:val="20"/>
        </w:rPr>
        <w:t>)</w:t>
      </w:r>
      <w:r w:rsidR="007D1889" w:rsidRPr="009F0E31">
        <w:rPr>
          <w:rStyle w:val="FootnoteReference"/>
          <w:rFonts w:ascii="Verdana" w:hAnsi="Verdana"/>
          <w:sz w:val="20"/>
          <w:szCs w:val="20"/>
        </w:rPr>
        <w:footnoteReference w:id="24"/>
      </w:r>
      <w:r w:rsidR="007D1889" w:rsidRPr="009F0E31">
        <w:rPr>
          <w:rFonts w:ascii="Verdana" w:hAnsi="Verdana"/>
          <w:sz w:val="20"/>
          <w:szCs w:val="20"/>
        </w:rPr>
        <w:t xml:space="preserve"> del Reglamento, en donde se supedita el eventual ofrecimiento de peritos cuando se afecte de manera relevante el orden público interamericano de los derechos humanos, lo cual corresponde a la Comisión sustentar. En este sentido, esta Presidencia considera que, el objeto del peritaje conjunto ofrecido por la Comisión trasciende el interés de las partes en litigio y el objeto específico de este caso. El peritaje propuesto abarcaría las obligaciones estatales en materia de aplicación de la pena de muerte y </w:t>
      </w:r>
      <w:r w:rsidR="007D1889" w:rsidRPr="009F0E31">
        <w:rPr>
          <w:rFonts w:ascii="Verdana" w:hAnsi="Verdana"/>
          <w:color w:val="212121"/>
          <w:sz w:val="20"/>
          <w:szCs w:val="20"/>
        </w:rPr>
        <w:t xml:space="preserve">las cuestiones de debido </w:t>
      </w:r>
      <w:r w:rsidR="007D1889" w:rsidRPr="009F0E31">
        <w:rPr>
          <w:rFonts w:ascii="Verdana" w:hAnsi="Verdana"/>
          <w:color w:val="212121"/>
          <w:sz w:val="20"/>
          <w:szCs w:val="20"/>
        </w:rPr>
        <w:lastRenderedPageBreak/>
        <w:t>proceso penal en el marco de proceso</w:t>
      </w:r>
      <w:r w:rsidR="00CF3F4B">
        <w:rPr>
          <w:rFonts w:ascii="Verdana" w:hAnsi="Verdana"/>
          <w:color w:val="212121"/>
          <w:sz w:val="20"/>
          <w:szCs w:val="20"/>
        </w:rPr>
        <w:t>s</w:t>
      </w:r>
      <w:r w:rsidR="007D1889" w:rsidRPr="009F0E31">
        <w:rPr>
          <w:rFonts w:ascii="Verdana" w:hAnsi="Verdana"/>
          <w:color w:val="212121"/>
          <w:sz w:val="20"/>
          <w:szCs w:val="20"/>
        </w:rPr>
        <w:t xml:space="preserve"> penales que prevén la aplicación de </w:t>
      </w:r>
      <w:r w:rsidR="007D1889" w:rsidRPr="009F0E31">
        <w:rPr>
          <w:rFonts w:ascii="Verdana" w:hAnsi="Verdana"/>
          <w:color w:val="0F0F0F"/>
          <w:sz w:val="20"/>
          <w:szCs w:val="20"/>
        </w:rPr>
        <w:t xml:space="preserve">la </w:t>
      </w:r>
      <w:r w:rsidR="007D1889" w:rsidRPr="009F0E31">
        <w:rPr>
          <w:rFonts w:ascii="Verdana" w:hAnsi="Verdana"/>
          <w:color w:val="212121"/>
          <w:sz w:val="20"/>
          <w:szCs w:val="20"/>
        </w:rPr>
        <w:t>pena de muerte</w:t>
      </w:r>
      <w:r w:rsidR="007D1889" w:rsidRPr="009F0E31">
        <w:rPr>
          <w:rFonts w:ascii="Verdana" w:hAnsi="Verdana"/>
          <w:sz w:val="20"/>
          <w:szCs w:val="20"/>
        </w:rPr>
        <w:t xml:space="preserve">. </w:t>
      </w:r>
      <w:r w:rsidR="004A6515">
        <w:rPr>
          <w:rFonts w:ascii="Verdana" w:hAnsi="Verdana"/>
          <w:sz w:val="20"/>
          <w:szCs w:val="20"/>
        </w:rPr>
        <w:t>Consecuentemente, el Presidente estima pertinente admitir el dictamen pericial conjunto ofrecido por la Comisión.</w:t>
      </w:r>
    </w:p>
    <w:p w:rsidR="00DA2B83" w:rsidRPr="00FB23D7" w:rsidRDefault="00DA2B83" w:rsidP="00DA2B83">
      <w:pPr>
        <w:pStyle w:val="Normal1"/>
        <w:widowControl/>
        <w:autoSpaceDE w:val="0"/>
        <w:autoSpaceDN w:val="0"/>
        <w:adjustRightInd w:val="0"/>
        <w:contextualSpacing/>
        <w:jc w:val="both"/>
        <w:rPr>
          <w:rFonts w:ascii="Verdana" w:hAnsi="Verdana"/>
          <w:sz w:val="20"/>
          <w:szCs w:val="20"/>
        </w:rPr>
      </w:pPr>
    </w:p>
    <w:p w:rsidR="00DA2B83" w:rsidRPr="00441C82" w:rsidRDefault="00DA2B83" w:rsidP="00DA2B83">
      <w:pPr>
        <w:pStyle w:val="Normal1"/>
        <w:widowControl/>
        <w:numPr>
          <w:ilvl w:val="0"/>
          <w:numId w:val="2"/>
        </w:numPr>
        <w:autoSpaceDE w:val="0"/>
        <w:autoSpaceDN w:val="0"/>
        <w:adjustRightInd w:val="0"/>
        <w:contextualSpacing/>
        <w:jc w:val="both"/>
        <w:rPr>
          <w:rFonts w:ascii="Verdana" w:hAnsi="Verdana"/>
          <w:sz w:val="20"/>
          <w:szCs w:val="20"/>
        </w:rPr>
      </w:pPr>
      <w:r>
        <w:rPr>
          <w:rFonts w:ascii="Verdana" w:hAnsi="Verdana"/>
          <w:sz w:val="20"/>
          <w:szCs w:val="20"/>
        </w:rPr>
        <w:t xml:space="preserve">Este peritaje se admite </w:t>
      </w:r>
      <w:r w:rsidRPr="00441C82">
        <w:rPr>
          <w:rFonts w:ascii="Verdana" w:hAnsi="Verdana"/>
          <w:sz w:val="20"/>
          <w:szCs w:val="20"/>
        </w:rPr>
        <w:t>según el objeto y modalidad determinados en la parte resolutiva de la presente Resolución</w:t>
      </w:r>
      <w:r>
        <w:t>.</w:t>
      </w:r>
    </w:p>
    <w:p w:rsidR="00F36F03" w:rsidRPr="0058359E" w:rsidRDefault="00F36F03" w:rsidP="0058359E">
      <w:pPr>
        <w:pStyle w:val="ListParagraph"/>
        <w:tabs>
          <w:tab w:val="left" w:pos="567"/>
        </w:tabs>
        <w:autoSpaceDE w:val="0"/>
        <w:autoSpaceDN w:val="0"/>
        <w:adjustRightInd w:val="0"/>
        <w:spacing w:after="0"/>
        <w:ind w:left="0"/>
        <w:rPr>
          <w:color w:val="000000" w:themeColor="text1"/>
          <w:lang w:val="es-ES"/>
        </w:rPr>
      </w:pPr>
    </w:p>
    <w:p w:rsidR="007511E0" w:rsidRPr="004F1037" w:rsidRDefault="00A03683" w:rsidP="004F1037">
      <w:pPr>
        <w:pStyle w:val="ListParagraph"/>
        <w:numPr>
          <w:ilvl w:val="0"/>
          <w:numId w:val="5"/>
        </w:numPr>
        <w:spacing w:after="0"/>
        <w:rPr>
          <w:b/>
          <w:i/>
          <w:szCs w:val="20"/>
          <w:lang w:val="es-CR"/>
        </w:rPr>
      </w:pPr>
      <w:r w:rsidRPr="004F1037">
        <w:rPr>
          <w:b/>
          <w:i/>
          <w:szCs w:val="20"/>
          <w:lang w:val="es-CR"/>
        </w:rPr>
        <w:t xml:space="preserve"> </w:t>
      </w:r>
      <w:r w:rsidR="007511E0" w:rsidRPr="004F1037">
        <w:rPr>
          <w:b/>
          <w:i/>
          <w:szCs w:val="20"/>
          <w:lang w:val="es-CR"/>
        </w:rPr>
        <w:t>Aplicación del Fondo de Asistencia Legal de Víctimas ante la Corte</w:t>
      </w:r>
    </w:p>
    <w:p w:rsidR="007511E0" w:rsidRPr="00CF16E2" w:rsidRDefault="007511E0" w:rsidP="007511E0">
      <w:pPr>
        <w:pStyle w:val="ListParagraph"/>
        <w:tabs>
          <w:tab w:val="left" w:pos="567"/>
        </w:tabs>
        <w:autoSpaceDE w:val="0"/>
        <w:autoSpaceDN w:val="0"/>
        <w:adjustRightInd w:val="0"/>
        <w:spacing w:after="0"/>
        <w:rPr>
          <w:color w:val="000000" w:themeColor="text1"/>
          <w:lang w:val="es-ES"/>
        </w:rPr>
      </w:pPr>
    </w:p>
    <w:p w:rsidR="00F36F03" w:rsidRDefault="007511E0" w:rsidP="002D5F03">
      <w:pPr>
        <w:pStyle w:val="ListParagraph"/>
        <w:numPr>
          <w:ilvl w:val="0"/>
          <w:numId w:val="2"/>
        </w:numPr>
        <w:spacing w:after="0"/>
        <w:rPr>
          <w:lang w:val="es-ES"/>
        </w:rPr>
      </w:pPr>
      <w:r w:rsidRPr="0058359E">
        <w:rPr>
          <w:color w:val="000000" w:themeColor="text1"/>
          <w:lang w:val="es-ES"/>
        </w:rPr>
        <w:t xml:space="preserve">En la </w:t>
      </w:r>
      <w:r w:rsidR="004F6953">
        <w:rPr>
          <w:color w:val="000000" w:themeColor="text1"/>
          <w:lang w:val="es-ES"/>
        </w:rPr>
        <w:t xml:space="preserve">decisión </w:t>
      </w:r>
      <w:r w:rsidRPr="0058359E">
        <w:rPr>
          <w:color w:val="000000" w:themeColor="text1"/>
          <w:lang w:val="es-ES"/>
        </w:rPr>
        <w:t>adoptada por esta Presidencia de 12 de octubre de 2018 (</w:t>
      </w:r>
      <w:r w:rsidRPr="008E5CBA">
        <w:rPr>
          <w:i/>
          <w:color w:val="000000" w:themeColor="text1"/>
          <w:lang w:val="es-ES"/>
        </w:rPr>
        <w:t xml:space="preserve">supra </w:t>
      </w:r>
      <w:r w:rsidRPr="0058359E">
        <w:rPr>
          <w:color w:val="000000" w:themeColor="text1"/>
          <w:lang w:val="es-ES"/>
        </w:rPr>
        <w:t xml:space="preserve">Visto 6), se resolvió declarar procedente la solicitud realizada para acogerse al Fondo de Asistencia Legal de Víctimas de la Corte Interamericana. En dicha </w:t>
      </w:r>
      <w:r w:rsidR="004F6953">
        <w:rPr>
          <w:color w:val="000000" w:themeColor="text1"/>
          <w:lang w:val="es-ES"/>
        </w:rPr>
        <w:t>comunicación</w:t>
      </w:r>
      <w:r w:rsidR="00B83B34">
        <w:rPr>
          <w:color w:val="000000" w:themeColor="text1"/>
          <w:lang w:val="es-ES"/>
        </w:rPr>
        <w:t xml:space="preserve"> </w:t>
      </w:r>
      <w:r w:rsidRPr="0058359E">
        <w:rPr>
          <w:color w:val="000000" w:themeColor="text1"/>
          <w:lang w:val="es-ES"/>
        </w:rPr>
        <w:t>se resolvió que se otorgaría a las solicitantes el apoyo económico necesario para la presentación de tres declaraciones, ya fuera en audiencia o por afidávit. Corresponde seguidamente precisar el monto, destino y objeto específicos de dicha asistencia.</w:t>
      </w:r>
    </w:p>
    <w:p w:rsidR="00F36F03" w:rsidRPr="0058359E" w:rsidRDefault="00F36F03" w:rsidP="002D5F03">
      <w:pPr>
        <w:tabs>
          <w:tab w:val="left" w:pos="567"/>
        </w:tabs>
        <w:autoSpaceDE w:val="0"/>
        <w:autoSpaceDN w:val="0"/>
        <w:adjustRightInd w:val="0"/>
        <w:spacing w:after="0"/>
        <w:rPr>
          <w:color w:val="000000" w:themeColor="text1"/>
          <w:lang w:val="es-ES"/>
        </w:rPr>
      </w:pPr>
    </w:p>
    <w:p w:rsidR="004218D7" w:rsidRPr="004218D7" w:rsidRDefault="007511E0" w:rsidP="007511E0">
      <w:pPr>
        <w:pStyle w:val="ListParagraph"/>
        <w:numPr>
          <w:ilvl w:val="0"/>
          <w:numId w:val="2"/>
        </w:numPr>
        <w:tabs>
          <w:tab w:val="left" w:pos="567"/>
        </w:tabs>
        <w:autoSpaceDE w:val="0"/>
        <w:autoSpaceDN w:val="0"/>
        <w:adjustRightInd w:val="0"/>
        <w:spacing w:after="0"/>
      </w:pPr>
      <w:r w:rsidRPr="00CF16E2">
        <w:rPr>
          <w:lang w:val="es-ES"/>
        </w:rPr>
        <w:t xml:space="preserve">En </w:t>
      </w:r>
      <w:r w:rsidR="008D2B25">
        <w:rPr>
          <w:lang w:val="es-ES"/>
        </w:rPr>
        <w:t xml:space="preserve">razón </w:t>
      </w:r>
      <w:r w:rsidRPr="00CF16E2">
        <w:rPr>
          <w:lang w:val="es-ES"/>
        </w:rPr>
        <w:t xml:space="preserve">de lo anterior, el Presidente dispone que la asistencia económica estará asignada </w:t>
      </w:r>
      <w:r w:rsidR="00E674E3">
        <w:rPr>
          <w:lang w:val="es-ES"/>
        </w:rPr>
        <w:t xml:space="preserve">para cubrir los gastos de viaje, traslado, hospedaje y viáticos </w:t>
      </w:r>
      <w:r w:rsidRPr="00CF16E2">
        <w:rPr>
          <w:lang w:val="es-ES"/>
        </w:rPr>
        <w:t xml:space="preserve">necesarios para que </w:t>
      </w:r>
      <w:r w:rsidR="002D5F03">
        <w:rPr>
          <w:lang w:val="es-ES"/>
        </w:rPr>
        <w:t xml:space="preserve">la señora </w:t>
      </w:r>
      <w:r w:rsidR="004218D7">
        <w:rPr>
          <w:lang w:val="es-ES"/>
        </w:rPr>
        <w:t>Ana Marina Velázquez</w:t>
      </w:r>
      <w:r w:rsidR="00E674E3">
        <w:rPr>
          <w:lang w:val="es-ES"/>
        </w:rPr>
        <w:t xml:space="preserve"> </w:t>
      </w:r>
      <w:r w:rsidRPr="00CF16E2">
        <w:rPr>
          <w:lang w:val="es-ES"/>
        </w:rPr>
        <w:t>y</w:t>
      </w:r>
      <w:r w:rsidR="00E674E3">
        <w:rPr>
          <w:lang w:val="es-ES"/>
        </w:rPr>
        <w:t xml:space="preserve"> los</w:t>
      </w:r>
      <w:r w:rsidR="002D5F03">
        <w:rPr>
          <w:lang w:val="es-ES"/>
        </w:rPr>
        <w:t xml:space="preserve"> señor</w:t>
      </w:r>
      <w:r w:rsidR="00E674E3">
        <w:rPr>
          <w:lang w:val="es-ES"/>
        </w:rPr>
        <w:t>es</w:t>
      </w:r>
      <w:r w:rsidRPr="00CF16E2">
        <w:rPr>
          <w:lang w:val="es-ES"/>
        </w:rPr>
        <w:t xml:space="preserve"> Jorge Santos</w:t>
      </w:r>
      <w:r w:rsidR="00E674E3">
        <w:rPr>
          <w:lang w:val="es-ES"/>
        </w:rPr>
        <w:t xml:space="preserve"> y Guillermo </w:t>
      </w:r>
      <w:proofErr w:type="spellStart"/>
      <w:r w:rsidR="00E674E3">
        <w:rPr>
          <w:lang w:val="es-ES"/>
        </w:rPr>
        <w:t>Austreberto</w:t>
      </w:r>
      <w:proofErr w:type="spellEnd"/>
      <w:r w:rsidR="00E674E3">
        <w:rPr>
          <w:lang w:val="es-ES"/>
        </w:rPr>
        <w:t xml:space="preserve"> Carranza</w:t>
      </w:r>
      <w:r w:rsidRPr="00CF16E2">
        <w:rPr>
          <w:lang w:val="es-ES"/>
        </w:rPr>
        <w:t xml:space="preserve"> comparezcan ante el Tribunal a rendir su</w:t>
      </w:r>
      <w:r w:rsidR="00E674E3">
        <w:rPr>
          <w:lang w:val="es-ES"/>
        </w:rPr>
        <w:t>s declaraciones y peritaje</w:t>
      </w:r>
      <w:r w:rsidRPr="00CF16E2">
        <w:rPr>
          <w:lang w:val="es-ES"/>
        </w:rPr>
        <w:t xml:space="preserve"> en la audiencia pública por celebrarse en el presente caso. </w:t>
      </w:r>
    </w:p>
    <w:p w:rsidR="004218D7" w:rsidRPr="004218D7" w:rsidRDefault="004218D7" w:rsidP="004218D7">
      <w:pPr>
        <w:pStyle w:val="ListParagraph"/>
        <w:tabs>
          <w:tab w:val="left" w:pos="567"/>
        </w:tabs>
        <w:autoSpaceDE w:val="0"/>
        <w:autoSpaceDN w:val="0"/>
        <w:adjustRightInd w:val="0"/>
        <w:spacing w:after="0"/>
        <w:ind w:left="0"/>
      </w:pPr>
    </w:p>
    <w:p w:rsidR="004218D7" w:rsidRPr="004218D7" w:rsidRDefault="007511E0" w:rsidP="007511E0">
      <w:pPr>
        <w:pStyle w:val="ListParagraph"/>
        <w:numPr>
          <w:ilvl w:val="0"/>
          <w:numId w:val="2"/>
        </w:numPr>
        <w:tabs>
          <w:tab w:val="left" w:pos="567"/>
        </w:tabs>
        <w:autoSpaceDE w:val="0"/>
        <w:autoSpaceDN w:val="0"/>
        <w:adjustRightInd w:val="0"/>
        <w:spacing w:after="0"/>
      </w:pPr>
      <w:r w:rsidRPr="004218D7">
        <w:rPr>
          <w:color w:val="000000" w:themeColor="text1"/>
          <w:lang w:val="es-ES"/>
        </w:rPr>
        <w:t>La Corte realizará las gestiones pertinentes y necesarias para cubrir los costos de traslado, alojamiento y manutención de las personas comparecientes con recursos provenientes del Fondo de Asistencia.</w:t>
      </w:r>
    </w:p>
    <w:p w:rsidR="004218D7" w:rsidRPr="004218D7" w:rsidRDefault="004218D7" w:rsidP="004218D7">
      <w:pPr>
        <w:pStyle w:val="ListParagraph"/>
        <w:tabs>
          <w:tab w:val="left" w:pos="567"/>
        </w:tabs>
        <w:autoSpaceDE w:val="0"/>
        <w:autoSpaceDN w:val="0"/>
        <w:adjustRightInd w:val="0"/>
        <w:spacing w:after="0"/>
        <w:ind w:left="0"/>
      </w:pPr>
    </w:p>
    <w:p w:rsidR="004218D7" w:rsidRPr="004218D7" w:rsidRDefault="007511E0" w:rsidP="007511E0">
      <w:pPr>
        <w:pStyle w:val="ListParagraph"/>
        <w:numPr>
          <w:ilvl w:val="0"/>
          <w:numId w:val="2"/>
        </w:numPr>
        <w:tabs>
          <w:tab w:val="left" w:pos="567"/>
        </w:tabs>
        <w:autoSpaceDE w:val="0"/>
        <w:autoSpaceDN w:val="0"/>
        <w:adjustRightInd w:val="0"/>
        <w:spacing w:after="0"/>
      </w:pPr>
      <w:r w:rsidRPr="004218D7">
        <w:rPr>
          <w:color w:val="000000" w:themeColor="text1"/>
          <w:lang w:val="es-ES"/>
        </w:rPr>
        <w:t>Según lo requerido por el artículo 4 del Reglamento de la Corte sobre el Funcionamiento del Fondo de Asistencia, se dispone que la Secretaría abra un expediente de gastos con el fin de llevar la contabilidad y en el cual se documentará cada una de las erogaciones que se realicen en relación con el referido Fondo.</w:t>
      </w:r>
    </w:p>
    <w:p w:rsidR="004218D7" w:rsidRPr="004218D7" w:rsidRDefault="004218D7" w:rsidP="004218D7">
      <w:pPr>
        <w:pStyle w:val="ListParagraph"/>
        <w:tabs>
          <w:tab w:val="left" w:pos="567"/>
        </w:tabs>
        <w:autoSpaceDE w:val="0"/>
        <w:autoSpaceDN w:val="0"/>
        <w:adjustRightInd w:val="0"/>
        <w:spacing w:after="0"/>
        <w:ind w:left="0"/>
      </w:pPr>
    </w:p>
    <w:p w:rsidR="007511E0" w:rsidRPr="004218D7" w:rsidRDefault="007511E0" w:rsidP="007511E0">
      <w:pPr>
        <w:pStyle w:val="ListParagraph"/>
        <w:numPr>
          <w:ilvl w:val="0"/>
          <w:numId w:val="2"/>
        </w:numPr>
        <w:tabs>
          <w:tab w:val="left" w:pos="567"/>
        </w:tabs>
        <w:autoSpaceDE w:val="0"/>
        <w:autoSpaceDN w:val="0"/>
        <w:adjustRightInd w:val="0"/>
        <w:spacing w:after="0"/>
      </w:pPr>
      <w:r w:rsidRPr="004218D7">
        <w:rPr>
          <w:color w:val="000000" w:themeColor="text1"/>
          <w:lang w:val="es-ES"/>
        </w:rPr>
        <w:t>Finalmente, el Presidente recuerda que, según el artículo 5 del Reglamento del Fondo, se informará oportunamente al Estado demandado las erogaciones realizadas en aplicación del Fondo de Asistencia Legal de Víctimas, para que presente sus observaciones, si así lo desea, dentro del plazo que se establezca al efecto.</w:t>
      </w:r>
      <w:r w:rsidRPr="004218D7">
        <w:rPr>
          <w:color w:val="000000" w:themeColor="text1"/>
          <w:lang w:val="es-ES"/>
        </w:rPr>
        <w:cr/>
      </w:r>
    </w:p>
    <w:p w:rsidR="007511E0" w:rsidRPr="00C75778" w:rsidRDefault="007511E0" w:rsidP="007511E0">
      <w:pPr>
        <w:tabs>
          <w:tab w:val="left" w:pos="567"/>
        </w:tabs>
        <w:spacing w:after="0"/>
        <w:rPr>
          <w:rFonts w:cs="Verdana"/>
          <w:b/>
          <w:bCs/>
          <w:szCs w:val="20"/>
        </w:rPr>
      </w:pPr>
      <w:r w:rsidRPr="00C75778">
        <w:rPr>
          <w:rFonts w:cs="Verdana"/>
          <w:b/>
          <w:bCs/>
          <w:szCs w:val="20"/>
        </w:rPr>
        <w:t>POR TANTO:</w:t>
      </w:r>
    </w:p>
    <w:p w:rsidR="007511E0" w:rsidRPr="00C75778" w:rsidRDefault="007511E0" w:rsidP="007511E0">
      <w:pPr>
        <w:spacing w:after="0"/>
        <w:rPr>
          <w:rFonts w:cs="Verdana"/>
          <w:b/>
          <w:bCs/>
          <w:szCs w:val="20"/>
          <w:lang w:val="es-CR"/>
        </w:rPr>
      </w:pPr>
    </w:p>
    <w:p w:rsidR="007511E0" w:rsidRPr="00C75778" w:rsidRDefault="007511E0" w:rsidP="007511E0">
      <w:pPr>
        <w:spacing w:after="0"/>
        <w:rPr>
          <w:rFonts w:cs="Verdana"/>
          <w:b/>
          <w:bCs/>
          <w:szCs w:val="20"/>
          <w:lang w:val="es-CR"/>
        </w:rPr>
      </w:pPr>
      <w:r w:rsidRPr="00C75778">
        <w:rPr>
          <w:rFonts w:cs="Verdana"/>
          <w:b/>
          <w:bCs/>
          <w:szCs w:val="20"/>
          <w:lang w:val="es-CR"/>
        </w:rPr>
        <w:t xml:space="preserve">EL PRESIDENTE DE LA CORTE INTERAMERICANA DE DERECHOS HUMANOS, </w:t>
      </w:r>
    </w:p>
    <w:p w:rsidR="007511E0" w:rsidRPr="00C75778" w:rsidRDefault="007511E0" w:rsidP="007511E0">
      <w:pPr>
        <w:spacing w:after="0"/>
        <w:rPr>
          <w:rFonts w:cs="Verdana"/>
          <w:b/>
          <w:bCs/>
          <w:szCs w:val="20"/>
          <w:lang w:val="es-CR"/>
        </w:rPr>
      </w:pPr>
    </w:p>
    <w:p w:rsidR="007511E0" w:rsidRPr="00C75778" w:rsidRDefault="007511E0" w:rsidP="007511E0">
      <w:pPr>
        <w:spacing w:after="0"/>
        <w:rPr>
          <w:rFonts w:cs="Verdana"/>
          <w:szCs w:val="20"/>
          <w:lang w:val="es-CR"/>
        </w:rPr>
      </w:pPr>
      <w:r w:rsidRPr="00C75778">
        <w:rPr>
          <w:rFonts w:cs="Verdana"/>
          <w:szCs w:val="20"/>
          <w:lang w:val="es-CR"/>
        </w:rPr>
        <w:t xml:space="preserve">de conformidad con los artículos 24.1 y 25.2 del Estatuto de la Corte y con los artículos </w:t>
      </w:r>
      <w:r w:rsidRPr="008E5CBA">
        <w:rPr>
          <w:rFonts w:cs="Verdana"/>
          <w:szCs w:val="20"/>
          <w:lang w:val="es-CR"/>
        </w:rPr>
        <w:t xml:space="preserve">4, 15.1, 26.1, 31.2, 35.1, 40.2, 41.1, 45, </w:t>
      </w:r>
      <w:r w:rsidR="00A53575" w:rsidRPr="00B41C63">
        <w:rPr>
          <w:rFonts w:cs="Verdana"/>
          <w:szCs w:val="20"/>
          <w:lang w:val="es-CR"/>
        </w:rPr>
        <w:t>a</w:t>
      </w:r>
      <w:r w:rsidR="00B83B34" w:rsidRPr="00B41C63">
        <w:rPr>
          <w:rFonts w:cs="Verdana"/>
          <w:szCs w:val="20"/>
          <w:lang w:val="es-CR"/>
        </w:rPr>
        <w:t xml:space="preserve"> 47</w:t>
      </w:r>
      <w:r w:rsidRPr="00B41C63">
        <w:rPr>
          <w:rFonts w:cs="Verdana"/>
          <w:szCs w:val="20"/>
          <w:lang w:val="es-CR"/>
        </w:rPr>
        <w:t xml:space="preserve">, 50 a 56 </w:t>
      </w:r>
      <w:r w:rsidRPr="008E5CBA">
        <w:rPr>
          <w:rFonts w:cs="Verdana"/>
          <w:szCs w:val="20"/>
          <w:lang w:val="es-CR"/>
        </w:rPr>
        <w:t>y 60 del Reglamento,</w:t>
      </w:r>
      <w:r w:rsidRPr="00C75778">
        <w:rPr>
          <w:rFonts w:cs="Verdana"/>
          <w:szCs w:val="20"/>
          <w:lang w:val="es-CR"/>
        </w:rPr>
        <w:t xml:space="preserve"> </w:t>
      </w:r>
    </w:p>
    <w:p w:rsidR="00E674E3" w:rsidRPr="00C75778" w:rsidRDefault="00E674E3" w:rsidP="007511E0">
      <w:pPr>
        <w:spacing w:after="0"/>
        <w:rPr>
          <w:rFonts w:cs="Verdana"/>
          <w:szCs w:val="20"/>
          <w:lang w:val="es-CR"/>
        </w:rPr>
      </w:pPr>
    </w:p>
    <w:p w:rsidR="007511E0" w:rsidRPr="00C75778" w:rsidRDefault="007511E0" w:rsidP="007511E0">
      <w:pPr>
        <w:spacing w:after="0"/>
        <w:rPr>
          <w:rFonts w:cs="Verdana"/>
          <w:b/>
          <w:bCs/>
          <w:szCs w:val="20"/>
          <w:lang w:val="es-CR"/>
        </w:rPr>
      </w:pPr>
      <w:r w:rsidRPr="00C75778">
        <w:rPr>
          <w:rFonts w:cs="Verdana"/>
          <w:b/>
          <w:bCs/>
          <w:szCs w:val="20"/>
          <w:lang w:val="es-CR"/>
        </w:rPr>
        <w:t>RESUELVE:</w:t>
      </w:r>
    </w:p>
    <w:p w:rsidR="007511E0" w:rsidRPr="00C75778" w:rsidRDefault="007511E0" w:rsidP="007511E0">
      <w:pPr>
        <w:spacing w:after="0"/>
        <w:rPr>
          <w:rFonts w:cs="Verdana"/>
          <w:b/>
          <w:bCs/>
          <w:szCs w:val="20"/>
          <w:lang w:val="es-CR"/>
        </w:rPr>
      </w:pPr>
    </w:p>
    <w:p w:rsidR="007511E0" w:rsidRPr="00C75778" w:rsidRDefault="007511E0" w:rsidP="007511E0">
      <w:pPr>
        <w:pStyle w:val="ListParagraph"/>
        <w:widowControl w:val="0"/>
        <w:numPr>
          <w:ilvl w:val="0"/>
          <w:numId w:val="9"/>
        </w:numPr>
        <w:tabs>
          <w:tab w:val="left" w:pos="567"/>
          <w:tab w:val="left" w:pos="810"/>
        </w:tabs>
        <w:autoSpaceDE w:val="0"/>
        <w:autoSpaceDN w:val="0"/>
        <w:adjustRightInd w:val="0"/>
        <w:spacing w:after="0"/>
        <w:ind w:right="22"/>
        <w:contextualSpacing w:val="0"/>
        <w:rPr>
          <w:szCs w:val="20"/>
          <w:lang w:val="es-CR"/>
        </w:rPr>
      </w:pPr>
      <w:bookmarkStart w:id="8" w:name="_Ref230577466"/>
      <w:r w:rsidRPr="00C75778">
        <w:rPr>
          <w:szCs w:val="20"/>
          <w:lang w:val="es-CR"/>
        </w:rPr>
        <w:t>Convocar a la República de</w:t>
      </w:r>
      <w:r>
        <w:rPr>
          <w:szCs w:val="20"/>
          <w:lang w:val="es-CR"/>
        </w:rPr>
        <w:t xml:space="preserve"> Guatemala</w:t>
      </w:r>
      <w:r w:rsidR="00384B12">
        <w:rPr>
          <w:szCs w:val="20"/>
          <w:lang w:val="es-CR"/>
        </w:rPr>
        <w:t>, a la</w:t>
      </w:r>
      <w:r w:rsidRPr="00C75778">
        <w:rPr>
          <w:szCs w:val="20"/>
          <w:lang w:val="es-CR"/>
        </w:rPr>
        <w:t xml:space="preserve">s representantes y a la Comisión Interamericana de Derechos Humanos a una audiencia pública </w:t>
      </w:r>
      <w:r w:rsidR="00856616">
        <w:rPr>
          <w:szCs w:val="20"/>
        </w:rPr>
        <w:t>que se celebrará los días</w:t>
      </w:r>
      <w:r>
        <w:rPr>
          <w:szCs w:val="20"/>
        </w:rPr>
        <w:t xml:space="preserve"> </w:t>
      </w:r>
      <w:r w:rsidR="00856616">
        <w:rPr>
          <w:szCs w:val="20"/>
        </w:rPr>
        <w:t>5</w:t>
      </w:r>
      <w:r>
        <w:rPr>
          <w:szCs w:val="20"/>
        </w:rPr>
        <w:t xml:space="preserve"> de marzo, a partir de las </w:t>
      </w:r>
      <w:r w:rsidR="00856616">
        <w:rPr>
          <w:szCs w:val="20"/>
        </w:rPr>
        <w:t xml:space="preserve">15:00 </w:t>
      </w:r>
      <w:r>
        <w:rPr>
          <w:szCs w:val="20"/>
        </w:rPr>
        <w:t>horas,</w:t>
      </w:r>
      <w:r w:rsidR="00856616">
        <w:rPr>
          <w:szCs w:val="20"/>
        </w:rPr>
        <w:t xml:space="preserve"> y 6 de marzo de 2019 durante el 13</w:t>
      </w:r>
      <w:r>
        <w:rPr>
          <w:szCs w:val="20"/>
        </w:rPr>
        <w:t>0</w:t>
      </w:r>
      <w:r w:rsidRPr="00C75778">
        <w:rPr>
          <w:rFonts w:cs="Verdana"/>
          <w:szCs w:val="20"/>
          <w:lang w:val="es-ES"/>
        </w:rPr>
        <w:t xml:space="preserve">° </w:t>
      </w:r>
      <w:r w:rsidRPr="00C75778">
        <w:rPr>
          <w:szCs w:val="20"/>
        </w:rPr>
        <w:t>Período Ordinario de Sesiones, que se llevará a cabo en la sede de la Corte</w:t>
      </w:r>
      <w:r>
        <w:rPr>
          <w:szCs w:val="20"/>
        </w:rPr>
        <w:t>,</w:t>
      </w:r>
      <w:r w:rsidRPr="00C75778">
        <w:rPr>
          <w:szCs w:val="20"/>
        </w:rPr>
        <w:t xml:space="preserve"> en </w:t>
      </w:r>
      <w:r>
        <w:rPr>
          <w:szCs w:val="20"/>
        </w:rPr>
        <w:t xml:space="preserve">la ciudad de </w:t>
      </w:r>
      <w:r w:rsidRPr="00C75778">
        <w:rPr>
          <w:szCs w:val="20"/>
        </w:rPr>
        <w:t xml:space="preserve">San José, Costa Rica </w:t>
      </w:r>
      <w:bookmarkEnd w:id="8"/>
      <w:r w:rsidRPr="00C75778">
        <w:rPr>
          <w:rFonts w:eastAsia="MS Mincho"/>
          <w:szCs w:val="20"/>
          <w:lang w:val="es-ES"/>
        </w:rPr>
        <w:t xml:space="preserve">para </w:t>
      </w:r>
      <w:r w:rsidRPr="00C75778">
        <w:rPr>
          <w:rFonts w:cs="Verdana"/>
          <w:color w:val="000000" w:themeColor="text1"/>
          <w:szCs w:val="20"/>
          <w:lang w:val="es-ES"/>
        </w:rPr>
        <w:t xml:space="preserve">recibir las declaraciones de las personas que a continuación se mencionan y para recibir los alegatos finales orales y observaciones finales orales, respectivamente, </w:t>
      </w:r>
      <w:r w:rsidRPr="00C75778">
        <w:rPr>
          <w:rFonts w:eastAsia="MS Mincho"/>
          <w:szCs w:val="20"/>
          <w:lang w:val="es-ES"/>
        </w:rPr>
        <w:t>sobre las excepciones preliminares y eventuales fondo, reparaciones y costas:</w:t>
      </w:r>
    </w:p>
    <w:p w:rsidR="007511E0" w:rsidRPr="00C75778" w:rsidRDefault="007511E0" w:rsidP="007511E0">
      <w:pPr>
        <w:pStyle w:val="ListParagraph"/>
        <w:widowControl w:val="0"/>
        <w:tabs>
          <w:tab w:val="left" w:pos="708"/>
        </w:tabs>
        <w:autoSpaceDE w:val="0"/>
        <w:autoSpaceDN w:val="0"/>
        <w:adjustRightInd w:val="0"/>
        <w:spacing w:after="0"/>
        <w:ind w:left="0"/>
        <w:contextualSpacing w:val="0"/>
        <w:rPr>
          <w:szCs w:val="20"/>
          <w:lang w:val="es-CR"/>
        </w:rPr>
      </w:pPr>
    </w:p>
    <w:p w:rsidR="007511E0" w:rsidRPr="00C75778" w:rsidRDefault="00E674E3" w:rsidP="007511E0">
      <w:pPr>
        <w:pStyle w:val="ListParagraph"/>
        <w:numPr>
          <w:ilvl w:val="0"/>
          <w:numId w:val="3"/>
        </w:numPr>
        <w:tabs>
          <w:tab w:val="left" w:pos="708"/>
        </w:tabs>
        <w:autoSpaceDN w:val="0"/>
        <w:spacing w:after="0"/>
        <w:rPr>
          <w:bCs/>
          <w:i/>
          <w:iCs/>
          <w:szCs w:val="20"/>
          <w:lang w:val="es-CR"/>
        </w:rPr>
      </w:pPr>
      <w:r w:rsidRPr="00E674E3">
        <w:rPr>
          <w:b/>
          <w:bCs/>
          <w:iCs/>
          <w:szCs w:val="20"/>
          <w:lang w:val="es-CR"/>
        </w:rPr>
        <w:t>Declarante</w:t>
      </w:r>
      <w:r w:rsidR="007511E0" w:rsidRPr="00C75778">
        <w:rPr>
          <w:bCs/>
          <w:i/>
          <w:iCs/>
          <w:szCs w:val="20"/>
          <w:lang w:val="es-CR"/>
        </w:rPr>
        <w:t xml:space="preserve"> (propuesta por l</w:t>
      </w:r>
      <w:r w:rsidR="007E6B40">
        <w:rPr>
          <w:bCs/>
          <w:i/>
          <w:iCs/>
          <w:szCs w:val="20"/>
          <w:lang w:val="es-CR"/>
        </w:rPr>
        <w:t>a</w:t>
      </w:r>
      <w:r w:rsidR="007511E0" w:rsidRPr="00C75778">
        <w:rPr>
          <w:bCs/>
          <w:i/>
          <w:iCs/>
          <w:szCs w:val="20"/>
          <w:lang w:val="es-CR"/>
        </w:rPr>
        <w:t>s representantes)</w:t>
      </w:r>
    </w:p>
    <w:p w:rsidR="007511E0" w:rsidRPr="00171EC3" w:rsidRDefault="007511E0" w:rsidP="007511E0">
      <w:pPr>
        <w:tabs>
          <w:tab w:val="left" w:pos="567"/>
        </w:tabs>
        <w:spacing w:after="0"/>
        <w:rPr>
          <w:rFonts w:cs="Verdana"/>
          <w:i/>
          <w:iCs/>
          <w:szCs w:val="20"/>
          <w:u w:val="single"/>
          <w:lang w:val="es-ES"/>
        </w:rPr>
      </w:pPr>
    </w:p>
    <w:p w:rsidR="00E674E3" w:rsidRPr="00171EC3" w:rsidRDefault="00E674E3" w:rsidP="00E674E3">
      <w:pPr>
        <w:pStyle w:val="ListParagraph"/>
        <w:widowControl w:val="0"/>
        <w:tabs>
          <w:tab w:val="left" w:pos="567"/>
          <w:tab w:val="left" w:pos="1134"/>
        </w:tabs>
        <w:autoSpaceDE w:val="0"/>
        <w:autoSpaceDN w:val="0"/>
        <w:adjustRightInd w:val="0"/>
        <w:spacing w:after="0"/>
        <w:ind w:right="22"/>
        <w:rPr>
          <w:rFonts w:eastAsiaTheme="minorHAnsi" w:cs="Tahoma"/>
          <w:szCs w:val="20"/>
          <w:lang w:val="es-CR" w:eastAsia="en-US"/>
        </w:rPr>
      </w:pPr>
      <w:r w:rsidRPr="00171EC3">
        <w:rPr>
          <w:rFonts w:eastAsiaTheme="minorHAnsi" w:cs="Tahoma"/>
          <w:i/>
          <w:szCs w:val="20"/>
          <w:lang w:val="es-CR" w:eastAsia="en-US"/>
        </w:rPr>
        <w:t>Ana Marina V</w:t>
      </w:r>
      <w:r>
        <w:rPr>
          <w:rFonts w:eastAsiaTheme="minorHAnsi" w:cs="Tahoma"/>
          <w:i/>
          <w:szCs w:val="20"/>
          <w:lang w:val="es-CR" w:eastAsia="en-US"/>
        </w:rPr>
        <w:t>el</w:t>
      </w:r>
      <w:r w:rsidRPr="00171EC3">
        <w:rPr>
          <w:rFonts w:eastAsiaTheme="minorHAnsi" w:cs="Tahoma"/>
          <w:i/>
          <w:szCs w:val="20"/>
          <w:lang w:val="es-CR" w:eastAsia="en-US"/>
        </w:rPr>
        <w:t xml:space="preserve">ásquez, </w:t>
      </w:r>
      <w:r w:rsidRPr="00171EC3">
        <w:rPr>
          <w:rFonts w:eastAsiaTheme="minorHAnsi" w:cs="Tahoma"/>
          <w:szCs w:val="20"/>
          <w:lang w:val="es-CR" w:eastAsia="en-US"/>
        </w:rPr>
        <w:t>pareja de Hugo Hu</w:t>
      </w:r>
      <w:r>
        <w:rPr>
          <w:rFonts w:eastAsiaTheme="minorHAnsi" w:cs="Tahoma"/>
          <w:szCs w:val="20"/>
          <w:lang w:val="es-CR" w:eastAsia="en-US"/>
        </w:rPr>
        <w:t>m</w:t>
      </w:r>
      <w:r w:rsidRPr="00171EC3">
        <w:rPr>
          <w:rFonts w:eastAsiaTheme="minorHAnsi" w:cs="Tahoma"/>
          <w:szCs w:val="20"/>
          <w:lang w:val="es-CR" w:eastAsia="en-US"/>
        </w:rPr>
        <w:t xml:space="preserve">berto </w:t>
      </w:r>
      <w:r w:rsidR="009C5FA6">
        <w:rPr>
          <w:rFonts w:eastAsiaTheme="minorHAnsi" w:cs="Tahoma"/>
          <w:szCs w:val="20"/>
          <w:lang w:val="es-CR" w:eastAsia="en-US"/>
        </w:rPr>
        <w:t>Ruíz</w:t>
      </w:r>
      <w:r w:rsidRPr="00171EC3">
        <w:rPr>
          <w:rFonts w:eastAsiaTheme="minorHAnsi" w:cs="Tahoma"/>
          <w:szCs w:val="20"/>
          <w:lang w:val="es-CR" w:eastAsia="en-US"/>
        </w:rPr>
        <w:t xml:space="preserve"> Fuentes en la época en la que se produjeron los hechos,</w:t>
      </w:r>
      <w:r w:rsidRPr="00171EC3">
        <w:rPr>
          <w:rFonts w:eastAsiaTheme="minorHAnsi" w:cs="Tahoma"/>
          <w:i/>
          <w:szCs w:val="20"/>
          <w:lang w:val="es-CR" w:eastAsia="en-US"/>
        </w:rPr>
        <w:t xml:space="preserve"> </w:t>
      </w:r>
      <w:r w:rsidRPr="00171EC3">
        <w:rPr>
          <w:rFonts w:eastAsiaTheme="minorHAnsi" w:cs="Tahoma"/>
          <w:szCs w:val="20"/>
          <w:lang w:val="es-CR" w:eastAsia="en-US"/>
        </w:rPr>
        <w:t xml:space="preserve">quien declarará sobre: i) los alegados </w:t>
      </w:r>
      <w:r w:rsidRPr="00171EC3">
        <w:rPr>
          <w:szCs w:val="20"/>
          <w:lang w:val="es-CR"/>
        </w:rPr>
        <w:t>hechos acontecidos en este caso desde la detención de su pareja, incluyendo lo que conoce acerca de los actos de tortura que sufrió Hugo Humberto; ii) l</w:t>
      </w:r>
      <w:r w:rsidR="00956116">
        <w:rPr>
          <w:szCs w:val="20"/>
          <w:lang w:val="es-CR"/>
        </w:rPr>
        <w:t>a</w:t>
      </w:r>
      <w:r w:rsidRPr="00171EC3">
        <w:rPr>
          <w:szCs w:val="20"/>
          <w:lang w:val="es-CR"/>
        </w:rPr>
        <w:t xml:space="preserve"> </w:t>
      </w:r>
      <w:r w:rsidR="00956116" w:rsidRPr="00171EC3">
        <w:rPr>
          <w:szCs w:val="20"/>
          <w:lang w:val="es-CR"/>
        </w:rPr>
        <w:t>alegad</w:t>
      </w:r>
      <w:r w:rsidR="00956116">
        <w:rPr>
          <w:szCs w:val="20"/>
          <w:lang w:val="es-CR"/>
        </w:rPr>
        <w:t>a</w:t>
      </w:r>
      <w:r w:rsidR="00956116" w:rsidRPr="00171EC3">
        <w:rPr>
          <w:szCs w:val="20"/>
          <w:lang w:val="es-CR"/>
        </w:rPr>
        <w:t xml:space="preserve"> </w:t>
      </w:r>
      <w:r w:rsidRPr="00171EC3">
        <w:rPr>
          <w:szCs w:val="20"/>
          <w:lang w:val="es-CR"/>
        </w:rPr>
        <w:t xml:space="preserve">forma en que le afectó el tiempo que permaneció en el corredor de la muerte, los hostigamientos y amenazas que sufrieron ella y su hija tras la fuga de Hugo Humberto y por la búsqueda de justicia; iii) la forma en la que los alegados hechos del caso y la impunidad la afectaron a ella y a su familia, y iv) las supuestas medidas que considera que el Estado debe adoptar para reparar el daño causado, así como otros aspectos relevantes del caso. </w:t>
      </w:r>
    </w:p>
    <w:p w:rsidR="007511E0" w:rsidRPr="0045649B" w:rsidRDefault="007511E0" w:rsidP="007511E0">
      <w:pPr>
        <w:widowControl w:val="0"/>
        <w:tabs>
          <w:tab w:val="left" w:pos="567"/>
          <w:tab w:val="left" w:pos="1134"/>
        </w:tabs>
        <w:autoSpaceDE w:val="0"/>
        <w:autoSpaceDN w:val="0"/>
        <w:adjustRightInd w:val="0"/>
        <w:spacing w:after="0"/>
        <w:ind w:left="709" w:right="22"/>
        <w:rPr>
          <w:szCs w:val="20"/>
          <w:lang w:val="es-CR"/>
        </w:rPr>
      </w:pPr>
    </w:p>
    <w:p w:rsidR="007511E0" w:rsidRPr="00C75778" w:rsidRDefault="00CD3366" w:rsidP="007511E0">
      <w:pPr>
        <w:pStyle w:val="ListParagraph"/>
        <w:numPr>
          <w:ilvl w:val="0"/>
          <w:numId w:val="3"/>
        </w:numPr>
        <w:tabs>
          <w:tab w:val="left" w:pos="708"/>
        </w:tabs>
        <w:autoSpaceDN w:val="0"/>
        <w:spacing w:after="0"/>
        <w:rPr>
          <w:rFonts w:cs="Verdana"/>
          <w:bCs/>
          <w:i/>
          <w:iCs/>
          <w:szCs w:val="20"/>
          <w:lang w:val="es-CR"/>
        </w:rPr>
      </w:pPr>
      <w:r w:rsidRPr="00E674E3">
        <w:rPr>
          <w:b/>
          <w:bCs/>
          <w:i/>
          <w:iCs/>
          <w:szCs w:val="20"/>
          <w:lang w:val="es-CR"/>
        </w:rPr>
        <w:t>Testigo</w:t>
      </w:r>
      <w:r w:rsidR="003D4EEC" w:rsidRPr="00E674E3">
        <w:rPr>
          <w:b/>
          <w:bCs/>
          <w:i/>
          <w:iCs/>
          <w:szCs w:val="20"/>
          <w:lang w:val="es-CR"/>
        </w:rPr>
        <w:t xml:space="preserve"> </w:t>
      </w:r>
      <w:r w:rsidR="003D4EEC">
        <w:rPr>
          <w:bCs/>
          <w:i/>
          <w:iCs/>
          <w:szCs w:val="20"/>
          <w:lang w:val="es-CR"/>
        </w:rPr>
        <w:t>(propuesto por la</w:t>
      </w:r>
      <w:r w:rsidR="007511E0" w:rsidRPr="00C75778">
        <w:rPr>
          <w:bCs/>
          <w:i/>
          <w:iCs/>
          <w:szCs w:val="20"/>
          <w:lang w:val="es-CR"/>
        </w:rPr>
        <w:t>s representantes)</w:t>
      </w:r>
    </w:p>
    <w:p w:rsidR="007511E0" w:rsidRPr="00C75778" w:rsidRDefault="007511E0" w:rsidP="007511E0">
      <w:pPr>
        <w:tabs>
          <w:tab w:val="left" w:pos="1090"/>
        </w:tabs>
        <w:spacing w:after="0"/>
        <w:rPr>
          <w:i/>
          <w:szCs w:val="20"/>
          <w:lang w:val="es-ES"/>
        </w:rPr>
      </w:pPr>
      <w:r w:rsidRPr="00C75778">
        <w:rPr>
          <w:i/>
          <w:szCs w:val="20"/>
          <w:lang w:val="es-ES"/>
        </w:rPr>
        <w:tab/>
      </w:r>
    </w:p>
    <w:p w:rsidR="007511E0" w:rsidRDefault="007511E0" w:rsidP="005B2D55">
      <w:pPr>
        <w:widowControl w:val="0"/>
        <w:tabs>
          <w:tab w:val="left" w:pos="567"/>
          <w:tab w:val="left" w:pos="1134"/>
        </w:tabs>
        <w:autoSpaceDE w:val="0"/>
        <w:autoSpaceDN w:val="0"/>
        <w:adjustRightInd w:val="0"/>
        <w:spacing w:after="0"/>
        <w:ind w:left="709" w:right="22"/>
        <w:rPr>
          <w:b/>
          <w:szCs w:val="20"/>
          <w:lang w:val="es-CR"/>
        </w:rPr>
      </w:pPr>
      <w:r>
        <w:rPr>
          <w:rFonts w:eastAsiaTheme="minorHAnsi" w:cs="Tahoma"/>
          <w:i/>
          <w:szCs w:val="20"/>
          <w:lang w:val="es-ES" w:eastAsia="en-US"/>
        </w:rPr>
        <w:t>Jorge Santos</w:t>
      </w:r>
      <w:r w:rsidRPr="00C75778">
        <w:rPr>
          <w:rFonts w:eastAsiaTheme="minorHAnsi" w:cs="Tahoma"/>
          <w:i/>
          <w:szCs w:val="20"/>
          <w:lang w:val="es-CR" w:eastAsia="en-US"/>
        </w:rPr>
        <w:t xml:space="preserve">, </w:t>
      </w:r>
      <w:r w:rsidRPr="00C75778">
        <w:rPr>
          <w:rFonts w:eastAsiaTheme="minorHAnsi" w:cs="Tahoma"/>
          <w:szCs w:val="20"/>
          <w:lang w:val="es-CR" w:eastAsia="en-US"/>
        </w:rPr>
        <w:t>abogado</w:t>
      </w:r>
      <w:r>
        <w:rPr>
          <w:rFonts w:eastAsiaTheme="minorHAnsi" w:cs="Tahoma"/>
          <w:szCs w:val="20"/>
          <w:lang w:val="es-CR" w:eastAsia="en-US"/>
        </w:rPr>
        <w:t xml:space="preserve"> </w:t>
      </w:r>
      <w:r w:rsidRPr="00FA0D3F">
        <w:rPr>
          <w:szCs w:val="20"/>
          <w:lang w:val="es-CR"/>
        </w:rPr>
        <w:t>que trabajó en la elaboración del Informe Pavón emitido por el Procurador de Derechos Humanos de Guatemala</w:t>
      </w:r>
      <w:r w:rsidRPr="00C75778">
        <w:rPr>
          <w:rFonts w:eastAsiaTheme="minorHAnsi" w:cs="Tahoma"/>
          <w:szCs w:val="20"/>
          <w:lang w:val="es-CR" w:eastAsia="en-US"/>
        </w:rPr>
        <w:t>,</w:t>
      </w:r>
      <w:r w:rsidRPr="00C75778">
        <w:rPr>
          <w:rFonts w:eastAsiaTheme="minorHAnsi" w:cs="Tahoma"/>
          <w:i/>
          <w:szCs w:val="20"/>
          <w:lang w:val="es-CR" w:eastAsia="en-US"/>
        </w:rPr>
        <w:t xml:space="preserve"> </w:t>
      </w:r>
      <w:r w:rsidRPr="00C75778">
        <w:rPr>
          <w:rFonts w:eastAsiaTheme="minorHAnsi" w:cs="Tahoma"/>
          <w:szCs w:val="20"/>
          <w:lang w:val="es-CR" w:eastAsia="en-US"/>
        </w:rPr>
        <w:t xml:space="preserve">quien declarará sobre: i) </w:t>
      </w:r>
      <w:r w:rsidR="008D2B25">
        <w:rPr>
          <w:szCs w:val="20"/>
          <w:lang w:val="es-CR"/>
        </w:rPr>
        <w:t>la alegada práctica de tortura</w:t>
      </w:r>
      <w:r w:rsidRPr="00050F43">
        <w:rPr>
          <w:szCs w:val="20"/>
          <w:lang w:val="es-CR"/>
        </w:rPr>
        <w:t xml:space="preserve"> y limpieza social a través de ejecuciones extrajudiciales selectivas cometidas por parte las fuerzas po</w:t>
      </w:r>
      <w:r w:rsidR="008D2B25">
        <w:rPr>
          <w:szCs w:val="20"/>
          <w:lang w:val="es-CR"/>
        </w:rPr>
        <w:t>liciales en Guatemala en el perí</w:t>
      </w:r>
      <w:r w:rsidRPr="00050F43">
        <w:rPr>
          <w:szCs w:val="20"/>
          <w:lang w:val="es-CR"/>
        </w:rPr>
        <w:t xml:space="preserve">odo 1997 a 2008, los sujetos específicos hacia quienes estaban dirigidas dichas prácticas, los </w:t>
      </w:r>
      <w:r w:rsidRPr="008D2B25">
        <w:rPr>
          <w:i/>
          <w:szCs w:val="20"/>
          <w:lang w:val="es-CR"/>
        </w:rPr>
        <w:t>modus operandi</w:t>
      </w:r>
      <w:r w:rsidRPr="00050F43">
        <w:rPr>
          <w:szCs w:val="20"/>
          <w:lang w:val="es-CR"/>
        </w:rPr>
        <w:t xml:space="preserve"> a los que recurrían las fuerzas de seguridad del Estado, y los patrones de aquiescencia y tolerancia de las fuerzas encargadas de la investigación penal y órganos judiciales, que permitían la impunidad sistémica de los hechos.</w:t>
      </w:r>
      <w:r w:rsidR="00576B67">
        <w:rPr>
          <w:szCs w:val="20"/>
          <w:lang w:val="es-CR"/>
        </w:rPr>
        <w:t xml:space="preserve"> </w:t>
      </w:r>
    </w:p>
    <w:p w:rsidR="00E674E3" w:rsidRDefault="00E674E3" w:rsidP="005B2D55">
      <w:pPr>
        <w:widowControl w:val="0"/>
        <w:tabs>
          <w:tab w:val="left" w:pos="567"/>
          <w:tab w:val="left" w:pos="1134"/>
        </w:tabs>
        <w:autoSpaceDE w:val="0"/>
        <w:autoSpaceDN w:val="0"/>
        <w:adjustRightInd w:val="0"/>
        <w:spacing w:after="0"/>
        <w:ind w:left="709" w:right="22"/>
        <w:rPr>
          <w:rFonts w:cs="Verdana"/>
          <w:szCs w:val="20"/>
          <w:lang w:val="es-ES"/>
        </w:rPr>
      </w:pPr>
    </w:p>
    <w:p w:rsidR="00E674E3" w:rsidRDefault="00E674E3" w:rsidP="00E674E3">
      <w:pPr>
        <w:pStyle w:val="ListParagraph"/>
        <w:widowControl w:val="0"/>
        <w:numPr>
          <w:ilvl w:val="0"/>
          <w:numId w:val="3"/>
        </w:numPr>
        <w:tabs>
          <w:tab w:val="left" w:pos="567"/>
          <w:tab w:val="left" w:pos="1134"/>
        </w:tabs>
        <w:autoSpaceDE w:val="0"/>
        <w:autoSpaceDN w:val="0"/>
        <w:adjustRightInd w:val="0"/>
        <w:spacing w:after="0"/>
        <w:ind w:right="22"/>
        <w:rPr>
          <w:rFonts w:cs="Verdana"/>
          <w:b/>
          <w:szCs w:val="20"/>
          <w:lang w:val="es-ES"/>
        </w:rPr>
      </w:pPr>
      <w:r w:rsidRPr="00E674E3">
        <w:rPr>
          <w:rFonts w:cs="Verdana"/>
          <w:b/>
          <w:szCs w:val="20"/>
          <w:lang w:val="es-ES"/>
        </w:rPr>
        <w:t>Peritos</w:t>
      </w:r>
    </w:p>
    <w:p w:rsidR="00E674E3" w:rsidRDefault="00E674E3" w:rsidP="00E674E3">
      <w:pPr>
        <w:pStyle w:val="ListParagraph"/>
        <w:widowControl w:val="0"/>
        <w:tabs>
          <w:tab w:val="left" w:pos="567"/>
          <w:tab w:val="left" w:pos="1134"/>
        </w:tabs>
        <w:autoSpaceDE w:val="0"/>
        <w:autoSpaceDN w:val="0"/>
        <w:adjustRightInd w:val="0"/>
        <w:spacing w:after="0"/>
        <w:ind w:right="22"/>
        <w:rPr>
          <w:rFonts w:cs="Verdana"/>
          <w:b/>
          <w:szCs w:val="20"/>
          <w:lang w:val="es-ES"/>
        </w:rPr>
      </w:pPr>
    </w:p>
    <w:p w:rsidR="00E674E3" w:rsidRDefault="00E674E3" w:rsidP="00E674E3">
      <w:pPr>
        <w:pStyle w:val="ListParagraph"/>
        <w:widowControl w:val="0"/>
        <w:tabs>
          <w:tab w:val="left" w:pos="567"/>
          <w:tab w:val="left" w:pos="1134"/>
        </w:tabs>
        <w:autoSpaceDE w:val="0"/>
        <w:autoSpaceDN w:val="0"/>
        <w:adjustRightInd w:val="0"/>
        <w:spacing w:after="0"/>
        <w:ind w:right="22"/>
        <w:rPr>
          <w:rFonts w:cs="Verdana"/>
          <w:i/>
          <w:szCs w:val="20"/>
          <w:lang w:val="es-ES"/>
        </w:rPr>
      </w:pPr>
      <w:r w:rsidRPr="00E674E3">
        <w:rPr>
          <w:rFonts w:cs="Verdana"/>
          <w:i/>
          <w:szCs w:val="20"/>
          <w:lang w:val="es-ES"/>
        </w:rPr>
        <w:t>Propuestos por la Comisión</w:t>
      </w:r>
    </w:p>
    <w:p w:rsidR="00E674E3" w:rsidRPr="00E674E3" w:rsidRDefault="00E674E3" w:rsidP="00E674E3">
      <w:pPr>
        <w:pStyle w:val="ListParagraph"/>
        <w:widowControl w:val="0"/>
        <w:tabs>
          <w:tab w:val="left" w:pos="567"/>
          <w:tab w:val="left" w:pos="1134"/>
        </w:tabs>
        <w:autoSpaceDE w:val="0"/>
        <w:autoSpaceDN w:val="0"/>
        <w:adjustRightInd w:val="0"/>
        <w:spacing w:after="0"/>
        <w:ind w:right="22"/>
        <w:rPr>
          <w:rFonts w:cs="Verdana"/>
          <w:i/>
          <w:szCs w:val="20"/>
          <w:lang w:val="es-ES"/>
        </w:rPr>
      </w:pPr>
    </w:p>
    <w:p w:rsidR="00E674E3" w:rsidRDefault="006A64E9" w:rsidP="006A64E9">
      <w:pPr>
        <w:pStyle w:val="ListParagraph"/>
        <w:widowControl w:val="0"/>
        <w:autoSpaceDE w:val="0"/>
        <w:autoSpaceDN w:val="0"/>
        <w:adjustRightInd w:val="0"/>
        <w:spacing w:after="0"/>
        <w:ind w:right="22"/>
        <w:rPr>
          <w:rFonts w:eastAsiaTheme="minorHAnsi" w:cs="Tahoma"/>
          <w:szCs w:val="20"/>
          <w:lang w:eastAsia="en-US"/>
        </w:rPr>
      </w:pPr>
      <w:r>
        <w:rPr>
          <w:rFonts w:eastAsiaTheme="minorHAnsi" w:cs="Tahoma"/>
          <w:i/>
          <w:szCs w:val="20"/>
          <w:lang w:eastAsia="en-US"/>
        </w:rPr>
        <w:t xml:space="preserve">1) </w:t>
      </w:r>
      <w:proofErr w:type="spellStart"/>
      <w:r w:rsidR="00E674E3" w:rsidRPr="00E674E3">
        <w:rPr>
          <w:rFonts w:eastAsiaTheme="minorHAnsi" w:cs="Tahoma"/>
          <w:i/>
          <w:szCs w:val="20"/>
          <w:lang w:eastAsia="en-US"/>
        </w:rPr>
        <w:t>Parvais</w:t>
      </w:r>
      <w:proofErr w:type="spellEnd"/>
      <w:r w:rsidR="00E674E3" w:rsidRPr="00E674E3">
        <w:rPr>
          <w:rFonts w:eastAsiaTheme="minorHAnsi" w:cs="Tahoma"/>
          <w:i/>
          <w:szCs w:val="20"/>
          <w:lang w:eastAsia="en-US"/>
        </w:rPr>
        <w:t xml:space="preserve"> </w:t>
      </w:r>
      <w:proofErr w:type="spellStart"/>
      <w:r w:rsidR="00E674E3" w:rsidRPr="00E674E3">
        <w:rPr>
          <w:rFonts w:eastAsiaTheme="minorHAnsi" w:cs="Tahoma"/>
          <w:i/>
          <w:szCs w:val="20"/>
          <w:lang w:eastAsia="en-US"/>
        </w:rPr>
        <w:t>Jabbar</w:t>
      </w:r>
      <w:proofErr w:type="spellEnd"/>
      <w:r w:rsidR="00E674E3" w:rsidRPr="00E674E3">
        <w:rPr>
          <w:rFonts w:eastAsiaTheme="minorHAnsi" w:cs="Tahoma"/>
          <w:i/>
          <w:szCs w:val="20"/>
          <w:lang w:eastAsia="en-US"/>
        </w:rPr>
        <w:t xml:space="preserve"> y Edward </w:t>
      </w:r>
      <w:proofErr w:type="spellStart"/>
      <w:r w:rsidR="00E674E3" w:rsidRPr="00E674E3">
        <w:rPr>
          <w:rFonts w:eastAsiaTheme="minorHAnsi" w:cs="Tahoma"/>
          <w:i/>
          <w:szCs w:val="20"/>
          <w:lang w:eastAsia="en-US"/>
        </w:rPr>
        <w:t>Fitzgerald</w:t>
      </w:r>
      <w:proofErr w:type="spellEnd"/>
      <w:r w:rsidR="00E674E3" w:rsidRPr="00B41C63">
        <w:rPr>
          <w:rFonts w:eastAsiaTheme="minorHAnsi" w:cs="Tahoma"/>
          <w:szCs w:val="20"/>
          <w:lang w:eastAsia="en-US"/>
        </w:rPr>
        <w:t xml:space="preserve">, quienes rendirán un peritaje en conjunto, tomando en cuenta los hechos del presente caso, sobre: i) los estándares internacionales sobre la pena de muerte en los aspectos relevantes para el presente caso, y ii) las cuestiones de debido proceso penal que plantea el caso como la responsabilidad de control del juez de las actuaciones de la defensa en casos con posibilidad de imponer la pena de muerte. </w:t>
      </w:r>
    </w:p>
    <w:p w:rsidR="006A64E9" w:rsidRPr="00B41C63" w:rsidRDefault="006A64E9" w:rsidP="00E674E3">
      <w:pPr>
        <w:pStyle w:val="ListParagraph"/>
        <w:widowControl w:val="0"/>
        <w:tabs>
          <w:tab w:val="left" w:pos="567"/>
          <w:tab w:val="left" w:pos="1134"/>
        </w:tabs>
        <w:autoSpaceDE w:val="0"/>
        <w:autoSpaceDN w:val="0"/>
        <w:adjustRightInd w:val="0"/>
        <w:spacing w:after="0"/>
        <w:ind w:right="22"/>
        <w:rPr>
          <w:rFonts w:eastAsiaTheme="minorHAnsi" w:cs="Tahoma"/>
          <w:szCs w:val="20"/>
          <w:lang w:eastAsia="en-US"/>
        </w:rPr>
      </w:pPr>
    </w:p>
    <w:p w:rsidR="002E79C3" w:rsidRDefault="006A64E9" w:rsidP="006A64E9">
      <w:pPr>
        <w:pStyle w:val="ListParagraph"/>
        <w:widowControl w:val="0"/>
        <w:autoSpaceDE w:val="0"/>
        <w:autoSpaceDN w:val="0"/>
        <w:adjustRightInd w:val="0"/>
        <w:spacing w:after="0"/>
        <w:ind w:left="0" w:right="22"/>
        <w:contextualSpacing w:val="0"/>
        <w:rPr>
          <w:bCs/>
          <w:i/>
          <w:iCs/>
          <w:szCs w:val="20"/>
          <w:lang w:val="es-CR"/>
        </w:rPr>
      </w:pPr>
      <w:r>
        <w:rPr>
          <w:bCs/>
          <w:i/>
          <w:iCs/>
          <w:szCs w:val="20"/>
          <w:lang w:val="es-CR"/>
        </w:rPr>
        <w:tab/>
        <w:t>P</w:t>
      </w:r>
      <w:r w:rsidRPr="00C75778">
        <w:rPr>
          <w:bCs/>
          <w:i/>
          <w:iCs/>
          <w:szCs w:val="20"/>
          <w:lang w:val="es-CR"/>
        </w:rPr>
        <w:t xml:space="preserve">ropuestos por </w:t>
      </w:r>
      <w:r>
        <w:rPr>
          <w:bCs/>
          <w:i/>
          <w:iCs/>
          <w:szCs w:val="20"/>
          <w:lang w:val="es-CR"/>
        </w:rPr>
        <w:t>las representantes</w:t>
      </w:r>
    </w:p>
    <w:p w:rsidR="006A64E9" w:rsidRDefault="006A64E9" w:rsidP="006A64E9">
      <w:pPr>
        <w:pStyle w:val="ListParagraph"/>
        <w:widowControl w:val="0"/>
        <w:autoSpaceDE w:val="0"/>
        <w:autoSpaceDN w:val="0"/>
        <w:adjustRightInd w:val="0"/>
        <w:spacing w:after="0"/>
        <w:ind w:left="0" w:right="22"/>
        <w:contextualSpacing w:val="0"/>
        <w:rPr>
          <w:bCs/>
          <w:i/>
          <w:iCs/>
          <w:szCs w:val="20"/>
          <w:lang w:val="es-CR"/>
        </w:rPr>
      </w:pPr>
    </w:p>
    <w:p w:rsidR="006A64E9" w:rsidRDefault="006A64E9" w:rsidP="006A64E9">
      <w:pPr>
        <w:widowControl w:val="0"/>
        <w:tabs>
          <w:tab w:val="left" w:pos="567"/>
          <w:tab w:val="left" w:pos="1134"/>
        </w:tabs>
        <w:autoSpaceDE w:val="0"/>
        <w:autoSpaceDN w:val="0"/>
        <w:adjustRightInd w:val="0"/>
        <w:spacing w:after="0"/>
        <w:ind w:left="720" w:right="22"/>
        <w:rPr>
          <w:rFonts w:eastAsiaTheme="minorHAnsi" w:cs="Tahoma"/>
          <w:szCs w:val="20"/>
          <w:lang w:val="es-CR" w:eastAsia="en-US"/>
        </w:rPr>
      </w:pPr>
      <w:r>
        <w:rPr>
          <w:rFonts w:eastAsiaTheme="minorHAnsi" w:cs="Tahoma"/>
          <w:i/>
          <w:szCs w:val="20"/>
          <w:lang w:val="es-CR" w:eastAsia="en-US"/>
        </w:rPr>
        <w:t xml:space="preserve">2) </w:t>
      </w:r>
      <w:r w:rsidRPr="00C804F8">
        <w:rPr>
          <w:rFonts w:eastAsiaTheme="minorHAnsi" w:cs="Tahoma"/>
          <w:i/>
          <w:szCs w:val="20"/>
          <w:lang w:val="es-CR" w:eastAsia="en-US"/>
        </w:rPr>
        <w:t xml:space="preserve">Guillermo </w:t>
      </w:r>
      <w:proofErr w:type="spellStart"/>
      <w:r w:rsidRPr="00C804F8">
        <w:rPr>
          <w:rFonts w:eastAsiaTheme="minorHAnsi" w:cs="Tahoma"/>
          <w:i/>
          <w:szCs w:val="20"/>
          <w:lang w:val="es-CR" w:eastAsia="en-US"/>
        </w:rPr>
        <w:t>Austreberto</w:t>
      </w:r>
      <w:proofErr w:type="spellEnd"/>
      <w:r w:rsidRPr="00C804F8">
        <w:rPr>
          <w:rFonts w:eastAsiaTheme="minorHAnsi" w:cs="Tahoma"/>
          <w:i/>
          <w:szCs w:val="20"/>
          <w:lang w:val="es-CR" w:eastAsia="en-US"/>
        </w:rPr>
        <w:t xml:space="preserve"> Carranza</w:t>
      </w:r>
      <w:r>
        <w:rPr>
          <w:rFonts w:eastAsiaTheme="minorHAnsi" w:cs="Tahoma"/>
          <w:szCs w:val="20"/>
          <w:lang w:val="es-CR" w:eastAsia="en-US"/>
        </w:rPr>
        <w:t xml:space="preserve">, médico forense, quien rendirá peritaje  </w:t>
      </w:r>
      <w:r>
        <w:rPr>
          <w:szCs w:val="20"/>
          <w:lang w:val="es-CR"/>
        </w:rPr>
        <w:t xml:space="preserve">sobre: i) </w:t>
      </w:r>
      <w:r w:rsidRPr="006A64E9">
        <w:rPr>
          <w:szCs w:val="20"/>
          <w:lang w:val="es-CR"/>
        </w:rPr>
        <w:t>las irregularidades, negligencias y omisiones cometidas durante las primeras diligencias de investigación acerca de la ejecución de Hugo Humberto, tomando en cuenta las constancias que reposan en el expediente</w:t>
      </w:r>
      <w:r>
        <w:rPr>
          <w:szCs w:val="20"/>
          <w:lang w:val="es-CR"/>
        </w:rPr>
        <w:t xml:space="preserve">, y ii) </w:t>
      </w:r>
      <w:r w:rsidRPr="00050F43">
        <w:rPr>
          <w:szCs w:val="20"/>
          <w:lang w:val="es-CR"/>
        </w:rPr>
        <w:t>las constancias procesales que reposan en el expediente</w:t>
      </w:r>
      <w:r>
        <w:rPr>
          <w:szCs w:val="20"/>
          <w:lang w:val="es-CR"/>
        </w:rPr>
        <w:t>,</w:t>
      </w:r>
      <w:r w:rsidRPr="00050F43">
        <w:rPr>
          <w:szCs w:val="20"/>
          <w:lang w:val="es-CR"/>
        </w:rPr>
        <w:t xml:space="preserve"> por el cual se procesó a Hugo Humberto Ruíz Fuentes, relacionadas con las agresiones sufridas por este, pa</w:t>
      </w:r>
      <w:r>
        <w:rPr>
          <w:szCs w:val="20"/>
          <w:lang w:val="es-CR"/>
        </w:rPr>
        <w:t>ra pronunciarse en relación a</w:t>
      </w:r>
      <w:r w:rsidRPr="00050F43">
        <w:rPr>
          <w:szCs w:val="20"/>
          <w:lang w:val="es-CR"/>
        </w:rPr>
        <w:t xml:space="preserve"> estos son consistentes con la comisión de actos de tortura</w:t>
      </w:r>
      <w:r>
        <w:rPr>
          <w:szCs w:val="20"/>
          <w:lang w:val="es-CR"/>
        </w:rPr>
        <w:t xml:space="preserve">, y iii) </w:t>
      </w:r>
      <w:r w:rsidRPr="00050F43">
        <w:rPr>
          <w:szCs w:val="20"/>
          <w:lang w:val="es-CR"/>
        </w:rPr>
        <w:t xml:space="preserve">a las </w:t>
      </w:r>
      <w:r>
        <w:rPr>
          <w:szCs w:val="20"/>
          <w:lang w:val="es-CR"/>
        </w:rPr>
        <w:t xml:space="preserve">supuestas </w:t>
      </w:r>
      <w:r w:rsidRPr="00050F43">
        <w:rPr>
          <w:szCs w:val="20"/>
          <w:lang w:val="es-CR"/>
        </w:rPr>
        <w:t>medidas que el Estado debería adoptar para evitar la repetición de hechos como los ocurridos en este caso.</w:t>
      </w:r>
      <w:r>
        <w:rPr>
          <w:szCs w:val="20"/>
          <w:lang w:val="es-CR"/>
        </w:rPr>
        <w:t xml:space="preserve"> </w:t>
      </w:r>
    </w:p>
    <w:p w:rsidR="006A64E9" w:rsidRPr="00E674E3" w:rsidRDefault="006A64E9" w:rsidP="006A64E9">
      <w:pPr>
        <w:pStyle w:val="ListParagraph"/>
        <w:widowControl w:val="0"/>
        <w:autoSpaceDE w:val="0"/>
        <w:autoSpaceDN w:val="0"/>
        <w:adjustRightInd w:val="0"/>
        <w:spacing w:after="0"/>
        <w:ind w:left="0" w:right="22"/>
        <w:contextualSpacing w:val="0"/>
        <w:rPr>
          <w:rFonts w:eastAsiaTheme="minorHAnsi" w:cs="Verdana"/>
          <w:color w:val="000000"/>
          <w:szCs w:val="20"/>
          <w:lang w:eastAsia="en-US"/>
        </w:rPr>
      </w:pPr>
    </w:p>
    <w:p w:rsidR="007511E0" w:rsidRPr="00C75778" w:rsidRDefault="007511E0" w:rsidP="007511E0">
      <w:pPr>
        <w:pStyle w:val="ListParagraph"/>
        <w:widowControl w:val="0"/>
        <w:numPr>
          <w:ilvl w:val="0"/>
          <w:numId w:val="9"/>
        </w:numPr>
        <w:tabs>
          <w:tab w:val="left" w:pos="567"/>
          <w:tab w:val="left" w:pos="810"/>
        </w:tabs>
        <w:autoSpaceDE w:val="0"/>
        <w:autoSpaceDN w:val="0"/>
        <w:adjustRightInd w:val="0"/>
        <w:spacing w:after="0"/>
        <w:ind w:right="22"/>
        <w:contextualSpacing w:val="0"/>
        <w:rPr>
          <w:szCs w:val="20"/>
          <w:lang w:val="es-CR"/>
        </w:rPr>
      </w:pPr>
      <w:r w:rsidRPr="00C75778">
        <w:rPr>
          <w:color w:val="000000"/>
          <w:szCs w:val="20"/>
          <w:lang w:val="es-CR"/>
        </w:rPr>
        <w:t>Requerir al Estado que facilite la salida y entrada de su territorio de los declarantes, si residen o se encuentran en él, quienes han sido citados en la presente Resolución a rendir declaración durante la referida audiencia pública, de conformidad con lo dispuesto en el artículo 26.1 del Reglamento de la Corte.</w:t>
      </w:r>
    </w:p>
    <w:p w:rsidR="007511E0" w:rsidRPr="00C75778" w:rsidRDefault="007511E0" w:rsidP="007511E0">
      <w:pPr>
        <w:pStyle w:val="ListParagraph"/>
        <w:widowControl w:val="0"/>
        <w:tabs>
          <w:tab w:val="left" w:pos="708"/>
        </w:tabs>
        <w:autoSpaceDE w:val="0"/>
        <w:autoSpaceDN w:val="0"/>
        <w:adjustRightInd w:val="0"/>
        <w:spacing w:after="0"/>
        <w:ind w:left="0"/>
        <w:contextualSpacing w:val="0"/>
        <w:rPr>
          <w:szCs w:val="20"/>
          <w:lang w:val="es-CR"/>
        </w:rPr>
      </w:pPr>
    </w:p>
    <w:p w:rsidR="005C11CB" w:rsidRPr="005C11CB" w:rsidRDefault="005C11CB" w:rsidP="005C11CB">
      <w:pPr>
        <w:pStyle w:val="Normal1"/>
        <w:widowControl/>
        <w:numPr>
          <w:ilvl w:val="0"/>
          <w:numId w:val="9"/>
        </w:numPr>
        <w:autoSpaceDE w:val="0"/>
        <w:autoSpaceDN w:val="0"/>
        <w:adjustRightInd w:val="0"/>
        <w:contextualSpacing/>
        <w:jc w:val="both"/>
        <w:rPr>
          <w:rFonts w:ascii="Verdana" w:hAnsi="Verdana"/>
          <w:sz w:val="20"/>
          <w:szCs w:val="20"/>
        </w:rPr>
      </w:pPr>
      <w:r>
        <w:rPr>
          <w:rFonts w:ascii="Verdana" w:hAnsi="Verdana"/>
          <w:sz w:val="20"/>
          <w:szCs w:val="20"/>
        </w:rPr>
        <w:t>Requerir a los peritos convocados</w:t>
      </w:r>
      <w:r w:rsidRPr="007908AA">
        <w:rPr>
          <w:rFonts w:ascii="Verdana" w:hAnsi="Verdana"/>
          <w:sz w:val="20"/>
          <w:szCs w:val="20"/>
        </w:rPr>
        <w:t xml:space="preserve"> a declarar en audiencia que, de considerarlo conveniente, aporte</w:t>
      </w:r>
      <w:r w:rsidR="001A4F23">
        <w:rPr>
          <w:rFonts w:ascii="Verdana" w:hAnsi="Verdana"/>
          <w:sz w:val="20"/>
          <w:szCs w:val="20"/>
        </w:rPr>
        <w:t>n</w:t>
      </w:r>
      <w:r w:rsidRPr="007908AA">
        <w:rPr>
          <w:rFonts w:ascii="Verdana" w:hAnsi="Verdana"/>
          <w:sz w:val="20"/>
          <w:szCs w:val="20"/>
        </w:rPr>
        <w:t xml:space="preserve"> una versión escrita de s</w:t>
      </w:r>
      <w:r>
        <w:rPr>
          <w:rFonts w:ascii="Verdana" w:hAnsi="Verdana"/>
          <w:sz w:val="20"/>
          <w:szCs w:val="20"/>
        </w:rPr>
        <w:t>u peritaje, a más tardar el 1 de marzo</w:t>
      </w:r>
      <w:r w:rsidRPr="007908AA">
        <w:rPr>
          <w:rFonts w:ascii="Verdana" w:hAnsi="Verdana"/>
          <w:sz w:val="20"/>
          <w:szCs w:val="20"/>
        </w:rPr>
        <w:t xml:space="preserve"> de 2019.</w:t>
      </w:r>
    </w:p>
    <w:p w:rsidR="005C11CB" w:rsidRPr="005C11CB" w:rsidRDefault="005C11CB" w:rsidP="005C11CB">
      <w:pPr>
        <w:pStyle w:val="ListParagraph"/>
        <w:rPr>
          <w:szCs w:val="20"/>
          <w:lang w:val="es-CR"/>
        </w:rPr>
      </w:pPr>
    </w:p>
    <w:p w:rsidR="007511E0" w:rsidRPr="00AA73A0" w:rsidRDefault="007511E0" w:rsidP="006A64E9">
      <w:pPr>
        <w:pStyle w:val="ListParagraph"/>
        <w:widowControl w:val="0"/>
        <w:numPr>
          <w:ilvl w:val="0"/>
          <w:numId w:val="9"/>
        </w:numPr>
        <w:tabs>
          <w:tab w:val="left" w:pos="567"/>
          <w:tab w:val="left" w:pos="810"/>
        </w:tabs>
        <w:autoSpaceDE w:val="0"/>
        <w:autoSpaceDN w:val="0"/>
        <w:adjustRightInd w:val="0"/>
        <w:spacing w:after="0"/>
        <w:ind w:right="22"/>
        <w:contextualSpacing w:val="0"/>
        <w:rPr>
          <w:rFonts w:cs="Verdana"/>
          <w:szCs w:val="20"/>
          <w:lang w:val="es-CR"/>
        </w:rPr>
      </w:pPr>
      <w:r w:rsidRPr="00C75778">
        <w:rPr>
          <w:szCs w:val="20"/>
          <w:lang w:val="es-CR"/>
        </w:rPr>
        <w:t xml:space="preserve">Requerir, por las razones expuestas en la presente Resolución, de conformidad con el </w:t>
      </w:r>
      <w:r w:rsidRPr="00C75778">
        <w:rPr>
          <w:rFonts w:eastAsiaTheme="minorHAnsi" w:cs="Verdana"/>
          <w:color w:val="000000"/>
          <w:szCs w:val="20"/>
          <w:lang w:val="es-CR" w:eastAsia="en-US"/>
        </w:rPr>
        <w:t>principio</w:t>
      </w:r>
      <w:r w:rsidRPr="00C75778">
        <w:rPr>
          <w:szCs w:val="20"/>
          <w:lang w:val="es-CR"/>
        </w:rPr>
        <w:t xml:space="preserve"> de economía procesal y de la facultad que le otorga el artículo 50.1 del Reglamento de la Corte, que las siguientes personas presten sus declaraciones ante fedatario público:</w:t>
      </w:r>
    </w:p>
    <w:p w:rsidR="00AA73A0" w:rsidRPr="006A64E9" w:rsidRDefault="00AA73A0" w:rsidP="00AA73A0">
      <w:pPr>
        <w:pStyle w:val="ListParagraph"/>
        <w:widowControl w:val="0"/>
        <w:tabs>
          <w:tab w:val="left" w:pos="567"/>
          <w:tab w:val="left" w:pos="810"/>
        </w:tabs>
        <w:autoSpaceDE w:val="0"/>
        <w:autoSpaceDN w:val="0"/>
        <w:adjustRightInd w:val="0"/>
        <w:spacing w:after="0"/>
        <w:ind w:left="0" w:right="22"/>
        <w:contextualSpacing w:val="0"/>
        <w:rPr>
          <w:rFonts w:cs="Verdana"/>
          <w:szCs w:val="20"/>
          <w:lang w:val="es-CR"/>
        </w:rPr>
      </w:pPr>
    </w:p>
    <w:p w:rsidR="007511E0" w:rsidRPr="00C75778" w:rsidRDefault="005B2D55" w:rsidP="00B41C63">
      <w:pPr>
        <w:pStyle w:val="ListParagraph"/>
        <w:widowControl w:val="0"/>
        <w:numPr>
          <w:ilvl w:val="0"/>
          <w:numId w:val="4"/>
        </w:numPr>
        <w:autoSpaceDE w:val="0"/>
        <w:autoSpaceDN w:val="0"/>
        <w:adjustRightInd w:val="0"/>
        <w:spacing w:after="0"/>
        <w:ind w:firstLine="0"/>
        <w:rPr>
          <w:bCs/>
          <w:i/>
          <w:iCs/>
          <w:szCs w:val="20"/>
          <w:lang w:val="es-CR"/>
        </w:rPr>
      </w:pPr>
      <w:r w:rsidRPr="00B41C63">
        <w:rPr>
          <w:b/>
          <w:bCs/>
          <w:i/>
          <w:iCs/>
          <w:szCs w:val="20"/>
          <w:lang w:val="es-CR"/>
        </w:rPr>
        <w:t xml:space="preserve">Declarantes </w:t>
      </w:r>
      <w:r w:rsidR="007511E0" w:rsidRPr="00C75778">
        <w:rPr>
          <w:bCs/>
          <w:i/>
          <w:iCs/>
          <w:szCs w:val="20"/>
          <w:lang w:val="es-CR"/>
        </w:rPr>
        <w:t xml:space="preserve">(propuestos por </w:t>
      </w:r>
      <w:r w:rsidR="007511E0">
        <w:rPr>
          <w:bCs/>
          <w:i/>
          <w:iCs/>
          <w:szCs w:val="20"/>
          <w:lang w:val="es-CR"/>
        </w:rPr>
        <w:t>la</w:t>
      </w:r>
      <w:r w:rsidR="007511E0" w:rsidRPr="00C75778">
        <w:rPr>
          <w:bCs/>
          <w:i/>
          <w:iCs/>
          <w:szCs w:val="20"/>
          <w:lang w:val="es-CR"/>
        </w:rPr>
        <w:t>s representantes)</w:t>
      </w:r>
    </w:p>
    <w:p w:rsidR="007511E0" w:rsidRPr="00C75778" w:rsidRDefault="007511E0" w:rsidP="007511E0">
      <w:pPr>
        <w:widowControl w:val="0"/>
        <w:tabs>
          <w:tab w:val="left" w:pos="567"/>
          <w:tab w:val="left" w:pos="1134"/>
        </w:tabs>
        <w:autoSpaceDE w:val="0"/>
        <w:autoSpaceDN w:val="0"/>
        <w:adjustRightInd w:val="0"/>
        <w:spacing w:after="0"/>
        <w:ind w:right="22"/>
        <w:rPr>
          <w:szCs w:val="20"/>
          <w:lang w:val="es-ES"/>
        </w:rPr>
      </w:pPr>
    </w:p>
    <w:p w:rsidR="00E674E3" w:rsidRPr="00E674E3" w:rsidRDefault="00E674E3" w:rsidP="00E674E3">
      <w:pPr>
        <w:pStyle w:val="ListParagraph"/>
        <w:widowControl w:val="0"/>
        <w:tabs>
          <w:tab w:val="left" w:pos="567"/>
          <w:tab w:val="left" w:pos="1134"/>
        </w:tabs>
        <w:autoSpaceDE w:val="0"/>
        <w:autoSpaceDN w:val="0"/>
        <w:adjustRightInd w:val="0"/>
        <w:spacing w:after="0"/>
        <w:ind w:right="22"/>
        <w:rPr>
          <w:szCs w:val="20"/>
          <w:lang w:val="es-CR"/>
        </w:rPr>
      </w:pPr>
      <w:r w:rsidRPr="00E674E3">
        <w:rPr>
          <w:i/>
          <w:szCs w:val="20"/>
          <w:lang w:val="es-ES"/>
        </w:rPr>
        <w:t xml:space="preserve">1) </w:t>
      </w:r>
      <w:r w:rsidR="006A64E9">
        <w:rPr>
          <w:i/>
          <w:szCs w:val="20"/>
          <w:lang w:val="es-ES"/>
        </w:rPr>
        <w:tab/>
      </w:r>
      <w:r w:rsidRPr="00E674E3">
        <w:rPr>
          <w:i/>
          <w:szCs w:val="20"/>
          <w:lang w:val="es-ES"/>
        </w:rPr>
        <w:t xml:space="preserve">Berta Isabel </w:t>
      </w:r>
      <w:r w:rsidR="009C5FA6">
        <w:rPr>
          <w:i/>
          <w:szCs w:val="20"/>
          <w:lang w:val="es-ES"/>
        </w:rPr>
        <w:t>Ruíz</w:t>
      </w:r>
      <w:r w:rsidRPr="00E674E3">
        <w:rPr>
          <w:i/>
          <w:szCs w:val="20"/>
          <w:lang w:val="es-ES"/>
        </w:rPr>
        <w:t xml:space="preserve"> Fuentes</w:t>
      </w:r>
      <w:r w:rsidRPr="00E674E3">
        <w:rPr>
          <w:szCs w:val="20"/>
          <w:lang w:val="es-CR"/>
        </w:rPr>
        <w:t xml:space="preserve">, quien declarará sobre: i) los alegados hechos acontecidos en este caso desde la detención de su hermano, incluyendo los supuestos actos de tortura que sufrió Hugo Humberto; ii) lo que conoce en relación a cómo supuestamente afectó a su hermano estar en el corredor de la muerte; iii) lo que conoce en relación a los alegados hechos relacionados con la ejecución de Hugo Humberto, los hostigamientos y amenazas a las que fue sometida tras la fuga de Hugo Humberto; iv) la forma en la que los supuestos hechos del caso y la impunidad la afectaron a ella y a su familia, y v) las supuestas medidas que considera que el Estado debe adoptar para reparar el daño causado, así como otros aspectos relevantes del caso. </w:t>
      </w:r>
    </w:p>
    <w:p w:rsidR="00E674E3" w:rsidRPr="00E674E3" w:rsidRDefault="00E674E3" w:rsidP="00E674E3">
      <w:pPr>
        <w:pStyle w:val="ListParagraph"/>
        <w:widowControl w:val="0"/>
        <w:tabs>
          <w:tab w:val="left" w:pos="567"/>
          <w:tab w:val="left" w:pos="1134"/>
        </w:tabs>
        <w:autoSpaceDE w:val="0"/>
        <w:autoSpaceDN w:val="0"/>
        <w:adjustRightInd w:val="0"/>
        <w:spacing w:after="0"/>
        <w:ind w:right="22"/>
        <w:rPr>
          <w:szCs w:val="20"/>
          <w:lang w:val="es-ES"/>
        </w:rPr>
      </w:pPr>
    </w:p>
    <w:p w:rsidR="007511E0" w:rsidRPr="00171EC3" w:rsidRDefault="007511E0" w:rsidP="00210F76">
      <w:pPr>
        <w:pStyle w:val="ListParagraph"/>
        <w:widowControl w:val="0"/>
        <w:numPr>
          <w:ilvl w:val="1"/>
          <w:numId w:val="4"/>
        </w:numPr>
        <w:tabs>
          <w:tab w:val="left" w:pos="567"/>
          <w:tab w:val="left" w:pos="1134"/>
        </w:tabs>
        <w:autoSpaceDE w:val="0"/>
        <w:autoSpaceDN w:val="0"/>
        <w:adjustRightInd w:val="0"/>
        <w:spacing w:after="0"/>
        <w:ind w:left="720" w:right="22" w:hanging="3"/>
        <w:rPr>
          <w:szCs w:val="20"/>
          <w:lang w:val="es-ES"/>
        </w:rPr>
      </w:pPr>
      <w:r w:rsidRPr="00171EC3">
        <w:rPr>
          <w:rFonts w:eastAsiaTheme="minorHAnsi" w:cs="Tahoma"/>
          <w:i/>
          <w:szCs w:val="20"/>
          <w:lang w:val="es-CR" w:eastAsia="en-US"/>
        </w:rPr>
        <w:t xml:space="preserve">Wendy Ester </w:t>
      </w:r>
      <w:r w:rsidR="009C5FA6">
        <w:rPr>
          <w:rFonts w:eastAsiaTheme="minorHAnsi" w:cs="Tahoma"/>
          <w:i/>
          <w:szCs w:val="20"/>
          <w:lang w:val="es-CR" w:eastAsia="en-US"/>
        </w:rPr>
        <w:t>Ruíz</w:t>
      </w:r>
      <w:r w:rsidRPr="00171EC3">
        <w:rPr>
          <w:rFonts w:eastAsiaTheme="minorHAnsi" w:cs="Tahoma"/>
          <w:i/>
          <w:szCs w:val="20"/>
          <w:lang w:val="es-CR" w:eastAsia="en-US"/>
        </w:rPr>
        <w:t xml:space="preserve"> V</w:t>
      </w:r>
      <w:r w:rsidR="007B68CC">
        <w:rPr>
          <w:rFonts w:eastAsiaTheme="minorHAnsi" w:cs="Tahoma"/>
          <w:i/>
          <w:szCs w:val="20"/>
          <w:lang w:val="es-CR" w:eastAsia="en-US"/>
        </w:rPr>
        <w:t>el</w:t>
      </w:r>
      <w:r w:rsidRPr="00171EC3">
        <w:rPr>
          <w:rFonts w:eastAsiaTheme="minorHAnsi" w:cs="Tahoma"/>
          <w:i/>
          <w:szCs w:val="20"/>
          <w:lang w:val="es-CR" w:eastAsia="en-US"/>
        </w:rPr>
        <w:t>ásquez</w:t>
      </w:r>
      <w:r w:rsidRPr="00171EC3">
        <w:rPr>
          <w:rFonts w:eastAsiaTheme="minorHAnsi" w:cs="Tahoma"/>
          <w:szCs w:val="20"/>
          <w:lang w:val="es-CR" w:eastAsia="en-US"/>
        </w:rPr>
        <w:t>, hija de Hugo Hu</w:t>
      </w:r>
      <w:r w:rsidR="0047543F">
        <w:rPr>
          <w:rFonts w:eastAsiaTheme="minorHAnsi" w:cs="Tahoma"/>
          <w:szCs w:val="20"/>
          <w:lang w:val="es-CR" w:eastAsia="en-US"/>
        </w:rPr>
        <w:t>m</w:t>
      </w:r>
      <w:r w:rsidRPr="00171EC3">
        <w:rPr>
          <w:rFonts w:eastAsiaTheme="minorHAnsi" w:cs="Tahoma"/>
          <w:szCs w:val="20"/>
          <w:lang w:val="es-CR" w:eastAsia="en-US"/>
        </w:rPr>
        <w:t xml:space="preserve">berto </w:t>
      </w:r>
      <w:r w:rsidR="009C5FA6">
        <w:rPr>
          <w:rFonts w:eastAsiaTheme="minorHAnsi" w:cs="Tahoma"/>
          <w:szCs w:val="20"/>
          <w:lang w:val="es-CR" w:eastAsia="en-US"/>
        </w:rPr>
        <w:t>Ruíz</w:t>
      </w:r>
      <w:r w:rsidRPr="00171EC3">
        <w:rPr>
          <w:rFonts w:eastAsiaTheme="minorHAnsi" w:cs="Tahoma"/>
          <w:szCs w:val="20"/>
          <w:lang w:val="es-CR" w:eastAsia="en-US"/>
        </w:rPr>
        <w:t xml:space="preserve"> Fuentes, quien declarará sobre: i) los </w:t>
      </w:r>
      <w:r w:rsidR="008D2B25" w:rsidRPr="00171EC3">
        <w:rPr>
          <w:rFonts w:eastAsiaTheme="minorHAnsi" w:cs="Tahoma"/>
          <w:szCs w:val="20"/>
          <w:lang w:val="es-CR" w:eastAsia="en-US"/>
        </w:rPr>
        <w:t xml:space="preserve">alegados </w:t>
      </w:r>
      <w:r w:rsidRPr="00171EC3">
        <w:rPr>
          <w:szCs w:val="20"/>
          <w:lang w:val="es-CR"/>
        </w:rPr>
        <w:t>hechos acontecidos en este caso, incluyendo, lo que conoce sobre los actos de</w:t>
      </w:r>
      <w:r w:rsidR="009A4D75">
        <w:rPr>
          <w:szCs w:val="20"/>
          <w:lang w:val="es-CR"/>
        </w:rPr>
        <w:t xml:space="preserve"> tortura a los que fue sometido;</w:t>
      </w:r>
      <w:r w:rsidRPr="00171EC3">
        <w:rPr>
          <w:szCs w:val="20"/>
          <w:lang w:val="es-CR"/>
        </w:rPr>
        <w:t xml:space="preserve"> ii) la </w:t>
      </w:r>
      <w:r w:rsidR="008D2B25" w:rsidRPr="00171EC3">
        <w:rPr>
          <w:szCs w:val="20"/>
          <w:lang w:val="es-CR"/>
        </w:rPr>
        <w:t xml:space="preserve">supuesta </w:t>
      </w:r>
      <w:r w:rsidRPr="00171EC3">
        <w:rPr>
          <w:szCs w:val="20"/>
          <w:lang w:val="es-CR"/>
        </w:rPr>
        <w:t>forma en la que le afectó a su padre el tiempo que permane</w:t>
      </w:r>
      <w:r w:rsidR="009A4D75">
        <w:rPr>
          <w:szCs w:val="20"/>
          <w:lang w:val="es-CR"/>
        </w:rPr>
        <w:t>ció en el corredor de la muerte;</w:t>
      </w:r>
      <w:r w:rsidRPr="00171EC3">
        <w:rPr>
          <w:szCs w:val="20"/>
          <w:lang w:val="es-CR"/>
        </w:rPr>
        <w:t xml:space="preserve"> iii) lo que conoce en relación a su </w:t>
      </w:r>
      <w:r w:rsidR="001423E2" w:rsidRPr="00171EC3">
        <w:rPr>
          <w:szCs w:val="20"/>
          <w:lang w:val="es-CR"/>
        </w:rPr>
        <w:t>alegad</w:t>
      </w:r>
      <w:r w:rsidR="001423E2">
        <w:rPr>
          <w:szCs w:val="20"/>
          <w:lang w:val="es-CR"/>
        </w:rPr>
        <w:t>a</w:t>
      </w:r>
      <w:r w:rsidR="001423E2" w:rsidRPr="00171EC3">
        <w:rPr>
          <w:szCs w:val="20"/>
          <w:lang w:val="es-CR"/>
        </w:rPr>
        <w:t xml:space="preserve"> </w:t>
      </w:r>
      <w:r w:rsidRPr="00171EC3">
        <w:rPr>
          <w:szCs w:val="20"/>
          <w:lang w:val="es-CR"/>
        </w:rPr>
        <w:t>ejecución extrajudicial, los hostigamientos y amenazas que sufrieron ella y su madre tras la fuga de Hugo Humberto y por su involucrami</w:t>
      </w:r>
      <w:r w:rsidR="009A4D75">
        <w:rPr>
          <w:szCs w:val="20"/>
          <w:lang w:val="es-CR"/>
        </w:rPr>
        <w:t>ento en la búsqueda de justicia;</w:t>
      </w:r>
      <w:r w:rsidRPr="00171EC3">
        <w:rPr>
          <w:szCs w:val="20"/>
          <w:lang w:val="es-CR"/>
        </w:rPr>
        <w:t xml:space="preserve"> iv) la forma en la que </w:t>
      </w:r>
      <w:r w:rsidR="008D2B25" w:rsidRPr="00171EC3">
        <w:rPr>
          <w:szCs w:val="20"/>
          <w:lang w:val="es-CR"/>
        </w:rPr>
        <w:t xml:space="preserve">supuestamente </w:t>
      </w:r>
      <w:r w:rsidRPr="00171EC3">
        <w:rPr>
          <w:szCs w:val="20"/>
          <w:lang w:val="es-CR"/>
        </w:rPr>
        <w:t xml:space="preserve">los hechos del caso la afectaron a ella y a su familia, y v) las </w:t>
      </w:r>
      <w:r w:rsidR="008D2B25" w:rsidRPr="00171EC3">
        <w:rPr>
          <w:szCs w:val="20"/>
          <w:lang w:val="es-CR"/>
        </w:rPr>
        <w:t xml:space="preserve">supuestas </w:t>
      </w:r>
      <w:r w:rsidRPr="00171EC3">
        <w:rPr>
          <w:szCs w:val="20"/>
          <w:lang w:val="es-CR"/>
        </w:rPr>
        <w:t>medidas que considera que el Estado debe adoptar para reparar el daño causado, así como otros aspectos relevantes del caso.</w:t>
      </w:r>
    </w:p>
    <w:p w:rsidR="007511E0" w:rsidRPr="00E674E3" w:rsidRDefault="007511E0" w:rsidP="00E674E3">
      <w:pPr>
        <w:spacing w:after="0"/>
        <w:rPr>
          <w:rFonts w:eastAsiaTheme="minorHAnsi" w:cs="Tahoma"/>
          <w:szCs w:val="20"/>
          <w:lang w:val="es-CR" w:eastAsia="en-US"/>
        </w:rPr>
      </w:pPr>
    </w:p>
    <w:p w:rsidR="00BC1F80" w:rsidRPr="00D276AE" w:rsidRDefault="007511E0" w:rsidP="004A6515">
      <w:pPr>
        <w:pStyle w:val="ListParagraph"/>
        <w:widowControl w:val="0"/>
        <w:numPr>
          <w:ilvl w:val="1"/>
          <w:numId w:val="4"/>
        </w:numPr>
        <w:autoSpaceDE w:val="0"/>
        <w:autoSpaceDN w:val="0"/>
        <w:adjustRightInd w:val="0"/>
        <w:spacing w:after="0"/>
        <w:ind w:left="720" w:right="22" w:firstLine="0"/>
        <w:rPr>
          <w:rFonts w:eastAsiaTheme="minorHAnsi" w:cs="Tahoma"/>
          <w:szCs w:val="20"/>
          <w:lang w:val="es-CR" w:eastAsia="en-US"/>
        </w:rPr>
      </w:pPr>
      <w:r w:rsidRPr="00D276AE">
        <w:rPr>
          <w:rFonts w:eastAsiaTheme="minorHAnsi" w:cs="Tahoma"/>
          <w:i/>
          <w:szCs w:val="20"/>
          <w:lang w:val="es-CR" w:eastAsia="en-US"/>
        </w:rPr>
        <w:t>Benedicto Tenas</w:t>
      </w:r>
      <w:r w:rsidRPr="00D276AE">
        <w:rPr>
          <w:rFonts w:eastAsiaTheme="minorHAnsi" w:cs="Tahoma"/>
          <w:szCs w:val="20"/>
          <w:lang w:val="es-CR" w:eastAsia="en-US"/>
        </w:rPr>
        <w:t>, abogado defensor público, quien declarará</w:t>
      </w:r>
      <w:r w:rsidR="00A00559" w:rsidRPr="00D276AE">
        <w:rPr>
          <w:rFonts w:eastAsiaTheme="minorHAnsi" w:cs="Tahoma"/>
          <w:szCs w:val="20"/>
          <w:lang w:val="es-CR" w:eastAsia="en-US"/>
        </w:rPr>
        <w:t xml:space="preserve"> sobre</w:t>
      </w:r>
      <w:r w:rsidRPr="00D276AE">
        <w:rPr>
          <w:rFonts w:eastAsiaTheme="minorHAnsi" w:cs="Tahoma"/>
          <w:szCs w:val="20"/>
          <w:lang w:val="es-CR" w:eastAsia="en-US"/>
        </w:rPr>
        <w:t xml:space="preserve"> </w:t>
      </w:r>
      <w:r w:rsidRPr="00D276AE">
        <w:rPr>
          <w:szCs w:val="20"/>
          <w:lang w:val="es-CR"/>
        </w:rPr>
        <w:t xml:space="preserve">la </w:t>
      </w:r>
      <w:r w:rsidR="008D2B25" w:rsidRPr="00D276AE">
        <w:rPr>
          <w:szCs w:val="20"/>
          <w:lang w:val="es-CR"/>
        </w:rPr>
        <w:t xml:space="preserve">alegada </w:t>
      </w:r>
      <w:r w:rsidRPr="00D276AE">
        <w:rPr>
          <w:szCs w:val="20"/>
          <w:lang w:val="es-CR"/>
        </w:rPr>
        <w:t>práctica de detenciones ilegales y arbitrarias seguidas de tortura cometidas por agentes de las fuerzas de</w:t>
      </w:r>
      <w:r w:rsidR="008D2B25" w:rsidRPr="00D276AE">
        <w:rPr>
          <w:szCs w:val="20"/>
          <w:lang w:val="es-CR"/>
        </w:rPr>
        <w:t xml:space="preserve"> seguridad del Estado en el perí</w:t>
      </w:r>
      <w:r w:rsidRPr="00D276AE">
        <w:rPr>
          <w:szCs w:val="20"/>
          <w:lang w:val="es-CR"/>
        </w:rPr>
        <w:t>odo 1997-2005, de los que tuvo conocimiento a raíz de su ejercicio como defensor público en esa época.</w:t>
      </w:r>
    </w:p>
    <w:p w:rsidR="00D276AE" w:rsidRPr="00D276AE" w:rsidRDefault="00D276AE" w:rsidP="00D276AE">
      <w:pPr>
        <w:widowControl w:val="0"/>
        <w:tabs>
          <w:tab w:val="left" w:pos="1134"/>
        </w:tabs>
        <w:autoSpaceDE w:val="0"/>
        <w:autoSpaceDN w:val="0"/>
        <w:adjustRightInd w:val="0"/>
        <w:spacing w:after="0"/>
        <w:ind w:right="22"/>
        <w:rPr>
          <w:rFonts w:eastAsiaTheme="minorHAnsi" w:cs="Tahoma"/>
          <w:szCs w:val="20"/>
          <w:lang w:val="es-CR" w:eastAsia="en-US"/>
        </w:rPr>
      </w:pPr>
    </w:p>
    <w:p w:rsidR="00B41C63" w:rsidRPr="00B41C63" w:rsidRDefault="00315812" w:rsidP="00B41C63">
      <w:pPr>
        <w:pStyle w:val="ListParagraph"/>
        <w:widowControl w:val="0"/>
        <w:numPr>
          <w:ilvl w:val="0"/>
          <w:numId w:val="4"/>
        </w:numPr>
        <w:autoSpaceDE w:val="0"/>
        <w:autoSpaceDN w:val="0"/>
        <w:adjustRightInd w:val="0"/>
        <w:spacing w:after="0"/>
        <w:ind w:firstLine="0"/>
        <w:rPr>
          <w:b/>
          <w:bCs/>
          <w:i/>
          <w:iCs/>
          <w:szCs w:val="20"/>
          <w:lang w:val="es-CR"/>
        </w:rPr>
      </w:pPr>
      <w:r w:rsidRPr="00B41C63">
        <w:rPr>
          <w:b/>
          <w:bCs/>
          <w:i/>
          <w:iCs/>
          <w:szCs w:val="20"/>
          <w:lang w:val="es-CR"/>
        </w:rPr>
        <w:t>Peritos</w:t>
      </w:r>
    </w:p>
    <w:p w:rsidR="00B41C63" w:rsidRPr="00B41C63" w:rsidRDefault="00B41C63" w:rsidP="00E674E3">
      <w:pPr>
        <w:widowControl w:val="0"/>
        <w:tabs>
          <w:tab w:val="left" w:pos="567"/>
          <w:tab w:val="left" w:pos="1134"/>
        </w:tabs>
        <w:autoSpaceDE w:val="0"/>
        <w:autoSpaceDN w:val="0"/>
        <w:adjustRightInd w:val="0"/>
        <w:spacing w:after="0"/>
        <w:ind w:right="22"/>
        <w:rPr>
          <w:bCs/>
          <w:i/>
          <w:iCs/>
          <w:szCs w:val="20"/>
        </w:rPr>
      </w:pPr>
    </w:p>
    <w:p w:rsidR="00FB1228" w:rsidRDefault="00B41C63" w:rsidP="00171EC3">
      <w:pPr>
        <w:widowControl w:val="0"/>
        <w:tabs>
          <w:tab w:val="left" w:pos="567"/>
          <w:tab w:val="left" w:pos="1134"/>
        </w:tabs>
        <w:autoSpaceDE w:val="0"/>
        <w:autoSpaceDN w:val="0"/>
        <w:adjustRightInd w:val="0"/>
        <w:spacing w:after="0"/>
        <w:ind w:left="720" w:right="22"/>
        <w:rPr>
          <w:bCs/>
          <w:i/>
          <w:iCs/>
          <w:szCs w:val="20"/>
          <w:lang w:val="es-CR"/>
        </w:rPr>
      </w:pPr>
      <w:r>
        <w:rPr>
          <w:bCs/>
          <w:i/>
          <w:iCs/>
          <w:szCs w:val="20"/>
          <w:lang w:val="es-CR"/>
        </w:rPr>
        <w:t>P</w:t>
      </w:r>
      <w:r w:rsidRPr="00C75778">
        <w:rPr>
          <w:bCs/>
          <w:i/>
          <w:iCs/>
          <w:szCs w:val="20"/>
          <w:lang w:val="es-CR"/>
        </w:rPr>
        <w:t xml:space="preserve">ropuestos por </w:t>
      </w:r>
      <w:r>
        <w:rPr>
          <w:bCs/>
          <w:i/>
          <w:iCs/>
          <w:szCs w:val="20"/>
          <w:lang w:val="es-CR"/>
        </w:rPr>
        <w:t>las representantes</w:t>
      </w:r>
    </w:p>
    <w:p w:rsidR="00B41C63" w:rsidRDefault="00B41C63" w:rsidP="00171EC3">
      <w:pPr>
        <w:widowControl w:val="0"/>
        <w:tabs>
          <w:tab w:val="left" w:pos="567"/>
          <w:tab w:val="left" w:pos="1134"/>
        </w:tabs>
        <w:autoSpaceDE w:val="0"/>
        <w:autoSpaceDN w:val="0"/>
        <w:adjustRightInd w:val="0"/>
        <w:spacing w:after="0"/>
        <w:ind w:left="720" w:right="22"/>
        <w:rPr>
          <w:rFonts w:eastAsiaTheme="minorHAnsi" w:cs="Tahoma"/>
          <w:szCs w:val="20"/>
          <w:lang w:val="es-CR" w:eastAsia="en-US"/>
        </w:rPr>
      </w:pPr>
    </w:p>
    <w:p w:rsidR="00FB1228" w:rsidRPr="00171EC3" w:rsidRDefault="00FB1228" w:rsidP="00171EC3">
      <w:pPr>
        <w:pStyle w:val="ListParagraph"/>
        <w:widowControl w:val="0"/>
        <w:numPr>
          <w:ilvl w:val="1"/>
          <w:numId w:val="4"/>
        </w:numPr>
        <w:tabs>
          <w:tab w:val="left" w:pos="567"/>
          <w:tab w:val="left" w:pos="1134"/>
        </w:tabs>
        <w:autoSpaceDE w:val="0"/>
        <w:autoSpaceDN w:val="0"/>
        <w:adjustRightInd w:val="0"/>
        <w:spacing w:after="0"/>
        <w:ind w:left="720" w:right="22" w:firstLine="0"/>
        <w:rPr>
          <w:rFonts w:eastAsiaTheme="minorHAnsi" w:cs="Tahoma"/>
          <w:szCs w:val="20"/>
          <w:lang w:val="es-CR" w:eastAsia="en-US"/>
        </w:rPr>
      </w:pPr>
      <w:r w:rsidRPr="00171EC3">
        <w:rPr>
          <w:rFonts w:eastAsiaTheme="minorHAnsi" w:cs="Tahoma"/>
          <w:i/>
          <w:szCs w:val="20"/>
          <w:lang w:val="es-CR" w:eastAsia="en-US"/>
        </w:rPr>
        <w:t xml:space="preserve">Juan Cristóbal Aldana, </w:t>
      </w:r>
      <w:r w:rsidRPr="00171EC3">
        <w:rPr>
          <w:rFonts w:eastAsiaTheme="minorHAnsi" w:cs="Tahoma"/>
          <w:szCs w:val="20"/>
          <w:lang w:val="es-CR" w:eastAsia="en-US"/>
        </w:rPr>
        <w:t>psicólogo</w:t>
      </w:r>
      <w:r w:rsidRPr="00171EC3">
        <w:rPr>
          <w:rFonts w:eastAsiaTheme="minorHAnsi" w:cs="Tahoma"/>
          <w:i/>
          <w:szCs w:val="20"/>
          <w:lang w:val="es-CR" w:eastAsia="en-US"/>
        </w:rPr>
        <w:t xml:space="preserve">, </w:t>
      </w:r>
      <w:r w:rsidRPr="00171EC3">
        <w:rPr>
          <w:szCs w:val="20"/>
          <w:lang w:val="es-CR"/>
        </w:rPr>
        <w:t>quien rendirá peritaje sobre</w:t>
      </w:r>
      <w:r w:rsidR="00C804F8" w:rsidRPr="00171EC3">
        <w:rPr>
          <w:szCs w:val="20"/>
          <w:lang w:val="es-CR"/>
        </w:rPr>
        <w:t>:</w:t>
      </w:r>
      <w:r w:rsidRPr="00171EC3">
        <w:rPr>
          <w:szCs w:val="20"/>
          <w:lang w:val="es-CR"/>
        </w:rPr>
        <w:t xml:space="preserve"> </w:t>
      </w:r>
      <w:r w:rsidR="00C804F8" w:rsidRPr="00171EC3">
        <w:rPr>
          <w:szCs w:val="20"/>
          <w:lang w:val="es-CR"/>
        </w:rPr>
        <w:t xml:space="preserve">i) </w:t>
      </w:r>
      <w:r w:rsidRPr="00171EC3">
        <w:rPr>
          <w:szCs w:val="20"/>
          <w:lang w:val="es-CR"/>
        </w:rPr>
        <w:t xml:space="preserve">los efectos psicosociales experimentados por </w:t>
      </w:r>
      <w:r w:rsidR="00C87896" w:rsidRPr="00171EC3">
        <w:rPr>
          <w:rFonts w:eastAsiaTheme="minorHAnsi" w:cs="Tahoma"/>
          <w:szCs w:val="20"/>
          <w:lang w:val="es-CR" w:eastAsia="en-US"/>
        </w:rPr>
        <w:t xml:space="preserve">Berta </w:t>
      </w:r>
      <w:r w:rsidR="007B68CC">
        <w:rPr>
          <w:rFonts w:eastAsiaTheme="minorHAnsi" w:cs="Tahoma"/>
          <w:szCs w:val="20"/>
          <w:lang w:val="es-CR" w:eastAsia="en-US"/>
        </w:rPr>
        <w:t xml:space="preserve">Isabel </w:t>
      </w:r>
      <w:r w:rsidR="009C5FA6">
        <w:rPr>
          <w:rFonts w:eastAsiaTheme="minorHAnsi" w:cs="Tahoma"/>
          <w:szCs w:val="20"/>
          <w:lang w:val="es-CR" w:eastAsia="en-US"/>
        </w:rPr>
        <w:t>Ruíz</w:t>
      </w:r>
      <w:r w:rsidR="00C87896" w:rsidRPr="00171EC3">
        <w:rPr>
          <w:rFonts w:eastAsiaTheme="minorHAnsi" w:cs="Tahoma"/>
          <w:szCs w:val="20"/>
          <w:lang w:val="es-CR" w:eastAsia="en-US"/>
        </w:rPr>
        <w:t xml:space="preserve"> Fuentes, hermana, </w:t>
      </w:r>
      <w:r w:rsidRPr="00171EC3">
        <w:rPr>
          <w:szCs w:val="20"/>
          <w:lang w:val="es-CR"/>
        </w:rPr>
        <w:t xml:space="preserve">Wendy </w:t>
      </w:r>
      <w:r w:rsidR="007B68CC">
        <w:rPr>
          <w:szCs w:val="20"/>
          <w:lang w:val="es-CR"/>
        </w:rPr>
        <w:t>Est</w:t>
      </w:r>
      <w:r w:rsidR="00702B23">
        <w:rPr>
          <w:szCs w:val="20"/>
          <w:lang w:val="es-CR"/>
        </w:rPr>
        <w:t xml:space="preserve">er </w:t>
      </w:r>
      <w:r w:rsidR="009C5FA6">
        <w:rPr>
          <w:szCs w:val="20"/>
          <w:lang w:val="es-CR"/>
        </w:rPr>
        <w:t>Ruíz</w:t>
      </w:r>
      <w:r w:rsidRPr="00171EC3">
        <w:rPr>
          <w:szCs w:val="20"/>
          <w:lang w:val="es-CR"/>
        </w:rPr>
        <w:t xml:space="preserve"> </w:t>
      </w:r>
      <w:r w:rsidR="00702B23" w:rsidRPr="00171EC3">
        <w:rPr>
          <w:szCs w:val="20"/>
          <w:lang w:val="es-CR"/>
        </w:rPr>
        <w:t>V</w:t>
      </w:r>
      <w:r w:rsidR="007B68CC">
        <w:rPr>
          <w:szCs w:val="20"/>
          <w:lang w:val="es-CR"/>
        </w:rPr>
        <w:t>el</w:t>
      </w:r>
      <w:r w:rsidR="00702B23">
        <w:rPr>
          <w:szCs w:val="20"/>
          <w:lang w:val="es-CR"/>
        </w:rPr>
        <w:t>ásquez</w:t>
      </w:r>
      <w:r w:rsidR="00C87896" w:rsidRPr="00171EC3">
        <w:rPr>
          <w:szCs w:val="20"/>
          <w:lang w:val="es-CR"/>
        </w:rPr>
        <w:t xml:space="preserve">, hija, </w:t>
      </w:r>
      <w:r w:rsidRPr="00171EC3">
        <w:rPr>
          <w:szCs w:val="20"/>
          <w:lang w:val="es-CR"/>
        </w:rPr>
        <w:t>y Ana Marina Velázquez</w:t>
      </w:r>
      <w:r w:rsidR="00C87896" w:rsidRPr="00171EC3">
        <w:rPr>
          <w:szCs w:val="20"/>
          <w:lang w:val="es-CR"/>
        </w:rPr>
        <w:t xml:space="preserve">, conviviente, </w:t>
      </w:r>
      <w:r w:rsidRPr="00171EC3">
        <w:rPr>
          <w:szCs w:val="20"/>
          <w:lang w:val="es-CR"/>
        </w:rPr>
        <w:t xml:space="preserve">de la </w:t>
      </w:r>
      <w:r w:rsidR="002D5F03" w:rsidRPr="00171EC3">
        <w:rPr>
          <w:szCs w:val="20"/>
          <w:lang w:val="es-CR"/>
        </w:rPr>
        <w:t xml:space="preserve">presunta </w:t>
      </w:r>
      <w:r w:rsidRPr="00171EC3">
        <w:rPr>
          <w:szCs w:val="20"/>
          <w:lang w:val="es-CR"/>
        </w:rPr>
        <w:t>víctima del caso</w:t>
      </w:r>
      <w:r w:rsidR="00C804F8" w:rsidRPr="00171EC3">
        <w:rPr>
          <w:szCs w:val="20"/>
          <w:lang w:val="es-CR"/>
        </w:rPr>
        <w:t>,</w:t>
      </w:r>
      <w:r w:rsidRPr="00171EC3">
        <w:rPr>
          <w:szCs w:val="20"/>
          <w:lang w:val="es-CR"/>
        </w:rPr>
        <w:t xml:space="preserve"> respectivamente, a raíz de las </w:t>
      </w:r>
      <w:r w:rsidR="00C804F8" w:rsidRPr="00171EC3">
        <w:rPr>
          <w:szCs w:val="20"/>
          <w:lang w:val="es-CR"/>
        </w:rPr>
        <w:t xml:space="preserve">alegadas </w:t>
      </w:r>
      <w:r w:rsidRPr="00171EC3">
        <w:rPr>
          <w:szCs w:val="20"/>
          <w:lang w:val="es-CR"/>
        </w:rPr>
        <w:t>violaciones padecidas en este caso, en particular</w:t>
      </w:r>
      <w:r w:rsidR="00C804F8" w:rsidRPr="00171EC3">
        <w:rPr>
          <w:szCs w:val="20"/>
          <w:lang w:val="es-CR"/>
        </w:rPr>
        <w:t>, por los alegados</w:t>
      </w:r>
      <w:r w:rsidRPr="00171EC3">
        <w:rPr>
          <w:szCs w:val="20"/>
          <w:lang w:val="es-CR"/>
        </w:rPr>
        <w:t xml:space="preserve"> tortura de Hugo Humberto, su permanencia prolongada en el corredor de la muerte, su posterior ejecución extrajudicial con la participación de agentes del Estado y la impunidad en que se mantienen todos los hechos hasta la fecha,</w:t>
      </w:r>
      <w:r w:rsidR="00C804F8" w:rsidRPr="00171EC3">
        <w:rPr>
          <w:szCs w:val="20"/>
          <w:lang w:val="es-CR"/>
        </w:rPr>
        <w:t xml:space="preserve"> y ii)</w:t>
      </w:r>
      <w:r w:rsidRPr="00171EC3">
        <w:rPr>
          <w:szCs w:val="20"/>
          <w:lang w:val="es-CR"/>
        </w:rPr>
        <w:t xml:space="preserve"> las </w:t>
      </w:r>
      <w:r w:rsidR="00C804F8" w:rsidRPr="00171EC3">
        <w:rPr>
          <w:szCs w:val="20"/>
          <w:lang w:val="es-CR"/>
        </w:rPr>
        <w:t xml:space="preserve">supuestas </w:t>
      </w:r>
      <w:r w:rsidRPr="00171EC3">
        <w:rPr>
          <w:szCs w:val="20"/>
          <w:lang w:val="es-CR"/>
        </w:rPr>
        <w:t xml:space="preserve">medidas que el Estado debe adoptar para reparar el daño causado a las víctimas, entre otros </w:t>
      </w:r>
      <w:r w:rsidRPr="00171EC3">
        <w:rPr>
          <w:szCs w:val="20"/>
          <w:lang w:val="es-CR"/>
        </w:rPr>
        <w:lastRenderedPageBreak/>
        <w:t>aspectos relevantes para el caso.</w:t>
      </w:r>
    </w:p>
    <w:p w:rsidR="00FB1228" w:rsidRDefault="00FB1228" w:rsidP="00171EC3">
      <w:pPr>
        <w:pStyle w:val="ListParagraph"/>
        <w:rPr>
          <w:rFonts w:eastAsiaTheme="minorHAnsi" w:cs="Tahoma"/>
          <w:szCs w:val="20"/>
          <w:lang w:val="es-CR" w:eastAsia="en-US"/>
        </w:rPr>
      </w:pPr>
    </w:p>
    <w:p w:rsidR="00320500" w:rsidRPr="00DF110A" w:rsidRDefault="00320500" w:rsidP="00171EC3">
      <w:pPr>
        <w:pStyle w:val="ListParagraph"/>
        <w:widowControl w:val="0"/>
        <w:numPr>
          <w:ilvl w:val="1"/>
          <w:numId w:val="4"/>
        </w:numPr>
        <w:tabs>
          <w:tab w:val="left" w:pos="567"/>
          <w:tab w:val="left" w:pos="1134"/>
        </w:tabs>
        <w:autoSpaceDE w:val="0"/>
        <w:autoSpaceDN w:val="0"/>
        <w:adjustRightInd w:val="0"/>
        <w:spacing w:after="0"/>
        <w:ind w:left="720" w:right="22" w:firstLine="0"/>
        <w:rPr>
          <w:rFonts w:eastAsiaTheme="minorHAnsi" w:cs="Tahoma"/>
          <w:b/>
          <w:szCs w:val="20"/>
          <w:lang w:val="es-CR" w:eastAsia="en-US"/>
        </w:rPr>
      </w:pPr>
      <w:r w:rsidRPr="00171EC3">
        <w:rPr>
          <w:rFonts w:eastAsiaTheme="minorHAnsi" w:cs="Tahoma"/>
          <w:szCs w:val="20"/>
          <w:lang w:val="es-CR" w:eastAsia="en-US"/>
        </w:rPr>
        <w:t xml:space="preserve"> </w:t>
      </w:r>
      <w:r w:rsidR="00FB1228" w:rsidRPr="00171EC3">
        <w:rPr>
          <w:rFonts w:eastAsiaTheme="minorHAnsi" w:cs="Tahoma"/>
          <w:i/>
          <w:szCs w:val="20"/>
          <w:lang w:val="es-CR" w:eastAsia="en-US"/>
        </w:rPr>
        <w:t>Leonel González</w:t>
      </w:r>
      <w:r w:rsidR="00FB1228" w:rsidRPr="00171EC3">
        <w:rPr>
          <w:rFonts w:eastAsiaTheme="minorHAnsi" w:cs="Tahoma"/>
          <w:szCs w:val="20"/>
          <w:lang w:val="es-CR" w:eastAsia="en-US"/>
        </w:rPr>
        <w:t xml:space="preserve">, </w:t>
      </w:r>
      <w:r w:rsidRPr="00171EC3">
        <w:rPr>
          <w:rFonts w:eastAsiaTheme="minorHAnsi" w:cs="Tahoma"/>
          <w:szCs w:val="20"/>
          <w:lang w:val="es-CR" w:eastAsia="en-US"/>
        </w:rPr>
        <w:t>abogado especialista en derecho procesal penal guatemalteco</w:t>
      </w:r>
      <w:r w:rsidR="002D5F03" w:rsidRPr="00171EC3">
        <w:rPr>
          <w:rFonts w:eastAsiaTheme="minorHAnsi" w:cs="Tahoma"/>
          <w:szCs w:val="20"/>
          <w:lang w:val="es-CR" w:eastAsia="en-US"/>
        </w:rPr>
        <w:t>,</w:t>
      </w:r>
      <w:r w:rsidRPr="00171EC3">
        <w:rPr>
          <w:rFonts w:eastAsiaTheme="minorHAnsi" w:cs="Tahoma"/>
          <w:szCs w:val="20"/>
          <w:lang w:val="es-CR" w:eastAsia="en-US"/>
        </w:rPr>
        <w:t xml:space="preserve"> quien analizará íntegramente el expediente del proceso judicial que condenó a muerte a Hugo H</w:t>
      </w:r>
      <w:r w:rsidR="002D5F03" w:rsidRPr="00171EC3">
        <w:rPr>
          <w:rFonts w:eastAsiaTheme="minorHAnsi" w:cs="Tahoma"/>
          <w:szCs w:val="20"/>
          <w:lang w:val="es-CR" w:eastAsia="en-US"/>
        </w:rPr>
        <w:t xml:space="preserve">umberto </w:t>
      </w:r>
      <w:r w:rsidR="009C5FA6">
        <w:rPr>
          <w:rFonts w:eastAsiaTheme="minorHAnsi" w:cs="Tahoma"/>
          <w:szCs w:val="20"/>
          <w:lang w:val="es-CR" w:eastAsia="en-US"/>
        </w:rPr>
        <w:t>Ruíz</w:t>
      </w:r>
      <w:r w:rsidR="002D5F03" w:rsidRPr="00171EC3">
        <w:rPr>
          <w:rFonts w:eastAsiaTheme="minorHAnsi" w:cs="Tahoma"/>
          <w:szCs w:val="20"/>
          <w:lang w:val="es-CR" w:eastAsia="en-US"/>
        </w:rPr>
        <w:t xml:space="preserve"> Fuentes, y rendirá</w:t>
      </w:r>
      <w:r w:rsidRPr="00171EC3">
        <w:rPr>
          <w:rFonts w:eastAsiaTheme="minorHAnsi" w:cs="Tahoma"/>
          <w:szCs w:val="20"/>
          <w:lang w:val="es-CR" w:eastAsia="en-US"/>
        </w:rPr>
        <w:t xml:space="preserve"> peritaje sobre: i) si el proceso observó las garantías procesales mínimas de acuerdo con los estándares interamericanos, en particular sobre el derecho a la defensa técnica y el control judicial de la misma; ii) el derecho a recurrir el fallo condenatorio, sus limitaciones en el marco de la legislación y práctica judicial guatemalteca y las violaciones que se cometieron en el presente caso; iii) las supuestas medidas que debería adoptar el Estado para garantizar el control judicial efectivo de la defensa técnica adecuada de acuerdo con los estándares interamericanos; iv) las medidas que debería adoptar el Estado para garantizar que las personas condenadas penalmente cuenten con un recurso ante una autoridad jerárquica competente que permita una revisión integral del fallo condenatorio, y garantice la no repetición de los hechos; v) otras supuestas medidas que el Estado debería adoptar para evitar la repetición de hechos como aquellos a los que se refiere este caso. </w:t>
      </w:r>
    </w:p>
    <w:p w:rsidR="00FB1228" w:rsidRPr="00FB1228" w:rsidRDefault="00FB1228" w:rsidP="00171EC3">
      <w:pPr>
        <w:widowControl w:val="0"/>
        <w:tabs>
          <w:tab w:val="left" w:pos="567"/>
          <w:tab w:val="left" w:pos="1134"/>
        </w:tabs>
        <w:autoSpaceDE w:val="0"/>
        <w:autoSpaceDN w:val="0"/>
        <w:adjustRightInd w:val="0"/>
        <w:spacing w:after="0"/>
        <w:ind w:left="720" w:right="22"/>
        <w:rPr>
          <w:rFonts w:eastAsiaTheme="minorHAnsi" w:cs="Tahoma"/>
          <w:szCs w:val="20"/>
          <w:lang w:val="es-CR" w:eastAsia="en-US"/>
        </w:rPr>
      </w:pPr>
    </w:p>
    <w:p w:rsidR="00171EC3" w:rsidRPr="00DF110A" w:rsidRDefault="00DF110A" w:rsidP="00DF110A">
      <w:pPr>
        <w:pStyle w:val="ListParagraph"/>
        <w:widowControl w:val="0"/>
        <w:numPr>
          <w:ilvl w:val="1"/>
          <w:numId w:val="4"/>
        </w:numPr>
        <w:tabs>
          <w:tab w:val="left" w:pos="567"/>
        </w:tabs>
        <w:autoSpaceDE w:val="0"/>
        <w:autoSpaceDN w:val="0"/>
        <w:adjustRightInd w:val="0"/>
        <w:spacing w:after="0"/>
        <w:ind w:left="720" w:right="22" w:firstLine="0"/>
        <w:rPr>
          <w:rFonts w:eastAsiaTheme="minorHAnsi" w:cs="Tahoma"/>
          <w:i/>
          <w:szCs w:val="20"/>
          <w:lang w:val="es-CR" w:eastAsia="en-US"/>
        </w:rPr>
      </w:pPr>
      <w:r w:rsidRPr="00391A37">
        <w:rPr>
          <w:rFonts w:eastAsiaTheme="minorHAnsi" w:cs="Tahoma"/>
          <w:i/>
          <w:szCs w:val="20"/>
          <w:lang w:val="es-CR" w:eastAsia="en-US"/>
        </w:rPr>
        <w:t xml:space="preserve">Edgar </w:t>
      </w:r>
      <w:r w:rsidR="00391A37" w:rsidRPr="00391A37">
        <w:rPr>
          <w:rFonts w:eastAsia="Times New Roman"/>
          <w:i/>
          <w:lang w:val="es-ES"/>
        </w:rPr>
        <w:t>René Celada Quezada</w:t>
      </w:r>
      <w:r w:rsidR="00391A37">
        <w:rPr>
          <w:rFonts w:eastAsia="Times New Roman"/>
          <w:i/>
          <w:lang w:val="es-ES"/>
        </w:rPr>
        <w:t>,</w:t>
      </w:r>
      <w:r w:rsidRPr="00391A37">
        <w:rPr>
          <w:rFonts w:eastAsiaTheme="minorHAnsi" w:cs="Tahoma"/>
          <w:i/>
          <w:szCs w:val="20"/>
          <w:lang w:val="es-CR" w:eastAsia="en-US"/>
        </w:rPr>
        <w:t xml:space="preserve"> </w:t>
      </w:r>
      <w:r w:rsidRPr="00391A37">
        <w:rPr>
          <w:rFonts w:eastAsiaTheme="minorHAnsi" w:cs="Tahoma"/>
          <w:szCs w:val="20"/>
          <w:lang w:val="es-CR" w:eastAsia="en-US"/>
        </w:rPr>
        <w:t>académico guatemalteco y rendirá peritaje sobre</w:t>
      </w:r>
      <w:r w:rsidRPr="00391A37">
        <w:rPr>
          <w:rFonts w:eastAsiaTheme="minorHAnsi" w:cs="Tahoma"/>
          <w:i/>
          <w:szCs w:val="20"/>
          <w:lang w:val="es-CR" w:eastAsia="en-US"/>
        </w:rPr>
        <w:t>:</w:t>
      </w:r>
      <w:r w:rsidRPr="00DF110A">
        <w:rPr>
          <w:rFonts w:eastAsiaTheme="minorHAnsi" w:cs="Tahoma"/>
          <w:i/>
          <w:szCs w:val="20"/>
          <w:lang w:val="es-CR" w:eastAsia="en-US"/>
        </w:rPr>
        <w:t xml:space="preserve"> </w:t>
      </w:r>
      <w:r w:rsidR="00171EC3" w:rsidRPr="00DF110A">
        <w:rPr>
          <w:rFonts w:eastAsiaTheme="minorHAnsi" w:cs="Arial"/>
          <w:szCs w:val="20"/>
          <w:lang w:val="es-CR" w:eastAsia="en-US"/>
        </w:rPr>
        <w:t xml:space="preserve">i) el funcionamiento de la Policía Nacional Civil en Guatemala, y sus problemas estructurales desde el momento de su creación (1997) hasta la fecha; ii) la manera en la que dichos problemas estructurales abonaron a permitir y tolerar actuaciones ilegales sistemáticas por parte de los agentes de las fuerzas policiales; iii) la constitución de estructuras criminales paralelas al interior de la PNC amparadas por el Estado, y las lógicas bajo las cuales operaban dichas estructuras; iv) propuestas de medidas legislativas, administrativas y de otra índole dirigidas a </w:t>
      </w:r>
      <w:r>
        <w:rPr>
          <w:rFonts w:eastAsiaTheme="minorHAnsi" w:cs="Arial"/>
          <w:szCs w:val="20"/>
          <w:lang w:val="es-CR" w:eastAsia="en-US"/>
        </w:rPr>
        <w:t>reformar la estructura de la Policía Nacional Civil</w:t>
      </w:r>
      <w:r w:rsidR="00171EC3" w:rsidRPr="00DF110A">
        <w:rPr>
          <w:rFonts w:eastAsiaTheme="minorHAnsi" w:cs="Arial"/>
          <w:szCs w:val="20"/>
          <w:lang w:val="es-CR" w:eastAsia="en-US"/>
        </w:rPr>
        <w:t>, que sean tendentes a garantizar la no repetición de hechos como los ocurridos en este caso, entre otros aspectos de este caso.</w:t>
      </w:r>
      <w:r w:rsidR="00CB76DC">
        <w:rPr>
          <w:rFonts w:eastAsiaTheme="minorHAnsi" w:cs="Arial"/>
          <w:szCs w:val="20"/>
          <w:lang w:val="es-CR" w:eastAsia="en-US"/>
        </w:rPr>
        <w:t xml:space="preserve"> </w:t>
      </w:r>
    </w:p>
    <w:p w:rsidR="007511E0" w:rsidRPr="00A00559" w:rsidRDefault="007511E0" w:rsidP="007511E0">
      <w:pPr>
        <w:widowControl w:val="0"/>
        <w:tabs>
          <w:tab w:val="left" w:pos="567"/>
          <w:tab w:val="left" w:pos="1134"/>
        </w:tabs>
        <w:autoSpaceDE w:val="0"/>
        <w:autoSpaceDN w:val="0"/>
        <w:adjustRightInd w:val="0"/>
        <w:spacing w:after="0"/>
        <w:ind w:right="22"/>
        <w:rPr>
          <w:rFonts w:eastAsiaTheme="minorHAnsi" w:cs="Tahoma"/>
          <w:szCs w:val="20"/>
          <w:lang w:eastAsia="en-US"/>
        </w:rPr>
      </w:pPr>
    </w:p>
    <w:p w:rsidR="007511E0" w:rsidRDefault="008E1FDE" w:rsidP="007511E0">
      <w:pPr>
        <w:pStyle w:val="ListParagraph"/>
        <w:widowControl w:val="0"/>
        <w:numPr>
          <w:ilvl w:val="0"/>
          <w:numId w:val="9"/>
        </w:numPr>
        <w:tabs>
          <w:tab w:val="left" w:pos="567"/>
          <w:tab w:val="left" w:pos="810"/>
        </w:tabs>
        <w:autoSpaceDE w:val="0"/>
        <w:autoSpaceDN w:val="0"/>
        <w:adjustRightInd w:val="0"/>
        <w:spacing w:after="0"/>
        <w:ind w:right="22"/>
        <w:contextualSpacing w:val="0"/>
        <w:rPr>
          <w:color w:val="000000"/>
          <w:szCs w:val="20"/>
          <w:lang w:val="es-CR"/>
        </w:rPr>
      </w:pPr>
      <w:bookmarkStart w:id="9" w:name="_Ref393464381"/>
      <w:r>
        <w:rPr>
          <w:color w:val="000000"/>
          <w:szCs w:val="20"/>
          <w:lang w:val="es-CR"/>
        </w:rPr>
        <w:t xml:space="preserve">Requerir </w:t>
      </w:r>
      <w:r w:rsidR="00CD2432">
        <w:rPr>
          <w:color w:val="000000"/>
          <w:szCs w:val="20"/>
          <w:lang w:val="es-CR"/>
        </w:rPr>
        <w:t xml:space="preserve">a la Comisión Interamericana y </w:t>
      </w:r>
      <w:r>
        <w:rPr>
          <w:color w:val="000000"/>
          <w:szCs w:val="20"/>
          <w:lang w:val="es-CR"/>
        </w:rPr>
        <w:t>a la</w:t>
      </w:r>
      <w:r w:rsidR="007511E0" w:rsidRPr="00C75778">
        <w:rPr>
          <w:color w:val="000000"/>
          <w:szCs w:val="20"/>
          <w:lang w:val="es-CR"/>
        </w:rPr>
        <w:t>s representantes que notifiquen la presente Resolución a las personas por ellos propuestas, que han sido convocadas a rendir declaración, de conformidad con lo dispuesto en los artículos 50.2 y 50.4 del Reglamento.</w:t>
      </w:r>
    </w:p>
    <w:p w:rsidR="007511E0" w:rsidRPr="00931983" w:rsidRDefault="007511E0" w:rsidP="00931983">
      <w:pPr>
        <w:pStyle w:val="ListParagraph"/>
        <w:widowControl w:val="0"/>
        <w:tabs>
          <w:tab w:val="left" w:pos="567"/>
          <w:tab w:val="left" w:pos="708"/>
          <w:tab w:val="left" w:pos="810"/>
        </w:tabs>
        <w:autoSpaceDE w:val="0"/>
        <w:autoSpaceDN w:val="0"/>
        <w:adjustRightInd w:val="0"/>
        <w:spacing w:after="0"/>
        <w:ind w:left="0" w:right="22"/>
        <w:contextualSpacing w:val="0"/>
        <w:rPr>
          <w:color w:val="000000"/>
          <w:szCs w:val="20"/>
          <w:lang w:val="es-CR"/>
        </w:rPr>
      </w:pPr>
    </w:p>
    <w:bookmarkEnd w:id="9"/>
    <w:p w:rsidR="007511E0" w:rsidRPr="00CD2432" w:rsidRDefault="007511E0" w:rsidP="007511E0">
      <w:pPr>
        <w:pStyle w:val="ListParagraph"/>
        <w:widowControl w:val="0"/>
        <w:numPr>
          <w:ilvl w:val="0"/>
          <w:numId w:val="9"/>
        </w:numPr>
        <w:tabs>
          <w:tab w:val="left" w:pos="567"/>
          <w:tab w:val="left" w:pos="810"/>
        </w:tabs>
        <w:autoSpaceDE w:val="0"/>
        <w:autoSpaceDN w:val="0"/>
        <w:adjustRightInd w:val="0"/>
        <w:spacing w:after="0"/>
        <w:ind w:right="22"/>
        <w:contextualSpacing w:val="0"/>
        <w:rPr>
          <w:color w:val="000000"/>
          <w:szCs w:val="20"/>
          <w:lang w:val="es-CR"/>
        </w:rPr>
      </w:pPr>
      <w:r w:rsidRPr="00C75778">
        <w:rPr>
          <w:rFonts w:eastAsia="MS Mincho"/>
          <w:szCs w:val="20"/>
          <w:lang w:val="es-ES"/>
        </w:rPr>
        <w:t xml:space="preserve">Requerir al Estado </w:t>
      </w:r>
      <w:r w:rsidR="00B41C63">
        <w:rPr>
          <w:rFonts w:eastAsia="MS Mincho"/>
          <w:szCs w:val="20"/>
          <w:lang w:val="es-ES"/>
        </w:rPr>
        <w:t xml:space="preserve">y a la Comisión </w:t>
      </w:r>
      <w:r w:rsidRPr="00C75778">
        <w:rPr>
          <w:rFonts w:eastAsia="MS Mincho"/>
          <w:szCs w:val="20"/>
          <w:lang w:val="es-ES"/>
        </w:rPr>
        <w:t>que remita</w:t>
      </w:r>
      <w:r w:rsidR="00B41C63">
        <w:rPr>
          <w:rFonts w:eastAsia="MS Mincho"/>
          <w:szCs w:val="20"/>
          <w:lang w:val="es-ES"/>
        </w:rPr>
        <w:t>n</w:t>
      </w:r>
      <w:r w:rsidRPr="00C75778">
        <w:rPr>
          <w:rFonts w:eastAsia="MS Mincho"/>
          <w:szCs w:val="20"/>
          <w:lang w:val="es-ES"/>
        </w:rPr>
        <w:t xml:space="preserve">, </w:t>
      </w:r>
      <w:r w:rsidRPr="00C75778">
        <w:rPr>
          <w:lang w:val="es-ES"/>
        </w:rPr>
        <w:t>en los términos del artículo 50.5 del Reglamento y</w:t>
      </w:r>
      <w:r w:rsidRPr="00C75778">
        <w:rPr>
          <w:rFonts w:eastAsia="MS Mincho"/>
          <w:szCs w:val="20"/>
          <w:lang w:val="es-ES"/>
        </w:rPr>
        <w:t xml:space="preserve"> de considerarlo pertinente, en el plazo</w:t>
      </w:r>
      <w:r w:rsidR="008E1FDE">
        <w:rPr>
          <w:rFonts w:eastAsia="MS Mincho" w:cs="Verdana"/>
          <w:szCs w:val="20"/>
          <w:lang w:val="es-ES"/>
        </w:rPr>
        <w:t xml:space="preserve"> improrrogable que vence el </w:t>
      </w:r>
      <w:r w:rsidR="001D0E8D" w:rsidRPr="00BC1F80">
        <w:rPr>
          <w:rFonts w:eastAsia="MS Mincho" w:cs="Verdana"/>
          <w:szCs w:val="20"/>
          <w:lang w:val="es-ES"/>
        </w:rPr>
        <w:t>18</w:t>
      </w:r>
      <w:r w:rsidR="008E1FDE" w:rsidRPr="00BC1F80">
        <w:rPr>
          <w:rFonts w:eastAsia="MS Mincho" w:cs="Verdana"/>
          <w:szCs w:val="20"/>
          <w:lang w:val="es-ES"/>
        </w:rPr>
        <w:t xml:space="preserve"> de </w:t>
      </w:r>
      <w:r w:rsidR="001D0E8D" w:rsidRPr="00BC1F80">
        <w:rPr>
          <w:rFonts w:eastAsia="MS Mincho" w:cs="Verdana"/>
          <w:szCs w:val="20"/>
          <w:lang w:val="es-ES"/>
        </w:rPr>
        <w:t>febrero</w:t>
      </w:r>
      <w:r w:rsidRPr="00BC1F80">
        <w:rPr>
          <w:rFonts w:eastAsia="MS Mincho" w:cs="Verdana"/>
          <w:szCs w:val="20"/>
          <w:lang w:val="es-ES"/>
        </w:rPr>
        <w:t xml:space="preserve"> de</w:t>
      </w:r>
      <w:r w:rsidR="00E72774" w:rsidRPr="00BC1F80">
        <w:rPr>
          <w:rFonts w:eastAsia="MS Mincho" w:cs="Verdana"/>
          <w:szCs w:val="20"/>
          <w:lang w:val="es-ES"/>
        </w:rPr>
        <w:t xml:space="preserve"> 2019,</w:t>
      </w:r>
      <w:r w:rsidR="00E72774">
        <w:rPr>
          <w:rFonts w:eastAsia="MS Mincho" w:cs="Verdana"/>
          <w:szCs w:val="20"/>
          <w:lang w:val="es-ES"/>
        </w:rPr>
        <w:t xml:space="preserve"> las preguntas que estime</w:t>
      </w:r>
      <w:r w:rsidR="00B41C63">
        <w:rPr>
          <w:rFonts w:eastAsia="MS Mincho" w:cs="Verdana"/>
          <w:szCs w:val="20"/>
          <w:lang w:val="es-ES"/>
        </w:rPr>
        <w:t>n</w:t>
      </w:r>
      <w:r w:rsidRPr="00C75778">
        <w:rPr>
          <w:rFonts w:eastAsia="MS Mincho" w:cs="Verdana"/>
          <w:szCs w:val="20"/>
          <w:lang w:val="es-ES"/>
        </w:rPr>
        <w:t xml:space="preserve"> pertinentes formular a través de la Corte Interamericana a los declarantes </w:t>
      </w:r>
      <w:r w:rsidRPr="00C75778">
        <w:rPr>
          <w:rFonts w:eastAsia="MS Mincho"/>
          <w:szCs w:val="20"/>
          <w:lang w:val="es-ES"/>
        </w:rPr>
        <w:t>indicados en el punto resolutivo 4 de esta Resolución.</w:t>
      </w:r>
      <w:r w:rsidRPr="00C75778">
        <w:rPr>
          <w:lang w:val="es-ES"/>
        </w:rPr>
        <w:t xml:space="preserve"> </w:t>
      </w:r>
    </w:p>
    <w:p w:rsidR="00CD2432" w:rsidRPr="00CD2432" w:rsidRDefault="00CD2432" w:rsidP="00CD2432">
      <w:pPr>
        <w:pStyle w:val="ListParagraph"/>
        <w:rPr>
          <w:color w:val="000000"/>
          <w:szCs w:val="20"/>
          <w:lang w:val="es-CR"/>
        </w:rPr>
      </w:pPr>
    </w:p>
    <w:p w:rsidR="001D0E8D" w:rsidRPr="00BC1F80" w:rsidRDefault="00CD2432" w:rsidP="001D0E8D">
      <w:pPr>
        <w:pStyle w:val="ListParagraph"/>
        <w:widowControl w:val="0"/>
        <w:numPr>
          <w:ilvl w:val="0"/>
          <w:numId w:val="9"/>
        </w:numPr>
        <w:tabs>
          <w:tab w:val="left" w:pos="567"/>
          <w:tab w:val="left" w:pos="810"/>
        </w:tabs>
        <w:autoSpaceDE w:val="0"/>
        <w:autoSpaceDN w:val="0"/>
        <w:adjustRightInd w:val="0"/>
        <w:spacing w:after="0"/>
        <w:ind w:right="22"/>
        <w:contextualSpacing w:val="0"/>
        <w:rPr>
          <w:color w:val="000000"/>
          <w:szCs w:val="20"/>
          <w:lang w:val="es-CR"/>
        </w:rPr>
      </w:pPr>
      <w:r w:rsidRPr="00BC1F80">
        <w:t>Requerir a los representantes y a la Comisión que realicen las diligencias necesarias para que, una vez recibidas las</w:t>
      </w:r>
      <w:r w:rsidR="00E72774" w:rsidRPr="00BC1F80">
        <w:t xml:space="preserve"> preguntas de la contraparte, lo</w:t>
      </w:r>
      <w:r w:rsidRPr="00BC1F80">
        <w:t>s declarantes y los peritos incluyan las respuestas en sus respectivas declaraciones y dictámenes rendidos ante fedatario público, salvo que el Presidente disponga lo contrario cuando la Secretaría de la Corte las transmita. Las declaraciones y los peritajes requeridos e</w:t>
      </w:r>
      <w:r w:rsidR="00B41C63" w:rsidRPr="00BC1F80">
        <w:t xml:space="preserve">n el referido punto resolutivo </w:t>
      </w:r>
      <w:r w:rsidR="00BC1F80">
        <w:t>4</w:t>
      </w:r>
      <w:r w:rsidR="00936A1D" w:rsidRPr="00BC1F80">
        <w:t xml:space="preserve"> </w:t>
      </w:r>
      <w:r w:rsidRPr="00BC1F80">
        <w:t xml:space="preserve">deberán ser presentados a más tardar el </w:t>
      </w:r>
      <w:r w:rsidR="001D0E8D" w:rsidRPr="00BC1F80">
        <w:t>1</w:t>
      </w:r>
      <w:r w:rsidRPr="00BC1F80">
        <w:t xml:space="preserve"> de </w:t>
      </w:r>
      <w:r w:rsidR="001D0E8D" w:rsidRPr="00BC1F80">
        <w:t xml:space="preserve">marzo </w:t>
      </w:r>
      <w:r w:rsidRPr="00BC1F80">
        <w:t>de 2019.</w:t>
      </w:r>
    </w:p>
    <w:p w:rsidR="00210F76" w:rsidRPr="001D0E8D" w:rsidRDefault="00210F76" w:rsidP="00210F76">
      <w:pPr>
        <w:pStyle w:val="ListParagraph"/>
        <w:widowControl w:val="0"/>
        <w:tabs>
          <w:tab w:val="left" w:pos="567"/>
          <w:tab w:val="left" w:pos="810"/>
        </w:tabs>
        <w:autoSpaceDE w:val="0"/>
        <w:autoSpaceDN w:val="0"/>
        <w:adjustRightInd w:val="0"/>
        <w:spacing w:after="0"/>
        <w:ind w:left="0" w:right="22"/>
        <w:contextualSpacing w:val="0"/>
        <w:rPr>
          <w:color w:val="000000"/>
          <w:szCs w:val="20"/>
          <w:lang w:val="es-CR"/>
        </w:rPr>
      </w:pPr>
    </w:p>
    <w:p w:rsidR="00CD2432" w:rsidRPr="00C75778" w:rsidRDefault="00CD2432" w:rsidP="007511E0">
      <w:pPr>
        <w:pStyle w:val="ListParagraph"/>
        <w:widowControl w:val="0"/>
        <w:numPr>
          <w:ilvl w:val="0"/>
          <w:numId w:val="9"/>
        </w:numPr>
        <w:tabs>
          <w:tab w:val="left" w:pos="567"/>
          <w:tab w:val="left" w:pos="810"/>
        </w:tabs>
        <w:autoSpaceDE w:val="0"/>
        <w:autoSpaceDN w:val="0"/>
        <w:adjustRightInd w:val="0"/>
        <w:spacing w:after="0"/>
        <w:ind w:right="22"/>
        <w:contextualSpacing w:val="0"/>
        <w:rPr>
          <w:color w:val="000000"/>
          <w:szCs w:val="20"/>
          <w:lang w:val="es-CR"/>
        </w:rPr>
      </w:pPr>
      <w:r>
        <w:t xml:space="preserve">Disponer, conforme al artículo 50.6 del Reglamento que, una vez recibidas las declaraciones, la Secretaría de la Corte Interamericana las transmita al Estado, a los representantes y a la Comisión para que presenten sus observaciones a más tardar </w:t>
      </w:r>
      <w:r>
        <w:lastRenderedPageBreak/>
        <w:t>con sus alegatos u observaciones finales escritos, respectivamente.</w:t>
      </w:r>
    </w:p>
    <w:p w:rsidR="007511E0" w:rsidRPr="00B41C63" w:rsidRDefault="007511E0" w:rsidP="00B41C63">
      <w:pPr>
        <w:spacing w:after="0"/>
        <w:rPr>
          <w:color w:val="000000"/>
          <w:szCs w:val="20"/>
          <w:lang w:val="es-CR"/>
        </w:rPr>
      </w:pPr>
    </w:p>
    <w:p w:rsidR="007511E0" w:rsidRPr="00C75778" w:rsidRDefault="007511E0" w:rsidP="007511E0">
      <w:pPr>
        <w:pStyle w:val="ListParagraph"/>
        <w:widowControl w:val="0"/>
        <w:numPr>
          <w:ilvl w:val="0"/>
          <w:numId w:val="9"/>
        </w:numPr>
        <w:tabs>
          <w:tab w:val="left" w:pos="567"/>
          <w:tab w:val="left" w:pos="810"/>
        </w:tabs>
        <w:autoSpaceDE w:val="0"/>
        <w:autoSpaceDN w:val="0"/>
        <w:adjustRightInd w:val="0"/>
        <w:spacing w:after="0"/>
        <w:ind w:right="22"/>
        <w:contextualSpacing w:val="0"/>
        <w:rPr>
          <w:color w:val="000000"/>
          <w:szCs w:val="20"/>
          <w:lang w:val="es-CR"/>
        </w:rPr>
      </w:pPr>
      <w:r w:rsidRPr="00C75778">
        <w:rPr>
          <w:lang w:val="es-ES"/>
        </w:rPr>
        <w:t>Disponer</w:t>
      </w:r>
      <w:r>
        <w:rPr>
          <w:lang w:val="es-ES"/>
        </w:rPr>
        <w:t>,</w:t>
      </w:r>
      <w:r w:rsidRPr="00C75778">
        <w:rPr>
          <w:szCs w:val="20"/>
          <w:lang w:val="es-ES"/>
        </w:rPr>
        <w:t xml:space="preserve"> </w:t>
      </w:r>
      <w:r w:rsidRPr="00C75778">
        <w:rPr>
          <w:lang w:val="es-ES"/>
        </w:rPr>
        <w:t xml:space="preserve">conforme al artículo 50.6 del Reglamento </w:t>
      </w:r>
      <w:r w:rsidRPr="00C75778">
        <w:rPr>
          <w:szCs w:val="20"/>
          <w:lang w:val="es-ES"/>
        </w:rPr>
        <w:t>que, una vez recibidas las declaraciones, la Secretaría de la Corte Interamericana l</w:t>
      </w:r>
      <w:r>
        <w:rPr>
          <w:szCs w:val="20"/>
          <w:lang w:val="es-ES"/>
        </w:rPr>
        <w:t>a</w:t>
      </w:r>
      <w:r w:rsidRPr="00C75778">
        <w:rPr>
          <w:szCs w:val="20"/>
          <w:lang w:val="es-ES"/>
        </w:rPr>
        <w:t>s transmita al Estado</w:t>
      </w:r>
      <w:r w:rsidR="00B41C63">
        <w:rPr>
          <w:szCs w:val="20"/>
          <w:lang w:val="es-ES"/>
        </w:rPr>
        <w:t>, a las representantes y a la Comisión, para que</w:t>
      </w:r>
      <w:r w:rsidRPr="00C75778">
        <w:rPr>
          <w:szCs w:val="20"/>
          <w:lang w:val="es-ES"/>
        </w:rPr>
        <w:t xml:space="preserve">, </w:t>
      </w:r>
      <w:r w:rsidRPr="00C75778">
        <w:rPr>
          <w:rFonts w:eastAsia="MS Mincho"/>
          <w:szCs w:val="20"/>
          <w:lang w:val="es-ES"/>
        </w:rPr>
        <w:t>si lo estima</w:t>
      </w:r>
      <w:r w:rsidR="00B41C63">
        <w:rPr>
          <w:rFonts w:eastAsia="MS Mincho"/>
          <w:szCs w:val="20"/>
          <w:lang w:val="es-ES"/>
        </w:rPr>
        <w:t>n</w:t>
      </w:r>
      <w:r w:rsidRPr="00C75778">
        <w:rPr>
          <w:rFonts w:eastAsia="MS Mincho"/>
          <w:szCs w:val="20"/>
          <w:lang w:val="es-ES"/>
        </w:rPr>
        <w:t xml:space="preserve"> pertinente, presente</w:t>
      </w:r>
      <w:r w:rsidR="00B41C63">
        <w:rPr>
          <w:rFonts w:eastAsia="MS Mincho"/>
          <w:szCs w:val="20"/>
          <w:lang w:val="es-ES"/>
        </w:rPr>
        <w:t>n</w:t>
      </w:r>
      <w:r w:rsidRPr="00C75778">
        <w:rPr>
          <w:rFonts w:eastAsia="MS Mincho"/>
          <w:szCs w:val="20"/>
          <w:lang w:val="es-ES"/>
        </w:rPr>
        <w:t xml:space="preserve"> sus observaciones a más tardar con sus alegatos finales escritos</w:t>
      </w:r>
      <w:r w:rsidR="00B41C63">
        <w:rPr>
          <w:rFonts w:eastAsia="MS Mincho"/>
          <w:szCs w:val="20"/>
          <w:lang w:val="es-ES"/>
        </w:rPr>
        <w:t>.</w:t>
      </w:r>
    </w:p>
    <w:p w:rsidR="007511E0" w:rsidRPr="00C75778" w:rsidRDefault="007511E0" w:rsidP="007511E0">
      <w:pPr>
        <w:pStyle w:val="ListParagraph"/>
        <w:widowControl w:val="0"/>
        <w:tabs>
          <w:tab w:val="left" w:pos="708"/>
        </w:tabs>
        <w:autoSpaceDE w:val="0"/>
        <w:autoSpaceDN w:val="0"/>
        <w:adjustRightInd w:val="0"/>
        <w:spacing w:after="0"/>
        <w:ind w:left="0"/>
        <w:contextualSpacing w:val="0"/>
        <w:rPr>
          <w:color w:val="000000"/>
          <w:szCs w:val="20"/>
          <w:lang w:val="es-CR"/>
        </w:rPr>
      </w:pPr>
    </w:p>
    <w:p w:rsidR="007511E0" w:rsidRPr="00C75778" w:rsidRDefault="007511E0" w:rsidP="007511E0">
      <w:pPr>
        <w:pStyle w:val="ListParagraph"/>
        <w:widowControl w:val="0"/>
        <w:numPr>
          <w:ilvl w:val="0"/>
          <w:numId w:val="9"/>
        </w:numPr>
        <w:tabs>
          <w:tab w:val="left" w:pos="567"/>
          <w:tab w:val="left" w:pos="810"/>
        </w:tabs>
        <w:autoSpaceDE w:val="0"/>
        <w:autoSpaceDN w:val="0"/>
        <w:adjustRightInd w:val="0"/>
        <w:spacing w:after="0"/>
        <w:ind w:right="22"/>
        <w:contextualSpacing w:val="0"/>
        <w:rPr>
          <w:color w:val="000000"/>
          <w:szCs w:val="20"/>
          <w:lang w:val="es-CR"/>
        </w:rPr>
      </w:pPr>
      <w:r w:rsidRPr="00C75778">
        <w:rPr>
          <w:color w:val="000000"/>
          <w:szCs w:val="20"/>
          <w:lang w:val="es-CR"/>
        </w:rPr>
        <w:t xml:space="preserve">Requerir a los representantes </w:t>
      </w:r>
      <w:r w:rsidR="00B41C63">
        <w:rPr>
          <w:color w:val="000000"/>
          <w:szCs w:val="20"/>
          <w:lang w:val="es-CR"/>
        </w:rPr>
        <w:t xml:space="preserve">y a la Comisión </w:t>
      </w:r>
      <w:r w:rsidRPr="00C75778">
        <w:rPr>
          <w:color w:val="000000"/>
          <w:szCs w:val="20"/>
          <w:lang w:val="es-CR"/>
        </w:rPr>
        <w:t xml:space="preserve">que informen a las personas convocadas por la Corte para declarar que, según lo dispuesto en el artículo 54 del Reglamento, el Tribunal pondrá en conocimiento del Estado los casos en que las personas requeridas para comparecer o declarar no comparecieren o rehusaren deponer sin motivo legítimo o que, en el parecer de la misma Corte, hayan violado el juramento o la declaración solemne, para los fines previstos en la legislación nacional correspondiente. </w:t>
      </w:r>
    </w:p>
    <w:p w:rsidR="007511E0" w:rsidRPr="00C75778" w:rsidRDefault="007511E0" w:rsidP="007511E0">
      <w:pPr>
        <w:pStyle w:val="ListParagraph"/>
        <w:widowControl w:val="0"/>
        <w:tabs>
          <w:tab w:val="left" w:pos="708"/>
        </w:tabs>
        <w:autoSpaceDE w:val="0"/>
        <w:autoSpaceDN w:val="0"/>
        <w:adjustRightInd w:val="0"/>
        <w:spacing w:after="0"/>
        <w:ind w:left="0"/>
        <w:contextualSpacing w:val="0"/>
        <w:rPr>
          <w:color w:val="000000"/>
          <w:szCs w:val="20"/>
          <w:lang w:val="es-CR"/>
        </w:rPr>
      </w:pPr>
    </w:p>
    <w:p w:rsidR="007511E0" w:rsidRPr="008E5CBA" w:rsidRDefault="007511E0" w:rsidP="007511E0">
      <w:pPr>
        <w:pStyle w:val="ListParagraph"/>
        <w:widowControl w:val="0"/>
        <w:numPr>
          <w:ilvl w:val="0"/>
          <w:numId w:val="9"/>
        </w:numPr>
        <w:tabs>
          <w:tab w:val="left" w:pos="567"/>
          <w:tab w:val="left" w:pos="810"/>
        </w:tabs>
        <w:autoSpaceDE w:val="0"/>
        <w:autoSpaceDN w:val="0"/>
        <w:adjustRightInd w:val="0"/>
        <w:spacing w:after="0"/>
        <w:ind w:right="22"/>
        <w:contextualSpacing w:val="0"/>
        <w:rPr>
          <w:color w:val="000000"/>
          <w:szCs w:val="20"/>
          <w:lang w:val="es-CR"/>
        </w:rPr>
      </w:pPr>
      <w:r w:rsidRPr="00C75778">
        <w:rPr>
          <w:color w:val="000000"/>
          <w:szCs w:val="20"/>
          <w:lang w:val="es-CR"/>
        </w:rPr>
        <w:t>Informar a los representantes, al Estado y a la Comisión Interamericana que, al término de las declaraciones rendidas en la audiencia pública, podrán presentar ante el Tribunal sus alegatos finales orales y observaciones finales or</w:t>
      </w:r>
      <w:r w:rsidR="00404008">
        <w:rPr>
          <w:color w:val="000000"/>
          <w:szCs w:val="20"/>
          <w:lang w:val="es-CR"/>
        </w:rPr>
        <w:t xml:space="preserve">ales, respectivamente, </w:t>
      </w:r>
      <w:r w:rsidR="00404008" w:rsidRPr="008E5CBA">
        <w:rPr>
          <w:color w:val="000000"/>
          <w:szCs w:val="20"/>
          <w:lang w:val="es-CR"/>
        </w:rPr>
        <w:t xml:space="preserve">sobre </w:t>
      </w:r>
      <w:r w:rsidR="008E5CBA" w:rsidRPr="008E5CBA">
        <w:rPr>
          <w:color w:val="000000"/>
          <w:szCs w:val="20"/>
          <w:lang w:val="es-CR"/>
        </w:rPr>
        <w:t>la excepción preliminar</w:t>
      </w:r>
      <w:r w:rsidRPr="008E5CBA">
        <w:rPr>
          <w:color w:val="000000"/>
          <w:szCs w:val="20"/>
          <w:lang w:val="es-CR"/>
        </w:rPr>
        <w:t xml:space="preserve"> y eventuales fondo, reparaciones y costas en el presente caso. </w:t>
      </w:r>
    </w:p>
    <w:p w:rsidR="007511E0" w:rsidRPr="008E5CBA" w:rsidRDefault="007511E0" w:rsidP="007511E0">
      <w:pPr>
        <w:pStyle w:val="ListParagraph"/>
        <w:widowControl w:val="0"/>
        <w:tabs>
          <w:tab w:val="left" w:pos="708"/>
        </w:tabs>
        <w:autoSpaceDE w:val="0"/>
        <w:autoSpaceDN w:val="0"/>
        <w:adjustRightInd w:val="0"/>
        <w:spacing w:after="0"/>
        <w:ind w:left="0"/>
        <w:contextualSpacing w:val="0"/>
        <w:rPr>
          <w:color w:val="000000"/>
          <w:szCs w:val="20"/>
          <w:lang w:val="es-CR"/>
        </w:rPr>
      </w:pPr>
    </w:p>
    <w:p w:rsidR="007511E0" w:rsidRPr="008E5CBA" w:rsidRDefault="007511E0" w:rsidP="007511E0">
      <w:pPr>
        <w:pStyle w:val="ListParagraph"/>
        <w:widowControl w:val="0"/>
        <w:numPr>
          <w:ilvl w:val="0"/>
          <w:numId w:val="9"/>
        </w:numPr>
        <w:tabs>
          <w:tab w:val="left" w:pos="567"/>
          <w:tab w:val="left" w:pos="810"/>
        </w:tabs>
        <w:autoSpaceDE w:val="0"/>
        <w:autoSpaceDN w:val="0"/>
        <w:adjustRightInd w:val="0"/>
        <w:spacing w:after="0"/>
        <w:ind w:right="22"/>
        <w:contextualSpacing w:val="0"/>
        <w:rPr>
          <w:color w:val="000000"/>
          <w:szCs w:val="20"/>
          <w:lang w:val="es-CR"/>
        </w:rPr>
      </w:pPr>
      <w:r w:rsidRPr="008E5CBA">
        <w:rPr>
          <w:color w:val="000000"/>
          <w:szCs w:val="20"/>
          <w:lang w:val="es-CR"/>
        </w:rPr>
        <w:t>Disponer que la Secretaría de la Corte, de conformidad con lo dispuesto en el artículo 55.3 del Reglamento, indique a la Comisión Interamericana, a los representantes y al Estado el enlace donde se encontrará disponible la grabación de la audiencia pública, a la brevedad posible luego de la celebración de la misma.</w:t>
      </w:r>
    </w:p>
    <w:p w:rsidR="007511E0" w:rsidRPr="008E5CBA" w:rsidRDefault="007511E0" w:rsidP="007511E0">
      <w:pPr>
        <w:pStyle w:val="ListParagraph"/>
        <w:spacing w:after="0"/>
        <w:rPr>
          <w:color w:val="000000"/>
          <w:szCs w:val="20"/>
          <w:lang w:val="es-CR"/>
        </w:rPr>
      </w:pPr>
    </w:p>
    <w:p w:rsidR="007511E0" w:rsidRPr="008E5CBA" w:rsidRDefault="007511E0" w:rsidP="007511E0">
      <w:pPr>
        <w:pStyle w:val="ListParagraph"/>
        <w:widowControl w:val="0"/>
        <w:numPr>
          <w:ilvl w:val="0"/>
          <w:numId w:val="9"/>
        </w:numPr>
        <w:tabs>
          <w:tab w:val="left" w:pos="567"/>
          <w:tab w:val="left" w:pos="810"/>
        </w:tabs>
        <w:autoSpaceDE w:val="0"/>
        <w:autoSpaceDN w:val="0"/>
        <w:adjustRightInd w:val="0"/>
        <w:spacing w:after="0"/>
        <w:ind w:right="22"/>
        <w:contextualSpacing w:val="0"/>
        <w:rPr>
          <w:color w:val="000000"/>
          <w:szCs w:val="20"/>
          <w:lang w:val="es-CR"/>
        </w:rPr>
      </w:pPr>
      <w:r w:rsidRPr="008E5CBA">
        <w:rPr>
          <w:rFonts w:cs="Verdana"/>
          <w:color w:val="000000"/>
          <w:szCs w:val="20"/>
          <w:lang w:val="es-ES"/>
        </w:rPr>
        <w:t xml:space="preserve">Informar a </w:t>
      </w:r>
      <w:r w:rsidRPr="008E5CBA">
        <w:rPr>
          <w:color w:val="000000"/>
          <w:szCs w:val="20"/>
          <w:lang w:val="es-ES"/>
        </w:rPr>
        <w:t xml:space="preserve">los </w:t>
      </w:r>
      <w:r w:rsidRPr="008E5CBA">
        <w:rPr>
          <w:rFonts w:eastAsia="MS Mincho"/>
          <w:color w:val="000000"/>
          <w:szCs w:val="20"/>
          <w:lang w:val="es-ES"/>
        </w:rPr>
        <w:t>representantes</w:t>
      </w:r>
      <w:r w:rsidRPr="008E5CBA">
        <w:rPr>
          <w:color w:val="000000"/>
          <w:szCs w:val="20"/>
          <w:lang w:val="es-ES"/>
        </w:rPr>
        <w:t xml:space="preserve">, </w:t>
      </w:r>
      <w:r w:rsidRPr="008E5CBA">
        <w:rPr>
          <w:rFonts w:cs="Verdana"/>
          <w:color w:val="000000"/>
          <w:szCs w:val="20"/>
          <w:lang w:val="es-ES"/>
        </w:rPr>
        <w:t>al Estado y a la Comisión Interamericana que, en los términos d</w:t>
      </w:r>
      <w:r w:rsidRPr="008E5CBA">
        <w:rPr>
          <w:color w:val="000000"/>
          <w:lang w:val="es-ES"/>
        </w:rPr>
        <w:t>el artículo 56 del Reglamento,</w:t>
      </w:r>
      <w:r w:rsidR="007A3A29" w:rsidRPr="008E5CBA">
        <w:rPr>
          <w:rFonts w:cs="Verdana"/>
          <w:color w:val="000000"/>
          <w:szCs w:val="20"/>
          <w:lang w:val="es-ES"/>
        </w:rPr>
        <w:t xml:space="preserve"> cuentan con un plazo hasta el </w:t>
      </w:r>
      <w:r w:rsidR="001D0E8D" w:rsidRPr="00BC1F80">
        <w:rPr>
          <w:rFonts w:cs="Verdana"/>
          <w:color w:val="000000"/>
          <w:szCs w:val="20"/>
          <w:lang w:val="es-ES"/>
        </w:rPr>
        <w:t>5</w:t>
      </w:r>
      <w:r w:rsidR="007A3A29" w:rsidRPr="00BC1F80">
        <w:rPr>
          <w:rFonts w:cs="Verdana"/>
          <w:color w:val="000000"/>
          <w:szCs w:val="20"/>
          <w:lang w:val="es-ES"/>
        </w:rPr>
        <w:t xml:space="preserve"> de </w:t>
      </w:r>
      <w:r w:rsidR="001D0E8D" w:rsidRPr="00BC1F80">
        <w:rPr>
          <w:rFonts w:cs="Verdana"/>
          <w:color w:val="000000"/>
          <w:szCs w:val="20"/>
          <w:lang w:val="es-ES"/>
        </w:rPr>
        <w:t>abril</w:t>
      </w:r>
      <w:r w:rsidRPr="00BC1F80">
        <w:rPr>
          <w:rFonts w:cs="Verdana"/>
          <w:color w:val="000000"/>
          <w:szCs w:val="20"/>
          <w:lang w:val="es-ES"/>
        </w:rPr>
        <w:t xml:space="preserve"> de 2019 para presentar sus alegatos finales escritos y observaciones finales escrit</w:t>
      </w:r>
      <w:r w:rsidRPr="008E5CBA">
        <w:rPr>
          <w:rFonts w:cs="Verdana"/>
          <w:color w:val="000000"/>
          <w:szCs w:val="20"/>
          <w:lang w:val="es-ES"/>
        </w:rPr>
        <w:t xml:space="preserve">as, respectivamente, en relación con </w:t>
      </w:r>
      <w:r w:rsidR="008E5CBA" w:rsidRPr="008E5CBA">
        <w:rPr>
          <w:rFonts w:cs="Verdana"/>
          <w:color w:val="000000"/>
          <w:szCs w:val="20"/>
          <w:lang w:val="es-ES"/>
        </w:rPr>
        <w:t>la excepción preliminar</w:t>
      </w:r>
      <w:r w:rsidRPr="008E5CBA">
        <w:rPr>
          <w:rFonts w:cs="Verdana"/>
          <w:color w:val="000000"/>
          <w:szCs w:val="20"/>
          <w:lang w:val="es-ES"/>
        </w:rPr>
        <w:t xml:space="preserve"> y eventuales fondo, reparaciones y costas en el presente caso. Este plazo es improrrogable e independiente de la puesta a disposición de las partes de la grabación de la audiencia pública.</w:t>
      </w:r>
    </w:p>
    <w:p w:rsidR="007511E0" w:rsidRPr="00C75778" w:rsidRDefault="007511E0" w:rsidP="007511E0">
      <w:pPr>
        <w:pStyle w:val="ListParagraph"/>
        <w:spacing w:after="0"/>
        <w:rPr>
          <w:color w:val="000000"/>
          <w:szCs w:val="20"/>
          <w:lang w:val="es-CR"/>
        </w:rPr>
      </w:pPr>
    </w:p>
    <w:p w:rsidR="007511E0" w:rsidRPr="00C75778" w:rsidRDefault="007511E0" w:rsidP="007511E0">
      <w:pPr>
        <w:pStyle w:val="ListParagraph"/>
        <w:widowControl w:val="0"/>
        <w:numPr>
          <w:ilvl w:val="0"/>
          <w:numId w:val="9"/>
        </w:numPr>
        <w:tabs>
          <w:tab w:val="left" w:pos="567"/>
          <w:tab w:val="left" w:pos="810"/>
        </w:tabs>
        <w:autoSpaceDE w:val="0"/>
        <w:autoSpaceDN w:val="0"/>
        <w:adjustRightInd w:val="0"/>
        <w:spacing w:after="0"/>
        <w:ind w:right="22"/>
        <w:contextualSpacing w:val="0"/>
        <w:rPr>
          <w:color w:val="000000"/>
          <w:szCs w:val="20"/>
          <w:lang w:val="es-CR"/>
        </w:rPr>
      </w:pPr>
      <w:r w:rsidRPr="00C75778">
        <w:rPr>
          <w:lang w:val="es-ES"/>
        </w:rPr>
        <w:t>Declarar procedente la aplicación del Fondo de Asistencia Legal de Víctimas de la Corte Interamericana en los términos dispuestos e</w:t>
      </w:r>
      <w:r w:rsidR="007A3A29">
        <w:rPr>
          <w:lang w:val="es-ES"/>
        </w:rPr>
        <w:t xml:space="preserve">n los párrafos considerativos </w:t>
      </w:r>
      <w:r w:rsidR="00D276AE">
        <w:rPr>
          <w:lang w:val="es-ES"/>
        </w:rPr>
        <w:t>2</w:t>
      </w:r>
      <w:r w:rsidR="00D71602">
        <w:rPr>
          <w:lang w:val="es-ES"/>
        </w:rPr>
        <w:t>7</w:t>
      </w:r>
      <w:r w:rsidR="00936A1D">
        <w:rPr>
          <w:lang w:val="es-ES"/>
        </w:rPr>
        <w:t xml:space="preserve"> </w:t>
      </w:r>
      <w:r w:rsidR="007A3A29">
        <w:rPr>
          <w:lang w:val="es-ES"/>
        </w:rPr>
        <w:t xml:space="preserve">a </w:t>
      </w:r>
      <w:r w:rsidR="00753F63">
        <w:rPr>
          <w:lang w:val="es-ES"/>
        </w:rPr>
        <w:t>3</w:t>
      </w:r>
      <w:r w:rsidR="00D71602">
        <w:rPr>
          <w:lang w:val="es-ES"/>
        </w:rPr>
        <w:t>1</w:t>
      </w:r>
      <w:r w:rsidR="00936A1D" w:rsidRPr="00C75778">
        <w:rPr>
          <w:lang w:val="es-ES"/>
        </w:rPr>
        <w:t xml:space="preserve"> </w:t>
      </w:r>
      <w:r w:rsidRPr="00C75778">
        <w:rPr>
          <w:lang w:val="es-ES"/>
        </w:rPr>
        <w:t>de esta Resolución.</w:t>
      </w:r>
    </w:p>
    <w:p w:rsidR="007511E0" w:rsidRPr="00C75778" w:rsidRDefault="007511E0" w:rsidP="007511E0">
      <w:pPr>
        <w:pStyle w:val="ListParagraph"/>
        <w:spacing w:after="0"/>
        <w:rPr>
          <w:color w:val="000000"/>
          <w:szCs w:val="20"/>
          <w:lang w:val="es-CR"/>
        </w:rPr>
      </w:pPr>
    </w:p>
    <w:p w:rsidR="007511E0" w:rsidRPr="00C75778" w:rsidRDefault="007511E0" w:rsidP="007511E0">
      <w:pPr>
        <w:pStyle w:val="ListParagraph"/>
        <w:widowControl w:val="0"/>
        <w:numPr>
          <w:ilvl w:val="0"/>
          <w:numId w:val="9"/>
        </w:numPr>
        <w:tabs>
          <w:tab w:val="left" w:pos="567"/>
          <w:tab w:val="left" w:pos="810"/>
        </w:tabs>
        <w:autoSpaceDE w:val="0"/>
        <w:autoSpaceDN w:val="0"/>
        <w:adjustRightInd w:val="0"/>
        <w:spacing w:after="0"/>
        <w:ind w:right="22"/>
        <w:contextualSpacing w:val="0"/>
        <w:rPr>
          <w:color w:val="000000"/>
          <w:szCs w:val="20"/>
          <w:lang w:val="es-CR"/>
        </w:rPr>
      </w:pPr>
      <w:r w:rsidRPr="00C75778">
        <w:rPr>
          <w:lang w:val="es-ES"/>
        </w:rPr>
        <w:t>Disponer, de conformidad con el artículo 4 del Reglamento de la Corte sobre el Funcionamiento del Fondo de Asistencia Legal de Víctimas, que la Secretaría del Tribunal abra un expediente de gastos, donde se documentará cada una de las erogaciones que se realicen con el Fondo de Asistencia Legal de Víctimas.</w:t>
      </w:r>
    </w:p>
    <w:p w:rsidR="007511E0" w:rsidRPr="00C75778" w:rsidRDefault="007511E0" w:rsidP="007511E0">
      <w:pPr>
        <w:pStyle w:val="ListParagraph"/>
        <w:widowControl w:val="0"/>
        <w:tabs>
          <w:tab w:val="left" w:pos="708"/>
        </w:tabs>
        <w:autoSpaceDE w:val="0"/>
        <w:autoSpaceDN w:val="0"/>
        <w:adjustRightInd w:val="0"/>
        <w:spacing w:after="0"/>
        <w:ind w:left="0"/>
        <w:contextualSpacing w:val="0"/>
        <w:rPr>
          <w:color w:val="000000"/>
          <w:szCs w:val="20"/>
          <w:lang w:val="es-CR"/>
        </w:rPr>
      </w:pPr>
    </w:p>
    <w:p w:rsidR="007511E0" w:rsidRPr="00D71602" w:rsidRDefault="007511E0" w:rsidP="007511E0">
      <w:pPr>
        <w:pStyle w:val="ListParagraph"/>
        <w:widowControl w:val="0"/>
        <w:numPr>
          <w:ilvl w:val="0"/>
          <w:numId w:val="9"/>
        </w:numPr>
        <w:tabs>
          <w:tab w:val="left" w:pos="567"/>
          <w:tab w:val="left" w:pos="810"/>
        </w:tabs>
        <w:autoSpaceDE w:val="0"/>
        <w:autoSpaceDN w:val="0"/>
        <w:adjustRightInd w:val="0"/>
        <w:spacing w:after="0"/>
        <w:ind w:right="22"/>
        <w:contextualSpacing w:val="0"/>
        <w:rPr>
          <w:szCs w:val="20"/>
          <w:lang w:val="es-MX" w:eastAsia="en-US"/>
        </w:rPr>
      </w:pPr>
      <w:r w:rsidRPr="00C75778">
        <w:rPr>
          <w:color w:val="000000"/>
          <w:szCs w:val="20"/>
          <w:lang w:val="es-CR"/>
        </w:rPr>
        <w:t xml:space="preserve">Disponer que la Secretaría de la Corte Interamericana notifique la presente Resolución a la Comisión Interamericana de Derechos Humanos, a los representantes de la presunta víctima y a la República </w:t>
      </w:r>
      <w:r w:rsidRPr="00C75778">
        <w:rPr>
          <w:szCs w:val="20"/>
          <w:lang w:val="es-CR"/>
        </w:rPr>
        <w:t xml:space="preserve">de </w:t>
      </w:r>
      <w:r w:rsidR="0047543F">
        <w:rPr>
          <w:szCs w:val="20"/>
          <w:lang w:val="es-CR"/>
        </w:rPr>
        <w:t>Guatemala</w:t>
      </w:r>
      <w:r w:rsidRPr="00C75778">
        <w:rPr>
          <w:color w:val="000000"/>
          <w:szCs w:val="20"/>
          <w:lang w:val="es-CR"/>
        </w:rPr>
        <w:t>.</w:t>
      </w:r>
    </w:p>
    <w:p w:rsidR="00D71602" w:rsidRPr="00D71602" w:rsidRDefault="00D71602" w:rsidP="00D71602">
      <w:pPr>
        <w:pStyle w:val="ListParagraph"/>
        <w:rPr>
          <w:szCs w:val="20"/>
          <w:lang w:val="es-MX" w:eastAsia="en-US"/>
        </w:rPr>
      </w:pPr>
    </w:p>
    <w:p w:rsidR="00D71602" w:rsidRDefault="00D71602" w:rsidP="00D71602">
      <w:pPr>
        <w:pStyle w:val="ListParagraph"/>
        <w:widowControl w:val="0"/>
        <w:tabs>
          <w:tab w:val="left" w:pos="567"/>
          <w:tab w:val="left" w:pos="810"/>
        </w:tabs>
        <w:autoSpaceDE w:val="0"/>
        <w:autoSpaceDN w:val="0"/>
        <w:adjustRightInd w:val="0"/>
        <w:spacing w:after="0"/>
        <w:ind w:left="0" w:right="22"/>
        <w:contextualSpacing w:val="0"/>
        <w:rPr>
          <w:szCs w:val="20"/>
          <w:lang w:val="es-MX" w:eastAsia="en-US"/>
        </w:rPr>
      </w:pPr>
    </w:p>
    <w:p w:rsidR="00D71602" w:rsidRDefault="00D71602" w:rsidP="00D71602">
      <w:pPr>
        <w:pStyle w:val="ListParagraph"/>
        <w:widowControl w:val="0"/>
        <w:tabs>
          <w:tab w:val="left" w:pos="567"/>
          <w:tab w:val="left" w:pos="810"/>
        </w:tabs>
        <w:autoSpaceDE w:val="0"/>
        <w:autoSpaceDN w:val="0"/>
        <w:adjustRightInd w:val="0"/>
        <w:spacing w:after="0"/>
        <w:ind w:left="0" w:right="22"/>
        <w:contextualSpacing w:val="0"/>
        <w:rPr>
          <w:szCs w:val="20"/>
          <w:lang w:val="es-MX" w:eastAsia="en-US"/>
        </w:rPr>
      </w:pPr>
    </w:p>
    <w:p w:rsidR="00D71602" w:rsidRDefault="00D71602" w:rsidP="00D71602">
      <w:pPr>
        <w:pStyle w:val="ListParagraph"/>
        <w:widowControl w:val="0"/>
        <w:tabs>
          <w:tab w:val="left" w:pos="567"/>
          <w:tab w:val="left" w:pos="810"/>
        </w:tabs>
        <w:autoSpaceDE w:val="0"/>
        <w:autoSpaceDN w:val="0"/>
        <w:adjustRightInd w:val="0"/>
        <w:spacing w:after="0"/>
        <w:ind w:left="0" w:right="22"/>
        <w:contextualSpacing w:val="0"/>
        <w:rPr>
          <w:szCs w:val="20"/>
          <w:lang w:val="es-MX" w:eastAsia="en-US"/>
        </w:rPr>
      </w:pPr>
    </w:p>
    <w:p w:rsidR="00D71602" w:rsidRDefault="00D71602" w:rsidP="00D71602">
      <w:pPr>
        <w:pStyle w:val="ListParagraph"/>
        <w:widowControl w:val="0"/>
        <w:tabs>
          <w:tab w:val="left" w:pos="567"/>
          <w:tab w:val="left" w:pos="810"/>
        </w:tabs>
        <w:autoSpaceDE w:val="0"/>
        <w:autoSpaceDN w:val="0"/>
        <w:adjustRightInd w:val="0"/>
        <w:spacing w:after="0"/>
        <w:ind w:left="0" w:right="22"/>
        <w:contextualSpacing w:val="0"/>
        <w:rPr>
          <w:szCs w:val="20"/>
          <w:lang w:val="es-MX" w:eastAsia="en-US"/>
        </w:rPr>
      </w:pPr>
    </w:p>
    <w:p w:rsidR="00D71602" w:rsidRDefault="00D71602" w:rsidP="00D71602">
      <w:pPr>
        <w:pStyle w:val="ListParagraph"/>
        <w:widowControl w:val="0"/>
        <w:tabs>
          <w:tab w:val="left" w:pos="567"/>
          <w:tab w:val="left" w:pos="810"/>
        </w:tabs>
        <w:autoSpaceDE w:val="0"/>
        <w:autoSpaceDN w:val="0"/>
        <w:adjustRightInd w:val="0"/>
        <w:spacing w:after="0"/>
        <w:ind w:left="0" w:right="22"/>
        <w:contextualSpacing w:val="0"/>
        <w:rPr>
          <w:szCs w:val="20"/>
          <w:lang w:val="es-MX" w:eastAsia="en-US"/>
        </w:rPr>
      </w:pPr>
    </w:p>
    <w:p w:rsidR="00D71602" w:rsidRDefault="00D71602" w:rsidP="00D71602">
      <w:pPr>
        <w:pStyle w:val="ListParagraph"/>
        <w:widowControl w:val="0"/>
        <w:tabs>
          <w:tab w:val="left" w:pos="567"/>
          <w:tab w:val="left" w:pos="810"/>
        </w:tabs>
        <w:autoSpaceDE w:val="0"/>
        <w:autoSpaceDN w:val="0"/>
        <w:adjustRightInd w:val="0"/>
        <w:spacing w:after="0"/>
        <w:ind w:left="0" w:right="22"/>
        <w:contextualSpacing w:val="0"/>
        <w:rPr>
          <w:szCs w:val="20"/>
          <w:lang w:val="es-MX" w:eastAsia="en-US"/>
        </w:rPr>
      </w:pPr>
    </w:p>
    <w:p w:rsidR="00D71602" w:rsidRDefault="00D71602" w:rsidP="00D71602">
      <w:pPr>
        <w:pStyle w:val="ListParagraph"/>
        <w:widowControl w:val="0"/>
        <w:tabs>
          <w:tab w:val="left" w:pos="567"/>
          <w:tab w:val="left" w:pos="810"/>
        </w:tabs>
        <w:autoSpaceDE w:val="0"/>
        <w:autoSpaceDN w:val="0"/>
        <w:adjustRightInd w:val="0"/>
        <w:spacing w:after="0"/>
        <w:ind w:left="0" w:right="22"/>
        <w:contextualSpacing w:val="0"/>
        <w:rPr>
          <w:szCs w:val="20"/>
          <w:lang w:val="es-MX" w:eastAsia="en-US"/>
        </w:rPr>
      </w:pPr>
    </w:p>
    <w:p w:rsidR="00D71602" w:rsidRDefault="00D71602" w:rsidP="00D71602">
      <w:pPr>
        <w:pStyle w:val="ListParagraph"/>
        <w:widowControl w:val="0"/>
        <w:tabs>
          <w:tab w:val="left" w:pos="567"/>
          <w:tab w:val="left" w:pos="810"/>
        </w:tabs>
        <w:autoSpaceDE w:val="0"/>
        <w:autoSpaceDN w:val="0"/>
        <w:adjustRightInd w:val="0"/>
        <w:spacing w:after="0"/>
        <w:ind w:left="0" w:right="22"/>
        <w:contextualSpacing w:val="0"/>
        <w:rPr>
          <w:szCs w:val="20"/>
          <w:lang w:val="es-MX" w:eastAsia="en-US"/>
        </w:rPr>
      </w:pPr>
    </w:p>
    <w:p w:rsidR="00D71602" w:rsidRDefault="00D71602" w:rsidP="00D71602">
      <w:pPr>
        <w:spacing w:after="0" w:line="256" w:lineRule="auto"/>
        <w:ind w:left="43"/>
      </w:pPr>
    </w:p>
    <w:p w:rsidR="00D71602" w:rsidRDefault="00D71602" w:rsidP="00D71602">
      <w:pPr>
        <w:spacing w:after="0" w:line="256" w:lineRule="auto"/>
        <w:ind w:left="43"/>
      </w:pPr>
    </w:p>
    <w:p w:rsidR="00D71602" w:rsidRDefault="00D71602" w:rsidP="00D71602">
      <w:pPr>
        <w:spacing w:after="0" w:line="256" w:lineRule="auto"/>
        <w:ind w:left="43"/>
      </w:pPr>
    </w:p>
    <w:p w:rsidR="00D71602" w:rsidRDefault="00D71602" w:rsidP="00D71602">
      <w:pPr>
        <w:spacing w:after="0" w:line="256" w:lineRule="auto"/>
        <w:ind w:left="43"/>
      </w:pPr>
    </w:p>
    <w:p w:rsidR="00D71602" w:rsidRDefault="00D71602" w:rsidP="00D71602">
      <w:pPr>
        <w:spacing w:after="0" w:line="256" w:lineRule="auto"/>
        <w:ind w:left="43"/>
      </w:pPr>
    </w:p>
    <w:p w:rsidR="00D71602" w:rsidRDefault="00D71602" w:rsidP="00D71602">
      <w:pPr>
        <w:spacing w:after="0" w:line="256" w:lineRule="auto"/>
        <w:ind w:left="43"/>
      </w:pPr>
    </w:p>
    <w:p w:rsidR="00D71602" w:rsidRDefault="00D71602" w:rsidP="00D71602">
      <w:pPr>
        <w:spacing w:after="0" w:line="256" w:lineRule="auto"/>
        <w:ind w:left="4999"/>
      </w:pPr>
      <w:r>
        <w:t>Eduardo Ferrer Mac-Gregor Poisot</w:t>
      </w:r>
    </w:p>
    <w:p w:rsidR="00D71602" w:rsidRDefault="00D71602" w:rsidP="00D71602">
      <w:pPr>
        <w:spacing w:after="0" w:line="256" w:lineRule="auto"/>
        <w:ind w:left="5760"/>
      </w:pPr>
      <w:r>
        <w:t xml:space="preserve">      Presidente</w:t>
      </w:r>
    </w:p>
    <w:p w:rsidR="00D71602" w:rsidRDefault="00D71602" w:rsidP="00D71602">
      <w:pPr>
        <w:spacing w:after="0" w:line="256" w:lineRule="auto"/>
        <w:ind w:left="43"/>
      </w:pPr>
    </w:p>
    <w:p w:rsidR="00D71602" w:rsidRDefault="00D71602" w:rsidP="00D71602">
      <w:pPr>
        <w:spacing w:after="0" w:line="256" w:lineRule="auto"/>
        <w:ind w:left="43"/>
      </w:pPr>
    </w:p>
    <w:p w:rsidR="00D71602" w:rsidRDefault="00D71602" w:rsidP="00D71602">
      <w:pPr>
        <w:spacing w:after="0" w:line="256" w:lineRule="auto"/>
        <w:ind w:left="43"/>
      </w:pPr>
    </w:p>
    <w:p w:rsidR="00D71602" w:rsidRDefault="00D71602" w:rsidP="00D71602">
      <w:pPr>
        <w:spacing w:after="0" w:line="256" w:lineRule="auto"/>
        <w:ind w:left="43"/>
      </w:pPr>
    </w:p>
    <w:p w:rsidR="00D71602" w:rsidRDefault="00D71602" w:rsidP="00D71602">
      <w:pPr>
        <w:spacing w:after="0" w:line="256" w:lineRule="auto"/>
        <w:ind w:left="43"/>
      </w:pPr>
    </w:p>
    <w:p w:rsidR="00D71602" w:rsidRDefault="00D71602" w:rsidP="00D71602">
      <w:pPr>
        <w:spacing w:after="0" w:line="256" w:lineRule="auto"/>
        <w:ind w:left="43"/>
      </w:pPr>
    </w:p>
    <w:p w:rsidR="00D71602" w:rsidRDefault="00D71602" w:rsidP="00D71602">
      <w:pPr>
        <w:spacing w:after="0" w:line="256" w:lineRule="auto"/>
        <w:ind w:left="43"/>
      </w:pPr>
      <w:r>
        <w:t>Pablo Saavedra Alessandri</w:t>
      </w:r>
    </w:p>
    <w:p w:rsidR="00D71602" w:rsidRDefault="00D71602" w:rsidP="00D71602">
      <w:pPr>
        <w:spacing w:after="0" w:line="256" w:lineRule="auto"/>
        <w:ind w:left="43"/>
      </w:pPr>
      <w:r>
        <w:t xml:space="preserve">         Secretario</w:t>
      </w:r>
    </w:p>
    <w:p w:rsidR="00D71602" w:rsidRDefault="00D71602" w:rsidP="00D71602">
      <w:pPr>
        <w:spacing w:after="0" w:line="256" w:lineRule="auto"/>
        <w:ind w:left="43"/>
      </w:pPr>
    </w:p>
    <w:p w:rsidR="00D71602" w:rsidRDefault="00D71602" w:rsidP="00D71602">
      <w:pPr>
        <w:spacing w:after="0" w:line="256" w:lineRule="auto"/>
        <w:ind w:left="43"/>
      </w:pPr>
    </w:p>
    <w:p w:rsidR="00D71602" w:rsidRDefault="00D71602" w:rsidP="00D71602">
      <w:pPr>
        <w:spacing w:after="0" w:line="256" w:lineRule="auto"/>
        <w:ind w:left="43"/>
      </w:pPr>
    </w:p>
    <w:p w:rsidR="00D71602" w:rsidRDefault="00D71602" w:rsidP="00D71602">
      <w:pPr>
        <w:spacing w:after="0" w:line="256" w:lineRule="auto"/>
        <w:ind w:left="43"/>
      </w:pPr>
    </w:p>
    <w:p w:rsidR="00D71602" w:rsidRDefault="00D71602" w:rsidP="00D71602">
      <w:pPr>
        <w:spacing w:after="0" w:line="256" w:lineRule="auto"/>
        <w:ind w:left="43"/>
      </w:pPr>
    </w:p>
    <w:p w:rsidR="00D71602" w:rsidRDefault="00D71602" w:rsidP="00D71602">
      <w:pPr>
        <w:spacing w:after="0" w:line="256" w:lineRule="auto"/>
        <w:ind w:left="43"/>
      </w:pPr>
      <w:r>
        <w:t>Comuníquese y ejecútese,</w:t>
      </w:r>
    </w:p>
    <w:p w:rsidR="00D71602" w:rsidRDefault="00D71602" w:rsidP="00D71602">
      <w:pPr>
        <w:spacing w:after="0" w:line="256" w:lineRule="auto"/>
        <w:ind w:left="43"/>
      </w:pPr>
    </w:p>
    <w:p w:rsidR="00D71602" w:rsidRDefault="00D71602" w:rsidP="00D71602">
      <w:pPr>
        <w:spacing w:after="0" w:line="256" w:lineRule="auto"/>
        <w:ind w:left="43"/>
      </w:pPr>
    </w:p>
    <w:p w:rsidR="00D71602" w:rsidRDefault="00D71602" w:rsidP="00D71602">
      <w:pPr>
        <w:spacing w:after="0" w:line="256" w:lineRule="auto"/>
        <w:ind w:left="43"/>
      </w:pPr>
    </w:p>
    <w:p w:rsidR="00D71602" w:rsidRDefault="00D71602" w:rsidP="00D71602">
      <w:pPr>
        <w:spacing w:after="0" w:line="256" w:lineRule="auto"/>
        <w:ind w:left="43"/>
      </w:pPr>
    </w:p>
    <w:p w:rsidR="00D71602" w:rsidRDefault="00D71602" w:rsidP="00D71602">
      <w:pPr>
        <w:spacing w:after="0" w:line="256" w:lineRule="auto"/>
        <w:ind w:left="43"/>
      </w:pPr>
    </w:p>
    <w:p w:rsidR="00D71602" w:rsidRDefault="00D71602" w:rsidP="00D71602">
      <w:pPr>
        <w:spacing w:after="0" w:line="256" w:lineRule="auto"/>
        <w:ind w:left="43"/>
      </w:pPr>
    </w:p>
    <w:p w:rsidR="00D71602" w:rsidRDefault="00D71602" w:rsidP="00D71602">
      <w:pPr>
        <w:spacing w:after="0" w:line="256" w:lineRule="auto"/>
        <w:ind w:left="4320" w:firstLine="720"/>
      </w:pPr>
      <w:r>
        <w:t>Eduardo Ferrer Mac-Gregor Poisot</w:t>
      </w:r>
    </w:p>
    <w:p w:rsidR="00D71602" w:rsidRDefault="00D71602" w:rsidP="00D71602">
      <w:pPr>
        <w:spacing w:after="0" w:line="256" w:lineRule="auto"/>
        <w:ind w:left="5760"/>
      </w:pPr>
      <w:r>
        <w:t xml:space="preserve">        Presidente</w:t>
      </w:r>
    </w:p>
    <w:p w:rsidR="00D71602" w:rsidRDefault="00D71602" w:rsidP="00D71602">
      <w:pPr>
        <w:spacing w:after="0" w:line="256" w:lineRule="auto"/>
        <w:ind w:left="43"/>
      </w:pPr>
    </w:p>
    <w:p w:rsidR="00D71602" w:rsidRDefault="00D71602" w:rsidP="00D71602">
      <w:pPr>
        <w:spacing w:after="0" w:line="256" w:lineRule="auto"/>
        <w:ind w:left="43"/>
      </w:pPr>
    </w:p>
    <w:p w:rsidR="00D71602" w:rsidRDefault="00D71602" w:rsidP="00D71602">
      <w:pPr>
        <w:spacing w:after="0" w:line="256" w:lineRule="auto"/>
        <w:ind w:left="43"/>
      </w:pPr>
    </w:p>
    <w:p w:rsidR="00D71602" w:rsidRDefault="00D71602" w:rsidP="00D71602">
      <w:pPr>
        <w:spacing w:after="0" w:line="256" w:lineRule="auto"/>
        <w:ind w:left="43"/>
      </w:pPr>
    </w:p>
    <w:p w:rsidR="00D71602" w:rsidRDefault="00D71602" w:rsidP="00D71602">
      <w:pPr>
        <w:spacing w:after="0" w:line="256" w:lineRule="auto"/>
        <w:ind w:left="43"/>
      </w:pPr>
    </w:p>
    <w:p w:rsidR="00D71602" w:rsidRDefault="00D71602" w:rsidP="00D71602">
      <w:pPr>
        <w:spacing w:after="0" w:line="256" w:lineRule="auto"/>
        <w:ind w:left="43"/>
      </w:pPr>
    </w:p>
    <w:p w:rsidR="00D71602" w:rsidRDefault="00D71602" w:rsidP="00D71602">
      <w:pPr>
        <w:spacing w:after="0" w:line="256" w:lineRule="auto"/>
        <w:ind w:left="43"/>
      </w:pPr>
    </w:p>
    <w:p w:rsidR="00D71602" w:rsidRDefault="00D71602" w:rsidP="00D71602">
      <w:pPr>
        <w:spacing w:after="0" w:line="256" w:lineRule="auto"/>
        <w:ind w:left="43"/>
      </w:pPr>
    </w:p>
    <w:p w:rsidR="00D71602" w:rsidRDefault="00D71602" w:rsidP="00D71602">
      <w:pPr>
        <w:spacing w:after="0" w:line="256" w:lineRule="auto"/>
        <w:ind w:left="43"/>
      </w:pPr>
      <w:r>
        <w:t>Pablo Saavedra Alessandri</w:t>
      </w:r>
    </w:p>
    <w:p w:rsidR="00D71602" w:rsidRDefault="00D71602" w:rsidP="00D71602">
      <w:pPr>
        <w:spacing w:after="0" w:line="256" w:lineRule="auto"/>
        <w:ind w:left="43"/>
      </w:pPr>
      <w:r>
        <w:t xml:space="preserve">         Secretario</w:t>
      </w:r>
    </w:p>
    <w:p w:rsidR="00D71602" w:rsidRPr="00C75778" w:rsidRDefault="00D71602" w:rsidP="00D71602">
      <w:pPr>
        <w:pStyle w:val="ListParagraph"/>
        <w:widowControl w:val="0"/>
        <w:tabs>
          <w:tab w:val="left" w:pos="567"/>
          <w:tab w:val="left" w:pos="810"/>
        </w:tabs>
        <w:autoSpaceDE w:val="0"/>
        <w:autoSpaceDN w:val="0"/>
        <w:adjustRightInd w:val="0"/>
        <w:spacing w:after="0"/>
        <w:ind w:left="0" w:right="22"/>
        <w:contextualSpacing w:val="0"/>
        <w:rPr>
          <w:szCs w:val="20"/>
          <w:lang w:val="es-MX" w:eastAsia="en-US"/>
        </w:rPr>
      </w:pPr>
    </w:p>
    <w:p w:rsidR="007511E0" w:rsidRPr="006D6C07" w:rsidRDefault="007511E0" w:rsidP="007511E0">
      <w:pPr>
        <w:spacing w:after="0"/>
        <w:rPr>
          <w:szCs w:val="20"/>
        </w:rPr>
      </w:pPr>
    </w:p>
    <w:p w:rsidR="00BF5D4F" w:rsidRDefault="00BF5D4F"/>
    <w:sectPr w:rsidR="00BF5D4F" w:rsidSect="00F056A7">
      <w:headerReference w:type="default" r:id="rId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42B" w:rsidRDefault="00DC142B" w:rsidP="007511E0">
      <w:pPr>
        <w:spacing w:after="0"/>
      </w:pPr>
      <w:r>
        <w:separator/>
      </w:r>
    </w:p>
  </w:endnote>
  <w:endnote w:type="continuationSeparator" w:id="0">
    <w:p w:rsidR="00DC142B" w:rsidRDefault="00DC142B" w:rsidP="007511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Bold">
    <w:altName w:val="Arial"/>
    <w:panose1 w:val="020B0804030504040204"/>
    <w:charset w:val="00"/>
    <w:family w:val="swiss"/>
    <w:pitch w:val="variable"/>
    <w:sig w:usb0="00000001"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42B" w:rsidRDefault="00DC142B" w:rsidP="007511E0">
      <w:pPr>
        <w:spacing w:after="0"/>
      </w:pPr>
      <w:r>
        <w:separator/>
      </w:r>
    </w:p>
  </w:footnote>
  <w:footnote w:type="continuationSeparator" w:id="0">
    <w:p w:rsidR="00DC142B" w:rsidRDefault="00DC142B" w:rsidP="007511E0">
      <w:pPr>
        <w:spacing w:after="0"/>
      </w:pPr>
      <w:r>
        <w:continuationSeparator/>
      </w:r>
    </w:p>
  </w:footnote>
  <w:footnote w:id="1">
    <w:p w:rsidR="00D87531" w:rsidRPr="00165930" w:rsidRDefault="00D87531" w:rsidP="00D87531">
      <w:pPr>
        <w:pStyle w:val="FootnoteText"/>
        <w:spacing w:after="0"/>
        <w:rPr>
          <w:szCs w:val="16"/>
          <w:lang w:val="es-CR"/>
        </w:rPr>
      </w:pPr>
      <w:r w:rsidRPr="00165930">
        <w:rPr>
          <w:rStyle w:val="FootnoteReference"/>
          <w:szCs w:val="16"/>
        </w:rPr>
        <w:footnoteRef/>
      </w:r>
      <w:r w:rsidRPr="00165930">
        <w:rPr>
          <w:szCs w:val="16"/>
        </w:rPr>
        <w:t xml:space="preserve"> </w:t>
      </w:r>
      <w:r w:rsidRPr="00165930">
        <w:rPr>
          <w:szCs w:val="16"/>
        </w:rPr>
        <w:tab/>
      </w:r>
      <w:r>
        <w:rPr>
          <w:szCs w:val="16"/>
        </w:rPr>
        <w:t>L</w:t>
      </w:r>
      <w:r w:rsidRPr="00165930">
        <w:rPr>
          <w:szCs w:val="16"/>
        </w:rPr>
        <w:t>a</w:t>
      </w:r>
      <w:r>
        <w:rPr>
          <w:szCs w:val="16"/>
        </w:rPr>
        <w:t>s</w:t>
      </w:r>
      <w:r w:rsidRPr="00165930">
        <w:rPr>
          <w:szCs w:val="16"/>
        </w:rPr>
        <w:t xml:space="preserve"> presunta</w:t>
      </w:r>
      <w:r>
        <w:rPr>
          <w:szCs w:val="16"/>
        </w:rPr>
        <w:t>s</w:t>
      </w:r>
      <w:r w:rsidRPr="00165930">
        <w:rPr>
          <w:szCs w:val="16"/>
        </w:rPr>
        <w:t xml:space="preserve"> víctima</w:t>
      </w:r>
      <w:r>
        <w:rPr>
          <w:szCs w:val="16"/>
        </w:rPr>
        <w:t>s</w:t>
      </w:r>
      <w:r w:rsidRPr="00165930">
        <w:rPr>
          <w:szCs w:val="16"/>
        </w:rPr>
        <w:t xml:space="preserve"> en</w:t>
      </w:r>
      <w:r>
        <w:rPr>
          <w:szCs w:val="16"/>
        </w:rPr>
        <w:t xml:space="preserve"> este caso son representadas por el </w:t>
      </w:r>
      <w:r>
        <w:t xml:space="preserve">Instituto de Estudios Comparados en Ciencias Penales de Guatemala (ICCPG) y el Centro por la Justicia y el Derecho Internacional (CEJIL). </w:t>
      </w:r>
      <w:r w:rsidRPr="00165930">
        <w:rPr>
          <w:szCs w:val="16"/>
        </w:rPr>
        <w:t xml:space="preserve"> </w:t>
      </w:r>
    </w:p>
  </w:footnote>
  <w:footnote w:id="2">
    <w:p w:rsidR="009B5A0C" w:rsidRPr="00C65FE8" w:rsidRDefault="009B5A0C">
      <w:pPr>
        <w:pStyle w:val="FootnoteText"/>
      </w:pPr>
      <w:r>
        <w:rPr>
          <w:rStyle w:val="FootnoteReference"/>
        </w:rPr>
        <w:footnoteRef/>
      </w:r>
      <w:r>
        <w:t xml:space="preserve"> </w:t>
      </w:r>
      <w:r>
        <w:tab/>
      </w:r>
      <w:r>
        <w:rPr>
          <w:szCs w:val="16"/>
          <w:lang w:val="es-CR"/>
        </w:rPr>
        <w:t>D</w:t>
      </w:r>
      <w:r w:rsidRPr="00BC43CA">
        <w:rPr>
          <w:szCs w:val="16"/>
          <w:lang w:val="es-CR"/>
        </w:rPr>
        <w:t>eclarará sobre</w:t>
      </w:r>
      <w:r w:rsidR="00FD1604">
        <w:rPr>
          <w:szCs w:val="16"/>
          <w:lang w:val="es-CR"/>
        </w:rPr>
        <w:t>:</w:t>
      </w:r>
      <w:r w:rsidRPr="00BC43CA">
        <w:rPr>
          <w:szCs w:val="16"/>
          <w:lang w:val="es-CR"/>
        </w:rPr>
        <w:t xml:space="preserve"> </w:t>
      </w:r>
      <w:r>
        <w:rPr>
          <w:szCs w:val="16"/>
          <w:lang w:val="es-CR"/>
        </w:rPr>
        <w:t>los “</w:t>
      </w:r>
      <w:r w:rsidRPr="00BC43CA">
        <w:rPr>
          <w:szCs w:val="16"/>
          <w:lang w:val="es-CR"/>
        </w:rPr>
        <w:t>hechos acontecidos en este caso desde la detención de su hermano, incluyendo los actos de tortura que sufrió Hugo Humberto, lo que conoce en relación a cómo le afectó a su hermano estar en el corredor de la muerte, lo que conoce en relación a los hechos relacionados a la ejecución de Hugo Humberto, los hostigamientos y amenazas a las que fue sometida tras la fuga de Hugo Humberto, la forma en la que los hechos del caso y la impunidad la afectaron a ella y a su familia, y las medidas que considera que el Estado debe adoptar para reparar el daño causado, así como otros aspectos relevantes del caso</w:t>
      </w:r>
      <w:r>
        <w:rPr>
          <w:szCs w:val="16"/>
          <w:lang w:val="es-CR"/>
        </w:rPr>
        <w:t>”</w:t>
      </w:r>
      <w:r w:rsidRPr="00BC43CA">
        <w:rPr>
          <w:szCs w:val="16"/>
          <w:lang w:val="es-CR"/>
        </w:rPr>
        <w:t>.</w:t>
      </w:r>
    </w:p>
  </w:footnote>
  <w:footnote w:id="3">
    <w:p w:rsidR="009B5A0C" w:rsidRPr="00C65FE8" w:rsidRDefault="009B5A0C">
      <w:pPr>
        <w:pStyle w:val="FootnoteText"/>
      </w:pPr>
      <w:r>
        <w:rPr>
          <w:rStyle w:val="FootnoteReference"/>
        </w:rPr>
        <w:footnoteRef/>
      </w:r>
      <w:r>
        <w:t xml:space="preserve"> </w:t>
      </w:r>
      <w:r>
        <w:tab/>
        <w:t>D</w:t>
      </w:r>
      <w:proofErr w:type="spellStart"/>
      <w:r w:rsidRPr="00F056A7">
        <w:rPr>
          <w:lang w:val="es-CR"/>
        </w:rPr>
        <w:t>eclarará</w:t>
      </w:r>
      <w:proofErr w:type="spellEnd"/>
      <w:r w:rsidRPr="00F056A7">
        <w:rPr>
          <w:lang w:val="es-CR"/>
        </w:rPr>
        <w:t xml:space="preserve"> sobre</w:t>
      </w:r>
      <w:r w:rsidR="00FD1604">
        <w:rPr>
          <w:lang w:val="es-CR"/>
        </w:rPr>
        <w:t>:</w:t>
      </w:r>
      <w:r w:rsidRPr="00F056A7">
        <w:rPr>
          <w:lang w:val="es-CR"/>
        </w:rPr>
        <w:t xml:space="preserve"> </w:t>
      </w:r>
      <w:r>
        <w:rPr>
          <w:lang w:val="es-CR"/>
        </w:rPr>
        <w:t>los “</w:t>
      </w:r>
      <w:r w:rsidRPr="00F056A7">
        <w:rPr>
          <w:lang w:val="es-CR"/>
        </w:rPr>
        <w:t>hechos acontecidos en este caso, incluyendo, lo que conoce sobre los actos de tortura a los que fue sometido, la forma en la que le afectó a su padre el tiempo que permaneció en el corredor de la muerte, lo que conoce en relación a su ejecución extrajudicial, los hostigamientos y amenazas que sufrieron ella y su madre tras la fuga de Hugo Humberto y por su involucramiento en la búsqueda de justicia, la forma en la que los hechos del caso la afectaron a ella y a su familia, y las medidas que considera que el Estado debe adoptar para reparar el daño causado, así como otros aspectos relevantes del caso</w:t>
      </w:r>
      <w:r>
        <w:rPr>
          <w:lang w:val="es-CR"/>
        </w:rPr>
        <w:t>”</w:t>
      </w:r>
      <w:r w:rsidRPr="00F056A7">
        <w:rPr>
          <w:lang w:val="es-CR"/>
        </w:rPr>
        <w:t>.</w:t>
      </w:r>
    </w:p>
  </w:footnote>
  <w:footnote w:id="4">
    <w:p w:rsidR="009B5A0C" w:rsidRPr="00C65FE8" w:rsidRDefault="009B5A0C">
      <w:pPr>
        <w:pStyle w:val="FootnoteText"/>
      </w:pPr>
      <w:r>
        <w:rPr>
          <w:rStyle w:val="FootnoteReference"/>
        </w:rPr>
        <w:footnoteRef/>
      </w:r>
      <w:r>
        <w:t xml:space="preserve"> </w:t>
      </w:r>
      <w:r>
        <w:tab/>
      </w:r>
      <w:r>
        <w:rPr>
          <w:lang w:val="es-CR"/>
        </w:rPr>
        <w:t>D</w:t>
      </w:r>
      <w:r w:rsidRPr="00082F15">
        <w:rPr>
          <w:lang w:val="es-CR"/>
        </w:rPr>
        <w:t>eclarará sobre</w:t>
      </w:r>
      <w:r w:rsidR="00FD1604">
        <w:rPr>
          <w:lang w:val="es-CR"/>
        </w:rPr>
        <w:t>:</w:t>
      </w:r>
      <w:r w:rsidRPr="00082F15">
        <w:rPr>
          <w:lang w:val="es-CR"/>
        </w:rPr>
        <w:t xml:space="preserve"> </w:t>
      </w:r>
      <w:r>
        <w:rPr>
          <w:lang w:val="es-CR"/>
        </w:rPr>
        <w:t>los “</w:t>
      </w:r>
      <w:r w:rsidRPr="00082F15">
        <w:rPr>
          <w:lang w:val="es-CR"/>
        </w:rPr>
        <w:t>hechos acontecidos en este caso desde la detención de su pareja, incluyendo lo que conoce acerca de los actos de tortura que sufrió Hugo Humberto, la forma en que le afectó el tiempo que permaneció en el corredor de la muerte, los hostigamientos y amenazas que sufrieron ella y su hija tras la fuga de Hugo Humberto y por la búsqueda de justicia, la forma en la que los hechos del caso y la impunidad la afectaron a ella y a su familia, y las medidas que considera que el Estado debe adoptar para reparar el daño causado, así como otros aspectos relevantes del caso</w:t>
      </w:r>
      <w:r>
        <w:rPr>
          <w:lang w:val="es-CR"/>
        </w:rPr>
        <w:t>”</w:t>
      </w:r>
      <w:r w:rsidRPr="00082F15">
        <w:rPr>
          <w:lang w:val="es-CR"/>
        </w:rPr>
        <w:t>.</w:t>
      </w:r>
    </w:p>
  </w:footnote>
  <w:footnote w:id="5">
    <w:p w:rsidR="009B5A0C" w:rsidRPr="00082F15" w:rsidRDefault="009B5A0C">
      <w:pPr>
        <w:pStyle w:val="FootnoteText"/>
      </w:pPr>
      <w:r>
        <w:rPr>
          <w:rStyle w:val="FootnoteReference"/>
        </w:rPr>
        <w:footnoteRef/>
      </w:r>
      <w:r>
        <w:t xml:space="preserve"> </w:t>
      </w:r>
      <w:r>
        <w:tab/>
      </w:r>
      <w:r>
        <w:rPr>
          <w:lang w:val="es-CR"/>
        </w:rPr>
        <w:t>D</w:t>
      </w:r>
      <w:r w:rsidRPr="00082F15">
        <w:rPr>
          <w:lang w:val="es-CR"/>
        </w:rPr>
        <w:t>eclara</w:t>
      </w:r>
      <w:r>
        <w:rPr>
          <w:lang w:val="es-CR"/>
        </w:rPr>
        <w:t>rá sobre “la práctica de tortura</w:t>
      </w:r>
      <w:r w:rsidRPr="00082F15">
        <w:rPr>
          <w:lang w:val="es-CR"/>
        </w:rPr>
        <w:t xml:space="preserve"> y limpieza social a través de ejecuciones extrajudiciales selectivas cometidas por parte las fuerzas policiales en Guatemala en el periodo 1997 a 2008, los sujetos específicos hacia quienes estaban dirigidas dichas prácticas, los modus operandi a los que recurrían las fuerzas de seguridad del Estado, y los patrones de aquiescencia y tolerancia de las fuerzas encargadas de la investigación penal y órganos judiciales, que permitían la impunidad sistémica de los hechos</w:t>
      </w:r>
      <w:r>
        <w:rPr>
          <w:lang w:val="es-CR"/>
        </w:rPr>
        <w:t>”</w:t>
      </w:r>
      <w:r w:rsidRPr="00082F15">
        <w:rPr>
          <w:lang w:val="es-CR"/>
        </w:rPr>
        <w:t>.</w:t>
      </w:r>
    </w:p>
  </w:footnote>
  <w:footnote w:id="6">
    <w:p w:rsidR="009B5A0C" w:rsidRPr="00082F15" w:rsidRDefault="009B5A0C" w:rsidP="00BC43CA">
      <w:pPr>
        <w:pStyle w:val="FootnoteText"/>
        <w:spacing w:after="0"/>
        <w:rPr>
          <w:lang w:val="es-CR"/>
        </w:rPr>
      </w:pPr>
      <w:r>
        <w:rPr>
          <w:rStyle w:val="FootnoteReference"/>
        </w:rPr>
        <w:footnoteRef/>
      </w:r>
      <w:r>
        <w:t xml:space="preserve"> </w:t>
      </w:r>
      <w:r>
        <w:tab/>
      </w:r>
      <w:r>
        <w:rPr>
          <w:lang w:val="es-CR"/>
        </w:rPr>
        <w:t>D</w:t>
      </w:r>
      <w:r w:rsidRPr="00082F15">
        <w:rPr>
          <w:lang w:val="es-CR"/>
        </w:rPr>
        <w:t xml:space="preserve">eclarará sobre </w:t>
      </w:r>
      <w:r>
        <w:rPr>
          <w:lang w:val="es-CR"/>
        </w:rPr>
        <w:t>“</w:t>
      </w:r>
      <w:r w:rsidRPr="00082F15">
        <w:rPr>
          <w:lang w:val="es-CR"/>
        </w:rPr>
        <w:t>la práctica de detenciones ilegales y arbitrarias seguidas de tortura cometidas por agentes de las fuerzas de seguridad del Estado en el periodo 1997-2005, de los que tuvo conocimiento a raíz de su ejercicio como defensor público en esa época</w:t>
      </w:r>
      <w:r>
        <w:rPr>
          <w:lang w:val="es-CR"/>
        </w:rPr>
        <w:t>”</w:t>
      </w:r>
      <w:r w:rsidRPr="00082F15">
        <w:rPr>
          <w:lang w:val="es-CR"/>
        </w:rPr>
        <w:t>.</w:t>
      </w:r>
    </w:p>
    <w:p w:rsidR="009B5A0C" w:rsidRPr="00BC43CA" w:rsidRDefault="009B5A0C" w:rsidP="00BC43CA">
      <w:pPr>
        <w:pStyle w:val="FootnoteText"/>
        <w:spacing w:after="0"/>
        <w:rPr>
          <w:lang w:val="es-CR"/>
        </w:rPr>
      </w:pPr>
    </w:p>
  </w:footnote>
  <w:footnote w:id="7">
    <w:p w:rsidR="009F727D" w:rsidRPr="006F1E93" w:rsidRDefault="009F727D" w:rsidP="009F727D">
      <w:pPr>
        <w:pStyle w:val="FootnoteText"/>
        <w:rPr>
          <w:lang w:val="es-CR"/>
        </w:rPr>
      </w:pPr>
      <w:r>
        <w:rPr>
          <w:rStyle w:val="FootnoteReference"/>
        </w:rPr>
        <w:footnoteRef/>
      </w:r>
      <w:r w:rsidRPr="006F1E93">
        <w:rPr>
          <w:lang w:val="es-CR"/>
        </w:rPr>
        <w:t xml:space="preserve"> </w:t>
      </w:r>
      <w:r w:rsidRPr="006F1E93">
        <w:rPr>
          <w:lang w:val="es-CR"/>
        </w:rPr>
        <w:tab/>
      </w:r>
      <w:r w:rsidRPr="006F1E93">
        <w:rPr>
          <w:i/>
          <w:lang w:val="es-CR"/>
        </w:rPr>
        <w:t xml:space="preserve">Cfr. </w:t>
      </w:r>
      <w:r w:rsidRPr="00210F76">
        <w:rPr>
          <w:lang w:val="es-CR"/>
        </w:rPr>
        <w:t>Caso</w:t>
      </w:r>
      <w:r w:rsidRPr="006F1E93">
        <w:rPr>
          <w:i/>
          <w:lang w:val="es-CR"/>
        </w:rPr>
        <w:t xml:space="preserve"> de la “Masacre de Pueblo Bello” Vs. Colombia</w:t>
      </w:r>
      <w:r w:rsidRPr="006F1E93">
        <w:rPr>
          <w:lang w:val="es-CR"/>
        </w:rPr>
        <w:t xml:space="preserve">. </w:t>
      </w:r>
      <w:r w:rsidR="00657A93" w:rsidRPr="006F1E93">
        <w:rPr>
          <w:lang w:val="es-CR"/>
        </w:rPr>
        <w:t>Resolución del Presidente de la Corte de 29 de julio de 2005</w:t>
      </w:r>
      <w:r w:rsidR="00657A93">
        <w:rPr>
          <w:lang w:val="es-CR"/>
        </w:rPr>
        <w:t xml:space="preserve">. </w:t>
      </w:r>
      <w:r w:rsidR="001F2D3E">
        <w:rPr>
          <w:lang w:val="es-CR"/>
        </w:rPr>
        <w:t>Convocatoria a audiencia, C</w:t>
      </w:r>
      <w:r w:rsidRPr="006F1E93">
        <w:rPr>
          <w:lang w:val="es-CR"/>
        </w:rPr>
        <w:t xml:space="preserve">onsiderando 7, y </w:t>
      </w:r>
      <w:r w:rsidRPr="00210F76">
        <w:rPr>
          <w:lang w:val="es-CR"/>
        </w:rPr>
        <w:t>Caso</w:t>
      </w:r>
      <w:r w:rsidRPr="006F1E93">
        <w:rPr>
          <w:i/>
          <w:lang w:val="es-CR"/>
        </w:rPr>
        <w:t xml:space="preserve"> Jenkins Vs. Argentina</w:t>
      </w:r>
      <w:r w:rsidRPr="006F1E93">
        <w:rPr>
          <w:lang w:val="es-CR"/>
        </w:rPr>
        <w:t xml:space="preserve">. </w:t>
      </w:r>
      <w:r w:rsidR="00657A93" w:rsidRPr="006F1E93">
        <w:rPr>
          <w:lang w:val="es-CR"/>
        </w:rPr>
        <w:t>Resolución del Presidente de la Corte de 19 de diciembre de 2018</w:t>
      </w:r>
      <w:r w:rsidR="001F2D3E">
        <w:rPr>
          <w:lang w:val="es-CR"/>
        </w:rPr>
        <w:t>. Convocatoria a audiencia, C</w:t>
      </w:r>
      <w:r w:rsidRPr="006F1E93">
        <w:rPr>
          <w:lang w:val="es-CR"/>
        </w:rPr>
        <w:t>onsiderando 17.</w:t>
      </w:r>
      <w:r w:rsidR="00657A93" w:rsidRPr="00657A93">
        <w:rPr>
          <w:i/>
          <w:szCs w:val="16"/>
          <w:lang w:val="es-PE"/>
        </w:rPr>
        <w:t xml:space="preserve"> </w:t>
      </w:r>
    </w:p>
  </w:footnote>
  <w:footnote w:id="8">
    <w:p w:rsidR="00773671" w:rsidRPr="00D562CD" w:rsidRDefault="00773671" w:rsidP="00773671">
      <w:pPr>
        <w:pStyle w:val="FootnoteText"/>
      </w:pPr>
      <w:r>
        <w:rPr>
          <w:rStyle w:val="FootnoteReference"/>
        </w:rPr>
        <w:footnoteRef/>
      </w:r>
      <w:r>
        <w:t xml:space="preserve"> </w:t>
      </w:r>
      <w:r>
        <w:tab/>
      </w:r>
      <w:r w:rsidRPr="006F1E93">
        <w:rPr>
          <w:i/>
          <w:lang w:val="es-CR"/>
        </w:rPr>
        <w:t>Cfr.</w:t>
      </w:r>
      <w:r>
        <w:rPr>
          <w:i/>
          <w:lang w:val="es-CR"/>
        </w:rPr>
        <w:t xml:space="preserve"> </w:t>
      </w:r>
      <w:r w:rsidRPr="00210F76">
        <w:t>Caso</w:t>
      </w:r>
      <w:r w:rsidRPr="00D562CD">
        <w:rPr>
          <w:i/>
        </w:rPr>
        <w:t xml:space="preserve"> Terrones Silva y otros Vs. Perú.</w:t>
      </w:r>
      <w:r w:rsidRPr="00B404C9">
        <w:t xml:space="preserve"> </w:t>
      </w:r>
      <w:r w:rsidR="00657A93" w:rsidRPr="00B404C9">
        <w:t xml:space="preserve">Resolución del Presidente de la Corte </w:t>
      </w:r>
      <w:r w:rsidR="00657A93">
        <w:t xml:space="preserve">de 20 de febrero de 2018. </w:t>
      </w:r>
      <w:r w:rsidR="001F2D3E">
        <w:t>Convocatoria a audiencia, C</w:t>
      </w:r>
      <w:r>
        <w:t xml:space="preserve">onsiderando 6. </w:t>
      </w:r>
    </w:p>
  </w:footnote>
  <w:footnote w:id="9">
    <w:p w:rsidR="009B5A0C" w:rsidRPr="008C5D88" w:rsidRDefault="009B5A0C">
      <w:pPr>
        <w:pStyle w:val="FootnoteText"/>
      </w:pPr>
      <w:r>
        <w:rPr>
          <w:rStyle w:val="FootnoteReference"/>
        </w:rPr>
        <w:footnoteRef/>
      </w:r>
      <w:r>
        <w:t xml:space="preserve"> </w:t>
      </w:r>
      <w:r>
        <w:tab/>
      </w:r>
      <w:r w:rsidRPr="00F82D48">
        <w:rPr>
          <w:i/>
        </w:rPr>
        <w:t xml:space="preserve">Cfr. </w:t>
      </w:r>
      <w:r w:rsidR="005A1BAC">
        <w:t xml:space="preserve">Caso </w:t>
      </w:r>
      <w:r w:rsidRPr="00F82D48">
        <w:rPr>
          <w:i/>
        </w:rPr>
        <w:t>Cepeda Vargas vs. Colombia</w:t>
      </w:r>
      <w:r w:rsidR="005A1BAC">
        <w:t>.</w:t>
      </w:r>
      <w:r w:rsidR="005A1BAC" w:rsidRPr="005A1BAC">
        <w:rPr>
          <w:lang w:val="es-CR"/>
        </w:rPr>
        <w:t xml:space="preserve"> </w:t>
      </w:r>
      <w:r w:rsidR="005A1BAC" w:rsidRPr="006F1E93">
        <w:rPr>
          <w:lang w:val="es-CR"/>
        </w:rPr>
        <w:t xml:space="preserve">Resolución del Presidente de la Corte </w:t>
      </w:r>
      <w:r w:rsidR="005A1BAC">
        <w:rPr>
          <w:lang w:val="es-CR"/>
        </w:rPr>
        <w:t>de 22</w:t>
      </w:r>
      <w:r w:rsidR="005A1BAC" w:rsidRPr="006F1E93">
        <w:rPr>
          <w:lang w:val="es-CR"/>
        </w:rPr>
        <w:t xml:space="preserve"> de </w:t>
      </w:r>
      <w:r w:rsidR="005A1BAC">
        <w:rPr>
          <w:lang w:val="es-CR"/>
        </w:rPr>
        <w:t xml:space="preserve">diciembre de 2009. </w:t>
      </w:r>
      <w:r w:rsidR="005A1BAC" w:rsidRPr="006F1E93">
        <w:rPr>
          <w:lang w:val="es-CR"/>
        </w:rPr>
        <w:t>Convocatoria a audiencia</w:t>
      </w:r>
      <w:r w:rsidR="001F2D3E">
        <w:rPr>
          <w:lang w:val="es-CR"/>
        </w:rPr>
        <w:t>,</w:t>
      </w:r>
      <w:r>
        <w:t xml:space="preserve"> Considerando </w:t>
      </w:r>
      <w:r w:rsidR="00B27A57">
        <w:t>14;</w:t>
      </w:r>
      <w:r>
        <w:t xml:space="preserve"> y </w:t>
      </w:r>
      <w:r w:rsidRPr="00210F76">
        <w:t>Caso</w:t>
      </w:r>
      <w:r w:rsidRPr="00F82D48">
        <w:rPr>
          <w:i/>
        </w:rPr>
        <w:t xml:space="preserve"> </w:t>
      </w:r>
      <w:proofErr w:type="spellStart"/>
      <w:r w:rsidRPr="00F82D48">
        <w:rPr>
          <w:i/>
        </w:rPr>
        <w:t>Yarce</w:t>
      </w:r>
      <w:proofErr w:type="spellEnd"/>
      <w:r w:rsidRPr="00F82D48">
        <w:rPr>
          <w:i/>
        </w:rPr>
        <w:t xml:space="preserve"> y otras Vs. Colombia. </w:t>
      </w:r>
      <w:r w:rsidR="00B27A57" w:rsidRPr="006F1E93">
        <w:rPr>
          <w:lang w:val="es-CR"/>
        </w:rPr>
        <w:t xml:space="preserve">Resolución del Presidente de la Corte </w:t>
      </w:r>
      <w:r w:rsidR="00B27A57">
        <w:rPr>
          <w:lang w:val="es-CR"/>
        </w:rPr>
        <w:t>de</w:t>
      </w:r>
      <w:r w:rsidR="00B27A57">
        <w:t xml:space="preserve"> 26 de mayo de 2015</w:t>
      </w:r>
      <w:r w:rsidR="00B27A57">
        <w:rPr>
          <w:lang w:val="es-CR"/>
        </w:rPr>
        <w:t xml:space="preserve">. </w:t>
      </w:r>
      <w:r w:rsidR="001F2D3E">
        <w:t>Convocatoria a audiencia</w:t>
      </w:r>
      <w:r>
        <w:t xml:space="preserve">, </w:t>
      </w:r>
      <w:r w:rsidR="007F34DA">
        <w:t>Considerando</w:t>
      </w:r>
      <w:r>
        <w:t xml:space="preserve">. 38. </w:t>
      </w:r>
    </w:p>
  </w:footnote>
  <w:footnote w:id="10">
    <w:p w:rsidR="009B5A0C" w:rsidRPr="008C5D88" w:rsidRDefault="009B5A0C">
      <w:pPr>
        <w:pStyle w:val="FootnoteText"/>
      </w:pPr>
      <w:r>
        <w:rPr>
          <w:rStyle w:val="FootnoteReference"/>
        </w:rPr>
        <w:footnoteRef/>
      </w:r>
      <w:r>
        <w:t xml:space="preserve">  </w:t>
      </w:r>
      <w:r w:rsidR="007F34DA">
        <w:tab/>
      </w:r>
      <w:r w:rsidRPr="005D4F3A">
        <w:t xml:space="preserve">Cfr. Caso </w:t>
      </w:r>
      <w:r w:rsidRPr="00210F76">
        <w:rPr>
          <w:i/>
        </w:rPr>
        <w:t>Rodríguez Vera y otros Vs. Colombia</w:t>
      </w:r>
      <w:r>
        <w:t xml:space="preserve">, </w:t>
      </w:r>
      <w:r w:rsidR="005409E3" w:rsidRPr="006F1E93">
        <w:rPr>
          <w:lang w:val="es-CR"/>
        </w:rPr>
        <w:t xml:space="preserve">Resolución del Presidente de la Corte </w:t>
      </w:r>
      <w:r w:rsidR="001F2D3E">
        <w:t>de 16 de octubre de 2013,</w:t>
      </w:r>
      <w:r w:rsidR="005409E3">
        <w:t xml:space="preserve"> </w:t>
      </w:r>
      <w:r>
        <w:t>Considerando</w:t>
      </w:r>
      <w:r w:rsidR="001F2D3E">
        <w:t xml:space="preserve"> 27,</w:t>
      </w:r>
      <w:r>
        <w:t xml:space="preserve"> y </w:t>
      </w:r>
      <w:r w:rsidRPr="00210F76">
        <w:t>Caso</w:t>
      </w:r>
      <w:r>
        <w:rPr>
          <w:i/>
        </w:rPr>
        <w:t xml:space="preserve"> </w:t>
      </w:r>
      <w:proofErr w:type="spellStart"/>
      <w:r>
        <w:rPr>
          <w:i/>
        </w:rPr>
        <w:t>Yarce</w:t>
      </w:r>
      <w:proofErr w:type="spellEnd"/>
      <w:r>
        <w:rPr>
          <w:i/>
        </w:rPr>
        <w:t xml:space="preserve"> y otras Vs. Colombia, supra</w:t>
      </w:r>
      <w:r w:rsidR="005409E3">
        <w:rPr>
          <w:i/>
        </w:rPr>
        <w:t xml:space="preserve"> nota 9</w:t>
      </w:r>
      <w:r w:rsidR="007F34DA">
        <w:t xml:space="preserve">, </w:t>
      </w:r>
    </w:p>
  </w:footnote>
  <w:footnote w:id="11">
    <w:p w:rsidR="007F34DA" w:rsidRPr="008C5D88" w:rsidRDefault="007F34DA">
      <w:pPr>
        <w:pStyle w:val="FootnoteText"/>
      </w:pPr>
      <w:r>
        <w:rPr>
          <w:rStyle w:val="FootnoteReference"/>
        </w:rPr>
        <w:footnoteRef/>
      </w:r>
      <w:r>
        <w:t xml:space="preserve"> </w:t>
      </w:r>
      <w:r>
        <w:tab/>
      </w:r>
      <w:r w:rsidRPr="00F82D48">
        <w:rPr>
          <w:i/>
        </w:rPr>
        <w:t xml:space="preserve">Cfr. </w:t>
      </w:r>
      <w:r w:rsidRPr="00210F76">
        <w:t>Caso</w:t>
      </w:r>
      <w:r w:rsidRPr="00F82D48">
        <w:rPr>
          <w:i/>
        </w:rPr>
        <w:t xml:space="preserve"> Cabrera García y Montiel Flores Vs. México.</w:t>
      </w:r>
      <w:r>
        <w:t xml:space="preserve"> Resolución del Presidente de la Corte de 2 de julio de 2010</w:t>
      </w:r>
      <w:r w:rsidR="00531AFC">
        <w:t>. Convocatoria a audiencia.</w:t>
      </w:r>
      <w:r>
        <w:t xml:space="preserve"> considerando 21</w:t>
      </w:r>
      <w:r w:rsidR="001F2D3E">
        <w:t>,</w:t>
      </w:r>
      <w:r>
        <w:t xml:space="preserve"> y </w:t>
      </w:r>
      <w:r w:rsidRPr="00210F76">
        <w:t>Caso</w:t>
      </w:r>
      <w:r w:rsidRPr="00F82D48">
        <w:rPr>
          <w:i/>
        </w:rPr>
        <w:t xml:space="preserve"> López Soto y otros Vs. Venezuela</w:t>
      </w:r>
      <w:r w:rsidRPr="007F34DA">
        <w:t xml:space="preserve">. Resolución del Presidente de la Corte </w:t>
      </w:r>
      <w:r>
        <w:t>de 13 de diciembre de 2017</w:t>
      </w:r>
      <w:r w:rsidR="00AF5E98" w:rsidRPr="00F82D48">
        <w:rPr>
          <w:i/>
        </w:rPr>
        <w:t xml:space="preserve">. </w:t>
      </w:r>
      <w:r w:rsidR="00AF5E98" w:rsidRPr="007F34DA">
        <w:t>Convocatoria a audiencia</w:t>
      </w:r>
      <w:r>
        <w:t>, Considerando 8.</w:t>
      </w:r>
    </w:p>
  </w:footnote>
  <w:footnote w:id="12">
    <w:p w:rsidR="009B5A0C" w:rsidRDefault="009B5A0C" w:rsidP="00BC43CA">
      <w:pPr>
        <w:pStyle w:val="FootnoteText"/>
        <w:spacing w:after="0"/>
        <w:rPr>
          <w:lang w:val="es-CR"/>
        </w:rPr>
      </w:pPr>
      <w:r>
        <w:rPr>
          <w:rStyle w:val="FootnoteReference"/>
        </w:rPr>
        <w:footnoteRef/>
      </w:r>
      <w:r>
        <w:t xml:space="preserve"> </w:t>
      </w:r>
      <w:r>
        <w:tab/>
        <w:t>R</w:t>
      </w:r>
      <w:proofErr w:type="spellStart"/>
      <w:r w:rsidRPr="003A7F57">
        <w:rPr>
          <w:lang w:val="es-CR"/>
        </w:rPr>
        <w:t>endirá</w:t>
      </w:r>
      <w:proofErr w:type="spellEnd"/>
      <w:r w:rsidRPr="003A7F57">
        <w:rPr>
          <w:lang w:val="es-CR"/>
        </w:rPr>
        <w:t xml:space="preserve"> peritaje sobre </w:t>
      </w:r>
      <w:r>
        <w:rPr>
          <w:lang w:val="es-CR"/>
        </w:rPr>
        <w:t>los “</w:t>
      </w:r>
      <w:r w:rsidRPr="003A7F57">
        <w:rPr>
          <w:lang w:val="es-CR"/>
        </w:rPr>
        <w:t xml:space="preserve">efectos psicosociales experimentados por Berta </w:t>
      </w:r>
      <w:r w:rsidR="009C5FA6">
        <w:rPr>
          <w:lang w:val="es-CR"/>
        </w:rPr>
        <w:t>Ruíz</w:t>
      </w:r>
      <w:r w:rsidRPr="003A7F57">
        <w:rPr>
          <w:lang w:val="es-CR"/>
        </w:rPr>
        <w:t xml:space="preserve"> Fuentes, hermana de la víctima del caso, a raíz de las violaciones padecidas en este caso, en particular por la tortura de Hugo Humberto, su permanencia prolongada en el corredor de la muerte, su posterior ejecución extrajudicial con la participación de agentes del Estado y la impunidad en que se mantienen todos los hechos hasta la fecha, así como las medidas que el Estado debe adoptar para reparar el daño causado a la víctima, entre otros aspectos relevantes para el caso</w:t>
      </w:r>
      <w:r>
        <w:rPr>
          <w:lang w:val="es-CR"/>
        </w:rPr>
        <w:t>”</w:t>
      </w:r>
      <w:r w:rsidRPr="003A7F57">
        <w:rPr>
          <w:lang w:val="es-CR"/>
        </w:rPr>
        <w:t>.</w:t>
      </w:r>
    </w:p>
    <w:p w:rsidR="009B5A0C" w:rsidRPr="00BC43CA" w:rsidRDefault="009B5A0C" w:rsidP="00BC43CA">
      <w:pPr>
        <w:pStyle w:val="FootnoteText"/>
        <w:spacing w:after="0"/>
        <w:rPr>
          <w:lang w:val="es-CR"/>
        </w:rPr>
      </w:pPr>
    </w:p>
  </w:footnote>
  <w:footnote w:id="13">
    <w:p w:rsidR="009B5A0C" w:rsidRPr="00BC43CA" w:rsidRDefault="009B5A0C">
      <w:pPr>
        <w:pStyle w:val="FootnoteText"/>
        <w:rPr>
          <w:lang w:val="es-CR"/>
        </w:rPr>
      </w:pPr>
      <w:r>
        <w:rPr>
          <w:rStyle w:val="FootnoteReference"/>
        </w:rPr>
        <w:footnoteRef/>
      </w:r>
      <w:r>
        <w:t xml:space="preserve"> </w:t>
      </w:r>
      <w:r>
        <w:tab/>
        <w:t>R</w:t>
      </w:r>
      <w:proofErr w:type="spellStart"/>
      <w:r w:rsidRPr="003A7F57">
        <w:rPr>
          <w:lang w:val="es-CR"/>
        </w:rPr>
        <w:t>endirá</w:t>
      </w:r>
      <w:proofErr w:type="spellEnd"/>
      <w:r w:rsidRPr="003A7F57">
        <w:rPr>
          <w:lang w:val="es-CR"/>
        </w:rPr>
        <w:t xml:space="preserve"> peritaje sobre</w:t>
      </w:r>
      <w:r w:rsidR="0047543F">
        <w:rPr>
          <w:lang w:val="es-CR"/>
        </w:rPr>
        <w:t>:</w:t>
      </w:r>
      <w:r w:rsidRPr="003A7F57">
        <w:rPr>
          <w:lang w:val="es-CR"/>
        </w:rPr>
        <w:t xml:space="preserve"> </w:t>
      </w:r>
      <w:r>
        <w:rPr>
          <w:lang w:val="es-CR"/>
        </w:rPr>
        <w:t>“</w:t>
      </w:r>
      <w:r w:rsidRPr="003A7F57">
        <w:rPr>
          <w:lang w:val="es-CR"/>
        </w:rPr>
        <w:t xml:space="preserve">los efectos psicosociales experimentados por Wendy </w:t>
      </w:r>
      <w:r w:rsidR="009C5FA6">
        <w:rPr>
          <w:lang w:val="es-CR"/>
        </w:rPr>
        <w:t>Ruíz</w:t>
      </w:r>
      <w:r w:rsidRPr="003A7F57">
        <w:rPr>
          <w:lang w:val="es-CR"/>
        </w:rPr>
        <w:t xml:space="preserve"> Velázquez y Ana Marina Velázquez, hija y conviviente de la víctima del caso respectivamente, a raíz de las violaciones padecidas en este caso, en particular por la tortura de Hugo Humberto, su permanencia prolongada en el corredor de la muerte, su posterior ejecución extrajudicial con la participación de agentes del Estado y la impunidad en que se mantienen todos los hechos hasta la fecha, las medidas que el Estado debe adoptar para reparar el daño causado a las víctimas, entre otros aspectos relevantes para el caso</w:t>
      </w:r>
      <w:r>
        <w:rPr>
          <w:lang w:val="es-CR"/>
        </w:rPr>
        <w:t>”</w:t>
      </w:r>
      <w:r w:rsidRPr="003A7F57">
        <w:rPr>
          <w:lang w:val="es-CR"/>
        </w:rPr>
        <w:t>.</w:t>
      </w:r>
    </w:p>
  </w:footnote>
  <w:footnote w:id="14">
    <w:p w:rsidR="005C11CB" w:rsidRPr="004A1DF1" w:rsidRDefault="005C11CB" w:rsidP="005C11CB">
      <w:pPr>
        <w:pStyle w:val="FootnoteText"/>
        <w:spacing w:after="0"/>
        <w:rPr>
          <w:lang w:val="es-CR"/>
        </w:rPr>
      </w:pPr>
      <w:r>
        <w:rPr>
          <w:rStyle w:val="FootnoteReference"/>
        </w:rPr>
        <w:footnoteRef/>
      </w:r>
      <w:r>
        <w:t xml:space="preserve"> </w:t>
      </w:r>
      <w:r>
        <w:rPr>
          <w:lang w:val="es-CR"/>
        </w:rPr>
        <w:tab/>
      </w:r>
      <w:r w:rsidRPr="00496637">
        <w:rPr>
          <w:lang w:val="es-CR"/>
        </w:rPr>
        <w:t>El Estado además manifestó que “[t]</w:t>
      </w:r>
      <w:proofErr w:type="spellStart"/>
      <w:r w:rsidRPr="00496637">
        <w:rPr>
          <w:lang w:val="es-CR"/>
        </w:rPr>
        <w:t>ampoco</w:t>
      </w:r>
      <w:proofErr w:type="spellEnd"/>
      <w:r w:rsidRPr="00496637">
        <w:rPr>
          <w:lang w:val="es-CR"/>
        </w:rPr>
        <w:t xml:space="preserve"> se contó en el momento procesal oportuno con la hoja de vida y/o cv de los peritos […] ofrecidos por las supuestas víctimas y sus representantes”. Esta Presidencia hace notar que el 13 de junio de 2018, se notificó escrito de solicitudes, argumentos y pruebas de los representantes al Estado, y en dicha comunicación fueron enviadas las hojas de vida de los peritos.</w:t>
      </w:r>
      <w:r>
        <w:rPr>
          <w:lang w:val="es-CR"/>
        </w:rPr>
        <w:t xml:space="preserve"> </w:t>
      </w:r>
    </w:p>
    <w:p w:rsidR="005C11CB" w:rsidRPr="004A1DF1" w:rsidRDefault="005C11CB" w:rsidP="005C11CB">
      <w:pPr>
        <w:pStyle w:val="FootnoteText"/>
        <w:spacing w:after="0"/>
        <w:rPr>
          <w:lang w:val="es-CR"/>
        </w:rPr>
      </w:pPr>
    </w:p>
  </w:footnote>
  <w:footnote w:id="15">
    <w:p w:rsidR="00F06747" w:rsidRDefault="009B5A0C" w:rsidP="005C11CB">
      <w:pPr>
        <w:pStyle w:val="FootnoteText"/>
        <w:spacing w:after="0"/>
      </w:pPr>
      <w:r>
        <w:rPr>
          <w:rStyle w:val="FootnoteReference"/>
        </w:rPr>
        <w:footnoteRef/>
      </w:r>
      <w:r>
        <w:t xml:space="preserve"> </w:t>
      </w:r>
      <w:r>
        <w:tab/>
      </w:r>
      <w:r w:rsidR="00B239DB">
        <w:tab/>
      </w:r>
      <w:r w:rsidRPr="00B239DB">
        <w:t>Rendirá peritaje sobre</w:t>
      </w:r>
      <w:r w:rsidR="00B239DB" w:rsidRPr="00B239DB">
        <w:t>:</w:t>
      </w:r>
      <w:r w:rsidR="00B239DB">
        <w:t xml:space="preserve"> “</w:t>
      </w:r>
      <w:r w:rsidR="00B239DB" w:rsidRPr="00B239DB">
        <w:t xml:space="preserve">el expediente del proceso judicial que condenó a muerte a Hugo Humberto </w:t>
      </w:r>
      <w:r w:rsidR="009C5FA6">
        <w:t>Ruíz</w:t>
      </w:r>
      <w:r w:rsidR="00B239DB" w:rsidRPr="00B239DB">
        <w:t xml:space="preserve"> Fuentes, y ofrecerá peritaje sobre: i) si el proceso observó las garantías procesales mínimas de acuerdo con los estándares interamericanos, en particular sobre el derecho a la defensa técnica y el control judicial de la misma; ii) el derecho a recurrir el fallo condenatorio, sus limitaciones en el marco de la legislación y práctica judicial guatemalteca y las violaciones que se cometieron en el presente caso; iii) las medidas que debería adoptar el Estado de Guatemala para garantizar el control judicial efectivo de la defensa técnica adecuada de acuerdo con los estándares interamericanos; iv) las medidas  que debería adoptar el Estado de Guatemala para garantizar que las personas condenadas penalmente cuenten con un recurso ante una autoridad jerárquica competente que permita una revisión integral del fallo condenatorio, y garantice la no </w:t>
      </w:r>
      <w:r w:rsidR="00B239DB" w:rsidRPr="00F92B40">
        <w:t>repetición de los hechos; v) otras medidas que el Estado debería adoptar para evitar la repetición de hechos como aquellos a los que se refiere este caso”.</w:t>
      </w:r>
    </w:p>
    <w:p w:rsidR="00F06747" w:rsidRPr="00F06747" w:rsidRDefault="00F06747" w:rsidP="005C11CB">
      <w:pPr>
        <w:pStyle w:val="FootnoteText"/>
        <w:spacing w:after="0"/>
      </w:pPr>
    </w:p>
  </w:footnote>
  <w:footnote w:id="16">
    <w:p w:rsidR="009B5A0C" w:rsidRDefault="009B5A0C" w:rsidP="0058359E">
      <w:pPr>
        <w:autoSpaceDE w:val="0"/>
        <w:autoSpaceDN w:val="0"/>
        <w:adjustRightInd w:val="0"/>
        <w:spacing w:after="0"/>
        <w:rPr>
          <w:rFonts w:eastAsiaTheme="minorHAnsi" w:cs="Arial"/>
          <w:szCs w:val="16"/>
          <w:lang w:val="es-CR" w:eastAsia="en-US"/>
        </w:rPr>
      </w:pPr>
      <w:r w:rsidRPr="009E1A9E">
        <w:rPr>
          <w:rStyle w:val="FootnoteReference"/>
          <w:sz w:val="16"/>
          <w:szCs w:val="16"/>
        </w:rPr>
        <w:footnoteRef/>
      </w:r>
      <w:r w:rsidRPr="009E1A9E">
        <w:rPr>
          <w:sz w:val="16"/>
          <w:szCs w:val="16"/>
        </w:rPr>
        <w:t xml:space="preserve"> </w:t>
      </w:r>
      <w:r w:rsidRPr="009E1A9E">
        <w:rPr>
          <w:sz w:val="16"/>
          <w:szCs w:val="16"/>
        </w:rPr>
        <w:tab/>
        <w:t>Rendirá peritaje sobre</w:t>
      </w:r>
      <w:r w:rsidRPr="009E1A9E">
        <w:rPr>
          <w:rFonts w:eastAsiaTheme="minorHAnsi" w:cs="Arial"/>
          <w:sz w:val="16"/>
          <w:szCs w:val="16"/>
          <w:lang w:val="es-CR" w:eastAsia="en-US"/>
        </w:rPr>
        <w:t>: “i) el funcionamiento de la Policía Nacional Civil en Guatemala, y sus problemas estructurales desde el momento de su creación (1997) hasta la fecha; ii) la manera en la que dichos problemas estructurales abonaron a permitir y tolerar actuaciones ilegales sistemáticas por parte de los agentes de las fuerzas policiales; iii) la constitución de estructuras criminales paralelas al interior de la PNC amparadas por el Estado, y las lógicas bajo las cuales operaban dichas estructuras; iv) propuestas de medidas legislativas, administrativas y de otra índole dirigidas a reformar la estructura de la PNC, que sean tendentes a garantizar la no repetición de hechos como los ocurridos en este caso, entre otros aspectos de este caso”.</w:t>
      </w:r>
    </w:p>
    <w:p w:rsidR="009B5A0C" w:rsidRPr="0058359E" w:rsidRDefault="009B5A0C" w:rsidP="0058359E">
      <w:pPr>
        <w:autoSpaceDE w:val="0"/>
        <w:autoSpaceDN w:val="0"/>
        <w:adjustRightInd w:val="0"/>
        <w:spacing w:after="0"/>
        <w:rPr>
          <w:rFonts w:eastAsiaTheme="minorHAnsi" w:cs="Arial"/>
          <w:szCs w:val="16"/>
          <w:lang w:val="es-CR" w:eastAsia="en-US"/>
        </w:rPr>
      </w:pPr>
    </w:p>
  </w:footnote>
  <w:footnote w:id="17">
    <w:p w:rsidR="009B5A0C" w:rsidRPr="00BC43CA" w:rsidRDefault="009B5A0C">
      <w:pPr>
        <w:pStyle w:val="FootnoteText"/>
        <w:rPr>
          <w:lang w:val="es-CR"/>
        </w:rPr>
      </w:pPr>
      <w:r>
        <w:rPr>
          <w:rStyle w:val="FootnoteReference"/>
        </w:rPr>
        <w:footnoteRef/>
      </w:r>
      <w:r>
        <w:t xml:space="preserve"> </w:t>
      </w:r>
      <w:r>
        <w:tab/>
      </w:r>
      <w:r w:rsidR="00B239DB">
        <w:tab/>
      </w:r>
      <w:r>
        <w:t>S</w:t>
      </w:r>
      <w:proofErr w:type="spellStart"/>
      <w:r w:rsidRPr="003A7F57">
        <w:rPr>
          <w:lang w:val="es-CR"/>
        </w:rPr>
        <w:t>e</w:t>
      </w:r>
      <w:proofErr w:type="spellEnd"/>
      <w:r w:rsidRPr="003A7F57">
        <w:rPr>
          <w:lang w:val="es-CR"/>
        </w:rPr>
        <w:t xml:space="preserve"> referirá al peritaje ya realizado sobre </w:t>
      </w:r>
      <w:r>
        <w:rPr>
          <w:lang w:val="es-CR"/>
        </w:rPr>
        <w:t>“</w:t>
      </w:r>
      <w:r w:rsidRPr="003A7F57">
        <w:rPr>
          <w:lang w:val="es-CR"/>
        </w:rPr>
        <w:t>las irregularidades, negligencias y omisiones cometidas durante las primeras diligencias de investigación acerca de la ejecución de Hugo Humberto, tomando en cuenta las constancias que reposan en el expediente. Asimismo, analizará las constancias procesales que reposan en el expediente por el cual se procesó a Hugo Humberto Ruíz Fuentes, relacionadas con las agresiones sufridas por este, para pronunciarse en relación a s</w:t>
      </w:r>
      <w:r w:rsidR="00780BED">
        <w:rPr>
          <w:lang w:val="es-CR"/>
        </w:rPr>
        <w:t>[i]</w:t>
      </w:r>
      <w:r w:rsidRPr="003A7F57">
        <w:rPr>
          <w:lang w:val="es-CR"/>
        </w:rPr>
        <w:t xml:space="preserve"> estos son consistentes con la comisión de actos de tortura. También se referirá a las medidas que el Estado debería adoptar para evitar la repetición de hechos como los ocurridos en este caso</w:t>
      </w:r>
      <w:r>
        <w:rPr>
          <w:lang w:val="es-CR"/>
        </w:rPr>
        <w:t>”</w:t>
      </w:r>
      <w:r w:rsidRPr="003A7F57">
        <w:rPr>
          <w:lang w:val="es-CR"/>
        </w:rPr>
        <w:t>.</w:t>
      </w:r>
    </w:p>
  </w:footnote>
  <w:footnote w:id="18">
    <w:p w:rsidR="009B5A0C" w:rsidRPr="007250EC" w:rsidRDefault="009B5A0C" w:rsidP="007250EC">
      <w:pPr>
        <w:pStyle w:val="FootnoteText"/>
        <w:rPr>
          <w:lang w:val="es-CR"/>
        </w:rPr>
      </w:pPr>
      <w:r>
        <w:rPr>
          <w:rStyle w:val="FootnoteReference"/>
        </w:rPr>
        <w:footnoteRef/>
      </w:r>
      <w:r>
        <w:t xml:space="preserve"> </w:t>
      </w:r>
      <w:r>
        <w:tab/>
      </w:r>
      <w:r w:rsidR="00B239DB">
        <w:tab/>
      </w:r>
      <w:r w:rsidR="00780BED">
        <w:t>Rendirá peritaje</w:t>
      </w:r>
      <w:r w:rsidR="0047543F">
        <w:t xml:space="preserve"> </w:t>
      </w:r>
      <w:r>
        <w:rPr>
          <w:lang w:val="es-CR"/>
        </w:rPr>
        <w:t>sobre</w:t>
      </w:r>
      <w:r w:rsidR="0047543F">
        <w:rPr>
          <w:lang w:val="es-CR"/>
        </w:rPr>
        <w:t>:</w:t>
      </w:r>
      <w:r>
        <w:rPr>
          <w:lang w:val="es-CR"/>
        </w:rPr>
        <w:t xml:space="preserve"> “</w:t>
      </w:r>
      <w:r w:rsidRPr="007250EC">
        <w:rPr>
          <w:lang w:val="es-CR"/>
        </w:rPr>
        <w:t>las medidas que el Estado debería adoptar para la adecuada implementación de la Instrucción General 13-2008 del Ministerio Público, que ordena la aplicación del Protocolo de Estambul en la realización de las investigaciones, así como otras medidas que el Estado debería adoptar para evitar la repetición de hechos como los que se dieron en este caso</w:t>
      </w:r>
      <w:r>
        <w:rPr>
          <w:lang w:val="es-CR"/>
        </w:rPr>
        <w:t>”</w:t>
      </w:r>
      <w:r w:rsidRPr="007250EC">
        <w:rPr>
          <w:lang w:val="es-CR"/>
        </w:rPr>
        <w:t>.</w:t>
      </w:r>
    </w:p>
    <w:p w:rsidR="009B5A0C" w:rsidRPr="008D2B25" w:rsidRDefault="009B5A0C">
      <w:pPr>
        <w:pStyle w:val="FootnoteText"/>
        <w:rPr>
          <w:lang w:val="es-CR"/>
        </w:rPr>
      </w:pPr>
    </w:p>
  </w:footnote>
  <w:footnote w:id="19">
    <w:p w:rsidR="008E2E5C" w:rsidRDefault="008E2E5C" w:rsidP="008E2E5C">
      <w:pPr>
        <w:pStyle w:val="FootnoteText"/>
        <w:spacing w:after="0"/>
        <w:rPr>
          <w:color w:val="000000" w:themeColor="text1"/>
          <w:lang w:val="es-ES"/>
        </w:rPr>
      </w:pPr>
      <w:r>
        <w:rPr>
          <w:rStyle w:val="FootnoteReference"/>
        </w:rPr>
        <w:footnoteRef/>
      </w:r>
      <w:r>
        <w:t xml:space="preserve"> </w:t>
      </w:r>
      <w:r>
        <w:tab/>
      </w:r>
      <w:r w:rsidR="00B239DB">
        <w:tab/>
      </w:r>
      <w:r>
        <w:t xml:space="preserve">Peritaje rendido sobre </w:t>
      </w:r>
      <w:r w:rsidRPr="000625EA">
        <w:rPr>
          <w:color w:val="000000" w:themeColor="text1"/>
          <w:lang w:val="es-ES"/>
        </w:rPr>
        <w:t xml:space="preserve">“los daños psicológicos y mentales provocados por las severas condiciones carcelarias de los condenados a pena de muerte en Guatemala en la época y en los centros en los que permaneció recluido Hugo Humberto </w:t>
      </w:r>
      <w:r w:rsidR="009C5FA6">
        <w:rPr>
          <w:color w:val="000000" w:themeColor="text1"/>
          <w:lang w:val="es-ES"/>
        </w:rPr>
        <w:t>Ruíz</w:t>
      </w:r>
      <w:r w:rsidRPr="000625EA">
        <w:rPr>
          <w:color w:val="000000" w:themeColor="text1"/>
          <w:lang w:val="es-ES"/>
        </w:rPr>
        <w:t xml:space="preserve"> Fuentes”</w:t>
      </w:r>
      <w:r>
        <w:rPr>
          <w:color w:val="000000" w:themeColor="text1"/>
          <w:lang w:val="es-ES"/>
        </w:rPr>
        <w:t>.</w:t>
      </w:r>
    </w:p>
    <w:p w:rsidR="008E2E5C" w:rsidRPr="00FA2094" w:rsidRDefault="008E2E5C" w:rsidP="008E2E5C">
      <w:pPr>
        <w:pStyle w:val="FootnoteText"/>
        <w:spacing w:after="0"/>
      </w:pPr>
    </w:p>
  </w:footnote>
  <w:footnote w:id="20">
    <w:p w:rsidR="008E2E5C" w:rsidRDefault="008E2E5C" w:rsidP="008E2E5C">
      <w:pPr>
        <w:pStyle w:val="FootnoteText"/>
        <w:spacing w:after="0"/>
        <w:rPr>
          <w:color w:val="000000" w:themeColor="text1"/>
          <w:lang w:val="es-ES"/>
        </w:rPr>
      </w:pPr>
      <w:r>
        <w:rPr>
          <w:rStyle w:val="FootnoteReference"/>
        </w:rPr>
        <w:footnoteRef/>
      </w:r>
      <w:r>
        <w:t xml:space="preserve"> </w:t>
      </w:r>
      <w:r>
        <w:tab/>
      </w:r>
      <w:r w:rsidR="00B239DB">
        <w:tab/>
      </w:r>
      <w:r w:rsidR="006566FF">
        <w:t>Declaración r</w:t>
      </w:r>
      <w:r>
        <w:t>endid</w:t>
      </w:r>
      <w:r w:rsidR="006566FF">
        <w:t>a</w:t>
      </w:r>
      <w:r>
        <w:t xml:space="preserve"> sobre</w:t>
      </w:r>
      <w:r w:rsidR="0047543F">
        <w:t>:</w:t>
      </w:r>
      <w:r w:rsidRPr="000625EA">
        <w:rPr>
          <w:color w:val="000000" w:themeColor="text1"/>
          <w:lang w:val="es-ES"/>
        </w:rPr>
        <w:t xml:space="preserve"> “los mecanismos de documentación del actuar, los controles y rendición de cuentas de las instituciones policiacas y los elementos necesarios para el adecuado diseño de la </w:t>
      </w:r>
      <w:r>
        <w:rPr>
          <w:color w:val="000000" w:themeColor="text1"/>
          <w:lang w:val="es-ES"/>
        </w:rPr>
        <w:t>institución policial” en México.</w:t>
      </w:r>
    </w:p>
    <w:p w:rsidR="008E2E5C" w:rsidRPr="00FA2094" w:rsidRDefault="008E2E5C" w:rsidP="008E2E5C">
      <w:pPr>
        <w:pStyle w:val="FootnoteText"/>
        <w:spacing w:after="0"/>
      </w:pPr>
    </w:p>
  </w:footnote>
  <w:footnote w:id="21">
    <w:p w:rsidR="009B5A0C" w:rsidRPr="00AF2B6B" w:rsidRDefault="009B5A0C" w:rsidP="002E79C3">
      <w:pPr>
        <w:pStyle w:val="FootnoteText"/>
        <w:rPr>
          <w:lang w:val="es-CR"/>
        </w:rPr>
      </w:pPr>
      <w:r>
        <w:rPr>
          <w:rStyle w:val="FootnoteReference"/>
        </w:rPr>
        <w:footnoteRef/>
      </w:r>
      <w:r w:rsidR="00832417">
        <w:t xml:space="preserve"> </w:t>
      </w:r>
      <w:r w:rsidR="00832417">
        <w:tab/>
      </w:r>
      <w:r w:rsidRPr="00B17FB7">
        <w:rPr>
          <w:i/>
        </w:rPr>
        <w:t>Cfr.</w:t>
      </w:r>
      <w:r w:rsidRPr="00AF2B6B">
        <w:t xml:space="preserve"> </w:t>
      </w:r>
      <w:r w:rsidRPr="00210F76">
        <w:t>Caso</w:t>
      </w:r>
      <w:r w:rsidRPr="00B17FB7">
        <w:rPr>
          <w:i/>
        </w:rPr>
        <w:t xml:space="preserve"> García </w:t>
      </w:r>
      <w:proofErr w:type="spellStart"/>
      <w:r w:rsidRPr="00B17FB7">
        <w:rPr>
          <w:i/>
        </w:rPr>
        <w:t>Asto</w:t>
      </w:r>
      <w:proofErr w:type="spellEnd"/>
      <w:r w:rsidRPr="00B17FB7">
        <w:rPr>
          <w:i/>
        </w:rPr>
        <w:t xml:space="preserve"> y Ramírez Rojas Vs. Perú</w:t>
      </w:r>
      <w:r w:rsidRPr="00AF2B6B">
        <w:t>. Resolución del Presidente de la Corte de 18 de marzo de 2005</w:t>
      </w:r>
      <w:r w:rsidR="00AF5E98" w:rsidRPr="00F82D48">
        <w:rPr>
          <w:i/>
        </w:rPr>
        <w:t xml:space="preserve">. </w:t>
      </w:r>
      <w:r w:rsidR="00AF5E98" w:rsidRPr="007F34DA">
        <w:t>Convocatoria a audiencia</w:t>
      </w:r>
      <w:r w:rsidR="00AF5E98">
        <w:t>,</w:t>
      </w:r>
      <w:r w:rsidR="00AF5E98" w:rsidRPr="00AF2B6B">
        <w:t xml:space="preserve"> </w:t>
      </w:r>
      <w:r w:rsidRPr="00AF2B6B">
        <w:t xml:space="preserve">Considerandos 7 a 10, y </w:t>
      </w:r>
      <w:r w:rsidRPr="00B17FB7">
        <w:rPr>
          <w:i/>
        </w:rPr>
        <w:t>Caso Ramírez Escobar y otros Vs. Guatemala</w:t>
      </w:r>
      <w:r w:rsidRPr="00AF2B6B">
        <w:t>. Resolución del Presidente de la Corte de 11 de abril de 2017</w:t>
      </w:r>
      <w:r w:rsidR="006566FF">
        <w:t xml:space="preserve">. </w:t>
      </w:r>
      <w:r w:rsidR="006566FF" w:rsidRPr="00AF2B6B">
        <w:t>Convocatoria de audiencia</w:t>
      </w:r>
      <w:r w:rsidRPr="00AF2B6B">
        <w:t>, Considerando 26.</w:t>
      </w:r>
    </w:p>
  </w:footnote>
  <w:footnote w:id="22">
    <w:p w:rsidR="00983B88" w:rsidRPr="00983B88" w:rsidRDefault="00983B88">
      <w:pPr>
        <w:pStyle w:val="FootnoteText"/>
      </w:pPr>
      <w:r>
        <w:rPr>
          <w:rStyle w:val="FootnoteReference"/>
        </w:rPr>
        <w:footnoteRef/>
      </w:r>
      <w:r>
        <w:t xml:space="preserve"> </w:t>
      </w:r>
      <w:r>
        <w:tab/>
      </w:r>
      <w:r>
        <w:tab/>
      </w:r>
      <w:r w:rsidRPr="00983B88">
        <w:rPr>
          <w:i/>
        </w:rPr>
        <w:t xml:space="preserve">Cfr. </w:t>
      </w:r>
      <w:r w:rsidRPr="00210F76">
        <w:t>Caso</w:t>
      </w:r>
      <w:r w:rsidRPr="00983B88">
        <w:rPr>
          <w:i/>
        </w:rPr>
        <w:t xml:space="preserve"> Garcí</w:t>
      </w:r>
      <w:r>
        <w:rPr>
          <w:i/>
        </w:rPr>
        <w:t xml:space="preserve">a </w:t>
      </w:r>
      <w:proofErr w:type="spellStart"/>
      <w:r>
        <w:rPr>
          <w:i/>
        </w:rPr>
        <w:t>Asto</w:t>
      </w:r>
      <w:proofErr w:type="spellEnd"/>
      <w:r>
        <w:rPr>
          <w:i/>
        </w:rPr>
        <w:t xml:space="preserve"> y Ramírez Rojas Vs. Perú, supra</w:t>
      </w:r>
      <w:r>
        <w:t>, Considerandos 7 a 10</w:t>
      </w:r>
      <w:r w:rsidR="0047543F">
        <w:t>,</w:t>
      </w:r>
      <w:r w:rsidRPr="00983B88">
        <w:t xml:space="preserve"> y </w:t>
      </w:r>
      <w:r w:rsidRPr="0047543F">
        <w:rPr>
          <w:i/>
        </w:rPr>
        <w:t>Caso</w:t>
      </w:r>
      <w:r w:rsidRPr="00983B88">
        <w:rPr>
          <w:i/>
        </w:rPr>
        <w:t xml:space="preserve"> Ramírez Escobar y otros Vs. Guatemala</w:t>
      </w:r>
      <w:r>
        <w:t xml:space="preserve">, </w:t>
      </w:r>
      <w:r w:rsidRPr="00210F76">
        <w:rPr>
          <w:i/>
        </w:rPr>
        <w:t>supra</w:t>
      </w:r>
      <w:r w:rsidRPr="00983B88">
        <w:t>, Considerando 26.</w:t>
      </w:r>
    </w:p>
  </w:footnote>
  <w:footnote w:id="23">
    <w:p w:rsidR="00832417" w:rsidRPr="00832417" w:rsidRDefault="00832417">
      <w:pPr>
        <w:pStyle w:val="FootnoteText"/>
      </w:pPr>
      <w:r>
        <w:rPr>
          <w:rStyle w:val="FootnoteReference"/>
        </w:rPr>
        <w:footnoteRef/>
      </w:r>
      <w:r>
        <w:t xml:space="preserve"> </w:t>
      </w:r>
      <w:r>
        <w:tab/>
      </w:r>
      <w:r w:rsidR="00E674E3" w:rsidRPr="00BF08DE">
        <w:rPr>
          <w:lang w:val="es-CR"/>
        </w:rPr>
        <w:t>E</w:t>
      </w:r>
      <w:r w:rsidR="00E674E3">
        <w:rPr>
          <w:lang w:val="es-CR"/>
        </w:rPr>
        <w:t>l Estado además manifestó que se “</w:t>
      </w:r>
      <w:proofErr w:type="gramStart"/>
      <w:r w:rsidR="00E674E3">
        <w:rPr>
          <w:lang w:val="es-CR"/>
        </w:rPr>
        <w:t>objeta[</w:t>
      </w:r>
      <w:proofErr w:type="spellStart"/>
      <w:proofErr w:type="gramEnd"/>
      <w:r w:rsidR="00E674E3">
        <w:rPr>
          <w:lang w:val="es-CR"/>
        </w:rPr>
        <w:t>ba</w:t>
      </w:r>
      <w:proofErr w:type="spellEnd"/>
      <w:r w:rsidR="00E674E3">
        <w:rPr>
          <w:lang w:val="es-CR"/>
        </w:rPr>
        <w:t>] a los peritos ofrecidos por la Comisión [en razón de que] […] tampoco fue remitido el respectivo cv”. Esta Presidencia hace notar que el 9 de febrero de 2018, se notificó el sometimiento del caso al Estado, y en dicha comunicación fueron enviadas las hojas de vida de ambos peritos”.</w:t>
      </w:r>
      <w:r w:rsidR="008E5CBA">
        <w:tab/>
        <w:t>|</w:t>
      </w:r>
    </w:p>
  </w:footnote>
  <w:footnote w:id="24">
    <w:p w:rsidR="009B5A0C" w:rsidRPr="009F0E31" w:rsidRDefault="009B5A0C" w:rsidP="007D1889">
      <w:pPr>
        <w:pStyle w:val="FootnoteText"/>
        <w:rPr>
          <w:szCs w:val="16"/>
          <w:lang w:val="es-CR"/>
        </w:rPr>
      </w:pPr>
      <w:r w:rsidRPr="009F0E31">
        <w:rPr>
          <w:rStyle w:val="FootnoteReference"/>
          <w:szCs w:val="16"/>
        </w:rPr>
        <w:footnoteRef/>
      </w:r>
      <w:r w:rsidRPr="009F0E31">
        <w:rPr>
          <w:szCs w:val="16"/>
          <w:lang w:val="es-CR"/>
        </w:rPr>
        <w:t xml:space="preserve"> </w:t>
      </w:r>
      <w:r w:rsidRPr="009F0E31">
        <w:rPr>
          <w:szCs w:val="16"/>
          <w:lang w:val="es-CR"/>
        </w:rPr>
        <w:tab/>
        <w:t>El artículo 35.1.f</w:t>
      </w:r>
      <w:r w:rsidR="00832417">
        <w:rPr>
          <w:szCs w:val="16"/>
          <w:lang w:val="es-CR"/>
        </w:rPr>
        <w:t>)</w:t>
      </w:r>
      <w:r w:rsidRPr="009F0E31">
        <w:rPr>
          <w:szCs w:val="16"/>
          <w:lang w:val="es-CR"/>
        </w:rPr>
        <w:t xml:space="preserve"> del Reglamento establece lo siguiente: “1. El caso será sometido a la Corte mediante la presentación del informe al que se refiere el artículo 50 de la Convención, que contenga todos los hechos supuestamente violatorios, inclusive la identificación de las presuntas víctimas. Para que el caso pueda ser examinado, la Corte deberá recibir la siguiente información</w:t>
      </w:r>
      <w:r w:rsidR="001D0E8D">
        <w:rPr>
          <w:szCs w:val="16"/>
          <w:lang w:val="es-CR"/>
        </w:rPr>
        <w:t>:</w:t>
      </w:r>
      <w:r w:rsidRPr="009F0E31">
        <w:rPr>
          <w:szCs w:val="16"/>
          <w:lang w:val="es-CR"/>
        </w:rPr>
        <w:t xml:space="preserve"> f. cuando se afecte de manera relevante el orden público interamericano de los derechos humanos, la eventual designación de peritos, indicando el objeto de sus declaraciones y acompañando su hoja de vida”.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A0C" w:rsidRDefault="009B5A0C">
    <w:pPr>
      <w:pStyle w:val="Header"/>
      <w:jc w:val="center"/>
    </w:pPr>
    <w:r>
      <w:t>-</w:t>
    </w:r>
    <w:sdt>
      <w:sdtPr>
        <w:id w:val="-171873121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C2AC1">
          <w:rPr>
            <w:noProof/>
          </w:rPr>
          <w:t>14</w:t>
        </w:r>
        <w:r>
          <w:rPr>
            <w:noProof/>
          </w:rPr>
          <w:fldChar w:fldCharType="end"/>
        </w:r>
        <w:r>
          <w:rPr>
            <w:noProof/>
          </w:rPr>
          <w:t>-</w:t>
        </w:r>
      </w:sdtContent>
    </w:sdt>
  </w:p>
  <w:p w:rsidR="009B5A0C" w:rsidRDefault="009B5A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BFF"/>
    <w:multiLevelType w:val="hybridMultilevel"/>
    <w:tmpl w:val="F5FE9CEA"/>
    <w:lvl w:ilvl="0" w:tplc="2CA07100">
      <w:start w:val="1"/>
      <w:numFmt w:val="upperLetter"/>
      <w:lvlText w:val="%1."/>
      <w:lvlJc w:val="left"/>
      <w:pPr>
        <w:ind w:left="720" w:hanging="360"/>
      </w:pPr>
      <w:rPr>
        <w:b/>
        <w:i w:val="0"/>
      </w:rPr>
    </w:lvl>
    <w:lvl w:ilvl="1" w:tplc="47002368">
      <w:start w:val="1"/>
      <w:numFmt w:val="decimal"/>
      <w:lvlText w:val="%2)"/>
      <w:lvlJc w:val="left"/>
      <w:pPr>
        <w:ind w:left="1440" w:hanging="360"/>
      </w:pPr>
      <w:rPr>
        <w:rFonts w:ascii="Verdana" w:eastAsia="Batang" w:hAnsi="Verdana" w:cs="Calibri"/>
        <w:b/>
        <w:bCs/>
        <w:i w:val="0"/>
        <w:iCs w:val="0"/>
      </w:rPr>
    </w:lvl>
    <w:lvl w:ilvl="2" w:tplc="0409001B">
      <w:start w:val="1"/>
      <w:numFmt w:val="lowerRoman"/>
      <w:lvlText w:val="%3."/>
      <w:lvlJc w:val="right"/>
      <w:pPr>
        <w:ind w:left="2160" w:hanging="180"/>
      </w:pPr>
    </w:lvl>
    <w:lvl w:ilvl="3" w:tplc="01E62360">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554BC6"/>
    <w:multiLevelType w:val="hybridMultilevel"/>
    <w:tmpl w:val="4F3E5260"/>
    <w:lvl w:ilvl="0" w:tplc="9B6603F0">
      <w:start w:val="1"/>
      <w:numFmt w:val="upperLetter"/>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5CC0FE4"/>
    <w:multiLevelType w:val="hybridMultilevel"/>
    <w:tmpl w:val="EE665104"/>
    <w:lvl w:ilvl="0" w:tplc="140A000F">
      <w:start w:val="1"/>
      <w:numFmt w:val="decimal"/>
      <w:lvlText w:val="%1."/>
      <w:lvlJc w:val="left"/>
      <w:pPr>
        <w:ind w:left="1429" w:hanging="360"/>
      </w:pPr>
    </w:lvl>
    <w:lvl w:ilvl="1" w:tplc="140A0019" w:tentative="1">
      <w:start w:val="1"/>
      <w:numFmt w:val="lowerLetter"/>
      <w:lvlText w:val="%2."/>
      <w:lvlJc w:val="left"/>
      <w:pPr>
        <w:ind w:left="2149" w:hanging="360"/>
      </w:pPr>
    </w:lvl>
    <w:lvl w:ilvl="2" w:tplc="140A001B" w:tentative="1">
      <w:start w:val="1"/>
      <w:numFmt w:val="lowerRoman"/>
      <w:lvlText w:val="%3."/>
      <w:lvlJc w:val="right"/>
      <w:pPr>
        <w:ind w:left="2869" w:hanging="180"/>
      </w:pPr>
    </w:lvl>
    <w:lvl w:ilvl="3" w:tplc="140A000F" w:tentative="1">
      <w:start w:val="1"/>
      <w:numFmt w:val="decimal"/>
      <w:lvlText w:val="%4."/>
      <w:lvlJc w:val="left"/>
      <w:pPr>
        <w:ind w:left="3589" w:hanging="360"/>
      </w:pPr>
    </w:lvl>
    <w:lvl w:ilvl="4" w:tplc="140A0019" w:tentative="1">
      <w:start w:val="1"/>
      <w:numFmt w:val="lowerLetter"/>
      <w:lvlText w:val="%5."/>
      <w:lvlJc w:val="left"/>
      <w:pPr>
        <w:ind w:left="4309" w:hanging="360"/>
      </w:pPr>
    </w:lvl>
    <w:lvl w:ilvl="5" w:tplc="140A001B" w:tentative="1">
      <w:start w:val="1"/>
      <w:numFmt w:val="lowerRoman"/>
      <w:lvlText w:val="%6."/>
      <w:lvlJc w:val="right"/>
      <w:pPr>
        <w:ind w:left="5029" w:hanging="180"/>
      </w:pPr>
    </w:lvl>
    <w:lvl w:ilvl="6" w:tplc="140A000F" w:tentative="1">
      <w:start w:val="1"/>
      <w:numFmt w:val="decimal"/>
      <w:lvlText w:val="%7."/>
      <w:lvlJc w:val="left"/>
      <w:pPr>
        <w:ind w:left="5749" w:hanging="360"/>
      </w:pPr>
    </w:lvl>
    <w:lvl w:ilvl="7" w:tplc="140A0019" w:tentative="1">
      <w:start w:val="1"/>
      <w:numFmt w:val="lowerLetter"/>
      <w:lvlText w:val="%8."/>
      <w:lvlJc w:val="left"/>
      <w:pPr>
        <w:ind w:left="6469" w:hanging="360"/>
      </w:pPr>
    </w:lvl>
    <w:lvl w:ilvl="8" w:tplc="140A001B" w:tentative="1">
      <w:start w:val="1"/>
      <w:numFmt w:val="lowerRoman"/>
      <w:lvlText w:val="%9."/>
      <w:lvlJc w:val="right"/>
      <w:pPr>
        <w:ind w:left="7189" w:hanging="180"/>
      </w:pPr>
    </w:lvl>
  </w:abstractNum>
  <w:abstractNum w:abstractNumId="3">
    <w:nsid w:val="0A76073F"/>
    <w:multiLevelType w:val="hybridMultilevel"/>
    <w:tmpl w:val="6B446F10"/>
    <w:lvl w:ilvl="0" w:tplc="9E4EA10A">
      <w:start w:val="8"/>
      <w:numFmt w:val="decimal"/>
      <w:lvlText w:val="%1)"/>
      <w:lvlJc w:val="left"/>
      <w:pPr>
        <w:ind w:left="1069" w:hanging="360"/>
      </w:pPr>
      <w:rPr>
        <w:rFonts w:hint="default"/>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E9E6B18"/>
    <w:multiLevelType w:val="multilevel"/>
    <w:tmpl w:val="A268ED9E"/>
    <w:lvl w:ilvl="0">
      <w:start w:val="1"/>
      <w:numFmt w:val="decimal"/>
      <w:lvlText w:val="%1."/>
      <w:lvlJc w:val="left"/>
      <w:pPr>
        <w:ind w:left="720" w:hanging="360"/>
      </w:pPr>
      <w:rPr>
        <w:rFonts w:ascii="Verdana" w:hAnsi="Verdana" w:hint="default"/>
        <w:b w:val="0"/>
        <w:i w:val="0"/>
        <w:sz w:val="20"/>
        <w:szCs w:val="20"/>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A4E6B2F"/>
    <w:multiLevelType w:val="hybridMultilevel"/>
    <w:tmpl w:val="EE665104"/>
    <w:lvl w:ilvl="0" w:tplc="140A000F">
      <w:start w:val="1"/>
      <w:numFmt w:val="decimal"/>
      <w:lvlText w:val="%1."/>
      <w:lvlJc w:val="left"/>
      <w:pPr>
        <w:ind w:left="1429" w:hanging="360"/>
      </w:pPr>
    </w:lvl>
    <w:lvl w:ilvl="1" w:tplc="140A0019">
      <w:start w:val="1"/>
      <w:numFmt w:val="lowerLetter"/>
      <w:lvlText w:val="%2."/>
      <w:lvlJc w:val="left"/>
      <w:pPr>
        <w:ind w:left="2149" w:hanging="360"/>
      </w:pPr>
    </w:lvl>
    <w:lvl w:ilvl="2" w:tplc="140A001B" w:tentative="1">
      <w:start w:val="1"/>
      <w:numFmt w:val="lowerRoman"/>
      <w:lvlText w:val="%3."/>
      <w:lvlJc w:val="right"/>
      <w:pPr>
        <w:ind w:left="2869" w:hanging="180"/>
      </w:pPr>
    </w:lvl>
    <w:lvl w:ilvl="3" w:tplc="140A000F" w:tentative="1">
      <w:start w:val="1"/>
      <w:numFmt w:val="decimal"/>
      <w:lvlText w:val="%4."/>
      <w:lvlJc w:val="left"/>
      <w:pPr>
        <w:ind w:left="3589" w:hanging="360"/>
      </w:pPr>
    </w:lvl>
    <w:lvl w:ilvl="4" w:tplc="140A0019" w:tentative="1">
      <w:start w:val="1"/>
      <w:numFmt w:val="lowerLetter"/>
      <w:lvlText w:val="%5."/>
      <w:lvlJc w:val="left"/>
      <w:pPr>
        <w:ind w:left="4309" w:hanging="360"/>
      </w:pPr>
    </w:lvl>
    <w:lvl w:ilvl="5" w:tplc="140A001B" w:tentative="1">
      <w:start w:val="1"/>
      <w:numFmt w:val="lowerRoman"/>
      <w:lvlText w:val="%6."/>
      <w:lvlJc w:val="right"/>
      <w:pPr>
        <w:ind w:left="5029" w:hanging="180"/>
      </w:pPr>
    </w:lvl>
    <w:lvl w:ilvl="6" w:tplc="140A000F" w:tentative="1">
      <w:start w:val="1"/>
      <w:numFmt w:val="decimal"/>
      <w:lvlText w:val="%7."/>
      <w:lvlJc w:val="left"/>
      <w:pPr>
        <w:ind w:left="5749" w:hanging="360"/>
      </w:pPr>
    </w:lvl>
    <w:lvl w:ilvl="7" w:tplc="140A0019" w:tentative="1">
      <w:start w:val="1"/>
      <w:numFmt w:val="lowerLetter"/>
      <w:lvlText w:val="%8."/>
      <w:lvlJc w:val="left"/>
      <w:pPr>
        <w:ind w:left="6469" w:hanging="360"/>
      </w:pPr>
    </w:lvl>
    <w:lvl w:ilvl="8" w:tplc="140A001B" w:tentative="1">
      <w:start w:val="1"/>
      <w:numFmt w:val="lowerRoman"/>
      <w:lvlText w:val="%9."/>
      <w:lvlJc w:val="right"/>
      <w:pPr>
        <w:ind w:left="7189" w:hanging="180"/>
      </w:pPr>
    </w:lvl>
  </w:abstractNum>
  <w:abstractNum w:abstractNumId="6">
    <w:nsid w:val="20841E2D"/>
    <w:multiLevelType w:val="hybridMultilevel"/>
    <w:tmpl w:val="76C83E96"/>
    <w:lvl w:ilvl="0" w:tplc="507E5A10">
      <w:start w:val="4"/>
      <w:numFmt w:val="decimal"/>
      <w:lvlText w:val="%1)"/>
      <w:lvlJc w:val="left"/>
      <w:pPr>
        <w:ind w:left="1069" w:hanging="360"/>
      </w:pPr>
      <w:rPr>
        <w:rFonts w:hint="default"/>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1283FE2"/>
    <w:multiLevelType w:val="hybridMultilevel"/>
    <w:tmpl w:val="EE665104"/>
    <w:lvl w:ilvl="0" w:tplc="140A000F">
      <w:start w:val="1"/>
      <w:numFmt w:val="decimal"/>
      <w:lvlText w:val="%1."/>
      <w:lvlJc w:val="left"/>
      <w:pPr>
        <w:ind w:left="1429" w:hanging="360"/>
      </w:pPr>
    </w:lvl>
    <w:lvl w:ilvl="1" w:tplc="140A0019" w:tentative="1">
      <w:start w:val="1"/>
      <w:numFmt w:val="lowerLetter"/>
      <w:lvlText w:val="%2."/>
      <w:lvlJc w:val="left"/>
      <w:pPr>
        <w:ind w:left="2149" w:hanging="360"/>
      </w:pPr>
    </w:lvl>
    <w:lvl w:ilvl="2" w:tplc="140A001B" w:tentative="1">
      <w:start w:val="1"/>
      <w:numFmt w:val="lowerRoman"/>
      <w:lvlText w:val="%3."/>
      <w:lvlJc w:val="right"/>
      <w:pPr>
        <w:ind w:left="2869" w:hanging="180"/>
      </w:pPr>
    </w:lvl>
    <w:lvl w:ilvl="3" w:tplc="140A000F" w:tentative="1">
      <w:start w:val="1"/>
      <w:numFmt w:val="decimal"/>
      <w:lvlText w:val="%4."/>
      <w:lvlJc w:val="left"/>
      <w:pPr>
        <w:ind w:left="3589" w:hanging="360"/>
      </w:pPr>
    </w:lvl>
    <w:lvl w:ilvl="4" w:tplc="140A0019" w:tentative="1">
      <w:start w:val="1"/>
      <w:numFmt w:val="lowerLetter"/>
      <w:lvlText w:val="%5."/>
      <w:lvlJc w:val="left"/>
      <w:pPr>
        <w:ind w:left="4309" w:hanging="360"/>
      </w:pPr>
    </w:lvl>
    <w:lvl w:ilvl="5" w:tplc="140A001B" w:tentative="1">
      <w:start w:val="1"/>
      <w:numFmt w:val="lowerRoman"/>
      <w:lvlText w:val="%6."/>
      <w:lvlJc w:val="right"/>
      <w:pPr>
        <w:ind w:left="5029" w:hanging="180"/>
      </w:pPr>
    </w:lvl>
    <w:lvl w:ilvl="6" w:tplc="140A000F" w:tentative="1">
      <w:start w:val="1"/>
      <w:numFmt w:val="decimal"/>
      <w:lvlText w:val="%7."/>
      <w:lvlJc w:val="left"/>
      <w:pPr>
        <w:ind w:left="5749" w:hanging="360"/>
      </w:pPr>
    </w:lvl>
    <w:lvl w:ilvl="7" w:tplc="140A0019" w:tentative="1">
      <w:start w:val="1"/>
      <w:numFmt w:val="lowerLetter"/>
      <w:lvlText w:val="%8."/>
      <w:lvlJc w:val="left"/>
      <w:pPr>
        <w:ind w:left="6469" w:hanging="360"/>
      </w:pPr>
    </w:lvl>
    <w:lvl w:ilvl="8" w:tplc="140A001B" w:tentative="1">
      <w:start w:val="1"/>
      <w:numFmt w:val="lowerRoman"/>
      <w:lvlText w:val="%9."/>
      <w:lvlJc w:val="right"/>
      <w:pPr>
        <w:ind w:left="7189" w:hanging="180"/>
      </w:pPr>
    </w:lvl>
  </w:abstractNum>
  <w:abstractNum w:abstractNumId="8">
    <w:nsid w:val="2A5A7305"/>
    <w:multiLevelType w:val="hybridMultilevel"/>
    <w:tmpl w:val="3B06D37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5A26AB"/>
    <w:multiLevelType w:val="hybridMultilevel"/>
    <w:tmpl w:val="F2A42086"/>
    <w:lvl w:ilvl="0" w:tplc="932C6BA4">
      <w:start w:val="1"/>
      <w:numFmt w:val="upperLetter"/>
      <w:lvlText w:val="%1."/>
      <w:lvlJc w:val="left"/>
      <w:pPr>
        <w:ind w:left="720" w:hanging="360"/>
      </w:pPr>
      <w:rPr>
        <w:b/>
      </w:rPr>
    </w:lvl>
    <w:lvl w:ilvl="1" w:tplc="5F7EDA1C">
      <w:start w:val="2"/>
      <w:numFmt w:val="decimal"/>
      <w:lvlText w:val="%2)"/>
      <w:lvlJc w:val="left"/>
      <w:pPr>
        <w:ind w:left="1353" w:hanging="360"/>
      </w:pPr>
      <w:rPr>
        <w:rFonts w:hint="default"/>
        <w:b w:val="0"/>
        <w:bCs/>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A38404A"/>
    <w:multiLevelType w:val="hybridMultilevel"/>
    <w:tmpl w:val="484625C4"/>
    <w:lvl w:ilvl="0" w:tplc="43D0D0D0">
      <w:start w:val="1"/>
      <w:numFmt w:val="decimal"/>
      <w:lvlText w:val="%1."/>
      <w:lvlJc w:val="left"/>
      <w:pPr>
        <w:tabs>
          <w:tab w:val="num" w:pos="720"/>
        </w:tabs>
        <w:ind w:left="0" w:firstLine="0"/>
      </w:pPr>
      <w:rPr>
        <w:rFonts w:ascii="Verdana" w:hAnsi="Verdana" w:cs="Times New Roman" w:hint="default"/>
        <w:b w:val="0"/>
        <w:i w:val="0"/>
        <w:sz w:val="20"/>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1">
    <w:nsid w:val="42310AF8"/>
    <w:multiLevelType w:val="hybridMultilevel"/>
    <w:tmpl w:val="C87E09F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7846BE"/>
    <w:multiLevelType w:val="multilevel"/>
    <w:tmpl w:val="A268ED9E"/>
    <w:lvl w:ilvl="0">
      <w:start w:val="1"/>
      <w:numFmt w:val="decimal"/>
      <w:lvlText w:val="%1."/>
      <w:lvlJc w:val="left"/>
      <w:pPr>
        <w:ind w:left="1170" w:hanging="360"/>
      </w:pPr>
      <w:rPr>
        <w:rFonts w:ascii="Verdana" w:hAnsi="Verdana" w:hint="default"/>
        <w:b w:val="0"/>
        <w:i w:val="0"/>
        <w:sz w:val="20"/>
        <w:szCs w:val="20"/>
      </w:rPr>
    </w:lvl>
    <w:lvl w:ilvl="1">
      <w:start w:val="1"/>
      <w:numFmt w:val="lowerLetter"/>
      <w:lvlText w:val="%2."/>
      <w:lvlJc w:val="left"/>
      <w:pPr>
        <w:ind w:left="2160" w:hanging="36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
    <w:nsid w:val="55514F10"/>
    <w:multiLevelType w:val="multilevel"/>
    <w:tmpl w:val="17BAA38C"/>
    <w:lvl w:ilvl="0">
      <w:start w:val="1"/>
      <w:numFmt w:val="decimal"/>
      <w:lvlText w:val="%1."/>
      <w:lvlJc w:val="left"/>
      <w:pPr>
        <w:ind w:left="720" w:hanging="360"/>
      </w:pPr>
      <w:rPr>
        <w:b w:val="0"/>
        <w:i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A6C2C1F"/>
    <w:multiLevelType w:val="hybridMultilevel"/>
    <w:tmpl w:val="484625C4"/>
    <w:lvl w:ilvl="0" w:tplc="43D0D0D0">
      <w:start w:val="1"/>
      <w:numFmt w:val="decimal"/>
      <w:lvlText w:val="%1."/>
      <w:lvlJc w:val="left"/>
      <w:pPr>
        <w:tabs>
          <w:tab w:val="num" w:pos="720"/>
        </w:tabs>
        <w:ind w:left="0" w:firstLine="0"/>
      </w:pPr>
      <w:rPr>
        <w:rFonts w:ascii="Verdana" w:hAnsi="Verdana" w:cs="Times New Roman" w:hint="default"/>
        <w:b w:val="0"/>
        <w:i w:val="0"/>
        <w:sz w:val="20"/>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5">
    <w:nsid w:val="62C97D24"/>
    <w:multiLevelType w:val="hybridMultilevel"/>
    <w:tmpl w:val="C0FAAC86"/>
    <w:lvl w:ilvl="0" w:tplc="3F2CF080">
      <w:start w:val="1"/>
      <w:numFmt w:val="decimal"/>
      <w:lvlText w:val="%1."/>
      <w:lvlJc w:val="left"/>
      <w:pPr>
        <w:ind w:left="1080" w:hanging="720"/>
      </w:pPr>
      <w:rPr>
        <w:b w:val="0"/>
      </w:rPr>
    </w:lvl>
    <w:lvl w:ilvl="1" w:tplc="B08C5A98">
      <w:start w:val="1"/>
      <w:numFmt w:val="lowerRoman"/>
      <w:lvlText w:val="%2."/>
      <w:lvlJc w:val="left"/>
      <w:pPr>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3F727DD"/>
    <w:multiLevelType w:val="hybridMultilevel"/>
    <w:tmpl w:val="EE665104"/>
    <w:lvl w:ilvl="0" w:tplc="140A000F">
      <w:start w:val="1"/>
      <w:numFmt w:val="decimal"/>
      <w:lvlText w:val="%1."/>
      <w:lvlJc w:val="left"/>
      <w:pPr>
        <w:ind w:left="2070" w:hanging="360"/>
      </w:pPr>
    </w:lvl>
    <w:lvl w:ilvl="1" w:tplc="140A0019">
      <w:start w:val="1"/>
      <w:numFmt w:val="lowerLetter"/>
      <w:lvlText w:val="%2."/>
      <w:lvlJc w:val="left"/>
      <w:pPr>
        <w:ind w:left="2149" w:hanging="360"/>
      </w:pPr>
    </w:lvl>
    <w:lvl w:ilvl="2" w:tplc="140A001B" w:tentative="1">
      <w:start w:val="1"/>
      <w:numFmt w:val="lowerRoman"/>
      <w:lvlText w:val="%3."/>
      <w:lvlJc w:val="right"/>
      <w:pPr>
        <w:ind w:left="2869" w:hanging="180"/>
      </w:pPr>
    </w:lvl>
    <w:lvl w:ilvl="3" w:tplc="140A000F" w:tentative="1">
      <w:start w:val="1"/>
      <w:numFmt w:val="decimal"/>
      <w:lvlText w:val="%4."/>
      <w:lvlJc w:val="left"/>
      <w:pPr>
        <w:ind w:left="3589" w:hanging="360"/>
      </w:pPr>
    </w:lvl>
    <w:lvl w:ilvl="4" w:tplc="140A0019" w:tentative="1">
      <w:start w:val="1"/>
      <w:numFmt w:val="lowerLetter"/>
      <w:lvlText w:val="%5."/>
      <w:lvlJc w:val="left"/>
      <w:pPr>
        <w:ind w:left="4309" w:hanging="360"/>
      </w:pPr>
    </w:lvl>
    <w:lvl w:ilvl="5" w:tplc="140A001B" w:tentative="1">
      <w:start w:val="1"/>
      <w:numFmt w:val="lowerRoman"/>
      <w:lvlText w:val="%6."/>
      <w:lvlJc w:val="right"/>
      <w:pPr>
        <w:ind w:left="5029" w:hanging="180"/>
      </w:pPr>
    </w:lvl>
    <w:lvl w:ilvl="6" w:tplc="140A000F" w:tentative="1">
      <w:start w:val="1"/>
      <w:numFmt w:val="decimal"/>
      <w:lvlText w:val="%7."/>
      <w:lvlJc w:val="left"/>
      <w:pPr>
        <w:ind w:left="5749" w:hanging="360"/>
      </w:pPr>
    </w:lvl>
    <w:lvl w:ilvl="7" w:tplc="140A0019" w:tentative="1">
      <w:start w:val="1"/>
      <w:numFmt w:val="lowerLetter"/>
      <w:lvlText w:val="%8."/>
      <w:lvlJc w:val="left"/>
      <w:pPr>
        <w:ind w:left="6469" w:hanging="360"/>
      </w:pPr>
    </w:lvl>
    <w:lvl w:ilvl="8" w:tplc="140A001B" w:tentative="1">
      <w:start w:val="1"/>
      <w:numFmt w:val="lowerRoman"/>
      <w:lvlText w:val="%9."/>
      <w:lvlJc w:val="right"/>
      <w:pPr>
        <w:ind w:left="7189" w:hanging="180"/>
      </w:pPr>
    </w:lvl>
  </w:abstractNum>
  <w:abstractNum w:abstractNumId="17">
    <w:nsid w:val="76CB1953"/>
    <w:multiLevelType w:val="hybridMultilevel"/>
    <w:tmpl w:val="6FC2D0B2"/>
    <w:lvl w:ilvl="0" w:tplc="20781052">
      <w:start w:val="5"/>
      <w:numFmt w:val="decimal"/>
      <w:lvlText w:val="%1)"/>
      <w:lvlJc w:val="left"/>
      <w:pPr>
        <w:ind w:left="1069" w:hanging="360"/>
      </w:pPr>
      <w:rPr>
        <w:rFonts w:hint="default"/>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num>
  <w:num w:numId="6">
    <w:abstractNumId w:val="7"/>
  </w:num>
  <w:num w:numId="7">
    <w:abstractNumId w:val="2"/>
  </w:num>
  <w:num w:numId="8">
    <w:abstractNumId w:val="16"/>
  </w:num>
  <w:num w:numId="9">
    <w:abstractNumId w:val="14"/>
  </w:num>
  <w:num w:numId="10">
    <w:abstractNumId w:val="5"/>
  </w:num>
  <w:num w:numId="11">
    <w:abstractNumId w:val="4"/>
  </w:num>
  <w:num w:numId="12">
    <w:abstractNumId w:val="12"/>
  </w:num>
  <w:num w:numId="13">
    <w:abstractNumId w:val="13"/>
  </w:num>
  <w:num w:numId="14">
    <w:abstractNumId w:val="8"/>
  </w:num>
  <w:num w:numId="15">
    <w:abstractNumId w:val="6"/>
  </w:num>
  <w:num w:numId="16">
    <w:abstractNumId w:val="3"/>
  </w:num>
  <w:num w:numId="17">
    <w:abstractNumId w:val="17"/>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1E0"/>
    <w:rsid w:val="00012193"/>
    <w:rsid w:val="00061B16"/>
    <w:rsid w:val="00072AF9"/>
    <w:rsid w:val="00082F15"/>
    <w:rsid w:val="000E1386"/>
    <w:rsid w:val="001039C9"/>
    <w:rsid w:val="00112E47"/>
    <w:rsid w:val="00125C39"/>
    <w:rsid w:val="001313DA"/>
    <w:rsid w:val="00141E43"/>
    <w:rsid w:val="001423E2"/>
    <w:rsid w:val="001443C7"/>
    <w:rsid w:val="001708DC"/>
    <w:rsid w:val="0017173F"/>
    <w:rsid w:val="00171EC3"/>
    <w:rsid w:val="00187DA2"/>
    <w:rsid w:val="00195066"/>
    <w:rsid w:val="001A2F9C"/>
    <w:rsid w:val="001A4F23"/>
    <w:rsid w:val="001B4C40"/>
    <w:rsid w:val="001B7989"/>
    <w:rsid w:val="001D0E8D"/>
    <w:rsid w:val="001D3173"/>
    <w:rsid w:val="001F2D3E"/>
    <w:rsid w:val="00210F76"/>
    <w:rsid w:val="00214110"/>
    <w:rsid w:val="002649E2"/>
    <w:rsid w:val="00292E0A"/>
    <w:rsid w:val="00296E98"/>
    <w:rsid w:val="002A0607"/>
    <w:rsid w:val="002C0CFE"/>
    <w:rsid w:val="002D1B9B"/>
    <w:rsid w:val="002D5F03"/>
    <w:rsid w:val="002D6659"/>
    <w:rsid w:val="002D6C1E"/>
    <w:rsid w:val="002E79C3"/>
    <w:rsid w:val="002F07C5"/>
    <w:rsid w:val="002F7CBB"/>
    <w:rsid w:val="0030713C"/>
    <w:rsid w:val="00307412"/>
    <w:rsid w:val="00315812"/>
    <w:rsid w:val="00320500"/>
    <w:rsid w:val="00326760"/>
    <w:rsid w:val="00384B12"/>
    <w:rsid w:val="00384B78"/>
    <w:rsid w:val="00391A37"/>
    <w:rsid w:val="0039368D"/>
    <w:rsid w:val="003A7F57"/>
    <w:rsid w:val="003B2CEB"/>
    <w:rsid w:val="003D351A"/>
    <w:rsid w:val="003D4EEC"/>
    <w:rsid w:val="003D5F25"/>
    <w:rsid w:val="003F091C"/>
    <w:rsid w:val="003F2A61"/>
    <w:rsid w:val="004005BF"/>
    <w:rsid w:val="00404008"/>
    <w:rsid w:val="00407457"/>
    <w:rsid w:val="00413506"/>
    <w:rsid w:val="0041416C"/>
    <w:rsid w:val="004218D7"/>
    <w:rsid w:val="00422F68"/>
    <w:rsid w:val="00436C15"/>
    <w:rsid w:val="004516CF"/>
    <w:rsid w:val="0047543F"/>
    <w:rsid w:val="00486BE7"/>
    <w:rsid w:val="004964E5"/>
    <w:rsid w:val="00496637"/>
    <w:rsid w:val="004A15F2"/>
    <w:rsid w:val="004A6515"/>
    <w:rsid w:val="004B5189"/>
    <w:rsid w:val="004C2C8A"/>
    <w:rsid w:val="004C7121"/>
    <w:rsid w:val="004E734B"/>
    <w:rsid w:val="004F1037"/>
    <w:rsid w:val="004F6953"/>
    <w:rsid w:val="0051073D"/>
    <w:rsid w:val="00531AFC"/>
    <w:rsid w:val="00532980"/>
    <w:rsid w:val="005409E3"/>
    <w:rsid w:val="005415CC"/>
    <w:rsid w:val="00542AB1"/>
    <w:rsid w:val="0054426F"/>
    <w:rsid w:val="005465FC"/>
    <w:rsid w:val="00551693"/>
    <w:rsid w:val="00573DFC"/>
    <w:rsid w:val="00576B67"/>
    <w:rsid w:val="0058290F"/>
    <w:rsid w:val="0058359E"/>
    <w:rsid w:val="005904E0"/>
    <w:rsid w:val="00597DC9"/>
    <w:rsid w:val="005A1BAC"/>
    <w:rsid w:val="005A4102"/>
    <w:rsid w:val="005B245E"/>
    <w:rsid w:val="005B2D55"/>
    <w:rsid w:val="005B58EA"/>
    <w:rsid w:val="005C11CB"/>
    <w:rsid w:val="005D4F3A"/>
    <w:rsid w:val="005D700F"/>
    <w:rsid w:val="005E0F8B"/>
    <w:rsid w:val="0060053B"/>
    <w:rsid w:val="00611FDF"/>
    <w:rsid w:val="00617167"/>
    <w:rsid w:val="00617A22"/>
    <w:rsid w:val="00622BA5"/>
    <w:rsid w:val="00623D0B"/>
    <w:rsid w:val="00637441"/>
    <w:rsid w:val="00650863"/>
    <w:rsid w:val="006566FF"/>
    <w:rsid w:val="00657A93"/>
    <w:rsid w:val="00691F04"/>
    <w:rsid w:val="006945EE"/>
    <w:rsid w:val="006A2EB0"/>
    <w:rsid w:val="006A4335"/>
    <w:rsid w:val="006A64E9"/>
    <w:rsid w:val="006B1A85"/>
    <w:rsid w:val="006E3178"/>
    <w:rsid w:val="006E4978"/>
    <w:rsid w:val="006E7286"/>
    <w:rsid w:val="006F5FD8"/>
    <w:rsid w:val="006F7974"/>
    <w:rsid w:val="00702B23"/>
    <w:rsid w:val="0070677C"/>
    <w:rsid w:val="00725096"/>
    <w:rsid w:val="007250EC"/>
    <w:rsid w:val="00735A05"/>
    <w:rsid w:val="007511E0"/>
    <w:rsid w:val="00753F63"/>
    <w:rsid w:val="0077062D"/>
    <w:rsid w:val="00773671"/>
    <w:rsid w:val="00780BED"/>
    <w:rsid w:val="007950FC"/>
    <w:rsid w:val="007A0313"/>
    <w:rsid w:val="007A250F"/>
    <w:rsid w:val="007A3A29"/>
    <w:rsid w:val="007B14E0"/>
    <w:rsid w:val="007B68CC"/>
    <w:rsid w:val="007B774F"/>
    <w:rsid w:val="007D1889"/>
    <w:rsid w:val="007D4BCB"/>
    <w:rsid w:val="007D701C"/>
    <w:rsid w:val="007E3B7C"/>
    <w:rsid w:val="007E6B40"/>
    <w:rsid w:val="007F34DA"/>
    <w:rsid w:val="00801AE1"/>
    <w:rsid w:val="00814AAE"/>
    <w:rsid w:val="00827D83"/>
    <w:rsid w:val="00832417"/>
    <w:rsid w:val="008452B6"/>
    <w:rsid w:val="00852655"/>
    <w:rsid w:val="00856616"/>
    <w:rsid w:val="008621F4"/>
    <w:rsid w:val="00865239"/>
    <w:rsid w:val="008808AF"/>
    <w:rsid w:val="00895063"/>
    <w:rsid w:val="00897AA4"/>
    <w:rsid w:val="00897D41"/>
    <w:rsid w:val="008A30E7"/>
    <w:rsid w:val="008C5D88"/>
    <w:rsid w:val="008D0B42"/>
    <w:rsid w:val="008D1797"/>
    <w:rsid w:val="008D2B25"/>
    <w:rsid w:val="008E1D3B"/>
    <w:rsid w:val="008E1FDE"/>
    <w:rsid w:val="008E2E5C"/>
    <w:rsid w:val="008E4E68"/>
    <w:rsid w:val="008E5CBA"/>
    <w:rsid w:val="00921888"/>
    <w:rsid w:val="009220E8"/>
    <w:rsid w:val="00931983"/>
    <w:rsid w:val="00933A97"/>
    <w:rsid w:val="00936A1D"/>
    <w:rsid w:val="00946930"/>
    <w:rsid w:val="00956116"/>
    <w:rsid w:val="009838F5"/>
    <w:rsid w:val="00983B88"/>
    <w:rsid w:val="009977FF"/>
    <w:rsid w:val="009A4D75"/>
    <w:rsid w:val="009A7AD0"/>
    <w:rsid w:val="009B5A0C"/>
    <w:rsid w:val="009C5FA6"/>
    <w:rsid w:val="009E1A9E"/>
    <w:rsid w:val="009F141C"/>
    <w:rsid w:val="009F727D"/>
    <w:rsid w:val="00A00559"/>
    <w:rsid w:val="00A02268"/>
    <w:rsid w:val="00A03683"/>
    <w:rsid w:val="00A038E9"/>
    <w:rsid w:val="00A03968"/>
    <w:rsid w:val="00A11A65"/>
    <w:rsid w:val="00A11EDC"/>
    <w:rsid w:val="00A23AE5"/>
    <w:rsid w:val="00A30318"/>
    <w:rsid w:val="00A53575"/>
    <w:rsid w:val="00A70D7E"/>
    <w:rsid w:val="00A976CC"/>
    <w:rsid w:val="00AA73A0"/>
    <w:rsid w:val="00AC660C"/>
    <w:rsid w:val="00AD7181"/>
    <w:rsid w:val="00AF5E98"/>
    <w:rsid w:val="00B1044D"/>
    <w:rsid w:val="00B11A0B"/>
    <w:rsid w:val="00B205BC"/>
    <w:rsid w:val="00B239DB"/>
    <w:rsid w:val="00B26DED"/>
    <w:rsid w:val="00B27A57"/>
    <w:rsid w:val="00B317AC"/>
    <w:rsid w:val="00B404C9"/>
    <w:rsid w:val="00B41C63"/>
    <w:rsid w:val="00B57548"/>
    <w:rsid w:val="00B6320D"/>
    <w:rsid w:val="00B8202C"/>
    <w:rsid w:val="00B83B34"/>
    <w:rsid w:val="00B962D0"/>
    <w:rsid w:val="00BA4E9B"/>
    <w:rsid w:val="00BB5C2D"/>
    <w:rsid w:val="00BC1F80"/>
    <w:rsid w:val="00BC43CA"/>
    <w:rsid w:val="00BC7492"/>
    <w:rsid w:val="00BD5FBA"/>
    <w:rsid w:val="00BE2A0A"/>
    <w:rsid w:val="00BF1B4C"/>
    <w:rsid w:val="00BF5D4F"/>
    <w:rsid w:val="00C07475"/>
    <w:rsid w:val="00C23C78"/>
    <w:rsid w:val="00C301CA"/>
    <w:rsid w:val="00C478A9"/>
    <w:rsid w:val="00C65C2D"/>
    <w:rsid w:val="00C65FE8"/>
    <w:rsid w:val="00C71AD8"/>
    <w:rsid w:val="00C804F8"/>
    <w:rsid w:val="00C85316"/>
    <w:rsid w:val="00C87896"/>
    <w:rsid w:val="00CA70D8"/>
    <w:rsid w:val="00CB72EE"/>
    <w:rsid w:val="00CB76DC"/>
    <w:rsid w:val="00CC2AC1"/>
    <w:rsid w:val="00CD2432"/>
    <w:rsid w:val="00CD3366"/>
    <w:rsid w:val="00CE16DB"/>
    <w:rsid w:val="00CE1B7A"/>
    <w:rsid w:val="00CF16E2"/>
    <w:rsid w:val="00CF3ECC"/>
    <w:rsid w:val="00CF3F4B"/>
    <w:rsid w:val="00D072DF"/>
    <w:rsid w:val="00D11D99"/>
    <w:rsid w:val="00D276AE"/>
    <w:rsid w:val="00D47E50"/>
    <w:rsid w:val="00D71602"/>
    <w:rsid w:val="00D87531"/>
    <w:rsid w:val="00D9094F"/>
    <w:rsid w:val="00DA2B83"/>
    <w:rsid w:val="00DA4D2F"/>
    <w:rsid w:val="00DB7077"/>
    <w:rsid w:val="00DC142B"/>
    <w:rsid w:val="00DD384A"/>
    <w:rsid w:val="00DD39CC"/>
    <w:rsid w:val="00DE739F"/>
    <w:rsid w:val="00DF110A"/>
    <w:rsid w:val="00E0081A"/>
    <w:rsid w:val="00E0732F"/>
    <w:rsid w:val="00E079E7"/>
    <w:rsid w:val="00E25421"/>
    <w:rsid w:val="00E31101"/>
    <w:rsid w:val="00E42747"/>
    <w:rsid w:val="00E44BDF"/>
    <w:rsid w:val="00E473B5"/>
    <w:rsid w:val="00E62084"/>
    <w:rsid w:val="00E674E3"/>
    <w:rsid w:val="00E72774"/>
    <w:rsid w:val="00E74703"/>
    <w:rsid w:val="00E87012"/>
    <w:rsid w:val="00EA7C59"/>
    <w:rsid w:val="00EB179D"/>
    <w:rsid w:val="00EC7647"/>
    <w:rsid w:val="00ED66EB"/>
    <w:rsid w:val="00EE6148"/>
    <w:rsid w:val="00EF5AC1"/>
    <w:rsid w:val="00F056A7"/>
    <w:rsid w:val="00F06747"/>
    <w:rsid w:val="00F16F9A"/>
    <w:rsid w:val="00F218AF"/>
    <w:rsid w:val="00F36F03"/>
    <w:rsid w:val="00F53A54"/>
    <w:rsid w:val="00F724B7"/>
    <w:rsid w:val="00F82D48"/>
    <w:rsid w:val="00F920BF"/>
    <w:rsid w:val="00F92B40"/>
    <w:rsid w:val="00F9473D"/>
    <w:rsid w:val="00FA2094"/>
    <w:rsid w:val="00FA6043"/>
    <w:rsid w:val="00FB1228"/>
    <w:rsid w:val="00FC375C"/>
    <w:rsid w:val="00FD0111"/>
    <w:rsid w:val="00FD1604"/>
    <w:rsid w:val="00FE2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1E0"/>
    <w:pPr>
      <w:spacing w:after="120" w:line="240" w:lineRule="auto"/>
      <w:jc w:val="both"/>
    </w:pPr>
    <w:rPr>
      <w:rFonts w:ascii="Verdana" w:eastAsia="Calibri" w:hAnsi="Verdana" w:cs="Times"/>
      <w:sz w:val="20"/>
      <w:szCs w:val="24"/>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Ca Char"/>
    <w:basedOn w:val="DefaultParagraphFont"/>
    <w:link w:val="FootnoteText"/>
    <w:uiPriority w:val="99"/>
    <w:qFormat/>
    <w:locked/>
    <w:rsid w:val="007511E0"/>
    <w:rPr>
      <w:rFonts w:ascii="Verdana" w:eastAsia="Calibri" w:hAnsi="Verdana" w:cs="Times"/>
      <w:sz w:val="16"/>
      <w:szCs w:val="20"/>
      <w:lang w:val="es-ES_tradnl" w:eastAsia="es-ES"/>
    </w:rPr>
  </w:style>
  <w:style w:type="paragraph" w:styleId="FootnoteText">
    <w:name w:val="footnote text"/>
    <w:aliases w:val="Footnote reference,FA Fu,Footnote Text Char Char Char Char Char,Footnote Text Char Char Char Char,Footnote Text Char Char Char,Footnote Text Cha,FA Fußnotentext,FA Fuﬂnotentext,Footnote Text Char Char,FA Fu?notentext,Ca,Texto nota pie Car"/>
    <w:basedOn w:val="Normal"/>
    <w:link w:val="FootnoteTextChar"/>
    <w:autoRedefine/>
    <w:uiPriority w:val="99"/>
    <w:unhideWhenUsed/>
    <w:qFormat/>
    <w:rsid w:val="007511E0"/>
    <w:pPr>
      <w:tabs>
        <w:tab w:val="left" w:pos="567"/>
      </w:tabs>
    </w:pPr>
    <w:rPr>
      <w:sz w:val="16"/>
      <w:szCs w:val="20"/>
    </w:rPr>
  </w:style>
  <w:style w:type="character" w:customStyle="1" w:styleId="FootnoteTextChar1">
    <w:name w:val="Footnote Text Char1"/>
    <w:basedOn w:val="DefaultParagraphFont"/>
    <w:uiPriority w:val="99"/>
    <w:semiHidden/>
    <w:rsid w:val="007511E0"/>
    <w:rPr>
      <w:rFonts w:ascii="Verdana" w:eastAsia="Calibri" w:hAnsi="Verdana" w:cs="Times"/>
      <w:sz w:val="20"/>
      <w:szCs w:val="20"/>
      <w:lang w:val="es-ES_tradnl" w:eastAsia="es-ES"/>
    </w:rPr>
  </w:style>
  <w:style w:type="paragraph" w:styleId="ListParagraph">
    <w:name w:val="List Paragraph"/>
    <w:aliases w:val="Footnote,List Paragraph2,Lista vistosa - Énfasis 11,Párrafo de lista1"/>
    <w:basedOn w:val="Normal"/>
    <w:link w:val="ListParagraphChar"/>
    <w:uiPriority w:val="34"/>
    <w:qFormat/>
    <w:rsid w:val="007511E0"/>
    <w:pPr>
      <w:ind w:left="720"/>
      <w:contextualSpacing/>
    </w:p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basedOn w:val="DefaultParagraphFont"/>
    <w:link w:val="4GChar"/>
    <w:uiPriority w:val="99"/>
    <w:unhideWhenUsed/>
    <w:qFormat/>
    <w:rsid w:val="007511E0"/>
    <w:rPr>
      <w:vertAlign w:val="superscript"/>
    </w:rPr>
  </w:style>
  <w:style w:type="character" w:customStyle="1" w:styleId="ListParagraphChar">
    <w:name w:val="List Paragraph Char"/>
    <w:aliases w:val="Footnote Char,List Paragraph2 Char,Lista vistosa - Énfasis 11 Char,Párrafo de lista1 Char"/>
    <w:link w:val="ListParagraph"/>
    <w:uiPriority w:val="34"/>
    <w:locked/>
    <w:rsid w:val="007511E0"/>
    <w:rPr>
      <w:rFonts w:ascii="Verdana" w:eastAsia="Calibri" w:hAnsi="Verdana" w:cs="Times"/>
      <w:sz w:val="20"/>
      <w:szCs w:val="24"/>
      <w:lang w:val="es-ES_tradnl" w:eastAsia="es-ES"/>
    </w:rPr>
  </w:style>
  <w:style w:type="paragraph" w:styleId="Header">
    <w:name w:val="header"/>
    <w:basedOn w:val="Normal"/>
    <w:link w:val="HeaderChar"/>
    <w:uiPriority w:val="99"/>
    <w:unhideWhenUsed/>
    <w:rsid w:val="007511E0"/>
    <w:pPr>
      <w:tabs>
        <w:tab w:val="center" w:pos="4419"/>
        <w:tab w:val="right" w:pos="8838"/>
      </w:tabs>
      <w:spacing w:after="0"/>
    </w:pPr>
  </w:style>
  <w:style w:type="character" w:customStyle="1" w:styleId="HeaderChar">
    <w:name w:val="Header Char"/>
    <w:basedOn w:val="DefaultParagraphFont"/>
    <w:link w:val="Header"/>
    <w:uiPriority w:val="99"/>
    <w:rsid w:val="007511E0"/>
    <w:rPr>
      <w:rFonts w:ascii="Verdana" w:eastAsia="Calibri" w:hAnsi="Verdana" w:cs="Times"/>
      <w:sz w:val="20"/>
      <w:szCs w:val="24"/>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7511E0"/>
    <w:pPr>
      <w:spacing w:after="0"/>
    </w:pPr>
    <w:rPr>
      <w:rFonts w:asciiTheme="minorHAnsi" w:eastAsiaTheme="minorHAnsi" w:hAnsiTheme="minorHAnsi" w:cstheme="minorBidi"/>
      <w:sz w:val="22"/>
      <w:szCs w:val="22"/>
      <w:vertAlign w:val="superscript"/>
      <w:lang w:val="en-US" w:eastAsia="en-US"/>
    </w:rPr>
  </w:style>
  <w:style w:type="paragraph" w:styleId="BalloonText">
    <w:name w:val="Balloon Text"/>
    <w:basedOn w:val="Normal"/>
    <w:link w:val="BalloonTextChar"/>
    <w:uiPriority w:val="99"/>
    <w:semiHidden/>
    <w:unhideWhenUsed/>
    <w:rsid w:val="006E497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978"/>
    <w:rPr>
      <w:rFonts w:ascii="Tahoma" w:eastAsia="Calibri" w:hAnsi="Tahoma" w:cs="Tahoma"/>
      <w:sz w:val="16"/>
      <w:szCs w:val="16"/>
      <w:lang w:val="es-ES_tradnl" w:eastAsia="es-ES"/>
    </w:rPr>
  </w:style>
  <w:style w:type="paragraph" w:customStyle="1" w:styleId="Normal1">
    <w:name w:val="Normal1"/>
    <w:rsid w:val="007D1889"/>
    <w:pPr>
      <w:widowControl w:val="0"/>
      <w:spacing w:after="0" w:line="240" w:lineRule="auto"/>
    </w:pPr>
    <w:rPr>
      <w:rFonts w:ascii="Times New Roman" w:eastAsia="Times New Roman" w:hAnsi="Times New Roman" w:cs="Times New Roman"/>
      <w:sz w:val="24"/>
      <w:szCs w:val="24"/>
      <w:lang w:val="es-CR"/>
    </w:rPr>
  </w:style>
  <w:style w:type="paragraph" w:styleId="CommentText">
    <w:name w:val="annotation text"/>
    <w:basedOn w:val="Normal"/>
    <w:link w:val="CommentTextChar"/>
    <w:uiPriority w:val="99"/>
    <w:semiHidden/>
    <w:unhideWhenUsed/>
    <w:rsid w:val="007D1889"/>
    <w:pPr>
      <w:spacing w:after="200"/>
      <w:jc w:val="left"/>
    </w:pPr>
    <w:rPr>
      <w:rFonts w:asciiTheme="minorHAnsi" w:eastAsiaTheme="minorHAnsi" w:hAnsiTheme="minorHAnsi" w:cstheme="minorBidi"/>
      <w:szCs w:val="20"/>
      <w:lang w:val="en-US" w:eastAsia="en-US"/>
    </w:rPr>
  </w:style>
  <w:style w:type="character" w:customStyle="1" w:styleId="CommentTextChar">
    <w:name w:val="Comment Text Char"/>
    <w:basedOn w:val="DefaultParagraphFont"/>
    <w:link w:val="CommentText"/>
    <w:uiPriority w:val="99"/>
    <w:semiHidden/>
    <w:rsid w:val="007D1889"/>
    <w:rPr>
      <w:sz w:val="20"/>
      <w:szCs w:val="20"/>
    </w:rPr>
  </w:style>
  <w:style w:type="character" w:styleId="CommentReference">
    <w:name w:val="annotation reference"/>
    <w:basedOn w:val="DefaultParagraphFont"/>
    <w:uiPriority w:val="99"/>
    <w:semiHidden/>
    <w:unhideWhenUsed/>
    <w:rsid w:val="008C5D88"/>
    <w:rPr>
      <w:sz w:val="16"/>
      <w:szCs w:val="16"/>
    </w:rPr>
  </w:style>
  <w:style w:type="paragraph" w:styleId="CommentSubject">
    <w:name w:val="annotation subject"/>
    <w:basedOn w:val="CommentText"/>
    <w:next w:val="CommentText"/>
    <w:link w:val="CommentSubjectChar"/>
    <w:uiPriority w:val="99"/>
    <w:semiHidden/>
    <w:unhideWhenUsed/>
    <w:rsid w:val="008C5D88"/>
    <w:pPr>
      <w:spacing w:after="120"/>
      <w:jc w:val="both"/>
    </w:pPr>
    <w:rPr>
      <w:rFonts w:ascii="Verdana" w:eastAsia="Calibri" w:hAnsi="Verdana" w:cs="Times"/>
      <w:b/>
      <w:bCs/>
      <w:lang w:val="es-ES_tradnl" w:eastAsia="es-ES"/>
    </w:rPr>
  </w:style>
  <w:style w:type="character" w:customStyle="1" w:styleId="CommentSubjectChar">
    <w:name w:val="Comment Subject Char"/>
    <w:basedOn w:val="CommentTextChar"/>
    <w:link w:val="CommentSubject"/>
    <w:uiPriority w:val="99"/>
    <w:semiHidden/>
    <w:rsid w:val="008C5D88"/>
    <w:rPr>
      <w:rFonts w:ascii="Verdana" w:eastAsia="Calibri" w:hAnsi="Verdana" w:cs="Times"/>
      <w:b/>
      <w:bCs/>
      <w:sz w:val="20"/>
      <w:szCs w:val="20"/>
      <w:lang w:val="es-ES_tradnl" w:eastAsia="es-ES"/>
    </w:rPr>
  </w:style>
  <w:style w:type="paragraph" w:styleId="Revision">
    <w:name w:val="Revision"/>
    <w:hidden/>
    <w:uiPriority w:val="99"/>
    <w:semiHidden/>
    <w:rsid w:val="008C5D88"/>
    <w:pPr>
      <w:spacing w:after="0" w:line="240" w:lineRule="auto"/>
    </w:pPr>
    <w:rPr>
      <w:rFonts w:ascii="Verdana" w:eastAsia="Calibri" w:hAnsi="Verdana" w:cs="Times"/>
      <w:sz w:val="20"/>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1E0"/>
    <w:pPr>
      <w:spacing w:after="120" w:line="240" w:lineRule="auto"/>
      <w:jc w:val="both"/>
    </w:pPr>
    <w:rPr>
      <w:rFonts w:ascii="Verdana" w:eastAsia="Calibri" w:hAnsi="Verdana" w:cs="Times"/>
      <w:sz w:val="20"/>
      <w:szCs w:val="24"/>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Ca Char"/>
    <w:basedOn w:val="DefaultParagraphFont"/>
    <w:link w:val="FootnoteText"/>
    <w:uiPriority w:val="99"/>
    <w:qFormat/>
    <w:locked/>
    <w:rsid w:val="007511E0"/>
    <w:rPr>
      <w:rFonts w:ascii="Verdana" w:eastAsia="Calibri" w:hAnsi="Verdana" w:cs="Times"/>
      <w:sz w:val="16"/>
      <w:szCs w:val="20"/>
      <w:lang w:val="es-ES_tradnl" w:eastAsia="es-ES"/>
    </w:rPr>
  </w:style>
  <w:style w:type="paragraph" w:styleId="FootnoteText">
    <w:name w:val="footnote text"/>
    <w:aliases w:val="Footnote reference,FA Fu,Footnote Text Char Char Char Char Char,Footnote Text Char Char Char Char,Footnote Text Char Char Char,Footnote Text Cha,FA Fußnotentext,FA Fuﬂnotentext,Footnote Text Char Char,FA Fu?notentext,Ca,Texto nota pie Car"/>
    <w:basedOn w:val="Normal"/>
    <w:link w:val="FootnoteTextChar"/>
    <w:autoRedefine/>
    <w:uiPriority w:val="99"/>
    <w:unhideWhenUsed/>
    <w:qFormat/>
    <w:rsid w:val="007511E0"/>
    <w:pPr>
      <w:tabs>
        <w:tab w:val="left" w:pos="567"/>
      </w:tabs>
    </w:pPr>
    <w:rPr>
      <w:sz w:val="16"/>
      <w:szCs w:val="20"/>
    </w:rPr>
  </w:style>
  <w:style w:type="character" w:customStyle="1" w:styleId="FootnoteTextChar1">
    <w:name w:val="Footnote Text Char1"/>
    <w:basedOn w:val="DefaultParagraphFont"/>
    <w:uiPriority w:val="99"/>
    <w:semiHidden/>
    <w:rsid w:val="007511E0"/>
    <w:rPr>
      <w:rFonts w:ascii="Verdana" w:eastAsia="Calibri" w:hAnsi="Verdana" w:cs="Times"/>
      <w:sz w:val="20"/>
      <w:szCs w:val="20"/>
      <w:lang w:val="es-ES_tradnl" w:eastAsia="es-ES"/>
    </w:rPr>
  </w:style>
  <w:style w:type="paragraph" w:styleId="ListParagraph">
    <w:name w:val="List Paragraph"/>
    <w:aliases w:val="Footnote,List Paragraph2,Lista vistosa - Énfasis 11,Párrafo de lista1"/>
    <w:basedOn w:val="Normal"/>
    <w:link w:val="ListParagraphChar"/>
    <w:uiPriority w:val="34"/>
    <w:qFormat/>
    <w:rsid w:val="007511E0"/>
    <w:pPr>
      <w:ind w:left="720"/>
      <w:contextualSpacing/>
    </w:p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basedOn w:val="DefaultParagraphFont"/>
    <w:link w:val="4GChar"/>
    <w:uiPriority w:val="99"/>
    <w:unhideWhenUsed/>
    <w:qFormat/>
    <w:rsid w:val="007511E0"/>
    <w:rPr>
      <w:vertAlign w:val="superscript"/>
    </w:rPr>
  </w:style>
  <w:style w:type="character" w:customStyle="1" w:styleId="ListParagraphChar">
    <w:name w:val="List Paragraph Char"/>
    <w:aliases w:val="Footnote Char,List Paragraph2 Char,Lista vistosa - Énfasis 11 Char,Párrafo de lista1 Char"/>
    <w:link w:val="ListParagraph"/>
    <w:uiPriority w:val="34"/>
    <w:locked/>
    <w:rsid w:val="007511E0"/>
    <w:rPr>
      <w:rFonts w:ascii="Verdana" w:eastAsia="Calibri" w:hAnsi="Verdana" w:cs="Times"/>
      <w:sz w:val="20"/>
      <w:szCs w:val="24"/>
      <w:lang w:val="es-ES_tradnl" w:eastAsia="es-ES"/>
    </w:rPr>
  </w:style>
  <w:style w:type="paragraph" w:styleId="Header">
    <w:name w:val="header"/>
    <w:basedOn w:val="Normal"/>
    <w:link w:val="HeaderChar"/>
    <w:uiPriority w:val="99"/>
    <w:unhideWhenUsed/>
    <w:rsid w:val="007511E0"/>
    <w:pPr>
      <w:tabs>
        <w:tab w:val="center" w:pos="4419"/>
        <w:tab w:val="right" w:pos="8838"/>
      </w:tabs>
      <w:spacing w:after="0"/>
    </w:pPr>
  </w:style>
  <w:style w:type="character" w:customStyle="1" w:styleId="HeaderChar">
    <w:name w:val="Header Char"/>
    <w:basedOn w:val="DefaultParagraphFont"/>
    <w:link w:val="Header"/>
    <w:uiPriority w:val="99"/>
    <w:rsid w:val="007511E0"/>
    <w:rPr>
      <w:rFonts w:ascii="Verdana" w:eastAsia="Calibri" w:hAnsi="Verdana" w:cs="Times"/>
      <w:sz w:val="20"/>
      <w:szCs w:val="24"/>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7511E0"/>
    <w:pPr>
      <w:spacing w:after="0"/>
    </w:pPr>
    <w:rPr>
      <w:rFonts w:asciiTheme="minorHAnsi" w:eastAsiaTheme="minorHAnsi" w:hAnsiTheme="minorHAnsi" w:cstheme="minorBidi"/>
      <w:sz w:val="22"/>
      <w:szCs w:val="22"/>
      <w:vertAlign w:val="superscript"/>
      <w:lang w:val="en-US" w:eastAsia="en-US"/>
    </w:rPr>
  </w:style>
  <w:style w:type="paragraph" w:styleId="BalloonText">
    <w:name w:val="Balloon Text"/>
    <w:basedOn w:val="Normal"/>
    <w:link w:val="BalloonTextChar"/>
    <w:uiPriority w:val="99"/>
    <w:semiHidden/>
    <w:unhideWhenUsed/>
    <w:rsid w:val="006E497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978"/>
    <w:rPr>
      <w:rFonts w:ascii="Tahoma" w:eastAsia="Calibri" w:hAnsi="Tahoma" w:cs="Tahoma"/>
      <w:sz w:val="16"/>
      <w:szCs w:val="16"/>
      <w:lang w:val="es-ES_tradnl" w:eastAsia="es-ES"/>
    </w:rPr>
  </w:style>
  <w:style w:type="paragraph" w:customStyle="1" w:styleId="Normal1">
    <w:name w:val="Normal1"/>
    <w:rsid w:val="007D1889"/>
    <w:pPr>
      <w:widowControl w:val="0"/>
      <w:spacing w:after="0" w:line="240" w:lineRule="auto"/>
    </w:pPr>
    <w:rPr>
      <w:rFonts w:ascii="Times New Roman" w:eastAsia="Times New Roman" w:hAnsi="Times New Roman" w:cs="Times New Roman"/>
      <w:sz w:val="24"/>
      <w:szCs w:val="24"/>
      <w:lang w:val="es-CR"/>
    </w:rPr>
  </w:style>
  <w:style w:type="paragraph" w:styleId="CommentText">
    <w:name w:val="annotation text"/>
    <w:basedOn w:val="Normal"/>
    <w:link w:val="CommentTextChar"/>
    <w:uiPriority w:val="99"/>
    <w:semiHidden/>
    <w:unhideWhenUsed/>
    <w:rsid w:val="007D1889"/>
    <w:pPr>
      <w:spacing w:after="200"/>
      <w:jc w:val="left"/>
    </w:pPr>
    <w:rPr>
      <w:rFonts w:asciiTheme="minorHAnsi" w:eastAsiaTheme="minorHAnsi" w:hAnsiTheme="minorHAnsi" w:cstheme="minorBidi"/>
      <w:szCs w:val="20"/>
      <w:lang w:val="en-US" w:eastAsia="en-US"/>
    </w:rPr>
  </w:style>
  <w:style w:type="character" w:customStyle="1" w:styleId="CommentTextChar">
    <w:name w:val="Comment Text Char"/>
    <w:basedOn w:val="DefaultParagraphFont"/>
    <w:link w:val="CommentText"/>
    <w:uiPriority w:val="99"/>
    <w:semiHidden/>
    <w:rsid w:val="007D1889"/>
    <w:rPr>
      <w:sz w:val="20"/>
      <w:szCs w:val="20"/>
    </w:rPr>
  </w:style>
  <w:style w:type="character" w:styleId="CommentReference">
    <w:name w:val="annotation reference"/>
    <w:basedOn w:val="DefaultParagraphFont"/>
    <w:uiPriority w:val="99"/>
    <w:semiHidden/>
    <w:unhideWhenUsed/>
    <w:rsid w:val="008C5D88"/>
    <w:rPr>
      <w:sz w:val="16"/>
      <w:szCs w:val="16"/>
    </w:rPr>
  </w:style>
  <w:style w:type="paragraph" w:styleId="CommentSubject">
    <w:name w:val="annotation subject"/>
    <w:basedOn w:val="CommentText"/>
    <w:next w:val="CommentText"/>
    <w:link w:val="CommentSubjectChar"/>
    <w:uiPriority w:val="99"/>
    <w:semiHidden/>
    <w:unhideWhenUsed/>
    <w:rsid w:val="008C5D88"/>
    <w:pPr>
      <w:spacing w:after="120"/>
      <w:jc w:val="both"/>
    </w:pPr>
    <w:rPr>
      <w:rFonts w:ascii="Verdana" w:eastAsia="Calibri" w:hAnsi="Verdana" w:cs="Times"/>
      <w:b/>
      <w:bCs/>
      <w:lang w:val="es-ES_tradnl" w:eastAsia="es-ES"/>
    </w:rPr>
  </w:style>
  <w:style w:type="character" w:customStyle="1" w:styleId="CommentSubjectChar">
    <w:name w:val="Comment Subject Char"/>
    <w:basedOn w:val="CommentTextChar"/>
    <w:link w:val="CommentSubject"/>
    <w:uiPriority w:val="99"/>
    <w:semiHidden/>
    <w:rsid w:val="008C5D88"/>
    <w:rPr>
      <w:rFonts w:ascii="Verdana" w:eastAsia="Calibri" w:hAnsi="Verdana" w:cs="Times"/>
      <w:b/>
      <w:bCs/>
      <w:sz w:val="20"/>
      <w:szCs w:val="20"/>
      <w:lang w:val="es-ES_tradnl" w:eastAsia="es-ES"/>
    </w:rPr>
  </w:style>
  <w:style w:type="paragraph" w:styleId="Revision">
    <w:name w:val="Revision"/>
    <w:hidden/>
    <w:uiPriority w:val="99"/>
    <w:semiHidden/>
    <w:rsid w:val="008C5D88"/>
    <w:pPr>
      <w:spacing w:after="0" w:line="240" w:lineRule="auto"/>
    </w:pPr>
    <w:rPr>
      <w:rFonts w:ascii="Verdana" w:eastAsia="Calibri" w:hAnsi="Verdana" w:cs="Times"/>
      <w:sz w:val="20"/>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42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C835D-F728-4D7D-87A9-88EE76B3D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5464</Words>
  <Characters>31147</Characters>
  <Application>Microsoft Office Word</Application>
  <DocSecurity>0</DocSecurity>
  <Lines>259</Lines>
  <Paragraphs>73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36538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Mabel Fernandez</cp:lastModifiedBy>
  <cp:revision>2</cp:revision>
  <cp:lastPrinted>2019-02-13T19:39:00Z</cp:lastPrinted>
  <dcterms:created xsi:type="dcterms:W3CDTF">2019-02-15T15:42:00Z</dcterms:created>
  <dcterms:modified xsi:type="dcterms:W3CDTF">2019-02-15T15:42:00Z</dcterms:modified>
</cp:coreProperties>
</file>