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F5" w:rsidRDefault="009838F5" w:rsidP="007511E0">
      <w:pPr>
        <w:spacing w:after="0"/>
        <w:ind w:right="49"/>
        <w:jc w:val="center"/>
        <w:rPr>
          <w:rFonts w:cs="Verdana Bold"/>
          <w:b/>
          <w:bCs/>
          <w:caps/>
          <w:szCs w:val="20"/>
        </w:rPr>
      </w:pPr>
      <w:bookmarkStart w:id="0" w:name="_GoBack"/>
      <w:bookmarkEnd w:id="0"/>
    </w:p>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9838F5" w:rsidRDefault="009838F5" w:rsidP="007511E0">
      <w:pPr>
        <w:spacing w:after="0"/>
        <w:ind w:right="49"/>
        <w:jc w:val="center"/>
        <w:rPr>
          <w:rFonts w:cs="Verdana Bold"/>
          <w:b/>
          <w:bCs/>
          <w:caps/>
          <w:szCs w:val="20"/>
        </w:rPr>
      </w:pPr>
    </w:p>
    <w:p w:rsidR="007511E0" w:rsidRPr="00C75778" w:rsidRDefault="00EC4171" w:rsidP="007511E0">
      <w:pPr>
        <w:spacing w:after="0"/>
        <w:ind w:right="49"/>
        <w:jc w:val="center"/>
        <w:rPr>
          <w:rFonts w:cs="Verdana Bold"/>
          <w:b/>
          <w:bCs/>
          <w:caps/>
          <w:szCs w:val="20"/>
        </w:rPr>
      </w:pPr>
      <w:r>
        <w:rPr>
          <w:rFonts w:cs="Verdana Bold"/>
          <w:b/>
          <w:bCs/>
          <w:caps/>
          <w:szCs w:val="20"/>
        </w:rPr>
        <w:t>R</w:t>
      </w:r>
      <w:r w:rsidR="00E77227">
        <w:rPr>
          <w:rFonts w:cs="Verdana Bold"/>
          <w:b/>
          <w:bCs/>
          <w:caps/>
          <w:szCs w:val="20"/>
        </w:rPr>
        <w:t>esolución del Presidente de La</w:t>
      </w:r>
    </w:p>
    <w:p w:rsidR="007511E0" w:rsidRPr="00C75778" w:rsidRDefault="007511E0" w:rsidP="007511E0">
      <w:pPr>
        <w:spacing w:after="0"/>
        <w:ind w:right="49"/>
        <w:jc w:val="center"/>
        <w:rPr>
          <w:rFonts w:cs="Verdana Bold"/>
          <w:b/>
          <w:bCs/>
          <w:caps/>
          <w:szCs w:val="20"/>
        </w:rPr>
      </w:pPr>
    </w:p>
    <w:p w:rsidR="007511E0" w:rsidRPr="00C75778" w:rsidRDefault="007511E0" w:rsidP="007511E0">
      <w:pPr>
        <w:spacing w:after="0"/>
        <w:ind w:right="-316"/>
        <w:jc w:val="center"/>
        <w:rPr>
          <w:rFonts w:cs="Verdana Bold"/>
          <w:b/>
          <w:bCs/>
          <w:caps/>
          <w:szCs w:val="20"/>
        </w:rPr>
      </w:pPr>
      <w:r w:rsidRPr="00C75778">
        <w:rPr>
          <w:rFonts w:cs="Verdana Bold"/>
          <w:b/>
          <w:bCs/>
          <w:caps/>
          <w:szCs w:val="20"/>
        </w:rPr>
        <w:t>Corte Interamericana de Derechos Humanos</w:t>
      </w:r>
    </w:p>
    <w:p w:rsidR="007511E0" w:rsidRPr="00C75778" w:rsidRDefault="007511E0" w:rsidP="007511E0">
      <w:pPr>
        <w:spacing w:after="0"/>
        <w:ind w:right="-316"/>
        <w:jc w:val="center"/>
        <w:rPr>
          <w:rFonts w:cs="Verdana Bold"/>
          <w:b/>
          <w:bCs/>
          <w:caps/>
          <w:szCs w:val="20"/>
        </w:rPr>
      </w:pPr>
    </w:p>
    <w:p w:rsidR="007511E0" w:rsidRPr="00C75778" w:rsidRDefault="00336C6B" w:rsidP="007511E0">
      <w:pPr>
        <w:spacing w:after="0"/>
        <w:ind w:right="49"/>
        <w:jc w:val="center"/>
        <w:rPr>
          <w:rFonts w:cs="Verdana Bold"/>
          <w:b/>
          <w:bCs/>
          <w:caps/>
          <w:szCs w:val="20"/>
        </w:rPr>
      </w:pPr>
      <w:r>
        <w:rPr>
          <w:rFonts w:cs="Verdana Bold"/>
          <w:b/>
          <w:bCs/>
          <w:caps/>
          <w:szCs w:val="20"/>
        </w:rPr>
        <w:t>dE 4</w:t>
      </w:r>
      <w:r w:rsidR="007511E0">
        <w:rPr>
          <w:rFonts w:cs="Verdana Bold"/>
          <w:b/>
          <w:bCs/>
          <w:caps/>
          <w:szCs w:val="20"/>
        </w:rPr>
        <w:t xml:space="preserve"> DE </w:t>
      </w:r>
      <w:r w:rsidR="00072BB0">
        <w:rPr>
          <w:rFonts w:cs="Verdana Bold"/>
          <w:b/>
          <w:bCs/>
          <w:caps/>
          <w:szCs w:val="20"/>
        </w:rPr>
        <w:t xml:space="preserve">MARZO </w:t>
      </w:r>
      <w:r w:rsidR="007511E0">
        <w:rPr>
          <w:rFonts w:cs="Verdana Bold"/>
          <w:b/>
          <w:bCs/>
          <w:caps/>
          <w:szCs w:val="20"/>
        </w:rPr>
        <w:t>de 2019</w:t>
      </w:r>
    </w:p>
    <w:p w:rsidR="007511E0" w:rsidRPr="00C75778" w:rsidRDefault="007511E0" w:rsidP="007511E0">
      <w:pPr>
        <w:spacing w:after="0"/>
        <w:ind w:right="-316"/>
        <w:rPr>
          <w:rFonts w:cs="Verdana Bold"/>
          <w:b/>
          <w:bCs/>
          <w:caps/>
          <w:szCs w:val="20"/>
        </w:rPr>
      </w:pPr>
    </w:p>
    <w:p w:rsidR="007511E0" w:rsidRDefault="007511E0" w:rsidP="007511E0">
      <w:pPr>
        <w:spacing w:after="0"/>
        <w:ind w:right="49"/>
        <w:jc w:val="center"/>
        <w:rPr>
          <w:rFonts w:cs="Verdana Bold"/>
          <w:b/>
          <w:bCs/>
          <w:caps/>
          <w:szCs w:val="20"/>
        </w:rPr>
      </w:pPr>
      <w:r>
        <w:rPr>
          <w:rFonts w:cs="Verdana Bold"/>
          <w:b/>
          <w:bCs/>
          <w:caps/>
          <w:szCs w:val="20"/>
        </w:rPr>
        <w:t xml:space="preserve">CASO </w:t>
      </w:r>
      <w:r w:rsidR="00072BB0">
        <w:rPr>
          <w:rFonts w:cs="Verdana Bold"/>
          <w:b/>
          <w:bCs/>
          <w:caps/>
          <w:szCs w:val="20"/>
        </w:rPr>
        <w:t>RuI</w:t>
      </w:r>
      <w:r w:rsidR="009C5FA6">
        <w:rPr>
          <w:rFonts w:cs="Verdana Bold"/>
          <w:b/>
          <w:bCs/>
          <w:caps/>
          <w:szCs w:val="20"/>
        </w:rPr>
        <w:t>z</w:t>
      </w:r>
      <w:r>
        <w:rPr>
          <w:rFonts w:cs="Verdana Bold"/>
          <w:b/>
          <w:bCs/>
          <w:caps/>
          <w:szCs w:val="20"/>
        </w:rPr>
        <w:t xml:space="preserve"> Fuentes vs. GUATEMALA</w:t>
      </w:r>
    </w:p>
    <w:p w:rsidR="00955EF7" w:rsidRDefault="00955EF7" w:rsidP="007511E0">
      <w:pPr>
        <w:spacing w:after="0"/>
        <w:ind w:right="49"/>
        <w:jc w:val="center"/>
        <w:rPr>
          <w:rFonts w:cs="Verdana Bold"/>
          <w:b/>
          <w:bCs/>
          <w:caps/>
          <w:szCs w:val="20"/>
        </w:rPr>
      </w:pPr>
      <w:r>
        <w:rPr>
          <w:rFonts w:cs="Verdana Bold"/>
          <w:b/>
          <w:bCs/>
          <w:caps/>
          <w:szCs w:val="20"/>
        </w:rPr>
        <w:t xml:space="preserve">Caso Martínez </w:t>
      </w:r>
      <w:r w:rsidR="005904E6">
        <w:rPr>
          <w:rFonts w:cs="Verdana Bold"/>
          <w:b/>
          <w:bCs/>
          <w:caps/>
          <w:szCs w:val="20"/>
        </w:rPr>
        <w:t xml:space="preserve">Coronado </w:t>
      </w:r>
      <w:r>
        <w:rPr>
          <w:rFonts w:cs="Verdana Bold"/>
          <w:b/>
          <w:bCs/>
          <w:caps/>
          <w:szCs w:val="20"/>
        </w:rPr>
        <w:t>Vs. Guatemala</w:t>
      </w:r>
    </w:p>
    <w:p w:rsidR="00955EF7" w:rsidRDefault="00955EF7" w:rsidP="007511E0">
      <w:pPr>
        <w:spacing w:after="0"/>
        <w:ind w:right="49"/>
        <w:jc w:val="center"/>
        <w:rPr>
          <w:rFonts w:cs="Verdana Bold"/>
          <w:b/>
          <w:bCs/>
          <w:caps/>
          <w:szCs w:val="20"/>
        </w:rPr>
      </w:pPr>
      <w:r>
        <w:rPr>
          <w:rFonts w:cs="Verdana Bold"/>
          <w:b/>
          <w:bCs/>
          <w:caps/>
          <w:szCs w:val="20"/>
        </w:rPr>
        <w:t>Caso Girón y otro Vs Guatemala</w:t>
      </w:r>
    </w:p>
    <w:p w:rsidR="00955EF7" w:rsidRDefault="00C26285" w:rsidP="007511E0">
      <w:pPr>
        <w:spacing w:after="0"/>
        <w:ind w:right="49"/>
        <w:jc w:val="center"/>
        <w:rPr>
          <w:rFonts w:cs="Verdana Bold"/>
          <w:b/>
          <w:bCs/>
          <w:caps/>
          <w:szCs w:val="20"/>
        </w:rPr>
      </w:pPr>
      <w:r>
        <w:rPr>
          <w:rFonts w:cs="Verdana Bold"/>
          <w:b/>
          <w:bCs/>
          <w:caps/>
          <w:szCs w:val="20"/>
        </w:rPr>
        <w:t>Caso Valenzuela Ávila</w:t>
      </w:r>
      <w:r w:rsidR="00955EF7">
        <w:rPr>
          <w:rFonts w:cs="Verdana Bold"/>
          <w:b/>
          <w:bCs/>
          <w:caps/>
          <w:szCs w:val="20"/>
        </w:rPr>
        <w:t xml:space="preserve"> Vs Guatemala</w:t>
      </w:r>
    </w:p>
    <w:p w:rsidR="00955EF7" w:rsidRPr="00C75778" w:rsidRDefault="00955EF7" w:rsidP="007511E0">
      <w:pPr>
        <w:spacing w:after="0"/>
        <w:ind w:right="49"/>
        <w:jc w:val="center"/>
        <w:rPr>
          <w:rFonts w:cs="Verdana Bold"/>
          <w:b/>
          <w:bCs/>
          <w:caps/>
          <w:szCs w:val="20"/>
        </w:rPr>
      </w:pPr>
      <w:r>
        <w:rPr>
          <w:rFonts w:cs="Verdana Bold"/>
          <w:b/>
          <w:bCs/>
          <w:caps/>
          <w:szCs w:val="20"/>
        </w:rPr>
        <w:t>Caso Rodríguez Revolorio y otros vs. guatemala</w:t>
      </w:r>
    </w:p>
    <w:p w:rsidR="007511E0" w:rsidRPr="00C75778" w:rsidRDefault="007511E0" w:rsidP="007511E0">
      <w:pPr>
        <w:spacing w:after="0"/>
        <w:rPr>
          <w:rFonts w:cs="Verdana"/>
          <w:b/>
          <w:bCs/>
          <w:caps/>
          <w:szCs w:val="20"/>
        </w:rPr>
      </w:pPr>
    </w:p>
    <w:p w:rsidR="007511E0" w:rsidRPr="00C75778" w:rsidRDefault="007511E0" w:rsidP="007511E0">
      <w:pPr>
        <w:spacing w:after="0"/>
        <w:rPr>
          <w:rFonts w:cs="Verdana"/>
          <w:b/>
          <w:bCs/>
          <w:caps/>
          <w:szCs w:val="20"/>
        </w:rPr>
      </w:pPr>
      <w:r w:rsidRPr="00C75778">
        <w:rPr>
          <w:rFonts w:cs="Verdana"/>
          <w:b/>
          <w:bCs/>
          <w:caps/>
          <w:szCs w:val="20"/>
        </w:rPr>
        <w:t>Visto:</w:t>
      </w:r>
    </w:p>
    <w:p w:rsidR="007511E0" w:rsidRPr="00C75778" w:rsidRDefault="007511E0" w:rsidP="007511E0">
      <w:pPr>
        <w:spacing w:after="0"/>
        <w:rPr>
          <w:rFonts w:cs="Verdana"/>
          <w:b/>
          <w:bCs/>
          <w:caps/>
          <w:szCs w:val="20"/>
        </w:rPr>
      </w:pPr>
    </w:p>
    <w:p w:rsidR="004535E6" w:rsidRDefault="00C11155" w:rsidP="004535E6">
      <w:pPr>
        <w:numPr>
          <w:ilvl w:val="0"/>
          <w:numId w:val="20"/>
        </w:numPr>
        <w:autoSpaceDE w:val="0"/>
        <w:autoSpaceDN w:val="0"/>
        <w:adjustRightInd w:val="0"/>
        <w:spacing w:after="0"/>
        <w:ind w:left="0" w:right="18" w:firstLine="0"/>
        <w:rPr>
          <w:rFonts w:cs="Verdana"/>
          <w:szCs w:val="20"/>
          <w:lang w:val="es-MX" w:eastAsia="en-US"/>
        </w:rPr>
      </w:pPr>
      <w:r w:rsidRPr="00072BB0">
        <w:rPr>
          <w:rFonts w:cs="Verdana"/>
          <w:szCs w:val="20"/>
          <w:lang w:val="es-MX" w:eastAsia="en-US"/>
        </w:rPr>
        <w:t>La Resolución del Presidente de la Corte Interamericana de Derechos Humanos (en adelante “el Presidente”) de 14 de febrero de 2019</w:t>
      </w:r>
      <w:r w:rsidR="000D3741">
        <w:rPr>
          <w:rFonts w:cs="Verdana"/>
          <w:szCs w:val="20"/>
          <w:lang w:val="es-MX" w:eastAsia="en-US"/>
        </w:rPr>
        <w:t>,</w:t>
      </w:r>
      <w:r w:rsidRPr="00072BB0">
        <w:rPr>
          <w:rFonts w:cs="Verdana"/>
          <w:szCs w:val="20"/>
          <w:lang w:val="es-MX" w:eastAsia="en-US"/>
        </w:rPr>
        <w:t xml:space="preserve"> mediante la cual, </w:t>
      </w:r>
      <w:r w:rsidRPr="00072BB0">
        <w:rPr>
          <w:rFonts w:cs="Verdana"/>
          <w:i/>
          <w:iCs/>
          <w:szCs w:val="20"/>
          <w:lang w:val="es-MX" w:eastAsia="en-US"/>
        </w:rPr>
        <w:t xml:space="preserve">inter </w:t>
      </w:r>
      <w:proofErr w:type="spellStart"/>
      <w:r w:rsidRPr="00072BB0">
        <w:rPr>
          <w:rFonts w:cs="Verdana"/>
          <w:i/>
          <w:iCs/>
          <w:szCs w:val="20"/>
          <w:lang w:val="es-MX" w:eastAsia="en-US"/>
        </w:rPr>
        <w:t>alia</w:t>
      </w:r>
      <w:proofErr w:type="spellEnd"/>
      <w:r w:rsidRPr="00072BB0">
        <w:rPr>
          <w:rFonts w:cs="Verdana"/>
          <w:szCs w:val="20"/>
          <w:lang w:val="es-MX" w:eastAsia="en-US"/>
        </w:rPr>
        <w:t xml:space="preserve">, ordenó la recepción de diversas declaraciones mediante </w:t>
      </w:r>
      <w:r w:rsidR="00642C33">
        <w:rPr>
          <w:rFonts w:cs="Verdana"/>
          <w:iCs/>
          <w:szCs w:val="20"/>
          <w:lang w:val="es-MX" w:eastAsia="en-US"/>
        </w:rPr>
        <w:t>a</w:t>
      </w:r>
      <w:r w:rsidRPr="00072BB0">
        <w:rPr>
          <w:rFonts w:cs="Verdana"/>
          <w:iCs/>
          <w:szCs w:val="20"/>
          <w:lang w:val="es-MX" w:eastAsia="en-US"/>
        </w:rPr>
        <w:t xml:space="preserve">fidávit, </w:t>
      </w:r>
      <w:r w:rsidRPr="00072BB0">
        <w:rPr>
          <w:rFonts w:cs="Verdana"/>
          <w:szCs w:val="20"/>
          <w:lang w:val="es-MX" w:eastAsia="en-US"/>
        </w:rPr>
        <w:t xml:space="preserve">y convocó a la Comisión Interamericana de Derechos Humanos (en adelante también “la Comisión”), a los representantes de los presuntas víctimas (en adelante también “los representantes”) y a </w:t>
      </w:r>
      <w:r w:rsidRPr="00072BB0">
        <w:rPr>
          <w:rFonts w:cs="Verdana"/>
          <w:lang w:val="es-ES" w:eastAsia="en-US"/>
        </w:rPr>
        <w:t xml:space="preserve">la República de </w:t>
      </w:r>
      <w:r w:rsidR="00072BB0">
        <w:rPr>
          <w:rFonts w:cs="Verdana"/>
          <w:lang w:val="es-ES" w:eastAsia="en-US"/>
        </w:rPr>
        <w:t>Guatemala (en adelante “el Estado”</w:t>
      </w:r>
      <w:r w:rsidRPr="00072BB0">
        <w:rPr>
          <w:rFonts w:cs="Verdana"/>
          <w:lang w:val="es-ES" w:eastAsia="en-US"/>
        </w:rPr>
        <w:t xml:space="preserve">) </w:t>
      </w:r>
      <w:r w:rsidRPr="00072BB0">
        <w:rPr>
          <w:rFonts w:cs="Verdana"/>
          <w:szCs w:val="20"/>
          <w:lang w:val="es-MX" w:eastAsia="en-US"/>
        </w:rPr>
        <w:t xml:space="preserve">a una audiencia pública a celebrarse los días 5 y 6 de marzo de 2019, para recibir sus alegatos finales orales sobre las excepciones preliminares, los eventuales fondo, reparaciones y costas en el presente caso, así como, </w:t>
      </w:r>
      <w:r w:rsidRPr="00072BB0">
        <w:rPr>
          <w:rFonts w:cs="Verdana"/>
          <w:i/>
          <w:szCs w:val="20"/>
          <w:lang w:val="es-MX" w:eastAsia="en-US"/>
        </w:rPr>
        <w:t xml:space="preserve">inter </w:t>
      </w:r>
      <w:proofErr w:type="spellStart"/>
      <w:r w:rsidRPr="00072BB0">
        <w:rPr>
          <w:rFonts w:cs="Verdana"/>
          <w:i/>
          <w:szCs w:val="20"/>
          <w:lang w:val="es-MX" w:eastAsia="en-US"/>
        </w:rPr>
        <w:t>alia</w:t>
      </w:r>
      <w:proofErr w:type="spellEnd"/>
      <w:r w:rsidRPr="00072BB0">
        <w:rPr>
          <w:rFonts w:cs="Verdana"/>
          <w:szCs w:val="20"/>
          <w:lang w:val="es-MX" w:eastAsia="en-US"/>
        </w:rPr>
        <w:t xml:space="preserve">, </w:t>
      </w:r>
      <w:r w:rsidR="004535E6">
        <w:rPr>
          <w:rFonts w:cs="Verdana"/>
          <w:szCs w:val="20"/>
          <w:lang w:val="es-MX" w:eastAsia="en-US"/>
        </w:rPr>
        <w:t xml:space="preserve">recibir el peritaje conjunto de </w:t>
      </w:r>
      <w:proofErr w:type="spellStart"/>
      <w:r w:rsidR="004535E6" w:rsidRPr="00072BB0">
        <w:rPr>
          <w:rFonts w:cs="Verdana"/>
          <w:szCs w:val="20"/>
          <w:lang w:val="es-MX" w:eastAsia="en-US"/>
        </w:rPr>
        <w:t>Parvais</w:t>
      </w:r>
      <w:proofErr w:type="spellEnd"/>
      <w:r w:rsidR="004535E6" w:rsidRPr="00072BB0">
        <w:rPr>
          <w:rFonts w:cs="Verdana"/>
          <w:szCs w:val="20"/>
          <w:lang w:val="es-MX" w:eastAsia="en-US"/>
        </w:rPr>
        <w:t xml:space="preserve"> Jabbar</w:t>
      </w:r>
      <w:r w:rsidR="004535E6" w:rsidRPr="004535E6">
        <w:rPr>
          <w:rFonts w:eastAsiaTheme="minorHAnsi" w:cs="Tahoma"/>
          <w:szCs w:val="20"/>
          <w:lang w:eastAsia="en-US"/>
        </w:rPr>
        <w:t xml:space="preserve"> </w:t>
      </w:r>
      <w:r w:rsidR="004535E6" w:rsidRPr="007A3A29">
        <w:rPr>
          <w:rFonts w:eastAsiaTheme="minorHAnsi" w:cs="Tahoma"/>
          <w:szCs w:val="20"/>
          <w:lang w:eastAsia="en-US"/>
        </w:rPr>
        <w:t>y Edward Fitzgerald</w:t>
      </w:r>
      <w:r w:rsidRPr="00072BB0">
        <w:rPr>
          <w:rFonts w:cs="Verdana"/>
          <w:szCs w:val="20"/>
          <w:lang w:val="es-MX" w:eastAsia="en-US"/>
        </w:rPr>
        <w:t>.</w:t>
      </w:r>
    </w:p>
    <w:p w:rsidR="004535E6" w:rsidRDefault="004535E6" w:rsidP="004535E6">
      <w:pPr>
        <w:autoSpaceDE w:val="0"/>
        <w:autoSpaceDN w:val="0"/>
        <w:adjustRightInd w:val="0"/>
        <w:spacing w:after="0"/>
        <w:ind w:right="18"/>
        <w:rPr>
          <w:rFonts w:cs="Verdana"/>
          <w:szCs w:val="20"/>
          <w:lang w:val="es-MX" w:eastAsia="en-US"/>
        </w:rPr>
      </w:pPr>
    </w:p>
    <w:p w:rsidR="00955EF7" w:rsidRDefault="004535E6" w:rsidP="007B7DEA">
      <w:pPr>
        <w:numPr>
          <w:ilvl w:val="0"/>
          <w:numId w:val="20"/>
        </w:numPr>
        <w:autoSpaceDE w:val="0"/>
        <w:autoSpaceDN w:val="0"/>
        <w:adjustRightInd w:val="0"/>
        <w:spacing w:after="0"/>
        <w:ind w:left="0" w:right="18" w:firstLine="0"/>
        <w:rPr>
          <w:rFonts w:cs="Verdana"/>
          <w:szCs w:val="20"/>
          <w:lang w:val="es-MX" w:eastAsia="en-US"/>
        </w:rPr>
      </w:pPr>
      <w:r>
        <w:rPr>
          <w:rFonts w:cs="Verdana"/>
          <w:szCs w:val="20"/>
          <w:lang w:val="es-MX" w:eastAsia="en-US"/>
        </w:rPr>
        <w:t xml:space="preserve">Las Resoluciones del Presidente de </w:t>
      </w:r>
      <w:r w:rsidRPr="007646C8">
        <w:rPr>
          <w:rFonts w:cs="Verdana"/>
          <w:szCs w:val="20"/>
          <w:lang w:val="es-MX" w:eastAsia="en-US"/>
        </w:rPr>
        <w:t>14 de febrero de 2019</w:t>
      </w:r>
      <w:r>
        <w:rPr>
          <w:rFonts w:cs="Verdana"/>
          <w:szCs w:val="20"/>
          <w:lang w:val="es-MX" w:eastAsia="en-US"/>
        </w:rPr>
        <w:t xml:space="preserve"> </w:t>
      </w:r>
      <w:r w:rsidR="00955EF7">
        <w:rPr>
          <w:rFonts w:cs="Verdana"/>
          <w:szCs w:val="20"/>
          <w:lang w:val="es-MX" w:eastAsia="en-US"/>
        </w:rPr>
        <w:t xml:space="preserve">en </w:t>
      </w:r>
      <w:r w:rsidR="00310325">
        <w:rPr>
          <w:rFonts w:cs="Verdana"/>
          <w:szCs w:val="20"/>
          <w:lang w:val="es-MX" w:eastAsia="en-US"/>
        </w:rPr>
        <w:t>los casos</w:t>
      </w:r>
      <w:r w:rsidR="00955EF7">
        <w:rPr>
          <w:rFonts w:cs="Verdana"/>
          <w:szCs w:val="20"/>
          <w:lang w:val="es-MX" w:eastAsia="en-US"/>
        </w:rPr>
        <w:t xml:space="preserve"> </w:t>
      </w:r>
      <w:r w:rsidR="00955EF7" w:rsidRPr="00955EF7">
        <w:rPr>
          <w:rFonts w:cs="Verdana"/>
          <w:i/>
          <w:szCs w:val="20"/>
          <w:lang w:val="es-MX" w:eastAsia="en-US"/>
        </w:rPr>
        <w:t>Martínez Coronado</w:t>
      </w:r>
      <w:r w:rsidR="00955EF7">
        <w:rPr>
          <w:rFonts w:cs="Verdana"/>
          <w:szCs w:val="20"/>
          <w:lang w:val="es-MX" w:eastAsia="en-US"/>
        </w:rPr>
        <w:t xml:space="preserve">, y </w:t>
      </w:r>
      <w:r w:rsidR="00955EF7" w:rsidRPr="00955EF7">
        <w:rPr>
          <w:rFonts w:cs="Verdana"/>
          <w:i/>
          <w:szCs w:val="20"/>
          <w:lang w:val="es-MX" w:eastAsia="en-US"/>
        </w:rPr>
        <w:t>Girón y otro</w:t>
      </w:r>
      <w:r w:rsidR="00955EF7">
        <w:rPr>
          <w:rFonts w:cs="Verdana"/>
          <w:szCs w:val="20"/>
          <w:lang w:val="es-MX" w:eastAsia="en-US"/>
        </w:rPr>
        <w:t xml:space="preserve">, ambos contra Guatemala, </w:t>
      </w:r>
      <w:r w:rsidR="007B7DEA">
        <w:rPr>
          <w:rFonts w:cs="Verdana"/>
          <w:szCs w:val="20"/>
          <w:lang w:val="es-MX" w:eastAsia="en-US"/>
        </w:rPr>
        <w:t>en</w:t>
      </w:r>
      <w:r w:rsidR="00955EF7">
        <w:rPr>
          <w:rFonts w:cs="Verdana"/>
          <w:szCs w:val="20"/>
          <w:lang w:val="es-MX" w:eastAsia="en-US"/>
        </w:rPr>
        <w:t xml:space="preserve"> que </w:t>
      </w:r>
      <w:r w:rsidR="007B7DEA">
        <w:rPr>
          <w:rFonts w:cs="Verdana"/>
          <w:szCs w:val="20"/>
          <w:lang w:val="es-MX" w:eastAsia="en-US"/>
        </w:rPr>
        <w:t xml:space="preserve">el Presidente </w:t>
      </w:r>
      <w:r w:rsidR="00955EF7">
        <w:rPr>
          <w:rFonts w:cs="Verdana"/>
          <w:szCs w:val="20"/>
          <w:lang w:val="es-MX" w:eastAsia="en-US"/>
        </w:rPr>
        <w:t xml:space="preserve">ordenó recibir mediante afidávit el peritaje de </w:t>
      </w:r>
      <w:proofErr w:type="spellStart"/>
      <w:r w:rsidR="00955EF7" w:rsidRPr="007A3A29">
        <w:rPr>
          <w:rFonts w:eastAsiaTheme="minorHAnsi" w:cs="Tahoma"/>
          <w:szCs w:val="20"/>
          <w:lang w:eastAsia="en-US"/>
        </w:rPr>
        <w:t>Parvais</w:t>
      </w:r>
      <w:proofErr w:type="spellEnd"/>
      <w:r w:rsidR="00955EF7" w:rsidRPr="007A3A29">
        <w:rPr>
          <w:rFonts w:eastAsiaTheme="minorHAnsi" w:cs="Tahoma"/>
          <w:szCs w:val="20"/>
          <w:lang w:eastAsia="en-US"/>
        </w:rPr>
        <w:t xml:space="preserve"> Jabbar y Edward Fitzgerald</w:t>
      </w:r>
      <w:r w:rsidR="00955EF7">
        <w:rPr>
          <w:rFonts w:cs="Verdana"/>
          <w:szCs w:val="20"/>
          <w:lang w:val="es-MX" w:eastAsia="en-US"/>
        </w:rPr>
        <w:t>.</w:t>
      </w:r>
    </w:p>
    <w:p w:rsidR="00955EF7" w:rsidRDefault="00955EF7" w:rsidP="007B7DEA">
      <w:pPr>
        <w:pStyle w:val="Prrafodelista"/>
        <w:spacing w:after="0"/>
        <w:rPr>
          <w:rFonts w:cs="Verdana"/>
          <w:szCs w:val="20"/>
          <w:lang w:val="es-MX" w:eastAsia="en-US"/>
        </w:rPr>
      </w:pPr>
    </w:p>
    <w:p w:rsidR="007B7DEA" w:rsidRPr="007B7DEA" w:rsidRDefault="00955EF7" w:rsidP="007B7DEA">
      <w:pPr>
        <w:numPr>
          <w:ilvl w:val="0"/>
          <w:numId w:val="20"/>
        </w:numPr>
        <w:autoSpaceDE w:val="0"/>
        <w:autoSpaceDN w:val="0"/>
        <w:adjustRightInd w:val="0"/>
        <w:spacing w:after="0"/>
        <w:ind w:left="0" w:right="18" w:firstLine="0"/>
        <w:rPr>
          <w:rFonts w:cs="Verdana"/>
          <w:szCs w:val="20"/>
          <w:lang w:val="es-MX" w:eastAsia="en-US"/>
        </w:rPr>
      </w:pPr>
      <w:r>
        <w:rPr>
          <w:rFonts w:cs="Verdana"/>
          <w:szCs w:val="20"/>
          <w:lang w:val="es-MX" w:eastAsia="en-US"/>
        </w:rPr>
        <w:t xml:space="preserve">Las Resoluciones del Presidente </w:t>
      </w:r>
      <w:r w:rsidRPr="007646C8">
        <w:rPr>
          <w:rFonts w:cs="Verdana"/>
          <w:szCs w:val="20"/>
          <w:lang w:val="es-MX" w:eastAsia="en-US"/>
        </w:rPr>
        <w:t>de 15 de febrero de 2019</w:t>
      </w:r>
      <w:r>
        <w:rPr>
          <w:rFonts w:cs="Verdana"/>
          <w:szCs w:val="20"/>
          <w:lang w:val="es-MX" w:eastAsia="en-US"/>
        </w:rPr>
        <w:t xml:space="preserve"> </w:t>
      </w:r>
      <w:r w:rsidR="00310325">
        <w:rPr>
          <w:rFonts w:cs="Verdana"/>
          <w:szCs w:val="20"/>
          <w:lang w:val="es-MX" w:eastAsia="en-US"/>
        </w:rPr>
        <w:t>en los casos</w:t>
      </w:r>
      <w:r>
        <w:rPr>
          <w:rFonts w:cs="Verdana"/>
          <w:szCs w:val="20"/>
          <w:lang w:val="es-MX" w:eastAsia="en-US"/>
        </w:rPr>
        <w:t xml:space="preserve"> </w:t>
      </w:r>
      <w:r w:rsidR="00C26285">
        <w:rPr>
          <w:rFonts w:cs="Verdana"/>
          <w:i/>
          <w:szCs w:val="20"/>
          <w:lang w:val="es-MX" w:eastAsia="en-US"/>
        </w:rPr>
        <w:t>Valenzuela Ávila,</w:t>
      </w:r>
      <w:r w:rsidRPr="002F6E57">
        <w:rPr>
          <w:rFonts w:cs="Verdana"/>
          <w:i/>
          <w:szCs w:val="20"/>
          <w:lang w:val="es-MX" w:eastAsia="en-US"/>
        </w:rPr>
        <w:t xml:space="preserve"> </w:t>
      </w:r>
      <w:r>
        <w:rPr>
          <w:rFonts w:cs="Verdana"/>
          <w:szCs w:val="20"/>
          <w:lang w:val="es-MX" w:eastAsia="en-US"/>
        </w:rPr>
        <w:t xml:space="preserve">y </w:t>
      </w:r>
      <w:r w:rsidR="002F6E57" w:rsidRPr="002F6E57">
        <w:rPr>
          <w:rFonts w:cs="Verdana"/>
          <w:i/>
          <w:szCs w:val="20"/>
          <w:lang w:val="es-MX" w:eastAsia="en-US"/>
        </w:rPr>
        <w:t>Ro</w:t>
      </w:r>
      <w:r w:rsidRPr="002F6E57">
        <w:rPr>
          <w:rFonts w:cs="Verdana"/>
          <w:i/>
          <w:szCs w:val="20"/>
          <w:lang w:val="es-MX" w:eastAsia="en-US"/>
        </w:rPr>
        <w:t>dríguez Revolorio y otros</w:t>
      </w:r>
      <w:r w:rsidR="007B7DEA">
        <w:rPr>
          <w:rFonts w:cs="Verdana"/>
          <w:szCs w:val="20"/>
          <w:lang w:val="es-MX" w:eastAsia="en-US"/>
        </w:rPr>
        <w:t>, ambos contra Guatemala, en las cuales el Presidente</w:t>
      </w:r>
      <w:r>
        <w:rPr>
          <w:rFonts w:cs="Verdana"/>
          <w:szCs w:val="20"/>
          <w:lang w:val="es-MX" w:eastAsia="en-US"/>
        </w:rPr>
        <w:t xml:space="preserve"> ordenó el traslado</w:t>
      </w:r>
      <w:r w:rsidR="00310325">
        <w:rPr>
          <w:rFonts w:cs="Verdana"/>
          <w:szCs w:val="20"/>
          <w:lang w:val="es-MX" w:eastAsia="en-US"/>
        </w:rPr>
        <w:t>,</w:t>
      </w:r>
      <w:r>
        <w:rPr>
          <w:rFonts w:cs="Verdana"/>
          <w:szCs w:val="20"/>
          <w:lang w:val="es-MX" w:eastAsia="en-US"/>
        </w:rPr>
        <w:t xml:space="preserve"> </w:t>
      </w:r>
      <w:r w:rsidR="00310325">
        <w:rPr>
          <w:rFonts w:cs="Verdana"/>
          <w:szCs w:val="20"/>
          <w:lang w:val="es-MX" w:eastAsia="en-US"/>
        </w:rPr>
        <w:t xml:space="preserve">una vez rendido, </w:t>
      </w:r>
      <w:r>
        <w:rPr>
          <w:rFonts w:cs="Verdana"/>
          <w:szCs w:val="20"/>
          <w:lang w:val="es-MX" w:eastAsia="en-US"/>
        </w:rPr>
        <w:t xml:space="preserve">del peritaje </w:t>
      </w:r>
      <w:r w:rsidR="006941D8">
        <w:rPr>
          <w:rFonts w:cs="Verdana"/>
          <w:szCs w:val="20"/>
          <w:lang w:val="es-MX" w:eastAsia="en-US"/>
        </w:rPr>
        <w:t xml:space="preserve">de </w:t>
      </w:r>
      <w:proofErr w:type="spellStart"/>
      <w:r w:rsidR="006941D8" w:rsidRPr="007A3A29">
        <w:rPr>
          <w:rFonts w:eastAsiaTheme="minorHAnsi" w:cs="Tahoma"/>
          <w:szCs w:val="20"/>
          <w:lang w:eastAsia="en-US"/>
        </w:rPr>
        <w:t>Parvais</w:t>
      </w:r>
      <w:proofErr w:type="spellEnd"/>
      <w:r w:rsidR="006941D8" w:rsidRPr="007A3A29">
        <w:rPr>
          <w:rFonts w:eastAsiaTheme="minorHAnsi" w:cs="Tahoma"/>
          <w:szCs w:val="20"/>
          <w:lang w:eastAsia="en-US"/>
        </w:rPr>
        <w:t xml:space="preserve"> Jabbar y Edward Fitzgerald</w:t>
      </w:r>
      <w:r w:rsidR="006941D8">
        <w:rPr>
          <w:rFonts w:cs="Verdana"/>
          <w:szCs w:val="20"/>
          <w:lang w:val="es-MX" w:eastAsia="en-US"/>
        </w:rPr>
        <w:t xml:space="preserve"> </w:t>
      </w:r>
      <w:r w:rsidR="007B7DEA">
        <w:rPr>
          <w:rFonts w:cs="Verdana"/>
          <w:szCs w:val="20"/>
          <w:lang w:val="es-MX" w:eastAsia="en-US"/>
        </w:rPr>
        <w:t>a dichos casos</w:t>
      </w:r>
      <w:r w:rsidR="006941D8">
        <w:rPr>
          <w:rFonts w:cs="Verdana"/>
          <w:szCs w:val="20"/>
          <w:lang w:val="es-MX" w:eastAsia="en-US"/>
        </w:rPr>
        <w:t xml:space="preserve">. </w:t>
      </w:r>
    </w:p>
    <w:p w:rsidR="00C11155" w:rsidRPr="00072BB0" w:rsidRDefault="00C11155" w:rsidP="00C11155">
      <w:pPr>
        <w:autoSpaceDE w:val="0"/>
        <w:autoSpaceDN w:val="0"/>
        <w:adjustRightInd w:val="0"/>
        <w:spacing w:after="0"/>
        <w:ind w:right="18"/>
        <w:rPr>
          <w:rFonts w:cs="Verdana"/>
          <w:szCs w:val="20"/>
          <w:lang w:val="es-MX" w:eastAsia="en-US"/>
        </w:rPr>
      </w:pPr>
    </w:p>
    <w:p w:rsidR="009B4243" w:rsidRPr="009B4243" w:rsidRDefault="00C11155" w:rsidP="00C11155">
      <w:pPr>
        <w:numPr>
          <w:ilvl w:val="0"/>
          <w:numId w:val="20"/>
        </w:numPr>
        <w:autoSpaceDE w:val="0"/>
        <w:autoSpaceDN w:val="0"/>
        <w:adjustRightInd w:val="0"/>
        <w:spacing w:after="0"/>
        <w:ind w:left="0" w:right="18" w:firstLine="0"/>
        <w:rPr>
          <w:rFonts w:cs="Verdana"/>
          <w:b/>
          <w:bCs/>
          <w:szCs w:val="20"/>
          <w:lang w:val="es-MX" w:eastAsia="en-US"/>
        </w:rPr>
      </w:pPr>
      <w:r w:rsidRPr="00072BB0">
        <w:rPr>
          <w:rFonts w:cs="Verdana"/>
          <w:szCs w:val="20"/>
          <w:lang w:val="es-MX" w:eastAsia="en-US"/>
        </w:rPr>
        <w:t>El escrito</w:t>
      </w:r>
      <w:r w:rsidRPr="009B4243">
        <w:rPr>
          <w:rFonts w:cs="Verdana"/>
          <w:szCs w:val="20"/>
          <w:lang w:val="es-MX" w:eastAsia="en-US"/>
        </w:rPr>
        <w:t xml:space="preserve"> de la Comisión presentado el 27 de febrero de 2019, mediante </w:t>
      </w:r>
      <w:r w:rsidR="008C40A1">
        <w:rPr>
          <w:rFonts w:cs="Verdana"/>
          <w:szCs w:val="20"/>
          <w:lang w:val="es-MX" w:eastAsia="en-US"/>
        </w:rPr>
        <w:t xml:space="preserve">el cual </w:t>
      </w:r>
      <w:r w:rsidR="00C26285">
        <w:rPr>
          <w:rFonts w:cs="Verdana"/>
          <w:szCs w:val="20"/>
          <w:lang w:val="es-MX" w:eastAsia="en-US"/>
        </w:rPr>
        <w:t xml:space="preserve">informó sobre “el fallecimiento de la madre del perito </w:t>
      </w:r>
      <w:proofErr w:type="spellStart"/>
      <w:r w:rsidR="00C26285">
        <w:rPr>
          <w:rFonts w:cs="Verdana"/>
          <w:szCs w:val="20"/>
          <w:lang w:val="es-MX" w:eastAsia="en-US"/>
        </w:rPr>
        <w:t>Parvais</w:t>
      </w:r>
      <w:proofErr w:type="spellEnd"/>
      <w:r w:rsidR="00C26285">
        <w:rPr>
          <w:rFonts w:cs="Verdana"/>
          <w:szCs w:val="20"/>
          <w:lang w:val="es-MX" w:eastAsia="en-US"/>
        </w:rPr>
        <w:t xml:space="preserve"> Jabbar en días recientes</w:t>
      </w:r>
      <w:r w:rsidR="0068159B">
        <w:rPr>
          <w:rFonts w:cs="Verdana"/>
          <w:szCs w:val="20"/>
          <w:lang w:val="es-MX" w:eastAsia="en-US"/>
        </w:rPr>
        <w:t>”</w:t>
      </w:r>
      <w:r w:rsidR="00C26285">
        <w:rPr>
          <w:rFonts w:cs="Verdana"/>
          <w:szCs w:val="20"/>
          <w:lang w:val="es-MX" w:eastAsia="en-US"/>
        </w:rPr>
        <w:t>, por los que hizo distintas solicitudes para la rendición de su peritaje.</w:t>
      </w:r>
      <w:r w:rsidR="00C26285" w:rsidRPr="009B4243">
        <w:rPr>
          <w:rFonts w:cs="Verdana"/>
          <w:szCs w:val="20"/>
          <w:lang w:val="es-MX" w:eastAsia="en-US"/>
        </w:rPr>
        <w:t xml:space="preserve"> </w:t>
      </w:r>
    </w:p>
    <w:p w:rsidR="00C11155" w:rsidRPr="009B4243" w:rsidRDefault="00C11155" w:rsidP="009B4243">
      <w:pPr>
        <w:autoSpaceDE w:val="0"/>
        <w:autoSpaceDN w:val="0"/>
        <w:adjustRightInd w:val="0"/>
        <w:spacing w:after="0"/>
        <w:ind w:right="18"/>
        <w:rPr>
          <w:rFonts w:cs="Verdana"/>
          <w:b/>
          <w:bCs/>
          <w:szCs w:val="20"/>
          <w:lang w:val="es-MX" w:eastAsia="en-US"/>
        </w:rPr>
      </w:pPr>
    </w:p>
    <w:p w:rsidR="00C11155" w:rsidRPr="00382D74" w:rsidRDefault="00C11155" w:rsidP="00C11155">
      <w:pPr>
        <w:spacing w:after="0"/>
        <w:rPr>
          <w:rFonts w:cs="Verdana"/>
          <w:b/>
          <w:bCs/>
          <w:szCs w:val="20"/>
          <w:lang w:val="es-CR" w:eastAsia="en-US"/>
        </w:rPr>
      </w:pPr>
      <w:r w:rsidRPr="00382D74">
        <w:rPr>
          <w:rFonts w:cs="Verdana"/>
          <w:b/>
          <w:bCs/>
          <w:szCs w:val="20"/>
          <w:lang w:val="es-CR" w:eastAsia="en-US"/>
        </w:rPr>
        <w:t>CONSIDERANDO QUE:</w:t>
      </w:r>
    </w:p>
    <w:p w:rsidR="00C11155" w:rsidRDefault="00C11155" w:rsidP="00C11155">
      <w:pPr>
        <w:widowControl w:val="0"/>
        <w:autoSpaceDE w:val="0"/>
        <w:autoSpaceDN w:val="0"/>
        <w:adjustRightInd w:val="0"/>
        <w:spacing w:after="0"/>
        <w:ind w:right="18"/>
        <w:rPr>
          <w:rFonts w:cs="Verdana"/>
          <w:b/>
          <w:szCs w:val="20"/>
          <w:lang w:val="es-MX" w:eastAsia="en-US"/>
        </w:rPr>
      </w:pPr>
    </w:p>
    <w:p w:rsidR="009B4243" w:rsidRDefault="009B4243" w:rsidP="009B4243">
      <w:pPr>
        <w:pStyle w:val="Prrafodelista"/>
        <w:numPr>
          <w:ilvl w:val="0"/>
          <w:numId w:val="24"/>
        </w:numPr>
        <w:tabs>
          <w:tab w:val="left" w:pos="567"/>
        </w:tabs>
        <w:spacing w:after="0"/>
        <w:ind w:left="0" w:firstLine="0"/>
      </w:pPr>
      <w:r w:rsidRPr="006B5876">
        <w:t xml:space="preserve">El ofrecimiento y la admisión de la prueba, así como la citación de </w:t>
      </w:r>
      <w:r>
        <w:t xml:space="preserve">declarantes </w:t>
      </w:r>
      <w:r w:rsidRPr="006B5876">
        <w:t>se encuentran regulados en los artículos 35.1.f, 40.2.c, 41.</w:t>
      </w:r>
      <w:r w:rsidR="007F0D2A">
        <w:t>1.c, 46, 50 y</w:t>
      </w:r>
      <w:r w:rsidRPr="007646C8">
        <w:t xml:space="preserve"> 52.3</w:t>
      </w:r>
      <w:r w:rsidR="00F67B23">
        <w:t xml:space="preserve"> </w:t>
      </w:r>
      <w:r w:rsidRPr="006B5876">
        <w:t xml:space="preserve">del Reglamento de la Corte Interamericana de Derechos Humanos (en adelante </w:t>
      </w:r>
      <w:r w:rsidR="006941D8">
        <w:t>también “la Corte”)</w:t>
      </w:r>
      <w:r w:rsidR="007F0D2A">
        <w:t>.</w:t>
      </w:r>
    </w:p>
    <w:p w:rsidR="009B4243" w:rsidRDefault="009B4243" w:rsidP="009B4243">
      <w:pPr>
        <w:pStyle w:val="Prrafodelista"/>
        <w:tabs>
          <w:tab w:val="left" w:pos="567"/>
        </w:tabs>
        <w:spacing w:after="0"/>
        <w:ind w:left="0"/>
      </w:pPr>
    </w:p>
    <w:p w:rsidR="007B7DEA" w:rsidRDefault="009B4243" w:rsidP="00072BB0">
      <w:pPr>
        <w:numPr>
          <w:ilvl w:val="0"/>
          <w:numId w:val="24"/>
        </w:numPr>
        <w:autoSpaceDE w:val="0"/>
        <w:autoSpaceDN w:val="0"/>
        <w:adjustRightInd w:val="0"/>
        <w:spacing w:after="0"/>
        <w:ind w:left="0" w:right="18" w:firstLine="0"/>
        <w:rPr>
          <w:rFonts w:cs="Verdana"/>
          <w:szCs w:val="20"/>
          <w:lang w:val="es-MX" w:eastAsia="en-US"/>
        </w:rPr>
      </w:pPr>
      <w:r>
        <w:rPr>
          <w:rFonts w:cs="Verdana"/>
          <w:szCs w:val="20"/>
          <w:lang w:eastAsia="en-US"/>
        </w:rPr>
        <w:t>L</w:t>
      </w:r>
      <w:r>
        <w:rPr>
          <w:rFonts w:cs="Verdana"/>
          <w:szCs w:val="20"/>
          <w:lang w:val="es-MX" w:eastAsia="en-US"/>
        </w:rPr>
        <w:t xml:space="preserve">a Comisión </w:t>
      </w:r>
      <w:r w:rsidR="00C26285">
        <w:rPr>
          <w:rFonts w:cs="Verdana"/>
          <w:szCs w:val="20"/>
          <w:lang w:val="es-MX" w:eastAsia="en-US"/>
        </w:rPr>
        <w:t>en vista del “</w:t>
      </w:r>
      <w:r>
        <w:rPr>
          <w:rFonts w:cs="Verdana"/>
          <w:szCs w:val="20"/>
          <w:lang w:val="es-MX" w:eastAsia="en-US"/>
        </w:rPr>
        <w:t xml:space="preserve">fallecimiento de la madre del perito </w:t>
      </w:r>
      <w:proofErr w:type="spellStart"/>
      <w:r>
        <w:rPr>
          <w:rFonts w:cs="Verdana"/>
          <w:szCs w:val="20"/>
          <w:lang w:val="es-MX" w:eastAsia="en-US"/>
        </w:rPr>
        <w:t>Pa</w:t>
      </w:r>
      <w:r w:rsidR="008C40A1">
        <w:rPr>
          <w:rFonts w:cs="Verdana"/>
          <w:szCs w:val="20"/>
          <w:lang w:val="es-MX" w:eastAsia="en-US"/>
        </w:rPr>
        <w:t>rvais</w:t>
      </w:r>
      <w:proofErr w:type="spellEnd"/>
      <w:r w:rsidR="008C40A1">
        <w:rPr>
          <w:rFonts w:cs="Verdana"/>
          <w:szCs w:val="20"/>
          <w:lang w:val="es-MX" w:eastAsia="en-US"/>
        </w:rPr>
        <w:t xml:space="preserve"> Jabbar</w:t>
      </w:r>
      <w:r w:rsidR="00C26285" w:rsidRPr="009B4243">
        <w:rPr>
          <w:rFonts w:cs="Verdana"/>
          <w:szCs w:val="20"/>
          <w:lang w:val="es-MX" w:eastAsia="en-US"/>
        </w:rPr>
        <w:t>”</w:t>
      </w:r>
      <w:r w:rsidR="00C26285">
        <w:rPr>
          <w:rFonts w:cs="Verdana"/>
          <w:szCs w:val="20"/>
          <w:lang w:val="es-MX" w:eastAsia="en-US"/>
        </w:rPr>
        <w:t xml:space="preserve">, </w:t>
      </w:r>
      <w:r w:rsidR="006A0CD3">
        <w:rPr>
          <w:rFonts w:cs="Verdana"/>
          <w:szCs w:val="20"/>
          <w:lang w:val="es-MX" w:eastAsia="en-US"/>
        </w:rPr>
        <w:t xml:space="preserve">adujo lo </w:t>
      </w:r>
      <w:proofErr w:type="spellStart"/>
      <w:r w:rsidR="006A0CD3">
        <w:rPr>
          <w:rFonts w:cs="Verdana"/>
          <w:szCs w:val="20"/>
          <w:lang w:val="es-MX" w:eastAsia="en-US"/>
        </w:rPr>
        <w:t>siguiente,</w:t>
      </w:r>
      <w:r w:rsidR="00310325">
        <w:rPr>
          <w:rFonts w:cs="Verdana"/>
          <w:szCs w:val="20"/>
          <w:lang w:val="es-MX" w:eastAsia="en-US"/>
        </w:rPr>
        <w:t>”</w:t>
      </w:r>
      <w:r w:rsidR="00C26285">
        <w:rPr>
          <w:rFonts w:cs="Verdana"/>
          <w:szCs w:val="20"/>
          <w:lang w:val="es-MX" w:eastAsia="en-US"/>
        </w:rPr>
        <w:t>en</w:t>
      </w:r>
      <w:proofErr w:type="spellEnd"/>
      <w:r w:rsidR="00C26285">
        <w:rPr>
          <w:rFonts w:cs="Verdana"/>
          <w:szCs w:val="20"/>
          <w:lang w:val="es-MX" w:eastAsia="en-US"/>
        </w:rPr>
        <w:t xml:space="preserve"> atención a </w:t>
      </w:r>
      <w:r w:rsidR="00310325">
        <w:rPr>
          <w:rFonts w:cs="Verdana"/>
          <w:szCs w:val="20"/>
          <w:lang w:val="es-MX" w:eastAsia="en-US"/>
        </w:rPr>
        <w:t>[</w:t>
      </w:r>
      <w:r w:rsidR="00C26285">
        <w:rPr>
          <w:rFonts w:cs="Verdana"/>
          <w:szCs w:val="20"/>
          <w:lang w:val="es-MX" w:eastAsia="en-US"/>
        </w:rPr>
        <w:t>dicha</w:t>
      </w:r>
      <w:r w:rsidR="00310325">
        <w:rPr>
          <w:rFonts w:cs="Verdana"/>
          <w:szCs w:val="20"/>
          <w:lang w:val="es-MX" w:eastAsia="en-US"/>
        </w:rPr>
        <w:t>]</w:t>
      </w:r>
      <w:r w:rsidR="00C26285" w:rsidRPr="009B4243">
        <w:rPr>
          <w:rFonts w:cs="Verdana"/>
          <w:szCs w:val="20"/>
          <w:lang w:val="es-MX" w:eastAsia="en-US"/>
        </w:rPr>
        <w:t xml:space="preserve"> situación de fuerza mayor</w:t>
      </w:r>
      <w:r w:rsidR="00310325">
        <w:rPr>
          <w:rFonts w:cs="Verdana"/>
          <w:szCs w:val="20"/>
          <w:lang w:val="es-MX" w:eastAsia="en-US"/>
        </w:rPr>
        <w:t>”</w:t>
      </w:r>
      <w:r w:rsidR="00C26285">
        <w:rPr>
          <w:rFonts w:cs="Verdana"/>
          <w:szCs w:val="20"/>
          <w:lang w:val="es-MX" w:eastAsia="en-US"/>
        </w:rPr>
        <w:t xml:space="preserve">: </w:t>
      </w:r>
    </w:p>
    <w:p w:rsidR="009B4243" w:rsidRDefault="0068159B" w:rsidP="008C40A1">
      <w:pPr>
        <w:pStyle w:val="Prrafodelista"/>
        <w:numPr>
          <w:ilvl w:val="0"/>
          <w:numId w:val="25"/>
        </w:numPr>
        <w:autoSpaceDE w:val="0"/>
        <w:autoSpaceDN w:val="0"/>
        <w:adjustRightInd w:val="0"/>
        <w:spacing w:after="0"/>
        <w:ind w:left="709" w:right="18" w:firstLine="0"/>
        <w:rPr>
          <w:rFonts w:cs="Verdana"/>
          <w:szCs w:val="20"/>
          <w:lang w:val="es-MX" w:eastAsia="en-US"/>
        </w:rPr>
      </w:pPr>
      <w:r>
        <w:rPr>
          <w:rFonts w:cs="Verdana"/>
          <w:szCs w:val="20"/>
          <w:lang w:val="es-MX" w:eastAsia="en-US"/>
        </w:rPr>
        <w:lastRenderedPageBreak/>
        <w:t>e</w:t>
      </w:r>
      <w:r w:rsidR="008C40A1">
        <w:rPr>
          <w:rFonts w:cs="Verdana"/>
          <w:szCs w:val="20"/>
          <w:lang w:val="es-MX" w:eastAsia="en-US"/>
        </w:rPr>
        <w:t xml:space="preserve">n el </w:t>
      </w:r>
      <w:r w:rsidR="008C40A1" w:rsidRPr="008C40A1">
        <w:rPr>
          <w:rFonts w:cs="Verdana"/>
          <w:i/>
          <w:szCs w:val="20"/>
          <w:lang w:val="es-MX" w:eastAsia="en-US"/>
        </w:rPr>
        <w:t>caso Ruiz Fuentes</w:t>
      </w:r>
      <w:r w:rsidR="008C40A1">
        <w:rPr>
          <w:rFonts w:cs="Verdana"/>
          <w:szCs w:val="20"/>
          <w:lang w:val="es-MX" w:eastAsia="en-US"/>
        </w:rPr>
        <w:t xml:space="preserve"> </w:t>
      </w:r>
      <w:r w:rsidR="00310325" w:rsidRPr="008C40A1">
        <w:rPr>
          <w:rFonts w:cs="Verdana"/>
          <w:szCs w:val="20"/>
          <w:lang w:val="es-MX" w:eastAsia="en-US"/>
        </w:rPr>
        <w:t>”en atención a la situación de fuerza mayor expuesta</w:t>
      </w:r>
      <w:r w:rsidR="00310325">
        <w:rPr>
          <w:rFonts w:cs="Verdana"/>
          <w:szCs w:val="20"/>
          <w:lang w:val="es-MX" w:eastAsia="en-US"/>
        </w:rPr>
        <w:t xml:space="preserve"> […] </w:t>
      </w:r>
      <w:r w:rsidR="009B4243" w:rsidRPr="008C40A1">
        <w:rPr>
          <w:rFonts w:cs="Verdana"/>
          <w:szCs w:val="20"/>
          <w:lang w:val="es-MX" w:eastAsia="en-US"/>
        </w:rPr>
        <w:t xml:space="preserve">imposibilita </w:t>
      </w:r>
      <w:r w:rsidR="00310325">
        <w:rPr>
          <w:rFonts w:cs="Verdana"/>
          <w:szCs w:val="20"/>
          <w:lang w:val="es-MX" w:eastAsia="en-US"/>
        </w:rPr>
        <w:t xml:space="preserve">[al señor </w:t>
      </w:r>
      <w:proofErr w:type="spellStart"/>
      <w:r w:rsidR="00310325">
        <w:rPr>
          <w:rFonts w:cs="Verdana"/>
          <w:szCs w:val="20"/>
          <w:lang w:val="es-MX" w:eastAsia="en-US"/>
        </w:rPr>
        <w:t>Parvais</w:t>
      </w:r>
      <w:proofErr w:type="spellEnd"/>
      <w:r w:rsidR="00310325">
        <w:rPr>
          <w:rFonts w:cs="Verdana"/>
          <w:szCs w:val="20"/>
          <w:lang w:val="es-MX" w:eastAsia="en-US"/>
        </w:rPr>
        <w:t xml:space="preserve"> Jabbar] </w:t>
      </w:r>
      <w:r w:rsidR="009B4243" w:rsidRPr="008C40A1">
        <w:rPr>
          <w:rFonts w:cs="Verdana"/>
          <w:szCs w:val="20"/>
          <w:lang w:val="es-MX" w:eastAsia="en-US"/>
        </w:rPr>
        <w:t>rendir la prueba en audiencia en [este] caso” y solicitó, se disponga la modificación de la modalidad del peritaje, a fin de que pueda ser rec</w:t>
      </w:r>
      <w:r w:rsidR="00A829A4">
        <w:rPr>
          <w:rFonts w:cs="Verdana"/>
          <w:szCs w:val="20"/>
          <w:lang w:val="es-MX" w:eastAsia="en-US"/>
        </w:rPr>
        <w:t>ibido mediante afidá</w:t>
      </w:r>
      <w:r w:rsidR="009B4243" w:rsidRPr="008C40A1">
        <w:rPr>
          <w:rFonts w:cs="Verdana"/>
          <w:szCs w:val="20"/>
          <w:lang w:val="es-MX" w:eastAsia="en-US"/>
        </w:rPr>
        <w:t>vit y dentro de un plazo razonable con posteriorida</w:t>
      </w:r>
      <w:r w:rsidR="004535E6" w:rsidRPr="008C40A1">
        <w:rPr>
          <w:rFonts w:cs="Verdana"/>
          <w:szCs w:val="20"/>
          <w:lang w:val="es-MX" w:eastAsia="en-US"/>
        </w:rPr>
        <w:t>d a la audiencia pública. Específicamente solicitó</w:t>
      </w:r>
      <w:r w:rsidR="009B4243" w:rsidRPr="008C40A1">
        <w:rPr>
          <w:rFonts w:cs="Verdana"/>
          <w:szCs w:val="20"/>
          <w:lang w:val="es-MX" w:eastAsia="en-US"/>
        </w:rPr>
        <w:t xml:space="preserve"> a la [Corte] que el peritaje pueda ser presentado el 20 de m</w:t>
      </w:r>
      <w:r w:rsidR="008C40A1">
        <w:rPr>
          <w:rFonts w:cs="Verdana"/>
          <w:szCs w:val="20"/>
          <w:lang w:val="es-MX" w:eastAsia="en-US"/>
        </w:rPr>
        <w:t>arzo de 2019”;</w:t>
      </w:r>
    </w:p>
    <w:p w:rsidR="008C40A1" w:rsidRDefault="008C40A1" w:rsidP="008C40A1">
      <w:pPr>
        <w:pStyle w:val="Prrafodelista"/>
        <w:numPr>
          <w:ilvl w:val="0"/>
          <w:numId w:val="25"/>
        </w:numPr>
        <w:autoSpaceDE w:val="0"/>
        <w:autoSpaceDN w:val="0"/>
        <w:adjustRightInd w:val="0"/>
        <w:spacing w:after="0"/>
        <w:ind w:left="709" w:right="18" w:firstLine="0"/>
        <w:rPr>
          <w:rFonts w:cs="Verdana"/>
          <w:szCs w:val="20"/>
          <w:lang w:val="es-MX" w:eastAsia="en-US"/>
        </w:rPr>
      </w:pPr>
      <w:r>
        <w:rPr>
          <w:rFonts w:cs="Verdana"/>
          <w:szCs w:val="20"/>
          <w:lang w:val="es-MX" w:eastAsia="en-US"/>
        </w:rPr>
        <w:t xml:space="preserve">en los casos </w:t>
      </w:r>
      <w:r w:rsidRPr="00955EF7">
        <w:rPr>
          <w:rFonts w:cs="Verdana"/>
          <w:i/>
          <w:szCs w:val="20"/>
          <w:lang w:val="es-MX" w:eastAsia="en-US"/>
        </w:rPr>
        <w:t>Martínez Coronado</w:t>
      </w:r>
      <w:r>
        <w:rPr>
          <w:rFonts w:cs="Verdana"/>
          <w:szCs w:val="20"/>
          <w:lang w:val="es-MX" w:eastAsia="en-US"/>
        </w:rPr>
        <w:t xml:space="preserve">, y </w:t>
      </w:r>
      <w:r w:rsidRPr="00955EF7">
        <w:rPr>
          <w:rFonts w:cs="Verdana"/>
          <w:i/>
          <w:szCs w:val="20"/>
          <w:lang w:val="es-MX" w:eastAsia="en-US"/>
        </w:rPr>
        <w:t>Girón y otro</w:t>
      </w:r>
      <w:r>
        <w:rPr>
          <w:rFonts w:cs="Verdana"/>
          <w:i/>
          <w:szCs w:val="20"/>
          <w:lang w:val="es-MX" w:eastAsia="en-US"/>
        </w:rPr>
        <w:t xml:space="preserve">, </w:t>
      </w:r>
      <w:r w:rsidRPr="008C40A1">
        <w:rPr>
          <w:rFonts w:cs="Verdana"/>
          <w:szCs w:val="20"/>
          <w:lang w:val="es-MX" w:eastAsia="en-US"/>
        </w:rPr>
        <w:t>que por las mismas razones d</w:t>
      </w:r>
      <w:r w:rsidR="00C26285">
        <w:rPr>
          <w:rFonts w:cs="Verdana"/>
          <w:szCs w:val="20"/>
          <w:lang w:val="es-MX" w:eastAsia="en-US"/>
        </w:rPr>
        <w:t>e fuerza mayor, disponga una pró</w:t>
      </w:r>
      <w:r w:rsidRPr="008C40A1">
        <w:rPr>
          <w:rFonts w:cs="Verdana"/>
          <w:szCs w:val="20"/>
          <w:lang w:val="es-MX" w:eastAsia="en-US"/>
        </w:rPr>
        <w:t>rroga hasta el 20 de marzo de 2019 para la presentación del peritaje</w:t>
      </w:r>
      <w:r>
        <w:rPr>
          <w:rFonts w:cs="Verdana"/>
          <w:szCs w:val="20"/>
          <w:lang w:val="es-MX" w:eastAsia="en-US"/>
        </w:rPr>
        <w:t>, y</w:t>
      </w:r>
    </w:p>
    <w:p w:rsidR="008C40A1" w:rsidRPr="008C40A1" w:rsidRDefault="008C40A1" w:rsidP="008C40A1">
      <w:pPr>
        <w:pStyle w:val="Prrafodelista"/>
        <w:numPr>
          <w:ilvl w:val="0"/>
          <w:numId w:val="25"/>
        </w:numPr>
        <w:autoSpaceDE w:val="0"/>
        <w:autoSpaceDN w:val="0"/>
        <w:adjustRightInd w:val="0"/>
        <w:spacing w:after="0"/>
        <w:ind w:left="709" w:right="18" w:firstLine="0"/>
        <w:rPr>
          <w:rFonts w:cs="Verdana"/>
          <w:szCs w:val="20"/>
          <w:lang w:val="es-MX" w:eastAsia="en-US"/>
        </w:rPr>
      </w:pPr>
      <w:r w:rsidRPr="00310325">
        <w:rPr>
          <w:rFonts w:cs="Verdana"/>
          <w:szCs w:val="20"/>
          <w:lang w:val="es-MX" w:eastAsia="en-US"/>
        </w:rPr>
        <w:t>en los casos</w:t>
      </w:r>
      <w:r>
        <w:rPr>
          <w:rFonts w:cs="Verdana"/>
          <w:i/>
          <w:szCs w:val="20"/>
          <w:lang w:val="es-MX" w:eastAsia="en-US"/>
        </w:rPr>
        <w:t xml:space="preserve"> </w:t>
      </w:r>
      <w:r w:rsidR="00C26285">
        <w:rPr>
          <w:rFonts w:cs="Verdana"/>
          <w:i/>
          <w:szCs w:val="20"/>
          <w:lang w:val="es-MX" w:eastAsia="en-US"/>
        </w:rPr>
        <w:t>Valenzuela Ávila</w:t>
      </w:r>
      <w:r w:rsidR="00310325">
        <w:rPr>
          <w:rFonts w:cs="Verdana"/>
          <w:i/>
          <w:szCs w:val="20"/>
          <w:lang w:val="es-MX" w:eastAsia="en-US"/>
        </w:rPr>
        <w:t>,</w:t>
      </w:r>
      <w:r w:rsidRPr="002F6E57">
        <w:rPr>
          <w:rFonts w:cs="Verdana"/>
          <w:i/>
          <w:szCs w:val="20"/>
          <w:lang w:val="es-MX" w:eastAsia="en-US"/>
        </w:rPr>
        <w:t xml:space="preserve"> </w:t>
      </w:r>
      <w:r>
        <w:rPr>
          <w:rFonts w:cs="Verdana"/>
          <w:szCs w:val="20"/>
          <w:lang w:val="es-MX" w:eastAsia="en-US"/>
        </w:rPr>
        <w:t xml:space="preserve">y </w:t>
      </w:r>
      <w:r w:rsidRPr="002F6E57">
        <w:rPr>
          <w:rFonts w:cs="Verdana"/>
          <w:i/>
          <w:szCs w:val="20"/>
          <w:lang w:val="es-MX" w:eastAsia="en-US"/>
        </w:rPr>
        <w:t>Rodríguez Revolorio y otros</w:t>
      </w:r>
      <w:r>
        <w:rPr>
          <w:rFonts w:cs="Verdana"/>
          <w:i/>
          <w:szCs w:val="20"/>
          <w:lang w:val="es-MX" w:eastAsia="en-US"/>
        </w:rPr>
        <w:t xml:space="preserve">, </w:t>
      </w:r>
      <w:r>
        <w:rPr>
          <w:rFonts w:cs="Verdana"/>
          <w:szCs w:val="20"/>
          <w:lang w:val="es-MX" w:eastAsia="en-US"/>
        </w:rPr>
        <w:t xml:space="preserve">que </w:t>
      </w:r>
      <w:r w:rsidRPr="008C40A1">
        <w:rPr>
          <w:rFonts w:cs="Verdana"/>
          <w:szCs w:val="20"/>
          <w:lang w:val="es-MX" w:eastAsia="en-US"/>
        </w:rPr>
        <w:t>se disponga su traslado con se previó en la resoluciones correspondientes.</w:t>
      </w:r>
    </w:p>
    <w:p w:rsidR="00072BB0" w:rsidRDefault="00072BB0" w:rsidP="00072BB0">
      <w:pPr>
        <w:pStyle w:val="Prrafodelista"/>
        <w:spacing w:after="0"/>
        <w:rPr>
          <w:rFonts w:cs="Verdana"/>
          <w:szCs w:val="20"/>
          <w:lang w:val="es-MX" w:eastAsia="en-US"/>
        </w:rPr>
      </w:pPr>
    </w:p>
    <w:p w:rsidR="00C11155" w:rsidRPr="006941D8" w:rsidRDefault="00C26285" w:rsidP="00072BB0">
      <w:pPr>
        <w:numPr>
          <w:ilvl w:val="0"/>
          <w:numId w:val="24"/>
        </w:numPr>
        <w:autoSpaceDE w:val="0"/>
        <w:autoSpaceDN w:val="0"/>
        <w:adjustRightInd w:val="0"/>
        <w:spacing w:after="0"/>
        <w:ind w:left="0" w:right="18" w:firstLine="0"/>
        <w:rPr>
          <w:rFonts w:cs="Verdana"/>
          <w:szCs w:val="20"/>
          <w:lang w:val="es-MX" w:eastAsia="en-US"/>
        </w:rPr>
      </w:pPr>
      <w:r>
        <w:rPr>
          <w:rFonts w:cs="Verdana"/>
          <w:bCs/>
          <w:szCs w:val="20"/>
          <w:lang w:val="es-CR" w:eastAsia="en-US"/>
        </w:rPr>
        <w:t xml:space="preserve">En primer término, </w:t>
      </w:r>
      <w:r w:rsidR="006A0CD3">
        <w:rPr>
          <w:rFonts w:cs="Verdana"/>
          <w:bCs/>
          <w:szCs w:val="20"/>
          <w:lang w:val="es-CR" w:eastAsia="en-US"/>
        </w:rPr>
        <w:t xml:space="preserve">el Presidente </w:t>
      </w:r>
      <w:r w:rsidR="00C11155" w:rsidRPr="00072BB0">
        <w:rPr>
          <w:rFonts w:cs="Verdana"/>
          <w:bCs/>
          <w:szCs w:val="20"/>
          <w:lang w:val="es-CR" w:eastAsia="en-US"/>
        </w:rPr>
        <w:t xml:space="preserve">advierte que la información presentada por </w:t>
      </w:r>
      <w:r w:rsidR="00EA3127" w:rsidRPr="00072BB0">
        <w:rPr>
          <w:rFonts w:cs="Verdana"/>
          <w:bCs/>
          <w:szCs w:val="20"/>
          <w:lang w:val="es-CR" w:eastAsia="en-US"/>
        </w:rPr>
        <w:t xml:space="preserve">la Comisión </w:t>
      </w:r>
      <w:r w:rsidR="00C11155" w:rsidRPr="00072BB0">
        <w:rPr>
          <w:rFonts w:cs="Verdana"/>
          <w:bCs/>
          <w:szCs w:val="20"/>
          <w:lang w:val="es-CR" w:eastAsia="en-US"/>
        </w:rPr>
        <w:t xml:space="preserve">denota una situación de </w:t>
      </w:r>
      <w:r w:rsidR="00EA3127" w:rsidRPr="00072BB0">
        <w:rPr>
          <w:rFonts w:cs="Verdana"/>
          <w:bCs/>
          <w:szCs w:val="20"/>
          <w:lang w:val="es-CR" w:eastAsia="en-US"/>
        </w:rPr>
        <w:t>fuerza mayor que imposibilita al señor</w:t>
      </w:r>
      <w:r w:rsidR="00C11155" w:rsidRPr="00072BB0">
        <w:rPr>
          <w:rFonts w:cs="Verdana"/>
          <w:bCs/>
          <w:szCs w:val="20"/>
          <w:lang w:val="es-CR" w:eastAsia="en-US"/>
        </w:rPr>
        <w:t xml:space="preserve"> </w:t>
      </w:r>
      <w:r w:rsidR="00EA3127" w:rsidRPr="00072BB0">
        <w:rPr>
          <w:rFonts w:cs="Verdana"/>
          <w:szCs w:val="20"/>
          <w:lang w:val="es-MX" w:eastAsia="en-US"/>
        </w:rPr>
        <w:t xml:space="preserve">perito </w:t>
      </w:r>
      <w:proofErr w:type="spellStart"/>
      <w:r w:rsidR="00EA3127" w:rsidRPr="00072BB0">
        <w:rPr>
          <w:rFonts w:cs="Verdana"/>
          <w:szCs w:val="20"/>
          <w:lang w:val="es-MX" w:eastAsia="en-US"/>
        </w:rPr>
        <w:t>Parvais</w:t>
      </w:r>
      <w:proofErr w:type="spellEnd"/>
      <w:r w:rsidR="00EA3127" w:rsidRPr="00072BB0">
        <w:rPr>
          <w:rFonts w:cs="Verdana"/>
          <w:szCs w:val="20"/>
          <w:lang w:val="es-MX" w:eastAsia="en-US"/>
        </w:rPr>
        <w:t xml:space="preserve"> Jabbar </w:t>
      </w:r>
      <w:r w:rsidR="00C11155" w:rsidRPr="00072BB0">
        <w:rPr>
          <w:rFonts w:cs="Verdana"/>
          <w:bCs/>
          <w:szCs w:val="20"/>
          <w:lang w:val="es-CR" w:eastAsia="en-US"/>
        </w:rPr>
        <w:t>para comparecer en la audiencia, por lo que corresponde atender a lo sol</w:t>
      </w:r>
      <w:r w:rsidR="00EA3127" w:rsidRPr="00072BB0">
        <w:rPr>
          <w:rFonts w:cs="Verdana"/>
          <w:bCs/>
          <w:szCs w:val="20"/>
          <w:lang w:val="es-CR" w:eastAsia="en-US"/>
        </w:rPr>
        <w:t xml:space="preserve">icitado. En consecuencia, </w:t>
      </w:r>
      <w:r w:rsidR="00310325">
        <w:rPr>
          <w:rFonts w:cs="Verdana"/>
          <w:bCs/>
          <w:szCs w:val="20"/>
          <w:lang w:val="es-CR" w:eastAsia="en-US"/>
        </w:rPr>
        <w:t xml:space="preserve">en lo que se refiere a la solicitud específicamente para el  caso </w:t>
      </w:r>
      <w:r w:rsidR="00310325" w:rsidRPr="006941D8">
        <w:rPr>
          <w:rFonts w:cs="Verdana"/>
          <w:bCs/>
          <w:i/>
          <w:szCs w:val="20"/>
          <w:lang w:val="es-CR" w:eastAsia="en-US"/>
        </w:rPr>
        <w:t>Ruiz Fuentes Vs. Guatemala</w:t>
      </w:r>
      <w:r w:rsidR="00310325">
        <w:rPr>
          <w:rFonts w:cs="Verdana"/>
          <w:bCs/>
          <w:i/>
          <w:szCs w:val="20"/>
          <w:lang w:val="es-CR" w:eastAsia="en-US"/>
        </w:rPr>
        <w:t>,</w:t>
      </w:r>
      <w:r w:rsidR="00310325" w:rsidRPr="00072BB0">
        <w:rPr>
          <w:rFonts w:cs="Verdana"/>
          <w:bCs/>
          <w:szCs w:val="20"/>
          <w:lang w:val="es-CR" w:eastAsia="en-US"/>
        </w:rPr>
        <w:t xml:space="preserve"> </w:t>
      </w:r>
      <w:r w:rsidR="00310325">
        <w:rPr>
          <w:rFonts w:cs="Verdana"/>
          <w:bCs/>
          <w:szCs w:val="20"/>
          <w:lang w:val="es-CR" w:eastAsia="en-US"/>
        </w:rPr>
        <w:t>e</w:t>
      </w:r>
      <w:r w:rsidR="00EA3127" w:rsidRPr="00072BB0">
        <w:rPr>
          <w:rFonts w:cs="Verdana"/>
          <w:bCs/>
          <w:szCs w:val="20"/>
          <w:lang w:val="es-CR" w:eastAsia="en-US"/>
        </w:rPr>
        <w:t xml:space="preserve">l señor </w:t>
      </w:r>
      <w:proofErr w:type="spellStart"/>
      <w:r w:rsidR="00EA3127" w:rsidRPr="00072BB0">
        <w:rPr>
          <w:rFonts w:cs="Verdana"/>
          <w:szCs w:val="20"/>
          <w:lang w:val="es-MX" w:eastAsia="en-US"/>
        </w:rPr>
        <w:t>Parvais</w:t>
      </w:r>
      <w:proofErr w:type="spellEnd"/>
      <w:r w:rsidR="00EA3127" w:rsidRPr="00072BB0">
        <w:rPr>
          <w:rFonts w:cs="Verdana"/>
          <w:szCs w:val="20"/>
          <w:lang w:val="es-MX" w:eastAsia="en-US"/>
        </w:rPr>
        <w:t xml:space="preserve"> Jabbar </w:t>
      </w:r>
      <w:r w:rsidR="006941D8">
        <w:rPr>
          <w:rFonts w:cs="Verdana"/>
          <w:bCs/>
          <w:szCs w:val="20"/>
          <w:lang w:val="es-CR" w:eastAsia="en-US"/>
        </w:rPr>
        <w:t>prestará su declaración por af</w:t>
      </w:r>
      <w:r w:rsidR="00C11155" w:rsidRPr="00072BB0">
        <w:rPr>
          <w:rFonts w:cs="Verdana"/>
          <w:bCs/>
          <w:szCs w:val="20"/>
          <w:lang w:val="es-CR" w:eastAsia="en-US"/>
        </w:rPr>
        <w:t>idávit, de conformidad a lo dispuesto en la parte resol</w:t>
      </w:r>
      <w:r w:rsidR="006941D8">
        <w:rPr>
          <w:rFonts w:cs="Verdana"/>
          <w:bCs/>
          <w:szCs w:val="20"/>
          <w:lang w:val="es-CR" w:eastAsia="en-US"/>
        </w:rPr>
        <w:t>utiva de la presente Resolución.</w:t>
      </w:r>
      <w:r w:rsidR="00C11155" w:rsidRPr="00072BB0">
        <w:rPr>
          <w:rFonts w:cs="Verdana"/>
          <w:bCs/>
          <w:szCs w:val="20"/>
          <w:lang w:val="es-CR" w:eastAsia="en-US"/>
        </w:rPr>
        <w:t xml:space="preserve"> </w:t>
      </w:r>
    </w:p>
    <w:p w:rsidR="006941D8" w:rsidRDefault="006941D8" w:rsidP="006941D8">
      <w:pPr>
        <w:pStyle w:val="Prrafodelista"/>
        <w:spacing w:after="0"/>
        <w:rPr>
          <w:rFonts w:cs="Verdana"/>
          <w:szCs w:val="20"/>
          <w:lang w:val="es-MX" w:eastAsia="en-US"/>
        </w:rPr>
      </w:pPr>
    </w:p>
    <w:p w:rsidR="006941D8" w:rsidRDefault="006941D8" w:rsidP="0068159B">
      <w:pPr>
        <w:numPr>
          <w:ilvl w:val="0"/>
          <w:numId w:val="24"/>
        </w:numPr>
        <w:autoSpaceDE w:val="0"/>
        <w:autoSpaceDN w:val="0"/>
        <w:adjustRightInd w:val="0"/>
        <w:spacing w:after="0"/>
        <w:ind w:left="0" w:right="18" w:firstLine="0"/>
        <w:rPr>
          <w:rFonts w:cs="Verdana"/>
          <w:szCs w:val="20"/>
          <w:lang w:val="es-MX" w:eastAsia="en-US"/>
        </w:rPr>
      </w:pPr>
      <w:r>
        <w:rPr>
          <w:rFonts w:cs="Verdana"/>
          <w:szCs w:val="20"/>
          <w:lang w:val="es-MX" w:eastAsia="en-US"/>
        </w:rPr>
        <w:t xml:space="preserve">En </w:t>
      </w:r>
      <w:r w:rsidR="00C26285">
        <w:rPr>
          <w:rFonts w:cs="Verdana"/>
          <w:szCs w:val="20"/>
          <w:lang w:val="es-MX" w:eastAsia="en-US"/>
        </w:rPr>
        <w:t>segundo lugar</w:t>
      </w:r>
      <w:r w:rsidR="00310325">
        <w:rPr>
          <w:rFonts w:cs="Verdana"/>
          <w:szCs w:val="20"/>
          <w:lang w:val="es-MX" w:eastAsia="en-US"/>
        </w:rPr>
        <w:t>,</w:t>
      </w:r>
      <w:r w:rsidR="00C26285">
        <w:rPr>
          <w:rFonts w:cs="Verdana"/>
          <w:szCs w:val="20"/>
          <w:lang w:val="es-MX" w:eastAsia="en-US"/>
        </w:rPr>
        <w:t xml:space="preserve"> en lo que se refiere </w:t>
      </w:r>
      <w:r>
        <w:rPr>
          <w:rFonts w:cs="Verdana"/>
          <w:szCs w:val="20"/>
          <w:lang w:val="es-MX" w:eastAsia="en-US"/>
        </w:rPr>
        <w:t xml:space="preserve">a los casos </w:t>
      </w:r>
      <w:r w:rsidRPr="00955EF7">
        <w:rPr>
          <w:rFonts w:cs="Verdana"/>
          <w:i/>
          <w:szCs w:val="20"/>
          <w:lang w:val="es-MX" w:eastAsia="en-US"/>
        </w:rPr>
        <w:t>Martínez Coronado</w:t>
      </w:r>
      <w:r>
        <w:rPr>
          <w:rFonts w:cs="Verdana"/>
          <w:szCs w:val="20"/>
          <w:lang w:val="es-MX" w:eastAsia="en-US"/>
        </w:rPr>
        <w:t xml:space="preserve">, y </w:t>
      </w:r>
      <w:r w:rsidRPr="00955EF7">
        <w:rPr>
          <w:rFonts w:cs="Verdana"/>
          <w:i/>
          <w:szCs w:val="20"/>
          <w:lang w:val="es-MX" w:eastAsia="en-US"/>
        </w:rPr>
        <w:t>Girón y otro</w:t>
      </w:r>
      <w:r>
        <w:rPr>
          <w:rFonts w:cs="Verdana"/>
          <w:i/>
          <w:szCs w:val="20"/>
          <w:lang w:val="es-MX" w:eastAsia="en-US"/>
        </w:rPr>
        <w:t>,</w:t>
      </w:r>
      <w:r w:rsidR="002F6E57">
        <w:rPr>
          <w:rFonts w:cs="Verdana"/>
          <w:i/>
          <w:szCs w:val="20"/>
          <w:lang w:val="es-MX" w:eastAsia="en-US"/>
        </w:rPr>
        <w:t xml:space="preserve"> </w:t>
      </w:r>
      <w:r w:rsidR="006A0CD3">
        <w:rPr>
          <w:rFonts w:cs="Verdana"/>
          <w:szCs w:val="20"/>
          <w:lang w:val="es-MX" w:eastAsia="en-US"/>
        </w:rPr>
        <w:t>el Presidente</w:t>
      </w:r>
      <w:r w:rsidR="002F6E57" w:rsidRPr="002F6E57">
        <w:rPr>
          <w:rFonts w:cs="Verdana"/>
          <w:szCs w:val="20"/>
          <w:lang w:val="es-MX" w:eastAsia="en-US"/>
        </w:rPr>
        <w:t xml:space="preserve"> </w:t>
      </w:r>
      <w:r w:rsidR="002F6E57">
        <w:rPr>
          <w:rFonts w:cs="Verdana"/>
          <w:szCs w:val="20"/>
          <w:lang w:val="es-MX" w:eastAsia="en-US"/>
        </w:rPr>
        <w:t>entiende que</w:t>
      </w:r>
      <w:r w:rsidRPr="002F6E57">
        <w:rPr>
          <w:rFonts w:cs="Verdana"/>
          <w:szCs w:val="20"/>
          <w:lang w:val="es-MX" w:eastAsia="en-US"/>
        </w:rPr>
        <w:t xml:space="preserve"> </w:t>
      </w:r>
      <w:r w:rsidR="002F6E57" w:rsidRPr="002F6E57">
        <w:rPr>
          <w:rFonts w:cs="Verdana"/>
          <w:szCs w:val="20"/>
          <w:lang w:val="es-MX" w:eastAsia="en-US"/>
        </w:rPr>
        <w:t xml:space="preserve">se </w:t>
      </w:r>
      <w:r>
        <w:rPr>
          <w:rFonts w:cs="Verdana"/>
          <w:szCs w:val="20"/>
          <w:lang w:val="es-MX" w:eastAsia="en-US"/>
        </w:rPr>
        <w:t>mantiene la modalidad de la declaración</w:t>
      </w:r>
      <w:r w:rsidR="002F6E57">
        <w:rPr>
          <w:rFonts w:cs="Verdana"/>
          <w:szCs w:val="20"/>
          <w:lang w:val="es-MX" w:eastAsia="en-US"/>
        </w:rPr>
        <w:t>,</w:t>
      </w:r>
      <w:r>
        <w:rPr>
          <w:rFonts w:cs="Verdana"/>
          <w:szCs w:val="20"/>
          <w:lang w:val="es-MX" w:eastAsia="en-US"/>
        </w:rPr>
        <w:t xml:space="preserve"> en tanto que</w:t>
      </w:r>
      <w:r w:rsidR="00C26285" w:rsidRPr="00C26285">
        <w:rPr>
          <w:rFonts w:cs="Verdana"/>
          <w:szCs w:val="20"/>
          <w:lang w:val="es-MX" w:eastAsia="en-US"/>
        </w:rPr>
        <w:t xml:space="preserve"> </w:t>
      </w:r>
      <w:r w:rsidR="00C26285">
        <w:rPr>
          <w:rFonts w:cs="Verdana"/>
          <w:szCs w:val="20"/>
          <w:lang w:val="es-MX" w:eastAsia="en-US"/>
        </w:rPr>
        <w:t>ordenó su presentación a través de afidávit</w:t>
      </w:r>
      <w:r w:rsidR="002F6E57">
        <w:rPr>
          <w:rFonts w:cs="Verdana"/>
          <w:szCs w:val="20"/>
          <w:lang w:val="es-MX" w:eastAsia="en-US"/>
        </w:rPr>
        <w:t>,</w:t>
      </w:r>
      <w:r w:rsidR="00C26285">
        <w:rPr>
          <w:rFonts w:cs="Verdana"/>
          <w:szCs w:val="20"/>
          <w:lang w:val="es-MX" w:eastAsia="en-US"/>
        </w:rPr>
        <w:t xml:space="preserve"> de conformidad con</w:t>
      </w:r>
      <w:r>
        <w:rPr>
          <w:rFonts w:cs="Verdana"/>
          <w:szCs w:val="20"/>
          <w:lang w:val="es-MX" w:eastAsia="en-US"/>
        </w:rPr>
        <w:t xml:space="preserve"> </w:t>
      </w:r>
      <w:r w:rsidR="007F0D2A">
        <w:rPr>
          <w:rFonts w:cs="Verdana"/>
          <w:szCs w:val="20"/>
          <w:lang w:val="es-MX" w:eastAsia="en-US"/>
        </w:rPr>
        <w:t>el</w:t>
      </w:r>
      <w:r>
        <w:rPr>
          <w:rFonts w:cs="Verdana"/>
          <w:szCs w:val="20"/>
          <w:lang w:val="es-MX" w:eastAsia="en-US"/>
        </w:rPr>
        <w:t xml:space="preserve"> punto resol</w:t>
      </w:r>
      <w:r w:rsidR="00C26285">
        <w:rPr>
          <w:rFonts w:cs="Verdana"/>
          <w:szCs w:val="20"/>
          <w:lang w:val="es-MX" w:eastAsia="en-US"/>
        </w:rPr>
        <w:t>utivo</w:t>
      </w:r>
      <w:r w:rsidR="007F0D2A">
        <w:rPr>
          <w:rFonts w:cs="Verdana"/>
          <w:szCs w:val="20"/>
          <w:lang w:val="es-MX" w:eastAsia="en-US"/>
        </w:rPr>
        <w:t xml:space="preserve"> 1 de</w:t>
      </w:r>
      <w:r w:rsidR="00A829A4">
        <w:rPr>
          <w:rFonts w:cs="Verdana"/>
          <w:szCs w:val="20"/>
          <w:lang w:val="es-MX" w:eastAsia="en-US"/>
        </w:rPr>
        <w:t xml:space="preserve"> </w:t>
      </w:r>
      <w:r w:rsidR="007F0D2A">
        <w:rPr>
          <w:rFonts w:cs="Verdana"/>
          <w:szCs w:val="20"/>
          <w:lang w:val="es-MX" w:eastAsia="en-US"/>
        </w:rPr>
        <w:t xml:space="preserve">3 </w:t>
      </w:r>
      <w:r w:rsidR="00A829A4">
        <w:rPr>
          <w:rFonts w:cs="Verdana"/>
          <w:szCs w:val="20"/>
          <w:lang w:val="es-MX" w:eastAsia="en-US"/>
        </w:rPr>
        <w:t xml:space="preserve">y 5 </w:t>
      </w:r>
      <w:r w:rsidR="007F0D2A">
        <w:rPr>
          <w:rFonts w:cs="Verdana"/>
          <w:szCs w:val="20"/>
          <w:lang w:val="es-MX" w:eastAsia="en-US"/>
        </w:rPr>
        <w:t>cada Resolución.</w:t>
      </w:r>
    </w:p>
    <w:p w:rsidR="002F6E57" w:rsidRDefault="002F6E57" w:rsidP="0068159B">
      <w:pPr>
        <w:pStyle w:val="Prrafodelista"/>
        <w:spacing w:after="0"/>
        <w:rPr>
          <w:rFonts w:cs="Verdana"/>
          <w:szCs w:val="20"/>
          <w:lang w:val="es-MX" w:eastAsia="en-US"/>
        </w:rPr>
      </w:pPr>
    </w:p>
    <w:p w:rsidR="002F6E57" w:rsidRDefault="002F6E57" w:rsidP="0068159B">
      <w:pPr>
        <w:numPr>
          <w:ilvl w:val="0"/>
          <w:numId w:val="24"/>
        </w:numPr>
        <w:autoSpaceDE w:val="0"/>
        <w:autoSpaceDN w:val="0"/>
        <w:adjustRightInd w:val="0"/>
        <w:spacing w:after="0"/>
        <w:ind w:left="0" w:right="18" w:firstLine="0"/>
        <w:rPr>
          <w:rFonts w:cs="Verdana"/>
          <w:szCs w:val="20"/>
          <w:lang w:val="es-MX" w:eastAsia="en-US"/>
        </w:rPr>
      </w:pPr>
      <w:r>
        <w:rPr>
          <w:rFonts w:cs="Verdana"/>
          <w:szCs w:val="20"/>
          <w:lang w:val="es-MX" w:eastAsia="en-US"/>
        </w:rPr>
        <w:t>En</w:t>
      </w:r>
      <w:r w:rsidR="00C26285">
        <w:rPr>
          <w:rFonts w:cs="Verdana"/>
          <w:szCs w:val="20"/>
          <w:lang w:val="es-MX" w:eastAsia="en-US"/>
        </w:rPr>
        <w:t xml:space="preserve"> tercer lugar, en</w:t>
      </w:r>
      <w:r>
        <w:rPr>
          <w:rFonts w:cs="Verdana"/>
          <w:szCs w:val="20"/>
          <w:lang w:val="es-MX" w:eastAsia="en-US"/>
        </w:rPr>
        <w:t xml:space="preserve"> cuanto a los casos </w:t>
      </w:r>
      <w:r w:rsidR="00C26285">
        <w:rPr>
          <w:rFonts w:cs="Verdana"/>
          <w:i/>
          <w:szCs w:val="20"/>
          <w:lang w:val="es-MX" w:eastAsia="en-US"/>
        </w:rPr>
        <w:t>Valenzuela Ávila</w:t>
      </w:r>
      <w:r w:rsidRPr="002F6E57">
        <w:rPr>
          <w:rFonts w:cs="Verdana"/>
          <w:i/>
          <w:szCs w:val="20"/>
          <w:lang w:val="es-MX" w:eastAsia="en-US"/>
        </w:rPr>
        <w:t xml:space="preserve"> </w:t>
      </w:r>
      <w:r>
        <w:rPr>
          <w:rFonts w:cs="Verdana"/>
          <w:szCs w:val="20"/>
          <w:lang w:val="es-MX" w:eastAsia="en-US"/>
        </w:rPr>
        <w:t xml:space="preserve">y </w:t>
      </w:r>
      <w:r w:rsidRPr="002F6E57">
        <w:rPr>
          <w:rFonts w:cs="Verdana"/>
          <w:i/>
          <w:szCs w:val="20"/>
          <w:lang w:val="es-MX" w:eastAsia="en-US"/>
        </w:rPr>
        <w:t>Rodríguez Revolorio y otros</w:t>
      </w:r>
      <w:r>
        <w:rPr>
          <w:rFonts w:cs="Verdana"/>
          <w:i/>
          <w:szCs w:val="20"/>
          <w:lang w:val="es-MX" w:eastAsia="en-US"/>
        </w:rPr>
        <w:t xml:space="preserve">, </w:t>
      </w:r>
      <w:r w:rsidR="006A0CD3">
        <w:rPr>
          <w:rFonts w:cs="Verdana"/>
          <w:szCs w:val="20"/>
          <w:lang w:val="es-MX" w:eastAsia="en-US"/>
        </w:rPr>
        <w:t xml:space="preserve">el </w:t>
      </w:r>
      <w:proofErr w:type="gramStart"/>
      <w:r w:rsidR="006A0CD3">
        <w:rPr>
          <w:rFonts w:cs="Verdana"/>
          <w:szCs w:val="20"/>
          <w:lang w:val="es-MX" w:eastAsia="en-US"/>
        </w:rPr>
        <w:t>Presidente</w:t>
      </w:r>
      <w:proofErr w:type="gramEnd"/>
      <w:r w:rsidR="006A0CD3">
        <w:rPr>
          <w:rFonts w:cs="Verdana"/>
          <w:szCs w:val="20"/>
          <w:lang w:val="es-MX" w:eastAsia="en-US"/>
        </w:rPr>
        <w:t xml:space="preserve"> </w:t>
      </w:r>
      <w:r>
        <w:rPr>
          <w:rFonts w:cs="Verdana"/>
          <w:szCs w:val="20"/>
          <w:lang w:val="es-MX" w:eastAsia="en-US"/>
        </w:rPr>
        <w:t xml:space="preserve">reitera </w:t>
      </w:r>
      <w:r w:rsidR="00C26285">
        <w:rPr>
          <w:rFonts w:cs="Verdana"/>
          <w:szCs w:val="20"/>
          <w:lang w:val="es-MX" w:eastAsia="en-US"/>
        </w:rPr>
        <w:t xml:space="preserve">los </w:t>
      </w:r>
      <w:r w:rsidR="00310325">
        <w:rPr>
          <w:rFonts w:cs="Verdana"/>
          <w:szCs w:val="20"/>
          <w:lang w:val="es-MX" w:eastAsia="en-US"/>
        </w:rPr>
        <w:t xml:space="preserve">resuelto </w:t>
      </w:r>
      <w:r w:rsidR="00C26285">
        <w:rPr>
          <w:rFonts w:cs="Verdana"/>
          <w:szCs w:val="20"/>
          <w:lang w:val="es-MX" w:eastAsia="en-US"/>
        </w:rPr>
        <w:t xml:space="preserve">en los </w:t>
      </w:r>
      <w:r w:rsidR="000E7940">
        <w:rPr>
          <w:rFonts w:cs="Verdana"/>
          <w:szCs w:val="20"/>
          <w:lang w:val="es-MX" w:eastAsia="en-US"/>
        </w:rPr>
        <w:t>considerandos 28</w:t>
      </w:r>
      <w:r w:rsidR="00A829A4">
        <w:rPr>
          <w:rFonts w:cs="Verdana"/>
          <w:szCs w:val="20"/>
          <w:lang w:val="es-MX" w:eastAsia="en-US"/>
        </w:rPr>
        <w:t>,</w:t>
      </w:r>
      <w:r w:rsidR="000E7940">
        <w:rPr>
          <w:rFonts w:cs="Verdana"/>
          <w:szCs w:val="20"/>
          <w:lang w:val="es-MX" w:eastAsia="en-US"/>
        </w:rPr>
        <w:t xml:space="preserve"> y 24 a 25</w:t>
      </w:r>
      <w:r w:rsidR="00A829A4">
        <w:rPr>
          <w:rFonts w:cs="Verdana"/>
          <w:szCs w:val="20"/>
          <w:lang w:val="es-MX" w:eastAsia="en-US"/>
        </w:rPr>
        <w:t>,</w:t>
      </w:r>
      <w:r w:rsidR="000E7940">
        <w:rPr>
          <w:rFonts w:cs="Verdana"/>
          <w:szCs w:val="20"/>
          <w:lang w:val="es-MX" w:eastAsia="en-US"/>
        </w:rPr>
        <w:t xml:space="preserve"> </w:t>
      </w:r>
      <w:r w:rsidR="00C26285">
        <w:rPr>
          <w:rFonts w:cs="Verdana"/>
          <w:szCs w:val="20"/>
          <w:lang w:val="es-MX" w:eastAsia="en-US"/>
        </w:rPr>
        <w:t>respectivamente,</w:t>
      </w:r>
      <w:r w:rsidR="00310325">
        <w:rPr>
          <w:rFonts w:cs="Verdana"/>
          <w:szCs w:val="20"/>
          <w:lang w:val="es-MX" w:eastAsia="en-US"/>
        </w:rPr>
        <w:t xml:space="preserve"> de las resoluciones correspondientes,</w:t>
      </w:r>
      <w:r w:rsidR="00C26285">
        <w:rPr>
          <w:rFonts w:cs="Verdana"/>
          <w:szCs w:val="20"/>
          <w:lang w:val="es-MX" w:eastAsia="en-US"/>
        </w:rPr>
        <w:t xml:space="preserve"> de </w:t>
      </w:r>
      <w:r w:rsidR="00310325">
        <w:rPr>
          <w:rFonts w:cs="Verdana"/>
          <w:szCs w:val="20"/>
          <w:lang w:val="es-MX" w:eastAsia="en-US"/>
        </w:rPr>
        <w:t>que una vez rendido</w:t>
      </w:r>
      <w:r>
        <w:rPr>
          <w:rFonts w:cs="Verdana"/>
          <w:szCs w:val="20"/>
          <w:lang w:val="es-MX" w:eastAsia="en-US"/>
        </w:rPr>
        <w:t xml:space="preserve"> el peritaje del señor </w:t>
      </w:r>
      <w:proofErr w:type="spellStart"/>
      <w:r w:rsidRPr="009B4243">
        <w:rPr>
          <w:rFonts w:cs="Verdana"/>
          <w:szCs w:val="20"/>
          <w:lang w:val="es-MX" w:eastAsia="en-US"/>
        </w:rPr>
        <w:t>Parvais</w:t>
      </w:r>
      <w:proofErr w:type="spellEnd"/>
      <w:r w:rsidRPr="009B4243">
        <w:rPr>
          <w:rFonts w:cs="Verdana"/>
          <w:szCs w:val="20"/>
          <w:lang w:val="es-MX" w:eastAsia="en-US"/>
        </w:rPr>
        <w:t xml:space="preserve"> Jabbar</w:t>
      </w:r>
      <w:r>
        <w:rPr>
          <w:rFonts w:cs="Verdana"/>
          <w:szCs w:val="20"/>
          <w:lang w:val="es-MX" w:eastAsia="en-US"/>
        </w:rPr>
        <w:t xml:space="preserve"> </w:t>
      </w:r>
      <w:r w:rsidR="00310325">
        <w:rPr>
          <w:rFonts w:cs="Verdana"/>
          <w:szCs w:val="20"/>
          <w:lang w:val="es-MX" w:eastAsia="en-US"/>
        </w:rPr>
        <w:t xml:space="preserve">será </w:t>
      </w:r>
      <w:r>
        <w:rPr>
          <w:rFonts w:cs="Verdana"/>
          <w:szCs w:val="20"/>
          <w:lang w:val="es-MX" w:eastAsia="en-US"/>
        </w:rPr>
        <w:t>trasladado a dichos casos.</w:t>
      </w:r>
    </w:p>
    <w:p w:rsidR="00C26285" w:rsidRPr="00C26285" w:rsidRDefault="00C26285" w:rsidP="00C26285">
      <w:pPr>
        <w:spacing w:after="0"/>
        <w:rPr>
          <w:rFonts w:cs="Verdana"/>
          <w:szCs w:val="20"/>
          <w:lang w:val="es-MX" w:eastAsia="en-US"/>
        </w:rPr>
      </w:pPr>
    </w:p>
    <w:p w:rsidR="00C95008" w:rsidRDefault="00C95008" w:rsidP="00C95008">
      <w:pPr>
        <w:numPr>
          <w:ilvl w:val="0"/>
          <w:numId w:val="24"/>
        </w:numPr>
        <w:autoSpaceDE w:val="0"/>
        <w:autoSpaceDN w:val="0"/>
        <w:adjustRightInd w:val="0"/>
        <w:spacing w:after="0"/>
        <w:ind w:left="0" w:right="18" w:firstLine="0"/>
        <w:rPr>
          <w:rFonts w:cs="Verdana"/>
          <w:szCs w:val="20"/>
          <w:lang w:val="es-MX" w:eastAsia="en-US"/>
        </w:rPr>
      </w:pPr>
      <w:r>
        <w:rPr>
          <w:rFonts w:cs="Verdana"/>
          <w:szCs w:val="20"/>
          <w:lang w:val="es-MX" w:eastAsia="en-US"/>
        </w:rPr>
        <w:t>En cuarto lugar</w:t>
      </w:r>
      <w:r w:rsidR="00C26285">
        <w:rPr>
          <w:rFonts w:cs="Verdana"/>
          <w:szCs w:val="20"/>
          <w:lang w:val="es-MX" w:eastAsia="en-US"/>
        </w:rPr>
        <w:t xml:space="preserve">, </w:t>
      </w:r>
      <w:r w:rsidR="00602006">
        <w:rPr>
          <w:rFonts w:cs="Verdana"/>
          <w:szCs w:val="20"/>
          <w:lang w:val="es-MX" w:eastAsia="en-US"/>
        </w:rPr>
        <w:t xml:space="preserve">respecto </w:t>
      </w:r>
      <w:r>
        <w:rPr>
          <w:rFonts w:cs="Verdana"/>
          <w:szCs w:val="20"/>
          <w:lang w:val="es-MX" w:eastAsia="en-US"/>
        </w:rPr>
        <w:t xml:space="preserve">a </w:t>
      </w:r>
      <w:r w:rsidR="00C26285">
        <w:rPr>
          <w:rFonts w:cs="Verdana"/>
          <w:szCs w:val="20"/>
          <w:lang w:val="es-MX" w:eastAsia="en-US"/>
        </w:rPr>
        <w:t>la presentación</w:t>
      </w:r>
      <w:r w:rsidR="006A0CD3">
        <w:rPr>
          <w:rFonts w:cs="Verdana"/>
          <w:szCs w:val="20"/>
          <w:lang w:val="es-MX" w:eastAsia="en-US"/>
        </w:rPr>
        <w:t xml:space="preserve"> del afidávit del perito </w:t>
      </w:r>
      <w:proofErr w:type="spellStart"/>
      <w:r w:rsidR="006A0CD3" w:rsidRPr="00072BB0">
        <w:rPr>
          <w:rFonts w:cs="Verdana"/>
          <w:szCs w:val="20"/>
          <w:lang w:val="es-MX" w:eastAsia="en-US"/>
        </w:rPr>
        <w:t>Parvais</w:t>
      </w:r>
      <w:proofErr w:type="spellEnd"/>
      <w:r w:rsidR="006A0CD3" w:rsidRPr="00072BB0">
        <w:rPr>
          <w:rFonts w:cs="Verdana"/>
          <w:szCs w:val="20"/>
          <w:lang w:val="es-MX" w:eastAsia="en-US"/>
        </w:rPr>
        <w:t xml:space="preserve"> Jabbar</w:t>
      </w:r>
      <w:r w:rsidR="006A0CD3">
        <w:rPr>
          <w:rFonts w:cs="Verdana"/>
          <w:szCs w:val="20"/>
          <w:lang w:val="es-MX" w:eastAsia="en-US"/>
        </w:rPr>
        <w:t>, el Presidente considera</w:t>
      </w:r>
      <w:r w:rsidR="00310325">
        <w:rPr>
          <w:rFonts w:cs="Verdana"/>
          <w:szCs w:val="20"/>
          <w:lang w:val="es-MX" w:eastAsia="en-US"/>
        </w:rPr>
        <w:t xml:space="preserve"> que,</w:t>
      </w:r>
      <w:r w:rsidR="006A0CD3">
        <w:rPr>
          <w:rFonts w:cs="Verdana"/>
          <w:szCs w:val="20"/>
          <w:lang w:val="es-MX" w:eastAsia="en-US"/>
        </w:rPr>
        <w:t xml:space="preserve"> a la luz del principio de economía procesal</w:t>
      </w:r>
      <w:r w:rsidR="00310325">
        <w:rPr>
          <w:rFonts w:cs="Verdana"/>
          <w:szCs w:val="20"/>
          <w:lang w:val="es-MX" w:eastAsia="en-US"/>
        </w:rPr>
        <w:t>,</w:t>
      </w:r>
      <w:r w:rsidR="006A0CD3">
        <w:rPr>
          <w:rFonts w:cs="Verdana"/>
          <w:szCs w:val="20"/>
          <w:lang w:val="es-MX" w:eastAsia="en-US"/>
        </w:rPr>
        <w:t xml:space="preserve"> rinda un </w:t>
      </w:r>
      <w:r w:rsidR="00310325">
        <w:rPr>
          <w:rFonts w:cs="Verdana"/>
          <w:szCs w:val="20"/>
          <w:lang w:val="es-MX" w:eastAsia="en-US"/>
        </w:rPr>
        <w:t>único peritaje, en el cual se podrá referir al objeto señalado en cada u</w:t>
      </w:r>
      <w:r w:rsidR="00602006">
        <w:rPr>
          <w:rFonts w:cs="Verdana"/>
          <w:szCs w:val="20"/>
          <w:lang w:val="es-MX" w:eastAsia="en-US"/>
        </w:rPr>
        <w:t>no de los casos arriba mencionados</w:t>
      </w:r>
      <w:r w:rsidR="00310325">
        <w:rPr>
          <w:rFonts w:cs="Verdana"/>
          <w:szCs w:val="20"/>
          <w:lang w:val="es-MX" w:eastAsia="en-US"/>
        </w:rPr>
        <w:t>.</w:t>
      </w:r>
      <w:r w:rsidR="006A0CD3">
        <w:rPr>
          <w:rFonts w:cs="Verdana"/>
          <w:szCs w:val="20"/>
          <w:lang w:val="es-MX" w:eastAsia="en-US"/>
        </w:rPr>
        <w:t xml:space="preserve"> </w:t>
      </w:r>
    </w:p>
    <w:p w:rsidR="00C95008" w:rsidRDefault="00C95008" w:rsidP="00C95008">
      <w:pPr>
        <w:pStyle w:val="Prrafodelista"/>
        <w:spacing w:after="0"/>
        <w:rPr>
          <w:rFonts w:cs="Verdana"/>
          <w:szCs w:val="20"/>
          <w:lang w:val="es-MX" w:eastAsia="en-US"/>
        </w:rPr>
      </w:pPr>
    </w:p>
    <w:p w:rsidR="00E262CB" w:rsidRDefault="00C95008" w:rsidP="00A829A4">
      <w:pPr>
        <w:numPr>
          <w:ilvl w:val="0"/>
          <w:numId w:val="24"/>
        </w:numPr>
        <w:autoSpaceDE w:val="0"/>
        <w:autoSpaceDN w:val="0"/>
        <w:adjustRightInd w:val="0"/>
        <w:spacing w:after="0"/>
        <w:ind w:left="0" w:right="18" w:firstLine="0"/>
        <w:rPr>
          <w:rFonts w:cs="Verdana"/>
          <w:szCs w:val="20"/>
          <w:lang w:val="es-MX" w:eastAsia="en-US"/>
        </w:rPr>
      </w:pPr>
      <w:r>
        <w:rPr>
          <w:rFonts w:cs="Verdana"/>
          <w:szCs w:val="20"/>
          <w:lang w:val="es-MX" w:eastAsia="en-US"/>
        </w:rPr>
        <w:t xml:space="preserve">Por último, </w:t>
      </w:r>
      <w:r w:rsidR="00602006">
        <w:rPr>
          <w:rFonts w:cs="Verdana"/>
          <w:szCs w:val="20"/>
          <w:lang w:val="es-MX" w:eastAsia="en-US"/>
        </w:rPr>
        <w:t xml:space="preserve">en lo que se refiere </w:t>
      </w:r>
      <w:r>
        <w:rPr>
          <w:rFonts w:cs="Verdana"/>
          <w:szCs w:val="20"/>
          <w:lang w:val="es-MX" w:eastAsia="en-US"/>
        </w:rPr>
        <w:t xml:space="preserve">a la presentación del afidávit, </w:t>
      </w:r>
      <w:r w:rsidR="00926506">
        <w:rPr>
          <w:rFonts w:cs="Verdana"/>
          <w:szCs w:val="20"/>
          <w:lang w:val="es-MX" w:eastAsia="en-US"/>
        </w:rPr>
        <w:t xml:space="preserve">el Presidente advierte </w:t>
      </w:r>
      <w:r w:rsidR="006A0CD3">
        <w:rPr>
          <w:rFonts w:cs="Verdana"/>
          <w:szCs w:val="20"/>
          <w:lang w:val="es-MX" w:eastAsia="en-US"/>
        </w:rPr>
        <w:t xml:space="preserve">que en las resoluciones de los casos </w:t>
      </w:r>
      <w:r w:rsidR="006A0CD3" w:rsidRPr="00955EF7">
        <w:rPr>
          <w:rFonts w:cs="Verdana"/>
          <w:i/>
          <w:szCs w:val="20"/>
          <w:lang w:val="es-MX" w:eastAsia="en-US"/>
        </w:rPr>
        <w:t>Martínez Coronado</w:t>
      </w:r>
      <w:r w:rsidR="006A0CD3">
        <w:rPr>
          <w:rFonts w:cs="Verdana"/>
          <w:szCs w:val="20"/>
          <w:lang w:val="es-MX" w:eastAsia="en-US"/>
        </w:rPr>
        <w:t xml:space="preserve">, y </w:t>
      </w:r>
      <w:r w:rsidR="006A0CD3" w:rsidRPr="00955EF7">
        <w:rPr>
          <w:rFonts w:cs="Verdana"/>
          <w:i/>
          <w:szCs w:val="20"/>
          <w:lang w:val="es-MX" w:eastAsia="en-US"/>
        </w:rPr>
        <w:t>Girón y otro</w:t>
      </w:r>
      <w:r w:rsidR="006A0CD3">
        <w:rPr>
          <w:rFonts w:cs="Verdana"/>
          <w:i/>
          <w:szCs w:val="20"/>
          <w:lang w:val="es-MX" w:eastAsia="en-US"/>
        </w:rPr>
        <w:t xml:space="preserve">, </w:t>
      </w:r>
      <w:r w:rsidR="0068159B">
        <w:rPr>
          <w:rFonts w:cs="Verdana"/>
          <w:szCs w:val="20"/>
          <w:lang w:val="es-MX" w:eastAsia="en-US"/>
        </w:rPr>
        <w:t>se estableció</w:t>
      </w:r>
      <w:r w:rsidR="006A0CD3">
        <w:rPr>
          <w:rFonts w:cs="Verdana"/>
          <w:szCs w:val="20"/>
          <w:lang w:val="es-MX" w:eastAsia="en-US"/>
        </w:rPr>
        <w:t xml:space="preserve"> </w:t>
      </w:r>
      <w:r w:rsidR="0068159B">
        <w:rPr>
          <w:rFonts w:cs="Verdana"/>
          <w:szCs w:val="20"/>
          <w:lang w:val="es-MX" w:eastAsia="en-US"/>
        </w:rPr>
        <w:t xml:space="preserve">en cada caso </w:t>
      </w:r>
      <w:r w:rsidR="006A0CD3">
        <w:rPr>
          <w:rFonts w:cs="Verdana"/>
          <w:szCs w:val="20"/>
          <w:lang w:val="es-MX" w:eastAsia="en-US"/>
        </w:rPr>
        <w:t>un plazo para presentar los afidávits</w:t>
      </w:r>
      <w:r w:rsidR="00602006">
        <w:rPr>
          <w:rFonts w:cs="Verdana"/>
          <w:szCs w:val="20"/>
          <w:lang w:val="es-MX" w:eastAsia="en-US"/>
        </w:rPr>
        <w:t>,</w:t>
      </w:r>
      <w:r w:rsidR="006A0CD3">
        <w:rPr>
          <w:rFonts w:cs="Verdana"/>
          <w:szCs w:val="20"/>
          <w:lang w:val="es-MX" w:eastAsia="en-US"/>
        </w:rPr>
        <w:t xml:space="preserve"> y un plazo improrrogable para presentar los alegatos finales escritos y observaciones finales escritas</w:t>
      </w:r>
      <w:r w:rsidR="0068159B">
        <w:rPr>
          <w:rFonts w:cs="Verdana"/>
          <w:szCs w:val="20"/>
          <w:lang w:val="es-MX" w:eastAsia="en-US"/>
        </w:rPr>
        <w:t xml:space="preserve">, así como </w:t>
      </w:r>
      <w:r w:rsidR="00926506">
        <w:rPr>
          <w:rFonts w:cs="Verdana"/>
          <w:szCs w:val="20"/>
          <w:lang w:val="es-MX" w:eastAsia="en-US"/>
        </w:rPr>
        <w:t xml:space="preserve">se </w:t>
      </w:r>
      <w:r w:rsidR="0068159B">
        <w:rPr>
          <w:rFonts w:cs="Verdana"/>
          <w:szCs w:val="20"/>
          <w:lang w:val="es-MX" w:eastAsia="en-US"/>
        </w:rPr>
        <w:t xml:space="preserve">determinó que en dichos alegatos u observaciones, según sea el caso, </w:t>
      </w:r>
      <w:r w:rsidR="00926506">
        <w:rPr>
          <w:rFonts w:cs="Verdana"/>
          <w:szCs w:val="20"/>
          <w:lang w:val="es-MX" w:eastAsia="en-US"/>
        </w:rPr>
        <w:t xml:space="preserve">las partes </w:t>
      </w:r>
      <w:r w:rsidR="0068159B">
        <w:rPr>
          <w:rFonts w:cs="Verdana"/>
          <w:szCs w:val="20"/>
          <w:lang w:val="es-MX" w:eastAsia="en-US"/>
        </w:rPr>
        <w:t>y la Comisión tendrán la oportunidad, si lo estiman pertinente de presentar sus observaciones a las declaraciones a más tardar en dichos escritos.</w:t>
      </w:r>
    </w:p>
    <w:p w:rsidR="00E262CB" w:rsidRDefault="00E262CB" w:rsidP="00A829A4">
      <w:pPr>
        <w:pStyle w:val="Prrafodelista"/>
        <w:spacing w:after="0"/>
        <w:rPr>
          <w:rFonts w:cs="Verdana"/>
          <w:szCs w:val="20"/>
          <w:lang w:val="es-MX" w:eastAsia="en-US"/>
        </w:rPr>
      </w:pPr>
    </w:p>
    <w:p w:rsidR="00C95008" w:rsidRDefault="00926506" w:rsidP="00A829A4">
      <w:pPr>
        <w:numPr>
          <w:ilvl w:val="0"/>
          <w:numId w:val="24"/>
        </w:numPr>
        <w:autoSpaceDE w:val="0"/>
        <w:autoSpaceDN w:val="0"/>
        <w:adjustRightInd w:val="0"/>
        <w:spacing w:after="0"/>
        <w:ind w:left="0" w:right="18" w:firstLine="0"/>
        <w:rPr>
          <w:rFonts w:cs="Verdana"/>
          <w:szCs w:val="20"/>
          <w:lang w:val="es-MX" w:eastAsia="en-US"/>
        </w:rPr>
      </w:pPr>
      <w:r>
        <w:rPr>
          <w:rFonts w:cs="Verdana"/>
          <w:szCs w:val="20"/>
          <w:lang w:val="es-MX" w:eastAsia="en-US"/>
        </w:rPr>
        <w:t xml:space="preserve">En razón de lo anterior, para que las partes reciban con antelación el referido peritaje, y siendo que en el caso </w:t>
      </w:r>
      <w:r w:rsidRPr="00926506">
        <w:rPr>
          <w:rFonts w:cs="Verdana"/>
          <w:i/>
          <w:szCs w:val="20"/>
          <w:lang w:val="es-MX" w:eastAsia="en-US"/>
        </w:rPr>
        <w:t>Martínez Coronado</w:t>
      </w:r>
      <w:r w:rsidR="00E262CB">
        <w:rPr>
          <w:rFonts w:cs="Verdana"/>
          <w:i/>
          <w:szCs w:val="20"/>
          <w:lang w:val="es-MX" w:eastAsia="en-US"/>
        </w:rPr>
        <w:t xml:space="preserve"> Vs. Guatemala</w:t>
      </w:r>
      <w:r>
        <w:rPr>
          <w:rFonts w:cs="Verdana"/>
          <w:szCs w:val="20"/>
          <w:lang w:val="es-MX" w:eastAsia="en-US"/>
        </w:rPr>
        <w:t xml:space="preserve"> se dispuso en el punto resolutivo </w:t>
      </w:r>
      <w:r w:rsidR="00857FE4">
        <w:rPr>
          <w:rFonts w:cs="Verdana"/>
          <w:szCs w:val="20"/>
          <w:lang w:val="es-MX" w:eastAsia="en-US"/>
        </w:rPr>
        <w:t xml:space="preserve">9 </w:t>
      </w:r>
      <w:r>
        <w:rPr>
          <w:rFonts w:cs="Verdana"/>
          <w:szCs w:val="20"/>
          <w:lang w:val="es-MX" w:eastAsia="en-US"/>
        </w:rPr>
        <w:t>la presentación de los alegatos y observaciones</w:t>
      </w:r>
      <w:r w:rsidR="00A829A4">
        <w:rPr>
          <w:rFonts w:cs="Verdana"/>
          <w:szCs w:val="20"/>
          <w:lang w:val="es-MX" w:eastAsia="en-US"/>
        </w:rPr>
        <w:t xml:space="preserve"> finales escritas</w:t>
      </w:r>
      <w:r>
        <w:rPr>
          <w:rFonts w:cs="Verdana"/>
          <w:szCs w:val="20"/>
          <w:lang w:val="es-MX" w:eastAsia="en-US"/>
        </w:rPr>
        <w:t xml:space="preserve"> el </w:t>
      </w:r>
      <w:r w:rsidRPr="007F0D2A">
        <w:rPr>
          <w:rFonts w:cs="Verdana"/>
          <w:szCs w:val="20"/>
          <w:lang w:val="es-MX" w:eastAsia="en-US"/>
        </w:rPr>
        <w:t>lunes 25</w:t>
      </w:r>
      <w:r w:rsidRPr="00857FE4">
        <w:rPr>
          <w:rFonts w:cs="Verdana"/>
          <w:szCs w:val="20"/>
          <w:lang w:val="es-MX" w:eastAsia="en-US"/>
        </w:rPr>
        <w:t xml:space="preserve"> de</w:t>
      </w:r>
      <w:r>
        <w:rPr>
          <w:rFonts w:cs="Verdana"/>
          <w:szCs w:val="20"/>
          <w:lang w:val="es-MX" w:eastAsia="en-US"/>
        </w:rPr>
        <w:t xml:space="preserve"> marzo de 2019, el Presidente considera pertinente conceder un plazo adicional para </w:t>
      </w:r>
      <w:r w:rsidR="00637C49">
        <w:rPr>
          <w:rFonts w:cs="Verdana"/>
          <w:szCs w:val="20"/>
          <w:lang w:val="es-MX" w:eastAsia="en-US"/>
        </w:rPr>
        <w:t xml:space="preserve">que el </w:t>
      </w:r>
      <w:r w:rsidR="00E262CB">
        <w:rPr>
          <w:rFonts w:cs="Verdana"/>
          <w:szCs w:val="20"/>
          <w:lang w:val="es-MX" w:eastAsia="en-US"/>
        </w:rPr>
        <w:t xml:space="preserve">perito </w:t>
      </w:r>
      <w:proofErr w:type="spellStart"/>
      <w:r w:rsidR="00E262CB" w:rsidRPr="00072BB0">
        <w:rPr>
          <w:rFonts w:cs="Verdana"/>
          <w:szCs w:val="20"/>
          <w:lang w:val="es-MX" w:eastAsia="en-US"/>
        </w:rPr>
        <w:t>Parvais</w:t>
      </w:r>
      <w:proofErr w:type="spellEnd"/>
      <w:r w:rsidR="00E262CB" w:rsidRPr="00072BB0">
        <w:rPr>
          <w:rFonts w:cs="Verdana"/>
          <w:szCs w:val="20"/>
          <w:lang w:val="es-MX" w:eastAsia="en-US"/>
        </w:rPr>
        <w:t xml:space="preserve"> Jabbar</w:t>
      </w:r>
      <w:r w:rsidR="00637C49">
        <w:rPr>
          <w:rFonts w:cs="Verdana"/>
          <w:szCs w:val="20"/>
          <w:lang w:val="es-MX" w:eastAsia="en-US"/>
        </w:rPr>
        <w:t xml:space="preserve"> presente un </w:t>
      </w:r>
      <w:r w:rsidR="00602006">
        <w:rPr>
          <w:rFonts w:cs="Verdana"/>
          <w:szCs w:val="20"/>
          <w:lang w:val="es-MX" w:eastAsia="en-US"/>
        </w:rPr>
        <w:t>único</w:t>
      </w:r>
      <w:r w:rsidR="00637C49">
        <w:rPr>
          <w:rFonts w:cs="Verdana"/>
          <w:szCs w:val="20"/>
          <w:lang w:val="es-MX" w:eastAsia="en-US"/>
        </w:rPr>
        <w:t xml:space="preserve"> peritaje</w:t>
      </w:r>
      <w:r w:rsidR="00602006">
        <w:rPr>
          <w:rFonts w:cs="Verdana"/>
          <w:szCs w:val="20"/>
          <w:lang w:val="es-MX" w:eastAsia="en-US"/>
        </w:rPr>
        <w:t xml:space="preserve"> para todos los casos, </w:t>
      </w:r>
      <w:r>
        <w:rPr>
          <w:rFonts w:cs="Verdana"/>
          <w:szCs w:val="20"/>
          <w:lang w:val="es-MX" w:eastAsia="en-US"/>
        </w:rPr>
        <w:t xml:space="preserve">a más tardar el </w:t>
      </w:r>
      <w:r w:rsidRPr="00C130FB">
        <w:rPr>
          <w:rFonts w:cs="Verdana"/>
          <w:szCs w:val="20"/>
          <w:lang w:val="es-MX" w:eastAsia="en-US"/>
        </w:rPr>
        <w:t>lunes 18</w:t>
      </w:r>
      <w:r w:rsidR="00602006" w:rsidRPr="00C130FB">
        <w:rPr>
          <w:rFonts w:cs="Verdana"/>
          <w:szCs w:val="20"/>
          <w:lang w:val="es-MX" w:eastAsia="en-US"/>
        </w:rPr>
        <w:t xml:space="preserve"> de</w:t>
      </w:r>
      <w:r w:rsidR="00602006">
        <w:rPr>
          <w:rFonts w:cs="Verdana"/>
          <w:szCs w:val="20"/>
          <w:lang w:val="es-MX" w:eastAsia="en-US"/>
        </w:rPr>
        <w:t xml:space="preserve"> marzo de 2019</w:t>
      </w:r>
      <w:r>
        <w:rPr>
          <w:rFonts w:cs="Verdana"/>
          <w:szCs w:val="20"/>
          <w:lang w:val="es-MX" w:eastAsia="en-US"/>
        </w:rPr>
        <w:t>.</w:t>
      </w:r>
      <w:r w:rsidR="00E262CB">
        <w:rPr>
          <w:rFonts w:cs="Verdana"/>
          <w:szCs w:val="20"/>
          <w:lang w:val="es-MX" w:eastAsia="en-US"/>
        </w:rPr>
        <w:t xml:space="preserve"> Una vez recibido el afidávit se transmitirá a las partes y a la Comisión, para que, según corresponda, presenten, si lo estiman pertinente, las observaciones a más tardar con </w:t>
      </w:r>
      <w:r w:rsidR="00E262CB" w:rsidRPr="00D37246">
        <w:rPr>
          <w:rFonts w:cs="Verdana"/>
          <w:color w:val="000000"/>
          <w:szCs w:val="20"/>
          <w:lang w:val="es-CR"/>
        </w:rPr>
        <w:t>sus alegatos u observaciones finales escritos</w:t>
      </w:r>
      <w:r w:rsidR="00E262CB">
        <w:rPr>
          <w:rFonts w:cs="Verdana"/>
          <w:szCs w:val="20"/>
          <w:lang w:val="es-MX" w:eastAsia="en-US"/>
        </w:rPr>
        <w:t>.</w:t>
      </w:r>
    </w:p>
    <w:p w:rsidR="00E262CB" w:rsidRPr="00E262CB" w:rsidRDefault="00E262CB" w:rsidP="00E262CB">
      <w:pPr>
        <w:autoSpaceDE w:val="0"/>
        <w:autoSpaceDN w:val="0"/>
        <w:adjustRightInd w:val="0"/>
        <w:spacing w:after="0"/>
        <w:ind w:right="18"/>
        <w:rPr>
          <w:rFonts w:cs="Verdana"/>
          <w:szCs w:val="20"/>
          <w:lang w:val="es-MX" w:eastAsia="en-US"/>
        </w:rPr>
      </w:pPr>
    </w:p>
    <w:p w:rsidR="00C11155" w:rsidRPr="00382D74" w:rsidRDefault="00C11155" w:rsidP="00C11155">
      <w:pPr>
        <w:spacing w:after="0"/>
        <w:rPr>
          <w:rFonts w:cs="Verdana"/>
          <w:b/>
          <w:bCs/>
          <w:szCs w:val="20"/>
          <w:lang w:val="es-CR" w:eastAsia="en-US"/>
        </w:rPr>
      </w:pPr>
      <w:r w:rsidRPr="00382D74">
        <w:rPr>
          <w:rFonts w:cs="Verdana"/>
          <w:b/>
          <w:bCs/>
          <w:szCs w:val="20"/>
          <w:lang w:val="es-CR" w:eastAsia="en-US"/>
        </w:rPr>
        <w:t>POR TANTO:</w:t>
      </w:r>
    </w:p>
    <w:p w:rsidR="00C11155" w:rsidRPr="00382D74" w:rsidRDefault="00C11155" w:rsidP="00C11155">
      <w:pPr>
        <w:spacing w:after="0"/>
        <w:rPr>
          <w:rFonts w:cs="Verdana"/>
          <w:b/>
          <w:bCs/>
          <w:szCs w:val="20"/>
          <w:lang w:val="es-CR" w:eastAsia="en-US"/>
        </w:rPr>
      </w:pPr>
    </w:p>
    <w:p w:rsidR="00C11155" w:rsidRPr="00382D74" w:rsidRDefault="004535E6" w:rsidP="00C11155">
      <w:pPr>
        <w:spacing w:after="0"/>
        <w:rPr>
          <w:rFonts w:cs="Verdana"/>
          <w:b/>
          <w:bCs/>
          <w:szCs w:val="20"/>
          <w:lang w:val="es-CR" w:eastAsia="en-US"/>
        </w:rPr>
      </w:pPr>
      <w:r>
        <w:rPr>
          <w:rFonts w:cs="Verdana"/>
          <w:b/>
          <w:bCs/>
          <w:szCs w:val="20"/>
          <w:lang w:val="es-CR" w:eastAsia="en-US"/>
        </w:rPr>
        <w:t>El PRESIDENTE DE LA</w:t>
      </w:r>
      <w:r w:rsidR="00C11155" w:rsidRPr="00382D74">
        <w:rPr>
          <w:rFonts w:cs="Verdana"/>
          <w:b/>
          <w:bCs/>
          <w:szCs w:val="20"/>
          <w:lang w:val="es-CR" w:eastAsia="en-US"/>
        </w:rPr>
        <w:t xml:space="preserve"> CORTE INTERAMERICANA DE DERECHOS HUMANOS, </w:t>
      </w:r>
    </w:p>
    <w:p w:rsidR="00C11155" w:rsidRPr="00382D74" w:rsidRDefault="00C11155" w:rsidP="00C11155">
      <w:pPr>
        <w:autoSpaceDE w:val="0"/>
        <w:autoSpaceDN w:val="0"/>
        <w:adjustRightInd w:val="0"/>
        <w:spacing w:after="0"/>
        <w:ind w:right="18"/>
        <w:rPr>
          <w:rFonts w:ascii="Garamond" w:hAnsi="Garamond" w:cs="Calibri"/>
          <w:lang w:val="es-CR" w:eastAsia="en-US"/>
        </w:rPr>
      </w:pPr>
    </w:p>
    <w:p w:rsidR="00C11155" w:rsidRPr="00382D74" w:rsidRDefault="00C11155" w:rsidP="00C11155">
      <w:pPr>
        <w:autoSpaceDE w:val="0"/>
        <w:autoSpaceDN w:val="0"/>
        <w:adjustRightInd w:val="0"/>
        <w:spacing w:after="0"/>
        <w:ind w:right="18"/>
        <w:rPr>
          <w:rFonts w:cs="Verdana"/>
          <w:b/>
          <w:bCs/>
          <w:szCs w:val="20"/>
          <w:lang w:val="es-ES" w:eastAsia="en-US"/>
        </w:rPr>
      </w:pPr>
      <w:r w:rsidRPr="00382D74">
        <w:rPr>
          <w:rFonts w:cs="Verdana"/>
          <w:szCs w:val="20"/>
          <w:lang w:val="es-ES" w:eastAsia="en-US"/>
        </w:rPr>
        <w:t xml:space="preserve">de </w:t>
      </w:r>
      <w:r w:rsidRPr="007F0D2A">
        <w:rPr>
          <w:rFonts w:cs="Verdana"/>
          <w:szCs w:val="20"/>
          <w:lang w:val="es-ES" w:eastAsia="en-US"/>
        </w:rPr>
        <w:t xml:space="preserve">conformidad con el artículo 25.2 del Estatuto de la Corte y con los </w:t>
      </w:r>
      <w:r w:rsidRPr="007F0D2A">
        <w:rPr>
          <w:rFonts w:cs="Verdana"/>
          <w:szCs w:val="20"/>
          <w:lang w:val="es-MX" w:eastAsia="en-US"/>
        </w:rPr>
        <w:t>artículos 31.2, y 50 del</w:t>
      </w:r>
      <w:r w:rsidRPr="00382D74">
        <w:rPr>
          <w:rFonts w:cs="Verdana"/>
          <w:szCs w:val="20"/>
          <w:lang w:val="es-MX" w:eastAsia="en-US"/>
        </w:rPr>
        <w:t xml:space="preserve"> Reglamento</w:t>
      </w:r>
      <w:r w:rsidRPr="00382D74">
        <w:rPr>
          <w:rFonts w:cs="Verdana"/>
          <w:szCs w:val="20"/>
          <w:lang w:val="es-ES" w:eastAsia="en-US"/>
        </w:rPr>
        <w:t xml:space="preserve">, </w:t>
      </w:r>
    </w:p>
    <w:p w:rsidR="00C11155" w:rsidRPr="00382D74" w:rsidRDefault="00C11155" w:rsidP="00C11155">
      <w:pPr>
        <w:autoSpaceDE w:val="0"/>
        <w:autoSpaceDN w:val="0"/>
        <w:adjustRightInd w:val="0"/>
        <w:spacing w:after="0"/>
        <w:ind w:right="18"/>
        <w:rPr>
          <w:rFonts w:cs="Verdana"/>
          <w:b/>
          <w:bCs/>
          <w:szCs w:val="20"/>
          <w:lang w:val="es-ES" w:eastAsia="en-US"/>
        </w:rPr>
      </w:pPr>
    </w:p>
    <w:p w:rsidR="00C95008" w:rsidRDefault="00C11155" w:rsidP="00926506">
      <w:pPr>
        <w:autoSpaceDE w:val="0"/>
        <w:autoSpaceDN w:val="0"/>
        <w:adjustRightInd w:val="0"/>
        <w:spacing w:after="0"/>
        <w:ind w:right="18"/>
        <w:rPr>
          <w:rFonts w:cs="Verdana"/>
          <w:b/>
          <w:bCs/>
          <w:szCs w:val="20"/>
          <w:lang w:val="es-ES" w:eastAsia="en-US"/>
        </w:rPr>
      </w:pPr>
      <w:r w:rsidRPr="00382D74">
        <w:rPr>
          <w:rFonts w:cs="Verdana"/>
          <w:b/>
          <w:bCs/>
          <w:szCs w:val="20"/>
          <w:lang w:val="es-ES" w:eastAsia="en-US"/>
        </w:rPr>
        <w:t>RESUELVE:</w:t>
      </w:r>
    </w:p>
    <w:p w:rsidR="00C95008" w:rsidRPr="00926506" w:rsidRDefault="00C95008" w:rsidP="00926506">
      <w:pPr>
        <w:autoSpaceDE w:val="0"/>
        <w:autoSpaceDN w:val="0"/>
        <w:adjustRightInd w:val="0"/>
        <w:spacing w:after="0"/>
        <w:ind w:right="18"/>
        <w:rPr>
          <w:rFonts w:cs="Verdana"/>
          <w:b/>
          <w:bCs/>
          <w:szCs w:val="20"/>
          <w:lang w:val="es-ES" w:eastAsia="en-US"/>
        </w:rPr>
      </w:pPr>
    </w:p>
    <w:p w:rsidR="009B4243" w:rsidRDefault="009B4243" w:rsidP="000D3741">
      <w:pPr>
        <w:pStyle w:val="Prrafodelista"/>
        <w:numPr>
          <w:ilvl w:val="0"/>
          <w:numId w:val="23"/>
        </w:numPr>
        <w:spacing w:after="0"/>
        <w:ind w:left="0" w:firstLine="0"/>
        <w:rPr>
          <w:bCs/>
          <w:iCs/>
          <w:szCs w:val="20"/>
        </w:rPr>
      </w:pPr>
      <w:r w:rsidRPr="00C35310">
        <w:rPr>
          <w:bCs/>
          <w:iCs/>
          <w:szCs w:val="20"/>
        </w:rPr>
        <w:t xml:space="preserve">Modificar, en lo pertinente, </w:t>
      </w:r>
      <w:r>
        <w:rPr>
          <w:bCs/>
          <w:iCs/>
          <w:szCs w:val="20"/>
        </w:rPr>
        <w:t>los</w:t>
      </w:r>
      <w:r w:rsidRPr="00C35310">
        <w:rPr>
          <w:bCs/>
          <w:iCs/>
          <w:szCs w:val="20"/>
        </w:rPr>
        <w:t xml:space="preserve"> punto</w:t>
      </w:r>
      <w:r>
        <w:rPr>
          <w:bCs/>
          <w:iCs/>
          <w:szCs w:val="20"/>
        </w:rPr>
        <w:t>s</w:t>
      </w:r>
      <w:r w:rsidRPr="00C35310">
        <w:rPr>
          <w:bCs/>
          <w:iCs/>
          <w:szCs w:val="20"/>
        </w:rPr>
        <w:t xml:space="preserve"> resolutivo</w:t>
      </w:r>
      <w:r>
        <w:rPr>
          <w:bCs/>
          <w:iCs/>
          <w:szCs w:val="20"/>
        </w:rPr>
        <w:t>s</w:t>
      </w:r>
      <w:r w:rsidRPr="00C35310">
        <w:rPr>
          <w:bCs/>
          <w:iCs/>
          <w:szCs w:val="20"/>
        </w:rPr>
        <w:t xml:space="preserve"> primero y cuarto de la</w:t>
      </w:r>
      <w:r w:rsidR="00072BB0">
        <w:rPr>
          <w:bCs/>
          <w:iCs/>
          <w:szCs w:val="20"/>
        </w:rPr>
        <w:t xml:space="preserve"> Resolución del Presidente de 14</w:t>
      </w:r>
      <w:r w:rsidRPr="00C35310">
        <w:rPr>
          <w:bCs/>
          <w:iCs/>
          <w:szCs w:val="20"/>
        </w:rPr>
        <w:t xml:space="preserve"> de </w:t>
      </w:r>
      <w:r w:rsidR="00072BB0">
        <w:rPr>
          <w:bCs/>
          <w:iCs/>
          <w:szCs w:val="20"/>
        </w:rPr>
        <w:t>febrero de 2019</w:t>
      </w:r>
      <w:r w:rsidR="00C95008">
        <w:rPr>
          <w:bCs/>
          <w:iCs/>
          <w:szCs w:val="20"/>
        </w:rPr>
        <w:t xml:space="preserve"> </w:t>
      </w:r>
      <w:r w:rsidR="00602006">
        <w:rPr>
          <w:bCs/>
          <w:iCs/>
          <w:szCs w:val="20"/>
        </w:rPr>
        <w:t xml:space="preserve">del </w:t>
      </w:r>
      <w:r w:rsidR="00C95008">
        <w:rPr>
          <w:bCs/>
          <w:iCs/>
          <w:szCs w:val="20"/>
        </w:rPr>
        <w:t xml:space="preserve">caso </w:t>
      </w:r>
      <w:r w:rsidR="00C95008" w:rsidRPr="00C95008">
        <w:rPr>
          <w:bCs/>
          <w:i/>
          <w:iCs/>
          <w:szCs w:val="20"/>
        </w:rPr>
        <w:t>Ruiz Fuentes</w:t>
      </w:r>
      <w:r>
        <w:rPr>
          <w:bCs/>
          <w:iCs/>
          <w:szCs w:val="20"/>
        </w:rPr>
        <w:t>, de modo que se autoriza</w:t>
      </w:r>
      <w:r w:rsidRPr="00E75813">
        <w:rPr>
          <w:szCs w:val="20"/>
          <w:lang w:val="es-CO"/>
        </w:rPr>
        <w:t xml:space="preserve"> </w:t>
      </w:r>
      <w:r>
        <w:rPr>
          <w:szCs w:val="20"/>
          <w:lang w:val="es-CO"/>
        </w:rPr>
        <w:t>a</w:t>
      </w:r>
      <w:r w:rsidR="00072BB0">
        <w:rPr>
          <w:szCs w:val="20"/>
          <w:lang w:val="es-CO"/>
        </w:rPr>
        <w:t>l</w:t>
      </w:r>
      <w:r>
        <w:rPr>
          <w:szCs w:val="20"/>
          <w:lang w:val="es-CO"/>
        </w:rPr>
        <w:t xml:space="preserve"> </w:t>
      </w:r>
      <w:r w:rsidR="00072BB0">
        <w:rPr>
          <w:szCs w:val="20"/>
          <w:lang w:val="es-CO"/>
        </w:rPr>
        <w:t xml:space="preserve">perito </w:t>
      </w:r>
      <w:proofErr w:type="spellStart"/>
      <w:r w:rsidR="00072BB0" w:rsidRPr="00072BB0">
        <w:rPr>
          <w:rFonts w:cs="Verdana"/>
          <w:szCs w:val="20"/>
          <w:lang w:val="es-MX" w:eastAsia="en-US"/>
        </w:rPr>
        <w:t>Parvais</w:t>
      </w:r>
      <w:proofErr w:type="spellEnd"/>
      <w:r w:rsidR="00072BB0" w:rsidRPr="00072BB0">
        <w:rPr>
          <w:rFonts w:cs="Verdana"/>
          <w:szCs w:val="20"/>
          <w:lang w:val="es-MX" w:eastAsia="en-US"/>
        </w:rPr>
        <w:t xml:space="preserve"> Jabbar </w:t>
      </w:r>
      <w:r>
        <w:rPr>
          <w:bCs/>
          <w:iCs/>
          <w:szCs w:val="20"/>
        </w:rPr>
        <w:t>a</w:t>
      </w:r>
      <w:r w:rsidRPr="00C35310">
        <w:rPr>
          <w:bCs/>
          <w:iCs/>
          <w:szCs w:val="20"/>
        </w:rPr>
        <w:t xml:space="preserve"> rendir su </w:t>
      </w:r>
      <w:r>
        <w:rPr>
          <w:bCs/>
          <w:iCs/>
          <w:szCs w:val="20"/>
        </w:rPr>
        <w:t>declaración</w:t>
      </w:r>
      <w:r w:rsidRPr="00C35310">
        <w:rPr>
          <w:bCs/>
          <w:iCs/>
          <w:szCs w:val="20"/>
        </w:rPr>
        <w:t xml:space="preserve"> mediante a</w:t>
      </w:r>
      <w:r>
        <w:rPr>
          <w:bCs/>
          <w:iCs/>
          <w:szCs w:val="20"/>
        </w:rPr>
        <w:t>fidávit</w:t>
      </w:r>
      <w:r w:rsidRPr="00C35310">
        <w:rPr>
          <w:bCs/>
          <w:iCs/>
          <w:szCs w:val="20"/>
        </w:rPr>
        <w:t>.</w:t>
      </w:r>
    </w:p>
    <w:p w:rsidR="009B4243" w:rsidRPr="00072BB0" w:rsidRDefault="009B4243" w:rsidP="00072BB0">
      <w:pPr>
        <w:tabs>
          <w:tab w:val="left" w:pos="567"/>
        </w:tabs>
        <w:spacing w:after="0"/>
        <w:ind w:left="360"/>
        <w:rPr>
          <w:bCs/>
          <w:iCs/>
          <w:szCs w:val="20"/>
        </w:rPr>
      </w:pPr>
    </w:p>
    <w:p w:rsidR="00C95008" w:rsidRDefault="009B4243" w:rsidP="000D3741">
      <w:pPr>
        <w:pStyle w:val="Prrafodelista"/>
        <w:numPr>
          <w:ilvl w:val="0"/>
          <w:numId w:val="23"/>
        </w:numPr>
        <w:spacing w:after="0"/>
        <w:ind w:left="0" w:firstLine="0"/>
        <w:rPr>
          <w:bCs/>
          <w:iCs/>
          <w:szCs w:val="20"/>
        </w:rPr>
      </w:pPr>
      <w:r w:rsidRPr="009B03ED">
        <w:rPr>
          <w:bCs/>
          <w:iCs/>
          <w:szCs w:val="20"/>
        </w:rPr>
        <w:t>Modificar, en lo pertinente, los puntos resol</w:t>
      </w:r>
      <w:r w:rsidR="000D3741">
        <w:rPr>
          <w:bCs/>
          <w:iCs/>
          <w:szCs w:val="20"/>
        </w:rPr>
        <w:t>utivos sexto y séptimo</w:t>
      </w:r>
      <w:r w:rsidRPr="009B03ED">
        <w:rPr>
          <w:bCs/>
          <w:iCs/>
          <w:szCs w:val="20"/>
        </w:rPr>
        <w:t xml:space="preserve"> de la</w:t>
      </w:r>
      <w:r w:rsidR="000D3741">
        <w:rPr>
          <w:bCs/>
          <w:iCs/>
          <w:szCs w:val="20"/>
        </w:rPr>
        <w:t xml:space="preserve"> Resolución del Presidente de 14</w:t>
      </w:r>
      <w:r w:rsidRPr="009B03ED">
        <w:rPr>
          <w:bCs/>
          <w:iCs/>
          <w:szCs w:val="20"/>
        </w:rPr>
        <w:t xml:space="preserve"> de </w:t>
      </w:r>
      <w:r w:rsidR="000D3741">
        <w:rPr>
          <w:bCs/>
          <w:iCs/>
          <w:szCs w:val="20"/>
        </w:rPr>
        <w:t>febrero de 2019</w:t>
      </w:r>
      <w:r w:rsidRPr="009B03ED">
        <w:rPr>
          <w:bCs/>
          <w:iCs/>
          <w:szCs w:val="20"/>
        </w:rPr>
        <w:t xml:space="preserve"> </w:t>
      </w:r>
      <w:r w:rsidR="00602006">
        <w:rPr>
          <w:bCs/>
          <w:iCs/>
          <w:szCs w:val="20"/>
        </w:rPr>
        <w:t xml:space="preserve">del </w:t>
      </w:r>
      <w:r w:rsidR="00926506">
        <w:rPr>
          <w:bCs/>
          <w:iCs/>
          <w:szCs w:val="20"/>
        </w:rPr>
        <w:t xml:space="preserve">caso </w:t>
      </w:r>
      <w:r w:rsidR="00926506" w:rsidRPr="00C95008">
        <w:rPr>
          <w:bCs/>
          <w:i/>
          <w:iCs/>
          <w:szCs w:val="20"/>
        </w:rPr>
        <w:t>Ruiz Fuentes</w:t>
      </w:r>
      <w:r w:rsidR="00926506">
        <w:rPr>
          <w:bCs/>
          <w:iCs/>
          <w:szCs w:val="20"/>
        </w:rPr>
        <w:t xml:space="preserve">, </w:t>
      </w:r>
      <w:r w:rsidRPr="009B03ED">
        <w:rPr>
          <w:bCs/>
          <w:iCs/>
          <w:szCs w:val="20"/>
        </w:rPr>
        <w:t>y requerir a</w:t>
      </w:r>
      <w:r w:rsidR="000D3741">
        <w:rPr>
          <w:bCs/>
          <w:iCs/>
          <w:szCs w:val="20"/>
        </w:rPr>
        <w:t xml:space="preserve"> los</w:t>
      </w:r>
      <w:r w:rsidRPr="009B03ED">
        <w:rPr>
          <w:bCs/>
          <w:iCs/>
          <w:szCs w:val="20"/>
        </w:rPr>
        <w:t xml:space="preserve"> representantes</w:t>
      </w:r>
      <w:r w:rsidR="00A829A4">
        <w:rPr>
          <w:bCs/>
          <w:iCs/>
          <w:szCs w:val="20"/>
        </w:rPr>
        <w:t xml:space="preserve"> de las presuntas víctimas</w:t>
      </w:r>
      <w:r w:rsidR="000D3741">
        <w:rPr>
          <w:bCs/>
          <w:iCs/>
          <w:szCs w:val="20"/>
        </w:rPr>
        <w:t xml:space="preserve"> y al Estado</w:t>
      </w:r>
      <w:r w:rsidR="00A829A4">
        <w:rPr>
          <w:bCs/>
          <w:iCs/>
          <w:szCs w:val="20"/>
        </w:rPr>
        <w:t xml:space="preserve"> de Guatemala</w:t>
      </w:r>
      <w:r w:rsidRPr="009B03ED">
        <w:rPr>
          <w:bCs/>
          <w:iCs/>
          <w:szCs w:val="20"/>
        </w:rPr>
        <w:t xml:space="preserve"> que remitan, de considerarlo pertinente y en el p</w:t>
      </w:r>
      <w:r w:rsidR="000D3741">
        <w:rPr>
          <w:bCs/>
          <w:iCs/>
          <w:szCs w:val="20"/>
        </w:rPr>
        <w:t xml:space="preserve">lazo improrrogable que </w:t>
      </w:r>
      <w:r w:rsidR="000D3741" w:rsidRPr="00C130FB">
        <w:rPr>
          <w:bCs/>
          <w:iCs/>
          <w:szCs w:val="20"/>
        </w:rPr>
        <w:t xml:space="preserve">vence el </w:t>
      </w:r>
      <w:r w:rsidR="00602006" w:rsidRPr="00C130FB">
        <w:rPr>
          <w:bCs/>
          <w:iCs/>
          <w:szCs w:val="20"/>
        </w:rPr>
        <w:t>7</w:t>
      </w:r>
      <w:r w:rsidR="000D3741" w:rsidRPr="00C130FB">
        <w:rPr>
          <w:bCs/>
          <w:iCs/>
          <w:szCs w:val="20"/>
        </w:rPr>
        <w:t xml:space="preserve"> de marzo de 2019</w:t>
      </w:r>
      <w:r w:rsidRPr="00C130FB">
        <w:rPr>
          <w:bCs/>
          <w:iCs/>
          <w:szCs w:val="20"/>
        </w:rPr>
        <w:t>, las</w:t>
      </w:r>
      <w:r w:rsidRPr="009B03ED">
        <w:rPr>
          <w:bCs/>
          <w:iCs/>
          <w:szCs w:val="20"/>
        </w:rPr>
        <w:t xml:space="preserve"> preguntas</w:t>
      </w:r>
      <w:r w:rsidR="00637C49">
        <w:rPr>
          <w:bCs/>
          <w:iCs/>
          <w:szCs w:val="20"/>
        </w:rPr>
        <w:t>,</w:t>
      </w:r>
      <w:r w:rsidRPr="009B03ED">
        <w:rPr>
          <w:bCs/>
          <w:iCs/>
          <w:szCs w:val="20"/>
        </w:rPr>
        <w:t xml:space="preserve"> </w:t>
      </w:r>
      <w:r w:rsidR="00637C49">
        <w:rPr>
          <w:rFonts w:cs="Verdana"/>
          <w:szCs w:val="20"/>
          <w:lang w:val="es-MX" w:eastAsia="en-US"/>
        </w:rPr>
        <w:t>relacionadas con el objeto previsto en este caso,</w:t>
      </w:r>
      <w:r w:rsidR="00637C49" w:rsidRPr="009B03ED">
        <w:rPr>
          <w:bCs/>
          <w:iCs/>
          <w:szCs w:val="20"/>
        </w:rPr>
        <w:t xml:space="preserve"> </w:t>
      </w:r>
      <w:r w:rsidRPr="009B03ED">
        <w:rPr>
          <w:bCs/>
          <w:iCs/>
          <w:szCs w:val="20"/>
        </w:rPr>
        <w:t>que estimen pertinentes formular a través de la Corte</w:t>
      </w:r>
      <w:r w:rsidR="000D3741">
        <w:rPr>
          <w:bCs/>
          <w:iCs/>
          <w:szCs w:val="20"/>
        </w:rPr>
        <w:t xml:space="preserve"> al perito </w:t>
      </w:r>
      <w:proofErr w:type="spellStart"/>
      <w:r w:rsidR="000D3741" w:rsidRPr="00072BB0">
        <w:rPr>
          <w:rFonts w:cs="Verdana"/>
          <w:szCs w:val="20"/>
          <w:lang w:val="es-MX" w:eastAsia="en-US"/>
        </w:rPr>
        <w:t>Parvais</w:t>
      </w:r>
      <w:proofErr w:type="spellEnd"/>
      <w:r w:rsidR="000D3741" w:rsidRPr="00072BB0">
        <w:rPr>
          <w:rFonts w:cs="Verdana"/>
          <w:szCs w:val="20"/>
          <w:lang w:val="es-MX" w:eastAsia="en-US"/>
        </w:rPr>
        <w:t xml:space="preserve"> Jabbar</w:t>
      </w:r>
      <w:r w:rsidRPr="009B03ED">
        <w:rPr>
          <w:bCs/>
          <w:iCs/>
          <w:szCs w:val="20"/>
        </w:rPr>
        <w:t>.</w:t>
      </w:r>
    </w:p>
    <w:p w:rsidR="00C95008" w:rsidRPr="00C95008" w:rsidRDefault="00C95008" w:rsidP="00C95008">
      <w:pPr>
        <w:pStyle w:val="Prrafodelista"/>
        <w:rPr>
          <w:bCs/>
          <w:iCs/>
          <w:szCs w:val="20"/>
        </w:rPr>
      </w:pPr>
    </w:p>
    <w:p w:rsidR="00C95008" w:rsidRPr="00C95008" w:rsidRDefault="00E262CB" w:rsidP="000D3741">
      <w:pPr>
        <w:pStyle w:val="Prrafodelista"/>
        <w:numPr>
          <w:ilvl w:val="0"/>
          <w:numId w:val="23"/>
        </w:numPr>
        <w:spacing w:after="0"/>
        <w:ind w:left="0" w:firstLine="0"/>
        <w:rPr>
          <w:bCs/>
          <w:iCs/>
          <w:szCs w:val="20"/>
        </w:rPr>
      </w:pPr>
      <w:r>
        <w:rPr>
          <w:bCs/>
          <w:iCs/>
          <w:szCs w:val="20"/>
        </w:rPr>
        <w:t>Re</w:t>
      </w:r>
      <w:r w:rsidR="00C95008">
        <w:rPr>
          <w:bCs/>
          <w:iCs/>
          <w:szCs w:val="20"/>
        </w:rPr>
        <w:t xml:space="preserve">querir </w:t>
      </w:r>
      <w:r w:rsidR="009B4243" w:rsidRPr="009B03ED">
        <w:rPr>
          <w:bCs/>
          <w:iCs/>
        </w:rPr>
        <w:t>a</w:t>
      </w:r>
      <w:r w:rsidR="000D3741">
        <w:rPr>
          <w:bCs/>
          <w:iCs/>
        </w:rPr>
        <w:t xml:space="preserve"> la Comisión Interamericana de Derechos Humanos</w:t>
      </w:r>
      <w:r w:rsidR="009B4243" w:rsidRPr="009B03ED">
        <w:rPr>
          <w:bCs/>
          <w:iCs/>
        </w:rPr>
        <w:t xml:space="preserve"> que coordine y realice las diligencias necesarias para que, una ve</w:t>
      </w:r>
      <w:r>
        <w:rPr>
          <w:bCs/>
          <w:iCs/>
        </w:rPr>
        <w:t xml:space="preserve">z recibidas las preguntas de las partes, </w:t>
      </w:r>
      <w:r w:rsidR="000D3741">
        <w:rPr>
          <w:bCs/>
          <w:iCs/>
        </w:rPr>
        <w:t xml:space="preserve">el perito </w:t>
      </w:r>
      <w:r w:rsidR="009B4243" w:rsidRPr="009B03ED">
        <w:rPr>
          <w:bCs/>
          <w:iCs/>
        </w:rPr>
        <w:t>incluya las respuestas en su declaración ante fedatario público, salvo que el Presidente disponga lo contrario cuando la Secretaría de la Corte las transmita.</w:t>
      </w:r>
    </w:p>
    <w:p w:rsidR="00C95008" w:rsidRPr="00C95008" w:rsidRDefault="00C95008" w:rsidP="00C95008">
      <w:pPr>
        <w:pStyle w:val="Prrafodelista"/>
        <w:rPr>
          <w:bCs/>
          <w:iCs/>
        </w:rPr>
      </w:pPr>
    </w:p>
    <w:p w:rsidR="00C11155" w:rsidRPr="00C95008" w:rsidRDefault="00C95008" w:rsidP="00C11155">
      <w:pPr>
        <w:pStyle w:val="Prrafodelista"/>
        <w:numPr>
          <w:ilvl w:val="0"/>
          <w:numId w:val="23"/>
        </w:numPr>
        <w:autoSpaceDE w:val="0"/>
        <w:autoSpaceDN w:val="0"/>
        <w:adjustRightInd w:val="0"/>
        <w:spacing w:after="0"/>
        <w:ind w:left="0" w:firstLine="0"/>
        <w:rPr>
          <w:rFonts w:cs="Verdana"/>
          <w:color w:val="000000"/>
          <w:szCs w:val="20"/>
          <w:lang w:val="es-CR"/>
        </w:rPr>
      </w:pPr>
      <w:r w:rsidRPr="00C95008">
        <w:rPr>
          <w:bCs/>
          <w:iCs/>
        </w:rPr>
        <w:t>Requerir que d</w:t>
      </w:r>
      <w:r w:rsidRPr="00C95008">
        <w:rPr>
          <w:bCs/>
          <w:iCs/>
          <w:szCs w:val="20"/>
        </w:rPr>
        <w:t>icho peritaje</w:t>
      </w:r>
      <w:r w:rsidR="009B4243" w:rsidRPr="00C95008">
        <w:rPr>
          <w:bCs/>
          <w:iCs/>
          <w:szCs w:val="20"/>
        </w:rPr>
        <w:t xml:space="preserve"> </w:t>
      </w:r>
      <w:r w:rsidR="00637C49">
        <w:rPr>
          <w:bCs/>
          <w:iCs/>
          <w:szCs w:val="20"/>
        </w:rPr>
        <w:t xml:space="preserve">se presente </w:t>
      </w:r>
      <w:r w:rsidRPr="00C95008">
        <w:rPr>
          <w:bCs/>
          <w:iCs/>
          <w:szCs w:val="20"/>
        </w:rPr>
        <w:t xml:space="preserve">a la Corte en el plazo improrrogable que </w:t>
      </w:r>
      <w:r w:rsidRPr="00C130FB">
        <w:rPr>
          <w:bCs/>
          <w:iCs/>
          <w:szCs w:val="20"/>
        </w:rPr>
        <w:t xml:space="preserve">vence </w:t>
      </w:r>
      <w:r w:rsidR="009B4243" w:rsidRPr="00C130FB">
        <w:rPr>
          <w:bCs/>
          <w:iCs/>
          <w:szCs w:val="20"/>
        </w:rPr>
        <w:t xml:space="preserve">el </w:t>
      </w:r>
      <w:r w:rsidR="00926506" w:rsidRPr="00C130FB">
        <w:rPr>
          <w:bCs/>
          <w:iCs/>
          <w:szCs w:val="20"/>
        </w:rPr>
        <w:t>18</w:t>
      </w:r>
      <w:r w:rsidR="000D3741" w:rsidRPr="00C130FB">
        <w:rPr>
          <w:bCs/>
          <w:iCs/>
          <w:szCs w:val="20"/>
        </w:rPr>
        <w:t xml:space="preserve"> de marzo</w:t>
      </w:r>
      <w:r w:rsidR="000D3741" w:rsidRPr="00C95008">
        <w:rPr>
          <w:bCs/>
          <w:iCs/>
          <w:szCs w:val="20"/>
        </w:rPr>
        <w:t xml:space="preserve"> de 20</w:t>
      </w:r>
      <w:r w:rsidR="00926506" w:rsidRPr="00C95008">
        <w:rPr>
          <w:bCs/>
          <w:iCs/>
          <w:szCs w:val="20"/>
        </w:rPr>
        <w:t>19</w:t>
      </w:r>
      <w:r w:rsidRPr="00C95008">
        <w:rPr>
          <w:bCs/>
          <w:iCs/>
          <w:szCs w:val="20"/>
        </w:rPr>
        <w:t xml:space="preserve">, y modificar en lo pertinente, </w:t>
      </w:r>
      <w:r w:rsidR="007F0D2A">
        <w:rPr>
          <w:bCs/>
          <w:iCs/>
          <w:szCs w:val="20"/>
        </w:rPr>
        <w:t>el</w:t>
      </w:r>
      <w:r w:rsidRPr="00C95008">
        <w:rPr>
          <w:bCs/>
          <w:iCs/>
          <w:szCs w:val="20"/>
        </w:rPr>
        <w:t xml:space="preserve"> punto resolutivo </w:t>
      </w:r>
      <w:r w:rsidR="00857FE4">
        <w:rPr>
          <w:bCs/>
          <w:iCs/>
          <w:szCs w:val="20"/>
        </w:rPr>
        <w:t>5</w:t>
      </w:r>
      <w:r w:rsidRPr="00C95008">
        <w:rPr>
          <w:bCs/>
          <w:iCs/>
          <w:szCs w:val="20"/>
        </w:rPr>
        <w:t xml:space="preserve"> de las Resoluciones del Presidente de 14 de febrero de 2019 en </w:t>
      </w:r>
      <w:r>
        <w:rPr>
          <w:bCs/>
          <w:iCs/>
          <w:szCs w:val="20"/>
        </w:rPr>
        <w:t xml:space="preserve">los casos </w:t>
      </w:r>
      <w:r w:rsidRPr="00955EF7">
        <w:rPr>
          <w:rFonts w:cs="Verdana"/>
          <w:i/>
          <w:szCs w:val="20"/>
          <w:lang w:val="es-MX" w:eastAsia="en-US"/>
        </w:rPr>
        <w:t>Martínez Coronado</w:t>
      </w:r>
      <w:r>
        <w:rPr>
          <w:rFonts w:cs="Verdana"/>
          <w:szCs w:val="20"/>
          <w:lang w:val="es-MX" w:eastAsia="en-US"/>
        </w:rPr>
        <w:t xml:space="preserve">, y </w:t>
      </w:r>
      <w:r w:rsidRPr="00955EF7">
        <w:rPr>
          <w:rFonts w:cs="Verdana"/>
          <w:i/>
          <w:szCs w:val="20"/>
          <w:lang w:val="es-MX" w:eastAsia="en-US"/>
        </w:rPr>
        <w:t>Girón y otro</w:t>
      </w:r>
      <w:r>
        <w:rPr>
          <w:rFonts w:cs="Verdana"/>
          <w:i/>
          <w:szCs w:val="20"/>
          <w:lang w:val="es-MX" w:eastAsia="en-US"/>
        </w:rPr>
        <w:t>.</w:t>
      </w:r>
    </w:p>
    <w:p w:rsidR="00C95008" w:rsidRPr="00C95008" w:rsidRDefault="00C95008" w:rsidP="00C95008">
      <w:pPr>
        <w:pStyle w:val="Prrafodelista"/>
        <w:autoSpaceDE w:val="0"/>
        <w:autoSpaceDN w:val="0"/>
        <w:adjustRightInd w:val="0"/>
        <w:spacing w:after="0"/>
        <w:ind w:left="0"/>
        <w:rPr>
          <w:rFonts w:cs="Verdana"/>
          <w:color w:val="000000"/>
          <w:szCs w:val="20"/>
          <w:lang w:val="es-CR"/>
        </w:rPr>
      </w:pPr>
    </w:p>
    <w:p w:rsidR="00C11155" w:rsidRPr="00D37246" w:rsidRDefault="00C11155" w:rsidP="00C11155">
      <w:pPr>
        <w:autoSpaceDE w:val="0"/>
        <w:autoSpaceDN w:val="0"/>
        <w:adjustRightInd w:val="0"/>
        <w:spacing w:after="0"/>
        <w:rPr>
          <w:rFonts w:cs="Verdana"/>
          <w:color w:val="000000"/>
          <w:szCs w:val="20"/>
          <w:lang w:val="es-CR"/>
        </w:rPr>
      </w:pPr>
      <w:r>
        <w:rPr>
          <w:rFonts w:cs="Verdana"/>
          <w:color w:val="000000"/>
          <w:szCs w:val="20"/>
          <w:lang w:val="es-CR"/>
        </w:rPr>
        <w:t>5.</w:t>
      </w:r>
      <w:r>
        <w:rPr>
          <w:rFonts w:cs="Verdana"/>
          <w:color w:val="000000"/>
          <w:szCs w:val="20"/>
          <w:lang w:val="es-CR"/>
        </w:rPr>
        <w:tab/>
      </w:r>
      <w:r w:rsidRPr="00D37246">
        <w:rPr>
          <w:rFonts w:cs="Verdana"/>
          <w:color w:val="000000"/>
          <w:szCs w:val="20"/>
          <w:lang w:val="es-CR"/>
        </w:rPr>
        <w:t>Dis</w:t>
      </w:r>
      <w:r>
        <w:rPr>
          <w:rFonts w:cs="Verdana"/>
          <w:color w:val="000000"/>
          <w:szCs w:val="20"/>
          <w:lang w:val="es-CR"/>
        </w:rPr>
        <w:t>poner que, una vez recibida la</w:t>
      </w:r>
      <w:r w:rsidRPr="00D37246">
        <w:rPr>
          <w:rFonts w:cs="Verdana"/>
          <w:color w:val="000000"/>
          <w:szCs w:val="20"/>
          <w:lang w:val="es-CR"/>
        </w:rPr>
        <w:t xml:space="preserve"> </w:t>
      </w:r>
      <w:r>
        <w:rPr>
          <w:rFonts w:cs="Verdana"/>
          <w:color w:val="000000"/>
          <w:szCs w:val="20"/>
          <w:lang w:val="es-CR"/>
        </w:rPr>
        <w:t>declaración d</w:t>
      </w:r>
      <w:r w:rsidR="009B4243">
        <w:rPr>
          <w:rFonts w:cs="Verdana"/>
          <w:color w:val="000000"/>
          <w:szCs w:val="20"/>
          <w:lang w:val="es-CR"/>
        </w:rPr>
        <w:t>el</w:t>
      </w:r>
      <w:r w:rsidR="009B4243" w:rsidRPr="009B4243">
        <w:rPr>
          <w:rFonts w:cs="Verdana"/>
          <w:color w:val="000000"/>
          <w:szCs w:val="20"/>
          <w:lang w:val="es-CR"/>
        </w:rPr>
        <w:t xml:space="preserve"> </w:t>
      </w:r>
      <w:r w:rsidR="009B4243">
        <w:rPr>
          <w:rFonts w:cs="Verdana"/>
          <w:color w:val="000000"/>
          <w:szCs w:val="20"/>
          <w:lang w:val="es-CR"/>
        </w:rPr>
        <w:t>señor</w:t>
      </w:r>
      <w:r w:rsidR="009B4243" w:rsidRPr="003C4B4F">
        <w:rPr>
          <w:rFonts w:cs="Verdana"/>
          <w:color w:val="000000"/>
          <w:szCs w:val="20"/>
          <w:lang w:val="es-CR"/>
        </w:rPr>
        <w:t xml:space="preserve"> </w:t>
      </w:r>
      <w:proofErr w:type="spellStart"/>
      <w:r w:rsidR="009B4243">
        <w:rPr>
          <w:rFonts w:cs="Verdana"/>
          <w:szCs w:val="20"/>
          <w:lang w:val="es-MX" w:eastAsia="en-US"/>
        </w:rPr>
        <w:t>Parvais</w:t>
      </w:r>
      <w:proofErr w:type="spellEnd"/>
      <w:r w:rsidR="009B4243">
        <w:rPr>
          <w:rFonts w:cs="Verdana"/>
          <w:szCs w:val="20"/>
          <w:lang w:val="es-MX" w:eastAsia="en-US"/>
        </w:rPr>
        <w:t xml:space="preserve"> Jabbar</w:t>
      </w:r>
      <w:r w:rsidRPr="00D37246">
        <w:rPr>
          <w:rFonts w:cs="Verdana"/>
          <w:color w:val="000000"/>
          <w:szCs w:val="20"/>
          <w:lang w:val="es-CR"/>
        </w:rPr>
        <w:t>, la Secretaría de la Corte l</w:t>
      </w:r>
      <w:r>
        <w:rPr>
          <w:rFonts w:cs="Verdana"/>
          <w:color w:val="000000"/>
          <w:szCs w:val="20"/>
          <w:lang w:val="es-CR"/>
        </w:rPr>
        <w:t>a transmita a las partes y a</w:t>
      </w:r>
      <w:r w:rsidRPr="00D37246">
        <w:rPr>
          <w:rFonts w:cs="Verdana"/>
          <w:color w:val="000000"/>
          <w:szCs w:val="20"/>
          <w:lang w:val="es-CR"/>
        </w:rPr>
        <w:t xml:space="preserve"> </w:t>
      </w:r>
      <w:r>
        <w:rPr>
          <w:rFonts w:cs="Verdana"/>
          <w:color w:val="000000"/>
          <w:szCs w:val="20"/>
          <w:lang w:val="es-CR"/>
        </w:rPr>
        <w:t xml:space="preserve">Comisión Interamericana de Derechos Humanos, </w:t>
      </w:r>
      <w:r w:rsidR="00C95008">
        <w:rPr>
          <w:rFonts w:cs="Verdana"/>
          <w:color w:val="000000"/>
          <w:szCs w:val="20"/>
          <w:lang w:val="es-CR"/>
        </w:rPr>
        <w:t>para que</w:t>
      </w:r>
      <w:r w:rsidR="00557AEA">
        <w:rPr>
          <w:rFonts w:cs="Verdana"/>
          <w:color w:val="000000"/>
          <w:szCs w:val="20"/>
          <w:lang w:val="es-CR"/>
        </w:rPr>
        <w:t xml:space="preserve">, </w:t>
      </w:r>
      <w:r w:rsidRPr="00D37246">
        <w:rPr>
          <w:rFonts w:cs="Verdana"/>
          <w:color w:val="000000"/>
          <w:szCs w:val="20"/>
          <w:lang w:val="es-CR"/>
        </w:rPr>
        <w:t>presenten s</w:t>
      </w:r>
      <w:r>
        <w:rPr>
          <w:rFonts w:cs="Verdana"/>
          <w:color w:val="000000"/>
          <w:szCs w:val="20"/>
          <w:lang w:val="es-CR"/>
        </w:rPr>
        <w:t>us observaciones a dicha declaración, según corresponda</w:t>
      </w:r>
      <w:r w:rsidRPr="00D37246">
        <w:rPr>
          <w:rFonts w:cs="Verdana"/>
          <w:color w:val="000000"/>
          <w:szCs w:val="20"/>
          <w:lang w:val="es-CR"/>
        </w:rPr>
        <w:t xml:space="preserve">, a más tardar con sus alegatos u observaciones finales escritos. </w:t>
      </w:r>
    </w:p>
    <w:p w:rsidR="00C11155" w:rsidRPr="00A35DA6" w:rsidRDefault="00C11155" w:rsidP="00C11155">
      <w:pPr>
        <w:widowControl w:val="0"/>
        <w:autoSpaceDE w:val="0"/>
        <w:autoSpaceDN w:val="0"/>
        <w:adjustRightInd w:val="0"/>
        <w:spacing w:after="0"/>
        <w:ind w:right="18"/>
        <w:rPr>
          <w:rFonts w:cs="Verdana"/>
          <w:szCs w:val="20"/>
          <w:lang w:val="es-MX" w:eastAsia="en-US"/>
        </w:rPr>
      </w:pPr>
    </w:p>
    <w:p w:rsidR="00C11155" w:rsidRPr="00B43FED" w:rsidRDefault="00B43FED" w:rsidP="00B43FED">
      <w:pPr>
        <w:widowControl w:val="0"/>
        <w:autoSpaceDE w:val="0"/>
        <w:autoSpaceDN w:val="0"/>
        <w:adjustRightInd w:val="0"/>
        <w:spacing w:after="0"/>
        <w:ind w:right="18"/>
        <w:rPr>
          <w:rFonts w:cs="Verdana"/>
          <w:szCs w:val="20"/>
          <w:lang w:val="es-MX" w:eastAsia="en-US"/>
        </w:rPr>
      </w:pPr>
      <w:r>
        <w:rPr>
          <w:rFonts w:cs="Verdana"/>
          <w:color w:val="000000"/>
          <w:szCs w:val="20"/>
          <w:lang w:val="es-CR"/>
        </w:rPr>
        <w:t>6.</w:t>
      </w:r>
      <w:r>
        <w:rPr>
          <w:rFonts w:cs="Verdana"/>
          <w:color w:val="000000"/>
          <w:szCs w:val="20"/>
          <w:lang w:val="es-CR"/>
        </w:rPr>
        <w:tab/>
      </w:r>
      <w:r w:rsidR="00C11155" w:rsidRPr="00B43FED">
        <w:rPr>
          <w:rFonts w:cs="Verdana"/>
          <w:color w:val="000000"/>
          <w:szCs w:val="20"/>
          <w:lang w:val="es-CR"/>
        </w:rPr>
        <w:t xml:space="preserve">Disponer que la Secretaría de la Corte Interamericana notifique la presente Resolución a la Comisión Interamericana de Derechos Humanos, a los representantes de las presuntas </w:t>
      </w:r>
      <w:r w:rsidR="009B4243" w:rsidRPr="00B43FED">
        <w:rPr>
          <w:rFonts w:cs="Verdana"/>
          <w:color w:val="000000"/>
          <w:szCs w:val="20"/>
          <w:lang w:val="es-CR"/>
        </w:rPr>
        <w:t>víctimas y al Estado de Guatemala</w:t>
      </w:r>
      <w:r w:rsidR="00C11155" w:rsidRPr="00B43FED">
        <w:rPr>
          <w:rFonts w:cs="Verdana"/>
          <w:color w:val="000000"/>
          <w:szCs w:val="20"/>
          <w:lang w:val="es-CR"/>
        </w:rPr>
        <w:t>.</w:t>
      </w:r>
      <w:r w:rsidR="00C11155" w:rsidRPr="00B43FED">
        <w:rPr>
          <w:rFonts w:cs="Verdana"/>
          <w:szCs w:val="20"/>
          <w:lang w:val="es-MX" w:eastAsia="en-US"/>
        </w:rPr>
        <w:t xml:space="preserve"> </w:t>
      </w:r>
    </w:p>
    <w:p w:rsidR="007511E0" w:rsidRPr="00E77227" w:rsidRDefault="007511E0" w:rsidP="007511E0">
      <w:pPr>
        <w:spacing w:after="0"/>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p>
    <w:p w:rsidR="00EC4171" w:rsidRDefault="00EC4171" w:rsidP="00EC4171">
      <w:pPr>
        <w:spacing w:after="0"/>
        <w:jc w:val="right"/>
        <w:rPr>
          <w:szCs w:val="20"/>
          <w:lang w:val="es-MX"/>
        </w:rPr>
      </w:pPr>
      <w:r>
        <w:rPr>
          <w:szCs w:val="20"/>
          <w:lang w:val="es-MX"/>
        </w:rPr>
        <w:t>Eduardo Ferrer Mac-</w:t>
      </w:r>
      <w:proofErr w:type="spellStart"/>
      <w:r>
        <w:rPr>
          <w:szCs w:val="20"/>
          <w:lang w:val="es-MX"/>
        </w:rPr>
        <w:t>Gregor</w:t>
      </w:r>
      <w:proofErr w:type="spellEnd"/>
      <w:r>
        <w:rPr>
          <w:szCs w:val="20"/>
          <w:lang w:val="es-MX"/>
        </w:rPr>
        <w:t xml:space="preserve"> </w:t>
      </w:r>
      <w:proofErr w:type="spellStart"/>
      <w:r>
        <w:rPr>
          <w:szCs w:val="20"/>
          <w:lang w:val="es-MX"/>
        </w:rPr>
        <w:t>Poisot</w:t>
      </w:r>
      <w:proofErr w:type="spellEnd"/>
    </w:p>
    <w:p w:rsidR="00EC4171" w:rsidRDefault="00EC4171" w:rsidP="00EC4171">
      <w:pPr>
        <w:spacing w:after="0"/>
        <w:ind w:left="4320" w:firstLine="720"/>
        <w:jc w:val="center"/>
        <w:rPr>
          <w:szCs w:val="20"/>
          <w:lang w:val="es-MX"/>
        </w:rPr>
      </w:pPr>
      <w:r>
        <w:rPr>
          <w:szCs w:val="20"/>
          <w:lang w:val="es-MX"/>
        </w:rPr>
        <w:t>Presidente</w:t>
      </w:r>
    </w:p>
    <w:p w:rsidR="00EC4171" w:rsidRDefault="00EC4171" w:rsidP="00EC4171">
      <w:pPr>
        <w:spacing w:after="0"/>
        <w:jc w:val="right"/>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p>
    <w:p w:rsidR="00EC4171" w:rsidRDefault="00EC4171" w:rsidP="007511E0">
      <w:pPr>
        <w:spacing w:after="0"/>
        <w:rPr>
          <w:szCs w:val="20"/>
          <w:lang w:val="es-MX"/>
        </w:rPr>
      </w:pPr>
      <w:r>
        <w:rPr>
          <w:szCs w:val="20"/>
          <w:lang w:val="es-MX"/>
        </w:rPr>
        <w:t>Pablo Saavedra Alessandri</w:t>
      </w:r>
    </w:p>
    <w:p w:rsidR="00BF5D4F" w:rsidRDefault="00EC4171" w:rsidP="00EC4171">
      <w:pPr>
        <w:spacing w:after="0"/>
      </w:pPr>
      <w:r>
        <w:rPr>
          <w:szCs w:val="20"/>
          <w:lang w:val="es-MX"/>
        </w:rPr>
        <w:t xml:space="preserve">          Secretario </w:t>
      </w:r>
    </w:p>
    <w:sectPr w:rsidR="00BF5D4F" w:rsidSect="00EC4171">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E6B" w:rsidRDefault="00646E6B" w:rsidP="007511E0">
      <w:pPr>
        <w:spacing w:after="0"/>
      </w:pPr>
      <w:r>
        <w:separator/>
      </w:r>
    </w:p>
  </w:endnote>
  <w:endnote w:type="continuationSeparator" w:id="0">
    <w:p w:rsidR="00646E6B" w:rsidRDefault="00646E6B" w:rsidP="00751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Arial"/>
    <w:charset w:val="00"/>
    <w:family w:val="swiss"/>
    <w:pitch w:val="variable"/>
    <w:sig w:usb0="00000001"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E6B" w:rsidRDefault="00646E6B" w:rsidP="007511E0">
      <w:pPr>
        <w:spacing w:after="0"/>
      </w:pPr>
      <w:r>
        <w:separator/>
      </w:r>
    </w:p>
  </w:footnote>
  <w:footnote w:type="continuationSeparator" w:id="0">
    <w:p w:rsidR="00646E6B" w:rsidRDefault="00646E6B" w:rsidP="00751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A0C" w:rsidRDefault="009B5A0C">
    <w:pPr>
      <w:pStyle w:val="Encabezado"/>
      <w:jc w:val="center"/>
    </w:pPr>
    <w:r>
      <w:t>-</w:t>
    </w:r>
    <w:sdt>
      <w:sdtPr>
        <w:id w:val="-1718731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7227">
          <w:rPr>
            <w:noProof/>
          </w:rPr>
          <w:t>2</w:t>
        </w:r>
        <w:r>
          <w:rPr>
            <w:noProof/>
          </w:rPr>
          <w:fldChar w:fldCharType="end"/>
        </w:r>
        <w:r>
          <w:rPr>
            <w:noProof/>
          </w:rPr>
          <w:t>-</w:t>
        </w:r>
      </w:sdtContent>
    </w:sdt>
  </w:p>
  <w:p w:rsidR="009B5A0C" w:rsidRDefault="009B5A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FF"/>
    <w:multiLevelType w:val="hybridMultilevel"/>
    <w:tmpl w:val="F5FE9CEA"/>
    <w:lvl w:ilvl="0" w:tplc="2CA07100">
      <w:start w:val="1"/>
      <w:numFmt w:val="upperLetter"/>
      <w:lvlText w:val="%1."/>
      <w:lvlJc w:val="left"/>
      <w:pPr>
        <w:ind w:left="720" w:hanging="360"/>
      </w:pPr>
      <w:rPr>
        <w:b/>
        <w:i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54BC6"/>
    <w:multiLevelType w:val="hybridMultilevel"/>
    <w:tmpl w:val="4F3E5260"/>
    <w:lvl w:ilvl="0" w:tplc="9B6603F0">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C0FE4"/>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3" w15:restartNumberingAfterBreak="0">
    <w:nsid w:val="0A76073F"/>
    <w:multiLevelType w:val="hybridMultilevel"/>
    <w:tmpl w:val="6B446F10"/>
    <w:lvl w:ilvl="0" w:tplc="9E4EA10A">
      <w:start w:val="8"/>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E9E6B18"/>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A4E6B2F"/>
    <w:multiLevelType w:val="hybridMultilevel"/>
    <w:tmpl w:val="EE665104"/>
    <w:lvl w:ilvl="0" w:tplc="140A000F">
      <w:start w:val="1"/>
      <w:numFmt w:val="decimal"/>
      <w:lvlText w:val="%1."/>
      <w:lvlJc w:val="left"/>
      <w:pPr>
        <w:ind w:left="1429"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7" w15:restartNumberingAfterBreak="0">
    <w:nsid w:val="20841E2D"/>
    <w:multiLevelType w:val="hybridMultilevel"/>
    <w:tmpl w:val="76C83E96"/>
    <w:lvl w:ilvl="0" w:tplc="507E5A10">
      <w:start w:val="4"/>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1283FE2"/>
    <w:multiLevelType w:val="hybridMultilevel"/>
    <w:tmpl w:val="EE665104"/>
    <w:lvl w:ilvl="0" w:tplc="140A000F">
      <w:start w:val="1"/>
      <w:numFmt w:val="decimal"/>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9" w15:restartNumberingAfterBreak="0">
    <w:nsid w:val="2A5A7305"/>
    <w:multiLevelType w:val="hybridMultilevel"/>
    <w:tmpl w:val="3B06D3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A26AB"/>
    <w:multiLevelType w:val="hybridMultilevel"/>
    <w:tmpl w:val="F2A42086"/>
    <w:lvl w:ilvl="0" w:tplc="932C6BA4">
      <w:start w:val="1"/>
      <w:numFmt w:val="upperLetter"/>
      <w:lvlText w:val="%1."/>
      <w:lvlJc w:val="left"/>
      <w:pPr>
        <w:ind w:left="720" w:hanging="360"/>
      </w:pPr>
      <w:rPr>
        <w:b/>
      </w:rPr>
    </w:lvl>
    <w:lvl w:ilvl="1" w:tplc="5F7EDA1C">
      <w:start w:val="2"/>
      <w:numFmt w:val="decimal"/>
      <w:lvlText w:val="%2)"/>
      <w:lvlJc w:val="left"/>
      <w:pPr>
        <w:ind w:left="1353" w:hanging="360"/>
      </w:pPr>
      <w:rPr>
        <w:rFonts w:hint="default"/>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15:restartNumberingAfterBreak="0">
    <w:nsid w:val="42310AF8"/>
    <w:multiLevelType w:val="hybridMultilevel"/>
    <w:tmpl w:val="C87E09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75B55"/>
    <w:multiLevelType w:val="hybridMultilevel"/>
    <w:tmpl w:val="2528F1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42C5A46"/>
    <w:multiLevelType w:val="hybridMultilevel"/>
    <w:tmpl w:val="75C0A094"/>
    <w:lvl w:ilvl="0" w:tplc="C04CA87A">
      <w:start w:val="1"/>
      <w:numFmt w:val="decimal"/>
      <w:lvlText w:val="%1."/>
      <w:lvlJc w:val="left"/>
      <w:pPr>
        <w:ind w:left="644" w:hanging="360"/>
      </w:pPr>
      <w:rPr>
        <w:rFonts w:ascii="Verdana" w:hAnsi="Verdana" w:hint="default"/>
        <w:b w:val="0"/>
        <w:sz w:val="20"/>
        <w:szCs w:val="20"/>
      </w:rPr>
    </w:lvl>
    <w:lvl w:ilvl="1" w:tplc="140A0019">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5" w15:restartNumberingAfterBreak="0">
    <w:nsid w:val="547846BE"/>
    <w:multiLevelType w:val="multilevel"/>
    <w:tmpl w:val="A268ED9E"/>
    <w:lvl w:ilvl="0">
      <w:start w:val="1"/>
      <w:numFmt w:val="decimal"/>
      <w:lvlText w:val="%1."/>
      <w:lvlJc w:val="left"/>
      <w:pPr>
        <w:ind w:left="1170" w:hanging="360"/>
      </w:pPr>
      <w:rPr>
        <w:rFonts w:ascii="Verdana" w:hAnsi="Verdana" w:hint="default"/>
        <w:b w:val="0"/>
        <w:i w:val="0"/>
        <w:sz w:val="20"/>
        <w:szCs w:val="20"/>
      </w:rPr>
    </w:lvl>
    <w:lvl w:ilvl="1">
      <w:start w:val="1"/>
      <w:numFmt w:val="lowerLetter"/>
      <w:lvlText w:val="%2."/>
      <w:lvlJc w:val="left"/>
      <w:pPr>
        <w:ind w:left="2160" w:hanging="36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55514F10"/>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6C2C1F"/>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8" w15:restartNumberingAfterBreak="0">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8154407"/>
    <w:multiLevelType w:val="hybridMultilevel"/>
    <w:tmpl w:val="FFFCF612"/>
    <w:lvl w:ilvl="0" w:tplc="E83A9E88">
      <w:start w:val="1"/>
      <w:numFmt w:val="decimal"/>
      <w:lvlText w:val="%1."/>
      <w:lvlJc w:val="left"/>
      <w:pPr>
        <w:tabs>
          <w:tab w:val="num" w:pos="680"/>
        </w:tabs>
      </w:pPr>
      <w:rPr>
        <w:rFonts w:hint="default"/>
        <w:b w:val="0"/>
        <w:bCs w:val="0"/>
        <w:i w:val="0"/>
        <w:iCs w:val="0"/>
        <w:strike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3F727DD"/>
    <w:multiLevelType w:val="hybridMultilevel"/>
    <w:tmpl w:val="EE665104"/>
    <w:lvl w:ilvl="0" w:tplc="140A000F">
      <w:start w:val="1"/>
      <w:numFmt w:val="decimal"/>
      <w:lvlText w:val="%1."/>
      <w:lvlJc w:val="left"/>
      <w:pPr>
        <w:ind w:left="2070" w:hanging="360"/>
      </w:pPr>
    </w:lvl>
    <w:lvl w:ilvl="1" w:tplc="140A0019">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2" w15:restartNumberingAfterBreak="0">
    <w:nsid w:val="76CB1953"/>
    <w:multiLevelType w:val="hybridMultilevel"/>
    <w:tmpl w:val="6FC2D0B2"/>
    <w:lvl w:ilvl="0" w:tplc="20781052">
      <w:start w:val="5"/>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8517E35"/>
    <w:multiLevelType w:val="hybridMultilevel"/>
    <w:tmpl w:val="F35CCCAA"/>
    <w:lvl w:ilvl="0" w:tplc="D2A2151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8"/>
  </w:num>
  <w:num w:numId="7">
    <w:abstractNumId w:val="2"/>
  </w:num>
  <w:num w:numId="8">
    <w:abstractNumId w:val="21"/>
  </w:num>
  <w:num w:numId="9">
    <w:abstractNumId w:val="17"/>
  </w:num>
  <w:num w:numId="10">
    <w:abstractNumId w:val="6"/>
  </w:num>
  <w:num w:numId="11">
    <w:abstractNumId w:val="4"/>
  </w:num>
  <w:num w:numId="12">
    <w:abstractNumId w:val="15"/>
  </w:num>
  <w:num w:numId="13">
    <w:abstractNumId w:val="16"/>
  </w:num>
  <w:num w:numId="14">
    <w:abstractNumId w:val="9"/>
  </w:num>
  <w:num w:numId="15">
    <w:abstractNumId w:val="7"/>
  </w:num>
  <w:num w:numId="16">
    <w:abstractNumId w:val="3"/>
  </w:num>
  <w:num w:numId="17">
    <w:abstractNumId w:val="22"/>
  </w:num>
  <w:num w:numId="18">
    <w:abstractNumId w:val="10"/>
  </w:num>
  <w:num w:numId="19">
    <w:abstractNumId w:val="12"/>
  </w:num>
  <w:num w:numId="20">
    <w:abstractNumId w:val="14"/>
  </w:num>
  <w:num w:numId="21">
    <w:abstractNumId w:val="20"/>
  </w:num>
  <w:num w:numId="22">
    <w:abstractNumId w:val="23"/>
  </w:num>
  <w:num w:numId="23">
    <w:abstractNumId w:val="5"/>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E0"/>
    <w:rsid w:val="00012193"/>
    <w:rsid w:val="00061B16"/>
    <w:rsid w:val="00072AF9"/>
    <w:rsid w:val="00072BB0"/>
    <w:rsid w:val="000813F4"/>
    <w:rsid w:val="00082F15"/>
    <w:rsid w:val="000D3741"/>
    <w:rsid w:val="000E1386"/>
    <w:rsid w:val="000E7940"/>
    <w:rsid w:val="001039C9"/>
    <w:rsid w:val="00112E47"/>
    <w:rsid w:val="00125C39"/>
    <w:rsid w:val="00125F32"/>
    <w:rsid w:val="001313DA"/>
    <w:rsid w:val="00141E43"/>
    <w:rsid w:val="001423E2"/>
    <w:rsid w:val="001443C7"/>
    <w:rsid w:val="001708DC"/>
    <w:rsid w:val="0017173F"/>
    <w:rsid w:val="00171EC3"/>
    <w:rsid w:val="00187DA2"/>
    <w:rsid w:val="00195066"/>
    <w:rsid w:val="001A2F9C"/>
    <w:rsid w:val="001A4EB7"/>
    <w:rsid w:val="001A4F23"/>
    <w:rsid w:val="001B4C40"/>
    <w:rsid w:val="001B7989"/>
    <w:rsid w:val="001D0E8D"/>
    <w:rsid w:val="001D3173"/>
    <w:rsid w:val="001F2D3E"/>
    <w:rsid w:val="00210F76"/>
    <w:rsid w:val="00214110"/>
    <w:rsid w:val="00233998"/>
    <w:rsid w:val="002649E2"/>
    <w:rsid w:val="00292E0A"/>
    <w:rsid w:val="00296E98"/>
    <w:rsid w:val="002A0607"/>
    <w:rsid w:val="002C0CFE"/>
    <w:rsid w:val="002D1B9B"/>
    <w:rsid w:val="002D5F03"/>
    <w:rsid w:val="002D6659"/>
    <w:rsid w:val="002D6C1E"/>
    <w:rsid w:val="002D721E"/>
    <w:rsid w:val="002E79C3"/>
    <w:rsid w:val="002F07C5"/>
    <w:rsid w:val="002F6E57"/>
    <w:rsid w:val="002F7CBB"/>
    <w:rsid w:val="0030713C"/>
    <w:rsid w:val="00307412"/>
    <w:rsid w:val="00310325"/>
    <w:rsid w:val="00315812"/>
    <w:rsid w:val="00320500"/>
    <w:rsid w:val="00326760"/>
    <w:rsid w:val="00336C6B"/>
    <w:rsid w:val="00373B3F"/>
    <w:rsid w:val="00384B12"/>
    <w:rsid w:val="00384B78"/>
    <w:rsid w:val="00391A37"/>
    <w:rsid w:val="0039368D"/>
    <w:rsid w:val="00394804"/>
    <w:rsid w:val="003A7F57"/>
    <w:rsid w:val="003B2CEB"/>
    <w:rsid w:val="003D351A"/>
    <w:rsid w:val="003D4EEC"/>
    <w:rsid w:val="003D5F25"/>
    <w:rsid w:val="003F091C"/>
    <w:rsid w:val="003F2A61"/>
    <w:rsid w:val="004005BF"/>
    <w:rsid w:val="00404008"/>
    <w:rsid w:val="00407457"/>
    <w:rsid w:val="00413506"/>
    <w:rsid w:val="0041416C"/>
    <w:rsid w:val="004218D7"/>
    <w:rsid w:val="00422F68"/>
    <w:rsid w:val="00436C15"/>
    <w:rsid w:val="004516CF"/>
    <w:rsid w:val="004535E6"/>
    <w:rsid w:val="0047543F"/>
    <w:rsid w:val="00486BE7"/>
    <w:rsid w:val="004917DE"/>
    <w:rsid w:val="004964E5"/>
    <w:rsid w:val="00496637"/>
    <w:rsid w:val="004A15F2"/>
    <w:rsid w:val="004A6515"/>
    <w:rsid w:val="004B5189"/>
    <w:rsid w:val="004C2C8A"/>
    <w:rsid w:val="004C7121"/>
    <w:rsid w:val="004E734B"/>
    <w:rsid w:val="004F1037"/>
    <w:rsid w:val="004F6953"/>
    <w:rsid w:val="0051073D"/>
    <w:rsid w:val="00531AFC"/>
    <w:rsid w:val="00532980"/>
    <w:rsid w:val="005409E3"/>
    <w:rsid w:val="005415CC"/>
    <w:rsid w:val="00542AB1"/>
    <w:rsid w:val="0054426F"/>
    <w:rsid w:val="005465FC"/>
    <w:rsid w:val="00551693"/>
    <w:rsid w:val="00557AEA"/>
    <w:rsid w:val="00573DFC"/>
    <w:rsid w:val="00576B67"/>
    <w:rsid w:val="0058290F"/>
    <w:rsid w:val="0058359E"/>
    <w:rsid w:val="005904E0"/>
    <w:rsid w:val="005904E6"/>
    <w:rsid w:val="00597DC9"/>
    <w:rsid w:val="005A1BAC"/>
    <w:rsid w:val="005A4102"/>
    <w:rsid w:val="005B245E"/>
    <w:rsid w:val="005B2D55"/>
    <w:rsid w:val="005B58EA"/>
    <w:rsid w:val="005B6A32"/>
    <w:rsid w:val="005C11CB"/>
    <w:rsid w:val="005D4F3A"/>
    <w:rsid w:val="005D700F"/>
    <w:rsid w:val="005E0F8B"/>
    <w:rsid w:val="0060053B"/>
    <w:rsid w:val="00602006"/>
    <w:rsid w:val="00611FDF"/>
    <w:rsid w:val="00617167"/>
    <w:rsid w:val="00617A22"/>
    <w:rsid w:val="00622BA5"/>
    <w:rsid w:val="00623D0B"/>
    <w:rsid w:val="00637441"/>
    <w:rsid w:val="00637C49"/>
    <w:rsid w:val="00642C33"/>
    <w:rsid w:val="00646E6B"/>
    <w:rsid w:val="00650863"/>
    <w:rsid w:val="006566FF"/>
    <w:rsid w:val="00657A93"/>
    <w:rsid w:val="0068159B"/>
    <w:rsid w:val="00691F04"/>
    <w:rsid w:val="006941D8"/>
    <w:rsid w:val="006945EE"/>
    <w:rsid w:val="006A0CD3"/>
    <w:rsid w:val="006A2EB0"/>
    <w:rsid w:val="006A4335"/>
    <w:rsid w:val="006A64E9"/>
    <w:rsid w:val="006B1A85"/>
    <w:rsid w:val="006E3178"/>
    <w:rsid w:val="006E4978"/>
    <w:rsid w:val="006E7286"/>
    <w:rsid w:val="006F5FD8"/>
    <w:rsid w:val="006F7974"/>
    <w:rsid w:val="00702B23"/>
    <w:rsid w:val="0070677C"/>
    <w:rsid w:val="00725096"/>
    <w:rsid w:val="007250EC"/>
    <w:rsid w:val="00735A05"/>
    <w:rsid w:val="00735C8E"/>
    <w:rsid w:val="007511E0"/>
    <w:rsid w:val="00753F63"/>
    <w:rsid w:val="007646C8"/>
    <w:rsid w:val="0077062D"/>
    <w:rsid w:val="00773671"/>
    <w:rsid w:val="00780BED"/>
    <w:rsid w:val="007950FC"/>
    <w:rsid w:val="007A0313"/>
    <w:rsid w:val="007A250F"/>
    <w:rsid w:val="007A3A29"/>
    <w:rsid w:val="007B14E0"/>
    <w:rsid w:val="007B68CC"/>
    <w:rsid w:val="007B774F"/>
    <w:rsid w:val="007B7DEA"/>
    <w:rsid w:val="007D1889"/>
    <w:rsid w:val="007D4BCB"/>
    <w:rsid w:val="007D701C"/>
    <w:rsid w:val="007E3B7C"/>
    <w:rsid w:val="007E6B40"/>
    <w:rsid w:val="007F0D2A"/>
    <w:rsid w:val="007F34DA"/>
    <w:rsid w:val="00801AE1"/>
    <w:rsid w:val="00814AAE"/>
    <w:rsid w:val="00827D83"/>
    <w:rsid w:val="00832417"/>
    <w:rsid w:val="008452B6"/>
    <w:rsid w:val="00852655"/>
    <w:rsid w:val="00856616"/>
    <w:rsid w:val="00857FE4"/>
    <w:rsid w:val="008621F4"/>
    <w:rsid w:val="00865239"/>
    <w:rsid w:val="008808AF"/>
    <w:rsid w:val="00895063"/>
    <w:rsid w:val="00897AA4"/>
    <w:rsid w:val="00897D41"/>
    <w:rsid w:val="008A30E7"/>
    <w:rsid w:val="008C40A1"/>
    <w:rsid w:val="008C5D88"/>
    <w:rsid w:val="008D066B"/>
    <w:rsid w:val="008D0B42"/>
    <w:rsid w:val="008D1797"/>
    <w:rsid w:val="008D2B25"/>
    <w:rsid w:val="008E1D3B"/>
    <w:rsid w:val="008E1FDE"/>
    <w:rsid w:val="008E2E5C"/>
    <w:rsid w:val="008E4E68"/>
    <w:rsid w:val="008E5CBA"/>
    <w:rsid w:val="00921888"/>
    <w:rsid w:val="009220E8"/>
    <w:rsid w:val="00926506"/>
    <w:rsid w:val="00931983"/>
    <w:rsid w:val="00933A97"/>
    <w:rsid w:val="00936A1D"/>
    <w:rsid w:val="00945666"/>
    <w:rsid w:val="00946930"/>
    <w:rsid w:val="00955EF7"/>
    <w:rsid w:val="00956116"/>
    <w:rsid w:val="009838F5"/>
    <w:rsid w:val="00983B88"/>
    <w:rsid w:val="009977FF"/>
    <w:rsid w:val="009A4D75"/>
    <w:rsid w:val="009A7AD0"/>
    <w:rsid w:val="009B4243"/>
    <w:rsid w:val="009B5A0C"/>
    <w:rsid w:val="009C5FA6"/>
    <w:rsid w:val="009E1A9E"/>
    <w:rsid w:val="009F141C"/>
    <w:rsid w:val="009F727D"/>
    <w:rsid w:val="00A00559"/>
    <w:rsid w:val="00A02268"/>
    <w:rsid w:val="00A03683"/>
    <w:rsid w:val="00A038E9"/>
    <w:rsid w:val="00A11A65"/>
    <w:rsid w:val="00A11EDC"/>
    <w:rsid w:val="00A138B7"/>
    <w:rsid w:val="00A23AE5"/>
    <w:rsid w:val="00A30318"/>
    <w:rsid w:val="00A53575"/>
    <w:rsid w:val="00A70D7E"/>
    <w:rsid w:val="00A829A4"/>
    <w:rsid w:val="00A976CC"/>
    <w:rsid w:val="00AA73A0"/>
    <w:rsid w:val="00AC660C"/>
    <w:rsid w:val="00AD7181"/>
    <w:rsid w:val="00AF5E98"/>
    <w:rsid w:val="00B1044D"/>
    <w:rsid w:val="00B11A0B"/>
    <w:rsid w:val="00B205BC"/>
    <w:rsid w:val="00B239DB"/>
    <w:rsid w:val="00B26DED"/>
    <w:rsid w:val="00B27A57"/>
    <w:rsid w:val="00B317AC"/>
    <w:rsid w:val="00B404C9"/>
    <w:rsid w:val="00B41C63"/>
    <w:rsid w:val="00B43FED"/>
    <w:rsid w:val="00B57548"/>
    <w:rsid w:val="00B6320D"/>
    <w:rsid w:val="00B8202C"/>
    <w:rsid w:val="00B83B34"/>
    <w:rsid w:val="00B962D0"/>
    <w:rsid w:val="00BA4E9B"/>
    <w:rsid w:val="00BB5C2D"/>
    <w:rsid w:val="00BC1F80"/>
    <w:rsid w:val="00BC43CA"/>
    <w:rsid w:val="00BC7492"/>
    <w:rsid w:val="00BD5FBA"/>
    <w:rsid w:val="00BE2A0A"/>
    <w:rsid w:val="00BF1B4C"/>
    <w:rsid w:val="00BF5D4F"/>
    <w:rsid w:val="00C07475"/>
    <w:rsid w:val="00C11155"/>
    <w:rsid w:val="00C130FB"/>
    <w:rsid w:val="00C23C78"/>
    <w:rsid w:val="00C26285"/>
    <w:rsid w:val="00C301CA"/>
    <w:rsid w:val="00C478A9"/>
    <w:rsid w:val="00C65C2D"/>
    <w:rsid w:val="00C65FE8"/>
    <w:rsid w:val="00C71AD8"/>
    <w:rsid w:val="00C804F8"/>
    <w:rsid w:val="00C85316"/>
    <w:rsid w:val="00C87896"/>
    <w:rsid w:val="00C95008"/>
    <w:rsid w:val="00CA70D8"/>
    <w:rsid w:val="00CB72EE"/>
    <w:rsid w:val="00CB76DC"/>
    <w:rsid w:val="00CD2432"/>
    <w:rsid w:val="00CD3366"/>
    <w:rsid w:val="00CE16DB"/>
    <w:rsid w:val="00CE1B7A"/>
    <w:rsid w:val="00CF16E2"/>
    <w:rsid w:val="00CF3ECC"/>
    <w:rsid w:val="00CF3F4B"/>
    <w:rsid w:val="00D072DF"/>
    <w:rsid w:val="00D11D99"/>
    <w:rsid w:val="00D276AE"/>
    <w:rsid w:val="00D47E50"/>
    <w:rsid w:val="00D71602"/>
    <w:rsid w:val="00D87531"/>
    <w:rsid w:val="00D9094F"/>
    <w:rsid w:val="00DA2B83"/>
    <w:rsid w:val="00DA4D2F"/>
    <w:rsid w:val="00DB7077"/>
    <w:rsid w:val="00DC142B"/>
    <w:rsid w:val="00DD384A"/>
    <w:rsid w:val="00DD39CC"/>
    <w:rsid w:val="00DE739F"/>
    <w:rsid w:val="00DF110A"/>
    <w:rsid w:val="00E0081A"/>
    <w:rsid w:val="00E0732F"/>
    <w:rsid w:val="00E079E7"/>
    <w:rsid w:val="00E25421"/>
    <w:rsid w:val="00E262CB"/>
    <w:rsid w:val="00E31101"/>
    <w:rsid w:val="00E42747"/>
    <w:rsid w:val="00E44BDF"/>
    <w:rsid w:val="00E473B5"/>
    <w:rsid w:val="00E62084"/>
    <w:rsid w:val="00E674E3"/>
    <w:rsid w:val="00E72774"/>
    <w:rsid w:val="00E74703"/>
    <w:rsid w:val="00E77227"/>
    <w:rsid w:val="00E87012"/>
    <w:rsid w:val="00EA3127"/>
    <w:rsid w:val="00EA7C59"/>
    <w:rsid w:val="00EB179D"/>
    <w:rsid w:val="00EC4171"/>
    <w:rsid w:val="00EC7647"/>
    <w:rsid w:val="00ED66EB"/>
    <w:rsid w:val="00EE6148"/>
    <w:rsid w:val="00EF5AC1"/>
    <w:rsid w:val="00F056A7"/>
    <w:rsid w:val="00F06747"/>
    <w:rsid w:val="00F16F9A"/>
    <w:rsid w:val="00F218AF"/>
    <w:rsid w:val="00F36F03"/>
    <w:rsid w:val="00F53A54"/>
    <w:rsid w:val="00F67B23"/>
    <w:rsid w:val="00F724B7"/>
    <w:rsid w:val="00F82D48"/>
    <w:rsid w:val="00F920BF"/>
    <w:rsid w:val="00F92B40"/>
    <w:rsid w:val="00F9473D"/>
    <w:rsid w:val="00FA2094"/>
    <w:rsid w:val="00FA6043"/>
    <w:rsid w:val="00FB1228"/>
    <w:rsid w:val="00FC375C"/>
    <w:rsid w:val="00FD0111"/>
    <w:rsid w:val="00FD1604"/>
    <w:rsid w:val="00FE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91720-6518-42ED-B893-D29F7FBE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E0"/>
    <w:pPr>
      <w:spacing w:after="120" w:line="240" w:lineRule="auto"/>
      <w:jc w:val="both"/>
    </w:pPr>
    <w:rPr>
      <w:rFonts w:ascii="Verdana" w:eastAsia="Calibri" w:hAnsi="Verdana" w:cs="Time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locked/>
    <w:rsid w:val="007511E0"/>
    <w:rPr>
      <w:rFonts w:ascii="Verdana" w:eastAsia="Calibri" w:hAnsi="Verdana" w:cs="Times"/>
      <w:sz w:val="16"/>
      <w:szCs w:val="20"/>
      <w:lang w:val="es-ES_tradnl"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autoRedefine/>
    <w:unhideWhenUsed/>
    <w:qFormat/>
    <w:rsid w:val="007511E0"/>
    <w:pPr>
      <w:tabs>
        <w:tab w:val="left" w:pos="567"/>
      </w:tabs>
    </w:pPr>
    <w:rPr>
      <w:sz w:val="16"/>
      <w:szCs w:val="20"/>
    </w:rPr>
  </w:style>
  <w:style w:type="character" w:customStyle="1" w:styleId="FootnoteTextChar1">
    <w:name w:val="Footnote Text Char1"/>
    <w:basedOn w:val="Fuentedeprrafopredeter"/>
    <w:uiPriority w:val="99"/>
    <w:semiHidden/>
    <w:rsid w:val="007511E0"/>
    <w:rPr>
      <w:rFonts w:ascii="Verdana" w:eastAsia="Calibri" w:hAnsi="Verdana" w:cs="Times"/>
      <w:sz w:val="20"/>
      <w:szCs w:val="20"/>
      <w:lang w:val="es-ES_tradnl" w:eastAsia="es-ES"/>
    </w:rPr>
  </w:style>
  <w:style w:type="paragraph" w:styleId="Prrafodelista">
    <w:name w:val="List Paragraph"/>
    <w:aliases w:val="Footnote,List Paragraph2,Lista vistosa - Énfasis 11,Párrafo de lista1,List Paragraph1"/>
    <w:basedOn w:val="Normal"/>
    <w:link w:val="PrrafodelistaCar"/>
    <w:uiPriority w:val="34"/>
    <w:qFormat/>
    <w:rsid w:val="007511E0"/>
    <w:pPr>
      <w:ind w:left="720"/>
      <w:contextualSpacing/>
    </w:p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link w:val="4GChar"/>
    <w:unhideWhenUsed/>
    <w:qFormat/>
    <w:rsid w:val="007511E0"/>
    <w:rPr>
      <w:vertAlign w:val="superscript"/>
    </w:rPr>
  </w:style>
  <w:style w:type="character" w:customStyle="1" w:styleId="PrrafodelistaCar">
    <w:name w:val="Párrafo de lista Car"/>
    <w:aliases w:val="Footnote Car,List Paragraph2 Car,Lista vistosa - Énfasis 11 Car,Párrafo de lista1 Car,List Paragraph1 Car"/>
    <w:link w:val="Prrafodelista"/>
    <w:uiPriority w:val="99"/>
    <w:locked/>
    <w:rsid w:val="007511E0"/>
    <w:rPr>
      <w:rFonts w:ascii="Verdana" w:eastAsia="Calibri" w:hAnsi="Verdana" w:cs="Times"/>
      <w:sz w:val="20"/>
      <w:szCs w:val="24"/>
      <w:lang w:val="es-ES_tradnl" w:eastAsia="es-ES"/>
    </w:rPr>
  </w:style>
  <w:style w:type="paragraph" w:styleId="Encabezado">
    <w:name w:val="header"/>
    <w:basedOn w:val="Normal"/>
    <w:link w:val="EncabezadoCar"/>
    <w:uiPriority w:val="99"/>
    <w:unhideWhenUsed/>
    <w:rsid w:val="007511E0"/>
    <w:pPr>
      <w:tabs>
        <w:tab w:val="center" w:pos="4419"/>
        <w:tab w:val="right" w:pos="8838"/>
      </w:tabs>
      <w:spacing w:after="0"/>
    </w:pPr>
  </w:style>
  <w:style w:type="character" w:customStyle="1" w:styleId="EncabezadoCar">
    <w:name w:val="Encabezado Car"/>
    <w:basedOn w:val="Fuentedeprrafopredeter"/>
    <w:link w:val="Encabezado"/>
    <w:uiPriority w:val="99"/>
    <w:rsid w:val="007511E0"/>
    <w:rPr>
      <w:rFonts w:ascii="Verdana" w:eastAsia="Calibri" w:hAnsi="Verdana" w:cs="Times"/>
      <w:sz w:val="20"/>
      <w:szCs w:val="24"/>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511E0"/>
    <w:pPr>
      <w:spacing w:after="0"/>
    </w:pPr>
    <w:rPr>
      <w:rFonts w:asciiTheme="minorHAnsi" w:eastAsiaTheme="minorHAnsi" w:hAnsiTheme="minorHAnsi" w:cstheme="minorBidi"/>
      <w:sz w:val="22"/>
      <w:szCs w:val="22"/>
      <w:vertAlign w:val="superscript"/>
      <w:lang w:val="en-US" w:eastAsia="en-US"/>
    </w:rPr>
  </w:style>
  <w:style w:type="paragraph" w:styleId="Textodeglobo">
    <w:name w:val="Balloon Text"/>
    <w:basedOn w:val="Normal"/>
    <w:link w:val="TextodegloboCar"/>
    <w:uiPriority w:val="99"/>
    <w:semiHidden/>
    <w:unhideWhenUsed/>
    <w:rsid w:val="006E497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978"/>
    <w:rPr>
      <w:rFonts w:ascii="Tahoma" w:eastAsia="Calibri" w:hAnsi="Tahoma" w:cs="Tahoma"/>
      <w:sz w:val="16"/>
      <w:szCs w:val="16"/>
      <w:lang w:val="es-ES_tradnl" w:eastAsia="es-ES"/>
    </w:rPr>
  </w:style>
  <w:style w:type="paragraph" w:customStyle="1" w:styleId="Normal1">
    <w:name w:val="Normal1"/>
    <w:rsid w:val="007D1889"/>
    <w:pPr>
      <w:widowControl w:val="0"/>
      <w:spacing w:after="0" w:line="240" w:lineRule="auto"/>
    </w:pPr>
    <w:rPr>
      <w:rFonts w:ascii="Times New Roman" w:eastAsia="Times New Roman" w:hAnsi="Times New Roman" w:cs="Times New Roman"/>
      <w:sz w:val="24"/>
      <w:szCs w:val="24"/>
      <w:lang w:val="es-CR"/>
    </w:rPr>
  </w:style>
  <w:style w:type="paragraph" w:styleId="Textocomentario">
    <w:name w:val="annotation text"/>
    <w:basedOn w:val="Normal"/>
    <w:link w:val="TextocomentarioCar"/>
    <w:uiPriority w:val="99"/>
    <w:semiHidden/>
    <w:unhideWhenUsed/>
    <w:rsid w:val="007D1889"/>
    <w:pPr>
      <w:spacing w:after="200"/>
      <w:jc w:val="left"/>
    </w:pPr>
    <w:rPr>
      <w:rFonts w:asciiTheme="minorHAnsi" w:eastAsiaTheme="minorHAnsi" w:hAnsiTheme="minorHAnsi" w:cstheme="minorBidi"/>
      <w:szCs w:val="20"/>
      <w:lang w:val="en-US" w:eastAsia="en-US"/>
    </w:rPr>
  </w:style>
  <w:style w:type="character" w:customStyle="1" w:styleId="TextocomentarioCar">
    <w:name w:val="Texto comentario Car"/>
    <w:basedOn w:val="Fuentedeprrafopredeter"/>
    <w:link w:val="Textocomentario"/>
    <w:uiPriority w:val="99"/>
    <w:semiHidden/>
    <w:rsid w:val="007D1889"/>
    <w:rPr>
      <w:sz w:val="20"/>
      <w:szCs w:val="20"/>
    </w:rPr>
  </w:style>
  <w:style w:type="character" w:styleId="Refdecomentario">
    <w:name w:val="annotation reference"/>
    <w:basedOn w:val="Fuentedeprrafopredeter"/>
    <w:uiPriority w:val="99"/>
    <w:semiHidden/>
    <w:unhideWhenUsed/>
    <w:rsid w:val="008C5D88"/>
    <w:rPr>
      <w:sz w:val="16"/>
      <w:szCs w:val="16"/>
    </w:rPr>
  </w:style>
  <w:style w:type="paragraph" w:styleId="Asuntodelcomentario">
    <w:name w:val="annotation subject"/>
    <w:basedOn w:val="Textocomentario"/>
    <w:next w:val="Textocomentario"/>
    <w:link w:val="AsuntodelcomentarioCar"/>
    <w:uiPriority w:val="99"/>
    <w:semiHidden/>
    <w:unhideWhenUsed/>
    <w:rsid w:val="008C5D88"/>
    <w:pPr>
      <w:spacing w:after="120"/>
      <w:jc w:val="both"/>
    </w:pPr>
    <w:rPr>
      <w:rFonts w:ascii="Verdana" w:eastAsia="Calibri" w:hAnsi="Verdana" w:cs="Times"/>
      <w:b/>
      <w:bCs/>
      <w:lang w:val="es-ES_tradnl" w:eastAsia="es-ES"/>
    </w:rPr>
  </w:style>
  <w:style w:type="character" w:customStyle="1" w:styleId="AsuntodelcomentarioCar">
    <w:name w:val="Asunto del comentario Car"/>
    <w:basedOn w:val="TextocomentarioCar"/>
    <w:link w:val="Asuntodelcomentario"/>
    <w:uiPriority w:val="99"/>
    <w:semiHidden/>
    <w:rsid w:val="008C5D88"/>
    <w:rPr>
      <w:rFonts w:ascii="Verdana" w:eastAsia="Calibri" w:hAnsi="Verdana" w:cs="Times"/>
      <w:b/>
      <w:bCs/>
      <w:sz w:val="20"/>
      <w:szCs w:val="20"/>
      <w:lang w:val="es-ES_tradnl" w:eastAsia="es-ES"/>
    </w:rPr>
  </w:style>
  <w:style w:type="paragraph" w:styleId="Revisin">
    <w:name w:val="Revision"/>
    <w:hidden/>
    <w:uiPriority w:val="99"/>
    <w:semiHidden/>
    <w:rsid w:val="008C5D88"/>
    <w:pPr>
      <w:spacing w:after="0" w:line="240" w:lineRule="auto"/>
    </w:pPr>
    <w:rPr>
      <w:rFonts w:ascii="Verdana" w:eastAsia="Calibri" w:hAnsi="Verdana" w:cs="Times"/>
      <w:sz w:val="20"/>
      <w:szCs w:val="24"/>
      <w:lang w:val="es-ES_tradnl" w:eastAsia="es-ES"/>
    </w:rPr>
  </w:style>
  <w:style w:type="character" w:styleId="Nmerodelnea">
    <w:name w:val="line number"/>
    <w:basedOn w:val="Fuentedeprrafopredeter"/>
    <w:uiPriority w:val="99"/>
    <w:semiHidden/>
    <w:unhideWhenUsed/>
    <w:rsid w:val="0023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C3A0-23C2-4793-B52A-1E53E8F2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6621</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2019-03-04T19:54:00Z</cp:lastPrinted>
  <dcterms:created xsi:type="dcterms:W3CDTF">2019-05-27T16:22:00Z</dcterms:created>
  <dcterms:modified xsi:type="dcterms:W3CDTF">2019-05-27T16:22:00Z</dcterms:modified>
</cp:coreProperties>
</file>