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E3" w:rsidRPr="008D71F7" w:rsidRDefault="00F755E3" w:rsidP="004F2F1A">
      <w:pPr>
        <w:pStyle w:val="Heading1"/>
        <w:jc w:val="both"/>
        <w:rPr>
          <w:sz w:val="20"/>
          <w:szCs w:val="20"/>
          <w:lang w:val="es-ES"/>
        </w:rPr>
      </w:pPr>
    </w:p>
    <w:p w:rsidR="00F755E3" w:rsidRDefault="00F755E3" w:rsidP="004F2F1A">
      <w:pPr>
        <w:pStyle w:val="Heading1"/>
        <w:jc w:val="both"/>
        <w:rPr>
          <w:sz w:val="20"/>
          <w:szCs w:val="20"/>
          <w:lang w:val="es-ES"/>
        </w:rPr>
      </w:pPr>
    </w:p>
    <w:p w:rsidR="00F755E3" w:rsidRPr="008D71F7" w:rsidRDefault="00F755E3" w:rsidP="004F2F1A">
      <w:pPr>
        <w:pStyle w:val="Heading1"/>
        <w:jc w:val="both"/>
        <w:rPr>
          <w:sz w:val="20"/>
          <w:szCs w:val="20"/>
          <w:lang w:val="es-ES"/>
        </w:rPr>
      </w:pPr>
    </w:p>
    <w:p w:rsidR="00F755E3" w:rsidRDefault="00F755E3" w:rsidP="004F2F1A">
      <w:pPr>
        <w:pStyle w:val="Heading1"/>
        <w:jc w:val="both"/>
        <w:rPr>
          <w:sz w:val="20"/>
          <w:szCs w:val="20"/>
          <w:lang w:val="es-ES"/>
        </w:rPr>
      </w:pPr>
    </w:p>
    <w:p w:rsidR="00D83A95" w:rsidRDefault="00D83A95" w:rsidP="00D83A95">
      <w:pPr>
        <w:rPr>
          <w:lang w:val="es-ES" w:eastAsia="es-ES"/>
        </w:rPr>
      </w:pPr>
    </w:p>
    <w:p w:rsidR="00F755E3" w:rsidRPr="008D71F7" w:rsidRDefault="00F755E3" w:rsidP="004F2F1A">
      <w:pPr>
        <w:pStyle w:val="Heading1"/>
        <w:jc w:val="both"/>
        <w:rPr>
          <w:sz w:val="20"/>
          <w:szCs w:val="20"/>
          <w:lang w:val="es-ES"/>
        </w:rPr>
      </w:pPr>
    </w:p>
    <w:p w:rsidR="00F755E3" w:rsidRPr="008D71F7" w:rsidRDefault="00F755E3" w:rsidP="004F2F1A">
      <w:pPr>
        <w:pStyle w:val="Heading1"/>
        <w:jc w:val="both"/>
        <w:rPr>
          <w:sz w:val="20"/>
          <w:szCs w:val="20"/>
          <w:lang w:val="es-ES"/>
        </w:rPr>
      </w:pPr>
    </w:p>
    <w:p w:rsidR="00F755E3" w:rsidRDefault="00F755E3" w:rsidP="004F2F1A">
      <w:pPr>
        <w:pStyle w:val="Heading1"/>
        <w:jc w:val="both"/>
        <w:rPr>
          <w:sz w:val="20"/>
          <w:szCs w:val="20"/>
          <w:lang w:val="es-ES"/>
        </w:rPr>
      </w:pPr>
    </w:p>
    <w:p w:rsidR="0082319D" w:rsidRPr="0082319D" w:rsidRDefault="0082319D" w:rsidP="0082319D">
      <w:pPr>
        <w:rPr>
          <w:lang w:val="es-ES" w:eastAsia="es-ES"/>
        </w:rPr>
      </w:pPr>
    </w:p>
    <w:p w:rsidR="00F755E3" w:rsidRPr="008D71F7" w:rsidRDefault="00F755E3" w:rsidP="004F2F1A">
      <w:pPr>
        <w:pStyle w:val="Heading1"/>
        <w:rPr>
          <w:sz w:val="20"/>
          <w:szCs w:val="20"/>
          <w:lang w:val="es-ES"/>
        </w:rPr>
      </w:pPr>
      <w:r w:rsidRPr="008D71F7">
        <w:rPr>
          <w:sz w:val="20"/>
          <w:szCs w:val="20"/>
          <w:lang w:val="es-ES"/>
        </w:rPr>
        <w:softHyphen/>
      </w:r>
    </w:p>
    <w:p w:rsidR="00F755E3" w:rsidRPr="008D71F7" w:rsidRDefault="00F755E3" w:rsidP="004F2F1A">
      <w:pPr>
        <w:pStyle w:val="Heading1"/>
        <w:rPr>
          <w:sz w:val="20"/>
          <w:szCs w:val="20"/>
          <w:lang w:val="es-ES"/>
        </w:rPr>
      </w:pPr>
      <w:r w:rsidRPr="008D71F7">
        <w:rPr>
          <w:sz w:val="20"/>
          <w:szCs w:val="20"/>
          <w:lang w:val="es-ES"/>
        </w:rPr>
        <w:t>Resolución DE LA</w:t>
      </w:r>
    </w:p>
    <w:p w:rsidR="00F755E3" w:rsidRPr="008D71F7" w:rsidRDefault="00F755E3" w:rsidP="004F2F1A">
      <w:pPr>
        <w:spacing w:after="0" w:line="240" w:lineRule="auto"/>
        <w:jc w:val="center"/>
        <w:rPr>
          <w:rFonts w:ascii="Verdana" w:hAnsi="Verdana" w:cs="Verdana"/>
          <w:sz w:val="20"/>
          <w:szCs w:val="20"/>
          <w:lang w:val="es-ES" w:eastAsia="es-ES"/>
        </w:rPr>
      </w:pPr>
    </w:p>
    <w:p w:rsidR="00F755E3" w:rsidRPr="008D71F7" w:rsidRDefault="00F755E3" w:rsidP="004F2F1A">
      <w:pPr>
        <w:spacing w:after="0" w:line="240" w:lineRule="auto"/>
        <w:jc w:val="center"/>
        <w:rPr>
          <w:rFonts w:ascii="Verdana" w:hAnsi="Verdana" w:cs="Verdana"/>
          <w:b/>
          <w:bCs/>
          <w:caps/>
          <w:sz w:val="20"/>
          <w:szCs w:val="20"/>
          <w:lang w:val="es-ES"/>
        </w:rPr>
      </w:pPr>
      <w:r w:rsidRPr="008D71F7">
        <w:rPr>
          <w:rFonts w:ascii="Verdana" w:hAnsi="Verdana" w:cs="Verdana"/>
          <w:b/>
          <w:bCs/>
          <w:caps/>
          <w:sz w:val="20"/>
          <w:szCs w:val="20"/>
          <w:lang w:val="es-ES"/>
        </w:rPr>
        <w:t>Corte Interamericana de Derechos Humanos</w:t>
      </w:r>
    </w:p>
    <w:p w:rsidR="00F755E3" w:rsidRPr="008D71F7" w:rsidRDefault="00F755E3" w:rsidP="004F2F1A">
      <w:pPr>
        <w:spacing w:after="0" w:line="240" w:lineRule="auto"/>
        <w:jc w:val="center"/>
        <w:rPr>
          <w:rFonts w:ascii="Verdana" w:hAnsi="Verdana" w:cs="Verdana"/>
          <w:b/>
          <w:bCs/>
          <w:caps/>
          <w:sz w:val="20"/>
          <w:szCs w:val="20"/>
          <w:lang w:val="es-ES"/>
        </w:rPr>
      </w:pPr>
    </w:p>
    <w:p w:rsidR="00F755E3" w:rsidRPr="008D71F7" w:rsidRDefault="00F755E3" w:rsidP="004F2F1A">
      <w:pPr>
        <w:spacing w:after="0" w:line="240" w:lineRule="auto"/>
        <w:jc w:val="center"/>
        <w:rPr>
          <w:rFonts w:ascii="Verdana" w:hAnsi="Verdana" w:cs="Verdana"/>
          <w:b/>
          <w:bCs/>
          <w:caps/>
          <w:sz w:val="20"/>
          <w:szCs w:val="20"/>
          <w:lang w:val="es-ES"/>
        </w:rPr>
      </w:pPr>
      <w:r w:rsidRPr="008D71F7">
        <w:rPr>
          <w:rFonts w:ascii="Verdana" w:hAnsi="Verdana" w:cs="Verdana"/>
          <w:b/>
          <w:bCs/>
          <w:caps/>
          <w:sz w:val="20"/>
          <w:szCs w:val="20"/>
          <w:lang w:val="es-ES"/>
        </w:rPr>
        <w:t xml:space="preserve">de </w:t>
      </w:r>
      <w:r w:rsidR="0089435D">
        <w:rPr>
          <w:rFonts w:ascii="Verdana" w:hAnsi="Verdana" w:cs="Verdana"/>
          <w:b/>
          <w:bCs/>
          <w:caps/>
          <w:sz w:val="20"/>
          <w:szCs w:val="20"/>
          <w:lang w:val="es-ES"/>
        </w:rPr>
        <w:t>30</w:t>
      </w:r>
      <w:r w:rsidRPr="008D71F7">
        <w:rPr>
          <w:rFonts w:ascii="Verdana" w:hAnsi="Verdana" w:cs="Verdana"/>
          <w:b/>
          <w:bCs/>
          <w:caps/>
          <w:sz w:val="20"/>
          <w:szCs w:val="20"/>
          <w:lang w:val="es-ES"/>
        </w:rPr>
        <w:t xml:space="preserve"> DE MAYO DE 2013</w:t>
      </w:r>
    </w:p>
    <w:p w:rsidR="00F755E3" w:rsidRPr="008D71F7" w:rsidRDefault="00F755E3" w:rsidP="004F2F1A">
      <w:pPr>
        <w:spacing w:after="0" w:line="240" w:lineRule="auto"/>
        <w:rPr>
          <w:rFonts w:ascii="Verdana" w:hAnsi="Verdana" w:cs="Verdana"/>
          <w:b/>
          <w:bCs/>
          <w:caps/>
          <w:sz w:val="20"/>
          <w:szCs w:val="20"/>
          <w:lang w:val="es-ES"/>
        </w:rPr>
      </w:pPr>
    </w:p>
    <w:p w:rsidR="00F755E3" w:rsidRPr="008D71F7" w:rsidRDefault="00F755E3" w:rsidP="004F2F1A">
      <w:pPr>
        <w:spacing w:after="0" w:line="240" w:lineRule="auto"/>
        <w:jc w:val="center"/>
        <w:rPr>
          <w:rFonts w:ascii="Verdana" w:hAnsi="Verdana" w:cs="Verdana"/>
          <w:b/>
          <w:bCs/>
          <w:caps/>
          <w:sz w:val="20"/>
          <w:szCs w:val="20"/>
          <w:lang w:val="es-ES"/>
        </w:rPr>
      </w:pPr>
      <w:r w:rsidRPr="008D71F7">
        <w:rPr>
          <w:rFonts w:ascii="Verdana" w:hAnsi="Verdana" w:cs="Verdana"/>
          <w:b/>
          <w:bCs/>
          <w:caps/>
          <w:sz w:val="20"/>
          <w:szCs w:val="20"/>
          <w:lang w:val="es-ES"/>
        </w:rPr>
        <w:t>CASO RODRÍGUEZ VERA Y OTROS VS. COLOMBIA</w:t>
      </w:r>
    </w:p>
    <w:p w:rsidR="00F755E3" w:rsidRDefault="00F755E3" w:rsidP="004F0ACD">
      <w:pPr>
        <w:spacing w:before="120" w:after="120" w:line="240" w:lineRule="auto"/>
        <w:jc w:val="both"/>
        <w:rPr>
          <w:rFonts w:ascii="Verdana" w:hAnsi="Verdana" w:cs="Verdana"/>
          <w:b/>
          <w:bCs/>
          <w:caps/>
          <w:sz w:val="20"/>
          <w:szCs w:val="20"/>
          <w:lang w:val="es-ES"/>
        </w:rPr>
      </w:pPr>
    </w:p>
    <w:p w:rsidR="00EF3E46" w:rsidRDefault="00EF3E46" w:rsidP="004F0ACD">
      <w:pPr>
        <w:spacing w:before="120" w:after="120" w:line="240" w:lineRule="auto"/>
        <w:jc w:val="both"/>
        <w:rPr>
          <w:rFonts w:ascii="Verdana" w:hAnsi="Verdana" w:cs="Verdana"/>
          <w:b/>
          <w:bCs/>
          <w:caps/>
          <w:sz w:val="20"/>
          <w:szCs w:val="20"/>
          <w:lang w:val="es-ES"/>
        </w:rPr>
      </w:pPr>
    </w:p>
    <w:p w:rsidR="00EF3E46" w:rsidRPr="008D71F7" w:rsidRDefault="00EF3E46" w:rsidP="004F0ACD">
      <w:pPr>
        <w:spacing w:before="120" w:after="120" w:line="240" w:lineRule="auto"/>
        <w:jc w:val="both"/>
        <w:rPr>
          <w:rFonts w:ascii="Verdana" w:hAnsi="Verdana" w:cs="Verdana"/>
          <w:b/>
          <w:bCs/>
          <w:caps/>
          <w:sz w:val="20"/>
          <w:szCs w:val="20"/>
          <w:lang w:val="es-ES"/>
        </w:rPr>
      </w:pPr>
    </w:p>
    <w:p w:rsidR="00F755E3" w:rsidRPr="008D71F7" w:rsidRDefault="00F755E3" w:rsidP="004F0ACD">
      <w:pPr>
        <w:spacing w:before="120" w:after="120" w:line="240" w:lineRule="auto"/>
        <w:jc w:val="both"/>
        <w:rPr>
          <w:rFonts w:ascii="Verdana" w:hAnsi="Verdana" w:cs="Verdana"/>
          <w:b/>
          <w:bCs/>
          <w:caps/>
          <w:sz w:val="20"/>
          <w:szCs w:val="20"/>
          <w:lang w:val="es-ES"/>
        </w:rPr>
      </w:pPr>
      <w:r w:rsidRPr="008D71F7">
        <w:rPr>
          <w:rFonts w:ascii="Verdana" w:hAnsi="Verdana" w:cs="Verdana"/>
          <w:b/>
          <w:bCs/>
          <w:caps/>
          <w:sz w:val="20"/>
          <w:szCs w:val="20"/>
          <w:lang w:val="es-ES"/>
        </w:rPr>
        <w:t>Visto:</w:t>
      </w:r>
    </w:p>
    <w:p w:rsidR="00F755E3" w:rsidRPr="008D71F7" w:rsidRDefault="00F755E3" w:rsidP="004F0ACD">
      <w:pPr>
        <w:spacing w:before="120" w:after="120" w:line="240" w:lineRule="auto"/>
        <w:jc w:val="both"/>
        <w:rPr>
          <w:rFonts w:ascii="Verdana" w:hAnsi="Verdana" w:cs="Verdana"/>
          <w:b/>
          <w:bCs/>
          <w:caps/>
          <w:sz w:val="20"/>
          <w:szCs w:val="20"/>
          <w:lang w:val="es-ES"/>
        </w:rPr>
      </w:pPr>
    </w:p>
    <w:p w:rsidR="00F755E3" w:rsidRPr="008D71F7" w:rsidRDefault="00F755E3" w:rsidP="004F0ACD">
      <w:pPr>
        <w:pStyle w:val="ListParagraph"/>
        <w:spacing w:before="60" w:after="60"/>
        <w:rPr>
          <w:color w:val="FF0000"/>
          <w:lang w:val="es-ES"/>
        </w:rPr>
      </w:pPr>
      <w:bookmarkStart w:id="0" w:name="_Ref314691210"/>
      <w:bookmarkStart w:id="1" w:name="_Ref343554304"/>
      <w:r w:rsidRPr="008D71F7">
        <w:t xml:space="preserve">El escrito de </w:t>
      </w:r>
      <w:r w:rsidR="00235CB3" w:rsidRPr="008D71F7">
        <w:rPr>
          <w:lang w:val="es-ES"/>
        </w:rPr>
        <w:t>9 de febrero de 2012</w:t>
      </w:r>
      <w:r w:rsidRPr="008D71F7">
        <w:rPr>
          <w:lang w:val="es-ES"/>
        </w:rPr>
        <w:t xml:space="preserve">, mediante el cual </w:t>
      </w:r>
      <w:r w:rsidRPr="008D71F7">
        <w:t>la Comisión Interamericana de Derechos Humanos (en adelante “la Comisión Interamericana” o “la Comisión”) sometió ante la Corte Interamericana de Derechos Humanos (en adelante “la Corte Interamerican</w:t>
      </w:r>
      <w:r w:rsidR="0039525D">
        <w:t>a”, “la Corte” o “el Tribunal”)</w:t>
      </w:r>
      <w:r w:rsidRPr="008D71F7">
        <w:t xml:space="preserve"> </w:t>
      </w:r>
      <w:r w:rsidR="001D63DB">
        <w:t xml:space="preserve">el presente </w:t>
      </w:r>
      <w:r w:rsidRPr="008D71F7">
        <w:rPr>
          <w:lang w:val="es-ES"/>
        </w:rPr>
        <w:t xml:space="preserve">caso en contra de la República </w:t>
      </w:r>
      <w:r w:rsidR="00235CB3" w:rsidRPr="008D71F7">
        <w:rPr>
          <w:lang w:val="es-ES"/>
        </w:rPr>
        <w:t>de Colombia</w:t>
      </w:r>
      <w:r w:rsidRPr="008D71F7">
        <w:rPr>
          <w:lang w:val="es-ES"/>
        </w:rPr>
        <w:t xml:space="preserve"> (en adelante “</w:t>
      </w:r>
      <w:r w:rsidR="00235CB3" w:rsidRPr="008D71F7">
        <w:rPr>
          <w:lang w:val="es-ES"/>
        </w:rPr>
        <w:t>Colombia</w:t>
      </w:r>
      <w:r w:rsidRPr="008D71F7">
        <w:rPr>
          <w:lang w:val="es-ES"/>
        </w:rPr>
        <w:t xml:space="preserve">” o </w:t>
      </w:r>
      <w:r w:rsidR="00235CB3" w:rsidRPr="008D71F7">
        <w:rPr>
          <w:lang w:val="es-ES"/>
        </w:rPr>
        <w:t>“el Estado”)</w:t>
      </w:r>
      <w:r w:rsidRPr="008D71F7">
        <w:t>.</w:t>
      </w:r>
      <w:bookmarkEnd w:id="0"/>
      <w:r w:rsidRPr="008D71F7">
        <w:rPr>
          <w:lang w:val="es-ES"/>
        </w:rPr>
        <w:t xml:space="preserve"> </w:t>
      </w:r>
      <w:bookmarkStart w:id="2" w:name="_Ref326583925"/>
      <w:bookmarkEnd w:id="1"/>
    </w:p>
    <w:p w:rsidR="00F755E3" w:rsidRPr="008D71F7" w:rsidRDefault="00F755E3" w:rsidP="004F0ACD">
      <w:pPr>
        <w:pStyle w:val="ListParagraph"/>
        <w:numPr>
          <w:ilvl w:val="0"/>
          <w:numId w:val="0"/>
        </w:numPr>
        <w:spacing w:before="60" w:after="60"/>
        <w:rPr>
          <w:lang w:val="es-ES"/>
        </w:rPr>
      </w:pPr>
    </w:p>
    <w:p w:rsidR="00F755E3" w:rsidRPr="008D71F7" w:rsidRDefault="00F755E3" w:rsidP="004F0ACD">
      <w:pPr>
        <w:pStyle w:val="ListParagraph"/>
        <w:spacing w:before="60" w:after="60"/>
        <w:rPr>
          <w:lang w:val="es-ES"/>
        </w:rPr>
      </w:pPr>
      <w:bookmarkStart w:id="3" w:name="_Ref343555492"/>
      <w:bookmarkEnd w:id="2"/>
      <w:r w:rsidRPr="008D71F7">
        <w:rPr>
          <w:lang w:val="es-ES"/>
        </w:rPr>
        <w:t xml:space="preserve">El escrito de </w:t>
      </w:r>
      <w:r w:rsidR="00040268" w:rsidRPr="008D71F7">
        <w:rPr>
          <w:lang w:val="es-ES"/>
        </w:rPr>
        <w:t>25 de junio de 2012</w:t>
      </w:r>
      <w:r w:rsidRPr="008D71F7">
        <w:rPr>
          <w:lang w:val="es-ES"/>
        </w:rPr>
        <w:t xml:space="preserve">, mediante el cual los representantes de las presuntas víctimas (en adelante “los representantes”) presentaron su escrito de solicitudes, argumentos y pruebas en relación con el presente caso (en adelante el “escrito de solicitudes y argumentos”). </w:t>
      </w:r>
      <w:bookmarkEnd w:id="3"/>
    </w:p>
    <w:p w:rsidR="00F755E3" w:rsidRPr="008D71F7" w:rsidRDefault="00F755E3" w:rsidP="004F0ACD">
      <w:pPr>
        <w:pStyle w:val="ListParagraph"/>
        <w:numPr>
          <w:ilvl w:val="0"/>
          <w:numId w:val="0"/>
        </w:numPr>
        <w:spacing w:before="60" w:after="60"/>
        <w:rPr>
          <w:color w:val="FF0000"/>
          <w:lang w:val="es-ES"/>
        </w:rPr>
      </w:pPr>
    </w:p>
    <w:p w:rsidR="00040268" w:rsidRPr="008D71F7" w:rsidRDefault="00F755E3" w:rsidP="004F0ACD">
      <w:pPr>
        <w:pStyle w:val="ListParagraph"/>
        <w:spacing w:before="60" w:after="60"/>
        <w:rPr>
          <w:lang w:val="es-ES"/>
        </w:rPr>
      </w:pPr>
      <w:bookmarkStart w:id="4" w:name="_Ref357172062"/>
      <w:bookmarkStart w:id="5" w:name="_Ref343555499"/>
      <w:r w:rsidRPr="008D71F7">
        <w:t xml:space="preserve">El escrito </w:t>
      </w:r>
      <w:r w:rsidR="00040268" w:rsidRPr="008D71F7">
        <w:rPr>
          <w:lang w:val="es-ES"/>
        </w:rPr>
        <w:t xml:space="preserve">de 24 de noviembre de 2012, mediante el cual el Estado presentó su escrito </w:t>
      </w:r>
      <w:r w:rsidR="00040268" w:rsidRPr="008D71F7">
        <w:t xml:space="preserve">de excepciones preliminares, contestación al sometimiento del caso y de observaciones al escrito de solicitudes y argumentos (en adelante “escrito de contestación”). </w:t>
      </w:r>
      <w:r w:rsidR="001C23B3" w:rsidRPr="00EA435F">
        <w:rPr>
          <w:lang w:val="es-ES"/>
        </w:rPr>
        <w:t>En dicho escrito el Estado solicitó la realización de una audiencia</w:t>
      </w:r>
      <w:bookmarkEnd w:id="4"/>
      <w:r w:rsidR="00EA435F" w:rsidRPr="00EA435F">
        <w:rPr>
          <w:lang w:val="es-ES"/>
        </w:rPr>
        <w:t xml:space="preserve"> </w:t>
      </w:r>
      <w:r w:rsidR="001D63DB">
        <w:rPr>
          <w:lang w:val="es-ES"/>
        </w:rPr>
        <w:t xml:space="preserve">especial </w:t>
      </w:r>
      <w:r w:rsidR="00EA435F" w:rsidRPr="00EA435F">
        <w:rPr>
          <w:lang w:val="es-ES"/>
        </w:rPr>
        <w:t xml:space="preserve">sobre </w:t>
      </w:r>
      <w:r w:rsidR="0039525D">
        <w:rPr>
          <w:lang w:val="es-ES"/>
        </w:rPr>
        <w:t xml:space="preserve">las excepciones preliminares y, en particular, sobre </w:t>
      </w:r>
      <w:r w:rsidR="00EA435F" w:rsidRPr="00EA435F">
        <w:rPr>
          <w:lang w:val="es-ES"/>
        </w:rPr>
        <w:t>la alegada nulidad de un acto de la Comisión.</w:t>
      </w:r>
    </w:p>
    <w:p w:rsidR="00040268" w:rsidRPr="008D71F7" w:rsidRDefault="00040268" w:rsidP="004F0ACD">
      <w:pPr>
        <w:pStyle w:val="ListParagraph"/>
        <w:numPr>
          <w:ilvl w:val="0"/>
          <w:numId w:val="0"/>
        </w:numPr>
        <w:spacing w:before="60" w:after="60"/>
        <w:rPr>
          <w:color w:val="FF0000"/>
          <w:lang w:val="es-CR"/>
        </w:rPr>
      </w:pPr>
      <w:bookmarkStart w:id="6" w:name="_Ref315166994"/>
      <w:bookmarkStart w:id="7" w:name="_Ref314684427"/>
      <w:bookmarkEnd w:id="5"/>
    </w:p>
    <w:p w:rsidR="00F755E3" w:rsidRPr="008D71F7" w:rsidRDefault="00F755E3" w:rsidP="004F0ACD">
      <w:pPr>
        <w:pStyle w:val="ListParagraph"/>
        <w:spacing w:before="60" w:after="60"/>
        <w:rPr>
          <w:lang w:val="es-ES"/>
        </w:rPr>
      </w:pPr>
      <w:r w:rsidRPr="008D71F7">
        <w:rPr>
          <w:lang w:val="es-CR"/>
        </w:rPr>
        <w:t>Los escritos de 1</w:t>
      </w:r>
      <w:r w:rsidR="001C23B3" w:rsidRPr="008D71F7">
        <w:rPr>
          <w:lang w:val="es-CR"/>
        </w:rPr>
        <w:t>7</w:t>
      </w:r>
      <w:r w:rsidRPr="008D71F7">
        <w:rPr>
          <w:lang w:val="es-CR"/>
        </w:rPr>
        <w:t xml:space="preserve"> de </w:t>
      </w:r>
      <w:r w:rsidR="001C23B3" w:rsidRPr="008D71F7">
        <w:rPr>
          <w:lang w:val="es-CR"/>
        </w:rPr>
        <w:t>marzo</w:t>
      </w:r>
      <w:r w:rsidRPr="008D71F7">
        <w:rPr>
          <w:lang w:val="es-CR"/>
        </w:rPr>
        <w:t xml:space="preserve"> de 201</w:t>
      </w:r>
      <w:r w:rsidR="001C23B3" w:rsidRPr="008D71F7">
        <w:rPr>
          <w:lang w:val="es-CR"/>
        </w:rPr>
        <w:t>3</w:t>
      </w:r>
      <w:r w:rsidRPr="008D71F7">
        <w:rPr>
          <w:lang w:val="es-CR"/>
        </w:rPr>
        <w:t>, mediante los cuales la Comisión Interamericana y los representantes presentaron, respectivamente, sus observaciones a las excepciones preliminares interpuestas por el Estado</w:t>
      </w:r>
      <w:r w:rsidRPr="008D71F7">
        <w:t xml:space="preserve">. </w:t>
      </w:r>
      <w:bookmarkEnd w:id="6"/>
      <w:bookmarkEnd w:id="7"/>
    </w:p>
    <w:p w:rsidR="00F755E3" w:rsidRPr="008D71F7" w:rsidRDefault="00F755E3" w:rsidP="004F0ACD">
      <w:pPr>
        <w:pStyle w:val="ListParagraph"/>
        <w:numPr>
          <w:ilvl w:val="0"/>
          <w:numId w:val="0"/>
        </w:numPr>
        <w:spacing w:before="60" w:after="60"/>
        <w:rPr>
          <w:lang w:val="es-ES"/>
        </w:rPr>
      </w:pPr>
    </w:p>
    <w:p w:rsidR="001C23B3" w:rsidRPr="008D71F7" w:rsidRDefault="001C23B3" w:rsidP="004F0ACD">
      <w:pPr>
        <w:pStyle w:val="ListParagraph"/>
        <w:spacing w:before="60" w:after="60"/>
        <w:rPr>
          <w:lang w:val="es-ES"/>
        </w:rPr>
      </w:pPr>
      <w:bookmarkStart w:id="8" w:name="_Ref357172044"/>
      <w:r w:rsidRPr="008D71F7">
        <w:rPr>
          <w:lang w:val="es-ES"/>
        </w:rPr>
        <w:t xml:space="preserve">La comunicación de 22 de marzo de 2013, mediante la cual el Estado reiteró su solicitud “de una audiencia independiente y previa a la de fondo, </w:t>
      </w:r>
      <w:r w:rsidRPr="008D71F7">
        <w:rPr>
          <w:lang w:val="es-ES"/>
        </w:rPr>
        <w:lastRenderedPageBreak/>
        <w:t>reparaciones y costas, en los términos del artículo 42.5 del Reglamento, con el fin de que se presenten las razones de hecho y de derecho en las que se fundan la nulidad y las excepciones alegadas por el Estado”.</w:t>
      </w:r>
      <w:bookmarkEnd w:id="8"/>
      <w:r w:rsidRPr="008D71F7">
        <w:rPr>
          <w:lang w:val="es-ES"/>
        </w:rPr>
        <w:t xml:space="preserve"> </w:t>
      </w:r>
    </w:p>
    <w:p w:rsidR="001C23B3" w:rsidRPr="008D71F7" w:rsidRDefault="001C23B3" w:rsidP="004F0ACD">
      <w:pPr>
        <w:pStyle w:val="ListParagraph"/>
        <w:numPr>
          <w:ilvl w:val="0"/>
          <w:numId w:val="0"/>
        </w:numPr>
        <w:spacing w:before="60" w:after="60"/>
        <w:rPr>
          <w:lang w:val="es-ES"/>
        </w:rPr>
      </w:pPr>
    </w:p>
    <w:p w:rsidR="001C23B3" w:rsidRPr="008D71F7" w:rsidRDefault="00F755E3" w:rsidP="004F0ACD">
      <w:pPr>
        <w:pStyle w:val="ListParagraph"/>
        <w:spacing w:before="60" w:after="60"/>
        <w:rPr>
          <w:lang w:val="es-ES"/>
        </w:rPr>
      </w:pPr>
      <w:r w:rsidRPr="008D71F7">
        <w:rPr>
          <w:lang w:val="es-ES"/>
        </w:rPr>
        <w:t>La</w:t>
      </w:r>
      <w:r w:rsidR="00531B3C">
        <w:rPr>
          <w:lang w:val="es-ES"/>
        </w:rPr>
        <w:t>s</w:t>
      </w:r>
      <w:r w:rsidRPr="008D71F7">
        <w:rPr>
          <w:lang w:val="es-ES"/>
        </w:rPr>
        <w:t xml:space="preserve"> nota</w:t>
      </w:r>
      <w:r w:rsidR="00531B3C">
        <w:rPr>
          <w:lang w:val="es-ES"/>
        </w:rPr>
        <w:t>s</w:t>
      </w:r>
      <w:r w:rsidRPr="008D71F7">
        <w:rPr>
          <w:lang w:val="es-ES"/>
        </w:rPr>
        <w:t xml:space="preserve"> de la Secretaría de la Corte de </w:t>
      </w:r>
      <w:r w:rsidR="001C23B3" w:rsidRPr="008D71F7">
        <w:rPr>
          <w:lang w:val="es-ES"/>
        </w:rPr>
        <w:t xml:space="preserve">10 de abril de 2013, </w:t>
      </w:r>
      <w:r w:rsidRPr="008D71F7">
        <w:rPr>
          <w:lang w:val="es-ES"/>
        </w:rPr>
        <w:t xml:space="preserve">mediante </w:t>
      </w:r>
      <w:r w:rsidR="00531B3C">
        <w:rPr>
          <w:lang w:val="es-ES"/>
        </w:rPr>
        <w:t xml:space="preserve">las cuales se informó a las partes y a la Comisión que </w:t>
      </w:r>
      <w:r w:rsidR="001C23B3" w:rsidRPr="008D71F7">
        <w:rPr>
          <w:lang w:val="es-ES"/>
        </w:rPr>
        <w:t xml:space="preserve">la solicitud del </w:t>
      </w:r>
      <w:r w:rsidR="00531B3C" w:rsidRPr="008D71F7">
        <w:rPr>
          <w:lang w:val="es-ES"/>
        </w:rPr>
        <w:t xml:space="preserve">Estado </w:t>
      </w:r>
      <w:r w:rsidR="001C23B3" w:rsidRPr="008D71F7">
        <w:rPr>
          <w:lang w:val="es-ES"/>
        </w:rPr>
        <w:t>sería puesta en conocimiento del Tribunal para los efectos pertinentes</w:t>
      </w:r>
      <w:r w:rsidR="00531B3C">
        <w:rPr>
          <w:lang w:val="es-ES"/>
        </w:rPr>
        <w:t xml:space="preserve">, así como se </w:t>
      </w:r>
      <w:r w:rsidR="001C23B3" w:rsidRPr="008D71F7">
        <w:rPr>
          <w:lang w:val="es-ES"/>
        </w:rPr>
        <w:t xml:space="preserve">otorgó un plazo </w:t>
      </w:r>
      <w:r w:rsidR="00531B3C">
        <w:rPr>
          <w:lang w:val="es-ES"/>
        </w:rPr>
        <w:t xml:space="preserve">a </w:t>
      </w:r>
      <w:r w:rsidR="001C23B3" w:rsidRPr="008D71F7">
        <w:rPr>
          <w:lang w:val="es-ES"/>
        </w:rPr>
        <w:t xml:space="preserve">la Comisión Interamericana y </w:t>
      </w:r>
      <w:r w:rsidR="00531B3C">
        <w:rPr>
          <w:lang w:val="es-ES"/>
        </w:rPr>
        <w:t xml:space="preserve">a </w:t>
      </w:r>
      <w:r w:rsidR="001C23B3" w:rsidRPr="008D71F7">
        <w:rPr>
          <w:lang w:val="es-ES"/>
        </w:rPr>
        <w:t xml:space="preserve">los representantes </w:t>
      </w:r>
      <w:r w:rsidR="00531B3C">
        <w:rPr>
          <w:lang w:val="es-ES"/>
        </w:rPr>
        <w:t xml:space="preserve">para presentar </w:t>
      </w:r>
      <w:r w:rsidR="001C23B3" w:rsidRPr="008D71F7">
        <w:rPr>
          <w:lang w:val="es-ES"/>
        </w:rPr>
        <w:t>las observaciones que estim</w:t>
      </w:r>
      <w:r w:rsidR="00F5441F">
        <w:rPr>
          <w:lang w:val="es-ES"/>
        </w:rPr>
        <w:t>a</w:t>
      </w:r>
      <w:r w:rsidR="00531B3C">
        <w:rPr>
          <w:lang w:val="es-ES"/>
        </w:rPr>
        <w:t xml:space="preserve">ran </w:t>
      </w:r>
      <w:r w:rsidR="001C23B3" w:rsidRPr="008D71F7">
        <w:rPr>
          <w:lang w:val="es-ES"/>
        </w:rPr>
        <w:t>pertine</w:t>
      </w:r>
      <w:r w:rsidR="00531B3C">
        <w:rPr>
          <w:lang w:val="es-ES"/>
        </w:rPr>
        <w:t xml:space="preserve">ntes a dicha solicitud del Estado </w:t>
      </w:r>
      <w:r w:rsidR="00531B3C" w:rsidRPr="008D71F7">
        <w:rPr>
          <w:lang w:val="es-ES"/>
        </w:rPr>
        <w:t>(</w:t>
      </w:r>
      <w:r w:rsidR="00531B3C" w:rsidRPr="008D71F7">
        <w:rPr>
          <w:i/>
          <w:lang w:val="es-ES"/>
        </w:rPr>
        <w:t xml:space="preserve">supra </w:t>
      </w:r>
      <w:r w:rsidR="00531B3C" w:rsidRPr="008D71F7">
        <w:rPr>
          <w:lang w:val="es-ES"/>
        </w:rPr>
        <w:t xml:space="preserve">Vistos </w:t>
      </w:r>
      <w:fldSimple w:instr=" REF _Ref357172062 \r \h  \* MERGEFORMAT ">
        <w:r w:rsidR="006F3DD0">
          <w:t>3</w:t>
        </w:r>
      </w:fldSimple>
      <w:r w:rsidR="00531B3C" w:rsidRPr="008D71F7">
        <w:rPr>
          <w:lang w:val="es-ES"/>
        </w:rPr>
        <w:t xml:space="preserve"> y </w:t>
      </w:r>
      <w:fldSimple w:instr=" REF _Ref357172044 \r \h  \* MERGEFORMAT ">
        <w:r w:rsidR="006F3DD0">
          <w:t>5</w:t>
        </w:r>
      </w:fldSimple>
      <w:r w:rsidR="00531B3C" w:rsidRPr="008D71F7">
        <w:rPr>
          <w:lang w:val="es-ES"/>
        </w:rPr>
        <w:t>)</w:t>
      </w:r>
      <w:r w:rsidR="001C23B3" w:rsidRPr="008D71F7">
        <w:rPr>
          <w:lang w:val="es-ES"/>
        </w:rPr>
        <w:t xml:space="preserve">. </w:t>
      </w:r>
    </w:p>
    <w:p w:rsidR="00F755E3" w:rsidRPr="008D71F7" w:rsidRDefault="00F755E3" w:rsidP="004F0ACD">
      <w:pPr>
        <w:pStyle w:val="ListParagraph"/>
        <w:numPr>
          <w:ilvl w:val="0"/>
          <w:numId w:val="0"/>
        </w:numPr>
        <w:spacing w:before="60" w:after="60"/>
        <w:rPr>
          <w:lang w:val="es-ES"/>
        </w:rPr>
      </w:pPr>
    </w:p>
    <w:p w:rsidR="00687CD9" w:rsidRPr="008D71F7" w:rsidRDefault="00687CD9" w:rsidP="004F0ACD">
      <w:pPr>
        <w:pStyle w:val="ListParagraph"/>
        <w:spacing w:before="60" w:after="60"/>
        <w:rPr>
          <w:lang w:val="es-ES"/>
        </w:rPr>
      </w:pPr>
      <w:r w:rsidRPr="008D71F7">
        <w:rPr>
          <w:lang w:val="es-ES"/>
        </w:rPr>
        <w:t xml:space="preserve">Los escritos de 17 de abril de 2013, </w:t>
      </w:r>
      <w:r w:rsidRPr="008D71F7">
        <w:rPr>
          <w:lang w:val="es-CR"/>
        </w:rPr>
        <w:t>mediante los cuales la Comisión Interamericana y los representantes presentaron</w:t>
      </w:r>
      <w:r w:rsidR="00264E50">
        <w:rPr>
          <w:lang w:val="es-CR"/>
        </w:rPr>
        <w:t xml:space="preserve"> </w:t>
      </w:r>
      <w:r w:rsidRPr="008D71F7">
        <w:rPr>
          <w:lang w:val="es-CR"/>
        </w:rPr>
        <w:t xml:space="preserve">sus observaciones a la solicitud del Estado. </w:t>
      </w:r>
    </w:p>
    <w:p w:rsidR="00F755E3" w:rsidRPr="008D71F7" w:rsidRDefault="00F755E3" w:rsidP="004F0ACD">
      <w:pPr>
        <w:pStyle w:val="ListParagraph"/>
        <w:numPr>
          <w:ilvl w:val="0"/>
          <w:numId w:val="0"/>
        </w:numPr>
        <w:spacing w:before="60" w:after="60"/>
        <w:rPr>
          <w:lang w:val="es-ES"/>
        </w:rPr>
      </w:pPr>
    </w:p>
    <w:p w:rsidR="00F755E3" w:rsidRPr="008D71F7" w:rsidRDefault="00F755E3" w:rsidP="004F0ACD">
      <w:pPr>
        <w:spacing w:before="60" w:after="60" w:line="240" w:lineRule="auto"/>
        <w:jc w:val="both"/>
        <w:rPr>
          <w:rFonts w:ascii="Verdana" w:hAnsi="Verdana" w:cs="Verdana"/>
          <w:b/>
          <w:bCs/>
          <w:sz w:val="20"/>
          <w:szCs w:val="20"/>
          <w:lang w:val="es-ES"/>
        </w:rPr>
      </w:pPr>
      <w:r w:rsidRPr="008D71F7">
        <w:rPr>
          <w:rFonts w:ascii="Verdana" w:hAnsi="Verdana" w:cs="Verdana"/>
          <w:b/>
          <w:bCs/>
          <w:caps/>
          <w:sz w:val="20"/>
          <w:szCs w:val="20"/>
          <w:lang w:val="es-ES"/>
        </w:rPr>
        <w:t>Considerando que</w:t>
      </w:r>
      <w:r w:rsidRPr="008D71F7">
        <w:rPr>
          <w:rFonts w:ascii="Verdana" w:hAnsi="Verdana" w:cs="Verdana"/>
          <w:b/>
          <w:bCs/>
          <w:sz w:val="20"/>
          <w:szCs w:val="20"/>
          <w:lang w:val="es-ES"/>
        </w:rPr>
        <w:t>:</w:t>
      </w:r>
    </w:p>
    <w:p w:rsidR="00F755E3" w:rsidRPr="008D71F7" w:rsidRDefault="00F755E3" w:rsidP="004F0ACD">
      <w:pPr>
        <w:spacing w:before="60" w:after="60" w:line="240" w:lineRule="auto"/>
        <w:jc w:val="both"/>
        <w:rPr>
          <w:rFonts w:ascii="Verdana" w:hAnsi="Verdana" w:cs="Verdana"/>
          <w:b/>
          <w:bCs/>
          <w:sz w:val="20"/>
          <w:szCs w:val="20"/>
          <w:lang w:val="es-ES"/>
        </w:rPr>
      </w:pPr>
    </w:p>
    <w:p w:rsidR="008D71F7" w:rsidRPr="00317371" w:rsidRDefault="008D71F7" w:rsidP="004F0ACD">
      <w:pPr>
        <w:numPr>
          <w:ilvl w:val="0"/>
          <w:numId w:val="3"/>
        </w:numPr>
        <w:spacing w:before="60" w:after="60" w:line="240" w:lineRule="auto"/>
        <w:jc w:val="both"/>
        <w:rPr>
          <w:rFonts w:ascii="Verdana" w:hAnsi="Verdana" w:cs="Times"/>
          <w:sz w:val="20"/>
          <w:szCs w:val="20"/>
          <w:lang w:eastAsia="es-ES"/>
        </w:rPr>
      </w:pPr>
      <w:r w:rsidRPr="008D71F7">
        <w:rPr>
          <w:rFonts w:ascii="Verdana" w:hAnsi="Verdana" w:cs="Times"/>
          <w:sz w:val="20"/>
          <w:szCs w:val="20"/>
          <w:lang w:eastAsia="es-ES"/>
        </w:rPr>
        <w:t xml:space="preserve">El artículo 42.5 del Reglamento de la Corte establece que “[c]uando lo considere indispensable, la Corte </w:t>
      </w:r>
      <w:r w:rsidRPr="00317371">
        <w:rPr>
          <w:rFonts w:ascii="Verdana" w:hAnsi="Verdana" w:cs="Times"/>
          <w:sz w:val="20"/>
          <w:szCs w:val="20"/>
          <w:lang w:eastAsia="es-ES"/>
        </w:rPr>
        <w:t>podrá fijar una audiencia especial para las excepciones preliminares, después de la cual decidirá sobre las mismas”.</w:t>
      </w:r>
      <w:r w:rsidR="00CE1876" w:rsidRPr="00317371">
        <w:rPr>
          <w:rFonts w:ascii="Verdana" w:hAnsi="Verdana" w:cs="Times"/>
          <w:sz w:val="20"/>
          <w:szCs w:val="20"/>
          <w:lang w:eastAsia="es-ES"/>
        </w:rPr>
        <w:t xml:space="preserve"> Asimismo, el artículo 42.6 establece que “[l]a Corte podrá resolver en una sola sentencia las excepciones preliminares, el fondo, las reparaciones y las costas del caso”.</w:t>
      </w:r>
    </w:p>
    <w:p w:rsidR="008D71F7" w:rsidRPr="00317371" w:rsidRDefault="008D71F7" w:rsidP="004F0ACD">
      <w:pPr>
        <w:spacing w:before="60" w:after="60" w:line="240" w:lineRule="auto"/>
        <w:jc w:val="both"/>
        <w:rPr>
          <w:rFonts w:ascii="Verdana" w:hAnsi="Verdana" w:cs="Verdana"/>
          <w:color w:val="FF0000"/>
          <w:sz w:val="20"/>
          <w:szCs w:val="20"/>
        </w:rPr>
      </w:pPr>
    </w:p>
    <w:p w:rsidR="008D71F7" w:rsidRPr="008D71F7" w:rsidRDefault="008D71F7" w:rsidP="004F0ACD">
      <w:pPr>
        <w:numPr>
          <w:ilvl w:val="0"/>
          <w:numId w:val="3"/>
        </w:numPr>
        <w:spacing w:before="60" w:after="60" w:line="240" w:lineRule="auto"/>
        <w:jc w:val="both"/>
        <w:rPr>
          <w:rFonts w:ascii="Verdana" w:hAnsi="Verdana" w:cs="Verdana"/>
          <w:color w:val="FF0000"/>
          <w:sz w:val="20"/>
          <w:szCs w:val="20"/>
        </w:rPr>
      </w:pPr>
      <w:r w:rsidRPr="00317371">
        <w:rPr>
          <w:rFonts w:ascii="Verdana" w:eastAsiaTheme="minorHAnsi" w:hAnsi="Verdana" w:cstheme="minorBidi"/>
          <w:sz w:val="20"/>
          <w:szCs w:val="20"/>
          <w:lang w:val="es-CR"/>
        </w:rPr>
        <w:t xml:space="preserve">En su escrito de contestación, Colombia </w:t>
      </w:r>
      <w:r w:rsidR="002C04E2" w:rsidRPr="00317371">
        <w:rPr>
          <w:rFonts w:ascii="Verdana" w:eastAsiaTheme="minorHAnsi" w:hAnsi="Verdana" w:cstheme="minorBidi"/>
          <w:sz w:val="20"/>
          <w:szCs w:val="20"/>
          <w:lang w:val="es-CR"/>
        </w:rPr>
        <w:t xml:space="preserve">señaló </w:t>
      </w:r>
      <w:r w:rsidRPr="00317371">
        <w:rPr>
          <w:rFonts w:ascii="Verdana" w:eastAsiaTheme="minorHAnsi" w:hAnsi="Verdana" w:cstheme="minorBidi"/>
          <w:sz w:val="20"/>
          <w:szCs w:val="20"/>
          <w:lang w:val="es-CR"/>
        </w:rPr>
        <w:t xml:space="preserve">que </w:t>
      </w:r>
      <w:r w:rsidR="002C04E2" w:rsidRPr="00317371">
        <w:rPr>
          <w:rFonts w:ascii="Verdana" w:eastAsiaTheme="minorHAnsi" w:hAnsi="Verdana" w:cstheme="minorBidi"/>
          <w:sz w:val="20"/>
          <w:szCs w:val="20"/>
          <w:lang w:val="es-CR"/>
        </w:rPr>
        <w:t>“[d]adas las características de los asuntos que el Estado presenta como excepciones preliminares, el Estado solicit</w:t>
      </w:r>
      <w:r w:rsidR="00601878" w:rsidRPr="00317371">
        <w:rPr>
          <w:rFonts w:ascii="Verdana" w:eastAsiaTheme="minorHAnsi" w:hAnsi="Verdana" w:cstheme="minorBidi"/>
          <w:sz w:val="20"/>
          <w:szCs w:val="20"/>
          <w:lang w:val="es-CR"/>
        </w:rPr>
        <w:t>a</w:t>
      </w:r>
      <w:r w:rsidR="002C04E2" w:rsidRPr="00317371">
        <w:rPr>
          <w:rFonts w:ascii="Verdana" w:eastAsiaTheme="minorHAnsi" w:hAnsi="Verdana" w:cstheme="minorBidi"/>
          <w:sz w:val="20"/>
          <w:szCs w:val="20"/>
          <w:lang w:val="es-CR"/>
        </w:rPr>
        <w:t xml:space="preserve"> […]</w:t>
      </w:r>
      <w:r w:rsidR="002C04E2">
        <w:rPr>
          <w:rFonts w:ascii="Verdana" w:eastAsiaTheme="minorHAnsi" w:hAnsi="Verdana" w:cstheme="minorBidi"/>
          <w:sz w:val="20"/>
          <w:szCs w:val="20"/>
          <w:lang w:val="es-CR"/>
        </w:rPr>
        <w:t xml:space="preserve"> dar aplicación al artículo 42.5 </w:t>
      </w:r>
      <w:r w:rsidR="002C04E2" w:rsidRPr="004012D0">
        <w:rPr>
          <w:rFonts w:ascii="Verdana" w:eastAsiaTheme="minorHAnsi" w:hAnsi="Verdana" w:cstheme="minorBidi"/>
          <w:sz w:val="20"/>
          <w:szCs w:val="20"/>
          <w:lang w:val="es-CR"/>
        </w:rPr>
        <w:t xml:space="preserve">y </w:t>
      </w:r>
      <w:r w:rsidR="004012D0" w:rsidRPr="004012D0">
        <w:rPr>
          <w:rFonts w:ascii="Verdana" w:eastAsiaTheme="minorHAnsi" w:hAnsi="Verdana" w:cstheme="minorBidi"/>
          <w:sz w:val="20"/>
          <w:szCs w:val="20"/>
          <w:lang w:val="es-CR"/>
        </w:rPr>
        <w:t>[</w:t>
      </w:r>
      <w:r w:rsidR="002C04E2" w:rsidRPr="004012D0">
        <w:rPr>
          <w:rFonts w:ascii="Verdana" w:eastAsiaTheme="minorHAnsi" w:hAnsi="Verdana" w:cstheme="minorBidi"/>
          <w:sz w:val="20"/>
          <w:szCs w:val="20"/>
          <w:lang w:val="es-CR"/>
        </w:rPr>
        <w:t>42.</w:t>
      </w:r>
      <w:r w:rsidR="004012D0" w:rsidRPr="004012D0">
        <w:rPr>
          <w:rFonts w:ascii="Verdana" w:eastAsiaTheme="minorHAnsi" w:hAnsi="Verdana" w:cstheme="minorBidi"/>
          <w:sz w:val="20"/>
          <w:szCs w:val="20"/>
          <w:lang w:val="es-CR"/>
        </w:rPr>
        <w:t>]6</w:t>
      </w:r>
      <w:r w:rsidR="002C04E2" w:rsidRPr="004012D0">
        <w:rPr>
          <w:rFonts w:ascii="Verdana" w:eastAsiaTheme="minorHAnsi" w:hAnsi="Verdana" w:cstheme="minorBidi"/>
          <w:sz w:val="20"/>
          <w:szCs w:val="20"/>
          <w:lang w:val="es-CR"/>
        </w:rPr>
        <w:t xml:space="preserve"> del Reglamento [del Tribunal]”. Asimismo, realizó la misma solicitud en relación con </w:t>
      </w:r>
      <w:r w:rsidRPr="004012D0">
        <w:rPr>
          <w:rFonts w:ascii="Verdana" w:eastAsiaTheme="minorHAnsi" w:hAnsi="Verdana" w:cstheme="minorBidi"/>
          <w:sz w:val="20"/>
          <w:szCs w:val="20"/>
          <w:lang w:val="es-CR"/>
        </w:rPr>
        <w:t xml:space="preserve">la alegada nulidad </w:t>
      </w:r>
      <w:r w:rsidR="00415E19" w:rsidRPr="004012D0">
        <w:rPr>
          <w:rFonts w:ascii="Verdana" w:eastAsiaTheme="minorHAnsi" w:hAnsi="Verdana" w:cstheme="minorBidi"/>
          <w:sz w:val="20"/>
          <w:szCs w:val="20"/>
          <w:lang w:val="es-CR"/>
        </w:rPr>
        <w:t>“</w:t>
      </w:r>
      <w:r w:rsidRPr="004012D0">
        <w:rPr>
          <w:rFonts w:ascii="Verdana" w:eastAsiaTheme="minorHAnsi" w:hAnsi="Verdana" w:cstheme="minorBidi"/>
          <w:sz w:val="20"/>
          <w:szCs w:val="20"/>
          <w:lang w:val="es-CR"/>
        </w:rPr>
        <w:t>de</w:t>
      </w:r>
      <w:r w:rsidR="00415E19" w:rsidRPr="004012D0">
        <w:rPr>
          <w:rFonts w:ascii="Verdana" w:eastAsiaTheme="minorHAnsi" w:hAnsi="Verdana" w:cstheme="minorBidi"/>
          <w:sz w:val="20"/>
          <w:szCs w:val="20"/>
          <w:lang w:val="es-CR"/>
        </w:rPr>
        <w:t xml:space="preserve"> la comunicación a través de la cual </w:t>
      </w:r>
      <w:r w:rsidRPr="004012D0">
        <w:rPr>
          <w:rFonts w:ascii="Verdana" w:eastAsiaTheme="minorHAnsi" w:hAnsi="Verdana" w:cstheme="minorBidi"/>
          <w:sz w:val="20"/>
          <w:szCs w:val="20"/>
          <w:lang w:val="es-CR"/>
        </w:rPr>
        <w:t xml:space="preserve">la Comisión </w:t>
      </w:r>
      <w:r w:rsidR="00415E19" w:rsidRPr="004012D0">
        <w:rPr>
          <w:rFonts w:ascii="Verdana" w:eastAsiaTheme="minorHAnsi" w:hAnsi="Verdana" w:cstheme="minorBidi"/>
          <w:sz w:val="20"/>
          <w:szCs w:val="20"/>
          <w:lang w:val="es-CR"/>
        </w:rPr>
        <w:t>[…] informó sobre la acumulación de las etapas de admisibilidad</w:t>
      </w:r>
      <w:r w:rsidR="00415E19">
        <w:rPr>
          <w:rFonts w:ascii="Verdana" w:eastAsiaTheme="minorHAnsi" w:hAnsi="Verdana" w:cstheme="minorBidi"/>
          <w:sz w:val="20"/>
          <w:szCs w:val="20"/>
          <w:lang w:val="es-CR"/>
        </w:rPr>
        <w:t xml:space="preserve"> y fondo</w:t>
      </w:r>
      <w:r w:rsidR="00601878">
        <w:rPr>
          <w:rFonts w:ascii="Verdana" w:eastAsiaTheme="minorHAnsi" w:hAnsi="Verdana" w:cstheme="minorBidi"/>
          <w:sz w:val="20"/>
          <w:szCs w:val="20"/>
          <w:lang w:val="es-CR"/>
        </w:rPr>
        <w:t>”</w:t>
      </w:r>
      <w:r w:rsidR="00415E19">
        <w:rPr>
          <w:rFonts w:ascii="Verdana" w:eastAsiaTheme="minorHAnsi" w:hAnsi="Verdana" w:cstheme="minorBidi"/>
          <w:sz w:val="20"/>
          <w:szCs w:val="20"/>
          <w:lang w:val="es-CR"/>
        </w:rPr>
        <w:t xml:space="preserve">, así como del “Informe de Admisibilidad y Fondo No. 137/11 en cuanto este documento es la consecuencia de [la mencionada decisión de acumulación]”. </w:t>
      </w:r>
      <w:r w:rsidRPr="008D71F7">
        <w:rPr>
          <w:rFonts w:ascii="Verdana" w:eastAsiaTheme="minorHAnsi" w:hAnsi="Verdana" w:cstheme="minorBidi"/>
          <w:sz w:val="20"/>
          <w:szCs w:val="20"/>
          <w:lang w:val="es-CR"/>
        </w:rPr>
        <w:t>De acuerdo al Estado, dicha acumulación generó que Colombia no tuviese certeza sobre el objeto de la controversia. Por tanto, señaló que dada las características de la nulidad alegada solicitaba “</w:t>
      </w:r>
      <w:r w:rsidRPr="008D71F7">
        <w:rPr>
          <w:rFonts w:ascii="Verdana" w:eastAsiaTheme="minorHAnsi" w:hAnsi="Verdana" w:cs="Arial"/>
          <w:sz w:val="20"/>
          <w:szCs w:val="20"/>
          <w:lang w:val="es-CR"/>
        </w:rPr>
        <w:t xml:space="preserve">decretar una audiencia que le permita al Estado exponer ante el Tribunal las razones de hechos </w:t>
      </w:r>
      <w:r w:rsidRPr="008D71F7">
        <w:rPr>
          <w:rFonts w:ascii="Verdana" w:eastAsiaTheme="minorHAnsi" w:hAnsi="Verdana"/>
          <w:sz w:val="20"/>
          <w:szCs w:val="20"/>
          <w:lang w:val="es-CR"/>
        </w:rPr>
        <w:t xml:space="preserve">y </w:t>
      </w:r>
      <w:r w:rsidRPr="008D71F7">
        <w:rPr>
          <w:rFonts w:ascii="Verdana" w:eastAsiaTheme="minorHAnsi" w:hAnsi="Verdana" w:cs="Arial"/>
          <w:sz w:val="20"/>
          <w:szCs w:val="20"/>
          <w:lang w:val="es-CR"/>
        </w:rPr>
        <w:t>de derecho que le llevaron a promover este incidente procesal”.</w:t>
      </w:r>
      <w:r w:rsidRPr="008D71F7">
        <w:rPr>
          <w:rFonts w:ascii="Verdana" w:eastAsiaTheme="minorHAnsi" w:hAnsi="Verdana" w:cstheme="minorBidi"/>
          <w:sz w:val="20"/>
          <w:szCs w:val="20"/>
          <w:lang w:val="es-CR"/>
        </w:rPr>
        <w:t xml:space="preserve"> </w:t>
      </w:r>
    </w:p>
    <w:p w:rsidR="008D71F7" w:rsidRPr="008D71F7" w:rsidRDefault="008D71F7" w:rsidP="004F0ACD">
      <w:pPr>
        <w:pStyle w:val="ListParagraph"/>
        <w:numPr>
          <w:ilvl w:val="0"/>
          <w:numId w:val="0"/>
        </w:numPr>
        <w:spacing w:before="60" w:after="60"/>
        <w:rPr>
          <w:rFonts w:eastAsiaTheme="minorHAnsi" w:cstheme="minorBidi"/>
          <w:lang w:val="es-CR"/>
        </w:rPr>
      </w:pPr>
    </w:p>
    <w:p w:rsidR="008D71F7" w:rsidRPr="008D71F7" w:rsidRDefault="00B92D51" w:rsidP="004F0ACD">
      <w:pPr>
        <w:numPr>
          <w:ilvl w:val="0"/>
          <w:numId w:val="3"/>
        </w:numPr>
        <w:spacing w:before="60" w:after="60" w:line="240" w:lineRule="auto"/>
        <w:jc w:val="both"/>
        <w:rPr>
          <w:rFonts w:ascii="Verdana" w:hAnsi="Verdana" w:cs="Verdana"/>
          <w:color w:val="FF0000"/>
          <w:sz w:val="20"/>
          <w:szCs w:val="20"/>
        </w:rPr>
      </w:pPr>
      <w:r>
        <w:rPr>
          <w:rFonts w:ascii="Verdana" w:eastAsiaTheme="minorHAnsi" w:hAnsi="Verdana" w:cstheme="minorBidi"/>
          <w:sz w:val="20"/>
          <w:szCs w:val="20"/>
          <w:lang w:val="es-CR"/>
        </w:rPr>
        <w:t>E</w:t>
      </w:r>
      <w:r w:rsidR="008D71F7" w:rsidRPr="008D71F7">
        <w:rPr>
          <w:rFonts w:ascii="Verdana" w:eastAsiaTheme="minorHAnsi" w:hAnsi="Verdana" w:cstheme="minorBidi"/>
          <w:sz w:val="20"/>
          <w:szCs w:val="20"/>
          <w:lang w:val="es-CR"/>
        </w:rPr>
        <w:t xml:space="preserve">n el escrito recibido el 22 de marzo de 2013 Colombia reiteró su solicitud </w:t>
      </w:r>
      <w:r w:rsidR="00C61663">
        <w:rPr>
          <w:rFonts w:ascii="Verdana" w:eastAsiaTheme="minorHAnsi" w:hAnsi="Verdana" w:cstheme="minorBidi"/>
          <w:sz w:val="20"/>
          <w:szCs w:val="20"/>
          <w:lang w:val="es-CR"/>
        </w:rPr>
        <w:t xml:space="preserve">de “la fijación de una audiencia independiente y previa a la de [los eventuales] fondo, reparaciones y costas”, </w:t>
      </w:r>
      <w:r w:rsidR="008D71F7" w:rsidRPr="008D71F7">
        <w:rPr>
          <w:rFonts w:ascii="Verdana" w:eastAsiaTheme="minorHAnsi" w:hAnsi="Verdana" w:cstheme="minorBidi"/>
          <w:sz w:val="20"/>
          <w:szCs w:val="20"/>
          <w:lang w:val="es-CR"/>
        </w:rPr>
        <w:t xml:space="preserve">indicando que “[l]a realización de la </w:t>
      </w:r>
      <w:r w:rsidR="00C61663">
        <w:rPr>
          <w:rFonts w:ascii="Verdana" w:eastAsiaTheme="minorHAnsi" w:hAnsi="Verdana" w:cstheme="minorBidi"/>
          <w:sz w:val="20"/>
          <w:szCs w:val="20"/>
          <w:lang w:val="es-CR"/>
        </w:rPr>
        <w:t>[misma]</w:t>
      </w:r>
      <w:r w:rsidR="008D71F7" w:rsidRPr="008D71F7">
        <w:rPr>
          <w:rFonts w:ascii="Verdana" w:eastAsiaTheme="minorHAnsi" w:hAnsi="Verdana" w:cstheme="minorBidi"/>
          <w:sz w:val="20"/>
          <w:szCs w:val="20"/>
          <w:lang w:val="es-CR"/>
        </w:rPr>
        <w:t xml:space="preserve"> resulta indispensable para evitar la consumación de la grave afectación al derecho de defensa del Estado colombiano, proveniente de las falencias procesales ocurridas en el curso del trámite cuasijurisdiccional previamente agotado por la C</w:t>
      </w:r>
      <w:r w:rsidR="00A145FB">
        <w:rPr>
          <w:rFonts w:ascii="Verdana" w:eastAsiaTheme="minorHAnsi" w:hAnsi="Verdana" w:cstheme="minorBidi"/>
          <w:sz w:val="20"/>
          <w:szCs w:val="20"/>
          <w:lang w:val="es-CR"/>
        </w:rPr>
        <w:t>[omisión]</w:t>
      </w:r>
      <w:r w:rsidR="008D71F7" w:rsidRPr="008D71F7">
        <w:rPr>
          <w:rFonts w:ascii="Verdana" w:eastAsiaTheme="minorHAnsi" w:hAnsi="Verdana" w:cstheme="minorBidi"/>
          <w:sz w:val="20"/>
          <w:szCs w:val="20"/>
          <w:lang w:val="es-CR"/>
        </w:rPr>
        <w:t xml:space="preserve">”. Además, </w:t>
      </w:r>
      <w:r w:rsidR="00C61663">
        <w:rPr>
          <w:rFonts w:ascii="Verdana" w:eastAsiaTheme="minorHAnsi" w:hAnsi="Verdana" w:cstheme="minorBidi"/>
          <w:sz w:val="20"/>
          <w:szCs w:val="20"/>
          <w:lang w:val="es-CR"/>
        </w:rPr>
        <w:t>señaló</w:t>
      </w:r>
      <w:r w:rsidR="008D71F7" w:rsidRPr="008D71F7">
        <w:rPr>
          <w:rFonts w:ascii="Verdana" w:eastAsiaTheme="minorHAnsi" w:hAnsi="Verdana" w:cstheme="minorBidi"/>
          <w:sz w:val="20"/>
          <w:szCs w:val="20"/>
          <w:lang w:val="es-CR"/>
        </w:rPr>
        <w:t xml:space="preserve"> que “la naturaleza complejísima del caso en estudio requiere que la Corte haya estudiado las solicitudes hechas por el Estado en materia de nulidad y excepciones antes de abordar el fondo y las reparaciones y que después de ello haya una audiencia independiente que permita al Estado presentar sus argumentos sustantivos sobre el caso y a la Corte concentrarse en el examen de los mismos”. </w:t>
      </w:r>
    </w:p>
    <w:p w:rsidR="008D71F7" w:rsidRDefault="008D71F7" w:rsidP="004F0ACD">
      <w:pPr>
        <w:pStyle w:val="ListParagraph"/>
        <w:numPr>
          <w:ilvl w:val="0"/>
          <w:numId w:val="0"/>
        </w:numPr>
        <w:spacing w:before="60" w:after="60"/>
        <w:rPr>
          <w:rFonts w:eastAsiaTheme="minorHAnsi" w:cstheme="minorBidi"/>
          <w:lang w:val="es-CR"/>
        </w:rPr>
      </w:pPr>
    </w:p>
    <w:p w:rsidR="008D71F7" w:rsidRPr="00317371" w:rsidRDefault="008D71F7" w:rsidP="004F0ACD">
      <w:pPr>
        <w:numPr>
          <w:ilvl w:val="0"/>
          <w:numId w:val="3"/>
        </w:numPr>
        <w:spacing w:before="60" w:after="60" w:line="240" w:lineRule="auto"/>
        <w:jc w:val="both"/>
        <w:rPr>
          <w:rFonts w:ascii="Verdana" w:hAnsi="Verdana" w:cs="Verdana"/>
          <w:color w:val="FF0000"/>
          <w:sz w:val="20"/>
          <w:szCs w:val="20"/>
        </w:rPr>
      </w:pPr>
      <w:r>
        <w:rPr>
          <w:rFonts w:ascii="Verdana" w:eastAsiaTheme="minorHAnsi" w:hAnsi="Verdana" w:cstheme="minorBidi"/>
          <w:sz w:val="20"/>
          <w:szCs w:val="20"/>
          <w:lang w:val="es-CR"/>
        </w:rPr>
        <w:t>L</w:t>
      </w:r>
      <w:r w:rsidRPr="008D71F7">
        <w:rPr>
          <w:rFonts w:ascii="Verdana" w:eastAsiaTheme="minorHAnsi" w:hAnsi="Verdana" w:cstheme="minorBidi"/>
          <w:sz w:val="20"/>
          <w:szCs w:val="20"/>
          <w:lang w:val="es-CR"/>
        </w:rPr>
        <w:t>os representantes alegaron que</w:t>
      </w:r>
      <w:r w:rsidRPr="00982C1A">
        <w:rPr>
          <w:rFonts w:ascii="Verdana" w:eastAsiaTheme="minorHAnsi" w:hAnsi="Verdana" w:cstheme="minorBidi"/>
          <w:sz w:val="20"/>
          <w:szCs w:val="20"/>
          <w:lang w:val="es-CR"/>
        </w:rPr>
        <w:t xml:space="preserve">, de acuerdo al </w:t>
      </w:r>
      <w:r w:rsidRPr="00317371">
        <w:rPr>
          <w:rFonts w:ascii="Verdana" w:eastAsiaTheme="minorHAnsi" w:hAnsi="Verdana" w:cstheme="minorBidi"/>
          <w:sz w:val="20"/>
          <w:szCs w:val="20"/>
          <w:lang w:val="es-CR"/>
        </w:rPr>
        <w:t xml:space="preserve">Reglamento de la Corte, la celebración de una audiencia </w:t>
      </w:r>
      <w:r w:rsidR="00C61663" w:rsidRPr="00317371">
        <w:rPr>
          <w:rFonts w:ascii="Verdana" w:eastAsiaTheme="minorHAnsi" w:hAnsi="Verdana" w:cstheme="minorBidi"/>
          <w:sz w:val="20"/>
          <w:szCs w:val="20"/>
          <w:lang w:val="es-CR"/>
        </w:rPr>
        <w:t>especial para las</w:t>
      </w:r>
      <w:r w:rsidRPr="00317371">
        <w:rPr>
          <w:rFonts w:ascii="Verdana" w:eastAsiaTheme="minorHAnsi" w:hAnsi="Verdana" w:cstheme="minorBidi"/>
          <w:sz w:val="20"/>
          <w:szCs w:val="20"/>
          <w:lang w:val="es-CR"/>
        </w:rPr>
        <w:t xml:space="preserve"> excepciones prelimin</w:t>
      </w:r>
      <w:r w:rsidR="00982C1A" w:rsidRPr="00317371">
        <w:rPr>
          <w:rFonts w:ascii="Verdana" w:eastAsiaTheme="minorHAnsi" w:hAnsi="Verdana" w:cstheme="minorBidi"/>
          <w:sz w:val="20"/>
          <w:szCs w:val="20"/>
          <w:lang w:val="es-CR"/>
        </w:rPr>
        <w:t>ares “constituye una excepción”. En este sentido, s</w:t>
      </w:r>
      <w:r w:rsidRPr="00317371">
        <w:rPr>
          <w:rFonts w:ascii="Verdana" w:eastAsiaTheme="minorHAnsi" w:hAnsi="Verdana" w:cstheme="minorBidi"/>
          <w:sz w:val="20"/>
          <w:szCs w:val="20"/>
          <w:lang w:val="es-CR"/>
        </w:rPr>
        <w:t xml:space="preserve">eñalaron que “el Estado no ha fundamentado cuáles serían las circunstancias especiales del caso que justificarían un tratamiento diferenciado de las cuestiones de admisibilidad”. </w:t>
      </w:r>
      <w:r w:rsidR="00994617" w:rsidRPr="00317371">
        <w:rPr>
          <w:rFonts w:ascii="Verdana" w:eastAsiaTheme="minorHAnsi" w:hAnsi="Verdana" w:cstheme="minorBidi"/>
          <w:sz w:val="20"/>
          <w:szCs w:val="20"/>
          <w:lang w:val="es-CR"/>
        </w:rPr>
        <w:t xml:space="preserve">Para los representantes, los argumentos del Estado “no constituyen una circunstancia excepcional que amerite un tratamiento diferenciado en este caso”. </w:t>
      </w:r>
      <w:r w:rsidRPr="00317371">
        <w:rPr>
          <w:rFonts w:ascii="Verdana" w:eastAsiaTheme="minorHAnsi" w:hAnsi="Verdana" w:cstheme="minorBidi"/>
          <w:sz w:val="20"/>
          <w:szCs w:val="20"/>
          <w:lang w:val="es-CR"/>
        </w:rPr>
        <w:t>Además, destacaron que “han transcurrido casi 28 años desde la comisión de los hechos, tiempo durante el cual las víctimas y sus familiares han esper</w:t>
      </w:r>
      <w:r w:rsidR="0099137C" w:rsidRPr="00317371">
        <w:rPr>
          <w:rFonts w:ascii="Verdana" w:eastAsiaTheme="minorHAnsi" w:hAnsi="Verdana" w:cstheme="minorBidi"/>
          <w:sz w:val="20"/>
          <w:szCs w:val="20"/>
          <w:lang w:val="es-CR"/>
        </w:rPr>
        <w:t>ado la consecución de justicia</w:t>
      </w:r>
      <w:r w:rsidRPr="00317371">
        <w:rPr>
          <w:rFonts w:ascii="Verdana" w:eastAsiaTheme="minorHAnsi" w:hAnsi="Verdana" w:cstheme="minorBidi"/>
          <w:sz w:val="20"/>
          <w:szCs w:val="20"/>
          <w:lang w:val="es-CR"/>
        </w:rPr>
        <w:t xml:space="preserve">”. </w:t>
      </w:r>
      <w:r w:rsidR="00822C56" w:rsidRPr="00317371">
        <w:rPr>
          <w:rFonts w:ascii="Verdana" w:eastAsiaTheme="minorHAnsi" w:hAnsi="Verdana" w:cstheme="minorBidi"/>
          <w:sz w:val="20"/>
          <w:szCs w:val="20"/>
          <w:lang w:val="es-CR"/>
        </w:rPr>
        <w:t xml:space="preserve">Por tanto, </w:t>
      </w:r>
      <w:r w:rsidRPr="00317371">
        <w:rPr>
          <w:rFonts w:ascii="Verdana" w:eastAsiaTheme="minorHAnsi" w:hAnsi="Verdana" w:cstheme="minorBidi"/>
          <w:sz w:val="20"/>
          <w:szCs w:val="20"/>
          <w:lang w:val="es-CR"/>
        </w:rPr>
        <w:t xml:space="preserve">los representantes solicitaron que se rechazara la solicitud del Estado. </w:t>
      </w:r>
    </w:p>
    <w:p w:rsidR="008D71F7" w:rsidRPr="00317371" w:rsidRDefault="008D71F7" w:rsidP="004F0ACD">
      <w:pPr>
        <w:spacing w:before="60" w:after="60" w:line="240" w:lineRule="auto"/>
        <w:jc w:val="both"/>
        <w:rPr>
          <w:rFonts w:ascii="Verdana" w:hAnsi="Verdana" w:cs="Verdana"/>
          <w:color w:val="FF0000"/>
          <w:sz w:val="20"/>
          <w:szCs w:val="20"/>
        </w:rPr>
      </w:pPr>
    </w:p>
    <w:p w:rsidR="00653958" w:rsidRDefault="008D71F7" w:rsidP="004F0ACD">
      <w:pPr>
        <w:numPr>
          <w:ilvl w:val="0"/>
          <w:numId w:val="3"/>
        </w:numPr>
        <w:spacing w:before="60" w:after="60" w:line="240" w:lineRule="auto"/>
        <w:jc w:val="both"/>
        <w:rPr>
          <w:color w:val="FF0000"/>
        </w:rPr>
      </w:pPr>
      <w:r w:rsidRPr="00317371">
        <w:rPr>
          <w:rFonts w:ascii="Verdana" w:eastAsiaTheme="minorHAnsi" w:hAnsi="Verdana" w:cstheme="minorBidi"/>
          <w:sz w:val="20"/>
          <w:szCs w:val="20"/>
          <w:lang w:val="es-CR"/>
        </w:rPr>
        <w:t>Por su parte, la Comisión señaló que del propio Reglamento</w:t>
      </w:r>
      <w:r w:rsidRPr="008D71F7">
        <w:rPr>
          <w:rFonts w:ascii="Verdana" w:eastAsiaTheme="minorHAnsi" w:hAnsi="Verdana" w:cstheme="minorBidi"/>
          <w:sz w:val="20"/>
          <w:szCs w:val="20"/>
          <w:lang w:val="es-CR"/>
        </w:rPr>
        <w:t xml:space="preserve"> de la Corte se desprende que la realización de una audiencia </w:t>
      </w:r>
      <w:r w:rsidR="00695CD0">
        <w:rPr>
          <w:rFonts w:ascii="Verdana" w:eastAsiaTheme="minorHAnsi" w:hAnsi="Verdana" w:cstheme="minorBidi"/>
          <w:sz w:val="20"/>
          <w:szCs w:val="20"/>
          <w:lang w:val="es-CR"/>
        </w:rPr>
        <w:t>especial para las</w:t>
      </w:r>
      <w:r w:rsidRPr="008D71F7">
        <w:rPr>
          <w:rFonts w:ascii="Verdana" w:eastAsiaTheme="minorHAnsi" w:hAnsi="Verdana" w:cstheme="minorBidi"/>
          <w:sz w:val="20"/>
          <w:szCs w:val="20"/>
          <w:lang w:val="es-CR"/>
        </w:rPr>
        <w:t xml:space="preserve"> excepciones preliminares es excepcional. Consideró que dicha “interpretación es consistente con la práctica […] desde hace más de once años [por la cual] la Corte </w:t>
      </w:r>
      <w:r w:rsidR="00C61663">
        <w:rPr>
          <w:rFonts w:ascii="Verdana" w:eastAsiaTheme="minorHAnsi" w:hAnsi="Verdana" w:cstheme="minorBidi"/>
          <w:sz w:val="20"/>
          <w:szCs w:val="20"/>
          <w:lang w:val="es-CR"/>
        </w:rPr>
        <w:t xml:space="preserve">Interamericana </w:t>
      </w:r>
      <w:r w:rsidRPr="008D71F7">
        <w:rPr>
          <w:rFonts w:ascii="Verdana" w:eastAsiaTheme="minorHAnsi" w:hAnsi="Verdana" w:cstheme="minorBidi"/>
          <w:sz w:val="20"/>
          <w:szCs w:val="20"/>
          <w:lang w:val="es-CR"/>
        </w:rPr>
        <w:t>ha escuchado en una sola audiencia las cuestiones relativas a las excepciones preliminares y l</w:t>
      </w:r>
      <w:r w:rsidR="00695CD0">
        <w:rPr>
          <w:rFonts w:ascii="Verdana" w:eastAsiaTheme="minorHAnsi" w:hAnsi="Verdana" w:cstheme="minorBidi"/>
          <w:sz w:val="20"/>
          <w:szCs w:val="20"/>
          <w:lang w:val="es-CR"/>
        </w:rPr>
        <w:t>[as]</w:t>
      </w:r>
      <w:r w:rsidRPr="008D71F7">
        <w:rPr>
          <w:rFonts w:ascii="Verdana" w:eastAsiaTheme="minorHAnsi" w:hAnsi="Verdana" w:cstheme="minorBidi"/>
          <w:sz w:val="20"/>
          <w:szCs w:val="20"/>
          <w:lang w:val="es-CR"/>
        </w:rPr>
        <w:t xml:space="preserve"> d</w:t>
      </w:r>
      <w:r w:rsidR="002C2DCA">
        <w:rPr>
          <w:rFonts w:ascii="Verdana" w:eastAsiaTheme="minorHAnsi" w:hAnsi="Verdana" w:cstheme="minorBidi"/>
          <w:sz w:val="20"/>
          <w:szCs w:val="20"/>
          <w:lang w:val="es-CR"/>
        </w:rPr>
        <w:t>e fondo, reparaciones y costas”</w:t>
      </w:r>
      <w:r w:rsidRPr="008D71F7">
        <w:rPr>
          <w:rFonts w:ascii="Verdana" w:eastAsiaTheme="minorHAnsi" w:hAnsi="Verdana" w:cstheme="minorBidi"/>
          <w:sz w:val="20"/>
          <w:szCs w:val="20"/>
          <w:lang w:val="es-CR"/>
        </w:rPr>
        <w:t xml:space="preserve">. Además, señaló que “aceptar que el concepto de ‘indispensable’ en el […] Reglamento se relaciona con el </w:t>
      </w:r>
      <w:r w:rsidR="00C61663" w:rsidRPr="008D71F7">
        <w:rPr>
          <w:rFonts w:ascii="Verdana" w:eastAsiaTheme="minorHAnsi" w:hAnsi="Verdana" w:cstheme="minorBidi"/>
          <w:sz w:val="20"/>
          <w:szCs w:val="20"/>
          <w:lang w:val="es-CR"/>
        </w:rPr>
        <w:t>‘</w:t>
      </w:r>
      <w:r w:rsidRPr="008D71F7">
        <w:rPr>
          <w:rFonts w:ascii="Verdana" w:eastAsiaTheme="minorHAnsi" w:hAnsi="Verdana" w:cstheme="minorBidi"/>
          <w:sz w:val="20"/>
          <w:szCs w:val="20"/>
          <w:lang w:val="es-CR"/>
        </w:rPr>
        <w:t>debido proceso</w:t>
      </w:r>
      <w:r w:rsidR="00C61663" w:rsidRPr="008D71F7">
        <w:rPr>
          <w:rFonts w:ascii="Verdana" w:eastAsiaTheme="minorHAnsi" w:hAnsi="Verdana" w:cstheme="minorBidi"/>
          <w:sz w:val="20"/>
          <w:szCs w:val="20"/>
          <w:lang w:val="es-CR"/>
        </w:rPr>
        <w:t>’</w:t>
      </w:r>
      <w:r w:rsidRPr="008D71F7">
        <w:rPr>
          <w:rFonts w:ascii="Verdana" w:eastAsiaTheme="minorHAnsi" w:hAnsi="Verdana" w:cstheme="minorBidi"/>
          <w:sz w:val="20"/>
          <w:szCs w:val="20"/>
          <w:lang w:val="es-CR"/>
        </w:rPr>
        <w:t xml:space="preserve"> de los Estados, equivaldría a indicar que la aplicación reiterada de las normas reglamentarias que permiten la realización de una audiencia, así como la práctica consolidada </w:t>
      </w:r>
      <w:r w:rsidR="00C61663">
        <w:rPr>
          <w:rFonts w:ascii="Verdana" w:eastAsiaTheme="minorHAnsi" w:hAnsi="Verdana" w:cstheme="minorBidi"/>
          <w:sz w:val="20"/>
          <w:szCs w:val="20"/>
          <w:lang w:val="es-CR"/>
        </w:rPr>
        <w:t>[</w:t>
      </w:r>
      <w:r w:rsidR="00DD40DE">
        <w:rPr>
          <w:rFonts w:ascii="Verdana" w:eastAsiaTheme="minorHAnsi" w:hAnsi="Verdana" w:cstheme="minorBidi"/>
          <w:sz w:val="20"/>
          <w:szCs w:val="20"/>
          <w:lang w:val="es-CR"/>
        </w:rPr>
        <w:t>de la Corte</w:t>
      </w:r>
      <w:r w:rsidR="00C61663">
        <w:rPr>
          <w:rFonts w:ascii="Verdana" w:eastAsiaTheme="minorHAnsi" w:hAnsi="Verdana" w:cstheme="minorBidi"/>
          <w:sz w:val="20"/>
          <w:szCs w:val="20"/>
          <w:lang w:val="es-CR"/>
        </w:rPr>
        <w:t>]</w:t>
      </w:r>
      <w:r w:rsidRPr="008D71F7">
        <w:rPr>
          <w:rFonts w:ascii="Verdana" w:eastAsiaTheme="minorHAnsi" w:hAnsi="Verdana" w:cstheme="minorBidi"/>
          <w:sz w:val="20"/>
          <w:szCs w:val="20"/>
          <w:lang w:val="es-CR"/>
        </w:rPr>
        <w:t xml:space="preserve">, han venido en contra del principio del debido proceso”. Adicionalmente, </w:t>
      </w:r>
      <w:r w:rsidR="002028E9" w:rsidRPr="008D71F7">
        <w:rPr>
          <w:rFonts w:ascii="Verdana" w:eastAsiaTheme="minorHAnsi" w:hAnsi="Verdana" w:cstheme="minorBidi"/>
          <w:sz w:val="20"/>
          <w:szCs w:val="20"/>
          <w:lang w:val="es-CR"/>
        </w:rPr>
        <w:t xml:space="preserve">la Comisión consideró que el Estado </w:t>
      </w:r>
      <w:r w:rsidR="002028E9">
        <w:rPr>
          <w:rFonts w:ascii="Verdana" w:eastAsiaTheme="minorHAnsi" w:hAnsi="Verdana" w:cstheme="minorBidi"/>
          <w:sz w:val="20"/>
          <w:szCs w:val="20"/>
          <w:lang w:val="es-CR"/>
        </w:rPr>
        <w:t>no explicó “</w:t>
      </w:r>
      <w:r w:rsidR="002028E9" w:rsidRPr="008D71F7">
        <w:rPr>
          <w:rFonts w:ascii="Verdana" w:eastAsiaTheme="minorHAnsi" w:hAnsi="Verdana" w:cstheme="minorBidi"/>
          <w:sz w:val="20"/>
          <w:szCs w:val="20"/>
          <w:lang w:val="es-CR"/>
        </w:rPr>
        <w:t xml:space="preserve">las razones concretas por las cuales la </w:t>
      </w:r>
      <w:r w:rsidR="002028E9">
        <w:rPr>
          <w:rFonts w:ascii="Verdana" w:eastAsiaTheme="minorHAnsi" w:hAnsi="Verdana" w:cstheme="minorBidi"/>
          <w:sz w:val="20"/>
          <w:szCs w:val="20"/>
          <w:lang w:val="es-CR"/>
        </w:rPr>
        <w:t>[</w:t>
      </w:r>
      <w:r w:rsidR="00DD40DE">
        <w:rPr>
          <w:rFonts w:ascii="Verdana" w:eastAsiaTheme="minorHAnsi" w:hAnsi="Verdana" w:cstheme="minorBidi"/>
          <w:sz w:val="20"/>
          <w:szCs w:val="20"/>
          <w:lang w:val="es-CR"/>
        </w:rPr>
        <w:t xml:space="preserve">…] </w:t>
      </w:r>
      <w:r w:rsidR="002028E9" w:rsidRPr="008D71F7">
        <w:rPr>
          <w:rFonts w:ascii="Verdana" w:eastAsiaTheme="minorHAnsi" w:hAnsi="Verdana" w:cstheme="minorBidi"/>
          <w:sz w:val="20"/>
          <w:szCs w:val="20"/>
          <w:lang w:val="es-CR"/>
        </w:rPr>
        <w:t xml:space="preserve">complejidad </w:t>
      </w:r>
      <w:r w:rsidR="00DD40DE">
        <w:rPr>
          <w:rFonts w:ascii="Verdana" w:eastAsiaTheme="minorHAnsi" w:hAnsi="Verdana" w:cstheme="minorBidi"/>
          <w:sz w:val="20"/>
          <w:szCs w:val="20"/>
          <w:lang w:val="es-CR"/>
        </w:rPr>
        <w:t>[del caso]</w:t>
      </w:r>
      <w:r w:rsidR="002028E9">
        <w:rPr>
          <w:rFonts w:ascii="Verdana" w:eastAsiaTheme="minorHAnsi" w:hAnsi="Verdana" w:cstheme="minorBidi"/>
          <w:sz w:val="20"/>
          <w:szCs w:val="20"/>
          <w:lang w:val="es-CR"/>
        </w:rPr>
        <w:t xml:space="preserve"> </w:t>
      </w:r>
      <w:r w:rsidR="002028E9" w:rsidRPr="008D71F7">
        <w:rPr>
          <w:rFonts w:ascii="Verdana" w:eastAsiaTheme="minorHAnsi" w:hAnsi="Verdana" w:cstheme="minorBidi"/>
          <w:sz w:val="20"/>
          <w:szCs w:val="20"/>
          <w:lang w:val="es-CR"/>
        </w:rPr>
        <w:t xml:space="preserve">justifica la separación de las audiencias”. </w:t>
      </w:r>
      <w:r w:rsidRPr="008D71F7">
        <w:rPr>
          <w:rFonts w:ascii="Verdana" w:eastAsiaTheme="minorHAnsi" w:hAnsi="Verdana" w:cstheme="minorBidi"/>
          <w:sz w:val="20"/>
          <w:szCs w:val="20"/>
          <w:lang w:val="es-CR"/>
        </w:rPr>
        <w:t xml:space="preserve">Por todo lo anterior, la Comisión consideró que </w:t>
      </w:r>
      <w:r w:rsidR="00C61663">
        <w:rPr>
          <w:rFonts w:ascii="Verdana" w:eastAsiaTheme="minorHAnsi" w:hAnsi="Verdana" w:cstheme="minorBidi"/>
          <w:sz w:val="20"/>
          <w:szCs w:val="20"/>
          <w:lang w:val="es-CR"/>
        </w:rPr>
        <w:t>“</w:t>
      </w:r>
      <w:r w:rsidRPr="008D71F7">
        <w:rPr>
          <w:rFonts w:ascii="Verdana" w:eastAsiaTheme="minorHAnsi" w:hAnsi="Verdana" w:cstheme="minorBidi"/>
          <w:sz w:val="20"/>
          <w:szCs w:val="20"/>
          <w:lang w:val="es-CR"/>
        </w:rPr>
        <w:t>no existen razones suficientes para abordar el presente caso de manera distinta a la práctica constante del Tribunal</w:t>
      </w:r>
      <w:r w:rsidR="00C61663">
        <w:rPr>
          <w:rFonts w:ascii="Verdana" w:eastAsiaTheme="minorHAnsi" w:hAnsi="Verdana" w:cstheme="minorBidi"/>
          <w:sz w:val="20"/>
          <w:szCs w:val="20"/>
          <w:lang w:val="es-CR"/>
        </w:rPr>
        <w:t>”</w:t>
      </w:r>
      <w:r w:rsidRPr="008D71F7">
        <w:rPr>
          <w:rFonts w:ascii="Verdana" w:eastAsiaTheme="minorHAnsi" w:hAnsi="Verdana" w:cstheme="minorBidi"/>
          <w:sz w:val="20"/>
          <w:szCs w:val="20"/>
          <w:lang w:val="es-CR"/>
        </w:rPr>
        <w:t>.</w:t>
      </w:r>
    </w:p>
    <w:p w:rsidR="006C49C5" w:rsidRPr="006C49C5" w:rsidRDefault="006C49C5" w:rsidP="004F0ACD">
      <w:pPr>
        <w:spacing w:before="60" w:after="60" w:line="240" w:lineRule="auto"/>
        <w:jc w:val="both"/>
        <w:rPr>
          <w:rFonts w:ascii="Verdana" w:hAnsi="Verdana" w:cs="Verdana"/>
          <w:color w:val="FF0000"/>
          <w:sz w:val="20"/>
          <w:szCs w:val="20"/>
        </w:rPr>
      </w:pPr>
    </w:p>
    <w:p w:rsidR="006C49C5" w:rsidRPr="006C49C5" w:rsidRDefault="002C2DCA" w:rsidP="004F0ACD">
      <w:pPr>
        <w:numPr>
          <w:ilvl w:val="0"/>
          <w:numId w:val="3"/>
        </w:numPr>
        <w:spacing w:before="60" w:after="60" w:line="240" w:lineRule="auto"/>
        <w:jc w:val="both"/>
        <w:rPr>
          <w:rFonts w:ascii="Verdana" w:hAnsi="Verdana" w:cs="Verdana"/>
          <w:color w:val="FF0000"/>
          <w:sz w:val="20"/>
          <w:szCs w:val="20"/>
        </w:rPr>
      </w:pPr>
      <w:r w:rsidRPr="006C49C5">
        <w:rPr>
          <w:rFonts w:ascii="Verdana" w:hAnsi="Verdana"/>
          <w:sz w:val="20"/>
          <w:szCs w:val="20"/>
        </w:rPr>
        <w:t xml:space="preserve">Esta Corte ha establecido que </w:t>
      </w:r>
      <w:r w:rsidRPr="006C49C5">
        <w:rPr>
          <w:rFonts w:ascii="Verdana" w:hAnsi="Verdana"/>
          <w:sz w:val="20"/>
          <w:szCs w:val="20"/>
          <w:lang w:val="es-CR"/>
        </w:rPr>
        <w:t>en función del principio de economía procesal el Tribunal acostumbra celebrar una sola audiencia sobre excepciones preliminares y eventuales etapas de fondo, reparaciones y costas, salvo en casos sumamente excepcionales, cuando lo considere indispensable, tal como lo indica el Reglamento de la Corte</w:t>
      </w:r>
      <w:r w:rsidR="00B44167" w:rsidRPr="00B44167">
        <w:rPr>
          <w:rStyle w:val="FootnoteReference"/>
          <w:sz w:val="20"/>
          <w:szCs w:val="20"/>
          <w:lang w:val="es-CR"/>
        </w:rPr>
        <w:footnoteReference w:id="1"/>
      </w:r>
      <w:r w:rsidRPr="006C49C5">
        <w:rPr>
          <w:rFonts w:ascii="Verdana" w:hAnsi="Verdana"/>
          <w:sz w:val="20"/>
          <w:szCs w:val="20"/>
          <w:lang w:val="es-CR"/>
        </w:rPr>
        <w:t>.</w:t>
      </w:r>
      <w:r w:rsidR="00540FBC" w:rsidRPr="006C49C5">
        <w:rPr>
          <w:rFonts w:ascii="Verdana" w:hAnsi="Verdana"/>
          <w:sz w:val="20"/>
          <w:szCs w:val="20"/>
          <w:lang w:val="es-CR"/>
        </w:rPr>
        <w:t xml:space="preserve"> En este sentido, a pesar de que </w:t>
      </w:r>
      <w:r w:rsidR="00540FBC" w:rsidRPr="006C49C5">
        <w:rPr>
          <w:rFonts w:ascii="Verdana" w:hAnsi="Verdana"/>
          <w:sz w:val="20"/>
          <w:szCs w:val="20"/>
          <w:lang w:val="es-ES"/>
        </w:rPr>
        <w:t xml:space="preserve">la práctica del Tribunal en los últimos años ha consistido en recibir en una única instancia procesal oral las declaraciones aportadas por las partes, así </w:t>
      </w:r>
      <w:r w:rsidR="00DD40DE" w:rsidRPr="006C49C5">
        <w:rPr>
          <w:rFonts w:ascii="Verdana" w:hAnsi="Verdana"/>
          <w:sz w:val="20"/>
          <w:szCs w:val="20"/>
          <w:lang w:val="es-ES"/>
        </w:rPr>
        <w:t xml:space="preserve">como </w:t>
      </w:r>
      <w:r w:rsidR="00540FBC" w:rsidRPr="006C49C5">
        <w:rPr>
          <w:rFonts w:ascii="Verdana" w:hAnsi="Verdana"/>
          <w:sz w:val="20"/>
          <w:szCs w:val="20"/>
          <w:lang w:val="es-ES"/>
        </w:rPr>
        <w:t>también sus alegatos sobre las excepciones preliminares y sobre los eventuales fondo, reparaciones y costas</w:t>
      </w:r>
      <w:r w:rsidR="00540FBC" w:rsidRPr="006C49C5">
        <w:rPr>
          <w:rStyle w:val="FootnoteReference"/>
          <w:rFonts w:cs="Times"/>
          <w:sz w:val="20"/>
          <w:szCs w:val="20"/>
          <w:lang w:val="es-ES"/>
        </w:rPr>
        <w:footnoteReference w:id="2"/>
      </w:r>
      <w:r w:rsidR="00540FBC" w:rsidRPr="006C49C5">
        <w:rPr>
          <w:rFonts w:ascii="Verdana" w:hAnsi="Verdana"/>
          <w:sz w:val="20"/>
          <w:szCs w:val="20"/>
          <w:lang w:val="es-ES"/>
        </w:rPr>
        <w:t>, la Corte tiene la potestad de convocar a una audiencia separada sobre las excepciones preliminares si lo considera pertinente</w:t>
      </w:r>
      <w:r w:rsidR="00BC38E3" w:rsidRPr="006C49C5">
        <w:rPr>
          <w:rFonts w:ascii="Verdana" w:hAnsi="Verdana"/>
          <w:sz w:val="20"/>
          <w:szCs w:val="20"/>
          <w:lang w:val="es-ES"/>
        </w:rPr>
        <w:t>,</w:t>
      </w:r>
      <w:r w:rsidR="00112C75" w:rsidRPr="006C49C5">
        <w:rPr>
          <w:rFonts w:ascii="Verdana" w:hAnsi="Verdana"/>
          <w:sz w:val="20"/>
          <w:szCs w:val="20"/>
          <w:lang w:val="es-ES"/>
        </w:rPr>
        <w:t xml:space="preserve"> en virtud del referido artículo 42.5. </w:t>
      </w:r>
      <w:r w:rsidR="00DD40DE">
        <w:rPr>
          <w:rFonts w:ascii="Verdana" w:hAnsi="Verdana"/>
          <w:sz w:val="20"/>
          <w:szCs w:val="20"/>
          <w:lang w:val="es-ES"/>
        </w:rPr>
        <w:t>T</w:t>
      </w:r>
      <w:r w:rsidR="00B44167" w:rsidRPr="006C49C5">
        <w:rPr>
          <w:rFonts w:ascii="Verdana" w:hAnsi="Verdana"/>
          <w:sz w:val="20"/>
          <w:szCs w:val="20"/>
          <w:lang w:val="es-ES"/>
        </w:rPr>
        <w:t xml:space="preserve">eniendo en cuenta la extensión del </w:t>
      </w:r>
      <w:r w:rsidR="00DD40DE">
        <w:rPr>
          <w:rFonts w:ascii="Verdana" w:hAnsi="Verdana"/>
          <w:sz w:val="20"/>
          <w:szCs w:val="20"/>
          <w:lang w:val="es-ES"/>
        </w:rPr>
        <w:t xml:space="preserve">presente caso </w:t>
      </w:r>
      <w:r w:rsidR="00B44167">
        <w:rPr>
          <w:rFonts w:ascii="Verdana" w:hAnsi="Verdana"/>
          <w:sz w:val="20"/>
          <w:szCs w:val="20"/>
          <w:lang w:val="es-ES"/>
        </w:rPr>
        <w:t>y</w:t>
      </w:r>
      <w:r w:rsidR="00B44167" w:rsidRPr="006C49C5">
        <w:rPr>
          <w:rFonts w:ascii="Verdana" w:hAnsi="Verdana"/>
          <w:sz w:val="20"/>
          <w:szCs w:val="20"/>
          <w:lang w:val="es-ES"/>
        </w:rPr>
        <w:t xml:space="preserve"> </w:t>
      </w:r>
      <w:r w:rsidR="00112C75" w:rsidRPr="006C49C5">
        <w:rPr>
          <w:rFonts w:ascii="Verdana" w:hAnsi="Verdana"/>
          <w:sz w:val="20"/>
          <w:szCs w:val="20"/>
          <w:lang w:val="es-ES"/>
        </w:rPr>
        <w:t xml:space="preserve">una vez considerados los alegatos y observaciones de las partes y </w:t>
      </w:r>
      <w:r w:rsidR="00B44167">
        <w:rPr>
          <w:rFonts w:ascii="Verdana" w:hAnsi="Verdana"/>
          <w:sz w:val="20"/>
          <w:szCs w:val="20"/>
          <w:lang w:val="es-ES"/>
        </w:rPr>
        <w:t xml:space="preserve">de </w:t>
      </w:r>
      <w:r w:rsidR="00112C75" w:rsidRPr="006C49C5">
        <w:rPr>
          <w:rFonts w:ascii="Verdana" w:hAnsi="Verdana"/>
          <w:sz w:val="20"/>
          <w:szCs w:val="20"/>
          <w:lang w:val="es-ES"/>
        </w:rPr>
        <w:t xml:space="preserve">la Comisión </w:t>
      </w:r>
      <w:r w:rsidR="00112C75" w:rsidRPr="006C49C5">
        <w:rPr>
          <w:rFonts w:ascii="Verdana" w:hAnsi="Verdana"/>
          <w:sz w:val="20"/>
          <w:szCs w:val="20"/>
          <w:lang w:val="es-ES"/>
        </w:rPr>
        <w:lastRenderedPageBreak/>
        <w:t xml:space="preserve">al respecto, el Tribunal estima conveniente convocar a las partes </w:t>
      </w:r>
      <w:r w:rsidR="00E35649">
        <w:rPr>
          <w:rFonts w:ascii="Verdana" w:hAnsi="Verdana"/>
          <w:sz w:val="20"/>
          <w:szCs w:val="20"/>
          <w:lang w:val="es-ES"/>
        </w:rPr>
        <w:t xml:space="preserve">y a la Comisión </w:t>
      </w:r>
      <w:r w:rsidR="00112C75" w:rsidRPr="006C49C5">
        <w:rPr>
          <w:rFonts w:ascii="Verdana" w:hAnsi="Verdana"/>
          <w:sz w:val="20"/>
          <w:szCs w:val="20"/>
          <w:lang w:val="es-ES"/>
        </w:rPr>
        <w:t xml:space="preserve">a la celebración de una audiencia especial sobre las excepciones preliminares interpuestas por el Estado en </w:t>
      </w:r>
      <w:r w:rsidR="00A5065B" w:rsidRPr="006C49C5">
        <w:rPr>
          <w:rFonts w:ascii="Verdana" w:hAnsi="Verdana"/>
          <w:sz w:val="20"/>
          <w:szCs w:val="20"/>
          <w:lang w:val="es-ES"/>
        </w:rPr>
        <w:t xml:space="preserve">este </w:t>
      </w:r>
      <w:r w:rsidR="00112C75" w:rsidRPr="006C49C5">
        <w:rPr>
          <w:rFonts w:ascii="Verdana" w:hAnsi="Verdana"/>
          <w:sz w:val="20"/>
          <w:szCs w:val="20"/>
          <w:lang w:val="es-ES"/>
        </w:rPr>
        <w:t>caso</w:t>
      </w:r>
      <w:r w:rsidR="00540FBC" w:rsidRPr="006C49C5">
        <w:rPr>
          <w:rFonts w:ascii="Verdana" w:hAnsi="Verdana"/>
          <w:sz w:val="20"/>
          <w:szCs w:val="20"/>
          <w:lang w:val="es-ES"/>
        </w:rPr>
        <w:t xml:space="preserve">. </w:t>
      </w:r>
      <w:r w:rsidR="00B44167">
        <w:rPr>
          <w:rFonts w:ascii="Verdana" w:hAnsi="Verdana"/>
          <w:sz w:val="20"/>
          <w:szCs w:val="20"/>
          <w:lang w:val="es-ES"/>
        </w:rPr>
        <w:t>D</w:t>
      </w:r>
      <w:r w:rsidR="00112C75" w:rsidRPr="006C49C5">
        <w:rPr>
          <w:rFonts w:ascii="Verdana" w:hAnsi="Verdana"/>
          <w:sz w:val="20"/>
          <w:szCs w:val="20"/>
          <w:lang w:val="es-ES"/>
        </w:rPr>
        <w:t xml:space="preserve">e conformidad con lo establecido en el mencionado artículo 42.5 de su Reglamento, el Tribunal estima que </w:t>
      </w:r>
      <w:r w:rsidR="00B9458C" w:rsidRPr="006C49C5">
        <w:rPr>
          <w:rFonts w:ascii="Verdana" w:hAnsi="Verdana"/>
          <w:sz w:val="20"/>
          <w:szCs w:val="20"/>
          <w:lang w:val="es-ES"/>
        </w:rPr>
        <w:t xml:space="preserve">en </w:t>
      </w:r>
      <w:r w:rsidR="003B62E8" w:rsidRPr="006C49C5">
        <w:rPr>
          <w:rFonts w:ascii="Verdana" w:hAnsi="Verdana"/>
          <w:sz w:val="20"/>
          <w:szCs w:val="20"/>
          <w:lang w:val="es-ES"/>
        </w:rPr>
        <w:t>dicha audiencia</w:t>
      </w:r>
      <w:r w:rsidR="002028E9" w:rsidRPr="006C49C5">
        <w:rPr>
          <w:rFonts w:ascii="Verdana" w:hAnsi="Verdana"/>
          <w:sz w:val="20"/>
          <w:szCs w:val="20"/>
          <w:lang w:val="es-ES"/>
        </w:rPr>
        <w:t xml:space="preserve"> </w:t>
      </w:r>
      <w:r w:rsidR="00B9458C" w:rsidRPr="006C49C5">
        <w:rPr>
          <w:rFonts w:ascii="Verdana" w:hAnsi="Verdana"/>
          <w:sz w:val="20"/>
          <w:szCs w:val="20"/>
          <w:lang w:val="es-ES"/>
        </w:rPr>
        <w:t xml:space="preserve">especial </w:t>
      </w:r>
      <w:r w:rsidR="002028E9" w:rsidRPr="006C49C5">
        <w:rPr>
          <w:rFonts w:ascii="Verdana" w:hAnsi="Verdana"/>
          <w:sz w:val="20"/>
          <w:szCs w:val="20"/>
          <w:lang w:val="es-ES"/>
        </w:rPr>
        <w:t>de excepciones preliminares</w:t>
      </w:r>
      <w:r w:rsidR="003B62E8" w:rsidRPr="006C49C5">
        <w:rPr>
          <w:rFonts w:ascii="Verdana" w:hAnsi="Verdana"/>
          <w:sz w:val="20"/>
          <w:szCs w:val="20"/>
          <w:lang w:val="es-ES"/>
        </w:rPr>
        <w:t>, se deberán presentar los alegatos sobre todas las excepciones preliminares interpuestas por el Estado, incluyendo la denominada “solicitud de nulidad”</w:t>
      </w:r>
      <w:r w:rsidR="00B22A92" w:rsidRPr="006C49C5">
        <w:rPr>
          <w:rFonts w:ascii="Verdana" w:hAnsi="Verdana"/>
          <w:sz w:val="20"/>
          <w:szCs w:val="20"/>
          <w:lang w:val="es-ES"/>
        </w:rPr>
        <w:t xml:space="preserve"> del procedimiento ante la Comisión</w:t>
      </w:r>
      <w:r w:rsidR="003B62E8" w:rsidRPr="006C49C5">
        <w:rPr>
          <w:rFonts w:ascii="Verdana" w:hAnsi="Verdana"/>
          <w:sz w:val="20"/>
          <w:szCs w:val="20"/>
          <w:lang w:val="es-ES"/>
        </w:rPr>
        <w:t xml:space="preserve">. </w:t>
      </w:r>
    </w:p>
    <w:p w:rsidR="006C49C5" w:rsidRPr="006C49C5" w:rsidRDefault="006C49C5" w:rsidP="004F0ACD">
      <w:pPr>
        <w:spacing w:before="60" w:after="60" w:line="240" w:lineRule="auto"/>
        <w:jc w:val="both"/>
        <w:rPr>
          <w:rFonts w:ascii="Verdana" w:hAnsi="Verdana" w:cs="Verdana"/>
          <w:color w:val="FF0000"/>
          <w:sz w:val="20"/>
          <w:szCs w:val="20"/>
        </w:rPr>
      </w:pPr>
    </w:p>
    <w:p w:rsidR="00B9458C" w:rsidRPr="006C49C5" w:rsidRDefault="00B9458C" w:rsidP="004F0ACD">
      <w:pPr>
        <w:numPr>
          <w:ilvl w:val="0"/>
          <w:numId w:val="3"/>
        </w:numPr>
        <w:spacing w:before="60" w:after="60" w:line="240" w:lineRule="auto"/>
        <w:jc w:val="both"/>
        <w:rPr>
          <w:rFonts w:ascii="Verdana" w:hAnsi="Verdana" w:cs="Verdana"/>
          <w:color w:val="FF0000"/>
          <w:sz w:val="20"/>
          <w:szCs w:val="20"/>
        </w:rPr>
      </w:pPr>
      <w:r w:rsidRPr="006C49C5">
        <w:rPr>
          <w:rFonts w:ascii="Verdana" w:hAnsi="Verdana"/>
          <w:sz w:val="20"/>
          <w:szCs w:val="20"/>
        </w:rPr>
        <w:t xml:space="preserve">Asimismo, </w:t>
      </w:r>
      <w:r w:rsidR="00A4108C" w:rsidRPr="006C49C5">
        <w:rPr>
          <w:rFonts w:ascii="Verdana" w:hAnsi="Verdana"/>
          <w:sz w:val="20"/>
          <w:szCs w:val="20"/>
        </w:rPr>
        <w:t xml:space="preserve">a fin de no afectar la celeridad en la tramitación del presente caso ante la Corte Interamericana, </w:t>
      </w:r>
      <w:r w:rsidR="00D32C91" w:rsidRPr="006C49C5">
        <w:rPr>
          <w:rFonts w:ascii="Verdana" w:hAnsi="Verdana"/>
          <w:sz w:val="20"/>
          <w:szCs w:val="20"/>
        </w:rPr>
        <w:t xml:space="preserve">este Tribunal </w:t>
      </w:r>
      <w:r w:rsidR="00A4108C" w:rsidRPr="006C49C5">
        <w:rPr>
          <w:rFonts w:ascii="Verdana" w:hAnsi="Verdana"/>
          <w:sz w:val="20"/>
          <w:szCs w:val="20"/>
        </w:rPr>
        <w:t>considera pertinente convocar a las partes y</w:t>
      </w:r>
      <w:r w:rsidR="00AD76DD" w:rsidRPr="006C49C5">
        <w:rPr>
          <w:rFonts w:ascii="Verdana" w:hAnsi="Verdana"/>
          <w:sz w:val="20"/>
          <w:szCs w:val="20"/>
        </w:rPr>
        <w:t xml:space="preserve"> a</w:t>
      </w:r>
      <w:r w:rsidR="00A4108C" w:rsidRPr="006C49C5">
        <w:rPr>
          <w:rFonts w:ascii="Verdana" w:hAnsi="Verdana"/>
          <w:sz w:val="20"/>
          <w:szCs w:val="20"/>
        </w:rPr>
        <w:t xml:space="preserve"> la Comisión </w:t>
      </w:r>
      <w:r w:rsidR="00D32C91" w:rsidRPr="006C49C5">
        <w:rPr>
          <w:rFonts w:ascii="Verdana" w:hAnsi="Verdana"/>
          <w:sz w:val="20"/>
          <w:szCs w:val="20"/>
        </w:rPr>
        <w:t xml:space="preserve">a </w:t>
      </w:r>
      <w:r w:rsidR="00A4108C" w:rsidRPr="006C49C5">
        <w:rPr>
          <w:rFonts w:ascii="Verdana" w:hAnsi="Verdana"/>
          <w:sz w:val="20"/>
          <w:szCs w:val="20"/>
        </w:rPr>
        <w:t xml:space="preserve">la audiencia sobre los eventuales fondo, reparaciones y costas en el mismo período de sesiones en que se lleve a cabo la audiencia especial sobre las excepciones preliminares que se dispuso en el párrafo anterior. </w:t>
      </w:r>
      <w:r w:rsidR="00D32C91" w:rsidRPr="006C49C5">
        <w:rPr>
          <w:rFonts w:ascii="Verdana" w:hAnsi="Verdana"/>
          <w:sz w:val="20"/>
          <w:szCs w:val="20"/>
        </w:rPr>
        <w:t>De esta forma, en el presente caso, se celebrarán</w:t>
      </w:r>
      <w:r w:rsidR="0089435D" w:rsidRPr="006C49C5">
        <w:rPr>
          <w:rFonts w:ascii="Verdana" w:hAnsi="Verdana"/>
          <w:sz w:val="20"/>
          <w:szCs w:val="20"/>
        </w:rPr>
        <w:t xml:space="preserve"> dos audiencias en un mismo perí</w:t>
      </w:r>
      <w:r w:rsidR="00D32C91" w:rsidRPr="006C49C5">
        <w:rPr>
          <w:rFonts w:ascii="Verdana" w:hAnsi="Verdana"/>
          <w:sz w:val="20"/>
          <w:szCs w:val="20"/>
        </w:rPr>
        <w:t xml:space="preserve">odo de sesiones de la Corte: la primera sobre las excepciones preliminares y la segunda sobre los eventuales fondo, reparaciones y costas. </w:t>
      </w:r>
    </w:p>
    <w:p w:rsidR="00BC38E3" w:rsidRPr="00EA435F" w:rsidRDefault="00BC38E3" w:rsidP="004F0ACD">
      <w:pPr>
        <w:pStyle w:val="ListParagraph"/>
        <w:numPr>
          <w:ilvl w:val="0"/>
          <w:numId w:val="0"/>
        </w:numPr>
        <w:tabs>
          <w:tab w:val="left" w:pos="567"/>
          <w:tab w:val="left" w:pos="8508"/>
        </w:tabs>
        <w:spacing w:before="120" w:after="120"/>
      </w:pPr>
    </w:p>
    <w:p w:rsidR="00F755E3" w:rsidRPr="00EA435F" w:rsidRDefault="00F755E3" w:rsidP="004F0ACD">
      <w:pPr>
        <w:pStyle w:val="BodyText"/>
        <w:spacing w:before="120"/>
        <w:jc w:val="both"/>
        <w:rPr>
          <w:rFonts w:ascii="Verdana" w:hAnsi="Verdana" w:cs="Verdana"/>
          <w:b/>
          <w:bCs/>
          <w:sz w:val="20"/>
          <w:szCs w:val="20"/>
          <w:lang w:val="es-ES"/>
        </w:rPr>
      </w:pPr>
      <w:r w:rsidRPr="00EA435F">
        <w:rPr>
          <w:rFonts w:ascii="Verdana" w:hAnsi="Verdana" w:cs="Verdana"/>
          <w:b/>
          <w:bCs/>
          <w:sz w:val="20"/>
          <w:szCs w:val="20"/>
          <w:lang w:val="es-ES"/>
        </w:rPr>
        <w:t>POR TANTO:</w:t>
      </w:r>
    </w:p>
    <w:p w:rsidR="00F755E3" w:rsidRPr="00EA435F" w:rsidRDefault="00F755E3" w:rsidP="004F0ACD">
      <w:pPr>
        <w:spacing w:before="120" w:after="120" w:line="240" w:lineRule="auto"/>
        <w:jc w:val="both"/>
        <w:rPr>
          <w:rFonts w:ascii="Verdana" w:hAnsi="Verdana" w:cs="Verdana"/>
          <w:b/>
          <w:bCs/>
          <w:sz w:val="20"/>
          <w:szCs w:val="20"/>
          <w:lang w:val="es-ES"/>
        </w:rPr>
      </w:pPr>
    </w:p>
    <w:p w:rsidR="00F755E3" w:rsidRPr="00EA435F" w:rsidRDefault="00F755E3" w:rsidP="004F0ACD">
      <w:pPr>
        <w:spacing w:before="120" w:after="120" w:line="240" w:lineRule="auto"/>
        <w:jc w:val="both"/>
        <w:rPr>
          <w:rFonts w:ascii="Verdana" w:hAnsi="Verdana" w:cs="Verdana"/>
          <w:b/>
          <w:bCs/>
          <w:sz w:val="20"/>
          <w:szCs w:val="20"/>
          <w:lang w:val="es-ES"/>
        </w:rPr>
      </w:pPr>
      <w:r w:rsidRPr="00EA435F">
        <w:rPr>
          <w:rFonts w:ascii="Verdana" w:hAnsi="Verdana" w:cs="Verdana"/>
          <w:b/>
          <w:bCs/>
          <w:sz w:val="20"/>
          <w:szCs w:val="20"/>
          <w:lang w:val="es-ES"/>
        </w:rPr>
        <w:t xml:space="preserve">LA CORTE INTERAMERICANA DE DERECHOS HUMANOS, </w:t>
      </w:r>
    </w:p>
    <w:p w:rsidR="00F755E3" w:rsidRPr="00EA435F" w:rsidRDefault="00F755E3" w:rsidP="004F0ACD">
      <w:pPr>
        <w:spacing w:before="120" w:after="120" w:line="240" w:lineRule="auto"/>
        <w:jc w:val="both"/>
        <w:rPr>
          <w:rFonts w:ascii="Verdana" w:hAnsi="Verdana" w:cs="Verdana"/>
          <w:b/>
          <w:bCs/>
          <w:sz w:val="20"/>
          <w:szCs w:val="20"/>
          <w:lang w:val="es-ES"/>
        </w:rPr>
      </w:pPr>
    </w:p>
    <w:p w:rsidR="00F755E3" w:rsidRPr="008039CB" w:rsidRDefault="006F38AF" w:rsidP="004F0ACD">
      <w:pPr>
        <w:spacing w:before="120" w:after="120" w:line="240" w:lineRule="auto"/>
        <w:ind w:right="22"/>
        <w:jc w:val="both"/>
        <w:rPr>
          <w:rFonts w:ascii="Verdana" w:hAnsi="Verdana" w:cs="Verdana"/>
          <w:sz w:val="20"/>
          <w:szCs w:val="20"/>
        </w:rPr>
      </w:pPr>
      <w:r w:rsidRPr="00B72EF0">
        <w:rPr>
          <w:rFonts w:ascii="Verdana" w:hAnsi="Verdana"/>
          <w:sz w:val="20"/>
        </w:rPr>
        <w:t xml:space="preserve">en </w:t>
      </w:r>
      <w:r w:rsidR="00801927">
        <w:rPr>
          <w:rFonts w:ascii="Verdana" w:hAnsi="Verdana"/>
          <w:sz w:val="20"/>
        </w:rPr>
        <w:t xml:space="preserve">uso de las </w:t>
      </w:r>
      <w:r w:rsidRPr="00B72EF0">
        <w:rPr>
          <w:rFonts w:ascii="Verdana" w:hAnsi="Verdana"/>
          <w:sz w:val="20"/>
        </w:rPr>
        <w:t>atribuciones</w:t>
      </w:r>
      <w:r w:rsidR="00801927">
        <w:rPr>
          <w:rFonts w:ascii="Verdana" w:hAnsi="Verdana"/>
          <w:sz w:val="20"/>
        </w:rPr>
        <w:t xml:space="preserve"> que le confieren los </w:t>
      </w:r>
      <w:r w:rsidR="00801927" w:rsidRPr="00EA435F">
        <w:rPr>
          <w:rFonts w:ascii="Verdana" w:hAnsi="Verdana" w:cs="Verdana"/>
          <w:sz w:val="20"/>
          <w:szCs w:val="20"/>
          <w:lang w:val="es-ES"/>
        </w:rPr>
        <w:t>artículos 2</w:t>
      </w:r>
      <w:r w:rsidR="00E00DD0">
        <w:rPr>
          <w:rFonts w:ascii="Verdana" w:hAnsi="Verdana" w:cs="Verdana"/>
          <w:sz w:val="20"/>
          <w:szCs w:val="20"/>
          <w:lang w:val="es-ES"/>
        </w:rPr>
        <w:t>5</w:t>
      </w:r>
      <w:r w:rsidR="00801927" w:rsidRPr="00EA435F">
        <w:rPr>
          <w:rFonts w:ascii="Verdana" w:hAnsi="Verdana" w:cs="Verdana"/>
          <w:sz w:val="20"/>
          <w:szCs w:val="20"/>
          <w:lang w:val="es-ES"/>
        </w:rPr>
        <w:t xml:space="preserve"> del Estatuto de la Corte y 15.1, </w:t>
      </w:r>
      <w:r w:rsidR="008039CB">
        <w:rPr>
          <w:rFonts w:ascii="Verdana" w:hAnsi="Verdana" w:cs="Verdana"/>
          <w:sz w:val="20"/>
          <w:szCs w:val="20"/>
          <w:lang w:val="es-ES"/>
        </w:rPr>
        <w:t xml:space="preserve">31, </w:t>
      </w:r>
      <w:r w:rsidR="00801927" w:rsidRPr="00EA435F">
        <w:rPr>
          <w:rFonts w:ascii="Verdana" w:hAnsi="Verdana" w:cs="Verdana"/>
          <w:sz w:val="20"/>
          <w:szCs w:val="20"/>
          <w:lang w:val="es-ES"/>
        </w:rPr>
        <w:t>42</w:t>
      </w:r>
      <w:r w:rsidR="008039CB">
        <w:rPr>
          <w:rFonts w:ascii="Verdana" w:hAnsi="Verdana" w:cs="Verdana"/>
          <w:sz w:val="20"/>
          <w:szCs w:val="20"/>
          <w:lang w:val="es-ES"/>
        </w:rPr>
        <w:t>,</w:t>
      </w:r>
      <w:r w:rsidR="008B01A7">
        <w:rPr>
          <w:rFonts w:ascii="Verdana" w:hAnsi="Verdana" w:cs="Verdana"/>
          <w:sz w:val="20"/>
          <w:szCs w:val="20"/>
          <w:lang w:val="es-ES"/>
        </w:rPr>
        <w:t xml:space="preserve"> 45</w:t>
      </w:r>
      <w:r w:rsidR="00801927" w:rsidRPr="00EA435F">
        <w:rPr>
          <w:rFonts w:ascii="Verdana" w:hAnsi="Verdana" w:cs="Verdana"/>
          <w:sz w:val="20"/>
          <w:szCs w:val="20"/>
          <w:lang w:val="es-ES"/>
        </w:rPr>
        <w:t xml:space="preserve"> </w:t>
      </w:r>
      <w:r w:rsidR="008039CB">
        <w:rPr>
          <w:rFonts w:ascii="Verdana" w:hAnsi="Verdana" w:cs="Verdana"/>
          <w:sz w:val="20"/>
          <w:szCs w:val="20"/>
          <w:lang w:val="es-ES"/>
        </w:rPr>
        <w:t xml:space="preserve">y </w:t>
      </w:r>
      <w:r w:rsidR="00801927" w:rsidRPr="00EA435F">
        <w:rPr>
          <w:rFonts w:ascii="Verdana" w:hAnsi="Verdana" w:cs="Verdana"/>
          <w:sz w:val="20"/>
          <w:szCs w:val="20"/>
          <w:lang w:val="es-ES"/>
        </w:rPr>
        <w:t>46</w:t>
      </w:r>
      <w:r w:rsidR="008039CB">
        <w:rPr>
          <w:rFonts w:ascii="Verdana" w:hAnsi="Verdana" w:cs="Verdana"/>
          <w:sz w:val="20"/>
          <w:szCs w:val="20"/>
          <w:lang w:val="es-ES"/>
        </w:rPr>
        <w:t xml:space="preserve"> </w:t>
      </w:r>
      <w:r w:rsidR="00801927" w:rsidRPr="00EA435F">
        <w:rPr>
          <w:rFonts w:ascii="Verdana" w:hAnsi="Verdana" w:cs="Verdana"/>
          <w:sz w:val="20"/>
          <w:szCs w:val="20"/>
          <w:lang w:val="es-ES"/>
        </w:rPr>
        <w:t>del Reglamento del Tribunal</w:t>
      </w:r>
      <w:r w:rsidRPr="00B72EF0">
        <w:rPr>
          <w:rFonts w:ascii="Verdana" w:hAnsi="Verdana"/>
          <w:sz w:val="20"/>
        </w:rPr>
        <w:t xml:space="preserve">, </w:t>
      </w:r>
    </w:p>
    <w:p w:rsidR="00BC38E3" w:rsidRPr="006D2BEA" w:rsidRDefault="00BC38E3" w:rsidP="004F0ACD">
      <w:pPr>
        <w:spacing w:before="120" w:after="120" w:line="240" w:lineRule="auto"/>
        <w:jc w:val="both"/>
        <w:rPr>
          <w:rFonts w:ascii="Verdana" w:hAnsi="Verdana" w:cs="Verdana"/>
          <w:sz w:val="20"/>
          <w:szCs w:val="20"/>
          <w:lang w:val="es-ES"/>
        </w:rPr>
      </w:pPr>
    </w:p>
    <w:p w:rsidR="00F755E3" w:rsidRPr="00EA435F" w:rsidRDefault="00F755E3" w:rsidP="004F0ACD">
      <w:pPr>
        <w:spacing w:before="120" w:after="120" w:line="240" w:lineRule="auto"/>
        <w:jc w:val="both"/>
        <w:rPr>
          <w:rFonts w:ascii="Verdana" w:hAnsi="Verdana" w:cs="Verdana"/>
          <w:b/>
          <w:bCs/>
          <w:caps/>
          <w:sz w:val="20"/>
          <w:szCs w:val="20"/>
        </w:rPr>
      </w:pPr>
      <w:r w:rsidRPr="00EA435F">
        <w:rPr>
          <w:rFonts w:ascii="Verdana" w:hAnsi="Verdana" w:cs="Verdana"/>
          <w:b/>
          <w:bCs/>
          <w:caps/>
          <w:sz w:val="20"/>
          <w:szCs w:val="20"/>
        </w:rPr>
        <w:t>Resuelve:</w:t>
      </w:r>
    </w:p>
    <w:p w:rsidR="00F755E3" w:rsidRPr="00EA435F" w:rsidRDefault="00F755E3" w:rsidP="004F0ACD">
      <w:pPr>
        <w:pStyle w:val="Default"/>
        <w:tabs>
          <w:tab w:val="num" w:pos="0"/>
        </w:tabs>
        <w:spacing w:before="120" w:after="120"/>
        <w:jc w:val="both"/>
        <w:rPr>
          <w:rFonts w:ascii="Verdana" w:hAnsi="Verdana" w:cs="Verdana"/>
          <w:color w:val="auto"/>
          <w:sz w:val="20"/>
          <w:szCs w:val="20"/>
        </w:rPr>
      </w:pPr>
    </w:p>
    <w:p w:rsidR="00F755E3" w:rsidRPr="00AD76DD" w:rsidRDefault="00BE7277" w:rsidP="004F0ACD">
      <w:pPr>
        <w:pStyle w:val="ColorfulList-Accent11"/>
        <w:numPr>
          <w:ilvl w:val="6"/>
          <w:numId w:val="4"/>
        </w:numPr>
        <w:tabs>
          <w:tab w:val="clear" w:pos="2520"/>
          <w:tab w:val="num" w:pos="0"/>
        </w:tabs>
        <w:autoSpaceDE w:val="0"/>
        <w:autoSpaceDN w:val="0"/>
        <w:adjustRightInd w:val="0"/>
        <w:spacing w:before="120" w:after="120"/>
        <w:ind w:left="0" w:firstLine="0"/>
        <w:jc w:val="both"/>
        <w:rPr>
          <w:rFonts w:ascii="Verdana" w:hAnsi="Verdana" w:cs="Verdana"/>
          <w:sz w:val="20"/>
          <w:szCs w:val="20"/>
        </w:rPr>
      </w:pPr>
      <w:bookmarkStart w:id="9" w:name="_Ref230577466"/>
      <w:bookmarkStart w:id="10" w:name="_Ref326587115"/>
      <w:r>
        <w:rPr>
          <w:rFonts w:ascii="Verdana" w:hAnsi="Verdana" w:cs="Verdana"/>
          <w:sz w:val="20"/>
          <w:szCs w:val="20"/>
        </w:rPr>
        <w:t xml:space="preserve">Disponer </w:t>
      </w:r>
      <w:r w:rsidR="003B62E8" w:rsidRPr="00EA435F">
        <w:rPr>
          <w:rFonts w:ascii="Verdana" w:hAnsi="Verdana" w:cs="Verdana"/>
          <w:sz w:val="20"/>
          <w:szCs w:val="20"/>
        </w:rPr>
        <w:t xml:space="preserve">que </w:t>
      </w:r>
      <w:r w:rsidR="003475FD">
        <w:rPr>
          <w:rFonts w:ascii="Verdana" w:hAnsi="Verdana" w:cs="Verdana"/>
          <w:sz w:val="20"/>
          <w:szCs w:val="20"/>
        </w:rPr>
        <w:t xml:space="preserve">se celebre una </w:t>
      </w:r>
      <w:r w:rsidR="003B62E8" w:rsidRPr="00EA435F">
        <w:rPr>
          <w:rFonts w:ascii="Verdana" w:hAnsi="Verdana" w:cs="Verdana"/>
          <w:sz w:val="20"/>
          <w:szCs w:val="20"/>
        </w:rPr>
        <w:t xml:space="preserve">audiencia pública </w:t>
      </w:r>
      <w:r w:rsidR="003475FD">
        <w:rPr>
          <w:rFonts w:ascii="Verdana" w:hAnsi="Verdana" w:cs="Verdana"/>
          <w:sz w:val="20"/>
          <w:szCs w:val="20"/>
        </w:rPr>
        <w:t xml:space="preserve">especial </w:t>
      </w:r>
      <w:r w:rsidR="003B62E8" w:rsidRPr="00EA435F">
        <w:rPr>
          <w:rFonts w:ascii="Verdana" w:hAnsi="Verdana" w:cs="Verdana"/>
          <w:sz w:val="20"/>
          <w:szCs w:val="20"/>
        </w:rPr>
        <w:t>sobre las excepciones preliminares</w:t>
      </w:r>
      <w:r w:rsidR="003475FD">
        <w:rPr>
          <w:rFonts w:ascii="Verdana" w:hAnsi="Verdana" w:cs="Verdana"/>
          <w:sz w:val="20"/>
          <w:szCs w:val="20"/>
        </w:rPr>
        <w:t xml:space="preserve"> interpuestas por el Estado en el presente caso.</w:t>
      </w:r>
      <w:bookmarkEnd w:id="9"/>
      <w:bookmarkEnd w:id="10"/>
    </w:p>
    <w:p w:rsidR="00A7593D" w:rsidRDefault="00A7593D" w:rsidP="004F0ACD">
      <w:pPr>
        <w:pStyle w:val="ColorfulList-Accent11"/>
        <w:autoSpaceDE w:val="0"/>
        <w:autoSpaceDN w:val="0"/>
        <w:adjustRightInd w:val="0"/>
        <w:spacing w:before="120" w:after="120"/>
        <w:ind w:left="0"/>
        <w:jc w:val="both"/>
        <w:rPr>
          <w:rFonts w:ascii="Verdana" w:hAnsi="Verdana" w:cs="Verdana"/>
          <w:sz w:val="20"/>
          <w:szCs w:val="20"/>
        </w:rPr>
      </w:pPr>
    </w:p>
    <w:p w:rsidR="00CD7675" w:rsidRDefault="003475FD" w:rsidP="004F0ACD">
      <w:pPr>
        <w:pStyle w:val="ColorfulList-Accent11"/>
        <w:numPr>
          <w:ilvl w:val="6"/>
          <w:numId w:val="4"/>
        </w:numPr>
        <w:tabs>
          <w:tab w:val="clear" w:pos="2520"/>
          <w:tab w:val="num" w:pos="0"/>
        </w:tabs>
        <w:autoSpaceDE w:val="0"/>
        <w:autoSpaceDN w:val="0"/>
        <w:adjustRightInd w:val="0"/>
        <w:spacing w:before="120" w:after="120"/>
        <w:ind w:left="0" w:firstLine="0"/>
        <w:jc w:val="both"/>
        <w:rPr>
          <w:rFonts w:ascii="Verdana" w:hAnsi="Verdana" w:cs="Verdana"/>
          <w:sz w:val="20"/>
          <w:szCs w:val="20"/>
        </w:rPr>
      </w:pPr>
      <w:r>
        <w:rPr>
          <w:rFonts w:ascii="Verdana" w:hAnsi="Verdana" w:cs="Verdana"/>
          <w:sz w:val="20"/>
          <w:szCs w:val="20"/>
        </w:rPr>
        <w:t>Disponer que la</w:t>
      </w:r>
      <w:r w:rsidR="0089435D">
        <w:rPr>
          <w:rFonts w:ascii="Verdana" w:hAnsi="Verdana" w:cs="Verdana"/>
          <w:sz w:val="20"/>
          <w:szCs w:val="20"/>
        </w:rPr>
        <w:t xml:space="preserve"> audiencia sobre los eventuales</w:t>
      </w:r>
      <w:r>
        <w:rPr>
          <w:rFonts w:ascii="Verdana" w:hAnsi="Verdana" w:cs="Verdana"/>
          <w:sz w:val="20"/>
          <w:szCs w:val="20"/>
        </w:rPr>
        <w:t xml:space="preserve"> fondo, reparaciones y costas </w:t>
      </w:r>
      <w:r w:rsidR="0089435D" w:rsidRPr="0089435D">
        <w:rPr>
          <w:rFonts w:ascii="Verdana" w:hAnsi="Verdana" w:cs="Verdana"/>
          <w:sz w:val="20"/>
          <w:szCs w:val="20"/>
        </w:rPr>
        <w:t xml:space="preserve">se celebre </w:t>
      </w:r>
      <w:r>
        <w:rPr>
          <w:rFonts w:ascii="Verdana" w:hAnsi="Verdana" w:cs="Verdana"/>
          <w:sz w:val="20"/>
          <w:szCs w:val="20"/>
        </w:rPr>
        <w:t xml:space="preserve">en el mismo período de sesiones de la Corte Interamericana para el cual se convoque la audiencia especial sobre las </w:t>
      </w:r>
      <w:r w:rsidRPr="008B01A7">
        <w:rPr>
          <w:rFonts w:ascii="Verdana" w:hAnsi="Verdana" w:cs="Verdana"/>
          <w:sz w:val="20"/>
          <w:szCs w:val="20"/>
        </w:rPr>
        <w:t>excepciones preliminares.</w:t>
      </w:r>
    </w:p>
    <w:p w:rsidR="00CD7675" w:rsidRDefault="00CD7675" w:rsidP="00CD7675">
      <w:pPr>
        <w:pStyle w:val="ListParagraph"/>
        <w:numPr>
          <w:ilvl w:val="0"/>
          <w:numId w:val="0"/>
        </w:numPr>
      </w:pPr>
    </w:p>
    <w:p w:rsidR="001D63DB" w:rsidRPr="0027101C" w:rsidRDefault="003B62E8" w:rsidP="004F0ACD">
      <w:pPr>
        <w:pStyle w:val="ColorfulList-Accent11"/>
        <w:numPr>
          <w:ilvl w:val="6"/>
          <w:numId w:val="4"/>
        </w:numPr>
        <w:tabs>
          <w:tab w:val="clear" w:pos="2520"/>
          <w:tab w:val="num" w:pos="0"/>
        </w:tabs>
        <w:autoSpaceDE w:val="0"/>
        <w:autoSpaceDN w:val="0"/>
        <w:adjustRightInd w:val="0"/>
        <w:spacing w:before="120" w:after="120"/>
        <w:ind w:left="0" w:firstLine="0"/>
        <w:jc w:val="both"/>
        <w:rPr>
          <w:rFonts w:ascii="Verdana" w:hAnsi="Verdana" w:cs="Verdana"/>
          <w:sz w:val="20"/>
          <w:szCs w:val="20"/>
        </w:rPr>
      </w:pPr>
      <w:r w:rsidRPr="00CD7675">
        <w:rPr>
          <w:rFonts w:ascii="Verdana" w:hAnsi="Verdana" w:cs="Verdana"/>
          <w:sz w:val="20"/>
          <w:szCs w:val="20"/>
        </w:rPr>
        <w:t xml:space="preserve">Solicitar a la República de Colombia, a los representantes de las presuntas víctimas y a la Comisión Interamericana de Derechos Humanos que, </w:t>
      </w:r>
      <w:r w:rsidRPr="00CD7675">
        <w:rPr>
          <w:rFonts w:ascii="Verdana" w:hAnsi="Verdana"/>
          <w:sz w:val="20"/>
          <w:szCs w:val="20"/>
          <w:lang w:val="es-CR"/>
        </w:rPr>
        <w:t xml:space="preserve">de conformidad con el artículo 46.1 del Reglamento del Tribunal, remitan, a más tardar el </w:t>
      </w:r>
      <w:r w:rsidR="00CA30BE" w:rsidRPr="00CD7675">
        <w:rPr>
          <w:rFonts w:ascii="Verdana" w:hAnsi="Verdana"/>
          <w:sz w:val="20"/>
          <w:szCs w:val="20"/>
          <w:lang w:val="es-CR"/>
        </w:rPr>
        <w:t>2</w:t>
      </w:r>
      <w:r w:rsidR="00EE5154">
        <w:rPr>
          <w:rFonts w:ascii="Verdana" w:hAnsi="Verdana"/>
          <w:sz w:val="20"/>
          <w:szCs w:val="20"/>
          <w:lang w:val="es-CR"/>
        </w:rPr>
        <w:t>4</w:t>
      </w:r>
      <w:r w:rsidRPr="00CD7675">
        <w:rPr>
          <w:rFonts w:ascii="Verdana" w:hAnsi="Verdana"/>
          <w:sz w:val="20"/>
          <w:szCs w:val="20"/>
          <w:lang w:val="es-CR"/>
        </w:rPr>
        <w:t xml:space="preserve"> de junio de 2013, sus listas definitivas de declarantes propuestos, con el fin de programar la audiencia </w:t>
      </w:r>
      <w:r w:rsidRPr="00CD7675">
        <w:rPr>
          <w:rFonts w:ascii="Verdana" w:hAnsi="Verdana" w:cs="Verdana"/>
          <w:sz w:val="20"/>
          <w:szCs w:val="20"/>
        </w:rPr>
        <w:t>sobre los eventuales fondo, reparaciones y costas</w:t>
      </w:r>
      <w:r w:rsidRPr="00CD7675">
        <w:rPr>
          <w:rFonts w:ascii="Verdana" w:hAnsi="Verdana"/>
          <w:sz w:val="20"/>
          <w:szCs w:val="20"/>
          <w:lang w:val="es-CR"/>
        </w:rPr>
        <w:t>.</w:t>
      </w:r>
      <w:r w:rsidR="00CD7675" w:rsidRPr="00CD7675">
        <w:t xml:space="preserve"> </w:t>
      </w:r>
    </w:p>
    <w:p w:rsidR="0027101C" w:rsidRPr="0027101C" w:rsidRDefault="0027101C" w:rsidP="0027101C">
      <w:pPr>
        <w:pStyle w:val="ListParagraph"/>
        <w:numPr>
          <w:ilvl w:val="0"/>
          <w:numId w:val="0"/>
        </w:numPr>
        <w:tabs>
          <w:tab w:val="num" w:pos="0"/>
        </w:tabs>
      </w:pPr>
    </w:p>
    <w:p w:rsidR="00ED519C" w:rsidRPr="00ED519C" w:rsidRDefault="00F755E3" w:rsidP="00ED519C">
      <w:pPr>
        <w:pStyle w:val="ColorfulList-Accent11"/>
        <w:numPr>
          <w:ilvl w:val="6"/>
          <w:numId w:val="4"/>
        </w:numPr>
        <w:tabs>
          <w:tab w:val="clear" w:pos="2520"/>
          <w:tab w:val="num" w:pos="0"/>
        </w:tabs>
        <w:autoSpaceDE w:val="0"/>
        <w:autoSpaceDN w:val="0"/>
        <w:adjustRightInd w:val="0"/>
        <w:spacing w:before="120" w:after="120"/>
        <w:ind w:left="0" w:firstLine="0"/>
        <w:jc w:val="both"/>
        <w:rPr>
          <w:rFonts w:ascii="Verdana" w:hAnsi="Verdana" w:cs="Verdana"/>
          <w:sz w:val="20"/>
          <w:szCs w:val="20"/>
        </w:rPr>
      </w:pPr>
      <w:r w:rsidRPr="00EA435F">
        <w:rPr>
          <w:rFonts w:ascii="Verdana" w:hAnsi="Verdana" w:cs="Verdana"/>
          <w:sz w:val="20"/>
          <w:szCs w:val="20"/>
          <w:lang w:val="es-ES" w:eastAsia="es-ES"/>
        </w:rPr>
        <w:t xml:space="preserve">Disponer que la Secretaría de la Corte Interamericana notifique la presente Resolución a la Comisión Interamericana de Derechos Humanos, a los representantes de las presuntas víctimas y a la República </w:t>
      </w:r>
      <w:r w:rsidR="0026208F">
        <w:rPr>
          <w:rFonts w:ascii="Verdana" w:hAnsi="Verdana" w:cs="Verdana"/>
          <w:sz w:val="20"/>
          <w:szCs w:val="20"/>
          <w:lang w:val="es-ES" w:eastAsia="es-ES"/>
        </w:rPr>
        <w:t>de Colombia</w:t>
      </w:r>
      <w:bookmarkStart w:id="11" w:name="_GoBack"/>
      <w:bookmarkEnd w:id="11"/>
      <w:r w:rsidRPr="00EA435F">
        <w:rPr>
          <w:rFonts w:ascii="Verdana" w:hAnsi="Verdana" w:cs="Verdana"/>
          <w:sz w:val="20"/>
          <w:szCs w:val="20"/>
          <w:lang w:val="es-ES" w:eastAsia="es-ES"/>
        </w:rPr>
        <w:t>.</w:t>
      </w:r>
    </w:p>
    <w:p w:rsidR="00ED519C" w:rsidRPr="007C7838" w:rsidRDefault="00ED519C" w:rsidP="00ED519C">
      <w:pPr>
        <w:jc w:val="both"/>
        <w:rPr>
          <w:rFonts w:ascii="Verdana" w:hAnsi="Verdana"/>
          <w:sz w:val="20"/>
          <w:lang w:val="es-CR"/>
        </w:rPr>
      </w:pPr>
    </w:p>
    <w:p w:rsidR="00ED519C" w:rsidRDefault="00ED519C" w:rsidP="00ED519C">
      <w:pPr>
        <w:spacing w:after="0"/>
        <w:jc w:val="center"/>
        <w:rPr>
          <w:rFonts w:ascii="Verdana" w:hAnsi="Verdana"/>
          <w:sz w:val="20"/>
          <w:lang w:val="es-ES"/>
        </w:rPr>
      </w:pPr>
    </w:p>
    <w:p w:rsidR="00ED519C" w:rsidRDefault="00ED519C" w:rsidP="00ED519C">
      <w:pPr>
        <w:spacing w:after="0"/>
        <w:jc w:val="center"/>
        <w:rPr>
          <w:rFonts w:ascii="Verdana" w:hAnsi="Verdana"/>
          <w:sz w:val="20"/>
          <w:lang w:val="es-ES"/>
        </w:rPr>
      </w:pPr>
    </w:p>
    <w:p w:rsidR="00ED519C" w:rsidRDefault="00ED519C" w:rsidP="00ED519C">
      <w:pPr>
        <w:spacing w:after="0"/>
        <w:jc w:val="center"/>
        <w:rPr>
          <w:rFonts w:ascii="Verdana" w:hAnsi="Verdana"/>
          <w:sz w:val="20"/>
          <w:lang w:val="es-ES"/>
        </w:rPr>
      </w:pPr>
      <w:r w:rsidRPr="00370276">
        <w:rPr>
          <w:rFonts w:ascii="Verdana" w:hAnsi="Verdana"/>
          <w:sz w:val="20"/>
          <w:lang w:val="es-ES"/>
        </w:rPr>
        <w:t>Diego García-Sayán</w:t>
      </w:r>
      <w:r w:rsidRPr="00370276">
        <w:rPr>
          <w:rFonts w:ascii="Verdana" w:hAnsi="Verdana"/>
          <w:sz w:val="20"/>
          <w:lang w:val="es-ES"/>
        </w:rPr>
        <w:tab/>
      </w:r>
    </w:p>
    <w:p w:rsidR="00ED519C" w:rsidRDefault="00ED519C" w:rsidP="00ED519C">
      <w:pPr>
        <w:spacing w:after="0"/>
        <w:jc w:val="center"/>
        <w:rPr>
          <w:rFonts w:ascii="Verdana" w:hAnsi="Verdana"/>
          <w:sz w:val="20"/>
          <w:lang w:val="es-ES"/>
        </w:rPr>
      </w:pPr>
      <w:r>
        <w:rPr>
          <w:rFonts w:ascii="Verdana" w:hAnsi="Verdana"/>
          <w:sz w:val="20"/>
          <w:lang w:val="es-ES"/>
        </w:rPr>
        <w:t>Presidente</w:t>
      </w:r>
    </w:p>
    <w:p w:rsidR="00ED519C" w:rsidRDefault="00ED519C" w:rsidP="00ED519C">
      <w:pPr>
        <w:spacing w:after="0"/>
        <w:jc w:val="center"/>
        <w:rPr>
          <w:rFonts w:ascii="Verdana" w:hAnsi="Verdana"/>
          <w:sz w:val="20"/>
          <w:lang w:val="es-ES"/>
        </w:rPr>
      </w:pPr>
    </w:p>
    <w:p w:rsidR="00ED519C" w:rsidRDefault="00ED519C" w:rsidP="00ED519C">
      <w:pPr>
        <w:spacing w:after="0"/>
        <w:jc w:val="center"/>
        <w:rPr>
          <w:rFonts w:ascii="Verdana" w:hAnsi="Verdana"/>
          <w:sz w:val="20"/>
          <w:lang w:val="es-ES"/>
        </w:rPr>
      </w:pPr>
    </w:p>
    <w:p w:rsidR="00ED519C" w:rsidRPr="00370276" w:rsidRDefault="00ED519C" w:rsidP="00ED519C">
      <w:pPr>
        <w:spacing w:after="0"/>
        <w:jc w:val="center"/>
        <w:rPr>
          <w:rFonts w:ascii="Verdana" w:hAnsi="Verdana"/>
          <w:sz w:val="20"/>
          <w:lang w:val="es-ES"/>
        </w:rPr>
      </w:pPr>
    </w:p>
    <w:p w:rsidR="00ED519C" w:rsidRDefault="00ED519C" w:rsidP="00ED519C">
      <w:pPr>
        <w:spacing w:after="0"/>
        <w:jc w:val="both"/>
        <w:rPr>
          <w:rFonts w:ascii="Verdana" w:hAnsi="Verdana"/>
          <w:sz w:val="20"/>
          <w:lang w:val="es-ES"/>
        </w:rPr>
      </w:pPr>
    </w:p>
    <w:p w:rsidR="00ED519C" w:rsidRPr="00370276" w:rsidRDefault="00ED519C" w:rsidP="00ED519C">
      <w:pPr>
        <w:spacing w:after="0"/>
        <w:jc w:val="both"/>
        <w:rPr>
          <w:rFonts w:ascii="Verdana" w:hAnsi="Verdana"/>
          <w:sz w:val="20"/>
          <w:lang w:val="es-ES"/>
        </w:rPr>
      </w:pPr>
    </w:p>
    <w:p w:rsidR="00ED519C" w:rsidRDefault="00ED519C" w:rsidP="00ED519C">
      <w:pPr>
        <w:spacing w:after="0"/>
        <w:jc w:val="both"/>
        <w:rPr>
          <w:rFonts w:ascii="Verdana" w:hAnsi="Verdana"/>
          <w:sz w:val="20"/>
          <w:lang w:val="es-ES"/>
        </w:rPr>
      </w:pPr>
      <w:r w:rsidRPr="00370276">
        <w:rPr>
          <w:rFonts w:ascii="Verdana" w:hAnsi="Verdana"/>
          <w:sz w:val="20"/>
          <w:lang w:val="es-ES"/>
        </w:rPr>
        <w:t>Manuel E. Ventura Robles</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Alberto Pérez </w:t>
      </w:r>
      <w:proofErr w:type="spellStart"/>
      <w:r>
        <w:rPr>
          <w:rFonts w:ascii="Verdana" w:hAnsi="Verdana"/>
          <w:sz w:val="20"/>
          <w:lang w:val="es-ES"/>
        </w:rPr>
        <w:t>Pérez</w:t>
      </w:r>
      <w:proofErr w:type="spellEnd"/>
    </w:p>
    <w:p w:rsidR="00ED519C" w:rsidRDefault="00ED519C" w:rsidP="00ED519C">
      <w:pPr>
        <w:spacing w:after="0"/>
        <w:jc w:val="both"/>
        <w:rPr>
          <w:rFonts w:ascii="Verdana" w:hAnsi="Verdana"/>
          <w:sz w:val="20"/>
          <w:lang w:val="es-ES"/>
        </w:rPr>
      </w:pPr>
    </w:p>
    <w:p w:rsidR="00ED519C" w:rsidRDefault="00ED519C" w:rsidP="00ED519C">
      <w:pPr>
        <w:spacing w:after="0"/>
        <w:jc w:val="both"/>
        <w:rPr>
          <w:rFonts w:ascii="Verdana" w:hAnsi="Verdana"/>
          <w:sz w:val="20"/>
          <w:lang w:val="es-ES"/>
        </w:rPr>
      </w:pPr>
      <w:r w:rsidRPr="00370276">
        <w:rPr>
          <w:rFonts w:ascii="Verdana" w:hAnsi="Verdana"/>
          <w:sz w:val="20"/>
          <w:lang w:val="es-ES"/>
        </w:rPr>
        <w:t>Eduardo Vio Grossi</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Roberto de </w:t>
      </w:r>
      <w:proofErr w:type="spellStart"/>
      <w:r>
        <w:rPr>
          <w:rFonts w:ascii="Verdana" w:hAnsi="Verdana"/>
          <w:sz w:val="20"/>
          <w:lang w:val="es-ES"/>
        </w:rPr>
        <w:t>Figueiredo</w:t>
      </w:r>
      <w:proofErr w:type="spellEnd"/>
      <w:r>
        <w:rPr>
          <w:rFonts w:ascii="Verdana" w:hAnsi="Verdana"/>
          <w:sz w:val="20"/>
          <w:lang w:val="es-ES"/>
        </w:rPr>
        <w:t xml:space="preserve"> Caldas</w:t>
      </w:r>
    </w:p>
    <w:p w:rsidR="00ED519C" w:rsidRDefault="00ED519C" w:rsidP="00ED519C">
      <w:pPr>
        <w:spacing w:after="0"/>
        <w:jc w:val="both"/>
        <w:rPr>
          <w:rFonts w:ascii="Verdana" w:hAnsi="Verdana"/>
          <w:sz w:val="20"/>
          <w:lang w:val="es-ES"/>
        </w:rPr>
      </w:pPr>
    </w:p>
    <w:p w:rsidR="00ED519C" w:rsidRDefault="00ED519C" w:rsidP="00ED519C">
      <w:pPr>
        <w:spacing w:after="0"/>
        <w:jc w:val="both"/>
        <w:rPr>
          <w:rFonts w:ascii="Verdana" w:hAnsi="Verdana"/>
          <w:sz w:val="20"/>
          <w:lang w:val="es-ES"/>
        </w:rPr>
      </w:pPr>
    </w:p>
    <w:p w:rsidR="00ED519C" w:rsidRDefault="00ED519C" w:rsidP="00ED519C">
      <w:pPr>
        <w:spacing w:after="0"/>
        <w:jc w:val="both"/>
        <w:rPr>
          <w:rFonts w:ascii="Verdana" w:hAnsi="Verdana"/>
          <w:sz w:val="20"/>
          <w:lang w:val="es-ES"/>
        </w:rPr>
      </w:pPr>
    </w:p>
    <w:p w:rsidR="00ED519C" w:rsidRDefault="00ED519C" w:rsidP="00ED519C">
      <w:pPr>
        <w:spacing w:after="0"/>
        <w:jc w:val="both"/>
        <w:rPr>
          <w:rFonts w:ascii="Verdana" w:hAnsi="Verdana"/>
          <w:sz w:val="20"/>
          <w:lang w:val="es-ES"/>
        </w:rPr>
      </w:pPr>
    </w:p>
    <w:p w:rsidR="00ED519C" w:rsidRDefault="00ED519C" w:rsidP="00ED519C">
      <w:pPr>
        <w:spacing w:after="0"/>
        <w:jc w:val="both"/>
        <w:rPr>
          <w:rFonts w:ascii="Verdana" w:hAnsi="Verdana"/>
          <w:sz w:val="20"/>
          <w:lang w:val="es-ES"/>
        </w:rPr>
      </w:pPr>
    </w:p>
    <w:p w:rsidR="00ED519C" w:rsidRDefault="00ED519C" w:rsidP="00ED519C">
      <w:pPr>
        <w:spacing w:after="0"/>
        <w:jc w:val="both"/>
        <w:rPr>
          <w:rFonts w:ascii="Verdana" w:hAnsi="Verdana"/>
          <w:sz w:val="20"/>
          <w:lang w:val="es-ES"/>
        </w:rPr>
      </w:pPr>
    </w:p>
    <w:p w:rsidR="00ED519C" w:rsidRPr="00370276" w:rsidRDefault="00ED519C" w:rsidP="00ED519C">
      <w:pPr>
        <w:spacing w:after="0"/>
        <w:jc w:val="both"/>
        <w:rPr>
          <w:rFonts w:ascii="Verdana" w:hAnsi="Verdana"/>
          <w:sz w:val="20"/>
          <w:lang w:val="es-ES"/>
        </w:rPr>
      </w:pPr>
      <w:r>
        <w:rPr>
          <w:rFonts w:ascii="Verdana" w:hAnsi="Verdana"/>
          <w:sz w:val="20"/>
          <w:lang w:val="es-ES"/>
        </w:rPr>
        <w:tab/>
      </w:r>
      <w:r>
        <w:rPr>
          <w:rFonts w:ascii="Verdana" w:hAnsi="Verdana"/>
          <w:sz w:val="20"/>
          <w:lang w:val="es-ES"/>
        </w:rPr>
        <w:tab/>
      </w:r>
      <w:r>
        <w:rPr>
          <w:rFonts w:ascii="Verdana" w:hAnsi="Verdana"/>
          <w:sz w:val="20"/>
          <w:lang w:val="es-ES"/>
        </w:rPr>
        <w:tab/>
        <w:t xml:space="preserve">  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p>
    <w:p w:rsidR="00ED519C" w:rsidRPr="00154412" w:rsidRDefault="00ED519C" w:rsidP="00ED519C">
      <w:pPr>
        <w:spacing w:after="0"/>
        <w:rPr>
          <w:rFonts w:ascii="Verdana" w:hAnsi="Verdana"/>
          <w:sz w:val="20"/>
          <w:lang w:val="es-CR"/>
        </w:rPr>
      </w:pPr>
    </w:p>
    <w:p w:rsidR="00ED519C" w:rsidRDefault="00ED519C" w:rsidP="00ED519C">
      <w:pPr>
        <w:spacing w:after="0"/>
        <w:jc w:val="both"/>
        <w:rPr>
          <w:rFonts w:ascii="Verdana" w:hAnsi="Verdana"/>
          <w:sz w:val="20"/>
          <w:lang w:val="es-ES"/>
        </w:rPr>
      </w:pPr>
    </w:p>
    <w:p w:rsidR="00ED519C" w:rsidRDefault="00ED519C" w:rsidP="00ED519C">
      <w:pPr>
        <w:spacing w:after="0"/>
        <w:jc w:val="both"/>
        <w:rPr>
          <w:rFonts w:ascii="Verdana" w:hAnsi="Verdana"/>
          <w:sz w:val="20"/>
          <w:lang w:val="es-ES"/>
        </w:rPr>
      </w:pPr>
    </w:p>
    <w:p w:rsidR="00ED519C" w:rsidRDefault="00ED519C" w:rsidP="00ED519C">
      <w:pPr>
        <w:spacing w:after="0"/>
        <w:jc w:val="both"/>
        <w:rPr>
          <w:rFonts w:ascii="Verdana" w:hAnsi="Verdana"/>
          <w:sz w:val="20"/>
          <w:lang w:val="es-ES"/>
        </w:rPr>
      </w:pPr>
    </w:p>
    <w:p w:rsidR="00ED519C" w:rsidRPr="00370276" w:rsidRDefault="00ED519C" w:rsidP="00ED519C">
      <w:pPr>
        <w:spacing w:after="0"/>
        <w:jc w:val="both"/>
        <w:rPr>
          <w:rFonts w:ascii="Verdana" w:hAnsi="Verdana"/>
          <w:sz w:val="20"/>
          <w:lang w:val="es-ES"/>
        </w:rPr>
      </w:pPr>
    </w:p>
    <w:p w:rsidR="00ED519C" w:rsidRPr="00370276" w:rsidRDefault="00ED519C" w:rsidP="00ED519C">
      <w:pPr>
        <w:spacing w:after="0"/>
        <w:jc w:val="center"/>
        <w:rPr>
          <w:rFonts w:ascii="Verdana" w:hAnsi="Verdana"/>
          <w:sz w:val="20"/>
          <w:lang w:val="es-ES"/>
        </w:rPr>
      </w:pPr>
      <w:r w:rsidRPr="00370276">
        <w:rPr>
          <w:rFonts w:ascii="Verdana" w:hAnsi="Verdana"/>
          <w:sz w:val="20"/>
          <w:lang w:val="es-ES"/>
        </w:rPr>
        <w:t>Pablo Saavedra Ales</w:t>
      </w:r>
      <w:r>
        <w:rPr>
          <w:rFonts w:ascii="Verdana" w:hAnsi="Verdana"/>
          <w:sz w:val="20"/>
          <w:lang w:val="es-ES"/>
        </w:rPr>
        <w:t>s</w:t>
      </w:r>
      <w:r w:rsidRPr="00370276">
        <w:rPr>
          <w:rFonts w:ascii="Verdana" w:hAnsi="Verdana"/>
          <w:sz w:val="20"/>
          <w:lang w:val="es-ES"/>
        </w:rPr>
        <w:t>andri</w:t>
      </w:r>
    </w:p>
    <w:p w:rsidR="00ED519C" w:rsidRPr="00370276" w:rsidRDefault="00ED519C" w:rsidP="00ED519C">
      <w:pPr>
        <w:spacing w:after="0"/>
        <w:jc w:val="center"/>
        <w:rPr>
          <w:rFonts w:ascii="Verdana" w:hAnsi="Verdana"/>
          <w:sz w:val="20"/>
          <w:lang w:val="es-ES"/>
        </w:rPr>
      </w:pPr>
      <w:r w:rsidRPr="00370276">
        <w:rPr>
          <w:rFonts w:ascii="Verdana" w:hAnsi="Verdana"/>
          <w:sz w:val="20"/>
          <w:lang w:val="es-ES"/>
        </w:rPr>
        <w:t>Secretario</w:t>
      </w:r>
    </w:p>
    <w:p w:rsidR="00ED519C" w:rsidRPr="00370276" w:rsidRDefault="00ED519C" w:rsidP="00ED519C">
      <w:pPr>
        <w:spacing w:after="0"/>
        <w:jc w:val="center"/>
        <w:rPr>
          <w:rFonts w:ascii="Verdana" w:hAnsi="Verdana"/>
          <w:sz w:val="20"/>
          <w:lang w:val="es-ES"/>
        </w:rPr>
      </w:pPr>
    </w:p>
    <w:p w:rsidR="00ED519C" w:rsidRDefault="00ED519C" w:rsidP="00ED519C">
      <w:pPr>
        <w:pStyle w:val="FootnoteText"/>
        <w:rPr>
          <w:lang w:val="es-ES"/>
        </w:rPr>
      </w:pPr>
    </w:p>
    <w:p w:rsidR="00ED519C" w:rsidRDefault="00ED519C" w:rsidP="00ED519C">
      <w:pPr>
        <w:pStyle w:val="FootnoteText"/>
        <w:rPr>
          <w:lang w:val="es-ES"/>
        </w:rPr>
      </w:pPr>
    </w:p>
    <w:p w:rsidR="00ED519C" w:rsidRDefault="00ED519C" w:rsidP="00ED519C">
      <w:pPr>
        <w:pStyle w:val="FootnoteText"/>
        <w:rPr>
          <w:lang w:val="es-ES"/>
        </w:rPr>
      </w:pPr>
    </w:p>
    <w:p w:rsidR="00ED519C" w:rsidRDefault="00ED519C" w:rsidP="00ED519C">
      <w:pPr>
        <w:pStyle w:val="FootnoteText"/>
        <w:rPr>
          <w:lang w:val="es-ES"/>
        </w:rPr>
      </w:pPr>
    </w:p>
    <w:p w:rsidR="00ED519C" w:rsidRDefault="00ED519C" w:rsidP="00ED519C">
      <w:pPr>
        <w:pStyle w:val="FootnoteText"/>
        <w:rPr>
          <w:lang w:val="es-ES"/>
        </w:rPr>
      </w:pPr>
    </w:p>
    <w:p w:rsidR="00ED519C" w:rsidRDefault="00ED519C" w:rsidP="00ED519C">
      <w:pPr>
        <w:pStyle w:val="FootnoteText"/>
        <w:rPr>
          <w:lang w:val="es-ES"/>
        </w:rPr>
      </w:pPr>
    </w:p>
    <w:p w:rsidR="00ED519C" w:rsidRPr="00370276" w:rsidRDefault="00ED519C" w:rsidP="00ED519C">
      <w:pPr>
        <w:pStyle w:val="FootnoteText"/>
        <w:rPr>
          <w:lang w:val="es-ES"/>
        </w:rPr>
      </w:pPr>
    </w:p>
    <w:p w:rsidR="00ED519C" w:rsidRPr="00370276" w:rsidRDefault="00ED519C" w:rsidP="00ED519C">
      <w:pPr>
        <w:spacing w:after="0"/>
        <w:jc w:val="both"/>
        <w:rPr>
          <w:rFonts w:ascii="Verdana" w:hAnsi="Verdana"/>
          <w:sz w:val="20"/>
          <w:lang w:val="es-ES"/>
        </w:rPr>
      </w:pPr>
    </w:p>
    <w:p w:rsidR="00ED519C" w:rsidRDefault="00ED519C" w:rsidP="00ED519C">
      <w:pPr>
        <w:spacing w:after="0"/>
        <w:jc w:val="both"/>
        <w:rPr>
          <w:rFonts w:ascii="Verdana" w:hAnsi="Verdana"/>
          <w:sz w:val="20"/>
          <w:lang w:val="es-ES"/>
        </w:rPr>
      </w:pPr>
      <w:r w:rsidRPr="00370276">
        <w:rPr>
          <w:rFonts w:ascii="Verdana" w:hAnsi="Verdana"/>
          <w:sz w:val="20"/>
          <w:lang w:val="es-ES"/>
        </w:rPr>
        <w:t>Comuníquese y ejecútese,</w:t>
      </w:r>
    </w:p>
    <w:p w:rsidR="00ED519C" w:rsidRDefault="00ED519C" w:rsidP="00ED519C">
      <w:pPr>
        <w:spacing w:after="0"/>
        <w:jc w:val="both"/>
        <w:rPr>
          <w:rFonts w:ascii="Verdana" w:hAnsi="Verdana"/>
          <w:sz w:val="20"/>
          <w:lang w:val="es-ES"/>
        </w:rPr>
      </w:pPr>
    </w:p>
    <w:p w:rsidR="00ED519C" w:rsidRDefault="00ED519C" w:rsidP="00ED519C">
      <w:pPr>
        <w:spacing w:after="0"/>
        <w:jc w:val="both"/>
        <w:rPr>
          <w:rFonts w:ascii="Verdana" w:hAnsi="Verdana"/>
          <w:sz w:val="20"/>
          <w:lang w:val="es-ES"/>
        </w:rPr>
      </w:pPr>
    </w:p>
    <w:p w:rsidR="00ED519C" w:rsidRDefault="00ED519C" w:rsidP="00ED519C">
      <w:pPr>
        <w:spacing w:after="0"/>
        <w:jc w:val="both"/>
        <w:rPr>
          <w:rFonts w:ascii="Verdana" w:hAnsi="Verdana"/>
          <w:sz w:val="20"/>
          <w:lang w:val="es-ES"/>
        </w:rPr>
      </w:pPr>
    </w:p>
    <w:p w:rsidR="00ED519C" w:rsidRPr="00370276" w:rsidRDefault="00ED519C" w:rsidP="00ED519C">
      <w:pPr>
        <w:spacing w:after="0"/>
        <w:jc w:val="both"/>
        <w:rPr>
          <w:rFonts w:ascii="Verdana" w:hAnsi="Verdana"/>
          <w:sz w:val="20"/>
          <w:lang w:val="es-ES"/>
        </w:rPr>
      </w:pPr>
    </w:p>
    <w:p w:rsidR="00ED519C" w:rsidRPr="001510B7" w:rsidRDefault="00ED519C" w:rsidP="00ED519C">
      <w:pPr>
        <w:spacing w:after="0"/>
        <w:jc w:val="both"/>
        <w:rPr>
          <w:rFonts w:ascii="Verdana" w:hAnsi="Verdana"/>
          <w:sz w:val="20"/>
          <w:lang w:val="es-CR"/>
        </w:rPr>
      </w:pPr>
    </w:p>
    <w:p w:rsidR="00ED519C" w:rsidRDefault="00ED519C" w:rsidP="00ED519C">
      <w:pPr>
        <w:spacing w:after="0"/>
        <w:ind w:left="5760"/>
        <w:jc w:val="center"/>
        <w:rPr>
          <w:rFonts w:ascii="Verdana" w:hAnsi="Verdana"/>
          <w:sz w:val="20"/>
          <w:lang w:val="es-ES"/>
        </w:rPr>
      </w:pPr>
      <w:r w:rsidRPr="00370276">
        <w:rPr>
          <w:rFonts w:ascii="Verdana" w:hAnsi="Verdana"/>
          <w:sz w:val="20"/>
          <w:lang w:val="es-ES"/>
        </w:rPr>
        <w:t>Diego García-Sayán</w:t>
      </w:r>
      <w:r w:rsidRPr="00370276">
        <w:rPr>
          <w:rFonts w:ascii="Verdana" w:hAnsi="Verdana"/>
          <w:sz w:val="20"/>
          <w:lang w:val="es-ES"/>
        </w:rPr>
        <w:tab/>
      </w:r>
    </w:p>
    <w:p w:rsidR="00ED519C" w:rsidRPr="00370276" w:rsidRDefault="00ED519C" w:rsidP="00ED519C">
      <w:pPr>
        <w:spacing w:after="0"/>
        <w:ind w:left="5760"/>
        <w:jc w:val="center"/>
        <w:rPr>
          <w:rFonts w:ascii="Verdana" w:hAnsi="Verdana"/>
          <w:sz w:val="20"/>
          <w:lang w:val="es-ES"/>
        </w:rPr>
      </w:pPr>
      <w:r>
        <w:rPr>
          <w:rFonts w:ascii="Verdana" w:hAnsi="Verdana"/>
          <w:sz w:val="20"/>
          <w:lang w:val="es-ES"/>
        </w:rPr>
        <w:t>Presidente</w:t>
      </w:r>
    </w:p>
    <w:p w:rsidR="00ED519C" w:rsidRPr="00370276" w:rsidRDefault="00ED519C" w:rsidP="00ED519C">
      <w:pPr>
        <w:spacing w:after="0"/>
        <w:jc w:val="both"/>
        <w:rPr>
          <w:rFonts w:ascii="Verdana" w:hAnsi="Verdana"/>
          <w:sz w:val="20"/>
          <w:lang w:val="es-ES"/>
        </w:rPr>
      </w:pPr>
    </w:p>
    <w:p w:rsidR="00ED519C" w:rsidRPr="00370276" w:rsidRDefault="00ED519C" w:rsidP="00ED519C">
      <w:pPr>
        <w:spacing w:after="0"/>
        <w:jc w:val="both"/>
        <w:rPr>
          <w:rFonts w:ascii="Verdana" w:hAnsi="Verdana"/>
          <w:sz w:val="20"/>
          <w:lang w:val="es-ES"/>
        </w:rPr>
      </w:pPr>
      <w:r w:rsidRPr="00370276">
        <w:rPr>
          <w:rFonts w:ascii="Verdana" w:hAnsi="Verdana"/>
          <w:sz w:val="20"/>
          <w:lang w:val="es-ES"/>
        </w:rPr>
        <w:t>Pablo Saavedra Alessandri</w:t>
      </w:r>
    </w:p>
    <w:p w:rsidR="00ED519C" w:rsidRDefault="00ED519C" w:rsidP="00ED519C">
      <w:pPr>
        <w:spacing w:after="0"/>
        <w:rPr>
          <w:rFonts w:ascii="Verdana" w:hAnsi="Verdana"/>
          <w:sz w:val="20"/>
        </w:rPr>
      </w:pPr>
      <w:r w:rsidRPr="00370276">
        <w:rPr>
          <w:rFonts w:ascii="Verdana" w:hAnsi="Verdana"/>
          <w:sz w:val="20"/>
          <w:lang w:val="es-ES"/>
        </w:rPr>
        <w:tab/>
      </w:r>
      <w:r>
        <w:rPr>
          <w:rFonts w:ascii="Verdana" w:hAnsi="Verdana"/>
          <w:sz w:val="20"/>
        </w:rPr>
        <w:t>Secretario</w:t>
      </w:r>
    </w:p>
    <w:p w:rsidR="00ED519C" w:rsidRPr="00ED519C" w:rsidRDefault="00ED519C" w:rsidP="00ED519C">
      <w:pPr>
        <w:pStyle w:val="ListParagraph"/>
        <w:numPr>
          <w:ilvl w:val="0"/>
          <w:numId w:val="0"/>
        </w:numPr>
      </w:pPr>
    </w:p>
    <w:sectPr w:rsidR="00ED519C" w:rsidRPr="00ED519C" w:rsidSect="00D83A95">
      <w:headerReference w:type="default" r:id="rId8"/>
      <w:pgSz w:w="12240" w:h="15840"/>
      <w:pgMar w:top="1417" w:right="1892" w:bottom="1417"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867" w:rsidRDefault="00055867" w:rsidP="00F755E3">
      <w:pPr>
        <w:spacing w:after="0" w:line="240" w:lineRule="auto"/>
      </w:pPr>
      <w:r>
        <w:separator/>
      </w:r>
    </w:p>
  </w:endnote>
  <w:endnote w:type="continuationSeparator" w:id="0">
    <w:p w:rsidR="00055867" w:rsidRDefault="00055867" w:rsidP="00F75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867" w:rsidRDefault="00055867" w:rsidP="00F755E3">
      <w:pPr>
        <w:spacing w:after="0" w:line="240" w:lineRule="auto"/>
      </w:pPr>
      <w:r>
        <w:separator/>
      </w:r>
    </w:p>
  </w:footnote>
  <w:footnote w:type="continuationSeparator" w:id="0">
    <w:p w:rsidR="00055867" w:rsidRDefault="00055867" w:rsidP="00F755E3">
      <w:pPr>
        <w:spacing w:after="0" w:line="240" w:lineRule="auto"/>
      </w:pPr>
      <w:r>
        <w:continuationSeparator/>
      </w:r>
    </w:p>
  </w:footnote>
  <w:footnote w:id="1">
    <w:p w:rsidR="00D83A95" w:rsidRPr="00D83A95" w:rsidRDefault="00FB0238" w:rsidP="004F2F1A">
      <w:pPr>
        <w:pStyle w:val="FootnoteText"/>
        <w:spacing w:before="120" w:after="120"/>
        <w:rPr>
          <w:bCs/>
        </w:rPr>
      </w:pPr>
      <w:r>
        <w:rPr>
          <w:rStyle w:val="FootnoteReference"/>
        </w:rPr>
        <w:footnoteRef/>
      </w:r>
      <w:r>
        <w:t xml:space="preserve"> </w:t>
      </w:r>
      <w:r>
        <w:tab/>
      </w:r>
      <w:r>
        <w:rPr>
          <w:i/>
          <w:iCs/>
        </w:rPr>
        <w:t xml:space="preserve">Cfr. Caso de las Hermanas Serrano Cruz Vs. El Salvador. Excepciones Preliminares. </w:t>
      </w:r>
      <w:r>
        <w:t xml:space="preserve">Sentencia de 23 de noviembre de 2004. Serie C No. 118, párr. 30, y </w:t>
      </w:r>
      <w:r>
        <w:rPr>
          <w:bCs/>
          <w:i/>
          <w:lang w:val="es-CR"/>
        </w:rPr>
        <w:t>Caso Familia Pacheco Tineo V</w:t>
      </w:r>
      <w:r w:rsidRPr="00540FBC">
        <w:rPr>
          <w:bCs/>
          <w:i/>
          <w:lang w:val="es-CR"/>
        </w:rPr>
        <w:t>s. Bolivia.</w:t>
      </w:r>
      <w:r w:rsidRPr="00540FBC">
        <w:rPr>
          <w:bCs/>
          <w:lang w:val="es-CR"/>
        </w:rPr>
        <w:t xml:space="preserve"> </w:t>
      </w:r>
      <w:r w:rsidRPr="00540FBC">
        <w:rPr>
          <w:bCs/>
        </w:rPr>
        <w:t xml:space="preserve">Resolución del Presidente de la Corte de 19 de febrero de 2013, Considerando </w:t>
      </w:r>
      <w:r>
        <w:rPr>
          <w:bCs/>
        </w:rPr>
        <w:t>vigésimo</w:t>
      </w:r>
      <w:r w:rsidRPr="00540FBC">
        <w:rPr>
          <w:bCs/>
        </w:rPr>
        <w:t>.</w:t>
      </w:r>
    </w:p>
  </w:footnote>
  <w:footnote w:id="2">
    <w:p w:rsidR="00FB0238" w:rsidRDefault="00FB0238" w:rsidP="004F2F1A">
      <w:pPr>
        <w:pStyle w:val="FootnoteText"/>
        <w:spacing w:before="120" w:after="120"/>
      </w:pPr>
      <w:r>
        <w:rPr>
          <w:rStyle w:val="FootnoteReference"/>
          <w:rFonts w:cs="Times"/>
        </w:rPr>
        <w:footnoteRef/>
      </w:r>
      <w:r>
        <w:t xml:space="preserve"> </w:t>
      </w:r>
      <w:r>
        <w:tab/>
      </w:r>
      <w:r>
        <w:rPr>
          <w:i/>
          <w:iCs/>
        </w:rPr>
        <w:t>Cfr</w:t>
      </w:r>
      <w:r>
        <w:t xml:space="preserve">. </w:t>
      </w:r>
      <w:r>
        <w:rPr>
          <w:i/>
          <w:iCs/>
        </w:rPr>
        <w:t>Caso del Pueblo de Saramaka Vs. Suriname</w:t>
      </w:r>
      <w:r>
        <w:t xml:space="preserve">. Resolución del Presidente de la Corte de 30 de marzo de 2007, Considerando segundo; </w:t>
      </w:r>
      <w:r>
        <w:rPr>
          <w:i/>
          <w:iCs/>
        </w:rPr>
        <w:t>Caso Escher y otros Vs. Brasil</w:t>
      </w:r>
      <w:r>
        <w:t>. Resolución de la Presidenta de la Corte de 8 de octubre de 2008, Considerando decimoquinto</w:t>
      </w:r>
      <w:r>
        <w:rPr>
          <w:i/>
          <w:iCs/>
          <w:lang w:val="es-ES"/>
        </w:rPr>
        <w:t>; Caso Sétimo Garibaldi Vs. Brasil</w:t>
      </w:r>
      <w:r>
        <w:rPr>
          <w:lang w:val="es-ES"/>
        </w:rPr>
        <w:t>.</w:t>
      </w:r>
      <w:r>
        <w:rPr>
          <w:i/>
          <w:iCs/>
          <w:lang w:val="es-ES"/>
        </w:rPr>
        <w:t xml:space="preserve"> </w:t>
      </w:r>
      <w:r>
        <w:t xml:space="preserve">Resolución de la Presidenta de la Corte de 20 de noviembre de 2008, Considerando duodécimo; </w:t>
      </w:r>
      <w:r>
        <w:rPr>
          <w:i/>
          <w:iCs/>
        </w:rPr>
        <w:t>Caso Cepeda Vargas Vs. Colombia.</w:t>
      </w:r>
      <w:r>
        <w:t xml:space="preserve"> </w:t>
      </w:r>
      <w:r>
        <w:rPr>
          <w:lang w:val="es-CR"/>
        </w:rPr>
        <w:t xml:space="preserve">Resolución de la Presidenta de la Corte de 22 de diciembre de 2009, Considerando cuadragésimo cuarto; </w:t>
      </w:r>
      <w:r>
        <w:rPr>
          <w:i/>
          <w:lang w:val="es-CR"/>
        </w:rPr>
        <w:t>Caso Cabrera García y Montiel Flores Vs. México</w:t>
      </w:r>
      <w:r>
        <w:rPr>
          <w:lang w:val="es-CR"/>
        </w:rPr>
        <w:t xml:space="preserve">. Resolución del Presidente de la Corte de 2 julio de 2010, Considerando undécimo, </w:t>
      </w:r>
      <w:r>
        <w:t xml:space="preserve">y </w:t>
      </w:r>
      <w:r>
        <w:rPr>
          <w:bCs/>
          <w:i/>
          <w:lang w:val="es-CR"/>
        </w:rPr>
        <w:t>Caso Familia Pacheco Tineo V</w:t>
      </w:r>
      <w:r w:rsidRPr="00540FBC">
        <w:rPr>
          <w:bCs/>
          <w:i/>
          <w:lang w:val="es-CR"/>
        </w:rPr>
        <w:t>s. Bolivia.</w:t>
      </w:r>
      <w:r w:rsidRPr="00540FBC">
        <w:rPr>
          <w:bCs/>
          <w:lang w:val="es-CR"/>
        </w:rPr>
        <w:t xml:space="preserve"> </w:t>
      </w:r>
      <w:r w:rsidRPr="00540FBC">
        <w:rPr>
          <w:bCs/>
        </w:rPr>
        <w:t xml:space="preserve">Resolución del Presidente de la Corte de 19 de febrero de 2013, Considerando </w:t>
      </w:r>
      <w:r>
        <w:rPr>
          <w:bCs/>
        </w:rPr>
        <w:t>vigésimo</w:t>
      </w:r>
      <w:r w:rsidRPr="00540FBC">
        <w:rPr>
          <w:bCs/>
        </w:rPr>
        <w:t>.</w:t>
      </w:r>
      <w:r>
        <w:rPr>
          <w:bC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238" w:rsidRDefault="003D3FAA">
    <w:pPr>
      <w:pStyle w:val="Header"/>
      <w:jc w:val="center"/>
    </w:pPr>
    <w:r w:rsidRPr="00902F6D">
      <w:rPr>
        <w:rFonts w:ascii="Verdana" w:hAnsi="Verdana" w:cs="Verdana"/>
        <w:sz w:val="20"/>
        <w:szCs w:val="20"/>
      </w:rPr>
      <w:fldChar w:fldCharType="begin"/>
    </w:r>
    <w:r w:rsidR="00FB0238" w:rsidRPr="00902F6D">
      <w:rPr>
        <w:rFonts w:ascii="Verdana" w:hAnsi="Verdana" w:cs="Verdana"/>
        <w:sz w:val="20"/>
        <w:szCs w:val="20"/>
      </w:rPr>
      <w:instrText xml:space="preserve"> PAGE   \* MERGEFORMAT </w:instrText>
    </w:r>
    <w:r w:rsidRPr="00902F6D">
      <w:rPr>
        <w:rFonts w:ascii="Verdana" w:hAnsi="Verdana" w:cs="Verdana"/>
        <w:sz w:val="20"/>
        <w:szCs w:val="20"/>
      </w:rPr>
      <w:fldChar w:fldCharType="separate"/>
    </w:r>
    <w:r w:rsidR="006F3DD0">
      <w:rPr>
        <w:rFonts w:ascii="Verdana" w:hAnsi="Verdana" w:cs="Verdana"/>
        <w:noProof/>
        <w:sz w:val="20"/>
        <w:szCs w:val="20"/>
      </w:rPr>
      <w:t>5</w:t>
    </w:r>
    <w:r w:rsidRPr="00902F6D">
      <w:rPr>
        <w:rFonts w:ascii="Verdana" w:hAnsi="Verdana" w:cs="Verdana"/>
        <w:sz w:val="20"/>
        <w:szCs w:val="20"/>
      </w:rPr>
      <w:fldChar w:fldCharType="end"/>
    </w:r>
  </w:p>
  <w:p w:rsidR="00FB0238" w:rsidRDefault="00FB02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541"/>
    <w:multiLevelType w:val="hybridMultilevel"/>
    <w:tmpl w:val="EBD261D0"/>
    <w:lvl w:ilvl="0" w:tplc="2C0A0015">
      <w:start w:val="1"/>
      <w:numFmt w:val="upperLetter"/>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0E59155C"/>
    <w:multiLevelType w:val="hybridMultilevel"/>
    <w:tmpl w:val="CE1ED312"/>
    <w:lvl w:ilvl="0" w:tplc="140A0015">
      <w:start w:val="1"/>
      <w:numFmt w:val="upperLetter"/>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
    <w:nsid w:val="36D54B24"/>
    <w:multiLevelType w:val="hybridMultilevel"/>
    <w:tmpl w:val="68A8831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3A38404A"/>
    <w:multiLevelType w:val="hybridMultilevel"/>
    <w:tmpl w:val="9D007E1A"/>
    <w:lvl w:ilvl="0" w:tplc="2D3CA86E">
      <w:start w:val="1"/>
      <w:numFmt w:val="decimal"/>
      <w:lvlText w:val="%1."/>
      <w:lvlJc w:val="left"/>
      <w:pPr>
        <w:tabs>
          <w:tab w:val="num" w:pos="720"/>
        </w:tabs>
      </w:pPr>
      <w:rPr>
        <w:rFonts w:ascii="Verdana" w:hAnsi="Verdana" w:cs="Verdana" w:hint="default"/>
        <w:b w:val="0"/>
        <w:bCs w:val="0"/>
        <w:i w:val="0"/>
        <w:iCs w:val="0"/>
        <w:color w:val="auto"/>
        <w:sz w:val="20"/>
        <w:szCs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4">
    <w:nsid w:val="5EC27779"/>
    <w:multiLevelType w:val="multilevel"/>
    <w:tmpl w:val="38DA8EF6"/>
    <w:lvl w:ilvl="0">
      <w:start w:val="1"/>
      <w:numFmt w:val="decimal"/>
      <w:lvlText w:val="%1."/>
      <w:lvlJc w:val="left"/>
      <w:pPr>
        <w:tabs>
          <w:tab w:val="num" w:pos="360"/>
        </w:tabs>
        <w:ind w:left="360" w:hanging="360"/>
      </w:pPr>
      <w:rPr>
        <w:rFonts w:hint="default"/>
        <w:b w:val="0"/>
        <w:bCs w:val="0"/>
        <w:i w:val="0"/>
        <w:iCs w:val="0"/>
        <w:sz w:val="20"/>
        <w:szCs w:val="20"/>
      </w:rPr>
    </w:lvl>
    <w:lvl w:ilvl="1">
      <w:start w:val="1"/>
      <w:numFmt w:val="lowerLetter"/>
      <w:lvlText w:val="%2)"/>
      <w:lvlJc w:val="left"/>
      <w:pPr>
        <w:tabs>
          <w:tab w:val="num" w:pos="720"/>
        </w:tabs>
        <w:ind w:left="720" w:hanging="360"/>
      </w:pPr>
      <w:rPr>
        <w:rFonts w:ascii="Verdana" w:hAnsi="Verdana" w:cs="Verdana" w:hint="default"/>
        <w:b w:val="0"/>
        <w:bCs w:val="0"/>
        <w:i/>
        <w:iCs/>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15D6ECD"/>
    <w:multiLevelType w:val="hybridMultilevel"/>
    <w:tmpl w:val="48763D02"/>
    <w:lvl w:ilvl="0" w:tplc="ED0459E8">
      <w:start w:val="1"/>
      <w:numFmt w:val="lowerLetter"/>
      <w:lvlText w:val="%1)"/>
      <w:lvlJc w:val="left"/>
      <w:pPr>
        <w:ind w:left="1080" w:hanging="360"/>
      </w:pPr>
      <w:rPr>
        <w:rFonts w:ascii="Verdana" w:hAnsi="Verdana" w:cs="Verdana" w:hint="default"/>
        <w:sz w:val="20"/>
        <w:szCs w:val="20"/>
      </w:rPr>
    </w:lvl>
    <w:lvl w:ilvl="1" w:tplc="F4CE3BBA">
      <w:start w:val="1"/>
      <w:numFmt w:val="decimal"/>
      <w:pStyle w:val="ListParagraph"/>
      <w:lvlText w:val="%2."/>
      <w:lvlJc w:val="left"/>
      <w:pPr>
        <w:tabs>
          <w:tab w:val="num" w:pos="0"/>
        </w:tabs>
      </w:pPr>
      <w:rPr>
        <w:rFonts w:hint="default"/>
        <w:b w:val="0"/>
        <w:bCs w:val="0"/>
        <w:color w:val="auto"/>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F755E3"/>
    <w:rsid w:val="00040268"/>
    <w:rsid w:val="00055867"/>
    <w:rsid w:val="00102C05"/>
    <w:rsid w:val="00112C75"/>
    <w:rsid w:val="00113B74"/>
    <w:rsid w:val="00187DF3"/>
    <w:rsid w:val="001B480D"/>
    <w:rsid w:val="001C23B3"/>
    <w:rsid w:val="001D33D5"/>
    <w:rsid w:val="001D63DB"/>
    <w:rsid w:val="002028E9"/>
    <w:rsid w:val="00235CB3"/>
    <w:rsid w:val="0026208F"/>
    <w:rsid w:val="00264E50"/>
    <w:rsid w:val="0027101C"/>
    <w:rsid w:val="002A4C95"/>
    <w:rsid w:val="002C04E2"/>
    <w:rsid w:val="002C2DCA"/>
    <w:rsid w:val="002F74A2"/>
    <w:rsid w:val="00317371"/>
    <w:rsid w:val="0032523D"/>
    <w:rsid w:val="00327843"/>
    <w:rsid w:val="00340BCB"/>
    <w:rsid w:val="00344711"/>
    <w:rsid w:val="00344D80"/>
    <w:rsid w:val="003475FD"/>
    <w:rsid w:val="0039525D"/>
    <w:rsid w:val="003B62E8"/>
    <w:rsid w:val="003D3FAA"/>
    <w:rsid w:val="003E4905"/>
    <w:rsid w:val="004012D0"/>
    <w:rsid w:val="00415E19"/>
    <w:rsid w:val="00420181"/>
    <w:rsid w:val="00445406"/>
    <w:rsid w:val="004874F1"/>
    <w:rsid w:val="004875EE"/>
    <w:rsid w:val="00492B0C"/>
    <w:rsid w:val="00496DA4"/>
    <w:rsid w:val="004C5253"/>
    <w:rsid w:val="004D05A0"/>
    <w:rsid w:val="004F0ACD"/>
    <w:rsid w:val="004F2F1A"/>
    <w:rsid w:val="00531B3C"/>
    <w:rsid w:val="0053434E"/>
    <w:rsid w:val="00540FBC"/>
    <w:rsid w:val="00582284"/>
    <w:rsid w:val="005B6B68"/>
    <w:rsid w:val="00601878"/>
    <w:rsid w:val="006143E0"/>
    <w:rsid w:val="00620658"/>
    <w:rsid w:val="00653958"/>
    <w:rsid w:val="00687CD9"/>
    <w:rsid w:val="00695CD0"/>
    <w:rsid w:val="006C49C5"/>
    <w:rsid w:val="006D2BEA"/>
    <w:rsid w:val="006E751B"/>
    <w:rsid w:val="006F38AF"/>
    <w:rsid w:val="006F3DD0"/>
    <w:rsid w:val="007F0C14"/>
    <w:rsid w:val="00801927"/>
    <w:rsid w:val="008039CB"/>
    <w:rsid w:val="0081799E"/>
    <w:rsid w:val="008223EB"/>
    <w:rsid w:val="00822C56"/>
    <w:rsid w:val="0082319D"/>
    <w:rsid w:val="0089435D"/>
    <w:rsid w:val="008A2605"/>
    <w:rsid w:val="008A2CA9"/>
    <w:rsid w:val="008B01A7"/>
    <w:rsid w:val="008D71F7"/>
    <w:rsid w:val="00924DB7"/>
    <w:rsid w:val="00937E1D"/>
    <w:rsid w:val="009409FB"/>
    <w:rsid w:val="00941AC4"/>
    <w:rsid w:val="00944E7B"/>
    <w:rsid w:val="00982C1A"/>
    <w:rsid w:val="0099137C"/>
    <w:rsid w:val="00994617"/>
    <w:rsid w:val="00A145FB"/>
    <w:rsid w:val="00A4108C"/>
    <w:rsid w:val="00A5065B"/>
    <w:rsid w:val="00A61988"/>
    <w:rsid w:val="00A7593D"/>
    <w:rsid w:val="00AA2442"/>
    <w:rsid w:val="00AD3745"/>
    <w:rsid w:val="00AD76DD"/>
    <w:rsid w:val="00B06AF0"/>
    <w:rsid w:val="00B22A92"/>
    <w:rsid w:val="00B44167"/>
    <w:rsid w:val="00B92D51"/>
    <w:rsid w:val="00B9458C"/>
    <w:rsid w:val="00BB4310"/>
    <w:rsid w:val="00BC38E3"/>
    <w:rsid w:val="00BE7277"/>
    <w:rsid w:val="00C61663"/>
    <w:rsid w:val="00CA30BE"/>
    <w:rsid w:val="00CD7675"/>
    <w:rsid w:val="00CE1876"/>
    <w:rsid w:val="00D32C91"/>
    <w:rsid w:val="00D355C5"/>
    <w:rsid w:val="00D83A95"/>
    <w:rsid w:val="00D931FF"/>
    <w:rsid w:val="00DA7F39"/>
    <w:rsid w:val="00DD0065"/>
    <w:rsid w:val="00DD40DE"/>
    <w:rsid w:val="00E00DD0"/>
    <w:rsid w:val="00E35649"/>
    <w:rsid w:val="00E519FF"/>
    <w:rsid w:val="00EA435F"/>
    <w:rsid w:val="00EC569D"/>
    <w:rsid w:val="00ED519C"/>
    <w:rsid w:val="00EE5154"/>
    <w:rsid w:val="00EF3E46"/>
    <w:rsid w:val="00F5441F"/>
    <w:rsid w:val="00F755E3"/>
    <w:rsid w:val="00FB0238"/>
    <w:rsid w:val="00FF175C"/>
    <w:rsid w:val="00FF459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E3"/>
    <w:rPr>
      <w:rFonts w:ascii="Calibri" w:eastAsia="Calibri" w:hAnsi="Calibri" w:cs="Calibri"/>
      <w:lang w:val="es-MX"/>
    </w:rPr>
  </w:style>
  <w:style w:type="paragraph" w:styleId="Heading1">
    <w:name w:val="heading 1"/>
    <w:basedOn w:val="Normal"/>
    <w:next w:val="Normal"/>
    <w:link w:val="Heading1Char"/>
    <w:uiPriority w:val="99"/>
    <w:qFormat/>
    <w:rsid w:val="00F755E3"/>
    <w:pPr>
      <w:keepNext/>
      <w:spacing w:after="0" w:line="240" w:lineRule="auto"/>
      <w:jc w:val="center"/>
      <w:outlineLvl w:val="0"/>
    </w:pPr>
    <w:rPr>
      <w:rFonts w:ascii="Verdana" w:hAnsi="Verdana" w:cs="Verdana"/>
      <w:b/>
      <w:bCs/>
      <w:caps/>
      <w:sz w:val="28"/>
      <w:szCs w:val="2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55E3"/>
    <w:rPr>
      <w:rFonts w:ascii="Verdana" w:eastAsia="Calibri" w:hAnsi="Verdana" w:cs="Verdana"/>
      <w:b/>
      <w:bCs/>
      <w:caps/>
      <w:sz w:val="28"/>
      <w:szCs w:val="28"/>
      <w:lang w:val="es-ES_tradnl" w:eastAsia="es-ES"/>
    </w:rPr>
  </w:style>
  <w:style w:type="paragraph" w:styleId="ListParagraph">
    <w:name w:val="List Paragraph"/>
    <w:aliases w:val="Footnote"/>
    <w:basedOn w:val="Normal"/>
    <w:uiPriority w:val="34"/>
    <w:qFormat/>
    <w:rsid w:val="00F755E3"/>
    <w:pPr>
      <w:widowControl w:val="0"/>
      <w:numPr>
        <w:ilvl w:val="1"/>
        <w:numId w:val="1"/>
      </w:numPr>
      <w:autoSpaceDE w:val="0"/>
      <w:autoSpaceDN w:val="0"/>
      <w:adjustRightInd w:val="0"/>
      <w:spacing w:after="0" w:line="240" w:lineRule="auto"/>
      <w:ind w:right="22"/>
      <w:jc w:val="both"/>
    </w:pPr>
    <w:rPr>
      <w:rFonts w:ascii="Verdana" w:hAnsi="Verdana" w:cs="Verdana"/>
      <w:sz w:val="20"/>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qFormat/>
    <w:rsid w:val="00F755E3"/>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autoRedefine/>
    <w:qFormat/>
    <w:rsid w:val="00F755E3"/>
    <w:pPr>
      <w:spacing w:after="0" w:line="240" w:lineRule="auto"/>
      <w:jc w:val="both"/>
    </w:pPr>
    <w:rPr>
      <w:rFonts w:ascii="Verdana" w:hAnsi="Verdana" w:cs="Verdana"/>
      <w:sz w:val="16"/>
      <w:szCs w:val="16"/>
      <w:lang w:val="es-ES_tradnl" w:eastAsia="es-ES"/>
    </w:rPr>
  </w:style>
  <w:style w:type="character" w:customStyle="1" w:styleId="FootnoteTextChar">
    <w:name w:val="Footnote Text Char"/>
    <w:aliases w:val="Footnote Text Cha Char,FA Fuﬂnotentext Char,Ca Char"/>
    <w:basedOn w:val="DefaultParagraphFont"/>
    <w:rsid w:val="00F755E3"/>
    <w:rPr>
      <w:rFonts w:ascii="Calibri" w:eastAsia="Calibri" w:hAnsi="Calibri"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locked/>
    <w:rsid w:val="00F755E3"/>
    <w:rPr>
      <w:rFonts w:ascii="Verdana" w:eastAsia="Calibri" w:hAnsi="Verdana" w:cs="Verdana"/>
      <w:sz w:val="16"/>
      <w:szCs w:val="16"/>
      <w:lang w:val="es-ES_tradnl" w:eastAsia="es-ES"/>
    </w:rPr>
  </w:style>
  <w:style w:type="paragraph" w:styleId="BodyText">
    <w:name w:val="Body Text"/>
    <w:basedOn w:val="Normal"/>
    <w:link w:val="BodyTextChar"/>
    <w:uiPriority w:val="99"/>
    <w:semiHidden/>
    <w:rsid w:val="00F755E3"/>
    <w:pPr>
      <w:spacing w:after="120" w:line="240" w:lineRule="auto"/>
    </w:pPr>
    <w:rPr>
      <w:rFonts w:ascii="Times" w:hAnsi="Times" w:cs="Times"/>
      <w:sz w:val="24"/>
      <w:szCs w:val="24"/>
      <w:lang w:val="es-ES_tradnl" w:eastAsia="es-ES"/>
    </w:rPr>
  </w:style>
  <w:style w:type="character" w:customStyle="1" w:styleId="BodyTextChar">
    <w:name w:val="Body Text Char"/>
    <w:basedOn w:val="DefaultParagraphFont"/>
    <w:link w:val="BodyText"/>
    <w:uiPriority w:val="99"/>
    <w:semiHidden/>
    <w:rsid w:val="00F755E3"/>
    <w:rPr>
      <w:rFonts w:ascii="Times" w:eastAsia="Calibri" w:hAnsi="Times" w:cs="Times"/>
      <w:sz w:val="24"/>
      <w:szCs w:val="24"/>
      <w:lang w:val="es-ES_tradnl" w:eastAsia="es-ES"/>
    </w:rPr>
  </w:style>
  <w:style w:type="paragraph" w:styleId="Header">
    <w:name w:val="header"/>
    <w:basedOn w:val="Normal"/>
    <w:link w:val="HeaderChar"/>
    <w:uiPriority w:val="99"/>
    <w:rsid w:val="00F755E3"/>
    <w:pPr>
      <w:tabs>
        <w:tab w:val="center" w:pos="4252"/>
        <w:tab w:val="right" w:pos="8504"/>
      </w:tabs>
      <w:spacing w:after="0" w:line="240" w:lineRule="auto"/>
    </w:pPr>
  </w:style>
  <w:style w:type="character" w:customStyle="1" w:styleId="HeaderChar">
    <w:name w:val="Header Char"/>
    <w:basedOn w:val="DefaultParagraphFont"/>
    <w:link w:val="Header"/>
    <w:uiPriority w:val="99"/>
    <w:rsid w:val="00F755E3"/>
    <w:rPr>
      <w:rFonts w:ascii="Calibri" w:eastAsia="Calibri" w:hAnsi="Calibri" w:cs="Calibri"/>
      <w:lang w:val="es-MX"/>
    </w:rPr>
  </w:style>
  <w:style w:type="paragraph" w:customStyle="1" w:styleId="ColorfulList-Accent11">
    <w:name w:val="Colorful List - Accent 11"/>
    <w:basedOn w:val="Normal"/>
    <w:uiPriority w:val="99"/>
    <w:rsid w:val="00F755E3"/>
    <w:pPr>
      <w:spacing w:after="0" w:line="240" w:lineRule="auto"/>
      <w:ind w:left="720"/>
    </w:pPr>
    <w:rPr>
      <w:rFonts w:ascii="Times" w:eastAsia="MS Mincho" w:hAnsi="Times" w:cs="Times"/>
      <w:sz w:val="24"/>
      <w:szCs w:val="24"/>
      <w:lang w:val="es-ES_tradnl"/>
    </w:rPr>
  </w:style>
  <w:style w:type="paragraph" w:customStyle="1" w:styleId="Default">
    <w:name w:val="Default"/>
    <w:uiPriority w:val="99"/>
    <w:rsid w:val="00F755E3"/>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apple-converted-space">
    <w:name w:val="apple-converted-space"/>
    <w:basedOn w:val="DefaultParagraphFont"/>
    <w:rsid w:val="002028E9"/>
  </w:style>
  <w:style w:type="paragraph" w:styleId="BalloonText">
    <w:name w:val="Balloon Text"/>
    <w:basedOn w:val="Normal"/>
    <w:link w:val="BalloonTextChar"/>
    <w:uiPriority w:val="99"/>
    <w:semiHidden/>
    <w:unhideWhenUsed/>
    <w:rsid w:val="001D6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DB"/>
    <w:rPr>
      <w:rFonts w:ascii="Tahoma" w:eastAsia="Calibri" w:hAnsi="Tahoma" w:cs="Tahoma"/>
      <w:sz w:val="16"/>
      <w:szCs w:val="16"/>
      <w:lang w:val="es-MX"/>
    </w:rPr>
  </w:style>
  <w:style w:type="character" w:styleId="CommentReference">
    <w:name w:val="annotation reference"/>
    <w:basedOn w:val="DefaultParagraphFont"/>
    <w:uiPriority w:val="99"/>
    <w:semiHidden/>
    <w:unhideWhenUsed/>
    <w:rsid w:val="00496DA4"/>
    <w:rPr>
      <w:sz w:val="18"/>
      <w:szCs w:val="18"/>
    </w:rPr>
  </w:style>
  <w:style w:type="paragraph" w:styleId="CommentText">
    <w:name w:val="annotation text"/>
    <w:basedOn w:val="Normal"/>
    <w:link w:val="CommentTextChar"/>
    <w:uiPriority w:val="99"/>
    <w:semiHidden/>
    <w:unhideWhenUsed/>
    <w:rsid w:val="00496DA4"/>
    <w:pPr>
      <w:spacing w:line="240" w:lineRule="auto"/>
    </w:pPr>
    <w:rPr>
      <w:sz w:val="24"/>
      <w:szCs w:val="24"/>
    </w:rPr>
  </w:style>
  <w:style w:type="character" w:customStyle="1" w:styleId="CommentTextChar">
    <w:name w:val="Comment Text Char"/>
    <w:basedOn w:val="DefaultParagraphFont"/>
    <w:link w:val="CommentText"/>
    <w:uiPriority w:val="99"/>
    <w:semiHidden/>
    <w:rsid w:val="00496DA4"/>
    <w:rPr>
      <w:rFonts w:ascii="Calibri" w:eastAsia="Calibri" w:hAnsi="Calibri" w:cs="Calibri"/>
      <w:sz w:val="24"/>
      <w:szCs w:val="24"/>
      <w:lang w:val="es-MX"/>
    </w:rPr>
  </w:style>
  <w:style w:type="paragraph" w:styleId="CommentSubject">
    <w:name w:val="annotation subject"/>
    <w:basedOn w:val="CommentText"/>
    <w:next w:val="CommentText"/>
    <w:link w:val="CommentSubjectChar"/>
    <w:uiPriority w:val="99"/>
    <w:semiHidden/>
    <w:unhideWhenUsed/>
    <w:rsid w:val="00496DA4"/>
    <w:rPr>
      <w:b/>
      <w:bCs/>
      <w:sz w:val="20"/>
      <w:szCs w:val="20"/>
    </w:rPr>
  </w:style>
  <w:style w:type="character" w:customStyle="1" w:styleId="CommentSubjectChar">
    <w:name w:val="Comment Subject Char"/>
    <w:basedOn w:val="CommentTextChar"/>
    <w:link w:val="CommentSubject"/>
    <w:uiPriority w:val="99"/>
    <w:semiHidden/>
    <w:rsid w:val="00496DA4"/>
    <w:rPr>
      <w:rFonts w:ascii="Calibri" w:eastAsia="Calibri" w:hAnsi="Calibri" w:cs="Calibri"/>
      <w:b/>
      <w:bCs/>
      <w:sz w:val="20"/>
      <w:szCs w:val="20"/>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E3"/>
    <w:rPr>
      <w:rFonts w:ascii="Calibri" w:eastAsia="Calibri" w:hAnsi="Calibri" w:cs="Calibri"/>
      <w:lang w:val="es-MX"/>
    </w:rPr>
  </w:style>
  <w:style w:type="paragraph" w:styleId="Heading1">
    <w:name w:val="heading 1"/>
    <w:basedOn w:val="Normal"/>
    <w:next w:val="Normal"/>
    <w:link w:val="Heading1Char"/>
    <w:uiPriority w:val="99"/>
    <w:qFormat/>
    <w:rsid w:val="00F755E3"/>
    <w:pPr>
      <w:keepNext/>
      <w:spacing w:after="0" w:line="240" w:lineRule="auto"/>
      <w:jc w:val="center"/>
      <w:outlineLvl w:val="0"/>
    </w:pPr>
    <w:rPr>
      <w:rFonts w:ascii="Verdana" w:hAnsi="Verdana" w:cs="Verdana"/>
      <w:b/>
      <w:bCs/>
      <w:caps/>
      <w:sz w:val="28"/>
      <w:szCs w:val="28"/>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755E3"/>
    <w:rPr>
      <w:rFonts w:ascii="Verdana" w:eastAsia="Calibri" w:hAnsi="Verdana" w:cs="Verdana"/>
      <w:b/>
      <w:bCs/>
      <w:caps/>
      <w:sz w:val="28"/>
      <w:szCs w:val="28"/>
      <w:lang w:val="es-ES_tradnl" w:eastAsia="es-ES"/>
    </w:rPr>
  </w:style>
  <w:style w:type="paragraph" w:styleId="ListParagraph">
    <w:name w:val="List Paragraph"/>
    <w:aliases w:val="Footnote"/>
    <w:basedOn w:val="Normal"/>
    <w:uiPriority w:val="34"/>
    <w:qFormat/>
    <w:rsid w:val="00F755E3"/>
    <w:pPr>
      <w:widowControl w:val="0"/>
      <w:numPr>
        <w:ilvl w:val="1"/>
        <w:numId w:val="1"/>
      </w:numPr>
      <w:autoSpaceDE w:val="0"/>
      <w:autoSpaceDN w:val="0"/>
      <w:adjustRightInd w:val="0"/>
      <w:spacing w:after="0" w:line="240" w:lineRule="auto"/>
      <w:ind w:right="22"/>
      <w:jc w:val="both"/>
    </w:pPr>
    <w:rPr>
      <w:rFonts w:ascii="Verdana" w:hAnsi="Verdana" w:cs="Verdana"/>
      <w:sz w:val="20"/>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qFormat/>
    <w:rsid w:val="00F755E3"/>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autoRedefine/>
    <w:qFormat/>
    <w:rsid w:val="00F755E3"/>
    <w:pPr>
      <w:spacing w:after="0" w:line="240" w:lineRule="auto"/>
      <w:jc w:val="both"/>
    </w:pPr>
    <w:rPr>
      <w:rFonts w:ascii="Verdana" w:hAnsi="Verdana" w:cs="Verdana"/>
      <w:sz w:val="16"/>
      <w:szCs w:val="16"/>
      <w:lang w:val="es-ES_tradnl" w:eastAsia="es-ES"/>
    </w:rPr>
  </w:style>
  <w:style w:type="character" w:customStyle="1" w:styleId="FootnoteTextChar">
    <w:name w:val="Footnote Text Char"/>
    <w:aliases w:val="Footnote Text Cha Char,FA Fuﬂnotentext Char,Ca Char"/>
    <w:basedOn w:val="DefaultParagraphFont"/>
    <w:rsid w:val="00F755E3"/>
    <w:rPr>
      <w:rFonts w:ascii="Calibri" w:eastAsia="Calibri" w:hAnsi="Calibri"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uiPriority w:val="99"/>
    <w:semiHidden/>
    <w:locked/>
    <w:rsid w:val="00F755E3"/>
    <w:rPr>
      <w:rFonts w:ascii="Verdana" w:eastAsia="Calibri" w:hAnsi="Verdana" w:cs="Verdana"/>
      <w:sz w:val="16"/>
      <w:szCs w:val="16"/>
      <w:lang w:val="es-ES_tradnl" w:eastAsia="es-ES"/>
    </w:rPr>
  </w:style>
  <w:style w:type="paragraph" w:styleId="BodyText">
    <w:name w:val="Body Text"/>
    <w:basedOn w:val="Normal"/>
    <w:link w:val="BodyTextChar"/>
    <w:uiPriority w:val="99"/>
    <w:semiHidden/>
    <w:rsid w:val="00F755E3"/>
    <w:pPr>
      <w:spacing w:after="120" w:line="240" w:lineRule="auto"/>
    </w:pPr>
    <w:rPr>
      <w:rFonts w:ascii="Times" w:hAnsi="Times" w:cs="Times"/>
      <w:sz w:val="24"/>
      <w:szCs w:val="24"/>
      <w:lang w:val="es-ES_tradnl" w:eastAsia="es-ES"/>
    </w:rPr>
  </w:style>
  <w:style w:type="character" w:customStyle="1" w:styleId="BodyTextChar">
    <w:name w:val="Body Text Char"/>
    <w:basedOn w:val="DefaultParagraphFont"/>
    <w:link w:val="BodyText"/>
    <w:uiPriority w:val="99"/>
    <w:semiHidden/>
    <w:rsid w:val="00F755E3"/>
    <w:rPr>
      <w:rFonts w:ascii="Times" w:eastAsia="Calibri" w:hAnsi="Times" w:cs="Times"/>
      <w:sz w:val="24"/>
      <w:szCs w:val="24"/>
      <w:lang w:val="es-ES_tradnl" w:eastAsia="es-ES"/>
    </w:rPr>
  </w:style>
  <w:style w:type="paragraph" w:styleId="Header">
    <w:name w:val="header"/>
    <w:basedOn w:val="Normal"/>
    <w:link w:val="HeaderChar"/>
    <w:uiPriority w:val="99"/>
    <w:rsid w:val="00F755E3"/>
    <w:pPr>
      <w:tabs>
        <w:tab w:val="center" w:pos="4252"/>
        <w:tab w:val="right" w:pos="8504"/>
      </w:tabs>
      <w:spacing w:after="0" w:line="240" w:lineRule="auto"/>
    </w:pPr>
  </w:style>
  <w:style w:type="character" w:customStyle="1" w:styleId="HeaderChar">
    <w:name w:val="Header Char"/>
    <w:basedOn w:val="DefaultParagraphFont"/>
    <w:link w:val="Header"/>
    <w:uiPriority w:val="99"/>
    <w:rsid w:val="00F755E3"/>
    <w:rPr>
      <w:rFonts w:ascii="Calibri" w:eastAsia="Calibri" w:hAnsi="Calibri" w:cs="Calibri"/>
      <w:lang w:val="es-MX"/>
    </w:rPr>
  </w:style>
  <w:style w:type="paragraph" w:customStyle="1" w:styleId="ColorfulList-Accent11">
    <w:name w:val="Colorful List - Accent 11"/>
    <w:basedOn w:val="Normal"/>
    <w:uiPriority w:val="99"/>
    <w:rsid w:val="00F755E3"/>
    <w:pPr>
      <w:spacing w:after="0" w:line="240" w:lineRule="auto"/>
      <w:ind w:left="720"/>
    </w:pPr>
    <w:rPr>
      <w:rFonts w:ascii="Times" w:eastAsia="MS Mincho" w:hAnsi="Times" w:cs="Times"/>
      <w:sz w:val="24"/>
      <w:szCs w:val="24"/>
      <w:lang w:val="es-ES_tradnl"/>
    </w:rPr>
  </w:style>
  <w:style w:type="paragraph" w:customStyle="1" w:styleId="Default">
    <w:name w:val="Default"/>
    <w:uiPriority w:val="99"/>
    <w:rsid w:val="00F755E3"/>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apple-converted-space">
    <w:name w:val="apple-converted-space"/>
    <w:basedOn w:val="DefaultParagraphFont"/>
    <w:rsid w:val="002028E9"/>
  </w:style>
  <w:style w:type="paragraph" w:styleId="BalloonText">
    <w:name w:val="Balloon Text"/>
    <w:basedOn w:val="Normal"/>
    <w:link w:val="BalloonTextChar"/>
    <w:uiPriority w:val="99"/>
    <w:semiHidden/>
    <w:unhideWhenUsed/>
    <w:rsid w:val="001D6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DB"/>
    <w:rPr>
      <w:rFonts w:ascii="Tahoma" w:eastAsia="Calibri" w:hAnsi="Tahoma" w:cs="Tahoma"/>
      <w:sz w:val="16"/>
      <w:szCs w:val="16"/>
      <w:lang w:val="es-MX"/>
    </w:rPr>
  </w:style>
  <w:style w:type="character" w:styleId="CommentReference">
    <w:name w:val="annotation reference"/>
    <w:basedOn w:val="DefaultParagraphFont"/>
    <w:uiPriority w:val="99"/>
    <w:semiHidden/>
    <w:unhideWhenUsed/>
    <w:rsid w:val="00496DA4"/>
    <w:rPr>
      <w:sz w:val="18"/>
      <w:szCs w:val="18"/>
    </w:rPr>
  </w:style>
  <w:style w:type="paragraph" w:styleId="CommentText">
    <w:name w:val="annotation text"/>
    <w:basedOn w:val="Normal"/>
    <w:link w:val="CommentTextChar"/>
    <w:uiPriority w:val="99"/>
    <w:semiHidden/>
    <w:unhideWhenUsed/>
    <w:rsid w:val="00496DA4"/>
    <w:pPr>
      <w:spacing w:line="240" w:lineRule="auto"/>
    </w:pPr>
    <w:rPr>
      <w:sz w:val="24"/>
      <w:szCs w:val="24"/>
    </w:rPr>
  </w:style>
  <w:style w:type="character" w:customStyle="1" w:styleId="CommentTextChar">
    <w:name w:val="Comment Text Char"/>
    <w:basedOn w:val="DefaultParagraphFont"/>
    <w:link w:val="CommentText"/>
    <w:uiPriority w:val="99"/>
    <w:semiHidden/>
    <w:rsid w:val="00496DA4"/>
    <w:rPr>
      <w:rFonts w:ascii="Calibri" w:eastAsia="Calibri" w:hAnsi="Calibri" w:cs="Calibri"/>
      <w:sz w:val="24"/>
      <w:szCs w:val="24"/>
      <w:lang w:val="es-MX"/>
    </w:rPr>
  </w:style>
  <w:style w:type="paragraph" w:styleId="CommentSubject">
    <w:name w:val="annotation subject"/>
    <w:basedOn w:val="CommentText"/>
    <w:next w:val="CommentText"/>
    <w:link w:val="CommentSubjectChar"/>
    <w:uiPriority w:val="99"/>
    <w:semiHidden/>
    <w:unhideWhenUsed/>
    <w:rsid w:val="00496DA4"/>
    <w:rPr>
      <w:b/>
      <w:bCs/>
      <w:sz w:val="20"/>
      <w:szCs w:val="20"/>
    </w:rPr>
  </w:style>
  <w:style w:type="character" w:customStyle="1" w:styleId="CommentSubjectChar">
    <w:name w:val="Comment Subject Char"/>
    <w:basedOn w:val="CommentTextChar"/>
    <w:link w:val="CommentSubject"/>
    <w:uiPriority w:val="99"/>
    <w:semiHidden/>
    <w:rsid w:val="00496DA4"/>
    <w:rPr>
      <w:rFonts w:ascii="Calibri" w:eastAsia="Calibri" w:hAnsi="Calibri" w:cs="Calibri"/>
      <w:b/>
      <w:bCs/>
      <w:sz w:val="20"/>
      <w:szCs w:val="20"/>
      <w:lang w:val="es-MX"/>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6FC4C-F248-4FDE-9077-A7A214AE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1588</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Kerlliy Nacul</dc:creator>
  <cp:lastModifiedBy>Gabriel Alfaro</cp:lastModifiedBy>
  <cp:revision>3</cp:revision>
  <cp:lastPrinted>2013-06-18T16:38:00Z</cp:lastPrinted>
  <dcterms:created xsi:type="dcterms:W3CDTF">2013-06-18T16:37:00Z</dcterms:created>
  <dcterms:modified xsi:type="dcterms:W3CDTF">2013-06-18T16:38:00Z</dcterms:modified>
</cp:coreProperties>
</file>