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6638" w:rsidRDefault="00AF6638">
      <w:pPr>
        <w:tabs>
          <w:tab w:val="left" w:pos="567"/>
        </w:tabs>
        <w:spacing w:after="0" w:line="240" w:lineRule="auto"/>
      </w:pPr>
      <w:bookmarkStart w:id="0" w:name="_GoBack"/>
      <w:bookmarkEnd w:id="0"/>
    </w:p>
    <w:p w:rsidR="00F7616B" w:rsidRDefault="00F7616B">
      <w:pPr>
        <w:tabs>
          <w:tab w:val="left" w:pos="567"/>
        </w:tabs>
        <w:spacing w:after="0" w:line="240" w:lineRule="auto"/>
      </w:pPr>
    </w:p>
    <w:p w:rsidR="00AF6638" w:rsidRDefault="00AF6638">
      <w:pPr>
        <w:tabs>
          <w:tab w:val="left" w:pos="567"/>
        </w:tabs>
        <w:spacing w:after="0" w:line="240" w:lineRule="auto"/>
      </w:pPr>
    </w:p>
    <w:p w:rsidR="00AF6638" w:rsidRDefault="00AF6638">
      <w:pPr>
        <w:tabs>
          <w:tab w:val="left" w:pos="567"/>
        </w:tabs>
        <w:spacing w:after="0" w:line="240" w:lineRule="auto"/>
      </w:pPr>
    </w:p>
    <w:p w:rsidR="00AF6638" w:rsidRDefault="00AF6638">
      <w:pPr>
        <w:tabs>
          <w:tab w:val="left" w:pos="567"/>
        </w:tabs>
        <w:spacing w:after="0" w:line="240" w:lineRule="auto"/>
      </w:pPr>
    </w:p>
    <w:p w:rsidR="00876643" w:rsidRDefault="00876643">
      <w:pPr>
        <w:tabs>
          <w:tab w:val="left" w:pos="567"/>
        </w:tabs>
        <w:spacing w:after="0" w:line="240" w:lineRule="auto"/>
      </w:pPr>
    </w:p>
    <w:p w:rsidR="00AF6638" w:rsidRDefault="00AF6638">
      <w:pPr>
        <w:tabs>
          <w:tab w:val="left" w:pos="567"/>
        </w:tabs>
        <w:spacing w:after="0" w:line="240" w:lineRule="auto"/>
      </w:pPr>
    </w:p>
    <w:p w:rsidR="00AF6638" w:rsidRDefault="00AF6638">
      <w:pPr>
        <w:tabs>
          <w:tab w:val="left" w:pos="567"/>
        </w:tabs>
        <w:spacing w:after="0" w:line="240" w:lineRule="auto"/>
      </w:pPr>
    </w:p>
    <w:p w:rsidR="00AF6638" w:rsidRDefault="002B36E5">
      <w:pPr>
        <w:tabs>
          <w:tab w:val="left" w:pos="567"/>
        </w:tabs>
        <w:spacing w:after="120" w:line="240" w:lineRule="auto"/>
        <w:jc w:val="center"/>
      </w:pPr>
      <w:r>
        <w:rPr>
          <w:b/>
        </w:rPr>
        <w:t>RESOLUCIÓN DEL PRESIDENTE DE LA</w:t>
      </w:r>
    </w:p>
    <w:p w:rsidR="00AF6638" w:rsidRDefault="002B36E5">
      <w:pPr>
        <w:tabs>
          <w:tab w:val="left" w:pos="567"/>
        </w:tabs>
        <w:spacing w:after="120" w:line="240" w:lineRule="auto"/>
        <w:jc w:val="center"/>
      </w:pPr>
      <w:r>
        <w:rPr>
          <w:b/>
        </w:rPr>
        <w:t>CORTE INTERAMERICANA DE DERECHOS HUMANOS</w:t>
      </w:r>
    </w:p>
    <w:p w:rsidR="00AF6638" w:rsidRDefault="00AF6638">
      <w:pPr>
        <w:tabs>
          <w:tab w:val="left" w:pos="567"/>
        </w:tabs>
        <w:spacing w:after="120" w:line="240" w:lineRule="auto"/>
        <w:jc w:val="center"/>
      </w:pPr>
    </w:p>
    <w:p w:rsidR="00AF6638" w:rsidRDefault="002B36E5">
      <w:pPr>
        <w:tabs>
          <w:tab w:val="left" w:pos="567"/>
        </w:tabs>
        <w:spacing w:after="120" w:line="240" w:lineRule="auto"/>
        <w:jc w:val="center"/>
      </w:pPr>
      <w:r>
        <w:rPr>
          <w:b/>
        </w:rPr>
        <w:t xml:space="preserve">DE </w:t>
      </w:r>
      <w:r w:rsidR="004E5DF3">
        <w:rPr>
          <w:b/>
        </w:rPr>
        <w:t>20</w:t>
      </w:r>
      <w:r>
        <w:rPr>
          <w:b/>
        </w:rPr>
        <w:t xml:space="preserve"> DE DICIEMBRE DE 2016</w:t>
      </w:r>
    </w:p>
    <w:p w:rsidR="00AF6638" w:rsidRDefault="00AF6638">
      <w:pPr>
        <w:tabs>
          <w:tab w:val="left" w:pos="567"/>
        </w:tabs>
        <w:spacing w:after="120" w:line="240" w:lineRule="auto"/>
        <w:jc w:val="center"/>
      </w:pPr>
    </w:p>
    <w:p w:rsidR="00AF6638" w:rsidRDefault="002B36E5">
      <w:pPr>
        <w:tabs>
          <w:tab w:val="left" w:pos="567"/>
        </w:tabs>
        <w:spacing w:after="120" w:line="240" w:lineRule="auto"/>
        <w:jc w:val="center"/>
      </w:pPr>
      <w:r>
        <w:rPr>
          <w:b/>
        </w:rPr>
        <w:t>CASO SAN MIGUEL SOSA Y OTR</w:t>
      </w:r>
      <w:r w:rsidR="006E0351">
        <w:rPr>
          <w:b/>
        </w:rPr>
        <w:t>A</w:t>
      </w:r>
      <w:r>
        <w:rPr>
          <w:b/>
        </w:rPr>
        <w:t>S VS. VENEZUELA</w:t>
      </w:r>
    </w:p>
    <w:p w:rsidR="00AF6638" w:rsidRDefault="00AF6638">
      <w:pPr>
        <w:tabs>
          <w:tab w:val="left" w:pos="567"/>
        </w:tabs>
        <w:spacing w:after="0" w:line="240" w:lineRule="auto"/>
      </w:pPr>
    </w:p>
    <w:p w:rsidR="00876643" w:rsidRDefault="00876643">
      <w:pPr>
        <w:tabs>
          <w:tab w:val="left" w:pos="567"/>
        </w:tabs>
        <w:spacing w:after="0" w:line="240" w:lineRule="auto"/>
      </w:pPr>
    </w:p>
    <w:p w:rsidR="00AF6638" w:rsidRDefault="002B36E5">
      <w:pPr>
        <w:tabs>
          <w:tab w:val="left" w:pos="567"/>
        </w:tabs>
        <w:spacing w:after="0" w:line="240" w:lineRule="auto"/>
      </w:pPr>
      <w:r>
        <w:rPr>
          <w:b/>
        </w:rPr>
        <w:t>VISTO:</w:t>
      </w:r>
    </w:p>
    <w:p w:rsidR="00AF6638" w:rsidRDefault="00AF6638">
      <w:pPr>
        <w:tabs>
          <w:tab w:val="left" w:pos="567"/>
        </w:tabs>
        <w:spacing w:after="0" w:line="240" w:lineRule="auto"/>
      </w:pPr>
    </w:p>
    <w:p w:rsidR="00876643" w:rsidRDefault="00876643">
      <w:pPr>
        <w:tabs>
          <w:tab w:val="left" w:pos="567"/>
        </w:tabs>
        <w:spacing w:after="0" w:line="240" w:lineRule="auto"/>
      </w:pPr>
    </w:p>
    <w:p w:rsidR="006E0351" w:rsidRDefault="002B36E5">
      <w:pPr>
        <w:widowControl w:val="0"/>
        <w:numPr>
          <w:ilvl w:val="0"/>
          <w:numId w:val="7"/>
        </w:numPr>
        <w:tabs>
          <w:tab w:val="left" w:pos="567"/>
        </w:tabs>
        <w:spacing w:after="0" w:line="240" w:lineRule="auto"/>
        <w:ind w:left="0" w:right="22" w:firstLine="0"/>
        <w:jc w:val="both"/>
      </w:pPr>
      <w:r>
        <w:t>El escrito de sometimiento del caso y el Informe de Fondo de la Comisión Interamericana de Derechos Humanos (en adelante “la Comisión Interamericana” o “la Comisión”)</w:t>
      </w:r>
      <w:r w:rsidR="006E0351">
        <w:t xml:space="preserve"> y</w:t>
      </w:r>
      <w:r>
        <w:t xml:space="preserve"> el escrito de solicitudes, argumentos y pruebas (en adelante, el “escrito de solicitudes y argumentos”) del representante de las presuntas víctimas (en adelante “el representante”)</w:t>
      </w:r>
      <w:r w:rsidR="006E0351">
        <w:t>.</w:t>
      </w:r>
      <w:r>
        <w:t xml:space="preserve"> </w:t>
      </w:r>
    </w:p>
    <w:p w:rsidR="00404ED6" w:rsidRDefault="00404ED6" w:rsidP="00404ED6">
      <w:pPr>
        <w:widowControl w:val="0"/>
        <w:tabs>
          <w:tab w:val="left" w:pos="567"/>
        </w:tabs>
        <w:spacing w:after="0" w:line="240" w:lineRule="auto"/>
        <w:ind w:right="22"/>
        <w:jc w:val="both"/>
      </w:pPr>
    </w:p>
    <w:p w:rsidR="00404ED6" w:rsidRDefault="00404ED6">
      <w:pPr>
        <w:widowControl w:val="0"/>
        <w:numPr>
          <w:ilvl w:val="0"/>
          <w:numId w:val="7"/>
        </w:numPr>
        <w:tabs>
          <w:tab w:val="left" w:pos="567"/>
        </w:tabs>
        <w:spacing w:after="0" w:line="240" w:lineRule="auto"/>
        <w:ind w:left="0" w:right="22" w:firstLine="0"/>
        <w:jc w:val="both"/>
      </w:pPr>
      <w:r>
        <w:t>La nota de Secretaría de 31 de octubre de 2016, mediante la cual se solicitó a la Comisión y al representante que</w:t>
      </w:r>
      <w:r w:rsidR="0065413F">
        <w:t>, a más tardar el 10 de noviembre de 2016,</w:t>
      </w:r>
      <w:r>
        <w:t xml:space="preserve"> remitieran sus listas definitivas de declarantes y se hizo </w:t>
      </w:r>
      <w:r w:rsidR="00556698" w:rsidRPr="00FE2547">
        <w:t xml:space="preserve">notar que, al no haber presentado contestación, </w:t>
      </w:r>
      <w:r w:rsidR="00556698">
        <w:t xml:space="preserve">la República Bolivariana de Venezuela (en adelante “Venezuela” o “el Estado”) </w:t>
      </w:r>
      <w:r w:rsidR="00556698" w:rsidRPr="00FE2547">
        <w:t>no ofreció prueba testimonial o pericial</w:t>
      </w:r>
      <w:r w:rsidR="00556698">
        <w:t>.</w:t>
      </w:r>
    </w:p>
    <w:p w:rsidR="00AF6638" w:rsidRDefault="00AF6638">
      <w:pPr>
        <w:widowControl w:val="0"/>
        <w:spacing w:after="0" w:line="240" w:lineRule="auto"/>
        <w:jc w:val="both"/>
      </w:pPr>
    </w:p>
    <w:p w:rsidR="00AF6638" w:rsidRDefault="002B36E5">
      <w:pPr>
        <w:widowControl w:val="0"/>
        <w:numPr>
          <w:ilvl w:val="0"/>
          <w:numId w:val="7"/>
        </w:numPr>
        <w:tabs>
          <w:tab w:val="left" w:pos="567"/>
        </w:tabs>
        <w:spacing w:after="0" w:line="240" w:lineRule="auto"/>
        <w:ind w:left="0" w:right="22" w:firstLine="0"/>
        <w:jc w:val="both"/>
      </w:pPr>
      <w:r>
        <w:t xml:space="preserve">Las listas definitivas de declarantes presentadas por el representante y la Comisión. </w:t>
      </w:r>
    </w:p>
    <w:p w:rsidR="00556698" w:rsidRDefault="00556698" w:rsidP="00556698">
      <w:pPr>
        <w:widowControl w:val="0"/>
        <w:tabs>
          <w:tab w:val="left" w:pos="567"/>
        </w:tabs>
        <w:spacing w:after="0" w:line="240" w:lineRule="auto"/>
        <w:ind w:right="22"/>
        <w:jc w:val="both"/>
      </w:pPr>
    </w:p>
    <w:p w:rsidR="00556698" w:rsidRDefault="00556698" w:rsidP="00556698">
      <w:pPr>
        <w:widowControl w:val="0"/>
        <w:numPr>
          <w:ilvl w:val="0"/>
          <w:numId w:val="7"/>
        </w:numPr>
        <w:tabs>
          <w:tab w:val="left" w:pos="567"/>
        </w:tabs>
        <w:spacing w:after="0" w:line="240" w:lineRule="auto"/>
        <w:ind w:left="0" w:right="22" w:firstLine="0"/>
        <w:jc w:val="both"/>
      </w:pPr>
      <w:r>
        <w:t>El escrito de 9 de noviembre de 2016</w:t>
      </w:r>
      <w:r>
        <w:rPr>
          <w:sz w:val="18"/>
          <w:szCs w:val="18"/>
        </w:rPr>
        <w:t xml:space="preserve"> </w:t>
      </w:r>
      <w:r w:rsidRPr="00FE2547">
        <w:rPr>
          <w:szCs w:val="18"/>
        </w:rPr>
        <w:t>y sus anexos, mediante los cuales el señor Germán Saltrón Negretti, en su carácter de Agente del Estado para los Derechos Humanos del Estado</w:t>
      </w:r>
      <w:r w:rsidRPr="00FE2547">
        <w:rPr>
          <w:rStyle w:val="FootnoteReference"/>
          <w:szCs w:val="18"/>
        </w:rPr>
        <w:footnoteReference w:id="1"/>
      </w:r>
      <w:r w:rsidRPr="00FE2547">
        <w:rPr>
          <w:szCs w:val="18"/>
        </w:rPr>
        <w:t>, “ratificó ante la Corte todos y cada uno de los escritos con las argumentaciones expuestas en su defensa ante la Comisión Interamericana” y, además, ofreció a dos personas para que declaren como peritos en audiencia pública</w:t>
      </w:r>
      <w:r>
        <w:t>.</w:t>
      </w:r>
    </w:p>
    <w:p w:rsidR="0025035D" w:rsidRDefault="0025035D" w:rsidP="00FE2547">
      <w:pPr>
        <w:widowControl w:val="0"/>
        <w:tabs>
          <w:tab w:val="left" w:pos="567"/>
        </w:tabs>
        <w:spacing w:after="0" w:line="240" w:lineRule="auto"/>
        <w:ind w:right="22"/>
        <w:jc w:val="both"/>
      </w:pPr>
    </w:p>
    <w:p w:rsidR="0025035D" w:rsidRDefault="0025035D" w:rsidP="00FE2547">
      <w:pPr>
        <w:widowControl w:val="0"/>
        <w:numPr>
          <w:ilvl w:val="0"/>
          <w:numId w:val="7"/>
        </w:numPr>
        <w:tabs>
          <w:tab w:val="left" w:pos="567"/>
        </w:tabs>
        <w:spacing w:after="0" w:line="240" w:lineRule="auto"/>
        <w:ind w:left="0" w:right="22" w:firstLine="0"/>
        <w:jc w:val="both"/>
      </w:pPr>
      <w:r>
        <w:t xml:space="preserve">La nota de Secretaría de 25 de noviembre de 2016, mediante la cual se informó que </w:t>
      </w:r>
      <w:r w:rsidRPr="00FE2547">
        <w:t>la Corte valora</w:t>
      </w:r>
      <w:r>
        <w:t>ba</w:t>
      </w:r>
      <w:r w:rsidRPr="00FE2547">
        <w:t xml:space="preserve"> la disposición del Estado de participar en una event</w:t>
      </w:r>
      <w:r w:rsidRPr="0025035D">
        <w:t>ual audiencia pública y decidi</w:t>
      </w:r>
      <w:r>
        <w:t>ría</w:t>
      </w:r>
      <w:r w:rsidRPr="00FE2547">
        <w:t xml:space="preserve"> oportu</w:t>
      </w:r>
      <w:r w:rsidRPr="0025035D">
        <w:t>namente sobre la procedencia de</w:t>
      </w:r>
      <w:r>
        <w:t xml:space="preserve"> su</w:t>
      </w:r>
      <w:r w:rsidRPr="00FE2547">
        <w:t xml:space="preserve"> ofrecimiento probatorio y lo alegado por el Estado para efectos del fondo del presente caso. A su vez</w:t>
      </w:r>
      <w:r w:rsidRPr="0025035D">
        <w:t xml:space="preserve">, </w:t>
      </w:r>
      <w:r w:rsidRPr="00FE2547">
        <w:t xml:space="preserve">de conformidad con lo establecido </w:t>
      </w:r>
      <w:r w:rsidRPr="00FE2547">
        <w:lastRenderedPageBreak/>
        <w:t>en el artículo 46.2 del Reglamento de la Corte y siguiendo instrucciones de ésta</w:t>
      </w:r>
      <w:r w:rsidRPr="0025035D">
        <w:t>, se otorg</w:t>
      </w:r>
      <w:r>
        <w:t>ó</w:t>
      </w:r>
      <w:r w:rsidRPr="00FE2547">
        <w:t xml:space="preserve"> un plazo hasta el 2 de diciembre de 2016, para que </w:t>
      </w:r>
      <w:r w:rsidR="00827C06">
        <w:t>el</w:t>
      </w:r>
      <w:r w:rsidRPr="00FE2547">
        <w:t xml:space="preserve"> representante, la Comisión y el Estado remit</w:t>
      </w:r>
      <w:r>
        <w:t>ier</w:t>
      </w:r>
      <w:r w:rsidRPr="00FE2547">
        <w:t xml:space="preserve">an </w:t>
      </w:r>
      <w:r>
        <w:t>sus</w:t>
      </w:r>
      <w:r w:rsidRPr="00FE2547">
        <w:t xml:space="preserve"> observaciones respecto de los referidos escritos, en lo que les correspond</w:t>
      </w:r>
      <w:r>
        <w:t>ier</w:t>
      </w:r>
      <w:r w:rsidRPr="00FE2547">
        <w:t>a.</w:t>
      </w:r>
    </w:p>
    <w:p w:rsidR="0025035D" w:rsidRDefault="0025035D" w:rsidP="00FE2547">
      <w:pPr>
        <w:widowControl w:val="0"/>
        <w:tabs>
          <w:tab w:val="left" w:pos="567"/>
        </w:tabs>
        <w:spacing w:after="0" w:line="240" w:lineRule="auto"/>
        <w:ind w:right="22"/>
        <w:jc w:val="both"/>
      </w:pPr>
    </w:p>
    <w:p w:rsidR="0025035D" w:rsidRDefault="0025035D" w:rsidP="00FE2547">
      <w:pPr>
        <w:widowControl w:val="0"/>
        <w:numPr>
          <w:ilvl w:val="0"/>
          <w:numId w:val="7"/>
        </w:numPr>
        <w:tabs>
          <w:tab w:val="left" w:pos="567"/>
        </w:tabs>
        <w:spacing w:after="0" w:line="240" w:lineRule="auto"/>
        <w:ind w:left="0" w:right="22" w:firstLine="0"/>
        <w:jc w:val="both"/>
      </w:pPr>
      <w:r>
        <w:t xml:space="preserve">El escrito de la Comisión </w:t>
      </w:r>
      <w:r w:rsidR="000A421E">
        <w:t xml:space="preserve">de </w:t>
      </w:r>
      <w:r w:rsidR="000A421E" w:rsidRPr="00933C72">
        <w:t>2 de diciembre de 2016</w:t>
      </w:r>
      <w:r w:rsidR="000A421E">
        <w:t>, mediante el cual presentó sus observaciones. El representante y el Estado no presentaron observaciones.</w:t>
      </w:r>
    </w:p>
    <w:p w:rsidR="00556698" w:rsidRDefault="00556698" w:rsidP="00556698">
      <w:pPr>
        <w:widowControl w:val="0"/>
        <w:tabs>
          <w:tab w:val="left" w:pos="567"/>
        </w:tabs>
        <w:spacing w:after="0" w:line="240" w:lineRule="auto"/>
        <w:ind w:right="22"/>
        <w:jc w:val="both"/>
      </w:pPr>
    </w:p>
    <w:p w:rsidR="00AF6638" w:rsidRDefault="00AF6638">
      <w:pPr>
        <w:widowControl w:val="0"/>
        <w:tabs>
          <w:tab w:val="left" w:pos="567"/>
        </w:tabs>
        <w:spacing w:after="0" w:line="240" w:lineRule="auto"/>
        <w:jc w:val="both"/>
      </w:pPr>
    </w:p>
    <w:p w:rsidR="00AF6638" w:rsidRDefault="002B36E5">
      <w:pPr>
        <w:tabs>
          <w:tab w:val="left" w:pos="567"/>
        </w:tabs>
        <w:spacing w:after="0" w:line="240" w:lineRule="auto"/>
      </w:pPr>
      <w:r>
        <w:rPr>
          <w:b/>
        </w:rPr>
        <w:t>CONSIDERANDO QUE:</w:t>
      </w:r>
    </w:p>
    <w:p w:rsidR="00AF6638" w:rsidRDefault="00AF6638">
      <w:pPr>
        <w:tabs>
          <w:tab w:val="left" w:pos="567"/>
          <w:tab w:val="left" w:pos="720"/>
          <w:tab w:val="left" w:pos="810"/>
        </w:tabs>
        <w:spacing w:after="0" w:line="240" w:lineRule="auto"/>
        <w:jc w:val="both"/>
      </w:pPr>
    </w:p>
    <w:p w:rsidR="00AF6638" w:rsidRDefault="002B36E5">
      <w:pPr>
        <w:widowControl w:val="0"/>
        <w:numPr>
          <w:ilvl w:val="0"/>
          <w:numId w:val="8"/>
        </w:numPr>
        <w:tabs>
          <w:tab w:val="left" w:pos="567"/>
          <w:tab w:val="left" w:pos="810"/>
        </w:tabs>
        <w:spacing w:after="0" w:line="240" w:lineRule="auto"/>
        <w:ind w:left="0" w:right="22" w:firstLine="0"/>
        <w:jc w:val="both"/>
      </w:pPr>
      <w:r>
        <w:t>El ofrecimiento y la admisión de la prueba, así como la citación de presuntas víctimas, testigos y peritos se encuentran regulados en los artículos 35.1.f, 40.2.c, 41.1.c, 46, 47, 48, 50, 52.3 y 57 del Reglamento de la Corte Interamericana de Derechos Humanos (en adelante, “la Corte Interamericana”, “la Corte” o “el Tribunal”).</w:t>
      </w:r>
    </w:p>
    <w:p w:rsidR="00AF6638" w:rsidRDefault="00AF6638">
      <w:pPr>
        <w:widowControl w:val="0"/>
        <w:tabs>
          <w:tab w:val="left" w:pos="567"/>
          <w:tab w:val="left" w:pos="810"/>
        </w:tabs>
        <w:spacing w:after="0" w:line="240" w:lineRule="auto"/>
        <w:jc w:val="both"/>
      </w:pPr>
    </w:p>
    <w:p w:rsidR="00AF6638" w:rsidRDefault="002B36E5">
      <w:pPr>
        <w:widowControl w:val="0"/>
        <w:numPr>
          <w:ilvl w:val="0"/>
          <w:numId w:val="8"/>
        </w:numPr>
        <w:tabs>
          <w:tab w:val="left" w:pos="567"/>
          <w:tab w:val="left" w:pos="810"/>
        </w:tabs>
        <w:spacing w:after="0" w:line="240" w:lineRule="auto"/>
        <w:ind w:left="0" w:right="22" w:firstLine="0"/>
        <w:jc w:val="both"/>
      </w:pPr>
      <w:r>
        <w:t>La Comisión ofreció como prueba tres dictámenes periciales. El representante ofreció las declaraciones de tres presuntas víctimas</w:t>
      </w:r>
      <w:r w:rsidR="000A421E">
        <w:t xml:space="preserve"> y</w:t>
      </w:r>
      <w:r>
        <w:t xml:space="preserve"> veintiún testigos</w:t>
      </w:r>
      <w:r w:rsidR="000A421E">
        <w:t>, así como</w:t>
      </w:r>
      <w:r>
        <w:t xml:space="preserve"> once peritajes. </w:t>
      </w:r>
      <w:r w:rsidRPr="00FE2547">
        <w:t xml:space="preserve">El Estado </w:t>
      </w:r>
      <w:r w:rsidR="000A421E">
        <w:t xml:space="preserve">no presentó contestación y, posteriormente, </w:t>
      </w:r>
      <w:r w:rsidRPr="00FE2547">
        <w:t xml:space="preserve">ofreció </w:t>
      </w:r>
      <w:r w:rsidR="000D23C2">
        <w:t>dos</w:t>
      </w:r>
      <w:r w:rsidR="000D23C2" w:rsidRPr="00FE2547">
        <w:t xml:space="preserve"> </w:t>
      </w:r>
      <w:r w:rsidRPr="00FE2547">
        <w:t>dict</w:t>
      </w:r>
      <w:r w:rsidR="000D23C2">
        <w:t>á</w:t>
      </w:r>
      <w:r w:rsidRPr="00FE2547">
        <w:t>men</w:t>
      </w:r>
      <w:r w:rsidR="000D23C2">
        <w:t>es</w:t>
      </w:r>
      <w:r w:rsidRPr="00FE2547">
        <w:t xml:space="preserve"> pericial</w:t>
      </w:r>
      <w:r w:rsidR="000D23C2">
        <w:t>es</w:t>
      </w:r>
      <w:r>
        <w:t>. La Corte garantizó a las partes el derecho de defensa respecto de los ofrecimientos probatorios realizados.</w:t>
      </w:r>
    </w:p>
    <w:p w:rsidR="00AF6638" w:rsidRDefault="00AF6638">
      <w:pPr>
        <w:widowControl w:val="0"/>
        <w:tabs>
          <w:tab w:val="left" w:pos="567"/>
          <w:tab w:val="left" w:pos="810"/>
        </w:tabs>
        <w:spacing w:after="0" w:line="240" w:lineRule="auto"/>
        <w:jc w:val="both"/>
      </w:pPr>
    </w:p>
    <w:p w:rsidR="00AF6638" w:rsidRDefault="002B36E5">
      <w:pPr>
        <w:widowControl w:val="0"/>
        <w:numPr>
          <w:ilvl w:val="0"/>
          <w:numId w:val="8"/>
        </w:numPr>
        <w:tabs>
          <w:tab w:val="left" w:pos="567"/>
          <w:tab w:val="left" w:pos="810"/>
        </w:tabs>
        <w:spacing w:after="0" w:line="240" w:lineRule="auto"/>
        <w:ind w:left="0" w:right="22" w:firstLine="0"/>
        <w:jc w:val="both"/>
      </w:pPr>
      <w:r>
        <w:t>En cuanto a las declaraciones de presuntas víctimas, testigos y peritos ofrecidas oportunamente</w:t>
      </w:r>
      <w:r w:rsidR="000A421E">
        <w:t xml:space="preserve"> por la Comisión y el representante</w:t>
      </w:r>
      <w:r>
        <w:t xml:space="preserve"> que no han sido objetadas, esta Presidencia considera conveniente recabarlas, por lo cual admite la declaración de las presuntas víctimas Rocío San Miguel</w:t>
      </w:r>
      <w:r w:rsidR="000A421E">
        <w:t xml:space="preserve"> Sosa</w:t>
      </w:r>
      <w:r>
        <w:t>, Thais</w:t>
      </w:r>
      <w:r w:rsidR="000A421E">
        <w:t xml:space="preserve"> Coromoto</w:t>
      </w:r>
      <w:r>
        <w:t xml:space="preserve"> Peña y Magaly Chang</w:t>
      </w:r>
      <w:r w:rsidR="000A421E">
        <w:t xml:space="preserve"> Girón;</w:t>
      </w:r>
      <w:r>
        <w:t xml:space="preserve"> de los testigos Alejandro Plaz Castillo, Ricardo Ludwi</w:t>
      </w:r>
      <w:r w:rsidR="000A421E">
        <w:t>n</w:t>
      </w:r>
      <w:r>
        <w:t>g Estévez Mazza, Roberto Abdul-Hadi Casanova, Ibéyise María Pacheco Martini, María Gabriela Cuevas García, Marino Alvarado Betancourt, José Ángel Guerra, Froilán Alejandro Barrios Nieves, Horacio Medina, Eddie Alberto Ramírez Serfaty, María Vicenta Verdeal Durán, Luis Eduardo Delgado Amengual, Ezequiel Enrique Zamora Presilla, Sobella Rosario Mejias Lizzett, Roberto Antonio Picón Herrera, Vicente Carmelo Bello Ríos, Vicente José Gregorio Díaz Silva, María Alejandra de Ugas, Morelba Karina Molina Noguera y Antonio José Rivero González</w:t>
      </w:r>
      <w:r w:rsidR="00641567">
        <w:t>;</w:t>
      </w:r>
      <w:r>
        <w:t xml:space="preserve"> y de los peritos Luis Salamanca, Ligia Bolívar, Alberto Arteaga Sánchez, Román Duque Corredor, Óscar Lucien, Ana Julia Jatar, Colette Capriles Sandner, Pedro Enrique Rodríguez Rojas, Manuel Gerardo Réquiz Cordero, Sergio Garroni Calatrava y Elsa Cristina González Pérez</w:t>
      </w:r>
      <w:r w:rsidR="00641567">
        <w:t>.</w:t>
      </w:r>
      <w:r>
        <w:t xml:space="preserve"> </w:t>
      </w:r>
      <w:r w:rsidR="00641567">
        <w:t>E</w:t>
      </w:r>
      <w:r>
        <w:t xml:space="preserve">l objeto y modalidad </w:t>
      </w:r>
      <w:r w:rsidR="00641567">
        <w:t xml:space="preserve">de sus declaraciones son </w:t>
      </w:r>
      <w:r>
        <w:t>determinados en la parte resolutiva de esta decisión</w:t>
      </w:r>
      <w:r w:rsidR="009F2BCC">
        <w:t>, con base en el objeto propuesto oportunamente</w:t>
      </w:r>
      <w:r>
        <w:t xml:space="preserve">. </w:t>
      </w:r>
    </w:p>
    <w:p w:rsidR="00AF6638" w:rsidRDefault="00AF6638">
      <w:pPr>
        <w:widowControl w:val="0"/>
        <w:tabs>
          <w:tab w:val="left" w:pos="567"/>
          <w:tab w:val="left" w:pos="810"/>
        </w:tabs>
        <w:spacing w:after="0" w:line="240" w:lineRule="auto"/>
        <w:jc w:val="both"/>
      </w:pPr>
    </w:p>
    <w:p w:rsidR="00AF6638" w:rsidRDefault="002B36E5">
      <w:pPr>
        <w:widowControl w:val="0"/>
        <w:numPr>
          <w:ilvl w:val="0"/>
          <w:numId w:val="8"/>
        </w:numPr>
        <w:tabs>
          <w:tab w:val="left" w:pos="567"/>
          <w:tab w:val="left" w:pos="810"/>
        </w:tabs>
        <w:spacing w:after="0" w:line="240" w:lineRule="auto"/>
        <w:ind w:left="0" w:right="22" w:firstLine="0"/>
        <w:jc w:val="both"/>
      </w:pPr>
      <w:r>
        <w:t>A continuación, el Presidente examinará en forma particular: a) la prueba pe</w:t>
      </w:r>
      <w:r w:rsidR="009C4C76">
        <w:t xml:space="preserve">ricial ofrecida por la Comisión; b) la admisibilidad de una declaración ofrecida por el representante en la lista definitiva; </w:t>
      </w:r>
      <w:r w:rsidR="00827C06">
        <w:t>c) la solicitud de la Comisión de formular preguntas</w:t>
      </w:r>
      <w:r w:rsidR="0045662D">
        <w:t xml:space="preserve"> a cuatro peritos ofrecidos por los representantes</w:t>
      </w:r>
      <w:r w:rsidR="00827C06">
        <w:t xml:space="preserve">; d) el ofrecimiento probatorio </w:t>
      </w:r>
      <w:r w:rsidR="0045662D">
        <w:t xml:space="preserve">realizado por </w:t>
      </w:r>
      <w:r w:rsidR="00827C06">
        <w:t>el Estado; y e) la solicitud del representante de incorporar prueba rendida en otros casos ante la Corte</w:t>
      </w:r>
      <w:r>
        <w:t xml:space="preserve">. </w:t>
      </w:r>
    </w:p>
    <w:p w:rsidR="00876643" w:rsidRDefault="00876643">
      <w:pPr>
        <w:widowControl w:val="0"/>
        <w:tabs>
          <w:tab w:val="left" w:pos="567"/>
        </w:tabs>
        <w:spacing w:after="0" w:line="240" w:lineRule="auto"/>
        <w:jc w:val="both"/>
      </w:pPr>
    </w:p>
    <w:p w:rsidR="00F7616B" w:rsidRDefault="00F7616B">
      <w:pPr>
        <w:widowControl w:val="0"/>
        <w:tabs>
          <w:tab w:val="left" w:pos="567"/>
        </w:tabs>
        <w:spacing w:after="0" w:line="240" w:lineRule="auto"/>
        <w:jc w:val="both"/>
      </w:pPr>
    </w:p>
    <w:p w:rsidR="00F7616B" w:rsidRDefault="00F7616B">
      <w:pPr>
        <w:widowControl w:val="0"/>
        <w:tabs>
          <w:tab w:val="left" w:pos="567"/>
        </w:tabs>
        <w:spacing w:after="0" w:line="240" w:lineRule="auto"/>
        <w:jc w:val="both"/>
      </w:pPr>
    </w:p>
    <w:p w:rsidR="00AF6638" w:rsidRDefault="002B36E5">
      <w:pPr>
        <w:widowControl w:val="0"/>
        <w:numPr>
          <w:ilvl w:val="0"/>
          <w:numId w:val="6"/>
        </w:numPr>
        <w:tabs>
          <w:tab w:val="left" w:pos="1134"/>
        </w:tabs>
        <w:spacing w:after="0" w:line="240" w:lineRule="auto"/>
        <w:ind w:left="567" w:right="22" w:firstLine="0"/>
        <w:jc w:val="both"/>
        <w:rPr>
          <w:b/>
          <w:i/>
        </w:rPr>
      </w:pPr>
      <w:r>
        <w:rPr>
          <w:b/>
          <w:i/>
        </w:rPr>
        <w:t>Prueba pericial ofrecida por la Comisión Interamericana</w:t>
      </w:r>
    </w:p>
    <w:p w:rsidR="00AF6638" w:rsidRDefault="00AF6638">
      <w:pPr>
        <w:widowControl w:val="0"/>
        <w:tabs>
          <w:tab w:val="left" w:pos="1134"/>
        </w:tabs>
        <w:spacing w:after="0" w:line="240" w:lineRule="auto"/>
        <w:ind w:right="22"/>
        <w:jc w:val="both"/>
      </w:pPr>
    </w:p>
    <w:p w:rsidR="00AF6638" w:rsidRDefault="002B36E5" w:rsidP="00641567">
      <w:pPr>
        <w:widowControl w:val="0"/>
        <w:numPr>
          <w:ilvl w:val="0"/>
          <w:numId w:val="8"/>
        </w:numPr>
        <w:spacing w:after="0" w:line="240" w:lineRule="auto"/>
        <w:ind w:left="0" w:right="22" w:firstLine="0"/>
        <w:contextualSpacing/>
        <w:jc w:val="both"/>
      </w:pPr>
      <w:r>
        <w:t>La Comisión ofreció como prueba pericial los dictámenes de</w:t>
      </w:r>
      <w:r w:rsidR="009C4C76" w:rsidRPr="009C4C76">
        <w:t xml:space="preserve"> </w:t>
      </w:r>
      <w:r w:rsidR="009C4C76">
        <w:t>Roberto Saba,</w:t>
      </w:r>
      <w:r>
        <w:t xml:space="preserve"> José Luis Caballero Ochoa</w:t>
      </w:r>
      <w:r w:rsidR="009C4C76">
        <w:t xml:space="preserve"> y</w:t>
      </w:r>
      <w:r>
        <w:t xml:space="preserve"> Dirk Voorhoof. Consideró que los peritajes ofrecidos podrán aportar elementos de análisis sobre aspectos de orden público interamericano, en los términos del </w:t>
      </w:r>
      <w:r>
        <w:lastRenderedPageBreak/>
        <w:t xml:space="preserve">artículo 31.5 f) del Reglamento, refiriéndose a que el presente caso permitiría a la Corte pronunciarse sobre el ejercicio de los derechos políticos y las salvaguardas que deben existir para que las personas puedan expresar su opinión política en el marco de procesos como referendos revocatorios, sin temor a represalias tales como formas de discriminación con base en dichas opiniones y restricciones indirectas a la libertad de expresión. Asimismo, indicó que </w:t>
      </w:r>
      <w:r w:rsidR="009C4C76">
        <w:t xml:space="preserve">el caso </w:t>
      </w:r>
      <w:r>
        <w:t xml:space="preserve">ofrece una oportunidad para profundizar sobre casos de </w:t>
      </w:r>
      <w:r w:rsidR="009C4C76">
        <w:t>“</w:t>
      </w:r>
      <w:r>
        <w:t>desviación de poder</w:t>
      </w:r>
      <w:r w:rsidR="009C4C76">
        <w:t>”;</w:t>
      </w:r>
      <w:r>
        <w:t xml:space="preserve"> para establecer criterios de análisis</w:t>
      </w:r>
      <w:r w:rsidR="009C4C76">
        <w:t xml:space="preserve"> para </w:t>
      </w:r>
      <w:r>
        <w:t xml:space="preserve">determinar la existencia de </w:t>
      </w:r>
      <w:r w:rsidR="009C4C76">
        <w:t>“</w:t>
      </w:r>
      <w:r>
        <w:t>motivaciones inconvencionales encubiertas en el ejercicio del poder público</w:t>
      </w:r>
      <w:r w:rsidR="009C4C76">
        <w:t>”; d</w:t>
      </w:r>
      <w:r w:rsidR="00D56B42">
        <w:t xml:space="preserve">esarrollar lo relativo </w:t>
      </w:r>
      <w:r>
        <w:t xml:space="preserve">a difusión de ideas de índole política por parte de servidores públicos a la luz </w:t>
      </w:r>
      <w:r w:rsidR="00D56B42">
        <w:t>de</w:t>
      </w:r>
      <w:r>
        <w:t xml:space="preserve"> la libertad de expresión</w:t>
      </w:r>
      <w:r w:rsidR="00D56B42">
        <w:t xml:space="preserve">; así como </w:t>
      </w:r>
      <w:r>
        <w:t>pronunciarse sobre las características que debería tener un recurso para poder responder de manera adecuada y efectiva a alegatos de discriminación encubierta</w:t>
      </w:r>
      <w:r w:rsidR="00D56B42">
        <w:t xml:space="preserve"> y/o</w:t>
      </w:r>
      <w:r>
        <w:t xml:space="preserve"> desviación de poder en el ejercicio del poder público. </w:t>
      </w:r>
    </w:p>
    <w:p w:rsidR="00AF6638" w:rsidRDefault="00AF6638" w:rsidP="00641567">
      <w:pPr>
        <w:widowControl w:val="0"/>
        <w:spacing w:after="0" w:line="240" w:lineRule="auto"/>
        <w:jc w:val="both"/>
      </w:pPr>
    </w:p>
    <w:p w:rsidR="00AF6638" w:rsidRDefault="00D56B42" w:rsidP="00641567">
      <w:pPr>
        <w:widowControl w:val="0"/>
        <w:numPr>
          <w:ilvl w:val="0"/>
          <w:numId w:val="8"/>
        </w:numPr>
        <w:tabs>
          <w:tab w:val="left" w:pos="720"/>
        </w:tabs>
        <w:spacing w:after="0" w:line="240" w:lineRule="auto"/>
        <w:ind w:left="0" w:right="22" w:firstLine="0"/>
        <w:contextualSpacing/>
        <w:jc w:val="both"/>
      </w:pPr>
      <w:r>
        <w:t xml:space="preserve">El Presidente considera que la Comisión ha justificado adecuadamente que los </w:t>
      </w:r>
      <w:r w:rsidR="002B36E5">
        <w:t xml:space="preserve">objetos de los peritajes ofrecidos por </w:t>
      </w:r>
      <w:r>
        <w:t>ésta</w:t>
      </w:r>
      <w:r w:rsidR="004E5DF3">
        <w:t xml:space="preserve"> (</w:t>
      </w:r>
      <w:r w:rsidR="004E5DF3">
        <w:rPr>
          <w:i/>
        </w:rPr>
        <w:t xml:space="preserve">infra </w:t>
      </w:r>
      <w:r w:rsidR="004E5DF3">
        <w:t>puntos resolutivos 1 y 4)</w:t>
      </w:r>
      <w:r>
        <w:t xml:space="preserve"> </w:t>
      </w:r>
      <w:r w:rsidR="002B36E5">
        <w:t>resultan relevantes para el orden público interamericano</w:t>
      </w:r>
      <w:r>
        <w:t xml:space="preserve">, </w:t>
      </w:r>
      <w:r w:rsidR="002B36E5">
        <w:t xml:space="preserve">trascienden la controversia del presente caso y se refieren a conceptos relevantes para otros Estados Parte en la Convención. En consecuencia, el Presidente estima pertinente admitir dichos dictámenes periciales, según el objeto y modalidad determinados en la parte resolutiva de la presente decisión. </w:t>
      </w:r>
    </w:p>
    <w:p w:rsidR="00AF6638" w:rsidRDefault="00AF6638">
      <w:pPr>
        <w:widowControl w:val="0"/>
        <w:tabs>
          <w:tab w:val="left" w:pos="1134"/>
        </w:tabs>
        <w:spacing w:after="0" w:line="240" w:lineRule="auto"/>
        <w:ind w:right="22"/>
        <w:jc w:val="both"/>
      </w:pPr>
    </w:p>
    <w:p w:rsidR="004E5DF3" w:rsidRDefault="004E5DF3">
      <w:pPr>
        <w:widowControl w:val="0"/>
        <w:tabs>
          <w:tab w:val="left" w:pos="1134"/>
        </w:tabs>
        <w:spacing w:after="0" w:line="240" w:lineRule="auto"/>
        <w:ind w:right="22"/>
        <w:jc w:val="both"/>
      </w:pPr>
    </w:p>
    <w:p w:rsidR="00AF6638" w:rsidRDefault="0045662D">
      <w:pPr>
        <w:widowControl w:val="0"/>
        <w:numPr>
          <w:ilvl w:val="0"/>
          <w:numId w:val="6"/>
        </w:numPr>
        <w:tabs>
          <w:tab w:val="left" w:pos="1134"/>
        </w:tabs>
        <w:spacing w:after="0" w:line="240" w:lineRule="auto"/>
        <w:ind w:left="567" w:right="22" w:firstLine="0"/>
        <w:jc w:val="both"/>
        <w:rPr>
          <w:b/>
          <w:i/>
        </w:rPr>
      </w:pPr>
      <w:r>
        <w:rPr>
          <w:b/>
          <w:i/>
        </w:rPr>
        <w:t>Admisibilidad de un testimonio ofrecido</w:t>
      </w:r>
      <w:r w:rsidR="002B36E5">
        <w:rPr>
          <w:b/>
          <w:i/>
        </w:rPr>
        <w:t xml:space="preserve"> por el representante </w:t>
      </w:r>
      <w:r>
        <w:rPr>
          <w:b/>
          <w:i/>
        </w:rPr>
        <w:t>en su lista definitiva</w:t>
      </w:r>
    </w:p>
    <w:p w:rsidR="00AF6638" w:rsidRDefault="00AF6638">
      <w:pPr>
        <w:widowControl w:val="0"/>
        <w:tabs>
          <w:tab w:val="left" w:pos="567"/>
          <w:tab w:val="left" w:pos="810"/>
        </w:tabs>
        <w:spacing w:after="0" w:line="240" w:lineRule="auto"/>
        <w:jc w:val="both"/>
      </w:pPr>
    </w:p>
    <w:p w:rsidR="002C128F" w:rsidRDefault="00D51D78">
      <w:pPr>
        <w:widowControl w:val="0"/>
        <w:numPr>
          <w:ilvl w:val="0"/>
          <w:numId w:val="8"/>
        </w:numPr>
        <w:tabs>
          <w:tab w:val="left" w:pos="567"/>
          <w:tab w:val="left" w:pos="810"/>
        </w:tabs>
        <w:spacing w:after="0" w:line="240" w:lineRule="auto"/>
        <w:ind w:left="0" w:right="22" w:firstLine="0"/>
        <w:jc w:val="both"/>
      </w:pPr>
      <w:r>
        <w:t>Además de los declarantes oportunamente ofrecidos (</w:t>
      </w:r>
      <w:r>
        <w:rPr>
          <w:i/>
        </w:rPr>
        <w:t xml:space="preserve">supra </w:t>
      </w:r>
      <w:r>
        <w:t>párr. 3), e</w:t>
      </w:r>
      <w:r w:rsidR="002B36E5">
        <w:t xml:space="preserve">n su lista definitiva el representante propuso la declaración testimonial del señor Ismael Concepción García. El Presidente constata que </w:t>
      </w:r>
      <w:r w:rsidR="002C128F">
        <w:t>esta</w:t>
      </w:r>
      <w:r w:rsidR="002B36E5">
        <w:t xml:space="preserve"> declaración no fue propuesta en el escrito de solicitudes y argumentos, momento procesal oportuno para solicitar esta prueba. Al respecto, el representante justificó el referido ofrecimiento extemporáneo al afirmar que, </w:t>
      </w:r>
      <w:r w:rsidR="002C128F">
        <w:t>a</w:t>
      </w:r>
      <w:r w:rsidR="002B36E5">
        <w:t xml:space="preserve">l momento de redacción del escrito de solicitudes y argumentos, desconocía el papel que el testigo propuesto había desempeñado con relación a la </w:t>
      </w:r>
      <w:r w:rsidR="002C128F">
        <w:t>“</w:t>
      </w:r>
      <w:r w:rsidR="002B36E5">
        <w:t>Lista Tascón</w:t>
      </w:r>
      <w:r w:rsidR="002C128F">
        <w:t xml:space="preserve">” y </w:t>
      </w:r>
      <w:r w:rsidR="002B36E5">
        <w:t>que no habían tenido contacto con él ni tenían conocimiento de que éste se encontraba dispuesto a rendir declaración testimonial hasta dos semanas antes de remitir la lista definitiva de declarantes</w:t>
      </w:r>
      <w:r w:rsidR="002C128F">
        <w:t>.</w:t>
      </w:r>
      <w:r w:rsidR="002B36E5">
        <w:t xml:space="preserve"> </w:t>
      </w:r>
    </w:p>
    <w:p w:rsidR="002C128F" w:rsidRDefault="002C128F" w:rsidP="002C128F">
      <w:pPr>
        <w:widowControl w:val="0"/>
        <w:tabs>
          <w:tab w:val="left" w:pos="567"/>
          <w:tab w:val="left" w:pos="810"/>
        </w:tabs>
        <w:spacing w:after="0" w:line="240" w:lineRule="auto"/>
        <w:ind w:right="22"/>
        <w:jc w:val="both"/>
      </w:pPr>
    </w:p>
    <w:p w:rsidR="00AF6638" w:rsidRDefault="002B36E5" w:rsidP="002C128F">
      <w:pPr>
        <w:widowControl w:val="0"/>
        <w:numPr>
          <w:ilvl w:val="0"/>
          <w:numId w:val="8"/>
        </w:numPr>
        <w:tabs>
          <w:tab w:val="left" w:pos="567"/>
          <w:tab w:val="left" w:pos="810"/>
        </w:tabs>
        <w:spacing w:after="0" w:line="240" w:lineRule="auto"/>
        <w:ind w:left="0" w:right="22" w:firstLine="0"/>
        <w:jc w:val="both"/>
      </w:pPr>
      <w:r>
        <w:t xml:space="preserve">En este sentido, la solicitud de presentación de listas definitivas de declarantes no representa una nueva oportunidad procesal para ofrecer prueba, salvo las excepciones establecidas en el artículo 57.2 del Reglamento, esto es: fuerza mayor, impedimento grave o hechos supervinientes. </w:t>
      </w:r>
      <w:r w:rsidR="00F060FF">
        <w:t>L</w:t>
      </w:r>
      <w:r>
        <w:t>a justificación presentada por el representante no cumple con los requisitos contenidos en el referido artículo</w:t>
      </w:r>
      <w:r w:rsidR="00F060FF">
        <w:t>,</w:t>
      </w:r>
      <w:r>
        <w:t xml:space="preserve"> </w:t>
      </w:r>
      <w:r w:rsidR="00F060FF">
        <w:t>p</w:t>
      </w:r>
      <w:r w:rsidR="009B6275">
        <w:t>or tanto, el Presidente considera inadmisible la declaración testimonial ofrecida extemporáneamente.</w:t>
      </w:r>
    </w:p>
    <w:p w:rsidR="00AF6638" w:rsidRDefault="00AF6638">
      <w:pPr>
        <w:widowControl w:val="0"/>
        <w:tabs>
          <w:tab w:val="left" w:pos="567"/>
          <w:tab w:val="left" w:pos="810"/>
        </w:tabs>
        <w:spacing w:after="0" w:line="240" w:lineRule="auto"/>
        <w:ind w:right="22"/>
        <w:jc w:val="both"/>
      </w:pPr>
    </w:p>
    <w:p w:rsidR="00AF6638" w:rsidRDefault="002B36E5">
      <w:pPr>
        <w:widowControl w:val="0"/>
        <w:numPr>
          <w:ilvl w:val="0"/>
          <w:numId w:val="8"/>
        </w:numPr>
        <w:tabs>
          <w:tab w:val="left" w:pos="567"/>
          <w:tab w:val="left" w:pos="810"/>
        </w:tabs>
        <w:spacing w:after="0" w:line="240" w:lineRule="auto"/>
        <w:ind w:left="0" w:right="22" w:firstLine="0"/>
        <w:jc w:val="both"/>
      </w:pPr>
      <w:r>
        <w:t>Sin perjuicio de ello</w:t>
      </w:r>
      <w:r w:rsidR="009B6275">
        <w:t>,</w:t>
      </w:r>
      <w:r>
        <w:t xml:space="preserve"> y atendiendo a que no hubo objeciones respecto a dicho ofrecimiento, esta Presidencia considera que </w:t>
      </w:r>
      <w:r w:rsidR="009B6275">
        <w:t xml:space="preserve">tal declaración testimonial podría </w:t>
      </w:r>
      <w:r>
        <w:t>resulta</w:t>
      </w:r>
      <w:r w:rsidR="009B6275">
        <w:t>r</w:t>
      </w:r>
      <w:r>
        <w:t xml:space="preserve"> útil </w:t>
      </w:r>
      <w:r w:rsidR="009B6275">
        <w:t>para</w:t>
      </w:r>
      <w:r>
        <w:t xml:space="preserve"> ilustrar al Tribunal sobre uno de los temas centrales </w:t>
      </w:r>
      <w:r w:rsidR="00D51D78">
        <w:t>planteado en</w:t>
      </w:r>
      <w:r w:rsidR="009B6275">
        <w:t xml:space="preserve"> los alegatos de los representantes</w:t>
      </w:r>
      <w:r>
        <w:t xml:space="preserve">, que se refiere a información sobre la elaboración y aplicación de la </w:t>
      </w:r>
      <w:r w:rsidR="009B6275">
        <w:t>“</w:t>
      </w:r>
      <w:r>
        <w:t>Lista Tascón</w:t>
      </w:r>
      <w:r w:rsidR="009B6275">
        <w:t>”</w:t>
      </w:r>
      <w:r>
        <w:t xml:space="preserve">, </w:t>
      </w:r>
      <w:r w:rsidR="009B6275">
        <w:t xml:space="preserve">en lo cual el </w:t>
      </w:r>
      <w:r>
        <w:t xml:space="preserve">testigo </w:t>
      </w:r>
      <w:r w:rsidR="009B6275">
        <w:t xml:space="preserve">propuesto </w:t>
      </w:r>
      <w:r>
        <w:t>ha</w:t>
      </w:r>
      <w:r w:rsidR="009B6275">
        <w:t>bría</w:t>
      </w:r>
      <w:r>
        <w:t xml:space="preserve"> tenido intervención directa. En </w:t>
      </w:r>
      <w:r w:rsidR="009B6275">
        <w:t xml:space="preserve">razón </w:t>
      </w:r>
      <w:r>
        <w:t xml:space="preserve">de </w:t>
      </w:r>
      <w:r w:rsidR="009B6275">
        <w:t xml:space="preserve">lo anterior, </w:t>
      </w:r>
      <w:r>
        <w:t>y con base en las facultades que otorga el artículo 58.a</w:t>
      </w:r>
      <w:r w:rsidR="009B6275">
        <w:t>)</w:t>
      </w:r>
      <w:r>
        <w:t xml:space="preserve"> del Reglamento del Tribunal, la Presidencia estima pertinente y útil procurar de oficio el testimonio del señor Ismael Concepción García</w:t>
      </w:r>
      <w:r w:rsidR="009B6275">
        <w:t xml:space="preserve">, según el </w:t>
      </w:r>
      <w:r>
        <w:t>objeto y modalidad determinados en la parte resolutiva de la presente decisión.</w:t>
      </w:r>
    </w:p>
    <w:p w:rsidR="002C128F" w:rsidRDefault="002C128F">
      <w:pPr>
        <w:widowControl w:val="0"/>
        <w:tabs>
          <w:tab w:val="left" w:pos="567"/>
          <w:tab w:val="left" w:pos="810"/>
        </w:tabs>
        <w:spacing w:after="0" w:line="240" w:lineRule="auto"/>
        <w:ind w:right="22"/>
        <w:jc w:val="both"/>
      </w:pPr>
    </w:p>
    <w:p w:rsidR="00876643" w:rsidRDefault="00876643">
      <w:pPr>
        <w:widowControl w:val="0"/>
        <w:tabs>
          <w:tab w:val="left" w:pos="567"/>
          <w:tab w:val="left" w:pos="810"/>
        </w:tabs>
        <w:spacing w:after="0" w:line="240" w:lineRule="auto"/>
        <w:ind w:right="22"/>
        <w:jc w:val="both"/>
      </w:pPr>
    </w:p>
    <w:p w:rsidR="00AF6638" w:rsidRDefault="002B36E5" w:rsidP="002C128F">
      <w:pPr>
        <w:widowControl w:val="0"/>
        <w:numPr>
          <w:ilvl w:val="0"/>
          <w:numId w:val="6"/>
        </w:numPr>
        <w:tabs>
          <w:tab w:val="left" w:pos="1134"/>
        </w:tabs>
        <w:spacing w:after="0" w:line="240" w:lineRule="auto"/>
        <w:ind w:left="567" w:right="22" w:firstLine="0"/>
        <w:jc w:val="both"/>
      </w:pPr>
      <w:r w:rsidRPr="002C128F">
        <w:rPr>
          <w:b/>
          <w:i/>
        </w:rPr>
        <w:t>La solicitud de la Comisión de formular preguntas a cuatro de los peritos ofrecidos por el representant</w:t>
      </w:r>
      <w:r>
        <w:rPr>
          <w:i/>
        </w:rPr>
        <w:t>e</w:t>
      </w:r>
    </w:p>
    <w:p w:rsidR="00AF6638" w:rsidRDefault="00AF6638">
      <w:pPr>
        <w:widowControl w:val="0"/>
        <w:tabs>
          <w:tab w:val="left" w:pos="567"/>
          <w:tab w:val="left" w:pos="810"/>
        </w:tabs>
        <w:spacing w:after="0" w:line="240" w:lineRule="auto"/>
        <w:ind w:right="22"/>
        <w:jc w:val="both"/>
      </w:pPr>
    </w:p>
    <w:p w:rsidR="00AF6638" w:rsidRDefault="002B36E5">
      <w:pPr>
        <w:widowControl w:val="0"/>
        <w:numPr>
          <w:ilvl w:val="0"/>
          <w:numId w:val="8"/>
        </w:numPr>
        <w:tabs>
          <w:tab w:val="left" w:pos="567"/>
          <w:tab w:val="left" w:pos="810"/>
        </w:tabs>
        <w:spacing w:after="0" w:line="240" w:lineRule="auto"/>
        <w:ind w:left="0" w:right="22" w:firstLine="0"/>
        <w:jc w:val="both"/>
      </w:pPr>
      <w:r>
        <w:t>En sus observaciones a las listas definitivas de declarantes, la Comisión solicitó “la oportunidad verbal o escrita de formular preguntas, en la medida de lo relevante y razonable”,</w:t>
      </w:r>
      <w:r w:rsidR="004320C6">
        <w:t xml:space="preserve"> sobre los elementos contextuales de las declaraciones de</w:t>
      </w:r>
      <w:r>
        <w:t xml:space="preserve"> los peritos Oscar Lucien, Román Duque Corredor</w:t>
      </w:r>
      <w:r w:rsidR="004320C6">
        <w:t>,</w:t>
      </w:r>
      <w:r>
        <w:t xml:space="preserve"> Luis Salamanca</w:t>
      </w:r>
      <w:r w:rsidR="004320C6">
        <w:t xml:space="preserve"> y </w:t>
      </w:r>
      <w:r>
        <w:t xml:space="preserve">Ana Julia Jatar, </w:t>
      </w:r>
      <w:r w:rsidR="004320C6">
        <w:t xml:space="preserve">las cuales consideró que </w:t>
      </w:r>
      <w:r>
        <w:t xml:space="preserve">se relacionan con el orden público interamericano </w:t>
      </w:r>
      <w:r w:rsidR="004320C6">
        <w:t xml:space="preserve">y </w:t>
      </w:r>
      <w:r>
        <w:t xml:space="preserve">con la materia sobre la cual versan los peritajes de </w:t>
      </w:r>
      <w:r w:rsidR="00FE2547">
        <w:t xml:space="preserve">los señores </w:t>
      </w:r>
      <w:r>
        <w:t xml:space="preserve">Roberto Saba y de Jorge Luis Caballero Ochoa. Al respecto, el Presidente considera que el objeto de los dictámenes </w:t>
      </w:r>
      <w:r w:rsidR="004320C6">
        <w:t xml:space="preserve">puede tener </w:t>
      </w:r>
      <w:r>
        <w:t xml:space="preserve">relación y </w:t>
      </w:r>
      <w:r w:rsidR="004320C6">
        <w:t xml:space="preserve">concernir </w:t>
      </w:r>
      <w:r>
        <w:t>a temas relevantes al orden público interamericano, por lo que resulta procedente, conforme a los artículos 50.5 y 52.3 del Reglamento, conceder oportunidad a la Comisión para formular preguntas a los peritos Oscar Lucien, Román Duque Corredor</w:t>
      </w:r>
      <w:r w:rsidR="004320C6">
        <w:t>,</w:t>
      </w:r>
      <w:r>
        <w:t xml:space="preserve"> Luis Salamanca</w:t>
      </w:r>
      <w:r w:rsidR="004320C6">
        <w:t xml:space="preserve"> y </w:t>
      </w:r>
      <w:r>
        <w:t>Ana Julia Jatar</w:t>
      </w:r>
      <w:r w:rsidR="004320C6">
        <w:t xml:space="preserve">, únicamente en cuanto abarquen aspectos contextuales y de derecho estrictamente relacionados con el objeto de los peritajes ofrecidos por aquélla </w:t>
      </w:r>
      <w:r w:rsidR="001B0CBE">
        <w:t>y que trasciendan la controversia del presente caso</w:t>
      </w:r>
      <w:r>
        <w:t xml:space="preserve">. </w:t>
      </w:r>
    </w:p>
    <w:p w:rsidR="002879B3" w:rsidRDefault="002879B3">
      <w:pPr>
        <w:widowControl w:val="0"/>
        <w:tabs>
          <w:tab w:val="left" w:pos="567"/>
          <w:tab w:val="left" w:pos="810"/>
        </w:tabs>
        <w:spacing w:after="0" w:line="240" w:lineRule="auto"/>
        <w:ind w:right="22"/>
        <w:jc w:val="both"/>
      </w:pPr>
    </w:p>
    <w:p w:rsidR="00876643" w:rsidRDefault="00876643">
      <w:pPr>
        <w:widowControl w:val="0"/>
        <w:tabs>
          <w:tab w:val="left" w:pos="567"/>
          <w:tab w:val="left" w:pos="810"/>
        </w:tabs>
        <w:spacing w:after="0" w:line="240" w:lineRule="auto"/>
        <w:ind w:right="22"/>
        <w:jc w:val="both"/>
      </w:pPr>
    </w:p>
    <w:p w:rsidR="00D56B42" w:rsidRPr="00FE2547" w:rsidRDefault="00D56B42" w:rsidP="002C128F">
      <w:pPr>
        <w:widowControl w:val="0"/>
        <w:numPr>
          <w:ilvl w:val="0"/>
          <w:numId w:val="6"/>
        </w:numPr>
        <w:tabs>
          <w:tab w:val="left" w:pos="1134"/>
        </w:tabs>
        <w:spacing w:after="0" w:line="240" w:lineRule="auto"/>
        <w:ind w:left="567" w:right="22" w:firstLine="0"/>
        <w:jc w:val="both"/>
        <w:rPr>
          <w:i/>
        </w:rPr>
      </w:pPr>
      <w:r>
        <w:rPr>
          <w:b/>
          <w:i/>
        </w:rPr>
        <w:t>Ofrecimiento probatorio realizado por el Estado</w:t>
      </w:r>
    </w:p>
    <w:p w:rsidR="00D56B42" w:rsidRDefault="00D56B42">
      <w:pPr>
        <w:widowControl w:val="0"/>
        <w:tabs>
          <w:tab w:val="left" w:pos="567"/>
          <w:tab w:val="left" w:pos="810"/>
        </w:tabs>
        <w:spacing w:after="0" w:line="240" w:lineRule="auto"/>
        <w:ind w:right="22"/>
        <w:jc w:val="both"/>
      </w:pPr>
    </w:p>
    <w:p w:rsidR="000D23C2" w:rsidRDefault="00D56B42" w:rsidP="00D56B42">
      <w:pPr>
        <w:widowControl w:val="0"/>
        <w:numPr>
          <w:ilvl w:val="0"/>
          <w:numId w:val="8"/>
        </w:numPr>
        <w:spacing w:after="0" w:line="240" w:lineRule="auto"/>
        <w:ind w:left="0" w:right="22" w:firstLine="0"/>
        <w:contextualSpacing/>
        <w:jc w:val="both"/>
      </w:pPr>
      <w:r>
        <w:t>E</w:t>
      </w:r>
      <w:r w:rsidR="003A4550">
        <w:t xml:space="preserve">n el presente caso, el Estado no presentó contestación al sometimiento del caso y al escrito de solicitudes y argumentos. El plazo otorgado reglamentariamente al Estado para tales efectos venció el 3 de octubre de 2016. Con posterioridad, mediante un escrito de 9 de noviembre de 2016 el Estado realizó un ofrecimiento probatorio consistente en </w:t>
      </w:r>
      <w:r>
        <w:t>declaraciones</w:t>
      </w:r>
      <w:r w:rsidR="002B36E5">
        <w:t xml:space="preserve"> periciales</w:t>
      </w:r>
      <w:r w:rsidR="001B0CBE">
        <w:t xml:space="preserve"> de</w:t>
      </w:r>
      <w:r w:rsidR="002B36E5">
        <w:t xml:space="preserve"> </w:t>
      </w:r>
      <w:r w:rsidR="001B0CBE">
        <w:t>l</w:t>
      </w:r>
      <w:r w:rsidR="002B36E5">
        <w:t>os</w:t>
      </w:r>
      <w:r w:rsidR="001B0CBE">
        <w:t xml:space="preserve"> señor</w:t>
      </w:r>
      <w:r w:rsidR="002B36E5">
        <w:t>es</w:t>
      </w:r>
      <w:r w:rsidR="001B0CBE">
        <w:t xml:space="preserve"> </w:t>
      </w:r>
      <w:r>
        <w:t xml:space="preserve">César Augusto Tillero Montiel y Néstor Luis Castellano Molero. </w:t>
      </w:r>
    </w:p>
    <w:p w:rsidR="000D23C2" w:rsidRDefault="000D23C2" w:rsidP="000D23C2">
      <w:pPr>
        <w:widowControl w:val="0"/>
        <w:spacing w:after="0" w:line="240" w:lineRule="auto"/>
        <w:ind w:right="22"/>
        <w:contextualSpacing/>
        <w:jc w:val="both"/>
      </w:pPr>
    </w:p>
    <w:p w:rsidR="005E3C44" w:rsidRDefault="005E3C44" w:rsidP="00D56B42">
      <w:pPr>
        <w:widowControl w:val="0"/>
        <w:numPr>
          <w:ilvl w:val="0"/>
          <w:numId w:val="8"/>
        </w:numPr>
        <w:spacing w:after="0" w:line="240" w:lineRule="auto"/>
        <w:ind w:left="0" w:right="22" w:firstLine="0"/>
        <w:contextualSpacing/>
        <w:jc w:val="both"/>
      </w:pPr>
      <w:r>
        <w:t xml:space="preserve">Al respecto, la Comisión manifestó que tal ofrecimiento es extemporáneo e inadmisible pues, al no haber presentado contestación, precluyó la oportunidad </w:t>
      </w:r>
      <w:r w:rsidR="002B36E5">
        <w:t xml:space="preserve">otorgada al Estado </w:t>
      </w:r>
      <w:r>
        <w:t>para ofrecer prueba.</w:t>
      </w:r>
      <w:r w:rsidR="002B36E5">
        <w:t xml:space="preserve"> El representante no presentó </w:t>
      </w:r>
      <w:r w:rsidR="00011C4E">
        <w:t>observación</w:t>
      </w:r>
      <w:r w:rsidR="002B36E5">
        <w:t xml:space="preserve"> alguna.</w:t>
      </w:r>
    </w:p>
    <w:p w:rsidR="005E3C44" w:rsidRDefault="005E3C44" w:rsidP="00FE2547">
      <w:pPr>
        <w:widowControl w:val="0"/>
        <w:spacing w:after="0" w:line="240" w:lineRule="auto"/>
        <w:ind w:right="22"/>
        <w:contextualSpacing/>
        <w:jc w:val="both"/>
      </w:pPr>
    </w:p>
    <w:p w:rsidR="00D56B42" w:rsidRDefault="000D23C2" w:rsidP="00D56B42">
      <w:pPr>
        <w:widowControl w:val="0"/>
        <w:numPr>
          <w:ilvl w:val="0"/>
          <w:numId w:val="8"/>
        </w:numPr>
        <w:spacing w:after="0" w:line="240" w:lineRule="auto"/>
        <w:ind w:left="0" w:right="22" w:firstLine="0"/>
        <w:contextualSpacing/>
        <w:jc w:val="both"/>
      </w:pPr>
      <w:r>
        <w:t xml:space="preserve">Esta Presidencia recuerda que la oportunidad procesal para remitir prueba está regulada en los artículos 40.2, 41.1 y 42.2 del Reglamento y que toda prueba que no se presente </w:t>
      </w:r>
      <w:r w:rsidR="00011C4E">
        <w:t xml:space="preserve">u ofrezca </w:t>
      </w:r>
      <w:r>
        <w:t>en dichas oportunidades no podrá ser admitida, salvo excepcionalmente cuando se justifiquen los extremos señalados en el artículo 57 del Reglamento. Se hace notar que lo anterior fue expresamente recordado al Estado al notificarle el sometimiento del presente caso. En consecuencia, al no haber presentado contestación, la oportunidad procesal otorgada al Estado para ofrecer</w:t>
      </w:r>
      <w:r w:rsidR="003A4550">
        <w:t xml:space="preserve"> </w:t>
      </w:r>
      <w:r>
        <w:t>prueba</w:t>
      </w:r>
      <w:r>
        <w:rPr>
          <w:vertAlign w:val="superscript"/>
        </w:rPr>
        <w:footnoteReference w:id="2"/>
      </w:r>
      <w:r>
        <w:t xml:space="preserve"> ha precluido. Además,</w:t>
      </w:r>
      <w:r w:rsidR="003A4550">
        <w:t xml:space="preserve"> </w:t>
      </w:r>
      <w:r w:rsidR="00D56B42">
        <w:t xml:space="preserve">el Presidente </w:t>
      </w:r>
      <w:r w:rsidR="005E3C44">
        <w:t xml:space="preserve">reitera </w:t>
      </w:r>
      <w:r w:rsidR="00D56B42">
        <w:t>que, a la luz del artículo 46 del Reglamento, la lista definitiva de declarantes es tan solo una oportunidad para confirmar o desistir de la prueba oportunamente ofrecida</w:t>
      </w:r>
      <w:r w:rsidR="005E3C44">
        <w:t xml:space="preserve"> (</w:t>
      </w:r>
      <w:r w:rsidR="005E3C44">
        <w:rPr>
          <w:i/>
        </w:rPr>
        <w:t xml:space="preserve">supra </w:t>
      </w:r>
      <w:r w:rsidR="005E3C44">
        <w:t xml:space="preserve">párr. 8) y </w:t>
      </w:r>
      <w:r w:rsidR="00FE2547">
        <w:t>hace notar</w:t>
      </w:r>
      <w:r w:rsidR="005E3C44">
        <w:t xml:space="preserve"> que</w:t>
      </w:r>
      <w:r w:rsidR="00D56B42">
        <w:t xml:space="preserve"> </w:t>
      </w:r>
      <w:r w:rsidR="005E3C44">
        <w:t>e</w:t>
      </w:r>
      <w:r w:rsidR="00D56B42">
        <w:t>l Estado no justificó el referido ofrecimiento extemporáneo</w:t>
      </w:r>
      <w:r w:rsidR="005E3C44">
        <w:t xml:space="preserve"> en alguna de </w:t>
      </w:r>
      <w:r w:rsidR="00D56B42">
        <w:t>las excepciones establecidas en el artículo 57.2 del Reglamento. Por tanto, el Presidente considera inadmisible las declaraciones testimoniales ofrecidas</w:t>
      </w:r>
      <w:r w:rsidR="005E3C44">
        <w:t xml:space="preserve"> extemporáneamente</w:t>
      </w:r>
      <w:r w:rsidR="00D56B42">
        <w:t xml:space="preserve"> por el Estado.</w:t>
      </w:r>
    </w:p>
    <w:p w:rsidR="00D56B42" w:rsidRDefault="00D56B42" w:rsidP="00D56B42">
      <w:pPr>
        <w:widowControl w:val="0"/>
        <w:spacing w:after="0" w:line="240" w:lineRule="auto"/>
        <w:jc w:val="both"/>
      </w:pPr>
    </w:p>
    <w:p w:rsidR="00D56B42" w:rsidRDefault="00D56B42" w:rsidP="00D56B42">
      <w:pPr>
        <w:widowControl w:val="0"/>
        <w:numPr>
          <w:ilvl w:val="0"/>
          <w:numId w:val="8"/>
        </w:numPr>
        <w:spacing w:after="0" w:line="240" w:lineRule="auto"/>
        <w:ind w:left="0" w:right="22" w:firstLine="0"/>
        <w:contextualSpacing/>
        <w:jc w:val="both"/>
      </w:pPr>
      <w:r>
        <w:t xml:space="preserve">Sin perjuicio de ello, el Presidente nota que las dos declaraciones </w:t>
      </w:r>
      <w:r w:rsidR="007540EE">
        <w:t xml:space="preserve">propuestas </w:t>
      </w:r>
      <w:r w:rsidR="005E3C44">
        <w:t xml:space="preserve">podrían </w:t>
      </w:r>
      <w:r>
        <w:t>resulta</w:t>
      </w:r>
      <w:r w:rsidR="005E3C44">
        <w:t>r</w:t>
      </w:r>
      <w:r>
        <w:t xml:space="preserve"> útiles a efectos de ilustrar al Tribunal sobre temas </w:t>
      </w:r>
      <w:r w:rsidR="00FE2547">
        <w:t>relevantes</w:t>
      </w:r>
      <w:r w:rsidR="005E3C44">
        <w:t xml:space="preserve"> en </w:t>
      </w:r>
      <w:r w:rsidR="007540EE">
        <w:t xml:space="preserve">el análisis del </w:t>
      </w:r>
      <w:r w:rsidR="007540EE">
        <w:lastRenderedPageBreak/>
        <w:t>presente caso</w:t>
      </w:r>
      <w:r>
        <w:t xml:space="preserve">, </w:t>
      </w:r>
      <w:r w:rsidR="00FE2547">
        <w:t xml:space="preserve">en cuanto </w:t>
      </w:r>
      <w:r w:rsidR="007540EE">
        <w:t>versarían</w:t>
      </w:r>
      <w:r w:rsidR="00FE2547">
        <w:t xml:space="preserve"> sobre </w:t>
      </w:r>
      <w:r>
        <w:t>al</w:t>
      </w:r>
      <w:r w:rsidR="002B36E5">
        <w:t xml:space="preserve"> alcance del</w:t>
      </w:r>
      <w:r>
        <w:t xml:space="preserve"> sistema provisional de funcionarios contratados por la administración pública venezolana, </w:t>
      </w:r>
      <w:r w:rsidR="002B36E5">
        <w:t xml:space="preserve">en particular la situación jurídica de las presuntas víctimas, </w:t>
      </w:r>
      <w:r>
        <w:t xml:space="preserve">así como sobre las acciones judiciales llevadas a cabo </w:t>
      </w:r>
      <w:r w:rsidR="002B36E5">
        <w:t xml:space="preserve">por éstas </w:t>
      </w:r>
      <w:r>
        <w:t xml:space="preserve">ante los tribunales </w:t>
      </w:r>
      <w:r w:rsidR="007540EE">
        <w:t>internos</w:t>
      </w:r>
      <w:r>
        <w:t xml:space="preserve"> y sus resultados. En virtud de </w:t>
      </w:r>
      <w:r w:rsidR="007540EE">
        <w:t>ello</w:t>
      </w:r>
      <w:r w:rsidR="002B36E5">
        <w:t>,</w:t>
      </w:r>
      <w:r>
        <w:t xml:space="preserve"> y con base en las facultades que otorga el artículo 58.a</w:t>
      </w:r>
      <w:r w:rsidR="002B36E5">
        <w:t>)</w:t>
      </w:r>
      <w:r>
        <w:t xml:space="preserve"> del Reglamento del Tribunal, </w:t>
      </w:r>
      <w:r w:rsidR="002B36E5">
        <w:t xml:space="preserve">el </w:t>
      </w:r>
      <w:r>
        <w:t>Presiden</w:t>
      </w:r>
      <w:r w:rsidR="002B36E5">
        <w:t>te</w:t>
      </w:r>
      <w:r>
        <w:t xml:space="preserve"> estima pertinente y útil procurar de oficio </w:t>
      </w:r>
      <w:r w:rsidR="002B36E5">
        <w:t xml:space="preserve">los peritajes de los señores Tillero Montiel y Castellano Molero, según el objeto y modalidad </w:t>
      </w:r>
      <w:r>
        <w:t>determinados en la parte resolutiva de la presente decisión.</w:t>
      </w:r>
    </w:p>
    <w:p w:rsidR="002879B3" w:rsidRDefault="002879B3">
      <w:pPr>
        <w:widowControl w:val="0"/>
        <w:tabs>
          <w:tab w:val="left" w:pos="567"/>
        </w:tabs>
        <w:spacing w:after="0" w:line="240" w:lineRule="auto"/>
        <w:jc w:val="both"/>
      </w:pPr>
    </w:p>
    <w:p w:rsidR="00876643" w:rsidRDefault="00876643">
      <w:pPr>
        <w:widowControl w:val="0"/>
        <w:tabs>
          <w:tab w:val="left" w:pos="567"/>
        </w:tabs>
        <w:spacing w:after="0" w:line="240" w:lineRule="auto"/>
        <w:jc w:val="both"/>
      </w:pPr>
    </w:p>
    <w:p w:rsidR="00AF6638" w:rsidRDefault="002B36E5">
      <w:pPr>
        <w:widowControl w:val="0"/>
        <w:numPr>
          <w:ilvl w:val="0"/>
          <w:numId w:val="6"/>
        </w:numPr>
        <w:tabs>
          <w:tab w:val="left" w:pos="1134"/>
        </w:tabs>
        <w:spacing w:after="0" w:line="240" w:lineRule="auto"/>
        <w:ind w:left="567" w:right="22" w:firstLine="0"/>
        <w:jc w:val="both"/>
        <w:rPr>
          <w:b/>
          <w:i/>
        </w:rPr>
      </w:pPr>
      <w:r>
        <w:rPr>
          <w:b/>
          <w:i/>
        </w:rPr>
        <w:t>Solicitud del representante de incorporación de prueba rendida en otros casos ante la Corte</w:t>
      </w:r>
    </w:p>
    <w:p w:rsidR="00AF6638" w:rsidRDefault="00AF6638">
      <w:pPr>
        <w:widowControl w:val="0"/>
        <w:tabs>
          <w:tab w:val="left" w:pos="567"/>
        </w:tabs>
        <w:spacing w:after="0" w:line="240" w:lineRule="auto"/>
        <w:ind w:left="1080" w:right="10"/>
        <w:jc w:val="both"/>
      </w:pPr>
    </w:p>
    <w:p w:rsidR="00AF6638" w:rsidRDefault="002B36E5">
      <w:pPr>
        <w:widowControl w:val="0"/>
        <w:numPr>
          <w:ilvl w:val="0"/>
          <w:numId w:val="8"/>
        </w:numPr>
        <w:tabs>
          <w:tab w:val="left" w:pos="567"/>
          <w:tab w:val="left" w:pos="810"/>
        </w:tabs>
        <w:spacing w:after="0" w:line="240" w:lineRule="auto"/>
        <w:ind w:left="0" w:right="22" w:firstLine="0"/>
        <w:jc w:val="both"/>
      </w:pPr>
      <w:r>
        <w:t xml:space="preserve">En su escrito de solicitudes y argumentos, el representante señaló que, en otros casos litigados ante la Corte, ésta “ha tenido la ocasión de constatar la situación de derechos humanos en Venezuela, la falta de independencia del poder judicial, la persecución a los opositores políticos y otros elementos que tienen relación directa con los hechos de este caso”, </w:t>
      </w:r>
      <w:r w:rsidR="00011C4E">
        <w:t>con base en</w:t>
      </w:r>
      <w:r>
        <w:t xml:space="preserve"> lo cual solicitó que se incorpore</w:t>
      </w:r>
      <w:r w:rsidR="00011C4E">
        <w:t>n</w:t>
      </w:r>
      <w:r w:rsidR="00D90764">
        <w:t xml:space="preserve"> </w:t>
      </w:r>
      <w:r>
        <w:t>“los hechos probados y la prueba rendida en otros casos en contra de Venezuela</w:t>
      </w:r>
      <w:r w:rsidR="00011C4E">
        <w:t>”</w:t>
      </w:r>
      <w:r w:rsidR="00011C4E" w:rsidRPr="00011C4E">
        <w:t xml:space="preserve"> </w:t>
      </w:r>
      <w:r w:rsidR="00011C4E">
        <w:t>al acervo probatorio de este caso</w:t>
      </w:r>
      <w:r w:rsidR="00D90764">
        <w:rPr>
          <w:rStyle w:val="FootnoteReference"/>
        </w:rPr>
        <w:footnoteReference w:id="3"/>
      </w:r>
      <w:r>
        <w:t xml:space="preserve">. </w:t>
      </w:r>
    </w:p>
    <w:p w:rsidR="00AF6638" w:rsidRDefault="00AF6638">
      <w:pPr>
        <w:widowControl w:val="0"/>
        <w:tabs>
          <w:tab w:val="left" w:pos="567"/>
          <w:tab w:val="left" w:pos="810"/>
        </w:tabs>
        <w:spacing w:after="0" w:line="240" w:lineRule="auto"/>
        <w:jc w:val="both"/>
      </w:pPr>
    </w:p>
    <w:p w:rsidR="00AF6638" w:rsidRDefault="002B36E5">
      <w:pPr>
        <w:widowControl w:val="0"/>
        <w:numPr>
          <w:ilvl w:val="0"/>
          <w:numId w:val="8"/>
        </w:numPr>
        <w:tabs>
          <w:tab w:val="left" w:pos="567"/>
          <w:tab w:val="left" w:pos="720"/>
          <w:tab w:val="left" w:pos="810"/>
        </w:tabs>
        <w:spacing w:after="0" w:line="240" w:lineRule="auto"/>
        <w:ind w:left="0" w:right="22" w:firstLine="0"/>
        <w:jc w:val="both"/>
      </w:pPr>
      <w:r>
        <w:t xml:space="preserve">Al respecto, el Presidente </w:t>
      </w:r>
      <w:r w:rsidR="0047389E">
        <w:t xml:space="preserve">hace notar </w:t>
      </w:r>
      <w:r>
        <w:t xml:space="preserve">que el representante no precisó cuáles </w:t>
      </w:r>
      <w:r w:rsidR="0047389E">
        <w:t xml:space="preserve">elementos específicos </w:t>
      </w:r>
      <w:r>
        <w:t xml:space="preserve">de la prueba </w:t>
      </w:r>
      <w:r w:rsidR="0047389E">
        <w:t xml:space="preserve">evacuada en otros </w:t>
      </w:r>
      <w:r>
        <w:t xml:space="preserve">casos </w:t>
      </w:r>
      <w:r w:rsidR="0047389E">
        <w:t xml:space="preserve">ante este Tribunal solicitaba que fueran </w:t>
      </w:r>
      <w:r>
        <w:t>incorporad</w:t>
      </w:r>
      <w:r w:rsidR="0047389E">
        <w:t>os</w:t>
      </w:r>
      <w:r>
        <w:t xml:space="preserve"> al acervo probatorio del presente caso</w:t>
      </w:r>
      <w:r w:rsidR="0047389E">
        <w:t>, ni justificó la necesidad, relevancia o pertinencia de tal incorporación en función de la controversia, los hechos y cuestiones de derechos planteadas en el mismo</w:t>
      </w:r>
      <w:r>
        <w:t xml:space="preserve">. En virtud de que el representante no fundamentó ni especificó adecuadamente tal </w:t>
      </w:r>
      <w:r w:rsidR="0047389E">
        <w:t>solicitud</w:t>
      </w:r>
      <w:r>
        <w:t xml:space="preserve">, esta Presidencia considera que la </w:t>
      </w:r>
      <w:r w:rsidR="0047389E">
        <w:t xml:space="preserve">misma </w:t>
      </w:r>
      <w:r>
        <w:t xml:space="preserve">resulta </w:t>
      </w:r>
      <w:r w:rsidR="0047389E">
        <w:t>im</w:t>
      </w:r>
      <w:r>
        <w:t xml:space="preserve">procedente. </w:t>
      </w:r>
    </w:p>
    <w:p w:rsidR="002879B3" w:rsidRDefault="002879B3">
      <w:pPr>
        <w:tabs>
          <w:tab w:val="left" w:pos="567"/>
        </w:tabs>
        <w:spacing w:after="0" w:line="240" w:lineRule="auto"/>
      </w:pPr>
    </w:p>
    <w:p w:rsidR="00876643" w:rsidRDefault="00876643">
      <w:pPr>
        <w:tabs>
          <w:tab w:val="left" w:pos="567"/>
        </w:tabs>
        <w:spacing w:after="0" w:line="240" w:lineRule="auto"/>
      </w:pPr>
    </w:p>
    <w:p w:rsidR="00F7616B" w:rsidRDefault="00F7616B">
      <w:pPr>
        <w:tabs>
          <w:tab w:val="left" w:pos="567"/>
        </w:tabs>
        <w:spacing w:after="0" w:line="240" w:lineRule="auto"/>
      </w:pPr>
    </w:p>
    <w:p w:rsidR="00F7616B" w:rsidRDefault="00F7616B">
      <w:pPr>
        <w:tabs>
          <w:tab w:val="left" w:pos="567"/>
        </w:tabs>
        <w:spacing w:after="0" w:line="240" w:lineRule="auto"/>
      </w:pPr>
    </w:p>
    <w:p w:rsidR="00F7616B" w:rsidRDefault="00F7616B">
      <w:pPr>
        <w:tabs>
          <w:tab w:val="left" w:pos="567"/>
        </w:tabs>
        <w:spacing w:after="0" w:line="240" w:lineRule="auto"/>
      </w:pPr>
    </w:p>
    <w:p w:rsidR="00AF6638" w:rsidRDefault="002B36E5">
      <w:pPr>
        <w:tabs>
          <w:tab w:val="left" w:pos="567"/>
        </w:tabs>
        <w:spacing w:after="0" w:line="240" w:lineRule="auto"/>
        <w:jc w:val="both"/>
      </w:pPr>
      <w:r>
        <w:rPr>
          <w:b/>
        </w:rPr>
        <w:t>POR TANTO:</w:t>
      </w:r>
    </w:p>
    <w:p w:rsidR="00AF6638" w:rsidRDefault="00AF6638">
      <w:pPr>
        <w:tabs>
          <w:tab w:val="left" w:pos="567"/>
        </w:tabs>
        <w:spacing w:after="0" w:line="240" w:lineRule="auto"/>
        <w:jc w:val="both"/>
      </w:pPr>
    </w:p>
    <w:p w:rsidR="00AF6638" w:rsidRDefault="00AF6638">
      <w:pPr>
        <w:tabs>
          <w:tab w:val="left" w:pos="567"/>
        </w:tabs>
        <w:spacing w:after="0" w:line="240" w:lineRule="auto"/>
        <w:jc w:val="both"/>
      </w:pPr>
    </w:p>
    <w:p w:rsidR="00AF6638" w:rsidRDefault="002B36E5">
      <w:pPr>
        <w:tabs>
          <w:tab w:val="left" w:pos="567"/>
        </w:tabs>
        <w:spacing w:after="0" w:line="240" w:lineRule="auto"/>
        <w:jc w:val="both"/>
      </w:pPr>
      <w:r>
        <w:rPr>
          <w:b/>
        </w:rPr>
        <w:t xml:space="preserve">EL PRESIDENTE DE LA CORTE INTERAMERICANA DE DERECHOS HUMANOS, </w:t>
      </w:r>
    </w:p>
    <w:p w:rsidR="00AF6638" w:rsidRDefault="00AF6638">
      <w:pPr>
        <w:tabs>
          <w:tab w:val="left" w:pos="567"/>
        </w:tabs>
        <w:spacing w:after="0" w:line="240" w:lineRule="auto"/>
        <w:jc w:val="both"/>
      </w:pPr>
    </w:p>
    <w:p w:rsidR="00AF6638" w:rsidRDefault="00AF6638">
      <w:pPr>
        <w:tabs>
          <w:tab w:val="left" w:pos="567"/>
        </w:tabs>
        <w:spacing w:after="0" w:line="240" w:lineRule="auto"/>
        <w:jc w:val="both"/>
      </w:pPr>
    </w:p>
    <w:p w:rsidR="00AF6638" w:rsidRDefault="002B36E5">
      <w:pPr>
        <w:tabs>
          <w:tab w:val="left" w:pos="567"/>
        </w:tabs>
        <w:spacing w:after="0" w:line="240" w:lineRule="auto"/>
        <w:jc w:val="both"/>
      </w:pPr>
      <w:r>
        <w:t>de conformidad con los artículos 24.1 y 25.2 del Estatuto de la Corte y con los artículos 4, 15.1, 26.1, 31.2, 35.1, 40.2, 41.1, 45, 46 a 48, 50 a 56, 58.a</w:t>
      </w:r>
      <w:r w:rsidR="0047389E">
        <w:t>)</w:t>
      </w:r>
      <w:r>
        <w:t xml:space="preserve"> y 60 del Reglamento, </w:t>
      </w:r>
    </w:p>
    <w:p w:rsidR="00AF6638" w:rsidRDefault="00AF6638">
      <w:pPr>
        <w:tabs>
          <w:tab w:val="left" w:pos="567"/>
        </w:tabs>
        <w:spacing w:after="0" w:line="240" w:lineRule="auto"/>
        <w:jc w:val="both"/>
      </w:pPr>
    </w:p>
    <w:p w:rsidR="00AF6638" w:rsidRDefault="00AF6638">
      <w:pPr>
        <w:tabs>
          <w:tab w:val="left" w:pos="567"/>
        </w:tabs>
        <w:spacing w:after="0" w:line="240" w:lineRule="auto"/>
        <w:jc w:val="both"/>
      </w:pPr>
    </w:p>
    <w:p w:rsidR="00AF6638" w:rsidRDefault="002B36E5">
      <w:pPr>
        <w:tabs>
          <w:tab w:val="left" w:pos="567"/>
        </w:tabs>
        <w:spacing w:after="0" w:line="240" w:lineRule="auto"/>
        <w:jc w:val="both"/>
      </w:pPr>
      <w:r>
        <w:rPr>
          <w:b/>
        </w:rPr>
        <w:t>RESUELVE:</w:t>
      </w:r>
    </w:p>
    <w:p w:rsidR="00AF6638" w:rsidRDefault="00AF6638">
      <w:pPr>
        <w:tabs>
          <w:tab w:val="left" w:pos="567"/>
        </w:tabs>
        <w:spacing w:after="0" w:line="240" w:lineRule="auto"/>
        <w:jc w:val="both"/>
      </w:pPr>
    </w:p>
    <w:p w:rsidR="00AF6638" w:rsidRDefault="002B36E5">
      <w:pPr>
        <w:numPr>
          <w:ilvl w:val="3"/>
          <w:numId w:val="3"/>
        </w:numPr>
        <w:tabs>
          <w:tab w:val="left" w:pos="567"/>
        </w:tabs>
        <w:spacing w:after="0" w:line="240" w:lineRule="auto"/>
        <w:ind w:left="0" w:firstLine="0"/>
        <w:jc w:val="both"/>
      </w:pPr>
      <w:bookmarkStart w:id="2" w:name="tyjcwt" w:colFirst="0" w:colLast="0"/>
      <w:bookmarkEnd w:id="2"/>
      <w:r>
        <w:t>Convocar al Estado, a</w:t>
      </w:r>
      <w:r w:rsidR="0047389E">
        <w:t>l</w:t>
      </w:r>
      <w:r>
        <w:t xml:space="preserve"> representante y a la Comisión Interamericana a una audiencia que se celebrará el día 14 de febrero de 2017, a partir de las 9:00 horas, durante el 117° Período Ordinario de Sesiones, en la sede de la Corte en San José de Costa Rica, para recibir sus </w:t>
      </w:r>
      <w:r>
        <w:lastRenderedPageBreak/>
        <w:t xml:space="preserve">alegatos y observaciones finales orales sobre </w:t>
      </w:r>
      <w:r w:rsidR="005541D4">
        <w:t xml:space="preserve">el </w:t>
      </w:r>
      <w:r>
        <w:t>fondo</w:t>
      </w:r>
      <w:r w:rsidR="005541D4">
        <w:t xml:space="preserve"> y eventuales</w:t>
      </w:r>
      <w:r>
        <w:t xml:space="preserve"> reparaciones y costas, así como las declaraciones de las siguientes personas:</w:t>
      </w:r>
    </w:p>
    <w:p w:rsidR="00AF6638" w:rsidRDefault="00AF6638">
      <w:pPr>
        <w:tabs>
          <w:tab w:val="left" w:pos="567"/>
          <w:tab w:val="left" w:pos="851"/>
        </w:tabs>
        <w:spacing w:after="0" w:line="240" w:lineRule="auto"/>
        <w:ind w:left="851"/>
        <w:jc w:val="both"/>
      </w:pPr>
    </w:p>
    <w:p w:rsidR="00AF6638" w:rsidRDefault="002B36E5">
      <w:pPr>
        <w:numPr>
          <w:ilvl w:val="0"/>
          <w:numId w:val="4"/>
        </w:numPr>
        <w:tabs>
          <w:tab w:val="left" w:pos="567"/>
        </w:tabs>
        <w:spacing w:after="0" w:line="240" w:lineRule="auto"/>
        <w:ind w:left="567" w:hanging="360"/>
        <w:jc w:val="both"/>
        <w:rPr>
          <w:i/>
        </w:rPr>
      </w:pPr>
      <w:r>
        <w:rPr>
          <w:i/>
        </w:rPr>
        <w:t>Presunta víctima (propuesta por el representante)</w:t>
      </w:r>
    </w:p>
    <w:p w:rsidR="00AF6638" w:rsidRDefault="00AF6638">
      <w:pPr>
        <w:tabs>
          <w:tab w:val="left" w:pos="567"/>
        </w:tabs>
        <w:spacing w:after="0" w:line="240" w:lineRule="auto"/>
        <w:ind w:left="720"/>
        <w:jc w:val="both"/>
      </w:pPr>
    </w:p>
    <w:p w:rsidR="00AF6638" w:rsidRDefault="00FE2547" w:rsidP="00FE2547">
      <w:pPr>
        <w:widowControl w:val="0"/>
        <w:tabs>
          <w:tab w:val="left" w:pos="567"/>
          <w:tab w:val="left" w:pos="1134"/>
        </w:tabs>
        <w:spacing w:after="0" w:line="240" w:lineRule="auto"/>
        <w:ind w:left="567" w:right="22"/>
        <w:jc w:val="both"/>
      </w:pPr>
      <w:r>
        <w:rPr>
          <w:i/>
        </w:rPr>
        <w:t>1.</w:t>
      </w:r>
      <w:r>
        <w:rPr>
          <w:i/>
        </w:rPr>
        <w:tab/>
      </w:r>
      <w:r w:rsidR="002B36E5">
        <w:rPr>
          <w:i/>
        </w:rPr>
        <w:t>Rocío San Miguel Sosa</w:t>
      </w:r>
      <w:r w:rsidR="002B36E5">
        <w:t xml:space="preserve">, quien declarará sobre su participación, en el </w:t>
      </w:r>
      <w:r w:rsidR="005541D4">
        <w:t xml:space="preserve">año </w:t>
      </w:r>
      <w:r w:rsidR="002B36E5">
        <w:t xml:space="preserve">2003, en la solicitud del referéndum revocatorio del entonces Presidente de la República Bolivariana de Venezuela, así como sobre las circunstancias en que, después de </w:t>
      </w:r>
      <w:r w:rsidR="0054792F">
        <w:t xml:space="preserve">la supuesta </w:t>
      </w:r>
      <w:r w:rsidR="002B36E5">
        <w:t>elabora</w:t>
      </w:r>
      <w:r w:rsidR="0054792F">
        <w:t>ción de</w:t>
      </w:r>
      <w:r w:rsidR="002B36E5">
        <w:t xml:space="preserve"> la </w:t>
      </w:r>
      <w:r w:rsidR="0054792F">
        <w:t xml:space="preserve">llamada </w:t>
      </w:r>
      <w:r w:rsidR="002B36E5">
        <w:t xml:space="preserve">“Lista Tascón” </w:t>
      </w:r>
      <w:r w:rsidR="0054792F">
        <w:t>(</w:t>
      </w:r>
      <w:r w:rsidR="002B36E5">
        <w:t>con los nombres de quienes habían participado en la solicitud de referéndum revocatorio presidencial</w:t>
      </w:r>
      <w:r w:rsidR="0054792F">
        <w:t>)</w:t>
      </w:r>
      <w:r w:rsidR="002B36E5">
        <w:t xml:space="preserve">, se les notificó la terminación de sus contratos de trabajo en la Dirección </w:t>
      </w:r>
      <w:r w:rsidR="004C0FF4">
        <w:t xml:space="preserve">Nacional </w:t>
      </w:r>
      <w:r w:rsidR="002B36E5">
        <w:t>de Fronteras</w:t>
      </w:r>
      <w:r w:rsidR="0054792F">
        <w:t xml:space="preserve"> del Ministerio de Relaciones Exteriores de Venezuela</w:t>
      </w:r>
      <w:r w:rsidR="002B36E5">
        <w:t>. De igual manera, declarará sobre las gestiones realizadas</w:t>
      </w:r>
      <w:r w:rsidR="0054792F">
        <w:t xml:space="preserve"> en las instancias nacionales</w:t>
      </w:r>
      <w:r w:rsidR="002B36E5">
        <w:t xml:space="preserve"> </w:t>
      </w:r>
      <w:r w:rsidR="004C0FF4">
        <w:t>al respecto, así como</w:t>
      </w:r>
      <w:r w:rsidR="0054792F">
        <w:t xml:space="preserve"> </w:t>
      </w:r>
      <w:r w:rsidR="004C0FF4">
        <w:t>los</w:t>
      </w:r>
      <w:r w:rsidR="002B36E5">
        <w:t xml:space="preserve"> efecto</w:t>
      </w:r>
      <w:r w:rsidR="004C0FF4">
        <w:t>s</w:t>
      </w:r>
      <w:r w:rsidR="002B36E5">
        <w:t xml:space="preserve"> que </w:t>
      </w:r>
      <w:r w:rsidR="004C0FF4">
        <w:t xml:space="preserve">tal decisión y </w:t>
      </w:r>
      <w:r w:rsidR="002B36E5">
        <w:t xml:space="preserve">el </w:t>
      </w:r>
      <w:r w:rsidR="004C0FF4">
        <w:t>término de la relación laboral tuvieron en su vida</w:t>
      </w:r>
      <w:r w:rsidR="002B36E5">
        <w:t>.</w:t>
      </w:r>
    </w:p>
    <w:p w:rsidR="00AF6638" w:rsidRDefault="00AF6638">
      <w:pPr>
        <w:tabs>
          <w:tab w:val="left" w:pos="567"/>
          <w:tab w:val="left" w:pos="1134"/>
        </w:tabs>
        <w:spacing w:after="0" w:line="240" w:lineRule="auto"/>
        <w:jc w:val="both"/>
      </w:pPr>
    </w:p>
    <w:p w:rsidR="00AF6638" w:rsidRDefault="002B36E5">
      <w:pPr>
        <w:numPr>
          <w:ilvl w:val="0"/>
          <w:numId w:val="4"/>
        </w:numPr>
        <w:tabs>
          <w:tab w:val="left" w:pos="567"/>
        </w:tabs>
        <w:spacing w:after="0" w:line="240" w:lineRule="auto"/>
        <w:ind w:left="567" w:hanging="360"/>
        <w:jc w:val="both"/>
        <w:rPr>
          <w:i/>
        </w:rPr>
      </w:pPr>
      <w:r>
        <w:rPr>
          <w:i/>
        </w:rPr>
        <w:t>Peritos</w:t>
      </w:r>
    </w:p>
    <w:p w:rsidR="00AF6638" w:rsidRDefault="00AF6638">
      <w:pPr>
        <w:tabs>
          <w:tab w:val="left" w:pos="567"/>
        </w:tabs>
        <w:spacing w:after="0" w:line="240" w:lineRule="auto"/>
        <w:jc w:val="both"/>
      </w:pPr>
    </w:p>
    <w:p w:rsidR="00AF6638" w:rsidRDefault="002B36E5">
      <w:pPr>
        <w:tabs>
          <w:tab w:val="left" w:pos="567"/>
        </w:tabs>
        <w:spacing w:after="0" w:line="240" w:lineRule="auto"/>
        <w:jc w:val="both"/>
      </w:pPr>
      <w:r>
        <w:rPr>
          <w:i/>
        </w:rPr>
        <w:t>Propuesto por el representante</w:t>
      </w:r>
      <w:r w:rsidR="00FE2547">
        <w:rPr>
          <w:i/>
        </w:rPr>
        <w:t>:</w:t>
      </w:r>
    </w:p>
    <w:p w:rsidR="00AF6638" w:rsidRDefault="00AF6638">
      <w:pPr>
        <w:tabs>
          <w:tab w:val="left" w:pos="567"/>
          <w:tab w:val="left" w:pos="1134"/>
        </w:tabs>
        <w:spacing w:after="0" w:line="240" w:lineRule="auto"/>
        <w:ind w:left="567"/>
        <w:jc w:val="both"/>
      </w:pPr>
    </w:p>
    <w:p w:rsidR="00AF6638" w:rsidRDefault="002B36E5">
      <w:pPr>
        <w:tabs>
          <w:tab w:val="left" w:pos="567"/>
          <w:tab w:val="left" w:pos="1134"/>
        </w:tabs>
        <w:spacing w:after="0" w:line="240" w:lineRule="auto"/>
        <w:ind w:left="567"/>
        <w:jc w:val="both"/>
      </w:pPr>
      <w:r>
        <w:t>1.</w:t>
      </w:r>
      <w:r>
        <w:rPr>
          <w:i/>
        </w:rPr>
        <w:tab/>
        <w:t>Román Duque Corredor</w:t>
      </w:r>
      <w:r>
        <w:t xml:space="preserve">, quien declarará sobre la garantía de acceso a los cargos de la administración pública en el Derecho venezolano; la prohibición de la discriminación política en el acceso a los cargos de la administración pública y la jurisprudencia de los tribunales nacionales sobre el particular; la </w:t>
      </w:r>
      <w:r w:rsidR="00181216">
        <w:t xml:space="preserve">supuesta </w:t>
      </w:r>
      <w:r>
        <w:t xml:space="preserve">facultad </w:t>
      </w:r>
      <w:r w:rsidR="00181216">
        <w:t xml:space="preserve">discrecional </w:t>
      </w:r>
      <w:r>
        <w:t xml:space="preserve">del Estado para despedir a un funcionario público </w:t>
      </w:r>
      <w:r w:rsidR="00181216">
        <w:t>y</w:t>
      </w:r>
      <w:r>
        <w:t xml:space="preserve"> la regulación de esa facultad; la </w:t>
      </w:r>
      <w:r w:rsidR="00181216">
        <w:t xml:space="preserve">supuesta </w:t>
      </w:r>
      <w:r>
        <w:t>facultad del Estado</w:t>
      </w:r>
      <w:r w:rsidR="00181216">
        <w:t>, en la selección de funcionarios públicos,</w:t>
      </w:r>
      <w:r>
        <w:t xml:space="preserve"> de excluir a una categoría de ciudadanos </w:t>
      </w:r>
      <w:r w:rsidR="00181216">
        <w:t xml:space="preserve">calificados </w:t>
      </w:r>
      <w:r>
        <w:t xml:space="preserve">en función de sus ideas políticas; los límites dentro de los cuales el Estado tiene derecho a demandar que los funcionarios públicos sean de su absoluta confianza; las razones por las cuales una medida que tiene carácter sancionatorio, como el despido de un funcionario público, debe ajustarse a las reglas del debido proceso; la garantía de los derechos políticos y el secreto en el ejercicio del derecho al sufragio; </w:t>
      </w:r>
      <w:r w:rsidR="00DC2F42">
        <w:t xml:space="preserve">sobre </w:t>
      </w:r>
      <w:r>
        <w:t xml:space="preserve">el derecho a revocar el mandato del </w:t>
      </w:r>
      <w:r w:rsidR="00181216">
        <w:t>P</w:t>
      </w:r>
      <w:r>
        <w:t xml:space="preserve">residente de la República </w:t>
      </w:r>
      <w:r w:rsidR="00181216">
        <w:t>en</w:t>
      </w:r>
      <w:r>
        <w:t xml:space="preserve"> Venezuela y las garant</w:t>
      </w:r>
      <w:r w:rsidR="00181216">
        <w:t>ías</w:t>
      </w:r>
      <w:r>
        <w:t xml:space="preserve"> en el proceso de recolección de firmas para un referéndum revocatorio; </w:t>
      </w:r>
      <w:r w:rsidRPr="00FE2547">
        <w:t xml:space="preserve">la </w:t>
      </w:r>
      <w:r w:rsidR="00181216" w:rsidRPr="00FE2547">
        <w:t xml:space="preserve">supuesta </w:t>
      </w:r>
      <w:r w:rsidRPr="00FE2547">
        <w:t xml:space="preserve">concertación que habría existido entre los poderes públicos </w:t>
      </w:r>
      <w:r w:rsidR="00181216" w:rsidRPr="00FE2547">
        <w:t>de</w:t>
      </w:r>
      <w:r w:rsidRPr="00FE2547">
        <w:t xml:space="preserve"> Venezuela desde la l</w:t>
      </w:r>
      <w:r w:rsidR="00DC2F42">
        <w:t xml:space="preserve">legada al poder de Hugo Chávez para someter </w:t>
      </w:r>
      <w:r w:rsidRPr="00FE2547">
        <w:t xml:space="preserve">a las autoridades </w:t>
      </w:r>
      <w:r w:rsidR="00DC2F42">
        <w:t xml:space="preserve">estatales </w:t>
      </w:r>
      <w:r w:rsidRPr="00FE2547">
        <w:t>a la voluntad del Presidente de la República</w:t>
      </w:r>
      <w:r w:rsidR="00DC2F42">
        <w:t>, así como</w:t>
      </w:r>
      <w:r>
        <w:t xml:space="preserve"> la forma </w:t>
      </w:r>
      <w:r w:rsidR="00DC2F42">
        <w:t xml:space="preserve">en que </w:t>
      </w:r>
      <w:r w:rsidR="00181216">
        <w:t xml:space="preserve">tal </w:t>
      </w:r>
      <w:r>
        <w:t xml:space="preserve">subordinación se </w:t>
      </w:r>
      <w:r w:rsidR="00181216">
        <w:t xml:space="preserve">habría </w:t>
      </w:r>
      <w:r>
        <w:t>manifest</w:t>
      </w:r>
      <w:r w:rsidR="00181216">
        <w:t>ado</w:t>
      </w:r>
      <w:r>
        <w:t xml:space="preserve"> en la aplicación de la </w:t>
      </w:r>
      <w:r w:rsidR="00181216">
        <w:t>“</w:t>
      </w:r>
      <w:r>
        <w:t>Lista Tascón</w:t>
      </w:r>
      <w:r w:rsidR="00181216">
        <w:t>”</w:t>
      </w:r>
      <w:r w:rsidR="00DC2F42">
        <w:t xml:space="preserve"> y </w:t>
      </w:r>
      <w:r>
        <w:t xml:space="preserve">la </w:t>
      </w:r>
      <w:r w:rsidR="00DC2F42">
        <w:t xml:space="preserve">supuesta </w:t>
      </w:r>
      <w:r>
        <w:t>ineficacia de cualquier recurso disponible</w:t>
      </w:r>
      <w:r w:rsidR="00181216">
        <w:t>.</w:t>
      </w:r>
    </w:p>
    <w:p w:rsidR="00AF6638" w:rsidRDefault="00AF6638">
      <w:pPr>
        <w:tabs>
          <w:tab w:val="left" w:pos="567"/>
          <w:tab w:val="left" w:pos="1134"/>
        </w:tabs>
        <w:spacing w:after="0" w:line="240" w:lineRule="auto"/>
        <w:jc w:val="both"/>
      </w:pPr>
    </w:p>
    <w:p w:rsidR="00AF6638" w:rsidRPr="00FE2547" w:rsidRDefault="002B36E5">
      <w:pPr>
        <w:tabs>
          <w:tab w:val="left" w:pos="567"/>
          <w:tab w:val="left" w:pos="1134"/>
        </w:tabs>
        <w:spacing w:after="0" w:line="240" w:lineRule="auto"/>
        <w:jc w:val="both"/>
        <w:rPr>
          <w:i/>
        </w:rPr>
      </w:pPr>
      <w:r w:rsidRPr="00FE2547">
        <w:rPr>
          <w:i/>
        </w:rPr>
        <w:t>Propuesto por el Estado</w:t>
      </w:r>
      <w:r w:rsidR="00FE2547">
        <w:rPr>
          <w:i/>
        </w:rPr>
        <w:t>:</w:t>
      </w:r>
    </w:p>
    <w:p w:rsidR="00AF6638" w:rsidRDefault="00AF6638">
      <w:pPr>
        <w:tabs>
          <w:tab w:val="left" w:pos="567"/>
          <w:tab w:val="left" w:pos="1134"/>
        </w:tabs>
        <w:spacing w:after="0" w:line="240" w:lineRule="auto"/>
        <w:jc w:val="both"/>
      </w:pPr>
    </w:p>
    <w:p w:rsidR="00AF6638" w:rsidRDefault="002B36E5">
      <w:pPr>
        <w:tabs>
          <w:tab w:val="left" w:pos="567"/>
          <w:tab w:val="left" w:pos="1134"/>
        </w:tabs>
        <w:spacing w:after="0" w:line="240" w:lineRule="auto"/>
        <w:ind w:left="567"/>
        <w:jc w:val="both"/>
      </w:pPr>
      <w:r>
        <w:t>2.</w:t>
      </w:r>
      <w:r>
        <w:tab/>
      </w:r>
      <w:r>
        <w:rPr>
          <w:i/>
        </w:rPr>
        <w:t>César Augusto Tillero Montiel</w:t>
      </w:r>
      <w:r>
        <w:t xml:space="preserve">, quien declarará sobre el alcance del sistema provisional de funcionarios contratados por la administración pública venezolana y la situación jurídica de las presuntas víctimas. </w:t>
      </w:r>
    </w:p>
    <w:p w:rsidR="00AF6638" w:rsidRDefault="00AF6638">
      <w:pPr>
        <w:tabs>
          <w:tab w:val="left" w:pos="567"/>
          <w:tab w:val="left" w:pos="1134"/>
        </w:tabs>
        <w:spacing w:after="0" w:line="240" w:lineRule="auto"/>
        <w:jc w:val="both"/>
      </w:pPr>
    </w:p>
    <w:p w:rsidR="00AF6638" w:rsidRPr="00FE2547" w:rsidRDefault="002B36E5">
      <w:pPr>
        <w:tabs>
          <w:tab w:val="left" w:pos="567"/>
          <w:tab w:val="left" w:pos="1134"/>
        </w:tabs>
        <w:spacing w:after="0" w:line="240" w:lineRule="auto"/>
        <w:jc w:val="both"/>
        <w:rPr>
          <w:i/>
        </w:rPr>
      </w:pPr>
      <w:r w:rsidRPr="00FE2547">
        <w:rPr>
          <w:i/>
        </w:rPr>
        <w:t xml:space="preserve">Propuesto por la </w:t>
      </w:r>
      <w:r w:rsidR="00FE2547" w:rsidRPr="00FE2547">
        <w:rPr>
          <w:i/>
        </w:rPr>
        <w:t>Comisión</w:t>
      </w:r>
      <w:r w:rsidR="00FE2547">
        <w:rPr>
          <w:i/>
        </w:rPr>
        <w:t>:</w:t>
      </w:r>
    </w:p>
    <w:p w:rsidR="00AF6638" w:rsidRDefault="00AF6638">
      <w:pPr>
        <w:tabs>
          <w:tab w:val="left" w:pos="567"/>
          <w:tab w:val="left" w:pos="1134"/>
        </w:tabs>
        <w:spacing w:after="0" w:line="240" w:lineRule="auto"/>
        <w:jc w:val="both"/>
      </w:pPr>
    </w:p>
    <w:p w:rsidR="00AF6638" w:rsidRDefault="002B36E5">
      <w:pPr>
        <w:tabs>
          <w:tab w:val="left" w:pos="567"/>
          <w:tab w:val="left" w:pos="1134"/>
        </w:tabs>
        <w:spacing w:after="0" w:line="240" w:lineRule="auto"/>
        <w:ind w:left="567"/>
        <w:jc w:val="both"/>
      </w:pPr>
      <w:r>
        <w:t>3.</w:t>
      </w:r>
      <w:r>
        <w:tab/>
      </w:r>
      <w:r>
        <w:rPr>
          <w:i/>
        </w:rPr>
        <w:t xml:space="preserve">Roberto Saba, </w:t>
      </w:r>
      <w:r>
        <w:t xml:space="preserve">quien declarará sobre </w:t>
      </w:r>
      <w:r w:rsidR="00170CA9">
        <w:t xml:space="preserve">los </w:t>
      </w:r>
      <w:r>
        <w:t>concepto</w:t>
      </w:r>
      <w:r w:rsidR="00170CA9">
        <w:t>s</w:t>
      </w:r>
      <w:r>
        <w:t xml:space="preserve"> de </w:t>
      </w:r>
      <w:r w:rsidR="00170CA9">
        <w:t>“</w:t>
      </w:r>
      <w:r>
        <w:t>desviación de poder</w:t>
      </w:r>
      <w:r w:rsidR="00170CA9">
        <w:t>”</w:t>
      </w:r>
      <w:r>
        <w:t xml:space="preserve"> y </w:t>
      </w:r>
      <w:r w:rsidR="00170CA9">
        <w:t>“</w:t>
      </w:r>
      <w:r>
        <w:t>discriminación encubierta</w:t>
      </w:r>
      <w:r w:rsidR="00170CA9">
        <w:t>”</w:t>
      </w:r>
      <w:r>
        <w:t xml:space="preserve"> y, específicamente, sobre los criterios que deben ser tomados en cuenta para evaluar en un caso concreto si el ejercicio del poder público tiene una </w:t>
      </w:r>
      <w:r w:rsidR="00170CA9">
        <w:t>“</w:t>
      </w:r>
      <w:r>
        <w:t>motivación inconvencional distinta de la motivación formalmente declara</w:t>
      </w:r>
      <w:r w:rsidR="00170CA9">
        <w:t xml:space="preserve">da”, en </w:t>
      </w:r>
      <w:r w:rsidR="00170CA9">
        <w:lastRenderedPageBreak/>
        <w:t xml:space="preserve">particular </w:t>
      </w:r>
      <w:r>
        <w:t>la relevancia de la prueba contextual e indiciaria</w:t>
      </w:r>
      <w:r w:rsidR="00170CA9">
        <w:t xml:space="preserve">; así como </w:t>
      </w:r>
      <w:r w:rsidR="002879B3">
        <w:t>sobre</w:t>
      </w:r>
      <w:r>
        <w:t xml:space="preserve"> las características que debe tener un recurso judicial para ser considerado efectivo frente a</w:t>
      </w:r>
      <w:r w:rsidR="002879B3">
        <w:t xml:space="preserve"> esos </w:t>
      </w:r>
      <w:r>
        <w:t>casos</w:t>
      </w:r>
      <w:r w:rsidR="00170CA9">
        <w:t xml:space="preserve">, </w:t>
      </w:r>
      <w:r>
        <w:t>aplica</w:t>
      </w:r>
      <w:r w:rsidR="00170CA9">
        <w:t>ndo</w:t>
      </w:r>
      <w:r>
        <w:t xml:space="preserve"> </w:t>
      </w:r>
      <w:r w:rsidR="00170CA9">
        <w:t xml:space="preserve">tales conceptos </w:t>
      </w:r>
      <w:r>
        <w:t>al caso concreto.</w:t>
      </w:r>
    </w:p>
    <w:p w:rsidR="00AF6638" w:rsidRDefault="00AF6638">
      <w:pPr>
        <w:tabs>
          <w:tab w:val="left" w:pos="567"/>
        </w:tabs>
        <w:spacing w:after="0" w:line="240" w:lineRule="auto"/>
        <w:jc w:val="both"/>
      </w:pPr>
    </w:p>
    <w:p w:rsidR="00AF6638" w:rsidRDefault="002B36E5">
      <w:pPr>
        <w:numPr>
          <w:ilvl w:val="0"/>
          <w:numId w:val="2"/>
        </w:numPr>
        <w:tabs>
          <w:tab w:val="left" w:pos="567"/>
        </w:tabs>
        <w:spacing w:after="0" w:line="240" w:lineRule="auto"/>
        <w:jc w:val="both"/>
      </w:pPr>
      <w:r>
        <w:t xml:space="preserve">Requerir a los peritos convocados a declarar en audiencia que, de considerarlo </w:t>
      </w:r>
      <w:r w:rsidR="00170CA9">
        <w:t>pertinente</w:t>
      </w:r>
      <w:r>
        <w:t>, aporte</w:t>
      </w:r>
      <w:r w:rsidR="00170CA9">
        <w:t>n</w:t>
      </w:r>
      <w:r>
        <w:t xml:space="preserve"> una versión escrita de su peritaje a más tardar el </w:t>
      </w:r>
      <w:r w:rsidR="00D51D78">
        <w:t>23</w:t>
      </w:r>
      <w:r>
        <w:t xml:space="preserve"> de </w:t>
      </w:r>
      <w:r w:rsidR="00247B7E">
        <w:t xml:space="preserve">enero </w:t>
      </w:r>
      <w:r>
        <w:t>de 2017.</w:t>
      </w:r>
    </w:p>
    <w:p w:rsidR="00AF6638" w:rsidRDefault="00AF6638">
      <w:pPr>
        <w:tabs>
          <w:tab w:val="left" w:pos="567"/>
        </w:tabs>
        <w:spacing w:after="0" w:line="240" w:lineRule="auto"/>
        <w:jc w:val="both"/>
      </w:pPr>
    </w:p>
    <w:p w:rsidR="00AF6638" w:rsidRDefault="002B36E5">
      <w:pPr>
        <w:numPr>
          <w:ilvl w:val="0"/>
          <w:numId w:val="2"/>
        </w:numPr>
        <w:tabs>
          <w:tab w:val="left" w:pos="567"/>
        </w:tabs>
        <w:spacing w:after="0" w:line="240" w:lineRule="auto"/>
        <w:jc w:val="both"/>
      </w:pPr>
      <w:r>
        <w:t xml:space="preserve">Requerir al Estado 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 </w:t>
      </w:r>
    </w:p>
    <w:p w:rsidR="00AF6638" w:rsidRDefault="00AF6638">
      <w:pPr>
        <w:tabs>
          <w:tab w:val="left" w:pos="567"/>
        </w:tabs>
        <w:spacing w:after="0" w:line="240" w:lineRule="auto"/>
        <w:jc w:val="both"/>
      </w:pPr>
    </w:p>
    <w:p w:rsidR="00AF6638" w:rsidRDefault="002B36E5">
      <w:pPr>
        <w:numPr>
          <w:ilvl w:val="0"/>
          <w:numId w:val="2"/>
        </w:numPr>
        <w:tabs>
          <w:tab w:val="left" w:pos="567"/>
        </w:tabs>
        <w:spacing w:after="0" w:line="240" w:lineRule="auto"/>
        <w:jc w:val="both"/>
      </w:pPr>
      <w:r>
        <w:t>Requerir, por las razones expuestas en la presente Resolución, de conformidad con el principio de economía procesal y de la facultad que le otorga el artículo 50.1 del Reglamento de la Corte, que las siguientes personas presten su declaración ante fedatario público:</w:t>
      </w:r>
    </w:p>
    <w:p w:rsidR="00AF6638" w:rsidRDefault="00AF6638">
      <w:pPr>
        <w:tabs>
          <w:tab w:val="left" w:pos="567"/>
          <w:tab w:val="left" w:pos="851"/>
        </w:tabs>
        <w:spacing w:after="0" w:line="240" w:lineRule="auto"/>
        <w:jc w:val="both"/>
      </w:pPr>
    </w:p>
    <w:p w:rsidR="00AF6638" w:rsidRDefault="002B36E5">
      <w:pPr>
        <w:numPr>
          <w:ilvl w:val="0"/>
          <w:numId w:val="1"/>
        </w:numPr>
        <w:tabs>
          <w:tab w:val="left" w:pos="567"/>
        </w:tabs>
        <w:spacing w:after="0" w:line="240" w:lineRule="auto"/>
        <w:ind w:hanging="360"/>
        <w:jc w:val="both"/>
        <w:rPr>
          <w:i/>
        </w:rPr>
      </w:pPr>
      <w:r>
        <w:rPr>
          <w:i/>
        </w:rPr>
        <w:t>Presuntas víctimas (propuestas por el representante)</w:t>
      </w:r>
    </w:p>
    <w:p w:rsidR="00AF6638" w:rsidRDefault="00AF6638">
      <w:pPr>
        <w:tabs>
          <w:tab w:val="left" w:pos="567"/>
        </w:tabs>
        <w:spacing w:after="0" w:line="240" w:lineRule="auto"/>
        <w:ind w:left="720"/>
        <w:jc w:val="both"/>
      </w:pPr>
    </w:p>
    <w:p w:rsidR="00AF6638" w:rsidRDefault="002B36E5" w:rsidP="00FE2547">
      <w:pPr>
        <w:pStyle w:val="ListParagraph"/>
        <w:widowControl w:val="0"/>
        <w:numPr>
          <w:ilvl w:val="0"/>
          <w:numId w:val="5"/>
        </w:numPr>
        <w:spacing w:after="0" w:line="240" w:lineRule="auto"/>
        <w:ind w:left="709" w:right="22" w:firstLine="0"/>
        <w:jc w:val="both"/>
      </w:pPr>
      <w:r w:rsidRPr="00FE2547">
        <w:rPr>
          <w:i/>
        </w:rPr>
        <w:t xml:space="preserve">Thais </w:t>
      </w:r>
      <w:r w:rsidR="00170CA9" w:rsidRPr="00FE2547">
        <w:rPr>
          <w:i/>
        </w:rPr>
        <w:t xml:space="preserve">Coromoto </w:t>
      </w:r>
      <w:r w:rsidRPr="00FE2547">
        <w:rPr>
          <w:i/>
        </w:rPr>
        <w:t xml:space="preserve">Peña, </w:t>
      </w:r>
      <w:r w:rsidR="004C0FF4">
        <w:t>quien declarará sobre su participación, en el año 2003, en la solicitud del referéndum revocatorio del entonces Presidente de la República Bolivariana de Venezuela, así como sobre las circunstancias en que, después de la supuesta elaboración de la llamada “Lista Tascón” (con los nombres de quienes habían participado en la solicitud de referéndum revocatorio presidencial), se les notificó la terminación de sus contratos de trabajo en la Dirección Nacional de Fronteras del Ministerio de Relaciones Exteriores de Venezuela. De igual manera, declarará sobre las gestiones realizadas en las instancias nacionales al respecto, así como los efectos que tal decisión y el término de la relación laboral tuvieron en su vida.</w:t>
      </w:r>
    </w:p>
    <w:p w:rsidR="00AF6638" w:rsidRDefault="00AF6638">
      <w:pPr>
        <w:widowControl w:val="0"/>
        <w:tabs>
          <w:tab w:val="left" w:pos="567"/>
          <w:tab w:val="left" w:pos="1134"/>
        </w:tabs>
        <w:spacing w:after="0" w:line="240" w:lineRule="auto"/>
        <w:ind w:left="709" w:right="22"/>
        <w:jc w:val="both"/>
      </w:pPr>
    </w:p>
    <w:p w:rsidR="00AF6638" w:rsidRDefault="002B36E5">
      <w:pPr>
        <w:widowControl w:val="0"/>
        <w:numPr>
          <w:ilvl w:val="0"/>
          <w:numId w:val="5"/>
        </w:numPr>
        <w:tabs>
          <w:tab w:val="left" w:pos="567"/>
          <w:tab w:val="left" w:pos="1134"/>
        </w:tabs>
        <w:spacing w:after="0" w:line="240" w:lineRule="auto"/>
        <w:ind w:left="709" w:right="22" w:firstLine="0"/>
        <w:jc w:val="both"/>
      </w:pPr>
      <w:r>
        <w:rPr>
          <w:i/>
        </w:rPr>
        <w:t>Magaly Chang</w:t>
      </w:r>
      <w:r w:rsidR="00170CA9">
        <w:rPr>
          <w:i/>
        </w:rPr>
        <w:t xml:space="preserve"> Girón</w:t>
      </w:r>
      <w:r>
        <w:t xml:space="preserve">, </w:t>
      </w:r>
      <w:r w:rsidR="004C0FF4">
        <w:t>quien declarará sobre su participación, en el año 2003, en la solicitud del referéndum revocatorio del entonces Presidente de la República Bolivariana de Venezuela, así como sobre las circunstancias en que, después de la supuesta elaboración de la llamada “Lista Tascón” (con los nombres de quienes habían participado en la solicitud de referéndum revocatorio presidencial), se les notificó la terminación de sus contratos de trabajo en la Dirección Nacional de Fronteras del Ministerio de Relaciones Exteriores de Venezuela. De igual manera, declarará sobre las gestiones realizadas en las instancias nacionales al respecto, así como los efectos que tal decisión y el término de la relación laboral tuvieron en su vida.</w:t>
      </w:r>
    </w:p>
    <w:p w:rsidR="00AF6638" w:rsidRDefault="00AF6638">
      <w:pPr>
        <w:tabs>
          <w:tab w:val="left" w:pos="567"/>
          <w:tab w:val="left" w:pos="851"/>
        </w:tabs>
        <w:spacing w:after="0" w:line="240" w:lineRule="auto"/>
        <w:jc w:val="both"/>
      </w:pPr>
    </w:p>
    <w:p w:rsidR="00AF6638" w:rsidRPr="00EF2B72" w:rsidRDefault="002B36E5" w:rsidP="00EF2B72">
      <w:pPr>
        <w:numPr>
          <w:ilvl w:val="0"/>
          <w:numId w:val="1"/>
        </w:numPr>
        <w:tabs>
          <w:tab w:val="left" w:pos="567"/>
        </w:tabs>
        <w:spacing w:after="0" w:line="240" w:lineRule="auto"/>
        <w:ind w:hanging="360"/>
        <w:jc w:val="both"/>
        <w:rPr>
          <w:i/>
        </w:rPr>
      </w:pPr>
      <w:r>
        <w:rPr>
          <w:i/>
        </w:rPr>
        <w:t xml:space="preserve">Testigos </w:t>
      </w:r>
      <w:r w:rsidR="00EF2B72">
        <w:rPr>
          <w:i/>
        </w:rPr>
        <w:t>(p</w:t>
      </w:r>
      <w:r w:rsidRPr="00EF2B72">
        <w:rPr>
          <w:i/>
        </w:rPr>
        <w:t>ropuestos por el representante</w:t>
      </w:r>
      <w:r w:rsidR="00EF2B72">
        <w:rPr>
          <w:i/>
        </w:rPr>
        <w:t>)</w:t>
      </w:r>
      <w:r w:rsidR="00EF2B72" w:rsidRPr="00EF2B72">
        <w:rPr>
          <w:i/>
        </w:rPr>
        <w:t>:</w:t>
      </w:r>
    </w:p>
    <w:p w:rsidR="00AF6638" w:rsidRDefault="00AF6638">
      <w:pPr>
        <w:tabs>
          <w:tab w:val="left" w:pos="567"/>
        </w:tabs>
        <w:spacing w:after="0" w:line="240" w:lineRule="auto"/>
        <w:ind w:left="720"/>
        <w:jc w:val="both"/>
      </w:pPr>
    </w:p>
    <w:p w:rsidR="00C34CD2" w:rsidRDefault="002B36E5" w:rsidP="00C34CD2">
      <w:pPr>
        <w:pStyle w:val="ListParagraph"/>
        <w:widowControl w:val="0"/>
        <w:numPr>
          <w:ilvl w:val="3"/>
          <w:numId w:val="5"/>
        </w:numPr>
        <w:tabs>
          <w:tab w:val="left" w:pos="1134"/>
        </w:tabs>
        <w:spacing w:after="0" w:line="240" w:lineRule="auto"/>
        <w:ind w:left="709" w:right="22" w:firstLine="0"/>
        <w:jc w:val="both"/>
      </w:pPr>
      <w:r w:rsidRPr="00B41509">
        <w:rPr>
          <w:i/>
        </w:rPr>
        <w:t>Alejandro Plaz Castillo</w:t>
      </w:r>
      <w:r>
        <w:t xml:space="preserve">, quien </w:t>
      </w:r>
      <w:r w:rsidR="00EF2B72">
        <w:t>en su condición de ex directivo de la asociación civil “SUMATE”</w:t>
      </w:r>
      <w:r w:rsidR="004C0FF4">
        <w:t>,</w:t>
      </w:r>
      <w:r w:rsidR="00EF2B72">
        <w:t xml:space="preserve"> </w:t>
      </w:r>
      <w:r>
        <w:t xml:space="preserve">declarará sobre las razones y las condiciones en las que se </w:t>
      </w:r>
      <w:r w:rsidR="00EF2B72">
        <w:t>convocó</w:t>
      </w:r>
      <w:r>
        <w:t xml:space="preserve"> a un referéndum consultivo para revocar el mandato del entonces Presidente de la República, así como sobre los obstáculos que hab</w:t>
      </w:r>
      <w:r w:rsidR="00EF2B72">
        <w:t>rían</w:t>
      </w:r>
      <w:r>
        <w:t xml:space="preserve"> encontrado para su realización</w:t>
      </w:r>
      <w:r w:rsidR="00EF2B72">
        <w:t xml:space="preserve"> y </w:t>
      </w:r>
      <w:r>
        <w:t>el resultado de</w:t>
      </w:r>
      <w:r w:rsidR="00EF2B72">
        <w:t>l mismo;</w:t>
      </w:r>
      <w:r>
        <w:t xml:space="preserve"> la</w:t>
      </w:r>
      <w:r w:rsidR="00EF2B72">
        <w:t>s</w:t>
      </w:r>
      <w:r>
        <w:t xml:space="preserve"> raz</w:t>
      </w:r>
      <w:r w:rsidR="00EF2B72">
        <w:t xml:space="preserve">ones y modo </w:t>
      </w:r>
      <w:r w:rsidR="008518B9">
        <w:t>por los</w:t>
      </w:r>
      <w:r>
        <w:t xml:space="preserve"> cual</w:t>
      </w:r>
      <w:r w:rsidR="008518B9">
        <w:t>es</w:t>
      </w:r>
      <w:r>
        <w:t xml:space="preserve"> se convocó a un nuevo referéndum </w:t>
      </w:r>
      <w:r w:rsidR="00EF2B72">
        <w:t xml:space="preserve">revocatorio, </w:t>
      </w:r>
      <w:r>
        <w:t>los obstáculos que hab</w:t>
      </w:r>
      <w:r w:rsidR="00EF2B72">
        <w:t>rían</w:t>
      </w:r>
      <w:r>
        <w:t xml:space="preserve"> encontrado para su realización</w:t>
      </w:r>
      <w:r w:rsidR="00EF2B72">
        <w:t xml:space="preserve">, el </w:t>
      </w:r>
      <w:r>
        <w:t>tiempo transcurri</w:t>
      </w:r>
      <w:r w:rsidR="00EF2B72">
        <w:t>do</w:t>
      </w:r>
      <w:r>
        <w:t xml:space="preserve"> desde la solicitud para que se realizara dicho referéndum hasta el momento en que éste tuvo lugar, así como sobre las </w:t>
      </w:r>
      <w:r w:rsidR="00EF2B72">
        <w:t xml:space="preserve">supuestas </w:t>
      </w:r>
      <w:r>
        <w:t xml:space="preserve">presiones, amenazas o represalias que </w:t>
      </w:r>
      <w:r w:rsidR="00EF2B72">
        <w:t xml:space="preserve">habrían </w:t>
      </w:r>
      <w:r>
        <w:t>enfrentado los organizadores del referéndum.</w:t>
      </w:r>
    </w:p>
    <w:p w:rsidR="00C34CD2" w:rsidRPr="00C34CD2" w:rsidRDefault="00C34CD2" w:rsidP="00C34CD2">
      <w:pPr>
        <w:pStyle w:val="ListParagraph"/>
        <w:widowControl w:val="0"/>
        <w:tabs>
          <w:tab w:val="left" w:pos="1134"/>
        </w:tabs>
        <w:spacing w:after="0" w:line="240" w:lineRule="auto"/>
        <w:ind w:left="709" w:right="22"/>
        <w:jc w:val="both"/>
      </w:pPr>
    </w:p>
    <w:p w:rsidR="00FE2547" w:rsidRDefault="002B36E5" w:rsidP="00C34CD2">
      <w:pPr>
        <w:pStyle w:val="ListParagraph"/>
        <w:widowControl w:val="0"/>
        <w:numPr>
          <w:ilvl w:val="3"/>
          <w:numId w:val="5"/>
        </w:numPr>
        <w:tabs>
          <w:tab w:val="left" w:pos="1134"/>
        </w:tabs>
        <w:spacing w:after="0" w:line="240" w:lineRule="auto"/>
        <w:ind w:left="709" w:right="22" w:firstLine="0"/>
        <w:jc w:val="both"/>
      </w:pPr>
      <w:r w:rsidRPr="00C34CD2">
        <w:rPr>
          <w:i/>
        </w:rPr>
        <w:lastRenderedPageBreak/>
        <w:t>Ricardo Ludwing Estévez Mazza</w:t>
      </w:r>
      <w:r>
        <w:t xml:space="preserve">, quien </w:t>
      </w:r>
      <w:r w:rsidR="00EF2B72">
        <w:t>en su condición de ex directivo de la asociación civil “SUMATE”</w:t>
      </w:r>
      <w:r w:rsidR="008518B9">
        <w:t>,</w:t>
      </w:r>
      <w:r w:rsidR="00EF2B72">
        <w:t xml:space="preserve"> </w:t>
      </w:r>
      <w:r>
        <w:t xml:space="preserve">declarará </w:t>
      </w:r>
      <w:r w:rsidR="00EF2B72">
        <w:t xml:space="preserve">sobre las razones y las condiciones en las que se convocó a un referéndum consultivo para revocar el mandato del entonces Presidente de la República, así como sobre los obstáculos que habrían encontrado para su realización y el resultado del mismo; las razones </w:t>
      </w:r>
      <w:r w:rsidR="008518B9">
        <w:t>y modo por los</w:t>
      </w:r>
      <w:r w:rsidR="00EF2B72">
        <w:t xml:space="preserve"> cual</w:t>
      </w:r>
      <w:r w:rsidR="008518B9">
        <w:t>es</w:t>
      </w:r>
      <w:r w:rsidR="00EF2B72">
        <w:t xml:space="preserve"> se convocó a un nuevo referéndum revocatorio, los obstáculos que habrían encontrado para su realización, el tiempo transcurrido desde la solicitud para que se realizara dicho referéndum hasta el momento en que éste tuvo lugar, así como sobre las supuestas presiones, amenazas o represalias que habrían enfrentado los organizadores del referéndum.</w:t>
      </w:r>
    </w:p>
    <w:p w:rsidR="00FE2547" w:rsidRPr="00FE2547" w:rsidRDefault="00FE2547" w:rsidP="00FE2547">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sidRPr="00FE2547">
        <w:rPr>
          <w:i/>
        </w:rPr>
        <w:t>Roberto Abdul-Hadi Casanova</w:t>
      </w:r>
      <w:r>
        <w:t xml:space="preserve">, quien </w:t>
      </w:r>
      <w:r w:rsidR="00EF2B72">
        <w:t>en su condición de ex directivo de la asociación civil “SUMATE”</w:t>
      </w:r>
      <w:r w:rsidR="008518B9">
        <w:t>,</w:t>
      </w:r>
      <w:r w:rsidR="00EF2B72">
        <w:t xml:space="preserve"> </w:t>
      </w:r>
      <w:r>
        <w:t xml:space="preserve">declarará </w:t>
      </w:r>
      <w:r w:rsidR="0010560E">
        <w:t>sobre las razones y las condiciones en las que se convocó a un referéndum consultivo para revocar el mandato del entonces Presidente de la República, así como sobre los obstáculos que habrían encontrado para su realización y el resultado del m</w:t>
      </w:r>
      <w:r w:rsidR="008518B9">
        <w:t>ismo; las razones  y modo por los</w:t>
      </w:r>
      <w:r w:rsidR="0010560E">
        <w:t xml:space="preserve"> cual</w:t>
      </w:r>
      <w:r w:rsidR="008518B9">
        <w:t>es</w:t>
      </w:r>
      <w:r w:rsidR="0010560E">
        <w:t xml:space="preserve"> se convocó a un</w:t>
      </w:r>
      <w:r w:rsidR="008518B9">
        <w:t xml:space="preserve"> nuevo referéndum revocatorio, </w:t>
      </w:r>
      <w:r w:rsidR="0010560E">
        <w:t>los obstáculos que habrían encontrado para su realización, el tiempo transcurrido desde la solicitud para que se realizara dicho referéndum hasta el momento en que éste tuvo lugar, así como sobre las supuestas presiones, amenazas o represalias que habrían enfrentado los organizadores del referéndum.</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Ibéyise María Pacheco Martini</w:t>
      </w:r>
      <w:r>
        <w:t xml:space="preserve">, quien </w:t>
      </w:r>
      <w:r w:rsidR="0010560E">
        <w:t xml:space="preserve">como periodista en </w:t>
      </w:r>
      <w:r w:rsidR="008518B9">
        <w:t xml:space="preserve">la </w:t>
      </w:r>
      <w:r w:rsidR="0010560E">
        <w:t xml:space="preserve">época de los hechos </w:t>
      </w:r>
      <w:r>
        <w:t>declarará sobre las condiciones políticas y sociales en que se convocó a un referéndum consultivo y luego a un referéndum revocatorio del mandato presidencial</w:t>
      </w:r>
      <w:r w:rsidR="0010560E">
        <w:t>;</w:t>
      </w:r>
      <w:r>
        <w:t xml:space="preserve"> las alegadas intimidaciones a ciudadanos que hab</w:t>
      </w:r>
      <w:r w:rsidR="0010560E">
        <w:t>r</w:t>
      </w:r>
      <w:r>
        <w:t>ía</w:t>
      </w:r>
      <w:r w:rsidR="0010560E">
        <w:t>n</w:t>
      </w:r>
      <w:r>
        <w:t xml:space="preserve"> firmado la solicitud de referéndum revocatorio para que retiraran sus firmas o declararan que ellas habían sido falsificadas</w:t>
      </w:r>
      <w:r w:rsidR="0010560E">
        <w:t xml:space="preserve">; </w:t>
      </w:r>
      <w:r>
        <w:t xml:space="preserve">sobre cómo se habría amenazado a la población con la </w:t>
      </w:r>
      <w:r w:rsidR="0010560E">
        <w:t>“</w:t>
      </w:r>
      <w:r>
        <w:t>Lista Tascón</w:t>
      </w:r>
      <w:r w:rsidR="0010560E">
        <w:t xml:space="preserve">” y </w:t>
      </w:r>
      <w:r>
        <w:t>los efectos que habría ten</w:t>
      </w:r>
      <w:r w:rsidR="0010560E">
        <w:t>ido</w:t>
      </w:r>
      <w:r>
        <w:t xml:space="preserve"> </w:t>
      </w:r>
      <w:r w:rsidR="0010560E">
        <w:t xml:space="preserve">su aplicación </w:t>
      </w:r>
      <w:r>
        <w:t>en el país</w:t>
      </w:r>
      <w:r w:rsidR="0010560E">
        <w:t xml:space="preserve">; así como </w:t>
      </w:r>
      <w:r>
        <w:t xml:space="preserve">sobre </w:t>
      </w:r>
      <w:r w:rsidR="0010560E">
        <w:t xml:space="preserve">los resultados </w:t>
      </w:r>
      <w:r>
        <w:t xml:space="preserve">de la entrevista </w:t>
      </w:r>
      <w:r w:rsidR="0010560E">
        <w:t xml:space="preserve">radial </w:t>
      </w:r>
      <w:r>
        <w:t>que realizó a Feijoo Colomine, en</w:t>
      </w:r>
      <w:r w:rsidR="0010560E">
        <w:t>tonces</w:t>
      </w:r>
      <w:r>
        <w:t xml:space="preserve"> Secretario Ejecutivo del Consejo Nacional de Fronteras</w:t>
      </w:r>
      <w:r w:rsidR="0010560E">
        <w:t>, en particular respecto de las razones del despido de las presuntas víctimas</w:t>
      </w:r>
      <w:r>
        <w:t>.</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María Gabriela Cuevas García</w:t>
      </w:r>
      <w:r>
        <w:t xml:space="preserve">, quien </w:t>
      </w:r>
      <w:r w:rsidR="00A87077">
        <w:t>habría asistido a las presu</w:t>
      </w:r>
      <w:r w:rsidR="00C4501F">
        <w:t xml:space="preserve">ntas víctimas en el planteamiento de recursos judiciales internos, </w:t>
      </w:r>
      <w:r>
        <w:t xml:space="preserve">declarará sobre las razones por las cuales, en el año 2004, el Centro de Derechos Humanos de la </w:t>
      </w:r>
      <w:r w:rsidR="00C4501F">
        <w:t>Universidad Católica Andrés Bello (</w:t>
      </w:r>
      <w:r>
        <w:t>UCAB</w:t>
      </w:r>
      <w:r w:rsidR="00C4501F">
        <w:t>)</w:t>
      </w:r>
      <w:r>
        <w:t xml:space="preserve"> </w:t>
      </w:r>
      <w:r w:rsidR="00C4501F">
        <w:t xml:space="preserve">de Venezuela </w:t>
      </w:r>
      <w:r>
        <w:t xml:space="preserve">asumió la defensa y la representación de </w:t>
      </w:r>
      <w:r w:rsidR="008518B9">
        <w:t>personas a quienes se les habría aplicado</w:t>
      </w:r>
      <w:r>
        <w:t xml:space="preserve"> la </w:t>
      </w:r>
      <w:r w:rsidR="00C4501F">
        <w:t>“</w:t>
      </w:r>
      <w:r>
        <w:t>Lista Tascón</w:t>
      </w:r>
      <w:r w:rsidR="00C4501F">
        <w:t>”</w:t>
      </w:r>
      <w:r>
        <w:t xml:space="preserve">, así como sobre la cantidad de </w:t>
      </w:r>
      <w:r w:rsidR="00C4501F">
        <w:t xml:space="preserve">personas </w:t>
      </w:r>
      <w:r>
        <w:t>que recurrieron al referido Centro de Derechos Humanos, las gestiones realizadas por éste ante las instancias nacionales</w:t>
      </w:r>
      <w:r w:rsidR="00C4501F">
        <w:t>;</w:t>
      </w:r>
      <w:r>
        <w:t xml:space="preserve"> las razones por las cuales actuaron como peticionario</w:t>
      </w:r>
      <w:r w:rsidR="00C4501F">
        <w:t>s</w:t>
      </w:r>
      <w:r>
        <w:t xml:space="preserve"> ante la Comisión </w:t>
      </w:r>
      <w:r w:rsidR="00C4501F">
        <w:t>I</w:t>
      </w:r>
      <w:r>
        <w:t>nteramericana</w:t>
      </w:r>
      <w:r w:rsidR="00C4501F">
        <w:t xml:space="preserve">; y </w:t>
      </w:r>
      <w:r>
        <w:t>las razones por las cuales no present</w:t>
      </w:r>
      <w:r w:rsidR="00C4501F">
        <w:t>aron</w:t>
      </w:r>
      <w:r>
        <w:t xml:space="preserve"> el caso de otras presuntas víctimas de discriminación política ante la Comisión Interamericana y</w:t>
      </w:r>
      <w:r w:rsidR="00C4501F">
        <w:t>, finalmente,</w:t>
      </w:r>
      <w:r>
        <w:t xml:space="preserve"> </w:t>
      </w:r>
      <w:r w:rsidR="00C4501F">
        <w:t xml:space="preserve">si </w:t>
      </w:r>
      <w:r>
        <w:t xml:space="preserve">la Lista Tascón </w:t>
      </w:r>
      <w:r w:rsidR="00C4501F">
        <w:t xml:space="preserve">continúa aplicándose </w:t>
      </w:r>
      <w:r>
        <w:t>en la actualidad.</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Marino Alvarado Betancourt</w:t>
      </w:r>
      <w:r>
        <w:t xml:space="preserve">, quien </w:t>
      </w:r>
      <w:r w:rsidR="0022315C">
        <w:t>c</w:t>
      </w:r>
      <w:r w:rsidR="00544D8E">
        <w:t xml:space="preserve">omo ex coordinador general de PROVEA </w:t>
      </w:r>
      <w:r w:rsidR="00EB3A1C">
        <w:t>asistió</w:t>
      </w:r>
      <w:r w:rsidR="00544D8E">
        <w:t xml:space="preserve"> a las presuntas víctimas en el planteamiento de recursos judiciales internos, </w:t>
      </w:r>
      <w:r>
        <w:t xml:space="preserve">declarará sobre la forma en cómo se enteró de la existencia de la Lista Tascón, el número estimado de </w:t>
      </w:r>
      <w:r w:rsidR="00544D8E">
        <w:t xml:space="preserve">supuestas </w:t>
      </w:r>
      <w:r>
        <w:t xml:space="preserve">víctimas de discriminación política que llegó a manejar PROVEA y las </w:t>
      </w:r>
      <w:r w:rsidR="00544D8E">
        <w:t xml:space="preserve">condiciones </w:t>
      </w:r>
      <w:r>
        <w:t xml:space="preserve">en </w:t>
      </w:r>
      <w:r w:rsidR="00544D8E">
        <w:t xml:space="preserve">que </w:t>
      </w:r>
      <w:r>
        <w:t xml:space="preserve">cuales asumió la representación legal de las </w:t>
      </w:r>
      <w:r w:rsidR="00544D8E">
        <w:t>presuntas víctimas</w:t>
      </w:r>
      <w:r>
        <w:t xml:space="preserve">. Asimismo, declarará sobre las razones </w:t>
      </w:r>
      <w:r w:rsidR="00544D8E">
        <w:t xml:space="preserve">por las </w:t>
      </w:r>
      <w:r>
        <w:t xml:space="preserve">que consideró que el recurso </w:t>
      </w:r>
      <w:r>
        <w:lastRenderedPageBreak/>
        <w:t xml:space="preserve">ante los tribunales de trabajo era el idóneo para subsanar la </w:t>
      </w:r>
      <w:r w:rsidR="00544D8E">
        <w:t xml:space="preserve">alegada </w:t>
      </w:r>
      <w:r>
        <w:t>violación de los derechos de las presuntas víctimas, así como sobre otros recursos que pudo haber intentado y las razones por las cuáles</w:t>
      </w:r>
      <w:r w:rsidR="00544D8E">
        <w:t xml:space="preserve"> nos</w:t>
      </w:r>
      <w:r>
        <w:t xml:space="preserve"> los </w:t>
      </w:r>
      <w:r w:rsidR="00544D8E">
        <w:t>intentó</w:t>
      </w:r>
      <w:r>
        <w:t>. Finalmente, se referirá a la actividad de la Defensoría del Pueblo y de la F</w:t>
      </w:r>
      <w:r w:rsidR="00EB3A1C">
        <w:t>iscalía General de la República</w:t>
      </w:r>
      <w:r>
        <w:t xml:space="preserve"> en relación con los hechos del caso, así como la coincidencia de criterios de los distintos órganos del poder público venezolano en relación con la Lista Tascón y el resultado de los recursos jurisdiccionales intentados.</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José Ángel Guerra</w:t>
      </w:r>
      <w:r>
        <w:t xml:space="preserve">, quien </w:t>
      </w:r>
      <w:r w:rsidR="00544D8E">
        <w:t xml:space="preserve">fuera gerente de investigaciones económicas en el Banco Central de Venezuela para el año 2003/2004, </w:t>
      </w:r>
      <w:r>
        <w:t xml:space="preserve">declarará sobre la aplicación de la Lista Tascón en </w:t>
      </w:r>
      <w:r w:rsidR="00EB3A1C">
        <w:t>esa institución</w:t>
      </w:r>
      <w:r>
        <w:t xml:space="preserve">, </w:t>
      </w:r>
      <w:r w:rsidR="00544D8E">
        <w:t>el número de funcionarios del Banco que fueron despedidos, la persona que así lo</w:t>
      </w:r>
      <w:r w:rsidR="00EB3A1C">
        <w:t>s</w:t>
      </w:r>
      <w:r w:rsidR="00544D8E">
        <w:t xml:space="preserve"> ordenó y las razones de los mismos; </w:t>
      </w:r>
      <w:r>
        <w:t xml:space="preserve">así como sobre </w:t>
      </w:r>
      <w:r w:rsidR="00544D8E">
        <w:t xml:space="preserve">quienes dieron la orden para detectar y despedir a </w:t>
      </w:r>
      <w:r>
        <w:t>quiénes hab</w:t>
      </w:r>
      <w:r w:rsidR="00544D8E">
        <w:t>r</w:t>
      </w:r>
      <w:r>
        <w:t xml:space="preserve">ían </w:t>
      </w:r>
      <w:r w:rsidR="00544D8E">
        <w:t xml:space="preserve">firmado para solicitar </w:t>
      </w:r>
      <w:r>
        <w:t>el referéndum revocatorio</w:t>
      </w:r>
      <w:r w:rsidR="00544D8E">
        <w:t>, los procesos establecidos dentro de la institución para ese propósito y para impedir el ingreso laboral de quienes habrían firmado</w:t>
      </w:r>
      <w:r>
        <w:t xml:space="preserve">. </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 xml:space="preserve">Froilán Alejandro Barrios Nieves, </w:t>
      </w:r>
      <w:r>
        <w:t>quien declarará sobre el posible propósito con el que se elaboró la Lista Tascón, sobre quién ordenó elaborarla, la forma en que ésta fue aplicada, el número de funcionarios de la administración pública que fueron afectad</w:t>
      </w:r>
      <w:r w:rsidR="00A55E69">
        <w:t>os</w:t>
      </w:r>
      <w:r>
        <w:t xml:space="preserve">, y sobre otras personas </w:t>
      </w:r>
      <w:r w:rsidR="00A55E69">
        <w:t xml:space="preserve">a </w:t>
      </w:r>
      <w:r>
        <w:t>qu</w:t>
      </w:r>
      <w:r w:rsidR="00A55E69">
        <w:t>i</w:t>
      </w:r>
      <w:r>
        <w:t>e</w:t>
      </w:r>
      <w:r w:rsidR="00A55E69">
        <w:t>nes</w:t>
      </w:r>
      <w:r>
        <w:t xml:space="preserve">, no obstante no </w:t>
      </w:r>
      <w:r w:rsidR="00A55E69">
        <w:t xml:space="preserve">formar </w:t>
      </w:r>
      <w:r>
        <w:t xml:space="preserve">parte de la administración pública, también </w:t>
      </w:r>
      <w:r w:rsidR="00A55E69">
        <w:t xml:space="preserve">se les aplicó tal lista y si la misma continúa aplicándose </w:t>
      </w:r>
      <w:r>
        <w:t xml:space="preserve">en la actualidad. </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Horacio Medina</w:t>
      </w:r>
      <w:r>
        <w:t>, quien declarará sobre la</w:t>
      </w:r>
      <w:r w:rsidR="00A80102">
        <w:t xml:space="preserve"> alegada</w:t>
      </w:r>
      <w:r>
        <w:t xml:space="preserve"> discriminación política en Petróleos de Venezuela Sociedad Anónima (PDVSA) y la </w:t>
      </w:r>
      <w:r w:rsidR="002879B3">
        <w:t>supuesta</w:t>
      </w:r>
      <w:r>
        <w:t xml:space="preserve"> persecución, por razones políticas, de sus trabajadores desde antes de que se elaborara la Lista Tascón, indicando el número de personas que </w:t>
      </w:r>
      <w:r w:rsidR="00A80102">
        <w:t>habrían sido</w:t>
      </w:r>
      <w:r>
        <w:t xml:space="preserve"> afectada</w:t>
      </w:r>
      <w:r w:rsidR="0022315C">
        <w:t>s</w:t>
      </w:r>
      <w:r>
        <w:t xml:space="preserve">. </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Eddie Alberto Ramírez Serfaty</w:t>
      </w:r>
      <w:r>
        <w:t>, quien declarará sobre la</w:t>
      </w:r>
      <w:r w:rsidR="00A80102">
        <w:t xml:space="preserve"> alegada</w:t>
      </w:r>
      <w:r>
        <w:t xml:space="preserve"> discriminación política en Petróleos de Venezuela Sociedad Anónima (PDVSA) y la alegada persecución, por razones políticas, de sus trabajadores desde antes de que se elaborara la Lista Tascón, indicando el número de personas que </w:t>
      </w:r>
      <w:r w:rsidR="00A80102">
        <w:t>habrían sido</w:t>
      </w:r>
      <w:r>
        <w:t xml:space="preserve"> afectada</w:t>
      </w:r>
      <w:r w:rsidR="0022315C">
        <w:t>s</w:t>
      </w:r>
      <w:r>
        <w:t>.</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María Vicenta Verdeal Durán</w:t>
      </w:r>
      <w:r>
        <w:t xml:space="preserve">, quien declarará sobre la </w:t>
      </w:r>
      <w:r w:rsidR="00A80102">
        <w:t xml:space="preserve">supuesta </w:t>
      </w:r>
      <w:r>
        <w:t xml:space="preserve">reacción del Defensor del Pueblo a la elaboración de la Lista Tascón y sobre su despido de </w:t>
      </w:r>
      <w:r w:rsidR="001E080A">
        <w:t>esa</w:t>
      </w:r>
      <w:r>
        <w:t xml:space="preserve"> Defensoría en </w:t>
      </w:r>
      <w:r w:rsidR="001E080A">
        <w:t xml:space="preserve">supuesta </w:t>
      </w:r>
      <w:r>
        <w:t>aplicación de dicha lista</w:t>
      </w:r>
      <w:r w:rsidR="00B41509">
        <w:t>, así como de</w:t>
      </w:r>
      <w:r w:rsidR="001E080A">
        <w:t xml:space="preserve"> </w:t>
      </w:r>
      <w:r>
        <w:t>otros funcionarios de la misma dependencia.</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Luis Eduardo Delgado Amengual</w:t>
      </w:r>
      <w:r>
        <w:t>, quien declarará sobre cómo y por qué fue despedido de CorpoVargas</w:t>
      </w:r>
      <w:r w:rsidR="001E080A">
        <w:t xml:space="preserve"> (Autoridad Única del área del Estado Vargas)</w:t>
      </w:r>
      <w:r>
        <w:t xml:space="preserve">, cómo </w:t>
      </w:r>
      <w:r w:rsidR="001E080A">
        <w:t xml:space="preserve">se </w:t>
      </w:r>
      <w:r w:rsidR="00A80102">
        <w:t xml:space="preserve">habría </w:t>
      </w:r>
      <w:r w:rsidR="001E080A">
        <w:t>aplicado</w:t>
      </w:r>
      <w:r>
        <w:t xml:space="preserve"> </w:t>
      </w:r>
      <w:r w:rsidR="00A80102">
        <w:t xml:space="preserve">la Lista Tascón </w:t>
      </w:r>
      <w:r w:rsidR="001E080A">
        <w:t>a él y a otros funcionarios de la misma dependencia</w:t>
      </w:r>
      <w:r>
        <w:t>.</w:t>
      </w:r>
    </w:p>
    <w:p w:rsidR="00AF6638" w:rsidRDefault="00AF6638">
      <w:pPr>
        <w:widowControl w:val="0"/>
        <w:tabs>
          <w:tab w:val="left" w:pos="567"/>
          <w:tab w:val="left" w:pos="1134"/>
        </w:tabs>
        <w:spacing w:after="0" w:line="240" w:lineRule="auto"/>
        <w:ind w:left="709" w:right="22"/>
        <w:jc w:val="both"/>
      </w:pPr>
    </w:p>
    <w:p w:rsidR="00AF6638" w:rsidRDefault="002B36E5" w:rsidP="008626DB">
      <w:pPr>
        <w:widowControl w:val="0"/>
        <w:numPr>
          <w:ilvl w:val="0"/>
          <w:numId w:val="5"/>
        </w:numPr>
        <w:tabs>
          <w:tab w:val="left" w:pos="567"/>
          <w:tab w:val="left" w:pos="1134"/>
        </w:tabs>
        <w:spacing w:after="0" w:line="240" w:lineRule="auto"/>
        <w:ind w:left="709" w:right="22" w:firstLine="0"/>
        <w:jc w:val="both"/>
      </w:pPr>
      <w:r>
        <w:rPr>
          <w:i/>
        </w:rPr>
        <w:t>Ezequiel Enrique Zamora Presilla</w:t>
      </w:r>
      <w:r>
        <w:t xml:space="preserve">, quien </w:t>
      </w:r>
      <w:r w:rsidR="001E080A">
        <w:t>fue Rector y Vicepresidente del Consejo Nacional Electoral (CNE)</w:t>
      </w:r>
      <w:r w:rsidR="00B41509">
        <w:t xml:space="preserve"> (en adelante “CNE”)</w:t>
      </w:r>
      <w:r w:rsidR="001E080A">
        <w:t xml:space="preserve"> para el período 2003-2004, </w:t>
      </w:r>
      <w:r>
        <w:t>declarará sobre la forma en que, desde el</w:t>
      </w:r>
      <w:r w:rsidR="001E080A">
        <w:t xml:space="preserve"> CNE</w:t>
      </w:r>
      <w:r>
        <w:t xml:space="preserve">, se habría obstaculizado la realización de </w:t>
      </w:r>
      <w:r w:rsidR="008626DB">
        <w:t xml:space="preserve">los referéndum consultivo y revocatorio; </w:t>
      </w:r>
      <w:r>
        <w:t xml:space="preserve">la forma </w:t>
      </w:r>
      <w:r w:rsidR="008626DB">
        <w:t xml:space="preserve">y tiempo </w:t>
      </w:r>
      <w:r>
        <w:t>en que se dio trámite en el CNE a ambas sol</w:t>
      </w:r>
      <w:r w:rsidR="008626DB">
        <w:t>icitudes;</w:t>
      </w:r>
      <w:r>
        <w:t xml:space="preserve"> </w:t>
      </w:r>
      <w:r w:rsidR="00B41509">
        <w:t xml:space="preserve">y </w:t>
      </w:r>
      <w:r>
        <w:t xml:space="preserve">la </w:t>
      </w:r>
      <w:r w:rsidR="008626DB">
        <w:t xml:space="preserve">supuesta </w:t>
      </w:r>
      <w:r>
        <w:t xml:space="preserve">elaboración de reglas que no existían con anterioridad a la convocatoria del referéndum revocatorio que </w:t>
      </w:r>
      <w:r w:rsidR="008626DB">
        <w:t>habrían agregado</w:t>
      </w:r>
      <w:r>
        <w:t xml:space="preserve"> trámites adicionales a los previstos en el artículo 72 de la Constitución. De igual manera, se referirá a </w:t>
      </w:r>
      <w:r w:rsidR="008626DB">
        <w:t xml:space="preserve">su posición sobre la entrega de copias digitalizadas (planillas) de </w:t>
      </w:r>
      <w:r w:rsidR="008626DB">
        <w:lastRenderedPageBreak/>
        <w:t xml:space="preserve">los firmantes de la solicitud de referéndum al </w:t>
      </w:r>
      <w:r>
        <w:t xml:space="preserve">entonces Presidente de la República </w:t>
      </w:r>
      <w:r w:rsidR="008626DB">
        <w:t>(</w:t>
      </w:r>
      <w:r>
        <w:t>a través del diputado Luis Tascón</w:t>
      </w:r>
      <w:r w:rsidR="008626DB">
        <w:t>) y la legalidad de tal acto</w:t>
      </w:r>
      <w:r>
        <w:t xml:space="preserve">. Asimismo, declarará sobre la </w:t>
      </w:r>
      <w:r w:rsidR="008626DB">
        <w:t xml:space="preserve">supuesta falta </w:t>
      </w:r>
      <w:r>
        <w:t>de independencia de otros rectores del CNE</w:t>
      </w:r>
      <w:r w:rsidR="008626DB">
        <w:t xml:space="preserve"> y la aplicación de dicha lista</w:t>
      </w:r>
      <w:r>
        <w:t>.</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Sobella Rosario Mejias Lizzett</w:t>
      </w:r>
      <w:r>
        <w:t>, quien</w:t>
      </w:r>
      <w:r w:rsidR="008626DB">
        <w:t xml:space="preserve"> fue Rectora del CNE para el período 2003-2006,</w:t>
      </w:r>
      <w:r>
        <w:t xml:space="preserve"> declarará sobre cómo el CNE habría coordinado con el gobierno nacional para obstaculizar y dilatar la </w:t>
      </w:r>
      <w:r w:rsidR="0022315C">
        <w:t>realización</w:t>
      </w:r>
      <w:r>
        <w:t xml:space="preserve"> del referéndum revocatorio; sobre la</w:t>
      </w:r>
      <w:r w:rsidR="008626DB">
        <w:t xml:space="preserve"> supuesta</w:t>
      </w:r>
      <w:r>
        <w:t xml:space="preserve"> elaboración de reglas que no existían con anterioridad a la convocatoria del referéndum que </w:t>
      </w:r>
      <w:r w:rsidR="008626DB">
        <w:t xml:space="preserve">habrían agregado </w:t>
      </w:r>
      <w:r>
        <w:t xml:space="preserve">trámites adicionales a los previstos en el artículo 72 de la Constitución; sobre su posición </w:t>
      </w:r>
      <w:r w:rsidR="00A33FBC">
        <w:t>respecto de</w:t>
      </w:r>
      <w:r>
        <w:t xml:space="preserve"> la entrega de copias digitalizadas de los firmantes de la solicitud de referéndum revocatorio al gobierno nacional</w:t>
      </w:r>
      <w:r w:rsidR="00A33FBC">
        <w:t xml:space="preserve"> y la legalidad de tal acto</w:t>
      </w:r>
      <w:r>
        <w:t>; sobre la</w:t>
      </w:r>
      <w:r w:rsidR="00A33FBC">
        <w:t xml:space="preserve"> aplicación de la</w:t>
      </w:r>
      <w:r>
        <w:t xml:space="preserve"> Lista Tascón y la legalidad de la misma; </w:t>
      </w:r>
      <w:r w:rsidR="00A33FBC">
        <w:t xml:space="preserve">y </w:t>
      </w:r>
      <w:r>
        <w:t xml:space="preserve">sobre la </w:t>
      </w:r>
      <w:r w:rsidR="00A33FBC">
        <w:t xml:space="preserve">supuesta falta </w:t>
      </w:r>
      <w:r>
        <w:t xml:space="preserve">de independencia de </w:t>
      </w:r>
      <w:r w:rsidR="00A33FBC">
        <w:t>otros rectores del CNE</w:t>
      </w:r>
      <w:r>
        <w:t xml:space="preserve">. </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Roberto Antonio Picón Herrera</w:t>
      </w:r>
      <w:r>
        <w:t>, quien declarará sobre la forma en que la Lista Tascón</w:t>
      </w:r>
      <w:r w:rsidR="002879B3">
        <w:t>, “perfeccionada” a través de la llamada “Lista Maisanta”,</w:t>
      </w:r>
      <w:r>
        <w:t xml:space="preserve"> se </w:t>
      </w:r>
      <w:r w:rsidR="00A33FBC">
        <w:t>habría convertido supuestamente</w:t>
      </w:r>
      <w:r>
        <w:t xml:space="preserve"> en una base de datos </w:t>
      </w:r>
      <w:r w:rsidR="00B41509">
        <w:t xml:space="preserve">de </w:t>
      </w:r>
      <w:r>
        <w:t>los ciudadanos venezolanos inscrito</w:t>
      </w:r>
      <w:r w:rsidR="00A33FBC">
        <w:t xml:space="preserve">s en el registro electoral, con </w:t>
      </w:r>
      <w:r>
        <w:t xml:space="preserve">información </w:t>
      </w:r>
      <w:r w:rsidR="00A33FBC">
        <w:t xml:space="preserve">sobre </w:t>
      </w:r>
      <w:r>
        <w:t>l</w:t>
      </w:r>
      <w:r w:rsidR="00A33FBC">
        <w:t xml:space="preserve">a vida privada de las personas, </w:t>
      </w:r>
      <w:r>
        <w:t xml:space="preserve">cuyo </w:t>
      </w:r>
      <w:r w:rsidR="00A33FBC">
        <w:t xml:space="preserve">supuesto </w:t>
      </w:r>
      <w:r>
        <w:t xml:space="preserve">propósito sería el de clasificar a los ciudadanos en </w:t>
      </w:r>
      <w:r w:rsidR="00A33FBC">
        <w:t>“</w:t>
      </w:r>
      <w:r>
        <w:t>chavistas</w:t>
      </w:r>
      <w:r w:rsidR="00A33FBC">
        <w:t>”</w:t>
      </w:r>
      <w:r>
        <w:t xml:space="preserve"> y </w:t>
      </w:r>
      <w:r w:rsidR="00A33FBC">
        <w:t>“</w:t>
      </w:r>
      <w:r>
        <w:t>antichavistas</w:t>
      </w:r>
      <w:r w:rsidR="002879B3">
        <w:t>”;</w:t>
      </w:r>
      <w:r w:rsidR="00A33FBC">
        <w:t xml:space="preserve"> que habría sido distribuida </w:t>
      </w:r>
      <w:r>
        <w:t>en todas las dependencias públicas, tanto en el territo</w:t>
      </w:r>
      <w:r w:rsidR="002879B3">
        <w:t>rio del Estado como fuera de él;</w:t>
      </w:r>
      <w:r>
        <w:t xml:space="preserve"> y que se </w:t>
      </w:r>
      <w:r w:rsidR="00A33FBC">
        <w:t>utilizaría</w:t>
      </w:r>
      <w:r>
        <w:t xml:space="preserve"> para determinar quién tiene derecho a obtener o renovar un documento de identidad, a una beca o cualquier forma de asistencia social del Estado, a ser contratado como funcionario público, a contratar con el Estado y, en general, </w:t>
      </w:r>
      <w:r w:rsidR="00A33FBC">
        <w:t xml:space="preserve">como supuesta forma de persecución de </w:t>
      </w:r>
      <w:r>
        <w:t>la oposición política.</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Vicente Carmelo Bello Ríos</w:t>
      </w:r>
      <w:r>
        <w:t>, quien declarará sobre los obstáculos</w:t>
      </w:r>
      <w:r w:rsidR="00A33FBC">
        <w:t xml:space="preserve"> </w:t>
      </w:r>
      <w:r w:rsidR="002879B3">
        <w:t>que observó</w:t>
      </w:r>
      <w:r w:rsidR="00A33FBC">
        <w:t xml:space="preserve"> en el proceso realizado por </w:t>
      </w:r>
      <w:r>
        <w:t xml:space="preserve">el CNE </w:t>
      </w:r>
      <w:r w:rsidR="00A33FBC">
        <w:t xml:space="preserve">sobre </w:t>
      </w:r>
      <w:r>
        <w:t xml:space="preserve">el referéndum revocatorio; su conocimiento </w:t>
      </w:r>
      <w:r w:rsidR="002879B3">
        <w:t xml:space="preserve">sobre la aplicación </w:t>
      </w:r>
      <w:r>
        <w:t>de la Lista Tascón y la Lista Maisanta</w:t>
      </w:r>
      <w:r w:rsidR="00A33FBC">
        <w:t xml:space="preserve"> y su supuesta aplicación </w:t>
      </w:r>
      <w:r>
        <w:t xml:space="preserve">para discriminar políticamente y para aplicar sanciones de diversa naturaleza </w:t>
      </w:r>
      <w:r w:rsidR="00A33FBC">
        <w:t xml:space="preserve">en Venezuela; </w:t>
      </w:r>
      <w:r>
        <w:t>la</w:t>
      </w:r>
      <w:r w:rsidR="002879B3">
        <w:t xml:space="preserve"> supuesta</w:t>
      </w:r>
      <w:r>
        <w:t xml:space="preserve"> falta de independencia</w:t>
      </w:r>
      <w:r w:rsidR="00A33FBC">
        <w:t xml:space="preserve"> del poder electoral venezolano; </w:t>
      </w:r>
      <w:r w:rsidR="002879B3">
        <w:t xml:space="preserve">y </w:t>
      </w:r>
      <w:r w:rsidR="00A33FBC">
        <w:t xml:space="preserve">la </w:t>
      </w:r>
      <w:r w:rsidR="002879B3">
        <w:t xml:space="preserve">alegada </w:t>
      </w:r>
      <w:r w:rsidR="00A33FBC">
        <w:t>ausencia de normas y sanciones contra la discriminación política.</w:t>
      </w:r>
    </w:p>
    <w:p w:rsidR="00AF6638" w:rsidRDefault="00AF6638">
      <w:pPr>
        <w:widowControl w:val="0"/>
        <w:tabs>
          <w:tab w:val="left" w:pos="567"/>
          <w:tab w:val="left" w:pos="1134"/>
        </w:tabs>
        <w:spacing w:after="0" w:line="240" w:lineRule="auto"/>
        <w:ind w:left="709" w:right="22"/>
        <w:jc w:val="both"/>
      </w:pPr>
    </w:p>
    <w:p w:rsidR="00A97EA7" w:rsidRDefault="002B36E5" w:rsidP="00FE2547">
      <w:pPr>
        <w:widowControl w:val="0"/>
        <w:numPr>
          <w:ilvl w:val="0"/>
          <w:numId w:val="5"/>
        </w:numPr>
        <w:tabs>
          <w:tab w:val="left" w:pos="567"/>
          <w:tab w:val="left" w:pos="1134"/>
        </w:tabs>
        <w:spacing w:after="0" w:line="240" w:lineRule="auto"/>
        <w:ind w:left="709" w:right="22" w:firstLine="0"/>
        <w:jc w:val="both"/>
      </w:pPr>
      <w:r>
        <w:rPr>
          <w:i/>
        </w:rPr>
        <w:t>Vicente José Gregorio Díaz Silva</w:t>
      </w:r>
      <w:r>
        <w:t xml:space="preserve">, quien declarará sobre </w:t>
      </w:r>
      <w:r w:rsidR="00A97EA7">
        <w:t xml:space="preserve">los correctivos </w:t>
      </w:r>
      <w:r w:rsidR="002879B3">
        <w:t>(</w:t>
      </w:r>
      <w:r w:rsidR="00A97EA7">
        <w:t>o ausencia de éstos</w:t>
      </w:r>
      <w:r w:rsidR="002879B3">
        <w:t>)</w:t>
      </w:r>
      <w:r w:rsidR="00A97EA7">
        <w:t xml:space="preserve"> que se </w:t>
      </w:r>
      <w:r w:rsidR="002879B3">
        <w:t>habrían realizado</w:t>
      </w:r>
      <w:r w:rsidR="00A97EA7">
        <w:t xml:space="preserve"> desde el directorio del CNE para generar normas que impidieran la discriminación política en Venezuela para aquellos solicitantes de referéndum y los supuestos problemas de independencia del poder electoral venezolano.</w:t>
      </w:r>
    </w:p>
    <w:p w:rsidR="00A97EA7" w:rsidRPr="00A97EA7" w:rsidRDefault="00A97EA7" w:rsidP="00A97EA7">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María Alejandra de Ugas</w:t>
      </w:r>
      <w:r>
        <w:t>, quien</w:t>
      </w:r>
      <w:r w:rsidR="002879B3">
        <w:t xml:space="preserve"> en su condición de </w:t>
      </w:r>
      <w:r w:rsidR="00F24584">
        <w:t>cónyuge de Gabriel Ugas (funcionario del Consejo Nacional de Fronteras hasta el 5 de abril de 2010)</w:t>
      </w:r>
      <w:r w:rsidR="00B41509">
        <w:t>,</w:t>
      </w:r>
      <w:r>
        <w:t xml:space="preserve"> declarará sobre las actividades de su cónyuge en e</w:t>
      </w:r>
      <w:r w:rsidR="00F24584">
        <w:t>l Consejo Nacional de Fronteras;</w:t>
      </w:r>
      <w:r>
        <w:t xml:space="preserve"> sobre el grado de amistad que </w:t>
      </w:r>
      <w:r w:rsidR="00B41509">
        <w:t>él</w:t>
      </w:r>
      <w:r>
        <w:t xml:space="preserve"> tenía con Feijoo Colomine, Secretario Ejecutivo </w:t>
      </w:r>
      <w:r w:rsidR="00F24584">
        <w:t>de dicho</w:t>
      </w:r>
      <w:r>
        <w:t xml:space="preserve"> Consejo</w:t>
      </w:r>
      <w:r w:rsidR="00F24584">
        <w:t xml:space="preserve">; si su cónyuge le refirió el </w:t>
      </w:r>
      <w:r>
        <w:t xml:space="preserve">conocimiento </w:t>
      </w:r>
      <w:r w:rsidR="00F24584">
        <w:t xml:space="preserve">que tenía </w:t>
      </w:r>
      <w:r>
        <w:t xml:space="preserve">sobre la aplicación de la Lista Tascón en las dependencias del Consejo Nacional de Fronteras y, particularmente, </w:t>
      </w:r>
      <w:r w:rsidR="00F24584">
        <w:t xml:space="preserve">respecto </w:t>
      </w:r>
      <w:r>
        <w:t xml:space="preserve">de </w:t>
      </w:r>
      <w:r w:rsidR="00F24584">
        <w:t>Rocío San Miguel, Magally Chang,</w:t>
      </w:r>
      <w:r>
        <w:t xml:space="preserve"> Thais Peña</w:t>
      </w:r>
      <w:r w:rsidR="00F24584">
        <w:t xml:space="preserve"> y</w:t>
      </w:r>
      <w:r>
        <w:t xml:space="preserve"> Jorge Guerra. Igualmente, declarará sobre el</w:t>
      </w:r>
      <w:r w:rsidR="00F24584">
        <w:t xml:space="preserve"> conocimiento que su esposo tendrí</w:t>
      </w:r>
      <w:r>
        <w:t xml:space="preserve">a </w:t>
      </w:r>
      <w:r w:rsidR="00F24584">
        <w:t xml:space="preserve">respecto </w:t>
      </w:r>
      <w:r>
        <w:t xml:space="preserve">de las presiones ejercidas en contra de Jorge Guerra para que retirara su firma de la lista de </w:t>
      </w:r>
      <w:r w:rsidR="00F24584">
        <w:t>solicitantes del referéndum revocatorio;</w:t>
      </w:r>
      <w:r>
        <w:t xml:space="preserve"> sobre el clima laboral existente en el Consejo Nacional de Fronteras y en las instalaciones del Palacio Blanco </w:t>
      </w:r>
      <w:r w:rsidR="00F24584">
        <w:t xml:space="preserve">de Miraflores a </w:t>
      </w:r>
      <w:r>
        <w:t xml:space="preserve">finales de 2003 y </w:t>
      </w:r>
      <w:r w:rsidR="00F24584">
        <w:t xml:space="preserve">durante </w:t>
      </w:r>
      <w:r>
        <w:t xml:space="preserve">el año 2004, como consecuencia de la aplicación de la Lista Tascón; sobre </w:t>
      </w:r>
      <w:r w:rsidR="00F24584">
        <w:t xml:space="preserve">si </w:t>
      </w:r>
      <w:r>
        <w:t xml:space="preserve">su </w:t>
      </w:r>
      <w:r>
        <w:lastRenderedPageBreak/>
        <w:t xml:space="preserve">esposo le refirió sobre maniobras realizadas en </w:t>
      </w:r>
      <w:r w:rsidR="00F24584">
        <w:t xml:space="preserve">dicho </w:t>
      </w:r>
      <w:r>
        <w:t>Consejo</w:t>
      </w:r>
      <w:r w:rsidR="00F24584">
        <w:t>,</w:t>
      </w:r>
      <w:r>
        <w:t xml:space="preserve"> </w:t>
      </w:r>
      <w:r w:rsidR="00F24584">
        <w:t xml:space="preserve">o sobre coordinaciones supuestamente realizadas con José Vicente Rangel y su consultora Jurídica, Ilia Azpúrua, </w:t>
      </w:r>
      <w:r>
        <w:t xml:space="preserve">para ocultar </w:t>
      </w:r>
      <w:r w:rsidR="00B41509">
        <w:t xml:space="preserve">supuestos hechos </w:t>
      </w:r>
      <w:r>
        <w:t xml:space="preserve">contra Rocío San Miguel, Magally Chang y Thais Peña al despedírseles por </w:t>
      </w:r>
      <w:r w:rsidR="00F24584">
        <w:t xml:space="preserve">supuesta </w:t>
      </w:r>
      <w:r>
        <w:t>aplicación de la Lista Tascón.</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Morelba Karina Molina Noguera</w:t>
      </w:r>
      <w:r>
        <w:t>, quien declarará sobre las actividades realizadas durante el tiempo que laboró en el Consejo Nacional de Fronteras</w:t>
      </w:r>
      <w:r w:rsidR="00A47C1B">
        <w:t xml:space="preserve"> (hasta diciembre de 2008); si tenía </w:t>
      </w:r>
      <w:r>
        <w:t xml:space="preserve">conocimiento sobre la </w:t>
      </w:r>
      <w:r w:rsidR="00A47C1B">
        <w:t xml:space="preserve">supuesta </w:t>
      </w:r>
      <w:r>
        <w:t>aplicación de la Lista Tascón para despedir empleados de la administración pública solicitantes del revocatorio</w:t>
      </w:r>
      <w:r w:rsidR="00A47C1B">
        <w:t xml:space="preserve"> y si le consta si tal fue el caso respecto </w:t>
      </w:r>
      <w:r>
        <w:t>de Rocío San Miguel, Magally Chang y Thais Peña;</w:t>
      </w:r>
      <w:r w:rsidR="00B41509">
        <w:t xml:space="preserve"> sobre</w:t>
      </w:r>
      <w:r>
        <w:t xml:space="preserve"> el uso que se hizo en el CNF de la Lista Tascon para verificar si algún empleado de esa dependencia había firmado la solicitud de revocatoria; </w:t>
      </w:r>
      <w:r w:rsidR="00A47C1B">
        <w:t>si fue testigo d</w:t>
      </w:r>
      <w:r>
        <w:t xml:space="preserve">el miedo que </w:t>
      </w:r>
      <w:r w:rsidR="00A47C1B">
        <w:t xml:space="preserve">supuestamente </w:t>
      </w:r>
      <w:r>
        <w:t xml:space="preserve">existía entre los empleados del CNF </w:t>
      </w:r>
      <w:r w:rsidR="00A47C1B">
        <w:t xml:space="preserve">por aparecer en tal Lista o </w:t>
      </w:r>
      <w:r>
        <w:t>ser identificados como opositores al gobierno;</w:t>
      </w:r>
      <w:r w:rsidR="00A47C1B">
        <w:t xml:space="preserve"> sobre la conducta de los superiores después del despido de dichas personas; si </w:t>
      </w:r>
      <w:r>
        <w:t xml:space="preserve">Jorge </w:t>
      </w:r>
      <w:r w:rsidR="0022315C">
        <w:t>G</w:t>
      </w:r>
      <w:r>
        <w:t xml:space="preserve">uerra </w:t>
      </w:r>
      <w:r w:rsidR="00A47C1B">
        <w:t>aparecía en tal Lista</w:t>
      </w:r>
      <w:r>
        <w:t xml:space="preserve"> y </w:t>
      </w:r>
      <w:r w:rsidR="00A47C1B">
        <w:t xml:space="preserve">si le pidieron </w:t>
      </w:r>
      <w:r>
        <w:t>que retirara su firma a cambio de no ser despedido</w:t>
      </w:r>
      <w:r w:rsidR="00A47C1B">
        <w:t xml:space="preserve">; y si sintió </w:t>
      </w:r>
      <w:r>
        <w:t xml:space="preserve">temor </w:t>
      </w:r>
      <w:r w:rsidR="00A47C1B">
        <w:t xml:space="preserve">de </w:t>
      </w:r>
      <w:r>
        <w:t>ser identificada como opositora al gobierno.</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Antonio José Rivero González</w:t>
      </w:r>
      <w:r>
        <w:t>, quien declarará sobre la aplicación de la Lista Tascón por parte del Ministerio de Relaciones Interiores, así como sobre el número de funcionarios que fueron despedidos de la administración pública como represalia por sus ideas políticas. Asimismo, se referirá a la persona que habría sido responsable de ordenar tales despidos; sobre la discriminación política y la persecución de que fueron víctimas, en particular, quienes firmaron la solicitud de referéndum revocatorio, así como sobre la persona res</w:t>
      </w:r>
      <w:r w:rsidR="0022315C">
        <w:t>p</w:t>
      </w:r>
      <w:r>
        <w:t>onsable de haber ordenado tal política de persecución y discriminación.</w:t>
      </w:r>
    </w:p>
    <w:p w:rsidR="00AF6638" w:rsidRDefault="00AF6638">
      <w:pPr>
        <w:widowControl w:val="0"/>
        <w:tabs>
          <w:tab w:val="left" w:pos="567"/>
          <w:tab w:val="left" w:pos="1134"/>
        </w:tabs>
        <w:spacing w:after="0" w:line="240" w:lineRule="auto"/>
        <w:ind w:left="709" w:right="22"/>
        <w:jc w:val="both"/>
      </w:pPr>
    </w:p>
    <w:p w:rsidR="00AF6638" w:rsidRDefault="002B36E5" w:rsidP="00FE2547">
      <w:pPr>
        <w:widowControl w:val="0"/>
        <w:numPr>
          <w:ilvl w:val="0"/>
          <w:numId w:val="5"/>
        </w:numPr>
        <w:tabs>
          <w:tab w:val="left" w:pos="567"/>
          <w:tab w:val="left" w:pos="1134"/>
        </w:tabs>
        <w:spacing w:after="0" w:line="240" w:lineRule="auto"/>
        <w:ind w:left="709" w:right="22" w:firstLine="0"/>
        <w:jc w:val="both"/>
      </w:pPr>
      <w:r>
        <w:rPr>
          <w:i/>
        </w:rPr>
        <w:t>Ismael Concepción García</w:t>
      </w:r>
      <w:r>
        <w:t xml:space="preserve">, quien declarará sobre el cargo que ejercía durante los años 2003 </w:t>
      </w:r>
      <w:r w:rsidR="002B3F79">
        <w:t xml:space="preserve">y 2004; </w:t>
      </w:r>
      <w:r>
        <w:t>cuál era su vínculo con el oficialismo y con el entonces Presidente de la República</w:t>
      </w:r>
      <w:r w:rsidR="002B3F79">
        <w:t xml:space="preserve">; </w:t>
      </w:r>
      <w:r>
        <w:t xml:space="preserve">su conocimiento en cuanto a cómo se concibió, se elaboró y </w:t>
      </w:r>
      <w:r w:rsidR="002B3F79">
        <w:t xml:space="preserve">supuestamente </w:t>
      </w:r>
      <w:r>
        <w:t>s</w:t>
      </w:r>
      <w:r w:rsidR="002B3F79">
        <w:t xml:space="preserve">e aplicó la Lista Tascón y las alegadas </w:t>
      </w:r>
      <w:r>
        <w:t xml:space="preserve">instrucciones que se impartieron desde el gobierno en torno a </w:t>
      </w:r>
      <w:r w:rsidR="002B3F79">
        <w:t>tal</w:t>
      </w:r>
      <w:r>
        <w:t xml:space="preserve"> lista</w:t>
      </w:r>
      <w:r w:rsidR="002B3F79">
        <w:t xml:space="preserve">; </w:t>
      </w:r>
      <w:r>
        <w:t xml:space="preserve">sobre cómo, desde el año 2004, el gobierno </w:t>
      </w:r>
      <w:r w:rsidR="002B3F79">
        <w:t xml:space="preserve">supuestamente </w:t>
      </w:r>
      <w:r>
        <w:t xml:space="preserve">habría elaborado un plan para tomar represalia en contra de quienes no eran simpatizantes del mismo. Asimismo, declarará sobre quién es el </w:t>
      </w:r>
      <w:r w:rsidR="002B3F79">
        <w:t xml:space="preserve">supuesto </w:t>
      </w:r>
      <w:r>
        <w:t>autor intelectual de la Lista Tascón;</w:t>
      </w:r>
      <w:r w:rsidR="002B3F79">
        <w:t xml:space="preserve"> si</w:t>
      </w:r>
      <w:r>
        <w:t xml:space="preserve"> el </w:t>
      </w:r>
      <w:r w:rsidR="002B3F79">
        <w:t>P</w:t>
      </w:r>
      <w:r>
        <w:t xml:space="preserve">oder </w:t>
      </w:r>
      <w:r w:rsidR="002B3F79">
        <w:t>J</w:t>
      </w:r>
      <w:r>
        <w:t>udicial, la Fiscalía General de la República y la Defensoría del Pue</w:t>
      </w:r>
      <w:r w:rsidR="0022315C">
        <w:t>bl</w:t>
      </w:r>
      <w:r>
        <w:t>o habrían sido cómplices en l</w:t>
      </w:r>
      <w:r w:rsidR="002B3F79">
        <w:t xml:space="preserve">a aplicación de la Lista Tascón; </w:t>
      </w:r>
      <w:r>
        <w:t xml:space="preserve">sobre </w:t>
      </w:r>
      <w:r w:rsidR="002B3F79">
        <w:t xml:space="preserve">supuestas </w:t>
      </w:r>
      <w:r>
        <w:t xml:space="preserve">irregularidades </w:t>
      </w:r>
      <w:r w:rsidR="002B3F79">
        <w:t>cometidas en</w:t>
      </w:r>
      <w:r>
        <w:t xml:space="preserve"> el CNE </w:t>
      </w:r>
      <w:r w:rsidR="0022315C">
        <w:t>co</w:t>
      </w:r>
      <w:r>
        <w:t>n la entrega al gobierno, a través del diputado Luis Tascón, de la copia de las planilla</w:t>
      </w:r>
      <w:r w:rsidR="002B3F79">
        <w:t>s</w:t>
      </w:r>
      <w:r>
        <w:t xml:space="preserve"> con la firma de los solicitante</w:t>
      </w:r>
      <w:r w:rsidR="002B3F79">
        <w:t>s</w:t>
      </w:r>
      <w:r>
        <w:t xml:space="preserve"> del referéndum revocatorio; las razones y la manera en que se habría realizado la e</w:t>
      </w:r>
      <w:r w:rsidR="002B3F79">
        <w:t xml:space="preserve">ntrega de dicha información y el </w:t>
      </w:r>
      <w:r>
        <w:t xml:space="preserve">uso </w:t>
      </w:r>
      <w:r w:rsidR="002B3F79">
        <w:t>que habría hecho</w:t>
      </w:r>
      <w:r>
        <w:t xml:space="preserve"> el gobierno de dicha lista, así como </w:t>
      </w:r>
      <w:r w:rsidR="002B3F79">
        <w:t>los supuestos</w:t>
      </w:r>
      <w:r>
        <w:t xml:space="preserve"> responsables</w:t>
      </w:r>
      <w:r w:rsidR="002B3F79">
        <w:t>. Finalmente, declarará</w:t>
      </w:r>
      <w:r>
        <w:t xml:space="preserve"> sobre las diferencias entre la Lista Tascón y la Lista Maisanta; sobre cómo se habría podido garantizar el proceso de recolección de firmas</w:t>
      </w:r>
      <w:r w:rsidR="002B3F79">
        <w:t>;</w:t>
      </w:r>
      <w:r>
        <w:t xml:space="preserve"> sobre </w:t>
      </w:r>
      <w:r w:rsidR="002B3F79">
        <w:t>las razones por las que el gobierno habría dispuesto “enterrar”</w:t>
      </w:r>
      <w:r>
        <w:t xml:space="preserve"> la Lista Tascón y sobre cuáles elementos permitirían </w:t>
      </w:r>
      <w:r w:rsidR="002B3F79">
        <w:t>afirmar</w:t>
      </w:r>
      <w:r>
        <w:t xml:space="preserve"> que </w:t>
      </w:r>
      <w:r w:rsidR="002B3F79">
        <w:t>tal l</w:t>
      </w:r>
      <w:r>
        <w:t xml:space="preserve">ista u otra lista semejante </w:t>
      </w:r>
      <w:r w:rsidR="002B3F79">
        <w:t>no es</w:t>
      </w:r>
      <w:r>
        <w:t xml:space="preserve"> aplicada en la actualidad.</w:t>
      </w:r>
    </w:p>
    <w:p w:rsidR="00AF6638" w:rsidRDefault="00AF6638">
      <w:pPr>
        <w:tabs>
          <w:tab w:val="left" w:pos="567"/>
          <w:tab w:val="left" w:pos="851"/>
        </w:tabs>
        <w:spacing w:after="0" w:line="240" w:lineRule="auto"/>
        <w:jc w:val="both"/>
      </w:pPr>
    </w:p>
    <w:p w:rsidR="00AF6638" w:rsidRDefault="002B36E5">
      <w:pPr>
        <w:numPr>
          <w:ilvl w:val="0"/>
          <w:numId w:val="1"/>
        </w:numPr>
        <w:tabs>
          <w:tab w:val="left" w:pos="567"/>
        </w:tabs>
        <w:spacing w:after="0" w:line="240" w:lineRule="auto"/>
        <w:ind w:hanging="360"/>
        <w:jc w:val="both"/>
        <w:rPr>
          <w:i/>
        </w:rPr>
      </w:pPr>
      <w:r>
        <w:rPr>
          <w:i/>
        </w:rPr>
        <w:t>Peritos</w:t>
      </w:r>
    </w:p>
    <w:p w:rsidR="00AF6638" w:rsidRDefault="00AF6638">
      <w:pPr>
        <w:tabs>
          <w:tab w:val="left" w:pos="567"/>
        </w:tabs>
        <w:spacing w:after="0" w:line="240" w:lineRule="auto"/>
        <w:ind w:left="720"/>
        <w:jc w:val="both"/>
      </w:pPr>
    </w:p>
    <w:p w:rsidR="00AF6638" w:rsidRDefault="002B36E5">
      <w:pPr>
        <w:widowControl w:val="0"/>
        <w:tabs>
          <w:tab w:val="left" w:pos="567"/>
          <w:tab w:val="left" w:pos="1134"/>
        </w:tabs>
        <w:spacing w:after="0" w:line="240" w:lineRule="auto"/>
        <w:ind w:left="720"/>
        <w:jc w:val="both"/>
      </w:pPr>
      <w:r>
        <w:rPr>
          <w:i/>
        </w:rPr>
        <w:t xml:space="preserve">Propuestos por el representante </w:t>
      </w:r>
    </w:p>
    <w:p w:rsidR="00AF6638" w:rsidRDefault="00AF6638">
      <w:pPr>
        <w:widowControl w:val="0"/>
        <w:tabs>
          <w:tab w:val="left" w:pos="567"/>
          <w:tab w:val="left" w:pos="1134"/>
        </w:tabs>
        <w:spacing w:after="0" w:line="240" w:lineRule="auto"/>
        <w:ind w:left="720"/>
        <w:jc w:val="both"/>
      </w:pPr>
    </w:p>
    <w:p w:rsidR="00AF6638" w:rsidRDefault="002B36E5">
      <w:pPr>
        <w:widowControl w:val="0"/>
        <w:tabs>
          <w:tab w:val="left" w:pos="567"/>
          <w:tab w:val="left" w:pos="1134"/>
        </w:tabs>
        <w:spacing w:after="0" w:line="240" w:lineRule="auto"/>
        <w:ind w:left="709" w:right="22"/>
        <w:jc w:val="both"/>
      </w:pPr>
      <w:r>
        <w:lastRenderedPageBreak/>
        <w:t>1.</w:t>
      </w:r>
      <w:r>
        <w:tab/>
      </w:r>
      <w:r>
        <w:rPr>
          <w:i/>
        </w:rPr>
        <w:t xml:space="preserve">Luis Salamanca, </w:t>
      </w:r>
      <w:r>
        <w:t xml:space="preserve">quien declarará sobre la forma cómo el CNE </w:t>
      </w:r>
      <w:r w:rsidR="002B3F79">
        <w:t>habría supuestamente coordinado</w:t>
      </w:r>
      <w:r>
        <w:t xml:space="preserve"> con el gobierno nacional para </w:t>
      </w:r>
      <w:r w:rsidR="002B3F79">
        <w:t>obstaculizar y dilatar</w:t>
      </w:r>
      <w:r>
        <w:t xml:space="preserve"> la realizac</w:t>
      </w:r>
      <w:r w:rsidR="002B3F79">
        <w:t xml:space="preserve">ión del referéndum revocatorio; sobre la supuesta </w:t>
      </w:r>
      <w:r>
        <w:t xml:space="preserve">elaboración de reglas que no existían con anterioridad a la convocatoria del referéndum y que </w:t>
      </w:r>
      <w:r w:rsidR="00243343">
        <w:t xml:space="preserve">habrían agregado </w:t>
      </w:r>
      <w:r>
        <w:t>trámites a los previstos en el artículo 72 de la Constitución</w:t>
      </w:r>
      <w:r w:rsidR="00243343">
        <w:t xml:space="preserve">; si se violó o incumplió normativa con </w:t>
      </w:r>
      <w:r>
        <w:t xml:space="preserve">la entrega de las copias digitalizadas de los firmantes de la solicitud de referéndum </w:t>
      </w:r>
      <w:r w:rsidR="00243343">
        <w:t xml:space="preserve">al gobierno nacional y </w:t>
      </w:r>
      <w:r>
        <w:t>la legalidad de dicho acto</w:t>
      </w:r>
      <w:r w:rsidR="00243343">
        <w:t>;</w:t>
      </w:r>
      <w:r>
        <w:t xml:space="preserve"> sobre </w:t>
      </w:r>
      <w:r w:rsidR="009F2BCC">
        <w:t>la Lista Tascón, la legalidad de la misma</w:t>
      </w:r>
      <w:r w:rsidR="001D24AD">
        <w:t xml:space="preserve"> y si su confección podía atribuirse al gobierno, así como sobre </w:t>
      </w:r>
      <w:r>
        <w:t xml:space="preserve">la </w:t>
      </w:r>
      <w:r w:rsidR="001D24AD">
        <w:t xml:space="preserve">supuesta </w:t>
      </w:r>
      <w:r>
        <w:t xml:space="preserve">falta de independencia de otros rectores del </w:t>
      </w:r>
      <w:r w:rsidR="001D24AD">
        <w:t>CNE.</w:t>
      </w:r>
    </w:p>
    <w:p w:rsidR="00AF6638" w:rsidRDefault="00AF6638">
      <w:pPr>
        <w:widowControl w:val="0"/>
        <w:tabs>
          <w:tab w:val="left" w:pos="567"/>
          <w:tab w:val="left" w:pos="1134"/>
        </w:tabs>
        <w:spacing w:after="0" w:line="240" w:lineRule="auto"/>
        <w:ind w:left="709" w:right="22"/>
        <w:jc w:val="both"/>
      </w:pPr>
    </w:p>
    <w:p w:rsidR="00AF6638" w:rsidRDefault="002B36E5">
      <w:pPr>
        <w:widowControl w:val="0"/>
        <w:tabs>
          <w:tab w:val="left" w:pos="567"/>
          <w:tab w:val="left" w:pos="1134"/>
        </w:tabs>
        <w:spacing w:after="0" w:line="240" w:lineRule="auto"/>
        <w:ind w:left="709" w:right="22"/>
        <w:jc w:val="both"/>
      </w:pPr>
      <w:r>
        <w:t>2.</w:t>
      </w:r>
      <w:r>
        <w:tab/>
      </w:r>
      <w:r>
        <w:rPr>
          <w:i/>
        </w:rPr>
        <w:t>Ligia Bolívar</w:t>
      </w:r>
      <w:r>
        <w:t xml:space="preserve">, quien declarará sobre la historia de la Lista Tascón y sus consecuencias políticas y sociales; la experiencia del Centro de Derechos Humanos de la </w:t>
      </w:r>
      <w:r w:rsidR="001D24AD">
        <w:t>Universidad Católica Andrés Bello de Venezuela</w:t>
      </w:r>
      <w:r>
        <w:t xml:space="preserve"> con </w:t>
      </w:r>
      <w:r w:rsidR="001D24AD">
        <w:t xml:space="preserve">supuestas </w:t>
      </w:r>
      <w:r>
        <w:t xml:space="preserve">víctimas de discriminación política; el efecto que tuvo </w:t>
      </w:r>
      <w:r w:rsidR="001D24AD">
        <w:t xml:space="preserve">tal lista </w:t>
      </w:r>
      <w:r>
        <w:t xml:space="preserve">para las </w:t>
      </w:r>
      <w:r w:rsidR="001D24AD">
        <w:t xml:space="preserve">presuntas </w:t>
      </w:r>
      <w:r>
        <w:t xml:space="preserve">víctimas; el miedo a denunciar por parte de quienes </w:t>
      </w:r>
      <w:r w:rsidR="001D24AD">
        <w:t xml:space="preserve">les habría sido aplicada tal lista; </w:t>
      </w:r>
      <w:r>
        <w:t xml:space="preserve">la </w:t>
      </w:r>
      <w:r w:rsidR="001D24AD">
        <w:t xml:space="preserve">supuesta </w:t>
      </w:r>
      <w:r>
        <w:t xml:space="preserve">concertación que se produjo entre los distintos poderes públicos para </w:t>
      </w:r>
      <w:r w:rsidR="001D24AD">
        <w:t xml:space="preserve">su </w:t>
      </w:r>
      <w:r>
        <w:t xml:space="preserve">aplicación; </w:t>
      </w:r>
      <w:r w:rsidR="001D24AD">
        <w:t xml:space="preserve">y </w:t>
      </w:r>
      <w:r>
        <w:t xml:space="preserve">la </w:t>
      </w:r>
      <w:r w:rsidR="001D24AD">
        <w:t xml:space="preserve">supuesta </w:t>
      </w:r>
      <w:r>
        <w:t xml:space="preserve">ineficacia de los recursos jurisdiccionales disponibles </w:t>
      </w:r>
      <w:r w:rsidR="001D24AD">
        <w:t>al respecto.</w:t>
      </w:r>
    </w:p>
    <w:p w:rsidR="00AF6638" w:rsidRDefault="00AF6638">
      <w:pPr>
        <w:widowControl w:val="0"/>
        <w:tabs>
          <w:tab w:val="left" w:pos="567"/>
          <w:tab w:val="left" w:pos="1134"/>
        </w:tabs>
        <w:spacing w:after="0" w:line="240" w:lineRule="auto"/>
        <w:ind w:left="709" w:right="22"/>
        <w:jc w:val="both"/>
      </w:pPr>
    </w:p>
    <w:p w:rsidR="00AF6638" w:rsidRDefault="002B36E5">
      <w:pPr>
        <w:widowControl w:val="0"/>
        <w:tabs>
          <w:tab w:val="left" w:pos="567"/>
          <w:tab w:val="left" w:pos="1134"/>
        </w:tabs>
        <w:spacing w:after="0" w:line="240" w:lineRule="auto"/>
        <w:ind w:left="709" w:right="22"/>
        <w:jc w:val="both"/>
      </w:pPr>
      <w:r>
        <w:t xml:space="preserve">3. </w:t>
      </w:r>
      <w:r>
        <w:rPr>
          <w:i/>
        </w:rPr>
        <w:t>Alberto Arteaga Sánchez</w:t>
      </w:r>
      <w:r>
        <w:t>, quien declarará sobre el valor probatorio de la grabación de conversaciones telefónicas realizadas por una de las partes en dichas conversaciones pero sin el conocimiento o consentimiento de la otra parte, cuando dichas conversaciones versan sobre asuntos de interés público</w:t>
      </w:r>
      <w:r w:rsidR="00DC2F42">
        <w:t>, o</w:t>
      </w:r>
      <w:r>
        <w:t xml:space="preserve"> son evidencia de la comisión de un delito o de un acto arbitrario que viola derechos humanos de quien realiza esa grabación, y su divulgación no interfiere</w:t>
      </w:r>
    </w:p>
    <w:p w:rsidR="00AF6638" w:rsidRDefault="002B36E5">
      <w:pPr>
        <w:widowControl w:val="0"/>
        <w:tabs>
          <w:tab w:val="left" w:pos="567"/>
          <w:tab w:val="left" w:pos="1134"/>
        </w:tabs>
        <w:spacing w:after="0" w:line="240" w:lineRule="auto"/>
        <w:ind w:left="709" w:right="22"/>
        <w:jc w:val="both"/>
      </w:pPr>
      <w:r>
        <w:t>con la vida privada o con los derechos de la otra parte en esa grabación</w:t>
      </w:r>
      <w:r w:rsidR="00DC2F42">
        <w:t>.</w:t>
      </w:r>
    </w:p>
    <w:p w:rsidR="00AF6638" w:rsidRDefault="00AF6638">
      <w:pPr>
        <w:widowControl w:val="0"/>
        <w:tabs>
          <w:tab w:val="left" w:pos="567"/>
          <w:tab w:val="left" w:pos="1134"/>
        </w:tabs>
        <w:spacing w:after="0" w:line="240" w:lineRule="auto"/>
        <w:ind w:left="709" w:right="22"/>
        <w:jc w:val="both"/>
      </w:pPr>
    </w:p>
    <w:p w:rsidR="00AF6638" w:rsidRDefault="002B36E5">
      <w:pPr>
        <w:widowControl w:val="0"/>
        <w:tabs>
          <w:tab w:val="left" w:pos="567"/>
          <w:tab w:val="left" w:pos="1134"/>
        </w:tabs>
        <w:spacing w:after="0" w:line="240" w:lineRule="auto"/>
        <w:ind w:left="709" w:right="22"/>
        <w:jc w:val="both"/>
      </w:pPr>
      <w:r>
        <w:t>4.</w:t>
      </w:r>
      <w:r>
        <w:tab/>
      </w:r>
      <w:r>
        <w:rPr>
          <w:i/>
        </w:rPr>
        <w:t>Oscar Lucien</w:t>
      </w:r>
      <w:r>
        <w:t xml:space="preserve">, quien declarará sobre el ejercicio del derecho a solicitar la revocatoria del mandato del </w:t>
      </w:r>
      <w:r w:rsidR="002A1BBC">
        <w:t>P</w:t>
      </w:r>
      <w:r>
        <w:t xml:space="preserve">residente de la República; la historia de la recolección de firmas para el </w:t>
      </w:r>
      <w:r w:rsidR="002A1BBC">
        <w:t xml:space="preserve">referéndum </w:t>
      </w:r>
      <w:r>
        <w:t>revocatorio del mandato del Presidente en 2003 y 2004</w:t>
      </w:r>
      <w:r w:rsidR="002A1BBC">
        <w:t xml:space="preserve"> y</w:t>
      </w:r>
      <w:r>
        <w:t xml:space="preserve"> las </w:t>
      </w:r>
      <w:r w:rsidR="002A1BBC">
        <w:t xml:space="preserve">supuestas </w:t>
      </w:r>
      <w:r>
        <w:t>dificultades y obstáculos</w:t>
      </w:r>
      <w:r w:rsidR="002A1BBC">
        <w:t xml:space="preserve"> al respecto</w:t>
      </w:r>
      <w:r>
        <w:t>; la persecución política a quienes firmaron</w:t>
      </w:r>
      <w:r w:rsidR="002A1BBC">
        <w:t>,</w:t>
      </w:r>
      <w:r>
        <w:t xml:space="preserve"> el discurso político</w:t>
      </w:r>
      <w:r w:rsidR="002A1BBC">
        <w:t xml:space="preserve"> y </w:t>
      </w:r>
      <w:r>
        <w:t xml:space="preserve">las </w:t>
      </w:r>
      <w:r w:rsidR="002A1BBC">
        <w:t xml:space="preserve">supuestas </w:t>
      </w:r>
      <w:r>
        <w:t>amenazas y presiones</w:t>
      </w:r>
      <w:r w:rsidR="002A1BBC">
        <w:t xml:space="preserve"> </w:t>
      </w:r>
      <w:r>
        <w:t xml:space="preserve">para retirar las firmas; el impacto social y político que tuvo la aplicación de la Lista Tascón en Venezuela; las </w:t>
      </w:r>
      <w:r w:rsidR="002A1BBC">
        <w:t>“</w:t>
      </w:r>
      <w:r>
        <w:t>historias detrás de la historia</w:t>
      </w:r>
      <w:r w:rsidR="002A1BBC">
        <w:t>”</w:t>
      </w:r>
      <w:r>
        <w:t xml:space="preserve"> del vídeo </w:t>
      </w:r>
      <w:r w:rsidR="002A1BBC">
        <w:t>“</w:t>
      </w:r>
      <w:r>
        <w:t>La Lista</w:t>
      </w:r>
      <w:r w:rsidR="002A1BBC">
        <w:t>”</w:t>
      </w:r>
      <w:r>
        <w:t xml:space="preserve"> </w:t>
      </w:r>
      <w:r w:rsidR="002A1BBC">
        <w:t>y el significado del mensaje del entonces Presidente al ordenar</w:t>
      </w:r>
      <w:r>
        <w:t xml:space="preserve">, en el año 2008, que no se utilizara más </w:t>
      </w:r>
      <w:r w:rsidR="002A1BBC">
        <w:t>tal l</w:t>
      </w:r>
      <w:r>
        <w:t>ista</w:t>
      </w:r>
      <w:r w:rsidR="002A1BBC">
        <w:t>.</w:t>
      </w:r>
    </w:p>
    <w:p w:rsidR="00AF6638" w:rsidRDefault="00AF6638">
      <w:pPr>
        <w:widowControl w:val="0"/>
        <w:tabs>
          <w:tab w:val="left" w:pos="567"/>
          <w:tab w:val="left" w:pos="1134"/>
        </w:tabs>
        <w:spacing w:after="0" w:line="240" w:lineRule="auto"/>
        <w:ind w:left="709" w:right="22"/>
        <w:jc w:val="both"/>
      </w:pPr>
    </w:p>
    <w:p w:rsidR="00AF6638" w:rsidRDefault="002B36E5">
      <w:pPr>
        <w:widowControl w:val="0"/>
        <w:tabs>
          <w:tab w:val="left" w:pos="567"/>
          <w:tab w:val="left" w:pos="1134"/>
        </w:tabs>
        <w:spacing w:after="0" w:line="240" w:lineRule="auto"/>
        <w:ind w:left="709" w:right="22"/>
        <w:jc w:val="both"/>
      </w:pPr>
      <w:r>
        <w:t xml:space="preserve">5. </w:t>
      </w:r>
      <w:r>
        <w:tab/>
      </w:r>
      <w:r>
        <w:rPr>
          <w:i/>
        </w:rPr>
        <w:t>Ana Julia Jatar</w:t>
      </w:r>
      <w:r>
        <w:t xml:space="preserve">, quien declarará sobre la historia de la </w:t>
      </w:r>
      <w:r w:rsidR="003D3B50">
        <w:t>L</w:t>
      </w:r>
      <w:r>
        <w:t>ista Tascón y las consecuencias políticas y sociales de su aplicación; las represalias ejercidas sobre los organizadores del proceso de recolección de firmas para el revocatorio del mandato del presidente Hugo Chávez; las</w:t>
      </w:r>
      <w:r w:rsidR="002A1BBC">
        <w:t xml:space="preserve"> supuestas</w:t>
      </w:r>
      <w:r>
        <w:t xml:space="preserve"> represalias ejercidas sobre </w:t>
      </w:r>
      <w:r w:rsidR="002A1BBC">
        <w:t xml:space="preserve">los organizadores del proceso de recolección de firmas y sobre quienes </w:t>
      </w:r>
      <w:r>
        <w:t xml:space="preserve">firmaron; las presiones ejercidas para que retiraran sus firmas; </w:t>
      </w:r>
      <w:r w:rsidR="002A1BBC">
        <w:t xml:space="preserve">sobre </w:t>
      </w:r>
      <w:r>
        <w:t xml:space="preserve">lo que pudieron apreciar las misiones de observación internacional en relación con las jornadas de recolección de firmas y la labor del CNE; la dimensión de la aplicación de la Lista Tascón; la </w:t>
      </w:r>
      <w:r w:rsidR="002A1BBC">
        <w:t xml:space="preserve">supuestas </w:t>
      </w:r>
      <w:r>
        <w:t>segregación social en función de la ideología de los ciudadanos; el temor que la aplicación de Lista Tascón</w:t>
      </w:r>
      <w:r w:rsidR="002A1BBC">
        <w:t xml:space="preserve"> habría generado</w:t>
      </w:r>
      <w:r>
        <w:t xml:space="preserve"> en la población y el efecto que </w:t>
      </w:r>
      <w:r w:rsidR="002A1BBC">
        <w:t xml:space="preserve">tuvo </w:t>
      </w:r>
      <w:r>
        <w:t xml:space="preserve">para las </w:t>
      </w:r>
      <w:r w:rsidR="002A1BBC">
        <w:t xml:space="preserve">presuntas </w:t>
      </w:r>
      <w:r>
        <w:t>víctimas en este caso; y las razones por las que</w:t>
      </w:r>
      <w:r w:rsidR="002A1BBC">
        <w:t xml:space="preserve"> </w:t>
      </w:r>
      <w:r>
        <w:t xml:space="preserve">el </w:t>
      </w:r>
      <w:r w:rsidR="002A1BBC">
        <w:t>entonces P</w:t>
      </w:r>
      <w:r>
        <w:t xml:space="preserve">residente ordenó que no se utilizara más </w:t>
      </w:r>
      <w:r w:rsidR="002A1BBC">
        <w:t>tal lista.</w:t>
      </w:r>
    </w:p>
    <w:p w:rsidR="00AF6638" w:rsidRDefault="00AF6638">
      <w:pPr>
        <w:widowControl w:val="0"/>
        <w:tabs>
          <w:tab w:val="left" w:pos="567"/>
          <w:tab w:val="left" w:pos="1134"/>
        </w:tabs>
        <w:spacing w:after="0" w:line="240" w:lineRule="auto"/>
        <w:ind w:left="709" w:right="22"/>
        <w:jc w:val="both"/>
      </w:pPr>
    </w:p>
    <w:p w:rsidR="00AF6638" w:rsidRDefault="002B36E5" w:rsidP="002A1BBC">
      <w:pPr>
        <w:pStyle w:val="ListParagraph"/>
        <w:widowControl w:val="0"/>
        <w:numPr>
          <w:ilvl w:val="0"/>
          <w:numId w:val="2"/>
        </w:numPr>
        <w:spacing w:after="0" w:line="240" w:lineRule="auto"/>
        <w:ind w:left="709" w:right="22"/>
        <w:jc w:val="both"/>
      </w:pPr>
      <w:r w:rsidRPr="002A1BBC">
        <w:rPr>
          <w:i/>
        </w:rPr>
        <w:t>Colette Capriles Sandner</w:t>
      </w:r>
      <w:r>
        <w:t xml:space="preserve">, quien declarará sobre los efectos psicológicos y </w:t>
      </w:r>
      <w:r>
        <w:lastRenderedPageBreak/>
        <w:t xml:space="preserve">sociales que </w:t>
      </w:r>
      <w:r w:rsidR="002A1BBC">
        <w:t>habría tenido</w:t>
      </w:r>
      <w:r>
        <w:t xml:space="preserve"> la </w:t>
      </w:r>
      <w:r w:rsidR="003D3B50">
        <w:t>L</w:t>
      </w:r>
      <w:r>
        <w:t>ista Tascón en la sociedad venezolana</w:t>
      </w:r>
      <w:r w:rsidR="002A1BBC">
        <w:t>;</w:t>
      </w:r>
      <w:r>
        <w:t xml:space="preserve"> </w:t>
      </w:r>
      <w:r w:rsidR="002A1BBC">
        <w:t>e</w:t>
      </w:r>
      <w:r>
        <w:t xml:space="preserve">l </w:t>
      </w:r>
      <w:r w:rsidR="002A1BBC">
        <w:t>supuesto “</w:t>
      </w:r>
      <w:r>
        <w:t>discurso de odio</w:t>
      </w:r>
      <w:r w:rsidR="002A1BBC">
        <w:t>”</w:t>
      </w:r>
      <w:r>
        <w:t xml:space="preserve"> de los agentes </w:t>
      </w:r>
      <w:r w:rsidR="002A1BBC">
        <w:t xml:space="preserve">estatales </w:t>
      </w:r>
      <w:r>
        <w:t>respecto de los firmantes</w:t>
      </w:r>
      <w:r w:rsidR="002A1BBC">
        <w:t>;</w:t>
      </w:r>
      <w:r>
        <w:t xml:space="preserve"> </w:t>
      </w:r>
      <w:r w:rsidR="002A1BBC">
        <w:t>y l</w:t>
      </w:r>
      <w:r>
        <w:t>a estigmatización</w:t>
      </w:r>
      <w:r w:rsidR="002A1BBC">
        <w:t xml:space="preserve"> y </w:t>
      </w:r>
      <w:r>
        <w:t>sentimiento</w:t>
      </w:r>
      <w:r w:rsidR="002A1BBC">
        <w:t>s</w:t>
      </w:r>
      <w:r>
        <w:t xml:space="preserve"> </w:t>
      </w:r>
      <w:r w:rsidR="002A1BBC">
        <w:t xml:space="preserve">supuestamente generados </w:t>
      </w:r>
      <w:r>
        <w:t xml:space="preserve">ante la ausencia de una instancia a la </w:t>
      </w:r>
      <w:r w:rsidR="002A1BBC">
        <w:t xml:space="preserve">cual </w:t>
      </w:r>
      <w:r>
        <w:t>recurrir</w:t>
      </w:r>
      <w:r w:rsidR="002A1BBC">
        <w:t>.</w:t>
      </w:r>
    </w:p>
    <w:p w:rsidR="002A1BBC" w:rsidRPr="002A1BBC" w:rsidRDefault="002A1BBC" w:rsidP="002A1BBC">
      <w:pPr>
        <w:pStyle w:val="ListParagraph"/>
        <w:widowControl w:val="0"/>
        <w:spacing w:after="0" w:line="240" w:lineRule="auto"/>
        <w:ind w:left="709" w:right="22"/>
        <w:jc w:val="both"/>
      </w:pPr>
    </w:p>
    <w:p w:rsidR="00C34CD2" w:rsidRDefault="002A1BBC" w:rsidP="00C34CD2">
      <w:pPr>
        <w:pStyle w:val="ListParagraph"/>
        <w:widowControl w:val="0"/>
        <w:numPr>
          <w:ilvl w:val="0"/>
          <w:numId w:val="2"/>
        </w:numPr>
        <w:spacing w:after="0" w:line="240" w:lineRule="auto"/>
        <w:ind w:left="709" w:right="22"/>
        <w:jc w:val="both"/>
      </w:pPr>
      <w:r>
        <w:rPr>
          <w:i/>
        </w:rPr>
        <w:t>Pedro Enrique Rodríguez</w:t>
      </w:r>
      <w:r>
        <w:t xml:space="preserve">, quien declarará sobre </w:t>
      </w:r>
      <w:r w:rsidR="00C03904">
        <w:t>su experiencia en la atención psicológica a grupos de personas a quienes se les habría aplicado la Lista Tascón y su evaluación profesional de las señoras Thais Peña y Magally Chang.</w:t>
      </w:r>
    </w:p>
    <w:p w:rsidR="00C34CD2" w:rsidRPr="00C34CD2" w:rsidRDefault="00C34CD2" w:rsidP="00C34CD2">
      <w:pPr>
        <w:pStyle w:val="ListParagraph"/>
        <w:rPr>
          <w:i/>
        </w:rPr>
      </w:pPr>
    </w:p>
    <w:p w:rsidR="00C34CD2" w:rsidRDefault="002B36E5" w:rsidP="00C34CD2">
      <w:pPr>
        <w:pStyle w:val="ListParagraph"/>
        <w:widowControl w:val="0"/>
        <w:numPr>
          <w:ilvl w:val="0"/>
          <w:numId w:val="2"/>
        </w:numPr>
        <w:spacing w:after="0" w:line="240" w:lineRule="auto"/>
        <w:ind w:left="709" w:right="22"/>
        <w:jc w:val="both"/>
      </w:pPr>
      <w:r w:rsidRPr="00C34CD2">
        <w:rPr>
          <w:i/>
        </w:rPr>
        <w:t>Manuel Gerardo Réquiz Cordero</w:t>
      </w:r>
      <w:r>
        <w:t>, quien declarará sobre la evaluación profesional</w:t>
      </w:r>
      <w:r w:rsidR="003E63D9">
        <w:t xml:space="preserve"> psicológica </w:t>
      </w:r>
      <w:r>
        <w:t>de la señora Rocío San Miguel</w:t>
      </w:r>
      <w:r w:rsidR="003E63D9">
        <w:t xml:space="preserve"> en el año 2004. </w:t>
      </w:r>
    </w:p>
    <w:p w:rsidR="00C34CD2" w:rsidRPr="00C34CD2" w:rsidRDefault="00C34CD2" w:rsidP="00C34CD2">
      <w:pPr>
        <w:pStyle w:val="ListParagraph"/>
        <w:rPr>
          <w:i/>
        </w:rPr>
      </w:pPr>
    </w:p>
    <w:p w:rsidR="00C34CD2" w:rsidRDefault="002B36E5" w:rsidP="00C34CD2">
      <w:pPr>
        <w:pStyle w:val="ListParagraph"/>
        <w:widowControl w:val="0"/>
        <w:numPr>
          <w:ilvl w:val="0"/>
          <w:numId w:val="2"/>
        </w:numPr>
        <w:spacing w:after="0" w:line="240" w:lineRule="auto"/>
        <w:ind w:left="709" w:right="22"/>
        <w:jc w:val="both"/>
      </w:pPr>
      <w:r w:rsidRPr="00C34CD2">
        <w:rPr>
          <w:i/>
        </w:rPr>
        <w:t>Sergio Garroni Calatrava</w:t>
      </w:r>
      <w:r>
        <w:t xml:space="preserve">, quien declarará sobre </w:t>
      </w:r>
      <w:r w:rsidR="00BC7875">
        <w:t xml:space="preserve">los efectos y sentimientos que habría generado en la población la supuesta aplicación de </w:t>
      </w:r>
      <w:r>
        <w:t>la Li</w:t>
      </w:r>
      <w:r w:rsidR="00BC7875">
        <w:t xml:space="preserve">sta Tascón y, en particular, en personas que supuestamente habrían sido discriminadas políticamente, en sus relaciones sociales y familiares; sobre </w:t>
      </w:r>
      <w:r>
        <w:t xml:space="preserve">cómo </w:t>
      </w:r>
      <w:r w:rsidR="00BC7875">
        <w:t>puede afectar el despido de</w:t>
      </w:r>
      <w:r>
        <w:t xml:space="preserve"> una persona de mediana edad </w:t>
      </w:r>
      <w:r w:rsidR="00BC7875">
        <w:t>en su proyecto de vida y, cuando es por razones políticas, también a su entorno familiar.</w:t>
      </w:r>
      <w:r>
        <w:t xml:space="preserve"> </w:t>
      </w:r>
    </w:p>
    <w:p w:rsidR="00C34CD2" w:rsidRPr="00C34CD2" w:rsidRDefault="00C34CD2" w:rsidP="00C34CD2">
      <w:pPr>
        <w:pStyle w:val="ListParagraph"/>
        <w:rPr>
          <w:i/>
        </w:rPr>
      </w:pPr>
    </w:p>
    <w:p w:rsidR="00AF6638" w:rsidRDefault="002B36E5" w:rsidP="00C34CD2">
      <w:pPr>
        <w:pStyle w:val="ListParagraph"/>
        <w:widowControl w:val="0"/>
        <w:numPr>
          <w:ilvl w:val="0"/>
          <w:numId w:val="2"/>
        </w:numPr>
        <w:spacing w:after="0" w:line="240" w:lineRule="auto"/>
        <w:ind w:left="709" w:right="22"/>
        <w:jc w:val="both"/>
      </w:pPr>
      <w:r w:rsidRPr="00C34CD2">
        <w:rPr>
          <w:i/>
        </w:rPr>
        <w:t>Elsa Cristina González Pérez</w:t>
      </w:r>
      <w:r>
        <w:t>, qu</w:t>
      </w:r>
      <w:r w:rsidR="005F703C">
        <w:t xml:space="preserve">ien declarará sobre los supuestos efectos </w:t>
      </w:r>
      <w:r>
        <w:t>de la discriminación política, el discurso de odio, la polarización soc</w:t>
      </w:r>
      <w:r w:rsidR="005F703C">
        <w:t>ial y política, la intimidación</w:t>
      </w:r>
      <w:r>
        <w:t xml:space="preserve"> y la exclusión social ejercidos contra</w:t>
      </w:r>
      <w:r w:rsidR="005F703C">
        <w:t xml:space="preserve"> supuestos</w:t>
      </w:r>
      <w:r>
        <w:t xml:space="preserve"> opositores, disidentes o críticos del gobierno </w:t>
      </w:r>
      <w:r w:rsidR="005F703C">
        <w:t xml:space="preserve">en personas </w:t>
      </w:r>
      <w:r>
        <w:t>que ella ha podido evaluar</w:t>
      </w:r>
      <w:r w:rsidR="005F703C">
        <w:t xml:space="preserve">, en particular </w:t>
      </w:r>
      <w:r>
        <w:t>las consecuencias físicas o psicológicas</w:t>
      </w:r>
      <w:r w:rsidR="005F703C">
        <w:t xml:space="preserve"> o en las áreas social, familiar y laboral.</w:t>
      </w:r>
      <w:r>
        <w:t xml:space="preserve"> </w:t>
      </w:r>
    </w:p>
    <w:p w:rsidR="00C34CD2" w:rsidRDefault="00C34CD2" w:rsidP="00C34CD2">
      <w:pPr>
        <w:widowControl w:val="0"/>
        <w:tabs>
          <w:tab w:val="left" w:pos="567"/>
          <w:tab w:val="left" w:pos="1134"/>
        </w:tabs>
        <w:spacing w:after="0" w:line="240" w:lineRule="auto"/>
        <w:ind w:right="22" w:firstLine="426"/>
        <w:jc w:val="both"/>
        <w:rPr>
          <w:i/>
        </w:rPr>
      </w:pPr>
    </w:p>
    <w:p w:rsidR="00C34CD2" w:rsidRPr="00FE2547" w:rsidRDefault="00C34CD2" w:rsidP="00C34CD2">
      <w:pPr>
        <w:widowControl w:val="0"/>
        <w:tabs>
          <w:tab w:val="left" w:pos="567"/>
          <w:tab w:val="left" w:pos="1134"/>
        </w:tabs>
        <w:spacing w:after="0" w:line="240" w:lineRule="auto"/>
        <w:ind w:right="22" w:firstLine="426"/>
        <w:jc w:val="both"/>
        <w:rPr>
          <w:i/>
        </w:rPr>
      </w:pPr>
      <w:r w:rsidRPr="00FE2547">
        <w:rPr>
          <w:i/>
        </w:rPr>
        <w:t>Propuesto por el Estado:</w:t>
      </w:r>
    </w:p>
    <w:p w:rsidR="00C34CD2" w:rsidRDefault="00C34CD2" w:rsidP="00C34CD2">
      <w:pPr>
        <w:widowControl w:val="0"/>
        <w:tabs>
          <w:tab w:val="left" w:pos="567"/>
          <w:tab w:val="left" w:pos="1134"/>
        </w:tabs>
        <w:spacing w:after="0" w:line="240" w:lineRule="auto"/>
        <w:ind w:right="22"/>
        <w:jc w:val="both"/>
      </w:pPr>
    </w:p>
    <w:p w:rsidR="00C34CD2" w:rsidRDefault="00C34CD2" w:rsidP="00C34CD2">
      <w:pPr>
        <w:pStyle w:val="ListParagraph"/>
        <w:widowControl w:val="0"/>
        <w:numPr>
          <w:ilvl w:val="0"/>
          <w:numId w:val="2"/>
        </w:numPr>
        <w:spacing w:after="0" w:line="240" w:lineRule="auto"/>
        <w:ind w:left="709" w:right="22"/>
        <w:jc w:val="both"/>
      </w:pPr>
      <w:r>
        <w:t xml:space="preserve"> </w:t>
      </w:r>
      <w:r w:rsidRPr="00C34CD2">
        <w:rPr>
          <w:i/>
        </w:rPr>
        <w:t>Néstor</w:t>
      </w:r>
      <w:r>
        <w:rPr>
          <w:i/>
        </w:rPr>
        <w:t xml:space="preserve"> Luis Castellano Molero</w:t>
      </w:r>
      <w:r>
        <w:t xml:space="preserve">, quien declarará sobre las acciones judiciales ejercidas por los peticionarios ante los tribunales venezolanos y sus resultados. </w:t>
      </w:r>
    </w:p>
    <w:p w:rsidR="00AF6638" w:rsidRDefault="00AF6638">
      <w:pPr>
        <w:widowControl w:val="0"/>
        <w:tabs>
          <w:tab w:val="left" w:pos="567"/>
          <w:tab w:val="left" w:pos="1134"/>
        </w:tabs>
        <w:spacing w:after="0" w:line="240" w:lineRule="auto"/>
        <w:ind w:left="709" w:right="22"/>
        <w:jc w:val="both"/>
      </w:pPr>
    </w:p>
    <w:p w:rsidR="00AF6638" w:rsidRDefault="002B36E5" w:rsidP="00A97EA7">
      <w:pPr>
        <w:spacing w:after="0" w:line="240" w:lineRule="auto"/>
        <w:ind w:firstLine="284"/>
        <w:jc w:val="both"/>
      </w:pPr>
      <w:r>
        <w:rPr>
          <w:i/>
        </w:rPr>
        <w:t>Propuestos por la Comisión</w:t>
      </w:r>
      <w:r w:rsidR="00FE2547">
        <w:rPr>
          <w:i/>
        </w:rPr>
        <w:t>:</w:t>
      </w:r>
    </w:p>
    <w:p w:rsidR="00AF6638" w:rsidRDefault="00AF6638">
      <w:pPr>
        <w:tabs>
          <w:tab w:val="left" w:pos="567"/>
        </w:tabs>
        <w:spacing w:after="0" w:line="240" w:lineRule="auto"/>
        <w:ind w:firstLine="720"/>
        <w:jc w:val="both"/>
      </w:pPr>
    </w:p>
    <w:p w:rsidR="00EF2B72" w:rsidRDefault="00EF2B72" w:rsidP="00C34CD2">
      <w:pPr>
        <w:pStyle w:val="ListParagraph"/>
        <w:widowControl w:val="0"/>
        <w:numPr>
          <w:ilvl w:val="0"/>
          <w:numId w:val="2"/>
        </w:numPr>
        <w:spacing w:after="0" w:line="240" w:lineRule="auto"/>
        <w:ind w:left="709" w:right="22"/>
        <w:jc w:val="both"/>
      </w:pPr>
      <w:r>
        <w:rPr>
          <w:i/>
        </w:rPr>
        <w:t>José Luis Caballero Ochoa</w:t>
      </w:r>
      <w:r>
        <w:t xml:space="preserve">, quien declarará sobre las salvaguardas que deben existir para que </w:t>
      </w:r>
      <w:r w:rsidR="000E2260">
        <w:t>los derechos políticos</w:t>
      </w:r>
      <w:r>
        <w:t xml:space="preserve"> puedan ser ejercidos librem</w:t>
      </w:r>
      <w:r w:rsidR="000E2260">
        <w:t xml:space="preserve">ente y sin temor a represalias, con </w:t>
      </w:r>
      <w:r>
        <w:t>énfasis en procesos políticos tales</w:t>
      </w:r>
      <w:r w:rsidR="000E2260">
        <w:t xml:space="preserve"> como referendos revocatorios, particularmente sobre </w:t>
      </w:r>
      <w:r>
        <w:t xml:space="preserve">el </w:t>
      </w:r>
      <w:r w:rsidR="000E2260">
        <w:t xml:space="preserve">libre </w:t>
      </w:r>
      <w:r>
        <w:t xml:space="preserve">ejercicio de </w:t>
      </w:r>
      <w:r w:rsidR="000E2260">
        <w:t xml:space="preserve">esos </w:t>
      </w:r>
      <w:r>
        <w:t xml:space="preserve">derechos en tales procesos por parte de servidores públicos. El perito podrá </w:t>
      </w:r>
      <w:r w:rsidR="000E2260">
        <w:t>aplicar</w:t>
      </w:r>
      <w:r>
        <w:t xml:space="preserve"> los contenidos de su peritaje al caso concreto.</w:t>
      </w:r>
    </w:p>
    <w:p w:rsidR="00EF2B72" w:rsidRDefault="00EF2B72">
      <w:pPr>
        <w:tabs>
          <w:tab w:val="left" w:pos="567"/>
        </w:tabs>
        <w:spacing w:after="0" w:line="240" w:lineRule="auto"/>
        <w:ind w:firstLine="720"/>
        <w:jc w:val="both"/>
      </w:pPr>
    </w:p>
    <w:p w:rsidR="00AF6638" w:rsidRDefault="002B36E5" w:rsidP="00C34CD2">
      <w:pPr>
        <w:pStyle w:val="ListParagraph"/>
        <w:widowControl w:val="0"/>
        <w:numPr>
          <w:ilvl w:val="0"/>
          <w:numId w:val="2"/>
        </w:numPr>
        <w:spacing w:after="0" w:line="240" w:lineRule="auto"/>
        <w:ind w:left="709" w:right="22"/>
        <w:jc w:val="both"/>
      </w:pPr>
      <w:r>
        <w:rPr>
          <w:i/>
        </w:rPr>
        <w:t xml:space="preserve">Dirk Voorhoof, </w:t>
      </w:r>
      <w:r>
        <w:t>quien declarará sobre los estándares del derecho internacional de los derechos humanos aplicables al</w:t>
      </w:r>
      <w:r w:rsidR="000E2260">
        <w:t xml:space="preserve"> ejercicio del</w:t>
      </w:r>
      <w:r>
        <w:t xml:space="preserve"> derecho a la libertad de pensamiento y expresión por parte de servidores públicos</w:t>
      </w:r>
      <w:r w:rsidR="000E2260">
        <w:t>, e</w:t>
      </w:r>
      <w:r>
        <w:t>specíficamente</w:t>
      </w:r>
      <w:r w:rsidR="0048620F">
        <w:t xml:space="preserve"> en cuanto</w:t>
      </w:r>
      <w:r>
        <w:t xml:space="preserve"> al alcance del derecho de </w:t>
      </w:r>
      <w:r w:rsidR="0048620F">
        <w:t xml:space="preserve">esos </w:t>
      </w:r>
      <w:r>
        <w:t>servidores a mantener y expres</w:t>
      </w:r>
      <w:r w:rsidR="0048620F">
        <w:t>ar opiniones de índole política</w:t>
      </w:r>
      <w:r>
        <w:t xml:space="preserve">, con </w:t>
      </w:r>
      <w:r w:rsidR="0048620F">
        <w:t xml:space="preserve">referencia a </w:t>
      </w:r>
      <w:r>
        <w:t>la jurisprudencia y doctrina internacional y comparada</w:t>
      </w:r>
    </w:p>
    <w:p w:rsidR="00AF6638" w:rsidRDefault="00AF6638">
      <w:pPr>
        <w:widowControl w:val="0"/>
        <w:tabs>
          <w:tab w:val="left" w:pos="567"/>
          <w:tab w:val="left" w:pos="1134"/>
        </w:tabs>
        <w:spacing w:after="0" w:line="240" w:lineRule="auto"/>
        <w:ind w:right="22"/>
        <w:jc w:val="both"/>
      </w:pPr>
    </w:p>
    <w:p w:rsidR="00AF6638" w:rsidRDefault="002B36E5">
      <w:pPr>
        <w:numPr>
          <w:ilvl w:val="0"/>
          <w:numId w:val="2"/>
        </w:numPr>
        <w:tabs>
          <w:tab w:val="left" w:pos="567"/>
        </w:tabs>
        <w:spacing w:after="0" w:line="240" w:lineRule="auto"/>
        <w:jc w:val="both"/>
      </w:pPr>
      <w:bookmarkStart w:id="3" w:name="3dy6vkm" w:colFirst="0" w:colLast="0"/>
      <w:bookmarkEnd w:id="3"/>
      <w:r>
        <w:t xml:space="preserve">Requerir a la Comisión Interamericana, al representante y al Estado que notifiquen la presente Resolución a las personas que han sido convocadas a rendir declaración, respectivamente según fueron por ellos propuestas, de conformidad con lo dispuesto en los artículos 50.2 y 50.4 del Reglamento. </w:t>
      </w:r>
    </w:p>
    <w:p w:rsidR="00AF6638" w:rsidRDefault="00AF6638">
      <w:pPr>
        <w:spacing w:after="0" w:line="240" w:lineRule="auto"/>
        <w:jc w:val="both"/>
      </w:pPr>
    </w:p>
    <w:p w:rsidR="00AF6638" w:rsidRDefault="002B36E5">
      <w:pPr>
        <w:numPr>
          <w:ilvl w:val="0"/>
          <w:numId w:val="2"/>
        </w:numPr>
        <w:spacing w:after="0" w:line="240" w:lineRule="auto"/>
        <w:jc w:val="both"/>
      </w:pPr>
      <w:r>
        <w:lastRenderedPageBreak/>
        <w:t>Requerir al representante</w:t>
      </w:r>
      <w:r w:rsidR="00247B7E">
        <w:t>,</w:t>
      </w:r>
      <w:r>
        <w:t xml:space="preserve"> </w:t>
      </w:r>
      <w:r w:rsidR="00247B7E">
        <w:t xml:space="preserve">al Estado, y a la Comisión </w:t>
      </w:r>
      <w:r>
        <w:t xml:space="preserve">que remitan, en los términos del artículo 50.5 del Reglamento y de considerarlo pertinente, en el plazo improrrogable que vence el </w:t>
      </w:r>
      <w:r w:rsidR="007540EE">
        <w:t>11</w:t>
      </w:r>
      <w:r>
        <w:t xml:space="preserve"> de enero de 2017, las preguntas que estime pertinentes formular a través de la Corte Interamericana a las presuntas víctimas, los testigos y los peritos, según corresponda, indicados en el punto resolutivo cuarto de esta Resolución. </w:t>
      </w:r>
    </w:p>
    <w:p w:rsidR="00AF6638" w:rsidRDefault="00AF6638">
      <w:pPr>
        <w:tabs>
          <w:tab w:val="left" w:pos="567"/>
        </w:tabs>
        <w:spacing w:after="0" w:line="240" w:lineRule="auto"/>
        <w:jc w:val="both"/>
      </w:pPr>
    </w:p>
    <w:p w:rsidR="00AF6638" w:rsidRDefault="002B36E5">
      <w:pPr>
        <w:numPr>
          <w:ilvl w:val="0"/>
          <w:numId w:val="2"/>
        </w:numPr>
        <w:tabs>
          <w:tab w:val="left" w:pos="567"/>
        </w:tabs>
        <w:spacing w:after="0" w:line="240" w:lineRule="auto"/>
        <w:jc w:val="both"/>
      </w:pPr>
      <w:r>
        <w:t xml:space="preserve">Requerir al representante, al Estado y a la Comisión que coordinen y realicen las diligencias necesarias para que, una vez recibidas las </w:t>
      </w:r>
      <w:r w:rsidR="00247B7E">
        <w:t xml:space="preserve">respectivas </w:t>
      </w:r>
      <w:r>
        <w:t xml:space="preserve">preguntas, las presuntas víctimas, los testigos y los peritos incluyan las respuestas en las respectivas declaraciones y dictámenes que rendirán ante fedatario público, salvo que el Presidente disponga lo contrario cuando la Secretaría de la Corte las transmita. Las declaraciones y los dictámenes requeridos deberán ser presentados al Tribunal a más tardar el </w:t>
      </w:r>
      <w:r w:rsidR="00D51D78">
        <w:t>23</w:t>
      </w:r>
      <w:r w:rsidR="00247B7E">
        <w:t xml:space="preserve"> de enero </w:t>
      </w:r>
      <w:r>
        <w:t>de 2017.</w:t>
      </w:r>
    </w:p>
    <w:p w:rsidR="00AF6638" w:rsidRDefault="00AF6638">
      <w:pPr>
        <w:tabs>
          <w:tab w:val="left" w:pos="567"/>
        </w:tabs>
        <w:spacing w:after="0" w:line="240" w:lineRule="auto"/>
        <w:jc w:val="both"/>
      </w:pPr>
    </w:p>
    <w:p w:rsidR="00AF6638" w:rsidRDefault="002B36E5">
      <w:pPr>
        <w:numPr>
          <w:ilvl w:val="0"/>
          <w:numId w:val="2"/>
        </w:numPr>
        <w:tabs>
          <w:tab w:val="left" w:pos="567"/>
        </w:tabs>
        <w:spacing w:after="0" w:line="240" w:lineRule="auto"/>
        <w:jc w:val="both"/>
      </w:pPr>
      <w:r>
        <w:t xml:space="preserve">Disponer conforme al artículo 50.6 del Reglamento que, una vez recibidas las declaraciones y los </w:t>
      </w:r>
      <w:r w:rsidR="00247B7E">
        <w:t>dictámenes</w:t>
      </w:r>
      <w:r>
        <w:t>, la Secretaría de la Corte Interamericana los transmita a las partes y a la Comisión para que el Estado</w:t>
      </w:r>
      <w:r w:rsidR="00247B7E">
        <w:t>, e</w:t>
      </w:r>
      <w:r>
        <w:t>l representante</w:t>
      </w:r>
      <w:r w:rsidR="00247B7E">
        <w:t xml:space="preserve"> y la Comisión</w:t>
      </w:r>
      <w:r>
        <w:t xml:space="preserve">, si lo estiman pertinente, presenten sus observaciones a más tardar con sus alegatos </w:t>
      </w:r>
      <w:r w:rsidR="00247B7E">
        <w:t xml:space="preserve">y observaciones </w:t>
      </w:r>
      <w:r>
        <w:t>finales escritos</w:t>
      </w:r>
      <w:r w:rsidR="00247B7E">
        <w:t>, respectivamente</w:t>
      </w:r>
      <w:r>
        <w:t>.</w:t>
      </w:r>
    </w:p>
    <w:p w:rsidR="00AF6638" w:rsidRDefault="00AF6638">
      <w:pPr>
        <w:tabs>
          <w:tab w:val="left" w:pos="567"/>
        </w:tabs>
        <w:spacing w:after="0" w:line="240" w:lineRule="auto"/>
        <w:jc w:val="both"/>
      </w:pPr>
    </w:p>
    <w:p w:rsidR="00AF6638" w:rsidRDefault="002B36E5">
      <w:pPr>
        <w:numPr>
          <w:ilvl w:val="0"/>
          <w:numId w:val="2"/>
        </w:numPr>
        <w:tabs>
          <w:tab w:val="left" w:pos="567"/>
        </w:tabs>
        <w:spacing w:after="0" w:line="240" w:lineRule="auto"/>
        <w:jc w:val="both"/>
      </w:pPr>
      <w:r>
        <w:t>Informar a la Comisión, al representante y al Estado que deben cubrir los gastos que ocasione la aportación o rendición de la prueba propuesta por ellos, de conformidad con lo dispuesto en el artículo 60 del Reglamento.</w:t>
      </w:r>
    </w:p>
    <w:p w:rsidR="00AF6638" w:rsidRDefault="00AF6638">
      <w:pPr>
        <w:widowControl w:val="0"/>
        <w:spacing w:after="0" w:line="240" w:lineRule="auto"/>
        <w:jc w:val="both"/>
      </w:pPr>
    </w:p>
    <w:p w:rsidR="00AF6638" w:rsidRDefault="002B36E5">
      <w:pPr>
        <w:numPr>
          <w:ilvl w:val="0"/>
          <w:numId w:val="2"/>
        </w:numPr>
        <w:tabs>
          <w:tab w:val="left" w:pos="567"/>
        </w:tabs>
        <w:spacing w:after="0" w:line="240" w:lineRule="auto"/>
        <w:jc w:val="both"/>
      </w:pPr>
      <w:r>
        <w:t xml:space="preserve">Requerir a la Comisión, al Estado y al representante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AF6638" w:rsidRDefault="00AF6638">
      <w:pPr>
        <w:widowControl w:val="0"/>
        <w:spacing w:after="0" w:line="240" w:lineRule="auto"/>
        <w:jc w:val="both"/>
      </w:pPr>
    </w:p>
    <w:p w:rsidR="00AF6638" w:rsidRDefault="002B36E5">
      <w:pPr>
        <w:numPr>
          <w:ilvl w:val="0"/>
          <w:numId w:val="2"/>
        </w:numPr>
        <w:tabs>
          <w:tab w:val="left" w:pos="567"/>
        </w:tabs>
        <w:spacing w:after="0" w:line="240" w:lineRule="auto"/>
        <w:jc w:val="both"/>
      </w:pPr>
      <w:r>
        <w:t xml:space="preserve">Informar al representante, al Estado y a la Comisión Interamericana que, luego de las declaraciones rendidas en la audiencia pública, podrán presentar ante el Tribunal sus alegatos finales orales y observaciones finales orales, respectivamente, sobre </w:t>
      </w:r>
      <w:r w:rsidR="001439C8">
        <w:t xml:space="preserve">el </w:t>
      </w:r>
      <w:r>
        <w:t>fondo</w:t>
      </w:r>
      <w:r w:rsidR="001439C8">
        <w:t xml:space="preserve"> y eventuales</w:t>
      </w:r>
      <w:r>
        <w:t xml:space="preserve"> reparaciones y costas en el presente caso. </w:t>
      </w:r>
    </w:p>
    <w:p w:rsidR="00AF6638" w:rsidRDefault="00AF6638">
      <w:pPr>
        <w:widowControl w:val="0"/>
        <w:spacing w:after="0" w:line="240" w:lineRule="auto"/>
        <w:jc w:val="both"/>
      </w:pPr>
    </w:p>
    <w:p w:rsidR="00AF6638" w:rsidRDefault="002B36E5">
      <w:pPr>
        <w:numPr>
          <w:ilvl w:val="0"/>
          <w:numId w:val="2"/>
        </w:numPr>
        <w:tabs>
          <w:tab w:val="left" w:pos="567"/>
        </w:tabs>
        <w:spacing w:after="0" w:line="240" w:lineRule="auto"/>
        <w:jc w:val="both"/>
      </w:pPr>
      <w:r>
        <w:t xml:space="preserve">Disponer que la Secretaría de la Corte, de conformidad con lo dispuesto en el artículo 55.3 del Reglamento, indique a la Comisión Interamericana, al representante y al Estado el enlace donde se encontrará disponible la grabación de la audiencia pública, a la brevedad posible luego de la celebración de la referida audiencia. </w:t>
      </w:r>
    </w:p>
    <w:p w:rsidR="00AF6638" w:rsidRDefault="00AF6638">
      <w:pPr>
        <w:widowControl w:val="0"/>
        <w:spacing w:after="0" w:line="240" w:lineRule="auto"/>
        <w:jc w:val="both"/>
      </w:pPr>
    </w:p>
    <w:p w:rsidR="00AF6638" w:rsidRDefault="002B36E5">
      <w:pPr>
        <w:numPr>
          <w:ilvl w:val="0"/>
          <w:numId w:val="2"/>
        </w:numPr>
        <w:tabs>
          <w:tab w:val="left" w:pos="567"/>
        </w:tabs>
        <w:spacing w:after="0" w:line="240" w:lineRule="auto"/>
        <w:jc w:val="both"/>
      </w:pPr>
      <w:r>
        <w:t>Informar al representante, al Estado y a la Comisión Interamericana que, en los términos del artículo 56 del Reglamento, cuentan con un plazo hasta el 1</w:t>
      </w:r>
      <w:r w:rsidR="001439C8">
        <w:t>5</w:t>
      </w:r>
      <w:r>
        <w:t xml:space="preserve"> de marzo de 2017 para presentar sus alegatos finales escritos y observaciones finales escritas, respectivamente, en relación con </w:t>
      </w:r>
      <w:r w:rsidR="001439C8">
        <w:t xml:space="preserve">el </w:t>
      </w:r>
      <w:r>
        <w:t>fondo</w:t>
      </w:r>
      <w:r w:rsidR="001439C8">
        <w:t xml:space="preserve"> y eventuales</w:t>
      </w:r>
      <w:r>
        <w:t xml:space="preserve"> reparaciones y costas en el presente caso. Este plazo es improrrogable e independiente de la puesta a disposición de las partes de la grabación de la audiencia pública. </w:t>
      </w:r>
    </w:p>
    <w:p w:rsidR="00AF6638" w:rsidRDefault="00AF6638">
      <w:pPr>
        <w:tabs>
          <w:tab w:val="left" w:pos="567"/>
        </w:tabs>
        <w:spacing w:after="0" w:line="240" w:lineRule="auto"/>
        <w:jc w:val="both"/>
      </w:pPr>
    </w:p>
    <w:p w:rsidR="00AF6638" w:rsidRDefault="002B36E5">
      <w:pPr>
        <w:numPr>
          <w:ilvl w:val="0"/>
          <w:numId w:val="2"/>
        </w:numPr>
        <w:tabs>
          <w:tab w:val="left" w:pos="567"/>
        </w:tabs>
        <w:spacing w:after="0" w:line="240" w:lineRule="auto"/>
        <w:jc w:val="both"/>
      </w:pPr>
      <w:r>
        <w:t xml:space="preserve">Disponer que la Secretaría de la Corte Interamericana notifique la presente Resolución </w:t>
      </w:r>
      <w:r w:rsidR="00827C06">
        <w:t xml:space="preserve">a la Comisión Interamericana, al representante </w:t>
      </w:r>
      <w:r>
        <w:t xml:space="preserve">y al Estado. </w:t>
      </w:r>
    </w:p>
    <w:p w:rsidR="00AF6638" w:rsidRDefault="00AF6638">
      <w:pPr>
        <w:tabs>
          <w:tab w:val="left" w:pos="567"/>
        </w:tabs>
        <w:spacing w:after="0" w:line="240" w:lineRule="auto"/>
        <w:jc w:val="both"/>
      </w:pPr>
    </w:p>
    <w:p w:rsidR="00260AC6" w:rsidRDefault="00260AC6">
      <w:pPr>
        <w:tabs>
          <w:tab w:val="left" w:pos="567"/>
        </w:tabs>
        <w:spacing w:after="0" w:line="240" w:lineRule="auto"/>
        <w:jc w:val="both"/>
      </w:pPr>
    </w:p>
    <w:p w:rsidR="00AF6638" w:rsidRDefault="002B36E5">
      <w:pPr>
        <w:tabs>
          <w:tab w:val="left" w:pos="567"/>
        </w:tabs>
        <w:spacing w:after="0" w:line="240" w:lineRule="auto"/>
        <w:jc w:val="both"/>
      </w:pPr>
      <w:r>
        <w:t>Resolución del Presidente de la Corte Interamericana de Derechos Humanos. Caso San Miguel Sosa y otros Vs. Venezuela.</w:t>
      </w:r>
    </w:p>
    <w:p w:rsidR="00AF6638" w:rsidRDefault="00AF6638">
      <w:pPr>
        <w:tabs>
          <w:tab w:val="left" w:pos="567"/>
          <w:tab w:val="left" w:pos="6663"/>
        </w:tabs>
        <w:spacing w:after="0" w:line="240" w:lineRule="auto"/>
        <w:jc w:val="both"/>
      </w:pPr>
    </w:p>
    <w:p w:rsidR="00AF6638" w:rsidRDefault="00AF6638">
      <w:pPr>
        <w:tabs>
          <w:tab w:val="left" w:pos="567"/>
          <w:tab w:val="left" w:pos="6663"/>
        </w:tabs>
        <w:spacing w:after="0" w:line="240" w:lineRule="auto"/>
        <w:jc w:val="both"/>
      </w:pPr>
    </w:p>
    <w:p w:rsidR="00AF6638" w:rsidRDefault="00AF6638">
      <w:pPr>
        <w:tabs>
          <w:tab w:val="left" w:pos="567"/>
          <w:tab w:val="left" w:pos="6663"/>
        </w:tabs>
        <w:spacing w:after="0" w:line="240" w:lineRule="auto"/>
        <w:jc w:val="both"/>
      </w:pPr>
    </w:p>
    <w:p w:rsidR="00F7616B" w:rsidRDefault="00F7616B">
      <w:pPr>
        <w:tabs>
          <w:tab w:val="left" w:pos="567"/>
          <w:tab w:val="left" w:pos="6663"/>
        </w:tabs>
        <w:spacing w:after="0" w:line="240" w:lineRule="auto"/>
        <w:jc w:val="both"/>
      </w:pPr>
    </w:p>
    <w:p w:rsidR="00F7616B" w:rsidRDefault="00F7616B">
      <w:pPr>
        <w:tabs>
          <w:tab w:val="left" w:pos="567"/>
          <w:tab w:val="left" w:pos="6663"/>
        </w:tabs>
        <w:spacing w:after="0" w:line="240" w:lineRule="auto"/>
        <w:jc w:val="both"/>
      </w:pPr>
    </w:p>
    <w:p w:rsidR="00F7616B" w:rsidRDefault="00F7616B">
      <w:pPr>
        <w:tabs>
          <w:tab w:val="left" w:pos="567"/>
          <w:tab w:val="left" w:pos="6663"/>
        </w:tabs>
        <w:spacing w:after="0" w:line="240" w:lineRule="auto"/>
        <w:jc w:val="both"/>
      </w:pPr>
    </w:p>
    <w:p w:rsidR="00AF6638" w:rsidRDefault="00AF6638">
      <w:pPr>
        <w:tabs>
          <w:tab w:val="left" w:pos="567"/>
          <w:tab w:val="left" w:pos="6663"/>
        </w:tabs>
        <w:spacing w:after="0" w:line="240" w:lineRule="auto"/>
        <w:jc w:val="both"/>
      </w:pPr>
    </w:p>
    <w:p w:rsidR="00AF6638" w:rsidRDefault="002B36E5">
      <w:pPr>
        <w:tabs>
          <w:tab w:val="left" w:pos="567"/>
        </w:tabs>
        <w:spacing w:after="0" w:line="240" w:lineRule="auto"/>
        <w:ind w:left="4253"/>
        <w:jc w:val="center"/>
      </w:pPr>
      <w:r>
        <w:t>Roberto F. Caldas</w:t>
      </w:r>
    </w:p>
    <w:p w:rsidR="00AF6638" w:rsidRDefault="002B36E5">
      <w:pPr>
        <w:tabs>
          <w:tab w:val="left" w:pos="567"/>
        </w:tabs>
        <w:spacing w:after="0" w:line="240" w:lineRule="auto"/>
        <w:ind w:left="4253"/>
        <w:jc w:val="center"/>
      </w:pPr>
      <w:r>
        <w:t>Presidente</w:t>
      </w:r>
    </w:p>
    <w:p w:rsidR="00AF6638" w:rsidRDefault="00AF6638">
      <w:pPr>
        <w:tabs>
          <w:tab w:val="left" w:pos="567"/>
          <w:tab w:val="left" w:pos="2835"/>
        </w:tabs>
        <w:spacing w:after="0" w:line="240" w:lineRule="auto"/>
        <w:ind w:right="6003"/>
      </w:pPr>
    </w:p>
    <w:p w:rsidR="00F7616B" w:rsidRDefault="00F7616B">
      <w:pPr>
        <w:tabs>
          <w:tab w:val="left" w:pos="567"/>
          <w:tab w:val="left" w:pos="2835"/>
        </w:tabs>
        <w:spacing w:after="0" w:line="240" w:lineRule="auto"/>
        <w:ind w:right="6003"/>
      </w:pPr>
    </w:p>
    <w:p w:rsidR="00F7616B" w:rsidRDefault="00F7616B">
      <w:pPr>
        <w:tabs>
          <w:tab w:val="left" w:pos="567"/>
          <w:tab w:val="left" w:pos="2835"/>
        </w:tabs>
        <w:spacing w:after="0" w:line="240" w:lineRule="auto"/>
        <w:ind w:right="6003"/>
      </w:pPr>
    </w:p>
    <w:p w:rsidR="00F7616B" w:rsidRDefault="00F7616B">
      <w:pPr>
        <w:tabs>
          <w:tab w:val="left" w:pos="567"/>
          <w:tab w:val="left" w:pos="2835"/>
        </w:tabs>
        <w:spacing w:after="0" w:line="240" w:lineRule="auto"/>
        <w:ind w:right="6003"/>
      </w:pPr>
    </w:p>
    <w:p w:rsidR="00AF6638" w:rsidRDefault="00F7616B">
      <w:pPr>
        <w:tabs>
          <w:tab w:val="left" w:pos="567"/>
          <w:tab w:val="left" w:pos="2835"/>
        </w:tabs>
        <w:spacing w:after="0" w:line="240" w:lineRule="auto"/>
        <w:ind w:right="6003"/>
      </w:pPr>
      <w:r>
        <w:t xml:space="preserve">     </w:t>
      </w:r>
      <w:r w:rsidR="002B36E5">
        <w:t>Pablo Saavedra Alessandri</w:t>
      </w:r>
    </w:p>
    <w:p w:rsidR="00AF6638" w:rsidRDefault="00F7616B" w:rsidP="00F7616B">
      <w:pPr>
        <w:tabs>
          <w:tab w:val="left" w:pos="567"/>
          <w:tab w:val="left" w:pos="2835"/>
        </w:tabs>
        <w:spacing w:after="0" w:line="240" w:lineRule="auto"/>
        <w:ind w:right="6003"/>
      </w:pPr>
      <w:r>
        <w:t xml:space="preserve">                </w:t>
      </w:r>
      <w:r w:rsidR="002B36E5">
        <w:t>Secretario</w:t>
      </w:r>
    </w:p>
    <w:p w:rsidR="00AF6638" w:rsidRDefault="00AF6638">
      <w:pPr>
        <w:tabs>
          <w:tab w:val="left" w:pos="567"/>
        </w:tabs>
        <w:spacing w:after="0" w:line="240" w:lineRule="auto"/>
        <w:jc w:val="both"/>
      </w:pPr>
    </w:p>
    <w:p w:rsidR="00AF6638" w:rsidRDefault="00AF6638">
      <w:pPr>
        <w:tabs>
          <w:tab w:val="left" w:pos="567"/>
        </w:tabs>
        <w:spacing w:after="0" w:line="240" w:lineRule="auto"/>
        <w:jc w:val="both"/>
      </w:pPr>
    </w:p>
    <w:p w:rsidR="00F7616B" w:rsidRDefault="00F7616B">
      <w:pPr>
        <w:tabs>
          <w:tab w:val="left" w:pos="567"/>
        </w:tabs>
        <w:spacing w:after="0" w:line="240" w:lineRule="auto"/>
        <w:jc w:val="both"/>
      </w:pPr>
    </w:p>
    <w:p w:rsidR="00F7616B" w:rsidRDefault="00F7616B">
      <w:pPr>
        <w:tabs>
          <w:tab w:val="left" w:pos="567"/>
        </w:tabs>
        <w:spacing w:after="0" w:line="240" w:lineRule="auto"/>
        <w:jc w:val="both"/>
      </w:pPr>
    </w:p>
    <w:p w:rsidR="00F7616B" w:rsidRDefault="00F7616B">
      <w:pPr>
        <w:tabs>
          <w:tab w:val="left" w:pos="567"/>
        </w:tabs>
        <w:spacing w:after="0" w:line="240" w:lineRule="auto"/>
        <w:jc w:val="both"/>
      </w:pPr>
    </w:p>
    <w:p w:rsidR="00AF6638" w:rsidRDefault="00AF6638">
      <w:pPr>
        <w:tabs>
          <w:tab w:val="left" w:pos="567"/>
        </w:tabs>
        <w:spacing w:after="0" w:line="240" w:lineRule="auto"/>
        <w:jc w:val="both"/>
      </w:pPr>
    </w:p>
    <w:p w:rsidR="00AF6638" w:rsidRDefault="002B36E5">
      <w:pPr>
        <w:tabs>
          <w:tab w:val="left" w:pos="567"/>
        </w:tabs>
        <w:spacing w:after="0" w:line="240" w:lineRule="auto"/>
        <w:jc w:val="both"/>
      </w:pPr>
      <w:r>
        <w:t xml:space="preserve">Comuníquese y ejecútese, </w:t>
      </w:r>
    </w:p>
    <w:p w:rsidR="00AF6638" w:rsidRDefault="00AF6638">
      <w:pPr>
        <w:tabs>
          <w:tab w:val="left" w:pos="567"/>
        </w:tabs>
        <w:spacing w:after="0" w:line="240" w:lineRule="auto"/>
        <w:jc w:val="both"/>
      </w:pPr>
    </w:p>
    <w:p w:rsidR="00AF6638" w:rsidRDefault="00AF6638">
      <w:pPr>
        <w:tabs>
          <w:tab w:val="left" w:pos="567"/>
        </w:tabs>
        <w:spacing w:after="0" w:line="240" w:lineRule="auto"/>
        <w:jc w:val="both"/>
      </w:pPr>
    </w:p>
    <w:p w:rsidR="00AF6638" w:rsidRDefault="00AF6638">
      <w:pPr>
        <w:tabs>
          <w:tab w:val="left" w:pos="567"/>
        </w:tabs>
        <w:spacing w:after="0" w:line="240" w:lineRule="auto"/>
        <w:jc w:val="both"/>
      </w:pPr>
    </w:p>
    <w:p w:rsidR="00AF6638" w:rsidRDefault="00AF6638">
      <w:pPr>
        <w:tabs>
          <w:tab w:val="left" w:pos="567"/>
        </w:tabs>
        <w:spacing w:after="0" w:line="240" w:lineRule="auto"/>
        <w:ind w:left="4536"/>
        <w:jc w:val="center"/>
      </w:pPr>
    </w:p>
    <w:p w:rsidR="00F7616B" w:rsidRDefault="00F7616B">
      <w:pPr>
        <w:tabs>
          <w:tab w:val="left" w:pos="567"/>
        </w:tabs>
        <w:spacing w:after="0" w:line="240" w:lineRule="auto"/>
        <w:ind w:left="4536"/>
        <w:jc w:val="center"/>
      </w:pPr>
    </w:p>
    <w:p w:rsidR="00F7616B" w:rsidRDefault="00F7616B">
      <w:pPr>
        <w:tabs>
          <w:tab w:val="left" w:pos="567"/>
        </w:tabs>
        <w:spacing w:after="0" w:line="240" w:lineRule="auto"/>
        <w:ind w:left="4536"/>
        <w:jc w:val="center"/>
      </w:pPr>
    </w:p>
    <w:p w:rsidR="00AF6638" w:rsidRDefault="00AF6638">
      <w:pPr>
        <w:tabs>
          <w:tab w:val="left" w:pos="567"/>
        </w:tabs>
        <w:spacing w:after="0" w:line="240" w:lineRule="auto"/>
        <w:ind w:left="4536"/>
        <w:jc w:val="center"/>
      </w:pPr>
    </w:p>
    <w:p w:rsidR="00AF6638" w:rsidRDefault="002B36E5">
      <w:pPr>
        <w:tabs>
          <w:tab w:val="left" w:pos="567"/>
        </w:tabs>
        <w:spacing w:after="0" w:line="240" w:lineRule="auto"/>
        <w:ind w:left="4536"/>
        <w:jc w:val="center"/>
      </w:pPr>
      <w:r>
        <w:t>Roberto F. Caldas</w:t>
      </w:r>
    </w:p>
    <w:p w:rsidR="00AF6638" w:rsidRDefault="002B36E5">
      <w:pPr>
        <w:tabs>
          <w:tab w:val="left" w:pos="567"/>
        </w:tabs>
        <w:spacing w:after="0" w:line="240" w:lineRule="auto"/>
        <w:ind w:left="4536"/>
        <w:jc w:val="center"/>
      </w:pPr>
      <w:r>
        <w:t>Presidente</w:t>
      </w:r>
    </w:p>
    <w:p w:rsidR="00AF6638" w:rsidRDefault="00AF6638">
      <w:pPr>
        <w:tabs>
          <w:tab w:val="left" w:pos="567"/>
        </w:tabs>
        <w:spacing w:after="0" w:line="240" w:lineRule="auto"/>
        <w:ind w:right="6003"/>
      </w:pPr>
    </w:p>
    <w:p w:rsidR="00AF6638" w:rsidRDefault="00AF6638">
      <w:pPr>
        <w:tabs>
          <w:tab w:val="left" w:pos="567"/>
        </w:tabs>
        <w:spacing w:after="0" w:line="240" w:lineRule="auto"/>
        <w:ind w:right="6003"/>
      </w:pPr>
    </w:p>
    <w:p w:rsidR="00AF6638" w:rsidRDefault="00AF6638">
      <w:pPr>
        <w:tabs>
          <w:tab w:val="left" w:pos="567"/>
        </w:tabs>
        <w:spacing w:after="0" w:line="240" w:lineRule="auto"/>
        <w:ind w:right="6003"/>
      </w:pPr>
    </w:p>
    <w:p w:rsidR="00AF6638" w:rsidRDefault="00AF6638">
      <w:pPr>
        <w:tabs>
          <w:tab w:val="left" w:pos="567"/>
        </w:tabs>
        <w:spacing w:after="0" w:line="240" w:lineRule="auto"/>
        <w:ind w:right="6003"/>
      </w:pPr>
    </w:p>
    <w:p w:rsidR="00F7616B" w:rsidRDefault="00F7616B">
      <w:pPr>
        <w:tabs>
          <w:tab w:val="left" w:pos="567"/>
        </w:tabs>
        <w:spacing w:after="0" w:line="240" w:lineRule="auto"/>
        <w:ind w:right="6003"/>
      </w:pPr>
    </w:p>
    <w:p w:rsidR="00AF6638" w:rsidRDefault="00AF6638">
      <w:pPr>
        <w:tabs>
          <w:tab w:val="left" w:pos="567"/>
        </w:tabs>
        <w:spacing w:after="0" w:line="240" w:lineRule="auto"/>
        <w:ind w:right="6003"/>
      </w:pPr>
    </w:p>
    <w:p w:rsidR="00AF6638" w:rsidRDefault="00AF6638">
      <w:pPr>
        <w:tabs>
          <w:tab w:val="left" w:pos="567"/>
        </w:tabs>
        <w:spacing w:after="0" w:line="240" w:lineRule="auto"/>
        <w:ind w:right="6003"/>
      </w:pPr>
    </w:p>
    <w:p w:rsidR="00AF6638" w:rsidRDefault="002B36E5">
      <w:pPr>
        <w:tabs>
          <w:tab w:val="left" w:pos="567"/>
        </w:tabs>
        <w:spacing w:after="0" w:line="240" w:lineRule="auto"/>
        <w:ind w:right="6003"/>
      </w:pPr>
      <w:r>
        <w:t>Pablo Saavedra Alessandri</w:t>
      </w:r>
    </w:p>
    <w:p w:rsidR="00AF6638" w:rsidRDefault="00F7616B" w:rsidP="00F7616B">
      <w:pPr>
        <w:tabs>
          <w:tab w:val="left" w:pos="567"/>
        </w:tabs>
        <w:spacing w:after="0" w:line="240" w:lineRule="auto"/>
        <w:ind w:right="6003"/>
      </w:pPr>
      <w:r>
        <w:t xml:space="preserve">         </w:t>
      </w:r>
      <w:r w:rsidR="002B36E5">
        <w:t>Secretario</w:t>
      </w:r>
    </w:p>
    <w:p w:rsidR="00AF6638" w:rsidRDefault="00AF6638"/>
    <w:sectPr w:rsidR="00AF6638" w:rsidSect="00F7616B">
      <w:headerReference w:type="default" r:id="rId9"/>
      <w:headerReference w:type="first" r:id="rId10"/>
      <w:pgSz w:w="12240" w:h="15840"/>
      <w:pgMar w:top="1531" w:right="1304" w:bottom="1531" w:left="130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89" w:rsidRDefault="00283689">
      <w:pPr>
        <w:spacing w:after="0" w:line="240" w:lineRule="auto"/>
      </w:pPr>
      <w:r>
        <w:separator/>
      </w:r>
    </w:p>
  </w:endnote>
  <w:endnote w:type="continuationSeparator" w:id="0">
    <w:p w:rsidR="00283689" w:rsidRDefault="0028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89" w:rsidRDefault="00283689">
      <w:pPr>
        <w:spacing w:after="0" w:line="240" w:lineRule="auto"/>
      </w:pPr>
      <w:r>
        <w:separator/>
      </w:r>
    </w:p>
  </w:footnote>
  <w:footnote w:type="continuationSeparator" w:id="0">
    <w:p w:rsidR="00283689" w:rsidRDefault="00283689">
      <w:pPr>
        <w:spacing w:after="0" w:line="240" w:lineRule="auto"/>
      </w:pPr>
      <w:r>
        <w:continuationSeparator/>
      </w:r>
    </w:p>
  </w:footnote>
  <w:footnote w:id="1">
    <w:p w:rsidR="002B36E5" w:rsidRDefault="002B36E5" w:rsidP="00FE2547">
      <w:pPr>
        <w:pStyle w:val="FootnoteText"/>
        <w:jc w:val="both"/>
      </w:pPr>
      <w:r>
        <w:rPr>
          <w:rStyle w:val="FootnoteReference"/>
        </w:rPr>
        <w:footnoteRef/>
      </w:r>
      <w:r>
        <w:t xml:space="preserve"> </w:t>
      </w:r>
      <w:r>
        <w:tab/>
      </w:r>
      <w:r w:rsidRPr="00FE2547">
        <w:rPr>
          <w:sz w:val="16"/>
          <w:szCs w:val="16"/>
        </w:rPr>
        <w:t>Al notificar el sometimiento del caso,</w:t>
      </w:r>
      <w:r>
        <w:rPr>
          <w:sz w:val="16"/>
          <w:szCs w:val="16"/>
        </w:rPr>
        <w:t xml:space="preserve"> se solicitó al Estado que, según lo dispuesto en los artículos 23 y 39.3 del Reglamento de la Corte, designara al o los Agentes que actuarían en su representación en el presente caso dentro del plazo de 30 días. Dado que el Estado no designó Agentes, al transmitirse el escrito de solicitudes y argumentos se </w:t>
      </w:r>
      <w:r w:rsidR="00FE2547">
        <w:rPr>
          <w:sz w:val="16"/>
          <w:szCs w:val="16"/>
        </w:rPr>
        <w:t xml:space="preserve">le </w:t>
      </w:r>
      <w:r>
        <w:rPr>
          <w:sz w:val="16"/>
          <w:szCs w:val="16"/>
        </w:rPr>
        <w:t xml:space="preserve">reiteró </w:t>
      </w:r>
      <w:r w:rsidR="0065413F">
        <w:rPr>
          <w:sz w:val="16"/>
          <w:szCs w:val="16"/>
        </w:rPr>
        <w:t xml:space="preserve">al Estado </w:t>
      </w:r>
      <w:r>
        <w:rPr>
          <w:sz w:val="16"/>
          <w:szCs w:val="16"/>
        </w:rPr>
        <w:t>que informara sobre tal acreditación a la mayor brevedad, lo cual no hizo.</w:t>
      </w:r>
      <w:r w:rsidRPr="00FE2547">
        <w:rPr>
          <w:sz w:val="16"/>
          <w:szCs w:val="16"/>
        </w:rPr>
        <w:t xml:space="preserve"> </w:t>
      </w:r>
      <w:r>
        <w:rPr>
          <w:sz w:val="16"/>
          <w:szCs w:val="16"/>
        </w:rPr>
        <w:t>A partir del escrito de 9 de noviembre de 2016, s</w:t>
      </w:r>
      <w:r w:rsidRPr="00FE2547">
        <w:rPr>
          <w:sz w:val="16"/>
          <w:szCs w:val="16"/>
        </w:rPr>
        <w:t>e entiende que, en adelante, el señor Saltrón Negretti continuará representando al Estado como Agente para el presente caso.</w:t>
      </w:r>
    </w:p>
  </w:footnote>
  <w:footnote w:id="2">
    <w:p w:rsidR="002B36E5" w:rsidRDefault="002B36E5" w:rsidP="000D23C2">
      <w:pPr>
        <w:tabs>
          <w:tab w:val="left" w:pos="567"/>
        </w:tabs>
        <w:spacing w:after="120" w:line="240" w:lineRule="auto"/>
        <w:jc w:val="both"/>
      </w:pPr>
      <w:bookmarkStart w:id="1" w:name="_1t3h5sf" w:colFirst="0" w:colLast="0"/>
      <w:bookmarkEnd w:id="1"/>
      <w:r>
        <w:rPr>
          <w:vertAlign w:val="superscript"/>
        </w:rPr>
        <w:footnoteRef/>
      </w:r>
      <w:r>
        <w:rPr>
          <w:sz w:val="16"/>
          <w:szCs w:val="16"/>
          <w:vertAlign w:val="superscript"/>
        </w:rPr>
        <w:tab/>
      </w:r>
      <w:r>
        <w:rPr>
          <w:i/>
          <w:sz w:val="16"/>
          <w:szCs w:val="16"/>
        </w:rPr>
        <w:t xml:space="preserve">Cfr. Caso Quintana Coello y otros Vs. Ecuador. </w:t>
      </w:r>
      <w:r>
        <w:rPr>
          <w:sz w:val="16"/>
          <w:szCs w:val="16"/>
        </w:rPr>
        <w:t xml:space="preserve">Resolución del Presidente de la Corte Interamericana de Derechos Humanos de 20 de diciembre de 2012, considerando 12, y </w:t>
      </w:r>
      <w:r>
        <w:rPr>
          <w:i/>
          <w:sz w:val="16"/>
          <w:szCs w:val="16"/>
        </w:rPr>
        <w:t xml:space="preserve">mutatis mutandi Caso Galindo Cárdenas y otros Vs. Perú. </w:t>
      </w:r>
      <w:r>
        <w:rPr>
          <w:sz w:val="16"/>
          <w:szCs w:val="16"/>
        </w:rPr>
        <w:t>Resolución del Presidente de la Corte Interamericana de Derechos Humanos de 28 de noviembre de 2014, considerando 7.</w:t>
      </w:r>
    </w:p>
  </w:footnote>
  <w:footnote w:id="3">
    <w:p w:rsidR="00D90764" w:rsidRDefault="00D90764" w:rsidP="00FE2547">
      <w:pPr>
        <w:pStyle w:val="FootnoteText"/>
        <w:jc w:val="both"/>
      </w:pPr>
      <w:r>
        <w:rPr>
          <w:rStyle w:val="FootnoteReference"/>
        </w:rPr>
        <w:footnoteRef/>
      </w:r>
      <w:r>
        <w:t xml:space="preserve"> </w:t>
      </w:r>
      <w:r>
        <w:tab/>
      </w:r>
      <w:r w:rsidRPr="00FE2547">
        <w:rPr>
          <w:sz w:val="16"/>
          <w:szCs w:val="16"/>
        </w:rPr>
        <w:t xml:space="preserve">De manera específica, </w:t>
      </w:r>
      <w:r w:rsidRPr="004E5DF3">
        <w:rPr>
          <w:color w:val="auto"/>
          <w:sz w:val="16"/>
          <w:szCs w:val="16"/>
        </w:rPr>
        <w:t>el representante se refi</w:t>
      </w:r>
      <w:r w:rsidR="0047389E" w:rsidRPr="004E5DF3">
        <w:rPr>
          <w:color w:val="auto"/>
          <w:sz w:val="16"/>
          <w:szCs w:val="16"/>
        </w:rPr>
        <w:t>rió</w:t>
      </w:r>
      <w:r w:rsidRPr="004E5DF3">
        <w:rPr>
          <w:color w:val="auto"/>
          <w:sz w:val="16"/>
          <w:szCs w:val="16"/>
        </w:rPr>
        <w:t xml:space="preserve"> a los </w:t>
      </w:r>
      <w:r w:rsidR="0047389E" w:rsidRPr="004E5DF3">
        <w:rPr>
          <w:color w:val="auto"/>
          <w:sz w:val="16"/>
          <w:szCs w:val="16"/>
        </w:rPr>
        <w:t xml:space="preserve">siguientes </w:t>
      </w:r>
      <w:r w:rsidRPr="004E5DF3">
        <w:rPr>
          <w:color w:val="auto"/>
          <w:sz w:val="16"/>
          <w:szCs w:val="16"/>
        </w:rPr>
        <w:t>casos</w:t>
      </w:r>
      <w:r w:rsidRPr="004E5DF3">
        <w:rPr>
          <w:color w:val="auto"/>
          <w:sz w:val="16"/>
          <w:szCs w:val="16"/>
          <w:highlight w:val="white"/>
        </w:rPr>
        <w:t xml:space="preserve"> </w:t>
      </w:r>
      <w:r w:rsidR="0047389E" w:rsidRPr="004E5DF3">
        <w:rPr>
          <w:color w:val="auto"/>
          <w:sz w:val="16"/>
          <w:szCs w:val="16"/>
          <w:highlight w:val="white"/>
        </w:rPr>
        <w:t xml:space="preserve">respecto de Venezuela: </w:t>
      </w:r>
      <w:r w:rsidRPr="004E5DF3">
        <w:rPr>
          <w:i/>
          <w:color w:val="auto"/>
          <w:sz w:val="16"/>
          <w:szCs w:val="16"/>
          <w:highlight w:val="white"/>
        </w:rPr>
        <w:t>Apitz Barbera y otros (“Corte Primera de lo Contencioso  Administrativo”)</w:t>
      </w:r>
      <w:r w:rsidRPr="004E5DF3">
        <w:rPr>
          <w:color w:val="auto"/>
          <w:sz w:val="16"/>
          <w:szCs w:val="16"/>
          <w:highlight w:val="white"/>
        </w:rPr>
        <w:t xml:space="preserve">; </w:t>
      </w:r>
      <w:r w:rsidRPr="004E5DF3">
        <w:rPr>
          <w:i/>
          <w:color w:val="auto"/>
          <w:sz w:val="16"/>
          <w:szCs w:val="16"/>
          <w:highlight w:val="white"/>
        </w:rPr>
        <w:t>Caso Ríos y otros</w:t>
      </w:r>
      <w:r w:rsidRPr="004E5DF3">
        <w:rPr>
          <w:color w:val="auto"/>
          <w:sz w:val="16"/>
          <w:szCs w:val="16"/>
          <w:highlight w:val="white"/>
        </w:rPr>
        <w:t xml:space="preserve">; </w:t>
      </w:r>
      <w:r w:rsidRPr="004E5DF3">
        <w:rPr>
          <w:i/>
          <w:color w:val="auto"/>
          <w:sz w:val="16"/>
          <w:szCs w:val="16"/>
          <w:highlight w:val="white"/>
        </w:rPr>
        <w:t>Caso Perozo y otros</w:t>
      </w:r>
      <w:r w:rsidRPr="004E5DF3">
        <w:rPr>
          <w:color w:val="auto"/>
          <w:sz w:val="16"/>
          <w:szCs w:val="16"/>
          <w:highlight w:val="white"/>
        </w:rPr>
        <w:t xml:space="preserve">; </w:t>
      </w:r>
      <w:r w:rsidRPr="004E5DF3">
        <w:rPr>
          <w:i/>
          <w:color w:val="auto"/>
          <w:sz w:val="16"/>
          <w:szCs w:val="16"/>
          <w:highlight w:val="white"/>
        </w:rPr>
        <w:t>Caso Reverón Trujillo</w:t>
      </w:r>
      <w:r w:rsidRPr="004E5DF3">
        <w:rPr>
          <w:color w:val="auto"/>
          <w:sz w:val="16"/>
          <w:szCs w:val="16"/>
          <w:highlight w:val="white"/>
        </w:rPr>
        <w:t xml:space="preserve">; </w:t>
      </w:r>
      <w:r w:rsidRPr="004E5DF3">
        <w:rPr>
          <w:i/>
          <w:color w:val="auto"/>
          <w:sz w:val="16"/>
          <w:szCs w:val="16"/>
          <w:highlight w:val="white"/>
        </w:rPr>
        <w:t>Caso Usón Ramírez</w:t>
      </w:r>
      <w:r w:rsidRPr="004E5DF3">
        <w:rPr>
          <w:color w:val="auto"/>
          <w:sz w:val="16"/>
          <w:szCs w:val="16"/>
          <w:highlight w:val="white"/>
        </w:rPr>
        <w:t xml:space="preserve">; </w:t>
      </w:r>
      <w:r w:rsidRPr="004E5DF3">
        <w:rPr>
          <w:i/>
          <w:color w:val="auto"/>
          <w:sz w:val="16"/>
          <w:szCs w:val="16"/>
          <w:highlight w:val="white"/>
        </w:rPr>
        <w:t>Caso Chocrón Chocrón</w:t>
      </w:r>
      <w:r w:rsidRPr="004E5DF3">
        <w:rPr>
          <w:color w:val="auto"/>
          <w:sz w:val="16"/>
          <w:szCs w:val="16"/>
          <w:highlight w:val="white"/>
        </w:rPr>
        <w:t xml:space="preserve">; </w:t>
      </w:r>
      <w:r w:rsidRPr="004E5DF3">
        <w:rPr>
          <w:i/>
          <w:color w:val="auto"/>
          <w:sz w:val="16"/>
          <w:szCs w:val="16"/>
          <w:highlight w:val="white"/>
        </w:rPr>
        <w:t>Caso López Mendoza</w:t>
      </w:r>
      <w:r w:rsidRPr="004E5DF3">
        <w:rPr>
          <w:color w:val="auto"/>
          <w:sz w:val="16"/>
          <w:szCs w:val="16"/>
          <w:highlight w:val="white"/>
        </w:rPr>
        <w:t xml:space="preserve">; y </w:t>
      </w:r>
      <w:r w:rsidRPr="004E5DF3">
        <w:rPr>
          <w:i/>
          <w:color w:val="auto"/>
          <w:sz w:val="16"/>
          <w:szCs w:val="16"/>
          <w:highlight w:val="white"/>
        </w:rPr>
        <w:t>Caso Granier y otros (Radio Caracas Televisión)</w:t>
      </w:r>
      <w:r w:rsidRPr="004E5DF3">
        <w:rPr>
          <w:color w:val="auto"/>
          <w:sz w:val="16"/>
          <w:szCs w:val="16"/>
          <w:highlight w:val="whit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E5" w:rsidRDefault="002B36E5">
    <w:pPr>
      <w:tabs>
        <w:tab w:val="center" w:pos="4419"/>
        <w:tab w:val="right" w:pos="8838"/>
      </w:tabs>
      <w:spacing w:before="708" w:after="0" w:line="240" w:lineRule="auto"/>
      <w:jc w:val="center"/>
    </w:pPr>
    <w:r>
      <w:t>-</w:t>
    </w:r>
    <w:r>
      <w:fldChar w:fldCharType="begin"/>
    </w:r>
    <w:r>
      <w:instrText>PAGE</w:instrText>
    </w:r>
    <w:r>
      <w:fldChar w:fldCharType="separate"/>
    </w:r>
    <w:r w:rsidR="002626AE">
      <w:rPr>
        <w:noProof/>
      </w:rPr>
      <w:t>15</w:t>
    </w:r>
    <w:r>
      <w:fldChar w:fldCharType="end"/>
    </w:r>
    <w:r>
      <w:t>-</w:t>
    </w:r>
  </w:p>
  <w:p w:rsidR="002B36E5" w:rsidRDefault="002B36E5">
    <w:pPr>
      <w:tabs>
        <w:tab w:val="center" w:pos="4419"/>
        <w:tab w:val="right" w:pos="8838"/>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E5" w:rsidRDefault="002B36E5">
    <w:pPr>
      <w:tabs>
        <w:tab w:val="center" w:pos="4419"/>
        <w:tab w:val="right" w:pos="8838"/>
      </w:tabs>
      <w:spacing w:before="708" w:after="0" w:line="240" w:lineRule="auto"/>
      <w:jc w:val="center"/>
    </w:pPr>
  </w:p>
  <w:p w:rsidR="002B36E5" w:rsidRDefault="002B36E5">
    <w:pP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7322"/>
    <w:multiLevelType w:val="multilevel"/>
    <w:tmpl w:val="59EE5712"/>
    <w:lvl w:ilvl="0">
      <w:start w:val="1"/>
      <w:numFmt w:val="upperLetter"/>
      <w:lvlText w:val="%1."/>
      <w:lvlJc w:val="left"/>
      <w:pPr>
        <w:ind w:left="720" w:firstLine="360"/>
      </w:pPr>
      <w:rPr>
        <w:b/>
        <w: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BAB20A2"/>
    <w:multiLevelType w:val="multilevel"/>
    <w:tmpl w:val="21309C72"/>
    <w:lvl w:ilvl="0">
      <w:start w:val="1"/>
      <w:numFmt w:val="decimal"/>
      <w:lvlText w:val="%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2">
    <w:nsid w:val="1CB745BA"/>
    <w:multiLevelType w:val="multilevel"/>
    <w:tmpl w:val="7698174A"/>
    <w:lvl w:ilvl="0">
      <w:start w:val="1"/>
      <w:numFmt w:val="decimal"/>
      <w:lvlText w:val="%1."/>
      <w:lvlJc w:val="left"/>
      <w:pPr>
        <w:ind w:left="1080" w:firstLine="360"/>
      </w:pPr>
      <w:rPr>
        <w:b w:val="0"/>
      </w:rPr>
    </w:lvl>
    <w:lvl w:ilvl="1">
      <w:start w:val="1"/>
      <w:numFmt w:val="lowerRoman"/>
      <w:lvlText w:val="%2."/>
      <w:lvlJc w:val="left"/>
      <w:pPr>
        <w:ind w:left="180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5435EB3"/>
    <w:multiLevelType w:val="multilevel"/>
    <w:tmpl w:val="A6209B2A"/>
    <w:lvl w:ilvl="0">
      <w:start w:val="1"/>
      <w:numFmt w:val="upperLetter"/>
      <w:lvlText w:val="%1."/>
      <w:lvlJc w:val="left"/>
      <w:pPr>
        <w:ind w:left="930" w:firstLine="570"/>
      </w:pPr>
      <w:rPr>
        <w:b w:val="0"/>
      </w:rPr>
    </w:lvl>
    <w:lvl w:ilvl="1">
      <w:start w:val="1"/>
      <w:numFmt w:val="lowerLetter"/>
      <w:lvlText w:val="%2."/>
      <w:lvlJc w:val="left"/>
      <w:pPr>
        <w:ind w:left="1650" w:firstLine="1290"/>
      </w:pPr>
    </w:lvl>
    <w:lvl w:ilvl="2">
      <w:start w:val="1"/>
      <w:numFmt w:val="lowerRoman"/>
      <w:lvlText w:val="%3."/>
      <w:lvlJc w:val="right"/>
      <w:pPr>
        <w:ind w:left="2370" w:firstLine="2190"/>
      </w:pPr>
    </w:lvl>
    <w:lvl w:ilvl="3">
      <w:start w:val="1"/>
      <w:numFmt w:val="decimal"/>
      <w:lvlText w:val="%4."/>
      <w:lvlJc w:val="left"/>
      <w:pPr>
        <w:ind w:left="3090" w:firstLine="2730"/>
      </w:pPr>
    </w:lvl>
    <w:lvl w:ilvl="4">
      <w:start w:val="1"/>
      <w:numFmt w:val="lowerLetter"/>
      <w:lvlText w:val="%5."/>
      <w:lvlJc w:val="left"/>
      <w:pPr>
        <w:ind w:left="3810" w:firstLine="3450"/>
      </w:pPr>
    </w:lvl>
    <w:lvl w:ilvl="5">
      <w:start w:val="1"/>
      <w:numFmt w:val="lowerRoman"/>
      <w:lvlText w:val="%6."/>
      <w:lvlJc w:val="right"/>
      <w:pPr>
        <w:ind w:left="4530" w:firstLine="4350"/>
      </w:pPr>
    </w:lvl>
    <w:lvl w:ilvl="6">
      <w:start w:val="1"/>
      <w:numFmt w:val="decimal"/>
      <w:lvlText w:val="%7."/>
      <w:lvlJc w:val="left"/>
      <w:pPr>
        <w:ind w:left="5250" w:firstLine="4890"/>
      </w:pPr>
    </w:lvl>
    <w:lvl w:ilvl="7">
      <w:start w:val="1"/>
      <w:numFmt w:val="lowerLetter"/>
      <w:lvlText w:val="%8."/>
      <w:lvlJc w:val="left"/>
      <w:pPr>
        <w:ind w:left="5970" w:firstLine="5610"/>
      </w:pPr>
    </w:lvl>
    <w:lvl w:ilvl="8">
      <w:start w:val="1"/>
      <w:numFmt w:val="lowerRoman"/>
      <w:lvlText w:val="%9."/>
      <w:lvlJc w:val="right"/>
      <w:pPr>
        <w:ind w:left="6690" w:firstLine="6510"/>
      </w:pPr>
    </w:lvl>
  </w:abstractNum>
  <w:abstractNum w:abstractNumId="4">
    <w:nsid w:val="4FB47508"/>
    <w:multiLevelType w:val="multilevel"/>
    <w:tmpl w:val="223A6AFC"/>
    <w:lvl w:ilvl="0">
      <w:start w:val="2"/>
      <w:numFmt w:val="decimal"/>
      <w:lvlText w:val="%1."/>
      <w:lvlJc w:val="left"/>
      <w:pPr>
        <w:ind w:left="0" w:firstLine="0"/>
      </w:pPr>
      <w:rPr>
        <w:rFonts w:ascii="Verdana" w:eastAsia="Verdana" w:hAnsi="Verdana" w:cs="Verdana"/>
        <w:b w:val="0"/>
        <w:i w:val="0"/>
        <w:sz w:val="20"/>
        <w:szCs w:val="20"/>
      </w:r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5">
    <w:nsid w:val="58701250"/>
    <w:multiLevelType w:val="multilevel"/>
    <w:tmpl w:val="5F104F22"/>
    <w:lvl w:ilvl="0">
      <w:start w:val="1"/>
      <w:numFmt w:val="decimal"/>
      <w:lvlText w:val="%1."/>
      <w:lvlJc w:val="left"/>
      <w:pPr>
        <w:ind w:left="1800" w:firstLine="1080"/>
      </w:pPr>
      <w:rPr>
        <w:b w:val="0"/>
        <w:i w:val="0"/>
        <w:color w:val="000000"/>
      </w:rPr>
    </w:lvl>
    <w:lvl w:ilvl="1">
      <w:start w:val="1"/>
      <w:numFmt w:val="lowerRoman"/>
      <w:lvlText w:val="%2."/>
      <w:lvlJc w:val="left"/>
      <w:pPr>
        <w:ind w:left="1800" w:firstLine="1080"/>
      </w:pPr>
    </w:lvl>
    <w:lvl w:ilvl="2">
      <w:start w:val="1"/>
      <w:numFmt w:val="upperRoman"/>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D235096"/>
    <w:multiLevelType w:val="multilevel"/>
    <w:tmpl w:val="A1C6BDFA"/>
    <w:lvl w:ilvl="0">
      <w:start w:val="1"/>
      <w:numFmt w:val="upperLetter"/>
      <w:lvlText w:val="%1."/>
      <w:lvlJc w:val="left"/>
      <w:pPr>
        <w:ind w:left="720" w:firstLine="360"/>
      </w:pPr>
    </w:lvl>
    <w:lvl w:ilvl="1">
      <w:start w:val="1"/>
      <w:numFmt w:val="decimal"/>
      <w:lvlText w:val="%2)"/>
      <w:lvlJc w:val="left"/>
      <w:pPr>
        <w:ind w:left="1440" w:firstLine="1080"/>
      </w:pPr>
      <w:rPr>
        <w:b/>
        <w:i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E16388E"/>
    <w:multiLevelType w:val="multilevel"/>
    <w:tmpl w:val="B17A49BE"/>
    <w:lvl w:ilvl="0">
      <w:start w:val="1"/>
      <w:numFmt w:val="upperLetter"/>
      <w:lvlText w:val="%1."/>
      <w:lvlJc w:val="left"/>
      <w:pPr>
        <w:ind w:left="720" w:firstLine="360"/>
      </w:pPr>
    </w:lvl>
    <w:lvl w:ilvl="1">
      <w:start w:val="1"/>
      <w:numFmt w:val="decimal"/>
      <w:lvlText w:val="%2)"/>
      <w:lvlJc w:val="left"/>
      <w:pPr>
        <w:ind w:left="1440" w:firstLine="1080"/>
      </w:pPr>
      <w:rPr>
        <w:b/>
        <w:i w:val="0"/>
      </w:rPr>
    </w:lvl>
    <w:lvl w:ilvl="2">
      <w:start w:val="1"/>
      <w:numFmt w:val="lowerRoman"/>
      <w:lvlText w:val="%3."/>
      <w:lvlJc w:val="right"/>
      <w:pPr>
        <w:ind w:left="2160" w:firstLine="1980"/>
      </w:p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4"/>
  </w:num>
  <w:num w:numId="3">
    <w:abstractNumId w:val="7"/>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F6638"/>
    <w:rsid w:val="00011C4E"/>
    <w:rsid w:val="000A421E"/>
    <w:rsid w:val="000D23C2"/>
    <w:rsid w:val="000E2260"/>
    <w:rsid w:val="0010560E"/>
    <w:rsid w:val="001439C8"/>
    <w:rsid w:val="00170CA9"/>
    <w:rsid w:val="00181216"/>
    <w:rsid w:val="001B0CBE"/>
    <w:rsid w:val="001D24AD"/>
    <w:rsid w:val="001E080A"/>
    <w:rsid w:val="0022315C"/>
    <w:rsid w:val="00243343"/>
    <w:rsid w:val="00247B7E"/>
    <w:rsid w:val="0025035D"/>
    <w:rsid w:val="00260AC6"/>
    <w:rsid w:val="002626AE"/>
    <w:rsid w:val="00283689"/>
    <w:rsid w:val="002879B3"/>
    <w:rsid w:val="002A1BBC"/>
    <w:rsid w:val="002B36E5"/>
    <w:rsid w:val="002B3F79"/>
    <w:rsid w:val="002C128F"/>
    <w:rsid w:val="003A4550"/>
    <w:rsid w:val="003D3B50"/>
    <w:rsid w:val="003D72C7"/>
    <w:rsid w:val="003E63D9"/>
    <w:rsid w:val="00404ED6"/>
    <w:rsid w:val="00421799"/>
    <w:rsid w:val="004320C6"/>
    <w:rsid w:val="0045662D"/>
    <w:rsid w:val="0047389E"/>
    <w:rsid w:val="0048620F"/>
    <w:rsid w:val="004C0FF4"/>
    <w:rsid w:val="004E5DF3"/>
    <w:rsid w:val="005106B5"/>
    <w:rsid w:val="00544D8E"/>
    <w:rsid w:val="0054792F"/>
    <w:rsid w:val="005521EF"/>
    <w:rsid w:val="00553CD9"/>
    <w:rsid w:val="005541D4"/>
    <w:rsid w:val="00556698"/>
    <w:rsid w:val="005E3C44"/>
    <w:rsid w:val="005F703C"/>
    <w:rsid w:val="00613FC6"/>
    <w:rsid w:val="00641567"/>
    <w:rsid w:val="0065413F"/>
    <w:rsid w:val="006E0351"/>
    <w:rsid w:val="007540EE"/>
    <w:rsid w:val="007623ED"/>
    <w:rsid w:val="00783AFD"/>
    <w:rsid w:val="007B139A"/>
    <w:rsid w:val="007D30F9"/>
    <w:rsid w:val="00827C06"/>
    <w:rsid w:val="008518B9"/>
    <w:rsid w:val="008626DB"/>
    <w:rsid w:val="00876643"/>
    <w:rsid w:val="0095193C"/>
    <w:rsid w:val="009B6275"/>
    <w:rsid w:val="009C4C76"/>
    <w:rsid w:val="009F2BCC"/>
    <w:rsid w:val="009F5891"/>
    <w:rsid w:val="00A17AA8"/>
    <w:rsid w:val="00A33FBC"/>
    <w:rsid w:val="00A47C1B"/>
    <w:rsid w:val="00A55E69"/>
    <w:rsid w:val="00A80102"/>
    <w:rsid w:val="00A87077"/>
    <w:rsid w:val="00A97EA7"/>
    <w:rsid w:val="00AF6638"/>
    <w:rsid w:val="00B41509"/>
    <w:rsid w:val="00B518FF"/>
    <w:rsid w:val="00BC7875"/>
    <w:rsid w:val="00C03904"/>
    <w:rsid w:val="00C34CD2"/>
    <w:rsid w:val="00C4501F"/>
    <w:rsid w:val="00CA18C2"/>
    <w:rsid w:val="00CE7DC0"/>
    <w:rsid w:val="00D51D78"/>
    <w:rsid w:val="00D56B42"/>
    <w:rsid w:val="00D90764"/>
    <w:rsid w:val="00DC2F42"/>
    <w:rsid w:val="00E112A4"/>
    <w:rsid w:val="00EB3A1C"/>
    <w:rsid w:val="00EF2B72"/>
    <w:rsid w:val="00F060FF"/>
    <w:rsid w:val="00F24584"/>
    <w:rsid w:val="00F7616B"/>
    <w:rsid w:val="00FE25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351"/>
    <w:rPr>
      <w:rFonts w:ascii="Tahoma" w:hAnsi="Tahoma" w:cs="Tahoma"/>
      <w:sz w:val="16"/>
      <w:szCs w:val="16"/>
    </w:rPr>
  </w:style>
  <w:style w:type="paragraph" w:styleId="ListParagraph">
    <w:name w:val="List Paragraph"/>
    <w:basedOn w:val="Normal"/>
    <w:uiPriority w:val="34"/>
    <w:qFormat/>
    <w:rsid w:val="00556698"/>
    <w:pPr>
      <w:ind w:left="720"/>
      <w:contextualSpacing/>
    </w:pPr>
  </w:style>
  <w:style w:type="paragraph" w:styleId="FootnoteText">
    <w:name w:val="footnote text"/>
    <w:basedOn w:val="Normal"/>
    <w:link w:val="FootnoteTextChar"/>
    <w:uiPriority w:val="99"/>
    <w:semiHidden/>
    <w:unhideWhenUsed/>
    <w:rsid w:val="00556698"/>
    <w:pPr>
      <w:spacing w:after="0" w:line="240" w:lineRule="auto"/>
    </w:pPr>
  </w:style>
  <w:style w:type="character" w:customStyle="1" w:styleId="FootnoteTextChar">
    <w:name w:val="Footnote Text Char"/>
    <w:basedOn w:val="DefaultParagraphFont"/>
    <w:link w:val="FootnoteText"/>
    <w:uiPriority w:val="99"/>
    <w:semiHidden/>
    <w:rsid w:val="00556698"/>
  </w:style>
  <w:style w:type="character" w:styleId="FootnoteReference">
    <w:name w:val="footnote reference"/>
    <w:basedOn w:val="DefaultParagraphFont"/>
    <w:uiPriority w:val="99"/>
    <w:semiHidden/>
    <w:unhideWhenUsed/>
    <w:rsid w:val="00556698"/>
    <w:rPr>
      <w:vertAlign w:val="superscript"/>
    </w:rPr>
  </w:style>
  <w:style w:type="paragraph" w:styleId="BodyText">
    <w:name w:val="Body Text"/>
    <w:basedOn w:val="Normal"/>
    <w:link w:val="BodyTextChar"/>
    <w:uiPriority w:val="99"/>
    <w:unhideWhenUsed/>
    <w:rsid w:val="0025035D"/>
    <w:pPr>
      <w:spacing w:after="120" w:line="240" w:lineRule="auto"/>
    </w:pPr>
    <w:rPr>
      <w:rFonts w:ascii="Times" w:eastAsia="Times" w:hAnsi="Times" w:cs="Times New Roman"/>
      <w:color w:val="auto"/>
      <w:sz w:val="24"/>
      <w:lang w:val="es-ES_tradnl" w:eastAsia="en-US"/>
    </w:rPr>
  </w:style>
  <w:style w:type="character" w:customStyle="1" w:styleId="BodyTextChar">
    <w:name w:val="Body Text Char"/>
    <w:basedOn w:val="DefaultParagraphFont"/>
    <w:link w:val="BodyText"/>
    <w:uiPriority w:val="99"/>
    <w:rsid w:val="0025035D"/>
    <w:rPr>
      <w:rFonts w:ascii="Times" w:eastAsia="Times" w:hAnsi="Times" w:cs="Times New Roman"/>
      <w:color w:val="auto"/>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351"/>
    <w:rPr>
      <w:rFonts w:ascii="Tahoma" w:hAnsi="Tahoma" w:cs="Tahoma"/>
      <w:sz w:val="16"/>
      <w:szCs w:val="16"/>
    </w:rPr>
  </w:style>
  <w:style w:type="paragraph" w:styleId="ListParagraph">
    <w:name w:val="List Paragraph"/>
    <w:basedOn w:val="Normal"/>
    <w:uiPriority w:val="34"/>
    <w:qFormat/>
    <w:rsid w:val="00556698"/>
    <w:pPr>
      <w:ind w:left="720"/>
      <w:contextualSpacing/>
    </w:pPr>
  </w:style>
  <w:style w:type="paragraph" w:styleId="FootnoteText">
    <w:name w:val="footnote text"/>
    <w:basedOn w:val="Normal"/>
    <w:link w:val="FootnoteTextChar"/>
    <w:uiPriority w:val="99"/>
    <w:semiHidden/>
    <w:unhideWhenUsed/>
    <w:rsid w:val="00556698"/>
    <w:pPr>
      <w:spacing w:after="0" w:line="240" w:lineRule="auto"/>
    </w:pPr>
  </w:style>
  <w:style w:type="character" w:customStyle="1" w:styleId="FootnoteTextChar">
    <w:name w:val="Footnote Text Char"/>
    <w:basedOn w:val="DefaultParagraphFont"/>
    <w:link w:val="FootnoteText"/>
    <w:uiPriority w:val="99"/>
    <w:semiHidden/>
    <w:rsid w:val="00556698"/>
  </w:style>
  <w:style w:type="character" w:styleId="FootnoteReference">
    <w:name w:val="footnote reference"/>
    <w:basedOn w:val="DefaultParagraphFont"/>
    <w:uiPriority w:val="99"/>
    <w:semiHidden/>
    <w:unhideWhenUsed/>
    <w:rsid w:val="00556698"/>
    <w:rPr>
      <w:vertAlign w:val="superscript"/>
    </w:rPr>
  </w:style>
  <w:style w:type="paragraph" w:styleId="BodyText">
    <w:name w:val="Body Text"/>
    <w:basedOn w:val="Normal"/>
    <w:link w:val="BodyTextChar"/>
    <w:uiPriority w:val="99"/>
    <w:unhideWhenUsed/>
    <w:rsid w:val="0025035D"/>
    <w:pPr>
      <w:spacing w:after="120" w:line="240" w:lineRule="auto"/>
    </w:pPr>
    <w:rPr>
      <w:rFonts w:ascii="Times" w:eastAsia="Times" w:hAnsi="Times" w:cs="Times New Roman"/>
      <w:color w:val="auto"/>
      <w:sz w:val="24"/>
      <w:lang w:val="es-ES_tradnl" w:eastAsia="en-US"/>
    </w:rPr>
  </w:style>
  <w:style w:type="character" w:customStyle="1" w:styleId="BodyTextChar">
    <w:name w:val="Body Text Char"/>
    <w:basedOn w:val="DefaultParagraphFont"/>
    <w:link w:val="BodyText"/>
    <w:uiPriority w:val="99"/>
    <w:rsid w:val="0025035D"/>
    <w:rPr>
      <w:rFonts w:ascii="Times" w:eastAsia="Times" w:hAnsi="Times" w:cs="Times New Roman"/>
      <w:color w:val="auto"/>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68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D648-009A-4C85-8BA4-4ECDF041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6702</Words>
  <Characters>38206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4</cp:revision>
  <cp:lastPrinted>2016-12-21T23:32:00Z</cp:lastPrinted>
  <dcterms:created xsi:type="dcterms:W3CDTF">2016-12-21T23:32:00Z</dcterms:created>
  <dcterms:modified xsi:type="dcterms:W3CDTF">2016-12-21T23:32:00Z</dcterms:modified>
</cp:coreProperties>
</file>