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3E09B" w14:textId="77777777" w:rsidR="00015762" w:rsidRDefault="00015762" w:rsidP="00015762">
      <w:pPr>
        <w:spacing w:after="0"/>
        <w:rPr>
          <w:rFonts w:ascii="Verdana" w:hAnsi="Verdana" w:cs="Verdana"/>
          <w:sz w:val="20"/>
          <w:szCs w:val="20"/>
          <w:lang w:val="es-CR"/>
        </w:rPr>
      </w:pPr>
    </w:p>
    <w:p w14:paraId="3BEC7F50" w14:textId="77777777" w:rsidR="00015762" w:rsidRDefault="00015762" w:rsidP="00015762">
      <w:pPr>
        <w:spacing w:after="0"/>
        <w:rPr>
          <w:rFonts w:ascii="Verdana" w:hAnsi="Verdana" w:cs="Verdana"/>
          <w:sz w:val="20"/>
          <w:szCs w:val="20"/>
          <w:lang w:val="es-CR"/>
        </w:rPr>
      </w:pPr>
    </w:p>
    <w:p w14:paraId="7ADCF434" w14:textId="77777777" w:rsidR="00015762" w:rsidRDefault="00015762" w:rsidP="00015762">
      <w:pPr>
        <w:spacing w:after="0"/>
        <w:rPr>
          <w:rFonts w:ascii="Verdana" w:hAnsi="Verdana" w:cs="Verdana"/>
          <w:sz w:val="20"/>
          <w:szCs w:val="20"/>
          <w:lang w:val="es-CR"/>
        </w:rPr>
      </w:pPr>
    </w:p>
    <w:p w14:paraId="09916E6C" w14:textId="77777777" w:rsidR="00015762" w:rsidRDefault="00015762" w:rsidP="00015762">
      <w:pPr>
        <w:spacing w:after="0"/>
        <w:rPr>
          <w:rFonts w:ascii="Verdana" w:hAnsi="Verdana" w:cs="Verdana"/>
          <w:sz w:val="20"/>
          <w:szCs w:val="20"/>
          <w:lang w:val="es-CR"/>
        </w:rPr>
      </w:pPr>
    </w:p>
    <w:p w14:paraId="2B45DEB5" w14:textId="0EB5ED7B" w:rsidR="00015762" w:rsidRDefault="00E2376A" w:rsidP="00015762">
      <w:pPr>
        <w:spacing w:after="0"/>
        <w:rPr>
          <w:rFonts w:ascii="Verdana" w:hAnsi="Verdana" w:cs="Verdana"/>
          <w:sz w:val="20"/>
          <w:szCs w:val="20"/>
          <w:lang w:val="es-CR"/>
        </w:rPr>
      </w:pPr>
      <w:r>
        <w:rPr>
          <w:rFonts w:ascii="Verdana" w:hAnsi="Verdana" w:cs="Verdana"/>
          <w:sz w:val="20"/>
          <w:szCs w:val="20"/>
          <w:lang w:val="es-CR"/>
        </w:rPr>
        <w:t xml:space="preserve"> </w:t>
      </w:r>
      <w:r w:rsidR="00B67CAF">
        <w:rPr>
          <w:rFonts w:ascii="Verdana" w:hAnsi="Verdana" w:cs="Verdana"/>
          <w:sz w:val="20"/>
          <w:szCs w:val="20"/>
          <w:lang w:val="es-CR"/>
        </w:rPr>
        <w:t xml:space="preserve"> </w:t>
      </w:r>
      <w:bookmarkStart w:id="0" w:name="_GoBack"/>
      <w:bookmarkEnd w:id="0"/>
    </w:p>
    <w:p w14:paraId="327D8572" w14:textId="77777777" w:rsidR="00015762" w:rsidRDefault="00015762" w:rsidP="00015762">
      <w:pPr>
        <w:spacing w:after="0"/>
        <w:rPr>
          <w:rFonts w:ascii="Verdana" w:hAnsi="Verdana" w:cs="Verdana"/>
          <w:sz w:val="20"/>
          <w:szCs w:val="20"/>
          <w:lang w:val="es-CR"/>
        </w:rPr>
      </w:pPr>
    </w:p>
    <w:p w14:paraId="14752907" w14:textId="77777777" w:rsidR="00015762" w:rsidRDefault="00015762" w:rsidP="00015762">
      <w:pPr>
        <w:spacing w:after="0"/>
        <w:jc w:val="center"/>
        <w:rPr>
          <w:rFonts w:ascii="Verdana" w:hAnsi="Verdana" w:cs="Verdana"/>
          <w:b/>
          <w:bCs/>
          <w:caps/>
          <w:sz w:val="20"/>
          <w:szCs w:val="20"/>
          <w:lang w:val="es-ES"/>
        </w:rPr>
      </w:pPr>
      <w:r>
        <w:rPr>
          <w:rFonts w:ascii="Verdana" w:hAnsi="Verdana" w:cs="Verdana"/>
          <w:b/>
          <w:bCs/>
          <w:caps/>
          <w:sz w:val="20"/>
          <w:szCs w:val="20"/>
          <w:lang w:val="es-ES"/>
        </w:rPr>
        <w:t>RESOLUCIÓN DE La</w:t>
      </w:r>
    </w:p>
    <w:p w14:paraId="6DB3B760" w14:textId="77777777" w:rsidR="00015762" w:rsidRDefault="00015762" w:rsidP="00015762">
      <w:pPr>
        <w:spacing w:after="0"/>
        <w:jc w:val="center"/>
        <w:rPr>
          <w:rFonts w:ascii="Verdana" w:hAnsi="Verdana" w:cs="Verdana"/>
          <w:b/>
          <w:bCs/>
          <w:caps/>
          <w:sz w:val="20"/>
          <w:szCs w:val="20"/>
          <w:lang w:val="es-ES"/>
        </w:rPr>
      </w:pPr>
      <w:r>
        <w:rPr>
          <w:rFonts w:ascii="Verdana" w:hAnsi="Verdana" w:cs="Verdana"/>
          <w:b/>
          <w:bCs/>
          <w:caps/>
          <w:sz w:val="20"/>
          <w:szCs w:val="20"/>
          <w:lang w:val="es-ES"/>
        </w:rPr>
        <w:t>corte INTERAMERICANA DE DERECHOS HUMANOS</w:t>
      </w:r>
      <w:r>
        <w:rPr>
          <w:rFonts w:ascii="Times New Roman" w:hAnsi="Times New Roman" w:cs="Times New Roman"/>
          <w:sz w:val="24"/>
          <w:szCs w:val="24"/>
          <w:lang w:val="es-CR" w:eastAsia="es-CR"/>
        </w:rPr>
        <w:t xml:space="preserve"> </w:t>
      </w:r>
    </w:p>
    <w:p w14:paraId="59D42616" w14:textId="0925C495" w:rsidR="00015762" w:rsidRDefault="00015762" w:rsidP="00015762">
      <w:pPr>
        <w:spacing w:after="0"/>
        <w:jc w:val="center"/>
        <w:rPr>
          <w:rFonts w:ascii="Verdana" w:hAnsi="Verdana" w:cs="Verdana"/>
          <w:b/>
          <w:bCs/>
          <w:caps/>
          <w:sz w:val="20"/>
          <w:szCs w:val="20"/>
          <w:lang w:val="es-ES"/>
        </w:rPr>
      </w:pPr>
    </w:p>
    <w:p w14:paraId="3AC5FE3F" w14:textId="77777777" w:rsidR="00015762" w:rsidRDefault="00015762" w:rsidP="00015762">
      <w:pPr>
        <w:spacing w:after="0"/>
        <w:jc w:val="center"/>
        <w:rPr>
          <w:rFonts w:ascii="Verdana" w:hAnsi="Verdana" w:cs="Verdana"/>
          <w:b/>
          <w:bCs/>
          <w:caps/>
          <w:sz w:val="20"/>
          <w:szCs w:val="20"/>
          <w:lang w:val="es-ES"/>
        </w:rPr>
      </w:pPr>
      <w:r>
        <w:rPr>
          <w:rFonts w:ascii="Verdana" w:hAnsi="Verdana" w:cs="Verdana"/>
          <w:b/>
          <w:bCs/>
          <w:caps/>
          <w:sz w:val="20"/>
          <w:szCs w:val="20"/>
          <w:lang w:val="es-ES"/>
        </w:rPr>
        <w:t xml:space="preserve">DE </w:t>
      </w:r>
      <w:r w:rsidRPr="004A1B32">
        <w:rPr>
          <w:rFonts w:ascii="Verdana" w:hAnsi="Verdana" w:cs="Verdana"/>
          <w:b/>
          <w:bCs/>
          <w:caps/>
          <w:sz w:val="20"/>
          <w:szCs w:val="20"/>
          <w:lang w:val="es-ES"/>
        </w:rPr>
        <w:t>6 de febrero</w:t>
      </w:r>
      <w:r w:rsidR="00A50CC2">
        <w:rPr>
          <w:rFonts w:ascii="Verdana" w:hAnsi="Verdana" w:cs="Verdana"/>
          <w:b/>
          <w:bCs/>
          <w:caps/>
          <w:sz w:val="20"/>
          <w:szCs w:val="20"/>
          <w:lang w:val="es-ES"/>
        </w:rPr>
        <w:t xml:space="preserve"> DE 2017</w:t>
      </w:r>
    </w:p>
    <w:p w14:paraId="156BBEEB" w14:textId="77777777" w:rsidR="00015762" w:rsidRDefault="00015762" w:rsidP="00015762">
      <w:pPr>
        <w:spacing w:after="0"/>
        <w:jc w:val="center"/>
        <w:rPr>
          <w:rFonts w:ascii="Verdana" w:hAnsi="Verdana" w:cs="Verdana"/>
          <w:b/>
          <w:bCs/>
          <w:caps/>
          <w:sz w:val="20"/>
          <w:szCs w:val="20"/>
          <w:lang w:val="es-ES"/>
        </w:rPr>
      </w:pPr>
    </w:p>
    <w:p w14:paraId="6187F2F1" w14:textId="77777777" w:rsidR="00015762" w:rsidRDefault="00015762" w:rsidP="00015762">
      <w:pPr>
        <w:spacing w:after="0"/>
        <w:jc w:val="center"/>
        <w:rPr>
          <w:rFonts w:ascii="Verdana" w:hAnsi="Verdana" w:cs="Verdana"/>
          <w:b/>
          <w:bCs/>
          <w:caps/>
          <w:sz w:val="20"/>
          <w:szCs w:val="20"/>
          <w:lang w:val="es-ES"/>
        </w:rPr>
      </w:pPr>
      <w:r>
        <w:rPr>
          <w:rFonts w:ascii="Verdana" w:hAnsi="Verdana" w:cs="Verdana"/>
          <w:b/>
          <w:bCs/>
          <w:caps/>
          <w:sz w:val="20"/>
          <w:szCs w:val="20"/>
          <w:lang w:val="es-ES"/>
        </w:rPr>
        <w:t>CASO SAN MIGUEL SOSA Y OTRAS</w:t>
      </w:r>
      <w:r>
        <w:rPr>
          <w:rFonts w:ascii="Verdana" w:hAnsi="Verdana"/>
          <w:b/>
          <w:caps/>
          <w:sz w:val="20"/>
        </w:rPr>
        <w:t xml:space="preserve"> vs. VENEZUELA</w:t>
      </w:r>
    </w:p>
    <w:p w14:paraId="7D323D83" w14:textId="77777777" w:rsidR="00015762" w:rsidRDefault="00015762" w:rsidP="00015762">
      <w:pPr>
        <w:spacing w:after="0"/>
        <w:rPr>
          <w:rFonts w:ascii="Verdana" w:hAnsi="Verdana" w:cs="Verdana"/>
          <w:sz w:val="20"/>
          <w:szCs w:val="20"/>
          <w:lang w:val="es-CR"/>
        </w:rPr>
      </w:pPr>
    </w:p>
    <w:p w14:paraId="0B6ECD32" w14:textId="77777777" w:rsidR="00015762" w:rsidRDefault="00015762" w:rsidP="00015762">
      <w:pPr>
        <w:spacing w:after="0"/>
        <w:rPr>
          <w:rFonts w:ascii="Verdana" w:hAnsi="Verdana" w:cs="Verdana"/>
          <w:sz w:val="20"/>
          <w:szCs w:val="20"/>
          <w:lang w:val="es-CR"/>
        </w:rPr>
      </w:pPr>
    </w:p>
    <w:p w14:paraId="34C29B5B" w14:textId="77777777" w:rsidR="00015762" w:rsidRDefault="00015762" w:rsidP="00015762">
      <w:pPr>
        <w:spacing w:after="0" w:line="240" w:lineRule="auto"/>
        <w:rPr>
          <w:rFonts w:ascii="Verdana" w:hAnsi="Verdana" w:cs="Verdana"/>
          <w:b/>
          <w:bCs/>
          <w:sz w:val="20"/>
          <w:szCs w:val="20"/>
          <w:lang w:val="es-CR"/>
        </w:rPr>
      </w:pPr>
      <w:r>
        <w:rPr>
          <w:rFonts w:ascii="Verdana" w:hAnsi="Verdana" w:cs="Verdana"/>
          <w:b/>
          <w:bCs/>
          <w:sz w:val="20"/>
          <w:szCs w:val="20"/>
          <w:lang w:val="es-CR"/>
        </w:rPr>
        <w:t>VISTO:</w:t>
      </w:r>
    </w:p>
    <w:p w14:paraId="28CEC1A2" w14:textId="77777777" w:rsidR="00015762" w:rsidRPr="004A1B32" w:rsidRDefault="00015762" w:rsidP="004A1B32">
      <w:pPr>
        <w:pStyle w:val="ListParagraph"/>
        <w:widowControl/>
        <w:numPr>
          <w:ilvl w:val="0"/>
          <w:numId w:val="0"/>
        </w:numPr>
        <w:tabs>
          <w:tab w:val="left" w:pos="708"/>
        </w:tabs>
        <w:adjustRightInd/>
        <w:ind w:right="0"/>
      </w:pPr>
      <w:bookmarkStart w:id="1" w:name="_Ref352013213"/>
      <w:bookmarkStart w:id="2" w:name="_Ref227741125"/>
    </w:p>
    <w:bookmarkEnd w:id="1"/>
    <w:bookmarkEnd w:id="2"/>
    <w:p w14:paraId="1F983297" w14:textId="36DE8C03" w:rsidR="004A1B32" w:rsidRDefault="004A1B32" w:rsidP="004A1B32">
      <w:pPr>
        <w:pStyle w:val="ListParagraph"/>
        <w:widowControl/>
        <w:numPr>
          <w:ilvl w:val="0"/>
          <w:numId w:val="2"/>
        </w:numPr>
        <w:tabs>
          <w:tab w:val="left" w:pos="708"/>
        </w:tabs>
        <w:adjustRightInd/>
        <w:ind w:left="0" w:right="0" w:firstLine="0"/>
      </w:pPr>
      <w:r>
        <w:t>El escrito de 9 de noviembre de 2016</w:t>
      </w:r>
      <w:r w:rsidRPr="004A1B32">
        <w:t xml:space="preserve">, mediante </w:t>
      </w:r>
      <w:r w:rsidR="00D01F78">
        <w:t xml:space="preserve">el </w:t>
      </w:r>
      <w:r w:rsidRPr="004A1B32">
        <w:t>cual el señor Germán Saltrón Negretti, en su carácter de Agente del Estado para los Derechos Humanos del Estado</w:t>
      </w:r>
      <w:r w:rsidR="00346D5E">
        <w:t xml:space="preserve"> de Venezuela</w:t>
      </w:r>
      <w:r>
        <w:rPr>
          <w:rStyle w:val="FootnoteReference"/>
        </w:rPr>
        <w:footnoteReference w:id="1"/>
      </w:r>
      <w:r w:rsidRPr="004A1B32">
        <w:t xml:space="preserve">, ratificó ante la Corte </w:t>
      </w:r>
      <w:r w:rsidR="00283109">
        <w:t>“</w:t>
      </w:r>
      <w:r w:rsidRPr="004A1B32">
        <w:t>todos y cada uno de los escritos con la</w:t>
      </w:r>
      <w:r w:rsidR="00283109">
        <w:t>[</w:t>
      </w:r>
      <w:r w:rsidRPr="004A1B32">
        <w:t>s</w:t>
      </w:r>
      <w:r w:rsidR="00283109">
        <w:t>]</w:t>
      </w:r>
      <w:r w:rsidRPr="004A1B32">
        <w:t xml:space="preserve"> argumentaciones expuest</w:t>
      </w:r>
      <w:r w:rsidR="00283109">
        <w:t>[</w:t>
      </w:r>
      <w:r w:rsidRPr="004A1B32">
        <w:t>as</w:t>
      </w:r>
      <w:r w:rsidR="00283109">
        <w:t>]</w:t>
      </w:r>
      <w:r w:rsidRPr="004A1B32">
        <w:t xml:space="preserve"> en su defensa ante la Comisión Interamericana” y, además, ofreció a dos personas para que declar</w:t>
      </w:r>
      <w:r w:rsidR="00D01F78">
        <w:t>ara</w:t>
      </w:r>
      <w:r w:rsidRPr="004A1B32">
        <w:t>n como peritos</w:t>
      </w:r>
      <w:r>
        <w:t>.</w:t>
      </w:r>
    </w:p>
    <w:p w14:paraId="2CD98F91" w14:textId="77777777" w:rsidR="004A1B32" w:rsidRDefault="004A1B32" w:rsidP="004A1B32">
      <w:pPr>
        <w:pStyle w:val="ListParagraph"/>
        <w:widowControl/>
        <w:numPr>
          <w:ilvl w:val="0"/>
          <w:numId w:val="0"/>
        </w:numPr>
        <w:tabs>
          <w:tab w:val="left" w:pos="708"/>
        </w:tabs>
        <w:adjustRightInd/>
        <w:ind w:right="0"/>
      </w:pPr>
    </w:p>
    <w:p w14:paraId="316576CF" w14:textId="12AE0E42" w:rsidR="004A1B32" w:rsidRDefault="004A1B32" w:rsidP="004A1B32">
      <w:pPr>
        <w:pStyle w:val="ListParagraph"/>
        <w:widowControl/>
        <w:numPr>
          <w:ilvl w:val="0"/>
          <w:numId w:val="2"/>
        </w:numPr>
        <w:tabs>
          <w:tab w:val="left" w:pos="708"/>
        </w:tabs>
        <w:adjustRightInd/>
        <w:ind w:left="0" w:right="0" w:firstLine="0"/>
      </w:pPr>
      <w:r>
        <w:t>La nota de</w:t>
      </w:r>
      <w:r w:rsidR="00D01F78">
        <w:t xml:space="preserve"> la</w:t>
      </w:r>
      <w:r>
        <w:t xml:space="preserve"> Secretaría </w:t>
      </w:r>
      <w:r w:rsidR="00346D5E">
        <w:t xml:space="preserve">de la Corte  (en adelante “la Secretaría”) </w:t>
      </w:r>
      <w:r>
        <w:t>de 25 de noviembre de 2016, mediante la cual se informó que la Corte valoraba la disposición del Estado</w:t>
      </w:r>
      <w:r w:rsidR="00D01F78">
        <w:t xml:space="preserve"> de </w:t>
      </w:r>
      <w:r w:rsidR="00346D5E">
        <w:t>Venezuela (en adelante “el Estado”)</w:t>
      </w:r>
      <w:r>
        <w:t xml:space="preserve"> de participar en una eventual audiencia pública y decidiría oportunamente sobre la procedencia de su ofrecimiento probatorio y lo alegado por el Estado para efectos del fondo del presente caso. A su vez, de conformidad con lo establecido en el artículo 46.2 del Reglamento de la Corte </w:t>
      </w:r>
      <w:r w:rsidR="00C431A9">
        <w:t xml:space="preserve">(en adelante “el Reglamento”) </w:t>
      </w:r>
      <w:r>
        <w:t>y siguiendo instrucciones de ésta, se otorgó un plazo hasta el 2 de diciembre de 2016, para que el representante</w:t>
      </w:r>
      <w:r w:rsidR="00346D5E">
        <w:t xml:space="preserve"> de las presuntas víctimas (en adelante “el representante”)</w:t>
      </w:r>
      <w:r>
        <w:t>, la Comisión</w:t>
      </w:r>
      <w:r w:rsidR="00346D5E">
        <w:t xml:space="preserve"> Interamericana de Derechos Humanos (en adelante “la Comisión”)</w:t>
      </w:r>
      <w:r>
        <w:t xml:space="preserve"> y el Estado remitieran sus observaciones respecto de </w:t>
      </w:r>
      <w:r w:rsidR="00D01F78">
        <w:t>las listas definitivas de declarantes presentadas por el representante y la Comisión</w:t>
      </w:r>
      <w:r>
        <w:t>, en lo que les correspondiera.</w:t>
      </w:r>
    </w:p>
    <w:p w14:paraId="1C8BA178" w14:textId="77777777" w:rsidR="004A1B32" w:rsidRDefault="004A1B32" w:rsidP="004A1B32">
      <w:pPr>
        <w:pStyle w:val="ListParagraph"/>
        <w:widowControl/>
        <w:numPr>
          <w:ilvl w:val="0"/>
          <w:numId w:val="0"/>
        </w:numPr>
        <w:tabs>
          <w:tab w:val="left" w:pos="708"/>
        </w:tabs>
        <w:adjustRightInd/>
        <w:ind w:right="0"/>
      </w:pPr>
    </w:p>
    <w:p w14:paraId="33BE29E6" w14:textId="45B41CC3" w:rsidR="004A1B32" w:rsidRDefault="004A1B32" w:rsidP="004A1B32">
      <w:pPr>
        <w:pStyle w:val="ListParagraph"/>
        <w:widowControl/>
        <w:numPr>
          <w:ilvl w:val="0"/>
          <w:numId w:val="2"/>
        </w:numPr>
        <w:tabs>
          <w:tab w:val="left" w:pos="708"/>
        </w:tabs>
        <w:adjustRightInd/>
        <w:ind w:left="0" w:right="0" w:firstLine="0"/>
      </w:pPr>
      <w:r>
        <w:t>El escrito de la Comisión de 2 de diciembre de 2016, mediante el cual presentó sus observaciones</w:t>
      </w:r>
      <w:r w:rsidR="00D01F78">
        <w:t xml:space="preserve"> a la lista de declarantes del representante</w:t>
      </w:r>
      <w:r>
        <w:t>. El representante y el Estado no presentaron observaciones.</w:t>
      </w:r>
    </w:p>
    <w:p w14:paraId="1AB5C5EE" w14:textId="77777777" w:rsidR="004A1B32" w:rsidRDefault="004A1B32" w:rsidP="004A1B32">
      <w:pPr>
        <w:pStyle w:val="ListParagraph"/>
        <w:numPr>
          <w:ilvl w:val="0"/>
          <w:numId w:val="0"/>
        </w:numPr>
      </w:pPr>
    </w:p>
    <w:p w14:paraId="4EA4935A" w14:textId="3A65B22C" w:rsidR="004A1B32" w:rsidRPr="004A1B32" w:rsidRDefault="004A1B32" w:rsidP="004A1B32">
      <w:pPr>
        <w:pStyle w:val="ListParagraph"/>
        <w:widowControl/>
        <w:numPr>
          <w:ilvl w:val="0"/>
          <w:numId w:val="2"/>
        </w:numPr>
        <w:tabs>
          <w:tab w:val="left" w:pos="708"/>
        </w:tabs>
        <w:adjustRightInd/>
        <w:ind w:left="0" w:right="0" w:firstLine="0"/>
      </w:pPr>
      <w:r>
        <w:t>La comunicación de</w:t>
      </w:r>
      <w:r w:rsidRPr="004A1B32">
        <w:t xml:space="preserve"> 19 de diciembre de 2016, </w:t>
      </w:r>
      <w:r>
        <w:t xml:space="preserve">mediante el cual la señora Ministra del Poder Popular para Relaciones Exteriores de la República Bolivariana de Venezuela </w:t>
      </w:r>
      <w:r w:rsidRPr="004A1B32">
        <w:t xml:space="preserve">comunicó </w:t>
      </w:r>
      <w:r>
        <w:t>la designación</w:t>
      </w:r>
      <w:r w:rsidRPr="004A1B32">
        <w:t xml:space="preserve"> </w:t>
      </w:r>
      <w:r>
        <w:t>de</w:t>
      </w:r>
      <w:r w:rsidRPr="004A1B32">
        <w:t>l señor Larry Devoe M</w:t>
      </w:r>
      <w:r w:rsidR="00283109">
        <w:t>á</w:t>
      </w:r>
      <w:r w:rsidRPr="004A1B32">
        <w:t>rquez, a partir del 28 de noviembre de 2016, como su Agente para los Derechos Humanos ante el Sistema Interamericano e Internacional</w:t>
      </w:r>
      <w:r>
        <w:t>, quien asumiría la representación del Estado en todos los casos y asuntos en trámite ante la Corte</w:t>
      </w:r>
      <w:r w:rsidRPr="004A1B32">
        <w:t>.</w:t>
      </w:r>
    </w:p>
    <w:p w14:paraId="50B11F1A" w14:textId="77777777" w:rsidR="004A1B32" w:rsidRPr="004A1B32" w:rsidRDefault="004A1B32" w:rsidP="004A1B32">
      <w:pPr>
        <w:pStyle w:val="ListParagraph"/>
        <w:widowControl/>
        <w:numPr>
          <w:ilvl w:val="0"/>
          <w:numId w:val="0"/>
        </w:numPr>
        <w:tabs>
          <w:tab w:val="left" w:pos="708"/>
        </w:tabs>
        <w:adjustRightInd/>
        <w:ind w:right="0"/>
      </w:pPr>
    </w:p>
    <w:p w14:paraId="1EE739F2" w14:textId="77777777" w:rsidR="000944F9" w:rsidRDefault="00015762" w:rsidP="000944F9">
      <w:pPr>
        <w:pStyle w:val="ListParagraph"/>
        <w:widowControl/>
        <w:numPr>
          <w:ilvl w:val="0"/>
          <w:numId w:val="2"/>
        </w:numPr>
        <w:tabs>
          <w:tab w:val="left" w:pos="708"/>
        </w:tabs>
        <w:adjustRightInd/>
        <w:ind w:left="0" w:right="0" w:firstLine="0"/>
        <w:rPr>
          <w:lang w:val="es-CR"/>
        </w:rPr>
      </w:pPr>
      <w:r>
        <w:t xml:space="preserve">La Resolución del Presidente de la Corte Interamericana </w:t>
      </w:r>
      <w:r w:rsidRPr="00D01F78">
        <w:t>de Derechos Humanos (en adelante “la Corte” o “el Tribunal”) de 20 de diciembre de 2016</w:t>
      </w:r>
      <w:r w:rsidRPr="006423D1">
        <w:rPr>
          <w:rStyle w:val="FootnoteReference"/>
          <w:sz w:val="20"/>
          <w:szCs w:val="20"/>
        </w:rPr>
        <w:footnoteReference w:id="2"/>
      </w:r>
      <w:r w:rsidRPr="006423D1">
        <w:t>.</w:t>
      </w:r>
    </w:p>
    <w:p w14:paraId="27A6C771" w14:textId="77777777" w:rsidR="000944F9" w:rsidRDefault="000944F9" w:rsidP="000944F9">
      <w:pPr>
        <w:pStyle w:val="ListParagraph"/>
        <w:widowControl/>
        <w:numPr>
          <w:ilvl w:val="0"/>
          <w:numId w:val="0"/>
        </w:numPr>
        <w:tabs>
          <w:tab w:val="left" w:pos="708"/>
        </w:tabs>
        <w:adjustRightInd/>
        <w:ind w:right="0"/>
        <w:rPr>
          <w:lang w:val="es-CR"/>
        </w:rPr>
      </w:pPr>
    </w:p>
    <w:p w14:paraId="443DFB50" w14:textId="42D43844" w:rsidR="00512C71" w:rsidRPr="000944F9" w:rsidRDefault="00512C71" w:rsidP="000944F9">
      <w:pPr>
        <w:pStyle w:val="ListParagraph"/>
        <w:widowControl/>
        <w:numPr>
          <w:ilvl w:val="0"/>
          <w:numId w:val="2"/>
        </w:numPr>
        <w:tabs>
          <w:tab w:val="left" w:pos="708"/>
        </w:tabs>
        <w:adjustRightInd/>
        <w:ind w:left="0" w:right="0" w:firstLine="0"/>
        <w:rPr>
          <w:lang w:val="es-CR"/>
        </w:rPr>
      </w:pPr>
      <w:r w:rsidRPr="00512C71">
        <w:t xml:space="preserve">El escrito de 9 de enero de 2017, mediante el cual Estado presentó una apelación o solicitud de revocatoria ante la Corte respecto de la referida Resolución, específicamente en cuanto a la decisión de requerir declaraciones de cinco peritos ofrecidos por </w:t>
      </w:r>
      <w:r w:rsidR="000944F9">
        <w:t>el representante</w:t>
      </w:r>
      <w:r w:rsidR="00D01F78">
        <w:t>.</w:t>
      </w:r>
    </w:p>
    <w:p w14:paraId="18DF0DEC" w14:textId="77777777" w:rsidR="00512C71" w:rsidRPr="004A1B32" w:rsidRDefault="00512C71" w:rsidP="00512C71">
      <w:pPr>
        <w:pStyle w:val="ListParagraph"/>
        <w:widowControl/>
        <w:numPr>
          <w:ilvl w:val="0"/>
          <w:numId w:val="0"/>
        </w:numPr>
        <w:tabs>
          <w:tab w:val="left" w:pos="708"/>
        </w:tabs>
        <w:adjustRightInd/>
        <w:ind w:right="0"/>
        <w:rPr>
          <w:sz w:val="18"/>
          <w:lang w:val="es-CR"/>
        </w:rPr>
      </w:pPr>
    </w:p>
    <w:p w14:paraId="69B00C4E" w14:textId="106A20E1" w:rsidR="004A1B32" w:rsidRPr="004A1B32" w:rsidRDefault="004A1B32" w:rsidP="004A1B32">
      <w:pPr>
        <w:pStyle w:val="ListParagraph"/>
        <w:widowControl/>
        <w:numPr>
          <w:ilvl w:val="0"/>
          <w:numId w:val="2"/>
        </w:numPr>
        <w:tabs>
          <w:tab w:val="left" w:pos="708"/>
        </w:tabs>
        <w:adjustRightInd/>
        <w:ind w:left="0" w:right="0" w:firstLine="0"/>
        <w:rPr>
          <w:lang w:val="es-CR"/>
        </w:rPr>
      </w:pPr>
      <w:r>
        <w:rPr>
          <w:lang w:val="es-CR"/>
        </w:rPr>
        <w:t>La comunicación de 10 de enero de 2017, mediante la cual el Estado informó acerca de la designación del señor Romer Pacheco Morales como Agente Alterno para el presente caso.</w:t>
      </w:r>
    </w:p>
    <w:p w14:paraId="21D4EB7F" w14:textId="77777777" w:rsidR="004A1B32" w:rsidRDefault="004A1B32" w:rsidP="004A1B32">
      <w:pPr>
        <w:pStyle w:val="ListParagraph"/>
        <w:widowControl/>
        <w:numPr>
          <w:ilvl w:val="0"/>
          <w:numId w:val="0"/>
        </w:numPr>
        <w:tabs>
          <w:tab w:val="left" w:pos="708"/>
        </w:tabs>
        <w:adjustRightInd/>
        <w:ind w:right="0"/>
      </w:pPr>
    </w:p>
    <w:p w14:paraId="4025D2C1" w14:textId="1FFFA758" w:rsidR="00512C71" w:rsidRPr="00512C71" w:rsidRDefault="00512C71" w:rsidP="00512C71">
      <w:pPr>
        <w:pStyle w:val="ListParagraph"/>
        <w:widowControl/>
        <w:numPr>
          <w:ilvl w:val="0"/>
          <w:numId w:val="2"/>
        </w:numPr>
        <w:tabs>
          <w:tab w:val="left" w:pos="708"/>
        </w:tabs>
        <w:adjustRightInd/>
        <w:ind w:left="0" w:right="0" w:firstLine="0"/>
      </w:pPr>
      <w:r w:rsidRPr="00512C71">
        <w:t xml:space="preserve">Las notas de la Secretaría de la Corte de 19 de enero de 2017, mediante las cuales, siguiendo instrucciones del Presidente de la Corte, se otorgó un plazo hasta el 24 de enero de 2017 para que </w:t>
      </w:r>
      <w:r w:rsidR="00346D5E">
        <w:t>el</w:t>
      </w:r>
      <w:r w:rsidRPr="00512C71">
        <w:t xml:space="preserve"> representante</w:t>
      </w:r>
      <w:r>
        <w:t xml:space="preserve"> y</w:t>
      </w:r>
      <w:r w:rsidRPr="00512C71">
        <w:t xml:space="preserve"> la Comisión remit</w:t>
      </w:r>
      <w:r>
        <w:t>ier</w:t>
      </w:r>
      <w:r w:rsidRPr="00512C71">
        <w:t>an las observaciones que estim</w:t>
      </w:r>
      <w:r>
        <w:t>ar</w:t>
      </w:r>
      <w:r w:rsidRPr="00512C71">
        <w:t>en pertinentes</w:t>
      </w:r>
      <w:r>
        <w:t xml:space="preserve">, así como para que las </w:t>
      </w:r>
      <w:r w:rsidRPr="005574A2">
        <w:t>señoras Ligia Bolívar, Ana Julia Jatar y Colette Capriles y los señores Román Duque y Oscar Lucien</w:t>
      </w:r>
      <w:r>
        <w:t xml:space="preserve"> </w:t>
      </w:r>
      <w:r w:rsidR="00C03D18">
        <w:t>hicieran lo propio</w:t>
      </w:r>
      <w:r w:rsidRPr="00512C71">
        <w:t xml:space="preserve"> </w:t>
      </w:r>
      <w:r w:rsidR="00C03D18">
        <w:t xml:space="preserve">respecto de </w:t>
      </w:r>
      <w:r w:rsidRPr="00512C71">
        <w:t>los argumentos del Estado en cuanto a alegados impedimentos para participar como peritos en este caso.</w:t>
      </w:r>
    </w:p>
    <w:p w14:paraId="0612FC8D" w14:textId="77777777" w:rsidR="00512C71" w:rsidRPr="00512C71" w:rsidRDefault="00512C71" w:rsidP="000944F9">
      <w:pPr>
        <w:pStyle w:val="ListParagraph"/>
        <w:widowControl/>
        <w:numPr>
          <w:ilvl w:val="0"/>
          <w:numId w:val="0"/>
        </w:numPr>
        <w:tabs>
          <w:tab w:val="left" w:pos="708"/>
        </w:tabs>
        <w:adjustRightInd/>
        <w:ind w:right="0"/>
      </w:pPr>
    </w:p>
    <w:p w14:paraId="216F56CF" w14:textId="77777777" w:rsidR="000944F9" w:rsidRPr="005574A2" w:rsidRDefault="000944F9" w:rsidP="000944F9">
      <w:pPr>
        <w:pStyle w:val="ListParagraph"/>
        <w:widowControl/>
        <w:numPr>
          <w:ilvl w:val="0"/>
          <w:numId w:val="2"/>
        </w:numPr>
        <w:tabs>
          <w:tab w:val="left" w:pos="708"/>
        </w:tabs>
        <w:adjustRightInd/>
        <w:ind w:left="0" w:right="0" w:firstLine="0"/>
      </w:pPr>
      <w:r>
        <w:t xml:space="preserve">El </w:t>
      </w:r>
      <w:r w:rsidRPr="000944F9">
        <w:t xml:space="preserve">escrito sin fecha recibido el 20 de enero de 2017, mediante el cual el </w:t>
      </w:r>
      <w:r w:rsidRPr="005574A2">
        <w:t>representante presentó sus observaciones sobre la solicitud de revocatoria presentada por el Estado y, a su vez, comunicó que desistía del ofrecimiento de un peritaje de la señora Ligia Bolívar.</w:t>
      </w:r>
    </w:p>
    <w:p w14:paraId="476215C5" w14:textId="77777777" w:rsidR="000944F9" w:rsidRPr="000944F9" w:rsidRDefault="000944F9" w:rsidP="000944F9">
      <w:pPr>
        <w:pStyle w:val="ListParagraph"/>
        <w:widowControl/>
        <w:numPr>
          <w:ilvl w:val="0"/>
          <w:numId w:val="0"/>
        </w:numPr>
        <w:tabs>
          <w:tab w:val="left" w:pos="708"/>
        </w:tabs>
        <w:adjustRightInd/>
        <w:ind w:right="0"/>
      </w:pPr>
    </w:p>
    <w:p w14:paraId="18EA06DA" w14:textId="23918D37" w:rsidR="000944F9" w:rsidRPr="000944F9" w:rsidRDefault="000944F9" w:rsidP="000944F9">
      <w:pPr>
        <w:pStyle w:val="ListParagraph"/>
        <w:widowControl/>
        <w:numPr>
          <w:ilvl w:val="0"/>
          <w:numId w:val="2"/>
        </w:numPr>
        <w:tabs>
          <w:tab w:val="left" w:pos="708"/>
        </w:tabs>
        <w:adjustRightInd/>
        <w:ind w:left="0" w:right="0" w:firstLine="0"/>
      </w:pPr>
      <w:r>
        <w:t>L</w:t>
      </w:r>
      <w:r w:rsidRPr="000944F9">
        <w:t xml:space="preserve">os escritos de 21, 23 y 24 de enero de 2017, mediante los cuales </w:t>
      </w:r>
      <w:r w:rsidR="00346D5E">
        <w:t xml:space="preserve">el señor Duque, </w:t>
      </w:r>
      <w:r w:rsidRPr="000944F9">
        <w:t>la señora Capriles y</w:t>
      </w:r>
      <w:r>
        <w:t xml:space="preserve"> </w:t>
      </w:r>
      <w:r w:rsidR="00346D5E">
        <w:t>el señor</w:t>
      </w:r>
      <w:r w:rsidRPr="000944F9">
        <w:t xml:space="preserve"> Lucien presentaron</w:t>
      </w:r>
      <w:r w:rsidR="005574A2">
        <w:t>, respectivamente,</w:t>
      </w:r>
      <w:r w:rsidRPr="000944F9">
        <w:t xml:space="preserve"> sus observaciones sobre los argumentos del Estado en cuanto a alegados impedimentos para participar como peritos en este caso. </w:t>
      </w:r>
      <w:r>
        <w:t>L</w:t>
      </w:r>
      <w:r w:rsidRPr="000944F9">
        <w:t>as señoras Jatar y Bolívar no presentaron observaciones.</w:t>
      </w:r>
    </w:p>
    <w:p w14:paraId="65159C54" w14:textId="77777777" w:rsidR="000944F9" w:rsidRPr="000944F9" w:rsidRDefault="000944F9" w:rsidP="000944F9">
      <w:pPr>
        <w:pStyle w:val="ListParagraph"/>
        <w:widowControl/>
        <w:numPr>
          <w:ilvl w:val="0"/>
          <w:numId w:val="0"/>
        </w:numPr>
        <w:tabs>
          <w:tab w:val="left" w:pos="708"/>
        </w:tabs>
        <w:adjustRightInd/>
        <w:ind w:right="0"/>
      </w:pPr>
    </w:p>
    <w:p w14:paraId="091B3921" w14:textId="0A8AEEBB" w:rsidR="00512C71" w:rsidRPr="00797C84" w:rsidRDefault="000944F9" w:rsidP="000944F9">
      <w:pPr>
        <w:pStyle w:val="ListParagraph"/>
        <w:widowControl/>
        <w:numPr>
          <w:ilvl w:val="0"/>
          <w:numId w:val="2"/>
        </w:numPr>
        <w:tabs>
          <w:tab w:val="left" w:pos="708"/>
        </w:tabs>
        <w:adjustRightInd/>
        <w:ind w:left="0" w:right="0" w:firstLine="0"/>
      </w:pPr>
      <w:r>
        <w:t>L</w:t>
      </w:r>
      <w:r w:rsidRPr="000944F9">
        <w:t xml:space="preserve">a comunicación de 25 de enero de 2017, mediante la cual la Comisión </w:t>
      </w:r>
      <w:r w:rsidR="005574A2" w:rsidRPr="00797C84">
        <w:t>manifestó que, efectivamente, en la petición inicial del caso aparece</w:t>
      </w:r>
      <w:r w:rsidRPr="00797C84">
        <w:t xml:space="preserve"> la señora </w:t>
      </w:r>
      <w:r w:rsidR="005574A2" w:rsidRPr="00797C84">
        <w:t xml:space="preserve">Ligia </w:t>
      </w:r>
      <w:r w:rsidRPr="00797C84">
        <w:t xml:space="preserve">Bolívar </w:t>
      </w:r>
      <w:r w:rsidR="005574A2" w:rsidRPr="00797C84">
        <w:t>como peticionaria, por lo cual se encuentra dentro de las causales de recusación previstas en el Reglamento de la Corte</w:t>
      </w:r>
      <w:r w:rsidRPr="00797C84">
        <w:t>.</w:t>
      </w:r>
      <w:r w:rsidR="004B73C5" w:rsidRPr="00797C84">
        <w:t xml:space="preserve"> Esta comunicación fue </w:t>
      </w:r>
      <w:r w:rsidR="00797C84">
        <w:t>presentada</w:t>
      </w:r>
      <w:r w:rsidR="004B73C5" w:rsidRPr="00797C84">
        <w:t xml:space="preserve"> fuera del plazo otorgado al efecto.</w:t>
      </w:r>
    </w:p>
    <w:p w14:paraId="06E5EAD9" w14:textId="20A0C3F5" w:rsidR="00D41E9A" w:rsidRPr="00797C84" w:rsidRDefault="00D41E9A" w:rsidP="00D41E9A">
      <w:pPr>
        <w:pStyle w:val="ListParagraph"/>
        <w:widowControl/>
        <w:numPr>
          <w:ilvl w:val="0"/>
          <w:numId w:val="0"/>
        </w:numPr>
        <w:tabs>
          <w:tab w:val="left" w:pos="708"/>
        </w:tabs>
        <w:adjustRightInd/>
        <w:ind w:right="0"/>
      </w:pPr>
    </w:p>
    <w:p w14:paraId="5B8C74CD" w14:textId="22C3DD79" w:rsidR="00D41E9A" w:rsidRPr="00797C84" w:rsidRDefault="00D41E9A" w:rsidP="000944F9">
      <w:pPr>
        <w:pStyle w:val="ListParagraph"/>
        <w:widowControl/>
        <w:numPr>
          <w:ilvl w:val="0"/>
          <w:numId w:val="2"/>
        </w:numPr>
        <w:tabs>
          <w:tab w:val="left" w:pos="708"/>
        </w:tabs>
        <w:adjustRightInd/>
        <w:ind w:left="0" w:right="0" w:firstLine="0"/>
      </w:pPr>
      <w:r w:rsidRPr="00797C84">
        <w:t>La nota de Secretaría de 31 de enero de 2017, mediante la cual se informó a las partes y a la Comisión que</w:t>
      </w:r>
      <w:r w:rsidR="00797C84" w:rsidRPr="00797C84">
        <w:t xml:space="preserve">, con base en el artículo 48.3 </w:t>
      </w:r>
      <w:r w:rsidR="00797C84" w:rsidRPr="00797C84">
        <w:rPr>
          <w:i/>
        </w:rPr>
        <w:t>in fine</w:t>
      </w:r>
      <w:r w:rsidR="00797C84" w:rsidRPr="00797C84">
        <w:t xml:space="preserve"> del Reglamento de la Corte, el Presidente ha tomado nota y aceptado el desistimiento, por parte del representante, del perita</w:t>
      </w:r>
      <w:r w:rsidR="00797C84">
        <w:t>je de la señora Ligia Bolívar y, e</w:t>
      </w:r>
      <w:r w:rsidR="00797C84" w:rsidRPr="00797C84">
        <w:t>n cuanto a las demás solicitudes del Estado</w:t>
      </w:r>
      <w:r w:rsidR="00797C84">
        <w:t xml:space="preserve">, </w:t>
      </w:r>
      <w:r w:rsidR="00004536">
        <w:t xml:space="preserve">que </w:t>
      </w:r>
      <w:r w:rsidR="00797C84">
        <w:t>las mismas sería</w:t>
      </w:r>
      <w:r w:rsidR="00797C84" w:rsidRPr="00797C84">
        <w:t xml:space="preserve">n puestas en conocimiento de la Corte durante </w:t>
      </w:r>
      <w:r w:rsidR="00797C84">
        <w:t xml:space="preserve">su siguiente </w:t>
      </w:r>
      <w:r w:rsidR="00797C84" w:rsidRPr="00797C84">
        <w:t>período de sesiones, sin perjuicio de los requerimientos y plazos señalados en la resolución del Presidente y en las notas de Secretaría de 11 de enero de 2017 y de</w:t>
      </w:r>
      <w:r w:rsidR="00D01F78">
        <w:t xml:space="preserve"> ese</w:t>
      </w:r>
      <w:r w:rsidR="00C03D18">
        <w:t xml:space="preserve"> mismo</w:t>
      </w:r>
      <w:r w:rsidR="00797C84" w:rsidRPr="00797C84">
        <w:t xml:space="preserve"> día.</w:t>
      </w:r>
    </w:p>
    <w:p w14:paraId="746B6F11" w14:textId="77777777" w:rsidR="00015762" w:rsidRPr="00D41E9A" w:rsidRDefault="00015762" w:rsidP="00015762">
      <w:pPr>
        <w:pStyle w:val="ListParagraph"/>
        <w:numPr>
          <w:ilvl w:val="0"/>
          <w:numId w:val="0"/>
        </w:numPr>
        <w:tabs>
          <w:tab w:val="left" w:pos="708"/>
        </w:tabs>
        <w:ind w:left="1440"/>
      </w:pPr>
    </w:p>
    <w:p w14:paraId="5890D556" w14:textId="77777777" w:rsidR="00015762" w:rsidRDefault="00015762" w:rsidP="00015762">
      <w:pPr>
        <w:pStyle w:val="ListParagraph"/>
        <w:numPr>
          <w:ilvl w:val="0"/>
          <w:numId w:val="0"/>
        </w:numPr>
        <w:tabs>
          <w:tab w:val="left" w:pos="708"/>
        </w:tabs>
        <w:ind w:left="1440"/>
        <w:rPr>
          <w:lang w:val="es-ES"/>
        </w:rPr>
      </w:pPr>
    </w:p>
    <w:p w14:paraId="47552F51" w14:textId="77777777" w:rsidR="00015762" w:rsidRDefault="00015762" w:rsidP="00015762">
      <w:pPr>
        <w:spacing w:after="0"/>
        <w:rPr>
          <w:rFonts w:ascii="Verdana" w:hAnsi="Verdana" w:cs="Verdana"/>
          <w:b/>
          <w:bCs/>
          <w:sz w:val="20"/>
          <w:szCs w:val="20"/>
          <w:lang w:val="es-CR"/>
        </w:rPr>
      </w:pPr>
      <w:r>
        <w:rPr>
          <w:rFonts w:ascii="Verdana" w:hAnsi="Verdana" w:cs="Verdana"/>
          <w:b/>
          <w:bCs/>
          <w:sz w:val="20"/>
          <w:szCs w:val="20"/>
          <w:lang w:val="es-CR"/>
        </w:rPr>
        <w:t>CONSIDERANDO QUE:</w:t>
      </w:r>
    </w:p>
    <w:p w14:paraId="2A04FF8F" w14:textId="77777777" w:rsidR="00015762" w:rsidRDefault="00015762" w:rsidP="00015762">
      <w:pPr>
        <w:spacing w:after="0"/>
        <w:rPr>
          <w:rFonts w:ascii="Verdana" w:hAnsi="Verdana" w:cs="Verdana"/>
          <w:b/>
          <w:bCs/>
          <w:sz w:val="20"/>
          <w:szCs w:val="20"/>
          <w:lang w:val="es-CR"/>
        </w:rPr>
      </w:pPr>
    </w:p>
    <w:p w14:paraId="1CCCCF38" w14:textId="4B4F5A6C" w:rsidR="004B73C5" w:rsidRDefault="00015762" w:rsidP="002339F9">
      <w:pPr>
        <w:numPr>
          <w:ilvl w:val="0"/>
          <w:numId w:val="3"/>
        </w:numPr>
        <w:spacing w:after="0" w:line="240" w:lineRule="auto"/>
        <w:ind w:right="18"/>
        <w:jc w:val="both"/>
        <w:rPr>
          <w:rFonts w:ascii="Verdana" w:hAnsi="Verdana"/>
          <w:sz w:val="20"/>
          <w:szCs w:val="20"/>
        </w:rPr>
      </w:pPr>
      <w:r w:rsidRPr="002339F9">
        <w:rPr>
          <w:rFonts w:ascii="Verdana" w:hAnsi="Verdana" w:cs="Verdana"/>
          <w:sz w:val="20"/>
          <w:szCs w:val="20"/>
          <w:lang w:val="es-ES"/>
        </w:rPr>
        <w:lastRenderedPageBreak/>
        <w:t xml:space="preserve">Al impugnar la </w:t>
      </w:r>
      <w:r w:rsidR="000944F9" w:rsidRPr="002339F9">
        <w:rPr>
          <w:rFonts w:ascii="Verdana" w:hAnsi="Verdana" w:cs="Verdana"/>
          <w:sz w:val="20"/>
          <w:szCs w:val="20"/>
          <w:lang w:val="es-ES"/>
        </w:rPr>
        <w:t xml:space="preserve">Resolución del Presidente, </w:t>
      </w:r>
      <w:r w:rsidR="000944F9" w:rsidRPr="002339F9">
        <w:rPr>
          <w:rFonts w:ascii="Verdana" w:hAnsi="Verdana"/>
          <w:sz w:val="20"/>
          <w:szCs w:val="20"/>
        </w:rPr>
        <w:t xml:space="preserve">específicamente en cuanto a la decisión de requerir declaraciones de cinco peritos ofrecidos por </w:t>
      </w:r>
      <w:r w:rsidR="000944F9" w:rsidRPr="004B73C5">
        <w:rPr>
          <w:rFonts w:ascii="Verdana" w:hAnsi="Verdana"/>
          <w:sz w:val="20"/>
          <w:szCs w:val="20"/>
        </w:rPr>
        <w:t>el representante</w:t>
      </w:r>
      <w:r w:rsidRPr="004B73C5">
        <w:rPr>
          <w:rFonts w:ascii="Verdana" w:hAnsi="Verdana"/>
          <w:sz w:val="20"/>
          <w:szCs w:val="20"/>
        </w:rPr>
        <w:t xml:space="preserve">, el Estado </w:t>
      </w:r>
      <w:r w:rsidR="004B73C5" w:rsidRPr="004B73C5">
        <w:rPr>
          <w:rFonts w:ascii="Verdana" w:hAnsi="Verdana"/>
          <w:sz w:val="20"/>
          <w:szCs w:val="20"/>
        </w:rPr>
        <w:t>alegó</w:t>
      </w:r>
      <w:r w:rsidR="002339F9" w:rsidRPr="004B73C5">
        <w:rPr>
          <w:rFonts w:ascii="Verdana" w:hAnsi="Verdana"/>
          <w:sz w:val="20"/>
          <w:szCs w:val="20"/>
        </w:rPr>
        <w:t xml:space="preserve"> que, aún ante la falta de actuación oportuna de las partes o aún si las partes no han objetado algún ofrecimiento probatorio, </w:t>
      </w:r>
      <w:r w:rsidR="002339F9" w:rsidRPr="005574A2">
        <w:rPr>
          <w:rFonts w:ascii="Verdana" w:hAnsi="Verdana"/>
          <w:sz w:val="20"/>
          <w:szCs w:val="20"/>
        </w:rPr>
        <w:t>corresponde a la Corte controlar de oficio la legalidad del procedimiento y en particular los ofrecimientos probatorios</w:t>
      </w:r>
      <w:r w:rsidR="002339F9" w:rsidRPr="004B73C5">
        <w:rPr>
          <w:rFonts w:ascii="Verdana" w:hAnsi="Verdana"/>
          <w:sz w:val="20"/>
          <w:szCs w:val="20"/>
        </w:rPr>
        <w:t xml:space="preserve">. En concreto, el Estado plantea que en la Resolución “no </w:t>
      </w:r>
      <w:r w:rsidR="00713246">
        <w:rPr>
          <w:rFonts w:ascii="Verdana" w:hAnsi="Verdana"/>
          <w:sz w:val="20"/>
          <w:szCs w:val="20"/>
        </w:rPr>
        <w:t>[</w:t>
      </w:r>
      <w:r w:rsidR="002339F9" w:rsidRPr="004B73C5">
        <w:rPr>
          <w:rFonts w:ascii="Verdana" w:hAnsi="Verdana"/>
          <w:sz w:val="20"/>
          <w:szCs w:val="20"/>
        </w:rPr>
        <w:t>se</w:t>
      </w:r>
      <w:r w:rsidR="00713246">
        <w:rPr>
          <w:rFonts w:ascii="Verdana" w:hAnsi="Verdana"/>
          <w:sz w:val="20"/>
          <w:szCs w:val="20"/>
        </w:rPr>
        <w:t>]</w:t>
      </w:r>
      <w:r w:rsidR="002339F9" w:rsidRPr="004B73C5">
        <w:rPr>
          <w:rFonts w:ascii="Verdana" w:hAnsi="Verdana"/>
          <w:sz w:val="20"/>
          <w:szCs w:val="20"/>
        </w:rPr>
        <w:t xml:space="preserve"> advirtió ni corrigió las violaciones al Reglamento de la Corte contenidas en el ofrecimiento probatorio realizado por </w:t>
      </w:r>
      <w:r w:rsidR="004B73C5">
        <w:rPr>
          <w:rFonts w:ascii="Verdana" w:hAnsi="Verdana"/>
          <w:sz w:val="20"/>
          <w:szCs w:val="20"/>
        </w:rPr>
        <w:t>[el representante]</w:t>
      </w:r>
      <w:r w:rsidR="002339F9" w:rsidRPr="004B73C5">
        <w:rPr>
          <w:rFonts w:ascii="Verdana" w:hAnsi="Verdana"/>
          <w:sz w:val="20"/>
          <w:szCs w:val="20"/>
        </w:rPr>
        <w:t xml:space="preserve"> y, en consecuencia, permitió la inclusión de [cinco] peritos,</w:t>
      </w:r>
      <w:r w:rsidR="004B73C5">
        <w:rPr>
          <w:rFonts w:ascii="Verdana" w:hAnsi="Verdana"/>
          <w:sz w:val="20"/>
          <w:szCs w:val="20"/>
        </w:rPr>
        <w:t xml:space="preserve"> [a saber, </w:t>
      </w:r>
      <w:r w:rsidR="004B73C5" w:rsidRPr="00512C71">
        <w:rPr>
          <w:rFonts w:ascii="Verdana" w:hAnsi="Verdana"/>
          <w:sz w:val="20"/>
          <w:szCs w:val="20"/>
        </w:rPr>
        <w:t>Ligia Bolívar, Ana</w:t>
      </w:r>
      <w:r w:rsidR="004B73C5">
        <w:rPr>
          <w:rFonts w:ascii="Verdana" w:hAnsi="Verdana"/>
          <w:sz w:val="20"/>
          <w:szCs w:val="20"/>
        </w:rPr>
        <w:t xml:space="preserve"> Julia Jatar, Colette Capriles, </w:t>
      </w:r>
      <w:r w:rsidR="004B73C5" w:rsidRPr="004B73C5">
        <w:rPr>
          <w:rFonts w:ascii="Verdana" w:hAnsi="Verdana"/>
          <w:sz w:val="20"/>
          <w:szCs w:val="20"/>
        </w:rPr>
        <w:t xml:space="preserve">Román Duque </w:t>
      </w:r>
      <w:r w:rsidR="004B73C5">
        <w:rPr>
          <w:rFonts w:ascii="Verdana" w:hAnsi="Verdana"/>
          <w:sz w:val="20"/>
          <w:szCs w:val="20"/>
        </w:rPr>
        <w:t xml:space="preserve">Corredor </w:t>
      </w:r>
      <w:r w:rsidR="004B73C5" w:rsidRPr="004B73C5">
        <w:rPr>
          <w:rFonts w:ascii="Verdana" w:hAnsi="Verdana"/>
          <w:sz w:val="20"/>
          <w:szCs w:val="20"/>
        </w:rPr>
        <w:t>y Oscar Lucien</w:t>
      </w:r>
      <w:r w:rsidR="004B73C5">
        <w:rPr>
          <w:rFonts w:ascii="Verdana" w:hAnsi="Verdana"/>
          <w:sz w:val="20"/>
          <w:szCs w:val="20"/>
        </w:rPr>
        <w:t>,]</w:t>
      </w:r>
      <w:r w:rsidR="002339F9" w:rsidRPr="004B73C5">
        <w:rPr>
          <w:rFonts w:ascii="Verdana" w:hAnsi="Verdana"/>
          <w:sz w:val="20"/>
          <w:szCs w:val="20"/>
        </w:rPr>
        <w:t xml:space="preserve"> que si bien </w:t>
      </w:r>
      <w:r w:rsidR="002339F9" w:rsidRPr="005574A2">
        <w:rPr>
          <w:rFonts w:ascii="Verdana" w:hAnsi="Verdana"/>
          <w:sz w:val="20"/>
          <w:szCs w:val="20"/>
        </w:rPr>
        <w:t>es cierto no fueron cuestionados</w:t>
      </w:r>
      <w:r w:rsidR="004B73C5" w:rsidRPr="005574A2">
        <w:rPr>
          <w:rFonts w:ascii="Verdana" w:hAnsi="Verdana"/>
          <w:sz w:val="20"/>
          <w:szCs w:val="20"/>
        </w:rPr>
        <w:t xml:space="preserve"> [por el Estado]</w:t>
      </w:r>
      <w:r w:rsidR="002339F9" w:rsidRPr="005574A2">
        <w:rPr>
          <w:rFonts w:ascii="Verdana" w:hAnsi="Verdana"/>
          <w:sz w:val="20"/>
          <w:szCs w:val="20"/>
        </w:rPr>
        <w:t>, es de evidente apreciación que no califican objetivamente para ser llamados a juicio como peritos</w:t>
      </w:r>
      <w:r w:rsidR="002339F9" w:rsidRPr="004B73C5">
        <w:rPr>
          <w:rFonts w:ascii="Verdana" w:hAnsi="Verdana"/>
          <w:sz w:val="20"/>
          <w:szCs w:val="20"/>
        </w:rPr>
        <w:t xml:space="preserve"> contra el Estado venezolano</w:t>
      </w:r>
      <w:r w:rsidR="00713246">
        <w:rPr>
          <w:rFonts w:ascii="Verdana" w:hAnsi="Verdana"/>
          <w:sz w:val="20"/>
          <w:szCs w:val="20"/>
        </w:rPr>
        <w:t xml:space="preserve"> […]</w:t>
      </w:r>
      <w:r w:rsidR="002339F9" w:rsidRPr="004B73C5">
        <w:rPr>
          <w:rFonts w:ascii="Verdana" w:hAnsi="Verdana"/>
          <w:sz w:val="20"/>
          <w:szCs w:val="20"/>
        </w:rPr>
        <w:t xml:space="preserve">, en virtud de </w:t>
      </w:r>
      <w:r w:rsidR="002339F9" w:rsidRPr="005574A2">
        <w:rPr>
          <w:rFonts w:ascii="Verdana" w:hAnsi="Verdana"/>
          <w:sz w:val="20"/>
          <w:szCs w:val="20"/>
        </w:rPr>
        <w:t xml:space="preserve">violaciones objetivas al Reglamento </w:t>
      </w:r>
      <w:r w:rsidR="00713246">
        <w:rPr>
          <w:rFonts w:ascii="Verdana" w:hAnsi="Verdana"/>
          <w:sz w:val="20"/>
          <w:szCs w:val="20"/>
        </w:rPr>
        <w:t xml:space="preserve">[…], </w:t>
      </w:r>
      <w:r w:rsidR="002339F9" w:rsidRPr="005574A2">
        <w:rPr>
          <w:rFonts w:ascii="Verdana" w:hAnsi="Verdana"/>
          <w:sz w:val="20"/>
          <w:szCs w:val="20"/>
        </w:rPr>
        <w:t>que debieron ser conocidas aun de oficio</w:t>
      </w:r>
      <w:r w:rsidR="002339F9" w:rsidRPr="004B73C5">
        <w:rPr>
          <w:rFonts w:ascii="Verdana" w:hAnsi="Verdana"/>
          <w:sz w:val="20"/>
          <w:szCs w:val="20"/>
        </w:rPr>
        <w:t xml:space="preserve"> por el Presidente al momento de dictar la Resolución”. </w:t>
      </w:r>
    </w:p>
    <w:p w14:paraId="783648A5" w14:textId="77777777" w:rsidR="004B73C5" w:rsidRDefault="004B73C5" w:rsidP="004B73C5">
      <w:pPr>
        <w:spacing w:after="0" w:line="240" w:lineRule="auto"/>
        <w:ind w:right="18"/>
        <w:jc w:val="both"/>
        <w:rPr>
          <w:rFonts w:ascii="Verdana" w:hAnsi="Verdana"/>
          <w:sz w:val="20"/>
          <w:szCs w:val="20"/>
        </w:rPr>
      </w:pPr>
    </w:p>
    <w:p w14:paraId="558DCFB6" w14:textId="523C55DB" w:rsidR="004B73C5" w:rsidRDefault="004B73C5" w:rsidP="002339F9">
      <w:pPr>
        <w:numPr>
          <w:ilvl w:val="0"/>
          <w:numId w:val="3"/>
        </w:numPr>
        <w:spacing w:after="0" w:line="240" w:lineRule="auto"/>
        <w:ind w:right="18"/>
        <w:jc w:val="both"/>
        <w:rPr>
          <w:rFonts w:ascii="Verdana" w:hAnsi="Verdana"/>
          <w:sz w:val="20"/>
          <w:szCs w:val="20"/>
        </w:rPr>
      </w:pPr>
      <w:r>
        <w:rPr>
          <w:rFonts w:ascii="Verdana" w:hAnsi="Verdana"/>
          <w:sz w:val="20"/>
          <w:szCs w:val="20"/>
        </w:rPr>
        <w:t xml:space="preserve">El representante comunicó </w:t>
      </w:r>
      <w:r w:rsidRPr="000944F9">
        <w:rPr>
          <w:rFonts w:ascii="Verdana" w:hAnsi="Verdana"/>
          <w:sz w:val="20"/>
          <w:szCs w:val="20"/>
        </w:rPr>
        <w:t>que desistía del ofrecimiento de</w:t>
      </w:r>
      <w:r>
        <w:rPr>
          <w:rFonts w:ascii="Verdana" w:hAnsi="Verdana"/>
          <w:sz w:val="20"/>
          <w:szCs w:val="20"/>
        </w:rPr>
        <w:t>l</w:t>
      </w:r>
      <w:r w:rsidRPr="000944F9">
        <w:rPr>
          <w:rFonts w:ascii="Verdana" w:hAnsi="Verdana"/>
          <w:sz w:val="20"/>
          <w:szCs w:val="20"/>
        </w:rPr>
        <w:t xml:space="preserve"> peritaje de la señora Ligia Bolívar</w:t>
      </w:r>
      <w:r>
        <w:rPr>
          <w:rFonts w:ascii="Verdana" w:hAnsi="Verdana"/>
          <w:sz w:val="20"/>
          <w:szCs w:val="20"/>
        </w:rPr>
        <w:t xml:space="preserve"> (</w:t>
      </w:r>
      <w:r>
        <w:rPr>
          <w:rFonts w:ascii="Verdana" w:hAnsi="Verdana"/>
          <w:i/>
          <w:sz w:val="20"/>
          <w:szCs w:val="20"/>
        </w:rPr>
        <w:t xml:space="preserve">supra </w:t>
      </w:r>
      <w:r>
        <w:rPr>
          <w:rFonts w:ascii="Verdana" w:hAnsi="Verdana"/>
          <w:sz w:val="20"/>
          <w:szCs w:val="20"/>
        </w:rPr>
        <w:t xml:space="preserve">Visto </w:t>
      </w:r>
      <w:r w:rsidR="00713246">
        <w:rPr>
          <w:rFonts w:ascii="Verdana" w:hAnsi="Verdana"/>
          <w:sz w:val="20"/>
          <w:szCs w:val="20"/>
        </w:rPr>
        <w:t>9</w:t>
      </w:r>
      <w:r>
        <w:rPr>
          <w:rFonts w:ascii="Verdana" w:hAnsi="Verdana"/>
          <w:sz w:val="20"/>
          <w:szCs w:val="20"/>
        </w:rPr>
        <w:t>),</w:t>
      </w:r>
      <w:r w:rsidR="00E91D3D">
        <w:rPr>
          <w:rFonts w:ascii="Verdana" w:hAnsi="Verdana"/>
          <w:sz w:val="20"/>
          <w:szCs w:val="20"/>
        </w:rPr>
        <w:t xml:space="preserve"> lo cual fue aceptado por el Presidente (</w:t>
      </w:r>
      <w:r w:rsidR="00E91D3D">
        <w:rPr>
          <w:rFonts w:ascii="Verdana" w:hAnsi="Verdana"/>
          <w:i/>
          <w:sz w:val="20"/>
          <w:szCs w:val="20"/>
        </w:rPr>
        <w:t xml:space="preserve">supra </w:t>
      </w:r>
      <w:r w:rsidR="00E91D3D">
        <w:rPr>
          <w:rFonts w:ascii="Verdana" w:hAnsi="Verdana"/>
          <w:sz w:val="20"/>
          <w:szCs w:val="20"/>
        </w:rPr>
        <w:t xml:space="preserve">Visto </w:t>
      </w:r>
      <w:r w:rsidR="00713246">
        <w:rPr>
          <w:rFonts w:ascii="Verdana" w:hAnsi="Verdana"/>
          <w:sz w:val="20"/>
          <w:szCs w:val="20"/>
        </w:rPr>
        <w:t>12</w:t>
      </w:r>
      <w:r w:rsidR="00E91D3D">
        <w:rPr>
          <w:rFonts w:ascii="Verdana" w:hAnsi="Verdana"/>
          <w:sz w:val="20"/>
          <w:szCs w:val="20"/>
        </w:rPr>
        <w:t>),</w:t>
      </w:r>
      <w:r>
        <w:rPr>
          <w:rFonts w:ascii="Verdana" w:hAnsi="Verdana"/>
          <w:sz w:val="20"/>
          <w:szCs w:val="20"/>
        </w:rPr>
        <w:t xml:space="preserve"> por lo cual la Corte pasa a resolver lo conducente </w:t>
      </w:r>
      <w:r w:rsidR="00607881">
        <w:rPr>
          <w:rFonts w:ascii="Verdana" w:hAnsi="Verdana"/>
          <w:sz w:val="20"/>
          <w:szCs w:val="20"/>
        </w:rPr>
        <w:t>respecto de los demás planteamientos del Estado.</w:t>
      </w:r>
    </w:p>
    <w:p w14:paraId="3C665701" w14:textId="77777777" w:rsidR="004B73C5" w:rsidRDefault="004B73C5" w:rsidP="004B73C5">
      <w:pPr>
        <w:pStyle w:val="ListParagraph"/>
        <w:numPr>
          <w:ilvl w:val="0"/>
          <w:numId w:val="0"/>
        </w:numPr>
      </w:pPr>
    </w:p>
    <w:p w14:paraId="3D248BB1" w14:textId="118E2FBE" w:rsidR="002339F9" w:rsidRDefault="004B73C5" w:rsidP="002339F9">
      <w:pPr>
        <w:numPr>
          <w:ilvl w:val="0"/>
          <w:numId w:val="3"/>
        </w:numPr>
        <w:spacing w:after="0" w:line="240" w:lineRule="auto"/>
        <w:ind w:right="18"/>
        <w:jc w:val="both"/>
        <w:rPr>
          <w:rFonts w:ascii="Verdana" w:hAnsi="Verdana"/>
          <w:sz w:val="20"/>
          <w:szCs w:val="20"/>
        </w:rPr>
      </w:pPr>
      <w:r>
        <w:rPr>
          <w:rFonts w:ascii="Verdana" w:hAnsi="Verdana"/>
          <w:sz w:val="20"/>
          <w:szCs w:val="20"/>
        </w:rPr>
        <w:t>E</w:t>
      </w:r>
      <w:r w:rsidR="002339F9" w:rsidRPr="004B73C5">
        <w:rPr>
          <w:rFonts w:ascii="Verdana" w:hAnsi="Verdana"/>
          <w:sz w:val="20"/>
          <w:szCs w:val="20"/>
        </w:rPr>
        <w:t>l Estado se refi</w:t>
      </w:r>
      <w:r>
        <w:rPr>
          <w:rFonts w:ascii="Verdana" w:hAnsi="Verdana"/>
          <w:sz w:val="20"/>
          <w:szCs w:val="20"/>
        </w:rPr>
        <w:t xml:space="preserve">rió a una falta de idoneidad de </w:t>
      </w:r>
      <w:r w:rsidR="0079656E">
        <w:rPr>
          <w:rFonts w:ascii="Verdana" w:hAnsi="Verdana"/>
          <w:sz w:val="20"/>
          <w:szCs w:val="20"/>
        </w:rPr>
        <w:t>cuatro</w:t>
      </w:r>
      <w:r w:rsidR="002339F9" w:rsidRPr="004B73C5">
        <w:rPr>
          <w:rFonts w:ascii="Verdana" w:hAnsi="Verdana"/>
          <w:sz w:val="20"/>
          <w:szCs w:val="20"/>
        </w:rPr>
        <w:t xml:space="preserve"> de los peritos ofrecidos por </w:t>
      </w:r>
      <w:r>
        <w:rPr>
          <w:rFonts w:ascii="Verdana" w:hAnsi="Verdana"/>
          <w:sz w:val="20"/>
          <w:szCs w:val="20"/>
        </w:rPr>
        <w:t>el representante</w:t>
      </w:r>
      <w:r w:rsidR="002339F9" w:rsidRPr="004B73C5">
        <w:rPr>
          <w:rFonts w:ascii="Verdana" w:hAnsi="Verdana"/>
          <w:sz w:val="20"/>
          <w:szCs w:val="20"/>
        </w:rPr>
        <w:t xml:space="preserve">, por alegada </w:t>
      </w:r>
      <w:r>
        <w:rPr>
          <w:rFonts w:ascii="Verdana" w:hAnsi="Verdana"/>
          <w:sz w:val="20"/>
          <w:szCs w:val="20"/>
        </w:rPr>
        <w:t>“</w:t>
      </w:r>
      <w:r w:rsidR="002339F9" w:rsidRPr="004B73C5">
        <w:rPr>
          <w:rFonts w:ascii="Verdana" w:hAnsi="Verdana"/>
          <w:sz w:val="20"/>
          <w:szCs w:val="20"/>
        </w:rPr>
        <w:t>violación</w:t>
      </w:r>
      <w:r>
        <w:rPr>
          <w:rFonts w:ascii="Verdana" w:hAnsi="Verdana"/>
          <w:sz w:val="20"/>
          <w:szCs w:val="20"/>
        </w:rPr>
        <w:t>”</w:t>
      </w:r>
      <w:r w:rsidR="002339F9" w:rsidRPr="004B73C5">
        <w:rPr>
          <w:rFonts w:ascii="Verdana" w:hAnsi="Verdana"/>
          <w:sz w:val="20"/>
          <w:szCs w:val="20"/>
        </w:rPr>
        <w:t xml:space="preserve"> del art</w:t>
      </w:r>
      <w:r>
        <w:rPr>
          <w:rFonts w:ascii="Verdana" w:hAnsi="Verdana"/>
          <w:sz w:val="20"/>
          <w:szCs w:val="20"/>
        </w:rPr>
        <w:t>ículo</w:t>
      </w:r>
      <w:r w:rsidR="002339F9" w:rsidRPr="004B73C5">
        <w:rPr>
          <w:rFonts w:ascii="Verdana" w:hAnsi="Verdana"/>
          <w:sz w:val="20"/>
          <w:szCs w:val="20"/>
        </w:rPr>
        <w:t xml:space="preserve"> 48.1.b), c) </w:t>
      </w:r>
      <w:r w:rsidR="00607881">
        <w:rPr>
          <w:rFonts w:ascii="Verdana" w:hAnsi="Verdana"/>
          <w:sz w:val="20"/>
          <w:szCs w:val="20"/>
        </w:rPr>
        <w:t>o</w:t>
      </w:r>
      <w:r w:rsidR="002339F9" w:rsidRPr="004B73C5">
        <w:rPr>
          <w:rFonts w:ascii="Verdana" w:hAnsi="Verdana"/>
          <w:sz w:val="20"/>
          <w:szCs w:val="20"/>
        </w:rPr>
        <w:t xml:space="preserve"> </w:t>
      </w:r>
      <w:r>
        <w:rPr>
          <w:rFonts w:ascii="Verdana" w:hAnsi="Verdana"/>
          <w:sz w:val="20"/>
          <w:szCs w:val="20"/>
        </w:rPr>
        <w:t xml:space="preserve">f) del Reglamento de la Corte. En particular, alegó </w:t>
      </w:r>
      <w:r w:rsidR="002339F9" w:rsidRPr="004B73C5">
        <w:rPr>
          <w:rFonts w:ascii="Verdana" w:hAnsi="Verdana"/>
          <w:sz w:val="20"/>
          <w:szCs w:val="20"/>
        </w:rPr>
        <w:t>lo siguiente</w:t>
      </w:r>
      <w:r>
        <w:rPr>
          <w:rFonts w:ascii="Verdana" w:hAnsi="Verdana"/>
          <w:sz w:val="20"/>
          <w:szCs w:val="20"/>
        </w:rPr>
        <w:t xml:space="preserve"> respecto de las personas convoc</w:t>
      </w:r>
      <w:r w:rsidR="00607881">
        <w:rPr>
          <w:rFonts w:ascii="Verdana" w:hAnsi="Verdana"/>
          <w:sz w:val="20"/>
          <w:szCs w:val="20"/>
        </w:rPr>
        <w:t>adas a rendir dictamen</w:t>
      </w:r>
      <w:r w:rsidR="002339F9" w:rsidRPr="004B73C5">
        <w:rPr>
          <w:rFonts w:ascii="Verdana" w:hAnsi="Verdana"/>
          <w:sz w:val="20"/>
          <w:szCs w:val="20"/>
        </w:rPr>
        <w:t>:</w:t>
      </w:r>
    </w:p>
    <w:p w14:paraId="3E0FE655" w14:textId="77777777" w:rsidR="00531F85" w:rsidRPr="004B73C5" w:rsidRDefault="00531F85" w:rsidP="00531F85">
      <w:pPr>
        <w:spacing w:after="0" w:line="240" w:lineRule="auto"/>
        <w:ind w:right="18"/>
        <w:jc w:val="both"/>
        <w:rPr>
          <w:rFonts w:ascii="Verdana" w:hAnsi="Verdana"/>
          <w:sz w:val="20"/>
          <w:szCs w:val="20"/>
        </w:rPr>
      </w:pPr>
    </w:p>
    <w:p w14:paraId="03042D57" w14:textId="77777777" w:rsidR="00607881" w:rsidRDefault="00607881" w:rsidP="00802C1C">
      <w:pPr>
        <w:pStyle w:val="ListParagraph"/>
        <w:widowControl/>
        <w:numPr>
          <w:ilvl w:val="0"/>
          <w:numId w:val="12"/>
        </w:numPr>
        <w:autoSpaceDE/>
        <w:autoSpaceDN/>
        <w:adjustRightInd/>
        <w:ind w:left="567" w:right="0"/>
      </w:pPr>
      <w:r>
        <w:t xml:space="preserve">En cuanto al señor </w:t>
      </w:r>
      <w:r w:rsidRPr="00C03D18">
        <w:t>Román Duque Corredor</w:t>
      </w:r>
      <w:r>
        <w:t xml:space="preserve">, </w:t>
      </w:r>
      <w:r w:rsidR="00EF3A27">
        <w:t>el Estado alegó</w:t>
      </w:r>
      <w:r>
        <w:t xml:space="preserve"> falta de imparcialidad del perito por haberse pronunciado en reiteradas oportunidades contra el Estado venezolano en materia de derechos humanos “en situaciones análogas a la presente”; el Estado </w:t>
      </w:r>
      <w:r w:rsidR="00EF3A27">
        <w:t xml:space="preserve">refirió </w:t>
      </w:r>
      <w:r>
        <w:t xml:space="preserve">a declaraciones de aquél en la prensa en agosto de 2009 sobre la actuación del </w:t>
      </w:r>
      <w:r w:rsidR="00EF3A27">
        <w:t>Consejo Nacional Electoral</w:t>
      </w:r>
      <w:r>
        <w:t xml:space="preserve"> en el referéndum revocatorio y a su cuenta en “Twitter” </w:t>
      </w:r>
      <w:r w:rsidR="00EF3A27">
        <w:t>que</w:t>
      </w:r>
      <w:r>
        <w:t xml:space="preserve"> demostrar</w:t>
      </w:r>
      <w:r w:rsidR="00EF3A27">
        <w:t>ían, en su opinión, la</w:t>
      </w:r>
      <w:r>
        <w:t xml:space="preserve"> “aversión” </w:t>
      </w:r>
      <w:r w:rsidR="00EF3A27">
        <w:t xml:space="preserve">del perito </w:t>
      </w:r>
      <w:r>
        <w:t>al gobierno y su falta de idoneidad e imparcialidad.</w:t>
      </w:r>
    </w:p>
    <w:p w14:paraId="524C09A4" w14:textId="6FB6A186" w:rsidR="002339F9" w:rsidRDefault="00607881" w:rsidP="00802C1C">
      <w:pPr>
        <w:pStyle w:val="ListParagraph"/>
        <w:widowControl/>
        <w:numPr>
          <w:ilvl w:val="0"/>
          <w:numId w:val="12"/>
        </w:numPr>
        <w:autoSpaceDE/>
        <w:autoSpaceDN/>
        <w:adjustRightInd/>
        <w:ind w:left="567" w:right="0"/>
      </w:pPr>
      <w:r>
        <w:t xml:space="preserve">Respecto del señor </w:t>
      </w:r>
      <w:r w:rsidR="00EF3A27" w:rsidRPr="00C03D18">
        <w:t>Oscar Lucien,</w:t>
      </w:r>
      <w:r w:rsidR="00EF3A27">
        <w:t xml:space="preserve"> el Estado alegó</w:t>
      </w:r>
      <w:r w:rsidR="002339F9">
        <w:t xml:space="preserve"> que participó previamente en esta causa ante la Comisión, la cual utilizó información aportada por aquél para sustentar su Informe de fondo, </w:t>
      </w:r>
      <w:r>
        <w:t>así como</w:t>
      </w:r>
      <w:r w:rsidR="002339F9">
        <w:t xml:space="preserve"> falta de imparcialidad por tener un interés directo; en particular, el Estado refiere que él hace parte de </w:t>
      </w:r>
      <w:r w:rsidR="00713246">
        <w:t xml:space="preserve">la </w:t>
      </w:r>
      <w:r w:rsidR="002339F9">
        <w:t xml:space="preserve">“Asociación Civil Ciudadanía Activa” que ha venido haciendo señalamientos en la prensa para pre-constituir prueba contra el Estado, por ejemplo un documental del año 2006 sobre la </w:t>
      </w:r>
      <w:r>
        <w:t>“</w:t>
      </w:r>
      <w:r w:rsidR="002339F9">
        <w:t>Lista Tascón</w:t>
      </w:r>
      <w:r>
        <w:t>”</w:t>
      </w:r>
      <w:r w:rsidR="002339F9">
        <w:t xml:space="preserve"> que habla sobre discriminación política en Venezuela;</w:t>
      </w:r>
      <w:r>
        <w:t xml:space="preserve"> además,</w:t>
      </w:r>
      <w:r w:rsidR="002339F9">
        <w:t xml:space="preserve"> el Estado refiere a declaraciones </w:t>
      </w:r>
      <w:r w:rsidR="00EF3A27">
        <w:t>de aquél</w:t>
      </w:r>
      <w:r>
        <w:t xml:space="preserve"> </w:t>
      </w:r>
      <w:r w:rsidR="002339F9">
        <w:t xml:space="preserve">ante la prensa y </w:t>
      </w:r>
      <w:r>
        <w:t xml:space="preserve">a </w:t>
      </w:r>
      <w:r w:rsidR="002339F9">
        <w:t xml:space="preserve">su cuenta de </w:t>
      </w:r>
      <w:r>
        <w:t>“</w:t>
      </w:r>
      <w:r w:rsidR="002339F9">
        <w:t>Twitter</w:t>
      </w:r>
      <w:r>
        <w:t>”</w:t>
      </w:r>
      <w:r w:rsidR="002339F9">
        <w:t>.</w:t>
      </w:r>
    </w:p>
    <w:p w14:paraId="4A1ACAC5" w14:textId="4C5F9242" w:rsidR="002339F9" w:rsidRDefault="00607881" w:rsidP="00802C1C">
      <w:pPr>
        <w:pStyle w:val="ListParagraph"/>
        <w:widowControl/>
        <w:numPr>
          <w:ilvl w:val="0"/>
          <w:numId w:val="12"/>
        </w:numPr>
        <w:autoSpaceDE/>
        <w:autoSpaceDN/>
        <w:adjustRightInd/>
        <w:ind w:left="567" w:right="0"/>
      </w:pPr>
      <w:r>
        <w:t xml:space="preserve">Respecto de la señora </w:t>
      </w:r>
      <w:r w:rsidR="00EF3A27" w:rsidRPr="00C03D18">
        <w:t>Ana Julia Jatar,</w:t>
      </w:r>
      <w:r w:rsidR="00EF3A27">
        <w:t xml:space="preserve"> el Estado alegó</w:t>
      </w:r>
      <w:r w:rsidR="002339F9">
        <w:t xml:space="preserve"> falta de imparcialidad </w:t>
      </w:r>
      <w:r>
        <w:t xml:space="preserve">de la perita </w:t>
      </w:r>
      <w:r w:rsidR="002339F9">
        <w:t xml:space="preserve">por ser coautora de un libro sobre la </w:t>
      </w:r>
      <w:r w:rsidR="00713246">
        <w:t>“</w:t>
      </w:r>
      <w:r w:rsidR="002339F9">
        <w:t>Lista Tascón</w:t>
      </w:r>
      <w:r w:rsidR="00713246">
        <w:t>”</w:t>
      </w:r>
      <w:r w:rsidR="002339F9">
        <w:t xml:space="preserve"> y la persecución política en Venezuela; refiere a artículos de opinión de ella en la prensa de julio de 2014 y su cuenta de Twitter.</w:t>
      </w:r>
    </w:p>
    <w:p w14:paraId="00E1D185" w14:textId="77777777" w:rsidR="002339F9" w:rsidRDefault="00607881" w:rsidP="00802C1C">
      <w:pPr>
        <w:pStyle w:val="ListParagraph"/>
        <w:widowControl/>
        <w:numPr>
          <w:ilvl w:val="0"/>
          <w:numId w:val="12"/>
        </w:numPr>
        <w:autoSpaceDE/>
        <w:autoSpaceDN/>
        <w:adjustRightInd/>
        <w:ind w:left="567" w:right="0"/>
      </w:pPr>
      <w:r>
        <w:t xml:space="preserve">En cuanto a la señora </w:t>
      </w:r>
      <w:r w:rsidR="002339F9" w:rsidRPr="00C03D18">
        <w:t>C</w:t>
      </w:r>
      <w:r w:rsidR="00EF3A27" w:rsidRPr="00C03D18">
        <w:t>olette Capriles</w:t>
      </w:r>
      <w:r w:rsidR="00EF3A27">
        <w:t>, el Estado alegó</w:t>
      </w:r>
      <w:r w:rsidR="002339F9">
        <w:t xml:space="preserve"> falta de imparcialidad </w:t>
      </w:r>
      <w:r>
        <w:t xml:space="preserve">de la perita </w:t>
      </w:r>
      <w:r w:rsidR="002339F9">
        <w:t xml:space="preserve">por haber </w:t>
      </w:r>
      <w:r w:rsidR="002339F9" w:rsidRPr="005574A2">
        <w:t>denunciado al Estado ante diferentes organismos internacionales</w:t>
      </w:r>
      <w:r w:rsidR="002339F9">
        <w:t xml:space="preserve"> como </w:t>
      </w:r>
      <w:r w:rsidR="002339F9" w:rsidRPr="005574A2">
        <w:t>miembro de movimientos políticos como el “Grupo 400+” y “Resistencia Civil de Venezolanos en el Exterior”</w:t>
      </w:r>
      <w:r w:rsidR="002339F9">
        <w:t xml:space="preserve">, </w:t>
      </w:r>
      <w:r w:rsidR="00EF3A27">
        <w:t>que habría manifestado</w:t>
      </w:r>
      <w:r w:rsidR="002339F9">
        <w:t xml:space="preserve"> que ha existido </w:t>
      </w:r>
      <w:r>
        <w:t xml:space="preserve">un </w:t>
      </w:r>
      <w:r w:rsidRPr="005574A2">
        <w:t>gobierno despótico y totalitario</w:t>
      </w:r>
      <w:r>
        <w:t xml:space="preserve"> </w:t>
      </w:r>
      <w:r w:rsidR="002339F9">
        <w:t>en Venezuela; además, aparece en un documento haciendo solicitudes ante la OEA respecto de procesos electorales por desarrollarse en Venezuela, lo</w:t>
      </w:r>
      <w:r w:rsidR="00EF3A27">
        <w:t xml:space="preserve"> cual, en opinión del </w:t>
      </w:r>
      <w:r>
        <w:t>Estado,</w:t>
      </w:r>
      <w:r w:rsidR="002339F9">
        <w:t xml:space="preserve"> la deslegitima como perito.</w:t>
      </w:r>
    </w:p>
    <w:p w14:paraId="722F88A5" w14:textId="77777777" w:rsidR="002339F9" w:rsidRPr="00E77583" w:rsidRDefault="002339F9" w:rsidP="00E77583">
      <w:pPr>
        <w:spacing w:after="0" w:line="240" w:lineRule="auto"/>
        <w:ind w:right="18"/>
        <w:jc w:val="both"/>
        <w:rPr>
          <w:rFonts w:ascii="Verdana" w:hAnsi="Verdana"/>
          <w:sz w:val="20"/>
          <w:szCs w:val="20"/>
        </w:rPr>
      </w:pPr>
    </w:p>
    <w:p w14:paraId="249A1E07" w14:textId="097ABC21" w:rsidR="00A32108" w:rsidRDefault="00E77583" w:rsidP="00A32108">
      <w:pPr>
        <w:numPr>
          <w:ilvl w:val="0"/>
          <w:numId w:val="3"/>
        </w:numPr>
        <w:spacing w:after="0" w:line="240" w:lineRule="auto"/>
        <w:ind w:right="18"/>
        <w:jc w:val="both"/>
        <w:rPr>
          <w:rFonts w:ascii="Verdana" w:hAnsi="Verdana"/>
          <w:sz w:val="20"/>
          <w:szCs w:val="20"/>
        </w:rPr>
      </w:pPr>
      <w:r w:rsidRPr="00A32108">
        <w:rPr>
          <w:rFonts w:ascii="Verdana" w:hAnsi="Verdana"/>
          <w:sz w:val="20"/>
          <w:szCs w:val="20"/>
        </w:rPr>
        <w:t>Al respecto, el representante manifestó que, en los términos del artículo 48.2 del Reglamento de la Corte, las objeciones o recusaciones presentadas por el Estado son “</w:t>
      </w:r>
      <w:r w:rsidRPr="005574A2">
        <w:rPr>
          <w:rFonts w:ascii="Verdana" w:hAnsi="Verdana"/>
          <w:sz w:val="20"/>
          <w:szCs w:val="20"/>
        </w:rPr>
        <w:t>largamente extemporánea</w:t>
      </w:r>
      <w:r w:rsidR="00713246">
        <w:rPr>
          <w:rFonts w:ascii="Verdana" w:hAnsi="Verdana"/>
          <w:sz w:val="20"/>
          <w:szCs w:val="20"/>
        </w:rPr>
        <w:t>[</w:t>
      </w:r>
      <w:r w:rsidRPr="005574A2">
        <w:rPr>
          <w:rFonts w:ascii="Verdana" w:hAnsi="Verdana"/>
          <w:sz w:val="20"/>
          <w:szCs w:val="20"/>
        </w:rPr>
        <w:t>s</w:t>
      </w:r>
      <w:r w:rsidR="00713246">
        <w:rPr>
          <w:rFonts w:ascii="Verdana" w:hAnsi="Verdana"/>
          <w:sz w:val="20"/>
          <w:szCs w:val="20"/>
        </w:rPr>
        <w:t>]</w:t>
      </w:r>
      <w:r w:rsidRPr="00A32108">
        <w:rPr>
          <w:rFonts w:ascii="Verdana" w:hAnsi="Verdana"/>
          <w:sz w:val="20"/>
          <w:szCs w:val="20"/>
        </w:rPr>
        <w:t xml:space="preserve">”. Alegó que “no es serio, ni es compatible con el principio de igualdad de medios, que los plazos procesales sean vinculantes para las [presuntas] víctimas y no para el Estado”. </w:t>
      </w:r>
      <w:r w:rsidR="00A32108" w:rsidRPr="00E91D3D">
        <w:rPr>
          <w:rFonts w:ascii="Verdana" w:hAnsi="Verdana"/>
          <w:sz w:val="20"/>
          <w:szCs w:val="20"/>
        </w:rPr>
        <w:t xml:space="preserve">Consideró </w:t>
      </w:r>
      <w:r w:rsidR="005574A2" w:rsidRPr="00E91D3D">
        <w:rPr>
          <w:rFonts w:ascii="Verdana" w:hAnsi="Verdana"/>
          <w:sz w:val="20"/>
          <w:szCs w:val="20"/>
        </w:rPr>
        <w:t xml:space="preserve">que, si bien la Corte tiene facultades para actuar de oficio, </w:t>
      </w:r>
      <w:r w:rsidR="00A32108" w:rsidRPr="00E91D3D">
        <w:rPr>
          <w:rFonts w:ascii="Verdana" w:hAnsi="Verdana"/>
          <w:sz w:val="20"/>
          <w:szCs w:val="20"/>
        </w:rPr>
        <w:t>“</w:t>
      </w:r>
      <w:r w:rsidR="005574A2" w:rsidRPr="00E91D3D">
        <w:rPr>
          <w:rFonts w:ascii="Verdana" w:hAnsi="Verdana"/>
          <w:sz w:val="20"/>
          <w:szCs w:val="20"/>
        </w:rPr>
        <w:t xml:space="preserve">es </w:t>
      </w:r>
      <w:r w:rsidR="00A32108" w:rsidRPr="00E91D3D">
        <w:rPr>
          <w:rFonts w:ascii="Verdana" w:hAnsi="Verdana"/>
          <w:sz w:val="20"/>
          <w:szCs w:val="20"/>
        </w:rPr>
        <w:t xml:space="preserve">un fraude al Reglamento el que, extemporáneamente, se recuse a los peritos, con la esperanza de que la Corte, actuando de oficio, enmiende una decisión ya acordada por su Presidente respecto de los testigos y peritos que serán oídos por la Corte”. </w:t>
      </w:r>
      <w:r w:rsidR="005574A2" w:rsidRPr="00E91D3D">
        <w:rPr>
          <w:rFonts w:ascii="Verdana" w:hAnsi="Verdana"/>
          <w:sz w:val="20"/>
          <w:szCs w:val="20"/>
        </w:rPr>
        <w:t>Sin perjuicio de lo anterior</w:t>
      </w:r>
      <w:r w:rsidR="00A32108" w:rsidRPr="00E91D3D">
        <w:rPr>
          <w:rFonts w:ascii="Verdana" w:hAnsi="Verdana"/>
          <w:sz w:val="20"/>
          <w:szCs w:val="20"/>
        </w:rPr>
        <w:t>, el representante se refirió a los argumentos del Estado</w:t>
      </w:r>
      <w:r w:rsidR="005574A2" w:rsidRPr="00E91D3D">
        <w:rPr>
          <w:rFonts w:ascii="Verdana" w:hAnsi="Verdana"/>
          <w:sz w:val="20"/>
          <w:szCs w:val="20"/>
        </w:rPr>
        <w:t xml:space="preserve">, señalando que éste no objeta la formación, experiencia o solidez profesional de los referidos peritos. En particular, respecto del señor Lucien, alegó que el Estado afirmó incorrectamente que ha intervenido previamente en el procedimiento ante la Comisión, pues sólo se presentó un documental de su autoría, sin que ello signifique que haya intervenido en el </w:t>
      </w:r>
      <w:r w:rsidR="00FD09E9" w:rsidRPr="00E91D3D">
        <w:rPr>
          <w:rFonts w:ascii="Verdana" w:hAnsi="Verdana"/>
          <w:sz w:val="20"/>
          <w:szCs w:val="20"/>
        </w:rPr>
        <w:t>mismo</w:t>
      </w:r>
      <w:r w:rsidR="005574A2" w:rsidRPr="00E91D3D">
        <w:rPr>
          <w:rFonts w:ascii="Verdana" w:hAnsi="Verdana"/>
          <w:sz w:val="20"/>
          <w:szCs w:val="20"/>
        </w:rPr>
        <w:t xml:space="preserve">. En cuanto al señalamiento del Estado respecto que los peritos son opositores al anterior y actual gobierno, </w:t>
      </w:r>
      <w:r w:rsidR="00E85030">
        <w:rPr>
          <w:rFonts w:ascii="Verdana" w:hAnsi="Verdana"/>
          <w:sz w:val="20"/>
          <w:szCs w:val="20"/>
        </w:rPr>
        <w:t>el representante</w:t>
      </w:r>
      <w:r w:rsidR="00E85030" w:rsidRPr="00E91D3D">
        <w:rPr>
          <w:rFonts w:ascii="Verdana" w:hAnsi="Verdana"/>
          <w:sz w:val="20"/>
          <w:szCs w:val="20"/>
        </w:rPr>
        <w:t xml:space="preserve"> </w:t>
      </w:r>
      <w:r w:rsidR="005574A2" w:rsidRPr="00E91D3D">
        <w:rPr>
          <w:rFonts w:ascii="Verdana" w:hAnsi="Verdana"/>
          <w:sz w:val="20"/>
          <w:szCs w:val="20"/>
        </w:rPr>
        <w:t xml:space="preserve">alegó que el Reglamento no impide que los peritos puedan tener opiniones políticas o que hayan opinado sobre políticas públicas, por lo cual, así como el Estado propone peritos ideológicamente comprometidos con el proyecto político oficialista, sería </w:t>
      </w:r>
      <w:r w:rsidR="002863FA">
        <w:rPr>
          <w:rFonts w:ascii="Verdana" w:hAnsi="Verdana"/>
          <w:sz w:val="20"/>
          <w:szCs w:val="20"/>
        </w:rPr>
        <w:t>“</w:t>
      </w:r>
      <w:r w:rsidR="005574A2" w:rsidRPr="00E91D3D">
        <w:rPr>
          <w:rFonts w:ascii="Verdana" w:hAnsi="Verdana"/>
          <w:sz w:val="20"/>
          <w:szCs w:val="20"/>
        </w:rPr>
        <w:t>absurdo</w:t>
      </w:r>
      <w:r w:rsidR="002863FA">
        <w:rPr>
          <w:rFonts w:ascii="Verdana" w:hAnsi="Verdana"/>
          <w:sz w:val="20"/>
          <w:szCs w:val="20"/>
        </w:rPr>
        <w:t>”</w:t>
      </w:r>
      <w:r w:rsidR="005574A2" w:rsidRPr="00E91D3D">
        <w:rPr>
          <w:rFonts w:ascii="Verdana" w:hAnsi="Verdana"/>
          <w:sz w:val="20"/>
          <w:szCs w:val="20"/>
        </w:rPr>
        <w:t xml:space="preserve"> que</w:t>
      </w:r>
      <w:r w:rsidR="00FD09E9" w:rsidRPr="00E91D3D">
        <w:rPr>
          <w:rFonts w:ascii="Verdana" w:hAnsi="Verdana"/>
          <w:sz w:val="20"/>
          <w:szCs w:val="20"/>
        </w:rPr>
        <w:t xml:space="preserve"> el representante</w:t>
      </w:r>
      <w:r w:rsidR="005574A2" w:rsidRPr="00E91D3D">
        <w:rPr>
          <w:rFonts w:ascii="Verdana" w:hAnsi="Verdana"/>
          <w:sz w:val="20"/>
          <w:szCs w:val="20"/>
        </w:rPr>
        <w:t xml:space="preserve"> propusiera a alguien que le fuera indif</w:t>
      </w:r>
      <w:r w:rsidR="00FD09E9" w:rsidRPr="00E91D3D">
        <w:rPr>
          <w:rFonts w:ascii="Verdana" w:hAnsi="Verdana"/>
          <w:sz w:val="20"/>
          <w:szCs w:val="20"/>
        </w:rPr>
        <w:t>erente</w:t>
      </w:r>
      <w:r w:rsidR="005574A2" w:rsidRPr="00E91D3D">
        <w:rPr>
          <w:rFonts w:ascii="Verdana" w:hAnsi="Verdana"/>
          <w:sz w:val="20"/>
          <w:szCs w:val="20"/>
        </w:rPr>
        <w:t xml:space="preserve"> lo que ha pasado en Venezuela. En cuanto a que hacen parte de determinados grupos u organizaciones de la sociedad civil que </w:t>
      </w:r>
      <w:r w:rsidR="002863FA" w:rsidRPr="00E91D3D">
        <w:rPr>
          <w:rFonts w:ascii="Verdana" w:hAnsi="Verdana"/>
          <w:sz w:val="20"/>
          <w:szCs w:val="20"/>
        </w:rPr>
        <w:t>pu</w:t>
      </w:r>
      <w:r w:rsidR="002863FA">
        <w:rPr>
          <w:rFonts w:ascii="Verdana" w:hAnsi="Verdana"/>
          <w:sz w:val="20"/>
          <w:szCs w:val="20"/>
        </w:rPr>
        <w:t>dieran</w:t>
      </w:r>
      <w:r w:rsidR="002863FA" w:rsidRPr="00E91D3D">
        <w:rPr>
          <w:rFonts w:ascii="Verdana" w:hAnsi="Verdana"/>
          <w:sz w:val="20"/>
          <w:szCs w:val="20"/>
        </w:rPr>
        <w:t xml:space="preserve"> </w:t>
      </w:r>
      <w:r w:rsidR="005574A2" w:rsidRPr="00E91D3D">
        <w:rPr>
          <w:rFonts w:ascii="Verdana" w:hAnsi="Verdana"/>
          <w:sz w:val="20"/>
          <w:szCs w:val="20"/>
        </w:rPr>
        <w:t>haber hecho señalamientos contra el gobierno,</w:t>
      </w:r>
      <w:r w:rsidR="00E85030">
        <w:rPr>
          <w:rFonts w:ascii="Verdana" w:hAnsi="Verdana"/>
          <w:sz w:val="20"/>
          <w:szCs w:val="20"/>
        </w:rPr>
        <w:t xml:space="preserve"> el representante</w:t>
      </w:r>
      <w:r w:rsidR="005574A2" w:rsidRPr="00E91D3D">
        <w:rPr>
          <w:rFonts w:ascii="Verdana" w:hAnsi="Verdana"/>
          <w:sz w:val="20"/>
          <w:szCs w:val="20"/>
        </w:rPr>
        <w:t xml:space="preserve"> alegó que tampoco hay disposición alguna en la Convención o en el Reglamento que permita excluir como perito a alguien que forme parte de una asociación política. En cuanto las objeciones del Estado contra los peritos Jatar y Lucien por haber escrito un libro sobre la “lista Tascón” y la persecución política en Venezuela o haber participado en la producción de un documental sobre tal lista, respectivamente, alegó que es precisamente la experiencia adquirida en esas investigaciones lo que los califica como expertos en este caso.</w:t>
      </w:r>
      <w:r w:rsidR="00A32108">
        <w:rPr>
          <w:rFonts w:ascii="Verdana" w:hAnsi="Verdana"/>
          <w:sz w:val="20"/>
          <w:szCs w:val="20"/>
        </w:rPr>
        <w:t xml:space="preserve"> </w:t>
      </w:r>
      <w:r w:rsidR="005574A2">
        <w:rPr>
          <w:rFonts w:ascii="Verdana" w:hAnsi="Verdana"/>
          <w:sz w:val="20"/>
          <w:szCs w:val="20"/>
        </w:rPr>
        <w:t xml:space="preserve">En este sentido, el representante </w:t>
      </w:r>
      <w:r w:rsidR="00A32108" w:rsidRPr="00A32108">
        <w:rPr>
          <w:rFonts w:ascii="Verdana" w:hAnsi="Verdana"/>
          <w:sz w:val="20"/>
          <w:szCs w:val="20"/>
        </w:rPr>
        <w:t>solicitó a la Corte que rechace por improcedentes en cuanto al fondo las objeciones del Estado a las declaraciones de los perit</w:t>
      </w:r>
      <w:r w:rsidR="00A32108">
        <w:rPr>
          <w:rFonts w:ascii="Verdana" w:hAnsi="Verdana"/>
          <w:sz w:val="20"/>
          <w:szCs w:val="20"/>
        </w:rPr>
        <w:t>os propuestos.</w:t>
      </w:r>
    </w:p>
    <w:p w14:paraId="2B25D6A9" w14:textId="23ABC6FB" w:rsidR="005574A2" w:rsidRDefault="005574A2" w:rsidP="005574A2">
      <w:pPr>
        <w:spacing w:after="0" w:line="240" w:lineRule="auto"/>
        <w:ind w:right="18"/>
        <w:jc w:val="both"/>
        <w:rPr>
          <w:rFonts w:ascii="Verdana" w:hAnsi="Verdana"/>
          <w:sz w:val="20"/>
          <w:szCs w:val="20"/>
        </w:rPr>
      </w:pPr>
    </w:p>
    <w:p w14:paraId="65A8DB0C" w14:textId="50010B36" w:rsidR="005574A2" w:rsidRPr="00E91D3D" w:rsidRDefault="005574A2" w:rsidP="00A32108">
      <w:pPr>
        <w:numPr>
          <w:ilvl w:val="0"/>
          <w:numId w:val="3"/>
        </w:numPr>
        <w:spacing w:after="0" w:line="240" w:lineRule="auto"/>
        <w:ind w:right="18"/>
        <w:jc w:val="both"/>
        <w:rPr>
          <w:rFonts w:ascii="Verdana" w:hAnsi="Verdana"/>
          <w:sz w:val="20"/>
          <w:szCs w:val="20"/>
        </w:rPr>
      </w:pPr>
      <w:r w:rsidRPr="00E91D3D">
        <w:rPr>
          <w:rFonts w:ascii="Verdana" w:hAnsi="Verdana"/>
          <w:sz w:val="20"/>
          <w:szCs w:val="20"/>
        </w:rPr>
        <w:t xml:space="preserve">Por su parte, el señor Duque manifestó que el Estado no señaló una causal específica del artículo 48 del Reglamento en que encuadre </w:t>
      </w:r>
      <w:r w:rsidR="00842B38" w:rsidRPr="00E91D3D">
        <w:rPr>
          <w:rFonts w:ascii="Verdana" w:hAnsi="Verdana"/>
          <w:sz w:val="20"/>
          <w:szCs w:val="20"/>
        </w:rPr>
        <w:t>un</w:t>
      </w:r>
      <w:r w:rsidRPr="00E91D3D">
        <w:rPr>
          <w:rFonts w:ascii="Verdana" w:hAnsi="Verdana"/>
          <w:sz w:val="20"/>
          <w:szCs w:val="20"/>
        </w:rPr>
        <w:t xml:space="preserve"> supuesto impedimento suyo; </w:t>
      </w:r>
      <w:r w:rsidR="00842B38" w:rsidRPr="00E91D3D">
        <w:rPr>
          <w:rFonts w:ascii="Verdana" w:hAnsi="Verdana"/>
          <w:sz w:val="20"/>
          <w:szCs w:val="20"/>
        </w:rPr>
        <w:t xml:space="preserve">que </w:t>
      </w:r>
      <w:r w:rsidRPr="00E91D3D">
        <w:rPr>
          <w:rFonts w:ascii="Verdana" w:hAnsi="Verdana"/>
          <w:sz w:val="20"/>
          <w:szCs w:val="20"/>
        </w:rPr>
        <w:t>su supuesta falta de imparcialidad n</w:t>
      </w:r>
      <w:r w:rsidR="00842B38" w:rsidRPr="00E91D3D">
        <w:rPr>
          <w:rFonts w:ascii="Verdana" w:hAnsi="Verdana"/>
          <w:sz w:val="20"/>
          <w:szCs w:val="20"/>
        </w:rPr>
        <w:t xml:space="preserve">o fue denunciada oportunamente y para ello </w:t>
      </w:r>
      <w:r w:rsidRPr="00E91D3D">
        <w:rPr>
          <w:rFonts w:ascii="Verdana" w:hAnsi="Verdana"/>
          <w:sz w:val="20"/>
          <w:szCs w:val="20"/>
        </w:rPr>
        <w:t xml:space="preserve">el Estado refiere a una declaración suya y a </w:t>
      </w:r>
      <w:r w:rsidR="00E91D3D">
        <w:rPr>
          <w:rFonts w:ascii="Verdana" w:hAnsi="Verdana"/>
          <w:sz w:val="20"/>
          <w:szCs w:val="20"/>
        </w:rPr>
        <w:t>una</w:t>
      </w:r>
      <w:r w:rsidRPr="00E91D3D">
        <w:rPr>
          <w:rFonts w:ascii="Verdana" w:hAnsi="Verdana"/>
          <w:sz w:val="20"/>
          <w:szCs w:val="20"/>
        </w:rPr>
        <w:t>s</w:t>
      </w:r>
      <w:r w:rsidR="000165A2" w:rsidRPr="00E91D3D">
        <w:rPr>
          <w:rFonts w:ascii="Verdana" w:hAnsi="Verdana"/>
          <w:sz w:val="20"/>
          <w:szCs w:val="20"/>
        </w:rPr>
        <w:t xml:space="preserve"> publicaciones en</w:t>
      </w:r>
      <w:r w:rsidR="00E91D3D">
        <w:rPr>
          <w:rFonts w:ascii="Verdana" w:hAnsi="Verdana"/>
          <w:sz w:val="20"/>
          <w:szCs w:val="20"/>
        </w:rPr>
        <w:t xml:space="preserve"> su cuenta de</w:t>
      </w:r>
      <w:r w:rsidRPr="00E91D3D">
        <w:rPr>
          <w:rFonts w:ascii="Verdana" w:hAnsi="Verdana"/>
          <w:sz w:val="20"/>
          <w:szCs w:val="20"/>
        </w:rPr>
        <w:t xml:space="preserve"> </w:t>
      </w:r>
      <w:r w:rsidR="00E91D3D">
        <w:rPr>
          <w:rFonts w:ascii="Verdana" w:hAnsi="Verdana"/>
          <w:sz w:val="20"/>
          <w:szCs w:val="20"/>
        </w:rPr>
        <w:t>“</w:t>
      </w:r>
      <w:r w:rsidR="003E3F24" w:rsidRPr="00E91D3D">
        <w:rPr>
          <w:rFonts w:ascii="Verdana" w:hAnsi="Verdana"/>
          <w:sz w:val="20"/>
          <w:szCs w:val="20"/>
        </w:rPr>
        <w:t>Twitter</w:t>
      </w:r>
      <w:r w:rsidR="00E91D3D">
        <w:rPr>
          <w:rFonts w:ascii="Verdana" w:hAnsi="Verdana"/>
          <w:sz w:val="20"/>
          <w:szCs w:val="20"/>
        </w:rPr>
        <w:t>”</w:t>
      </w:r>
      <w:r w:rsidRPr="00E91D3D">
        <w:rPr>
          <w:rFonts w:ascii="Verdana" w:hAnsi="Verdana"/>
          <w:sz w:val="20"/>
          <w:szCs w:val="20"/>
        </w:rPr>
        <w:t xml:space="preserve">, como si ello se tratara de un hecho notorio que el juez habría podido apreciar oficiosamente; que la descalificación de un perito cabría sobre su idoneidad, pero no por su parcialidad, salvo que hubiese adelantado opinión para el caso en que se requirió su dictamen o se hubiese expresado en favor o en contra de alguna parte, lo cual no </w:t>
      </w:r>
      <w:r w:rsidR="00842B38" w:rsidRPr="00E91D3D">
        <w:rPr>
          <w:rFonts w:ascii="Verdana" w:hAnsi="Verdana"/>
          <w:sz w:val="20"/>
          <w:szCs w:val="20"/>
        </w:rPr>
        <w:t>ha</w:t>
      </w:r>
      <w:r w:rsidR="002863FA">
        <w:rPr>
          <w:rFonts w:ascii="Verdana" w:hAnsi="Verdana"/>
          <w:sz w:val="20"/>
          <w:szCs w:val="20"/>
        </w:rPr>
        <w:t>bría</w:t>
      </w:r>
      <w:r w:rsidR="00842B38" w:rsidRPr="00E91D3D">
        <w:rPr>
          <w:rFonts w:ascii="Verdana" w:hAnsi="Verdana"/>
          <w:sz w:val="20"/>
          <w:szCs w:val="20"/>
        </w:rPr>
        <w:t xml:space="preserve"> ocurrido ni se ha</w:t>
      </w:r>
      <w:r w:rsidR="002863FA">
        <w:rPr>
          <w:rFonts w:ascii="Verdana" w:hAnsi="Verdana"/>
          <w:sz w:val="20"/>
          <w:szCs w:val="20"/>
        </w:rPr>
        <w:t>bría</w:t>
      </w:r>
      <w:r w:rsidR="00842B38" w:rsidRPr="00E91D3D">
        <w:rPr>
          <w:rFonts w:ascii="Verdana" w:hAnsi="Verdana"/>
          <w:sz w:val="20"/>
          <w:szCs w:val="20"/>
        </w:rPr>
        <w:t xml:space="preserve"> demostrado. A</w:t>
      </w:r>
      <w:r w:rsidRPr="00E91D3D">
        <w:rPr>
          <w:rFonts w:ascii="Verdana" w:hAnsi="Verdana"/>
          <w:sz w:val="20"/>
          <w:szCs w:val="20"/>
        </w:rPr>
        <w:t xml:space="preserve">demás, </w:t>
      </w:r>
      <w:r w:rsidR="00842B38" w:rsidRPr="00E91D3D">
        <w:rPr>
          <w:rFonts w:ascii="Verdana" w:hAnsi="Verdana"/>
          <w:sz w:val="20"/>
          <w:szCs w:val="20"/>
        </w:rPr>
        <w:t xml:space="preserve">señaló que </w:t>
      </w:r>
      <w:r w:rsidRPr="00E91D3D">
        <w:rPr>
          <w:rFonts w:ascii="Verdana" w:hAnsi="Verdana"/>
          <w:sz w:val="20"/>
          <w:szCs w:val="20"/>
        </w:rPr>
        <w:t>no ha sido representante de la parte que lo propuso ni ha intervenido en ninguna instan</w:t>
      </w:r>
      <w:r w:rsidR="00842B38" w:rsidRPr="00E91D3D">
        <w:rPr>
          <w:rFonts w:ascii="Verdana" w:hAnsi="Verdana"/>
          <w:sz w:val="20"/>
          <w:szCs w:val="20"/>
        </w:rPr>
        <w:t xml:space="preserve">cia en relación con esta causa y que </w:t>
      </w:r>
      <w:r w:rsidRPr="00E91D3D">
        <w:rPr>
          <w:rFonts w:ascii="Verdana" w:hAnsi="Verdana"/>
          <w:sz w:val="20"/>
          <w:szCs w:val="20"/>
        </w:rPr>
        <w:t>el Estado no ha probado un interés directo, lo cual no puede presumirse o inducirse de opiniones generales (como podrían ser las de carácter político a favor o en contra de un gobierno) que no tengan relación o conexión alguna con los hechos debatidos.</w:t>
      </w:r>
    </w:p>
    <w:p w14:paraId="0E703F2C" w14:textId="53A1C75A" w:rsidR="005574A2" w:rsidRPr="00E91D3D" w:rsidRDefault="005574A2" w:rsidP="005574A2">
      <w:pPr>
        <w:spacing w:after="0" w:line="240" w:lineRule="auto"/>
        <w:ind w:right="18"/>
        <w:jc w:val="both"/>
        <w:rPr>
          <w:rFonts w:ascii="Verdana" w:hAnsi="Verdana"/>
          <w:sz w:val="20"/>
          <w:szCs w:val="20"/>
        </w:rPr>
      </w:pPr>
    </w:p>
    <w:p w14:paraId="5982EDD4" w14:textId="449002C6" w:rsidR="005574A2" w:rsidRPr="00E91D3D" w:rsidRDefault="005574A2" w:rsidP="005574A2">
      <w:pPr>
        <w:numPr>
          <w:ilvl w:val="0"/>
          <w:numId w:val="3"/>
        </w:numPr>
        <w:spacing w:after="0" w:line="240" w:lineRule="auto"/>
        <w:ind w:right="18"/>
        <w:jc w:val="both"/>
        <w:rPr>
          <w:rFonts w:ascii="Verdana" w:hAnsi="Verdana"/>
          <w:sz w:val="20"/>
          <w:szCs w:val="20"/>
        </w:rPr>
      </w:pPr>
      <w:r w:rsidRPr="00E91D3D">
        <w:rPr>
          <w:rFonts w:ascii="Verdana" w:hAnsi="Verdana"/>
          <w:sz w:val="20"/>
          <w:szCs w:val="20"/>
        </w:rPr>
        <w:t xml:space="preserve">La señora Capriles manifestó que las objeciones del Estado no se refieren en absoluto a su testimonio experto sino a lo que presuntamente serían sus preferencias políticas, tal como el agente del Estado las imagina a partir de </w:t>
      </w:r>
      <w:r w:rsidR="00842B38" w:rsidRPr="00E91D3D">
        <w:rPr>
          <w:rFonts w:ascii="Verdana" w:hAnsi="Verdana"/>
          <w:sz w:val="20"/>
          <w:szCs w:val="20"/>
        </w:rPr>
        <w:t>haber firmado</w:t>
      </w:r>
      <w:r w:rsidRPr="00E91D3D">
        <w:rPr>
          <w:rFonts w:ascii="Verdana" w:hAnsi="Verdana"/>
          <w:sz w:val="20"/>
          <w:szCs w:val="20"/>
        </w:rPr>
        <w:t xml:space="preserve"> un docum</w:t>
      </w:r>
      <w:r w:rsidR="00842B38" w:rsidRPr="00E91D3D">
        <w:rPr>
          <w:rFonts w:ascii="Verdana" w:hAnsi="Verdana"/>
          <w:sz w:val="20"/>
          <w:szCs w:val="20"/>
        </w:rPr>
        <w:t>ento de un llamado “Grupo 400+” y</w:t>
      </w:r>
      <w:r w:rsidRPr="00E91D3D">
        <w:rPr>
          <w:rFonts w:ascii="Verdana" w:hAnsi="Verdana"/>
          <w:sz w:val="20"/>
          <w:szCs w:val="20"/>
        </w:rPr>
        <w:t xml:space="preserve"> una petición a la OEA para la realización de elecciones en su país dirigida a colegas académicos del mundo</w:t>
      </w:r>
      <w:r w:rsidR="00842B38" w:rsidRPr="00E91D3D">
        <w:rPr>
          <w:rFonts w:ascii="Verdana" w:hAnsi="Verdana"/>
          <w:sz w:val="20"/>
          <w:szCs w:val="20"/>
        </w:rPr>
        <w:t>, así como de</w:t>
      </w:r>
      <w:r w:rsidRPr="00E91D3D">
        <w:rPr>
          <w:rFonts w:ascii="Verdana" w:hAnsi="Verdana"/>
          <w:sz w:val="20"/>
          <w:szCs w:val="20"/>
        </w:rPr>
        <w:t xml:space="preserve"> una </w:t>
      </w:r>
      <w:r w:rsidRPr="00E91D3D">
        <w:rPr>
          <w:rFonts w:ascii="Verdana" w:hAnsi="Verdana"/>
          <w:sz w:val="20"/>
          <w:szCs w:val="20"/>
        </w:rPr>
        <w:lastRenderedPageBreak/>
        <w:t xml:space="preserve">muestra realmente pobre de </w:t>
      </w:r>
      <w:r w:rsidR="00842B38" w:rsidRPr="00E91D3D">
        <w:rPr>
          <w:rFonts w:ascii="Verdana" w:hAnsi="Verdana"/>
          <w:sz w:val="20"/>
          <w:szCs w:val="20"/>
        </w:rPr>
        <w:t>publicaciones</w:t>
      </w:r>
      <w:r w:rsidR="00C3781A">
        <w:rPr>
          <w:rFonts w:ascii="Verdana" w:hAnsi="Verdana"/>
          <w:sz w:val="20"/>
          <w:szCs w:val="20"/>
        </w:rPr>
        <w:t xml:space="preserve"> en su cuenta de “Twitter”</w:t>
      </w:r>
      <w:r w:rsidRPr="00E91D3D">
        <w:rPr>
          <w:rFonts w:ascii="Verdana" w:hAnsi="Verdana"/>
          <w:sz w:val="20"/>
          <w:szCs w:val="20"/>
        </w:rPr>
        <w:t xml:space="preserve">. Señaló que el agente del Estado está asumiendo </w:t>
      </w:r>
      <w:r w:rsidR="00C431A9">
        <w:rPr>
          <w:rFonts w:ascii="Verdana" w:hAnsi="Verdana"/>
          <w:sz w:val="20"/>
          <w:szCs w:val="20"/>
        </w:rPr>
        <w:t xml:space="preserve">anticipadamente </w:t>
      </w:r>
      <w:r w:rsidRPr="00E91D3D">
        <w:rPr>
          <w:rFonts w:ascii="Verdana" w:hAnsi="Verdana"/>
          <w:sz w:val="20"/>
          <w:szCs w:val="20"/>
        </w:rPr>
        <w:t>que, en</w:t>
      </w:r>
      <w:r w:rsidR="00842B38" w:rsidRPr="00E91D3D">
        <w:rPr>
          <w:rFonts w:ascii="Verdana" w:hAnsi="Verdana"/>
          <w:sz w:val="20"/>
          <w:szCs w:val="20"/>
        </w:rPr>
        <w:t xml:space="preserve"> sus respuestas</w:t>
      </w:r>
      <w:r w:rsidRPr="00E91D3D">
        <w:rPr>
          <w:rFonts w:ascii="Verdana" w:hAnsi="Verdana"/>
          <w:sz w:val="20"/>
          <w:szCs w:val="20"/>
        </w:rPr>
        <w:t>, no se apegar</w:t>
      </w:r>
      <w:r w:rsidR="003752EB">
        <w:rPr>
          <w:rFonts w:ascii="Verdana" w:hAnsi="Verdana"/>
          <w:sz w:val="20"/>
          <w:szCs w:val="20"/>
        </w:rPr>
        <w:t>á</w:t>
      </w:r>
      <w:r w:rsidRPr="00E91D3D">
        <w:rPr>
          <w:rFonts w:ascii="Verdana" w:hAnsi="Verdana"/>
          <w:sz w:val="20"/>
          <w:szCs w:val="20"/>
        </w:rPr>
        <w:t xml:space="preserve"> a principios y teorías aceptados universalmente dentro de las ciencias sociales y en particular la psicologí</w:t>
      </w:r>
      <w:r w:rsidR="00842B38" w:rsidRPr="00E91D3D">
        <w:rPr>
          <w:rFonts w:ascii="Verdana" w:hAnsi="Verdana"/>
          <w:sz w:val="20"/>
          <w:szCs w:val="20"/>
        </w:rPr>
        <w:t xml:space="preserve">a social y que las </w:t>
      </w:r>
      <w:r w:rsidRPr="00E91D3D">
        <w:rPr>
          <w:rFonts w:ascii="Verdana" w:hAnsi="Verdana"/>
          <w:sz w:val="20"/>
          <w:szCs w:val="20"/>
        </w:rPr>
        <w:t xml:space="preserve">fuentes académicas y científicas que utiliza en sus trabajos no tienen ninguna relación con sus preferencias políticas. </w:t>
      </w:r>
      <w:r w:rsidR="00C3781A">
        <w:rPr>
          <w:rFonts w:ascii="Verdana" w:hAnsi="Verdana"/>
          <w:sz w:val="20"/>
          <w:szCs w:val="20"/>
        </w:rPr>
        <w:t>Señaló</w:t>
      </w:r>
      <w:r w:rsidRPr="00E91D3D">
        <w:rPr>
          <w:rFonts w:ascii="Verdana" w:hAnsi="Verdana"/>
          <w:sz w:val="20"/>
          <w:szCs w:val="20"/>
        </w:rPr>
        <w:t xml:space="preserve"> </w:t>
      </w:r>
      <w:r w:rsidR="00842B38" w:rsidRPr="00E91D3D">
        <w:rPr>
          <w:rFonts w:ascii="Verdana" w:hAnsi="Verdana"/>
          <w:sz w:val="20"/>
          <w:szCs w:val="20"/>
        </w:rPr>
        <w:t>“</w:t>
      </w:r>
      <w:r w:rsidRPr="00E91D3D">
        <w:rPr>
          <w:rFonts w:ascii="Verdana" w:hAnsi="Verdana"/>
          <w:sz w:val="20"/>
          <w:szCs w:val="20"/>
        </w:rPr>
        <w:t>el hecho revelador de que en un caso en el que se juzga la discriminación política, se produzca precisamente un hecho de discriminación política sobre los expertos</w:t>
      </w:r>
      <w:r w:rsidR="00842B38" w:rsidRPr="00E91D3D">
        <w:rPr>
          <w:rFonts w:ascii="Verdana" w:hAnsi="Verdana"/>
          <w:sz w:val="20"/>
          <w:szCs w:val="20"/>
        </w:rPr>
        <w:t>”</w:t>
      </w:r>
      <w:r w:rsidRPr="00E91D3D">
        <w:rPr>
          <w:rFonts w:ascii="Verdana" w:hAnsi="Verdana"/>
          <w:sz w:val="20"/>
          <w:szCs w:val="20"/>
        </w:rPr>
        <w:t xml:space="preserve"> y </w:t>
      </w:r>
      <w:r w:rsidR="00C3781A">
        <w:rPr>
          <w:rFonts w:ascii="Verdana" w:hAnsi="Verdana"/>
          <w:sz w:val="20"/>
          <w:szCs w:val="20"/>
        </w:rPr>
        <w:t>manifestó que dejaba</w:t>
      </w:r>
      <w:r w:rsidRPr="00E91D3D">
        <w:rPr>
          <w:rFonts w:ascii="Verdana" w:hAnsi="Verdana"/>
          <w:sz w:val="20"/>
          <w:szCs w:val="20"/>
        </w:rPr>
        <w:t xml:space="preserve"> a la propia Corte </w:t>
      </w:r>
      <w:r w:rsidR="00C3781A">
        <w:rPr>
          <w:rFonts w:ascii="Verdana" w:hAnsi="Verdana"/>
          <w:sz w:val="20"/>
          <w:szCs w:val="20"/>
        </w:rPr>
        <w:t>“</w:t>
      </w:r>
      <w:r w:rsidRPr="00E91D3D">
        <w:rPr>
          <w:rFonts w:ascii="Verdana" w:hAnsi="Verdana"/>
          <w:sz w:val="20"/>
          <w:szCs w:val="20"/>
        </w:rPr>
        <w:t>el cuidado de determinar si está calificada para comparecer como perita ante este caso</w:t>
      </w:r>
      <w:r w:rsidR="00C3781A">
        <w:rPr>
          <w:rFonts w:ascii="Verdana" w:hAnsi="Verdana"/>
          <w:sz w:val="20"/>
          <w:szCs w:val="20"/>
        </w:rPr>
        <w:t>”</w:t>
      </w:r>
      <w:r w:rsidRPr="00E91D3D">
        <w:rPr>
          <w:rFonts w:ascii="Verdana" w:hAnsi="Verdana"/>
          <w:sz w:val="20"/>
          <w:szCs w:val="20"/>
        </w:rPr>
        <w:t>.</w:t>
      </w:r>
    </w:p>
    <w:p w14:paraId="7AC9C3E0" w14:textId="5AC34175" w:rsidR="005574A2" w:rsidRPr="00E91D3D" w:rsidRDefault="005574A2" w:rsidP="005574A2">
      <w:pPr>
        <w:spacing w:after="0" w:line="240" w:lineRule="auto"/>
        <w:ind w:right="18"/>
        <w:jc w:val="both"/>
        <w:rPr>
          <w:rFonts w:ascii="Verdana" w:hAnsi="Verdana"/>
          <w:sz w:val="20"/>
          <w:szCs w:val="20"/>
        </w:rPr>
      </w:pPr>
    </w:p>
    <w:p w14:paraId="3DF5099A" w14:textId="418EB60D" w:rsidR="005574A2" w:rsidRPr="00E91D3D" w:rsidRDefault="005574A2" w:rsidP="005574A2">
      <w:pPr>
        <w:numPr>
          <w:ilvl w:val="0"/>
          <w:numId w:val="3"/>
        </w:numPr>
        <w:spacing w:after="0" w:line="240" w:lineRule="auto"/>
        <w:ind w:right="18"/>
        <w:jc w:val="both"/>
        <w:rPr>
          <w:rFonts w:ascii="Verdana" w:hAnsi="Verdana"/>
          <w:sz w:val="20"/>
          <w:szCs w:val="20"/>
        </w:rPr>
      </w:pPr>
      <w:r w:rsidRPr="00E91D3D">
        <w:rPr>
          <w:rFonts w:ascii="Verdana" w:hAnsi="Verdana"/>
          <w:sz w:val="20"/>
          <w:szCs w:val="20"/>
        </w:rPr>
        <w:t xml:space="preserve">El señor Lucien </w:t>
      </w:r>
      <w:r w:rsidR="00842B38" w:rsidRPr="00E91D3D">
        <w:rPr>
          <w:rFonts w:ascii="Verdana" w:hAnsi="Verdana"/>
          <w:sz w:val="20"/>
          <w:szCs w:val="20"/>
        </w:rPr>
        <w:t xml:space="preserve">manifestó </w:t>
      </w:r>
      <w:r w:rsidRPr="00E91D3D">
        <w:rPr>
          <w:rFonts w:ascii="Verdana" w:hAnsi="Verdana"/>
          <w:sz w:val="20"/>
          <w:szCs w:val="20"/>
        </w:rPr>
        <w:t xml:space="preserve">que efectivamente es miembro de “Ciudadanía Activa”, una ONG que legítimamente en ejercicio de un derecho constitucional ha manifestado públicamente su desacuerdo con las políticas del actual gobierno de Venezuela y, en lo personal, hace uso de las redes sociales para hacer saber su posición personal al respecto. También </w:t>
      </w:r>
      <w:r w:rsidR="00C431A9">
        <w:rPr>
          <w:rFonts w:ascii="Verdana" w:hAnsi="Verdana"/>
          <w:sz w:val="20"/>
          <w:szCs w:val="20"/>
        </w:rPr>
        <w:t xml:space="preserve">indicó que </w:t>
      </w:r>
      <w:r w:rsidRPr="00E91D3D">
        <w:rPr>
          <w:rFonts w:ascii="Verdana" w:hAnsi="Verdana"/>
          <w:sz w:val="20"/>
          <w:szCs w:val="20"/>
        </w:rPr>
        <w:t>es cierto que es parte del equipo realizador del documental “La Lista, un pueblo bajo sospecha”, que recoge las circunstancias en que surgió un instrumento para discriminar a los venezolanos, y las vivencias de quienes fueron víctimas de esa discriminación. Aclara que no conoce a dos de las presuntas víctimas y que, respecto de Rocío San Miguel, he coincidido con ella en dos o tres oportunidades</w:t>
      </w:r>
      <w:r w:rsidR="00C3781A">
        <w:rPr>
          <w:rFonts w:ascii="Verdana" w:hAnsi="Verdana"/>
          <w:sz w:val="20"/>
          <w:szCs w:val="20"/>
        </w:rPr>
        <w:t xml:space="preserve"> y</w:t>
      </w:r>
      <w:r w:rsidRPr="00E91D3D">
        <w:rPr>
          <w:rFonts w:ascii="Verdana" w:hAnsi="Verdana"/>
          <w:sz w:val="20"/>
          <w:szCs w:val="20"/>
        </w:rPr>
        <w:t xml:space="preserve"> que la ha seguido en los medios de comunicación social </w:t>
      </w:r>
      <w:r w:rsidR="00C3781A">
        <w:rPr>
          <w:rFonts w:ascii="Verdana" w:hAnsi="Verdana"/>
          <w:sz w:val="20"/>
          <w:szCs w:val="20"/>
        </w:rPr>
        <w:t xml:space="preserve">como </w:t>
      </w:r>
      <w:r w:rsidRPr="00E91D3D">
        <w:rPr>
          <w:rFonts w:ascii="Verdana" w:hAnsi="Verdana"/>
          <w:sz w:val="20"/>
          <w:szCs w:val="20"/>
        </w:rPr>
        <w:t xml:space="preserve">una personalidad pública. En tal sentido, no se considera amigo de ninguna de ellas y su interés en este caso es el mismo de miles de venezolanos que desean aportar su testimonio en relación con hechos que han marcado sus vidas y que quisieran que no se repitieran. </w:t>
      </w:r>
      <w:r w:rsidR="00C3781A">
        <w:rPr>
          <w:rFonts w:ascii="Verdana" w:hAnsi="Verdana"/>
          <w:sz w:val="20"/>
          <w:szCs w:val="20"/>
        </w:rPr>
        <w:t>Manifestó que deja</w:t>
      </w:r>
      <w:r w:rsidRPr="00E91D3D">
        <w:rPr>
          <w:rFonts w:ascii="Verdana" w:hAnsi="Verdana"/>
          <w:sz w:val="20"/>
          <w:szCs w:val="20"/>
        </w:rPr>
        <w:t xml:space="preserve"> a la Corte </w:t>
      </w:r>
      <w:r w:rsidR="00C3781A">
        <w:rPr>
          <w:rFonts w:ascii="Verdana" w:hAnsi="Verdana"/>
          <w:sz w:val="20"/>
          <w:szCs w:val="20"/>
        </w:rPr>
        <w:t xml:space="preserve">la decisión de </w:t>
      </w:r>
      <w:r w:rsidRPr="00E91D3D">
        <w:rPr>
          <w:rFonts w:ascii="Verdana" w:hAnsi="Verdana"/>
          <w:sz w:val="20"/>
          <w:szCs w:val="20"/>
        </w:rPr>
        <w:t xml:space="preserve">si </w:t>
      </w:r>
      <w:r w:rsidR="00C3781A">
        <w:rPr>
          <w:rFonts w:ascii="Verdana" w:hAnsi="Verdana"/>
          <w:sz w:val="20"/>
          <w:szCs w:val="20"/>
        </w:rPr>
        <w:t xml:space="preserve">está </w:t>
      </w:r>
      <w:r w:rsidRPr="00E91D3D">
        <w:rPr>
          <w:rFonts w:ascii="Verdana" w:hAnsi="Verdana"/>
          <w:sz w:val="20"/>
          <w:szCs w:val="20"/>
        </w:rPr>
        <w:t>o no calificado para actuar como perito en este caso.</w:t>
      </w:r>
    </w:p>
    <w:p w14:paraId="313403DF" w14:textId="6604B794" w:rsidR="005574A2" w:rsidRDefault="005574A2" w:rsidP="00A32108">
      <w:pPr>
        <w:spacing w:after="0" w:line="240" w:lineRule="auto"/>
        <w:ind w:right="18"/>
        <w:jc w:val="both"/>
        <w:rPr>
          <w:rFonts w:ascii="Verdana" w:hAnsi="Verdana"/>
          <w:sz w:val="20"/>
          <w:szCs w:val="20"/>
        </w:rPr>
      </w:pPr>
    </w:p>
    <w:p w14:paraId="61439905" w14:textId="567AD887" w:rsidR="00A32108" w:rsidRDefault="00E77583" w:rsidP="00A32108">
      <w:pPr>
        <w:numPr>
          <w:ilvl w:val="0"/>
          <w:numId w:val="3"/>
        </w:numPr>
        <w:spacing w:after="0" w:line="240" w:lineRule="auto"/>
        <w:ind w:right="18"/>
        <w:jc w:val="both"/>
        <w:rPr>
          <w:rFonts w:ascii="Verdana" w:hAnsi="Verdana"/>
          <w:sz w:val="20"/>
          <w:szCs w:val="20"/>
        </w:rPr>
      </w:pPr>
      <w:r w:rsidRPr="00842B38">
        <w:rPr>
          <w:rFonts w:ascii="Verdana" w:hAnsi="Verdana"/>
          <w:sz w:val="20"/>
          <w:szCs w:val="20"/>
        </w:rPr>
        <w:t>Antes de analizar</w:t>
      </w:r>
      <w:r w:rsidRPr="00A32108">
        <w:rPr>
          <w:rFonts w:ascii="Verdana" w:hAnsi="Verdana"/>
          <w:sz w:val="20"/>
          <w:szCs w:val="20"/>
        </w:rPr>
        <w:t xml:space="preserve"> </w:t>
      </w:r>
      <w:r w:rsidR="00A32108" w:rsidRPr="00A32108">
        <w:rPr>
          <w:rFonts w:ascii="Verdana" w:hAnsi="Verdana"/>
          <w:sz w:val="20"/>
          <w:szCs w:val="20"/>
        </w:rPr>
        <w:t xml:space="preserve">si los cuatro peritos referidos tienen algún impedimento para participar en el presente caso en tal calidad, </w:t>
      </w:r>
      <w:r w:rsidR="00036082">
        <w:rPr>
          <w:rFonts w:ascii="Verdana" w:hAnsi="Verdana"/>
          <w:sz w:val="20"/>
          <w:szCs w:val="20"/>
        </w:rPr>
        <w:t xml:space="preserve">y consecuentemente tomar en cuenta las observaciones de ellos, </w:t>
      </w:r>
      <w:r w:rsidR="00036082" w:rsidRPr="00A32108">
        <w:rPr>
          <w:rFonts w:ascii="Verdana" w:hAnsi="Verdana"/>
          <w:sz w:val="20"/>
          <w:szCs w:val="20"/>
        </w:rPr>
        <w:t xml:space="preserve">corresponde </w:t>
      </w:r>
      <w:r w:rsidR="00842B38">
        <w:rPr>
          <w:rFonts w:ascii="Verdana" w:hAnsi="Verdana"/>
          <w:sz w:val="20"/>
          <w:szCs w:val="20"/>
        </w:rPr>
        <w:t xml:space="preserve">a la Corte </w:t>
      </w:r>
      <w:r w:rsidR="00036082" w:rsidRPr="00A32108">
        <w:rPr>
          <w:rFonts w:ascii="Verdana" w:hAnsi="Verdana"/>
          <w:sz w:val="20"/>
          <w:szCs w:val="20"/>
        </w:rPr>
        <w:t xml:space="preserve">determinar si el planteamiento del Estado es procesalmente procedente </w:t>
      </w:r>
      <w:r w:rsidR="00A32108" w:rsidRPr="00A32108">
        <w:rPr>
          <w:rFonts w:ascii="Verdana" w:hAnsi="Verdana"/>
          <w:sz w:val="20"/>
          <w:szCs w:val="20"/>
        </w:rPr>
        <w:t xml:space="preserve">en los términos de los </w:t>
      </w:r>
      <w:r w:rsidR="005A630F" w:rsidRPr="00A32108">
        <w:rPr>
          <w:rFonts w:ascii="Verdana" w:hAnsi="Verdana"/>
          <w:sz w:val="20"/>
          <w:szCs w:val="20"/>
        </w:rPr>
        <w:t>artículo</w:t>
      </w:r>
      <w:r w:rsidR="00A32108" w:rsidRPr="00A32108">
        <w:rPr>
          <w:rFonts w:ascii="Verdana" w:hAnsi="Verdana"/>
          <w:sz w:val="20"/>
          <w:szCs w:val="20"/>
        </w:rPr>
        <w:t>s 48 del Reglamento.</w:t>
      </w:r>
    </w:p>
    <w:p w14:paraId="79524654" w14:textId="77777777" w:rsidR="00A32108" w:rsidRDefault="00A32108" w:rsidP="00A32108">
      <w:pPr>
        <w:spacing w:after="0" w:line="240" w:lineRule="auto"/>
        <w:ind w:right="18"/>
        <w:jc w:val="both"/>
        <w:rPr>
          <w:rFonts w:ascii="Verdana" w:hAnsi="Verdana"/>
          <w:sz w:val="20"/>
          <w:szCs w:val="20"/>
        </w:rPr>
      </w:pPr>
    </w:p>
    <w:p w14:paraId="64610BD6" w14:textId="75C944A5" w:rsidR="003878E0" w:rsidRPr="00E91D3D" w:rsidRDefault="00D87DC8" w:rsidP="00D87DC8">
      <w:pPr>
        <w:numPr>
          <w:ilvl w:val="0"/>
          <w:numId w:val="3"/>
        </w:numPr>
        <w:spacing w:after="0" w:line="240" w:lineRule="auto"/>
        <w:ind w:right="18"/>
        <w:jc w:val="both"/>
        <w:rPr>
          <w:rFonts w:ascii="Verdana" w:hAnsi="Verdana"/>
          <w:sz w:val="20"/>
          <w:szCs w:val="20"/>
        </w:rPr>
      </w:pPr>
      <w:r w:rsidRPr="00E91D3D">
        <w:rPr>
          <w:rFonts w:ascii="Verdana" w:hAnsi="Verdana"/>
          <w:sz w:val="20"/>
          <w:szCs w:val="20"/>
        </w:rPr>
        <w:t>El artículo</w:t>
      </w:r>
      <w:r w:rsidR="00A32108" w:rsidRPr="00E91D3D">
        <w:rPr>
          <w:rFonts w:ascii="Verdana" w:hAnsi="Verdana"/>
          <w:sz w:val="20"/>
          <w:szCs w:val="20"/>
        </w:rPr>
        <w:t xml:space="preserve"> 48</w:t>
      </w:r>
      <w:r w:rsidRPr="00E91D3D">
        <w:rPr>
          <w:rFonts w:ascii="Verdana" w:hAnsi="Verdana"/>
          <w:sz w:val="20"/>
          <w:szCs w:val="20"/>
        </w:rPr>
        <w:t xml:space="preserve"> </w:t>
      </w:r>
      <w:r w:rsidR="00A32108" w:rsidRPr="00E91D3D">
        <w:rPr>
          <w:rFonts w:ascii="Verdana" w:hAnsi="Verdana"/>
          <w:sz w:val="20"/>
          <w:szCs w:val="20"/>
        </w:rPr>
        <w:t xml:space="preserve">del Reglamento de la Corte </w:t>
      </w:r>
      <w:r w:rsidRPr="00E91D3D">
        <w:rPr>
          <w:rFonts w:ascii="Verdana" w:hAnsi="Verdana"/>
          <w:sz w:val="20"/>
          <w:szCs w:val="20"/>
        </w:rPr>
        <w:t xml:space="preserve">establece que las personas ofrecidas como peritos “podrán ser recusados cuando incurran en alguna de las […] causales” previstas en el inciso 1 de dicha disposición, siempre que –según lo regula el inciso 2 de la misma– la recusación haya sido “propuesta dentro de los diez días siguientes a la recepción de la lista definitiva en la cual se confirma el ofrecimiento de dicho dictamen”. Es decir, tal como la </w:t>
      </w:r>
      <w:r w:rsidR="00A32108" w:rsidRPr="00E91D3D">
        <w:rPr>
          <w:rFonts w:ascii="Verdana" w:hAnsi="Verdana"/>
          <w:sz w:val="20"/>
          <w:szCs w:val="20"/>
        </w:rPr>
        <w:t xml:space="preserve">norma </w:t>
      </w:r>
      <w:r w:rsidRPr="00E91D3D">
        <w:rPr>
          <w:rFonts w:ascii="Verdana" w:hAnsi="Verdana"/>
          <w:sz w:val="20"/>
          <w:szCs w:val="20"/>
        </w:rPr>
        <w:t xml:space="preserve">expresamente lo indica, la </w:t>
      </w:r>
      <w:r w:rsidR="00A32108" w:rsidRPr="00E91D3D">
        <w:rPr>
          <w:rFonts w:ascii="Verdana" w:hAnsi="Verdana"/>
          <w:sz w:val="20"/>
          <w:szCs w:val="20"/>
        </w:rPr>
        <w:t xml:space="preserve">“recusación de peritos” implica </w:t>
      </w:r>
      <w:r w:rsidR="009B3637" w:rsidRPr="00E91D3D">
        <w:rPr>
          <w:rFonts w:ascii="Verdana" w:hAnsi="Verdana"/>
          <w:sz w:val="20"/>
          <w:szCs w:val="20"/>
        </w:rPr>
        <w:t xml:space="preserve">el deber de hacer notar al Tribunal, mediante la presentación </w:t>
      </w:r>
      <w:r w:rsidR="003878E0" w:rsidRPr="00E91D3D">
        <w:rPr>
          <w:rFonts w:ascii="Verdana" w:hAnsi="Verdana"/>
          <w:sz w:val="20"/>
          <w:szCs w:val="20"/>
        </w:rPr>
        <w:t xml:space="preserve">de </w:t>
      </w:r>
      <w:r w:rsidR="00A32108" w:rsidRPr="00E91D3D">
        <w:rPr>
          <w:rFonts w:ascii="Verdana" w:hAnsi="Verdana"/>
          <w:sz w:val="20"/>
          <w:szCs w:val="20"/>
        </w:rPr>
        <w:t xml:space="preserve">un acto </w:t>
      </w:r>
      <w:r w:rsidR="003878E0" w:rsidRPr="00E91D3D">
        <w:rPr>
          <w:rFonts w:ascii="Verdana" w:hAnsi="Verdana"/>
          <w:sz w:val="20"/>
          <w:szCs w:val="20"/>
        </w:rPr>
        <w:t xml:space="preserve">procesal </w:t>
      </w:r>
      <w:r w:rsidR="00A32108" w:rsidRPr="00E91D3D">
        <w:rPr>
          <w:rFonts w:ascii="Verdana" w:hAnsi="Verdana"/>
          <w:sz w:val="20"/>
          <w:szCs w:val="20"/>
        </w:rPr>
        <w:t xml:space="preserve">oportuno de la parte que </w:t>
      </w:r>
      <w:r w:rsidR="009B3637" w:rsidRPr="00E91D3D">
        <w:rPr>
          <w:rFonts w:ascii="Verdana" w:hAnsi="Verdana"/>
          <w:sz w:val="20"/>
          <w:szCs w:val="20"/>
        </w:rPr>
        <w:t xml:space="preserve">así lo </w:t>
      </w:r>
      <w:r w:rsidR="00A32108" w:rsidRPr="00E91D3D">
        <w:rPr>
          <w:rFonts w:ascii="Verdana" w:hAnsi="Verdana"/>
          <w:sz w:val="20"/>
          <w:szCs w:val="20"/>
        </w:rPr>
        <w:t>considera</w:t>
      </w:r>
      <w:r w:rsidR="009B3637" w:rsidRPr="00E91D3D">
        <w:rPr>
          <w:rFonts w:ascii="Verdana" w:hAnsi="Verdana"/>
          <w:sz w:val="20"/>
          <w:szCs w:val="20"/>
        </w:rPr>
        <w:t>,</w:t>
      </w:r>
      <w:r w:rsidR="00A32108" w:rsidRPr="00E91D3D">
        <w:rPr>
          <w:rFonts w:ascii="Verdana" w:hAnsi="Verdana"/>
          <w:sz w:val="20"/>
          <w:szCs w:val="20"/>
        </w:rPr>
        <w:t xml:space="preserve"> que la persona ofrecida </w:t>
      </w:r>
      <w:r w:rsidR="003878E0" w:rsidRPr="00E91D3D">
        <w:rPr>
          <w:rFonts w:ascii="Verdana" w:hAnsi="Verdana"/>
          <w:sz w:val="20"/>
          <w:szCs w:val="20"/>
        </w:rPr>
        <w:t xml:space="preserve">por la contraparte </w:t>
      </w:r>
      <w:r w:rsidRPr="00E91D3D">
        <w:rPr>
          <w:rFonts w:ascii="Verdana" w:hAnsi="Verdana"/>
          <w:sz w:val="20"/>
          <w:szCs w:val="20"/>
        </w:rPr>
        <w:t xml:space="preserve">en tal calidad </w:t>
      </w:r>
      <w:r w:rsidR="00A32108" w:rsidRPr="00E91D3D">
        <w:rPr>
          <w:rFonts w:ascii="Verdana" w:hAnsi="Verdana"/>
          <w:sz w:val="20"/>
          <w:szCs w:val="20"/>
        </w:rPr>
        <w:t>incurre en algún impedimento</w:t>
      </w:r>
      <w:r w:rsidR="003878E0" w:rsidRPr="00E91D3D">
        <w:rPr>
          <w:rFonts w:ascii="Verdana" w:hAnsi="Verdana"/>
          <w:sz w:val="20"/>
          <w:szCs w:val="20"/>
        </w:rPr>
        <w:t xml:space="preserve"> o causal de recusación</w:t>
      </w:r>
      <w:r w:rsidR="00A32108" w:rsidRPr="00E91D3D">
        <w:rPr>
          <w:rFonts w:ascii="Verdana" w:hAnsi="Verdana"/>
          <w:sz w:val="20"/>
          <w:szCs w:val="20"/>
        </w:rPr>
        <w:t xml:space="preserve">. </w:t>
      </w:r>
      <w:r w:rsidR="005574A2" w:rsidRPr="00E91D3D">
        <w:rPr>
          <w:rFonts w:ascii="Verdana" w:hAnsi="Verdana"/>
          <w:sz w:val="20"/>
          <w:szCs w:val="20"/>
        </w:rPr>
        <w:t>Sin perjuicio de lo anterior,</w:t>
      </w:r>
      <w:r w:rsidR="00842B38" w:rsidRPr="00E91D3D">
        <w:rPr>
          <w:rFonts w:ascii="Verdana" w:hAnsi="Verdana"/>
          <w:sz w:val="20"/>
          <w:szCs w:val="20"/>
        </w:rPr>
        <w:t xml:space="preserve"> excepcionalmente</w:t>
      </w:r>
      <w:r w:rsidR="005574A2" w:rsidRPr="00E91D3D">
        <w:rPr>
          <w:rFonts w:ascii="Verdana" w:hAnsi="Verdana"/>
          <w:sz w:val="20"/>
          <w:szCs w:val="20"/>
        </w:rPr>
        <w:t xml:space="preserve"> en caso de que la Corte</w:t>
      </w:r>
      <w:r w:rsidR="00842B38" w:rsidRPr="00E91D3D">
        <w:rPr>
          <w:rFonts w:ascii="Verdana" w:hAnsi="Verdana"/>
          <w:sz w:val="20"/>
          <w:szCs w:val="20"/>
        </w:rPr>
        <w:t xml:space="preserve"> o su Presidente observen que una persona ofrecida como perito incurre </w:t>
      </w:r>
      <w:r w:rsidR="00305C4A" w:rsidRPr="00D16F38">
        <w:rPr>
          <w:rFonts w:ascii="Verdana" w:hAnsi="Verdana"/>
          <w:sz w:val="20"/>
          <w:szCs w:val="20"/>
        </w:rPr>
        <w:t xml:space="preserve">manifiesta u </w:t>
      </w:r>
      <w:r w:rsidR="00842B38" w:rsidRPr="00E91D3D">
        <w:rPr>
          <w:rFonts w:ascii="Verdana" w:hAnsi="Verdana"/>
          <w:sz w:val="20"/>
          <w:szCs w:val="20"/>
        </w:rPr>
        <w:t>ostensiblemente en una incompatibilidad para participar en</w:t>
      </w:r>
      <w:r w:rsidR="00C3781A">
        <w:rPr>
          <w:rFonts w:ascii="Verdana" w:hAnsi="Verdana"/>
          <w:sz w:val="20"/>
          <w:szCs w:val="20"/>
        </w:rPr>
        <w:t xml:space="preserve"> tal carácter, así correspondería</w:t>
      </w:r>
      <w:r w:rsidR="00842B38" w:rsidRPr="00E91D3D">
        <w:rPr>
          <w:rFonts w:ascii="Verdana" w:hAnsi="Verdana"/>
          <w:sz w:val="20"/>
          <w:szCs w:val="20"/>
        </w:rPr>
        <w:t xml:space="preserve"> declararlo en la oportunidad correspondiente</w:t>
      </w:r>
      <w:r w:rsidR="00D16F38">
        <w:rPr>
          <w:rFonts w:ascii="Verdana" w:hAnsi="Verdana"/>
          <w:sz w:val="20"/>
          <w:szCs w:val="20"/>
        </w:rPr>
        <w:t>.</w:t>
      </w:r>
    </w:p>
    <w:p w14:paraId="7A0FEC60" w14:textId="77777777" w:rsidR="003878E0" w:rsidRDefault="003878E0" w:rsidP="003878E0">
      <w:pPr>
        <w:pStyle w:val="ListParagraph"/>
        <w:numPr>
          <w:ilvl w:val="0"/>
          <w:numId w:val="0"/>
        </w:numPr>
      </w:pPr>
    </w:p>
    <w:p w14:paraId="4FEC24B2" w14:textId="50812C10" w:rsidR="00EF3A27" w:rsidRDefault="00842B38" w:rsidP="00EF3A27">
      <w:pPr>
        <w:numPr>
          <w:ilvl w:val="0"/>
          <w:numId w:val="3"/>
        </w:numPr>
        <w:spacing w:after="0" w:line="240" w:lineRule="auto"/>
        <w:ind w:right="18"/>
        <w:jc w:val="both"/>
        <w:rPr>
          <w:rFonts w:ascii="Verdana" w:hAnsi="Verdana"/>
          <w:sz w:val="20"/>
          <w:szCs w:val="20"/>
        </w:rPr>
      </w:pPr>
      <w:r>
        <w:rPr>
          <w:rFonts w:ascii="Verdana" w:hAnsi="Verdana"/>
          <w:sz w:val="20"/>
          <w:szCs w:val="20"/>
        </w:rPr>
        <w:t>En el presente caso, t</w:t>
      </w:r>
      <w:r w:rsidR="003878E0">
        <w:rPr>
          <w:rFonts w:ascii="Verdana" w:hAnsi="Verdana"/>
          <w:sz w:val="20"/>
          <w:szCs w:val="20"/>
        </w:rPr>
        <w:t xml:space="preserve">al como consta en la Resolución del Presidente, </w:t>
      </w:r>
      <w:r w:rsidR="003878E0" w:rsidRPr="00D87DC8">
        <w:rPr>
          <w:rFonts w:ascii="Verdana" w:hAnsi="Verdana"/>
          <w:sz w:val="20"/>
          <w:szCs w:val="20"/>
        </w:rPr>
        <w:t>además de no haber presentado una contestación, el Estado no presentó observaciones a las listas definitivas de declarantes ofrecidos por el representante y la Comisión</w:t>
      </w:r>
      <w:r w:rsidR="00C3781A">
        <w:rPr>
          <w:rFonts w:ascii="Verdana" w:hAnsi="Verdana"/>
          <w:sz w:val="20"/>
          <w:szCs w:val="20"/>
        </w:rPr>
        <w:t>,</w:t>
      </w:r>
      <w:r w:rsidR="0079656E">
        <w:rPr>
          <w:rFonts w:ascii="Verdana" w:hAnsi="Verdana"/>
          <w:sz w:val="20"/>
          <w:szCs w:val="20"/>
        </w:rPr>
        <w:t xml:space="preserve"> ni recusación alguna en el plazo establecido en el artículo 48.2 del Reglamento</w:t>
      </w:r>
      <w:r w:rsidR="003878E0" w:rsidRPr="00D87DC8">
        <w:rPr>
          <w:rFonts w:ascii="Verdana" w:hAnsi="Verdana"/>
          <w:sz w:val="20"/>
          <w:szCs w:val="20"/>
        </w:rPr>
        <w:t xml:space="preserve">, a pesar de </w:t>
      </w:r>
      <w:r w:rsidR="003878E0">
        <w:rPr>
          <w:rFonts w:ascii="Verdana" w:hAnsi="Verdana"/>
          <w:sz w:val="20"/>
          <w:szCs w:val="20"/>
        </w:rPr>
        <w:t>haber</w:t>
      </w:r>
      <w:r w:rsidR="003878E0" w:rsidRPr="00D87DC8">
        <w:rPr>
          <w:rFonts w:ascii="Verdana" w:hAnsi="Verdana"/>
          <w:sz w:val="20"/>
          <w:szCs w:val="20"/>
        </w:rPr>
        <w:t xml:space="preserve"> </w:t>
      </w:r>
      <w:r w:rsidR="003878E0">
        <w:rPr>
          <w:rFonts w:ascii="Verdana" w:hAnsi="Verdana"/>
          <w:sz w:val="20"/>
          <w:szCs w:val="20"/>
        </w:rPr>
        <w:t xml:space="preserve">tenido </w:t>
      </w:r>
      <w:r w:rsidR="003878E0" w:rsidRPr="00D87DC8">
        <w:rPr>
          <w:rFonts w:ascii="Verdana" w:hAnsi="Verdana"/>
          <w:sz w:val="20"/>
          <w:szCs w:val="20"/>
        </w:rPr>
        <w:t xml:space="preserve">la oportunidad </w:t>
      </w:r>
      <w:r w:rsidR="009B3637">
        <w:rPr>
          <w:rFonts w:ascii="Verdana" w:hAnsi="Verdana"/>
          <w:sz w:val="20"/>
          <w:szCs w:val="20"/>
        </w:rPr>
        <w:t xml:space="preserve">procesal </w:t>
      </w:r>
      <w:r w:rsidR="003878E0" w:rsidRPr="00D87DC8">
        <w:rPr>
          <w:rFonts w:ascii="Verdana" w:hAnsi="Verdana"/>
          <w:sz w:val="20"/>
          <w:szCs w:val="20"/>
        </w:rPr>
        <w:t>para ello.</w:t>
      </w:r>
      <w:r w:rsidR="003878E0">
        <w:rPr>
          <w:rFonts w:ascii="Verdana" w:hAnsi="Verdana"/>
          <w:sz w:val="20"/>
          <w:szCs w:val="20"/>
        </w:rPr>
        <w:t xml:space="preserve"> En ese sentido, es claro que ha precluido la </w:t>
      </w:r>
      <w:r w:rsidR="003878E0" w:rsidRPr="003878E0">
        <w:rPr>
          <w:rFonts w:ascii="Verdana" w:hAnsi="Verdana"/>
          <w:sz w:val="20"/>
          <w:szCs w:val="20"/>
        </w:rPr>
        <w:t xml:space="preserve">oportunidad </w:t>
      </w:r>
      <w:r w:rsidR="009B3637">
        <w:rPr>
          <w:rFonts w:ascii="Verdana" w:hAnsi="Verdana"/>
          <w:sz w:val="20"/>
          <w:szCs w:val="20"/>
        </w:rPr>
        <w:t>que tenía el</w:t>
      </w:r>
      <w:r w:rsidR="003878E0" w:rsidRPr="003878E0">
        <w:rPr>
          <w:rFonts w:ascii="Verdana" w:hAnsi="Verdana"/>
          <w:sz w:val="20"/>
          <w:szCs w:val="20"/>
        </w:rPr>
        <w:t xml:space="preserve"> Estado de presentar recusaciones contra las personas ofrecidas como peritos por el representante. </w:t>
      </w:r>
      <w:r w:rsidR="00C22D84" w:rsidRPr="008E06CD">
        <w:rPr>
          <w:rFonts w:ascii="Verdana" w:hAnsi="Verdana"/>
          <w:sz w:val="20"/>
          <w:szCs w:val="20"/>
        </w:rPr>
        <w:t>Por otra parte</w:t>
      </w:r>
      <w:r w:rsidR="00EF3A27" w:rsidRPr="008E06CD">
        <w:rPr>
          <w:rFonts w:ascii="Verdana" w:hAnsi="Verdana"/>
          <w:sz w:val="20"/>
          <w:szCs w:val="20"/>
        </w:rPr>
        <w:t>,</w:t>
      </w:r>
      <w:r w:rsidR="00036082">
        <w:rPr>
          <w:rFonts w:ascii="Verdana" w:hAnsi="Verdana"/>
          <w:sz w:val="20"/>
          <w:szCs w:val="20"/>
        </w:rPr>
        <w:t xml:space="preserve"> los argumentos </w:t>
      </w:r>
      <w:r w:rsidR="00036082">
        <w:rPr>
          <w:rFonts w:ascii="Verdana" w:hAnsi="Verdana"/>
          <w:sz w:val="20"/>
          <w:szCs w:val="20"/>
        </w:rPr>
        <w:lastRenderedPageBreak/>
        <w:t>presentados por el Estado en su escrito</w:t>
      </w:r>
      <w:r w:rsidR="00036082" w:rsidRPr="003878E0">
        <w:rPr>
          <w:rFonts w:ascii="Verdana" w:hAnsi="Verdana"/>
          <w:sz w:val="20"/>
          <w:szCs w:val="20"/>
        </w:rPr>
        <w:t xml:space="preserve"> </w:t>
      </w:r>
      <w:r w:rsidR="00036082">
        <w:rPr>
          <w:rFonts w:ascii="Verdana" w:hAnsi="Verdana"/>
          <w:sz w:val="20"/>
          <w:szCs w:val="20"/>
        </w:rPr>
        <w:t>d</w:t>
      </w:r>
      <w:r w:rsidR="00036082" w:rsidRPr="003878E0">
        <w:rPr>
          <w:rFonts w:ascii="Verdana" w:hAnsi="Verdana"/>
          <w:sz w:val="20"/>
          <w:szCs w:val="20"/>
        </w:rPr>
        <w:t>e 9 de enero de 2017</w:t>
      </w:r>
      <w:r w:rsidR="00036082">
        <w:rPr>
          <w:rFonts w:ascii="Verdana" w:hAnsi="Verdana"/>
          <w:sz w:val="20"/>
          <w:szCs w:val="20"/>
        </w:rPr>
        <w:t xml:space="preserve"> se refieren sustancialmente a recusaciones contra cuatro peritos oportunamente convocados a rendir dictamen que</w:t>
      </w:r>
      <w:r w:rsidR="00C22D84">
        <w:rPr>
          <w:rFonts w:ascii="Verdana" w:hAnsi="Verdana"/>
          <w:sz w:val="20"/>
          <w:szCs w:val="20"/>
        </w:rPr>
        <w:t xml:space="preserve"> </w:t>
      </w:r>
      <w:r w:rsidR="00036082" w:rsidRPr="003878E0">
        <w:rPr>
          <w:rFonts w:ascii="Verdana" w:hAnsi="Verdana"/>
          <w:sz w:val="20"/>
          <w:szCs w:val="20"/>
        </w:rPr>
        <w:t>no se sustenta</w:t>
      </w:r>
      <w:r w:rsidR="00036082">
        <w:rPr>
          <w:rFonts w:ascii="Verdana" w:hAnsi="Verdana"/>
          <w:sz w:val="20"/>
          <w:szCs w:val="20"/>
        </w:rPr>
        <w:t>n</w:t>
      </w:r>
      <w:r w:rsidR="00036082" w:rsidRPr="003878E0">
        <w:rPr>
          <w:rFonts w:ascii="Verdana" w:hAnsi="Verdana"/>
          <w:sz w:val="20"/>
          <w:szCs w:val="20"/>
        </w:rPr>
        <w:t xml:space="preserve"> en algún hecho o situación </w:t>
      </w:r>
      <w:r w:rsidR="00036082">
        <w:rPr>
          <w:rFonts w:ascii="Verdana" w:hAnsi="Verdana"/>
          <w:sz w:val="20"/>
          <w:szCs w:val="20"/>
        </w:rPr>
        <w:t xml:space="preserve">de carácter </w:t>
      </w:r>
      <w:r w:rsidR="00036082" w:rsidRPr="003878E0">
        <w:rPr>
          <w:rFonts w:ascii="Verdana" w:hAnsi="Verdana"/>
          <w:sz w:val="20"/>
          <w:szCs w:val="20"/>
        </w:rPr>
        <w:t>superviniente</w:t>
      </w:r>
      <w:r w:rsidR="002A208E" w:rsidRPr="006423D1">
        <w:rPr>
          <w:rFonts w:ascii="Verdana" w:hAnsi="Verdana"/>
          <w:sz w:val="20"/>
          <w:szCs w:val="20"/>
        </w:rPr>
        <w:t>.</w:t>
      </w:r>
      <w:r w:rsidR="002A208E">
        <w:rPr>
          <w:rFonts w:ascii="Verdana" w:hAnsi="Verdana"/>
          <w:color w:val="FF0000"/>
          <w:sz w:val="20"/>
          <w:szCs w:val="20"/>
        </w:rPr>
        <w:t xml:space="preserve"> </w:t>
      </w:r>
      <w:r w:rsidRPr="0079656E">
        <w:rPr>
          <w:rFonts w:ascii="Verdana" w:hAnsi="Verdana"/>
          <w:sz w:val="20"/>
          <w:szCs w:val="20"/>
        </w:rPr>
        <w:t xml:space="preserve">Además, no surge de la información presentada ante </w:t>
      </w:r>
      <w:r w:rsidR="0079656E" w:rsidRPr="0079656E">
        <w:rPr>
          <w:rFonts w:ascii="Verdana" w:hAnsi="Verdana"/>
          <w:sz w:val="20"/>
          <w:szCs w:val="20"/>
        </w:rPr>
        <w:t xml:space="preserve">el </w:t>
      </w:r>
      <w:r w:rsidRPr="0079656E">
        <w:rPr>
          <w:rFonts w:ascii="Verdana" w:hAnsi="Verdana"/>
          <w:sz w:val="20"/>
          <w:szCs w:val="20"/>
        </w:rPr>
        <w:t>Tribunal que los peritos Duque, Lucien, Jatar y Capriles se encuentren en algún</w:t>
      </w:r>
      <w:r w:rsidR="002A208E">
        <w:rPr>
          <w:rFonts w:ascii="Verdana" w:hAnsi="Verdana"/>
          <w:sz w:val="20"/>
          <w:szCs w:val="20"/>
        </w:rPr>
        <w:t xml:space="preserve"> </w:t>
      </w:r>
      <w:r w:rsidRPr="0079656E">
        <w:rPr>
          <w:rFonts w:ascii="Verdana" w:hAnsi="Verdana"/>
          <w:sz w:val="20"/>
          <w:szCs w:val="20"/>
        </w:rPr>
        <w:t>supuesto de manifiesto</w:t>
      </w:r>
      <w:r w:rsidR="002A208E">
        <w:rPr>
          <w:rFonts w:ascii="Verdana" w:hAnsi="Verdana"/>
          <w:sz w:val="20"/>
          <w:szCs w:val="20"/>
        </w:rPr>
        <w:t xml:space="preserve"> </w:t>
      </w:r>
      <w:r w:rsidRPr="0079656E">
        <w:rPr>
          <w:rFonts w:ascii="Verdana" w:hAnsi="Verdana"/>
          <w:sz w:val="20"/>
          <w:szCs w:val="20"/>
        </w:rPr>
        <w:t>impedimento para participar como peritos en este caso. En consecuencia, la solicitud del Estado</w:t>
      </w:r>
      <w:r w:rsidR="00036082" w:rsidRPr="00036082">
        <w:rPr>
          <w:rFonts w:ascii="Verdana" w:hAnsi="Verdana"/>
          <w:sz w:val="20"/>
          <w:szCs w:val="20"/>
        </w:rPr>
        <w:t xml:space="preserve"> debe declararse improcedente</w:t>
      </w:r>
      <w:r w:rsidR="00D16F38">
        <w:rPr>
          <w:rStyle w:val="FootnoteReference"/>
        </w:rPr>
        <w:footnoteReference w:id="3"/>
      </w:r>
      <w:r w:rsidR="00036082" w:rsidRPr="00036082">
        <w:rPr>
          <w:rFonts w:ascii="Verdana" w:hAnsi="Verdana"/>
          <w:sz w:val="20"/>
          <w:szCs w:val="20"/>
        </w:rPr>
        <w:t>.</w:t>
      </w:r>
      <w:r>
        <w:rPr>
          <w:rFonts w:ascii="Verdana" w:hAnsi="Verdana"/>
          <w:sz w:val="20"/>
          <w:szCs w:val="20"/>
        </w:rPr>
        <w:t xml:space="preserve"> </w:t>
      </w:r>
    </w:p>
    <w:p w14:paraId="3148AA64" w14:textId="77777777" w:rsidR="00EF3A27" w:rsidRDefault="00EF3A27" w:rsidP="00EF3A27">
      <w:pPr>
        <w:pStyle w:val="ListParagraph"/>
        <w:numPr>
          <w:ilvl w:val="0"/>
          <w:numId w:val="0"/>
        </w:numPr>
      </w:pPr>
    </w:p>
    <w:p w14:paraId="14D8BB2C" w14:textId="63C73607" w:rsidR="00747AE3" w:rsidRPr="006746B8" w:rsidRDefault="00E55E6A" w:rsidP="00EF3A27">
      <w:pPr>
        <w:numPr>
          <w:ilvl w:val="0"/>
          <w:numId w:val="3"/>
        </w:numPr>
        <w:spacing w:after="0" w:line="240" w:lineRule="auto"/>
        <w:ind w:right="18"/>
        <w:jc w:val="both"/>
        <w:rPr>
          <w:rFonts w:ascii="Verdana" w:hAnsi="Verdana"/>
          <w:sz w:val="20"/>
          <w:szCs w:val="20"/>
        </w:rPr>
      </w:pPr>
      <w:r w:rsidRPr="006746B8">
        <w:rPr>
          <w:rFonts w:ascii="Verdana" w:hAnsi="Verdana"/>
          <w:sz w:val="20"/>
          <w:szCs w:val="20"/>
        </w:rPr>
        <w:t xml:space="preserve">Sin perjuicio de lo anterior, </w:t>
      </w:r>
      <w:r w:rsidR="00747AE3" w:rsidRPr="006746B8">
        <w:rPr>
          <w:rFonts w:ascii="Verdana" w:hAnsi="Verdana"/>
          <w:sz w:val="20"/>
          <w:szCs w:val="20"/>
        </w:rPr>
        <w:t xml:space="preserve">la Corte </w:t>
      </w:r>
      <w:r w:rsidR="004A1B32" w:rsidRPr="006746B8">
        <w:rPr>
          <w:rFonts w:ascii="Verdana" w:hAnsi="Verdana"/>
          <w:sz w:val="20"/>
          <w:szCs w:val="20"/>
        </w:rPr>
        <w:t>destaca</w:t>
      </w:r>
      <w:r w:rsidR="00747AE3" w:rsidRPr="006746B8">
        <w:rPr>
          <w:rFonts w:ascii="Verdana" w:hAnsi="Verdana"/>
          <w:sz w:val="20"/>
          <w:szCs w:val="20"/>
        </w:rPr>
        <w:t xml:space="preserve"> que, </w:t>
      </w:r>
      <w:r w:rsidR="00CF4C81" w:rsidRPr="006746B8">
        <w:rPr>
          <w:rFonts w:ascii="Verdana" w:hAnsi="Verdana"/>
          <w:sz w:val="20"/>
          <w:szCs w:val="20"/>
        </w:rPr>
        <w:t xml:space="preserve">el </w:t>
      </w:r>
      <w:r w:rsidR="00747AE3" w:rsidRPr="006746B8">
        <w:rPr>
          <w:rFonts w:ascii="Verdana" w:hAnsi="Verdana"/>
          <w:sz w:val="20"/>
          <w:szCs w:val="20"/>
        </w:rPr>
        <w:t>19 de diciembre de 2016, el Estado comunicó que ha designado</w:t>
      </w:r>
      <w:r w:rsidR="004A1B32" w:rsidRPr="006746B8">
        <w:rPr>
          <w:rFonts w:ascii="Verdana" w:hAnsi="Verdana"/>
          <w:sz w:val="20"/>
          <w:szCs w:val="20"/>
        </w:rPr>
        <w:t xml:space="preserve"> al señor Larry Devoe M</w:t>
      </w:r>
      <w:r w:rsidR="00C431A9">
        <w:rPr>
          <w:rFonts w:ascii="Verdana" w:hAnsi="Verdana"/>
          <w:sz w:val="20"/>
          <w:szCs w:val="20"/>
        </w:rPr>
        <w:t>á</w:t>
      </w:r>
      <w:r w:rsidR="004A1B32" w:rsidRPr="006746B8">
        <w:rPr>
          <w:rFonts w:ascii="Verdana" w:hAnsi="Verdana"/>
          <w:sz w:val="20"/>
          <w:szCs w:val="20"/>
        </w:rPr>
        <w:t xml:space="preserve">rquez </w:t>
      </w:r>
      <w:r w:rsidR="00747AE3" w:rsidRPr="006746B8">
        <w:rPr>
          <w:rFonts w:ascii="Verdana" w:hAnsi="Verdana"/>
          <w:sz w:val="20"/>
          <w:szCs w:val="20"/>
        </w:rPr>
        <w:t>como su Agente para los Derechos Humanos ante el Sistema</w:t>
      </w:r>
      <w:r w:rsidR="004A1B32" w:rsidRPr="006746B8">
        <w:rPr>
          <w:rFonts w:ascii="Verdana" w:hAnsi="Verdana"/>
          <w:sz w:val="20"/>
          <w:szCs w:val="20"/>
        </w:rPr>
        <w:t xml:space="preserve"> I</w:t>
      </w:r>
      <w:r w:rsidR="006746B8" w:rsidRPr="006746B8">
        <w:rPr>
          <w:rFonts w:ascii="Verdana" w:hAnsi="Verdana"/>
          <w:sz w:val="20"/>
          <w:szCs w:val="20"/>
        </w:rPr>
        <w:t>nteramericano e Internacional y, en particular, para el presente caso</w:t>
      </w:r>
      <w:r w:rsidR="00747AE3" w:rsidRPr="006746B8">
        <w:rPr>
          <w:rFonts w:ascii="Verdana" w:hAnsi="Verdana"/>
          <w:sz w:val="20"/>
          <w:szCs w:val="20"/>
        </w:rPr>
        <w:t>.</w:t>
      </w:r>
    </w:p>
    <w:p w14:paraId="37AA631F" w14:textId="77777777" w:rsidR="00747AE3" w:rsidRDefault="00747AE3" w:rsidP="00747AE3">
      <w:pPr>
        <w:spacing w:after="0" w:line="240" w:lineRule="auto"/>
        <w:ind w:right="18"/>
        <w:jc w:val="both"/>
        <w:rPr>
          <w:rFonts w:ascii="Verdana" w:hAnsi="Verdana"/>
          <w:sz w:val="20"/>
          <w:szCs w:val="20"/>
        </w:rPr>
      </w:pPr>
    </w:p>
    <w:p w14:paraId="4BBD7D1E" w14:textId="347322AB" w:rsidR="006F654E" w:rsidRPr="00EF3A27" w:rsidRDefault="00747AE3" w:rsidP="00EF3A27">
      <w:pPr>
        <w:numPr>
          <w:ilvl w:val="0"/>
          <w:numId w:val="3"/>
        </w:numPr>
        <w:spacing w:after="0" w:line="240" w:lineRule="auto"/>
        <w:ind w:right="18"/>
        <w:jc w:val="both"/>
        <w:rPr>
          <w:rFonts w:ascii="Verdana" w:hAnsi="Verdana"/>
          <w:sz w:val="20"/>
          <w:szCs w:val="20"/>
        </w:rPr>
      </w:pPr>
      <w:r w:rsidRPr="006746B8">
        <w:rPr>
          <w:rFonts w:ascii="Verdana" w:hAnsi="Verdana"/>
          <w:sz w:val="20"/>
          <w:szCs w:val="20"/>
        </w:rPr>
        <w:t>Además,</w:t>
      </w:r>
      <w:r w:rsidRPr="00747AE3">
        <w:rPr>
          <w:rFonts w:ascii="Verdana" w:hAnsi="Verdana"/>
          <w:b/>
          <w:sz w:val="20"/>
          <w:szCs w:val="20"/>
        </w:rPr>
        <w:t xml:space="preserve"> </w:t>
      </w:r>
      <w:r w:rsidR="00E55E6A" w:rsidRPr="00EF3A27">
        <w:rPr>
          <w:rFonts w:ascii="Verdana" w:hAnsi="Verdana"/>
          <w:sz w:val="20"/>
          <w:szCs w:val="20"/>
        </w:rPr>
        <w:t xml:space="preserve">la Corte estima oportuno recordar que </w:t>
      </w:r>
      <w:r w:rsidR="006F654E" w:rsidRPr="00EF3A27">
        <w:rPr>
          <w:rFonts w:ascii="Verdana" w:hAnsi="Verdana"/>
          <w:sz w:val="20"/>
          <w:szCs w:val="20"/>
        </w:rPr>
        <w:t>la objetividad del perito puede ser evaluada por el Tribunal al analizar qué tan precisos, claros y suficientes son los argumentos técnicos desarrollados en el dictamen que rendirá</w:t>
      </w:r>
      <w:r w:rsidR="00E55E6A" w:rsidRPr="00EF3A27">
        <w:rPr>
          <w:rFonts w:ascii="Verdana" w:hAnsi="Verdana"/>
          <w:sz w:val="20"/>
          <w:szCs w:val="20"/>
        </w:rPr>
        <w:t>, ya sea</w:t>
      </w:r>
      <w:r w:rsidR="006F654E" w:rsidRPr="00EF3A27">
        <w:rPr>
          <w:rFonts w:ascii="Verdana" w:hAnsi="Verdana"/>
          <w:sz w:val="20"/>
          <w:szCs w:val="20"/>
        </w:rPr>
        <w:t xml:space="preserve"> durante la audiencia pública</w:t>
      </w:r>
      <w:r w:rsidR="00E55E6A" w:rsidRPr="00EF3A27">
        <w:rPr>
          <w:rFonts w:ascii="Verdana" w:hAnsi="Verdana"/>
          <w:sz w:val="20"/>
          <w:szCs w:val="20"/>
        </w:rPr>
        <w:t xml:space="preserve"> o por afidávit</w:t>
      </w:r>
      <w:r w:rsidR="006F654E" w:rsidRPr="00EF3A27">
        <w:rPr>
          <w:rFonts w:ascii="Verdana" w:hAnsi="Verdana"/>
          <w:sz w:val="20"/>
          <w:szCs w:val="20"/>
        </w:rPr>
        <w:t>, toda vez que al valorar cualquier prueba de carácter pericial la Corte puede determinar si eventuales imprecisiones e insuficiencias permiten rechazar algunas conclusiones por su falta</w:t>
      </w:r>
      <w:r w:rsidR="00E55E6A" w:rsidRPr="00EF3A27">
        <w:rPr>
          <w:rFonts w:ascii="Verdana" w:hAnsi="Verdana"/>
          <w:sz w:val="20"/>
          <w:szCs w:val="20"/>
        </w:rPr>
        <w:t xml:space="preserve"> de objetividad o de fundamento</w:t>
      </w:r>
      <w:r w:rsidR="006F654E" w:rsidRPr="00E55E6A">
        <w:rPr>
          <w:rStyle w:val="FootnoteReference"/>
          <w:sz w:val="20"/>
          <w:szCs w:val="20"/>
          <w:lang w:bidi="en-US"/>
        </w:rPr>
        <w:footnoteReference w:id="4"/>
      </w:r>
      <w:r w:rsidR="006F654E" w:rsidRPr="00EF3A27">
        <w:rPr>
          <w:rFonts w:ascii="Verdana" w:hAnsi="Verdana" w:cs="Verdana"/>
          <w:sz w:val="20"/>
          <w:szCs w:val="20"/>
          <w:lang w:bidi="en-US"/>
        </w:rPr>
        <w:t>.</w:t>
      </w:r>
      <w:r w:rsidR="00E55E6A" w:rsidRPr="00EF3A27">
        <w:rPr>
          <w:rFonts w:ascii="Verdana" w:hAnsi="Verdana" w:cs="Verdana"/>
          <w:sz w:val="20"/>
          <w:szCs w:val="20"/>
          <w:lang w:bidi="en-US"/>
        </w:rPr>
        <w:t xml:space="preserve"> En este sentido, </w:t>
      </w:r>
      <w:r w:rsidR="00E55E6A" w:rsidRPr="00EF3A27">
        <w:rPr>
          <w:rFonts w:ascii="Verdana" w:hAnsi="Verdana"/>
          <w:color w:val="000000"/>
          <w:sz w:val="20"/>
          <w:szCs w:val="20"/>
        </w:rPr>
        <w:t xml:space="preserve">la recepción de todas las declaraciones ofrecidas como dictámenes periciales no afecta, en modo alguno, la valoración sobre su contenido, valor </w:t>
      </w:r>
      <w:r w:rsidR="004F4582">
        <w:rPr>
          <w:rFonts w:ascii="Verdana" w:hAnsi="Verdana"/>
          <w:color w:val="000000"/>
          <w:sz w:val="20"/>
          <w:szCs w:val="20"/>
        </w:rPr>
        <w:t xml:space="preserve">probatorio </w:t>
      </w:r>
      <w:r w:rsidR="00E55E6A" w:rsidRPr="00EF3A27">
        <w:rPr>
          <w:rFonts w:ascii="Verdana" w:hAnsi="Verdana"/>
          <w:color w:val="000000"/>
          <w:sz w:val="20"/>
          <w:szCs w:val="20"/>
        </w:rPr>
        <w:t>o pertinencia</w:t>
      </w:r>
      <w:r w:rsidR="00C03D18">
        <w:rPr>
          <w:rFonts w:ascii="Verdana" w:hAnsi="Verdana"/>
          <w:color w:val="000000"/>
          <w:sz w:val="20"/>
          <w:szCs w:val="20"/>
        </w:rPr>
        <w:t>, lo</w:t>
      </w:r>
      <w:r w:rsidR="00E55E6A" w:rsidRPr="00EF3A27">
        <w:rPr>
          <w:rFonts w:ascii="Verdana" w:hAnsi="Verdana"/>
          <w:color w:val="000000"/>
          <w:sz w:val="20"/>
          <w:szCs w:val="20"/>
        </w:rPr>
        <w:t xml:space="preserve"> que corresponderá realizar </w:t>
      </w:r>
      <w:r w:rsidR="00842B38">
        <w:rPr>
          <w:rFonts w:ascii="Verdana" w:hAnsi="Verdana"/>
          <w:color w:val="000000"/>
          <w:sz w:val="20"/>
          <w:szCs w:val="20"/>
        </w:rPr>
        <w:t xml:space="preserve">al Tribunal </w:t>
      </w:r>
      <w:r w:rsidR="00E55E6A" w:rsidRPr="00EF3A27">
        <w:rPr>
          <w:rFonts w:ascii="Verdana" w:hAnsi="Verdana"/>
          <w:color w:val="000000"/>
          <w:sz w:val="20"/>
          <w:szCs w:val="20"/>
        </w:rPr>
        <w:t>en el momento procesal oportuno, tomando en cuenta las observaciones válidas y pertinente</w:t>
      </w:r>
      <w:r w:rsidR="00EF3A27">
        <w:rPr>
          <w:rFonts w:ascii="Verdana" w:hAnsi="Verdana"/>
          <w:color w:val="000000"/>
          <w:sz w:val="20"/>
          <w:szCs w:val="20"/>
        </w:rPr>
        <w:t>s</w:t>
      </w:r>
      <w:r w:rsidR="00E55E6A" w:rsidRPr="00EF3A27">
        <w:rPr>
          <w:rFonts w:ascii="Verdana" w:hAnsi="Verdana"/>
          <w:color w:val="000000"/>
          <w:sz w:val="20"/>
          <w:szCs w:val="20"/>
        </w:rPr>
        <w:t xml:space="preserve"> que presenten las partes en los términos del punto resolutivo decimosexto de la referida </w:t>
      </w:r>
      <w:r w:rsidR="00E55E6A" w:rsidRPr="00EF3A27">
        <w:rPr>
          <w:rFonts w:ascii="Verdana" w:hAnsi="Verdana"/>
          <w:sz w:val="20"/>
          <w:szCs w:val="20"/>
        </w:rPr>
        <w:t>Resolución del Presidente.</w:t>
      </w:r>
    </w:p>
    <w:p w14:paraId="3F75C9FB" w14:textId="77777777" w:rsidR="002339F9" w:rsidRPr="00A32108" w:rsidRDefault="002339F9" w:rsidP="00015762">
      <w:pPr>
        <w:spacing w:after="0"/>
        <w:jc w:val="both"/>
        <w:rPr>
          <w:rFonts w:ascii="Verdana" w:hAnsi="Verdana" w:cs="Verdana"/>
          <w:b/>
          <w:bCs/>
          <w:sz w:val="20"/>
          <w:szCs w:val="20"/>
        </w:rPr>
      </w:pPr>
    </w:p>
    <w:p w14:paraId="3896B33E" w14:textId="77777777" w:rsidR="00015762" w:rsidRDefault="00015762" w:rsidP="00015762">
      <w:pPr>
        <w:spacing w:after="0"/>
        <w:jc w:val="both"/>
        <w:rPr>
          <w:rFonts w:ascii="Verdana" w:hAnsi="Verdana" w:cs="Verdana"/>
          <w:b/>
          <w:bCs/>
          <w:sz w:val="20"/>
          <w:szCs w:val="20"/>
          <w:lang w:val="es-CR"/>
        </w:rPr>
      </w:pPr>
      <w:r>
        <w:rPr>
          <w:rFonts w:ascii="Verdana" w:hAnsi="Verdana" w:cs="Verdana"/>
          <w:b/>
          <w:bCs/>
          <w:sz w:val="20"/>
          <w:szCs w:val="20"/>
          <w:lang w:val="es-CR"/>
        </w:rPr>
        <w:t>POR TANTO:</w:t>
      </w:r>
    </w:p>
    <w:p w14:paraId="77A70F96" w14:textId="77777777" w:rsidR="00015762" w:rsidRDefault="00015762" w:rsidP="00015762">
      <w:pPr>
        <w:spacing w:after="0"/>
        <w:jc w:val="both"/>
        <w:rPr>
          <w:rFonts w:ascii="Verdana" w:hAnsi="Verdana" w:cs="Verdana"/>
          <w:b/>
          <w:bCs/>
          <w:sz w:val="20"/>
          <w:szCs w:val="20"/>
          <w:lang w:val="es-CR"/>
        </w:rPr>
      </w:pPr>
    </w:p>
    <w:p w14:paraId="5F0DDCAF" w14:textId="77777777" w:rsidR="00015762" w:rsidRDefault="00015762" w:rsidP="00015762">
      <w:pPr>
        <w:spacing w:after="0"/>
        <w:jc w:val="both"/>
        <w:rPr>
          <w:rFonts w:ascii="Verdana" w:hAnsi="Verdana" w:cs="Verdana"/>
          <w:b/>
          <w:bCs/>
          <w:sz w:val="20"/>
          <w:szCs w:val="20"/>
          <w:lang w:val="es-CR"/>
        </w:rPr>
      </w:pPr>
      <w:r>
        <w:rPr>
          <w:rFonts w:ascii="Verdana" w:hAnsi="Verdana" w:cs="Verdana"/>
          <w:b/>
          <w:bCs/>
          <w:sz w:val="20"/>
          <w:szCs w:val="20"/>
          <w:lang w:val="es-CR"/>
        </w:rPr>
        <w:t xml:space="preserve">LA CORTE INTERAMERICANA DE DERECHOS HUMANOS, </w:t>
      </w:r>
    </w:p>
    <w:p w14:paraId="499EB273" w14:textId="77777777" w:rsidR="00015762" w:rsidRDefault="00015762" w:rsidP="00015762">
      <w:pPr>
        <w:autoSpaceDE w:val="0"/>
        <w:autoSpaceDN w:val="0"/>
        <w:adjustRightInd w:val="0"/>
        <w:spacing w:after="0"/>
        <w:ind w:right="18"/>
        <w:jc w:val="both"/>
        <w:rPr>
          <w:rFonts w:ascii="Garamond" w:hAnsi="Garamond"/>
          <w:lang w:val="es-CR"/>
        </w:rPr>
      </w:pPr>
    </w:p>
    <w:p w14:paraId="6830D20C" w14:textId="77777777" w:rsidR="00015762" w:rsidRDefault="00015762" w:rsidP="00015762">
      <w:pPr>
        <w:autoSpaceDE w:val="0"/>
        <w:autoSpaceDN w:val="0"/>
        <w:adjustRightInd w:val="0"/>
        <w:spacing w:after="0"/>
        <w:ind w:right="18"/>
        <w:jc w:val="both"/>
        <w:rPr>
          <w:rFonts w:ascii="Verdana" w:hAnsi="Verdana" w:cs="Verdana"/>
          <w:b/>
          <w:bCs/>
          <w:sz w:val="20"/>
          <w:szCs w:val="20"/>
          <w:lang w:val="es-ES"/>
        </w:rPr>
      </w:pPr>
      <w:r>
        <w:rPr>
          <w:rFonts w:ascii="Verdana" w:hAnsi="Verdana" w:cs="Verdana"/>
          <w:sz w:val="20"/>
          <w:szCs w:val="20"/>
          <w:lang w:val="es-ES"/>
        </w:rPr>
        <w:t xml:space="preserve">de conformidad con el artículo 25.2 del Estatuto de la Corte y con el </w:t>
      </w:r>
      <w:r>
        <w:rPr>
          <w:rFonts w:ascii="Verdana" w:hAnsi="Verdana" w:cs="Verdana"/>
          <w:sz w:val="20"/>
          <w:szCs w:val="20"/>
        </w:rPr>
        <w:t>artículo 31.2 del Reglamento</w:t>
      </w:r>
      <w:r>
        <w:rPr>
          <w:rFonts w:ascii="Verdana" w:hAnsi="Verdana" w:cs="Verdana"/>
          <w:sz w:val="20"/>
          <w:szCs w:val="20"/>
          <w:lang w:val="es-ES"/>
        </w:rPr>
        <w:t xml:space="preserve">, </w:t>
      </w:r>
    </w:p>
    <w:p w14:paraId="261E6709" w14:textId="77777777" w:rsidR="00015762" w:rsidRDefault="00015762" w:rsidP="00015762">
      <w:pPr>
        <w:autoSpaceDE w:val="0"/>
        <w:autoSpaceDN w:val="0"/>
        <w:adjustRightInd w:val="0"/>
        <w:spacing w:after="0"/>
        <w:ind w:right="18"/>
        <w:jc w:val="both"/>
        <w:rPr>
          <w:rFonts w:ascii="Verdana" w:hAnsi="Verdana" w:cs="Verdana"/>
          <w:b/>
          <w:bCs/>
          <w:sz w:val="20"/>
          <w:szCs w:val="20"/>
          <w:lang w:val="es-ES"/>
        </w:rPr>
      </w:pPr>
    </w:p>
    <w:p w14:paraId="77637B90" w14:textId="77777777" w:rsidR="00015762" w:rsidRDefault="00015762" w:rsidP="00015762">
      <w:pPr>
        <w:autoSpaceDE w:val="0"/>
        <w:autoSpaceDN w:val="0"/>
        <w:adjustRightInd w:val="0"/>
        <w:spacing w:after="0"/>
        <w:ind w:right="18"/>
        <w:jc w:val="both"/>
        <w:rPr>
          <w:rFonts w:ascii="Verdana" w:hAnsi="Verdana" w:cs="Verdana"/>
          <w:b/>
          <w:bCs/>
          <w:sz w:val="20"/>
          <w:szCs w:val="20"/>
          <w:lang w:val="es-ES"/>
        </w:rPr>
      </w:pPr>
      <w:r>
        <w:rPr>
          <w:rFonts w:ascii="Verdana" w:hAnsi="Verdana" w:cs="Verdana"/>
          <w:b/>
          <w:bCs/>
          <w:sz w:val="20"/>
          <w:szCs w:val="20"/>
          <w:lang w:val="es-ES"/>
        </w:rPr>
        <w:t>RESUELVE:</w:t>
      </w:r>
    </w:p>
    <w:p w14:paraId="3E884577" w14:textId="77777777" w:rsidR="00015762" w:rsidRDefault="00015762" w:rsidP="00015762">
      <w:pPr>
        <w:autoSpaceDE w:val="0"/>
        <w:autoSpaceDN w:val="0"/>
        <w:adjustRightInd w:val="0"/>
        <w:spacing w:after="0"/>
        <w:ind w:right="18"/>
        <w:jc w:val="both"/>
        <w:rPr>
          <w:rFonts w:ascii="Verdana" w:hAnsi="Verdana" w:cs="Verdana"/>
          <w:sz w:val="20"/>
          <w:szCs w:val="20"/>
          <w:lang w:val="es-ES"/>
        </w:rPr>
      </w:pPr>
    </w:p>
    <w:p w14:paraId="1D683C58" w14:textId="77777777" w:rsidR="00015762" w:rsidRDefault="002339F9" w:rsidP="00015762">
      <w:pPr>
        <w:pStyle w:val="ListParagraph"/>
        <w:numPr>
          <w:ilvl w:val="0"/>
          <w:numId w:val="5"/>
        </w:numPr>
        <w:tabs>
          <w:tab w:val="left" w:pos="708"/>
        </w:tabs>
        <w:ind w:left="0" w:right="18" w:firstLine="0"/>
        <w:rPr>
          <w:lang w:val="es-CR"/>
        </w:rPr>
      </w:pPr>
      <w:r>
        <w:t>Declarar improcedente</w:t>
      </w:r>
      <w:r w:rsidR="00015762">
        <w:t xml:space="preserve"> la impugnación interpuesta por el Estado respecto de la </w:t>
      </w:r>
      <w:r>
        <w:t>Resolución del</w:t>
      </w:r>
      <w:r w:rsidR="00015762">
        <w:t xml:space="preserve"> Presidente de la Corte de </w:t>
      </w:r>
      <w:r>
        <w:t>20 de diciembre de 2016</w:t>
      </w:r>
      <w:r w:rsidR="00015762">
        <w:t>.</w:t>
      </w:r>
    </w:p>
    <w:p w14:paraId="42DFB943" w14:textId="77777777" w:rsidR="00015762" w:rsidRDefault="00015762" w:rsidP="00015762">
      <w:pPr>
        <w:pStyle w:val="ListParagraph"/>
        <w:numPr>
          <w:ilvl w:val="0"/>
          <w:numId w:val="0"/>
        </w:numPr>
        <w:tabs>
          <w:tab w:val="left" w:pos="708"/>
        </w:tabs>
        <w:ind w:right="18"/>
        <w:rPr>
          <w:lang w:val="es-CR"/>
        </w:rPr>
      </w:pPr>
    </w:p>
    <w:p w14:paraId="1BD30926" w14:textId="77777777" w:rsidR="00015762" w:rsidRDefault="00015762" w:rsidP="00015762">
      <w:pPr>
        <w:pStyle w:val="ListParagraph"/>
        <w:numPr>
          <w:ilvl w:val="0"/>
          <w:numId w:val="5"/>
        </w:numPr>
        <w:tabs>
          <w:tab w:val="left" w:pos="708"/>
        </w:tabs>
        <w:ind w:left="0" w:right="18" w:firstLine="0"/>
        <w:rPr>
          <w:lang w:val="es-CR"/>
        </w:rPr>
      </w:pPr>
      <w:r>
        <w:rPr>
          <w:lang w:val="es-CR"/>
        </w:rPr>
        <w:t>Continuar con la tramitación del presente caso en los términos dispuestos por el Presidente de la Corte</w:t>
      </w:r>
      <w:r w:rsidR="002339F9">
        <w:rPr>
          <w:lang w:val="es-CR"/>
        </w:rPr>
        <w:t xml:space="preserve"> en la referida Resolución</w:t>
      </w:r>
      <w:r>
        <w:rPr>
          <w:lang w:val="es-CR"/>
        </w:rPr>
        <w:t>.</w:t>
      </w:r>
    </w:p>
    <w:p w14:paraId="0A12A710" w14:textId="77777777" w:rsidR="00015762" w:rsidRDefault="00015762" w:rsidP="00015762">
      <w:pPr>
        <w:pStyle w:val="ListParagraph"/>
        <w:numPr>
          <w:ilvl w:val="0"/>
          <w:numId w:val="0"/>
        </w:numPr>
        <w:tabs>
          <w:tab w:val="left" w:pos="708"/>
        </w:tabs>
        <w:ind w:right="18"/>
      </w:pPr>
    </w:p>
    <w:p w14:paraId="089FC365" w14:textId="77777777" w:rsidR="00015762" w:rsidRDefault="00015762" w:rsidP="00015762">
      <w:pPr>
        <w:pStyle w:val="ListParagraph"/>
        <w:numPr>
          <w:ilvl w:val="0"/>
          <w:numId w:val="5"/>
        </w:numPr>
        <w:tabs>
          <w:tab w:val="left" w:pos="708"/>
        </w:tabs>
        <w:ind w:left="0" w:right="18" w:firstLine="0"/>
      </w:pPr>
      <w:r>
        <w:rPr>
          <w:color w:val="000000"/>
          <w:lang w:val="es-CR" w:eastAsia="es-ES"/>
        </w:rPr>
        <w:t>Disponer que la Secretaría de la Corte Interamericana notifique la presente Resolución a</w:t>
      </w:r>
      <w:r w:rsidR="002339F9">
        <w:rPr>
          <w:color w:val="000000"/>
          <w:lang w:val="es-CR" w:eastAsia="es-ES"/>
        </w:rPr>
        <w:t xml:space="preserve">l Estado, al representante </w:t>
      </w:r>
      <w:r>
        <w:rPr>
          <w:color w:val="000000"/>
          <w:lang w:val="es-CR" w:eastAsia="es-ES"/>
        </w:rPr>
        <w:t>de las pr</w:t>
      </w:r>
      <w:r w:rsidR="002339F9">
        <w:rPr>
          <w:color w:val="000000"/>
          <w:lang w:val="es-CR" w:eastAsia="es-ES"/>
        </w:rPr>
        <w:t>esuntas víctimas y a la Comisión Interamericana</w:t>
      </w:r>
      <w:r>
        <w:rPr>
          <w:color w:val="000000"/>
          <w:lang w:val="es-CR" w:eastAsia="es-ES"/>
        </w:rPr>
        <w:t>.</w:t>
      </w:r>
      <w:r>
        <w:t xml:space="preserve"> </w:t>
      </w:r>
    </w:p>
    <w:p w14:paraId="6B324C86" w14:textId="2DDA86DA" w:rsidR="00D41E9A" w:rsidRDefault="00D41E9A">
      <w:r>
        <w:br w:type="page"/>
      </w:r>
    </w:p>
    <w:p w14:paraId="0AAF1B0B" w14:textId="77777777" w:rsidR="00015762" w:rsidRDefault="00015762" w:rsidP="00015762">
      <w:pPr>
        <w:jc w:val="both"/>
        <w:rPr>
          <w:rFonts w:ascii="Verdana" w:hAnsi="Verdana"/>
          <w:sz w:val="20"/>
          <w:lang w:val="es-CR"/>
        </w:rPr>
      </w:pPr>
      <w:r>
        <w:rPr>
          <w:rFonts w:ascii="Verdana" w:hAnsi="Verdana"/>
          <w:sz w:val="20"/>
          <w:lang w:val="es-CR"/>
        </w:rPr>
        <w:lastRenderedPageBreak/>
        <w:t>Resolución de la Corte Interamericana de Derechos Humanos, caso San Miguel Sosa y otros vs. Venezuela.</w:t>
      </w:r>
    </w:p>
    <w:p w14:paraId="7AAD2C84" w14:textId="77777777" w:rsidR="00015762" w:rsidRDefault="00015762" w:rsidP="00015762">
      <w:pPr>
        <w:spacing w:after="0"/>
        <w:jc w:val="both"/>
        <w:rPr>
          <w:rFonts w:ascii="Verdana" w:hAnsi="Verdana"/>
          <w:sz w:val="20"/>
          <w:lang w:val="es-CR"/>
        </w:rPr>
      </w:pPr>
    </w:p>
    <w:p w14:paraId="6091B4A5" w14:textId="77777777" w:rsidR="00015762" w:rsidRDefault="00015762" w:rsidP="00015762">
      <w:pPr>
        <w:spacing w:after="0"/>
        <w:jc w:val="both"/>
        <w:rPr>
          <w:rFonts w:ascii="Verdana" w:hAnsi="Verdana"/>
          <w:sz w:val="20"/>
          <w:lang w:val="es-CR"/>
        </w:rPr>
      </w:pPr>
    </w:p>
    <w:p w14:paraId="50CBFEF9" w14:textId="77777777" w:rsidR="00015762" w:rsidRDefault="00015762" w:rsidP="00015762">
      <w:pPr>
        <w:spacing w:after="0" w:line="240" w:lineRule="auto"/>
        <w:jc w:val="both"/>
        <w:rPr>
          <w:rFonts w:ascii="Verdana" w:hAnsi="Verdana"/>
          <w:sz w:val="20"/>
          <w:szCs w:val="20"/>
        </w:rPr>
      </w:pPr>
    </w:p>
    <w:p w14:paraId="3D0178EA" w14:textId="77777777" w:rsidR="00015762" w:rsidRDefault="00015762" w:rsidP="00015762">
      <w:pPr>
        <w:spacing w:after="0" w:line="240" w:lineRule="auto"/>
        <w:jc w:val="both"/>
        <w:rPr>
          <w:rFonts w:ascii="Verdana" w:hAnsi="Verdana"/>
          <w:sz w:val="20"/>
          <w:szCs w:val="20"/>
        </w:rPr>
      </w:pPr>
    </w:p>
    <w:p w14:paraId="7C887668" w14:textId="77777777" w:rsidR="00015762" w:rsidRDefault="00015762" w:rsidP="00015762">
      <w:pPr>
        <w:spacing w:after="0" w:line="240" w:lineRule="auto"/>
        <w:jc w:val="center"/>
        <w:rPr>
          <w:rFonts w:ascii="Verdana" w:hAnsi="Verdana"/>
          <w:sz w:val="20"/>
          <w:szCs w:val="20"/>
        </w:rPr>
      </w:pPr>
      <w:r>
        <w:rPr>
          <w:rFonts w:ascii="Verdana" w:hAnsi="Verdana"/>
          <w:sz w:val="20"/>
          <w:szCs w:val="20"/>
        </w:rPr>
        <w:t>Roberto F. Caldas</w:t>
      </w:r>
    </w:p>
    <w:p w14:paraId="1A3365F9" w14:textId="77777777" w:rsidR="00015762" w:rsidRDefault="00015762" w:rsidP="00015762">
      <w:pPr>
        <w:spacing w:after="0" w:line="240" w:lineRule="auto"/>
        <w:jc w:val="center"/>
        <w:rPr>
          <w:rFonts w:ascii="Verdana" w:hAnsi="Verdana"/>
          <w:sz w:val="20"/>
          <w:szCs w:val="20"/>
        </w:rPr>
      </w:pPr>
      <w:r>
        <w:rPr>
          <w:rFonts w:ascii="Verdana" w:hAnsi="Verdana"/>
          <w:sz w:val="20"/>
          <w:szCs w:val="20"/>
        </w:rPr>
        <w:t>Presidente</w:t>
      </w:r>
    </w:p>
    <w:p w14:paraId="40DBD467" w14:textId="77777777" w:rsidR="00015762" w:rsidRDefault="00015762" w:rsidP="00015762">
      <w:pPr>
        <w:spacing w:after="0" w:line="240" w:lineRule="auto"/>
        <w:jc w:val="both"/>
        <w:rPr>
          <w:rFonts w:ascii="Verdana" w:hAnsi="Verdana"/>
          <w:sz w:val="20"/>
          <w:szCs w:val="20"/>
        </w:rPr>
      </w:pPr>
    </w:p>
    <w:p w14:paraId="4C70502E" w14:textId="77777777" w:rsidR="00015762" w:rsidRDefault="00015762" w:rsidP="00015762">
      <w:pPr>
        <w:spacing w:after="0" w:line="240" w:lineRule="auto"/>
        <w:jc w:val="both"/>
        <w:rPr>
          <w:rFonts w:ascii="Verdana" w:hAnsi="Verdana"/>
          <w:sz w:val="20"/>
          <w:szCs w:val="20"/>
        </w:rPr>
      </w:pPr>
    </w:p>
    <w:p w14:paraId="0BC0C99C" w14:textId="77777777" w:rsidR="00015762" w:rsidRDefault="00015762" w:rsidP="00015762">
      <w:pPr>
        <w:spacing w:after="0" w:line="240" w:lineRule="auto"/>
        <w:jc w:val="both"/>
        <w:rPr>
          <w:rFonts w:ascii="Verdana" w:hAnsi="Verdana"/>
          <w:sz w:val="20"/>
          <w:szCs w:val="20"/>
        </w:rPr>
      </w:pPr>
    </w:p>
    <w:p w14:paraId="7E03116D" w14:textId="77777777" w:rsidR="00015762" w:rsidRDefault="00015762" w:rsidP="00015762">
      <w:pPr>
        <w:spacing w:after="0" w:line="240" w:lineRule="auto"/>
        <w:jc w:val="both"/>
        <w:rPr>
          <w:rFonts w:ascii="Verdana" w:hAnsi="Verdana"/>
          <w:sz w:val="20"/>
          <w:szCs w:val="20"/>
        </w:rPr>
      </w:pPr>
    </w:p>
    <w:p w14:paraId="56C085CC" w14:textId="77777777" w:rsidR="00015762" w:rsidRDefault="00015762" w:rsidP="00015762">
      <w:pPr>
        <w:spacing w:after="0" w:line="240" w:lineRule="auto"/>
        <w:jc w:val="both"/>
        <w:rPr>
          <w:rFonts w:ascii="Verdana" w:hAnsi="Verdana"/>
          <w:sz w:val="20"/>
          <w:szCs w:val="20"/>
        </w:rPr>
      </w:pPr>
    </w:p>
    <w:p w14:paraId="32D9BF0C" w14:textId="77777777" w:rsidR="00015762" w:rsidRDefault="00015762" w:rsidP="00015762">
      <w:pPr>
        <w:spacing w:after="0" w:line="240" w:lineRule="auto"/>
        <w:jc w:val="both"/>
        <w:rPr>
          <w:rFonts w:ascii="Verdana" w:hAnsi="Verdana"/>
          <w:sz w:val="20"/>
          <w:szCs w:val="20"/>
        </w:rPr>
      </w:pPr>
      <w:r>
        <w:rPr>
          <w:rFonts w:ascii="Verdana" w:hAnsi="Verdana"/>
          <w:sz w:val="20"/>
          <w:szCs w:val="20"/>
        </w:rPr>
        <w:t>Eduardo Ferrer Mac-Gregor Poisot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Eduardo Vio Grossi </w:t>
      </w:r>
    </w:p>
    <w:p w14:paraId="66830453" w14:textId="77777777" w:rsidR="00015762" w:rsidRDefault="00015762" w:rsidP="00015762">
      <w:pPr>
        <w:spacing w:after="0" w:line="240" w:lineRule="auto"/>
        <w:jc w:val="both"/>
        <w:rPr>
          <w:rFonts w:ascii="Verdana" w:hAnsi="Verdana"/>
          <w:sz w:val="20"/>
          <w:szCs w:val="20"/>
        </w:rPr>
      </w:pPr>
    </w:p>
    <w:p w14:paraId="4B49E39B" w14:textId="77777777" w:rsidR="00015762" w:rsidRDefault="00015762" w:rsidP="00015762">
      <w:pPr>
        <w:spacing w:after="0" w:line="240" w:lineRule="auto"/>
        <w:jc w:val="both"/>
        <w:rPr>
          <w:rFonts w:ascii="Verdana" w:hAnsi="Verdana"/>
          <w:sz w:val="20"/>
          <w:szCs w:val="20"/>
        </w:rPr>
      </w:pPr>
    </w:p>
    <w:p w14:paraId="6CAD8A05" w14:textId="77777777" w:rsidR="00015762" w:rsidRDefault="00015762" w:rsidP="00015762">
      <w:pPr>
        <w:spacing w:after="0" w:line="240" w:lineRule="auto"/>
        <w:jc w:val="both"/>
        <w:rPr>
          <w:rFonts w:ascii="Verdana" w:hAnsi="Verdana"/>
          <w:sz w:val="20"/>
          <w:szCs w:val="20"/>
        </w:rPr>
      </w:pPr>
    </w:p>
    <w:p w14:paraId="5894E46A" w14:textId="77777777" w:rsidR="00015762" w:rsidRDefault="00015762" w:rsidP="00015762">
      <w:pPr>
        <w:spacing w:after="0" w:line="240" w:lineRule="auto"/>
        <w:jc w:val="both"/>
        <w:rPr>
          <w:rFonts w:ascii="Verdana" w:hAnsi="Verdana"/>
          <w:sz w:val="20"/>
          <w:szCs w:val="20"/>
        </w:rPr>
      </w:pPr>
    </w:p>
    <w:p w14:paraId="630BA76C" w14:textId="77777777" w:rsidR="00015762" w:rsidRDefault="00015762" w:rsidP="00015762">
      <w:pPr>
        <w:spacing w:after="0" w:line="240" w:lineRule="auto"/>
        <w:jc w:val="both"/>
        <w:rPr>
          <w:rFonts w:ascii="Verdana" w:hAnsi="Verdana"/>
          <w:sz w:val="20"/>
          <w:szCs w:val="20"/>
        </w:rPr>
      </w:pPr>
    </w:p>
    <w:p w14:paraId="5122D02C" w14:textId="77777777" w:rsidR="00015762" w:rsidRDefault="00015762" w:rsidP="00015762">
      <w:pPr>
        <w:spacing w:after="0" w:line="240" w:lineRule="auto"/>
        <w:jc w:val="both"/>
        <w:rPr>
          <w:rFonts w:ascii="Verdana" w:hAnsi="Verdana"/>
          <w:sz w:val="20"/>
          <w:szCs w:val="20"/>
        </w:rPr>
      </w:pPr>
      <w:r>
        <w:rPr>
          <w:rFonts w:ascii="Verdana" w:hAnsi="Verdana"/>
          <w:sz w:val="20"/>
          <w:szCs w:val="20"/>
        </w:rPr>
        <w:t>Humberto A. Sierra Porto</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Eilzabeth Odio Benito</w:t>
      </w:r>
    </w:p>
    <w:p w14:paraId="3F98FE14" w14:textId="77777777" w:rsidR="00015762" w:rsidRDefault="00015762" w:rsidP="00015762">
      <w:pPr>
        <w:spacing w:after="0" w:line="240" w:lineRule="auto"/>
        <w:jc w:val="both"/>
        <w:rPr>
          <w:rFonts w:ascii="Verdana" w:hAnsi="Verdana"/>
          <w:sz w:val="20"/>
          <w:szCs w:val="20"/>
        </w:rPr>
      </w:pPr>
    </w:p>
    <w:p w14:paraId="6B5813CA" w14:textId="77777777" w:rsidR="00015762" w:rsidRDefault="00015762" w:rsidP="00015762">
      <w:pPr>
        <w:spacing w:after="0" w:line="240" w:lineRule="auto"/>
        <w:jc w:val="both"/>
        <w:rPr>
          <w:rFonts w:ascii="Verdana" w:hAnsi="Verdana"/>
          <w:sz w:val="20"/>
          <w:szCs w:val="20"/>
        </w:rPr>
      </w:pPr>
    </w:p>
    <w:p w14:paraId="2CFC1403" w14:textId="77777777" w:rsidR="00015762" w:rsidRDefault="00015762" w:rsidP="00015762">
      <w:pPr>
        <w:spacing w:after="0" w:line="240" w:lineRule="auto"/>
        <w:jc w:val="both"/>
        <w:rPr>
          <w:rFonts w:ascii="Verdana" w:hAnsi="Verdana"/>
          <w:sz w:val="20"/>
          <w:szCs w:val="20"/>
        </w:rPr>
      </w:pPr>
    </w:p>
    <w:p w14:paraId="5D9872A8" w14:textId="77777777" w:rsidR="00015762" w:rsidRDefault="00015762" w:rsidP="00015762">
      <w:pPr>
        <w:spacing w:after="0" w:line="240" w:lineRule="auto"/>
        <w:jc w:val="both"/>
        <w:rPr>
          <w:rFonts w:ascii="Verdana" w:hAnsi="Verdana"/>
          <w:sz w:val="20"/>
          <w:szCs w:val="20"/>
        </w:rPr>
      </w:pPr>
    </w:p>
    <w:p w14:paraId="3C738062" w14:textId="77777777" w:rsidR="00015762" w:rsidRDefault="00015762" w:rsidP="00015762">
      <w:pPr>
        <w:spacing w:after="0" w:line="240" w:lineRule="auto"/>
        <w:jc w:val="both"/>
        <w:rPr>
          <w:rFonts w:ascii="Verdana" w:hAnsi="Verdana"/>
          <w:sz w:val="20"/>
          <w:szCs w:val="20"/>
        </w:rPr>
      </w:pPr>
    </w:p>
    <w:p w14:paraId="3610F1EA" w14:textId="77777777" w:rsidR="00015762" w:rsidRDefault="00015762" w:rsidP="00015762">
      <w:pPr>
        <w:spacing w:after="0" w:line="240" w:lineRule="auto"/>
        <w:jc w:val="both"/>
        <w:rPr>
          <w:rFonts w:ascii="Verdana" w:hAnsi="Verdana"/>
          <w:sz w:val="20"/>
          <w:szCs w:val="20"/>
        </w:rPr>
      </w:pPr>
      <w:r>
        <w:rPr>
          <w:rFonts w:ascii="Verdana" w:hAnsi="Verdana"/>
          <w:sz w:val="20"/>
          <w:szCs w:val="20"/>
        </w:rPr>
        <w:t>Eugenio Raúl Zaffaroni</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L. Patricio Pazmiño Freire</w:t>
      </w:r>
    </w:p>
    <w:p w14:paraId="431D6E55" w14:textId="77777777" w:rsidR="00015762" w:rsidRDefault="00015762" w:rsidP="00015762">
      <w:pPr>
        <w:spacing w:after="0" w:line="240" w:lineRule="auto"/>
        <w:jc w:val="both"/>
        <w:rPr>
          <w:rFonts w:ascii="Verdana" w:hAnsi="Verdana"/>
          <w:sz w:val="20"/>
          <w:szCs w:val="20"/>
        </w:rPr>
      </w:pPr>
    </w:p>
    <w:p w14:paraId="5B1E81ED" w14:textId="77777777" w:rsidR="00015762" w:rsidRDefault="00015762" w:rsidP="00015762">
      <w:pPr>
        <w:spacing w:after="0" w:line="240" w:lineRule="auto"/>
        <w:jc w:val="both"/>
        <w:rPr>
          <w:rFonts w:ascii="Verdana" w:hAnsi="Verdana"/>
          <w:sz w:val="20"/>
          <w:szCs w:val="20"/>
        </w:rPr>
      </w:pPr>
    </w:p>
    <w:p w14:paraId="3C6B5324" w14:textId="77777777" w:rsidR="00015762" w:rsidRDefault="00015762" w:rsidP="00015762">
      <w:pPr>
        <w:spacing w:after="0" w:line="240" w:lineRule="auto"/>
        <w:jc w:val="both"/>
        <w:rPr>
          <w:rFonts w:ascii="Verdana" w:hAnsi="Verdana"/>
          <w:sz w:val="20"/>
          <w:szCs w:val="20"/>
        </w:rPr>
      </w:pPr>
    </w:p>
    <w:p w14:paraId="7C615115" w14:textId="77777777" w:rsidR="00015762" w:rsidRDefault="00015762" w:rsidP="00015762">
      <w:pPr>
        <w:spacing w:after="0" w:line="240" w:lineRule="auto"/>
        <w:jc w:val="both"/>
        <w:rPr>
          <w:rFonts w:ascii="Verdana" w:hAnsi="Verdana"/>
          <w:sz w:val="20"/>
          <w:szCs w:val="20"/>
        </w:rPr>
      </w:pPr>
    </w:p>
    <w:p w14:paraId="3C709DFF" w14:textId="77777777" w:rsidR="00015762" w:rsidRDefault="00015762" w:rsidP="00015762">
      <w:pPr>
        <w:spacing w:after="0" w:line="240" w:lineRule="auto"/>
        <w:jc w:val="center"/>
        <w:rPr>
          <w:rFonts w:ascii="Verdana" w:hAnsi="Verdana"/>
          <w:sz w:val="20"/>
          <w:szCs w:val="20"/>
        </w:rPr>
      </w:pPr>
      <w:r>
        <w:rPr>
          <w:rFonts w:ascii="Verdana" w:hAnsi="Verdana"/>
          <w:sz w:val="20"/>
          <w:szCs w:val="20"/>
        </w:rPr>
        <w:t>Pablo Saavedra Alessandri</w:t>
      </w:r>
    </w:p>
    <w:p w14:paraId="476A13C8" w14:textId="77777777" w:rsidR="00015762" w:rsidRDefault="00015762" w:rsidP="00015762">
      <w:pPr>
        <w:spacing w:after="0" w:line="240" w:lineRule="auto"/>
        <w:jc w:val="center"/>
        <w:rPr>
          <w:rFonts w:ascii="Verdana" w:hAnsi="Verdana"/>
          <w:sz w:val="20"/>
          <w:szCs w:val="20"/>
        </w:rPr>
      </w:pPr>
      <w:r>
        <w:rPr>
          <w:rFonts w:ascii="Verdana" w:hAnsi="Verdana"/>
          <w:sz w:val="20"/>
          <w:szCs w:val="20"/>
        </w:rPr>
        <w:t>Secretario</w:t>
      </w:r>
    </w:p>
    <w:p w14:paraId="4B85B8D2" w14:textId="77777777" w:rsidR="00015762" w:rsidRDefault="00015762" w:rsidP="00015762">
      <w:pPr>
        <w:spacing w:after="0" w:line="240" w:lineRule="auto"/>
        <w:jc w:val="both"/>
        <w:rPr>
          <w:rFonts w:ascii="Verdana" w:hAnsi="Verdana"/>
          <w:sz w:val="20"/>
          <w:szCs w:val="20"/>
        </w:rPr>
      </w:pPr>
    </w:p>
    <w:p w14:paraId="64102FF8" w14:textId="77777777" w:rsidR="00015762" w:rsidRDefault="00015762" w:rsidP="00015762">
      <w:pPr>
        <w:pStyle w:val="FootnoteText"/>
        <w:rPr>
          <w:sz w:val="20"/>
          <w:szCs w:val="20"/>
          <w:lang w:val="es-CR"/>
        </w:rPr>
      </w:pPr>
    </w:p>
    <w:p w14:paraId="5C0D3B92" w14:textId="77777777" w:rsidR="00015762" w:rsidRDefault="00015762" w:rsidP="00015762">
      <w:pPr>
        <w:spacing w:after="0" w:line="240" w:lineRule="auto"/>
        <w:jc w:val="both"/>
        <w:rPr>
          <w:rFonts w:ascii="Verdana" w:hAnsi="Verdana"/>
          <w:sz w:val="20"/>
          <w:szCs w:val="20"/>
          <w:lang w:val="es-CR"/>
        </w:rPr>
      </w:pPr>
      <w:r>
        <w:rPr>
          <w:rFonts w:ascii="Verdana" w:hAnsi="Verdana"/>
          <w:sz w:val="20"/>
          <w:szCs w:val="20"/>
        </w:rPr>
        <w:t>Comuníquese y ejecútese,</w:t>
      </w:r>
    </w:p>
    <w:p w14:paraId="02B34143" w14:textId="77777777" w:rsidR="00015762" w:rsidRDefault="00015762" w:rsidP="00015762">
      <w:pPr>
        <w:spacing w:after="0" w:line="240" w:lineRule="auto"/>
        <w:jc w:val="both"/>
        <w:rPr>
          <w:rFonts w:ascii="Verdana" w:hAnsi="Verdana"/>
          <w:sz w:val="20"/>
          <w:szCs w:val="20"/>
        </w:rPr>
      </w:pPr>
    </w:p>
    <w:p w14:paraId="31DB4610" w14:textId="77777777" w:rsidR="00015762" w:rsidRDefault="00015762" w:rsidP="00015762">
      <w:pPr>
        <w:spacing w:after="0" w:line="240" w:lineRule="auto"/>
        <w:jc w:val="both"/>
        <w:rPr>
          <w:rFonts w:ascii="Verdana" w:hAnsi="Verdana"/>
          <w:sz w:val="20"/>
          <w:szCs w:val="20"/>
        </w:rPr>
      </w:pPr>
    </w:p>
    <w:p w14:paraId="441B996C" w14:textId="77777777" w:rsidR="00015762" w:rsidRDefault="00015762" w:rsidP="00015762">
      <w:pPr>
        <w:spacing w:after="0" w:line="240" w:lineRule="auto"/>
        <w:ind w:left="6372"/>
        <w:jc w:val="both"/>
        <w:rPr>
          <w:rFonts w:ascii="Verdana" w:hAnsi="Verdana"/>
          <w:sz w:val="20"/>
          <w:szCs w:val="20"/>
        </w:rPr>
      </w:pPr>
      <w:r>
        <w:rPr>
          <w:rFonts w:ascii="Verdana" w:hAnsi="Verdana"/>
          <w:sz w:val="20"/>
          <w:szCs w:val="20"/>
        </w:rPr>
        <w:t>Roberto F. Caldas</w:t>
      </w:r>
    </w:p>
    <w:p w14:paraId="71D9AB42" w14:textId="77777777" w:rsidR="00015762" w:rsidRDefault="00015762" w:rsidP="00015762">
      <w:pPr>
        <w:spacing w:after="0" w:line="240" w:lineRule="auto"/>
        <w:ind w:left="5760" w:firstLine="720"/>
        <w:jc w:val="both"/>
        <w:rPr>
          <w:rFonts w:ascii="Verdana" w:hAnsi="Verdana"/>
          <w:sz w:val="20"/>
          <w:szCs w:val="20"/>
        </w:rPr>
      </w:pPr>
      <w:r>
        <w:rPr>
          <w:rFonts w:ascii="Verdana" w:hAnsi="Verdana"/>
          <w:sz w:val="20"/>
          <w:szCs w:val="20"/>
        </w:rPr>
        <w:t xml:space="preserve">  Presidente</w:t>
      </w:r>
    </w:p>
    <w:p w14:paraId="468BF9D0" w14:textId="77777777" w:rsidR="00015762" w:rsidRDefault="00015762" w:rsidP="00015762">
      <w:pPr>
        <w:spacing w:after="0" w:line="240" w:lineRule="auto"/>
        <w:ind w:left="5040" w:firstLine="720"/>
        <w:jc w:val="both"/>
        <w:rPr>
          <w:rFonts w:ascii="Verdana" w:hAnsi="Verdana"/>
          <w:sz w:val="20"/>
          <w:szCs w:val="20"/>
        </w:rPr>
      </w:pPr>
    </w:p>
    <w:p w14:paraId="02FB7DB4" w14:textId="77777777" w:rsidR="00015762" w:rsidRDefault="00015762" w:rsidP="00015762">
      <w:pPr>
        <w:spacing w:after="0" w:line="240" w:lineRule="auto"/>
        <w:jc w:val="both"/>
        <w:rPr>
          <w:rFonts w:ascii="Verdana" w:hAnsi="Verdana"/>
          <w:sz w:val="20"/>
          <w:szCs w:val="20"/>
        </w:rPr>
      </w:pPr>
    </w:p>
    <w:p w14:paraId="05120D67" w14:textId="77777777" w:rsidR="00015762" w:rsidRDefault="00015762" w:rsidP="00015762">
      <w:pPr>
        <w:spacing w:after="0" w:line="240" w:lineRule="auto"/>
        <w:jc w:val="both"/>
        <w:rPr>
          <w:rFonts w:ascii="Verdana" w:hAnsi="Verdana"/>
          <w:sz w:val="20"/>
          <w:szCs w:val="20"/>
        </w:rPr>
      </w:pPr>
    </w:p>
    <w:p w14:paraId="2098E5F0" w14:textId="77777777" w:rsidR="00015762" w:rsidRDefault="00015762" w:rsidP="00015762">
      <w:pPr>
        <w:spacing w:after="0" w:line="240" w:lineRule="auto"/>
        <w:jc w:val="both"/>
        <w:rPr>
          <w:rFonts w:ascii="Verdana" w:hAnsi="Verdana"/>
          <w:sz w:val="20"/>
          <w:szCs w:val="20"/>
        </w:rPr>
      </w:pPr>
      <w:r>
        <w:rPr>
          <w:rFonts w:ascii="Verdana" w:hAnsi="Verdana"/>
          <w:sz w:val="20"/>
          <w:szCs w:val="20"/>
        </w:rPr>
        <w:t>Pablo Saavedra Alessandri</w:t>
      </w:r>
    </w:p>
    <w:p w14:paraId="24B9F787" w14:textId="77777777" w:rsidR="00015762" w:rsidRDefault="00015762" w:rsidP="00015762">
      <w:pPr>
        <w:spacing w:after="0" w:line="240" w:lineRule="auto"/>
        <w:jc w:val="both"/>
        <w:rPr>
          <w:rFonts w:ascii="Verdana" w:hAnsi="Verdana"/>
          <w:sz w:val="20"/>
          <w:szCs w:val="20"/>
        </w:rPr>
      </w:pPr>
      <w:r>
        <w:rPr>
          <w:rFonts w:ascii="Verdana" w:hAnsi="Verdana"/>
          <w:sz w:val="20"/>
          <w:szCs w:val="20"/>
        </w:rPr>
        <w:tab/>
        <w:t>Secretario</w:t>
      </w:r>
    </w:p>
    <w:p w14:paraId="0D59CE59" w14:textId="77777777" w:rsidR="007D2A72" w:rsidRDefault="007D2A72"/>
    <w:sectPr w:rsidR="007D2A72" w:rsidSect="008B1B26">
      <w:headerReference w:type="defaul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21A63" w14:textId="77777777" w:rsidR="0019460B" w:rsidRDefault="0019460B" w:rsidP="00015762">
      <w:pPr>
        <w:spacing w:after="0" w:line="240" w:lineRule="auto"/>
      </w:pPr>
      <w:r>
        <w:separator/>
      </w:r>
    </w:p>
  </w:endnote>
  <w:endnote w:type="continuationSeparator" w:id="0">
    <w:p w14:paraId="64251B75" w14:textId="77777777" w:rsidR="0019460B" w:rsidRDefault="0019460B" w:rsidP="00015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86164" w14:textId="77777777" w:rsidR="0019460B" w:rsidRDefault="0019460B" w:rsidP="00015762">
      <w:pPr>
        <w:spacing w:after="0" w:line="240" w:lineRule="auto"/>
      </w:pPr>
      <w:r>
        <w:separator/>
      </w:r>
    </w:p>
  </w:footnote>
  <w:footnote w:type="continuationSeparator" w:id="0">
    <w:p w14:paraId="63D0273E" w14:textId="77777777" w:rsidR="0019460B" w:rsidRDefault="0019460B" w:rsidP="00015762">
      <w:pPr>
        <w:spacing w:after="0" w:line="240" w:lineRule="auto"/>
      </w:pPr>
      <w:r>
        <w:continuationSeparator/>
      </w:r>
    </w:p>
  </w:footnote>
  <w:footnote w:id="1">
    <w:p w14:paraId="7F64CFD8" w14:textId="08F3449A" w:rsidR="004A1B32" w:rsidRPr="004A1B32" w:rsidRDefault="004A1B32">
      <w:pPr>
        <w:pStyle w:val="FootnoteText"/>
        <w:rPr>
          <w:lang w:val="es-CR"/>
        </w:rPr>
      </w:pPr>
      <w:r>
        <w:rPr>
          <w:rStyle w:val="FootnoteReference"/>
        </w:rPr>
        <w:footnoteRef/>
      </w:r>
      <w:r>
        <w:t xml:space="preserve"> </w:t>
      </w:r>
      <w:r>
        <w:rPr>
          <w:lang w:val="es-CR"/>
        </w:rPr>
        <w:tab/>
      </w:r>
      <w:r>
        <w:t>Al notificar el sometimiento del caso, se solicitó al Estado que, según lo dispuesto en los artículos 23 y 39.3 del Reglamento de la Corte, designara al o los Agentes que actuarían en su representación en el presente caso dentro del plazo de 30 días. Dado que el Estado no designó Agentes, al transmitirse el escrito de solicitudes y argumentos se reiteró al Estado que informara sobre tal acreditación a la mayor brevedad, lo cual no hizo. A partir del escrito de 9 de noviembre de 2016, se entendió que el señor Saltrón Negretti continuaría representando al Estado como Agente para el presente caso.</w:t>
      </w:r>
    </w:p>
  </w:footnote>
  <w:footnote w:id="2">
    <w:p w14:paraId="1E31445F" w14:textId="77777777" w:rsidR="00015762" w:rsidRPr="00015762" w:rsidRDefault="00015762">
      <w:pPr>
        <w:pStyle w:val="FootnoteText"/>
      </w:pPr>
      <w:r>
        <w:rPr>
          <w:rStyle w:val="FootnoteReference"/>
        </w:rPr>
        <w:footnoteRef/>
      </w:r>
      <w:r>
        <w:t xml:space="preserve"> </w:t>
      </w:r>
      <w:r>
        <w:tab/>
        <w:t xml:space="preserve">Disponible en </w:t>
      </w:r>
      <w:hyperlink r:id="rId1" w:history="1">
        <w:r w:rsidRPr="00590CD4">
          <w:rPr>
            <w:rStyle w:val="Hyperlink"/>
          </w:rPr>
          <w:t>http://www.corteidh.or.cr/docs/asuntos/sanmiguel_sosa_20_12_16.pdf</w:t>
        </w:r>
      </w:hyperlink>
      <w:r>
        <w:t xml:space="preserve"> </w:t>
      </w:r>
    </w:p>
  </w:footnote>
  <w:footnote w:id="3">
    <w:p w14:paraId="12400CBA" w14:textId="42C06FDF" w:rsidR="00D16F38" w:rsidRPr="00D16F38" w:rsidRDefault="00D16F38">
      <w:pPr>
        <w:pStyle w:val="FootnoteText"/>
      </w:pPr>
      <w:r>
        <w:rPr>
          <w:rStyle w:val="FootnoteReference"/>
        </w:rPr>
        <w:footnoteRef/>
      </w:r>
      <w:r>
        <w:t xml:space="preserve"> </w:t>
      </w:r>
      <w:r>
        <w:tab/>
      </w:r>
      <w:r w:rsidRPr="00E55E6A">
        <w:rPr>
          <w:i/>
        </w:rPr>
        <w:t>Cfr.</w:t>
      </w:r>
      <w:r>
        <w:t>, en similares términos,</w:t>
      </w:r>
      <w:r w:rsidRPr="00E55E6A">
        <w:rPr>
          <w:i/>
        </w:rPr>
        <w:t xml:space="preserve"> Caso </w:t>
      </w:r>
      <w:r>
        <w:rPr>
          <w:i/>
        </w:rPr>
        <w:t xml:space="preserve">Acosta </w:t>
      </w:r>
      <w:r w:rsidRPr="00E55E6A">
        <w:rPr>
          <w:i/>
        </w:rPr>
        <w:t xml:space="preserve">y </w:t>
      </w:r>
      <w:r>
        <w:rPr>
          <w:i/>
        </w:rPr>
        <w:t xml:space="preserve">otros </w:t>
      </w:r>
      <w:r w:rsidRPr="00E55E6A">
        <w:rPr>
          <w:i/>
        </w:rPr>
        <w:t>vs</w:t>
      </w:r>
      <w:r>
        <w:rPr>
          <w:i/>
        </w:rPr>
        <w:t>. Nicaragua</w:t>
      </w:r>
      <w:r>
        <w:t>. R</w:t>
      </w:r>
      <w:r w:rsidRPr="0000541B">
        <w:t>esolución de</w:t>
      </w:r>
      <w:r>
        <w:t>l Presidente de</w:t>
      </w:r>
      <w:r w:rsidRPr="0000541B">
        <w:t xml:space="preserve"> la Corte Interamericana de Derechos Humanos de </w:t>
      </w:r>
      <w:r>
        <w:t>26 de septiembre de 2016.</w:t>
      </w:r>
      <w:r w:rsidRPr="0000541B">
        <w:t xml:space="preserve"> </w:t>
      </w:r>
    </w:p>
  </w:footnote>
  <w:footnote w:id="4">
    <w:p w14:paraId="6318A230" w14:textId="77777777" w:rsidR="006F654E" w:rsidRPr="0000541B" w:rsidRDefault="006F654E" w:rsidP="006F654E">
      <w:pPr>
        <w:pStyle w:val="FootnoteText"/>
      </w:pPr>
      <w:r w:rsidRPr="0000541B">
        <w:rPr>
          <w:rStyle w:val="FootnoteReference"/>
        </w:rPr>
        <w:footnoteRef/>
      </w:r>
      <w:r w:rsidRPr="0000541B">
        <w:t xml:space="preserve"> </w:t>
      </w:r>
      <w:r w:rsidR="00E55E6A">
        <w:tab/>
      </w:r>
      <w:r w:rsidRPr="00E55E6A">
        <w:rPr>
          <w:i/>
        </w:rPr>
        <w:t>Cfr. Caso Cabrera Garcia y Montiel Flores vs México</w:t>
      </w:r>
      <w:r w:rsidR="00E55E6A">
        <w:t>. R</w:t>
      </w:r>
      <w:r w:rsidRPr="0000541B">
        <w:t xml:space="preserve">esolución de la Corte Interamericana de Derechos Humanos de 23 de agosto de 2010, </w:t>
      </w:r>
      <w:r w:rsidR="00E55E6A">
        <w:t>p</w:t>
      </w:r>
      <w:r w:rsidRPr="0000541B">
        <w:t xml:space="preserve">árrafos </w:t>
      </w:r>
      <w:r w:rsidR="00E55E6A">
        <w:t xml:space="preserve">considerativos 19 a </w:t>
      </w:r>
      <w:r w:rsidRPr="0000541B">
        <w:t>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692896"/>
      <w:docPartObj>
        <w:docPartGallery w:val="Page Numbers (Top of Page)"/>
        <w:docPartUnique/>
      </w:docPartObj>
    </w:sdtPr>
    <w:sdtEndPr>
      <w:rPr>
        <w:noProof/>
      </w:rPr>
    </w:sdtEndPr>
    <w:sdtContent>
      <w:p w14:paraId="3A1241D6" w14:textId="35219F64" w:rsidR="009D137B" w:rsidRDefault="009D137B">
        <w:pPr>
          <w:pStyle w:val="Header"/>
          <w:jc w:val="center"/>
        </w:pPr>
        <w:r>
          <w:fldChar w:fldCharType="begin"/>
        </w:r>
        <w:r>
          <w:instrText xml:space="preserve"> PAGE   \* MERGEFORMAT </w:instrText>
        </w:r>
        <w:r>
          <w:fldChar w:fldCharType="separate"/>
        </w:r>
        <w:r w:rsidR="00E2376A">
          <w:rPr>
            <w:noProof/>
          </w:rPr>
          <w:t>7</w:t>
        </w:r>
        <w:r>
          <w:rPr>
            <w:noProof/>
          </w:rPr>
          <w:fldChar w:fldCharType="end"/>
        </w:r>
      </w:p>
    </w:sdtContent>
  </w:sdt>
  <w:p w14:paraId="02B4C840" w14:textId="77777777" w:rsidR="009D137B" w:rsidRDefault="009D1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5513"/>
    <w:multiLevelType w:val="hybridMultilevel"/>
    <w:tmpl w:val="3C30622E"/>
    <w:lvl w:ilvl="0" w:tplc="D118455C">
      <w:start w:val="1"/>
      <w:numFmt w:val="decimal"/>
      <w:lvlText w:val="%1."/>
      <w:lvlJc w:val="left"/>
      <w:pPr>
        <w:ind w:left="1065" w:hanging="705"/>
      </w:pPr>
      <w:rPr>
        <w:rFonts w:cs="Verdana"/>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nsid w:val="1CB745BA"/>
    <w:multiLevelType w:val="multilevel"/>
    <w:tmpl w:val="7698174A"/>
    <w:lvl w:ilvl="0">
      <w:start w:val="1"/>
      <w:numFmt w:val="decimal"/>
      <w:lvlText w:val="%1."/>
      <w:lvlJc w:val="left"/>
      <w:pPr>
        <w:ind w:left="1080" w:firstLine="360"/>
      </w:pPr>
      <w:rPr>
        <w:b w:val="0"/>
      </w:rPr>
    </w:lvl>
    <w:lvl w:ilvl="1">
      <w:start w:val="1"/>
      <w:numFmt w:val="lowerRoman"/>
      <w:lvlText w:val="%2."/>
      <w:lvlJc w:val="left"/>
      <w:pPr>
        <w:ind w:left="180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3B1E1B0D"/>
    <w:multiLevelType w:val="hybridMultilevel"/>
    <w:tmpl w:val="071C0ED2"/>
    <w:lvl w:ilvl="0" w:tplc="D80615AC">
      <w:start w:val="1"/>
      <w:numFmt w:val="decimal"/>
      <w:lvlText w:val="%1."/>
      <w:lvlJc w:val="left"/>
      <w:pPr>
        <w:ind w:left="1211" w:hanging="360"/>
      </w:pPr>
      <w:rPr>
        <w:i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nsid w:val="4037421E"/>
    <w:multiLevelType w:val="hybridMultilevel"/>
    <w:tmpl w:val="FA0C5300"/>
    <w:lvl w:ilvl="0" w:tplc="575263E0">
      <w:start w:val="3"/>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
    <w:nsid w:val="4A961250"/>
    <w:multiLevelType w:val="hybridMultilevel"/>
    <w:tmpl w:val="1B0A9C50"/>
    <w:lvl w:ilvl="0" w:tplc="82A46B04">
      <w:start w:val="15"/>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
    <w:nsid w:val="615D6ECD"/>
    <w:multiLevelType w:val="hybridMultilevel"/>
    <w:tmpl w:val="ED9C2C40"/>
    <w:lvl w:ilvl="0" w:tplc="ED0459E8">
      <w:start w:val="1"/>
      <w:numFmt w:val="lowerLetter"/>
      <w:lvlText w:val="%1)"/>
      <w:lvlJc w:val="left"/>
      <w:pPr>
        <w:ind w:left="1080" w:hanging="360"/>
      </w:pPr>
      <w:rPr>
        <w:rFonts w:ascii="Verdana" w:hAnsi="Verdana" w:cs="Verdana" w:hint="default"/>
        <w:sz w:val="20"/>
        <w:szCs w:val="20"/>
      </w:rPr>
    </w:lvl>
    <w:lvl w:ilvl="1" w:tplc="323EEAAC">
      <w:start w:val="1"/>
      <w:numFmt w:val="decimal"/>
      <w:pStyle w:val="ListParagraph"/>
      <w:lvlText w:val="%2."/>
      <w:lvlJc w:val="left"/>
      <w:pPr>
        <w:tabs>
          <w:tab w:val="num" w:pos="0"/>
        </w:tabs>
        <w:ind w:left="0" w:firstLine="0"/>
      </w:pPr>
      <w:rPr>
        <w:b w:val="0"/>
        <w:bCs w:val="0"/>
        <w:sz w:val="20"/>
        <w:szCs w:val="20"/>
      </w:rPr>
    </w:lvl>
    <w:lvl w:ilvl="2" w:tplc="B96C1A40">
      <w:start w:val="1"/>
      <w:numFmt w:val="lowerLetter"/>
      <w:lvlText w:val="%3)"/>
      <w:lvlJc w:val="left"/>
      <w:pPr>
        <w:ind w:left="2700" w:hanging="360"/>
      </w:pPr>
      <w:rPr>
        <w:rFonts w:ascii="Verdana" w:hAnsi="Verdana" w:cs="Verdana" w:hint="default"/>
        <w:b w:val="0"/>
        <w:bCs w:val="0"/>
        <w:sz w:val="20"/>
        <w:szCs w:val="20"/>
      </w:r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6">
    <w:nsid w:val="68154407"/>
    <w:multiLevelType w:val="hybridMultilevel"/>
    <w:tmpl w:val="A7306EE8"/>
    <w:lvl w:ilvl="0" w:tplc="1C08AD0A">
      <w:start w:val="1"/>
      <w:numFmt w:val="decimal"/>
      <w:lvlText w:val="%1."/>
      <w:lvlJc w:val="left"/>
      <w:pPr>
        <w:tabs>
          <w:tab w:val="num" w:pos="680"/>
        </w:tabs>
        <w:ind w:left="0" w:firstLine="0"/>
      </w:pPr>
      <w:rPr>
        <w:b w:val="0"/>
        <w:bCs w:val="0"/>
        <w:i w:val="0"/>
        <w:iCs w:val="0"/>
        <w:strike w:val="0"/>
        <w:dstrike w:val="0"/>
        <w:sz w:val="20"/>
        <w:szCs w:val="20"/>
        <w:u w:val="none"/>
        <w:effect w:val="none"/>
        <w:lang w:val="es-MX"/>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62"/>
    <w:rsid w:val="00001107"/>
    <w:rsid w:val="0000147E"/>
    <w:rsid w:val="00004536"/>
    <w:rsid w:val="00015762"/>
    <w:rsid w:val="000165A2"/>
    <w:rsid w:val="00036082"/>
    <w:rsid w:val="000944F9"/>
    <w:rsid w:val="000B1F4D"/>
    <w:rsid w:val="00177EB9"/>
    <w:rsid w:val="00187908"/>
    <w:rsid w:val="0019460B"/>
    <w:rsid w:val="001D636E"/>
    <w:rsid w:val="00211D72"/>
    <w:rsid w:val="002339F9"/>
    <w:rsid w:val="00241A51"/>
    <w:rsid w:val="00266AB0"/>
    <w:rsid w:val="00270CA6"/>
    <w:rsid w:val="00283109"/>
    <w:rsid w:val="002863FA"/>
    <w:rsid w:val="002A208E"/>
    <w:rsid w:val="00305C4A"/>
    <w:rsid w:val="00313EC5"/>
    <w:rsid w:val="00346D5E"/>
    <w:rsid w:val="0035647F"/>
    <w:rsid w:val="003752EB"/>
    <w:rsid w:val="003878E0"/>
    <w:rsid w:val="003950CA"/>
    <w:rsid w:val="00396764"/>
    <w:rsid w:val="003E3F24"/>
    <w:rsid w:val="003E66A0"/>
    <w:rsid w:val="00400D0A"/>
    <w:rsid w:val="00450DB8"/>
    <w:rsid w:val="004A1B32"/>
    <w:rsid w:val="004B73C5"/>
    <w:rsid w:val="004F4582"/>
    <w:rsid w:val="00512C71"/>
    <w:rsid w:val="00531F85"/>
    <w:rsid w:val="00533431"/>
    <w:rsid w:val="00537737"/>
    <w:rsid w:val="005574A2"/>
    <w:rsid w:val="00583829"/>
    <w:rsid w:val="005A630F"/>
    <w:rsid w:val="005E76B8"/>
    <w:rsid w:val="00607881"/>
    <w:rsid w:val="0062051F"/>
    <w:rsid w:val="006423D1"/>
    <w:rsid w:val="006456E9"/>
    <w:rsid w:val="006746B8"/>
    <w:rsid w:val="00681104"/>
    <w:rsid w:val="006C1BA0"/>
    <w:rsid w:val="006F654E"/>
    <w:rsid w:val="00713246"/>
    <w:rsid w:val="00714A99"/>
    <w:rsid w:val="00747AE3"/>
    <w:rsid w:val="007639A5"/>
    <w:rsid w:val="007808BF"/>
    <w:rsid w:val="0079656E"/>
    <w:rsid w:val="00797C84"/>
    <w:rsid w:val="007C12B1"/>
    <w:rsid w:val="007D2A72"/>
    <w:rsid w:val="007F0A53"/>
    <w:rsid w:val="007F38B7"/>
    <w:rsid w:val="0080040B"/>
    <w:rsid w:val="00802C1C"/>
    <w:rsid w:val="0080461B"/>
    <w:rsid w:val="00831C0D"/>
    <w:rsid w:val="00842B38"/>
    <w:rsid w:val="008442F2"/>
    <w:rsid w:val="00844AC8"/>
    <w:rsid w:val="008A3EE4"/>
    <w:rsid w:val="008B1B26"/>
    <w:rsid w:val="008E06CD"/>
    <w:rsid w:val="008F4F0B"/>
    <w:rsid w:val="0091160A"/>
    <w:rsid w:val="00911B65"/>
    <w:rsid w:val="00953594"/>
    <w:rsid w:val="00976FDA"/>
    <w:rsid w:val="00977D64"/>
    <w:rsid w:val="009B3637"/>
    <w:rsid w:val="009C69F9"/>
    <w:rsid w:val="009D137B"/>
    <w:rsid w:val="009F733A"/>
    <w:rsid w:val="00A170E7"/>
    <w:rsid w:val="00A32108"/>
    <w:rsid w:val="00A50CC2"/>
    <w:rsid w:val="00A66974"/>
    <w:rsid w:val="00B4652A"/>
    <w:rsid w:val="00B67CAF"/>
    <w:rsid w:val="00B72936"/>
    <w:rsid w:val="00BE21F7"/>
    <w:rsid w:val="00BE506C"/>
    <w:rsid w:val="00C03D18"/>
    <w:rsid w:val="00C22D84"/>
    <w:rsid w:val="00C2585C"/>
    <w:rsid w:val="00C3781A"/>
    <w:rsid w:val="00C431A9"/>
    <w:rsid w:val="00C43F51"/>
    <w:rsid w:val="00C77E9B"/>
    <w:rsid w:val="00CF4C81"/>
    <w:rsid w:val="00D01F78"/>
    <w:rsid w:val="00D16F38"/>
    <w:rsid w:val="00D41E9A"/>
    <w:rsid w:val="00D87A5B"/>
    <w:rsid w:val="00D87DC8"/>
    <w:rsid w:val="00DB0BBD"/>
    <w:rsid w:val="00DB2E51"/>
    <w:rsid w:val="00DB778A"/>
    <w:rsid w:val="00DF2A48"/>
    <w:rsid w:val="00E2376A"/>
    <w:rsid w:val="00E2614C"/>
    <w:rsid w:val="00E31080"/>
    <w:rsid w:val="00E55E6A"/>
    <w:rsid w:val="00E71AA2"/>
    <w:rsid w:val="00E77583"/>
    <w:rsid w:val="00E80741"/>
    <w:rsid w:val="00E85030"/>
    <w:rsid w:val="00E91D3D"/>
    <w:rsid w:val="00EF3A27"/>
    <w:rsid w:val="00F73490"/>
    <w:rsid w:val="00FD09E9"/>
    <w:rsid w:val="00FF5C9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762"/>
    <w:rPr>
      <w:rFonts w:ascii="Calibri" w:eastAsia="Calibri" w:hAnsi="Calibri" w:cs="Calibri"/>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ink w:val="FootnoteText"/>
    <w:semiHidden/>
    <w:locked/>
    <w:rsid w:val="00015762"/>
    <w:rPr>
      <w:rFonts w:ascii="Verdana" w:eastAsia="Calibri" w:hAnsi="Verdana" w:cs="Verdana"/>
      <w:sz w:val="16"/>
      <w:szCs w:val="16"/>
      <w:lang w:val="es-ES_tradnl" w:eastAsia="es-ES"/>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Ca"/>
    <w:basedOn w:val="Normal"/>
    <w:link w:val="FootnoteTextChar1"/>
    <w:autoRedefine/>
    <w:uiPriority w:val="99"/>
    <w:unhideWhenUsed/>
    <w:qFormat/>
    <w:rsid w:val="00015762"/>
    <w:pPr>
      <w:tabs>
        <w:tab w:val="left" w:pos="567"/>
      </w:tabs>
      <w:spacing w:after="0" w:line="240" w:lineRule="auto"/>
      <w:jc w:val="both"/>
    </w:pPr>
    <w:rPr>
      <w:rFonts w:ascii="Verdana" w:hAnsi="Verdana" w:cs="Verdana"/>
      <w:sz w:val="16"/>
      <w:szCs w:val="16"/>
      <w:lang w:val="es-ES_tradnl" w:eastAsia="es-ES"/>
    </w:rPr>
  </w:style>
  <w:style w:type="character" w:customStyle="1" w:styleId="FootnoteTextChar">
    <w:name w:val="Footnote Text Char"/>
    <w:aliases w:val="footnote text Char,Footnote Text Cha Char,Ca Char,ft Char,FA Fuﬂnotentext Char"/>
    <w:basedOn w:val="DefaultParagraphFont"/>
    <w:uiPriority w:val="99"/>
    <w:rsid w:val="00015762"/>
    <w:rPr>
      <w:rFonts w:ascii="Calibri" w:eastAsia="Calibri" w:hAnsi="Calibri" w:cs="Calibri"/>
      <w:sz w:val="20"/>
      <w:szCs w:val="20"/>
      <w:lang w:val="es-MX"/>
    </w:rPr>
  </w:style>
  <w:style w:type="paragraph" w:styleId="ListParagraph">
    <w:name w:val="List Paragraph"/>
    <w:aliases w:val="Footnote,List Paragraph2"/>
    <w:basedOn w:val="Normal"/>
    <w:uiPriority w:val="34"/>
    <w:qFormat/>
    <w:rsid w:val="00015762"/>
    <w:pPr>
      <w:widowControl w:val="0"/>
      <w:numPr>
        <w:ilvl w:val="1"/>
        <w:numId w:val="1"/>
      </w:numPr>
      <w:autoSpaceDE w:val="0"/>
      <w:autoSpaceDN w:val="0"/>
      <w:adjustRightInd w:val="0"/>
      <w:spacing w:after="0" w:line="240" w:lineRule="auto"/>
      <w:ind w:right="22"/>
      <w:jc w:val="both"/>
    </w:pPr>
    <w:rPr>
      <w:rFonts w:ascii="Verdana" w:hAnsi="Verdana" w:cs="Verdana"/>
      <w:sz w:val="20"/>
      <w:szCs w:val="20"/>
    </w:rPr>
  </w:style>
  <w:style w:type="paragraph" w:customStyle="1" w:styleId="Sangradetindependiente2">
    <w:name w:val="Sangría de t. independiente2"/>
    <w:basedOn w:val="Normal"/>
    <w:rsid w:val="00015762"/>
    <w:pPr>
      <w:widowControl w:val="0"/>
      <w:spacing w:after="0" w:line="360" w:lineRule="atLeast"/>
    </w:pPr>
    <w:rPr>
      <w:rFonts w:ascii="Arial" w:eastAsia="Times New Roman" w:hAnsi="Arial" w:cs="Times New Roman"/>
      <w:sz w:val="24"/>
      <w:szCs w:val="20"/>
      <w:lang w:val="es-ES_tradnl"/>
    </w:rPr>
  </w:style>
  <w:style w:type="character" w:customStyle="1" w:styleId="FootnotesChar">
    <w:name w:val="**. Footnotes Char"/>
    <w:basedOn w:val="DefaultParagraphFont"/>
    <w:link w:val="Footnotes"/>
    <w:locked/>
    <w:rsid w:val="00015762"/>
    <w:rPr>
      <w:rFonts w:ascii="Verdana" w:eastAsia="Times New Roman" w:hAnsi="Verdana" w:cs="Palatino-Italic"/>
      <w:iCs/>
      <w:sz w:val="16"/>
      <w:szCs w:val="18"/>
      <w:lang w:val="es-ES" w:bidi="en-US"/>
    </w:rPr>
  </w:style>
  <w:style w:type="paragraph" w:customStyle="1" w:styleId="Footnotes">
    <w:name w:val="**. Footnotes"/>
    <w:basedOn w:val="FootnoteText"/>
    <w:link w:val="FootnotesChar"/>
    <w:autoRedefine/>
    <w:qFormat/>
    <w:rsid w:val="00015762"/>
    <w:rPr>
      <w:rFonts w:eastAsia="Times New Roman" w:cs="Palatino-Italic"/>
      <w:iCs/>
      <w:szCs w:val="18"/>
      <w:lang w:val="es-ES" w:eastAsia="en-US" w:bidi="en-US"/>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
    <w:basedOn w:val="DefaultParagraphFont"/>
    <w:uiPriority w:val="99"/>
    <w:unhideWhenUsed/>
    <w:qFormat/>
    <w:rsid w:val="00015762"/>
    <w:rPr>
      <w:rFonts w:ascii="Verdana" w:hAnsi="Verdana" w:cs="Verdana" w:hint="default"/>
      <w:sz w:val="16"/>
      <w:szCs w:val="16"/>
      <w:vertAlign w:val="superscript"/>
    </w:rPr>
  </w:style>
  <w:style w:type="character" w:styleId="Hyperlink">
    <w:name w:val="Hyperlink"/>
    <w:basedOn w:val="DefaultParagraphFont"/>
    <w:uiPriority w:val="99"/>
    <w:unhideWhenUsed/>
    <w:rsid w:val="00015762"/>
    <w:rPr>
      <w:color w:val="0000FF" w:themeColor="hyperlink"/>
      <w:u w:val="single"/>
    </w:rPr>
  </w:style>
  <w:style w:type="paragraph" w:styleId="BalloonText">
    <w:name w:val="Balloon Text"/>
    <w:basedOn w:val="Normal"/>
    <w:link w:val="BalloonTextChar"/>
    <w:uiPriority w:val="99"/>
    <w:semiHidden/>
    <w:unhideWhenUsed/>
    <w:rsid w:val="00911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B65"/>
    <w:rPr>
      <w:rFonts w:ascii="Tahoma" w:eastAsia="Calibri" w:hAnsi="Tahoma" w:cs="Tahoma"/>
      <w:sz w:val="16"/>
      <w:szCs w:val="16"/>
      <w:lang w:val="es-MX"/>
    </w:rPr>
  </w:style>
  <w:style w:type="character" w:styleId="CommentReference">
    <w:name w:val="annotation reference"/>
    <w:basedOn w:val="DefaultParagraphFont"/>
    <w:uiPriority w:val="99"/>
    <w:semiHidden/>
    <w:unhideWhenUsed/>
    <w:rsid w:val="00270CA6"/>
    <w:rPr>
      <w:sz w:val="16"/>
      <w:szCs w:val="16"/>
    </w:rPr>
  </w:style>
  <w:style w:type="paragraph" w:styleId="CommentText">
    <w:name w:val="annotation text"/>
    <w:basedOn w:val="Normal"/>
    <w:link w:val="CommentTextChar"/>
    <w:uiPriority w:val="99"/>
    <w:semiHidden/>
    <w:unhideWhenUsed/>
    <w:rsid w:val="00270CA6"/>
    <w:pPr>
      <w:spacing w:line="240" w:lineRule="auto"/>
    </w:pPr>
    <w:rPr>
      <w:sz w:val="20"/>
      <w:szCs w:val="20"/>
    </w:rPr>
  </w:style>
  <w:style w:type="character" w:customStyle="1" w:styleId="CommentTextChar">
    <w:name w:val="Comment Text Char"/>
    <w:basedOn w:val="DefaultParagraphFont"/>
    <w:link w:val="CommentText"/>
    <w:uiPriority w:val="99"/>
    <w:semiHidden/>
    <w:rsid w:val="00270CA6"/>
    <w:rPr>
      <w:rFonts w:ascii="Calibri" w:eastAsia="Calibri" w:hAnsi="Calibri" w:cs="Calibri"/>
      <w:sz w:val="20"/>
      <w:szCs w:val="20"/>
      <w:lang w:val="es-MX"/>
    </w:rPr>
  </w:style>
  <w:style w:type="paragraph" w:styleId="CommentSubject">
    <w:name w:val="annotation subject"/>
    <w:basedOn w:val="CommentText"/>
    <w:next w:val="CommentText"/>
    <w:link w:val="CommentSubjectChar"/>
    <w:uiPriority w:val="99"/>
    <w:semiHidden/>
    <w:unhideWhenUsed/>
    <w:rsid w:val="00270CA6"/>
    <w:rPr>
      <w:b/>
      <w:bCs/>
    </w:rPr>
  </w:style>
  <w:style w:type="character" w:customStyle="1" w:styleId="CommentSubjectChar">
    <w:name w:val="Comment Subject Char"/>
    <w:basedOn w:val="CommentTextChar"/>
    <w:link w:val="CommentSubject"/>
    <w:uiPriority w:val="99"/>
    <w:semiHidden/>
    <w:rsid w:val="00270CA6"/>
    <w:rPr>
      <w:rFonts w:ascii="Calibri" w:eastAsia="Calibri" w:hAnsi="Calibri" w:cs="Calibri"/>
      <w:b/>
      <w:bCs/>
      <w:sz w:val="20"/>
      <w:szCs w:val="20"/>
      <w:lang w:val="es-MX"/>
    </w:rPr>
  </w:style>
  <w:style w:type="paragraph" w:styleId="Header">
    <w:name w:val="header"/>
    <w:basedOn w:val="Normal"/>
    <w:link w:val="HeaderChar"/>
    <w:uiPriority w:val="99"/>
    <w:unhideWhenUsed/>
    <w:rsid w:val="009D137B"/>
    <w:pPr>
      <w:tabs>
        <w:tab w:val="center" w:pos="4419"/>
        <w:tab w:val="right" w:pos="8838"/>
      </w:tabs>
      <w:spacing w:after="0" w:line="240" w:lineRule="auto"/>
    </w:pPr>
  </w:style>
  <w:style w:type="character" w:customStyle="1" w:styleId="HeaderChar">
    <w:name w:val="Header Char"/>
    <w:basedOn w:val="DefaultParagraphFont"/>
    <w:link w:val="Header"/>
    <w:uiPriority w:val="99"/>
    <w:rsid w:val="009D137B"/>
    <w:rPr>
      <w:rFonts w:ascii="Calibri" w:eastAsia="Calibri" w:hAnsi="Calibri" w:cs="Calibri"/>
      <w:lang w:val="es-MX"/>
    </w:rPr>
  </w:style>
  <w:style w:type="paragraph" w:styleId="Footer">
    <w:name w:val="footer"/>
    <w:basedOn w:val="Normal"/>
    <w:link w:val="FooterChar"/>
    <w:uiPriority w:val="99"/>
    <w:unhideWhenUsed/>
    <w:rsid w:val="009D137B"/>
    <w:pPr>
      <w:tabs>
        <w:tab w:val="center" w:pos="4419"/>
        <w:tab w:val="right" w:pos="8838"/>
      </w:tabs>
      <w:spacing w:after="0" w:line="240" w:lineRule="auto"/>
    </w:pPr>
  </w:style>
  <w:style w:type="character" w:customStyle="1" w:styleId="FooterChar">
    <w:name w:val="Footer Char"/>
    <w:basedOn w:val="DefaultParagraphFont"/>
    <w:link w:val="Footer"/>
    <w:uiPriority w:val="99"/>
    <w:rsid w:val="009D137B"/>
    <w:rPr>
      <w:rFonts w:ascii="Calibri" w:eastAsia="Calibri" w:hAnsi="Calibri" w:cs="Calibri"/>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762"/>
    <w:rPr>
      <w:rFonts w:ascii="Calibri" w:eastAsia="Calibri" w:hAnsi="Calibri" w:cs="Calibri"/>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ink w:val="FootnoteText"/>
    <w:semiHidden/>
    <w:locked/>
    <w:rsid w:val="00015762"/>
    <w:rPr>
      <w:rFonts w:ascii="Verdana" w:eastAsia="Calibri" w:hAnsi="Verdana" w:cs="Verdana"/>
      <w:sz w:val="16"/>
      <w:szCs w:val="16"/>
      <w:lang w:val="es-ES_tradnl" w:eastAsia="es-ES"/>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Ca"/>
    <w:basedOn w:val="Normal"/>
    <w:link w:val="FootnoteTextChar1"/>
    <w:autoRedefine/>
    <w:uiPriority w:val="99"/>
    <w:unhideWhenUsed/>
    <w:qFormat/>
    <w:rsid w:val="00015762"/>
    <w:pPr>
      <w:tabs>
        <w:tab w:val="left" w:pos="567"/>
      </w:tabs>
      <w:spacing w:after="0" w:line="240" w:lineRule="auto"/>
      <w:jc w:val="both"/>
    </w:pPr>
    <w:rPr>
      <w:rFonts w:ascii="Verdana" w:hAnsi="Verdana" w:cs="Verdana"/>
      <w:sz w:val="16"/>
      <w:szCs w:val="16"/>
      <w:lang w:val="es-ES_tradnl" w:eastAsia="es-ES"/>
    </w:rPr>
  </w:style>
  <w:style w:type="character" w:customStyle="1" w:styleId="FootnoteTextChar">
    <w:name w:val="Footnote Text Char"/>
    <w:aliases w:val="footnote text Char,Footnote Text Cha Char,Ca Char,ft Char,FA Fuﬂnotentext Char"/>
    <w:basedOn w:val="DefaultParagraphFont"/>
    <w:uiPriority w:val="99"/>
    <w:rsid w:val="00015762"/>
    <w:rPr>
      <w:rFonts w:ascii="Calibri" w:eastAsia="Calibri" w:hAnsi="Calibri" w:cs="Calibri"/>
      <w:sz w:val="20"/>
      <w:szCs w:val="20"/>
      <w:lang w:val="es-MX"/>
    </w:rPr>
  </w:style>
  <w:style w:type="paragraph" w:styleId="ListParagraph">
    <w:name w:val="List Paragraph"/>
    <w:aliases w:val="Footnote,List Paragraph2"/>
    <w:basedOn w:val="Normal"/>
    <w:uiPriority w:val="34"/>
    <w:qFormat/>
    <w:rsid w:val="00015762"/>
    <w:pPr>
      <w:widowControl w:val="0"/>
      <w:numPr>
        <w:ilvl w:val="1"/>
        <w:numId w:val="1"/>
      </w:numPr>
      <w:autoSpaceDE w:val="0"/>
      <w:autoSpaceDN w:val="0"/>
      <w:adjustRightInd w:val="0"/>
      <w:spacing w:after="0" w:line="240" w:lineRule="auto"/>
      <w:ind w:right="22"/>
      <w:jc w:val="both"/>
    </w:pPr>
    <w:rPr>
      <w:rFonts w:ascii="Verdana" w:hAnsi="Verdana" w:cs="Verdana"/>
      <w:sz w:val="20"/>
      <w:szCs w:val="20"/>
    </w:rPr>
  </w:style>
  <w:style w:type="paragraph" w:customStyle="1" w:styleId="Sangradetindependiente2">
    <w:name w:val="Sangría de t. independiente2"/>
    <w:basedOn w:val="Normal"/>
    <w:rsid w:val="00015762"/>
    <w:pPr>
      <w:widowControl w:val="0"/>
      <w:spacing w:after="0" w:line="360" w:lineRule="atLeast"/>
    </w:pPr>
    <w:rPr>
      <w:rFonts w:ascii="Arial" w:eastAsia="Times New Roman" w:hAnsi="Arial" w:cs="Times New Roman"/>
      <w:sz w:val="24"/>
      <w:szCs w:val="20"/>
      <w:lang w:val="es-ES_tradnl"/>
    </w:rPr>
  </w:style>
  <w:style w:type="character" w:customStyle="1" w:styleId="FootnotesChar">
    <w:name w:val="**. Footnotes Char"/>
    <w:basedOn w:val="DefaultParagraphFont"/>
    <w:link w:val="Footnotes"/>
    <w:locked/>
    <w:rsid w:val="00015762"/>
    <w:rPr>
      <w:rFonts w:ascii="Verdana" w:eastAsia="Times New Roman" w:hAnsi="Verdana" w:cs="Palatino-Italic"/>
      <w:iCs/>
      <w:sz w:val="16"/>
      <w:szCs w:val="18"/>
      <w:lang w:val="es-ES" w:bidi="en-US"/>
    </w:rPr>
  </w:style>
  <w:style w:type="paragraph" w:customStyle="1" w:styleId="Footnotes">
    <w:name w:val="**. Footnotes"/>
    <w:basedOn w:val="FootnoteText"/>
    <w:link w:val="FootnotesChar"/>
    <w:autoRedefine/>
    <w:qFormat/>
    <w:rsid w:val="00015762"/>
    <w:rPr>
      <w:rFonts w:eastAsia="Times New Roman" w:cs="Palatino-Italic"/>
      <w:iCs/>
      <w:szCs w:val="18"/>
      <w:lang w:val="es-ES" w:eastAsia="en-US" w:bidi="en-US"/>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
    <w:basedOn w:val="DefaultParagraphFont"/>
    <w:uiPriority w:val="99"/>
    <w:unhideWhenUsed/>
    <w:qFormat/>
    <w:rsid w:val="00015762"/>
    <w:rPr>
      <w:rFonts w:ascii="Verdana" w:hAnsi="Verdana" w:cs="Verdana" w:hint="default"/>
      <w:sz w:val="16"/>
      <w:szCs w:val="16"/>
      <w:vertAlign w:val="superscript"/>
    </w:rPr>
  </w:style>
  <w:style w:type="character" w:styleId="Hyperlink">
    <w:name w:val="Hyperlink"/>
    <w:basedOn w:val="DefaultParagraphFont"/>
    <w:uiPriority w:val="99"/>
    <w:unhideWhenUsed/>
    <w:rsid w:val="00015762"/>
    <w:rPr>
      <w:color w:val="0000FF" w:themeColor="hyperlink"/>
      <w:u w:val="single"/>
    </w:rPr>
  </w:style>
  <w:style w:type="paragraph" w:styleId="BalloonText">
    <w:name w:val="Balloon Text"/>
    <w:basedOn w:val="Normal"/>
    <w:link w:val="BalloonTextChar"/>
    <w:uiPriority w:val="99"/>
    <w:semiHidden/>
    <w:unhideWhenUsed/>
    <w:rsid w:val="00911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B65"/>
    <w:rPr>
      <w:rFonts w:ascii="Tahoma" w:eastAsia="Calibri" w:hAnsi="Tahoma" w:cs="Tahoma"/>
      <w:sz w:val="16"/>
      <w:szCs w:val="16"/>
      <w:lang w:val="es-MX"/>
    </w:rPr>
  </w:style>
  <w:style w:type="character" w:styleId="CommentReference">
    <w:name w:val="annotation reference"/>
    <w:basedOn w:val="DefaultParagraphFont"/>
    <w:uiPriority w:val="99"/>
    <w:semiHidden/>
    <w:unhideWhenUsed/>
    <w:rsid w:val="00270CA6"/>
    <w:rPr>
      <w:sz w:val="16"/>
      <w:szCs w:val="16"/>
    </w:rPr>
  </w:style>
  <w:style w:type="paragraph" w:styleId="CommentText">
    <w:name w:val="annotation text"/>
    <w:basedOn w:val="Normal"/>
    <w:link w:val="CommentTextChar"/>
    <w:uiPriority w:val="99"/>
    <w:semiHidden/>
    <w:unhideWhenUsed/>
    <w:rsid w:val="00270CA6"/>
    <w:pPr>
      <w:spacing w:line="240" w:lineRule="auto"/>
    </w:pPr>
    <w:rPr>
      <w:sz w:val="20"/>
      <w:szCs w:val="20"/>
    </w:rPr>
  </w:style>
  <w:style w:type="character" w:customStyle="1" w:styleId="CommentTextChar">
    <w:name w:val="Comment Text Char"/>
    <w:basedOn w:val="DefaultParagraphFont"/>
    <w:link w:val="CommentText"/>
    <w:uiPriority w:val="99"/>
    <w:semiHidden/>
    <w:rsid w:val="00270CA6"/>
    <w:rPr>
      <w:rFonts w:ascii="Calibri" w:eastAsia="Calibri" w:hAnsi="Calibri" w:cs="Calibri"/>
      <w:sz w:val="20"/>
      <w:szCs w:val="20"/>
      <w:lang w:val="es-MX"/>
    </w:rPr>
  </w:style>
  <w:style w:type="paragraph" w:styleId="CommentSubject">
    <w:name w:val="annotation subject"/>
    <w:basedOn w:val="CommentText"/>
    <w:next w:val="CommentText"/>
    <w:link w:val="CommentSubjectChar"/>
    <w:uiPriority w:val="99"/>
    <w:semiHidden/>
    <w:unhideWhenUsed/>
    <w:rsid w:val="00270CA6"/>
    <w:rPr>
      <w:b/>
      <w:bCs/>
    </w:rPr>
  </w:style>
  <w:style w:type="character" w:customStyle="1" w:styleId="CommentSubjectChar">
    <w:name w:val="Comment Subject Char"/>
    <w:basedOn w:val="CommentTextChar"/>
    <w:link w:val="CommentSubject"/>
    <w:uiPriority w:val="99"/>
    <w:semiHidden/>
    <w:rsid w:val="00270CA6"/>
    <w:rPr>
      <w:rFonts w:ascii="Calibri" w:eastAsia="Calibri" w:hAnsi="Calibri" w:cs="Calibri"/>
      <w:b/>
      <w:bCs/>
      <w:sz w:val="20"/>
      <w:szCs w:val="20"/>
      <w:lang w:val="es-MX"/>
    </w:rPr>
  </w:style>
  <w:style w:type="paragraph" w:styleId="Header">
    <w:name w:val="header"/>
    <w:basedOn w:val="Normal"/>
    <w:link w:val="HeaderChar"/>
    <w:uiPriority w:val="99"/>
    <w:unhideWhenUsed/>
    <w:rsid w:val="009D137B"/>
    <w:pPr>
      <w:tabs>
        <w:tab w:val="center" w:pos="4419"/>
        <w:tab w:val="right" w:pos="8838"/>
      </w:tabs>
      <w:spacing w:after="0" w:line="240" w:lineRule="auto"/>
    </w:pPr>
  </w:style>
  <w:style w:type="character" w:customStyle="1" w:styleId="HeaderChar">
    <w:name w:val="Header Char"/>
    <w:basedOn w:val="DefaultParagraphFont"/>
    <w:link w:val="Header"/>
    <w:uiPriority w:val="99"/>
    <w:rsid w:val="009D137B"/>
    <w:rPr>
      <w:rFonts w:ascii="Calibri" w:eastAsia="Calibri" w:hAnsi="Calibri" w:cs="Calibri"/>
      <w:lang w:val="es-MX"/>
    </w:rPr>
  </w:style>
  <w:style w:type="paragraph" w:styleId="Footer">
    <w:name w:val="footer"/>
    <w:basedOn w:val="Normal"/>
    <w:link w:val="FooterChar"/>
    <w:uiPriority w:val="99"/>
    <w:unhideWhenUsed/>
    <w:rsid w:val="009D137B"/>
    <w:pPr>
      <w:tabs>
        <w:tab w:val="center" w:pos="4419"/>
        <w:tab w:val="right" w:pos="8838"/>
      </w:tabs>
      <w:spacing w:after="0" w:line="240" w:lineRule="auto"/>
    </w:pPr>
  </w:style>
  <w:style w:type="character" w:customStyle="1" w:styleId="FooterChar">
    <w:name w:val="Footer Char"/>
    <w:basedOn w:val="DefaultParagraphFont"/>
    <w:link w:val="Footer"/>
    <w:uiPriority w:val="99"/>
    <w:rsid w:val="009D137B"/>
    <w:rPr>
      <w:rFonts w:ascii="Calibri" w:eastAsia="Calibri" w:hAnsi="Calibri" w:cs="Calibri"/>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50536">
      <w:bodyDiv w:val="1"/>
      <w:marLeft w:val="0"/>
      <w:marRight w:val="0"/>
      <w:marTop w:val="0"/>
      <w:marBottom w:val="0"/>
      <w:divBdr>
        <w:top w:val="none" w:sz="0" w:space="0" w:color="auto"/>
        <w:left w:val="none" w:sz="0" w:space="0" w:color="auto"/>
        <w:bottom w:val="none" w:sz="0" w:space="0" w:color="auto"/>
        <w:right w:val="none" w:sz="0" w:space="0" w:color="auto"/>
      </w:divBdr>
    </w:div>
    <w:div w:id="715154811">
      <w:bodyDiv w:val="1"/>
      <w:marLeft w:val="0"/>
      <w:marRight w:val="0"/>
      <w:marTop w:val="0"/>
      <w:marBottom w:val="0"/>
      <w:divBdr>
        <w:top w:val="none" w:sz="0" w:space="0" w:color="auto"/>
        <w:left w:val="none" w:sz="0" w:space="0" w:color="auto"/>
        <w:bottom w:val="none" w:sz="0" w:space="0" w:color="auto"/>
        <w:right w:val="none" w:sz="0" w:space="0" w:color="auto"/>
      </w:divBdr>
    </w:div>
    <w:div w:id="890460737">
      <w:bodyDiv w:val="1"/>
      <w:marLeft w:val="0"/>
      <w:marRight w:val="0"/>
      <w:marTop w:val="0"/>
      <w:marBottom w:val="0"/>
      <w:divBdr>
        <w:top w:val="none" w:sz="0" w:space="0" w:color="auto"/>
        <w:left w:val="none" w:sz="0" w:space="0" w:color="auto"/>
        <w:bottom w:val="none" w:sz="0" w:space="0" w:color="auto"/>
        <w:right w:val="none" w:sz="0" w:space="0" w:color="auto"/>
      </w:divBdr>
    </w:div>
    <w:div w:id="1031031064">
      <w:bodyDiv w:val="1"/>
      <w:marLeft w:val="0"/>
      <w:marRight w:val="0"/>
      <w:marTop w:val="0"/>
      <w:marBottom w:val="0"/>
      <w:divBdr>
        <w:top w:val="none" w:sz="0" w:space="0" w:color="auto"/>
        <w:left w:val="none" w:sz="0" w:space="0" w:color="auto"/>
        <w:bottom w:val="none" w:sz="0" w:space="0" w:color="auto"/>
        <w:right w:val="none" w:sz="0" w:space="0" w:color="auto"/>
      </w:divBdr>
    </w:div>
    <w:div w:id="1431506803">
      <w:bodyDiv w:val="1"/>
      <w:marLeft w:val="0"/>
      <w:marRight w:val="0"/>
      <w:marTop w:val="0"/>
      <w:marBottom w:val="0"/>
      <w:divBdr>
        <w:top w:val="none" w:sz="0" w:space="0" w:color="auto"/>
        <w:left w:val="none" w:sz="0" w:space="0" w:color="auto"/>
        <w:bottom w:val="none" w:sz="0" w:space="0" w:color="auto"/>
        <w:right w:val="none" w:sz="0" w:space="0" w:color="auto"/>
      </w:divBdr>
    </w:div>
    <w:div w:id="1910924294">
      <w:bodyDiv w:val="1"/>
      <w:marLeft w:val="0"/>
      <w:marRight w:val="0"/>
      <w:marTop w:val="0"/>
      <w:marBottom w:val="0"/>
      <w:divBdr>
        <w:top w:val="none" w:sz="0" w:space="0" w:color="auto"/>
        <w:left w:val="none" w:sz="0" w:space="0" w:color="auto"/>
        <w:bottom w:val="none" w:sz="0" w:space="0" w:color="auto"/>
        <w:right w:val="none" w:sz="0" w:space="0" w:color="auto"/>
      </w:divBdr>
    </w:div>
    <w:div w:id="19577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idh.or.cr/docs/asuntos/sanmiguel_sosa_20_12_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B41CB-4745-46CD-A852-5E731B089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2964</Words>
  <Characters>16306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2</cp:revision>
  <cp:lastPrinted>2017-02-07T21:06:00Z</cp:lastPrinted>
  <dcterms:created xsi:type="dcterms:W3CDTF">2017-02-07T23:20:00Z</dcterms:created>
  <dcterms:modified xsi:type="dcterms:W3CDTF">2017-02-07T23:20:00Z</dcterms:modified>
</cp:coreProperties>
</file>