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3E09B" w14:textId="5A65E751" w:rsidR="00015762" w:rsidRDefault="00943A44" w:rsidP="00015762">
      <w:pPr>
        <w:spacing w:after="0"/>
        <w:rPr>
          <w:rFonts w:ascii="Verdana" w:hAnsi="Verdana" w:cs="Verdana"/>
          <w:sz w:val="20"/>
          <w:szCs w:val="20"/>
          <w:lang w:val="es-CR"/>
        </w:rPr>
      </w:pPr>
      <w:r>
        <w:rPr>
          <w:rFonts w:ascii="Verdana" w:hAnsi="Verdana" w:cs="Verdana"/>
          <w:sz w:val="20"/>
          <w:szCs w:val="20"/>
          <w:lang w:val="es-CR"/>
        </w:rPr>
        <w:t xml:space="preserve"> </w:t>
      </w:r>
      <w:bookmarkStart w:id="0" w:name="_GoBack"/>
      <w:bookmarkEnd w:id="0"/>
    </w:p>
    <w:p w14:paraId="3BEC7F50" w14:textId="77777777" w:rsidR="00015762" w:rsidRDefault="00015762" w:rsidP="00015762">
      <w:pPr>
        <w:spacing w:after="0"/>
        <w:rPr>
          <w:rFonts w:ascii="Verdana" w:hAnsi="Verdana" w:cs="Verdana"/>
          <w:sz w:val="20"/>
          <w:szCs w:val="20"/>
          <w:lang w:val="es-CR"/>
        </w:rPr>
      </w:pPr>
    </w:p>
    <w:p w14:paraId="7ADCF434" w14:textId="77777777" w:rsidR="00015762" w:rsidRDefault="00015762" w:rsidP="00015762">
      <w:pPr>
        <w:spacing w:after="0"/>
        <w:rPr>
          <w:rFonts w:ascii="Verdana" w:hAnsi="Verdana" w:cs="Verdana"/>
          <w:sz w:val="20"/>
          <w:szCs w:val="20"/>
          <w:lang w:val="es-CR"/>
        </w:rPr>
      </w:pPr>
    </w:p>
    <w:p w14:paraId="09916E6C" w14:textId="77777777" w:rsidR="00015762" w:rsidRDefault="00015762" w:rsidP="00015762">
      <w:pPr>
        <w:spacing w:after="0"/>
        <w:rPr>
          <w:rFonts w:ascii="Verdana" w:hAnsi="Verdana" w:cs="Verdana"/>
          <w:sz w:val="20"/>
          <w:szCs w:val="20"/>
          <w:lang w:val="es-CR"/>
        </w:rPr>
      </w:pPr>
    </w:p>
    <w:p w14:paraId="2B45DEB5" w14:textId="77777777" w:rsidR="00015762" w:rsidRDefault="00015762" w:rsidP="00015762">
      <w:pPr>
        <w:spacing w:after="0"/>
        <w:rPr>
          <w:rFonts w:ascii="Verdana" w:hAnsi="Verdana" w:cs="Verdana"/>
          <w:sz w:val="20"/>
          <w:szCs w:val="20"/>
          <w:lang w:val="es-CR"/>
        </w:rPr>
      </w:pPr>
    </w:p>
    <w:p w14:paraId="327D8572" w14:textId="77777777" w:rsidR="00015762" w:rsidRDefault="00015762" w:rsidP="00015762">
      <w:pPr>
        <w:spacing w:after="0"/>
        <w:rPr>
          <w:rFonts w:ascii="Verdana" w:hAnsi="Verdana" w:cs="Verdana"/>
          <w:sz w:val="20"/>
          <w:szCs w:val="20"/>
          <w:lang w:val="es-CR"/>
        </w:rPr>
      </w:pPr>
    </w:p>
    <w:p w14:paraId="14752907" w14:textId="77777777" w:rsidR="00015762" w:rsidRDefault="00015762" w:rsidP="00015762">
      <w:pPr>
        <w:spacing w:after="0"/>
        <w:jc w:val="center"/>
        <w:rPr>
          <w:rFonts w:ascii="Verdana" w:hAnsi="Verdana" w:cs="Verdana"/>
          <w:b/>
          <w:bCs/>
          <w:caps/>
          <w:sz w:val="20"/>
          <w:szCs w:val="20"/>
          <w:lang w:val="es-ES"/>
        </w:rPr>
      </w:pPr>
      <w:r>
        <w:rPr>
          <w:rFonts w:ascii="Verdana" w:hAnsi="Verdana" w:cs="Verdana"/>
          <w:b/>
          <w:bCs/>
          <w:caps/>
          <w:sz w:val="20"/>
          <w:szCs w:val="20"/>
          <w:lang w:val="es-ES"/>
        </w:rPr>
        <w:t>RESOLUCIÓN DE La</w:t>
      </w:r>
    </w:p>
    <w:p w14:paraId="6DB3B760" w14:textId="6EF81160" w:rsidR="00015762" w:rsidRDefault="00015762" w:rsidP="00015762">
      <w:pPr>
        <w:spacing w:after="0"/>
        <w:jc w:val="center"/>
        <w:rPr>
          <w:rFonts w:ascii="Verdana" w:hAnsi="Verdana" w:cs="Verdana"/>
          <w:b/>
          <w:bCs/>
          <w:caps/>
          <w:sz w:val="20"/>
          <w:szCs w:val="20"/>
          <w:lang w:val="es-ES"/>
        </w:rPr>
      </w:pPr>
      <w:r>
        <w:rPr>
          <w:rFonts w:ascii="Verdana" w:hAnsi="Verdana" w:cs="Verdana"/>
          <w:b/>
          <w:bCs/>
          <w:caps/>
          <w:sz w:val="20"/>
          <w:szCs w:val="20"/>
          <w:lang w:val="es-ES"/>
        </w:rPr>
        <w:t>corte INTERAMERICANA DE DERECHOS HUMANOS</w:t>
      </w:r>
      <w:r w:rsidR="005F4253">
        <w:rPr>
          <w:rStyle w:val="FootnoteReference"/>
          <w:b/>
          <w:bCs/>
          <w:caps/>
          <w:lang w:val="es-ES"/>
        </w:rPr>
        <w:footnoteReference w:id="1"/>
      </w:r>
      <w:r>
        <w:rPr>
          <w:rFonts w:ascii="Times New Roman" w:hAnsi="Times New Roman" w:cs="Times New Roman"/>
          <w:sz w:val="24"/>
          <w:szCs w:val="24"/>
          <w:lang w:val="es-CR" w:eastAsia="es-CR"/>
        </w:rPr>
        <w:t xml:space="preserve"> </w:t>
      </w:r>
    </w:p>
    <w:p w14:paraId="59D42616" w14:textId="0925C495" w:rsidR="00015762" w:rsidRDefault="00015762" w:rsidP="00015762">
      <w:pPr>
        <w:spacing w:after="0"/>
        <w:jc w:val="center"/>
        <w:rPr>
          <w:rFonts w:ascii="Verdana" w:hAnsi="Verdana" w:cs="Verdana"/>
          <w:b/>
          <w:bCs/>
          <w:caps/>
          <w:sz w:val="20"/>
          <w:szCs w:val="20"/>
          <w:lang w:val="es-ES"/>
        </w:rPr>
      </w:pPr>
    </w:p>
    <w:p w14:paraId="3AC5FE3F" w14:textId="59D22C3D" w:rsidR="00015762" w:rsidRDefault="00015762" w:rsidP="00015762">
      <w:pPr>
        <w:spacing w:after="0"/>
        <w:jc w:val="center"/>
        <w:rPr>
          <w:rFonts w:ascii="Verdana" w:hAnsi="Verdana" w:cs="Verdana"/>
          <w:b/>
          <w:bCs/>
          <w:caps/>
          <w:sz w:val="20"/>
          <w:szCs w:val="20"/>
          <w:lang w:val="es-ES"/>
        </w:rPr>
      </w:pPr>
      <w:r>
        <w:rPr>
          <w:rFonts w:ascii="Verdana" w:hAnsi="Verdana" w:cs="Verdana"/>
          <w:b/>
          <w:bCs/>
          <w:caps/>
          <w:sz w:val="20"/>
          <w:szCs w:val="20"/>
          <w:lang w:val="es-ES"/>
        </w:rPr>
        <w:t xml:space="preserve">DE </w:t>
      </w:r>
      <w:r w:rsidR="005F4253">
        <w:rPr>
          <w:rFonts w:ascii="Verdana" w:hAnsi="Verdana" w:cs="Verdana"/>
          <w:b/>
          <w:bCs/>
          <w:caps/>
          <w:sz w:val="20"/>
          <w:szCs w:val="20"/>
          <w:lang w:val="es-ES"/>
        </w:rPr>
        <w:t>18</w:t>
      </w:r>
      <w:r w:rsidR="008F33A1" w:rsidRPr="005F4253">
        <w:rPr>
          <w:rFonts w:ascii="Verdana" w:hAnsi="Verdana" w:cs="Verdana"/>
          <w:b/>
          <w:bCs/>
          <w:caps/>
          <w:sz w:val="20"/>
          <w:szCs w:val="20"/>
          <w:lang w:val="es-ES"/>
        </w:rPr>
        <w:t xml:space="preserve"> de mayo</w:t>
      </w:r>
      <w:r w:rsidR="00A50CC2">
        <w:rPr>
          <w:rFonts w:ascii="Verdana" w:hAnsi="Verdana" w:cs="Verdana"/>
          <w:b/>
          <w:bCs/>
          <w:caps/>
          <w:sz w:val="20"/>
          <w:szCs w:val="20"/>
          <w:lang w:val="es-ES"/>
        </w:rPr>
        <w:t xml:space="preserve"> DE 2017</w:t>
      </w:r>
    </w:p>
    <w:p w14:paraId="156BBEEB" w14:textId="77777777" w:rsidR="00015762" w:rsidRDefault="00015762" w:rsidP="00015762">
      <w:pPr>
        <w:spacing w:after="0"/>
        <w:jc w:val="center"/>
        <w:rPr>
          <w:rFonts w:ascii="Verdana" w:hAnsi="Verdana" w:cs="Verdana"/>
          <w:b/>
          <w:bCs/>
          <w:caps/>
          <w:sz w:val="20"/>
          <w:szCs w:val="20"/>
          <w:lang w:val="es-ES"/>
        </w:rPr>
      </w:pPr>
    </w:p>
    <w:p w14:paraId="6187F2F1" w14:textId="77777777" w:rsidR="00015762" w:rsidRDefault="00015762" w:rsidP="00015762">
      <w:pPr>
        <w:spacing w:after="0"/>
        <w:jc w:val="center"/>
        <w:rPr>
          <w:rFonts w:ascii="Verdana" w:hAnsi="Verdana" w:cs="Verdana"/>
          <w:b/>
          <w:bCs/>
          <w:caps/>
          <w:sz w:val="20"/>
          <w:szCs w:val="20"/>
          <w:lang w:val="es-ES"/>
        </w:rPr>
      </w:pPr>
      <w:r>
        <w:rPr>
          <w:rFonts w:ascii="Verdana" w:hAnsi="Verdana" w:cs="Verdana"/>
          <w:b/>
          <w:bCs/>
          <w:caps/>
          <w:sz w:val="20"/>
          <w:szCs w:val="20"/>
          <w:lang w:val="es-ES"/>
        </w:rPr>
        <w:t>CASO SAN MIGUEL SOSA Y OTRAS</w:t>
      </w:r>
      <w:r>
        <w:rPr>
          <w:rFonts w:ascii="Verdana" w:hAnsi="Verdana"/>
          <w:b/>
          <w:caps/>
          <w:sz w:val="20"/>
        </w:rPr>
        <w:t xml:space="preserve"> vs. VENEZUELA</w:t>
      </w:r>
    </w:p>
    <w:p w14:paraId="0B6ECD32" w14:textId="77777777" w:rsidR="00015762" w:rsidRDefault="00015762" w:rsidP="00015762">
      <w:pPr>
        <w:spacing w:after="0"/>
        <w:rPr>
          <w:rFonts w:ascii="Verdana" w:hAnsi="Verdana" w:cs="Verdana"/>
          <w:sz w:val="20"/>
          <w:szCs w:val="20"/>
          <w:lang w:val="es-CR"/>
        </w:rPr>
      </w:pPr>
    </w:p>
    <w:p w14:paraId="6A0D3103" w14:textId="77777777" w:rsidR="007F15BA" w:rsidRDefault="007F15BA" w:rsidP="00015762">
      <w:pPr>
        <w:spacing w:after="0"/>
        <w:rPr>
          <w:rFonts w:ascii="Verdana" w:hAnsi="Verdana" w:cs="Verdana"/>
          <w:sz w:val="20"/>
          <w:szCs w:val="20"/>
          <w:lang w:val="es-CR"/>
        </w:rPr>
      </w:pPr>
    </w:p>
    <w:p w14:paraId="34C29B5B" w14:textId="77777777" w:rsidR="00015762" w:rsidRDefault="00015762" w:rsidP="00015762">
      <w:pPr>
        <w:spacing w:after="0" w:line="240" w:lineRule="auto"/>
        <w:rPr>
          <w:rFonts w:ascii="Verdana" w:hAnsi="Verdana" w:cs="Verdana"/>
          <w:b/>
          <w:bCs/>
          <w:sz w:val="20"/>
          <w:szCs w:val="20"/>
          <w:lang w:val="es-CR"/>
        </w:rPr>
      </w:pPr>
      <w:r>
        <w:rPr>
          <w:rFonts w:ascii="Verdana" w:hAnsi="Verdana" w:cs="Verdana"/>
          <w:b/>
          <w:bCs/>
          <w:sz w:val="20"/>
          <w:szCs w:val="20"/>
          <w:lang w:val="es-CR"/>
        </w:rPr>
        <w:t>VISTO:</w:t>
      </w:r>
    </w:p>
    <w:p w14:paraId="28CEC1A2" w14:textId="77777777" w:rsidR="00015762" w:rsidRPr="004A1B32" w:rsidRDefault="00015762" w:rsidP="004A1B32">
      <w:pPr>
        <w:pStyle w:val="ListParagraph"/>
        <w:widowControl/>
        <w:numPr>
          <w:ilvl w:val="0"/>
          <w:numId w:val="0"/>
        </w:numPr>
        <w:tabs>
          <w:tab w:val="left" w:pos="708"/>
        </w:tabs>
        <w:adjustRightInd/>
        <w:ind w:right="0"/>
      </w:pPr>
      <w:bookmarkStart w:id="1" w:name="_Ref352013213"/>
      <w:bookmarkStart w:id="2" w:name="_Ref227741125"/>
    </w:p>
    <w:bookmarkEnd w:id="1"/>
    <w:bookmarkEnd w:id="2"/>
    <w:p w14:paraId="1EE739F2" w14:textId="77777777" w:rsidR="000944F9" w:rsidRDefault="00015762" w:rsidP="000944F9">
      <w:pPr>
        <w:pStyle w:val="ListParagraph"/>
        <w:widowControl/>
        <w:numPr>
          <w:ilvl w:val="0"/>
          <w:numId w:val="2"/>
        </w:numPr>
        <w:tabs>
          <w:tab w:val="left" w:pos="708"/>
        </w:tabs>
        <w:adjustRightInd/>
        <w:ind w:left="0" w:right="0" w:firstLine="0"/>
        <w:rPr>
          <w:lang w:val="es-CR"/>
        </w:rPr>
      </w:pPr>
      <w:r>
        <w:t xml:space="preserve">La Resolución del Presidente de la Corte Interamericana </w:t>
      </w:r>
      <w:r w:rsidRPr="00D01F78">
        <w:t>de Derechos Humanos (en adelante “la Corte” o “el Tribunal”) de 20 de diciembre de 2016</w:t>
      </w:r>
      <w:r w:rsidRPr="006423D1">
        <w:rPr>
          <w:rStyle w:val="FootnoteReference"/>
          <w:sz w:val="20"/>
          <w:szCs w:val="20"/>
        </w:rPr>
        <w:footnoteReference w:id="2"/>
      </w:r>
      <w:r w:rsidRPr="006423D1">
        <w:t>.</w:t>
      </w:r>
    </w:p>
    <w:p w14:paraId="27A6C771" w14:textId="77777777" w:rsidR="000944F9" w:rsidRDefault="000944F9" w:rsidP="000944F9">
      <w:pPr>
        <w:pStyle w:val="ListParagraph"/>
        <w:widowControl/>
        <w:numPr>
          <w:ilvl w:val="0"/>
          <w:numId w:val="0"/>
        </w:numPr>
        <w:tabs>
          <w:tab w:val="left" w:pos="708"/>
        </w:tabs>
        <w:adjustRightInd/>
        <w:ind w:right="0"/>
        <w:rPr>
          <w:lang w:val="es-CR"/>
        </w:rPr>
      </w:pPr>
    </w:p>
    <w:p w14:paraId="04E0A5F0" w14:textId="77AAAA94" w:rsidR="003F2356" w:rsidRPr="003F2356" w:rsidRDefault="003F2356" w:rsidP="00661E63">
      <w:pPr>
        <w:pStyle w:val="ListParagraph"/>
        <w:widowControl/>
        <w:numPr>
          <w:ilvl w:val="0"/>
          <w:numId w:val="2"/>
        </w:numPr>
        <w:tabs>
          <w:tab w:val="left" w:pos="708"/>
        </w:tabs>
        <w:adjustRightInd/>
        <w:ind w:left="0" w:right="0" w:firstLine="0"/>
        <w:rPr>
          <w:lang w:val="es-CR"/>
        </w:rPr>
      </w:pPr>
      <w:r>
        <w:rPr>
          <w:lang w:val="es-CR"/>
        </w:rPr>
        <w:t xml:space="preserve">La audiencia pública celebrada </w:t>
      </w:r>
      <w:r>
        <w:t>el día 14 de febrero de 2017, durante el 117° Período Ordinario de Sesiones</w:t>
      </w:r>
      <w:r w:rsidRPr="003F2356">
        <w:t xml:space="preserve"> </w:t>
      </w:r>
      <w:r>
        <w:t xml:space="preserve">de la Corte, en su sede, en la cual </w:t>
      </w:r>
      <w:r w:rsidR="00CC2A29">
        <w:t>ésta</w:t>
      </w:r>
      <w:r>
        <w:t xml:space="preserve"> recibió las declaraciones de una presunta víctima y de tres peritos, así como los alegatos y observaciones finales orales del representante de las presuntas víctimas (en adelante “el representante”), </w:t>
      </w:r>
      <w:r>
        <w:rPr>
          <w:lang w:val="es-ES"/>
        </w:rPr>
        <w:t xml:space="preserve">del Estado </w:t>
      </w:r>
      <w:r>
        <w:t>de Venezuela (en adelante “el Estado”) y de la Comisión Interamericana de Derechos Humanos (en adelante “la Comisión”), respectivamente, sobre el fondo y eventuales reparaciones y costas</w:t>
      </w:r>
      <w:r w:rsidR="00602691">
        <w:t xml:space="preserve"> del presente caso</w:t>
      </w:r>
      <w:r>
        <w:t xml:space="preserve">, así como la respectiva grabación de la </w:t>
      </w:r>
      <w:r w:rsidRPr="003F2356">
        <w:t>audiencia</w:t>
      </w:r>
      <w:r w:rsidRPr="003F2356">
        <w:rPr>
          <w:rStyle w:val="FootnoteReference"/>
          <w:sz w:val="20"/>
          <w:szCs w:val="20"/>
        </w:rPr>
        <w:footnoteReference w:id="3"/>
      </w:r>
      <w:r w:rsidRPr="003F2356">
        <w:t>.</w:t>
      </w:r>
    </w:p>
    <w:p w14:paraId="394AA016" w14:textId="77777777" w:rsidR="003F2356" w:rsidRDefault="003F2356" w:rsidP="003F2356">
      <w:pPr>
        <w:pStyle w:val="ListParagraph"/>
        <w:numPr>
          <w:ilvl w:val="0"/>
          <w:numId w:val="0"/>
        </w:numPr>
        <w:rPr>
          <w:lang w:val="es-ES"/>
        </w:rPr>
      </w:pPr>
    </w:p>
    <w:p w14:paraId="37917544" w14:textId="17B906E6" w:rsidR="00661E63" w:rsidRPr="00661E63" w:rsidRDefault="00661E63" w:rsidP="00661E63">
      <w:pPr>
        <w:pStyle w:val="ListParagraph"/>
        <w:widowControl/>
        <w:numPr>
          <w:ilvl w:val="0"/>
          <w:numId w:val="2"/>
        </w:numPr>
        <w:tabs>
          <w:tab w:val="left" w:pos="708"/>
        </w:tabs>
        <w:adjustRightInd/>
        <w:ind w:left="0" w:right="0" w:firstLine="0"/>
        <w:rPr>
          <w:lang w:val="es-CR"/>
        </w:rPr>
      </w:pPr>
      <w:r>
        <w:rPr>
          <w:lang w:val="es-ES"/>
        </w:rPr>
        <w:t>Los</w:t>
      </w:r>
      <w:r w:rsidRPr="00661E63">
        <w:rPr>
          <w:lang w:val="es-ES"/>
        </w:rPr>
        <w:t xml:space="preserve"> </w:t>
      </w:r>
      <w:r>
        <w:rPr>
          <w:lang w:val="es-ES"/>
        </w:rPr>
        <w:t xml:space="preserve">escritos </w:t>
      </w:r>
      <w:r w:rsidRPr="00661E63">
        <w:rPr>
          <w:lang w:val="es-ES"/>
        </w:rPr>
        <w:t xml:space="preserve">de 15 de marzo de 2017, </w:t>
      </w:r>
      <w:r>
        <w:rPr>
          <w:lang w:val="es-ES"/>
        </w:rPr>
        <w:t xml:space="preserve">mediante los </w:t>
      </w:r>
      <w:r w:rsidRPr="00661E63">
        <w:rPr>
          <w:lang w:val="es-ES"/>
        </w:rPr>
        <w:t>cual</w:t>
      </w:r>
      <w:r>
        <w:rPr>
          <w:lang w:val="es-ES"/>
        </w:rPr>
        <w:t>es</w:t>
      </w:r>
      <w:r w:rsidRPr="00661E63">
        <w:rPr>
          <w:lang w:val="es-ES"/>
        </w:rPr>
        <w:t xml:space="preserve"> </w:t>
      </w:r>
      <w:r>
        <w:t xml:space="preserve">Comisión </w:t>
      </w:r>
      <w:r w:rsidR="003F2356">
        <w:rPr>
          <w:lang w:val="es-ES"/>
        </w:rPr>
        <w:t xml:space="preserve">y el Estado </w:t>
      </w:r>
      <w:r>
        <w:rPr>
          <w:lang w:val="es-ES"/>
        </w:rPr>
        <w:t>remitieron</w:t>
      </w:r>
      <w:r w:rsidRPr="00661E63">
        <w:rPr>
          <w:lang w:val="es-ES"/>
        </w:rPr>
        <w:t xml:space="preserve"> sus observaciones finales escritas</w:t>
      </w:r>
      <w:r>
        <w:rPr>
          <w:lang w:val="es-ES"/>
        </w:rPr>
        <w:t xml:space="preserve"> y alegatos finales escritos, respectivamente</w:t>
      </w:r>
      <w:r w:rsidRPr="00661E63">
        <w:rPr>
          <w:lang w:val="es-ES"/>
        </w:rPr>
        <w:t>.</w:t>
      </w:r>
    </w:p>
    <w:p w14:paraId="6C8E48F8" w14:textId="0220F897" w:rsidR="00661E63" w:rsidRDefault="00661E63" w:rsidP="00661E63">
      <w:pPr>
        <w:pStyle w:val="ListParagraph"/>
        <w:widowControl/>
        <w:numPr>
          <w:ilvl w:val="0"/>
          <w:numId w:val="0"/>
        </w:numPr>
        <w:tabs>
          <w:tab w:val="left" w:pos="708"/>
        </w:tabs>
        <w:adjustRightInd/>
        <w:ind w:right="0"/>
        <w:rPr>
          <w:lang w:val="es-CR"/>
        </w:rPr>
      </w:pPr>
    </w:p>
    <w:p w14:paraId="7FBFA224" w14:textId="6025A51C" w:rsidR="003F2356" w:rsidRPr="003F2356" w:rsidRDefault="00661E63" w:rsidP="00661E63">
      <w:pPr>
        <w:pStyle w:val="ListParagraph"/>
        <w:widowControl/>
        <w:numPr>
          <w:ilvl w:val="0"/>
          <w:numId w:val="2"/>
        </w:numPr>
        <w:tabs>
          <w:tab w:val="left" w:pos="708"/>
        </w:tabs>
        <w:adjustRightInd/>
        <w:ind w:left="0" w:right="0" w:firstLine="0"/>
        <w:rPr>
          <w:lang w:val="es-CR"/>
        </w:rPr>
      </w:pPr>
      <w:r>
        <w:rPr>
          <w:lang w:val="es-ES"/>
        </w:rPr>
        <w:t xml:space="preserve">El escrito de 15 de marzo de </w:t>
      </w:r>
      <w:r w:rsidRPr="00602691">
        <w:rPr>
          <w:lang w:val="es-ES"/>
        </w:rPr>
        <w:t xml:space="preserve">2017, mediante </w:t>
      </w:r>
      <w:r w:rsidR="003F2356" w:rsidRPr="00602691">
        <w:rPr>
          <w:lang w:val="es-ES"/>
        </w:rPr>
        <w:t xml:space="preserve">el cual </w:t>
      </w:r>
      <w:r w:rsidR="003F2356" w:rsidRPr="00602691">
        <w:t>el representante</w:t>
      </w:r>
      <w:r w:rsidR="007F15BA" w:rsidRPr="00602691">
        <w:rPr>
          <w:rStyle w:val="FootnoteReference"/>
          <w:sz w:val="20"/>
          <w:szCs w:val="20"/>
        </w:rPr>
        <w:footnoteReference w:id="4"/>
      </w:r>
      <w:r w:rsidR="003F2356" w:rsidRPr="00602691">
        <w:t xml:space="preserve"> remitió </w:t>
      </w:r>
      <w:r w:rsidRPr="00602691">
        <w:rPr>
          <w:lang w:val="es-ES"/>
        </w:rPr>
        <w:t>sus alegatos finales escritos</w:t>
      </w:r>
      <w:r w:rsidR="00CC2A29" w:rsidRPr="00602691">
        <w:rPr>
          <w:lang w:val="es-ES"/>
        </w:rPr>
        <w:t xml:space="preserve"> y</w:t>
      </w:r>
      <w:r w:rsidR="003F2356" w:rsidRPr="00602691">
        <w:t xml:space="preserve"> planteó una “cuestión de previo y especial pronunciamiento sobre la integración de la Corte en este caso”.</w:t>
      </w:r>
      <w:r w:rsidR="003F2356">
        <w:t xml:space="preserve"> </w:t>
      </w:r>
    </w:p>
    <w:p w14:paraId="4F593B8F" w14:textId="77777777" w:rsidR="003F2356" w:rsidRDefault="003F2356" w:rsidP="003F2356">
      <w:pPr>
        <w:pStyle w:val="ListParagraph"/>
        <w:numPr>
          <w:ilvl w:val="0"/>
          <w:numId w:val="0"/>
        </w:numPr>
      </w:pPr>
    </w:p>
    <w:p w14:paraId="19BAF27D" w14:textId="33354E7A" w:rsidR="00661E63" w:rsidRPr="003F2356" w:rsidRDefault="003F2356" w:rsidP="00661E63">
      <w:pPr>
        <w:pStyle w:val="ListParagraph"/>
        <w:widowControl/>
        <w:numPr>
          <w:ilvl w:val="0"/>
          <w:numId w:val="2"/>
        </w:numPr>
        <w:tabs>
          <w:tab w:val="left" w:pos="708"/>
        </w:tabs>
        <w:adjustRightInd/>
        <w:ind w:left="0" w:right="0" w:firstLine="0"/>
        <w:rPr>
          <w:lang w:val="es-CR"/>
        </w:rPr>
      </w:pPr>
      <w:r>
        <w:t>La nota de Secretaría de 29 de marzo de 2017, mediante la cual, siguiendo instrucciones del Presidente de la Corte, se otorgó plazo hasta el 7 de abril de 2017 para que la Comisión y el Estado presentaran las observaciones que estim</w:t>
      </w:r>
      <w:r w:rsidR="00602691">
        <w:t>ar</w:t>
      </w:r>
      <w:r>
        <w:t>en pertinentes específicamente sobre dicha “cuestión” y se informó que, una vez recibidas</w:t>
      </w:r>
      <w:r w:rsidR="00CC2A29">
        <w:t>, lo planteado sería</w:t>
      </w:r>
      <w:r>
        <w:t xml:space="preserve"> puesto en conocimiento del Pleno de la Corte.</w:t>
      </w:r>
    </w:p>
    <w:p w14:paraId="086909AC" w14:textId="2F93683D" w:rsidR="003F2356" w:rsidRDefault="003F2356" w:rsidP="003F2356">
      <w:pPr>
        <w:pStyle w:val="ListParagraph"/>
        <w:widowControl/>
        <w:numPr>
          <w:ilvl w:val="0"/>
          <w:numId w:val="0"/>
        </w:numPr>
        <w:tabs>
          <w:tab w:val="left" w:pos="708"/>
        </w:tabs>
        <w:adjustRightInd/>
        <w:ind w:right="0"/>
        <w:rPr>
          <w:lang w:val="es-CR"/>
        </w:rPr>
      </w:pPr>
    </w:p>
    <w:p w14:paraId="58654EF7" w14:textId="0D4500B1" w:rsidR="003F2356" w:rsidRPr="003F2356" w:rsidRDefault="003F2356" w:rsidP="00661E63">
      <w:pPr>
        <w:pStyle w:val="ListParagraph"/>
        <w:widowControl/>
        <w:numPr>
          <w:ilvl w:val="0"/>
          <w:numId w:val="2"/>
        </w:numPr>
        <w:tabs>
          <w:tab w:val="left" w:pos="708"/>
        </w:tabs>
        <w:adjustRightInd/>
        <w:ind w:left="0" w:right="0" w:firstLine="0"/>
        <w:rPr>
          <w:lang w:val="es-CR"/>
        </w:rPr>
      </w:pPr>
      <w:r>
        <w:rPr>
          <w:lang w:val="es-ES"/>
        </w:rPr>
        <w:lastRenderedPageBreak/>
        <w:t xml:space="preserve">El escrito de </w:t>
      </w:r>
      <w:r w:rsidR="00916DA3">
        <w:t>6</w:t>
      </w:r>
      <w:r>
        <w:t xml:space="preserve"> de abril de 2017, mediante el cual el Estado remitió sus observaciones.</w:t>
      </w:r>
    </w:p>
    <w:p w14:paraId="58AA6D85" w14:textId="4C391B71" w:rsidR="003F2356" w:rsidRDefault="003F2356" w:rsidP="003F2356">
      <w:pPr>
        <w:pStyle w:val="ListParagraph"/>
        <w:widowControl/>
        <w:numPr>
          <w:ilvl w:val="0"/>
          <w:numId w:val="0"/>
        </w:numPr>
        <w:tabs>
          <w:tab w:val="left" w:pos="708"/>
        </w:tabs>
        <w:adjustRightInd/>
        <w:ind w:right="0"/>
        <w:rPr>
          <w:lang w:val="es-CR"/>
        </w:rPr>
      </w:pPr>
    </w:p>
    <w:p w14:paraId="4BA30A49" w14:textId="21FCFEAC" w:rsidR="003F2356" w:rsidRPr="00661E63" w:rsidRDefault="003F2356" w:rsidP="00661E63">
      <w:pPr>
        <w:pStyle w:val="ListParagraph"/>
        <w:widowControl/>
        <w:numPr>
          <w:ilvl w:val="0"/>
          <w:numId w:val="2"/>
        </w:numPr>
        <w:tabs>
          <w:tab w:val="left" w:pos="708"/>
        </w:tabs>
        <w:adjustRightInd/>
        <w:ind w:left="0" w:right="0" w:firstLine="0"/>
        <w:rPr>
          <w:lang w:val="es-CR"/>
        </w:rPr>
      </w:pPr>
      <w:r>
        <w:t>La comunicación de 7 de abril de 2017, mediante la cual la Comisión indicó que no tiene observaciones respecto del planteamiento del representante.</w:t>
      </w:r>
    </w:p>
    <w:p w14:paraId="6C5B7215" w14:textId="77777777" w:rsidR="00CC2A29" w:rsidRDefault="00CC2A29" w:rsidP="00015762">
      <w:pPr>
        <w:spacing w:after="0"/>
        <w:rPr>
          <w:rFonts w:ascii="Verdana" w:hAnsi="Verdana" w:cs="Verdana"/>
          <w:b/>
          <w:bCs/>
          <w:sz w:val="20"/>
          <w:szCs w:val="20"/>
          <w:lang w:val="es-CR"/>
        </w:rPr>
      </w:pPr>
    </w:p>
    <w:p w14:paraId="171E33DB" w14:textId="77777777" w:rsidR="007F15BA" w:rsidRDefault="007F15BA" w:rsidP="00015762">
      <w:pPr>
        <w:spacing w:after="0"/>
        <w:rPr>
          <w:rFonts w:ascii="Verdana" w:hAnsi="Verdana" w:cs="Verdana"/>
          <w:b/>
          <w:bCs/>
          <w:sz w:val="20"/>
          <w:szCs w:val="20"/>
          <w:lang w:val="es-CR"/>
        </w:rPr>
      </w:pPr>
    </w:p>
    <w:p w14:paraId="47552F51" w14:textId="77777777" w:rsidR="00015762" w:rsidRDefault="00015762" w:rsidP="00015762">
      <w:pPr>
        <w:spacing w:after="0"/>
        <w:rPr>
          <w:rFonts w:ascii="Verdana" w:hAnsi="Verdana" w:cs="Verdana"/>
          <w:b/>
          <w:bCs/>
          <w:sz w:val="20"/>
          <w:szCs w:val="20"/>
          <w:lang w:val="es-CR"/>
        </w:rPr>
      </w:pPr>
      <w:r>
        <w:rPr>
          <w:rFonts w:ascii="Verdana" w:hAnsi="Verdana" w:cs="Verdana"/>
          <w:b/>
          <w:bCs/>
          <w:sz w:val="20"/>
          <w:szCs w:val="20"/>
          <w:lang w:val="es-CR"/>
        </w:rPr>
        <w:t>CONSIDERANDO QUE:</w:t>
      </w:r>
    </w:p>
    <w:p w14:paraId="2A04FF8F" w14:textId="77777777" w:rsidR="00015762" w:rsidRPr="00651619" w:rsidRDefault="00015762" w:rsidP="00651619">
      <w:pPr>
        <w:spacing w:after="0"/>
        <w:jc w:val="both"/>
        <w:rPr>
          <w:rFonts w:ascii="Verdana" w:hAnsi="Verdana" w:cs="Verdana"/>
          <w:bCs/>
          <w:sz w:val="20"/>
          <w:szCs w:val="20"/>
          <w:lang w:val="es-CR"/>
        </w:rPr>
      </w:pPr>
    </w:p>
    <w:p w14:paraId="26E73990" w14:textId="69B2400E" w:rsidR="00CC2A29" w:rsidRPr="007F15BA" w:rsidRDefault="00CC2A29" w:rsidP="00651619">
      <w:pPr>
        <w:pStyle w:val="ListParagraph"/>
        <w:numPr>
          <w:ilvl w:val="3"/>
          <w:numId w:val="2"/>
        </w:numPr>
        <w:ind w:left="0" w:firstLine="0"/>
        <w:rPr>
          <w:bCs/>
          <w:lang w:val="es-CR"/>
        </w:rPr>
      </w:pPr>
      <w:r w:rsidRPr="00651619">
        <w:rPr>
          <w:bCs/>
          <w:lang w:val="es-CR"/>
        </w:rPr>
        <w:t>En su</w:t>
      </w:r>
      <w:r w:rsidR="00651619">
        <w:rPr>
          <w:bCs/>
          <w:lang w:val="es-CR"/>
        </w:rPr>
        <w:t>s alegatos finales</w:t>
      </w:r>
      <w:r w:rsidRPr="00651619">
        <w:rPr>
          <w:bCs/>
          <w:lang w:val="es-CR"/>
        </w:rPr>
        <w:t xml:space="preserve"> escrito</w:t>
      </w:r>
      <w:r w:rsidR="00651619">
        <w:rPr>
          <w:bCs/>
          <w:lang w:val="es-CR"/>
        </w:rPr>
        <w:t>s</w:t>
      </w:r>
      <w:r w:rsidRPr="00651619">
        <w:rPr>
          <w:bCs/>
          <w:lang w:val="es-CR"/>
        </w:rPr>
        <w:t xml:space="preserve"> el representante </w:t>
      </w:r>
      <w:r w:rsidR="00651619">
        <w:rPr>
          <w:bCs/>
          <w:lang w:val="es-CR"/>
        </w:rPr>
        <w:t>planteó</w:t>
      </w:r>
      <w:r w:rsidRPr="00651619">
        <w:rPr>
          <w:bCs/>
          <w:lang w:val="es-CR"/>
        </w:rPr>
        <w:t xml:space="preserve"> una cuestión “de prev</w:t>
      </w:r>
      <w:r w:rsidR="00651619">
        <w:rPr>
          <w:bCs/>
          <w:lang w:val="es-CR"/>
        </w:rPr>
        <w:t>io y especial pronunciamiento”</w:t>
      </w:r>
      <w:r w:rsidR="00E1627C">
        <w:rPr>
          <w:bCs/>
          <w:lang w:val="es-CR"/>
        </w:rPr>
        <w:t>, a saber</w:t>
      </w:r>
      <w:r w:rsidR="00651619">
        <w:rPr>
          <w:bCs/>
          <w:lang w:val="es-CR"/>
        </w:rPr>
        <w:t xml:space="preserve">: </w:t>
      </w:r>
      <w:r w:rsidRPr="00651619">
        <w:rPr>
          <w:color w:val="000000"/>
        </w:rPr>
        <w:t xml:space="preserve">“para los efectos de la integración del tribunal, el principio de la inmediación y la práctica internacional requieren la participación previa del juez en las audiencias. En el presente caso, por razones de salud, </w:t>
      </w:r>
      <w:r w:rsidRPr="00651619">
        <w:rPr>
          <w:bCs/>
          <w:color w:val="000000"/>
        </w:rPr>
        <w:t xml:space="preserve">el </w:t>
      </w:r>
      <w:r w:rsidR="00E1627C">
        <w:rPr>
          <w:bCs/>
          <w:color w:val="000000"/>
        </w:rPr>
        <w:t>P</w:t>
      </w:r>
      <w:r w:rsidRPr="00651619">
        <w:rPr>
          <w:bCs/>
          <w:color w:val="000000"/>
        </w:rPr>
        <w:t xml:space="preserve">residente de la Corte, juez Roberto Caldas, lamentablemente se vio impedido de participar en la audiencia </w:t>
      </w:r>
      <w:r w:rsidRPr="00651619">
        <w:rPr>
          <w:color w:val="000000"/>
        </w:rPr>
        <w:t xml:space="preserve">que se celebró el 14 de febrero pasado. </w:t>
      </w:r>
      <w:r w:rsidRPr="00651619">
        <w:rPr>
          <w:bCs/>
          <w:color w:val="000000"/>
        </w:rPr>
        <w:t>Esa circunstancia impide contar con su participación en las deliberaciones de la Corte sobre este caso y, por supuesto, en la adopción de la sentencia</w:t>
      </w:r>
      <w:r w:rsidRPr="00651619">
        <w:rPr>
          <w:color w:val="000000"/>
        </w:rPr>
        <w:t>”.</w:t>
      </w:r>
      <w:r w:rsidR="00651619">
        <w:rPr>
          <w:color w:val="000000"/>
        </w:rPr>
        <w:t xml:space="preserve"> </w:t>
      </w:r>
      <w:r w:rsidR="007F15BA">
        <w:rPr>
          <w:color w:val="000000"/>
        </w:rPr>
        <w:t>S</w:t>
      </w:r>
      <w:r w:rsidR="00651619">
        <w:rPr>
          <w:color w:val="000000"/>
        </w:rPr>
        <w:t xml:space="preserve">olicitó </w:t>
      </w:r>
      <w:r w:rsidR="007F15BA">
        <w:rPr>
          <w:color w:val="000000"/>
        </w:rPr>
        <w:t xml:space="preserve">al Tribunal </w:t>
      </w:r>
      <w:r w:rsidR="00651619">
        <w:rPr>
          <w:color w:val="000000"/>
        </w:rPr>
        <w:t xml:space="preserve">que “ratifique lo que ha sido una práctica constante, que está recogida en una resolución procesal [sic] de septiembre de 1995, que </w:t>
      </w:r>
      <w:r w:rsidR="00916DA3">
        <w:rPr>
          <w:color w:val="000000"/>
        </w:rPr>
        <w:t xml:space="preserve">responde a un sano principio de derecho, y que da garantías de transparencia </w:t>
      </w:r>
      <w:r w:rsidR="00651619">
        <w:rPr>
          <w:color w:val="000000"/>
        </w:rPr>
        <w:t>y d</w:t>
      </w:r>
      <w:r w:rsidR="00916DA3">
        <w:rPr>
          <w:color w:val="000000"/>
        </w:rPr>
        <w:t>e</w:t>
      </w:r>
      <w:r w:rsidR="00651619">
        <w:rPr>
          <w:color w:val="000000"/>
        </w:rPr>
        <w:t xml:space="preserve"> seguri</w:t>
      </w:r>
      <w:r w:rsidR="00916DA3">
        <w:rPr>
          <w:color w:val="000000"/>
        </w:rPr>
        <w:t xml:space="preserve">dad a las partes, señalando </w:t>
      </w:r>
      <w:proofErr w:type="gramStart"/>
      <w:r w:rsidR="00916DA3">
        <w:rPr>
          <w:color w:val="000000"/>
        </w:rPr>
        <w:t>que</w:t>
      </w:r>
      <w:r w:rsidR="00651619">
        <w:rPr>
          <w:color w:val="000000"/>
        </w:rPr>
        <w:t>[</w:t>
      </w:r>
      <w:proofErr w:type="gramEnd"/>
      <w:r w:rsidR="00916DA3">
        <w:rPr>
          <w:color w:val="000000"/>
        </w:rPr>
        <w:t xml:space="preserve">, </w:t>
      </w:r>
      <w:r w:rsidR="00651619">
        <w:rPr>
          <w:color w:val="000000"/>
        </w:rPr>
        <w:t>en este caso</w:t>
      </w:r>
      <w:r w:rsidR="00916DA3">
        <w:rPr>
          <w:color w:val="000000"/>
        </w:rPr>
        <w:t>,</w:t>
      </w:r>
      <w:r w:rsidR="00651619">
        <w:rPr>
          <w:color w:val="000000"/>
        </w:rPr>
        <w:t>] la deliberación y la adopción de la sentencia está reservada a los jueces que participaron en la audiencia”.</w:t>
      </w:r>
    </w:p>
    <w:p w14:paraId="0107DF86" w14:textId="43F5F368" w:rsidR="007F15BA" w:rsidRPr="007F15BA" w:rsidRDefault="007F15BA" w:rsidP="007F15BA">
      <w:pPr>
        <w:pStyle w:val="ListParagraph"/>
        <w:numPr>
          <w:ilvl w:val="0"/>
          <w:numId w:val="0"/>
        </w:numPr>
        <w:rPr>
          <w:bCs/>
          <w:lang w:val="es-CR"/>
        </w:rPr>
      </w:pPr>
    </w:p>
    <w:p w14:paraId="77A440C0" w14:textId="6EAC5E4C" w:rsidR="00193861" w:rsidRDefault="007F15BA" w:rsidP="006223FA">
      <w:pPr>
        <w:pStyle w:val="ListParagraph"/>
        <w:numPr>
          <w:ilvl w:val="3"/>
          <w:numId w:val="2"/>
        </w:numPr>
        <w:ind w:left="0" w:firstLine="0"/>
        <w:rPr>
          <w:bCs/>
          <w:lang w:val="es-CR"/>
        </w:rPr>
      </w:pPr>
      <w:r>
        <w:rPr>
          <w:bCs/>
          <w:lang w:val="es-CR"/>
        </w:rPr>
        <w:t>Como fundamento de lo anterior, el representante citó doctrina y jurisprudencia de tribunales internacionales y nacionales sobre el principio de in</w:t>
      </w:r>
      <w:r w:rsidR="00602691">
        <w:rPr>
          <w:bCs/>
          <w:lang w:val="es-CR"/>
        </w:rPr>
        <w:t>mediación</w:t>
      </w:r>
      <w:r>
        <w:rPr>
          <w:bCs/>
          <w:lang w:val="es-CR"/>
        </w:rPr>
        <w:t xml:space="preserve">. </w:t>
      </w:r>
      <w:r w:rsidR="00602691">
        <w:rPr>
          <w:bCs/>
          <w:lang w:val="es-CR"/>
        </w:rPr>
        <w:t>Señaló que t</w:t>
      </w:r>
      <w:r w:rsidRPr="007F15BA">
        <w:rPr>
          <w:bCs/>
          <w:lang w:val="es-CR"/>
        </w:rPr>
        <w:t xml:space="preserve">al principio, acogido en los sistemas procesales orales modernos, constituye la obligación de asistencia imperativa e ininterrumpida de los jueces a la audiencia y a los debates previos, así como de percibir y recibir las pruebas que van a servir de elementos de convicción de la sentencia que han de pronunciar. </w:t>
      </w:r>
      <w:r>
        <w:rPr>
          <w:bCs/>
          <w:lang w:val="es-CR"/>
        </w:rPr>
        <w:t xml:space="preserve">El representante citó normativa procesal penal </w:t>
      </w:r>
      <w:r w:rsidR="00DF5CCF">
        <w:rPr>
          <w:bCs/>
          <w:lang w:val="es-CR"/>
        </w:rPr>
        <w:t xml:space="preserve">y procesal civil </w:t>
      </w:r>
      <w:r>
        <w:rPr>
          <w:bCs/>
          <w:lang w:val="es-CR"/>
        </w:rPr>
        <w:t>de varios países de la región que recogen tal principio</w:t>
      </w:r>
      <w:r w:rsidR="00DF5CCF">
        <w:rPr>
          <w:bCs/>
          <w:lang w:val="es-CR"/>
        </w:rPr>
        <w:t xml:space="preserve"> y señaló que su planteamiento </w:t>
      </w:r>
      <w:r w:rsidR="00A51A0B">
        <w:rPr>
          <w:bCs/>
          <w:lang w:val="es-CR"/>
        </w:rPr>
        <w:t xml:space="preserve">se deriva del </w:t>
      </w:r>
      <w:r w:rsidR="00DF5CCF">
        <w:rPr>
          <w:bCs/>
          <w:lang w:val="es-CR"/>
        </w:rPr>
        <w:t>contenido</w:t>
      </w:r>
      <w:r w:rsidR="00A51A0B">
        <w:rPr>
          <w:bCs/>
          <w:lang w:val="es-CR"/>
        </w:rPr>
        <w:t xml:space="preserve"> d</w:t>
      </w:r>
      <w:r w:rsidR="00602691">
        <w:rPr>
          <w:bCs/>
          <w:lang w:val="es-CR"/>
        </w:rPr>
        <w:t xml:space="preserve">e los </w:t>
      </w:r>
      <w:r w:rsidR="00DF5CCF">
        <w:rPr>
          <w:bCs/>
          <w:lang w:val="es-CR"/>
        </w:rPr>
        <w:t>artículo</w:t>
      </w:r>
      <w:r w:rsidR="00602691">
        <w:rPr>
          <w:bCs/>
          <w:lang w:val="es-CR"/>
        </w:rPr>
        <w:t>s</w:t>
      </w:r>
      <w:r w:rsidR="00DF5CCF">
        <w:rPr>
          <w:bCs/>
          <w:lang w:val="es-CR"/>
        </w:rPr>
        <w:t xml:space="preserve"> 54.3 de la Convención</w:t>
      </w:r>
      <w:r w:rsidR="00DF5CCF">
        <w:rPr>
          <w:rStyle w:val="FootnoteReference"/>
          <w:bCs/>
          <w:lang w:val="es-CR"/>
        </w:rPr>
        <w:footnoteReference w:id="5"/>
      </w:r>
      <w:r w:rsidR="00DF5CCF">
        <w:rPr>
          <w:bCs/>
          <w:lang w:val="es-CR"/>
        </w:rPr>
        <w:t>, 5.3 del Estatuto de la Corte</w:t>
      </w:r>
      <w:r w:rsidR="00DF5CCF">
        <w:rPr>
          <w:rStyle w:val="FootnoteReference"/>
          <w:bCs/>
          <w:lang w:val="es-CR"/>
        </w:rPr>
        <w:footnoteReference w:id="6"/>
      </w:r>
      <w:r w:rsidR="00DF5CCF">
        <w:rPr>
          <w:bCs/>
          <w:lang w:val="es-CR"/>
        </w:rPr>
        <w:t xml:space="preserve"> y 17.1</w:t>
      </w:r>
      <w:r w:rsidR="00602691">
        <w:rPr>
          <w:rStyle w:val="FootnoteReference"/>
          <w:bCs/>
          <w:lang w:val="es-CR"/>
        </w:rPr>
        <w:footnoteReference w:id="7"/>
      </w:r>
      <w:r w:rsidR="00602691">
        <w:rPr>
          <w:bCs/>
          <w:lang w:val="es-CR"/>
        </w:rPr>
        <w:t>,</w:t>
      </w:r>
      <w:r w:rsidR="001425CF">
        <w:rPr>
          <w:bCs/>
          <w:lang w:val="es-CR"/>
        </w:rPr>
        <w:t xml:space="preserve"> 65.2</w:t>
      </w:r>
      <w:r w:rsidR="006223FA">
        <w:rPr>
          <w:rStyle w:val="FootnoteReference"/>
          <w:bCs/>
          <w:lang w:val="es-CR"/>
        </w:rPr>
        <w:footnoteReference w:id="8"/>
      </w:r>
      <w:r w:rsidR="006223FA">
        <w:rPr>
          <w:bCs/>
          <w:lang w:val="es-CR"/>
        </w:rPr>
        <w:t>, 21.2</w:t>
      </w:r>
      <w:r w:rsidR="006223FA">
        <w:rPr>
          <w:rStyle w:val="FootnoteReference"/>
          <w:bCs/>
          <w:lang w:val="es-CR"/>
        </w:rPr>
        <w:footnoteReference w:id="9"/>
      </w:r>
      <w:r w:rsidR="006223FA">
        <w:rPr>
          <w:bCs/>
          <w:lang w:val="es-CR"/>
        </w:rPr>
        <w:t xml:space="preserve"> y 21.3</w:t>
      </w:r>
      <w:r w:rsidR="006223FA">
        <w:rPr>
          <w:rStyle w:val="FootnoteReference"/>
          <w:bCs/>
          <w:lang w:val="es-CR"/>
        </w:rPr>
        <w:footnoteReference w:id="10"/>
      </w:r>
      <w:r w:rsidR="006223FA">
        <w:rPr>
          <w:bCs/>
          <w:lang w:val="es-CR"/>
        </w:rPr>
        <w:t xml:space="preserve"> </w:t>
      </w:r>
      <w:r w:rsidR="001425CF">
        <w:rPr>
          <w:bCs/>
          <w:lang w:val="es-CR"/>
        </w:rPr>
        <w:t xml:space="preserve">del Reglamento. Así, alegó que </w:t>
      </w:r>
      <w:r w:rsidR="00602691">
        <w:rPr>
          <w:bCs/>
          <w:lang w:val="es-CR"/>
        </w:rPr>
        <w:t xml:space="preserve">por </w:t>
      </w:r>
      <w:r w:rsidR="001425CF" w:rsidRPr="001425CF">
        <w:rPr>
          <w:bCs/>
          <w:lang w:val="es-CR"/>
        </w:rPr>
        <w:t>“parti</w:t>
      </w:r>
      <w:r w:rsidR="001425CF">
        <w:rPr>
          <w:bCs/>
          <w:lang w:val="es-CR"/>
        </w:rPr>
        <w:t>cipa</w:t>
      </w:r>
      <w:r w:rsidR="00602691">
        <w:rPr>
          <w:bCs/>
          <w:lang w:val="es-CR"/>
        </w:rPr>
        <w:t>ción</w:t>
      </w:r>
      <w:r w:rsidR="001425CF" w:rsidRPr="001425CF">
        <w:rPr>
          <w:bCs/>
          <w:lang w:val="es-CR"/>
        </w:rPr>
        <w:t xml:space="preserve"> en el examen de un caso</w:t>
      </w:r>
      <w:r w:rsidR="001425CF">
        <w:rPr>
          <w:bCs/>
          <w:lang w:val="es-CR"/>
        </w:rPr>
        <w:t xml:space="preserve">”, según tales </w:t>
      </w:r>
      <w:r w:rsidR="001425CF">
        <w:rPr>
          <w:bCs/>
          <w:lang w:val="es-CR"/>
        </w:rPr>
        <w:lastRenderedPageBreak/>
        <w:t xml:space="preserve">normas, </w:t>
      </w:r>
      <w:r w:rsidR="001425CF" w:rsidRPr="001425CF">
        <w:rPr>
          <w:bCs/>
          <w:lang w:val="es-CR"/>
        </w:rPr>
        <w:t xml:space="preserve">debe entenderse que </w:t>
      </w:r>
      <w:r w:rsidR="001425CF">
        <w:rPr>
          <w:bCs/>
          <w:lang w:val="es-CR"/>
        </w:rPr>
        <w:t xml:space="preserve">el juez haya asistido a la audiencia y </w:t>
      </w:r>
      <w:r w:rsidR="00602691">
        <w:rPr>
          <w:bCs/>
          <w:lang w:val="es-CR"/>
        </w:rPr>
        <w:t xml:space="preserve">que </w:t>
      </w:r>
      <w:r w:rsidR="001425CF" w:rsidRPr="001425CF">
        <w:rPr>
          <w:bCs/>
          <w:lang w:val="es-CR"/>
        </w:rPr>
        <w:t xml:space="preserve">cualquier otra interpretación carecería de sentido y sería incompatible con el deber </w:t>
      </w:r>
      <w:r w:rsidR="00602691">
        <w:rPr>
          <w:bCs/>
          <w:lang w:val="es-CR"/>
        </w:rPr>
        <w:t>de</w:t>
      </w:r>
      <w:r w:rsidR="001425CF" w:rsidRPr="001425CF">
        <w:rPr>
          <w:bCs/>
          <w:lang w:val="es-CR"/>
        </w:rPr>
        <w:t xml:space="preserve"> la Corte de oír a las partes “con las debidas garantías”, </w:t>
      </w:r>
      <w:r w:rsidR="00602691">
        <w:rPr>
          <w:bCs/>
          <w:lang w:val="es-CR"/>
        </w:rPr>
        <w:t>según</w:t>
      </w:r>
      <w:r w:rsidR="001425CF" w:rsidRPr="001425CF">
        <w:rPr>
          <w:bCs/>
          <w:lang w:val="es-CR"/>
        </w:rPr>
        <w:t xml:space="preserve"> el artículo 8.1 de la Convención</w:t>
      </w:r>
      <w:r w:rsidR="001425CF">
        <w:rPr>
          <w:bCs/>
          <w:lang w:val="es-CR"/>
        </w:rPr>
        <w:t>.</w:t>
      </w:r>
      <w:r w:rsidR="006223FA">
        <w:rPr>
          <w:bCs/>
          <w:lang w:val="es-CR"/>
        </w:rPr>
        <w:t xml:space="preserve"> </w:t>
      </w:r>
    </w:p>
    <w:p w14:paraId="20F76633" w14:textId="77777777" w:rsidR="00193861" w:rsidRDefault="00193861" w:rsidP="00193861">
      <w:pPr>
        <w:pStyle w:val="ListParagraph"/>
        <w:numPr>
          <w:ilvl w:val="0"/>
          <w:numId w:val="0"/>
        </w:numPr>
        <w:rPr>
          <w:bCs/>
          <w:lang w:val="es-CR"/>
        </w:rPr>
      </w:pPr>
    </w:p>
    <w:p w14:paraId="7D8A2091" w14:textId="76504FB2" w:rsidR="00193861" w:rsidRPr="00556CF1" w:rsidRDefault="00193861" w:rsidP="00556CF1">
      <w:pPr>
        <w:pStyle w:val="ListParagraph"/>
        <w:numPr>
          <w:ilvl w:val="3"/>
          <w:numId w:val="2"/>
        </w:numPr>
        <w:ind w:left="0" w:firstLine="0"/>
        <w:rPr>
          <w:bCs/>
          <w:lang w:val="es-CR"/>
        </w:rPr>
      </w:pPr>
      <w:r>
        <w:rPr>
          <w:bCs/>
          <w:lang w:val="es-CR"/>
        </w:rPr>
        <w:t>El representante a</w:t>
      </w:r>
      <w:r w:rsidR="00FF6F95">
        <w:rPr>
          <w:bCs/>
          <w:lang w:val="es-CR"/>
        </w:rPr>
        <w:t xml:space="preserve">legó que, en aplicación del </w:t>
      </w:r>
      <w:r w:rsidR="006223FA">
        <w:rPr>
          <w:bCs/>
          <w:lang w:val="es-CR"/>
        </w:rPr>
        <w:t xml:space="preserve">artículo 21.3 del Reglamento, </w:t>
      </w:r>
      <w:r w:rsidR="006223FA" w:rsidRPr="006223FA">
        <w:rPr>
          <w:bCs/>
          <w:lang w:val="es-CR"/>
        </w:rPr>
        <w:t xml:space="preserve">si la Corte puede decidir su inhabilitación para continuar conociendo del caso cuando el juez no ha participado “en alguna de las audiencias”, </w:t>
      </w:r>
      <w:r w:rsidR="006223FA">
        <w:rPr>
          <w:bCs/>
          <w:lang w:val="es-CR"/>
        </w:rPr>
        <w:t>pero sí</w:t>
      </w:r>
      <w:r w:rsidR="006223FA" w:rsidRPr="006223FA">
        <w:rPr>
          <w:bCs/>
          <w:lang w:val="es-CR"/>
        </w:rPr>
        <w:t xml:space="preserve"> en otras, con mayor razón debe decidir su inhabilitación si ha habido una única audiencia</w:t>
      </w:r>
      <w:r w:rsidR="00A51A0B">
        <w:rPr>
          <w:bCs/>
          <w:lang w:val="es-CR"/>
        </w:rPr>
        <w:t>,</w:t>
      </w:r>
      <w:r>
        <w:rPr>
          <w:bCs/>
          <w:lang w:val="es-CR"/>
        </w:rPr>
        <w:t xml:space="preserve"> </w:t>
      </w:r>
      <w:r w:rsidR="00FF6F95">
        <w:rPr>
          <w:bCs/>
          <w:lang w:val="es-CR"/>
        </w:rPr>
        <w:t xml:space="preserve">como en este caso, </w:t>
      </w:r>
      <w:r w:rsidR="00D10CC1">
        <w:rPr>
          <w:bCs/>
          <w:lang w:val="es-CR"/>
        </w:rPr>
        <w:t xml:space="preserve">en el que </w:t>
      </w:r>
      <w:r>
        <w:rPr>
          <w:color w:val="000000"/>
        </w:rPr>
        <w:t>sólo los jueces que participaron en ella pueden participar en la sentencia</w:t>
      </w:r>
      <w:r w:rsidR="00FF6F95">
        <w:rPr>
          <w:color w:val="000000"/>
        </w:rPr>
        <w:t xml:space="preserve">, pues </w:t>
      </w:r>
      <w:r>
        <w:rPr>
          <w:color w:val="000000"/>
        </w:rPr>
        <w:t>l</w:t>
      </w:r>
      <w:r w:rsidR="00CC2A29" w:rsidRPr="00193861">
        <w:rPr>
          <w:color w:val="000000"/>
        </w:rPr>
        <w:t xml:space="preserve">o relevante es que </w:t>
      </w:r>
      <w:r w:rsidR="00FF6F95">
        <w:rPr>
          <w:color w:val="000000"/>
        </w:rPr>
        <w:t xml:space="preserve">esa </w:t>
      </w:r>
      <w:r w:rsidR="00CC2A29" w:rsidRPr="00193861">
        <w:rPr>
          <w:color w:val="000000"/>
        </w:rPr>
        <w:t>fue la única vez que las partes ha</w:t>
      </w:r>
      <w:r>
        <w:rPr>
          <w:color w:val="000000"/>
        </w:rPr>
        <w:t>n podido ser oídas por la Corte y</w:t>
      </w:r>
      <w:r w:rsidR="00CC2A29" w:rsidRPr="00193861">
        <w:rPr>
          <w:color w:val="000000"/>
        </w:rPr>
        <w:t xml:space="preserve"> que el juez Roberto C</w:t>
      </w:r>
      <w:r>
        <w:rPr>
          <w:color w:val="000000"/>
        </w:rPr>
        <w:t xml:space="preserve">aldas </w:t>
      </w:r>
      <w:r w:rsidR="00D10CC1">
        <w:rPr>
          <w:color w:val="000000"/>
        </w:rPr>
        <w:t>habría tenido</w:t>
      </w:r>
      <w:r>
        <w:rPr>
          <w:color w:val="000000"/>
        </w:rPr>
        <w:t xml:space="preserve"> oportunidad de escuchar dire</w:t>
      </w:r>
      <w:r w:rsidR="00A51A0B">
        <w:rPr>
          <w:color w:val="000000"/>
        </w:rPr>
        <w:t xml:space="preserve">ctamente a una de las víctimas y </w:t>
      </w:r>
      <w:r>
        <w:rPr>
          <w:color w:val="000000"/>
        </w:rPr>
        <w:t xml:space="preserve">a los peritos, de apreciar </w:t>
      </w:r>
      <w:r w:rsidR="00A51A0B">
        <w:rPr>
          <w:color w:val="000000"/>
        </w:rPr>
        <w:t>su</w:t>
      </w:r>
      <w:r>
        <w:rPr>
          <w:color w:val="000000"/>
        </w:rPr>
        <w:t xml:space="preserve"> credibilidad y de interrogarlos</w:t>
      </w:r>
      <w:r w:rsidR="00CC2A29" w:rsidRPr="00193861">
        <w:rPr>
          <w:color w:val="000000"/>
        </w:rPr>
        <w:t>.</w:t>
      </w:r>
      <w:r>
        <w:rPr>
          <w:color w:val="000000"/>
        </w:rPr>
        <w:t xml:space="preserve"> Alegó que el principio de publicidad, propio de la inmediación, como requisito de validez de las sen</w:t>
      </w:r>
      <w:r w:rsidR="00D10CC1">
        <w:rPr>
          <w:color w:val="000000"/>
        </w:rPr>
        <w:t>tencias, no puede ser sustituido</w:t>
      </w:r>
      <w:r>
        <w:rPr>
          <w:color w:val="000000"/>
        </w:rPr>
        <w:t xml:space="preserve"> por el examen mediante el uso de actas o incluso de medios audiovisuales o de otro tipo del que, privadamente, se puedan valer los jueces que no asistieron a la audiencia. El representante citó algunos ejemplos de casos decididos por este Tribunal, haciendo particular énfasis en que,</w:t>
      </w:r>
      <w:r w:rsidR="00CC2A29" w:rsidRPr="00193861">
        <w:rPr>
          <w:color w:val="000000"/>
        </w:rPr>
        <w:t xml:space="preserve"> </w:t>
      </w:r>
      <w:r w:rsidRPr="00556CF1">
        <w:rPr>
          <w:color w:val="000000"/>
        </w:rPr>
        <w:t xml:space="preserve">en la sentencia sobre reparaciones en el </w:t>
      </w:r>
      <w:r w:rsidRPr="00A51A0B">
        <w:rPr>
          <w:i/>
          <w:color w:val="000000"/>
        </w:rPr>
        <w:t>caso Caballero Delgado y Santana vs. Colombia</w:t>
      </w:r>
      <w:r w:rsidRPr="00556CF1">
        <w:rPr>
          <w:color w:val="000000"/>
        </w:rPr>
        <w:t xml:space="preserve">, </w:t>
      </w:r>
      <w:r w:rsidR="00FF6F95">
        <w:rPr>
          <w:color w:val="000000"/>
        </w:rPr>
        <w:t>uno de los jueces</w:t>
      </w:r>
      <w:r w:rsidRPr="00556CF1">
        <w:rPr>
          <w:color w:val="000000"/>
        </w:rPr>
        <w:t xml:space="preserve"> se abstuvo de participar en </w:t>
      </w:r>
      <w:r w:rsidR="00FF6F95">
        <w:rPr>
          <w:color w:val="000000"/>
        </w:rPr>
        <w:t>la sentencia</w:t>
      </w:r>
      <w:r w:rsidR="00916DA3">
        <w:rPr>
          <w:color w:val="000000"/>
        </w:rPr>
        <w:t xml:space="preserve"> de reparaciones</w:t>
      </w:r>
      <w:r w:rsidR="00FF6F95">
        <w:rPr>
          <w:color w:val="000000"/>
        </w:rPr>
        <w:t xml:space="preserve"> </w:t>
      </w:r>
      <w:r w:rsidRPr="00556CF1">
        <w:rPr>
          <w:color w:val="000000"/>
        </w:rPr>
        <w:t>por no haber participado</w:t>
      </w:r>
      <w:r w:rsidR="00FF6F95">
        <w:rPr>
          <w:color w:val="000000"/>
        </w:rPr>
        <w:t xml:space="preserve"> </w:t>
      </w:r>
      <w:r w:rsidRPr="00556CF1">
        <w:rPr>
          <w:color w:val="000000"/>
        </w:rPr>
        <w:t xml:space="preserve">en </w:t>
      </w:r>
      <w:r w:rsidR="00FF6F95">
        <w:rPr>
          <w:color w:val="000000"/>
        </w:rPr>
        <w:t>la audiencia</w:t>
      </w:r>
      <w:r w:rsidRPr="00556CF1">
        <w:rPr>
          <w:color w:val="000000"/>
        </w:rPr>
        <w:t xml:space="preserve"> sobre reparaciones</w:t>
      </w:r>
      <w:r w:rsidR="00556CF1" w:rsidRPr="00556CF1">
        <w:rPr>
          <w:color w:val="000000"/>
        </w:rPr>
        <w:t xml:space="preserve">, a pesar de haber </w:t>
      </w:r>
      <w:r w:rsidRPr="00556CF1">
        <w:rPr>
          <w:color w:val="000000"/>
        </w:rPr>
        <w:t>integrado la</w:t>
      </w:r>
      <w:r w:rsidR="00556CF1" w:rsidRPr="00556CF1">
        <w:rPr>
          <w:color w:val="000000"/>
        </w:rPr>
        <w:t xml:space="preserve"> </w:t>
      </w:r>
      <w:r w:rsidRPr="00556CF1">
        <w:rPr>
          <w:color w:val="000000"/>
        </w:rPr>
        <w:t>Corte en la et</w:t>
      </w:r>
      <w:r w:rsidR="00556CF1" w:rsidRPr="00556CF1">
        <w:rPr>
          <w:color w:val="000000"/>
        </w:rPr>
        <w:t xml:space="preserve">apa </w:t>
      </w:r>
      <w:r w:rsidR="00A51A0B">
        <w:rPr>
          <w:color w:val="000000"/>
        </w:rPr>
        <w:t>de</w:t>
      </w:r>
      <w:r w:rsidR="00556CF1" w:rsidRPr="00556CF1">
        <w:rPr>
          <w:color w:val="000000"/>
        </w:rPr>
        <w:t xml:space="preserve"> fondo. Alegó que </w:t>
      </w:r>
      <w:r w:rsidR="00FF6F95">
        <w:rPr>
          <w:color w:val="000000"/>
        </w:rPr>
        <w:t>ello</w:t>
      </w:r>
      <w:r w:rsidR="00556CF1" w:rsidRPr="00556CF1">
        <w:rPr>
          <w:color w:val="000000"/>
        </w:rPr>
        <w:t xml:space="preserve"> </w:t>
      </w:r>
      <w:r w:rsidR="00D10CC1">
        <w:rPr>
          <w:color w:val="000000"/>
        </w:rPr>
        <w:t xml:space="preserve">es </w:t>
      </w:r>
      <w:r w:rsidRPr="00556CF1">
        <w:rPr>
          <w:color w:val="000000"/>
        </w:rPr>
        <w:t>comprensible</w:t>
      </w:r>
      <w:r w:rsidR="00556CF1" w:rsidRPr="00556CF1">
        <w:rPr>
          <w:color w:val="000000"/>
        </w:rPr>
        <w:t>,</w:t>
      </w:r>
      <w:r w:rsidRPr="00556CF1">
        <w:rPr>
          <w:color w:val="000000"/>
        </w:rPr>
        <w:t xml:space="preserve"> </w:t>
      </w:r>
      <w:r w:rsidR="00556CF1" w:rsidRPr="00556CF1">
        <w:rPr>
          <w:color w:val="000000"/>
        </w:rPr>
        <w:t>“</w:t>
      </w:r>
      <w:r w:rsidRPr="00556CF1">
        <w:rPr>
          <w:color w:val="000000"/>
        </w:rPr>
        <w:t xml:space="preserve">no porque </w:t>
      </w:r>
      <w:r w:rsidR="00FF6F95">
        <w:rPr>
          <w:color w:val="000000"/>
        </w:rPr>
        <w:t xml:space="preserve">[ese juez] </w:t>
      </w:r>
      <w:r w:rsidRPr="00556CF1">
        <w:rPr>
          <w:color w:val="000000"/>
        </w:rPr>
        <w:t>no conociera</w:t>
      </w:r>
      <w:r w:rsidR="00556CF1" w:rsidRPr="00556CF1">
        <w:rPr>
          <w:color w:val="000000"/>
        </w:rPr>
        <w:t xml:space="preserve"> </w:t>
      </w:r>
      <w:r w:rsidRPr="00556CF1">
        <w:rPr>
          <w:color w:val="000000"/>
        </w:rPr>
        <w:t>el caso, o no porque no pudiera enterarse de lo ocurrido en la</w:t>
      </w:r>
      <w:r w:rsidR="00556CF1" w:rsidRPr="00556CF1">
        <w:rPr>
          <w:color w:val="000000"/>
        </w:rPr>
        <w:t xml:space="preserve"> </w:t>
      </w:r>
      <w:r w:rsidRPr="00556CF1">
        <w:rPr>
          <w:color w:val="000000"/>
        </w:rPr>
        <w:t>audiencia por otros medios (como un vídeo o una grabación), sino porque lo impedía el principio de la</w:t>
      </w:r>
      <w:r w:rsidR="00556CF1" w:rsidRPr="00556CF1">
        <w:rPr>
          <w:color w:val="000000"/>
        </w:rPr>
        <w:t xml:space="preserve"> inmediación […] </w:t>
      </w:r>
      <w:r w:rsidRPr="00556CF1">
        <w:rPr>
          <w:color w:val="000000"/>
        </w:rPr>
        <w:t>y porque, en un tribunal</w:t>
      </w:r>
      <w:r w:rsidR="00556CF1" w:rsidRPr="00556CF1">
        <w:rPr>
          <w:color w:val="000000"/>
        </w:rPr>
        <w:t xml:space="preserve"> </w:t>
      </w:r>
      <w:r w:rsidRPr="00556CF1">
        <w:rPr>
          <w:color w:val="000000"/>
        </w:rPr>
        <w:t>de derechos humanos, ese principio, así como la transparencia en la</w:t>
      </w:r>
      <w:r w:rsidR="00556CF1" w:rsidRPr="00556CF1">
        <w:rPr>
          <w:color w:val="000000"/>
        </w:rPr>
        <w:t xml:space="preserve"> </w:t>
      </w:r>
      <w:r w:rsidRPr="00556CF1">
        <w:rPr>
          <w:color w:val="000000"/>
        </w:rPr>
        <w:t>integración de los tribunales, tiene que ser como la mujer del César:</w:t>
      </w:r>
      <w:r w:rsidR="00556CF1" w:rsidRPr="00556CF1">
        <w:rPr>
          <w:color w:val="000000"/>
        </w:rPr>
        <w:t xml:space="preserve"> </w:t>
      </w:r>
      <w:r w:rsidRPr="00556CF1">
        <w:rPr>
          <w:color w:val="000000"/>
        </w:rPr>
        <w:t>no sólo tiene que ser honesta, sino que también tiene que parecerlo</w:t>
      </w:r>
      <w:r w:rsidR="00556CF1" w:rsidRPr="00556CF1">
        <w:rPr>
          <w:color w:val="000000"/>
        </w:rPr>
        <w:t>”</w:t>
      </w:r>
      <w:r w:rsidRPr="00556CF1">
        <w:rPr>
          <w:color w:val="000000"/>
        </w:rPr>
        <w:t>.</w:t>
      </w:r>
    </w:p>
    <w:p w14:paraId="315EF70E" w14:textId="77777777" w:rsidR="00556CF1" w:rsidRDefault="00556CF1" w:rsidP="00556CF1">
      <w:pPr>
        <w:pStyle w:val="ListParagraph"/>
        <w:numPr>
          <w:ilvl w:val="0"/>
          <w:numId w:val="0"/>
        </w:numPr>
        <w:rPr>
          <w:bCs/>
          <w:lang w:val="es-CR"/>
        </w:rPr>
      </w:pPr>
    </w:p>
    <w:p w14:paraId="078379B0" w14:textId="3DACB12F" w:rsidR="0025551C" w:rsidRDefault="0025551C" w:rsidP="00462414">
      <w:pPr>
        <w:pStyle w:val="ListParagraph"/>
        <w:numPr>
          <w:ilvl w:val="3"/>
          <w:numId w:val="2"/>
        </w:numPr>
        <w:ind w:left="0" w:firstLine="0"/>
        <w:rPr>
          <w:bCs/>
          <w:lang w:val="es-CR"/>
        </w:rPr>
      </w:pPr>
      <w:r>
        <w:rPr>
          <w:bCs/>
          <w:lang w:val="es-CR"/>
        </w:rPr>
        <w:t xml:space="preserve">Respecto de lo anterior, el Estado manifestó </w:t>
      </w:r>
      <w:r w:rsidRPr="00462414">
        <w:rPr>
          <w:bCs/>
          <w:lang w:val="es-CR"/>
        </w:rPr>
        <w:t xml:space="preserve">que de </w:t>
      </w:r>
      <w:r w:rsidR="00462414">
        <w:rPr>
          <w:bCs/>
          <w:lang w:val="es-CR"/>
        </w:rPr>
        <w:t>l</w:t>
      </w:r>
      <w:r w:rsidRPr="00462414">
        <w:rPr>
          <w:bCs/>
          <w:lang w:val="es-CR"/>
        </w:rPr>
        <w:t xml:space="preserve">a simple revisión del Reglamento </w:t>
      </w:r>
      <w:r w:rsidR="00462414">
        <w:rPr>
          <w:bCs/>
          <w:lang w:val="es-CR"/>
        </w:rPr>
        <w:t>de</w:t>
      </w:r>
      <w:r w:rsidRPr="00462414">
        <w:rPr>
          <w:bCs/>
          <w:lang w:val="es-CR"/>
        </w:rPr>
        <w:t xml:space="preserve"> la Corte se evidencia que el procedimiento pa</w:t>
      </w:r>
      <w:r w:rsidR="00D10CC1">
        <w:rPr>
          <w:bCs/>
          <w:lang w:val="es-CR"/>
        </w:rPr>
        <w:t>ra el trámite de caso</w:t>
      </w:r>
      <w:r w:rsidRPr="00462414">
        <w:rPr>
          <w:bCs/>
          <w:lang w:val="es-CR"/>
        </w:rPr>
        <w:t>s contenciosos es tanto escrito como oral, por lo cual resulta completamente apartada de la realidad la aseveración de que el procedimiento sea básicamente oral y que por ello debe regir rigurosamente el principio de inmediación en los términos expuestos por el representante. El Estado hizo alusión a los artículos 14, 15, 16, 51, 55, 58 y 67 del Reglamento</w:t>
      </w:r>
      <w:r w:rsidR="00462414" w:rsidRPr="00462414">
        <w:rPr>
          <w:bCs/>
          <w:lang w:val="es-CR"/>
        </w:rPr>
        <w:t>, para señalar que e</w:t>
      </w:r>
      <w:r w:rsidRPr="00462414">
        <w:rPr>
          <w:bCs/>
          <w:lang w:val="es-CR"/>
        </w:rPr>
        <w:t xml:space="preserve">xiste un quorum </w:t>
      </w:r>
      <w:r w:rsidR="00462414" w:rsidRPr="00462414">
        <w:rPr>
          <w:bCs/>
          <w:lang w:val="es-CR"/>
        </w:rPr>
        <w:t>mínimo</w:t>
      </w:r>
      <w:r w:rsidRPr="00462414">
        <w:rPr>
          <w:bCs/>
          <w:lang w:val="es-CR"/>
        </w:rPr>
        <w:t xml:space="preserve"> para las deliberaciones en </w:t>
      </w:r>
      <w:r w:rsidR="00462414" w:rsidRPr="00462414">
        <w:rPr>
          <w:bCs/>
          <w:lang w:val="es-CR"/>
        </w:rPr>
        <w:t>la</w:t>
      </w:r>
      <w:r w:rsidRPr="00462414">
        <w:rPr>
          <w:bCs/>
          <w:lang w:val="es-CR"/>
        </w:rPr>
        <w:t xml:space="preserve"> Corte</w:t>
      </w:r>
      <w:r w:rsidR="00462414" w:rsidRPr="00462414">
        <w:rPr>
          <w:bCs/>
          <w:lang w:val="es-CR"/>
        </w:rPr>
        <w:t xml:space="preserve">, para el cual </w:t>
      </w:r>
      <w:r w:rsidRPr="00462414">
        <w:rPr>
          <w:bCs/>
          <w:lang w:val="es-CR"/>
        </w:rPr>
        <w:t>no se exige que todos los jueces</w:t>
      </w:r>
      <w:r w:rsidR="00462414" w:rsidRPr="00462414">
        <w:rPr>
          <w:bCs/>
          <w:lang w:val="es-CR"/>
        </w:rPr>
        <w:t xml:space="preserve"> </w:t>
      </w:r>
      <w:r w:rsidRPr="00462414">
        <w:rPr>
          <w:bCs/>
          <w:lang w:val="es-CR"/>
        </w:rPr>
        <w:t xml:space="preserve">deban haber estado presentes en </w:t>
      </w:r>
      <w:r w:rsidR="00462414" w:rsidRPr="00462414">
        <w:rPr>
          <w:bCs/>
          <w:lang w:val="es-CR"/>
        </w:rPr>
        <w:t>la</w:t>
      </w:r>
      <w:r w:rsidRPr="00462414">
        <w:rPr>
          <w:bCs/>
          <w:lang w:val="es-CR"/>
        </w:rPr>
        <w:t xml:space="preserve"> audiencia celebrada</w:t>
      </w:r>
      <w:r w:rsidR="00462414" w:rsidRPr="00462414">
        <w:rPr>
          <w:bCs/>
          <w:lang w:val="es-CR"/>
        </w:rPr>
        <w:t>; que e</w:t>
      </w:r>
      <w:r w:rsidRPr="00462414">
        <w:rPr>
          <w:bCs/>
          <w:lang w:val="es-CR"/>
        </w:rPr>
        <w:t>s viable que las declaraciones de peritos y testigos se e</w:t>
      </w:r>
      <w:r w:rsidR="00462414" w:rsidRPr="00462414">
        <w:rPr>
          <w:bCs/>
          <w:lang w:val="es-CR"/>
        </w:rPr>
        <w:t>fectú</w:t>
      </w:r>
      <w:r w:rsidRPr="00462414">
        <w:rPr>
          <w:bCs/>
          <w:lang w:val="es-CR"/>
        </w:rPr>
        <w:t>en por</w:t>
      </w:r>
      <w:r w:rsidR="00462414" w:rsidRPr="00462414">
        <w:rPr>
          <w:bCs/>
          <w:lang w:val="es-CR"/>
        </w:rPr>
        <w:t xml:space="preserve"> medio</w:t>
      </w:r>
      <w:r w:rsidRPr="00462414">
        <w:rPr>
          <w:bCs/>
          <w:lang w:val="es-CR"/>
        </w:rPr>
        <w:t>s electr</w:t>
      </w:r>
      <w:r w:rsidR="00462414" w:rsidRPr="00462414">
        <w:rPr>
          <w:bCs/>
          <w:lang w:val="es-CR"/>
        </w:rPr>
        <w:t>ó</w:t>
      </w:r>
      <w:r w:rsidRPr="00462414">
        <w:rPr>
          <w:bCs/>
          <w:lang w:val="es-CR"/>
        </w:rPr>
        <w:t>nicos audiovisuales, lo</w:t>
      </w:r>
      <w:r w:rsidR="00462414">
        <w:rPr>
          <w:bCs/>
          <w:lang w:val="es-CR"/>
        </w:rPr>
        <w:t>s</w:t>
      </w:r>
      <w:r w:rsidRPr="00462414">
        <w:rPr>
          <w:bCs/>
          <w:lang w:val="es-CR"/>
        </w:rPr>
        <w:t xml:space="preserve"> que son v</w:t>
      </w:r>
      <w:r w:rsidR="00462414" w:rsidRPr="00462414">
        <w:rPr>
          <w:bCs/>
          <w:lang w:val="es-CR"/>
        </w:rPr>
        <w:t>á</w:t>
      </w:r>
      <w:r w:rsidRPr="00462414">
        <w:rPr>
          <w:bCs/>
          <w:lang w:val="es-CR"/>
        </w:rPr>
        <w:t xml:space="preserve">lidos para </w:t>
      </w:r>
      <w:r w:rsidR="00462414">
        <w:rPr>
          <w:bCs/>
          <w:lang w:val="es-CR"/>
        </w:rPr>
        <w:t>tener</w:t>
      </w:r>
      <w:r w:rsidRPr="00462414">
        <w:rPr>
          <w:bCs/>
          <w:lang w:val="es-CR"/>
        </w:rPr>
        <w:t xml:space="preserve"> veraz conocimiento de</w:t>
      </w:r>
      <w:r w:rsidR="00462414" w:rsidRPr="00462414">
        <w:rPr>
          <w:bCs/>
          <w:lang w:val="es-CR"/>
        </w:rPr>
        <w:t xml:space="preserve"> </w:t>
      </w:r>
      <w:r w:rsidRPr="00462414">
        <w:rPr>
          <w:bCs/>
          <w:lang w:val="es-CR"/>
        </w:rPr>
        <w:t>lo ocurrido</w:t>
      </w:r>
      <w:r w:rsidR="00462414">
        <w:rPr>
          <w:bCs/>
          <w:lang w:val="es-CR"/>
        </w:rPr>
        <w:t xml:space="preserve"> en las audiencias, sin que ello</w:t>
      </w:r>
      <w:r w:rsidRPr="00462414">
        <w:rPr>
          <w:bCs/>
          <w:lang w:val="es-CR"/>
        </w:rPr>
        <w:t xml:space="preserve"> </w:t>
      </w:r>
      <w:r w:rsidR="00462414">
        <w:rPr>
          <w:bCs/>
          <w:lang w:val="es-CR"/>
        </w:rPr>
        <w:t xml:space="preserve">sea </w:t>
      </w:r>
      <w:r w:rsidRPr="00462414">
        <w:rPr>
          <w:bCs/>
          <w:lang w:val="es-CR"/>
        </w:rPr>
        <w:t>contrario al</w:t>
      </w:r>
      <w:r w:rsidR="00462414" w:rsidRPr="00462414">
        <w:rPr>
          <w:bCs/>
          <w:lang w:val="es-CR"/>
        </w:rPr>
        <w:t xml:space="preserve"> principio de inmediación; que las </w:t>
      </w:r>
      <w:r w:rsidRPr="00462414">
        <w:rPr>
          <w:bCs/>
          <w:lang w:val="es-CR"/>
        </w:rPr>
        <w:t>audiencias son grabadas y tanto las partes como los jueces</w:t>
      </w:r>
      <w:r w:rsidR="00462414" w:rsidRPr="00462414">
        <w:rPr>
          <w:bCs/>
          <w:lang w:val="es-CR"/>
        </w:rPr>
        <w:t xml:space="preserve"> tiene</w:t>
      </w:r>
      <w:r w:rsidR="00462414">
        <w:rPr>
          <w:bCs/>
          <w:lang w:val="es-CR"/>
        </w:rPr>
        <w:t>n</w:t>
      </w:r>
      <w:r w:rsidR="00462414" w:rsidRPr="00462414">
        <w:rPr>
          <w:bCs/>
          <w:lang w:val="es-CR"/>
        </w:rPr>
        <w:t xml:space="preserve"> acceso a dicha grabació</w:t>
      </w:r>
      <w:r w:rsidRPr="00462414">
        <w:rPr>
          <w:bCs/>
          <w:lang w:val="es-CR"/>
        </w:rPr>
        <w:t>n</w:t>
      </w:r>
      <w:r w:rsidR="00462414" w:rsidRPr="00462414">
        <w:rPr>
          <w:bCs/>
          <w:lang w:val="es-CR"/>
        </w:rPr>
        <w:t>; que e</w:t>
      </w:r>
      <w:r w:rsidRPr="00462414">
        <w:rPr>
          <w:bCs/>
          <w:lang w:val="es-CR"/>
        </w:rPr>
        <w:t>s posible que se ma</w:t>
      </w:r>
      <w:r w:rsidR="00462414" w:rsidRPr="00462414">
        <w:rPr>
          <w:bCs/>
          <w:lang w:val="es-CR"/>
        </w:rPr>
        <w:t>terialicen labores de instrucció</w:t>
      </w:r>
      <w:r w:rsidRPr="00462414">
        <w:rPr>
          <w:bCs/>
          <w:lang w:val="es-CR"/>
        </w:rPr>
        <w:t>n en el proceso, sin</w:t>
      </w:r>
      <w:r w:rsidR="00462414" w:rsidRPr="00462414">
        <w:rPr>
          <w:bCs/>
          <w:lang w:val="es-CR"/>
        </w:rPr>
        <w:t xml:space="preserve"> que sea necesaria la </w:t>
      </w:r>
      <w:r w:rsidRPr="00462414">
        <w:rPr>
          <w:bCs/>
          <w:lang w:val="es-CR"/>
        </w:rPr>
        <w:t xml:space="preserve">presencia de todos los jueces de </w:t>
      </w:r>
      <w:r w:rsidR="00462414" w:rsidRPr="00462414">
        <w:rPr>
          <w:bCs/>
          <w:lang w:val="es-CR"/>
        </w:rPr>
        <w:t xml:space="preserve">la </w:t>
      </w:r>
      <w:r w:rsidRPr="00462414">
        <w:rPr>
          <w:bCs/>
          <w:lang w:val="es-CR"/>
        </w:rPr>
        <w:t>Corte</w:t>
      </w:r>
      <w:r w:rsidR="00462414" w:rsidRPr="00462414">
        <w:rPr>
          <w:bCs/>
          <w:lang w:val="es-CR"/>
        </w:rPr>
        <w:t>; que no resulta indispensable, para que sean válidas las audiencias y se pueda concurrir a las deliberaciones y suscribir la correspondiente decisión</w:t>
      </w:r>
      <w:r w:rsidR="00983F44">
        <w:rPr>
          <w:bCs/>
          <w:lang w:val="es-CR"/>
        </w:rPr>
        <w:t xml:space="preserve"> que el j</w:t>
      </w:r>
      <w:r w:rsidR="00462414" w:rsidRPr="00462414">
        <w:rPr>
          <w:bCs/>
          <w:lang w:val="es-CR"/>
        </w:rPr>
        <w:t>uez deba, indefectibleme</w:t>
      </w:r>
      <w:r w:rsidR="00983F44">
        <w:rPr>
          <w:bCs/>
          <w:lang w:val="es-CR"/>
        </w:rPr>
        <w:t>nte, estar presente en aqué</w:t>
      </w:r>
      <w:r w:rsidR="00462414" w:rsidRPr="00462414">
        <w:rPr>
          <w:bCs/>
          <w:lang w:val="es-CR"/>
        </w:rPr>
        <w:t xml:space="preserve">llas; y que no existe prohibición alguna en las normas </w:t>
      </w:r>
      <w:r w:rsidR="00983F44">
        <w:rPr>
          <w:bCs/>
          <w:lang w:val="es-CR"/>
        </w:rPr>
        <w:t>procesales</w:t>
      </w:r>
      <w:r w:rsidR="00462414" w:rsidRPr="00462414">
        <w:rPr>
          <w:bCs/>
          <w:lang w:val="es-CR"/>
        </w:rPr>
        <w:t xml:space="preserve"> que refiera a la imposibilidad de un </w:t>
      </w:r>
      <w:r w:rsidR="00983F44">
        <w:rPr>
          <w:bCs/>
          <w:lang w:val="es-CR"/>
        </w:rPr>
        <w:t>j</w:t>
      </w:r>
      <w:r w:rsidR="00462414" w:rsidRPr="00462414">
        <w:rPr>
          <w:bCs/>
          <w:lang w:val="es-CR"/>
        </w:rPr>
        <w:t>uez que no ha participado en la audiencia de participar en la decisión de un caso</w:t>
      </w:r>
      <w:r w:rsidRPr="00462414">
        <w:rPr>
          <w:bCs/>
          <w:lang w:val="es-CR"/>
        </w:rPr>
        <w:t>.</w:t>
      </w:r>
      <w:r w:rsidR="00462414">
        <w:rPr>
          <w:bCs/>
          <w:lang w:val="es-CR"/>
        </w:rPr>
        <w:t xml:space="preserve"> Además, el Estado hizo notar que los precedentes citados por el representante no resultan aplicables a lo solicitado y, por el contrario, los precedentes jurisprudenciales realmente aplicables desvirtúan plenamente </w:t>
      </w:r>
      <w:r w:rsidR="00983F44">
        <w:rPr>
          <w:bCs/>
          <w:lang w:val="es-CR"/>
        </w:rPr>
        <w:t>su solicitud</w:t>
      </w:r>
      <w:r w:rsidR="00462414">
        <w:rPr>
          <w:bCs/>
          <w:lang w:val="es-CR"/>
        </w:rPr>
        <w:t xml:space="preserve">, </w:t>
      </w:r>
      <w:r w:rsidR="00983F44">
        <w:rPr>
          <w:bCs/>
          <w:lang w:val="es-CR"/>
        </w:rPr>
        <w:t xml:space="preserve">la cual </w:t>
      </w:r>
      <w:r w:rsidR="00AB0FAE">
        <w:rPr>
          <w:bCs/>
          <w:lang w:val="es-CR"/>
        </w:rPr>
        <w:t>debe ser desestimada por la Corte.</w:t>
      </w:r>
    </w:p>
    <w:p w14:paraId="05EAB472" w14:textId="77777777" w:rsidR="0025551C" w:rsidRPr="0025551C" w:rsidRDefault="0025551C" w:rsidP="0025551C">
      <w:pPr>
        <w:pStyle w:val="ListParagraph"/>
        <w:numPr>
          <w:ilvl w:val="0"/>
          <w:numId w:val="0"/>
        </w:numPr>
        <w:rPr>
          <w:bCs/>
          <w:lang w:val="es-CR"/>
        </w:rPr>
      </w:pPr>
    </w:p>
    <w:p w14:paraId="465B4BF4" w14:textId="77777777" w:rsidR="00D10CC1" w:rsidRDefault="00A2552E" w:rsidP="00D10CC1">
      <w:pPr>
        <w:pStyle w:val="ListParagraph"/>
        <w:numPr>
          <w:ilvl w:val="3"/>
          <w:numId w:val="2"/>
        </w:numPr>
        <w:ind w:left="0" w:firstLine="0"/>
        <w:rPr>
          <w:bCs/>
          <w:lang w:val="es-CR"/>
        </w:rPr>
      </w:pPr>
      <w:r>
        <w:rPr>
          <w:bCs/>
          <w:lang w:val="es-CR"/>
        </w:rPr>
        <w:t xml:space="preserve">Si bien lo planteado por el representante podría ser resuelto en sentencia, la Corte estima pertinente tomar una decisión al respecto de previo a iniciar las </w:t>
      </w:r>
      <w:r>
        <w:rPr>
          <w:bCs/>
          <w:lang w:val="es-CR"/>
        </w:rPr>
        <w:lastRenderedPageBreak/>
        <w:t>deliberaciones correspondientes a este caso, en el momento oportuno.</w:t>
      </w:r>
    </w:p>
    <w:p w14:paraId="6A82895D" w14:textId="77777777" w:rsidR="00D10CC1" w:rsidRPr="00D10CC1" w:rsidRDefault="00D10CC1" w:rsidP="00D10CC1">
      <w:pPr>
        <w:pStyle w:val="ListParagraph"/>
        <w:numPr>
          <w:ilvl w:val="0"/>
          <w:numId w:val="0"/>
        </w:numPr>
        <w:rPr>
          <w:bCs/>
          <w:lang w:val="es-CR"/>
        </w:rPr>
      </w:pPr>
    </w:p>
    <w:p w14:paraId="25BA4FE3" w14:textId="4903F0FA" w:rsidR="00E1627C" w:rsidRPr="00D10CC1" w:rsidRDefault="00556CF1" w:rsidP="00D10CC1">
      <w:pPr>
        <w:pStyle w:val="ListParagraph"/>
        <w:numPr>
          <w:ilvl w:val="3"/>
          <w:numId w:val="2"/>
        </w:numPr>
        <w:ind w:left="0" w:firstLine="0"/>
        <w:rPr>
          <w:bCs/>
          <w:lang w:val="es-CR"/>
        </w:rPr>
      </w:pPr>
      <w:r w:rsidRPr="00D10CC1">
        <w:rPr>
          <w:bCs/>
          <w:lang w:val="es-CR"/>
        </w:rPr>
        <w:t>La Corte hace notar que, en efecto, por razones de fuerza mayor, el Presidente de la Corte, juez Roberto F. Caldas, no pudo estar presente durante la audiencia pública celebrada en el presente caso</w:t>
      </w:r>
      <w:r w:rsidR="0090764D" w:rsidRPr="00D10CC1">
        <w:rPr>
          <w:bCs/>
          <w:lang w:val="es-CR"/>
        </w:rPr>
        <w:t xml:space="preserve">, </w:t>
      </w:r>
      <w:r w:rsidR="00622344">
        <w:rPr>
          <w:bCs/>
          <w:lang w:val="es-CR"/>
        </w:rPr>
        <w:t xml:space="preserve">la cual fue presidida, en consecuencia, </w:t>
      </w:r>
      <w:r w:rsidR="0090764D" w:rsidRPr="00D10CC1">
        <w:rPr>
          <w:bCs/>
          <w:lang w:val="es-CR"/>
        </w:rPr>
        <w:t xml:space="preserve">por su Vicepresidente, juez Eduardo Ferrer </w:t>
      </w:r>
      <w:proofErr w:type="spellStart"/>
      <w:r w:rsidR="0090764D" w:rsidRPr="00D10CC1">
        <w:rPr>
          <w:bCs/>
          <w:lang w:val="es-CR"/>
        </w:rPr>
        <w:t>MacGregor</w:t>
      </w:r>
      <w:proofErr w:type="spellEnd"/>
      <w:r w:rsidR="0090764D" w:rsidRPr="00D10CC1">
        <w:rPr>
          <w:bCs/>
          <w:lang w:val="es-CR"/>
        </w:rPr>
        <w:t xml:space="preserve"> </w:t>
      </w:r>
      <w:proofErr w:type="spellStart"/>
      <w:r w:rsidR="0090764D" w:rsidRPr="00D10CC1">
        <w:rPr>
          <w:bCs/>
          <w:lang w:val="es-CR"/>
        </w:rPr>
        <w:t>Poisot</w:t>
      </w:r>
      <w:proofErr w:type="spellEnd"/>
      <w:r w:rsidR="0090764D" w:rsidRPr="00D10CC1">
        <w:rPr>
          <w:bCs/>
          <w:lang w:val="es-CR"/>
        </w:rPr>
        <w:t xml:space="preserve">. </w:t>
      </w:r>
    </w:p>
    <w:p w14:paraId="7D118DD8" w14:textId="77777777" w:rsidR="001B357B" w:rsidRDefault="001B357B" w:rsidP="00E1627C">
      <w:pPr>
        <w:pStyle w:val="ListParagraph"/>
        <w:numPr>
          <w:ilvl w:val="0"/>
          <w:numId w:val="0"/>
        </w:numPr>
      </w:pPr>
    </w:p>
    <w:p w14:paraId="15AB4E63" w14:textId="0878BCA3" w:rsidR="00A51A0B" w:rsidRPr="00A51A0B" w:rsidRDefault="007F15BA" w:rsidP="00A51A0B">
      <w:pPr>
        <w:pStyle w:val="ListParagraph"/>
        <w:numPr>
          <w:ilvl w:val="3"/>
          <w:numId w:val="2"/>
        </w:numPr>
        <w:ind w:left="0" w:firstLine="0"/>
        <w:rPr>
          <w:bCs/>
          <w:lang w:val="es-CR"/>
        </w:rPr>
      </w:pPr>
      <w:r>
        <w:t xml:space="preserve">El principio de inmediación ha sido recogido en la jurisprudencia de la Corte, tanto en desarrollo de garantías procesales reconocidas a las personas en el artículo 8 de la Convención, como respecto </w:t>
      </w:r>
      <w:r w:rsidR="00B2792D">
        <w:t xml:space="preserve">del procedimiento de un caso contencioso ante este Tribunal. Sin embargo, en atención a lo planteado por el representante en este caso, corresponde aclarar que no </w:t>
      </w:r>
      <w:r w:rsidR="00E629D8">
        <w:t>existe</w:t>
      </w:r>
      <w:r w:rsidR="00B2792D">
        <w:t xml:space="preserve"> e</w:t>
      </w:r>
      <w:r w:rsidR="00A96924">
        <w:t xml:space="preserve">n la Convención o </w:t>
      </w:r>
      <w:r w:rsidR="00B2792D">
        <w:t xml:space="preserve">en el </w:t>
      </w:r>
      <w:r w:rsidR="00A96924">
        <w:t xml:space="preserve">Reglamento </w:t>
      </w:r>
      <w:r w:rsidR="00B2792D">
        <w:t xml:space="preserve">una norma o </w:t>
      </w:r>
      <w:r w:rsidR="00A96924">
        <w:t xml:space="preserve">regla específica </w:t>
      </w:r>
      <w:r w:rsidR="00B2792D">
        <w:t xml:space="preserve">que obligue a la </w:t>
      </w:r>
      <w:r w:rsidR="00A96924">
        <w:t xml:space="preserve">inmediación </w:t>
      </w:r>
      <w:r w:rsidR="00B2792D">
        <w:t>probatoria de todos los miembros del Tribunal durante todas las etapas del procedim</w:t>
      </w:r>
      <w:r w:rsidR="00E629D8">
        <w:t xml:space="preserve">iento de un caso contencioso, ni específicamente </w:t>
      </w:r>
      <w:r w:rsidR="0025551C">
        <w:t xml:space="preserve">durante una </w:t>
      </w:r>
      <w:r w:rsidR="00B2792D">
        <w:t>audiencia</w:t>
      </w:r>
      <w:r w:rsidR="0025551C">
        <w:t xml:space="preserve"> pública</w:t>
      </w:r>
      <w:r w:rsidR="00B2792D">
        <w:t xml:space="preserve">, </w:t>
      </w:r>
      <w:r w:rsidR="00E629D8">
        <w:t xml:space="preserve">como requisito o presupuesto procesal para </w:t>
      </w:r>
      <w:r w:rsidR="00B2792D">
        <w:t>participar</w:t>
      </w:r>
      <w:r w:rsidR="00E629D8">
        <w:t xml:space="preserve"> después</w:t>
      </w:r>
      <w:r w:rsidR="00B2792D">
        <w:t xml:space="preserve"> en la deliberación y adopción de la sentencia que se dicte en el caso concreto.</w:t>
      </w:r>
      <w:r w:rsidR="00556CF1">
        <w:t xml:space="preserve"> </w:t>
      </w:r>
    </w:p>
    <w:p w14:paraId="3A25D13B" w14:textId="77777777" w:rsidR="00A51A0B" w:rsidRDefault="00A51A0B" w:rsidP="00A51A0B">
      <w:pPr>
        <w:pStyle w:val="ListParagraph"/>
        <w:numPr>
          <w:ilvl w:val="0"/>
          <w:numId w:val="0"/>
        </w:numPr>
      </w:pPr>
    </w:p>
    <w:p w14:paraId="35C79381" w14:textId="555C6FD6" w:rsidR="0025551C" w:rsidRPr="00A51A0B" w:rsidRDefault="00556CF1" w:rsidP="00A51A0B">
      <w:pPr>
        <w:pStyle w:val="ListParagraph"/>
        <w:numPr>
          <w:ilvl w:val="3"/>
          <w:numId w:val="2"/>
        </w:numPr>
        <w:ind w:left="0" w:firstLine="0"/>
        <w:rPr>
          <w:bCs/>
          <w:lang w:val="es-CR"/>
        </w:rPr>
      </w:pPr>
      <w:r>
        <w:t xml:space="preserve">En primer lugar, corresponde señalar que, si bien </w:t>
      </w:r>
      <w:r w:rsidR="00D10CC1">
        <w:t xml:space="preserve">la convocatoria y celebración de audiencias </w:t>
      </w:r>
      <w:r>
        <w:t xml:space="preserve">es </w:t>
      </w:r>
      <w:r w:rsidR="00D10CC1">
        <w:t>una</w:t>
      </w:r>
      <w:r>
        <w:t xml:space="preserve"> práctica constante en la gran mayoría de casos contenciosos que ha conocido</w:t>
      </w:r>
      <w:r w:rsidR="00916DA3">
        <w:t xml:space="preserve"> este Tribunal</w:t>
      </w:r>
      <w:r>
        <w:t>, en los propios términos de</w:t>
      </w:r>
      <w:r w:rsidR="00EB6791">
        <w:t xml:space="preserve"> varias disposiciones de</w:t>
      </w:r>
      <w:r>
        <w:t>l Reglamento</w:t>
      </w:r>
      <w:r>
        <w:rPr>
          <w:rStyle w:val="FootnoteReference"/>
        </w:rPr>
        <w:footnoteReference w:id="11"/>
      </w:r>
      <w:r w:rsidR="00EA637D">
        <w:t xml:space="preserve"> se trata de</w:t>
      </w:r>
      <w:r>
        <w:t xml:space="preserve"> una </w:t>
      </w:r>
      <w:r w:rsidR="00EB6791">
        <w:t>facultad discrecional</w:t>
      </w:r>
      <w:r>
        <w:t xml:space="preserve"> de la Corte</w:t>
      </w:r>
      <w:r w:rsidR="00EB6791">
        <w:t xml:space="preserve"> o su Presidente </w:t>
      </w:r>
      <w:r w:rsidR="00E629D8">
        <w:t xml:space="preserve">que se ejerce </w:t>
      </w:r>
      <w:r w:rsidR="00D10CC1">
        <w:t>cuando ello resulte</w:t>
      </w:r>
      <w:r w:rsidR="00D10CC1" w:rsidRPr="0025551C">
        <w:t xml:space="preserve"> pertinente y necesario</w:t>
      </w:r>
      <w:r w:rsidR="00D10CC1">
        <w:t xml:space="preserve"> según el </w:t>
      </w:r>
      <w:r w:rsidR="00EB6791" w:rsidRPr="0025551C">
        <w:t xml:space="preserve">objeto y circunstancias </w:t>
      </w:r>
      <w:r w:rsidR="00D10CC1">
        <w:t>de cada caso</w:t>
      </w:r>
      <w:r w:rsidR="0025551C">
        <w:t>.</w:t>
      </w:r>
      <w:r>
        <w:t xml:space="preserve"> </w:t>
      </w:r>
      <w:r w:rsidR="0025551C">
        <w:t>D</w:t>
      </w:r>
      <w:r>
        <w:t xml:space="preserve">e </w:t>
      </w:r>
      <w:r w:rsidR="0025551C">
        <w:t xml:space="preserve">tal </w:t>
      </w:r>
      <w:r>
        <w:t>modo</w:t>
      </w:r>
      <w:r w:rsidR="0025551C">
        <w:t>,</w:t>
      </w:r>
      <w:r>
        <w:t xml:space="preserve"> </w:t>
      </w:r>
      <w:r w:rsidR="00EB6791">
        <w:t xml:space="preserve">el Tribunal </w:t>
      </w:r>
      <w:r w:rsidR="00E629D8">
        <w:t>no está obligado</w:t>
      </w:r>
      <w:r>
        <w:t xml:space="preserve"> a celebrar audiencias </w:t>
      </w:r>
      <w:r w:rsidR="00EB6791">
        <w:t xml:space="preserve">y, en el supuesto de no hacerlo, </w:t>
      </w:r>
      <w:r w:rsidR="0025551C">
        <w:t>ello no</w:t>
      </w:r>
      <w:r w:rsidR="00EB6791">
        <w:t xml:space="preserve"> afecta</w:t>
      </w:r>
      <w:r w:rsidR="00E1627C">
        <w:t xml:space="preserve"> </w:t>
      </w:r>
      <w:r w:rsidR="00EB6791">
        <w:t>el conocimiento de la causa por</w:t>
      </w:r>
      <w:r w:rsidR="0025551C">
        <w:t xml:space="preserve"> parte de</w:t>
      </w:r>
      <w:r w:rsidR="00EB6791">
        <w:t xml:space="preserve"> alguno de sus miembros.</w:t>
      </w:r>
      <w:r w:rsidR="00A51A0B">
        <w:t xml:space="preserve"> </w:t>
      </w:r>
      <w:r w:rsidR="00446AC9">
        <w:t xml:space="preserve">En segundo lugar, </w:t>
      </w:r>
      <w:r w:rsidR="00E1627C">
        <w:t xml:space="preserve">determinadas </w:t>
      </w:r>
      <w:r w:rsidR="00A51A0B">
        <w:t xml:space="preserve">normas del Reglamento recogen o atienden la importancia de la inmediación y </w:t>
      </w:r>
      <w:r w:rsidR="000666C0">
        <w:t>la</w:t>
      </w:r>
      <w:r w:rsidR="00A51A0B">
        <w:t xml:space="preserve"> práctica reciente demuestra el interés de</w:t>
      </w:r>
      <w:r w:rsidR="00A51A0B" w:rsidRPr="00B2792D">
        <w:t xml:space="preserve"> </w:t>
      </w:r>
      <w:r w:rsidR="00A51A0B">
        <w:t>la Corte en propiciar un contacto más directo con la prueba, las presuntas víctimas o el lugar en que se alega ocurrieron determinados hechos</w:t>
      </w:r>
      <w:r w:rsidR="000666C0">
        <w:t>.  Así,</w:t>
      </w:r>
      <w:r w:rsidR="00446AC9">
        <w:t xml:space="preserve"> el Tribunal puede</w:t>
      </w:r>
      <w:r w:rsidR="000666C0">
        <w:t>,</w:t>
      </w:r>
      <w:r w:rsidR="00FA534E">
        <w:t xml:space="preserve"> “en cualquier estado de la </w:t>
      </w:r>
      <w:proofErr w:type="gramStart"/>
      <w:r w:rsidR="00FA534E">
        <w:t>causa[</w:t>
      </w:r>
      <w:proofErr w:type="gramEnd"/>
      <w:r w:rsidR="000666C0">
        <w:t>,</w:t>
      </w:r>
      <w:r w:rsidR="00FA534E">
        <w:t>…] comisionar a uno o varios de sus miembros para que realicen cualquier medida de instrucción, incluyendo audiencias, ya sea en la sede de la Corte o fuera de ésta”</w:t>
      </w:r>
      <w:r w:rsidR="0025551C">
        <w:rPr>
          <w:rStyle w:val="FootnoteReference"/>
        </w:rPr>
        <w:footnoteReference w:id="12"/>
      </w:r>
      <w:r w:rsidR="00FA534E">
        <w:t>. Aún más, si fuere “imposible proceder en [tales] términos […] los Jueces podrán comisionar a la Secretaría para que lleve a cabo las medidas de instrucción que se requieran”</w:t>
      </w:r>
      <w:r w:rsidR="0025551C">
        <w:rPr>
          <w:rStyle w:val="FootnoteReference"/>
        </w:rPr>
        <w:footnoteReference w:id="13"/>
      </w:r>
      <w:r w:rsidR="00FA534E">
        <w:t xml:space="preserve">. </w:t>
      </w:r>
      <w:r w:rsidR="00446AC9">
        <w:t xml:space="preserve">Así, </w:t>
      </w:r>
      <w:r w:rsidR="00E629D8">
        <w:t xml:space="preserve">en varios casos </w:t>
      </w:r>
      <w:r w:rsidR="00446AC9">
        <w:t xml:space="preserve">la Corte ha comisionado a una delegación de Jueces y miembros de la Secretaría para realizar visitas </w:t>
      </w:r>
      <w:r w:rsidR="00446AC9">
        <w:rPr>
          <w:i/>
        </w:rPr>
        <w:t>in situ</w:t>
      </w:r>
      <w:r w:rsidR="00446AC9">
        <w:t xml:space="preserve"> o determinadas medidas de instrucción</w:t>
      </w:r>
      <w:r w:rsidR="00446AC9">
        <w:rPr>
          <w:rStyle w:val="FootnoteReference"/>
        </w:rPr>
        <w:footnoteReference w:id="14"/>
      </w:r>
      <w:r w:rsidR="00446AC9">
        <w:t xml:space="preserve">. </w:t>
      </w:r>
      <w:r w:rsidR="00FA534E">
        <w:t xml:space="preserve">En cualquiera de </w:t>
      </w:r>
      <w:r w:rsidR="0025551C">
        <w:t>los</w:t>
      </w:r>
      <w:r w:rsidR="00FA534E">
        <w:t xml:space="preserve"> supuestos</w:t>
      </w:r>
      <w:r w:rsidR="0025551C">
        <w:t xml:space="preserve"> anteriores</w:t>
      </w:r>
      <w:r w:rsidR="00FA534E">
        <w:t>, la falta de una inmediación probatoria directa por parte de uno –o inclusive de todos– los miembros de la Corte, en ningún sentido ha afectado ni podría afectar su posibilidad y capacidad de apreciar el resultado de tales medidas de instrucción,</w:t>
      </w:r>
      <w:r w:rsidR="0025551C">
        <w:t xml:space="preserve"> es decir,</w:t>
      </w:r>
      <w:r w:rsidR="00FA534E">
        <w:t xml:space="preserve"> </w:t>
      </w:r>
      <w:r w:rsidR="00E629D8">
        <w:t xml:space="preserve">de </w:t>
      </w:r>
      <w:r w:rsidR="00FA534E">
        <w:t>los elementos probatorios que de ellas puedan surgir</w:t>
      </w:r>
      <w:r w:rsidR="00FA534E">
        <w:rPr>
          <w:rStyle w:val="FootnoteReference"/>
        </w:rPr>
        <w:footnoteReference w:id="15"/>
      </w:r>
      <w:r w:rsidR="00FA534E">
        <w:t xml:space="preserve">. </w:t>
      </w:r>
    </w:p>
    <w:p w14:paraId="77EC2E55" w14:textId="77777777" w:rsidR="0025551C" w:rsidRPr="0025551C" w:rsidRDefault="0025551C" w:rsidP="0025551C">
      <w:pPr>
        <w:pStyle w:val="ListParagraph"/>
        <w:numPr>
          <w:ilvl w:val="0"/>
          <w:numId w:val="0"/>
        </w:numPr>
        <w:rPr>
          <w:bCs/>
          <w:lang w:val="es-CR"/>
        </w:rPr>
      </w:pPr>
    </w:p>
    <w:p w14:paraId="507B641C" w14:textId="2876AA9E" w:rsidR="00A96924" w:rsidRPr="00446AC9" w:rsidRDefault="0025551C" w:rsidP="0025551C">
      <w:pPr>
        <w:pStyle w:val="ListParagraph"/>
        <w:numPr>
          <w:ilvl w:val="3"/>
          <w:numId w:val="2"/>
        </w:numPr>
        <w:ind w:left="0" w:firstLine="0"/>
        <w:rPr>
          <w:bCs/>
          <w:lang w:val="es-CR"/>
        </w:rPr>
      </w:pPr>
      <w:r>
        <w:t>Por otro lado, e</w:t>
      </w:r>
      <w:r w:rsidR="00A96924">
        <w:t>l art</w:t>
      </w:r>
      <w:r>
        <w:t>ículo</w:t>
      </w:r>
      <w:r w:rsidR="00A96924">
        <w:t xml:space="preserve"> 54.3 de la Convención</w:t>
      </w:r>
      <w:r>
        <w:t xml:space="preserve">, invocado por el representante, </w:t>
      </w:r>
      <w:r w:rsidR="00A96924">
        <w:t>lo que indica es que los jueces que hayan concluido su mandato seguirán conociendo los casos “</w:t>
      </w:r>
      <w:r w:rsidR="00A96924" w:rsidRPr="0025551C">
        <w:rPr>
          <w:i/>
          <w:iCs/>
        </w:rPr>
        <w:t>a que ya se hubieren abocado y que se encuentren en estado de sentencia</w:t>
      </w:r>
      <w:r w:rsidR="00A96924">
        <w:t xml:space="preserve">”, </w:t>
      </w:r>
      <w:r w:rsidR="00EA637D">
        <w:t>precepto que ha sido entendido en el sentido de referirse a los jueces que han participado en audiencia en los casos en que ésta ha tenido lugar</w:t>
      </w:r>
      <w:r w:rsidR="00A96924">
        <w:t>. En este último sentido, por ejemplo, el art. 17.2 del Reglamento dispone que “</w:t>
      </w:r>
      <w:r w:rsidR="00A96924" w:rsidRPr="0025551C">
        <w:rPr>
          <w:i/>
          <w:iCs/>
        </w:rPr>
        <w:t>todo lo relativo a las reparaciones y costas, así como a la supervisión del cumplimiento de las sentencias de la Corte, compete a los Jueces que la integren en este estado del proceso, salvo que ya hubiere tenido lugar una audienc</w:t>
      </w:r>
      <w:r w:rsidR="00446AC9">
        <w:rPr>
          <w:i/>
          <w:iCs/>
        </w:rPr>
        <w:t>ia pública y en tal caso conocer</w:t>
      </w:r>
      <w:r w:rsidR="00A96924" w:rsidRPr="0025551C">
        <w:rPr>
          <w:i/>
          <w:iCs/>
        </w:rPr>
        <w:t>án los Jueces que hubieren estado presentes en esa audiencia</w:t>
      </w:r>
      <w:r w:rsidR="00A96924" w:rsidRPr="0025551C">
        <w:t>”</w:t>
      </w:r>
      <w:r w:rsidR="00A96924">
        <w:t>.</w:t>
      </w:r>
      <w:r w:rsidR="00446AC9">
        <w:t xml:space="preserve"> Sin embargo, tales normas no son aplicables al presente caso, </w:t>
      </w:r>
      <w:r w:rsidR="00E629D8">
        <w:t>en el que</w:t>
      </w:r>
      <w:r w:rsidR="00446AC9">
        <w:t xml:space="preserve"> no se está resolviendo un supuesto en que algún jue</w:t>
      </w:r>
      <w:r w:rsidR="00DD6337">
        <w:t>z hubiese concluido su mandato o en el cual el</w:t>
      </w:r>
      <w:r w:rsidR="00446AC9">
        <w:t xml:space="preserve"> conocimiento del caso </w:t>
      </w:r>
      <w:r w:rsidR="00DD6337">
        <w:t>hubiese</w:t>
      </w:r>
      <w:r w:rsidR="00446AC9">
        <w:t xml:space="preserve"> sido dividido en</w:t>
      </w:r>
      <w:r w:rsidR="00E629D8">
        <w:t xml:space="preserve"> etapas de</w:t>
      </w:r>
      <w:r w:rsidR="00446AC9">
        <w:t xml:space="preserve"> fondo y reparaciones.</w:t>
      </w:r>
    </w:p>
    <w:p w14:paraId="3656F440" w14:textId="77777777" w:rsidR="00446AC9" w:rsidRPr="00446AC9" w:rsidRDefault="00446AC9" w:rsidP="00446AC9">
      <w:pPr>
        <w:pStyle w:val="ListParagraph"/>
        <w:numPr>
          <w:ilvl w:val="0"/>
          <w:numId w:val="0"/>
        </w:numPr>
        <w:rPr>
          <w:bCs/>
          <w:lang w:val="es-CR"/>
        </w:rPr>
      </w:pPr>
    </w:p>
    <w:p w14:paraId="1023C368" w14:textId="4F6C388A" w:rsidR="007E1CFA" w:rsidRPr="007E1CFA" w:rsidRDefault="00446AC9" w:rsidP="007E1CFA">
      <w:pPr>
        <w:pStyle w:val="ListParagraph"/>
        <w:numPr>
          <w:ilvl w:val="3"/>
          <w:numId w:val="2"/>
        </w:numPr>
        <w:ind w:left="0" w:firstLine="0"/>
        <w:rPr>
          <w:bCs/>
          <w:lang w:val="es-CR"/>
        </w:rPr>
      </w:pPr>
      <w:r>
        <w:t xml:space="preserve">En cuanto al referido </w:t>
      </w:r>
      <w:r w:rsidR="00A96924">
        <w:t>art</w:t>
      </w:r>
      <w:r>
        <w:t>ículo</w:t>
      </w:r>
      <w:r w:rsidR="00A96924">
        <w:t xml:space="preserve"> 21.3 del Reglamento</w:t>
      </w:r>
      <w:r>
        <w:t xml:space="preserve">, </w:t>
      </w:r>
      <w:r w:rsidR="00A96924">
        <w:t>titulado “impedime</w:t>
      </w:r>
      <w:r>
        <w:t>ntos, excusas e inhabilitación”, el propio texto evidentemente indica una facultad de la Corte (“podrá”) para decidir si un juez estaría inhabilitado para continuar conociendo de un caso c</w:t>
      </w:r>
      <w:r w:rsidR="00A96924">
        <w:t xml:space="preserve">uando </w:t>
      </w:r>
      <w:r>
        <w:t>“</w:t>
      </w:r>
      <w:r w:rsidR="00A96924">
        <w:t>por cualquier causa</w:t>
      </w:r>
      <w:r>
        <w:t>” no haya estado</w:t>
      </w:r>
      <w:r w:rsidR="00A96924">
        <w:t xml:space="preserve"> presente en alguna de las audiencias </w:t>
      </w:r>
      <w:r>
        <w:t>“</w:t>
      </w:r>
      <w:r w:rsidR="00A96924">
        <w:t>o en otros actos del proceso</w:t>
      </w:r>
      <w:r>
        <w:t>”. En tal supuesto, la Corte deberá tomar en cuenta “todas las circunstancias que, a su juicio, sean relevantes”. Es decir</w:t>
      </w:r>
      <w:r w:rsidR="00A96924">
        <w:t>,</w:t>
      </w:r>
      <w:r>
        <w:t xml:space="preserve"> la inhabilitación no es la consecuencia</w:t>
      </w:r>
      <w:r w:rsidR="00E629D8">
        <w:t xml:space="preserve"> necesaria u</w:t>
      </w:r>
      <w:r>
        <w:t xml:space="preserve"> </w:t>
      </w:r>
      <w:r w:rsidR="007E1CFA">
        <w:t>obligatoria de no haber</w:t>
      </w:r>
      <w:r w:rsidR="00E629D8">
        <w:t xml:space="preserve"> participado en una audiencia y, a efectos de ser considerada una inhabilitación, </w:t>
      </w:r>
      <w:r w:rsidR="007E1CFA">
        <w:t xml:space="preserve">tendrían que ser expuestas las razones relevantes para considerar </w:t>
      </w:r>
      <w:r w:rsidR="00E629D8">
        <w:t>esta</w:t>
      </w:r>
      <w:r w:rsidR="007E1CFA">
        <w:t xml:space="preserve"> posibilidad, razones que en el presente caso </w:t>
      </w:r>
      <w:r w:rsidR="00E629D8">
        <w:t xml:space="preserve">no han sido expuestas por </w:t>
      </w:r>
      <w:r w:rsidR="007E1CFA">
        <w:t>el representante</w:t>
      </w:r>
      <w:r w:rsidR="00E629D8">
        <w:t xml:space="preserve"> más allá de sus propias interpretaciones u opiniones acerca de un conjunto de normas y precedentes</w:t>
      </w:r>
      <w:r w:rsidR="007E1CFA">
        <w:t>.</w:t>
      </w:r>
    </w:p>
    <w:p w14:paraId="36DC9A0C" w14:textId="77777777" w:rsidR="007E1CFA" w:rsidRDefault="007E1CFA" w:rsidP="007E1CFA">
      <w:pPr>
        <w:pStyle w:val="ListParagraph"/>
        <w:numPr>
          <w:ilvl w:val="0"/>
          <w:numId w:val="0"/>
        </w:numPr>
      </w:pPr>
    </w:p>
    <w:p w14:paraId="4EFC15EC" w14:textId="7A8B9337" w:rsidR="00462414" w:rsidRPr="00EF739D" w:rsidRDefault="007E1CFA" w:rsidP="00462414">
      <w:pPr>
        <w:pStyle w:val="ListParagraph"/>
        <w:numPr>
          <w:ilvl w:val="3"/>
          <w:numId w:val="2"/>
        </w:numPr>
        <w:ind w:left="0" w:firstLine="0"/>
        <w:rPr>
          <w:rFonts w:ascii="Arial" w:eastAsiaTheme="minorHAnsi" w:hAnsi="Arial" w:cs="Arial"/>
          <w:sz w:val="23"/>
          <w:szCs w:val="23"/>
          <w:lang w:val="es-CR"/>
        </w:rPr>
      </w:pPr>
      <w:r>
        <w:t>El representante señaló varios precedentes</w:t>
      </w:r>
      <w:r>
        <w:rPr>
          <w:rStyle w:val="FootnoteReference"/>
        </w:rPr>
        <w:footnoteReference w:id="16"/>
      </w:r>
      <w:r>
        <w:t xml:space="preserve"> que no tienen relevancia alguna para sustentar su solicitud, pues se refieren a supuestos fácticos o jurídicos distintos. </w:t>
      </w:r>
      <w:r w:rsidR="00E629D8">
        <w:t xml:space="preserve">Además, </w:t>
      </w:r>
      <w:r w:rsidR="00A96924">
        <w:t>los casos de los últimos años indican una práctica</w:t>
      </w:r>
      <w:r w:rsidR="00E629D8">
        <w:t xml:space="preserve"> judicial</w:t>
      </w:r>
      <w:r w:rsidR="00A96924">
        <w:t xml:space="preserve"> </w:t>
      </w:r>
      <w:r w:rsidR="000666C0">
        <w:t>en el sentido de que</w:t>
      </w:r>
      <w:r w:rsidR="00A96924">
        <w:t xml:space="preserve"> </w:t>
      </w:r>
      <w:r>
        <w:t>los</w:t>
      </w:r>
      <w:r w:rsidR="00A96924">
        <w:t xml:space="preserve"> jueces que no han </w:t>
      </w:r>
      <w:r w:rsidR="00D10CC1">
        <w:t>podido participar</w:t>
      </w:r>
      <w:r w:rsidR="00A96924">
        <w:t xml:space="preserve"> en la audiencia sí han participado </w:t>
      </w:r>
      <w:r w:rsidR="00E629D8">
        <w:t xml:space="preserve">luego </w:t>
      </w:r>
      <w:r w:rsidR="00A96924">
        <w:t>en la delibe</w:t>
      </w:r>
      <w:r>
        <w:t xml:space="preserve">ración y firma de la sentencia, </w:t>
      </w:r>
      <w:r w:rsidR="00A96924">
        <w:t xml:space="preserve">sin </w:t>
      </w:r>
      <w:r>
        <w:t>que ello haya implicado cuestionamiento alguno acerca de la integración de la Corte</w:t>
      </w:r>
      <w:r>
        <w:rPr>
          <w:rStyle w:val="FootnoteReference"/>
        </w:rPr>
        <w:footnoteReference w:id="17"/>
      </w:r>
      <w:r w:rsidR="00A96924">
        <w:t xml:space="preserve">. </w:t>
      </w:r>
      <w:r w:rsidR="00EF739D">
        <w:t>En este sentido, e</w:t>
      </w:r>
      <w:r w:rsidR="00A96924">
        <w:t xml:space="preserve">n el </w:t>
      </w:r>
      <w:r w:rsidR="00A96924" w:rsidRPr="00EF739D">
        <w:rPr>
          <w:i/>
        </w:rPr>
        <w:t xml:space="preserve">caso Masacre de </w:t>
      </w:r>
      <w:r w:rsidR="00EF739D" w:rsidRPr="00EF739D">
        <w:rPr>
          <w:i/>
        </w:rPr>
        <w:t xml:space="preserve">Las </w:t>
      </w:r>
      <w:r w:rsidR="00A96924" w:rsidRPr="00EF739D">
        <w:rPr>
          <w:i/>
        </w:rPr>
        <w:t>Dos Erres vs. Guatemala</w:t>
      </w:r>
      <w:r w:rsidR="00A96924">
        <w:t xml:space="preserve">, </w:t>
      </w:r>
      <w:r w:rsidR="00EF739D">
        <w:t xml:space="preserve">en que el Tribunal </w:t>
      </w:r>
      <w:r w:rsidR="00A96924">
        <w:t xml:space="preserve">comisionó a </w:t>
      </w:r>
      <w:r w:rsidR="00EF739D">
        <w:t xml:space="preserve">cinco de sus </w:t>
      </w:r>
      <w:r w:rsidR="00A96924">
        <w:t xml:space="preserve">jueces para atender la audiencia que se celebraría en </w:t>
      </w:r>
      <w:r w:rsidR="00EF739D">
        <w:t xml:space="preserve">un </w:t>
      </w:r>
      <w:r w:rsidR="00A96924">
        <w:t xml:space="preserve">período extraordinario de sesiones en Bolivia, </w:t>
      </w:r>
      <w:r w:rsidR="00EF739D">
        <w:t xml:space="preserve">los dos jueces que no </w:t>
      </w:r>
      <w:r w:rsidR="00A96924">
        <w:t xml:space="preserve">participaron en la audiencia sí </w:t>
      </w:r>
      <w:r w:rsidR="00EF739D">
        <w:t xml:space="preserve">lo hicieron </w:t>
      </w:r>
      <w:r w:rsidR="00A96924">
        <w:t>en sentencia</w:t>
      </w:r>
      <w:r w:rsidR="00EF739D">
        <w:t xml:space="preserve"> y, en la respectiva</w:t>
      </w:r>
      <w:r w:rsidR="00A96924">
        <w:t xml:space="preserve"> resolución</w:t>
      </w:r>
      <w:r w:rsidR="00EF739D">
        <w:t xml:space="preserve">, </w:t>
      </w:r>
      <w:r w:rsidR="00A96924">
        <w:t xml:space="preserve">se </w:t>
      </w:r>
      <w:r w:rsidR="00EF739D">
        <w:t>indicó expresamente</w:t>
      </w:r>
      <w:r w:rsidR="00E629D8">
        <w:t xml:space="preserve"> </w:t>
      </w:r>
      <w:r w:rsidR="00A96924" w:rsidRPr="00E629D8">
        <w:rPr>
          <w:iCs/>
        </w:rPr>
        <w:t xml:space="preserve">que los </w:t>
      </w:r>
      <w:r w:rsidR="00E629D8">
        <w:rPr>
          <w:iCs/>
        </w:rPr>
        <w:t>j</w:t>
      </w:r>
      <w:r w:rsidR="00A96924" w:rsidRPr="00E629D8">
        <w:rPr>
          <w:iCs/>
        </w:rPr>
        <w:t xml:space="preserve">ueces </w:t>
      </w:r>
      <w:r w:rsidR="00E629D8">
        <w:rPr>
          <w:iCs/>
        </w:rPr>
        <w:t>“</w:t>
      </w:r>
      <w:r w:rsidR="00A96924" w:rsidRPr="00EF739D">
        <w:rPr>
          <w:i/>
          <w:iCs/>
        </w:rPr>
        <w:t>que integran el Tribunal en el presente caso continuarán con el conocimiento del caso, independientemente de su participación en la audiencia pública</w:t>
      </w:r>
      <w:r w:rsidR="00A96924">
        <w:t>”</w:t>
      </w:r>
      <w:r w:rsidR="00EF739D">
        <w:rPr>
          <w:rStyle w:val="FootnoteReference"/>
        </w:rPr>
        <w:footnoteReference w:id="18"/>
      </w:r>
      <w:r w:rsidR="00A96924">
        <w:t>.</w:t>
      </w:r>
      <w:r w:rsidR="00EF739D">
        <w:t xml:space="preserve"> Asimismo,</w:t>
      </w:r>
      <w:r w:rsidR="00645370">
        <w:t xml:space="preserve"> al solicitar la interpretación de la sentencia</w:t>
      </w:r>
      <w:r w:rsidR="00E629D8">
        <w:t xml:space="preserve"> dictada</w:t>
      </w:r>
      <w:r w:rsidR="00645370">
        <w:t xml:space="preserve"> </w:t>
      </w:r>
      <w:r w:rsidR="00EF739D">
        <w:t xml:space="preserve">en el </w:t>
      </w:r>
      <w:r w:rsidR="00EF739D" w:rsidRPr="00D17B0C">
        <w:rPr>
          <w:i/>
        </w:rPr>
        <w:t xml:space="preserve">caso </w:t>
      </w:r>
      <w:r w:rsidR="00462414" w:rsidRPr="00D17B0C">
        <w:rPr>
          <w:i/>
        </w:rPr>
        <w:t xml:space="preserve">Caso Juan Humberto </w:t>
      </w:r>
      <w:r w:rsidR="00462414" w:rsidRPr="00D17B0C">
        <w:rPr>
          <w:i/>
        </w:rPr>
        <w:lastRenderedPageBreak/>
        <w:t>Sanchez vs. Honduras</w:t>
      </w:r>
      <w:r w:rsidR="00462414" w:rsidRPr="00D17B0C">
        <w:t xml:space="preserve">, </w:t>
      </w:r>
      <w:r w:rsidR="00EF739D" w:rsidRPr="00D17B0C">
        <w:t>el Estado cuestionó</w:t>
      </w:r>
      <w:r w:rsidR="00462414" w:rsidRPr="00D17B0C">
        <w:t xml:space="preserve"> </w:t>
      </w:r>
      <w:r w:rsidR="00645370" w:rsidRPr="00D17B0C">
        <w:t xml:space="preserve">la </w:t>
      </w:r>
      <w:r w:rsidR="00EF739D" w:rsidRPr="00D17B0C">
        <w:t>participació</w:t>
      </w:r>
      <w:r w:rsidR="00645370" w:rsidRPr="00D17B0C">
        <w:t>n del j</w:t>
      </w:r>
      <w:r w:rsidR="00EF739D" w:rsidRPr="00D17B0C">
        <w:t xml:space="preserve">uez Pacheco Gomez en </w:t>
      </w:r>
      <w:r w:rsidR="00645370" w:rsidRPr="00D17B0C">
        <w:t xml:space="preserve">dicha </w:t>
      </w:r>
      <w:r w:rsidR="00EF739D" w:rsidRPr="00D17B0C">
        <w:t xml:space="preserve">sentencia, </w:t>
      </w:r>
      <w:r w:rsidR="00462414" w:rsidRPr="00D17B0C">
        <w:t xml:space="preserve">invocando </w:t>
      </w:r>
      <w:r w:rsidR="00EF739D" w:rsidRPr="00D17B0C">
        <w:t>precisamente el principio de inmediación</w:t>
      </w:r>
      <w:r w:rsidR="00462414" w:rsidRPr="00D17B0C">
        <w:t xml:space="preserve">, </w:t>
      </w:r>
      <w:r w:rsidR="00EF739D" w:rsidRPr="00D17B0C">
        <w:t>por</w:t>
      </w:r>
      <w:r w:rsidR="00E629D8">
        <w:t>que</w:t>
      </w:r>
      <w:r w:rsidR="00EF739D" w:rsidRPr="00D17B0C">
        <w:t xml:space="preserve"> no </w:t>
      </w:r>
      <w:r w:rsidR="00D10CC1">
        <w:t>había participado</w:t>
      </w:r>
      <w:r w:rsidR="00EF739D" w:rsidRPr="00D17B0C">
        <w:t xml:space="preserve"> en la </w:t>
      </w:r>
      <w:r w:rsidR="00462414" w:rsidRPr="00D17B0C">
        <w:t>audiencia del caso.</w:t>
      </w:r>
      <w:r w:rsidR="00EF739D" w:rsidRPr="00D17B0C">
        <w:t xml:space="preserve"> La Corte resolvió</w:t>
      </w:r>
      <w:r w:rsidR="00D17B0C" w:rsidRPr="00D17B0C">
        <w:t xml:space="preserve"> lo siguiente</w:t>
      </w:r>
      <w:r w:rsidR="004F5614">
        <w:rPr>
          <w:rStyle w:val="FootnoteReference"/>
        </w:rPr>
        <w:footnoteReference w:id="19"/>
      </w:r>
      <w:r w:rsidR="00D17B0C" w:rsidRPr="00D17B0C">
        <w:t>:</w:t>
      </w:r>
      <w:r w:rsidR="00EF739D">
        <w:rPr>
          <w:rFonts w:ascii="Arial" w:eastAsiaTheme="minorHAnsi" w:hAnsi="Arial" w:cs="Arial"/>
          <w:sz w:val="23"/>
          <w:szCs w:val="23"/>
          <w:lang w:val="es-CR"/>
        </w:rPr>
        <w:t xml:space="preserve"> </w:t>
      </w:r>
    </w:p>
    <w:p w14:paraId="7848E32B" w14:textId="77777777" w:rsidR="00D17B0C" w:rsidRDefault="00D17B0C" w:rsidP="00015762">
      <w:pPr>
        <w:spacing w:after="0"/>
      </w:pPr>
    </w:p>
    <w:p w14:paraId="63FEDDD3" w14:textId="32FD92D6" w:rsidR="00CC2A29" w:rsidRDefault="00D17B0C" w:rsidP="00D17B0C">
      <w:pPr>
        <w:spacing w:after="0"/>
        <w:ind w:left="708"/>
        <w:jc w:val="both"/>
        <w:rPr>
          <w:rFonts w:ascii="Verdana" w:hAnsi="Verdana"/>
          <w:sz w:val="16"/>
          <w:szCs w:val="18"/>
        </w:rPr>
      </w:pPr>
      <w:r w:rsidRPr="00D17B0C">
        <w:rPr>
          <w:rFonts w:ascii="Verdana" w:hAnsi="Verdana"/>
          <w:sz w:val="16"/>
          <w:szCs w:val="18"/>
        </w:rPr>
        <w:t xml:space="preserve">28. </w:t>
      </w:r>
      <w:r w:rsidRPr="00D17B0C">
        <w:rPr>
          <w:rFonts w:ascii="Verdana" w:hAnsi="Verdana"/>
          <w:sz w:val="16"/>
          <w:szCs w:val="18"/>
        </w:rPr>
        <w:tab/>
        <w:t>De conformidad a lo dispuesto en los artículos 25 del Estatuto y 6 y 14.1 del Reglamento, la Corte es soberana para decidir cuál es la mejor forma para recabar la prueba de acuerdo con las particularidades del caso en cuestión y con los principios de economía procesal y seguridad jurídica, así como para determinar su composición</w:t>
      </w:r>
      <w:r w:rsidRPr="00D17B0C">
        <w:rPr>
          <w:rStyle w:val="FootnoteReference"/>
          <w:szCs w:val="18"/>
        </w:rPr>
        <w:footnoteReference w:id="20"/>
      </w:r>
      <w:r w:rsidRPr="00D17B0C">
        <w:rPr>
          <w:rFonts w:ascii="Verdana" w:hAnsi="Verdana"/>
          <w:sz w:val="16"/>
          <w:szCs w:val="18"/>
        </w:rPr>
        <w:t xml:space="preserve"> entre los miembros que asisten a la audiencia pública y quienes</w:t>
      </w:r>
      <w:r>
        <w:rPr>
          <w:rFonts w:ascii="Verdana" w:hAnsi="Verdana"/>
          <w:sz w:val="16"/>
          <w:szCs w:val="18"/>
        </w:rPr>
        <w:t xml:space="preserve"> </w:t>
      </w:r>
      <w:r w:rsidRPr="00D17B0C">
        <w:rPr>
          <w:rFonts w:ascii="Verdana" w:hAnsi="Verdana"/>
          <w:sz w:val="16"/>
          <w:szCs w:val="18"/>
        </w:rPr>
        <w:t>integran el Tribunal al momento de la deliberación</w:t>
      </w:r>
      <w:r>
        <w:rPr>
          <w:rStyle w:val="FootnoteReference"/>
        </w:rPr>
        <w:footnoteReference w:id="21"/>
      </w:r>
      <w:r w:rsidRPr="00D17B0C">
        <w:rPr>
          <w:rFonts w:ascii="Verdana" w:hAnsi="Verdana"/>
          <w:sz w:val="16"/>
          <w:szCs w:val="18"/>
        </w:rPr>
        <w:t>. En ocasiones, y como parte de sus facultades, la Corte en otros casos ha decidido: a) delegar en parte de sus miembros la ev</w:t>
      </w:r>
      <w:r>
        <w:rPr>
          <w:rFonts w:ascii="Verdana" w:hAnsi="Verdana"/>
          <w:sz w:val="16"/>
          <w:szCs w:val="18"/>
        </w:rPr>
        <w:t>acuación de parte de la prueba</w:t>
      </w:r>
      <w:r>
        <w:rPr>
          <w:rStyle w:val="FootnoteReference"/>
        </w:rPr>
        <w:footnoteReference w:id="22"/>
      </w:r>
      <w:r w:rsidRPr="00D17B0C">
        <w:rPr>
          <w:rFonts w:ascii="Verdana" w:hAnsi="Verdana"/>
          <w:sz w:val="16"/>
          <w:szCs w:val="18"/>
        </w:rPr>
        <w:t>; b) asignar a alguno de los jueces recabar algunos elementos probatorios necesarios par</w:t>
      </w:r>
      <w:r>
        <w:rPr>
          <w:rFonts w:ascii="Verdana" w:hAnsi="Verdana"/>
          <w:sz w:val="16"/>
          <w:szCs w:val="18"/>
        </w:rPr>
        <w:t>a la deliberación del Tribunal</w:t>
      </w:r>
      <w:r>
        <w:rPr>
          <w:rStyle w:val="FootnoteReference"/>
        </w:rPr>
        <w:footnoteReference w:id="23"/>
      </w:r>
      <w:r w:rsidRPr="00D17B0C">
        <w:rPr>
          <w:rFonts w:ascii="Verdana" w:hAnsi="Verdana"/>
          <w:sz w:val="16"/>
          <w:szCs w:val="18"/>
        </w:rPr>
        <w:t>; e, incluso c) encargar al personal de la Secretaría, por decisión de la Corte, la evacuación de determinados medios probatorios requeridos por el Tribunal para decidir un caso</w:t>
      </w:r>
      <w:r>
        <w:rPr>
          <w:rFonts w:ascii="Verdana" w:hAnsi="Verdana"/>
          <w:sz w:val="16"/>
          <w:szCs w:val="18"/>
        </w:rPr>
        <w:t xml:space="preserve"> concreto</w:t>
      </w:r>
      <w:r>
        <w:rPr>
          <w:rStyle w:val="FootnoteReference"/>
        </w:rPr>
        <w:footnoteReference w:id="24"/>
      </w:r>
      <w:r w:rsidRPr="00D17B0C">
        <w:rPr>
          <w:rFonts w:ascii="Verdana" w:hAnsi="Verdana"/>
          <w:sz w:val="16"/>
          <w:szCs w:val="18"/>
        </w:rPr>
        <w:t>; o d) determinar que algunos testimonios y peritajes ofrecidos por las partes para la audiencia pública se rindan a través de una declaración jurada o “affidávit”</w:t>
      </w:r>
      <w:r>
        <w:rPr>
          <w:rFonts w:ascii="Verdana" w:hAnsi="Verdana"/>
          <w:sz w:val="16"/>
          <w:szCs w:val="18"/>
        </w:rPr>
        <w:t xml:space="preserve"> […]</w:t>
      </w:r>
    </w:p>
    <w:p w14:paraId="44F6FD60" w14:textId="77777777" w:rsidR="00D17B0C" w:rsidRDefault="00D17B0C" w:rsidP="00D17B0C">
      <w:pPr>
        <w:spacing w:after="0"/>
        <w:ind w:left="708"/>
        <w:jc w:val="both"/>
        <w:rPr>
          <w:rFonts w:ascii="Verdana" w:hAnsi="Verdana"/>
          <w:sz w:val="16"/>
          <w:szCs w:val="18"/>
        </w:rPr>
      </w:pPr>
    </w:p>
    <w:p w14:paraId="5263195A" w14:textId="76BB395B" w:rsidR="00D17B0C" w:rsidRPr="00D17B0C" w:rsidRDefault="00D17B0C" w:rsidP="00D17B0C">
      <w:pPr>
        <w:spacing w:after="0"/>
        <w:ind w:left="708"/>
        <w:jc w:val="both"/>
        <w:rPr>
          <w:rFonts w:ascii="Verdana" w:hAnsi="Verdana"/>
          <w:sz w:val="16"/>
          <w:szCs w:val="18"/>
        </w:rPr>
      </w:pPr>
      <w:r>
        <w:rPr>
          <w:rFonts w:ascii="Verdana" w:hAnsi="Verdana"/>
          <w:sz w:val="16"/>
          <w:szCs w:val="18"/>
        </w:rPr>
        <w:t>29.</w:t>
      </w:r>
      <w:r>
        <w:rPr>
          <w:rFonts w:ascii="Verdana" w:hAnsi="Verdana"/>
          <w:sz w:val="16"/>
          <w:szCs w:val="18"/>
        </w:rPr>
        <w:tab/>
      </w:r>
      <w:r w:rsidRPr="00D17B0C">
        <w:rPr>
          <w:rFonts w:ascii="Verdana" w:hAnsi="Verdana"/>
          <w:sz w:val="16"/>
          <w:szCs w:val="18"/>
        </w:rPr>
        <w:t>Las facultades antes descritas derivan de la naturaleza jurídica propia de un tribunal internacional de derechos humanos, en el que no pueden exigirse los mismos formalismos que en el derecho interno</w:t>
      </w:r>
      <w:r w:rsidR="00F63AC5">
        <w:rPr>
          <w:rFonts w:ascii="Verdana" w:hAnsi="Verdana"/>
          <w:sz w:val="16"/>
          <w:szCs w:val="18"/>
        </w:rPr>
        <w:t xml:space="preserve"> […]</w:t>
      </w:r>
      <w:r>
        <w:rPr>
          <w:rFonts w:ascii="Verdana" w:hAnsi="Verdana"/>
          <w:sz w:val="16"/>
          <w:szCs w:val="18"/>
        </w:rPr>
        <w:t xml:space="preserve">, </w:t>
      </w:r>
      <w:r w:rsidRPr="00D17B0C">
        <w:rPr>
          <w:rFonts w:ascii="Verdana" w:hAnsi="Verdana"/>
          <w:sz w:val="16"/>
          <w:szCs w:val="18"/>
        </w:rPr>
        <w:t xml:space="preserve">sin menoscabo del principio del contradictorio. Sin embargo, corresponde al Tribunal en definitiva decidir los elementos de prueba en que se fundará su decisión. </w:t>
      </w:r>
    </w:p>
    <w:p w14:paraId="4075D49A" w14:textId="77777777" w:rsidR="00D17B0C" w:rsidRPr="00D17B0C" w:rsidRDefault="00D17B0C" w:rsidP="00D17B0C">
      <w:pPr>
        <w:spacing w:after="0"/>
        <w:ind w:left="708"/>
        <w:jc w:val="both"/>
        <w:rPr>
          <w:rFonts w:ascii="Verdana" w:hAnsi="Verdana"/>
          <w:sz w:val="16"/>
          <w:szCs w:val="18"/>
        </w:rPr>
      </w:pPr>
    </w:p>
    <w:p w14:paraId="036D527A" w14:textId="2DAE0B7C" w:rsidR="00D17B0C" w:rsidRDefault="00D17B0C" w:rsidP="00D17B0C">
      <w:pPr>
        <w:spacing w:after="0"/>
        <w:ind w:left="708"/>
        <w:jc w:val="both"/>
        <w:rPr>
          <w:rFonts w:ascii="Verdana" w:hAnsi="Verdana"/>
          <w:sz w:val="16"/>
          <w:szCs w:val="18"/>
        </w:rPr>
      </w:pPr>
      <w:r w:rsidRPr="00D17B0C">
        <w:rPr>
          <w:rFonts w:ascii="Verdana" w:hAnsi="Verdana"/>
          <w:sz w:val="16"/>
          <w:szCs w:val="18"/>
        </w:rPr>
        <w:t xml:space="preserve">30. </w:t>
      </w:r>
      <w:r>
        <w:rPr>
          <w:rFonts w:ascii="Verdana" w:hAnsi="Verdana"/>
          <w:sz w:val="16"/>
          <w:szCs w:val="18"/>
        </w:rPr>
        <w:tab/>
      </w:r>
      <w:r w:rsidRPr="00D17B0C">
        <w:rPr>
          <w:rFonts w:ascii="Verdana" w:hAnsi="Verdana"/>
          <w:sz w:val="16"/>
          <w:szCs w:val="18"/>
        </w:rPr>
        <w:t>A su vez, cabe destacar que, conforme a los artículos 14 y 42 del Reglamento</w:t>
      </w:r>
      <w:r>
        <w:rPr>
          <w:rFonts w:ascii="Verdana" w:hAnsi="Verdana"/>
          <w:sz w:val="16"/>
          <w:szCs w:val="18"/>
        </w:rPr>
        <w:t xml:space="preserve"> [entonces vigente]</w:t>
      </w:r>
      <w:r w:rsidRPr="00D17B0C">
        <w:rPr>
          <w:rFonts w:ascii="Verdana" w:hAnsi="Verdana"/>
          <w:sz w:val="16"/>
          <w:szCs w:val="18"/>
        </w:rPr>
        <w:t xml:space="preserve">, de toda audiencia que se celebre en la sede de la Corte o fuera de ésta, se levantará un acta, a la cual se acompañará una transcripción de todas las intervenciones producidas durante la audiencia. Esta transcripción </w:t>
      </w:r>
      <w:r>
        <w:rPr>
          <w:rFonts w:ascii="Verdana" w:hAnsi="Verdana"/>
          <w:sz w:val="16"/>
          <w:szCs w:val="18"/>
        </w:rPr>
        <w:t>[era]</w:t>
      </w:r>
      <w:r w:rsidRPr="00D17B0C">
        <w:rPr>
          <w:rFonts w:ascii="Verdana" w:hAnsi="Verdana"/>
          <w:sz w:val="16"/>
          <w:szCs w:val="18"/>
        </w:rPr>
        <w:t xml:space="preserve"> puesta a disposición de los miembros del Tribunal previamente al </w:t>
      </w:r>
      <w:r w:rsidRPr="00D17B0C">
        <w:rPr>
          <w:rFonts w:ascii="Verdana" w:hAnsi="Verdana"/>
          <w:sz w:val="16"/>
          <w:szCs w:val="18"/>
        </w:rPr>
        <w:lastRenderedPageBreak/>
        <w:t xml:space="preserve">momento de sus deliberaciones, así como de las partes para correcciones de los eventuales errores materiales. Esta transcripción y grabación íntegra de la audiencia pública permite a los jueces, que así lo deseen, volver a revisar todo lo acaecido durante aquélla. De este modo, si bien el Juez Pacheco Gómez no participó de la audiencia pública, conoció en detalle todo lo sucedido durante ésta, gracias a las transcripciones y grabaciones de la misma. </w:t>
      </w:r>
      <w:r>
        <w:rPr>
          <w:rFonts w:ascii="Verdana" w:hAnsi="Verdana"/>
          <w:sz w:val="16"/>
          <w:szCs w:val="18"/>
        </w:rPr>
        <w:t>[…]</w:t>
      </w:r>
    </w:p>
    <w:p w14:paraId="6E5CADA2" w14:textId="77777777" w:rsidR="00D17B0C" w:rsidRDefault="00D17B0C" w:rsidP="00D17B0C">
      <w:pPr>
        <w:spacing w:after="0"/>
        <w:ind w:left="708"/>
        <w:jc w:val="both"/>
        <w:rPr>
          <w:rFonts w:ascii="Verdana" w:hAnsi="Verdana"/>
          <w:sz w:val="16"/>
          <w:szCs w:val="18"/>
        </w:rPr>
      </w:pPr>
    </w:p>
    <w:p w14:paraId="747E1436" w14:textId="77777777" w:rsidR="00D17B0C" w:rsidRDefault="00D17B0C" w:rsidP="00D17B0C">
      <w:pPr>
        <w:spacing w:after="0"/>
        <w:ind w:left="708"/>
        <w:jc w:val="both"/>
        <w:rPr>
          <w:rFonts w:ascii="Verdana" w:hAnsi="Verdana"/>
          <w:sz w:val="16"/>
          <w:szCs w:val="18"/>
        </w:rPr>
      </w:pPr>
      <w:r w:rsidRPr="00D17B0C">
        <w:rPr>
          <w:rFonts w:ascii="Verdana" w:hAnsi="Verdana"/>
          <w:sz w:val="16"/>
          <w:szCs w:val="18"/>
        </w:rPr>
        <w:t xml:space="preserve">32. En el caso en examen, cabe señalar que la composición enunciada en la primera página de la Sentencia corresponde a los integrantes del Tribunal que deliberaron y decidieron el Caso Juan Humberto Sánchez el pasado 7 de junio de 2003 y quienes, asimismo, han sido miembros de este Tribunal desde que el caso ingresó a su conocimiento el 8 de septiembre de 2001. </w:t>
      </w:r>
    </w:p>
    <w:p w14:paraId="0B859317" w14:textId="77777777" w:rsidR="00D17B0C" w:rsidRDefault="00D17B0C" w:rsidP="00D17B0C">
      <w:pPr>
        <w:spacing w:after="0"/>
        <w:ind w:left="708"/>
        <w:jc w:val="both"/>
        <w:rPr>
          <w:rFonts w:ascii="Verdana" w:hAnsi="Verdana"/>
          <w:sz w:val="16"/>
          <w:szCs w:val="18"/>
        </w:rPr>
      </w:pPr>
    </w:p>
    <w:p w14:paraId="0369F349" w14:textId="23DA5F45" w:rsidR="00D17B0C" w:rsidRPr="00D17B0C" w:rsidRDefault="00D17B0C" w:rsidP="00D17B0C">
      <w:pPr>
        <w:spacing w:after="0"/>
        <w:ind w:left="708"/>
        <w:jc w:val="both"/>
        <w:rPr>
          <w:rFonts w:ascii="Verdana" w:hAnsi="Verdana"/>
          <w:sz w:val="16"/>
          <w:szCs w:val="18"/>
        </w:rPr>
      </w:pPr>
      <w:r w:rsidRPr="00D17B0C">
        <w:rPr>
          <w:rFonts w:ascii="Verdana" w:hAnsi="Verdana"/>
          <w:sz w:val="16"/>
          <w:szCs w:val="18"/>
        </w:rPr>
        <w:t>33. Por las razones anteriores, la Corte Interamericana decide rechazar, por improcedente, la solicitud de interpretación en lo relativo a la composición del Tribunal, durante la audiencia pública y al momento de dictar la sentencia correspondiente en el presente caso.</w:t>
      </w:r>
    </w:p>
    <w:p w14:paraId="0D7CFF1C" w14:textId="77777777" w:rsidR="00D17B0C" w:rsidRDefault="00D17B0C" w:rsidP="00015762">
      <w:pPr>
        <w:spacing w:after="0"/>
        <w:rPr>
          <w:rFonts w:ascii="Verdana" w:hAnsi="Verdana" w:cs="Verdana"/>
          <w:b/>
          <w:bCs/>
          <w:sz w:val="20"/>
          <w:szCs w:val="20"/>
          <w:lang w:val="es-CR"/>
        </w:rPr>
      </w:pPr>
    </w:p>
    <w:p w14:paraId="3F75C9FB" w14:textId="63146DA1" w:rsidR="002339F9" w:rsidRPr="00622344" w:rsidRDefault="00F63AC5" w:rsidP="00F63AC5">
      <w:pPr>
        <w:pStyle w:val="ListParagraph"/>
        <w:numPr>
          <w:ilvl w:val="3"/>
          <w:numId w:val="2"/>
        </w:numPr>
        <w:ind w:left="0" w:firstLine="0"/>
        <w:rPr>
          <w:bCs/>
        </w:rPr>
      </w:pPr>
      <w:r>
        <w:rPr>
          <w:bCs/>
        </w:rPr>
        <w:t xml:space="preserve">En atención a la normativa convencional, estatutaria y reglamentaria aplicable al procedimiento de casos contenciosos ante </w:t>
      </w:r>
      <w:r w:rsidRPr="00622344">
        <w:rPr>
          <w:bCs/>
        </w:rPr>
        <w:t>este Tribunal, así como a su reiterada jurisprudencia y práctica judicial,</w:t>
      </w:r>
      <w:r w:rsidR="000666C0" w:rsidRPr="00622344">
        <w:rPr>
          <w:bCs/>
        </w:rPr>
        <w:t xml:space="preserve"> </w:t>
      </w:r>
      <w:r w:rsidRPr="00622344">
        <w:rPr>
          <w:bCs/>
        </w:rPr>
        <w:t xml:space="preserve">la Corte considera que </w:t>
      </w:r>
      <w:r w:rsidR="003A6D44" w:rsidRPr="00622344">
        <w:rPr>
          <w:bCs/>
        </w:rPr>
        <w:t>no se ha acreditado en autos circunstancias relevantes que ameriten que declare la inhabilitación de</w:t>
      </w:r>
      <w:r w:rsidRPr="00622344">
        <w:rPr>
          <w:bCs/>
        </w:rPr>
        <w:t xml:space="preserve"> su Presidente para </w:t>
      </w:r>
      <w:r w:rsidR="003A6D44" w:rsidRPr="00622344">
        <w:rPr>
          <w:bCs/>
        </w:rPr>
        <w:t xml:space="preserve">continuar conociendo del presente caso y, en particular, para </w:t>
      </w:r>
      <w:r w:rsidRPr="00622344">
        <w:rPr>
          <w:bCs/>
        </w:rPr>
        <w:t xml:space="preserve">participar en la eventual deliberación y adopción de la sentencia sobre fondo y reparaciones que corresponda dictar. </w:t>
      </w:r>
    </w:p>
    <w:p w14:paraId="2A375AEF" w14:textId="77777777" w:rsidR="00F63AC5" w:rsidRPr="00F63AC5" w:rsidRDefault="00F63AC5" w:rsidP="00F63AC5">
      <w:pPr>
        <w:pStyle w:val="ListParagraph"/>
        <w:numPr>
          <w:ilvl w:val="0"/>
          <w:numId w:val="0"/>
        </w:numPr>
        <w:rPr>
          <w:bCs/>
        </w:rPr>
      </w:pPr>
    </w:p>
    <w:p w14:paraId="14A49EDC" w14:textId="77777777" w:rsidR="00F63AC5" w:rsidRPr="00A32108" w:rsidRDefault="00F63AC5" w:rsidP="00015762">
      <w:pPr>
        <w:spacing w:after="0"/>
        <w:jc w:val="both"/>
        <w:rPr>
          <w:rFonts w:ascii="Verdana" w:hAnsi="Verdana" w:cs="Verdana"/>
          <w:b/>
          <w:bCs/>
          <w:sz w:val="20"/>
          <w:szCs w:val="20"/>
        </w:rPr>
      </w:pPr>
    </w:p>
    <w:p w14:paraId="3896B33E" w14:textId="77777777" w:rsidR="00015762" w:rsidRDefault="00015762" w:rsidP="00015762">
      <w:pPr>
        <w:spacing w:after="0"/>
        <w:jc w:val="both"/>
        <w:rPr>
          <w:rFonts w:ascii="Verdana" w:hAnsi="Verdana" w:cs="Verdana"/>
          <w:b/>
          <w:bCs/>
          <w:sz w:val="20"/>
          <w:szCs w:val="20"/>
          <w:lang w:val="es-CR"/>
        </w:rPr>
      </w:pPr>
      <w:r>
        <w:rPr>
          <w:rFonts w:ascii="Verdana" w:hAnsi="Verdana" w:cs="Verdana"/>
          <w:b/>
          <w:bCs/>
          <w:sz w:val="20"/>
          <w:szCs w:val="20"/>
          <w:lang w:val="es-CR"/>
        </w:rPr>
        <w:t>POR TANTO:</w:t>
      </w:r>
    </w:p>
    <w:p w14:paraId="77A70F96" w14:textId="77777777" w:rsidR="00015762" w:rsidRDefault="00015762" w:rsidP="00015762">
      <w:pPr>
        <w:spacing w:after="0"/>
        <w:jc w:val="both"/>
        <w:rPr>
          <w:rFonts w:ascii="Verdana" w:hAnsi="Verdana" w:cs="Verdana"/>
          <w:b/>
          <w:bCs/>
          <w:sz w:val="20"/>
          <w:szCs w:val="20"/>
          <w:lang w:val="es-CR"/>
        </w:rPr>
      </w:pPr>
    </w:p>
    <w:p w14:paraId="3740714D" w14:textId="77777777" w:rsidR="00622344" w:rsidRDefault="00622344" w:rsidP="00015762">
      <w:pPr>
        <w:spacing w:after="0"/>
        <w:jc w:val="both"/>
        <w:rPr>
          <w:rFonts w:ascii="Verdana" w:hAnsi="Verdana" w:cs="Verdana"/>
          <w:b/>
          <w:bCs/>
          <w:sz w:val="20"/>
          <w:szCs w:val="20"/>
          <w:lang w:val="es-CR"/>
        </w:rPr>
      </w:pPr>
    </w:p>
    <w:p w14:paraId="5F0DDCAF" w14:textId="77777777" w:rsidR="00015762" w:rsidRDefault="00015762" w:rsidP="00015762">
      <w:pPr>
        <w:spacing w:after="0"/>
        <w:jc w:val="both"/>
        <w:rPr>
          <w:rFonts w:ascii="Verdana" w:hAnsi="Verdana" w:cs="Verdana"/>
          <w:b/>
          <w:bCs/>
          <w:sz w:val="20"/>
          <w:szCs w:val="20"/>
          <w:lang w:val="es-CR"/>
        </w:rPr>
      </w:pPr>
      <w:r>
        <w:rPr>
          <w:rFonts w:ascii="Verdana" w:hAnsi="Verdana" w:cs="Verdana"/>
          <w:b/>
          <w:bCs/>
          <w:sz w:val="20"/>
          <w:szCs w:val="20"/>
          <w:lang w:val="es-CR"/>
        </w:rPr>
        <w:t xml:space="preserve">LA CORTE INTERAMERICANA DE DERECHOS HUMANOS, </w:t>
      </w:r>
    </w:p>
    <w:p w14:paraId="499EB273" w14:textId="77777777" w:rsidR="00015762" w:rsidRDefault="00015762" w:rsidP="00015762">
      <w:pPr>
        <w:autoSpaceDE w:val="0"/>
        <w:autoSpaceDN w:val="0"/>
        <w:adjustRightInd w:val="0"/>
        <w:spacing w:after="0"/>
        <w:ind w:right="18"/>
        <w:jc w:val="both"/>
        <w:rPr>
          <w:rFonts w:ascii="Garamond" w:hAnsi="Garamond"/>
          <w:lang w:val="es-CR"/>
        </w:rPr>
      </w:pPr>
    </w:p>
    <w:p w14:paraId="3E475F94" w14:textId="77777777" w:rsidR="00622344" w:rsidRDefault="00622344" w:rsidP="00015762">
      <w:pPr>
        <w:autoSpaceDE w:val="0"/>
        <w:autoSpaceDN w:val="0"/>
        <w:adjustRightInd w:val="0"/>
        <w:spacing w:after="0"/>
        <w:ind w:right="18"/>
        <w:jc w:val="both"/>
        <w:rPr>
          <w:rFonts w:ascii="Garamond" w:hAnsi="Garamond"/>
          <w:lang w:val="es-CR"/>
        </w:rPr>
      </w:pPr>
    </w:p>
    <w:p w14:paraId="6830D20C" w14:textId="76E615CF" w:rsidR="00015762" w:rsidRDefault="00015762" w:rsidP="00015762">
      <w:pPr>
        <w:autoSpaceDE w:val="0"/>
        <w:autoSpaceDN w:val="0"/>
        <w:adjustRightInd w:val="0"/>
        <w:spacing w:after="0"/>
        <w:ind w:right="18"/>
        <w:jc w:val="both"/>
        <w:rPr>
          <w:rFonts w:ascii="Verdana" w:hAnsi="Verdana" w:cs="Verdana"/>
          <w:b/>
          <w:bCs/>
          <w:sz w:val="20"/>
          <w:szCs w:val="20"/>
          <w:lang w:val="es-ES"/>
        </w:rPr>
      </w:pPr>
      <w:proofErr w:type="gramStart"/>
      <w:r w:rsidRPr="00D10CC1">
        <w:rPr>
          <w:rFonts w:ascii="Verdana" w:hAnsi="Verdana" w:cs="Verdana"/>
          <w:sz w:val="20"/>
          <w:szCs w:val="20"/>
          <w:lang w:val="es-ES"/>
        </w:rPr>
        <w:t>de</w:t>
      </w:r>
      <w:proofErr w:type="gramEnd"/>
      <w:r w:rsidRPr="00D10CC1">
        <w:rPr>
          <w:rFonts w:ascii="Verdana" w:hAnsi="Verdana" w:cs="Verdana"/>
          <w:sz w:val="20"/>
          <w:szCs w:val="20"/>
          <w:lang w:val="es-ES"/>
        </w:rPr>
        <w:t xml:space="preserve"> </w:t>
      </w:r>
      <w:r w:rsidR="00F63AC5" w:rsidRPr="00D10CC1">
        <w:rPr>
          <w:rFonts w:ascii="Verdana" w:hAnsi="Verdana" w:cs="Verdana"/>
          <w:sz w:val="20"/>
          <w:szCs w:val="20"/>
          <w:lang w:val="es-ES"/>
        </w:rPr>
        <w:t>conformidad con el artículo 25</w:t>
      </w:r>
      <w:r w:rsidRPr="00D10CC1">
        <w:rPr>
          <w:rFonts w:ascii="Verdana" w:hAnsi="Verdana" w:cs="Verdana"/>
          <w:sz w:val="20"/>
          <w:szCs w:val="20"/>
          <w:lang w:val="es-ES"/>
        </w:rPr>
        <w:t xml:space="preserve"> del Estatuto de la Corte y con </w:t>
      </w:r>
      <w:r w:rsidR="00F63AC5" w:rsidRPr="00D10CC1">
        <w:rPr>
          <w:rFonts w:ascii="Verdana" w:hAnsi="Verdana" w:cs="Verdana"/>
          <w:sz w:val="20"/>
          <w:szCs w:val="20"/>
          <w:lang w:val="es-ES"/>
        </w:rPr>
        <w:t>los</w:t>
      </w:r>
      <w:r w:rsidRPr="00D10CC1">
        <w:rPr>
          <w:rFonts w:ascii="Verdana" w:hAnsi="Verdana" w:cs="Verdana"/>
          <w:sz w:val="20"/>
          <w:szCs w:val="20"/>
          <w:lang w:val="es-ES"/>
        </w:rPr>
        <w:t xml:space="preserve"> </w:t>
      </w:r>
      <w:r w:rsidRPr="00D10CC1">
        <w:rPr>
          <w:rFonts w:ascii="Verdana" w:hAnsi="Verdana" w:cs="Verdana"/>
          <w:sz w:val="20"/>
          <w:szCs w:val="20"/>
        </w:rPr>
        <w:t>artículo</w:t>
      </w:r>
      <w:r w:rsidR="00F63AC5" w:rsidRPr="00D10CC1">
        <w:rPr>
          <w:rFonts w:ascii="Verdana" w:hAnsi="Verdana" w:cs="Verdana"/>
          <w:sz w:val="20"/>
          <w:szCs w:val="20"/>
        </w:rPr>
        <w:t>s 21,</w:t>
      </w:r>
      <w:r w:rsidRPr="00D10CC1">
        <w:rPr>
          <w:rFonts w:ascii="Verdana" w:hAnsi="Verdana" w:cs="Verdana"/>
          <w:sz w:val="20"/>
          <w:szCs w:val="20"/>
        </w:rPr>
        <w:t xml:space="preserve"> 31.2 </w:t>
      </w:r>
      <w:r w:rsidR="00F63AC5" w:rsidRPr="00D10CC1">
        <w:rPr>
          <w:rFonts w:ascii="Verdana" w:hAnsi="Verdana" w:cs="Verdana"/>
          <w:sz w:val="20"/>
          <w:szCs w:val="20"/>
        </w:rPr>
        <w:t xml:space="preserve">y 65 </w:t>
      </w:r>
      <w:r w:rsidRPr="00D10CC1">
        <w:rPr>
          <w:rFonts w:ascii="Verdana" w:hAnsi="Verdana" w:cs="Verdana"/>
          <w:sz w:val="20"/>
          <w:szCs w:val="20"/>
        </w:rPr>
        <w:t>del Reglamento</w:t>
      </w:r>
      <w:r w:rsidRPr="00D10CC1">
        <w:rPr>
          <w:rFonts w:ascii="Verdana" w:hAnsi="Verdana" w:cs="Verdana"/>
          <w:sz w:val="20"/>
          <w:szCs w:val="20"/>
          <w:lang w:val="es-ES"/>
        </w:rPr>
        <w:t>,</w:t>
      </w:r>
      <w:r>
        <w:rPr>
          <w:rFonts w:ascii="Verdana" w:hAnsi="Verdana" w:cs="Verdana"/>
          <w:sz w:val="20"/>
          <w:szCs w:val="20"/>
          <w:lang w:val="es-ES"/>
        </w:rPr>
        <w:t xml:space="preserve"> </w:t>
      </w:r>
    </w:p>
    <w:p w14:paraId="261E6709" w14:textId="77777777" w:rsidR="00015762" w:rsidRDefault="00015762" w:rsidP="00015762">
      <w:pPr>
        <w:autoSpaceDE w:val="0"/>
        <w:autoSpaceDN w:val="0"/>
        <w:adjustRightInd w:val="0"/>
        <w:spacing w:after="0"/>
        <w:ind w:right="18"/>
        <w:jc w:val="both"/>
        <w:rPr>
          <w:rFonts w:ascii="Verdana" w:hAnsi="Verdana" w:cs="Verdana"/>
          <w:b/>
          <w:bCs/>
          <w:sz w:val="20"/>
          <w:szCs w:val="20"/>
          <w:lang w:val="es-ES"/>
        </w:rPr>
      </w:pPr>
    </w:p>
    <w:p w14:paraId="532A8AFA" w14:textId="77777777" w:rsidR="00622344" w:rsidRDefault="00622344" w:rsidP="00015762">
      <w:pPr>
        <w:autoSpaceDE w:val="0"/>
        <w:autoSpaceDN w:val="0"/>
        <w:adjustRightInd w:val="0"/>
        <w:spacing w:after="0"/>
        <w:ind w:right="18"/>
        <w:jc w:val="both"/>
        <w:rPr>
          <w:rFonts w:ascii="Verdana" w:hAnsi="Verdana" w:cs="Verdana"/>
          <w:b/>
          <w:bCs/>
          <w:sz w:val="20"/>
          <w:szCs w:val="20"/>
          <w:lang w:val="es-ES"/>
        </w:rPr>
      </w:pPr>
    </w:p>
    <w:p w14:paraId="77637B90" w14:textId="77777777" w:rsidR="00015762" w:rsidRDefault="00015762" w:rsidP="00015762">
      <w:pPr>
        <w:autoSpaceDE w:val="0"/>
        <w:autoSpaceDN w:val="0"/>
        <w:adjustRightInd w:val="0"/>
        <w:spacing w:after="0"/>
        <w:ind w:right="18"/>
        <w:jc w:val="both"/>
        <w:rPr>
          <w:rFonts w:ascii="Verdana" w:hAnsi="Verdana" w:cs="Verdana"/>
          <w:b/>
          <w:bCs/>
          <w:sz w:val="20"/>
          <w:szCs w:val="20"/>
          <w:lang w:val="es-ES"/>
        </w:rPr>
      </w:pPr>
      <w:r>
        <w:rPr>
          <w:rFonts w:ascii="Verdana" w:hAnsi="Verdana" w:cs="Verdana"/>
          <w:b/>
          <w:bCs/>
          <w:sz w:val="20"/>
          <w:szCs w:val="20"/>
          <w:lang w:val="es-ES"/>
        </w:rPr>
        <w:t>RESUELVE:</w:t>
      </w:r>
    </w:p>
    <w:p w14:paraId="3E884577" w14:textId="77777777" w:rsidR="00015762" w:rsidRDefault="00015762" w:rsidP="00015762">
      <w:pPr>
        <w:autoSpaceDE w:val="0"/>
        <w:autoSpaceDN w:val="0"/>
        <w:adjustRightInd w:val="0"/>
        <w:spacing w:after="0"/>
        <w:ind w:right="18"/>
        <w:jc w:val="both"/>
        <w:rPr>
          <w:rFonts w:ascii="Verdana" w:hAnsi="Verdana" w:cs="Verdana"/>
          <w:sz w:val="20"/>
          <w:szCs w:val="20"/>
          <w:lang w:val="es-ES"/>
        </w:rPr>
      </w:pPr>
    </w:p>
    <w:p w14:paraId="22228D56" w14:textId="77777777" w:rsidR="00622344" w:rsidRDefault="00622344" w:rsidP="00015762">
      <w:pPr>
        <w:autoSpaceDE w:val="0"/>
        <w:autoSpaceDN w:val="0"/>
        <w:adjustRightInd w:val="0"/>
        <w:spacing w:after="0"/>
        <w:ind w:right="18"/>
        <w:jc w:val="both"/>
        <w:rPr>
          <w:rFonts w:ascii="Verdana" w:hAnsi="Verdana" w:cs="Verdana"/>
          <w:sz w:val="20"/>
          <w:szCs w:val="20"/>
          <w:lang w:val="es-ES"/>
        </w:rPr>
      </w:pPr>
    </w:p>
    <w:p w14:paraId="1D683C58" w14:textId="21BE9607" w:rsidR="00015762" w:rsidRDefault="002339F9" w:rsidP="00015762">
      <w:pPr>
        <w:pStyle w:val="ListParagraph"/>
        <w:numPr>
          <w:ilvl w:val="0"/>
          <w:numId w:val="5"/>
        </w:numPr>
        <w:tabs>
          <w:tab w:val="left" w:pos="708"/>
        </w:tabs>
        <w:ind w:left="0" w:right="18" w:firstLine="0"/>
        <w:rPr>
          <w:lang w:val="es-CR"/>
        </w:rPr>
      </w:pPr>
      <w:r>
        <w:t>Declarar</w:t>
      </w:r>
      <w:r w:rsidR="00CC2A29">
        <w:t xml:space="preserve"> </w:t>
      </w:r>
      <w:r>
        <w:t>improcedente</w:t>
      </w:r>
      <w:r w:rsidR="00015762">
        <w:t xml:space="preserve"> la</w:t>
      </w:r>
      <w:r w:rsidR="00CC2A29">
        <w:t xml:space="preserve"> solicitud del representante</w:t>
      </w:r>
      <w:r w:rsidR="00E1609D">
        <w:t xml:space="preserve"> de las presuntas víctimas para que el Presidente de la Corte no participe en la eventual deliberación y adopción de la </w:t>
      </w:r>
      <w:r w:rsidR="00E1609D">
        <w:rPr>
          <w:bCs/>
        </w:rPr>
        <w:t>sentencia sobre fondo y reparaciones que corresponda dictar en el presente caso.</w:t>
      </w:r>
    </w:p>
    <w:p w14:paraId="42DFB943" w14:textId="77777777" w:rsidR="00015762" w:rsidRDefault="00015762" w:rsidP="00015762">
      <w:pPr>
        <w:pStyle w:val="ListParagraph"/>
        <w:numPr>
          <w:ilvl w:val="0"/>
          <w:numId w:val="0"/>
        </w:numPr>
        <w:tabs>
          <w:tab w:val="left" w:pos="708"/>
        </w:tabs>
        <w:ind w:right="18"/>
        <w:rPr>
          <w:lang w:val="es-CR"/>
        </w:rPr>
      </w:pPr>
    </w:p>
    <w:p w14:paraId="2294E107" w14:textId="77777777" w:rsidR="00622344" w:rsidRDefault="00622344" w:rsidP="00015762">
      <w:pPr>
        <w:pStyle w:val="ListParagraph"/>
        <w:numPr>
          <w:ilvl w:val="0"/>
          <w:numId w:val="0"/>
        </w:numPr>
        <w:tabs>
          <w:tab w:val="left" w:pos="708"/>
        </w:tabs>
        <w:ind w:right="18"/>
        <w:rPr>
          <w:lang w:val="es-CR"/>
        </w:rPr>
      </w:pPr>
    </w:p>
    <w:p w14:paraId="1BD30926" w14:textId="2AB833DF" w:rsidR="00015762" w:rsidRDefault="00015762" w:rsidP="00015762">
      <w:pPr>
        <w:pStyle w:val="ListParagraph"/>
        <w:numPr>
          <w:ilvl w:val="0"/>
          <w:numId w:val="5"/>
        </w:numPr>
        <w:tabs>
          <w:tab w:val="left" w:pos="708"/>
        </w:tabs>
        <w:ind w:left="0" w:right="18" w:firstLine="0"/>
        <w:rPr>
          <w:lang w:val="es-CR"/>
        </w:rPr>
      </w:pPr>
      <w:r>
        <w:rPr>
          <w:lang w:val="es-CR"/>
        </w:rPr>
        <w:t xml:space="preserve">Continuar con la tramitación del presente caso en los términos dispuestos por </w:t>
      </w:r>
      <w:r w:rsidR="00602691">
        <w:rPr>
          <w:lang w:val="es-CR"/>
        </w:rPr>
        <w:t xml:space="preserve">la Convención Americana y </w:t>
      </w:r>
      <w:r>
        <w:rPr>
          <w:lang w:val="es-CR"/>
        </w:rPr>
        <w:t xml:space="preserve">el </w:t>
      </w:r>
      <w:r w:rsidR="00602691">
        <w:rPr>
          <w:lang w:val="es-CR"/>
        </w:rPr>
        <w:t xml:space="preserve">Reglamento </w:t>
      </w:r>
      <w:r>
        <w:rPr>
          <w:lang w:val="es-CR"/>
        </w:rPr>
        <w:t>de la Corte.</w:t>
      </w:r>
    </w:p>
    <w:p w14:paraId="0A12A710" w14:textId="77777777" w:rsidR="00015762" w:rsidRDefault="00015762" w:rsidP="00015762">
      <w:pPr>
        <w:pStyle w:val="ListParagraph"/>
        <w:numPr>
          <w:ilvl w:val="0"/>
          <w:numId w:val="0"/>
        </w:numPr>
        <w:tabs>
          <w:tab w:val="left" w:pos="708"/>
        </w:tabs>
        <w:ind w:right="18"/>
      </w:pPr>
    </w:p>
    <w:p w14:paraId="448999A4" w14:textId="77777777" w:rsidR="00622344" w:rsidRDefault="00622344" w:rsidP="00015762">
      <w:pPr>
        <w:pStyle w:val="ListParagraph"/>
        <w:numPr>
          <w:ilvl w:val="0"/>
          <w:numId w:val="0"/>
        </w:numPr>
        <w:tabs>
          <w:tab w:val="left" w:pos="708"/>
        </w:tabs>
        <w:ind w:right="18"/>
      </w:pPr>
    </w:p>
    <w:p w14:paraId="089FC365" w14:textId="77777777" w:rsidR="00015762" w:rsidRDefault="00015762" w:rsidP="00015762">
      <w:pPr>
        <w:pStyle w:val="ListParagraph"/>
        <w:numPr>
          <w:ilvl w:val="0"/>
          <w:numId w:val="5"/>
        </w:numPr>
        <w:tabs>
          <w:tab w:val="left" w:pos="708"/>
        </w:tabs>
        <w:ind w:left="0" w:right="18" w:firstLine="0"/>
      </w:pPr>
      <w:r>
        <w:rPr>
          <w:color w:val="000000"/>
          <w:lang w:val="es-CR" w:eastAsia="es-ES"/>
        </w:rPr>
        <w:t>Disponer que la Secretaría de la Corte Interamericana notifique la presente Resolución a</w:t>
      </w:r>
      <w:r w:rsidR="002339F9">
        <w:rPr>
          <w:color w:val="000000"/>
          <w:lang w:val="es-CR" w:eastAsia="es-ES"/>
        </w:rPr>
        <w:t xml:space="preserve">l Estado, al representante </w:t>
      </w:r>
      <w:r>
        <w:rPr>
          <w:color w:val="000000"/>
          <w:lang w:val="es-CR" w:eastAsia="es-ES"/>
        </w:rPr>
        <w:t>de las pr</w:t>
      </w:r>
      <w:r w:rsidR="002339F9">
        <w:rPr>
          <w:color w:val="000000"/>
          <w:lang w:val="es-CR" w:eastAsia="es-ES"/>
        </w:rPr>
        <w:t>esuntas víctimas y a la Comisión Interamericana</w:t>
      </w:r>
      <w:r>
        <w:rPr>
          <w:color w:val="000000"/>
          <w:lang w:val="es-CR" w:eastAsia="es-ES"/>
        </w:rPr>
        <w:t>.</w:t>
      </w:r>
      <w:r>
        <w:t xml:space="preserve"> </w:t>
      </w:r>
    </w:p>
    <w:p w14:paraId="6B324C86" w14:textId="1296429F" w:rsidR="00D41E9A" w:rsidRDefault="00D41E9A"/>
    <w:p w14:paraId="0AAF1B0B" w14:textId="0FCCD9DC" w:rsidR="00015762" w:rsidRDefault="00015762" w:rsidP="00015762">
      <w:pPr>
        <w:jc w:val="both"/>
        <w:rPr>
          <w:rFonts w:ascii="Verdana" w:hAnsi="Verdana"/>
          <w:sz w:val="20"/>
          <w:lang w:val="es-CR"/>
        </w:rPr>
      </w:pPr>
      <w:r>
        <w:rPr>
          <w:rFonts w:ascii="Verdana" w:hAnsi="Verdana"/>
          <w:sz w:val="20"/>
          <w:lang w:val="es-CR"/>
        </w:rPr>
        <w:lastRenderedPageBreak/>
        <w:t>Resolución de la Corte Interamericana de Derechos Humanos</w:t>
      </w:r>
      <w:r w:rsidR="00773C2E">
        <w:rPr>
          <w:rFonts w:ascii="Verdana" w:hAnsi="Verdana"/>
          <w:sz w:val="20"/>
          <w:lang w:val="es-CR"/>
        </w:rPr>
        <w:t>.</w:t>
      </w:r>
      <w:r>
        <w:rPr>
          <w:rFonts w:ascii="Verdana" w:hAnsi="Verdana"/>
          <w:sz w:val="20"/>
          <w:lang w:val="es-CR"/>
        </w:rPr>
        <w:t xml:space="preserve"> </w:t>
      </w:r>
      <w:r w:rsidR="00773C2E">
        <w:rPr>
          <w:rFonts w:ascii="Verdana" w:hAnsi="Verdana"/>
          <w:sz w:val="20"/>
          <w:lang w:val="es-CR"/>
        </w:rPr>
        <w:t>C</w:t>
      </w:r>
      <w:r>
        <w:rPr>
          <w:rFonts w:ascii="Verdana" w:hAnsi="Verdana"/>
          <w:sz w:val="20"/>
          <w:lang w:val="es-CR"/>
        </w:rPr>
        <w:t>aso San Miguel Sosa y otros vs. Venezuela.</w:t>
      </w:r>
    </w:p>
    <w:p w14:paraId="7AAD2C84" w14:textId="77777777" w:rsidR="00015762" w:rsidRDefault="00015762" w:rsidP="00015762">
      <w:pPr>
        <w:spacing w:after="0"/>
        <w:jc w:val="both"/>
        <w:rPr>
          <w:rFonts w:ascii="Verdana" w:hAnsi="Verdana"/>
          <w:sz w:val="20"/>
          <w:lang w:val="es-CR"/>
        </w:rPr>
      </w:pPr>
    </w:p>
    <w:p w14:paraId="6091B4A5" w14:textId="77777777" w:rsidR="00015762" w:rsidRDefault="00015762" w:rsidP="00015762">
      <w:pPr>
        <w:spacing w:after="0"/>
        <w:jc w:val="both"/>
        <w:rPr>
          <w:rFonts w:ascii="Verdana" w:hAnsi="Verdana"/>
          <w:sz w:val="20"/>
          <w:lang w:val="es-CR"/>
        </w:rPr>
      </w:pPr>
    </w:p>
    <w:p w14:paraId="50CBFEF9" w14:textId="77777777" w:rsidR="00015762" w:rsidRDefault="00015762" w:rsidP="00015762">
      <w:pPr>
        <w:spacing w:after="0" w:line="240" w:lineRule="auto"/>
        <w:jc w:val="both"/>
        <w:rPr>
          <w:rFonts w:ascii="Verdana" w:hAnsi="Verdana"/>
          <w:sz w:val="20"/>
          <w:szCs w:val="20"/>
        </w:rPr>
      </w:pPr>
    </w:p>
    <w:p w14:paraId="3D0178EA" w14:textId="77777777" w:rsidR="00015762" w:rsidRDefault="00015762" w:rsidP="00015762">
      <w:pPr>
        <w:spacing w:after="0" w:line="240" w:lineRule="auto"/>
        <w:jc w:val="both"/>
        <w:rPr>
          <w:rFonts w:ascii="Verdana" w:hAnsi="Verdana"/>
          <w:sz w:val="20"/>
          <w:szCs w:val="20"/>
        </w:rPr>
      </w:pPr>
    </w:p>
    <w:p w14:paraId="7C887668" w14:textId="0C59832A" w:rsidR="00015762" w:rsidRDefault="00CA494B" w:rsidP="00015762">
      <w:pPr>
        <w:spacing w:after="0" w:line="240" w:lineRule="auto"/>
        <w:jc w:val="center"/>
        <w:rPr>
          <w:rFonts w:ascii="Verdana" w:hAnsi="Verdana"/>
          <w:sz w:val="20"/>
          <w:szCs w:val="20"/>
        </w:rPr>
      </w:pPr>
      <w:r>
        <w:rPr>
          <w:rFonts w:ascii="Verdana" w:hAnsi="Verdana"/>
          <w:sz w:val="20"/>
          <w:szCs w:val="20"/>
        </w:rPr>
        <w:t>Eduardo Ferrer Mac-Gregor Poisot</w:t>
      </w:r>
    </w:p>
    <w:p w14:paraId="1A3365F9" w14:textId="7FE795DB" w:rsidR="00015762" w:rsidRDefault="00015762" w:rsidP="00015762">
      <w:pPr>
        <w:spacing w:after="0" w:line="240" w:lineRule="auto"/>
        <w:jc w:val="center"/>
        <w:rPr>
          <w:rFonts w:ascii="Verdana" w:hAnsi="Verdana"/>
          <w:sz w:val="20"/>
          <w:szCs w:val="20"/>
        </w:rPr>
      </w:pPr>
      <w:r>
        <w:rPr>
          <w:rFonts w:ascii="Verdana" w:hAnsi="Verdana"/>
          <w:sz w:val="20"/>
          <w:szCs w:val="20"/>
        </w:rPr>
        <w:t>Presidente</w:t>
      </w:r>
      <w:r w:rsidR="00CA494B">
        <w:rPr>
          <w:rFonts w:ascii="Verdana" w:hAnsi="Verdana"/>
          <w:sz w:val="20"/>
          <w:szCs w:val="20"/>
        </w:rPr>
        <w:t xml:space="preserve"> en ejercicio</w:t>
      </w:r>
    </w:p>
    <w:p w14:paraId="40DBD467" w14:textId="77777777" w:rsidR="00015762" w:rsidRDefault="00015762" w:rsidP="00015762">
      <w:pPr>
        <w:spacing w:after="0" w:line="240" w:lineRule="auto"/>
        <w:jc w:val="both"/>
        <w:rPr>
          <w:rFonts w:ascii="Verdana" w:hAnsi="Verdana"/>
          <w:sz w:val="20"/>
          <w:szCs w:val="20"/>
        </w:rPr>
      </w:pPr>
    </w:p>
    <w:p w14:paraId="0BC0C99C" w14:textId="77777777" w:rsidR="00015762" w:rsidRDefault="00015762" w:rsidP="00015762">
      <w:pPr>
        <w:spacing w:after="0" w:line="240" w:lineRule="auto"/>
        <w:jc w:val="both"/>
        <w:rPr>
          <w:rFonts w:ascii="Verdana" w:hAnsi="Verdana"/>
          <w:sz w:val="20"/>
          <w:szCs w:val="20"/>
        </w:rPr>
      </w:pPr>
    </w:p>
    <w:p w14:paraId="7E03116D" w14:textId="77777777" w:rsidR="00015762" w:rsidRDefault="00015762" w:rsidP="00015762">
      <w:pPr>
        <w:spacing w:after="0" w:line="240" w:lineRule="auto"/>
        <w:jc w:val="both"/>
        <w:rPr>
          <w:rFonts w:ascii="Verdana" w:hAnsi="Verdana"/>
          <w:sz w:val="20"/>
          <w:szCs w:val="20"/>
        </w:rPr>
      </w:pPr>
    </w:p>
    <w:p w14:paraId="56C085CC" w14:textId="77777777" w:rsidR="00015762" w:rsidRDefault="00015762" w:rsidP="00015762">
      <w:pPr>
        <w:spacing w:after="0" w:line="240" w:lineRule="auto"/>
        <w:jc w:val="both"/>
        <w:rPr>
          <w:rFonts w:ascii="Verdana" w:hAnsi="Verdana"/>
          <w:sz w:val="20"/>
          <w:szCs w:val="20"/>
        </w:rPr>
      </w:pPr>
    </w:p>
    <w:p w14:paraId="32D9BF0C" w14:textId="02FA7B13" w:rsidR="00015762" w:rsidRDefault="00015762" w:rsidP="00015762">
      <w:pPr>
        <w:spacing w:after="0" w:line="240" w:lineRule="auto"/>
        <w:jc w:val="both"/>
        <w:rPr>
          <w:rFonts w:ascii="Verdana" w:hAnsi="Verdana"/>
          <w:sz w:val="20"/>
          <w:szCs w:val="20"/>
        </w:rPr>
      </w:pPr>
      <w:r>
        <w:rPr>
          <w:rFonts w:ascii="Verdana" w:hAnsi="Verdana"/>
          <w:sz w:val="20"/>
          <w:szCs w:val="20"/>
        </w:rPr>
        <w:t xml:space="preserve">Eduardo Vio Grossi </w:t>
      </w:r>
      <w:r w:rsidR="00CA494B">
        <w:rPr>
          <w:rFonts w:ascii="Verdana" w:hAnsi="Verdana"/>
          <w:sz w:val="20"/>
          <w:szCs w:val="20"/>
        </w:rPr>
        <w:tab/>
      </w:r>
      <w:r w:rsidR="00CA494B">
        <w:rPr>
          <w:rFonts w:ascii="Verdana" w:hAnsi="Verdana"/>
          <w:sz w:val="20"/>
          <w:szCs w:val="20"/>
        </w:rPr>
        <w:tab/>
      </w:r>
      <w:r w:rsidR="00CA494B">
        <w:rPr>
          <w:rFonts w:ascii="Verdana" w:hAnsi="Verdana"/>
          <w:sz w:val="20"/>
          <w:szCs w:val="20"/>
        </w:rPr>
        <w:tab/>
      </w:r>
      <w:r w:rsidR="00CA494B">
        <w:rPr>
          <w:rFonts w:ascii="Verdana" w:hAnsi="Verdana"/>
          <w:sz w:val="20"/>
          <w:szCs w:val="20"/>
        </w:rPr>
        <w:tab/>
      </w:r>
      <w:r w:rsidR="00CA494B">
        <w:rPr>
          <w:rFonts w:ascii="Verdana" w:hAnsi="Verdana"/>
          <w:sz w:val="20"/>
          <w:szCs w:val="20"/>
        </w:rPr>
        <w:tab/>
      </w:r>
      <w:r w:rsidR="00CA494B">
        <w:rPr>
          <w:rFonts w:ascii="Verdana" w:hAnsi="Verdana"/>
          <w:sz w:val="20"/>
          <w:szCs w:val="20"/>
        </w:rPr>
        <w:tab/>
        <w:t xml:space="preserve">     Humberto A. Sierra Porto</w:t>
      </w:r>
    </w:p>
    <w:p w14:paraId="66830453" w14:textId="77777777" w:rsidR="00015762" w:rsidRDefault="00015762" w:rsidP="00015762">
      <w:pPr>
        <w:spacing w:after="0" w:line="240" w:lineRule="auto"/>
        <w:jc w:val="both"/>
        <w:rPr>
          <w:rFonts w:ascii="Verdana" w:hAnsi="Verdana"/>
          <w:sz w:val="20"/>
          <w:szCs w:val="20"/>
        </w:rPr>
      </w:pPr>
    </w:p>
    <w:p w14:paraId="4B49E39B" w14:textId="77777777" w:rsidR="00015762" w:rsidRDefault="00015762" w:rsidP="00015762">
      <w:pPr>
        <w:spacing w:after="0" w:line="240" w:lineRule="auto"/>
        <w:jc w:val="both"/>
        <w:rPr>
          <w:rFonts w:ascii="Verdana" w:hAnsi="Verdana"/>
          <w:sz w:val="20"/>
          <w:szCs w:val="20"/>
        </w:rPr>
      </w:pPr>
    </w:p>
    <w:p w14:paraId="6CAD8A05" w14:textId="77777777" w:rsidR="00015762" w:rsidRDefault="00015762" w:rsidP="00015762">
      <w:pPr>
        <w:spacing w:after="0" w:line="240" w:lineRule="auto"/>
        <w:jc w:val="both"/>
        <w:rPr>
          <w:rFonts w:ascii="Verdana" w:hAnsi="Verdana"/>
          <w:sz w:val="20"/>
          <w:szCs w:val="20"/>
        </w:rPr>
      </w:pPr>
    </w:p>
    <w:p w14:paraId="5894E46A" w14:textId="77777777" w:rsidR="00015762" w:rsidRDefault="00015762" w:rsidP="00015762">
      <w:pPr>
        <w:spacing w:after="0" w:line="240" w:lineRule="auto"/>
        <w:jc w:val="both"/>
        <w:rPr>
          <w:rFonts w:ascii="Verdana" w:hAnsi="Verdana"/>
          <w:sz w:val="20"/>
          <w:szCs w:val="20"/>
        </w:rPr>
      </w:pPr>
    </w:p>
    <w:p w14:paraId="630BA76C" w14:textId="77777777" w:rsidR="00015762" w:rsidRDefault="00015762" w:rsidP="00015762">
      <w:pPr>
        <w:spacing w:after="0" w:line="240" w:lineRule="auto"/>
        <w:jc w:val="both"/>
        <w:rPr>
          <w:rFonts w:ascii="Verdana" w:hAnsi="Verdana"/>
          <w:sz w:val="20"/>
          <w:szCs w:val="20"/>
        </w:rPr>
      </w:pPr>
    </w:p>
    <w:p w14:paraId="5122D02C" w14:textId="5E5810E3" w:rsidR="00015762" w:rsidRDefault="00015762" w:rsidP="00015762">
      <w:pPr>
        <w:spacing w:after="0" w:line="240" w:lineRule="auto"/>
        <w:jc w:val="both"/>
        <w:rPr>
          <w:rFonts w:ascii="Verdana" w:hAnsi="Verdana"/>
          <w:sz w:val="20"/>
          <w:szCs w:val="20"/>
        </w:rPr>
      </w:pPr>
      <w:proofErr w:type="spellStart"/>
      <w:r>
        <w:rPr>
          <w:rFonts w:ascii="Verdana" w:hAnsi="Verdana"/>
          <w:sz w:val="20"/>
          <w:szCs w:val="20"/>
        </w:rPr>
        <w:t>Eilzabeth</w:t>
      </w:r>
      <w:proofErr w:type="spellEnd"/>
      <w:r>
        <w:rPr>
          <w:rFonts w:ascii="Verdana" w:hAnsi="Verdana"/>
          <w:sz w:val="20"/>
          <w:szCs w:val="20"/>
        </w:rPr>
        <w:t xml:space="preserve"> Odio Benito</w:t>
      </w:r>
      <w:r w:rsidR="00CA494B" w:rsidRPr="00CA494B">
        <w:rPr>
          <w:rFonts w:ascii="Verdana" w:hAnsi="Verdana"/>
          <w:sz w:val="20"/>
          <w:szCs w:val="20"/>
        </w:rPr>
        <w:t xml:space="preserve"> </w:t>
      </w:r>
      <w:r w:rsidR="00CA494B">
        <w:rPr>
          <w:rFonts w:ascii="Verdana" w:hAnsi="Verdana"/>
          <w:sz w:val="20"/>
          <w:szCs w:val="20"/>
        </w:rPr>
        <w:tab/>
      </w:r>
      <w:r w:rsidR="00CA494B">
        <w:rPr>
          <w:rFonts w:ascii="Verdana" w:hAnsi="Verdana"/>
          <w:sz w:val="20"/>
          <w:szCs w:val="20"/>
        </w:rPr>
        <w:tab/>
      </w:r>
      <w:r w:rsidR="00CA494B">
        <w:rPr>
          <w:rFonts w:ascii="Verdana" w:hAnsi="Verdana"/>
          <w:sz w:val="20"/>
          <w:szCs w:val="20"/>
        </w:rPr>
        <w:tab/>
      </w:r>
      <w:r w:rsidR="00CA494B">
        <w:rPr>
          <w:rFonts w:ascii="Verdana" w:hAnsi="Verdana"/>
          <w:sz w:val="20"/>
          <w:szCs w:val="20"/>
        </w:rPr>
        <w:tab/>
      </w:r>
      <w:r w:rsidR="00CA494B">
        <w:rPr>
          <w:rFonts w:ascii="Verdana" w:hAnsi="Verdana"/>
          <w:sz w:val="20"/>
          <w:szCs w:val="20"/>
        </w:rPr>
        <w:tab/>
      </w:r>
      <w:r w:rsidR="00CA494B">
        <w:rPr>
          <w:rFonts w:ascii="Verdana" w:hAnsi="Verdana"/>
          <w:sz w:val="20"/>
          <w:szCs w:val="20"/>
        </w:rPr>
        <w:tab/>
        <w:t>Eugenio Raúl Zaffaroni</w:t>
      </w:r>
    </w:p>
    <w:p w14:paraId="3F98FE14" w14:textId="77777777" w:rsidR="00015762" w:rsidRDefault="00015762" w:rsidP="00015762">
      <w:pPr>
        <w:spacing w:after="0" w:line="240" w:lineRule="auto"/>
        <w:jc w:val="both"/>
        <w:rPr>
          <w:rFonts w:ascii="Verdana" w:hAnsi="Verdana"/>
          <w:sz w:val="20"/>
          <w:szCs w:val="20"/>
        </w:rPr>
      </w:pPr>
    </w:p>
    <w:p w14:paraId="6B5813CA" w14:textId="77777777" w:rsidR="00015762" w:rsidRDefault="00015762" w:rsidP="00015762">
      <w:pPr>
        <w:spacing w:after="0" w:line="240" w:lineRule="auto"/>
        <w:jc w:val="both"/>
        <w:rPr>
          <w:rFonts w:ascii="Verdana" w:hAnsi="Verdana"/>
          <w:sz w:val="20"/>
          <w:szCs w:val="20"/>
        </w:rPr>
      </w:pPr>
    </w:p>
    <w:p w14:paraId="2CFC1403" w14:textId="77777777" w:rsidR="00015762" w:rsidRDefault="00015762" w:rsidP="00015762">
      <w:pPr>
        <w:spacing w:after="0" w:line="240" w:lineRule="auto"/>
        <w:jc w:val="both"/>
        <w:rPr>
          <w:rFonts w:ascii="Verdana" w:hAnsi="Verdana"/>
          <w:sz w:val="20"/>
          <w:szCs w:val="20"/>
        </w:rPr>
      </w:pPr>
    </w:p>
    <w:p w14:paraId="5D9872A8" w14:textId="77777777" w:rsidR="00015762" w:rsidRDefault="00015762" w:rsidP="00015762">
      <w:pPr>
        <w:spacing w:after="0" w:line="240" w:lineRule="auto"/>
        <w:jc w:val="both"/>
        <w:rPr>
          <w:rFonts w:ascii="Verdana" w:hAnsi="Verdana"/>
          <w:sz w:val="20"/>
          <w:szCs w:val="20"/>
        </w:rPr>
      </w:pPr>
    </w:p>
    <w:p w14:paraId="3C738062" w14:textId="77777777" w:rsidR="00015762" w:rsidRDefault="00015762" w:rsidP="00015762">
      <w:pPr>
        <w:spacing w:after="0" w:line="240" w:lineRule="auto"/>
        <w:jc w:val="both"/>
        <w:rPr>
          <w:rFonts w:ascii="Verdana" w:hAnsi="Verdana"/>
          <w:sz w:val="20"/>
          <w:szCs w:val="20"/>
        </w:rPr>
      </w:pPr>
    </w:p>
    <w:p w14:paraId="3610F1EA" w14:textId="7A9A6D68" w:rsidR="00015762" w:rsidRDefault="00015762" w:rsidP="00015762">
      <w:pPr>
        <w:spacing w:after="0" w:line="240" w:lineRule="auto"/>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CA494B">
        <w:rPr>
          <w:rFonts w:ascii="Verdana" w:hAnsi="Verdana"/>
          <w:sz w:val="20"/>
          <w:szCs w:val="20"/>
        </w:rPr>
        <w:t xml:space="preserve">   </w:t>
      </w:r>
      <w:r>
        <w:rPr>
          <w:rFonts w:ascii="Verdana" w:hAnsi="Verdana"/>
          <w:sz w:val="20"/>
          <w:szCs w:val="20"/>
        </w:rPr>
        <w:t>L. Patricio Pazmiño Freire</w:t>
      </w:r>
    </w:p>
    <w:p w14:paraId="431D6E55" w14:textId="77777777" w:rsidR="00015762" w:rsidRDefault="00015762" w:rsidP="00015762">
      <w:pPr>
        <w:spacing w:after="0" w:line="240" w:lineRule="auto"/>
        <w:jc w:val="both"/>
        <w:rPr>
          <w:rFonts w:ascii="Verdana" w:hAnsi="Verdana"/>
          <w:sz w:val="20"/>
          <w:szCs w:val="20"/>
        </w:rPr>
      </w:pPr>
    </w:p>
    <w:p w14:paraId="5B1E81ED" w14:textId="77777777" w:rsidR="00015762" w:rsidRDefault="00015762" w:rsidP="00015762">
      <w:pPr>
        <w:spacing w:after="0" w:line="240" w:lineRule="auto"/>
        <w:jc w:val="both"/>
        <w:rPr>
          <w:rFonts w:ascii="Verdana" w:hAnsi="Verdana"/>
          <w:sz w:val="20"/>
          <w:szCs w:val="20"/>
        </w:rPr>
      </w:pPr>
    </w:p>
    <w:p w14:paraId="3C6B5324" w14:textId="77777777" w:rsidR="00015762" w:rsidRDefault="00015762" w:rsidP="00015762">
      <w:pPr>
        <w:spacing w:after="0" w:line="240" w:lineRule="auto"/>
        <w:jc w:val="both"/>
        <w:rPr>
          <w:rFonts w:ascii="Verdana" w:hAnsi="Verdana"/>
          <w:sz w:val="20"/>
          <w:szCs w:val="20"/>
        </w:rPr>
      </w:pPr>
    </w:p>
    <w:p w14:paraId="11643009" w14:textId="77777777" w:rsidR="00CA494B" w:rsidRDefault="00CA494B" w:rsidP="00015762">
      <w:pPr>
        <w:spacing w:after="0" w:line="240" w:lineRule="auto"/>
        <w:jc w:val="both"/>
        <w:rPr>
          <w:rFonts w:ascii="Verdana" w:hAnsi="Verdana"/>
          <w:sz w:val="20"/>
          <w:szCs w:val="20"/>
        </w:rPr>
      </w:pPr>
    </w:p>
    <w:p w14:paraId="7C615115" w14:textId="77777777" w:rsidR="00015762" w:rsidRDefault="00015762" w:rsidP="00015762">
      <w:pPr>
        <w:spacing w:after="0" w:line="240" w:lineRule="auto"/>
        <w:jc w:val="both"/>
        <w:rPr>
          <w:rFonts w:ascii="Verdana" w:hAnsi="Verdana"/>
          <w:sz w:val="20"/>
          <w:szCs w:val="20"/>
        </w:rPr>
      </w:pPr>
    </w:p>
    <w:p w14:paraId="3C709DFF" w14:textId="77777777" w:rsidR="00015762" w:rsidRDefault="00015762" w:rsidP="00015762">
      <w:pPr>
        <w:spacing w:after="0" w:line="240" w:lineRule="auto"/>
        <w:jc w:val="center"/>
        <w:rPr>
          <w:rFonts w:ascii="Verdana" w:hAnsi="Verdana"/>
          <w:sz w:val="20"/>
          <w:szCs w:val="20"/>
        </w:rPr>
      </w:pPr>
      <w:r>
        <w:rPr>
          <w:rFonts w:ascii="Verdana" w:hAnsi="Verdana"/>
          <w:sz w:val="20"/>
          <w:szCs w:val="20"/>
        </w:rPr>
        <w:t>Pablo Saavedra Alessandri</w:t>
      </w:r>
    </w:p>
    <w:p w14:paraId="476A13C8" w14:textId="77777777" w:rsidR="00015762" w:rsidRDefault="00015762" w:rsidP="00015762">
      <w:pPr>
        <w:spacing w:after="0" w:line="240" w:lineRule="auto"/>
        <w:jc w:val="center"/>
        <w:rPr>
          <w:rFonts w:ascii="Verdana" w:hAnsi="Verdana"/>
          <w:sz w:val="20"/>
          <w:szCs w:val="20"/>
        </w:rPr>
      </w:pPr>
      <w:r>
        <w:rPr>
          <w:rFonts w:ascii="Verdana" w:hAnsi="Verdana"/>
          <w:sz w:val="20"/>
          <w:szCs w:val="20"/>
        </w:rPr>
        <w:t>Secretario</w:t>
      </w:r>
    </w:p>
    <w:p w14:paraId="4B85B8D2" w14:textId="77777777" w:rsidR="00015762" w:rsidRDefault="00015762" w:rsidP="00015762">
      <w:pPr>
        <w:spacing w:after="0" w:line="240" w:lineRule="auto"/>
        <w:jc w:val="both"/>
        <w:rPr>
          <w:rFonts w:ascii="Verdana" w:hAnsi="Verdana"/>
          <w:sz w:val="20"/>
          <w:szCs w:val="20"/>
        </w:rPr>
      </w:pPr>
    </w:p>
    <w:p w14:paraId="64102FF8" w14:textId="77777777" w:rsidR="00015762" w:rsidRDefault="00015762" w:rsidP="00015762">
      <w:pPr>
        <w:pStyle w:val="FootnoteText"/>
        <w:rPr>
          <w:sz w:val="20"/>
          <w:szCs w:val="20"/>
          <w:lang w:val="es-CR"/>
        </w:rPr>
      </w:pPr>
    </w:p>
    <w:p w14:paraId="20B3BB47" w14:textId="77777777" w:rsidR="00CA494B" w:rsidRDefault="00CA494B" w:rsidP="00015762">
      <w:pPr>
        <w:pStyle w:val="FootnoteText"/>
        <w:rPr>
          <w:sz w:val="20"/>
          <w:szCs w:val="20"/>
          <w:lang w:val="es-CR"/>
        </w:rPr>
      </w:pPr>
    </w:p>
    <w:p w14:paraId="2A244539" w14:textId="77777777" w:rsidR="00CA494B" w:rsidRDefault="00CA494B" w:rsidP="00015762">
      <w:pPr>
        <w:pStyle w:val="FootnoteText"/>
        <w:rPr>
          <w:sz w:val="20"/>
          <w:szCs w:val="20"/>
          <w:lang w:val="es-CR"/>
        </w:rPr>
      </w:pPr>
    </w:p>
    <w:p w14:paraId="5C0D3B92" w14:textId="77777777" w:rsidR="00015762" w:rsidRDefault="00015762" w:rsidP="00015762">
      <w:pPr>
        <w:spacing w:after="0" w:line="240" w:lineRule="auto"/>
        <w:jc w:val="both"/>
        <w:rPr>
          <w:rFonts w:ascii="Verdana" w:hAnsi="Verdana"/>
          <w:sz w:val="20"/>
          <w:szCs w:val="20"/>
          <w:lang w:val="es-CR"/>
        </w:rPr>
      </w:pPr>
      <w:r>
        <w:rPr>
          <w:rFonts w:ascii="Verdana" w:hAnsi="Verdana"/>
          <w:sz w:val="20"/>
          <w:szCs w:val="20"/>
        </w:rPr>
        <w:t>Comuníquese y ejecútese,</w:t>
      </w:r>
    </w:p>
    <w:p w14:paraId="02B34143" w14:textId="77777777" w:rsidR="00015762" w:rsidRDefault="00015762" w:rsidP="00015762">
      <w:pPr>
        <w:spacing w:after="0" w:line="240" w:lineRule="auto"/>
        <w:jc w:val="both"/>
        <w:rPr>
          <w:rFonts w:ascii="Verdana" w:hAnsi="Verdana"/>
          <w:sz w:val="20"/>
          <w:szCs w:val="20"/>
        </w:rPr>
      </w:pPr>
    </w:p>
    <w:p w14:paraId="4B93897C" w14:textId="77777777" w:rsidR="00CA494B" w:rsidRDefault="00CA494B" w:rsidP="00015762">
      <w:pPr>
        <w:spacing w:after="0" w:line="240" w:lineRule="auto"/>
        <w:jc w:val="both"/>
        <w:rPr>
          <w:rFonts w:ascii="Verdana" w:hAnsi="Verdana"/>
          <w:sz w:val="20"/>
          <w:szCs w:val="20"/>
        </w:rPr>
      </w:pPr>
    </w:p>
    <w:p w14:paraId="31DB4610" w14:textId="77777777" w:rsidR="00015762" w:rsidRDefault="00015762" w:rsidP="00015762">
      <w:pPr>
        <w:spacing w:after="0" w:line="240" w:lineRule="auto"/>
        <w:jc w:val="both"/>
        <w:rPr>
          <w:rFonts w:ascii="Verdana" w:hAnsi="Verdana"/>
          <w:sz w:val="20"/>
          <w:szCs w:val="20"/>
        </w:rPr>
      </w:pPr>
    </w:p>
    <w:p w14:paraId="162DE6C1" w14:textId="77777777" w:rsidR="00CA494B" w:rsidRDefault="00CA494B" w:rsidP="00CA494B">
      <w:pPr>
        <w:spacing w:after="0" w:line="240" w:lineRule="auto"/>
        <w:jc w:val="both"/>
        <w:rPr>
          <w:rFonts w:ascii="Verdana" w:hAnsi="Verdana"/>
          <w:sz w:val="20"/>
          <w:szCs w:val="20"/>
        </w:rPr>
      </w:pPr>
    </w:p>
    <w:p w14:paraId="79FA469D" w14:textId="77777777" w:rsidR="00CA494B" w:rsidRDefault="00CA494B" w:rsidP="00CA494B">
      <w:pPr>
        <w:spacing w:after="0" w:line="240" w:lineRule="auto"/>
        <w:ind w:left="4956"/>
        <w:jc w:val="center"/>
        <w:rPr>
          <w:rFonts w:ascii="Verdana" w:hAnsi="Verdana"/>
          <w:sz w:val="20"/>
          <w:szCs w:val="20"/>
        </w:rPr>
      </w:pPr>
      <w:r>
        <w:rPr>
          <w:rFonts w:ascii="Verdana" w:hAnsi="Verdana"/>
          <w:sz w:val="20"/>
          <w:szCs w:val="20"/>
        </w:rPr>
        <w:t>Eduardo Ferrer Mac-Gregor Poisot</w:t>
      </w:r>
    </w:p>
    <w:p w14:paraId="1173E056" w14:textId="77777777" w:rsidR="00CA494B" w:rsidRDefault="00CA494B" w:rsidP="00CA494B">
      <w:pPr>
        <w:spacing w:after="0" w:line="240" w:lineRule="auto"/>
        <w:ind w:left="4956"/>
        <w:jc w:val="center"/>
        <w:rPr>
          <w:rFonts w:ascii="Verdana" w:hAnsi="Verdana"/>
          <w:sz w:val="20"/>
          <w:szCs w:val="20"/>
        </w:rPr>
      </w:pPr>
      <w:r>
        <w:rPr>
          <w:rFonts w:ascii="Verdana" w:hAnsi="Verdana"/>
          <w:sz w:val="20"/>
          <w:szCs w:val="20"/>
        </w:rPr>
        <w:t>Presidente en ejercicio</w:t>
      </w:r>
    </w:p>
    <w:p w14:paraId="2571FAEA" w14:textId="77777777" w:rsidR="00CA494B" w:rsidRDefault="00CA494B" w:rsidP="00CA494B">
      <w:pPr>
        <w:spacing w:after="0" w:line="240" w:lineRule="auto"/>
        <w:jc w:val="both"/>
        <w:rPr>
          <w:rFonts w:ascii="Verdana" w:hAnsi="Verdana"/>
          <w:sz w:val="20"/>
          <w:szCs w:val="20"/>
        </w:rPr>
      </w:pPr>
    </w:p>
    <w:p w14:paraId="71D9AB42" w14:textId="1C236D89" w:rsidR="00015762" w:rsidRDefault="00015762" w:rsidP="00015762">
      <w:pPr>
        <w:spacing w:after="0" w:line="240" w:lineRule="auto"/>
        <w:ind w:left="5760" w:firstLine="720"/>
        <w:jc w:val="both"/>
        <w:rPr>
          <w:rFonts w:ascii="Verdana" w:hAnsi="Verdana"/>
          <w:sz w:val="20"/>
          <w:szCs w:val="20"/>
        </w:rPr>
      </w:pPr>
    </w:p>
    <w:p w14:paraId="17FDD341" w14:textId="77777777" w:rsidR="00CA494B" w:rsidRDefault="00CA494B" w:rsidP="00015762">
      <w:pPr>
        <w:spacing w:after="0" w:line="240" w:lineRule="auto"/>
        <w:jc w:val="both"/>
        <w:rPr>
          <w:rFonts w:ascii="Verdana" w:hAnsi="Verdana"/>
          <w:sz w:val="20"/>
          <w:szCs w:val="20"/>
        </w:rPr>
      </w:pPr>
    </w:p>
    <w:p w14:paraId="7F9E25DF" w14:textId="77777777" w:rsidR="00CA494B" w:rsidRDefault="00CA494B" w:rsidP="00015762">
      <w:pPr>
        <w:spacing w:after="0" w:line="240" w:lineRule="auto"/>
        <w:jc w:val="both"/>
        <w:rPr>
          <w:rFonts w:ascii="Verdana" w:hAnsi="Verdana"/>
          <w:sz w:val="20"/>
          <w:szCs w:val="20"/>
        </w:rPr>
      </w:pPr>
    </w:p>
    <w:p w14:paraId="05120D67" w14:textId="77777777" w:rsidR="00015762" w:rsidRDefault="00015762" w:rsidP="00015762">
      <w:pPr>
        <w:spacing w:after="0" w:line="240" w:lineRule="auto"/>
        <w:jc w:val="both"/>
        <w:rPr>
          <w:rFonts w:ascii="Verdana" w:hAnsi="Verdana"/>
          <w:sz w:val="20"/>
          <w:szCs w:val="20"/>
        </w:rPr>
      </w:pPr>
    </w:p>
    <w:p w14:paraId="2098E5F0" w14:textId="77777777" w:rsidR="00015762" w:rsidRDefault="00015762" w:rsidP="00015762">
      <w:pPr>
        <w:spacing w:after="0" w:line="240" w:lineRule="auto"/>
        <w:jc w:val="both"/>
        <w:rPr>
          <w:rFonts w:ascii="Verdana" w:hAnsi="Verdana"/>
          <w:sz w:val="20"/>
          <w:szCs w:val="20"/>
        </w:rPr>
      </w:pPr>
      <w:r>
        <w:rPr>
          <w:rFonts w:ascii="Verdana" w:hAnsi="Verdana"/>
          <w:sz w:val="20"/>
          <w:szCs w:val="20"/>
        </w:rPr>
        <w:t>Pablo Saavedra Alessandri</w:t>
      </w:r>
    </w:p>
    <w:p w14:paraId="24B9F787" w14:textId="77777777" w:rsidR="00015762" w:rsidRDefault="00015762" w:rsidP="00015762">
      <w:pPr>
        <w:spacing w:after="0" w:line="240" w:lineRule="auto"/>
        <w:jc w:val="both"/>
        <w:rPr>
          <w:rFonts w:ascii="Verdana" w:hAnsi="Verdana"/>
          <w:sz w:val="20"/>
          <w:szCs w:val="20"/>
        </w:rPr>
      </w:pPr>
      <w:r>
        <w:rPr>
          <w:rFonts w:ascii="Verdana" w:hAnsi="Verdana"/>
          <w:sz w:val="20"/>
          <w:szCs w:val="20"/>
        </w:rPr>
        <w:tab/>
        <w:t>Secretario</w:t>
      </w:r>
    </w:p>
    <w:p w14:paraId="0D59CE59" w14:textId="77777777" w:rsidR="007D2A72" w:rsidRDefault="007D2A72"/>
    <w:sectPr w:rsidR="007D2A72" w:rsidSect="00872563">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0BE8A" w14:textId="77777777" w:rsidR="004D3B84" w:rsidRDefault="004D3B84" w:rsidP="00015762">
      <w:pPr>
        <w:spacing w:after="0" w:line="240" w:lineRule="auto"/>
      </w:pPr>
      <w:r>
        <w:separator/>
      </w:r>
    </w:p>
  </w:endnote>
  <w:endnote w:type="continuationSeparator" w:id="0">
    <w:p w14:paraId="39017819" w14:textId="77777777" w:rsidR="004D3B84" w:rsidRDefault="004D3B84" w:rsidP="000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5AE77" w14:textId="77777777" w:rsidR="004D3B84" w:rsidRDefault="004D3B84" w:rsidP="00015762">
      <w:pPr>
        <w:spacing w:after="0" w:line="240" w:lineRule="auto"/>
      </w:pPr>
      <w:r>
        <w:separator/>
      </w:r>
    </w:p>
  </w:footnote>
  <w:footnote w:type="continuationSeparator" w:id="0">
    <w:p w14:paraId="535B107B" w14:textId="77777777" w:rsidR="004D3B84" w:rsidRDefault="004D3B84" w:rsidP="00015762">
      <w:pPr>
        <w:spacing w:after="0" w:line="240" w:lineRule="auto"/>
      </w:pPr>
      <w:r>
        <w:continuationSeparator/>
      </w:r>
    </w:p>
  </w:footnote>
  <w:footnote w:id="1">
    <w:p w14:paraId="3DBF7B53" w14:textId="12E5407C" w:rsidR="005F4253" w:rsidRPr="003A6D44" w:rsidRDefault="005F4253"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t xml:space="preserve">El Presidente de la Corte, Juez Roberto F. Caldas, </w:t>
      </w:r>
      <w:r w:rsidR="00CA494B" w:rsidRPr="003A6D44">
        <w:rPr>
          <w:spacing w:val="-12"/>
          <w:lang w:val="es-CR"/>
        </w:rPr>
        <w:t>no participó</w:t>
      </w:r>
      <w:r w:rsidRPr="003A6D44">
        <w:rPr>
          <w:spacing w:val="-12"/>
          <w:lang w:val="es-CR"/>
        </w:rPr>
        <w:t xml:space="preserve"> en la deliberación y firma de esta Resolución, </w:t>
      </w:r>
      <w:r w:rsidR="00CA494B" w:rsidRPr="003A6D44">
        <w:rPr>
          <w:spacing w:val="-12"/>
          <w:lang w:val="es-CR"/>
        </w:rPr>
        <w:t xml:space="preserve">las cuales fueron presididas por </w:t>
      </w:r>
      <w:r w:rsidRPr="003A6D44">
        <w:rPr>
          <w:spacing w:val="-12"/>
          <w:lang w:val="es-CR"/>
        </w:rPr>
        <w:t>el Vicepresidente</w:t>
      </w:r>
      <w:r w:rsidR="00CA494B" w:rsidRPr="003A6D44">
        <w:rPr>
          <w:spacing w:val="-12"/>
          <w:lang w:val="es-CR"/>
        </w:rPr>
        <w:t>,</w:t>
      </w:r>
      <w:r w:rsidRPr="003A6D44">
        <w:rPr>
          <w:spacing w:val="-12"/>
          <w:lang w:val="es-CR"/>
        </w:rPr>
        <w:t xml:space="preserve"> Juez Eduardo Fe</w:t>
      </w:r>
      <w:r w:rsidR="00CA494B" w:rsidRPr="003A6D44">
        <w:rPr>
          <w:spacing w:val="-12"/>
          <w:lang w:val="es-CR"/>
        </w:rPr>
        <w:t xml:space="preserve">rrer </w:t>
      </w:r>
      <w:proofErr w:type="spellStart"/>
      <w:r w:rsidR="00CA494B" w:rsidRPr="003A6D44">
        <w:rPr>
          <w:spacing w:val="-12"/>
          <w:lang w:val="es-CR"/>
        </w:rPr>
        <w:t>MacGregor</w:t>
      </w:r>
      <w:proofErr w:type="spellEnd"/>
      <w:r w:rsidR="00CA494B" w:rsidRPr="003A6D44">
        <w:rPr>
          <w:spacing w:val="-12"/>
          <w:lang w:val="es-CR"/>
        </w:rPr>
        <w:t xml:space="preserve"> </w:t>
      </w:r>
      <w:proofErr w:type="spellStart"/>
      <w:r w:rsidR="00CA494B" w:rsidRPr="003A6D44">
        <w:rPr>
          <w:spacing w:val="-12"/>
          <w:lang w:val="es-CR"/>
        </w:rPr>
        <w:t>Poisot</w:t>
      </w:r>
      <w:proofErr w:type="spellEnd"/>
      <w:r w:rsidR="00CA494B" w:rsidRPr="003A6D44">
        <w:rPr>
          <w:spacing w:val="-12"/>
          <w:lang w:val="es-CR"/>
        </w:rPr>
        <w:t xml:space="preserve">. </w:t>
      </w:r>
      <w:r w:rsidR="000D56B7" w:rsidRPr="003A6D44">
        <w:rPr>
          <w:spacing w:val="-12"/>
          <w:lang w:val="es-CR"/>
        </w:rPr>
        <w:t xml:space="preserve"> </w:t>
      </w:r>
    </w:p>
  </w:footnote>
  <w:footnote w:id="2">
    <w:p w14:paraId="1E31445F" w14:textId="77777777" w:rsidR="00E1627C" w:rsidRPr="003A6D44" w:rsidRDefault="00E1627C" w:rsidP="003A6D44">
      <w:pPr>
        <w:pStyle w:val="FootnoteText"/>
        <w:spacing w:before="120" w:after="120"/>
        <w:rPr>
          <w:spacing w:val="-12"/>
        </w:rPr>
      </w:pPr>
      <w:r w:rsidRPr="003A6D44">
        <w:rPr>
          <w:rStyle w:val="FootnoteReference"/>
          <w:spacing w:val="-12"/>
        </w:rPr>
        <w:footnoteRef/>
      </w:r>
      <w:r w:rsidRPr="003A6D44">
        <w:rPr>
          <w:spacing w:val="-12"/>
        </w:rPr>
        <w:t xml:space="preserve"> </w:t>
      </w:r>
      <w:r w:rsidRPr="003A6D44">
        <w:rPr>
          <w:spacing w:val="-12"/>
        </w:rPr>
        <w:tab/>
        <w:t xml:space="preserve">Disponible en </w:t>
      </w:r>
      <w:hyperlink r:id="rId1" w:history="1">
        <w:r w:rsidRPr="003A6D44">
          <w:rPr>
            <w:rStyle w:val="Hyperlink"/>
            <w:spacing w:val="-12"/>
          </w:rPr>
          <w:t>http://www.corteidh.or.cr/docs/asuntos/sanmiguel_sosa_20_12_16.pdf</w:t>
        </w:r>
      </w:hyperlink>
      <w:r w:rsidRPr="003A6D44">
        <w:rPr>
          <w:spacing w:val="-12"/>
        </w:rPr>
        <w:t xml:space="preserve"> </w:t>
      </w:r>
    </w:p>
  </w:footnote>
  <w:footnote w:id="3">
    <w:p w14:paraId="74E66B43" w14:textId="19DFE3EB" w:rsidR="00E1627C" w:rsidRPr="003A6D44" w:rsidRDefault="00E1627C" w:rsidP="003A6D44">
      <w:pPr>
        <w:pStyle w:val="ListParagraph"/>
        <w:widowControl/>
        <w:numPr>
          <w:ilvl w:val="0"/>
          <w:numId w:val="0"/>
        </w:numPr>
        <w:tabs>
          <w:tab w:val="left" w:pos="708"/>
        </w:tabs>
        <w:adjustRightInd/>
        <w:spacing w:before="120" w:after="120"/>
        <w:ind w:right="0"/>
        <w:rPr>
          <w:spacing w:val="-12"/>
        </w:rPr>
      </w:pPr>
      <w:r w:rsidRPr="003A6D44">
        <w:rPr>
          <w:rStyle w:val="FootnoteReference"/>
          <w:spacing w:val="-12"/>
        </w:rPr>
        <w:footnoteRef/>
      </w:r>
      <w:r w:rsidRPr="003A6D44">
        <w:rPr>
          <w:spacing w:val="-12"/>
        </w:rPr>
        <w:t xml:space="preserve"> </w:t>
      </w:r>
      <w:r w:rsidRPr="003A6D44">
        <w:rPr>
          <w:spacing w:val="-12"/>
          <w:lang w:val="es-CR"/>
        </w:rPr>
        <w:tab/>
      </w:r>
      <w:r w:rsidRPr="003A6D44">
        <w:rPr>
          <w:spacing w:val="-12"/>
          <w:sz w:val="16"/>
          <w:szCs w:val="16"/>
          <w:lang w:val="es-ES_tradnl" w:eastAsia="es-ES"/>
        </w:rPr>
        <w:t>La grabación de la audiencia pública se encuentra disponible en línea a través del siguiente enlace:</w:t>
      </w:r>
      <w:r w:rsidRPr="003A6D44">
        <w:rPr>
          <w:spacing w:val="-12"/>
        </w:rPr>
        <w:t xml:space="preserve"> </w:t>
      </w:r>
      <w:hyperlink r:id="rId2" w:history="1">
        <w:r w:rsidRPr="003A6D44">
          <w:rPr>
            <w:rStyle w:val="Hyperlink"/>
            <w:spacing w:val="-12"/>
            <w:sz w:val="16"/>
          </w:rPr>
          <w:t>https://vimeo.com/album/4433981</w:t>
        </w:r>
      </w:hyperlink>
    </w:p>
  </w:footnote>
  <w:footnote w:id="4">
    <w:p w14:paraId="1F3C0E3F" w14:textId="47CBA1DB"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t>El representante de las presuntas víctimas es el señor Héctor Faúndez Ledesma.</w:t>
      </w:r>
    </w:p>
  </w:footnote>
  <w:footnote w:id="5">
    <w:p w14:paraId="66C7A304" w14:textId="438DBC23"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t>“Los jueces permanecerán en funciones hasta el término de su mandato. Sin embargo, seguirán conociendo de los casos a que ya se hubieran abocado y que se encuentren en estado de sentencia, a cuyos efectos no serán sustituidos por los nuevos jueces elegidos”.</w:t>
      </w:r>
    </w:p>
  </w:footnote>
  <w:footnote w:id="6">
    <w:p w14:paraId="345B507C" w14:textId="20374565"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t>“Los jueces permanecerán en funciones hasta el término de su mandato. Sin embargo, seguirán conociendo de los casos a que ya se hubieran abocado y que se encuentren en estado de sentencia, a cuyos efectos no serán sustituidos por los nuevos jueces elegidos”.</w:t>
      </w:r>
    </w:p>
  </w:footnote>
  <w:footnote w:id="7">
    <w:p w14:paraId="303F4071" w14:textId="77777777"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rPr>
        <w:tab/>
        <w:t>“Los Jueces cuyo mandato se haya vencido continuarán conociendo de los casos de los que ya hubieren tomado conocimiento y se encuentren en estado de sentencia. Sin embargo, en caso de fallecimiento, renuncia, impedimento, excusa o inhabilitación, se proveerá a la sustitución del Juez de que se trate por el Juez que haya sido elegido en su lugar si fuere éste el caso, o por el Juez que tenga precedencia entre los nuevos Jueces elegidos en la oportunidad en que se venció el mandato del que debe ser sustituido”.</w:t>
      </w:r>
    </w:p>
  </w:footnote>
  <w:footnote w:id="8">
    <w:p w14:paraId="10735641" w14:textId="77777777"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t>“</w:t>
      </w:r>
      <w:r w:rsidRPr="003A6D44">
        <w:rPr>
          <w:spacing w:val="-12"/>
        </w:rPr>
        <w:t>Todo Juez que haya participado en el examen de un caso tiene derecho a unir a la sentencia su voto concurrente o disidente que deberá ser razonado […]”.</w:t>
      </w:r>
    </w:p>
  </w:footnote>
  <w:footnote w:id="9">
    <w:p w14:paraId="01F2D811" w14:textId="4CA82D49"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t>“</w:t>
      </w:r>
      <w:r w:rsidRPr="003A6D44">
        <w:rPr>
          <w:spacing w:val="-12"/>
        </w:rPr>
        <w:t>Los impedimentos y excusas deberán alegarse antes de la celebración de la primera audiencia del caso. Sin embargo, si la causal de impedimento o excusa ocurriere o fuere conocida posteriormente, dicha causal podrá hacerse valer ante la Corte en la primera oportunidad, para que ésta decida de inmediato”.</w:t>
      </w:r>
    </w:p>
  </w:footnote>
  <w:footnote w:id="10">
    <w:p w14:paraId="5AA25244" w14:textId="3BE2DFC2"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rPr>
        <w:tab/>
        <w:t>“Cuando por cualquier causa un Juez no esté presente en alguna de las audiencias o en otros actos del proceso, la Corte podrá decidir su inhabilitación para continuar conociendo del caso habida cuenta de todas las circunstancias que, a su juicio, sean relevantes”.</w:t>
      </w:r>
    </w:p>
  </w:footnote>
  <w:footnote w:id="11">
    <w:p w14:paraId="5A6F5068" w14:textId="05D45BF0"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t>Artículo 15.1 del Reglamento: “</w:t>
      </w:r>
      <w:r w:rsidRPr="003A6D44">
        <w:rPr>
          <w:spacing w:val="-12"/>
        </w:rPr>
        <w:t xml:space="preserve">La Corte celebrará audiencias cuando lo estime pertinente […]”. </w:t>
      </w:r>
      <w:r w:rsidRPr="003A6D44">
        <w:rPr>
          <w:spacing w:val="-12"/>
          <w:lang w:val="es-CR"/>
        </w:rPr>
        <w:t>Artículo 45 del Reglamento: “</w:t>
      </w:r>
      <w:r w:rsidRPr="003A6D44">
        <w:rPr>
          <w:spacing w:val="-12"/>
        </w:rPr>
        <w:t>La Presidencia señalará la fecha de apertura del procedimiento oral y fijará las audiencias que fueren necesarias</w:t>
      </w:r>
      <w:r w:rsidRPr="003A6D44">
        <w:rPr>
          <w:spacing w:val="-12"/>
          <w:lang w:val="es-CR"/>
        </w:rPr>
        <w:t xml:space="preserve">”. En este sentido, ver, </w:t>
      </w:r>
      <w:r w:rsidRPr="003A6D44">
        <w:rPr>
          <w:i/>
          <w:spacing w:val="-12"/>
          <w:lang w:val="es-CR"/>
        </w:rPr>
        <w:t>inter alia</w:t>
      </w:r>
      <w:r w:rsidRPr="003A6D44">
        <w:rPr>
          <w:spacing w:val="-12"/>
          <w:lang w:val="es-CR"/>
        </w:rPr>
        <w:t xml:space="preserve">, </w:t>
      </w:r>
      <w:r w:rsidRPr="003A6D44">
        <w:rPr>
          <w:i/>
          <w:spacing w:val="-12"/>
          <w:lang w:val="es-CR"/>
        </w:rPr>
        <w:t xml:space="preserve">Caso Fermín Ramírez vs. Guatemala. </w:t>
      </w:r>
      <w:r w:rsidRPr="003A6D44">
        <w:rPr>
          <w:spacing w:val="-12"/>
          <w:lang w:val="es-CR"/>
        </w:rPr>
        <w:t>Resolución del Presidente de la Corte de 28 de abril de 2005.</w:t>
      </w:r>
    </w:p>
  </w:footnote>
  <w:footnote w:id="12">
    <w:p w14:paraId="688BB4DA" w14:textId="04E9046E"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t>Art. 58.d) del Reglamento de la Corte.</w:t>
      </w:r>
    </w:p>
  </w:footnote>
  <w:footnote w:id="13">
    <w:p w14:paraId="2DD4DAFC" w14:textId="6A197EBF"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t>Art. 58.e) del Reglamento de la Corte.</w:t>
      </w:r>
    </w:p>
  </w:footnote>
  <w:footnote w:id="14">
    <w:p w14:paraId="172454D2" w14:textId="6B6AA988"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r>
      <w:r w:rsidRPr="003A6D44">
        <w:rPr>
          <w:i/>
          <w:spacing w:val="-12"/>
          <w:lang w:val="es-CR"/>
        </w:rPr>
        <w:t xml:space="preserve">Cfr., inter alia, Caso Pueblo Indígena Kichwa de Sarayaku vs. Ecuador. </w:t>
      </w:r>
      <w:r w:rsidRPr="003A6D44">
        <w:rPr>
          <w:spacing w:val="-12"/>
          <w:lang w:val="es-CR"/>
        </w:rPr>
        <w:t xml:space="preserve">Resolución del Presidente de la Corte de 20 de enero de 2012; </w:t>
      </w:r>
      <w:r w:rsidRPr="003A6D44">
        <w:rPr>
          <w:i/>
          <w:spacing w:val="-12"/>
          <w:lang w:val="es-CR"/>
        </w:rPr>
        <w:t>Caso Cruz Sánchez y otros vs. Perú</w:t>
      </w:r>
      <w:r w:rsidRPr="003A6D44">
        <w:rPr>
          <w:spacing w:val="-12"/>
          <w:lang w:val="es-CR"/>
        </w:rPr>
        <w:t xml:space="preserve">. Resolución del Presidente de 6 de noviembre de 2013; </w:t>
      </w:r>
      <w:r w:rsidRPr="003A6D44">
        <w:rPr>
          <w:rStyle w:val="Strong"/>
          <w:b w:val="0"/>
          <w:i/>
          <w:color w:val="000000"/>
          <w:spacing w:val="-12"/>
          <w:shd w:val="clear" w:color="auto" w:fill="FFFFFF"/>
        </w:rPr>
        <w:t>Caso Trabajadores de la Hacienda Brasil Verde Vs. Brasil.</w:t>
      </w:r>
      <w:r w:rsidRPr="003A6D44">
        <w:rPr>
          <w:rStyle w:val="Strong"/>
          <w:b w:val="0"/>
          <w:color w:val="000000"/>
          <w:spacing w:val="-12"/>
          <w:shd w:val="clear" w:color="auto" w:fill="FFFFFF"/>
        </w:rPr>
        <w:t xml:space="preserve"> Resolución sobre Diligencia </w:t>
      </w:r>
      <w:r w:rsidRPr="003A6D44">
        <w:rPr>
          <w:rStyle w:val="Strong"/>
          <w:b w:val="0"/>
          <w:i/>
          <w:color w:val="000000"/>
          <w:spacing w:val="-12"/>
          <w:shd w:val="clear" w:color="auto" w:fill="FFFFFF"/>
        </w:rPr>
        <w:t>in situ</w:t>
      </w:r>
      <w:r w:rsidRPr="003A6D44">
        <w:rPr>
          <w:rStyle w:val="Strong"/>
          <w:b w:val="0"/>
          <w:color w:val="000000"/>
          <w:spacing w:val="-12"/>
          <w:shd w:val="clear" w:color="auto" w:fill="FFFFFF"/>
        </w:rPr>
        <w:t xml:space="preserve"> dictada por el Presidente en ejercicio el 23 de febrero de 2016.</w:t>
      </w:r>
    </w:p>
  </w:footnote>
  <w:footnote w:id="15">
    <w:p w14:paraId="194133FB" w14:textId="23DA4A2E" w:rsidR="00E1627C" w:rsidRPr="003A6D44" w:rsidRDefault="00E1627C" w:rsidP="003A6D44">
      <w:pPr>
        <w:pStyle w:val="FootnoteText"/>
        <w:spacing w:before="120" w:after="120"/>
        <w:rPr>
          <w:i/>
          <w:spacing w:val="-12"/>
          <w:lang w:val="es-CR"/>
        </w:rPr>
      </w:pPr>
      <w:r w:rsidRPr="003A6D44">
        <w:rPr>
          <w:rStyle w:val="FootnoteReference"/>
          <w:spacing w:val="-12"/>
        </w:rPr>
        <w:footnoteRef/>
      </w:r>
      <w:r w:rsidRPr="003A6D44">
        <w:rPr>
          <w:spacing w:val="-12"/>
        </w:rPr>
        <w:t xml:space="preserve"> </w:t>
      </w:r>
      <w:r w:rsidRPr="003A6D44">
        <w:rPr>
          <w:spacing w:val="-12"/>
          <w:lang w:val="es-CR"/>
        </w:rPr>
        <w:tab/>
        <w:t xml:space="preserve">Por ejemplo, en los casos </w:t>
      </w:r>
      <w:r w:rsidRPr="003A6D44">
        <w:rPr>
          <w:i/>
          <w:spacing w:val="-12"/>
          <w:lang w:val="es-CR"/>
        </w:rPr>
        <w:t xml:space="preserve">Aloeboetoe vs. Surinam </w:t>
      </w:r>
      <w:r w:rsidRPr="003A6D44">
        <w:rPr>
          <w:spacing w:val="-12"/>
          <w:lang w:val="es-CR"/>
        </w:rPr>
        <w:t xml:space="preserve">(etapa de reparaciones), </w:t>
      </w:r>
      <w:r w:rsidRPr="003A6D44">
        <w:rPr>
          <w:i/>
          <w:spacing w:val="-12"/>
          <w:lang w:val="es-CR"/>
        </w:rPr>
        <w:t>Masacre de Mapiripán vs. Colombia</w:t>
      </w:r>
      <w:r w:rsidRPr="003A6D44">
        <w:rPr>
          <w:spacing w:val="-12"/>
          <w:lang w:val="es-CR"/>
        </w:rPr>
        <w:t xml:space="preserve"> (etapa de supervisión de cumplimiento de sentencia) o </w:t>
      </w:r>
      <w:r w:rsidRPr="003A6D44">
        <w:rPr>
          <w:i/>
          <w:spacing w:val="-12"/>
          <w:lang w:val="es-CR"/>
        </w:rPr>
        <w:t xml:space="preserve">Atala Riffo y otras vs. Chile </w:t>
      </w:r>
      <w:r w:rsidRPr="003A6D44">
        <w:rPr>
          <w:spacing w:val="-12"/>
          <w:lang w:val="es-CR"/>
        </w:rPr>
        <w:t xml:space="preserve">(etapa de fondo), la Corte comisionó a miembros de su Secretaría para efectuar diligencias en el territorio de esos Estados a efectos de recabar determinados testimonios, sin que ello fuera cuestionado por las partes o afectara de modo alguno la apreciación que luego haría el Tribunal de tales elementos probatorios. </w:t>
      </w:r>
      <w:r w:rsidRPr="003A6D44">
        <w:rPr>
          <w:i/>
          <w:spacing w:val="-12"/>
          <w:lang w:val="es-CR"/>
        </w:rPr>
        <w:t>Cfr.</w:t>
      </w:r>
      <w:r w:rsidRPr="003A6D44">
        <w:rPr>
          <w:rStyle w:val="FootnoteTextChar1"/>
          <w:color w:val="000000"/>
          <w:spacing w:val="-12"/>
          <w:shd w:val="clear" w:color="auto" w:fill="FFFFFF"/>
        </w:rPr>
        <w:t xml:space="preserve"> </w:t>
      </w:r>
      <w:r w:rsidRPr="003A6D44">
        <w:rPr>
          <w:rStyle w:val="Strong"/>
          <w:b w:val="0"/>
          <w:i/>
          <w:color w:val="000000"/>
          <w:spacing w:val="-12"/>
          <w:shd w:val="clear" w:color="auto" w:fill="FFFFFF"/>
        </w:rPr>
        <w:t xml:space="preserve">Caso </w:t>
      </w:r>
      <w:proofErr w:type="spellStart"/>
      <w:r w:rsidRPr="003A6D44">
        <w:rPr>
          <w:rStyle w:val="Strong"/>
          <w:b w:val="0"/>
          <w:i/>
          <w:color w:val="000000"/>
          <w:spacing w:val="-12"/>
          <w:shd w:val="clear" w:color="auto" w:fill="FFFFFF"/>
        </w:rPr>
        <w:t>Aloeboetoe</w:t>
      </w:r>
      <w:proofErr w:type="spellEnd"/>
      <w:r w:rsidRPr="003A6D44">
        <w:rPr>
          <w:rStyle w:val="Strong"/>
          <w:b w:val="0"/>
          <w:i/>
          <w:color w:val="000000"/>
          <w:spacing w:val="-12"/>
          <w:shd w:val="clear" w:color="auto" w:fill="FFFFFF"/>
        </w:rPr>
        <w:t xml:space="preserve"> y otros Vs. Surinam. Reparaciones y Costas.</w:t>
      </w:r>
      <w:r w:rsidRPr="003A6D44">
        <w:rPr>
          <w:rStyle w:val="Strong"/>
          <w:b w:val="0"/>
          <w:color w:val="000000"/>
          <w:spacing w:val="-12"/>
          <w:shd w:val="clear" w:color="auto" w:fill="FFFFFF"/>
        </w:rPr>
        <w:t xml:space="preserve"> Sentencia de 10 de septiembre de 1993. Serie C No. 15, párr. 40; </w:t>
      </w:r>
      <w:r w:rsidRPr="003A6D44">
        <w:rPr>
          <w:i/>
          <w:spacing w:val="-12"/>
          <w:lang w:val="es-CR"/>
        </w:rPr>
        <w:t xml:space="preserve"> Caso de la Masacre de Mapiripán Vs. Colombia. Supervisión de Cumplimiento de Sentencia. </w:t>
      </w:r>
      <w:r w:rsidRPr="003A6D44">
        <w:rPr>
          <w:spacing w:val="-12"/>
          <w:lang w:val="es-CR"/>
        </w:rPr>
        <w:t xml:space="preserve">Resolución de la Corte de 23 de noviembre de 2012; y </w:t>
      </w:r>
      <w:r w:rsidRPr="003A6D44">
        <w:rPr>
          <w:i/>
          <w:spacing w:val="-12"/>
          <w:lang w:val="es-CR"/>
        </w:rPr>
        <w:t>Caso Atala Riffo e hijas Vs. Chile</w:t>
      </w:r>
      <w:r w:rsidRPr="003A6D44">
        <w:rPr>
          <w:spacing w:val="-12"/>
          <w:lang w:val="es-CR"/>
        </w:rPr>
        <w:t>. Resolución de la Corte de 29 de noviembre de 2011</w:t>
      </w:r>
    </w:p>
  </w:footnote>
  <w:footnote w:id="16">
    <w:p w14:paraId="319C94B4" w14:textId="45D30A3F" w:rsidR="00E1627C" w:rsidRPr="003A6D44" w:rsidRDefault="00E1627C" w:rsidP="003A6D44">
      <w:pPr>
        <w:pStyle w:val="FootnoteText"/>
        <w:spacing w:before="120" w:after="120"/>
        <w:rPr>
          <w:i/>
          <w:spacing w:val="-12"/>
          <w:lang w:val="es-CR"/>
        </w:rPr>
      </w:pPr>
      <w:r w:rsidRPr="003A6D44">
        <w:rPr>
          <w:rStyle w:val="FootnoteReference"/>
          <w:spacing w:val="-12"/>
        </w:rPr>
        <w:footnoteRef/>
      </w:r>
      <w:r w:rsidRPr="003A6D44">
        <w:rPr>
          <w:spacing w:val="-12"/>
        </w:rPr>
        <w:t xml:space="preserve"> </w:t>
      </w:r>
      <w:r w:rsidRPr="003A6D44">
        <w:rPr>
          <w:spacing w:val="-12"/>
          <w:lang w:val="es-CR"/>
        </w:rPr>
        <w:tab/>
        <w:t xml:space="preserve">El representante señaló los casos </w:t>
      </w:r>
      <w:r w:rsidRPr="003A6D44">
        <w:rPr>
          <w:i/>
          <w:spacing w:val="-12"/>
          <w:lang w:val="es-CR"/>
        </w:rPr>
        <w:t xml:space="preserve">Cantos vs. Argentina, Cesti Hurtado vs. Perú, </w:t>
      </w:r>
      <w:proofErr w:type="spellStart"/>
      <w:r w:rsidRPr="003A6D44">
        <w:rPr>
          <w:i/>
          <w:spacing w:val="-12"/>
          <w:lang w:val="es-CR"/>
        </w:rPr>
        <w:t>Gudiel</w:t>
      </w:r>
      <w:proofErr w:type="spellEnd"/>
      <w:r w:rsidRPr="003A6D44">
        <w:rPr>
          <w:i/>
          <w:spacing w:val="-12"/>
          <w:lang w:val="es-CR"/>
        </w:rPr>
        <w:t xml:space="preserve"> </w:t>
      </w:r>
      <w:proofErr w:type="spellStart"/>
      <w:r w:rsidRPr="003A6D44">
        <w:rPr>
          <w:i/>
          <w:spacing w:val="-12"/>
          <w:lang w:val="es-CR"/>
        </w:rPr>
        <w:t>Alvarez</w:t>
      </w:r>
      <w:proofErr w:type="spellEnd"/>
      <w:r w:rsidR="00916DA3" w:rsidRPr="003A6D44">
        <w:rPr>
          <w:i/>
          <w:spacing w:val="-12"/>
          <w:lang w:val="es-CR"/>
        </w:rPr>
        <w:t xml:space="preserve"> y otros (“Diario Militar”)</w:t>
      </w:r>
      <w:r w:rsidRPr="003A6D44">
        <w:rPr>
          <w:i/>
          <w:spacing w:val="-12"/>
          <w:lang w:val="es-CR"/>
        </w:rPr>
        <w:t xml:space="preserve"> vs. Guatemala</w:t>
      </w:r>
      <w:r w:rsidR="003A6D44">
        <w:rPr>
          <w:i/>
          <w:spacing w:val="-12"/>
          <w:lang w:val="es-CR"/>
        </w:rPr>
        <w:t>.</w:t>
      </w:r>
    </w:p>
  </w:footnote>
  <w:footnote w:id="17">
    <w:p w14:paraId="0334099D" w14:textId="2A0B9A34"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t xml:space="preserve">Por ejemplo, </w:t>
      </w:r>
      <w:r w:rsidRPr="003A6D44">
        <w:rPr>
          <w:spacing w:val="-12"/>
        </w:rPr>
        <w:t xml:space="preserve">en el </w:t>
      </w:r>
      <w:r w:rsidRPr="003A6D44">
        <w:rPr>
          <w:i/>
          <w:spacing w:val="-12"/>
        </w:rPr>
        <w:t xml:space="preserve">caso </w:t>
      </w:r>
      <w:proofErr w:type="spellStart"/>
      <w:r w:rsidRPr="003A6D44">
        <w:rPr>
          <w:i/>
          <w:spacing w:val="-12"/>
        </w:rPr>
        <w:t>Mémoli</w:t>
      </w:r>
      <w:proofErr w:type="spellEnd"/>
      <w:r w:rsidRPr="003A6D44">
        <w:rPr>
          <w:i/>
          <w:spacing w:val="-12"/>
        </w:rPr>
        <w:t xml:space="preserve"> Vs. Argentina</w:t>
      </w:r>
      <w:r w:rsidRPr="003A6D44">
        <w:rPr>
          <w:spacing w:val="-12"/>
        </w:rPr>
        <w:t xml:space="preserve"> (2013), el juez Pérez </w:t>
      </w:r>
      <w:proofErr w:type="spellStart"/>
      <w:r w:rsidRPr="003A6D44">
        <w:rPr>
          <w:spacing w:val="-12"/>
        </w:rPr>
        <w:t>Pérez</w:t>
      </w:r>
      <w:proofErr w:type="spellEnd"/>
      <w:r w:rsidRPr="003A6D44">
        <w:rPr>
          <w:spacing w:val="-12"/>
        </w:rPr>
        <w:t xml:space="preserve"> no participó en audiencia pero sí en la adopción de la sentencia. Lo anterior también ocurrió en el </w:t>
      </w:r>
      <w:r w:rsidRPr="003A6D44">
        <w:rPr>
          <w:i/>
          <w:spacing w:val="-12"/>
        </w:rPr>
        <w:t>caso Comunidad Garífuna Punta Piedra y sus miembros Vs. Honduras</w:t>
      </w:r>
      <w:r w:rsidRPr="003A6D44">
        <w:rPr>
          <w:spacing w:val="-12"/>
        </w:rPr>
        <w:t xml:space="preserve"> (2015) respecto de los jueces Ventura Robles, García-Sayán y Pérez </w:t>
      </w:r>
      <w:proofErr w:type="spellStart"/>
      <w:r w:rsidRPr="003A6D44">
        <w:rPr>
          <w:spacing w:val="-12"/>
        </w:rPr>
        <w:t>Pérez</w:t>
      </w:r>
      <w:proofErr w:type="spellEnd"/>
      <w:r w:rsidRPr="003A6D44">
        <w:rPr>
          <w:spacing w:val="-12"/>
        </w:rPr>
        <w:t xml:space="preserve">, así como en los casos </w:t>
      </w:r>
      <w:r w:rsidRPr="003A6D44">
        <w:rPr>
          <w:i/>
          <w:spacing w:val="-12"/>
        </w:rPr>
        <w:t>Valencia Hinojosa vs. Ecuador</w:t>
      </w:r>
      <w:r w:rsidRPr="003A6D44">
        <w:rPr>
          <w:spacing w:val="-12"/>
        </w:rPr>
        <w:t xml:space="preserve"> (2016) y </w:t>
      </w:r>
      <w:r w:rsidRPr="003A6D44">
        <w:rPr>
          <w:i/>
          <w:spacing w:val="-12"/>
        </w:rPr>
        <w:t>Vásquez Durand y otros vs. Ecuador</w:t>
      </w:r>
      <w:r w:rsidRPr="003A6D44">
        <w:rPr>
          <w:spacing w:val="-12"/>
        </w:rPr>
        <w:t xml:space="preserve"> (2017), respecto del juez Sierra Porto.</w:t>
      </w:r>
    </w:p>
  </w:footnote>
  <w:footnote w:id="18">
    <w:p w14:paraId="66E2C421" w14:textId="6423DFCE" w:rsidR="00E1627C" w:rsidRPr="003A6D44" w:rsidRDefault="00E1627C" w:rsidP="003A6D44">
      <w:pPr>
        <w:pStyle w:val="FootnoteText"/>
        <w:spacing w:before="120" w:after="120"/>
        <w:rPr>
          <w:i/>
          <w:spacing w:val="-12"/>
          <w:lang w:val="es-CR"/>
        </w:rPr>
      </w:pPr>
      <w:r w:rsidRPr="003A6D44">
        <w:rPr>
          <w:rStyle w:val="FootnoteReference"/>
          <w:spacing w:val="-12"/>
        </w:rPr>
        <w:footnoteRef/>
      </w:r>
      <w:r w:rsidRPr="003A6D44">
        <w:rPr>
          <w:spacing w:val="-12"/>
        </w:rPr>
        <w:t xml:space="preserve"> </w:t>
      </w:r>
      <w:r w:rsidRPr="003A6D44">
        <w:rPr>
          <w:spacing w:val="-12"/>
          <w:lang w:val="es-CR"/>
        </w:rPr>
        <w:tab/>
      </w:r>
      <w:r w:rsidRPr="003A6D44">
        <w:rPr>
          <w:i/>
          <w:spacing w:val="-12"/>
          <w:lang w:val="es-CR"/>
        </w:rPr>
        <w:t>Cfr. Caso</w:t>
      </w:r>
      <w:r w:rsidRPr="003A6D44">
        <w:rPr>
          <w:i/>
          <w:spacing w:val="-12"/>
        </w:rPr>
        <w:t xml:space="preserve"> Masacre de Las Dos Erres vs. Guatemala</w:t>
      </w:r>
      <w:r w:rsidRPr="003A6D44">
        <w:rPr>
          <w:i/>
          <w:spacing w:val="-12"/>
          <w:lang w:val="es-CR"/>
        </w:rPr>
        <w:t xml:space="preserve">. </w:t>
      </w:r>
      <w:r w:rsidRPr="003A6D44">
        <w:rPr>
          <w:spacing w:val="-12"/>
          <w:lang w:val="es-CR"/>
        </w:rPr>
        <w:t>Resolución de la Corte de 6 de julio de 2009, párrafo considerativo tercero.</w:t>
      </w:r>
    </w:p>
  </w:footnote>
  <w:footnote w:id="19">
    <w:p w14:paraId="579BAA0D" w14:textId="5CAB626F" w:rsidR="004F5614" w:rsidRPr="003A6D44" w:rsidRDefault="004F5614"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r>
      <w:r w:rsidRPr="003A6D44">
        <w:rPr>
          <w:i/>
          <w:iCs/>
          <w:spacing w:val="-12"/>
          <w:lang w:val="es-CR"/>
        </w:rPr>
        <w:t xml:space="preserve">Cfr. Caso Juan Humberto Sánchez Vs. Honduras. Interpretación de la Sentencia de Excepciones Preliminares, Fondo y Reparaciones. </w:t>
      </w:r>
      <w:r w:rsidRPr="003A6D44">
        <w:rPr>
          <w:spacing w:val="-12"/>
          <w:lang w:val="es-CR"/>
        </w:rPr>
        <w:t xml:space="preserve">Sentencia de 26 de noviembre de 2003. Serie C No. 102, </w:t>
      </w:r>
      <w:proofErr w:type="spellStart"/>
      <w:r w:rsidRPr="003A6D44">
        <w:rPr>
          <w:spacing w:val="-12"/>
          <w:lang w:val="es-CR"/>
        </w:rPr>
        <w:t>párrs</w:t>
      </w:r>
      <w:proofErr w:type="spellEnd"/>
      <w:r w:rsidRPr="003A6D44">
        <w:rPr>
          <w:spacing w:val="-12"/>
          <w:lang w:val="es-CR"/>
        </w:rPr>
        <w:t>. 28 a 33</w:t>
      </w:r>
    </w:p>
  </w:footnote>
  <w:footnote w:id="20">
    <w:p w14:paraId="2FCCB102" w14:textId="53687416"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r>
      <w:r w:rsidRPr="003A6D44">
        <w:rPr>
          <w:spacing w:val="-12"/>
        </w:rPr>
        <w:t xml:space="preserve">En cuanto al cambio de composición, existen normas específicas para el efecto en los artículos 54.3 de la Convención Americana, 5 del Estatuto de la Corte y 16.1 del Reglamento. En este sentido, la Corte ha hecho sus interpretaciones al respecto, Caso </w:t>
      </w:r>
      <w:proofErr w:type="spellStart"/>
      <w:r w:rsidRPr="003A6D44">
        <w:rPr>
          <w:spacing w:val="-12"/>
        </w:rPr>
        <w:t>Genie</w:t>
      </w:r>
      <w:proofErr w:type="spellEnd"/>
      <w:r w:rsidRPr="003A6D44">
        <w:rPr>
          <w:spacing w:val="-12"/>
        </w:rPr>
        <w:t xml:space="preserve"> Lacayo. Resolución de la Corte de 18 de mayo de 1995, (art. 54.3 Convención Americana sobre Derechos Humanos), Sistematización de las Resoluciones Procesales de la Corte Interamericana de Derechos Humanos-Compendio: Agosto 1986-Junio 2001. Serie F, No. 1, Tomo II, Considerandos cuarto y sexto, pp. 555-568; y Caso Neira Alegría y otros. Resolución de la Corte de 29 de junio de 1992, (art. 54.3 Convención Americana sobre Derechos Humanos), Sistematización de las Resoluciones Procesales de la Corte Interamericana de Derechos Humanos-Compendio: Agosto 1986-Junio 2001. Serie F, No. 1, Tomo II, </w:t>
      </w:r>
      <w:proofErr w:type="spellStart"/>
      <w:r w:rsidRPr="003A6D44">
        <w:rPr>
          <w:spacing w:val="-12"/>
        </w:rPr>
        <w:t>párrs</w:t>
      </w:r>
      <w:proofErr w:type="spellEnd"/>
      <w:r w:rsidRPr="003A6D44">
        <w:rPr>
          <w:spacing w:val="-12"/>
        </w:rPr>
        <w:t>. 9, 10, 11 y 18, pp. 569- 590.</w:t>
      </w:r>
    </w:p>
  </w:footnote>
  <w:footnote w:id="21">
    <w:p w14:paraId="4401B9BB" w14:textId="7501E96D"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lang w:val="es-CR"/>
        </w:rPr>
        <w:tab/>
      </w:r>
      <w:r w:rsidRPr="003A6D44">
        <w:rPr>
          <w:i/>
          <w:spacing w:val="-12"/>
        </w:rPr>
        <w:t xml:space="preserve">Cfr., inter </w:t>
      </w:r>
      <w:proofErr w:type="spellStart"/>
      <w:r w:rsidRPr="003A6D44">
        <w:rPr>
          <w:i/>
          <w:spacing w:val="-12"/>
        </w:rPr>
        <w:t>alia</w:t>
      </w:r>
      <w:proofErr w:type="spellEnd"/>
      <w:r w:rsidRPr="003A6D44">
        <w:rPr>
          <w:i/>
          <w:spacing w:val="-12"/>
        </w:rPr>
        <w:t>, Caso Cantos</w:t>
      </w:r>
      <w:r w:rsidRPr="003A6D44">
        <w:rPr>
          <w:spacing w:val="-12"/>
        </w:rPr>
        <w:t xml:space="preserve">. Sentencia de 28 de noviembre de 2002. Serie C No. 97; Caso Las Palmeras. Reparaciones; Caso </w:t>
      </w:r>
      <w:proofErr w:type="spellStart"/>
      <w:r w:rsidRPr="003A6D44">
        <w:rPr>
          <w:spacing w:val="-12"/>
        </w:rPr>
        <w:t>Bámaca</w:t>
      </w:r>
      <w:proofErr w:type="spellEnd"/>
      <w:r w:rsidRPr="003A6D44">
        <w:rPr>
          <w:spacing w:val="-12"/>
        </w:rPr>
        <w:t xml:space="preserve"> Velásquez. Reparaciones. Sentencia de 22 de febrero de 2002. Serie C No. 91; Caso Las Palmeras. Sentencia de 6 de diciembre de 2001. Serie C No. 90; Caso Durand y Ugarte. Reparaciones. Sentencia de 3 de diciembre de 2001. Serie C No. 89; Caso Cantoral Benavides. Reparaciones. Sentencia de 3 de diciembre de 2001. Serie C No. 88; Caso </w:t>
      </w:r>
      <w:proofErr w:type="spellStart"/>
      <w:r w:rsidRPr="003A6D44">
        <w:rPr>
          <w:spacing w:val="-12"/>
        </w:rPr>
        <w:t>Cesti</w:t>
      </w:r>
      <w:proofErr w:type="spellEnd"/>
      <w:r w:rsidRPr="003A6D44">
        <w:rPr>
          <w:spacing w:val="-12"/>
        </w:rPr>
        <w:t xml:space="preserve"> Hurtado. Reparaciones. Sentencia de 31 de mayo de 2001. Serie C No. 78; Caso de los “Niños de la Calle” (Villagrán Morales y otros), Reparaciones; Caso de la “Panel Blanca” (Paniagua Morales y otros). Reparaciones. Sentencia de 25 de mayo de 2001. Serie C No. 76; Caso del Tribunal Constitucional. Sentencia de 31 de enero de 2001. Serie C No. 71; Caso </w:t>
      </w:r>
      <w:proofErr w:type="spellStart"/>
      <w:r w:rsidRPr="003A6D44">
        <w:rPr>
          <w:spacing w:val="-12"/>
        </w:rPr>
        <w:t>Bámaca</w:t>
      </w:r>
      <w:proofErr w:type="spellEnd"/>
      <w:r w:rsidRPr="003A6D44">
        <w:rPr>
          <w:spacing w:val="-12"/>
        </w:rPr>
        <w:t xml:space="preserve"> Velásquez. Sentencia de 25 de noviembre de 2000. Serie C No. 70; Caso Durand y Ugarte. Sentencia de 16 de agosto de 2000. Serie C No. 68; Caso Trujillo </w:t>
      </w:r>
      <w:proofErr w:type="spellStart"/>
      <w:r w:rsidRPr="003A6D44">
        <w:rPr>
          <w:spacing w:val="-12"/>
        </w:rPr>
        <w:t>Oroza</w:t>
      </w:r>
      <w:proofErr w:type="spellEnd"/>
      <w:r w:rsidRPr="003A6D44">
        <w:rPr>
          <w:spacing w:val="-12"/>
        </w:rPr>
        <w:t xml:space="preserve">. Sentencia de 26 de enero de 2000. Serie C No. 64; Caso </w:t>
      </w:r>
      <w:proofErr w:type="spellStart"/>
      <w:r w:rsidRPr="003A6D44">
        <w:rPr>
          <w:spacing w:val="-12"/>
        </w:rPr>
        <w:t>Cesti</w:t>
      </w:r>
      <w:proofErr w:type="spellEnd"/>
      <w:r w:rsidRPr="003A6D44">
        <w:rPr>
          <w:spacing w:val="-12"/>
        </w:rPr>
        <w:t xml:space="preserve"> Hurtado. Sentencia de 29 de septiembre de 1999. Serie C No. 56; Caso de la “Panel Blanca” (Paniagua Morales y otros). Sentencia de 8 de marzo de 1998. Serie C No. 37; y Caso </w:t>
      </w:r>
      <w:proofErr w:type="spellStart"/>
      <w:r w:rsidRPr="003A6D44">
        <w:rPr>
          <w:spacing w:val="-12"/>
        </w:rPr>
        <w:t>Genie</w:t>
      </w:r>
      <w:proofErr w:type="spellEnd"/>
      <w:r w:rsidRPr="003A6D44">
        <w:rPr>
          <w:spacing w:val="-12"/>
        </w:rPr>
        <w:t xml:space="preserve"> Lacayo. Sentencia del 29 de enero de 1997. Serie C No. 30</w:t>
      </w:r>
    </w:p>
  </w:footnote>
  <w:footnote w:id="22">
    <w:p w14:paraId="15D0EE1C" w14:textId="0CBA6060"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rPr>
        <w:tab/>
        <w:t xml:space="preserve">En el Caso </w:t>
      </w:r>
      <w:proofErr w:type="spellStart"/>
      <w:r w:rsidRPr="003A6D44">
        <w:rPr>
          <w:spacing w:val="-12"/>
        </w:rPr>
        <w:t>Bámaca</w:t>
      </w:r>
      <w:proofErr w:type="spellEnd"/>
      <w:r w:rsidRPr="003A6D44">
        <w:rPr>
          <w:spacing w:val="-12"/>
        </w:rPr>
        <w:t xml:space="preserve"> Velásquez, el 1 de septiembre de 1998, […] la Corte, resolvió comisionar al entonces Presidente de la Corte, Juez Hernán Salgado Pesantes, al entonces Vicepresidente, Juez </w:t>
      </w:r>
      <w:proofErr w:type="spellStart"/>
      <w:r w:rsidRPr="003A6D44">
        <w:rPr>
          <w:spacing w:val="-12"/>
        </w:rPr>
        <w:t>Antônio</w:t>
      </w:r>
      <w:proofErr w:type="spellEnd"/>
      <w:r w:rsidRPr="003A6D44">
        <w:rPr>
          <w:spacing w:val="-12"/>
        </w:rPr>
        <w:t xml:space="preserve"> Augusto </w:t>
      </w:r>
      <w:proofErr w:type="spellStart"/>
      <w:r w:rsidRPr="003A6D44">
        <w:rPr>
          <w:spacing w:val="-12"/>
        </w:rPr>
        <w:t>Cançado</w:t>
      </w:r>
      <w:proofErr w:type="spellEnd"/>
      <w:r w:rsidRPr="003A6D44">
        <w:rPr>
          <w:spacing w:val="-12"/>
        </w:rPr>
        <w:t xml:space="preserve"> </w:t>
      </w:r>
      <w:proofErr w:type="spellStart"/>
      <w:r w:rsidRPr="003A6D44">
        <w:rPr>
          <w:spacing w:val="-12"/>
        </w:rPr>
        <w:t>Trindade</w:t>
      </w:r>
      <w:proofErr w:type="spellEnd"/>
      <w:r w:rsidRPr="003A6D44">
        <w:rPr>
          <w:spacing w:val="-12"/>
        </w:rPr>
        <w:t xml:space="preserve"> y al Juez Alirio Abreu Burelli para asistir a la audiencia pública convocada en Washington, D.C., para recabar el testimonio de los testigos Otoniel de la Roca Mendoza y Nery </w:t>
      </w:r>
      <w:proofErr w:type="spellStart"/>
      <w:r w:rsidRPr="003A6D44">
        <w:rPr>
          <w:spacing w:val="-12"/>
        </w:rPr>
        <w:t>Angel</w:t>
      </w:r>
      <w:proofErr w:type="spellEnd"/>
      <w:r w:rsidRPr="003A6D44">
        <w:rPr>
          <w:spacing w:val="-12"/>
        </w:rPr>
        <w:t xml:space="preserve"> </w:t>
      </w:r>
      <w:proofErr w:type="spellStart"/>
      <w:r w:rsidRPr="003A6D44">
        <w:rPr>
          <w:spacing w:val="-12"/>
        </w:rPr>
        <w:t>Urízar</w:t>
      </w:r>
      <w:proofErr w:type="spellEnd"/>
      <w:r w:rsidRPr="003A6D44">
        <w:rPr>
          <w:spacing w:val="-12"/>
        </w:rPr>
        <w:t xml:space="preserve"> García, ofrecidos por la Comisión.</w:t>
      </w:r>
    </w:p>
  </w:footnote>
  <w:footnote w:id="23">
    <w:p w14:paraId="6242DF1B" w14:textId="548BE0E8"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rPr>
        <w:tab/>
        <w:t xml:space="preserve">Caso </w:t>
      </w:r>
      <w:proofErr w:type="spellStart"/>
      <w:r w:rsidRPr="003A6D44">
        <w:rPr>
          <w:spacing w:val="-12"/>
        </w:rPr>
        <w:t>Aloeboetoe</w:t>
      </w:r>
      <w:proofErr w:type="spellEnd"/>
      <w:r w:rsidRPr="003A6D44">
        <w:rPr>
          <w:spacing w:val="-12"/>
        </w:rPr>
        <w:t xml:space="preserve"> y otros. OEA/</w:t>
      </w:r>
      <w:proofErr w:type="spellStart"/>
      <w:r w:rsidRPr="003A6D44">
        <w:rPr>
          <w:spacing w:val="-12"/>
        </w:rPr>
        <w:t>Ser.L</w:t>
      </w:r>
      <w:proofErr w:type="spellEnd"/>
      <w:r w:rsidRPr="003A6D44">
        <w:rPr>
          <w:spacing w:val="-12"/>
        </w:rPr>
        <w:t>/V/III.29, doc. 4, 10 de enero de 1994, Informe Anual de la Corte Interamericana de Derechos Humanos de 1993, p. 12.</w:t>
      </w:r>
    </w:p>
  </w:footnote>
  <w:footnote w:id="24">
    <w:p w14:paraId="5FEFABDF" w14:textId="22302DBF" w:rsidR="00E1627C" w:rsidRPr="003A6D44" w:rsidRDefault="00E1627C" w:rsidP="003A6D44">
      <w:pPr>
        <w:pStyle w:val="FootnoteText"/>
        <w:spacing w:before="120" w:after="120"/>
        <w:rPr>
          <w:spacing w:val="-12"/>
          <w:lang w:val="es-CR"/>
        </w:rPr>
      </w:pPr>
      <w:r w:rsidRPr="003A6D44">
        <w:rPr>
          <w:rStyle w:val="FootnoteReference"/>
          <w:spacing w:val="-12"/>
        </w:rPr>
        <w:footnoteRef/>
      </w:r>
      <w:r w:rsidRPr="003A6D44">
        <w:rPr>
          <w:spacing w:val="-12"/>
        </w:rPr>
        <w:t xml:space="preserve"> </w:t>
      </w:r>
      <w:r w:rsidRPr="003A6D44">
        <w:rPr>
          <w:spacing w:val="-12"/>
        </w:rPr>
        <w:tab/>
        <w:t xml:space="preserve">En el </w:t>
      </w:r>
      <w:r w:rsidRPr="003A6D44">
        <w:rPr>
          <w:i/>
          <w:spacing w:val="-12"/>
        </w:rPr>
        <w:t xml:space="preserve">Caso </w:t>
      </w:r>
      <w:proofErr w:type="spellStart"/>
      <w:r w:rsidRPr="003A6D44">
        <w:rPr>
          <w:i/>
          <w:spacing w:val="-12"/>
        </w:rPr>
        <w:t>Aloeboetoe</w:t>
      </w:r>
      <w:proofErr w:type="spellEnd"/>
      <w:r w:rsidRPr="003A6D44">
        <w:rPr>
          <w:i/>
          <w:spacing w:val="-12"/>
        </w:rPr>
        <w:t xml:space="preserve"> y otros</w:t>
      </w:r>
      <w:r w:rsidRPr="003A6D44">
        <w:rPr>
          <w:spacing w:val="-12"/>
        </w:rPr>
        <w:t xml:space="preserve">, la Corte reseñó como “su Secretaria adjunta [...] viajara a </w:t>
      </w:r>
      <w:proofErr w:type="spellStart"/>
      <w:r w:rsidRPr="003A6D44">
        <w:rPr>
          <w:spacing w:val="-12"/>
        </w:rPr>
        <w:t>Suriname</w:t>
      </w:r>
      <w:proofErr w:type="spellEnd"/>
      <w:r w:rsidRPr="003A6D44">
        <w:rPr>
          <w:spacing w:val="-12"/>
        </w:rPr>
        <w:t xml:space="preserve"> para obtener información adicional acerca de la situación económica, financiera y bancaria del país, así como para conocer la aldea de </w:t>
      </w:r>
      <w:proofErr w:type="spellStart"/>
      <w:r w:rsidRPr="003A6D44">
        <w:rPr>
          <w:spacing w:val="-12"/>
        </w:rPr>
        <w:t>Gujaba</w:t>
      </w:r>
      <w:proofErr w:type="spellEnd"/>
      <w:r w:rsidRPr="003A6D44">
        <w:rPr>
          <w:spacing w:val="-12"/>
        </w:rPr>
        <w:t xml:space="preserve">, a fin de obtener información enderezada a facilitar al Tribunal dictar una sentencia ajustada a la realidad surinamesa”. (Caso </w:t>
      </w:r>
      <w:proofErr w:type="spellStart"/>
      <w:r w:rsidRPr="003A6D44">
        <w:rPr>
          <w:spacing w:val="-12"/>
        </w:rPr>
        <w:t>Aloeboetoe</w:t>
      </w:r>
      <w:proofErr w:type="spellEnd"/>
      <w:r w:rsidRPr="003A6D44">
        <w:rPr>
          <w:spacing w:val="-12"/>
        </w:rPr>
        <w:t xml:space="preserve"> y otros. Reparaciones (art. 63.1 Convención Americana Sobre Derechos Humanos), Sentencia de 10 de septiembre de 1993. Serie C No. 15, párr.40).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692896"/>
      <w:docPartObj>
        <w:docPartGallery w:val="Page Numbers (Top of Page)"/>
        <w:docPartUnique/>
      </w:docPartObj>
    </w:sdtPr>
    <w:sdtEndPr>
      <w:rPr>
        <w:noProof/>
      </w:rPr>
    </w:sdtEndPr>
    <w:sdtContent>
      <w:p w14:paraId="3A1241D6" w14:textId="35219F64" w:rsidR="00E1627C" w:rsidRDefault="00E1627C">
        <w:pPr>
          <w:pStyle w:val="Header"/>
          <w:jc w:val="center"/>
        </w:pPr>
        <w:r>
          <w:fldChar w:fldCharType="begin"/>
        </w:r>
        <w:r>
          <w:instrText xml:space="preserve"> PAGE   \* MERGEFORMAT </w:instrText>
        </w:r>
        <w:r>
          <w:fldChar w:fldCharType="separate"/>
        </w:r>
        <w:r w:rsidR="00943A44">
          <w:rPr>
            <w:noProof/>
          </w:rPr>
          <w:t>8</w:t>
        </w:r>
        <w:r>
          <w:rPr>
            <w:noProof/>
          </w:rPr>
          <w:fldChar w:fldCharType="end"/>
        </w:r>
      </w:p>
    </w:sdtContent>
  </w:sdt>
  <w:p w14:paraId="02B4C840" w14:textId="77777777" w:rsidR="00E1627C" w:rsidRDefault="00E1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513"/>
    <w:multiLevelType w:val="hybridMultilevel"/>
    <w:tmpl w:val="3C30622E"/>
    <w:lvl w:ilvl="0" w:tplc="D118455C">
      <w:start w:val="1"/>
      <w:numFmt w:val="decimal"/>
      <w:lvlText w:val="%1."/>
      <w:lvlJc w:val="left"/>
      <w:pPr>
        <w:ind w:left="1065" w:hanging="705"/>
      </w:pPr>
      <w:rPr>
        <w:rFonts w:cs="Verdana"/>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nsid w:val="1CB745BA"/>
    <w:multiLevelType w:val="multilevel"/>
    <w:tmpl w:val="7698174A"/>
    <w:lvl w:ilvl="0">
      <w:start w:val="1"/>
      <w:numFmt w:val="decimal"/>
      <w:lvlText w:val="%1."/>
      <w:lvlJc w:val="left"/>
      <w:pPr>
        <w:ind w:left="1080" w:firstLine="360"/>
      </w:pPr>
      <w:rPr>
        <w:b w:val="0"/>
      </w:rPr>
    </w:lvl>
    <w:lvl w:ilvl="1">
      <w:start w:val="1"/>
      <w:numFmt w:val="lowerRoman"/>
      <w:lvlText w:val="%2."/>
      <w:lvlJc w:val="left"/>
      <w:pPr>
        <w:ind w:left="180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4252523"/>
    <w:multiLevelType w:val="hybridMultilevel"/>
    <w:tmpl w:val="C5B4225C"/>
    <w:lvl w:ilvl="0" w:tplc="D092139C">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nsid w:val="3B1E1B0D"/>
    <w:multiLevelType w:val="hybridMultilevel"/>
    <w:tmpl w:val="9E5A8366"/>
    <w:lvl w:ilvl="0" w:tplc="D80615AC">
      <w:start w:val="1"/>
      <w:numFmt w:val="decimal"/>
      <w:lvlText w:val="%1."/>
      <w:lvlJc w:val="left"/>
      <w:pPr>
        <w:ind w:left="1211" w:hanging="360"/>
      </w:pPr>
      <w:rPr>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7174FB0A">
      <w:start w:val="1"/>
      <w:numFmt w:val="decimal"/>
      <w:lvlText w:val="%4."/>
      <w:lvlJc w:val="left"/>
      <w:pPr>
        <w:ind w:left="2880" w:hanging="360"/>
      </w:pPr>
      <w:rPr>
        <w:rFonts w:ascii="Verdana" w:hAnsi="Verdana" w:hint="default"/>
        <w:sz w:val="20"/>
        <w:szCs w:val="20"/>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nsid w:val="4037421E"/>
    <w:multiLevelType w:val="hybridMultilevel"/>
    <w:tmpl w:val="FA0C5300"/>
    <w:lvl w:ilvl="0" w:tplc="575263E0">
      <w:start w:val="3"/>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nsid w:val="4A961250"/>
    <w:multiLevelType w:val="hybridMultilevel"/>
    <w:tmpl w:val="1B0A9C50"/>
    <w:lvl w:ilvl="0" w:tplc="82A46B04">
      <w:start w:val="15"/>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nsid w:val="615D6ECD"/>
    <w:multiLevelType w:val="hybridMultilevel"/>
    <w:tmpl w:val="ED9C2C40"/>
    <w:lvl w:ilvl="0" w:tplc="ED0459E8">
      <w:start w:val="1"/>
      <w:numFmt w:val="lowerLetter"/>
      <w:lvlText w:val="%1)"/>
      <w:lvlJc w:val="left"/>
      <w:pPr>
        <w:ind w:left="1080" w:hanging="360"/>
      </w:pPr>
      <w:rPr>
        <w:rFonts w:ascii="Verdana" w:hAnsi="Verdana" w:cs="Verdana" w:hint="default"/>
        <w:sz w:val="20"/>
        <w:szCs w:val="20"/>
      </w:rPr>
    </w:lvl>
    <w:lvl w:ilvl="1" w:tplc="323EEAAC">
      <w:start w:val="1"/>
      <w:numFmt w:val="decimal"/>
      <w:pStyle w:val="ListParagraph"/>
      <w:lvlText w:val="%2."/>
      <w:lvlJc w:val="left"/>
      <w:pPr>
        <w:tabs>
          <w:tab w:val="num" w:pos="0"/>
        </w:tabs>
        <w:ind w:left="0" w:firstLine="0"/>
      </w:pPr>
      <w:rPr>
        <w:b w:val="0"/>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7">
    <w:nsid w:val="68154407"/>
    <w:multiLevelType w:val="hybridMultilevel"/>
    <w:tmpl w:val="A7306EE8"/>
    <w:lvl w:ilvl="0" w:tplc="1C08AD0A">
      <w:start w:val="1"/>
      <w:numFmt w:val="decimal"/>
      <w:lvlText w:val="%1."/>
      <w:lvlJc w:val="left"/>
      <w:pPr>
        <w:tabs>
          <w:tab w:val="num" w:pos="680"/>
        </w:tabs>
        <w:ind w:left="0" w:firstLine="0"/>
      </w:pPr>
      <w:rPr>
        <w:b w:val="0"/>
        <w:bCs w:val="0"/>
        <w:i w:val="0"/>
        <w:iCs w:val="0"/>
        <w:strike w:val="0"/>
        <w:dstrike w:val="0"/>
        <w:sz w:val="20"/>
        <w:szCs w:val="20"/>
        <w:u w:val="none"/>
        <w:effect w:val="none"/>
        <w:lang w:val="es-MX"/>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62"/>
    <w:rsid w:val="00001107"/>
    <w:rsid w:val="0000147E"/>
    <w:rsid w:val="00004536"/>
    <w:rsid w:val="00015762"/>
    <w:rsid w:val="000165A2"/>
    <w:rsid w:val="00026A24"/>
    <w:rsid w:val="00036082"/>
    <w:rsid w:val="000666C0"/>
    <w:rsid w:val="000944F9"/>
    <w:rsid w:val="000B1F4D"/>
    <w:rsid w:val="000C5F67"/>
    <w:rsid w:val="000D56B7"/>
    <w:rsid w:val="001425CF"/>
    <w:rsid w:val="001517A7"/>
    <w:rsid w:val="00177EB9"/>
    <w:rsid w:val="00187908"/>
    <w:rsid w:val="00193861"/>
    <w:rsid w:val="001B357B"/>
    <w:rsid w:val="001D636E"/>
    <w:rsid w:val="002339F9"/>
    <w:rsid w:val="00241A51"/>
    <w:rsid w:val="0025551C"/>
    <w:rsid w:val="00266AB0"/>
    <w:rsid w:val="00270CA6"/>
    <w:rsid w:val="00283109"/>
    <w:rsid w:val="002863FA"/>
    <w:rsid w:val="002A208E"/>
    <w:rsid w:val="00305C4A"/>
    <w:rsid w:val="00313EC5"/>
    <w:rsid w:val="00346D5E"/>
    <w:rsid w:val="0035647F"/>
    <w:rsid w:val="003752EB"/>
    <w:rsid w:val="003878E0"/>
    <w:rsid w:val="003950CA"/>
    <w:rsid w:val="00396764"/>
    <w:rsid w:val="003A6D44"/>
    <w:rsid w:val="003B560E"/>
    <w:rsid w:val="003E3F24"/>
    <w:rsid w:val="003E66A0"/>
    <w:rsid w:val="003F2356"/>
    <w:rsid w:val="00400D0A"/>
    <w:rsid w:val="00446AC9"/>
    <w:rsid w:val="00450DB8"/>
    <w:rsid w:val="00462414"/>
    <w:rsid w:val="004A1B32"/>
    <w:rsid w:val="004B73C5"/>
    <w:rsid w:val="004D3B84"/>
    <w:rsid w:val="004F4582"/>
    <w:rsid w:val="004F5614"/>
    <w:rsid w:val="00512C71"/>
    <w:rsid w:val="00531F85"/>
    <w:rsid w:val="00533431"/>
    <w:rsid w:val="00537737"/>
    <w:rsid w:val="00556CF1"/>
    <w:rsid w:val="005574A2"/>
    <w:rsid w:val="00583829"/>
    <w:rsid w:val="005A630F"/>
    <w:rsid w:val="005E76B8"/>
    <w:rsid w:val="005F4253"/>
    <w:rsid w:val="00602691"/>
    <w:rsid w:val="00607881"/>
    <w:rsid w:val="0062051F"/>
    <w:rsid w:val="00622344"/>
    <w:rsid w:val="006223FA"/>
    <w:rsid w:val="006423D1"/>
    <w:rsid w:val="00645370"/>
    <w:rsid w:val="006454DD"/>
    <w:rsid w:val="006456E9"/>
    <w:rsid w:val="00651619"/>
    <w:rsid w:val="00661E63"/>
    <w:rsid w:val="006746B8"/>
    <w:rsid w:val="006C1BA0"/>
    <w:rsid w:val="006F654E"/>
    <w:rsid w:val="00713246"/>
    <w:rsid w:val="00714A99"/>
    <w:rsid w:val="00747AE3"/>
    <w:rsid w:val="007639A5"/>
    <w:rsid w:val="00773C2E"/>
    <w:rsid w:val="007808BF"/>
    <w:rsid w:val="0079656E"/>
    <w:rsid w:val="00797C84"/>
    <w:rsid w:val="007C12B1"/>
    <w:rsid w:val="007D2A72"/>
    <w:rsid w:val="007E1CFA"/>
    <w:rsid w:val="007F0A53"/>
    <w:rsid w:val="007F15BA"/>
    <w:rsid w:val="007F38B7"/>
    <w:rsid w:val="0080040B"/>
    <w:rsid w:val="00802C1C"/>
    <w:rsid w:val="0080461B"/>
    <w:rsid w:val="00831C0D"/>
    <w:rsid w:val="00842B38"/>
    <w:rsid w:val="008442F2"/>
    <w:rsid w:val="00844AC8"/>
    <w:rsid w:val="00872563"/>
    <w:rsid w:val="008A3EE4"/>
    <w:rsid w:val="008E06CD"/>
    <w:rsid w:val="008F33A1"/>
    <w:rsid w:val="008F4F0B"/>
    <w:rsid w:val="0090764D"/>
    <w:rsid w:val="0091160A"/>
    <w:rsid w:val="00911B65"/>
    <w:rsid w:val="00916DA3"/>
    <w:rsid w:val="00943A44"/>
    <w:rsid w:val="00953594"/>
    <w:rsid w:val="00976FDA"/>
    <w:rsid w:val="00977D64"/>
    <w:rsid w:val="00983F44"/>
    <w:rsid w:val="009B3637"/>
    <w:rsid w:val="009C69F9"/>
    <w:rsid w:val="009D137B"/>
    <w:rsid w:val="009F733A"/>
    <w:rsid w:val="00A170E7"/>
    <w:rsid w:val="00A2552E"/>
    <w:rsid w:val="00A32108"/>
    <w:rsid w:val="00A50CC2"/>
    <w:rsid w:val="00A51A0B"/>
    <w:rsid w:val="00A66974"/>
    <w:rsid w:val="00A871AC"/>
    <w:rsid w:val="00A96924"/>
    <w:rsid w:val="00AB0FAE"/>
    <w:rsid w:val="00AF014D"/>
    <w:rsid w:val="00B2792D"/>
    <w:rsid w:val="00B4652A"/>
    <w:rsid w:val="00B72936"/>
    <w:rsid w:val="00BE21F7"/>
    <w:rsid w:val="00BE506C"/>
    <w:rsid w:val="00C03D18"/>
    <w:rsid w:val="00C22D84"/>
    <w:rsid w:val="00C2585C"/>
    <w:rsid w:val="00C3781A"/>
    <w:rsid w:val="00C431A9"/>
    <w:rsid w:val="00C43F51"/>
    <w:rsid w:val="00CA494B"/>
    <w:rsid w:val="00CC2A29"/>
    <w:rsid w:val="00CF4C81"/>
    <w:rsid w:val="00D01F78"/>
    <w:rsid w:val="00D10CC1"/>
    <w:rsid w:val="00D16F38"/>
    <w:rsid w:val="00D17B0C"/>
    <w:rsid w:val="00D41E9A"/>
    <w:rsid w:val="00D87A5B"/>
    <w:rsid w:val="00D87DC8"/>
    <w:rsid w:val="00DB0BBD"/>
    <w:rsid w:val="00DB2E51"/>
    <w:rsid w:val="00DB778A"/>
    <w:rsid w:val="00DD6337"/>
    <w:rsid w:val="00DF2A48"/>
    <w:rsid w:val="00DF5CCF"/>
    <w:rsid w:val="00E1609D"/>
    <w:rsid w:val="00E1627C"/>
    <w:rsid w:val="00E2614C"/>
    <w:rsid w:val="00E31080"/>
    <w:rsid w:val="00E55E6A"/>
    <w:rsid w:val="00E629D8"/>
    <w:rsid w:val="00E71AA2"/>
    <w:rsid w:val="00E77583"/>
    <w:rsid w:val="00E80741"/>
    <w:rsid w:val="00E85030"/>
    <w:rsid w:val="00E91D3D"/>
    <w:rsid w:val="00EA637D"/>
    <w:rsid w:val="00EB6791"/>
    <w:rsid w:val="00EF3A27"/>
    <w:rsid w:val="00EF739D"/>
    <w:rsid w:val="00F63AC5"/>
    <w:rsid w:val="00F73490"/>
    <w:rsid w:val="00FA1641"/>
    <w:rsid w:val="00FA534E"/>
    <w:rsid w:val="00FD09E9"/>
    <w:rsid w:val="00FF5C95"/>
    <w:rsid w:val="00FF6F95"/>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5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62"/>
    <w:rPr>
      <w:rFonts w:ascii="Calibri" w:eastAsia="Calibri" w:hAnsi="Calibri" w:cs="Calibri"/>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semiHidden/>
    <w:locked/>
    <w:rsid w:val="00015762"/>
    <w:rPr>
      <w:rFonts w:ascii="Verdana" w:eastAsia="Calibri" w:hAnsi="Verdana" w:cs="Verdana"/>
      <w:sz w:val="16"/>
      <w:szCs w:val="16"/>
      <w:lang w:val="es-ES_tradnl" w:eastAsia="es-ES"/>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Ca"/>
    <w:basedOn w:val="Normal"/>
    <w:link w:val="FootnoteTextChar1"/>
    <w:autoRedefine/>
    <w:uiPriority w:val="99"/>
    <w:unhideWhenUsed/>
    <w:qFormat/>
    <w:rsid w:val="00015762"/>
    <w:pPr>
      <w:tabs>
        <w:tab w:val="left" w:pos="567"/>
      </w:tabs>
      <w:spacing w:after="0" w:line="240" w:lineRule="auto"/>
      <w:jc w:val="both"/>
    </w:pPr>
    <w:rPr>
      <w:rFonts w:ascii="Verdana" w:hAnsi="Verdana" w:cs="Verdana"/>
      <w:sz w:val="16"/>
      <w:szCs w:val="16"/>
      <w:lang w:val="es-ES_tradnl" w:eastAsia="es-ES"/>
    </w:rPr>
  </w:style>
  <w:style w:type="character" w:customStyle="1" w:styleId="FootnoteTextChar">
    <w:name w:val="Footnote Text Char"/>
    <w:aliases w:val="footnote text Char,Footnote Text Cha Char,Ca Char,ft Char,FA Fuﬂnotentext Char"/>
    <w:basedOn w:val="DefaultParagraphFont"/>
    <w:uiPriority w:val="99"/>
    <w:rsid w:val="00015762"/>
    <w:rPr>
      <w:rFonts w:ascii="Calibri" w:eastAsia="Calibri" w:hAnsi="Calibri" w:cs="Calibri"/>
      <w:sz w:val="20"/>
      <w:szCs w:val="20"/>
      <w:lang w:val="es-MX"/>
    </w:rPr>
  </w:style>
  <w:style w:type="paragraph" w:styleId="ListParagraph">
    <w:name w:val="List Paragraph"/>
    <w:aliases w:val="Footnote,List Paragraph2"/>
    <w:basedOn w:val="Normal"/>
    <w:uiPriority w:val="34"/>
    <w:qFormat/>
    <w:rsid w:val="00015762"/>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paragraph" w:customStyle="1" w:styleId="Sangradetindependiente2">
    <w:name w:val="Sangría de t. independiente2"/>
    <w:basedOn w:val="Normal"/>
    <w:rsid w:val="00015762"/>
    <w:pPr>
      <w:widowControl w:val="0"/>
      <w:spacing w:after="0" w:line="360" w:lineRule="atLeast"/>
    </w:pPr>
    <w:rPr>
      <w:rFonts w:ascii="Arial" w:eastAsia="Times New Roman" w:hAnsi="Arial" w:cs="Times New Roman"/>
      <w:sz w:val="24"/>
      <w:szCs w:val="20"/>
      <w:lang w:val="es-ES_tradnl"/>
    </w:rPr>
  </w:style>
  <w:style w:type="character" w:customStyle="1" w:styleId="FootnotesChar">
    <w:name w:val="**. Footnotes Char"/>
    <w:basedOn w:val="DefaultParagraphFont"/>
    <w:link w:val="Footnotes"/>
    <w:locked/>
    <w:rsid w:val="00015762"/>
    <w:rPr>
      <w:rFonts w:ascii="Verdana" w:eastAsia="Times New Roman" w:hAnsi="Verdana" w:cs="Palatino-Italic"/>
      <w:iCs/>
      <w:sz w:val="16"/>
      <w:szCs w:val="18"/>
      <w:lang w:val="es-ES" w:bidi="en-US"/>
    </w:rPr>
  </w:style>
  <w:style w:type="paragraph" w:customStyle="1" w:styleId="Footnotes">
    <w:name w:val="**. Footnotes"/>
    <w:basedOn w:val="FootnoteText"/>
    <w:link w:val="FootnotesChar"/>
    <w:autoRedefine/>
    <w:qFormat/>
    <w:rsid w:val="00015762"/>
    <w:rPr>
      <w:rFonts w:eastAsia="Times New Roman" w:cs="Palatino-Italic"/>
      <w:iCs/>
      <w:szCs w:val="18"/>
      <w:lang w:val="es-ES" w:eastAsia="en-US" w:bidi="en-U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
    <w:basedOn w:val="DefaultParagraphFont"/>
    <w:uiPriority w:val="99"/>
    <w:unhideWhenUsed/>
    <w:qFormat/>
    <w:rsid w:val="00015762"/>
    <w:rPr>
      <w:rFonts w:ascii="Verdana" w:hAnsi="Verdana" w:cs="Verdana" w:hint="default"/>
      <w:sz w:val="16"/>
      <w:szCs w:val="16"/>
      <w:vertAlign w:val="superscript"/>
    </w:rPr>
  </w:style>
  <w:style w:type="character" w:styleId="Hyperlink">
    <w:name w:val="Hyperlink"/>
    <w:basedOn w:val="DefaultParagraphFont"/>
    <w:uiPriority w:val="99"/>
    <w:unhideWhenUsed/>
    <w:rsid w:val="00015762"/>
    <w:rPr>
      <w:color w:val="0000FF" w:themeColor="hyperlink"/>
      <w:u w:val="single"/>
    </w:rPr>
  </w:style>
  <w:style w:type="paragraph" w:styleId="BalloonText">
    <w:name w:val="Balloon Text"/>
    <w:basedOn w:val="Normal"/>
    <w:link w:val="BalloonTextChar"/>
    <w:uiPriority w:val="99"/>
    <w:semiHidden/>
    <w:unhideWhenUsed/>
    <w:rsid w:val="0091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65"/>
    <w:rPr>
      <w:rFonts w:ascii="Tahoma" w:eastAsia="Calibri" w:hAnsi="Tahoma" w:cs="Tahoma"/>
      <w:sz w:val="16"/>
      <w:szCs w:val="16"/>
      <w:lang w:val="es-MX"/>
    </w:rPr>
  </w:style>
  <w:style w:type="character" w:styleId="CommentReference">
    <w:name w:val="annotation reference"/>
    <w:basedOn w:val="DefaultParagraphFont"/>
    <w:uiPriority w:val="99"/>
    <w:semiHidden/>
    <w:unhideWhenUsed/>
    <w:rsid w:val="00270CA6"/>
    <w:rPr>
      <w:sz w:val="16"/>
      <w:szCs w:val="16"/>
    </w:rPr>
  </w:style>
  <w:style w:type="paragraph" w:styleId="CommentText">
    <w:name w:val="annotation text"/>
    <w:basedOn w:val="Normal"/>
    <w:link w:val="CommentTextChar"/>
    <w:uiPriority w:val="99"/>
    <w:semiHidden/>
    <w:unhideWhenUsed/>
    <w:rsid w:val="00270CA6"/>
    <w:pPr>
      <w:spacing w:line="240" w:lineRule="auto"/>
    </w:pPr>
    <w:rPr>
      <w:sz w:val="20"/>
      <w:szCs w:val="20"/>
    </w:rPr>
  </w:style>
  <w:style w:type="character" w:customStyle="1" w:styleId="CommentTextChar">
    <w:name w:val="Comment Text Char"/>
    <w:basedOn w:val="DefaultParagraphFont"/>
    <w:link w:val="CommentText"/>
    <w:uiPriority w:val="99"/>
    <w:semiHidden/>
    <w:rsid w:val="00270CA6"/>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270CA6"/>
    <w:rPr>
      <w:b/>
      <w:bCs/>
    </w:rPr>
  </w:style>
  <w:style w:type="character" w:customStyle="1" w:styleId="CommentSubjectChar">
    <w:name w:val="Comment Subject Char"/>
    <w:basedOn w:val="CommentTextChar"/>
    <w:link w:val="CommentSubject"/>
    <w:uiPriority w:val="99"/>
    <w:semiHidden/>
    <w:rsid w:val="00270CA6"/>
    <w:rPr>
      <w:rFonts w:ascii="Calibri" w:eastAsia="Calibri" w:hAnsi="Calibri" w:cs="Calibri"/>
      <w:b/>
      <w:bCs/>
      <w:sz w:val="20"/>
      <w:szCs w:val="20"/>
      <w:lang w:val="es-MX"/>
    </w:rPr>
  </w:style>
  <w:style w:type="paragraph" w:styleId="Header">
    <w:name w:val="header"/>
    <w:basedOn w:val="Normal"/>
    <w:link w:val="HeaderChar"/>
    <w:uiPriority w:val="99"/>
    <w:unhideWhenUsed/>
    <w:rsid w:val="009D137B"/>
    <w:pPr>
      <w:tabs>
        <w:tab w:val="center" w:pos="4419"/>
        <w:tab w:val="right" w:pos="8838"/>
      </w:tabs>
      <w:spacing w:after="0" w:line="240" w:lineRule="auto"/>
    </w:pPr>
  </w:style>
  <w:style w:type="character" w:customStyle="1" w:styleId="HeaderChar">
    <w:name w:val="Header Char"/>
    <w:basedOn w:val="DefaultParagraphFont"/>
    <w:link w:val="Header"/>
    <w:uiPriority w:val="99"/>
    <w:rsid w:val="009D137B"/>
    <w:rPr>
      <w:rFonts w:ascii="Calibri" w:eastAsia="Calibri" w:hAnsi="Calibri" w:cs="Calibri"/>
      <w:lang w:val="es-MX"/>
    </w:rPr>
  </w:style>
  <w:style w:type="paragraph" w:styleId="Footer">
    <w:name w:val="footer"/>
    <w:basedOn w:val="Normal"/>
    <w:link w:val="FooterChar"/>
    <w:uiPriority w:val="99"/>
    <w:unhideWhenUsed/>
    <w:rsid w:val="009D137B"/>
    <w:pPr>
      <w:tabs>
        <w:tab w:val="center" w:pos="4419"/>
        <w:tab w:val="right" w:pos="8838"/>
      </w:tabs>
      <w:spacing w:after="0" w:line="240" w:lineRule="auto"/>
    </w:pPr>
  </w:style>
  <w:style w:type="character" w:customStyle="1" w:styleId="FooterChar">
    <w:name w:val="Footer Char"/>
    <w:basedOn w:val="DefaultParagraphFont"/>
    <w:link w:val="Footer"/>
    <w:uiPriority w:val="99"/>
    <w:rsid w:val="009D137B"/>
    <w:rPr>
      <w:rFonts w:ascii="Calibri" w:eastAsia="Calibri" w:hAnsi="Calibri" w:cs="Calibri"/>
      <w:lang w:val="es-MX"/>
    </w:rPr>
  </w:style>
  <w:style w:type="character" w:styleId="Strong">
    <w:name w:val="Strong"/>
    <w:basedOn w:val="DefaultParagraphFont"/>
    <w:uiPriority w:val="22"/>
    <w:qFormat/>
    <w:rsid w:val="00A871AC"/>
    <w:rPr>
      <w:b/>
      <w:bCs/>
    </w:r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62"/>
    <w:rPr>
      <w:rFonts w:ascii="Calibri" w:eastAsia="Calibri" w:hAnsi="Calibri" w:cs="Calibri"/>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semiHidden/>
    <w:locked/>
    <w:rsid w:val="00015762"/>
    <w:rPr>
      <w:rFonts w:ascii="Verdana" w:eastAsia="Calibri" w:hAnsi="Verdana" w:cs="Verdana"/>
      <w:sz w:val="16"/>
      <w:szCs w:val="16"/>
      <w:lang w:val="es-ES_tradnl" w:eastAsia="es-ES"/>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Ca"/>
    <w:basedOn w:val="Normal"/>
    <w:link w:val="FootnoteTextChar1"/>
    <w:autoRedefine/>
    <w:uiPriority w:val="99"/>
    <w:unhideWhenUsed/>
    <w:qFormat/>
    <w:rsid w:val="00015762"/>
    <w:pPr>
      <w:tabs>
        <w:tab w:val="left" w:pos="567"/>
      </w:tabs>
      <w:spacing w:after="0" w:line="240" w:lineRule="auto"/>
      <w:jc w:val="both"/>
    </w:pPr>
    <w:rPr>
      <w:rFonts w:ascii="Verdana" w:hAnsi="Verdana" w:cs="Verdana"/>
      <w:sz w:val="16"/>
      <w:szCs w:val="16"/>
      <w:lang w:val="es-ES_tradnl" w:eastAsia="es-ES"/>
    </w:rPr>
  </w:style>
  <w:style w:type="character" w:customStyle="1" w:styleId="FootnoteTextChar">
    <w:name w:val="Footnote Text Char"/>
    <w:aliases w:val="footnote text Char,Footnote Text Cha Char,Ca Char,ft Char,FA Fuﬂnotentext Char"/>
    <w:basedOn w:val="DefaultParagraphFont"/>
    <w:uiPriority w:val="99"/>
    <w:rsid w:val="00015762"/>
    <w:rPr>
      <w:rFonts w:ascii="Calibri" w:eastAsia="Calibri" w:hAnsi="Calibri" w:cs="Calibri"/>
      <w:sz w:val="20"/>
      <w:szCs w:val="20"/>
      <w:lang w:val="es-MX"/>
    </w:rPr>
  </w:style>
  <w:style w:type="paragraph" w:styleId="ListParagraph">
    <w:name w:val="List Paragraph"/>
    <w:aliases w:val="Footnote,List Paragraph2"/>
    <w:basedOn w:val="Normal"/>
    <w:uiPriority w:val="34"/>
    <w:qFormat/>
    <w:rsid w:val="00015762"/>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paragraph" w:customStyle="1" w:styleId="Sangradetindependiente2">
    <w:name w:val="Sangría de t. independiente2"/>
    <w:basedOn w:val="Normal"/>
    <w:rsid w:val="00015762"/>
    <w:pPr>
      <w:widowControl w:val="0"/>
      <w:spacing w:after="0" w:line="360" w:lineRule="atLeast"/>
    </w:pPr>
    <w:rPr>
      <w:rFonts w:ascii="Arial" w:eastAsia="Times New Roman" w:hAnsi="Arial" w:cs="Times New Roman"/>
      <w:sz w:val="24"/>
      <w:szCs w:val="20"/>
      <w:lang w:val="es-ES_tradnl"/>
    </w:rPr>
  </w:style>
  <w:style w:type="character" w:customStyle="1" w:styleId="FootnotesChar">
    <w:name w:val="**. Footnotes Char"/>
    <w:basedOn w:val="DefaultParagraphFont"/>
    <w:link w:val="Footnotes"/>
    <w:locked/>
    <w:rsid w:val="00015762"/>
    <w:rPr>
      <w:rFonts w:ascii="Verdana" w:eastAsia="Times New Roman" w:hAnsi="Verdana" w:cs="Palatino-Italic"/>
      <w:iCs/>
      <w:sz w:val="16"/>
      <w:szCs w:val="18"/>
      <w:lang w:val="es-ES" w:bidi="en-US"/>
    </w:rPr>
  </w:style>
  <w:style w:type="paragraph" w:customStyle="1" w:styleId="Footnotes">
    <w:name w:val="**. Footnotes"/>
    <w:basedOn w:val="FootnoteText"/>
    <w:link w:val="FootnotesChar"/>
    <w:autoRedefine/>
    <w:qFormat/>
    <w:rsid w:val="00015762"/>
    <w:rPr>
      <w:rFonts w:eastAsia="Times New Roman" w:cs="Palatino-Italic"/>
      <w:iCs/>
      <w:szCs w:val="18"/>
      <w:lang w:val="es-ES" w:eastAsia="en-US" w:bidi="en-U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
    <w:basedOn w:val="DefaultParagraphFont"/>
    <w:uiPriority w:val="99"/>
    <w:unhideWhenUsed/>
    <w:qFormat/>
    <w:rsid w:val="00015762"/>
    <w:rPr>
      <w:rFonts w:ascii="Verdana" w:hAnsi="Verdana" w:cs="Verdana" w:hint="default"/>
      <w:sz w:val="16"/>
      <w:szCs w:val="16"/>
      <w:vertAlign w:val="superscript"/>
    </w:rPr>
  </w:style>
  <w:style w:type="character" w:styleId="Hyperlink">
    <w:name w:val="Hyperlink"/>
    <w:basedOn w:val="DefaultParagraphFont"/>
    <w:uiPriority w:val="99"/>
    <w:unhideWhenUsed/>
    <w:rsid w:val="00015762"/>
    <w:rPr>
      <w:color w:val="0000FF" w:themeColor="hyperlink"/>
      <w:u w:val="single"/>
    </w:rPr>
  </w:style>
  <w:style w:type="paragraph" w:styleId="BalloonText">
    <w:name w:val="Balloon Text"/>
    <w:basedOn w:val="Normal"/>
    <w:link w:val="BalloonTextChar"/>
    <w:uiPriority w:val="99"/>
    <w:semiHidden/>
    <w:unhideWhenUsed/>
    <w:rsid w:val="0091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65"/>
    <w:rPr>
      <w:rFonts w:ascii="Tahoma" w:eastAsia="Calibri" w:hAnsi="Tahoma" w:cs="Tahoma"/>
      <w:sz w:val="16"/>
      <w:szCs w:val="16"/>
      <w:lang w:val="es-MX"/>
    </w:rPr>
  </w:style>
  <w:style w:type="character" w:styleId="CommentReference">
    <w:name w:val="annotation reference"/>
    <w:basedOn w:val="DefaultParagraphFont"/>
    <w:uiPriority w:val="99"/>
    <w:semiHidden/>
    <w:unhideWhenUsed/>
    <w:rsid w:val="00270CA6"/>
    <w:rPr>
      <w:sz w:val="16"/>
      <w:szCs w:val="16"/>
    </w:rPr>
  </w:style>
  <w:style w:type="paragraph" w:styleId="CommentText">
    <w:name w:val="annotation text"/>
    <w:basedOn w:val="Normal"/>
    <w:link w:val="CommentTextChar"/>
    <w:uiPriority w:val="99"/>
    <w:semiHidden/>
    <w:unhideWhenUsed/>
    <w:rsid w:val="00270CA6"/>
    <w:pPr>
      <w:spacing w:line="240" w:lineRule="auto"/>
    </w:pPr>
    <w:rPr>
      <w:sz w:val="20"/>
      <w:szCs w:val="20"/>
    </w:rPr>
  </w:style>
  <w:style w:type="character" w:customStyle="1" w:styleId="CommentTextChar">
    <w:name w:val="Comment Text Char"/>
    <w:basedOn w:val="DefaultParagraphFont"/>
    <w:link w:val="CommentText"/>
    <w:uiPriority w:val="99"/>
    <w:semiHidden/>
    <w:rsid w:val="00270CA6"/>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270CA6"/>
    <w:rPr>
      <w:b/>
      <w:bCs/>
    </w:rPr>
  </w:style>
  <w:style w:type="character" w:customStyle="1" w:styleId="CommentSubjectChar">
    <w:name w:val="Comment Subject Char"/>
    <w:basedOn w:val="CommentTextChar"/>
    <w:link w:val="CommentSubject"/>
    <w:uiPriority w:val="99"/>
    <w:semiHidden/>
    <w:rsid w:val="00270CA6"/>
    <w:rPr>
      <w:rFonts w:ascii="Calibri" w:eastAsia="Calibri" w:hAnsi="Calibri" w:cs="Calibri"/>
      <w:b/>
      <w:bCs/>
      <w:sz w:val="20"/>
      <w:szCs w:val="20"/>
      <w:lang w:val="es-MX"/>
    </w:rPr>
  </w:style>
  <w:style w:type="paragraph" w:styleId="Header">
    <w:name w:val="header"/>
    <w:basedOn w:val="Normal"/>
    <w:link w:val="HeaderChar"/>
    <w:uiPriority w:val="99"/>
    <w:unhideWhenUsed/>
    <w:rsid w:val="009D137B"/>
    <w:pPr>
      <w:tabs>
        <w:tab w:val="center" w:pos="4419"/>
        <w:tab w:val="right" w:pos="8838"/>
      </w:tabs>
      <w:spacing w:after="0" w:line="240" w:lineRule="auto"/>
    </w:pPr>
  </w:style>
  <w:style w:type="character" w:customStyle="1" w:styleId="HeaderChar">
    <w:name w:val="Header Char"/>
    <w:basedOn w:val="DefaultParagraphFont"/>
    <w:link w:val="Header"/>
    <w:uiPriority w:val="99"/>
    <w:rsid w:val="009D137B"/>
    <w:rPr>
      <w:rFonts w:ascii="Calibri" w:eastAsia="Calibri" w:hAnsi="Calibri" w:cs="Calibri"/>
      <w:lang w:val="es-MX"/>
    </w:rPr>
  </w:style>
  <w:style w:type="paragraph" w:styleId="Footer">
    <w:name w:val="footer"/>
    <w:basedOn w:val="Normal"/>
    <w:link w:val="FooterChar"/>
    <w:uiPriority w:val="99"/>
    <w:unhideWhenUsed/>
    <w:rsid w:val="009D137B"/>
    <w:pPr>
      <w:tabs>
        <w:tab w:val="center" w:pos="4419"/>
        <w:tab w:val="right" w:pos="8838"/>
      </w:tabs>
      <w:spacing w:after="0" w:line="240" w:lineRule="auto"/>
    </w:pPr>
  </w:style>
  <w:style w:type="character" w:customStyle="1" w:styleId="FooterChar">
    <w:name w:val="Footer Char"/>
    <w:basedOn w:val="DefaultParagraphFont"/>
    <w:link w:val="Footer"/>
    <w:uiPriority w:val="99"/>
    <w:rsid w:val="009D137B"/>
    <w:rPr>
      <w:rFonts w:ascii="Calibri" w:eastAsia="Calibri" w:hAnsi="Calibri" w:cs="Calibri"/>
      <w:lang w:val="es-MX"/>
    </w:rPr>
  </w:style>
  <w:style w:type="character" w:styleId="Strong">
    <w:name w:val="Strong"/>
    <w:basedOn w:val="DefaultParagraphFont"/>
    <w:uiPriority w:val="22"/>
    <w:qFormat/>
    <w:rsid w:val="00A871AC"/>
    <w:rPr>
      <w:b/>
      <w:bCs/>
    </w:rPr>
  </w:style>
  <w:style w:type="character" w:styleId="FollowedHyperlink">
    <w:name w:val="FollowedHyperlink"/>
    <w:basedOn w:val="DefaultParagraphFont"/>
    <w:uiPriority w:val="99"/>
    <w:semiHidden/>
    <w:unhideWhenUsed/>
    <w:rsid w:val="00E62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0536">
      <w:bodyDiv w:val="1"/>
      <w:marLeft w:val="0"/>
      <w:marRight w:val="0"/>
      <w:marTop w:val="0"/>
      <w:marBottom w:val="0"/>
      <w:divBdr>
        <w:top w:val="none" w:sz="0" w:space="0" w:color="auto"/>
        <w:left w:val="none" w:sz="0" w:space="0" w:color="auto"/>
        <w:bottom w:val="none" w:sz="0" w:space="0" w:color="auto"/>
        <w:right w:val="none" w:sz="0" w:space="0" w:color="auto"/>
      </w:divBdr>
    </w:div>
    <w:div w:id="715154811">
      <w:bodyDiv w:val="1"/>
      <w:marLeft w:val="0"/>
      <w:marRight w:val="0"/>
      <w:marTop w:val="0"/>
      <w:marBottom w:val="0"/>
      <w:divBdr>
        <w:top w:val="none" w:sz="0" w:space="0" w:color="auto"/>
        <w:left w:val="none" w:sz="0" w:space="0" w:color="auto"/>
        <w:bottom w:val="none" w:sz="0" w:space="0" w:color="auto"/>
        <w:right w:val="none" w:sz="0" w:space="0" w:color="auto"/>
      </w:divBdr>
    </w:div>
    <w:div w:id="890460737">
      <w:bodyDiv w:val="1"/>
      <w:marLeft w:val="0"/>
      <w:marRight w:val="0"/>
      <w:marTop w:val="0"/>
      <w:marBottom w:val="0"/>
      <w:divBdr>
        <w:top w:val="none" w:sz="0" w:space="0" w:color="auto"/>
        <w:left w:val="none" w:sz="0" w:space="0" w:color="auto"/>
        <w:bottom w:val="none" w:sz="0" w:space="0" w:color="auto"/>
        <w:right w:val="none" w:sz="0" w:space="0" w:color="auto"/>
      </w:divBdr>
    </w:div>
    <w:div w:id="926421990">
      <w:bodyDiv w:val="1"/>
      <w:marLeft w:val="0"/>
      <w:marRight w:val="0"/>
      <w:marTop w:val="0"/>
      <w:marBottom w:val="0"/>
      <w:divBdr>
        <w:top w:val="none" w:sz="0" w:space="0" w:color="auto"/>
        <w:left w:val="none" w:sz="0" w:space="0" w:color="auto"/>
        <w:bottom w:val="none" w:sz="0" w:space="0" w:color="auto"/>
        <w:right w:val="none" w:sz="0" w:space="0" w:color="auto"/>
      </w:divBdr>
    </w:div>
    <w:div w:id="1031031064">
      <w:bodyDiv w:val="1"/>
      <w:marLeft w:val="0"/>
      <w:marRight w:val="0"/>
      <w:marTop w:val="0"/>
      <w:marBottom w:val="0"/>
      <w:divBdr>
        <w:top w:val="none" w:sz="0" w:space="0" w:color="auto"/>
        <w:left w:val="none" w:sz="0" w:space="0" w:color="auto"/>
        <w:bottom w:val="none" w:sz="0" w:space="0" w:color="auto"/>
        <w:right w:val="none" w:sz="0" w:space="0" w:color="auto"/>
      </w:divBdr>
    </w:div>
    <w:div w:id="1431506803">
      <w:bodyDiv w:val="1"/>
      <w:marLeft w:val="0"/>
      <w:marRight w:val="0"/>
      <w:marTop w:val="0"/>
      <w:marBottom w:val="0"/>
      <w:divBdr>
        <w:top w:val="none" w:sz="0" w:space="0" w:color="auto"/>
        <w:left w:val="none" w:sz="0" w:space="0" w:color="auto"/>
        <w:bottom w:val="none" w:sz="0" w:space="0" w:color="auto"/>
        <w:right w:val="none" w:sz="0" w:space="0" w:color="auto"/>
      </w:divBdr>
    </w:div>
    <w:div w:id="1662540743">
      <w:bodyDiv w:val="1"/>
      <w:marLeft w:val="0"/>
      <w:marRight w:val="0"/>
      <w:marTop w:val="0"/>
      <w:marBottom w:val="0"/>
      <w:divBdr>
        <w:top w:val="none" w:sz="0" w:space="0" w:color="auto"/>
        <w:left w:val="none" w:sz="0" w:space="0" w:color="auto"/>
        <w:bottom w:val="none" w:sz="0" w:space="0" w:color="auto"/>
        <w:right w:val="none" w:sz="0" w:space="0" w:color="auto"/>
      </w:divBdr>
      <w:divsChild>
        <w:div w:id="1591235471">
          <w:marLeft w:val="0"/>
          <w:marRight w:val="0"/>
          <w:marTop w:val="0"/>
          <w:marBottom w:val="0"/>
          <w:divBdr>
            <w:top w:val="none" w:sz="0" w:space="0" w:color="auto"/>
            <w:left w:val="none" w:sz="0" w:space="0" w:color="auto"/>
            <w:bottom w:val="none" w:sz="0" w:space="0" w:color="auto"/>
            <w:right w:val="none" w:sz="0" w:space="0" w:color="auto"/>
          </w:divBdr>
        </w:div>
        <w:div w:id="999621841">
          <w:marLeft w:val="0"/>
          <w:marRight w:val="0"/>
          <w:marTop w:val="0"/>
          <w:marBottom w:val="0"/>
          <w:divBdr>
            <w:top w:val="none" w:sz="0" w:space="0" w:color="auto"/>
            <w:left w:val="none" w:sz="0" w:space="0" w:color="auto"/>
            <w:bottom w:val="none" w:sz="0" w:space="0" w:color="auto"/>
            <w:right w:val="none" w:sz="0" w:space="0" w:color="auto"/>
          </w:divBdr>
        </w:div>
        <w:div w:id="1014648436">
          <w:marLeft w:val="0"/>
          <w:marRight w:val="0"/>
          <w:marTop w:val="0"/>
          <w:marBottom w:val="0"/>
          <w:divBdr>
            <w:top w:val="none" w:sz="0" w:space="0" w:color="auto"/>
            <w:left w:val="none" w:sz="0" w:space="0" w:color="auto"/>
            <w:bottom w:val="none" w:sz="0" w:space="0" w:color="auto"/>
            <w:right w:val="none" w:sz="0" w:space="0" w:color="auto"/>
          </w:divBdr>
        </w:div>
      </w:divsChild>
    </w:div>
    <w:div w:id="1910924294">
      <w:bodyDiv w:val="1"/>
      <w:marLeft w:val="0"/>
      <w:marRight w:val="0"/>
      <w:marTop w:val="0"/>
      <w:marBottom w:val="0"/>
      <w:divBdr>
        <w:top w:val="none" w:sz="0" w:space="0" w:color="auto"/>
        <w:left w:val="none" w:sz="0" w:space="0" w:color="auto"/>
        <w:bottom w:val="none" w:sz="0" w:space="0" w:color="auto"/>
        <w:right w:val="none" w:sz="0" w:space="0" w:color="auto"/>
      </w:divBdr>
    </w:div>
    <w:div w:id="1941642049">
      <w:bodyDiv w:val="1"/>
      <w:marLeft w:val="0"/>
      <w:marRight w:val="0"/>
      <w:marTop w:val="0"/>
      <w:marBottom w:val="0"/>
      <w:divBdr>
        <w:top w:val="none" w:sz="0" w:space="0" w:color="auto"/>
        <w:left w:val="none" w:sz="0" w:space="0" w:color="auto"/>
        <w:bottom w:val="none" w:sz="0" w:space="0" w:color="auto"/>
        <w:right w:val="none" w:sz="0" w:space="0" w:color="auto"/>
      </w:divBdr>
    </w:div>
    <w:div w:id="1957708429">
      <w:bodyDiv w:val="1"/>
      <w:marLeft w:val="0"/>
      <w:marRight w:val="0"/>
      <w:marTop w:val="0"/>
      <w:marBottom w:val="0"/>
      <w:divBdr>
        <w:top w:val="none" w:sz="0" w:space="0" w:color="auto"/>
        <w:left w:val="none" w:sz="0" w:space="0" w:color="auto"/>
        <w:bottom w:val="none" w:sz="0" w:space="0" w:color="auto"/>
        <w:right w:val="none" w:sz="0" w:space="0" w:color="auto"/>
      </w:divBdr>
    </w:div>
    <w:div w:id="2018652128">
      <w:bodyDiv w:val="1"/>
      <w:marLeft w:val="0"/>
      <w:marRight w:val="0"/>
      <w:marTop w:val="0"/>
      <w:marBottom w:val="0"/>
      <w:divBdr>
        <w:top w:val="none" w:sz="0" w:space="0" w:color="auto"/>
        <w:left w:val="none" w:sz="0" w:space="0" w:color="auto"/>
        <w:bottom w:val="none" w:sz="0" w:space="0" w:color="auto"/>
        <w:right w:val="none" w:sz="0" w:space="0" w:color="auto"/>
      </w:divBdr>
    </w:div>
    <w:div w:id="2019195114">
      <w:bodyDiv w:val="1"/>
      <w:marLeft w:val="0"/>
      <w:marRight w:val="0"/>
      <w:marTop w:val="0"/>
      <w:marBottom w:val="0"/>
      <w:divBdr>
        <w:top w:val="none" w:sz="0" w:space="0" w:color="auto"/>
        <w:left w:val="none" w:sz="0" w:space="0" w:color="auto"/>
        <w:bottom w:val="none" w:sz="0" w:space="0" w:color="auto"/>
        <w:right w:val="none" w:sz="0" w:space="0" w:color="auto"/>
      </w:divBdr>
    </w:div>
    <w:div w:id="21117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vimeo.com/album/4433981" TargetMode="External"/><Relationship Id="rId1" Type="http://schemas.openxmlformats.org/officeDocument/2006/relationships/hyperlink" Target="http://www.corteidh.or.cr/docs/asuntos/sanmiguel_sosa_20_12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A588-9D59-4BAC-AE1C-18C90820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2017-02-06T23:37:00Z</cp:lastPrinted>
  <dcterms:created xsi:type="dcterms:W3CDTF">2017-05-22T21:37:00Z</dcterms:created>
  <dcterms:modified xsi:type="dcterms:W3CDTF">2017-05-22T21:37:00Z</dcterms:modified>
</cp:coreProperties>
</file>