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C6" w:rsidRDefault="00E444C6">
      <w:pPr>
        <w:pStyle w:val="BodyText"/>
        <w:rPr>
          <w:rFonts w:ascii="Times New Roman"/>
        </w:rPr>
      </w:pPr>
      <w:bookmarkStart w:id="0" w:name="_GoBack"/>
      <w:bookmarkEnd w:id="0"/>
    </w:p>
    <w:p w:rsidR="00E444C6" w:rsidRDefault="00E444C6">
      <w:pPr>
        <w:pStyle w:val="BodyText"/>
        <w:rPr>
          <w:rFonts w:ascii="Times New Roman"/>
        </w:rPr>
      </w:pPr>
    </w:p>
    <w:p w:rsidR="00E444C6" w:rsidRDefault="00E444C6">
      <w:pPr>
        <w:pStyle w:val="BodyText"/>
        <w:rPr>
          <w:rFonts w:ascii="Times New Roman"/>
        </w:rPr>
      </w:pPr>
    </w:p>
    <w:p w:rsidR="00E444C6" w:rsidRDefault="00E444C6">
      <w:pPr>
        <w:pStyle w:val="BodyText"/>
        <w:rPr>
          <w:rFonts w:ascii="Times New Roman"/>
        </w:rPr>
      </w:pPr>
    </w:p>
    <w:p w:rsidR="00E444C6" w:rsidRDefault="00E444C6">
      <w:pPr>
        <w:pStyle w:val="BodyText"/>
        <w:rPr>
          <w:rFonts w:ascii="Times New Roman"/>
        </w:rPr>
      </w:pPr>
    </w:p>
    <w:p w:rsidR="00E444C6" w:rsidRDefault="00E444C6">
      <w:pPr>
        <w:pStyle w:val="BodyText"/>
        <w:rPr>
          <w:rFonts w:ascii="Times New Roman"/>
        </w:rPr>
      </w:pPr>
    </w:p>
    <w:p w:rsidR="00E444C6" w:rsidRDefault="00E444C6">
      <w:pPr>
        <w:pStyle w:val="BodyText"/>
        <w:rPr>
          <w:rFonts w:ascii="Times New Roman"/>
        </w:rPr>
      </w:pPr>
    </w:p>
    <w:p w:rsidR="00E444C6" w:rsidRDefault="00E444C6">
      <w:pPr>
        <w:pStyle w:val="BodyText"/>
        <w:rPr>
          <w:rFonts w:ascii="Times New Roman"/>
        </w:rPr>
      </w:pPr>
    </w:p>
    <w:p w:rsidR="00E444C6" w:rsidRDefault="00E444C6">
      <w:pPr>
        <w:pStyle w:val="BodyText"/>
        <w:rPr>
          <w:rFonts w:ascii="Times New Roman"/>
        </w:rPr>
      </w:pPr>
    </w:p>
    <w:p w:rsidR="00E444C6" w:rsidRDefault="00E444C6">
      <w:pPr>
        <w:pStyle w:val="BodyText"/>
        <w:spacing w:before="1"/>
        <w:rPr>
          <w:rFonts w:ascii="Times New Roman"/>
          <w:sz w:val="28"/>
        </w:rPr>
      </w:pPr>
    </w:p>
    <w:p w:rsidR="00E444C6" w:rsidRDefault="00FF1014">
      <w:pPr>
        <w:pStyle w:val="Heading1"/>
        <w:spacing w:before="99" w:line="475" w:lineRule="auto"/>
        <w:ind w:left="2082" w:right="2083" w:firstLine="782"/>
        <w:jc w:val="left"/>
      </w:pPr>
      <w:r>
        <w:t>RESOLUCIÓN DEL PRESIDENTE DE LA CORTE INTERAMERICANA DE DERECHOS</w:t>
      </w:r>
      <w:r>
        <w:rPr>
          <w:spacing w:val="-21"/>
        </w:rPr>
        <w:t xml:space="preserve"> </w:t>
      </w:r>
      <w:r>
        <w:t>HUMANOS</w:t>
      </w:r>
    </w:p>
    <w:p w:rsidR="00E444C6" w:rsidRDefault="00E444C6">
      <w:pPr>
        <w:pStyle w:val="BodyText"/>
        <w:spacing w:before="4"/>
        <w:rPr>
          <w:b/>
        </w:rPr>
      </w:pPr>
    </w:p>
    <w:p w:rsidR="00E444C6" w:rsidRDefault="00FF1014">
      <w:pPr>
        <w:spacing w:before="1"/>
        <w:ind w:left="1418" w:right="1347"/>
        <w:jc w:val="center"/>
        <w:rPr>
          <w:b/>
          <w:sz w:val="20"/>
        </w:rPr>
      </w:pPr>
      <w:r>
        <w:rPr>
          <w:b/>
          <w:sz w:val="20"/>
        </w:rPr>
        <w:t>20 DE ENERO DE 2012</w:t>
      </w:r>
    </w:p>
    <w:p w:rsidR="00E444C6" w:rsidRDefault="00E444C6">
      <w:pPr>
        <w:pStyle w:val="BodyText"/>
        <w:rPr>
          <w:b/>
          <w:sz w:val="24"/>
        </w:rPr>
      </w:pPr>
    </w:p>
    <w:p w:rsidR="00E444C6" w:rsidRDefault="00FF1014">
      <w:pPr>
        <w:spacing w:before="190"/>
        <w:ind w:left="1418" w:right="1417"/>
        <w:jc w:val="center"/>
        <w:rPr>
          <w:b/>
          <w:sz w:val="20"/>
        </w:rPr>
      </w:pPr>
      <w:r>
        <w:rPr>
          <w:b/>
          <w:sz w:val="20"/>
        </w:rPr>
        <w:t>CASO PUEBLO INDÍGENA KICHWA DE SARAYAKU vs. ECUADOR</w:t>
      </w:r>
    </w:p>
    <w:p w:rsidR="00E444C6" w:rsidRDefault="00E444C6">
      <w:pPr>
        <w:pStyle w:val="BodyText"/>
        <w:rPr>
          <w:b/>
        </w:rPr>
      </w:pPr>
    </w:p>
    <w:p w:rsidR="00E444C6" w:rsidRDefault="00E444C6">
      <w:pPr>
        <w:pStyle w:val="BodyText"/>
        <w:spacing w:before="7"/>
        <w:rPr>
          <w:b/>
          <w:sz w:val="29"/>
        </w:rPr>
      </w:pPr>
    </w:p>
    <w:p w:rsidR="00E444C6" w:rsidRDefault="00FF1014">
      <w:pPr>
        <w:spacing w:before="100"/>
        <w:ind w:left="111"/>
        <w:jc w:val="both"/>
        <w:rPr>
          <w:b/>
          <w:sz w:val="20"/>
        </w:rPr>
      </w:pPr>
      <w:r>
        <w:rPr>
          <w:b/>
          <w:sz w:val="20"/>
        </w:rPr>
        <w:t>VISTO:</w:t>
      </w:r>
    </w:p>
    <w:p w:rsidR="00E444C6" w:rsidRDefault="00E444C6">
      <w:pPr>
        <w:pStyle w:val="BodyText"/>
        <w:spacing w:before="11"/>
        <w:rPr>
          <w:b/>
          <w:sz w:val="33"/>
        </w:rPr>
      </w:pPr>
    </w:p>
    <w:p w:rsidR="00E444C6" w:rsidRDefault="00FF1014">
      <w:pPr>
        <w:pStyle w:val="ListParagraph"/>
        <w:numPr>
          <w:ilvl w:val="0"/>
          <w:numId w:val="3"/>
        </w:numPr>
        <w:tabs>
          <w:tab w:val="left" w:pos="652"/>
        </w:tabs>
        <w:spacing w:before="0"/>
        <w:ind w:right="102" w:firstLine="0"/>
        <w:jc w:val="both"/>
        <w:rPr>
          <w:sz w:val="20"/>
        </w:rPr>
      </w:pPr>
      <w:r>
        <w:rPr>
          <w:sz w:val="20"/>
        </w:rPr>
        <w:t>El escrito de demanda presentado por la Comisión Interamericana de Derechos Humanos (en adelante “la Comisión Interamericana” o “la Comisión”) el 26 de abril de 2010, y sus  anexos recibidos el 17 de mayo siguiente, contra la República del Ecuador (en adel</w:t>
      </w:r>
      <w:r>
        <w:rPr>
          <w:sz w:val="20"/>
        </w:rPr>
        <w:t>ante “el Estado” o</w:t>
      </w:r>
      <w:r>
        <w:rPr>
          <w:spacing w:val="-2"/>
          <w:sz w:val="20"/>
        </w:rPr>
        <w:t xml:space="preserve"> </w:t>
      </w:r>
      <w:r>
        <w:rPr>
          <w:sz w:val="20"/>
        </w:rPr>
        <w:t>“Ecuador”).</w:t>
      </w:r>
    </w:p>
    <w:p w:rsidR="00E444C6" w:rsidRDefault="00FF1014">
      <w:pPr>
        <w:pStyle w:val="ListParagraph"/>
        <w:numPr>
          <w:ilvl w:val="0"/>
          <w:numId w:val="3"/>
        </w:numPr>
        <w:tabs>
          <w:tab w:val="left" w:pos="652"/>
        </w:tabs>
        <w:spacing w:before="120"/>
        <w:ind w:right="106" w:firstLine="0"/>
        <w:jc w:val="both"/>
        <w:rPr>
          <w:sz w:val="20"/>
        </w:rPr>
      </w:pPr>
      <w:r>
        <w:rPr>
          <w:sz w:val="20"/>
        </w:rPr>
        <w:t>El escrito de solicitudes, argumentos y pruebas (en adelante “escrito de solicitudes y argumentos”) presentado por los representantes de las presuntas víctimas</w:t>
      </w:r>
      <w:r>
        <w:rPr>
          <w:rFonts w:ascii="Times New Roman" w:hAnsi="Times New Roman"/>
          <w:sz w:val="20"/>
          <w:vertAlign w:val="superscript"/>
        </w:rPr>
        <w:t>1</w:t>
      </w:r>
      <w:r>
        <w:rPr>
          <w:rFonts w:ascii="Times New Roman" w:hAnsi="Times New Roman"/>
          <w:sz w:val="20"/>
        </w:rPr>
        <w:t xml:space="preserve"> </w:t>
      </w:r>
      <w:r>
        <w:rPr>
          <w:sz w:val="20"/>
        </w:rPr>
        <w:t xml:space="preserve">(en adelante “los representantes”) el 10 de septiembre de 2010, </w:t>
      </w:r>
      <w:r>
        <w:rPr>
          <w:sz w:val="20"/>
        </w:rPr>
        <w:t>y sus anexos recibidos el 29 de septiembre, 7 y 22 de octubre de</w:t>
      </w:r>
      <w:r>
        <w:rPr>
          <w:spacing w:val="-5"/>
          <w:sz w:val="20"/>
        </w:rPr>
        <w:t xml:space="preserve"> </w:t>
      </w:r>
      <w:r>
        <w:rPr>
          <w:sz w:val="20"/>
        </w:rPr>
        <w:t>2011.</w:t>
      </w:r>
    </w:p>
    <w:p w:rsidR="00E444C6" w:rsidRDefault="00FF1014">
      <w:pPr>
        <w:pStyle w:val="ListParagraph"/>
        <w:numPr>
          <w:ilvl w:val="0"/>
          <w:numId w:val="3"/>
        </w:numPr>
        <w:tabs>
          <w:tab w:val="left" w:pos="652"/>
        </w:tabs>
        <w:ind w:right="107" w:firstLine="0"/>
        <w:jc w:val="both"/>
        <w:rPr>
          <w:sz w:val="20"/>
        </w:rPr>
      </w:pPr>
      <w:r>
        <w:rPr>
          <w:sz w:val="20"/>
        </w:rPr>
        <w:t>El escrito de interposición de excepción preliminar, contestación a la demanda y observaciones al escrito de solicitudes y argumentos, presentado por el Estado de Ecuador (en adelante “</w:t>
      </w:r>
      <w:r>
        <w:rPr>
          <w:sz w:val="20"/>
        </w:rPr>
        <w:t>el Estado” o “Ecuador”) el 12 de marzo de 2011, y sus anexos recibidos el 4 de abril de</w:t>
      </w:r>
      <w:r>
        <w:rPr>
          <w:spacing w:val="-3"/>
          <w:sz w:val="20"/>
        </w:rPr>
        <w:t xml:space="preserve"> </w:t>
      </w:r>
      <w:r>
        <w:rPr>
          <w:sz w:val="20"/>
        </w:rPr>
        <w:t>2011.</w:t>
      </w:r>
    </w:p>
    <w:p w:rsidR="00E444C6" w:rsidRDefault="00FF1014">
      <w:pPr>
        <w:pStyle w:val="ListParagraph"/>
        <w:numPr>
          <w:ilvl w:val="0"/>
          <w:numId w:val="3"/>
        </w:numPr>
        <w:tabs>
          <w:tab w:val="left" w:pos="832"/>
        </w:tabs>
        <w:spacing w:before="120"/>
        <w:ind w:firstLine="0"/>
        <w:jc w:val="both"/>
        <w:rPr>
          <w:sz w:val="20"/>
        </w:rPr>
      </w:pPr>
      <w:r>
        <w:rPr>
          <w:sz w:val="20"/>
        </w:rPr>
        <w:t>La Resolución del Presidente de la Corte (en adelante “el Presidente”) de 17 de junio de 2011, mediante la cual convocó a una audiencia pública y ordenó la recepc</w:t>
      </w:r>
      <w:r>
        <w:rPr>
          <w:sz w:val="20"/>
        </w:rPr>
        <w:t>ión de determinada prueba pericial y</w:t>
      </w:r>
      <w:r>
        <w:rPr>
          <w:spacing w:val="-1"/>
          <w:sz w:val="20"/>
        </w:rPr>
        <w:t xml:space="preserve"> </w:t>
      </w:r>
      <w:r>
        <w:rPr>
          <w:sz w:val="20"/>
        </w:rPr>
        <w:t>testimonial.</w:t>
      </w:r>
    </w:p>
    <w:p w:rsidR="00E444C6" w:rsidRDefault="00FF1014">
      <w:pPr>
        <w:pStyle w:val="ListParagraph"/>
        <w:numPr>
          <w:ilvl w:val="0"/>
          <w:numId w:val="3"/>
        </w:numPr>
        <w:tabs>
          <w:tab w:val="left" w:pos="832"/>
        </w:tabs>
        <w:spacing w:before="120"/>
        <w:ind w:right="109" w:firstLine="0"/>
        <w:jc w:val="both"/>
        <w:rPr>
          <w:sz w:val="20"/>
        </w:rPr>
      </w:pPr>
      <w:r>
        <w:rPr>
          <w:sz w:val="20"/>
        </w:rPr>
        <w:t>La audiencia pública sobre excepción preliminar y eventuales fondo y reparaciones celebrada los 6 y 7 de julio de 2011 en la sede del Tribunal</w:t>
      </w:r>
      <w:r>
        <w:rPr>
          <w:sz w:val="20"/>
          <w:vertAlign w:val="superscript"/>
        </w:rPr>
        <w:t>2</w:t>
      </w:r>
      <w:r>
        <w:rPr>
          <w:sz w:val="20"/>
        </w:rPr>
        <w:t>. Durante la audiencia,</w:t>
      </w:r>
      <w:r>
        <w:rPr>
          <w:spacing w:val="4"/>
          <w:sz w:val="20"/>
        </w:rPr>
        <w:t xml:space="preserve"> </w:t>
      </w:r>
      <w:r>
        <w:rPr>
          <w:sz w:val="20"/>
        </w:rPr>
        <w:t>el Estado</w:t>
      </w:r>
    </w:p>
    <w:p w:rsidR="00E444C6" w:rsidRDefault="00932AF5">
      <w:pPr>
        <w:pStyle w:val="BodyText"/>
        <w:spacing w:before="7"/>
      </w:pPr>
      <w:r>
        <w:rPr>
          <w:noProof/>
          <w:lang w:val="en-US" w:eastAsia="en-US" w:bidi="ar-SA"/>
        </w:rPr>
        <mc:AlternateContent>
          <mc:Choice Requires="wps">
            <w:drawing>
              <wp:anchor distT="0" distB="0" distL="0" distR="0" simplePos="0" relativeHeight="251656192" behindDoc="1" locked="0" layoutInCell="1" allowOverlap="1">
                <wp:simplePos x="0" y="0"/>
                <wp:positionH relativeFrom="page">
                  <wp:posOffset>743585</wp:posOffset>
                </wp:positionH>
                <wp:positionV relativeFrom="paragraph">
                  <wp:posOffset>187325</wp:posOffset>
                </wp:positionV>
                <wp:extent cx="1829435" cy="0"/>
                <wp:effectExtent l="10160" t="6350" r="8255" b="1270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4.75pt" to="202.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UN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" strokeweight=".21169mm">
                <w10:wrap type="topAndBottom" anchorx="page"/>
              </v:line>
            </w:pict>
          </mc:Fallback>
        </mc:AlternateContent>
      </w:r>
    </w:p>
    <w:p w:rsidR="00E444C6" w:rsidRDefault="00FF1014">
      <w:pPr>
        <w:tabs>
          <w:tab w:val="left" w:pos="831"/>
        </w:tabs>
        <w:spacing w:before="74"/>
        <w:ind w:left="111" w:right="106"/>
        <w:jc w:val="both"/>
        <w:rPr>
          <w:sz w:val="16"/>
        </w:rPr>
      </w:pPr>
      <w:r>
        <w:rPr>
          <w:position w:val="7"/>
          <w:sz w:val="10"/>
        </w:rPr>
        <w:t>1</w:t>
      </w:r>
      <w:r>
        <w:rPr>
          <w:position w:val="7"/>
          <w:sz w:val="10"/>
        </w:rPr>
        <w:tab/>
      </w:r>
      <w:r>
        <w:rPr>
          <w:sz w:val="16"/>
        </w:rPr>
        <w:t xml:space="preserve">Las presuntas víctimas en el presente caso designaron como sus representantes a los abogados Mario Melo, abogado de </w:t>
      </w:r>
      <w:proofErr w:type="spellStart"/>
      <w:r>
        <w:rPr>
          <w:sz w:val="16"/>
        </w:rPr>
        <w:t>Sarayaku</w:t>
      </w:r>
      <w:proofErr w:type="spellEnd"/>
      <w:r>
        <w:rPr>
          <w:sz w:val="16"/>
        </w:rPr>
        <w:t xml:space="preserve">, y a Viviana </w:t>
      </w:r>
      <w:proofErr w:type="spellStart"/>
      <w:r>
        <w:rPr>
          <w:sz w:val="16"/>
        </w:rPr>
        <w:t>Krsticevic</w:t>
      </w:r>
      <w:proofErr w:type="spellEnd"/>
      <w:r>
        <w:rPr>
          <w:sz w:val="16"/>
        </w:rPr>
        <w:t xml:space="preserve">, </w:t>
      </w:r>
      <w:proofErr w:type="spellStart"/>
      <w:r>
        <w:rPr>
          <w:sz w:val="16"/>
        </w:rPr>
        <w:t>Ariela</w:t>
      </w:r>
      <w:proofErr w:type="spellEnd"/>
      <w:r>
        <w:rPr>
          <w:sz w:val="16"/>
        </w:rPr>
        <w:t xml:space="preserve"> Peralta, Alejandra Vicente, Tara </w:t>
      </w:r>
      <w:proofErr w:type="spellStart"/>
      <w:r>
        <w:rPr>
          <w:sz w:val="16"/>
        </w:rPr>
        <w:t>Melish</w:t>
      </w:r>
      <w:proofErr w:type="spellEnd"/>
      <w:r>
        <w:rPr>
          <w:sz w:val="16"/>
        </w:rPr>
        <w:t xml:space="preserve"> y Francisco Quintana, del Centro por la Justicia y el Derec</w:t>
      </w:r>
      <w:r>
        <w:rPr>
          <w:sz w:val="16"/>
        </w:rPr>
        <w:t>ho Internacional</w:t>
      </w:r>
      <w:r>
        <w:rPr>
          <w:spacing w:val="-7"/>
          <w:sz w:val="16"/>
        </w:rPr>
        <w:t xml:space="preserve"> </w:t>
      </w:r>
      <w:r>
        <w:rPr>
          <w:sz w:val="16"/>
        </w:rPr>
        <w:t>(CEJIL).</w:t>
      </w:r>
    </w:p>
    <w:p w:rsidR="00E444C6" w:rsidRDefault="00FF1014">
      <w:pPr>
        <w:tabs>
          <w:tab w:val="left" w:pos="831"/>
        </w:tabs>
        <w:spacing w:before="110"/>
        <w:ind w:left="111" w:right="106"/>
        <w:jc w:val="both"/>
        <w:rPr>
          <w:sz w:val="16"/>
        </w:rPr>
      </w:pPr>
      <w:r>
        <w:rPr>
          <w:position w:val="7"/>
          <w:sz w:val="10"/>
        </w:rPr>
        <w:t>2</w:t>
      </w:r>
      <w:r>
        <w:rPr>
          <w:position w:val="7"/>
          <w:sz w:val="10"/>
        </w:rPr>
        <w:tab/>
      </w:r>
      <w:r>
        <w:rPr>
          <w:sz w:val="16"/>
        </w:rPr>
        <w:t xml:space="preserve">Comparecieron, por la Comisión Interamericana: las señoras Luz Patricia Mejía, Comisionada, y Karla I. Quintana Osuna, asesora; por los representantes de las presuntas víctimas: José María </w:t>
      </w:r>
      <w:proofErr w:type="spellStart"/>
      <w:r>
        <w:rPr>
          <w:sz w:val="16"/>
        </w:rPr>
        <w:t>Gualinga</w:t>
      </w:r>
      <w:proofErr w:type="spellEnd"/>
      <w:r>
        <w:rPr>
          <w:sz w:val="16"/>
        </w:rPr>
        <w:t xml:space="preserve"> Montalvo, Mario Melo, y Vivian</w:t>
      </w:r>
      <w:r>
        <w:rPr>
          <w:sz w:val="16"/>
        </w:rPr>
        <w:t xml:space="preserve">a </w:t>
      </w:r>
      <w:proofErr w:type="spellStart"/>
      <w:r>
        <w:rPr>
          <w:sz w:val="16"/>
        </w:rPr>
        <w:t>Kristicevic</w:t>
      </w:r>
      <w:proofErr w:type="spellEnd"/>
      <w:r>
        <w:rPr>
          <w:sz w:val="16"/>
        </w:rPr>
        <w:t xml:space="preserve"> y Gisela de León, de CEJIL; y por el Estado del Ecuador: Erick Roberts Garcés, Agente, Alonso Fonseca Garcés, Agente Alterno, Dolores Miño Buitrón, María del Cisne Ojeda y Coronel Rodrigo Braganza, asesores. Asimismo, estuvieron presentes los</w:t>
      </w:r>
      <w:r>
        <w:rPr>
          <w:sz w:val="16"/>
        </w:rPr>
        <w:t xml:space="preserve"> siguientes miembros del Pueblo Indígena </w:t>
      </w:r>
      <w:proofErr w:type="spellStart"/>
      <w:r>
        <w:rPr>
          <w:sz w:val="16"/>
        </w:rPr>
        <w:t>Kichwa</w:t>
      </w:r>
      <w:proofErr w:type="spellEnd"/>
      <w:r>
        <w:rPr>
          <w:sz w:val="16"/>
        </w:rPr>
        <w:t xml:space="preserve"> de </w:t>
      </w:r>
      <w:proofErr w:type="spellStart"/>
      <w:r>
        <w:rPr>
          <w:sz w:val="16"/>
        </w:rPr>
        <w:t>Sarayaku</w:t>
      </w:r>
      <w:proofErr w:type="spellEnd"/>
      <w:r>
        <w:rPr>
          <w:sz w:val="16"/>
        </w:rPr>
        <w:t xml:space="preserve">: </w:t>
      </w:r>
      <w:proofErr w:type="spellStart"/>
      <w:r>
        <w:rPr>
          <w:sz w:val="16"/>
        </w:rPr>
        <w:t>Eriberto</w:t>
      </w:r>
      <w:proofErr w:type="spellEnd"/>
      <w:r>
        <w:rPr>
          <w:sz w:val="16"/>
        </w:rPr>
        <w:t xml:space="preserve"> Benedicto </w:t>
      </w:r>
      <w:proofErr w:type="spellStart"/>
      <w:r>
        <w:rPr>
          <w:sz w:val="16"/>
        </w:rPr>
        <w:t>Gualinga</w:t>
      </w:r>
      <w:proofErr w:type="spellEnd"/>
      <w:r>
        <w:rPr>
          <w:spacing w:val="13"/>
          <w:sz w:val="16"/>
        </w:rPr>
        <w:t xml:space="preserve"> </w:t>
      </w:r>
      <w:r>
        <w:rPr>
          <w:sz w:val="16"/>
        </w:rPr>
        <w:t>Montalvo,</w:t>
      </w:r>
      <w:r>
        <w:rPr>
          <w:spacing w:val="13"/>
          <w:sz w:val="16"/>
        </w:rPr>
        <w:t xml:space="preserve"> </w:t>
      </w:r>
      <w:r>
        <w:rPr>
          <w:sz w:val="16"/>
        </w:rPr>
        <w:t>Franco</w:t>
      </w:r>
      <w:r>
        <w:rPr>
          <w:spacing w:val="14"/>
          <w:sz w:val="16"/>
        </w:rPr>
        <w:t xml:space="preserve"> </w:t>
      </w:r>
      <w:r>
        <w:rPr>
          <w:sz w:val="16"/>
        </w:rPr>
        <w:t>Tulio</w:t>
      </w:r>
      <w:r>
        <w:rPr>
          <w:spacing w:val="15"/>
          <w:sz w:val="16"/>
        </w:rPr>
        <w:t xml:space="preserve"> </w:t>
      </w:r>
      <w:r>
        <w:rPr>
          <w:sz w:val="16"/>
        </w:rPr>
        <w:t>Viteri</w:t>
      </w:r>
      <w:r>
        <w:rPr>
          <w:spacing w:val="12"/>
          <w:sz w:val="16"/>
        </w:rPr>
        <w:t xml:space="preserve"> </w:t>
      </w:r>
      <w:proofErr w:type="spellStart"/>
      <w:r>
        <w:rPr>
          <w:sz w:val="16"/>
        </w:rPr>
        <w:t>Gualinga</w:t>
      </w:r>
      <w:proofErr w:type="spellEnd"/>
      <w:r>
        <w:rPr>
          <w:sz w:val="16"/>
        </w:rPr>
        <w:t>,</w:t>
      </w:r>
      <w:r>
        <w:rPr>
          <w:spacing w:val="13"/>
          <w:sz w:val="16"/>
        </w:rPr>
        <w:t xml:space="preserve"> </w:t>
      </w:r>
      <w:r>
        <w:rPr>
          <w:sz w:val="16"/>
        </w:rPr>
        <w:t>Hernán</w:t>
      </w:r>
      <w:r>
        <w:rPr>
          <w:spacing w:val="12"/>
          <w:sz w:val="16"/>
        </w:rPr>
        <w:t xml:space="preserve"> </w:t>
      </w:r>
      <w:proofErr w:type="spellStart"/>
      <w:r>
        <w:rPr>
          <w:sz w:val="16"/>
        </w:rPr>
        <w:t>Malaver</w:t>
      </w:r>
      <w:proofErr w:type="spellEnd"/>
      <w:r>
        <w:rPr>
          <w:sz w:val="16"/>
        </w:rPr>
        <w:t>,</w:t>
      </w:r>
      <w:r>
        <w:rPr>
          <w:spacing w:val="13"/>
          <w:sz w:val="16"/>
        </w:rPr>
        <w:t xml:space="preserve"> </w:t>
      </w:r>
      <w:r>
        <w:rPr>
          <w:sz w:val="16"/>
        </w:rPr>
        <w:t>Jorge</w:t>
      </w:r>
      <w:r>
        <w:rPr>
          <w:spacing w:val="11"/>
          <w:sz w:val="16"/>
        </w:rPr>
        <w:t xml:space="preserve"> </w:t>
      </w:r>
      <w:proofErr w:type="spellStart"/>
      <w:r>
        <w:rPr>
          <w:sz w:val="16"/>
        </w:rPr>
        <w:t>Malaver</w:t>
      </w:r>
      <w:proofErr w:type="spellEnd"/>
      <w:r>
        <w:rPr>
          <w:sz w:val="16"/>
        </w:rPr>
        <w:t>,</w:t>
      </w:r>
      <w:r>
        <w:rPr>
          <w:spacing w:val="11"/>
          <w:sz w:val="16"/>
        </w:rPr>
        <w:t xml:space="preserve"> </w:t>
      </w:r>
      <w:r>
        <w:rPr>
          <w:sz w:val="16"/>
        </w:rPr>
        <w:t>Sandra</w:t>
      </w:r>
      <w:r>
        <w:rPr>
          <w:spacing w:val="13"/>
          <w:sz w:val="16"/>
        </w:rPr>
        <w:t xml:space="preserve"> </w:t>
      </w:r>
      <w:proofErr w:type="spellStart"/>
      <w:r>
        <w:rPr>
          <w:sz w:val="16"/>
        </w:rPr>
        <w:t>Gualinga</w:t>
      </w:r>
      <w:proofErr w:type="spellEnd"/>
      <w:r>
        <w:rPr>
          <w:sz w:val="16"/>
        </w:rPr>
        <w:t>,</w:t>
      </w:r>
      <w:r>
        <w:rPr>
          <w:spacing w:val="13"/>
          <w:sz w:val="16"/>
        </w:rPr>
        <w:t xml:space="preserve"> </w:t>
      </w:r>
      <w:proofErr w:type="spellStart"/>
      <w:r>
        <w:rPr>
          <w:sz w:val="16"/>
        </w:rPr>
        <w:t>Bolivar</w:t>
      </w:r>
      <w:proofErr w:type="spellEnd"/>
      <w:r>
        <w:rPr>
          <w:spacing w:val="14"/>
          <w:sz w:val="16"/>
        </w:rPr>
        <w:t xml:space="preserve"> </w:t>
      </w:r>
      <w:r>
        <w:rPr>
          <w:sz w:val="16"/>
        </w:rPr>
        <w:t>Luis</w:t>
      </w:r>
      <w:r>
        <w:rPr>
          <w:spacing w:val="12"/>
          <w:sz w:val="16"/>
        </w:rPr>
        <w:t xml:space="preserve"> </w:t>
      </w:r>
      <w:proofErr w:type="spellStart"/>
      <w:r>
        <w:rPr>
          <w:sz w:val="16"/>
        </w:rPr>
        <w:t>Dahua</w:t>
      </w:r>
      <w:proofErr w:type="spellEnd"/>
    </w:p>
    <w:p w:rsidR="00E444C6" w:rsidRDefault="00E444C6">
      <w:pPr>
        <w:jc w:val="both"/>
        <w:rPr>
          <w:sz w:val="16"/>
        </w:rPr>
        <w:sectPr w:rsidR="00E444C6">
          <w:type w:val="continuous"/>
          <w:pgSz w:w="12240" w:h="15840"/>
          <w:pgMar w:top="1500" w:right="1240" w:bottom="280" w:left="1060" w:header="720" w:footer="720" w:gutter="0"/>
          <w:cols w:space="720"/>
        </w:sectPr>
      </w:pPr>
    </w:p>
    <w:p w:rsidR="00E444C6" w:rsidRDefault="00FF1014">
      <w:pPr>
        <w:pStyle w:val="BodyText"/>
        <w:spacing w:before="89"/>
        <w:ind w:left="111" w:right="110"/>
        <w:jc w:val="both"/>
      </w:pPr>
      <w:proofErr w:type="gramStart"/>
      <w:r>
        <w:lastRenderedPageBreak/>
        <w:t>solicitó</w:t>
      </w:r>
      <w:proofErr w:type="gramEnd"/>
      <w:r>
        <w:t xml:space="preserve"> a la Corte que “designe un peritaje” ac</w:t>
      </w:r>
      <w:r>
        <w:t xml:space="preserve">erca del retiro de explosivos en el territorio </w:t>
      </w:r>
      <w:proofErr w:type="spellStart"/>
      <w:r>
        <w:t>Sarayaku</w:t>
      </w:r>
      <w:proofErr w:type="spellEnd"/>
      <w:r>
        <w:t xml:space="preserve"> e invitó al Tribunal a realizar una “visita de campo” a las comunidades del Río </w:t>
      </w:r>
      <w:proofErr w:type="spellStart"/>
      <w:r>
        <w:t>Bobonaza</w:t>
      </w:r>
      <w:proofErr w:type="spellEnd"/>
      <w:r>
        <w:t xml:space="preserve">, entre las cuales se encuentra el Pueblo </w:t>
      </w:r>
      <w:proofErr w:type="spellStart"/>
      <w:r>
        <w:t>Kichwa</w:t>
      </w:r>
      <w:proofErr w:type="spellEnd"/>
      <w:r>
        <w:t xml:space="preserve"> de </w:t>
      </w:r>
      <w:proofErr w:type="spellStart"/>
      <w:r>
        <w:t>Sarayaku</w:t>
      </w:r>
      <w:proofErr w:type="spellEnd"/>
      <w:r>
        <w:t>.</w:t>
      </w:r>
    </w:p>
    <w:p w:rsidR="00E444C6" w:rsidRDefault="00FF1014">
      <w:pPr>
        <w:pStyle w:val="ListParagraph"/>
        <w:numPr>
          <w:ilvl w:val="0"/>
          <w:numId w:val="3"/>
        </w:numPr>
        <w:tabs>
          <w:tab w:val="left" w:pos="832"/>
        </w:tabs>
        <w:ind w:right="107" w:firstLine="0"/>
        <w:jc w:val="both"/>
        <w:rPr>
          <w:sz w:val="20"/>
        </w:rPr>
      </w:pPr>
      <w:r>
        <w:rPr>
          <w:sz w:val="20"/>
        </w:rPr>
        <w:t>El escrito de 18 de julio de 2011, mediante el cual los representantes se opusieron a la referida solicitud de designación de un peritaje, realizada por el Estado durante la</w:t>
      </w:r>
      <w:r>
        <w:rPr>
          <w:spacing w:val="-19"/>
          <w:sz w:val="20"/>
        </w:rPr>
        <w:t xml:space="preserve"> </w:t>
      </w:r>
      <w:r>
        <w:rPr>
          <w:sz w:val="20"/>
        </w:rPr>
        <w:t>audiencia.</w:t>
      </w:r>
    </w:p>
    <w:p w:rsidR="00E444C6" w:rsidRDefault="00FF1014">
      <w:pPr>
        <w:pStyle w:val="ListParagraph"/>
        <w:numPr>
          <w:ilvl w:val="0"/>
          <w:numId w:val="3"/>
        </w:numPr>
        <w:tabs>
          <w:tab w:val="left" w:pos="832"/>
        </w:tabs>
        <w:ind w:right="102" w:firstLine="0"/>
        <w:jc w:val="both"/>
        <w:rPr>
          <w:sz w:val="20"/>
        </w:rPr>
      </w:pPr>
      <w:r>
        <w:rPr>
          <w:sz w:val="20"/>
        </w:rPr>
        <w:t xml:space="preserve">El escrito de 5 de agosto de 2011 y sus anexos, mediante los cuales el </w:t>
      </w:r>
      <w:r>
        <w:rPr>
          <w:sz w:val="20"/>
        </w:rPr>
        <w:t>Estado remitió sus alegatos finales</w:t>
      </w:r>
      <w:r>
        <w:rPr>
          <w:spacing w:val="-3"/>
          <w:sz w:val="20"/>
        </w:rPr>
        <w:t xml:space="preserve"> </w:t>
      </w:r>
      <w:r>
        <w:rPr>
          <w:sz w:val="20"/>
        </w:rPr>
        <w:t>escritos.</w:t>
      </w:r>
    </w:p>
    <w:p w:rsidR="00E444C6" w:rsidRDefault="00FF1014">
      <w:pPr>
        <w:pStyle w:val="ListParagraph"/>
        <w:numPr>
          <w:ilvl w:val="0"/>
          <w:numId w:val="3"/>
        </w:numPr>
        <w:tabs>
          <w:tab w:val="left" w:pos="832"/>
        </w:tabs>
        <w:spacing w:before="118"/>
        <w:ind w:right="114" w:firstLine="0"/>
        <w:jc w:val="both"/>
        <w:rPr>
          <w:sz w:val="20"/>
        </w:rPr>
      </w:pPr>
      <w:r>
        <w:rPr>
          <w:sz w:val="20"/>
        </w:rPr>
        <w:t>El escrito de 8 de agosto de 2011 y sus anexos, mediante los cuales los representantes presentaron sus alegatos finales</w:t>
      </w:r>
      <w:r>
        <w:rPr>
          <w:spacing w:val="-6"/>
          <w:sz w:val="20"/>
        </w:rPr>
        <w:t xml:space="preserve"> </w:t>
      </w:r>
      <w:r>
        <w:rPr>
          <w:sz w:val="20"/>
        </w:rPr>
        <w:t>escritos.</w:t>
      </w:r>
    </w:p>
    <w:p w:rsidR="00E444C6" w:rsidRDefault="00FF1014">
      <w:pPr>
        <w:pStyle w:val="ListParagraph"/>
        <w:numPr>
          <w:ilvl w:val="0"/>
          <w:numId w:val="3"/>
        </w:numPr>
        <w:tabs>
          <w:tab w:val="left" w:pos="832"/>
        </w:tabs>
        <w:ind w:right="114" w:firstLine="0"/>
        <w:jc w:val="both"/>
        <w:rPr>
          <w:sz w:val="20"/>
        </w:rPr>
      </w:pPr>
      <w:r>
        <w:rPr>
          <w:sz w:val="20"/>
        </w:rPr>
        <w:t>El escrito de 8 de agosto de 2011, mediante el cual la Comisión remitió sus obse</w:t>
      </w:r>
      <w:r>
        <w:rPr>
          <w:sz w:val="20"/>
        </w:rPr>
        <w:t>rvaciones finales</w:t>
      </w:r>
      <w:r>
        <w:rPr>
          <w:spacing w:val="-2"/>
          <w:sz w:val="20"/>
        </w:rPr>
        <w:t xml:space="preserve"> </w:t>
      </w:r>
      <w:r>
        <w:rPr>
          <w:sz w:val="20"/>
        </w:rPr>
        <w:t>escritas.</w:t>
      </w:r>
    </w:p>
    <w:p w:rsidR="00E444C6" w:rsidRDefault="00FF1014">
      <w:pPr>
        <w:pStyle w:val="ListParagraph"/>
        <w:numPr>
          <w:ilvl w:val="0"/>
          <w:numId w:val="3"/>
        </w:numPr>
        <w:tabs>
          <w:tab w:val="left" w:pos="832"/>
        </w:tabs>
        <w:spacing w:before="119"/>
        <w:ind w:right="103" w:firstLine="0"/>
        <w:jc w:val="both"/>
        <w:rPr>
          <w:sz w:val="20"/>
        </w:rPr>
      </w:pPr>
      <w:r>
        <w:rPr>
          <w:sz w:val="20"/>
        </w:rPr>
        <w:t xml:space="preserve">La nota de 19 de agosto de 2011, mediante la cual la Secretaría señaló que tomaba nota de lo solicitado por el Estado para que la Corte “efectúe una visita de campo a las Comunidades del Río </w:t>
      </w:r>
      <w:proofErr w:type="spellStart"/>
      <w:r>
        <w:rPr>
          <w:sz w:val="20"/>
        </w:rPr>
        <w:t>Bobonaza</w:t>
      </w:r>
      <w:proofErr w:type="spellEnd"/>
      <w:r>
        <w:rPr>
          <w:sz w:val="20"/>
        </w:rPr>
        <w:t xml:space="preserve"> para que pueda reconocer en </w:t>
      </w:r>
      <w:r>
        <w:rPr>
          <w:sz w:val="20"/>
        </w:rPr>
        <w:t xml:space="preserve">el terreno las complejidades jurídicas y socio- ambientales del caso materia de esta </w:t>
      </w:r>
      <w:proofErr w:type="spellStart"/>
      <w:r>
        <w:rPr>
          <w:i/>
          <w:sz w:val="20"/>
        </w:rPr>
        <w:t>litis</w:t>
      </w:r>
      <w:proofErr w:type="spellEnd"/>
      <w:r>
        <w:rPr>
          <w:sz w:val="20"/>
        </w:rPr>
        <w:t>”, así como la reiteración de lo solicitado durante la audiencia pública, para que el Tribunal “designe un perito internacional para que evalúe y proponga una solució</w:t>
      </w:r>
      <w:r>
        <w:rPr>
          <w:sz w:val="20"/>
        </w:rPr>
        <w:t xml:space="preserve">n técnica y metodológica alrededor del asunto de la </w:t>
      </w:r>
      <w:proofErr w:type="spellStart"/>
      <w:r>
        <w:rPr>
          <w:sz w:val="20"/>
        </w:rPr>
        <w:t>pentolita</w:t>
      </w:r>
      <w:proofErr w:type="spellEnd"/>
      <w:r>
        <w:rPr>
          <w:sz w:val="20"/>
        </w:rPr>
        <w:t xml:space="preserve"> en el territorio del Pueblo Indígena </w:t>
      </w:r>
      <w:proofErr w:type="spellStart"/>
      <w:r>
        <w:rPr>
          <w:sz w:val="20"/>
        </w:rPr>
        <w:t>Sarayaku</w:t>
      </w:r>
      <w:proofErr w:type="spellEnd"/>
      <w:r>
        <w:rPr>
          <w:sz w:val="20"/>
        </w:rPr>
        <w:t xml:space="preserve">”. Además, la Secretaría informó, siguiendo  instrucciones del Presidente, “que tales solicitudes </w:t>
      </w:r>
      <w:proofErr w:type="gramStart"/>
      <w:r>
        <w:rPr>
          <w:sz w:val="20"/>
        </w:rPr>
        <w:t>ser[</w:t>
      </w:r>
      <w:proofErr w:type="spellStart"/>
      <w:proofErr w:type="gramEnd"/>
      <w:r>
        <w:rPr>
          <w:sz w:val="20"/>
        </w:rPr>
        <w:t>ían</w:t>
      </w:r>
      <w:proofErr w:type="spellEnd"/>
      <w:r>
        <w:rPr>
          <w:sz w:val="20"/>
        </w:rPr>
        <w:t>] oportunamente puestas en consideración del</w:t>
      </w:r>
      <w:r>
        <w:rPr>
          <w:sz w:val="20"/>
        </w:rPr>
        <w:t xml:space="preserve"> pleno del</w:t>
      </w:r>
      <w:r>
        <w:rPr>
          <w:spacing w:val="1"/>
          <w:sz w:val="20"/>
        </w:rPr>
        <w:t xml:space="preserve"> </w:t>
      </w:r>
      <w:r>
        <w:rPr>
          <w:sz w:val="20"/>
        </w:rPr>
        <w:t>Tribunal”.</w:t>
      </w:r>
    </w:p>
    <w:p w:rsidR="00E444C6" w:rsidRDefault="00FF1014">
      <w:pPr>
        <w:pStyle w:val="ListParagraph"/>
        <w:numPr>
          <w:ilvl w:val="0"/>
          <w:numId w:val="3"/>
        </w:numPr>
        <w:tabs>
          <w:tab w:val="left" w:pos="832"/>
        </w:tabs>
        <w:spacing w:before="122"/>
        <w:ind w:right="107" w:firstLine="0"/>
        <w:jc w:val="both"/>
        <w:rPr>
          <w:sz w:val="20"/>
        </w:rPr>
      </w:pPr>
      <w:r>
        <w:rPr>
          <w:sz w:val="20"/>
        </w:rPr>
        <w:t xml:space="preserve">El escrito de 24 de agosto de 2011, mediante el cual la Comisión manifestó, respecto de la invitación del Estado para que la Corte realice una visita de campo a las Comunidades del Río </w:t>
      </w:r>
      <w:proofErr w:type="spellStart"/>
      <w:r>
        <w:rPr>
          <w:sz w:val="20"/>
        </w:rPr>
        <w:t>Bobonaza</w:t>
      </w:r>
      <w:proofErr w:type="spellEnd"/>
      <w:r>
        <w:rPr>
          <w:sz w:val="20"/>
        </w:rPr>
        <w:t>, que era “facultad de la Corte decidir r</w:t>
      </w:r>
      <w:r>
        <w:rPr>
          <w:sz w:val="20"/>
        </w:rPr>
        <w:t>especto de dicha invitación, razón por la cual [no tenía] observaciones sobre el</w:t>
      </w:r>
      <w:r>
        <w:rPr>
          <w:spacing w:val="-3"/>
          <w:sz w:val="20"/>
        </w:rPr>
        <w:t xml:space="preserve"> </w:t>
      </w:r>
      <w:r>
        <w:rPr>
          <w:sz w:val="20"/>
        </w:rPr>
        <w:t>particular”.</w:t>
      </w:r>
    </w:p>
    <w:p w:rsidR="00E444C6" w:rsidRDefault="00FF1014">
      <w:pPr>
        <w:pStyle w:val="ListParagraph"/>
        <w:numPr>
          <w:ilvl w:val="0"/>
          <w:numId w:val="3"/>
        </w:numPr>
        <w:tabs>
          <w:tab w:val="left" w:pos="832"/>
        </w:tabs>
        <w:spacing w:before="120"/>
        <w:ind w:right="114" w:firstLine="0"/>
        <w:jc w:val="both"/>
        <w:rPr>
          <w:sz w:val="20"/>
        </w:rPr>
      </w:pPr>
      <w:r>
        <w:rPr>
          <w:sz w:val="20"/>
        </w:rPr>
        <w:t>El escrito de 1 de septiembre de 2011, mediante el cual el Estado “solicitó una vez más a la […] Corte [que] efectúe una visita de campo a las Comunidades del Río</w:t>
      </w:r>
      <w:r>
        <w:rPr>
          <w:spacing w:val="-26"/>
          <w:sz w:val="20"/>
        </w:rPr>
        <w:t xml:space="preserve"> </w:t>
      </w:r>
      <w:proofErr w:type="spellStart"/>
      <w:r>
        <w:rPr>
          <w:sz w:val="20"/>
        </w:rPr>
        <w:t>Bobonaza</w:t>
      </w:r>
      <w:proofErr w:type="spellEnd"/>
      <w:r>
        <w:rPr>
          <w:sz w:val="20"/>
        </w:rPr>
        <w:t>”.</w:t>
      </w:r>
    </w:p>
    <w:p w:rsidR="00E444C6" w:rsidRDefault="00FF1014">
      <w:pPr>
        <w:pStyle w:val="ListParagraph"/>
        <w:numPr>
          <w:ilvl w:val="0"/>
          <w:numId w:val="3"/>
        </w:numPr>
        <w:tabs>
          <w:tab w:val="left" w:pos="832"/>
        </w:tabs>
        <w:ind w:firstLine="0"/>
        <w:jc w:val="both"/>
        <w:rPr>
          <w:sz w:val="20"/>
        </w:rPr>
      </w:pPr>
      <w:r>
        <w:rPr>
          <w:sz w:val="20"/>
        </w:rPr>
        <w:t>La comunicación de 28 de septiembre de 2011, mediante la cual el señor Ministro de Relaciones Exteriores, Comercio e Integración del Ecuador remitió una carta de 20 de septiembre de 2011 suscrita por el Presidente Constitucional del Ecuador, señor Rafael C</w:t>
      </w:r>
      <w:r>
        <w:rPr>
          <w:sz w:val="20"/>
        </w:rPr>
        <w:t>orrea Delgado, en la cual se dirigió al Presidente de la Corte para “ratificar y formalizar la invitación hecha por los agentes del Estado en las audiencias celebradas en San José de Costa Rica los días 6 y 7 de julio de 2011, [para] que la Corte Interamer</w:t>
      </w:r>
      <w:r>
        <w:rPr>
          <w:sz w:val="20"/>
        </w:rPr>
        <w:t>icana efectúe una visita oficial [a su país]”.</w:t>
      </w:r>
    </w:p>
    <w:p w:rsidR="00E444C6" w:rsidRDefault="00FF1014">
      <w:pPr>
        <w:pStyle w:val="ListParagraph"/>
        <w:numPr>
          <w:ilvl w:val="0"/>
          <w:numId w:val="3"/>
        </w:numPr>
        <w:tabs>
          <w:tab w:val="left" w:pos="832"/>
        </w:tabs>
        <w:spacing w:before="120"/>
        <w:ind w:firstLine="0"/>
        <w:jc w:val="both"/>
        <w:rPr>
          <w:sz w:val="20"/>
        </w:rPr>
      </w:pPr>
      <w:r>
        <w:rPr>
          <w:sz w:val="20"/>
        </w:rPr>
        <w:t>La nota de 11 de octubre de 2011, mediante la cual la Secretaría informó que la Corte había dispuesto que “las referidas comunicaciones sean transmitidas a los representantes y a la Comisión, indicándoles que, en caso de tener observaciones o comentarios r</w:t>
      </w:r>
      <w:r>
        <w:rPr>
          <w:sz w:val="20"/>
        </w:rPr>
        <w:t xml:space="preserve">especto de ese aspecto de la comunicación firmada por el Presidente de la República del Ecuador, los </w:t>
      </w:r>
      <w:proofErr w:type="spellStart"/>
      <w:proofErr w:type="gramStart"/>
      <w:r>
        <w:rPr>
          <w:sz w:val="20"/>
        </w:rPr>
        <w:t>remit</w:t>
      </w:r>
      <w:proofErr w:type="spellEnd"/>
      <w:r>
        <w:rPr>
          <w:sz w:val="20"/>
        </w:rPr>
        <w:t>[</w:t>
      </w:r>
      <w:proofErr w:type="spellStart"/>
      <w:proofErr w:type="gramEnd"/>
      <w:r>
        <w:rPr>
          <w:sz w:val="20"/>
        </w:rPr>
        <w:t>ier</w:t>
      </w:r>
      <w:proofErr w:type="spellEnd"/>
      <w:r>
        <w:rPr>
          <w:sz w:val="20"/>
        </w:rPr>
        <w:t>]</w:t>
      </w:r>
      <w:proofErr w:type="spellStart"/>
      <w:r>
        <w:rPr>
          <w:sz w:val="20"/>
        </w:rPr>
        <w:t>an</w:t>
      </w:r>
      <w:proofErr w:type="spellEnd"/>
      <w:r>
        <w:rPr>
          <w:sz w:val="20"/>
        </w:rPr>
        <w:t xml:space="preserve"> a más tardar el 18 de octubre de</w:t>
      </w:r>
      <w:r>
        <w:rPr>
          <w:spacing w:val="-7"/>
          <w:sz w:val="20"/>
        </w:rPr>
        <w:t xml:space="preserve"> </w:t>
      </w:r>
      <w:r>
        <w:rPr>
          <w:sz w:val="20"/>
        </w:rPr>
        <w:t>2011”.</w:t>
      </w:r>
    </w:p>
    <w:p w:rsidR="00E444C6" w:rsidRDefault="00FF1014">
      <w:pPr>
        <w:pStyle w:val="ListParagraph"/>
        <w:numPr>
          <w:ilvl w:val="0"/>
          <w:numId w:val="3"/>
        </w:numPr>
        <w:tabs>
          <w:tab w:val="left" w:pos="832"/>
        </w:tabs>
        <w:spacing w:before="119"/>
        <w:ind w:right="116" w:firstLine="0"/>
        <w:jc w:val="both"/>
        <w:rPr>
          <w:sz w:val="20"/>
        </w:rPr>
      </w:pPr>
      <w:r>
        <w:rPr>
          <w:sz w:val="20"/>
        </w:rPr>
        <w:t xml:space="preserve">El escrito de 18 de octubre de 2011, mediante el cual los representantes remitieron sus observaciones </w:t>
      </w:r>
      <w:r>
        <w:rPr>
          <w:sz w:val="20"/>
        </w:rPr>
        <w:t>a la referida</w:t>
      </w:r>
      <w:r>
        <w:rPr>
          <w:spacing w:val="-4"/>
          <w:sz w:val="20"/>
        </w:rPr>
        <w:t xml:space="preserve"> </w:t>
      </w:r>
      <w:r>
        <w:rPr>
          <w:sz w:val="20"/>
        </w:rPr>
        <w:t>invitación.</w:t>
      </w:r>
    </w:p>
    <w:p w:rsidR="00E444C6" w:rsidRDefault="00FF1014">
      <w:pPr>
        <w:pStyle w:val="ListParagraph"/>
        <w:numPr>
          <w:ilvl w:val="0"/>
          <w:numId w:val="3"/>
        </w:numPr>
        <w:tabs>
          <w:tab w:val="left" w:pos="832"/>
        </w:tabs>
        <w:spacing w:before="122"/>
        <w:ind w:right="115" w:firstLine="0"/>
        <w:jc w:val="both"/>
        <w:rPr>
          <w:sz w:val="20"/>
        </w:rPr>
      </w:pPr>
      <w:r>
        <w:rPr>
          <w:sz w:val="20"/>
        </w:rPr>
        <w:t>El escrito de 20 de octubre de 2011, mediante el cual la Comisión presentó sus observaciones a la referida</w:t>
      </w:r>
      <w:r>
        <w:rPr>
          <w:spacing w:val="-3"/>
          <w:sz w:val="20"/>
        </w:rPr>
        <w:t xml:space="preserve"> </w:t>
      </w:r>
      <w:r>
        <w:rPr>
          <w:sz w:val="20"/>
        </w:rPr>
        <w:t>invitación.</w:t>
      </w:r>
    </w:p>
    <w:p w:rsidR="00E444C6" w:rsidRDefault="00E444C6">
      <w:pPr>
        <w:pStyle w:val="BodyText"/>
      </w:pPr>
    </w:p>
    <w:p w:rsidR="00E444C6" w:rsidRDefault="00E444C6">
      <w:pPr>
        <w:pStyle w:val="BodyText"/>
      </w:pPr>
    </w:p>
    <w:p w:rsidR="00E444C6" w:rsidRDefault="00932AF5">
      <w:pPr>
        <w:pStyle w:val="BodyText"/>
        <w:spacing w:before="6"/>
        <w:rPr>
          <w:sz w:val="13"/>
        </w:rPr>
      </w:pPr>
      <w:r>
        <w:rPr>
          <w:noProof/>
          <w:lang w:val="en-US" w:eastAsia="en-US" w:bidi="ar-SA"/>
        </w:rPr>
        <mc:AlternateContent>
          <mc:Choice Requires="wps">
            <w:drawing>
              <wp:anchor distT="0" distB="0" distL="0" distR="0" simplePos="0" relativeHeight="251657216" behindDoc="1" locked="0" layoutInCell="1" allowOverlap="1">
                <wp:simplePos x="0" y="0"/>
                <wp:positionH relativeFrom="page">
                  <wp:posOffset>743585</wp:posOffset>
                </wp:positionH>
                <wp:positionV relativeFrom="paragraph">
                  <wp:posOffset>133350</wp:posOffset>
                </wp:positionV>
                <wp:extent cx="6173470" cy="0"/>
                <wp:effectExtent l="10160" t="9525" r="7620" b="95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0.5pt" to="54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KdHAIAAEEEAAAOAAAAZHJzL2Uyb0RvYy54bWysU8GO2yAQvVfqPyDuie2s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" strokeweight=".6pt">
                <w10:wrap type="topAndBottom" anchorx="page"/>
              </v:line>
            </w:pict>
          </mc:Fallback>
        </mc:AlternateContent>
      </w:r>
    </w:p>
    <w:p w:rsidR="00E444C6" w:rsidRDefault="00FF1014">
      <w:pPr>
        <w:spacing w:before="83"/>
        <w:ind w:left="111" w:right="137"/>
        <w:rPr>
          <w:sz w:val="16"/>
        </w:rPr>
      </w:pPr>
      <w:proofErr w:type="spellStart"/>
      <w:r>
        <w:rPr>
          <w:sz w:val="16"/>
        </w:rPr>
        <w:t>Imunda</w:t>
      </w:r>
      <w:proofErr w:type="spellEnd"/>
      <w:r>
        <w:rPr>
          <w:sz w:val="16"/>
        </w:rPr>
        <w:t xml:space="preserve">, Sabine </w:t>
      </w:r>
      <w:proofErr w:type="spellStart"/>
      <w:r>
        <w:rPr>
          <w:sz w:val="16"/>
        </w:rPr>
        <w:t>Bouchat</w:t>
      </w:r>
      <w:proofErr w:type="spellEnd"/>
      <w:r>
        <w:rPr>
          <w:sz w:val="16"/>
        </w:rPr>
        <w:t xml:space="preserve">, Catalina Santi </w:t>
      </w:r>
      <w:proofErr w:type="spellStart"/>
      <w:r>
        <w:rPr>
          <w:sz w:val="16"/>
        </w:rPr>
        <w:t>Gualinga</w:t>
      </w:r>
      <w:proofErr w:type="spellEnd"/>
      <w:r>
        <w:rPr>
          <w:sz w:val="16"/>
        </w:rPr>
        <w:t xml:space="preserve">, Carlos Wilfrido Carrasco Castro, </w:t>
      </w:r>
      <w:proofErr w:type="spellStart"/>
      <w:r>
        <w:rPr>
          <w:sz w:val="16"/>
        </w:rPr>
        <w:t>Clever</w:t>
      </w:r>
      <w:proofErr w:type="spellEnd"/>
      <w:r>
        <w:rPr>
          <w:sz w:val="16"/>
        </w:rPr>
        <w:t xml:space="preserve"> </w:t>
      </w:r>
      <w:proofErr w:type="spellStart"/>
      <w:r>
        <w:rPr>
          <w:sz w:val="16"/>
        </w:rPr>
        <w:t>Fransisco</w:t>
      </w:r>
      <w:proofErr w:type="spellEnd"/>
      <w:r>
        <w:rPr>
          <w:sz w:val="16"/>
        </w:rPr>
        <w:t xml:space="preserve"> </w:t>
      </w:r>
      <w:proofErr w:type="spellStart"/>
      <w:r>
        <w:rPr>
          <w:sz w:val="16"/>
        </w:rPr>
        <w:t>Sando</w:t>
      </w:r>
      <w:proofErr w:type="spellEnd"/>
      <w:r>
        <w:rPr>
          <w:sz w:val="16"/>
        </w:rPr>
        <w:t xml:space="preserve"> </w:t>
      </w:r>
      <w:proofErr w:type="spellStart"/>
      <w:r>
        <w:rPr>
          <w:sz w:val="16"/>
        </w:rPr>
        <w:t>Mi</w:t>
      </w:r>
      <w:r>
        <w:rPr>
          <w:sz w:val="16"/>
        </w:rPr>
        <w:t>tiap</w:t>
      </w:r>
      <w:proofErr w:type="spellEnd"/>
      <w:r>
        <w:rPr>
          <w:sz w:val="16"/>
        </w:rPr>
        <w:t xml:space="preserve">, Carlos Santiago </w:t>
      </w:r>
      <w:proofErr w:type="spellStart"/>
      <w:r>
        <w:rPr>
          <w:sz w:val="16"/>
        </w:rPr>
        <w:t>Mazabanda</w:t>
      </w:r>
      <w:proofErr w:type="spellEnd"/>
      <w:r>
        <w:rPr>
          <w:sz w:val="16"/>
        </w:rPr>
        <w:t xml:space="preserve"> Calles y Cristina Corina </w:t>
      </w:r>
      <w:proofErr w:type="spellStart"/>
      <w:r>
        <w:rPr>
          <w:sz w:val="16"/>
        </w:rPr>
        <w:t>Gualinga</w:t>
      </w:r>
      <w:proofErr w:type="spellEnd"/>
      <w:r>
        <w:rPr>
          <w:spacing w:val="-5"/>
          <w:sz w:val="16"/>
        </w:rPr>
        <w:t xml:space="preserve"> </w:t>
      </w:r>
      <w:proofErr w:type="spellStart"/>
      <w:r>
        <w:rPr>
          <w:sz w:val="16"/>
        </w:rPr>
        <w:t>Cuji</w:t>
      </w:r>
      <w:proofErr w:type="spellEnd"/>
      <w:r>
        <w:rPr>
          <w:sz w:val="16"/>
        </w:rPr>
        <w:t>.</w:t>
      </w:r>
    </w:p>
    <w:p w:rsidR="00E444C6" w:rsidRDefault="00E444C6">
      <w:pPr>
        <w:rPr>
          <w:sz w:val="16"/>
        </w:rPr>
        <w:sectPr w:rsidR="00E444C6">
          <w:headerReference w:type="default" r:id="rId8"/>
          <w:pgSz w:w="12240" w:h="15840"/>
          <w:pgMar w:top="1320" w:right="1240" w:bottom="280" w:left="1060" w:header="717" w:footer="0" w:gutter="0"/>
          <w:pgNumType w:start="2"/>
          <w:cols w:space="720"/>
        </w:sectPr>
      </w:pPr>
    </w:p>
    <w:p w:rsidR="00E444C6" w:rsidRDefault="00FF1014">
      <w:pPr>
        <w:pStyle w:val="ListParagraph"/>
        <w:numPr>
          <w:ilvl w:val="0"/>
          <w:numId w:val="3"/>
        </w:numPr>
        <w:tabs>
          <w:tab w:val="left" w:pos="832"/>
        </w:tabs>
        <w:spacing w:before="89"/>
        <w:ind w:firstLine="0"/>
        <w:jc w:val="both"/>
        <w:rPr>
          <w:sz w:val="20"/>
        </w:rPr>
      </w:pPr>
      <w:r>
        <w:rPr>
          <w:sz w:val="20"/>
        </w:rPr>
        <w:lastRenderedPageBreak/>
        <w:t>La nota de 21 de octubre de 2011, mediante la cual la Secretaría informó que, siguiendo instrucciones del Presidente, se otorgaba plazo hasta el 27 de octubre de 2011 para que el Estado, los representantes y la Comisión “presenten observaciones respecto de</w:t>
      </w:r>
      <w:r>
        <w:rPr>
          <w:sz w:val="20"/>
        </w:rPr>
        <w:t xml:space="preserve"> lo manifestado hasta el momento por las partes en relación con la referida</w:t>
      </w:r>
      <w:r>
        <w:rPr>
          <w:spacing w:val="-8"/>
          <w:sz w:val="20"/>
        </w:rPr>
        <w:t xml:space="preserve"> </w:t>
      </w:r>
      <w:r>
        <w:rPr>
          <w:sz w:val="20"/>
        </w:rPr>
        <w:t>invitación”.</w:t>
      </w:r>
    </w:p>
    <w:p w:rsidR="00E444C6" w:rsidRDefault="00FF1014">
      <w:pPr>
        <w:pStyle w:val="ListParagraph"/>
        <w:numPr>
          <w:ilvl w:val="0"/>
          <w:numId w:val="3"/>
        </w:numPr>
        <w:tabs>
          <w:tab w:val="left" w:pos="832"/>
        </w:tabs>
        <w:spacing w:before="122"/>
        <w:ind w:right="111" w:firstLine="0"/>
        <w:jc w:val="both"/>
        <w:rPr>
          <w:sz w:val="20"/>
        </w:rPr>
      </w:pPr>
      <w:r>
        <w:rPr>
          <w:sz w:val="20"/>
        </w:rPr>
        <w:t>El escrito de 26 de octubre de 2011, mediante el cual la Comisión manifestó que reiteraba sus observaciones (</w:t>
      </w:r>
      <w:r>
        <w:rPr>
          <w:i/>
          <w:sz w:val="20"/>
        </w:rPr>
        <w:t>supra</w:t>
      </w:r>
      <w:r>
        <w:rPr>
          <w:i/>
          <w:spacing w:val="6"/>
          <w:sz w:val="20"/>
        </w:rPr>
        <w:t xml:space="preserve"> </w:t>
      </w:r>
      <w:r>
        <w:rPr>
          <w:sz w:val="20"/>
        </w:rPr>
        <w:t>párr.16).</w:t>
      </w:r>
    </w:p>
    <w:p w:rsidR="00E444C6" w:rsidRDefault="00FF1014">
      <w:pPr>
        <w:pStyle w:val="ListParagraph"/>
        <w:numPr>
          <w:ilvl w:val="0"/>
          <w:numId w:val="3"/>
        </w:numPr>
        <w:tabs>
          <w:tab w:val="left" w:pos="832"/>
        </w:tabs>
        <w:spacing w:before="119"/>
        <w:ind w:right="113" w:firstLine="0"/>
        <w:jc w:val="both"/>
        <w:rPr>
          <w:sz w:val="20"/>
        </w:rPr>
      </w:pPr>
      <w:r>
        <w:rPr>
          <w:sz w:val="20"/>
        </w:rPr>
        <w:t>El escrito de 26 octubre de 2011, mediante</w:t>
      </w:r>
      <w:r>
        <w:rPr>
          <w:sz w:val="20"/>
        </w:rPr>
        <w:t xml:space="preserve"> el cual el Estado presentó sus observaciones respecto a lo manifestado por la Comisión y los representantes acerca de la referida</w:t>
      </w:r>
      <w:r>
        <w:rPr>
          <w:spacing w:val="-23"/>
          <w:sz w:val="20"/>
        </w:rPr>
        <w:t xml:space="preserve"> </w:t>
      </w:r>
      <w:r>
        <w:rPr>
          <w:sz w:val="20"/>
        </w:rPr>
        <w:t>invitación.</w:t>
      </w:r>
    </w:p>
    <w:p w:rsidR="00E444C6" w:rsidRDefault="00FF1014">
      <w:pPr>
        <w:pStyle w:val="ListParagraph"/>
        <w:numPr>
          <w:ilvl w:val="0"/>
          <w:numId w:val="3"/>
        </w:numPr>
        <w:tabs>
          <w:tab w:val="left" w:pos="832"/>
        </w:tabs>
        <w:ind w:right="116" w:firstLine="0"/>
        <w:jc w:val="both"/>
        <w:rPr>
          <w:sz w:val="20"/>
        </w:rPr>
      </w:pPr>
      <w:r>
        <w:rPr>
          <w:sz w:val="20"/>
        </w:rPr>
        <w:t>El escrito de 27 de octubre de 2011, mediante el cual los representantes remitieron sus observaciones a lo manife</w:t>
      </w:r>
      <w:r>
        <w:rPr>
          <w:sz w:val="20"/>
        </w:rPr>
        <w:t>stado por el Estado acerca de la referida</w:t>
      </w:r>
      <w:r>
        <w:rPr>
          <w:spacing w:val="-12"/>
          <w:sz w:val="20"/>
        </w:rPr>
        <w:t xml:space="preserve"> </w:t>
      </w:r>
      <w:r>
        <w:rPr>
          <w:sz w:val="20"/>
        </w:rPr>
        <w:t>invitación.</w:t>
      </w:r>
    </w:p>
    <w:p w:rsidR="00E444C6" w:rsidRDefault="00FF1014">
      <w:pPr>
        <w:pStyle w:val="ListParagraph"/>
        <w:numPr>
          <w:ilvl w:val="0"/>
          <w:numId w:val="3"/>
        </w:numPr>
        <w:tabs>
          <w:tab w:val="left" w:pos="832"/>
        </w:tabs>
        <w:spacing w:before="119"/>
        <w:ind w:right="102" w:firstLine="0"/>
        <w:jc w:val="both"/>
        <w:rPr>
          <w:sz w:val="20"/>
        </w:rPr>
      </w:pPr>
      <w:r>
        <w:rPr>
          <w:sz w:val="20"/>
        </w:rPr>
        <w:t>La nota de 8 de noviembre de 2011, mediante la cual la Secretaría informó que dichos escritos habían “sido puestos en conocimiento del Presidente de la Corte” y que serían puestos en conocimiento del pleno de la Corte durante el Período Ordinario de</w:t>
      </w:r>
      <w:r>
        <w:rPr>
          <w:spacing w:val="-14"/>
          <w:sz w:val="20"/>
        </w:rPr>
        <w:t xml:space="preserve"> </w:t>
      </w:r>
      <w:r>
        <w:rPr>
          <w:sz w:val="20"/>
        </w:rPr>
        <w:t>Sesion</w:t>
      </w:r>
      <w:r>
        <w:rPr>
          <w:sz w:val="20"/>
        </w:rPr>
        <w:t>es.</w:t>
      </w:r>
    </w:p>
    <w:p w:rsidR="00E444C6" w:rsidRDefault="00E444C6">
      <w:pPr>
        <w:pStyle w:val="BodyText"/>
        <w:rPr>
          <w:sz w:val="24"/>
        </w:rPr>
      </w:pPr>
    </w:p>
    <w:p w:rsidR="00E444C6" w:rsidRDefault="00E444C6">
      <w:pPr>
        <w:pStyle w:val="BodyText"/>
        <w:rPr>
          <w:sz w:val="24"/>
        </w:rPr>
      </w:pPr>
    </w:p>
    <w:p w:rsidR="00E444C6" w:rsidRDefault="00E444C6">
      <w:pPr>
        <w:pStyle w:val="BodyText"/>
        <w:spacing w:before="9"/>
        <w:rPr>
          <w:sz w:val="21"/>
        </w:rPr>
      </w:pPr>
    </w:p>
    <w:p w:rsidR="00E444C6" w:rsidRDefault="00FF1014">
      <w:pPr>
        <w:pStyle w:val="Heading1"/>
        <w:spacing w:before="0"/>
      </w:pPr>
      <w:r>
        <w:t>CONSIDERANDO QUE:</w:t>
      </w:r>
    </w:p>
    <w:p w:rsidR="00E444C6" w:rsidRDefault="00E444C6">
      <w:pPr>
        <w:pStyle w:val="BodyText"/>
        <w:rPr>
          <w:b/>
          <w:sz w:val="24"/>
        </w:rPr>
      </w:pPr>
    </w:p>
    <w:p w:rsidR="00E444C6" w:rsidRDefault="00FF1014">
      <w:pPr>
        <w:pStyle w:val="ListParagraph"/>
        <w:numPr>
          <w:ilvl w:val="0"/>
          <w:numId w:val="2"/>
        </w:numPr>
        <w:tabs>
          <w:tab w:val="left" w:pos="652"/>
        </w:tabs>
        <w:spacing w:before="191" w:line="243" w:lineRule="exact"/>
        <w:ind w:right="0" w:hanging="540"/>
        <w:jc w:val="both"/>
        <w:rPr>
          <w:sz w:val="20"/>
        </w:rPr>
      </w:pPr>
      <w:r>
        <w:rPr>
          <w:sz w:val="20"/>
        </w:rPr>
        <w:t>El</w:t>
      </w:r>
      <w:r>
        <w:rPr>
          <w:spacing w:val="40"/>
          <w:sz w:val="20"/>
        </w:rPr>
        <w:t xml:space="preserve"> </w:t>
      </w:r>
      <w:r>
        <w:rPr>
          <w:sz w:val="20"/>
        </w:rPr>
        <w:t>ofrecimiento</w:t>
      </w:r>
      <w:r>
        <w:rPr>
          <w:spacing w:val="37"/>
          <w:sz w:val="20"/>
        </w:rPr>
        <w:t xml:space="preserve"> </w:t>
      </w:r>
      <w:r>
        <w:rPr>
          <w:sz w:val="20"/>
        </w:rPr>
        <w:t>y</w:t>
      </w:r>
      <w:r>
        <w:rPr>
          <w:spacing w:val="35"/>
          <w:sz w:val="20"/>
        </w:rPr>
        <w:t xml:space="preserve"> </w:t>
      </w:r>
      <w:r>
        <w:rPr>
          <w:sz w:val="20"/>
        </w:rPr>
        <w:t>la</w:t>
      </w:r>
      <w:r>
        <w:rPr>
          <w:spacing w:val="39"/>
          <w:sz w:val="20"/>
        </w:rPr>
        <w:t xml:space="preserve"> </w:t>
      </w:r>
      <w:r>
        <w:rPr>
          <w:sz w:val="20"/>
        </w:rPr>
        <w:t>admisión</w:t>
      </w:r>
      <w:r>
        <w:rPr>
          <w:spacing w:val="39"/>
          <w:sz w:val="20"/>
        </w:rPr>
        <w:t xml:space="preserve"> </w:t>
      </w:r>
      <w:r>
        <w:rPr>
          <w:sz w:val="20"/>
        </w:rPr>
        <w:t>de</w:t>
      </w:r>
      <w:r>
        <w:rPr>
          <w:spacing w:val="34"/>
          <w:sz w:val="20"/>
        </w:rPr>
        <w:t xml:space="preserve"> </w:t>
      </w:r>
      <w:r>
        <w:rPr>
          <w:sz w:val="20"/>
        </w:rPr>
        <w:t>la</w:t>
      </w:r>
      <w:r>
        <w:rPr>
          <w:spacing w:val="39"/>
          <w:sz w:val="20"/>
        </w:rPr>
        <w:t xml:space="preserve"> </w:t>
      </w:r>
      <w:r>
        <w:rPr>
          <w:sz w:val="20"/>
        </w:rPr>
        <w:t>prueba</w:t>
      </w:r>
      <w:r>
        <w:rPr>
          <w:spacing w:val="38"/>
          <w:sz w:val="20"/>
        </w:rPr>
        <w:t xml:space="preserve"> </w:t>
      </w:r>
      <w:r>
        <w:rPr>
          <w:sz w:val="20"/>
        </w:rPr>
        <w:t>son</w:t>
      </w:r>
      <w:r>
        <w:rPr>
          <w:spacing w:val="39"/>
          <w:sz w:val="20"/>
        </w:rPr>
        <w:t xml:space="preserve"> </w:t>
      </w:r>
      <w:r>
        <w:rPr>
          <w:sz w:val="20"/>
        </w:rPr>
        <w:t>aspectos</w:t>
      </w:r>
      <w:r>
        <w:rPr>
          <w:spacing w:val="37"/>
          <w:sz w:val="20"/>
        </w:rPr>
        <w:t xml:space="preserve"> </w:t>
      </w:r>
      <w:r>
        <w:rPr>
          <w:sz w:val="20"/>
        </w:rPr>
        <w:t>que</w:t>
      </w:r>
      <w:r>
        <w:rPr>
          <w:spacing w:val="36"/>
          <w:sz w:val="20"/>
        </w:rPr>
        <w:t xml:space="preserve"> </w:t>
      </w:r>
      <w:r>
        <w:rPr>
          <w:sz w:val="20"/>
        </w:rPr>
        <w:t>se</w:t>
      </w:r>
      <w:r>
        <w:rPr>
          <w:spacing w:val="39"/>
          <w:sz w:val="20"/>
        </w:rPr>
        <w:t xml:space="preserve"> </w:t>
      </w:r>
      <w:r>
        <w:rPr>
          <w:sz w:val="20"/>
        </w:rPr>
        <w:t>encuentran</w:t>
      </w:r>
      <w:r>
        <w:rPr>
          <w:spacing w:val="39"/>
          <w:sz w:val="20"/>
        </w:rPr>
        <w:t xml:space="preserve"> </w:t>
      </w:r>
      <w:r>
        <w:rPr>
          <w:sz w:val="20"/>
        </w:rPr>
        <w:t>regulados,</w:t>
      </w:r>
    </w:p>
    <w:p w:rsidR="00E444C6" w:rsidRDefault="00FF1014">
      <w:pPr>
        <w:pStyle w:val="BodyText"/>
        <w:spacing w:line="243" w:lineRule="exact"/>
        <w:ind w:left="111"/>
        <w:jc w:val="both"/>
      </w:pPr>
      <w:proofErr w:type="gramStart"/>
      <w:r>
        <w:rPr>
          <w:i/>
        </w:rPr>
        <w:t>inter</w:t>
      </w:r>
      <w:proofErr w:type="gramEnd"/>
      <w:r>
        <w:rPr>
          <w:i/>
        </w:rPr>
        <w:t xml:space="preserve"> </w:t>
      </w:r>
      <w:proofErr w:type="spellStart"/>
      <w:r>
        <w:rPr>
          <w:i/>
        </w:rPr>
        <w:t>alia</w:t>
      </w:r>
      <w:proofErr w:type="spellEnd"/>
      <w:r>
        <w:t>, en los artículos 35.1, 40.2, 41.1, 46, 50 y 57 a 60 del Reglamento del Tribunal.</w:t>
      </w:r>
    </w:p>
    <w:p w:rsidR="00E444C6" w:rsidRDefault="00E444C6">
      <w:pPr>
        <w:pStyle w:val="BodyText"/>
        <w:rPr>
          <w:sz w:val="24"/>
        </w:rPr>
      </w:pPr>
    </w:p>
    <w:p w:rsidR="00E444C6" w:rsidRDefault="00FF1014">
      <w:pPr>
        <w:pStyle w:val="Heading2"/>
        <w:numPr>
          <w:ilvl w:val="1"/>
          <w:numId w:val="2"/>
        </w:numPr>
        <w:tabs>
          <w:tab w:val="left" w:pos="1192"/>
        </w:tabs>
        <w:spacing w:before="192"/>
        <w:ind w:left="1191"/>
      </w:pPr>
      <w:r>
        <w:t>Solicitud de designación de un</w:t>
      </w:r>
      <w:r>
        <w:rPr>
          <w:spacing w:val="-7"/>
        </w:rPr>
        <w:t xml:space="preserve"> </w:t>
      </w:r>
      <w:r>
        <w:t>perito</w:t>
      </w:r>
    </w:p>
    <w:p w:rsidR="00E444C6" w:rsidRDefault="00FF1014">
      <w:pPr>
        <w:pStyle w:val="ListParagraph"/>
        <w:numPr>
          <w:ilvl w:val="0"/>
          <w:numId w:val="2"/>
        </w:numPr>
        <w:tabs>
          <w:tab w:val="left" w:pos="832"/>
        </w:tabs>
        <w:spacing w:before="119"/>
        <w:ind w:left="111" w:right="109" w:firstLine="0"/>
        <w:jc w:val="both"/>
        <w:rPr>
          <w:sz w:val="20"/>
        </w:rPr>
      </w:pPr>
      <w:r>
        <w:rPr>
          <w:sz w:val="20"/>
        </w:rPr>
        <w:t xml:space="preserve">El Estado solicitó al Tribunal que designe un perito internacional “para que evalúe y proponga una solución técnica y metodológica alrededor del asunto de la </w:t>
      </w:r>
      <w:proofErr w:type="spellStart"/>
      <w:r>
        <w:rPr>
          <w:sz w:val="20"/>
        </w:rPr>
        <w:t>pentolita</w:t>
      </w:r>
      <w:proofErr w:type="spellEnd"/>
      <w:r>
        <w:rPr>
          <w:sz w:val="20"/>
        </w:rPr>
        <w:t xml:space="preserve"> en el territorio del Pueblo Indígena </w:t>
      </w:r>
      <w:proofErr w:type="spellStart"/>
      <w:r>
        <w:rPr>
          <w:sz w:val="20"/>
        </w:rPr>
        <w:t>Sarayaku</w:t>
      </w:r>
      <w:proofErr w:type="spellEnd"/>
      <w:r>
        <w:rPr>
          <w:sz w:val="20"/>
        </w:rPr>
        <w:t>” (</w:t>
      </w:r>
      <w:r>
        <w:rPr>
          <w:i/>
          <w:sz w:val="20"/>
        </w:rPr>
        <w:t xml:space="preserve">supra </w:t>
      </w:r>
      <w:r>
        <w:rPr>
          <w:sz w:val="20"/>
        </w:rPr>
        <w:t>Visto 5 y</w:t>
      </w:r>
      <w:r>
        <w:rPr>
          <w:spacing w:val="-6"/>
          <w:sz w:val="20"/>
        </w:rPr>
        <w:t xml:space="preserve"> </w:t>
      </w:r>
      <w:r>
        <w:rPr>
          <w:sz w:val="20"/>
        </w:rPr>
        <w:t>10).</w:t>
      </w:r>
    </w:p>
    <w:p w:rsidR="00E444C6" w:rsidRDefault="00FF1014">
      <w:pPr>
        <w:pStyle w:val="ListParagraph"/>
        <w:numPr>
          <w:ilvl w:val="0"/>
          <w:numId w:val="2"/>
        </w:numPr>
        <w:tabs>
          <w:tab w:val="left" w:pos="832"/>
        </w:tabs>
        <w:ind w:left="111" w:right="104" w:firstLine="0"/>
        <w:jc w:val="both"/>
        <w:rPr>
          <w:sz w:val="20"/>
        </w:rPr>
      </w:pPr>
      <w:r>
        <w:rPr>
          <w:sz w:val="20"/>
        </w:rPr>
        <w:t>En ese sentido, los</w:t>
      </w:r>
      <w:r>
        <w:rPr>
          <w:sz w:val="20"/>
        </w:rPr>
        <w:t xml:space="preserve"> representantes manifestaron que “no existe justificación ni necesidad para que la Corte designe a un perito en esta etapa del proceso, por cuanto [l]a extensa información y prueba que consta en el expediente del caso y del procedimiento de medidas provisi</w:t>
      </w:r>
      <w:r>
        <w:rPr>
          <w:sz w:val="20"/>
        </w:rPr>
        <w:t>onales, así como los alegatos que las partes [han] tenido oportunidad de realizar a lo largo del proceso, son […] suficientes para permitir a la […] Corte tomar una decisión al respecto”. Además, alegaron que las solicitudes del Estado tienen como objetivo</w:t>
      </w:r>
      <w:r>
        <w:rPr>
          <w:sz w:val="20"/>
        </w:rPr>
        <w:t xml:space="preserve"> reabrir la presentación de pruebas y argumentos, momento procesal que ya había culminado y cuya reapertura no se encuentra justificada por motivos de hechos o pruebas supervinientes. Por último, agregaron que tales solicitudes “podrían ser medidas que el </w:t>
      </w:r>
      <w:r>
        <w:rPr>
          <w:sz w:val="20"/>
        </w:rPr>
        <w:t>Estado pudiera considerar en el cumplimiento de las reparaciones que ordene la</w:t>
      </w:r>
      <w:r>
        <w:rPr>
          <w:spacing w:val="-8"/>
          <w:sz w:val="20"/>
        </w:rPr>
        <w:t xml:space="preserve"> </w:t>
      </w:r>
      <w:r>
        <w:rPr>
          <w:sz w:val="20"/>
        </w:rPr>
        <w:t>Corte”.</w:t>
      </w:r>
    </w:p>
    <w:p w:rsidR="00E444C6" w:rsidRDefault="00FF1014">
      <w:pPr>
        <w:pStyle w:val="ListParagraph"/>
        <w:numPr>
          <w:ilvl w:val="0"/>
          <w:numId w:val="2"/>
        </w:numPr>
        <w:tabs>
          <w:tab w:val="left" w:pos="832"/>
        </w:tabs>
        <w:ind w:left="111" w:firstLine="0"/>
        <w:jc w:val="both"/>
        <w:rPr>
          <w:sz w:val="20"/>
        </w:rPr>
      </w:pPr>
      <w:r>
        <w:rPr>
          <w:sz w:val="20"/>
        </w:rPr>
        <w:t>Al respecto, la Comisión manifestó que el depósito o almacenamiento de materiales peligrosos en tierras indígenas es uno de los supuestos en que se requiere consentimien</w:t>
      </w:r>
      <w:r>
        <w:rPr>
          <w:sz w:val="20"/>
        </w:rPr>
        <w:t xml:space="preserve">to previo, libre e informado, por lo que el retiro de los explosivos debe realizarse luego de una consulta previa para lograr el consentimiento del Pueblo </w:t>
      </w:r>
      <w:proofErr w:type="spellStart"/>
      <w:r>
        <w:rPr>
          <w:sz w:val="20"/>
        </w:rPr>
        <w:t>Sarayaku</w:t>
      </w:r>
      <w:proofErr w:type="spellEnd"/>
      <w:r>
        <w:rPr>
          <w:sz w:val="20"/>
        </w:rPr>
        <w:t xml:space="preserve">. Además, consideró que, al margen de la información técnica allegada ante el Tribunal sobre </w:t>
      </w:r>
      <w:r>
        <w:rPr>
          <w:sz w:val="20"/>
        </w:rPr>
        <w:t xml:space="preserve">el retiro de los explosivos, la solicitud específica del Estado “debe tomar en cuenta la perspectiva del Pueblo” y que, </w:t>
      </w:r>
      <w:r>
        <w:rPr>
          <w:spacing w:val="4"/>
          <w:sz w:val="20"/>
        </w:rPr>
        <w:t xml:space="preserve">en </w:t>
      </w:r>
      <w:r>
        <w:rPr>
          <w:sz w:val="20"/>
        </w:rPr>
        <w:t>el eventual caso de que éste estuviera de acuerdo, “sería también importante la consulta previa e informada sobre los pasos concretos</w:t>
      </w:r>
      <w:r>
        <w:rPr>
          <w:sz w:val="20"/>
        </w:rPr>
        <w:t xml:space="preserve"> a</w:t>
      </w:r>
      <w:r>
        <w:rPr>
          <w:spacing w:val="-7"/>
          <w:sz w:val="20"/>
        </w:rPr>
        <w:t xml:space="preserve"> </w:t>
      </w:r>
      <w:r>
        <w:rPr>
          <w:sz w:val="20"/>
        </w:rPr>
        <w:t>seguir”.</w:t>
      </w:r>
    </w:p>
    <w:p w:rsidR="00E444C6" w:rsidRDefault="00FF1014">
      <w:pPr>
        <w:pStyle w:val="ListParagraph"/>
        <w:numPr>
          <w:ilvl w:val="0"/>
          <w:numId w:val="2"/>
        </w:numPr>
        <w:tabs>
          <w:tab w:val="left" w:pos="832"/>
        </w:tabs>
        <w:spacing w:before="120"/>
        <w:ind w:left="111" w:firstLine="0"/>
        <w:jc w:val="both"/>
        <w:rPr>
          <w:sz w:val="20"/>
        </w:rPr>
      </w:pPr>
      <w:r>
        <w:rPr>
          <w:sz w:val="20"/>
        </w:rPr>
        <w:t>En sus observaciones, el Estado reiteró su pedido de designación de un perito por parte de la Corte para la determinación del mecanismo idóneo a los efectos de neutralizar o de remover el material explosivo que pudiera encontrarse en la zona. Señaló, asimi</w:t>
      </w:r>
      <w:r>
        <w:rPr>
          <w:sz w:val="20"/>
        </w:rPr>
        <w:t>smo, que esta solicitud</w:t>
      </w:r>
      <w:r>
        <w:rPr>
          <w:spacing w:val="13"/>
          <w:sz w:val="20"/>
        </w:rPr>
        <w:t xml:space="preserve"> </w:t>
      </w:r>
      <w:r>
        <w:rPr>
          <w:sz w:val="20"/>
        </w:rPr>
        <w:t>“no</w:t>
      </w:r>
      <w:r>
        <w:rPr>
          <w:spacing w:val="15"/>
          <w:sz w:val="20"/>
        </w:rPr>
        <w:t xml:space="preserve"> </w:t>
      </w:r>
      <w:r>
        <w:rPr>
          <w:sz w:val="20"/>
        </w:rPr>
        <w:t>puede</w:t>
      </w:r>
      <w:r>
        <w:rPr>
          <w:spacing w:val="15"/>
          <w:sz w:val="20"/>
        </w:rPr>
        <w:t xml:space="preserve"> </w:t>
      </w:r>
      <w:r>
        <w:rPr>
          <w:sz w:val="20"/>
        </w:rPr>
        <w:t>constituir</w:t>
      </w:r>
      <w:r>
        <w:rPr>
          <w:spacing w:val="15"/>
          <w:sz w:val="20"/>
        </w:rPr>
        <w:t xml:space="preserve"> </w:t>
      </w:r>
      <w:r>
        <w:rPr>
          <w:sz w:val="20"/>
        </w:rPr>
        <w:t>de</w:t>
      </w:r>
      <w:r>
        <w:rPr>
          <w:spacing w:val="15"/>
          <w:sz w:val="20"/>
        </w:rPr>
        <w:t xml:space="preserve"> </w:t>
      </w:r>
      <w:r>
        <w:rPr>
          <w:sz w:val="20"/>
        </w:rPr>
        <w:t>manera</w:t>
      </w:r>
      <w:r>
        <w:rPr>
          <w:spacing w:val="16"/>
          <w:sz w:val="20"/>
        </w:rPr>
        <w:t xml:space="preserve"> </w:t>
      </w:r>
      <w:r>
        <w:rPr>
          <w:sz w:val="20"/>
        </w:rPr>
        <w:t>alguna</w:t>
      </w:r>
      <w:r>
        <w:rPr>
          <w:spacing w:val="16"/>
          <w:sz w:val="20"/>
        </w:rPr>
        <w:t xml:space="preserve"> </w:t>
      </w:r>
      <w:r>
        <w:rPr>
          <w:sz w:val="20"/>
        </w:rPr>
        <w:t>una</w:t>
      </w:r>
      <w:r>
        <w:rPr>
          <w:spacing w:val="16"/>
          <w:sz w:val="20"/>
        </w:rPr>
        <w:t xml:space="preserve"> </w:t>
      </w:r>
      <w:r>
        <w:rPr>
          <w:sz w:val="20"/>
        </w:rPr>
        <w:t>prueba</w:t>
      </w:r>
      <w:r>
        <w:rPr>
          <w:spacing w:val="16"/>
          <w:sz w:val="20"/>
        </w:rPr>
        <w:t xml:space="preserve"> </w:t>
      </w:r>
      <w:r>
        <w:rPr>
          <w:sz w:val="20"/>
        </w:rPr>
        <w:t>superviniente,</w:t>
      </w:r>
      <w:r>
        <w:rPr>
          <w:spacing w:val="16"/>
          <w:sz w:val="20"/>
        </w:rPr>
        <w:t xml:space="preserve"> </w:t>
      </w:r>
      <w:r>
        <w:rPr>
          <w:sz w:val="20"/>
        </w:rPr>
        <w:t>toda</w:t>
      </w:r>
      <w:r>
        <w:rPr>
          <w:spacing w:val="16"/>
          <w:sz w:val="20"/>
        </w:rPr>
        <w:t xml:space="preserve"> </w:t>
      </w:r>
      <w:r>
        <w:rPr>
          <w:sz w:val="20"/>
        </w:rPr>
        <w:t>vez</w:t>
      </w:r>
      <w:r>
        <w:rPr>
          <w:spacing w:val="17"/>
          <w:sz w:val="20"/>
        </w:rPr>
        <w:t xml:space="preserve"> </w:t>
      </w:r>
      <w:r>
        <w:rPr>
          <w:sz w:val="20"/>
        </w:rPr>
        <w:t>que</w:t>
      </w:r>
      <w:r>
        <w:rPr>
          <w:spacing w:val="15"/>
          <w:sz w:val="20"/>
        </w:rPr>
        <w:t xml:space="preserve"> </w:t>
      </w:r>
      <w:r>
        <w:rPr>
          <w:sz w:val="20"/>
        </w:rPr>
        <w:t>el</w:t>
      </w:r>
      <w:r>
        <w:rPr>
          <w:spacing w:val="18"/>
          <w:sz w:val="20"/>
        </w:rPr>
        <w:t xml:space="preserve"> </w:t>
      </w:r>
      <w:r>
        <w:rPr>
          <w:sz w:val="20"/>
        </w:rPr>
        <w:t>fin</w:t>
      </w:r>
    </w:p>
    <w:p w:rsidR="00E444C6" w:rsidRDefault="00E444C6">
      <w:pPr>
        <w:jc w:val="both"/>
        <w:rPr>
          <w:sz w:val="20"/>
        </w:rPr>
        <w:sectPr w:rsidR="00E444C6">
          <w:pgSz w:w="12240" w:h="15840"/>
          <w:pgMar w:top="1320" w:right="1240" w:bottom="280" w:left="1060" w:header="717" w:footer="0" w:gutter="0"/>
          <w:cols w:space="720"/>
        </w:sectPr>
      </w:pPr>
    </w:p>
    <w:p w:rsidR="00E444C6" w:rsidRDefault="00FF1014">
      <w:pPr>
        <w:pStyle w:val="BodyText"/>
        <w:spacing w:before="89"/>
        <w:ind w:left="111" w:right="104"/>
        <w:jc w:val="both"/>
      </w:pPr>
      <w:proofErr w:type="gramStart"/>
      <w:r>
        <w:lastRenderedPageBreak/>
        <w:t>de</w:t>
      </w:r>
      <w:proofErr w:type="gramEnd"/>
      <w:r>
        <w:t xml:space="preserve"> este peritaje no sería presentar nuevos alegatos de hecho y de derecho, sino establecer un mecanismo efectivo para cumplir con esta</w:t>
      </w:r>
      <w:r>
        <w:t xml:space="preserve"> obligación internacional de manera que tanto la Corte como los representantes y presuntas víctimas estén satisfechos”. Mencionó, asimismo, que “la designación del perito contribuiría a una mejor ejecución de las obligaciones que eventualmente surgirían pa</w:t>
      </w:r>
      <w:r>
        <w:t>ra el Estado de las reparaciones que ordene la Corte en sentencia y de aquellas que ya existen en virtud de las medidas</w:t>
      </w:r>
      <w:r>
        <w:rPr>
          <w:spacing w:val="-9"/>
        </w:rPr>
        <w:t xml:space="preserve"> </w:t>
      </w:r>
      <w:r>
        <w:t>provisionales”.</w:t>
      </w:r>
    </w:p>
    <w:p w:rsidR="00E444C6" w:rsidRDefault="00FF1014">
      <w:pPr>
        <w:pStyle w:val="ListParagraph"/>
        <w:numPr>
          <w:ilvl w:val="0"/>
          <w:numId w:val="2"/>
        </w:numPr>
        <w:tabs>
          <w:tab w:val="left" w:pos="832"/>
        </w:tabs>
        <w:ind w:left="111" w:right="107" w:firstLine="0"/>
        <w:jc w:val="both"/>
        <w:rPr>
          <w:sz w:val="20"/>
        </w:rPr>
      </w:pPr>
      <w:r>
        <w:rPr>
          <w:sz w:val="20"/>
        </w:rPr>
        <w:t xml:space="preserve">El Presidente, en consulta con los miembros de la Corte, estima que, en el transcurso  del procedimiento contencioso del presente caso, las partes han proporcionado información suficiente al respecto, inclusive peritajes, por lo que en el momento procesal </w:t>
      </w:r>
      <w:r>
        <w:rPr>
          <w:sz w:val="20"/>
        </w:rPr>
        <w:t>actual no es imprescindible ordenar la realización del referido peritaje para poder fallar sobre el</w:t>
      </w:r>
      <w:r>
        <w:rPr>
          <w:spacing w:val="-26"/>
          <w:sz w:val="20"/>
        </w:rPr>
        <w:t xml:space="preserve"> </w:t>
      </w:r>
      <w:r>
        <w:rPr>
          <w:sz w:val="20"/>
        </w:rPr>
        <w:t>fondo.</w:t>
      </w:r>
    </w:p>
    <w:p w:rsidR="00E444C6" w:rsidRDefault="00E444C6">
      <w:pPr>
        <w:pStyle w:val="BodyText"/>
        <w:rPr>
          <w:sz w:val="24"/>
        </w:rPr>
      </w:pPr>
    </w:p>
    <w:p w:rsidR="00E444C6" w:rsidRDefault="00FF1014">
      <w:pPr>
        <w:pStyle w:val="Heading2"/>
        <w:ind w:firstLine="0"/>
      </w:pPr>
      <w:r>
        <w:t>b) Solicitud de visita al Ecuador</w:t>
      </w:r>
    </w:p>
    <w:p w:rsidR="00E444C6" w:rsidRDefault="00FF1014">
      <w:pPr>
        <w:pStyle w:val="ListParagraph"/>
        <w:numPr>
          <w:ilvl w:val="0"/>
          <w:numId w:val="2"/>
        </w:numPr>
        <w:tabs>
          <w:tab w:val="left" w:pos="832"/>
        </w:tabs>
        <w:ind w:left="111" w:right="102" w:firstLine="0"/>
        <w:jc w:val="both"/>
        <w:rPr>
          <w:sz w:val="20"/>
        </w:rPr>
      </w:pPr>
      <w:r>
        <w:rPr>
          <w:sz w:val="20"/>
        </w:rPr>
        <w:t>Durante la audiencia pública y en otras oportunidades, el Estado solicitó, a través de su señor Presidente de la R</w:t>
      </w:r>
      <w:r>
        <w:rPr>
          <w:sz w:val="20"/>
        </w:rPr>
        <w:t xml:space="preserve">epública, de su señor Ministro de Relaciones Exteriores y de sus agentes para este caso, que la Corte efectúe una “visita de campo a las Comunidades del Río </w:t>
      </w:r>
      <w:proofErr w:type="spellStart"/>
      <w:r>
        <w:rPr>
          <w:sz w:val="20"/>
        </w:rPr>
        <w:t>Bobonaza</w:t>
      </w:r>
      <w:proofErr w:type="spellEnd"/>
      <w:r>
        <w:rPr>
          <w:sz w:val="20"/>
        </w:rPr>
        <w:t xml:space="preserve"> para que pueda reconocer en el terreno las complejidades jurídicas y socio- ambientales de</w:t>
      </w:r>
      <w:r>
        <w:rPr>
          <w:sz w:val="20"/>
        </w:rPr>
        <w:t xml:space="preserve">l caso materia de esta </w:t>
      </w:r>
      <w:proofErr w:type="spellStart"/>
      <w:r>
        <w:rPr>
          <w:i/>
          <w:sz w:val="20"/>
        </w:rPr>
        <w:t>litis</w:t>
      </w:r>
      <w:proofErr w:type="spellEnd"/>
      <w:r>
        <w:rPr>
          <w:sz w:val="20"/>
        </w:rPr>
        <w:t>” (</w:t>
      </w:r>
      <w:r>
        <w:rPr>
          <w:i/>
          <w:sz w:val="20"/>
        </w:rPr>
        <w:t xml:space="preserve">supra </w:t>
      </w:r>
      <w:r>
        <w:rPr>
          <w:sz w:val="20"/>
        </w:rPr>
        <w:t>Vistos 5, 10, 12 y</w:t>
      </w:r>
      <w:r>
        <w:rPr>
          <w:spacing w:val="-12"/>
          <w:sz w:val="20"/>
        </w:rPr>
        <w:t xml:space="preserve"> </w:t>
      </w:r>
      <w:r>
        <w:rPr>
          <w:sz w:val="20"/>
        </w:rPr>
        <w:t>13).</w:t>
      </w:r>
    </w:p>
    <w:p w:rsidR="00E444C6" w:rsidRDefault="00FF1014">
      <w:pPr>
        <w:pStyle w:val="ListParagraph"/>
        <w:numPr>
          <w:ilvl w:val="0"/>
          <w:numId w:val="2"/>
        </w:numPr>
        <w:tabs>
          <w:tab w:val="left" w:pos="832"/>
        </w:tabs>
        <w:spacing w:before="120"/>
        <w:ind w:left="111" w:right="106" w:firstLine="0"/>
        <w:jc w:val="both"/>
        <w:rPr>
          <w:sz w:val="20"/>
        </w:rPr>
      </w:pPr>
      <w:r>
        <w:rPr>
          <w:sz w:val="20"/>
        </w:rPr>
        <w:t>Los representantes solicitaron a la Corte que rechace la invitación extendida por el Presidente de la República del Ecuador, alegando una “manifiesta falta de justificación de la prueba que se bu</w:t>
      </w:r>
      <w:r>
        <w:rPr>
          <w:sz w:val="20"/>
        </w:rPr>
        <w:t>sca allegar de manera extemporánea”. Asimismo, señalaron que con la información que ya obra en el expediente del caso “la Corte cuenta con todos los elementos necesarios y suficientes para poder resolver sobre el fondo, reparaciones y costas del presente c</w:t>
      </w:r>
      <w:r>
        <w:rPr>
          <w:sz w:val="20"/>
        </w:rPr>
        <w:t xml:space="preserve">aso”. En este sentido, solicitaron al Tribunal “que desestime toda actuación que pretenda demorar, aún más, la resolución del caso”. En su escrito de 27 de octubre de 2011 enfatizaron el carácter “innecesario e injustificado de </w:t>
      </w:r>
      <w:r>
        <w:rPr>
          <w:spacing w:val="2"/>
          <w:sz w:val="20"/>
        </w:rPr>
        <w:t xml:space="preserve">las </w:t>
      </w:r>
      <w:r>
        <w:rPr>
          <w:sz w:val="20"/>
        </w:rPr>
        <w:t>solicitudes realizadas p</w:t>
      </w:r>
      <w:r>
        <w:rPr>
          <w:sz w:val="20"/>
        </w:rPr>
        <w:t>or el Estado”, pues tienen como objetivo reabrir la presentación de pruebas y argumentos, momento procesal que ya ha culminado y cuya reapertura no se encuentra justificada por motivos de hechos o pruebas supervinientes. Por último, agregaron que las solic</w:t>
      </w:r>
      <w:r>
        <w:rPr>
          <w:sz w:val="20"/>
        </w:rPr>
        <w:t>itudes del Estado “podrían ser medidas que  el Estado pudiera considerar en el cumplimiento de las reparaciones que ordene la</w:t>
      </w:r>
      <w:r>
        <w:rPr>
          <w:spacing w:val="-24"/>
          <w:sz w:val="20"/>
        </w:rPr>
        <w:t xml:space="preserve"> </w:t>
      </w:r>
      <w:r>
        <w:rPr>
          <w:sz w:val="20"/>
        </w:rPr>
        <w:t>Corte”.</w:t>
      </w:r>
    </w:p>
    <w:p w:rsidR="00E444C6" w:rsidRDefault="00FF1014">
      <w:pPr>
        <w:pStyle w:val="ListParagraph"/>
        <w:numPr>
          <w:ilvl w:val="0"/>
          <w:numId w:val="2"/>
        </w:numPr>
        <w:tabs>
          <w:tab w:val="left" w:pos="832"/>
        </w:tabs>
        <w:spacing w:before="120"/>
        <w:ind w:left="111" w:right="104" w:firstLine="0"/>
        <w:jc w:val="both"/>
        <w:rPr>
          <w:sz w:val="20"/>
        </w:rPr>
      </w:pPr>
      <w:r>
        <w:rPr>
          <w:sz w:val="20"/>
        </w:rPr>
        <w:t>La Comisión Interamericana manifestó que reconoce que la Corte tiene la facultad de recibir información y prueba relevante</w:t>
      </w:r>
      <w:r>
        <w:rPr>
          <w:sz w:val="20"/>
        </w:rPr>
        <w:t xml:space="preserve"> sobre los casos sometidos a su conocimiento, aunque observó que “pareciera que la invitación extendida en este caso por el Estado excede el alcance del caso, puesto que pretende abarcar a las diferentes comunidades del territorio </w:t>
      </w:r>
      <w:proofErr w:type="spellStart"/>
      <w:r>
        <w:rPr>
          <w:sz w:val="20"/>
        </w:rPr>
        <w:t>Bobonaza</w:t>
      </w:r>
      <w:proofErr w:type="spellEnd"/>
      <w:r>
        <w:rPr>
          <w:sz w:val="20"/>
        </w:rPr>
        <w:t>”. La Comisión ci</w:t>
      </w:r>
      <w:r>
        <w:rPr>
          <w:sz w:val="20"/>
        </w:rPr>
        <w:t>tó un precedente de una diligencia probatoria realizada por este Tribunal y otro precedente de la Corte Internacional de Justicia. Además, señaló que “en la eventualidad de que la Corte decidiera aceptar la invitación del Estado, […] la visita debería limi</w:t>
      </w:r>
      <w:r>
        <w:rPr>
          <w:sz w:val="20"/>
        </w:rPr>
        <w:t xml:space="preserve">tarse al territorio </w:t>
      </w:r>
      <w:proofErr w:type="spellStart"/>
      <w:r>
        <w:rPr>
          <w:sz w:val="20"/>
        </w:rPr>
        <w:t>Sarayaku</w:t>
      </w:r>
      <w:proofErr w:type="spellEnd"/>
      <w:r>
        <w:rPr>
          <w:sz w:val="20"/>
        </w:rPr>
        <w:t>” y debería llevarse a cabo de conformidad con la práctica internacional, por lo que solicitó “estar presente en la visita y tener la oportunidad de pronunciarse respecto de la  prueba recabada”.</w:t>
      </w:r>
    </w:p>
    <w:p w:rsidR="00E444C6" w:rsidRDefault="00FF1014">
      <w:pPr>
        <w:pStyle w:val="ListParagraph"/>
        <w:numPr>
          <w:ilvl w:val="0"/>
          <w:numId w:val="2"/>
        </w:numPr>
        <w:tabs>
          <w:tab w:val="left" w:pos="832"/>
        </w:tabs>
        <w:spacing w:before="120"/>
        <w:ind w:left="111" w:firstLine="0"/>
        <w:jc w:val="both"/>
        <w:rPr>
          <w:sz w:val="20"/>
        </w:rPr>
      </w:pPr>
      <w:r>
        <w:rPr>
          <w:sz w:val="20"/>
        </w:rPr>
        <w:t>El Estado afirmó que rechazaba e</w:t>
      </w:r>
      <w:r>
        <w:rPr>
          <w:sz w:val="20"/>
        </w:rPr>
        <w:t>l alegato de los representantes en cuanto a que se trataría de una prueba extemporánea, superviniente o como una inducción respecto a la decisión que deba tomar la Corte y estimó que le correspondía a ésta decidir sobre este asunto, tomando en cuenta que “</w:t>
      </w:r>
      <w:r>
        <w:rPr>
          <w:sz w:val="20"/>
        </w:rPr>
        <w:t>la Comisión indicó en su escrito de observaciones que no existe imposibilidad jurídica para la realización de la visita, existiendo ya un precedente anterior en la práctica de la Corte, más aún si la [Comisión] inclusive ha manifestado su voluntad de parti</w:t>
      </w:r>
      <w:r>
        <w:rPr>
          <w:sz w:val="20"/>
        </w:rPr>
        <w:t>cipar por medio de sus delegados en la visita, si ésta llegara a darse”. Reiteró “su solicitud de una visita técnica de la Corte Interamericana dentro del caso, toda vez que es jurídicamente posible […] con la presencia de una delegación de la Comisión Int</w:t>
      </w:r>
      <w:r>
        <w:rPr>
          <w:sz w:val="20"/>
        </w:rPr>
        <w:t>eramericana y [coordinando] esta</w:t>
      </w:r>
      <w:r>
        <w:rPr>
          <w:spacing w:val="46"/>
          <w:sz w:val="20"/>
        </w:rPr>
        <w:t xml:space="preserve"> </w:t>
      </w:r>
      <w:r>
        <w:rPr>
          <w:sz w:val="20"/>
        </w:rPr>
        <w:t>visita</w:t>
      </w:r>
      <w:r>
        <w:rPr>
          <w:spacing w:val="47"/>
          <w:sz w:val="20"/>
        </w:rPr>
        <w:t xml:space="preserve"> </w:t>
      </w:r>
      <w:r>
        <w:rPr>
          <w:sz w:val="20"/>
        </w:rPr>
        <w:t>con</w:t>
      </w:r>
      <w:r>
        <w:rPr>
          <w:spacing w:val="48"/>
          <w:sz w:val="20"/>
        </w:rPr>
        <w:t xml:space="preserve"> </w:t>
      </w:r>
      <w:r>
        <w:rPr>
          <w:sz w:val="20"/>
        </w:rPr>
        <w:t>los</w:t>
      </w:r>
      <w:r>
        <w:rPr>
          <w:spacing w:val="46"/>
          <w:sz w:val="20"/>
        </w:rPr>
        <w:t xml:space="preserve"> </w:t>
      </w:r>
      <w:r>
        <w:rPr>
          <w:sz w:val="20"/>
        </w:rPr>
        <w:t>señores</w:t>
      </w:r>
      <w:r>
        <w:rPr>
          <w:spacing w:val="48"/>
          <w:sz w:val="20"/>
        </w:rPr>
        <w:t xml:space="preserve"> </w:t>
      </w:r>
      <w:r>
        <w:rPr>
          <w:sz w:val="20"/>
        </w:rPr>
        <w:t>representantes</w:t>
      </w:r>
      <w:r>
        <w:rPr>
          <w:spacing w:val="46"/>
          <w:sz w:val="20"/>
        </w:rPr>
        <w:t xml:space="preserve"> </w:t>
      </w:r>
      <w:r>
        <w:rPr>
          <w:sz w:val="20"/>
        </w:rPr>
        <w:t>del</w:t>
      </w:r>
      <w:r>
        <w:rPr>
          <w:spacing w:val="49"/>
          <w:sz w:val="20"/>
        </w:rPr>
        <w:t xml:space="preserve"> </w:t>
      </w:r>
      <w:r>
        <w:rPr>
          <w:sz w:val="20"/>
        </w:rPr>
        <w:t>caso</w:t>
      </w:r>
      <w:r>
        <w:rPr>
          <w:spacing w:val="46"/>
          <w:sz w:val="20"/>
        </w:rPr>
        <w:t xml:space="preserve"> </w:t>
      </w:r>
      <w:r>
        <w:rPr>
          <w:sz w:val="20"/>
        </w:rPr>
        <w:t>con</w:t>
      </w:r>
      <w:r>
        <w:rPr>
          <w:spacing w:val="50"/>
          <w:sz w:val="20"/>
        </w:rPr>
        <w:t xml:space="preserve"> </w:t>
      </w:r>
      <w:r>
        <w:rPr>
          <w:sz w:val="20"/>
        </w:rPr>
        <w:t>el</w:t>
      </w:r>
      <w:r>
        <w:rPr>
          <w:spacing w:val="48"/>
          <w:sz w:val="20"/>
        </w:rPr>
        <w:t xml:space="preserve"> </w:t>
      </w:r>
      <w:r>
        <w:rPr>
          <w:sz w:val="20"/>
        </w:rPr>
        <w:t>afán</w:t>
      </w:r>
      <w:r>
        <w:rPr>
          <w:spacing w:val="48"/>
          <w:sz w:val="20"/>
        </w:rPr>
        <w:t xml:space="preserve"> </w:t>
      </w:r>
      <w:r>
        <w:rPr>
          <w:sz w:val="20"/>
        </w:rPr>
        <w:t>de</w:t>
      </w:r>
      <w:r>
        <w:rPr>
          <w:spacing w:val="48"/>
          <w:sz w:val="20"/>
        </w:rPr>
        <w:t xml:space="preserve"> </w:t>
      </w:r>
      <w:r>
        <w:rPr>
          <w:sz w:val="20"/>
        </w:rPr>
        <w:t>transparentar</w:t>
      </w:r>
      <w:r>
        <w:rPr>
          <w:spacing w:val="46"/>
          <w:sz w:val="20"/>
        </w:rPr>
        <w:t xml:space="preserve"> </w:t>
      </w:r>
      <w:r>
        <w:rPr>
          <w:sz w:val="20"/>
        </w:rPr>
        <w:t>todos</w:t>
      </w:r>
      <w:r>
        <w:rPr>
          <w:spacing w:val="46"/>
          <w:sz w:val="20"/>
        </w:rPr>
        <w:t xml:space="preserve"> </w:t>
      </w:r>
      <w:r>
        <w:rPr>
          <w:sz w:val="20"/>
        </w:rPr>
        <w:t>los</w:t>
      </w:r>
    </w:p>
    <w:p w:rsidR="00E444C6" w:rsidRDefault="00E444C6">
      <w:pPr>
        <w:jc w:val="both"/>
        <w:rPr>
          <w:sz w:val="20"/>
        </w:rPr>
        <w:sectPr w:rsidR="00E444C6">
          <w:pgSz w:w="12240" w:h="15840"/>
          <w:pgMar w:top="1320" w:right="1240" w:bottom="280" w:left="1060" w:header="717" w:footer="0" w:gutter="0"/>
          <w:cols w:space="720"/>
        </w:sectPr>
      </w:pPr>
    </w:p>
    <w:p w:rsidR="00E444C6" w:rsidRDefault="00FF1014">
      <w:pPr>
        <w:pStyle w:val="BodyText"/>
        <w:spacing w:before="89" w:line="242" w:lineRule="auto"/>
        <w:ind w:left="111" w:right="116"/>
        <w:jc w:val="both"/>
      </w:pPr>
      <w:proofErr w:type="gramStart"/>
      <w:r>
        <w:lastRenderedPageBreak/>
        <w:t>procesos</w:t>
      </w:r>
      <w:proofErr w:type="gramEnd"/>
      <w:r>
        <w:t>, evidenciando la buena fe del Estado expresada en el alto grado de compromiso de sus</w:t>
      </w:r>
      <w:r>
        <w:rPr>
          <w:spacing w:val="-2"/>
        </w:rPr>
        <w:t xml:space="preserve"> </w:t>
      </w:r>
      <w:r>
        <w:t>autoridades”.</w:t>
      </w:r>
    </w:p>
    <w:p w:rsidR="00E444C6" w:rsidRDefault="00FF1014">
      <w:pPr>
        <w:pStyle w:val="ListParagraph"/>
        <w:numPr>
          <w:ilvl w:val="0"/>
          <w:numId w:val="2"/>
        </w:numPr>
        <w:tabs>
          <w:tab w:val="left" w:pos="832"/>
        </w:tabs>
        <w:spacing w:before="117"/>
        <w:ind w:left="111" w:right="104" w:firstLine="0"/>
        <w:jc w:val="both"/>
        <w:rPr>
          <w:sz w:val="20"/>
        </w:rPr>
      </w:pPr>
      <w:r>
        <w:rPr>
          <w:sz w:val="20"/>
        </w:rPr>
        <w:t>En lo que se refiere a la solicitud de visita presentada por el Estado, la Corte recuerda que, de conformidad con lo establecido en el artículo 58 del Reglamento, el Tribunal tiene la potestad de realizar, en cualquier estado de la causa, las diligencias q</w:t>
      </w:r>
      <w:r>
        <w:rPr>
          <w:sz w:val="20"/>
        </w:rPr>
        <w:t xml:space="preserve">ue juzgue pertinentes para mejor resolver el caso </w:t>
      </w:r>
      <w:proofErr w:type="spellStart"/>
      <w:r>
        <w:rPr>
          <w:i/>
          <w:sz w:val="20"/>
        </w:rPr>
        <w:t>pendente</w:t>
      </w:r>
      <w:proofErr w:type="spellEnd"/>
      <w:r>
        <w:rPr>
          <w:i/>
          <w:sz w:val="20"/>
        </w:rPr>
        <w:t xml:space="preserve"> lite</w:t>
      </w:r>
      <w:r>
        <w:rPr>
          <w:sz w:val="20"/>
        </w:rPr>
        <w:t>. Esta potestad incluye la posibilidad de ordenar, entre otras, la realización de cualquier diligencia probatoria o medida de instrucción fuera de la sede del Tribunal. El artículo 58 del Regla</w:t>
      </w:r>
      <w:r>
        <w:rPr>
          <w:sz w:val="20"/>
        </w:rPr>
        <w:t>mento dispone</w:t>
      </w:r>
      <w:r>
        <w:rPr>
          <w:spacing w:val="-6"/>
          <w:sz w:val="20"/>
        </w:rPr>
        <w:t xml:space="preserve"> </w:t>
      </w:r>
      <w:r>
        <w:rPr>
          <w:sz w:val="20"/>
        </w:rPr>
        <w:t>que:</w:t>
      </w:r>
    </w:p>
    <w:p w:rsidR="00E444C6" w:rsidRDefault="00FF1014">
      <w:pPr>
        <w:spacing w:before="122"/>
        <w:ind w:left="831"/>
        <w:rPr>
          <w:sz w:val="16"/>
        </w:rPr>
      </w:pPr>
      <w:r>
        <w:rPr>
          <w:sz w:val="16"/>
        </w:rPr>
        <w:t>En cualquier estado de la causa la Corte podrá:</w:t>
      </w:r>
    </w:p>
    <w:p w:rsidR="00E444C6" w:rsidRDefault="00FF1014">
      <w:pPr>
        <w:spacing w:before="120"/>
        <w:ind w:left="831" w:right="109"/>
        <w:jc w:val="both"/>
        <w:rPr>
          <w:sz w:val="16"/>
        </w:rPr>
      </w:pPr>
      <w:r>
        <w:rPr>
          <w:sz w:val="16"/>
        </w:rPr>
        <w:t>a. Procurar de oficio toda prueba que considere útil y necesaria. En particular, podrá oír en calidad de  presunta víctima, testigo, perito o por otro título, a cualquier persona cuya decla</w:t>
      </w:r>
      <w:r>
        <w:rPr>
          <w:sz w:val="16"/>
        </w:rPr>
        <w:t>ración, testimonio, u opinión estime pertinente.</w:t>
      </w:r>
    </w:p>
    <w:p w:rsidR="00E444C6" w:rsidRDefault="00FF1014">
      <w:pPr>
        <w:spacing w:before="120"/>
        <w:ind w:left="831"/>
        <w:rPr>
          <w:sz w:val="16"/>
        </w:rPr>
      </w:pPr>
      <w:r>
        <w:rPr>
          <w:sz w:val="16"/>
        </w:rPr>
        <w:t>[…]</w:t>
      </w:r>
    </w:p>
    <w:p w:rsidR="00E444C6" w:rsidRDefault="00FF1014">
      <w:pPr>
        <w:spacing w:before="120"/>
        <w:ind w:left="831" w:right="137"/>
        <w:rPr>
          <w:sz w:val="16"/>
        </w:rPr>
      </w:pPr>
      <w:r>
        <w:rPr>
          <w:sz w:val="16"/>
        </w:rPr>
        <w:t>d. Comisionar a uno o varios de sus miembros para que realicen cualquier medida de instrucción, incluyendo audiencias, ya sea en la sede de la Corte o fuera de ésta.</w:t>
      </w:r>
    </w:p>
    <w:p w:rsidR="00E444C6" w:rsidRDefault="00FF1014">
      <w:pPr>
        <w:spacing w:before="120"/>
        <w:ind w:left="831"/>
        <w:rPr>
          <w:sz w:val="16"/>
        </w:rPr>
      </w:pPr>
      <w:r>
        <w:rPr>
          <w:sz w:val="16"/>
        </w:rPr>
        <w:t>[…]</w:t>
      </w:r>
    </w:p>
    <w:p w:rsidR="00E444C6" w:rsidRDefault="00FF1014">
      <w:pPr>
        <w:pStyle w:val="ListParagraph"/>
        <w:numPr>
          <w:ilvl w:val="0"/>
          <w:numId w:val="2"/>
        </w:numPr>
        <w:tabs>
          <w:tab w:val="left" w:pos="832"/>
        </w:tabs>
        <w:spacing w:before="118"/>
        <w:ind w:left="111" w:right="106" w:firstLine="0"/>
        <w:jc w:val="both"/>
        <w:rPr>
          <w:sz w:val="20"/>
        </w:rPr>
      </w:pPr>
      <w:r>
        <w:rPr>
          <w:sz w:val="20"/>
        </w:rPr>
        <w:t>Existen precedentes en que un rep</w:t>
      </w:r>
      <w:r>
        <w:rPr>
          <w:sz w:val="20"/>
        </w:rPr>
        <w:t>resentante del Tribunal llevó a cabo una diligencia probatoria en el Estado demandado</w:t>
      </w:r>
      <w:r>
        <w:rPr>
          <w:sz w:val="20"/>
          <w:vertAlign w:val="superscript"/>
        </w:rPr>
        <w:t>3</w:t>
      </w:r>
      <w:r>
        <w:rPr>
          <w:sz w:val="20"/>
        </w:rPr>
        <w:t xml:space="preserve"> y otro en que miembros del Tribunal recibieron</w:t>
      </w:r>
      <w:r>
        <w:rPr>
          <w:spacing w:val="36"/>
          <w:sz w:val="20"/>
        </w:rPr>
        <w:t xml:space="preserve"> </w:t>
      </w:r>
      <w:r>
        <w:rPr>
          <w:sz w:val="20"/>
        </w:rPr>
        <w:t>un testimonio de una presunta víctima en un tercer Estado</w:t>
      </w:r>
      <w:r>
        <w:rPr>
          <w:sz w:val="20"/>
          <w:vertAlign w:val="superscript"/>
        </w:rPr>
        <w:t>4</w:t>
      </w:r>
      <w:r>
        <w:rPr>
          <w:sz w:val="20"/>
        </w:rPr>
        <w:t>. Además, se han recibido declaraciones de testigos dentro de un</w:t>
      </w:r>
      <w:r>
        <w:rPr>
          <w:sz w:val="20"/>
        </w:rPr>
        <w:t>a cárcel en el Estado demandado</w:t>
      </w:r>
      <w:r>
        <w:rPr>
          <w:sz w:val="20"/>
          <w:vertAlign w:val="superscript"/>
        </w:rPr>
        <w:t>5</w:t>
      </w:r>
      <w:r>
        <w:rPr>
          <w:sz w:val="20"/>
        </w:rPr>
        <w:t>; se han designado expertos para realizar la exhumación de los restos de una presunta víctima en el lugar de los hechos</w:t>
      </w:r>
      <w:r>
        <w:rPr>
          <w:sz w:val="20"/>
          <w:vertAlign w:val="superscript"/>
        </w:rPr>
        <w:t>6</w:t>
      </w:r>
      <w:r>
        <w:rPr>
          <w:sz w:val="20"/>
        </w:rPr>
        <w:t xml:space="preserve"> y para obtener el testimonio de una persona que por su estado de salud no podía viajar a la sede de la</w:t>
      </w:r>
      <w:r>
        <w:rPr>
          <w:spacing w:val="-6"/>
          <w:sz w:val="20"/>
        </w:rPr>
        <w:t xml:space="preserve"> </w:t>
      </w:r>
      <w:r>
        <w:rPr>
          <w:sz w:val="20"/>
        </w:rPr>
        <w:t>Corte</w:t>
      </w:r>
      <w:r>
        <w:rPr>
          <w:sz w:val="20"/>
          <w:vertAlign w:val="superscript"/>
        </w:rPr>
        <w:t>7</w:t>
      </w:r>
      <w:r>
        <w:rPr>
          <w:sz w:val="20"/>
        </w:rPr>
        <w:t>.</w:t>
      </w:r>
    </w:p>
    <w:p w:rsidR="00E444C6" w:rsidRDefault="00FF1014">
      <w:pPr>
        <w:pStyle w:val="ListParagraph"/>
        <w:numPr>
          <w:ilvl w:val="0"/>
          <w:numId w:val="2"/>
        </w:numPr>
        <w:tabs>
          <w:tab w:val="left" w:pos="832"/>
        </w:tabs>
        <w:ind w:left="111" w:firstLine="0"/>
        <w:jc w:val="both"/>
        <w:rPr>
          <w:sz w:val="20"/>
        </w:rPr>
      </w:pPr>
      <w:r>
        <w:rPr>
          <w:sz w:val="20"/>
        </w:rPr>
        <w:t>Existen, además, precedentes en el Derecho Internacional en los que instancias internacionales han realizado misiones o visitas de campo. Así, la Corte Internacional de Justicia ha realizado visitas al lugar de los hechos alegados (una represa en e</w:t>
      </w:r>
      <w:r>
        <w:rPr>
          <w:sz w:val="20"/>
        </w:rPr>
        <w:t>l Estado de Hungría) en el marco de un caso contencioso</w:t>
      </w:r>
      <w:r>
        <w:rPr>
          <w:sz w:val="20"/>
          <w:vertAlign w:val="superscript"/>
        </w:rPr>
        <w:t>8</w:t>
      </w:r>
      <w:r>
        <w:rPr>
          <w:sz w:val="20"/>
        </w:rPr>
        <w:t>. Por su parte, la Corte Europea de Derechos Humanos ha llevado a cabo misiones de diligencias probatorias (“</w:t>
      </w:r>
      <w:proofErr w:type="spellStart"/>
      <w:r>
        <w:rPr>
          <w:i/>
          <w:sz w:val="20"/>
        </w:rPr>
        <w:t>fact-finding</w:t>
      </w:r>
      <w:proofErr w:type="spellEnd"/>
      <w:r>
        <w:rPr>
          <w:i/>
          <w:sz w:val="20"/>
        </w:rPr>
        <w:t xml:space="preserve"> </w:t>
      </w:r>
      <w:proofErr w:type="spellStart"/>
      <w:r>
        <w:rPr>
          <w:i/>
          <w:sz w:val="20"/>
        </w:rPr>
        <w:t>missions</w:t>
      </w:r>
      <w:proofErr w:type="spellEnd"/>
      <w:r>
        <w:rPr>
          <w:sz w:val="20"/>
        </w:rPr>
        <w:t>”), de conformidad con las disposiciones de la Convención Europea</w:t>
      </w:r>
      <w:r>
        <w:rPr>
          <w:sz w:val="20"/>
          <w:vertAlign w:val="superscript"/>
        </w:rPr>
        <w:t>9</w:t>
      </w:r>
      <w:r>
        <w:rPr>
          <w:sz w:val="20"/>
        </w:rPr>
        <w:t xml:space="preserve"> y d</w:t>
      </w:r>
      <w:r>
        <w:rPr>
          <w:sz w:val="20"/>
        </w:rPr>
        <w:t>e su propio Reglamento</w:t>
      </w:r>
      <w:r>
        <w:rPr>
          <w:sz w:val="20"/>
          <w:vertAlign w:val="superscript"/>
        </w:rPr>
        <w:t>10</w:t>
      </w:r>
      <w:r>
        <w:rPr>
          <w:sz w:val="20"/>
        </w:rPr>
        <w:t xml:space="preserve">. En particular, el Tribunal Europeo lleva a cabo ese tipo de diligencias, </w:t>
      </w:r>
      <w:r>
        <w:rPr>
          <w:i/>
          <w:sz w:val="20"/>
        </w:rPr>
        <w:t xml:space="preserve">inter </w:t>
      </w:r>
      <w:proofErr w:type="spellStart"/>
      <w:r>
        <w:rPr>
          <w:i/>
          <w:sz w:val="20"/>
        </w:rPr>
        <w:t>alia</w:t>
      </w:r>
      <w:proofErr w:type="spellEnd"/>
      <w:r>
        <w:rPr>
          <w:sz w:val="20"/>
        </w:rPr>
        <w:t>, i) para recabar declaraciones</w:t>
      </w:r>
      <w:r>
        <w:rPr>
          <w:spacing w:val="8"/>
          <w:sz w:val="20"/>
        </w:rPr>
        <w:t xml:space="preserve"> </w:t>
      </w:r>
      <w:r>
        <w:rPr>
          <w:sz w:val="20"/>
        </w:rPr>
        <w:t>de</w:t>
      </w:r>
    </w:p>
    <w:p w:rsidR="00E444C6" w:rsidRDefault="00932AF5">
      <w:pPr>
        <w:pStyle w:val="BodyText"/>
        <w:spacing w:before="9"/>
        <w:rPr>
          <w:sz w:val="10"/>
        </w:rPr>
      </w:pPr>
      <w:r>
        <w:rPr>
          <w:noProof/>
          <w:lang w:val="en-US" w:eastAsia="en-US" w:bidi="ar-SA"/>
        </w:rPr>
        <mc:AlternateContent>
          <mc:Choice Requires="wps">
            <w:drawing>
              <wp:anchor distT="0" distB="0" distL="0" distR="0" simplePos="0" relativeHeight="251658240" behindDoc="1" locked="0" layoutInCell="1" allowOverlap="1">
                <wp:simplePos x="0" y="0"/>
                <wp:positionH relativeFrom="page">
                  <wp:posOffset>743585</wp:posOffset>
                </wp:positionH>
                <wp:positionV relativeFrom="paragraph">
                  <wp:posOffset>111760</wp:posOffset>
                </wp:positionV>
                <wp:extent cx="1829435" cy="0"/>
                <wp:effectExtent l="10160" t="6985" r="8255"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8.8pt" to="202.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LH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" strokeweight=".6pt">
                <w10:wrap type="topAndBottom" anchorx="page"/>
              </v:line>
            </w:pict>
          </mc:Fallback>
        </mc:AlternateContent>
      </w:r>
    </w:p>
    <w:p w:rsidR="00E444C6" w:rsidRDefault="00FF1014">
      <w:pPr>
        <w:tabs>
          <w:tab w:val="left" w:pos="831"/>
        </w:tabs>
        <w:spacing w:before="74"/>
        <w:ind w:left="111" w:right="105"/>
        <w:jc w:val="both"/>
        <w:rPr>
          <w:sz w:val="16"/>
        </w:rPr>
      </w:pPr>
      <w:r>
        <w:rPr>
          <w:position w:val="7"/>
          <w:sz w:val="10"/>
        </w:rPr>
        <w:t>3</w:t>
      </w:r>
      <w:r>
        <w:rPr>
          <w:position w:val="7"/>
          <w:sz w:val="10"/>
        </w:rPr>
        <w:tab/>
      </w:r>
      <w:r>
        <w:rPr>
          <w:i/>
          <w:sz w:val="16"/>
        </w:rPr>
        <w:t xml:space="preserve">Cfr. Caso </w:t>
      </w:r>
      <w:proofErr w:type="spellStart"/>
      <w:r>
        <w:rPr>
          <w:i/>
          <w:sz w:val="16"/>
        </w:rPr>
        <w:t>Aloeboetoe</w:t>
      </w:r>
      <w:proofErr w:type="spellEnd"/>
      <w:r>
        <w:rPr>
          <w:i/>
          <w:sz w:val="16"/>
        </w:rPr>
        <w:t xml:space="preserve"> y otros Vs. Surinam. Reparaciones y Costas. </w:t>
      </w:r>
      <w:r>
        <w:rPr>
          <w:sz w:val="16"/>
        </w:rPr>
        <w:t>Sentencia de 10 de septiembre de 1993. Serie C No. 15, párr.</w:t>
      </w:r>
      <w:r>
        <w:rPr>
          <w:spacing w:val="-12"/>
          <w:sz w:val="16"/>
        </w:rPr>
        <w:t xml:space="preserve"> </w:t>
      </w:r>
      <w:r>
        <w:rPr>
          <w:sz w:val="16"/>
        </w:rPr>
        <w:t>40.</w:t>
      </w:r>
    </w:p>
    <w:p w:rsidR="00E444C6" w:rsidRDefault="00FF1014">
      <w:pPr>
        <w:tabs>
          <w:tab w:val="left" w:pos="831"/>
        </w:tabs>
        <w:spacing w:before="110"/>
        <w:ind w:left="111" w:right="101"/>
        <w:jc w:val="both"/>
        <w:rPr>
          <w:sz w:val="16"/>
        </w:rPr>
      </w:pPr>
      <w:r>
        <w:rPr>
          <w:position w:val="7"/>
          <w:sz w:val="10"/>
        </w:rPr>
        <w:t>4</w:t>
      </w:r>
      <w:r>
        <w:rPr>
          <w:position w:val="7"/>
          <w:sz w:val="10"/>
        </w:rPr>
        <w:tab/>
      </w:r>
      <w:r>
        <w:rPr>
          <w:i/>
          <w:sz w:val="16"/>
        </w:rPr>
        <w:t xml:space="preserve">Cfr. Caso </w:t>
      </w:r>
      <w:proofErr w:type="spellStart"/>
      <w:r>
        <w:rPr>
          <w:i/>
          <w:sz w:val="16"/>
        </w:rPr>
        <w:t>Bámaca</w:t>
      </w:r>
      <w:proofErr w:type="spellEnd"/>
      <w:r>
        <w:rPr>
          <w:i/>
          <w:sz w:val="16"/>
        </w:rPr>
        <w:t xml:space="preserve"> Velásquez Vs. Guatemala. Fondo. </w:t>
      </w:r>
      <w:r>
        <w:rPr>
          <w:sz w:val="16"/>
        </w:rPr>
        <w:t>Sentencia de 25 de noviembre de 2000. Serie C No. 70, párr.</w:t>
      </w:r>
      <w:r>
        <w:rPr>
          <w:spacing w:val="-1"/>
          <w:sz w:val="16"/>
        </w:rPr>
        <w:t xml:space="preserve"> </w:t>
      </w:r>
      <w:r>
        <w:rPr>
          <w:sz w:val="16"/>
        </w:rPr>
        <w:t>44.</w:t>
      </w:r>
    </w:p>
    <w:p w:rsidR="00E444C6" w:rsidRDefault="00FF1014">
      <w:pPr>
        <w:tabs>
          <w:tab w:val="left" w:pos="831"/>
        </w:tabs>
        <w:spacing w:before="110"/>
        <w:ind w:left="111" w:right="103"/>
        <w:jc w:val="both"/>
        <w:rPr>
          <w:sz w:val="16"/>
        </w:rPr>
      </w:pPr>
      <w:r>
        <w:rPr>
          <w:position w:val="7"/>
          <w:sz w:val="10"/>
        </w:rPr>
        <w:t>5</w:t>
      </w:r>
      <w:r>
        <w:rPr>
          <w:position w:val="7"/>
          <w:sz w:val="10"/>
        </w:rPr>
        <w:tab/>
      </w:r>
      <w:r>
        <w:rPr>
          <w:i/>
          <w:sz w:val="16"/>
        </w:rPr>
        <w:t>Cfr. Caso Loayza Tamayo Vs. Perú. Fondo</w:t>
      </w:r>
      <w:r>
        <w:rPr>
          <w:sz w:val="16"/>
        </w:rPr>
        <w:t xml:space="preserve">. Sentencia de 17 de septiembre de 1997. Serie C No. 33, </w:t>
      </w:r>
      <w:proofErr w:type="spellStart"/>
      <w:r>
        <w:rPr>
          <w:sz w:val="16"/>
        </w:rPr>
        <w:t>párrs</w:t>
      </w:r>
      <w:proofErr w:type="spellEnd"/>
      <w:r>
        <w:rPr>
          <w:sz w:val="16"/>
        </w:rPr>
        <w:t>. 15 y 16.</w:t>
      </w:r>
    </w:p>
    <w:p w:rsidR="00E444C6" w:rsidRDefault="00FF1014">
      <w:pPr>
        <w:tabs>
          <w:tab w:val="left" w:pos="831"/>
        </w:tabs>
        <w:spacing w:before="110"/>
        <w:ind w:left="111" w:right="105"/>
        <w:jc w:val="both"/>
        <w:rPr>
          <w:sz w:val="16"/>
        </w:rPr>
      </w:pPr>
      <w:r>
        <w:rPr>
          <w:position w:val="7"/>
          <w:sz w:val="10"/>
        </w:rPr>
        <w:t>6</w:t>
      </w:r>
      <w:r>
        <w:rPr>
          <w:position w:val="7"/>
          <w:sz w:val="10"/>
        </w:rPr>
        <w:tab/>
      </w:r>
      <w:r>
        <w:rPr>
          <w:i/>
          <w:sz w:val="16"/>
        </w:rPr>
        <w:t xml:space="preserve">Cfr. Caso Las Palmeras Vs. Colombia. Excepciones Preliminares. </w:t>
      </w:r>
      <w:r>
        <w:rPr>
          <w:sz w:val="16"/>
        </w:rPr>
        <w:t>Sentencia de 4 de febrero de 2000. Serie C No. 67, párr.</w:t>
      </w:r>
      <w:r>
        <w:rPr>
          <w:spacing w:val="-9"/>
          <w:sz w:val="16"/>
        </w:rPr>
        <w:t xml:space="preserve"> </w:t>
      </w:r>
      <w:r>
        <w:rPr>
          <w:sz w:val="16"/>
        </w:rPr>
        <w:t>27.</w:t>
      </w:r>
    </w:p>
    <w:p w:rsidR="00E444C6" w:rsidRPr="00932AF5" w:rsidRDefault="00FF1014">
      <w:pPr>
        <w:tabs>
          <w:tab w:val="left" w:pos="831"/>
        </w:tabs>
        <w:spacing w:before="111"/>
        <w:ind w:left="111" w:right="103"/>
        <w:jc w:val="both"/>
        <w:rPr>
          <w:sz w:val="16"/>
          <w:lang w:val="en-US"/>
        </w:rPr>
      </w:pPr>
      <w:r>
        <w:rPr>
          <w:position w:val="7"/>
          <w:sz w:val="10"/>
        </w:rPr>
        <w:t>7</w:t>
      </w:r>
      <w:r>
        <w:rPr>
          <w:position w:val="7"/>
          <w:sz w:val="10"/>
        </w:rPr>
        <w:tab/>
      </w:r>
      <w:r>
        <w:rPr>
          <w:sz w:val="16"/>
        </w:rPr>
        <w:t xml:space="preserve">Así por ejemplo, en el </w:t>
      </w:r>
      <w:r>
        <w:rPr>
          <w:i/>
          <w:sz w:val="16"/>
        </w:rPr>
        <w:t>Caso Caballero Delgado y Santana</w:t>
      </w:r>
      <w:r>
        <w:rPr>
          <w:i/>
          <w:sz w:val="16"/>
        </w:rPr>
        <w:t xml:space="preserve"> Vs. Colombia</w:t>
      </w:r>
      <w:r>
        <w:rPr>
          <w:sz w:val="16"/>
        </w:rPr>
        <w:t xml:space="preserve">, mediante resolución del Presidente de la Corte de 18 de julio de 1994 se resolvió “designar como experto de la Corte al profesor Bernardo Gaitán Mahecha para que </w:t>
      </w:r>
      <w:proofErr w:type="spellStart"/>
      <w:proofErr w:type="gramStart"/>
      <w:r>
        <w:rPr>
          <w:sz w:val="16"/>
        </w:rPr>
        <w:t>dirij</w:t>
      </w:r>
      <w:proofErr w:type="spellEnd"/>
      <w:r>
        <w:rPr>
          <w:sz w:val="16"/>
        </w:rPr>
        <w:t>[</w:t>
      </w:r>
      <w:proofErr w:type="spellStart"/>
      <w:proofErr w:type="gramEnd"/>
      <w:r>
        <w:rPr>
          <w:sz w:val="16"/>
        </w:rPr>
        <w:t>iera</w:t>
      </w:r>
      <w:proofErr w:type="spellEnd"/>
      <w:r>
        <w:rPr>
          <w:sz w:val="16"/>
        </w:rPr>
        <w:t xml:space="preserve">] el interrogatorio en territorio colombiano de la señora Rosa Delia </w:t>
      </w:r>
      <w:r>
        <w:rPr>
          <w:sz w:val="16"/>
        </w:rPr>
        <w:t>Valderrama quien, según la Comisión, por su serio estado de salud no p[</w:t>
      </w:r>
      <w:proofErr w:type="spellStart"/>
      <w:r>
        <w:rPr>
          <w:sz w:val="16"/>
        </w:rPr>
        <w:t>odía</w:t>
      </w:r>
      <w:proofErr w:type="spellEnd"/>
      <w:r>
        <w:rPr>
          <w:sz w:val="16"/>
        </w:rPr>
        <w:t xml:space="preserve">] viajar a San José, Costa Rica. La Secretaría de la Corte </w:t>
      </w:r>
      <w:proofErr w:type="spellStart"/>
      <w:proofErr w:type="gramStart"/>
      <w:r>
        <w:rPr>
          <w:sz w:val="16"/>
        </w:rPr>
        <w:t>deb</w:t>
      </w:r>
      <w:proofErr w:type="spellEnd"/>
      <w:r>
        <w:rPr>
          <w:sz w:val="16"/>
        </w:rPr>
        <w:t>[</w:t>
      </w:r>
      <w:proofErr w:type="spellStart"/>
      <w:proofErr w:type="gramEnd"/>
      <w:r>
        <w:rPr>
          <w:sz w:val="16"/>
        </w:rPr>
        <w:t>ió</w:t>
      </w:r>
      <w:proofErr w:type="spellEnd"/>
      <w:r>
        <w:rPr>
          <w:sz w:val="16"/>
        </w:rPr>
        <w:t>] brindarle toda la información necesaria para poder llevar a cabo esta diligencia”. Asimismo, se estableció que dic</w:t>
      </w:r>
      <w:r>
        <w:rPr>
          <w:sz w:val="16"/>
        </w:rPr>
        <w:t xml:space="preserve">ha declaración debía ser rendida en presencia del agente del Estado en dicho caso, así como del delegado de la Comisión. </w:t>
      </w:r>
      <w:r>
        <w:rPr>
          <w:i/>
          <w:sz w:val="16"/>
        </w:rPr>
        <w:t>Cfr. Caso Caballero Delgado y Santana Vs. Colombia. Excepciones Preliminares</w:t>
      </w:r>
      <w:r>
        <w:rPr>
          <w:sz w:val="16"/>
        </w:rPr>
        <w:t>. Sentencia de 21 de enero de 1994. Serie C No. 17, párr.</w:t>
      </w:r>
      <w:r>
        <w:rPr>
          <w:spacing w:val="-11"/>
          <w:sz w:val="16"/>
        </w:rPr>
        <w:t xml:space="preserve"> </w:t>
      </w:r>
      <w:r w:rsidRPr="00932AF5">
        <w:rPr>
          <w:sz w:val="16"/>
          <w:lang w:val="en-US"/>
        </w:rPr>
        <w:t>1</w:t>
      </w:r>
      <w:r w:rsidRPr="00932AF5">
        <w:rPr>
          <w:sz w:val="16"/>
          <w:lang w:val="en-US"/>
        </w:rPr>
        <w:t>6.</w:t>
      </w:r>
    </w:p>
    <w:p w:rsidR="00E444C6" w:rsidRPr="00932AF5" w:rsidRDefault="00FF1014">
      <w:pPr>
        <w:tabs>
          <w:tab w:val="left" w:pos="831"/>
        </w:tabs>
        <w:spacing w:before="110" w:line="249" w:lineRule="auto"/>
        <w:ind w:left="111" w:right="104"/>
        <w:jc w:val="both"/>
        <w:rPr>
          <w:sz w:val="16"/>
          <w:lang w:val="en-US"/>
        </w:rPr>
      </w:pPr>
      <w:proofErr w:type="gramStart"/>
      <w:r w:rsidRPr="00932AF5">
        <w:rPr>
          <w:rFonts w:ascii="Times New Roman"/>
          <w:position w:val="7"/>
          <w:sz w:val="10"/>
          <w:lang w:val="en-US"/>
        </w:rPr>
        <w:t>8</w:t>
      </w:r>
      <w:r w:rsidRPr="00932AF5">
        <w:rPr>
          <w:rFonts w:ascii="Times New Roman"/>
          <w:position w:val="7"/>
          <w:sz w:val="10"/>
          <w:lang w:val="en-US"/>
        </w:rPr>
        <w:tab/>
      </w:r>
      <w:proofErr w:type="spellStart"/>
      <w:r w:rsidRPr="00932AF5">
        <w:rPr>
          <w:i/>
          <w:sz w:val="16"/>
          <w:lang w:val="en-US"/>
        </w:rPr>
        <w:t>Cfr</w:t>
      </w:r>
      <w:proofErr w:type="spellEnd"/>
      <w:r w:rsidRPr="00932AF5">
        <w:rPr>
          <w:i/>
          <w:sz w:val="16"/>
          <w:lang w:val="en-US"/>
        </w:rPr>
        <w:t>. International Court of Justice.</w:t>
      </w:r>
      <w:proofErr w:type="gramEnd"/>
      <w:r w:rsidRPr="00932AF5">
        <w:rPr>
          <w:i/>
          <w:sz w:val="16"/>
          <w:lang w:val="en-US"/>
        </w:rPr>
        <w:t xml:space="preserve"> Case </w:t>
      </w:r>
      <w:proofErr w:type="spellStart"/>
      <w:r w:rsidRPr="00932AF5">
        <w:rPr>
          <w:i/>
          <w:sz w:val="16"/>
          <w:lang w:val="en-US"/>
        </w:rPr>
        <w:t>GabCikovo</w:t>
      </w:r>
      <w:proofErr w:type="spellEnd"/>
      <w:r w:rsidRPr="00932AF5">
        <w:rPr>
          <w:i/>
          <w:sz w:val="16"/>
          <w:lang w:val="en-US"/>
        </w:rPr>
        <w:t xml:space="preserve">- </w:t>
      </w:r>
      <w:proofErr w:type="spellStart"/>
      <w:r w:rsidRPr="00932AF5">
        <w:rPr>
          <w:i/>
          <w:sz w:val="16"/>
          <w:lang w:val="en-US"/>
        </w:rPr>
        <w:t>Nagymaros</w:t>
      </w:r>
      <w:proofErr w:type="spellEnd"/>
      <w:r w:rsidRPr="00932AF5">
        <w:rPr>
          <w:i/>
          <w:sz w:val="16"/>
          <w:lang w:val="en-US"/>
        </w:rPr>
        <w:t xml:space="preserve"> Project (Hungary/Slovakia), Order of 5 February 1997, I.C.J. Reports 1997, p.</w:t>
      </w:r>
      <w:r w:rsidRPr="00932AF5">
        <w:rPr>
          <w:i/>
          <w:spacing w:val="-11"/>
          <w:sz w:val="16"/>
          <w:lang w:val="en-US"/>
        </w:rPr>
        <w:t xml:space="preserve"> </w:t>
      </w:r>
      <w:r w:rsidRPr="00932AF5">
        <w:rPr>
          <w:i/>
          <w:sz w:val="16"/>
          <w:lang w:val="en-US"/>
        </w:rPr>
        <w:t>3</w:t>
      </w:r>
      <w:r w:rsidRPr="00932AF5">
        <w:rPr>
          <w:sz w:val="16"/>
          <w:lang w:val="en-US"/>
        </w:rPr>
        <w:t>.</w:t>
      </w:r>
    </w:p>
    <w:p w:rsidR="00E444C6" w:rsidRDefault="00FF1014">
      <w:pPr>
        <w:tabs>
          <w:tab w:val="left" w:pos="831"/>
        </w:tabs>
        <w:spacing w:before="102"/>
        <w:ind w:left="111"/>
        <w:jc w:val="both"/>
        <w:rPr>
          <w:sz w:val="16"/>
        </w:rPr>
      </w:pPr>
      <w:r>
        <w:rPr>
          <w:position w:val="7"/>
          <w:sz w:val="10"/>
        </w:rPr>
        <w:t>9</w:t>
      </w:r>
      <w:r>
        <w:rPr>
          <w:position w:val="7"/>
          <w:sz w:val="10"/>
        </w:rPr>
        <w:tab/>
      </w:r>
      <w:r>
        <w:rPr>
          <w:sz w:val="16"/>
        </w:rPr>
        <w:t>Convenio para la Protección de los Derechos Humanos y de las Libertades Fundamentales, artículo 38</w:t>
      </w:r>
      <w:r>
        <w:rPr>
          <w:spacing w:val="-17"/>
          <w:sz w:val="16"/>
        </w:rPr>
        <w:t xml:space="preserve"> </w:t>
      </w:r>
      <w:r>
        <w:rPr>
          <w:sz w:val="16"/>
        </w:rPr>
        <w:t>(1).</w:t>
      </w:r>
    </w:p>
    <w:p w:rsidR="00E444C6" w:rsidRDefault="00FF1014">
      <w:pPr>
        <w:tabs>
          <w:tab w:val="left" w:pos="831"/>
        </w:tabs>
        <w:spacing w:before="113"/>
        <w:ind w:left="111"/>
        <w:jc w:val="both"/>
        <w:rPr>
          <w:sz w:val="16"/>
        </w:rPr>
      </w:pPr>
      <w:r>
        <w:rPr>
          <w:position w:val="7"/>
          <w:sz w:val="10"/>
        </w:rPr>
        <w:t>1</w:t>
      </w:r>
      <w:r>
        <w:rPr>
          <w:position w:val="7"/>
          <w:sz w:val="10"/>
        </w:rPr>
        <w:t>0</w:t>
      </w:r>
      <w:r>
        <w:rPr>
          <w:position w:val="7"/>
          <w:sz w:val="10"/>
        </w:rPr>
        <w:tab/>
      </w:r>
      <w:r>
        <w:rPr>
          <w:sz w:val="16"/>
        </w:rPr>
        <w:t>Reglamento de la Corte Europea de Derechos Humanos, Anexo, Regla A1</w:t>
      </w:r>
      <w:r>
        <w:rPr>
          <w:spacing w:val="-9"/>
          <w:sz w:val="16"/>
        </w:rPr>
        <w:t xml:space="preserve"> </w:t>
      </w:r>
      <w:r>
        <w:rPr>
          <w:sz w:val="16"/>
        </w:rPr>
        <w:t>(1).</w:t>
      </w:r>
    </w:p>
    <w:p w:rsidR="00E444C6" w:rsidRDefault="00E444C6">
      <w:pPr>
        <w:jc w:val="both"/>
        <w:rPr>
          <w:sz w:val="16"/>
        </w:rPr>
        <w:sectPr w:rsidR="00E444C6">
          <w:pgSz w:w="12240" w:h="15840"/>
          <w:pgMar w:top="1320" w:right="1240" w:bottom="280" w:left="1060" w:header="717" w:footer="0" w:gutter="0"/>
          <w:cols w:space="720"/>
        </w:sectPr>
      </w:pPr>
    </w:p>
    <w:p w:rsidR="00E444C6" w:rsidRDefault="00FF1014">
      <w:pPr>
        <w:pStyle w:val="BodyText"/>
        <w:spacing w:before="89"/>
        <w:ind w:left="111" w:right="104"/>
        <w:jc w:val="both"/>
      </w:pPr>
      <w:proofErr w:type="gramStart"/>
      <w:r>
        <w:lastRenderedPageBreak/>
        <w:t>testigos</w:t>
      </w:r>
      <w:proofErr w:type="gramEnd"/>
      <w:r>
        <w:t>, altas autoridades del Estado, representantes de misiones internacionales, integrantes de ONG, personal diplomático (“</w:t>
      </w:r>
      <w:proofErr w:type="spellStart"/>
      <w:r>
        <w:rPr>
          <w:i/>
        </w:rPr>
        <w:t>fact-finding</w:t>
      </w:r>
      <w:proofErr w:type="spellEnd"/>
      <w:r>
        <w:rPr>
          <w:i/>
        </w:rPr>
        <w:t xml:space="preserve"> </w:t>
      </w:r>
      <w:proofErr w:type="spellStart"/>
      <w:r>
        <w:rPr>
          <w:i/>
        </w:rPr>
        <w:t>hearings</w:t>
      </w:r>
      <w:proofErr w:type="spellEnd"/>
      <w:r>
        <w:t>”)</w:t>
      </w:r>
      <w:r>
        <w:rPr>
          <w:vertAlign w:val="superscript"/>
        </w:rPr>
        <w:t>11</w:t>
      </w:r>
      <w:r>
        <w:t xml:space="preserve">; ii) o para llevar a cabo investigaciones </w:t>
      </w:r>
      <w:r>
        <w:rPr>
          <w:i/>
        </w:rPr>
        <w:t xml:space="preserve">in situ </w:t>
      </w:r>
      <w:r>
        <w:t>(“</w:t>
      </w:r>
      <w:proofErr w:type="spellStart"/>
      <w:r>
        <w:rPr>
          <w:i/>
        </w:rPr>
        <w:t>on</w:t>
      </w:r>
      <w:proofErr w:type="spellEnd"/>
      <w:r>
        <w:rPr>
          <w:i/>
        </w:rPr>
        <w:t>-</w:t>
      </w:r>
      <w:proofErr w:type="spellStart"/>
      <w:r>
        <w:rPr>
          <w:i/>
        </w:rPr>
        <w:t>the</w:t>
      </w:r>
      <w:proofErr w:type="spellEnd"/>
      <w:r>
        <w:rPr>
          <w:i/>
        </w:rPr>
        <w:t xml:space="preserve">-spot </w:t>
      </w:r>
      <w:proofErr w:type="spellStart"/>
      <w:r>
        <w:rPr>
          <w:i/>
        </w:rPr>
        <w:t>investigations</w:t>
      </w:r>
      <w:proofErr w:type="spellEnd"/>
      <w:r>
        <w:t>”), que pueden ser, entre otros, visitas a centros de detención</w:t>
      </w:r>
      <w:r>
        <w:rPr>
          <w:vertAlign w:val="superscript"/>
        </w:rPr>
        <w:t>12</w:t>
      </w:r>
      <w:r>
        <w:t>, visitas con el objetivo de recabar documentación y obtener información sobre la situación en el terreno</w:t>
      </w:r>
      <w:r>
        <w:rPr>
          <w:vertAlign w:val="superscript"/>
        </w:rPr>
        <w:t>13</w:t>
      </w:r>
      <w:r>
        <w:t xml:space="preserve"> o en</w:t>
      </w:r>
      <w:r>
        <w:t xml:space="preserve"> visitas para determinar la ocurrencia de hechos alegados por las partes</w:t>
      </w:r>
      <w:r>
        <w:rPr>
          <w:vertAlign w:val="superscript"/>
        </w:rPr>
        <w:t>14</w:t>
      </w:r>
      <w:r>
        <w:t>. La Corte Penal Internacional y el Tribunal Penal para la Ex Yugoslavia también han realizado misiones de diligencias probatorias.</w:t>
      </w:r>
    </w:p>
    <w:p w:rsidR="00E444C6" w:rsidRDefault="00FF1014">
      <w:pPr>
        <w:pStyle w:val="ListParagraph"/>
        <w:numPr>
          <w:ilvl w:val="0"/>
          <w:numId w:val="2"/>
        </w:numPr>
        <w:tabs>
          <w:tab w:val="left" w:pos="832"/>
        </w:tabs>
        <w:spacing w:before="120"/>
        <w:ind w:left="111" w:right="113" w:firstLine="0"/>
        <w:jc w:val="both"/>
        <w:rPr>
          <w:sz w:val="20"/>
        </w:rPr>
      </w:pPr>
      <w:r>
        <w:rPr>
          <w:sz w:val="20"/>
        </w:rPr>
        <w:t>Durante la audiencia pública celebrada en el prese</w:t>
      </w:r>
      <w:r>
        <w:rPr>
          <w:sz w:val="20"/>
        </w:rPr>
        <w:t xml:space="preserve">nte caso, una de las presuntas víctimas, la señora </w:t>
      </w:r>
      <w:proofErr w:type="spellStart"/>
      <w:r>
        <w:rPr>
          <w:sz w:val="20"/>
        </w:rPr>
        <w:t>Ena</w:t>
      </w:r>
      <w:proofErr w:type="spellEnd"/>
      <w:r>
        <w:rPr>
          <w:sz w:val="20"/>
        </w:rPr>
        <w:t xml:space="preserve"> Santi solicitó a la Corte que se constituyera en </w:t>
      </w:r>
      <w:proofErr w:type="spellStart"/>
      <w:r>
        <w:rPr>
          <w:sz w:val="20"/>
        </w:rPr>
        <w:t>Sarayaku</w:t>
      </w:r>
      <w:proofErr w:type="spellEnd"/>
      <w:r>
        <w:rPr>
          <w:sz w:val="20"/>
        </w:rPr>
        <w:t xml:space="preserve"> manifestando en su</w:t>
      </w:r>
      <w:r>
        <w:rPr>
          <w:spacing w:val="-1"/>
          <w:sz w:val="20"/>
        </w:rPr>
        <w:t xml:space="preserve"> </w:t>
      </w:r>
      <w:r>
        <w:rPr>
          <w:sz w:val="20"/>
        </w:rPr>
        <w:t>declaración:</w:t>
      </w:r>
    </w:p>
    <w:p w:rsidR="00E444C6" w:rsidRDefault="00FF1014">
      <w:pPr>
        <w:spacing w:before="123"/>
        <w:ind w:left="831" w:right="103" w:firstLine="55"/>
        <w:jc w:val="both"/>
        <w:rPr>
          <w:sz w:val="16"/>
        </w:rPr>
      </w:pPr>
      <w:r>
        <w:rPr>
          <w:sz w:val="16"/>
        </w:rPr>
        <w:t xml:space="preserve">“el Estado dice que ha dado proyectos en beneficio de </w:t>
      </w:r>
      <w:proofErr w:type="spellStart"/>
      <w:r>
        <w:rPr>
          <w:sz w:val="16"/>
        </w:rPr>
        <w:t>Sarayaku</w:t>
      </w:r>
      <w:proofErr w:type="spellEnd"/>
      <w:r>
        <w:rPr>
          <w:sz w:val="16"/>
        </w:rPr>
        <w:t xml:space="preserve">. El Estado dio sí algunos proyectos […] pero tampoco lo cumplió… están invitados a </w:t>
      </w:r>
      <w:proofErr w:type="spellStart"/>
      <w:r>
        <w:rPr>
          <w:sz w:val="16"/>
        </w:rPr>
        <w:t>Sarayaku</w:t>
      </w:r>
      <w:proofErr w:type="spellEnd"/>
      <w:r>
        <w:rPr>
          <w:sz w:val="16"/>
        </w:rPr>
        <w:t xml:space="preserve"> para verificar como está la situación de los proyectos que ha dado el Estado” (Minuto 49.05 – 49.25 d</w:t>
      </w:r>
      <w:r>
        <w:rPr>
          <w:sz w:val="16"/>
        </w:rPr>
        <w:t xml:space="preserve">e la grabación). “Señores jueces de la Corte Interamericana, estoy invitando para que lleguen a </w:t>
      </w:r>
      <w:proofErr w:type="spellStart"/>
      <w:r>
        <w:rPr>
          <w:sz w:val="16"/>
        </w:rPr>
        <w:t>Sarayaku</w:t>
      </w:r>
      <w:proofErr w:type="spellEnd"/>
      <w:r>
        <w:rPr>
          <w:sz w:val="16"/>
        </w:rPr>
        <w:t xml:space="preserve"> para que verifiquen </w:t>
      </w:r>
      <w:r>
        <w:rPr>
          <w:i/>
          <w:sz w:val="16"/>
        </w:rPr>
        <w:t xml:space="preserve">in situ </w:t>
      </w:r>
      <w:r>
        <w:rPr>
          <w:sz w:val="16"/>
        </w:rPr>
        <w:t>las obras del Gobierno, a ver si hay una pista hermosa y linda hecha por el Estado, si hay puentes acabados, y todas aquell</w:t>
      </w:r>
      <w:r>
        <w:rPr>
          <w:sz w:val="16"/>
        </w:rPr>
        <w:t xml:space="preserve">as obras que dicen haber dado al Pueblo </w:t>
      </w:r>
      <w:proofErr w:type="spellStart"/>
      <w:r>
        <w:rPr>
          <w:sz w:val="16"/>
        </w:rPr>
        <w:t>Sarayaku</w:t>
      </w:r>
      <w:proofErr w:type="spellEnd"/>
      <w:r>
        <w:rPr>
          <w:sz w:val="16"/>
        </w:rPr>
        <w:t>, lleguen hasta allá, los vamos a esperar […]” (Minuto 55.00 - 55.22 de la grabación).</w:t>
      </w:r>
    </w:p>
    <w:p w:rsidR="00E444C6" w:rsidRDefault="00FF1014">
      <w:pPr>
        <w:pStyle w:val="ListParagraph"/>
        <w:numPr>
          <w:ilvl w:val="0"/>
          <w:numId w:val="2"/>
        </w:numPr>
        <w:tabs>
          <w:tab w:val="left" w:pos="832"/>
        </w:tabs>
        <w:spacing w:before="118"/>
        <w:ind w:left="111" w:firstLine="0"/>
        <w:jc w:val="both"/>
        <w:rPr>
          <w:sz w:val="20"/>
        </w:rPr>
      </w:pPr>
      <w:r>
        <w:rPr>
          <w:sz w:val="20"/>
        </w:rPr>
        <w:t xml:space="preserve">Si bien el Estado solicitó una visita a “las Comunidades del Río </w:t>
      </w:r>
      <w:proofErr w:type="spellStart"/>
      <w:r>
        <w:rPr>
          <w:sz w:val="20"/>
        </w:rPr>
        <w:t>Bobonaza</w:t>
      </w:r>
      <w:proofErr w:type="spellEnd"/>
      <w:r>
        <w:rPr>
          <w:sz w:val="20"/>
        </w:rPr>
        <w:t xml:space="preserve">”, el caso sometido a conocimiento del Tribunal </w:t>
      </w:r>
      <w:r>
        <w:rPr>
          <w:sz w:val="20"/>
        </w:rPr>
        <w:t xml:space="preserve">se refiere a hechos que se alega ocurrieron en el territorio </w:t>
      </w:r>
      <w:proofErr w:type="spellStart"/>
      <w:r>
        <w:rPr>
          <w:sz w:val="20"/>
        </w:rPr>
        <w:t>Sarayaku</w:t>
      </w:r>
      <w:proofErr w:type="spellEnd"/>
      <w:r>
        <w:rPr>
          <w:sz w:val="20"/>
        </w:rPr>
        <w:t xml:space="preserve"> y en zonas aledañas. Dada la naturaleza del objeto del litigio, la Corte considera útil realizar, de manera especial y excepcional, en aplicación del artículo 58.a) y 58.b) del Reglament</w:t>
      </w:r>
      <w:r>
        <w:rPr>
          <w:sz w:val="20"/>
        </w:rPr>
        <w:t>o y para complementar el acervo probatorio, diligencias encaminadas a obtener información adicional acerca de la situación de las presuntas víctimas y lugares en que habrían ocurrido algunos de los hechos alegados, mediante una visita de una delegación del</w:t>
      </w:r>
      <w:r>
        <w:rPr>
          <w:sz w:val="20"/>
        </w:rPr>
        <w:t xml:space="preserve"> Tribunal, conformada por su Presidente, su Secretario y dos miembros del personal de su Secretaría, al territorio del Pueblo </w:t>
      </w:r>
      <w:proofErr w:type="spellStart"/>
      <w:r>
        <w:rPr>
          <w:sz w:val="20"/>
        </w:rPr>
        <w:t>Kichwa</w:t>
      </w:r>
      <w:proofErr w:type="spellEnd"/>
      <w:r>
        <w:rPr>
          <w:sz w:val="20"/>
        </w:rPr>
        <w:t xml:space="preserve"> de </w:t>
      </w:r>
      <w:proofErr w:type="spellStart"/>
      <w:r>
        <w:rPr>
          <w:sz w:val="20"/>
        </w:rPr>
        <w:t>Sarayaku</w:t>
      </w:r>
      <w:proofErr w:type="spellEnd"/>
      <w:r>
        <w:rPr>
          <w:sz w:val="20"/>
        </w:rPr>
        <w:t xml:space="preserve"> en el</w:t>
      </w:r>
      <w:r>
        <w:rPr>
          <w:spacing w:val="-2"/>
          <w:sz w:val="20"/>
        </w:rPr>
        <w:t xml:space="preserve"> </w:t>
      </w:r>
      <w:r>
        <w:rPr>
          <w:sz w:val="20"/>
        </w:rPr>
        <w:t>Ecuador.</w:t>
      </w:r>
    </w:p>
    <w:p w:rsidR="00E444C6" w:rsidRDefault="00FF1014">
      <w:pPr>
        <w:pStyle w:val="ListParagraph"/>
        <w:numPr>
          <w:ilvl w:val="0"/>
          <w:numId w:val="2"/>
        </w:numPr>
        <w:tabs>
          <w:tab w:val="left" w:pos="832"/>
        </w:tabs>
        <w:ind w:left="111" w:right="107" w:firstLine="0"/>
        <w:jc w:val="both"/>
        <w:rPr>
          <w:sz w:val="20"/>
        </w:rPr>
      </w:pPr>
      <w:r>
        <w:rPr>
          <w:sz w:val="20"/>
        </w:rPr>
        <w:t>Conforme al principio del contradictorio y en aras de mantener el equilibrio procesal, la visita</w:t>
      </w:r>
      <w:r>
        <w:rPr>
          <w:sz w:val="20"/>
        </w:rPr>
        <w:t xml:space="preserve"> se realizará con la participación de representantes de las presuntas víctimas, de la Comisión Interamericana y del Estado, si lo estiman</w:t>
      </w:r>
      <w:r>
        <w:rPr>
          <w:spacing w:val="-3"/>
          <w:sz w:val="20"/>
        </w:rPr>
        <w:t xml:space="preserve"> </w:t>
      </w:r>
      <w:r>
        <w:rPr>
          <w:sz w:val="20"/>
        </w:rPr>
        <w:t>necesario.</w:t>
      </w:r>
    </w:p>
    <w:p w:rsidR="00E444C6" w:rsidRDefault="00FF1014">
      <w:pPr>
        <w:pStyle w:val="ListParagraph"/>
        <w:numPr>
          <w:ilvl w:val="0"/>
          <w:numId w:val="2"/>
        </w:numPr>
        <w:tabs>
          <w:tab w:val="left" w:pos="832"/>
        </w:tabs>
        <w:ind w:left="111" w:right="104" w:firstLine="0"/>
        <w:jc w:val="both"/>
        <w:rPr>
          <w:sz w:val="20"/>
        </w:rPr>
      </w:pPr>
      <w:r>
        <w:rPr>
          <w:sz w:val="20"/>
        </w:rPr>
        <w:t xml:space="preserve">La diligencia </w:t>
      </w:r>
      <w:r>
        <w:rPr>
          <w:i/>
          <w:sz w:val="20"/>
        </w:rPr>
        <w:t xml:space="preserve">in situ </w:t>
      </w:r>
      <w:r>
        <w:rPr>
          <w:sz w:val="20"/>
        </w:rPr>
        <w:t xml:space="preserve">se llevará a cabo en lugares del territorio del Pueblo </w:t>
      </w:r>
      <w:proofErr w:type="spellStart"/>
      <w:r>
        <w:rPr>
          <w:sz w:val="20"/>
        </w:rPr>
        <w:t>Kichwa</w:t>
      </w:r>
      <w:proofErr w:type="spellEnd"/>
      <w:r>
        <w:rPr>
          <w:sz w:val="20"/>
        </w:rPr>
        <w:t xml:space="preserve"> de </w:t>
      </w:r>
      <w:proofErr w:type="spellStart"/>
      <w:r>
        <w:rPr>
          <w:sz w:val="20"/>
        </w:rPr>
        <w:t>Sarayaku</w:t>
      </w:r>
      <w:proofErr w:type="spellEnd"/>
      <w:r>
        <w:rPr>
          <w:sz w:val="20"/>
        </w:rPr>
        <w:t xml:space="preserve"> en que se a</w:t>
      </w:r>
      <w:r>
        <w:rPr>
          <w:sz w:val="20"/>
        </w:rPr>
        <w:t>lega ocurrieron hechos incluidos en el marco fáctico del caso, siempre que pueda garantizarse el acceso en condiciones de seguridad y se ajuste al cronograma</w:t>
      </w:r>
      <w:r>
        <w:rPr>
          <w:spacing w:val="-27"/>
          <w:sz w:val="20"/>
        </w:rPr>
        <w:t xml:space="preserve"> </w:t>
      </w:r>
      <w:r>
        <w:rPr>
          <w:sz w:val="20"/>
        </w:rPr>
        <w:t>planeado.</w:t>
      </w:r>
    </w:p>
    <w:p w:rsidR="00E444C6" w:rsidRDefault="00FF1014">
      <w:pPr>
        <w:pStyle w:val="ListParagraph"/>
        <w:numPr>
          <w:ilvl w:val="0"/>
          <w:numId w:val="2"/>
        </w:numPr>
        <w:tabs>
          <w:tab w:val="left" w:pos="832"/>
        </w:tabs>
        <w:spacing w:before="118"/>
        <w:ind w:left="111" w:right="102" w:firstLine="0"/>
        <w:jc w:val="both"/>
        <w:rPr>
          <w:sz w:val="20"/>
        </w:rPr>
      </w:pPr>
      <w:r>
        <w:rPr>
          <w:sz w:val="20"/>
        </w:rPr>
        <w:t>En cuanto a la modalidad de la diligencia, el Estado deberá adoptar las medidas necesari</w:t>
      </w:r>
      <w:r>
        <w:rPr>
          <w:sz w:val="20"/>
        </w:rPr>
        <w:t>as</w:t>
      </w:r>
      <w:r>
        <w:rPr>
          <w:spacing w:val="-2"/>
          <w:sz w:val="20"/>
        </w:rPr>
        <w:t xml:space="preserve"> </w:t>
      </w:r>
      <w:r>
        <w:rPr>
          <w:sz w:val="20"/>
        </w:rPr>
        <w:t>para:</w:t>
      </w:r>
    </w:p>
    <w:p w:rsidR="00E444C6" w:rsidRDefault="00FF1014">
      <w:pPr>
        <w:pStyle w:val="ListParagraph"/>
        <w:numPr>
          <w:ilvl w:val="1"/>
          <w:numId w:val="2"/>
        </w:numPr>
        <w:tabs>
          <w:tab w:val="left" w:pos="832"/>
        </w:tabs>
        <w:ind w:right="110"/>
        <w:jc w:val="both"/>
        <w:rPr>
          <w:sz w:val="20"/>
        </w:rPr>
      </w:pPr>
      <w:r>
        <w:rPr>
          <w:sz w:val="20"/>
        </w:rPr>
        <w:t>Realizar, en coordinación con la Secretaría de la Corte, los preparativos administrativos y logísticos para organizar los viajes, hospedaje y cubrir los gastos pertinentes para la efectiva realización de la diligencia por parte de la delegación de</w:t>
      </w:r>
      <w:r>
        <w:rPr>
          <w:sz w:val="20"/>
        </w:rPr>
        <w:t>l</w:t>
      </w:r>
      <w:r>
        <w:rPr>
          <w:spacing w:val="-9"/>
          <w:sz w:val="20"/>
        </w:rPr>
        <w:t xml:space="preserve"> </w:t>
      </w:r>
      <w:r>
        <w:rPr>
          <w:sz w:val="20"/>
        </w:rPr>
        <w:t>Tribunal.</w:t>
      </w:r>
    </w:p>
    <w:p w:rsidR="00E444C6" w:rsidRDefault="00FF1014">
      <w:pPr>
        <w:pStyle w:val="ListParagraph"/>
        <w:numPr>
          <w:ilvl w:val="1"/>
          <w:numId w:val="2"/>
        </w:numPr>
        <w:tabs>
          <w:tab w:val="left" w:pos="832"/>
        </w:tabs>
        <w:ind w:right="111"/>
        <w:jc w:val="both"/>
        <w:rPr>
          <w:sz w:val="20"/>
        </w:rPr>
      </w:pPr>
      <w:r>
        <w:rPr>
          <w:sz w:val="20"/>
        </w:rPr>
        <w:t>Coordinar la realización de la diligencia con los representantes de las presuntas víctimas y la Comisión</w:t>
      </w:r>
      <w:r>
        <w:rPr>
          <w:spacing w:val="-3"/>
          <w:sz w:val="20"/>
        </w:rPr>
        <w:t xml:space="preserve"> </w:t>
      </w:r>
      <w:r>
        <w:rPr>
          <w:sz w:val="20"/>
        </w:rPr>
        <w:t>Interamericana.</w:t>
      </w:r>
    </w:p>
    <w:p w:rsidR="00E444C6" w:rsidRDefault="00932AF5">
      <w:pPr>
        <w:pStyle w:val="BodyText"/>
        <w:spacing w:before="3"/>
        <w:rPr>
          <w:sz w:val="26"/>
        </w:rPr>
      </w:pPr>
      <w:r>
        <w:rPr>
          <w:noProof/>
          <w:lang w:val="en-US" w:eastAsia="en-US" w:bidi="ar-SA"/>
        </w:rPr>
        <mc:AlternateContent>
          <mc:Choice Requires="wps">
            <w:drawing>
              <wp:anchor distT="0" distB="0" distL="0" distR="0" simplePos="0" relativeHeight="251659264" behindDoc="1" locked="0" layoutInCell="1" allowOverlap="1">
                <wp:simplePos x="0" y="0"/>
                <wp:positionH relativeFrom="page">
                  <wp:posOffset>743585</wp:posOffset>
                </wp:positionH>
                <wp:positionV relativeFrom="paragraph">
                  <wp:posOffset>231140</wp:posOffset>
                </wp:positionV>
                <wp:extent cx="1829435" cy="0"/>
                <wp:effectExtent l="10160" t="12065" r="8255"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8.2pt" to="202.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" strokeweight=".6pt">
                <w10:wrap type="topAndBottom" anchorx="page"/>
              </v:line>
            </w:pict>
          </mc:Fallback>
        </mc:AlternateContent>
      </w:r>
    </w:p>
    <w:p w:rsidR="00E444C6" w:rsidRPr="00932AF5" w:rsidRDefault="00FF1014">
      <w:pPr>
        <w:tabs>
          <w:tab w:val="left" w:pos="831"/>
        </w:tabs>
        <w:spacing w:before="71" w:line="244" w:lineRule="auto"/>
        <w:ind w:left="111" w:right="102"/>
        <w:jc w:val="both"/>
        <w:rPr>
          <w:i/>
          <w:sz w:val="16"/>
          <w:lang w:val="en-US"/>
        </w:rPr>
      </w:pPr>
      <w:r w:rsidRPr="00932AF5">
        <w:rPr>
          <w:rFonts w:ascii="Times New Roman"/>
          <w:position w:val="7"/>
          <w:sz w:val="10"/>
          <w:lang w:val="en-US"/>
        </w:rPr>
        <w:t>11</w:t>
      </w:r>
      <w:r w:rsidRPr="00932AF5">
        <w:rPr>
          <w:rFonts w:ascii="Times New Roman"/>
          <w:position w:val="7"/>
          <w:sz w:val="10"/>
          <w:lang w:val="en-US"/>
        </w:rPr>
        <w:tab/>
      </w:r>
      <w:proofErr w:type="spellStart"/>
      <w:r w:rsidRPr="00932AF5">
        <w:rPr>
          <w:i/>
          <w:sz w:val="16"/>
          <w:lang w:val="en-US"/>
        </w:rPr>
        <w:t>Cfr</w:t>
      </w:r>
      <w:proofErr w:type="spellEnd"/>
      <w:r w:rsidRPr="00932AF5">
        <w:rPr>
          <w:i/>
          <w:sz w:val="16"/>
          <w:lang w:val="en-US"/>
        </w:rPr>
        <w:t xml:space="preserve">. </w:t>
      </w:r>
      <w:r w:rsidRPr="00932AF5">
        <w:rPr>
          <w:sz w:val="16"/>
          <w:lang w:val="en-US"/>
        </w:rPr>
        <w:t xml:space="preserve">E.C.H.R., </w:t>
      </w:r>
      <w:proofErr w:type="spellStart"/>
      <w:r w:rsidRPr="00932AF5">
        <w:rPr>
          <w:i/>
          <w:color w:val="221F1F"/>
          <w:sz w:val="16"/>
          <w:lang w:val="en-US"/>
        </w:rPr>
        <w:t>Tekin</w:t>
      </w:r>
      <w:proofErr w:type="spellEnd"/>
      <w:r w:rsidRPr="00932AF5">
        <w:rPr>
          <w:i/>
          <w:color w:val="221F1F"/>
          <w:sz w:val="16"/>
          <w:lang w:val="en-US"/>
        </w:rPr>
        <w:t xml:space="preserve"> </w:t>
      </w:r>
      <w:proofErr w:type="spellStart"/>
      <w:r w:rsidRPr="00932AF5">
        <w:rPr>
          <w:i/>
          <w:color w:val="221F1F"/>
          <w:sz w:val="16"/>
          <w:lang w:val="en-US"/>
        </w:rPr>
        <w:t>Yildiz</w:t>
      </w:r>
      <w:proofErr w:type="spellEnd"/>
      <w:r w:rsidRPr="00932AF5">
        <w:rPr>
          <w:i/>
          <w:color w:val="221F1F"/>
          <w:sz w:val="16"/>
          <w:lang w:val="en-US"/>
        </w:rPr>
        <w:t xml:space="preserve"> v Turkey</w:t>
      </w:r>
      <w:r w:rsidRPr="00932AF5">
        <w:rPr>
          <w:i/>
          <w:sz w:val="16"/>
          <w:lang w:val="en-US"/>
        </w:rPr>
        <w:t xml:space="preserve">, </w:t>
      </w:r>
      <w:r w:rsidRPr="00932AF5">
        <w:rPr>
          <w:sz w:val="16"/>
          <w:lang w:val="en-US"/>
        </w:rPr>
        <w:t>Application no. 22913/04</w:t>
      </w:r>
      <w:r w:rsidRPr="00932AF5">
        <w:rPr>
          <w:i/>
          <w:sz w:val="16"/>
          <w:lang w:val="en-US"/>
        </w:rPr>
        <w:t xml:space="preserve">, </w:t>
      </w:r>
      <w:r w:rsidRPr="00932AF5">
        <w:rPr>
          <w:sz w:val="16"/>
          <w:lang w:val="en-US"/>
        </w:rPr>
        <w:t xml:space="preserve">Judgment of November 10, 2005; </w:t>
      </w:r>
      <w:proofErr w:type="spellStart"/>
      <w:r w:rsidRPr="00932AF5">
        <w:rPr>
          <w:sz w:val="16"/>
          <w:lang w:val="en-US"/>
        </w:rPr>
        <w:t>Adali</w:t>
      </w:r>
      <w:proofErr w:type="spellEnd"/>
      <w:r w:rsidRPr="00932AF5">
        <w:rPr>
          <w:sz w:val="16"/>
          <w:lang w:val="en-US"/>
        </w:rPr>
        <w:t xml:space="preserve"> </w:t>
      </w:r>
      <w:r w:rsidRPr="00932AF5">
        <w:rPr>
          <w:i/>
          <w:sz w:val="16"/>
          <w:lang w:val="en-US"/>
        </w:rPr>
        <w:t xml:space="preserve">v Turkey, </w:t>
      </w:r>
      <w:r w:rsidRPr="00932AF5">
        <w:rPr>
          <w:sz w:val="16"/>
          <w:lang w:val="en-US"/>
        </w:rPr>
        <w:t>Applica</w:t>
      </w:r>
      <w:r w:rsidRPr="00932AF5">
        <w:rPr>
          <w:sz w:val="16"/>
          <w:lang w:val="en-US"/>
        </w:rPr>
        <w:t>tion no. 38187/97</w:t>
      </w:r>
      <w:r w:rsidRPr="00932AF5">
        <w:rPr>
          <w:i/>
          <w:sz w:val="16"/>
          <w:lang w:val="en-US"/>
        </w:rPr>
        <w:t xml:space="preserve">, </w:t>
      </w:r>
      <w:r w:rsidRPr="00932AF5">
        <w:rPr>
          <w:sz w:val="16"/>
          <w:lang w:val="en-US"/>
        </w:rPr>
        <w:t>Judgment of March 31, 2005</w:t>
      </w:r>
      <w:r w:rsidRPr="00932AF5">
        <w:rPr>
          <w:i/>
          <w:sz w:val="16"/>
          <w:lang w:val="en-US"/>
        </w:rPr>
        <w:t xml:space="preserve">; Sufi </w:t>
      </w:r>
      <w:proofErr w:type="spellStart"/>
      <w:r w:rsidRPr="00932AF5">
        <w:rPr>
          <w:i/>
          <w:sz w:val="16"/>
          <w:lang w:val="en-US"/>
        </w:rPr>
        <w:t>Elmi</w:t>
      </w:r>
      <w:proofErr w:type="spellEnd"/>
      <w:r w:rsidRPr="00932AF5">
        <w:rPr>
          <w:i/>
          <w:sz w:val="16"/>
          <w:lang w:val="en-US"/>
        </w:rPr>
        <w:t xml:space="preserve"> v. the United Kingdom, </w:t>
      </w:r>
      <w:r w:rsidRPr="00932AF5">
        <w:rPr>
          <w:sz w:val="16"/>
          <w:lang w:val="en-US"/>
        </w:rPr>
        <w:t>Applications nos. 8319/07 and 11449/07</w:t>
      </w:r>
      <w:r w:rsidRPr="00932AF5">
        <w:rPr>
          <w:i/>
          <w:sz w:val="16"/>
          <w:lang w:val="en-US"/>
        </w:rPr>
        <w:t xml:space="preserve">, </w:t>
      </w:r>
      <w:r w:rsidRPr="00932AF5">
        <w:rPr>
          <w:sz w:val="16"/>
          <w:lang w:val="en-US"/>
        </w:rPr>
        <w:t xml:space="preserve">Judgment of June 25, 2011; </w:t>
      </w:r>
      <w:proofErr w:type="spellStart"/>
      <w:r w:rsidRPr="00932AF5">
        <w:rPr>
          <w:i/>
          <w:sz w:val="16"/>
          <w:lang w:val="en-US"/>
        </w:rPr>
        <w:t>Davydov</w:t>
      </w:r>
      <w:proofErr w:type="spellEnd"/>
      <w:r w:rsidRPr="00932AF5">
        <w:rPr>
          <w:i/>
          <w:sz w:val="16"/>
          <w:lang w:val="en-US"/>
        </w:rPr>
        <w:t xml:space="preserve"> and Others V. Ukraine, </w:t>
      </w:r>
      <w:r w:rsidRPr="00932AF5">
        <w:rPr>
          <w:sz w:val="16"/>
          <w:lang w:val="en-US"/>
        </w:rPr>
        <w:t xml:space="preserve">Applications nos. 17674/02 and 39081/02, Judgment of July 1, 2010, y </w:t>
      </w:r>
      <w:r w:rsidRPr="00932AF5">
        <w:rPr>
          <w:i/>
          <w:sz w:val="16"/>
          <w:lang w:val="en-US"/>
        </w:rPr>
        <w:t xml:space="preserve">N. v. Finland, </w:t>
      </w:r>
      <w:r w:rsidRPr="00932AF5">
        <w:rPr>
          <w:sz w:val="16"/>
          <w:lang w:val="en-US"/>
        </w:rPr>
        <w:t>Application no. 38885/02, Judgment of July 26,</w:t>
      </w:r>
      <w:r w:rsidRPr="00932AF5">
        <w:rPr>
          <w:spacing w:val="-24"/>
          <w:sz w:val="16"/>
          <w:lang w:val="en-US"/>
        </w:rPr>
        <w:t xml:space="preserve"> </w:t>
      </w:r>
      <w:r w:rsidRPr="00932AF5">
        <w:rPr>
          <w:sz w:val="16"/>
          <w:lang w:val="en-US"/>
        </w:rPr>
        <w:t>2005</w:t>
      </w:r>
      <w:r w:rsidRPr="00932AF5">
        <w:rPr>
          <w:i/>
          <w:sz w:val="16"/>
          <w:lang w:val="en-US"/>
        </w:rPr>
        <w:t>.</w:t>
      </w:r>
    </w:p>
    <w:p w:rsidR="00E444C6" w:rsidRPr="00932AF5" w:rsidRDefault="00FF1014">
      <w:pPr>
        <w:tabs>
          <w:tab w:val="left" w:pos="831"/>
        </w:tabs>
        <w:spacing w:before="105" w:line="244" w:lineRule="auto"/>
        <w:ind w:left="111" w:right="102"/>
        <w:jc w:val="both"/>
        <w:rPr>
          <w:sz w:val="16"/>
          <w:lang w:val="en-US"/>
        </w:rPr>
      </w:pPr>
      <w:r w:rsidRPr="00932AF5">
        <w:rPr>
          <w:rFonts w:ascii="Times New Roman"/>
          <w:position w:val="7"/>
          <w:sz w:val="10"/>
          <w:lang w:val="en-US"/>
        </w:rPr>
        <w:t>12</w:t>
      </w:r>
      <w:r w:rsidRPr="00932AF5">
        <w:rPr>
          <w:rFonts w:ascii="Times New Roman"/>
          <w:position w:val="7"/>
          <w:sz w:val="10"/>
          <w:lang w:val="en-US"/>
        </w:rPr>
        <w:tab/>
      </w:r>
      <w:proofErr w:type="spellStart"/>
      <w:r w:rsidRPr="00932AF5">
        <w:rPr>
          <w:i/>
          <w:sz w:val="16"/>
          <w:lang w:val="en-US"/>
        </w:rPr>
        <w:t>Cfr</w:t>
      </w:r>
      <w:proofErr w:type="spellEnd"/>
      <w:r w:rsidRPr="00932AF5">
        <w:rPr>
          <w:i/>
          <w:sz w:val="16"/>
          <w:lang w:val="en-US"/>
        </w:rPr>
        <w:t xml:space="preserve">. </w:t>
      </w:r>
      <w:r w:rsidRPr="00932AF5">
        <w:rPr>
          <w:sz w:val="16"/>
          <w:lang w:val="en-US"/>
        </w:rPr>
        <w:t xml:space="preserve">E.C.H.R., </w:t>
      </w:r>
      <w:proofErr w:type="spellStart"/>
      <w:r w:rsidRPr="00932AF5">
        <w:rPr>
          <w:i/>
          <w:color w:val="221F1F"/>
          <w:sz w:val="16"/>
          <w:lang w:val="en-US"/>
        </w:rPr>
        <w:t>Nazarenko</w:t>
      </w:r>
      <w:proofErr w:type="spellEnd"/>
      <w:r w:rsidRPr="00932AF5">
        <w:rPr>
          <w:i/>
          <w:color w:val="221F1F"/>
          <w:sz w:val="16"/>
          <w:lang w:val="en-US"/>
        </w:rPr>
        <w:t xml:space="preserve"> v. Ukraine</w:t>
      </w:r>
      <w:r w:rsidRPr="00932AF5">
        <w:rPr>
          <w:color w:val="221F1F"/>
          <w:sz w:val="16"/>
          <w:lang w:val="en-US"/>
        </w:rPr>
        <w:t xml:space="preserve">, </w:t>
      </w:r>
      <w:r w:rsidRPr="00932AF5">
        <w:rPr>
          <w:sz w:val="16"/>
          <w:lang w:val="en-US"/>
        </w:rPr>
        <w:t xml:space="preserve">Application </w:t>
      </w:r>
      <w:r w:rsidRPr="00932AF5">
        <w:rPr>
          <w:color w:val="221F1F"/>
          <w:sz w:val="16"/>
          <w:lang w:val="en-US"/>
        </w:rPr>
        <w:t xml:space="preserve">no. 39483/98, </w:t>
      </w:r>
      <w:r w:rsidRPr="00932AF5">
        <w:rPr>
          <w:sz w:val="16"/>
          <w:lang w:val="en-US"/>
        </w:rPr>
        <w:t>Judgment of April 29, 2003</w:t>
      </w:r>
      <w:r w:rsidRPr="00932AF5">
        <w:rPr>
          <w:color w:val="221F1F"/>
          <w:sz w:val="16"/>
          <w:lang w:val="en-US"/>
        </w:rPr>
        <w:t xml:space="preserve">; </w:t>
      </w:r>
      <w:proofErr w:type="spellStart"/>
      <w:r w:rsidRPr="00932AF5">
        <w:rPr>
          <w:i/>
          <w:color w:val="221F1F"/>
          <w:sz w:val="16"/>
          <w:lang w:val="en-US"/>
        </w:rPr>
        <w:t>Cenbauer</w:t>
      </w:r>
      <w:proofErr w:type="spellEnd"/>
      <w:r w:rsidRPr="00932AF5">
        <w:rPr>
          <w:i/>
          <w:color w:val="221F1F"/>
          <w:sz w:val="16"/>
          <w:lang w:val="en-US"/>
        </w:rPr>
        <w:t xml:space="preserve"> v. Croatia, </w:t>
      </w:r>
      <w:r w:rsidRPr="00932AF5">
        <w:rPr>
          <w:sz w:val="16"/>
          <w:lang w:val="en-US"/>
        </w:rPr>
        <w:t xml:space="preserve">Application </w:t>
      </w:r>
      <w:r w:rsidRPr="00932AF5">
        <w:rPr>
          <w:i/>
          <w:color w:val="221F1F"/>
          <w:sz w:val="16"/>
          <w:lang w:val="en-US"/>
        </w:rPr>
        <w:t xml:space="preserve">73786/01, </w:t>
      </w:r>
      <w:r w:rsidRPr="00932AF5">
        <w:rPr>
          <w:sz w:val="16"/>
          <w:lang w:val="en-US"/>
        </w:rPr>
        <w:t xml:space="preserve">Judgment of March 9, 2006 y </w:t>
      </w:r>
      <w:proofErr w:type="spellStart"/>
      <w:r w:rsidRPr="00932AF5">
        <w:rPr>
          <w:i/>
          <w:color w:val="221F1F"/>
          <w:sz w:val="16"/>
          <w:lang w:val="en-US"/>
        </w:rPr>
        <w:t>Benzan</w:t>
      </w:r>
      <w:proofErr w:type="spellEnd"/>
      <w:r w:rsidRPr="00932AF5">
        <w:rPr>
          <w:i/>
          <w:color w:val="221F1F"/>
          <w:sz w:val="16"/>
          <w:lang w:val="en-US"/>
        </w:rPr>
        <w:t xml:space="preserve"> v. Croatia, </w:t>
      </w:r>
      <w:r w:rsidRPr="00932AF5">
        <w:rPr>
          <w:sz w:val="16"/>
          <w:lang w:val="en-US"/>
        </w:rPr>
        <w:t xml:space="preserve">Application </w:t>
      </w:r>
      <w:r w:rsidRPr="00932AF5">
        <w:rPr>
          <w:color w:val="221F1F"/>
          <w:sz w:val="16"/>
          <w:lang w:val="en-US"/>
        </w:rPr>
        <w:t xml:space="preserve">no. 62912/00, </w:t>
      </w:r>
      <w:r w:rsidRPr="00932AF5">
        <w:rPr>
          <w:sz w:val="16"/>
          <w:lang w:val="en-US"/>
        </w:rPr>
        <w:t xml:space="preserve">Judgment of </w:t>
      </w:r>
      <w:r w:rsidRPr="00932AF5">
        <w:rPr>
          <w:color w:val="221F1F"/>
          <w:sz w:val="16"/>
          <w:lang w:val="en-US"/>
        </w:rPr>
        <w:t>November 8,</w:t>
      </w:r>
      <w:r w:rsidRPr="00932AF5">
        <w:rPr>
          <w:color w:val="221F1F"/>
          <w:spacing w:val="-5"/>
          <w:sz w:val="16"/>
          <w:lang w:val="en-US"/>
        </w:rPr>
        <w:t xml:space="preserve"> </w:t>
      </w:r>
      <w:r w:rsidRPr="00932AF5">
        <w:rPr>
          <w:color w:val="221F1F"/>
          <w:sz w:val="16"/>
          <w:lang w:val="en-US"/>
        </w:rPr>
        <w:t>2002.</w:t>
      </w:r>
    </w:p>
    <w:p w:rsidR="00E444C6" w:rsidRPr="00932AF5" w:rsidRDefault="00FF1014">
      <w:pPr>
        <w:tabs>
          <w:tab w:val="left" w:pos="831"/>
        </w:tabs>
        <w:spacing w:before="106" w:line="242" w:lineRule="auto"/>
        <w:ind w:left="111" w:right="103"/>
        <w:jc w:val="both"/>
        <w:rPr>
          <w:sz w:val="16"/>
          <w:lang w:val="en-US"/>
        </w:rPr>
      </w:pPr>
      <w:r w:rsidRPr="00932AF5">
        <w:rPr>
          <w:position w:val="7"/>
          <w:sz w:val="10"/>
          <w:lang w:val="en-US"/>
        </w:rPr>
        <w:t>13</w:t>
      </w:r>
      <w:r w:rsidRPr="00932AF5">
        <w:rPr>
          <w:position w:val="7"/>
          <w:sz w:val="10"/>
          <w:lang w:val="en-US"/>
        </w:rPr>
        <w:tab/>
      </w:r>
      <w:proofErr w:type="spellStart"/>
      <w:r w:rsidRPr="00932AF5">
        <w:rPr>
          <w:i/>
          <w:sz w:val="16"/>
          <w:lang w:val="en-US"/>
        </w:rPr>
        <w:t>Cfr</w:t>
      </w:r>
      <w:proofErr w:type="spellEnd"/>
      <w:r w:rsidRPr="00932AF5">
        <w:rPr>
          <w:i/>
          <w:sz w:val="16"/>
          <w:lang w:val="en-US"/>
        </w:rPr>
        <w:t xml:space="preserve">. </w:t>
      </w:r>
      <w:r w:rsidRPr="00932AF5">
        <w:rPr>
          <w:sz w:val="16"/>
          <w:lang w:val="en-US"/>
        </w:rPr>
        <w:t xml:space="preserve">E.C.H.R., </w:t>
      </w:r>
      <w:proofErr w:type="spellStart"/>
      <w:r w:rsidRPr="00932AF5">
        <w:rPr>
          <w:i/>
          <w:color w:val="221F1F"/>
          <w:sz w:val="16"/>
          <w:lang w:val="en-US"/>
        </w:rPr>
        <w:t>Tekdağ</w:t>
      </w:r>
      <w:proofErr w:type="spellEnd"/>
      <w:r w:rsidRPr="00932AF5">
        <w:rPr>
          <w:i/>
          <w:color w:val="221F1F"/>
          <w:sz w:val="16"/>
          <w:lang w:val="en-US"/>
        </w:rPr>
        <w:t xml:space="preserve"> v. Turkey, Application no. 27699/95, </w:t>
      </w:r>
      <w:r w:rsidRPr="00932AF5">
        <w:rPr>
          <w:sz w:val="16"/>
          <w:lang w:val="en-US"/>
        </w:rPr>
        <w:t xml:space="preserve">Judgment of January 15, 2004 </w:t>
      </w:r>
      <w:r w:rsidRPr="00932AF5">
        <w:rPr>
          <w:color w:val="221F1F"/>
          <w:sz w:val="16"/>
          <w:lang w:val="en-US"/>
        </w:rPr>
        <w:t xml:space="preserve">y </w:t>
      </w:r>
      <w:r w:rsidRPr="00932AF5">
        <w:rPr>
          <w:i/>
          <w:color w:val="221F1F"/>
          <w:sz w:val="16"/>
          <w:lang w:val="en-US"/>
        </w:rPr>
        <w:t xml:space="preserve">Sufi </w:t>
      </w:r>
      <w:proofErr w:type="spellStart"/>
      <w:r w:rsidRPr="00932AF5">
        <w:rPr>
          <w:i/>
          <w:color w:val="221F1F"/>
          <w:sz w:val="16"/>
          <w:lang w:val="en-US"/>
        </w:rPr>
        <w:t>Elmi</w:t>
      </w:r>
      <w:proofErr w:type="spellEnd"/>
      <w:r w:rsidRPr="00932AF5">
        <w:rPr>
          <w:i/>
          <w:color w:val="221F1F"/>
          <w:sz w:val="16"/>
          <w:lang w:val="en-US"/>
        </w:rPr>
        <w:t xml:space="preserve"> v. the United Kingdom, Applications nos. 8319/07 and 11449/07, </w:t>
      </w:r>
      <w:r w:rsidRPr="00932AF5">
        <w:rPr>
          <w:sz w:val="16"/>
          <w:lang w:val="en-US"/>
        </w:rPr>
        <w:t>Judgment of June 25,</w:t>
      </w:r>
      <w:r w:rsidRPr="00932AF5">
        <w:rPr>
          <w:spacing w:val="-16"/>
          <w:sz w:val="16"/>
          <w:lang w:val="en-US"/>
        </w:rPr>
        <w:t xml:space="preserve"> </w:t>
      </w:r>
      <w:r w:rsidRPr="00932AF5">
        <w:rPr>
          <w:sz w:val="16"/>
          <w:lang w:val="en-US"/>
        </w:rPr>
        <w:t>2011.</w:t>
      </w:r>
    </w:p>
    <w:p w:rsidR="00E444C6" w:rsidRPr="00932AF5" w:rsidRDefault="00FF1014">
      <w:pPr>
        <w:tabs>
          <w:tab w:val="left" w:pos="831"/>
        </w:tabs>
        <w:spacing w:before="108"/>
        <w:ind w:left="111" w:right="103"/>
        <w:jc w:val="both"/>
        <w:rPr>
          <w:sz w:val="16"/>
          <w:lang w:val="en-US"/>
        </w:rPr>
      </w:pPr>
      <w:r w:rsidRPr="00932AF5">
        <w:rPr>
          <w:position w:val="7"/>
          <w:sz w:val="10"/>
          <w:lang w:val="en-US"/>
        </w:rPr>
        <w:t>14</w:t>
      </w:r>
      <w:r w:rsidRPr="00932AF5">
        <w:rPr>
          <w:position w:val="7"/>
          <w:sz w:val="10"/>
          <w:lang w:val="en-US"/>
        </w:rPr>
        <w:tab/>
      </w:r>
      <w:proofErr w:type="spellStart"/>
      <w:r w:rsidRPr="00932AF5">
        <w:rPr>
          <w:i/>
          <w:sz w:val="16"/>
          <w:lang w:val="en-US"/>
        </w:rPr>
        <w:t>Cfr</w:t>
      </w:r>
      <w:proofErr w:type="spellEnd"/>
      <w:r w:rsidRPr="00932AF5">
        <w:rPr>
          <w:i/>
          <w:sz w:val="16"/>
          <w:lang w:val="en-US"/>
        </w:rPr>
        <w:t>.</w:t>
      </w:r>
      <w:r w:rsidRPr="00932AF5">
        <w:rPr>
          <w:i/>
          <w:sz w:val="16"/>
          <w:lang w:val="en-US"/>
        </w:rPr>
        <w:t xml:space="preserve"> </w:t>
      </w:r>
      <w:r w:rsidRPr="00932AF5">
        <w:rPr>
          <w:sz w:val="16"/>
          <w:lang w:val="en-US"/>
        </w:rPr>
        <w:t xml:space="preserve">T.E.D.H., </w:t>
      </w:r>
      <w:proofErr w:type="spellStart"/>
      <w:r w:rsidRPr="00932AF5">
        <w:rPr>
          <w:i/>
          <w:sz w:val="16"/>
          <w:lang w:val="en-US"/>
        </w:rPr>
        <w:t>Davydov</w:t>
      </w:r>
      <w:proofErr w:type="spellEnd"/>
      <w:r w:rsidRPr="00932AF5">
        <w:rPr>
          <w:i/>
          <w:sz w:val="16"/>
          <w:lang w:val="en-US"/>
        </w:rPr>
        <w:t xml:space="preserve"> </w:t>
      </w:r>
      <w:r w:rsidRPr="00932AF5">
        <w:rPr>
          <w:i/>
          <w:color w:val="221F1F"/>
          <w:sz w:val="16"/>
          <w:lang w:val="en-US"/>
        </w:rPr>
        <w:t xml:space="preserve">and Others V. Ukraine, </w:t>
      </w:r>
      <w:r w:rsidRPr="00932AF5">
        <w:rPr>
          <w:color w:val="221F1F"/>
          <w:sz w:val="16"/>
          <w:lang w:val="en-US"/>
        </w:rPr>
        <w:t xml:space="preserve">Applications nos. 17674/02 and 39081/02, </w:t>
      </w:r>
      <w:r w:rsidRPr="00932AF5">
        <w:rPr>
          <w:sz w:val="16"/>
          <w:lang w:val="en-US"/>
        </w:rPr>
        <w:t xml:space="preserve">Judgment of July 1, 2010 y </w:t>
      </w:r>
      <w:proofErr w:type="spellStart"/>
      <w:r w:rsidRPr="00932AF5">
        <w:rPr>
          <w:i/>
          <w:color w:val="221F1F"/>
          <w:sz w:val="16"/>
          <w:lang w:val="en-US"/>
        </w:rPr>
        <w:t>Osmanoğlu</w:t>
      </w:r>
      <w:proofErr w:type="spellEnd"/>
      <w:r w:rsidRPr="00932AF5">
        <w:rPr>
          <w:i/>
          <w:color w:val="221F1F"/>
          <w:sz w:val="16"/>
          <w:lang w:val="en-US"/>
        </w:rPr>
        <w:t xml:space="preserve"> V. Turkey, </w:t>
      </w:r>
      <w:r w:rsidRPr="00932AF5">
        <w:rPr>
          <w:color w:val="221F1F"/>
          <w:sz w:val="16"/>
          <w:lang w:val="en-US"/>
        </w:rPr>
        <w:t xml:space="preserve">Application no. 48804/99, </w:t>
      </w:r>
      <w:r w:rsidRPr="00932AF5">
        <w:rPr>
          <w:sz w:val="16"/>
          <w:lang w:val="en-US"/>
        </w:rPr>
        <w:t>Judgment of January 24,</w:t>
      </w:r>
      <w:r w:rsidRPr="00932AF5">
        <w:rPr>
          <w:spacing w:val="-18"/>
          <w:sz w:val="16"/>
          <w:lang w:val="en-US"/>
        </w:rPr>
        <w:t xml:space="preserve"> </w:t>
      </w:r>
      <w:r w:rsidRPr="00932AF5">
        <w:rPr>
          <w:sz w:val="16"/>
          <w:lang w:val="en-US"/>
        </w:rPr>
        <w:t>2008.</w:t>
      </w:r>
    </w:p>
    <w:p w:rsidR="00E444C6" w:rsidRPr="00932AF5" w:rsidRDefault="00E444C6">
      <w:pPr>
        <w:jc w:val="both"/>
        <w:rPr>
          <w:sz w:val="16"/>
          <w:lang w:val="en-US"/>
        </w:rPr>
        <w:sectPr w:rsidR="00E444C6" w:rsidRPr="00932AF5">
          <w:pgSz w:w="12240" w:h="15840"/>
          <w:pgMar w:top="1320" w:right="1240" w:bottom="280" w:left="1060" w:header="717" w:footer="0" w:gutter="0"/>
          <w:cols w:space="720"/>
        </w:sectPr>
      </w:pPr>
    </w:p>
    <w:p w:rsidR="00E444C6" w:rsidRDefault="00FF1014">
      <w:pPr>
        <w:pStyle w:val="ListParagraph"/>
        <w:numPr>
          <w:ilvl w:val="1"/>
          <w:numId w:val="2"/>
        </w:numPr>
        <w:tabs>
          <w:tab w:val="left" w:pos="832"/>
        </w:tabs>
        <w:spacing w:before="89"/>
        <w:ind w:right="104"/>
        <w:jc w:val="both"/>
        <w:rPr>
          <w:sz w:val="20"/>
        </w:rPr>
      </w:pPr>
      <w:r>
        <w:rPr>
          <w:sz w:val="20"/>
        </w:rPr>
        <w:lastRenderedPageBreak/>
        <w:t xml:space="preserve">Garantizar el acceso irrestricto al territorio y a las </w:t>
      </w:r>
      <w:r>
        <w:rPr>
          <w:sz w:val="20"/>
        </w:rPr>
        <w:t>zonas que la Corte determine, lo que incluye la necesaria libertad de movimiento y los dispositivos de seguridad adecuados para todas las delegaciones y las personas que vayan a</w:t>
      </w:r>
      <w:r>
        <w:rPr>
          <w:spacing w:val="-9"/>
          <w:sz w:val="20"/>
        </w:rPr>
        <w:t xml:space="preserve"> </w:t>
      </w:r>
      <w:r>
        <w:rPr>
          <w:sz w:val="20"/>
        </w:rPr>
        <w:t>participar.</w:t>
      </w:r>
    </w:p>
    <w:p w:rsidR="00E444C6" w:rsidRDefault="00FF1014">
      <w:pPr>
        <w:pStyle w:val="ListParagraph"/>
        <w:numPr>
          <w:ilvl w:val="1"/>
          <w:numId w:val="2"/>
        </w:numPr>
        <w:tabs>
          <w:tab w:val="left" w:pos="832"/>
        </w:tabs>
        <w:ind w:right="110"/>
        <w:jc w:val="both"/>
        <w:rPr>
          <w:sz w:val="20"/>
        </w:rPr>
      </w:pPr>
      <w:r>
        <w:rPr>
          <w:sz w:val="20"/>
        </w:rPr>
        <w:t>Coordinar y otorgar las facilidades necesarias para realizar una r</w:t>
      </w:r>
      <w:r>
        <w:rPr>
          <w:sz w:val="20"/>
        </w:rPr>
        <w:t>eunión preparatoria de la diligencia en la ciudad de</w:t>
      </w:r>
      <w:r>
        <w:rPr>
          <w:spacing w:val="-4"/>
          <w:sz w:val="20"/>
        </w:rPr>
        <w:t xml:space="preserve"> </w:t>
      </w:r>
      <w:r>
        <w:rPr>
          <w:sz w:val="20"/>
        </w:rPr>
        <w:t>Quito.</w:t>
      </w:r>
    </w:p>
    <w:p w:rsidR="00E444C6" w:rsidRDefault="00FF1014">
      <w:pPr>
        <w:pStyle w:val="ListParagraph"/>
        <w:numPr>
          <w:ilvl w:val="1"/>
          <w:numId w:val="2"/>
        </w:numPr>
        <w:tabs>
          <w:tab w:val="left" w:pos="832"/>
        </w:tabs>
        <w:ind w:right="111"/>
        <w:jc w:val="both"/>
        <w:rPr>
          <w:sz w:val="20"/>
        </w:rPr>
      </w:pPr>
      <w:r>
        <w:rPr>
          <w:sz w:val="20"/>
        </w:rPr>
        <w:t>Disponer los medios logísticos y tecnológicos necesarios para la transmisión en vivo y grabación en audio y video de las</w:t>
      </w:r>
      <w:r>
        <w:rPr>
          <w:spacing w:val="-9"/>
          <w:sz w:val="20"/>
        </w:rPr>
        <w:t xml:space="preserve"> </w:t>
      </w:r>
      <w:r>
        <w:rPr>
          <w:sz w:val="20"/>
        </w:rPr>
        <w:t>diligencias.</w:t>
      </w:r>
    </w:p>
    <w:p w:rsidR="00E444C6" w:rsidRDefault="00FF1014">
      <w:pPr>
        <w:pStyle w:val="ListParagraph"/>
        <w:numPr>
          <w:ilvl w:val="0"/>
          <w:numId w:val="2"/>
        </w:numPr>
        <w:tabs>
          <w:tab w:val="left" w:pos="832"/>
        </w:tabs>
        <w:spacing w:before="118"/>
        <w:ind w:left="111" w:firstLine="0"/>
        <w:jc w:val="both"/>
        <w:rPr>
          <w:sz w:val="20"/>
        </w:rPr>
      </w:pPr>
      <w:r>
        <w:rPr>
          <w:sz w:val="20"/>
        </w:rPr>
        <w:t xml:space="preserve">La delegación de la Corte podrá recibir, durante el procedimiento </w:t>
      </w:r>
      <w:r>
        <w:rPr>
          <w:i/>
          <w:sz w:val="20"/>
        </w:rPr>
        <w:t xml:space="preserve">in situ </w:t>
      </w:r>
      <w:r>
        <w:rPr>
          <w:sz w:val="20"/>
        </w:rPr>
        <w:t>y previa autorización del Presidente, documentación o declaraciones de las partes o de cualquier persona que se considere relevante o pertinente. En tal evento, el Estado deberá adop</w:t>
      </w:r>
      <w:r>
        <w:rPr>
          <w:sz w:val="20"/>
        </w:rPr>
        <w:t>tar las medidas necesarias para facilitar la recepción de la documentación o la declaración</w:t>
      </w:r>
      <w:r>
        <w:rPr>
          <w:spacing w:val="-30"/>
          <w:sz w:val="20"/>
        </w:rPr>
        <w:t xml:space="preserve"> </w:t>
      </w:r>
      <w:r>
        <w:rPr>
          <w:sz w:val="20"/>
        </w:rPr>
        <w:t>pertinente.</w:t>
      </w:r>
    </w:p>
    <w:p w:rsidR="00E444C6" w:rsidRDefault="00FF1014">
      <w:pPr>
        <w:pStyle w:val="ListParagraph"/>
        <w:numPr>
          <w:ilvl w:val="0"/>
          <w:numId w:val="2"/>
        </w:numPr>
        <w:tabs>
          <w:tab w:val="left" w:pos="832"/>
        </w:tabs>
        <w:spacing w:before="120"/>
        <w:ind w:left="111" w:right="111" w:firstLine="0"/>
        <w:jc w:val="both"/>
        <w:rPr>
          <w:sz w:val="20"/>
        </w:rPr>
      </w:pPr>
      <w:r>
        <w:rPr>
          <w:sz w:val="20"/>
        </w:rPr>
        <w:t xml:space="preserve">Para la realización de la visita serán aplicables, en lo pertinente, las normas relativas a la realización de audiencias previstas en el Reglamento. En </w:t>
      </w:r>
      <w:r>
        <w:rPr>
          <w:sz w:val="20"/>
        </w:rPr>
        <w:t>cualquier caso, el Presidente tomará las decisiones que</w:t>
      </w:r>
      <w:r>
        <w:rPr>
          <w:spacing w:val="-4"/>
          <w:sz w:val="20"/>
        </w:rPr>
        <w:t xml:space="preserve"> </w:t>
      </w:r>
      <w:r>
        <w:rPr>
          <w:sz w:val="20"/>
        </w:rPr>
        <w:t>correspondan.</w:t>
      </w:r>
    </w:p>
    <w:p w:rsidR="00E444C6" w:rsidRDefault="00FF1014">
      <w:pPr>
        <w:pStyle w:val="ListParagraph"/>
        <w:numPr>
          <w:ilvl w:val="0"/>
          <w:numId w:val="2"/>
        </w:numPr>
        <w:tabs>
          <w:tab w:val="left" w:pos="832"/>
        </w:tabs>
        <w:ind w:left="111" w:right="108" w:firstLine="0"/>
        <w:jc w:val="both"/>
        <w:rPr>
          <w:sz w:val="20"/>
        </w:rPr>
      </w:pPr>
      <w:r>
        <w:rPr>
          <w:sz w:val="20"/>
        </w:rPr>
        <w:t>Por último, en la medida que el propio Estado solicitó que se efectúe la visita, éste cubrirá todos los gastos pertinentes para que la delegación de la Corte pueda realizar adecuadamente la diligencia probatoria, de conformidad con el artículo 60 del</w:t>
      </w:r>
      <w:r>
        <w:rPr>
          <w:spacing w:val="-23"/>
          <w:sz w:val="20"/>
        </w:rPr>
        <w:t xml:space="preserve"> </w:t>
      </w:r>
      <w:r>
        <w:rPr>
          <w:sz w:val="20"/>
        </w:rPr>
        <w:t>Regla</w:t>
      </w:r>
      <w:r>
        <w:rPr>
          <w:sz w:val="20"/>
        </w:rPr>
        <w:t>mento.</w:t>
      </w:r>
    </w:p>
    <w:p w:rsidR="00E444C6" w:rsidRDefault="00E444C6">
      <w:pPr>
        <w:pStyle w:val="BodyText"/>
        <w:rPr>
          <w:sz w:val="24"/>
        </w:rPr>
      </w:pPr>
    </w:p>
    <w:p w:rsidR="00E444C6" w:rsidRDefault="00FF1014">
      <w:pPr>
        <w:pStyle w:val="Heading1"/>
        <w:spacing w:before="191"/>
      </w:pPr>
      <w:r>
        <w:t>POR TANTO:</w:t>
      </w:r>
    </w:p>
    <w:p w:rsidR="00E444C6" w:rsidRDefault="00E444C6">
      <w:pPr>
        <w:pStyle w:val="BodyText"/>
        <w:rPr>
          <w:b/>
          <w:sz w:val="24"/>
        </w:rPr>
      </w:pPr>
    </w:p>
    <w:p w:rsidR="00E444C6" w:rsidRDefault="00FF1014">
      <w:pPr>
        <w:spacing w:before="193"/>
        <w:ind w:left="111"/>
        <w:jc w:val="both"/>
        <w:rPr>
          <w:b/>
          <w:sz w:val="20"/>
        </w:rPr>
      </w:pPr>
      <w:r>
        <w:rPr>
          <w:b/>
          <w:sz w:val="20"/>
        </w:rPr>
        <w:t>EL PRESIDENTE DE LA CORTE INTERAMERICANA DE DERECHOS HUMANOS,</w:t>
      </w:r>
    </w:p>
    <w:p w:rsidR="00E444C6" w:rsidRDefault="00E444C6">
      <w:pPr>
        <w:pStyle w:val="BodyText"/>
        <w:rPr>
          <w:b/>
          <w:sz w:val="24"/>
        </w:rPr>
      </w:pPr>
    </w:p>
    <w:p w:rsidR="00E444C6" w:rsidRDefault="00FF1014">
      <w:pPr>
        <w:pStyle w:val="BodyText"/>
        <w:spacing w:before="192"/>
        <w:ind w:left="111" w:right="113"/>
        <w:jc w:val="both"/>
      </w:pPr>
      <w:proofErr w:type="gramStart"/>
      <w:r>
        <w:t>de</w:t>
      </w:r>
      <w:proofErr w:type="gramEnd"/>
      <w:r>
        <w:t xml:space="preserve"> conformidad con los artículos 4, 15.1, 26.1, 26.2, 31.2, 53, 55, 58 y 60 del Reglamento del Tribunal, y en consulta con los demás miembros de la Corte,</w:t>
      </w:r>
    </w:p>
    <w:p w:rsidR="00E444C6" w:rsidRDefault="00E444C6">
      <w:pPr>
        <w:pStyle w:val="BodyText"/>
        <w:rPr>
          <w:sz w:val="24"/>
        </w:rPr>
      </w:pPr>
    </w:p>
    <w:p w:rsidR="00E444C6" w:rsidRDefault="00FF1014">
      <w:pPr>
        <w:pStyle w:val="Heading1"/>
      </w:pPr>
      <w:r>
        <w:t>RESUELVE:</w:t>
      </w:r>
    </w:p>
    <w:p w:rsidR="00E444C6" w:rsidRDefault="00E444C6">
      <w:pPr>
        <w:pStyle w:val="BodyText"/>
        <w:rPr>
          <w:b/>
          <w:sz w:val="24"/>
        </w:rPr>
      </w:pPr>
    </w:p>
    <w:p w:rsidR="00E444C6" w:rsidRDefault="00FF1014">
      <w:pPr>
        <w:pStyle w:val="ListParagraph"/>
        <w:numPr>
          <w:ilvl w:val="0"/>
          <w:numId w:val="1"/>
        </w:numPr>
        <w:tabs>
          <w:tab w:val="left" w:pos="832"/>
        </w:tabs>
        <w:spacing w:before="192"/>
        <w:ind w:right="106" w:firstLine="0"/>
        <w:jc w:val="both"/>
        <w:rPr>
          <w:sz w:val="20"/>
        </w:rPr>
      </w:pPr>
      <w:r>
        <w:rPr>
          <w:sz w:val="20"/>
        </w:rPr>
        <w:t>Comisi</w:t>
      </w:r>
      <w:r>
        <w:rPr>
          <w:sz w:val="20"/>
        </w:rPr>
        <w:t xml:space="preserve">onar al Presidente, al Secretario y a dos miembros del personal de la Secretaría para realizar una visita al territorio del Pueblo </w:t>
      </w:r>
      <w:proofErr w:type="spellStart"/>
      <w:r>
        <w:rPr>
          <w:sz w:val="20"/>
        </w:rPr>
        <w:t>Kichwa</w:t>
      </w:r>
      <w:proofErr w:type="spellEnd"/>
      <w:r>
        <w:rPr>
          <w:sz w:val="20"/>
        </w:rPr>
        <w:t xml:space="preserve"> de </w:t>
      </w:r>
      <w:proofErr w:type="spellStart"/>
      <w:r>
        <w:rPr>
          <w:sz w:val="20"/>
        </w:rPr>
        <w:t>Sarayaku</w:t>
      </w:r>
      <w:proofErr w:type="spellEnd"/>
      <w:r>
        <w:rPr>
          <w:sz w:val="20"/>
        </w:rPr>
        <w:t xml:space="preserve"> el 21 de abril de 2012, en los términos de los párrafos considerativos 15 a 21 de la presente</w:t>
      </w:r>
      <w:r>
        <w:rPr>
          <w:spacing w:val="-13"/>
          <w:sz w:val="20"/>
        </w:rPr>
        <w:t xml:space="preserve"> </w:t>
      </w:r>
      <w:r>
        <w:rPr>
          <w:sz w:val="20"/>
        </w:rPr>
        <w:t>Resolución.</w:t>
      </w:r>
    </w:p>
    <w:p w:rsidR="00E444C6" w:rsidRDefault="00E444C6">
      <w:pPr>
        <w:pStyle w:val="BodyText"/>
      </w:pPr>
    </w:p>
    <w:p w:rsidR="00E444C6" w:rsidRDefault="00FF1014">
      <w:pPr>
        <w:pStyle w:val="ListParagraph"/>
        <w:numPr>
          <w:ilvl w:val="0"/>
          <w:numId w:val="1"/>
        </w:numPr>
        <w:tabs>
          <w:tab w:val="left" w:pos="832"/>
        </w:tabs>
        <w:spacing w:before="0"/>
        <w:ind w:left="831" w:right="0" w:hanging="720"/>
        <w:jc w:val="both"/>
        <w:rPr>
          <w:sz w:val="20"/>
        </w:rPr>
      </w:pPr>
      <w:r>
        <w:rPr>
          <w:sz w:val="20"/>
        </w:rPr>
        <w:t>Desestimar la solicitud del Estado en cuanto a la realización de un</w:t>
      </w:r>
      <w:r>
        <w:rPr>
          <w:spacing w:val="-13"/>
          <w:sz w:val="20"/>
        </w:rPr>
        <w:t xml:space="preserve"> </w:t>
      </w:r>
      <w:r>
        <w:rPr>
          <w:sz w:val="20"/>
        </w:rPr>
        <w:t>peritaje.</w:t>
      </w:r>
    </w:p>
    <w:p w:rsidR="00E444C6" w:rsidRDefault="00E444C6">
      <w:pPr>
        <w:pStyle w:val="BodyText"/>
        <w:spacing w:before="1"/>
      </w:pPr>
    </w:p>
    <w:p w:rsidR="00E444C6" w:rsidRDefault="00FF1014">
      <w:pPr>
        <w:pStyle w:val="ListParagraph"/>
        <w:numPr>
          <w:ilvl w:val="0"/>
          <w:numId w:val="1"/>
        </w:numPr>
        <w:tabs>
          <w:tab w:val="left" w:pos="832"/>
        </w:tabs>
        <w:spacing w:before="0"/>
        <w:ind w:firstLine="0"/>
        <w:jc w:val="both"/>
        <w:rPr>
          <w:sz w:val="20"/>
        </w:rPr>
      </w:pPr>
      <w:r>
        <w:rPr>
          <w:sz w:val="20"/>
        </w:rPr>
        <w:t>Disponer que la Secretaría de la Corte, en consulta con el Estado, los representantes y la Comisión, coordine los detalles logísticos y operativos relativos a la diligencia probatoria ordenada en la presente</w:t>
      </w:r>
      <w:r>
        <w:rPr>
          <w:spacing w:val="-3"/>
          <w:sz w:val="20"/>
        </w:rPr>
        <w:t xml:space="preserve"> </w:t>
      </w:r>
      <w:r>
        <w:rPr>
          <w:sz w:val="20"/>
        </w:rPr>
        <w:t>Resolución.</w:t>
      </w:r>
    </w:p>
    <w:p w:rsidR="00E444C6" w:rsidRDefault="00E444C6">
      <w:pPr>
        <w:pStyle w:val="BodyText"/>
        <w:spacing w:before="11"/>
        <w:rPr>
          <w:sz w:val="29"/>
        </w:rPr>
      </w:pPr>
    </w:p>
    <w:p w:rsidR="00E444C6" w:rsidRDefault="00FF1014">
      <w:pPr>
        <w:pStyle w:val="ListParagraph"/>
        <w:numPr>
          <w:ilvl w:val="0"/>
          <w:numId w:val="1"/>
        </w:numPr>
        <w:tabs>
          <w:tab w:val="left" w:pos="832"/>
        </w:tabs>
        <w:spacing w:before="0"/>
        <w:ind w:right="107" w:firstLine="0"/>
        <w:jc w:val="both"/>
        <w:rPr>
          <w:sz w:val="20"/>
        </w:rPr>
      </w:pPr>
      <w:r>
        <w:rPr>
          <w:sz w:val="20"/>
        </w:rPr>
        <w:t>Disponer que la Secretaría de la Co</w:t>
      </w:r>
      <w:r>
        <w:rPr>
          <w:sz w:val="20"/>
        </w:rPr>
        <w:t>rte notifique la presente Resolución al Estado, a los representantes de las presuntas víctimas y a la Comisión</w:t>
      </w:r>
      <w:r>
        <w:rPr>
          <w:spacing w:val="-13"/>
          <w:sz w:val="20"/>
        </w:rPr>
        <w:t xml:space="preserve"> </w:t>
      </w:r>
      <w:r>
        <w:rPr>
          <w:sz w:val="20"/>
        </w:rPr>
        <w:t>Interamericana.</w:t>
      </w:r>
    </w:p>
    <w:p w:rsidR="00E444C6" w:rsidRDefault="00E444C6">
      <w:pPr>
        <w:jc w:val="both"/>
        <w:rPr>
          <w:sz w:val="20"/>
        </w:rPr>
        <w:sectPr w:rsidR="00E444C6">
          <w:pgSz w:w="12240" w:h="15840"/>
          <w:pgMar w:top="1320" w:right="1240" w:bottom="280" w:left="1060" w:header="717" w:footer="0" w:gutter="0"/>
          <w:cols w:space="720"/>
        </w:sectPr>
      </w:pP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spacing w:before="3"/>
        <w:rPr>
          <w:sz w:val="19"/>
        </w:rPr>
      </w:pPr>
    </w:p>
    <w:p w:rsidR="00E444C6" w:rsidRDefault="00FF1014">
      <w:pPr>
        <w:pStyle w:val="BodyText"/>
        <w:spacing w:before="99" w:line="243" w:lineRule="exact"/>
        <w:ind w:right="394"/>
        <w:jc w:val="right"/>
      </w:pPr>
      <w:r>
        <w:t>Diego García-Sayán</w:t>
      </w:r>
    </w:p>
    <w:p w:rsidR="00E444C6" w:rsidRDefault="00FF1014">
      <w:pPr>
        <w:pStyle w:val="BodyText"/>
        <w:spacing w:line="243" w:lineRule="exact"/>
        <w:ind w:right="734"/>
        <w:jc w:val="right"/>
      </w:pPr>
      <w:r>
        <w:rPr>
          <w:w w:val="95"/>
        </w:rPr>
        <w:t>Presidente</w:t>
      </w: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FF1014">
      <w:pPr>
        <w:pStyle w:val="BodyText"/>
        <w:spacing w:line="242" w:lineRule="auto"/>
        <w:ind w:left="831" w:right="7152" w:hanging="721"/>
      </w:pPr>
      <w:r>
        <w:t>Pablo Saavedra Alessandri Secretario</w:t>
      </w:r>
    </w:p>
    <w:p w:rsidR="00E444C6" w:rsidRDefault="00E444C6">
      <w:pPr>
        <w:pStyle w:val="BodyText"/>
        <w:rPr>
          <w:sz w:val="24"/>
        </w:rPr>
      </w:pPr>
    </w:p>
    <w:p w:rsidR="00E444C6" w:rsidRDefault="00E444C6">
      <w:pPr>
        <w:pStyle w:val="BodyText"/>
        <w:rPr>
          <w:sz w:val="24"/>
        </w:rPr>
      </w:pPr>
    </w:p>
    <w:p w:rsidR="00E444C6" w:rsidRDefault="00E444C6">
      <w:pPr>
        <w:pStyle w:val="BodyText"/>
        <w:rPr>
          <w:sz w:val="24"/>
        </w:rPr>
      </w:pPr>
    </w:p>
    <w:p w:rsidR="00E444C6" w:rsidRDefault="00E444C6">
      <w:pPr>
        <w:pStyle w:val="BodyText"/>
        <w:rPr>
          <w:sz w:val="24"/>
        </w:rPr>
      </w:pPr>
    </w:p>
    <w:p w:rsidR="00E444C6" w:rsidRDefault="00FF1014">
      <w:pPr>
        <w:pStyle w:val="BodyText"/>
        <w:spacing w:before="165"/>
        <w:ind w:left="111"/>
      </w:pPr>
      <w:r>
        <w:t>Comuníquese y ejecútese,</w:t>
      </w: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FF1014">
      <w:pPr>
        <w:pStyle w:val="BodyText"/>
        <w:spacing w:line="243" w:lineRule="exact"/>
        <w:ind w:right="394"/>
        <w:jc w:val="right"/>
      </w:pPr>
      <w:r>
        <w:t>Diego García-Sayán</w:t>
      </w:r>
    </w:p>
    <w:p w:rsidR="00E444C6" w:rsidRDefault="00FF1014">
      <w:pPr>
        <w:pStyle w:val="BodyText"/>
        <w:ind w:right="734"/>
        <w:jc w:val="right"/>
      </w:pPr>
      <w:r>
        <w:rPr>
          <w:w w:val="95"/>
        </w:rPr>
        <w:t>Presidente</w:t>
      </w: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E444C6">
      <w:pPr>
        <w:pStyle w:val="BodyText"/>
      </w:pPr>
    </w:p>
    <w:p w:rsidR="00E444C6" w:rsidRDefault="00FF1014">
      <w:pPr>
        <w:pStyle w:val="BodyText"/>
        <w:ind w:left="831" w:right="7152" w:hanging="721"/>
      </w:pPr>
      <w:r>
        <w:t>Pablo Saavedra Alessandri Secretario</w:t>
      </w:r>
    </w:p>
    <w:sectPr w:rsidR="00E444C6">
      <w:pgSz w:w="12240" w:h="15840"/>
      <w:pgMar w:top="1320" w:right="1240" w:bottom="280" w:left="10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1014">
      <w:r>
        <w:separator/>
      </w:r>
    </w:p>
  </w:endnote>
  <w:endnote w:type="continuationSeparator" w:id="0">
    <w:p w:rsidR="00000000" w:rsidRDefault="00FF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1014">
      <w:r>
        <w:separator/>
      </w:r>
    </w:p>
  </w:footnote>
  <w:footnote w:type="continuationSeparator" w:id="0">
    <w:p w:rsidR="00000000" w:rsidRDefault="00FF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C6" w:rsidRDefault="00932AF5">
    <w:pPr>
      <w:pStyle w:val="BodyText"/>
      <w:spacing w:line="14" w:lineRule="auto"/>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3763645</wp:posOffset>
              </wp:positionH>
              <wp:positionV relativeFrom="page">
                <wp:posOffset>442595</wp:posOffset>
              </wp:positionV>
              <wp:extent cx="131445" cy="179705"/>
              <wp:effectExtent l="1270" t="444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4C6" w:rsidRDefault="00FF1014">
                          <w:pPr>
                            <w:pStyle w:val="BodyText"/>
                            <w:spacing w:before="19"/>
                            <w:ind w:left="40"/>
                          </w:pPr>
                          <w:r>
                            <w:fldChar w:fldCharType="begin"/>
                          </w:r>
                          <w:r>
                            <w:rPr>
                              <w:w w:val="99"/>
                            </w:rPr>
                            <w:instrText xml:space="preserve"> PAGE </w:instrText>
                          </w:r>
                          <w:r>
                            <w:fldChar w:fldCharType="separate"/>
                          </w:r>
                          <w:r w:rsidR="00932AF5">
                            <w:rPr>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35pt;margin-top:34.85pt;width:10.3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x9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" filled="f" stroked="f">
              <v:textbox inset="0,0,0,0">
                <w:txbxContent>
                  <w:p w:rsidR="00E444C6" w:rsidRDefault="00FF1014">
                    <w:pPr>
                      <w:pStyle w:val="BodyText"/>
                      <w:spacing w:before="19"/>
                      <w:ind w:left="40"/>
                    </w:pPr>
                    <w:r>
                      <w:fldChar w:fldCharType="begin"/>
                    </w:r>
                    <w:r>
                      <w:rPr>
                        <w:w w:val="99"/>
                      </w:rPr>
                      <w:instrText xml:space="preserve"> PAGE </w:instrText>
                    </w:r>
                    <w:r>
                      <w:fldChar w:fldCharType="separate"/>
                    </w:r>
                    <w:r w:rsidR="00932AF5">
                      <w:rPr>
                        <w:w w:val="99"/>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049"/>
    <w:multiLevelType w:val="hybridMultilevel"/>
    <w:tmpl w:val="A3080AD4"/>
    <w:lvl w:ilvl="0" w:tplc="CA56F324">
      <w:start w:val="1"/>
      <w:numFmt w:val="decimal"/>
      <w:lvlText w:val="%1."/>
      <w:lvlJc w:val="left"/>
      <w:pPr>
        <w:ind w:left="651" w:hanging="541"/>
        <w:jc w:val="left"/>
      </w:pPr>
      <w:rPr>
        <w:rFonts w:ascii="Verdana" w:eastAsia="Verdana" w:hAnsi="Verdana" w:cs="Verdana" w:hint="default"/>
        <w:w w:val="99"/>
        <w:sz w:val="20"/>
        <w:szCs w:val="20"/>
        <w:lang w:val="es-ES" w:eastAsia="es-ES" w:bidi="es-ES"/>
      </w:rPr>
    </w:lvl>
    <w:lvl w:ilvl="1" w:tplc="2D84910A">
      <w:start w:val="1"/>
      <w:numFmt w:val="lowerLetter"/>
      <w:lvlText w:val="%2)"/>
      <w:lvlJc w:val="left"/>
      <w:pPr>
        <w:ind w:left="831" w:hanging="360"/>
        <w:jc w:val="left"/>
      </w:pPr>
      <w:rPr>
        <w:rFonts w:hint="default"/>
        <w:w w:val="99"/>
        <w:lang w:val="es-ES" w:eastAsia="es-ES" w:bidi="es-ES"/>
      </w:rPr>
    </w:lvl>
    <w:lvl w:ilvl="2" w:tplc="CEF2908E">
      <w:numFmt w:val="bullet"/>
      <w:lvlText w:val="•"/>
      <w:lvlJc w:val="left"/>
      <w:pPr>
        <w:ind w:left="1200" w:hanging="360"/>
      </w:pPr>
      <w:rPr>
        <w:rFonts w:hint="default"/>
        <w:lang w:val="es-ES" w:eastAsia="es-ES" w:bidi="es-ES"/>
      </w:rPr>
    </w:lvl>
    <w:lvl w:ilvl="3" w:tplc="1C506A6C">
      <w:numFmt w:val="bullet"/>
      <w:lvlText w:val="•"/>
      <w:lvlJc w:val="left"/>
      <w:pPr>
        <w:ind w:left="2292" w:hanging="360"/>
      </w:pPr>
      <w:rPr>
        <w:rFonts w:hint="default"/>
        <w:lang w:val="es-ES" w:eastAsia="es-ES" w:bidi="es-ES"/>
      </w:rPr>
    </w:lvl>
    <w:lvl w:ilvl="4" w:tplc="4C6C3578">
      <w:numFmt w:val="bullet"/>
      <w:lvlText w:val="•"/>
      <w:lvlJc w:val="left"/>
      <w:pPr>
        <w:ind w:left="3385" w:hanging="360"/>
      </w:pPr>
      <w:rPr>
        <w:rFonts w:hint="default"/>
        <w:lang w:val="es-ES" w:eastAsia="es-ES" w:bidi="es-ES"/>
      </w:rPr>
    </w:lvl>
    <w:lvl w:ilvl="5" w:tplc="B8A28C66">
      <w:numFmt w:val="bullet"/>
      <w:lvlText w:val="•"/>
      <w:lvlJc w:val="left"/>
      <w:pPr>
        <w:ind w:left="4477" w:hanging="360"/>
      </w:pPr>
      <w:rPr>
        <w:rFonts w:hint="default"/>
        <w:lang w:val="es-ES" w:eastAsia="es-ES" w:bidi="es-ES"/>
      </w:rPr>
    </w:lvl>
    <w:lvl w:ilvl="6" w:tplc="B1E07628">
      <w:numFmt w:val="bullet"/>
      <w:lvlText w:val="•"/>
      <w:lvlJc w:val="left"/>
      <w:pPr>
        <w:ind w:left="5570" w:hanging="360"/>
      </w:pPr>
      <w:rPr>
        <w:rFonts w:hint="default"/>
        <w:lang w:val="es-ES" w:eastAsia="es-ES" w:bidi="es-ES"/>
      </w:rPr>
    </w:lvl>
    <w:lvl w:ilvl="7" w:tplc="386A8ECA">
      <w:numFmt w:val="bullet"/>
      <w:lvlText w:val="•"/>
      <w:lvlJc w:val="left"/>
      <w:pPr>
        <w:ind w:left="6662" w:hanging="360"/>
      </w:pPr>
      <w:rPr>
        <w:rFonts w:hint="default"/>
        <w:lang w:val="es-ES" w:eastAsia="es-ES" w:bidi="es-ES"/>
      </w:rPr>
    </w:lvl>
    <w:lvl w:ilvl="8" w:tplc="7C8A4B1E">
      <w:numFmt w:val="bullet"/>
      <w:lvlText w:val="•"/>
      <w:lvlJc w:val="left"/>
      <w:pPr>
        <w:ind w:left="7755" w:hanging="360"/>
      </w:pPr>
      <w:rPr>
        <w:rFonts w:hint="default"/>
        <w:lang w:val="es-ES" w:eastAsia="es-ES" w:bidi="es-ES"/>
      </w:rPr>
    </w:lvl>
  </w:abstractNum>
  <w:abstractNum w:abstractNumId="1">
    <w:nsid w:val="088F0C04"/>
    <w:multiLevelType w:val="hybridMultilevel"/>
    <w:tmpl w:val="466E5C78"/>
    <w:lvl w:ilvl="0" w:tplc="B96AB4AC">
      <w:start w:val="1"/>
      <w:numFmt w:val="decimal"/>
      <w:lvlText w:val="%1."/>
      <w:lvlJc w:val="left"/>
      <w:pPr>
        <w:ind w:left="111" w:hanging="541"/>
        <w:jc w:val="left"/>
      </w:pPr>
      <w:rPr>
        <w:rFonts w:ascii="Verdana" w:eastAsia="Verdana" w:hAnsi="Verdana" w:cs="Verdana" w:hint="default"/>
        <w:w w:val="99"/>
        <w:sz w:val="20"/>
        <w:szCs w:val="20"/>
        <w:lang w:val="es-ES" w:eastAsia="es-ES" w:bidi="es-ES"/>
      </w:rPr>
    </w:lvl>
    <w:lvl w:ilvl="1" w:tplc="A0DE0148">
      <w:numFmt w:val="bullet"/>
      <w:lvlText w:val="•"/>
      <w:lvlJc w:val="left"/>
      <w:pPr>
        <w:ind w:left="1102" w:hanging="541"/>
      </w:pPr>
      <w:rPr>
        <w:rFonts w:hint="default"/>
        <w:lang w:val="es-ES" w:eastAsia="es-ES" w:bidi="es-ES"/>
      </w:rPr>
    </w:lvl>
    <w:lvl w:ilvl="2" w:tplc="A5820424">
      <w:numFmt w:val="bullet"/>
      <w:lvlText w:val="•"/>
      <w:lvlJc w:val="left"/>
      <w:pPr>
        <w:ind w:left="2084" w:hanging="541"/>
      </w:pPr>
      <w:rPr>
        <w:rFonts w:hint="default"/>
        <w:lang w:val="es-ES" w:eastAsia="es-ES" w:bidi="es-ES"/>
      </w:rPr>
    </w:lvl>
    <w:lvl w:ilvl="3" w:tplc="24E011CE">
      <w:numFmt w:val="bullet"/>
      <w:lvlText w:val="•"/>
      <w:lvlJc w:val="left"/>
      <w:pPr>
        <w:ind w:left="3066" w:hanging="541"/>
      </w:pPr>
      <w:rPr>
        <w:rFonts w:hint="default"/>
        <w:lang w:val="es-ES" w:eastAsia="es-ES" w:bidi="es-ES"/>
      </w:rPr>
    </w:lvl>
    <w:lvl w:ilvl="4" w:tplc="7F7064BE">
      <w:numFmt w:val="bullet"/>
      <w:lvlText w:val="•"/>
      <w:lvlJc w:val="left"/>
      <w:pPr>
        <w:ind w:left="4048" w:hanging="541"/>
      </w:pPr>
      <w:rPr>
        <w:rFonts w:hint="default"/>
        <w:lang w:val="es-ES" w:eastAsia="es-ES" w:bidi="es-ES"/>
      </w:rPr>
    </w:lvl>
    <w:lvl w:ilvl="5" w:tplc="4BBCFD6A">
      <w:numFmt w:val="bullet"/>
      <w:lvlText w:val="•"/>
      <w:lvlJc w:val="left"/>
      <w:pPr>
        <w:ind w:left="5030" w:hanging="541"/>
      </w:pPr>
      <w:rPr>
        <w:rFonts w:hint="default"/>
        <w:lang w:val="es-ES" w:eastAsia="es-ES" w:bidi="es-ES"/>
      </w:rPr>
    </w:lvl>
    <w:lvl w:ilvl="6" w:tplc="8932A2AE">
      <w:numFmt w:val="bullet"/>
      <w:lvlText w:val="•"/>
      <w:lvlJc w:val="left"/>
      <w:pPr>
        <w:ind w:left="6012" w:hanging="541"/>
      </w:pPr>
      <w:rPr>
        <w:rFonts w:hint="default"/>
        <w:lang w:val="es-ES" w:eastAsia="es-ES" w:bidi="es-ES"/>
      </w:rPr>
    </w:lvl>
    <w:lvl w:ilvl="7" w:tplc="8F484E00">
      <w:numFmt w:val="bullet"/>
      <w:lvlText w:val="•"/>
      <w:lvlJc w:val="left"/>
      <w:pPr>
        <w:ind w:left="6994" w:hanging="541"/>
      </w:pPr>
      <w:rPr>
        <w:rFonts w:hint="default"/>
        <w:lang w:val="es-ES" w:eastAsia="es-ES" w:bidi="es-ES"/>
      </w:rPr>
    </w:lvl>
    <w:lvl w:ilvl="8" w:tplc="ADF2D2CE">
      <w:numFmt w:val="bullet"/>
      <w:lvlText w:val="•"/>
      <w:lvlJc w:val="left"/>
      <w:pPr>
        <w:ind w:left="7976" w:hanging="541"/>
      </w:pPr>
      <w:rPr>
        <w:rFonts w:hint="default"/>
        <w:lang w:val="es-ES" w:eastAsia="es-ES" w:bidi="es-ES"/>
      </w:rPr>
    </w:lvl>
  </w:abstractNum>
  <w:abstractNum w:abstractNumId="2">
    <w:nsid w:val="2F516EE1"/>
    <w:multiLevelType w:val="hybridMultilevel"/>
    <w:tmpl w:val="DC9E2480"/>
    <w:lvl w:ilvl="0" w:tplc="BCEE65DE">
      <w:start w:val="1"/>
      <w:numFmt w:val="decimal"/>
      <w:lvlText w:val="%1."/>
      <w:lvlJc w:val="left"/>
      <w:pPr>
        <w:ind w:left="111" w:hanging="721"/>
        <w:jc w:val="left"/>
      </w:pPr>
      <w:rPr>
        <w:rFonts w:ascii="Verdana" w:eastAsia="Verdana" w:hAnsi="Verdana" w:cs="Verdana" w:hint="default"/>
        <w:w w:val="99"/>
        <w:sz w:val="20"/>
        <w:szCs w:val="20"/>
        <w:lang w:val="es-ES" w:eastAsia="es-ES" w:bidi="es-ES"/>
      </w:rPr>
    </w:lvl>
    <w:lvl w:ilvl="1" w:tplc="66B80F62">
      <w:numFmt w:val="bullet"/>
      <w:lvlText w:val="•"/>
      <w:lvlJc w:val="left"/>
      <w:pPr>
        <w:ind w:left="1102" w:hanging="721"/>
      </w:pPr>
      <w:rPr>
        <w:rFonts w:hint="default"/>
        <w:lang w:val="es-ES" w:eastAsia="es-ES" w:bidi="es-ES"/>
      </w:rPr>
    </w:lvl>
    <w:lvl w:ilvl="2" w:tplc="6E3A2340">
      <w:numFmt w:val="bullet"/>
      <w:lvlText w:val="•"/>
      <w:lvlJc w:val="left"/>
      <w:pPr>
        <w:ind w:left="2084" w:hanging="721"/>
      </w:pPr>
      <w:rPr>
        <w:rFonts w:hint="default"/>
        <w:lang w:val="es-ES" w:eastAsia="es-ES" w:bidi="es-ES"/>
      </w:rPr>
    </w:lvl>
    <w:lvl w:ilvl="3" w:tplc="A484D234">
      <w:numFmt w:val="bullet"/>
      <w:lvlText w:val="•"/>
      <w:lvlJc w:val="left"/>
      <w:pPr>
        <w:ind w:left="3066" w:hanging="721"/>
      </w:pPr>
      <w:rPr>
        <w:rFonts w:hint="default"/>
        <w:lang w:val="es-ES" w:eastAsia="es-ES" w:bidi="es-ES"/>
      </w:rPr>
    </w:lvl>
    <w:lvl w:ilvl="4" w:tplc="BDD62AE8">
      <w:numFmt w:val="bullet"/>
      <w:lvlText w:val="•"/>
      <w:lvlJc w:val="left"/>
      <w:pPr>
        <w:ind w:left="4048" w:hanging="721"/>
      </w:pPr>
      <w:rPr>
        <w:rFonts w:hint="default"/>
        <w:lang w:val="es-ES" w:eastAsia="es-ES" w:bidi="es-ES"/>
      </w:rPr>
    </w:lvl>
    <w:lvl w:ilvl="5" w:tplc="49DA8032">
      <w:numFmt w:val="bullet"/>
      <w:lvlText w:val="•"/>
      <w:lvlJc w:val="left"/>
      <w:pPr>
        <w:ind w:left="5030" w:hanging="721"/>
      </w:pPr>
      <w:rPr>
        <w:rFonts w:hint="default"/>
        <w:lang w:val="es-ES" w:eastAsia="es-ES" w:bidi="es-ES"/>
      </w:rPr>
    </w:lvl>
    <w:lvl w:ilvl="6" w:tplc="8D9400EC">
      <w:numFmt w:val="bullet"/>
      <w:lvlText w:val="•"/>
      <w:lvlJc w:val="left"/>
      <w:pPr>
        <w:ind w:left="6012" w:hanging="721"/>
      </w:pPr>
      <w:rPr>
        <w:rFonts w:hint="default"/>
        <w:lang w:val="es-ES" w:eastAsia="es-ES" w:bidi="es-ES"/>
      </w:rPr>
    </w:lvl>
    <w:lvl w:ilvl="7" w:tplc="A9968306">
      <w:numFmt w:val="bullet"/>
      <w:lvlText w:val="•"/>
      <w:lvlJc w:val="left"/>
      <w:pPr>
        <w:ind w:left="6994" w:hanging="721"/>
      </w:pPr>
      <w:rPr>
        <w:rFonts w:hint="default"/>
        <w:lang w:val="es-ES" w:eastAsia="es-ES" w:bidi="es-ES"/>
      </w:rPr>
    </w:lvl>
    <w:lvl w:ilvl="8" w:tplc="11A8AE4C">
      <w:numFmt w:val="bullet"/>
      <w:lvlText w:val="•"/>
      <w:lvlJc w:val="left"/>
      <w:pPr>
        <w:ind w:left="7976" w:hanging="721"/>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C6"/>
    <w:rsid w:val="004B5521"/>
    <w:rsid w:val="00932AF5"/>
    <w:rsid w:val="00E444C6"/>
    <w:rsid w:val="00F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ES" w:eastAsia="es-ES" w:bidi="es-ES"/>
    </w:rPr>
  </w:style>
  <w:style w:type="paragraph" w:styleId="Heading1">
    <w:name w:val="heading 1"/>
    <w:basedOn w:val="Normal"/>
    <w:uiPriority w:val="1"/>
    <w:qFormat/>
    <w:pPr>
      <w:spacing w:before="190"/>
      <w:ind w:left="111"/>
      <w:jc w:val="both"/>
      <w:outlineLvl w:val="0"/>
    </w:pPr>
    <w:rPr>
      <w:b/>
      <w:bCs/>
      <w:sz w:val="20"/>
      <w:szCs w:val="20"/>
    </w:rPr>
  </w:style>
  <w:style w:type="paragraph" w:styleId="Heading2">
    <w:name w:val="heading 2"/>
    <w:basedOn w:val="Normal"/>
    <w:uiPriority w:val="1"/>
    <w:qFormat/>
    <w:pPr>
      <w:spacing w:before="191"/>
      <w:ind w:left="831" w:hanging="36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111" w:right="105"/>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ES" w:eastAsia="es-ES" w:bidi="es-ES"/>
    </w:rPr>
  </w:style>
  <w:style w:type="paragraph" w:styleId="Heading1">
    <w:name w:val="heading 1"/>
    <w:basedOn w:val="Normal"/>
    <w:uiPriority w:val="1"/>
    <w:qFormat/>
    <w:pPr>
      <w:spacing w:before="190"/>
      <w:ind w:left="111"/>
      <w:jc w:val="both"/>
      <w:outlineLvl w:val="0"/>
    </w:pPr>
    <w:rPr>
      <w:b/>
      <w:bCs/>
      <w:sz w:val="20"/>
      <w:szCs w:val="20"/>
    </w:rPr>
  </w:style>
  <w:style w:type="paragraph" w:styleId="Heading2">
    <w:name w:val="heading 2"/>
    <w:basedOn w:val="Normal"/>
    <w:uiPriority w:val="1"/>
    <w:qFormat/>
    <w:pPr>
      <w:spacing w:before="191"/>
      <w:ind w:left="831" w:hanging="36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111" w:right="10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RESOLUCIÓN DEL PRESIDENTE DE LA</vt:lpstr>
    </vt:vector>
  </TitlesOfParts>
  <Company>Hewlett-Packard Company</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Jorge Errandonea</dc:creator>
  <cp:lastModifiedBy>Mabel Fernandez</cp:lastModifiedBy>
  <cp:revision>2</cp:revision>
  <dcterms:created xsi:type="dcterms:W3CDTF">2018-12-07T16:47:00Z</dcterms:created>
  <dcterms:modified xsi:type="dcterms:W3CDTF">2018-12-07T16:47:00Z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2012-02-16T00:00:00Z</vt:filetime>
  </property>
  <property fmtid="{D5CDD505-2E9C-101B-9397-08002B2CF9AE}" pid="3" name="Creator">
    <vt:lpwstr>Microsoft® Office Word 2007</vt:lpwstr>
  </property>
  <property fmtid="{D5CDD505-2E9C-101B-9397-08002B2CF9AE}" pid="4" name="LastSaved">
    <vt:filetime>2018-12-07T00:00:00Z</vt:filetime>
  </property>
</Properties>
</file>