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1934E" w14:textId="77777777" w:rsidR="00FF6AD7" w:rsidRDefault="00FF6AD7" w:rsidP="009A226B">
      <w:pPr>
        <w:tabs>
          <w:tab w:val="left" w:pos="567"/>
        </w:tabs>
        <w:spacing w:after="0" w:line="240" w:lineRule="auto"/>
        <w:rPr>
          <w:rFonts w:ascii="Verdana" w:hAnsi="Verdana"/>
          <w:b/>
          <w:sz w:val="20"/>
          <w:szCs w:val="24"/>
        </w:rPr>
      </w:pPr>
    </w:p>
    <w:p w14:paraId="08FF9859" w14:textId="77777777" w:rsidR="00EF2BDD" w:rsidRDefault="00EF2BDD" w:rsidP="009A226B">
      <w:pPr>
        <w:tabs>
          <w:tab w:val="left" w:pos="567"/>
        </w:tabs>
        <w:spacing w:after="0" w:line="240" w:lineRule="auto"/>
        <w:rPr>
          <w:rFonts w:ascii="Verdana" w:hAnsi="Verdana"/>
          <w:b/>
          <w:sz w:val="20"/>
          <w:szCs w:val="24"/>
        </w:rPr>
      </w:pPr>
    </w:p>
    <w:p w14:paraId="3539F736" w14:textId="77777777" w:rsidR="00EF2BDD" w:rsidRDefault="00EF2BDD" w:rsidP="009A226B">
      <w:pPr>
        <w:tabs>
          <w:tab w:val="left" w:pos="567"/>
        </w:tabs>
        <w:spacing w:after="0" w:line="240" w:lineRule="auto"/>
        <w:rPr>
          <w:rFonts w:ascii="Verdana" w:hAnsi="Verdana"/>
          <w:b/>
          <w:sz w:val="20"/>
          <w:szCs w:val="24"/>
        </w:rPr>
      </w:pPr>
    </w:p>
    <w:p w14:paraId="2AF4DF75" w14:textId="77777777" w:rsidR="00EF2BDD" w:rsidRDefault="00EF2BDD" w:rsidP="009A226B">
      <w:pPr>
        <w:tabs>
          <w:tab w:val="left" w:pos="567"/>
        </w:tabs>
        <w:spacing w:after="0" w:line="240" w:lineRule="auto"/>
        <w:rPr>
          <w:rFonts w:ascii="Verdana" w:hAnsi="Verdana"/>
          <w:b/>
          <w:sz w:val="20"/>
          <w:szCs w:val="24"/>
        </w:rPr>
      </w:pPr>
    </w:p>
    <w:p w14:paraId="6E6FC3EB" w14:textId="77777777" w:rsidR="00EF2BDD" w:rsidRDefault="00EF2BDD" w:rsidP="009A226B">
      <w:pPr>
        <w:tabs>
          <w:tab w:val="left" w:pos="567"/>
        </w:tabs>
        <w:spacing w:after="0" w:line="240" w:lineRule="auto"/>
        <w:rPr>
          <w:rFonts w:ascii="Verdana" w:hAnsi="Verdana"/>
          <w:b/>
          <w:sz w:val="20"/>
          <w:szCs w:val="24"/>
        </w:rPr>
      </w:pPr>
    </w:p>
    <w:p w14:paraId="1998B99B" w14:textId="77777777" w:rsidR="00EF2BDD" w:rsidRDefault="00EF2BDD" w:rsidP="009A226B">
      <w:pPr>
        <w:tabs>
          <w:tab w:val="left" w:pos="567"/>
        </w:tabs>
        <w:spacing w:after="0" w:line="240" w:lineRule="auto"/>
        <w:rPr>
          <w:rFonts w:ascii="Verdana" w:hAnsi="Verdana"/>
          <w:b/>
          <w:sz w:val="20"/>
          <w:szCs w:val="24"/>
        </w:rPr>
      </w:pPr>
      <w:bookmarkStart w:id="0" w:name="_GoBack"/>
      <w:bookmarkEnd w:id="0"/>
    </w:p>
    <w:p w14:paraId="30088BFD" w14:textId="77777777" w:rsidR="00EF2BDD" w:rsidRDefault="00EF2BDD" w:rsidP="009A226B">
      <w:pPr>
        <w:tabs>
          <w:tab w:val="left" w:pos="567"/>
        </w:tabs>
        <w:spacing w:after="0" w:line="240" w:lineRule="auto"/>
        <w:rPr>
          <w:rFonts w:ascii="Verdana" w:hAnsi="Verdana"/>
          <w:b/>
          <w:sz w:val="20"/>
          <w:szCs w:val="24"/>
        </w:rPr>
      </w:pPr>
    </w:p>
    <w:p w14:paraId="57E327BB" w14:textId="77777777" w:rsidR="00EF2BDD" w:rsidRDefault="00EF2BDD" w:rsidP="009A226B">
      <w:pPr>
        <w:tabs>
          <w:tab w:val="left" w:pos="567"/>
        </w:tabs>
        <w:spacing w:after="0" w:line="240" w:lineRule="auto"/>
        <w:rPr>
          <w:rFonts w:ascii="Verdana" w:hAnsi="Verdana"/>
          <w:b/>
          <w:sz w:val="20"/>
          <w:szCs w:val="24"/>
        </w:rPr>
      </w:pPr>
    </w:p>
    <w:p w14:paraId="0E9F8748" w14:textId="77777777" w:rsidR="00EF2BDD" w:rsidRDefault="00EF2BDD" w:rsidP="009A226B">
      <w:pPr>
        <w:tabs>
          <w:tab w:val="left" w:pos="567"/>
        </w:tabs>
        <w:spacing w:after="0" w:line="240" w:lineRule="auto"/>
        <w:rPr>
          <w:rFonts w:ascii="Verdana" w:hAnsi="Verdana"/>
          <w:b/>
          <w:sz w:val="20"/>
          <w:szCs w:val="24"/>
        </w:rPr>
      </w:pPr>
    </w:p>
    <w:p w14:paraId="07EE326E" w14:textId="77777777" w:rsidR="00EF2BDD" w:rsidRDefault="00EF2BDD" w:rsidP="009A226B">
      <w:pPr>
        <w:tabs>
          <w:tab w:val="left" w:pos="567"/>
        </w:tabs>
        <w:spacing w:after="0" w:line="240" w:lineRule="auto"/>
        <w:rPr>
          <w:rFonts w:ascii="Verdana" w:hAnsi="Verdana"/>
          <w:b/>
          <w:sz w:val="20"/>
          <w:szCs w:val="24"/>
        </w:rPr>
      </w:pPr>
    </w:p>
    <w:p w14:paraId="2D7D028F" w14:textId="77777777" w:rsidR="00553094" w:rsidRDefault="00553094" w:rsidP="009A226B">
      <w:pPr>
        <w:tabs>
          <w:tab w:val="left" w:pos="567"/>
        </w:tabs>
        <w:spacing w:after="0" w:line="240" w:lineRule="auto"/>
        <w:rPr>
          <w:rFonts w:ascii="Verdana" w:hAnsi="Verdana"/>
          <w:b/>
          <w:sz w:val="20"/>
          <w:szCs w:val="24"/>
        </w:rPr>
      </w:pPr>
    </w:p>
    <w:p w14:paraId="2FD7FF04" w14:textId="77777777" w:rsidR="007E7781"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RESOLUCIÓN </w:t>
      </w:r>
      <w:r w:rsidR="00FF6AD7" w:rsidRPr="00FF6AD7">
        <w:rPr>
          <w:rFonts w:ascii="Verdana" w:hAnsi="Verdana"/>
          <w:b/>
          <w:sz w:val="20"/>
          <w:szCs w:val="24"/>
        </w:rPr>
        <w:t>DEL PRESIDENTE</w:t>
      </w:r>
      <w:r w:rsidR="007E7781">
        <w:rPr>
          <w:rFonts w:ascii="Verdana" w:hAnsi="Verdana"/>
          <w:b/>
          <w:sz w:val="20"/>
          <w:szCs w:val="24"/>
        </w:rPr>
        <w:t xml:space="preserve"> </w:t>
      </w:r>
      <w:r w:rsidRPr="00016191">
        <w:rPr>
          <w:rFonts w:ascii="Verdana" w:hAnsi="Verdana"/>
          <w:b/>
          <w:sz w:val="20"/>
          <w:szCs w:val="24"/>
        </w:rPr>
        <w:t xml:space="preserve">DE LA </w:t>
      </w:r>
    </w:p>
    <w:p w14:paraId="0C5F18D8" w14:textId="77777777" w:rsidR="00FF6AD7"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CORTE INTERAMERICANA DE DERECHOS HUMANOS</w:t>
      </w:r>
    </w:p>
    <w:p w14:paraId="3748C886" w14:textId="77777777" w:rsidR="007E7781" w:rsidRDefault="007E7781" w:rsidP="009A226B">
      <w:pPr>
        <w:tabs>
          <w:tab w:val="left" w:pos="567"/>
        </w:tabs>
        <w:spacing w:after="0" w:line="240" w:lineRule="auto"/>
        <w:jc w:val="center"/>
        <w:rPr>
          <w:rFonts w:ascii="Verdana" w:hAnsi="Verdana"/>
          <w:b/>
          <w:sz w:val="20"/>
          <w:szCs w:val="24"/>
        </w:rPr>
      </w:pPr>
    </w:p>
    <w:p w14:paraId="56F12605" w14:textId="77777777" w:rsidR="00817A82" w:rsidRPr="007E7781" w:rsidRDefault="00817A82" w:rsidP="009A226B">
      <w:pPr>
        <w:tabs>
          <w:tab w:val="left" w:pos="567"/>
        </w:tabs>
        <w:spacing w:after="0" w:line="240" w:lineRule="auto"/>
        <w:jc w:val="center"/>
        <w:rPr>
          <w:rFonts w:ascii="Verdana" w:hAnsi="Verdana"/>
          <w:b/>
          <w:sz w:val="20"/>
          <w:szCs w:val="24"/>
        </w:rPr>
      </w:pPr>
    </w:p>
    <w:p w14:paraId="7E417D0A" w14:textId="4ED297A1" w:rsidR="007E7781"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DE </w:t>
      </w:r>
      <w:r w:rsidR="002859AD">
        <w:rPr>
          <w:rFonts w:ascii="Verdana" w:hAnsi="Verdana"/>
          <w:b/>
          <w:sz w:val="20"/>
          <w:szCs w:val="24"/>
        </w:rPr>
        <w:t>18</w:t>
      </w:r>
      <w:r w:rsidRPr="00016191">
        <w:rPr>
          <w:rFonts w:ascii="Verdana" w:hAnsi="Verdana"/>
          <w:b/>
          <w:sz w:val="20"/>
          <w:szCs w:val="24"/>
        </w:rPr>
        <w:t xml:space="preserve"> DE </w:t>
      </w:r>
      <w:r w:rsidR="00F95EAC">
        <w:rPr>
          <w:rFonts w:ascii="Verdana" w:hAnsi="Verdana"/>
          <w:b/>
          <w:sz w:val="20"/>
          <w:szCs w:val="24"/>
        </w:rPr>
        <w:t>OCTUBRE</w:t>
      </w:r>
      <w:r>
        <w:rPr>
          <w:rFonts w:ascii="Verdana" w:hAnsi="Verdana"/>
          <w:b/>
          <w:sz w:val="20"/>
          <w:szCs w:val="24"/>
        </w:rPr>
        <w:t xml:space="preserve"> DE 2017</w:t>
      </w:r>
    </w:p>
    <w:p w14:paraId="3166E9F6" w14:textId="77777777" w:rsidR="007E7781" w:rsidRDefault="007E7781" w:rsidP="009A226B">
      <w:pPr>
        <w:tabs>
          <w:tab w:val="left" w:pos="567"/>
        </w:tabs>
        <w:spacing w:after="0" w:line="240" w:lineRule="auto"/>
        <w:jc w:val="center"/>
        <w:rPr>
          <w:rFonts w:ascii="Verdana" w:hAnsi="Verdana"/>
          <w:b/>
          <w:sz w:val="20"/>
          <w:szCs w:val="24"/>
        </w:rPr>
      </w:pPr>
    </w:p>
    <w:p w14:paraId="249E3E34" w14:textId="77777777" w:rsidR="00817A82" w:rsidRPr="00016191" w:rsidRDefault="00817A82" w:rsidP="009A226B">
      <w:pPr>
        <w:tabs>
          <w:tab w:val="left" w:pos="567"/>
        </w:tabs>
        <w:spacing w:after="0" w:line="240" w:lineRule="auto"/>
        <w:jc w:val="center"/>
        <w:rPr>
          <w:rFonts w:ascii="Verdana" w:hAnsi="Verdana"/>
          <w:b/>
          <w:sz w:val="20"/>
          <w:szCs w:val="24"/>
        </w:rPr>
      </w:pPr>
    </w:p>
    <w:p w14:paraId="542A49A0" w14:textId="74F482D4" w:rsidR="0046106D"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CASO </w:t>
      </w:r>
      <w:r w:rsidR="00F95EAC">
        <w:rPr>
          <w:rFonts w:ascii="Verdana" w:hAnsi="Verdana"/>
          <w:b/>
          <w:sz w:val="20"/>
          <w:szCs w:val="24"/>
        </w:rPr>
        <w:t>SELVAS GÓMEZ Y OTRAS</w:t>
      </w:r>
      <w:r w:rsidR="008F0658">
        <w:rPr>
          <w:rFonts w:ascii="Verdana" w:hAnsi="Verdana"/>
          <w:b/>
          <w:sz w:val="20"/>
          <w:szCs w:val="24"/>
        </w:rPr>
        <w:t xml:space="preserve"> </w:t>
      </w:r>
      <w:r w:rsidRPr="00016191">
        <w:rPr>
          <w:rFonts w:ascii="Verdana" w:hAnsi="Verdana"/>
          <w:b/>
          <w:sz w:val="20"/>
          <w:szCs w:val="24"/>
        </w:rPr>
        <w:t xml:space="preserve">VS. </w:t>
      </w:r>
      <w:r w:rsidR="00F95EAC">
        <w:rPr>
          <w:rFonts w:ascii="Verdana" w:hAnsi="Verdana"/>
          <w:b/>
          <w:sz w:val="20"/>
          <w:szCs w:val="24"/>
        </w:rPr>
        <w:t>MÉXICO</w:t>
      </w:r>
    </w:p>
    <w:p w14:paraId="541CAB36" w14:textId="77777777" w:rsidR="006709EC" w:rsidRDefault="006709EC" w:rsidP="009A226B">
      <w:pPr>
        <w:tabs>
          <w:tab w:val="left" w:pos="567"/>
        </w:tabs>
        <w:spacing w:after="0" w:line="240" w:lineRule="auto"/>
        <w:jc w:val="center"/>
        <w:rPr>
          <w:rFonts w:ascii="Verdana" w:hAnsi="Verdana"/>
          <w:b/>
          <w:sz w:val="20"/>
          <w:szCs w:val="24"/>
        </w:rPr>
      </w:pPr>
      <w:r>
        <w:rPr>
          <w:rFonts w:ascii="Verdana" w:hAnsi="Verdana"/>
          <w:b/>
          <w:sz w:val="20"/>
          <w:szCs w:val="24"/>
        </w:rPr>
        <w:t xml:space="preserve"> </w:t>
      </w:r>
    </w:p>
    <w:p w14:paraId="51A79224" w14:textId="77777777" w:rsidR="00817A82" w:rsidRDefault="00817A82" w:rsidP="009A226B">
      <w:pPr>
        <w:tabs>
          <w:tab w:val="left" w:pos="567"/>
        </w:tabs>
        <w:spacing w:after="0" w:line="240" w:lineRule="auto"/>
        <w:jc w:val="center"/>
        <w:rPr>
          <w:rFonts w:ascii="Verdana" w:hAnsi="Verdana"/>
          <w:b/>
          <w:sz w:val="20"/>
          <w:szCs w:val="24"/>
        </w:rPr>
      </w:pPr>
    </w:p>
    <w:p w14:paraId="3F1EBC4E" w14:textId="5BDE889B" w:rsidR="00817A82" w:rsidRPr="00817A82" w:rsidRDefault="0004010B" w:rsidP="009A226B">
      <w:pPr>
        <w:tabs>
          <w:tab w:val="left" w:pos="0"/>
        </w:tabs>
        <w:spacing w:after="0" w:line="240" w:lineRule="auto"/>
        <w:jc w:val="center"/>
        <w:rPr>
          <w:rFonts w:ascii="Verdana" w:hAnsi="Verdana"/>
          <w:b/>
          <w:sz w:val="20"/>
          <w:szCs w:val="20"/>
        </w:rPr>
      </w:pPr>
      <w:r>
        <w:rPr>
          <w:rFonts w:ascii="Verdana" w:hAnsi="Verdana"/>
          <w:b/>
          <w:sz w:val="20"/>
          <w:szCs w:val="20"/>
        </w:rPr>
        <w:t xml:space="preserve">CONVOCATORIA </w:t>
      </w:r>
      <w:r w:rsidR="00817A82" w:rsidRPr="00817A82">
        <w:rPr>
          <w:rFonts w:ascii="Verdana" w:hAnsi="Verdana"/>
          <w:b/>
          <w:sz w:val="20"/>
          <w:szCs w:val="20"/>
        </w:rPr>
        <w:t>A AUDIENCIA</w:t>
      </w:r>
    </w:p>
    <w:p w14:paraId="1A47DAF4" w14:textId="77777777" w:rsidR="00817A82" w:rsidRDefault="00817A82" w:rsidP="009A226B">
      <w:pPr>
        <w:tabs>
          <w:tab w:val="left" w:pos="567"/>
        </w:tabs>
        <w:spacing w:after="0" w:line="240" w:lineRule="auto"/>
        <w:jc w:val="both"/>
        <w:rPr>
          <w:rFonts w:ascii="Verdana" w:hAnsi="Verdana"/>
          <w:b/>
          <w:color w:val="00B050"/>
          <w:sz w:val="20"/>
          <w:szCs w:val="20"/>
        </w:rPr>
      </w:pPr>
    </w:p>
    <w:p w14:paraId="7C4C7331" w14:textId="77777777" w:rsidR="00817A82" w:rsidRDefault="00817A82" w:rsidP="009A226B">
      <w:pPr>
        <w:tabs>
          <w:tab w:val="left" w:pos="567"/>
        </w:tabs>
        <w:spacing w:after="0" w:line="240" w:lineRule="auto"/>
        <w:jc w:val="both"/>
        <w:rPr>
          <w:rFonts w:ascii="Verdana" w:hAnsi="Verdana"/>
          <w:b/>
          <w:color w:val="00B050"/>
          <w:sz w:val="20"/>
          <w:szCs w:val="20"/>
        </w:rPr>
      </w:pPr>
    </w:p>
    <w:p w14:paraId="1BEC15CA" w14:textId="77777777" w:rsidR="00817A82" w:rsidRDefault="00817A82" w:rsidP="009A226B">
      <w:pPr>
        <w:tabs>
          <w:tab w:val="left" w:pos="567"/>
        </w:tabs>
        <w:spacing w:after="0" w:line="240" w:lineRule="auto"/>
        <w:jc w:val="both"/>
        <w:rPr>
          <w:rFonts w:ascii="Verdana" w:hAnsi="Verdana"/>
          <w:b/>
          <w:color w:val="00B050"/>
          <w:sz w:val="20"/>
          <w:szCs w:val="20"/>
        </w:rPr>
      </w:pPr>
    </w:p>
    <w:p w14:paraId="61B55006" w14:textId="77777777" w:rsidR="000B316A" w:rsidRDefault="000B316A" w:rsidP="009A226B">
      <w:pPr>
        <w:tabs>
          <w:tab w:val="left" w:pos="567"/>
        </w:tabs>
        <w:spacing w:after="0" w:line="240" w:lineRule="auto"/>
        <w:jc w:val="both"/>
        <w:rPr>
          <w:rFonts w:ascii="Verdana" w:hAnsi="Verdana"/>
          <w:b/>
          <w:color w:val="00B050"/>
          <w:sz w:val="20"/>
          <w:szCs w:val="20"/>
        </w:rPr>
      </w:pPr>
    </w:p>
    <w:p w14:paraId="03CBF33D" w14:textId="77777777" w:rsidR="000B316A" w:rsidRDefault="000B316A" w:rsidP="009A226B">
      <w:pPr>
        <w:tabs>
          <w:tab w:val="left" w:pos="567"/>
        </w:tabs>
        <w:spacing w:after="0" w:line="240" w:lineRule="auto"/>
        <w:jc w:val="both"/>
        <w:rPr>
          <w:rFonts w:ascii="Verdana" w:hAnsi="Verdana"/>
          <w:b/>
          <w:color w:val="00B050"/>
          <w:sz w:val="20"/>
          <w:szCs w:val="20"/>
        </w:rPr>
      </w:pPr>
    </w:p>
    <w:p w14:paraId="423F24B5" w14:textId="77777777" w:rsidR="000B316A" w:rsidRDefault="000B316A" w:rsidP="009A226B">
      <w:pPr>
        <w:tabs>
          <w:tab w:val="left" w:pos="567"/>
        </w:tabs>
        <w:spacing w:after="0" w:line="240" w:lineRule="auto"/>
        <w:jc w:val="both"/>
        <w:rPr>
          <w:rFonts w:ascii="Verdana" w:hAnsi="Verdana"/>
          <w:b/>
          <w:color w:val="00B050"/>
          <w:sz w:val="20"/>
          <w:szCs w:val="20"/>
        </w:rPr>
      </w:pPr>
    </w:p>
    <w:p w14:paraId="75574EFF" w14:textId="04BB67FA" w:rsidR="00FF6AD7" w:rsidRDefault="00FF6AD7" w:rsidP="009A226B">
      <w:pPr>
        <w:tabs>
          <w:tab w:val="left" w:pos="567"/>
        </w:tabs>
        <w:spacing w:after="0" w:line="240" w:lineRule="auto"/>
        <w:jc w:val="center"/>
        <w:rPr>
          <w:rFonts w:ascii="Verdana" w:hAnsi="Verdana"/>
          <w:b/>
          <w:sz w:val="20"/>
          <w:szCs w:val="24"/>
        </w:rPr>
      </w:pPr>
    </w:p>
    <w:p w14:paraId="317E7E9B" w14:textId="77777777" w:rsidR="00016191" w:rsidRDefault="00016191" w:rsidP="009A226B">
      <w:pPr>
        <w:tabs>
          <w:tab w:val="left" w:pos="567"/>
        </w:tabs>
        <w:spacing w:after="0" w:line="240" w:lineRule="auto"/>
        <w:jc w:val="both"/>
        <w:rPr>
          <w:rFonts w:ascii="Verdana" w:hAnsi="Verdana"/>
          <w:b/>
          <w:sz w:val="20"/>
          <w:szCs w:val="24"/>
        </w:rPr>
      </w:pPr>
      <w:r>
        <w:rPr>
          <w:rFonts w:ascii="Verdana" w:hAnsi="Verdana"/>
          <w:b/>
          <w:sz w:val="20"/>
          <w:szCs w:val="24"/>
        </w:rPr>
        <w:t>VISTO:</w:t>
      </w:r>
    </w:p>
    <w:p w14:paraId="70F282D6" w14:textId="77777777" w:rsidR="00BF78B5" w:rsidRDefault="00BF78B5" w:rsidP="009A226B">
      <w:pPr>
        <w:tabs>
          <w:tab w:val="left" w:pos="567"/>
        </w:tabs>
        <w:spacing w:after="0" w:line="240" w:lineRule="auto"/>
        <w:jc w:val="both"/>
        <w:rPr>
          <w:rFonts w:ascii="Verdana" w:hAnsi="Verdana"/>
          <w:b/>
          <w:sz w:val="20"/>
          <w:szCs w:val="24"/>
        </w:rPr>
      </w:pPr>
    </w:p>
    <w:p w14:paraId="5CCBBE6C" w14:textId="74539EE3" w:rsidR="00BC0019" w:rsidRDefault="00016191" w:rsidP="009A226B">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sz w:val="20"/>
          <w:szCs w:val="24"/>
          <w:lang w:eastAsia="es-ES"/>
        </w:rPr>
      </w:pPr>
      <w:r w:rsidRPr="00016191">
        <w:rPr>
          <w:rFonts w:ascii="Verdana" w:hAnsi="Verdana"/>
          <w:sz w:val="20"/>
          <w:szCs w:val="24"/>
        </w:rPr>
        <w:t>El escrito de sometimiento del caso y el Informe de Fondo de la Comisión Interamericana de Derechos Humanos (en adelante “la Comisión Interamericana” o “la Comisión”); el escrito de solicitudes, argumentos y pruebas</w:t>
      </w:r>
      <w:r w:rsidR="00844163">
        <w:rPr>
          <w:rFonts w:ascii="Verdana" w:hAnsi="Verdana"/>
          <w:sz w:val="20"/>
          <w:szCs w:val="24"/>
        </w:rPr>
        <w:t xml:space="preserve"> </w:t>
      </w:r>
      <w:r w:rsidRPr="00016191">
        <w:rPr>
          <w:rFonts w:ascii="Verdana" w:hAnsi="Verdana"/>
          <w:sz w:val="20"/>
          <w:szCs w:val="24"/>
        </w:rPr>
        <w:t>(en adelante el “escrito de solicitudes y argumentos”) de los representantes</w:t>
      </w:r>
      <w:r w:rsidR="004718FD">
        <w:rPr>
          <w:rStyle w:val="FootnoteReference"/>
          <w:rFonts w:ascii="Verdana" w:hAnsi="Verdana"/>
          <w:sz w:val="20"/>
          <w:szCs w:val="24"/>
        </w:rPr>
        <w:footnoteReference w:id="1"/>
      </w:r>
      <w:r w:rsidRPr="00016191">
        <w:rPr>
          <w:rFonts w:ascii="Verdana" w:hAnsi="Verdana"/>
          <w:sz w:val="20"/>
          <w:szCs w:val="24"/>
        </w:rPr>
        <w:t xml:space="preserve"> (en adelante “los representantes”); el escrito de contestación al sometimiento del caso y al escrito de solicitudes y argumentos (en adelant</w:t>
      </w:r>
      <w:r w:rsidR="001F3986">
        <w:rPr>
          <w:rFonts w:ascii="Verdana" w:hAnsi="Verdana"/>
          <w:sz w:val="20"/>
          <w:szCs w:val="24"/>
        </w:rPr>
        <w:t xml:space="preserve">e “escrito de contestación”) de </w:t>
      </w:r>
      <w:r w:rsidR="00DD25BE">
        <w:rPr>
          <w:rFonts w:ascii="Verdana" w:hAnsi="Verdana"/>
          <w:sz w:val="20"/>
          <w:szCs w:val="24"/>
        </w:rPr>
        <w:t>México</w:t>
      </w:r>
      <w:r w:rsidR="006E4645">
        <w:rPr>
          <w:rFonts w:ascii="Verdana" w:hAnsi="Verdana"/>
          <w:sz w:val="20"/>
          <w:szCs w:val="24"/>
        </w:rPr>
        <w:t xml:space="preserve"> </w:t>
      </w:r>
      <w:r w:rsidRPr="00016191">
        <w:rPr>
          <w:rFonts w:ascii="Verdana" w:hAnsi="Verdana"/>
          <w:sz w:val="20"/>
          <w:szCs w:val="24"/>
        </w:rPr>
        <w:t>(en adelante “</w:t>
      </w:r>
      <w:r w:rsidR="006E4645">
        <w:rPr>
          <w:rFonts w:ascii="Verdana" w:hAnsi="Verdana"/>
          <w:sz w:val="20"/>
          <w:szCs w:val="24"/>
        </w:rPr>
        <w:t>México</w:t>
      </w:r>
      <w:r w:rsidR="001735A7">
        <w:rPr>
          <w:rFonts w:ascii="Verdana" w:hAnsi="Verdana"/>
          <w:sz w:val="20"/>
          <w:szCs w:val="24"/>
        </w:rPr>
        <w:t xml:space="preserve">” o “el Estado”), </w:t>
      </w:r>
      <w:r w:rsidR="001735A7" w:rsidRPr="001735A7">
        <w:rPr>
          <w:rFonts w:ascii="Verdana" w:eastAsia="Calibri" w:hAnsi="Verdana" w:cs="Times"/>
          <w:sz w:val="20"/>
          <w:szCs w:val="24"/>
          <w:lang w:eastAsia="es-ES"/>
        </w:rPr>
        <w:t>así co</w:t>
      </w:r>
      <w:r w:rsidR="00564EC8">
        <w:rPr>
          <w:rFonts w:ascii="Verdana" w:eastAsia="Calibri" w:hAnsi="Verdana" w:cs="Times"/>
          <w:sz w:val="20"/>
          <w:szCs w:val="24"/>
          <w:lang w:eastAsia="es-ES"/>
        </w:rPr>
        <w:t xml:space="preserve">mo </w:t>
      </w:r>
      <w:r w:rsidR="00BC0019">
        <w:rPr>
          <w:rFonts w:ascii="Verdana" w:eastAsia="Calibri" w:hAnsi="Verdana" w:cs="Times"/>
          <w:sz w:val="20"/>
          <w:szCs w:val="24"/>
          <w:lang w:eastAsia="es-ES"/>
        </w:rPr>
        <w:t>los escritos</w:t>
      </w:r>
      <w:r w:rsidR="00564EC8">
        <w:rPr>
          <w:rFonts w:ascii="Verdana" w:eastAsia="Calibri" w:hAnsi="Verdana" w:cs="Times"/>
          <w:sz w:val="20"/>
          <w:szCs w:val="24"/>
          <w:lang w:eastAsia="es-ES"/>
        </w:rPr>
        <w:t xml:space="preserve"> de observaciones</w:t>
      </w:r>
      <w:r w:rsidR="00BC0019">
        <w:rPr>
          <w:rFonts w:ascii="Verdana" w:eastAsia="Calibri" w:hAnsi="Verdana" w:cs="Times"/>
          <w:sz w:val="20"/>
          <w:szCs w:val="24"/>
          <w:lang w:eastAsia="es-ES"/>
        </w:rPr>
        <w:t xml:space="preserve"> </w:t>
      </w:r>
      <w:r w:rsidR="00D9010B" w:rsidRPr="0010097D">
        <w:rPr>
          <w:rFonts w:ascii="Verdana" w:eastAsia="Calibri" w:hAnsi="Verdana" w:cs="Times"/>
          <w:sz w:val="20"/>
          <w:szCs w:val="24"/>
          <w:lang w:eastAsia="es-ES"/>
        </w:rPr>
        <w:t>a la excepción preliminar</w:t>
      </w:r>
      <w:r w:rsidR="008C1B7B" w:rsidRPr="0010097D">
        <w:rPr>
          <w:rFonts w:ascii="Verdana" w:eastAsia="Calibri" w:hAnsi="Verdana" w:cs="Times"/>
          <w:sz w:val="20"/>
          <w:szCs w:val="24"/>
          <w:lang w:eastAsia="es-ES"/>
        </w:rPr>
        <w:t xml:space="preserve"> </w:t>
      </w:r>
      <w:r w:rsidR="008C1B7B">
        <w:rPr>
          <w:rFonts w:ascii="Verdana" w:eastAsia="Calibri" w:hAnsi="Verdana" w:cs="Times"/>
          <w:sz w:val="20"/>
          <w:szCs w:val="24"/>
          <w:lang w:eastAsia="es-ES"/>
        </w:rPr>
        <w:t xml:space="preserve">y </w:t>
      </w:r>
      <w:r w:rsidR="008F0658">
        <w:rPr>
          <w:rFonts w:ascii="Verdana" w:eastAsia="Calibri" w:hAnsi="Verdana" w:cs="Times"/>
          <w:sz w:val="20"/>
          <w:szCs w:val="24"/>
          <w:lang w:eastAsia="es-ES"/>
        </w:rPr>
        <w:t>al reconocimi</w:t>
      </w:r>
      <w:r w:rsidR="0090445B">
        <w:rPr>
          <w:rFonts w:ascii="Verdana" w:eastAsia="Calibri" w:hAnsi="Verdana" w:cs="Times"/>
          <w:sz w:val="20"/>
          <w:szCs w:val="24"/>
          <w:lang w:eastAsia="es-ES"/>
        </w:rPr>
        <w:t xml:space="preserve">ento </w:t>
      </w:r>
      <w:r w:rsidR="00DD25BE">
        <w:rPr>
          <w:rFonts w:ascii="Verdana" w:eastAsia="Calibri" w:hAnsi="Verdana" w:cs="Times"/>
          <w:sz w:val="20"/>
          <w:szCs w:val="24"/>
          <w:lang w:eastAsia="es-ES"/>
        </w:rPr>
        <w:t xml:space="preserve">parcial </w:t>
      </w:r>
      <w:r w:rsidR="0090445B">
        <w:rPr>
          <w:rFonts w:ascii="Verdana" w:eastAsia="Calibri" w:hAnsi="Verdana" w:cs="Times"/>
          <w:sz w:val="20"/>
          <w:szCs w:val="24"/>
          <w:lang w:eastAsia="es-ES"/>
        </w:rPr>
        <w:t>de responsabilidad</w:t>
      </w:r>
      <w:r w:rsidR="008F0658">
        <w:rPr>
          <w:rFonts w:ascii="Verdana" w:eastAsia="Calibri" w:hAnsi="Verdana" w:cs="Times"/>
          <w:sz w:val="20"/>
          <w:szCs w:val="24"/>
          <w:lang w:eastAsia="es-ES"/>
        </w:rPr>
        <w:t xml:space="preserve"> realizado </w:t>
      </w:r>
      <w:r w:rsidR="00BC0019">
        <w:rPr>
          <w:rFonts w:ascii="Verdana" w:eastAsia="Calibri" w:hAnsi="Verdana" w:cs="Times"/>
          <w:sz w:val="20"/>
          <w:szCs w:val="24"/>
          <w:lang w:eastAsia="es-ES"/>
        </w:rPr>
        <w:t>por el Estado</w:t>
      </w:r>
      <w:r w:rsidR="00564EC8">
        <w:rPr>
          <w:rFonts w:ascii="Verdana" w:eastAsia="Calibri" w:hAnsi="Verdana" w:cs="Times"/>
          <w:sz w:val="20"/>
          <w:szCs w:val="24"/>
          <w:lang w:eastAsia="es-ES"/>
        </w:rPr>
        <w:t xml:space="preserve"> </w:t>
      </w:r>
      <w:r w:rsidR="00BC0019" w:rsidRPr="00BC0019">
        <w:rPr>
          <w:rFonts w:ascii="Verdana" w:eastAsia="Calibri" w:hAnsi="Verdana" w:cs="Times"/>
          <w:sz w:val="20"/>
          <w:szCs w:val="24"/>
          <w:lang w:eastAsia="es-ES"/>
        </w:rPr>
        <w:t xml:space="preserve">presentados por la Comisión </w:t>
      </w:r>
      <w:r w:rsidR="00005C3B">
        <w:rPr>
          <w:rFonts w:ascii="Verdana" w:eastAsia="Calibri" w:hAnsi="Verdana" w:cs="Times"/>
          <w:sz w:val="20"/>
          <w:szCs w:val="24"/>
          <w:lang w:eastAsia="es-ES"/>
        </w:rPr>
        <w:t xml:space="preserve">Interamericana </w:t>
      </w:r>
      <w:r w:rsidR="00BC0019" w:rsidRPr="00BC0019">
        <w:rPr>
          <w:rFonts w:ascii="Verdana" w:eastAsia="Calibri" w:hAnsi="Verdana" w:cs="Times"/>
          <w:sz w:val="20"/>
          <w:szCs w:val="24"/>
          <w:lang w:eastAsia="es-ES"/>
        </w:rPr>
        <w:t xml:space="preserve">y </w:t>
      </w:r>
      <w:r w:rsidR="00BC0019">
        <w:rPr>
          <w:rFonts w:ascii="Verdana" w:eastAsia="Calibri" w:hAnsi="Verdana" w:cs="Times"/>
          <w:sz w:val="20"/>
          <w:szCs w:val="24"/>
          <w:lang w:eastAsia="es-ES"/>
        </w:rPr>
        <w:t>los</w:t>
      </w:r>
      <w:r w:rsidR="00BC0019" w:rsidRPr="00BC0019">
        <w:rPr>
          <w:rFonts w:ascii="Verdana" w:eastAsia="Calibri" w:hAnsi="Verdana" w:cs="Times"/>
          <w:sz w:val="20"/>
          <w:szCs w:val="24"/>
          <w:lang w:eastAsia="es-ES"/>
        </w:rPr>
        <w:t xml:space="preserve"> representante</w:t>
      </w:r>
      <w:r w:rsidR="00BC0019">
        <w:rPr>
          <w:rFonts w:ascii="Verdana" w:eastAsia="Calibri" w:hAnsi="Verdana" w:cs="Times"/>
          <w:sz w:val="20"/>
          <w:szCs w:val="24"/>
          <w:lang w:eastAsia="es-ES"/>
        </w:rPr>
        <w:t>s</w:t>
      </w:r>
      <w:r w:rsidR="0010097D">
        <w:rPr>
          <w:rFonts w:ascii="Verdana" w:eastAsia="Calibri" w:hAnsi="Verdana" w:cs="Times"/>
          <w:sz w:val="20"/>
          <w:szCs w:val="24"/>
          <w:lang w:eastAsia="es-ES"/>
        </w:rPr>
        <w:t xml:space="preserve">. </w:t>
      </w:r>
    </w:p>
    <w:p w14:paraId="26D5BE4E" w14:textId="77777777" w:rsidR="00BF78B5" w:rsidRDefault="00BF78B5" w:rsidP="009A226B">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14:paraId="0F552555" w14:textId="668511DF" w:rsidR="00187EE7" w:rsidRPr="00A4549C" w:rsidRDefault="00844163" w:rsidP="009A226B">
      <w:pPr>
        <w:widowControl w:val="0"/>
        <w:numPr>
          <w:ilvl w:val="0"/>
          <w:numId w:val="2"/>
        </w:numPr>
        <w:tabs>
          <w:tab w:val="left" w:pos="567"/>
        </w:tabs>
        <w:autoSpaceDE w:val="0"/>
        <w:autoSpaceDN w:val="0"/>
        <w:adjustRightInd w:val="0"/>
        <w:spacing w:after="0" w:line="240" w:lineRule="auto"/>
        <w:ind w:left="0" w:right="22" w:firstLine="0"/>
        <w:jc w:val="both"/>
        <w:rPr>
          <w:rFonts w:ascii="Verdana" w:hAnsi="Verdana"/>
          <w:b/>
          <w:sz w:val="20"/>
          <w:szCs w:val="24"/>
        </w:rPr>
      </w:pPr>
      <w:r w:rsidRPr="00995CA4">
        <w:rPr>
          <w:rFonts w:ascii="Verdana" w:hAnsi="Verdana"/>
          <w:sz w:val="20"/>
          <w:szCs w:val="24"/>
        </w:rPr>
        <w:t>La</w:t>
      </w:r>
      <w:r w:rsidR="00482A2E">
        <w:rPr>
          <w:rFonts w:ascii="Verdana" w:hAnsi="Verdana"/>
          <w:sz w:val="20"/>
          <w:szCs w:val="24"/>
        </w:rPr>
        <w:t>s</w:t>
      </w:r>
      <w:r w:rsidRPr="00995CA4">
        <w:rPr>
          <w:rFonts w:ascii="Verdana" w:hAnsi="Verdana"/>
          <w:sz w:val="20"/>
          <w:szCs w:val="24"/>
        </w:rPr>
        <w:t xml:space="preserve"> </w:t>
      </w:r>
      <w:r w:rsidR="00BC0019" w:rsidRPr="00BC0019">
        <w:rPr>
          <w:rFonts w:ascii="Verdana" w:hAnsi="Verdana"/>
          <w:sz w:val="20"/>
          <w:szCs w:val="24"/>
        </w:rPr>
        <w:t xml:space="preserve">listas definitivas de declarantes presentadas por </w:t>
      </w:r>
      <w:r w:rsidR="009557CE">
        <w:rPr>
          <w:rFonts w:ascii="Verdana" w:hAnsi="Verdana"/>
          <w:sz w:val="20"/>
          <w:szCs w:val="24"/>
        </w:rPr>
        <w:t>los representantes</w:t>
      </w:r>
      <w:r w:rsidR="005145B8">
        <w:rPr>
          <w:rFonts w:ascii="Verdana" w:hAnsi="Verdana"/>
          <w:sz w:val="20"/>
          <w:szCs w:val="24"/>
        </w:rPr>
        <w:t xml:space="preserve"> </w:t>
      </w:r>
      <w:r w:rsidR="00BC0019" w:rsidRPr="009557CE">
        <w:rPr>
          <w:rFonts w:ascii="Verdana" w:hAnsi="Verdana"/>
          <w:sz w:val="20"/>
          <w:szCs w:val="24"/>
        </w:rPr>
        <w:t>y la Comisión</w:t>
      </w:r>
      <w:r w:rsidR="0010097D">
        <w:rPr>
          <w:rFonts w:ascii="Verdana" w:hAnsi="Verdana"/>
          <w:sz w:val="20"/>
          <w:szCs w:val="24"/>
        </w:rPr>
        <w:t xml:space="preserve"> </w:t>
      </w:r>
      <w:r w:rsidR="00BC0019" w:rsidRPr="00A4549C">
        <w:rPr>
          <w:rFonts w:ascii="Verdana" w:hAnsi="Verdana"/>
          <w:sz w:val="20"/>
          <w:szCs w:val="24"/>
        </w:rPr>
        <w:t>y las correspondientes observaciones a dichas listas presentadas por</w:t>
      </w:r>
      <w:r w:rsidR="008279F3">
        <w:rPr>
          <w:rFonts w:ascii="Verdana" w:hAnsi="Verdana"/>
          <w:sz w:val="20"/>
          <w:szCs w:val="24"/>
        </w:rPr>
        <w:t xml:space="preserve"> las partes</w:t>
      </w:r>
      <w:r w:rsidR="0010097D">
        <w:rPr>
          <w:rFonts w:ascii="Verdana" w:hAnsi="Verdana"/>
          <w:sz w:val="20"/>
          <w:szCs w:val="24"/>
        </w:rPr>
        <w:t>.</w:t>
      </w:r>
      <w:r w:rsidR="00D9010B">
        <w:rPr>
          <w:rFonts w:ascii="Verdana" w:hAnsi="Verdana"/>
          <w:sz w:val="20"/>
          <w:szCs w:val="24"/>
        </w:rPr>
        <w:t xml:space="preserve"> </w:t>
      </w:r>
    </w:p>
    <w:p w14:paraId="5085D72A" w14:textId="77777777" w:rsidR="00BC0019" w:rsidRPr="009557CE" w:rsidRDefault="00BC0019" w:rsidP="009A226B">
      <w:pPr>
        <w:widowControl w:val="0"/>
        <w:tabs>
          <w:tab w:val="left" w:pos="567"/>
        </w:tabs>
        <w:autoSpaceDE w:val="0"/>
        <w:autoSpaceDN w:val="0"/>
        <w:adjustRightInd w:val="0"/>
        <w:spacing w:after="0" w:line="240" w:lineRule="auto"/>
        <w:ind w:right="22"/>
        <w:jc w:val="both"/>
        <w:rPr>
          <w:rFonts w:ascii="Verdana" w:hAnsi="Verdana"/>
          <w:b/>
          <w:sz w:val="20"/>
          <w:szCs w:val="24"/>
        </w:rPr>
      </w:pPr>
    </w:p>
    <w:p w14:paraId="399C4352" w14:textId="1A0B7560" w:rsidR="00FF5B5F" w:rsidRPr="00BF78B5" w:rsidRDefault="00FF5B5F" w:rsidP="009A226B">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sz w:val="20"/>
          <w:szCs w:val="24"/>
          <w:lang w:eastAsia="es-ES"/>
        </w:rPr>
      </w:pPr>
      <w:bookmarkStart w:id="1" w:name="_Ref479170533"/>
      <w:r w:rsidRPr="005E698B">
        <w:rPr>
          <w:rFonts w:ascii="Verdana" w:hAnsi="Verdana"/>
          <w:sz w:val="20"/>
          <w:szCs w:val="24"/>
        </w:rPr>
        <w:t xml:space="preserve">La Resolución del Presidente de la Corte Interamericana de Derechos Humanos (en adelante “el Presidente”) de </w:t>
      </w:r>
      <w:r w:rsidR="005704D4">
        <w:rPr>
          <w:rFonts w:ascii="Verdana" w:hAnsi="Verdana"/>
          <w:sz w:val="20"/>
          <w:szCs w:val="24"/>
        </w:rPr>
        <w:t>21</w:t>
      </w:r>
      <w:r w:rsidRPr="005E698B">
        <w:rPr>
          <w:rFonts w:ascii="Verdana" w:hAnsi="Verdana"/>
          <w:sz w:val="20"/>
          <w:szCs w:val="24"/>
        </w:rPr>
        <w:t xml:space="preserve"> de </w:t>
      </w:r>
      <w:r w:rsidR="005704D4">
        <w:rPr>
          <w:rFonts w:ascii="Verdana" w:hAnsi="Verdana"/>
          <w:sz w:val="20"/>
          <w:szCs w:val="24"/>
        </w:rPr>
        <w:t>mayo de 2017</w:t>
      </w:r>
      <w:r w:rsidRPr="005E698B">
        <w:rPr>
          <w:rFonts w:ascii="Verdana" w:hAnsi="Verdana"/>
          <w:sz w:val="20"/>
          <w:szCs w:val="24"/>
        </w:rPr>
        <w:t xml:space="preserve"> sobre el Fondo de Asistencia Legal de Víctimas</w:t>
      </w:r>
      <w:r w:rsidR="00C20FE3">
        <w:rPr>
          <w:rFonts w:ascii="Verdana" w:hAnsi="Verdana"/>
          <w:sz w:val="20"/>
          <w:szCs w:val="24"/>
        </w:rPr>
        <w:t>.</w:t>
      </w:r>
      <w:r w:rsidR="00D9010B">
        <w:rPr>
          <w:rFonts w:ascii="Verdana" w:hAnsi="Verdana"/>
          <w:sz w:val="20"/>
          <w:szCs w:val="24"/>
        </w:rPr>
        <w:t xml:space="preserve"> </w:t>
      </w:r>
      <w:bookmarkEnd w:id="1"/>
    </w:p>
    <w:p w14:paraId="4567966B" w14:textId="77777777" w:rsidR="004C3A43" w:rsidRPr="005E698B" w:rsidRDefault="004C3A43" w:rsidP="009A226B">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14:paraId="3ACF6B32" w14:textId="77777777" w:rsidR="006B5876" w:rsidRPr="005E698B" w:rsidRDefault="006B5876" w:rsidP="009A226B">
      <w:pPr>
        <w:pStyle w:val="ListParagraph"/>
        <w:tabs>
          <w:tab w:val="left" w:pos="567"/>
        </w:tabs>
        <w:spacing w:after="0" w:line="240" w:lineRule="auto"/>
        <w:ind w:left="0"/>
        <w:jc w:val="both"/>
        <w:rPr>
          <w:rFonts w:ascii="Verdana" w:hAnsi="Verdana"/>
          <w:b/>
          <w:sz w:val="20"/>
          <w:szCs w:val="24"/>
        </w:rPr>
      </w:pPr>
      <w:r w:rsidRPr="005E698B">
        <w:rPr>
          <w:rFonts w:ascii="Verdana" w:hAnsi="Verdana"/>
          <w:b/>
          <w:sz w:val="20"/>
          <w:szCs w:val="24"/>
        </w:rPr>
        <w:lastRenderedPageBreak/>
        <w:t xml:space="preserve">CONSIDERANDO QUE: </w:t>
      </w:r>
    </w:p>
    <w:p w14:paraId="42501ECD" w14:textId="77777777" w:rsidR="006B5876" w:rsidRDefault="006B5876" w:rsidP="009A226B">
      <w:pPr>
        <w:pStyle w:val="ListParagraph"/>
        <w:tabs>
          <w:tab w:val="left" w:pos="567"/>
        </w:tabs>
        <w:spacing w:after="0" w:line="240" w:lineRule="auto"/>
        <w:ind w:left="0"/>
        <w:jc w:val="both"/>
        <w:rPr>
          <w:rFonts w:ascii="Verdana" w:hAnsi="Verdana"/>
          <w:sz w:val="20"/>
          <w:szCs w:val="24"/>
        </w:rPr>
      </w:pPr>
    </w:p>
    <w:p w14:paraId="16BA7CCF" w14:textId="298EF71A" w:rsidR="005E698B" w:rsidRDefault="006B5876" w:rsidP="009A226B">
      <w:pPr>
        <w:pStyle w:val="ListParagraph"/>
        <w:numPr>
          <w:ilvl w:val="0"/>
          <w:numId w:val="3"/>
        </w:numPr>
        <w:tabs>
          <w:tab w:val="left" w:pos="567"/>
        </w:tabs>
        <w:spacing w:after="0" w:line="240" w:lineRule="auto"/>
        <w:ind w:left="0" w:firstLine="0"/>
        <w:jc w:val="both"/>
        <w:rPr>
          <w:rFonts w:ascii="Verdana" w:hAnsi="Verdana"/>
          <w:sz w:val="20"/>
          <w:szCs w:val="24"/>
        </w:rPr>
      </w:pPr>
      <w:r w:rsidRPr="006B5876">
        <w:rPr>
          <w:rFonts w:ascii="Verdana" w:hAnsi="Verdana"/>
          <w:sz w:val="20"/>
          <w:szCs w:val="24"/>
        </w:rPr>
        <w:t xml:space="preserve">El ofrecimiento y la admisión de la prueba, así como la citación de </w:t>
      </w:r>
      <w:r w:rsidR="009D6F17">
        <w:rPr>
          <w:rFonts w:ascii="Verdana" w:hAnsi="Verdana"/>
          <w:sz w:val="20"/>
          <w:szCs w:val="24"/>
        </w:rPr>
        <w:t xml:space="preserve">declarantes </w:t>
      </w:r>
      <w:r w:rsidRPr="006B5876">
        <w:rPr>
          <w:rFonts w:ascii="Verdana" w:hAnsi="Verdana"/>
          <w:sz w:val="20"/>
          <w:szCs w:val="24"/>
        </w:rPr>
        <w:t>se encuentran regulados en los artículos 35.1.f, 40.2.c, 41.1.c, 46, 47, 48, 50, 52.3, 57 y 58 del Reglamento de la Corte Interamericana de Derechos Humanos (en adelante “la Corte Interamericana”, “la Corte” o “e</w:t>
      </w:r>
      <w:r w:rsidR="005E698B">
        <w:rPr>
          <w:rFonts w:ascii="Verdana" w:hAnsi="Verdana"/>
          <w:sz w:val="20"/>
          <w:szCs w:val="24"/>
        </w:rPr>
        <w:t>l Tribunal”).</w:t>
      </w:r>
    </w:p>
    <w:p w14:paraId="0B52DEFA" w14:textId="77777777" w:rsidR="005E698B" w:rsidRDefault="005E698B" w:rsidP="009A226B">
      <w:pPr>
        <w:pStyle w:val="ListParagraph"/>
        <w:tabs>
          <w:tab w:val="left" w:pos="567"/>
        </w:tabs>
        <w:spacing w:after="0" w:line="240" w:lineRule="auto"/>
        <w:ind w:left="0"/>
        <w:jc w:val="both"/>
        <w:rPr>
          <w:rFonts w:ascii="Verdana" w:hAnsi="Verdana"/>
          <w:sz w:val="20"/>
          <w:szCs w:val="24"/>
        </w:rPr>
      </w:pPr>
    </w:p>
    <w:p w14:paraId="66AFC574" w14:textId="382DCFE9" w:rsidR="009A0C4C" w:rsidRPr="00C20FE3" w:rsidRDefault="00695A38" w:rsidP="009A226B">
      <w:pPr>
        <w:pStyle w:val="ListParagraph"/>
        <w:numPr>
          <w:ilvl w:val="0"/>
          <w:numId w:val="3"/>
        </w:numPr>
        <w:tabs>
          <w:tab w:val="left" w:pos="567"/>
        </w:tabs>
        <w:spacing w:after="0" w:line="240" w:lineRule="auto"/>
        <w:ind w:left="0" w:firstLine="0"/>
        <w:jc w:val="both"/>
        <w:rPr>
          <w:rFonts w:ascii="Verdana" w:hAnsi="Verdana"/>
          <w:b/>
          <w:bCs/>
          <w:iCs/>
          <w:sz w:val="20"/>
          <w:szCs w:val="24"/>
        </w:rPr>
      </w:pPr>
      <w:r>
        <w:rPr>
          <w:rFonts w:ascii="Verdana" w:hAnsi="Verdana"/>
          <w:bCs/>
          <w:iCs/>
          <w:sz w:val="20"/>
          <w:szCs w:val="24"/>
        </w:rPr>
        <w:t>La Comisión ofreció</w:t>
      </w:r>
      <w:r w:rsidR="007C1F48">
        <w:rPr>
          <w:rFonts w:ascii="Verdana" w:hAnsi="Verdana"/>
          <w:bCs/>
          <w:iCs/>
          <w:sz w:val="20"/>
          <w:szCs w:val="24"/>
        </w:rPr>
        <w:t xml:space="preserve"> </w:t>
      </w:r>
      <w:r>
        <w:rPr>
          <w:rFonts w:ascii="Verdana" w:hAnsi="Verdana"/>
          <w:bCs/>
          <w:iCs/>
          <w:sz w:val="20"/>
          <w:szCs w:val="24"/>
        </w:rPr>
        <w:t xml:space="preserve">dos </w:t>
      </w:r>
      <w:r w:rsidR="007C1F48">
        <w:rPr>
          <w:rFonts w:ascii="Verdana" w:hAnsi="Verdana"/>
          <w:bCs/>
          <w:iCs/>
          <w:sz w:val="20"/>
          <w:szCs w:val="24"/>
        </w:rPr>
        <w:t>declaraciones periciales</w:t>
      </w:r>
      <w:r w:rsidR="0010097D">
        <w:rPr>
          <w:rFonts w:ascii="Verdana" w:hAnsi="Verdana"/>
          <w:bCs/>
          <w:iCs/>
          <w:sz w:val="20"/>
          <w:szCs w:val="24"/>
        </w:rPr>
        <w:t xml:space="preserve">. </w:t>
      </w:r>
      <w:r w:rsidR="007C1F48">
        <w:rPr>
          <w:rFonts w:ascii="Verdana" w:hAnsi="Verdana"/>
          <w:bCs/>
          <w:iCs/>
          <w:sz w:val="20"/>
          <w:szCs w:val="24"/>
        </w:rPr>
        <w:t>Por su parte, los representantes</w:t>
      </w:r>
      <w:r w:rsidR="009042C4" w:rsidRPr="00065FFD">
        <w:rPr>
          <w:rFonts w:ascii="Verdana" w:hAnsi="Verdana"/>
          <w:bCs/>
          <w:iCs/>
          <w:sz w:val="20"/>
          <w:szCs w:val="24"/>
        </w:rPr>
        <w:t xml:space="preserve"> ofrecieron</w:t>
      </w:r>
      <w:r w:rsidR="009D6F17">
        <w:rPr>
          <w:rFonts w:ascii="Verdana" w:hAnsi="Verdana"/>
          <w:bCs/>
          <w:iCs/>
          <w:sz w:val="20"/>
          <w:szCs w:val="24"/>
        </w:rPr>
        <w:t xml:space="preserve"> </w:t>
      </w:r>
      <w:r w:rsidR="002A35EB">
        <w:rPr>
          <w:rFonts w:ascii="Verdana" w:hAnsi="Verdana"/>
          <w:bCs/>
          <w:iCs/>
          <w:sz w:val="20"/>
          <w:szCs w:val="24"/>
        </w:rPr>
        <w:t>diecinueve</w:t>
      </w:r>
      <w:r w:rsidR="009D6F17">
        <w:rPr>
          <w:rFonts w:ascii="Verdana" w:hAnsi="Verdana"/>
          <w:bCs/>
          <w:iCs/>
          <w:sz w:val="20"/>
          <w:szCs w:val="24"/>
        </w:rPr>
        <w:t xml:space="preserve"> </w:t>
      </w:r>
      <w:r w:rsidR="009042C4" w:rsidRPr="00065FFD">
        <w:rPr>
          <w:rFonts w:ascii="Verdana" w:hAnsi="Verdana"/>
          <w:bCs/>
          <w:iCs/>
          <w:sz w:val="20"/>
          <w:szCs w:val="24"/>
        </w:rPr>
        <w:t>declaraciones</w:t>
      </w:r>
      <w:r w:rsidR="008D0467" w:rsidRPr="0010097D">
        <w:rPr>
          <w:rFonts w:ascii="Verdana" w:hAnsi="Verdana"/>
          <w:bCs/>
          <w:iCs/>
          <w:sz w:val="20"/>
          <w:szCs w:val="24"/>
        </w:rPr>
        <w:t xml:space="preserve">, </w:t>
      </w:r>
      <w:r w:rsidR="008D0467">
        <w:rPr>
          <w:rFonts w:ascii="Verdana" w:hAnsi="Verdana"/>
          <w:bCs/>
          <w:iCs/>
          <w:sz w:val="20"/>
          <w:szCs w:val="24"/>
        </w:rPr>
        <w:t>así</w:t>
      </w:r>
      <w:r w:rsidR="00BF6548" w:rsidRPr="00065FFD">
        <w:rPr>
          <w:rFonts w:ascii="Verdana" w:hAnsi="Verdana"/>
          <w:bCs/>
          <w:iCs/>
          <w:sz w:val="20"/>
          <w:szCs w:val="24"/>
        </w:rPr>
        <w:t xml:space="preserve"> </w:t>
      </w:r>
      <w:r w:rsidR="008D0467">
        <w:rPr>
          <w:rFonts w:ascii="Verdana" w:hAnsi="Verdana"/>
          <w:bCs/>
          <w:iCs/>
          <w:sz w:val="20"/>
          <w:szCs w:val="24"/>
        </w:rPr>
        <w:t>como</w:t>
      </w:r>
      <w:r w:rsidR="00BF6548" w:rsidRPr="00065FFD">
        <w:rPr>
          <w:rFonts w:ascii="Verdana" w:hAnsi="Verdana"/>
          <w:bCs/>
          <w:iCs/>
          <w:sz w:val="20"/>
          <w:szCs w:val="24"/>
        </w:rPr>
        <w:t xml:space="preserve"> </w:t>
      </w:r>
      <w:r w:rsidR="00BA00EE">
        <w:rPr>
          <w:rFonts w:ascii="Verdana" w:hAnsi="Verdana"/>
          <w:bCs/>
          <w:iCs/>
          <w:sz w:val="20"/>
          <w:szCs w:val="24"/>
        </w:rPr>
        <w:t>solicitaron la incorporación del</w:t>
      </w:r>
      <w:r w:rsidR="00BF6548" w:rsidRPr="00065FFD">
        <w:rPr>
          <w:rFonts w:ascii="Verdana" w:hAnsi="Verdana"/>
          <w:bCs/>
          <w:iCs/>
          <w:sz w:val="20"/>
          <w:szCs w:val="24"/>
        </w:rPr>
        <w:t xml:space="preserve"> peritaje rendido </w:t>
      </w:r>
      <w:r w:rsidR="00065FFD" w:rsidRPr="00065FFD">
        <w:rPr>
          <w:rFonts w:ascii="Verdana" w:hAnsi="Verdana"/>
          <w:bCs/>
          <w:iCs/>
          <w:sz w:val="20"/>
          <w:szCs w:val="24"/>
        </w:rPr>
        <w:t>por</w:t>
      </w:r>
      <w:r w:rsidR="00E71CBE">
        <w:rPr>
          <w:rFonts w:ascii="Verdana" w:hAnsi="Verdana"/>
          <w:bCs/>
          <w:iCs/>
          <w:sz w:val="20"/>
          <w:szCs w:val="24"/>
        </w:rPr>
        <w:t xml:space="preserve"> Rebecca Cook</w:t>
      </w:r>
      <w:r w:rsidR="00065FFD" w:rsidRPr="00065FFD">
        <w:rPr>
          <w:rFonts w:ascii="Verdana" w:hAnsi="Verdana"/>
          <w:bCs/>
          <w:iCs/>
          <w:sz w:val="20"/>
          <w:szCs w:val="24"/>
        </w:rPr>
        <w:t xml:space="preserve"> </w:t>
      </w:r>
      <w:r w:rsidR="00E71CBE">
        <w:rPr>
          <w:rFonts w:ascii="Verdana" w:hAnsi="Verdana"/>
          <w:bCs/>
          <w:iCs/>
          <w:sz w:val="20"/>
          <w:szCs w:val="24"/>
        </w:rPr>
        <w:t xml:space="preserve">en el </w:t>
      </w:r>
      <w:r w:rsidR="005851D5">
        <w:rPr>
          <w:rFonts w:ascii="Verdana" w:hAnsi="Verdana"/>
          <w:bCs/>
          <w:iCs/>
          <w:sz w:val="20"/>
          <w:szCs w:val="24"/>
        </w:rPr>
        <w:t>c</w:t>
      </w:r>
      <w:r w:rsidR="00065FFD" w:rsidRPr="008D0467">
        <w:rPr>
          <w:rFonts w:ascii="Verdana" w:hAnsi="Verdana"/>
          <w:bCs/>
          <w:iCs/>
          <w:sz w:val="20"/>
          <w:szCs w:val="24"/>
        </w:rPr>
        <w:t>aso</w:t>
      </w:r>
      <w:r w:rsidR="00065FFD" w:rsidRPr="00065FFD">
        <w:rPr>
          <w:rFonts w:ascii="Verdana" w:hAnsi="Verdana"/>
          <w:bCs/>
          <w:i/>
          <w:iCs/>
          <w:sz w:val="20"/>
          <w:szCs w:val="24"/>
        </w:rPr>
        <w:t xml:space="preserve"> </w:t>
      </w:r>
      <w:r w:rsidR="00E71CBE">
        <w:rPr>
          <w:rFonts w:ascii="Verdana" w:hAnsi="Verdana"/>
          <w:bCs/>
          <w:i/>
          <w:iCs/>
          <w:sz w:val="20"/>
          <w:szCs w:val="24"/>
        </w:rPr>
        <w:t>Espinoza Gonzáles Vs. Perú</w:t>
      </w:r>
      <w:r w:rsidR="0010097D">
        <w:rPr>
          <w:rFonts w:ascii="Verdana" w:hAnsi="Verdana"/>
          <w:bCs/>
          <w:iCs/>
          <w:sz w:val="20"/>
          <w:szCs w:val="24"/>
        </w:rPr>
        <w:t>.</w:t>
      </w:r>
      <w:r w:rsidR="00065FFD">
        <w:rPr>
          <w:rFonts w:ascii="Verdana" w:hAnsi="Verdana"/>
          <w:bCs/>
          <w:i/>
          <w:iCs/>
          <w:sz w:val="20"/>
          <w:szCs w:val="24"/>
        </w:rPr>
        <w:t xml:space="preserve"> </w:t>
      </w:r>
      <w:r w:rsidR="00B53D50" w:rsidRPr="00C20FE3">
        <w:rPr>
          <w:rFonts w:ascii="Verdana" w:hAnsi="Verdana"/>
          <w:bCs/>
          <w:iCs/>
          <w:sz w:val="20"/>
          <w:szCs w:val="24"/>
        </w:rPr>
        <w:t xml:space="preserve">El Estado no </w:t>
      </w:r>
      <w:r w:rsidR="00C20FE3">
        <w:rPr>
          <w:rFonts w:ascii="Verdana" w:hAnsi="Verdana"/>
          <w:bCs/>
          <w:iCs/>
          <w:sz w:val="20"/>
          <w:szCs w:val="24"/>
        </w:rPr>
        <w:t>propuso declarantes</w:t>
      </w:r>
      <w:r w:rsidR="00B53D50" w:rsidRPr="00C20FE3">
        <w:rPr>
          <w:rFonts w:ascii="Verdana" w:hAnsi="Verdana"/>
          <w:bCs/>
          <w:iCs/>
          <w:sz w:val="20"/>
          <w:szCs w:val="24"/>
        </w:rPr>
        <w:t xml:space="preserve">. </w:t>
      </w:r>
    </w:p>
    <w:p w14:paraId="55B09EF5" w14:textId="77777777" w:rsidR="00DE4095" w:rsidRPr="008279F3" w:rsidRDefault="00DE4095" w:rsidP="009A226B">
      <w:pPr>
        <w:pStyle w:val="ListParagraph"/>
        <w:tabs>
          <w:tab w:val="left" w:pos="567"/>
        </w:tabs>
        <w:spacing w:after="0" w:line="240" w:lineRule="auto"/>
        <w:ind w:left="0"/>
        <w:jc w:val="both"/>
        <w:rPr>
          <w:rFonts w:ascii="Verdana" w:hAnsi="Verdana"/>
          <w:b/>
          <w:bCs/>
          <w:iCs/>
          <w:sz w:val="20"/>
          <w:szCs w:val="24"/>
        </w:rPr>
      </w:pPr>
    </w:p>
    <w:p w14:paraId="520F0318" w14:textId="6FD2536F" w:rsidR="009A0C4C" w:rsidRDefault="008D0467" w:rsidP="009A226B">
      <w:pPr>
        <w:pStyle w:val="ListParagraph"/>
        <w:numPr>
          <w:ilvl w:val="0"/>
          <w:numId w:val="3"/>
        </w:numPr>
        <w:tabs>
          <w:tab w:val="left" w:pos="567"/>
        </w:tabs>
        <w:spacing w:after="0" w:line="240" w:lineRule="auto"/>
        <w:ind w:left="0" w:firstLine="0"/>
        <w:jc w:val="both"/>
        <w:rPr>
          <w:rFonts w:ascii="Verdana" w:hAnsi="Verdana"/>
          <w:bCs/>
          <w:iCs/>
          <w:sz w:val="20"/>
          <w:szCs w:val="24"/>
        </w:rPr>
      </w:pPr>
      <w:r w:rsidRPr="00567C99">
        <w:rPr>
          <w:rFonts w:ascii="Verdana" w:hAnsi="Verdana"/>
          <w:bCs/>
          <w:iCs/>
          <w:sz w:val="20"/>
          <w:szCs w:val="24"/>
        </w:rPr>
        <w:t>La Corte garantizó a las partes el derecho de defensa respecto de los ofrecimientos probatorios oportunamente realizados</w:t>
      </w:r>
      <w:r w:rsidR="00921C02" w:rsidRPr="00567C99">
        <w:rPr>
          <w:rFonts w:ascii="Verdana" w:hAnsi="Verdana"/>
          <w:bCs/>
          <w:iCs/>
          <w:sz w:val="20"/>
          <w:szCs w:val="24"/>
        </w:rPr>
        <w:t>.</w:t>
      </w:r>
      <w:r w:rsidR="001859C1" w:rsidRPr="00567C99">
        <w:rPr>
          <w:rFonts w:ascii="Verdana" w:hAnsi="Verdana"/>
          <w:bCs/>
          <w:iCs/>
          <w:sz w:val="20"/>
          <w:szCs w:val="24"/>
        </w:rPr>
        <w:t xml:space="preserve"> </w:t>
      </w:r>
      <w:r w:rsidR="00567C99" w:rsidRPr="00567C99">
        <w:rPr>
          <w:rFonts w:ascii="Verdana" w:hAnsi="Verdana"/>
          <w:bCs/>
          <w:iCs/>
          <w:sz w:val="20"/>
          <w:szCs w:val="24"/>
        </w:rPr>
        <w:t>L</w:t>
      </w:r>
      <w:r w:rsidR="0010097D" w:rsidRPr="00567C99">
        <w:rPr>
          <w:rFonts w:ascii="Verdana" w:hAnsi="Verdana"/>
          <w:bCs/>
          <w:iCs/>
          <w:sz w:val="20"/>
          <w:szCs w:val="24"/>
        </w:rPr>
        <w:t>a Comisión</w:t>
      </w:r>
      <w:r w:rsidR="0068561C">
        <w:rPr>
          <w:rFonts w:ascii="Verdana" w:hAnsi="Verdana"/>
          <w:bCs/>
          <w:iCs/>
          <w:sz w:val="20"/>
          <w:szCs w:val="24"/>
        </w:rPr>
        <w:t>, los representantes</w:t>
      </w:r>
      <w:r w:rsidR="0010097D" w:rsidRPr="00567C99">
        <w:rPr>
          <w:rFonts w:ascii="Verdana" w:hAnsi="Verdana"/>
          <w:bCs/>
          <w:iCs/>
          <w:sz w:val="20"/>
          <w:szCs w:val="24"/>
        </w:rPr>
        <w:t xml:space="preserve"> </w:t>
      </w:r>
      <w:r w:rsidR="00567C99" w:rsidRPr="00567C99">
        <w:rPr>
          <w:rFonts w:ascii="Verdana" w:hAnsi="Verdana"/>
          <w:bCs/>
          <w:iCs/>
          <w:sz w:val="20"/>
          <w:szCs w:val="24"/>
        </w:rPr>
        <w:t xml:space="preserve">y el Estado, todos indicaron no tener observaciones frente a los declarantes </w:t>
      </w:r>
      <w:r w:rsidR="0068561C">
        <w:rPr>
          <w:rFonts w:ascii="Verdana" w:hAnsi="Verdana"/>
          <w:bCs/>
          <w:iCs/>
          <w:sz w:val="20"/>
          <w:szCs w:val="24"/>
        </w:rPr>
        <w:t xml:space="preserve">ofrecidos por las </w:t>
      </w:r>
      <w:r w:rsidR="00567C99" w:rsidRPr="00567C99">
        <w:rPr>
          <w:rFonts w:ascii="Verdana" w:hAnsi="Verdana"/>
          <w:bCs/>
          <w:iCs/>
          <w:sz w:val="20"/>
          <w:szCs w:val="24"/>
        </w:rPr>
        <w:t xml:space="preserve">demás partes, así como su conformidad con </w:t>
      </w:r>
      <w:r w:rsidR="00921C02" w:rsidRPr="00567C99">
        <w:rPr>
          <w:rFonts w:ascii="Verdana" w:hAnsi="Verdana"/>
          <w:bCs/>
          <w:iCs/>
          <w:sz w:val="20"/>
          <w:szCs w:val="24"/>
        </w:rPr>
        <w:t xml:space="preserve">la incorporación del peritaje de Rebecca Cook rendido en el </w:t>
      </w:r>
      <w:r w:rsidR="005851D5">
        <w:rPr>
          <w:rFonts w:ascii="Verdana" w:hAnsi="Verdana"/>
          <w:bCs/>
          <w:iCs/>
          <w:sz w:val="20"/>
          <w:szCs w:val="24"/>
        </w:rPr>
        <w:t>c</w:t>
      </w:r>
      <w:r w:rsidR="00921C02" w:rsidRPr="00567C99">
        <w:rPr>
          <w:rFonts w:ascii="Verdana" w:hAnsi="Verdana"/>
          <w:bCs/>
          <w:iCs/>
          <w:sz w:val="20"/>
          <w:szCs w:val="24"/>
        </w:rPr>
        <w:t xml:space="preserve">aso </w:t>
      </w:r>
      <w:r w:rsidR="00921C02" w:rsidRPr="00567C99">
        <w:rPr>
          <w:rFonts w:ascii="Verdana" w:hAnsi="Verdana"/>
          <w:bCs/>
          <w:i/>
          <w:iCs/>
          <w:sz w:val="20"/>
          <w:szCs w:val="24"/>
        </w:rPr>
        <w:t>Espinoza Gonzáles Vs. Perú</w:t>
      </w:r>
      <w:r w:rsidR="0068561C" w:rsidRPr="0068561C">
        <w:rPr>
          <w:rFonts w:ascii="Verdana" w:hAnsi="Verdana"/>
          <w:bCs/>
          <w:iCs/>
          <w:sz w:val="20"/>
          <w:szCs w:val="24"/>
        </w:rPr>
        <w:t xml:space="preserve"> </w:t>
      </w:r>
      <w:r w:rsidR="0068561C" w:rsidRPr="00567C99">
        <w:rPr>
          <w:rFonts w:ascii="Verdana" w:hAnsi="Verdana"/>
          <w:bCs/>
          <w:iCs/>
          <w:sz w:val="20"/>
          <w:szCs w:val="24"/>
        </w:rPr>
        <w:t>en el expediente del presente caso</w:t>
      </w:r>
      <w:r w:rsidR="00921C02" w:rsidRPr="00567C99">
        <w:rPr>
          <w:rFonts w:ascii="Verdana" w:hAnsi="Verdana"/>
          <w:bCs/>
          <w:iCs/>
          <w:sz w:val="20"/>
          <w:szCs w:val="24"/>
        </w:rPr>
        <w:t xml:space="preserve">. </w:t>
      </w:r>
      <w:r w:rsidR="00567C99" w:rsidRPr="00567C99">
        <w:rPr>
          <w:rFonts w:ascii="Verdana" w:hAnsi="Verdana"/>
          <w:bCs/>
          <w:iCs/>
          <w:sz w:val="20"/>
          <w:szCs w:val="24"/>
        </w:rPr>
        <w:t>Además, l</w:t>
      </w:r>
      <w:r w:rsidR="00921C02" w:rsidRPr="00567C99">
        <w:rPr>
          <w:rFonts w:ascii="Verdana" w:hAnsi="Verdana"/>
          <w:bCs/>
          <w:iCs/>
          <w:sz w:val="20"/>
          <w:szCs w:val="24"/>
        </w:rPr>
        <w:t>os representantes</w:t>
      </w:r>
      <w:r w:rsidR="008279F3" w:rsidRPr="00567C99">
        <w:rPr>
          <w:rFonts w:ascii="Verdana" w:hAnsi="Verdana"/>
          <w:bCs/>
          <w:iCs/>
          <w:sz w:val="20"/>
          <w:szCs w:val="24"/>
        </w:rPr>
        <w:t xml:space="preserve"> </w:t>
      </w:r>
      <w:r w:rsidR="00567C99" w:rsidRPr="00567C99">
        <w:rPr>
          <w:rFonts w:ascii="Verdana" w:hAnsi="Verdana"/>
          <w:bCs/>
          <w:iCs/>
          <w:sz w:val="20"/>
          <w:szCs w:val="24"/>
        </w:rPr>
        <w:t xml:space="preserve">compartieron la </w:t>
      </w:r>
      <w:r w:rsidR="00921C02" w:rsidRPr="00567C99">
        <w:rPr>
          <w:rFonts w:ascii="Verdana" w:hAnsi="Verdana"/>
          <w:bCs/>
          <w:iCs/>
          <w:sz w:val="20"/>
          <w:szCs w:val="24"/>
        </w:rPr>
        <w:t>solicitud realizada por la Comisi</w:t>
      </w:r>
      <w:r w:rsidR="008279F3" w:rsidRPr="00567C99">
        <w:rPr>
          <w:rFonts w:ascii="Verdana" w:hAnsi="Verdana"/>
          <w:bCs/>
          <w:iCs/>
          <w:sz w:val="20"/>
          <w:szCs w:val="24"/>
        </w:rPr>
        <w:t xml:space="preserve">ón </w:t>
      </w:r>
      <w:r w:rsidR="00567C99" w:rsidRPr="00567C99">
        <w:rPr>
          <w:rFonts w:ascii="Verdana" w:hAnsi="Verdana"/>
          <w:bCs/>
          <w:iCs/>
          <w:sz w:val="20"/>
          <w:szCs w:val="24"/>
        </w:rPr>
        <w:t xml:space="preserve">para que se convocara a </w:t>
      </w:r>
      <w:r w:rsidR="0068561C">
        <w:rPr>
          <w:rFonts w:ascii="Verdana" w:hAnsi="Verdana"/>
          <w:bCs/>
          <w:iCs/>
          <w:sz w:val="20"/>
          <w:szCs w:val="24"/>
        </w:rPr>
        <w:t xml:space="preserve">la perita </w:t>
      </w:r>
      <w:r w:rsidR="00921C02" w:rsidRPr="00567C99">
        <w:rPr>
          <w:rFonts w:ascii="Verdana" w:hAnsi="Verdana"/>
          <w:bCs/>
          <w:iCs/>
          <w:sz w:val="20"/>
          <w:szCs w:val="24"/>
        </w:rPr>
        <w:t xml:space="preserve">Julissa Mantilla a declarar en </w:t>
      </w:r>
      <w:r w:rsidR="00567C99" w:rsidRPr="00567C99">
        <w:rPr>
          <w:rFonts w:ascii="Verdana" w:hAnsi="Verdana"/>
          <w:bCs/>
          <w:iCs/>
          <w:sz w:val="20"/>
          <w:szCs w:val="24"/>
        </w:rPr>
        <w:t xml:space="preserve">la </w:t>
      </w:r>
      <w:r w:rsidR="00921C02" w:rsidRPr="00567C99">
        <w:rPr>
          <w:rFonts w:ascii="Verdana" w:hAnsi="Verdana"/>
          <w:bCs/>
          <w:iCs/>
          <w:sz w:val="20"/>
          <w:szCs w:val="24"/>
        </w:rPr>
        <w:t xml:space="preserve">audiencia. </w:t>
      </w:r>
    </w:p>
    <w:p w14:paraId="6BC707D3" w14:textId="77777777" w:rsidR="00567C99" w:rsidRPr="00567C99" w:rsidRDefault="00567C99" w:rsidP="009A226B">
      <w:pPr>
        <w:pStyle w:val="ListParagraph"/>
        <w:tabs>
          <w:tab w:val="left" w:pos="567"/>
        </w:tabs>
        <w:spacing w:after="0" w:line="240" w:lineRule="auto"/>
        <w:ind w:left="0"/>
        <w:jc w:val="both"/>
        <w:rPr>
          <w:rFonts w:ascii="Verdana" w:hAnsi="Verdana"/>
          <w:bCs/>
          <w:iCs/>
          <w:sz w:val="20"/>
          <w:szCs w:val="24"/>
        </w:rPr>
      </w:pPr>
    </w:p>
    <w:p w14:paraId="24F69E64" w14:textId="40B933C9" w:rsidR="008C0F48" w:rsidRPr="00E92832" w:rsidRDefault="00A82E3B" w:rsidP="009A226B">
      <w:pPr>
        <w:pStyle w:val="ListParagraph"/>
        <w:numPr>
          <w:ilvl w:val="0"/>
          <w:numId w:val="3"/>
        </w:numPr>
        <w:tabs>
          <w:tab w:val="left" w:pos="567"/>
        </w:tabs>
        <w:spacing w:after="0" w:line="240" w:lineRule="auto"/>
        <w:ind w:left="0" w:firstLine="0"/>
        <w:jc w:val="both"/>
        <w:rPr>
          <w:rFonts w:ascii="Verdana" w:hAnsi="Verdana"/>
          <w:bCs/>
          <w:iCs/>
          <w:sz w:val="20"/>
          <w:szCs w:val="24"/>
        </w:rPr>
      </w:pPr>
      <w:r w:rsidRPr="00E92832">
        <w:rPr>
          <w:rFonts w:ascii="Verdana" w:hAnsi="Verdana"/>
          <w:bCs/>
          <w:iCs/>
          <w:sz w:val="20"/>
          <w:szCs w:val="24"/>
        </w:rPr>
        <w:t>Dado que ninguna de las</w:t>
      </w:r>
      <w:r w:rsidR="003C0856" w:rsidRPr="00E92832">
        <w:rPr>
          <w:rFonts w:ascii="Verdana" w:hAnsi="Verdana"/>
          <w:bCs/>
          <w:iCs/>
          <w:sz w:val="20"/>
          <w:szCs w:val="24"/>
        </w:rPr>
        <w:t xml:space="preserve"> declaraciones</w:t>
      </w:r>
      <w:r w:rsidRPr="00E92832">
        <w:rPr>
          <w:rFonts w:ascii="Verdana" w:hAnsi="Verdana"/>
          <w:bCs/>
          <w:iCs/>
          <w:sz w:val="20"/>
          <w:szCs w:val="24"/>
        </w:rPr>
        <w:t xml:space="preserve"> ofrecidas</w:t>
      </w:r>
      <w:r w:rsidR="003C0856" w:rsidRPr="00E92832">
        <w:rPr>
          <w:rFonts w:ascii="Verdana" w:hAnsi="Verdana"/>
          <w:bCs/>
          <w:iCs/>
          <w:sz w:val="20"/>
          <w:szCs w:val="24"/>
        </w:rPr>
        <w:t xml:space="preserve"> </w:t>
      </w:r>
      <w:r w:rsidRPr="00E92832">
        <w:rPr>
          <w:rFonts w:ascii="Verdana" w:hAnsi="Verdana"/>
          <w:bCs/>
          <w:iCs/>
          <w:sz w:val="20"/>
          <w:szCs w:val="24"/>
        </w:rPr>
        <w:t>ha</w:t>
      </w:r>
      <w:r w:rsidR="00567C99">
        <w:rPr>
          <w:rFonts w:ascii="Verdana" w:hAnsi="Verdana"/>
          <w:bCs/>
          <w:iCs/>
          <w:sz w:val="20"/>
          <w:szCs w:val="24"/>
        </w:rPr>
        <w:t xml:space="preserve"> sido objetada</w:t>
      </w:r>
      <w:r w:rsidR="003C0856" w:rsidRPr="00E92832">
        <w:rPr>
          <w:rFonts w:ascii="Verdana" w:hAnsi="Verdana"/>
          <w:bCs/>
          <w:iCs/>
          <w:sz w:val="20"/>
          <w:szCs w:val="24"/>
        </w:rPr>
        <w:t>, esta Presidencia considera conveniente recabar dicha prueba, a efectos de que el Tribunal pueda apreciar su valor en la debida oportunidad procesal, dentro del contexto del acervo probatorio existente y según las reglas de la sana crítica. Por consiguiente, el Presidente admite</w:t>
      </w:r>
      <w:r w:rsidR="00412A02" w:rsidRPr="00E92832">
        <w:rPr>
          <w:rFonts w:ascii="Verdana" w:hAnsi="Verdana"/>
          <w:bCs/>
          <w:iCs/>
          <w:sz w:val="20"/>
          <w:szCs w:val="24"/>
        </w:rPr>
        <w:t xml:space="preserve"> las </w:t>
      </w:r>
      <w:r w:rsidR="00E92832" w:rsidRPr="00E92832">
        <w:rPr>
          <w:rFonts w:ascii="Verdana" w:hAnsi="Verdana"/>
          <w:bCs/>
          <w:iCs/>
          <w:sz w:val="20"/>
          <w:szCs w:val="24"/>
        </w:rPr>
        <w:t xml:space="preserve">declaraciones de </w:t>
      </w:r>
      <w:r w:rsidR="00E92832" w:rsidRPr="0068561C">
        <w:rPr>
          <w:rFonts w:ascii="Verdana" w:hAnsi="Verdana"/>
          <w:bCs/>
          <w:iCs/>
          <w:sz w:val="20"/>
          <w:szCs w:val="24"/>
        </w:rPr>
        <w:t>Norma Aidé Jiménez Osorio, Claudia Hernández Martínez, Bárbara Italia Méndez Moreno, Angélica Patricia Torres Linares, Suhelen Gabriela Cuevas Jaramillo, María Patricia Romero Hernández, Georgina Edith Rosales Gutiérrez, Mariana Selvas Gómez, Ana María Velasco Rodríguez, Yolanda Muñoz Diosdada, Cristina Sánchez Hernández</w:t>
      </w:r>
      <w:r w:rsidR="00C12030" w:rsidRPr="0068561C">
        <w:rPr>
          <w:rFonts w:ascii="Verdana" w:hAnsi="Verdana"/>
          <w:bCs/>
          <w:iCs/>
          <w:sz w:val="20"/>
          <w:szCs w:val="24"/>
        </w:rPr>
        <w:t>;</w:t>
      </w:r>
      <w:r w:rsidR="00C12030">
        <w:rPr>
          <w:rFonts w:ascii="Verdana" w:hAnsi="Verdana"/>
          <w:bCs/>
          <w:iCs/>
          <w:sz w:val="20"/>
          <w:szCs w:val="24"/>
        </w:rPr>
        <w:t xml:space="preserve"> </w:t>
      </w:r>
      <w:r w:rsidR="0068561C">
        <w:rPr>
          <w:rFonts w:ascii="Verdana" w:hAnsi="Verdana"/>
          <w:bCs/>
          <w:iCs/>
          <w:sz w:val="20"/>
          <w:szCs w:val="24"/>
        </w:rPr>
        <w:t>d</w:t>
      </w:r>
      <w:r w:rsidR="00C12030">
        <w:rPr>
          <w:rFonts w:ascii="Verdana" w:hAnsi="Verdana"/>
          <w:bCs/>
          <w:iCs/>
          <w:sz w:val="20"/>
          <w:szCs w:val="24"/>
        </w:rPr>
        <w:t>el declarante a título</w:t>
      </w:r>
      <w:r w:rsidR="00E92832" w:rsidRPr="00871010">
        <w:rPr>
          <w:rFonts w:ascii="Verdana" w:hAnsi="Verdana"/>
          <w:bCs/>
          <w:iCs/>
          <w:sz w:val="20"/>
          <w:szCs w:val="24"/>
        </w:rPr>
        <w:t xml:space="preserve"> </w:t>
      </w:r>
      <w:r w:rsidR="00C12030">
        <w:rPr>
          <w:rFonts w:ascii="Verdana" w:hAnsi="Verdana"/>
          <w:bCs/>
          <w:iCs/>
          <w:sz w:val="20"/>
          <w:szCs w:val="24"/>
        </w:rPr>
        <w:t xml:space="preserve">informativo Ernesto López Portillo, </w:t>
      </w:r>
      <w:r w:rsidR="00E92832" w:rsidRPr="00871010">
        <w:rPr>
          <w:rFonts w:ascii="Verdana" w:hAnsi="Verdana"/>
          <w:bCs/>
          <w:iCs/>
          <w:sz w:val="20"/>
          <w:szCs w:val="24"/>
        </w:rPr>
        <w:t xml:space="preserve">así como las declaraciones periciales de </w:t>
      </w:r>
      <w:r w:rsidR="00E92832" w:rsidRPr="0068561C">
        <w:rPr>
          <w:rFonts w:ascii="Verdana" w:hAnsi="Verdana"/>
          <w:bCs/>
          <w:iCs/>
          <w:sz w:val="20"/>
          <w:szCs w:val="24"/>
        </w:rPr>
        <w:t>Regina Tames, Duarte Nuno Pessoa Vieira, Ximena Antillón, Rob Varenik, Susana SáCouto, Maina Kiai y Daniela Kravetz,</w:t>
      </w:r>
      <w:r w:rsidR="00E92832" w:rsidRPr="00871010">
        <w:rPr>
          <w:rFonts w:ascii="Verdana" w:hAnsi="Verdana"/>
          <w:bCs/>
          <w:iCs/>
          <w:sz w:val="20"/>
          <w:szCs w:val="24"/>
        </w:rPr>
        <w:t xml:space="preserve"> todas</w:t>
      </w:r>
      <w:r w:rsidR="00E92832" w:rsidRPr="00E92832">
        <w:rPr>
          <w:rFonts w:ascii="Verdana" w:hAnsi="Verdana"/>
          <w:bCs/>
          <w:iCs/>
          <w:sz w:val="20"/>
          <w:szCs w:val="24"/>
        </w:rPr>
        <w:t xml:space="preserve"> ofrecidas por los representantes</w:t>
      </w:r>
      <w:r w:rsidR="003A018B" w:rsidRPr="00E92832">
        <w:rPr>
          <w:rFonts w:ascii="Verdana" w:hAnsi="Verdana"/>
          <w:bCs/>
          <w:iCs/>
          <w:sz w:val="20"/>
          <w:szCs w:val="24"/>
        </w:rPr>
        <w:t>,</w:t>
      </w:r>
      <w:r w:rsidR="003A018B" w:rsidRPr="00E92832">
        <w:t xml:space="preserve"> </w:t>
      </w:r>
      <w:r w:rsidR="003A018B" w:rsidRPr="00E92832">
        <w:rPr>
          <w:rFonts w:ascii="Verdana" w:hAnsi="Verdana"/>
          <w:bCs/>
          <w:iCs/>
          <w:sz w:val="20"/>
          <w:szCs w:val="24"/>
        </w:rPr>
        <w:t>según el objeto y modalidad determinados en la parte resolutiva de esta decisión</w:t>
      </w:r>
      <w:r w:rsidR="00D1644F" w:rsidRPr="00E92832">
        <w:rPr>
          <w:rFonts w:ascii="Verdana" w:hAnsi="Verdana"/>
          <w:bCs/>
          <w:iCs/>
          <w:sz w:val="20"/>
          <w:szCs w:val="24"/>
        </w:rPr>
        <w:t>.</w:t>
      </w:r>
    </w:p>
    <w:p w14:paraId="24272F0F" w14:textId="77777777" w:rsidR="00D1644F" w:rsidRPr="00D1644F" w:rsidRDefault="00D1644F" w:rsidP="009A226B">
      <w:pPr>
        <w:pStyle w:val="ListParagraph"/>
        <w:tabs>
          <w:tab w:val="left" w:pos="567"/>
        </w:tabs>
        <w:spacing w:after="0" w:line="240" w:lineRule="auto"/>
        <w:ind w:left="0"/>
        <w:jc w:val="both"/>
        <w:rPr>
          <w:rFonts w:ascii="Verdana" w:hAnsi="Verdana"/>
          <w:bCs/>
          <w:iCs/>
          <w:sz w:val="20"/>
          <w:szCs w:val="24"/>
        </w:rPr>
      </w:pPr>
    </w:p>
    <w:p w14:paraId="0E4505EE" w14:textId="59A9053E" w:rsidR="002759D8" w:rsidRPr="00DE4095" w:rsidRDefault="00D336D8" w:rsidP="009A226B">
      <w:pPr>
        <w:pStyle w:val="ListParagraph"/>
        <w:numPr>
          <w:ilvl w:val="0"/>
          <w:numId w:val="3"/>
        </w:numPr>
        <w:tabs>
          <w:tab w:val="left" w:pos="567"/>
        </w:tabs>
        <w:spacing w:after="0" w:line="240" w:lineRule="auto"/>
        <w:ind w:left="0" w:firstLine="0"/>
        <w:jc w:val="both"/>
        <w:rPr>
          <w:rFonts w:ascii="Verdana" w:hAnsi="Verdana"/>
          <w:b/>
          <w:bCs/>
          <w:iCs/>
          <w:sz w:val="20"/>
          <w:szCs w:val="24"/>
        </w:rPr>
      </w:pPr>
      <w:r w:rsidRPr="008C0F48">
        <w:rPr>
          <w:rFonts w:ascii="Verdana" w:hAnsi="Verdana"/>
          <w:sz w:val="20"/>
          <w:szCs w:val="20"/>
        </w:rPr>
        <w:t xml:space="preserve">A continuación el Presidente examinará en forma particular: </w:t>
      </w:r>
      <w:r w:rsidRPr="00A00E05">
        <w:rPr>
          <w:rFonts w:ascii="Verdana" w:hAnsi="Verdana"/>
          <w:sz w:val="20"/>
          <w:szCs w:val="20"/>
        </w:rPr>
        <w:t xml:space="preserve">a) </w:t>
      </w:r>
      <w:r w:rsidR="00A82E3B">
        <w:rPr>
          <w:rFonts w:ascii="Verdana" w:hAnsi="Verdana"/>
          <w:sz w:val="20"/>
          <w:szCs w:val="20"/>
        </w:rPr>
        <w:t>la admisibilidad de los peritajes ofrecidos por la Comisión;</w:t>
      </w:r>
      <w:r w:rsidRPr="008C0F48">
        <w:rPr>
          <w:rFonts w:ascii="Verdana" w:hAnsi="Verdana"/>
          <w:sz w:val="20"/>
          <w:szCs w:val="20"/>
        </w:rPr>
        <w:t xml:space="preserve"> </w:t>
      </w:r>
      <w:r w:rsidR="00C12030">
        <w:rPr>
          <w:rFonts w:ascii="Verdana" w:hAnsi="Verdana"/>
          <w:sz w:val="20"/>
          <w:szCs w:val="20"/>
          <w:lang w:val="es-ES_tradnl"/>
        </w:rPr>
        <w:t>b</w:t>
      </w:r>
      <w:r w:rsidR="002D0D39" w:rsidRPr="00997ED8">
        <w:rPr>
          <w:rFonts w:ascii="Verdana" w:hAnsi="Verdana"/>
          <w:sz w:val="20"/>
          <w:szCs w:val="20"/>
          <w:lang w:val="es-ES_tradnl"/>
        </w:rPr>
        <w:t>)</w:t>
      </w:r>
      <w:r w:rsidR="00A82E3B">
        <w:rPr>
          <w:rFonts w:ascii="Verdana" w:hAnsi="Verdana"/>
          <w:sz w:val="20"/>
          <w:szCs w:val="20"/>
          <w:lang w:val="es-ES_tradnl"/>
        </w:rPr>
        <w:t xml:space="preserve"> </w:t>
      </w:r>
      <w:r w:rsidRPr="00DE4095">
        <w:rPr>
          <w:rFonts w:ascii="Verdana" w:hAnsi="Verdana"/>
          <w:sz w:val="20"/>
          <w:szCs w:val="20"/>
        </w:rPr>
        <w:t>la admisibilidad del traslado de un peritaje rendido en el marco del</w:t>
      </w:r>
      <w:r w:rsidRPr="00DE4095">
        <w:rPr>
          <w:rFonts w:ascii="Verdana" w:hAnsi="Verdana"/>
          <w:bCs/>
          <w:i/>
          <w:iCs/>
          <w:sz w:val="20"/>
          <w:szCs w:val="24"/>
        </w:rPr>
        <w:t xml:space="preserve"> </w:t>
      </w:r>
      <w:r w:rsidR="005851D5" w:rsidRPr="005851D5">
        <w:rPr>
          <w:rFonts w:ascii="Verdana" w:hAnsi="Verdana"/>
          <w:bCs/>
          <w:iCs/>
          <w:sz w:val="20"/>
          <w:szCs w:val="20"/>
        </w:rPr>
        <w:t>c</w:t>
      </w:r>
      <w:r w:rsidRPr="005851D5">
        <w:rPr>
          <w:rFonts w:ascii="Verdana" w:hAnsi="Verdana"/>
          <w:bCs/>
          <w:iCs/>
          <w:sz w:val="20"/>
          <w:szCs w:val="20"/>
        </w:rPr>
        <w:t>aso</w:t>
      </w:r>
      <w:r w:rsidRPr="00DE4095">
        <w:rPr>
          <w:rFonts w:ascii="Verdana" w:hAnsi="Verdana"/>
          <w:bCs/>
          <w:i/>
          <w:iCs/>
          <w:sz w:val="20"/>
          <w:szCs w:val="20"/>
        </w:rPr>
        <w:t xml:space="preserve"> </w:t>
      </w:r>
      <w:r w:rsidR="00A82E3B">
        <w:rPr>
          <w:rFonts w:ascii="Verdana" w:hAnsi="Verdana"/>
          <w:bCs/>
          <w:i/>
          <w:iCs/>
          <w:sz w:val="20"/>
          <w:szCs w:val="20"/>
        </w:rPr>
        <w:t>Espinoza González Vs. Perú</w:t>
      </w:r>
      <w:r w:rsidR="00865380" w:rsidRPr="00DE4095">
        <w:rPr>
          <w:rFonts w:ascii="Verdana" w:eastAsia="Calibri" w:hAnsi="Verdana" w:cs="Verdana"/>
          <w:sz w:val="20"/>
          <w:szCs w:val="20"/>
        </w:rPr>
        <w:t xml:space="preserve">, </w:t>
      </w:r>
      <w:r w:rsidR="00997ED8" w:rsidRPr="00DE4095">
        <w:rPr>
          <w:rFonts w:ascii="Verdana" w:eastAsia="Calibri" w:hAnsi="Verdana" w:cs="Verdana"/>
          <w:sz w:val="20"/>
          <w:szCs w:val="20"/>
        </w:rPr>
        <w:t xml:space="preserve">y </w:t>
      </w:r>
      <w:r w:rsidR="00C12030">
        <w:rPr>
          <w:rFonts w:ascii="Verdana" w:eastAsia="Calibri" w:hAnsi="Verdana" w:cs="Verdana"/>
          <w:sz w:val="20"/>
          <w:szCs w:val="20"/>
        </w:rPr>
        <w:t>c</w:t>
      </w:r>
      <w:r w:rsidRPr="00DE4095">
        <w:rPr>
          <w:rFonts w:ascii="Verdana" w:eastAsia="Calibri" w:hAnsi="Verdana" w:cs="Verdana"/>
          <w:sz w:val="20"/>
          <w:szCs w:val="20"/>
        </w:rPr>
        <w:t xml:space="preserve">) </w:t>
      </w:r>
      <w:r w:rsidR="005352E1">
        <w:rPr>
          <w:rFonts w:ascii="Verdana" w:eastAsia="Calibri" w:hAnsi="Verdana" w:cs="Verdana"/>
          <w:sz w:val="20"/>
          <w:szCs w:val="20"/>
        </w:rPr>
        <w:t xml:space="preserve">la </w:t>
      </w:r>
      <w:r w:rsidR="00865380" w:rsidRPr="00DE4095">
        <w:rPr>
          <w:rFonts w:ascii="Verdana" w:eastAsia="Calibri" w:hAnsi="Verdana" w:cs="Verdana"/>
          <w:sz w:val="20"/>
          <w:szCs w:val="20"/>
        </w:rPr>
        <w:t>aplicación del Fondo de Asistencia Legal de Víctimas ante la Corte.</w:t>
      </w:r>
      <w:r w:rsidRPr="00DE4095">
        <w:rPr>
          <w:rFonts w:ascii="Verdana" w:eastAsia="Calibri" w:hAnsi="Verdana" w:cs="Verdana"/>
          <w:sz w:val="20"/>
          <w:szCs w:val="20"/>
        </w:rPr>
        <w:t xml:space="preserve"> </w:t>
      </w:r>
    </w:p>
    <w:p w14:paraId="090126C6" w14:textId="77777777" w:rsidR="002D0D39" w:rsidRPr="002D0D39" w:rsidRDefault="002D0D39" w:rsidP="009A226B">
      <w:pPr>
        <w:pStyle w:val="ListParagraph"/>
        <w:tabs>
          <w:tab w:val="left" w:pos="567"/>
        </w:tabs>
        <w:spacing w:after="0" w:line="240" w:lineRule="auto"/>
        <w:rPr>
          <w:rFonts w:ascii="Verdana" w:hAnsi="Verdana"/>
          <w:b/>
          <w:bCs/>
          <w:iCs/>
          <w:sz w:val="20"/>
          <w:szCs w:val="24"/>
        </w:rPr>
      </w:pPr>
    </w:p>
    <w:p w14:paraId="7C8CB0DD" w14:textId="424D8ADF" w:rsidR="00320AD0" w:rsidRPr="00456A8A" w:rsidRDefault="00165C80" w:rsidP="009A226B">
      <w:pPr>
        <w:pStyle w:val="ListParagraph"/>
        <w:numPr>
          <w:ilvl w:val="0"/>
          <w:numId w:val="27"/>
        </w:numPr>
        <w:tabs>
          <w:tab w:val="left" w:pos="567"/>
        </w:tabs>
        <w:spacing w:after="0" w:line="240" w:lineRule="auto"/>
        <w:jc w:val="both"/>
        <w:rPr>
          <w:rFonts w:ascii="Verdana" w:hAnsi="Verdana"/>
          <w:b/>
          <w:bCs/>
          <w:i/>
          <w:iCs/>
          <w:sz w:val="20"/>
          <w:szCs w:val="20"/>
        </w:rPr>
      </w:pPr>
      <w:r w:rsidRPr="00456A8A">
        <w:rPr>
          <w:rFonts w:ascii="Verdana" w:hAnsi="Verdana"/>
          <w:b/>
          <w:bCs/>
          <w:i/>
          <w:iCs/>
          <w:sz w:val="20"/>
          <w:szCs w:val="20"/>
        </w:rPr>
        <w:t>Admisibilidad de los perit</w:t>
      </w:r>
      <w:r w:rsidR="00DE4095" w:rsidRPr="00456A8A">
        <w:rPr>
          <w:rFonts w:ascii="Verdana" w:hAnsi="Verdana"/>
          <w:b/>
          <w:bCs/>
          <w:i/>
          <w:iCs/>
          <w:sz w:val="20"/>
          <w:szCs w:val="20"/>
        </w:rPr>
        <w:t xml:space="preserve">ajes ofrecidos por la Comisión </w:t>
      </w:r>
      <w:r w:rsidRPr="00456A8A">
        <w:rPr>
          <w:rFonts w:ascii="Verdana" w:hAnsi="Verdana"/>
          <w:b/>
          <w:bCs/>
          <w:i/>
          <w:iCs/>
          <w:sz w:val="20"/>
          <w:szCs w:val="20"/>
        </w:rPr>
        <w:t xml:space="preserve"> </w:t>
      </w:r>
    </w:p>
    <w:p w14:paraId="3C69FA2F" w14:textId="77777777" w:rsidR="00320AD0" w:rsidRPr="00456A8A" w:rsidRDefault="00320AD0" w:rsidP="009A226B">
      <w:pPr>
        <w:pStyle w:val="ListParagraph"/>
        <w:tabs>
          <w:tab w:val="left" w:pos="567"/>
        </w:tabs>
        <w:spacing w:after="0" w:line="240" w:lineRule="auto"/>
        <w:jc w:val="both"/>
        <w:rPr>
          <w:rFonts w:ascii="Verdana" w:hAnsi="Verdana"/>
          <w:b/>
          <w:bCs/>
          <w:i/>
          <w:iCs/>
          <w:sz w:val="20"/>
          <w:szCs w:val="20"/>
        </w:rPr>
      </w:pPr>
    </w:p>
    <w:p w14:paraId="15851DA7" w14:textId="7FEB84A2" w:rsidR="00A50558" w:rsidRPr="00456A8A" w:rsidRDefault="00320AD0" w:rsidP="009A226B">
      <w:pPr>
        <w:pStyle w:val="ListParagraph"/>
        <w:numPr>
          <w:ilvl w:val="0"/>
          <w:numId w:val="3"/>
        </w:numPr>
        <w:tabs>
          <w:tab w:val="left" w:pos="567"/>
        </w:tabs>
        <w:spacing w:after="0" w:line="240" w:lineRule="auto"/>
        <w:ind w:left="0" w:firstLine="0"/>
        <w:jc w:val="both"/>
        <w:rPr>
          <w:rFonts w:ascii="Verdana" w:hAnsi="Verdana"/>
          <w:bCs/>
          <w:iCs/>
          <w:sz w:val="20"/>
          <w:szCs w:val="20"/>
        </w:rPr>
      </w:pPr>
      <w:r w:rsidRPr="00456A8A">
        <w:rPr>
          <w:rFonts w:ascii="Verdana" w:hAnsi="Verdana"/>
          <w:bCs/>
          <w:iCs/>
          <w:sz w:val="20"/>
          <w:szCs w:val="20"/>
        </w:rPr>
        <w:t xml:space="preserve">La </w:t>
      </w:r>
      <w:r w:rsidRPr="00456A8A">
        <w:rPr>
          <w:rFonts w:ascii="Verdana" w:hAnsi="Verdana"/>
          <w:b/>
          <w:bCs/>
          <w:i/>
          <w:iCs/>
          <w:sz w:val="20"/>
          <w:szCs w:val="20"/>
        </w:rPr>
        <w:t>C</w:t>
      </w:r>
      <w:r w:rsidR="00997ED8" w:rsidRPr="00456A8A">
        <w:rPr>
          <w:rFonts w:ascii="Verdana" w:hAnsi="Verdana"/>
          <w:b/>
          <w:bCs/>
          <w:i/>
          <w:iCs/>
          <w:sz w:val="20"/>
          <w:szCs w:val="20"/>
        </w:rPr>
        <w:t>omisión</w:t>
      </w:r>
      <w:r w:rsidR="00997ED8" w:rsidRPr="00456A8A">
        <w:rPr>
          <w:rFonts w:ascii="Verdana" w:hAnsi="Verdana"/>
          <w:bCs/>
          <w:iCs/>
          <w:sz w:val="20"/>
          <w:szCs w:val="20"/>
        </w:rPr>
        <w:t xml:space="preserve"> ofreció los dictámenes periciales de: </w:t>
      </w:r>
      <w:r w:rsidR="00871010" w:rsidRPr="00456A8A">
        <w:rPr>
          <w:rFonts w:ascii="Verdana" w:hAnsi="Verdana"/>
          <w:bCs/>
          <w:iCs/>
          <w:sz w:val="20"/>
          <w:szCs w:val="20"/>
        </w:rPr>
        <w:t>a</w:t>
      </w:r>
      <w:r w:rsidR="00997ED8" w:rsidRPr="00456A8A">
        <w:rPr>
          <w:rFonts w:ascii="Verdana" w:hAnsi="Verdana"/>
          <w:bCs/>
          <w:iCs/>
          <w:sz w:val="20"/>
          <w:szCs w:val="20"/>
        </w:rPr>
        <w:t xml:space="preserve">) </w:t>
      </w:r>
      <w:r w:rsidR="00A81839" w:rsidRPr="00456A8A">
        <w:rPr>
          <w:rFonts w:ascii="Verdana" w:hAnsi="Verdana"/>
          <w:bCs/>
          <w:iCs/>
          <w:sz w:val="20"/>
          <w:szCs w:val="20"/>
        </w:rPr>
        <w:t>Elizabeth Salmón</w:t>
      </w:r>
      <w:r w:rsidR="0073089C" w:rsidRPr="00456A8A">
        <w:rPr>
          <w:rFonts w:ascii="Verdana" w:hAnsi="Verdana" w:cs="Arial"/>
          <w:color w:val="0F0F0F"/>
          <w:sz w:val="20"/>
          <w:szCs w:val="20"/>
        </w:rPr>
        <w:t xml:space="preserve">, para </w:t>
      </w:r>
      <w:r w:rsidR="00251F34" w:rsidRPr="00456A8A">
        <w:rPr>
          <w:rFonts w:ascii="Verdana" w:hAnsi="Verdana" w:cs="Arial"/>
          <w:color w:val="0F0F0F"/>
          <w:sz w:val="20"/>
          <w:szCs w:val="20"/>
        </w:rPr>
        <w:t>declara</w:t>
      </w:r>
      <w:r w:rsidR="0073089C" w:rsidRPr="00456A8A">
        <w:rPr>
          <w:rFonts w:ascii="Verdana" w:hAnsi="Verdana" w:cs="Arial"/>
          <w:color w:val="0F0F0F"/>
          <w:sz w:val="20"/>
          <w:szCs w:val="20"/>
        </w:rPr>
        <w:t>r</w:t>
      </w:r>
      <w:r w:rsidR="00251F34" w:rsidRPr="00456A8A">
        <w:rPr>
          <w:rFonts w:ascii="Verdana" w:hAnsi="Verdana" w:cs="Arial"/>
          <w:color w:val="0F0F0F"/>
          <w:sz w:val="20"/>
          <w:szCs w:val="20"/>
        </w:rPr>
        <w:t xml:space="preserve"> sobre “</w:t>
      </w:r>
      <w:r w:rsidR="00A81839" w:rsidRPr="00456A8A">
        <w:rPr>
          <w:rFonts w:ascii="Verdana" w:hAnsi="Verdana" w:cs="Arial"/>
          <w:color w:val="0F0F0F"/>
          <w:sz w:val="20"/>
          <w:szCs w:val="20"/>
        </w:rPr>
        <w:t xml:space="preserve">los estándares internacionales relevantes que determinan las obligaciones estatales de respeto y garantía en materia de la violencia contra la mujer y, particularmente, la violencia y violación sexual [refiriéndose] </w:t>
      </w:r>
      <w:r w:rsidR="00A82E3B" w:rsidRPr="00456A8A">
        <w:rPr>
          <w:rFonts w:ascii="Verdana" w:hAnsi="Verdana" w:cs="Arial"/>
          <w:color w:val="0F0F0F"/>
          <w:sz w:val="20"/>
          <w:szCs w:val="20"/>
        </w:rPr>
        <w:t>al desarroll</w:t>
      </w:r>
      <w:r w:rsidR="00A81839" w:rsidRPr="00456A8A">
        <w:rPr>
          <w:rFonts w:ascii="Verdana" w:hAnsi="Verdana" w:cs="Arial"/>
          <w:color w:val="0F0F0F"/>
          <w:sz w:val="20"/>
          <w:szCs w:val="20"/>
        </w:rPr>
        <w:t xml:space="preserve">o del derecho internacional en cuanto a </w:t>
      </w:r>
      <w:r w:rsidR="00871010" w:rsidRPr="00456A8A">
        <w:rPr>
          <w:rFonts w:ascii="Verdana" w:hAnsi="Verdana" w:cs="Arial"/>
          <w:color w:val="0F0F0F"/>
          <w:sz w:val="20"/>
          <w:szCs w:val="20"/>
        </w:rPr>
        <w:t>(i)</w:t>
      </w:r>
      <w:r w:rsidR="00A81839" w:rsidRPr="00456A8A">
        <w:rPr>
          <w:rFonts w:ascii="Verdana" w:hAnsi="Verdana" w:cs="Arial"/>
          <w:color w:val="0F0F0F"/>
          <w:sz w:val="20"/>
          <w:szCs w:val="20"/>
        </w:rPr>
        <w:t xml:space="preserve"> la valoración probatoria en este tipo de casos; y </w:t>
      </w:r>
      <w:r w:rsidR="00871010" w:rsidRPr="00456A8A">
        <w:rPr>
          <w:rFonts w:ascii="Verdana" w:hAnsi="Verdana" w:cs="Arial"/>
          <w:color w:val="0F0F0F"/>
          <w:sz w:val="20"/>
          <w:szCs w:val="20"/>
        </w:rPr>
        <w:t xml:space="preserve">(ii) </w:t>
      </w:r>
      <w:r w:rsidR="00A81839" w:rsidRPr="00456A8A">
        <w:rPr>
          <w:rFonts w:ascii="Verdana" w:hAnsi="Verdana" w:cs="Arial"/>
          <w:color w:val="0F0F0F"/>
          <w:sz w:val="20"/>
          <w:szCs w:val="20"/>
        </w:rPr>
        <w:t>la calificación jurídica de ciertos hechos como violación sexual y tortura</w:t>
      </w:r>
      <w:r w:rsidR="00A82E3B" w:rsidRPr="00456A8A">
        <w:rPr>
          <w:rFonts w:ascii="Verdana" w:hAnsi="Verdana" w:cs="Arial"/>
          <w:color w:val="0F0F0F"/>
          <w:sz w:val="20"/>
          <w:szCs w:val="20"/>
        </w:rPr>
        <w:t xml:space="preserve">[, </w:t>
      </w:r>
      <w:r w:rsidR="00871010" w:rsidRPr="00456A8A">
        <w:rPr>
          <w:rFonts w:ascii="Verdana" w:hAnsi="Verdana" w:cs="Arial"/>
          <w:color w:val="0F0F0F"/>
          <w:sz w:val="20"/>
          <w:szCs w:val="20"/>
        </w:rPr>
        <w:t xml:space="preserve">además de] aplica[r] </w:t>
      </w:r>
      <w:r w:rsidR="00A82E3B" w:rsidRPr="00456A8A">
        <w:rPr>
          <w:rFonts w:ascii="Verdana" w:hAnsi="Verdana" w:cs="Arial"/>
          <w:color w:val="0F0F0F"/>
          <w:sz w:val="20"/>
          <w:szCs w:val="20"/>
        </w:rPr>
        <w:t>los elementos desarrollados en su peritaje a los hechos del […] caso”</w:t>
      </w:r>
      <w:r w:rsidR="00A822D8" w:rsidRPr="00456A8A">
        <w:rPr>
          <w:rFonts w:ascii="Verdana" w:hAnsi="Verdana" w:cs="Arial"/>
          <w:color w:val="0F0F0F"/>
          <w:sz w:val="20"/>
          <w:szCs w:val="20"/>
        </w:rPr>
        <w:t xml:space="preserve">, y de </w:t>
      </w:r>
      <w:r w:rsidR="00871010" w:rsidRPr="00456A8A">
        <w:rPr>
          <w:rFonts w:ascii="Verdana" w:hAnsi="Verdana" w:cs="Arial"/>
          <w:color w:val="0F0F0F"/>
          <w:sz w:val="20"/>
          <w:szCs w:val="20"/>
        </w:rPr>
        <w:t>b</w:t>
      </w:r>
      <w:r w:rsidR="00014289" w:rsidRPr="00456A8A">
        <w:rPr>
          <w:rFonts w:ascii="Verdana" w:hAnsi="Verdana" w:cs="Arial"/>
          <w:color w:val="0F0F0F"/>
          <w:sz w:val="20"/>
          <w:szCs w:val="20"/>
        </w:rPr>
        <w:t xml:space="preserve">) </w:t>
      </w:r>
      <w:r w:rsidR="00A822D8" w:rsidRPr="00456A8A">
        <w:rPr>
          <w:rFonts w:ascii="Verdana" w:hAnsi="Verdana" w:cs="Arial"/>
          <w:color w:val="0F0F0F"/>
          <w:sz w:val="20"/>
          <w:szCs w:val="20"/>
        </w:rPr>
        <w:t>Julissa Mantilla</w:t>
      </w:r>
      <w:r w:rsidR="0071244C" w:rsidRPr="00456A8A">
        <w:rPr>
          <w:rFonts w:ascii="Verdana" w:hAnsi="Verdana" w:cs="Arial"/>
          <w:color w:val="0F0F0F"/>
          <w:sz w:val="20"/>
          <w:szCs w:val="20"/>
        </w:rPr>
        <w:t xml:space="preserve">, para declarar sobre “los estándares internacionales relevantes que determinan las obligaciones estatales en materia de debida diligencia en </w:t>
      </w:r>
      <w:r w:rsidR="001E35BA" w:rsidRPr="00456A8A">
        <w:rPr>
          <w:rFonts w:ascii="Verdana" w:hAnsi="Verdana" w:cs="Arial"/>
          <w:color w:val="0F0F0F"/>
          <w:sz w:val="20"/>
          <w:szCs w:val="20"/>
        </w:rPr>
        <w:t>la investigación de casos de vi</w:t>
      </w:r>
      <w:r w:rsidR="0071244C" w:rsidRPr="00456A8A">
        <w:rPr>
          <w:rFonts w:ascii="Verdana" w:hAnsi="Verdana" w:cs="Arial"/>
          <w:color w:val="0F0F0F"/>
          <w:sz w:val="20"/>
          <w:szCs w:val="20"/>
        </w:rPr>
        <w:t>olencia contra la mujer, particularmente, violencia y violación sexual[, tomando] en consideración todas las distintas responsabilidades que pueden derivarse en un caso como el presente y la necesidad de investigación de las mismas</w:t>
      </w:r>
      <w:r w:rsidR="00014289" w:rsidRPr="00456A8A">
        <w:rPr>
          <w:rFonts w:ascii="Verdana" w:hAnsi="Verdana" w:cs="Arial"/>
          <w:color w:val="0F0F0F"/>
          <w:sz w:val="20"/>
          <w:szCs w:val="20"/>
        </w:rPr>
        <w:t>. Así mismo, tomará en cuenta las investigaciones realizadas en el presente caso y aplicar</w:t>
      </w:r>
      <w:r w:rsidR="00657EBA" w:rsidRPr="00456A8A">
        <w:rPr>
          <w:rFonts w:ascii="Verdana" w:hAnsi="Verdana" w:cs="Arial"/>
          <w:color w:val="0F0F0F"/>
          <w:sz w:val="20"/>
          <w:szCs w:val="20"/>
        </w:rPr>
        <w:t xml:space="preserve">á </w:t>
      </w:r>
      <w:r w:rsidR="00014289" w:rsidRPr="00456A8A">
        <w:rPr>
          <w:rFonts w:ascii="Verdana" w:hAnsi="Verdana" w:cs="Arial"/>
          <w:color w:val="0F0F0F"/>
          <w:sz w:val="20"/>
          <w:szCs w:val="20"/>
        </w:rPr>
        <w:t>a</w:t>
      </w:r>
      <w:r w:rsidR="00657EBA" w:rsidRPr="00456A8A">
        <w:rPr>
          <w:rFonts w:ascii="Verdana" w:hAnsi="Verdana" w:cs="Arial"/>
          <w:color w:val="0F0F0F"/>
          <w:sz w:val="20"/>
          <w:szCs w:val="20"/>
        </w:rPr>
        <w:t xml:space="preserve"> </w:t>
      </w:r>
      <w:r w:rsidR="00014289" w:rsidRPr="00456A8A">
        <w:rPr>
          <w:rFonts w:ascii="Verdana" w:hAnsi="Verdana" w:cs="Arial"/>
          <w:color w:val="0F0F0F"/>
          <w:sz w:val="20"/>
          <w:szCs w:val="20"/>
        </w:rPr>
        <w:t>las mismas los elementos desarrollados en su peritaje”.</w:t>
      </w:r>
      <w:r w:rsidR="00A822D8" w:rsidRPr="00456A8A">
        <w:rPr>
          <w:rFonts w:ascii="Verdana" w:hAnsi="Verdana" w:cs="Arial"/>
          <w:color w:val="0F0F0F"/>
          <w:sz w:val="20"/>
          <w:szCs w:val="20"/>
        </w:rPr>
        <w:t xml:space="preserve"> </w:t>
      </w:r>
      <w:r w:rsidR="00A82E3B" w:rsidRPr="00456A8A">
        <w:rPr>
          <w:rFonts w:ascii="Verdana" w:hAnsi="Verdana" w:cs="Arial"/>
          <w:color w:val="0F0F0F"/>
          <w:sz w:val="20"/>
          <w:szCs w:val="20"/>
        </w:rPr>
        <w:t xml:space="preserve"> </w:t>
      </w:r>
    </w:p>
    <w:p w14:paraId="0044E063" w14:textId="6610D956" w:rsidR="00657EBA" w:rsidRPr="00E62414" w:rsidRDefault="00585877" w:rsidP="009A226B">
      <w:pPr>
        <w:pStyle w:val="ListParagraph"/>
        <w:numPr>
          <w:ilvl w:val="0"/>
          <w:numId w:val="3"/>
        </w:numPr>
        <w:tabs>
          <w:tab w:val="left" w:pos="567"/>
        </w:tabs>
        <w:spacing w:after="0" w:line="240" w:lineRule="auto"/>
        <w:ind w:left="0" w:firstLine="0"/>
        <w:jc w:val="both"/>
        <w:rPr>
          <w:rFonts w:ascii="Arial" w:hAnsi="Arial" w:cs="Arial"/>
          <w:color w:val="050505"/>
          <w:sz w:val="18"/>
          <w:szCs w:val="18"/>
        </w:rPr>
      </w:pPr>
      <w:r w:rsidRPr="00546CE6">
        <w:rPr>
          <w:rFonts w:ascii="Verdana" w:hAnsi="Verdana"/>
          <w:bCs/>
          <w:iCs/>
          <w:sz w:val="20"/>
          <w:szCs w:val="20"/>
        </w:rPr>
        <w:lastRenderedPageBreak/>
        <w:t>Al respecto, la Comisión</w:t>
      </w:r>
      <w:r w:rsidRPr="00546CE6">
        <w:rPr>
          <w:rFonts w:ascii="Verdana" w:hAnsi="Verdana"/>
          <w:sz w:val="20"/>
          <w:szCs w:val="20"/>
        </w:rPr>
        <w:t xml:space="preserve"> </w:t>
      </w:r>
      <w:r w:rsidR="00162BD2" w:rsidRPr="00546CE6">
        <w:rPr>
          <w:rFonts w:ascii="Verdana" w:hAnsi="Verdana"/>
          <w:bCs/>
          <w:iCs/>
          <w:sz w:val="20"/>
          <w:szCs w:val="20"/>
        </w:rPr>
        <w:t>destacó que</w:t>
      </w:r>
      <w:r w:rsidR="00014289" w:rsidRPr="00546CE6">
        <w:rPr>
          <w:rFonts w:ascii="Verdana" w:hAnsi="Verdana"/>
          <w:bCs/>
          <w:iCs/>
          <w:sz w:val="20"/>
          <w:szCs w:val="20"/>
        </w:rPr>
        <w:t xml:space="preserve"> el presente caso involucraba cuestiones de orden público interamericano. En particular, señaló que el presente caso ofrecía una oportunidad a la Corte “para </w:t>
      </w:r>
      <w:r w:rsidR="00657EBA" w:rsidRPr="00546CE6">
        <w:rPr>
          <w:rFonts w:ascii="Verdana" w:hAnsi="Verdana"/>
          <w:bCs/>
          <w:iCs/>
          <w:sz w:val="20"/>
          <w:szCs w:val="20"/>
        </w:rPr>
        <w:t>profundizar</w:t>
      </w:r>
      <w:r w:rsidR="00014289" w:rsidRPr="00546CE6">
        <w:rPr>
          <w:rFonts w:ascii="Verdana" w:hAnsi="Verdana"/>
          <w:bCs/>
          <w:iCs/>
          <w:sz w:val="20"/>
          <w:szCs w:val="20"/>
        </w:rPr>
        <w:t xml:space="preserve"> su jurisprudencia sobre la problemática de la violencia contra la mujer y, particularmente, la violencia y violaci</w:t>
      </w:r>
      <w:r w:rsidR="00657EBA" w:rsidRPr="00546CE6">
        <w:rPr>
          <w:rFonts w:ascii="Verdana" w:hAnsi="Verdana"/>
          <w:bCs/>
          <w:iCs/>
          <w:sz w:val="20"/>
          <w:szCs w:val="20"/>
        </w:rPr>
        <w:t xml:space="preserve">ón sexual [y] fortalecer la jurisprudencia en cuanto a la valoración probatoria en ese tipo de casos y la calificación jurídica de ciertos actos como formas de violación sexual y tortura”. Además, indicó que el caso permitiría “profundizar en el alcance de la responsabilidad internacional del Estado a la luz de […] distintos instrumentos aplicables, incluyendo la Convención Belém do Pará, [cuando] las violaciones reflejan un especial ensañamiento contra las mujeres por su condición de tales”. Asimismo, </w:t>
      </w:r>
      <w:r w:rsidR="00546CE6" w:rsidRPr="00546CE6">
        <w:rPr>
          <w:rFonts w:ascii="Verdana" w:hAnsi="Verdana"/>
          <w:bCs/>
          <w:iCs/>
          <w:sz w:val="20"/>
          <w:szCs w:val="20"/>
        </w:rPr>
        <w:t>consideró</w:t>
      </w:r>
      <w:r w:rsidR="00657EBA" w:rsidRPr="00546CE6">
        <w:rPr>
          <w:rFonts w:ascii="Verdana" w:hAnsi="Verdana"/>
          <w:bCs/>
          <w:iCs/>
          <w:sz w:val="20"/>
          <w:szCs w:val="20"/>
        </w:rPr>
        <w:t xml:space="preserve"> que se podría desarrollar la jurisprudencia “en materia de investigación y sanción de los responsables de este tipo de actos”, y en particular con respecto a “los estándares específicos aplicables a casos de violencia y violación sexual </w:t>
      </w:r>
      <w:r w:rsidR="00546CE6" w:rsidRPr="00546CE6">
        <w:rPr>
          <w:rFonts w:ascii="Verdana" w:hAnsi="Verdana"/>
          <w:bCs/>
          <w:iCs/>
          <w:sz w:val="20"/>
          <w:szCs w:val="20"/>
        </w:rPr>
        <w:t xml:space="preserve">a fin de que la investigación pueda considerarse diligente”. </w:t>
      </w:r>
      <w:r w:rsidR="00546CE6" w:rsidRPr="009D6F17">
        <w:rPr>
          <w:rFonts w:ascii="Verdana" w:hAnsi="Verdana"/>
          <w:bCs/>
          <w:iCs/>
          <w:sz w:val="20"/>
          <w:szCs w:val="20"/>
        </w:rPr>
        <w:t>Finalmente, afirmó la oportunidad de profundizar sobre “</w:t>
      </w:r>
      <w:r w:rsidR="00546CE6" w:rsidRPr="009D6F17">
        <w:rPr>
          <w:rFonts w:ascii="Verdana" w:hAnsi="Verdana" w:cs="Arial"/>
          <w:sz w:val="20"/>
          <w:szCs w:val="20"/>
        </w:rPr>
        <w:t>l</w:t>
      </w:r>
      <w:r w:rsidR="00657EBA" w:rsidRPr="009D6F17">
        <w:rPr>
          <w:rFonts w:ascii="Verdana" w:hAnsi="Verdana" w:cs="Arial"/>
          <w:sz w:val="20"/>
          <w:szCs w:val="20"/>
        </w:rPr>
        <w:t>a necesidad de investigar de manera integral todas las posibles responsabilidades, incluidas las</w:t>
      </w:r>
      <w:r w:rsidR="00546CE6" w:rsidRPr="009D6F17">
        <w:rPr>
          <w:rFonts w:ascii="Verdana" w:hAnsi="Verdana" w:cs="Arial"/>
          <w:sz w:val="20"/>
          <w:szCs w:val="20"/>
        </w:rPr>
        <w:t xml:space="preserve"> </w:t>
      </w:r>
      <w:r w:rsidR="00657EBA" w:rsidRPr="009D6F17">
        <w:rPr>
          <w:rFonts w:ascii="Verdana" w:hAnsi="Verdana" w:cs="Arial"/>
          <w:sz w:val="20"/>
          <w:szCs w:val="20"/>
        </w:rPr>
        <w:t xml:space="preserve">derivadas de </w:t>
      </w:r>
      <w:r w:rsidR="00546CE6" w:rsidRPr="009D6F17">
        <w:rPr>
          <w:rFonts w:ascii="Verdana" w:hAnsi="Verdana" w:cs="Arial"/>
          <w:sz w:val="20"/>
          <w:szCs w:val="20"/>
        </w:rPr>
        <w:t>l</w:t>
      </w:r>
      <w:r w:rsidR="00657EBA" w:rsidRPr="009D6F17">
        <w:rPr>
          <w:rFonts w:ascii="Verdana" w:hAnsi="Verdana" w:cs="Arial"/>
          <w:sz w:val="20"/>
          <w:szCs w:val="20"/>
        </w:rPr>
        <w:t xml:space="preserve">a cadena de mando, </w:t>
      </w:r>
      <w:r w:rsidR="00546CE6" w:rsidRPr="009D6F17">
        <w:rPr>
          <w:rFonts w:ascii="Verdana" w:hAnsi="Verdana" w:cs="Arial"/>
          <w:sz w:val="20"/>
          <w:szCs w:val="20"/>
        </w:rPr>
        <w:t>así</w:t>
      </w:r>
      <w:r w:rsidR="00657EBA" w:rsidRPr="009D6F17">
        <w:rPr>
          <w:rFonts w:ascii="Verdana" w:hAnsi="Verdana" w:cs="Arial"/>
          <w:sz w:val="20"/>
          <w:szCs w:val="20"/>
        </w:rPr>
        <w:t xml:space="preserve"> como las derivadas tanto de las a</w:t>
      </w:r>
      <w:r w:rsidR="00546CE6" w:rsidRPr="009D6F17">
        <w:rPr>
          <w:rFonts w:ascii="Verdana" w:hAnsi="Verdana" w:cs="Arial"/>
          <w:sz w:val="20"/>
          <w:szCs w:val="20"/>
        </w:rPr>
        <w:t>cciones u omisiones que dieron l</w:t>
      </w:r>
      <w:r w:rsidR="00657EBA" w:rsidRPr="009D6F17">
        <w:rPr>
          <w:rFonts w:ascii="Verdana" w:hAnsi="Verdana" w:cs="Arial"/>
          <w:sz w:val="20"/>
          <w:szCs w:val="20"/>
        </w:rPr>
        <w:t>ugar a los</w:t>
      </w:r>
      <w:r w:rsidR="00546CE6" w:rsidRPr="009D6F17">
        <w:rPr>
          <w:rFonts w:ascii="Verdana" w:hAnsi="Verdana" w:cs="Arial"/>
          <w:sz w:val="20"/>
          <w:szCs w:val="20"/>
        </w:rPr>
        <w:t xml:space="preserve"> </w:t>
      </w:r>
      <w:r w:rsidR="00657EBA" w:rsidRPr="009D6F17">
        <w:rPr>
          <w:rFonts w:ascii="Verdana" w:hAnsi="Verdana" w:cs="Arial"/>
          <w:sz w:val="20"/>
          <w:szCs w:val="20"/>
        </w:rPr>
        <w:t xml:space="preserve">hechos </w:t>
      </w:r>
      <w:r w:rsidR="00546CE6" w:rsidRPr="009D6F17">
        <w:rPr>
          <w:rFonts w:ascii="Verdana" w:hAnsi="Verdana" w:cs="Arial"/>
          <w:sz w:val="20"/>
          <w:szCs w:val="20"/>
        </w:rPr>
        <w:t>[…] y […]</w:t>
      </w:r>
      <w:r w:rsidR="00657EBA" w:rsidRPr="009D6F17">
        <w:rPr>
          <w:rFonts w:ascii="Verdana" w:hAnsi="Verdana" w:cs="Arial"/>
          <w:sz w:val="20"/>
          <w:szCs w:val="20"/>
        </w:rPr>
        <w:t xml:space="preserve"> de las que pudieran haber obstaculizado su esclarecimiento</w:t>
      </w:r>
      <w:r w:rsidR="00546CE6" w:rsidRPr="009D6F17">
        <w:rPr>
          <w:rFonts w:ascii="Verdana" w:hAnsi="Verdana" w:cs="Arial"/>
          <w:sz w:val="20"/>
          <w:szCs w:val="20"/>
        </w:rPr>
        <w:t>”</w:t>
      </w:r>
      <w:r w:rsidR="00657EBA" w:rsidRPr="009D6F17">
        <w:rPr>
          <w:rFonts w:ascii="Verdana" w:hAnsi="Verdana" w:cs="Arial"/>
          <w:sz w:val="20"/>
          <w:szCs w:val="20"/>
        </w:rPr>
        <w:t>.</w:t>
      </w:r>
      <w:r w:rsidR="00546CE6" w:rsidRPr="00546CE6">
        <w:rPr>
          <w:rFonts w:ascii="Verdana" w:hAnsi="Verdana" w:cs="Arial"/>
          <w:sz w:val="20"/>
          <w:szCs w:val="20"/>
        </w:rPr>
        <w:t xml:space="preserve"> </w:t>
      </w:r>
    </w:p>
    <w:p w14:paraId="5C631313" w14:textId="77777777" w:rsidR="007A7106" w:rsidRPr="00EC5EFF" w:rsidRDefault="007A7106" w:rsidP="009A226B">
      <w:pPr>
        <w:pStyle w:val="ListParagraph"/>
        <w:tabs>
          <w:tab w:val="left" w:pos="567"/>
        </w:tabs>
        <w:spacing w:after="0" w:line="240" w:lineRule="auto"/>
        <w:ind w:left="0"/>
        <w:jc w:val="both"/>
        <w:rPr>
          <w:rFonts w:ascii="Verdana" w:hAnsi="Verdana"/>
          <w:bCs/>
          <w:iCs/>
          <w:sz w:val="20"/>
          <w:szCs w:val="20"/>
        </w:rPr>
      </w:pPr>
    </w:p>
    <w:p w14:paraId="4A7E74D4" w14:textId="6A1D1628" w:rsidR="00C92895" w:rsidRPr="00C92895" w:rsidRDefault="007A7106" w:rsidP="009A226B">
      <w:pPr>
        <w:pStyle w:val="ListParagraph"/>
        <w:numPr>
          <w:ilvl w:val="0"/>
          <w:numId w:val="3"/>
        </w:numPr>
        <w:tabs>
          <w:tab w:val="left" w:pos="567"/>
        </w:tabs>
        <w:spacing w:after="0" w:line="240" w:lineRule="auto"/>
        <w:ind w:left="0" w:firstLine="0"/>
        <w:jc w:val="both"/>
        <w:rPr>
          <w:rFonts w:ascii="Verdana" w:hAnsi="Verdana"/>
          <w:bCs/>
          <w:iCs/>
          <w:sz w:val="20"/>
          <w:szCs w:val="20"/>
        </w:rPr>
      </w:pPr>
      <w:r w:rsidRPr="00EC5EFF">
        <w:rPr>
          <w:rFonts w:ascii="Verdana" w:hAnsi="Verdana"/>
          <w:bCs/>
          <w:iCs/>
          <w:sz w:val="20"/>
          <w:szCs w:val="20"/>
        </w:rPr>
        <w:t>Esta</w:t>
      </w:r>
      <w:r w:rsidR="00585877" w:rsidRPr="00EC5EFF">
        <w:rPr>
          <w:rFonts w:ascii="Verdana" w:hAnsi="Verdana"/>
          <w:bCs/>
          <w:iCs/>
          <w:sz w:val="20"/>
          <w:szCs w:val="20"/>
        </w:rPr>
        <w:t xml:space="preserve"> Presidencia </w:t>
      </w:r>
      <w:r w:rsidRPr="00EC5EFF">
        <w:rPr>
          <w:rFonts w:ascii="Verdana" w:hAnsi="Verdana"/>
          <w:bCs/>
          <w:iCs/>
          <w:sz w:val="20"/>
          <w:szCs w:val="20"/>
        </w:rPr>
        <w:t xml:space="preserve">recuerda que, </w:t>
      </w:r>
      <w:r w:rsidR="00585877" w:rsidRPr="00EC5EFF">
        <w:rPr>
          <w:rFonts w:ascii="Verdana" w:hAnsi="Verdana"/>
          <w:bCs/>
          <w:iCs/>
          <w:sz w:val="20"/>
          <w:szCs w:val="20"/>
        </w:rPr>
        <w:t>de acuerdo a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w:t>
      </w:r>
      <w:r w:rsidR="00585877" w:rsidRPr="00EC5EFF">
        <w:rPr>
          <w:vertAlign w:val="superscript"/>
        </w:rPr>
        <w:footnoteReference w:id="2"/>
      </w:r>
      <w:r w:rsidR="00247B1B" w:rsidRPr="00EC5EFF">
        <w:rPr>
          <w:rFonts w:ascii="Verdana" w:hAnsi="Verdana"/>
          <w:bCs/>
          <w:iCs/>
          <w:sz w:val="20"/>
          <w:szCs w:val="20"/>
        </w:rPr>
        <w:t xml:space="preserve">. </w:t>
      </w:r>
    </w:p>
    <w:p w14:paraId="11AA97D4" w14:textId="77777777" w:rsidR="00C92895" w:rsidRPr="00C92895" w:rsidRDefault="00C92895" w:rsidP="009A226B">
      <w:pPr>
        <w:pStyle w:val="ListParagraph"/>
        <w:tabs>
          <w:tab w:val="left" w:pos="567"/>
        </w:tabs>
        <w:spacing w:after="0" w:line="240" w:lineRule="auto"/>
        <w:ind w:left="0"/>
        <w:jc w:val="both"/>
        <w:rPr>
          <w:rFonts w:ascii="Verdana" w:hAnsi="Verdana"/>
          <w:bCs/>
          <w:iCs/>
          <w:sz w:val="20"/>
          <w:szCs w:val="20"/>
        </w:rPr>
      </w:pPr>
    </w:p>
    <w:p w14:paraId="45C0AA71" w14:textId="544C76B5" w:rsidR="00F377DA" w:rsidRPr="0026641E" w:rsidRDefault="00647660" w:rsidP="009A226B">
      <w:pPr>
        <w:pStyle w:val="ListParagraph"/>
        <w:numPr>
          <w:ilvl w:val="0"/>
          <w:numId w:val="3"/>
        </w:numPr>
        <w:tabs>
          <w:tab w:val="left" w:pos="567"/>
        </w:tabs>
        <w:spacing w:after="0" w:line="240" w:lineRule="auto"/>
        <w:ind w:left="0" w:firstLine="0"/>
        <w:jc w:val="both"/>
        <w:rPr>
          <w:rFonts w:ascii="Verdana" w:hAnsi="Verdana"/>
          <w:bCs/>
          <w:iCs/>
          <w:color w:val="FF0000"/>
          <w:sz w:val="20"/>
          <w:szCs w:val="20"/>
        </w:rPr>
      </w:pPr>
      <w:bookmarkStart w:id="2" w:name="_Ref477382886"/>
      <w:r w:rsidRPr="001E35BA">
        <w:rPr>
          <w:rFonts w:ascii="Verdana" w:hAnsi="Verdana"/>
          <w:bCs/>
          <w:iCs/>
          <w:sz w:val="20"/>
          <w:szCs w:val="20"/>
        </w:rPr>
        <w:t>El Presidente estima que los</w:t>
      </w:r>
      <w:r w:rsidR="0026641E">
        <w:rPr>
          <w:rFonts w:ascii="Verdana" w:hAnsi="Verdana"/>
          <w:bCs/>
          <w:iCs/>
          <w:sz w:val="20"/>
          <w:szCs w:val="20"/>
        </w:rPr>
        <w:t xml:space="preserve"> objetos de los</w:t>
      </w:r>
      <w:r w:rsidRPr="001E35BA">
        <w:rPr>
          <w:rFonts w:ascii="Verdana" w:hAnsi="Verdana"/>
          <w:bCs/>
          <w:iCs/>
          <w:sz w:val="20"/>
          <w:szCs w:val="20"/>
        </w:rPr>
        <w:t xml:space="preserve"> peritajes </w:t>
      </w:r>
      <w:r w:rsidR="0026641E">
        <w:rPr>
          <w:rFonts w:ascii="Verdana" w:hAnsi="Verdana"/>
          <w:bCs/>
          <w:iCs/>
          <w:sz w:val="20"/>
          <w:szCs w:val="20"/>
        </w:rPr>
        <w:t xml:space="preserve">ofrecidos por la Comisión Interamericana </w:t>
      </w:r>
      <w:r w:rsidR="00EC5EFF" w:rsidRPr="001E35BA">
        <w:rPr>
          <w:rFonts w:ascii="Verdana" w:hAnsi="Verdana"/>
          <w:bCs/>
          <w:iCs/>
          <w:sz w:val="20"/>
          <w:szCs w:val="20"/>
        </w:rPr>
        <w:t xml:space="preserve">resultan relevantes para el orden público interamericano, </w:t>
      </w:r>
      <w:r w:rsidR="00EC5EFF" w:rsidRPr="00B33E13">
        <w:rPr>
          <w:rFonts w:ascii="Verdana" w:hAnsi="Verdana"/>
          <w:bCs/>
          <w:iCs/>
          <w:sz w:val="20"/>
          <w:szCs w:val="20"/>
        </w:rPr>
        <w:t>debido a que</w:t>
      </w:r>
      <w:r w:rsidR="00C92895" w:rsidRPr="00B33E13">
        <w:rPr>
          <w:rFonts w:ascii="Verdana" w:hAnsi="Verdana"/>
          <w:bCs/>
          <w:iCs/>
          <w:sz w:val="20"/>
          <w:szCs w:val="20"/>
        </w:rPr>
        <w:t xml:space="preserve"> </w:t>
      </w:r>
      <w:r w:rsidR="0026641E" w:rsidRPr="00FD1695">
        <w:rPr>
          <w:rFonts w:ascii="Verdana" w:hAnsi="Verdana"/>
          <w:bCs/>
          <w:iCs/>
          <w:sz w:val="20"/>
          <w:szCs w:val="20"/>
        </w:rPr>
        <w:t>trascienden los intereses específicos de las partes en el proceso y pueden, eventualmente, tener impacto sobre situaciones que se presentan en otros Estados Partes de la Convención</w:t>
      </w:r>
      <w:r w:rsidR="0026641E">
        <w:rPr>
          <w:rFonts w:ascii="Verdana" w:hAnsi="Verdana"/>
          <w:bCs/>
          <w:iCs/>
          <w:sz w:val="20"/>
          <w:szCs w:val="20"/>
        </w:rPr>
        <w:t xml:space="preserve">. </w:t>
      </w:r>
      <w:r w:rsidR="00B33E13">
        <w:rPr>
          <w:rFonts w:ascii="Verdana" w:hAnsi="Verdana"/>
          <w:sz w:val="20"/>
          <w:szCs w:val="20"/>
        </w:rPr>
        <w:t xml:space="preserve">En particular, esta Presidencia considera que los peritajes ofrecidos </w:t>
      </w:r>
      <w:r w:rsidR="00954D63">
        <w:rPr>
          <w:rFonts w:ascii="Verdana" w:hAnsi="Verdana"/>
          <w:sz w:val="20"/>
          <w:szCs w:val="20"/>
        </w:rPr>
        <w:t>permitirán</w:t>
      </w:r>
      <w:r w:rsidR="00B33E13">
        <w:rPr>
          <w:rFonts w:ascii="Verdana" w:hAnsi="Verdana"/>
          <w:sz w:val="20"/>
          <w:szCs w:val="20"/>
        </w:rPr>
        <w:t xml:space="preserve"> a esta Corte profundizar</w:t>
      </w:r>
      <w:r w:rsidR="004F5858">
        <w:rPr>
          <w:rFonts w:ascii="Verdana" w:hAnsi="Verdana"/>
          <w:sz w:val="20"/>
          <w:szCs w:val="20"/>
        </w:rPr>
        <w:t xml:space="preserve"> </w:t>
      </w:r>
      <w:r w:rsidR="00B33E13">
        <w:rPr>
          <w:rFonts w:ascii="Verdana" w:hAnsi="Verdana"/>
          <w:sz w:val="20"/>
          <w:szCs w:val="20"/>
        </w:rPr>
        <w:t>su jurisprudencia con respecto a los estándares probatorios y la valoración de la prueba en casos de violencia y violación sexual, específicamente en el contexto de mujeres detenidas y/o privadas de libertad</w:t>
      </w:r>
      <w:r w:rsidR="0026641E">
        <w:rPr>
          <w:rFonts w:ascii="Verdana" w:hAnsi="Verdana"/>
          <w:sz w:val="20"/>
          <w:szCs w:val="20"/>
        </w:rPr>
        <w:t>, así como</w:t>
      </w:r>
      <w:r w:rsidR="00B33E13">
        <w:rPr>
          <w:rFonts w:ascii="Verdana" w:hAnsi="Verdana"/>
          <w:sz w:val="20"/>
          <w:szCs w:val="20"/>
        </w:rPr>
        <w:t xml:space="preserve"> </w:t>
      </w:r>
      <w:r w:rsidR="0026641E">
        <w:rPr>
          <w:rFonts w:ascii="Verdana" w:hAnsi="Verdana"/>
          <w:sz w:val="20"/>
          <w:szCs w:val="20"/>
        </w:rPr>
        <w:t xml:space="preserve">en </w:t>
      </w:r>
      <w:r w:rsidR="00954D63">
        <w:rPr>
          <w:rFonts w:ascii="Verdana" w:hAnsi="Verdana"/>
          <w:sz w:val="20"/>
          <w:szCs w:val="20"/>
        </w:rPr>
        <w:t xml:space="preserve">la calificación de </w:t>
      </w:r>
      <w:r w:rsidR="0026641E">
        <w:rPr>
          <w:rFonts w:ascii="Verdana" w:hAnsi="Verdana"/>
          <w:sz w:val="20"/>
          <w:szCs w:val="20"/>
        </w:rPr>
        <w:t xml:space="preserve">este tipo de hechos </w:t>
      </w:r>
      <w:r w:rsidR="00954D63">
        <w:rPr>
          <w:rFonts w:ascii="Verdana" w:hAnsi="Verdana"/>
          <w:sz w:val="20"/>
          <w:szCs w:val="20"/>
        </w:rPr>
        <w:t>como tortura</w:t>
      </w:r>
      <w:r w:rsidR="0026641E">
        <w:rPr>
          <w:rFonts w:ascii="Verdana" w:hAnsi="Verdana"/>
          <w:sz w:val="20"/>
          <w:szCs w:val="20"/>
        </w:rPr>
        <w:t xml:space="preserve"> y los </w:t>
      </w:r>
      <w:r w:rsidR="00755142">
        <w:rPr>
          <w:rFonts w:ascii="Verdana" w:hAnsi="Verdana"/>
          <w:sz w:val="20"/>
          <w:szCs w:val="20"/>
        </w:rPr>
        <w:t>distint</w:t>
      </w:r>
      <w:r w:rsidR="0026641E">
        <w:rPr>
          <w:rFonts w:ascii="Verdana" w:hAnsi="Verdana"/>
          <w:sz w:val="20"/>
          <w:szCs w:val="20"/>
        </w:rPr>
        <w:t>o</w:t>
      </w:r>
      <w:r w:rsidR="00755142">
        <w:rPr>
          <w:rFonts w:ascii="Verdana" w:hAnsi="Verdana"/>
          <w:sz w:val="20"/>
          <w:szCs w:val="20"/>
        </w:rPr>
        <w:t xml:space="preserve">s </w:t>
      </w:r>
      <w:r w:rsidR="0026641E">
        <w:rPr>
          <w:rFonts w:ascii="Verdana" w:hAnsi="Verdana"/>
          <w:sz w:val="20"/>
          <w:szCs w:val="20"/>
        </w:rPr>
        <w:t>niveles de responsabilidad</w:t>
      </w:r>
      <w:r w:rsidR="00755142">
        <w:rPr>
          <w:rFonts w:ascii="Verdana" w:hAnsi="Verdana"/>
          <w:sz w:val="20"/>
          <w:szCs w:val="20"/>
        </w:rPr>
        <w:t xml:space="preserve"> </w:t>
      </w:r>
      <w:r w:rsidR="00FD1695">
        <w:rPr>
          <w:rFonts w:ascii="Verdana" w:hAnsi="Verdana"/>
          <w:sz w:val="20"/>
          <w:szCs w:val="20"/>
        </w:rPr>
        <w:t xml:space="preserve">que pueden derivarse en </w:t>
      </w:r>
      <w:r w:rsidR="0026641E">
        <w:rPr>
          <w:rFonts w:ascii="Verdana" w:hAnsi="Verdana"/>
          <w:sz w:val="20"/>
          <w:szCs w:val="20"/>
        </w:rPr>
        <w:t xml:space="preserve">estos </w:t>
      </w:r>
      <w:r w:rsidR="00FD1695">
        <w:rPr>
          <w:rFonts w:ascii="Verdana" w:hAnsi="Verdana"/>
          <w:sz w:val="20"/>
          <w:szCs w:val="20"/>
        </w:rPr>
        <w:t>casos.</w:t>
      </w:r>
      <w:r w:rsidR="0026641E">
        <w:rPr>
          <w:rFonts w:ascii="Verdana" w:hAnsi="Verdana"/>
          <w:bCs/>
          <w:iCs/>
          <w:color w:val="FF0000"/>
          <w:sz w:val="20"/>
          <w:szCs w:val="20"/>
        </w:rPr>
        <w:t xml:space="preserve"> </w:t>
      </w:r>
      <w:r w:rsidR="00FD1695" w:rsidRPr="0026641E">
        <w:rPr>
          <w:rFonts w:ascii="Verdana" w:hAnsi="Verdana"/>
          <w:sz w:val="20"/>
          <w:szCs w:val="20"/>
        </w:rPr>
        <w:t>Por lo tanto,</w:t>
      </w:r>
      <w:r w:rsidR="00EB0412" w:rsidRPr="0026641E">
        <w:rPr>
          <w:rFonts w:ascii="Verdana" w:hAnsi="Verdana"/>
          <w:sz w:val="20"/>
          <w:szCs w:val="20"/>
        </w:rPr>
        <w:t xml:space="preserve"> </w:t>
      </w:r>
      <w:r w:rsidR="0026641E">
        <w:rPr>
          <w:rFonts w:ascii="Verdana" w:hAnsi="Verdana"/>
          <w:sz w:val="20"/>
          <w:szCs w:val="20"/>
        </w:rPr>
        <w:t xml:space="preserve">el Presidente considera que </w:t>
      </w:r>
      <w:r w:rsidR="00EB0412" w:rsidRPr="0026641E">
        <w:rPr>
          <w:rFonts w:ascii="Verdana" w:hAnsi="Verdana"/>
          <w:sz w:val="20"/>
          <w:szCs w:val="20"/>
        </w:rPr>
        <w:t xml:space="preserve">los peritajes propuestos </w:t>
      </w:r>
      <w:r w:rsidR="00B0532B" w:rsidRPr="0026641E">
        <w:rPr>
          <w:rFonts w:ascii="Verdana" w:hAnsi="Verdana"/>
          <w:bCs/>
          <w:iCs/>
          <w:sz w:val="20"/>
          <w:szCs w:val="20"/>
        </w:rPr>
        <w:t>pues</w:t>
      </w:r>
      <w:r w:rsidR="00865380" w:rsidRPr="0026641E">
        <w:rPr>
          <w:rFonts w:ascii="Verdana" w:hAnsi="Verdana"/>
          <w:bCs/>
          <w:iCs/>
          <w:sz w:val="20"/>
          <w:szCs w:val="20"/>
        </w:rPr>
        <w:t xml:space="preserve"> </w:t>
      </w:r>
      <w:r w:rsidR="001F1FFC" w:rsidRPr="0026641E">
        <w:rPr>
          <w:rFonts w:ascii="Verdana" w:hAnsi="Verdana"/>
          <w:bCs/>
          <w:iCs/>
          <w:sz w:val="20"/>
          <w:szCs w:val="20"/>
        </w:rPr>
        <w:t>podrían contribuir al fortalecimiento de las capacidades de protección del sistema interamericano de derechos humanos</w:t>
      </w:r>
      <w:r w:rsidR="001F1FFC" w:rsidRPr="0026641E">
        <w:rPr>
          <w:rFonts w:ascii="Verdana" w:hAnsi="Verdana"/>
          <w:sz w:val="20"/>
          <w:szCs w:val="20"/>
        </w:rPr>
        <w:t xml:space="preserve"> </w:t>
      </w:r>
      <w:r w:rsidR="0026641E">
        <w:rPr>
          <w:rFonts w:ascii="Verdana" w:hAnsi="Verdana"/>
          <w:sz w:val="20"/>
          <w:szCs w:val="20"/>
        </w:rPr>
        <w:t xml:space="preserve">en relación con </w:t>
      </w:r>
      <w:r w:rsidR="00EF51DC" w:rsidRPr="0026641E">
        <w:rPr>
          <w:rFonts w:ascii="Verdana" w:hAnsi="Verdana"/>
          <w:sz w:val="20"/>
          <w:szCs w:val="20"/>
        </w:rPr>
        <w:t>la</w:t>
      </w:r>
      <w:r w:rsidR="00FD1695" w:rsidRPr="0026641E">
        <w:rPr>
          <w:rFonts w:ascii="Verdana" w:hAnsi="Verdana"/>
          <w:sz w:val="20"/>
          <w:szCs w:val="20"/>
        </w:rPr>
        <w:t xml:space="preserve"> violencia contra la mujer</w:t>
      </w:r>
      <w:r w:rsidR="0026641E">
        <w:rPr>
          <w:rFonts w:ascii="Verdana" w:hAnsi="Verdana"/>
          <w:sz w:val="20"/>
          <w:szCs w:val="20"/>
        </w:rPr>
        <w:t xml:space="preserve">. </w:t>
      </w:r>
      <w:r w:rsidR="00EB0412" w:rsidRPr="0026641E">
        <w:rPr>
          <w:rFonts w:ascii="Verdana" w:hAnsi="Verdana"/>
          <w:sz w:val="20"/>
          <w:szCs w:val="20"/>
        </w:rPr>
        <w:t xml:space="preserve">En consecuencia, el Presidente admite </w:t>
      </w:r>
      <w:r w:rsidR="001F1FFC" w:rsidRPr="0026641E">
        <w:rPr>
          <w:rFonts w:ascii="Verdana" w:hAnsi="Verdana"/>
          <w:sz w:val="20"/>
          <w:szCs w:val="20"/>
        </w:rPr>
        <w:t xml:space="preserve">las declaraciones de </w:t>
      </w:r>
      <w:r w:rsidR="00EF51DC" w:rsidRPr="0026641E">
        <w:rPr>
          <w:rFonts w:ascii="Verdana" w:hAnsi="Verdana"/>
          <w:bCs/>
          <w:iCs/>
          <w:sz w:val="20"/>
          <w:szCs w:val="20"/>
        </w:rPr>
        <w:t xml:space="preserve">Elizabeth Salmón y </w:t>
      </w:r>
      <w:r w:rsidR="00EF51DC" w:rsidRPr="0026641E">
        <w:rPr>
          <w:rFonts w:ascii="Verdana" w:hAnsi="Verdana" w:cs="Arial"/>
          <w:sz w:val="20"/>
          <w:szCs w:val="20"/>
        </w:rPr>
        <w:t>Julissa Mantilla</w:t>
      </w:r>
      <w:r w:rsidR="001F1FFC" w:rsidRPr="0026641E">
        <w:rPr>
          <w:rFonts w:ascii="Verdana" w:hAnsi="Verdana"/>
          <w:bCs/>
          <w:iCs/>
          <w:sz w:val="20"/>
          <w:szCs w:val="20"/>
        </w:rPr>
        <w:t>, se</w:t>
      </w:r>
      <w:r w:rsidR="001F1FFC" w:rsidRPr="0026641E">
        <w:rPr>
          <w:rFonts w:ascii="Verdana" w:hAnsi="Verdana"/>
          <w:bCs/>
          <w:iCs/>
          <w:sz w:val="20"/>
          <w:szCs w:val="24"/>
        </w:rPr>
        <w:t xml:space="preserve">gún el objeto y modalidad determinados en la parte resolutiva de esta </w:t>
      </w:r>
      <w:r w:rsidR="003550AB">
        <w:rPr>
          <w:rFonts w:ascii="Verdana" w:hAnsi="Verdana"/>
          <w:bCs/>
          <w:iCs/>
          <w:sz w:val="20"/>
          <w:szCs w:val="24"/>
        </w:rPr>
        <w:t>resolución</w:t>
      </w:r>
      <w:r w:rsidR="001F1FFC" w:rsidRPr="0026641E">
        <w:rPr>
          <w:rFonts w:ascii="Verdana" w:hAnsi="Verdana"/>
          <w:bCs/>
          <w:iCs/>
          <w:sz w:val="20"/>
          <w:szCs w:val="20"/>
        </w:rPr>
        <w:t>.</w:t>
      </w:r>
      <w:bookmarkEnd w:id="2"/>
      <w:r w:rsidR="001F1FFC" w:rsidRPr="0026641E">
        <w:rPr>
          <w:rFonts w:ascii="Verdana" w:hAnsi="Verdana"/>
          <w:bCs/>
          <w:iCs/>
          <w:sz w:val="20"/>
          <w:szCs w:val="20"/>
        </w:rPr>
        <w:t xml:space="preserve"> </w:t>
      </w:r>
    </w:p>
    <w:p w14:paraId="53F254EA" w14:textId="275D8F9C" w:rsidR="001921B7" w:rsidRPr="001921B7" w:rsidRDefault="001921B7" w:rsidP="009A226B">
      <w:pPr>
        <w:pStyle w:val="ListParagraph"/>
        <w:widowControl w:val="0"/>
        <w:tabs>
          <w:tab w:val="left" w:pos="567"/>
          <w:tab w:val="left" w:pos="709"/>
        </w:tabs>
        <w:spacing w:after="0" w:line="240" w:lineRule="auto"/>
        <w:ind w:left="0" w:right="22"/>
        <w:jc w:val="both"/>
        <w:rPr>
          <w:rFonts w:ascii="Verdana" w:hAnsi="Verdana" w:cs="Times New Roman"/>
          <w:sz w:val="20"/>
          <w:szCs w:val="20"/>
        </w:rPr>
      </w:pPr>
    </w:p>
    <w:p w14:paraId="12B07957" w14:textId="2FB360E6" w:rsidR="00226D4A" w:rsidRPr="00BB44AC" w:rsidRDefault="00DD5787" w:rsidP="009A226B">
      <w:pPr>
        <w:pStyle w:val="ListParagraph"/>
        <w:widowControl w:val="0"/>
        <w:numPr>
          <w:ilvl w:val="0"/>
          <w:numId w:val="27"/>
        </w:numPr>
        <w:tabs>
          <w:tab w:val="left" w:pos="567"/>
        </w:tabs>
        <w:autoSpaceDE w:val="0"/>
        <w:autoSpaceDN w:val="0"/>
        <w:adjustRightInd w:val="0"/>
        <w:spacing w:after="0" w:line="240" w:lineRule="auto"/>
        <w:ind w:right="22"/>
        <w:contextualSpacing w:val="0"/>
        <w:jc w:val="both"/>
        <w:rPr>
          <w:rFonts w:ascii="Verdana" w:hAnsi="Verdana" w:cs="Times New Roman"/>
          <w:b/>
          <w:i/>
          <w:sz w:val="20"/>
          <w:szCs w:val="20"/>
        </w:rPr>
      </w:pPr>
      <w:r>
        <w:rPr>
          <w:rFonts w:ascii="Verdana" w:hAnsi="Verdana" w:cs="Times New Roman"/>
          <w:b/>
          <w:i/>
          <w:sz w:val="20"/>
          <w:szCs w:val="20"/>
        </w:rPr>
        <w:t>A</w:t>
      </w:r>
      <w:r w:rsidRPr="00DD5787">
        <w:rPr>
          <w:rFonts w:ascii="Verdana" w:hAnsi="Verdana" w:cs="Times New Roman"/>
          <w:b/>
          <w:i/>
          <w:sz w:val="20"/>
          <w:szCs w:val="20"/>
        </w:rPr>
        <w:t>dmisibilidad del traslado de un peritaje rendido en el marco del</w:t>
      </w:r>
      <w:r w:rsidRPr="00DD5787">
        <w:rPr>
          <w:rFonts w:ascii="Verdana" w:hAnsi="Verdana" w:cs="Times New Roman"/>
          <w:b/>
          <w:bCs/>
          <w:i/>
          <w:iCs/>
          <w:sz w:val="20"/>
          <w:szCs w:val="20"/>
        </w:rPr>
        <w:t xml:space="preserve"> </w:t>
      </w:r>
      <w:r w:rsidR="00996F55">
        <w:rPr>
          <w:rFonts w:ascii="Verdana" w:hAnsi="Verdana" w:cs="Times New Roman"/>
          <w:b/>
          <w:bCs/>
          <w:i/>
          <w:iCs/>
          <w:sz w:val="20"/>
          <w:szCs w:val="20"/>
        </w:rPr>
        <w:t>c</w:t>
      </w:r>
      <w:r w:rsidRPr="00DD5787">
        <w:rPr>
          <w:rFonts w:ascii="Verdana" w:hAnsi="Verdana" w:cs="Times New Roman"/>
          <w:b/>
          <w:bCs/>
          <w:i/>
          <w:iCs/>
          <w:sz w:val="20"/>
          <w:szCs w:val="20"/>
        </w:rPr>
        <w:t xml:space="preserve">aso </w:t>
      </w:r>
      <w:r w:rsidR="00EC5585">
        <w:rPr>
          <w:rFonts w:ascii="Verdana" w:hAnsi="Verdana" w:cs="Times New Roman"/>
          <w:b/>
          <w:bCs/>
          <w:i/>
          <w:iCs/>
          <w:sz w:val="20"/>
          <w:szCs w:val="20"/>
        </w:rPr>
        <w:t>Espinoza Gonzáles</w:t>
      </w:r>
    </w:p>
    <w:p w14:paraId="172BBA67" w14:textId="77777777" w:rsidR="00BB44AC" w:rsidRPr="00BB44AC" w:rsidRDefault="00BB44AC" w:rsidP="009A226B">
      <w:pPr>
        <w:widowControl w:val="0"/>
        <w:tabs>
          <w:tab w:val="left" w:pos="567"/>
        </w:tabs>
        <w:autoSpaceDE w:val="0"/>
        <w:autoSpaceDN w:val="0"/>
        <w:adjustRightInd w:val="0"/>
        <w:spacing w:after="0" w:line="240" w:lineRule="auto"/>
        <w:ind w:right="22"/>
        <w:jc w:val="both"/>
        <w:rPr>
          <w:rFonts w:ascii="Verdana" w:hAnsi="Verdana" w:cs="Times New Roman"/>
          <w:b/>
          <w:i/>
          <w:sz w:val="20"/>
          <w:szCs w:val="20"/>
        </w:rPr>
      </w:pPr>
    </w:p>
    <w:p w14:paraId="039AB2F3" w14:textId="4AE6ED91" w:rsidR="00BB44AC" w:rsidRPr="00A9698F" w:rsidRDefault="00CD33AA" w:rsidP="009A226B">
      <w:pPr>
        <w:pStyle w:val="ListParagraph"/>
        <w:numPr>
          <w:ilvl w:val="0"/>
          <w:numId w:val="3"/>
        </w:numPr>
        <w:tabs>
          <w:tab w:val="left" w:pos="567"/>
        </w:tabs>
        <w:spacing w:after="0" w:line="240" w:lineRule="auto"/>
        <w:ind w:left="0" w:firstLine="0"/>
        <w:jc w:val="both"/>
        <w:rPr>
          <w:rFonts w:ascii="Verdana" w:hAnsi="Verdana"/>
          <w:b/>
          <w:bCs/>
          <w:iCs/>
          <w:sz w:val="20"/>
          <w:szCs w:val="20"/>
        </w:rPr>
      </w:pPr>
      <w:r>
        <w:rPr>
          <w:rFonts w:ascii="Verdana" w:hAnsi="Verdana"/>
          <w:bCs/>
          <w:iCs/>
          <w:sz w:val="20"/>
          <w:szCs w:val="20"/>
        </w:rPr>
        <w:t>L</w:t>
      </w:r>
      <w:r w:rsidR="00426042" w:rsidRPr="00A9698F">
        <w:rPr>
          <w:rFonts w:ascii="Verdana" w:hAnsi="Verdana"/>
          <w:bCs/>
          <w:iCs/>
          <w:sz w:val="20"/>
          <w:szCs w:val="20"/>
        </w:rPr>
        <w:t xml:space="preserve">os representantes solicitaron la incorporación </w:t>
      </w:r>
      <w:r w:rsidR="00426042" w:rsidRPr="00ED3795">
        <w:rPr>
          <w:rFonts w:ascii="Verdana" w:hAnsi="Verdana"/>
          <w:sz w:val="20"/>
          <w:szCs w:val="20"/>
        </w:rPr>
        <w:t xml:space="preserve">al </w:t>
      </w:r>
      <w:r w:rsidR="00880E65">
        <w:rPr>
          <w:rFonts w:ascii="Verdana" w:hAnsi="Verdana"/>
          <w:sz w:val="20"/>
          <w:szCs w:val="20"/>
        </w:rPr>
        <w:t>proceso del p</w:t>
      </w:r>
      <w:r w:rsidR="00426042" w:rsidRPr="00A9698F">
        <w:rPr>
          <w:rFonts w:ascii="Verdana" w:hAnsi="Verdana"/>
          <w:sz w:val="20"/>
          <w:szCs w:val="20"/>
        </w:rPr>
        <w:t>eritaje</w:t>
      </w:r>
      <w:r w:rsidR="00880E65">
        <w:rPr>
          <w:rFonts w:ascii="Verdana" w:hAnsi="Verdana"/>
          <w:sz w:val="20"/>
          <w:szCs w:val="20"/>
        </w:rPr>
        <w:t xml:space="preserve"> de Rebecca Cook</w:t>
      </w:r>
      <w:r w:rsidR="00C12030">
        <w:rPr>
          <w:rFonts w:ascii="Verdana" w:hAnsi="Verdana"/>
          <w:sz w:val="20"/>
          <w:szCs w:val="20"/>
        </w:rPr>
        <w:t xml:space="preserve">, rendido mediante </w:t>
      </w:r>
      <w:r w:rsidR="00E300F8">
        <w:rPr>
          <w:rFonts w:ascii="Verdana" w:hAnsi="Verdana"/>
          <w:sz w:val="20"/>
          <w:szCs w:val="20"/>
        </w:rPr>
        <w:t>af</w:t>
      </w:r>
      <w:r w:rsidR="00C12030">
        <w:rPr>
          <w:rFonts w:ascii="Verdana" w:hAnsi="Verdana"/>
          <w:sz w:val="20"/>
          <w:szCs w:val="20"/>
        </w:rPr>
        <w:t>idá</w:t>
      </w:r>
      <w:r w:rsidR="00880E65">
        <w:rPr>
          <w:rFonts w:ascii="Verdana" w:hAnsi="Verdana"/>
          <w:sz w:val="20"/>
          <w:szCs w:val="20"/>
        </w:rPr>
        <w:t xml:space="preserve">vit en el caso </w:t>
      </w:r>
      <w:r w:rsidR="00880E65" w:rsidRPr="00880E65">
        <w:rPr>
          <w:rFonts w:ascii="Verdana" w:hAnsi="Verdana"/>
          <w:i/>
          <w:sz w:val="20"/>
          <w:szCs w:val="20"/>
        </w:rPr>
        <w:t xml:space="preserve">Espinoza Gonzáles </w:t>
      </w:r>
      <w:r w:rsidR="005851D5">
        <w:rPr>
          <w:rFonts w:ascii="Verdana" w:hAnsi="Verdana"/>
          <w:i/>
          <w:sz w:val="20"/>
          <w:szCs w:val="20"/>
        </w:rPr>
        <w:t>V</w:t>
      </w:r>
      <w:r w:rsidR="00880E65" w:rsidRPr="00880E65">
        <w:rPr>
          <w:rFonts w:ascii="Verdana" w:hAnsi="Verdana"/>
          <w:i/>
          <w:sz w:val="20"/>
          <w:szCs w:val="20"/>
        </w:rPr>
        <w:t>s. Perú</w:t>
      </w:r>
      <w:r w:rsidR="00C12030" w:rsidRPr="00C12030">
        <w:rPr>
          <w:rFonts w:ascii="Verdana" w:hAnsi="Verdana"/>
          <w:sz w:val="20"/>
          <w:szCs w:val="20"/>
        </w:rPr>
        <w:t>, cuyo</w:t>
      </w:r>
      <w:r w:rsidR="00C12030">
        <w:rPr>
          <w:rFonts w:ascii="Verdana" w:hAnsi="Verdana"/>
          <w:sz w:val="20"/>
          <w:szCs w:val="20"/>
        </w:rPr>
        <w:t xml:space="preserve"> objeto era “el </w:t>
      </w:r>
      <w:r w:rsidR="00880E65">
        <w:rPr>
          <w:rFonts w:ascii="Verdana" w:hAnsi="Verdana"/>
          <w:sz w:val="20"/>
          <w:szCs w:val="20"/>
        </w:rPr>
        <w:t xml:space="preserve">papel que juegan las leyes, las políticas públicas y las prácticas estatales en la perpetuación </w:t>
      </w:r>
      <w:r w:rsidR="00880E65">
        <w:rPr>
          <w:rFonts w:ascii="Verdana" w:hAnsi="Verdana"/>
          <w:sz w:val="20"/>
          <w:szCs w:val="20"/>
        </w:rPr>
        <w:lastRenderedPageBreak/>
        <w:t xml:space="preserve">de los </w:t>
      </w:r>
      <w:r w:rsidR="007D1558">
        <w:rPr>
          <w:rFonts w:ascii="Verdana" w:hAnsi="Verdana"/>
          <w:sz w:val="20"/>
          <w:szCs w:val="20"/>
        </w:rPr>
        <w:t>estereotipos</w:t>
      </w:r>
      <w:r w:rsidR="00880E65">
        <w:rPr>
          <w:rFonts w:ascii="Verdana" w:hAnsi="Verdana"/>
          <w:sz w:val="20"/>
          <w:szCs w:val="20"/>
        </w:rPr>
        <w:t xml:space="preserve"> de género, así como el uso de </w:t>
      </w:r>
      <w:r w:rsidR="007D1558">
        <w:rPr>
          <w:rFonts w:ascii="Verdana" w:hAnsi="Verdana"/>
          <w:sz w:val="20"/>
          <w:szCs w:val="20"/>
        </w:rPr>
        <w:t>estereotipos</w:t>
      </w:r>
      <w:r w:rsidR="00880E65">
        <w:rPr>
          <w:rFonts w:ascii="Verdana" w:hAnsi="Verdana"/>
          <w:sz w:val="20"/>
          <w:szCs w:val="20"/>
        </w:rPr>
        <w:t xml:space="preserve"> por el poder judicial y su influencia en el análisis jurídico de casos que implican violencia contra la mujer”</w:t>
      </w:r>
      <w:r w:rsidR="00DF5B63">
        <w:rPr>
          <w:rStyle w:val="FootnoteReference"/>
          <w:rFonts w:ascii="Verdana" w:hAnsi="Verdana"/>
          <w:sz w:val="20"/>
          <w:szCs w:val="20"/>
        </w:rPr>
        <w:footnoteReference w:id="3"/>
      </w:r>
      <w:r w:rsidR="00880E65">
        <w:rPr>
          <w:rFonts w:ascii="Verdana" w:hAnsi="Verdana"/>
          <w:sz w:val="20"/>
          <w:szCs w:val="20"/>
        </w:rPr>
        <w:t xml:space="preserve">. </w:t>
      </w:r>
    </w:p>
    <w:p w14:paraId="60CFCA39" w14:textId="77777777" w:rsidR="00A9698F" w:rsidRPr="00A9698F" w:rsidRDefault="00A9698F" w:rsidP="009A226B">
      <w:pPr>
        <w:pStyle w:val="ListParagraph"/>
        <w:tabs>
          <w:tab w:val="left" w:pos="567"/>
        </w:tabs>
        <w:spacing w:after="0" w:line="240" w:lineRule="auto"/>
        <w:ind w:left="0"/>
        <w:jc w:val="both"/>
        <w:rPr>
          <w:rFonts w:ascii="Verdana" w:hAnsi="Verdana"/>
          <w:b/>
          <w:bCs/>
          <w:iCs/>
          <w:sz w:val="20"/>
          <w:szCs w:val="20"/>
        </w:rPr>
      </w:pPr>
    </w:p>
    <w:p w14:paraId="1E8DE485" w14:textId="29B73AFA" w:rsidR="00BB44AC" w:rsidRPr="00A9698F" w:rsidRDefault="00BB44AC" w:rsidP="009A226B">
      <w:pPr>
        <w:pStyle w:val="ListParagraph"/>
        <w:widowControl w:val="0"/>
        <w:numPr>
          <w:ilvl w:val="0"/>
          <w:numId w:val="3"/>
        </w:numPr>
        <w:tabs>
          <w:tab w:val="left" w:pos="0"/>
          <w:tab w:val="left" w:pos="567"/>
        </w:tabs>
        <w:autoSpaceDE w:val="0"/>
        <w:autoSpaceDN w:val="0"/>
        <w:adjustRightInd w:val="0"/>
        <w:spacing w:after="0" w:line="240" w:lineRule="auto"/>
        <w:ind w:left="0" w:right="22" w:firstLine="0"/>
        <w:contextualSpacing w:val="0"/>
        <w:jc w:val="both"/>
        <w:rPr>
          <w:rFonts w:ascii="Verdana" w:hAnsi="Verdana"/>
          <w:bCs/>
          <w:iCs/>
          <w:sz w:val="20"/>
          <w:szCs w:val="20"/>
        </w:rPr>
      </w:pPr>
      <w:r w:rsidRPr="00A9698F">
        <w:rPr>
          <w:rFonts w:ascii="Verdana" w:hAnsi="Verdana"/>
          <w:sz w:val="20"/>
          <w:szCs w:val="20"/>
        </w:rPr>
        <w:t>En primer lugar, el Presidente reitera que la incorporación de dictámenes periciales rendidos en otros casos al expediente de un caso en trámite no significa que tales elementos tengan el valor o peso probatorio de un dictamen pericial. De tal modo, en oportunidades anteriores la Presidencia de la Corte ha considerado pertinente el traslado de peritajes rendidos en otros casos, incluso contra Estados distintos, como elementos documentales para que la Corte determine su admisibilidad y valor probatorio en el momento procesal oportuno, tomando en consideración las observaciones presentadas por las partes en ejercicio de su derecho de defensa</w:t>
      </w:r>
      <w:r w:rsidRPr="00A9698F">
        <w:rPr>
          <w:rFonts w:ascii="Verdana" w:hAnsi="Verdana"/>
          <w:sz w:val="20"/>
          <w:szCs w:val="20"/>
          <w:vertAlign w:val="superscript"/>
        </w:rPr>
        <w:footnoteReference w:id="4"/>
      </w:r>
      <w:r w:rsidRPr="00A9698F">
        <w:rPr>
          <w:rFonts w:ascii="Verdana" w:hAnsi="Verdana"/>
          <w:sz w:val="20"/>
          <w:szCs w:val="20"/>
        </w:rPr>
        <w:t xml:space="preserve">. </w:t>
      </w:r>
    </w:p>
    <w:p w14:paraId="448486CD" w14:textId="77777777" w:rsidR="00BB44AC" w:rsidRPr="00A9698F" w:rsidRDefault="00BB44AC" w:rsidP="009A226B">
      <w:pPr>
        <w:pStyle w:val="ListParagraph"/>
        <w:tabs>
          <w:tab w:val="left" w:pos="567"/>
        </w:tabs>
        <w:spacing w:after="0" w:line="240" w:lineRule="auto"/>
        <w:ind w:left="0"/>
        <w:jc w:val="both"/>
        <w:rPr>
          <w:rFonts w:ascii="Verdana" w:hAnsi="Verdana"/>
          <w:sz w:val="20"/>
          <w:szCs w:val="20"/>
        </w:rPr>
      </w:pPr>
    </w:p>
    <w:p w14:paraId="2B344110" w14:textId="3FF26CF5" w:rsidR="00A9698F" w:rsidRPr="004B7966" w:rsidRDefault="003C2E75" w:rsidP="009A226B">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sz w:val="20"/>
          <w:szCs w:val="20"/>
        </w:rPr>
      </w:pPr>
      <w:bookmarkStart w:id="3" w:name="_Ref479622576"/>
      <w:r>
        <w:rPr>
          <w:rFonts w:ascii="Verdana" w:hAnsi="Verdana"/>
          <w:sz w:val="20"/>
          <w:szCs w:val="20"/>
        </w:rPr>
        <w:t xml:space="preserve">De manera que, </w:t>
      </w:r>
      <w:r w:rsidR="004B7966" w:rsidRPr="004B7966">
        <w:rPr>
          <w:rFonts w:ascii="Verdana" w:hAnsi="Verdana"/>
          <w:sz w:val="20"/>
          <w:szCs w:val="20"/>
        </w:rPr>
        <w:t>en atención a los principios de e</w:t>
      </w:r>
      <w:r w:rsidR="004B7966">
        <w:rPr>
          <w:rFonts w:ascii="Verdana" w:hAnsi="Verdana"/>
          <w:sz w:val="20"/>
          <w:szCs w:val="20"/>
        </w:rPr>
        <w:t>conomía y celeridad procesales,</w:t>
      </w:r>
      <w:r w:rsidR="004B7966" w:rsidRPr="004B7966">
        <w:rPr>
          <w:rFonts w:ascii="Verdana" w:hAnsi="Verdana"/>
          <w:sz w:val="20"/>
          <w:szCs w:val="20"/>
        </w:rPr>
        <w:t xml:space="preserve"> </w:t>
      </w:r>
      <w:r w:rsidR="00BB44AC" w:rsidRPr="004B7966">
        <w:rPr>
          <w:rFonts w:ascii="Verdana" w:hAnsi="Verdana"/>
          <w:sz w:val="20"/>
          <w:szCs w:val="20"/>
        </w:rPr>
        <w:t xml:space="preserve">esta Presidencia considera oportuno incorporar al acervo probatorio del presente caso, en lo que resulte pertinente, </w:t>
      </w:r>
      <w:r w:rsidR="004B7966" w:rsidRPr="004B7966">
        <w:rPr>
          <w:rFonts w:ascii="Verdana" w:hAnsi="Verdana"/>
          <w:sz w:val="20"/>
          <w:szCs w:val="20"/>
        </w:rPr>
        <w:t>el</w:t>
      </w:r>
      <w:r w:rsidR="00426042" w:rsidRPr="004B7966">
        <w:rPr>
          <w:rFonts w:ascii="Verdana" w:hAnsi="Verdana"/>
          <w:sz w:val="20"/>
          <w:szCs w:val="20"/>
        </w:rPr>
        <w:t xml:space="preserve"> peritaje rendido</w:t>
      </w:r>
      <w:r w:rsidR="00A9698F" w:rsidRPr="004B7966">
        <w:rPr>
          <w:rFonts w:ascii="Verdana" w:hAnsi="Verdana"/>
          <w:sz w:val="20"/>
          <w:szCs w:val="20"/>
        </w:rPr>
        <w:t xml:space="preserve"> por </w:t>
      </w:r>
      <w:r w:rsidR="00992076" w:rsidRPr="004B7966">
        <w:rPr>
          <w:rFonts w:ascii="Verdana" w:hAnsi="Verdana"/>
          <w:sz w:val="20"/>
          <w:szCs w:val="20"/>
        </w:rPr>
        <w:t>Rebecca Cook en el</w:t>
      </w:r>
      <w:r w:rsidR="00A9698F" w:rsidRPr="004B7966">
        <w:rPr>
          <w:rFonts w:ascii="Verdana" w:hAnsi="Verdana"/>
          <w:sz w:val="20"/>
          <w:szCs w:val="20"/>
        </w:rPr>
        <w:t xml:space="preserve"> </w:t>
      </w:r>
      <w:r w:rsidR="00AF1E16" w:rsidRPr="00AF1E16">
        <w:rPr>
          <w:rFonts w:ascii="Verdana" w:hAnsi="Verdana"/>
          <w:iCs/>
          <w:sz w:val="20"/>
          <w:szCs w:val="20"/>
        </w:rPr>
        <w:t>c</w:t>
      </w:r>
      <w:r w:rsidR="00A9698F" w:rsidRPr="00AF1E16">
        <w:rPr>
          <w:rFonts w:ascii="Verdana" w:hAnsi="Verdana"/>
          <w:iCs/>
          <w:sz w:val="20"/>
          <w:szCs w:val="20"/>
        </w:rPr>
        <w:t>aso</w:t>
      </w:r>
      <w:r w:rsidR="00A9698F" w:rsidRPr="004B7966">
        <w:rPr>
          <w:rFonts w:ascii="Verdana" w:hAnsi="Verdana"/>
          <w:i/>
          <w:iCs/>
          <w:sz w:val="20"/>
          <w:szCs w:val="20"/>
        </w:rPr>
        <w:t xml:space="preserve"> </w:t>
      </w:r>
      <w:r w:rsidR="00992076" w:rsidRPr="004B7966">
        <w:rPr>
          <w:rFonts w:ascii="Verdana" w:hAnsi="Verdana"/>
          <w:i/>
          <w:iCs/>
          <w:sz w:val="20"/>
          <w:szCs w:val="20"/>
        </w:rPr>
        <w:t>Espinoza Gonzáles V</w:t>
      </w:r>
      <w:r w:rsidR="005020C1" w:rsidRPr="004B7966">
        <w:rPr>
          <w:rFonts w:ascii="Verdana" w:hAnsi="Verdana"/>
          <w:i/>
          <w:iCs/>
          <w:sz w:val="20"/>
          <w:szCs w:val="20"/>
        </w:rPr>
        <w:t>s</w:t>
      </w:r>
      <w:r w:rsidR="00992076" w:rsidRPr="004B7966">
        <w:rPr>
          <w:rFonts w:ascii="Verdana" w:hAnsi="Verdana"/>
          <w:i/>
          <w:iCs/>
          <w:sz w:val="20"/>
          <w:szCs w:val="20"/>
        </w:rPr>
        <w:t>. Perú</w:t>
      </w:r>
      <w:r w:rsidR="00BB44AC" w:rsidRPr="004B7966">
        <w:rPr>
          <w:rFonts w:ascii="Verdana" w:hAnsi="Verdana"/>
          <w:sz w:val="20"/>
          <w:szCs w:val="20"/>
        </w:rPr>
        <w:t>,</w:t>
      </w:r>
      <w:r w:rsidR="00A9698F" w:rsidRPr="004B7966">
        <w:rPr>
          <w:rFonts w:ascii="Verdana" w:hAnsi="Verdana"/>
          <w:sz w:val="20"/>
          <w:szCs w:val="20"/>
        </w:rPr>
        <w:t xml:space="preserve"> </w:t>
      </w:r>
      <w:r w:rsidR="00E300F8">
        <w:rPr>
          <w:rFonts w:ascii="Verdana" w:hAnsi="Verdana"/>
          <w:sz w:val="20"/>
          <w:szCs w:val="20"/>
        </w:rPr>
        <w:t xml:space="preserve">mediante afidávit, </w:t>
      </w:r>
      <w:r w:rsidR="00A9698F" w:rsidRPr="004B7966">
        <w:rPr>
          <w:rFonts w:ascii="Verdana" w:hAnsi="Verdana"/>
          <w:sz w:val="20"/>
          <w:szCs w:val="20"/>
        </w:rPr>
        <w:t>toda vez que podría resultar útil para la resolución del presente caso</w:t>
      </w:r>
      <w:r w:rsidR="00A9698F" w:rsidRPr="00A9698F">
        <w:rPr>
          <w:rStyle w:val="FootnoteReference"/>
          <w:rFonts w:ascii="Verdana" w:hAnsi="Verdana"/>
          <w:sz w:val="20"/>
          <w:szCs w:val="20"/>
        </w:rPr>
        <w:footnoteReference w:id="5"/>
      </w:r>
      <w:r w:rsidR="00BB44AC" w:rsidRPr="004B7966">
        <w:rPr>
          <w:rFonts w:ascii="Verdana" w:hAnsi="Verdana"/>
          <w:sz w:val="20"/>
          <w:szCs w:val="20"/>
        </w:rPr>
        <w:t xml:space="preserve">. </w:t>
      </w:r>
      <w:r w:rsidR="00BB44AC" w:rsidRPr="004B7966">
        <w:rPr>
          <w:rFonts w:ascii="Verdana" w:hAnsi="Verdana"/>
          <w:sz w:val="20"/>
          <w:szCs w:val="20"/>
          <w:lang w:val="es-ES"/>
        </w:rPr>
        <w:t>En tanto dicho dictamen es prueba documental a efectos del presente caso, las partes podrán referirse al mismo en sus alegatos finales</w:t>
      </w:r>
      <w:r w:rsidR="005020C1" w:rsidRPr="004B7966">
        <w:rPr>
          <w:rFonts w:ascii="Verdana" w:hAnsi="Verdana"/>
          <w:sz w:val="20"/>
          <w:szCs w:val="20"/>
          <w:lang w:val="es-ES"/>
        </w:rPr>
        <w:t xml:space="preserve"> escritos u orales</w:t>
      </w:r>
      <w:r w:rsidR="00BB44AC" w:rsidRPr="004B7966">
        <w:rPr>
          <w:rFonts w:ascii="Verdana" w:hAnsi="Verdana"/>
          <w:sz w:val="20"/>
          <w:szCs w:val="20"/>
          <w:lang w:val="es-ES"/>
        </w:rPr>
        <w:t>.</w:t>
      </w:r>
      <w:bookmarkEnd w:id="3"/>
      <w:r w:rsidR="00BB44AC" w:rsidRPr="004B7966">
        <w:rPr>
          <w:rFonts w:ascii="Verdana" w:hAnsi="Verdana"/>
          <w:sz w:val="20"/>
          <w:szCs w:val="20"/>
          <w:lang w:val="es-ES"/>
        </w:rPr>
        <w:t xml:space="preserve"> </w:t>
      </w:r>
    </w:p>
    <w:p w14:paraId="02A6560D" w14:textId="77777777" w:rsidR="00160E30" w:rsidRPr="00160E30" w:rsidRDefault="00160E30" w:rsidP="009A226B">
      <w:pPr>
        <w:widowControl w:val="0"/>
        <w:tabs>
          <w:tab w:val="left" w:pos="0"/>
          <w:tab w:val="left" w:pos="567"/>
        </w:tabs>
        <w:autoSpaceDE w:val="0"/>
        <w:autoSpaceDN w:val="0"/>
        <w:adjustRightInd w:val="0"/>
        <w:spacing w:after="0" w:line="240" w:lineRule="auto"/>
        <w:ind w:right="22"/>
        <w:jc w:val="both"/>
        <w:rPr>
          <w:rFonts w:ascii="Verdana" w:hAnsi="Verdana"/>
          <w:bCs/>
          <w:i/>
          <w:iCs/>
          <w:sz w:val="20"/>
          <w:szCs w:val="20"/>
        </w:rPr>
      </w:pPr>
    </w:p>
    <w:p w14:paraId="423FE566" w14:textId="05D8AF34" w:rsidR="00160E30" w:rsidRPr="00160E30" w:rsidRDefault="00865380" w:rsidP="009A226B">
      <w:pPr>
        <w:pStyle w:val="ListParagraph"/>
        <w:widowControl w:val="0"/>
        <w:numPr>
          <w:ilvl w:val="0"/>
          <w:numId w:val="27"/>
        </w:numPr>
        <w:tabs>
          <w:tab w:val="left" w:pos="0"/>
          <w:tab w:val="left" w:pos="567"/>
        </w:tabs>
        <w:autoSpaceDE w:val="0"/>
        <w:autoSpaceDN w:val="0"/>
        <w:adjustRightInd w:val="0"/>
        <w:spacing w:after="0" w:line="240" w:lineRule="auto"/>
        <w:ind w:right="22"/>
        <w:contextualSpacing w:val="0"/>
        <w:jc w:val="both"/>
        <w:rPr>
          <w:rFonts w:ascii="Verdana" w:hAnsi="Verdana"/>
          <w:b/>
          <w:bCs/>
          <w:i/>
          <w:iCs/>
          <w:sz w:val="20"/>
          <w:szCs w:val="20"/>
        </w:rPr>
      </w:pPr>
      <w:r>
        <w:rPr>
          <w:rFonts w:ascii="Verdana" w:hAnsi="Verdana"/>
          <w:b/>
          <w:bCs/>
          <w:i/>
          <w:iCs/>
          <w:sz w:val="20"/>
          <w:szCs w:val="20"/>
        </w:rPr>
        <w:t xml:space="preserve"> </w:t>
      </w:r>
      <w:r w:rsidR="00160E30" w:rsidRPr="00160E30">
        <w:rPr>
          <w:rFonts w:ascii="Verdana" w:hAnsi="Verdana"/>
          <w:b/>
          <w:bCs/>
          <w:i/>
          <w:iCs/>
          <w:sz w:val="20"/>
          <w:szCs w:val="20"/>
        </w:rPr>
        <w:t>Aplicación del Fondo de Asistencia Legal de Víctimas ante la Corte</w:t>
      </w:r>
    </w:p>
    <w:p w14:paraId="28504822" w14:textId="77777777" w:rsidR="00160E30" w:rsidRDefault="00160E30"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2AEC152C" w14:textId="43A4991A" w:rsidR="00160E30" w:rsidRDefault="00160E30" w:rsidP="009A226B">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60E30">
        <w:rPr>
          <w:rFonts w:ascii="Verdana" w:hAnsi="Verdana"/>
          <w:bCs/>
          <w:iCs/>
          <w:sz w:val="20"/>
          <w:szCs w:val="20"/>
        </w:rPr>
        <w:t>En la Resolución adoptada por esta Presi</w:t>
      </w:r>
      <w:r w:rsidR="00487FF6">
        <w:rPr>
          <w:rFonts w:ascii="Verdana" w:hAnsi="Verdana"/>
          <w:bCs/>
          <w:iCs/>
          <w:sz w:val="20"/>
          <w:szCs w:val="20"/>
        </w:rPr>
        <w:t>dencia de 21 de mayo de 2017</w:t>
      </w:r>
      <w:r w:rsidRPr="00160E30">
        <w:rPr>
          <w:rFonts w:ascii="Verdana" w:hAnsi="Verdana"/>
          <w:bCs/>
          <w:iCs/>
          <w:sz w:val="20"/>
          <w:szCs w:val="20"/>
        </w:rPr>
        <w:t xml:space="preserve"> (</w:t>
      </w:r>
      <w:r w:rsidRPr="00FC72B9">
        <w:rPr>
          <w:rFonts w:ascii="Verdana" w:hAnsi="Verdana"/>
          <w:bCs/>
          <w:i/>
          <w:iCs/>
          <w:sz w:val="20"/>
          <w:szCs w:val="20"/>
        </w:rPr>
        <w:t>supra</w:t>
      </w:r>
      <w:r w:rsidRPr="00160E30">
        <w:rPr>
          <w:rFonts w:ascii="Verdana" w:hAnsi="Verdana"/>
          <w:bCs/>
          <w:iCs/>
          <w:sz w:val="20"/>
          <w:szCs w:val="20"/>
        </w:rPr>
        <w:t xml:space="preserve"> Visto</w:t>
      </w:r>
      <w:r w:rsidR="00BA6210">
        <w:rPr>
          <w:rFonts w:ascii="Verdana" w:hAnsi="Verdana"/>
          <w:bCs/>
          <w:iCs/>
          <w:sz w:val="20"/>
          <w:szCs w:val="20"/>
        </w:rPr>
        <w:t xml:space="preserve"> </w:t>
      </w:r>
      <w:r w:rsidR="005020C1">
        <w:rPr>
          <w:rFonts w:ascii="Verdana" w:hAnsi="Verdana"/>
          <w:bCs/>
          <w:iCs/>
          <w:sz w:val="20"/>
          <w:szCs w:val="20"/>
        </w:rPr>
        <w:fldChar w:fldCharType="begin"/>
      </w:r>
      <w:r w:rsidR="005020C1">
        <w:rPr>
          <w:rFonts w:ascii="Verdana" w:hAnsi="Verdana"/>
          <w:bCs/>
          <w:iCs/>
          <w:sz w:val="20"/>
          <w:szCs w:val="20"/>
        </w:rPr>
        <w:instrText xml:space="preserve"> REF _Ref479170533 \r \h </w:instrText>
      </w:r>
      <w:r w:rsidR="009A226B">
        <w:rPr>
          <w:rFonts w:ascii="Verdana" w:hAnsi="Verdana"/>
          <w:bCs/>
          <w:iCs/>
          <w:sz w:val="20"/>
          <w:szCs w:val="20"/>
        </w:rPr>
        <w:instrText xml:space="preserve"> \* MERGEFORMAT </w:instrText>
      </w:r>
      <w:r w:rsidR="005020C1">
        <w:rPr>
          <w:rFonts w:ascii="Verdana" w:hAnsi="Verdana"/>
          <w:bCs/>
          <w:iCs/>
          <w:sz w:val="20"/>
          <w:szCs w:val="20"/>
        </w:rPr>
      </w:r>
      <w:r w:rsidR="005020C1">
        <w:rPr>
          <w:rFonts w:ascii="Verdana" w:hAnsi="Verdana"/>
          <w:bCs/>
          <w:iCs/>
          <w:sz w:val="20"/>
          <w:szCs w:val="20"/>
        </w:rPr>
        <w:fldChar w:fldCharType="separate"/>
      </w:r>
      <w:r w:rsidR="005D5C00">
        <w:rPr>
          <w:rFonts w:ascii="Verdana" w:hAnsi="Verdana"/>
          <w:bCs/>
          <w:iCs/>
          <w:sz w:val="20"/>
          <w:szCs w:val="20"/>
        </w:rPr>
        <w:t>3</w:t>
      </w:r>
      <w:r w:rsidR="005020C1">
        <w:rPr>
          <w:rFonts w:ascii="Verdana" w:hAnsi="Verdana"/>
          <w:bCs/>
          <w:iCs/>
          <w:sz w:val="20"/>
          <w:szCs w:val="20"/>
        </w:rPr>
        <w:fldChar w:fldCharType="end"/>
      </w:r>
      <w:r w:rsidRPr="00160E30">
        <w:rPr>
          <w:rFonts w:ascii="Verdana" w:hAnsi="Verdana"/>
          <w:bCs/>
          <w:iCs/>
          <w:sz w:val="20"/>
          <w:szCs w:val="20"/>
        </w:rPr>
        <w:t xml:space="preserve">), se resolvió declarar procedente la solicitud realizada para acogerse al Fondo de Asistencia Legal de Víctimas de la Corte Interamericana. En dicha Resolución se resolvió que se otorgaría a las </w:t>
      </w:r>
      <w:r w:rsidR="009D6F17">
        <w:rPr>
          <w:rFonts w:ascii="Verdana" w:hAnsi="Verdana"/>
          <w:bCs/>
          <w:iCs/>
          <w:sz w:val="20"/>
          <w:szCs w:val="20"/>
        </w:rPr>
        <w:t xml:space="preserve">solicitantes </w:t>
      </w:r>
      <w:r w:rsidRPr="00160E30">
        <w:rPr>
          <w:rFonts w:ascii="Verdana" w:hAnsi="Verdana"/>
          <w:bCs/>
          <w:iCs/>
          <w:sz w:val="20"/>
          <w:szCs w:val="20"/>
        </w:rPr>
        <w:t xml:space="preserve">el apoyo económico necesario para </w:t>
      </w:r>
      <w:r w:rsidR="00605EAB">
        <w:rPr>
          <w:rFonts w:ascii="Verdana" w:hAnsi="Verdana"/>
          <w:bCs/>
          <w:iCs/>
          <w:sz w:val="20"/>
          <w:szCs w:val="20"/>
        </w:rPr>
        <w:t xml:space="preserve">la presentación de cinco </w:t>
      </w:r>
      <w:r w:rsidRPr="00160E30">
        <w:rPr>
          <w:rFonts w:ascii="Verdana" w:hAnsi="Verdana"/>
          <w:bCs/>
          <w:iCs/>
          <w:sz w:val="20"/>
          <w:szCs w:val="20"/>
        </w:rPr>
        <w:t xml:space="preserve">declaraciones, ya </w:t>
      </w:r>
      <w:r w:rsidR="00571704">
        <w:rPr>
          <w:rFonts w:ascii="Verdana" w:hAnsi="Verdana"/>
          <w:bCs/>
          <w:iCs/>
          <w:sz w:val="20"/>
          <w:szCs w:val="20"/>
        </w:rPr>
        <w:t>fuera</w:t>
      </w:r>
      <w:r w:rsidR="00A01EAC">
        <w:rPr>
          <w:rFonts w:ascii="Verdana" w:hAnsi="Verdana"/>
          <w:bCs/>
          <w:iCs/>
          <w:sz w:val="20"/>
          <w:szCs w:val="20"/>
        </w:rPr>
        <w:t xml:space="preserve"> en audiencia o por afidávit.</w:t>
      </w:r>
      <w:r w:rsidRPr="00160E30">
        <w:rPr>
          <w:rFonts w:ascii="Verdana" w:hAnsi="Verdana"/>
          <w:bCs/>
          <w:iCs/>
          <w:sz w:val="20"/>
          <w:szCs w:val="20"/>
        </w:rPr>
        <w:t xml:space="preserve"> Corresponde seguidamente precisar el monto, destino y objeto específicos de dicha asistencia.</w:t>
      </w:r>
    </w:p>
    <w:p w14:paraId="3DF50423" w14:textId="77777777" w:rsidR="00160E30" w:rsidRDefault="00160E30"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26AA08F9" w14:textId="5054D53B" w:rsidR="00160E30" w:rsidRDefault="00160E30" w:rsidP="009A226B">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bookmarkStart w:id="4" w:name="_Ref477387580"/>
      <w:r w:rsidRPr="00241D46">
        <w:rPr>
          <w:rFonts w:ascii="Verdana" w:hAnsi="Verdana"/>
          <w:bCs/>
          <w:iCs/>
          <w:sz w:val="20"/>
          <w:szCs w:val="20"/>
        </w:rPr>
        <w:t xml:space="preserve">El Presidente dispone que la asistencia económica estará asignada para cubrir los gastos de viaje y estadía necesarios </w:t>
      </w:r>
      <w:r w:rsidR="00DA5B2D" w:rsidRPr="00241D46">
        <w:rPr>
          <w:rFonts w:ascii="Verdana" w:hAnsi="Verdana"/>
          <w:bCs/>
          <w:iCs/>
          <w:sz w:val="20"/>
          <w:szCs w:val="20"/>
        </w:rPr>
        <w:t xml:space="preserve">para que </w:t>
      </w:r>
      <w:r w:rsidR="00241D46" w:rsidRPr="00241D46">
        <w:rPr>
          <w:rFonts w:ascii="Verdana" w:hAnsi="Verdana"/>
          <w:bCs/>
          <w:iCs/>
          <w:sz w:val="20"/>
          <w:szCs w:val="20"/>
        </w:rPr>
        <w:t xml:space="preserve">Norma Aidé Jiménez Osorio, Claudia Hernández Martínez, Bárbara Italia Méndez Moreno, Angélica Patricia Torres Linares y Suhelen Gabriela Cuavas Jaramillo </w:t>
      </w:r>
      <w:r w:rsidRPr="00241D46">
        <w:rPr>
          <w:rFonts w:ascii="Verdana" w:hAnsi="Verdana"/>
          <w:bCs/>
          <w:iCs/>
          <w:sz w:val="20"/>
          <w:szCs w:val="20"/>
        </w:rPr>
        <w:t>comparezca</w:t>
      </w:r>
      <w:r w:rsidR="00DA5B2D" w:rsidRPr="00241D46">
        <w:rPr>
          <w:rFonts w:ascii="Verdana" w:hAnsi="Verdana"/>
          <w:bCs/>
          <w:iCs/>
          <w:sz w:val="20"/>
          <w:szCs w:val="20"/>
        </w:rPr>
        <w:t>n</w:t>
      </w:r>
      <w:r w:rsidRPr="00241D46">
        <w:rPr>
          <w:rFonts w:ascii="Verdana" w:hAnsi="Verdana"/>
          <w:bCs/>
          <w:iCs/>
          <w:sz w:val="20"/>
          <w:szCs w:val="20"/>
        </w:rPr>
        <w:t xml:space="preserve"> ante el Tribunal a rendir su declaración en la audiencia pública por celebrarse en el presente caso. </w:t>
      </w:r>
      <w:bookmarkEnd w:id="4"/>
    </w:p>
    <w:p w14:paraId="74D4F6D6" w14:textId="77777777" w:rsidR="00241D46" w:rsidRPr="00241D46" w:rsidRDefault="00241D46"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64270A0D" w14:textId="72FA0A27" w:rsidR="00160E30" w:rsidRDefault="00160E30" w:rsidP="009A226B">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60E30">
        <w:rPr>
          <w:rFonts w:ascii="Verdana" w:hAnsi="Verdana"/>
          <w:bCs/>
          <w:iCs/>
          <w:sz w:val="20"/>
          <w:szCs w:val="20"/>
        </w:rPr>
        <w:t>La Corte realizará las gestiones pertinentes y necesarias para cubrir los costos de traslado, alojamiento y manutención de la</w:t>
      </w:r>
      <w:r w:rsidR="00A01EAC">
        <w:rPr>
          <w:rFonts w:ascii="Verdana" w:hAnsi="Verdana"/>
          <w:bCs/>
          <w:iCs/>
          <w:sz w:val="20"/>
          <w:szCs w:val="20"/>
        </w:rPr>
        <w:t>s</w:t>
      </w:r>
      <w:r w:rsidRPr="00160E30">
        <w:rPr>
          <w:rFonts w:ascii="Verdana" w:hAnsi="Verdana"/>
          <w:bCs/>
          <w:iCs/>
          <w:sz w:val="20"/>
          <w:szCs w:val="20"/>
        </w:rPr>
        <w:t xml:space="preserve"> persona</w:t>
      </w:r>
      <w:r w:rsidR="00A01EAC">
        <w:rPr>
          <w:rFonts w:ascii="Verdana" w:hAnsi="Verdana"/>
          <w:bCs/>
          <w:iCs/>
          <w:sz w:val="20"/>
          <w:szCs w:val="20"/>
        </w:rPr>
        <w:t>s</w:t>
      </w:r>
      <w:r w:rsidRPr="00160E30">
        <w:rPr>
          <w:rFonts w:ascii="Verdana" w:hAnsi="Verdana"/>
          <w:bCs/>
          <w:iCs/>
          <w:sz w:val="20"/>
          <w:szCs w:val="20"/>
        </w:rPr>
        <w:t xml:space="preserve"> compareciente</w:t>
      </w:r>
      <w:r w:rsidR="00A01EAC">
        <w:rPr>
          <w:rFonts w:ascii="Verdana" w:hAnsi="Verdana"/>
          <w:bCs/>
          <w:iCs/>
          <w:sz w:val="20"/>
          <w:szCs w:val="20"/>
        </w:rPr>
        <w:t>s</w:t>
      </w:r>
      <w:r w:rsidRPr="00160E30">
        <w:rPr>
          <w:rFonts w:ascii="Verdana" w:hAnsi="Verdana"/>
          <w:bCs/>
          <w:iCs/>
          <w:sz w:val="20"/>
          <w:szCs w:val="20"/>
        </w:rPr>
        <w:t xml:space="preserve"> con recursos provenientes del Fondo de Asistencia. </w:t>
      </w:r>
    </w:p>
    <w:p w14:paraId="48B98D82" w14:textId="77777777" w:rsidR="00160E30" w:rsidRDefault="00160E30"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11768693" w14:textId="02BFBC35" w:rsidR="00160E30" w:rsidRPr="00160E30" w:rsidRDefault="00160E30" w:rsidP="009A226B">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60E30">
        <w:rPr>
          <w:rFonts w:ascii="Verdana" w:hAnsi="Verdana"/>
          <w:bCs/>
          <w:iCs/>
          <w:sz w:val="20"/>
          <w:szCs w:val="20"/>
        </w:rPr>
        <w:t>Según lo requerido por el artículo 4 del Reglamento de la Corte sobre el Funcionamiento del Fondo de Asistencia, se dispone que l</w:t>
      </w:r>
      <w:r w:rsidR="005020C1">
        <w:rPr>
          <w:rFonts w:ascii="Verdana" w:hAnsi="Verdana"/>
          <w:bCs/>
          <w:iCs/>
          <w:sz w:val="20"/>
          <w:szCs w:val="20"/>
        </w:rPr>
        <w:t xml:space="preserve">a Secretaría abra un expediente </w:t>
      </w:r>
      <w:r w:rsidR="00482A2E">
        <w:rPr>
          <w:rFonts w:ascii="Verdana" w:hAnsi="Verdana"/>
          <w:bCs/>
          <w:iCs/>
          <w:sz w:val="20"/>
          <w:szCs w:val="20"/>
        </w:rPr>
        <w:t xml:space="preserve">de gastos con el fin </w:t>
      </w:r>
      <w:r w:rsidRPr="00160E30">
        <w:rPr>
          <w:rFonts w:ascii="Verdana" w:hAnsi="Verdana"/>
          <w:bCs/>
          <w:iCs/>
          <w:sz w:val="20"/>
          <w:szCs w:val="20"/>
        </w:rPr>
        <w:t>de llevar la contabilidad y en el cual</w:t>
      </w:r>
      <w:r w:rsidR="005020C1">
        <w:rPr>
          <w:rFonts w:ascii="Verdana" w:hAnsi="Verdana"/>
          <w:bCs/>
          <w:iCs/>
          <w:sz w:val="20"/>
          <w:szCs w:val="20"/>
        </w:rPr>
        <w:t xml:space="preserve"> se documentará cada una de las </w:t>
      </w:r>
      <w:r w:rsidRPr="00160E30">
        <w:rPr>
          <w:rFonts w:ascii="Verdana" w:hAnsi="Verdana"/>
          <w:bCs/>
          <w:iCs/>
          <w:sz w:val="20"/>
          <w:szCs w:val="20"/>
        </w:rPr>
        <w:t xml:space="preserve">erogaciones que se realicen en relación con el referido Fondo. </w:t>
      </w:r>
    </w:p>
    <w:p w14:paraId="0B1580C9" w14:textId="77777777" w:rsidR="00160E30" w:rsidRDefault="00160E30"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52FA4828" w14:textId="77777777" w:rsidR="00160E30" w:rsidRPr="00160E30" w:rsidRDefault="00160E30" w:rsidP="009A226B">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60E30">
        <w:rPr>
          <w:rFonts w:ascii="Verdana" w:hAnsi="Verdana"/>
          <w:bCs/>
          <w:iCs/>
          <w:sz w:val="20"/>
          <w:szCs w:val="20"/>
        </w:rPr>
        <w:lastRenderedPageBreak/>
        <w:t>Finalmente, el Presidente recuerda que, según el artículo 5 del Reglamento del Fondo, se informará oportunamente al Estado demandado las erogaciones realizadas en aplicación del Fondo de Asistencia Legal de Víctimas, para que presente sus observaciones, si así lo desea, dentro del plazo que se establezca al efecto.</w:t>
      </w:r>
    </w:p>
    <w:p w14:paraId="51184444" w14:textId="77777777" w:rsidR="00A01EAC" w:rsidRPr="00865380" w:rsidRDefault="00A01EAC"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14:paraId="07FAEB70" w14:textId="77777777" w:rsidR="00802BD5" w:rsidRP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POR TANTO:</w:t>
      </w:r>
    </w:p>
    <w:p w14:paraId="4026EE32" w14:textId="77777777" w:rsidR="00802BD5" w:rsidRPr="00802BD5" w:rsidRDefault="00802BD5" w:rsidP="009A226B">
      <w:pPr>
        <w:tabs>
          <w:tab w:val="left" w:pos="567"/>
        </w:tabs>
        <w:spacing w:after="0" w:line="240" w:lineRule="auto"/>
        <w:jc w:val="both"/>
        <w:rPr>
          <w:rFonts w:ascii="Verdana" w:eastAsia="Calibri" w:hAnsi="Verdana" w:cs="Verdana"/>
          <w:b/>
          <w:bCs/>
          <w:sz w:val="20"/>
          <w:szCs w:val="20"/>
        </w:rPr>
      </w:pPr>
    </w:p>
    <w:p w14:paraId="308CCB15" w14:textId="77777777" w:rsidR="00802BD5" w:rsidRP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 xml:space="preserve">EL PRESIDENTE DE LA CORTE INTERAMERICANA DE DERECHOS HUMANOS, </w:t>
      </w:r>
    </w:p>
    <w:p w14:paraId="2457B315" w14:textId="77777777" w:rsidR="00802BD5" w:rsidRPr="00802BD5" w:rsidRDefault="00802BD5" w:rsidP="009A226B">
      <w:pPr>
        <w:tabs>
          <w:tab w:val="left" w:pos="567"/>
        </w:tabs>
        <w:spacing w:after="0" w:line="240" w:lineRule="auto"/>
        <w:jc w:val="both"/>
        <w:rPr>
          <w:rFonts w:ascii="Verdana" w:eastAsia="Calibri" w:hAnsi="Verdana" w:cs="Verdana"/>
          <w:b/>
          <w:bCs/>
          <w:sz w:val="20"/>
          <w:szCs w:val="20"/>
        </w:rPr>
      </w:pPr>
    </w:p>
    <w:p w14:paraId="537DE6EC" w14:textId="5D597696" w:rsidR="00802BD5" w:rsidRPr="00802BD5" w:rsidRDefault="00802BD5" w:rsidP="009A226B">
      <w:pPr>
        <w:tabs>
          <w:tab w:val="left" w:pos="567"/>
        </w:tabs>
        <w:spacing w:after="0" w:line="240" w:lineRule="auto"/>
        <w:jc w:val="both"/>
        <w:rPr>
          <w:rFonts w:ascii="Verdana" w:eastAsia="Calibri" w:hAnsi="Verdana" w:cs="Verdana"/>
          <w:sz w:val="20"/>
          <w:szCs w:val="20"/>
        </w:rPr>
      </w:pPr>
      <w:r w:rsidRPr="00802BD5">
        <w:rPr>
          <w:rFonts w:ascii="Verdana" w:eastAsia="Calibri" w:hAnsi="Verdana" w:cs="Verdana"/>
          <w:sz w:val="20"/>
          <w:szCs w:val="20"/>
        </w:rPr>
        <w:t xml:space="preserve">de conformidad con los artículos 24.1 y 25.2 del Estatuto de la Corte y con los artículos 4, 15.1, 26.1, 31.2, 35.1, 40.2, 41.1, </w:t>
      </w:r>
      <w:r w:rsidR="00E300F8">
        <w:rPr>
          <w:rFonts w:ascii="Verdana" w:eastAsia="Calibri" w:hAnsi="Verdana" w:cs="Verdana"/>
          <w:sz w:val="20"/>
          <w:szCs w:val="20"/>
        </w:rPr>
        <w:t>42, 45</w:t>
      </w:r>
      <w:r w:rsidRPr="00802BD5">
        <w:rPr>
          <w:rFonts w:ascii="Verdana" w:eastAsia="Calibri" w:hAnsi="Verdana" w:cs="Verdana"/>
          <w:sz w:val="20"/>
          <w:szCs w:val="20"/>
        </w:rPr>
        <w:t xml:space="preserve">, </w:t>
      </w:r>
      <w:r w:rsidR="00E300F8">
        <w:rPr>
          <w:rFonts w:ascii="Verdana" w:eastAsia="Calibri" w:hAnsi="Verdana" w:cs="Verdana"/>
          <w:sz w:val="20"/>
          <w:szCs w:val="20"/>
        </w:rPr>
        <w:t xml:space="preserve">46, </w:t>
      </w:r>
      <w:r w:rsidR="00571704">
        <w:rPr>
          <w:rFonts w:ascii="Verdana" w:eastAsia="Calibri" w:hAnsi="Verdana" w:cs="Verdana"/>
          <w:sz w:val="20"/>
          <w:szCs w:val="20"/>
        </w:rPr>
        <w:t>50 a 56,</w:t>
      </w:r>
      <w:r w:rsidRPr="00802BD5">
        <w:rPr>
          <w:rFonts w:ascii="Verdana" w:eastAsia="Calibri" w:hAnsi="Verdana" w:cs="Verdana"/>
          <w:sz w:val="20"/>
          <w:szCs w:val="20"/>
        </w:rPr>
        <w:t xml:space="preserve"> 60</w:t>
      </w:r>
      <w:r w:rsidR="00571704">
        <w:rPr>
          <w:rFonts w:ascii="Verdana" w:eastAsia="Calibri" w:hAnsi="Verdana" w:cs="Verdana"/>
          <w:sz w:val="20"/>
          <w:szCs w:val="20"/>
        </w:rPr>
        <w:t xml:space="preserve"> y 62</w:t>
      </w:r>
      <w:r w:rsidRPr="00802BD5">
        <w:rPr>
          <w:rFonts w:ascii="Verdana" w:eastAsia="Calibri" w:hAnsi="Verdana" w:cs="Verdana"/>
          <w:sz w:val="20"/>
          <w:szCs w:val="20"/>
        </w:rPr>
        <w:t xml:space="preserve"> del Reglamento, </w:t>
      </w:r>
    </w:p>
    <w:p w14:paraId="2010D1B7" w14:textId="77777777" w:rsidR="00802BD5" w:rsidRPr="00802BD5" w:rsidRDefault="00802BD5" w:rsidP="009A226B">
      <w:pPr>
        <w:tabs>
          <w:tab w:val="left" w:pos="567"/>
        </w:tabs>
        <w:spacing w:after="0" w:line="240" w:lineRule="auto"/>
        <w:jc w:val="both"/>
        <w:rPr>
          <w:rFonts w:ascii="Verdana" w:eastAsia="Calibri" w:hAnsi="Verdana" w:cs="Verdana"/>
          <w:sz w:val="20"/>
          <w:szCs w:val="20"/>
        </w:rPr>
      </w:pPr>
    </w:p>
    <w:p w14:paraId="75193694" w14:textId="1A834DCE" w:rsid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RESUELVE:</w:t>
      </w:r>
    </w:p>
    <w:p w14:paraId="3A4C931B" w14:textId="77777777" w:rsidR="00CF1C87" w:rsidRPr="00802BD5" w:rsidRDefault="00CF1C87" w:rsidP="009A226B">
      <w:pPr>
        <w:tabs>
          <w:tab w:val="left" w:pos="567"/>
        </w:tabs>
        <w:spacing w:after="0" w:line="240" w:lineRule="auto"/>
        <w:jc w:val="both"/>
        <w:rPr>
          <w:rFonts w:ascii="Verdana" w:eastAsia="Calibri" w:hAnsi="Verdana" w:cs="Verdana"/>
          <w:b/>
          <w:bCs/>
          <w:sz w:val="20"/>
          <w:szCs w:val="20"/>
        </w:rPr>
      </w:pPr>
    </w:p>
    <w:p w14:paraId="26F6059B" w14:textId="582F48F6" w:rsidR="00CF1C87" w:rsidRDefault="00CF1C8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bookmarkStart w:id="5" w:name="_Ref445286350"/>
      <w:r>
        <w:rPr>
          <w:rFonts w:ascii="Verdana" w:hAnsi="Verdana"/>
          <w:bCs/>
          <w:iCs/>
          <w:sz w:val="20"/>
          <w:szCs w:val="24"/>
        </w:rPr>
        <w:t>Convocar a</w:t>
      </w:r>
      <w:r w:rsidR="00005C3B">
        <w:rPr>
          <w:rFonts w:ascii="Verdana" w:hAnsi="Verdana"/>
          <w:bCs/>
          <w:iCs/>
          <w:sz w:val="20"/>
          <w:szCs w:val="24"/>
        </w:rPr>
        <w:t>l Estado de México</w:t>
      </w:r>
      <w:r w:rsidRPr="0011434A">
        <w:rPr>
          <w:rFonts w:ascii="Verdana" w:hAnsi="Verdana"/>
          <w:bCs/>
          <w:iCs/>
          <w:sz w:val="20"/>
          <w:szCs w:val="24"/>
        </w:rPr>
        <w:t xml:space="preserve">, a los representantes y a la Comisión </w:t>
      </w:r>
      <w:r w:rsidRPr="00005C3B">
        <w:rPr>
          <w:rFonts w:ascii="Verdana" w:hAnsi="Verdana"/>
          <w:bCs/>
          <w:iCs/>
          <w:sz w:val="20"/>
          <w:szCs w:val="24"/>
        </w:rPr>
        <w:t xml:space="preserve">Interamericana de Derechos Humanos a una audiencia pública sobre </w:t>
      </w:r>
      <w:r w:rsidR="00005C3B" w:rsidRPr="00005C3B">
        <w:rPr>
          <w:rFonts w:ascii="Verdana" w:hAnsi="Verdana"/>
          <w:bCs/>
          <w:iCs/>
          <w:sz w:val="20"/>
          <w:szCs w:val="24"/>
        </w:rPr>
        <w:t>la excepción preliminar</w:t>
      </w:r>
      <w:r w:rsidR="00AF1E16">
        <w:rPr>
          <w:rFonts w:ascii="Verdana" w:hAnsi="Verdana"/>
          <w:bCs/>
          <w:iCs/>
          <w:sz w:val="20"/>
          <w:szCs w:val="24"/>
        </w:rPr>
        <w:t xml:space="preserve"> y</w:t>
      </w:r>
      <w:r w:rsidR="00005C3B" w:rsidRPr="00005C3B">
        <w:rPr>
          <w:rFonts w:ascii="Verdana" w:hAnsi="Verdana"/>
          <w:bCs/>
          <w:iCs/>
          <w:sz w:val="20"/>
          <w:szCs w:val="24"/>
        </w:rPr>
        <w:t xml:space="preserve"> eventual</w:t>
      </w:r>
      <w:r w:rsidR="00AF1E16">
        <w:rPr>
          <w:rFonts w:ascii="Verdana" w:hAnsi="Verdana"/>
          <w:bCs/>
          <w:iCs/>
          <w:sz w:val="20"/>
          <w:szCs w:val="24"/>
        </w:rPr>
        <w:t>es</w:t>
      </w:r>
      <w:r w:rsidR="00005C3B" w:rsidRPr="00005C3B">
        <w:rPr>
          <w:rFonts w:ascii="Verdana" w:hAnsi="Verdana"/>
          <w:bCs/>
          <w:iCs/>
          <w:sz w:val="20"/>
          <w:szCs w:val="24"/>
        </w:rPr>
        <w:t xml:space="preserve"> </w:t>
      </w:r>
      <w:r w:rsidRPr="00005C3B">
        <w:rPr>
          <w:rFonts w:ascii="Verdana" w:hAnsi="Verdana"/>
          <w:bCs/>
          <w:iCs/>
          <w:sz w:val="20"/>
          <w:szCs w:val="24"/>
        </w:rPr>
        <w:t xml:space="preserve">fondo, reparaciones y costas que se celebrará </w:t>
      </w:r>
      <w:r w:rsidR="00005C3B" w:rsidRPr="00005C3B">
        <w:rPr>
          <w:rFonts w:ascii="Verdana" w:hAnsi="Verdana"/>
          <w:bCs/>
          <w:iCs/>
          <w:sz w:val="20"/>
          <w:szCs w:val="24"/>
        </w:rPr>
        <w:t xml:space="preserve">los días </w:t>
      </w:r>
      <w:r w:rsidR="00A862C6" w:rsidRPr="00005C3B">
        <w:rPr>
          <w:rFonts w:ascii="Verdana" w:hAnsi="Verdana"/>
          <w:bCs/>
          <w:iCs/>
          <w:sz w:val="20"/>
          <w:szCs w:val="24"/>
        </w:rPr>
        <w:t xml:space="preserve">16 </w:t>
      </w:r>
      <w:r w:rsidR="00005C3B" w:rsidRPr="00005C3B">
        <w:rPr>
          <w:rFonts w:ascii="Verdana" w:hAnsi="Verdana"/>
          <w:bCs/>
          <w:iCs/>
          <w:sz w:val="20"/>
          <w:szCs w:val="24"/>
        </w:rPr>
        <w:t xml:space="preserve">y 17 </w:t>
      </w:r>
      <w:r w:rsidR="00A862C6" w:rsidRPr="00005C3B">
        <w:rPr>
          <w:rFonts w:ascii="Verdana" w:hAnsi="Verdana"/>
          <w:bCs/>
          <w:iCs/>
          <w:sz w:val="20"/>
          <w:szCs w:val="24"/>
        </w:rPr>
        <w:t>de noviembre</w:t>
      </w:r>
      <w:r w:rsidRPr="00005C3B">
        <w:rPr>
          <w:rFonts w:ascii="Verdana" w:hAnsi="Verdana"/>
          <w:bCs/>
          <w:iCs/>
          <w:sz w:val="20"/>
          <w:szCs w:val="24"/>
        </w:rPr>
        <w:t xml:space="preserve"> de 2017, a </w:t>
      </w:r>
      <w:r w:rsidRPr="00DC6638">
        <w:rPr>
          <w:rFonts w:ascii="Verdana" w:hAnsi="Verdana"/>
          <w:bCs/>
          <w:iCs/>
          <w:sz w:val="20"/>
          <w:szCs w:val="24"/>
        </w:rPr>
        <w:t xml:space="preserve">partir de las </w:t>
      </w:r>
      <w:r w:rsidR="009426A8" w:rsidRPr="00DC6638">
        <w:rPr>
          <w:rFonts w:ascii="Verdana" w:hAnsi="Verdana"/>
          <w:bCs/>
          <w:iCs/>
          <w:sz w:val="20"/>
          <w:szCs w:val="24"/>
        </w:rPr>
        <w:t>9:00</w:t>
      </w:r>
      <w:r w:rsidR="00A862C6">
        <w:rPr>
          <w:rFonts w:ascii="Verdana" w:hAnsi="Verdana"/>
          <w:bCs/>
          <w:iCs/>
          <w:sz w:val="20"/>
          <w:szCs w:val="24"/>
        </w:rPr>
        <w:t xml:space="preserve"> horas,</w:t>
      </w:r>
      <w:r w:rsidR="00005C3B">
        <w:rPr>
          <w:rFonts w:ascii="Verdana" w:hAnsi="Verdana"/>
          <w:bCs/>
          <w:iCs/>
          <w:sz w:val="20"/>
          <w:szCs w:val="24"/>
        </w:rPr>
        <w:t xml:space="preserve"> </w:t>
      </w:r>
      <w:r w:rsidR="00A862C6">
        <w:rPr>
          <w:rFonts w:ascii="Verdana" w:hAnsi="Verdana"/>
          <w:bCs/>
          <w:iCs/>
          <w:sz w:val="20"/>
          <w:szCs w:val="24"/>
        </w:rPr>
        <w:t>durante el 120</w:t>
      </w:r>
      <w:r w:rsidRPr="00DC6638">
        <w:rPr>
          <w:rFonts w:ascii="Verdana" w:hAnsi="Verdana"/>
          <w:bCs/>
          <w:iCs/>
          <w:sz w:val="20"/>
          <w:szCs w:val="24"/>
        </w:rPr>
        <w:t xml:space="preserve"> Período Ordinario de Sesiones, que se llevará a cabo en la sede de la Corte en San José, Costa Rica para recibir sus</w:t>
      </w:r>
      <w:r w:rsidRPr="0011434A">
        <w:rPr>
          <w:rFonts w:ascii="Verdana" w:hAnsi="Verdana"/>
          <w:bCs/>
          <w:iCs/>
          <w:sz w:val="20"/>
          <w:szCs w:val="24"/>
        </w:rPr>
        <w:t xml:space="preserve"> alegatos y observaciones finales orales, así como para recibir las declaraciones de las siguientes personas:   </w:t>
      </w:r>
    </w:p>
    <w:p w14:paraId="2E5345E9" w14:textId="77777777" w:rsidR="00CF1C87" w:rsidRPr="0011434A" w:rsidRDefault="00CF1C87" w:rsidP="009A226B">
      <w:pPr>
        <w:pStyle w:val="ListParagraph"/>
        <w:tabs>
          <w:tab w:val="left" w:pos="567"/>
        </w:tabs>
        <w:spacing w:after="0" w:line="240" w:lineRule="auto"/>
        <w:ind w:left="0"/>
        <w:jc w:val="both"/>
        <w:rPr>
          <w:rFonts w:ascii="Verdana" w:hAnsi="Verdana"/>
          <w:bCs/>
          <w:iCs/>
          <w:sz w:val="20"/>
          <w:szCs w:val="24"/>
        </w:rPr>
      </w:pPr>
    </w:p>
    <w:p w14:paraId="40D22029" w14:textId="6130EA5F" w:rsidR="00CF1C87" w:rsidRDefault="00191BEF" w:rsidP="009A226B">
      <w:pPr>
        <w:pStyle w:val="ListParagraph"/>
        <w:numPr>
          <w:ilvl w:val="0"/>
          <w:numId w:val="20"/>
        </w:numPr>
        <w:tabs>
          <w:tab w:val="left" w:pos="567"/>
        </w:tabs>
        <w:spacing w:after="0" w:line="240" w:lineRule="auto"/>
        <w:jc w:val="both"/>
        <w:rPr>
          <w:rFonts w:ascii="Verdana" w:hAnsi="Verdana"/>
          <w:b/>
          <w:bCs/>
          <w:i/>
          <w:iCs/>
          <w:sz w:val="20"/>
          <w:szCs w:val="24"/>
        </w:rPr>
      </w:pPr>
      <w:r>
        <w:rPr>
          <w:rFonts w:ascii="Verdana" w:hAnsi="Verdana"/>
          <w:b/>
          <w:bCs/>
          <w:i/>
          <w:iCs/>
          <w:sz w:val="20"/>
          <w:szCs w:val="24"/>
        </w:rPr>
        <w:t>Declarantes</w:t>
      </w:r>
    </w:p>
    <w:p w14:paraId="395C0F5F" w14:textId="26CBF40E" w:rsidR="00BF78B5" w:rsidRPr="00787F35" w:rsidRDefault="00BF78B5" w:rsidP="009A226B">
      <w:pPr>
        <w:pStyle w:val="ListParagraph"/>
        <w:tabs>
          <w:tab w:val="left" w:pos="567"/>
        </w:tabs>
        <w:spacing w:after="0" w:line="240" w:lineRule="auto"/>
        <w:jc w:val="both"/>
        <w:rPr>
          <w:rFonts w:ascii="Verdana" w:hAnsi="Verdana"/>
          <w:b/>
          <w:bCs/>
          <w:i/>
          <w:iCs/>
          <w:sz w:val="20"/>
          <w:szCs w:val="24"/>
        </w:rPr>
      </w:pPr>
    </w:p>
    <w:p w14:paraId="5828A134" w14:textId="7B49E0D8" w:rsidR="00CF1C87" w:rsidRDefault="00CF1C87" w:rsidP="009A226B">
      <w:pPr>
        <w:tabs>
          <w:tab w:val="left" w:pos="567"/>
        </w:tabs>
        <w:spacing w:after="0" w:line="240" w:lineRule="auto"/>
        <w:ind w:left="720"/>
        <w:jc w:val="both"/>
        <w:rPr>
          <w:rFonts w:ascii="Verdana" w:hAnsi="Verdana"/>
          <w:bCs/>
          <w:i/>
          <w:iCs/>
          <w:sz w:val="20"/>
          <w:szCs w:val="24"/>
        </w:rPr>
      </w:pPr>
      <w:r w:rsidRPr="00787F35">
        <w:rPr>
          <w:rFonts w:ascii="Verdana" w:hAnsi="Verdana"/>
          <w:bCs/>
          <w:i/>
          <w:iCs/>
          <w:sz w:val="20"/>
          <w:szCs w:val="24"/>
        </w:rPr>
        <w:t>Propuesta</w:t>
      </w:r>
      <w:r w:rsidR="008B69D6">
        <w:rPr>
          <w:rFonts w:ascii="Verdana" w:hAnsi="Verdana"/>
          <w:bCs/>
          <w:i/>
          <w:iCs/>
          <w:sz w:val="20"/>
          <w:szCs w:val="24"/>
        </w:rPr>
        <w:t>s</w:t>
      </w:r>
      <w:r w:rsidRPr="00787F35">
        <w:rPr>
          <w:rFonts w:ascii="Verdana" w:hAnsi="Verdana"/>
          <w:bCs/>
          <w:i/>
          <w:iCs/>
          <w:sz w:val="20"/>
          <w:szCs w:val="24"/>
        </w:rPr>
        <w:t xml:space="preserve"> por los representantes</w:t>
      </w:r>
    </w:p>
    <w:p w14:paraId="61F2C428" w14:textId="77777777" w:rsidR="00BF78B5" w:rsidRDefault="00BF78B5" w:rsidP="009A226B">
      <w:pPr>
        <w:tabs>
          <w:tab w:val="left" w:pos="567"/>
        </w:tabs>
        <w:spacing w:after="0" w:line="240" w:lineRule="auto"/>
        <w:ind w:left="720"/>
        <w:jc w:val="both"/>
        <w:rPr>
          <w:rFonts w:ascii="Verdana" w:hAnsi="Verdana"/>
          <w:bCs/>
          <w:i/>
          <w:iCs/>
          <w:sz w:val="20"/>
          <w:szCs w:val="24"/>
        </w:rPr>
      </w:pPr>
    </w:p>
    <w:p w14:paraId="1E750459" w14:textId="2B72CBDC" w:rsidR="00A862C6" w:rsidRPr="00A862C6" w:rsidRDefault="00A862C6" w:rsidP="009A226B">
      <w:pPr>
        <w:pStyle w:val="ListParagraph"/>
        <w:numPr>
          <w:ilvl w:val="3"/>
          <w:numId w:val="12"/>
        </w:numPr>
        <w:tabs>
          <w:tab w:val="left" w:pos="567"/>
        </w:tabs>
        <w:spacing w:after="0" w:line="240" w:lineRule="auto"/>
        <w:ind w:left="1440" w:hanging="720"/>
        <w:jc w:val="both"/>
        <w:rPr>
          <w:rFonts w:ascii="Verdana" w:hAnsi="Verdana"/>
          <w:bCs/>
          <w:i/>
          <w:iCs/>
          <w:sz w:val="20"/>
          <w:szCs w:val="24"/>
        </w:rPr>
      </w:pPr>
      <w:r w:rsidRPr="00A862C6">
        <w:rPr>
          <w:rFonts w:ascii="Verdana" w:hAnsi="Verdana" w:cs="Arial"/>
          <w:bCs/>
          <w:sz w:val="20"/>
          <w:szCs w:val="20"/>
        </w:rPr>
        <w:t>Norma Aidé Jiménez Osorio,</w:t>
      </w:r>
      <w:r w:rsidRPr="00A862C6">
        <w:rPr>
          <w:rFonts w:ascii="Verdana" w:hAnsi="Verdana" w:cs="Arial"/>
          <w:b/>
          <w:bCs/>
          <w:sz w:val="20"/>
          <w:szCs w:val="20"/>
        </w:rPr>
        <w:t xml:space="preserve"> </w:t>
      </w:r>
      <w:r w:rsidRPr="00A862C6">
        <w:rPr>
          <w:rFonts w:ascii="Verdana" w:hAnsi="Verdana" w:cs="Arial"/>
          <w:bCs/>
          <w:sz w:val="20"/>
          <w:szCs w:val="20"/>
        </w:rPr>
        <w:t>quien</w:t>
      </w:r>
      <w:r w:rsidRPr="00A862C6">
        <w:rPr>
          <w:rFonts w:ascii="Verdana" w:hAnsi="Verdana" w:cs="Arial"/>
          <w:b/>
          <w:bCs/>
          <w:sz w:val="20"/>
          <w:szCs w:val="20"/>
        </w:rPr>
        <w:t xml:space="preserve"> </w:t>
      </w:r>
      <w:r w:rsidRPr="00A862C6">
        <w:rPr>
          <w:rFonts w:ascii="Verdana" w:hAnsi="Verdana" w:cs="Arial"/>
          <w:sz w:val="20"/>
          <w:szCs w:val="20"/>
        </w:rPr>
        <w:t xml:space="preserve">declarará sobre: (a) los motivos por los que se encontraba en el escenario del operativo policiaco del 3 y 4 de mayo de 2006, en Texcoco y San Salvador Atenco; (b) lo que vio al llegar y las acciones que tomó ante el clima de violencia; (c) las circunstancias de su detención, incluyendo el </w:t>
      </w:r>
      <w:r w:rsidR="00FD6873">
        <w:rPr>
          <w:rFonts w:ascii="Verdana" w:hAnsi="Verdana" w:cs="Arial"/>
          <w:sz w:val="20"/>
          <w:szCs w:val="20"/>
        </w:rPr>
        <w:t>alegado</w:t>
      </w:r>
      <w:r w:rsidR="005C6C93">
        <w:rPr>
          <w:rFonts w:ascii="Verdana" w:hAnsi="Verdana" w:cs="Arial"/>
          <w:sz w:val="20"/>
          <w:szCs w:val="20"/>
        </w:rPr>
        <w:t xml:space="preserve"> </w:t>
      </w:r>
      <w:r w:rsidRPr="00A862C6">
        <w:rPr>
          <w:rFonts w:ascii="Verdana" w:hAnsi="Verdana" w:cs="Arial"/>
          <w:sz w:val="20"/>
          <w:szCs w:val="20"/>
        </w:rPr>
        <w:t xml:space="preserve">uso excesivo de la fuerza empleada en la misma; (d) la </w:t>
      </w:r>
      <w:r w:rsidR="00FD6873">
        <w:rPr>
          <w:rFonts w:ascii="Verdana" w:hAnsi="Verdana" w:cs="Arial"/>
          <w:sz w:val="20"/>
          <w:szCs w:val="20"/>
        </w:rPr>
        <w:t>alegada</w:t>
      </w:r>
      <w:r w:rsidR="005C6C93">
        <w:rPr>
          <w:rFonts w:ascii="Verdana" w:hAnsi="Verdana" w:cs="Arial"/>
          <w:sz w:val="20"/>
          <w:szCs w:val="20"/>
        </w:rPr>
        <w:t xml:space="preserve"> </w:t>
      </w:r>
      <w:r w:rsidRPr="00A862C6">
        <w:rPr>
          <w:rFonts w:ascii="Verdana" w:hAnsi="Verdana" w:cs="Arial"/>
          <w:sz w:val="20"/>
          <w:szCs w:val="20"/>
        </w:rPr>
        <w:t xml:space="preserve">violencia física, psicológica y sexual que sufrió y de la que fue testigo a partir de la detención, incluyendo en su traslado del lugar de detención, hasta llegar al CEPRESO; (e) lo que ocurrió al llegar al CEPRESO, incluyendo </w:t>
      </w:r>
      <w:r w:rsidR="005C6C93">
        <w:rPr>
          <w:rFonts w:ascii="Verdana" w:hAnsi="Verdana" w:cs="Arial"/>
          <w:sz w:val="20"/>
          <w:szCs w:val="20"/>
        </w:rPr>
        <w:t xml:space="preserve">los </w:t>
      </w:r>
      <w:r w:rsidR="00FD6873">
        <w:rPr>
          <w:rFonts w:ascii="Verdana" w:hAnsi="Verdana" w:cs="Arial"/>
          <w:sz w:val="20"/>
          <w:szCs w:val="20"/>
        </w:rPr>
        <w:t>alegados</w:t>
      </w:r>
      <w:r w:rsidR="005C6C93">
        <w:rPr>
          <w:rFonts w:ascii="Verdana" w:hAnsi="Verdana" w:cs="Arial"/>
          <w:sz w:val="20"/>
          <w:szCs w:val="20"/>
        </w:rPr>
        <w:t xml:space="preserve"> </w:t>
      </w:r>
      <w:r w:rsidRPr="00A862C6">
        <w:rPr>
          <w:rFonts w:ascii="Verdana" w:hAnsi="Verdana" w:cs="Arial"/>
          <w:sz w:val="20"/>
          <w:szCs w:val="20"/>
        </w:rPr>
        <w:t xml:space="preserve">nuevos actos de violencia y la </w:t>
      </w:r>
      <w:r w:rsidR="005C6C93">
        <w:rPr>
          <w:rFonts w:ascii="Verdana" w:hAnsi="Verdana" w:cs="Arial"/>
          <w:sz w:val="20"/>
          <w:szCs w:val="20"/>
        </w:rPr>
        <w:t xml:space="preserve">alegada </w:t>
      </w:r>
      <w:r w:rsidRPr="00A862C6">
        <w:rPr>
          <w:rFonts w:ascii="Verdana" w:hAnsi="Verdana" w:cs="Arial"/>
          <w:sz w:val="20"/>
          <w:szCs w:val="20"/>
        </w:rPr>
        <w:t>ausencia de adecuada asistencia jurídica y atención médica y psicológica; (f) su contacto con distintos agentes estatales en el marco de las diversas investigaciones y procesos por los hechos del 3 y 4 de mayo de 2006, las acciones que tomó y los resultados de estas en dichos procesos y en su acceso a la justicia; (g) las afectaciones sufridas por ella y su familia por los hechos descritos</w:t>
      </w:r>
      <w:r w:rsidR="0029421F">
        <w:rPr>
          <w:rFonts w:ascii="Verdana" w:hAnsi="Verdana" w:cs="Arial"/>
          <w:sz w:val="20"/>
          <w:szCs w:val="20"/>
        </w:rPr>
        <w:t>,</w:t>
      </w:r>
      <w:r w:rsidRPr="00A862C6">
        <w:rPr>
          <w:rFonts w:ascii="Verdana" w:hAnsi="Verdana" w:cs="Arial"/>
          <w:sz w:val="20"/>
          <w:szCs w:val="20"/>
        </w:rPr>
        <w:t xml:space="preserve"> y (h) sobre posibles medidas de reparación, en particular, sobre la propuesta del Centro de</w:t>
      </w:r>
      <w:r>
        <w:rPr>
          <w:rFonts w:ascii="Verdana" w:hAnsi="Verdana" w:cs="Arial"/>
          <w:sz w:val="20"/>
          <w:szCs w:val="20"/>
        </w:rPr>
        <w:t xml:space="preserve"> </w:t>
      </w:r>
      <w:r w:rsidRPr="00A862C6">
        <w:rPr>
          <w:rFonts w:ascii="Verdana" w:hAnsi="Verdana" w:cs="Arial"/>
          <w:sz w:val="20"/>
          <w:szCs w:val="20"/>
        </w:rPr>
        <w:t>Documentación y Acompañamiento a Mujeres Sobrevivientes de Tortura Sexual.</w:t>
      </w:r>
    </w:p>
    <w:p w14:paraId="5C41A0E0" w14:textId="77777777" w:rsidR="00CF1C87" w:rsidRPr="00787F35" w:rsidRDefault="00CF1C87" w:rsidP="009A226B">
      <w:pPr>
        <w:pStyle w:val="ListParagraph"/>
        <w:tabs>
          <w:tab w:val="left" w:pos="567"/>
        </w:tabs>
        <w:spacing w:after="0" w:line="240" w:lineRule="auto"/>
        <w:ind w:left="1440"/>
        <w:jc w:val="both"/>
        <w:rPr>
          <w:rFonts w:ascii="Verdana" w:hAnsi="Verdana"/>
          <w:bCs/>
          <w:i/>
          <w:iCs/>
          <w:sz w:val="20"/>
          <w:szCs w:val="24"/>
        </w:rPr>
      </w:pPr>
    </w:p>
    <w:p w14:paraId="7D13D34D" w14:textId="7102EF31" w:rsidR="00A862C6" w:rsidRPr="00A862C6" w:rsidRDefault="00A862C6" w:rsidP="009A226B">
      <w:pPr>
        <w:pStyle w:val="ListParagraph"/>
        <w:numPr>
          <w:ilvl w:val="3"/>
          <w:numId w:val="12"/>
        </w:numPr>
        <w:tabs>
          <w:tab w:val="left" w:pos="567"/>
        </w:tabs>
        <w:spacing w:after="0" w:line="240" w:lineRule="auto"/>
        <w:ind w:left="1440" w:hanging="720"/>
        <w:jc w:val="both"/>
        <w:rPr>
          <w:rFonts w:ascii="Verdana" w:hAnsi="Verdana"/>
          <w:bCs/>
          <w:i/>
          <w:iCs/>
          <w:sz w:val="20"/>
          <w:szCs w:val="24"/>
        </w:rPr>
      </w:pPr>
      <w:r w:rsidRPr="00A862C6">
        <w:rPr>
          <w:rFonts w:ascii="Verdana" w:hAnsi="Verdana" w:cs="Arial"/>
          <w:bCs/>
          <w:sz w:val="20"/>
          <w:szCs w:val="20"/>
        </w:rPr>
        <w:t>Claudia Hernández Martínez,</w:t>
      </w:r>
      <w:r w:rsidRPr="00A862C6">
        <w:rPr>
          <w:rFonts w:ascii="Verdana" w:hAnsi="Verdana" w:cs="Arial"/>
          <w:b/>
          <w:bCs/>
          <w:sz w:val="20"/>
          <w:szCs w:val="20"/>
        </w:rPr>
        <w:t xml:space="preserve"> </w:t>
      </w:r>
      <w:r w:rsidRPr="00A862C6">
        <w:rPr>
          <w:rFonts w:ascii="Verdana" w:hAnsi="Verdana" w:cs="Arial"/>
          <w:bCs/>
          <w:sz w:val="20"/>
          <w:szCs w:val="20"/>
        </w:rPr>
        <w:t>quien d</w:t>
      </w:r>
      <w:r w:rsidRPr="00A862C6">
        <w:rPr>
          <w:rFonts w:ascii="Verdana" w:hAnsi="Verdana" w:cs="Arial"/>
          <w:sz w:val="20"/>
          <w:szCs w:val="20"/>
        </w:rPr>
        <w:t xml:space="preserve">eclarará sobre: (a) los motivos por los que se encontraba en el escenario del operativo policiaco del 3 y 4 de mayo de 2006, en Texcoco y San Salvador Atenco; (b) lo que vio al llegar y las acciones que tomó ante el clima de violencia; (c) las circunstancias de su detención, incluyendo el </w:t>
      </w:r>
      <w:r w:rsidR="00FD6873">
        <w:rPr>
          <w:rFonts w:ascii="Verdana" w:hAnsi="Verdana" w:cs="Arial"/>
          <w:sz w:val="20"/>
          <w:szCs w:val="20"/>
        </w:rPr>
        <w:t>alegado</w:t>
      </w:r>
      <w:r w:rsidR="005C6C93">
        <w:rPr>
          <w:rFonts w:ascii="Verdana" w:hAnsi="Verdana" w:cs="Arial"/>
          <w:sz w:val="20"/>
          <w:szCs w:val="20"/>
        </w:rPr>
        <w:t xml:space="preserve"> </w:t>
      </w:r>
      <w:r w:rsidRPr="00A862C6">
        <w:rPr>
          <w:rFonts w:ascii="Verdana" w:hAnsi="Verdana" w:cs="Arial"/>
          <w:sz w:val="20"/>
          <w:szCs w:val="20"/>
        </w:rPr>
        <w:t xml:space="preserve">uso excesivo de la fuerza empleada en la misma; (d) la </w:t>
      </w:r>
      <w:r w:rsidR="00FD6873">
        <w:rPr>
          <w:rFonts w:ascii="Verdana" w:hAnsi="Verdana" w:cs="Arial"/>
          <w:sz w:val="20"/>
          <w:szCs w:val="20"/>
        </w:rPr>
        <w:t>alegada</w:t>
      </w:r>
      <w:r w:rsidR="005C6C93">
        <w:rPr>
          <w:rFonts w:ascii="Verdana" w:hAnsi="Verdana" w:cs="Arial"/>
          <w:sz w:val="20"/>
          <w:szCs w:val="20"/>
        </w:rPr>
        <w:t xml:space="preserve"> </w:t>
      </w:r>
      <w:r w:rsidRPr="00A862C6">
        <w:rPr>
          <w:rFonts w:ascii="Verdana" w:hAnsi="Verdana" w:cs="Arial"/>
          <w:sz w:val="20"/>
          <w:szCs w:val="20"/>
        </w:rPr>
        <w:t xml:space="preserve">violencia física, psicológica y sexual que sufrió y de la que fue testigo a partir de la detención, incluyendo en su traslado del lugar de detención, hasta llegar al CEPRESO; (e) lo que ocurrió al llegar al CEPRESO, incluyendo </w:t>
      </w:r>
      <w:r w:rsidR="005C6C93">
        <w:rPr>
          <w:rFonts w:ascii="Verdana" w:hAnsi="Verdana" w:cs="Arial"/>
          <w:sz w:val="20"/>
          <w:szCs w:val="20"/>
        </w:rPr>
        <w:t xml:space="preserve">los </w:t>
      </w:r>
      <w:r w:rsidR="00FD6873">
        <w:rPr>
          <w:rFonts w:ascii="Verdana" w:hAnsi="Verdana" w:cs="Arial"/>
          <w:sz w:val="20"/>
          <w:szCs w:val="20"/>
        </w:rPr>
        <w:t>alegados</w:t>
      </w:r>
      <w:r w:rsidR="005C6C93">
        <w:rPr>
          <w:rFonts w:ascii="Verdana" w:hAnsi="Verdana" w:cs="Arial"/>
          <w:sz w:val="20"/>
          <w:szCs w:val="20"/>
        </w:rPr>
        <w:t xml:space="preserve"> </w:t>
      </w:r>
      <w:r w:rsidRPr="00A862C6">
        <w:rPr>
          <w:rFonts w:ascii="Verdana" w:hAnsi="Verdana" w:cs="Arial"/>
          <w:sz w:val="20"/>
          <w:szCs w:val="20"/>
        </w:rPr>
        <w:t xml:space="preserve">nuevos actos de violencia y la </w:t>
      </w:r>
      <w:r w:rsidR="005C6C93">
        <w:rPr>
          <w:rFonts w:ascii="Verdana" w:hAnsi="Verdana" w:cs="Arial"/>
          <w:sz w:val="20"/>
          <w:szCs w:val="20"/>
        </w:rPr>
        <w:t xml:space="preserve">alegada </w:t>
      </w:r>
      <w:r w:rsidRPr="00A862C6">
        <w:rPr>
          <w:rFonts w:ascii="Verdana" w:hAnsi="Verdana" w:cs="Arial"/>
          <w:sz w:val="20"/>
          <w:szCs w:val="20"/>
        </w:rPr>
        <w:t xml:space="preserve">ausencia de adecuada asistencia jurídica y atención médica y psicológica; (f) su contacto </w:t>
      </w:r>
      <w:r w:rsidRPr="00A862C6">
        <w:rPr>
          <w:rFonts w:ascii="Verdana" w:hAnsi="Verdana" w:cs="Arial"/>
          <w:sz w:val="20"/>
          <w:szCs w:val="20"/>
        </w:rPr>
        <w:lastRenderedPageBreak/>
        <w:t>con distintos agentes estatales en el marco de las diversas investigaciones y procesos por los hechos del 3 y 4 de mayo de 2006, las acciones que tomó y los resultados de estas en dichos procesos y en su acceso a la justicia; (g) las afectaciones sufridas por ella y su familia por los hechos descritos</w:t>
      </w:r>
      <w:r w:rsidR="0029421F">
        <w:rPr>
          <w:rFonts w:ascii="Verdana" w:hAnsi="Verdana" w:cs="Arial"/>
          <w:sz w:val="20"/>
          <w:szCs w:val="20"/>
        </w:rPr>
        <w:t>,</w:t>
      </w:r>
      <w:r w:rsidRPr="00A862C6">
        <w:rPr>
          <w:rFonts w:ascii="Verdana" w:hAnsi="Verdana" w:cs="Arial"/>
          <w:sz w:val="20"/>
          <w:szCs w:val="20"/>
        </w:rPr>
        <w:t xml:space="preserve"> y (h) sobre posibles medidas de reparación, en particular, sobre la propuesta de un espacio de memoria para el caso Atenco.</w:t>
      </w:r>
    </w:p>
    <w:p w14:paraId="227DA63F" w14:textId="4466365A" w:rsidR="00A862C6" w:rsidRPr="00A862C6" w:rsidRDefault="00A862C6" w:rsidP="009A226B">
      <w:pPr>
        <w:pStyle w:val="ListParagraph"/>
        <w:tabs>
          <w:tab w:val="left" w:pos="567"/>
        </w:tabs>
        <w:spacing w:after="0" w:line="240" w:lineRule="auto"/>
        <w:ind w:left="1440"/>
        <w:jc w:val="both"/>
        <w:rPr>
          <w:rFonts w:ascii="Verdana" w:hAnsi="Verdana"/>
          <w:bCs/>
          <w:i/>
          <w:iCs/>
          <w:sz w:val="20"/>
          <w:szCs w:val="24"/>
        </w:rPr>
      </w:pPr>
    </w:p>
    <w:p w14:paraId="36726083" w14:textId="438EBFFC" w:rsidR="00A862C6" w:rsidRPr="00191BEF" w:rsidRDefault="00A862C6" w:rsidP="009A226B">
      <w:pPr>
        <w:pStyle w:val="ListParagraph"/>
        <w:numPr>
          <w:ilvl w:val="3"/>
          <w:numId w:val="12"/>
        </w:numPr>
        <w:tabs>
          <w:tab w:val="left" w:pos="567"/>
        </w:tabs>
        <w:spacing w:after="0" w:line="240" w:lineRule="auto"/>
        <w:ind w:left="1440" w:hanging="720"/>
        <w:jc w:val="both"/>
        <w:rPr>
          <w:rFonts w:ascii="Verdana" w:hAnsi="Verdana"/>
          <w:bCs/>
          <w:i/>
          <w:iCs/>
          <w:sz w:val="20"/>
          <w:szCs w:val="24"/>
        </w:rPr>
      </w:pPr>
      <w:r w:rsidRPr="00191BEF">
        <w:rPr>
          <w:rFonts w:ascii="Verdana" w:hAnsi="Verdana" w:cs="Arial"/>
          <w:bCs/>
          <w:sz w:val="20"/>
          <w:szCs w:val="20"/>
        </w:rPr>
        <w:t>Bárbara Italia Méndez Moreno,</w:t>
      </w:r>
      <w:r w:rsidRPr="00191BEF">
        <w:rPr>
          <w:rFonts w:ascii="Verdana" w:hAnsi="Verdana" w:cs="Arial"/>
          <w:b/>
          <w:bCs/>
          <w:sz w:val="20"/>
          <w:szCs w:val="20"/>
        </w:rPr>
        <w:t xml:space="preserve"> </w:t>
      </w:r>
      <w:r w:rsidRPr="00191BEF">
        <w:rPr>
          <w:rFonts w:ascii="Verdana" w:hAnsi="Verdana" w:cs="Arial"/>
          <w:sz w:val="20"/>
          <w:szCs w:val="20"/>
        </w:rPr>
        <w:t xml:space="preserve">quien declarará sobre: (a) los motivos por los que se encontraba en el escenario del operativo policiaco del 3 y 4 de mayo de 2006, en Texcoco y San Salvador Atenco; (b) lo que vio al llegar y las acciones que tomó ante el clima de violencia; (c) las circunstancias de su detención, incluyendo el </w:t>
      </w:r>
      <w:r w:rsidR="00FD6873">
        <w:rPr>
          <w:rFonts w:ascii="Verdana" w:hAnsi="Verdana" w:cs="Arial"/>
          <w:sz w:val="20"/>
          <w:szCs w:val="20"/>
        </w:rPr>
        <w:t>alegado</w:t>
      </w:r>
      <w:r w:rsidR="00FD6873" w:rsidRPr="00191BEF">
        <w:rPr>
          <w:rFonts w:ascii="Verdana" w:hAnsi="Verdana" w:cs="Arial"/>
          <w:sz w:val="20"/>
          <w:szCs w:val="20"/>
        </w:rPr>
        <w:t xml:space="preserve"> </w:t>
      </w:r>
      <w:r w:rsidRPr="00191BEF">
        <w:rPr>
          <w:rFonts w:ascii="Verdana" w:hAnsi="Verdana" w:cs="Arial"/>
          <w:sz w:val="20"/>
          <w:szCs w:val="20"/>
        </w:rPr>
        <w:t xml:space="preserve">uso excesivo de la fuerza empleada en la misma; (d) la </w:t>
      </w:r>
      <w:r w:rsidR="00FD6873">
        <w:rPr>
          <w:rFonts w:ascii="Verdana" w:hAnsi="Verdana" w:cs="Arial"/>
          <w:sz w:val="20"/>
          <w:szCs w:val="20"/>
        </w:rPr>
        <w:t>alegada</w:t>
      </w:r>
      <w:r w:rsidR="005C6C93" w:rsidRPr="00191BEF">
        <w:rPr>
          <w:rFonts w:ascii="Verdana" w:hAnsi="Verdana" w:cs="Arial"/>
          <w:sz w:val="20"/>
          <w:szCs w:val="20"/>
        </w:rPr>
        <w:t xml:space="preserve"> </w:t>
      </w:r>
      <w:r w:rsidRPr="00191BEF">
        <w:rPr>
          <w:rFonts w:ascii="Verdana" w:hAnsi="Verdana" w:cs="Arial"/>
          <w:sz w:val="20"/>
          <w:szCs w:val="20"/>
        </w:rPr>
        <w:t xml:space="preserve">violencia física, psicológica y sexual que sufrió y de la que fue testigo a partir de la detención, incluyendo en su traslado del lugar de detención, hasta llegar al CEPRESO; (e) lo que ocurrió al llegar al CEPRESO, incluyendo </w:t>
      </w:r>
      <w:r w:rsidR="005C6C93" w:rsidRPr="00191BEF">
        <w:rPr>
          <w:rFonts w:ascii="Verdana" w:hAnsi="Verdana" w:cs="Arial"/>
          <w:sz w:val="20"/>
          <w:szCs w:val="20"/>
        </w:rPr>
        <w:t xml:space="preserve">los </w:t>
      </w:r>
      <w:r w:rsidR="00FD6873">
        <w:rPr>
          <w:rFonts w:ascii="Verdana" w:hAnsi="Verdana" w:cs="Arial"/>
          <w:sz w:val="20"/>
          <w:szCs w:val="20"/>
        </w:rPr>
        <w:t>alegados</w:t>
      </w:r>
      <w:r w:rsidR="005C6C93" w:rsidRPr="00191BEF">
        <w:rPr>
          <w:rFonts w:ascii="Verdana" w:hAnsi="Verdana" w:cs="Arial"/>
          <w:sz w:val="20"/>
          <w:szCs w:val="20"/>
        </w:rPr>
        <w:t xml:space="preserve"> </w:t>
      </w:r>
      <w:r w:rsidRPr="00191BEF">
        <w:rPr>
          <w:rFonts w:ascii="Verdana" w:hAnsi="Verdana" w:cs="Arial"/>
          <w:sz w:val="20"/>
          <w:szCs w:val="20"/>
        </w:rPr>
        <w:t xml:space="preserve">nuevos actos de violencia y la </w:t>
      </w:r>
      <w:r w:rsidR="005C6C93" w:rsidRPr="00191BEF">
        <w:rPr>
          <w:rFonts w:ascii="Verdana" w:hAnsi="Verdana" w:cs="Arial"/>
          <w:sz w:val="20"/>
          <w:szCs w:val="20"/>
        </w:rPr>
        <w:t xml:space="preserve">alegada </w:t>
      </w:r>
      <w:r w:rsidRPr="00191BEF">
        <w:rPr>
          <w:rFonts w:ascii="Verdana" w:hAnsi="Verdana" w:cs="Arial"/>
          <w:sz w:val="20"/>
          <w:szCs w:val="20"/>
        </w:rPr>
        <w:t>ausencia de adecuada asistencia jurídica y atención médica y psicológica; (f) su contacto con distintos agentes estatales en el marco de las diversas investigaciones y procesos por los hechos del 3 y 4 de mayo de 2006, las acciones que tomó y los resultados de estas en dichos procesos y en su acceso a la justicia; (g) las afectaciones sufridas por ella y su familia por los hechos descritos</w:t>
      </w:r>
      <w:r w:rsidR="0029421F">
        <w:rPr>
          <w:rFonts w:ascii="Verdana" w:hAnsi="Verdana" w:cs="Arial"/>
          <w:sz w:val="20"/>
          <w:szCs w:val="20"/>
        </w:rPr>
        <w:t>,</w:t>
      </w:r>
      <w:r w:rsidRPr="00191BEF">
        <w:rPr>
          <w:rFonts w:ascii="Verdana" w:hAnsi="Verdana" w:cs="Arial"/>
          <w:sz w:val="20"/>
          <w:szCs w:val="20"/>
        </w:rPr>
        <w:t xml:space="preserve"> y (h) sobre posibles medidas de reparación, en particular, sobre la propuesta del Centro de</w:t>
      </w:r>
      <w:r w:rsidRPr="00191BEF">
        <w:rPr>
          <w:rFonts w:ascii="Verdana" w:hAnsi="Verdana"/>
          <w:bCs/>
          <w:i/>
          <w:iCs/>
          <w:sz w:val="20"/>
          <w:szCs w:val="24"/>
        </w:rPr>
        <w:t xml:space="preserve"> </w:t>
      </w:r>
      <w:r w:rsidRPr="00191BEF">
        <w:rPr>
          <w:rFonts w:ascii="Verdana" w:hAnsi="Verdana" w:cs="Arial"/>
          <w:sz w:val="20"/>
          <w:szCs w:val="20"/>
        </w:rPr>
        <w:t>Documentación y Acompañamiento a Mujeres Sobrevivientes de Tortura Sexual.</w:t>
      </w:r>
    </w:p>
    <w:p w14:paraId="0DF86256" w14:textId="3D0CCB3E" w:rsidR="00A862C6" w:rsidRPr="00A862C6" w:rsidRDefault="00A862C6" w:rsidP="009A226B">
      <w:pPr>
        <w:pStyle w:val="ListParagraph"/>
        <w:tabs>
          <w:tab w:val="left" w:pos="567"/>
        </w:tabs>
        <w:spacing w:after="0" w:line="240" w:lineRule="auto"/>
        <w:ind w:left="1440"/>
        <w:jc w:val="both"/>
        <w:rPr>
          <w:rFonts w:ascii="Verdana" w:hAnsi="Verdana"/>
          <w:bCs/>
          <w:iCs/>
          <w:sz w:val="20"/>
          <w:szCs w:val="24"/>
        </w:rPr>
      </w:pPr>
    </w:p>
    <w:p w14:paraId="0CE146E6" w14:textId="3EBE0F1D" w:rsidR="00A862C6" w:rsidRPr="00A862C6" w:rsidRDefault="00A862C6" w:rsidP="009A226B">
      <w:pPr>
        <w:pStyle w:val="ListParagraph"/>
        <w:numPr>
          <w:ilvl w:val="3"/>
          <w:numId w:val="12"/>
        </w:numPr>
        <w:tabs>
          <w:tab w:val="left" w:pos="567"/>
        </w:tabs>
        <w:spacing w:after="0" w:line="240" w:lineRule="auto"/>
        <w:ind w:left="1440" w:hanging="720"/>
        <w:jc w:val="both"/>
        <w:rPr>
          <w:rFonts w:ascii="Verdana" w:hAnsi="Verdana"/>
          <w:bCs/>
          <w:i/>
          <w:iCs/>
          <w:sz w:val="20"/>
          <w:szCs w:val="24"/>
        </w:rPr>
      </w:pPr>
      <w:r w:rsidRPr="00A862C6">
        <w:rPr>
          <w:rFonts w:ascii="Verdana" w:hAnsi="Verdana" w:cs="Arial"/>
          <w:bCs/>
          <w:sz w:val="20"/>
          <w:szCs w:val="20"/>
        </w:rPr>
        <w:t>Angélica Patricia Torres Linares,</w:t>
      </w:r>
      <w:r w:rsidRPr="00A862C6">
        <w:rPr>
          <w:rFonts w:ascii="Verdana" w:hAnsi="Verdana" w:cs="Arial"/>
          <w:b/>
          <w:bCs/>
          <w:sz w:val="20"/>
          <w:szCs w:val="20"/>
        </w:rPr>
        <w:t xml:space="preserve"> </w:t>
      </w:r>
      <w:r>
        <w:rPr>
          <w:rFonts w:ascii="Verdana" w:hAnsi="Verdana" w:cs="Arial"/>
          <w:sz w:val="20"/>
          <w:szCs w:val="20"/>
        </w:rPr>
        <w:t xml:space="preserve">quien declarará sobre: (a) los motivos por los que se encontraba en el escenario del operativo policiaco del 3 y 4 de mayo de 2006, en Texcoco y San Salvador Atenco; (b) lo que vio al llegar y las acciones que tomó ante el clima de violencia; (c) las circunstancias de su detención, incluyendo el </w:t>
      </w:r>
      <w:r w:rsidR="00FD6873">
        <w:rPr>
          <w:rFonts w:ascii="Verdana" w:hAnsi="Verdana" w:cs="Arial"/>
          <w:sz w:val="20"/>
          <w:szCs w:val="20"/>
        </w:rPr>
        <w:t>alegado</w:t>
      </w:r>
      <w:r w:rsidR="005C6C93">
        <w:rPr>
          <w:rFonts w:ascii="Verdana" w:hAnsi="Verdana" w:cs="Arial"/>
          <w:sz w:val="20"/>
          <w:szCs w:val="20"/>
        </w:rPr>
        <w:t xml:space="preserve"> </w:t>
      </w:r>
      <w:r>
        <w:rPr>
          <w:rFonts w:ascii="Verdana" w:hAnsi="Verdana" w:cs="Arial"/>
          <w:sz w:val="20"/>
          <w:szCs w:val="20"/>
        </w:rPr>
        <w:t xml:space="preserve">uso excesivo de la fuerza empleada en la misma; (d) la </w:t>
      </w:r>
      <w:r w:rsidR="00FD6873">
        <w:rPr>
          <w:rFonts w:ascii="Verdana" w:hAnsi="Verdana" w:cs="Arial"/>
          <w:sz w:val="20"/>
          <w:szCs w:val="20"/>
        </w:rPr>
        <w:t>alegada</w:t>
      </w:r>
      <w:r w:rsidR="005C6C93">
        <w:rPr>
          <w:rFonts w:ascii="Verdana" w:hAnsi="Verdana" w:cs="Arial"/>
          <w:sz w:val="20"/>
          <w:szCs w:val="20"/>
        </w:rPr>
        <w:t xml:space="preserve"> </w:t>
      </w:r>
      <w:r>
        <w:rPr>
          <w:rFonts w:ascii="Verdana" w:hAnsi="Verdana" w:cs="Arial"/>
          <w:sz w:val="20"/>
          <w:szCs w:val="20"/>
        </w:rPr>
        <w:t xml:space="preserve">violencia física, psicológica y sexual que sufrió y de la que fue testigo a partir de la detención, incluyendo en su traslado del lugar de detención, hasta llegar al CEPRESO; (e) lo que ocurrió al llegar al CEPRESO, incluyendo </w:t>
      </w:r>
      <w:r w:rsidR="005C6C93">
        <w:rPr>
          <w:rFonts w:ascii="Verdana" w:hAnsi="Verdana" w:cs="Arial"/>
          <w:sz w:val="20"/>
          <w:szCs w:val="20"/>
        </w:rPr>
        <w:t xml:space="preserve">los </w:t>
      </w:r>
      <w:r w:rsidR="00FD6873">
        <w:rPr>
          <w:rFonts w:ascii="Verdana" w:hAnsi="Verdana" w:cs="Arial"/>
          <w:sz w:val="20"/>
          <w:szCs w:val="20"/>
        </w:rPr>
        <w:t>alegados</w:t>
      </w:r>
      <w:r w:rsidR="005C6C93">
        <w:rPr>
          <w:rFonts w:ascii="Verdana" w:hAnsi="Verdana" w:cs="Arial"/>
          <w:sz w:val="20"/>
          <w:szCs w:val="20"/>
        </w:rPr>
        <w:t xml:space="preserve"> </w:t>
      </w:r>
      <w:r>
        <w:rPr>
          <w:rFonts w:ascii="Verdana" w:hAnsi="Verdana" w:cs="Arial"/>
          <w:sz w:val="20"/>
          <w:szCs w:val="20"/>
        </w:rPr>
        <w:t xml:space="preserve">nuevos actos de violencia y la </w:t>
      </w:r>
      <w:r w:rsidR="005C6C93">
        <w:rPr>
          <w:rFonts w:ascii="Verdana" w:hAnsi="Verdana" w:cs="Arial"/>
          <w:sz w:val="20"/>
          <w:szCs w:val="20"/>
        </w:rPr>
        <w:t xml:space="preserve">alegada </w:t>
      </w:r>
      <w:r>
        <w:rPr>
          <w:rFonts w:ascii="Verdana" w:hAnsi="Verdana" w:cs="Arial"/>
          <w:sz w:val="20"/>
          <w:szCs w:val="20"/>
        </w:rPr>
        <w:t>ausencia de adecuada asistencia jurídica y atención médica y psicológica; (f) su contacto con distintos agentes estatales en el marco de las diversas investigaciones y procesos por los hechos del 3 y 4 de mayo de 2006, las acciones que tomó y los resultados de estas en dichos procesos y en su acceso a la justicia; (g) las afectaciones sufridas por ella y su familia por los hechos descritos</w:t>
      </w:r>
      <w:r w:rsidR="0029421F">
        <w:rPr>
          <w:rFonts w:ascii="Verdana" w:hAnsi="Verdana" w:cs="Arial"/>
          <w:sz w:val="20"/>
          <w:szCs w:val="20"/>
        </w:rPr>
        <w:t>,</w:t>
      </w:r>
      <w:r>
        <w:rPr>
          <w:rFonts w:ascii="Verdana" w:hAnsi="Verdana" w:cs="Arial"/>
          <w:sz w:val="20"/>
          <w:szCs w:val="20"/>
        </w:rPr>
        <w:t xml:space="preserve"> y (h) sobre posibles medidas de reparación.</w:t>
      </w:r>
    </w:p>
    <w:p w14:paraId="1D274FB7" w14:textId="5D0B94DE" w:rsidR="00A862C6" w:rsidRPr="00A862C6" w:rsidRDefault="00A862C6" w:rsidP="009A226B">
      <w:pPr>
        <w:pStyle w:val="ListParagraph"/>
        <w:tabs>
          <w:tab w:val="left" w:pos="567"/>
        </w:tabs>
        <w:spacing w:after="0" w:line="240" w:lineRule="auto"/>
        <w:ind w:left="1440"/>
        <w:jc w:val="both"/>
        <w:rPr>
          <w:rFonts w:ascii="Verdana" w:hAnsi="Verdana"/>
          <w:bCs/>
          <w:i/>
          <w:iCs/>
          <w:sz w:val="20"/>
          <w:szCs w:val="24"/>
        </w:rPr>
      </w:pPr>
    </w:p>
    <w:p w14:paraId="17D9E4B2" w14:textId="5CA03447" w:rsidR="00A862C6" w:rsidRPr="00A862C6" w:rsidRDefault="00A862C6" w:rsidP="009A226B">
      <w:pPr>
        <w:pStyle w:val="ListParagraph"/>
        <w:numPr>
          <w:ilvl w:val="3"/>
          <w:numId w:val="12"/>
        </w:numPr>
        <w:tabs>
          <w:tab w:val="left" w:pos="567"/>
        </w:tabs>
        <w:spacing w:after="0" w:line="240" w:lineRule="auto"/>
        <w:ind w:left="1440" w:hanging="720"/>
        <w:jc w:val="both"/>
        <w:rPr>
          <w:rFonts w:ascii="Verdana" w:hAnsi="Verdana"/>
          <w:bCs/>
          <w:i/>
          <w:iCs/>
          <w:sz w:val="20"/>
          <w:szCs w:val="24"/>
        </w:rPr>
      </w:pPr>
      <w:r w:rsidRPr="00A862C6">
        <w:rPr>
          <w:rFonts w:ascii="Verdana" w:hAnsi="Verdana" w:cs="Arial"/>
          <w:bCs/>
          <w:sz w:val="20"/>
          <w:szCs w:val="20"/>
        </w:rPr>
        <w:t>Suhelen Gabriela Cuevas Jaramillo, quien d</w:t>
      </w:r>
      <w:r w:rsidRPr="00A862C6">
        <w:rPr>
          <w:rFonts w:ascii="Verdana" w:hAnsi="Verdana" w:cs="Arial"/>
          <w:sz w:val="20"/>
          <w:szCs w:val="20"/>
        </w:rPr>
        <w:t xml:space="preserve">eclarará sobre: (a) los motivos por los que se encontraba en el escenario del operativo policiaco del 3 y 4 de mayo de 2006, en Texcoco y San Salvador Atenco; (b) lo que vio al llegar y las acciones que tomó ante el clima de violencia; (c) las circunstancias de su detención, incluyendo el </w:t>
      </w:r>
      <w:r w:rsidR="00FD6873">
        <w:rPr>
          <w:rFonts w:ascii="Verdana" w:hAnsi="Verdana" w:cs="Arial"/>
          <w:sz w:val="20"/>
          <w:szCs w:val="20"/>
        </w:rPr>
        <w:t>alegado</w:t>
      </w:r>
      <w:r w:rsidR="005C6C93">
        <w:rPr>
          <w:rFonts w:ascii="Verdana" w:hAnsi="Verdana" w:cs="Arial"/>
          <w:sz w:val="20"/>
          <w:szCs w:val="20"/>
        </w:rPr>
        <w:t xml:space="preserve"> </w:t>
      </w:r>
      <w:r w:rsidRPr="00A862C6">
        <w:rPr>
          <w:rFonts w:ascii="Verdana" w:hAnsi="Verdana" w:cs="Arial"/>
          <w:sz w:val="20"/>
          <w:szCs w:val="20"/>
        </w:rPr>
        <w:t xml:space="preserve">uso excesivo de la fuerza empleada en la misma; (d) la </w:t>
      </w:r>
      <w:r w:rsidR="00FD6873">
        <w:rPr>
          <w:rFonts w:ascii="Verdana" w:hAnsi="Verdana" w:cs="Arial"/>
          <w:sz w:val="20"/>
          <w:szCs w:val="20"/>
        </w:rPr>
        <w:t>alegada</w:t>
      </w:r>
      <w:r w:rsidR="005C6C93">
        <w:rPr>
          <w:rFonts w:ascii="Verdana" w:hAnsi="Verdana" w:cs="Arial"/>
          <w:sz w:val="20"/>
          <w:szCs w:val="20"/>
        </w:rPr>
        <w:t xml:space="preserve"> </w:t>
      </w:r>
      <w:r w:rsidRPr="00A862C6">
        <w:rPr>
          <w:rFonts w:ascii="Verdana" w:hAnsi="Verdana" w:cs="Arial"/>
          <w:sz w:val="20"/>
          <w:szCs w:val="20"/>
        </w:rPr>
        <w:t xml:space="preserve">violencia física, psicológica y sexual que sufrió y de la que fue testigo a partir de la detención, incluyendo en su traslado del lugar de detención, hasta llegar al CEPRESO; (e) lo que ocurrió al llegar al CEPRESO, incluyendo </w:t>
      </w:r>
      <w:r w:rsidR="005C6C93">
        <w:rPr>
          <w:rFonts w:ascii="Verdana" w:hAnsi="Verdana" w:cs="Arial"/>
          <w:sz w:val="20"/>
          <w:szCs w:val="20"/>
        </w:rPr>
        <w:t xml:space="preserve">los </w:t>
      </w:r>
      <w:r w:rsidR="00FD6873">
        <w:rPr>
          <w:rFonts w:ascii="Verdana" w:hAnsi="Verdana" w:cs="Arial"/>
          <w:sz w:val="20"/>
          <w:szCs w:val="20"/>
        </w:rPr>
        <w:t>alegados</w:t>
      </w:r>
      <w:r w:rsidR="005C6C93">
        <w:rPr>
          <w:rFonts w:ascii="Verdana" w:hAnsi="Verdana" w:cs="Arial"/>
          <w:sz w:val="20"/>
          <w:szCs w:val="20"/>
        </w:rPr>
        <w:t xml:space="preserve"> </w:t>
      </w:r>
      <w:r w:rsidRPr="00A862C6">
        <w:rPr>
          <w:rFonts w:ascii="Verdana" w:hAnsi="Verdana" w:cs="Arial"/>
          <w:sz w:val="20"/>
          <w:szCs w:val="20"/>
        </w:rPr>
        <w:t xml:space="preserve">nuevos actos de violencia y la </w:t>
      </w:r>
      <w:r w:rsidR="005C6C93">
        <w:rPr>
          <w:rFonts w:ascii="Verdana" w:hAnsi="Verdana" w:cs="Arial"/>
          <w:sz w:val="20"/>
          <w:szCs w:val="20"/>
        </w:rPr>
        <w:t xml:space="preserve">alegada </w:t>
      </w:r>
      <w:r w:rsidRPr="00A862C6">
        <w:rPr>
          <w:rFonts w:ascii="Verdana" w:hAnsi="Verdana" w:cs="Arial"/>
          <w:sz w:val="20"/>
          <w:szCs w:val="20"/>
        </w:rPr>
        <w:t xml:space="preserve">ausencia de adecuada asistencia jurídica y atención médica y psicológica; (f) su contacto con distintos agentes estatales en el marco de las diversas investigaciones y procesos por los hechos del 3 y 4 de mayo de 2006, las acciones que tomó y </w:t>
      </w:r>
      <w:r w:rsidRPr="00A862C6">
        <w:rPr>
          <w:rFonts w:ascii="Verdana" w:hAnsi="Verdana" w:cs="Arial"/>
          <w:sz w:val="20"/>
          <w:szCs w:val="20"/>
        </w:rPr>
        <w:lastRenderedPageBreak/>
        <w:t>los resultados de estas en dichos procesos y en su acceso a la justicia; (g) las afectaciones sufridas por ella y su familia por los hechos descritos</w:t>
      </w:r>
      <w:r w:rsidR="0029421F">
        <w:rPr>
          <w:rFonts w:ascii="Verdana" w:hAnsi="Verdana" w:cs="Arial"/>
          <w:sz w:val="20"/>
          <w:szCs w:val="20"/>
        </w:rPr>
        <w:t>,</w:t>
      </w:r>
      <w:r w:rsidRPr="00A862C6">
        <w:rPr>
          <w:rFonts w:ascii="Verdana" w:hAnsi="Verdana" w:cs="Arial"/>
          <w:sz w:val="20"/>
          <w:szCs w:val="20"/>
        </w:rPr>
        <w:t xml:space="preserve"> y</w:t>
      </w:r>
      <w:r>
        <w:rPr>
          <w:rFonts w:ascii="Verdana" w:hAnsi="Verdana" w:cs="Arial"/>
          <w:sz w:val="20"/>
          <w:szCs w:val="20"/>
        </w:rPr>
        <w:t xml:space="preserve"> </w:t>
      </w:r>
      <w:r w:rsidRPr="00A862C6">
        <w:rPr>
          <w:rFonts w:ascii="Verdana" w:hAnsi="Verdana" w:cs="Arial"/>
          <w:sz w:val="20"/>
          <w:szCs w:val="20"/>
        </w:rPr>
        <w:t>(h) sobre posibles medidas de reparación.</w:t>
      </w:r>
    </w:p>
    <w:p w14:paraId="085EC32F" w14:textId="77777777" w:rsidR="00C35123" w:rsidRPr="00CC74FC" w:rsidRDefault="00C35123" w:rsidP="009A226B">
      <w:pPr>
        <w:pStyle w:val="ListParagraph"/>
        <w:tabs>
          <w:tab w:val="left" w:pos="567"/>
        </w:tabs>
        <w:spacing w:after="0" w:line="240" w:lineRule="auto"/>
        <w:ind w:left="1440"/>
        <w:jc w:val="both"/>
        <w:rPr>
          <w:rFonts w:ascii="Verdana" w:hAnsi="Verdana"/>
          <w:bCs/>
          <w:iCs/>
          <w:sz w:val="20"/>
          <w:szCs w:val="24"/>
        </w:rPr>
      </w:pPr>
    </w:p>
    <w:p w14:paraId="3672A43D" w14:textId="60AA5149" w:rsidR="00C35123" w:rsidRDefault="00C35123" w:rsidP="009A226B">
      <w:pPr>
        <w:pStyle w:val="ListParagraph"/>
        <w:numPr>
          <w:ilvl w:val="0"/>
          <w:numId w:val="20"/>
        </w:numPr>
        <w:tabs>
          <w:tab w:val="left" w:pos="567"/>
        </w:tabs>
        <w:spacing w:after="0" w:line="240" w:lineRule="auto"/>
        <w:jc w:val="both"/>
        <w:rPr>
          <w:rFonts w:ascii="Verdana" w:hAnsi="Verdana"/>
          <w:b/>
          <w:bCs/>
          <w:i/>
          <w:iCs/>
          <w:sz w:val="20"/>
          <w:szCs w:val="24"/>
        </w:rPr>
      </w:pPr>
      <w:r>
        <w:rPr>
          <w:rFonts w:ascii="Verdana" w:hAnsi="Verdana"/>
          <w:b/>
          <w:bCs/>
          <w:i/>
          <w:iCs/>
          <w:sz w:val="20"/>
          <w:szCs w:val="24"/>
        </w:rPr>
        <w:t>Declarante a título informativo</w:t>
      </w:r>
      <w:r w:rsidRPr="00477642">
        <w:rPr>
          <w:rFonts w:ascii="Verdana" w:hAnsi="Verdana"/>
          <w:b/>
          <w:bCs/>
          <w:i/>
          <w:iCs/>
          <w:sz w:val="20"/>
          <w:szCs w:val="24"/>
        </w:rPr>
        <w:t xml:space="preserve"> </w:t>
      </w:r>
    </w:p>
    <w:p w14:paraId="16DB3B47" w14:textId="77777777" w:rsidR="00981EC7" w:rsidRPr="00981EC7" w:rsidRDefault="00981EC7" w:rsidP="009A226B">
      <w:pPr>
        <w:pStyle w:val="ListParagraph"/>
        <w:tabs>
          <w:tab w:val="left" w:pos="567"/>
        </w:tabs>
        <w:spacing w:after="0" w:line="240" w:lineRule="auto"/>
        <w:jc w:val="both"/>
        <w:rPr>
          <w:rFonts w:ascii="Verdana" w:hAnsi="Verdana"/>
          <w:bCs/>
          <w:iCs/>
          <w:sz w:val="20"/>
          <w:szCs w:val="24"/>
        </w:rPr>
      </w:pPr>
    </w:p>
    <w:p w14:paraId="3AB3721D" w14:textId="77777777" w:rsidR="00981EC7" w:rsidRDefault="00981EC7" w:rsidP="009A226B">
      <w:pPr>
        <w:pStyle w:val="ListParagraph"/>
        <w:tabs>
          <w:tab w:val="left" w:pos="567"/>
        </w:tabs>
        <w:spacing w:after="0" w:line="240" w:lineRule="auto"/>
        <w:jc w:val="both"/>
        <w:rPr>
          <w:rFonts w:ascii="Verdana" w:eastAsia="Calibri" w:hAnsi="Verdana" w:cs="Verdana"/>
          <w:bCs/>
          <w:i/>
          <w:iCs/>
          <w:sz w:val="20"/>
          <w:szCs w:val="20"/>
        </w:rPr>
      </w:pPr>
      <w:r>
        <w:rPr>
          <w:rFonts w:ascii="Verdana" w:eastAsia="Calibri" w:hAnsi="Verdana" w:cs="Verdana"/>
          <w:bCs/>
          <w:i/>
          <w:iCs/>
          <w:sz w:val="20"/>
          <w:szCs w:val="20"/>
        </w:rPr>
        <w:t>Propuesto</w:t>
      </w:r>
      <w:r w:rsidRPr="002509A8">
        <w:rPr>
          <w:rFonts w:ascii="Verdana" w:eastAsia="Calibri" w:hAnsi="Verdana" w:cs="Verdana"/>
          <w:bCs/>
          <w:i/>
          <w:iCs/>
          <w:sz w:val="20"/>
          <w:szCs w:val="20"/>
        </w:rPr>
        <w:t xml:space="preserve"> por</w:t>
      </w:r>
      <w:r>
        <w:rPr>
          <w:rFonts w:ascii="Verdana" w:eastAsia="Calibri" w:hAnsi="Verdana" w:cs="Verdana"/>
          <w:bCs/>
          <w:i/>
          <w:iCs/>
          <w:sz w:val="20"/>
          <w:szCs w:val="20"/>
        </w:rPr>
        <w:t xml:space="preserve"> los representantes</w:t>
      </w:r>
    </w:p>
    <w:p w14:paraId="112D8F57" w14:textId="77777777" w:rsidR="00981EC7" w:rsidRPr="001F06EF" w:rsidRDefault="00981EC7" w:rsidP="009A226B">
      <w:pPr>
        <w:pStyle w:val="ListParagraph"/>
        <w:tabs>
          <w:tab w:val="left" w:pos="567"/>
        </w:tabs>
        <w:spacing w:after="0" w:line="240" w:lineRule="auto"/>
        <w:jc w:val="both"/>
        <w:rPr>
          <w:rFonts w:ascii="Verdana" w:eastAsia="Calibri" w:hAnsi="Verdana" w:cs="Verdana"/>
          <w:bCs/>
          <w:i/>
          <w:iCs/>
          <w:sz w:val="20"/>
          <w:szCs w:val="20"/>
        </w:rPr>
      </w:pPr>
    </w:p>
    <w:p w14:paraId="1BE0B70D" w14:textId="72A6E782" w:rsidR="00981EC7" w:rsidRPr="00FB6218" w:rsidRDefault="00981EC7" w:rsidP="009A226B">
      <w:pPr>
        <w:pStyle w:val="ListParagraph"/>
        <w:numPr>
          <w:ilvl w:val="0"/>
          <w:numId w:val="25"/>
        </w:numPr>
        <w:tabs>
          <w:tab w:val="left" w:pos="567"/>
          <w:tab w:val="left" w:pos="1440"/>
        </w:tabs>
        <w:spacing w:after="0" w:line="240" w:lineRule="auto"/>
        <w:ind w:hanging="731"/>
        <w:jc w:val="both"/>
        <w:rPr>
          <w:rFonts w:ascii="Verdana" w:eastAsia="Calibri" w:hAnsi="Verdana" w:cs="Verdana"/>
          <w:b/>
          <w:iCs/>
          <w:sz w:val="20"/>
          <w:szCs w:val="20"/>
        </w:rPr>
      </w:pPr>
      <w:r w:rsidRPr="00FB6218">
        <w:rPr>
          <w:rFonts w:ascii="Verdana" w:eastAsia="Calibri" w:hAnsi="Verdana" w:cs="Verdana"/>
          <w:iCs/>
          <w:sz w:val="20"/>
          <w:szCs w:val="20"/>
        </w:rPr>
        <w:t>Ernesto López Portillo, quien declarará sobre (a) el marco legal y diseño institucional de las corporaciones policiales en México; (b) la</w:t>
      </w:r>
      <w:r w:rsidR="005C6C93">
        <w:rPr>
          <w:rFonts w:ascii="Verdana" w:eastAsia="Calibri" w:hAnsi="Verdana" w:cs="Verdana"/>
          <w:iCs/>
          <w:sz w:val="20"/>
          <w:szCs w:val="20"/>
        </w:rPr>
        <w:t xml:space="preserve"> alegada</w:t>
      </w:r>
      <w:r w:rsidRPr="00FB6218">
        <w:rPr>
          <w:rFonts w:ascii="Verdana" w:eastAsia="Calibri" w:hAnsi="Verdana" w:cs="Verdana"/>
          <w:iCs/>
          <w:sz w:val="20"/>
          <w:szCs w:val="20"/>
        </w:rPr>
        <w:t xml:space="preserve"> falta de mecanismos de documentación del actuar, de controles y de rendición de cuentas de dichas instituciones, así como de los responsables políticos por las acciones de las instituciones policiacas en México; (c) cómo lo anterior </w:t>
      </w:r>
      <w:r w:rsidR="006F7C96">
        <w:rPr>
          <w:rFonts w:ascii="Verdana" w:eastAsia="Calibri" w:hAnsi="Verdana" w:cs="Verdana"/>
          <w:iCs/>
          <w:sz w:val="20"/>
          <w:szCs w:val="20"/>
        </w:rPr>
        <w:t>alegadamente</w:t>
      </w:r>
      <w:r w:rsidR="005C6C93">
        <w:rPr>
          <w:rFonts w:ascii="Verdana" w:eastAsia="Calibri" w:hAnsi="Verdana" w:cs="Verdana"/>
          <w:iCs/>
          <w:sz w:val="20"/>
          <w:szCs w:val="20"/>
        </w:rPr>
        <w:t xml:space="preserve"> </w:t>
      </w:r>
      <w:r w:rsidRPr="00FB6218">
        <w:rPr>
          <w:rFonts w:ascii="Verdana" w:eastAsia="Calibri" w:hAnsi="Verdana" w:cs="Verdana"/>
          <w:iCs/>
          <w:sz w:val="20"/>
          <w:szCs w:val="20"/>
        </w:rPr>
        <w:t xml:space="preserve">posibilita el uso excesivo y arbitrario de la fuerza pública por estas corporaciones, así como la </w:t>
      </w:r>
      <w:r w:rsidR="005C6C93">
        <w:rPr>
          <w:rFonts w:ascii="Verdana" w:eastAsia="Calibri" w:hAnsi="Verdana" w:cs="Verdana"/>
          <w:iCs/>
          <w:sz w:val="20"/>
          <w:szCs w:val="20"/>
        </w:rPr>
        <w:t xml:space="preserve">alegada </w:t>
      </w:r>
      <w:r w:rsidRPr="00FB6218">
        <w:rPr>
          <w:rFonts w:ascii="Verdana" w:eastAsia="Calibri" w:hAnsi="Verdana" w:cs="Verdana"/>
          <w:iCs/>
          <w:sz w:val="20"/>
          <w:szCs w:val="20"/>
        </w:rPr>
        <w:t>falta de adecuada in</w:t>
      </w:r>
      <w:r w:rsidR="0029421F">
        <w:rPr>
          <w:rFonts w:ascii="Verdana" w:eastAsia="Calibri" w:hAnsi="Verdana" w:cs="Verdana"/>
          <w:iCs/>
          <w:sz w:val="20"/>
          <w:szCs w:val="20"/>
        </w:rPr>
        <w:t>vestigación y sanción del mismo, y</w:t>
      </w:r>
      <w:r w:rsidRPr="00FB6218">
        <w:rPr>
          <w:rFonts w:ascii="Verdana" w:eastAsia="Calibri" w:hAnsi="Verdana" w:cs="Verdana"/>
          <w:iCs/>
          <w:sz w:val="20"/>
          <w:szCs w:val="20"/>
        </w:rPr>
        <w:t xml:space="preserve"> (d) la importancia y los elementos necesarios para un diseño adecuado de la institución policial en México incluyendo controles para maximizar el monitoreo, la documentación, el análisis, la mejora y la rendición de cuentas de las fuerzas policiales.</w:t>
      </w:r>
    </w:p>
    <w:p w14:paraId="3D6DF948" w14:textId="77777777" w:rsidR="00CC74FC" w:rsidRPr="00CC74FC" w:rsidRDefault="00CC74FC" w:rsidP="009A226B">
      <w:pPr>
        <w:pStyle w:val="ListParagraph"/>
        <w:tabs>
          <w:tab w:val="left" w:pos="567"/>
        </w:tabs>
        <w:spacing w:after="0" w:line="240" w:lineRule="auto"/>
        <w:ind w:left="1440"/>
        <w:jc w:val="both"/>
        <w:rPr>
          <w:rFonts w:ascii="Verdana" w:hAnsi="Verdana"/>
          <w:bCs/>
          <w:iCs/>
          <w:sz w:val="20"/>
          <w:szCs w:val="24"/>
        </w:rPr>
      </w:pPr>
    </w:p>
    <w:p w14:paraId="447F98F7" w14:textId="27D72080" w:rsidR="00CF1C87" w:rsidRDefault="00624328" w:rsidP="009A226B">
      <w:pPr>
        <w:pStyle w:val="ListParagraph"/>
        <w:numPr>
          <w:ilvl w:val="0"/>
          <w:numId w:val="20"/>
        </w:numPr>
        <w:tabs>
          <w:tab w:val="left" w:pos="567"/>
        </w:tabs>
        <w:spacing w:after="0" w:line="240" w:lineRule="auto"/>
        <w:jc w:val="both"/>
        <w:rPr>
          <w:rFonts w:ascii="Verdana" w:hAnsi="Verdana"/>
          <w:b/>
          <w:bCs/>
          <w:i/>
          <w:iCs/>
          <w:sz w:val="20"/>
          <w:szCs w:val="24"/>
        </w:rPr>
      </w:pPr>
      <w:r>
        <w:rPr>
          <w:rFonts w:ascii="Verdana" w:hAnsi="Verdana"/>
          <w:b/>
          <w:bCs/>
          <w:i/>
          <w:iCs/>
          <w:sz w:val="20"/>
          <w:szCs w:val="24"/>
        </w:rPr>
        <w:t>Perita</w:t>
      </w:r>
      <w:r w:rsidR="00CF1C87" w:rsidRPr="00477642">
        <w:rPr>
          <w:rFonts w:ascii="Verdana" w:hAnsi="Verdana"/>
          <w:b/>
          <w:bCs/>
          <w:i/>
          <w:iCs/>
          <w:sz w:val="20"/>
          <w:szCs w:val="24"/>
        </w:rPr>
        <w:t xml:space="preserve"> </w:t>
      </w:r>
    </w:p>
    <w:p w14:paraId="4C3091F6" w14:textId="77777777" w:rsidR="00B64B6F" w:rsidRPr="00005C3B" w:rsidRDefault="00B64B6F" w:rsidP="009A226B">
      <w:pPr>
        <w:tabs>
          <w:tab w:val="left" w:pos="567"/>
        </w:tabs>
        <w:spacing w:after="0" w:line="240" w:lineRule="auto"/>
        <w:jc w:val="both"/>
        <w:rPr>
          <w:rFonts w:ascii="Verdana" w:hAnsi="Verdana"/>
          <w:b/>
          <w:bCs/>
          <w:i/>
          <w:iCs/>
          <w:sz w:val="20"/>
          <w:szCs w:val="24"/>
        </w:rPr>
      </w:pPr>
    </w:p>
    <w:p w14:paraId="6E1C0DB3" w14:textId="5A7AE36A" w:rsidR="00CF1C87" w:rsidRDefault="00A5763C" w:rsidP="009A226B">
      <w:pPr>
        <w:tabs>
          <w:tab w:val="left" w:pos="567"/>
        </w:tabs>
        <w:spacing w:after="0" w:line="240" w:lineRule="auto"/>
        <w:ind w:firstLine="720"/>
        <w:jc w:val="both"/>
        <w:rPr>
          <w:rFonts w:ascii="Verdana" w:hAnsi="Verdana"/>
          <w:bCs/>
          <w:i/>
          <w:iCs/>
          <w:sz w:val="20"/>
          <w:szCs w:val="24"/>
        </w:rPr>
      </w:pPr>
      <w:r>
        <w:rPr>
          <w:rFonts w:ascii="Verdana" w:hAnsi="Verdana"/>
          <w:bCs/>
          <w:i/>
          <w:iCs/>
          <w:sz w:val="20"/>
          <w:szCs w:val="24"/>
        </w:rPr>
        <w:t>Propuesta por la Comisión</w:t>
      </w:r>
    </w:p>
    <w:p w14:paraId="3773525E" w14:textId="11EA97B0" w:rsidR="00A5763C" w:rsidRPr="00497C16" w:rsidRDefault="00A5763C" w:rsidP="009A226B">
      <w:pPr>
        <w:pStyle w:val="ListParagraph"/>
        <w:tabs>
          <w:tab w:val="left" w:pos="567"/>
        </w:tabs>
        <w:spacing w:after="0" w:line="240" w:lineRule="auto"/>
        <w:ind w:left="1440"/>
        <w:jc w:val="both"/>
        <w:rPr>
          <w:rFonts w:ascii="Verdana" w:hAnsi="Verdana"/>
          <w:bCs/>
          <w:iCs/>
          <w:sz w:val="20"/>
          <w:szCs w:val="24"/>
        </w:rPr>
      </w:pPr>
    </w:p>
    <w:p w14:paraId="560FCAA7" w14:textId="120C5F2F" w:rsidR="00CF1C87" w:rsidRPr="00497C16" w:rsidRDefault="00A5763C" w:rsidP="009A226B">
      <w:pPr>
        <w:pStyle w:val="ListParagraph"/>
        <w:numPr>
          <w:ilvl w:val="6"/>
          <w:numId w:val="12"/>
        </w:numPr>
        <w:tabs>
          <w:tab w:val="left" w:pos="567"/>
        </w:tabs>
        <w:spacing w:after="0" w:line="240" w:lineRule="auto"/>
        <w:ind w:left="1440" w:hanging="720"/>
        <w:jc w:val="both"/>
        <w:rPr>
          <w:rFonts w:ascii="Verdana" w:hAnsi="Verdana"/>
          <w:bCs/>
          <w:i/>
          <w:iCs/>
          <w:sz w:val="20"/>
          <w:szCs w:val="24"/>
        </w:rPr>
      </w:pPr>
      <w:r w:rsidRPr="00A5763C">
        <w:rPr>
          <w:rFonts w:ascii="Verdana" w:hAnsi="Verdana"/>
          <w:bCs/>
          <w:iCs/>
          <w:sz w:val="20"/>
          <w:szCs w:val="24"/>
        </w:rPr>
        <w:t>J</w:t>
      </w:r>
      <w:r>
        <w:rPr>
          <w:rFonts w:ascii="Verdana" w:hAnsi="Verdana"/>
          <w:bCs/>
          <w:iCs/>
          <w:sz w:val="20"/>
          <w:szCs w:val="24"/>
        </w:rPr>
        <w:t xml:space="preserve">ulissa Mantilla, quien </w:t>
      </w:r>
      <w:r w:rsidR="0029421F">
        <w:rPr>
          <w:rFonts w:ascii="Verdana" w:hAnsi="Verdana"/>
          <w:bCs/>
          <w:iCs/>
          <w:sz w:val="20"/>
          <w:szCs w:val="24"/>
        </w:rPr>
        <w:t xml:space="preserve">rendirá un peritaje </w:t>
      </w:r>
      <w:r w:rsidRPr="00A5763C">
        <w:rPr>
          <w:rFonts w:ascii="Verdana" w:hAnsi="Verdana"/>
          <w:bCs/>
          <w:iCs/>
          <w:sz w:val="20"/>
          <w:szCs w:val="24"/>
        </w:rPr>
        <w:t xml:space="preserve">sobre los estándares internacionales relevantes que determinan las </w:t>
      </w:r>
      <w:r>
        <w:rPr>
          <w:rFonts w:ascii="Verdana" w:hAnsi="Verdana"/>
          <w:bCs/>
          <w:iCs/>
          <w:sz w:val="20"/>
          <w:szCs w:val="24"/>
        </w:rPr>
        <w:t>obligaciones estatales en mat</w:t>
      </w:r>
      <w:r w:rsidRPr="00A5763C">
        <w:rPr>
          <w:rFonts w:ascii="Verdana" w:hAnsi="Verdana"/>
          <w:bCs/>
          <w:iCs/>
          <w:sz w:val="20"/>
          <w:szCs w:val="24"/>
        </w:rPr>
        <w:t xml:space="preserve">eria de debida diligencia en </w:t>
      </w:r>
      <w:r>
        <w:rPr>
          <w:rFonts w:ascii="Verdana" w:hAnsi="Verdana"/>
          <w:bCs/>
          <w:iCs/>
          <w:sz w:val="20"/>
          <w:szCs w:val="24"/>
        </w:rPr>
        <w:t>la</w:t>
      </w:r>
      <w:r w:rsidR="005C6C93">
        <w:rPr>
          <w:rFonts w:ascii="Verdana" w:hAnsi="Verdana"/>
          <w:bCs/>
          <w:iCs/>
          <w:sz w:val="20"/>
          <w:szCs w:val="24"/>
        </w:rPr>
        <w:t xml:space="preserve"> investigació</w:t>
      </w:r>
      <w:r w:rsidRPr="00A5763C">
        <w:rPr>
          <w:rFonts w:ascii="Verdana" w:hAnsi="Verdana"/>
          <w:bCs/>
          <w:iCs/>
          <w:sz w:val="20"/>
          <w:szCs w:val="24"/>
        </w:rPr>
        <w:t xml:space="preserve">n </w:t>
      </w:r>
      <w:r>
        <w:rPr>
          <w:rFonts w:ascii="Verdana" w:hAnsi="Verdana"/>
          <w:bCs/>
          <w:iCs/>
          <w:sz w:val="20"/>
          <w:szCs w:val="24"/>
        </w:rPr>
        <w:t>de caso</w:t>
      </w:r>
      <w:r w:rsidRPr="00A5763C">
        <w:rPr>
          <w:rFonts w:ascii="Verdana" w:hAnsi="Verdana"/>
          <w:bCs/>
          <w:iCs/>
          <w:sz w:val="20"/>
          <w:szCs w:val="24"/>
        </w:rPr>
        <w:t xml:space="preserve">s de violencia contra </w:t>
      </w:r>
      <w:r>
        <w:rPr>
          <w:rFonts w:ascii="Verdana" w:hAnsi="Verdana"/>
          <w:bCs/>
          <w:iCs/>
          <w:sz w:val="20"/>
          <w:szCs w:val="24"/>
        </w:rPr>
        <w:t>la</w:t>
      </w:r>
      <w:r w:rsidRPr="00A5763C">
        <w:rPr>
          <w:rFonts w:ascii="Verdana" w:hAnsi="Verdana"/>
          <w:bCs/>
          <w:iCs/>
          <w:sz w:val="20"/>
          <w:szCs w:val="24"/>
        </w:rPr>
        <w:t xml:space="preserve"> mujer, parti</w:t>
      </w:r>
      <w:r>
        <w:rPr>
          <w:rFonts w:ascii="Verdana" w:hAnsi="Verdana"/>
          <w:bCs/>
          <w:iCs/>
          <w:sz w:val="20"/>
          <w:szCs w:val="24"/>
        </w:rPr>
        <w:t>cularmente, violencia y violació</w:t>
      </w:r>
      <w:r w:rsidRPr="00A5763C">
        <w:rPr>
          <w:rFonts w:ascii="Verdana" w:hAnsi="Verdana"/>
          <w:bCs/>
          <w:iCs/>
          <w:sz w:val="20"/>
          <w:szCs w:val="24"/>
        </w:rPr>
        <w:t xml:space="preserve">n sexual. La perita </w:t>
      </w:r>
      <w:r>
        <w:rPr>
          <w:rFonts w:ascii="Verdana" w:hAnsi="Verdana"/>
          <w:bCs/>
          <w:iCs/>
          <w:sz w:val="20"/>
          <w:szCs w:val="24"/>
        </w:rPr>
        <w:t>tomará</w:t>
      </w:r>
      <w:r w:rsidRPr="00A5763C">
        <w:rPr>
          <w:rFonts w:ascii="Verdana" w:hAnsi="Verdana"/>
          <w:bCs/>
          <w:iCs/>
          <w:sz w:val="20"/>
          <w:szCs w:val="24"/>
        </w:rPr>
        <w:t xml:space="preserve"> en co</w:t>
      </w:r>
      <w:r>
        <w:rPr>
          <w:rFonts w:ascii="Verdana" w:hAnsi="Verdana"/>
          <w:bCs/>
          <w:iCs/>
          <w:sz w:val="20"/>
          <w:szCs w:val="24"/>
        </w:rPr>
        <w:t>nsideració</w:t>
      </w:r>
      <w:r w:rsidRPr="00A5763C">
        <w:rPr>
          <w:rFonts w:ascii="Verdana" w:hAnsi="Verdana"/>
          <w:bCs/>
          <w:iCs/>
          <w:sz w:val="20"/>
          <w:szCs w:val="24"/>
        </w:rPr>
        <w:t xml:space="preserve">n todas las distintas responsabilidades que pueden derivarse en un caso como el presente y </w:t>
      </w:r>
      <w:r>
        <w:rPr>
          <w:rFonts w:ascii="Verdana" w:hAnsi="Verdana"/>
          <w:bCs/>
          <w:iCs/>
          <w:sz w:val="20"/>
          <w:szCs w:val="24"/>
        </w:rPr>
        <w:t>la</w:t>
      </w:r>
      <w:r w:rsidRPr="00A5763C">
        <w:rPr>
          <w:rFonts w:ascii="Verdana" w:hAnsi="Verdana"/>
          <w:bCs/>
          <w:iCs/>
          <w:sz w:val="20"/>
          <w:szCs w:val="24"/>
        </w:rPr>
        <w:t xml:space="preserve"> necesidad de investigaci</w:t>
      </w:r>
      <w:r>
        <w:rPr>
          <w:rFonts w:ascii="Verdana" w:hAnsi="Verdana"/>
          <w:bCs/>
          <w:iCs/>
          <w:sz w:val="20"/>
          <w:szCs w:val="24"/>
        </w:rPr>
        <w:t>ó</w:t>
      </w:r>
      <w:r w:rsidRPr="00A5763C">
        <w:rPr>
          <w:rFonts w:ascii="Verdana" w:hAnsi="Verdana"/>
          <w:bCs/>
          <w:iCs/>
          <w:sz w:val="20"/>
          <w:szCs w:val="24"/>
        </w:rPr>
        <w:t xml:space="preserve">n de las </w:t>
      </w:r>
      <w:r>
        <w:rPr>
          <w:rFonts w:ascii="Verdana" w:hAnsi="Verdana"/>
          <w:bCs/>
          <w:iCs/>
          <w:sz w:val="20"/>
          <w:szCs w:val="24"/>
        </w:rPr>
        <w:t>mismas. Así</w:t>
      </w:r>
      <w:r w:rsidRPr="00A5763C">
        <w:rPr>
          <w:rFonts w:ascii="Verdana" w:hAnsi="Verdana"/>
          <w:bCs/>
          <w:iCs/>
          <w:sz w:val="20"/>
          <w:szCs w:val="24"/>
        </w:rPr>
        <w:t xml:space="preserve"> mismo, </w:t>
      </w:r>
      <w:r>
        <w:rPr>
          <w:rFonts w:ascii="Verdana" w:hAnsi="Verdana"/>
          <w:bCs/>
          <w:iCs/>
          <w:sz w:val="20"/>
          <w:szCs w:val="24"/>
        </w:rPr>
        <w:t>tomará</w:t>
      </w:r>
      <w:r w:rsidRPr="00A5763C">
        <w:rPr>
          <w:rFonts w:ascii="Verdana" w:hAnsi="Verdana"/>
          <w:bCs/>
          <w:iCs/>
          <w:sz w:val="20"/>
          <w:szCs w:val="24"/>
        </w:rPr>
        <w:t xml:space="preserve"> en cuenta las investigaciones realizadas en el</w:t>
      </w:r>
      <w:r>
        <w:rPr>
          <w:rFonts w:ascii="Verdana" w:hAnsi="Verdana"/>
          <w:bCs/>
          <w:iCs/>
          <w:sz w:val="20"/>
          <w:szCs w:val="24"/>
        </w:rPr>
        <w:t xml:space="preserve"> presente caso y aplicará</w:t>
      </w:r>
      <w:r w:rsidRPr="00A5763C">
        <w:rPr>
          <w:rFonts w:ascii="Verdana" w:hAnsi="Verdana"/>
          <w:bCs/>
          <w:iCs/>
          <w:sz w:val="20"/>
          <w:szCs w:val="24"/>
        </w:rPr>
        <w:t xml:space="preserve"> a las mismas los elementos desarrollados en su peritaje.</w:t>
      </w:r>
    </w:p>
    <w:p w14:paraId="52948478" w14:textId="77777777" w:rsidR="00CF1C87" w:rsidRPr="00497C16" w:rsidRDefault="00CF1C87" w:rsidP="009A226B">
      <w:pPr>
        <w:pStyle w:val="ListParagraph"/>
        <w:tabs>
          <w:tab w:val="left" w:pos="567"/>
        </w:tabs>
        <w:spacing w:after="0" w:line="240" w:lineRule="auto"/>
        <w:ind w:left="1440"/>
        <w:jc w:val="both"/>
        <w:rPr>
          <w:rFonts w:ascii="Verdana" w:hAnsi="Verdana"/>
          <w:bCs/>
          <w:iCs/>
          <w:sz w:val="20"/>
          <w:szCs w:val="24"/>
        </w:rPr>
      </w:pPr>
    </w:p>
    <w:p w14:paraId="372C4E0A" w14:textId="32750538" w:rsidR="000719A4" w:rsidRPr="00391C4F" w:rsidRDefault="00497C16"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391C4F">
        <w:rPr>
          <w:rFonts w:ascii="Verdana" w:hAnsi="Verdana"/>
          <w:sz w:val="20"/>
          <w:szCs w:val="20"/>
        </w:rPr>
        <w:t xml:space="preserve">Requerir a la perita </w:t>
      </w:r>
      <w:r w:rsidR="00391C4F">
        <w:rPr>
          <w:rFonts w:ascii="Verdana" w:hAnsi="Verdana"/>
          <w:sz w:val="20"/>
          <w:szCs w:val="20"/>
        </w:rPr>
        <w:t xml:space="preserve">y al declarante a título informativo </w:t>
      </w:r>
      <w:r w:rsidRPr="00391C4F">
        <w:rPr>
          <w:rFonts w:ascii="Verdana" w:hAnsi="Verdana"/>
          <w:sz w:val="20"/>
          <w:szCs w:val="20"/>
        </w:rPr>
        <w:t>convocad</w:t>
      </w:r>
      <w:r w:rsidR="00391C4F">
        <w:rPr>
          <w:rFonts w:ascii="Verdana" w:hAnsi="Verdana"/>
          <w:sz w:val="20"/>
          <w:szCs w:val="20"/>
        </w:rPr>
        <w:t>os</w:t>
      </w:r>
      <w:r w:rsidR="000719A4" w:rsidRPr="00391C4F">
        <w:rPr>
          <w:rFonts w:ascii="Verdana" w:hAnsi="Verdana"/>
          <w:sz w:val="20"/>
          <w:szCs w:val="20"/>
        </w:rPr>
        <w:t xml:space="preserve"> a declarar en audiencia que, de considerarlo conveniente, aporte</w:t>
      </w:r>
      <w:r w:rsidR="00391C4F">
        <w:rPr>
          <w:rFonts w:ascii="Verdana" w:hAnsi="Verdana"/>
          <w:sz w:val="20"/>
          <w:szCs w:val="20"/>
        </w:rPr>
        <w:t>n</w:t>
      </w:r>
      <w:r w:rsidR="000719A4" w:rsidRPr="00391C4F">
        <w:rPr>
          <w:rFonts w:ascii="Verdana" w:hAnsi="Verdana"/>
          <w:sz w:val="20"/>
          <w:szCs w:val="20"/>
        </w:rPr>
        <w:t xml:space="preserve"> una versión escrita de </w:t>
      </w:r>
      <w:r w:rsidR="00391C4F">
        <w:rPr>
          <w:rFonts w:ascii="Verdana" w:hAnsi="Verdana"/>
          <w:sz w:val="20"/>
          <w:szCs w:val="20"/>
        </w:rPr>
        <w:t>su declaración y de su</w:t>
      </w:r>
      <w:r w:rsidR="000719A4" w:rsidRPr="00391C4F">
        <w:rPr>
          <w:rFonts w:ascii="Verdana" w:hAnsi="Verdana"/>
          <w:sz w:val="20"/>
          <w:szCs w:val="20"/>
        </w:rPr>
        <w:t xml:space="preserve"> peritaje</w:t>
      </w:r>
      <w:r w:rsidR="00391C4F">
        <w:rPr>
          <w:rFonts w:ascii="Verdana" w:hAnsi="Verdana"/>
          <w:sz w:val="20"/>
          <w:szCs w:val="20"/>
        </w:rPr>
        <w:t>, respectivamente,</w:t>
      </w:r>
      <w:r w:rsidR="000719A4" w:rsidRPr="00391C4F">
        <w:rPr>
          <w:rFonts w:ascii="Verdana" w:hAnsi="Verdana"/>
          <w:sz w:val="20"/>
          <w:szCs w:val="20"/>
        </w:rPr>
        <w:t xml:space="preserve"> a más tardar el </w:t>
      </w:r>
      <w:r w:rsidR="003F60BD">
        <w:rPr>
          <w:rFonts w:ascii="Verdana" w:hAnsi="Verdana"/>
          <w:sz w:val="20"/>
          <w:szCs w:val="20"/>
        </w:rPr>
        <w:t>2</w:t>
      </w:r>
      <w:r w:rsidR="000719A4" w:rsidRPr="00391C4F">
        <w:rPr>
          <w:rFonts w:ascii="Verdana" w:hAnsi="Verdana"/>
          <w:sz w:val="20"/>
          <w:szCs w:val="20"/>
        </w:rPr>
        <w:t xml:space="preserve"> de </w:t>
      </w:r>
      <w:r w:rsidR="00391C4F" w:rsidRPr="00391C4F">
        <w:rPr>
          <w:rFonts w:ascii="Verdana" w:hAnsi="Verdana"/>
          <w:sz w:val="20"/>
          <w:szCs w:val="20"/>
        </w:rPr>
        <w:t xml:space="preserve">noviembre </w:t>
      </w:r>
      <w:r w:rsidR="000719A4" w:rsidRPr="00391C4F">
        <w:rPr>
          <w:rFonts w:ascii="Verdana" w:hAnsi="Verdana"/>
          <w:sz w:val="20"/>
          <w:szCs w:val="20"/>
        </w:rPr>
        <w:t>de 2017.</w:t>
      </w:r>
    </w:p>
    <w:p w14:paraId="37CC4E53" w14:textId="77777777" w:rsidR="000719A4" w:rsidRPr="000719A4" w:rsidRDefault="000719A4" w:rsidP="009A226B">
      <w:pPr>
        <w:pStyle w:val="ListParagraph"/>
        <w:tabs>
          <w:tab w:val="left" w:pos="567"/>
        </w:tabs>
        <w:spacing w:after="0" w:line="240" w:lineRule="auto"/>
        <w:ind w:left="0"/>
        <w:jc w:val="both"/>
        <w:rPr>
          <w:rFonts w:ascii="Verdana" w:hAnsi="Verdana"/>
          <w:bCs/>
          <w:iCs/>
          <w:sz w:val="20"/>
          <w:szCs w:val="24"/>
        </w:rPr>
      </w:pPr>
    </w:p>
    <w:p w14:paraId="356C2114" w14:textId="44192C6B" w:rsidR="00CF1C87" w:rsidRDefault="00CF1C8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6637F7">
        <w:rPr>
          <w:rFonts w:ascii="Verdana" w:hAnsi="Verdana"/>
          <w:bCs/>
          <w:iCs/>
          <w:sz w:val="20"/>
          <w:szCs w:val="24"/>
        </w:rPr>
        <w:t xml:space="preserve">Requerir a </w:t>
      </w:r>
      <w:r w:rsidR="00497C16">
        <w:rPr>
          <w:rFonts w:ascii="Verdana" w:hAnsi="Verdana"/>
          <w:bCs/>
          <w:iCs/>
          <w:sz w:val="20"/>
          <w:szCs w:val="24"/>
        </w:rPr>
        <w:t>México</w:t>
      </w:r>
      <w:r w:rsidRPr="006637F7">
        <w:rPr>
          <w:rFonts w:ascii="Verdana" w:hAnsi="Verdana"/>
          <w:bCs/>
          <w:iCs/>
          <w:sz w:val="20"/>
          <w:szCs w:val="24"/>
        </w:rPr>
        <w:t xml:space="preserve"> que facilite la salida y entrada de su territorio de </w:t>
      </w:r>
      <w:r w:rsidR="00497C16">
        <w:rPr>
          <w:rFonts w:ascii="Verdana" w:hAnsi="Verdana"/>
          <w:bCs/>
          <w:iCs/>
          <w:sz w:val="20"/>
          <w:szCs w:val="24"/>
        </w:rPr>
        <w:t>l</w:t>
      </w:r>
      <w:r w:rsidR="0029421F">
        <w:rPr>
          <w:rFonts w:ascii="Verdana" w:hAnsi="Verdana"/>
          <w:bCs/>
          <w:iCs/>
          <w:sz w:val="20"/>
          <w:szCs w:val="24"/>
        </w:rPr>
        <w:t>o</w:t>
      </w:r>
      <w:r w:rsidR="00497C16">
        <w:rPr>
          <w:rFonts w:ascii="Verdana" w:hAnsi="Verdana"/>
          <w:bCs/>
          <w:iCs/>
          <w:sz w:val="20"/>
          <w:szCs w:val="24"/>
        </w:rPr>
        <w:t>s</w:t>
      </w:r>
      <w:r w:rsidRPr="006637F7">
        <w:rPr>
          <w:rFonts w:ascii="Verdana" w:hAnsi="Verdana"/>
          <w:bCs/>
          <w:iCs/>
          <w:sz w:val="20"/>
          <w:szCs w:val="24"/>
        </w:rPr>
        <w:t xml:space="preserve"> declarantes, si residen o se encuentra</w:t>
      </w:r>
      <w:r w:rsidR="00497C16">
        <w:rPr>
          <w:rFonts w:ascii="Verdana" w:hAnsi="Verdana"/>
          <w:bCs/>
          <w:iCs/>
          <w:sz w:val="20"/>
          <w:szCs w:val="24"/>
        </w:rPr>
        <w:t>n en él, quienes han sido citad</w:t>
      </w:r>
      <w:r w:rsidR="0029421F">
        <w:rPr>
          <w:rFonts w:ascii="Verdana" w:hAnsi="Verdana"/>
          <w:bCs/>
          <w:iCs/>
          <w:sz w:val="20"/>
          <w:szCs w:val="24"/>
        </w:rPr>
        <w:t>o</w:t>
      </w:r>
      <w:r w:rsidRPr="006637F7">
        <w:rPr>
          <w:rFonts w:ascii="Verdana" w:hAnsi="Verdana"/>
          <w:bCs/>
          <w:iCs/>
          <w:sz w:val="20"/>
          <w:szCs w:val="24"/>
        </w:rPr>
        <w:t>s en la presente Resolución a rendir declaración</w:t>
      </w:r>
      <w:r w:rsidRPr="00A60BFB">
        <w:rPr>
          <w:rFonts w:ascii="Verdana" w:hAnsi="Verdana"/>
          <w:bCs/>
          <w:iCs/>
          <w:sz w:val="20"/>
          <w:szCs w:val="24"/>
        </w:rPr>
        <w:t xml:space="preserve"> en la referida audiencia pública, de conformidad con lo dispuesto en el artículo 26.1 del Reglamento de la Corte. </w:t>
      </w:r>
    </w:p>
    <w:p w14:paraId="2D93CF45" w14:textId="77777777" w:rsidR="00CF1C87" w:rsidRDefault="00CF1C87" w:rsidP="009A226B">
      <w:pPr>
        <w:pStyle w:val="ListParagraph"/>
        <w:tabs>
          <w:tab w:val="left" w:pos="567"/>
        </w:tabs>
        <w:spacing w:after="0" w:line="240" w:lineRule="auto"/>
        <w:ind w:left="0"/>
        <w:jc w:val="both"/>
        <w:rPr>
          <w:rFonts w:ascii="Verdana" w:hAnsi="Verdana"/>
          <w:bCs/>
          <w:iCs/>
          <w:sz w:val="20"/>
          <w:szCs w:val="24"/>
        </w:rPr>
      </w:pPr>
    </w:p>
    <w:p w14:paraId="634FB051" w14:textId="103DCAA5" w:rsidR="00802BD5" w:rsidRPr="00CF1C87" w:rsidRDefault="00802BD5"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bookmarkStart w:id="6" w:name="_Ref477386390"/>
      <w:r w:rsidRPr="00CF1C87">
        <w:rPr>
          <w:rFonts w:ascii="Verdana" w:eastAsia="Calibri" w:hAnsi="Verdana" w:cs="Verdana"/>
          <w:sz w:val="20"/>
          <w:szCs w:val="20"/>
        </w:rPr>
        <w:t>Requerir, por las razones expuestas en la presente Resolución, de conformidad con el principio de economía procesal y de la facultad que le otorga el artículo 50.1 del Reglamento de la Corte, que las siguientes personas presten sus declaraciones ante fedatario público:</w:t>
      </w:r>
      <w:bookmarkEnd w:id="5"/>
      <w:bookmarkEnd w:id="6"/>
    </w:p>
    <w:p w14:paraId="032C0AA4" w14:textId="77777777" w:rsidR="00802BD5" w:rsidRPr="00802BD5" w:rsidRDefault="00802BD5" w:rsidP="009A226B">
      <w:pPr>
        <w:widowControl w:val="0"/>
        <w:tabs>
          <w:tab w:val="left" w:pos="567"/>
        </w:tabs>
        <w:autoSpaceDE w:val="0"/>
        <w:autoSpaceDN w:val="0"/>
        <w:adjustRightInd w:val="0"/>
        <w:spacing w:after="0" w:line="240" w:lineRule="auto"/>
        <w:ind w:right="22"/>
        <w:jc w:val="both"/>
        <w:rPr>
          <w:rFonts w:ascii="Verdana" w:eastAsia="Calibri" w:hAnsi="Verdana" w:cs="Verdana"/>
          <w:sz w:val="20"/>
          <w:szCs w:val="20"/>
        </w:rPr>
      </w:pPr>
    </w:p>
    <w:p w14:paraId="79BF8ACD" w14:textId="77777777" w:rsidR="00191BEF" w:rsidRDefault="00191BEF" w:rsidP="009A226B">
      <w:pPr>
        <w:pStyle w:val="Heading1"/>
      </w:pPr>
      <w:r w:rsidRPr="00191BEF">
        <w:t>Declarantes</w:t>
      </w:r>
    </w:p>
    <w:p w14:paraId="3C01462B" w14:textId="77777777" w:rsidR="00191BEF" w:rsidRDefault="00191BEF" w:rsidP="009A226B">
      <w:pPr>
        <w:tabs>
          <w:tab w:val="left" w:pos="567"/>
        </w:tabs>
        <w:spacing w:after="0" w:line="240" w:lineRule="auto"/>
        <w:ind w:left="720"/>
        <w:jc w:val="both"/>
      </w:pPr>
    </w:p>
    <w:p w14:paraId="034CE46B" w14:textId="443CCBFD" w:rsidR="002509A8" w:rsidRDefault="00802BD5" w:rsidP="009A226B">
      <w:pPr>
        <w:tabs>
          <w:tab w:val="left" w:pos="567"/>
        </w:tabs>
        <w:spacing w:after="0" w:line="240" w:lineRule="auto"/>
        <w:ind w:left="720"/>
        <w:jc w:val="both"/>
        <w:rPr>
          <w:rFonts w:ascii="Verdana" w:eastAsia="Calibri" w:hAnsi="Verdana" w:cs="Verdana"/>
          <w:i/>
          <w:iCs/>
          <w:sz w:val="20"/>
          <w:szCs w:val="20"/>
        </w:rPr>
      </w:pPr>
      <w:r w:rsidRPr="00802BD5">
        <w:rPr>
          <w:rFonts w:ascii="Verdana" w:eastAsia="Calibri" w:hAnsi="Verdana" w:cs="Verdana"/>
          <w:i/>
          <w:iCs/>
          <w:sz w:val="20"/>
          <w:szCs w:val="20"/>
        </w:rPr>
        <w:t>Pr</w:t>
      </w:r>
      <w:r w:rsidR="002509A8">
        <w:rPr>
          <w:rFonts w:ascii="Verdana" w:eastAsia="Calibri" w:hAnsi="Verdana" w:cs="Verdana"/>
          <w:i/>
          <w:iCs/>
          <w:sz w:val="20"/>
          <w:szCs w:val="20"/>
        </w:rPr>
        <w:t>opuesta</w:t>
      </w:r>
      <w:r w:rsidR="00497C16">
        <w:rPr>
          <w:rFonts w:ascii="Verdana" w:eastAsia="Calibri" w:hAnsi="Verdana" w:cs="Verdana"/>
          <w:i/>
          <w:iCs/>
          <w:sz w:val="20"/>
          <w:szCs w:val="20"/>
        </w:rPr>
        <w:t>s</w:t>
      </w:r>
      <w:r w:rsidRPr="00802BD5">
        <w:rPr>
          <w:rFonts w:ascii="Verdana" w:eastAsia="Calibri" w:hAnsi="Verdana" w:cs="Verdana"/>
          <w:i/>
          <w:iCs/>
          <w:sz w:val="20"/>
          <w:szCs w:val="20"/>
        </w:rPr>
        <w:t xml:space="preserve"> por los representantes</w:t>
      </w:r>
    </w:p>
    <w:p w14:paraId="37E3A03C" w14:textId="77777777" w:rsidR="0011434A" w:rsidRDefault="0011434A" w:rsidP="009A226B">
      <w:pPr>
        <w:tabs>
          <w:tab w:val="left" w:pos="567"/>
        </w:tabs>
        <w:spacing w:after="0" w:line="240" w:lineRule="auto"/>
        <w:ind w:left="720"/>
        <w:jc w:val="both"/>
        <w:rPr>
          <w:rFonts w:ascii="Verdana" w:eastAsia="Calibri" w:hAnsi="Verdana" w:cs="Verdana"/>
          <w:i/>
          <w:iCs/>
          <w:sz w:val="20"/>
          <w:szCs w:val="20"/>
        </w:rPr>
      </w:pPr>
    </w:p>
    <w:p w14:paraId="4453E5A0" w14:textId="5B59CBD0" w:rsidR="00C35123" w:rsidRPr="00C35123" w:rsidRDefault="00C35123" w:rsidP="009A226B">
      <w:pPr>
        <w:pStyle w:val="ListParagraph"/>
        <w:numPr>
          <w:ilvl w:val="0"/>
          <w:numId w:val="14"/>
        </w:numPr>
        <w:tabs>
          <w:tab w:val="left" w:pos="567"/>
          <w:tab w:val="left" w:pos="1418"/>
        </w:tabs>
        <w:spacing w:after="0" w:line="240" w:lineRule="auto"/>
        <w:ind w:left="1418" w:hanging="709"/>
        <w:jc w:val="both"/>
        <w:rPr>
          <w:rFonts w:ascii="Verdana" w:hAnsi="Verdana"/>
          <w:bCs/>
          <w:iCs/>
          <w:sz w:val="20"/>
          <w:szCs w:val="24"/>
        </w:rPr>
      </w:pPr>
      <w:r w:rsidRPr="00C35123">
        <w:rPr>
          <w:rFonts w:ascii="Verdana" w:hAnsi="Verdana" w:cs="Arial"/>
          <w:bCs/>
          <w:sz w:val="20"/>
          <w:szCs w:val="20"/>
        </w:rPr>
        <w:t>María Patricia Romero Hernández,</w:t>
      </w:r>
      <w:r w:rsidRPr="00C35123">
        <w:rPr>
          <w:rFonts w:ascii="Verdana" w:hAnsi="Verdana" w:cs="Arial"/>
          <w:b/>
          <w:bCs/>
          <w:sz w:val="20"/>
          <w:szCs w:val="20"/>
        </w:rPr>
        <w:t xml:space="preserve"> </w:t>
      </w:r>
      <w:r w:rsidRPr="00C35123">
        <w:rPr>
          <w:rFonts w:ascii="Verdana" w:hAnsi="Verdana" w:cs="Arial"/>
          <w:sz w:val="20"/>
          <w:szCs w:val="20"/>
        </w:rPr>
        <w:t xml:space="preserve">quien declarará sobre: (a) los motivos por los que se encontraba en el escenario del operativo policiaco del 3 y 4 de mayo de 2006, en Texcoco y San Salvador Atenco; (b) lo que vio al llegar y </w:t>
      </w:r>
      <w:r w:rsidRPr="00C35123">
        <w:rPr>
          <w:rFonts w:ascii="Verdana" w:hAnsi="Verdana" w:cs="Arial"/>
          <w:sz w:val="20"/>
          <w:szCs w:val="20"/>
        </w:rPr>
        <w:lastRenderedPageBreak/>
        <w:t xml:space="preserve">las acciones que tomó ante el clima de violencia; (c) las circunstancias de su detención, incluyendo el </w:t>
      </w:r>
      <w:r w:rsidR="00191BEF">
        <w:rPr>
          <w:rFonts w:ascii="Verdana" w:hAnsi="Verdana" w:cs="Arial"/>
          <w:sz w:val="20"/>
          <w:szCs w:val="20"/>
        </w:rPr>
        <w:t>alegado</w:t>
      </w:r>
      <w:r w:rsidR="001C510E">
        <w:rPr>
          <w:rFonts w:ascii="Verdana" w:hAnsi="Verdana" w:cs="Arial"/>
          <w:sz w:val="20"/>
          <w:szCs w:val="20"/>
        </w:rPr>
        <w:t xml:space="preserve"> </w:t>
      </w:r>
      <w:r w:rsidRPr="00C35123">
        <w:rPr>
          <w:rFonts w:ascii="Verdana" w:hAnsi="Verdana" w:cs="Arial"/>
          <w:sz w:val="20"/>
          <w:szCs w:val="20"/>
        </w:rPr>
        <w:t xml:space="preserve">uso excesivo de la fuerza empleada en la misma; (d) la </w:t>
      </w:r>
      <w:r w:rsidR="00191BEF">
        <w:rPr>
          <w:rFonts w:ascii="Verdana" w:hAnsi="Verdana" w:cs="Arial"/>
          <w:sz w:val="20"/>
          <w:szCs w:val="20"/>
        </w:rPr>
        <w:t xml:space="preserve">alegada </w:t>
      </w:r>
      <w:r w:rsidRPr="00C35123">
        <w:rPr>
          <w:rFonts w:ascii="Verdana" w:hAnsi="Verdana" w:cs="Arial"/>
          <w:sz w:val="20"/>
          <w:szCs w:val="20"/>
        </w:rPr>
        <w:t xml:space="preserve">violencia física, psicológica y sexual que sufrió y de la que fue testigo a partir de la detención, incluyendo en su traslado del lugar de detención, hasta llegar al CEPRESO; (e) lo que ocurrió al llegar al CEPRESO, incluyendo </w:t>
      </w:r>
      <w:r w:rsidR="001C510E">
        <w:rPr>
          <w:rFonts w:ascii="Verdana" w:hAnsi="Verdana" w:cs="Arial"/>
          <w:sz w:val="20"/>
          <w:szCs w:val="20"/>
        </w:rPr>
        <w:t xml:space="preserve">los </w:t>
      </w:r>
      <w:r w:rsidR="00191BEF">
        <w:rPr>
          <w:rFonts w:ascii="Verdana" w:hAnsi="Verdana" w:cs="Arial"/>
          <w:sz w:val="20"/>
          <w:szCs w:val="20"/>
        </w:rPr>
        <w:t xml:space="preserve">alegados </w:t>
      </w:r>
      <w:r w:rsidRPr="00C35123">
        <w:rPr>
          <w:rFonts w:ascii="Verdana" w:hAnsi="Verdana" w:cs="Arial"/>
          <w:sz w:val="20"/>
          <w:szCs w:val="20"/>
        </w:rPr>
        <w:t xml:space="preserve">nuevos actos de violencia y la </w:t>
      </w:r>
      <w:r w:rsidR="001C510E">
        <w:rPr>
          <w:rFonts w:ascii="Verdana" w:hAnsi="Verdana" w:cs="Arial"/>
          <w:sz w:val="20"/>
          <w:szCs w:val="20"/>
        </w:rPr>
        <w:t xml:space="preserve">alegada </w:t>
      </w:r>
      <w:r w:rsidRPr="00C35123">
        <w:rPr>
          <w:rFonts w:ascii="Verdana" w:hAnsi="Verdana" w:cs="Arial"/>
          <w:sz w:val="20"/>
          <w:szCs w:val="20"/>
        </w:rPr>
        <w:t>ausencia de adecuada asistencia jurídica y atención médica y psicológica; (f) su contacto con distintos agentes estatales en el marco de las diversas investigaciones y procesos por los hechos del 3 y 4 de mayo de 2006, las acciones que tomó y los resultados de estas en dichos procesos y en su acceso a la justicia; (g) las afectaciones sufridas por ella y su familia por los hechos descritos</w:t>
      </w:r>
      <w:r w:rsidR="0029421F">
        <w:rPr>
          <w:rFonts w:ascii="Verdana" w:hAnsi="Verdana" w:cs="Arial"/>
          <w:sz w:val="20"/>
          <w:szCs w:val="20"/>
        </w:rPr>
        <w:t>,</w:t>
      </w:r>
      <w:r w:rsidRPr="00C35123">
        <w:rPr>
          <w:rFonts w:ascii="Verdana" w:hAnsi="Verdana" w:cs="Arial"/>
          <w:sz w:val="20"/>
          <w:szCs w:val="20"/>
        </w:rPr>
        <w:t xml:space="preserve"> y (h) sobre posibles medidas de reparación.</w:t>
      </w:r>
    </w:p>
    <w:p w14:paraId="08E8DEF7" w14:textId="77777777" w:rsidR="00C35123" w:rsidRPr="00C35123" w:rsidRDefault="00C35123" w:rsidP="009A226B">
      <w:pPr>
        <w:pStyle w:val="ListParagraph"/>
        <w:tabs>
          <w:tab w:val="left" w:pos="567"/>
          <w:tab w:val="left" w:pos="1418"/>
        </w:tabs>
        <w:spacing w:after="0" w:line="240" w:lineRule="auto"/>
        <w:ind w:left="1418"/>
        <w:jc w:val="both"/>
        <w:rPr>
          <w:rFonts w:ascii="Verdana" w:hAnsi="Verdana"/>
          <w:bCs/>
          <w:iCs/>
          <w:sz w:val="20"/>
          <w:szCs w:val="24"/>
        </w:rPr>
      </w:pPr>
    </w:p>
    <w:p w14:paraId="73143049" w14:textId="7FEDC7CA" w:rsidR="00CC74FC" w:rsidRPr="00CC74FC" w:rsidRDefault="00CC74FC" w:rsidP="009A226B">
      <w:pPr>
        <w:pStyle w:val="ListParagraph"/>
        <w:numPr>
          <w:ilvl w:val="0"/>
          <w:numId w:val="14"/>
        </w:numPr>
        <w:tabs>
          <w:tab w:val="left" w:pos="567"/>
          <w:tab w:val="left" w:pos="1418"/>
        </w:tabs>
        <w:spacing w:after="0" w:line="240" w:lineRule="auto"/>
        <w:ind w:left="1418" w:hanging="709"/>
        <w:jc w:val="both"/>
        <w:rPr>
          <w:rFonts w:ascii="Verdana" w:hAnsi="Verdana"/>
          <w:bCs/>
          <w:iCs/>
          <w:sz w:val="20"/>
          <w:szCs w:val="24"/>
        </w:rPr>
      </w:pPr>
      <w:r w:rsidRPr="00CC74FC">
        <w:rPr>
          <w:rFonts w:ascii="Verdana" w:hAnsi="Verdana" w:cs="Arial"/>
          <w:bCs/>
          <w:sz w:val="20"/>
          <w:szCs w:val="20"/>
        </w:rPr>
        <w:t>Georgina Edith Rosales Gutiérrez,</w:t>
      </w:r>
      <w:r w:rsidRPr="00CC74FC">
        <w:rPr>
          <w:rFonts w:ascii="Verdana" w:hAnsi="Verdana" w:cs="Arial"/>
          <w:b/>
          <w:bCs/>
          <w:sz w:val="20"/>
          <w:szCs w:val="20"/>
        </w:rPr>
        <w:t xml:space="preserve"> </w:t>
      </w:r>
      <w:r w:rsidRPr="00CC74FC">
        <w:rPr>
          <w:rFonts w:ascii="Verdana" w:hAnsi="Verdana" w:cs="Arial"/>
          <w:sz w:val="20"/>
          <w:szCs w:val="20"/>
        </w:rPr>
        <w:t xml:space="preserve">quien declarará sobre: (a) los motivos por los que se encontraba en el escenario del operativo policiaco del 3 y 4 de mayo de 2006, en Texcoco y San Salvador Atenco; (b) lo que vio al llegar y las acciones que tomó ante el clima de violencia; (c) las circunstancias de su detención, incluyendo el </w:t>
      </w:r>
      <w:r w:rsidR="00FD6873">
        <w:rPr>
          <w:rFonts w:ascii="Verdana" w:hAnsi="Verdana" w:cs="Arial"/>
          <w:sz w:val="20"/>
          <w:szCs w:val="20"/>
        </w:rPr>
        <w:t>alegado</w:t>
      </w:r>
      <w:r w:rsidR="001C510E">
        <w:rPr>
          <w:rFonts w:ascii="Verdana" w:hAnsi="Verdana" w:cs="Arial"/>
          <w:sz w:val="20"/>
          <w:szCs w:val="20"/>
        </w:rPr>
        <w:t xml:space="preserve"> </w:t>
      </w:r>
      <w:r w:rsidRPr="00CC74FC">
        <w:rPr>
          <w:rFonts w:ascii="Verdana" w:hAnsi="Verdana" w:cs="Arial"/>
          <w:sz w:val="20"/>
          <w:szCs w:val="20"/>
        </w:rPr>
        <w:t xml:space="preserve">uso excesivo de la fuerza empleada en la misma; (d) la </w:t>
      </w:r>
      <w:r w:rsidR="00FD6873">
        <w:rPr>
          <w:rFonts w:ascii="Verdana" w:hAnsi="Verdana" w:cs="Arial"/>
          <w:sz w:val="20"/>
          <w:szCs w:val="20"/>
        </w:rPr>
        <w:t xml:space="preserve">alegada </w:t>
      </w:r>
      <w:r w:rsidRPr="00CC74FC">
        <w:rPr>
          <w:rFonts w:ascii="Verdana" w:hAnsi="Verdana" w:cs="Arial"/>
          <w:sz w:val="20"/>
          <w:szCs w:val="20"/>
        </w:rPr>
        <w:t xml:space="preserve">violencia física, psicológica y sexual que sufrió y de la que fue testigo a partir de la detención, incluyendo en su traslado del lugar de detención, hasta llegar al CEPRESO; (e) lo que ocurrió al llegar al CEPRESO, incluyendo </w:t>
      </w:r>
      <w:r w:rsidR="001C510E">
        <w:rPr>
          <w:rFonts w:ascii="Verdana" w:hAnsi="Verdana" w:cs="Arial"/>
          <w:sz w:val="20"/>
          <w:szCs w:val="20"/>
        </w:rPr>
        <w:t xml:space="preserve">los </w:t>
      </w:r>
      <w:r w:rsidR="00FD6873">
        <w:rPr>
          <w:rFonts w:ascii="Verdana" w:hAnsi="Verdana" w:cs="Arial"/>
          <w:sz w:val="20"/>
          <w:szCs w:val="20"/>
        </w:rPr>
        <w:t>alegados</w:t>
      </w:r>
      <w:r w:rsidR="001C510E">
        <w:rPr>
          <w:rFonts w:ascii="Verdana" w:hAnsi="Verdana" w:cs="Arial"/>
          <w:sz w:val="20"/>
          <w:szCs w:val="20"/>
        </w:rPr>
        <w:t xml:space="preserve"> </w:t>
      </w:r>
      <w:r w:rsidRPr="00CC74FC">
        <w:rPr>
          <w:rFonts w:ascii="Verdana" w:hAnsi="Verdana" w:cs="Arial"/>
          <w:sz w:val="20"/>
          <w:szCs w:val="20"/>
        </w:rPr>
        <w:t xml:space="preserve">nuevos actos de violencia y la </w:t>
      </w:r>
      <w:r w:rsidR="001C510E">
        <w:rPr>
          <w:rFonts w:ascii="Verdana" w:hAnsi="Verdana" w:cs="Arial"/>
          <w:sz w:val="20"/>
          <w:szCs w:val="20"/>
        </w:rPr>
        <w:t xml:space="preserve">alegada </w:t>
      </w:r>
      <w:r w:rsidRPr="00CC74FC">
        <w:rPr>
          <w:rFonts w:ascii="Verdana" w:hAnsi="Verdana" w:cs="Arial"/>
          <w:sz w:val="20"/>
          <w:szCs w:val="20"/>
        </w:rPr>
        <w:t>ausencia de adecuada asistencia jurídica y atención médica y psicológica; (f) su contacto con distintos agentes estatales en el marco de las diversas investigaciones y procesos por los hechos del 3 y 4 de mayo de 2006, las acciones que tomó y los resultados de estas en dichos procesos y en su acceso a la justicia; (g) las afectaciones sufridas por ella y su familia por los hechos descritos</w:t>
      </w:r>
      <w:r w:rsidR="0029421F">
        <w:rPr>
          <w:rFonts w:ascii="Verdana" w:hAnsi="Verdana" w:cs="Arial"/>
          <w:sz w:val="20"/>
          <w:szCs w:val="20"/>
        </w:rPr>
        <w:t>,</w:t>
      </w:r>
      <w:r w:rsidRPr="00CC74FC">
        <w:rPr>
          <w:rFonts w:ascii="Verdana" w:hAnsi="Verdana" w:cs="Arial"/>
          <w:sz w:val="20"/>
          <w:szCs w:val="20"/>
        </w:rPr>
        <w:t xml:space="preserve"> y (h) sobre posibles medidas de reparación.</w:t>
      </w:r>
    </w:p>
    <w:p w14:paraId="09E0ECF3" w14:textId="77777777" w:rsidR="00CC74FC" w:rsidRDefault="00CC74FC" w:rsidP="009A226B">
      <w:pPr>
        <w:pStyle w:val="ListParagraph"/>
        <w:tabs>
          <w:tab w:val="left" w:pos="567"/>
          <w:tab w:val="left" w:pos="1418"/>
        </w:tabs>
        <w:spacing w:after="0" w:line="240" w:lineRule="auto"/>
        <w:ind w:left="1418"/>
        <w:jc w:val="both"/>
        <w:rPr>
          <w:rFonts w:ascii="Verdana" w:hAnsi="Verdana"/>
          <w:bCs/>
          <w:iCs/>
          <w:sz w:val="20"/>
          <w:szCs w:val="24"/>
        </w:rPr>
      </w:pPr>
    </w:p>
    <w:p w14:paraId="3286DC97" w14:textId="0E5446C8" w:rsidR="00D43BDF" w:rsidRDefault="00237232" w:rsidP="009A226B">
      <w:pPr>
        <w:pStyle w:val="ListParagraph"/>
        <w:numPr>
          <w:ilvl w:val="0"/>
          <w:numId w:val="14"/>
        </w:numPr>
        <w:tabs>
          <w:tab w:val="left" w:pos="567"/>
          <w:tab w:val="left" w:pos="1418"/>
        </w:tabs>
        <w:spacing w:after="0" w:line="240" w:lineRule="auto"/>
        <w:ind w:left="1418" w:hanging="709"/>
        <w:jc w:val="both"/>
        <w:rPr>
          <w:rFonts w:ascii="Verdana" w:hAnsi="Verdana"/>
          <w:bCs/>
          <w:iCs/>
          <w:sz w:val="20"/>
          <w:szCs w:val="24"/>
        </w:rPr>
      </w:pPr>
      <w:r w:rsidRPr="00237232">
        <w:rPr>
          <w:rFonts w:ascii="Verdana" w:hAnsi="Verdana"/>
          <w:bCs/>
          <w:iCs/>
          <w:sz w:val="20"/>
          <w:szCs w:val="24"/>
        </w:rPr>
        <w:t xml:space="preserve">Mariana Selvas Gómez, </w:t>
      </w:r>
      <w:r>
        <w:rPr>
          <w:rFonts w:ascii="Verdana" w:hAnsi="Verdana"/>
          <w:bCs/>
          <w:iCs/>
          <w:sz w:val="20"/>
          <w:szCs w:val="24"/>
        </w:rPr>
        <w:t xml:space="preserve">quien declarará sobre: (a) los </w:t>
      </w:r>
      <w:r w:rsidRPr="00237232">
        <w:rPr>
          <w:rFonts w:ascii="Verdana" w:hAnsi="Verdana"/>
          <w:bCs/>
          <w:iCs/>
          <w:sz w:val="20"/>
          <w:szCs w:val="24"/>
        </w:rPr>
        <w:t>motivos</w:t>
      </w:r>
      <w:r>
        <w:rPr>
          <w:rFonts w:ascii="Verdana" w:hAnsi="Verdana"/>
          <w:bCs/>
          <w:iCs/>
          <w:sz w:val="20"/>
          <w:szCs w:val="24"/>
        </w:rPr>
        <w:t xml:space="preserve"> </w:t>
      </w:r>
      <w:r w:rsidRPr="00237232">
        <w:rPr>
          <w:rFonts w:ascii="Verdana" w:hAnsi="Verdana"/>
          <w:bCs/>
          <w:iCs/>
          <w:sz w:val="20"/>
          <w:szCs w:val="24"/>
        </w:rPr>
        <w:t>por los que se encontraba en el escenario del operativo policiaco del 3 y 4 de mayo</w:t>
      </w:r>
      <w:r>
        <w:rPr>
          <w:rFonts w:ascii="Verdana" w:hAnsi="Verdana"/>
          <w:bCs/>
          <w:iCs/>
          <w:sz w:val="20"/>
          <w:szCs w:val="24"/>
        </w:rPr>
        <w:t xml:space="preserve"> </w:t>
      </w:r>
      <w:r w:rsidRPr="00237232">
        <w:rPr>
          <w:rFonts w:ascii="Verdana" w:hAnsi="Verdana"/>
          <w:bCs/>
          <w:iCs/>
          <w:sz w:val="20"/>
          <w:szCs w:val="24"/>
        </w:rPr>
        <w:t>de 2006, en Texcoco y San Salvador Atenco; (b) lo que vio al llegar y las acciones</w:t>
      </w:r>
      <w:r>
        <w:rPr>
          <w:rFonts w:ascii="Verdana" w:hAnsi="Verdana"/>
          <w:bCs/>
          <w:iCs/>
          <w:sz w:val="20"/>
          <w:szCs w:val="24"/>
        </w:rPr>
        <w:t xml:space="preserve"> </w:t>
      </w:r>
      <w:r w:rsidRPr="00237232">
        <w:rPr>
          <w:rFonts w:ascii="Verdana" w:hAnsi="Verdana"/>
          <w:bCs/>
          <w:iCs/>
          <w:sz w:val="20"/>
          <w:szCs w:val="24"/>
        </w:rPr>
        <w:t>que tomó ante el clima de violencia; (c) las circunstancias de su detención,</w:t>
      </w:r>
      <w:r>
        <w:rPr>
          <w:rFonts w:ascii="Verdana" w:hAnsi="Verdana"/>
          <w:bCs/>
          <w:iCs/>
          <w:sz w:val="20"/>
          <w:szCs w:val="24"/>
        </w:rPr>
        <w:t xml:space="preserve"> </w:t>
      </w:r>
      <w:r w:rsidRPr="00237232">
        <w:rPr>
          <w:rFonts w:ascii="Verdana" w:hAnsi="Verdana"/>
          <w:bCs/>
          <w:iCs/>
          <w:sz w:val="20"/>
          <w:szCs w:val="24"/>
        </w:rPr>
        <w:t xml:space="preserve">incluyendo el </w:t>
      </w:r>
      <w:r w:rsidR="00FD6873">
        <w:rPr>
          <w:rFonts w:ascii="Verdana" w:hAnsi="Verdana" w:cs="Arial"/>
          <w:sz w:val="20"/>
          <w:szCs w:val="20"/>
        </w:rPr>
        <w:t>alegado</w:t>
      </w:r>
      <w:r w:rsidR="00FD6873" w:rsidRPr="00237232">
        <w:rPr>
          <w:rFonts w:ascii="Verdana" w:hAnsi="Verdana"/>
          <w:bCs/>
          <w:iCs/>
          <w:sz w:val="20"/>
          <w:szCs w:val="24"/>
        </w:rPr>
        <w:t xml:space="preserve"> </w:t>
      </w:r>
      <w:r w:rsidRPr="00237232">
        <w:rPr>
          <w:rFonts w:ascii="Verdana" w:hAnsi="Verdana"/>
          <w:bCs/>
          <w:iCs/>
          <w:sz w:val="20"/>
          <w:szCs w:val="24"/>
        </w:rPr>
        <w:t xml:space="preserve">uso excesivo de la fuerza empleada en la misma; (d) la </w:t>
      </w:r>
      <w:r w:rsidR="00FD6873">
        <w:rPr>
          <w:rFonts w:ascii="Verdana" w:hAnsi="Verdana" w:cs="Arial"/>
          <w:sz w:val="20"/>
          <w:szCs w:val="20"/>
        </w:rPr>
        <w:t>alegada</w:t>
      </w:r>
      <w:r w:rsidR="001C510E">
        <w:rPr>
          <w:rFonts w:ascii="Verdana" w:hAnsi="Verdana"/>
          <w:bCs/>
          <w:iCs/>
          <w:sz w:val="20"/>
          <w:szCs w:val="24"/>
        </w:rPr>
        <w:t xml:space="preserve"> </w:t>
      </w:r>
      <w:r w:rsidRPr="00237232">
        <w:rPr>
          <w:rFonts w:ascii="Verdana" w:hAnsi="Verdana"/>
          <w:bCs/>
          <w:iCs/>
          <w:sz w:val="20"/>
          <w:szCs w:val="24"/>
        </w:rPr>
        <w:t>violencia física,</w:t>
      </w:r>
      <w:r>
        <w:rPr>
          <w:rFonts w:ascii="Verdana" w:hAnsi="Verdana"/>
          <w:bCs/>
          <w:iCs/>
          <w:sz w:val="20"/>
          <w:szCs w:val="24"/>
        </w:rPr>
        <w:t xml:space="preserve"> </w:t>
      </w:r>
      <w:r w:rsidRPr="00237232">
        <w:rPr>
          <w:rFonts w:ascii="Verdana" w:hAnsi="Verdana"/>
          <w:bCs/>
          <w:iCs/>
          <w:sz w:val="20"/>
          <w:szCs w:val="24"/>
        </w:rPr>
        <w:t>psicológica y sexual que sufrió y de la que fue testigo a partir de la detención,</w:t>
      </w:r>
      <w:r>
        <w:rPr>
          <w:rFonts w:ascii="Verdana" w:hAnsi="Verdana"/>
          <w:bCs/>
          <w:iCs/>
          <w:sz w:val="20"/>
          <w:szCs w:val="24"/>
        </w:rPr>
        <w:t xml:space="preserve"> </w:t>
      </w:r>
      <w:r w:rsidRPr="00237232">
        <w:rPr>
          <w:rFonts w:ascii="Verdana" w:hAnsi="Verdana"/>
          <w:bCs/>
          <w:iCs/>
          <w:sz w:val="20"/>
          <w:szCs w:val="24"/>
        </w:rPr>
        <w:t>incluyendo en su traslado del lugar de detención, hasta llegar al CEPRESO; (e) lo</w:t>
      </w:r>
      <w:r>
        <w:rPr>
          <w:rFonts w:ascii="Verdana" w:hAnsi="Verdana"/>
          <w:bCs/>
          <w:iCs/>
          <w:sz w:val="20"/>
          <w:szCs w:val="24"/>
        </w:rPr>
        <w:t xml:space="preserve"> </w:t>
      </w:r>
      <w:r w:rsidRPr="00237232">
        <w:rPr>
          <w:rFonts w:ascii="Verdana" w:hAnsi="Verdana"/>
          <w:bCs/>
          <w:iCs/>
          <w:sz w:val="20"/>
          <w:szCs w:val="24"/>
        </w:rPr>
        <w:t xml:space="preserve">que ocurrió al llegar al CEPRESO, incluyendo </w:t>
      </w:r>
      <w:r w:rsidR="001C510E">
        <w:rPr>
          <w:rFonts w:ascii="Verdana" w:hAnsi="Verdana"/>
          <w:bCs/>
          <w:iCs/>
          <w:sz w:val="20"/>
          <w:szCs w:val="24"/>
        </w:rPr>
        <w:t xml:space="preserve">los </w:t>
      </w:r>
      <w:r w:rsidR="00FD6873">
        <w:rPr>
          <w:rFonts w:ascii="Verdana" w:hAnsi="Verdana" w:cs="Arial"/>
          <w:sz w:val="20"/>
          <w:szCs w:val="20"/>
        </w:rPr>
        <w:t>alegados</w:t>
      </w:r>
      <w:r w:rsidR="001C510E">
        <w:rPr>
          <w:rFonts w:ascii="Verdana" w:hAnsi="Verdana"/>
          <w:bCs/>
          <w:iCs/>
          <w:sz w:val="20"/>
          <w:szCs w:val="24"/>
        </w:rPr>
        <w:t xml:space="preserve"> </w:t>
      </w:r>
      <w:r w:rsidRPr="00237232">
        <w:rPr>
          <w:rFonts w:ascii="Verdana" w:hAnsi="Verdana"/>
          <w:bCs/>
          <w:iCs/>
          <w:sz w:val="20"/>
          <w:szCs w:val="24"/>
        </w:rPr>
        <w:t>nuevos actos de violencia y la</w:t>
      </w:r>
      <w:r>
        <w:rPr>
          <w:rFonts w:ascii="Verdana" w:hAnsi="Verdana"/>
          <w:bCs/>
          <w:iCs/>
          <w:sz w:val="20"/>
          <w:szCs w:val="24"/>
        </w:rPr>
        <w:t xml:space="preserve"> </w:t>
      </w:r>
      <w:r w:rsidR="001C510E">
        <w:rPr>
          <w:rFonts w:ascii="Verdana" w:hAnsi="Verdana"/>
          <w:bCs/>
          <w:iCs/>
          <w:sz w:val="20"/>
          <w:szCs w:val="24"/>
        </w:rPr>
        <w:t xml:space="preserve">alegada </w:t>
      </w:r>
      <w:r w:rsidRPr="00237232">
        <w:rPr>
          <w:rFonts w:ascii="Verdana" w:hAnsi="Verdana"/>
          <w:bCs/>
          <w:iCs/>
          <w:sz w:val="20"/>
          <w:szCs w:val="24"/>
        </w:rPr>
        <w:t>ausencia de adecuada asistencia jurídica y atención médica y psicológica; (f) su</w:t>
      </w:r>
      <w:r>
        <w:rPr>
          <w:rFonts w:ascii="Verdana" w:hAnsi="Verdana"/>
          <w:bCs/>
          <w:iCs/>
          <w:sz w:val="20"/>
          <w:szCs w:val="24"/>
        </w:rPr>
        <w:t xml:space="preserve"> </w:t>
      </w:r>
      <w:r w:rsidRPr="00237232">
        <w:rPr>
          <w:rFonts w:ascii="Verdana" w:hAnsi="Verdana"/>
          <w:bCs/>
          <w:iCs/>
          <w:sz w:val="20"/>
          <w:szCs w:val="24"/>
        </w:rPr>
        <w:t>contacto con distintos agentes estatales en el marco de las diversas investigaciones</w:t>
      </w:r>
      <w:r>
        <w:rPr>
          <w:rFonts w:ascii="Verdana" w:hAnsi="Verdana"/>
          <w:bCs/>
          <w:iCs/>
          <w:sz w:val="20"/>
          <w:szCs w:val="24"/>
        </w:rPr>
        <w:t xml:space="preserve"> </w:t>
      </w:r>
      <w:r w:rsidRPr="00237232">
        <w:rPr>
          <w:rFonts w:ascii="Verdana" w:hAnsi="Verdana"/>
          <w:bCs/>
          <w:iCs/>
          <w:sz w:val="20"/>
          <w:szCs w:val="24"/>
        </w:rPr>
        <w:t>y procesos por los hechos del 3 y 4 de mayo de 2006, las acciones que tomó y los</w:t>
      </w:r>
      <w:r>
        <w:rPr>
          <w:rFonts w:ascii="Verdana" w:hAnsi="Verdana"/>
          <w:bCs/>
          <w:iCs/>
          <w:sz w:val="20"/>
          <w:szCs w:val="24"/>
        </w:rPr>
        <w:t xml:space="preserve"> </w:t>
      </w:r>
      <w:r w:rsidRPr="00237232">
        <w:rPr>
          <w:rFonts w:ascii="Verdana" w:hAnsi="Verdana"/>
          <w:bCs/>
          <w:iCs/>
          <w:sz w:val="20"/>
          <w:szCs w:val="24"/>
        </w:rPr>
        <w:t>resultados de estas en dichos procesos y en su acceso a la justicia; (g) las</w:t>
      </w:r>
      <w:r>
        <w:rPr>
          <w:rFonts w:ascii="Verdana" w:hAnsi="Verdana"/>
          <w:bCs/>
          <w:iCs/>
          <w:sz w:val="20"/>
          <w:szCs w:val="24"/>
        </w:rPr>
        <w:t xml:space="preserve"> </w:t>
      </w:r>
      <w:r w:rsidRPr="00237232">
        <w:rPr>
          <w:rFonts w:ascii="Verdana" w:hAnsi="Verdana"/>
          <w:bCs/>
          <w:iCs/>
          <w:sz w:val="20"/>
          <w:szCs w:val="24"/>
        </w:rPr>
        <w:t>afectaciones sufridas por ella y su familia por los hechos descritos</w:t>
      </w:r>
      <w:r w:rsidR="0029421F">
        <w:rPr>
          <w:rFonts w:ascii="Verdana" w:hAnsi="Verdana"/>
          <w:bCs/>
          <w:iCs/>
          <w:sz w:val="20"/>
          <w:szCs w:val="24"/>
        </w:rPr>
        <w:t>,</w:t>
      </w:r>
      <w:r w:rsidRPr="00237232">
        <w:rPr>
          <w:rFonts w:ascii="Verdana" w:hAnsi="Verdana"/>
          <w:bCs/>
          <w:iCs/>
          <w:sz w:val="20"/>
          <w:szCs w:val="24"/>
        </w:rPr>
        <w:t xml:space="preserve"> y (h) sobre</w:t>
      </w:r>
      <w:r>
        <w:rPr>
          <w:rFonts w:ascii="Verdana" w:hAnsi="Verdana"/>
          <w:bCs/>
          <w:iCs/>
          <w:sz w:val="20"/>
          <w:szCs w:val="24"/>
        </w:rPr>
        <w:t xml:space="preserve"> </w:t>
      </w:r>
      <w:r w:rsidRPr="00237232">
        <w:rPr>
          <w:rFonts w:ascii="Verdana" w:hAnsi="Verdana"/>
          <w:bCs/>
          <w:iCs/>
          <w:sz w:val="20"/>
          <w:szCs w:val="24"/>
        </w:rPr>
        <w:t>posibles medidas de reparación.</w:t>
      </w:r>
    </w:p>
    <w:p w14:paraId="787C2CF1" w14:textId="2F36CEC8" w:rsidR="00FB6218" w:rsidRDefault="00FB6218" w:rsidP="009A226B">
      <w:pPr>
        <w:pStyle w:val="ListParagraph"/>
        <w:tabs>
          <w:tab w:val="left" w:pos="567"/>
          <w:tab w:val="left" w:pos="1418"/>
        </w:tabs>
        <w:spacing w:after="0" w:line="240" w:lineRule="auto"/>
        <w:ind w:left="1418"/>
        <w:jc w:val="both"/>
        <w:rPr>
          <w:rFonts w:ascii="Verdana" w:hAnsi="Verdana"/>
          <w:bCs/>
          <w:iCs/>
          <w:sz w:val="20"/>
          <w:szCs w:val="24"/>
        </w:rPr>
      </w:pPr>
    </w:p>
    <w:p w14:paraId="05EBD265" w14:textId="7F192FBD" w:rsidR="00237232" w:rsidRDefault="00AF0E62" w:rsidP="009A226B">
      <w:pPr>
        <w:pStyle w:val="ListParagraph"/>
        <w:numPr>
          <w:ilvl w:val="0"/>
          <w:numId w:val="14"/>
        </w:numPr>
        <w:tabs>
          <w:tab w:val="left" w:pos="567"/>
          <w:tab w:val="left" w:pos="1418"/>
        </w:tabs>
        <w:spacing w:after="0" w:line="240" w:lineRule="auto"/>
        <w:ind w:left="1418" w:hanging="709"/>
        <w:jc w:val="both"/>
        <w:rPr>
          <w:rFonts w:ascii="Verdana" w:hAnsi="Verdana"/>
          <w:bCs/>
          <w:iCs/>
          <w:sz w:val="20"/>
          <w:szCs w:val="24"/>
        </w:rPr>
      </w:pPr>
      <w:r w:rsidRPr="00FB6218">
        <w:rPr>
          <w:rFonts w:ascii="Verdana" w:hAnsi="Verdana"/>
          <w:bCs/>
          <w:iCs/>
          <w:sz w:val="20"/>
          <w:szCs w:val="24"/>
        </w:rPr>
        <w:t xml:space="preserve">Ana María Velasco Rodríguez, </w:t>
      </w:r>
      <w:r w:rsidR="005B5B88" w:rsidRPr="00FB6218">
        <w:rPr>
          <w:rFonts w:ascii="Verdana" w:hAnsi="Verdana"/>
          <w:bCs/>
          <w:iCs/>
          <w:sz w:val="20"/>
          <w:szCs w:val="24"/>
        </w:rPr>
        <w:t>quien declarará</w:t>
      </w:r>
      <w:r w:rsidRPr="00FB6218">
        <w:rPr>
          <w:rFonts w:ascii="Verdana" w:hAnsi="Verdana"/>
          <w:bCs/>
          <w:iCs/>
          <w:sz w:val="20"/>
          <w:szCs w:val="24"/>
        </w:rPr>
        <w:t xml:space="preserve"> sobre: (a) los motivos por los que se encontraba en el escenario del operativo policiaco del 3 y 4 de mayo de 2006, en Texcoco y San Salvador Atenco; (b) lo que vio al llegar y las acciones que tomó ante el clima de violencia; (c) las circunstancias de su detención, incluyendo el</w:t>
      </w:r>
      <w:r w:rsidR="00CD1842">
        <w:rPr>
          <w:rFonts w:ascii="Verdana" w:hAnsi="Verdana"/>
          <w:bCs/>
          <w:iCs/>
          <w:sz w:val="20"/>
          <w:szCs w:val="24"/>
        </w:rPr>
        <w:t xml:space="preserve"> </w:t>
      </w:r>
      <w:r w:rsidR="00FD6873">
        <w:rPr>
          <w:rFonts w:ascii="Verdana" w:hAnsi="Verdana" w:cs="Arial"/>
          <w:sz w:val="20"/>
          <w:szCs w:val="20"/>
        </w:rPr>
        <w:t>alegado</w:t>
      </w:r>
      <w:r w:rsidRPr="00FB6218">
        <w:rPr>
          <w:rFonts w:ascii="Verdana" w:hAnsi="Verdana"/>
          <w:bCs/>
          <w:iCs/>
          <w:sz w:val="20"/>
          <w:szCs w:val="24"/>
        </w:rPr>
        <w:t xml:space="preserve"> uso excesivo de la fuerza empleada en la misma; (d) la </w:t>
      </w:r>
      <w:r w:rsidR="00FD6873">
        <w:rPr>
          <w:rFonts w:ascii="Verdana" w:hAnsi="Verdana" w:cs="Arial"/>
          <w:sz w:val="20"/>
          <w:szCs w:val="20"/>
        </w:rPr>
        <w:t>alegada</w:t>
      </w:r>
      <w:r w:rsidR="00CD1842">
        <w:rPr>
          <w:rFonts w:ascii="Verdana" w:hAnsi="Verdana"/>
          <w:bCs/>
          <w:iCs/>
          <w:sz w:val="20"/>
          <w:szCs w:val="24"/>
        </w:rPr>
        <w:t xml:space="preserve"> </w:t>
      </w:r>
      <w:r w:rsidRPr="00FB6218">
        <w:rPr>
          <w:rFonts w:ascii="Verdana" w:hAnsi="Verdana"/>
          <w:bCs/>
          <w:iCs/>
          <w:sz w:val="20"/>
          <w:szCs w:val="24"/>
        </w:rPr>
        <w:t xml:space="preserve">violencia física, psicológica y sexual que sufrió y de la que fue testigo a partir de la detención, incluyendo en su traslado del lugar de detención, hasta llegar al CEPRESO; (e) lo que ocurrió al llegar al CEPRESO, </w:t>
      </w:r>
      <w:r w:rsidRPr="00FB6218">
        <w:rPr>
          <w:rFonts w:ascii="Verdana" w:hAnsi="Verdana"/>
          <w:bCs/>
          <w:iCs/>
          <w:sz w:val="20"/>
          <w:szCs w:val="24"/>
        </w:rPr>
        <w:lastRenderedPageBreak/>
        <w:t xml:space="preserve">incluyendo </w:t>
      </w:r>
      <w:r w:rsidR="00CD1842">
        <w:rPr>
          <w:rFonts w:ascii="Verdana" w:hAnsi="Verdana"/>
          <w:bCs/>
          <w:iCs/>
          <w:sz w:val="20"/>
          <w:szCs w:val="24"/>
        </w:rPr>
        <w:t xml:space="preserve">los </w:t>
      </w:r>
      <w:r w:rsidR="00FD6873">
        <w:rPr>
          <w:rFonts w:ascii="Verdana" w:hAnsi="Verdana" w:cs="Arial"/>
          <w:sz w:val="20"/>
          <w:szCs w:val="20"/>
        </w:rPr>
        <w:t>alegados</w:t>
      </w:r>
      <w:r w:rsidR="00CD1842">
        <w:rPr>
          <w:rFonts w:ascii="Verdana" w:hAnsi="Verdana"/>
          <w:bCs/>
          <w:iCs/>
          <w:sz w:val="20"/>
          <w:szCs w:val="24"/>
        </w:rPr>
        <w:t xml:space="preserve"> </w:t>
      </w:r>
      <w:r w:rsidRPr="00FB6218">
        <w:rPr>
          <w:rFonts w:ascii="Verdana" w:hAnsi="Verdana"/>
          <w:bCs/>
          <w:iCs/>
          <w:sz w:val="20"/>
          <w:szCs w:val="24"/>
        </w:rPr>
        <w:t xml:space="preserve">nuevos actos de violencia y la </w:t>
      </w:r>
      <w:r w:rsidR="00CD1842">
        <w:rPr>
          <w:rFonts w:ascii="Verdana" w:hAnsi="Verdana"/>
          <w:bCs/>
          <w:iCs/>
          <w:sz w:val="20"/>
          <w:szCs w:val="24"/>
        </w:rPr>
        <w:t xml:space="preserve">alegada </w:t>
      </w:r>
      <w:r w:rsidRPr="00FB6218">
        <w:rPr>
          <w:rFonts w:ascii="Verdana" w:hAnsi="Verdana"/>
          <w:bCs/>
          <w:iCs/>
          <w:sz w:val="20"/>
          <w:szCs w:val="24"/>
        </w:rPr>
        <w:t>ausencia de adecuada asistencia jurídica y atención médica y psicológica; (f) su contacto con distintos agentes estatales en el marco de las diversas investigaciones y procesos por los hechos del 3 y 4 de mayo de 2006, las acciones que tomó y los resultados de estas en dichos procesos y en su acceso a la justicia; (g) las afectaciones sufridas por ella y su familia por los hechos descritos</w:t>
      </w:r>
      <w:r w:rsidR="0029421F">
        <w:rPr>
          <w:rFonts w:ascii="Verdana" w:hAnsi="Verdana"/>
          <w:bCs/>
          <w:iCs/>
          <w:sz w:val="20"/>
          <w:szCs w:val="24"/>
        </w:rPr>
        <w:t>,</w:t>
      </w:r>
      <w:r w:rsidRPr="00FB6218">
        <w:rPr>
          <w:rFonts w:ascii="Verdana" w:hAnsi="Verdana"/>
          <w:bCs/>
          <w:iCs/>
          <w:sz w:val="20"/>
          <w:szCs w:val="24"/>
        </w:rPr>
        <w:t xml:space="preserve"> y (h) sobre posibles medidas de reparación.</w:t>
      </w:r>
    </w:p>
    <w:p w14:paraId="3751888A" w14:textId="29950A9A" w:rsidR="00FB6218" w:rsidRDefault="00FB6218" w:rsidP="009A226B">
      <w:pPr>
        <w:pStyle w:val="ListParagraph"/>
        <w:tabs>
          <w:tab w:val="left" w:pos="567"/>
          <w:tab w:val="left" w:pos="1418"/>
        </w:tabs>
        <w:spacing w:after="0" w:line="240" w:lineRule="auto"/>
        <w:ind w:left="1418"/>
        <w:jc w:val="both"/>
        <w:rPr>
          <w:rFonts w:ascii="Verdana" w:hAnsi="Verdana"/>
          <w:bCs/>
          <w:iCs/>
          <w:sz w:val="20"/>
          <w:szCs w:val="24"/>
        </w:rPr>
      </w:pPr>
    </w:p>
    <w:p w14:paraId="3B745270" w14:textId="734B764D" w:rsidR="005B5B88" w:rsidRDefault="005B5B88" w:rsidP="009A226B">
      <w:pPr>
        <w:pStyle w:val="ListParagraph"/>
        <w:numPr>
          <w:ilvl w:val="0"/>
          <w:numId w:val="14"/>
        </w:numPr>
        <w:tabs>
          <w:tab w:val="left" w:pos="567"/>
          <w:tab w:val="left" w:pos="1418"/>
        </w:tabs>
        <w:spacing w:after="0" w:line="240" w:lineRule="auto"/>
        <w:ind w:left="1418" w:hanging="709"/>
        <w:jc w:val="both"/>
        <w:rPr>
          <w:rFonts w:ascii="Verdana" w:hAnsi="Verdana"/>
          <w:bCs/>
          <w:iCs/>
          <w:sz w:val="20"/>
          <w:szCs w:val="24"/>
        </w:rPr>
      </w:pPr>
      <w:r w:rsidRPr="00FB6218">
        <w:rPr>
          <w:rFonts w:ascii="Verdana" w:hAnsi="Verdana"/>
          <w:bCs/>
          <w:iCs/>
          <w:sz w:val="20"/>
          <w:szCs w:val="24"/>
        </w:rPr>
        <w:t xml:space="preserve">Yolanda Muñoz Diosdada, quien declarará sobre: (a) los motivos por los que se encontraba en el escenario del operativo policiaco del 3 y 4 de mayo de 2006, en Texcoco y San Salvador Atenco; (b) lo que vio al llegar y las acciones que tomó ante el clima de violencia; (c) las circunstancias de su detención, incluyendo el </w:t>
      </w:r>
      <w:r w:rsidR="00FD6873">
        <w:rPr>
          <w:rFonts w:ascii="Verdana" w:hAnsi="Verdana" w:cs="Arial"/>
          <w:sz w:val="20"/>
          <w:szCs w:val="20"/>
        </w:rPr>
        <w:t>alegado</w:t>
      </w:r>
      <w:r w:rsidR="00CD1842">
        <w:rPr>
          <w:rFonts w:ascii="Verdana" w:hAnsi="Verdana"/>
          <w:bCs/>
          <w:iCs/>
          <w:sz w:val="20"/>
          <w:szCs w:val="24"/>
        </w:rPr>
        <w:t xml:space="preserve"> </w:t>
      </w:r>
      <w:r w:rsidRPr="00FB6218">
        <w:rPr>
          <w:rFonts w:ascii="Verdana" w:hAnsi="Verdana"/>
          <w:bCs/>
          <w:iCs/>
          <w:sz w:val="20"/>
          <w:szCs w:val="24"/>
        </w:rPr>
        <w:t xml:space="preserve">uso excesivo de la fuerza empleada en la misma; (d) la </w:t>
      </w:r>
      <w:r w:rsidR="00FD6873">
        <w:rPr>
          <w:rFonts w:ascii="Verdana" w:hAnsi="Verdana" w:cs="Arial"/>
          <w:sz w:val="20"/>
          <w:szCs w:val="20"/>
        </w:rPr>
        <w:t>alegada</w:t>
      </w:r>
      <w:r w:rsidR="00CD1842">
        <w:rPr>
          <w:rFonts w:ascii="Verdana" w:hAnsi="Verdana"/>
          <w:bCs/>
          <w:iCs/>
          <w:sz w:val="20"/>
          <w:szCs w:val="24"/>
        </w:rPr>
        <w:t xml:space="preserve"> </w:t>
      </w:r>
      <w:r w:rsidRPr="00FB6218">
        <w:rPr>
          <w:rFonts w:ascii="Verdana" w:hAnsi="Verdana"/>
          <w:bCs/>
          <w:iCs/>
          <w:sz w:val="20"/>
          <w:szCs w:val="24"/>
        </w:rPr>
        <w:t xml:space="preserve">violencia física, psicológica y sexual que sufrió y de la que fue testigo a partir de la detención, incluyendo en su traslado del lugar de detención, hasta llegar al CEPRESO; (e) lo que ocurrió al llegar al CEPRESO, incluyendo </w:t>
      </w:r>
      <w:r w:rsidR="00CD1842">
        <w:rPr>
          <w:rFonts w:ascii="Verdana" w:hAnsi="Verdana"/>
          <w:bCs/>
          <w:iCs/>
          <w:sz w:val="20"/>
          <w:szCs w:val="24"/>
        </w:rPr>
        <w:t xml:space="preserve">los </w:t>
      </w:r>
      <w:r w:rsidR="00FD6873">
        <w:rPr>
          <w:rFonts w:ascii="Verdana" w:hAnsi="Verdana" w:cs="Arial"/>
          <w:sz w:val="20"/>
          <w:szCs w:val="20"/>
        </w:rPr>
        <w:t>alegados</w:t>
      </w:r>
      <w:r w:rsidR="00CD1842">
        <w:rPr>
          <w:rFonts w:ascii="Verdana" w:hAnsi="Verdana"/>
          <w:bCs/>
          <w:iCs/>
          <w:sz w:val="20"/>
          <w:szCs w:val="24"/>
        </w:rPr>
        <w:t xml:space="preserve"> </w:t>
      </w:r>
      <w:r w:rsidRPr="00FB6218">
        <w:rPr>
          <w:rFonts w:ascii="Verdana" w:hAnsi="Verdana"/>
          <w:bCs/>
          <w:iCs/>
          <w:sz w:val="20"/>
          <w:szCs w:val="24"/>
        </w:rPr>
        <w:t xml:space="preserve">nuevos actos de violencia y la </w:t>
      </w:r>
      <w:r w:rsidR="00CD1842">
        <w:rPr>
          <w:rFonts w:ascii="Verdana" w:hAnsi="Verdana"/>
          <w:bCs/>
          <w:iCs/>
          <w:sz w:val="20"/>
          <w:szCs w:val="24"/>
        </w:rPr>
        <w:t xml:space="preserve">alegada </w:t>
      </w:r>
      <w:r w:rsidRPr="00FB6218">
        <w:rPr>
          <w:rFonts w:ascii="Verdana" w:hAnsi="Verdana"/>
          <w:bCs/>
          <w:iCs/>
          <w:sz w:val="20"/>
          <w:szCs w:val="24"/>
        </w:rPr>
        <w:t>ausencia de adecuada asistencia jurídica y atención médica y psicológica; (f) su contacto con distintos agentes estatales en el marco de las diversas investigaciones y procesos por los hechos del 3 y 4 de mayo de 2006, las acciones que tomó y los resultados de estas en dichos procesos y en su acceso a la justicia; (g) las afectaciones sufridas por ella y su f</w:t>
      </w:r>
      <w:r w:rsidR="0029421F">
        <w:rPr>
          <w:rFonts w:ascii="Verdana" w:hAnsi="Verdana"/>
          <w:bCs/>
          <w:iCs/>
          <w:sz w:val="20"/>
          <w:szCs w:val="24"/>
        </w:rPr>
        <w:t>amilia por los hechos descritos,</w:t>
      </w:r>
      <w:r w:rsidRPr="00FB6218">
        <w:rPr>
          <w:rFonts w:ascii="Verdana" w:hAnsi="Verdana"/>
          <w:bCs/>
          <w:iCs/>
          <w:sz w:val="20"/>
          <w:szCs w:val="24"/>
        </w:rPr>
        <w:t xml:space="preserve"> y (h) sobre posibles medidas de reparación.</w:t>
      </w:r>
    </w:p>
    <w:p w14:paraId="7BBBE64C" w14:textId="57A8735F" w:rsidR="00FB6218" w:rsidRDefault="00FB6218" w:rsidP="009A226B">
      <w:pPr>
        <w:pStyle w:val="ListParagraph"/>
        <w:tabs>
          <w:tab w:val="left" w:pos="567"/>
          <w:tab w:val="left" w:pos="1418"/>
        </w:tabs>
        <w:spacing w:after="0" w:line="240" w:lineRule="auto"/>
        <w:ind w:left="1418"/>
        <w:jc w:val="both"/>
        <w:rPr>
          <w:rFonts w:ascii="Verdana" w:hAnsi="Verdana"/>
          <w:bCs/>
          <w:iCs/>
          <w:sz w:val="20"/>
          <w:szCs w:val="24"/>
        </w:rPr>
      </w:pPr>
    </w:p>
    <w:p w14:paraId="7C3F04D9" w14:textId="5EE86BBB" w:rsidR="005B5B88" w:rsidRPr="00FB6218" w:rsidRDefault="005B5B88" w:rsidP="009A226B">
      <w:pPr>
        <w:pStyle w:val="ListParagraph"/>
        <w:numPr>
          <w:ilvl w:val="0"/>
          <w:numId w:val="14"/>
        </w:numPr>
        <w:tabs>
          <w:tab w:val="left" w:pos="567"/>
          <w:tab w:val="left" w:pos="1418"/>
        </w:tabs>
        <w:spacing w:after="0" w:line="240" w:lineRule="auto"/>
        <w:ind w:left="1418" w:hanging="709"/>
        <w:jc w:val="both"/>
        <w:rPr>
          <w:rFonts w:ascii="Verdana" w:hAnsi="Verdana"/>
          <w:bCs/>
          <w:iCs/>
          <w:sz w:val="20"/>
          <w:szCs w:val="24"/>
        </w:rPr>
      </w:pPr>
      <w:r w:rsidRPr="00FB6218">
        <w:rPr>
          <w:rFonts w:ascii="Verdana" w:hAnsi="Verdana"/>
          <w:bCs/>
          <w:iCs/>
          <w:sz w:val="20"/>
          <w:szCs w:val="24"/>
        </w:rPr>
        <w:t>Cristina Sánchez Hernández,</w:t>
      </w:r>
      <w:r w:rsidRPr="005B5B88">
        <w:t xml:space="preserve"> </w:t>
      </w:r>
      <w:r w:rsidRPr="00FB6218">
        <w:rPr>
          <w:rFonts w:ascii="Verdana" w:hAnsi="Verdana"/>
          <w:bCs/>
          <w:iCs/>
          <w:sz w:val="20"/>
          <w:szCs w:val="24"/>
        </w:rPr>
        <w:t xml:space="preserve">quien declarará sobre: (a) los motivos por los que se encontraba en el escenario del operativo policiaco del 3 y 4 de mayo de 2006, en Texcoco y San Salvador Atenco; (b) lo que vio al llegar y las acciones que tomó ante el clima de violencia; (c) las circunstancias de su detención, incluyendo el </w:t>
      </w:r>
      <w:r w:rsidR="00FD6873">
        <w:rPr>
          <w:rFonts w:ascii="Verdana" w:hAnsi="Verdana" w:cs="Arial"/>
          <w:sz w:val="20"/>
          <w:szCs w:val="20"/>
        </w:rPr>
        <w:t>alegado</w:t>
      </w:r>
      <w:r w:rsidR="00CD1842">
        <w:rPr>
          <w:rFonts w:ascii="Verdana" w:hAnsi="Verdana"/>
          <w:bCs/>
          <w:iCs/>
          <w:sz w:val="20"/>
          <w:szCs w:val="24"/>
        </w:rPr>
        <w:t xml:space="preserve"> </w:t>
      </w:r>
      <w:r w:rsidRPr="00FB6218">
        <w:rPr>
          <w:rFonts w:ascii="Verdana" w:hAnsi="Verdana"/>
          <w:bCs/>
          <w:iCs/>
          <w:sz w:val="20"/>
          <w:szCs w:val="24"/>
        </w:rPr>
        <w:t xml:space="preserve">uso excesivo de la fuerza empleada en la misma; (d) la </w:t>
      </w:r>
      <w:r w:rsidR="00FD6873">
        <w:rPr>
          <w:rFonts w:ascii="Verdana" w:hAnsi="Verdana" w:cs="Arial"/>
          <w:sz w:val="20"/>
          <w:szCs w:val="20"/>
        </w:rPr>
        <w:t>alegada</w:t>
      </w:r>
      <w:r w:rsidR="00CD1842">
        <w:rPr>
          <w:rFonts w:ascii="Verdana" w:hAnsi="Verdana"/>
          <w:bCs/>
          <w:iCs/>
          <w:sz w:val="20"/>
          <w:szCs w:val="24"/>
        </w:rPr>
        <w:t xml:space="preserve"> </w:t>
      </w:r>
      <w:r w:rsidRPr="00FB6218">
        <w:rPr>
          <w:rFonts w:ascii="Verdana" w:hAnsi="Verdana"/>
          <w:bCs/>
          <w:iCs/>
          <w:sz w:val="20"/>
          <w:szCs w:val="24"/>
        </w:rPr>
        <w:t xml:space="preserve">violencia física, psicológica y sexual que sufrió y de la que fue testigo a partir de la detención, incluyendo en su traslado del lugar de detención, hasta llegar al CEPRESO; (e) lo que ocurrió al llegar al CEPRESO, incluyendo </w:t>
      </w:r>
      <w:r w:rsidR="00CD1842">
        <w:rPr>
          <w:rFonts w:ascii="Verdana" w:hAnsi="Verdana"/>
          <w:bCs/>
          <w:iCs/>
          <w:sz w:val="20"/>
          <w:szCs w:val="24"/>
        </w:rPr>
        <w:t xml:space="preserve">los </w:t>
      </w:r>
      <w:r w:rsidR="00FD6873">
        <w:rPr>
          <w:rFonts w:ascii="Verdana" w:hAnsi="Verdana" w:cs="Arial"/>
          <w:sz w:val="20"/>
          <w:szCs w:val="20"/>
        </w:rPr>
        <w:t>alegados</w:t>
      </w:r>
      <w:r w:rsidR="00CD1842">
        <w:rPr>
          <w:rFonts w:ascii="Verdana" w:hAnsi="Verdana"/>
          <w:bCs/>
          <w:iCs/>
          <w:sz w:val="20"/>
          <w:szCs w:val="24"/>
        </w:rPr>
        <w:t xml:space="preserve"> </w:t>
      </w:r>
      <w:r w:rsidRPr="00FB6218">
        <w:rPr>
          <w:rFonts w:ascii="Verdana" w:hAnsi="Verdana"/>
          <w:bCs/>
          <w:iCs/>
          <w:sz w:val="20"/>
          <w:szCs w:val="24"/>
        </w:rPr>
        <w:t xml:space="preserve">nuevos actos de violencia y la </w:t>
      </w:r>
      <w:r w:rsidR="00CD1842">
        <w:rPr>
          <w:rFonts w:ascii="Verdana" w:hAnsi="Verdana"/>
          <w:bCs/>
          <w:iCs/>
          <w:sz w:val="20"/>
          <w:szCs w:val="24"/>
        </w:rPr>
        <w:t xml:space="preserve">alegada </w:t>
      </w:r>
      <w:r w:rsidRPr="00FB6218">
        <w:rPr>
          <w:rFonts w:ascii="Verdana" w:hAnsi="Verdana"/>
          <w:bCs/>
          <w:iCs/>
          <w:sz w:val="20"/>
          <w:szCs w:val="24"/>
        </w:rPr>
        <w:t>ausencia de adecuada asistencia jurídica y atención médica y psicológica; (f) su contacto con distintos agentes estatales en el marco de las diversas investigaciones y procesos por los hechos del 3 y 4 de mayo de 2006, las acciones que tomó y los resultados de estas en dichos procesos y en su acceso a la justicia; (g) las afectaciones sufridas por ella y su familia por los hechos descritos</w:t>
      </w:r>
      <w:r w:rsidR="0029421F">
        <w:rPr>
          <w:rFonts w:ascii="Verdana" w:hAnsi="Verdana"/>
          <w:bCs/>
          <w:iCs/>
          <w:sz w:val="20"/>
          <w:szCs w:val="24"/>
        </w:rPr>
        <w:t>,</w:t>
      </w:r>
      <w:r w:rsidRPr="00FB6218">
        <w:rPr>
          <w:rFonts w:ascii="Verdana" w:hAnsi="Verdana"/>
          <w:bCs/>
          <w:iCs/>
          <w:sz w:val="20"/>
          <w:szCs w:val="24"/>
        </w:rPr>
        <w:t xml:space="preserve"> y (h) sobre posibles medidas de reparación.</w:t>
      </w:r>
    </w:p>
    <w:p w14:paraId="248DBC56" w14:textId="77777777" w:rsidR="00DA5B2D" w:rsidRPr="00981EC7" w:rsidRDefault="00DA5B2D" w:rsidP="009A226B">
      <w:pPr>
        <w:pStyle w:val="ListParagraph"/>
        <w:tabs>
          <w:tab w:val="left" w:pos="567"/>
          <w:tab w:val="left" w:pos="1440"/>
        </w:tabs>
        <w:spacing w:after="0" w:line="240" w:lineRule="auto"/>
        <w:ind w:left="1440"/>
        <w:jc w:val="both"/>
        <w:rPr>
          <w:rFonts w:ascii="Verdana" w:eastAsia="Calibri" w:hAnsi="Verdana" w:cs="Verdana"/>
          <w:b/>
          <w:iCs/>
          <w:sz w:val="20"/>
          <w:szCs w:val="20"/>
        </w:rPr>
      </w:pPr>
    </w:p>
    <w:p w14:paraId="59563853" w14:textId="77777777" w:rsidR="0074090B" w:rsidRDefault="0074090B" w:rsidP="009A226B">
      <w:pPr>
        <w:pStyle w:val="ListParagraph"/>
        <w:numPr>
          <w:ilvl w:val="0"/>
          <w:numId w:val="23"/>
        </w:numPr>
        <w:tabs>
          <w:tab w:val="left" w:pos="567"/>
        </w:tabs>
        <w:spacing w:after="0" w:line="240" w:lineRule="auto"/>
        <w:rPr>
          <w:rFonts w:ascii="Verdana" w:hAnsi="Verdana"/>
          <w:b/>
          <w:bCs/>
          <w:i/>
          <w:iCs/>
          <w:sz w:val="20"/>
          <w:szCs w:val="24"/>
        </w:rPr>
      </w:pPr>
      <w:r w:rsidRPr="0074090B">
        <w:rPr>
          <w:rFonts w:ascii="Verdana" w:hAnsi="Verdana"/>
          <w:b/>
          <w:bCs/>
          <w:i/>
          <w:iCs/>
          <w:sz w:val="20"/>
          <w:szCs w:val="24"/>
        </w:rPr>
        <w:t>Perito</w:t>
      </w:r>
      <w:r>
        <w:rPr>
          <w:rFonts w:ascii="Verdana" w:hAnsi="Verdana"/>
          <w:b/>
          <w:bCs/>
          <w:i/>
          <w:iCs/>
          <w:sz w:val="20"/>
          <w:szCs w:val="24"/>
        </w:rPr>
        <w:t>s</w:t>
      </w:r>
      <w:r w:rsidRPr="0074090B">
        <w:rPr>
          <w:rFonts w:ascii="Verdana" w:hAnsi="Verdana"/>
          <w:b/>
          <w:bCs/>
          <w:i/>
          <w:iCs/>
          <w:sz w:val="20"/>
          <w:szCs w:val="24"/>
        </w:rPr>
        <w:t xml:space="preserve"> </w:t>
      </w:r>
    </w:p>
    <w:p w14:paraId="05DE5B5A" w14:textId="77777777" w:rsidR="00BF78B5" w:rsidRDefault="00BF78B5" w:rsidP="009A226B">
      <w:pPr>
        <w:pStyle w:val="ListParagraph"/>
        <w:tabs>
          <w:tab w:val="left" w:pos="567"/>
        </w:tabs>
        <w:spacing w:after="0" w:line="240" w:lineRule="auto"/>
        <w:rPr>
          <w:rFonts w:ascii="Verdana" w:hAnsi="Verdana"/>
          <w:b/>
          <w:bCs/>
          <w:i/>
          <w:iCs/>
          <w:sz w:val="20"/>
          <w:szCs w:val="24"/>
        </w:rPr>
      </w:pPr>
    </w:p>
    <w:p w14:paraId="61DBB1C0" w14:textId="77777777" w:rsidR="0077293A" w:rsidRDefault="0077293A" w:rsidP="009A226B">
      <w:pPr>
        <w:tabs>
          <w:tab w:val="left" w:pos="567"/>
        </w:tabs>
        <w:spacing w:after="0" w:line="240" w:lineRule="auto"/>
        <w:ind w:left="720"/>
        <w:jc w:val="both"/>
        <w:rPr>
          <w:rFonts w:ascii="Verdana" w:hAnsi="Verdana"/>
          <w:bCs/>
          <w:i/>
          <w:iCs/>
          <w:sz w:val="20"/>
          <w:szCs w:val="24"/>
        </w:rPr>
      </w:pPr>
      <w:r w:rsidRPr="001F06EF">
        <w:rPr>
          <w:rFonts w:ascii="Verdana" w:hAnsi="Verdana"/>
          <w:bCs/>
          <w:i/>
          <w:iCs/>
          <w:sz w:val="20"/>
          <w:szCs w:val="24"/>
        </w:rPr>
        <w:t>Propue</w:t>
      </w:r>
      <w:r>
        <w:rPr>
          <w:rFonts w:ascii="Verdana" w:hAnsi="Verdana"/>
          <w:bCs/>
          <w:i/>
          <w:iCs/>
          <w:sz w:val="20"/>
          <w:szCs w:val="24"/>
        </w:rPr>
        <w:t>sta</w:t>
      </w:r>
      <w:r w:rsidRPr="001F06EF">
        <w:rPr>
          <w:rFonts w:ascii="Verdana" w:hAnsi="Verdana"/>
          <w:bCs/>
          <w:i/>
          <w:iCs/>
          <w:sz w:val="20"/>
          <w:szCs w:val="24"/>
        </w:rPr>
        <w:t xml:space="preserve"> por la Comisión</w:t>
      </w:r>
    </w:p>
    <w:p w14:paraId="443EFE6C" w14:textId="77777777" w:rsidR="0077293A" w:rsidRDefault="0077293A" w:rsidP="009A226B">
      <w:pPr>
        <w:tabs>
          <w:tab w:val="left" w:pos="567"/>
        </w:tabs>
        <w:spacing w:after="0" w:line="240" w:lineRule="auto"/>
        <w:ind w:left="720"/>
        <w:jc w:val="both"/>
        <w:rPr>
          <w:rFonts w:ascii="Verdana" w:hAnsi="Verdana"/>
          <w:bCs/>
          <w:i/>
          <w:iCs/>
          <w:sz w:val="20"/>
          <w:szCs w:val="24"/>
        </w:rPr>
      </w:pPr>
    </w:p>
    <w:p w14:paraId="30A1C299" w14:textId="53B7BD28" w:rsidR="0077293A" w:rsidRPr="0077293A" w:rsidRDefault="0077293A" w:rsidP="009A226B">
      <w:pPr>
        <w:pStyle w:val="ListParagraph"/>
        <w:numPr>
          <w:ilvl w:val="0"/>
          <w:numId w:val="29"/>
        </w:numPr>
        <w:tabs>
          <w:tab w:val="left" w:pos="567"/>
        </w:tabs>
        <w:spacing w:after="0" w:line="240" w:lineRule="auto"/>
        <w:ind w:hanging="731"/>
        <w:jc w:val="both"/>
        <w:rPr>
          <w:rFonts w:ascii="Verdana" w:hAnsi="Verdana"/>
          <w:bCs/>
          <w:i/>
          <w:iCs/>
          <w:sz w:val="20"/>
          <w:szCs w:val="24"/>
        </w:rPr>
      </w:pPr>
      <w:r w:rsidRPr="00BD485A">
        <w:rPr>
          <w:rFonts w:ascii="Verdana" w:hAnsi="Verdana"/>
          <w:bCs/>
          <w:iCs/>
          <w:sz w:val="20"/>
          <w:szCs w:val="24"/>
        </w:rPr>
        <w:t>E</w:t>
      </w:r>
      <w:r>
        <w:rPr>
          <w:rFonts w:ascii="Verdana" w:hAnsi="Verdana"/>
          <w:bCs/>
          <w:iCs/>
          <w:sz w:val="20"/>
          <w:szCs w:val="24"/>
        </w:rPr>
        <w:t xml:space="preserve">lizabeth Salmón, quien rendirá un peritaje sobre </w:t>
      </w:r>
      <w:r w:rsidRPr="00BD485A">
        <w:rPr>
          <w:rFonts w:ascii="Verdana" w:hAnsi="Verdana"/>
          <w:bCs/>
          <w:iCs/>
          <w:sz w:val="20"/>
          <w:szCs w:val="24"/>
        </w:rPr>
        <w:t>los estándares internacionales relevantes que determinan</w:t>
      </w:r>
      <w:r>
        <w:rPr>
          <w:rFonts w:ascii="Verdana" w:hAnsi="Verdana"/>
          <w:bCs/>
          <w:iCs/>
          <w:sz w:val="20"/>
          <w:szCs w:val="24"/>
        </w:rPr>
        <w:t xml:space="preserve"> </w:t>
      </w:r>
      <w:r w:rsidRPr="00BD485A">
        <w:rPr>
          <w:rFonts w:ascii="Verdana" w:hAnsi="Verdana"/>
          <w:bCs/>
          <w:iCs/>
          <w:sz w:val="20"/>
          <w:szCs w:val="24"/>
        </w:rPr>
        <w:t xml:space="preserve">las obligaciones estatales de respeto y garantía en materia de </w:t>
      </w:r>
      <w:r>
        <w:rPr>
          <w:rFonts w:ascii="Verdana" w:hAnsi="Verdana"/>
          <w:bCs/>
          <w:iCs/>
          <w:sz w:val="20"/>
          <w:szCs w:val="24"/>
        </w:rPr>
        <w:t>la</w:t>
      </w:r>
      <w:r w:rsidRPr="00BD485A">
        <w:rPr>
          <w:rFonts w:ascii="Verdana" w:hAnsi="Verdana"/>
          <w:bCs/>
          <w:iCs/>
          <w:sz w:val="20"/>
          <w:szCs w:val="24"/>
        </w:rPr>
        <w:t xml:space="preserve"> violencia contra </w:t>
      </w:r>
      <w:r>
        <w:rPr>
          <w:rFonts w:ascii="Verdana" w:hAnsi="Verdana"/>
          <w:bCs/>
          <w:iCs/>
          <w:sz w:val="20"/>
          <w:szCs w:val="24"/>
        </w:rPr>
        <w:t>la</w:t>
      </w:r>
      <w:r w:rsidRPr="00BD485A">
        <w:rPr>
          <w:rFonts w:ascii="Verdana" w:hAnsi="Verdana"/>
          <w:bCs/>
          <w:iCs/>
          <w:sz w:val="20"/>
          <w:szCs w:val="24"/>
        </w:rPr>
        <w:t xml:space="preserve"> mujer y, particularmente,</w:t>
      </w:r>
      <w:r>
        <w:rPr>
          <w:rFonts w:ascii="Verdana" w:hAnsi="Verdana"/>
          <w:bCs/>
          <w:iCs/>
          <w:sz w:val="20"/>
          <w:szCs w:val="24"/>
        </w:rPr>
        <w:t xml:space="preserve"> la violencia y violació</w:t>
      </w:r>
      <w:r w:rsidRPr="00BD485A">
        <w:rPr>
          <w:rFonts w:ascii="Verdana" w:hAnsi="Verdana"/>
          <w:bCs/>
          <w:iCs/>
          <w:sz w:val="20"/>
          <w:szCs w:val="24"/>
        </w:rPr>
        <w:t xml:space="preserve">n sexual. La perita se referirá al desarrollo del derecho internacional en cuanto a i) </w:t>
      </w:r>
      <w:r>
        <w:rPr>
          <w:rFonts w:ascii="Verdana" w:hAnsi="Verdana"/>
          <w:bCs/>
          <w:iCs/>
          <w:sz w:val="20"/>
          <w:szCs w:val="24"/>
        </w:rPr>
        <w:t>la valoració</w:t>
      </w:r>
      <w:r w:rsidRPr="00BD485A">
        <w:rPr>
          <w:rFonts w:ascii="Verdana" w:hAnsi="Verdana"/>
          <w:bCs/>
          <w:iCs/>
          <w:sz w:val="20"/>
          <w:szCs w:val="24"/>
        </w:rPr>
        <w:t>n probatoria en este tipo</w:t>
      </w:r>
      <w:r>
        <w:rPr>
          <w:rFonts w:ascii="Verdana" w:hAnsi="Verdana"/>
          <w:bCs/>
          <w:iCs/>
          <w:sz w:val="20"/>
          <w:szCs w:val="24"/>
        </w:rPr>
        <w:t xml:space="preserve"> de casos</w:t>
      </w:r>
      <w:r w:rsidR="009A226B">
        <w:rPr>
          <w:rFonts w:ascii="Verdana" w:hAnsi="Verdana"/>
          <w:bCs/>
          <w:iCs/>
          <w:sz w:val="20"/>
          <w:szCs w:val="24"/>
        </w:rPr>
        <w:t>,</w:t>
      </w:r>
      <w:r>
        <w:rPr>
          <w:rFonts w:ascii="Verdana" w:hAnsi="Verdana"/>
          <w:bCs/>
          <w:iCs/>
          <w:sz w:val="20"/>
          <w:szCs w:val="24"/>
        </w:rPr>
        <w:t xml:space="preserve"> y ii) la calificación</w:t>
      </w:r>
      <w:r w:rsidRPr="00BD485A">
        <w:rPr>
          <w:rFonts w:ascii="Verdana" w:hAnsi="Verdana"/>
          <w:bCs/>
          <w:iCs/>
          <w:sz w:val="20"/>
          <w:szCs w:val="24"/>
        </w:rPr>
        <w:t xml:space="preserve"> jurídica</w:t>
      </w:r>
      <w:r>
        <w:rPr>
          <w:rFonts w:ascii="Verdana" w:hAnsi="Verdana"/>
          <w:bCs/>
          <w:iCs/>
          <w:sz w:val="20"/>
          <w:szCs w:val="24"/>
        </w:rPr>
        <w:t xml:space="preserve"> de ciertos hechos como violació</w:t>
      </w:r>
      <w:r w:rsidRPr="00BD485A">
        <w:rPr>
          <w:rFonts w:ascii="Verdana" w:hAnsi="Verdana"/>
          <w:bCs/>
          <w:iCs/>
          <w:sz w:val="20"/>
          <w:szCs w:val="24"/>
        </w:rPr>
        <w:t>n</w:t>
      </w:r>
      <w:r>
        <w:rPr>
          <w:rFonts w:ascii="Verdana" w:hAnsi="Verdana"/>
          <w:bCs/>
          <w:iCs/>
          <w:sz w:val="20"/>
          <w:szCs w:val="24"/>
        </w:rPr>
        <w:t xml:space="preserve"> </w:t>
      </w:r>
      <w:r w:rsidRPr="00BD485A">
        <w:rPr>
          <w:rFonts w:ascii="Verdana" w:hAnsi="Verdana"/>
          <w:bCs/>
          <w:iCs/>
          <w:sz w:val="20"/>
          <w:szCs w:val="24"/>
        </w:rPr>
        <w:t xml:space="preserve">sexual y tortura. </w:t>
      </w:r>
      <w:r>
        <w:rPr>
          <w:rFonts w:ascii="Verdana" w:hAnsi="Verdana"/>
          <w:bCs/>
          <w:iCs/>
          <w:sz w:val="20"/>
          <w:szCs w:val="24"/>
        </w:rPr>
        <w:t>Así mismo, aplicará</w:t>
      </w:r>
      <w:r w:rsidRPr="00BD485A">
        <w:rPr>
          <w:rFonts w:ascii="Verdana" w:hAnsi="Verdana"/>
          <w:bCs/>
          <w:iCs/>
          <w:sz w:val="20"/>
          <w:szCs w:val="24"/>
        </w:rPr>
        <w:t xml:space="preserve"> los elementos desarrollados en su peritaje a los hechos del presente</w:t>
      </w:r>
      <w:r>
        <w:rPr>
          <w:rFonts w:ascii="Verdana" w:hAnsi="Verdana"/>
          <w:bCs/>
          <w:iCs/>
          <w:sz w:val="20"/>
          <w:szCs w:val="24"/>
        </w:rPr>
        <w:t xml:space="preserve"> caso.</w:t>
      </w:r>
    </w:p>
    <w:p w14:paraId="1EB6AB5C" w14:textId="77777777" w:rsidR="0077293A" w:rsidRDefault="0077293A" w:rsidP="009A226B">
      <w:pPr>
        <w:pStyle w:val="ListParagraph"/>
        <w:tabs>
          <w:tab w:val="left" w:pos="567"/>
        </w:tabs>
        <w:spacing w:after="0" w:line="240" w:lineRule="auto"/>
        <w:ind w:left="1440"/>
        <w:jc w:val="both"/>
        <w:rPr>
          <w:rFonts w:ascii="Verdana" w:hAnsi="Verdana"/>
          <w:bCs/>
          <w:iCs/>
          <w:sz w:val="20"/>
          <w:szCs w:val="24"/>
        </w:rPr>
      </w:pPr>
    </w:p>
    <w:p w14:paraId="71CD4D9E" w14:textId="77777777" w:rsidR="0077293A" w:rsidRDefault="0077293A" w:rsidP="009A226B">
      <w:pPr>
        <w:tabs>
          <w:tab w:val="left" w:pos="567"/>
        </w:tabs>
        <w:spacing w:after="0" w:line="240" w:lineRule="auto"/>
        <w:ind w:left="720"/>
        <w:rPr>
          <w:rFonts w:ascii="Verdana" w:hAnsi="Verdana"/>
          <w:bCs/>
          <w:i/>
          <w:iCs/>
          <w:sz w:val="20"/>
          <w:szCs w:val="24"/>
        </w:rPr>
      </w:pPr>
      <w:r w:rsidRPr="0074090B">
        <w:rPr>
          <w:rFonts w:ascii="Verdana" w:hAnsi="Verdana"/>
          <w:bCs/>
          <w:i/>
          <w:iCs/>
          <w:sz w:val="20"/>
          <w:szCs w:val="24"/>
        </w:rPr>
        <w:lastRenderedPageBreak/>
        <w:t>Propuestos por los representantes</w:t>
      </w:r>
    </w:p>
    <w:p w14:paraId="60D8A20A" w14:textId="77777777" w:rsidR="0077293A" w:rsidRPr="0077293A" w:rsidRDefault="0077293A" w:rsidP="009A226B">
      <w:pPr>
        <w:pStyle w:val="ListParagraph"/>
        <w:tabs>
          <w:tab w:val="left" w:pos="567"/>
        </w:tabs>
        <w:spacing w:after="0" w:line="240" w:lineRule="auto"/>
        <w:ind w:left="1440"/>
        <w:jc w:val="both"/>
        <w:rPr>
          <w:rFonts w:ascii="Verdana" w:hAnsi="Verdana"/>
          <w:bCs/>
          <w:i/>
          <w:iCs/>
          <w:sz w:val="20"/>
          <w:szCs w:val="24"/>
        </w:rPr>
      </w:pPr>
    </w:p>
    <w:p w14:paraId="36E6E389" w14:textId="2A3EE593" w:rsidR="0077293A" w:rsidRPr="0077293A" w:rsidRDefault="00005C3B" w:rsidP="009A226B">
      <w:pPr>
        <w:pStyle w:val="ListParagraph"/>
        <w:numPr>
          <w:ilvl w:val="0"/>
          <w:numId w:val="29"/>
        </w:numPr>
        <w:tabs>
          <w:tab w:val="left" w:pos="567"/>
        </w:tabs>
        <w:spacing w:after="0" w:line="240" w:lineRule="auto"/>
        <w:ind w:hanging="731"/>
        <w:jc w:val="both"/>
        <w:rPr>
          <w:rFonts w:ascii="Verdana" w:hAnsi="Verdana"/>
          <w:bCs/>
          <w:i/>
          <w:iCs/>
          <w:sz w:val="20"/>
          <w:szCs w:val="24"/>
        </w:rPr>
      </w:pPr>
      <w:r w:rsidRPr="0077293A">
        <w:rPr>
          <w:rFonts w:ascii="Verdana" w:hAnsi="Verdana"/>
          <w:bCs/>
          <w:iCs/>
          <w:sz w:val="20"/>
          <w:szCs w:val="24"/>
        </w:rPr>
        <w:t xml:space="preserve">Regina Tames, quien </w:t>
      </w:r>
      <w:r w:rsidR="00CD1842" w:rsidRPr="0077293A">
        <w:rPr>
          <w:rFonts w:ascii="Verdana" w:hAnsi="Verdana"/>
          <w:bCs/>
          <w:iCs/>
          <w:sz w:val="20"/>
          <w:szCs w:val="24"/>
        </w:rPr>
        <w:t xml:space="preserve">rendirá un </w:t>
      </w:r>
      <w:r w:rsidRPr="0077293A">
        <w:rPr>
          <w:rFonts w:ascii="Verdana" w:hAnsi="Verdana"/>
          <w:bCs/>
          <w:iCs/>
          <w:sz w:val="20"/>
          <w:szCs w:val="24"/>
        </w:rPr>
        <w:t xml:space="preserve">peritaje sobre: i) la </w:t>
      </w:r>
      <w:r w:rsidR="00CD1842" w:rsidRPr="0077293A">
        <w:rPr>
          <w:rFonts w:ascii="Verdana" w:hAnsi="Verdana"/>
          <w:bCs/>
          <w:iCs/>
          <w:sz w:val="20"/>
          <w:szCs w:val="24"/>
        </w:rPr>
        <w:t xml:space="preserve">alegada </w:t>
      </w:r>
      <w:r w:rsidRPr="0077293A">
        <w:rPr>
          <w:rFonts w:ascii="Verdana" w:hAnsi="Verdana"/>
          <w:bCs/>
          <w:iCs/>
          <w:sz w:val="20"/>
          <w:szCs w:val="24"/>
        </w:rPr>
        <w:t xml:space="preserve">inefectividad de las medidas estructurales que ha implementado México para hacer frente a la </w:t>
      </w:r>
      <w:r w:rsidR="006F7C96">
        <w:rPr>
          <w:rFonts w:ascii="Verdana" w:hAnsi="Verdana"/>
          <w:bCs/>
          <w:iCs/>
          <w:sz w:val="20"/>
          <w:szCs w:val="24"/>
        </w:rPr>
        <w:t xml:space="preserve">alegada </w:t>
      </w:r>
      <w:r w:rsidRPr="0077293A">
        <w:rPr>
          <w:rFonts w:ascii="Verdana" w:hAnsi="Verdana"/>
          <w:bCs/>
          <w:iCs/>
          <w:sz w:val="20"/>
          <w:szCs w:val="24"/>
        </w:rPr>
        <w:t>violencia histórica y estructural contra las mujeres, especialmente contra la tortura sexual cometida por agentes estatales, y ii) sobre las medidas y políticas públicas necesarias y adecuadas para que hechos como los del presente caso no vuelvan a repetirse.</w:t>
      </w:r>
    </w:p>
    <w:p w14:paraId="5816AF84" w14:textId="77777777" w:rsidR="0077293A" w:rsidRPr="0077293A" w:rsidRDefault="0077293A" w:rsidP="009A226B">
      <w:pPr>
        <w:pStyle w:val="ListParagraph"/>
        <w:tabs>
          <w:tab w:val="left" w:pos="567"/>
        </w:tabs>
        <w:spacing w:after="0" w:line="240" w:lineRule="auto"/>
        <w:ind w:left="1440"/>
        <w:jc w:val="both"/>
        <w:rPr>
          <w:rFonts w:ascii="Verdana" w:hAnsi="Verdana"/>
          <w:bCs/>
          <w:i/>
          <w:iCs/>
          <w:sz w:val="20"/>
          <w:szCs w:val="24"/>
        </w:rPr>
      </w:pPr>
    </w:p>
    <w:p w14:paraId="000F6FB8" w14:textId="77777777" w:rsidR="0077293A" w:rsidRPr="0077293A" w:rsidRDefault="00455B1E" w:rsidP="009A226B">
      <w:pPr>
        <w:pStyle w:val="ListParagraph"/>
        <w:numPr>
          <w:ilvl w:val="0"/>
          <w:numId w:val="29"/>
        </w:numPr>
        <w:tabs>
          <w:tab w:val="left" w:pos="567"/>
        </w:tabs>
        <w:spacing w:after="0" w:line="240" w:lineRule="auto"/>
        <w:ind w:hanging="731"/>
        <w:jc w:val="both"/>
        <w:rPr>
          <w:rFonts w:ascii="Verdana" w:hAnsi="Verdana"/>
          <w:bCs/>
          <w:i/>
          <w:iCs/>
          <w:sz w:val="20"/>
          <w:szCs w:val="24"/>
        </w:rPr>
      </w:pPr>
      <w:r w:rsidRPr="0077293A">
        <w:rPr>
          <w:rFonts w:ascii="Verdana" w:hAnsi="Verdana"/>
          <w:bCs/>
          <w:iCs/>
          <w:sz w:val="20"/>
          <w:szCs w:val="24"/>
        </w:rPr>
        <w:t xml:space="preserve">Duarte Nuno Pessoa Vieira, quien rendirá </w:t>
      </w:r>
      <w:r w:rsidR="00CD1842" w:rsidRPr="0077293A">
        <w:rPr>
          <w:rFonts w:ascii="Verdana" w:hAnsi="Verdana"/>
          <w:bCs/>
          <w:iCs/>
          <w:sz w:val="20"/>
          <w:szCs w:val="24"/>
        </w:rPr>
        <w:t>un</w:t>
      </w:r>
      <w:r w:rsidRPr="0077293A">
        <w:rPr>
          <w:rFonts w:ascii="Verdana" w:hAnsi="Verdana"/>
          <w:bCs/>
          <w:iCs/>
          <w:sz w:val="20"/>
          <w:szCs w:val="24"/>
        </w:rPr>
        <w:t xml:space="preserve"> peritaje</w:t>
      </w:r>
      <w:r w:rsidRPr="0077293A">
        <w:rPr>
          <w:rFonts w:ascii="Arial" w:hAnsi="Arial" w:cs="Arial"/>
          <w:sz w:val="24"/>
          <w:szCs w:val="24"/>
        </w:rPr>
        <w:t xml:space="preserve"> </w:t>
      </w:r>
      <w:r w:rsidRPr="0077293A">
        <w:rPr>
          <w:rFonts w:ascii="Verdana" w:hAnsi="Verdana"/>
          <w:bCs/>
          <w:iCs/>
          <w:sz w:val="20"/>
          <w:szCs w:val="24"/>
        </w:rPr>
        <w:t>sobre: i) las obligaciones del Estado en materia de atención y documentación médica y psicológica en casos de posible tortura, especialmente en casos de violencia sexual a mujeres detenidas y privadas de libertad; ii) las obligaciones estatales respecto de las diligencias inmediatas que deben llevar adelante los médicos y otras autoridades para brindar un tratamiento adecuado a las mujeres víctimas de tortura sexual; iii) las implicaciones que acarrea el actual marco normativo y diseño institucional de los servicios periciales en México, en particular la falta de independencia estructural de los médicos legistas y peritos médicos y psicólogos de las procuradurías o fiscalías, así como otros obstáculos, prácticas o condiciones detectadas que incidan en el cumplimiento en México de los estándares internacionales en la materia, y iv) medidas sugeridas para superar estas deficiencias.</w:t>
      </w:r>
    </w:p>
    <w:p w14:paraId="36B97EBF" w14:textId="77777777" w:rsidR="0077293A" w:rsidRPr="0077293A" w:rsidRDefault="0077293A" w:rsidP="009A226B">
      <w:pPr>
        <w:pStyle w:val="ListParagraph"/>
        <w:tabs>
          <w:tab w:val="left" w:pos="567"/>
        </w:tabs>
        <w:spacing w:after="0" w:line="240" w:lineRule="auto"/>
        <w:ind w:left="1440"/>
        <w:jc w:val="both"/>
        <w:rPr>
          <w:rFonts w:ascii="Verdana" w:hAnsi="Verdana"/>
          <w:bCs/>
          <w:i/>
          <w:iCs/>
          <w:sz w:val="20"/>
          <w:szCs w:val="24"/>
        </w:rPr>
      </w:pPr>
    </w:p>
    <w:p w14:paraId="2863CA74" w14:textId="68FDBA82" w:rsidR="0077293A" w:rsidRPr="0077293A" w:rsidRDefault="002F548B" w:rsidP="009A226B">
      <w:pPr>
        <w:pStyle w:val="ListParagraph"/>
        <w:numPr>
          <w:ilvl w:val="0"/>
          <w:numId w:val="29"/>
        </w:numPr>
        <w:tabs>
          <w:tab w:val="left" w:pos="567"/>
        </w:tabs>
        <w:spacing w:after="0" w:line="240" w:lineRule="auto"/>
        <w:ind w:hanging="731"/>
        <w:jc w:val="both"/>
        <w:rPr>
          <w:rFonts w:ascii="Verdana" w:hAnsi="Verdana"/>
          <w:bCs/>
          <w:i/>
          <w:iCs/>
          <w:sz w:val="20"/>
          <w:szCs w:val="24"/>
        </w:rPr>
      </w:pPr>
      <w:r w:rsidRPr="0077293A">
        <w:rPr>
          <w:rFonts w:ascii="Verdana" w:hAnsi="Verdana" w:cs="Arial"/>
          <w:bCs/>
          <w:sz w:val="20"/>
          <w:szCs w:val="20"/>
        </w:rPr>
        <w:t>Ximena Antillón</w:t>
      </w:r>
      <w:r w:rsidRPr="0077293A">
        <w:rPr>
          <w:rFonts w:ascii="Verdana" w:hAnsi="Verdana" w:cs="Arial"/>
          <w:i/>
          <w:sz w:val="20"/>
          <w:szCs w:val="20"/>
        </w:rPr>
        <w:t>,</w:t>
      </w:r>
      <w:r w:rsidRPr="0077293A">
        <w:rPr>
          <w:rFonts w:ascii="Verdana" w:hAnsi="Verdana" w:cs="Arial"/>
          <w:sz w:val="20"/>
          <w:szCs w:val="20"/>
        </w:rPr>
        <w:t xml:space="preserve"> quien rendirá </w:t>
      </w:r>
      <w:r w:rsidR="0077293A" w:rsidRPr="0077293A">
        <w:rPr>
          <w:rFonts w:ascii="Verdana" w:hAnsi="Verdana" w:cs="Arial"/>
          <w:sz w:val="20"/>
          <w:szCs w:val="20"/>
        </w:rPr>
        <w:t xml:space="preserve">un </w:t>
      </w:r>
      <w:r w:rsidRPr="0077293A">
        <w:rPr>
          <w:rFonts w:ascii="Verdana" w:hAnsi="Verdana" w:cs="Arial"/>
          <w:sz w:val="20"/>
          <w:szCs w:val="20"/>
        </w:rPr>
        <w:t>peritaje sobre: i) los resultados de una evaluación psicológica practicada a las once mujeres</w:t>
      </w:r>
      <w:r w:rsidR="0077293A" w:rsidRPr="0077293A">
        <w:rPr>
          <w:rFonts w:ascii="Verdana" w:hAnsi="Verdana" w:cs="Arial"/>
          <w:sz w:val="20"/>
          <w:szCs w:val="20"/>
        </w:rPr>
        <w:t xml:space="preserve"> que </w:t>
      </w:r>
      <w:r w:rsidR="00FD6873">
        <w:rPr>
          <w:rFonts w:ascii="Verdana" w:hAnsi="Verdana" w:cs="Arial"/>
          <w:sz w:val="20"/>
          <w:szCs w:val="20"/>
        </w:rPr>
        <w:t>alegan ser</w:t>
      </w:r>
      <w:r w:rsidRPr="0077293A">
        <w:rPr>
          <w:rFonts w:ascii="Verdana" w:hAnsi="Verdana" w:cs="Arial"/>
          <w:sz w:val="20"/>
          <w:szCs w:val="20"/>
        </w:rPr>
        <w:t xml:space="preserve"> víctimas directas del </w:t>
      </w:r>
      <w:r w:rsidR="0077293A" w:rsidRPr="0077293A">
        <w:rPr>
          <w:rFonts w:ascii="Verdana" w:hAnsi="Verdana" w:cs="Arial"/>
          <w:sz w:val="20"/>
          <w:szCs w:val="20"/>
        </w:rPr>
        <w:t xml:space="preserve">presente </w:t>
      </w:r>
      <w:r w:rsidRPr="0077293A">
        <w:rPr>
          <w:rFonts w:ascii="Verdana" w:hAnsi="Verdana" w:cs="Arial"/>
          <w:sz w:val="20"/>
          <w:szCs w:val="20"/>
        </w:rPr>
        <w:t xml:space="preserve">caso; ii) los efectos persistentes de las </w:t>
      </w:r>
      <w:r w:rsidR="0077293A" w:rsidRPr="0077293A">
        <w:rPr>
          <w:rFonts w:ascii="Verdana" w:hAnsi="Verdana" w:cs="Arial"/>
          <w:sz w:val="20"/>
          <w:szCs w:val="20"/>
        </w:rPr>
        <w:t xml:space="preserve">alegadas </w:t>
      </w:r>
      <w:r w:rsidRPr="0077293A">
        <w:rPr>
          <w:rFonts w:ascii="Verdana" w:hAnsi="Verdana" w:cs="Arial"/>
          <w:sz w:val="20"/>
          <w:szCs w:val="20"/>
        </w:rPr>
        <w:t xml:space="preserve">violaciones de las cuales fueron objeto; y iii) los resultados de </w:t>
      </w:r>
      <w:r w:rsidR="0077293A" w:rsidRPr="0077293A">
        <w:rPr>
          <w:rFonts w:ascii="Verdana" w:hAnsi="Verdana" w:cs="Arial"/>
          <w:sz w:val="20"/>
          <w:szCs w:val="20"/>
        </w:rPr>
        <w:t xml:space="preserve">las </w:t>
      </w:r>
      <w:r w:rsidRPr="0077293A">
        <w:rPr>
          <w:rFonts w:ascii="Verdana" w:hAnsi="Verdana" w:cs="Arial"/>
          <w:sz w:val="20"/>
          <w:szCs w:val="20"/>
        </w:rPr>
        <w:t xml:space="preserve">evaluaciones a algunos de los familiares de las once mujeres a fin de evidenciar las afectaciones causadas en su esfera psico-emocional por las </w:t>
      </w:r>
      <w:r w:rsidR="00FD6873">
        <w:rPr>
          <w:rFonts w:ascii="Verdana" w:hAnsi="Verdana" w:cs="Arial"/>
          <w:sz w:val="20"/>
          <w:szCs w:val="20"/>
        </w:rPr>
        <w:t xml:space="preserve">alegadas </w:t>
      </w:r>
      <w:r w:rsidRPr="0077293A">
        <w:rPr>
          <w:rFonts w:ascii="Verdana" w:hAnsi="Verdana" w:cs="Arial"/>
          <w:sz w:val="20"/>
          <w:szCs w:val="20"/>
        </w:rPr>
        <w:t>violaciones padecidas; iv) posibles medidas de reparación.</w:t>
      </w:r>
    </w:p>
    <w:p w14:paraId="097FC277" w14:textId="77777777" w:rsidR="0077293A" w:rsidRPr="0077293A" w:rsidRDefault="0077293A" w:rsidP="009A226B">
      <w:pPr>
        <w:pStyle w:val="ListParagraph"/>
        <w:tabs>
          <w:tab w:val="left" w:pos="567"/>
        </w:tabs>
        <w:spacing w:after="0" w:line="240" w:lineRule="auto"/>
        <w:ind w:left="1440"/>
        <w:jc w:val="both"/>
        <w:rPr>
          <w:rFonts w:ascii="Verdana" w:hAnsi="Verdana"/>
          <w:bCs/>
          <w:i/>
          <w:iCs/>
          <w:sz w:val="20"/>
          <w:szCs w:val="24"/>
        </w:rPr>
      </w:pPr>
    </w:p>
    <w:p w14:paraId="0A4AACE9" w14:textId="77777777" w:rsidR="0077293A" w:rsidRPr="0077293A" w:rsidRDefault="002F548B" w:rsidP="009A226B">
      <w:pPr>
        <w:pStyle w:val="ListParagraph"/>
        <w:numPr>
          <w:ilvl w:val="0"/>
          <w:numId w:val="29"/>
        </w:numPr>
        <w:tabs>
          <w:tab w:val="left" w:pos="567"/>
        </w:tabs>
        <w:spacing w:after="0" w:line="240" w:lineRule="auto"/>
        <w:ind w:hanging="731"/>
        <w:jc w:val="both"/>
        <w:rPr>
          <w:rFonts w:ascii="Verdana" w:hAnsi="Verdana"/>
          <w:bCs/>
          <w:i/>
          <w:iCs/>
          <w:sz w:val="20"/>
          <w:szCs w:val="24"/>
        </w:rPr>
      </w:pPr>
      <w:r w:rsidRPr="0077293A">
        <w:rPr>
          <w:rFonts w:ascii="Verdana" w:hAnsi="Verdana" w:cs="Arial"/>
          <w:bCs/>
          <w:sz w:val="20"/>
          <w:szCs w:val="20"/>
        </w:rPr>
        <w:t>Rob Varenik,</w:t>
      </w:r>
      <w:r w:rsidRPr="0077293A">
        <w:rPr>
          <w:rFonts w:ascii="Verdana" w:hAnsi="Verdana" w:cs="Arial"/>
          <w:b/>
          <w:bCs/>
          <w:sz w:val="20"/>
          <w:szCs w:val="20"/>
        </w:rPr>
        <w:t xml:space="preserve"> </w:t>
      </w:r>
      <w:r w:rsidRPr="0077293A">
        <w:rPr>
          <w:rFonts w:ascii="Verdana" w:hAnsi="Verdana" w:cs="Arial"/>
          <w:sz w:val="20"/>
          <w:szCs w:val="20"/>
        </w:rPr>
        <w:t xml:space="preserve">quien rendirá </w:t>
      </w:r>
      <w:r w:rsidR="0077293A" w:rsidRPr="0077293A">
        <w:rPr>
          <w:rFonts w:ascii="Verdana" w:hAnsi="Verdana" w:cs="Arial"/>
          <w:sz w:val="20"/>
          <w:szCs w:val="20"/>
        </w:rPr>
        <w:t xml:space="preserve">un </w:t>
      </w:r>
      <w:r w:rsidRPr="0077293A">
        <w:rPr>
          <w:rFonts w:ascii="Verdana" w:hAnsi="Verdana" w:cs="Arial"/>
          <w:sz w:val="20"/>
          <w:szCs w:val="20"/>
        </w:rPr>
        <w:t>peritaje sobre: i) el contexto de violaciones de derechos humanos cometidas por la fuerza pública en México, a nivel federal y estatal, incluyendo en contextos de protesta social; ii) causas estructurales de la repetición e impunidad de las mismas; iii) medidas necesarias para mejorar la prevención, esclarecimiento y sanción de tales violaciones en México.</w:t>
      </w:r>
    </w:p>
    <w:p w14:paraId="187FD124" w14:textId="77777777" w:rsidR="0077293A" w:rsidRPr="0077293A" w:rsidRDefault="0077293A" w:rsidP="009A226B">
      <w:pPr>
        <w:pStyle w:val="ListParagraph"/>
        <w:tabs>
          <w:tab w:val="left" w:pos="567"/>
        </w:tabs>
        <w:spacing w:after="0" w:line="240" w:lineRule="auto"/>
        <w:ind w:left="1440"/>
        <w:jc w:val="both"/>
        <w:rPr>
          <w:rFonts w:ascii="Verdana" w:hAnsi="Verdana"/>
          <w:bCs/>
          <w:i/>
          <w:iCs/>
          <w:sz w:val="20"/>
          <w:szCs w:val="24"/>
        </w:rPr>
      </w:pPr>
    </w:p>
    <w:p w14:paraId="108AC133" w14:textId="77777777" w:rsidR="0077293A" w:rsidRPr="0077293A" w:rsidRDefault="002F548B" w:rsidP="009A226B">
      <w:pPr>
        <w:pStyle w:val="ListParagraph"/>
        <w:numPr>
          <w:ilvl w:val="0"/>
          <w:numId w:val="29"/>
        </w:numPr>
        <w:tabs>
          <w:tab w:val="left" w:pos="567"/>
        </w:tabs>
        <w:spacing w:after="0" w:line="240" w:lineRule="auto"/>
        <w:ind w:hanging="731"/>
        <w:jc w:val="both"/>
        <w:rPr>
          <w:rFonts w:ascii="Verdana" w:hAnsi="Verdana"/>
          <w:bCs/>
          <w:i/>
          <w:iCs/>
          <w:sz w:val="20"/>
          <w:szCs w:val="24"/>
        </w:rPr>
      </w:pPr>
      <w:r w:rsidRPr="0077293A">
        <w:rPr>
          <w:rFonts w:ascii="Verdana" w:hAnsi="Verdana" w:cs="Arial"/>
          <w:bCs/>
          <w:sz w:val="20"/>
          <w:szCs w:val="20"/>
        </w:rPr>
        <w:t>Susana SáCouto,</w:t>
      </w:r>
      <w:r w:rsidRPr="0077293A">
        <w:rPr>
          <w:rFonts w:ascii="Verdana" w:hAnsi="Verdana" w:cs="Arial"/>
          <w:b/>
          <w:bCs/>
          <w:sz w:val="20"/>
          <w:szCs w:val="20"/>
        </w:rPr>
        <w:t xml:space="preserve"> </w:t>
      </w:r>
      <w:r w:rsidRPr="0077293A">
        <w:rPr>
          <w:rFonts w:ascii="Verdana" w:hAnsi="Verdana" w:cs="Arial"/>
          <w:sz w:val="20"/>
          <w:szCs w:val="20"/>
        </w:rPr>
        <w:t xml:space="preserve">quien </w:t>
      </w:r>
      <w:r w:rsidR="0077293A" w:rsidRPr="0077293A">
        <w:rPr>
          <w:rFonts w:ascii="Verdana" w:hAnsi="Verdana" w:cs="Arial"/>
          <w:sz w:val="20"/>
          <w:szCs w:val="20"/>
        </w:rPr>
        <w:t xml:space="preserve">rendirá un </w:t>
      </w:r>
      <w:r w:rsidRPr="0077293A">
        <w:rPr>
          <w:rFonts w:ascii="Verdana" w:hAnsi="Verdana" w:cs="Arial"/>
          <w:sz w:val="20"/>
          <w:szCs w:val="20"/>
        </w:rPr>
        <w:t>peritaje sobre i) la obligación estatal de investigar a la cadena de mando, incluyendo en su caso a los altos mandos de las fuerzas de seguridad, así como a las autoridades políticas, en relación a los operativos realizados por las fuerzas de seguridad que resultan en violaciones de derechos humanos, en particular de mujeres; ii) estándares y prácticas internacionales respecto a la obligación de investigar y sancionar a toda la cadena de mando en casos de violaciones a derechos humanos; y iii) sobre posibles medidas estructurales y efectivas de rendición de cuentas para este tipo de casos.</w:t>
      </w:r>
    </w:p>
    <w:p w14:paraId="65A9F99B" w14:textId="77777777" w:rsidR="0077293A" w:rsidRPr="0077293A" w:rsidRDefault="0077293A" w:rsidP="009A226B">
      <w:pPr>
        <w:pStyle w:val="ListParagraph"/>
        <w:tabs>
          <w:tab w:val="left" w:pos="567"/>
        </w:tabs>
        <w:spacing w:after="0" w:line="240" w:lineRule="auto"/>
        <w:ind w:left="1440"/>
        <w:jc w:val="both"/>
        <w:rPr>
          <w:rFonts w:ascii="Verdana" w:hAnsi="Verdana"/>
          <w:bCs/>
          <w:i/>
          <w:iCs/>
          <w:sz w:val="20"/>
          <w:szCs w:val="24"/>
        </w:rPr>
      </w:pPr>
    </w:p>
    <w:p w14:paraId="57518CC4" w14:textId="77777777" w:rsidR="0077293A" w:rsidRPr="0077293A" w:rsidRDefault="002F548B" w:rsidP="009A226B">
      <w:pPr>
        <w:pStyle w:val="ListParagraph"/>
        <w:numPr>
          <w:ilvl w:val="0"/>
          <w:numId w:val="29"/>
        </w:numPr>
        <w:tabs>
          <w:tab w:val="left" w:pos="567"/>
        </w:tabs>
        <w:spacing w:after="0" w:line="240" w:lineRule="auto"/>
        <w:ind w:hanging="731"/>
        <w:jc w:val="both"/>
        <w:rPr>
          <w:rFonts w:ascii="Verdana" w:hAnsi="Verdana"/>
          <w:bCs/>
          <w:i/>
          <w:iCs/>
          <w:sz w:val="20"/>
          <w:szCs w:val="24"/>
        </w:rPr>
      </w:pPr>
      <w:r w:rsidRPr="0077293A">
        <w:rPr>
          <w:rFonts w:ascii="Verdana" w:hAnsi="Verdana" w:cs="Arial"/>
          <w:bCs/>
          <w:sz w:val="20"/>
          <w:szCs w:val="20"/>
        </w:rPr>
        <w:t>Maina Kiai,</w:t>
      </w:r>
      <w:r w:rsidRPr="0077293A">
        <w:rPr>
          <w:rFonts w:ascii="Verdana" w:hAnsi="Verdana" w:cs="Arial"/>
          <w:b/>
          <w:bCs/>
          <w:sz w:val="20"/>
          <w:szCs w:val="20"/>
        </w:rPr>
        <w:t xml:space="preserve"> </w:t>
      </w:r>
      <w:r w:rsidRPr="0077293A">
        <w:rPr>
          <w:rFonts w:ascii="Verdana" w:hAnsi="Verdana" w:cs="Arial"/>
          <w:sz w:val="20"/>
          <w:szCs w:val="20"/>
        </w:rPr>
        <w:t>quien rendirá</w:t>
      </w:r>
      <w:r w:rsidR="0077293A" w:rsidRPr="0077293A">
        <w:rPr>
          <w:rFonts w:ascii="Verdana" w:hAnsi="Verdana" w:cs="Arial"/>
          <w:sz w:val="20"/>
          <w:szCs w:val="20"/>
        </w:rPr>
        <w:t xml:space="preserve"> un</w:t>
      </w:r>
      <w:r w:rsidRPr="0077293A">
        <w:rPr>
          <w:rFonts w:ascii="Verdana" w:hAnsi="Verdana" w:cs="Arial"/>
          <w:sz w:val="20"/>
          <w:szCs w:val="20"/>
        </w:rPr>
        <w:t xml:space="preserve"> peritaje sobre: i) los estándares internacionales de respeto y protección de los derechos humanos en el contexto de la protesta social; ii) patrones de violaciones cometidas en contra de personas que se encuentran en escenarios de protesta social, identificando factores de riesgo que las propicien y buenas prácticas para prevenir y erradicarlas, y iii) los estándares internacionales sobre utilización de tipos penales ambiguos que </w:t>
      </w:r>
      <w:r w:rsidRPr="0077293A">
        <w:rPr>
          <w:rFonts w:ascii="Verdana" w:hAnsi="Verdana" w:cs="Arial"/>
          <w:sz w:val="20"/>
          <w:szCs w:val="20"/>
        </w:rPr>
        <w:lastRenderedPageBreak/>
        <w:t>facilitan la detención y enjuiciamiento de personas que se encuentren en protestas sociales. El perito podrá hacer referencia al contexto de México y los hechos del presente caso.</w:t>
      </w:r>
    </w:p>
    <w:p w14:paraId="7909ACF4" w14:textId="77777777" w:rsidR="0077293A" w:rsidRPr="0077293A" w:rsidRDefault="0077293A" w:rsidP="009A226B">
      <w:pPr>
        <w:pStyle w:val="ListParagraph"/>
        <w:tabs>
          <w:tab w:val="left" w:pos="567"/>
        </w:tabs>
        <w:spacing w:after="0" w:line="240" w:lineRule="auto"/>
        <w:ind w:left="1440"/>
        <w:jc w:val="both"/>
        <w:rPr>
          <w:rFonts w:ascii="Verdana" w:hAnsi="Verdana"/>
          <w:bCs/>
          <w:i/>
          <w:iCs/>
          <w:sz w:val="20"/>
          <w:szCs w:val="24"/>
        </w:rPr>
      </w:pPr>
    </w:p>
    <w:p w14:paraId="1B6E1DC2" w14:textId="6E922E5E" w:rsidR="002F548B" w:rsidRPr="0077293A" w:rsidRDefault="002F548B" w:rsidP="009A226B">
      <w:pPr>
        <w:pStyle w:val="ListParagraph"/>
        <w:numPr>
          <w:ilvl w:val="0"/>
          <w:numId w:val="29"/>
        </w:numPr>
        <w:tabs>
          <w:tab w:val="left" w:pos="567"/>
        </w:tabs>
        <w:spacing w:after="0" w:line="240" w:lineRule="auto"/>
        <w:ind w:hanging="731"/>
        <w:jc w:val="both"/>
        <w:rPr>
          <w:rFonts w:ascii="Verdana" w:hAnsi="Verdana"/>
          <w:bCs/>
          <w:i/>
          <w:iCs/>
          <w:sz w:val="20"/>
          <w:szCs w:val="24"/>
        </w:rPr>
      </w:pPr>
      <w:r w:rsidRPr="0077293A">
        <w:rPr>
          <w:rFonts w:ascii="Verdana" w:hAnsi="Verdana" w:cs="Arial"/>
          <w:bCs/>
          <w:sz w:val="20"/>
          <w:szCs w:val="20"/>
        </w:rPr>
        <w:t>Daniela Kravetz,</w:t>
      </w:r>
      <w:r w:rsidRPr="0077293A">
        <w:rPr>
          <w:rFonts w:ascii="Verdana" w:hAnsi="Verdana" w:cs="Arial"/>
          <w:b/>
          <w:bCs/>
          <w:sz w:val="20"/>
          <w:szCs w:val="20"/>
        </w:rPr>
        <w:t xml:space="preserve"> </w:t>
      </w:r>
      <w:r w:rsidRPr="0077293A">
        <w:rPr>
          <w:rFonts w:ascii="Verdana" w:hAnsi="Verdana" w:cs="Arial"/>
          <w:sz w:val="20"/>
          <w:szCs w:val="20"/>
        </w:rPr>
        <w:t>quien rendirá</w:t>
      </w:r>
      <w:r w:rsidR="0077293A" w:rsidRPr="0077293A">
        <w:rPr>
          <w:rFonts w:ascii="Verdana" w:hAnsi="Verdana" w:cs="Arial"/>
          <w:sz w:val="20"/>
          <w:szCs w:val="20"/>
        </w:rPr>
        <w:t xml:space="preserve"> un</w:t>
      </w:r>
      <w:r w:rsidRPr="0077293A">
        <w:rPr>
          <w:rFonts w:ascii="Verdana" w:hAnsi="Verdana" w:cs="Arial"/>
          <w:sz w:val="20"/>
          <w:szCs w:val="20"/>
        </w:rPr>
        <w:t xml:space="preserve"> peritaje sobre: i) el uso diferenciado, fines perseguidos e impacto de la violencia sexual como tortura en las mujeres, y la necesidad de que estos elementos sean valorados para determinar la responsabilidad internacional del Estado; ii) los estándares internacionales de prevención, protección y debida diligencia en la investigación de la tortura sexual; así como iii) posibles medidas de reparación. La perita tomará en cuenta el contexto de México y los hechos del presente caso.</w:t>
      </w:r>
    </w:p>
    <w:p w14:paraId="61B2AA9D" w14:textId="7AF28C70" w:rsidR="006C7E81" w:rsidRPr="0077293A" w:rsidRDefault="006C7E81" w:rsidP="009A226B">
      <w:pPr>
        <w:tabs>
          <w:tab w:val="left" w:pos="567"/>
        </w:tabs>
        <w:spacing w:after="0" w:line="240" w:lineRule="auto"/>
        <w:jc w:val="both"/>
        <w:rPr>
          <w:rFonts w:ascii="Verdana" w:hAnsi="Verdana"/>
          <w:bCs/>
          <w:i/>
          <w:iCs/>
          <w:sz w:val="20"/>
          <w:szCs w:val="24"/>
        </w:rPr>
      </w:pPr>
    </w:p>
    <w:p w14:paraId="774C97F3" w14:textId="77777777" w:rsidR="00AF1E16" w:rsidRDefault="00AF1E16"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Requerir a</w:t>
      </w:r>
      <w:r w:rsidRPr="00A60BFB">
        <w:rPr>
          <w:rFonts w:ascii="Verdana" w:hAnsi="Verdana"/>
          <w:bCs/>
          <w:iCs/>
          <w:sz w:val="20"/>
          <w:szCs w:val="24"/>
        </w:rPr>
        <w:t xml:space="preserve"> la Comisión Interamericana</w:t>
      </w:r>
      <w:r>
        <w:rPr>
          <w:rFonts w:ascii="Verdana" w:hAnsi="Verdana"/>
          <w:bCs/>
          <w:iCs/>
          <w:sz w:val="20"/>
          <w:szCs w:val="24"/>
        </w:rPr>
        <w:t xml:space="preserve"> </w:t>
      </w:r>
      <w:r w:rsidRPr="00A60BFB">
        <w:rPr>
          <w:rFonts w:ascii="Verdana" w:hAnsi="Verdana"/>
          <w:bCs/>
          <w:iCs/>
          <w:sz w:val="20"/>
          <w:szCs w:val="24"/>
        </w:rPr>
        <w:t xml:space="preserve">y a los representantes que notifiquen la presente Resolución a las personas por ellos propuestas, respectivamente, que han sido convocados a rendir declaración, de conformidad con lo dispuesto en los artículos 50.2 y 50.4 del Reglamento. </w:t>
      </w:r>
    </w:p>
    <w:p w14:paraId="506E2C4E" w14:textId="77777777" w:rsidR="00AF1E16" w:rsidRDefault="00AF1E16" w:rsidP="009A226B">
      <w:pPr>
        <w:pStyle w:val="ListParagraph"/>
        <w:tabs>
          <w:tab w:val="left" w:pos="567"/>
        </w:tabs>
        <w:spacing w:after="0" w:line="240" w:lineRule="auto"/>
        <w:ind w:left="0"/>
        <w:jc w:val="both"/>
        <w:rPr>
          <w:rFonts w:ascii="Verdana" w:hAnsi="Verdana"/>
          <w:bCs/>
          <w:iCs/>
          <w:sz w:val="20"/>
          <w:szCs w:val="24"/>
        </w:rPr>
      </w:pPr>
    </w:p>
    <w:p w14:paraId="0A1DFC97" w14:textId="1C9247B3" w:rsidR="006637F7" w:rsidRPr="00005C3B" w:rsidRDefault="0011434A"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005C3B">
        <w:rPr>
          <w:rFonts w:ascii="Verdana" w:hAnsi="Verdana"/>
          <w:bCs/>
          <w:iCs/>
          <w:sz w:val="20"/>
          <w:szCs w:val="24"/>
        </w:rPr>
        <w:t xml:space="preserve">Requerir a los representantes y al Estado que remitan, </w:t>
      </w:r>
      <w:r w:rsidR="003113F3" w:rsidRPr="00005C3B">
        <w:rPr>
          <w:rFonts w:ascii="Verdana" w:hAnsi="Verdana"/>
          <w:bCs/>
          <w:iCs/>
          <w:sz w:val="20"/>
          <w:szCs w:val="24"/>
        </w:rPr>
        <w:t xml:space="preserve">en los términos del artículo 50.5 del Reglamento y </w:t>
      </w:r>
      <w:r w:rsidRPr="00005C3B">
        <w:rPr>
          <w:rFonts w:ascii="Verdana" w:hAnsi="Verdana"/>
          <w:bCs/>
          <w:iCs/>
          <w:sz w:val="20"/>
          <w:szCs w:val="24"/>
        </w:rPr>
        <w:t xml:space="preserve">de considerarlo pertinente, en el plazo improrrogable que vence el </w:t>
      </w:r>
      <w:r w:rsidR="00D50579">
        <w:rPr>
          <w:rFonts w:ascii="Verdana" w:hAnsi="Verdana"/>
          <w:bCs/>
          <w:iCs/>
          <w:sz w:val="20"/>
          <w:szCs w:val="24"/>
        </w:rPr>
        <w:t>2</w:t>
      </w:r>
      <w:r w:rsidR="00CC3B6D">
        <w:rPr>
          <w:rFonts w:ascii="Verdana" w:hAnsi="Verdana"/>
          <w:bCs/>
          <w:iCs/>
          <w:sz w:val="20"/>
          <w:szCs w:val="24"/>
        </w:rPr>
        <w:t>6</w:t>
      </w:r>
      <w:r w:rsidRPr="00005C3B">
        <w:rPr>
          <w:rFonts w:ascii="Verdana" w:hAnsi="Verdana"/>
          <w:bCs/>
          <w:iCs/>
          <w:sz w:val="20"/>
          <w:szCs w:val="24"/>
        </w:rPr>
        <w:t xml:space="preserve"> de </w:t>
      </w:r>
      <w:r w:rsidR="00BD485A" w:rsidRPr="00005C3B">
        <w:rPr>
          <w:rFonts w:ascii="Verdana" w:hAnsi="Verdana"/>
          <w:bCs/>
          <w:iCs/>
          <w:sz w:val="20"/>
          <w:szCs w:val="24"/>
        </w:rPr>
        <w:t>octubre</w:t>
      </w:r>
      <w:r w:rsidRPr="00005C3B">
        <w:rPr>
          <w:rFonts w:ascii="Verdana" w:hAnsi="Verdana"/>
          <w:bCs/>
          <w:iCs/>
          <w:sz w:val="20"/>
          <w:szCs w:val="24"/>
        </w:rPr>
        <w:t xml:space="preserve"> de 2017, las preguntas que estimen pertinentes formular, a través de la Corte Interamericana, a l</w:t>
      </w:r>
      <w:r w:rsidR="003113F3" w:rsidRPr="00005C3B">
        <w:rPr>
          <w:rFonts w:ascii="Verdana" w:hAnsi="Verdana"/>
          <w:bCs/>
          <w:iCs/>
          <w:sz w:val="20"/>
          <w:szCs w:val="24"/>
        </w:rPr>
        <w:t>a</w:t>
      </w:r>
      <w:r w:rsidR="00BD485A" w:rsidRPr="00005C3B">
        <w:rPr>
          <w:rFonts w:ascii="Verdana" w:hAnsi="Verdana"/>
          <w:bCs/>
          <w:iCs/>
          <w:sz w:val="20"/>
          <w:szCs w:val="24"/>
        </w:rPr>
        <w:t>s</w:t>
      </w:r>
      <w:r w:rsidR="003113F3" w:rsidRPr="00005C3B">
        <w:rPr>
          <w:rFonts w:ascii="Verdana" w:hAnsi="Verdana"/>
          <w:bCs/>
          <w:iCs/>
          <w:sz w:val="20"/>
          <w:szCs w:val="24"/>
        </w:rPr>
        <w:t xml:space="preserve"> </w:t>
      </w:r>
      <w:r w:rsidR="005F4EF2">
        <w:rPr>
          <w:rFonts w:ascii="Verdana" w:hAnsi="Verdana"/>
          <w:bCs/>
          <w:iCs/>
          <w:sz w:val="20"/>
          <w:szCs w:val="24"/>
        </w:rPr>
        <w:t>declarantes</w:t>
      </w:r>
      <w:r w:rsidR="00005C3B" w:rsidRPr="00005C3B">
        <w:rPr>
          <w:rFonts w:ascii="Verdana" w:hAnsi="Verdana"/>
          <w:bCs/>
          <w:iCs/>
          <w:sz w:val="20"/>
          <w:szCs w:val="24"/>
        </w:rPr>
        <w:t xml:space="preserve"> </w:t>
      </w:r>
      <w:r w:rsidR="003113F3" w:rsidRPr="00005C3B">
        <w:rPr>
          <w:rFonts w:ascii="Verdana" w:hAnsi="Verdana"/>
          <w:bCs/>
          <w:iCs/>
          <w:sz w:val="20"/>
          <w:szCs w:val="24"/>
        </w:rPr>
        <w:t xml:space="preserve">y </w:t>
      </w:r>
      <w:r w:rsidRPr="00005C3B">
        <w:rPr>
          <w:rFonts w:ascii="Verdana" w:hAnsi="Verdana"/>
          <w:bCs/>
          <w:iCs/>
          <w:sz w:val="20"/>
          <w:szCs w:val="24"/>
        </w:rPr>
        <w:t>peritos indicados en el punto resolutivo</w:t>
      </w:r>
      <w:r w:rsidR="00205583" w:rsidRPr="00005C3B">
        <w:rPr>
          <w:rFonts w:ascii="Verdana" w:hAnsi="Verdana"/>
          <w:bCs/>
          <w:iCs/>
          <w:sz w:val="20"/>
          <w:szCs w:val="24"/>
        </w:rPr>
        <w:t xml:space="preserve"> </w:t>
      </w:r>
      <w:r w:rsidR="00205583" w:rsidRPr="00005C3B">
        <w:rPr>
          <w:rFonts w:ascii="Verdana" w:hAnsi="Verdana"/>
          <w:bCs/>
          <w:iCs/>
          <w:sz w:val="20"/>
          <w:szCs w:val="24"/>
        </w:rPr>
        <w:fldChar w:fldCharType="begin"/>
      </w:r>
      <w:r w:rsidR="00205583" w:rsidRPr="00005C3B">
        <w:rPr>
          <w:rFonts w:ascii="Verdana" w:hAnsi="Verdana"/>
          <w:bCs/>
          <w:iCs/>
          <w:sz w:val="20"/>
          <w:szCs w:val="24"/>
        </w:rPr>
        <w:instrText xml:space="preserve"> REF _Ref477386390 \r \h </w:instrText>
      </w:r>
      <w:r w:rsidR="009A226B">
        <w:rPr>
          <w:rFonts w:ascii="Verdana" w:hAnsi="Verdana"/>
          <w:bCs/>
          <w:iCs/>
          <w:sz w:val="20"/>
          <w:szCs w:val="24"/>
        </w:rPr>
        <w:instrText xml:space="preserve"> \* MERGEFORMAT </w:instrText>
      </w:r>
      <w:r w:rsidR="00205583" w:rsidRPr="00005C3B">
        <w:rPr>
          <w:rFonts w:ascii="Verdana" w:hAnsi="Verdana"/>
          <w:bCs/>
          <w:iCs/>
          <w:sz w:val="20"/>
          <w:szCs w:val="24"/>
        </w:rPr>
      </w:r>
      <w:r w:rsidR="00205583" w:rsidRPr="00005C3B">
        <w:rPr>
          <w:rFonts w:ascii="Verdana" w:hAnsi="Verdana"/>
          <w:bCs/>
          <w:iCs/>
          <w:sz w:val="20"/>
          <w:szCs w:val="24"/>
        </w:rPr>
        <w:fldChar w:fldCharType="separate"/>
      </w:r>
      <w:r w:rsidR="005D5C00">
        <w:rPr>
          <w:rFonts w:ascii="Verdana" w:hAnsi="Verdana"/>
          <w:bCs/>
          <w:iCs/>
          <w:sz w:val="20"/>
          <w:szCs w:val="24"/>
        </w:rPr>
        <w:t>4</w:t>
      </w:r>
      <w:r w:rsidR="00205583" w:rsidRPr="00005C3B">
        <w:rPr>
          <w:rFonts w:ascii="Verdana" w:hAnsi="Verdana"/>
          <w:bCs/>
          <w:iCs/>
          <w:sz w:val="20"/>
          <w:szCs w:val="24"/>
        </w:rPr>
        <w:fldChar w:fldCharType="end"/>
      </w:r>
      <w:r w:rsidR="00205583" w:rsidRPr="00005C3B">
        <w:rPr>
          <w:rFonts w:ascii="Verdana" w:hAnsi="Verdana"/>
          <w:bCs/>
          <w:iCs/>
          <w:sz w:val="20"/>
          <w:szCs w:val="24"/>
        </w:rPr>
        <w:t xml:space="preserve"> </w:t>
      </w:r>
      <w:r w:rsidRPr="00005C3B">
        <w:rPr>
          <w:rFonts w:ascii="Verdana" w:hAnsi="Verdana"/>
          <w:bCs/>
          <w:iCs/>
          <w:sz w:val="20"/>
          <w:szCs w:val="24"/>
        </w:rPr>
        <w:t>de la presente Resolución</w:t>
      </w:r>
      <w:r w:rsidR="003113F3" w:rsidRPr="00005C3B">
        <w:rPr>
          <w:rFonts w:ascii="Verdana" w:hAnsi="Verdana"/>
          <w:bCs/>
          <w:iCs/>
          <w:sz w:val="20"/>
          <w:szCs w:val="24"/>
        </w:rPr>
        <w:t>, según corresponda</w:t>
      </w:r>
      <w:r w:rsidRPr="00005C3B">
        <w:rPr>
          <w:rFonts w:ascii="Verdana" w:hAnsi="Verdana"/>
          <w:bCs/>
          <w:iCs/>
          <w:sz w:val="20"/>
          <w:szCs w:val="24"/>
        </w:rPr>
        <w:t>.</w:t>
      </w:r>
    </w:p>
    <w:p w14:paraId="72F7472C" w14:textId="77777777" w:rsidR="006637F7" w:rsidRPr="006637F7" w:rsidRDefault="006637F7" w:rsidP="009A226B">
      <w:pPr>
        <w:pStyle w:val="ListParagraph"/>
        <w:tabs>
          <w:tab w:val="left" w:pos="567"/>
        </w:tabs>
        <w:spacing w:after="0" w:line="240" w:lineRule="auto"/>
        <w:rPr>
          <w:rFonts w:ascii="Verdana" w:hAnsi="Verdana"/>
          <w:bCs/>
          <w:iCs/>
          <w:sz w:val="20"/>
          <w:szCs w:val="24"/>
        </w:rPr>
      </w:pPr>
    </w:p>
    <w:p w14:paraId="7B78EFD9" w14:textId="32D55BEB" w:rsidR="00DB4395" w:rsidRPr="006637F7" w:rsidRDefault="0077293A"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 xml:space="preserve">Requerir a los representantes </w:t>
      </w:r>
      <w:r w:rsidR="00DB4395" w:rsidRPr="006637F7">
        <w:rPr>
          <w:rFonts w:ascii="Verdana" w:hAnsi="Verdana"/>
          <w:bCs/>
          <w:iCs/>
          <w:sz w:val="20"/>
          <w:szCs w:val="24"/>
        </w:rPr>
        <w:t xml:space="preserve">y a la Comisión que coordinen y realicen las diligencias necesarias para que, una vez recibidas las preguntas de la contraparte, </w:t>
      </w:r>
      <w:r w:rsidR="00005C3B">
        <w:rPr>
          <w:rFonts w:ascii="Verdana" w:hAnsi="Verdana"/>
          <w:bCs/>
          <w:iCs/>
          <w:sz w:val="20"/>
          <w:szCs w:val="24"/>
        </w:rPr>
        <w:t xml:space="preserve">las </w:t>
      </w:r>
      <w:r w:rsidR="005F4EF2">
        <w:rPr>
          <w:rFonts w:ascii="Verdana" w:hAnsi="Verdana"/>
          <w:bCs/>
          <w:iCs/>
          <w:sz w:val="20"/>
          <w:szCs w:val="24"/>
        </w:rPr>
        <w:t xml:space="preserve">declarantes </w:t>
      </w:r>
      <w:r w:rsidR="00DB4395" w:rsidRPr="006637F7">
        <w:rPr>
          <w:rFonts w:ascii="Verdana" w:hAnsi="Verdana"/>
          <w:bCs/>
          <w:iCs/>
          <w:sz w:val="20"/>
          <w:szCs w:val="24"/>
        </w:rPr>
        <w:t xml:space="preserve">y los peritos incluyan las respuestas en sus respectivas declaraciones y dictámenes rendidos ante fedatario público, salvo que el Presidente disponga lo contrario cuando la </w:t>
      </w:r>
      <w:r w:rsidRPr="006637F7">
        <w:rPr>
          <w:rFonts w:ascii="Verdana" w:hAnsi="Verdana"/>
          <w:bCs/>
          <w:iCs/>
          <w:sz w:val="20"/>
          <w:szCs w:val="24"/>
        </w:rPr>
        <w:t>Secretaría</w:t>
      </w:r>
      <w:r w:rsidR="00DB4395" w:rsidRPr="006637F7">
        <w:rPr>
          <w:rFonts w:ascii="Verdana" w:hAnsi="Verdana"/>
          <w:bCs/>
          <w:iCs/>
          <w:sz w:val="20"/>
          <w:szCs w:val="24"/>
        </w:rPr>
        <w:t xml:space="preserve"> de la Corte las transmita. Las declaraciones y los peritajes requeridos en el referido punto resolutivo </w:t>
      </w:r>
      <w:r w:rsidR="00DC6638" w:rsidRPr="006637F7">
        <w:rPr>
          <w:rFonts w:ascii="Verdana" w:hAnsi="Verdana"/>
          <w:bCs/>
          <w:iCs/>
          <w:sz w:val="20"/>
          <w:szCs w:val="24"/>
        </w:rPr>
        <w:fldChar w:fldCharType="begin"/>
      </w:r>
      <w:r w:rsidR="00DC6638" w:rsidRPr="006637F7">
        <w:rPr>
          <w:rFonts w:ascii="Verdana" w:hAnsi="Verdana"/>
          <w:bCs/>
          <w:iCs/>
          <w:sz w:val="20"/>
          <w:szCs w:val="24"/>
        </w:rPr>
        <w:instrText xml:space="preserve"> REF _Ref477386390 \r \h </w:instrText>
      </w:r>
      <w:r w:rsidR="009A226B">
        <w:rPr>
          <w:rFonts w:ascii="Verdana" w:hAnsi="Verdana"/>
          <w:bCs/>
          <w:iCs/>
          <w:sz w:val="20"/>
          <w:szCs w:val="24"/>
        </w:rPr>
        <w:instrText xml:space="preserve"> \* MERGEFORMAT </w:instrText>
      </w:r>
      <w:r w:rsidR="00DC6638" w:rsidRPr="006637F7">
        <w:rPr>
          <w:rFonts w:ascii="Verdana" w:hAnsi="Verdana"/>
          <w:bCs/>
          <w:iCs/>
          <w:sz w:val="20"/>
          <w:szCs w:val="24"/>
        </w:rPr>
      </w:r>
      <w:r w:rsidR="00DC6638" w:rsidRPr="006637F7">
        <w:rPr>
          <w:rFonts w:ascii="Verdana" w:hAnsi="Verdana"/>
          <w:bCs/>
          <w:iCs/>
          <w:sz w:val="20"/>
          <w:szCs w:val="24"/>
        </w:rPr>
        <w:fldChar w:fldCharType="separate"/>
      </w:r>
      <w:r w:rsidR="005D5C00">
        <w:rPr>
          <w:rFonts w:ascii="Verdana" w:hAnsi="Verdana"/>
          <w:bCs/>
          <w:iCs/>
          <w:sz w:val="20"/>
          <w:szCs w:val="24"/>
        </w:rPr>
        <w:t>4</w:t>
      </w:r>
      <w:r w:rsidR="00DC6638" w:rsidRPr="006637F7">
        <w:rPr>
          <w:rFonts w:ascii="Verdana" w:hAnsi="Verdana"/>
          <w:bCs/>
          <w:iCs/>
          <w:sz w:val="20"/>
          <w:szCs w:val="24"/>
        </w:rPr>
        <w:fldChar w:fldCharType="end"/>
      </w:r>
      <w:r w:rsidR="00DC6638">
        <w:rPr>
          <w:rFonts w:ascii="Verdana" w:hAnsi="Verdana"/>
          <w:bCs/>
          <w:iCs/>
          <w:sz w:val="20"/>
          <w:szCs w:val="24"/>
        </w:rPr>
        <w:t xml:space="preserve"> </w:t>
      </w:r>
      <w:r w:rsidR="00DB4395" w:rsidRPr="006637F7">
        <w:rPr>
          <w:rFonts w:ascii="Verdana" w:hAnsi="Verdana"/>
          <w:bCs/>
          <w:iCs/>
          <w:sz w:val="20"/>
          <w:szCs w:val="24"/>
        </w:rPr>
        <w:t xml:space="preserve">deberán ser presentados a más tardar el </w:t>
      </w:r>
      <w:r w:rsidR="003F60BD">
        <w:rPr>
          <w:rFonts w:ascii="Verdana" w:hAnsi="Verdana"/>
          <w:bCs/>
          <w:iCs/>
          <w:sz w:val="20"/>
          <w:szCs w:val="24"/>
        </w:rPr>
        <w:t>2</w:t>
      </w:r>
      <w:r w:rsidR="00005C3B">
        <w:rPr>
          <w:rFonts w:ascii="Verdana" w:hAnsi="Verdana"/>
          <w:bCs/>
          <w:iCs/>
          <w:sz w:val="20"/>
          <w:szCs w:val="24"/>
        </w:rPr>
        <w:t xml:space="preserve"> </w:t>
      </w:r>
      <w:r w:rsidR="00DB4395" w:rsidRPr="006637F7">
        <w:rPr>
          <w:rFonts w:ascii="Verdana" w:hAnsi="Verdana"/>
          <w:bCs/>
          <w:iCs/>
          <w:sz w:val="20"/>
          <w:szCs w:val="24"/>
        </w:rPr>
        <w:t xml:space="preserve">de </w:t>
      </w:r>
      <w:r w:rsidR="00005C3B">
        <w:rPr>
          <w:rFonts w:ascii="Verdana" w:hAnsi="Verdana"/>
          <w:bCs/>
          <w:iCs/>
          <w:sz w:val="20"/>
          <w:szCs w:val="24"/>
        </w:rPr>
        <w:t xml:space="preserve">noviembre </w:t>
      </w:r>
      <w:r w:rsidR="00DB4395" w:rsidRPr="006637F7">
        <w:rPr>
          <w:rFonts w:ascii="Verdana" w:hAnsi="Verdana"/>
          <w:bCs/>
          <w:iCs/>
          <w:sz w:val="20"/>
          <w:szCs w:val="24"/>
        </w:rPr>
        <w:t>de 2017.</w:t>
      </w:r>
    </w:p>
    <w:p w14:paraId="69964766" w14:textId="77777777" w:rsidR="00DB4395" w:rsidRPr="0011434A" w:rsidRDefault="00DB4395" w:rsidP="009A226B">
      <w:pPr>
        <w:pStyle w:val="ListParagraph"/>
        <w:tabs>
          <w:tab w:val="left" w:pos="567"/>
        </w:tabs>
        <w:spacing w:after="0" w:line="240" w:lineRule="auto"/>
        <w:rPr>
          <w:rFonts w:ascii="Verdana" w:hAnsi="Verdana"/>
          <w:bCs/>
          <w:iCs/>
          <w:sz w:val="20"/>
          <w:szCs w:val="24"/>
        </w:rPr>
      </w:pPr>
    </w:p>
    <w:p w14:paraId="453DFFBA" w14:textId="005E9951" w:rsidR="00DB4395" w:rsidRDefault="00DB4395"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 xml:space="preserve">Disponer, conforme al artículo 50.6 del Reglamento </w:t>
      </w:r>
      <w:r w:rsidRPr="0011434A">
        <w:rPr>
          <w:rFonts w:ascii="Verdana" w:hAnsi="Verdana"/>
          <w:bCs/>
          <w:iCs/>
          <w:sz w:val="20"/>
          <w:szCs w:val="24"/>
        </w:rPr>
        <w:t>que, una vez recibidas las declaraciones, la Secretaría de la Corte Interamericana las transmita al Estado, a los representantes y a la Comisión para que presenten sus observacio</w:t>
      </w:r>
      <w:r>
        <w:rPr>
          <w:rFonts w:ascii="Verdana" w:hAnsi="Verdana"/>
          <w:bCs/>
          <w:iCs/>
          <w:sz w:val="20"/>
          <w:szCs w:val="24"/>
        </w:rPr>
        <w:t>nes</w:t>
      </w:r>
      <w:r w:rsidRPr="0011434A">
        <w:rPr>
          <w:rFonts w:ascii="Verdana" w:hAnsi="Verdana"/>
          <w:bCs/>
          <w:iCs/>
          <w:sz w:val="20"/>
          <w:szCs w:val="24"/>
        </w:rPr>
        <w:t xml:space="preserve"> a más tardar con sus alegatos u observaciones finales escritos, respectivamente.</w:t>
      </w:r>
    </w:p>
    <w:p w14:paraId="383D6AD3" w14:textId="77777777" w:rsidR="00A60BFB" w:rsidRPr="00A60BFB" w:rsidRDefault="00A60BFB" w:rsidP="009A226B">
      <w:pPr>
        <w:pStyle w:val="ListParagraph"/>
        <w:tabs>
          <w:tab w:val="left" w:pos="567"/>
        </w:tabs>
        <w:spacing w:after="0" w:line="240" w:lineRule="auto"/>
        <w:ind w:left="0"/>
        <w:rPr>
          <w:rFonts w:ascii="Verdana" w:hAnsi="Verdana"/>
          <w:bCs/>
          <w:iCs/>
          <w:sz w:val="20"/>
          <w:szCs w:val="24"/>
        </w:rPr>
      </w:pPr>
    </w:p>
    <w:p w14:paraId="3913E057" w14:textId="0A5C5484" w:rsidR="00DB4395" w:rsidRPr="00DB4395" w:rsidRDefault="00A60BFB"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A60BFB">
        <w:rPr>
          <w:rFonts w:ascii="Verdana" w:hAnsi="Verdana"/>
          <w:bCs/>
          <w:iCs/>
          <w:sz w:val="20"/>
          <w:szCs w:val="24"/>
        </w:rPr>
        <w:t xml:space="preserve">Informar a la Comisión y a </w:t>
      </w:r>
      <w:r w:rsidR="005F152E">
        <w:rPr>
          <w:rFonts w:ascii="Verdana" w:hAnsi="Verdana"/>
          <w:bCs/>
          <w:iCs/>
          <w:sz w:val="20"/>
          <w:szCs w:val="24"/>
        </w:rPr>
        <w:t xml:space="preserve">los representantes </w:t>
      </w:r>
      <w:r w:rsidRPr="00A60BFB">
        <w:rPr>
          <w:rFonts w:ascii="Verdana" w:hAnsi="Verdana"/>
          <w:bCs/>
          <w:iCs/>
          <w:sz w:val="20"/>
          <w:szCs w:val="24"/>
        </w:rPr>
        <w:t>que deben cubrir los gastos que ocasione la aportación o rendición de la prueba propuesta por ellos, de conformidad con lo dispuesto en el artículo 60 del Reglamento</w:t>
      </w:r>
      <w:r w:rsidR="00DB4395">
        <w:rPr>
          <w:rFonts w:ascii="Verdana" w:hAnsi="Verdana"/>
          <w:bCs/>
          <w:iCs/>
          <w:sz w:val="20"/>
          <w:szCs w:val="24"/>
        </w:rPr>
        <w:t xml:space="preserve">, </w:t>
      </w:r>
      <w:r w:rsidR="00DB4395" w:rsidRPr="00DB4395">
        <w:rPr>
          <w:rFonts w:ascii="Verdana" w:hAnsi="Verdana"/>
          <w:sz w:val="20"/>
          <w:szCs w:val="20"/>
        </w:rPr>
        <w:t xml:space="preserve">sin perjuicio de lo que resulte pertinente en </w:t>
      </w:r>
      <w:r w:rsidR="005F152E" w:rsidRPr="00DB4395">
        <w:rPr>
          <w:rFonts w:ascii="Verdana" w:hAnsi="Verdana"/>
          <w:sz w:val="20"/>
          <w:szCs w:val="20"/>
        </w:rPr>
        <w:t>aplicación</w:t>
      </w:r>
      <w:r w:rsidR="00DB4395" w:rsidRPr="00DB4395">
        <w:rPr>
          <w:rFonts w:ascii="Verdana" w:hAnsi="Verdana"/>
          <w:sz w:val="20"/>
          <w:szCs w:val="20"/>
        </w:rPr>
        <w:t xml:space="preserve"> del Fondo de Asistencia Legal d</w:t>
      </w:r>
      <w:r w:rsidR="00DB4395">
        <w:rPr>
          <w:rFonts w:ascii="Verdana" w:hAnsi="Verdana"/>
          <w:sz w:val="20"/>
          <w:szCs w:val="20"/>
        </w:rPr>
        <w:t xml:space="preserve">e </w:t>
      </w:r>
      <w:r w:rsidR="005F152E">
        <w:rPr>
          <w:rFonts w:ascii="Verdana" w:hAnsi="Verdana"/>
          <w:sz w:val="20"/>
          <w:szCs w:val="20"/>
        </w:rPr>
        <w:t>Víctimas</w:t>
      </w:r>
      <w:r w:rsidR="00DB4395">
        <w:rPr>
          <w:rFonts w:ascii="Verdana" w:hAnsi="Verdana"/>
          <w:sz w:val="20"/>
          <w:szCs w:val="20"/>
        </w:rPr>
        <w:t xml:space="preserve"> en el presente caso.</w:t>
      </w:r>
    </w:p>
    <w:p w14:paraId="288ED116" w14:textId="77777777" w:rsidR="00FE61C7" w:rsidRPr="00DB4395" w:rsidRDefault="00FE61C7" w:rsidP="009A226B">
      <w:pPr>
        <w:pStyle w:val="ListParagraph"/>
        <w:tabs>
          <w:tab w:val="left" w:pos="567"/>
        </w:tabs>
        <w:spacing w:after="0" w:line="240" w:lineRule="auto"/>
        <w:ind w:left="0"/>
        <w:rPr>
          <w:rFonts w:ascii="Verdana" w:hAnsi="Verdana"/>
          <w:bCs/>
          <w:iCs/>
          <w:sz w:val="20"/>
          <w:szCs w:val="24"/>
          <w:lang w:val="es-ES_tradnl"/>
        </w:rPr>
      </w:pPr>
    </w:p>
    <w:p w14:paraId="09F805A6" w14:textId="217C5841" w:rsidR="00FE61C7" w:rsidRDefault="00FE61C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Requerir a</w:t>
      </w:r>
      <w:r w:rsidRPr="00FE61C7">
        <w:rPr>
          <w:rFonts w:ascii="Verdana" w:hAnsi="Verdana"/>
          <w:bCs/>
          <w:iCs/>
          <w:sz w:val="20"/>
          <w:szCs w:val="24"/>
        </w:rPr>
        <w:t xml:space="preserve"> los representantes</w:t>
      </w:r>
      <w:r>
        <w:rPr>
          <w:rFonts w:ascii="Verdana" w:hAnsi="Verdana"/>
          <w:bCs/>
          <w:iCs/>
          <w:sz w:val="20"/>
          <w:szCs w:val="24"/>
        </w:rPr>
        <w:t xml:space="preserve"> y a la Comisión</w:t>
      </w:r>
      <w:r w:rsidRPr="00FE61C7">
        <w:rPr>
          <w:rFonts w:ascii="Verdana" w:hAnsi="Verdana"/>
          <w:bCs/>
          <w:iCs/>
          <w:sz w:val="20"/>
          <w:szCs w:val="24"/>
        </w:rPr>
        <w:t xml:space="preserve">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0AFD5DD1" w14:textId="77777777" w:rsidR="00FE61C7" w:rsidRPr="00FE61C7" w:rsidRDefault="00FE61C7" w:rsidP="009A226B">
      <w:pPr>
        <w:pStyle w:val="ListParagraph"/>
        <w:tabs>
          <w:tab w:val="left" w:pos="567"/>
        </w:tabs>
        <w:spacing w:after="0" w:line="240" w:lineRule="auto"/>
        <w:ind w:left="0"/>
        <w:rPr>
          <w:rFonts w:ascii="Verdana" w:hAnsi="Verdana"/>
          <w:bCs/>
          <w:iCs/>
          <w:sz w:val="20"/>
          <w:szCs w:val="24"/>
        </w:rPr>
      </w:pPr>
    </w:p>
    <w:p w14:paraId="3504CA5B" w14:textId="1EEE6E88" w:rsidR="00FE61C7" w:rsidRPr="00AF1E16" w:rsidRDefault="00FE61C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FE61C7">
        <w:rPr>
          <w:rFonts w:ascii="Verdana" w:hAnsi="Verdana"/>
          <w:bCs/>
          <w:iCs/>
          <w:sz w:val="20"/>
          <w:szCs w:val="24"/>
        </w:rPr>
        <w:t xml:space="preserve">Informar a los representantes, al Estado y a la Comisión Interamericana que, al término de las declaraciones </w:t>
      </w:r>
      <w:r w:rsidRPr="00AF1E16">
        <w:rPr>
          <w:rFonts w:ascii="Verdana" w:hAnsi="Verdana"/>
          <w:bCs/>
          <w:iCs/>
          <w:sz w:val="20"/>
          <w:szCs w:val="24"/>
        </w:rPr>
        <w:t xml:space="preserve">rendidas en la audiencia pública, podrán presentar ante el Tribunal sus alegatos finales orales y observaciones finales orales, respectivamente, sobre </w:t>
      </w:r>
      <w:r w:rsidR="00AF1E16" w:rsidRPr="00AF1E16">
        <w:rPr>
          <w:rFonts w:ascii="Verdana" w:hAnsi="Verdana"/>
          <w:bCs/>
          <w:iCs/>
          <w:sz w:val="20"/>
          <w:szCs w:val="24"/>
        </w:rPr>
        <w:t xml:space="preserve">la excepción preliminar y eventuales </w:t>
      </w:r>
      <w:r w:rsidRPr="00AF1E16">
        <w:rPr>
          <w:rFonts w:ascii="Verdana" w:hAnsi="Verdana"/>
          <w:bCs/>
          <w:iCs/>
          <w:sz w:val="20"/>
          <w:szCs w:val="24"/>
        </w:rPr>
        <w:t>fondo, reparaciones y costas en el presente caso.</w:t>
      </w:r>
    </w:p>
    <w:p w14:paraId="13D3DE14" w14:textId="77777777" w:rsidR="00FE61C7" w:rsidRPr="00AF1E16" w:rsidRDefault="00FE61C7" w:rsidP="009A226B">
      <w:pPr>
        <w:pStyle w:val="ListParagraph"/>
        <w:tabs>
          <w:tab w:val="left" w:pos="567"/>
        </w:tabs>
        <w:spacing w:after="0" w:line="240" w:lineRule="auto"/>
        <w:ind w:left="0"/>
        <w:rPr>
          <w:rFonts w:ascii="Verdana" w:hAnsi="Verdana"/>
          <w:bCs/>
          <w:iCs/>
          <w:sz w:val="20"/>
          <w:szCs w:val="24"/>
        </w:rPr>
      </w:pPr>
    </w:p>
    <w:p w14:paraId="41FB50A6" w14:textId="6D612955" w:rsidR="00FE61C7" w:rsidRPr="00AF1E16" w:rsidRDefault="00FE61C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AF1E16">
        <w:rPr>
          <w:rFonts w:ascii="Verdana" w:hAnsi="Verdana"/>
          <w:bCs/>
          <w:iCs/>
          <w:sz w:val="20"/>
          <w:szCs w:val="24"/>
        </w:rPr>
        <w:lastRenderedPageBreak/>
        <w:t xml:space="preserve">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referida audiencia. </w:t>
      </w:r>
    </w:p>
    <w:p w14:paraId="6151D0A9" w14:textId="77777777" w:rsidR="00FE61C7" w:rsidRPr="00AF1E16" w:rsidRDefault="00FE61C7" w:rsidP="009A226B">
      <w:pPr>
        <w:pStyle w:val="ListParagraph"/>
        <w:tabs>
          <w:tab w:val="left" w:pos="567"/>
        </w:tabs>
        <w:spacing w:after="0" w:line="240" w:lineRule="auto"/>
        <w:ind w:left="0"/>
        <w:rPr>
          <w:rFonts w:ascii="Verdana" w:hAnsi="Verdana"/>
          <w:bCs/>
          <w:iCs/>
          <w:sz w:val="20"/>
          <w:szCs w:val="24"/>
        </w:rPr>
      </w:pPr>
    </w:p>
    <w:p w14:paraId="05B126D8" w14:textId="5308DCA4" w:rsidR="00073E13" w:rsidRPr="00AF1E16" w:rsidRDefault="00073E13"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AF1E16">
        <w:rPr>
          <w:rFonts w:ascii="Verdana" w:hAnsi="Verdana"/>
          <w:sz w:val="20"/>
          <w:szCs w:val="20"/>
        </w:rPr>
        <w:t xml:space="preserve">Incorporar al acervo probatorio, en lo que resulte pertinente, el peritaje rendido por </w:t>
      </w:r>
      <w:r w:rsidR="005F152E" w:rsidRPr="00AF1E16">
        <w:rPr>
          <w:rFonts w:ascii="Verdana" w:hAnsi="Verdana"/>
          <w:sz w:val="20"/>
          <w:szCs w:val="20"/>
        </w:rPr>
        <w:t>Rebecca Cook en el</w:t>
      </w:r>
      <w:r w:rsidRPr="00AF1E16">
        <w:rPr>
          <w:rFonts w:ascii="Verdana" w:hAnsi="Verdana"/>
          <w:sz w:val="20"/>
          <w:szCs w:val="20"/>
        </w:rPr>
        <w:t xml:space="preserve"> </w:t>
      </w:r>
      <w:r w:rsidR="00AF1E16" w:rsidRPr="00AF1E16">
        <w:rPr>
          <w:rFonts w:ascii="Verdana" w:hAnsi="Verdana"/>
          <w:iCs/>
          <w:sz w:val="20"/>
          <w:szCs w:val="20"/>
        </w:rPr>
        <w:t>c</w:t>
      </w:r>
      <w:r w:rsidRPr="00AF1E16">
        <w:rPr>
          <w:rFonts w:ascii="Verdana" w:hAnsi="Verdana"/>
          <w:iCs/>
          <w:sz w:val="20"/>
          <w:szCs w:val="20"/>
        </w:rPr>
        <w:t>aso</w:t>
      </w:r>
      <w:r w:rsidRPr="00AF1E16">
        <w:rPr>
          <w:rFonts w:ascii="Verdana" w:hAnsi="Verdana"/>
          <w:i/>
          <w:iCs/>
          <w:sz w:val="20"/>
          <w:szCs w:val="20"/>
        </w:rPr>
        <w:t xml:space="preserve"> </w:t>
      </w:r>
      <w:r w:rsidR="00AF1E16" w:rsidRPr="00AF1E16">
        <w:rPr>
          <w:rFonts w:ascii="Verdana" w:hAnsi="Verdana"/>
          <w:i/>
          <w:iCs/>
          <w:sz w:val="20"/>
          <w:szCs w:val="20"/>
        </w:rPr>
        <w:t>E</w:t>
      </w:r>
      <w:r w:rsidR="005F152E" w:rsidRPr="00AF1E16">
        <w:rPr>
          <w:rFonts w:ascii="Verdana" w:hAnsi="Verdana"/>
          <w:i/>
          <w:iCs/>
          <w:sz w:val="20"/>
          <w:szCs w:val="20"/>
        </w:rPr>
        <w:t>spinoza Gonzáles Vs. Perú</w:t>
      </w:r>
      <w:r w:rsidRPr="00AF1E16">
        <w:rPr>
          <w:rFonts w:ascii="Verdana" w:hAnsi="Verdana"/>
          <w:sz w:val="20"/>
          <w:szCs w:val="20"/>
        </w:rPr>
        <w:t xml:space="preserve">, de conformidad con lo indicado en el párrafo considerativo </w:t>
      </w:r>
      <w:r w:rsidR="005F152E" w:rsidRPr="00AF1E16">
        <w:rPr>
          <w:rFonts w:ascii="Verdana" w:hAnsi="Verdana"/>
          <w:sz w:val="20"/>
          <w:szCs w:val="20"/>
        </w:rPr>
        <w:fldChar w:fldCharType="begin"/>
      </w:r>
      <w:r w:rsidR="005F152E" w:rsidRPr="00AF1E16">
        <w:rPr>
          <w:rFonts w:ascii="Verdana" w:hAnsi="Verdana"/>
          <w:sz w:val="20"/>
          <w:szCs w:val="20"/>
        </w:rPr>
        <w:instrText xml:space="preserve"> REF _Ref479622576 \r \h </w:instrText>
      </w:r>
      <w:r w:rsidR="00AF1E16" w:rsidRPr="00AF1E16">
        <w:rPr>
          <w:rFonts w:ascii="Verdana" w:hAnsi="Verdana"/>
          <w:sz w:val="20"/>
          <w:szCs w:val="20"/>
        </w:rPr>
        <w:instrText xml:space="preserve"> \* MERGEFORMAT </w:instrText>
      </w:r>
      <w:r w:rsidR="005F152E" w:rsidRPr="00AF1E16">
        <w:rPr>
          <w:rFonts w:ascii="Verdana" w:hAnsi="Verdana"/>
          <w:sz w:val="20"/>
          <w:szCs w:val="20"/>
        </w:rPr>
      </w:r>
      <w:r w:rsidR="005F152E" w:rsidRPr="00AF1E16">
        <w:rPr>
          <w:rFonts w:ascii="Verdana" w:hAnsi="Verdana"/>
          <w:sz w:val="20"/>
          <w:szCs w:val="20"/>
        </w:rPr>
        <w:fldChar w:fldCharType="separate"/>
      </w:r>
      <w:r w:rsidR="005D5C00">
        <w:rPr>
          <w:rFonts w:ascii="Verdana" w:hAnsi="Verdana"/>
          <w:sz w:val="20"/>
          <w:szCs w:val="20"/>
        </w:rPr>
        <w:t>12</w:t>
      </w:r>
      <w:r w:rsidR="005F152E" w:rsidRPr="00AF1E16">
        <w:rPr>
          <w:rFonts w:ascii="Verdana" w:hAnsi="Verdana"/>
          <w:sz w:val="20"/>
          <w:szCs w:val="20"/>
        </w:rPr>
        <w:fldChar w:fldCharType="end"/>
      </w:r>
      <w:r w:rsidRPr="00AF1E16">
        <w:rPr>
          <w:rFonts w:ascii="Verdana" w:hAnsi="Verdana"/>
          <w:sz w:val="20"/>
          <w:szCs w:val="20"/>
        </w:rPr>
        <w:t xml:space="preserve"> de la presente Resolución.</w:t>
      </w:r>
    </w:p>
    <w:p w14:paraId="1AA2DCF2" w14:textId="782BCDBC" w:rsidR="00073E13" w:rsidRPr="00AF1E16" w:rsidRDefault="00073E13" w:rsidP="009A226B">
      <w:pPr>
        <w:pStyle w:val="ListParagraph"/>
        <w:tabs>
          <w:tab w:val="left" w:pos="567"/>
        </w:tabs>
        <w:spacing w:after="0" w:line="240" w:lineRule="auto"/>
        <w:ind w:left="0"/>
        <w:jc w:val="both"/>
        <w:rPr>
          <w:rFonts w:ascii="Verdana" w:hAnsi="Verdana"/>
          <w:bCs/>
          <w:iCs/>
          <w:sz w:val="20"/>
          <w:szCs w:val="24"/>
        </w:rPr>
      </w:pPr>
      <w:r w:rsidRPr="00AF1E16">
        <w:rPr>
          <w:rFonts w:ascii="Verdana" w:hAnsi="Verdana"/>
          <w:sz w:val="20"/>
          <w:szCs w:val="20"/>
          <w:lang w:val="es-ES"/>
        </w:rPr>
        <w:t xml:space="preserve"> </w:t>
      </w:r>
    </w:p>
    <w:p w14:paraId="0C3E6EFA" w14:textId="21007D35" w:rsidR="00615CCA" w:rsidRPr="00AF1E16" w:rsidRDefault="00FE61C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AF1E16">
        <w:rPr>
          <w:rFonts w:ascii="Verdana" w:hAnsi="Verdana"/>
          <w:bCs/>
          <w:iCs/>
          <w:sz w:val="20"/>
          <w:szCs w:val="24"/>
        </w:rPr>
        <w:t xml:space="preserve">Informar a los representantes, al Estado y a la Comisión Interamericana que cuentan con un plazo hasta el </w:t>
      </w:r>
      <w:r w:rsidR="005F152E" w:rsidRPr="00AF1E16">
        <w:rPr>
          <w:rFonts w:ascii="Verdana" w:hAnsi="Verdana"/>
          <w:bCs/>
          <w:iCs/>
          <w:sz w:val="20"/>
          <w:szCs w:val="24"/>
        </w:rPr>
        <w:t>1</w:t>
      </w:r>
      <w:r w:rsidR="00AF1E16" w:rsidRPr="00AF1E16">
        <w:rPr>
          <w:rFonts w:ascii="Verdana" w:hAnsi="Verdana"/>
          <w:bCs/>
          <w:iCs/>
          <w:sz w:val="20"/>
          <w:szCs w:val="24"/>
        </w:rPr>
        <w:t>7</w:t>
      </w:r>
      <w:r w:rsidRPr="00AF1E16">
        <w:rPr>
          <w:rFonts w:ascii="Verdana" w:hAnsi="Verdana"/>
          <w:bCs/>
          <w:iCs/>
          <w:sz w:val="20"/>
          <w:szCs w:val="24"/>
        </w:rPr>
        <w:t xml:space="preserve"> de </w:t>
      </w:r>
      <w:r w:rsidR="005F152E" w:rsidRPr="00AF1E16">
        <w:rPr>
          <w:rFonts w:ascii="Verdana" w:hAnsi="Verdana"/>
          <w:bCs/>
          <w:iCs/>
          <w:sz w:val="20"/>
          <w:szCs w:val="24"/>
        </w:rPr>
        <w:t>diciembre</w:t>
      </w:r>
      <w:r w:rsidRPr="00AF1E16">
        <w:rPr>
          <w:rFonts w:ascii="Verdana" w:hAnsi="Verdana"/>
          <w:bCs/>
          <w:iCs/>
          <w:sz w:val="20"/>
          <w:szCs w:val="24"/>
        </w:rPr>
        <w:t xml:space="preserve"> de 2017 para presentar sus alegatos finales escritos y observaciones finales escritas, respectivamente, en relación con </w:t>
      </w:r>
      <w:r w:rsidR="00AF1E16" w:rsidRPr="00AF1E16">
        <w:rPr>
          <w:rFonts w:ascii="Verdana" w:hAnsi="Verdana"/>
          <w:bCs/>
          <w:iCs/>
          <w:sz w:val="20"/>
          <w:szCs w:val="24"/>
        </w:rPr>
        <w:t xml:space="preserve">la excepción preliminar y eventuales </w:t>
      </w:r>
      <w:r w:rsidRPr="00AF1E16">
        <w:rPr>
          <w:rFonts w:ascii="Verdana" w:hAnsi="Verdana"/>
          <w:bCs/>
          <w:iCs/>
          <w:sz w:val="20"/>
          <w:szCs w:val="24"/>
        </w:rPr>
        <w:t xml:space="preserve">fondo, reparaciones y costas en el presente caso. Este plazo es improrrogable e independiente de la puesta a disposición de las partes de la grabación de la audiencia pública. </w:t>
      </w:r>
    </w:p>
    <w:p w14:paraId="319D70BE" w14:textId="77777777" w:rsidR="006637F7" w:rsidRPr="006637F7" w:rsidRDefault="006637F7" w:rsidP="009A226B">
      <w:pPr>
        <w:pStyle w:val="ListParagraph"/>
        <w:tabs>
          <w:tab w:val="left" w:pos="567"/>
        </w:tabs>
        <w:spacing w:after="0" w:line="240" w:lineRule="auto"/>
        <w:ind w:left="0"/>
        <w:jc w:val="both"/>
        <w:rPr>
          <w:rFonts w:ascii="Verdana" w:hAnsi="Verdana"/>
          <w:bCs/>
          <w:iCs/>
          <w:sz w:val="20"/>
          <w:szCs w:val="24"/>
        </w:rPr>
      </w:pPr>
    </w:p>
    <w:p w14:paraId="714D1E1D" w14:textId="0E40875B" w:rsidR="00615CCA" w:rsidRPr="00615CCA" w:rsidRDefault="00615CCA"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615CCA">
        <w:rPr>
          <w:rFonts w:ascii="Verdana" w:hAnsi="Verdana"/>
          <w:sz w:val="20"/>
          <w:szCs w:val="20"/>
        </w:rPr>
        <w:t xml:space="preserve">Disponer, de conformidad con el </w:t>
      </w:r>
      <w:r w:rsidR="005F152E" w:rsidRPr="00615CCA">
        <w:rPr>
          <w:rFonts w:ascii="Verdana" w:hAnsi="Verdana"/>
          <w:sz w:val="20"/>
          <w:szCs w:val="20"/>
        </w:rPr>
        <w:t>artículo</w:t>
      </w:r>
      <w:r w:rsidRPr="00615CCA">
        <w:rPr>
          <w:rFonts w:ascii="Verdana" w:hAnsi="Verdana"/>
          <w:sz w:val="20"/>
          <w:szCs w:val="20"/>
        </w:rPr>
        <w:t xml:space="preserve"> 4 del Reglamento de la Corte sobre el Funcionamiento del Fondo de Asistencia Legal de </w:t>
      </w:r>
      <w:r w:rsidR="005F152E">
        <w:rPr>
          <w:rFonts w:ascii="Verdana" w:hAnsi="Verdana"/>
          <w:sz w:val="20"/>
          <w:szCs w:val="20"/>
        </w:rPr>
        <w:t>Ví</w:t>
      </w:r>
      <w:r w:rsidR="005F152E" w:rsidRPr="00615CCA">
        <w:rPr>
          <w:rFonts w:ascii="Verdana" w:hAnsi="Verdana"/>
          <w:sz w:val="20"/>
          <w:szCs w:val="20"/>
        </w:rPr>
        <w:t>ctimas</w:t>
      </w:r>
      <w:r w:rsidRPr="00615CCA">
        <w:rPr>
          <w:rFonts w:ascii="Verdana" w:hAnsi="Verdana"/>
          <w:sz w:val="20"/>
          <w:szCs w:val="20"/>
        </w:rPr>
        <w:t xml:space="preserve">, que la </w:t>
      </w:r>
      <w:r w:rsidR="005F152E">
        <w:rPr>
          <w:rFonts w:ascii="Verdana" w:hAnsi="Verdana"/>
          <w:sz w:val="20"/>
          <w:szCs w:val="20"/>
        </w:rPr>
        <w:t>Secretarí</w:t>
      </w:r>
      <w:r w:rsidR="005F152E" w:rsidRPr="00615CCA">
        <w:rPr>
          <w:rFonts w:ascii="Verdana" w:hAnsi="Verdana"/>
          <w:sz w:val="20"/>
          <w:szCs w:val="20"/>
        </w:rPr>
        <w:t>a</w:t>
      </w:r>
      <w:r w:rsidRPr="00615CCA">
        <w:rPr>
          <w:rFonts w:ascii="Verdana" w:hAnsi="Verdana"/>
          <w:sz w:val="20"/>
          <w:szCs w:val="20"/>
        </w:rPr>
        <w:t xml:space="preserve"> del Tribunal abra un expediente de gastos, donde se documentará cada una de las erogaciones que se realicen con el Fondo de Asistencia Legal de </w:t>
      </w:r>
      <w:r w:rsidR="00AF1E16" w:rsidRPr="00615CCA">
        <w:rPr>
          <w:rFonts w:ascii="Verdana" w:hAnsi="Verdana"/>
          <w:sz w:val="20"/>
          <w:szCs w:val="20"/>
        </w:rPr>
        <w:t>Víctimas</w:t>
      </w:r>
      <w:r w:rsidRPr="00615CCA">
        <w:rPr>
          <w:rFonts w:ascii="Verdana" w:hAnsi="Verdana"/>
          <w:sz w:val="20"/>
          <w:szCs w:val="20"/>
        </w:rPr>
        <w:t xml:space="preserve">. </w:t>
      </w:r>
    </w:p>
    <w:p w14:paraId="25D2916A" w14:textId="77777777" w:rsidR="00FE61C7" w:rsidRPr="00615CCA" w:rsidRDefault="00FE61C7" w:rsidP="009A226B">
      <w:pPr>
        <w:pStyle w:val="ListParagraph"/>
        <w:tabs>
          <w:tab w:val="left" w:pos="567"/>
        </w:tabs>
        <w:spacing w:after="0" w:line="240" w:lineRule="auto"/>
        <w:ind w:left="0"/>
        <w:jc w:val="both"/>
        <w:rPr>
          <w:rFonts w:ascii="Verdana" w:hAnsi="Verdana"/>
          <w:bCs/>
          <w:iCs/>
          <w:sz w:val="20"/>
          <w:szCs w:val="24"/>
        </w:rPr>
      </w:pPr>
    </w:p>
    <w:p w14:paraId="7B899F09" w14:textId="104295C6" w:rsidR="00164C90" w:rsidRPr="006F7C96" w:rsidRDefault="00FE61C7" w:rsidP="009A226B">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FE61C7">
        <w:rPr>
          <w:rFonts w:ascii="Verdana" w:hAnsi="Verdana"/>
          <w:bCs/>
          <w:iCs/>
          <w:sz w:val="20"/>
          <w:szCs w:val="24"/>
        </w:rPr>
        <w:t xml:space="preserve">Disponer que la Secretaría de la Corte Interamericana notifique la presente Resolución a la Comisión Interamericana de Derechos Humanos, a los representantes </w:t>
      </w:r>
      <w:r w:rsidR="005F152E">
        <w:rPr>
          <w:rFonts w:ascii="Verdana" w:hAnsi="Verdana"/>
          <w:bCs/>
          <w:iCs/>
          <w:sz w:val="20"/>
          <w:szCs w:val="24"/>
        </w:rPr>
        <w:t xml:space="preserve">y </w:t>
      </w:r>
      <w:r w:rsidR="003B0AEA">
        <w:rPr>
          <w:rFonts w:ascii="Verdana" w:hAnsi="Verdana"/>
          <w:bCs/>
          <w:iCs/>
          <w:sz w:val="20"/>
          <w:szCs w:val="24"/>
        </w:rPr>
        <w:t>a</w:t>
      </w:r>
      <w:r w:rsidR="005F152E">
        <w:rPr>
          <w:rFonts w:ascii="Verdana" w:hAnsi="Verdana"/>
          <w:bCs/>
          <w:iCs/>
          <w:sz w:val="20"/>
          <w:szCs w:val="24"/>
        </w:rPr>
        <w:t xml:space="preserve"> </w:t>
      </w:r>
      <w:r w:rsidR="00AF1E16">
        <w:rPr>
          <w:rFonts w:ascii="Verdana" w:hAnsi="Verdana"/>
          <w:bCs/>
          <w:iCs/>
          <w:sz w:val="20"/>
          <w:szCs w:val="24"/>
        </w:rPr>
        <w:t>México</w:t>
      </w:r>
      <w:r w:rsidR="0059335C">
        <w:rPr>
          <w:rFonts w:ascii="Verdana" w:hAnsi="Verdana"/>
          <w:bCs/>
          <w:iCs/>
          <w:sz w:val="20"/>
          <w:szCs w:val="24"/>
        </w:rPr>
        <w:t>.</w:t>
      </w:r>
    </w:p>
    <w:p w14:paraId="69A71F8B" w14:textId="77777777" w:rsidR="00164C90" w:rsidRPr="005605A7" w:rsidRDefault="00164C90" w:rsidP="005605A7">
      <w:pPr>
        <w:tabs>
          <w:tab w:val="left" w:pos="567"/>
        </w:tabs>
        <w:spacing w:after="0" w:line="240" w:lineRule="auto"/>
        <w:rPr>
          <w:rFonts w:ascii="Verdana" w:hAnsi="Verdana"/>
          <w:bCs/>
          <w:iCs/>
          <w:sz w:val="20"/>
          <w:szCs w:val="24"/>
        </w:rPr>
      </w:pPr>
    </w:p>
    <w:p w14:paraId="02344245" w14:textId="77777777" w:rsidR="004C3A43" w:rsidRPr="00A21F4D" w:rsidRDefault="004C3A43" w:rsidP="009A226B">
      <w:pPr>
        <w:tabs>
          <w:tab w:val="left" w:pos="567"/>
        </w:tabs>
        <w:spacing w:after="0" w:line="240" w:lineRule="auto"/>
        <w:rPr>
          <w:rFonts w:ascii="Verdana" w:hAnsi="Verdana"/>
          <w:bCs/>
          <w:iCs/>
          <w:sz w:val="20"/>
          <w:szCs w:val="24"/>
        </w:rPr>
      </w:pPr>
    </w:p>
    <w:p w14:paraId="0FA2BE45" w14:textId="603C9C3C" w:rsidR="00D521F3" w:rsidRPr="00D521F3" w:rsidRDefault="00D521F3" w:rsidP="00D521F3">
      <w:pPr>
        <w:tabs>
          <w:tab w:val="left" w:pos="567"/>
        </w:tabs>
        <w:spacing w:after="0" w:line="240" w:lineRule="auto"/>
        <w:rPr>
          <w:rFonts w:ascii="Verdana" w:hAnsi="Verdana"/>
          <w:bCs/>
          <w:iCs/>
          <w:sz w:val="20"/>
          <w:szCs w:val="24"/>
        </w:rPr>
      </w:pPr>
    </w:p>
    <w:p w14:paraId="5A7382A9" w14:textId="77F87C1A" w:rsidR="003B0AEA" w:rsidRPr="005605A7" w:rsidRDefault="003B0AEA" w:rsidP="005605A7">
      <w:pPr>
        <w:tabs>
          <w:tab w:val="left" w:pos="567"/>
        </w:tabs>
        <w:spacing w:after="0" w:line="240" w:lineRule="auto"/>
        <w:rPr>
          <w:rFonts w:ascii="Verdana" w:hAnsi="Verdana"/>
          <w:bCs/>
          <w:iCs/>
          <w:sz w:val="20"/>
          <w:szCs w:val="24"/>
        </w:rPr>
      </w:pPr>
    </w:p>
    <w:p w14:paraId="1B695AB1" w14:textId="77777777" w:rsidR="006F7C96" w:rsidRPr="005605A7" w:rsidRDefault="006F7C96" w:rsidP="005605A7">
      <w:pPr>
        <w:tabs>
          <w:tab w:val="left" w:pos="567"/>
        </w:tabs>
        <w:spacing w:after="0" w:line="240" w:lineRule="auto"/>
        <w:rPr>
          <w:rFonts w:ascii="Verdana" w:hAnsi="Verdana"/>
          <w:bCs/>
          <w:iCs/>
          <w:sz w:val="20"/>
          <w:szCs w:val="24"/>
        </w:rPr>
      </w:pPr>
    </w:p>
    <w:p w14:paraId="7654234B" w14:textId="77777777" w:rsidR="00EC1883" w:rsidRPr="00EC1883" w:rsidRDefault="00EC1883" w:rsidP="009A226B">
      <w:pPr>
        <w:tabs>
          <w:tab w:val="left" w:pos="567"/>
        </w:tabs>
        <w:spacing w:after="0" w:line="240" w:lineRule="auto"/>
        <w:ind w:left="4253"/>
        <w:jc w:val="center"/>
        <w:rPr>
          <w:rFonts w:ascii="Verdana" w:eastAsia="Calibri" w:hAnsi="Verdana" w:cs="Calibri"/>
          <w:sz w:val="20"/>
          <w:szCs w:val="20"/>
          <w:lang w:val="pt-BR"/>
        </w:rPr>
      </w:pPr>
      <w:r w:rsidRPr="00EC1883">
        <w:rPr>
          <w:rFonts w:ascii="Verdana" w:eastAsia="Calibri" w:hAnsi="Verdana" w:cs="Calibri"/>
          <w:color w:val="000000"/>
          <w:spacing w:val="-2"/>
          <w:sz w:val="20"/>
          <w:szCs w:val="20"/>
          <w:lang w:val="pt-BR" w:eastAsia="es-CR"/>
        </w:rPr>
        <w:t>Roberto F. Caldas</w:t>
      </w:r>
      <w:r w:rsidRPr="00EC1883">
        <w:rPr>
          <w:rFonts w:ascii="Verdana" w:eastAsia="Calibri" w:hAnsi="Verdana" w:cs="Calibri"/>
          <w:sz w:val="20"/>
          <w:szCs w:val="20"/>
          <w:lang w:val="pt-BR"/>
        </w:rPr>
        <w:t xml:space="preserve"> </w:t>
      </w:r>
    </w:p>
    <w:p w14:paraId="14DAF1C1" w14:textId="77777777" w:rsidR="00EC1883" w:rsidRPr="00EC1883" w:rsidRDefault="00EC1883" w:rsidP="009A226B">
      <w:pPr>
        <w:tabs>
          <w:tab w:val="left" w:pos="567"/>
        </w:tabs>
        <w:spacing w:after="0" w:line="240" w:lineRule="auto"/>
        <w:ind w:left="4253"/>
        <w:jc w:val="center"/>
        <w:rPr>
          <w:rFonts w:ascii="Verdana" w:eastAsia="Calibri" w:hAnsi="Verdana" w:cs="Calibri"/>
          <w:sz w:val="20"/>
          <w:szCs w:val="20"/>
          <w:lang w:val="pt-BR"/>
        </w:rPr>
      </w:pPr>
      <w:r w:rsidRPr="00EC1883">
        <w:rPr>
          <w:rFonts w:ascii="Verdana" w:eastAsia="Calibri" w:hAnsi="Verdana" w:cs="Calibri"/>
          <w:sz w:val="20"/>
          <w:szCs w:val="20"/>
          <w:lang w:val="pt-BR"/>
        </w:rPr>
        <w:t>Presidente</w:t>
      </w:r>
    </w:p>
    <w:p w14:paraId="23C1FC70" w14:textId="77777777" w:rsidR="00EC1883" w:rsidRDefault="00EC1883" w:rsidP="009A226B">
      <w:pPr>
        <w:tabs>
          <w:tab w:val="left" w:pos="567"/>
          <w:tab w:val="left" w:pos="2835"/>
        </w:tabs>
        <w:spacing w:after="0" w:line="240" w:lineRule="auto"/>
        <w:ind w:right="6003"/>
        <w:rPr>
          <w:rFonts w:ascii="Verdana" w:eastAsia="Calibri" w:hAnsi="Verdana" w:cs="Calibri"/>
          <w:sz w:val="20"/>
          <w:szCs w:val="20"/>
          <w:lang w:val="pt-BR"/>
        </w:rPr>
      </w:pPr>
    </w:p>
    <w:p w14:paraId="346E3B3A" w14:textId="77777777" w:rsidR="005605A7" w:rsidRDefault="005605A7" w:rsidP="009A226B">
      <w:pPr>
        <w:tabs>
          <w:tab w:val="left" w:pos="567"/>
          <w:tab w:val="left" w:pos="2835"/>
        </w:tabs>
        <w:spacing w:after="0" w:line="240" w:lineRule="auto"/>
        <w:ind w:right="6003"/>
        <w:rPr>
          <w:rFonts w:ascii="Verdana" w:eastAsia="Calibri" w:hAnsi="Verdana" w:cs="Calibri"/>
          <w:sz w:val="20"/>
          <w:szCs w:val="20"/>
          <w:lang w:val="pt-BR"/>
        </w:rPr>
      </w:pPr>
    </w:p>
    <w:p w14:paraId="63FE2C94" w14:textId="1C446919" w:rsidR="00EC1883" w:rsidRDefault="00EC1883" w:rsidP="009A226B">
      <w:pPr>
        <w:tabs>
          <w:tab w:val="left" w:pos="567"/>
          <w:tab w:val="left" w:pos="2835"/>
        </w:tabs>
        <w:spacing w:after="0" w:line="240" w:lineRule="auto"/>
        <w:ind w:right="6003"/>
        <w:rPr>
          <w:rFonts w:ascii="Verdana" w:eastAsia="Calibri" w:hAnsi="Verdana" w:cs="Calibri"/>
          <w:sz w:val="20"/>
          <w:szCs w:val="20"/>
          <w:lang w:val="pt-BR"/>
        </w:rPr>
      </w:pPr>
    </w:p>
    <w:p w14:paraId="29010614" w14:textId="77777777" w:rsidR="00EC1883" w:rsidRPr="00EC1883" w:rsidRDefault="00EC1883" w:rsidP="009A226B">
      <w:pPr>
        <w:tabs>
          <w:tab w:val="left" w:pos="567"/>
          <w:tab w:val="left" w:pos="2835"/>
        </w:tabs>
        <w:spacing w:after="0" w:line="240" w:lineRule="auto"/>
        <w:ind w:right="6003"/>
        <w:rPr>
          <w:rFonts w:ascii="Verdana" w:eastAsia="Calibri" w:hAnsi="Verdana" w:cs="Calibri"/>
          <w:sz w:val="20"/>
          <w:szCs w:val="20"/>
          <w:lang w:val="pt-BR"/>
        </w:rPr>
      </w:pPr>
    </w:p>
    <w:p w14:paraId="2752FEB7" w14:textId="2B70E7B0" w:rsidR="00EC1883" w:rsidRPr="00EC1883" w:rsidRDefault="00EC1883" w:rsidP="009A226B">
      <w:pPr>
        <w:tabs>
          <w:tab w:val="left" w:pos="567"/>
          <w:tab w:val="left" w:pos="2835"/>
        </w:tabs>
        <w:spacing w:after="0" w:line="240" w:lineRule="auto"/>
        <w:ind w:right="6003"/>
        <w:jc w:val="center"/>
        <w:rPr>
          <w:rFonts w:ascii="Verdana" w:eastAsia="Calibri" w:hAnsi="Verdana" w:cs="Calibri"/>
          <w:sz w:val="20"/>
          <w:szCs w:val="20"/>
          <w:lang w:val="pt-BR"/>
        </w:rPr>
      </w:pPr>
      <w:r w:rsidRPr="00EC1883">
        <w:rPr>
          <w:rFonts w:ascii="Verdana" w:eastAsia="Calibri" w:hAnsi="Verdana" w:cs="Calibri"/>
          <w:sz w:val="20"/>
          <w:szCs w:val="20"/>
          <w:lang w:val="pt-BR"/>
        </w:rPr>
        <w:t>Pablo Saavedra Alessandri</w:t>
      </w:r>
    </w:p>
    <w:p w14:paraId="360276F7" w14:textId="77777777" w:rsidR="00EC1883" w:rsidRPr="00EC1883" w:rsidRDefault="00EC1883" w:rsidP="009A226B">
      <w:pPr>
        <w:tabs>
          <w:tab w:val="left" w:pos="567"/>
          <w:tab w:val="left" w:pos="2835"/>
        </w:tabs>
        <w:spacing w:after="0" w:line="240" w:lineRule="auto"/>
        <w:ind w:right="6003"/>
        <w:jc w:val="center"/>
        <w:rPr>
          <w:rFonts w:ascii="Verdana" w:eastAsia="Calibri" w:hAnsi="Verdana" w:cs="Calibri"/>
          <w:sz w:val="20"/>
          <w:szCs w:val="20"/>
          <w:lang w:val="es-ES"/>
        </w:rPr>
      </w:pPr>
      <w:r w:rsidRPr="00EC1883">
        <w:rPr>
          <w:rFonts w:ascii="Verdana" w:eastAsia="Calibri" w:hAnsi="Verdana" w:cs="Calibri"/>
          <w:sz w:val="20"/>
          <w:szCs w:val="20"/>
          <w:lang w:val="es-ES"/>
        </w:rPr>
        <w:t>Secretario</w:t>
      </w:r>
    </w:p>
    <w:p w14:paraId="179ABC52" w14:textId="77777777"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14:paraId="357ABF6A" w14:textId="2FCCFE92" w:rsidR="00EC1883" w:rsidRDefault="00EC1883" w:rsidP="009A226B">
      <w:pPr>
        <w:tabs>
          <w:tab w:val="left" w:pos="567"/>
        </w:tabs>
        <w:spacing w:after="0" w:line="240" w:lineRule="auto"/>
        <w:jc w:val="both"/>
        <w:rPr>
          <w:rFonts w:ascii="Verdana" w:eastAsia="Calibri" w:hAnsi="Verdana" w:cs="Calibri"/>
          <w:sz w:val="20"/>
          <w:szCs w:val="20"/>
          <w:lang w:val="es-MX"/>
        </w:rPr>
      </w:pPr>
    </w:p>
    <w:p w14:paraId="3640E9D1" w14:textId="77777777" w:rsidR="005605A7" w:rsidRPr="00EC1883" w:rsidRDefault="005605A7" w:rsidP="009A226B">
      <w:pPr>
        <w:tabs>
          <w:tab w:val="left" w:pos="567"/>
        </w:tabs>
        <w:spacing w:after="0" w:line="240" w:lineRule="auto"/>
        <w:jc w:val="both"/>
        <w:rPr>
          <w:rFonts w:ascii="Verdana" w:eastAsia="Calibri" w:hAnsi="Verdana" w:cs="Calibri"/>
          <w:sz w:val="20"/>
          <w:szCs w:val="20"/>
          <w:lang w:val="es-MX"/>
        </w:rPr>
      </w:pPr>
    </w:p>
    <w:p w14:paraId="410E177B" w14:textId="596A5865"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14:paraId="54A79895" w14:textId="77777777"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r w:rsidRPr="00EC1883">
        <w:rPr>
          <w:rFonts w:ascii="Verdana" w:eastAsia="Calibri" w:hAnsi="Verdana" w:cs="Calibri"/>
          <w:sz w:val="20"/>
          <w:szCs w:val="20"/>
          <w:lang w:val="es-MX"/>
        </w:rPr>
        <w:t>Comuníquese y ejecútese,</w:t>
      </w:r>
      <w:r w:rsidRPr="00EC1883">
        <w:rPr>
          <w:rFonts w:ascii="Verdana" w:eastAsia="Calibri" w:hAnsi="Verdana" w:cs="Calibri"/>
          <w:noProof/>
          <w:sz w:val="20"/>
          <w:szCs w:val="20"/>
          <w:lang w:eastAsia="es-CR"/>
        </w:rPr>
        <w:t xml:space="preserve"> </w:t>
      </w:r>
    </w:p>
    <w:p w14:paraId="3C95703C" w14:textId="77777777"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14:paraId="4BFF7B0C" w14:textId="65787696"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14:paraId="7356C779" w14:textId="4705CFEA" w:rsidR="005605A7" w:rsidRPr="00EC1883" w:rsidRDefault="005605A7" w:rsidP="009A226B">
      <w:pPr>
        <w:tabs>
          <w:tab w:val="left" w:pos="567"/>
        </w:tabs>
        <w:spacing w:after="0" w:line="240" w:lineRule="auto"/>
        <w:jc w:val="both"/>
        <w:rPr>
          <w:rFonts w:ascii="Verdana" w:eastAsia="Calibri" w:hAnsi="Verdana" w:cs="Calibri"/>
          <w:sz w:val="20"/>
          <w:szCs w:val="20"/>
          <w:lang w:val="es-MX"/>
        </w:rPr>
      </w:pPr>
    </w:p>
    <w:p w14:paraId="396697B8" w14:textId="77777777"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14:paraId="2FD749C8" w14:textId="18CDF141" w:rsidR="00EC1883" w:rsidRPr="00EC1883" w:rsidRDefault="00EC1883" w:rsidP="009A226B">
      <w:pPr>
        <w:tabs>
          <w:tab w:val="left" w:pos="567"/>
        </w:tabs>
        <w:spacing w:after="0" w:line="240" w:lineRule="auto"/>
        <w:ind w:left="4253"/>
        <w:jc w:val="center"/>
        <w:rPr>
          <w:rFonts w:ascii="Verdana" w:eastAsia="Calibri" w:hAnsi="Verdana" w:cs="Calibri"/>
          <w:sz w:val="20"/>
          <w:szCs w:val="20"/>
          <w:lang w:val="pt-BR"/>
        </w:rPr>
      </w:pPr>
      <w:r w:rsidRPr="00EC1883">
        <w:rPr>
          <w:rFonts w:ascii="Verdana" w:eastAsia="Calibri" w:hAnsi="Verdana" w:cs="Calibri"/>
          <w:color w:val="000000"/>
          <w:spacing w:val="-2"/>
          <w:sz w:val="20"/>
          <w:szCs w:val="20"/>
          <w:lang w:val="es-MX" w:eastAsia="es-CR"/>
        </w:rPr>
        <w:t>Roberto F. Caldas</w:t>
      </w:r>
      <w:r w:rsidRPr="00EC1883">
        <w:rPr>
          <w:rFonts w:ascii="Verdana" w:eastAsia="Calibri" w:hAnsi="Verdana" w:cs="Calibri"/>
          <w:sz w:val="20"/>
          <w:szCs w:val="20"/>
          <w:lang w:val="pt-BR"/>
        </w:rPr>
        <w:t xml:space="preserve"> </w:t>
      </w:r>
    </w:p>
    <w:p w14:paraId="7136529F" w14:textId="77777777" w:rsidR="00EC1883" w:rsidRPr="00EC1883" w:rsidRDefault="00EC1883" w:rsidP="009A226B">
      <w:pPr>
        <w:tabs>
          <w:tab w:val="left" w:pos="567"/>
        </w:tabs>
        <w:spacing w:after="0" w:line="240" w:lineRule="auto"/>
        <w:ind w:left="4253"/>
        <w:jc w:val="center"/>
        <w:rPr>
          <w:rFonts w:ascii="Verdana" w:eastAsia="Calibri" w:hAnsi="Verdana" w:cs="Calibri"/>
          <w:sz w:val="20"/>
          <w:szCs w:val="20"/>
          <w:lang w:val="es-MX"/>
        </w:rPr>
      </w:pPr>
      <w:r w:rsidRPr="00EC1883">
        <w:rPr>
          <w:rFonts w:ascii="Verdana" w:eastAsia="Calibri" w:hAnsi="Verdana" w:cs="Calibri"/>
          <w:sz w:val="20"/>
          <w:szCs w:val="20"/>
          <w:lang w:val="pt-BR"/>
        </w:rPr>
        <w:t>Presidente</w:t>
      </w:r>
    </w:p>
    <w:p w14:paraId="4C0C9D37" w14:textId="77777777"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14:paraId="3BE7ABC6" w14:textId="77777777"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14:paraId="41B5914A" w14:textId="77777777"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14:paraId="6D938CDC" w14:textId="4ECDDC1E"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14:paraId="508FD0FA" w14:textId="2B6E63B2" w:rsidR="00EC1883" w:rsidRPr="00EC1883" w:rsidRDefault="00EC1883" w:rsidP="009A226B">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Pablo Saavedra Alessandri</w:t>
      </w:r>
    </w:p>
    <w:p w14:paraId="7ACC9C5D" w14:textId="54C1A6D7" w:rsidR="0077293A" w:rsidRPr="00073E13" w:rsidRDefault="00EC1883" w:rsidP="009A226B">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Secretario</w:t>
      </w:r>
    </w:p>
    <w:sectPr w:rsidR="0077293A" w:rsidRPr="00073E13" w:rsidSect="00F42AE7">
      <w:headerReference w:type="even" r:id="rId9"/>
      <w:headerReference w:type="default" r:id="rId10"/>
      <w:pgSz w:w="12240" w:h="15840"/>
      <w:pgMar w:top="1440" w:right="1418"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36F22" w14:textId="77777777" w:rsidR="00146C92" w:rsidRDefault="00146C92" w:rsidP="006A0BE5">
      <w:pPr>
        <w:spacing w:after="0" w:line="240" w:lineRule="auto"/>
      </w:pPr>
      <w:r>
        <w:separator/>
      </w:r>
    </w:p>
  </w:endnote>
  <w:endnote w:type="continuationSeparator" w:id="0">
    <w:p w14:paraId="1495E138" w14:textId="77777777" w:rsidR="00146C92" w:rsidRDefault="00146C92" w:rsidP="006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40AE8" w14:textId="77777777" w:rsidR="00146C92" w:rsidRDefault="00146C92" w:rsidP="006A0BE5">
      <w:pPr>
        <w:spacing w:after="0" w:line="240" w:lineRule="auto"/>
      </w:pPr>
      <w:r>
        <w:separator/>
      </w:r>
    </w:p>
  </w:footnote>
  <w:footnote w:type="continuationSeparator" w:id="0">
    <w:p w14:paraId="77912C24" w14:textId="77777777" w:rsidR="00146C92" w:rsidRDefault="00146C92" w:rsidP="006A0BE5">
      <w:pPr>
        <w:spacing w:after="0" w:line="240" w:lineRule="auto"/>
      </w:pPr>
      <w:r>
        <w:continuationSeparator/>
      </w:r>
    </w:p>
  </w:footnote>
  <w:footnote w:id="1">
    <w:p w14:paraId="573BF5DE" w14:textId="319E8358" w:rsidR="00A827A0" w:rsidRPr="00D66EDB" w:rsidRDefault="00A827A0" w:rsidP="00D66EDB">
      <w:pPr>
        <w:pStyle w:val="FootnoteText"/>
        <w:tabs>
          <w:tab w:val="left" w:pos="426"/>
        </w:tabs>
        <w:spacing w:before="120" w:after="120"/>
        <w:jc w:val="both"/>
        <w:rPr>
          <w:rFonts w:ascii="Verdana" w:hAnsi="Verdana"/>
          <w:sz w:val="16"/>
          <w:szCs w:val="16"/>
        </w:rPr>
      </w:pPr>
      <w:r w:rsidRPr="00D66EDB">
        <w:rPr>
          <w:rStyle w:val="FootnoteReference"/>
          <w:rFonts w:ascii="Verdana" w:hAnsi="Verdana"/>
          <w:sz w:val="16"/>
          <w:szCs w:val="16"/>
        </w:rPr>
        <w:footnoteRef/>
      </w:r>
      <w:r w:rsidRPr="00D66EDB">
        <w:rPr>
          <w:rFonts w:ascii="Verdana" w:hAnsi="Verdana"/>
          <w:sz w:val="16"/>
          <w:szCs w:val="16"/>
        </w:rPr>
        <w:t xml:space="preserve"> </w:t>
      </w:r>
      <w:r w:rsidRPr="00D66EDB">
        <w:rPr>
          <w:rFonts w:ascii="Verdana" w:hAnsi="Verdana"/>
          <w:sz w:val="16"/>
          <w:szCs w:val="16"/>
        </w:rPr>
        <w:tab/>
      </w:r>
      <w:r w:rsidRPr="00D66EDB">
        <w:rPr>
          <w:rFonts w:ascii="Verdana" w:hAnsi="Verdana"/>
          <w:sz w:val="16"/>
          <w:szCs w:val="16"/>
          <w:lang w:val="es-MX"/>
        </w:rPr>
        <w:t xml:space="preserve">Los representantes en el presente caso son el Centro de Derechos Humanos Miguel </w:t>
      </w:r>
      <w:r w:rsidR="000A0342" w:rsidRPr="00D66EDB">
        <w:rPr>
          <w:rFonts w:ascii="Verdana" w:hAnsi="Verdana"/>
          <w:sz w:val="16"/>
          <w:szCs w:val="16"/>
          <w:lang w:val="es-MX"/>
        </w:rPr>
        <w:t>A</w:t>
      </w:r>
      <w:r w:rsidRPr="00D66EDB">
        <w:rPr>
          <w:rFonts w:ascii="Verdana" w:hAnsi="Verdana"/>
          <w:sz w:val="16"/>
          <w:szCs w:val="16"/>
          <w:lang w:val="es-MX"/>
        </w:rPr>
        <w:t>gustín Pro Juárez (“Centro Prodh”) y</w:t>
      </w:r>
      <w:r w:rsidRPr="00D66EDB">
        <w:rPr>
          <w:rFonts w:ascii="Verdana" w:hAnsi="Verdana"/>
          <w:sz w:val="16"/>
          <w:szCs w:val="16"/>
        </w:rPr>
        <w:t xml:space="preserve"> el </w:t>
      </w:r>
      <w:r w:rsidRPr="00D66EDB">
        <w:rPr>
          <w:rFonts w:ascii="Verdana" w:hAnsi="Verdana"/>
          <w:sz w:val="16"/>
          <w:szCs w:val="16"/>
          <w:lang w:val="es-MX"/>
        </w:rPr>
        <w:t>Centro por la Justicia y el Derecho Internacional (“CEJIL”).</w:t>
      </w:r>
    </w:p>
    <w:p w14:paraId="32542974" w14:textId="77777777" w:rsidR="00A827A0" w:rsidRPr="00D66EDB" w:rsidRDefault="00A827A0" w:rsidP="00D66EDB">
      <w:pPr>
        <w:pStyle w:val="FootnoteText"/>
        <w:tabs>
          <w:tab w:val="left" w:pos="426"/>
        </w:tabs>
        <w:spacing w:before="120" w:after="120"/>
        <w:jc w:val="both"/>
        <w:rPr>
          <w:rFonts w:ascii="Verdana" w:hAnsi="Verdana"/>
          <w:sz w:val="16"/>
          <w:szCs w:val="16"/>
        </w:rPr>
      </w:pPr>
    </w:p>
  </w:footnote>
  <w:footnote w:id="2">
    <w:p w14:paraId="33332C95" w14:textId="2869FD04" w:rsidR="00A827A0" w:rsidRPr="00D66EDB" w:rsidRDefault="00A827A0" w:rsidP="00D66EDB">
      <w:pPr>
        <w:pStyle w:val="FootnoteText"/>
        <w:tabs>
          <w:tab w:val="left" w:pos="426"/>
        </w:tabs>
        <w:spacing w:before="120" w:after="120"/>
        <w:jc w:val="both"/>
        <w:rPr>
          <w:rFonts w:ascii="Verdana" w:hAnsi="Verdana"/>
          <w:sz w:val="16"/>
          <w:szCs w:val="16"/>
          <w:lang w:val="es-ES_tradnl"/>
        </w:rPr>
      </w:pPr>
      <w:r w:rsidRPr="00D66EDB">
        <w:rPr>
          <w:rStyle w:val="FootnoteReference"/>
          <w:rFonts w:ascii="Verdana" w:hAnsi="Verdana"/>
          <w:sz w:val="16"/>
          <w:szCs w:val="16"/>
        </w:rPr>
        <w:footnoteRef/>
      </w:r>
      <w:r w:rsidRPr="00D66EDB">
        <w:rPr>
          <w:rFonts w:ascii="Verdana" w:hAnsi="Verdana"/>
          <w:sz w:val="16"/>
          <w:szCs w:val="16"/>
          <w:lang w:val="pt-BR"/>
        </w:rPr>
        <w:t xml:space="preserve">   </w:t>
      </w:r>
      <w:r w:rsidRPr="00D66EDB">
        <w:rPr>
          <w:rFonts w:ascii="Verdana" w:hAnsi="Verdana"/>
          <w:sz w:val="16"/>
          <w:szCs w:val="16"/>
          <w:lang w:val="pt-BR"/>
        </w:rPr>
        <w:tab/>
      </w:r>
      <w:r w:rsidRPr="00D66EDB">
        <w:rPr>
          <w:rFonts w:ascii="Verdana" w:hAnsi="Verdana"/>
          <w:i/>
          <w:iCs/>
          <w:sz w:val="16"/>
          <w:szCs w:val="16"/>
          <w:lang w:val="pt-BR"/>
        </w:rPr>
        <w:t>Cfr</w:t>
      </w:r>
      <w:r w:rsidRPr="00D66EDB">
        <w:rPr>
          <w:rFonts w:ascii="Verdana" w:hAnsi="Verdana"/>
          <w:sz w:val="16"/>
          <w:szCs w:val="16"/>
          <w:lang w:val="pt-BR"/>
        </w:rPr>
        <w:t xml:space="preserve">. </w:t>
      </w:r>
      <w:r w:rsidRPr="00D66EDB">
        <w:rPr>
          <w:rFonts w:ascii="Verdana" w:hAnsi="Verdana"/>
          <w:i/>
          <w:iCs/>
          <w:sz w:val="16"/>
          <w:szCs w:val="16"/>
          <w:lang w:val="pt-BR"/>
        </w:rPr>
        <w:t xml:space="preserve">Caso Pedro Miguel Vera Vera y otros Vs. </w:t>
      </w:r>
      <w:r w:rsidRPr="00D66EDB">
        <w:rPr>
          <w:rFonts w:ascii="Verdana" w:hAnsi="Verdana"/>
          <w:i/>
          <w:iCs/>
          <w:sz w:val="16"/>
          <w:szCs w:val="16"/>
        </w:rPr>
        <w:t xml:space="preserve">Ecuador. </w:t>
      </w:r>
      <w:r w:rsidRPr="00D66EDB">
        <w:rPr>
          <w:rFonts w:ascii="Verdana" w:hAnsi="Verdana"/>
          <w:sz w:val="16"/>
          <w:szCs w:val="16"/>
        </w:rPr>
        <w:t xml:space="preserve">Resolución del Presidente de la Corte de 23 de diciembre de 2010, Considerando 9, y </w:t>
      </w:r>
      <w:r w:rsidR="00721B8C" w:rsidRPr="00D66EDB">
        <w:rPr>
          <w:rFonts w:ascii="Verdana" w:hAnsi="Verdana"/>
          <w:bCs/>
          <w:i/>
          <w:sz w:val="16"/>
          <w:szCs w:val="16"/>
        </w:rPr>
        <w:t>Caso </w:t>
      </w:r>
      <w:r w:rsidR="00721B8C" w:rsidRPr="00D66EDB">
        <w:rPr>
          <w:rFonts w:ascii="Verdana" w:hAnsi="Verdana"/>
          <w:bCs/>
          <w:i/>
          <w:iCs/>
          <w:sz w:val="16"/>
          <w:szCs w:val="16"/>
        </w:rPr>
        <w:t>V.R.P. y V.P.C.</w:t>
      </w:r>
      <w:r w:rsidR="00721B8C" w:rsidRPr="00D66EDB">
        <w:rPr>
          <w:rFonts w:ascii="Verdana" w:hAnsi="Verdana"/>
          <w:bCs/>
          <w:i/>
          <w:sz w:val="16"/>
          <w:szCs w:val="16"/>
        </w:rPr>
        <w:t> Vs. Nicaragua. Convocatoria de audiencia</w:t>
      </w:r>
      <w:r w:rsidR="00721B8C" w:rsidRPr="00D66EDB">
        <w:rPr>
          <w:rFonts w:ascii="Verdana" w:hAnsi="Verdana"/>
          <w:bCs/>
          <w:sz w:val="16"/>
          <w:szCs w:val="16"/>
        </w:rPr>
        <w:t>. Resolución del Presidente de la Corte de 21 de septiembre de 2017,</w:t>
      </w:r>
      <w:r w:rsidR="00721B8C" w:rsidRPr="00D66EDB">
        <w:rPr>
          <w:rFonts w:ascii="Verdana" w:hAnsi="Verdana"/>
          <w:iCs/>
          <w:sz w:val="16"/>
          <w:szCs w:val="16"/>
        </w:rPr>
        <w:t xml:space="preserve"> Considerando 33</w:t>
      </w:r>
      <w:r w:rsidRPr="00D66EDB">
        <w:rPr>
          <w:rFonts w:ascii="Verdana" w:hAnsi="Verdana"/>
          <w:iCs/>
          <w:sz w:val="16"/>
          <w:szCs w:val="16"/>
        </w:rPr>
        <w:t>.</w:t>
      </w:r>
    </w:p>
  </w:footnote>
  <w:footnote w:id="3">
    <w:p w14:paraId="3C298EB1" w14:textId="712D0B39" w:rsidR="00A827A0" w:rsidRPr="00D66EDB" w:rsidRDefault="00A827A0" w:rsidP="00D66EDB">
      <w:pPr>
        <w:pStyle w:val="ListParagraph"/>
        <w:tabs>
          <w:tab w:val="left" w:pos="426"/>
          <w:tab w:val="left" w:pos="567"/>
        </w:tabs>
        <w:spacing w:before="120" w:after="120" w:line="240" w:lineRule="auto"/>
        <w:ind w:left="0"/>
        <w:jc w:val="both"/>
        <w:rPr>
          <w:rFonts w:ascii="Verdana" w:hAnsi="Verdana"/>
          <w:bCs/>
          <w:iCs/>
          <w:sz w:val="16"/>
          <w:szCs w:val="16"/>
        </w:rPr>
      </w:pPr>
      <w:r w:rsidRPr="00D66EDB">
        <w:rPr>
          <w:rStyle w:val="FootnoteReference"/>
          <w:rFonts w:ascii="Verdana" w:hAnsi="Verdana"/>
          <w:sz w:val="16"/>
          <w:szCs w:val="16"/>
        </w:rPr>
        <w:footnoteRef/>
      </w:r>
      <w:r w:rsidRPr="00D66EDB">
        <w:rPr>
          <w:rFonts w:ascii="Verdana" w:hAnsi="Verdana"/>
          <w:sz w:val="16"/>
          <w:szCs w:val="16"/>
        </w:rPr>
        <w:t xml:space="preserve"> </w:t>
      </w:r>
      <w:r w:rsidRPr="00D66EDB">
        <w:rPr>
          <w:rFonts w:ascii="Verdana" w:hAnsi="Verdana"/>
          <w:sz w:val="16"/>
          <w:szCs w:val="16"/>
        </w:rPr>
        <w:tab/>
      </w:r>
      <w:r w:rsidR="00C12030" w:rsidRPr="00D66EDB">
        <w:rPr>
          <w:rFonts w:ascii="Verdana" w:hAnsi="Verdana"/>
          <w:bCs/>
          <w:i/>
          <w:sz w:val="16"/>
          <w:szCs w:val="16"/>
        </w:rPr>
        <w:t>Caso Espinoza Gonzáles Vs. Perú. Convocatoria de audiencia.</w:t>
      </w:r>
      <w:r w:rsidR="00C12030" w:rsidRPr="00D66EDB">
        <w:rPr>
          <w:rFonts w:ascii="Verdana" w:hAnsi="Verdana"/>
          <w:bCs/>
          <w:sz w:val="16"/>
          <w:szCs w:val="16"/>
        </w:rPr>
        <w:t xml:space="preserve"> Resolución del Presidente de la Corte Interamericana de Derechos Humanos de 7 de marzo de 2014, punto resolutivo 1.C.2.</w:t>
      </w:r>
      <w:r w:rsidR="00C12030" w:rsidRPr="00D66EDB">
        <w:rPr>
          <w:rFonts w:ascii="Verdana" w:hAnsi="Verdana"/>
          <w:b/>
          <w:bCs/>
          <w:sz w:val="16"/>
          <w:szCs w:val="16"/>
        </w:rPr>
        <w:t xml:space="preserve"> </w:t>
      </w:r>
      <w:r w:rsidR="00C12030" w:rsidRPr="00D66EDB">
        <w:rPr>
          <w:rFonts w:ascii="Verdana" w:hAnsi="Verdana"/>
          <w:sz w:val="16"/>
          <w:szCs w:val="16"/>
        </w:rPr>
        <w:t xml:space="preserve">El 31 de julio de 2017 se transmitió una copia </w:t>
      </w:r>
      <w:r w:rsidRPr="00D66EDB">
        <w:rPr>
          <w:rFonts w:ascii="Verdana" w:hAnsi="Verdana"/>
          <w:sz w:val="16"/>
          <w:szCs w:val="16"/>
        </w:rPr>
        <w:t xml:space="preserve">del </w:t>
      </w:r>
      <w:r w:rsidR="00C12030" w:rsidRPr="00D66EDB">
        <w:rPr>
          <w:rFonts w:ascii="Verdana" w:hAnsi="Verdana"/>
          <w:sz w:val="16"/>
          <w:szCs w:val="16"/>
        </w:rPr>
        <w:t xml:space="preserve">referido peritaje, </w:t>
      </w:r>
      <w:r w:rsidRPr="00D66EDB">
        <w:rPr>
          <w:rFonts w:ascii="Verdana" w:hAnsi="Verdana"/>
          <w:sz w:val="16"/>
          <w:szCs w:val="16"/>
        </w:rPr>
        <w:t xml:space="preserve">en inglés y </w:t>
      </w:r>
      <w:r w:rsidR="00C12030" w:rsidRPr="00D66EDB">
        <w:rPr>
          <w:rFonts w:ascii="Verdana" w:hAnsi="Verdana"/>
          <w:sz w:val="16"/>
          <w:szCs w:val="16"/>
        </w:rPr>
        <w:t xml:space="preserve">en </w:t>
      </w:r>
      <w:r w:rsidRPr="00D66EDB">
        <w:rPr>
          <w:rFonts w:ascii="Verdana" w:hAnsi="Verdana"/>
          <w:sz w:val="16"/>
          <w:szCs w:val="16"/>
        </w:rPr>
        <w:t>español</w:t>
      </w:r>
      <w:r w:rsidR="00C12030" w:rsidRPr="00D66EDB">
        <w:rPr>
          <w:rFonts w:ascii="Verdana" w:hAnsi="Verdana"/>
          <w:sz w:val="16"/>
          <w:szCs w:val="16"/>
        </w:rPr>
        <w:t>,</w:t>
      </w:r>
      <w:r w:rsidRPr="00D66EDB">
        <w:rPr>
          <w:rFonts w:ascii="Verdana" w:hAnsi="Verdana"/>
          <w:sz w:val="16"/>
          <w:szCs w:val="16"/>
        </w:rPr>
        <w:t xml:space="preserve"> </w:t>
      </w:r>
      <w:r w:rsidR="00C12030" w:rsidRPr="00D66EDB">
        <w:rPr>
          <w:rFonts w:ascii="Verdana" w:hAnsi="Verdana"/>
          <w:sz w:val="16"/>
          <w:szCs w:val="16"/>
        </w:rPr>
        <w:t>a las partes y a la Comisión</w:t>
      </w:r>
      <w:r w:rsidRPr="00D66EDB">
        <w:rPr>
          <w:rFonts w:ascii="Verdana" w:hAnsi="Verdana"/>
          <w:bCs/>
          <w:iCs/>
          <w:sz w:val="16"/>
          <w:szCs w:val="16"/>
        </w:rPr>
        <w:t xml:space="preserve">. </w:t>
      </w:r>
    </w:p>
  </w:footnote>
  <w:footnote w:id="4">
    <w:p w14:paraId="4FBC298F" w14:textId="55B39CB2" w:rsidR="00A827A0" w:rsidRPr="00D66EDB" w:rsidRDefault="00A827A0" w:rsidP="00D66EDB">
      <w:pPr>
        <w:pStyle w:val="FootnoteText"/>
        <w:tabs>
          <w:tab w:val="left" w:pos="426"/>
        </w:tabs>
        <w:spacing w:before="120" w:after="120"/>
        <w:jc w:val="both"/>
        <w:rPr>
          <w:rFonts w:ascii="Verdana" w:hAnsi="Verdana"/>
          <w:sz w:val="16"/>
          <w:szCs w:val="16"/>
        </w:rPr>
      </w:pPr>
      <w:r w:rsidRPr="00D66EDB">
        <w:rPr>
          <w:rStyle w:val="FootnoteReference"/>
          <w:rFonts w:ascii="Verdana" w:hAnsi="Verdana"/>
          <w:sz w:val="16"/>
          <w:szCs w:val="16"/>
        </w:rPr>
        <w:footnoteRef/>
      </w:r>
      <w:r w:rsidRPr="00D66EDB">
        <w:rPr>
          <w:rFonts w:ascii="Verdana" w:hAnsi="Verdana"/>
          <w:sz w:val="16"/>
          <w:szCs w:val="16"/>
          <w:lang w:val="pt-BR"/>
        </w:rPr>
        <w:t xml:space="preserve"> </w:t>
      </w:r>
      <w:r w:rsidRPr="00D66EDB">
        <w:rPr>
          <w:rFonts w:ascii="Verdana" w:hAnsi="Verdana"/>
          <w:sz w:val="16"/>
          <w:szCs w:val="16"/>
          <w:lang w:val="pt-BR"/>
        </w:rPr>
        <w:tab/>
      </w:r>
      <w:r w:rsidRPr="00D66EDB">
        <w:rPr>
          <w:rFonts w:ascii="Verdana" w:hAnsi="Verdana"/>
          <w:i/>
          <w:sz w:val="16"/>
          <w:szCs w:val="16"/>
          <w:lang w:val="pt-BR"/>
        </w:rPr>
        <w:t xml:space="preserve">Cfr. Caso Pacheco Tineo Vs. </w:t>
      </w:r>
      <w:r w:rsidRPr="00D66EDB">
        <w:rPr>
          <w:rFonts w:ascii="Verdana" w:hAnsi="Verdana"/>
          <w:i/>
          <w:sz w:val="16"/>
          <w:szCs w:val="16"/>
        </w:rPr>
        <w:t xml:space="preserve">Bolivia. </w:t>
      </w:r>
      <w:r w:rsidR="00035149" w:rsidRPr="00D66EDB">
        <w:rPr>
          <w:rFonts w:ascii="Verdana" w:hAnsi="Verdana"/>
          <w:sz w:val="16"/>
          <w:szCs w:val="16"/>
        </w:rPr>
        <w:t xml:space="preserve">Convocatoria de audiencia. </w:t>
      </w:r>
      <w:r w:rsidRPr="00D66EDB">
        <w:rPr>
          <w:rFonts w:ascii="Verdana" w:hAnsi="Verdana"/>
          <w:sz w:val="16"/>
          <w:szCs w:val="16"/>
        </w:rPr>
        <w:t>Resolución del Presidente de la Corte de 19 de febrero de 2013, Considerando 54, y</w:t>
      </w:r>
      <w:r w:rsidRPr="00D66EDB">
        <w:rPr>
          <w:rFonts w:ascii="Verdana" w:hAnsi="Verdana"/>
          <w:i/>
          <w:sz w:val="16"/>
          <w:szCs w:val="16"/>
        </w:rPr>
        <w:t xml:space="preserve"> Caso Ramírez Escobar y otros Vs. Guatemala</w:t>
      </w:r>
      <w:r w:rsidRPr="00D66EDB">
        <w:rPr>
          <w:rFonts w:ascii="Verdana" w:hAnsi="Verdana"/>
          <w:i/>
          <w:iCs/>
          <w:sz w:val="16"/>
          <w:szCs w:val="16"/>
        </w:rPr>
        <w:t>.</w:t>
      </w:r>
      <w:r w:rsidRPr="00D66EDB">
        <w:rPr>
          <w:rFonts w:ascii="Verdana" w:hAnsi="Verdana"/>
          <w:iCs/>
          <w:sz w:val="16"/>
          <w:szCs w:val="16"/>
        </w:rPr>
        <w:t xml:space="preserve"> Convocatoria de audiencia. Resolución del Presidente de la Corte de 11 d</w:t>
      </w:r>
      <w:r w:rsidR="00E300F8" w:rsidRPr="00D66EDB">
        <w:rPr>
          <w:rFonts w:ascii="Verdana" w:hAnsi="Verdana"/>
          <w:iCs/>
          <w:sz w:val="16"/>
          <w:szCs w:val="16"/>
        </w:rPr>
        <w:t>e abril de 2017, Considerando 25</w:t>
      </w:r>
      <w:r w:rsidRPr="00D66EDB">
        <w:rPr>
          <w:rFonts w:ascii="Verdana" w:hAnsi="Verdana"/>
          <w:iCs/>
          <w:sz w:val="16"/>
          <w:szCs w:val="16"/>
        </w:rPr>
        <w:t>.</w:t>
      </w:r>
    </w:p>
  </w:footnote>
  <w:footnote w:id="5">
    <w:p w14:paraId="009320F4" w14:textId="668F2AB5" w:rsidR="00A827A0" w:rsidRPr="00D66EDB" w:rsidRDefault="00A827A0" w:rsidP="00D66EDB">
      <w:pPr>
        <w:pStyle w:val="FootnoteText"/>
        <w:tabs>
          <w:tab w:val="left" w:pos="426"/>
        </w:tabs>
        <w:spacing w:before="120" w:after="120"/>
        <w:jc w:val="both"/>
        <w:rPr>
          <w:rFonts w:ascii="Verdana" w:hAnsi="Verdana"/>
          <w:sz w:val="16"/>
          <w:szCs w:val="16"/>
        </w:rPr>
      </w:pPr>
      <w:r w:rsidRPr="00D66EDB">
        <w:rPr>
          <w:rStyle w:val="FootnoteReference"/>
          <w:rFonts w:ascii="Verdana" w:hAnsi="Verdana"/>
          <w:sz w:val="16"/>
          <w:szCs w:val="16"/>
        </w:rPr>
        <w:footnoteRef/>
      </w:r>
      <w:r w:rsidRPr="00D66EDB">
        <w:rPr>
          <w:rFonts w:ascii="Verdana" w:hAnsi="Verdana"/>
          <w:sz w:val="16"/>
          <w:szCs w:val="16"/>
        </w:rPr>
        <w:t xml:space="preserve"> </w:t>
      </w:r>
      <w:r w:rsidRPr="00D66EDB">
        <w:rPr>
          <w:rFonts w:ascii="Verdana" w:hAnsi="Verdana"/>
          <w:sz w:val="16"/>
          <w:szCs w:val="16"/>
        </w:rPr>
        <w:tab/>
      </w:r>
      <w:r w:rsidRPr="00D66EDB">
        <w:rPr>
          <w:rFonts w:ascii="Verdana" w:hAnsi="Verdana"/>
          <w:i/>
          <w:sz w:val="16"/>
          <w:szCs w:val="16"/>
        </w:rPr>
        <w:t>Cfr. Caso García Asto y Ramírez Rojas Vs. Perú</w:t>
      </w:r>
      <w:r w:rsidRPr="00D66EDB">
        <w:rPr>
          <w:rFonts w:ascii="Verdana" w:hAnsi="Verdana"/>
          <w:sz w:val="16"/>
          <w:szCs w:val="16"/>
        </w:rPr>
        <w:t xml:space="preserve">. Resolución del Presidente de la Corte de 18 de marzo de 2005, Considerandos 7 a 10, y </w:t>
      </w:r>
      <w:r w:rsidR="00E300F8" w:rsidRPr="00D66EDB">
        <w:rPr>
          <w:rFonts w:ascii="Verdana" w:hAnsi="Verdana"/>
          <w:i/>
          <w:sz w:val="16"/>
          <w:szCs w:val="16"/>
        </w:rPr>
        <w:t>Caso Ramírez Escobar y otros Vs. Guatemala</w:t>
      </w:r>
      <w:r w:rsidR="00E300F8" w:rsidRPr="00D66EDB">
        <w:rPr>
          <w:rFonts w:ascii="Verdana" w:hAnsi="Verdana"/>
          <w:i/>
          <w:iCs/>
          <w:sz w:val="16"/>
          <w:szCs w:val="16"/>
        </w:rPr>
        <w:t>.</w:t>
      </w:r>
      <w:r w:rsidR="00E300F8" w:rsidRPr="00D66EDB">
        <w:rPr>
          <w:rFonts w:ascii="Verdana" w:hAnsi="Verdana"/>
          <w:iCs/>
          <w:sz w:val="16"/>
          <w:szCs w:val="16"/>
        </w:rPr>
        <w:t xml:space="preserve"> Convocatoria de audiencia. Resolución del Presidente de la Corte de 11 de abril de 2017, Considerando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95D6" w14:textId="77777777" w:rsidR="00A827A0" w:rsidRDefault="00A827A0" w:rsidP="00A827A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3986A" w14:textId="77777777" w:rsidR="00A827A0" w:rsidRDefault="00A82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2202" w14:textId="37A4063F" w:rsidR="00A827A0" w:rsidRDefault="00A827A0" w:rsidP="00205583">
    <w:pPr>
      <w:pStyle w:val="Header"/>
      <w:framePr w:wrap="none" w:vAnchor="text" w:hAnchor="margin" w:xAlign="center" w:y="1"/>
      <w:jc w:val="center"/>
      <w:rPr>
        <w:rStyle w:val="PageNumber"/>
      </w:rPr>
    </w:pPr>
    <w:r w:rsidRPr="00205583">
      <w:rPr>
        <w:rStyle w:val="PageNumber"/>
        <w:rFonts w:ascii="Verdana" w:hAnsi="Verdana"/>
        <w:sz w:val="20"/>
        <w:szCs w:val="20"/>
      </w:rPr>
      <w:t xml:space="preserve">- </w:t>
    </w:r>
    <w:r w:rsidRPr="00205583">
      <w:rPr>
        <w:rStyle w:val="PageNumber"/>
        <w:rFonts w:ascii="Verdana" w:hAnsi="Verdana"/>
        <w:sz w:val="20"/>
        <w:szCs w:val="20"/>
      </w:rPr>
      <w:fldChar w:fldCharType="begin"/>
    </w:r>
    <w:r w:rsidRPr="00205583">
      <w:rPr>
        <w:rStyle w:val="PageNumber"/>
        <w:rFonts w:ascii="Verdana" w:hAnsi="Verdana"/>
        <w:sz w:val="20"/>
        <w:szCs w:val="20"/>
      </w:rPr>
      <w:instrText xml:space="preserve">PAGE  </w:instrText>
    </w:r>
    <w:r w:rsidRPr="00205583">
      <w:rPr>
        <w:rStyle w:val="PageNumber"/>
        <w:rFonts w:ascii="Verdana" w:hAnsi="Verdana"/>
        <w:sz w:val="20"/>
        <w:szCs w:val="20"/>
      </w:rPr>
      <w:fldChar w:fldCharType="separate"/>
    </w:r>
    <w:r w:rsidR="00B52FB5">
      <w:rPr>
        <w:rStyle w:val="PageNumber"/>
        <w:rFonts w:ascii="Verdana" w:hAnsi="Verdana"/>
        <w:noProof/>
        <w:sz w:val="20"/>
        <w:szCs w:val="20"/>
      </w:rPr>
      <w:t>12</w:t>
    </w:r>
    <w:r w:rsidRPr="00205583">
      <w:rPr>
        <w:rStyle w:val="PageNumber"/>
        <w:rFonts w:ascii="Verdana" w:hAnsi="Verdana"/>
        <w:sz w:val="20"/>
        <w:szCs w:val="20"/>
      </w:rPr>
      <w:fldChar w:fldCharType="end"/>
    </w:r>
    <w:r>
      <w:rPr>
        <w:rStyle w:val="PageNumber"/>
      </w:rPr>
      <w:t xml:space="preserve"> -</w:t>
    </w:r>
  </w:p>
  <w:p w14:paraId="6907126A" w14:textId="77777777" w:rsidR="00A827A0" w:rsidRDefault="00A8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56C"/>
    <w:multiLevelType w:val="hybridMultilevel"/>
    <w:tmpl w:val="068A6072"/>
    <w:lvl w:ilvl="0" w:tplc="66309FE8">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F555492"/>
    <w:multiLevelType w:val="hybridMultilevel"/>
    <w:tmpl w:val="52D081C6"/>
    <w:lvl w:ilvl="0" w:tplc="115EB01E">
      <w:start w:val="1"/>
      <w:numFmt w:val="upperLetter"/>
      <w:pStyle w:val="Heading1"/>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66CF58">
      <w:start w:val="1"/>
      <w:numFmt w:val="decimal"/>
      <w:lvlText w:val="%7."/>
      <w:lvlJc w:val="left"/>
      <w:pPr>
        <w:ind w:left="5040"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71B77"/>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16F61ED8"/>
    <w:multiLevelType w:val="hybridMultilevel"/>
    <w:tmpl w:val="013A87C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067A6"/>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1A9F0A54"/>
    <w:multiLevelType w:val="hybridMultilevel"/>
    <w:tmpl w:val="013A87C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D1ABB"/>
    <w:multiLevelType w:val="hybridMultilevel"/>
    <w:tmpl w:val="8BDCE1AC"/>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604FD5"/>
    <w:multiLevelType w:val="hybridMultilevel"/>
    <w:tmpl w:val="214493EA"/>
    <w:lvl w:ilvl="0" w:tplc="870C5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780770"/>
    <w:multiLevelType w:val="hybridMultilevel"/>
    <w:tmpl w:val="3DC8A7FE"/>
    <w:lvl w:ilvl="0" w:tplc="67E07D4A">
      <w:start w:val="1"/>
      <w:numFmt w:val="decimal"/>
      <w:lvlText w:val="%1."/>
      <w:lvlJc w:val="left"/>
      <w:pPr>
        <w:ind w:left="6570" w:hanging="720"/>
      </w:pPr>
      <w:rPr>
        <w:b w:val="0"/>
        <w:i w:val="0"/>
        <w:color w:val="auto"/>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C754BB"/>
    <w:multiLevelType w:val="hybridMultilevel"/>
    <w:tmpl w:val="D84C926E"/>
    <w:lvl w:ilvl="0" w:tplc="BD760412">
      <w:start w:val="1"/>
      <w:numFmt w:val="upperLetter"/>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52A4568">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38404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3E200611"/>
    <w:multiLevelType w:val="hybridMultilevel"/>
    <w:tmpl w:val="09B26202"/>
    <w:lvl w:ilvl="0" w:tplc="06E03C86">
      <w:start w:val="1"/>
      <w:numFmt w:val="decimal"/>
      <w:lvlText w:val="%1."/>
      <w:lvlJc w:val="left"/>
      <w:pPr>
        <w:ind w:left="720" w:hanging="360"/>
      </w:pPr>
      <w:rPr>
        <w:rFonts w:ascii="Verdana" w:hAnsi="Verdana" w:cs="Times New Roman" w:hint="default"/>
        <w:b w:val="0"/>
        <w:i w:val="0"/>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E4E7652"/>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FB17FE"/>
    <w:multiLevelType w:val="hybridMultilevel"/>
    <w:tmpl w:val="52CA7976"/>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366BF"/>
    <w:multiLevelType w:val="hybridMultilevel"/>
    <w:tmpl w:val="CE24E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0936BE"/>
    <w:multiLevelType w:val="hybridMultilevel"/>
    <w:tmpl w:val="74BA9062"/>
    <w:lvl w:ilvl="0" w:tplc="51DA7DA4">
      <w:start w:val="1"/>
      <w:numFmt w:val="decimal"/>
      <w:lvlText w:val="%1."/>
      <w:lvlJc w:val="left"/>
      <w:pPr>
        <w:ind w:left="45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507437FD"/>
    <w:multiLevelType w:val="hybridMultilevel"/>
    <w:tmpl w:val="74BA9062"/>
    <w:lvl w:ilvl="0" w:tplc="51DA7DA4">
      <w:start w:val="1"/>
      <w:numFmt w:val="decimal"/>
      <w:lvlText w:val="%1."/>
      <w:lvlJc w:val="left"/>
      <w:pPr>
        <w:ind w:left="188" w:hanging="360"/>
      </w:pPr>
      <w:rPr>
        <w:rFonts w:hint="default"/>
        <w:b w:val="0"/>
        <w:i w:val="0"/>
        <w:lang w:val="es-CR"/>
      </w:rPr>
    </w:lvl>
    <w:lvl w:ilvl="1" w:tplc="04090019" w:tentative="1">
      <w:start w:val="1"/>
      <w:numFmt w:val="lowerLetter"/>
      <w:lvlText w:val="%2."/>
      <w:lvlJc w:val="left"/>
      <w:pPr>
        <w:ind w:left="188" w:hanging="360"/>
      </w:pPr>
    </w:lvl>
    <w:lvl w:ilvl="2" w:tplc="0409001B" w:tentative="1">
      <w:start w:val="1"/>
      <w:numFmt w:val="lowerRoman"/>
      <w:lvlText w:val="%3."/>
      <w:lvlJc w:val="right"/>
      <w:pPr>
        <w:ind w:left="908" w:hanging="180"/>
      </w:pPr>
    </w:lvl>
    <w:lvl w:ilvl="3" w:tplc="0409000F">
      <w:start w:val="1"/>
      <w:numFmt w:val="decimal"/>
      <w:lvlText w:val="%4."/>
      <w:lvlJc w:val="left"/>
      <w:pPr>
        <w:ind w:left="1628" w:hanging="360"/>
      </w:pPr>
    </w:lvl>
    <w:lvl w:ilvl="4" w:tplc="04090019" w:tentative="1">
      <w:start w:val="1"/>
      <w:numFmt w:val="lowerLetter"/>
      <w:lvlText w:val="%5."/>
      <w:lvlJc w:val="left"/>
      <w:pPr>
        <w:ind w:left="2348" w:hanging="360"/>
      </w:pPr>
    </w:lvl>
    <w:lvl w:ilvl="5" w:tplc="0409001B" w:tentative="1">
      <w:start w:val="1"/>
      <w:numFmt w:val="lowerRoman"/>
      <w:lvlText w:val="%6."/>
      <w:lvlJc w:val="right"/>
      <w:pPr>
        <w:ind w:left="3068" w:hanging="180"/>
      </w:pPr>
    </w:lvl>
    <w:lvl w:ilvl="6" w:tplc="0409000F" w:tentative="1">
      <w:start w:val="1"/>
      <w:numFmt w:val="decimal"/>
      <w:lvlText w:val="%7."/>
      <w:lvlJc w:val="left"/>
      <w:pPr>
        <w:ind w:left="3788" w:hanging="360"/>
      </w:pPr>
    </w:lvl>
    <w:lvl w:ilvl="7" w:tplc="04090019" w:tentative="1">
      <w:start w:val="1"/>
      <w:numFmt w:val="lowerLetter"/>
      <w:lvlText w:val="%8."/>
      <w:lvlJc w:val="left"/>
      <w:pPr>
        <w:ind w:left="4508" w:hanging="360"/>
      </w:pPr>
    </w:lvl>
    <w:lvl w:ilvl="8" w:tplc="0409001B" w:tentative="1">
      <w:start w:val="1"/>
      <w:numFmt w:val="lowerRoman"/>
      <w:lvlText w:val="%9."/>
      <w:lvlJc w:val="right"/>
      <w:pPr>
        <w:ind w:left="5228" w:hanging="180"/>
      </w:pPr>
    </w:lvl>
  </w:abstractNum>
  <w:abstractNum w:abstractNumId="18">
    <w:nsid w:val="5DDB6DC6"/>
    <w:multiLevelType w:val="hybridMultilevel"/>
    <w:tmpl w:val="D62618CC"/>
    <w:lvl w:ilvl="0" w:tplc="CC0A21E4">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nsid w:val="60D6405B"/>
    <w:multiLevelType w:val="hybridMultilevel"/>
    <w:tmpl w:val="DD76953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5D6ECD"/>
    <w:multiLevelType w:val="hybridMultilevel"/>
    <w:tmpl w:val="E612F4EC"/>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B3E004E2">
      <w:start w:val="1"/>
      <w:numFmt w:val="decimal"/>
      <w:lvlText w:val="%4."/>
      <w:lvlJc w:val="left"/>
      <w:pPr>
        <w:ind w:left="3240" w:hanging="360"/>
      </w:pPr>
      <w:rPr>
        <w:b/>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1">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3FE5EB8"/>
    <w:multiLevelType w:val="hybridMultilevel"/>
    <w:tmpl w:val="27B48C4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2D2884"/>
    <w:multiLevelType w:val="hybridMultilevel"/>
    <w:tmpl w:val="245E7FCC"/>
    <w:lvl w:ilvl="0" w:tplc="71BCA764">
      <w:start w:val="1"/>
      <w:numFmt w:val="decimal"/>
      <w:lvlText w:val="%1."/>
      <w:lvlJc w:val="left"/>
      <w:pPr>
        <w:ind w:left="288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6E9944C3"/>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7351EF"/>
    <w:multiLevelType w:val="hybridMultilevel"/>
    <w:tmpl w:val="107819B8"/>
    <w:lvl w:ilvl="0" w:tplc="71BCA764">
      <w:start w:val="1"/>
      <w:numFmt w:val="decimal"/>
      <w:lvlText w:val="%1."/>
      <w:lvlJc w:val="left"/>
      <w:pPr>
        <w:ind w:left="2138" w:hanging="360"/>
      </w:pPr>
      <w:rPr>
        <w:i w:val="0"/>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26">
    <w:nsid w:val="75952F30"/>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BF0494"/>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195435"/>
    <w:multiLevelType w:val="hybridMultilevel"/>
    <w:tmpl w:val="55869064"/>
    <w:lvl w:ilvl="0" w:tplc="D52A4568">
      <w:start w:val="1"/>
      <w:numFmt w:val="decimal"/>
      <w:lvlText w:val="%1."/>
      <w:lvlJc w:val="left"/>
      <w:pPr>
        <w:ind w:left="504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4"/>
  </w:num>
  <w:num w:numId="10">
    <w:abstractNumId w:val="20"/>
  </w:num>
  <w:num w:numId="11">
    <w:abstractNumId w:val="15"/>
  </w:num>
  <w:num w:numId="12">
    <w:abstractNumId w:val="9"/>
  </w:num>
  <w:num w:numId="13">
    <w:abstractNumId w:val="16"/>
  </w:num>
  <w:num w:numId="14">
    <w:abstractNumId w:val="17"/>
  </w:num>
  <w:num w:numId="15">
    <w:abstractNumId w:val="11"/>
  </w:num>
  <w:num w:numId="16">
    <w:abstractNumId w:val="12"/>
  </w:num>
  <w:num w:numId="17">
    <w:abstractNumId w:val="22"/>
  </w:num>
  <w:num w:numId="18">
    <w:abstractNumId w:val="19"/>
  </w:num>
  <w:num w:numId="19">
    <w:abstractNumId w:val="26"/>
  </w:num>
  <w:num w:numId="20">
    <w:abstractNumId w:val="14"/>
  </w:num>
  <w:num w:numId="21">
    <w:abstractNumId w:val="13"/>
  </w:num>
  <w:num w:numId="22">
    <w:abstractNumId w:val="0"/>
  </w:num>
  <w:num w:numId="23">
    <w:abstractNumId w:val="1"/>
  </w:num>
  <w:num w:numId="24">
    <w:abstractNumId w:val="28"/>
  </w:num>
  <w:num w:numId="25">
    <w:abstractNumId w:val="24"/>
  </w:num>
  <w:num w:numId="26">
    <w:abstractNumId w:val="6"/>
  </w:num>
  <w:num w:numId="27">
    <w:abstractNumId w:val="5"/>
  </w:num>
  <w:num w:numId="28">
    <w:abstractNumId w:val="23"/>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1"/>
    <w:rsid w:val="00005C3B"/>
    <w:rsid w:val="00010226"/>
    <w:rsid w:val="00010FB0"/>
    <w:rsid w:val="00014289"/>
    <w:rsid w:val="00016191"/>
    <w:rsid w:val="00017AD6"/>
    <w:rsid w:val="000205AC"/>
    <w:rsid w:val="00035149"/>
    <w:rsid w:val="0004010B"/>
    <w:rsid w:val="00043F00"/>
    <w:rsid w:val="00045F17"/>
    <w:rsid w:val="00047269"/>
    <w:rsid w:val="00063E3C"/>
    <w:rsid w:val="00065FFD"/>
    <w:rsid w:val="000719A4"/>
    <w:rsid w:val="00073E13"/>
    <w:rsid w:val="0008188C"/>
    <w:rsid w:val="00094A32"/>
    <w:rsid w:val="000951A5"/>
    <w:rsid w:val="00096CC8"/>
    <w:rsid w:val="00096D19"/>
    <w:rsid w:val="000A0342"/>
    <w:rsid w:val="000B3065"/>
    <w:rsid w:val="000B316A"/>
    <w:rsid w:val="000B398F"/>
    <w:rsid w:val="000B61CF"/>
    <w:rsid w:val="000D0F0E"/>
    <w:rsid w:val="000D3879"/>
    <w:rsid w:val="000D4C2C"/>
    <w:rsid w:val="000F00E0"/>
    <w:rsid w:val="000F095D"/>
    <w:rsid w:val="000F1A7C"/>
    <w:rsid w:val="0010097D"/>
    <w:rsid w:val="00101232"/>
    <w:rsid w:val="00102153"/>
    <w:rsid w:val="00104220"/>
    <w:rsid w:val="00113F6D"/>
    <w:rsid w:val="0011434A"/>
    <w:rsid w:val="00122A75"/>
    <w:rsid w:val="00126567"/>
    <w:rsid w:val="00133CE7"/>
    <w:rsid w:val="001362D7"/>
    <w:rsid w:val="001369CA"/>
    <w:rsid w:val="00136A3D"/>
    <w:rsid w:val="00136EDC"/>
    <w:rsid w:val="00141F7E"/>
    <w:rsid w:val="00146C92"/>
    <w:rsid w:val="001517BD"/>
    <w:rsid w:val="00155D07"/>
    <w:rsid w:val="00155FB3"/>
    <w:rsid w:val="00160E30"/>
    <w:rsid w:val="00162BD2"/>
    <w:rsid w:val="00164C90"/>
    <w:rsid w:val="00165C80"/>
    <w:rsid w:val="00171AAD"/>
    <w:rsid w:val="001735A7"/>
    <w:rsid w:val="001859C1"/>
    <w:rsid w:val="00187EE7"/>
    <w:rsid w:val="00191BEF"/>
    <w:rsid w:val="001921B7"/>
    <w:rsid w:val="001B475B"/>
    <w:rsid w:val="001C510E"/>
    <w:rsid w:val="001D221F"/>
    <w:rsid w:val="001E1C89"/>
    <w:rsid w:val="001E35BA"/>
    <w:rsid w:val="001F06EF"/>
    <w:rsid w:val="001F1FFC"/>
    <w:rsid w:val="001F3986"/>
    <w:rsid w:val="00201075"/>
    <w:rsid w:val="002045CB"/>
    <w:rsid w:val="002049B3"/>
    <w:rsid w:val="00205583"/>
    <w:rsid w:val="00213D56"/>
    <w:rsid w:val="00226D4A"/>
    <w:rsid w:val="00237232"/>
    <w:rsid w:val="00241D46"/>
    <w:rsid w:val="00247084"/>
    <w:rsid w:val="00247B1B"/>
    <w:rsid w:val="002509A8"/>
    <w:rsid w:val="00251F34"/>
    <w:rsid w:val="0026641E"/>
    <w:rsid w:val="00271CF5"/>
    <w:rsid w:val="002759D8"/>
    <w:rsid w:val="002859AD"/>
    <w:rsid w:val="00292673"/>
    <w:rsid w:val="0029421F"/>
    <w:rsid w:val="002A1F81"/>
    <w:rsid w:val="002A35EB"/>
    <w:rsid w:val="002C03B3"/>
    <w:rsid w:val="002D0D39"/>
    <w:rsid w:val="002D5571"/>
    <w:rsid w:val="002D6B08"/>
    <w:rsid w:val="002E32C7"/>
    <w:rsid w:val="002F07BD"/>
    <w:rsid w:val="002F1E83"/>
    <w:rsid w:val="002F548B"/>
    <w:rsid w:val="00305A57"/>
    <w:rsid w:val="003071BB"/>
    <w:rsid w:val="00310C35"/>
    <w:rsid w:val="003113F3"/>
    <w:rsid w:val="00314476"/>
    <w:rsid w:val="00316B6E"/>
    <w:rsid w:val="00317041"/>
    <w:rsid w:val="00320AD0"/>
    <w:rsid w:val="00337CFC"/>
    <w:rsid w:val="00341753"/>
    <w:rsid w:val="00342A8B"/>
    <w:rsid w:val="00354CF0"/>
    <w:rsid w:val="003550AB"/>
    <w:rsid w:val="00357610"/>
    <w:rsid w:val="00357794"/>
    <w:rsid w:val="00384AAA"/>
    <w:rsid w:val="00387D2B"/>
    <w:rsid w:val="00391C4F"/>
    <w:rsid w:val="003A018B"/>
    <w:rsid w:val="003A2389"/>
    <w:rsid w:val="003B01EB"/>
    <w:rsid w:val="003B0AEA"/>
    <w:rsid w:val="003B787B"/>
    <w:rsid w:val="003C0856"/>
    <w:rsid w:val="003C2C2D"/>
    <w:rsid w:val="003C2E75"/>
    <w:rsid w:val="003C3755"/>
    <w:rsid w:val="003D25B3"/>
    <w:rsid w:val="003D3EA0"/>
    <w:rsid w:val="003E09BD"/>
    <w:rsid w:val="003E1E70"/>
    <w:rsid w:val="003E2807"/>
    <w:rsid w:val="003E77F1"/>
    <w:rsid w:val="003F60BD"/>
    <w:rsid w:val="00412A02"/>
    <w:rsid w:val="00421DD4"/>
    <w:rsid w:val="00426042"/>
    <w:rsid w:val="004522A7"/>
    <w:rsid w:val="00454412"/>
    <w:rsid w:val="00455B1E"/>
    <w:rsid w:val="00456A8A"/>
    <w:rsid w:val="00457D89"/>
    <w:rsid w:val="0046106D"/>
    <w:rsid w:val="00470241"/>
    <w:rsid w:val="004718FD"/>
    <w:rsid w:val="00477642"/>
    <w:rsid w:val="004822C3"/>
    <w:rsid w:val="00482A2E"/>
    <w:rsid w:val="00485BA2"/>
    <w:rsid w:val="004863CD"/>
    <w:rsid w:val="0048750C"/>
    <w:rsid w:val="00487AE7"/>
    <w:rsid w:val="00487FF6"/>
    <w:rsid w:val="00496EA3"/>
    <w:rsid w:val="00497516"/>
    <w:rsid w:val="00497C16"/>
    <w:rsid w:val="004A08DF"/>
    <w:rsid w:val="004A48FE"/>
    <w:rsid w:val="004B2167"/>
    <w:rsid w:val="004B7966"/>
    <w:rsid w:val="004C1066"/>
    <w:rsid w:val="004C3045"/>
    <w:rsid w:val="004C3A43"/>
    <w:rsid w:val="004E4058"/>
    <w:rsid w:val="004F0195"/>
    <w:rsid w:val="004F5858"/>
    <w:rsid w:val="004F6DA0"/>
    <w:rsid w:val="004F708F"/>
    <w:rsid w:val="004F75CB"/>
    <w:rsid w:val="00501D23"/>
    <w:rsid w:val="005020C1"/>
    <w:rsid w:val="00512CB8"/>
    <w:rsid w:val="00514246"/>
    <w:rsid w:val="005145B8"/>
    <w:rsid w:val="0052360A"/>
    <w:rsid w:val="00523AC8"/>
    <w:rsid w:val="005352E1"/>
    <w:rsid w:val="00537B8E"/>
    <w:rsid w:val="00546CE6"/>
    <w:rsid w:val="00553094"/>
    <w:rsid w:val="00554F6C"/>
    <w:rsid w:val="00556A78"/>
    <w:rsid w:val="005605A7"/>
    <w:rsid w:val="005620AF"/>
    <w:rsid w:val="00564E82"/>
    <w:rsid w:val="00564EC8"/>
    <w:rsid w:val="00567C99"/>
    <w:rsid w:val="005704D4"/>
    <w:rsid w:val="00571704"/>
    <w:rsid w:val="00575D79"/>
    <w:rsid w:val="0057712C"/>
    <w:rsid w:val="005851D5"/>
    <w:rsid w:val="00585877"/>
    <w:rsid w:val="0059335C"/>
    <w:rsid w:val="005A21F8"/>
    <w:rsid w:val="005B5B88"/>
    <w:rsid w:val="005B701F"/>
    <w:rsid w:val="005C5EF4"/>
    <w:rsid w:val="005C6C93"/>
    <w:rsid w:val="005D25DF"/>
    <w:rsid w:val="005D5C00"/>
    <w:rsid w:val="005E1076"/>
    <w:rsid w:val="005E59AE"/>
    <w:rsid w:val="005E66F8"/>
    <w:rsid w:val="005E698B"/>
    <w:rsid w:val="005F152E"/>
    <w:rsid w:val="005F201B"/>
    <w:rsid w:val="005F4EF2"/>
    <w:rsid w:val="005F548F"/>
    <w:rsid w:val="005F632C"/>
    <w:rsid w:val="005F7B36"/>
    <w:rsid w:val="00601AE8"/>
    <w:rsid w:val="00605EAB"/>
    <w:rsid w:val="0060651A"/>
    <w:rsid w:val="00607755"/>
    <w:rsid w:val="00614D4B"/>
    <w:rsid w:val="00615CCA"/>
    <w:rsid w:val="00624328"/>
    <w:rsid w:val="00631E58"/>
    <w:rsid w:val="00643A12"/>
    <w:rsid w:val="00645A5F"/>
    <w:rsid w:val="00647660"/>
    <w:rsid w:val="006520ED"/>
    <w:rsid w:val="00652E83"/>
    <w:rsid w:val="0065468B"/>
    <w:rsid w:val="00654FAD"/>
    <w:rsid w:val="00657EBA"/>
    <w:rsid w:val="00662AE7"/>
    <w:rsid w:val="006637F7"/>
    <w:rsid w:val="0066415E"/>
    <w:rsid w:val="00666ABF"/>
    <w:rsid w:val="006701EE"/>
    <w:rsid w:val="006709EC"/>
    <w:rsid w:val="00677E19"/>
    <w:rsid w:val="0068561C"/>
    <w:rsid w:val="00687787"/>
    <w:rsid w:val="006929A3"/>
    <w:rsid w:val="00695A38"/>
    <w:rsid w:val="006A0BE5"/>
    <w:rsid w:val="006B279B"/>
    <w:rsid w:val="006B5876"/>
    <w:rsid w:val="006C7E81"/>
    <w:rsid w:val="006D565D"/>
    <w:rsid w:val="006E4645"/>
    <w:rsid w:val="006E576F"/>
    <w:rsid w:val="006F7C96"/>
    <w:rsid w:val="00702CEE"/>
    <w:rsid w:val="007051D8"/>
    <w:rsid w:val="007118D1"/>
    <w:rsid w:val="0071192E"/>
    <w:rsid w:val="0071244C"/>
    <w:rsid w:val="00721B8C"/>
    <w:rsid w:val="00730250"/>
    <w:rsid w:val="0073089C"/>
    <w:rsid w:val="0074090B"/>
    <w:rsid w:val="00745F74"/>
    <w:rsid w:val="00755142"/>
    <w:rsid w:val="0077293A"/>
    <w:rsid w:val="00784A6C"/>
    <w:rsid w:val="00787F35"/>
    <w:rsid w:val="00794D07"/>
    <w:rsid w:val="007A581C"/>
    <w:rsid w:val="007A7106"/>
    <w:rsid w:val="007B1D63"/>
    <w:rsid w:val="007B50AF"/>
    <w:rsid w:val="007B5BB0"/>
    <w:rsid w:val="007C1F48"/>
    <w:rsid w:val="007D1558"/>
    <w:rsid w:val="007D2464"/>
    <w:rsid w:val="007E1372"/>
    <w:rsid w:val="007E2B3D"/>
    <w:rsid w:val="007E3522"/>
    <w:rsid w:val="007E503E"/>
    <w:rsid w:val="007E5130"/>
    <w:rsid w:val="007E7781"/>
    <w:rsid w:val="00802BD5"/>
    <w:rsid w:val="00817A82"/>
    <w:rsid w:val="008279F3"/>
    <w:rsid w:val="00831A60"/>
    <w:rsid w:val="00833277"/>
    <w:rsid w:val="00844163"/>
    <w:rsid w:val="00864F68"/>
    <w:rsid w:val="00865380"/>
    <w:rsid w:val="00870BE2"/>
    <w:rsid w:val="00871010"/>
    <w:rsid w:val="00880E65"/>
    <w:rsid w:val="0088228E"/>
    <w:rsid w:val="008A2D33"/>
    <w:rsid w:val="008B69D6"/>
    <w:rsid w:val="008C0F48"/>
    <w:rsid w:val="008C1B7B"/>
    <w:rsid w:val="008D0467"/>
    <w:rsid w:val="008D44FA"/>
    <w:rsid w:val="008D7101"/>
    <w:rsid w:val="008F0658"/>
    <w:rsid w:val="008F7143"/>
    <w:rsid w:val="00901AE0"/>
    <w:rsid w:val="009042C4"/>
    <w:rsid w:val="0090445B"/>
    <w:rsid w:val="009050C9"/>
    <w:rsid w:val="00915580"/>
    <w:rsid w:val="00921C02"/>
    <w:rsid w:val="00932A7B"/>
    <w:rsid w:val="00936BB0"/>
    <w:rsid w:val="009426A8"/>
    <w:rsid w:val="00954D63"/>
    <w:rsid w:val="00955248"/>
    <w:rsid w:val="009557CE"/>
    <w:rsid w:val="00955EE9"/>
    <w:rsid w:val="009604A3"/>
    <w:rsid w:val="00981EC7"/>
    <w:rsid w:val="00992076"/>
    <w:rsid w:val="00995865"/>
    <w:rsid w:val="00995CA4"/>
    <w:rsid w:val="00996F55"/>
    <w:rsid w:val="00997ED8"/>
    <w:rsid w:val="009A0C4C"/>
    <w:rsid w:val="009A226B"/>
    <w:rsid w:val="009B617B"/>
    <w:rsid w:val="009C0110"/>
    <w:rsid w:val="009D0142"/>
    <w:rsid w:val="009D2EA3"/>
    <w:rsid w:val="009D6F17"/>
    <w:rsid w:val="009E645F"/>
    <w:rsid w:val="009F0251"/>
    <w:rsid w:val="009F2719"/>
    <w:rsid w:val="009F40AC"/>
    <w:rsid w:val="00A00E05"/>
    <w:rsid w:val="00A01EAC"/>
    <w:rsid w:val="00A0286B"/>
    <w:rsid w:val="00A0297E"/>
    <w:rsid w:val="00A029C1"/>
    <w:rsid w:val="00A20177"/>
    <w:rsid w:val="00A21F4D"/>
    <w:rsid w:val="00A22125"/>
    <w:rsid w:val="00A221A4"/>
    <w:rsid w:val="00A232BF"/>
    <w:rsid w:val="00A37A21"/>
    <w:rsid w:val="00A4549C"/>
    <w:rsid w:val="00A50558"/>
    <w:rsid w:val="00A534C7"/>
    <w:rsid w:val="00A5486B"/>
    <w:rsid w:val="00A5763C"/>
    <w:rsid w:val="00A609DE"/>
    <w:rsid w:val="00A60BFB"/>
    <w:rsid w:val="00A62CB6"/>
    <w:rsid w:val="00A64DCF"/>
    <w:rsid w:val="00A675BA"/>
    <w:rsid w:val="00A73EFD"/>
    <w:rsid w:val="00A74BC1"/>
    <w:rsid w:val="00A81839"/>
    <w:rsid w:val="00A81E8A"/>
    <w:rsid w:val="00A822D8"/>
    <w:rsid w:val="00A827A0"/>
    <w:rsid w:val="00A82E3B"/>
    <w:rsid w:val="00A83462"/>
    <w:rsid w:val="00A862C6"/>
    <w:rsid w:val="00A87E60"/>
    <w:rsid w:val="00A9698F"/>
    <w:rsid w:val="00AA337F"/>
    <w:rsid w:val="00AA55AA"/>
    <w:rsid w:val="00AB37F0"/>
    <w:rsid w:val="00AE2B46"/>
    <w:rsid w:val="00AF0E62"/>
    <w:rsid w:val="00AF1E16"/>
    <w:rsid w:val="00AF28DC"/>
    <w:rsid w:val="00B01CFF"/>
    <w:rsid w:val="00B0532B"/>
    <w:rsid w:val="00B05548"/>
    <w:rsid w:val="00B0564F"/>
    <w:rsid w:val="00B07D05"/>
    <w:rsid w:val="00B10C05"/>
    <w:rsid w:val="00B15143"/>
    <w:rsid w:val="00B157E6"/>
    <w:rsid w:val="00B15EC1"/>
    <w:rsid w:val="00B26D97"/>
    <w:rsid w:val="00B31CC4"/>
    <w:rsid w:val="00B33E13"/>
    <w:rsid w:val="00B35224"/>
    <w:rsid w:val="00B43C78"/>
    <w:rsid w:val="00B47C1E"/>
    <w:rsid w:val="00B51D9B"/>
    <w:rsid w:val="00B52FB5"/>
    <w:rsid w:val="00B53D50"/>
    <w:rsid w:val="00B64B6F"/>
    <w:rsid w:val="00B64CCB"/>
    <w:rsid w:val="00B80F9E"/>
    <w:rsid w:val="00BA00EE"/>
    <w:rsid w:val="00BA2335"/>
    <w:rsid w:val="00BA6210"/>
    <w:rsid w:val="00BB44AC"/>
    <w:rsid w:val="00BC0019"/>
    <w:rsid w:val="00BD485A"/>
    <w:rsid w:val="00BD4898"/>
    <w:rsid w:val="00BD530A"/>
    <w:rsid w:val="00BD6995"/>
    <w:rsid w:val="00BE0EEB"/>
    <w:rsid w:val="00BF2B66"/>
    <w:rsid w:val="00BF6548"/>
    <w:rsid w:val="00BF78B5"/>
    <w:rsid w:val="00C07F13"/>
    <w:rsid w:val="00C10454"/>
    <w:rsid w:val="00C12030"/>
    <w:rsid w:val="00C12A5D"/>
    <w:rsid w:val="00C20FE3"/>
    <w:rsid w:val="00C35123"/>
    <w:rsid w:val="00C3598D"/>
    <w:rsid w:val="00C41151"/>
    <w:rsid w:val="00C42693"/>
    <w:rsid w:val="00C61AC0"/>
    <w:rsid w:val="00C631E0"/>
    <w:rsid w:val="00C7035C"/>
    <w:rsid w:val="00C73FBA"/>
    <w:rsid w:val="00C74022"/>
    <w:rsid w:val="00C77B5B"/>
    <w:rsid w:val="00C80327"/>
    <w:rsid w:val="00C8141A"/>
    <w:rsid w:val="00C9221B"/>
    <w:rsid w:val="00C92895"/>
    <w:rsid w:val="00C94DEE"/>
    <w:rsid w:val="00CA372D"/>
    <w:rsid w:val="00CB1CFE"/>
    <w:rsid w:val="00CB74EB"/>
    <w:rsid w:val="00CC3B6D"/>
    <w:rsid w:val="00CC74FC"/>
    <w:rsid w:val="00CD1842"/>
    <w:rsid w:val="00CD33AA"/>
    <w:rsid w:val="00CD7F19"/>
    <w:rsid w:val="00CE1C2A"/>
    <w:rsid w:val="00CE794A"/>
    <w:rsid w:val="00CF1C87"/>
    <w:rsid w:val="00CF3CF0"/>
    <w:rsid w:val="00D06FC4"/>
    <w:rsid w:val="00D0766A"/>
    <w:rsid w:val="00D1644F"/>
    <w:rsid w:val="00D33298"/>
    <w:rsid w:val="00D336D8"/>
    <w:rsid w:val="00D348BF"/>
    <w:rsid w:val="00D43BDF"/>
    <w:rsid w:val="00D44A68"/>
    <w:rsid w:val="00D470B2"/>
    <w:rsid w:val="00D47459"/>
    <w:rsid w:val="00D50579"/>
    <w:rsid w:val="00D521F3"/>
    <w:rsid w:val="00D6345F"/>
    <w:rsid w:val="00D66EDB"/>
    <w:rsid w:val="00D81E43"/>
    <w:rsid w:val="00D828ED"/>
    <w:rsid w:val="00D85B24"/>
    <w:rsid w:val="00D9010B"/>
    <w:rsid w:val="00D90640"/>
    <w:rsid w:val="00D909CB"/>
    <w:rsid w:val="00D925BC"/>
    <w:rsid w:val="00DA087C"/>
    <w:rsid w:val="00DA13CC"/>
    <w:rsid w:val="00DA5B2D"/>
    <w:rsid w:val="00DB38D3"/>
    <w:rsid w:val="00DB4289"/>
    <w:rsid w:val="00DB4395"/>
    <w:rsid w:val="00DC2403"/>
    <w:rsid w:val="00DC4872"/>
    <w:rsid w:val="00DC6638"/>
    <w:rsid w:val="00DD25BE"/>
    <w:rsid w:val="00DD5787"/>
    <w:rsid w:val="00DD647C"/>
    <w:rsid w:val="00DE4095"/>
    <w:rsid w:val="00DF0EC3"/>
    <w:rsid w:val="00DF5B63"/>
    <w:rsid w:val="00DF5C67"/>
    <w:rsid w:val="00DF75C5"/>
    <w:rsid w:val="00E04AD8"/>
    <w:rsid w:val="00E1130E"/>
    <w:rsid w:val="00E16756"/>
    <w:rsid w:val="00E23D61"/>
    <w:rsid w:val="00E300F8"/>
    <w:rsid w:val="00E340C2"/>
    <w:rsid w:val="00E4080D"/>
    <w:rsid w:val="00E40E0A"/>
    <w:rsid w:val="00E53AA4"/>
    <w:rsid w:val="00E62414"/>
    <w:rsid w:val="00E6434E"/>
    <w:rsid w:val="00E64D54"/>
    <w:rsid w:val="00E6602E"/>
    <w:rsid w:val="00E71CBE"/>
    <w:rsid w:val="00E743E2"/>
    <w:rsid w:val="00E760B2"/>
    <w:rsid w:val="00E8671B"/>
    <w:rsid w:val="00E87E21"/>
    <w:rsid w:val="00E918AD"/>
    <w:rsid w:val="00E92832"/>
    <w:rsid w:val="00E97294"/>
    <w:rsid w:val="00EA71EC"/>
    <w:rsid w:val="00EB0412"/>
    <w:rsid w:val="00EC1883"/>
    <w:rsid w:val="00EC5585"/>
    <w:rsid w:val="00EC5EFF"/>
    <w:rsid w:val="00EC644B"/>
    <w:rsid w:val="00ED3795"/>
    <w:rsid w:val="00ED3B4E"/>
    <w:rsid w:val="00ED7BDD"/>
    <w:rsid w:val="00EE56A8"/>
    <w:rsid w:val="00EE6554"/>
    <w:rsid w:val="00EF2BDD"/>
    <w:rsid w:val="00EF51DC"/>
    <w:rsid w:val="00EF6C60"/>
    <w:rsid w:val="00F02548"/>
    <w:rsid w:val="00F06D4A"/>
    <w:rsid w:val="00F13FF4"/>
    <w:rsid w:val="00F206A7"/>
    <w:rsid w:val="00F21B69"/>
    <w:rsid w:val="00F2290E"/>
    <w:rsid w:val="00F254DF"/>
    <w:rsid w:val="00F32956"/>
    <w:rsid w:val="00F36125"/>
    <w:rsid w:val="00F36D1A"/>
    <w:rsid w:val="00F377DA"/>
    <w:rsid w:val="00F402CB"/>
    <w:rsid w:val="00F42AE7"/>
    <w:rsid w:val="00F52407"/>
    <w:rsid w:val="00F66814"/>
    <w:rsid w:val="00F66B9C"/>
    <w:rsid w:val="00F81A80"/>
    <w:rsid w:val="00F83459"/>
    <w:rsid w:val="00F91CE5"/>
    <w:rsid w:val="00F923BC"/>
    <w:rsid w:val="00F95EAC"/>
    <w:rsid w:val="00FB0EE1"/>
    <w:rsid w:val="00FB6218"/>
    <w:rsid w:val="00FB7869"/>
    <w:rsid w:val="00FC4252"/>
    <w:rsid w:val="00FC55E6"/>
    <w:rsid w:val="00FC72B9"/>
    <w:rsid w:val="00FD126D"/>
    <w:rsid w:val="00FD1695"/>
    <w:rsid w:val="00FD6873"/>
    <w:rsid w:val="00FE61C7"/>
    <w:rsid w:val="00FF082F"/>
    <w:rsid w:val="00FF08A6"/>
    <w:rsid w:val="00FF5B5F"/>
    <w:rsid w:val="00FF630C"/>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2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2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1860198233">
          <w:marLeft w:val="0"/>
          <w:marRight w:val="0"/>
          <w:marTop w:val="0"/>
          <w:marBottom w:val="0"/>
          <w:divBdr>
            <w:top w:val="none" w:sz="0" w:space="0" w:color="auto"/>
            <w:left w:val="none" w:sz="0" w:space="0" w:color="auto"/>
            <w:bottom w:val="none" w:sz="0" w:space="0" w:color="auto"/>
            <w:right w:val="none" w:sz="0" w:space="0" w:color="auto"/>
          </w:divBdr>
        </w:div>
        <w:div w:id="2013101181">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1681466465">
              <w:marLeft w:val="0"/>
              <w:marRight w:val="0"/>
              <w:marTop w:val="0"/>
              <w:marBottom w:val="0"/>
              <w:divBdr>
                <w:top w:val="none" w:sz="0" w:space="0" w:color="auto"/>
                <w:left w:val="none" w:sz="0" w:space="0" w:color="auto"/>
                <w:bottom w:val="none" w:sz="0" w:space="0" w:color="auto"/>
                <w:right w:val="none" w:sz="0" w:space="0" w:color="auto"/>
              </w:divBdr>
            </w:div>
            <w:div w:id="404642281">
              <w:marLeft w:val="0"/>
              <w:marRight w:val="0"/>
              <w:marTop w:val="0"/>
              <w:marBottom w:val="0"/>
              <w:divBdr>
                <w:top w:val="none" w:sz="0" w:space="0" w:color="auto"/>
                <w:left w:val="none" w:sz="0" w:space="0" w:color="auto"/>
                <w:bottom w:val="none" w:sz="0" w:space="0" w:color="auto"/>
                <w:right w:val="none" w:sz="0" w:space="0" w:color="auto"/>
              </w:divBdr>
              <w:divsChild>
                <w:div w:id="1119184646">
                  <w:marLeft w:val="0"/>
                  <w:marRight w:val="0"/>
                  <w:marTop w:val="0"/>
                  <w:marBottom w:val="0"/>
                  <w:divBdr>
                    <w:top w:val="none" w:sz="0" w:space="0" w:color="auto"/>
                    <w:left w:val="none" w:sz="0" w:space="0" w:color="auto"/>
                    <w:bottom w:val="none" w:sz="0" w:space="0" w:color="auto"/>
                    <w:right w:val="none" w:sz="0" w:space="0" w:color="auto"/>
                  </w:divBdr>
                </w:div>
                <w:div w:id="1975981605">
                  <w:marLeft w:val="0"/>
                  <w:marRight w:val="0"/>
                  <w:marTop w:val="0"/>
                  <w:marBottom w:val="0"/>
                  <w:divBdr>
                    <w:top w:val="none" w:sz="0" w:space="0" w:color="auto"/>
                    <w:left w:val="none" w:sz="0" w:space="0" w:color="auto"/>
                    <w:bottom w:val="none" w:sz="0" w:space="0" w:color="auto"/>
                    <w:right w:val="none" w:sz="0" w:space="0" w:color="auto"/>
                  </w:divBdr>
                </w:div>
                <w:div w:id="20337079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70874060">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1258248776">
              <w:marLeft w:val="0"/>
              <w:marRight w:val="0"/>
              <w:marTop w:val="0"/>
              <w:marBottom w:val="0"/>
              <w:divBdr>
                <w:top w:val="none" w:sz="0" w:space="0" w:color="auto"/>
                <w:left w:val="none" w:sz="0" w:space="0" w:color="auto"/>
                <w:bottom w:val="none" w:sz="0" w:space="0" w:color="auto"/>
                <w:right w:val="none" w:sz="0" w:space="0" w:color="auto"/>
              </w:divBdr>
            </w:div>
            <w:div w:id="300110341">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5213">
      <w:bodyDiv w:val="1"/>
      <w:marLeft w:val="0"/>
      <w:marRight w:val="0"/>
      <w:marTop w:val="0"/>
      <w:marBottom w:val="0"/>
      <w:divBdr>
        <w:top w:val="none" w:sz="0" w:space="0" w:color="auto"/>
        <w:left w:val="none" w:sz="0" w:space="0" w:color="auto"/>
        <w:bottom w:val="none" w:sz="0" w:space="0" w:color="auto"/>
        <w:right w:val="none" w:sz="0" w:space="0" w:color="auto"/>
      </w:divBdr>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330525404">
      <w:bodyDiv w:val="1"/>
      <w:marLeft w:val="0"/>
      <w:marRight w:val="0"/>
      <w:marTop w:val="0"/>
      <w:marBottom w:val="0"/>
      <w:divBdr>
        <w:top w:val="none" w:sz="0" w:space="0" w:color="auto"/>
        <w:left w:val="none" w:sz="0" w:space="0" w:color="auto"/>
        <w:bottom w:val="none" w:sz="0" w:space="0" w:color="auto"/>
        <w:right w:val="none" w:sz="0" w:space="0" w:color="auto"/>
      </w:divBdr>
    </w:div>
    <w:div w:id="1406150717">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113">
      <w:bodyDiv w:val="1"/>
      <w:marLeft w:val="0"/>
      <w:marRight w:val="0"/>
      <w:marTop w:val="0"/>
      <w:marBottom w:val="0"/>
      <w:divBdr>
        <w:top w:val="none" w:sz="0" w:space="0" w:color="auto"/>
        <w:left w:val="none" w:sz="0" w:space="0" w:color="auto"/>
        <w:bottom w:val="none" w:sz="0" w:space="0" w:color="auto"/>
        <w:right w:val="none" w:sz="0" w:space="0" w:color="auto"/>
      </w:divBdr>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32FA-ABDA-400B-826D-4E044028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5636</Words>
  <Characters>31000</Characters>
  <Application>Microsoft Office Word</Application>
  <DocSecurity>4</DocSecurity>
  <Lines>258</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2017-10-19T18:31:00Z</cp:lastPrinted>
  <dcterms:created xsi:type="dcterms:W3CDTF">2017-10-19T19:41:00Z</dcterms:created>
  <dcterms:modified xsi:type="dcterms:W3CDTF">2017-10-19T19:41:00Z</dcterms:modified>
</cp:coreProperties>
</file>