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8E" w:rsidRPr="00944863" w:rsidRDefault="00C33D89" w:rsidP="0010637D">
      <w:pPr>
        <w:spacing w:before="120" w:after="120"/>
        <w:jc w:val="center"/>
        <w:rPr>
          <w:b/>
          <w:caps/>
        </w:rPr>
      </w:pPr>
      <w:r>
        <w:rPr>
          <w:b/>
          <w:caps/>
        </w:rPr>
        <w:t xml:space="preserve">  </w:t>
      </w:r>
      <w:bookmarkStart w:id="0" w:name="_GoBack"/>
      <w:bookmarkEnd w:id="0"/>
    </w:p>
    <w:p w:rsidR="0048708E" w:rsidRPr="00944863" w:rsidRDefault="0048708E" w:rsidP="0010637D">
      <w:pPr>
        <w:spacing w:before="120" w:after="120"/>
        <w:jc w:val="center"/>
        <w:rPr>
          <w:b/>
          <w:caps/>
        </w:rPr>
      </w:pPr>
      <w:r w:rsidRPr="00944863">
        <w:rPr>
          <w:b/>
          <w:caps/>
        </w:rPr>
        <w:t>Resolución deL PresidentE de la</w:t>
      </w:r>
    </w:p>
    <w:p w:rsidR="0048708E" w:rsidRPr="00944863" w:rsidRDefault="0048708E" w:rsidP="0010637D">
      <w:pPr>
        <w:spacing w:before="120" w:after="120"/>
        <w:jc w:val="center"/>
        <w:rPr>
          <w:b/>
          <w:caps/>
        </w:rPr>
      </w:pPr>
      <w:r w:rsidRPr="00944863">
        <w:rPr>
          <w:b/>
          <w:caps/>
        </w:rPr>
        <w:t>Corte Interamericana de Derechos Humanos</w:t>
      </w:r>
    </w:p>
    <w:p w:rsidR="0048708E" w:rsidRPr="00944863" w:rsidRDefault="0048708E" w:rsidP="0010637D">
      <w:pPr>
        <w:spacing w:before="120" w:after="120"/>
        <w:jc w:val="center"/>
        <w:rPr>
          <w:b/>
          <w:caps/>
        </w:rPr>
      </w:pPr>
      <w:r w:rsidRPr="00944863">
        <w:rPr>
          <w:b/>
          <w:caps/>
        </w:rPr>
        <w:t xml:space="preserve">de </w:t>
      </w:r>
      <w:r w:rsidR="00190DC5">
        <w:rPr>
          <w:b/>
          <w:caps/>
        </w:rPr>
        <w:t>31</w:t>
      </w:r>
      <w:r w:rsidRPr="00944863">
        <w:rPr>
          <w:b/>
          <w:caps/>
        </w:rPr>
        <w:t xml:space="preserve"> de </w:t>
      </w:r>
      <w:r w:rsidR="00190DC5">
        <w:rPr>
          <w:b/>
          <w:caps/>
        </w:rPr>
        <w:t>marzo</w:t>
      </w:r>
      <w:r w:rsidRPr="00944863">
        <w:rPr>
          <w:b/>
          <w:caps/>
        </w:rPr>
        <w:t xml:space="preserve"> de 2017</w:t>
      </w:r>
    </w:p>
    <w:p w:rsidR="0048708E" w:rsidRPr="00944863" w:rsidRDefault="0048708E" w:rsidP="0010637D">
      <w:pPr>
        <w:spacing w:before="120" w:after="120"/>
        <w:jc w:val="center"/>
        <w:rPr>
          <w:b/>
          <w:caps/>
        </w:rPr>
      </w:pPr>
    </w:p>
    <w:p w:rsidR="0048708E" w:rsidRPr="00944863" w:rsidRDefault="0048708E" w:rsidP="0010637D">
      <w:pPr>
        <w:spacing w:before="120" w:after="120"/>
        <w:jc w:val="center"/>
        <w:rPr>
          <w:b/>
          <w:caps/>
        </w:rPr>
      </w:pPr>
      <w:r w:rsidRPr="00944863">
        <w:rPr>
          <w:b/>
          <w:caps/>
        </w:rPr>
        <w:t>Solicitud de Opinión Consultiva OC-24</w:t>
      </w: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  <w:r w:rsidRPr="00944863">
        <w:rPr>
          <w:b/>
          <w:caps/>
        </w:rPr>
        <w:t>Vistos:</w:t>
      </w:r>
    </w:p>
    <w:p w:rsidR="0048708E" w:rsidRDefault="0048708E" w:rsidP="0010637D">
      <w:pPr>
        <w:numPr>
          <w:ilvl w:val="0"/>
          <w:numId w:val="1"/>
        </w:numPr>
        <w:spacing w:before="120" w:after="120"/>
        <w:ind w:left="0" w:right="10" w:firstLine="0"/>
        <w:jc w:val="both"/>
      </w:pPr>
      <w:r w:rsidRPr="00944863">
        <w:t xml:space="preserve">La solicitud de opinión consultiva presentada a la Corte Interamericana de Derechos Humanos (en adelante “la Corte Interamericana”, “la Corte” o “el Tribunal”) por </w:t>
      </w:r>
      <w:r w:rsidRPr="00944863">
        <w:rPr>
          <w:rFonts w:cs="Arial"/>
          <w:bCs/>
        </w:rPr>
        <w:t>la República de Costa Rica</w:t>
      </w:r>
      <w:r w:rsidRPr="00944863">
        <w:t xml:space="preserve"> (</w:t>
      </w:r>
      <w:r w:rsidRPr="00944863">
        <w:rPr>
          <w:rFonts w:cs="Verdana"/>
        </w:rPr>
        <w:t>en adelante “el Estado solicitante” o “Costa Rica”</w:t>
      </w:r>
      <w:r w:rsidRPr="00944863">
        <w:t xml:space="preserve">) el </w:t>
      </w:r>
      <w:r w:rsidR="003922C7" w:rsidRPr="00944863">
        <w:rPr>
          <w:lang w:val="es-ES"/>
        </w:rPr>
        <w:t>18</w:t>
      </w:r>
      <w:r w:rsidRPr="00944863">
        <w:rPr>
          <w:lang w:val="es-ES"/>
        </w:rPr>
        <w:t xml:space="preserve"> de </w:t>
      </w:r>
      <w:r w:rsidR="003922C7" w:rsidRPr="00944863">
        <w:rPr>
          <w:lang w:val="es-ES"/>
        </w:rPr>
        <w:t>mayo</w:t>
      </w:r>
      <w:r w:rsidRPr="00944863">
        <w:rPr>
          <w:lang w:val="es-ES"/>
        </w:rPr>
        <w:t xml:space="preserve"> de 2016</w:t>
      </w:r>
      <w:r w:rsidR="00543466">
        <w:rPr>
          <w:lang w:val="es-ES"/>
        </w:rPr>
        <w:t>,</w:t>
      </w:r>
      <w:r w:rsidR="004800D7">
        <w:rPr>
          <w:lang w:val="es-ES"/>
        </w:rPr>
        <w:t xml:space="preserve"> </w:t>
      </w:r>
      <w:r w:rsidR="00543466">
        <w:t xml:space="preserve">a fin de que el Tribunal interprete las obligaciones </w:t>
      </w:r>
      <w:r w:rsidR="00543466">
        <w:rPr>
          <w:rFonts w:eastAsia="Times"/>
          <w:lang w:val="es-CR"/>
        </w:rPr>
        <w:t xml:space="preserve">sobre: a) “la protección que brindan los artículos 11.2, 18 y 24 en relación con el artículo 1 de la CADH al reconocimiento del cambio de nombre de las personas, de acuerdo con la identidad de género de cada una”; b) “la compatibilidad de la práctica que consiste en aplicar el artículo 54 del Código Civil de la República de Costa Rica, Ley N° 63 del 28 de setiembre de 1887, a las personas que deseen optar par un cambio de nombre a partir de su identidad de género, con los artículos 11.2, 18 y 24, en relación con el artículo 1 de la Convención”, y c) “la protección que brindan los artículos 11.2 y 24 en relación con el artículo 1 de la CADH al reconocimiento de los derechos patrimoniales derivados de un vínculo entre personas del mismo sexo”. </w:t>
      </w:r>
      <w:r w:rsidR="00215F53" w:rsidRPr="00944863">
        <w:t>E</w:t>
      </w:r>
      <w:r w:rsidRPr="00944863">
        <w:t>l Estado designó</w:t>
      </w:r>
      <w:r w:rsidR="003922C7" w:rsidRPr="00944863">
        <w:t xml:space="preserve"> como sus agentes</w:t>
      </w:r>
      <w:r w:rsidRPr="00944863">
        <w:t xml:space="preserve"> a la señora</w:t>
      </w:r>
      <w:r w:rsidR="003922C7" w:rsidRPr="00944863">
        <w:t xml:space="preserve"> Ana Helena Chacón Echeverría, Vicepresidenta de la República, el señor Marvin Carvajal Pérez, Director Jurídico de la Presidencia de la República</w:t>
      </w:r>
      <w:r w:rsidR="00215F53" w:rsidRPr="00944863">
        <w:t>,</w:t>
      </w:r>
      <w:r w:rsidR="003922C7" w:rsidRPr="00944863">
        <w:t xml:space="preserve"> y</w:t>
      </w:r>
      <w:r w:rsidR="00215F53" w:rsidRPr="00944863">
        <w:t xml:space="preserve"> la señora</w:t>
      </w:r>
      <w:r w:rsidR="003922C7" w:rsidRPr="00944863">
        <w:t xml:space="preserve"> Eugenia Gutiérrez Ruiz, Directora Jurídica Adjunta del Ministerio de Relaciones Exteriores y Culto</w:t>
      </w:r>
      <w:r w:rsidRPr="00944863">
        <w:t xml:space="preserve">. </w:t>
      </w:r>
    </w:p>
    <w:p w:rsidR="0048708E" w:rsidRPr="00944863" w:rsidRDefault="0048708E" w:rsidP="0010637D">
      <w:pPr>
        <w:numPr>
          <w:ilvl w:val="0"/>
          <w:numId w:val="1"/>
        </w:numPr>
        <w:spacing w:before="120" w:after="120"/>
        <w:ind w:left="0" w:right="10" w:firstLine="0"/>
        <w:jc w:val="both"/>
      </w:pPr>
      <w:r w:rsidRPr="00944863">
        <w:t xml:space="preserve">Las notas de la Secretaría de la Corte (en adelante “la Secretaría”) de </w:t>
      </w:r>
      <w:r w:rsidR="00215F53" w:rsidRPr="00944863">
        <w:t>12 de agosto de 2016</w:t>
      </w:r>
      <w:r w:rsidRPr="00944863">
        <w:t xml:space="preserve">, mediante las cuales, de conformidad con los artículos 73.1 y 73.2 del Reglamento de la Corte (en adelante “el Reglamento”), </w:t>
      </w:r>
      <w:r w:rsidR="004F1B18" w:rsidRPr="00944863">
        <w:t xml:space="preserve">se </w:t>
      </w:r>
      <w:r w:rsidRPr="00944863">
        <w:t xml:space="preserve">comunicó a todos los Estados miembros de la Organización de los Estados Americanos (en adelante “la OEA”), al Secretario General de la OEA, al Presidente del Consejo Permanente de la OEA y a la Comisión Interamericana de Derechos Humanos, que el Presidente de la Corte (en adelante “el Presidente”), en consulta con la Corte, había fijado el </w:t>
      </w:r>
      <w:r w:rsidR="00215F53" w:rsidRPr="00944863">
        <w:rPr>
          <w:lang w:val="es-CR"/>
        </w:rPr>
        <w:t>9</w:t>
      </w:r>
      <w:r w:rsidRPr="00944863">
        <w:rPr>
          <w:lang w:val="es-CR"/>
        </w:rPr>
        <w:t xml:space="preserve"> de diciembre de 2016 como plazo límite para la presentación de observaciones escritas respecto de la solicitud mencionada. Asimismo, las notas de la Secretaría de </w:t>
      </w:r>
      <w:r w:rsidR="00941E3D" w:rsidRPr="00944863">
        <w:t>5 de diciembre de 2016</w:t>
      </w:r>
      <w:r w:rsidRPr="00944863">
        <w:t xml:space="preserve">, mediante las cuales dicho plazo fue prorrogado hasta el 14 de febrero de 2017, lo que se procedió a notificar a todos aquellos mencionados precedentemente. </w:t>
      </w:r>
    </w:p>
    <w:p w:rsidR="0048708E" w:rsidRPr="00944863" w:rsidRDefault="0048708E" w:rsidP="0010637D">
      <w:pPr>
        <w:numPr>
          <w:ilvl w:val="0"/>
          <w:numId w:val="1"/>
        </w:numPr>
        <w:spacing w:before="120" w:after="120"/>
        <w:ind w:left="0" w:right="10" w:firstLine="0"/>
        <w:jc w:val="both"/>
      </w:pPr>
      <w:r w:rsidRPr="00944863">
        <w:t xml:space="preserve">Las notas de la Secretaría de </w:t>
      </w:r>
      <w:r w:rsidR="00215F53" w:rsidRPr="00944863">
        <w:t>16 de agosto de 2016</w:t>
      </w:r>
      <w:r w:rsidRPr="00944863">
        <w:t xml:space="preserve"> y la publicación en el sitio web de la Corte, mediante las cuales, de conformidad con el artículo 73.2 y 73.3 del Reglamento del Tribunal, el Presidente invitó a todos los interesados a presentar su opinión escrita sobre los puntos sometidos a consulta y se informó que se fijó el </w:t>
      </w:r>
      <w:r w:rsidR="00215F53" w:rsidRPr="00944863">
        <w:t>9</w:t>
      </w:r>
      <w:r w:rsidRPr="00944863">
        <w:t xml:space="preserve"> de diciembre de 2016 como plazo límite para tal efecto</w:t>
      </w:r>
      <w:r w:rsidR="004F1B18" w:rsidRPr="00944863">
        <w:t>. A</w:t>
      </w:r>
      <w:r w:rsidRPr="00944863">
        <w:t xml:space="preserve">sí como </w:t>
      </w:r>
      <w:r w:rsidRPr="00944863">
        <w:rPr>
          <w:lang w:val="es-CR"/>
        </w:rPr>
        <w:t xml:space="preserve">las notas de la Secretaría de </w:t>
      </w:r>
      <w:r w:rsidR="00941E3D" w:rsidRPr="00944863">
        <w:t>6</w:t>
      </w:r>
      <w:r w:rsidRPr="00944863">
        <w:t xml:space="preserve"> de </w:t>
      </w:r>
      <w:r w:rsidR="00941E3D" w:rsidRPr="00944863">
        <w:t>diciembre</w:t>
      </w:r>
      <w:r w:rsidRPr="00944863">
        <w:t xml:space="preserve"> de 2016 y la publicación en el sitio web de la Corte, mediante las cuales, se informó que dicho plazo fue prorrogado hasta el 14 de febrero de 2017. </w:t>
      </w:r>
    </w:p>
    <w:p w:rsidR="0048708E" w:rsidRPr="00944863" w:rsidRDefault="0048708E" w:rsidP="0010637D">
      <w:pPr>
        <w:numPr>
          <w:ilvl w:val="0"/>
          <w:numId w:val="1"/>
        </w:numPr>
        <w:spacing w:before="120" w:after="120"/>
        <w:ind w:left="0" w:right="10" w:firstLine="0"/>
        <w:jc w:val="both"/>
        <w:rPr>
          <w:b/>
        </w:rPr>
      </w:pPr>
      <w:r w:rsidRPr="00944863">
        <w:t>Los escritos mediante los cuales los siguientes Estados presentaron sus observaciones escritas:</w:t>
      </w:r>
    </w:p>
    <w:p w:rsidR="0048708E" w:rsidRPr="00944863" w:rsidRDefault="0048708E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rFonts w:eastAsia="Calibri"/>
          <w:lang w:val="es-CR"/>
        </w:rPr>
        <w:lastRenderedPageBreak/>
        <w:t>Argentina</w:t>
      </w:r>
    </w:p>
    <w:p w:rsidR="0048708E" w:rsidRPr="00944863" w:rsidRDefault="0048708E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bCs/>
        </w:rPr>
        <w:t>Bolivia</w:t>
      </w:r>
    </w:p>
    <w:p w:rsidR="009C71E6" w:rsidRPr="00944863" w:rsidRDefault="009C71E6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bCs/>
        </w:rPr>
        <w:t>Brasil</w:t>
      </w:r>
    </w:p>
    <w:p w:rsidR="003710B7" w:rsidRPr="00944863" w:rsidRDefault="003710B7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</w:pPr>
      <w:r w:rsidRPr="00944863">
        <w:t>Colombia</w:t>
      </w:r>
    </w:p>
    <w:p w:rsidR="009C71E6" w:rsidRPr="00944863" w:rsidRDefault="009C71E6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</w:pPr>
      <w:r w:rsidRPr="00944863">
        <w:t>Guatemala</w:t>
      </w:r>
    </w:p>
    <w:p w:rsidR="0048708E" w:rsidRPr="00944863" w:rsidRDefault="0048708E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bCs/>
        </w:rPr>
        <w:t>Honduras</w:t>
      </w:r>
    </w:p>
    <w:p w:rsidR="00A77717" w:rsidRPr="00944863" w:rsidRDefault="00A77717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rFonts w:eastAsia="Calibri"/>
          <w:lang w:val="es-CR"/>
        </w:rPr>
        <w:t>México</w:t>
      </w:r>
    </w:p>
    <w:p w:rsidR="0048708E" w:rsidRPr="00944863" w:rsidRDefault="0048708E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rFonts w:eastAsia="Calibri"/>
          <w:lang w:val="es-CR"/>
        </w:rPr>
        <w:t>Panamá</w:t>
      </w:r>
    </w:p>
    <w:p w:rsidR="00A77717" w:rsidRPr="00944863" w:rsidRDefault="009C71E6" w:rsidP="0010637D">
      <w:pPr>
        <w:pStyle w:val="ListParagraph"/>
        <w:numPr>
          <w:ilvl w:val="0"/>
          <w:numId w:val="3"/>
        </w:numPr>
        <w:spacing w:before="120" w:after="120"/>
        <w:ind w:right="10"/>
        <w:jc w:val="both"/>
        <w:rPr>
          <w:b/>
        </w:rPr>
      </w:pPr>
      <w:r w:rsidRPr="00944863">
        <w:rPr>
          <w:rFonts w:eastAsia="Calibri"/>
          <w:lang w:val="es-CR"/>
        </w:rPr>
        <w:t>Uruguay</w:t>
      </w:r>
    </w:p>
    <w:p w:rsidR="0025167D" w:rsidRPr="00944863" w:rsidRDefault="00915697" w:rsidP="0025167D">
      <w:pPr>
        <w:numPr>
          <w:ilvl w:val="0"/>
          <w:numId w:val="1"/>
        </w:numPr>
        <w:spacing w:before="120" w:after="120"/>
        <w:ind w:left="0" w:right="10" w:firstLine="0"/>
        <w:jc w:val="both"/>
        <w:rPr>
          <w:rFonts w:eastAsia="Calibri"/>
          <w:lang w:val="es-CR"/>
        </w:rPr>
      </w:pPr>
      <w:r w:rsidRPr="00944863">
        <w:t>El</w:t>
      </w:r>
      <w:r w:rsidR="0048708E" w:rsidRPr="00944863">
        <w:t xml:space="preserve"> escrito mediante </w:t>
      </w:r>
      <w:r w:rsidRPr="00944863">
        <w:t>el</w:t>
      </w:r>
      <w:r w:rsidR="0048708E" w:rsidRPr="00944863">
        <w:t xml:space="preserve"> cual </w:t>
      </w:r>
      <w:r w:rsidR="0048708E" w:rsidRPr="00944863">
        <w:rPr>
          <w:rFonts w:cs="Vrinda"/>
          <w:lang w:val="es-CR"/>
        </w:rPr>
        <w:t xml:space="preserve">la </w:t>
      </w:r>
      <w:r w:rsidR="0048708E" w:rsidRPr="00944863">
        <w:rPr>
          <w:lang w:val="es-CR"/>
        </w:rPr>
        <w:t xml:space="preserve">Comisión Interamericana de Derechos </w:t>
      </w:r>
      <w:r w:rsidR="0048708E" w:rsidRPr="00944863">
        <w:rPr>
          <w:rStyle w:val="Strong"/>
          <w:b w:val="0"/>
        </w:rPr>
        <w:t xml:space="preserve">Humanos presentó sus observaciones escritas y designó como sus delegados a los Comisionados </w:t>
      </w:r>
      <w:r w:rsidR="0025167D" w:rsidRPr="00944863">
        <w:rPr>
          <w:rStyle w:val="Strong"/>
          <w:b w:val="0"/>
        </w:rPr>
        <w:t xml:space="preserve">José de Jesús Orozco y Francisco </w:t>
      </w:r>
      <w:proofErr w:type="spellStart"/>
      <w:r w:rsidR="0025167D" w:rsidRPr="00944863">
        <w:rPr>
          <w:rStyle w:val="Strong"/>
          <w:b w:val="0"/>
        </w:rPr>
        <w:t>Eguiguren</w:t>
      </w:r>
      <w:proofErr w:type="spellEnd"/>
      <w:r w:rsidR="0048708E" w:rsidRPr="00944863">
        <w:rPr>
          <w:rStyle w:val="Strong"/>
          <w:b w:val="0"/>
        </w:rPr>
        <w:t>,</w:t>
      </w:r>
      <w:r w:rsidR="0048708E" w:rsidRPr="00944863">
        <w:rPr>
          <w:rFonts w:eastAsia="Calibri"/>
          <w:lang w:val="es-CR"/>
        </w:rPr>
        <w:t xml:space="preserve"> </w:t>
      </w:r>
      <w:r w:rsidRPr="00944863">
        <w:rPr>
          <w:rFonts w:eastAsia="Calibri"/>
          <w:lang w:val="es-CR"/>
        </w:rPr>
        <w:t xml:space="preserve">y como sus asesoras legales a Elizabeth </w:t>
      </w:r>
      <w:proofErr w:type="spellStart"/>
      <w:r w:rsidRPr="00944863">
        <w:rPr>
          <w:rFonts w:eastAsia="Calibri"/>
          <w:lang w:val="es-CR"/>
        </w:rPr>
        <w:t>Abi-Mershed</w:t>
      </w:r>
      <w:proofErr w:type="spellEnd"/>
      <w:r w:rsidRPr="00944863">
        <w:rPr>
          <w:rFonts w:eastAsia="Calibri"/>
          <w:lang w:val="es-CR"/>
        </w:rPr>
        <w:t>,</w:t>
      </w:r>
      <w:r w:rsidR="0048708E" w:rsidRPr="00944863">
        <w:rPr>
          <w:rFonts w:eastAsia="Calibri"/>
          <w:lang w:val="es-CR"/>
        </w:rPr>
        <w:t xml:space="preserve"> Secretaria Ejecutiva Adjunta, </w:t>
      </w:r>
      <w:r w:rsidR="0025167D" w:rsidRPr="00944863">
        <w:rPr>
          <w:rFonts w:eastAsiaTheme="minorHAnsi" w:cs="Cambria"/>
          <w:lang w:val="es-CR"/>
        </w:rPr>
        <w:t>Selene Soto Rodríguez, Mariel Ortega De los Santos y</w:t>
      </w:r>
      <w:r w:rsidR="0025167D" w:rsidRPr="00944863">
        <w:rPr>
          <w:rFonts w:eastAsia="Calibri"/>
          <w:lang w:val="es-CR"/>
        </w:rPr>
        <w:t xml:space="preserve"> </w:t>
      </w:r>
      <w:r w:rsidR="0048708E" w:rsidRPr="00944863">
        <w:rPr>
          <w:rFonts w:eastAsia="Calibri"/>
          <w:lang w:val="es-CR"/>
        </w:rPr>
        <w:t>Silvia Serrano Guzmán</w:t>
      </w:r>
      <w:r w:rsidRPr="00944863">
        <w:rPr>
          <w:rFonts w:eastAsia="Calibri"/>
          <w:lang w:val="es-CR"/>
        </w:rPr>
        <w:t>.</w:t>
      </w:r>
    </w:p>
    <w:p w:rsidR="0048708E" w:rsidRPr="00B0712C" w:rsidRDefault="0048708E" w:rsidP="0010637D">
      <w:pPr>
        <w:numPr>
          <w:ilvl w:val="0"/>
          <w:numId w:val="1"/>
        </w:numPr>
        <w:spacing w:before="120" w:after="120"/>
        <w:ind w:left="0" w:right="10" w:firstLine="0"/>
        <w:jc w:val="both"/>
        <w:rPr>
          <w:lang w:val="es-CR"/>
        </w:rPr>
      </w:pPr>
      <w:bookmarkStart w:id="1" w:name="_Ref474490401"/>
      <w:r w:rsidRPr="00B0712C">
        <w:t xml:space="preserve">Los escritos mediantes los cuales presentaron sus observaciones escritas los siguientes </w:t>
      </w:r>
      <w:r w:rsidR="00754AA3" w:rsidRPr="00B0712C">
        <w:rPr>
          <w:rStyle w:val="Strong"/>
          <w:b w:val="0"/>
        </w:rPr>
        <w:t xml:space="preserve">organismos internacionales y </w:t>
      </w:r>
      <w:r w:rsidRPr="00B0712C">
        <w:rPr>
          <w:rStyle w:val="Strong"/>
          <w:b w:val="0"/>
        </w:rPr>
        <w:t xml:space="preserve">estatales, </w:t>
      </w:r>
      <w:r w:rsidR="00754AA3" w:rsidRPr="00B0712C">
        <w:rPr>
          <w:rStyle w:val="Strong"/>
          <w:b w:val="0"/>
        </w:rPr>
        <w:t xml:space="preserve">asociaciones, organizaciones no gubernamentales, </w:t>
      </w:r>
      <w:r w:rsidRPr="00B0712C">
        <w:rPr>
          <w:rStyle w:val="Strong"/>
          <w:b w:val="0"/>
        </w:rPr>
        <w:t>instituciones académicas, e individuos de la sociedad civil:</w:t>
      </w:r>
      <w:bookmarkEnd w:id="1"/>
    </w:p>
    <w:p w:rsidR="009F29DD" w:rsidRPr="00197DC9" w:rsidRDefault="009F29DD" w:rsidP="009F29DD">
      <w:pPr>
        <w:pStyle w:val="ListParagraph"/>
        <w:numPr>
          <w:ilvl w:val="0"/>
          <w:numId w:val="16"/>
        </w:numPr>
        <w:spacing w:before="120" w:after="120"/>
        <w:ind w:left="924" w:right="11" w:hanging="357"/>
        <w:jc w:val="both"/>
        <w:rPr>
          <w:smallCaps/>
          <w:lang w:val="es-CR"/>
        </w:rPr>
      </w:pPr>
      <w:r w:rsidRPr="00197DC9">
        <w:rPr>
          <w:b/>
          <w:smallCaps/>
          <w:lang w:val="es-CR"/>
        </w:rPr>
        <w:t>Observaciones escritas presentadas por Organismos Internacionales:</w:t>
      </w:r>
    </w:p>
    <w:p w:rsidR="009F29DD" w:rsidRDefault="009F29DD" w:rsidP="009F29DD">
      <w:pPr>
        <w:pStyle w:val="ListParagraph"/>
        <w:numPr>
          <w:ilvl w:val="0"/>
          <w:numId w:val="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F29DD">
        <w:rPr>
          <w:lang w:val="es-CR"/>
        </w:rPr>
        <w:t>Oficina del Alto Comisionado de Naciones Unidas para los Derechos Humanos</w:t>
      </w:r>
    </w:p>
    <w:p w:rsidR="009F29DD" w:rsidRPr="00197DC9" w:rsidRDefault="009F29DD" w:rsidP="009F29DD">
      <w:pPr>
        <w:pStyle w:val="ListParagraph"/>
        <w:numPr>
          <w:ilvl w:val="0"/>
          <w:numId w:val="16"/>
        </w:numPr>
        <w:spacing w:before="120" w:after="120"/>
        <w:ind w:left="924" w:right="11" w:hanging="357"/>
        <w:jc w:val="both"/>
        <w:rPr>
          <w:b/>
          <w:smallCaps/>
          <w:lang w:val="es-CR"/>
        </w:rPr>
      </w:pPr>
      <w:r w:rsidRPr="00197DC9">
        <w:rPr>
          <w:b/>
          <w:smallCaps/>
          <w:lang w:val="es-CR"/>
        </w:rPr>
        <w:t>Observaciones escritas presentadas por organismos estatales:</w:t>
      </w:r>
    </w:p>
    <w:p w:rsidR="00B367AD" w:rsidRPr="00944863" w:rsidRDefault="00B367AD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Comisión de Derechos Humanos del Distrito Federal de México</w:t>
      </w:r>
    </w:p>
    <w:p w:rsidR="003971D4" w:rsidRDefault="00B367AD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3971D4">
        <w:rPr>
          <w:lang w:val="es-CR"/>
        </w:rPr>
        <w:t>Defensoría de los Habitantes de la República de Costa Rica</w:t>
      </w:r>
    </w:p>
    <w:p w:rsidR="001E12E3" w:rsidRPr="00944863" w:rsidRDefault="003971D4" w:rsidP="001E12E3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="001E12E3" w:rsidRPr="00944863">
        <w:rPr>
          <w:lang w:val="es-CR"/>
        </w:rPr>
        <w:t>Defensoria</w:t>
      </w:r>
      <w:proofErr w:type="spellEnd"/>
      <w:r w:rsidR="001E12E3" w:rsidRPr="00944863">
        <w:rPr>
          <w:lang w:val="es-CR"/>
        </w:rPr>
        <w:t xml:space="preserve"> Pública da </w:t>
      </w:r>
      <w:proofErr w:type="spellStart"/>
      <w:r w:rsidR="001E12E3" w:rsidRPr="00944863">
        <w:rPr>
          <w:lang w:val="es-CR"/>
        </w:rPr>
        <w:t>União</w:t>
      </w:r>
      <w:proofErr w:type="spellEnd"/>
      <w:r w:rsidR="001E12E3" w:rsidRPr="00944863">
        <w:rPr>
          <w:lang w:val="es-CR"/>
        </w:rPr>
        <w:t xml:space="preserve"> (DPU) de Brasil y otras Instituciones</w:t>
      </w:r>
    </w:p>
    <w:p w:rsidR="00B367AD" w:rsidRPr="00944863" w:rsidRDefault="001E12E3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367AD" w:rsidRPr="00944863">
        <w:rPr>
          <w:lang w:val="es-CR"/>
        </w:rPr>
        <w:t>Defensoría General de la Nación Argentina</w:t>
      </w:r>
    </w:p>
    <w:p w:rsidR="008B3407" w:rsidRPr="00944863" w:rsidRDefault="008B3407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Defensoría Pública del Estado de Río de Janeiro</w:t>
      </w:r>
    </w:p>
    <w:p w:rsidR="00B367AD" w:rsidRPr="00944863" w:rsidRDefault="00B367AD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Ministerio Público de la Defensa de la Ciudad Autónoma de Buenos Aires</w:t>
      </w:r>
    </w:p>
    <w:p w:rsidR="00B367AD" w:rsidRPr="00944863" w:rsidRDefault="00B367AD" w:rsidP="00197DC9">
      <w:pPr>
        <w:pStyle w:val="ListParagraph"/>
        <w:numPr>
          <w:ilvl w:val="0"/>
          <w:numId w:val="23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Procuración General de la Nación Argentina</w:t>
      </w:r>
    </w:p>
    <w:p w:rsidR="009F29DD" w:rsidRPr="00197DC9" w:rsidRDefault="009F29DD" w:rsidP="009F29DD">
      <w:pPr>
        <w:pStyle w:val="ListParagraph"/>
        <w:numPr>
          <w:ilvl w:val="0"/>
          <w:numId w:val="16"/>
        </w:numPr>
        <w:spacing w:before="120" w:after="120"/>
        <w:ind w:left="924" w:right="11" w:hanging="357"/>
        <w:jc w:val="both"/>
        <w:rPr>
          <w:b/>
          <w:smallCaps/>
          <w:lang w:val="es-CR"/>
        </w:rPr>
      </w:pPr>
      <w:r w:rsidRPr="00197DC9">
        <w:rPr>
          <w:b/>
          <w:smallCaps/>
          <w:lang w:val="es-CR"/>
        </w:rPr>
        <w:t xml:space="preserve">Observaciones </w:t>
      </w:r>
      <w:r w:rsidR="00937000" w:rsidRPr="00197DC9">
        <w:rPr>
          <w:b/>
          <w:smallCaps/>
          <w:lang w:val="es-CR"/>
        </w:rPr>
        <w:t xml:space="preserve">escritas </w:t>
      </w:r>
      <w:r w:rsidRPr="00197DC9">
        <w:rPr>
          <w:b/>
          <w:smallCaps/>
          <w:lang w:val="es-CR"/>
        </w:rPr>
        <w:t>presentadas por asociaciones, organizaciones no gubernamentales o instituciones académicas:</w:t>
      </w:r>
    </w:p>
    <w:p w:rsidR="00412D7F" w:rsidRPr="00944863" w:rsidRDefault="00412D7F" w:rsidP="00412D7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ADF International</w:t>
      </w:r>
    </w:p>
    <w:p w:rsidR="008B3407" w:rsidRPr="00197DC9" w:rsidRDefault="008B3407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Pr="008B3407">
        <w:rPr>
          <w:lang w:val="es-CR"/>
        </w:rPr>
        <w:t>Amicus</w:t>
      </w:r>
      <w:proofErr w:type="spellEnd"/>
      <w:r w:rsidRPr="00197DC9">
        <w:rPr>
          <w:lang w:val="es-CR"/>
        </w:rPr>
        <w:t xml:space="preserve"> DH, A.C.</w:t>
      </w:r>
    </w:p>
    <w:p w:rsidR="00E3023E" w:rsidRPr="00944863" w:rsidRDefault="00920446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E3023E" w:rsidRPr="00944863">
        <w:rPr>
          <w:lang w:val="es-CR"/>
        </w:rPr>
        <w:t>Asociación Civil 100% Diversidad y Derechos</w:t>
      </w:r>
    </w:p>
    <w:p w:rsidR="00920446" w:rsidRPr="00944863" w:rsidRDefault="00E3023E" w:rsidP="0092044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20446" w:rsidRPr="00944863">
        <w:rPr>
          <w:lang w:val="es-CR"/>
        </w:rPr>
        <w:t>Asociación OTD Chile</w:t>
      </w:r>
    </w:p>
    <w:p w:rsidR="00B367AD" w:rsidRPr="00944863" w:rsidRDefault="00920446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367AD" w:rsidRPr="00944863">
        <w:rPr>
          <w:lang w:val="es-CR"/>
        </w:rPr>
        <w:t xml:space="preserve">Asociación de Travestis, Transexuales y </w:t>
      </w:r>
      <w:proofErr w:type="spellStart"/>
      <w:r w:rsidR="00B367AD" w:rsidRPr="00944863">
        <w:rPr>
          <w:lang w:val="es-CR"/>
        </w:rPr>
        <w:t>Transgéneros</w:t>
      </w:r>
      <w:proofErr w:type="spellEnd"/>
      <w:r w:rsidR="00B367AD" w:rsidRPr="00944863">
        <w:rPr>
          <w:lang w:val="es-CR"/>
        </w:rPr>
        <w:t xml:space="preserve"> de Argentina y la Red de Personas </w:t>
      </w:r>
      <w:proofErr w:type="spellStart"/>
      <w:r w:rsidR="00B367AD" w:rsidRPr="00944863">
        <w:rPr>
          <w:lang w:val="es-CR"/>
        </w:rPr>
        <w:t>Trans</w:t>
      </w:r>
      <w:proofErr w:type="spellEnd"/>
      <w:r w:rsidR="00B367AD" w:rsidRPr="00944863">
        <w:rPr>
          <w:lang w:val="es-CR"/>
        </w:rPr>
        <w:t xml:space="preserve"> de Latinoamérica y Del Caribe</w:t>
      </w:r>
    </w:p>
    <w:p w:rsidR="00E3023E" w:rsidRDefault="00B367A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8B3407">
        <w:rPr>
          <w:lang w:val="es-CR"/>
        </w:rPr>
        <w:t xml:space="preserve"> </w:t>
      </w:r>
      <w:r w:rsidR="00E3023E" w:rsidRPr="00944863">
        <w:rPr>
          <w:lang w:val="es-CR"/>
        </w:rPr>
        <w:t>Asociación Frente por los Derechos Igualitarios, Asociación Ciudadana ACCEDER, Asociación Movimiento Diversidad pro Derechos Humanos y Salud</w:t>
      </w:r>
      <w:r w:rsidR="00E3023E">
        <w:rPr>
          <w:lang w:val="es-CR"/>
        </w:rPr>
        <w:t xml:space="preserve">, </w:t>
      </w:r>
      <w:r w:rsidR="00E3023E" w:rsidRPr="00944863">
        <w:rPr>
          <w:lang w:val="es-CR"/>
        </w:rPr>
        <w:t xml:space="preserve">Asociación </w:t>
      </w:r>
      <w:proofErr w:type="spellStart"/>
      <w:r w:rsidR="00E3023E" w:rsidRPr="00944863">
        <w:rPr>
          <w:lang w:val="es-CR"/>
        </w:rPr>
        <w:t>Transvida</w:t>
      </w:r>
      <w:proofErr w:type="spellEnd"/>
      <w:r w:rsidR="00E3023E">
        <w:rPr>
          <w:lang w:val="es-CR"/>
        </w:rPr>
        <w:t xml:space="preserve"> y </w:t>
      </w:r>
      <w:r w:rsidR="00E3023E" w:rsidRPr="007552EB">
        <w:rPr>
          <w:lang w:val="es-CR"/>
        </w:rPr>
        <w:t>Asociación Centro de Investigación y Promoción para América Central (CIPAC)</w:t>
      </w:r>
      <w:r w:rsidR="00E3023E">
        <w:rPr>
          <w:lang w:val="es-CR"/>
        </w:rPr>
        <w:t>.</w:t>
      </w:r>
    </w:p>
    <w:p w:rsidR="00B8267F" w:rsidRPr="00944863" w:rsidRDefault="00B8267F" w:rsidP="00B8267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lastRenderedPageBreak/>
        <w:t xml:space="preserve"> </w:t>
      </w:r>
      <w:r w:rsidRPr="00944863">
        <w:rPr>
          <w:lang w:val="es-CR"/>
        </w:rPr>
        <w:t>Asociación para la Promoción y Protección de los Derechos Humanos “</w:t>
      </w:r>
      <w:proofErr w:type="spellStart"/>
      <w:r w:rsidRPr="00944863">
        <w:rPr>
          <w:lang w:val="es-CR"/>
        </w:rPr>
        <w:t>Xumek</w:t>
      </w:r>
      <w:proofErr w:type="spellEnd"/>
      <w:r w:rsidRPr="00944863">
        <w:rPr>
          <w:lang w:val="es-CR"/>
        </w:rPr>
        <w:t>”</w:t>
      </w:r>
    </w:p>
    <w:p w:rsidR="00B367AD" w:rsidRPr="00B8267F" w:rsidRDefault="00E3023E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n-US"/>
        </w:rPr>
      </w:pPr>
      <w:r w:rsidRPr="00190DC5">
        <w:rPr>
          <w:lang w:val="es-CR"/>
        </w:rPr>
        <w:t xml:space="preserve"> </w:t>
      </w:r>
      <w:r w:rsidR="00B367AD" w:rsidRPr="00B8267F">
        <w:rPr>
          <w:lang w:val="en-US"/>
        </w:rPr>
        <w:t>Australian Human Rights Centre, UNSW Faculty of Law</w:t>
      </w:r>
    </w:p>
    <w:p w:rsidR="00920446" w:rsidRPr="00944863" w:rsidRDefault="00920446" w:rsidP="0092044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n-US"/>
        </w:rPr>
        <w:t xml:space="preserve"> </w:t>
      </w:r>
      <w:proofErr w:type="spellStart"/>
      <w:r w:rsidRPr="00920446">
        <w:rPr>
          <w:lang w:val="en-US"/>
        </w:rPr>
        <w:t>Avocats</w:t>
      </w:r>
      <w:proofErr w:type="spellEnd"/>
      <w:r w:rsidRPr="00944863">
        <w:rPr>
          <w:lang w:val="es-CR"/>
        </w:rPr>
        <w:t xml:space="preserve"> Sans </w:t>
      </w:r>
      <w:proofErr w:type="spellStart"/>
      <w:r w:rsidRPr="00944863">
        <w:rPr>
          <w:lang w:val="es-CR"/>
        </w:rPr>
        <w:t>Frontières</w:t>
      </w:r>
      <w:proofErr w:type="spellEnd"/>
      <w:r w:rsidRPr="00944863">
        <w:rPr>
          <w:lang w:val="es-CR"/>
        </w:rPr>
        <w:t xml:space="preserve"> </w:t>
      </w:r>
      <w:proofErr w:type="spellStart"/>
      <w:r w:rsidRPr="00944863">
        <w:rPr>
          <w:lang w:val="es-CR"/>
        </w:rPr>
        <w:t>Canada</w:t>
      </w:r>
      <w:proofErr w:type="spellEnd"/>
      <w:r w:rsidRPr="00944863">
        <w:rPr>
          <w:lang w:val="es-CR"/>
        </w:rPr>
        <w:t xml:space="preserve"> et la </w:t>
      </w:r>
      <w:proofErr w:type="spellStart"/>
      <w:r w:rsidRPr="00944863">
        <w:rPr>
          <w:lang w:val="es-CR"/>
        </w:rPr>
        <w:t>Clinique</w:t>
      </w:r>
      <w:proofErr w:type="spellEnd"/>
      <w:r w:rsidRPr="00944863">
        <w:rPr>
          <w:lang w:val="es-CR"/>
        </w:rPr>
        <w:t xml:space="preserve"> </w:t>
      </w:r>
      <w:proofErr w:type="spellStart"/>
      <w:r w:rsidRPr="00944863">
        <w:rPr>
          <w:lang w:val="es-CR"/>
        </w:rPr>
        <w:t>internationale</w:t>
      </w:r>
      <w:proofErr w:type="spellEnd"/>
      <w:r w:rsidRPr="00944863">
        <w:rPr>
          <w:lang w:val="es-CR"/>
        </w:rPr>
        <w:t xml:space="preserve"> de </w:t>
      </w:r>
      <w:proofErr w:type="spellStart"/>
      <w:r w:rsidRPr="00944863">
        <w:rPr>
          <w:lang w:val="es-CR"/>
        </w:rPr>
        <w:t>défense</w:t>
      </w:r>
      <w:proofErr w:type="spellEnd"/>
      <w:r w:rsidRPr="00944863">
        <w:rPr>
          <w:lang w:val="es-CR"/>
        </w:rPr>
        <w:t xml:space="preserve"> des </w:t>
      </w:r>
      <w:proofErr w:type="spellStart"/>
      <w:r w:rsidRPr="00944863">
        <w:rPr>
          <w:lang w:val="es-CR"/>
        </w:rPr>
        <w:t>droits</w:t>
      </w:r>
      <w:proofErr w:type="spellEnd"/>
      <w:r w:rsidRPr="00944863">
        <w:rPr>
          <w:lang w:val="es-CR"/>
        </w:rPr>
        <w:t xml:space="preserve"> </w:t>
      </w:r>
      <w:proofErr w:type="spellStart"/>
      <w:r w:rsidRPr="00944863">
        <w:rPr>
          <w:lang w:val="es-CR"/>
        </w:rPr>
        <w:t>humains</w:t>
      </w:r>
      <w:proofErr w:type="spellEnd"/>
      <w:r w:rsidRPr="00944863">
        <w:rPr>
          <w:lang w:val="es-CR"/>
        </w:rPr>
        <w:t xml:space="preserve"> de </w:t>
      </w:r>
      <w:proofErr w:type="spellStart"/>
      <w:r w:rsidRPr="00944863">
        <w:rPr>
          <w:lang w:val="es-CR"/>
        </w:rPr>
        <w:t>l'UQAM</w:t>
      </w:r>
      <w:proofErr w:type="spellEnd"/>
    </w:p>
    <w:p w:rsidR="008B3407" w:rsidRPr="000C1953" w:rsidRDefault="000C1953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n-US"/>
        </w:rPr>
      </w:pPr>
      <w:r>
        <w:rPr>
          <w:lang w:val="en-US"/>
        </w:rPr>
        <w:t xml:space="preserve"> </w:t>
      </w:r>
      <w:r w:rsidR="008B3407" w:rsidRPr="000C1953">
        <w:rPr>
          <w:lang w:val="en-US"/>
        </w:rPr>
        <w:t>Center for Family and Human Rights (C-Fam)</w:t>
      </w:r>
    </w:p>
    <w:p w:rsidR="00DB7A9C" w:rsidRPr="00944863" w:rsidRDefault="00DB7A9C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0C1953">
        <w:rPr>
          <w:lang w:val="en-US"/>
        </w:rPr>
        <w:t xml:space="preserve"> </w:t>
      </w:r>
      <w:r w:rsidRPr="00944863">
        <w:rPr>
          <w:lang w:val="es-CR"/>
        </w:rPr>
        <w:t>Centro de Derechos Humanos de la Pontificia Universidad Católica del Ecuador</w:t>
      </w:r>
    </w:p>
    <w:p w:rsidR="0091492D" w:rsidRPr="00944863" w:rsidRDefault="008B3407" w:rsidP="0091492D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DB7A9C">
        <w:rPr>
          <w:lang w:val="es-CR"/>
        </w:rPr>
        <w:t xml:space="preserve"> </w:t>
      </w:r>
      <w:r w:rsidR="0091492D" w:rsidRPr="00944863">
        <w:rPr>
          <w:lang w:val="es-CR"/>
        </w:rPr>
        <w:t xml:space="preserve">Centro de </w:t>
      </w:r>
      <w:proofErr w:type="spellStart"/>
      <w:r w:rsidR="0091492D" w:rsidRPr="00944863">
        <w:rPr>
          <w:lang w:val="es-CR"/>
        </w:rPr>
        <w:t>Direito</w:t>
      </w:r>
      <w:proofErr w:type="spellEnd"/>
      <w:r w:rsidR="0091492D" w:rsidRPr="00944863">
        <w:rPr>
          <w:lang w:val="es-CR"/>
        </w:rPr>
        <w:t xml:space="preserve"> Internacional</w:t>
      </w:r>
    </w:p>
    <w:p w:rsidR="008B3407" w:rsidRPr="00944863" w:rsidRDefault="0091492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8B3407" w:rsidRPr="00593DC9">
        <w:rPr>
          <w:lang w:val="es-CR"/>
        </w:rPr>
        <w:t>Centro de Estudios en Derechos Humanos (CEDH) y Carrera de</w:t>
      </w:r>
      <w:r w:rsidR="008B3407">
        <w:rPr>
          <w:lang w:val="es-CR"/>
        </w:rPr>
        <w:t xml:space="preserve"> </w:t>
      </w:r>
      <w:r w:rsidR="008B3407" w:rsidRPr="00593DC9">
        <w:rPr>
          <w:lang w:val="es-CR"/>
        </w:rPr>
        <w:t xml:space="preserve">Especialización en Protección de Derechos de Niños, Niñas y Adolescentes, pertenecientes a la </w:t>
      </w:r>
      <w:r w:rsidR="008B3407" w:rsidRPr="00944863">
        <w:rPr>
          <w:lang w:val="es-CR"/>
        </w:rPr>
        <w:t>Facultad de Derecho de la Universidad Nacional del Centro de la Provincia de Buenos Aires (UNICEN)</w:t>
      </w:r>
    </w:p>
    <w:p w:rsidR="00E3023E" w:rsidRPr="00944863" w:rsidRDefault="008B3407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DB7A9C">
        <w:rPr>
          <w:lang w:val="es-CR"/>
        </w:rPr>
        <w:t xml:space="preserve"> </w:t>
      </w:r>
      <w:r w:rsidR="00E3023E" w:rsidRPr="00944863">
        <w:rPr>
          <w:lang w:val="es-CR"/>
        </w:rPr>
        <w:t>Centro de Promoción y Defensa de los Derechos Sexuales y Reproductivos – PROMSEX</w:t>
      </w:r>
    </w:p>
    <w:p w:rsidR="0062014F" w:rsidRPr="00944863" w:rsidRDefault="00E3023E" w:rsidP="0062014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62014F" w:rsidRPr="00944863">
        <w:rPr>
          <w:lang w:val="es-CR"/>
        </w:rPr>
        <w:t>Centro Guadalupe Vida y Familia de Puerto Rico</w:t>
      </w:r>
    </w:p>
    <w:p w:rsidR="00B8267F" w:rsidRPr="00944863" w:rsidRDefault="0062014F" w:rsidP="00B8267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8267F" w:rsidRPr="00944863">
        <w:rPr>
          <w:lang w:val="es-CR"/>
        </w:rPr>
        <w:t>Centro por la Justicia y el Derecho Internacional (CEJIL), Asociación LGTB Arcoíris de Honduras, Asociación REDTRANS</w:t>
      </w:r>
      <w:r w:rsidR="00B8267F" w:rsidRPr="00944863">
        <w:rPr>
          <w:rFonts w:ascii="Cambria Math" w:hAnsi="Cambria Math" w:cs="Cambria Math"/>
          <w:lang w:val="es-CR"/>
        </w:rPr>
        <w:t>‐</w:t>
      </w:r>
      <w:r w:rsidR="00B8267F" w:rsidRPr="00944863">
        <w:rPr>
          <w:lang w:val="es-CR"/>
        </w:rPr>
        <w:t xml:space="preserve">Nicaragua, Centro de Investigación y Promoción de los Derechos Humanos, Centro de Investigación y Promoción para América Central de Derechos Humanos, Coalición contra la Impunidad, Comité de Familiares de Detenidos Desaparecidos en Honduras, Comunicando y Capacitando a Mujeres </w:t>
      </w:r>
      <w:proofErr w:type="spellStart"/>
      <w:r w:rsidR="00B8267F" w:rsidRPr="00944863">
        <w:rPr>
          <w:lang w:val="es-CR"/>
        </w:rPr>
        <w:t>Trans</w:t>
      </w:r>
      <w:proofErr w:type="spellEnd"/>
      <w:r w:rsidR="00B8267F" w:rsidRPr="00944863">
        <w:rPr>
          <w:lang w:val="es-CR"/>
        </w:rPr>
        <w:t xml:space="preserve">, Fundación de Estudios para la Aplicación del Derecho, </w:t>
      </w:r>
      <w:proofErr w:type="spellStart"/>
      <w:r w:rsidR="00B8267F" w:rsidRPr="00944863">
        <w:rPr>
          <w:lang w:val="es-CR"/>
        </w:rPr>
        <w:t>Mulabi</w:t>
      </w:r>
      <w:proofErr w:type="spellEnd"/>
      <w:r w:rsidR="00B8267F" w:rsidRPr="00944863">
        <w:rPr>
          <w:lang w:val="es-CR"/>
        </w:rPr>
        <w:t xml:space="preserve"> / Espacio Latinoamericano de Sexualidades y Derechos, y la Unidad de Atención Sicológica, Sexológica y Educativa para el Crecimiento Personal, A.C.</w:t>
      </w:r>
    </w:p>
    <w:p w:rsidR="000C1953" w:rsidRPr="00944863" w:rsidRDefault="00B8267F" w:rsidP="000C1953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0C1953" w:rsidRPr="00944863">
        <w:rPr>
          <w:lang w:val="es-CR"/>
        </w:rPr>
        <w:t xml:space="preserve">César Norberto </w:t>
      </w:r>
      <w:proofErr w:type="spellStart"/>
      <w:r w:rsidR="000C1953" w:rsidRPr="00944863">
        <w:rPr>
          <w:lang w:val="es-CR"/>
        </w:rPr>
        <w:t>Bissutti</w:t>
      </w:r>
      <w:proofErr w:type="spellEnd"/>
      <w:r w:rsidR="000C1953" w:rsidRPr="00944863">
        <w:rPr>
          <w:lang w:val="es-CR"/>
        </w:rPr>
        <w:t xml:space="preserve">, Juliana </w:t>
      </w:r>
      <w:proofErr w:type="spellStart"/>
      <w:r w:rsidR="000C1953" w:rsidRPr="00944863">
        <w:rPr>
          <w:lang w:val="es-CR"/>
        </w:rPr>
        <w:t>Carbó</w:t>
      </w:r>
      <w:proofErr w:type="spellEnd"/>
      <w:r w:rsidR="000C1953" w:rsidRPr="00944863">
        <w:rPr>
          <w:lang w:val="es-CR"/>
        </w:rPr>
        <w:t xml:space="preserve">, Gisela Vanesa Hill, </w:t>
      </w:r>
      <w:proofErr w:type="spellStart"/>
      <w:r w:rsidR="000C1953" w:rsidRPr="00944863">
        <w:rPr>
          <w:lang w:val="es-CR"/>
        </w:rPr>
        <w:t>Antonela</w:t>
      </w:r>
      <w:proofErr w:type="spellEnd"/>
      <w:r w:rsidR="000C1953" w:rsidRPr="00944863">
        <w:rPr>
          <w:lang w:val="es-CR"/>
        </w:rPr>
        <w:t xml:space="preserve"> Sabrina Rivero, Estefanía Watson y Leandro </w:t>
      </w:r>
      <w:proofErr w:type="spellStart"/>
      <w:r w:rsidR="000C1953" w:rsidRPr="00944863">
        <w:rPr>
          <w:lang w:val="es-CR"/>
        </w:rPr>
        <w:t>Anibal</w:t>
      </w:r>
      <w:proofErr w:type="spellEnd"/>
      <w:r w:rsidR="000C1953" w:rsidRPr="00944863">
        <w:rPr>
          <w:lang w:val="es-CR"/>
        </w:rPr>
        <w:t xml:space="preserve"> </w:t>
      </w:r>
      <w:proofErr w:type="spellStart"/>
      <w:r w:rsidR="000C1953" w:rsidRPr="00944863">
        <w:rPr>
          <w:lang w:val="es-CR"/>
        </w:rPr>
        <w:t>Ardoy</w:t>
      </w:r>
      <w:proofErr w:type="spellEnd"/>
      <w:r w:rsidR="000C1953" w:rsidRPr="00944863">
        <w:rPr>
          <w:lang w:val="es-CR"/>
        </w:rPr>
        <w:t>, Integrantes de la Clínica Jurídica de DDHH de la Facultad de Ciencias Jurídicas y Sociales de la Universidad Nacional del Litoral Santa Fe, Argentina</w:t>
      </w:r>
    </w:p>
    <w:p w:rsidR="0091492D" w:rsidRPr="00944863" w:rsidRDefault="000C1953" w:rsidP="0091492D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1492D" w:rsidRPr="00944863">
        <w:rPr>
          <w:lang w:val="es-CR"/>
        </w:rPr>
        <w:t>Clínica de Derechos Humanos y el Semillero de Derecho Internacional de la Pontificia Universidad Javeriana Cali</w:t>
      </w:r>
    </w:p>
    <w:p w:rsidR="00DB7A9C" w:rsidRPr="00DB7A9C" w:rsidRDefault="0091492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B7A9C" w:rsidRPr="00DB7A9C">
        <w:rPr>
          <w:lang w:val="es-CR"/>
        </w:rPr>
        <w:t xml:space="preserve">Clínica de </w:t>
      </w:r>
      <w:proofErr w:type="spellStart"/>
      <w:r w:rsidR="00DB7A9C" w:rsidRPr="00DB7A9C">
        <w:rPr>
          <w:lang w:val="es-CR"/>
        </w:rPr>
        <w:t>Direitos</w:t>
      </w:r>
      <w:proofErr w:type="spellEnd"/>
      <w:r w:rsidR="00DB7A9C" w:rsidRPr="00DB7A9C">
        <w:rPr>
          <w:lang w:val="es-CR"/>
        </w:rPr>
        <w:t xml:space="preserve"> Humanos da </w:t>
      </w:r>
      <w:proofErr w:type="spellStart"/>
      <w:r w:rsidR="00DB7A9C" w:rsidRPr="00DB7A9C">
        <w:rPr>
          <w:lang w:val="es-CR"/>
        </w:rPr>
        <w:t>Universidade</w:t>
      </w:r>
      <w:proofErr w:type="spellEnd"/>
      <w:r w:rsidR="00DB7A9C" w:rsidRPr="00DB7A9C">
        <w:rPr>
          <w:lang w:val="es-CR"/>
        </w:rPr>
        <w:t xml:space="preserve"> Federal de Minas Gerais</w:t>
      </w:r>
    </w:p>
    <w:p w:rsidR="008B3407" w:rsidRPr="00944863" w:rsidRDefault="00DB7A9C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="008B3407" w:rsidRPr="00944863">
        <w:rPr>
          <w:lang w:val="es-CR"/>
        </w:rPr>
        <w:t>Clinica</w:t>
      </w:r>
      <w:proofErr w:type="spellEnd"/>
      <w:r w:rsidR="008B3407" w:rsidRPr="00944863">
        <w:rPr>
          <w:lang w:val="es-CR"/>
        </w:rPr>
        <w:t xml:space="preserve"> de </w:t>
      </w:r>
      <w:proofErr w:type="spellStart"/>
      <w:r w:rsidR="008B3407" w:rsidRPr="00944863">
        <w:rPr>
          <w:lang w:val="es-CR"/>
        </w:rPr>
        <w:t>Direitos</w:t>
      </w:r>
      <w:proofErr w:type="spellEnd"/>
      <w:r w:rsidR="008B3407" w:rsidRPr="00944863">
        <w:rPr>
          <w:lang w:val="es-CR"/>
        </w:rPr>
        <w:t xml:space="preserve"> Humanos do Programa de </w:t>
      </w:r>
      <w:proofErr w:type="spellStart"/>
      <w:r w:rsidR="004C452F">
        <w:t>Pós-Graduação</w:t>
      </w:r>
      <w:proofErr w:type="spellEnd"/>
      <w:r w:rsidR="004C452F">
        <w:t xml:space="preserve"> </w:t>
      </w:r>
      <w:proofErr w:type="spellStart"/>
      <w:r w:rsidR="008B3407" w:rsidRPr="00944863">
        <w:rPr>
          <w:lang w:val="es-CR"/>
        </w:rPr>
        <w:t>em</w:t>
      </w:r>
      <w:proofErr w:type="spellEnd"/>
      <w:r w:rsidR="008B3407" w:rsidRPr="00944863">
        <w:rPr>
          <w:lang w:val="es-CR"/>
        </w:rPr>
        <w:t xml:space="preserve"> </w:t>
      </w:r>
      <w:proofErr w:type="spellStart"/>
      <w:r w:rsidR="008B3407" w:rsidRPr="00944863">
        <w:rPr>
          <w:lang w:val="es-CR"/>
        </w:rPr>
        <w:t>Direito</w:t>
      </w:r>
      <w:proofErr w:type="spellEnd"/>
      <w:r w:rsidR="008B3407" w:rsidRPr="00944863">
        <w:rPr>
          <w:lang w:val="es-CR"/>
        </w:rPr>
        <w:t xml:space="preserve"> da </w:t>
      </w:r>
      <w:proofErr w:type="spellStart"/>
      <w:r w:rsidR="004C452F">
        <w:t>Pontifícia</w:t>
      </w:r>
      <w:proofErr w:type="spellEnd"/>
      <w:r w:rsidR="004C452F">
        <w:t xml:space="preserve"> </w:t>
      </w:r>
      <w:proofErr w:type="spellStart"/>
      <w:r w:rsidR="008B3407" w:rsidRPr="00944863">
        <w:rPr>
          <w:lang w:val="es-CR"/>
        </w:rPr>
        <w:t>Universidade</w:t>
      </w:r>
      <w:proofErr w:type="spellEnd"/>
      <w:r w:rsidR="008B3407" w:rsidRPr="00944863">
        <w:rPr>
          <w:lang w:val="es-CR"/>
        </w:rPr>
        <w:t xml:space="preserve"> Católica do Paraná</w:t>
      </w:r>
    </w:p>
    <w:p w:rsidR="008B3407" w:rsidRPr="00944863" w:rsidRDefault="008B3407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 xml:space="preserve">Clínica de </w:t>
      </w:r>
      <w:proofErr w:type="spellStart"/>
      <w:r w:rsidRPr="00944863">
        <w:rPr>
          <w:lang w:val="es-CR"/>
        </w:rPr>
        <w:t>Direitos</w:t>
      </w:r>
      <w:proofErr w:type="spellEnd"/>
      <w:r w:rsidRPr="00944863">
        <w:rPr>
          <w:lang w:val="es-CR"/>
        </w:rPr>
        <w:t xml:space="preserve"> Humanos e </w:t>
      </w:r>
      <w:proofErr w:type="spellStart"/>
      <w:r w:rsidRPr="00944863">
        <w:rPr>
          <w:lang w:val="es-CR"/>
        </w:rPr>
        <w:t>Direito</w:t>
      </w:r>
      <w:proofErr w:type="spellEnd"/>
      <w:r w:rsidRPr="00944863">
        <w:rPr>
          <w:lang w:val="es-CR"/>
        </w:rPr>
        <w:t xml:space="preserve"> Ambiental da </w:t>
      </w:r>
      <w:proofErr w:type="spellStart"/>
      <w:r w:rsidRPr="00944863">
        <w:rPr>
          <w:lang w:val="es-CR"/>
        </w:rPr>
        <w:t>Universidade</w:t>
      </w:r>
      <w:proofErr w:type="spellEnd"/>
      <w:r w:rsidRPr="00944863">
        <w:rPr>
          <w:lang w:val="es-CR"/>
        </w:rPr>
        <w:t xml:space="preserve"> do Estado do Amazonas (Clínica DHDA/UEA)</w:t>
      </w:r>
    </w:p>
    <w:p w:rsidR="00B8267F" w:rsidRPr="00944863" w:rsidRDefault="00B367AD" w:rsidP="00B8267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B367AD">
        <w:rPr>
          <w:lang w:val="es-CR"/>
        </w:rPr>
        <w:t xml:space="preserve"> </w:t>
      </w:r>
      <w:r w:rsidR="00B8267F" w:rsidRPr="00944863">
        <w:rPr>
          <w:lang w:val="es-CR"/>
        </w:rPr>
        <w:t>Clínica de Interés Público contra la Trata de Personas del Instituto Tecnológico Autónomo de México y el Grupo de Acción por los Derechos Humanos y la Justicia Social A.C.</w:t>
      </w:r>
    </w:p>
    <w:p w:rsidR="00B367AD" w:rsidRPr="00944863" w:rsidRDefault="00B8267F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367AD" w:rsidRPr="00944863">
        <w:rPr>
          <w:lang w:val="es-CR"/>
        </w:rPr>
        <w:t>Clínica Jurídica de Interés Público "Grupo de Acciones Públicas" de la Facultad de Jurisprudencia de la Universidad del Rosario de Colombia</w:t>
      </w:r>
    </w:p>
    <w:p w:rsidR="008B3407" w:rsidRPr="00944863" w:rsidRDefault="008B3407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Clínica Jurídica de la Universidad de San Andrés, Argentina</w:t>
      </w:r>
    </w:p>
    <w:p w:rsidR="00920446" w:rsidRPr="00944863" w:rsidRDefault="008346FE" w:rsidP="0092044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20446" w:rsidRPr="00944863">
        <w:rPr>
          <w:lang w:val="es-CR"/>
        </w:rPr>
        <w:t>Comisión Colombiana de Juristas</w:t>
      </w:r>
    </w:p>
    <w:p w:rsidR="00E3023E" w:rsidRPr="00944863" w:rsidRDefault="00920446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="00E3023E" w:rsidRPr="00944863">
        <w:rPr>
          <w:lang w:val="es-CR"/>
        </w:rPr>
        <w:t>De</w:t>
      </w:r>
      <w:r w:rsidR="00E3023E">
        <w:rPr>
          <w:lang w:val="es-CR"/>
        </w:rPr>
        <w:t>J</w:t>
      </w:r>
      <w:r w:rsidR="00E3023E" w:rsidRPr="00944863">
        <w:rPr>
          <w:lang w:val="es-CR"/>
        </w:rPr>
        <w:t>usticia</w:t>
      </w:r>
      <w:proofErr w:type="spellEnd"/>
    </w:p>
    <w:p w:rsidR="00A76A66" w:rsidRPr="00944863" w:rsidRDefault="00E3023E" w:rsidP="00A76A6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lastRenderedPageBreak/>
        <w:t xml:space="preserve"> </w:t>
      </w:r>
      <w:r w:rsidR="00A76A66">
        <w:rPr>
          <w:lang w:val="es-CR"/>
        </w:rPr>
        <w:t>Dieciséis</w:t>
      </w:r>
      <w:r w:rsidR="00A76A66" w:rsidRPr="00944863">
        <w:rPr>
          <w:lang w:val="es-CR"/>
        </w:rPr>
        <w:t xml:space="preserve"> organizaciones de derechos humanos que forman parte de la Coalición de Organizaciones LGBTTTI ante la OEA: Colombia Diversa; </w:t>
      </w:r>
      <w:proofErr w:type="spellStart"/>
      <w:r w:rsidR="00A76A66" w:rsidRPr="00944863">
        <w:rPr>
          <w:lang w:val="es-CR"/>
        </w:rPr>
        <w:t>Akahatá</w:t>
      </w:r>
      <w:proofErr w:type="spellEnd"/>
      <w:r w:rsidR="00A76A66" w:rsidRPr="00944863">
        <w:rPr>
          <w:lang w:val="es-CR"/>
        </w:rPr>
        <w:t xml:space="preserve">; Asociación Alfil; Asociación </w:t>
      </w:r>
      <w:proofErr w:type="spellStart"/>
      <w:r w:rsidR="00A76A66" w:rsidRPr="00944863">
        <w:rPr>
          <w:lang w:val="es-CR"/>
        </w:rPr>
        <w:t>Panambi</w:t>
      </w:r>
      <w:proofErr w:type="spellEnd"/>
      <w:r w:rsidR="00A76A66" w:rsidRPr="00944863">
        <w:rPr>
          <w:lang w:val="es-CR"/>
        </w:rPr>
        <w:t>; Centro de Promoción y Defensa de los Derechos Sexuales y Reproductivos (</w:t>
      </w:r>
      <w:proofErr w:type="spellStart"/>
      <w:r w:rsidR="00A76A66" w:rsidRPr="00944863">
        <w:rPr>
          <w:lang w:val="es-CR"/>
        </w:rPr>
        <w:t>Promsex</w:t>
      </w:r>
      <w:proofErr w:type="spellEnd"/>
      <w:r w:rsidR="00A76A66" w:rsidRPr="00944863">
        <w:rPr>
          <w:lang w:val="es-CR"/>
        </w:rPr>
        <w:t xml:space="preserve">); Colectiva Mujer y Salud; Fundación </w:t>
      </w:r>
      <w:proofErr w:type="spellStart"/>
      <w:r w:rsidR="00A76A66" w:rsidRPr="00944863">
        <w:rPr>
          <w:lang w:val="es-CR"/>
        </w:rPr>
        <w:t>Diversencia</w:t>
      </w:r>
      <w:proofErr w:type="spellEnd"/>
      <w:r w:rsidR="00A76A66" w:rsidRPr="00944863">
        <w:rPr>
          <w:lang w:val="es-CR"/>
        </w:rPr>
        <w:t xml:space="preserve">; </w:t>
      </w:r>
      <w:proofErr w:type="spellStart"/>
      <w:r w:rsidR="00A76A66" w:rsidRPr="00944863">
        <w:rPr>
          <w:lang w:val="es-CR"/>
        </w:rPr>
        <w:t>Heartland</w:t>
      </w:r>
      <w:proofErr w:type="spellEnd"/>
      <w:r w:rsidR="00A76A66" w:rsidRPr="00944863">
        <w:rPr>
          <w:lang w:val="es-CR"/>
        </w:rPr>
        <w:t xml:space="preserve"> Alliance – Global </w:t>
      </w:r>
      <w:proofErr w:type="spellStart"/>
      <w:r w:rsidR="00A76A66" w:rsidRPr="00944863">
        <w:rPr>
          <w:lang w:val="es-CR"/>
        </w:rPr>
        <w:t>Initiatives</w:t>
      </w:r>
      <w:proofErr w:type="spellEnd"/>
      <w:r w:rsidR="00A76A66" w:rsidRPr="00944863">
        <w:rPr>
          <w:lang w:val="es-CR"/>
        </w:rPr>
        <w:t xml:space="preserve"> </w:t>
      </w:r>
      <w:proofErr w:type="spellStart"/>
      <w:r w:rsidR="00A76A66" w:rsidRPr="00944863">
        <w:rPr>
          <w:lang w:val="es-CR"/>
        </w:rPr>
        <w:t>for</w:t>
      </w:r>
      <w:proofErr w:type="spellEnd"/>
      <w:r w:rsidR="00A76A66" w:rsidRPr="00944863">
        <w:rPr>
          <w:lang w:val="es-CR"/>
        </w:rPr>
        <w:t xml:space="preserve"> Human </w:t>
      </w:r>
      <w:proofErr w:type="spellStart"/>
      <w:r w:rsidR="00A76A66" w:rsidRPr="00944863">
        <w:rPr>
          <w:lang w:val="es-CR"/>
        </w:rPr>
        <w:t>Rights</w:t>
      </w:r>
      <w:proofErr w:type="spellEnd"/>
      <w:r w:rsidR="00A76A66" w:rsidRPr="00944863">
        <w:rPr>
          <w:lang w:val="es-CR"/>
        </w:rPr>
        <w:t xml:space="preserve"> (GIHR); Liga Brasilera de Lésbicas; Letra S, Sida, Cultura y Vida Cotidiana, A.C.; </w:t>
      </w:r>
      <w:proofErr w:type="spellStart"/>
      <w:r w:rsidR="00A76A66" w:rsidRPr="00944863">
        <w:rPr>
          <w:lang w:val="es-CR"/>
        </w:rPr>
        <w:t>Otrans</w:t>
      </w:r>
      <w:proofErr w:type="spellEnd"/>
      <w:r w:rsidR="00A76A66" w:rsidRPr="00944863">
        <w:rPr>
          <w:lang w:val="es-CR"/>
        </w:rPr>
        <w:t xml:space="preserve"> – Reinas de la Noche; Ovejas Negras; Red Mexicana de Mujeres </w:t>
      </w:r>
      <w:proofErr w:type="spellStart"/>
      <w:r w:rsidR="00A76A66" w:rsidRPr="00944863">
        <w:rPr>
          <w:lang w:val="es-CR"/>
        </w:rPr>
        <w:t>Trans</w:t>
      </w:r>
      <w:proofErr w:type="spellEnd"/>
      <w:r w:rsidR="00A76A66" w:rsidRPr="00944863">
        <w:rPr>
          <w:lang w:val="es-CR"/>
        </w:rPr>
        <w:t xml:space="preserve">; Red Latinoamericana y del Caribe de Personas </w:t>
      </w:r>
      <w:proofErr w:type="spellStart"/>
      <w:r w:rsidR="00A76A66" w:rsidRPr="00944863">
        <w:rPr>
          <w:lang w:val="es-CR"/>
        </w:rPr>
        <w:t>Trans</w:t>
      </w:r>
      <w:proofErr w:type="spellEnd"/>
      <w:r w:rsidR="00A76A66" w:rsidRPr="00944863">
        <w:rPr>
          <w:lang w:val="es-CR"/>
        </w:rPr>
        <w:t xml:space="preserve"> (</w:t>
      </w:r>
      <w:proofErr w:type="spellStart"/>
      <w:r w:rsidR="00A76A66" w:rsidRPr="00944863">
        <w:rPr>
          <w:lang w:val="es-CR"/>
        </w:rPr>
        <w:t>Redlactrans</w:t>
      </w:r>
      <w:proofErr w:type="spellEnd"/>
      <w:r w:rsidR="00A76A66" w:rsidRPr="00944863">
        <w:rPr>
          <w:lang w:val="es-CR"/>
        </w:rPr>
        <w:t>); Taller Comunicación Mujer; y UNIBAM.</w:t>
      </w:r>
    </w:p>
    <w:p w:rsidR="00DB7A9C" w:rsidRPr="00944863" w:rsidRDefault="00B8267F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B7A9C" w:rsidRPr="00944863">
        <w:rPr>
          <w:lang w:val="es-CR"/>
        </w:rPr>
        <w:t>Facultad de Derecho de la Pontificia Universidad Católica de Chile</w:t>
      </w:r>
    </w:p>
    <w:p w:rsidR="00412D7F" w:rsidRPr="00944863" w:rsidRDefault="008B3407" w:rsidP="00412D7F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E3023E">
        <w:rPr>
          <w:lang w:val="es-CR"/>
        </w:rPr>
        <w:t xml:space="preserve"> </w:t>
      </w:r>
      <w:r w:rsidR="00412D7F" w:rsidRPr="00944863">
        <w:rPr>
          <w:lang w:val="es-CR"/>
        </w:rPr>
        <w:t>Facultad de Derecho de la Universidad Veracruzana</w:t>
      </w:r>
    </w:p>
    <w:p w:rsidR="00E3023E" w:rsidRPr="00E3023E" w:rsidRDefault="00412D7F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E3023E" w:rsidRPr="00E3023E">
        <w:rPr>
          <w:lang w:val="es-CR"/>
        </w:rPr>
        <w:t>Fundación Iguales</w:t>
      </w:r>
    </w:p>
    <w:p w:rsidR="00DB7A9C" w:rsidRPr="00944863" w:rsidRDefault="00E3023E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B7A9C" w:rsidRPr="00944863">
        <w:rPr>
          <w:lang w:val="es-CR"/>
        </w:rPr>
        <w:t xml:space="preserve">Fundación Myrna </w:t>
      </w:r>
      <w:proofErr w:type="spellStart"/>
      <w:r w:rsidR="00DB7A9C" w:rsidRPr="00944863">
        <w:rPr>
          <w:lang w:val="es-CR"/>
        </w:rPr>
        <w:t>Mack</w:t>
      </w:r>
      <w:proofErr w:type="spellEnd"/>
    </w:p>
    <w:p w:rsidR="00DB7A9C" w:rsidRPr="00944863" w:rsidRDefault="00DB7A9C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 xml:space="preserve">Grupo de </w:t>
      </w:r>
      <w:r w:rsidR="004C452F">
        <w:t xml:space="preserve">estudiantes de la </w:t>
      </w:r>
      <w:r w:rsidRPr="00944863">
        <w:rPr>
          <w:lang w:val="es-CR"/>
        </w:rPr>
        <w:t xml:space="preserve">Escuela Libre de Derecho de México. </w:t>
      </w:r>
      <w:r w:rsidRPr="00197DC9">
        <w:rPr>
          <w:lang w:val="es-CR"/>
        </w:rPr>
        <w:t xml:space="preserve">Coordinadores: Daniel Esquivel Garay, </w:t>
      </w:r>
      <w:proofErr w:type="spellStart"/>
      <w:r w:rsidRPr="00197DC9">
        <w:rPr>
          <w:lang w:val="es-CR"/>
        </w:rPr>
        <w:t>Marianna</w:t>
      </w:r>
      <w:proofErr w:type="spellEnd"/>
      <w:r w:rsidRPr="00197DC9">
        <w:rPr>
          <w:lang w:val="es-CR"/>
        </w:rPr>
        <w:t xml:space="preserve"> Olivia Loredo Celaya, Claudio Martínez </w:t>
      </w:r>
      <w:proofErr w:type="spellStart"/>
      <w:r w:rsidRPr="008B3407">
        <w:rPr>
          <w:lang w:val="es-CR"/>
        </w:rPr>
        <w:t>Santistevan</w:t>
      </w:r>
      <w:proofErr w:type="spellEnd"/>
      <w:r w:rsidRPr="00197DC9">
        <w:rPr>
          <w:lang w:val="es-CR"/>
        </w:rPr>
        <w:t xml:space="preserve">. Integrantes: </w:t>
      </w:r>
      <w:proofErr w:type="spellStart"/>
      <w:r w:rsidRPr="00197DC9">
        <w:rPr>
          <w:lang w:val="es-CR"/>
        </w:rPr>
        <w:t>Aranxa</w:t>
      </w:r>
      <w:proofErr w:type="spellEnd"/>
      <w:r w:rsidRPr="00197DC9">
        <w:rPr>
          <w:lang w:val="es-CR"/>
        </w:rPr>
        <w:t xml:space="preserve"> Bello Brindis; Daniela Morales Galván Duque; Eduardo González Ávila; Alejandra Muñoz Castillo Rosete Mac </w:t>
      </w:r>
      <w:proofErr w:type="spellStart"/>
      <w:r w:rsidRPr="00197DC9">
        <w:rPr>
          <w:lang w:val="es-CR"/>
        </w:rPr>
        <w:t>Gregor</w:t>
      </w:r>
      <w:proofErr w:type="spellEnd"/>
      <w:r w:rsidRPr="00197DC9">
        <w:rPr>
          <w:lang w:val="es-CR"/>
        </w:rPr>
        <w:t xml:space="preserve">; Jimena </w:t>
      </w:r>
      <w:proofErr w:type="spellStart"/>
      <w:r w:rsidRPr="00197DC9">
        <w:rPr>
          <w:lang w:val="es-CR"/>
        </w:rPr>
        <w:t>Pulliam</w:t>
      </w:r>
      <w:proofErr w:type="spellEnd"/>
      <w:r w:rsidRPr="00197DC9">
        <w:rPr>
          <w:lang w:val="es-CR"/>
        </w:rPr>
        <w:t xml:space="preserve"> de Teresa, Carlos Rodolfo Ríos Armillas. Asesor: Lic. Elí Rodríguez Martínez</w:t>
      </w:r>
    </w:p>
    <w:p w:rsidR="00DB7A9C" w:rsidRPr="00944863" w:rsidRDefault="00DB7A9C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Grupo de Investigación Problemas Contemporáneos del Derecho y la Política (GIPCODEP), adscrito a la Facultad de Derecho y Ciencias Políticas de la Universidad de San Buenaventura Cali</w:t>
      </w:r>
    </w:p>
    <w:p w:rsidR="008B3407" w:rsidRPr="00944863" w:rsidRDefault="00DB7A9C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8B3407" w:rsidRPr="00944863">
        <w:rPr>
          <w:lang w:val="es-CR"/>
        </w:rPr>
        <w:t>“Humanismo y Legalidad”, “</w:t>
      </w:r>
      <w:proofErr w:type="spellStart"/>
      <w:r w:rsidR="008B3407" w:rsidRPr="00944863">
        <w:rPr>
          <w:lang w:val="es-CR"/>
        </w:rPr>
        <w:t>Ixtlamatque</w:t>
      </w:r>
      <w:proofErr w:type="spellEnd"/>
      <w:r w:rsidR="008B3407" w:rsidRPr="00944863">
        <w:rPr>
          <w:lang w:val="es-CR"/>
        </w:rPr>
        <w:t xml:space="preserve"> </w:t>
      </w:r>
      <w:proofErr w:type="spellStart"/>
      <w:r w:rsidR="008B3407" w:rsidRPr="00944863">
        <w:rPr>
          <w:lang w:val="es-CR"/>
        </w:rPr>
        <w:t>Ukari</w:t>
      </w:r>
      <w:proofErr w:type="spellEnd"/>
      <w:r w:rsidR="008B3407" w:rsidRPr="00944863">
        <w:rPr>
          <w:lang w:val="es-CR"/>
        </w:rPr>
        <w:t xml:space="preserve"> A.C” y “La Cana Proyecto de Reinserción Social”</w:t>
      </w:r>
    </w:p>
    <w:p w:rsidR="0091492D" w:rsidRPr="00944863" w:rsidRDefault="00920446" w:rsidP="0091492D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1492D" w:rsidRPr="00944863">
        <w:rPr>
          <w:rFonts w:eastAsiaTheme="minorHAnsi" w:cs="Arial"/>
          <w:lang w:val="es-CR"/>
        </w:rPr>
        <w:t xml:space="preserve">Jorge Kenneth Burbano </w:t>
      </w:r>
      <w:proofErr w:type="spellStart"/>
      <w:r w:rsidR="0091492D" w:rsidRPr="00944863">
        <w:rPr>
          <w:rFonts w:eastAsiaTheme="minorHAnsi" w:cs="Arial"/>
          <w:lang w:val="es-CR"/>
        </w:rPr>
        <w:t>Villamarín</w:t>
      </w:r>
      <w:proofErr w:type="spellEnd"/>
      <w:r w:rsidR="0091492D" w:rsidRPr="00944863">
        <w:rPr>
          <w:rFonts w:eastAsiaTheme="minorHAnsi" w:cs="Arial"/>
          <w:lang w:val="es-CR"/>
        </w:rPr>
        <w:t xml:space="preserve">, Laura Melisa Posada Orjuela y Hans </w:t>
      </w:r>
      <w:r w:rsidR="0091492D" w:rsidRPr="0091492D">
        <w:rPr>
          <w:lang w:val="es-CR"/>
        </w:rPr>
        <w:t>Alexander</w:t>
      </w:r>
      <w:r w:rsidR="0091492D" w:rsidRPr="00944863">
        <w:rPr>
          <w:rFonts w:eastAsiaTheme="minorHAnsi" w:cs="Arial"/>
          <w:lang w:val="es-CR"/>
        </w:rPr>
        <w:t xml:space="preserve"> Villalobos Díaz</w:t>
      </w:r>
      <w:r w:rsidR="0091492D" w:rsidRPr="00944863">
        <w:rPr>
          <w:lang w:val="es-CR"/>
        </w:rPr>
        <w:t>, miembros del Observatorio de Intervención Ciudadana Constitucional de la Facultad de Derecho de la Universidad Libre de Bogotá</w:t>
      </w:r>
    </w:p>
    <w:p w:rsidR="00DE3BEC" w:rsidRPr="00944863" w:rsidRDefault="0091492D" w:rsidP="00DE3BEC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E3BEC" w:rsidRPr="00944863">
        <w:rPr>
          <w:rFonts w:eastAsiaTheme="minorHAnsi" w:cs="80yhncf"/>
          <w:lang w:val="es-CR"/>
        </w:rPr>
        <w:t>Karla Lasso Camacho y María Gracia Naranjo Ponce,</w:t>
      </w:r>
      <w:r w:rsidR="00DE3BEC" w:rsidRPr="00944863">
        <w:rPr>
          <w:lang w:val="es-CR"/>
        </w:rPr>
        <w:t xml:space="preserve"> estudiantes de la Clínica Jurídica de la Universidad San Francisco de Quito</w:t>
      </w:r>
    </w:p>
    <w:p w:rsidR="00920446" w:rsidRDefault="00DE3BEC" w:rsidP="0092044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20446">
        <w:rPr>
          <w:lang w:val="es-CR"/>
        </w:rPr>
        <w:t>LIBERARTE Asesoría Psicológica</w:t>
      </w:r>
    </w:p>
    <w:p w:rsidR="00920446" w:rsidRPr="00944863" w:rsidRDefault="00920446" w:rsidP="00920446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Movimiento Diversidad pro Derechos Humanos y Salud</w:t>
      </w:r>
    </w:p>
    <w:p w:rsidR="00B367AD" w:rsidRPr="00944863" w:rsidRDefault="00920446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367AD" w:rsidRPr="00944863">
        <w:rPr>
          <w:lang w:val="es-CR"/>
        </w:rPr>
        <w:t>Natalia Castro y Gerardo Acosta, miembros del Grupo de Litigio de Interés Público de la Universidad del Norte</w:t>
      </w:r>
    </w:p>
    <w:p w:rsidR="00B367AD" w:rsidRPr="00944863" w:rsidRDefault="00B367A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 xml:space="preserve">Red Lésbica </w:t>
      </w:r>
      <w:proofErr w:type="spellStart"/>
      <w:r w:rsidRPr="00944863">
        <w:rPr>
          <w:lang w:val="es-CR"/>
        </w:rPr>
        <w:t>Cattrachas</w:t>
      </w:r>
      <w:proofErr w:type="spellEnd"/>
      <w:r w:rsidRPr="00944863">
        <w:rPr>
          <w:lang w:val="es-CR"/>
        </w:rPr>
        <w:t xml:space="preserve"> de Honduras</w:t>
      </w:r>
    </w:p>
    <w:p w:rsidR="00B367AD" w:rsidRPr="00944863" w:rsidRDefault="00B367A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Parlamentarios para la Acción Global</w:t>
      </w:r>
    </w:p>
    <w:p w:rsidR="00E3023E" w:rsidRPr="00190DC5" w:rsidRDefault="008B3407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n-US"/>
        </w:rPr>
      </w:pPr>
      <w:r w:rsidRPr="00190DC5">
        <w:rPr>
          <w:lang w:val="en-US"/>
        </w:rPr>
        <w:t xml:space="preserve"> </w:t>
      </w:r>
      <w:r w:rsidR="00E3023E" w:rsidRPr="00190DC5">
        <w:rPr>
          <w:lang w:val="en-US"/>
        </w:rPr>
        <w:t>The Impact Litigation Project of the Center for Human Rights &amp; Humanitarian Law at American University Washington College of Law</w:t>
      </w:r>
    </w:p>
    <w:p w:rsidR="00B367AD" w:rsidRPr="00190DC5" w:rsidRDefault="00B367AD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n-US"/>
        </w:rPr>
      </w:pPr>
      <w:r w:rsidRPr="00190DC5">
        <w:rPr>
          <w:lang w:val="en-US"/>
        </w:rPr>
        <w:t>The John Marshall Law School International Human Rights Clinic</w:t>
      </w:r>
    </w:p>
    <w:p w:rsidR="00E3023E" w:rsidRPr="00944863" w:rsidRDefault="00E3023E" w:rsidP="00197DC9">
      <w:pPr>
        <w:pStyle w:val="ListParagraph"/>
        <w:numPr>
          <w:ilvl w:val="0"/>
          <w:numId w:val="24"/>
        </w:numPr>
        <w:spacing w:before="120" w:after="120"/>
        <w:ind w:left="1208" w:right="11" w:hanging="357"/>
        <w:jc w:val="both"/>
        <w:rPr>
          <w:lang w:val="es-CR"/>
        </w:rPr>
      </w:pPr>
      <w:r w:rsidRPr="00944863">
        <w:rPr>
          <w:lang w:val="es-CR"/>
        </w:rPr>
        <w:t>Universidad Centroamericana José Simeón Cañas</w:t>
      </w:r>
    </w:p>
    <w:p w:rsidR="009F29DD" w:rsidRPr="00197DC9" w:rsidRDefault="009F29DD" w:rsidP="009F29DD">
      <w:pPr>
        <w:pStyle w:val="ListParagraph"/>
        <w:numPr>
          <w:ilvl w:val="0"/>
          <w:numId w:val="16"/>
        </w:numPr>
        <w:spacing w:before="120" w:after="120"/>
        <w:ind w:left="924" w:right="11" w:hanging="357"/>
        <w:jc w:val="both"/>
        <w:rPr>
          <w:smallCaps/>
          <w:lang w:val="es-CR"/>
        </w:rPr>
      </w:pPr>
      <w:r w:rsidRPr="00197DC9">
        <w:rPr>
          <w:b/>
          <w:smallCaps/>
          <w:lang w:val="es-CR"/>
        </w:rPr>
        <w:t xml:space="preserve">Observaciones </w:t>
      </w:r>
      <w:r w:rsidR="00937000" w:rsidRPr="00197DC9">
        <w:rPr>
          <w:b/>
          <w:smallCaps/>
          <w:lang w:val="es-CR"/>
        </w:rPr>
        <w:t xml:space="preserve">escritas </w:t>
      </w:r>
      <w:r w:rsidRPr="00197DC9">
        <w:rPr>
          <w:b/>
          <w:smallCaps/>
          <w:lang w:val="es-CR"/>
        </w:rPr>
        <w:t>presentadas por individuos de la sociedad civil:</w:t>
      </w:r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Alicia I. Curiel, Profesora Regular Adjunta de Derechos Humanos y Garantías de la Universidad de Buenos Aires y Luciano Varela, Maestrando en Derechos Humanos de la Universidad Nacional de la Plata</w:t>
      </w:r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 w:rsidRPr="00B00598">
        <w:rPr>
          <w:lang w:val="es-CR"/>
        </w:rPr>
        <w:lastRenderedPageBreak/>
        <w:t xml:space="preserve"> </w:t>
      </w:r>
      <w:proofErr w:type="spellStart"/>
      <w:r w:rsidRPr="00B00598">
        <w:rPr>
          <w:lang w:val="es-CR"/>
        </w:rPr>
        <w:t>Cristabel</w:t>
      </w:r>
      <w:proofErr w:type="spellEnd"/>
      <w:r w:rsidRPr="00B00598">
        <w:rPr>
          <w:lang w:val="es-CR"/>
        </w:rPr>
        <w:t xml:space="preserve"> Mañón Vallejo, </w:t>
      </w:r>
      <w:proofErr w:type="spellStart"/>
      <w:r w:rsidRPr="00B00598">
        <w:rPr>
          <w:lang w:val="es-CR"/>
        </w:rPr>
        <w:t>Nahuiquetzalli</w:t>
      </w:r>
      <w:proofErr w:type="spellEnd"/>
      <w:r w:rsidRPr="00B00598">
        <w:rPr>
          <w:lang w:val="es-CR"/>
        </w:rPr>
        <w:t xml:space="preserve"> Pérez Mañón y José Manuel Pérez Guerra</w:t>
      </w:r>
    </w:p>
    <w:p w:rsidR="00B367AD" w:rsidRPr="00944863" w:rsidRDefault="009C71E6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 w:rsidRPr="00944863">
        <w:rPr>
          <w:lang w:val="es-CR"/>
        </w:rPr>
        <w:t xml:space="preserve"> </w:t>
      </w:r>
      <w:r w:rsidR="00B367AD" w:rsidRPr="00944863">
        <w:rPr>
          <w:lang w:val="es-CR"/>
        </w:rPr>
        <w:t>Damián A. González-</w:t>
      </w:r>
      <w:proofErr w:type="spellStart"/>
      <w:r w:rsidR="00B367AD" w:rsidRPr="00944863">
        <w:rPr>
          <w:lang w:val="es-CR"/>
        </w:rPr>
        <w:t>Salzberg</w:t>
      </w:r>
      <w:proofErr w:type="spellEnd"/>
      <w:r w:rsidR="00B367AD" w:rsidRPr="00944863">
        <w:rPr>
          <w:lang w:val="es-CR"/>
        </w:rPr>
        <w:t xml:space="preserve">, Docente e investigador en Derecho Internacional de los Derechos Humanos de la </w:t>
      </w:r>
      <w:proofErr w:type="spellStart"/>
      <w:r w:rsidR="00B367AD" w:rsidRPr="00944863">
        <w:rPr>
          <w:lang w:val="es-CR"/>
        </w:rPr>
        <w:t>University</w:t>
      </w:r>
      <w:proofErr w:type="spellEnd"/>
      <w:r w:rsidR="00B367AD" w:rsidRPr="00944863">
        <w:rPr>
          <w:lang w:val="es-CR"/>
        </w:rPr>
        <w:t xml:space="preserve"> of Sheffield</w:t>
      </w:r>
    </w:p>
    <w:p w:rsidR="00D25B44" w:rsidRPr="00944863" w:rsidRDefault="00D25B44" w:rsidP="00D25B44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Daniel Arturo Valverde Mesén</w:t>
      </w:r>
    </w:p>
    <w:p w:rsidR="008C2ED1" w:rsidRPr="00944863" w:rsidRDefault="008C2ED1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 xml:space="preserve">Elena </w:t>
      </w:r>
      <w:proofErr w:type="spellStart"/>
      <w:r w:rsidRPr="00944863">
        <w:rPr>
          <w:lang w:val="es-CR"/>
        </w:rPr>
        <w:t>Hernáiz</w:t>
      </w:r>
      <w:proofErr w:type="spellEnd"/>
      <w:r w:rsidRPr="00944863">
        <w:rPr>
          <w:lang w:val="es-CR"/>
        </w:rPr>
        <w:t xml:space="preserve"> </w:t>
      </w:r>
      <w:proofErr w:type="spellStart"/>
      <w:r w:rsidRPr="00944863">
        <w:rPr>
          <w:lang w:val="es-CR"/>
        </w:rPr>
        <w:t>Landáez</w:t>
      </w:r>
      <w:proofErr w:type="spellEnd"/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Erick Vargas Campos</w:t>
      </w:r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Pr="00944863">
        <w:rPr>
          <w:lang w:val="es-CR"/>
        </w:rPr>
        <w:t>Hermán</w:t>
      </w:r>
      <w:proofErr w:type="spellEnd"/>
      <w:r w:rsidRPr="00944863">
        <w:rPr>
          <w:lang w:val="es-CR"/>
        </w:rPr>
        <w:t xml:space="preserve"> M. Duarte </w:t>
      </w:r>
      <w:proofErr w:type="spellStart"/>
      <w:r w:rsidRPr="00944863">
        <w:rPr>
          <w:lang w:val="es-CR"/>
        </w:rPr>
        <w:t>Iraheta</w:t>
      </w:r>
      <w:proofErr w:type="spellEnd"/>
    </w:p>
    <w:p w:rsidR="008C2ED1" w:rsidRPr="00944863" w:rsidRDefault="008C2ED1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Pr="00944863">
        <w:rPr>
          <w:lang w:val="es-CR"/>
        </w:rPr>
        <w:t>Ivonei</w:t>
      </w:r>
      <w:proofErr w:type="spellEnd"/>
      <w:r w:rsidRPr="00944863">
        <w:rPr>
          <w:lang w:val="es-CR"/>
        </w:rPr>
        <w:t xml:space="preserve"> Souza </w:t>
      </w:r>
      <w:proofErr w:type="spellStart"/>
      <w:r w:rsidRPr="00944863">
        <w:rPr>
          <w:lang w:val="es-CR"/>
        </w:rPr>
        <w:t>Trindade</w:t>
      </w:r>
      <w:proofErr w:type="spellEnd"/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Jorge Alberto Pérez Tolentino</w:t>
      </w:r>
    </w:p>
    <w:p w:rsidR="00B367AD" w:rsidRPr="004800D7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José Benjamín González Mauricio</w:t>
      </w:r>
      <w:r w:rsidRPr="004800D7">
        <w:rPr>
          <w:lang w:val="es-CR"/>
        </w:rPr>
        <w:t xml:space="preserve">, Andrea </w:t>
      </w:r>
      <w:proofErr w:type="spellStart"/>
      <w:r w:rsidRPr="004800D7">
        <w:rPr>
          <w:lang w:val="es-CR"/>
        </w:rPr>
        <w:t>Yatzil</w:t>
      </w:r>
      <w:proofErr w:type="spellEnd"/>
      <w:r w:rsidRPr="004800D7">
        <w:rPr>
          <w:lang w:val="es-CR"/>
        </w:rPr>
        <w:t xml:space="preserve"> Lamas Sánchez, </w:t>
      </w:r>
      <w:proofErr w:type="spellStart"/>
      <w:r w:rsidRPr="004800D7">
        <w:rPr>
          <w:lang w:val="es-CR"/>
        </w:rPr>
        <w:t>Izack</w:t>
      </w:r>
      <w:proofErr w:type="spellEnd"/>
      <w:r w:rsidRPr="004800D7">
        <w:rPr>
          <w:lang w:val="es-CR"/>
        </w:rPr>
        <w:t xml:space="preserve"> Alberto Zacarías Najar, Rafael Ríos Nuño, Carlos Eduardo </w:t>
      </w:r>
      <w:proofErr w:type="spellStart"/>
      <w:r w:rsidRPr="004800D7">
        <w:rPr>
          <w:lang w:val="es-CR"/>
        </w:rPr>
        <w:t>Moyado</w:t>
      </w:r>
      <w:proofErr w:type="spellEnd"/>
      <w:r w:rsidRPr="004800D7">
        <w:rPr>
          <w:lang w:val="es-CR"/>
        </w:rPr>
        <w:t xml:space="preserve"> Zapata y </w:t>
      </w:r>
      <w:proofErr w:type="spellStart"/>
      <w:r w:rsidRPr="004800D7">
        <w:rPr>
          <w:lang w:val="es-CR"/>
        </w:rPr>
        <w:t>Kristyan</w:t>
      </w:r>
      <w:proofErr w:type="spellEnd"/>
      <w:r w:rsidRPr="004800D7">
        <w:rPr>
          <w:lang w:val="es-CR"/>
        </w:rPr>
        <w:t xml:space="preserve"> </w:t>
      </w:r>
      <w:proofErr w:type="spellStart"/>
      <w:r w:rsidRPr="004800D7">
        <w:rPr>
          <w:lang w:val="es-CR"/>
        </w:rPr>
        <w:t>Felype</w:t>
      </w:r>
      <w:proofErr w:type="spellEnd"/>
      <w:r w:rsidRPr="004800D7">
        <w:rPr>
          <w:lang w:val="es-CR"/>
        </w:rPr>
        <w:t xml:space="preserve"> Luis Navarro.</w:t>
      </w:r>
    </w:p>
    <w:p w:rsidR="00B367A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Josefina Fernández</w:t>
      </w:r>
      <w:r w:rsidRPr="00B00598">
        <w:rPr>
          <w:lang w:val="es-CR"/>
        </w:rPr>
        <w:t xml:space="preserve">, Paula </w:t>
      </w:r>
      <w:proofErr w:type="spellStart"/>
      <w:r w:rsidRPr="00B00598">
        <w:rPr>
          <w:lang w:val="es-CR"/>
        </w:rPr>
        <w:t>Viturro</w:t>
      </w:r>
      <w:proofErr w:type="spellEnd"/>
      <w:r w:rsidRPr="00B00598">
        <w:rPr>
          <w:lang w:val="es-CR"/>
        </w:rPr>
        <w:t xml:space="preserve"> y Emiliano </w:t>
      </w:r>
      <w:proofErr w:type="spellStart"/>
      <w:r w:rsidRPr="00B00598">
        <w:rPr>
          <w:lang w:val="es-CR"/>
        </w:rPr>
        <w:t>Litardo</w:t>
      </w:r>
      <w:proofErr w:type="spellEnd"/>
    </w:p>
    <w:p w:rsidR="00412D7F" w:rsidRPr="00944863" w:rsidRDefault="00B367AD" w:rsidP="00412D7F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412D7F" w:rsidRPr="00944863">
        <w:rPr>
          <w:lang w:val="es-CR"/>
        </w:rPr>
        <w:t>Luis Alejandro Álvarez Mo</w:t>
      </w:r>
      <w:r w:rsidR="00412D7F">
        <w:rPr>
          <w:lang w:val="es-CR"/>
        </w:rPr>
        <w:t>r</w:t>
      </w:r>
      <w:r w:rsidR="00412D7F" w:rsidRPr="00944863">
        <w:rPr>
          <w:lang w:val="es-CR"/>
        </w:rPr>
        <w:t xml:space="preserve">a y María José Vicente Ureña </w:t>
      </w:r>
    </w:p>
    <w:p w:rsidR="00B367AD" w:rsidRPr="00944863" w:rsidRDefault="00412D7F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B367AD" w:rsidRPr="00944863">
        <w:rPr>
          <w:lang w:val="es-CR"/>
        </w:rPr>
        <w:t xml:space="preserve">Luis Chinchilla, Nadia Mejía, </w:t>
      </w:r>
      <w:proofErr w:type="spellStart"/>
      <w:r w:rsidR="00B367AD" w:rsidRPr="00944863">
        <w:rPr>
          <w:lang w:val="es-CR"/>
        </w:rPr>
        <w:t>Isiss</w:t>
      </w:r>
      <w:proofErr w:type="spellEnd"/>
      <w:r w:rsidR="00B367AD" w:rsidRPr="00944863">
        <w:rPr>
          <w:lang w:val="es-CR"/>
        </w:rPr>
        <w:t xml:space="preserve"> </w:t>
      </w:r>
      <w:proofErr w:type="spellStart"/>
      <w:r w:rsidR="00B367AD" w:rsidRPr="00944863">
        <w:rPr>
          <w:lang w:val="es-CR"/>
        </w:rPr>
        <w:t>Turcios</w:t>
      </w:r>
      <w:proofErr w:type="spellEnd"/>
      <w:r w:rsidR="00B367AD" w:rsidRPr="00944863">
        <w:rPr>
          <w:lang w:val="es-CR"/>
        </w:rPr>
        <w:t xml:space="preserve"> y Larissa Reyes</w:t>
      </w:r>
    </w:p>
    <w:p w:rsidR="008C2ED1" w:rsidRPr="00944863" w:rsidRDefault="008C2ED1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 xml:space="preserve">Luis Peraza </w:t>
      </w:r>
      <w:proofErr w:type="spellStart"/>
      <w:r w:rsidRPr="00944863">
        <w:rPr>
          <w:lang w:val="es-CR"/>
        </w:rPr>
        <w:t>Parga</w:t>
      </w:r>
      <w:proofErr w:type="spellEnd"/>
    </w:p>
    <w:p w:rsidR="00D25B44" w:rsidRPr="00944863" w:rsidRDefault="00B367AD" w:rsidP="00D25B44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25B44" w:rsidRPr="00944863">
        <w:rPr>
          <w:lang w:val="es-CR"/>
        </w:rPr>
        <w:t xml:space="preserve">María Fernanda Téllez Girón García, Giovanni Alexander Salgado Cipriano, </w:t>
      </w:r>
      <w:proofErr w:type="spellStart"/>
      <w:r w:rsidR="00D25B44" w:rsidRPr="00944863">
        <w:rPr>
          <w:lang w:val="es-CR"/>
        </w:rPr>
        <w:t>Yoceline</w:t>
      </w:r>
      <w:proofErr w:type="spellEnd"/>
      <w:r w:rsidR="00D25B44" w:rsidRPr="00944863">
        <w:rPr>
          <w:lang w:val="es-CR"/>
        </w:rPr>
        <w:t xml:space="preserve"> Gutiérrez Montoya y Daniela Reyes Rodríguez</w:t>
      </w:r>
    </w:p>
    <w:p w:rsidR="0048708E" w:rsidRPr="00944863" w:rsidRDefault="00D25B44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41E3D" w:rsidRPr="00944863">
        <w:rPr>
          <w:lang w:val="es-CR"/>
        </w:rPr>
        <w:t>Michael Vinicio Sánchez Araya</w:t>
      </w:r>
    </w:p>
    <w:p w:rsidR="00412D7F" w:rsidRPr="00944863" w:rsidRDefault="00412D7F" w:rsidP="00412D7F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Pr="00944863">
        <w:rPr>
          <w:lang w:val="es-CR"/>
        </w:rPr>
        <w:t>Monseñor Óscar Fernández Guillén, Presidente y representante de la Conferencia Episcopal Nacional de Costa Rica</w:t>
      </w:r>
    </w:p>
    <w:p w:rsidR="00941E3D" w:rsidRPr="00944863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941E3D" w:rsidRPr="00944863">
        <w:rPr>
          <w:lang w:val="es-CR"/>
        </w:rPr>
        <w:t xml:space="preserve">Pablo </w:t>
      </w:r>
      <w:proofErr w:type="spellStart"/>
      <w:r w:rsidR="00941E3D" w:rsidRPr="00944863">
        <w:rPr>
          <w:lang w:val="es-CR"/>
        </w:rPr>
        <w:t>Stolze</w:t>
      </w:r>
      <w:proofErr w:type="spellEnd"/>
      <w:r w:rsidR="004800D7">
        <w:rPr>
          <w:lang w:val="es-CR"/>
        </w:rPr>
        <w:t>,</w:t>
      </w:r>
      <w:r w:rsidR="00941E3D" w:rsidRPr="00944863">
        <w:rPr>
          <w:lang w:val="es-CR"/>
        </w:rPr>
        <w:t xml:space="preserve"> Profesor de Derecho Civil de la Universidad Federal de Bahía</w:t>
      </w:r>
    </w:p>
    <w:p w:rsidR="00DB7A9C" w:rsidRPr="00944863" w:rsidRDefault="009C71E6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 w:rsidRPr="00944863">
        <w:rPr>
          <w:lang w:val="es-CR"/>
        </w:rPr>
        <w:t xml:space="preserve"> </w:t>
      </w:r>
      <w:r w:rsidR="00DB7A9C" w:rsidRPr="00944863">
        <w:rPr>
          <w:lang w:val="es-CR"/>
        </w:rPr>
        <w:t xml:space="preserve">Paul </w:t>
      </w:r>
      <w:proofErr w:type="spellStart"/>
      <w:r w:rsidR="00DB7A9C" w:rsidRPr="00944863">
        <w:rPr>
          <w:lang w:val="es-CR"/>
        </w:rPr>
        <w:t>McHugh</w:t>
      </w:r>
      <w:proofErr w:type="spellEnd"/>
    </w:p>
    <w:p w:rsidR="00D25B44" w:rsidRPr="00944863" w:rsidRDefault="00DB7A9C" w:rsidP="00D25B44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25B44" w:rsidRPr="00944863">
        <w:rPr>
          <w:lang w:val="es-CR"/>
        </w:rPr>
        <w:t>Rossana Muga Gonzáles, Investigadora del Centro de Investigación Social Avanzada (CISAV-México)</w:t>
      </w:r>
    </w:p>
    <w:p w:rsidR="00412D7F" w:rsidRPr="00944863" w:rsidRDefault="00D25B44" w:rsidP="00412D7F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412D7F" w:rsidRPr="00944863">
        <w:rPr>
          <w:lang w:val="es-CR"/>
        </w:rPr>
        <w:t xml:space="preserve">Tamara Adrián y </w:t>
      </w:r>
      <w:proofErr w:type="spellStart"/>
      <w:r w:rsidR="00412D7F" w:rsidRPr="00944863">
        <w:rPr>
          <w:lang w:val="es-CR"/>
        </w:rPr>
        <w:t>Arminio</w:t>
      </w:r>
      <w:proofErr w:type="spellEnd"/>
      <w:r w:rsidR="00412D7F" w:rsidRPr="00944863">
        <w:rPr>
          <w:lang w:val="es-CR"/>
        </w:rPr>
        <w:t xml:space="preserve"> Borjas</w:t>
      </w:r>
    </w:p>
    <w:p w:rsidR="00D25B44" w:rsidRPr="00944863" w:rsidRDefault="00412D7F" w:rsidP="00D25B44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r w:rsidR="00D25B44" w:rsidRPr="00944863">
        <w:rPr>
          <w:lang w:val="es-CR"/>
        </w:rPr>
        <w:t>Víctor Alonso Vargas Sibaja y Jorge Arturo Ulloa Cordero</w:t>
      </w:r>
    </w:p>
    <w:p w:rsidR="00B367AD" w:rsidRDefault="00D25B44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="00B367AD" w:rsidRPr="00944863">
        <w:rPr>
          <w:lang w:val="es-CR"/>
        </w:rPr>
        <w:t>Xochithl</w:t>
      </w:r>
      <w:proofErr w:type="spellEnd"/>
      <w:r w:rsidR="00B367AD" w:rsidRPr="00944863">
        <w:rPr>
          <w:lang w:val="es-CR"/>
        </w:rPr>
        <w:t xml:space="preserve"> Guadalupe</w:t>
      </w:r>
      <w:r w:rsidR="00B367AD" w:rsidRPr="00B00598">
        <w:rPr>
          <w:lang w:val="es-CR"/>
        </w:rPr>
        <w:t xml:space="preserve"> </w:t>
      </w:r>
      <w:r w:rsidR="00B367AD" w:rsidRPr="00944863">
        <w:rPr>
          <w:lang w:val="es-CR"/>
        </w:rPr>
        <w:t>Rangel Romero, Profesora investigadora de la Universidad Autónoma de San Luis de Potosí</w:t>
      </w:r>
    </w:p>
    <w:p w:rsidR="009D3047" w:rsidRDefault="00B367AD" w:rsidP="00B00598">
      <w:pPr>
        <w:pStyle w:val="ListParagraph"/>
        <w:numPr>
          <w:ilvl w:val="0"/>
          <w:numId w:val="25"/>
        </w:numPr>
        <w:spacing w:before="120" w:after="120"/>
        <w:ind w:left="1208" w:right="11" w:hanging="357"/>
        <w:jc w:val="both"/>
        <w:rPr>
          <w:lang w:val="es-CR"/>
        </w:rPr>
      </w:pPr>
      <w:r>
        <w:rPr>
          <w:lang w:val="es-CR"/>
        </w:rPr>
        <w:t xml:space="preserve"> </w:t>
      </w:r>
      <w:proofErr w:type="spellStart"/>
      <w:r w:rsidR="009D3047" w:rsidRPr="00944863">
        <w:rPr>
          <w:lang w:val="es-CR"/>
        </w:rPr>
        <w:t>Yashín</w:t>
      </w:r>
      <w:proofErr w:type="spellEnd"/>
      <w:r w:rsidR="009D3047" w:rsidRPr="00944863">
        <w:rPr>
          <w:lang w:val="es-CR"/>
        </w:rPr>
        <w:t xml:space="preserve"> Castrillo Fernández</w:t>
      </w:r>
    </w:p>
    <w:p w:rsidR="0048708E" w:rsidRPr="00944863" w:rsidRDefault="0048708E" w:rsidP="0010637D">
      <w:pPr>
        <w:spacing w:before="120" w:after="120"/>
        <w:jc w:val="both"/>
        <w:rPr>
          <w:lang w:val="es-CR"/>
        </w:rPr>
      </w:pP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  <w:r w:rsidRPr="00944863">
        <w:rPr>
          <w:b/>
          <w:caps/>
        </w:rPr>
        <w:t>Considerando QUE:</w:t>
      </w:r>
    </w:p>
    <w:p w:rsidR="0048708E" w:rsidRPr="00944863" w:rsidRDefault="0048708E" w:rsidP="0010637D">
      <w:pPr>
        <w:spacing w:before="120" w:after="120"/>
        <w:jc w:val="both"/>
        <w:rPr>
          <w:smallCaps/>
        </w:rPr>
      </w:pPr>
    </w:p>
    <w:p w:rsidR="0048708E" w:rsidRPr="00944863" w:rsidRDefault="0048708E" w:rsidP="0010637D">
      <w:pPr>
        <w:numPr>
          <w:ilvl w:val="0"/>
          <w:numId w:val="8"/>
        </w:numPr>
        <w:spacing w:before="120" w:after="120"/>
        <w:ind w:left="0" w:right="10" w:firstLine="0"/>
        <w:jc w:val="both"/>
      </w:pPr>
      <w:r w:rsidRPr="00944863">
        <w:t>Se recibieron en la Secretaría del Tribunal, dentro del plazo establecido, numerosos escritos con observaciones y documentos relevantes sobre la solicitud de opinión consultiva (</w:t>
      </w:r>
      <w:r w:rsidRPr="00944863">
        <w:rPr>
          <w:i/>
        </w:rPr>
        <w:t xml:space="preserve">supra </w:t>
      </w:r>
      <w:r w:rsidRPr="00944863">
        <w:t xml:space="preserve">Vistos </w:t>
      </w:r>
      <w:r w:rsidR="004F1B18" w:rsidRPr="00944863">
        <w:t>4</w:t>
      </w:r>
      <w:r w:rsidRPr="00944863">
        <w:t xml:space="preserve"> </w:t>
      </w:r>
      <w:r w:rsidR="004F1B18" w:rsidRPr="00944863">
        <w:t>a</w:t>
      </w:r>
      <w:r w:rsidRPr="00944863">
        <w:t xml:space="preserve"> 6</w:t>
      </w:r>
      <w:r w:rsidR="004F1B18" w:rsidRPr="00944863">
        <w:t>).</w:t>
      </w:r>
    </w:p>
    <w:p w:rsidR="0048708E" w:rsidRPr="00944863" w:rsidRDefault="0048708E" w:rsidP="0060091A">
      <w:pPr>
        <w:numPr>
          <w:ilvl w:val="0"/>
          <w:numId w:val="8"/>
        </w:numPr>
        <w:spacing w:before="120" w:after="120"/>
        <w:ind w:left="0" w:right="10" w:firstLine="0"/>
        <w:jc w:val="both"/>
      </w:pPr>
      <w:r w:rsidRPr="00944863">
        <w:t>Las observaciones escritas presentadas por</w:t>
      </w:r>
      <w:r w:rsidR="001F23C5">
        <w:t>:</w:t>
      </w:r>
      <w:r w:rsidR="0060091A" w:rsidRPr="00944863">
        <w:t xml:space="preserve"> </w:t>
      </w:r>
      <w:r w:rsidR="001F23C5" w:rsidRPr="00944863">
        <w:t>el Círculo de Derecho Internacional de la Facultad de Derecho de la Universidad del Pacífico del Perú</w:t>
      </w:r>
      <w:r w:rsidR="001F23C5">
        <w:t>,</w:t>
      </w:r>
      <w:r w:rsidR="001F23C5" w:rsidRPr="00944863">
        <w:t xml:space="preserve"> </w:t>
      </w:r>
      <w:r w:rsidR="0060091A" w:rsidRPr="00944863">
        <w:t xml:space="preserve">la Facultad de Derecho Tijuana de la Universidad Autónoma de Baja California, y Paula </w:t>
      </w:r>
      <w:proofErr w:type="spellStart"/>
      <w:r w:rsidR="0060091A" w:rsidRPr="00944863">
        <w:t>Siverino</w:t>
      </w:r>
      <w:proofErr w:type="spellEnd"/>
      <w:r w:rsidR="0060091A" w:rsidRPr="00944863">
        <w:t xml:space="preserve"> </w:t>
      </w:r>
      <w:proofErr w:type="spellStart"/>
      <w:r w:rsidR="0060091A" w:rsidRPr="00944863">
        <w:t>Bavio</w:t>
      </w:r>
      <w:proofErr w:type="spellEnd"/>
      <w:r w:rsidR="0060091A" w:rsidRPr="00944863">
        <w:rPr>
          <w:lang w:val="es-CR"/>
        </w:rPr>
        <w:t xml:space="preserve"> </w:t>
      </w:r>
      <w:r w:rsidRPr="00944863">
        <w:lastRenderedPageBreak/>
        <w:t xml:space="preserve">fueron presentadas el </w:t>
      </w:r>
      <w:r w:rsidR="00A77717" w:rsidRPr="00944863">
        <w:t>15</w:t>
      </w:r>
      <w:r w:rsidRPr="00944863">
        <w:t xml:space="preserve"> de </w:t>
      </w:r>
      <w:r w:rsidR="00A77717" w:rsidRPr="00944863">
        <w:t>febrero</w:t>
      </w:r>
      <w:r w:rsidRPr="00944863">
        <w:t xml:space="preserve"> de 2017, mientras que las observaciones escritas presentadas por </w:t>
      </w:r>
      <w:r w:rsidR="0060091A" w:rsidRPr="00944863">
        <w:t xml:space="preserve">el Grupo de </w:t>
      </w:r>
      <w:proofErr w:type="spellStart"/>
      <w:r w:rsidR="0060091A" w:rsidRPr="00944863">
        <w:t>Advogados</w:t>
      </w:r>
      <w:proofErr w:type="spellEnd"/>
      <w:r w:rsidR="0060091A" w:rsidRPr="00944863">
        <w:t xml:space="preserve"> pela </w:t>
      </w:r>
      <w:proofErr w:type="spellStart"/>
      <w:r w:rsidR="0060091A" w:rsidRPr="00944863">
        <w:t>Diversidade</w:t>
      </w:r>
      <w:proofErr w:type="spellEnd"/>
      <w:r w:rsidR="0060091A" w:rsidRPr="00944863">
        <w:t xml:space="preserve"> Sexual e de </w:t>
      </w:r>
      <w:proofErr w:type="spellStart"/>
      <w:r w:rsidR="0060091A" w:rsidRPr="00944863">
        <w:t>Gênero</w:t>
      </w:r>
      <w:proofErr w:type="spellEnd"/>
      <w:r w:rsidR="0060091A" w:rsidRPr="00944863">
        <w:t xml:space="preserve"> </w:t>
      </w:r>
      <w:r w:rsidR="001F23C5" w:rsidRPr="00944863">
        <w:t xml:space="preserve">y </w:t>
      </w:r>
      <w:proofErr w:type="spellStart"/>
      <w:r w:rsidR="001F23C5" w:rsidRPr="00944863">
        <w:t>Hermilo</w:t>
      </w:r>
      <w:proofErr w:type="spellEnd"/>
      <w:r w:rsidR="001F23C5" w:rsidRPr="00944863">
        <w:t xml:space="preserve"> Lares Contreras </w:t>
      </w:r>
      <w:r w:rsidRPr="00944863">
        <w:t xml:space="preserve">fueron presentadas </w:t>
      </w:r>
      <w:r w:rsidR="004F1B18" w:rsidRPr="00944863">
        <w:t>los días</w:t>
      </w:r>
      <w:r w:rsidRPr="00944863">
        <w:t xml:space="preserve"> </w:t>
      </w:r>
      <w:r w:rsidR="00A77717" w:rsidRPr="00944863">
        <w:t>17</w:t>
      </w:r>
      <w:r w:rsidRPr="00944863">
        <w:t xml:space="preserve"> </w:t>
      </w:r>
      <w:r w:rsidR="00A77717" w:rsidRPr="00944863">
        <w:t xml:space="preserve">y 19 </w:t>
      </w:r>
      <w:r w:rsidRPr="00944863">
        <w:t xml:space="preserve">de </w:t>
      </w:r>
      <w:r w:rsidR="00A77717" w:rsidRPr="00944863">
        <w:t>febrero</w:t>
      </w:r>
      <w:r w:rsidRPr="00944863">
        <w:t xml:space="preserve"> de 2017</w:t>
      </w:r>
      <w:r w:rsidR="004F1B18" w:rsidRPr="00944863">
        <w:t>, respectivamente</w:t>
      </w:r>
      <w:r w:rsidRPr="00944863">
        <w:t xml:space="preserve">. Al respecto, el Presidente advierte que dichas observaciones se presentaron </w:t>
      </w:r>
      <w:r w:rsidR="00A77717" w:rsidRPr="00944863">
        <w:t>un, tres y cinco</w:t>
      </w:r>
      <w:r w:rsidRPr="00944863">
        <w:t xml:space="preserve"> días luego del vencimiento del plazo establecido. Sin embargo, dada la naturaleza del presente asunto, pues no se trata de un caso contencioso sino de un procedimiento en materia consultiva</w:t>
      </w:r>
      <w:r w:rsidRPr="00944863">
        <w:rPr>
          <w:rStyle w:val="FootnoteReference"/>
        </w:rPr>
        <w:footnoteReference w:id="1"/>
      </w:r>
      <w:r w:rsidRPr="00944863">
        <w:t xml:space="preserve">, no existe afectación alguna al derecho de defensa. Por tanto, en aras de poder tomar en cuenta todas las contribuciones recibidas por este Tribunal, excepcionalmente se autoriza la incorporación de </w:t>
      </w:r>
      <w:r w:rsidR="0060091A" w:rsidRPr="00944863">
        <w:t>los referidos</w:t>
      </w:r>
      <w:r w:rsidRPr="00944863">
        <w:t xml:space="preserve"> escritos al presente procedimiento de solicitud de opinión consultiva.</w:t>
      </w:r>
    </w:p>
    <w:p w:rsidR="0048708E" w:rsidRPr="00944863" w:rsidRDefault="0048708E" w:rsidP="0010637D">
      <w:pPr>
        <w:numPr>
          <w:ilvl w:val="0"/>
          <w:numId w:val="8"/>
        </w:numPr>
        <w:spacing w:before="120" w:after="120"/>
        <w:ind w:left="0" w:right="10" w:firstLine="0"/>
        <w:jc w:val="both"/>
      </w:pPr>
      <w:r w:rsidRPr="00944863">
        <w:t>Resulta conveniente la realización del procedimiento oral establecido en el artículo 73.4 del Reglamento y que el Estado solicitante y demás Estados miembros, la Comisión Interamericana de Derechos Humanos</w:t>
      </w:r>
      <w:r w:rsidRPr="00944863">
        <w:rPr>
          <w:lang w:val="es-CR"/>
        </w:rPr>
        <w:t xml:space="preserve"> y</w:t>
      </w:r>
      <w:r w:rsidRPr="00944863">
        <w:t xml:space="preserve"> todos aquellos que presentaron sus observaciones escritas puedan presentar sus argumentos orales.</w:t>
      </w:r>
    </w:p>
    <w:p w:rsidR="0048708E" w:rsidRPr="00944863" w:rsidRDefault="0048708E" w:rsidP="0010637D">
      <w:pPr>
        <w:spacing w:before="120" w:after="120"/>
        <w:jc w:val="both"/>
      </w:pP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  <w:r w:rsidRPr="00944863">
        <w:rPr>
          <w:b/>
          <w:caps/>
        </w:rPr>
        <w:t>Por Tanto:</w:t>
      </w: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  <w:r w:rsidRPr="00944863">
        <w:rPr>
          <w:b/>
          <w:caps/>
        </w:rPr>
        <w:t>el Presidente,</w:t>
      </w:r>
    </w:p>
    <w:p w:rsidR="0048708E" w:rsidRPr="00944863" w:rsidRDefault="0048708E" w:rsidP="0010637D">
      <w:pPr>
        <w:spacing w:before="120" w:after="120"/>
        <w:jc w:val="both"/>
        <w:rPr>
          <w:b/>
          <w:smallCaps/>
        </w:rPr>
      </w:pPr>
    </w:p>
    <w:p w:rsidR="0048708E" w:rsidRPr="00944863" w:rsidRDefault="0048708E" w:rsidP="0010637D">
      <w:pPr>
        <w:spacing w:before="120" w:after="120"/>
        <w:jc w:val="both"/>
      </w:pPr>
      <w:r w:rsidRPr="00944863">
        <w:t>en cumplimiento de lo dispuesto en los artículos 24.1 del Estatuto de la Corte y 73.4 del Reglamento del Tribunal, y en ejercicio de las atribuciones conferidas por el artículo 31.2 del mismo,</w:t>
      </w: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</w:p>
    <w:p w:rsidR="0048708E" w:rsidRPr="00944863" w:rsidRDefault="0048708E" w:rsidP="0010637D">
      <w:pPr>
        <w:spacing w:before="120" w:after="120"/>
        <w:jc w:val="both"/>
        <w:rPr>
          <w:b/>
          <w:caps/>
        </w:rPr>
      </w:pPr>
      <w:r w:rsidRPr="00944863">
        <w:rPr>
          <w:b/>
          <w:caps/>
        </w:rPr>
        <w:t>Resuelve:</w:t>
      </w:r>
    </w:p>
    <w:p w:rsidR="0048708E" w:rsidRPr="00944863" w:rsidRDefault="0048708E" w:rsidP="0010637D">
      <w:pPr>
        <w:spacing w:before="120" w:after="120"/>
        <w:jc w:val="both"/>
        <w:rPr>
          <w:b/>
          <w:smallCaps/>
        </w:rPr>
      </w:pPr>
    </w:p>
    <w:p w:rsidR="0048708E" w:rsidRPr="00944863" w:rsidRDefault="0048708E" w:rsidP="0010637D">
      <w:pPr>
        <w:numPr>
          <w:ilvl w:val="0"/>
          <w:numId w:val="9"/>
        </w:numPr>
        <w:spacing w:before="120" w:after="120"/>
        <w:ind w:left="0" w:right="10" w:firstLine="0"/>
        <w:jc w:val="both"/>
      </w:pPr>
      <w:bookmarkStart w:id="2" w:name="_Ref230577466"/>
      <w:r w:rsidRPr="00944863">
        <w:t>Convocar a una audiencia pública que se celebrará</w:t>
      </w:r>
      <w:r w:rsidR="00E741D6" w:rsidRPr="00944863">
        <w:t xml:space="preserve"> </w:t>
      </w:r>
      <w:r w:rsidR="00410C77" w:rsidRPr="005D0D27">
        <w:t>los días 16</w:t>
      </w:r>
      <w:r w:rsidR="005D0D27" w:rsidRPr="005D0D27">
        <w:t xml:space="preserve"> de mayo de 2017</w:t>
      </w:r>
      <w:r w:rsidR="00410C77" w:rsidRPr="005D0D27">
        <w:t>, a partir de las 15:00 horas, y 17 de</w:t>
      </w:r>
      <w:r w:rsidR="005D0D27" w:rsidRPr="005D0D27">
        <w:t>l mismo mes</w:t>
      </w:r>
      <w:r w:rsidR="00410C77" w:rsidRPr="005D0D27">
        <w:t>, a partir de las 9:00 horas,</w:t>
      </w:r>
      <w:r w:rsidR="00410C77">
        <w:t xml:space="preserve"> durante el </w:t>
      </w:r>
      <w:r w:rsidRPr="00944863">
        <w:t xml:space="preserve">durante el </w:t>
      </w:r>
      <w:r w:rsidR="00E741D6" w:rsidRPr="00944863">
        <w:rPr>
          <w:lang w:val="es-CR"/>
        </w:rPr>
        <w:t>118°</w:t>
      </w:r>
      <w:r w:rsidRPr="00944863">
        <w:rPr>
          <w:lang w:val="es-CR"/>
        </w:rPr>
        <w:t xml:space="preserve"> Período </w:t>
      </w:r>
      <w:r w:rsidR="00E741D6" w:rsidRPr="00944863">
        <w:rPr>
          <w:lang w:val="es-CR"/>
        </w:rPr>
        <w:t>O</w:t>
      </w:r>
      <w:r w:rsidRPr="00944863">
        <w:rPr>
          <w:lang w:val="es-CR"/>
        </w:rPr>
        <w:t xml:space="preserve">rdinario de Sesiones, que se realizará </w:t>
      </w:r>
      <w:r w:rsidR="00E741D6" w:rsidRPr="00944863">
        <w:t>en la sede del Tribunal en San José, Costa Rica</w:t>
      </w:r>
      <w:r w:rsidRPr="00944863">
        <w:t>, para recibir argumentos orales sobre la solicitud de opinión consultiva OC-2</w:t>
      </w:r>
      <w:r w:rsidR="00E741D6" w:rsidRPr="00944863">
        <w:t>4</w:t>
      </w:r>
      <w:r w:rsidRPr="00944863">
        <w:t xml:space="preserve"> presentada por el Estado de </w:t>
      </w:r>
      <w:r w:rsidR="00E741D6" w:rsidRPr="00944863">
        <w:t>Costa Rica</w:t>
      </w:r>
      <w:r w:rsidRPr="00944863">
        <w:t>.</w:t>
      </w:r>
    </w:p>
    <w:bookmarkEnd w:id="2"/>
    <w:p w:rsidR="0048708E" w:rsidRPr="00944863" w:rsidRDefault="0048708E" w:rsidP="0010637D">
      <w:pPr>
        <w:numPr>
          <w:ilvl w:val="0"/>
          <w:numId w:val="9"/>
        </w:numPr>
        <w:spacing w:before="120" w:after="120"/>
        <w:ind w:left="0" w:right="10" w:firstLine="0"/>
        <w:jc w:val="both"/>
      </w:pPr>
      <w:r w:rsidRPr="00944863">
        <w:t xml:space="preserve">Solicitar a los Estados miembros, a los órganos de la OEA y a aquellos que presentaron observaciones escritas que informen, a más tardar el </w:t>
      </w:r>
      <w:r w:rsidR="005D0D27" w:rsidRPr="005D0D27">
        <w:t>20</w:t>
      </w:r>
      <w:r w:rsidRPr="00944863">
        <w:t xml:space="preserve"> de </w:t>
      </w:r>
      <w:r w:rsidR="00750D99">
        <w:t>abril</w:t>
      </w:r>
      <w:r w:rsidRPr="00944863">
        <w:t xml:space="preserve"> de 2017, si desean participar en la audiencia convocada por esta Presidencia.</w:t>
      </w:r>
    </w:p>
    <w:p w:rsidR="0048708E" w:rsidRPr="00944863" w:rsidRDefault="0048708E" w:rsidP="0010637D">
      <w:pPr>
        <w:numPr>
          <w:ilvl w:val="0"/>
          <w:numId w:val="9"/>
        </w:numPr>
        <w:spacing w:before="120" w:after="120"/>
        <w:ind w:left="0" w:right="10" w:firstLine="0"/>
        <w:jc w:val="both"/>
      </w:pPr>
      <w:r w:rsidRPr="00944863">
        <w:rPr>
          <w:rFonts w:cs="Verdana"/>
          <w:lang w:val="es-ES" w:eastAsia="es-ES"/>
        </w:rPr>
        <w:t xml:space="preserve">Disponer que la Secretaría de la Corte Interamericana notifique </w:t>
      </w:r>
      <w:r w:rsidRPr="00944863">
        <w:t>esta Resolución al Estado solicitante, a los demás Estados miembros de la Organización de los Estados Americanos, a todos los órganos a que se refiere el artículo 73.1 del Reglamento de la Corte y a todos aquellos que presentaron observaciones escritas con motivo de la solicitud de opinión consultiva OC-2</w:t>
      </w:r>
      <w:r w:rsidR="003922C7" w:rsidRPr="00944863">
        <w:t>4</w:t>
      </w:r>
      <w:r w:rsidRPr="00944863">
        <w:t>.</w:t>
      </w:r>
    </w:p>
    <w:p w:rsidR="0048708E" w:rsidRPr="00944863" w:rsidRDefault="0048708E" w:rsidP="0010637D">
      <w:pPr>
        <w:pStyle w:val="BodyText"/>
        <w:spacing w:before="120"/>
        <w:jc w:val="both"/>
      </w:pPr>
    </w:p>
    <w:p w:rsidR="0048708E" w:rsidRPr="00944863" w:rsidRDefault="0048708E" w:rsidP="0010637D">
      <w:pPr>
        <w:autoSpaceDE w:val="0"/>
        <w:autoSpaceDN w:val="0"/>
        <w:adjustRightInd w:val="0"/>
        <w:spacing w:before="120" w:after="120"/>
        <w:jc w:val="both"/>
        <w:rPr>
          <w:rFonts w:cs="Verdana"/>
          <w:lang w:val="es-ES"/>
        </w:rPr>
      </w:pPr>
    </w:p>
    <w:p w:rsidR="0048708E" w:rsidRPr="00944863" w:rsidRDefault="0048708E" w:rsidP="0010637D">
      <w:pPr>
        <w:autoSpaceDE w:val="0"/>
        <w:autoSpaceDN w:val="0"/>
        <w:adjustRightInd w:val="0"/>
        <w:spacing w:before="120" w:after="120"/>
        <w:jc w:val="both"/>
        <w:rPr>
          <w:rFonts w:cs="Verdana"/>
          <w:lang w:val="es-ES"/>
        </w:rPr>
      </w:pPr>
    </w:p>
    <w:p w:rsidR="0048708E" w:rsidRPr="00944863" w:rsidRDefault="0048708E" w:rsidP="0010637D">
      <w:pPr>
        <w:autoSpaceDE w:val="0"/>
        <w:autoSpaceDN w:val="0"/>
        <w:adjustRightInd w:val="0"/>
        <w:spacing w:before="120" w:after="120"/>
        <w:jc w:val="both"/>
        <w:rPr>
          <w:rFonts w:cs="Verdana"/>
          <w:lang w:val="es-ES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3540" w:firstLine="720"/>
        <w:jc w:val="center"/>
        <w:rPr>
          <w:lang w:val="pt-BR"/>
        </w:rPr>
      </w:pPr>
      <w:r w:rsidRPr="00944863">
        <w:rPr>
          <w:lang w:val="pt-BR"/>
        </w:rPr>
        <w:t>Roberto F. Caldas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3540" w:firstLine="720"/>
        <w:jc w:val="center"/>
        <w:rPr>
          <w:lang w:val="pt-BR"/>
        </w:rPr>
      </w:pPr>
      <w:r w:rsidRPr="00944863">
        <w:rPr>
          <w:lang w:val="pt-BR"/>
        </w:rPr>
        <w:t>Presidente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pt-BR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pt-BR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pt-BR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pt-BR"/>
        </w:rPr>
      </w:pPr>
      <w:r w:rsidRPr="00944863">
        <w:rPr>
          <w:lang w:val="pt-BR"/>
        </w:rPr>
        <w:t>Pablo Saavedra Alessandri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firstLine="720"/>
        <w:rPr>
          <w:lang w:val="es-MX"/>
        </w:rPr>
      </w:pPr>
      <w:r w:rsidRPr="00944863">
        <w:rPr>
          <w:lang w:val="es-MX"/>
        </w:rPr>
        <w:t xml:space="preserve">Secretario 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  <w:r w:rsidRPr="00944863">
        <w:rPr>
          <w:lang w:val="es-MX"/>
        </w:rPr>
        <w:t xml:space="preserve">Comuníquese y ejecútese, 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3540" w:firstLine="720"/>
        <w:jc w:val="center"/>
        <w:rPr>
          <w:lang w:val="es-MX"/>
        </w:rPr>
      </w:pPr>
      <w:r w:rsidRPr="00944863">
        <w:rPr>
          <w:lang w:val="es-MX"/>
        </w:rPr>
        <w:t>Roberto F. Caldas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3540" w:firstLine="720"/>
        <w:jc w:val="center"/>
        <w:rPr>
          <w:lang w:val="es-MX"/>
        </w:rPr>
      </w:pPr>
      <w:r w:rsidRPr="00944863">
        <w:rPr>
          <w:lang w:val="es-MX"/>
        </w:rPr>
        <w:t>Presidente</w:t>
      </w: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6480" w:firstLine="7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6480" w:firstLine="7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6480" w:firstLine="7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left="6480" w:firstLine="720"/>
        <w:rPr>
          <w:lang w:val="es-MX"/>
        </w:rPr>
      </w:pPr>
    </w:p>
    <w:p w:rsidR="0048708E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rPr>
          <w:lang w:val="es-MX"/>
        </w:rPr>
      </w:pPr>
      <w:r w:rsidRPr="00944863">
        <w:rPr>
          <w:lang w:val="es-MX"/>
        </w:rPr>
        <w:t>Pablo Saavedra Alessandri</w:t>
      </w:r>
    </w:p>
    <w:p w:rsidR="000D3B8C" w:rsidRPr="00944863" w:rsidRDefault="0048708E" w:rsidP="0010637D">
      <w:pPr>
        <w:widowControl w:val="0"/>
        <w:autoSpaceDE w:val="0"/>
        <w:autoSpaceDN w:val="0"/>
        <w:adjustRightInd w:val="0"/>
        <w:spacing w:before="120" w:after="120"/>
        <w:ind w:firstLine="720"/>
      </w:pPr>
      <w:r w:rsidRPr="00944863">
        <w:rPr>
          <w:lang w:val="es-MX"/>
        </w:rPr>
        <w:t xml:space="preserve">Secretario </w:t>
      </w:r>
    </w:p>
    <w:sectPr w:rsidR="000D3B8C" w:rsidRPr="00944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06" w:rsidRDefault="00344F06" w:rsidP="0048708E">
      <w:r>
        <w:separator/>
      </w:r>
    </w:p>
  </w:endnote>
  <w:endnote w:type="continuationSeparator" w:id="0">
    <w:p w:rsidR="00344F06" w:rsidRDefault="00344F06" w:rsidP="004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80yhnc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06" w:rsidRDefault="00344F06" w:rsidP="0048708E">
      <w:r>
        <w:separator/>
      </w:r>
    </w:p>
  </w:footnote>
  <w:footnote w:type="continuationSeparator" w:id="0">
    <w:p w:rsidR="00344F06" w:rsidRDefault="00344F06" w:rsidP="0048708E">
      <w:r>
        <w:continuationSeparator/>
      </w:r>
    </w:p>
  </w:footnote>
  <w:footnote w:id="1">
    <w:p w:rsidR="0048708E" w:rsidRDefault="0048708E" w:rsidP="0048708E">
      <w:pPr>
        <w:pStyle w:val="FootnoteText"/>
        <w:tabs>
          <w:tab w:val="left" w:pos="426"/>
        </w:tabs>
        <w:jc w:val="both"/>
        <w:rPr>
          <w:sz w:val="16"/>
          <w:szCs w:val="16"/>
          <w:lang w:val="es-CR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s-CR"/>
        </w:rPr>
        <w:tab/>
        <w:t xml:space="preserve">Este Tribunal ha señalado que la </w:t>
      </w:r>
      <w:r>
        <w:rPr>
          <w:sz w:val="16"/>
          <w:szCs w:val="16"/>
        </w:rPr>
        <w:t xml:space="preserve">“función [consultiva de la Corte] tiene por finalidad coadyuvar al cumplimiento de las obligaciones internacionales de los Estados americanos en lo que concierne a la protección de los derechos humanos, así como al cumplimiento de las funciones que en este ámbito tienen atribuidas los distintos órganos de la OEA”. </w:t>
      </w:r>
      <w:r>
        <w:rPr>
          <w:i/>
          <w:sz w:val="16"/>
          <w:szCs w:val="16"/>
        </w:rPr>
        <w:t>"Otros Tratados" Objeto de la Función Consultiva de la Corte (art. 64 Convención Americana sobre Derechos Humanos).</w:t>
      </w:r>
      <w:r>
        <w:rPr>
          <w:sz w:val="16"/>
          <w:szCs w:val="16"/>
        </w:rPr>
        <w:t xml:space="preserve"> Opinión Consultiva OC-1/82 del 24 de septiembre de 1982. Serie A No. 1, párr. 25, y </w:t>
      </w:r>
      <w:r>
        <w:rPr>
          <w:bCs/>
          <w:i/>
          <w:sz w:val="16"/>
          <w:szCs w:val="16"/>
        </w:rPr>
        <w:t>Solicitud de Opinión Consultiva OC-2</w:t>
      </w:r>
      <w:r w:rsidR="00E741D6">
        <w:rPr>
          <w:bCs/>
          <w:i/>
          <w:sz w:val="16"/>
          <w:szCs w:val="16"/>
        </w:rPr>
        <w:t>3</w:t>
      </w:r>
      <w:r>
        <w:rPr>
          <w:bCs/>
          <w:i/>
          <w:sz w:val="16"/>
          <w:szCs w:val="16"/>
        </w:rPr>
        <w:t>.</w:t>
      </w:r>
      <w:r>
        <w:rPr>
          <w:bCs/>
          <w:sz w:val="16"/>
          <w:szCs w:val="16"/>
        </w:rPr>
        <w:t xml:space="preserve"> Convocatoria de audiencia. Resolución del Presidente de la Corte Interamericana de Derechos Humanos de 1</w:t>
      </w:r>
      <w:r w:rsidR="00E741D6">
        <w:rPr>
          <w:bCs/>
          <w:sz w:val="16"/>
          <w:szCs w:val="16"/>
        </w:rPr>
        <w:t>0</w:t>
      </w:r>
      <w:r>
        <w:rPr>
          <w:bCs/>
          <w:sz w:val="16"/>
          <w:szCs w:val="16"/>
        </w:rPr>
        <w:t xml:space="preserve"> de </w:t>
      </w:r>
      <w:r w:rsidR="00E741D6">
        <w:rPr>
          <w:bCs/>
          <w:sz w:val="16"/>
          <w:szCs w:val="16"/>
        </w:rPr>
        <w:t>febrero</w:t>
      </w:r>
      <w:r>
        <w:rPr>
          <w:bCs/>
          <w:sz w:val="16"/>
          <w:szCs w:val="16"/>
        </w:rPr>
        <w:t xml:space="preserve"> de 201</w:t>
      </w:r>
      <w:r w:rsidR="00E741D6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>, Considerando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A80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5B3D68"/>
    <w:multiLevelType w:val="hybridMultilevel"/>
    <w:tmpl w:val="E1CC0D2A"/>
    <w:lvl w:ilvl="0" w:tplc="28E41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998"/>
    <w:multiLevelType w:val="hybridMultilevel"/>
    <w:tmpl w:val="DB0883BE"/>
    <w:lvl w:ilvl="0" w:tplc="140A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187849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C55856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D7BA7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A32A13"/>
    <w:multiLevelType w:val="hybridMultilevel"/>
    <w:tmpl w:val="89E0BC6A"/>
    <w:lvl w:ilvl="0" w:tplc="C682186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80CCA"/>
    <w:multiLevelType w:val="hybridMultilevel"/>
    <w:tmpl w:val="484625C4"/>
    <w:lvl w:ilvl="0" w:tplc="43D0D0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Times New Roman" w:hint="default"/>
        <w:b w:val="0"/>
        <w:i w:val="0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F2002A"/>
    <w:multiLevelType w:val="hybridMultilevel"/>
    <w:tmpl w:val="1340F9C4"/>
    <w:lvl w:ilvl="0" w:tplc="140A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BA2739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0267A9"/>
    <w:multiLevelType w:val="hybridMultilevel"/>
    <w:tmpl w:val="1340F9C4"/>
    <w:lvl w:ilvl="0" w:tplc="140A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E11267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23F7559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A0C490E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96672D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0555AD6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4CE078C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D03BBC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16322"/>
    <w:multiLevelType w:val="hybridMultilevel"/>
    <w:tmpl w:val="AAD8BA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636F0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864DA2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A77F3B"/>
    <w:multiLevelType w:val="hybridMultilevel"/>
    <w:tmpl w:val="1B3E9566"/>
    <w:lvl w:ilvl="0" w:tplc="089A3D7C">
      <w:start w:val="1"/>
      <w:numFmt w:val="decimal"/>
      <w:lvlText w:val="%1)"/>
      <w:lvlJc w:val="left"/>
      <w:pPr>
        <w:ind w:left="1428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CCA4AC3"/>
    <w:multiLevelType w:val="hybridMultilevel"/>
    <w:tmpl w:val="319C855E"/>
    <w:lvl w:ilvl="0" w:tplc="0409001B">
      <w:start w:val="1"/>
      <w:numFmt w:val="lowerRoman"/>
      <w:lvlText w:val="%1."/>
      <w:lvlJc w:val="right"/>
      <w:pPr>
        <w:ind w:left="1428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54425B"/>
    <w:multiLevelType w:val="hybridMultilevel"/>
    <w:tmpl w:val="9806AC0A"/>
    <w:lvl w:ilvl="0" w:tplc="96A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  <w:lang w:val="es-ES_tradnl"/>
      </w:rPr>
    </w:lvl>
    <w:lvl w:ilvl="1" w:tplc="B5AA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  <w:num w:numId="20">
    <w:abstractNumId w:val="12"/>
  </w:num>
  <w:num w:numId="21">
    <w:abstractNumId w:val="21"/>
  </w:num>
  <w:num w:numId="22">
    <w:abstractNumId w:val="14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E"/>
    <w:rsid w:val="000676FF"/>
    <w:rsid w:val="00095974"/>
    <w:rsid w:val="00096E01"/>
    <w:rsid w:val="000C1953"/>
    <w:rsid w:val="0010637D"/>
    <w:rsid w:val="00114007"/>
    <w:rsid w:val="0011790D"/>
    <w:rsid w:val="001451CE"/>
    <w:rsid w:val="00190DC5"/>
    <w:rsid w:val="00197DC9"/>
    <w:rsid w:val="001E12E3"/>
    <w:rsid w:val="001E54B4"/>
    <w:rsid w:val="001F23C5"/>
    <w:rsid w:val="00215F53"/>
    <w:rsid w:val="002175DF"/>
    <w:rsid w:val="002226F2"/>
    <w:rsid w:val="0025167D"/>
    <w:rsid w:val="00253F64"/>
    <w:rsid w:val="00336933"/>
    <w:rsid w:val="00342D17"/>
    <w:rsid w:val="00344F06"/>
    <w:rsid w:val="003710B7"/>
    <w:rsid w:val="003922C7"/>
    <w:rsid w:val="003971D4"/>
    <w:rsid w:val="003E605E"/>
    <w:rsid w:val="00410C77"/>
    <w:rsid w:val="00412D7F"/>
    <w:rsid w:val="004800D7"/>
    <w:rsid w:val="0048708E"/>
    <w:rsid w:val="00492036"/>
    <w:rsid w:val="004C452F"/>
    <w:rsid w:val="004F1B18"/>
    <w:rsid w:val="00543466"/>
    <w:rsid w:val="005D0D27"/>
    <w:rsid w:val="005F22F0"/>
    <w:rsid w:val="0060091A"/>
    <w:rsid w:val="00611D3E"/>
    <w:rsid w:val="0062014F"/>
    <w:rsid w:val="00655DAB"/>
    <w:rsid w:val="006604DC"/>
    <w:rsid w:val="00685A0B"/>
    <w:rsid w:val="006B37AE"/>
    <w:rsid w:val="00716B08"/>
    <w:rsid w:val="00720A3B"/>
    <w:rsid w:val="00747A7E"/>
    <w:rsid w:val="00750D99"/>
    <w:rsid w:val="00754AA3"/>
    <w:rsid w:val="00800647"/>
    <w:rsid w:val="00803C51"/>
    <w:rsid w:val="00804855"/>
    <w:rsid w:val="008346FE"/>
    <w:rsid w:val="008939BA"/>
    <w:rsid w:val="008B3407"/>
    <w:rsid w:val="008C2ED1"/>
    <w:rsid w:val="008E39A6"/>
    <w:rsid w:val="00906627"/>
    <w:rsid w:val="0091492D"/>
    <w:rsid w:val="00915697"/>
    <w:rsid w:val="00920446"/>
    <w:rsid w:val="00937000"/>
    <w:rsid w:val="00941E3D"/>
    <w:rsid w:val="00944863"/>
    <w:rsid w:val="00987083"/>
    <w:rsid w:val="009C71E6"/>
    <w:rsid w:val="009D3047"/>
    <w:rsid w:val="009D5C96"/>
    <w:rsid w:val="009F29DD"/>
    <w:rsid w:val="00A4348A"/>
    <w:rsid w:val="00A76A66"/>
    <w:rsid w:val="00A77717"/>
    <w:rsid w:val="00AD649E"/>
    <w:rsid w:val="00B00598"/>
    <w:rsid w:val="00B0712C"/>
    <w:rsid w:val="00B27687"/>
    <w:rsid w:val="00B367AD"/>
    <w:rsid w:val="00B40081"/>
    <w:rsid w:val="00B725EF"/>
    <w:rsid w:val="00B8267F"/>
    <w:rsid w:val="00B90687"/>
    <w:rsid w:val="00BE5C1C"/>
    <w:rsid w:val="00C33D89"/>
    <w:rsid w:val="00CF6EC7"/>
    <w:rsid w:val="00D243D9"/>
    <w:rsid w:val="00D25B44"/>
    <w:rsid w:val="00D44989"/>
    <w:rsid w:val="00D8207E"/>
    <w:rsid w:val="00DB45DF"/>
    <w:rsid w:val="00DB7A9C"/>
    <w:rsid w:val="00DD40FE"/>
    <w:rsid w:val="00DE3BEC"/>
    <w:rsid w:val="00DF1765"/>
    <w:rsid w:val="00E3023E"/>
    <w:rsid w:val="00E6486A"/>
    <w:rsid w:val="00E72AF1"/>
    <w:rsid w:val="00E741D6"/>
    <w:rsid w:val="00E7503F"/>
    <w:rsid w:val="00E906B3"/>
    <w:rsid w:val="00EF1A2B"/>
    <w:rsid w:val="00EF41F5"/>
    <w:rsid w:val="00F50050"/>
    <w:rsid w:val="00FA1241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E"/>
    <w:pPr>
      <w:spacing w:before="0" w:after="0"/>
      <w:jc w:val="left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0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8E"/>
    <w:rPr>
      <w:rFonts w:ascii="Verdana" w:eastAsia="Times New Roman" w:hAnsi="Verdana" w:cs="Times New Roman"/>
      <w:sz w:val="20"/>
      <w:szCs w:val="20"/>
      <w:lang w:val="es-ES_tradnl"/>
    </w:rPr>
  </w:style>
  <w:style w:type="paragraph" w:styleId="BodyText">
    <w:name w:val="Body Text"/>
    <w:basedOn w:val="Normal"/>
    <w:link w:val="BodyTextChar"/>
    <w:semiHidden/>
    <w:unhideWhenUsed/>
    <w:rsid w:val="004870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708E"/>
    <w:rPr>
      <w:rFonts w:ascii="Verdana" w:eastAsia="Times New Roman" w:hAnsi="Verdana" w:cs="Times New Roman"/>
      <w:sz w:val="20"/>
      <w:szCs w:val="20"/>
      <w:lang w:val="es-ES_tradnl"/>
    </w:rPr>
  </w:style>
  <w:style w:type="paragraph" w:styleId="ListParagraph">
    <w:name w:val="List Paragraph"/>
    <w:aliases w:val="Footnote"/>
    <w:basedOn w:val="Normal"/>
    <w:uiPriority w:val="99"/>
    <w:qFormat/>
    <w:rsid w:val="0048708E"/>
    <w:pPr>
      <w:ind w:left="720"/>
    </w:pPr>
  </w:style>
  <w:style w:type="character" w:styleId="FootnoteReferenc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basedOn w:val="DefaultParagraphFont"/>
    <w:uiPriority w:val="99"/>
    <w:semiHidden/>
    <w:unhideWhenUsed/>
    <w:rsid w:val="0048708E"/>
    <w:rPr>
      <w:vertAlign w:val="superscript"/>
    </w:rPr>
  </w:style>
  <w:style w:type="character" w:styleId="Strong">
    <w:name w:val="Strong"/>
    <w:basedOn w:val="DefaultParagraphFont"/>
    <w:uiPriority w:val="22"/>
    <w:qFormat/>
    <w:rsid w:val="004870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7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8E"/>
    <w:pPr>
      <w:spacing w:before="0" w:after="0"/>
      <w:jc w:val="left"/>
    </w:pPr>
    <w:rPr>
      <w:rFonts w:ascii="Verdana" w:eastAsia="Times New Roman" w:hAnsi="Verdana" w:cs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08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8E"/>
    <w:rPr>
      <w:rFonts w:ascii="Verdana" w:eastAsia="Times New Roman" w:hAnsi="Verdana" w:cs="Times New Roman"/>
      <w:sz w:val="20"/>
      <w:szCs w:val="20"/>
      <w:lang w:val="es-ES_tradnl"/>
    </w:rPr>
  </w:style>
  <w:style w:type="paragraph" w:styleId="BodyText">
    <w:name w:val="Body Text"/>
    <w:basedOn w:val="Normal"/>
    <w:link w:val="BodyTextChar"/>
    <w:semiHidden/>
    <w:unhideWhenUsed/>
    <w:rsid w:val="004870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708E"/>
    <w:rPr>
      <w:rFonts w:ascii="Verdana" w:eastAsia="Times New Roman" w:hAnsi="Verdana" w:cs="Times New Roman"/>
      <w:sz w:val="20"/>
      <w:szCs w:val="20"/>
      <w:lang w:val="es-ES_tradnl"/>
    </w:rPr>
  </w:style>
  <w:style w:type="paragraph" w:styleId="ListParagraph">
    <w:name w:val="List Paragraph"/>
    <w:aliases w:val="Footnote"/>
    <w:basedOn w:val="Normal"/>
    <w:uiPriority w:val="99"/>
    <w:qFormat/>
    <w:rsid w:val="0048708E"/>
    <w:pPr>
      <w:ind w:left="720"/>
    </w:pPr>
  </w:style>
  <w:style w:type="character" w:styleId="FootnoteReferenc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"/>
    <w:basedOn w:val="DefaultParagraphFont"/>
    <w:uiPriority w:val="99"/>
    <w:semiHidden/>
    <w:unhideWhenUsed/>
    <w:rsid w:val="0048708E"/>
    <w:rPr>
      <w:vertAlign w:val="superscript"/>
    </w:rPr>
  </w:style>
  <w:style w:type="character" w:styleId="Strong">
    <w:name w:val="Strong"/>
    <w:basedOn w:val="DefaultParagraphFont"/>
    <w:uiPriority w:val="22"/>
    <w:qFormat/>
    <w:rsid w:val="004870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7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12249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cp:lastModifiedBy>Francella Hernandez</cp:lastModifiedBy>
  <cp:revision>3</cp:revision>
  <cp:lastPrinted>2017-04-04T21:35:00Z</cp:lastPrinted>
  <dcterms:created xsi:type="dcterms:W3CDTF">2017-04-04T21:35:00Z</dcterms:created>
  <dcterms:modified xsi:type="dcterms:W3CDTF">2017-04-04T21:35:00Z</dcterms:modified>
</cp:coreProperties>
</file>