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FD872" w14:textId="77777777" w:rsidR="00135570" w:rsidRPr="00BF4DBB" w:rsidRDefault="00135570" w:rsidP="00BF4DBB">
      <w:pPr>
        <w:tabs>
          <w:tab w:val="left" w:pos="567"/>
        </w:tabs>
        <w:spacing w:after="0"/>
        <w:jc w:val="center"/>
        <w:rPr>
          <w:rFonts w:ascii="Verdana" w:hAnsi="Verdana"/>
          <w:b/>
          <w:sz w:val="20"/>
          <w:szCs w:val="20"/>
          <w:lang w:val="es-CR"/>
        </w:rPr>
      </w:pPr>
    </w:p>
    <w:p w14:paraId="6DCF7B7B" w14:textId="77777777" w:rsidR="00135570" w:rsidRPr="00BF4DBB" w:rsidRDefault="00135570" w:rsidP="00135570">
      <w:pPr>
        <w:spacing w:after="0"/>
        <w:jc w:val="center"/>
        <w:rPr>
          <w:rFonts w:ascii="Verdana" w:hAnsi="Verdana"/>
          <w:b/>
          <w:sz w:val="20"/>
          <w:szCs w:val="20"/>
          <w:lang w:val="es-CR"/>
        </w:rPr>
      </w:pPr>
    </w:p>
    <w:p w14:paraId="4BC1175E" w14:textId="77777777" w:rsidR="00135570" w:rsidRPr="00BF4DBB" w:rsidRDefault="00135570" w:rsidP="00135570">
      <w:pPr>
        <w:spacing w:after="0"/>
        <w:jc w:val="center"/>
        <w:rPr>
          <w:rFonts w:ascii="Verdana" w:hAnsi="Verdana"/>
          <w:b/>
          <w:sz w:val="20"/>
          <w:szCs w:val="20"/>
          <w:lang w:val="es-CR"/>
        </w:rPr>
      </w:pPr>
    </w:p>
    <w:p w14:paraId="49AA4A63" w14:textId="77777777" w:rsidR="00135570" w:rsidRPr="00BF4DBB" w:rsidRDefault="00135570" w:rsidP="00135570">
      <w:pPr>
        <w:spacing w:after="0"/>
        <w:rPr>
          <w:rFonts w:ascii="Verdana" w:hAnsi="Verdana"/>
          <w:b/>
          <w:sz w:val="20"/>
          <w:szCs w:val="20"/>
          <w:lang w:val="es-CR"/>
        </w:rPr>
      </w:pPr>
    </w:p>
    <w:p w14:paraId="5775E764" w14:textId="37522D1F" w:rsidR="00135570" w:rsidRPr="00BF4DBB" w:rsidRDefault="00BF4DBB" w:rsidP="00BF4DBB">
      <w:pPr>
        <w:spacing w:after="0"/>
        <w:jc w:val="center"/>
        <w:rPr>
          <w:rFonts w:ascii="Verdana" w:hAnsi="Verdana"/>
          <w:b/>
          <w:sz w:val="20"/>
          <w:szCs w:val="20"/>
          <w:lang w:val="es-CR"/>
        </w:rPr>
      </w:pPr>
      <w:r w:rsidRPr="00BF4DBB">
        <w:rPr>
          <w:rFonts w:ascii="Verdana" w:hAnsi="Verdana"/>
          <w:b/>
          <w:sz w:val="20"/>
          <w:szCs w:val="20"/>
          <w:lang w:val="es-CR"/>
        </w:rPr>
        <w:t>RESOLUCIÓN DEL PRESIDENTE DE</w:t>
      </w:r>
      <w:r w:rsidR="00135570" w:rsidRPr="00BF4DBB">
        <w:rPr>
          <w:rFonts w:ascii="Verdana" w:hAnsi="Verdana"/>
          <w:b/>
          <w:sz w:val="20"/>
          <w:szCs w:val="20"/>
          <w:lang w:val="es-CR"/>
        </w:rPr>
        <w:t xml:space="preserve"> LA </w:t>
      </w:r>
      <w:r w:rsidR="00135570" w:rsidRPr="00BF4DBB">
        <w:rPr>
          <w:rFonts w:ascii="Verdana" w:hAnsi="Verdana"/>
          <w:b/>
          <w:sz w:val="20"/>
          <w:szCs w:val="20"/>
          <w:lang w:val="es-CR"/>
        </w:rPr>
        <w:br/>
        <w:t xml:space="preserve">CORTE INTERAMERICANA DE DERECHOS HUMANOS </w:t>
      </w:r>
      <w:r w:rsidR="00135570" w:rsidRPr="00BF4DBB">
        <w:rPr>
          <w:rFonts w:ascii="Verdana" w:hAnsi="Verdana"/>
          <w:b/>
          <w:sz w:val="20"/>
          <w:szCs w:val="20"/>
          <w:lang w:val="es-CR"/>
        </w:rPr>
        <w:br/>
      </w:r>
    </w:p>
    <w:p w14:paraId="613AD8EB" w14:textId="3E11DE75" w:rsidR="00135570" w:rsidRPr="00BF4DBB" w:rsidRDefault="00135570" w:rsidP="00135570">
      <w:pPr>
        <w:spacing w:after="0"/>
        <w:jc w:val="center"/>
        <w:rPr>
          <w:rFonts w:ascii="Verdana" w:hAnsi="Verdana"/>
          <w:b/>
          <w:sz w:val="20"/>
          <w:szCs w:val="20"/>
          <w:lang w:val="es-CR"/>
        </w:rPr>
      </w:pPr>
      <w:r w:rsidRPr="00BF4DBB">
        <w:rPr>
          <w:rFonts w:ascii="Verdana" w:hAnsi="Verdana"/>
          <w:b/>
          <w:sz w:val="20"/>
          <w:szCs w:val="20"/>
          <w:lang w:val="es-CR"/>
        </w:rPr>
        <w:t>DE</w:t>
      </w:r>
      <w:r w:rsidR="008E724B">
        <w:rPr>
          <w:rFonts w:ascii="Verdana" w:hAnsi="Verdana"/>
          <w:b/>
          <w:sz w:val="20"/>
          <w:szCs w:val="20"/>
          <w:lang w:val="es-CR"/>
        </w:rPr>
        <w:t xml:space="preserve"> 16 </w:t>
      </w:r>
      <w:r w:rsidRPr="00BF4DBB">
        <w:rPr>
          <w:rFonts w:ascii="Verdana" w:hAnsi="Verdana"/>
          <w:b/>
          <w:sz w:val="20"/>
          <w:szCs w:val="20"/>
          <w:lang w:val="es-CR"/>
        </w:rPr>
        <w:t xml:space="preserve">DE </w:t>
      </w:r>
      <w:r w:rsidR="00316264">
        <w:rPr>
          <w:rFonts w:ascii="Verdana" w:hAnsi="Verdana"/>
          <w:b/>
          <w:sz w:val="20"/>
          <w:szCs w:val="20"/>
          <w:lang w:val="es-CR"/>
        </w:rPr>
        <w:t>DICIEMBRE</w:t>
      </w:r>
      <w:r w:rsidR="00316264" w:rsidRPr="00BF4DBB">
        <w:rPr>
          <w:rFonts w:ascii="Verdana" w:hAnsi="Verdana"/>
          <w:b/>
          <w:sz w:val="20"/>
          <w:szCs w:val="20"/>
          <w:lang w:val="es-CR"/>
        </w:rPr>
        <w:t xml:space="preserve"> </w:t>
      </w:r>
      <w:r w:rsidRPr="00BF4DBB">
        <w:rPr>
          <w:rFonts w:ascii="Verdana" w:hAnsi="Verdana"/>
          <w:b/>
          <w:sz w:val="20"/>
          <w:szCs w:val="20"/>
          <w:lang w:val="es-CR"/>
        </w:rPr>
        <w:t>DE 2019</w:t>
      </w:r>
    </w:p>
    <w:p w14:paraId="10D915FB" w14:textId="77777777" w:rsidR="00135570" w:rsidRPr="00BF4DBB" w:rsidRDefault="00135570" w:rsidP="00BF4DBB">
      <w:pPr>
        <w:spacing w:after="0"/>
        <w:rPr>
          <w:rFonts w:ascii="Verdana" w:hAnsi="Verdana"/>
          <w:b/>
          <w:sz w:val="20"/>
          <w:szCs w:val="20"/>
          <w:lang w:val="es-CR"/>
        </w:rPr>
      </w:pPr>
    </w:p>
    <w:p w14:paraId="732CE9B7" w14:textId="77777777" w:rsidR="00135570" w:rsidRPr="00BF4DBB" w:rsidRDefault="00135570" w:rsidP="00135570">
      <w:pPr>
        <w:spacing w:after="0"/>
        <w:jc w:val="center"/>
        <w:rPr>
          <w:rFonts w:ascii="Verdana" w:hAnsi="Verdana"/>
          <w:b/>
          <w:sz w:val="20"/>
          <w:szCs w:val="20"/>
          <w:lang w:val="es-CR"/>
        </w:rPr>
      </w:pPr>
      <w:r w:rsidRPr="00BF4DBB">
        <w:rPr>
          <w:rFonts w:ascii="Verdana" w:hAnsi="Verdana"/>
          <w:b/>
          <w:sz w:val="20"/>
          <w:szCs w:val="20"/>
          <w:lang w:val="es-CR"/>
        </w:rPr>
        <w:t xml:space="preserve"> CASO </w:t>
      </w:r>
      <w:bookmarkStart w:id="0" w:name="_GoBack"/>
      <w:r w:rsidR="00C645D8" w:rsidRPr="00BF4DBB">
        <w:rPr>
          <w:rFonts w:ascii="Verdana" w:hAnsi="Verdana"/>
          <w:b/>
          <w:sz w:val="20"/>
          <w:szCs w:val="20"/>
          <w:lang w:val="es-CR"/>
        </w:rPr>
        <w:t>SPOLTORE</w:t>
      </w:r>
      <w:bookmarkEnd w:id="0"/>
      <w:r w:rsidRPr="00BF4DBB">
        <w:rPr>
          <w:rFonts w:ascii="Verdana" w:hAnsi="Verdana"/>
          <w:b/>
          <w:sz w:val="20"/>
          <w:szCs w:val="20"/>
          <w:lang w:val="es-CR"/>
        </w:rPr>
        <w:t xml:space="preserve"> VS. </w:t>
      </w:r>
      <w:r w:rsidR="00C645D8" w:rsidRPr="00BF4DBB">
        <w:rPr>
          <w:rFonts w:ascii="Verdana" w:hAnsi="Verdana"/>
          <w:b/>
          <w:sz w:val="20"/>
          <w:szCs w:val="20"/>
          <w:lang w:val="es-CR"/>
        </w:rPr>
        <w:t>ARGENTINA</w:t>
      </w:r>
    </w:p>
    <w:p w14:paraId="1D0EFFC7" w14:textId="77777777" w:rsidR="00135570" w:rsidRPr="00BF4DBB" w:rsidRDefault="00135570" w:rsidP="00135570">
      <w:pPr>
        <w:spacing w:after="0"/>
        <w:jc w:val="both"/>
        <w:rPr>
          <w:rFonts w:ascii="Verdana" w:hAnsi="Verdana"/>
          <w:b/>
          <w:sz w:val="20"/>
          <w:szCs w:val="20"/>
          <w:lang w:val="es-CR"/>
        </w:rPr>
      </w:pPr>
    </w:p>
    <w:p w14:paraId="63773727" w14:textId="77777777" w:rsidR="00135570" w:rsidRPr="00BF4DBB" w:rsidRDefault="00135570" w:rsidP="00135570">
      <w:pPr>
        <w:jc w:val="both"/>
        <w:rPr>
          <w:rFonts w:ascii="Verdana" w:hAnsi="Verdana"/>
          <w:b/>
          <w:sz w:val="20"/>
          <w:szCs w:val="20"/>
          <w:lang w:val="es-CR"/>
        </w:rPr>
      </w:pPr>
      <w:r w:rsidRPr="00BF4DBB">
        <w:rPr>
          <w:rFonts w:ascii="Verdana" w:hAnsi="Verdana"/>
          <w:b/>
          <w:sz w:val="20"/>
          <w:szCs w:val="20"/>
          <w:lang w:val="es-CR"/>
        </w:rPr>
        <w:t>VISTO:</w:t>
      </w:r>
    </w:p>
    <w:p w14:paraId="60476B8E" w14:textId="28A64059" w:rsidR="001D5A5F" w:rsidRPr="000106CC" w:rsidRDefault="00135570" w:rsidP="000106CC">
      <w:pPr>
        <w:pStyle w:val="Normal1"/>
        <w:widowControl/>
        <w:numPr>
          <w:ilvl w:val="0"/>
          <w:numId w:val="1"/>
        </w:numPr>
        <w:tabs>
          <w:tab w:val="left" w:pos="567"/>
        </w:tabs>
        <w:spacing w:before="120" w:after="120"/>
        <w:ind w:left="0" w:firstLine="0"/>
        <w:jc w:val="both"/>
        <w:rPr>
          <w:rFonts w:ascii="Verdana" w:eastAsia="Verdana" w:hAnsi="Verdana" w:cs="Verdana"/>
          <w:color w:val="000000"/>
          <w:sz w:val="20"/>
          <w:szCs w:val="20"/>
        </w:rPr>
      </w:pPr>
      <w:r w:rsidRPr="00BF4DBB">
        <w:rPr>
          <w:rFonts w:ascii="Verdana" w:hAnsi="Verdana"/>
          <w:sz w:val="20"/>
          <w:szCs w:val="20"/>
        </w:rPr>
        <w:t>El escrito de sometimiento del caso y el Informe de Fondo de la Comisión Interamericana de Derechos Humanos (en adelante “la Comisión Interamericana” o “la Comisión”); el escrito de solicitudes, argumentos y pruebas (en adelante el “escrito de solicitudes y argumentos”) de los representantes</w:t>
      </w:r>
      <w:r w:rsidR="002378A9">
        <w:rPr>
          <w:rFonts w:ascii="Verdana" w:hAnsi="Verdana"/>
          <w:sz w:val="20"/>
          <w:szCs w:val="20"/>
        </w:rPr>
        <w:t xml:space="preserve"> de la presunta víctima</w:t>
      </w:r>
      <w:r w:rsidRPr="00BF4DBB">
        <w:rPr>
          <w:rFonts w:ascii="Verdana" w:hAnsi="Verdana"/>
          <w:sz w:val="20"/>
          <w:szCs w:val="20"/>
        </w:rPr>
        <w:t xml:space="preserve"> (en adelante “los representantes”</w:t>
      </w:r>
      <w:r w:rsidR="00BF4DBB">
        <w:rPr>
          <w:rFonts w:ascii="Verdana" w:hAnsi="Verdana"/>
          <w:sz w:val="20"/>
          <w:szCs w:val="20"/>
        </w:rPr>
        <w:t>), y</w:t>
      </w:r>
      <w:r w:rsidRPr="00BF4DBB">
        <w:rPr>
          <w:rFonts w:ascii="Verdana" w:hAnsi="Verdana"/>
          <w:sz w:val="20"/>
          <w:szCs w:val="20"/>
        </w:rPr>
        <w:t xml:space="preserve"> </w:t>
      </w:r>
      <w:r w:rsidR="00BF4DBB" w:rsidRPr="00BF4DBB">
        <w:rPr>
          <w:rFonts w:ascii="Verdana" w:hAnsi="Verdana"/>
          <w:sz w:val="20"/>
          <w:szCs w:val="20"/>
        </w:rPr>
        <w:t>el escrito de excepci</w:t>
      </w:r>
      <w:r w:rsidR="00BF4DBB">
        <w:rPr>
          <w:rFonts w:ascii="Verdana" w:hAnsi="Verdana"/>
          <w:sz w:val="20"/>
          <w:szCs w:val="20"/>
        </w:rPr>
        <w:t>ón preliminar</w:t>
      </w:r>
      <w:r w:rsidR="00BF4DBB" w:rsidRPr="00BF4DBB">
        <w:rPr>
          <w:rFonts w:ascii="Verdana" w:hAnsi="Verdana"/>
          <w:sz w:val="20"/>
          <w:szCs w:val="20"/>
        </w:rPr>
        <w:t xml:space="preserve"> y contestación al sometimiento del caso y al escrito de solicitudes y argumentos (en adelante “escrito de contestación”) </w:t>
      </w:r>
      <w:r w:rsidRPr="00BF4DBB">
        <w:rPr>
          <w:rFonts w:ascii="Verdana" w:hAnsi="Verdana"/>
          <w:sz w:val="20"/>
          <w:szCs w:val="20"/>
        </w:rPr>
        <w:t xml:space="preserve">de la República de </w:t>
      </w:r>
      <w:r w:rsidR="00AD38FA" w:rsidRPr="00BF4DBB">
        <w:rPr>
          <w:rFonts w:ascii="Verdana" w:hAnsi="Verdana"/>
          <w:sz w:val="20"/>
          <w:szCs w:val="20"/>
        </w:rPr>
        <w:t>Argentina</w:t>
      </w:r>
      <w:r w:rsidRPr="00BF4DBB">
        <w:rPr>
          <w:rFonts w:ascii="Verdana" w:hAnsi="Verdana"/>
          <w:sz w:val="20"/>
          <w:szCs w:val="20"/>
        </w:rPr>
        <w:t xml:space="preserve"> (en adelante “</w:t>
      </w:r>
      <w:r w:rsidR="00AD38FA" w:rsidRPr="00BF4DBB">
        <w:rPr>
          <w:rFonts w:ascii="Verdana" w:hAnsi="Verdana"/>
          <w:sz w:val="20"/>
          <w:szCs w:val="20"/>
        </w:rPr>
        <w:t>Argentina</w:t>
      </w:r>
      <w:r w:rsidR="00BF4DBB">
        <w:rPr>
          <w:rFonts w:ascii="Verdana" w:hAnsi="Verdana"/>
          <w:sz w:val="20"/>
          <w:szCs w:val="20"/>
        </w:rPr>
        <w:t>” o “el Estado”)</w:t>
      </w:r>
      <w:r w:rsidR="00BF4DBB" w:rsidRPr="00BF4DBB">
        <w:rPr>
          <w:rFonts w:asciiTheme="minorHAnsi" w:eastAsiaTheme="minorHAnsi" w:hAnsiTheme="minorHAnsi" w:cstheme="minorBidi"/>
          <w:sz w:val="22"/>
          <w:szCs w:val="22"/>
        </w:rPr>
        <w:t xml:space="preserve"> </w:t>
      </w:r>
      <w:r w:rsidR="00BF4DBB" w:rsidRPr="00BF4DBB">
        <w:rPr>
          <w:rFonts w:ascii="Verdana" w:hAnsi="Verdana"/>
          <w:sz w:val="20"/>
          <w:szCs w:val="20"/>
        </w:rPr>
        <w:t>, así como los escrit</w:t>
      </w:r>
      <w:r w:rsidR="00BF4DBB">
        <w:rPr>
          <w:rFonts w:ascii="Verdana" w:hAnsi="Verdana"/>
          <w:sz w:val="20"/>
          <w:szCs w:val="20"/>
        </w:rPr>
        <w:t>os de observaciones a la</w:t>
      </w:r>
      <w:r w:rsidR="00BF4DBB" w:rsidRPr="00BF4DBB">
        <w:rPr>
          <w:rFonts w:ascii="Verdana" w:hAnsi="Verdana"/>
          <w:sz w:val="20"/>
          <w:szCs w:val="20"/>
        </w:rPr>
        <w:t xml:space="preserve"> excepci</w:t>
      </w:r>
      <w:r w:rsidR="00BF4DBB">
        <w:rPr>
          <w:rFonts w:ascii="Verdana" w:hAnsi="Verdana"/>
          <w:sz w:val="20"/>
          <w:szCs w:val="20"/>
        </w:rPr>
        <w:t>ón preliminar</w:t>
      </w:r>
      <w:r w:rsidR="00C95019">
        <w:rPr>
          <w:rFonts w:ascii="Verdana" w:hAnsi="Verdana"/>
          <w:sz w:val="20"/>
          <w:szCs w:val="20"/>
        </w:rPr>
        <w:t xml:space="preserve"> interpuesta</w:t>
      </w:r>
      <w:r w:rsidR="00BF4DBB" w:rsidRPr="00BF4DBB">
        <w:rPr>
          <w:rFonts w:ascii="Verdana" w:hAnsi="Verdana"/>
          <w:sz w:val="20"/>
          <w:szCs w:val="20"/>
        </w:rPr>
        <w:t xml:space="preserve"> por el Estado presentados por la Comisión Interamericana y l</w:t>
      </w:r>
      <w:r w:rsidR="00E732D7">
        <w:rPr>
          <w:rFonts w:ascii="Verdana" w:hAnsi="Verdana"/>
          <w:sz w:val="20"/>
          <w:szCs w:val="20"/>
        </w:rPr>
        <w:t>o</w:t>
      </w:r>
      <w:r w:rsidR="00BF4DBB" w:rsidRPr="00BF4DBB">
        <w:rPr>
          <w:rFonts w:ascii="Verdana" w:hAnsi="Verdana"/>
          <w:sz w:val="20"/>
          <w:szCs w:val="20"/>
        </w:rPr>
        <w:t>s representantes.</w:t>
      </w:r>
    </w:p>
    <w:p w14:paraId="7F39FC64" w14:textId="4E901082" w:rsidR="00062046" w:rsidRPr="000106CC" w:rsidRDefault="001D5A5F" w:rsidP="000106CC">
      <w:pPr>
        <w:pStyle w:val="Normal1"/>
        <w:widowControl/>
        <w:numPr>
          <w:ilvl w:val="0"/>
          <w:numId w:val="1"/>
        </w:numPr>
        <w:tabs>
          <w:tab w:val="left" w:pos="567"/>
        </w:tabs>
        <w:spacing w:before="120" w:after="120"/>
        <w:ind w:left="0" w:firstLine="0"/>
        <w:jc w:val="both"/>
        <w:rPr>
          <w:rFonts w:ascii="Verdana" w:hAnsi="Verdana"/>
          <w:sz w:val="20"/>
          <w:szCs w:val="20"/>
        </w:rPr>
      </w:pPr>
      <w:r w:rsidRPr="00BF4DBB">
        <w:rPr>
          <w:rFonts w:ascii="Verdana" w:hAnsi="Verdana"/>
          <w:sz w:val="20"/>
          <w:szCs w:val="20"/>
        </w:rPr>
        <w:t>La</w:t>
      </w:r>
      <w:r w:rsidR="002C5449" w:rsidRPr="00BF4DBB">
        <w:rPr>
          <w:rFonts w:ascii="Verdana" w:hAnsi="Verdana"/>
          <w:sz w:val="20"/>
          <w:szCs w:val="20"/>
        </w:rPr>
        <w:t xml:space="preserve"> lista definitiva de declarantes presentada por los representantes. </w:t>
      </w:r>
    </w:p>
    <w:p w14:paraId="67F25595" w14:textId="0A8C2E9E" w:rsidR="000106CC" w:rsidRPr="00547419" w:rsidRDefault="00062046" w:rsidP="000106CC">
      <w:pPr>
        <w:pStyle w:val="Normal1"/>
        <w:widowControl/>
        <w:numPr>
          <w:ilvl w:val="0"/>
          <w:numId w:val="1"/>
        </w:numPr>
        <w:tabs>
          <w:tab w:val="left" w:pos="567"/>
        </w:tabs>
        <w:spacing w:before="120" w:after="120"/>
        <w:ind w:left="0" w:firstLine="0"/>
        <w:jc w:val="both"/>
        <w:rPr>
          <w:rFonts w:ascii="Verdana" w:hAnsi="Verdana"/>
          <w:sz w:val="20"/>
          <w:szCs w:val="20"/>
        </w:rPr>
      </w:pPr>
      <w:r w:rsidRPr="00BF4DBB">
        <w:rPr>
          <w:rFonts w:ascii="Verdana" w:hAnsi="Verdana"/>
          <w:sz w:val="20"/>
          <w:szCs w:val="20"/>
        </w:rPr>
        <w:t xml:space="preserve">La comunicación de la Comisión de </w:t>
      </w:r>
      <w:r w:rsidR="0088532E">
        <w:rPr>
          <w:rFonts w:ascii="Verdana" w:hAnsi="Verdana"/>
          <w:sz w:val="20"/>
          <w:szCs w:val="20"/>
        </w:rPr>
        <w:t>30 de octubre</w:t>
      </w:r>
      <w:r w:rsidR="00547419" w:rsidRPr="00547419">
        <w:rPr>
          <w:rFonts w:ascii="Verdana" w:hAnsi="Verdana"/>
          <w:sz w:val="20"/>
          <w:szCs w:val="20"/>
        </w:rPr>
        <w:t xml:space="preserve"> de 2019 </w:t>
      </w:r>
      <w:r w:rsidRPr="00BF4DBB">
        <w:rPr>
          <w:rFonts w:ascii="Verdana" w:hAnsi="Verdana"/>
          <w:sz w:val="20"/>
          <w:szCs w:val="20"/>
        </w:rPr>
        <w:t xml:space="preserve">mediante la cual informó que no tenía observaciones relativa a la lista definitiva de declarantes presentada por los representantes. </w:t>
      </w:r>
    </w:p>
    <w:p w14:paraId="3FC0C67A" w14:textId="1D1045EF" w:rsidR="00547419" w:rsidRPr="002378A9" w:rsidRDefault="00547419" w:rsidP="000106CC">
      <w:pPr>
        <w:pStyle w:val="Normal1"/>
        <w:widowControl/>
        <w:numPr>
          <w:ilvl w:val="0"/>
          <w:numId w:val="1"/>
        </w:numPr>
        <w:tabs>
          <w:tab w:val="left" w:pos="567"/>
        </w:tabs>
        <w:spacing w:before="120" w:after="120"/>
        <w:ind w:left="0" w:firstLine="0"/>
        <w:jc w:val="both"/>
        <w:rPr>
          <w:rFonts w:ascii="Verdana" w:hAnsi="Verdana"/>
          <w:sz w:val="20"/>
          <w:szCs w:val="20"/>
        </w:rPr>
      </w:pPr>
      <w:r w:rsidRPr="00547419">
        <w:rPr>
          <w:rFonts w:ascii="Verdana" w:hAnsi="Verdana"/>
          <w:sz w:val="20"/>
          <w:szCs w:val="20"/>
        </w:rPr>
        <w:t>La nota de Secretaría de 2</w:t>
      </w:r>
      <w:r w:rsidR="0088532E">
        <w:rPr>
          <w:rFonts w:ascii="Verdana" w:hAnsi="Verdana"/>
          <w:sz w:val="20"/>
          <w:szCs w:val="20"/>
        </w:rPr>
        <w:t>5 noviembre</w:t>
      </w:r>
      <w:r w:rsidRPr="00547419">
        <w:rPr>
          <w:rFonts w:ascii="Verdana" w:hAnsi="Verdana"/>
          <w:sz w:val="20"/>
          <w:szCs w:val="20"/>
        </w:rPr>
        <w:t xml:space="preserve"> de 201</w:t>
      </w:r>
      <w:r w:rsidR="0088532E">
        <w:rPr>
          <w:rFonts w:ascii="Verdana" w:hAnsi="Verdana"/>
          <w:sz w:val="20"/>
          <w:szCs w:val="20"/>
        </w:rPr>
        <w:t>9</w:t>
      </w:r>
      <w:r w:rsidRPr="00547419">
        <w:rPr>
          <w:rFonts w:ascii="Verdana" w:hAnsi="Verdana"/>
          <w:sz w:val="20"/>
          <w:szCs w:val="20"/>
        </w:rPr>
        <w:t xml:space="preserve"> relativa a la procedencia del Fondo de Asistencia Legal de Víctimas de la Corte Interamericana de Derechos Humanos (en adelante “Fondo de Asistencia Legal de Víctimas”).</w:t>
      </w:r>
    </w:p>
    <w:p w14:paraId="1BF13C69" w14:textId="49FEF877" w:rsidR="00135570" w:rsidRPr="000106CC" w:rsidRDefault="00135570" w:rsidP="000106CC">
      <w:pPr>
        <w:pStyle w:val="Normal1"/>
        <w:widowControl/>
        <w:spacing w:before="120" w:after="120"/>
        <w:jc w:val="both"/>
        <w:rPr>
          <w:rFonts w:ascii="Verdana" w:hAnsi="Verdana"/>
          <w:b/>
          <w:sz w:val="20"/>
          <w:szCs w:val="20"/>
        </w:rPr>
      </w:pPr>
      <w:r w:rsidRPr="00BF4DBB">
        <w:rPr>
          <w:rFonts w:ascii="Verdana" w:hAnsi="Verdana"/>
          <w:b/>
          <w:sz w:val="20"/>
          <w:szCs w:val="20"/>
        </w:rPr>
        <w:t>CONSIDERANDO QUE:</w:t>
      </w:r>
    </w:p>
    <w:p w14:paraId="7DC070BC" w14:textId="735D8258" w:rsidR="00135570" w:rsidRPr="000106CC" w:rsidRDefault="00135570" w:rsidP="000106CC">
      <w:pPr>
        <w:pStyle w:val="Normal1"/>
        <w:widowControl/>
        <w:numPr>
          <w:ilvl w:val="0"/>
          <w:numId w:val="2"/>
        </w:numPr>
        <w:tabs>
          <w:tab w:val="left" w:pos="567"/>
        </w:tabs>
        <w:spacing w:before="120" w:after="120"/>
        <w:ind w:left="0" w:firstLine="0"/>
        <w:jc w:val="both"/>
        <w:rPr>
          <w:rFonts w:ascii="Verdana" w:eastAsia="Verdana" w:hAnsi="Verdana" w:cs="Verdana"/>
          <w:color w:val="000000"/>
          <w:sz w:val="20"/>
          <w:szCs w:val="20"/>
        </w:rPr>
      </w:pPr>
      <w:r w:rsidRPr="00BF4DBB">
        <w:rPr>
          <w:rFonts w:ascii="Verdana" w:hAnsi="Verdana"/>
          <w:sz w:val="20"/>
          <w:szCs w:val="20"/>
        </w:rPr>
        <w:t>El ofrecimiento y la admisión de la prueba, así como la citación de declarantes se encuentran regulados en los artículos 35.1.f, 40.2.c, 41.1.c, 46, 47 y 50 del Reglamento de la Corte Interamericana de Derechos Humanos (en adelante “la Corte” o “el Tribunal”).</w:t>
      </w:r>
    </w:p>
    <w:p w14:paraId="19A00FD7" w14:textId="036B6A15" w:rsidR="00995027" w:rsidRDefault="001D5A5F" w:rsidP="00995027">
      <w:pPr>
        <w:pStyle w:val="Normal1"/>
        <w:widowControl/>
        <w:numPr>
          <w:ilvl w:val="0"/>
          <w:numId w:val="2"/>
        </w:numPr>
        <w:tabs>
          <w:tab w:val="left" w:pos="567"/>
        </w:tabs>
        <w:spacing w:before="120" w:after="120"/>
        <w:ind w:left="0" w:firstLine="0"/>
        <w:jc w:val="both"/>
        <w:rPr>
          <w:rFonts w:ascii="Verdana" w:eastAsia="Verdana" w:hAnsi="Verdana" w:cs="Verdana"/>
          <w:color w:val="000000"/>
          <w:sz w:val="20"/>
          <w:szCs w:val="20"/>
        </w:rPr>
      </w:pPr>
      <w:r w:rsidRPr="00BF4DBB">
        <w:rPr>
          <w:rFonts w:ascii="Verdana" w:hAnsi="Verdana"/>
          <w:sz w:val="20"/>
          <w:szCs w:val="20"/>
        </w:rPr>
        <w:t>La Comisión y el Estado</w:t>
      </w:r>
      <w:r w:rsidR="00135570" w:rsidRPr="00BF4DBB">
        <w:rPr>
          <w:rFonts w:ascii="Verdana" w:hAnsi="Verdana"/>
          <w:sz w:val="20"/>
          <w:szCs w:val="20"/>
        </w:rPr>
        <w:t xml:space="preserve"> </w:t>
      </w:r>
      <w:r w:rsidR="004007C4" w:rsidRPr="00BF4DBB">
        <w:rPr>
          <w:rFonts w:ascii="Verdana" w:hAnsi="Verdana"/>
          <w:sz w:val="20"/>
          <w:szCs w:val="20"/>
        </w:rPr>
        <w:t xml:space="preserve">no </w:t>
      </w:r>
      <w:r w:rsidRPr="00BF4DBB">
        <w:rPr>
          <w:rFonts w:ascii="Verdana" w:hAnsi="Verdana"/>
          <w:sz w:val="20"/>
          <w:szCs w:val="20"/>
        </w:rPr>
        <w:t>ofreci</w:t>
      </w:r>
      <w:r w:rsidR="000651BC" w:rsidRPr="00BF4DBB">
        <w:rPr>
          <w:rFonts w:ascii="Verdana" w:hAnsi="Verdana"/>
          <w:sz w:val="20"/>
          <w:szCs w:val="20"/>
        </w:rPr>
        <w:t>eron</w:t>
      </w:r>
      <w:r w:rsidR="004007C4" w:rsidRPr="00BF4DBB">
        <w:rPr>
          <w:rFonts w:ascii="Verdana" w:hAnsi="Verdana"/>
          <w:sz w:val="20"/>
          <w:szCs w:val="20"/>
        </w:rPr>
        <w:t xml:space="preserve"> prueba</w:t>
      </w:r>
      <w:r w:rsidRPr="00BF4DBB">
        <w:rPr>
          <w:rFonts w:ascii="Verdana" w:hAnsi="Verdana"/>
          <w:sz w:val="20"/>
          <w:szCs w:val="20"/>
        </w:rPr>
        <w:t xml:space="preserve"> testimonial o pericial</w:t>
      </w:r>
      <w:r w:rsidR="00062046" w:rsidRPr="00BF4DBB">
        <w:rPr>
          <w:rFonts w:ascii="Verdana" w:hAnsi="Verdana"/>
          <w:sz w:val="20"/>
          <w:szCs w:val="20"/>
        </w:rPr>
        <w:t>. L</w:t>
      </w:r>
      <w:r w:rsidRPr="00BF4DBB">
        <w:rPr>
          <w:rFonts w:ascii="Verdana" w:hAnsi="Verdana"/>
          <w:sz w:val="20"/>
          <w:szCs w:val="20"/>
        </w:rPr>
        <w:t>os representantes</w:t>
      </w:r>
      <w:r w:rsidR="000651BC" w:rsidRPr="00BF4DBB">
        <w:rPr>
          <w:rFonts w:ascii="Verdana" w:hAnsi="Verdana"/>
          <w:sz w:val="20"/>
          <w:szCs w:val="20"/>
        </w:rPr>
        <w:t xml:space="preserve"> ofrecieron</w:t>
      </w:r>
      <w:r w:rsidR="004007C4" w:rsidRPr="00BF4DBB">
        <w:rPr>
          <w:rFonts w:ascii="Verdana" w:hAnsi="Verdana"/>
          <w:sz w:val="20"/>
          <w:szCs w:val="20"/>
        </w:rPr>
        <w:t xml:space="preserve"> </w:t>
      </w:r>
      <w:r w:rsidRPr="00BF4DBB">
        <w:rPr>
          <w:rFonts w:ascii="Verdana" w:hAnsi="Verdana"/>
          <w:sz w:val="20"/>
          <w:szCs w:val="20"/>
        </w:rPr>
        <w:t xml:space="preserve">las declaraciones de tres </w:t>
      </w:r>
      <w:r w:rsidR="002C5449" w:rsidRPr="00BF4DBB">
        <w:rPr>
          <w:rFonts w:ascii="Verdana" w:hAnsi="Verdana"/>
          <w:sz w:val="20"/>
          <w:szCs w:val="20"/>
        </w:rPr>
        <w:t xml:space="preserve">testigos </w:t>
      </w:r>
      <w:r w:rsidRPr="00BF4DBB">
        <w:rPr>
          <w:rFonts w:ascii="Verdana" w:hAnsi="Verdana"/>
          <w:sz w:val="20"/>
          <w:szCs w:val="20"/>
        </w:rPr>
        <w:t xml:space="preserve">y un dictamen pericial. </w:t>
      </w:r>
      <w:r w:rsidR="006D0331" w:rsidRPr="00BF4DBB">
        <w:rPr>
          <w:rFonts w:ascii="Verdana" w:hAnsi="Verdana"/>
          <w:sz w:val="20"/>
          <w:szCs w:val="20"/>
        </w:rPr>
        <w:t xml:space="preserve"> </w:t>
      </w:r>
    </w:p>
    <w:p w14:paraId="3E0F25B5" w14:textId="3B61A929" w:rsidR="00995027" w:rsidRPr="00995027" w:rsidRDefault="00135570" w:rsidP="00995027">
      <w:pPr>
        <w:pStyle w:val="Normal1"/>
        <w:widowControl/>
        <w:numPr>
          <w:ilvl w:val="0"/>
          <w:numId w:val="2"/>
        </w:numPr>
        <w:tabs>
          <w:tab w:val="left" w:pos="567"/>
        </w:tabs>
        <w:spacing w:before="120" w:after="120"/>
        <w:ind w:left="0" w:firstLine="0"/>
        <w:jc w:val="both"/>
        <w:rPr>
          <w:rFonts w:ascii="Verdana" w:eastAsia="Verdana" w:hAnsi="Verdana" w:cs="Verdana"/>
          <w:color w:val="000000"/>
          <w:sz w:val="20"/>
          <w:szCs w:val="20"/>
        </w:rPr>
      </w:pPr>
      <w:r w:rsidRPr="00995027">
        <w:rPr>
          <w:rFonts w:ascii="Verdana" w:eastAsia="Verdana" w:hAnsi="Verdana" w:cs="Verdana"/>
          <w:color w:val="000000"/>
          <w:sz w:val="20"/>
          <w:szCs w:val="20"/>
        </w:rPr>
        <w:t xml:space="preserve">La Corte garantizó a las partes y a la Comisión el derecho de defensa respecto de los ofrecimientos probatorios oportunamente </w:t>
      </w:r>
      <w:r w:rsidRPr="00995027">
        <w:rPr>
          <w:rFonts w:ascii="Verdana" w:eastAsia="Verdana" w:hAnsi="Verdana" w:cs="Verdana"/>
          <w:sz w:val="20"/>
          <w:szCs w:val="20"/>
        </w:rPr>
        <w:t>realizados</w:t>
      </w:r>
      <w:r w:rsidR="00E06066" w:rsidRPr="00995027">
        <w:rPr>
          <w:rFonts w:ascii="Verdana" w:eastAsia="Verdana" w:hAnsi="Verdana" w:cs="Verdana"/>
          <w:sz w:val="20"/>
          <w:szCs w:val="20"/>
        </w:rPr>
        <w:t xml:space="preserve">. </w:t>
      </w:r>
      <w:r w:rsidR="0076146A" w:rsidRPr="00995027">
        <w:rPr>
          <w:rFonts w:ascii="Verdana" w:hAnsi="Verdana"/>
          <w:sz w:val="20"/>
          <w:szCs w:val="20"/>
        </w:rPr>
        <w:t>El</w:t>
      </w:r>
      <w:r w:rsidRPr="00995027">
        <w:rPr>
          <w:rFonts w:ascii="Verdana" w:hAnsi="Verdana"/>
          <w:sz w:val="20"/>
          <w:szCs w:val="20"/>
        </w:rPr>
        <w:t xml:space="preserve"> Estado objetó la </w:t>
      </w:r>
      <w:r w:rsidR="002C5449" w:rsidRPr="00995027">
        <w:rPr>
          <w:rFonts w:ascii="Verdana" w:hAnsi="Verdana"/>
          <w:sz w:val="20"/>
          <w:szCs w:val="20"/>
        </w:rPr>
        <w:t>admisibilidad de la prueba testimonial y pericia</w:t>
      </w:r>
      <w:r w:rsidR="0088532E">
        <w:rPr>
          <w:rFonts w:ascii="Verdana" w:hAnsi="Verdana"/>
          <w:sz w:val="20"/>
          <w:szCs w:val="20"/>
        </w:rPr>
        <w:t>l.</w:t>
      </w:r>
    </w:p>
    <w:p w14:paraId="20ACD1C7" w14:textId="70343700" w:rsidR="004C0997" w:rsidRPr="00995027" w:rsidRDefault="00135570" w:rsidP="00995027">
      <w:pPr>
        <w:pStyle w:val="Normal1"/>
        <w:widowControl/>
        <w:numPr>
          <w:ilvl w:val="0"/>
          <w:numId w:val="2"/>
        </w:numPr>
        <w:tabs>
          <w:tab w:val="left" w:pos="567"/>
        </w:tabs>
        <w:spacing w:before="120" w:after="120"/>
        <w:ind w:left="0" w:firstLine="0"/>
        <w:jc w:val="both"/>
        <w:rPr>
          <w:rFonts w:ascii="Verdana" w:eastAsia="Verdana" w:hAnsi="Verdana" w:cs="Verdana"/>
          <w:color w:val="000000"/>
          <w:sz w:val="20"/>
          <w:szCs w:val="20"/>
        </w:rPr>
      </w:pPr>
      <w:r w:rsidRPr="00995027">
        <w:rPr>
          <w:rFonts w:ascii="Verdana" w:hAnsi="Verdana"/>
          <w:sz w:val="20"/>
          <w:szCs w:val="20"/>
        </w:rPr>
        <w:t>A continuación, el Presidente anali</w:t>
      </w:r>
      <w:r w:rsidR="00E11F2D" w:rsidRPr="00995027">
        <w:rPr>
          <w:rFonts w:ascii="Verdana" w:hAnsi="Verdana"/>
          <w:sz w:val="20"/>
          <w:szCs w:val="20"/>
        </w:rPr>
        <w:t>zará en forma particular:</w:t>
      </w:r>
      <w:r w:rsidR="00420DA3" w:rsidRPr="00995027">
        <w:rPr>
          <w:rFonts w:ascii="Verdana" w:hAnsi="Verdana"/>
          <w:sz w:val="20"/>
          <w:szCs w:val="20"/>
        </w:rPr>
        <w:t xml:space="preserve"> a</w:t>
      </w:r>
      <w:r w:rsidR="00062046" w:rsidRPr="00995027">
        <w:rPr>
          <w:rFonts w:ascii="Verdana" w:hAnsi="Verdana"/>
          <w:sz w:val="20"/>
          <w:szCs w:val="20"/>
        </w:rPr>
        <w:t xml:space="preserve">) la admisibilidad </w:t>
      </w:r>
      <w:r w:rsidR="00995027" w:rsidRPr="00995027">
        <w:rPr>
          <w:rFonts w:ascii="Verdana" w:hAnsi="Verdana"/>
          <w:sz w:val="20"/>
          <w:szCs w:val="20"/>
        </w:rPr>
        <w:t>de las declaraciones ofrecidas por los representantes; b</w:t>
      </w:r>
      <w:r w:rsidR="00062046" w:rsidRPr="00995027">
        <w:rPr>
          <w:rFonts w:ascii="Verdana" w:hAnsi="Verdana"/>
          <w:sz w:val="20"/>
          <w:szCs w:val="20"/>
        </w:rPr>
        <w:t xml:space="preserve">) la solicitud de </w:t>
      </w:r>
      <w:r w:rsidR="00B018EC">
        <w:rPr>
          <w:rFonts w:ascii="Verdana" w:hAnsi="Verdana"/>
          <w:sz w:val="20"/>
          <w:szCs w:val="20"/>
        </w:rPr>
        <w:t xml:space="preserve">prueba realizada por </w:t>
      </w:r>
      <w:r w:rsidR="00062046" w:rsidRPr="00995027">
        <w:rPr>
          <w:rFonts w:ascii="Verdana" w:hAnsi="Verdana"/>
          <w:sz w:val="20"/>
          <w:szCs w:val="20"/>
        </w:rPr>
        <w:t>los representantes</w:t>
      </w:r>
      <w:r w:rsidR="00420DA3" w:rsidRPr="00995027">
        <w:rPr>
          <w:rFonts w:ascii="Verdana" w:hAnsi="Verdana"/>
          <w:sz w:val="20"/>
          <w:szCs w:val="20"/>
        </w:rPr>
        <w:t xml:space="preserve">, y </w:t>
      </w:r>
      <w:r w:rsidR="00995027" w:rsidRPr="00995027">
        <w:rPr>
          <w:rFonts w:ascii="Verdana" w:hAnsi="Verdana"/>
          <w:sz w:val="20"/>
          <w:szCs w:val="20"/>
        </w:rPr>
        <w:t>c</w:t>
      </w:r>
      <w:r w:rsidRPr="00995027">
        <w:rPr>
          <w:rFonts w:ascii="Verdana" w:hAnsi="Verdana"/>
          <w:sz w:val="20"/>
          <w:szCs w:val="20"/>
        </w:rPr>
        <w:t xml:space="preserve">) </w:t>
      </w:r>
      <w:r w:rsidR="00E11F2D" w:rsidRPr="00995027">
        <w:rPr>
          <w:rFonts w:ascii="Verdana" w:hAnsi="Verdana"/>
          <w:sz w:val="20"/>
          <w:szCs w:val="20"/>
        </w:rPr>
        <w:t>la</w:t>
      </w:r>
      <w:r w:rsidR="00062046" w:rsidRPr="00995027">
        <w:rPr>
          <w:rFonts w:ascii="Verdana" w:hAnsi="Verdana"/>
          <w:sz w:val="20"/>
          <w:szCs w:val="20"/>
        </w:rPr>
        <w:t xml:space="preserve"> </w:t>
      </w:r>
      <w:r w:rsidRPr="00995027">
        <w:rPr>
          <w:rFonts w:ascii="Verdana" w:hAnsi="Verdana"/>
          <w:sz w:val="20"/>
          <w:szCs w:val="20"/>
        </w:rPr>
        <w:t>aplicación del Fondo de Asistencia Legal de Víctimas ante la Corte.</w:t>
      </w:r>
    </w:p>
    <w:p w14:paraId="20F87372" w14:textId="5E222B62" w:rsidR="00E11F2D" w:rsidRPr="00BF4DBB" w:rsidRDefault="00E11F2D" w:rsidP="00CB1388">
      <w:pPr>
        <w:pStyle w:val="Ttulo"/>
        <w:spacing w:before="200"/>
        <w:ind w:left="1134" w:hanging="567"/>
      </w:pPr>
      <w:r w:rsidRPr="00BF4DBB">
        <w:t>Admisibilidad de la</w:t>
      </w:r>
      <w:r w:rsidR="00995027">
        <w:t xml:space="preserve">s declaraciones ofrecidas por los </w:t>
      </w:r>
      <w:r w:rsidRPr="00BF4DBB">
        <w:t>representantes</w:t>
      </w:r>
    </w:p>
    <w:p w14:paraId="7C9A65B5" w14:textId="1CFA5FA7" w:rsidR="004336D6" w:rsidRPr="00BF4DBB" w:rsidRDefault="00E11F2D" w:rsidP="004336D6">
      <w:pPr>
        <w:pStyle w:val="Sinespaciado"/>
        <w:tabs>
          <w:tab w:val="left" w:pos="567"/>
        </w:tabs>
        <w:spacing w:before="120" w:after="120"/>
        <w:contextualSpacing w:val="0"/>
      </w:pPr>
      <w:r w:rsidRPr="00BF4DBB">
        <w:t xml:space="preserve">En su escrito de solicitudes y argumentos, los </w:t>
      </w:r>
      <w:r w:rsidRPr="00BF4DBB">
        <w:rPr>
          <w:b/>
          <w:i/>
        </w:rPr>
        <w:t>representantes</w:t>
      </w:r>
      <w:r w:rsidRPr="00BF4DBB">
        <w:t xml:space="preserve"> ofrecieron las declaraciones testimoniales de Lilian</w:t>
      </w:r>
      <w:r w:rsidR="004336D6">
        <w:t>a</w:t>
      </w:r>
      <w:r w:rsidRPr="00BF4DBB">
        <w:t xml:space="preserve"> </w:t>
      </w:r>
      <w:proofErr w:type="spellStart"/>
      <w:r w:rsidRPr="00BF4DBB">
        <w:t>Spoltore</w:t>
      </w:r>
      <w:proofErr w:type="spellEnd"/>
      <w:r w:rsidRPr="00BF4DBB">
        <w:t xml:space="preserve">, Rosalinda </w:t>
      </w:r>
      <w:proofErr w:type="spellStart"/>
      <w:r w:rsidRPr="00BF4DBB">
        <w:t>Campitelli</w:t>
      </w:r>
      <w:proofErr w:type="spellEnd"/>
      <w:r w:rsidRPr="00BF4DBB">
        <w:t xml:space="preserve">, y Alejandro </w:t>
      </w:r>
      <w:proofErr w:type="spellStart"/>
      <w:r w:rsidRPr="00BF4DBB">
        <w:t>Spoltore</w:t>
      </w:r>
      <w:proofErr w:type="spellEnd"/>
      <w:r w:rsidR="00937248" w:rsidRPr="00BF4DBB">
        <w:t xml:space="preserve">, viuda e hijos del señor Victorio </w:t>
      </w:r>
      <w:proofErr w:type="spellStart"/>
      <w:r w:rsidR="00937248" w:rsidRPr="00BF4DBB">
        <w:t>Spoltore</w:t>
      </w:r>
      <w:proofErr w:type="spellEnd"/>
      <w:r w:rsidR="00937248" w:rsidRPr="00BF4DBB">
        <w:t xml:space="preserve">, respectivamente. Las declaraciones de todos ellos versarían sobre “las circunstancias de hecho alegadas en este proceso y el impacto que las </w:t>
      </w:r>
      <w:r w:rsidR="00937248" w:rsidRPr="00BF4DBB">
        <w:lastRenderedPageBreak/>
        <w:t xml:space="preserve">violaciones a los derechos humanos alegadas en el presente caso tuvieron en sus vidas y la de Victorio </w:t>
      </w:r>
      <w:proofErr w:type="spellStart"/>
      <w:r w:rsidR="00937248" w:rsidRPr="00BF4DBB">
        <w:t>Spoltore</w:t>
      </w:r>
      <w:proofErr w:type="spellEnd"/>
      <w:r w:rsidR="00937248" w:rsidRPr="00BF4DBB">
        <w:t>”.</w:t>
      </w:r>
      <w:r w:rsidR="00937248" w:rsidRPr="00BF4DBB">
        <w:rPr>
          <w:b/>
        </w:rPr>
        <w:t xml:space="preserve"> </w:t>
      </w:r>
      <w:r w:rsidR="004336D6" w:rsidRPr="004336D6">
        <w:t>Asimismo,</w:t>
      </w:r>
      <w:r w:rsidR="004336D6">
        <w:rPr>
          <w:b/>
        </w:rPr>
        <w:t xml:space="preserve"> </w:t>
      </w:r>
      <w:r w:rsidR="004336D6" w:rsidRPr="00BF4DBB">
        <w:t xml:space="preserve">ofrecieron el dictamen pericial de Mariano Rey, el cual versaría sobre “el impacto que las violaciones alegadas han tenido en Victorio </w:t>
      </w:r>
      <w:proofErr w:type="spellStart"/>
      <w:r w:rsidR="004336D6" w:rsidRPr="00BF4DBB">
        <w:t>Spoltore</w:t>
      </w:r>
      <w:proofErr w:type="spellEnd"/>
      <w:r w:rsidR="004336D6" w:rsidRPr="00BF4DBB">
        <w:t xml:space="preserve"> y en sus familiares directos: Rosalinda </w:t>
      </w:r>
      <w:proofErr w:type="spellStart"/>
      <w:r w:rsidR="004336D6" w:rsidRPr="00BF4DBB">
        <w:t>Campitelli</w:t>
      </w:r>
      <w:proofErr w:type="spellEnd"/>
      <w:r w:rsidR="004336D6" w:rsidRPr="00BF4DBB">
        <w:t xml:space="preserve">, Liliana </w:t>
      </w:r>
      <w:proofErr w:type="spellStart"/>
      <w:r w:rsidR="004336D6" w:rsidRPr="00BF4DBB">
        <w:t>Spoltore</w:t>
      </w:r>
      <w:proofErr w:type="spellEnd"/>
      <w:r w:rsidR="004336D6" w:rsidRPr="00BF4DBB">
        <w:t xml:space="preserve"> y Alejandro </w:t>
      </w:r>
      <w:proofErr w:type="spellStart"/>
      <w:r w:rsidR="004336D6" w:rsidRPr="00BF4DBB">
        <w:t>Spoltore</w:t>
      </w:r>
      <w:proofErr w:type="spellEnd"/>
      <w:r w:rsidR="004336D6" w:rsidRPr="00BF4DBB">
        <w:t xml:space="preserve">”. </w:t>
      </w:r>
    </w:p>
    <w:p w14:paraId="2964AB69" w14:textId="792AB398" w:rsidR="005A4F8A" w:rsidRDefault="00937248" w:rsidP="005A4F8A">
      <w:pPr>
        <w:pStyle w:val="Sinespaciado"/>
        <w:tabs>
          <w:tab w:val="left" w:pos="567"/>
        </w:tabs>
        <w:spacing w:before="120" w:after="120"/>
        <w:contextualSpacing w:val="0"/>
      </w:pPr>
      <w:r w:rsidRPr="00BF4DBB">
        <w:t xml:space="preserve">El </w:t>
      </w:r>
      <w:r w:rsidRPr="00BF4DBB">
        <w:rPr>
          <w:b/>
          <w:i/>
        </w:rPr>
        <w:t>Estado</w:t>
      </w:r>
      <w:r w:rsidRPr="00BF4DBB">
        <w:t xml:space="preserve"> objetó la admisibilidad de la prueba testimonial</w:t>
      </w:r>
      <w:r w:rsidR="004336D6">
        <w:t xml:space="preserve"> y pericial</w:t>
      </w:r>
      <w:r w:rsidRPr="00BF4DBB">
        <w:t xml:space="preserve"> ofrecida por los representantes, alegando que mediante su ofrecimiento “se pretende introducir cuestiones que escapan el objeto procesal del presente caso”</w:t>
      </w:r>
      <w:r w:rsidR="00062766" w:rsidRPr="00BF4DBB">
        <w:t>.</w:t>
      </w:r>
      <w:r w:rsidRPr="00BF4DBB">
        <w:rPr>
          <w:b/>
        </w:rPr>
        <w:t xml:space="preserve"> </w:t>
      </w:r>
      <w:r w:rsidRPr="00BF4DBB">
        <w:t xml:space="preserve">Agregó que los familiares del señor </w:t>
      </w:r>
      <w:proofErr w:type="spellStart"/>
      <w:r w:rsidRPr="00BF4DBB">
        <w:t>Spoltore</w:t>
      </w:r>
      <w:proofErr w:type="spellEnd"/>
      <w:r w:rsidRPr="00BF4DBB">
        <w:t xml:space="preserve"> no pueden ser considerados como</w:t>
      </w:r>
      <w:r w:rsidR="009E6EAD">
        <w:t xml:space="preserve"> presuntas</w:t>
      </w:r>
      <w:r w:rsidRPr="00BF4DBB">
        <w:t xml:space="preserve"> víctimas, y que </w:t>
      </w:r>
      <w:r w:rsidR="004336D6">
        <w:t>no corresponde que pres</w:t>
      </w:r>
      <w:r w:rsidR="00037B5A">
        <w:t>e</w:t>
      </w:r>
      <w:r w:rsidR="004336D6">
        <w:t>nten declaración testimonial ya que “</w:t>
      </w:r>
      <w:r w:rsidRPr="00BF4DBB">
        <w:t>co</w:t>
      </w:r>
      <w:r w:rsidR="004336D6">
        <w:t xml:space="preserve">mo herederos del señor </w:t>
      </w:r>
      <w:proofErr w:type="spellStart"/>
      <w:r w:rsidR="004336D6">
        <w:t>Spoltore</w:t>
      </w:r>
      <w:proofErr w:type="spellEnd"/>
      <w:r w:rsidR="004336D6">
        <w:t xml:space="preserve">, </w:t>
      </w:r>
      <w:r w:rsidRPr="00BF4DBB">
        <w:t xml:space="preserve">tienen un interés directo en la solución del presente pleito”. </w:t>
      </w:r>
    </w:p>
    <w:p w14:paraId="058C3305" w14:textId="46BB13AD" w:rsidR="003E2BF4" w:rsidRDefault="005A4F8A" w:rsidP="003E2BF4">
      <w:pPr>
        <w:pStyle w:val="Sinespaciado"/>
        <w:tabs>
          <w:tab w:val="left" w:pos="567"/>
        </w:tabs>
        <w:spacing w:before="120" w:after="120"/>
        <w:contextualSpacing w:val="0"/>
      </w:pPr>
      <w:r>
        <w:t xml:space="preserve">Esta Presidencia </w:t>
      </w:r>
      <w:r w:rsidR="00A17C8E">
        <w:t>advierte que parte de los alegatos del Estado se refieren al carácter de presunta</w:t>
      </w:r>
      <w:r w:rsidR="004B676B">
        <w:t>s</w:t>
      </w:r>
      <w:r w:rsidR="00A17C8E">
        <w:t xml:space="preserve"> víctimas de los familiares del señor </w:t>
      </w:r>
      <w:proofErr w:type="spellStart"/>
      <w:r w:rsidR="00A17C8E">
        <w:t>Spoltore</w:t>
      </w:r>
      <w:proofErr w:type="spellEnd"/>
      <w:r w:rsidR="00A17C8E">
        <w:t xml:space="preserve">. Al respecto, se reitera que </w:t>
      </w:r>
      <w:r>
        <w:t>la determinación de quiénes deben considerarse presuntas víctimas será efectuada en el momento procesal oportuno</w:t>
      </w:r>
      <w:r w:rsidR="00A17C8E">
        <w:rPr>
          <w:rStyle w:val="Refdenotaalpie"/>
        </w:rPr>
        <w:footnoteReference w:id="1"/>
      </w:r>
      <w:r>
        <w:t>.</w:t>
      </w:r>
      <w:r w:rsidR="00A17C8E">
        <w:t xml:space="preserve"> Por otra parte, respecto al interés que tendrían los familiares del señor </w:t>
      </w:r>
      <w:proofErr w:type="spellStart"/>
      <w:r w:rsidR="00A17C8E">
        <w:t>Spoltore</w:t>
      </w:r>
      <w:proofErr w:type="spellEnd"/>
      <w:r w:rsidR="00A17C8E">
        <w:t xml:space="preserve"> en el resultado de este proceso, la Presidencia recuerda que el deber de imparcialidad no les es exigible a los testigos</w:t>
      </w:r>
      <w:r w:rsidR="00A17C8E">
        <w:rPr>
          <w:rStyle w:val="Refdenotaalpie"/>
        </w:rPr>
        <w:footnoteReference w:id="2"/>
      </w:r>
      <w:r w:rsidR="00A17C8E">
        <w:t xml:space="preserve">. Por lo tanto, el Presidente estima que lo planteado por el </w:t>
      </w:r>
      <w:r w:rsidR="00712D31">
        <w:t>Estado</w:t>
      </w:r>
      <w:r w:rsidR="00A17C8E">
        <w:t xml:space="preserve"> se relaciona con el valor o peso probatorio de los testimonios propuestos en relación con los hechos establecidos en el marco fáctico del presente caso, pero no afecta su admisibilidad y eventual valoración por parte de la Corte. En efecto, la situación particular de los testigos será tomada en cuenta por el Tribunal a la hora de evaluar el peso probatorio de sus declaraciones. </w:t>
      </w:r>
    </w:p>
    <w:p w14:paraId="710CBF4F" w14:textId="715D8208" w:rsidR="003E2BF4" w:rsidRPr="00BF4DBB" w:rsidRDefault="00937248" w:rsidP="00CB1388">
      <w:pPr>
        <w:pStyle w:val="Sinespaciado"/>
        <w:tabs>
          <w:tab w:val="left" w:pos="567"/>
        </w:tabs>
        <w:spacing w:before="120" w:after="120"/>
        <w:contextualSpacing w:val="0"/>
      </w:pPr>
      <w:r w:rsidRPr="003E2BF4">
        <w:rPr>
          <w:lang w:val="es-ES_tradnl"/>
        </w:rPr>
        <w:t xml:space="preserve">En consecuencia, el Presidente admite las declaraciones de </w:t>
      </w:r>
      <w:r w:rsidRPr="00BF4DBB">
        <w:t xml:space="preserve">Liliana </w:t>
      </w:r>
      <w:proofErr w:type="spellStart"/>
      <w:r w:rsidRPr="00BF4DBB">
        <w:t>Spoltore</w:t>
      </w:r>
      <w:proofErr w:type="spellEnd"/>
      <w:r w:rsidRPr="00BF4DBB">
        <w:t xml:space="preserve">, </w:t>
      </w:r>
      <w:r w:rsidRPr="003E2BF4">
        <w:rPr>
          <w:rFonts w:cs="Arial"/>
        </w:rPr>
        <w:t xml:space="preserve">Rosalinda </w:t>
      </w:r>
      <w:proofErr w:type="spellStart"/>
      <w:r w:rsidRPr="003E2BF4">
        <w:rPr>
          <w:rFonts w:cs="Arial"/>
        </w:rPr>
        <w:t>Campitelli</w:t>
      </w:r>
      <w:proofErr w:type="spellEnd"/>
      <w:r w:rsidR="00712D31" w:rsidRPr="003E2BF4">
        <w:rPr>
          <w:rFonts w:cs="Arial"/>
        </w:rPr>
        <w:t>,</w:t>
      </w:r>
      <w:r w:rsidRPr="003E2BF4">
        <w:rPr>
          <w:rFonts w:cs="Arial"/>
        </w:rPr>
        <w:t xml:space="preserve"> Alejandro </w:t>
      </w:r>
      <w:proofErr w:type="spellStart"/>
      <w:r w:rsidRPr="003E2BF4">
        <w:rPr>
          <w:rFonts w:cs="Arial"/>
        </w:rPr>
        <w:t>Spoltore</w:t>
      </w:r>
      <w:proofErr w:type="spellEnd"/>
      <w:r w:rsidR="00712D31" w:rsidRPr="003E2BF4">
        <w:rPr>
          <w:lang w:val="es-ES_tradnl"/>
        </w:rPr>
        <w:t xml:space="preserve"> y Mariano Rey, </w:t>
      </w:r>
      <w:r w:rsidRPr="003E2BF4">
        <w:rPr>
          <w:lang w:val="es-ES_tradnl"/>
        </w:rPr>
        <w:t>según el objeto y modalidad determinados en la parte resol</w:t>
      </w:r>
      <w:r w:rsidR="003E2BF4" w:rsidRPr="003E2BF4">
        <w:rPr>
          <w:lang w:val="es-ES_tradnl"/>
        </w:rPr>
        <w:t>utiva de la presente Resolución.</w:t>
      </w:r>
    </w:p>
    <w:p w14:paraId="4C189704" w14:textId="3B127724" w:rsidR="001D5A5F" w:rsidRPr="00BF4DBB" w:rsidRDefault="004A725B" w:rsidP="00CB1388">
      <w:pPr>
        <w:pStyle w:val="Ttulo"/>
        <w:spacing w:before="200"/>
        <w:ind w:left="1134" w:hanging="567"/>
        <w:contextualSpacing w:val="0"/>
        <w:jc w:val="both"/>
      </w:pPr>
      <w:r w:rsidRPr="00BF4DBB">
        <w:t>Solicitud</w:t>
      </w:r>
      <w:r w:rsidR="00FC6617" w:rsidRPr="00BF4DBB">
        <w:t xml:space="preserve"> de </w:t>
      </w:r>
      <w:r w:rsidR="00B018EC">
        <w:t xml:space="preserve">prueba realizada por </w:t>
      </w:r>
      <w:r w:rsidR="00FC6617" w:rsidRPr="00BF4DBB">
        <w:t xml:space="preserve">los representantes </w:t>
      </w:r>
    </w:p>
    <w:p w14:paraId="7FB66F51" w14:textId="2BC9AA2D" w:rsidR="001D5A5F" w:rsidRPr="00B018EC" w:rsidRDefault="001D5A5F" w:rsidP="00B018EC">
      <w:pPr>
        <w:pStyle w:val="Sinespaciado"/>
        <w:tabs>
          <w:tab w:val="left" w:pos="567"/>
        </w:tabs>
        <w:spacing w:before="120" w:after="120"/>
        <w:contextualSpacing w:val="0"/>
      </w:pPr>
      <w:r w:rsidRPr="00BF4DBB">
        <w:t>L</w:t>
      </w:r>
      <w:r w:rsidR="00B25682" w:rsidRPr="00BF4DBB">
        <w:t xml:space="preserve">os </w:t>
      </w:r>
      <w:r w:rsidRPr="00BF4DBB">
        <w:rPr>
          <w:b/>
          <w:i/>
        </w:rPr>
        <w:t>representantes</w:t>
      </w:r>
      <w:r w:rsidRPr="00BF4DBB">
        <w:rPr>
          <w:b/>
        </w:rPr>
        <w:t xml:space="preserve"> </w:t>
      </w:r>
      <w:r w:rsidR="00B25682" w:rsidRPr="00BF4DBB">
        <w:t>solicitaron</w:t>
      </w:r>
      <w:r w:rsidRPr="00BF4DBB">
        <w:t xml:space="preserve"> </w:t>
      </w:r>
      <w:r w:rsidR="00B018EC">
        <w:t xml:space="preserve">a la Corte </w:t>
      </w:r>
      <w:r w:rsidR="00B25682" w:rsidRPr="00BF4DBB">
        <w:t>requerir</w:t>
      </w:r>
      <w:r w:rsidRPr="00BF4DBB">
        <w:t xml:space="preserve"> al Estado</w:t>
      </w:r>
      <w:r w:rsidR="00B25682" w:rsidRPr="00BF4DBB">
        <w:t xml:space="preserve"> el envío de</w:t>
      </w:r>
      <w:r w:rsidRPr="00BF4DBB">
        <w:t xml:space="preserve">: </w:t>
      </w:r>
      <w:r w:rsidR="00B018EC">
        <w:t>i</w:t>
      </w:r>
      <w:r w:rsidRPr="00BF4DBB">
        <w:t xml:space="preserve">) </w:t>
      </w:r>
      <w:r w:rsidR="006D0FFB" w:rsidRPr="00BF4DBB">
        <w:t xml:space="preserve">el </w:t>
      </w:r>
      <w:r w:rsidRPr="00BF4DBB">
        <w:t>expediente 12.515 del registro del Tribunal del Trabajo número 3 de San Isidro, caratulado “</w:t>
      </w:r>
      <w:proofErr w:type="spellStart"/>
      <w:r w:rsidRPr="00BF4DBB">
        <w:t>Spoltore</w:t>
      </w:r>
      <w:proofErr w:type="spellEnd"/>
      <w:r w:rsidRPr="00BF4DBB">
        <w:t xml:space="preserve"> Victorio c/ Cacique Camping s/ enfermedad profesional (1113 del Código Civil)</w:t>
      </w:r>
      <w:r w:rsidR="006D0FFB" w:rsidRPr="00BF4DBB">
        <w:t>”, o en su defecto dos copias certificadas del mismo</w:t>
      </w:r>
      <w:r w:rsidRPr="00BF4DBB">
        <w:t>,</w:t>
      </w:r>
      <w:r w:rsidR="006D0FFB" w:rsidRPr="00BF4DBB">
        <w:t xml:space="preserve"> </w:t>
      </w:r>
      <w:r w:rsidRPr="00BF4DBB">
        <w:t xml:space="preserve">y </w:t>
      </w:r>
      <w:r w:rsidR="00B018EC">
        <w:t>ii</w:t>
      </w:r>
      <w:r w:rsidRPr="00BF4DBB">
        <w:t xml:space="preserve">) </w:t>
      </w:r>
      <w:r w:rsidR="00B018EC">
        <w:t xml:space="preserve">el </w:t>
      </w:r>
      <w:r w:rsidRPr="00BF4DBB">
        <w:t>expediente administrativo IGSCPBA N</w:t>
      </w:r>
      <w:r w:rsidRPr="00BF4DBB">
        <w:rPr>
          <w:vertAlign w:val="superscript"/>
        </w:rPr>
        <w:t>o</w:t>
      </w:r>
      <w:r w:rsidRPr="00BF4DBB">
        <w:t xml:space="preserve"> 3.001-1.225/97, que fuera iniciado por Victorio </w:t>
      </w:r>
      <w:proofErr w:type="spellStart"/>
      <w:r w:rsidRPr="00BF4DBB">
        <w:t>Spoltore</w:t>
      </w:r>
      <w:proofErr w:type="spellEnd"/>
      <w:r w:rsidRPr="00BF4DBB">
        <w:t xml:space="preserve"> ante la Dirección General de la Corte Suprema de Justicia de Buenos Aires.</w:t>
      </w:r>
      <w:r w:rsidR="00FC6617" w:rsidRPr="00BF4DBB">
        <w:t xml:space="preserve"> </w:t>
      </w:r>
      <w:r w:rsidR="004A725B" w:rsidRPr="00BF4DBB">
        <w:t xml:space="preserve">El </w:t>
      </w:r>
      <w:r w:rsidR="004A725B" w:rsidRPr="00BF4DBB">
        <w:rPr>
          <w:b/>
          <w:i/>
        </w:rPr>
        <w:t>Estado</w:t>
      </w:r>
      <w:r w:rsidR="004A725B" w:rsidRPr="00BF4DBB">
        <w:t xml:space="preserve"> no presentó observaciones con respecto a esta solicitud.</w:t>
      </w:r>
    </w:p>
    <w:p w14:paraId="484129F7" w14:textId="39EDEDDC" w:rsidR="004A725B" w:rsidRDefault="006B0C30" w:rsidP="00B018EC">
      <w:pPr>
        <w:pStyle w:val="Sinespaciado"/>
        <w:tabs>
          <w:tab w:val="left" w:pos="567"/>
        </w:tabs>
        <w:spacing w:before="120" w:after="120"/>
        <w:contextualSpacing w:val="0"/>
      </w:pPr>
      <w:r w:rsidRPr="00BF4DBB">
        <w:t>El Presidente considera que los expedientes solicitados por los representantes resultan útiles y necesarios para el análisis</w:t>
      </w:r>
      <w:r w:rsidR="00503C0F" w:rsidRPr="00BF4DBB">
        <w:t xml:space="preserve"> fáctico y jurídico</w:t>
      </w:r>
      <w:r w:rsidRPr="00BF4DBB">
        <w:t xml:space="preserve"> del presente caso. Por ello, en atención a lo solicitado por los representantes y de conformidad con el artículo 58 </w:t>
      </w:r>
      <w:r w:rsidR="00503C0F" w:rsidRPr="00B018EC">
        <w:rPr>
          <w:rFonts w:cs="Verdana"/>
        </w:rPr>
        <w:t>del Reglamento</w:t>
      </w:r>
      <w:r w:rsidRPr="00B018EC">
        <w:rPr>
          <w:rFonts w:cs="Verdana"/>
        </w:rPr>
        <w:t xml:space="preserve">, esta Presidencia </w:t>
      </w:r>
      <w:r w:rsidR="00503C0F" w:rsidRPr="00B018EC">
        <w:rPr>
          <w:rFonts w:cs="Verdana"/>
        </w:rPr>
        <w:t>considera</w:t>
      </w:r>
      <w:r w:rsidRPr="00B018EC">
        <w:rPr>
          <w:rFonts w:cs="Verdana"/>
        </w:rPr>
        <w:t xml:space="preserve"> útil que el Estado remita, en el plazo establecido en la parte resolutiva de la presente Resolución</w:t>
      </w:r>
      <w:r w:rsidR="004B676B">
        <w:rPr>
          <w:rFonts w:cs="Verdana"/>
        </w:rPr>
        <w:t>, copia completa de</w:t>
      </w:r>
      <w:r w:rsidR="004A725B" w:rsidRPr="00BF4DBB">
        <w:t>: i) el expediente 12.515 del registro del Tribunal del Trabajo número 3 de San Isidro, caratulado “</w:t>
      </w:r>
      <w:proofErr w:type="spellStart"/>
      <w:r w:rsidR="004A725B" w:rsidRPr="00BF4DBB">
        <w:t>Spoltore</w:t>
      </w:r>
      <w:proofErr w:type="spellEnd"/>
      <w:r w:rsidR="004A725B" w:rsidRPr="00BF4DBB">
        <w:t xml:space="preserve"> Victorio c/ Cacique Camping s/ enfermedad profes</w:t>
      </w:r>
      <w:r w:rsidR="004B676B">
        <w:t>ional (1113 del Código Civil)”</w:t>
      </w:r>
      <w:r w:rsidR="004A725B" w:rsidRPr="00BF4DBB">
        <w:t>, y ii) el expediente administrativo IGSCPBA N</w:t>
      </w:r>
      <w:r w:rsidR="004A725B" w:rsidRPr="00B018EC">
        <w:rPr>
          <w:vertAlign w:val="superscript"/>
        </w:rPr>
        <w:t>o</w:t>
      </w:r>
      <w:r w:rsidR="004A725B" w:rsidRPr="00BF4DBB">
        <w:t xml:space="preserve"> 3.001-1.225/97 iniciado por Victorio </w:t>
      </w:r>
      <w:proofErr w:type="spellStart"/>
      <w:r w:rsidR="004A725B" w:rsidRPr="00BF4DBB">
        <w:t>Spoltore</w:t>
      </w:r>
      <w:proofErr w:type="spellEnd"/>
      <w:r w:rsidR="004A725B" w:rsidRPr="00BF4DBB">
        <w:t xml:space="preserve"> ante la Dirección General de la Corte Suprema de Justicia de Buenos Aires.  </w:t>
      </w:r>
    </w:p>
    <w:p w14:paraId="276DFDF7" w14:textId="77777777" w:rsidR="009D4036" w:rsidRPr="00B018EC" w:rsidRDefault="009D4036" w:rsidP="009D4036">
      <w:pPr>
        <w:pStyle w:val="Sinespaciado"/>
        <w:numPr>
          <w:ilvl w:val="0"/>
          <w:numId w:val="0"/>
        </w:numPr>
        <w:tabs>
          <w:tab w:val="left" w:pos="567"/>
        </w:tabs>
        <w:spacing w:before="120" w:after="120"/>
        <w:contextualSpacing w:val="0"/>
      </w:pPr>
    </w:p>
    <w:p w14:paraId="06F3B71C" w14:textId="63573823" w:rsidR="007B7800" w:rsidRPr="00BF4DBB" w:rsidRDefault="00310614" w:rsidP="00CB1388">
      <w:pPr>
        <w:pStyle w:val="Ttulo"/>
        <w:spacing w:before="200"/>
        <w:ind w:left="1134" w:hanging="567"/>
        <w:contextualSpacing w:val="0"/>
      </w:pPr>
      <w:r w:rsidRPr="00BF4DBB">
        <w:lastRenderedPageBreak/>
        <w:t>A</w:t>
      </w:r>
      <w:r w:rsidR="00135570" w:rsidRPr="00BF4DBB">
        <w:t>plicación del Fondo de Asistencia Legal de Víctimas ante la Corte</w:t>
      </w:r>
      <w:r w:rsidR="007B7800" w:rsidRPr="00BF4DBB">
        <w:t>.</w:t>
      </w:r>
    </w:p>
    <w:p w14:paraId="794C7A5D" w14:textId="77777777" w:rsidR="00A27175" w:rsidRDefault="00361F06" w:rsidP="00A27175">
      <w:pPr>
        <w:pStyle w:val="Sinespaciado"/>
        <w:tabs>
          <w:tab w:val="left" w:pos="567"/>
        </w:tabs>
        <w:spacing w:before="120" w:after="120"/>
        <w:contextualSpacing w:val="0"/>
      </w:pPr>
      <w:r w:rsidRPr="00192545">
        <w:t xml:space="preserve">Mediante </w:t>
      </w:r>
      <w:r w:rsidR="00B018EC" w:rsidRPr="00192545">
        <w:t>nota de Secretaría de 25</w:t>
      </w:r>
      <w:r w:rsidRPr="00192545">
        <w:t xml:space="preserve"> </w:t>
      </w:r>
      <w:r w:rsidR="002B7552" w:rsidRPr="00192545">
        <w:t xml:space="preserve">de noviembre </w:t>
      </w:r>
      <w:r w:rsidRPr="00192545">
        <w:t xml:space="preserve">de 2019, se resolvió declarar procedente la solicitud realizada para acogerse al Fondo de Asistencia Legal de Víctimas, de modo que se otorgará el apoyo económico necesario, </w:t>
      </w:r>
      <w:r w:rsidR="00192545" w:rsidRPr="00192545">
        <w:rPr>
          <w:rFonts w:eastAsia="Calibri" w:cs="Verdana"/>
          <w:spacing w:val="-2"/>
          <w:lang w:val="es-ES"/>
        </w:rPr>
        <w:t xml:space="preserve">para </w:t>
      </w:r>
      <w:r w:rsidR="00192545" w:rsidRPr="00192545">
        <w:rPr>
          <w:rFonts w:eastAsia="Calibri" w:cs="Verdana"/>
          <w:spacing w:val="-2"/>
        </w:rPr>
        <w:t xml:space="preserve">solventar los gastos que ocasionaría </w:t>
      </w:r>
      <w:r w:rsidR="00192545" w:rsidRPr="00192545">
        <w:rPr>
          <w:rFonts w:eastAsia="Calibri"/>
        </w:rPr>
        <w:t xml:space="preserve">el viaje y estadía necesarios para </w:t>
      </w:r>
      <w:r w:rsidR="00192545" w:rsidRPr="00192545">
        <w:rPr>
          <w:rFonts w:eastAsia="Calibri" w:cs="Verdana"/>
          <w:spacing w:val="-2"/>
          <w:lang w:val="es-ES"/>
        </w:rPr>
        <w:t xml:space="preserve">la participación en la audiencia pública de uno de los representantes legales y la presentación </w:t>
      </w:r>
      <w:r w:rsidR="00192545" w:rsidRPr="00192545">
        <w:rPr>
          <w:rFonts w:eastAsia="Calibri"/>
        </w:rPr>
        <w:t>de un máximo de dos declaraciones, ya sea en audiencia o por affidávit.</w:t>
      </w:r>
    </w:p>
    <w:p w14:paraId="27F67FE7" w14:textId="46A49369" w:rsidR="00A27175" w:rsidRDefault="00361F06" w:rsidP="00A27175">
      <w:pPr>
        <w:pStyle w:val="Sinespaciado"/>
        <w:tabs>
          <w:tab w:val="left" w:pos="567"/>
        </w:tabs>
        <w:spacing w:before="120" w:after="120"/>
        <w:contextualSpacing w:val="0"/>
      </w:pPr>
      <w:r w:rsidRPr="00BF4DBB">
        <w:t xml:space="preserve">El Presidente dispone que la asistencia económica estará asignada para cubrir los gastos de viaje y estadía necesarios para que la señora Liliana </w:t>
      </w:r>
      <w:proofErr w:type="spellStart"/>
      <w:r w:rsidRPr="00BF4DBB">
        <w:t>Spoltore</w:t>
      </w:r>
      <w:proofErr w:type="spellEnd"/>
      <w:r w:rsidRPr="00BF4DBB">
        <w:t xml:space="preserve"> comparezca ante el Tribunal a rendir su declaración en la audiencia pública por celebrarse en el presente caso.</w:t>
      </w:r>
      <w:r w:rsidR="00A27175">
        <w:t xml:space="preserve"> Adicionalmente, esta Presidencia determina que los gastos razonables</w:t>
      </w:r>
      <w:r w:rsidR="004B676B">
        <w:t xml:space="preserve"> de formalización y envío del a</w:t>
      </w:r>
      <w:r w:rsidR="00A27175">
        <w:t xml:space="preserve">fidávit de una declaración ofrecida por los representantes, podrá ser cubierta con recursos del Fondo de Asistencia Legal de Víctimas. </w:t>
      </w:r>
      <w:r w:rsidR="00AC6737">
        <w:t>Los</w:t>
      </w:r>
      <w:r w:rsidR="00A27175">
        <w:t xml:space="preserve"> representante</w:t>
      </w:r>
      <w:r w:rsidR="00AC6737">
        <w:t>s</w:t>
      </w:r>
      <w:r w:rsidR="00A27175">
        <w:t xml:space="preserve"> deberá</w:t>
      </w:r>
      <w:r w:rsidR="00AC6737">
        <w:t>n</w:t>
      </w:r>
      <w:r w:rsidR="00A27175">
        <w:t xml:space="preserve"> comunicar a la Corte el nombre del declarante cuyo afidávit será cubierto por el Fondo de Asistencia y remitir la cotización del costo de la formalización de la declaración jurada en el país de residencia del declarante y de su envío, en el plazo establecido en la parte resolutiva de la presente Resolución.</w:t>
      </w:r>
    </w:p>
    <w:p w14:paraId="0A37683C" w14:textId="0929AAB3" w:rsidR="00361F06" w:rsidRPr="00BF4DBB" w:rsidRDefault="00A27175" w:rsidP="00A27175">
      <w:pPr>
        <w:pStyle w:val="Sinespaciado"/>
        <w:spacing w:before="120" w:after="120"/>
        <w:contextualSpacing w:val="0"/>
      </w:pPr>
      <w:r>
        <w:t xml:space="preserve">Respecto a los gastos de uno de los representantes legales </w:t>
      </w:r>
      <w:r w:rsidRPr="00192545">
        <w:rPr>
          <w:rFonts w:eastAsia="Calibri"/>
        </w:rPr>
        <w:t xml:space="preserve">para </w:t>
      </w:r>
      <w:r w:rsidRPr="00192545">
        <w:rPr>
          <w:rFonts w:eastAsia="Calibri" w:cs="Verdana"/>
          <w:spacing w:val="-2"/>
          <w:lang w:val="es-ES"/>
        </w:rPr>
        <w:t>la participación en la audiencia pública</w:t>
      </w:r>
      <w:r>
        <w:rPr>
          <w:rFonts w:eastAsia="Calibri" w:cs="Verdana"/>
          <w:spacing w:val="-2"/>
          <w:lang w:val="es-ES"/>
        </w:rPr>
        <w:t xml:space="preserve">, los representantes deberán informar a la </w:t>
      </w:r>
      <w:r w:rsidR="00CF39E0">
        <w:rPr>
          <w:rFonts w:eastAsia="Calibri" w:cs="Verdana"/>
          <w:spacing w:val="-2"/>
          <w:lang w:val="es-ES"/>
        </w:rPr>
        <w:t>C</w:t>
      </w:r>
      <w:r>
        <w:rPr>
          <w:rFonts w:eastAsia="Calibri" w:cs="Verdana"/>
          <w:spacing w:val="-2"/>
          <w:lang w:val="es-ES"/>
        </w:rPr>
        <w:t>orte el nombre del representante cuyo viaje será cubierto por el Fondo de Asistencia</w:t>
      </w:r>
      <w:r>
        <w:t>, en el plazo establecido en la parte resolutiva de la presente Resolución.</w:t>
      </w:r>
      <w:r>
        <w:rPr>
          <w:rFonts w:eastAsia="Calibri" w:cs="Verdana"/>
          <w:spacing w:val="-2"/>
          <w:lang w:val="es-ES"/>
        </w:rPr>
        <w:t xml:space="preserve"> </w:t>
      </w:r>
    </w:p>
    <w:p w14:paraId="75678477" w14:textId="78793A2E" w:rsidR="00361F06" w:rsidRPr="00BF4DBB" w:rsidRDefault="00361F06" w:rsidP="00A27175">
      <w:pPr>
        <w:pStyle w:val="Sinespaciado"/>
        <w:spacing w:before="120" w:after="120"/>
        <w:contextualSpacing w:val="0"/>
      </w:pPr>
      <w:r w:rsidRPr="00BF4DBB">
        <w:t>La Corte realizará las gestiones pertinentes y necesarias para cubrir los costos de traslado,</w:t>
      </w:r>
      <w:r w:rsidR="00A27175">
        <w:t xml:space="preserve"> alojamiento y manutención de la señora </w:t>
      </w:r>
      <w:proofErr w:type="spellStart"/>
      <w:r w:rsidR="00A27175">
        <w:t>Spoltore</w:t>
      </w:r>
      <w:proofErr w:type="spellEnd"/>
      <w:r w:rsidR="00A27175">
        <w:t xml:space="preserve"> y uno de los representantes legales,</w:t>
      </w:r>
      <w:r w:rsidRPr="00BF4DBB">
        <w:t xml:space="preserve"> con recursos provenientes del Fondo de Asistencia Legal de Víctimas. </w:t>
      </w:r>
    </w:p>
    <w:p w14:paraId="3E657DF1" w14:textId="2B0E79DA" w:rsidR="00361F06" w:rsidRPr="00A27175" w:rsidRDefault="00361F06" w:rsidP="00A27175">
      <w:pPr>
        <w:pStyle w:val="Sinespaciado"/>
        <w:spacing w:before="120" w:after="120"/>
        <w:contextualSpacing w:val="0"/>
      </w:pPr>
      <w:r w:rsidRPr="00BF4DBB">
        <w:t xml:space="preserve">Según lo requerido por el artículo 4 del Reglamento de la Corte sobre el Funcionamiento del Fondo de Asistencia Legal de Víctimas, se dispone que la Secretaría abra un expediente de gastos con el fin de llevar la contabilidad y en el cual se documentará cada una de las erogaciones que se realicen en relación con el referido Fondo. </w:t>
      </w:r>
    </w:p>
    <w:p w14:paraId="22DEE92A" w14:textId="31F9D91B" w:rsidR="00361F06" w:rsidRPr="00BF4DBB" w:rsidRDefault="00361F06" w:rsidP="00B018EC">
      <w:pPr>
        <w:pStyle w:val="Sinespaciado"/>
        <w:spacing w:before="120" w:after="120"/>
        <w:contextualSpacing w:val="0"/>
      </w:pPr>
      <w:r w:rsidRPr="00BF4DBB">
        <w:t>Finalmente, el Presidente recuerda que, según el artículo 5 del Reglamento del Fondo, se informará oportunamente al Estado demandado las erogaciones realizadas en aplicación del Fondo de Asistencia Legal de Víctimas, para que presente sus observaciones, si así lo desea, dentro del plazo que se establezca al efecto.</w:t>
      </w:r>
    </w:p>
    <w:p w14:paraId="1E99D65D" w14:textId="05D45DF7" w:rsidR="007B7800" w:rsidRPr="00BF4DBB" w:rsidRDefault="007B7800" w:rsidP="00135570">
      <w:pPr>
        <w:pStyle w:val="Normal1"/>
        <w:widowControl/>
        <w:autoSpaceDE w:val="0"/>
        <w:autoSpaceDN w:val="0"/>
        <w:adjustRightInd w:val="0"/>
        <w:contextualSpacing/>
        <w:jc w:val="both"/>
        <w:rPr>
          <w:rFonts w:ascii="Verdana" w:hAnsi="Verdana"/>
          <w:sz w:val="20"/>
          <w:szCs w:val="20"/>
        </w:rPr>
      </w:pPr>
    </w:p>
    <w:p w14:paraId="0EC16071" w14:textId="77777777" w:rsidR="00135570" w:rsidRPr="00BF4DBB" w:rsidRDefault="00135570" w:rsidP="00135570">
      <w:pPr>
        <w:rPr>
          <w:rFonts w:ascii="Verdana" w:hAnsi="Verdana"/>
          <w:b/>
          <w:sz w:val="20"/>
          <w:szCs w:val="20"/>
          <w:lang w:val="es-CR"/>
        </w:rPr>
      </w:pPr>
      <w:r w:rsidRPr="00BF4DBB">
        <w:rPr>
          <w:rFonts w:ascii="Verdana" w:hAnsi="Verdana"/>
          <w:b/>
          <w:sz w:val="20"/>
          <w:szCs w:val="20"/>
          <w:lang w:val="es-CR"/>
        </w:rPr>
        <w:t>POR TANTO:</w:t>
      </w:r>
    </w:p>
    <w:p w14:paraId="2B9D7A70" w14:textId="77777777" w:rsidR="00135570" w:rsidRPr="00BF4DBB" w:rsidRDefault="00135570" w:rsidP="00135570">
      <w:pPr>
        <w:spacing w:line="240" w:lineRule="auto"/>
        <w:jc w:val="both"/>
        <w:rPr>
          <w:rFonts w:ascii="Verdana" w:hAnsi="Verdana"/>
          <w:b/>
          <w:sz w:val="20"/>
          <w:szCs w:val="20"/>
          <w:lang w:val="es-CR"/>
        </w:rPr>
      </w:pPr>
      <w:r w:rsidRPr="00BF4DBB">
        <w:rPr>
          <w:rFonts w:ascii="Verdana" w:hAnsi="Verdana"/>
          <w:b/>
          <w:sz w:val="20"/>
          <w:szCs w:val="20"/>
          <w:lang w:val="es-CR"/>
        </w:rPr>
        <w:t>EL PRESIDENTE DE LA CORTE INTERAMERICANA DE DERECHOS HUMANOS,</w:t>
      </w:r>
    </w:p>
    <w:p w14:paraId="536ED4AE" w14:textId="32B80813" w:rsidR="00135570" w:rsidRPr="00BF4DBB" w:rsidRDefault="00135570" w:rsidP="00135570">
      <w:pPr>
        <w:spacing w:line="240" w:lineRule="auto"/>
        <w:jc w:val="both"/>
        <w:rPr>
          <w:rFonts w:ascii="Verdana" w:hAnsi="Verdana"/>
          <w:sz w:val="20"/>
          <w:szCs w:val="20"/>
          <w:lang w:val="es-CR"/>
        </w:rPr>
      </w:pPr>
      <w:r w:rsidRPr="00BF4DBB">
        <w:rPr>
          <w:rFonts w:ascii="Verdana" w:hAnsi="Verdana"/>
          <w:sz w:val="20"/>
          <w:szCs w:val="20"/>
          <w:lang w:val="es-CR"/>
        </w:rPr>
        <w:t>de conformidad con el artículo 25.2 del Estatuto de la Corte y con los artículos 4, 15.1, 26.1, 31.2, 35.1, 40.2, 41.1, 46, 47, 50, 53, 54, 56</w:t>
      </w:r>
      <w:r w:rsidR="00D00000" w:rsidRPr="00BF4DBB">
        <w:rPr>
          <w:rFonts w:ascii="Verdana" w:hAnsi="Verdana"/>
          <w:sz w:val="20"/>
          <w:szCs w:val="20"/>
          <w:lang w:val="es-CR"/>
        </w:rPr>
        <w:t xml:space="preserve">, </w:t>
      </w:r>
      <w:r w:rsidR="004B676B">
        <w:rPr>
          <w:rFonts w:ascii="Verdana" w:hAnsi="Verdana"/>
          <w:sz w:val="20"/>
          <w:szCs w:val="20"/>
          <w:lang w:val="es-CR"/>
        </w:rPr>
        <w:t xml:space="preserve">58 </w:t>
      </w:r>
      <w:r w:rsidRPr="00BF4DBB">
        <w:rPr>
          <w:rFonts w:ascii="Verdana" w:hAnsi="Verdana"/>
          <w:sz w:val="20"/>
          <w:szCs w:val="20"/>
          <w:lang w:val="es-CR"/>
        </w:rPr>
        <w:t xml:space="preserve">y 60 del Reglamento y </w:t>
      </w:r>
      <w:r w:rsidR="007D264B" w:rsidRPr="00BF4DBB">
        <w:rPr>
          <w:rFonts w:ascii="Verdana" w:hAnsi="Verdana"/>
          <w:sz w:val="20"/>
          <w:szCs w:val="20"/>
          <w:lang w:val="es-CR"/>
        </w:rPr>
        <w:t>2, 3, 4, y 5 d</w:t>
      </w:r>
      <w:r w:rsidRPr="00BF4DBB">
        <w:rPr>
          <w:rFonts w:ascii="Verdana" w:hAnsi="Verdana"/>
          <w:sz w:val="20"/>
          <w:szCs w:val="20"/>
          <w:lang w:val="es-CR"/>
        </w:rPr>
        <w:t>el Reglamento sobre el Fondo de Asistencia Legal,</w:t>
      </w:r>
    </w:p>
    <w:p w14:paraId="43D06D3F" w14:textId="0024B41D" w:rsidR="000D5AA5" w:rsidRPr="00BF4DBB" w:rsidRDefault="00135570" w:rsidP="00135570">
      <w:pPr>
        <w:spacing w:line="240" w:lineRule="auto"/>
        <w:jc w:val="both"/>
        <w:rPr>
          <w:rFonts w:ascii="Verdana" w:hAnsi="Verdana"/>
          <w:b/>
          <w:sz w:val="20"/>
          <w:szCs w:val="20"/>
          <w:lang w:val="es-CR"/>
        </w:rPr>
      </w:pPr>
      <w:r w:rsidRPr="00BF4DBB">
        <w:rPr>
          <w:rFonts w:ascii="Verdana" w:hAnsi="Verdana"/>
          <w:b/>
          <w:sz w:val="20"/>
          <w:szCs w:val="20"/>
          <w:lang w:val="es-CR"/>
        </w:rPr>
        <w:t>RESUELVE:</w:t>
      </w:r>
    </w:p>
    <w:p w14:paraId="23110F86" w14:textId="7C67F626" w:rsidR="000D5AA5" w:rsidRPr="00BF4DBB" w:rsidRDefault="000D5AA5" w:rsidP="00A27175">
      <w:pPr>
        <w:pStyle w:val="Sinespaciado"/>
        <w:numPr>
          <w:ilvl w:val="0"/>
          <w:numId w:val="16"/>
        </w:numPr>
        <w:tabs>
          <w:tab w:val="left" w:pos="567"/>
        </w:tabs>
        <w:ind w:left="0" w:firstLine="0"/>
      </w:pPr>
      <w:r w:rsidRPr="00BF4DBB">
        <w:t>Convocar al Estado de Argentina, a los representantes y a la Comisión Interamericana</w:t>
      </w:r>
      <w:r w:rsidR="00A27175">
        <w:t xml:space="preserve"> </w:t>
      </w:r>
      <w:r w:rsidRPr="00BF4DBB">
        <w:t xml:space="preserve">de Derechos Humanos a una audiencia </w:t>
      </w:r>
      <w:r w:rsidRPr="00A27175">
        <w:t xml:space="preserve">pública sobre la excepción preliminar y eventuales </w:t>
      </w:r>
      <w:r w:rsidRPr="009E6EAD">
        <w:t xml:space="preserve">fondo, reparaciones y costas que se celebrará el día </w:t>
      </w:r>
      <w:r w:rsidR="00F50301" w:rsidRPr="009E6EAD">
        <w:t xml:space="preserve">5 </w:t>
      </w:r>
      <w:r w:rsidRPr="009E6EAD">
        <w:t>de</w:t>
      </w:r>
      <w:r w:rsidR="002B7552" w:rsidRPr="009E6EAD">
        <w:t xml:space="preserve"> febrero de</w:t>
      </w:r>
      <w:r w:rsidRPr="009E6EAD">
        <w:t xml:space="preserve"> 2020 a partir de las</w:t>
      </w:r>
      <w:r w:rsidR="009E6EAD" w:rsidRPr="009E6EAD">
        <w:t xml:space="preserve"> 9:00 </w:t>
      </w:r>
      <w:r w:rsidRPr="009E6EAD">
        <w:t xml:space="preserve">horas, durante el </w:t>
      </w:r>
      <w:r w:rsidR="002B7552" w:rsidRPr="009E6EAD">
        <w:t>133</w:t>
      </w:r>
      <w:r w:rsidRPr="009E6EAD">
        <w:t xml:space="preserve"> Período Ordinario de Sesiones, que se llevará a cabo en la sede de la Corte</w:t>
      </w:r>
      <w:r w:rsidRPr="00A27175">
        <w:t xml:space="preserve"> en la ciudad de San José, Costa Rica para recibir</w:t>
      </w:r>
      <w:r w:rsidRPr="00BF4DBB">
        <w:t xml:space="preserve"> sus alegatos y observaciones finales or</w:t>
      </w:r>
      <w:r w:rsidR="00A27175">
        <w:t>ales, respectivamente, sobre la</w:t>
      </w:r>
      <w:r w:rsidRPr="00BF4DBB">
        <w:t xml:space="preserve"> excepci</w:t>
      </w:r>
      <w:r w:rsidR="00A27175">
        <w:t>ón preliminar</w:t>
      </w:r>
      <w:r w:rsidRPr="00BF4DBB">
        <w:t>,</w:t>
      </w:r>
      <w:r w:rsidR="00CF39E0">
        <w:t xml:space="preserve"> y</w:t>
      </w:r>
      <w:r w:rsidRPr="00BF4DBB">
        <w:t xml:space="preserve"> eventuales fondo, rep</w:t>
      </w:r>
      <w:r w:rsidR="00A27175">
        <w:t>araciones y costas, así como la</w:t>
      </w:r>
      <w:r w:rsidRPr="00BF4DBB">
        <w:t xml:space="preserve"> declaraci</w:t>
      </w:r>
      <w:r w:rsidR="00A27175">
        <w:t>ón</w:t>
      </w:r>
      <w:r w:rsidRPr="00BF4DBB">
        <w:t xml:space="preserve"> de:</w:t>
      </w:r>
    </w:p>
    <w:p w14:paraId="68B2269E" w14:textId="77777777" w:rsidR="000D5AA5" w:rsidRDefault="000D5AA5" w:rsidP="000D5AA5">
      <w:pPr>
        <w:pStyle w:val="Sinespaciado"/>
        <w:numPr>
          <w:ilvl w:val="0"/>
          <w:numId w:val="0"/>
        </w:numPr>
      </w:pPr>
    </w:p>
    <w:p w14:paraId="343CA207" w14:textId="77777777" w:rsidR="00F50301" w:rsidRPr="00BF4DBB" w:rsidRDefault="00F50301" w:rsidP="000D5AA5">
      <w:pPr>
        <w:pStyle w:val="Sinespaciado"/>
        <w:numPr>
          <w:ilvl w:val="0"/>
          <w:numId w:val="0"/>
        </w:numPr>
      </w:pPr>
    </w:p>
    <w:p w14:paraId="3C500283" w14:textId="49038486" w:rsidR="000D5AA5" w:rsidRPr="00BF4DBB" w:rsidRDefault="00253D5D" w:rsidP="00A27175">
      <w:pPr>
        <w:pStyle w:val="Ttulo"/>
        <w:numPr>
          <w:ilvl w:val="0"/>
          <w:numId w:val="13"/>
        </w:numPr>
        <w:ind w:left="1134" w:hanging="567"/>
      </w:pPr>
      <w:r>
        <w:t>Testigo</w:t>
      </w:r>
      <w:r w:rsidR="000D5AA5" w:rsidRPr="00BF4DBB">
        <w:t xml:space="preserve"> </w:t>
      </w:r>
    </w:p>
    <w:p w14:paraId="086F6A56" w14:textId="6132F002" w:rsidR="000D5AA5" w:rsidRPr="00BF4DBB" w:rsidRDefault="000D5AA5" w:rsidP="00A27175">
      <w:pPr>
        <w:spacing w:line="240" w:lineRule="auto"/>
        <w:ind w:left="567"/>
        <w:jc w:val="both"/>
        <w:rPr>
          <w:rFonts w:ascii="Verdana" w:hAnsi="Verdana"/>
          <w:b/>
          <w:i/>
          <w:sz w:val="20"/>
          <w:szCs w:val="20"/>
          <w:lang w:val="es-CR"/>
        </w:rPr>
      </w:pPr>
      <w:r w:rsidRPr="00BF4DBB">
        <w:rPr>
          <w:rFonts w:ascii="Verdana" w:hAnsi="Verdana"/>
          <w:i/>
          <w:sz w:val="20"/>
          <w:szCs w:val="20"/>
          <w:lang w:val="es-CR"/>
        </w:rPr>
        <w:t>Propuesta por los representantes</w:t>
      </w:r>
    </w:p>
    <w:p w14:paraId="50E9DFDA" w14:textId="4FF00F69" w:rsidR="00A27175" w:rsidRPr="00A27175" w:rsidRDefault="00A27175" w:rsidP="00253D5D">
      <w:pPr>
        <w:pStyle w:val="Prrafodelista"/>
        <w:spacing w:after="0" w:line="240" w:lineRule="auto"/>
        <w:ind w:left="567"/>
        <w:jc w:val="both"/>
        <w:rPr>
          <w:rFonts w:ascii="Verdana" w:hAnsi="Verdana"/>
          <w:i/>
          <w:sz w:val="20"/>
          <w:szCs w:val="20"/>
          <w:lang w:val="es-CR"/>
        </w:rPr>
      </w:pPr>
      <w:r w:rsidRPr="00BF4DBB">
        <w:rPr>
          <w:rFonts w:ascii="Verdana" w:hAnsi="Verdana"/>
          <w:i/>
          <w:sz w:val="20"/>
          <w:szCs w:val="20"/>
          <w:lang w:val="es-CR"/>
        </w:rPr>
        <w:t xml:space="preserve">Liliana </w:t>
      </w:r>
      <w:proofErr w:type="spellStart"/>
      <w:r w:rsidRPr="00BF4DBB">
        <w:rPr>
          <w:rFonts w:ascii="Verdana" w:hAnsi="Verdana"/>
          <w:i/>
          <w:sz w:val="20"/>
          <w:szCs w:val="20"/>
          <w:lang w:val="es-CR"/>
        </w:rPr>
        <w:t>Spoltore</w:t>
      </w:r>
      <w:proofErr w:type="spellEnd"/>
      <w:r w:rsidRPr="00BF4DBB">
        <w:rPr>
          <w:rFonts w:ascii="Verdana" w:hAnsi="Verdana"/>
          <w:sz w:val="20"/>
          <w:szCs w:val="20"/>
          <w:lang w:val="es-CR"/>
        </w:rPr>
        <w:t>, hija de la presunta víctima, quién declarará sobre</w:t>
      </w:r>
      <w:r w:rsidR="009E6EAD">
        <w:rPr>
          <w:rFonts w:ascii="Verdana" w:hAnsi="Verdana"/>
          <w:sz w:val="20"/>
          <w:szCs w:val="20"/>
          <w:lang w:val="es-CR"/>
        </w:rPr>
        <w:t xml:space="preserve"> los </w:t>
      </w:r>
      <w:r w:rsidRPr="00BF4DBB">
        <w:rPr>
          <w:rFonts w:ascii="Verdana" w:hAnsi="Verdana"/>
          <w:sz w:val="20"/>
          <w:szCs w:val="20"/>
          <w:lang w:val="es-CR"/>
        </w:rPr>
        <w:t>hecho</w:t>
      </w:r>
      <w:r w:rsidR="009E6EAD">
        <w:rPr>
          <w:rFonts w:ascii="Verdana" w:hAnsi="Verdana"/>
          <w:sz w:val="20"/>
          <w:szCs w:val="20"/>
          <w:lang w:val="es-CR"/>
        </w:rPr>
        <w:t>s</w:t>
      </w:r>
      <w:r w:rsidRPr="00BF4DBB">
        <w:rPr>
          <w:rFonts w:ascii="Verdana" w:hAnsi="Verdana"/>
          <w:sz w:val="20"/>
          <w:szCs w:val="20"/>
          <w:lang w:val="es-CR"/>
        </w:rPr>
        <w:t xml:space="preserve"> alegad</w:t>
      </w:r>
      <w:r w:rsidR="009E6EAD">
        <w:rPr>
          <w:rFonts w:ascii="Verdana" w:hAnsi="Verdana"/>
          <w:sz w:val="20"/>
          <w:szCs w:val="20"/>
          <w:lang w:val="es-CR"/>
        </w:rPr>
        <w:t>o</w:t>
      </w:r>
      <w:r w:rsidRPr="00BF4DBB">
        <w:rPr>
          <w:rFonts w:ascii="Verdana" w:hAnsi="Verdana"/>
          <w:sz w:val="20"/>
          <w:szCs w:val="20"/>
          <w:lang w:val="es-CR"/>
        </w:rPr>
        <w:t xml:space="preserve">s en este proceso y el impacto que las alegadas violaciones a los </w:t>
      </w:r>
      <w:r>
        <w:rPr>
          <w:rFonts w:ascii="Verdana" w:hAnsi="Verdana"/>
          <w:sz w:val="20"/>
          <w:szCs w:val="20"/>
          <w:lang w:val="es-CR"/>
        </w:rPr>
        <w:t>derechos humanos tuvieron en su vida</w:t>
      </w:r>
      <w:r w:rsidRPr="00BF4DBB">
        <w:rPr>
          <w:rFonts w:ascii="Verdana" w:hAnsi="Verdana"/>
          <w:sz w:val="20"/>
          <w:szCs w:val="20"/>
          <w:lang w:val="es-CR"/>
        </w:rPr>
        <w:t xml:space="preserve"> y la de Victorio </w:t>
      </w:r>
      <w:proofErr w:type="spellStart"/>
      <w:r w:rsidRPr="00BF4DBB">
        <w:rPr>
          <w:rFonts w:ascii="Verdana" w:hAnsi="Verdana"/>
          <w:sz w:val="20"/>
          <w:szCs w:val="20"/>
          <w:lang w:val="es-CR"/>
        </w:rPr>
        <w:t>Spoltore</w:t>
      </w:r>
      <w:proofErr w:type="spellEnd"/>
      <w:r w:rsidRPr="00BF4DBB">
        <w:rPr>
          <w:rFonts w:ascii="Verdana" w:hAnsi="Verdana"/>
          <w:sz w:val="20"/>
          <w:szCs w:val="20"/>
          <w:lang w:val="es-CR"/>
        </w:rPr>
        <w:t>.</w:t>
      </w:r>
    </w:p>
    <w:p w14:paraId="26F9E4AA" w14:textId="77777777" w:rsidR="00A27175" w:rsidRPr="00BF4DBB" w:rsidRDefault="00A27175" w:rsidP="00A27175">
      <w:pPr>
        <w:pStyle w:val="Prrafodelista"/>
        <w:spacing w:after="0" w:line="240" w:lineRule="auto"/>
        <w:jc w:val="both"/>
        <w:rPr>
          <w:rFonts w:ascii="Verdana" w:hAnsi="Verdana"/>
          <w:i/>
          <w:sz w:val="20"/>
          <w:szCs w:val="20"/>
          <w:lang w:val="es-CR"/>
        </w:rPr>
      </w:pPr>
    </w:p>
    <w:p w14:paraId="434D6A57" w14:textId="3D6211AA" w:rsidR="00135570" w:rsidRPr="00BF4DBB" w:rsidRDefault="00135570" w:rsidP="00253D5D">
      <w:pPr>
        <w:pStyle w:val="Sinespaciado"/>
        <w:tabs>
          <w:tab w:val="left" w:pos="567"/>
        </w:tabs>
      </w:pPr>
      <w:r w:rsidRPr="00BF4DBB">
        <w:t xml:space="preserve">Requerir, </w:t>
      </w:r>
      <w:r w:rsidR="00253D5D">
        <w:t xml:space="preserve">de conformidad con el principio de economía procesal y de la facultad que le otorga el artículo 50.1 del Reglamento de la Corte, </w:t>
      </w:r>
      <w:r w:rsidRPr="00BF4DBB">
        <w:t>que las siguientes personas presenten sus declaraciones ante fedatario público:</w:t>
      </w:r>
    </w:p>
    <w:p w14:paraId="7CC863B6" w14:textId="77777777" w:rsidR="00F65A57" w:rsidRPr="00BF4DBB" w:rsidRDefault="00F65A57" w:rsidP="000D5AA5">
      <w:pPr>
        <w:pStyle w:val="Sinespaciado"/>
        <w:numPr>
          <w:ilvl w:val="0"/>
          <w:numId w:val="0"/>
        </w:numPr>
      </w:pPr>
    </w:p>
    <w:p w14:paraId="0BF55411" w14:textId="77CAE177" w:rsidR="00135570" w:rsidRPr="00BF4DBB" w:rsidRDefault="00253D5D" w:rsidP="00253D5D">
      <w:pPr>
        <w:pStyle w:val="Ttulo"/>
        <w:numPr>
          <w:ilvl w:val="0"/>
          <w:numId w:val="17"/>
        </w:numPr>
        <w:ind w:hanging="501"/>
      </w:pPr>
      <w:r>
        <w:t>Testigo</w:t>
      </w:r>
      <w:r w:rsidR="00DC6012">
        <w:t>s</w:t>
      </w:r>
    </w:p>
    <w:p w14:paraId="410697C9" w14:textId="71D33AE4" w:rsidR="00135570" w:rsidRPr="00BF4DBB" w:rsidRDefault="00135570" w:rsidP="00253D5D">
      <w:pPr>
        <w:spacing w:line="240" w:lineRule="auto"/>
        <w:ind w:firstLine="567"/>
        <w:jc w:val="both"/>
        <w:rPr>
          <w:rFonts w:ascii="Verdana" w:hAnsi="Verdana"/>
          <w:b/>
          <w:i/>
          <w:sz w:val="20"/>
          <w:szCs w:val="20"/>
          <w:lang w:val="es-CR"/>
        </w:rPr>
      </w:pPr>
      <w:r w:rsidRPr="00BF4DBB">
        <w:rPr>
          <w:rFonts w:ascii="Verdana" w:hAnsi="Verdana"/>
          <w:i/>
          <w:sz w:val="20"/>
          <w:szCs w:val="20"/>
          <w:lang w:val="es-CR"/>
        </w:rPr>
        <w:t>Propuestos por las representantes</w:t>
      </w:r>
    </w:p>
    <w:p w14:paraId="0087650C" w14:textId="38DBB5ED" w:rsidR="00253D5D" w:rsidRDefault="00253D5D" w:rsidP="00253D5D">
      <w:pPr>
        <w:spacing w:line="240" w:lineRule="auto"/>
        <w:ind w:left="567"/>
        <w:jc w:val="both"/>
        <w:rPr>
          <w:rFonts w:ascii="Verdana" w:hAnsi="Verdana"/>
          <w:i/>
          <w:sz w:val="20"/>
          <w:szCs w:val="20"/>
          <w:lang w:val="es-CR"/>
        </w:rPr>
      </w:pPr>
      <w:r w:rsidRPr="00253D5D">
        <w:rPr>
          <w:rFonts w:ascii="Verdana" w:hAnsi="Verdana"/>
          <w:i/>
          <w:sz w:val="20"/>
          <w:szCs w:val="20"/>
          <w:lang w:val="es-CR"/>
        </w:rPr>
        <w:t xml:space="preserve">Rosalinda </w:t>
      </w:r>
      <w:proofErr w:type="spellStart"/>
      <w:r w:rsidRPr="00253D5D">
        <w:rPr>
          <w:rFonts w:ascii="Verdana" w:hAnsi="Verdana"/>
          <w:i/>
          <w:sz w:val="20"/>
          <w:szCs w:val="20"/>
          <w:lang w:val="es-CR"/>
        </w:rPr>
        <w:t>Campitelli</w:t>
      </w:r>
      <w:proofErr w:type="spellEnd"/>
      <w:r w:rsidRPr="00253D5D">
        <w:rPr>
          <w:rFonts w:ascii="Verdana" w:hAnsi="Verdana"/>
          <w:sz w:val="20"/>
          <w:szCs w:val="20"/>
          <w:lang w:val="es-CR"/>
        </w:rPr>
        <w:t xml:space="preserve">, viuda de la presunta víctima, quién declarará sobre </w:t>
      </w:r>
      <w:r w:rsidR="009E6EAD">
        <w:rPr>
          <w:rFonts w:ascii="Verdana" w:hAnsi="Verdana"/>
          <w:sz w:val="20"/>
          <w:szCs w:val="20"/>
          <w:lang w:val="es-CR"/>
        </w:rPr>
        <w:t xml:space="preserve">los </w:t>
      </w:r>
      <w:r w:rsidR="009E6EAD" w:rsidRPr="00BF4DBB">
        <w:rPr>
          <w:rFonts w:ascii="Verdana" w:hAnsi="Verdana"/>
          <w:sz w:val="20"/>
          <w:szCs w:val="20"/>
          <w:lang w:val="es-CR"/>
        </w:rPr>
        <w:t>hecho</w:t>
      </w:r>
      <w:r w:rsidR="009E6EAD">
        <w:rPr>
          <w:rFonts w:ascii="Verdana" w:hAnsi="Verdana"/>
          <w:sz w:val="20"/>
          <w:szCs w:val="20"/>
          <w:lang w:val="es-CR"/>
        </w:rPr>
        <w:t>s</w:t>
      </w:r>
      <w:r w:rsidR="009E6EAD" w:rsidRPr="00BF4DBB">
        <w:rPr>
          <w:rFonts w:ascii="Verdana" w:hAnsi="Verdana"/>
          <w:sz w:val="20"/>
          <w:szCs w:val="20"/>
          <w:lang w:val="es-CR"/>
        </w:rPr>
        <w:t xml:space="preserve"> alegad</w:t>
      </w:r>
      <w:r w:rsidR="009E6EAD">
        <w:rPr>
          <w:rFonts w:ascii="Verdana" w:hAnsi="Verdana"/>
          <w:sz w:val="20"/>
          <w:szCs w:val="20"/>
          <w:lang w:val="es-CR"/>
        </w:rPr>
        <w:t>o</w:t>
      </w:r>
      <w:r w:rsidR="009E6EAD" w:rsidRPr="00BF4DBB">
        <w:rPr>
          <w:rFonts w:ascii="Verdana" w:hAnsi="Verdana"/>
          <w:sz w:val="20"/>
          <w:szCs w:val="20"/>
          <w:lang w:val="es-CR"/>
        </w:rPr>
        <w:t xml:space="preserve">s </w:t>
      </w:r>
      <w:r w:rsidRPr="00253D5D">
        <w:rPr>
          <w:rFonts w:ascii="Verdana" w:hAnsi="Verdana"/>
          <w:sz w:val="20"/>
          <w:szCs w:val="20"/>
          <w:lang w:val="es-CR"/>
        </w:rPr>
        <w:t xml:space="preserve">en este proceso y el impacto que las alegadas violaciones a los derechos humanos tuvieron en sus vidas y la de Victorio </w:t>
      </w:r>
      <w:proofErr w:type="spellStart"/>
      <w:r w:rsidRPr="00253D5D">
        <w:rPr>
          <w:rFonts w:ascii="Verdana" w:hAnsi="Verdana"/>
          <w:sz w:val="20"/>
          <w:szCs w:val="20"/>
          <w:lang w:val="es-CR"/>
        </w:rPr>
        <w:t>Spoltore</w:t>
      </w:r>
      <w:proofErr w:type="spellEnd"/>
      <w:r w:rsidRPr="00253D5D">
        <w:rPr>
          <w:rFonts w:ascii="Verdana" w:hAnsi="Verdana"/>
          <w:sz w:val="20"/>
          <w:szCs w:val="20"/>
          <w:lang w:val="es-CR"/>
        </w:rPr>
        <w:t>.</w:t>
      </w:r>
    </w:p>
    <w:p w14:paraId="7BA7A8EF" w14:textId="5F592350" w:rsidR="00135570" w:rsidRPr="00BF4DBB" w:rsidRDefault="00E467E8" w:rsidP="00253D5D">
      <w:pPr>
        <w:spacing w:line="240" w:lineRule="auto"/>
        <w:ind w:left="567"/>
        <w:jc w:val="both"/>
        <w:rPr>
          <w:rFonts w:ascii="Verdana" w:hAnsi="Verdana"/>
          <w:i/>
          <w:sz w:val="20"/>
          <w:szCs w:val="20"/>
          <w:lang w:val="es-CR"/>
        </w:rPr>
      </w:pPr>
      <w:r w:rsidRPr="00253D5D">
        <w:rPr>
          <w:rFonts w:ascii="Verdana" w:hAnsi="Verdana"/>
          <w:i/>
          <w:sz w:val="20"/>
          <w:szCs w:val="20"/>
          <w:lang w:val="es-CR"/>
        </w:rPr>
        <w:t xml:space="preserve">Alejandro </w:t>
      </w:r>
      <w:proofErr w:type="spellStart"/>
      <w:r w:rsidRPr="00253D5D">
        <w:rPr>
          <w:rFonts w:ascii="Verdana" w:hAnsi="Verdana"/>
          <w:i/>
          <w:sz w:val="20"/>
          <w:szCs w:val="20"/>
          <w:lang w:val="es-CR"/>
        </w:rPr>
        <w:t>Spoltore</w:t>
      </w:r>
      <w:proofErr w:type="spellEnd"/>
      <w:r w:rsidR="00135570" w:rsidRPr="00253D5D">
        <w:rPr>
          <w:rFonts w:ascii="Verdana" w:hAnsi="Verdana"/>
          <w:sz w:val="20"/>
          <w:szCs w:val="20"/>
          <w:lang w:val="es-CR"/>
        </w:rPr>
        <w:t>,</w:t>
      </w:r>
      <w:r w:rsidR="00135570" w:rsidRPr="00253D5D">
        <w:rPr>
          <w:rFonts w:ascii="Verdana" w:hAnsi="Verdana"/>
          <w:i/>
          <w:sz w:val="20"/>
          <w:szCs w:val="20"/>
          <w:lang w:val="es-CR"/>
        </w:rPr>
        <w:t xml:space="preserve"> </w:t>
      </w:r>
      <w:r w:rsidR="00135570" w:rsidRPr="00253D5D">
        <w:rPr>
          <w:rFonts w:ascii="Verdana" w:hAnsi="Verdana"/>
          <w:sz w:val="20"/>
          <w:szCs w:val="20"/>
          <w:lang w:val="es-CR"/>
        </w:rPr>
        <w:t xml:space="preserve">hijo de la presunta víctima, </w:t>
      </w:r>
      <w:r w:rsidR="00F65A57" w:rsidRPr="00253D5D">
        <w:rPr>
          <w:rFonts w:ascii="Verdana" w:hAnsi="Verdana"/>
          <w:sz w:val="20"/>
          <w:szCs w:val="20"/>
          <w:lang w:val="es-CR"/>
        </w:rPr>
        <w:t xml:space="preserve">quién declarará sobre </w:t>
      </w:r>
      <w:r w:rsidR="009E6EAD">
        <w:rPr>
          <w:rFonts w:ascii="Verdana" w:hAnsi="Verdana"/>
          <w:sz w:val="20"/>
          <w:szCs w:val="20"/>
          <w:lang w:val="es-CR"/>
        </w:rPr>
        <w:t xml:space="preserve">los </w:t>
      </w:r>
      <w:r w:rsidR="009E6EAD" w:rsidRPr="00BF4DBB">
        <w:rPr>
          <w:rFonts w:ascii="Verdana" w:hAnsi="Verdana"/>
          <w:sz w:val="20"/>
          <w:szCs w:val="20"/>
          <w:lang w:val="es-CR"/>
        </w:rPr>
        <w:t>hecho</w:t>
      </w:r>
      <w:r w:rsidR="009E6EAD">
        <w:rPr>
          <w:rFonts w:ascii="Verdana" w:hAnsi="Verdana"/>
          <w:sz w:val="20"/>
          <w:szCs w:val="20"/>
          <w:lang w:val="es-CR"/>
        </w:rPr>
        <w:t>s</w:t>
      </w:r>
      <w:r w:rsidR="009E6EAD" w:rsidRPr="00BF4DBB">
        <w:rPr>
          <w:rFonts w:ascii="Verdana" w:hAnsi="Verdana"/>
          <w:sz w:val="20"/>
          <w:szCs w:val="20"/>
          <w:lang w:val="es-CR"/>
        </w:rPr>
        <w:t xml:space="preserve"> alegad</w:t>
      </w:r>
      <w:r w:rsidR="009E6EAD">
        <w:rPr>
          <w:rFonts w:ascii="Verdana" w:hAnsi="Verdana"/>
          <w:sz w:val="20"/>
          <w:szCs w:val="20"/>
          <w:lang w:val="es-CR"/>
        </w:rPr>
        <w:t>o</w:t>
      </w:r>
      <w:r w:rsidR="009E6EAD" w:rsidRPr="00BF4DBB">
        <w:rPr>
          <w:rFonts w:ascii="Verdana" w:hAnsi="Verdana"/>
          <w:sz w:val="20"/>
          <w:szCs w:val="20"/>
          <w:lang w:val="es-CR"/>
        </w:rPr>
        <w:t xml:space="preserve">s </w:t>
      </w:r>
      <w:r w:rsidR="00F65A57" w:rsidRPr="00253D5D">
        <w:rPr>
          <w:rFonts w:ascii="Verdana" w:hAnsi="Verdana"/>
          <w:sz w:val="20"/>
          <w:szCs w:val="20"/>
          <w:lang w:val="es-CR"/>
        </w:rPr>
        <w:t xml:space="preserve">en este proceso y el impacto que las alegadas violaciones a los derechos humanos tuvieron en sus vidas y la de Victorio </w:t>
      </w:r>
      <w:proofErr w:type="spellStart"/>
      <w:r w:rsidR="00F65A57" w:rsidRPr="00253D5D">
        <w:rPr>
          <w:rFonts w:ascii="Verdana" w:hAnsi="Verdana"/>
          <w:sz w:val="20"/>
          <w:szCs w:val="20"/>
          <w:lang w:val="es-CR"/>
        </w:rPr>
        <w:t>Spoltore</w:t>
      </w:r>
      <w:proofErr w:type="spellEnd"/>
      <w:r w:rsidR="00F65A57" w:rsidRPr="00253D5D">
        <w:rPr>
          <w:rFonts w:ascii="Verdana" w:hAnsi="Verdana"/>
          <w:sz w:val="20"/>
          <w:szCs w:val="20"/>
          <w:lang w:val="es-CR"/>
        </w:rPr>
        <w:t>.</w:t>
      </w:r>
    </w:p>
    <w:p w14:paraId="6A08C372" w14:textId="6FC86157" w:rsidR="00135570" w:rsidRPr="00BF4DBB" w:rsidRDefault="00BA340A" w:rsidP="00253D5D">
      <w:pPr>
        <w:pStyle w:val="Prrafodelista"/>
        <w:numPr>
          <w:ilvl w:val="0"/>
          <w:numId w:val="12"/>
        </w:numPr>
        <w:spacing w:after="0" w:line="240" w:lineRule="auto"/>
        <w:ind w:hanging="501"/>
        <w:jc w:val="both"/>
        <w:rPr>
          <w:rFonts w:ascii="Verdana" w:hAnsi="Verdana"/>
          <w:b/>
          <w:i/>
          <w:sz w:val="20"/>
          <w:szCs w:val="20"/>
          <w:lang w:val="es-CR"/>
        </w:rPr>
      </w:pPr>
      <w:r w:rsidRPr="00BF4DBB">
        <w:rPr>
          <w:rFonts w:ascii="Verdana" w:hAnsi="Verdana"/>
          <w:b/>
          <w:i/>
          <w:sz w:val="20"/>
          <w:szCs w:val="20"/>
          <w:lang w:val="es-CR"/>
        </w:rPr>
        <w:t>Perito</w:t>
      </w:r>
      <w:r w:rsidR="00135570" w:rsidRPr="00BF4DBB">
        <w:rPr>
          <w:rFonts w:ascii="Verdana" w:hAnsi="Verdana"/>
          <w:b/>
          <w:i/>
          <w:sz w:val="20"/>
          <w:szCs w:val="20"/>
          <w:lang w:val="es-CR"/>
        </w:rPr>
        <w:t xml:space="preserve"> </w:t>
      </w:r>
    </w:p>
    <w:p w14:paraId="6D3ED888" w14:textId="77777777" w:rsidR="00135570" w:rsidRPr="00BF4DBB" w:rsidRDefault="00135570" w:rsidP="00135570">
      <w:pPr>
        <w:spacing w:after="0" w:line="240" w:lineRule="auto"/>
        <w:ind w:left="360"/>
        <w:jc w:val="both"/>
        <w:rPr>
          <w:rFonts w:ascii="Verdana" w:hAnsi="Verdana"/>
          <w:b/>
          <w:i/>
          <w:sz w:val="20"/>
          <w:szCs w:val="20"/>
          <w:lang w:val="es-CR"/>
        </w:rPr>
      </w:pPr>
    </w:p>
    <w:p w14:paraId="1F05DDBB" w14:textId="5D8F99F4" w:rsidR="00135570" w:rsidRPr="00BF4DBB" w:rsidRDefault="004E649F" w:rsidP="00253D5D">
      <w:pPr>
        <w:spacing w:line="240" w:lineRule="auto"/>
        <w:ind w:left="567"/>
        <w:jc w:val="both"/>
        <w:rPr>
          <w:rFonts w:ascii="Verdana" w:hAnsi="Verdana"/>
          <w:b/>
          <w:i/>
          <w:sz w:val="20"/>
          <w:szCs w:val="20"/>
          <w:lang w:val="es-CR"/>
        </w:rPr>
      </w:pPr>
      <w:r w:rsidRPr="00BF4DBB">
        <w:rPr>
          <w:rFonts w:ascii="Verdana" w:hAnsi="Verdana"/>
          <w:i/>
          <w:sz w:val="20"/>
          <w:szCs w:val="20"/>
          <w:lang w:val="es-CR"/>
        </w:rPr>
        <w:t>Propuesto</w:t>
      </w:r>
      <w:r w:rsidR="00135570" w:rsidRPr="00BF4DBB">
        <w:rPr>
          <w:rFonts w:ascii="Verdana" w:hAnsi="Verdana"/>
          <w:i/>
          <w:sz w:val="20"/>
          <w:szCs w:val="20"/>
          <w:lang w:val="es-CR"/>
        </w:rPr>
        <w:t xml:space="preserve"> por los representantes </w:t>
      </w:r>
      <w:r w:rsidR="00135570" w:rsidRPr="00BF4DBB">
        <w:rPr>
          <w:rFonts w:ascii="Verdana" w:hAnsi="Verdana"/>
          <w:b/>
          <w:i/>
          <w:sz w:val="20"/>
          <w:szCs w:val="20"/>
          <w:lang w:val="es-CR"/>
        </w:rPr>
        <w:t xml:space="preserve"> </w:t>
      </w:r>
    </w:p>
    <w:p w14:paraId="3F182062" w14:textId="485CF6D1" w:rsidR="00135570" w:rsidRPr="00BF4DBB" w:rsidRDefault="006F70B8" w:rsidP="00253D5D">
      <w:pPr>
        <w:pStyle w:val="Prrafodelista"/>
        <w:ind w:left="567"/>
        <w:jc w:val="both"/>
        <w:rPr>
          <w:rFonts w:ascii="Verdana" w:hAnsi="Verdana"/>
          <w:sz w:val="20"/>
          <w:szCs w:val="20"/>
          <w:lang w:val="es-CR"/>
        </w:rPr>
      </w:pPr>
      <w:r w:rsidRPr="00BF4DBB">
        <w:rPr>
          <w:rFonts w:ascii="Verdana" w:hAnsi="Verdana"/>
          <w:i/>
          <w:sz w:val="20"/>
          <w:szCs w:val="20"/>
          <w:lang w:val="es-CR"/>
        </w:rPr>
        <w:t>Mariano Rey</w:t>
      </w:r>
      <w:r w:rsidR="00135570" w:rsidRPr="00BF4DBB">
        <w:rPr>
          <w:rFonts w:ascii="Verdana" w:hAnsi="Verdana"/>
          <w:sz w:val="20"/>
          <w:szCs w:val="20"/>
          <w:lang w:val="es-CR"/>
        </w:rPr>
        <w:t xml:space="preserve">, </w:t>
      </w:r>
      <w:r w:rsidRPr="00BF4DBB">
        <w:rPr>
          <w:rFonts w:ascii="Verdana" w:hAnsi="Verdana"/>
          <w:sz w:val="20"/>
          <w:szCs w:val="20"/>
          <w:lang w:val="es-CR"/>
        </w:rPr>
        <w:t>quien</w:t>
      </w:r>
      <w:r w:rsidR="004E649F" w:rsidRPr="00BF4DBB">
        <w:rPr>
          <w:rFonts w:ascii="Verdana" w:hAnsi="Verdana"/>
          <w:sz w:val="20"/>
          <w:szCs w:val="20"/>
          <w:lang w:val="es-CR"/>
        </w:rPr>
        <w:t xml:space="preserve"> rendirá</w:t>
      </w:r>
      <w:r w:rsidR="004178B5" w:rsidRPr="00BF4DBB">
        <w:rPr>
          <w:rFonts w:ascii="Verdana" w:hAnsi="Verdana"/>
          <w:sz w:val="20"/>
          <w:szCs w:val="20"/>
          <w:lang w:val="es-CR"/>
        </w:rPr>
        <w:t xml:space="preserve"> un peritaje </w:t>
      </w:r>
      <w:r w:rsidR="004E649F" w:rsidRPr="00BF4DBB">
        <w:rPr>
          <w:rFonts w:ascii="Verdana" w:hAnsi="Verdana"/>
          <w:sz w:val="20"/>
          <w:szCs w:val="20"/>
          <w:lang w:val="es-CR"/>
        </w:rPr>
        <w:t xml:space="preserve">sobre </w:t>
      </w:r>
      <w:r w:rsidRPr="00BF4DBB">
        <w:rPr>
          <w:rFonts w:ascii="Verdana" w:hAnsi="Verdana"/>
          <w:sz w:val="20"/>
          <w:szCs w:val="20"/>
          <w:lang w:val="es-CR"/>
        </w:rPr>
        <w:t xml:space="preserve">el impacto que las violaciones alegadas han tenido en Victorio </w:t>
      </w:r>
      <w:proofErr w:type="spellStart"/>
      <w:r w:rsidRPr="00BF4DBB">
        <w:rPr>
          <w:rFonts w:ascii="Verdana" w:hAnsi="Verdana"/>
          <w:sz w:val="20"/>
          <w:szCs w:val="20"/>
          <w:lang w:val="es-CR"/>
        </w:rPr>
        <w:t>Spoltore</w:t>
      </w:r>
      <w:proofErr w:type="spellEnd"/>
      <w:r w:rsidRPr="00BF4DBB">
        <w:rPr>
          <w:rFonts w:ascii="Verdana" w:hAnsi="Verdana"/>
          <w:sz w:val="20"/>
          <w:szCs w:val="20"/>
          <w:lang w:val="es-CR"/>
        </w:rPr>
        <w:t xml:space="preserve"> y sus familiares directos</w:t>
      </w:r>
      <w:r w:rsidR="004E649F" w:rsidRPr="00BF4DBB">
        <w:rPr>
          <w:rFonts w:ascii="Verdana" w:hAnsi="Verdana"/>
          <w:sz w:val="20"/>
          <w:szCs w:val="20"/>
          <w:lang w:val="es-CR"/>
        </w:rPr>
        <w:t xml:space="preserve">: Rosalinda </w:t>
      </w:r>
      <w:proofErr w:type="spellStart"/>
      <w:r w:rsidR="004B676B" w:rsidRPr="004B676B">
        <w:rPr>
          <w:rFonts w:ascii="Verdana" w:hAnsi="Verdana"/>
          <w:sz w:val="20"/>
          <w:szCs w:val="20"/>
          <w:lang w:val="es-CR"/>
        </w:rPr>
        <w:t>Campitelli</w:t>
      </w:r>
      <w:proofErr w:type="spellEnd"/>
      <w:r w:rsidR="004E649F" w:rsidRPr="00BF4DBB">
        <w:rPr>
          <w:rFonts w:ascii="Verdana" w:hAnsi="Verdana"/>
          <w:sz w:val="20"/>
          <w:szCs w:val="20"/>
          <w:lang w:val="es-CR"/>
        </w:rPr>
        <w:t>, Lilian</w:t>
      </w:r>
      <w:r w:rsidR="00037B5A">
        <w:rPr>
          <w:rFonts w:ascii="Verdana" w:hAnsi="Verdana"/>
          <w:sz w:val="20"/>
          <w:szCs w:val="20"/>
          <w:lang w:val="es-CR"/>
        </w:rPr>
        <w:t>a</w:t>
      </w:r>
      <w:r w:rsidR="004E649F" w:rsidRPr="00BF4DBB">
        <w:rPr>
          <w:rFonts w:ascii="Verdana" w:hAnsi="Verdana"/>
          <w:sz w:val="20"/>
          <w:szCs w:val="20"/>
          <w:lang w:val="es-CR"/>
        </w:rPr>
        <w:t xml:space="preserve"> </w:t>
      </w:r>
      <w:proofErr w:type="spellStart"/>
      <w:r w:rsidR="004E649F" w:rsidRPr="00BF4DBB">
        <w:rPr>
          <w:rFonts w:ascii="Verdana" w:hAnsi="Verdana"/>
          <w:sz w:val="20"/>
          <w:szCs w:val="20"/>
          <w:lang w:val="es-CR"/>
        </w:rPr>
        <w:t>Spoltore</w:t>
      </w:r>
      <w:proofErr w:type="spellEnd"/>
      <w:r w:rsidR="004E649F" w:rsidRPr="00BF4DBB">
        <w:rPr>
          <w:rFonts w:ascii="Verdana" w:hAnsi="Verdana"/>
          <w:sz w:val="20"/>
          <w:szCs w:val="20"/>
          <w:lang w:val="es-CR"/>
        </w:rPr>
        <w:t xml:space="preserve">, y Alejandro </w:t>
      </w:r>
      <w:proofErr w:type="spellStart"/>
      <w:r w:rsidR="004E649F" w:rsidRPr="00BF4DBB">
        <w:rPr>
          <w:rFonts w:ascii="Verdana" w:hAnsi="Verdana"/>
          <w:sz w:val="20"/>
          <w:szCs w:val="20"/>
          <w:lang w:val="es-CR"/>
        </w:rPr>
        <w:t>Spoltore</w:t>
      </w:r>
      <w:proofErr w:type="spellEnd"/>
      <w:r w:rsidR="00BA340A" w:rsidRPr="00BF4DBB">
        <w:rPr>
          <w:rFonts w:ascii="Verdana" w:hAnsi="Verdana"/>
          <w:sz w:val="20"/>
          <w:szCs w:val="20"/>
          <w:lang w:val="es-CR"/>
        </w:rPr>
        <w:t>.</w:t>
      </w:r>
    </w:p>
    <w:p w14:paraId="40D26A95" w14:textId="54DDFA56" w:rsidR="00135570" w:rsidRPr="00253D5D" w:rsidRDefault="000663DD" w:rsidP="00253D5D">
      <w:pPr>
        <w:pStyle w:val="Sinespaciado"/>
        <w:tabs>
          <w:tab w:val="left" w:pos="567"/>
        </w:tabs>
        <w:spacing w:before="120" w:after="120"/>
        <w:contextualSpacing w:val="0"/>
      </w:pPr>
      <w:r w:rsidRPr="00BF4DBB">
        <w:t>Requerir</w:t>
      </w:r>
      <w:r w:rsidR="00135570" w:rsidRPr="00BF4DBB">
        <w:t xml:space="preserve"> a los representantes que notifiquen la presente Resolución a las personas por ellos propuestas, respectivamente, que han sido convocados a rendir declaración, de conformidad con lo dispuesto en los artículos 50.2 y 50.4 del Reglamento.</w:t>
      </w:r>
    </w:p>
    <w:p w14:paraId="7499957D" w14:textId="6C9E7F26" w:rsidR="002B7552" w:rsidRPr="00253D5D" w:rsidRDefault="00135570" w:rsidP="00253D5D">
      <w:pPr>
        <w:pStyle w:val="Sinespaciado"/>
        <w:tabs>
          <w:tab w:val="left" w:pos="567"/>
        </w:tabs>
        <w:spacing w:before="120" w:after="120"/>
        <w:contextualSpacing w:val="0"/>
      </w:pPr>
      <w:r w:rsidRPr="00BF4DBB">
        <w:t>Requerir al Estado que remita, en los términos del artículo 50.5 del Reglament</w:t>
      </w:r>
      <w:r w:rsidR="00AC2000" w:rsidRPr="00BF4DBB">
        <w:t>o y de considerarlo pertinente</w:t>
      </w:r>
      <w:r w:rsidRPr="00BF4DBB">
        <w:t>,</w:t>
      </w:r>
      <w:r w:rsidR="00253D5D" w:rsidRPr="00253D5D">
        <w:t xml:space="preserve"> </w:t>
      </w:r>
      <w:r w:rsidR="00253D5D">
        <w:t>en el plazo improrrogable que vence el</w:t>
      </w:r>
      <w:r w:rsidR="009E6EAD">
        <w:t xml:space="preserve"> 8 de enero de 2020</w:t>
      </w:r>
      <w:r w:rsidR="00253D5D">
        <w:t>,</w:t>
      </w:r>
      <w:r w:rsidRPr="00BF4DBB">
        <w:t xml:space="preserve"> las preguntas que estime pertinente formular, a través de la Corte Interamericana, a los declarantes indicados en el punto resolutivo </w:t>
      </w:r>
      <w:r w:rsidR="000D5AA5" w:rsidRPr="00BF4DBB">
        <w:t xml:space="preserve">2 </w:t>
      </w:r>
      <w:r w:rsidRPr="00BF4DBB">
        <w:t>de la presente Resolución.</w:t>
      </w:r>
    </w:p>
    <w:p w14:paraId="6967A295" w14:textId="6B0EC61F" w:rsidR="002B7552" w:rsidRPr="00253D5D" w:rsidRDefault="002B7552" w:rsidP="00253D5D">
      <w:pPr>
        <w:pStyle w:val="Sinespaciado"/>
        <w:tabs>
          <w:tab w:val="left" w:pos="567"/>
        </w:tabs>
        <w:spacing w:before="120" w:after="120"/>
        <w:contextualSpacing w:val="0"/>
      </w:pPr>
      <w:r w:rsidRPr="00BF4DBB">
        <w:t xml:space="preserve">Requerir a los representantes que realicen las diligencias necesarias para que, una vez recibidas las preguntas de la contraparte, los declarantes y </w:t>
      </w:r>
      <w:r w:rsidR="00253D5D">
        <w:t>el perito</w:t>
      </w:r>
      <w:r w:rsidRPr="00BF4DBB">
        <w:t xml:space="preserve"> incluyan las respuestas en sus respectivas declaraciones y dictámenes rendidos ante fedatario público, salvo que el Presidente disponga lo contrario cuando la Secretaría de la Corte las transmita. Las declaraciones y los peritajes requeridos en el referido punto resolutivo 2 de la presente Resolución deberán ser presentadas a más tardar el</w:t>
      </w:r>
      <w:r w:rsidR="009E6EAD">
        <w:t xml:space="preserve"> 23 de enero </w:t>
      </w:r>
      <w:r w:rsidR="009E6EAD" w:rsidRPr="009E6EAD">
        <w:t xml:space="preserve">de </w:t>
      </w:r>
      <w:r w:rsidRPr="00BF4DBB">
        <w:t>2020.</w:t>
      </w:r>
    </w:p>
    <w:p w14:paraId="00D70906" w14:textId="39FA5841" w:rsidR="00135570" w:rsidRPr="00253D5D" w:rsidRDefault="002B7552" w:rsidP="00253D5D">
      <w:pPr>
        <w:pStyle w:val="Sinespaciado"/>
        <w:tabs>
          <w:tab w:val="left" w:pos="567"/>
        </w:tabs>
        <w:spacing w:before="120" w:after="120"/>
        <w:contextualSpacing w:val="0"/>
      </w:pPr>
      <w:r w:rsidRPr="00BF4DBB">
        <w:t xml:space="preserve">Disponer, conforme al artículo 50.6 del Reglamento que, una vez recibidas las declaraciones y peritaje requerido en el punto resolutivo 2, la Secretaría de la Corte Interamericana las transmita al Estado y a la Comisión para que, si lo estima necesario, </w:t>
      </w:r>
      <w:r w:rsidR="00C665BA">
        <w:t>presenten</w:t>
      </w:r>
      <w:r w:rsidRPr="00BF4DBB">
        <w:t xml:space="preserve"> sus observaciones a dichas declaraciones y peritaje, a más tardar</w:t>
      </w:r>
      <w:r w:rsidR="00253D5D">
        <w:t xml:space="preserve"> con sus alegatos u observaciones finales escritos, respectivamente.</w:t>
      </w:r>
    </w:p>
    <w:p w14:paraId="24ACE95E" w14:textId="77777777" w:rsidR="00253D5D" w:rsidRDefault="00253D5D" w:rsidP="00253D5D">
      <w:pPr>
        <w:pStyle w:val="Sinespaciado"/>
        <w:tabs>
          <w:tab w:val="left" w:pos="567"/>
        </w:tabs>
        <w:spacing w:before="120" w:after="120"/>
        <w:contextualSpacing w:val="0"/>
      </w:pPr>
      <w:r>
        <w:lastRenderedPageBreak/>
        <w:t xml:space="preserve">Informar a </w:t>
      </w:r>
      <w:r w:rsidRPr="00BF4DBB">
        <w:t xml:space="preserve">los representantes </w:t>
      </w:r>
      <w:r>
        <w:t>que deben cubrir los gastos que ocasione la aportación o rendición de la prueba propuesta por ellos, de conformidad con lo dispuesto en el artículo 60 del Reglamento, sin perjuicio de lo que resulte pertinente en aplicación del Fondo de Asistencia Legal de Víctimas en el presente caso.</w:t>
      </w:r>
    </w:p>
    <w:p w14:paraId="361E2F57" w14:textId="2A9ECCBB" w:rsidR="00135570" w:rsidRDefault="00253D5D" w:rsidP="00253D5D">
      <w:pPr>
        <w:pStyle w:val="Sinespaciado"/>
        <w:tabs>
          <w:tab w:val="left" w:pos="567"/>
        </w:tabs>
        <w:spacing w:before="120" w:after="120"/>
        <w:contextualSpacing w:val="0"/>
      </w:pPr>
      <w:r>
        <w:t>Requerir a los representantes que comuniquen a la Corte e</w:t>
      </w:r>
      <w:r w:rsidR="00987FA6">
        <w:t>l nombre del declarante cuyo afidávit será</w:t>
      </w:r>
      <w:r>
        <w:t xml:space="preserve"> cubiertos por el Fondo de Asistencia, y que remitan una cotización del costo de la formalización de las declaraciones juradas en el país de residencia del declarante</w:t>
      </w:r>
      <w:r w:rsidR="002378A9">
        <w:t xml:space="preserve"> y de su respectivo envío</w:t>
      </w:r>
      <w:r>
        <w:t>, a más tardar el</w:t>
      </w:r>
      <w:r w:rsidR="009E6EAD">
        <w:t xml:space="preserve"> 6 de enero de 2020.</w:t>
      </w:r>
    </w:p>
    <w:p w14:paraId="0080EDBD" w14:textId="718022AB" w:rsidR="00253D5D" w:rsidRPr="00253D5D" w:rsidRDefault="00253D5D" w:rsidP="00253D5D">
      <w:pPr>
        <w:pStyle w:val="Sinespaciado"/>
        <w:tabs>
          <w:tab w:val="left" w:pos="567"/>
        </w:tabs>
        <w:spacing w:before="120" w:after="120"/>
        <w:contextualSpacing w:val="0"/>
      </w:pPr>
      <w:r>
        <w:t xml:space="preserve">Requerir a los representantes que comuniquen a la Corte el nombre del representante cuya participación en la audiencia será cubierta por el Fondo de Asistencia, a más tardar el </w:t>
      </w:r>
      <w:r w:rsidR="009E6EAD">
        <w:t>6 de enero de 2020.</w:t>
      </w:r>
    </w:p>
    <w:p w14:paraId="2ABA91BB" w14:textId="38376279" w:rsidR="002B7552" w:rsidRPr="00BF4DBB" w:rsidRDefault="00135570" w:rsidP="00253D5D">
      <w:pPr>
        <w:pStyle w:val="Sinespaciado"/>
        <w:spacing w:before="120" w:after="120"/>
        <w:contextualSpacing w:val="0"/>
      </w:pPr>
      <w:r w:rsidRPr="00BF4DBB">
        <w:t>Requerir a los representantes que informen a las personas convocadas por la Corte para declarar que, según lo dispuesto en el artículo 54 del Reglamento, el Tribunal pondrá en conocimiento del Estado los casos en que las personas requeridas para comparecer o declarar no comparecieren o rehusaren deponer sin motivo legítimo o que, en el parecer de la misma Corte, hayan violado el juramento o la declaración solemne, para los fines previstos en la legislación nacional correspondiente.</w:t>
      </w:r>
    </w:p>
    <w:p w14:paraId="59B05803" w14:textId="03376498" w:rsidR="002B7552" w:rsidRPr="00253D5D" w:rsidRDefault="002B7552" w:rsidP="00253D5D">
      <w:pPr>
        <w:pStyle w:val="Sinespaciado"/>
        <w:spacing w:before="120" w:after="120"/>
        <w:contextualSpacing w:val="0"/>
      </w:pPr>
      <w:r w:rsidRPr="00BF4DBB">
        <w:t xml:space="preserve">Informar a los representantes, al Estado y a la Comisión Interamericana que, al término de la declaración rendida en la audiencia pública, podrán presentar ante el Tribunal sus alegatos finales orales y observaciones finales orales, respectivamente, sobre la excepción preliminar y eventuales fondo, reparaciones y costas en el presente caso. </w:t>
      </w:r>
    </w:p>
    <w:p w14:paraId="21B18FB1" w14:textId="350FC7FD" w:rsidR="00135570" w:rsidRPr="002800F8" w:rsidRDefault="002B7552" w:rsidP="002800F8">
      <w:pPr>
        <w:pStyle w:val="Sinespaciado"/>
        <w:tabs>
          <w:tab w:val="left" w:pos="567"/>
        </w:tabs>
        <w:spacing w:before="120" w:after="120"/>
        <w:contextualSpacing w:val="0"/>
      </w:pPr>
      <w:r w:rsidRPr="00BF4DBB">
        <w:t>Disponer que la Secretaría de la Corte, de conformidad con lo dispuesto en el artículo 55.3 del Reglamento, indique a la Comisión Interamericana, a los representantes y al Estado el enlace donde se encontrará disponible la grabación de la audiencia pública, a la brevedad posible luego de la celebración de la misma.</w:t>
      </w:r>
    </w:p>
    <w:p w14:paraId="1FC39424" w14:textId="1F20FB96" w:rsidR="002B7552" w:rsidRPr="002800F8" w:rsidRDefault="00135570" w:rsidP="002800F8">
      <w:pPr>
        <w:pStyle w:val="Sinespaciado"/>
        <w:tabs>
          <w:tab w:val="left" w:pos="567"/>
        </w:tabs>
        <w:spacing w:before="120" w:after="120"/>
        <w:contextualSpacing w:val="0"/>
      </w:pPr>
      <w:r w:rsidRPr="00BF4DBB">
        <w:t xml:space="preserve">Informar a los representantes, al Estado </w:t>
      </w:r>
      <w:r w:rsidR="002B7552" w:rsidRPr="00BF4DBB">
        <w:t xml:space="preserve">y a la Comisión Interamericana que, en los términos del artículo 56 del Reglamento, </w:t>
      </w:r>
      <w:r w:rsidRPr="00BF4DBB">
        <w:t>cuentan con un plazo improrrogable hasta e</w:t>
      </w:r>
      <w:r w:rsidRPr="009E6EAD">
        <w:t xml:space="preserve">l </w:t>
      </w:r>
      <w:r w:rsidR="00CB1388" w:rsidRPr="009E6EAD">
        <w:t>6</w:t>
      </w:r>
      <w:r w:rsidR="002800F8" w:rsidRPr="009E6EAD">
        <w:t xml:space="preserve"> de marzo</w:t>
      </w:r>
      <w:r w:rsidR="006B0C30" w:rsidRPr="009E6EAD">
        <w:t xml:space="preserve"> </w:t>
      </w:r>
      <w:r w:rsidRPr="009E6EAD">
        <w:t>de 20</w:t>
      </w:r>
      <w:r w:rsidR="006B0C30" w:rsidRPr="009E6EAD">
        <w:t>20</w:t>
      </w:r>
      <w:r w:rsidRPr="009E6EAD">
        <w:t xml:space="preserve"> para presentar sus alegatos finales escritos y observaciones finales escritas</w:t>
      </w:r>
      <w:r w:rsidRPr="00BF4DBB">
        <w:t>, respectivamente, en relación con</w:t>
      </w:r>
      <w:r w:rsidR="002800F8">
        <w:t xml:space="preserve"> la excepción preliminar y eventuales</w:t>
      </w:r>
      <w:r w:rsidRPr="00BF4DBB">
        <w:t xml:space="preserve"> fondo, reparaciones y costas en el presente caso.</w:t>
      </w:r>
    </w:p>
    <w:p w14:paraId="0B716B34" w14:textId="661E8968" w:rsidR="00135570" w:rsidRPr="002800F8" w:rsidRDefault="002B7552" w:rsidP="002800F8">
      <w:pPr>
        <w:pStyle w:val="Sinespaciado"/>
        <w:tabs>
          <w:tab w:val="left" w:pos="567"/>
        </w:tabs>
        <w:spacing w:before="120" w:after="120"/>
        <w:contextualSpacing w:val="0"/>
      </w:pPr>
      <w:r w:rsidRPr="00BF4DBB">
        <w:t>Requerir al Estado que remita, a más tardar con sus alegatos finales escritos, los documentos solicitados por el Presidente en el Considerando</w:t>
      </w:r>
      <w:r w:rsidRPr="00BF4DBB">
        <w:rPr>
          <w:b/>
        </w:rPr>
        <w:t xml:space="preserve"> </w:t>
      </w:r>
      <w:r w:rsidR="009E6EAD" w:rsidRPr="009E6EAD">
        <w:t xml:space="preserve">10 </w:t>
      </w:r>
      <w:r w:rsidRPr="00BF4DBB">
        <w:t>de la presente Resolución</w:t>
      </w:r>
    </w:p>
    <w:p w14:paraId="0A386638" w14:textId="20D19E3E" w:rsidR="00135570" w:rsidRPr="002800F8" w:rsidRDefault="00135570" w:rsidP="002800F8">
      <w:pPr>
        <w:pStyle w:val="Sinespaciado"/>
        <w:tabs>
          <w:tab w:val="left" w:pos="567"/>
        </w:tabs>
        <w:spacing w:before="120" w:after="120"/>
        <w:contextualSpacing w:val="0"/>
      </w:pPr>
      <w:r w:rsidRPr="00BF4DBB">
        <w:t>Declarar procedente la aplicación del Fondo de Asistencia Legal de Víctimas en los términos dispuestos en los párrafos considerativos</w:t>
      </w:r>
      <w:r w:rsidR="009E6EAD">
        <w:t xml:space="preserve"> 11 a 16 </w:t>
      </w:r>
      <w:r w:rsidRPr="00BF4DBB">
        <w:t>de esta Resolución.</w:t>
      </w:r>
    </w:p>
    <w:p w14:paraId="4ACADB5B" w14:textId="40376632" w:rsidR="00135570" w:rsidRPr="002800F8" w:rsidRDefault="00135570" w:rsidP="002800F8">
      <w:pPr>
        <w:pStyle w:val="Sinespaciado"/>
        <w:tabs>
          <w:tab w:val="left" w:pos="567"/>
        </w:tabs>
        <w:spacing w:before="120" w:after="120"/>
        <w:contextualSpacing w:val="0"/>
      </w:pPr>
      <w:r w:rsidRPr="00BF4DBB">
        <w:t>Disponer, de conformidad con el artículo 4 del Reglamento de la Corte sobre el Funcionamiento del Fondo de Asistencia Legal de Víctimas, que la Secretaría del Tribunal abra un expediente de gastos, donde se documentará cada una de las erogaciones que se realicen con el Fondo de Asistencia Legal de Víctimas.</w:t>
      </w:r>
    </w:p>
    <w:p w14:paraId="634E1317" w14:textId="01463F84" w:rsidR="00135570" w:rsidRPr="00BF4DBB" w:rsidRDefault="00135570" w:rsidP="000D5AA5">
      <w:pPr>
        <w:pStyle w:val="Sinespaciado"/>
      </w:pPr>
      <w:r w:rsidRPr="00BF4DBB">
        <w:t xml:space="preserve">Disponer que la Secretaría de la Corte Interamericana notifique la presente Resolución a la Comisión Interamericana de Derechos Humanos, a los representantes y al Estado de </w:t>
      </w:r>
      <w:r w:rsidR="002C4A69" w:rsidRPr="00BF4DBB">
        <w:t>Argentina</w:t>
      </w:r>
      <w:r w:rsidRPr="00BF4DBB">
        <w:t>.</w:t>
      </w:r>
    </w:p>
    <w:p w14:paraId="4E2D1CAB" w14:textId="77777777" w:rsidR="003579A8" w:rsidRDefault="003579A8" w:rsidP="003579A8">
      <w:pPr>
        <w:spacing w:after="0"/>
        <w:ind w:left="360"/>
        <w:rPr>
          <w:rFonts w:ascii="Verdana" w:hAnsi="Verdana"/>
          <w:sz w:val="20"/>
          <w:szCs w:val="20"/>
          <w:lang w:val="es-CR"/>
        </w:rPr>
      </w:pPr>
    </w:p>
    <w:p w14:paraId="58632F2D" w14:textId="77777777" w:rsidR="003579A8" w:rsidRDefault="003579A8" w:rsidP="003579A8">
      <w:pPr>
        <w:spacing w:after="0"/>
        <w:ind w:left="360"/>
        <w:rPr>
          <w:rFonts w:ascii="Verdana" w:hAnsi="Verdana"/>
          <w:sz w:val="20"/>
          <w:szCs w:val="20"/>
          <w:lang w:val="es-CR"/>
        </w:rPr>
      </w:pPr>
    </w:p>
    <w:p w14:paraId="7015BD9E" w14:textId="77777777" w:rsidR="003579A8" w:rsidRDefault="003579A8" w:rsidP="003579A8">
      <w:pPr>
        <w:spacing w:after="0"/>
        <w:ind w:left="360"/>
        <w:rPr>
          <w:rFonts w:ascii="Verdana" w:hAnsi="Verdana"/>
          <w:sz w:val="20"/>
          <w:szCs w:val="20"/>
          <w:lang w:val="es-CR"/>
        </w:rPr>
      </w:pPr>
    </w:p>
    <w:p w14:paraId="0D18424C" w14:textId="77777777" w:rsidR="003579A8" w:rsidRDefault="003579A8" w:rsidP="003579A8">
      <w:pPr>
        <w:spacing w:after="0"/>
        <w:ind w:left="360"/>
        <w:rPr>
          <w:rFonts w:ascii="Verdana" w:hAnsi="Verdana"/>
          <w:sz w:val="20"/>
          <w:szCs w:val="20"/>
          <w:lang w:val="es-CR"/>
        </w:rPr>
      </w:pPr>
    </w:p>
    <w:p w14:paraId="2239B5A3" w14:textId="77777777" w:rsidR="003579A8" w:rsidRDefault="003579A8" w:rsidP="003579A8">
      <w:pPr>
        <w:spacing w:after="0"/>
        <w:ind w:left="5664"/>
        <w:jc w:val="center"/>
        <w:rPr>
          <w:rFonts w:ascii="Verdana" w:hAnsi="Verdana"/>
          <w:sz w:val="20"/>
          <w:szCs w:val="20"/>
          <w:lang w:val="es-CR"/>
        </w:rPr>
      </w:pPr>
    </w:p>
    <w:p w14:paraId="1AFA01C3" w14:textId="77777777" w:rsidR="003579A8" w:rsidRDefault="003579A8" w:rsidP="003579A8">
      <w:pPr>
        <w:spacing w:after="0"/>
        <w:ind w:left="5664"/>
        <w:jc w:val="center"/>
        <w:rPr>
          <w:rFonts w:ascii="Verdana" w:hAnsi="Verdana"/>
          <w:sz w:val="20"/>
          <w:szCs w:val="20"/>
          <w:lang w:val="es-CR"/>
        </w:rPr>
      </w:pPr>
    </w:p>
    <w:p w14:paraId="04225DA0" w14:textId="509BFF5C" w:rsidR="003579A8" w:rsidRDefault="003579A8" w:rsidP="003579A8">
      <w:pPr>
        <w:spacing w:after="0"/>
        <w:ind w:left="5664"/>
        <w:jc w:val="center"/>
        <w:rPr>
          <w:rFonts w:ascii="Verdana" w:hAnsi="Verdana"/>
          <w:sz w:val="20"/>
          <w:szCs w:val="20"/>
          <w:lang w:val="es-CR"/>
        </w:rPr>
      </w:pPr>
    </w:p>
    <w:p w14:paraId="356E770D" w14:textId="77777777" w:rsidR="003579A8" w:rsidRDefault="003579A8" w:rsidP="003579A8">
      <w:pPr>
        <w:spacing w:after="0"/>
        <w:ind w:left="5664"/>
        <w:jc w:val="center"/>
        <w:rPr>
          <w:rFonts w:ascii="Verdana" w:hAnsi="Verdana"/>
          <w:sz w:val="20"/>
          <w:szCs w:val="20"/>
          <w:lang w:val="es-CR"/>
        </w:rPr>
      </w:pPr>
    </w:p>
    <w:p w14:paraId="69DA02D7" w14:textId="77777777" w:rsidR="003579A8" w:rsidRDefault="003579A8" w:rsidP="003579A8">
      <w:pPr>
        <w:spacing w:after="0"/>
        <w:ind w:left="5664"/>
        <w:jc w:val="center"/>
        <w:rPr>
          <w:rFonts w:ascii="Verdana" w:hAnsi="Verdana"/>
          <w:sz w:val="20"/>
          <w:szCs w:val="20"/>
          <w:lang w:val="es-CR"/>
        </w:rPr>
      </w:pPr>
    </w:p>
    <w:p w14:paraId="6BABD921" w14:textId="28087038" w:rsidR="003579A8" w:rsidRDefault="003579A8" w:rsidP="003579A8">
      <w:pPr>
        <w:spacing w:after="0"/>
        <w:ind w:left="5664"/>
        <w:jc w:val="center"/>
        <w:rPr>
          <w:rFonts w:ascii="Verdana" w:hAnsi="Verdana"/>
          <w:sz w:val="20"/>
          <w:szCs w:val="20"/>
          <w:lang w:val="es-CR"/>
        </w:rPr>
      </w:pPr>
    </w:p>
    <w:p w14:paraId="3AB5BDD3" w14:textId="54141E9A" w:rsidR="003579A8" w:rsidRDefault="003579A8" w:rsidP="003579A8">
      <w:pPr>
        <w:spacing w:after="0"/>
        <w:ind w:left="5664"/>
        <w:jc w:val="center"/>
        <w:rPr>
          <w:rFonts w:ascii="Verdana" w:hAnsi="Verdana"/>
          <w:sz w:val="20"/>
          <w:szCs w:val="20"/>
          <w:lang w:val="es-CR"/>
        </w:rPr>
      </w:pPr>
    </w:p>
    <w:p w14:paraId="4E0A5EB3" w14:textId="77777777" w:rsidR="003579A8" w:rsidRPr="003579A8" w:rsidRDefault="003579A8" w:rsidP="003579A8">
      <w:pPr>
        <w:spacing w:after="0"/>
        <w:ind w:left="5664"/>
        <w:jc w:val="center"/>
        <w:rPr>
          <w:rFonts w:ascii="Verdana" w:hAnsi="Verdana"/>
          <w:sz w:val="20"/>
          <w:szCs w:val="20"/>
          <w:lang w:val="es-CR"/>
        </w:rPr>
      </w:pPr>
      <w:r w:rsidRPr="003579A8">
        <w:rPr>
          <w:rFonts w:ascii="Verdana" w:hAnsi="Verdana"/>
          <w:sz w:val="20"/>
          <w:szCs w:val="20"/>
          <w:lang w:val="es-CR"/>
        </w:rPr>
        <w:t>Eduardo Ferrer Mac-</w:t>
      </w:r>
      <w:proofErr w:type="spellStart"/>
      <w:r w:rsidRPr="003579A8">
        <w:rPr>
          <w:rFonts w:ascii="Verdana" w:hAnsi="Verdana"/>
          <w:sz w:val="20"/>
          <w:szCs w:val="20"/>
          <w:lang w:val="es-CR"/>
        </w:rPr>
        <w:t>Gregor</w:t>
      </w:r>
      <w:proofErr w:type="spellEnd"/>
      <w:r w:rsidRPr="003579A8">
        <w:rPr>
          <w:rFonts w:ascii="Verdana" w:hAnsi="Verdana"/>
          <w:sz w:val="20"/>
          <w:szCs w:val="20"/>
          <w:lang w:val="es-CR"/>
        </w:rPr>
        <w:t xml:space="preserve"> </w:t>
      </w:r>
      <w:proofErr w:type="spellStart"/>
      <w:r w:rsidRPr="003579A8">
        <w:rPr>
          <w:rFonts w:ascii="Verdana" w:hAnsi="Verdana"/>
          <w:sz w:val="20"/>
          <w:szCs w:val="20"/>
          <w:lang w:val="es-CR"/>
        </w:rPr>
        <w:t>Poisot</w:t>
      </w:r>
      <w:proofErr w:type="spellEnd"/>
    </w:p>
    <w:p w14:paraId="33B1A97C" w14:textId="3A756EFA" w:rsidR="003579A8" w:rsidRPr="003579A8" w:rsidRDefault="003579A8" w:rsidP="003579A8">
      <w:pPr>
        <w:spacing w:after="0"/>
        <w:ind w:left="5664"/>
        <w:jc w:val="center"/>
        <w:rPr>
          <w:rFonts w:ascii="Verdana" w:hAnsi="Verdana"/>
          <w:sz w:val="20"/>
          <w:szCs w:val="20"/>
          <w:lang w:val="es-CR"/>
        </w:rPr>
      </w:pPr>
      <w:r w:rsidRPr="003579A8">
        <w:rPr>
          <w:rFonts w:ascii="Verdana" w:hAnsi="Verdana"/>
          <w:sz w:val="20"/>
          <w:szCs w:val="20"/>
          <w:lang w:val="es-CR"/>
        </w:rPr>
        <w:t>Presidente</w:t>
      </w:r>
    </w:p>
    <w:p w14:paraId="41BFB9F6" w14:textId="77777777" w:rsidR="003579A8" w:rsidRPr="003579A8" w:rsidRDefault="003579A8" w:rsidP="003579A8">
      <w:pPr>
        <w:spacing w:after="0"/>
        <w:ind w:left="360"/>
        <w:rPr>
          <w:rFonts w:ascii="Verdana" w:hAnsi="Verdana"/>
          <w:sz w:val="20"/>
          <w:szCs w:val="20"/>
          <w:lang w:val="es-CR"/>
        </w:rPr>
      </w:pPr>
    </w:p>
    <w:p w14:paraId="734DE9E1" w14:textId="77777777" w:rsidR="003579A8" w:rsidRDefault="003579A8" w:rsidP="003579A8">
      <w:pPr>
        <w:spacing w:after="0"/>
        <w:ind w:left="360"/>
        <w:rPr>
          <w:rFonts w:ascii="Verdana" w:hAnsi="Verdana"/>
          <w:sz w:val="20"/>
          <w:szCs w:val="20"/>
          <w:lang w:val="es-CR"/>
        </w:rPr>
      </w:pPr>
    </w:p>
    <w:p w14:paraId="2815C39B" w14:textId="77777777" w:rsidR="003579A8" w:rsidRDefault="003579A8" w:rsidP="003579A8">
      <w:pPr>
        <w:spacing w:after="0"/>
        <w:ind w:left="360"/>
        <w:rPr>
          <w:rFonts w:ascii="Verdana" w:hAnsi="Verdana"/>
          <w:sz w:val="20"/>
          <w:szCs w:val="20"/>
          <w:lang w:val="es-CR"/>
        </w:rPr>
      </w:pPr>
    </w:p>
    <w:p w14:paraId="65FDCB73" w14:textId="77777777" w:rsidR="003579A8" w:rsidRPr="003579A8" w:rsidRDefault="003579A8" w:rsidP="003579A8">
      <w:pPr>
        <w:spacing w:after="0"/>
        <w:ind w:left="360"/>
        <w:rPr>
          <w:rFonts w:ascii="Verdana" w:hAnsi="Verdana"/>
          <w:sz w:val="20"/>
          <w:szCs w:val="20"/>
          <w:lang w:val="es-CR"/>
        </w:rPr>
      </w:pPr>
    </w:p>
    <w:p w14:paraId="0F1262F0" w14:textId="7C259184" w:rsidR="003579A8" w:rsidRPr="003579A8" w:rsidRDefault="003579A8" w:rsidP="003579A8">
      <w:pPr>
        <w:spacing w:after="0"/>
        <w:ind w:left="360"/>
        <w:rPr>
          <w:rFonts w:ascii="Verdana" w:hAnsi="Verdana"/>
          <w:sz w:val="20"/>
          <w:szCs w:val="20"/>
          <w:lang w:val="es-CR"/>
        </w:rPr>
      </w:pPr>
    </w:p>
    <w:p w14:paraId="630D2A9B" w14:textId="77777777" w:rsidR="003579A8" w:rsidRPr="003579A8" w:rsidRDefault="003579A8" w:rsidP="003579A8">
      <w:pPr>
        <w:spacing w:after="0"/>
        <w:ind w:left="360"/>
        <w:rPr>
          <w:rFonts w:ascii="Verdana" w:hAnsi="Verdana"/>
          <w:sz w:val="20"/>
          <w:szCs w:val="20"/>
          <w:lang w:val="es-CR"/>
        </w:rPr>
      </w:pPr>
      <w:r>
        <w:rPr>
          <w:rFonts w:ascii="Verdana" w:hAnsi="Verdana"/>
          <w:sz w:val="20"/>
          <w:szCs w:val="20"/>
          <w:lang w:val="es-CR"/>
        </w:rPr>
        <w:t>Pablo Saavedra Alessandri</w:t>
      </w:r>
    </w:p>
    <w:p w14:paraId="0B286776" w14:textId="77777777" w:rsidR="003579A8" w:rsidRPr="003579A8" w:rsidRDefault="003579A8" w:rsidP="003579A8">
      <w:pPr>
        <w:spacing w:after="0"/>
        <w:ind w:left="360"/>
        <w:rPr>
          <w:rFonts w:ascii="Verdana" w:hAnsi="Verdana"/>
          <w:sz w:val="20"/>
          <w:szCs w:val="20"/>
          <w:lang w:val="es-CR"/>
        </w:rPr>
      </w:pPr>
      <w:r>
        <w:rPr>
          <w:rFonts w:ascii="Verdana" w:hAnsi="Verdana"/>
          <w:sz w:val="20"/>
          <w:szCs w:val="20"/>
          <w:lang w:val="es-CR"/>
        </w:rPr>
        <w:t xml:space="preserve">          Secretario</w:t>
      </w:r>
    </w:p>
    <w:p w14:paraId="4F6A50F3" w14:textId="77777777" w:rsidR="003579A8" w:rsidRPr="003579A8" w:rsidRDefault="003579A8" w:rsidP="003579A8">
      <w:pPr>
        <w:spacing w:after="0"/>
        <w:ind w:left="360"/>
        <w:rPr>
          <w:rFonts w:ascii="Verdana" w:hAnsi="Verdana"/>
          <w:sz w:val="20"/>
          <w:szCs w:val="20"/>
          <w:lang w:val="es-CR"/>
        </w:rPr>
      </w:pPr>
    </w:p>
    <w:p w14:paraId="5100BC00" w14:textId="77777777" w:rsidR="003579A8" w:rsidRPr="003579A8" w:rsidRDefault="003579A8" w:rsidP="003579A8">
      <w:pPr>
        <w:spacing w:after="0"/>
        <w:ind w:left="360"/>
        <w:rPr>
          <w:rFonts w:ascii="Verdana" w:hAnsi="Verdana"/>
          <w:sz w:val="20"/>
          <w:szCs w:val="20"/>
          <w:lang w:val="es-CR"/>
        </w:rPr>
      </w:pPr>
    </w:p>
    <w:p w14:paraId="24393B0C" w14:textId="77777777" w:rsidR="003579A8" w:rsidRDefault="003579A8" w:rsidP="003579A8">
      <w:pPr>
        <w:spacing w:after="0"/>
        <w:ind w:left="360"/>
        <w:rPr>
          <w:rFonts w:ascii="Verdana" w:hAnsi="Verdana"/>
          <w:sz w:val="20"/>
          <w:szCs w:val="20"/>
          <w:lang w:val="es-CR"/>
        </w:rPr>
      </w:pPr>
    </w:p>
    <w:p w14:paraId="5472F92E" w14:textId="0BA83F95" w:rsidR="003579A8" w:rsidRPr="003579A8" w:rsidRDefault="003579A8" w:rsidP="003579A8">
      <w:pPr>
        <w:spacing w:after="0"/>
        <w:ind w:left="360"/>
        <w:rPr>
          <w:rFonts w:ascii="Verdana" w:hAnsi="Verdana"/>
          <w:sz w:val="20"/>
          <w:szCs w:val="20"/>
          <w:lang w:val="es-CR"/>
        </w:rPr>
      </w:pPr>
    </w:p>
    <w:p w14:paraId="4DE30CBD" w14:textId="77777777" w:rsidR="003579A8" w:rsidRPr="003579A8" w:rsidRDefault="003579A8" w:rsidP="003579A8">
      <w:pPr>
        <w:spacing w:after="0"/>
        <w:ind w:left="360"/>
        <w:rPr>
          <w:rFonts w:ascii="Verdana" w:hAnsi="Verdana"/>
          <w:sz w:val="20"/>
          <w:szCs w:val="20"/>
          <w:lang w:val="es-CR"/>
        </w:rPr>
      </w:pPr>
    </w:p>
    <w:p w14:paraId="1A6C9A2F" w14:textId="77777777" w:rsidR="003579A8" w:rsidRPr="003579A8" w:rsidRDefault="003579A8" w:rsidP="003579A8">
      <w:pPr>
        <w:spacing w:after="0"/>
        <w:ind w:left="360"/>
        <w:rPr>
          <w:rFonts w:ascii="Verdana" w:hAnsi="Verdana"/>
          <w:sz w:val="20"/>
          <w:szCs w:val="20"/>
          <w:lang w:val="es-CR"/>
        </w:rPr>
      </w:pPr>
      <w:r w:rsidRPr="003579A8">
        <w:rPr>
          <w:rFonts w:ascii="Verdana" w:hAnsi="Verdana"/>
          <w:sz w:val="20"/>
          <w:szCs w:val="20"/>
          <w:lang w:val="es-CR"/>
        </w:rPr>
        <w:t xml:space="preserve">Comuníquese y ejecútese, </w:t>
      </w:r>
    </w:p>
    <w:p w14:paraId="5363C9A6" w14:textId="77777777" w:rsidR="003579A8" w:rsidRPr="003579A8" w:rsidRDefault="003579A8" w:rsidP="003579A8">
      <w:pPr>
        <w:spacing w:after="0"/>
        <w:ind w:left="360"/>
        <w:rPr>
          <w:rFonts w:ascii="Verdana" w:hAnsi="Verdana"/>
          <w:sz w:val="20"/>
          <w:szCs w:val="20"/>
          <w:lang w:val="es-CR"/>
        </w:rPr>
      </w:pPr>
    </w:p>
    <w:p w14:paraId="0D5A016E" w14:textId="77777777" w:rsidR="003579A8" w:rsidRDefault="003579A8" w:rsidP="003579A8">
      <w:pPr>
        <w:spacing w:after="0"/>
        <w:ind w:left="360"/>
        <w:rPr>
          <w:rFonts w:ascii="Verdana" w:hAnsi="Verdana"/>
          <w:sz w:val="20"/>
          <w:szCs w:val="20"/>
          <w:lang w:val="es-CR"/>
        </w:rPr>
      </w:pPr>
    </w:p>
    <w:p w14:paraId="367455A9" w14:textId="77777777" w:rsidR="003579A8" w:rsidRPr="003579A8" w:rsidRDefault="003579A8" w:rsidP="003579A8">
      <w:pPr>
        <w:spacing w:after="0"/>
        <w:ind w:left="360"/>
        <w:rPr>
          <w:rFonts w:ascii="Verdana" w:hAnsi="Verdana"/>
          <w:sz w:val="20"/>
          <w:szCs w:val="20"/>
          <w:lang w:val="es-CR"/>
        </w:rPr>
      </w:pPr>
    </w:p>
    <w:p w14:paraId="50F58132" w14:textId="7928654E" w:rsidR="003579A8" w:rsidRPr="003579A8" w:rsidRDefault="003579A8" w:rsidP="003579A8">
      <w:pPr>
        <w:spacing w:after="0"/>
        <w:ind w:left="360"/>
        <w:rPr>
          <w:rFonts w:ascii="Verdana" w:hAnsi="Verdana"/>
          <w:sz w:val="20"/>
          <w:szCs w:val="20"/>
          <w:lang w:val="es-CR"/>
        </w:rPr>
      </w:pPr>
    </w:p>
    <w:p w14:paraId="756A49C1" w14:textId="22E6CF37" w:rsidR="003579A8" w:rsidRPr="003579A8" w:rsidRDefault="003579A8" w:rsidP="003579A8">
      <w:pPr>
        <w:spacing w:after="0"/>
        <w:ind w:left="360"/>
        <w:rPr>
          <w:rFonts w:ascii="Verdana" w:hAnsi="Verdana"/>
          <w:sz w:val="20"/>
          <w:szCs w:val="20"/>
          <w:lang w:val="es-CR"/>
        </w:rPr>
      </w:pPr>
    </w:p>
    <w:p w14:paraId="1BC009E3" w14:textId="77777777" w:rsidR="003579A8" w:rsidRPr="003579A8" w:rsidRDefault="003579A8" w:rsidP="003579A8">
      <w:pPr>
        <w:spacing w:after="0"/>
        <w:ind w:left="5664"/>
        <w:jc w:val="center"/>
        <w:rPr>
          <w:rFonts w:ascii="Verdana" w:hAnsi="Verdana"/>
          <w:sz w:val="20"/>
          <w:szCs w:val="20"/>
          <w:lang w:val="es-CR"/>
        </w:rPr>
      </w:pPr>
      <w:r w:rsidRPr="003579A8">
        <w:rPr>
          <w:rFonts w:ascii="Verdana" w:hAnsi="Verdana"/>
          <w:sz w:val="20"/>
          <w:szCs w:val="20"/>
          <w:lang w:val="es-CR"/>
        </w:rPr>
        <w:t>Eduardo Ferrer Mac-</w:t>
      </w:r>
      <w:proofErr w:type="spellStart"/>
      <w:r w:rsidRPr="003579A8">
        <w:rPr>
          <w:rFonts w:ascii="Verdana" w:hAnsi="Verdana"/>
          <w:sz w:val="20"/>
          <w:szCs w:val="20"/>
          <w:lang w:val="es-CR"/>
        </w:rPr>
        <w:t>Gregor</w:t>
      </w:r>
      <w:proofErr w:type="spellEnd"/>
      <w:r w:rsidRPr="003579A8">
        <w:rPr>
          <w:rFonts w:ascii="Verdana" w:hAnsi="Verdana"/>
          <w:sz w:val="20"/>
          <w:szCs w:val="20"/>
          <w:lang w:val="es-CR"/>
        </w:rPr>
        <w:t xml:space="preserve"> </w:t>
      </w:r>
      <w:proofErr w:type="spellStart"/>
      <w:r w:rsidRPr="003579A8">
        <w:rPr>
          <w:rFonts w:ascii="Verdana" w:hAnsi="Verdana"/>
          <w:sz w:val="20"/>
          <w:szCs w:val="20"/>
          <w:lang w:val="es-CR"/>
        </w:rPr>
        <w:t>Poisot</w:t>
      </w:r>
      <w:proofErr w:type="spellEnd"/>
    </w:p>
    <w:p w14:paraId="31480CE7" w14:textId="77777777" w:rsidR="003579A8" w:rsidRPr="003579A8" w:rsidRDefault="003579A8" w:rsidP="003579A8">
      <w:pPr>
        <w:spacing w:after="0"/>
        <w:ind w:left="5664"/>
        <w:jc w:val="center"/>
        <w:rPr>
          <w:rFonts w:ascii="Verdana" w:hAnsi="Verdana"/>
          <w:sz w:val="20"/>
          <w:szCs w:val="20"/>
          <w:lang w:val="es-CR"/>
        </w:rPr>
      </w:pPr>
      <w:r w:rsidRPr="003579A8">
        <w:rPr>
          <w:rFonts w:ascii="Verdana" w:hAnsi="Verdana"/>
          <w:sz w:val="20"/>
          <w:szCs w:val="20"/>
          <w:lang w:val="es-CR"/>
        </w:rPr>
        <w:t>Presidente</w:t>
      </w:r>
    </w:p>
    <w:p w14:paraId="6811B4A8" w14:textId="77777777" w:rsidR="003579A8" w:rsidRPr="003579A8" w:rsidRDefault="003579A8" w:rsidP="003579A8">
      <w:pPr>
        <w:spacing w:after="0"/>
        <w:ind w:left="360"/>
        <w:rPr>
          <w:rFonts w:ascii="Verdana" w:hAnsi="Verdana"/>
          <w:sz w:val="20"/>
          <w:szCs w:val="20"/>
          <w:lang w:val="es-CR"/>
        </w:rPr>
      </w:pPr>
    </w:p>
    <w:p w14:paraId="0A4C6E9F" w14:textId="77777777" w:rsidR="003579A8" w:rsidRDefault="003579A8" w:rsidP="003579A8">
      <w:pPr>
        <w:spacing w:after="0"/>
        <w:ind w:left="360"/>
        <w:rPr>
          <w:rFonts w:ascii="Verdana" w:hAnsi="Verdana"/>
          <w:sz w:val="20"/>
          <w:szCs w:val="20"/>
          <w:lang w:val="es-CR"/>
        </w:rPr>
      </w:pPr>
    </w:p>
    <w:p w14:paraId="59CE43F5" w14:textId="77777777" w:rsidR="003579A8" w:rsidRDefault="003579A8" w:rsidP="003579A8">
      <w:pPr>
        <w:spacing w:after="0"/>
        <w:ind w:left="360"/>
        <w:rPr>
          <w:rFonts w:ascii="Verdana" w:hAnsi="Verdana"/>
          <w:sz w:val="20"/>
          <w:szCs w:val="20"/>
          <w:lang w:val="es-CR"/>
        </w:rPr>
      </w:pPr>
    </w:p>
    <w:p w14:paraId="5911FD92" w14:textId="48484E28" w:rsidR="003579A8" w:rsidRPr="003579A8" w:rsidRDefault="003579A8" w:rsidP="003579A8">
      <w:pPr>
        <w:spacing w:after="0"/>
        <w:ind w:left="360"/>
        <w:rPr>
          <w:rFonts w:ascii="Verdana" w:hAnsi="Verdana"/>
          <w:sz w:val="20"/>
          <w:szCs w:val="20"/>
          <w:lang w:val="es-CR"/>
        </w:rPr>
      </w:pPr>
    </w:p>
    <w:p w14:paraId="313C7838" w14:textId="77777777" w:rsidR="003579A8" w:rsidRPr="003579A8" w:rsidRDefault="003579A8" w:rsidP="003579A8">
      <w:pPr>
        <w:spacing w:after="0"/>
        <w:ind w:left="360"/>
        <w:rPr>
          <w:rFonts w:ascii="Verdana" w:hAnsi="Verdana"/>
          <w:sz w:val="20"/>
          <w:szCs w:val="20"/>
          <w:lang w:val="es-CR"/>
        </w:rPr>
      </w:pPr>
    </w:p>
    <w:p w14:paraId="77DCC77E" w14:textId="12E19D52" w:rsidR="003579A8" w:rsidRPr="003579A8" w:rsidRDefault="003579A8" w:rsidP="003579A8">
      <w:pPr>
        <w:spacing w:after="0"/>
        <w:ind w:left="360"/>
        <w:rPr>
          <w:rFonts w:ascii="Verdana" w:hAnsi="Verdana"/>
          <w:sz w:val="20"/>
          <w:szCs w:val="20"/>
          <w:lang w:val="es-CR"/>
        </w:rPr>
      </w:pPr>
      <w:r>
        <w:rPr>
          <w:rFonts w:ascii="Verdana" w:hAnsi="Verdana"/>
          <w:sz w:val="20"/>
          <w:szCs w:val="20"/>
          <w:lang w:val="es-CR"/>
        </w:rPr>
        <w:t>Pablo Saavedra Alessandri</w:t>
      </w:r>
    </w:p>
    <w:p w14:paraId="6BDE3417" w14:textId="51EC6CE4" w:rsidR="003579A8" w:rsidRPr="003579A8" w:rsidRDefault="003579A8" w:rsidP="003579A8">
      <w:pPr>
        <w:spacing w:after="0"/>
        <w:ind w:left="360"/>
        <w:rPr>
          <w:rFonts w:ascii="Verdana" w:hAnsi="Verdana"/>
          <w:sz w:val="20"/>
          <w:szCs w:val="20"/>
          <w:lang w:val="es-CR"/>
        </w:rPr>
      </w:pPr>
      <w:r>
        <w:rPr>
          <w:rFonts w:ascii="Verdana" w:hAnsi="Verdana"/>
          <w:sz w:val="20"/>
          <w:szCs w:val="20"/>
          <w:lang w:val="es-CR"/>
        </w:rPr>
        <w:t xml:space="preserve">          Secretario</w:t>
      </w:r>
    </w:p>
    <w:p w14:paraId="080A0F9F" w14:textId="77777777" w:rsidR="003579A8" w:rsidRPr="003579A8" w:rsidRDefault="003579A8" w:rsidP="003579A8">
      <w:pPr>
        <w:pStyle w:val="Prrafodelista"/>
        <w:ind w:left="360"/>
        <w:jc w:val="both"/>
        <w:rPr>
          <w:rFonts w:ascii="Verdana" w:hAnsi="Verdana"/>
          <w:sz w:val="20"/>
          <w:szCs w:val="20"/>
        </w:rPr>
      </w:pPr>
    </w:p>
    <w:p w14:paraId="42D6D8D0" w14:textId="77777777" w:rsidR="000F4155" w:rsidRPr="00037B5A" w:rsidRDefault="000F4155">
      <w:pPr>
        <w:rPr>
          <w:rFonts w:ascii="Verdana" w:hAnsi="Verdana"/>
          <w:sz w:val="20"/>
          <w:szCs w:val="20"/>
          <w:lang w:val="es-ES"/>
        </w:rPr>
      </w:pPr>
    </w:p>
    <w:sectPr w:rsidR="000F4155" w:rsidRPr="00037B5A" w:rsidSect="00735F12">
      <w:headerReference w:type="default" r:id="rId8"/>
      <w:footerReference w:type="default" r:id="rId9"/>
      <w:footerReference w:type="first" r:id="rId10"/>
      <w:pgSz w:w="12240" w:h="15840"/>
      <w:pgMar w:top="1418"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84DE49" w14:textId="77777777" w:rsidR="003E3C19" w:rsidRDefault="003E3C19" w:rsidP="00135570">
      <w:pPr>
        <w:spacing w:after="0" w:line="240" w:lineRule="auto"/>
      </w:pPr>
      <w:r>
        <w:separator/>
      </w:r>
    </w:p>
  </w:endnote>
  <w:endnote w:type="continuationSeparator" w:id="0">
    <w:p w14:paraId="0F9723BA" w14:textId="77777777" w:rsidR="003E3C19" w:rsidRDefault="003E3C19" w:rsidP="00135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246137"/>
      <w:docPartObj>
        <w:docPartGallery w:val="Page Numbers (Bottom of Page)"/>
        <w:docPartUnique/>
      </w:docPartObj>
    </w:sdtPr>
    <w:sdtEndPr>
      <w:rPr>
        <w:rFonts w:ascii="Verdana" w:hAnsi="Verdana"/>
        <w:noProof/>
        <w:sz w:val="20"/>
        <w:szCs w:val="20"/>
      </w:rPr>
    </w:sdtEndPr>
    <w:sdtContent>
      <w:p w14:paraId="42546F4A" w14:textId="3E31456D" w:rsidR="00253D5D" w:rsidRPr="00253D5D" w:rsidRDefault="00253D5D">
        <w:pPr>
          <w:pStyle w:val="Piedepgina"/>
          <w:jc w:val="center"/>
          <w:rPr>
            <w:rFonts w:ascii="Verdana" w:hAnsi="Verdana"/>
            <w:sz w:val="20"/>
            <w:szCs w:val="20"/>
          </w:rPr>
        </w:pPr>
        <w:r w:rsidRPr="00253D5D">
          <w:rPr>
            <w:rFonts w:ascii="Verdana" w:hAnsi="Verdana"/>
            <w:sz w:val="20"/>
            <w:szCs w:val="20"/>
          </w:rPr>
          <w:fldChar w:fldCharType="begin"/>
        </w:r>
        <w:r w:rsidRPr="00253D5D">
          <w:rPr>
            <w:rFonts w:ascii="Verdana" w:hAnsi="Verdana"/>
            <w:sz w:val="20"/>
            <w:szCs w:val="20"/>
          </w:rPr>
          <w:instrText xml:space="preserve"> PAGE   \* MERGEFORMAT </w:instrText>
        </w:r>
        <w:r w:rsidRPr="00253D5D">
          <w:rPr>
            <w:rFonts w:ascii="Verdana" w:hAnsi="Verdana"/>
            <w:sz w:val="20"/>
            <w:szCs w:val="20"/>
          </w:rPr>
          <w:fldChar w:fldCharType="separate"/>
        </w:r>
        <w:r w:rsidR="003D4B50">
          <w:rPr>
            <w:rFonts w:ascii="Verdana" w:hAnsi="Verdana"/>
            <w:noProof/>
            <w:sz w:val="20"/>
            <w:szCs w:val="20"/>
          </w:rPr>
          <w:t>2</w:t>
        </w:r>
        <w:r w:rsidRPr="00253D5D">
          <w:rPr>
            <w:rFonts w:ascii="Verdana" w:hAnsi="Verdana"/>
            <w:noProof/>
            <w:sz w:val="20"/>
            <w:szCs w:val="20"/>
          </w:rPr>
          <w:fldChar w:fldCharType="end"/>
        </w:r>
      </w:p>
    </w:sdtContent>
  </w:sdt>
  <w:p w14:paraId="6FFB6920" w14:textId="77777777" w:rsidR="00253D5D" w:rsidRDefault="00253D5D">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320C" w14:textId="4A4BF43F" w:rsidR="00BF4DBB" w:rsidRDefault="00BF4DBB">
    <w:pPr>
      <w:pStyle w:val="Piedepgina"/>
      <w:jc w:val="center"/>
    </w:pPr>
  </w:p>
  <w:p w14:paraId="06CD7AB5" w14:textId="77777777" w:rsidR="00BF4DBB" w:rsidRDefault="00BF4DB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4D4BD" w14:textId="77777777" w:rsidR="003E3C19" w:rsidRDefault="003E3C19" w:rsidP="00135570">
      <w:pPr>
        <w:spacing w:after="0" w:line="240" w:lineRule="auto"/>
      </w:pPr>
      <w:r>
        <w:separator/>
      </w:r>
    </w:p>
  </w:footnote>
  <w:footnote w:type="continuationSeparator" w:id="0">
    <w:p w14:paraId="7D547B9B" w14:textId="77777777" w:rsidR="003E3C19" w:rsidRDefault="003E3C19" w:rsidP="00135570">
      <w:pPr>
        <w:spacing w:after="0" w:line="240" w:lineRule="auto"/>
      </w:pPr>
      <w:r>
        <w:continuationSeparator/>
      </w:r>
    </w:p>
  </w:footnote>
  <w:footnote w:id="1">
    <w:p w14:paraId="7C809B94" w14:textId="7E837336" w:rsidR="00A17C8E" w:rsidRPr="00A17C8E" w:rsidRDefault="00A17C8E" w:rsidP="00A17C8E">
      <w:pPr>
        <w:pStyle w:val="Textonotapie"/>
        <w:tabs>
          <w:tab w:val="left" w:pos="567"/>
        </w:tabs>
        <w:rPr>
          <w:rFonts w:ascii="Verdana" w:hAnsi="Verdana"/>
          <w:sz w:val="16"/>
          <w:szCs w:val="16"/>
          <w:lang w:val="es-CR"/>
        </w:rPr>
      </w:pPr>
      <w:r w:rsidRPr="00A17C8E">
        <w:rPr>
          <w:rStyle w:val="Refdenotaalpie"/>
          <w:rFonts w:ascii="Verdana" w:hAnsi="Verdana"/>
          <w:sz w:val="16"/>
          <w:szCs w:val="16"/>
        </w:rPr>
        <w:footnoteRef/>
      </w:r>
      <w:r w:rsidRPr="00A17C8E">
        <w:rPr>
          <w:rFonts w:ascii="Verdana" w:hAnsi="Verdana"/>
          <w:sz w:val="16"/>
          <w:szCs w:val="16"/>
          <w:lang w:val="es-CR"/>
        </w:rPr>
        <w:t xml:space="preserve"> </w:t>
      </w:r>
      <w:r>
        <w:rPr>
          <w:rFonts w:ascii="Verdana" w:hAnsi="Verdana"/>
          <w:sz w:val="16"/>
          <w:szCs w:val="16"/>
          <w:lang w:val="es-CR"/>
        </w:rPr>
        <w:tab/>
      </w:r>
      <w:r>
        <w:rPr>
          <w:rFonts w:ascii="Verdana" w:hAnsi="Verdana"/>
          <w:i/>
          <w:sz w:val="16"/>
          <w:szCs w:val="16"/>
          <w:lang w:val="es-CR"/>
        </w:rPr>
        <w:t xml:space="preserve">Cfr. </w:t>
      </w:r>
      <w:r w:rsidRPr="00A17C8E">
        <w:rPr>
          <w:rFonts w:ascii="Verdana" w:hAnsi="Verdana"/>
          <w:i/>
          <w:sz w:val="16"/>
          <w:szCs w:val="16"/>
          <w:lang w:val="es-CR"/>
        </w:rPr>
        <w:t xml:space="preserve">Caso </w:t>
      </w:r>
      <w:proofErr w:type="spellStart"/>
      <w:r w:rsidRPr="00A17C8E">
        <w:rPr>
          <w:rFonts w:ascii="Verdana" w:hAnsi="Verdana"/>
          <w:i/>
          <w:sz w:val="16"/>
          <w:szCs w:val="16"/>
          <w:lang w:val="es-CR"/>
        </w:rPr>
        <w:t>Omeara</w:t>
      </w:r>
      <w:proofErr w:type="spellEnd"/>
      <w:r w:rsidRPr="00A17C8E">
        <w:rPr>
          <w:rFonts w:ascii="Verdana" w:hAnsi="Verdana"/>
          <w:i/>
          <w:sz w:val="16"/>
          <w:szCs w:val="16"/>
          <w:lang w:val="es-CR"/>
        </w:rPr>
        <w:t xml:space="preserve"> Carrascal y otros Vs. Colombia. </w:t>
      </w:r>
      <w:r w:rsidRPr="00B018EC">
        <w:rPr>
          <w:rFonts w:ascii="Verdana" w:hAnsi="Verdana"/>
          <w:sz w:val="16"/>
          <w:szCs w:val="16"/>
          <w:lang w:val="es-CR"/>
        </w:rPr>
        <w:t>Convocatoria a audiencia</w:t>
      </w:r>
      <w:r w:rsidRPr="00A17C8E">
        <w:rPr>
          <w:rFonts w:ascii="Verdana" w:hAnsi="Verdana"/>
          <w:i/>
          <w:sz w:val="16"/>
          <w:szCs w:val="16"/>
          <w:lang w:val="es-CR"/>
        </w:rPr>
        <w:t>.</w:t>
      </w:r>
      <w:r w:rsidRPr="00A17C8E">
        <w:rPr>
          <w:rFonts w:ascii="Verdana" w:hAnsi="Verdana"/>
          <w:sz w:val="16"/>
          <w:szCs w:val="16"/>
          <w:lang w:val="es-CR"/>
        </w:rPr>
        <w:t xml:space="preserve"> Resolución del Presidente de la Corte Interamericana de Derechos</w:t>
      </w:r>
      <w:r>
        <w:rPr>
          <w:rFonts w:ascii="Verdana" w:hAnsi="Verdana"/>
          <w:sz w:val="16"/>
          <w:szCs w:val="16"/>
          <w:lang w:val="es-CR"/>
        </w:rPr>
        <w:t xml:space="preserve"> Humanos de 21 de abril de 2017, considerando 28.</w:t>
      </w:r>
    </w:p>
  </w:footnote>
  <w:footnote w:id="2">
    <w:p w14:paraId="1A1F3266" w14:textId="6F7E982A" w:rsidR="00A17C8E" w:rsidRPr="00A17C8E" w:rsidRDefault="00A17C8E" w:rsidP="00A17C8E">
      <w:pPr>
        <w:pStyle w:val="Textonotapie"/>
        <w:tabs>
          <w:tab w:val="left" w:pos="567"/>
        </w:tabs>
        <w:jc w:val="both"/>
        <w:rPr>
          <w:rFonts w:ascii="Verdana" w:hAnsi="Verdana"/>
          <w:sz w:val="16"/>
          <w:szCs w:val="16"/>
          <w:lang w:val="es-CR"/>
        </w:rPr>
      </w:pPr>
      <w:r w:rsidRPr="00A17C8E">
        <w:rPr>
          <w:rStyle w:val="Refdenotaalpie"/>
          <w:rFonts w:ascii="Verdana" w:hAnsi="Verdana"/>
          <w:sz w:val="16"/>
          <w:szCs w:val="16"/>
        </w:rPr>
        <w:footnoteRef/>
      </w:r>
      <w:r w:rsidRPr="00A17C8E">
        <w:rPr>
          <w:rFonts w:ascii="Verdana" w:hAnsi="Verdana"/>
          <w:sz w:val="16"/>
          <w:szCs w:val="16"/>
          <w:lang w:val="es-CR"/>
        </w:rPr>
        <w:t xml:space="preserve"> </w:t>
      </w:r>
      <w:r>
        <w:rPr>
          <w:rFonts w:ascii="Verdana" w:hAnsi="Verdana"/>
          <w:sz w:val="16"/>
          <w:szCs w:val="16"/>
          <w:lang w:val="es-CR"/>
        </w:rPr>
        <w:tab/>
      </w:r>
      <w:r w:rsidRPr="00A17C8E">
        <w:rPr>
          <w:rFonts w:ascii="Verdana" w:hAnsi="Verdana"/>
          <w:i/>
          <w:sz w:val="16"/>
          <w:szCs w:val="16"/>
          <w:lang w:val="es-CR"/>
        </w:rPr>
        <w:t xml:space="preserve">Cfr. Caso Gabriela Perozo y otros Vs. Venezuela. </w:t>
      </w:r>
      <w:r w:rsidRPr="00B018EC">
        <w:rPr>
          <w:rFonts w:ascii="Verdana" w:hAnsi="Verdana"/>
          <w:sz w:val="16"/>
          <w:szCs w:val="16"/>
          <w:lang w:val="es-CR"/>
        </w:rPr>
        <w:t>Convocatoria a audiencia</w:t>
      </w:r>
      <w:r w:rsidRPr="00A17C8E">
        <w:rPr>
          <w:rFonts w:ascii="Verdana" w:hAnsi="Verdana"/>
          <w:sz w:val="16"/>
          <w:szCs w:val="16"/>
          <w:lang w:val="es-CR"/>
        </w:rPr>
        <w:t xml:space="preserve">. Resolución de la Corte Interamericana de Derechos Humanos de 2 de mayo de 2008, considerando 14, </w:t>
      </w:r>
      <w:r w:rsidRPr="00A17C8E">
        <w:rPr>
          <w:rFonts w:ascii="Verdana" w:hAnsi="Verdana"/>
          <w:i/>
          <w:sz w:val="16"/>
          <w:szCs w:val="16"/>
          <w:lang w:val="es-CR"/>
        </w:rPr>
        <w:t xml:space="preserve">y Caso Arrom Suhurt y otros Vs. Paraguay. </w:t>
      </w:r>
      <w:r w:rsidRPr="00B018EC">
        <w:rPr>
          <w:rFonts w:ascii="Verdana" w:hAnsi="Verdana"/>
          <w:sz w:val="16"/>
          <w:szCs w:val="16"/>
          <w:lang w:val="es-CR"/>
        </w:rPr>
        <w:t>Convocatoria a audiencia.</w:t>
      </w:r>
      <w:r w:rsidRPr="00A17C8E">
        <w:rPr>
          <w:rFonts w:ascii="Verdana" w:hAnsi="Verdana"/>
          <w:sz w:val="16"/>
          <w:szCs w:val="16"/>
          <w:lang w:val="es-CR"/>
        </w:rPr>
        <w:t xml:space="preserve"> Resolución del Presidente de la Corte Interamericana de Derechos Hum</w:t>
      </w:r>
      <w:r>
        <w:rPr>
          <w:rFonts w:ascii="Verdana" w:hAnsi="Verdana"/>
          <w:sz w:val="16"/>
          <w:szCs w:val="16"/>
          <w:lang w:val="es-CR"/>
        </w:rPr>
        <w:t>anos de 17 de diciembre de 2018, considerando 25.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A7CD33" w14:textId="6E9293A3" w:rsidR="00E20646" w:rsidRPr="001153FC" w:rsidRDefault="00E20646" w:rsidP="00065D1F">
    <w:pPr>
      <w:pStyle w:val="Encabezado"/>
      <w:tabs>
        <w:tab w:val="left" w:pos="5310"/>
      </w:tabs>
      <w:rPr>
        <w:rFonts w:ascii="Verdana" w:eastAsiaTheme="majorEastAsia" w:hAnsi="Verdana" w:cstheme="majorBidi"/>
        <w:sz w:val="20"/>
        <w:szCs w:val="20"/>
      </w:rPr>
    </w:pPr>
    <w:r>
      <w:rPr>
        <w:rFonts w:asciiTheme="majorHAnsi" w:eastAsiaTheme="majorEastAsia" w:hAnsiTheme="majorHAnsi" w:cstheme="majorBidi"/>
        <w:sz w:val="28"/>
        <w:szCs w:val="28"/>
      </w:rPr>
      <w:tab/>
    </w:r>
  </w:p>
  <w:p w14:paraId="2C7814BD" w14:textId="77777777" w:rsidR="00E20646" w:rsidRDefault="00E2064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B5A"/>
    <w:multiLevelType w:val="multilevel"/>
    <w:tmpl w:val="DD72E01A"/>
    <w:lvl w:ilvl="0">
      <w:start w:val="2"/>
      <w:numFmt w:val="decimal"/>
      <w:lvlText w:val="%1."/>
      <w:lvlJc w:val="left"/>
      <w:pPr>
        <w:ind w:left="450" w:hanging="360"/>
      </w:pPr>
      <w:rPr>
        <w:rFonts w:ascii="Verdana" w:hAnsi="Verdana" w:hint="default"/>
        <w:b w:val="0"/>
        <w:i w:val="0"/>
        <w:sz w:val="20"/>
        <w:szCs w:val="20"/>
      </w:rPr>
    </w:lvl>
    <w:lvl w:ilvl="1">
      <w:start w:val="1"/>
      <w:numFmt w:val="lowerLetter"/>
      <w:lvlText w:val="%2."/>
      <w:lvlJc w:val="left"/>
      <w:pPr>
        <w:ind w:left="1440" w:hanging="360"/>
      </w:pPr>
      <w:rPr>
        <w:rFonts w:hint="default"/>
        <w:b w:val="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15:restartNumberingAfterBreak="0">
    <w:nsid w:val="2A510D4F"/>
    <w:multiLevelType w:val="hybridMultilevel"/>
    <w:tmpl w:val="A2842F18"/>
    <w:lvl w:ilvl="0" w:tplc="13D4329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0A7AE1"/>
    <w:multiLevelType w:val="multilevel"/>
    <w:tmpl w:val="17BAA38C"/>
    <w:lvl w:ilvl="0">
      <w:start w:val="1"/>
      <w:numFmt w:val="decimal"/>
      <w:lvlText w:val="%1."/>
      <w:lvlJc w:val="left"/>
      <w:pPr>
        <w:ind w:left="720" w:hanging="360"/>
      </w:pPr>
      <w:rPr>
        <w:b w:val="0"/>
        <w:i w:val="0"/>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38404A"/>
    <w:multiLevelType w:val="hybridMultilevel"/>
    <w:tmpl w:val="484625C4"/>
    <w:lvl w:ilvl="0" w:tplc="43D0D0D0">
      <w:start w:val="1"/>
      <w:numFmt w:val="decimal"/>
      <w:lvlText w:val="%1."/>
      <w:lvlJc w:val="left"/>
      <w:pPr>
        <w:tabs>
          <w:tab w:val="num" w:pos="720"/>
        </w:tabs>
        <w:ind w:left="0" w:firstLine="0"/>
      </w:pPr>
      <w:rPr>
        <w:rFonts w:ascii="Verdana" w:hAnsi="Verdana" w:cs="Times New Roman" w:hint="default"/>
        <w:b w:val="0"/>
        <w:i w:val="0"/>
        <w:sz w:val="20"/>
      </w:rPr>
    </w:lvl>
    <w:lvl w:ilvl="1" w:tplc="00190409">
      <w:start w:val="1"/>
      <w:numFmt w:val="lowerLetter"/>
      <w:lvlText w:val="%2."/>
      <w:lvlJc w:val="left"/>
      <w:pPr>
        <w:tabs>
          <w:tab w:val="num" w:pos="1440"/>
        </w:tabs>
        <w:ind w:left="1440" w:hanging="360"/>
      </w:pPr>
      <w:rPr>
        <w:rFonts w:cs="Times New Roman"/>
      </w:rPr>
    </w:lvl>
    <w:lvl w:ilvl="2" w:tplc="001B0409">
      <w:start w:val="1"/>
      <w:numFmt w:val="lowerRoman"/>
      <w:lvlText w:val="%3."/>
      <w:lvlJc w:val="right"/>
      <w:pPr>
        <w:tabs>
          <w:tab w:val="num" w:pos="2160"/>
        </w:tabs>
        <w:ind w:left="2160" w:hanging="180"/>
      </w:pPr>
      <w:rPr>
        <w:rFonts w:cs="Times New Roman"/>
      </w:rPr>
    </w:lvl>
    <w:lvl w:ilvl="3" w:tplc="000F0409">
      <w:start w:val="1"/>
      <w:numFmt w:val="decimal"/>
      <w:lvlText w:val="%4."/>
      <w:lvlJc w:val="left"/>
      <w:pPr>
        <w:tabs>
          <w:tab w:val="num" w:pos="2880"/>
        </w:tabs>
        <w:ind w:left="2880" w:hanging="360"/>
      </w:pPr>
      <w:rPr>
        <w:rFonts w:cs="Times New Roman"/>
      </w:rPr>
    </w:lvl>
    <w:lvl w:ilvl="4" w:tplc="00190409">
      <w:start w:val="1"/>
      <w:numFmt w:val="lowerLetter"/>
      <w:lvlText w:val="%5."/>
      <w:lvlJc w:val="left"/>
      <w:pPr>
        <w:tabs>
          <w:tab w:val="num" w:pos="3600"/>
        </w:tabs>
        <w:ind w:left="3600" w:hanging="360"/>
      </w:pPr>
      <w:rPr>
        <w:rFonts w:cs="Times New Roman"/>
      </w:rPr>
    </w:lvl>
    <w:lvl w:ilvl="5" w:tplc="001B0409">
      <w:start w:val="1"/>
      <w:numFmt w:val="lowerRoman"/>
      <w:lvlText w:val="%6."/>
      <w:lvlJc w:val="right"/>
      <w:pPr>
        <w:tabs>
          <w:tab w:val="num" w:pos="4320"/>
        </w:tabs>
        <w:ind w:left="4320" w:hanging="180"/>
      </w:pPr>
      <w:rPr>
        <w:rFonts w:cs="Times New Roman"/>
      </w:rPr>
    </w:lvl>
    <w:lvl w:ilvl="6" w:tplc="000F0409">
      <w:start w:val="1"/>
      <w:numFmt w:val="decimal"/>
      <w:lvlText w:val="%7."/>
      <w:lvlJc w:val="left"/>
      <w:pPr>
        <w:tabs>
          <w:tab w:val="num" w:pos="5040"/>
        </w:tabs>
        <w:ind w:left="5040" w:hanging="360"/>
      </w:pPr>
      <w:rPr>
        <w:rFonts w:cs="Times New Roman"/>
      </w:rPr>
    </w:lvl>
    <w:lvl w:ilvl="7" w:tplc="00190409">
      <w:start w:val="1"/>
      <w:numFmt w:val="lowerLetter"/>
      <w:lvlText w:val="%8."/>
      <w:lvlJc w:val="left"/>
      <w:pPr>
        <w:tabs>
          <w:tab w:val="num" w:pos="5760"/>
        </w:tabs>
        <w:ind w:left="5760" w:hanging="360"/>
      </w:pPr>
      <w:rPr>
        <w:rFonts w:cs="Times New Roman"/>
      </w:rPr>
    </w:lvl>
    <w:lvl w:ilvl="8" w:tplc="001B0409">
      <w:start w:val="1"/>
      <w:numFmt w:val="lowerRoman"/>
      <w:lvlText w:val="%9."/>
      <w:lvlJc w:val="right"/>
      <w:pPr>
        <w:tabs>
          <w:tab w:val="num" w:pos="6480"/>
        </w:tabs>
        <w:ind w:left="6480" w:hanging="180"/>
      </w:pPr>
      <w:rPr>
        <w:rFonts w:cs="Times New Roman"/>
      </w:rPr>
    </w:lvl>
  </w:abstractNum>
  <w:abstractNum w:abstractNumId="4" w15:restartNumberingAfterBreak="0">
    <w:nsid w:val="4AB014D1"/>
    <w:multiLevelType w:val="hybridMultilevel"/>
    <w:tmpl w:val="D172C2C0"/>
    <w:lvl w:ilvl="0" w:tplc="A00A0B48">
      <w:start w:val="1"/>
      <w:numFmt w:val="upperLetter"/>
      <w:pStyle w:val="Ttulo"/>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5" w15:restartNumberingAfterBreak="0">
    <w:nsid w:val="547846BE"/>
    <w:multiLevelType w:val="multilevel"/>
    <w:tmpl w:val="1FDCAC94"/>
    <w:lvl w:ilvl="0">
      <w:start w:val="1"/>
      <w:numFmt w:val="decimal"/>
      <w:pStyle w:val="Sinespaciado"/>
      <w:lvlText w:val="%1."/>
      <w:lvlJc w:val="left"/>
      <w:pPr>
        <w:ind w:left="360" w:hanging="360"/>
      </w:pPr>
      <w:rPr>
        <w:rFonts w:ascii="Verdana" w:hAnsi="Verdana" w:hint="default"/>
        <w:b w:val="0"/>
        <w:i w:val="0"/>
        <w:sz w:val="20"/>
        <w:szCs w:val="20"/>
      </w:rPr>
    </w:lvl>
    <w:lvl w:ilvl="1">
      <w:start w:val="1"/>
      <w:numFmt w:val="lowerLetter"/>
      <w:lvlText w:val="%2."/>
      <w:lvlJc w:val="left"/>
      <w:pPr>
        <w:ind w:left="-2672" w:hanging="360"/>
      </w:pPr>
      <w:rPr>
        <w:rFonts w:hint="default"/>
        <w:b w:val="0"/>
      </w:rPr>
    </w:lvl>
    <w:lvl w:ilvl="2">
      <w:start w:val="1"/>
      <w:numFmt w:val="lowerRoman"/>
      <w:lvlText w:val="%3."/>
      <w:lvlJc w:val="right"/>
      <w:pPr>
        <w:ind w:left="-1952" w:hanging="180"/>
      </w:pPr>
      <w:rPr>
        <w:rFonts w:hint="default"/>
      </w:rPr>
    </w:lvl>
    <w:lvl w:ilvl="3">
      <w:start w:val="1"/>
      <w:numFmt w:val="decimal"/>
      <w:lvlText w:val="%4."/>
      <w:lvlJc w:val="left"/>
      <w:pPr>
        <w:ind w:left="-1232" w:hanging="360"/>
      </w:pPr>
      <w:rPr>
        <w:rFonts w:hint="default"/>
      </w:rPr>
    </w:lvl>
    <w:lvl w:ilvl="4">
      <w:start w:val="1"/>
      <w:numFmt w:val="lowerLetter"/>
      <w:lvlText w:val="%5."/>
      <w:lvlJc w:val="left"/>
      <w:pPr>
        <w:ind w:left="-512" w:hanging="360"/>
      </w:pPr>
      <w:rPr>
        <w:rFonts w:hint="default"/>
      </w:rPr>
    </w:lvl>
    <w:lvl w:ilvl="5">
      <w:start w:val="1"/>
      <w:numFmt w:val="lowerRoman"/>
      <w:lvlText w:val="%6."/>
      <w:lvlJc w:val="right"/>
      <w:pPr>
        <w:ind w:left="208" w:hanging="180"/>
      </w:pPr>
      <w:rPr>
        <w:rFonts w:hint="default"/>
      </w:rPr>
    </w:lvl>
    <w:lvl w:ilvl="6">
      <w:start w:val="1"/>
      <w:numFmt w:val="decimal"/>
      <w:lvlText w:val="%7."/>
      <w:lvlJc w:val="left"/>
      <w:pPr>
        <w:ind w:left="928" w:hanging="360"/>
      </w:pPr>
      <w:rPr>
        <w:rFonts w:hint="default"/>
      </w:rPr>
    </w:lvl>
    <w:lvl w:ilvl="7">
      <w:start w:val="1"/>
      <w:numFmt w:val="lowerLetter"/>
      <w:lvlText w:val="%8."/>
      <w:lvlJc w:val="left"/>
      <w:pPr>
        <w:ind w:left="1648" w:hanging="360"/>
      </w:pPr>
      <w:rPr>
        <w:rFonts w:hint="default"/>
      </w:rPr>
    </w:lvl>
    <w:lvl w:ilvl="8">
      <w:start w:val="1"/>
      <w:numFmt w:val="lowerRoman"/>
      <w:lvlText w:val="%9."/>
      <w:lvlJc w:val="right"/>
      <w:pPr>
        <w:ind w:left="2368" w:hanging="180"/>
      </w:pPr>
      <w:rPr>
        <w:rFonts w:hint="default"/>
      </w:rPr>
    </w:lvl>
  </w:abstractNum>
  <w:abstractNum w:abstractNumId="6" w15:restartNumberingAfterBreak="0">
    <w:nsid w:val="5A303509"/>
    <w:multiLevelType w:val="hybridMultilevel"/>
    <w:tmpl w:val="82F694C2"/>
    <w:lvl w:ilvl="0" w:tplc="ED9C0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DDB6DC6"/>
    <w:multiLevelType w:val="hybridMultilevel"/>
    <w:tmpl w:val="1C764FCC"/>
    <w:lvl w:ilvl="0" w:tplc="D6367428">
      <w:start w:val="1"/>
      <w:numFmt w:val="decimal"/>
      <w:lvlText w:val="%1."/>
      <w:lvlJc w:val="left"/>
      <w:pPr>
        <w:ind w:left="360" w:hanging="360"/>
      </w:pPr>
      <w:rPr>
        <w:rFonts w:ascii="Verdana" w:hAnsi="Verdana" w:hint="default"/>
        <w:b w:val="0"/>
        <w:i w:val="0"/>
        <w:color w:val="auto"/>
        <w:sz w:val="20"/>
        <w:szCs w:val="20"/>
        <w:lang w:val="es-CR"/>
      </w:rPr>
    </w:lvl>
    <w:lvl w:ilvl="1" w:tplc="04090019">
      <w:start w:val="1"/>
      <w:numFmt w:val="lowerLetter"/>
      <w:lvlText w:val="%2."/>
      <w:lvlJc w:val="left"/>
      <w:pPr>
        <w:ind w:left="450" w:hanging="360"/>
      </w:pPr>
    </w:lvl>
    <w:lvl w:ilvl="2" w:tplc="0409001B">
      <w:start w:val="1"/>
      <w:numFmt w:val="lowerRoman"/>
      <w:lvlText w:val="%3."/>
      <w:lvlJc w:val="right"/>
      <w:pPr>
        <w:ind w:left="1170" w:hanging="180"/>
      </w:pPr>
    </w:lvl>
    <w:lvl w:ilvl="3" w:tplc="0409000F">
      <w:start w:val="1"/>
      <w:numFmt w:val="decimal"/>
      <w:lvlText w:val="%4."/>
      <w:lvlJc w:val="left"/>
      <w:pPr>
        <w:ind w:left="1890" w:hanging="360"/>
      </w:pPr>
    </w:lvl>
    <w:lvl w:ilvl="4" w:tplc="04090019">
      <w:start w:val="1"/>
      <w:numFmt w:val="lowerLetter"/>
      <w:lvlText w:val="%5."/>
      <w:lvlJc w:val="left"/>
      <w:pPr>
        <w:ind w:left="2610" w:hanging="360"/>
      </w:pPr>
    </w:lvl>
    <w:lvl w:ilvl="5" w:tplc="0409001B">
      <w:start w:val="1"/>
      <w:numFmt w:val="lowerRoman"/>
      <w:lvlText w:val="%6."/>
      <w:lvlJc w:val="right"/>
      <w:pPr>
        <w:ind w:left="3330" w:hanging="180"/>
      </w:pPr>
    </w:lvl>
    <w:lvl w:ilvl="6" w:tplc="0409000F">
      <w:start w:val="1"/>
      <w:numFmt w:val="decimal"/>
      <w:lvlText w:val="%7."/>
      <w:lvlJc w:val="left"/>
      <w:pPr>
        <w:ind w:left="4050" w:hanging="360"/>
      </w:pPr>
    </w:lvl>
    <w:lvl w:ilvl="7" w:tplc="04090019">
      <w:start w:val="1"/>
      <w:numFmt w:val="lowerLetter"/>
      <w:lvlText w:val="%8."/>
      <w:lvlJc w:val="left"/>
      <w:pPr>
        <w:ind w:left="4770" w:hanging="360"/>
      </w:pPr>
    </w:lvl>
    <w:lvl w:ilvl="8" w:tplc="0409001B">
      <w:start w:val="1"/>
      <w:numFmt w:val="lowerRoman"/>
      <w:lvlText w:val="%9."/>
      <w:lvlJc w:val="right"/>
      <w:pPr>
        <w:ind w:left="5490" w:hanging="180"/>
      </w:pPr>
    </w:lvl>
  </w:abstractNum>
  <w:abstractNum w:abstractNumId="8" w15:restartNumberingAfterBreak="0">
    <w:nsid w:val="5EC27779"/>
    <w:multiLevelType w:val="multilevel"/>
    <w:tmpl w:val="9516CFFA"/>
    <w:lvl w:ilvl="0">
      <w:start w:val="1"/>
      <w:numFmt w:val="decimal"/>
      <w:lvlText w:val="%1."/>
      <w:lvlJc w:val="left"/>
      <w:pPr>
        <w:tabs>
          <w:tab w:val="num" w:pos="360"/>
        </w:tabs>
        <w:ind w:left="360" w:hanging="360"/>
      </w:pPr>
      <w:rPr>
        <w:rFonts w:hint="default"/>
        <w:b w:val="0"/>
        <w:i w:val="0"/>
        <w:sz w:val="20"/>
        <w:szCs w:val="20"/>
        <w:lang w:val="es-CR"/>
      </w:rPr>
    </w:lvl>
    <w:lvl w:ilvl="1">
      <w:start w:val="1"/>
      <w:numFmt w:val="lowerLetter"/>
      <w:lvlText w:val="%2)"/>
      <w:lvlJc w:val="left"/>
      <w:pPr>
        <w:tabs>
          <w:tab w:val="num" w:pos="720"/>
        </w:tabs>
        <w:ind w:left="720" w:hanging="360"/>
      </w:pPr>
      <w:rPr>
        <w:rFonts w:ascii="Verdana" w:hAnsi="Verdana" w:hint="default"/>
        <w:b w:val="0"/>
        <w:i/>
        <w:sz w:val="20"/>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54A6163"/>
    <w:multiLevelType w:val="hybridMultilevel"/>
    <w:tmpl w:val="F4F63860"/>
    <w:lvl w:ilvl="0" w:tplc="140A0015">
      <w:start w:val="2"/>
      <w:numFmt w:val="upperLetter"/>
      <w:lvlText w:val="%1."/>
      <w:lvlJc w:val="left"/>
      <w:pPr>
        <w:ind w:left="1068" w:hanging="36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1"/>
  </w:num>
  <w:num w:numId="4">
    <w:abstractNumId w:val="0"/>
  </w:num>
  <w:num w:numId="5">
    <w:abstractNumId w:val="6"/>
  </w:num>
  <w:num w:numId="6">
    <w:abstractNumId w:va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4"/>
    <w:lvlOverride w:ilvl="0">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5570"/>
    <w:rsid w:val="000106CC"/>
    <w:rsid w:val="00036AE6"/>
    <w:rsid w:val="00037B5A"/>
    <w:rsid w:val="00062046"/>
    <w:rsid w:val="00062766"/>
    <w:rsid w:val="000651BC"/>
    <w:rsid w:val="00065D1F"/>
    <w:rsid w:val="000663DD"/>
    <w:rsid w:val="00070426"/>
    <w:rsid w:val="00097988"/>
    <w:rsid w:val="000A3D01"/>
    <w:rsid w:val="000A4E24"/>
    <w:rsid w:val="000D5AA5"/>
    <w:rsid w:val="000F1358"/>
    <w:rsid w:val="000F4155"/>
    <w:rsid w:val="000F73DD"/>
    <w:rsid w:val="001034D5"/>
    <w:rsid w:val="001101F1"/>
    <w:rsid w:val="00126300"/>
    <w:rsid w:val="001265CB"/>
    <w:rsid w:val="00135570"/>
    <w:rsid w:val="00174A96"/>
    <w:rsid w:val="00177E9E"/>
    <w:rsid w:val="00192545"/>
    <w:rsid w:val="001D5A5F"/>
    <w:rsid w:val="001D787E"/>
    <w:rsid w:val="00214AAB"/>
    <w:rsid w:val="002378A9"/>
    <w:rsid w:val="00237AA6"/>
    <w:rsid w:val="00245360"/>
    <w:rsid w:val="00253D5D"/>
    <w:rsid w:val="00256F70"/>
    <w:rsid w:val="002800F8"/>
    <w:rsid w:val="00284397"/>
    <w:rsid w:val="002943C6"/>
    <w:rsid w:val="00297163"/>
    <w:rsid w:val="002B7552"/>
    <w:rsid w:val="002C31D9"/>
    <w:rsid w:val="002C4A69"/>
    <w:rsid w:val="002C5449"/>
    <w:rsid w:val="00307203"/>
    <w:rsid w:val="00310614"/>
    <w:rsid w:val="00316264"/>
    <w:rsid w:val="00327397"/>
    <w:rsid w:val="00331386"/>
    <w:rsid w:val="003579A8"/>
    <w:rsid w:val="00361F06"/>
    <w:rsid w:val="00366FFA"/>
    <w:rsid w:val="003B35EA"/>
    <w:rsid w:val="003D4B50"/>
    <w:rsid w:val="003E2BF4"/>
    <w:rsid w:val="003E3C19"/>
    <w:rsid w:val="004007C4"/>
    <w:rsid w:val="004034EC"/>
    <w:rsid w:val="004178B5"/>
    <w:rsid w:val="00420DA3"/>
    <w:rsid w:val="004336D6"/>
    <w:rsid w:val="0043743A"/>
    <w:rsid w:val="004609BE"/>
    <w:rsid w:val="004A725B"/>
    <w:rsid w:val="004B676B"/>
    <w:rsid w:val="004C0997"/>
    <w:rsid w:val="004E649F"/>
    <w:rsid w:val="005028A0"/>
    <w:rsid w:val="00503C0F"/>
    <w:rsid w:val="0051438A"/>
    <w:rsid w:val="00547419"/>
    <w:rsid w:val="00554B48"/>
    <w:rsid w:val="0055526F"/>
    <w:rsid w:val="00595BE7"/>
    <w:rsid w:val="005A4F8A"/>
    <w:rsid w:val="00601A65"/>
    <w:rsid w:val="006379B1"/>
    <w:rsid w:val="0068453D"/>
    <w:rsid w:val="006B0C30"/>
    <w:rsid w:val="006B4FAF"/>
    <w:rsid w:val="006D0331"/>
    <w:rsid w:val="006D0FFB"/>
    <w:rsid w:val="006E4FBD"/>
    <w:rsid w:val="006F70B8"/>
    <w:rsid w:val="00712D31"/>
    <w:rsid w:val="00724E09"/>
    <w:rsid w:val="007278BE"/>
    <w:rsid w:val="0073444A"/>
    <w:rsid w:val="00735F12"/>
    <w:rsid w:val="00746C17"/>
    <w:rsid w:val="00753862"/>
    <w:rsid w:val="0076146A"/>
    <w:rsid w:val="00767D85"/>
    <w:rsid w:val="0078105F"/>
    <w:rsid w:val="007A559C"/>
    <w:rsid w:val="007B7800"/>
    <w:rsid w:val="007C2810"/>
    <w:rsid w:val="007D13BB"/>
    <w:rsid w:val="007D264B"/>
    <w:rsid w:val="00803D9E"/>
    <w:rsid w:val="00843073"/>
    <w:rsid w:val="00863303"/>
    <w:rsid w:val="00872082"/>
    <w:rsid w:val="0088532E"/>
    <w:rsid w:val="008924D6"/>
    <w:rsid w:val="0089666B"/>
    <w:rsid w:val="008D31F5"/>
    <w:rsid w:val="008E724B"/>
    <w:rsid w:val="00937248"/>
    <w:rsid w:val="00940AEF"/>
    <w:rsid w:val="00987FA6"/>
    <w:rsid w:val="00995027"/>
    <w:rsid w:val="009A32D3"/>
    <w:rsid w:val="009D4036"/>
    <w:rsid w:val="009E6EAD"/>
    <w:rsid w:val="00A039E3"/>
    <w:rsid w:val="00A1613C"/>
    <w:rsid w:val="00A17C8E"/>
    <w:rsid w:val="00A24C95"/>
    <w:rsid w:val="00A27175"/>
    <w:rsid w:val="00A51FAC"/>
    <w:rsid w:val="00A7654A"/>
    <w:rsid w:val="00A835C1"/>
    <w:rsid w:val="00A86ABC"/>
    <w:rsid w:val="00AC2000"/>
    <w:rsid w:val="00AC6737"/>
    <w:rsid w:val="00AD38FA"/>
    <w:rsid w:val="00AD5653"/>
    <w:rsid w:val="00AF0DED"/>
    <w:rsid w:val="00B018EC"/>
    <w:rsid w:val="00B02800"/>
    <w:rsid w:val="00B06127"/>
    <w:rsid w:val="00B07F7A"/>
    <w:rsid w:val="00B25682"/>
    <w:rsid w:val="00B84262"/>
    <w:rsid w:val="00BA340A"/>
    <w:rsid w:val="00BD4C27"/>
    <w:rsid w:val="00BF0FC1"/>
    <w:rsid w:val="00BF4DBB"/>
    <w:rsid w:val="00C0514C"/>
    <w:rsid w:val="00C56AF2"/>
    <w:rsid w:val="00C645D8"/>
    <w:rsid w:val="00C665BA"/>
    <w:rsid w:val="00C95019"/>
    <w:rsid w:val="00CA7330"/>
    <w:rsid w:val="00CB1388"/>
    <w:rsid w:val="00CB5DEE"/>
    <w:rsid w:val="00CC06BF"/>
    <w:rsid w:val="00CF39E0"/>
    <w:rsid w:val="00D00000"/>
    <w:rsid w:val="00D145AB"/>
    <w:rsid w:val="00D21584"/>
    <w:rsid w:val="00D4522A"/>
    <w:rsid w:val="00D567EF"/>
    <w:rsid w:val="00D67058"/>
    <w:rsid w:val="00D671F5"/>
    <w:rsid w:val="00D74A57"/>
    <w:rsid w:val="00DC0447"/>
    <w:rsid w:val="00DC6012"/>
    <w:rsid w:val="00DD4161"/>
    <w:rsid w:val="00DE6A5F"/>
    <w:rsid w:val="00E06066"/>
    <w:rsid w:val="00E11F2D"/>
    <w:rsid w:val="00E20646"/>
    <w:rsid w:val="00E467E8"/>
    <w:rsid w:val="00E47C5C"/>
    <w:rsid w:val="00E54B22"/>
    <w:rsid w:val="00E731F9"/>
    <w:rsid w:val="00E732D7"/>
    <w:rsid w:val="00E84A73"/>
    <w:rsid w:val="00EA0522"/>
    <w:rsid w:val="00ED5E6F"/>
    <w:rsid w:val="00EE4153"/>
    <w:rsid w:val="00F242F9"/>
    <w:rsid w:val="00F50301"/>
    <w:rsid w:val="00F563AD"/>
    <w:rsid w:val="00F65A57"/>
    <w:rsid w:val="00F739EB"/>
    <w:rsid w:val="00F872F7"/>
    <w:rsid w:val="00F94817"/>
    <w:rsid w:val="00FC6617"/>
    <w:rsid w:val="00FD15A2"/>
    <w:rsid w:val="00FD4B6F"/>
    <w:rsid w:val="00FE673C"/>
    <w:rsid w:val="00FF5A5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41253"/>
  <w15:docId w15:val="{4C1B85D2-DBEB-48F5-892E-5E3F96F3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5570"/>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35570"/>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135570"/>
    <w:rPr>
      <w:lang w:val="en-US"/>
    </w:rPr>
  </w:style>
  <w:style w:type="paragraph" w:styleId="Prrafodelista">
    <w:name w:val="List Paragraph"/>
    <w:aliases w:val="Footnote,List Paragraph2,Lista vistosa - Énfasis 11,Párrafo de lista1,List Paragraph1,Colorful List - Accent 11"/>
    <w:basedOn w:val="Normal"/>
    <w:link w:val="PrrafodelistaCar"/>
    <w:uiPriority w:val="99"/>
    <w:qFormat/>
    <w:rsid w:val="00135570"/>
    <w:pPr>
      <w:ind w:left="720"/>
      <w:contextualSpacing/>
    </w:pPr>
  </w:style>
  <w:style w:type="paragraph" w:customStyle="1" w:styleId="Normal1">
    <w:name w:val="Normal1"/>
    <w:rsid w:val="00135570"/>
    <w:pPr>
      <w:widowControl w:val="0"/>
      <w:spacing w:after="0" w:line="240" w:lineRule="auto"/>
    </w:pPr>
    <w:rPr>
      <w:rFonts w:ascii="Times New Roman" w:eastAsia="Times New Roman" w:hAnsi="Times New Roman" w:cs="Times New Roman"/>
      <w:sz w:val="24"/>
      <w:szCs w:val="24"/>
      <w:lang w:val="es-CR"/>
    </w:rPr>
  </w:style>
  <w:style w:type="paragraph" w:styleId="Textonotapie">
    <w:name w:val="footnote text"/>
    <w:aliases w:val="Footnote reference,FA Fu,Footnote Text Char Char Char Char Char,Footnote Text Char Char Char Char,Footnote Text Char Char Char,Footnote Text Cha,FA Fußnotentext,FA Fuﬂnotentext,Footnote Text Char Char,FA Fu?notentext,Ca,FA Fu Car Car"/>
    <w:basedOn w:val="Normal"/>
    <w:link w:val="TextonotapieCar"/>
    <w:uiPriority w:val="99"/>
    <w:unhideWhenUsed/>
    <w:qFormat/>
    <w:rsid w:val="00135570"/>
    <w:pPr>
      <w:spacing w:after="0" w:line="240" w:lineRule="auto"/>
    </w:pPr>
    <w:rPr>
      <w:sz w:val="20"/>
      <w:szCs w:val="20"/>
    </w:rPr>
  </w:style>
  <w:style w:type="character" w:customStyle="1" w:styleId="TextonotapieCar">
    <w:name w:val="Texto nota pie Car"/>
    <w:aliases w:val="Footnote reference Car,FA Fu Car,Footnote Text Char Char Char Char Char Car,Footnote Text Char Char Char Char Car,Footnote Text Char Char Char Car,Footnote Text Cha Car,FA Fußnotentext Car,FA Fuﬂnotentext Car,FA Fu?notentext Car"/>
    <w:basedOn w:val="Fuentedeprrafopredeter"/>
    <w:link w:val="Textonotapie"/>
    <w:uiPriority w:val="99"/>
    <w:qFormat/>
    <w:rsid w:val="00135570"/>
    <w:rPr>
      <w:sz w:val="20"/>
      <w:szCs w:val="20"/>
      <w:lang w:val="en-US"/>
    </w:rPr>
  </w:style>
  <w:style w:type="character" w:styleId="Refdenotaalpie">
    <w:name w:val="footnote reference"/>
    <w:aliases w:val="Texto de nota al pie,Footnotes refss,Appel note de bas de page,Footnote number,referencia nota al pie,BVI fnr,f,4_G,16 Point,Superscript 6 Point,Footnote Reference Char3,Footnote Reference Char1 Char,Footnote Reference Char Char Char"/>
    <w:basedOn w:val="Fuentedeprrafopredeter"/>
    <w:link w:val="4GChar"/>
    <w:uiPriority w:val="99"/>
    <w:unhideWhenUsed/>
    <w:qFormat/>
    <w:rsid w:val="00135570"/>
    <w:rPr>
      <w:vertAlign w:val="superscript"/>
    </w:rPr>
  </w:style>
  <w:style w:type="character" w:customStyle="1" w:styleId="PrrafodelistaCar">
    <w:name w:val="Párrafo de lista Car"/>
    <w:aliases w:val="Footnote Car,List Paragraph2 Car,Lista vistosa - Énfasis 11 Car,Párrafo de lista1 Car,List Paragraph1 Car,Colorful List - Accent 11 Car"/>
    <w:link w:val="Prrafodelista"/>
    <w:uiPriority w:val="34"/>
    <w:locked/>
    <w:rsid w:val="00135570"/>
    <w:rPr>
      <w:lang w:val="en-US"/>
    </w:rPr>
  </w:style>
  <w:style w:type="paragraph" w:styleId="Sinespaciado">
    <w:name w:val="No Spacing"/>
    <w:basedOn w:val="Normal1"/>
    <w:uiPriority w:val="1"/>
    <w:qFormat/>
    <w:rsid w:val="000D5AA5"/>
    <w:pPr>
      <w:widowControl/>
      <w:numPr>
        <w:numId w:val="2"/>
      </w:numPr>
      <w:ind w:left="0" w:firstLine="0"/>
      <w:contextualSpacing/>
      <w:jc w:val="both"/>
    </w:pPr>
    <w:rPr>
      <w:rFonts w:ascii="Verdana" w:hAnsi="Verdana"/>
      <w:sz w:val="20"/>
      <w:szCs w:val="20"/>
    </w:rPr>
  </w:style>
  <w:style w:type="character" w:styleId="Textoennegrita">
    <w:name w:val="Strong"/>
    <w:basedOn w:val="Fuentedeprrafopredeter"/>
    <w:uiPriority w:val="22"/>
    <w:qFormat/>
    <w:rsid w:val="00B06127"/>
    <w:rPr>
      <w:b/>
      <w:bCs/>
    </w:rPr>
  </w:style>
  <w:style w:type="paragraph" w:styleId="Ttulo">
    <w:name w:val="Title"/>
    <w:basedOn w:val="Prrafodelista"/>
    <w:next w:val="Normal"/>
    <w:link w:val="TtuloCar"/>
    <w:uiPriority w:val="10"/>
    <w:qFormat/>
    <w:rsid w:val="00E11F2D"/>
    <w:pPr>
      <w:numPr>
        <w:numId w:val="9"/>
      </w:numPr>
    </w:pPr>
    <w:rPr>
      <w:rFonts w:ascii="Verdana" w:hAnsi="Verdana"/>
      <w:b/>
      <w:i/>
      <w:sz w:val="20"/>
      <w:szCs w:val="20"/>
      <w:lang w:val="es-CR"/>
    </w:rPr>
  </w:style>
  <w:style w:type="character" w:customStyle="1" w:styleId="TtuloCar">
    <w:name w:val="Título Car"/>
    <w:basedOn w:val="Fuentedeprrafopredeter"/>
    <w:link w:val="Ttulo"/>
    <w:uiPriority w:val="10"/>
    <w:rsid w:val="00E11F2D"/>
    <w:rPr>
      <w:rFonts w:ascii="Verdana" w:hAnsi="Verdana"/>
      <w:b/>
      <w:i/>
      <w:sz w:val="20"/>
      <w:szCs w:val="20"/>
      <w:lang w:val="es-CR"/>
    </w:rPr>
  </w:style>
  <w:style w:type="character" w:styleId="Refdecomentario">
    <w:name w:val="annotation reference"/>
    <w:basedOn w:val="Fuentedeprrafopredeter"/>
    <w:uiPriority w:val="99"/>
    <w:semiHidden/>
    <w:unhideWhenUsed/>
    <w:rsid w:val="00D00000"/>
    <w:rPr>
      <w:sz w:val="16"/>
      <w:szCs w:val="16"/>
    </w:rPr>
  </w:style>
  <w:style w:type="paragraph" w:styleId="Textocomentario">
    <w:name w:val="annotation text"/>
    <w:basedOn w:val="Normal"/>
    <w:link w:val="TextocomentarioCar"/>
    <w:uiPriority w:val="99"/>
    <w:semiHidden/>
    <w:unhideWhenUsed/>
    <w:rsid w:val="00D0000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0000"/>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D00000"/>
    <w:rPr>
      <w:b/>
      <w:bCs/>
    </w:rPr>
  </w:style>
  <w:style w:type="character" w:customStyle="1" w:styleId="AsuntodelcomentarioCar">
    <w:name w:val="Asunto del comentario Car"/>
    <w:basedOn w:val="TextocomentarioCar"/>
    <w:link w:val="Asuntodelcomentario"/>
    <w:uiPriority w:val="99"/>
    <w:semiHidden/>
    <w:rsid w:val="00D00000"/>
    <w:rPr>
      <w:b/>
      <w:bCs/>
      <w:sz w:val="20"/>
      <w:szCs w:val="20"/>
      <w:lang w:val="en-US"/>
    </w:rPr>
  </w:style>
  <w:style w:type="paragraph" w:styleId="Textodeglobo">
    <w:name w:val="Balloon Text"/>
    <w:basedOn w:val="Normal"/>
    <w:link w:val="TextodegloboCar"/>
    <w:uiPriority w:val="99"/>
    <w:semiHidden/>
    <w:unhideWhenUsed/>
    <w:rsid w:val="00D0000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0000"/>
    <w:rPr>
      <w:rFonts w:ascii="Segoe UI" w:hAnsi="Segoe UI" w:cs="Segoe UI"/>
      <w:sz w:val="18"/>
      <w:szCs w:val="18"/>
      <w:lang w:val="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D567EF"/>
    <w:pPr>
      <w:spacing w:after="0" w:line="240" w:lineRule="auto"/>
      <w:jc w:val="both"/>
    </w:pPr>
    <w:rPr>
      <w:vertAlign w:val="superscript"/>
      <w:lang w:val="es-MX"/>
    </w:rPr>
  </w:style>
  <w:style w:type="paragraph" w:styleId="Piedepgina">
    <w:name w:val="footer"/>
    <w:basedOn w:val="Normal"/>
    <w:link w:val="PiedepginaCar"/>
    <w:uiPriority w:val="99"/>
    <w:unhideWhenUsed/>
    <w:rsid w:val="00BF4D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4DB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1771468">
      <w:bodyDiv w:val="1"/>
      <w:marLeft w:val="0"/>
      <w:marRight w:val="0"/>
      <w:marTop w:val="0"/>
      <w:marBottom w:val="0"/>
      <w:divBdr>
        <w:top w:val="none" w:sz="0" w:space="0" w:color="auto"/>
        <w:left w:val="none" w:sz="0" w:space="0" w:color="auto"/>
        <w:bottom w:val="none" w:sz="0" w:space="0" w:color="auto"/>
        <w:right w:val="none" w:sz="0" w:space="0" w:color="auto"/>
      </w:divBdr>
    </w:div>
    <w:div w:id="980187552">
      <w:bodyDiv w:val="1"/>
      <w:marLeft w:val="0"/>
      <w:marRight w:val="0"/>
      <w:marTop w:val="0"/>
      <w:marBottom w:val="0"/>
      <w:divBdr>
        <w:top w:val="none" w:sz="0" w:space="0" w:color="auto"/>
        <w:left w:val="none" w:sz="0" w:space="0" w:color="auto"/>
        <w:bottom w:val="none" w:sz="0" w:space="0" w:color="auto"/>
        <w:right w:val="none" w:sz="0" w:space="0" w:color="auto"/>
      </w:divBdr>
    </w:div>
    <w:div w:id="1271817200">
      <w:bodyDiv w:val="1"/>
      <w:marLeft w:val="0"/>
      <w:marRight w:val="0"/>
      <w:marTop w:val="0"/>
      <w:marBottom w:val="0"/>
      <w:divBdr>
        <w:top w:val="none" w:sz="0" w:space="0" w:color="auto"/>
        <w:left w:val="none" w:sz="0" w:space="0" w:color="auto"/>
        <w:bottom w:val="none" w:sz="0" w:space="0" w:color="auto"/>
        <w:right w:val="none" w:sz="0" w:space="0" w:color="auto"/>
      </w:divBdr>
    </w:div>
    <w:div w:id="1429735715">
      <w:bodyDiv w:val="1"/>
      <w:marLeft w:val="0"/>
      <w:marRight w:val="0"/>
      <w:marTop w:val="0"/>
      <w:marBottom w:val="0"/>
      <w:divBdr>
        <w:top w:val="none" w:sz="0" w:space="0" w:color="auto"/>
        <w:left w:val="none" w:sz="0" w:space="0" w:color="auto"/>
        <w:bottom w:val="none" w:sz="0" w:space="0" w:color="auto"/>
        <w:right w:val="none" w:sz="0" w:space="0" w:color="auto"/>
      </w:divBdr>
    </w:div>
    <w:div w:id="1704672269">
      <w:bodyDiv w:val="1"/>
      <w:marLeft w:val="0"/>
      <w:marRight w:val="0"/>
      <w:marTop w:val="0"/>
      <w:marBottom w:val="0"/>
      <w:divBdr>
        <w:top w:val="none" w:sz="0" w:space="0" w:color="auto"/>
        <w:left w:val="none" w:sz="0" w:space="0" w:color="auto"/>
        <w:bottom w:val="none" w:sz="0" w:space="0" w:color="auto"/>
        <w:right w:val="none" w:sz="0" w:space="0" w:color="auto"/>
      </w:divBdr>
    </w:div>
    <w:div w:id="2068868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481ADE-15AF-4A5B-A8F2-C619A4FA8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2422</Words>
  <Characters>13327</Characters>
  <Application>Microsoft Office Word</Application>
  <DocSecurity>4</DocSecurity>
  <Lines>111</Lines>
  <Paragraphs>31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2</cp:revision>
  <cp:lastPrinted>2019-12-18T14:42:00Z</cp:lastPrinted>
  <dcterms:created xsi:type="dcterms:W3CDTF">2019-12-18T14:44:00Z</dcterms:created>
  <dcterms:modified xsi:type="dcterms:W3CDTF">2019-12-18T14:44:00Z</dcterms:modified>
</cp:coreProperties>
</file>