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68" w:rsidRDefault="00332068" w:rsidP="00332068">
      <w:pPr>
        <w:pStyle w:val="Title"/>
        <w:rPr>
          <w:lang w:val="es-ES_tradnl"/>
        </w:rPr>
      </w:pPr>
    </w:p>
    <w:p w:rsidR="00293392" w:rsidRDefault="00293392" w:rsidP="00332068">
      <w:pPr>
        <w:pStyle w:val="Title"/>
        <w:rPr>
          <w:lang w:val="es-ES_tradnl"/>
        </w:rPr>
      </w:pPr>
    </w:p>
    <w:p w:rsidR="00293392" w:rsidRDefault="00293392" w:rsidP="00332068">
      <w:pPr>
        <w:pStyle w:val="Title"/>
        <w:rPr>
          <w:lang w:val="es-ES_tradnl"/>
        </w:rPr>
      </w:pPr>
    </w:p>
    <w:p w:rsidR="00293392" w:rsidRDefault="00293392" w:rsidP="00332068">
      <w:pPr>
        <w:pStyle w:val="Title"/>
        <w:rPr>
          <w:lang w:val="es-ES_tradnl"/>
        </w:rPr>
      </w:pPr>
    </w:p>
    <w:p w:rsidR="00293392" w:rsidRDefault="00293392" w:rsidP="00332068">
      <w:pPr>
        <w:pStyle w:val="Title"/>
        <w:rPr>
          <w:lang w:val="es-ES_tradnl"/>
        </w:rPr>
      </w:pPr>
    </w:p>
    <w:p w:rsidR="00332068" w:rsidRDefault="00332068" w:rsidP="00332068">
      <w:pPr>
        <w:pStyle w:val="Title"/>
        <w:rPr>
          <w:lang w:val="es-ES_tradnl"/>
        </w:rPr>
      </w:pPr>
    </w:p>
    <w:p w:rsidR="00293392" w:rsidRDefault="00293392" w:rsidP="00332068">
      <w:pPr>
        <w:pStyle w:val="Title"/>
        <w:rPr>
          <w:lang w:val="es-ES_tradnl"/>
        </w:rPr>
      </w:pPr>
    </w:p>
    <w:p w:rsidR="00332068" w:rsidRDefault="00332068" w:rsidP="00332068">
      <w:pPr>
        <w:pStyle w:val="Title"/>
        <w:rPr>
          <w:lang w:val="es-ES_tradnl"/>
        </w:rPr>
      </w:pPr>
    </w:p>
    <w:p w:rsidR="00332068" w:rsidRPr="004D1DBF" w:rsidRDefault="00332068" w:rsidP="00332068">
      <w:pPr>
        <w:pStyle w:val="Title"/>
        <w:rPr>
          <w:lang w:val="es-ES_tradnl"/>
        </w:rPr>
      </w:pPr>
      <w:r w:rsidRPr="004D1DBF">
        <w:rPr>
          <w:lang w:val="es-ES_tradnl"/>
        </w:rPr>
        <w:t>RESOLUCIÓN DEL PRESIDENTE DE LA</w:t>
      </w:r>
    </w:p>
    <w:p w:rsidR="00332068" w:rsidRPr="004D1DBF" w:rsidRDefault="00332068" w:rsidP="00332068">
      <w:pPr>
        <w:jc w:val="center"/>
        <w:rPr>
          <w:rFonts w:ascii="Verdana" w:hAnsi="Verdana" w:cs="Verdana"/>
          <w:sz w:val="20"/>
          <w:szCs w:val="20"/>
          <w:lang w:val="es-ES_tradnl"/>
        </w:rPr>
      </w:pPr>
      <w:r w:rsidRPr="004D1DBF">
        <w:rPr>
          <w:rFonts w:ascii="Verdana" w:hAnsi="Verdana" w:cs="Verdana"/>
          <w:b/>
          <w:bCs/>
          <w:smallCaps/>
          <w:sz w:val="20"/>
          <w:szCs w:val="20"/>
          <w:lang w:val="es-ES_tradnl"/>
        </w:rPr>
        <w:t>CORTE INTERAMERICANA DE DERECHOS HUMANOS</w:t>
      </w:r>
    </w:p>
    <w:p w:rsidR="00332068" w:rsidRPr="004D1DBF" w:rsidRDefault="00332068" w:rsidP="00332068">
      <w:pPr>
        <w:rPr>
          <w:rFonts w:ascii="Verdana" w:hAnsi="Verdana" w:cs="Verdana"/>
          <w:b/>
          <w:bCs/>
          <w:smallCaps/>
          <w:sz w:val="20"/>
          <w:szCs w:val="20"/>
          <w:lang w:val="es-ES_tradnl"/>
        </w:rPr>
      </w:pPr>
    </w:p>
    <w:p w:rsidR="00332068" w:rsidRPr="004D1DBF" w:rsidRDefault="00332068" w:rsidP="00332068">
      <w:pPr>
        <w:jc w:val="center"/>
        <w:rPr>
          <w:rFonts w:ascii="Verdana" w:hAnsi="Verdana" w:cs="Verdana"/>
          <w:b/>
          <w:bCs/>
          <w:smallCaps/>
          <w:sz w:val="20"/>
          <w:szCs w:val="20"/>
          <w:lang w:val="es-ES_tradnl"/>
        </w:rPr>
      </w:pPr>
      <w:r>
        <w:rPr>
          <w:rFonts w:ascii="Verdana" w:hAnsi="Verdana" w:cs="Verdana"/>
          <w:b/>
          <w:bCs/>
          <w:smallCaps/>
          <w:sz w:val="20"/>
          <w:szCs w:val="20"/>
          <w:lang w:val="es-ES_tradnl"/>
        </w:rPr>
        <w:t>DE 6</w:t>
      </w:r>
      <w:r w:rsidRPr="004D1DBF">
        <w:rPr>
          <w:rFonts w:ascii="Verdana" w:hAnsi="Verdana" w:cs="Verdana"/>
          <w:b/>
          <w:bCs/>
          <w:smallCaps/>
          <w:sz w:val="20"/>
          <w:szCs w:val="20"/>
          <w:lang w:val="es-ES_tradnl"/>
        </w:rPr>
        <w:t xml:space="preserve"> DE </w:t>
      </w:r>
      <w:r>
        <w:rPr>
          <w:rFonts w:ascii="Verdana" w:hAnsi="Verdana" w:cs="Verdana"/>
          <w:b/>
          <w:bCs/>
          <w:smallCaps/>
          <w:sz w:val="20"/>
          <w:szCs w:val="20"/>
          <w:lang w:val="es-ES_tradnl"/>
        </w:rPr>
        <w:t>SEPTIEMBRE</w:t>
      </w:r>
      <w:r w:rsidRPr="004D1DBF">
        <w:rPr>
          <w:rFonts w:ascii="Verdana" w:hAnsi="Verdana" w:cs="Verdana"/>
          <w:b/>
          <w:bCs/>
          <w:smallCaps/>
          <w:sz w:val="20"/>
          <w:szCs w:val="20"/>
          <w:lang w:val="es-ES_tradnl"/>
        </w:rPr>
        <w:t xml:space="preserve"> </w:t>
      </w:r>
      <w:r>
        <w:rPr>
          <w:rFonts w:ascii="Verdana" w:hAnsi="Verdana" w:cs="Verdana"/>
          <w:b/>
          <w:bCs/>
          <w:smallCaps/>
          <w:sz w:val="20"/>
          <w:szCs w:val="20"/>
          <w:lang w:val="es-ES_tradnl"/>
        </w:rPr>
        <w:t>DE 2013</w:t>
      </w:r>
    </w:p>
    <w:p w:rsidR="00332068" w:rsidRDefault="00332068" w:rsidP="00332068">
      <w:pPr>
        <w:rPr>
          <w:rFonts w:ascii="Verdana" w:hAnsi="Verdana" w:cs="Verdana"/>
          <w:b/>
          <w:bCs/>
          <w:smallCaps/>
          <w:sz w:val="20"/>
          <w:szCs w:val="20"/>
          <w:lang w:val="es-ES_tradnl"/>
        </w:rPr>
      </w:pPr>
    </w:p>
    <w:p w:rsidR="00332068" w:rsidRPr="004D1DBF" w:rsidRDefault="00332068" w:rsidP="00332068">
      <w:pPr>
        <w:rPr>
          <w:rFonts w:ascii="Verdana" w:hAnsi="Verdana" w:cs="Verdana"/>
          <w:b/>
          <w:bCs/>
          <w:smallCaps/>
          <w:sz w:val="20"/>
          <w:szCs w:val="20"/>
          <w:lang w:val="es-ES_tradnl"/>
        </w:rPr>
      </w:pPr>
    </w:p>
    <w:p w:rsidR="00332068" w:rsidRPr="004D1DBF" w:rsidRDefault="00332068" w:rsidP="00332068">
      <w:pPr>
        <w:jc w:val="center"/>
        <w:rPr>
          <w:rFonts w:ascii="Verdana" w:hAnsi="Verdana" w:cs="Verdana"/>
          <w:b/>
          <w:bCs/>
          <w:caps/>
          <w:sz w:val="20"/>
          <w:szCs w:val="20"/>
        </w:rPr>
      </w:pPr>
      <w:r w:rsidRPr="004D1DBF">
        <w:rPr>
          <w:rFonts w:ascii="Verdana" w:hAnsi="Verdana" w:cs="Verdana"/>
          <w:b/>
          <w:bCs/>
          <w:caps/>
          <w:sz w:val="20"/>
          <w:szCs w:val="20"/>
          <w:lang w:val="es-ES_tradnl"/>
        </w:rPr>
        <w:t xml:space="preserve">CASO </w:t>
      </w:r>
      <w:r>
        <w:rPr>
          <w:rFonts w:ascii="Verdana" w:hAnsi="Verdana" w:cs="Verdana"/>
          <w:b/>
          <w:bCs/>
          <w:caps/>
          <w:sz w:val="20"/>
          <w:szCs w:val="20"/>
        </w:rPr>
        <w:t>tide méndez y otros</w:t>
      </w:r>
      <w:r>
        <w:rPr>
          <w:i/>
          <w:iCs/>
        </w:rPr>
        <w:t xml:space="preserve"> </w:t>
      </w:r>
      <w:r>
        <w:rPr>
          <w:rFonts w:ascii="Verdana" w:hAnsi="Verdana" w:cs="Verdana"/>
          <w:b/>
          <w:bCs/>
          <w:caps/>
          <w:sz w:val="20"/>
          <w:szCs w:val="20"/>
        </w:rPr>
        <w:t>VS. república dominicana</w:t>
      </w:r>
    </w:p>
    <w:p w:rsidR="00332068" w:rsidRDefault="00332068" w:rsidP="00332068">
      <w:pPr>
        <w:rPr>
          <w:rFonts w:ascii="Verdana" w:hAnsi="Verdana" w:cs="Verdana"/>
          <w:sz w:val="20"/>
          <w:szCs w:val="20"/>
        </w:rPr>
      </w:pPr>
    </w:p>
    <w:p w:rsidR="00332068" w:rsidRDefault="00332068" w:rsidP="00332068">
      <w:pPr>
        <w:rPr>
          <w:rFonts w:ascii="Verdana" w:hAnsi="Verdana" w:cs="Verdana"/>
          <w:sz w:val="20"/>
          <w:szCs w:val="20"/>
        </w:rPr>
      </w:pPr>
    </w:p>
    <w:p w:rsidR="00332068" w:rsidRDefault="00332068" w:rsidP="00332068">
      <w:pPr>
        <w:rPr>
          <w:rFonts w:ascii="Verdana" w:hAnsi="Verdana" w:cs="Verdana"/>
          <w:sz w:val="20"/>
          <w:szCs w:val="20"/>
        </w:rPr>
      </w:pPr>
    </w:p>
    <w:p w:rsidR="00332068" w:rsidRDefault="00332068" w:rsidP="00332068">
      <w:pPr>
        <w:rPr>
          <w:rFonts w:ascii="Verdana" w:hAnsi="Verdana" w:cs="Verdana"/>
          <w:b/>
          <w:bCs/>
          <w:sz w:val="20"/>
          <w:szCs w:val="20"/>
          <w:lang w:val="es-ES_tradnl"/>
        </w:rPr>
      </w:pPr>
      <w:r w:rsidRPr="004D1DBF">
        <w:rPr>
          <w:rFonts w:ascii="Verdana" w:hAnsi="Verdana" w:cs="Verdana"/>
          <w:b/>
          <w:bCs/>
          <w:sz w:val="20"/>
          <w:szCs w:val="20"/>
          <w:lang w:val="es-ES_tradnl"/>
        </w:rPr>
        <w:t>VISTO:</w:t>
      </w:r>
    </w:p>
    <w:p w:rsidR="00332068" w:rsidRPr="004D1DBF" w:rsidRDefault="00332068" w:rsidP="00332068">
      <w:pPr>
        <w:rPr>
          <w:rFonts w:ascii="Verdana" w:hAnsi="Verdana" w:cs="Verdana"/>
          <w:b/>
          <w:bCs/>
          <w:sz w:val="20"/>
          <w:szCs w:val="20"/>
          <w:lang w:val="es-ES_tradnl"/>
        </w:rPr>
      </w:pPr>
    </w:p>
    <w:p w:rsidR="00332068" w:rsidRPr="001E52F0" w:rsidRDefault="00332068" w:rsidP="00332068">
      <w:pPr>
        <w:pStyle w:val="ListParagraph"/>
        <w:numPr>
          <w:ilvl w:val="0"/>
          <w:numId w:val="3"/>
        </w:numPr>
        <w:ind w:left="0" w:hanging="11"/>
        <w:jc w:val="both"/>
        <w:rPr>
          <w:rFonts w:ascii="Verdana" w:hAnsi="Verdana" w:cs="Verdana"/>
          <w:sz w:val="20"/>
          <w:szCs w:val="20"/>
        </w:rPr>
      </w:pPr>
      <w:r w:rsidRPr="001E52F0">
        <w:rPr>
          <w:rFonts w:ascii="Verdana" w:hAnsi="Verdana" w:cs="Verdana"/>
          <w:sz w:val="20"/>
          <w:szCs w:val="20"/>
        </w:rPr>
        <w:t xml:space="preserve">El escrito de sometimiento del caso contra </w:t>
      </w:r>
      <w:r>
        <w:rPr>
          <w:rFonts w:ascii="Verdana" w:hAnsi="Verdana" w:cs="Verdana"/>
          <w:sz w:val="20"/>
          <w:szCs w:val="20"/>
        </w:rPr>
        <w:t xml:space="preserve">el Estado de </w:t>
      </w:r>
      <w:r w:rsidRPr="001E52F0">
        <w:rPr>
          <w:rFonts w:ascii="Verdana" w:hAnsi="Verdana" w:cs="Verdana"/>
          <w:sz w:val="20"/>
          <w:szCs w:val="20"/>
        </w:rPr>
        <w:t xml:space="preserve">República Dominicana (en adelante “el Estado” o “República Dominicana”) presentado el </w:t>
      </w:r>
      <w:r w:rsidRPr="001E52F0">
        <w:rPr>
          <w:rFonts w:ascii="Verdana" w:hAnsi="Verdana" w:cs="Verdana"/>
          <w:sz w:val="20"/>
          <w:szCs w:val="20"/>
          <w:lang w:val="es-ES_tradnl"/>
        </w:rPr>
        <w:t xml:space="preserve">12 de julio de 2012 </w:t>
      </w:r>
      <w:r w:rsidRPr="001E52F0">
        <w:rPr>
          <w:rFonts w:ascii="Verdana" w:hAnsi="Verdana" w:cs="Verdana"/>
          <w:sz w:val="20"/>
          <w:szCs w:val="20"/>
        </w:rPr>
        <w:t>por la Comisión Interamericana de Derechos Humanos (en adelante</w:t>
      </w:r>
      <w:r>
        <w:rPr>
          <w:rFonts w:ascii="Verdana" w:hAnsi="Verdana" w:cs="Verdana"/>
          <w:sz w:val="20"/>
          <w:szCs w:val="20"/>
        </w:rPr>
        <w:t xml:space="preserve"> también</w:t>
      </w:r>
      <w:r w:rsidRPr="001E52F0">
        <w:rPr>
          <w:rFonts w:ascii="Verdana" w:hAnsi="Verdana" w:cs="Verdana"/>
          <w:sz w:val="20"/>
          <w:szCs w:val="20"/>
        </w:rPr>
        <w:t xml:space="preserve"> “la Comisión Interamericana” o “la Comisión”) ante la Corte Interamericana de Derechos Humanos (en adelante </w:t>
      </w:r>
      <w:r>
        <w:rPr>
          <w:rFonts w:ascii="Verdana" w:hAnsi="Verdana" w:cs="Verdana"/>
          <w:sz w:val="20"/>
          <w:szCs w:val="20"/>
        </w:rPr>
        <w:t xml:space="preserve">también </w:t>
      </w:r>
      <w:r w:rsidRPr="001E52F0">
        <w:rPr>
          <w:rFonts w:ascii="Verdana" w:hAnsi="Verdana" w:cs="Verdana"/>
          <w:sz w:val="20"/>
          <w:szCs w:val="20"/>
        </w:rPr>
        <w:t xml:space="preserve">“la Corte Interamericana”, “la Corte” o “el Tribunal”), mediante el cual remitió </w:t>
      </w:r>
      <w:r w:rsidRPr="001E52F0">
        <w:rPr>
          <w:rFonts w:ascii="Verdana" w:hAnsi="Verdana" w:cs="Verdana"/>
          <w:sz w:val="20"/>
          <w:szCs w:val="20"/>
          <w:lang w:val="es-ES_tradnl"/>
        </w:rPr>
        <w:t>el Informe de Fondo No. 64/12</w:t>
      </w:r>
      <w:r w:rsidRPr="001E52F0">
        <w:rPr>
          <w:rFonts w:ascii="Verdana" w:hAnsi="Verdana" w:cs="Verdana"/>
          <w:sz w:val="20"/>
          <w:szCs w:val="20"/>
        </w:rPr>
        <w:t xml:space="preserve"> y ofreció tres dictámenes periciales pero sólo identificó a dos de los peritos propuestos. Asimismo, la Comisión solicitó </w:t>
      </w:r>
      <w:r>
        <w:rPr>
          <w:rFonts w:ascii="Verdana" w:hAnsi="Verdana" w:cs="Verdana"/>
          <w:sz w:val="20"/>
          <w:szCs w:val="20"/>
        </w:rPr>
        <w:t>“</w:t>
      </w:r>
      <w:r w:rsidRPr="001E52F0">
        <w:rPr>
          <w:rFonts w:ascii="Verdana" w:hAnsi="Verdana" w:cs="Verdana"/>
          <w:sz w:val="20"/>
          <w:szCs w:val="20"/>
        </w:rPr>
        <w:t>el traslado, en lo pertinente</w:t>
      </w:r>
      <w:r>
        <w:rPr>
          <w:rFonts w:ascii="Verdana" w:hAnsi="Verdana" w:cs="Verdana"/>
          <w:sz w:val="20"/>
          <w:szCs w:val="20"/>
        </w:rPr>
        <w:t>”</w:t>
      </w:r>
      <w:r w:rsidRPr="001E52F0">
        <w:rPr>
          <w:rFonts w:ascii="Verdana" w:hAnsi="Verdana" w:cs="Verdana"/>
          <w:sz w:val="20"/>
          <w:szCs w:val="20"/>
        </w:rPr>
        <w:t>, de tres</w:t>
      </w:r>
      <w:r>
        <w:rPr>
          <w:rFonts w:ascii="Verdana" w:hAnsi="Verdana" w:cs="Verdana"/>
          <w:sz w:val="20"/>
          <w:szCs w:val="20"/>
        </w:rPr>
        <w:t xml:space="preserve"> peritajes rendido</w:t>
      </w:r>
      <w:r w:rsidRPr="001E52F0">
        <w:rPr>
          <w:rFonts w:ascii="Verdana" w:hAnsi="Verdana" w:cs="Verdana"/>
          <w:sz w:val="20"/>
          <w:szCs w:val="20"/>
        </w:rPr>
        <w:t>s en dos</w:t>
      </w:r>
      <w:r>
        <w:rPr>
          <w:rFonts w:ascii="Verdana" w:hAnsi="Verdana" w:cs="Verdana"/>
          <w:sz w:val="20"/>
          <w:szCs w:val="20"/>
        </w:rPr>
        <w:t xml:space="preserve"> casos anteriormente fallados por este Tribunal</w:t>
      </w:r>
      <w:r w:rsidRPr="001E52F0">
        <w:rPr>
          <w:rFonts w:ascii="Verdana" w:hAnsi="Verdana" w:cs="Verdana"/>
          <w:sz w:val="20"/>
          <w:szCs w:val="20"/>
        </w:rPr>
        <w:t xml:space="preserve">. </w:t>
      </w:r>
      <w:r w:rsidRPr="001E52F0">
        <w:rPr>
          <w:rFonts w:ascii="Verdana" w:hAnsi="Verdana" w:cs="Verdana"/>
          <w:b/>
          <w:sz w:val="20"/>
          <w:szCs w:val="20"/>
        </w:rPr>
        <w:t xml:space="preserve"> </w:t>
      </w:r>
    </w:p>
    <w:p w:rsidR="00332068" w:rsidRPr="001E52F0" w:rsidRDefault="00332068" w:rsidP="00332068">
      <w:pPr>
        <w:jc w:val="both"/>
        <w:rPr>
          <w:rFonts w:ascii="Verdana" w:hAnsi="Verdana" w:cs="Verdana"/>
          <w:sz w:val="20"/>
          <w:szCs w:val="20"/>
          <w:lang w:val="es-CR"/>
        </w:rPr>
      </w:pPr>
    </w:p>
    <w:p w:rsidR="00332068" w:rsidRPr="00373DC3" w:rsidRDefault="00332068" w:rsidP="00332068">
      <w:pPr>
        <w:pStyle w:val="ListParagraph"/>
        <w:numPr>
          <w:ilvl w:val="0"/>
          <w:numId w:val="3"/>
        </w:numPr>
        <w:ind w:left="0" w:hanging="11"/>
        <w:jc w:val="both"/>
        <w:rPr>
          <w:rFonts w:ascii="Verdana" w:hAnsi="Verdana" w:cs="Verdana"/>
          <w:sz w:val="20"/>
          <w:szCs w:val="20"/>
        </w:rPr>
      </w:pPr>
      <w:r w:rsidRPr="00373DC3">
        <w:rPr>
          <w:rFonts w:ascii="Verdana" w:hAnsi="Verdana" w:cs="Verdana"/>
          <w:sz w:val="20"/>
          <w:szCs w:val="20"/>
          <w:lang w:val="es-CR"/>
        </w:rPr>
        <w:t>El escrito de 26 de julio de 2012, mediante el cual la Comisión Interamericana remitió a la Secretaría</w:t>
      </w:r>
      <w:r>
        <w:rPr>
          <w:rFonts w:ascii="Verdana" w:hAnsi="Verdana" w:cs="Verdana"/>
          <w:sz w:val="20"/>
          <w:szCs w:val="20"/>
          <w:lang w:val="es-CR"/>
        </w:rPr>
        <w:t xml:space="preserve"> de la Corte (en adelante “la Secretaría”) </w:t>
      </w:r>
      <w:r w:rsidRPr="00373DC3">
        <w:rPr>
          <w:rFonts w:ascii="Verdana" w:hAnsi="Verdana" w:cs="Verdana"/>
          <w:sz w:val="20"/>
          <w:szCs w:val="20"/>
          <w:lang w:val="es-CR"/>
        </w:rPr>
        <w:t xml:space="preserve">el listado de anexos al </w:t>
      </w:r>
      <w:r>
        <w:rPr>
          <w:rFonts w:ascii="Verdana" w:hAnsi="Verdana" w:cs="Verdana"/>
          <w:sz w:val="20"/>
          <w:szCs w:val="20"/>
          <w:lang w:val="es-CR"/>
        </w:rPr>
        <w:t>Informe de Fondo No. 64/12</w:t>
      </w:r>
      <w:r w:rsidRPr="00373DC3">
        <w:rPr>
          <w:rFonts w:ascii="Verdana" w:hAnsi="Verdana" w:cs="Verdana"/>
          <w:sz w:val="20"/>
          <w:szCs w:val="20"/>
          <w:lang w:val="es-CR"/>
        </w:rPr>
        <w:t xml:space="preserve"> y los anexos correspondientes</w:t>
      </w:r>
      <w:r>
        <w:rPr>
          <w:rFonts w:ascii="Verdana" w:hAnsi="Verdana" w:cs="Verdana"/>
          <w:sz w:val="20"/>
          <w:szCs w:val="20"/>
          <w:lang w:val="es-CR"/>
        </w:rPr>
        <w:t>.</w:t>
      </w:r>
      <w:r w:rsidRPr="00373DC3">
        <w:rPr>
          <w:rFonts w:ascii="Verdana" w:hAnsi="Verdana" w:cs="Verdana"/>
          <w:sz w:val="20"/>
          <w:szCs w:val="20"/>
          <w:lang w:val="es-CR"/>
        </w:rPr>
        <w:t xml:space="preserve"> </w:t>
      </w:r>
      <w:r>
        <w:rPr>
          <w:rFonts w:ascii="Verdana" w:hAnsi="Verdana" w:cs="Verdana"/>
          <w:sz w:val="20"/>
          <w:szCs w:val="20"/>
          <w:lang w:val="es-CR"/>
        </w:rPr>
        <w:t>Entre</w:t>
      </w:r>
      <w:r w:rsidRPr="00373DC3">
        <w:rPr>
          <w:rFonts w:ascii="Verdana" w:hAnsi="Verdana" w:cs="Verdana"/>
          <w:sz w:val="20"/>
          <w:szCs w:val="20"/>
          <w:lang w:val="es-CR"/>
        </w:rPr>
        <w:t xml:space="preserve"> los </w:t>
      </w:r>
      <w:r>
        <w:rPr>
          <w:rFonts w:ascii="Verdana" w:hAnsi="Verdana" w:cs="Verdana"/>
          <w:sz w:val="20"/>
          <w:szCs w:val="20"/>
          <w:lang w:val="es-CR"/>
        </w:rPr>
        <w:t>anexos indicados</w:t>
      </w:r>
      <w:r w:rsidRPr="00373DC3">
        <w:rPr>
          <w:rFonts w:ascii="Verdana" w:hAnsi="Verdana" w:cs="Verdana"/>
          <w:sz w:val="20"/>
          <w:szCs w:val="20"/>
          <w:lang w:val="es-CR"/>
        </w:rPr>
        <w:t xml:space="preserve"> remiti</w:t>
      </w:r>
      <w:r>
        <w:rPr>
          <w:rFonts w:ascii="Verdana" w:hAnsi="Verdana" w:cs="Verdana"/>
          <w:sz w:val="20"/>
          <w:szCs w:val="20"/>
          <w:lang w:val="es-CR"/>
        </w:rPr>
        <w:t>ó</w:t>
      </w:r>
      <w:r w:rsidRPr="00373DC3">
        <w:rPr>
          <w:rFonts w:ascii="Verdana" w:hAnsi="Verdana" w:cs="Verdana"/>
          <w:sz w:val="20"/>
          <w:szCs w:val="20"/>
          <w:lang w:val="es-CR"/>
        </w:rPr>
        <w:t xml:space="preserve"> la</w:t>
      </w:r>
      <w:r>
        <w:rPr>
          <w:rFonts w:ascii="Verdana" w:hAnsi="Verdana" w:cs="Verdana"/>
          <w:sz w:val="20"/>
          <w:szCs w:val="20"/>
          <w:lang w:val="es-CR"/>
        </w:rPr>
        <w:t>s</w:t>
      </w:r>
      <w:r w:rsidRPr="00373DC3">
        <w:rPr>
          <w:rFonts w:ascii="Verdana" w:hAnsi="Verdana" w:cs="Verdana"/>
          <w:sz w:val="20"/>
          <w:szCs w:val="20"/>
          <w:lang w:val="es-CR"/>
        </w:rPr>
        <w:t xml:space="preserve"> hoja</w:t>
      </w:r>
      <w:r>
        <w:rPr>
          <w:rFonts w:ascii="Verdana" w:hAnsi="Verdana" w:cs="Verdana"/>
          <w:sz w:val="20"/>
          <w:szCs w:val="20"/>
          <w:lang w:val="es-CR"/>
        </w:rPr>
        <w:t>s</w:t>
      </w:r>
      <w:r w:rsidRPr="00373DC3">
        <w:rPr>
          <w:rFonts w:ascii="Verdana" w:hAnsi="Verdana" w:cs="Verdana"/>
          <w:sz w:val="20"/>
          <w:szCs w:val="20"/>
          <w:lang w:val="es-CR"/>
        </w:rPr>
        <w:t xml:space="preserve"> de vida de l</w:t>
      </w:r>
      <w:r>
        <w:rPr>
          <w:rFonts w:ascii="Verdana" w:hAnsi="Verdana" w:cs="Verdana"/>
          <w:sz w:val="20"/>
          <w:szCs w:val="20"/>
          <w:lang w:val="es-CR"/>
        </w:rPr>
        <w:t>os</w:t>
      </w:r>
      <w:r w:rsidRPr="00373DC3">
        <w:rPr>
          <w:rFonts w:ascii="Verdana" w:hAnsi="Verdana" w:cs="Verdana"/>
          <w:sz w:val="20"/>
          <w:szCs w:val="20"/>
          <w:lang w:val="es-CR"/>
        </w:rPr>
        <w:t xml:space="preserve"> perito</w:t>
      </w:r>
      <w:r>
        <w:rPr>
          <w:rFonts w:ascii="Verdana" w:hAnsi="Verdana" w:cs="Verdana"/>
          <w:sz w:val="20"/>
          <w:szCs w:val="20"/>
          <w:lang w:val="es-CR"/>
        </w:rPr>
        <w:t>s</w:t>
      </w:r>
      <w:r w:rsidRPr="00373DC3">
        <w:rPr>
          <w:rFonts w:ascii="Verdana" w:hAnsi="Verdana" w:cs="Verdana"/>
          <w:sz w:val="20"/>
          <w:szCs w:val="20"/>
          <w:lang w:val="es-CR"/>
        </w:rPr>
        <w:t xml:space="preserve"> ofrecid</w:t>
      </w:r>
      <w:r>
        <w:rPr>
          <w:rFonts w:ascii="Verdana" w:hAnsi="Verdana" w:cs="Verdana"/>
          <w:sz w:val="20"/>
          <w:szCs w:val="20"/>
          <w:lang w:val="es-CR"/>
        </w:rPr>
        <w:t>os, incluyendo la correspondiente a la perito que antes no había identificado (</w:t>
      </w:r>
      <w:r>
        <w:rPr>
          <w:rFonts w:ascii="Verdana" w:hAnsi="Verdana" w:cs="Verdana"/>
          <w:i/>
          <w:sz w:val="20"/>
          <w:szCs w:val="20"/>
          <w:lang w:val="es-CR"/>
        </w:rPr>
        <w:t>supra</w:t>
      </w:r>
      <w:r>
        <w:rPr>
          <w:rFonts w:ascii="Verdana" w:hAnsi="Verdana" w:cs="Verdana"/>
          <w:sz w:val="20"/>
          <w:szCs w:val="20"/>
          <w:lang w:val="es-CR"/>
        </w:rPr>
        <w:t xml:space="preserve"> Visto 1)</w:t>
      </w:r>
      <w:r w:rsidRPr="00373DC3">
        <w:rPr>
          <w:rFonts w:ascii="Verdana" w:hAnsi="Verdana" w:cs="Verdana"/>
          <w:sz w:val="20"/>
          <w:szCs w:val="20"/>
          <w:lang w:val="es-CR"/>
        </w:rPr>
        <w:t xml:space="preserve">. </w:t>
      </w:r>
      <w:r w:rsidRPr="00373DC3">
        <w:rPr>
          <w:rFonts w:ascii="Verdana" w:hAnsi="Verdana" w:cs="Verdana"/>
          <w:b/>
          <w:sz w:val="20"/>
          <w:szCs w:val="20"/>
          <w:lang w:val="es-CR"/>
        </w:rPr>
        <w:t xml:space="preserve"> </w:t>
      </w:r>
    </w:p>
    <w:p w:rsidR="00332068" w:rsidRPr="001E52F0" w:rsidRDefault="00332068" w:rsidP="00332068">
      <w:pPr>
        <w:jc w:val="both"/>
        <w:rPr>
          <w:rFonts w:ascii="Verdana" w:hAnsi="Verdana" w:cs="Verdana"/>
          <w:sz w:val="20"/>
          <w:szCs w:val="20"/>
          <w:lang w:val="es-CR"/>
        </w:rPr>
      </w:pPr>
    </w:p>
    <w:p w:rsidR="00332068" w:rsidRPr="0063464C"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sz w:val="20"/>
          <w:szCs w:val="20"/>
          <w:lang w:val="es-CR"/>
        </w:rPr>
        <w:t xml:space="preserve">El </w:t>
      </w:r>
      <w:r w:rsidRPr="001E52F0">
        <w:rPr>
          <w:rFonts w:ascii="Verdana" w:hAnsi="Verdana" w:cs="Verdana"/>
          <w:sz w:val="20"/>
          <w:szCs w:val="20"/>
        </w:rPr>
        <w:t xml:space="preserve">escrito de solicitudes, argumentos y pruebas (en adelante el “escrito de solicitudes y argumentos”) presentado el </w:t>
      </w:r>
      <w:r w:rsidRPr="001E52F0">
        <w:rPr>
          <w:rFonts w:ascii="Verdana" w:hAnsi="Verdana" w:cs="Verdana"/>
          <w:sz w:val="20"/>
          <w:szCs w:val="20"/>
          <w:lang w:val="es-CR"/>
        </w:rPr>
        <w:t>30 de octubre de 2012 por los representantes</w:t>
      </w:r>
      <w:r>
        <w:rPr>
          <w:rFonts w:ascii="Verdana" w:hAnsi="Verdana" w:cs="Verdana"/>
          <w:sz w:val="20"/>
          <w:szCs w:val="20"/>
          <w:lang w:val="es-CR"/>
        </w:rPr>
        <w:t xml:space="preserve"> de las presuntas víctimas (en adelante “los representantes”)</w:t>
      </w:r>
      <w:r w:rsidRPr="001E52F0">
        <w:rPr>
          <w:rStyle w:val="FootnoteReference"/>
          <w:rFonts w:ascii="Verdana" w:hAnsi="Verdana" w:cs="Verdana"/>
          <w:sz w:val="20"/>
          <w:szCs w:val="20"/>
          <w:lang w:val="es-CR"/>
        </w:rPr>
        <w:footnoteReference w:id="1"/>
      </w:r>
      <w:r w:rsidRPr="001E52F0">
        <w:rPr>
          <w:rFonts w:ascii="Verdana" w:hAnsi="Verdana" w:cs="Verdana"/>
          <w:sz w:val="20"/>
          <w:szCs w:val="20"/>
        </w:rPr>
        <w:t xml:space="preserve">, mediante el cual ofrecieron las declaraciones de </w:t>
      </w:r>
      <w:r w:rsidRPr="0063464C">
        <w:rPr>
          <w:rFonts w:ascii="Verdana" w:hAnsi="Verdana" w:cs="Verdana"/>
          <w:sz w:val="20"/>
          <w:szCs w:val="20"/>
        </w:rPr>
        <w:t>nueve</w:t>
      </w:r>
      <w:r w:rsidRPr="001E52F0">
        <w:rPr>
          <w:rFonts w:ascii="Verdana" w:hAnsi="Verdana" w:cs="Verdana"/>
          <w:sz w:val="20"/>
          <w:szCs w:val="20"/>
        </w:rPr>
        <w:t xml:space="preserve"> presuntas víctimas y cinco </w:t>
      </w:r>
      <w:r>
        <w:rPr>
          <w:rFonts w:ascii="Verdana" w:hAnsi="Verdana" w:cs="Verdana"/>
          <w:sz w:val="20"/>
          <w:szCs w:val="20"/>
        </w:rPr>
        <w:t>dictámenes</w:t>
      </w:r>
      <w:r w:rsidRPr="001E52F0">
        <w:rPr>
          <w:rFonts w:ascii="Verdana" w:hAnsi="Verdana" w:cs="Verdana"/>
          <w:sz w:val="20"/>
          <w:szCs w:val="20"/>
        </w:rPr>
        <w:t xml:space="preserve"> periciales</w:t>
      </w:r>
      <w:r>
        <w:rPr>
          <w:rFonts w:ascii="Verdana" w:hAnsi="Verdana" w:cs="Verdana"/>
          <w:sz w:val="20"/>
          <w:szCs w:val="20"/>
        </w:rPr>
        <w:t>, pero sólo identificaron a cuatro de los cinco peritos ofrecidos</w:t>
      </w:r>
      <w:r w:rsidRPr="001E52F0">
        <w:rPr>
          <w:rFonts w:ascii="Verdana" w:hAnsi="Verdana" w:cs="Verdana"/>
          <w:sz w:val="20"/>
          <w:szCs w:val="20"/>
        </w:rPr>
        <w:t>. Asimismo, solicitaron acogerse al Fondo de Asistencia Legal de Víctimas de la Corte Interamericana</w:t>
      </w:r>
      <w:r>
        <w:rPr>
          <w:rFonts w:ascii="Verdana" w:hAnsi="Verdana" w:cs="Verdana"/>
          <w:sz w:val="20"/>
          <w:szCs w:val="20"/>
        </w:rPr>
        <w:t xml:space="preserve"> de Derechos Humanos</w:t>
      </w:r>
      <w:r w:rsidRPr="001E52F0">
        <w:rPr>
          <w:rFonts w:ascii="Verdana" w:hAnsi="Verdana" w:cs="Verdana"/>
          <w:sz w:val="20"/>
          <w:szCs w:val="20"/>
        </w:rPr>
        <w:t xml:space="preserve"> (en adelante </w:t>
      </w:r>
      <w:r>
        <w:rPr>
          <w:rFonts w:ascii="Verdana" w:hAnsi="Verdana" w:cs="Verdana"/>
          <w:sz w:val="20"/>
          <w:szCs w:val="20"/>
        </w:rPr>
        <w:t xml:space="preserve">“el Fondo de Asistencia Legal del Víctimas”, </w:t>
      </w:r>
      <w:r w:rsidRPr="001E52F0">
        <w:rPr>
          <w:rFonts w:ascii="Verdana" w:hAnsi="Verdana" w:cs="Verdana"/>
          <w:sz w:val="20"/>
          <w:szCs w:val="20"/>
        </w:rPr>
        <w:t xml:space="preserve">“el Fondo de Asistencia” o “el Fondo”) </w:t>
      </w:r>
      <w:r>
        <w:rPr>
          <w:rFonts w:ascii="Verdana" w:hAnsi="Verdana" w:cs="Verdana"/>
          <w:sz w:val="20"/>
          <w:szCs w:val="20"/>
        </w:rPr>
        <w:t>“</w:t>
      </w:r>
      <w:r w:rsidRPr="001E52F0">
        <w:rPr>
          <w:rFonts w:ascii="Verdana" w:hAnsi="Verdana" w:cs="Verdana"/>
          <w:sz w:val="20"/>
          <w:szCs w:val="20"/>
        </w:rPr>
        <w:t>para cubrir algunos costos concretos relacionados con la producción de prueba durante el proceso ante la Corte”.</w:t>
      </w:r>
    </w:p>
    <w:p w:rsidR="00332068" w:rsidRPr="0063464C" w:rsidRDefault="00332068" w:rsidP="00332068">
      <w:pPr>
        <w:pStyle w:val="ListParagraph"/>
        <w:rPr>
          <w:rFonts w:ascii="Verdana" w:hAnsi="Verdana" w:cs="Verdana"/>
          <w:sz w:val="20"/>
          <w:szCs w:val="20"/>
          <w:lang w:val="es-CR"/>
        </w:rPr>
      </w:pPr>
    </w:p>
    <w:p w:rsidR="00332068" w:rsidRDefault="00332068" w:rsidP="00332068">
      <w:pPr>
        <w:pStyle w:val="ListParagraph"/>
        <w:numPr>
          <w:ilvl w:val="0"/>
          <w:numId w:val="3"/>
        </w:numPr>
        <w:ind w:left="0" w:hanging="11"/>
        <w:jc w:val="both"/>
        <w:rPr>
          <w:rFonts w:ascii="Verdana" w:hAnsi="Verdana" w:cs="Verdana"/>
          <w:sz w:val="20"/>
          <w:szCs w:val="20"/>
          <w:lang w:val="es-CR"/>
        </w:rPr>
      </w:pPr>
      <w:r w:rsidRPr="0063464C">
        <w:rPr>
          <w:rFonts w:ascii="Verdana" w:hAnsi="Verdana" w:cs="Verdana"/>
          <w:sz w:val="20"/>
          <w:szCs w:val="20"/>
          <w:lang w:val="es-CR"/>
        </w:rPr>
        <w:lastRenderedPageBreak/>
        <w:t xml:space="preserve"> </w:t>
      </w:r>
      <w:r w:rsidRPr="001E52F0">
        <w:rPr>
          <w:rFonts w:ascii="Verdana" w:hAnsi="Verdana" w:cs="Verdana"/>
          <w:sz w:val="20"/>
          <w:szCs w:val="20"/>
          <w:lang w:val="es-CR"/>
        </w:rPr>
        <w:t xml:space="preserve">El escrito </w:t>
      </w:r>
      <w:r>
        <w:rPr>
          <w:rFonts w:ascii="Verdana" w:hAnsi="Verdana" w:cs="Verdana"/>
          <w:sz w:val="20"/>
          <w:szCs w:val="20"/>
          <w:lang w:val="es-CR"/>
        </w:rPr>
        <w:t>de 19 de noviembre</w:t>
      </w:r>
      <w:r w:rsidRPr="001E52F0">
        <w:rPr>
          <w:rFonts w:ascii="Verdana" w:hAnsi="Verdana" w:cs="Verdana"/>
          <w:sz w:val="20"/>
          <w:szCs w:val="20"/>
          <w:lang w:val="es-CR"/>
        </w:rPr>
        <w:t xml:space="preserve"> de 2012</w:t>
      </w:r>
      <w:r>
        <w:rPr>
          <w:rFonts w:ascii="Verdana" w:hAnsi="Verdana" w:cs="Verdana"/>
          <w:sz w:val="20"/>
          <w:szCs w:val="20"/>
          <w:lang w:val="es-CR"/>
        </w:rPr>
        <w:t>,</w:t>
      </w:r>
      <w:r w:rsidRPr="001E52F0">
        <w:rPr>
          <w:rFonts w:ascii="Verdana" w:hAnsi="Verdana" w:cs="Verdana"/>
          <w:sz w:val="20"/>
          <w:szCs w:val="20"/>
          <w:lang w:val="es-CR"/>
        </w:rPr>
        <w:t xml:space="preserve"> mediante el cual </w:t>
      </w:r>
      <w:r>
        <w:rPr>
          <w:rFonts w:ascii="Verdana" w:hAnsi="Verdana" w:cs="Verdana"/>
          <w:sz w:val="20"/>
          <w:szCs w:val="20"/>
          <w:lang w:val="es-CR"/>
        </w:rPr>
        <w:t>los representantes remitieron</w:t>
      </w:r>
      <w:r w:rsidRPr="001E52F0">
        <w:rPr>
          <w:rFonts w:ascii="Verdana" w:hAnsi="Verdana" w:cs="Verdana"/>
          <w:sz w:val="20"/>
          <w:szCs w:val="20"/>
          <w:lang w:val="es-CR"/>
        </w:rPr>
        <w:t xml:space="preserve"> los anexos correspondientes</w:t>
      </w:r>
      <w:r>
        <w:rPr>
          <w:rFonts w:ascii="Verdana" w:hAnsi="Verdana" w:cs="Verdana"/>
          <w:sz w:val="20"/>
          <w:szCs w:val="20"/>
          <w:lang w:val="es-CR"/>
        </w:rPr>
        <w:t xml:space="preserve"> al escrito de solicitudes y argumentos, e informaron sobre el nombre de la quinta perita ofrecida. Asimismo, remitieron las hojas de vidas de cuatro de los peritos ofrecidos</w:t>
      </w:r>
      <w:r>
        <w:rPr>
          <w:rStyle w:val="FootnoteReference"/>
          <w:rFonts w:ascii="Verdana" w:hAnsi="Verdana" w:cs="Verdana"/>
          <w:sz w:val="20"/>
          <w:szCs w:val="20"/>
          <w:lang w:val="es-CR"/>
        </w:rPr>
        <w:footnoteReference w:id="2"/>
      </w:r>
      <w:r>
        <w:rPr>
          <w:rFonts w:ascii="Verdana" w:hAnsi="Verdana" w:cs="Verdana"/>
          <w:sz w:val="20"/>
          <w:szCs w:val="20"/>
          <w:lang w:val="es-CR"/>
        </w:rPr>
        <w:t>.</w:t>
      </w:r>
    </w:p>
    <w:p w:rsidR="00332068" w:rsidRPr="001E52F0" w:rsidRDefault="00332068" w:rsidP="00332068">
      <w:pPr>
        <w:pStyle w:val="ListParagraph"/>
        <w:ind w:left="0"/>
        <w:jc w:val="both"/>
        <w:rPr>
          <w:rFonts w:ascii="Verdana" w:hAnsi="Verdana" w:cs="Verdana"/>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sz w:val="20"/>
          <w:szCs w:val="20"/>
        </w:rPr>
        <w:t>El escrito de interposición de excepciones preliminares,</w:t>
      </w:r>
      <w:r>
        <w:rPr>
          <w:rFonts w:ascii="Verdana" w:hAnsi="Verdana" w:cs="Verdana"/>
          <w:sz w:val="20"/>
          <w:szCs w:val="20"/>
        </w:rPr>
        <w:t xml:space="preserve"> </w:t>
      </w:r>
      <w:r w:rsidRPr="001E52F0">
        <w:rPr>
          <w:rFonts w:ascii="Verdana" w:hAnsi="Verdana" w:cs="Verdana"/>
          <w:sz w:val="20"/>
          <w:szCs w:val="20"/>
        </w:rPr>
        <w:t xml:space="preserve">contestación </w:t>
      </w:r>
      <w:r>
        <w:rPr>
          <w:rFonts w:ascii="Verdana" w:hAnsi="Verdana" w:cs="Verdana"/>
          <w:sz w:val="20"/>
          <w:szCs w:val="20"/>
        </w:rPr>
        <w:t>al</w:t>
      </w:r>
      <w:r w:rsidRPr="001E52F0">
        <w:rPr>
          <w:rFonts w:ascii="Verdana" w:hAnsi="Verdana" w:cs="Verdana"/>
          <w:sz w:val="20"/>
          <w:szCs w:val="20"/>
        </w:rPr>
        <w:t xml:space="preserve"> sometimiento del caso y observaciones al escrito de solicitudes y argumentos (en adelante “escrito de contestación”) presentado el 10 de febrero de 2013</w:t>
      </w:r>
      <w:r>
        <w:rPr>
          <w:rFonts w:ascii="Verdana" w:hAnsi="Verdana" w:cs="Verdana"/>
          <w:sz w:val="20"/>
          <w:szCs w:val="20"/>
        </w:rPr>
        <w:t xml:space="preserve"> </w:t>
      </w:r>
      <w:r w:rsidRPr="001E52F0">
        <w:rPr>
          <w:rFonts w:ascii="Verdana" w:hAnsi="Verdana" w:cs="Verdana"/>
          <w:sz w:val="20"/>
          <w:szCs w:val="20"/>
        </w:rPr>
        <w:t>por el Estado</w:t>
      </w:r>
      <w:r w:rsidRPr="001E52F0">
        <w:rPr>
          <w:rStyle w:val="FootnoteReference"/>
          <w:rFonts w:ascii="Verdana" w:hAnsi="Verdana" w:cs="Verdana"/>
          <w:sz w:val="20"/>
          <w:szCs w:val="20"/>
        </w:rPr>
        <w:footnoteReference w:id="3"/>
      </w:r>
      <w:r w:rsidRPr="001E52F0">
        <w:rPr>
          <w:rFonts w:ascii="Verdana" w:hAnsi="Verdana" w:cs="Verdana"/>
          <w:sz w:val="20"/>
          <w:szCs w:val="20"/>
        </w:rPr>
        <w:t xml:space="preserve">. </w:t>
      </w:r>
      <w:r>
        <w:rPr>
          <w:rFonts w:ascii="Verdana" w:hAnsi="Verdana" w:cs="Verdana"/>
          <w:sz w:val="20"/>
          <w:szCs w:val="20"/>
        </w:rPr>
        <w:t xml:space="preserve">En ese escrito el Estado, </w:t>
      </w:r>
      <w:r>
        <w:rPr>
          <w:rFonts w:ascii="Verdana" w:hAnsi="Verdana" w:cs="Verdana"/>
          <w:i/>
          <w:sz w:val="20"/>
          <w:szCs w:val="20"/>
        </w:rPr>
        <w:t xml:space="preserve">inter </w:t>
      </w:r>
      <w:proofErr w:type="spellStart"/>
      <w:r w:rsidRPr="009F796F">
        <w:rPr>
          <w:rFonts w:ascii="Verdana" w:hAnsi="Verdana" w:cs="Verdana"/>
          <w:i/>
          <w:sz w:val="20"/>
          <w:szCs w:val="20"/>
        </w:rPr>
        <w:t>alia</w:t>
      </w:r>
      <w:proofErr w:type="spellEnd"/>
      <w:r>
        <w:rPr>
          <w:rFonts w:ascii="Verdana" w:hAnsi="Verdana" w:cs="Verdana"/>
          <w:sz w:val="20"/>
          <w:szCs w:val="20"/>
        </w:rPr>
        <w:t xml:space="preserve">, </w:t>
      </w:r>
      <w:r w:rsidRPr="001E52F0">
        <w:rPr>
          <w:rFonts w:ascii="Verdana" w:hAnsi="Verdana" w:cs="Verdana"/>
          <w:sz w:val="20"/>
          <w:szCs w:val="20"/>
        </w:rPr>
        <w:t>se refirió a la solicitud de los representantes de acogerse al “Fondo de Asistencia”</w:t>
      </w:r>
      <w:r>
        <w:rPr>
          <w:rFonts w:ascii="Verdana" w:hAnsi="Verdana" w:cs="Verdana"/>
          <w:sz w:val="20"/>
          <w:szCs w:val="20"/>
        </w:rPr>
        <w:t>. Además</w:t>
      </w:r>
      <w:r w:rsidRPr="001E52F0">
        <w:rPr>
          <w:rFonts w:ascii="Verdana" w:hAnsi="Verdana" w:cs="Verdana"/>
          <w:sz w:val="20"/>
          <w:szCs w:val="20"/>
        </w:rPr>
        <w:t xml:space="preserve"> ofreció</w:t>
      </w:r>
      <w:r>
        <w:rPr>
          <w:rFonts w:ascii="Verdana" w:hAnsi="Verdana" w:cs="Verdana"/>
          <w:sz w:val="20"/>
          <w:szCs w:val="20"/>
        </w:rPr>
        <w:t xml:space="preserve"> </w:t>
      </w:r>
      <w:r w:rsidRPr="001E52F0">
        <w:rPr>
          <w:rFonts w:ascii="Verdana" w:hAnsi="Verdana" w:cs="Verdana"/>
          <w:sz w:val="20"/>
          <w:szCs w:val="20"/>
        </w:rPr>
        <w:t>dos</w:t>
      </w:r>
      <w:r>
        <w:rPr>
          <w:rFonts w:ascii="Verdana" w:hAnsi="Verdana" w:cs="Verdana"/>
          <w:sz w:val="20"/>
          <w:szCs w:val="20"/>
        </w:rPr>
        <w:t xml:space="preserve"> declaraciones</w:t>
      </w:r>
      <w:r w:rsidRPr="001E52F0">
        <w:rPr>
          <w:rFonts w:ascii="Verdana" w:hAnsi="Verdana" w:cs="Verdana"/>
          <w:sz w:val="20"/>
          <w:szCs w:val="20"/>
        </w:rPr>
        <w:t xml:space="preserve"> testi</w:t>
      </w:r>
      <w:r>
        <w:rPr>
          <w:rFonts w:ascii="Verdana" w:hAnsi="Verdana" w:cs="Verdana"/>
          <w:sz w:val="20"/>
          <w:szCs w:val="20"/>
        </w:rPr>
        <w:t>moniales, pero únicamente identificó a una testigo,</w:t>
      </w:r>
      <w:r w:rsidRPr="001E52F0">
        <w:rPr>
          <w:rFonts w:ascii="Verdana" w:hAnsi="Verdana" w:cs="Verdana"/>
          <w:sz w:val="20"/>
          <w:szCs w:val="20"/>
        </w:rPr>
        <w:t xml:space="preserve"> y </w:t>
      </w:r>
      <w:r>
        <w:rPr>
          <w:rFonts w:ascii="Verdana" w:hAnsi="Verdana" w:cs="Verdana"/>
          <w:sz w:val="20"/>
          <w:szCs w:val="20"/>
        </w:rPr>
        <w:t>seis</w:t>
      </w:r>
      <w:r w:rsidRPr="001E52F0">
        <w:rPr>
          <w:rFonts w:ascii="Verdana" w:hAnsi="Verdana" w:cs="Verdana"/>
          <w:sz w:val="20"/>
          <w:szCs w:val="20"/>
        </w:rPr>
        <w:t xml:space="preserve"> declaraciones periciales</w:t>
      </w:r>
      <w:r>
        <w:rPr>
          <w:rFonts w:ascii="Verdana" w:hAnsi="Verdana" w:cs="Verdana"/>
          <w:sz w:val="20"/>
          <w:szCs w:val="20"/>
        </w:rPr>
        <w:t>,</w:t>
      </w:r>
      <w:r w:rsidRPr="0097758C">
        <w:rPr>
          <w:rFonts w:ascii="Verdana" w:hAnsi="Verdana" w:cs="Verdana"/>
          <w:sz w:val="20"/>
          <w:szCs w:val="20"/>
        </w:rPr>
        <w:t xml:space="preserve"> </w:t>
      </w:r>
      <w:r>
        <w:rPr>
          <w:rFonts w:ascii="Verdana" w:hAnsi="Verdana" w:cs="Verdana"/>
          <w:sz w:val="20"/>
          <w:szCs w:val="20"/>
        </w:rPr>
        <w:t>pero sólo identificó a cuatro de los peritos propuestos</w:t>
      </w:r>
      <w:r w:rsidRPr="001E52F0">
        <w:rPr>
          <w:rFonts w:ascii="Verdana" w:hAnsi="Verdana" w:cs="Verdana"/>
          <w:sz w:val="20"/>
          <w:szCs w:val="20"/>
        </w:rPr>
        <w:t>.</w:t>
      </w:r>
    </w:p>
    <w:p w:rsidR="00332068" w:rsidRPr="001E52F0" w:rsidRDefault="00332068" w:rsidP="00332068">
      <w:pPr>
        <w:pStyle w:val="ListParagraph"/>
        <w:rPr>
          <w:rFonts w:ascii="Verdana" w:hAnsi="Verdana" w:cs="Verdana"/>
          <w:b/>
          <w:sz w:val="20"/>
          <w:szCs w:val="20"/>
        </w:rPr>
      </w:pPr>
    </w:p>
    <w:p w:rsidR="00332068" w:rsidRPr="00236206"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b/>
          <w:sz w:val="20"/>
          <w:szCs w:val="20"/>
        </w:rPr>
        <w:t xml:space="preserve"> </w:t>
      </w:r>
      <w:r>
        <w:rPr>
          <w:rFonts w:ascii="Verdana" w:hAnsi="Verdana" w:cs="Verdana"/>
          <w:sz w:val="20"/>
          <w:szCs w:val="20"/>
        </w:rPr>
        <w:t xml:space="preserve">Los </w:t>
      </w:r>
      <w:r w:rsidRPr="001E52F0">
        <w:rPr>
          <w:rFonts w:ascii="Verdana" w:hAnsi="Verdana" w:cs="Verdana"/>
          <w:sz w:val="20"/>
          <w:szCs w:val="20"/>
        </w:rPr>
        <w:t>escrito</w:t>
      </w:r>
      <w:r>
        <w:rPr>
          <w:rFonts w:ascii="Verdana" w:hAnsi="Verdana" w:cs="Verdana"/>
          <w:sz w:val="20"/>
          <w:szCs w:val="20"/>
        </w:rPr>
        <w:t>s</w:t>
      </w:r>
      <w:r w:rsidRPr="001E52F0">
        <w:rPr>
          <w:rFonts w:ascii="Verdana" w:hAnsi="Verdana" w:cs="Verdana"/>
          <w:sz w:val="20"/>
          <w:szCs w:val="20"/>
        </w:rPr>
        <w:t xml:space="preserve"> de 22 de febrero</w:t>
      </w:r>
      <w:r>
        <w:rPr>
          <w:rFonts w:ascii="Verdana" w:hAnsi="Verdana" w:cs="Verdana"/>
          <w:sz w:val="20"/>
          <w:szCs w:val="20"/>
        </w:rPr>
        <w:t xml:space="preserve"> y 4 de marzo</w:t>
      </w:r>
      <w:r w:rsidRPr="001E52F0">
        <w:rPr>
          <w:rFonts w:ascii="Verdana" w:hAnsi="Verdana" w:cs="Verdana"/>
          <w:sz w:val="20"/>
          <w:szCs w:val="20"/>
        </w:rPr>
        <w:t xml:space="preserve"> de 2013</w:t>
      </w:r>
      <w:r>
        <w:rPr>
          <w:rFonts w:ascii="Verdana" w:hAnsi="Verdana" w:cs="Verdana"/>
          <w:sz w:val="20"/>
          <w:szCs w:val="20"/>
        </w:rPr>
        <w:t>,</w:t>
      </w:r>
      <w:r w:rsidRPr="001E52F0">
        <w:rPr>
          <w:rFonts w:ascii="Verdana" w:hAnsi="Verdana" w:cs="Verdana"/>
          <w:sz w:val="20"/>
          <w:szCs w:val="20"/>
        </w:rPr>
        <w:t xml:space="preserve"> medi</w:t>
      </w:r>
      <w:r>
        <w:rPr>
          <w:rFonts w:ascii="Verdana" w:hAnsi="Verdana" w:cs="Verdana"/>
          <w:sz w:val="20"/>
          <w:szCs w:val="20"/>
        </w:rPr>
        <w:t xml:space="preserve">ante los cuales el Estado, respectivamente, informó los nombres del </w:t>
      </w:r>
      <w:r w:rsidRPr="001E52F0">
        <w:rPr>
          <w:rFonts w:ascii="Verdana" w:hAnsi="Verdana" w:cs="Verdana"/>
          <w:sz w:val="20"/>
          <w:szCs w:val="20"/>
        </w:rPr>
        <w:t>testigo y</w:t>
      </w:r>
      <w:r>
        <w:rPr>
          <w:rFonts w:ascii="Verdana" w:hAnsi="Verdana" w:cs="Verdana"/>
          <w:sz w:val="20"/>
          <w:szCs w:val="20"/>
        </w:rPr>
        <w:t xml:space="preserve"> los </w:t>
      </w:r>
      <w:r w:rsidRPr="001E52F0">
        <w:rPr>
          <w:rFonts w:ascii="Verdana" w:hAnsi="Verdana" w:cs="Verdana"/>
          <w:sz w:val="20"/>
          <w:szCs w:val="20"/>
        </w:rPr>
        <w:t>dos peritos</w:t>
      </w:r>
      <w:r>
        <w:rPr>
          <w:rFonts w:ascii="Verdana" w:hAnsi="Verdana" w:cs="Verdana"/>
          <w:sz w:val="20"/>
          <w:szCs w:val="20"/>
        </w:rPr>
        <w:t xml:space="preserve"> que antes no había identificado</w:t>
      </w:r>
      <w:r w:rsidRPr="001E52F0">
        <w:rPr>
          <w:rFonts w:ascii="Verdana" w:hAnsi="Verdana" w:cs="Verdana"/>
          <w:sz w:val="20"/>
          <w:szCs w:val="20"/>
        </w:rPr>
        <w:t xml:space="preserve"> y remitió las hojas de vida de </w:t>
      </w:r>
      <w:r>
        <w:rPr>
          <w:rFonts w:ascii="Verdana" w:hAnsi="Verdana" w:cs="Verdana"/>
          <w:sz w:val="20"/>
          <w:szCs w:val="20"/>
        </w:rPr>
        <w:t>dichos</w:t>
      </w:r>
      <w:r w:rsidRPr="001E52F0">
        <w:rPr>
          <w:rFonts w:ascii="Verdana" w:hAnsi="Verdana" w:cs="Verdana"/>
          <w:sz w:val="20"/>
          <w:szCs w:val="20"/>
        </w:rPr>
        <w:t xml:space="preserve"> peritos</w:t>
      </w:r>
      <w:r>
        <w:rPr>
          <w:rFonts w:ascii="Verdana" w:hAnsi="Verdana" w:cs="Verdana"/>
          <w:sz w:val="20"/>
          <w:szCs w:val="20"/>
        </w:rPr>
        <w:t>, y presentó el escrito de contestación y anexos al mismo</w:t>
      </w:r>
      <w:r w:rsidRPr="001E52F0">
        <w:rPr>
          <w:rFonts w:ascii="Verdana" w:hAnsi="Verdana" w:cs="Verdana"/>
          <w:sz w:val="20"/>
          <w:szCs w:val="20"/>
        </w:rPr>
        <w:t xml:space="preserve">. </w:t>
      </w:r>
      <w:r>
        <w:rPr>
          <w:rFonts w:ascii="Verdana" w:hAnsi="Verdana" w:cs="Verdana"/>
          <w:sz w:val="20"/>
          <w:szCs w:val="20"/>
        </w:rPr>
        <w:t xml:space="preserve">Entre tales anexos se encontraban las hojas de vida de los demás peritos propuestos por República Dominicana. </w:t>
      </w:r>
    </w:p>
    <w:p w:rsidR="00332068" w:rsidRPr="00236206" w:rsidRDefault="00332068" w:rsidP="00332068">
      <w:pPr>
        <w:pStyle w:val="ListParagraph"/>
        <w:rPr>
          <w:rFonts w:ascii="Verdana" w:hAnsi="Verdana" w:cs="Verdana"/>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Pr>
          <w:rFonts w:ascii="Verdana" w:hAnsi="Verdana" w:cs="Verdana"/>
          <w:sz w:val="20"/>
          <w:szCs w:val="20"/>
          <w:lang w:val="es-CR"/>
        </w:rPr>
        <w:t>La comunicación de 28 de febrero de 2013, mediante la cual la Secretaría, a solicitud del Estado, le indicó el nombre de las peritas propuestas por la Comisión y los representantes que inicialmente no habían identificado (</w:t>
      </w:r>
      <w:r>
        <w:rPr>
          <w:rFonts w:ascii="Verdana" w:hAnsi="Verdana" w:cs="Verdana"/>
          <w:i/>
          <w:sz w:val="20"/>
          <w:szCs w:val="20"/>
          <w:lang w:val="es-CR"/>
        </w:rPr>
        <w:t>supra</w:t>
      </w:r>
      <w:r>
        <w:rPr>
          <w:rFonts w:ascii="Verdana" w:hAnsi="Verdana" w:cs="Verdana"/>
          <w:sz w:val="20"/>
          <w:szCs w:val="20"/>
          <w:lang w:val="es-CR"/>
        </w:rPr>
        <w:t xml:space="preserve"> Vistos 1 y 3) y le transmitió sus hojas de vida. Además la Secretaría mencionó al Estado que ya antes le había informado sobre tales nombres y transmitido las hojas de vida correspondientes, respectivamente, los días 28 de agosto y 7 de diciembre de 2012.</w:t>
      </w:r>
    </w:p>
    <w:p w:rsidR="00332068" w:rsidRDefault="00332068" w:rsidP="00332068">
      <w:pPr>
        <w:pStyle w:val="ListParagraph"/>
        <w:rPr>
          <w:rFonts w:ascii="Verdana" w:hAnsi="Verdana" w:cs="Verdana"/>
          <w:sz w:val="20"/>
          <w:szCs w:val="20"/>
          <w:lang w:val="es-CR"/>
        </w:rPr>
      </w:pPr>
    </w:p>
    <w:p w:rsidR="00332068" w:rsidRPr="00E123D4" w:rsidRDefault="00332068" w:rsidP="00332068">
      <w:pPr>
        <w:pStyle w:val="ListParagraph"/>
        <w:numPr>
          <w:ilvl w:val="0"/>
          <w:numId w:val="3"/>
        </w:numPr>
        <w:ind w:left="0" w:hanging="11"/>
        <w:jc w:val="both"/>
        <w:rPr>
          <w:rFonts w:ascii="Verdana" w:hAnsi="Verdana" w:cs="Verdana"/>
          <w:sz w:val="20"/>
          <w:szCs w:val="20"/>
          <w:lang w:val="es-CR"/>
        </w:rPr>
      </w:pPr>
      <w:r w:rsidRPr="00E123D4">
        <w:rPr>
          <w:rFonts w:ascii="Verdana" w:hAnsi="Verdana" w:cs="Verdana"/>
          <w:sz w:val="20"/>
          <w:szCs w:val="20"/>
          <w:lang w:val="es-CR"/>
        </w:rPr>
        <w:t>La Resolución del Presidente de la Corte (en adelante “el Presidente”) de 1 de marzo de 2013 sobre el Fondo de Asistencia</w:t>
      </w:r>
      <w:r>
        <w:rPr>
          <w:rFonts w:ascii="Verdana" w:hAnsi="Verdana" w:cs="Verdana"/>
          <w:sz w:val="20"/>
          <w:szCs w:val="20"/>
          <w:lang w:val="es-CR"/>
        </w:rPr>
        <w:t>.</w:t>
      </w:r>
    </w:p>
    <w:p w:rsidR="00332068" w:rsidRPr="001E52F0" w:rsidRDefault="00332068" w:rsidP="00332068">
      <w:pPr>
        <w:pStyle w:val="ListParagraph"/>
        <w:rPr>
          <w:rFonts w:ascii="Verdana" w:hAnsi="Verdana" w:cs="Verdana"/>
          <w:sz w:val="20"/>
          <w:szCs w:val="20"/>
          <w:lang w:val="es-CR"/>
        </w:rPr>
      </w:pPr>
    </w:p>
    <w:p w:rsidR="00332068" w:rsidRDefault="00332068" w:rsidP="00332068">
      <w:pPr>
        <w:pStyle w:val="ListParagraph"/>
        <w:numPr>
          <w:ilvl w:val="0"/>
          <w:numId w:val="3"/>
        </w:numPr>
        <w:ind w:left="0" w:hanging="11"/>
        <w:jc w:val="both"/>
        <w:rPr>
          <w:rFonts w:ascii="Verdana" w:hAnsi="Verdana" w:cs="Verdana"/>
          <w:sz w:val="20"/>
          <w:szCs w:val="20"/>
          <w:lang w:val="es-CR"/>
        </w:rPr>
      </w:pPr>
      <w:r>
        <w:rPr>
          <w:rFonts w:ascii="Verdana" w:hAnsi="Verdana" w:cs="Verdana"/>
          <w:sz w:val="20"/>
          <w:szCs w:val="20"/>
          <w:lang w:val="es-CR"/>
        </w:rPr>
        <w:t xml:space="preserve">El escrito </w:t>
      </w:r>
      <w:r w:rsidRPr="0073022E">
        <w:rPr>
          <w:rFonts w:ascii="Verdana" w:hAnsi="Verdana" w:cs="Verdana"/>
          <w:sz w:val="20"/>
          <w:szCs w:val="20"/>
          <w:lang w:val="es-CR"/>
        </w:rPr>
        <w:t>de</w:t>
      </w:r>
      <w:r>
        <w:rPr>
          <w:rFonts w:ascii="Verdana" w:hAnsi="Verdana" w:cs="Verdana"/>
          <w:sz w:val="20"/>
          <w:szCs w:val="20"/>
          <w:lang w:val="es-CR"/>
        </w:rPr>
        <w:t xml:space="preserve"> 6 de marzo de 2013 y el documento presentado el 7 de marzo de 2013, mediante los cuales el Estado remitió anexos al escrito de contestación que, en su mayoría, ya habían sido presentados el 4 de marzo de 2013 (</w:t>
      </w:r>
      <w:r>
        <w:rPr>
          <w:rFonts w:ascii="Verdana" w:hAnsi="Verdana" w:cs="Verdana"/>
          <w:i/>
          <w:sz w:val="20"/>
          <w:szCs w:val="20"/>
          <w:lang w:val="es-CR"/>
        </w:rPr>
        <w:t>supra</w:t>
      </w:r>
      <w:r>
        <w:rPr>
          <w:rFonts w:ascii="Verdana" w:hAnsi="Verdana" w:cs="Verdana"/>
          <w:sz w:val="20"/>
          <w:szCs w:val="20"/>
          <w:lang w:val="es-CR"/>
        </w:rPr>
        <w:t xml:space="preserve"> Visto 6).</w:t>
      </w:r>
      <w:r w:rsidRPr="0073022E">
        <w:rPr>
          <w:rFonts w:ascii="Verdana" w:hAnsi="Verdana" w:cs="Verdana"/>
          <w:sz w:val="20"/>
          <w:szCs w:val="20"/>
          <w:lang w:val="es-CR"/>
        </w:rPr>
        <w:t xml:space="preserve"> </w:t>
      </w:r>
    </w:p>
    <w:p w:rsidR="00332068" w:rsidRPr="0081463A" w:rsidRDefault="00332068" w:rsidP="00332068">
      <w:pPr>
        <w:pStyle w:val="ListParagraph"/>
        <w:rPr>
          <w:rFonts w:ascii="Verdana" w:hAnsi="Verdana" w:cs="Verdana"/>
          <w:sz w:val="20"/>
          <w:szCs w:val="20"/>
          <w:lang w:val="es-CR"/>
        </w:rPr>
      </w:pPr>
    </w:p>
    <w:p w:rsidR="00332068" w:rsidRPr="00115242" w:rsidRDefault="00332068" w:rsidP="00332068">
      <w:pPr>
        <w:pStyle w:val="ListParagraph"/>
        <w:numPr>
          <w:ilvl w:val="0"/>
          <w:numId w:val="3"/>
        </w:numPr>
        <w:ind w:left="0" w:hanging="11"/>
        <w:jc w:val="both"/>
        <w:rPr>
          <w:rFonts w:ascii="Verdana" w:hAnsi="Verdana" w:cs="Verdana"/>
          <w:sz w:val="20"/>
          <w:szCs w:val="20"/>
          <w:lang w:val="es-CR"/>
        </w:rPr>
      </w:pPr>
      <w:r w:rsidRPr="0081463A">
        <w:rPr>
          <w:rFonts w:ascii="Verdana" w:hAnsi="Verdana" w:cs="Verdana"/>
          <w:sz w:val="20"/>
          <w:szCs w:val="20"/>
          <w:lang w:val="es-CR"/>
        </w:rPr>
        <w:t xml:space="preserve">Las comunicaciones de 5 de junio de 2013 mediante la cual la Secretaría, siguiendo instrucciones del Pleno de la Corte, informó </w:t>
      </w:r>
      <w:r>
        <w:rPr>
          <w:rFonts w:ascii="Verdana" w:hAnsi="Verdana" w:cs="Verdana"/>
          <w:sz w:val="20"/>
          <w:szCs w:val="20"/>
          <w:lang w:val="es-CR"/>
        </w:rPr>
        <w:t xml:space="preserve">a las partes </w:t>
      </w:r>
      <w:r w:rsidRPr="0081463A">
        <w:rPr>
          <w:rFonts w:ascii="Verdana" w:hAnsi="Verdana" w:cs="Verdana"/>
          <w:sz w:val="20"/>
          <w:szCs w:val="20"/>
          <w:lang w:val="es-CR"/>
        </w:rPr>
        <w:t xml:space="preserve">que los documentos que habían sido remitidos </w:t>
      </w:r>
      <w:r w:rsidR="007A0755">
        <w:rPr>
          <w:rFonts w:ascii="Verdana" w:hAnsi="Verdana" w:cs="Verdana"/>
          <w:sz w:val="20"/>
          <w:szCs w:val="20"/>
          <w:lang w:val="es-CR"/>
        </w:rPr>
        <w:t xml:space="preserve">por el Estado </w:t>
      </w:r>
      <w:r w:rsidRPr="0081463A">
        <w:rPr>
          <w:rFonts w:ascii="Verdana" w:hAnsi="Verdana" w:cs="Verdana"/>
          <w:sz w:val="20"/>
          <w:szCs w:val="20"/>
          <w:lang w:val="es-CR"/>
        </w:rPr>
        <w:t>l</w:t>
      </w:r>
      <w:r>
        <w:rPr>
          <w:rFonts w:ascii="Verdana" w:hAnsi="Verdana" w:cs="Verdana"/>
          <w:sz w:val="20"/>
          <w:szCs w:val="20"/>
          <w:lang w:val="es-CR"/>
        </w:rPr>
        <w:t xml:space="preserve">os días 6 y 7 de marzo de 2013 </w:t>
      </w:r>
      <w:r w:rsidRPr="00622CFE">
        <w:rPr>
          <w:rFonts w:ascii="Verdana" w:hAnsi="Verdana" w:cs="Verdana"/>
          <w:sz w:val="20"/>
          <w:szCs w:val="20"/>
          <w:lang w:val="es-CR"/>
        </w:rPr>
        <w:t xml:space="preserve">no pueden ser tramitados por haber sido presentados extemporáneamente. </w:t>
      </w:r>
      <w:r>
        <w:rPr>
          <w:rFonts w:ascii="Verdana" w:hAnsi="Verdana" w:cs="Verdana"/>
          <w:sz w:val="20"/>
          <w:szCs w:val="20"/>
          <w:lang w:val="es-CR"/>
        </w:rPr>
        <w:t>E</w:t>
      </w:r>
      <w:r w:rsidRPr="0081463A">
        <w:rPr>
          <w:rFonts w:ascii="Verdana" w:hAnsi="Verdana" w:cs="Verdana"/>
          <w:sz w:val="20"/>
          <w:szCs w:val="20"/>
          <w:lang w:val="es-CR"/>
        </w:rPr>
        <w:t>n dichas comunicaciones la Secretaría, siguiendo instrucciones del Presidente, otorgó a los representantes y a la Comisión Interamericana un “plazo de treinta días” para que presentaran los alegatos que estimaran pertinentes a las excepciones preliminares interpuestas por el Estado</w:t>
      </w:r>
      <w:r>
        <w:rPr>
          <w:rFonts w:ascii="Verdana" w:hAnsi="Verdana" w:cs="Verdana"/>
          <w:sz w:val="20"/>
          <w:szCs w:val="20"/>
          <w:lang w:val="es-CR"/>
        </w:rPr>
        <w:t>.</w:t>
      </w:r>
    </w:p>
    <w:p w:rsidR="00332068" w:rsidRPr="001E52F0" w:rsidRDefault="00332068" w:rsidP="00332068">
      <w:pPr>
        <w:jc w:val="both"/>
        <w:rPr>
          <w:rFonts w:ascii="Verdana" w:hAnsi="Verdana" w:cs="Verdana"/>
          <w:bCs/>
          <w:sz w:val="20"/>
          <w:szCs w:val="20"/>
          <w:lang w:val="es-CR"/>
        </w:rPr>
      </w:pPr>
    </w:p>
    <w:p w:rsidR="00332068" w:rsidRPr="005B0461" w:rsidRDefault="00332068" w:rsidP="00332068">
      <w:pPr>
        <w:pStyle w:val="ListParagraph"/>
        <w:numPr>
          <w:ilvl w:val="0"/>
          <w:numId w:val="3"/>
        </w:numPr>
        <w:ind w:left="0" w:hanging="11"/>
        <w:jc w:val="both"/>
        <w:rPr>
          <w:rFonts w:ascii="Verdana" w:hAnsi="Verdana" w:cs="Verdana"/>
          <w:sz w:val="20"/>
          <w:szCs w:val="20"/>
          <w:lang w:val="es-CR"/>
        </w:rPr>
      </w:pPr>
      <w:r w:rsidRPr="005B0461">
        <w:rPr>
          <w:rFonts w:ascii="Verdana" w:hAnsi="Verdana" w:cs="Verdana"/>
          <w:bCs/>
          <w:sz w:val="20"/>
          <w:szCs w:val="20"/>
          <w:lang w:val="es-CR"/>
        </w:rPr>
        <w:t>El escrito 4 de julio de 2013, recibido vía correo electrónico el 5 de julio de 2013, mediante el cual la Comisión presentó sus observaciones a las excepciones preliminares interpuestas por el Estado.</w:t>
      </w:r>
    </w:p>
    <w:p w:rsidR="00332068" w:rsidRPr="00A43583" w:rsidRDefault="00332068" w:rsidP="00332068">
      <w:pPr>
        <w:jc w:val="both"/>
        <w:rPr>
          <w:rFonts w:ascii="Verdana" w:hAnsi="Verdana" w:cs="Verdana"/>
          <w:bCs/>
          <w:sz w:val="20"/>
          <w:szCs w:val="20"/>
          <w:highlight w:val="yellow"/>
          <w:lang w:val="es-CR"/>
        </w:rPr>
      </w:pPr>
    </w:p>
    <w:p w:rsidR="00332068" w:rsidRPr="005B0461" w:rsidRDefault="00332068" w:rsidP="00332068">
      <w:pPr>
        <w:pStyle w:val="ListParagraph"/>
        <w:numPr>
          <w:ilvl w:val="0"/>
          <w:numId w:val="3"/>
        </w:numPr>
        <w:ind w:left="0" w:hanging="11"/>
        <w:jc w:val="both"/>
        <w:rPr>
          <w:rFonts w:ascii="Verdana" w:hAnsi="Verdana" w:cs="Verdana"/>
          <w:sz w:val="20"/>
          <w:szCs w:val="20"/>
          <w:lang w:val="es-CR"/>
        </w:rPr>
      </w:pPr>
      <w:r w:rsidRPr="005B0461">
        <w:rPr>
          <w:rFonts w:ascii="Verdana" w:hAnsi="Verdana" w:cs="Verdana"/>
          <w:bCs/>
          <w:sz w:val="20"/>
          <w:szCs w:val="20"/>
          <w:lang w:val="es-CR"/>
        </w:rPr>
        <w:lastRenderedPageBreak/>
        <w:t>El escrito de</w:t>
      </w:r>
      <w:r>
        <w:rPr>
          <w:rFonts w:ascii="Verdana" w:hAnsi="Verdana" w:cs="Verdana"/>
          <w:bCs/>
          <w:sz w:val="20"/>
          <w:szCs w:val="20"/>
          <w:lang w:val="es-CR"/>
        </w:rPr>
        <w:t xml:space="preserve"> 4 de julio de 2013, recibido vía correo electrónico el</w:t>
      </w:r>
      <w:r w:rsidRPr="005B0461">
        <w:rPr>
          <w:rFonts w:ascii="Verdana" w:hAnsi="Verdana" w:cs="Verdana"/>
          <w:bCs/>
          <w:sz w:val="20"/>
          <w:szCs w:val="20"/>
          <w:lang w:val="es-CR"/>
        </w:rPr>
        <w:t xml:space="preserve"> 5 de julio de 2013, mediante el cual los representantes remitieron sus “observaciones en relación a las excepciones preliminares</w:t>
      </w:r>
      <w:r>
        <w:rPr>
          <w:rFonts w:ascii="Verdana" w:hAnsi="Verdana" w:cs="Verdana"/>
          <w:bCs/>
          <w:sz w:val="20"/>
          <w:szCs w:val="20"/>
          <w:lang w:val="es-CR"/>
        </w:rPr>
        <w:t xml:space="preserve"> interpuestas</w:t>
      </w:r>
      <w:r w:rsidRPr="005B0461">
        <w:rPr>
          <w:rFonts w:ascii="Verdana" w:hAnsi="Verdana" w:cs="Verdana"/>
          <w:bCs/>
          <w:sz w:val="20"/>
          <w:szCs w:val="20"/>
          <w:lang w:val="es-CR"/>
        </w:rPr>
        <w:t xml:space="preserve"> </w:t>
      </w:r>
      <w:r>
        <w:rPr>
          <w:rFonts w:ascii="Verdana" w:hAnsi="Verdana" w:cs="Verdana"/>
          <w:bCs/>
          <w:sz w:val="20"/>
          <w:szCs w:val="20"/>
          <w:lang w:val="es-CR"/>
        </w:rPr>
        <w:t>[</w:t>
      </w:r>
      <w:r w:rsidRPr="005B0461">
        <w:rPr>
          <w:rFonts w:ascii="Verdana" w:hAnsi="Verdana" w:cs="Verdana"/>
          <w:bCs/>
          <w:sz w:val="20"/>
          <w:szCs w:val="20"/>
          <w:lang w:val="es-CR"/>
        </w:rPr>
        <w:t>en el presente caso]”.</w:t>
      </w:r>
    </w:p>
    <w:p w:rsidR="00332068" w:rsidRPr="001E52F0" w:rsidRDefault="00332068" w:rsidP="00332068">
      <w:pPr>
        <w:jc w:val="both"/>
        <w:rPr>
          <w:rFonts w:ascii="Verdana" w:hAnsi="Verdana" w:cs="Verdana"/>
          <w:sz w:val="20"/>
          <w:szCs w:val="20"/>
          <w:lang w:val="es-CR"/>
        </w:rPr>
      </w:pPr>
    </w:p>
    <w:p w:rsidR="00332068" w:rsidRPr="0040623F" w:rsidRDefault="00332068" w:rsidP="00332068">
      <w:pPr>
        <w:pStyle w:val="ListParagraph"/>
        <w:numPr>
          <w:ilvl w:val="0"/>
          <w:numId w:val="3"/>
        </w:numPr>
        <w:ind w:left="0" w:hanging="11"/>
        <w:jc w:val="both"/>
        <w:rPr>
          <w:rFonts w:ascii="Verdana" w:hAnsi="Verdana" w:cs="Verdana"/>
          <w:bCs/>
          <w:sz w:val="20"/>
          <w:szCs w:val="20"/>
          <w:lang w:val="es-CR"/>
        </w:rPr>
      </w:pPr>
      <w:r w:rsidRPr="0040623F">
        <w:rPr>
          <w:rFonts w:ascii="Verdana" w:hAnsi="Verdana" w:cs="Verdana"/>
          <w:sz w:val="20"/>
          <w:szCs w:val="20"/>
          <w:lang w:val="es-CR"/>
        </w:rPr>
        <w:t xml:space="preserve">Las comunicaciones de 11 de julio de 2013, mediante las cuales la Secretaría, conforme al artículo 46.1 del Reglamento de la Corte (en adelante también “el Reglamento”) y siguiendo instrucciones del Presidente, solicitó al Estado, a los representantes y a la Comisión que remitieran sus listas definitivas de declarantes (en adelante también “listas definitivas”). </w:t>
      </w:r>
    </w:p>
    <w:p w:rsidR="00332068" w:rsidRPr="0040623F" w:rsidRDefault="00332068" w:rsidP="00332068">
      <w:pPr>
        <w:pStyle w:val="ListParagraph"/>
        <w:ind w:left="0"/>
        <w:jc w:val="both"/>
        <w:rPr>
          <w:rFonts w:ascii="Verdana" w:hAnsi="Verdana" w:cs="Verdana"/>
          <w:bCs/>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bCs/>
          <w:sz w:val="20"/>
          <w:szCs w:val="20"/>
          <w:lang w:val="es-CR"/>
        </w:rPr>
        <w:t xml:space="preserve">El escrito de 23 de julio de 2013, mediante el cual el Estado presentó </w:t>
      </w:r>
      <w:r>
        <w:rPr>
          <w:rFonts w:ascii="Verdana" w:hAnsi="Verdana" w:cs="Verdana"/>
          <w:bCs/>
          <w:sz w:val="20"/>
          <w:szCs w:val="20"/>
          <w:lang w:val="es-CR"/>
        </w:rPr>
        <w:t>su</w:t>
      </w:r>
      <w:r w:rsidRPr="001E52F0">
        <w:rPr>
          <w:rFonts w:ascii="Verdana" w:hAnsi="Verdana" w:cs="Verdana"/>
          <w:bCs/>
          <w:sz w:val="20"/>
          <w:szCs w:val="20"/>
          <w:lang w:val="es-CR"/>
        </w:rPr>
        <w:t xml:space="preserve"> lista definitiva de declarantes</w:t>
      </w:r>
      <w:r>
        <w:rPr>
          <w:rFonts w:ascii="Verdana" w:hAnsi="Verdana" w:cs="Verdana"/>
          <w:bCs/>
          <w:sz w:val="20"/>
          <w:szCs w:val="20"/>
          <w:lang w:val="es-CR"/>
        </w:rPr>
        <w:t xml:space="preserve"> y confirmó las declaraciones propuestas anteriormente, es decir, </w:t>
      </w:r>
      <w:r w:rsidRPr="001E52F0">
        <w:rPr>
          <w:rFonts w:ascii="Verdana" w:hAnsi="Verdana" w:cs="Verdana"/>
          <w:sz w:val="20"/>
          <w:szCs w:val="20"/>
        </w:rPr>
        <w:t xml:space="preserve">dos testigos y </w:t>
      </w:r>
      <w:r>
        <w:rPr>
          <w:rFonts w:ascii="Verdana" w:hAnsi="Verdana" w:cs="Verdana"/>
          <w:sz w:val="20"/>
          <w:szCs w:val="20"/>
        </w:rPr>
        <w:t>seis</w:t>
      </w:r>
      <w:r w:rsidRPr="001E52F0">
        <w:rPr>
          <w:rFonts w:ascii="Verdana" w:hAnsi="Verdana" w:cs="Verdana"/>
          <w:sz w:val="20"/>
          <w:szCs w:val="20"/>
        </w:rPr>
        <w:t xml:space="preserve"> declaraciones periciales</w:t>
      </w:r>
      <w:r>
        <w:rPr>
          <w:rFonts w:ascii="Verdana" w:hAnsi="Verdana" w:cs="Verdana"/>
          <w:bCs/>
          <w:sz w:val="20"/>
          <w:szCs w:val="20"/>
          <w:lang w:val="es-CR"/>
        </w:rPr>
        <w:t xml:space="preserve">. Además </w:t>
      </w:r>
      <w:r w:rsidRPr="001E52F0">
        <w:rPr>
          <w:rFonts w:ascii="Verdana" w:hAnsi="Verdana" w:cs="Verdana"/>
          <w:bCs/>
          <w:sz w:val="20"/>
          <w:szCs w:val="20"/>
          <w:lang w:val="es-CR"/>
        </w:rPr>
        <w:t>solicitó “que todos los declarantes propuestos sean convocados y escuchados en la audiencia pública del caso”.</w:t>
      </w:r>
    </w:p>
    <w:p w:rsidR="00332068" w:rsidRPr="001E52F0" w:rsidRDefault="00332068" w:rsidP="00332068">
      <w:pPr>
        <w:jc w:val="both"/>
        <w:rPr>
          <w:rFonts w:ascii="Verdana" w:hAnsi="Verdana" w:cs="Verdana"/>
          <w:bCs/>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bCs/>
          <w:sz w:val="20"/>
          <w:szCs w:val="20"/>
          <w:lang w:val="es-CR"/>
        </w:rPr>
        <w:t>El escrito de 24 de julio de 2013</w:t>
      </w:r>
      <w:r>
        <w:rPr>
          <w:rFonts w:ascii="Verdana" w:hAnsi="Verdana" w:cs="Verdana"/>
          <w:bCs/>
          <w:sz w:val="20"/>
          <w:szCs w:val="20"/>
          <w:lang w:val="es-CR"/>
        </w:rPr>
        <w:t>,</w:t>
      </w:r>
      <w:r w:rsidRPr="001E52F0">
        <w:rPr>
          <w:rFonts w:ascii="Verdana" w:hAnsi="Verdana" w:cs="Verdana"/>
          <w:bCs/>
          <w:sz w:val="20"/>
          <w:szCs w:val="20"/>
          <w:lang w:val="es-CR"/>
        </w:rPr>
        <w:t xml:space="preserve"> mediante el cual los representantes presentaron su lista definitiva de declarantes</w:t>
      </w:r>
      <w:r>
        <w:rPr>
          <w:rFonts w:ascii="Verdana" w:hAnsi="Verdana" w:cs="Verdana"/>
          <w:bCs/>
          <w:sz w:val="20"/>
          <w:szCs w:val="20"/>
          <w:lang w:val="es-CR"/>
        </w:rPr>
        <w:t xml:space="preserve"> y confirmaron las declaraciones propuestas anteriormente. Además, solicitaron que declaren en audiencia pública dos presuntas víctimas</w:t>
      </w:r>
      <w:r w:rsidRPr="001E52F0">
        <w:rPr>
          <w:rFonts w:ascii="Verdana" w:hAnsi="Verdana" w:cs="Verdana"/>
          <w:bCs/>
          <w:sz w:val="20"/>
          <w:szCs w:val="20"/>
          <w:lang w:val="es-CR"/>
        </w:rPr>
        <w:t xml:space="preserve"> y</w:t>
      </w:r>
      <w:r>
        <w:rPr>
          <w:rFonts w:ascii="Verdana" w:hAnsi="Verdana" w:cs="Verdana"/>
          <w:bCs/>
          <w:sz w:val="20"/>
          <w:szCs w:val="20"/>
          <w:lang w:val="es-CR"/>
        </w:rPr>
        <w:t xml:space="preserve"> dos peritos, y que se reciba la declaración </w:t>
      </w:r>
      <w:r w:rsidRPr="001E52F0">
        <w:rPr>
          <w:rFonts w:ascii="Verdana" w:hAnsi="Verdana" w:cs="Verdana"/>
          <w:bCs/>
          <w:sz w:val="20"/>
          <w:szCs w:val="20"/>
          <w:lang w:val="es-CR"/>
        </w:rPr>
        <w:t xml:space="preserve">mediante </w:t>
      </w:r>
      <w:proofErr w:type="spellStart"/>
      <w:r w:rsidRPr="001E52F0">
        <w:rPr>
          <w:rFonts w:ascii="Verdana" w:hAnsi="Verdana" w:cs="Verdana"/>
          <w:bCs/>
          <w:i/>
          <w:sz w:val="20"/>
          <w:szCs w:val="20"/>
          <w:lang w:val="es-CR"/>
        </w:rPr>
        <w:t>affid</w:t>
      </w:r>
      <w:r>
        <w:rPr>
          <w:rFonts w:ascii="Verdana" w:hAnsi="Verdana" w:cs="Verdana"/>
          <w:bCs/>
          <w:i/>
          <w:sz w:val="20"/>
          <w:szCs w:val="20"/>
          <w:lang w:val="es-CR"/>
        </w:rPr>
        <w:t>á</w:t>
      </w:r>
      <w:r w:rsidRPr="001E52F0">
        <w:rPr>
          <w:rFonts w:ascii="Verdana" w:hAnsi="Verdana" w:cs="Verdana"/>
          <w:bCs/>
          <w:i/>
          <w:sz w:val="20"/>
          <w:szCs w:val="20"/>
          <w:lang w:val="es-CR"/>
        </w:rPr>
        <w:t>vit</w:t>
      </w:r>
      <w:proofErr w:type="spellEnd"/>
      <w:r>
        <w:rPr>
          <w:rFonts w:ascii="Verdana" w:hAnsi="Verdana" w:cs="Verdana"/>
          <w:bCs/>
          <w:sz w:val="20"/>
          <w:szCs w:val="20"/>
          <w:lang w:val="es-CR"/>
        </w:rPr>
        <w:t xml:space="preserve"> de siete presuntas víctimas y tres peritos.</w:t>
      </w:r>
    </w:p>
    <w:p w:rsidR="00332068" w:rsidRPr="001E52F0" w:rsidRDefault="00332068" w:rsidP="00332068">
      <w:pPr>
        <w:pStyle w:val="ListParagraph"/>
        <w:rPr>
          <w:rFonts w:ascii="Verdana" w:hAnsi="Verdana" w:cs="Verdana"/>
          <w:bCs/>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bCs/>
          <w:sz w:val="20"/>
          <w:szCs w:val="20"/>
          <w:lang w:val="es-CR"/>
        </w:rPr>
        <w:t>El escrito de 24 de julio de 2013, mediante el cual, la Comisión Interamericana remitió su lista definitiva de declarantes</w:t>
      </w:r>
      <w:r>
        <w:rPr>
          <w:rFonts w:ascii="Verdana" w:hAnsi="Verdana" w:cs="Verdana"/>
          <w:bCs/>
          <w:sz w:val="20"/>
          <w:szCs w:val="20"/>
          <w:lang w:val="es-CR"/>
        </w:rPr>
        <w:t xml:space="preserve"> y reiteró su ofrecimiento de prueba. Además solicitó que se reciba en audiencia pública dos peritajes y un peritaje </w:t>
      </w:r>
      <w:r w:rsidRPr="001E52F0">
        <w:rPr>
          <w:rFonts w:ascii="Verdana" w:hAnsi="Verdana" w:cs="Verdana"/>
          <w:bCs/>
          <w:sz w:val="20"/>
          <w:szCs w:val="20"/>
          <w:lang w:val="es-CR"/>
        </w:rPr>
        <w:t>mediante</w:t>
      </w:r>
      <w:r>
        <w:rPr>
          <w:rFonts w:ascii="Verdana" w:hAnsi="Verdana" w:cs="Verdana"/>
          <w:bCs/>
          <w:sz w:val="20"/>
          <w:szCs w:val="20"/>
          <w:lang w:val="es-CR"/>
        </w:rPr>
        <w:t xml:space="preserve"> </w:t>
      </w:r>
      <w:proofErr w:type="spellStart"/>
      <w:r w:rsidRPr="001E52F0">
        <w:rPr>
          <w:rFonts w:ascii="Verdana" w:hAnsi="Verdana" w:cs="Verdana"/>
          <w:bCs/>
          <w:i/>
          <w:sz w:val="20"/>
          <w:szCs w:val="20"/>
          <w:lang w:val="es-CR"/>
        </w:rPr>
        <w:t>affidávit</w:t>
      </w:r>
      <w:proofErr w:type="spellEnd"/>
      <w:r w:rsidRPr="001E52F0">
        <w:rPr>
          <w:rFonts w:ascii="Verdana" w:hAnsi="Verdana" w:cs="Verdana"/>
          <w:bCs/>
          <w:sz w:val="20"/>
          <w:szCs w:val="20"/>
          <w:lang w:val="es-CR"/>
        </w:rPr>
        <w:t>.</w:t>
      </w:r>
    </w:p>
    <w:p w:rsidR="00332068" w:rsidRPr="001E52F0" w:rsidRDefault="00332068" w:rsidP="00332068">
      <w:pPr>
        <w:pStyle w:val="ListParagraph"/>
        <w:rPr>
          <w:rFonts w:ascii="Verdana" w:hAnsi="Verdana" w:cs="Verdana"/>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sz w:val="20"/>
          <w:szCs w:val="20"/>
          <w:lang w:val="es-CR"/>
        </w:rPr>
        <w:t>La</w:t>
      </w:r>
      <w:r>
        <w:rPr>
          <w:rFonts w:ascii="Verdana" w:hAnsi="Verdana" w:cs="Verdana"/>
          <w:sz w:val="20"/>
          <w:szCs w:val="20"/>
          <w:lang w:val="es-CR"/>
        </w:rPr>
        <w:t>s</w:t>
      </w:r>
      <w:r w:rsidRPr="001E52F0">
        <w:rPr>
          <w:rFonts w:ascii="Verdana" w:hAnsi="Verdana" w:cs="Verdana"/>
          <w:sz w:val="20"/>
          <w:szCs w:val="20"/>
          <w:lang w:val="es-CR"/>
        </w:rPr>
        <w:t xml:space="preserve"> </w:t>
      </w:r>
      <w:r>
        <w:rPr>
          <w:rFonts w:ascii="Verdana" w:hAnsi="Verdana" w:cs="Verdana"/>
          <w:sz w:val="20"/>
          <w:szCs w:val="20"/>
          <w:lang w:val="es-CR"/>
        </w:rPr>
        <w:t>comunicaciones</w:t>
      </w:r>
      <w:r w:rsidRPr="001E52F0">
        <w:rPr>
          <w:rFonts w:ascii="Verdana" w:hAnsi="Verdana" w:cs="Verdana"/>
          <w:sz w:val="20"/>
          <w:szCs w:val="20"/>
          <w:lang w:val="es-CR"/>
        </w:rPr>
        <w:t xml:space="preserve"> de 29 de julio de 2013</w:t>
      </w:r>
      <w:r>
        <w:rPr>
          <w:rFonts w:ascii="Verdana" w:hAnsi="Verdana" w:cs="Verdana"/>
          <w:sz w:val="20"/>
          <w:szCs w:val="20"/>
          <w:lang w:val="es-CR"/>
        </w:rPr>
        <w:t>, mediante las cuales</w:t>
      </w:r>
      <w:r w:rsidRPr="001E52F0">
        <w:rPr>
          <w:rFonts w:ascii="Verdana" w:hAnsi="Verdana" w:cs="Verdana"/>
          <w:sz w:val="20"/>
          <w:szCs w:val="20"/>
          <w:lang w:val="es-CR"/>
        </w:rPr>
        <w:t xml:space="preserve"> la Secretaría, siguiendo instrucciones del Presidente</w:t>
      </w:r>
      <w:r>
        <w:rPr>
          <w:rFonts w:ascii="Verdana" w:hAnsi="Verdana" w:cs="Verdana"/>
          <w:sz w:val="20"/>
          <w:szCs w:val="20"/>
          <w:lang w:val="es-CR"/>
        </w:rPr>
        <w:t>,</w:t>
      </w:r>
      <w:r w:rsidRPr="001E52F0">
        <w:rPr>
          <w:rFonts w:ascii="Verdana" w:hAnsi="Verdana" w:cs="Verdana"/>
          <w:sz w:val="20"/>
          <w:szCs w:val="20"/>
          <w:lang w:val="es-CR"/>
        </w:rPr>
        <w:t xml:space="preserve"> otorgó un plazo de 10 días a las partes y </w:t>
      </w:r>
      <w:r>
        <w:rPr>
          <w:rFonts w:ascii="Verdana" w:hAnsi="Verdana" w:cs="Verdana"/>
          <w:sz w:val="20"/>
          <w:szCs w:val="20"/>
          <w:lang w:val="es-CR"/>
        </w:rPr>
        <w:t>a la Comisión para que presentaran</w:t>
      </w:r>
      <w:r w:rsidRPr="001E52F0">
        <w:rPr>
          <w:rFonts w:ascii="Verdana" w:hAnsi="Verdana" w:cs="Verdana"/>
          <w:sz w:val="20"/>
          <w:szCs w:val="20"/>
          <w:lang w:val="es-CR"/>
        </w:rPr>
        <w:t xml:space="preserve"> las observaciones a las listas definitivas que consider</w:t>
      </w:r>
      <w:r>
        <w:rPr>
          <w:rFonts w:ascii="Verdana" w:hAnsi="Verdana" w:cs="Verdana"/>
          <w:sz w:val="20"/>
          <w:szCs w:val="20"/>
          <w:lang w:val="es-CR"/>
        </w:rPr>
        <w:t>ara</w:t>
      </w:r>
      <w:r w:rsidRPr="001E52F0">
        <w:rPr>
          <w:rFonts w:ascii="Verdana" w:hAnsi="Verdana" w:cs="Verdana"/>
          <w:sz w:val="20"/>
          <w:szCs w:val="20"/>
          <w:lang w:val="es-CR"/>
        </w:rPr>
        <w:t xml:space="preserve">n pertinentes. </w:t>
      </w:r>
    </w:p>
    <w:p w:rsidR="00332068" w:rsidRPr="001E52F0" w:rsidRDefault="00332068" w:rsidP="00332068">
      <w:pPr>
        <w:jc w:val="both"/>
        <w:rPr>
          <w:rFonts w:ascii="Verdana" w:hAnsi="Verdana" w:cs="Verdana"/>
          <w:bCs/>
          <w:sz w:val="20"/>
          <w:szCs w:val="20"/>
          <w:lang w:val="es-CR"/>
        </w:rPr>
      </w:pPr>
    </w:p>
    <w:p w:rsidR="00332068" w:rsidRPr="00804CD2" w:rsidRDefault="00332068" w:rsidP="00332068">
      <w:pPr>
        <w:pStyle w:val="ListParagraph"/>
        <w:numPr>
          <w:ilvl w:val="0"/>
          <w:numId w:val="3"/>
        </w:numPr>
        <w:ind w:left="0" w:hanging="11"/>
        <w:jc w:val="both"/>
        <w:rPr>
          <w:rFonts w:ascii="Verdana" w:hAnsi="Verdana" w:cs="Verdana"/>
          <w:sz w:val="20"/>
          <w:szCs w:val="20"/>
          <w:lang w:val="es-CR"/>
        </w:rPr>
      </w:pPr>
      <w:r w:rsidRPr="00804CD2">
        <w:rPr>
          <w:rFonts w:ascii="Verdana" w:hAnsi="Verdana" w:cs="Verdana"/>
          <w:bCs/>
          <w:sz w:val="20"/>
          <w:szCs w:val="20"/>
          <w:lang w:val="es-CR"/>
        </w:rPr>
        <w:t xml:space="preserve">El escrito de 31 de julio de 2013, mediante el cual el Estado presentó </w:t>
      </w:r>
      <w:r>
        <w:rPr>
          <w:rFonts w:ascii="Verdana" w:hAnsi="Verdana" w:cs="Verdana"/>
          <w:bCs/>
          <w:sz w:val="20"/>
          <w:szCs w:val="20"/>
          <w:lang w:val="es-CR"/>
        </w:rPr>
        <w:t>una</w:t>
      </w:r>
      <w:r w:rsidRPr="00804CD2">
        <w:rPr>
          <w:rFonts w:ascii="Verdana" w:hAnsi="Verdana" w:cs="Verdana"/>
          <w:bCs/>
          <w:sz w:val="20"/>
          <w:szCs w:val="20"/>
          <w:lang w:val="es-CR"/>
        </w:rPr>
        <w:t xml:space="preserve"> “réplica” a las observaciones de la Comisión y los representantes</w:t>
      </w:r>
      <w:r>
        <w:rPr>
          <w:rFonts w:ascii="Verdana" w:hAnsi="Verdana" w:cs="Verdana"/>
          <w:bCs/>
          <w:sz w:val="20"/>
          <w:szCs w:val="20"/>
          <w:lang w:val="es-CR"/>
        </w:rPr>
        <w:t xml:space="preserve"> recibidas por la Secretaría </w:t>
      </w:r>
      <w:r w:rsidRPr="00804CD2">
        <w:rPr>
          <w:rFonts w:ascii="Verdana" w:hAnsi="Verdana" w:cs="Verdana"/>
          <w:bCs/>
          <w:sz w:val="20"/>
          <w:szCs w:val="20"/>
          <w:lang w:val="es-CR"/>
        </w:rPr>
        <w:t>e</w:t>
      </w:r>
      <w:r>
        <w:rPr>
          <w:rFonts w:ascii="Verdana" w:hAnsi="Verdana" w:cs="Verdana"/>
          <w:bCs/>
          <w:sz w:val="20"/>
          <w:szCs w:val="20"/>
          <w:lang w:val="es-CR"/>
        </w:rPr>
        <w:t>l</w:t>
      </w:r>
      <w:r w:rsidRPr="00804CD2">
        <w:rPr>
          <w:rFonts w:ascii="Verdana" w:hAnsi="Verdana" w:cs="Verdana"/>
          <w:bCs/>
          <w:sz w:val="20"/>
          <w:szCs w:val="20"/>
          <w:lang w:val="es-CR"/>
        </w:rPr>
        <w:t xml:space="preserve"> 5 de julio de 2013</w:t>
      </w:r>
      <w:r>
        <w:rPr>
          <w:rFonts w:ascii="Verdana" w:hAnsi="Verdana" w:cs="Verdana"/>
          <w:bCs/>
          <w:sz w:val="20"/>
          <w:szCs w:val="20"/>
          <w:lang w:val="es-CR"/>
        </w:rPr>
        <w:t xml:space="preserve"> (</w:t>
      </w:r>
      <w:r>
        <w:rPr>
          <w:rFonts w:ascii="Verdana" w:hAnsi="Verdana" w:cs="Verdana"/>
          <w:bCs/>
          <w:i/>
          <w:sz w:val="20"/>
          <w:szCs w:val="20"/>
          <w:lang w:val="es-CR"/>
        </w:rPr>
        <w:t>supra</w:t>
      </w:r>
      <w:r>
        <w:rPr>
          <w:rFonts w:ascii="Verdana" w:hAnsi="Verdana" w:cs="Verdana"/>
          <w:bCs/>
          <w:sz w:val="20"/>
          <w:szCs w:val="20"/>
          <w:lang w:val="es-CR"/>
        </w:rPr>
        <w:t xml:space="preserve"> Vistos 11 y 12)</w:t>
      </w:r>
      <w:r w:rsidRPr="00804CD2">
        <w:rPr>
          <w:rFonts w:ascii="Verdana" w:hAnsi="Verdana" w:cs="Verdana"/>
          <w:bCs/>
          <w:sz w:val="20"/>
          <w:szCs w:val="20"/>
          <w:lang w:val="es-CR"/>
        </w:rPr>
        <w:t xml:space="preserve">, “concernientes a las excepciones preliminares interpuestas por el </w:t>
      </w:r>
      <w:proofErr w:type="gramStart"/>
      <w:r w:rsidRPr="00804CD2">
        <w:rPr>
          <w:rFonts w:ascii="Verdana" w:hAnsi="Verdana" w:cs="Verdana"/>
          <w:bCs/>
          <w:sz w:val="20"/>
          <w:szCs w:val="20"/>
          <w:lang w:val="es-CR"/>
        </w:rPr>
        <w:t>Estado[</w:t>
      </w:r>
      <w:proofErr w:type="gramEnd"/>
      <w:r w:rsidRPr="00804CD2">
        <w:rPr>
          <w:rFonts w:ascii="Verdana" w:hAnsi="Verdana" w:cs="Verdana"/>
          <w:bCs/>
          <w:sz w:val="20"/>
          <w:szCs w:val="20"/>
          <w:lang w:val="es-CR"/>
        </w:rPr>
        <w:t xml:space="preserve">, de] </w:t>
      </w:r>
      <w:proofErr w:type="spellStart"/>
      <w:r w:rsidRPr="00804CD2">
        <w:rPr>
          <w:rFonts w:ascii="Verdana" w:hAnsi="Verdana" w:cs="Verdana"/>
          <w:bCs/>
          <w:sz w:val="20"/>
          <w:szCs w:val="20"/>
          <w:lang w:val="es-CR"/>
        </w:rPr>
        <w:t>ac</w:t>
      </w:r>
      <w:proofErr w:type="spellEnd"/>
      <w:r w:rsidRPr="00804CD2">
        <w:rPr>
          <w:rFonts w:ascii="Verdana" w:hAnsi="Verdana" w:cs="Verdana"/>
          <w:bCs/>
          <w:sz w:val="20"/>
          <w:szCs w:val="20"/>
          <w:lang w:val="es-CR"/>
        </w:rPr>
        <w:t>[</w:t>
      </w:r>
      <w:proofErr w:type="spellStart"/>
      <w:r w:rsidRPr="00804CD2">
        <w:rPr>
          <w:rFonts w:ascii="Verdana" w:hAnsi="Verdana" w:cs="Verdana"/>
          <w:bCs/>
          <w:sz w:val="20"/>
          <w:szCs w:val="20"/>
          <w:lang w:val="es-CR"/>
        </w:rPr>
        <w:t>ue</w:t>
      </w:r>
      <w:proofErr w:type="spellEnd"/>
      <w:r w:rsidRPr="00804CD2">
        <w:rPr>
          <w:rFonts w:ascii="Verdana" w:hAnsi="Verdana" w:cs="Verdana"/>
          <w:bCs/>
          <w:sz w:val="20"/>
          <w:szCs w:val="20"/>
          <w:lang w:val="es-CR"/>
        </w:rPr>
        <w:t>]</w:t>
      </w:r>
      <w:proofErr w:type="spellStart"/>
      <w:r w:rsidRPr="00804CD2">
        <w:rPr>
          <w:rFonts w:ascii="Verdana" w:hAnsi="Verdana" w:cs="Verdana"/>
          <w:bCs/>
          <w:sz w:val="20"/>
          <w:szCs w:val="20"/>
          <w:lang w:val="es-CR"/>
        </w:rPr>
        <w:t>rd</w:t>
      </w:r>
      <w:proofErr w:type="spellEnd"/>
      <w:r w:rsidRPr="00804CD2">
        <w:rPr>
          <w:rFonts w:ascii="Verdana" w:hAnsi="Verdana" w:cs="Verdana"/>
          <w:bCs/>
          <w:sz w:val="20"/>
          <w:szCs w:val="20"/>
          <w:lang w:val="es-CR"/>
        </w:rPr>
        <w:t xml:space="preserve">[o] con el artículo 43 del Reglamento de la Corte”. </w:t>
      </w:r>
    </w:p>
    <w:p w:rsidR="00332068" w:rsidRPr="001E52F0" w:rsidRDefault="00332068" w:rsidP="00332068">
      <w:pPr>
        <w:pStyle w:val="ListParagraph"/>
        <w:rPr>
          <w:rFonts w:ascii="Verdana" w:hAnsi="Verdana" w:cs="Verdana"/>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sz w:val="20"/>
          <w:szCs w:val="20"/>
          <w:lang w:val="es-CR"/>
        </w:rPr>
        <w:t xml:space="preserve">El escrito de </w:t>
      </w:r>
      <w:r>
        <w:rPr>
          <w:rFonts w:ascii="Verdana" w:hAnsi="Verdana" w:cs="Verdana"/>
          <w:sz w:val="20"/>
          <w:szCs w:val="20"/>
          <w:lang w:val="es-CR"/>
        </w:rPr>
        <w:t xml:space="preserve">7 </w:t>
      </w:r>
      <w:r w:rsidRPr="001E52F0">
        <w:rPr>
          <w:rFonts w:ascii="Verdana" w:hAnsi="Verdana" w:cs="Verdana"/>
          <w:sz w:val="20"/>
          <w:szCs w:val="20"/>
          <w:lang w:val="es-CR"/>
        </w:rPr>
        <w:t>de agosto de 2013, mediante el cual la Comisión indicó que “no tiene observaciones que formular a la</w:t>
      </w:r>
      <w:r>
        <w:rPr>
          <w:rFonts w:ascii="Verdana" w:hAnsi="Verdana" w:cs="Verdana"/>
          <w:sz w:val="20"/>
          <w:szCs w:val="20"/>
          <w:lang w:val="es-CR"/>
        </w:rPr>
        <w:t>[s]</w:t>
      </w:r>
      <w:r w:rsidRPr="001E52F0">
        <w:rPr>
          <w:rFonts w:ascii="Verdana" w:hAnsi="Verdana" w:cs="Verdana"/>
          <w:sz w:val="20"/>
          <w:szCs w:val="20"/>
          <w:lang w:val="es-CR"/>
        </w:rPr>
        <w:t xml:space="preserve"> lista</w:t>
      </w:r>
      <w:r>
        <w:rPr>
          <w:rFonts w:ascii="Verdana" w:hAnsi="Verdana" w:cs="Verdana"/>
          <w:sz w:val="20"/>
          <w:szCs w:val="20"/>
          <w:lang w:val="es-CR"/>
        </w:rPr>
        <w:t>[s]</w:t>
      </w:r>
      <w:r w:rsidRPr="001E52F0">
        <w:rPr>
          <w:rFonts w:ascii="Verdana" w:hAnsi="Verdana" w:cs="Verdana"/>
          <w:sz w:val="20"/>
          <w:szCs w:val="20"/>
          <w:lang w:val="es-CR"/>
        </w:rPr>
        <w:t xml:space="preserve"> definitiva</w:t>
      </w:r>
      <w:r>
        <w:rPr>
          <w:rFonts w:ascii="Verdana" w:hAnsi="Verdana" w:cs="Verdana"/>
          <w:sz w:val="20"/>
          <w:szCs w:val="20"/>
          <w:lang w:val="es-CR"/>
        </w:rPr>
        <w:t>[s]</w:t>
      </w:r>
      <w:r w:rsidRPr="001E52F0">
        <w:rPr>
          <w:rFonts w:ascii="Verdana" w:hAnsi="Verdana" w:cs="Verdana"/>
          <w:sz w:val="20"/>
          <w:szCs w:val="20"/>
          <w:lang w:val="es-CR"/>
        </w:rPr>
        <w:t xml:space="preserve"> de declarantes efectuada</w:t>
      </w:r>
      <w:r>
        <w:rPr>
          <w:rFonts w:ascii="Verdana" w:hAnsi="Verdana" w:cs="Verdana"/>
          <w:sz w:val="20"/>
          <w:szCs w:val="20"/>
          <w:lang w:val="es-CR"/>
        </w:rPr>
        <w:t>[s]</w:t>
      </w:r>
      <w:r w:rsidRPr="001E52F0">
        <w:rPr>
          <w:rFonts w:ascii="Verdana" w:hAnsi="Verdana" w:cs="Verdana"/>
          <w:sz w:val="20"/>
          <w:szCs w:val="20"/>
          <w:lang w:val="es-CR"/>
        </w:rPr>
        <w:t xml:space="preserve"> por el Estado </w:t>
      </w:r>
      <w:r>
        <w:rPr>
          <w:rFonts w:ascii="Verdana" w:hAnsi="Verdana" w:cs="Verdana"/>
          <w:sz w:val="20"/>
          <w:szCs w:val="20"/>
          <w:lang w:val="es-CR"/>
        </w:rPr>
        <w:t xml:space="preserve">[…] </w:t>
      </w:r>
      <w:r w:rsidRPr="001E52F0">
        <w:rPr>
          <w:rFonts w:ascii="Verdana" w:hAnsi="Verdana" w:cs="Verdana"/>
          <w:sz w:val="20"/>
          <w:szCs w:val="20"/>
          <w:lang w:val="es-CR"/>
        </w:rPr>
        <w:t>y los representantes</w:t>
      </w:r>
      <w:r>
        <w:rPr>
          <w:rFonts w:ascii="Verdana" w:hAnsi="Verdana" w:cs="Verdana"/>
          <w:sz w:val="20"/>
          <w:szCs w:val="20"/>
          <w:lang w:val="es-CR"/>
        </w:rPr>
        <w:t>”</w:t>
      </w:r>
      <w:r w:rsidRPr="001E52F0">
        <w:rPr>
          <w:rFonts w:ascii="Verdana" w:hAnsi="Verdana" w:cs="Verdana"/>
          <w:sz w:val="20"/>
          <w:szCs w:val="20"/>
          <w:lang w:val="es-CR"/>
        </w:rPr>
        <w:t xml:space="preserve">. </w:t>
      </w:r>
    </w:p>
    <w:p w:rsidR="00332068" w:rsidRPr="001E52F0" w:rsidRDefault="00332068" w:rsidP="00332068">
      <w:pPr>
        <w:jc w:val="both"/>
        <w:rPr>
          <w:rFonts w:ascii="Verdana" w:hAnsi="Verdana" w:cs="Verdana"/>
          <w:sz w:val="20"/>
          <w:szCs w:val="20"/>
          <w:lang w:val="es-CR"/>
        </w:rPr>
      </w:pPr>
    </w:p>
    <w:p w:rsidR="00332068" w:rsidRPr="001E52F0"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sz w:val="20"/>
          <w:szCs w:val="20"/>
          <w:lang w:val="es-CR"/>
        </w:rPr>
        <w:t>El escrito de 8 de agosto de 2013</w:t>
      </w:r>
      <w:r>
        <w:rPr>
          <w:rFonts w:ascii="Verdana" w:hAnsi="Verdana" w:cs="Verdana"/>
          <w:sz w:val="20"/>
          <w:szCs w:val="20"/>
          <w:lang w:val="es-CR"/>
        </w:rPr>
        <w:t>,</w:t>
      </w:r>
      <w:r w:rsidRPr="001E52F0">
        <w:rPr>
          <w:rFonts w:ascii="Verdana" w:hAnsi="Verdana" w:cs="Verdana"/>
          <w:sz w:val="20"/>
          <w:szCs w:val="20"/>
          <w:lang w:val="es-CR"/>
        </w:rPr>
        <w:t xml:space="preserve"> </w:t>
      </w:r>
      <w:r>
        <w:rPr>
          <w:rFonts w:ascii="Verdana" w:hAnsi="Verdana" w:cs="Verdana"/>
          <w:sz w:val="20"/>
          <w:szCs w:val="20"/>
          <w:lang w:val="es-CR"/>
        </w:rPr>
        <w:t>mediante el cual</w:t>
      </w:r>
      <w:r w:rsidRPr="001E52F0">
        <w:rPr>
          <w:rFonts w:ascii="Verdana" w:hAnsi="Verdana" w:cs="Verdana"/>
          <w:sz w:val="20"/>
          <w:szCs w:val="20"/>
          <w:lang w:val="es-CR"/>
        </w:rPr>
        <w:t xml:space="preserve"> el Estado presentó “</w:t>
      </w:r>
      <w:r>
        <w:rPr>
          <w:rFonts w:ascii="Verdana" w:hAnsi="Verdana" w:cs="Verdana"/>
          <w:sz w:val="20"/>
          <w:szCs w:val="20"/>
          <w:lang w:val="es-CR"/>
        </w:rPr>
        <w:t>las</w:t>
      </w:r>
      <w:r w:rsidRPr="001E52F0">
        <w:rPr>
          <w:rFonts w:ascii="Verdana" w:hAnsi="Verdana" w:cs="Verdana"/>
          <w:sz w:val="20"/>
          <w:szCs w:val="20"/>
          <w:lang w:val="es-CR"/>
        </w:rPr>
        <w:t xml:space="preserve"> observaciones, objeciones y recusaciones, según sea el caso”</w:t>
      </w:r>
      <w:r>
        <w:rPr>
          <w:rFonts w:ascii="Verdana" w:hAnsi="Verdana" w:cs="Verdana"/>
          <w:sz w:val="20"/>
          <w:szCs w:val="20"/>
          <w:lang w:val="es-CR"/>
        </w:rPr>
        <w:t>, respecto del ofrecimiento de declaraciones de cinco presuntas víctimas ofrecidas por los representantes, un perito ofrecido por los representantes y un perito ofrecido tanto por la Comisión como por los representantes.</w:t>
      </w:r>
      <w:r w:rsidRPr="001E52F0">
        <w:rPr>
          <w:rFonts w:ascii="Verdana" w:hAnsi="Verdana" w:cs="Verdana"/>
          <w:sz w:val="20"/>
          <w:szCs w:val="20"/>
          <w:lang w:val="es-CR"/>
        </w:rPr>
        <w:t xml:space="preserve"> </w:t>
      </w:r>
      <w:r>
        <w:rPr>
          <w:rFonts w:ascii="Verdana" w:hAnsi="Verdana" w:cs="Verdana"/>
          <w:sz w:val="20"/>
          <w:szCs w:val="20"/>
          <w:lang w:val="es-CR"/>
        </w:rPr>
        <w:t>Además se reservó el derecho de presentar observaciones respecto a una perito ofrecida por los representantes, porque, según expresó, no había recibido su hoja de vida.</w:t>
      </w:r>
    </w:p>
    <w:p w:rsidR="00332068" w:rsidRPr="001E52F0" w:rsidRDefault="00332068" w:rsidP="00332068">
      <w:pPr>
        <w:jc w:val="both"/>
        <w:rPr>
          <w:rFonts w:ascii="Verdana" w:hAnsi="Verdana" w:cs="Verdana"/>
          <w:sz w:val="20"/>
          <w:szCs w:val="20"/>
          <w:lang w:val="es-CR"/>
        </w:rPr>
      </w:pPr>
    </w:p>
    <w:p w:rsidR="00332068" w:rsidRDefault="00332068" w:rsidP="00332068">
      <w:pPr>
        <w:pStyle w:val="ListParagraph"/>
        <w:numPr>
          <w:ilvl w:val="0"/>
          <w:numId w:val="3"/>
        </w:numPr>
        <w:ind w:left="0" w:hanging="11"/>
        <w:jc w:val="both"/>
        <w:rPr>
          <w:rFonts w:ascii="Verdana" w:hAnsi="Verdana" w:cs="Verdana"/>
          <w:sz w:val="20"/>
          <w:szCs w:val="20"/>
          <w:lang w:val="es-CR"/>
        </w:rPr>
      </w:pPr>
      <w:r w:rsidRPr="003A6D4D">
        <w:rPr>
          <w:rFonts w:ascii="Verdana" w:hAnsi="Verdana" w:cs="Verdana"/>
          <w:sz w:val="20"/>
          <w:szCs w:val="20"/>
          <w:lang w:val="es-CR"/>
        </w:rPr>
        <w:t>El escrito de 8 de agosto de 2013, mediante el cual los representantes remitieron sus observaciones a la</w:t>
      </w:r>
      <w:r>
        <w:rPr>
          <w:rFonts w:ascii="Verdana" w:hAnsi="Verdana" w:cs="Verdana"/>
          <w:sz w:val="20"/>
          <w:szCs w:val="20"/>
          <w:lang w:val="es-CR"/>
        </w:rPr>
        <w:t>s</w:t>
      </w:r>
      <w:r w:rsidRPr="003A6D4D">
        <w:rPr>
          <w:rFonts w:ascii="Verdana" w:hAnsi="Verdana" w:cs="Verdana"/>
          <w:sz w:val="20"/>
          <w:szCs w:val="20"/>
          <w:lang w:val="es-CR"/>
        </w:rPr>
        <w:t xml:space="preserve"> lista</w:t>
      </w:r>
      <w:r>
        <w:rPr>
          <w:rFonts w:ascii="Verdana" w:hAnsi="Verdana" w:cs="Verdana"/>
          <w:sz w:val="20"/>
          <w:szCs w:val="20"/>
          <w:lang w:val="es-CR"/>
        </w:rPr>
        <w:t>s</w:t>
      </w:r>
      <w:r w:rsidRPr="003A6D4D">
        <w:rPr>
          <w:rFonts w:ascii="Verdana" w:hAnsi="Verdana" w:cs="Verdana"/>
          <w:sz w:val="20"/>
          <w:szCs w:val="20"/>
          <w:lang w:val="es-CR"/>
        </w:rPr>
        <w:t xml:space="preserve"> definitiva</w:t>
      </w:r>
      <w:r>
        <w:rPr>
          <w:rFonts w:ascii="Verdana" w:hAnsi="Verdana" w:cs="Verdana"/>
          <w:sz w:val="20"/>
          <w:szCs w:val="20"/>
          <w:lang w:val="es-CR"/>
        </w:rPr>
        <w:t>s</w:t>
      </w:r>
      <w:r w:rsidRPr="003A6D4D">
        <w:rPr>
          <w:rFonts w:ascii="Verdana" w:hAnsi="Verdana" w:cs="Verdana"/>
          <w:sz w:val="20"/>
          <w:szCs w:val="20"/>
          <w:lang w:val="es-CR"/>
        </w:rPr>
        <w:t xml:space="preserve"> presentada</w:t>
      </w:r>
      <w:r>
        <w:rPr>
          <w:rFonts w:ascii="Verdana" w:hAnsi="Verdana" w:cs="Verdana"/>
          <w:sz w:val="20"/>
          <w:szCs w:val="20"/>
          <w:lang w:val="es-CR"/>
        </w:rPr>
        <w:t>s</w:t>
      </w:r>
      <w:r w:rsidRPr="003A6D4D">
        <w:rPr>
          <w:rFonts w:ascii="Verdana" w:hAnsi="Verdana" w:cs="Verdana"/>
          <w:sz w:val="20"/>
          <w:szCs w:val="20"/>
          <w:lang w:val="es-CR"/>
        </w:rPr>
        <w:t xml:space="preserve"> por el Estado</w:t>
      </w:r>
      <w:r>
        <w:rPr>
          <w:rFonts w:ascii="Verdana" w:hAnsi="Verdana" w:cs="Verdana"/>
          <w:sz w:val="20"/>
          <w:szCs w:val="20"/>
          <w:lang w:val="es-CR"/>
        </w:rPr>
        <w:t xml:space="preserve"> y la Comisión</w:t>
      </w:r>
      <w:r w:rsidRPr="003A6D4D">
        <w:rPr>
          <w:rFonts w:ascii="Verdana" w:hAnsi="Verdana" w:cs="Verdana"/>
          <w:sz w:val="20"/>
          <w:szCs w:val="20"/>
          <w:lang w:val="es-CR"/>
        </w:rPr>
        <w:t xml:space="preserve"> y presentaron</w:t>
      </w:r>
      <w:r>
        <w:rPr>
          <w:rFonts w:ascii="Verdana" w:hAnsi="Verdana" w:cs="Verdana"/>
          <w:sz w:val="20"/>
          <w:szCs w:val="20"/>
          <w:lang w:val="es-CR"/>
        </w:rPr>
        <w:t xml:space="preserve"> recusaciones respecto a dos peritos y</w:t>
      </w:r>
      <w:r w:rsidRPr="003A6D4D">
        <w:rPr>
          <w:rFonts w:ascii="Verdana" w:hAnsi="Verdana" w:cs="Verdana"/>
          <w:sz w:val="20"/>
          <w:szCs w:val="20"/>
          <w:lang w:val="es-CR"/>
        </w:rPr>
        <w:t xml:space="preserve"> </w:t>
      </w:r>
      <w:r>
        <w:rPr>
          <w:rFonts w:ascii="Verdana" w:hAnsi="Verdana" w:cs="Verdana"/>
          <w:sz w:val="20"/>
          <w:szCs w:val="20"/>
          <w:lang w:val="es-CR"/>
        </w:rPr>
        <w:t>objeciones respecto</w:t>
      </w:r>
      <w:r w:rsidRPr="003A6D4D">
        <w:rPr>
          <w:rFonts w:ascii="Verdana" w:hAnsi="Verdana" w:cs="Verdana"/>
          <w:sz w:val="20"/>
          <w:szCs w:val="20"/>
          <w:lang w:val="es-CR"/>
        </w:rPr>
        <w:t xml:space="preserve"> a </w:t>
      </w:r>
      <w:r w:rsidRPr="005D4FF2">
        <w:rPr>
          <w:rFonts w:ascii="Verdana" w:hAnsi="Verdana" w:cs="Verdana"/>
          <w:sz w:val="20"/>
          <w:szCs w:val="20"/>
          <w:lang w:val="es-CR"/>
        </w:rPr>
        <w:t>una</w:t>
      </w:r>
      <w:r w:rsidRPr="003A6D4D">
        <w:rPr>
          <w:rFonts w:ascii="Verdana" w:hAnsi="Verdana" w:cs="Verdana"/>
          <w:sz w:val="20"/>
          <w:szCs w:val="20"/>
          <w:lang w:val="es-CR"/>
        </w:rPr>
        <w:t xml:space="preserve"> testigo y a </w:t>
      </w:r>
      <w:r>
        <w:rPr>
          <w:rFonts w:ascii="Verdana" w:hAnsi="Verdana" w:cs="Verdana"/>
          <w:sz w:val="20"/>
          <w:szCs w:val="20"/>
          <w:lang w:val="es-CR"/>
        </w:rPr>
        <w:t xml:space="preserve">otros </w:t>
      </w:r>
      <w:r w:rsidRPr="003A6D4D">
        <w:rPr>
          <w:rFonts w:ascii="Verdana" w:hAnsi="Verdana" w:cs="Verdana"/>
          <w:sz w:val="20"/>
          <w:szCs w:val="20"/>
          <w:lang w:val="es-CR"/>
        </w:rPr>
        <w:t>dos peritos</w:t>
      </w:r>
      <w:r>
        <w:rPr>
          <w:rFonts w:ascii="Verdana" w:hAnsi="Verdana" w:cs="Verdana"/>
          <w:sz w:val="20"/>
          <w:szCs w:val="20"/>
          <w:lang w:val="es-CR"/>
        </w:rPr>
        <w:t xml:space="preserve"> propuestos por el Estado</w:t>
      </w:r>
      <w:r w:rsidRPr="003A6D4D">
        <w:rPr>
          <w:rFonts w:ascii="Verdana" w:hAnsi="Verdana" w:cs="Verdana"/>
          <w:sz w:val="20"/>
          <w:szCs w:val="20"/>
          <w:lang w:val="es-CR"/>
        </w:rPr>
        <w:t xml:space="preserve">. Respecto a la lista definitiva de declarantes propuesta por la Comisión, los representantes señalaron que “no </w:t>
      </w:r>
      <w:proofErr w:type="gramStart"/>
      <w:r w:rsidRPr="003A6D4D">
        <w:rPr>
          <w:rFonts w:ascii="Verdana" w:hAnsi="Verdana" w:cs="Verdana"/>
          <w:sz w:val="20"/>
          <w:szCs w:val="20"/>
          <w:lang w:val="es-CR"/>
        </w:rPr>
        <w:t>ten[</w:t>
      </w:r>
      <w:proofErr w:type="spellStart"/>
      <w:proofErr w:type="gramEnd"/>
      <w:r w:rsidRPr="003A6D4D">
        <w:rPr>
          <w:rFonts w:ascii="Verdana" w:hAnsi="Verdana" w:cs="Verdana"/>
          <w:sz w:val="20"/>
          <w:szCs w:val="20"/>
          <w:lang w:val="es-CR"/>
        </w:rPr>
        <w:t>ían</w:t>
      </w:r>
      <w:proofErr w:type="spellEnd"/>
      <w:r w:rsidRPr="003A6D4D">
        <w:rPr>
          <w:rFonts w:ascii="Verdana" w:hAnsi="Verdana" w:cs="Verdana"/>
          <w:sz w:val="20"/>
          <w:szCs w:val="20"/>
          <w:lang w:val="es-CR"/>
        </w:rPr>
        <w:t xml:space="preserve">] observaciones”. </w:t>
      </w:r>
    </w:p>
    <w:p w:rsidR="00332068" w:rsidRPr="001E52F0" w:rsidRDefault="00332068" w:rsidP="00332068">
      <w:pPr>
        <w:jc w:val="both"/>
        <w:rPr>
          <w:rFonts w:ascii="Verdana" w:hAnsi="Verdana" w:cs="Verdana"/>
          <w:sz w:val="20"/>
          <w:szCs w:val="20"/>
          <w:lang w:val="es-CR"/>
        </w:rPr>
      </w:pPr>
    </w:p>
    <w:p w:rsidR="00332068" w:rsidRDefault="00332068" w:rsidP="00332068">
      <w:pPr>
        <w:pStyle w:val="ListParagraph"/>
        <w:numPr>
          <w:ilvl w:val="0"/>
          <w:numId w:val="3"/>
        </w:numPr>
        <w:ind w:left="0" w:hanging="11"/>
        <w:jc w:val="both"/>
        <w:rPr>
          <w:rFonts w:ascii="Verdana" w:hAnsi="Verdana" w:cs="Verdana"/>
          <w:sz w:val="20"/>
          <w:szCs w:val="20"/>
          <w:lang w:val="es-CR"/>
        </w:rPr>
      </w:pPr>
      <w:r w:rsidRPr="001E52F0">
        <w:rPr>
          <w:rFonts w:ascii="Verdana" w:hAnsi="Verdana" w:cs="Verdana"/>
          <w:sz w:val="20"/>
          <w:szCs w:val="20"/>
          <w:lang w:val="es-CR"/>
        </w:rPr>
        <w:t>L</w:t>
      </w:r>
      <w:r>
        <w:rPr>
          <w:rFonts w:ascii="Verdana" w:hAnsi="Verdana" w:cs="Verdana"/>
          <w:sz w:val="20"/>
          <w:szCs w:val="20"/>
          <w:lang w:val="es-CR"/>
        </w:rPr>
        <w:t>a</w:t>
      </w:r>
      <w:r w:rsidRPr="001E52F0">
        <w:rPr>
          <w:rFonts w:ascii="Verdana" w:hAnsi="Verdana" w:cs="Verdana"/>
          <w:sz w:val="20"/>
          <w:szCs w:val="20"/>
          <w:lang w:val="es-CR"/>
        </w:rPr>
        <w:t xml:space="preserve">s </w:t>
      </w:r>
      <w:r>
        <w:rPr>
          <w:rFonts w:ascii="Verdana" w:hAnsi="Verdana" w:cs="Verdana"/>
          <w:sz w:val="20"/>
          <w:szCs w:val="20"/>
          <w:lang w:val="es-CR"/>
        </w:rPr>
        <w:t>comunicaciones de 1</w:t>
      </w:r>
      <w:r w:rsidRPr="001E52F0">
        <w:rPr>
          <w:rFonts w:ascii="Verdana" w:hAnsi="Verdana" w:cs="Verdana"/>
          <w:sz w:val="20"/>
          <w:szCs w:val="20"/>
          <w:lang w:val="es-CR"/>
        </w:rPr>
        <w:t>6 de agosto de 2013</w:t>
      </w:r>
      <w:r>
        <w:rPr>
          <w:rFonts w:ascii="Verdana" w:hAnsi="Verdana" w:cs="Verdana"/>
          <w:sz w:val="20"/>
          <w:szCs w:val="20"/>
          <w:lang w:val="es-CR"/>
        </w:rPr>
        <w:t>,</w:t>
      </w:r>
      <w:r w:rsidRPr="001E52F0">
        <w:rPr>
          <w:rFonts w:ascii="Verdana" w:hAnsi="Verdana" w:cs="Verdana"/>
          <w:sz w:val="20"/>
          <w:szCs w:val="20"/>
          <w:lang w:val="es-CR"/>
        </w:rPr>
        <w:t xml:space="preserve"> mediante l</w:t>
      </w:r>
      <w:r>
        <w:rPr>
          <w:rFonts w:ascii="Verdana" w:hAnsi="Verdana" w:cs="Verdana"/>
          <w:sz w:val="20"/>
          <w:szCs w:val="20"/>
          <w:lang w:val="es-CR"/>
        </w:rPr>
        <w:t>a</w:t>
      </w:r>
      <w:r w:rsidRPr="001E52F0">
        <w:rPr>
          <w:rFonts w:ascii="Verdana" w:hAnsi="Verdana" w:cs="Verdana"/>
          <w:sz w:val="20"/>
          <w:szCs w:val="20"/>
          <w:lang w:val="es-CR"/>
        </w:rPr>
        <w:t xml:space="preserve">s cuales </w:t>
      </w:r>
      <w:r>
        <w:rPr>
          <w:rFonts w:ascii="Verdana" w:hAnsi="Verdana" w:cs="Verdana"/>
          <w:sz w:val="20"/>
          <w:szCs w:val="20"/>
          <w:lang w:val="es-CR"/>
        </w:rPr>
        <w:t>la Secretaría transmitió a las partes y a la Comisión, según sea el caso,  las observaciones presentadas sobre las listas definitivas de cada parte y de la Comisión. Asimismo, sobre lo señalado por el Estado en sus observaciones, de que se reservaba la posibilidad de presentar observaciones sobre una de las peritos ofrecidas por los representantes (</w:t>
      </w:r>
      <w:r w:rsidRPr="001F6FB3">
        <w:rPr>
          <w:rFonts w:ascii="Verdana" w:hAnsi="Verdana" w:cs="Verdana"/>
          <w:i/>
          <w:sz w:val="20"/>
          <w:szCs w:val="20"/>
          <w:lang w:val="es-CR"/>
        </w:rPr>
        <w:t>supra</w:t>
      </w:r>
      <w:r w:rsidR="008F004E">
        <w:rPr>
          <w:rFonts w:ascii="Verdana" w:hAnsi="Verdana" w:cs="Verdana"/>
          <w:sz w:val="20"/>
          <w:szCs w:val="20"/>
          <w:lang w:val="es-CR"/>
        </w:rPr>
        <w:t xml:space="preserve"> V</w:t>
      </w:r>
      <w:r>
        <w:rPr>
          <w:rFonts w:ascii="Verdana" w:hAnsi="Verdana" w:cs="Verdana"/>
          <w:sz w:val="20"/>
          <w:szCs w:val="20"/>
          <w:lang w:val="es-CR"/>
        </w:rPr>
        <w:t>isto 20), se indicó al Estado que la Secretaría oportunamente le transmitió su hoja de vida (</w:t>
      </w:r>
      <w:r w:rsidRPr="00A06625">
        <w:rPr>
          <w:rFonts w:ascii="Verdana" w:hAnsi="Verdana" w:cs="Verdana"/>
          <w:i/>
          <w:sz w:val="20"/>
          <w:szCs w:val="20"/>
          <w:lang w:val="es-CR"/>
        </w:rPr>
        <w:t>supra</w:t>
      </w:r>
      <w:r>
        <w:rPr>
          <w:rFonts w:ascii="Verdana" w:hAnsi="Verdana" w:cs="Verdana"/>
          <w:sz w:val="20"/>
          <w:szCs w:val="20"/>
          <w:lang w:val="es-CR"/>
        </w:rPr>
        <w:t xml:space="preserve"> Visto 7), por lo que, siguiendo instrucciones del Presidente, no era procedente su solicitud. Por último, se transmitió a los </w:t>
      </w:r>
      <w:r w:rsidRPr="001E52F0">
        <w:rPr>
          <w:rFonts w:ascii="Verdana" w:hAnsi="Verdana" w:cs="Verdana"/>
          <w:sz w:val="20"/>
          <w:szCs w:val="20"/>
          <w:lang w:val="es-CR"/>
        </w:rPr>
        <w:t xml:space="preserve">cuatro </w:t>
      </w:r>
      <w:r>
        <w:rPr>
          <w:rFonts w:ascii="Verdana" w:hAnsi="Verdana" w:cs="Verdana"/>
          <w:sz w:val="20"/>
          <w:szCs w:val="20"/>
          <w:lang w:val="es-CR"/>
        </w:rPr>
        <w:t>peritos recusados las partes pertinentes de las observaciones respectivas formuladas por las partes, para que presentaran, a más tardar el 26 de agosto de 2013, las observaciones que estimaran pertinentes respecto a la recusación u objeciones.</w:t>
      </w:r>
    </w:p>
    <w:p w:rsidR="00332068" w:rsidRPr="005212F2" w:rsidRDefault="00332068" w:rsidP="00332068">
      <w:pPr>
        <w:pStyle w:val="ListParagraph"/>
        <w:rPr>
          <w:rFonts w:ascii="Verdana" w:hAnsi="Verdana" w:cs="Verdana"/>
          <w:sz w:val="20"/>
          <w:szCs w:val="20"/>
          <w:lang w:val="es-CR"/>
        </w:rPr>
      </w:pPr>
    </w:p>
    <w:p w:rsidR="00332068" w:rsidRPr="00090AEF" w:rsidRDefault="00332068" w:rsidP="00332068">
      <w:pPr>
        <w:pStyle w:val="ListParagraph"/>
        <w:numPr>
          <w:ilvl w:val="0"/>
          <w:numId w:val="3"/>
        </w:numPr>
        <w:ind w:left="0" w:hanging="11"/>
        <w:jc w:val="both"/>
        <w:rPr>
          <w:rFonts w:ascii="Verdana" w:hAnsi="Verdana" w:cs="Verdana"/>
          <w:sz w:val="20"/>
          <w:szCs w:val="20"/>
          <w:lang w:val="es-CR"/>
        </w:rPr>
      </w:pPr>
      <w:r w:rsidRPr="00090AEF">
        <w:rPr>
          <w:rFonts w:ascii="Verdana" w:hAnsi="Verdana" w:cs="Verdana"/>
          <w:sz w:val="20"/>
          <w:szCs w:val="20"/>
          <w:lang w:val="es-CR"/>
        </w:rPr>
        <w:t xml:space="preserve">Los escritos </w:t>
      </w:r>
      <w:r>
        <w:rPr>
          <w:rFonts w:ascii="Verdana" w:hAnsi="Verdana" w:cs="Verdana"/>
          <w:sz w:val="20"/>
          <w:szCs w:val="20"/>
          <w:lang w:val="es-CR"/>
        </w:rPr>
        <w:t>recibidos el</w:t>
      </w:r>
      <w:r w:rsidRPr="00090AEF">
        <w:rPr>
          <w:rFonts w:ascii="Verdana" w:hAnsi="Verdana" w:cs="Verdana"/>
          <w:sz w:val="20"/>
          <w:szCs w:val="20"/>
          <w:lang w:val="es-CR"/>
        </w:rPr>
        <w:t xml:space="preserve"> 26 de agosto de 2013, mediante los cuales cada uno de los cuatro peritos recusados present</w:t>
      </w:r>
      <w:r>
        <w:rPr>
          <w:rFonts w:ascii="Verdana" w:hAnsi="Verdana" w:cs="Verdana"/>
          <w:sz w:val="20"/>
          <w:szCs w:val="20"/>
          <w:lang w:val="es-CR"/>
        </w:rPr>
        <w:t>ó</w:t>
      </w:r>
      <w:r w:rsidRPr="00090AEF">
        <w:rPr>
          <w:rFonts w:ascii="Verdana" w:hAnsi="Verdana" w:cs="Verdana"/>
          <w:sz w:val="20"/>
          <w:szCs w:val="20"/>
          <w:lang w:val="es-CR"/>
        </w:rPr>
        <w:t xml:space="preserve"> sus observaciones al respecto</w:t>
      </w:r>
      <w:r>
        <w:rPr>
          <w:rFonts w:ascii="Verdana" w:hAnsi="Verdana" w:cs="Verdana"/>
          <w:sz w:val="20"/>
          <w:szCs w:val="20"/>
          <w:lang w:val="es-CR"/>
        </w:rPr>
        <w:t>.</w:t>
      </w:r>
    </w:p>
    <w:p w:rsidR="00332068" w:rsidRPr="001E52F0" w:rsidRDefault="00332068" w:rsidP="00332068">
      <w:pPr>
        <w:pStyle w:val="ListParagraph"/>
        <w:ind w:left="0"/>
        <w:jc w:val="both"/>
        <w:rPr>
          <w:rFonts w:ascii="Verdana" w:hAnsi="Verdana" w:cs="Verdana"/>
          <w:sz w:val="20"/>
          <w:szCs w:val="20"/>
          <w:lang w:val="es-CR"/>
        </w:rPr>
      </w:pPr>
      <w:r w:rsidRPr="001E52F0">
        <w:rPr>
          <w:rFonts w:ascii="Verdana" w:hAnsi="Verdana" w:cs="Verdana"/>
          <w:sz w:val="20"/>
          <w:szCs w:val="20"/>
          <w:lang w:val="es-CR"/>
        </w:rPr>
        <w:t xml:space="preserve"> </w:t>
      </w:r>
    </w:p>
    <w:p w:rsidR="00332068" w:rsidRDefault="001F1052" w:rsidP="00332068">
      <w:pPr>
        <w:jc w:val="both"/>
        <w:rPr>
          <w:rFonts w:ascii="Verdana" w:hAnsi="Verdana" w:cs="Verdana"/>
          <w:sz w:val="20"/>
          <w:szCs w:val="20"/>
          <w:lang w:val="es-CR"/>
        </w:rPr>
      </w:pPr>
      <w:r>
        <w:rPr>
          <w:rFonts w:ascii="Verdana" w:hAnsi="Verdana" w:cs="Verdana"/>
          <w:sz w:val="20"/>
          <w:szCs w:val="20"/>
          <w:lang w:val="es-CR"/>
        </w:rPr>
        <w:t>24</w:t>
      </w:r>
      <w:r w:rsidR="00332068">
        <w:rPr>
          <w:rFonts w:ascii="Verdana" w:hAnsi="Verdana" w:cs="Verdana"/>
          <w:sz w:val="20"/>
          <w:szCs w:val="20"/>
          <w:lang w:val="es-CR"/>
        </w:rPr>
        <w:t xml:space="preserve">. </w:t>
      </w:r>
      <w:r w:rsidR="00332068">
        <w:rPr>
          <w:rFonts w:ascii="Verdana" w:hAnsi="Verdana" w:cs="Verdana"/>
          <w:sz w:val="20"/>
          <w:szCs w:val="20"/>
          <w:lang w:val="es-CR"/>
        </w:rPr>
        <w:tab/>
      </w:r>
      <w:r w:rsidR="00332068" w:rsidRPr="00804CD2">
        <w:rPr>
          <w:rFonts w:ascii="Verdana" w:hAnsi="Verdana" w:cs="Verdana"/>
          <w:sz w:val="20"/>
          <w:szCs w:val="20"/>
          <w:lang w:val="es-CR"/>
        </w:rPr>
        <w:t xml:space="preserve">La comunicación de </w:t>
      </w:r>
      <w:r w:rsidR="00332068">
        <w:rPr>
          <w:rFonts w:ascii="Verdana" w:hAnsi="Verdana" w:cs="Verdana"/>
          <w:sz w:val="20"/>
          <w:szCs w:val="20"/>
          <w:lang w:val="es-CR"/>
        </w:rPr>
        <w:t>3</w:t>
      </w:r>
      <w:r w:rsidR="00332068" w:rsidRPr="00804CD2">
        <w:rPr>
          <w:rFonts w:ascii="Verdana" w:hAnsi="Verdana" w:cs="Verdana"/>
          <w:sz w:val="20"/>
          <w:szCs w:val="20"/>
          <w:lang w:val="es-CR"/>
        </w:rPr>
        <w:t xml:space="preserve"> de septiembre de 2013, mediante </w:t>
      </w:r>
      <w:r w:rsidR="00332068">
        <w:rPr>
          <w:rFonts w:ascii="Verdana" w:hAnsi="Verdana" w:cs="Verdana"/>
          <w:sz w:val="20"/>
          <w:szCs w:val="20"/>
          <w:lang w:val="es-CR"/>
        </w:rPr>
        <w:t xml:space="preserve">la cual </w:t>
      </w:r>
      <w:r w:rsidR="00332068" w:rsidRPr="00804CD2">
        <w:rPr>
          <w:rFonts w:ascii="Verdana" w:hAnsi="Verdana" w:cs="Verdana"/>
          <w:sz w:val="20"/>
          <w:szCs w:val="20"/>
          <w:lang w:val="es-CR"/>
        </w:rPr>
        <w:t xml:space="preserve">la Secretaría, siguiendo instrucciones del Presidente, </w:t>
      </w:r>
      <w:r w:rsidR="00332068">
        <w:rPr>
          <w:rFonts w:ascii="Verdana" w:hAnsi="Verdana" w:cs="Verdana"/>
          <w:sz w:val="20"/>
          <w:szCs w:val="20"/>
          <w:lang w:val="es-CR"/>
        </w:rPr>
        <w:t>comunicó al Estado que</w:t>
      </w:r>
      <w:r w:rsidR="00332068" w:rsidRPr="00804CD2">
        <w:rPr>
          <w:rFonts w:ascii="Verdana" w:hAnsi="Verdana" w:cs="Verdana"/>
          <w:sz w:val="20"/>
          <w:szCs w:val="20"/>
          <w:lang w:val="es-CR"/>
        </w:rPr>
        <w:t xml:space="preserve"> el escrito</w:t>
      </w:r>
      <w:r w:rsidR="00332068">
        <w:rPr>
          <w:rFonts w:ascii="Verdana" w:hAnsi="Verdana" w:cs="Verdana"/>
          <w:sz w:val="20"/>
          <w:szCs w:val="20"/>
          <w:lang w:val="es-CR"/>
        </w:rPr>
        <w:t xml:space="preserve"> de 31 de julio de 2013 (</w:t>
      </w:r>
      <w:r w:rsidR="00332068">
        <w:rPr>
          <w:rFonts w:ascii="Verdana" w:hAnsi="Verdana" w:cs="Verdana"/>
          <w:i/>
          <w:sz w:val="20"/>
          <w:szCs w:val="20"/>
          <w:lang w:val="es-CR"/>
        </w:rPr>
        <w:t>supra</w:t>
      </w:r>
      <w:r w:rsidR="00332068">
        <w:rPr>
          <w:rFonts w:ascii="Verdana" w:hAnsi="Verdana" w:cs="Verdana"/>
          <w:sz w:val="20"/>
          <w:szCs w:val="20"/>
          <w:lang w:val="es-CR"/>
        </w:rPr>
        <w:t xml:space="preserve"> Visto 18) no será tenido en cuenta por la Corte. </w:t>
      </w:r>
    </w:p>
    <w:p w:rsidR="00332068" w:rsidRDefault="00332068" w:rsidP="00332068">
      <w:pPr>
        <w:jc w:val="both"/>
        <w:rPr>
          <w:rFonts w:ascii="Verdana" w:hAnsi="Verdana" w:cs="Verdana"/>
          <w:sz w:val="20"/>
          <w:szCs w:val="20"/>
          <w:lang w:val="es-CR"/>
        </w:rPr>
      </w:pPr>
      <w:r>
        <w:rPr>
          <w:rFonts w:ascii="Verdana" w:hAnsi="Verdana" w:cs="Verdana"/>
          <w:sz w:val="20"/>
          <w:szCs w:val="20"/>
          <w:lang w:val="es-CR"/>
        </w:rPr>
        <w:t xml:space="preserve"> </w:t>
      </w:r>
    </w:p>
    <w:p w:rsidR="00332068" w:rsidRPr="00B14A4E" w:rsidRDefault="00332068" w:rsidP="00332068">
      <w:pPr>
        <w:jc w:val="both"/>
        <w:rPr>
          <w:rFonts w:ascii="Verdana" w:hAnsi="Verdana" w:cs="Verdana"/>
          <w:sz w:val="20"/>
          <w:szCs w:val="20"/>
          <w:lang w:val="es-CR"/>
        </w:rPr>
      </w:pPr>
    </w:p>
    <w:p w:rsidR="00332068" w:rsidRDefault="00332068" w:rsidP="00332068">
      <w:pPr>
        <w:tabs>
          <w:tab w:val="left" w:pos="680"/>
        </w:tabs>
        <w:jc w:val="both"/>
        <w:rPr>
          <w:rFonts w:ascii="Verdana" w:hAnsi="Verdana" w:cs="Verdana"/>
          <w:b/>
          <w:bCs/>
          <w:sz w:val="20"/>
          <w:szCs w:val="20"/>
          <w:lang w:val="es-ES_tradnl"/>
        </w:rPr>
      </w:pPr>
      <w:r w:rsidRPr="00542BD5">
        <w:rPr>
          <w:rFonts w:ascii="Verdana" w:hAnsi="Verdana" w:cs="Verdana"/>
          <w:b/>
          <w:bCs/>
          <w:sz w:val="20"/>
          <w:szCs w:val="20"/>
          <w:lang w:val="es-ES_tradnl"/>
        </w:rPr>
        <w:t>CONSIDERANDO</w:t>
      </w:r>
      <w:r>
        <w:rPr>
          <w:rFonts w:ascii="Verdana" w:hAnsi="Verdana" w:cs="Verdana"/>
          <w:b/>
          <w:bCs/>
          <w:sz w:val="20"/>
          <w:szCs w:val="20"/>
          <w:lang w:val="es-ES_tradnl"/>
        </w:rPr>
        <w:t xml:space="preserve"> QUE</w:t>
      </w:r>
      <w:r w:rsidRPr="00542BD5">
        <w:rPr>
          <w:rFonts w:ascii="Verdana" w:hAnsi="Verdana" w:cs="Verdana"/>
          <w:b/>
          <w:bCs/>
          <w:sz w:val="20"/>
          <w:szCs w:val="20"/>
          <w:lang w:val="es-ES_tradnl"/>
        </w:rPr>
        <w:t>:</w:t>
      </w:r>
    </w:p>
    <w:p w:rsidR="00332068" w:rsidRPr="00241298" w:rsidRDefault="00332068" w:rsidP="00332068">
      <w:pPr>
        <w:tabs>
          <w:tab w:val="left" w:pos="680"/>
        </w:tabs>
        <w:jc w:val="both"/>
        <w:rPr>
          <w:rFonts w:ascii="Verdana" w:hAnsi="Verdana" w:cs="Verdana"/>
          <w:b/>
          <w:bCs/>
          <w:sz w:val="20"/>
          <w:szCs w:val="20"/>
          <w:lang w:val="es-ES_tradnl"/>
        </w:rPr>
      </w:pPr>
    </w:p>
    <w:p w:rsidR="00332068" w:rsidRPr="00761FDC" w:rsidRDefault="00332068" w:rsidP="00332068">
      <w:pPr>
        <w:jc w:val="both"/>
        <w:rPr>
          <w:rFonts w:ascii="Verdana" w:hAnsi="Verdana"/>
          <w:b/>
          <w:bCs/>
          <w:i/>
          <w:iCs/>
          <w:sz w:val="20"/>
          <w:szCs w:val="20"/>
        </w:rPr>
      </w:pPr>
      <w:r w:rsidRPr="00184162">
        <w:rPr>
          <w:rFonts w:ascii="Verdana" w:hAnsi="Verdana"/>
          <w:sz w:val="20"/>
          <w:szCs w:val="20"/>
          <w:lang w:val="es-ES_tradnl"/>
        </w:rPr>
        <w:t>1</w:t>
      </w:r>
      <w:r w:rsidRPr="00184162">
        <w:rPr>
          <w:rFonts w:ascii="Verdana" w:hAnsi="Verdana"/>
          <w:sz w:val="20"/>
          <w:szCs w:val="20"/>
        </w:rPr>
        <w:t>.</w:t>
      </w:r>
      <w:r w:rsidRPr="00184162">
        <w:rPr>
          <w:rFonts w:ascii="Verdana" w:hAnsi="Verdana"/>
          <w:sz w:val="20"/>
          <w:szCs w:val="20"/>
        </w:rPr>
        <w:tab/>
        <w:t>En esta Resolución el Presidente se pronunciará, en primer lugar, sobre una s</w:t>
      </w:r>
      <w:r w:rsidRPr="00184162">
        <w:rPr>
          <w:rFonts w:ascii="Verdana" w:hAnsi="Verdana"/>
          <w:bCs/>
          <w:iCs/>
          <w:sz w:val="20"/>
          <w:szCs w:val="20"/>
        </w:rPr>
        <w:t xml:space="preserve">olicitud del Estado de un pronunciamiento previo de la Corte sobre excepciones preliminares y sobre  “asuntos previos” </w:t>
      </w:r>
      <w:r w:rsidRPr="00184162">
        <w:rPr>
          <w:rFonts w:ascii="Verdana" w:hAnsi="Verdana"/>
          <w:sz w:val="20"/>
          <w:szCs w:val="20"/>
        </w:rPr>
        <w:t>y, en segundo lugar, sobre los ofrecimientos de prueba</w:t>
      </w:r>
      <w:r w:rsidRPr="00761FDC">
        <w:rPr>
          <w:rFonts w:ascii="Verdana" w:hAnsi="Verdana"/>
          <w:sz w:val="20"/>
          <w:szCs w:val="20"/>
        </w:rPr>
        <w:t xml:space="preserve"> realizados por la Comisión Interamericana, los representantes y el Estado.</w:t>
      </w:r>
    </w:p>
    <w:p w:rsidR="00332068" w:rsidRPr="00761FDC" w:rsidRDefault="00332068" w:rsidP="00332068">
      <w:pPr>
        <w:jc w:val="both"/>
        <w:rPr>
          <w:rFonts w:ascii="Verdana" w:hAnsi="Verdana"/>
          <w:b/>
          <w:bCs/>
          <w:i/>
          <w:iCs/>
          <w:sz w:val="20"/>
          <w:szCs w:val="20"/>
          <w:u w:val="single"/>
        </w:rPr>
      </w:pPr>
    </w:p>
    <w:p w:rsidR="00332068" w:rsidRPr="00761FDC" w:rsidRDefault="00332068" w:rsidP="00332068">
      <w:pPr>
        <w:pStyle w:val="ListParagraph"/>
        <w:numPr>
          <w:ilvl w:val="0"/>
          <w:numId w:val="39"/>
        </w:numPr>
        <w:ind w:left="851" w:hanging="567"/>
        <w:contextualSpacing/>
        <w:jc w:val="both"/>
        <w:rPr>
          <w:rFonts w:ascii="Verdana" w:hAnsi="Verdana"/>
          <w:b/>
          <w:bCs/>
          <w:iCs/>
          <w:sz w:val="20"/>
          <w:szCs w:val="20"/>
        </w:rPr>
      </w:pPr>
      <w:r w:rsidRPr="00761FDC">
        <w:rPr>
          <w:rFonts w:ascii="Verdana" w:hAnsi="Verdana"/>
          <w:b/>
          <w:bCs/>
          <w:iCs/>
          <w:sz w:val="20"/>
          <w:szCs w:val="20"/>
        </w:rPr>
        <w:t>Solicitud del Estado de un pronunciamiento previo de la Corte sobre excepciones preliminares y sobre “asuntos previos” relativos al marco fáctico del caso y el carácter de determinadas personas como presuntas víctimas</w:t>
      </w:r>
    </w:p>
    <w:p w:rsidR="00332068" w:rsidRPr="00761FDC" w:rsidRDefault="00332068" w:rsidP="00332068">
      <w:pPr>
        <w:ind w:left="360"/>
        <w:contextualSpacing/>
        <w:jc w:val="both"/>
        <w:rPr>
          <w:rFonts w:ascii="Verdana" w:hAnsi="Verdana"/>
          <w:b/>
          <w:bCs/>
          <w:i/>
          <w:iCs/>
          <w:sz w:val="20"/>
          <w:szCs w:val="20"/>
          <w:u w:val="single"/>
        </w:rPr>
      </w:pPr>
    </w:p>
    <w:p w:rsidR="00332068" w:rsidRPr="00761FDC" w:rsidRDefault="00332068" w:rsidP="00332068">
      <w:pPr>
        <w:pStyle w:val="ListParagraph"/>
        <w:ind w:left="709"/>
        <w:jc w:val="both"/>
        <w:rPr>
          <w:rFonts w:ascii="Verdana" w:hAnsi="Verdana"/>
          <w:b/>
          <w:bCs/>
          <w:i/>
          <w:iCs/>
          <w:strike/>
          <w:sz w:val="20"/>
          <w:szCs w:val="20"/>
          <w:u w:val="single"/>
        </w:rPr>
      </w:pPr>
    </w:p>
    <w:p w:rsidR="00332068" w:rsidRPr="005D4FF2" w:rsidRDefault="00332068" w:rsidP="00332068">
      <w:pPr>
        <w:numPr>
          <w:ilvl w:val="0"/>
          <w:numId w:val="38"/>
        </w:numPr>
        <w:autoSpaceDE w:val="0"/>
        <w:autoSpaceDN w:val="0"/>
        <w:adjustRightInd w:val="0"/>
        <w:spacing w:after="120"/>
        <w:ind w:left="0"/>
        <w:jc w:val="both"/>
        <w:rPr>
          <w:rFonts w:ascii="Verdana" w:hAnsi="Verdana"/>
          <w:sz w:val="20"/>
          <w:szCs w:val="20"/>
          <w:lang w:val="es-CR"/>
        </w:rPr>
      </w:pPr>
      <w:r w:rsidRPr="005D4FF2">
        <w:rPr>
          <w:rFonts w:ascii="Verdana" w:hAnsi="Verdana"/>
          <w:sz w:val="20"/>
          <w:szCs w:val="20"/>
          <w:lang w:val="es-CR"/>
        </w:rPr>
        <w:t xml:space="preserve">El Estado en la contestación planteó su posición respecto al marco fáctico presentado por la Comisión, así como a las supuestas violaciones a la Convención Americana en perjuicio de las presuntas víctimas indicadas en el Informe de Fondo </w:t>
      </w:r>
      <w:r w:rsidRPr="005D4FF2">
        <w:rPr>
          <w:rFonts w:ascii="Verdana" w:hAnsi="Verdana"/>
          <w:sz w:val="20"/>
          <w:szCs w:val="20"/>
        </w:rPr>
        <w:t>sin perjuicio de las precisiones que hace en el apartado sobre la individualización de las presuntas víctimas, la excepción preliminar interpuesta y el asunto previo que presenta.</w:t>
      </w:r>
      <w:r w:rsidRPr="005D4FF2">
        <w:rPr>
          <w:rFonts w:ascii="Verdana" w:hAnsi="Verdana"/>
          <w:sz w:val="20"/>
          <w:szCs w:val="20"/>
          <w:lang w:val="es-CR"/>
        </w:rPr>
        <w:t xml:space="preserve"> El Estado rechazó las “aseveraciones fácticas y las conclusiones legales que se esbozan en el Informe de Fondo No. 64/12 emitido por la Comisión […] y las solicitudes de reparaciones y costas y argumentos legales presentados por los representantes”. Además presentó su recuento fáctico, argumentos legales y elementos de prueba [para] demostrar que el Estado no incurrió en responsabilidad internacional por los hechos en cuestión. Asimismo, de acuerdo con los artículos 42.1 y 42.2 del Reglamento, el Estado interpuso tres excepciones preliminares y un “asunto previo” a decidir antes del eventual conocimiento del fondo del caso. </w:t>
      </w:r>
    </w:p>
    <w:p w:rsidR="00332068" w:rsidRPr="005D4FF2" w:rsidRDefault="00332068" w:rsidP="00332068">
      <w:pPr>
        <w:numPr>
          <w:ilvl w:val="0"/>
          <w:numId w:val="38"/>
        </w:numPr>
        <w:autoSpaceDE w:val="0"/>
        <w:autoSpaceDN w:val="0"/>
        <w:adjustRightInd w:val="0"/>
        <w:spacing w:after="120"/>
        <w:ind w:left="0"/>
        <w:jc w:val="both"/>
        <w:rPr>
          <w:rFonts w:ascii="Verdana" w:hAnsi="Verdana"/>
          <w:sz w:val="20"/>
          <w:szCs w:val="20"/>
          <w:lang w:val="es-CR"/>
        </w:rPr>
      </w:pPr>
      <w:r w:rsidRPr="005D4FF2">
        <w:rPr>
          <w:rFonts w:ascii="Verdana" w:hAnsi="Verdana"/>
          <w:sz w:val="20"/>
          <w:szCs w:val="20"/>
          <w:lang w:val="es-CR"/>
        </w:rPr>
        <w:t xml:space="preserve">El Presidente observa que en su contestación el Estado planteó las siguientes excepciones preliminares: </w:t>
      </w:r>
      <w:r w:rsidRPr="005D4FF2">
        <w:rPr>
          <w:rFonts w:ascii="Verdana" w:hAnsi="Verdana"/>
          <w:sz w:val="20"/>
          <w:szCs w:val="20"/>
        </w:rPr>
        <w:t xml:space="preserve">a) “Inadmisibilidad </w:t>
      </w:r>
      <w:proofErr w:type="gramStart"/>
      <w:r w:rsidRPr="005D4FF2">
        <w:rPr>
          <w:rFonts w:ascii="Verdana" w:hAnsi="Verdana"/>
          <w:sz w:val="20"/>
          <w:szCs w:val="20"/>
        </w:rPr>
        <w:t>d[</w:t>
      </w:r>
      <w:proofErr w:type="gramEnd"/>
      <w:r w:rsidRPr="005D4FF2">
        <w:rPr>
          <w:rFonts w:ascii="Verdana" w:hAnsi="Verdana"/>
          <w:sz w:val="20"/>
          <w:szCs w:val="20"/>
        </w:rPr>
        <w:t>el caso] por falta de agotamiento de los recursos internos”</w:t>
      </w:r>
      <w:r w:rsidRPr="005D4FF2">
        <w:rPr>
          <w:rStyle w:val="FootnoteReference"/>
          <w:rFonts w:ascii="Verdana" w:hAnsi="Verdana"/>
          <w:sz w:val="20"/>
          <w:szCs w:val="20"/>
        </w:rPr>
        <w:footnoteReference w:id="4"/>
      </w:r>
      <w:r w:rsidRPr="005D4FF2">
        <w:rPr>
          <w:rFonts w:ascii="Verdana" w:hAnsi="Verdana"/>
          <w:sz w:val="20"/>
          <w:szCs w:val="20"/>
        </w:rPr>
        <w:t xml:space="preserve">, b) “Inadmisibilidad parcial d[el caso] por incompetencia </w:t>
      </w:r>
      <w:proofErr w:type="spellStart"/>
      <w:r w:rsidRPr="005D4FF2">
        <w:rPr>
          <w:rFonts w:ascii="Verdana" w:hAnsi="Verdana"/>
          <w:i/>
          <w:sz w:val="20"/>
          <w:szCs w:val="20"/>
        </w:rPr>
        <w:t>ratione</w:t>
      </w:r>
      <w:proofErr w:type="spellEnd"/>
      <w:r w:rsidRPr="005D4FF2">
        <w:rPr>
          <w:rFonts w:ascii="Verdana" w:hAnsi="Verdana"/>
          <w:i/>
          <w:sz w:val="20"/>
          <w:szCs w:val="20"/>
        </w:rPr>
        <w:t xml:space="preserve"> </w:t>
      </w:r>
      <w:proofErr w:type="spellStart"/>
      <w:r w:rsidRPr="005D4FF2">
        <w:rPr>
          <w:rFonts w:ascii="Verdana" w:hAnsi="Verdana"/>
          <w:i/>
          <w:sz w:val="20"/>
          <w:szCs w:val="20"/>
        </w:rPr>
        <w:lastRenderedPageBreak/>
        <w:t>temporis</w:t>
      </w:r>
      <w:proofErr w:type="spellEnd"/>
      <w:r w:rsidRPr="005D4FF2">
        <w:rPr>
          <w:rFonts w:ascii="Verdana" w:hAnsi="Verdana"/>
          <w:sz w:val="20"/>
          <w:szCs w:val="20"/>
        </w:rPr>
        <w:t xml:space="preserve"> para conocer de cierta parte del marco fáctico d[el caso]”</w:t>
      </w:r>
      <w:r w:rsidRPr="005D4FF2">
        <w:rPr>
          <w:rStyle w:val="FootnoteReference"/>
          <w:rFonts w:ascii="Verdana" w:hAnsi="Verdana"/>
          <w:sz w:val="20"/>
          <w:szCs w:val="20"/>
        </w:rPr>
        <w:footnoteReference w:id="5"/>
      </w:r>
      <w:r w:rsidRPr="005D4FF2">
        <w:rPr>
          <w:rFonts w:ascii="Verdana" w:hAnsi="Verdana"/>
          <w:sz w:val="20"/>
          <w:szCs w:val="20"/>
        </w:rPr>
        <w:t xml:space="preserve">, y c) “Inadmisibilidad parcial </w:t>
      </w:r>
      <w:proofErr w:type="spellStart"/>
      <w:r w:rsidRPr="005D4FF2">
        <w:rPr>
          <w:rFonts w:ascii="Verdana" w:hAnsi="Verdana"/>
          <w:i/>
          <w:sz w:val="20"/>
          <w:szCs w:val="20"/>
        </w:rPr>
        <w:t>ratione</w:t>
      </w:r>
      <w:proofErr w:type="spellEnd"/>
      <w:r w:rsidRPr="005D4FF2">
        <w:rPr>
          <w:rFonts w:ascii="Verdana" w:hAnsi="Verdana"/>
          <w:i/>
          <w:sz w:val="20"/>
          <w:szCs w:val="20"/>
        </w:rPr>
        <w:t xml:space="preserve"> </w:t>
      </w:r>
      <w:proofErr w:type="spellStart"/>
      <w:r w:rsidRPr="005D4FF2">
        <w:rPr>
          <w:rFonts w:ascii="Verdana" w:hAnsi="Verdana"/>
          <w:i/>
          <w:sz w:val="20"/>
          <w:szCs w:val="20"/>
        </w:rPr>
        <w:t>personae</w:t>
      </w:r>
      <w:proofErr w:type="spellEnd"/>
      <w:r w:rsidRPr="005D4FF2">
        <w:rPr>
          <w:rFonts w:ascii="Verdana" w:hAnsi="Verdana"/>
          <w:sz w:val="20"/>
          <w:szCs w:val="20"/>
        </w:rPr>
        <w:t xml:space="preserve"> d[el caso] en relación con los miembros de la familia Jean”</w:t>
      </w:r>
      <w:r w:rsidRPr="005D4FF2">
        <w:rPr>
          <w:rStyle w:val="FootnoteReference"/>
          <w:rFonts w:ascii="Verdana" w:hAnsi="Verdana"/>
          <w:sz w:val="20"/>
          <w:szCs w:val="20"/>
        </w:rPr>
        <w:footnoteReference w:id="6"/>
      </w:r>
      <w:r w:rsidRPr="005D4FF2">
        <w:rPr>
          <w:rFonts w:ascii="Verdana" w:hAnsi="Verdana"/>
          <w:sz w:val="20"/>
          <w:szCs w:val="20"/>
        </w:rPr>
        <w:t>. Aparte indicó dos “asuntos previos”, que no señaló como excepciones preliminares, a saber: a) “la falta de calidad de ciertos peticionarios para ser considerados como presuntas víctimas en este caso”</w:t>
      </w:r>
      <w:r w:rsidRPr="005D4FF2">
        <w:rPr>
          <w:rStyle w:val="FootnoteReference"/>
          <w:rFonts w:ascii="Verdana" w:hAnsi="Verdana"/>
          <w:sz w:val="20"/>
          <w:szCs w:val="20"/>
        </w:rPr>
        <w:footnoteReference w:id="7"/>
      </w:r>
      <w:r w:rsidRPr="005D4FF2">
        <w:rPr>
          <w:rFonts w:ascii="Verdana" w:hAnsi="Verdana"/>
          <w:sz w:val="20"/>
          <w:szCs w:val="20"/>
        </w:rPr>
        <w:t xml:space="preserve">, y b) “la inadmisibilidad </w:t>
      </w:r>
      <w:proofErr w:type="spellStart"/>
      <w:r w:rsidRPr="005D4FF2">
        <w:rPr>
          <w:rFonts w:ascii="Verdana" w:hAnsi="Verdana"/>
          <w:i/>
          <w:sz w:val="20"/>
          <w:szCs w:val="20"/>
        </w:rPr>
        <w:t>ratione</w:t>
      </w:r>
      <w:proofErr w:type="spellEnd"/>
      <w:r w:rsidRPr="005D4FF2">
        <w:rPr>
          <w:rFonts w:ascii="Verdana" w:hAnsi="Verdana"/>
          <w:i/>
          <w:sz w:val="20"/>
          <w:szCs w:val="20"/>
        </w:rPr>
        <w:t xml:space="preserve"> </w:t>
      </w:r>
      <w:proofErr w:type="spellStart"/>
      <w:r w:rsidRPr="005D4FF2">
        <w:rPr>
          <w:rFonts w:ascii="Verdana" w:hAnsi="Verdana"/>
          <w:i/>
          <w:sz w:val="20"/>
          <w:szCs w:val="20"/>
        </w:rPr>
        <w:t>materiae</w:t>
      </w:r>
      <w:proofErr w:type="spellEnd"/>
      <w:r w:rsidRPr="005D4FF2">
        <w:rPr>
          <w:rFonts w:ascii="Verdana" w:hAnsi="Verdana"/>
          <w:sz w:val="20"/>
          <w:szCs w:val="20"/>
        </w:rPr>
        <w:t xml:space="preserve"> de la demanda respecto de los presuntos hechos y actos alegados por los representantes que no fueron acreditados por la C[omisión] en su marco fáctico”</w:t>
      </w:r>
      <w:r w:rsidRPr="005D4FF2">
        <w:rPr>
          <w:rStyle w:val="FootnoteReference"/>
          <w:rFonts w:ascii="Verdana" w:hAnsi="Verdana"/>
          <w:sz w:val="20"/>
          <w:szCs w:val="20"/>
        </w:rPr>
        <w:footnoteReference w:id="8"/>
      </w:r>
      <w:r w:rsidRPr="005D4FF2">
        <w:rPr>
          <w:rFonts w:ascii="Verdana" w:hAnsi="Verdana"/>
          <w:sz w:val="20"/>
          <w:szCs w:val="20"/>
        </w:rPr>
        <w:t>.</w:t>
      </w:r>
    </w:p>
    <w:p w:rsidR="00332068" w:rsidRPr="005D4FF2" w:rsidRDefault="00332068" w:rsidP="00332068">
      <w:pPr>
        <w:numPr>
          <w:ilvl w:val="0"/>
          <w:numId w:val="38"/>
        </w:numPr>
        <w:autoSpaceDE w:val="0"/>
        <w:autoSpaceDN w:val="0"/>
        <w:adjustRightInd w:val="0"/>
        <w:spacing w:after="120"/>
        <w:ind w:left="0"/>
        <w:jc w:val="both"/>
        <w:rPr>
          <w:rFonts w:ascii="Verdana" w:hAnsi="Verdana"/>
          <w:sz w:val="20"/>
          <w:szCs w:val="20"/>
          <w:lang w:val="es-CR"/>
        </w:rPr>
      </w:pPr>
      <w:r w:rsidRPr="005D4FF2">
        <w:rPr>
          <w:rFonts w:ascii="Verdana" w:hAnsi="Verdana"/>
          <w:sz w:val="20"/>
          <w:szCs w:val="20"/>
          <w:lang w:val="es-CR"/>
        </w:rPr>
        <w:t>Con respecto a lo anterior, esta Presidencia nota que precisamente existen diferencias entre las partes en cuanto a cuáles hechos son objeto del presente caso, cuáles continúan siendo objeto de controversia</w:t>
      </w:r>
      <w:r w:rsidR="00FA2030">
        <w:rPr>
          <w:rFonts w:ascii="Verdana" w:hAnsi="Verdana"/>
          <w:sz w:val="20"/>
          <w:szCs w:val="20"/>
          <w:lang w:val="es-CR"/>
        </w:rPr>
        <w:t>, la alegada calidad de algunas</w:t>
      </w:r>
      <w:r w:rsidRPr="005D4FF2">
        <w:rPr>
          <w:rFonts w:ascii="Verdana" w:hAnsi="Verdana"/>
          <w:sz w:val="20"/>
          <w:szCs w:val="20"/>
          <w:lang w:val="es-CR"/>
        </w:rPr>
        <w:t xml:space="preserve"> presuntas víctimas y la valoración que el Tribunal debe dar al respecto. Por otro lado, en atención a los alegatos de hecho y de derecho de las partes, las declaraciones propuestas por los representantes, cuyo contenido ha sido en alguna medida cuestionado por el Estado, podrían resultar pertinentes para la determinación y el completo conocimiento de los hechos del presente caso y, por tanto, para la resolución del mismo, sin perjuicio de su oportuna valoración por parte del Tribunal. En cualquier caso, la evacuación de una o más pruebas no determina en ningún sentido si serán efectivamente consideradas o valoradas en sentencia. Además, e</w:t>
      </w:r>
      <w:r w:rsidRPr="005D4FF2" w:rsidDel="00283A5C">
        <w:rPr>
          <w:rFonts w:ascii="Verdana" w:hAnsi="Verdana"/>
          <w:sz w:val="20"/>
          <w:szCs w:val="20"/>
          <w:lang w:val="es-CR"/>
        </w:rPr>
        <w:t xml:space="preserve">n cada caso </w:t>
      </w:r>
      <w:r w:rsidRPr="005D4FF2">
        <w:rPr>
          <w:rFonts w:ascii="Verdana" w:hAnsi="Verdana"/>
          <w:sz w:val="20"/>
          <w:szCs w:val="20"/>
          <w:lang w:val="es-CR"/>
        </w:rPr>
        <w:t xml:space="preserve">es preciso asegurar que el Tribunal pueda conocer la verdad de los hechos controvertidos, garantizando el derecho de defensa de las partes. En el presente caso, las manifestaciones del Estado respecto del contenido de algunas declaraciones ofrecidas se vinculan con sus alegatos expresados en relación con la interposición de las excepciones preliminares y el fondo del caso. De tal manera, esta Presidencia estima que en el momento procesal actual no corresponde tomar la decisión de incluir o excluir determinados hechos en el objeto del litigio, aunque sí le corresponderá al Tribunal apreciar y valorar los hechos del caso y, eventualmente, si son atribuibles al Estado demandado, así como los términos, alcances y consecuencias de su responsabilidad internacional, con base en los alegatos y pruebas que le sean </w:t>
      </w:r>
      <w:r w:rsidRPr="005D4FF2">
        <w:rPr>
          <w:rFonts w:ascii="Verdana" w:hAnsi="Verdana"/>
          <w:sz w:val="20"/>
          <w:szCs w:val="20"/>
          <w:lang w:val="es-CR"/>
        </w:rPr>
        <w:lastRenderedPageBreak/>
        <w:t>presentados, según el marco fáctico del caso sometido a su conocimiento</w:t>
      </w:r>
      <w:r w:rsidRPr="005D4FF2">
        <w:rPr>
          <w:rStyle w:val="FootnoteReference"/>
          <w:rFonts w:ascii="Verdana" w:hAnsi="Verdana" w:cs="Times"/>
          <w:sz w:val="20"/>
          <w:szCs w:val="20"/>
          <w:lang w:val="es-CR"/>
        </w:rPr>
        <w:footnoteReference w:id="9"/>
      </w:r>
      <w:r w:rsidRPr="005D4FF2">
        <w:rPr>
          <w:rFonts w:ascii="Verdana" w:hAnsi="Verdana"/>
          <w:sz w:val="20"/>
          <w:szCs w:val="20"/>
          <w:lang w:val="es-CR"/>
        </w:rPr>
        <w:t>, el cual es determinado, en</w:t>
      </w:r>
      <w:r w:rsidRPr="005D4FF2">
        <w:rPr>
          <w:rFonts w:ascii="Verdana" w:hAnsi="Verdana"/>
          <w:sz w:val="20"/>
          <w:szCs w:val="20"/>
        </w:rPr>
        <w:t xml:space="preserve"> principio, en el Informe de Fondo de la Comisión</w:t>
      </w:r>
      <w:r w:rsidRPr="005D4FF2">
        <w:rPr>
          <w:rStyle w:val="FootnoteReference"/>
          <w:rFonts w:ascii="Verdana" w:hAnsi="Verdana"/>
          <w:sz w:val="20"/>
          <w:szCs w:val="20"/>
        </w:rPr>
        <w:footnoteReference w:id="10"/>
      </w:r>
      <w:r w:rsidRPr="005D4FF2">
        <w:rPr>
          <w:rFonts w:ascii="Verdana" w:hAnsi="Verdana"/>
          <w:sz w:val="20"/>
          <w:szCs w:val="20"/>
        </w:rPr>
        <w:t>.</w:t>
      </w:r>
    </w:p>
    <w:p w:rsidR="00332068" w:rsidRPr="005D4FF2" w:rsidRDefault="00332068" w:rsidP="00332068">
      <w:pPr>
        <w:numPr>
          <w:ilvl w:val="0"/>
          <w:numId w:val="38"/>
        </w:numPr>
        <w:autoSpaceDE w:val="0"/>
        <w:autoSpaceDN w:val="0"/>
        <w:adjustRightInd w:val="0"/>
        <w:spacing w:after="120"/>
        <w:ind w:left="0"/>
        <w:jc w:val="both"/>
        <w:rPr>
          <w:rFonts w:ascii="Verdana" w:hAnsi="Verdana"/>
          <w:sz w:val="20"/>
          <w:szCs w:val="20"/>
          <w:lang w:val="es-CR"/>
        </w:rPr>
      </w:pPr>
      <w:r w:rsidRPr="005D4FF2">
        <w:rPr>
          <w:rFonts w:ascii="Verdana" w:hAnsi="Verdana"/>
          <w:sz w:val="20"/>
          <w:szCs w:val="20"/>
        </w:rPr>
        <w:t xml:space="preserve">Además, </w:t>
      </w:r>
      <w:r w:rsidRPr="005D4FF2">
        <w:rPr>
          <w:rFonts w:ascii="Verdana" w:hAnsi="Verdana"/>
          <w:sz w:val="20"/>
          <w:szCs w:val="20"/>
          <w:lang w:val="es-CR"/>
        </w:rPr>
        <w:t xml:space="preserve">varios de los aspectos alegados por el Estado en sus excepciones preliminares podrían tener relación con el fondo del caso y, de todos modos, no corresponde en esta oportunidad determinar si tales alegatos tienen en efecto el carácter de excepción preliminar. </w:t>
      </w:r>
      <w:r w:rsidRPr="005D4FF2">
        <w:rPr>
          <w:rFonts w:ascii="Verdana" w:hAnsi="Verdana"/>
          <w:sz w:val="20"/>
          <w:szCs w:val="20"/>
        </w:rPr>
        <w:t>Como lo ha señalado el Tribunal</w:t>
      </w:r>
      <w:r w:rsidRPr="005D4FF2">
        <w:rPr>
          <w:rStyle w:val="FootnoteReference"/>
          <w:rFonts w:ascii="Verdana" w:hAnsi="Verdana" w:cs="Times"/>
          <w:sz w:val="20"/>
          <w:szCs w:val="20"/>
        </w:rPr>
        <w:footnoteReference w:id="11"/>
      </w:r>
      <w:r w:rsidRPr="005D4FF2">
        <w:rPr>
          <w:rFonts w:ascii="Verdana" w:hAnsi="Verdana"/>
          <w:sz w:val="20"/>
          <w:szCs w:val="20"/>
        </w:rPr>
        <w:t>, el artículo 42.5 del Reglamento, conforme al cual podría separarse la etapa de excepciones preliminares de la eventual etapa de fondo, solamente se aplica en casos sumamente excepcionales, lo que no ocurre en el presente caso. Esta Presidencia recuerda, como lo ha señalado en otras ocasiones</w:t>
      </w:r>
      <w:bookmarkStart w:id="0" w:name="_Ref265075216"/>
      <w:bookmarkEnd w:id="0"/>
      <w:r w:rsidRPr="005D4FF2">
        <w:rPr>
          <w:rStyle w:val="FootnoteReference"/>
          <w:rFonts w:ascii="Verdana" w:hAnsi="Verdana" w:cs="Times"/>
          <w:sz w:val="20"/>
          <w:szCs w:val="20"/>
        </w:rPr>
        <w:footnoteReference w:id="12"/>
      </w:r>
      <w:r w:rsidRPr="005D4FF2">
        <w:rPr>
          <w:rFonts w:ascii="Verdana" w:hAnsi="Verdana"/>
          <w:sz w:val="20"/>
          <w:szCs w:val="20"/>
        </w:rPr>
        <w:t xml:space="preserve">, que la práctica del Tribunal en los últimos años ha consistido en recibir en una única instancia procesal oral las declaraciones aportadas por las partes, como así también sus alegatos sobre las excepciones preliminares y sobre los eventuales alegatos de fondo, reparaciones y costas. De tal manera, para el adecuado desarrollo del proceso, el Presidente ordenará recibir la prueba que sea pertinente en atención a lo que las propias partes alegan y pretenden probar, sin que ello implique decisión o prejuzgamiento alguno en cuanto a las excepciones preliminares o al fondo del asunto. </w:t>
      </w:r>
    </w:p>
    <w:p w:rsidR="00332068" w:rsidRPr="00A94057" w:rsidRDefault="00332068" w:rsidP="00332068">
      <w:pPr>
        <w:autoSpaceDE w:val="0"/>
        <w:autoSpaceDN w:val="0"/>
        <w:adjustRightInd w:val="0"/>
        <w:spacing w:after="120"/>
        <w:jc w:val="both"/>
        <w:rPr>
          <w:szCs w:val="20"/>
        </w:rPr>
      </w:pPr>
    </w:p>
    <w:p w:rsidR="00332068" w:rsidRPr="00BE610A" w:rsidRDefault="00332068" w:rsidP="00332068">
      <w:pPr>
        <w:pStyle w:val="ListParagraph"/>
        <w:numPr>
          <w:ilvl w:val="0"/>
          <w:numId w:val="40"/>
        </w:numPr>
        <w:spacing w:after="120"/>
        <w:contextualSpacing/>
        <w:jc w:val="both"/>
        <w:rPr>
          <w:rFonts w:ascii="Verdana" w:hAnsi="Verdana"/>
          <w:b/>
          <w:sz w:val="20"/>
          <w:szCs w:val="20"/>
        </w:rPr>
      </w:pPr>
      <w:r w:rsidRPr="00BE610A">
        <w:rPr>
          <w:rFonts w:ascii="Verdana" w:hAnsi="Verdana"/>
          <w:b/>
          <w:sz w:val="20"/>
          <w:szCs w:val="20"/>
        </w:rPr>
        <w:t>Sobre los ofrecimientos de prueba realizados por la Comisión Interamericana, los representantes y el Estado</w:t>
      </w:r>
    </w:p>
    <w:p w:rsidR="00332068" w:rsidRPr="000E64C1" w:rsidRDefault="00332068" w:rsidP="00332068">
      <w:pPr>
        <w:tabs>
          <w:tab w:val="num" w:pos="567"/>
        </w:tabs>
        <w:jc w:val="both"/>
        <w:rPr>
          <w:rFonts w:ascii="Verdana" w:hAnsi="Verdana" w:cs="Verdana"/>
          <w:sz w:val="20"/>
          <w:szCs w:val="20"/>
          <w:lang w:val="es-CR"/>
        </w:rPr>
      </w:pPr>
    </w:p>
    <w:p w:rsidR="00332068" w:rsidRDefault="00332068" w:rsidP="00332068">
      <w:pPr>
        <w:pStyle w:val="ListParagraph"/>
        <w:numPr>
          <w:ilvl w:val="0"/>
          <w:numId w:val="41"/>
        </w:numPr>
        <w:ind w:left="0" w:hanging="11"/>
        <w:jc w:val="both"/>
        <w:rPr>
          <w:rFonts w:ascii="Verdana" w:hAnsi="Verdana" w:cs="Verdana"/>
          <w:sz w:val="20"/>
          <w:szCs w:val="20"/>
          <w:lang w:val="es-CR"/>
        </w:rPr>
      </w:pPr>
      <w:r w:rsidRPr="007D7CA6">
        <w:rPr>
          <w:rFonts w:ascii="Verdana" w:hAnsi="Verdana" w:cs="Verdana"/>
          <w:sz w:val="20"/>
          <w:szCs w:val="20"/>
          <w:lang w:val="es-CR"/>
        </w:rPr>
        <w:t xml:space="preserve">El ofrecimiento y la admisión de la prueba, así como la citación de presuntas víctimas, testigos y peritos se encuentran regulados, </w:t>
      </w:r>
      <w:r w:rsidRPr="007D7CA6">
        <w:rPr>
          <w:rFonts w:ascii="Verdana" w:hAnsi="Verdana" w:cs="Verdana"/>
          <w:i/>
          <w:iCs/>
          <w:sz w:val="20"/>
          <w:szCs w:val="20"/>
          <w:lang w:val="es-CR"/>
        </w:rPr>
        <w:t xml:space="preserve">inter </w:t>
      </w:r>
      <w:proofErr w:type="spellStart"/>
      <w:r w:rsidRPr="007D7CA6">
        <w:rPr>
          <w:rFonts w:ascii="Verdana" w:hAnsi="Verdana" w:cs="Verdana"/>
          <w:i/>
          <w:iCs/>
          <w:sz w:val="20"/>
          <w:szCs w:val="20"/>
          <w:lang w:val="es-CR"/>
        </w:rPr>
        <w:t>alia</w:t>
      </w:r>
      <w:proofErr w:type="spellEnd"/>
      <w:r w:rsidRPr="007D7CA6">
        <w:rPr>
          <w:rFonts w:ascii="Verdana" w:hAnsi="Verdana" w:cs="Verdana"/>
          <w:sz w:val="20"/>
          <w:szCs w:val="20"/>
          <w:lang w:val="es-CR"/>
        </w:rPr>
        <w:t>, en los artículos 35.1.f, 40.2.c, 41.1.c, 46, 47, 48, 50</w:t>
      </w:r>
      <w:r>
        <w:rPr>
          <w:rFonts w:ascii="Verdana" w:hAnsi="Verdana" w:cs="Verdana"/>
          <w:sz w:val="20"/>
          <w:szCs w:val="20"/>
          <w:lang w:val="es-CR"/>
        </w:rPr>
        <w:t xml:space="preserve"> y</w:t>
      </w:r>
      <w:r w:rsidRPr="007D7CA6">
        <w:rPr>
          <w:rFonts w:ascii="Verdana" w:hAnsi="Verdana" w:cs="Verdana"/>
          <w:sz w:val="20"/>
          <w:szCs w:val="20"/>
          <w:lang w:val="es-CR"/>
        </w:rPr>
        <w:t xml:space="preserve"> 52.3 del Reglamento de</w:t>
      </w:r>
      <w:r>
        <w:rPr>
          <w:rFonts w:ascii="Verdana" w:hAnsi="Verdana" w:cs="Verdana"/>
          <w:sz w:val="20"/>
          <w:szCs w:val="20"/>
          <w:lang w:val="es-CR"/>
        </w:rPr>
        <w:t xml:space="preserve"> </w:t>
      </w:r>
      <w:r w:rsidRPr="007D7CA6">
        <w:rPr>
          <w:rFonts w:ascii="Verdana" w:hAnsi="Verdana" w:cs="Verdana"/>
          <w:sz w:val="20"/>
          <w:szCs w:val="20"/>
          <w:lang w:val="es-CR"/>
        </w:rPr>
        <w:t>l</w:t>
      </w:r>
      <w:r>
        <w:rPr>
          <w:rFonts w:ascii="Verdana" w:hAnsi="Verdana" w:cs="Verdana"/>
          <w:sz w:val="20"/>
          <w:szCs w:val="20"/>
          <w:lang w:val="es-CR"/>
        </w:rPr>
        <w:t>a Corte</w:t>
      </w:r>
      <w:r w:rsidRPr="007D7CA6">
        <w:rPr>
          <w:rFonts w:ascii="Verdana" w:hAnsi="Verdana" w:cs="Verdana"/>
          <w:sz w:val="20"/>
          <w:szCs w:val="20"/>
          <w:lang w:val="es-CR"/>
        </w:rPr>
        <w:t>.</w:t>
      </w:r>
    </w:p>
    <w:p w:rsidR="00332068" w:rsidRPr="007D7CA6" w:rsidRDefault="00332068" w:rsidP="00332068">
      <w:pPr>
        <w:pStyle w:val="ListParagraph"/>
        <w:ind w:left="0"/>
        <w:jc w:val="both"/>
        <w:rPr>
          <w:rFonts w:ascii="Verdana" w:hAnsi="Verdana" w:cs="Verdana"/>
          <w:sz w:val="20"/>
          <w:szCs w:val="20"/>
          <w:lang w:val="es-CR"/>
        </w:rPr>
      </w:pPr>
    </w:p>
    <w:p w:rsidR="00332068" w:rsidRDefault="00332068" w:rsidP="00332068">
      <w:pPr>
        <w:pStyle w:val="ListParagraph"/>
        <w:numPr>
          <w:ilvl w:val="0"/>
          <w:numId w:val="41"/>
        </w:numPr>
        <w:ind w:left="0" w:hanging="11"/>
        <w:jc w:val="both"/>
        <w:rPr>
          <w:rFonts w:ascii="Verdana" w:hAnsi="Verdana" w:cs="Verdana"/>
          <w:sz w:val="20"/>
          <w:szCs w:val="20"/>
          <w:lang w:val="es-CR"/>
        </w:rPr>
      </w:pPr>
      <w:r w:rsidRPr="007D7CA6">
        <w:rPr>
          <w:rFonts w:ascii="Verdana" w:hAnsi="Verdana" w:cs="Verdana"/>
          <w:sz w:val="20"/>
          <w:szCs w:val="20"/>
          <w:lang w:val="es-CR"/>
        </w:rPr>
        <w:t>La Comisión ofreció como prueba tres dictámenes periciales</w:t>
      </w:r>
      <w:r>
        <w:rPr>
          <w:rFonts w:ascii="Verdana" w:hAnsi="Verdana" w:cs="Verdana"/>
          <w:sz w:val="20"/>
          <w:szCs w:val="20"/>
          <w:lang w:val="es-CR"/>
        </w:rPr>
        <w:t xml:space="preserve"> y solicitó el traslado de tres declaraciones periciales rendidas en dos casos fallados por este Tribunal</w:t>
      </w:r>
      <w:r w:rsidRPr="007D7CA6">
        <w:rPr>
          <w:rFonts w:ascii="Verdana" w:hAnsi="Verdana" w:cs="Verdana"/>
          <w:sz w:val="20"/>
          <w:szCs w:val="20"/>
          <w:lang w:val="es-CR"/>
        </w:rPr>
        <w:t xml:space="preserve"> (</w:t>
      </w:r>
      <w:r w:rsidRPr="007D7CA6">
        <w:rPr>
          <w:rFonts w:ascii="Verdana" w:hAnsi="Verdana" w:cs="Verdana"/>
          <w:i/>
          <w:iCs/>
          <w:sz w:val="20"/>
          <w:szCs w:val="20"/>
          <w:lang w:val="es-CR"/>
        </w:rPr>
        <w:t>supra</w:t>
      </w:r>
      <w:r w:rsidRPr="007D7CA6">
        <w:rPr>
          <w:rFonts w:ascii="Verdana" w:hAnsi="Verdana" w:cs="Verdana"/>
          <w:sz w:val="20"/>
          <w:szCs w:val="20"/>
          <w:lang w:val="es-CR"/>
        </w:rPr>
        <w:t xml:space="preserve"> Visto</w:t>
      </w:r>
      <w:r>
        <w:rPr>
          <w:rFonts w:ascii="Verdana" w:hAnsi="Verdana" w:cs="Verdana"/>
          <w:sz w:val="20"/>
          <w:szCs w:val="20"/>
          <w:lang w:val="es-CR"/>
        </w:rPr>
        <w:t>s 1 y 2</w:t>
      </w:r>
      <w:r w:rsidRPr="007D7CA6">
        <w:rPr>
          <w:rFonts w:ascii="Verdana" w:hAnsi="Verdana" w:cs="Verdana"/>
          <w:sz w:val="20"/>
          <w:szCs w:val="20"/>
          <w:lang w:val="es-CR"/>
        </w:rPr>
        <w:t>). Los representantes ofrecieron</w:t>
      </w:r>
      <w:r w:rsidRPr="007D7CA6">
        <w:rPr>
          <w:rFonts w:ascii="Verdana" w:hAnsi="Verdana" w:cs="Verdana"/>
          <w:sz w:val="20"/>
          <w:szCs w:val="20"/>
        </w:rPr>
        <w:t xml:space="preserve"> </w:t>
      </w:r>
      <w:r>
        <w:rPr>
          <w:rFonts w:ascii="Verdana" w:hAnsi="Verdana" w:cs="Verdana"/>
          <w:sz w:val="20"/>
          <w:szCs w:val="20"/>
        </w:rPr>
        <w:t>las declaraciones de nueve</w:t>
      </w:r>
      <w:r>
        <w:rPr>
          <w:rFonts w:ascii="Verdana" w:hAnsi="Verdana" w:cs="Verdana"/>
          <w:sz w:val="20"/>
          <w:szCs w:val="20"/>
          <w:lang w:val="es-CR"/>
        </w:rPr>
        <w:t xml:space="preserve"> presuntas víctimas</w:t>
      </w:r>
      <w:r>
        <w:rPr>
          <w:rStyle w:val="CommentReference"/>
          <w:rFonts w:ascii="Calibri" w:hAnsi="Calibri" w:cs="Calibri"/>
          <w:lang w:val="es-ES_tradnl"/>
        </w:rPr>
        <w:t xml:space="preserve"> </w:t>
      </w:r>
      <w:r>
        <w:rPr>
          <w:rFonts w:ascii="Verdana" w:hAnsi="Verdana" w:cs="Verdana"/>
          <w:sz w:val="20"/>
          <w:szCs w:val="20"/>
          <w:lang w:val="es-CR"/>
        </w:rPr>
        <w:t>y de cinco peritos (</w:t>
      </w:r>
      <w:r>
        <w:rPr>
          <w:rFonts w:ascii="Verdana" w:hAnsi="Verdana" w:cs="Verdana"/>
          <w:i/>
          <w:sz w:val="20"/>
          <w:szCs w:val="20"/>
          <w:lang w:val="es-CR"/>
        </w:rPr>
        <w:t xml:space="preserve">supra </w:t>
      </w:r>
      <w:r>
        <w:rPr>
          <w:rFonts w:ascii="Verdana" w:hAnsi="Verdana" w:cs="Verdana"/>
          <w:sz w:val="20"/>
          <w:szCs w:val="20"/>
          <w:lang w:val="es-CR"/>
        </w:rPr>
        <w:t>Vistos 3 y 4), siendo uno de ellos también ofrecido por la Comisión</w:t>
      </w:r>
      <w:r>
        <w:rPr>
          <w:rFonts w:ascii="Verdana" w:hAnsi="Verdana" w:cs="Verdana"/>
          <w:i/>
          <w:sz w:val="20"/>
          <w:szCs w:val="20"/>
          <w:lang w:val="es-CR"/>
        </w:rPr>
        <w:t xml:space="preserve"> </w:t>
      </w:r>
      <w:r>
        <w:rPr>
          <w:rFonts w:ascii="Verdana" w:hAnsi="Verdana" w:cs="Verdana"/>
          <w:sz w:val="20"/>
          <w:szCs w:val="20"/>
          <w:lang w:val="es-CR"/>
        </w:rPr>
        <w:t>(</w:t>
      </w:r>
      <w:r>
        <w:rPr>
          <w:rFonts w:ascii="Verdana" w:hAnsi="Verdana" w:cs="Verdana"/>
          <w:i/>
          <w:sz w:val="20"/>
          <w:szCs w:val="20"/>
          <w:lang w:val="es-CR"/>
        </w:rPr>
        <w:t>infra</w:t>
      </w:r>
      <w:r>
        <w:rPr>
          <w:rFonts w:ascii="Verdana" w:hAnsi="Verdana" w:cs="Verdana"/>
          <w:sz w:val="20"/>
          <w:szCs w:val="20"/>
          <w:lang w:val="es-CR"/>
        </w:rPr>
        <w:t xml:space="preserve"> Considerando 30)</w:t>
      </w:r>
      <w:r w:rsidRPr="007D7CA6">
        <w:rPr>
          <w:rFonts w:ascii="Verdana" w:hAnsi="Verdana" w:cs="Verdana"/>
          <w:sz w:val="20"/>
          <w:szCs w:val="20"/>
          <w:lang w:val="es-CR"/>
        </w:rPr>
        <w:t>.</w:t>
      </w:r>
      <w:r w:rsidRPr="007D7CA6">
        <w:rPr>
          <w:rFonts w:ascii="Verdana" w:hAnsi="Verdana" w:cs="Verdana"/>
          <w:sz w:val="20"/>
          <w:szCs w:val="20"/>
        </w:rPr>
        <w:t xml:space="preserve"> El Estado ofreció </w:t>
      </w:r>
      <w:r w:rsidRPr="007D7CA6">
        <w:rPr>
          <w:rFonts w:ascii="Verdana" w:hAnsi="Verdana" w:cs="Verdana"/>
          <w:sz w:val="20"/>
          <w:szCs w:val="20"/>
          <w:lang w:val="es-CR"/>
        </w:rPr>
        <w:t xml:space="preserve">dos </w:t>
      </w:r>
      <w:r>
        <w:rPr>
          <w:rFonts w:ascii="Verdana" w:hAnsi="Verdana" w:cs="Verdana"/>
          <w:sz w:val="20"/>
          <w:szCs w:val="20"/>
          <w:lang w:val="es-CR"/>
        </w:rPr>
        <w:t xml:space="preserve">declaraciones </w:t>
      </w:r>
      <w:r w:rsidRPr="007D7CA6">
        <w:rPr>
          <w:rFonts w:ascii="Verdana" w:hAnsi="Verdana" w:cs="Verdana"/>
          <w:sz w:val="20"/>
          <w:szCs w:val="20"/>
          <w:lang w:val="es-CR"/>
        </w:rPr>
        <w:t>testimoni</w:t>
      </w:r>
      <w:r>
        <w:rPr>
          <w:rFonts w:ascii="Verdana" w:hAnsi="Verdana" w:cs="Verdana"/>
          <w:sz w:val="20"/>
          <w:szCs w:val="20"/>
          <w:lang w:val="es-CR"/>
        </w:rPr>
        <w:t>ales</w:t>
      </w:r>
      <w:r w:rsidRPr="007D7CA6">
        <w:rPr>
          <w:rFonts w:ascii="Verdana" w:hAnsi="Verdana" w:cs="Verdana"/>
          <w:sz w:val="20"/>
          <w:szCs w:val="20"/>
          <w:lang w:val="es-CR"/>
        </w:rPr>
        <w:t xml:space="preserve"> y </w:t>
      </w:r>
      <w:r>
        <w:rPr>
          <w:rFonts w:ascii="Verdana" w:hAnsi="Verdana" w:cs="Verdana"/>
          <w:sz w:val="20"/>
          <w:szCs w:val="20"/>
          <w:lang w:val="es-CR"/>
        </w:rPr>
        <w:t>seis</w:t>
      </w:r>
      <w:r w:rsidRPr="007D7CA6">
        <w:rPr>
          <w:rFonts w:ascii="Verdana" w:hAnsi="Verdana" w:cs="Verdana"/>
          <w:sz w:val="20"/>
          <w:szCs w:val="20"/>
          <w:lang w:val="es-CR"/>
        </w:rPr>
        <w:t xml:space="preserve"> </w:t>
      </w:r>
      <w:r>
        <w:rPr>
          <w:rFonts w:ascii="Verdana" w:hAnsi="Verdana" w:cs="Verdana"/>
          <w:sz w:val="20"/>
          <w:szCs w:val="20"/>
          <w:lang w:val="es-CR"/>
        </w:rPr>
        <w:t xml:space="preserve">declaraciones </w:t>
      </w:r>
      <w:r w:rsidRPr="007D7CA6">
        <w:rPr>
          <w:rFonts w:ascii="Verdana" w:hAnsi="Verdana" w:cs="Verdana"/>
          <w:sz w:val="20"/>
          <w:szCs w:val="20"/>
          <w:lang w:val="es-CR"/>
        </w:rPr>
        <w:t>peri</w:t>
      </w:r>
      <w:r>
        <w:rPr>
          <w:rFonts w:ascii="Verdana" w:hAnsi="Verdana" w:cs="Verdana"/>
          <w:sz w:val="20"/>
          <w:szCs w:val="20"/>
          <w:lang w:val="es-CR"/>
        </w:rPr>
        <w:t>ciales</w:t>
      </w:r>
      <w:r w:rsidRPr="007D7CA6">
        <w:rPr>
          <w:rFonts w:ascii="Verdana" w:hAnsi="Verdana" w:cs="Verdana"/>
          <w:sz w:val="20"/>
          <w:szCs w:val="20"/>
          <w:lang w:val="es-CR"/>
        </w:rPr>
        <w:t xml:space="preserve"> (</w:t>
      </w:r>
      <w:r w:rsidRPr="007D7CA6">
        <w:rPr>
          <w:rFonts w:ascii="Verdana" w:hAnsi="Verdana" w:cs="Verdana"/>
          <w:i/>
          <w:iCs/>
          <w:sz w:val="20"/>
          <w:szCs w:val="20"/>
          <w:lang w:val="es-CR"/>
        </w:rPr>
        <w:t xml:space="preserve">supra </w:t>
      </w:r>
      <w:r w:rsidRPr="007D7CA6">
        <w:rPr>
          <w:rFonts w:ascii="Verdana" w:hAnsi="Verdana" w:cs="Verdana"/>
          <w:sz w:val="20"/>
          <w:szCs w:val="20"/>
          <w:lang w:val="es-CR"/>
        </w:rPr>
        <w:t>Visto</w:t>
      </w:r>
      <w:r>
        <w:rPr>
          <w:rFonts w:ascii="Verdana" w:hAnsi="Verdana" w:cs="Verdana"/>
          <w:sz w:val="20"/>
          <w:szCs w:val="20"/>
          <w:lang w:val="es-CR"/>
        </w:rPr>
        <w:t>s 5 y 6</w:t>
      </w:r>
      <w:r w:rsidRPr="007D7CA6">
        <w:rPr>
          <w:rFonts w:ascii="Verdana" w:hAnsi="Verdana" w:cs="Verdana"/>
          <w:sz w:val="20"/>
          <w:szCs w:val="20"/>
          <w:lang w:val="es-CR"/>
        </w:rPr>
        <w:t>).</w:t>
      </w:r>
    </w:p>
    <w:p w:rsidR="00332068" w:rsidRPr="007D7CA6" w:rsidRDefault="00332068" w:rsidP="00332068">
      <w:pPr>
        <w:jc w:val="both"/>
        <w:rPr>
          <w:rFonts w:ascii="Verdana" w:hAnsi="Verdana" w:cs="Verdana"/>
          <w:sz w:val="20"/>
          <w:szCs w:val="20"/>
          <w:highlight w:val="yellow"/>
          <w:lang w:val="es-CR"/>
        </w:rPr>
      </w:pPr>
    </w:p>
    <w:p w:rsidR="00332068" w:rsidRPr="00080CAB" w:rsidRDefault="00332068" w:rsidP="00332068">
      <w:pPr>
        <w:pStyle w:val="ListParagraph"/>
        <w:numPr>
          <w:ilvl w:val="0"/>
          <w:numId w:val="41"/>
        </w:numPr>
        <w:ind w:left="0" w:hanging="11"/>
        <w:jc w:val="both"/>
        <w:rPr>
          <w:rFonts w:ascii="Verdana" w:hAnsi="Verdana" w:cs="Verdana"/>
          <w:sz w:val="20"/>
          <w:szCs w:val="20"/>
          <w:lang w:val="es-CR"/>
        </w:rPr>
      </w:pPr>
      <w:r w:rsidRPr="00080CAB">
        <w:rPr>
          <w:rFonts w:ascii="Verdana" w:hAnsi="Verdana" w:cs="Verdana"/>
          <w:sz w:val="20"/>
          <w:szCs w:val="20"/>
          <w:lang w:val="es-CR"/>
        </w:rPr>
        <w:t xml:space="preserve">La Corte garantizó a las partes </w:t>
      </w:r>
      <w:r>
        <w:rPr>
          <w:rFonts w:ascii="Verdana" w:hAnsi="Verdana" w:cs="Verdana"/>
          <w:sz w:val="20"/>
          <w:szCs w:val="20"/>
          <w:lang w:val="es-CR"/>
        </w:rPr>
        <w:t xml:space="preserve">y a la Comisión </w:t>
      </w:r>
      <w:r w:rsidRPr="00080CAB">
        <w:rPr>
          <w:rFonts w:ascii="Verdana" w:hAnsi="Verdana" w:cs="Verdana"/>
          <w:sz w:val="20"/>
          <w:szCs w:val="20"/>
          <w:lang w:val="es-CR"/>
        </w:rPr>
        <w:t>el derecho de defensa respecto de los ofrecimientos probatorios realizados en los escritos de sometimiento del caso, de solicitudes y argumentos y de contestación, así como en sus listas definitivas (</w:t>
      </w:r>
      <w:r w:rsidRPr="00080CAB">
        <w:rPr>
          <w:rFonts w:ascii="Verdana" w:hAnsi="Verdana" w:cs="Verdana"/>
          <w:i/>
          <w:iCs/>
          <w:sz w:val="20"/>
          <w:szCs w:val="20"/>
          <w:lang w:val="es-CR"/>
        </w:rPr>
        <w:t xml:space="preserve">supra </w:t>
      </w:r>
      <w:r w:rsidRPr="00080CAB">
        <w:rPr>
          <w:rFonts w:ascii="Verdana" w:hAnsi="Verdana" w:cs="Verdana"/>
          <w:sz w:val="20"/>
          <w:szCs w:val="20"/>
          <w:lang w:val="es-CR"/>
        </w:rPr>
        <w:t>Visto</w:t>
      </w:r>
      <w:r>
        <w:rPr>
          <w:rFonts w:ascii="Verdana" w:hAnsi="Verdana" w:cs="Verdana"/>
          <w:sz w:val="20"/>
          <w:szCs w:val="20"/>
          <w:lang w:val="es-CR"/>
        </w:rPr>
        <w:t>s 17 y 22</w:t>
      </w:r>
      <w:r w:rsidRPr="00080CAB">
        <w:rPr>
          <w:rFonts w:ascii="Verdana" w:hAnsi="Verdana" w:cs="Verdana"/>
          <w:sz w:val="20"/>
          <w:szCs w:val="20"/>
          <w:lang w:val="es-CR"/>
        </w:rPr>
        <w:t>).</w:t>
      </w:r>
    </w:p>
    <w:p w:rsidR="00332068" w:rsidRPr="007D7CA6" w:rsidRDefault="00332068" w:rsidP="00332068">
      <w:pPr>
        <w:jc w:val="both"/>
        <w:rPr>
          <w:rFonts w:ascii="Verdana" w:hAnsi="Verdana" w:cs="Verdana"/>
          <w:sz w:val="20"/>
          <w:szCs w:val="20"/>
          <w:highlight w:val="yellow"/>
          <w:lang w:val="es-CR"/>
        </w:rPr>
      </w:pPr>
    </w:p>
    <w:p w:rsidR="00332068" w:rsidRPr="006D3EEE" w:rsidRDefault="00332068" w:rsidP="00332068">
      <w:pPr>
        <w:pStyle w:val="ListParagraph"/>
        <w:numPr>
          <w:ilvl w:val="0"/>
          <w:numId w:val="41"/>
        </w:numPr>
        <w:ind w:left="0" w:hanging="11"/>
        <w:jc w:val="both"/>
        <w:rPr>
          <w:rFonts w:ascii="Verdana" w:hAnsi="Verdana" w:cs="Verdana"/>
          <w:sz w:val="20"/>
          <w:szCs w:val="20"/>
          <w:lang w:val="es-CR"/>
        </w:rPr>
      </w:pPr>
      <w:r w:rsidRPr="006D3EEE">
        <w:rPr>
          <w:rFonts w:ascii="Verdana" w:hAnsi="Verdana" w:cs="Verdana"/>
          <w:sz w:val="20"/>
          <w:szCs w:val="20"/>
          <w:lang w:val="es-CR"/>
        </w:rPr>
        <w:lastRenderedPageBreak/>
        <w:t>Los representantes</w:t>
      </w:r>
      <w:r w:rsidRPr="006D3EEE">
        <w:rPr>
          <w:rFonts w:ascii="Verdana" w:hAnsi="Verdana" w:cs="Verdana"/>
          <w:sz w:val="20"/>
          <w:szCs w:val="20"/>
        </w:rPr>
        <w:t xml:space="preserve"> objetaron </w:t>
      </w:r>
      <w:r>
        <w:rPr>
          <w:rFonts w:ascii="Verdana" w:hAnsi="Verdana" w:cs="Verdana"/>
          <w:sz w:val="20"/>
          <w:szCs w:val="20"/>
        </w:rPr>
        <w:t>una</w:t>
      </w:r>
      <w:r w:rsidRPr="006D3EEE">
        <w:rPr>
          <w:rFonts w:ascii="Verdana" w:hAnsi="Verdana" w:cs="Verdana"/>
          <w:sz w:val="20"/>
          <w:szCs w:val="20"/>
        </w:rPr>
        <w:t xml:space="preserve"> declaraci</w:t>
      </w:r>
      <w:r>
        <w:rPr>
          <w:rFonts w:ascii="Verdana" w:hAnsi="Verdana" w:cs="Verdana"/>
          <w:sz w:val="20"/>
          <w:szCs w:val="20"/>
        </w:rPr>
        <w:t>ó</w:t>
      </w:r>
      <w:r w:rsidRPr="006D3EEE">
        <w:rPr>
          <w:rFonts w:ascii="Verdana" w:hAnsi="Verdana" w:cs="Verdana"/>
          <w:sz w:val="20"/>
          <w:szCs w:val="20"/>
        </w:rPr>
        <w:t xml:space="preserve">n testimonial y dos </w:t>
      </w:r>
      <w:r>
        <w:rPr>
          <w:rFonts w:ascii="Verdana" w:hAnsi="Verdana" w:cs="Verdana"/>
          <w:sz w:val="20"/>
          <w:szCs w:val="20"/>
        </w:rPr>
        <w:t xml:space="preserve">declaraciones </w:t>
      </w:r>
      <w:r w:rsidRPr="006D3EEE">
        <w:rPr>
          <w:rFonts w:ascii="Verdana" w:hAnsi="Verdana" w:cs="Verdana"/>
          <w:sz w:val="20"/>
          <w:szCs w:val="20"/>
        </w:rPr>
        <w:t>periciales ofrecidas por el Estado y recusaron a dos peritos ofrecidos por el Estado</w:t>
      </w:r>
      <w:r>
        <w:rPr>
          <w:rFonts w:ascii="Verdana" w:hAnsi="Verdana" w:cs="Verdana"/>
          <w:sz w:val="20"/>
          <w:szCs w:val="20"/>
        </w:rPr>
        <w:t xml:space="preserve"> (</w:t>
      </w:r>
      <w:r>
        <w:rPr>
          <w:rFonts w:ascii="Verdana" w:hAnsi="Verdana" w:cs="Verdana"/>
          <w:i/>
          <w:sz w:val="20"/>
          <w:szCs w:val="20"/>
        </w:rPr>
        <w:t>supra</w:t>
      </w:r>
      <w:r>
        <w:rPr>
          <w:rFonts w:ascii="Verdana" w:hAnsi="Verdana" w:cs="Verdana"/>
          <w:sz w:val="20"/>
          <w:szCs w:val="20"/>
        </w:rPr>
        <w:t xml:space="preserve"> Visto 21)</w:t>
      </w:r>
      <w:r w:rsidRPr="006D3EEE">
        <w:rPr>
          <w:rFonts w:ascii="Verdana" w:hAnsi="Verdana" w:cs="Verdana"/>
          <w:sz w:val="20"/>
          <w:szCs w:val="20"/>
        </w:rPr>
        <w:t xml:space="preserve">. El Estado objetó </w:t>
      </w:r>
      <w:r>
        <w:rPr>
          <w:rFonts w:ascii="Verdana" w:hAnsi="Verdana" w:cs="Verdana"/>
          <w:sz w:val="20"/>
          <w:szCs w:val="20"/>
        </w:rPr>
        <w:t>cinco</w:t>
      </w:r>
      <w:r w:rsidRPr="006D3EEE">
        <w:rPr>
          <w:rFonts w:ascii="Verdana" w:hAnsi="Verdana" w:cs="Verdana"/>
          <w:sz w:val="20"/>
          <w:szCs w:val="20"/>
        </w:rPr>
        <w:t xml:space="preserve"> declaraciones </w:t>
      </w:r>
      <w:r>
        <w:rPr>
          <w:rFonts w:ascii="Verdana" w:hAnsi="Verdana" w:cs="Verdana"/>
          <w:sz w:val="20"/>
          <w:szCs w:val="20"/>
        </w:rPr>
        <w:t xml:space="preserve">de presuntas víctimas </w:t>
      </w:r>
      <w:r w:rsidRPr="006D3EEE">
        <w:rPr>
          <w:rFonts w:ascii="Verdana" w:hAnsi="Verdana" w:cs="Verdana"/>
          <w:sz w:val="20"/>
          <w:szCs w:val="20"/>
        </w:rPr>
        <w:t xml:space="preserve">ofrecidas por los representantes, recusó a un perito propuesto por los representantes y a un perito propuesto </w:t>
      </w:r>
      <w:r>
        <w:rPr>
          <w:rFonts w:ascii="Verdana" w:hAnsi="Verdana" w:cs="Verdana"/>
          <w:sz w:val="20"/>
          <w:szCs w:val="20"/>
        </w:rPr>
        <w:t xml:space="preserve">tanto </w:t>
      </w:r>
      <w:r w:rsidRPr="006D3EEE">
        <w:rPr>
          <w:rFonts w:ascii="Verdana" w:hAnsi="Verdana" w:cs="Verdana"/>
          <w:sz w:val="20"/>
          <w:szCs w:val="20"/>
        </w:rPr>
        <w:t xml:space="preserve">por los representantes </w:t>
      </w:r>
      <w:r>
        <w:rPr>
          <w:rFonts w:ascii="Verdana" w:hAnsi="Verdana" w:cs="Verdana"/>
          <w:sz w:val="20"/>
          <w:szCs w:val="20"/>
        </w:rPr>
        <w:t>como por</w:t>
      </w:r>
      <w:r w:rsidRPr="006D3EEE">
        <w:rPr>
          <w:rFonts w:ascii="Verdana" w:hAnsi="Verdana" w:cs="Verdana"/>
          <w:sz w:val="20"/>
          <w:szCs w:val="20"/>
        </w:rPr>
        <w:t xml:space="preserve"> la Comisión</w:t>
      </w:r>
      <w:r>
        <w:rPr>
          <w:rFonts w:ascii="Verdana" w:hAnsi="Verdana" w:cs="Verdana"/>
          <w:sz w:val="20"/>
          <w:szCs w:val="20"/>
        </w:rPr>
        <w:t xml:space="preserve"> (</w:t>
      </w:r>
      <w:r>
        <w:rPr>
          <w:rFonts w:ascii="Verdana" w:hAnsi="Verdana" w:cs="Verdana"/>
          <w:i/>
          <w:sz w:val="20"/>
          <w:szCs w:val="20"/>
        </w:rPr>
        <w:t>supra</w:t>
      </w:r>
      <w:r>
        <w:rPr>
          <w:rFonts w:ascii="Verdana" w:hAnsi="Verdana" w:cs="Verdana"/>
          <w:sz w:val="20"/>
          <w:szCs w:val="20"/>
        </w:rPr>
        <w:t xml:space="preserve"> Visto 20)</w:t>
      </w:r>
      <w:r w:rsidRPr="004C7AFC">
        <w:rPr>
          <w:rFonts w:ascii="Verdana" w:hAnsi="Verdana" w:cs="Verdana"/>
          <w:sz w:val="20"/>
          <w:szCs w:val="20"/>
        </w:rPr>
        <w:t>.</w:t>
      </w:r>
      <w:r>
        <w:rPr>
          <w:rFonts w:ascii="Verdana" w:hAnsi="Verdana" w:cs="Verdana"/>
          <w:sz w:val="20"/>
          <w:szCs w:val="20"/>
        </w:rPr>
        <w:t xml:space="preserve"> </w:t>
      </w:r>
      <w:r w:rsidRPr="006D3EEE">
        <w:rPr>
          <w:rFonts w:ascii="Verdana" w:hAnsi="Verdana" w:cs="Verdana"/>
          <w:sz w:val="20"/>
          <w:szCs w:val="20"/>
        </w:rPr>
        <w:t>La Comisión manifestó que no tenía observaciones que formular a las listas definitivas de los representantes ni del Estado</w:t>
      </w:r>
      <w:r>
        <w:rPr>
          <w:rFonts w:ascii="Verdana" w:hAnsi="Verdana" w:cs="Verdana"/>
          <w:sz w:val="20"/>
          <w:szCs w:val="20"/>
        </w:rPr>
        <w:t xml:space="preserve"> (</w:t>
      </w:r>
      <w:r>
        <w:rPr>
          <w:rFonts w:ascii="Verdana" w:hAnsi="Verdana" w:cs="Verdana"/>
          <w:i/>
          <w:sz w:val="20"/>
          <w:szCs w:val="20"/>
        </w:rPr>
        <w:t xml:space="preserve">supra </w:t>
      </w:r>
      <w:r>
        <w:rPr>
          <w:rFonts w:ascii="Verdana" w:hAnsi="Verdana" w:cs="Verdana"/>
          <w:sz w:val="20"/>
          <w:szCs w:val="20"/>
        </w:rPr>
        <w:t>Visto 19)</w:t>
      </w:r>
      <w:r w:rsidRPr="006D3EEE">
        <w:rPr>
          <w:rFonts w:ascii="Verdana" w:hAnsi="Verdana"/>
          <w:sz w:val="20"/>
          <w:szCs w:val="20"/>
          <w:lang w:val="es-CR"/>
        </w:rPr>
        <w:t xml:space="preserve">. </w:t>
      </w:r>
    </w:p>
    <w:p w:rsidR="00332068" w:rsidRPr="006D3EEE" w:rsidRDefault="00332068" w:rsidP="00332068">
      <w:pPr>
        <w:jc w:val="both"/>
        <w:rPr>
          <w:rFonts w:ascii="Verdana" w:hAnsi="Verdana" w:cs="Verdana"/>
          <w:sz w:val="20"/>
          <w:szCs w:val="20"/>
          <w:lang w:val="es-CR"/>
        </w:rPr>
      </w:pPr>
    </w:p>
    <w:p w:rsidR="00332068" w:rsidRPr="00E123D4" w:rsidRDefault="00332068" w:rsidP="00332068">
      <w:pPr>
        <w:pStyle w:val="ListParagraph"/>
        <w:numPr>
          <w:ilvl w:val="0"/>
          <w:numId w:val="41"/>
        </w:numPr>
        <w:ind w:left="0" w:hanging="11"/>
        <w:jc w:val="both"/>
        <w:rPr>
          <w:rFonts w:ascii="Verdana" w:hAnsi="Verdana" w:cs="Verdana"/>
          <w:sz w:val="20"/>
          <w:szCs w:val="20"/>
          <w:lang w:val="es-CR"/>
        </w:rPr>
      </w:pPr>
      <w:r w:rsidRPr="00BE7135">
        <w:rPr>
          <w:rFonts w:ascii="Verdana" w:hAnsi="Verdana" w:cs="Verdana"/>
          <w:sz w:val="20"/>
          <w:szCs w:val="20"/>
          <w:lang w:val="es-CR"/>
        </w:rPr>
        <w:t>En cuanto a las declaraciones ofrecidas por las partes que no han ido objetadas, el Presidente considera conveniente recabar dicha prueba, a efectos de que el Tribunal pueda apreciar su valor en la debida oportunidad procesal, dentro del contexto del acervo probatorio existente y según las reglas de la sana crítica. Por consiguiente, el Presidente admite las declaraciones de las presuntas víctimas</w:t>
      </w:r>
      <w:r>
        <w:rPr>
          <w:rFonts w:ascii="Verdana" w:hAnsi="Verdana" w:cs="Verdana"/>
          <w:sz w:val="20"/>
          <w:szCs w:val="20"/>
          <w:lang w:val="es-CR"/>
        </w:rPr>
        <w:t>:</w:t>
      </w:r>
      <w:r w:rsidRPr="00BE7135">
        <w:rPr>
          <w:rFonts w:ascii="Verdana" w:hAnsi="Verdana" w:cs="Verdana"/>
          <w:sz w:val="20"/>
          <w:szCs w:val="20"/>
          <w:lang w:val="es-CR"/>
        </w:rPr>
        <w:t xml:space="preserve"> </w:t>
      </w:r>
      <w:proofErr w:type="spellStart"/>
      <w:r w:rsidRPr="00BE7135">
        <w:rPr>
          <w:rFonts w:ascii="Verdana" w:hAnsi="Verdana" w:cs="Verdana"/>
          <w:sz w:val="20"/>
          <w:szCs w:val="20"/>
          <w:lang w:val="es-CR"/>
        </w:rPr>
        <w:t>Berson</w:t>
      </w:r>
      <w:proofErr w:type="spellEnd"/>
      <w:r w:rsidRPr="00BE7135">
        <w:rPr>
          <w:rFonts w:ascii="Verdana" w:hAnsi="Verdana" w:cs="Verdana"/>
          <w:sz w:val="20"/>
          <w:szCs w:val="20"/>
          <w:lang w:val="es-CR"/>
        </w:rPr>
        <w:t xml:space="preserve"> </w:t>
      </w:r>
      <w:proofErr w:type="spellStart"/>
      <w:r w:rsidRPr="00BE7135">
        <w:rPr>
          <w:rFonts w:ascii="Verdana" w:hAnsi="Verdana" w:cs="Verdana"/>
          <w:sz w:val="20"/>
          <w:szCs w:val="20"/>
          <w:lang w:val="es-CR"/>
        </w:rPr>
        <w:t>G</w:t>
      </w:r>
      <w:r>
        <w:rPr>
          <w:rFonts w:ascii="Verdana" w:hAnsi="Verdana" w:cs="Verdana"/>
          <w:sz w:val="20"/>
          <w:szCs w:val="20"/>
          <w:lang w:val="es-CR"/>
        </w:rPr>
        <w:t>elin</w:t>
      </w:r>
      <w:proofErr w:type="spellEnd"/>
      <w:r>
        <w:rPr>
          <w:rFonts w:ascii="Verdana" w:hAnsi="Verdana" w:cs="Verdana"/>
          <w:sz w:val="20"/>
          <w:szCs w:val="20"/>
          <w:lang w:val="es-CR"/>
        </w:rPr>
        <w:t xml:space="preserve">, Rafaelito Pérez Charles, </w:t>
      </w:r>
      <w:proofErr w:type="spellStart"/>
      <w:r w:rsidRPr="00BE7135">
        <w:rPr>
          <w:rFonts w:ascii="Verdana" w:hAnsi="Verdana" w:cs="Verdana"/>
          <w:sz w:val="20"/>
          <w:szCs w:val="20"/>
          <w:lang w:val="es-CR"/>
        </w:rPr>
        <w:t>Janise</w:t>
      </w:r>
      <w:proofErr w:type="spellEnd"/>
      <w:r w:rsidRPr="00BE7135">
        <w:rPr>
          <w:rFonts w:ascii="Verdana" w:hAnsi="Verdana" w:cs="Verdana"/>
          <w:sz w:val="20"/>
          <w:szCs w:val="20"/>
          <w:lang w:val="es-CR"/>
        </w:rPr>
        <w:t xml:space="preserve"> </w:t>
      </w:r>
      <w:proofErr w:type="spellStart"/>
      <w:r w:rsidRPr="00BE7135">
        <w:rPr>
          <w:rFonts w:ascii="Verdana" w:hAnsi="Verdana" w:cs="Verdana"/>
          <w:sz w:val="20"/>
          <w:szCs w:val="20"/>
          <w:lang w:val="es-CR"/>
        </w:rPr>
        <w:t>Midi</w:t>
      </w:r>
      <w:proofErr w:type="spellEnd"/>
      <w:r>
        <w:rPr>
          <w:rFonts w:ascii="Verdana" w:hAnsi="Verdana" w:cs="Verdana"/>
          <w:sz w:val="20"/>
          <w:szCs w:val="20"/>
          <w:lang w:val="es-CR"/>
        </w:rPr>
        <w:t xml:space="preserve"> y </w:t>
      </w:r>
      <w:r>
        <w:rPr>
          <w:rFonts w:ascii="Verdana" w:hAnsi="Verdana"/>
          <w:sz w:val="20"/>
          <w:szCs w:val="20"/>
          <w:lang w:val="es-CR"/>
        </w:rPr>
        <w:t>William</w:t>
      </w:r>
      <w:r w:rsidRPr="00E123D4">
        <w:rPr>
          <w:rFonts w:ascii="Verdana" w:hAnsi="Verdana"/>
          <w:sz w:val="20"/>
          <w:szCs w:val="20"/>
          <w:lang w:val="es-CR"/>
        </w:rPr>
        <w:t xml:space="preserve"> Medina</w:t>
      </w:r>
      <w:r>
        <w:rPr>
          <w:rFonts w:ascii="Verdana" w:hAnsi="Verdana"/>
          <w:sz w:val="20"/>
          <w:szCs w:val="20"/>
          <w:lang w:val="es-CR"/>
        </w:rPr>
        <w:t xml:space="preserve"> Ferreras</w:t>
      </w:r>
      <w:r w:rsidRPr="00BE7135">
        <w:rPr>
          <w:rFonts w:ascii="Verdana" w:hAnsi="Verdana" w:cs="Verdana"/>
          <w:sz w:val="20"/>
          <w:szCs w:val="20"/>
          <w:lang w:val="es-CR"/>
        </w:rPr>
        <w:t xml:space="preserve">, ofrecidas por los representantes; de la testigo </w:t>
      </w:r>
      <w:r w:rsidRPr="00BE7135">
        <w:rPr>
          <w:rFonts w:ascii="Verdana" w:hAnsi="Verdana" w:cs="Verdana"/>
          <w:sz w:val="20"/>
          <w:szCs w:val="20"/>
          <w:lang w:val="es-ES_tradnl"/>
        </w:rPr>
        <w:t>Carmen Maribel Ferreras Mella,</w:t>
      </w:r>
      <w:r w:rsidRPr="00BE7135">
        <w:rPr>
          <w:rFonts w:ascii="Verdana" w:hAnsi="Verdana" w:cs="Verdana"/>
          <w:sz w:val="20"/>
          <w:szCs w:val="20"/>
          <w:lang w:val="es-CR"/>
        </w:rPr>
        <w:t xml:space="preserve"> ofrecida por el Estado; y de los peritos </w:t>
      </w:r>
      <w:proofErr w:type="spellStart"/>
      <w:r w:rsidRPr="00BE7135">
        <w:rPr>
          <w:rFonts w:ascii="Verdana" w:hAnsi="Verdana" w:cs="Verdana"/>
          <w:sz w:val="20"/>
          <w:szCs w:val="20"/>
          <w:lang w:val="es-CR"/>
        </w:rPr>
        <w:t>Bridget</w:t>
      </w:r>
      <w:proofErr w:type="spellEnd"/>
      <w:r w:rsidRPr="00BE7135">
        <w:rPr>
          <w:rFonts w:ascii="Verdana" w:hAnsi="Verdana" w:cs="Verdana"/>
          <w:sz w:val="20"/>
          <w:szCs w:val="20"/>
          <w:lang w:val="es-CR"/>
        </w:rPr>
        <w:t xml:space="preserve"> </w:t>
      </w:r>
      <w:proofErr w:type="spellStart"/>
      <w:r w:rsidRPr="00BE7135">
        <w:rPr>
          <w:rFonts w:ascii="Verdana" w:hAnsi="Verdana" w:cs="Verdana"/>
          <w:sz w:val="20"/>
          <w:szCs w:val="20"/>
          <w:lang w:val="es-CR"/>
        </w:rPr>
        <w:t>Wooding</w:t>
      </w:r>
      <w:proofErr w:type="spellEnd"/>
      <w:r>
        <w:rPr>
          <w:rFonts w:ascii="Verdana" w:hAnsi="Verdana" w:cs="Verdana"/>
          <w:sz w:val="20"/>
          <w:szCs w:val="20"/>
          <w:lang w:val="es-CR"/>
        </w:rPr>
        <w:t>,</w:t>
      </w:r>
      <w:r w:rsidRPr="00BE7135">
        <w:rPr>
          <w:rFonts w:ascii="Verdana" w:hAnsi="Verdana" w:cs="Verdana"/>
          <w:sz w:val="20"/>
          <w:szCs w:val="20"/>
          <w:lang w:val="es-CR"/>
        </w:rPr>
        <w:t xml:space="preserve"> </w:t>
      </w:r>
      <w:proofErr w:type="spellStart"/>
      <w:r w:rsidRPr="00BE7135">
        <w:rPr>
          <w:rFonts w:ascii="Verdana" w:hAnsi="Verdana" w:cs="Verdana"/>
          <w:sz w:val="20"/>
          <w:szCs w:val="20"/>
          <w:lang w:val="es-CR"/>
        </w:rPr>
        <w:t>Tahira</w:t>
      </w:r>
      <w:proofErr w:type="spellEnd"/>
      <w:r w:rsidRPr="00BE7135">
        <w:rPr>
          <w:rFonts w:ascii="Verdana" w:hAnsi="Verdana" w:cs="Verdana"/>
          <w:sz w:val="20"/>
          <w:szCs w:val="20"/>
          <w:lang w:val="es-CR"/>
        </w:rPr>
        <w:t xml:space="preserve"> Vargas</w:t>
      </w:r>
      <w:r>
        <w:rPr>
          <w:rFonts w:ascii="Verdana" w:hAnsi="Verdana" w:cs="Verdana"/>
          <w:sz w:val="20"/>
          <w:szCs w:val="20"/>
          <w:lang w:val="es-CR"/>
        </w:rPr>
        <w:t xml:space="preserve"> y Rosa del Rosario Lara</w:t>
      </w:r>
      <w:r w:rsidRPr="00BE7135">
        <w:rPr>
          <w:rFonts w:ascii="Verdana" w:hAnsi="Verdana" w:cs="Verdana"/>
          <w:sz w:val="20"/>
          <w:szCs w:val="20"/>
          <w:lang w:val="es-CR"/>
        </w:rPr>
        <w:t xml:space="preserve">, ofrecidas por los representantes, y Cecilio Gómez Pérez y Manuel Núñez Asencio, ofrecidos por el Estado. </w:t>
      </w:r>
    </w:p>
    <w:p w:rsidR="00332068" w:rsidRPr="00E123D4" w:rsidRDefault="00332068" w:rsidP="00332068">
      <w:pPr>
        <w:pStyle w:val="ListParagraph"/>
        <w:ind w:left="0"/>
        <w:jc w:val="both"/>
        <w:rPr>
          <w:rFonts w:ascii="Verdana" w:hAnsi="Verdana" w:cs="Verdana"/>
          <w:sz w:val="20"/>
          <w:szCs w:val="20"/>
          <w:lang w:val="es-CR"/>
        </w:rPr>
      </w:pPr>
    </w:p>
    <w:p w:rsidR="00332068" w:rsidRDefault="00332068" w:rsidP="00332068">
      <w:pPr>
        <w:pStyle w:val="ListParagraph"/>
        <w:numPr>
          <w:ilvl w:val="0"/>
          <w:numId w:val="41"/>
        </w:numPr>
        <w:ind w:left="0" w:hanging="11"/>
        <w:jc w:val="both"/>
        <w:rPr>
          <w:rFonts w:ascii="Verdana" w:hAnsi="Verdana" w:cs="Verdana"/>
          <w:sz w:val="20"/>
          <w:szCs w:val="20"/>
          <w:lang w:val="es-CR"/>
        </w:rPr>
      </w:pPr>
      <w:r>
        <w:rPr>
          <w:rFonts w:ascii="Verdana" w:hAnsi="Verdana" w:cs="Verdana"/>
          <w:sz w:val="20"/>
          <w:szCs w:val="20"/>
          <w:lang w:val="es-CR"/>
        </w:rPr>
        <w:t>A continuación se examinarán los siguientes asuntos sobre los cuales existe controversia o alguna solicitud o cuestión particular que resolver: a) las recusaciones de peritos propuestos por las partes y la Comisión, así como objeciones a un perito propuesto por la Comisión y los representantes (</w:t>
      </w:r>
      <w:r>
        <w:rPr>
          <w:rFonts w:ascii="Verdana" w:hAnsi="Verdana" w:cs="Verdana"/>
          <w:i/>
          <w:sz w:val="20"/>
          <w:szCs w:val="20"/>
          <w:lang w:val="es-CR"/>
        </w:rPr>
        <w:t>infra</w:t>
      </w:r>
      <w:r>
        <w:rPr>
          <w:rFonts w:ascii="Verdana" w:hAnsi="Verdana" w:cs="Verdana"/>
          <w:sz w:val="20"/>
          <w:szCs w:val="20"/>
          <w:lang w:val="es-CR"/>
        </w:rPr>
        <w:t xml:space="preserve"> Considerandos 13 a 34); b) las objeciones a peritos ofrecidos por el Estado (</w:t>
      </w:r>
      <w:r>
        <w:rPr>
          <w:rFonts w:ascii="Verdana" w:hAnsi="Verdana" w:cs="Verdana"/>
          <w:i/>
          <w:sz w:val="20"/>
          <w:szCs w:val="20"/>
          <w:lang w:val="es-CR"/>
        </w:rPr>
        <w:t>infra</w:t>
      </w:r>
      <w:r>
        <w:rPr>
          <w:rFonts w:ascii="Verdana" w:hAnsi="Verdana" w:cs="Verdana"/>
          <w:sz w:val="20"/>
          <w:szCs w:val="20"/>
          <w:lang w:val="es-CR"/>
        </w:rPr>
        <w:t xml:space="preserve"> Considerandos 35 a 39); c) las objeciones a declarantes ofrecidos por las partes (</w:t>
      </w:r>
      <w:r>
        <w:rPr>
          <w:rFonts w:ascii="Verdana" w:hAnsi="Verdana" w:cs="Verdana"/>
          <w:i/>
          <w:sz w:val="20"/>
          <w:szCs w:val="20"/>
          <w:lang w:val="es-CR"/>
        </w:rPr>
        <w:t>infra</w:t>
      </w:r>
      <w:r>
        <w:rPr>
          <w:rFonts w:ascii="Verdana" w:hAnsi="Verdana" w:cs="Verdana"/>
          <w:sz w:val="20"/>
          <w:szCs w:val="20"/>
          <w:lang w:val="es-CR"/>
        </w:rPr>
        <w:t xml:space="preserve"> Considerandos 40 a 48); d) la admisibilidad de prueba pericial ofrecida por la Comisión (</w:t>
      </w:r>
      <w:r>
        <w:rPr>
          <w:rFonts w:ascii="Verdana" w:hAnsi="Verdana" w:cs="Verdana"/>
          <w:i/>
          <w:sz w:val="20"/>
          <w:szCs w:val="20"/>
          <w:lang w:val="es-CR"/>
        </w:rPr>
        <w:t>infra</w:t>
      </w:r>
      <w:r>
        <w:rPr>
          <w:rFonts w:ascii="Verdana" w:hAnsi="Verdana" w:cs="Verdana"/>
          <w:sz w:val="20"/>
          <w:szCs w:val="20"/>
          <w:lang w:val="es-CR"/>
        </w:rPr>
        <w:t xml:space="preserve"> Considerandos 49 a 51); e) la solicitud de la Comisión de trasladar al presente caso declaraciones periciales rendidas en el marco de otros dos casos (</w:t>
      </w:r>
      <w:r>
        <w:rPr>
          <w:rFonts w:ascii="Verdana" w:hAnsi="Verdana" w:cs="Verdana"/>
          <w:i/>
          <w:sz w:val="20"/>
          <w:szCs w:val="20"/>
          <w:lang w:val="es-CR"/>
        </w:rPr>
        <w:t xml:space="preserve">infra </w:t>
      </w:r>
      <w:r>
        <w:rPr>
          <w:rFonts w:ascii="Verdana" w:hAnsi="Verdana" w:cs="Verdana"/>
          <w:sz w:val="20"/>
          <w:szCs w:val="20"/>
          <w:lang w:val="es-CR"/>
        </w:rPr>
        <w:t>Considerandos 52 a 55); f) la solicitud de la Comisión para formular preguntas a peritos ofrecidos por el Estado (</w:t>
      </w:r>
      <w:r>
        <w:rPr>
          <w:rFonts w:ascii="Verdana" w:hAnsi="Verdana" w:cs="Verdana"/>
          <w:i/>
          <w:sz w:val="20"/>
          <w:szCs w:val="20"/>
          <w:lang w:val="es-CR"/>
        </w:rPr>
        <w:t xml:space="preserve">infra </w:t>
      </w:r>
      <w:r>
        <w:rPr>
          <w:rFonts w:ascii="Verdana" w:hAnsi="Verdana" w:cs="Verdana"/>
          <w:sz w:val="20"/>
          <w:szCs w:val="20"/>
          <w:lang w:val="es-CR"/>
        </w:rPr>
        <w:t>Considerandos 56 a 58); g) la modalidad de las declaraciones y dictámenes periciales por recibir (</w:t>
      </w:r>
      <w:r>
        <w:rPr>
          <w:rFonts w:ascii="Verdana" w:hAnsi="Verdana" w:cs="Verdana"/>
          <w:i/>
          <w:sz w:val="20"/>
          <w:szCs w:val="20"/>
          <w:lang w:val="es-CR"/>
        </w:rPr>
        <w:t>infra</w:t>
      </w:r>
      <w:r>
        <w:rPr>
          <w:rFonts w:ascii="Verdana" w:hAnsi="Verdana" w:cs="Verdana"/>
          <w:sz w:val="20"/>
          <w:szCs w:val="20"/>
          <w:lang w:val="es-CR"/>
        </w:rPr>
        <w:t xml:space="preserve"> Considerandos 59 a 62); h) la aplicación del Fondo de Asistencia Legal a Víctimas (</w:t>
      </w:r>
      <w:r>
        <w:rPr>
          <w:rFonts w:ascii="Verdana" w:hAnsi="Verdana" w:cs="Verdana"/>
          <w:i/>
          <w:sz w:val="20"/>
          <w:szCs w:val="20"/>
          <w:lang w:val="es-CR"/>
        </w:rPr>
        <w:t>infra</w:t>
      </w:r>
      <w:r>
        <w:rPr>
          <w:rFonts w:ascii="Verdana" w:hAnsi="Verdana" w:cs="Verdana"/>
          <w:sz w:val="20"/>
          <w:szCs w:val="20"/>
          <w:lang w:val="es-CR"/>
        </w:rPr>
        <w:t xml:space="preserve"> Considerandos 63 a 67), e i) los alegatos y observaciones finales orales y escritos (</w:t>
      </w:r>
      <w:r>
        <w:rPr>
          <w:rFonts w:ascii="Verdana" w:hAnsi="Verdana" w:cs="Verdana"/>
          <w:i/>
          <w:sz w:val="20"/>
          <w:szCs w:val="20"/>
          <w:lang w:val="es-CR"/>
        </w:rPr>
        <w:t>infra</w:t>
      </w:r>
      <w:r>
        <w:rPr>
          <w:rFonts w:ascii="Verdana" w:hAnsi="Verdana" w:cs="Verdana"/>
          <w:sz w:val="20"/>
          <w:szCs w:val="20"/>
          <w:lang w:val="es-CR"/>
        </w:rPr>
        <w:t xml:space="preserve"> Considerandos 68 y 69).</w:t>
      </w:r>
    </w:p>
    <w:p w:rsidR="00332068" w:rsidRPr="00E123D4" w:rsidRDefault="00332068" w:rsidP="00332068">
      <w:pPr>
        <w:pStyle w:val="ListParagraph"/>
        <w:rPr>
          <w:rFonts w:ascii="Verdana" w:hAnsi="Verdana" w:cs="Verdana"/>
          <w:sz w:val="20"/>
          <w:szCs w:val="20"/>
          <w:lang w:val="es-CR"/>
        </w:rPr>
      </w:pPr>
    </w:p>
    <w:p w:rsidR="00332068" w:rsidRPr="00FC4E75" w:rsidRDefault="00332068" w:rsidP="00332068">
      <w:pPr>
        <w:pStyle w:val="ListParagraph"/>
        <w:numPr>
          <w:ilvl w:val="0"/>
          <w:numId w:val="41"/>
        </w:numPr>
        <w:ind w:left="0" w:hanging="11"/>
        <w:jc w:val="both"/>
        <w:rPr>
          <w:rFonts w:ascii="Verdana" w:hAnsi="Verdana" w:cs="Verdana"/>
          <w:sz w:val="20"/>
          <w:szCs w:val="20"/>
          <w:lang w:val="es-CR"/>
        </w:rPr>
      </w:pPr>
      <w:r w:rsidRPr="00B472C0">
        <w:rPr>
          <w:rFonts w:ascii="Verdana" w:hAnsi="Verdana" w:cs="Verdana"/>
          <w:sz w:val="20"/>
          <w:szCs w:val="20"/>
          <w:lang w:val="es-CR"/>
        </w:rPr>
        <w:t>Se deja establecido que el valor de cada una de las declaraciones que en esta Resolución se dispone recibir, será apreciado en la debida oportunidad procesal,</w:t>
      </w:r>
      <w:r w:rsidRPr="00FC4E75">
        <w:rPr>
          <w:rFonts w:ascii="Verdana" w:hAnsi="Verdana" w:cs="Verdana"/>
          <w:sz w:val="20"/>
          <w:szCs w:val="20"/>
          <w:lang w:val="es-CR"/>
        </w:rPr>
        <w:t xml:space="preserve"> dentro del contexto del acervo probatorio existente y según las reglas de la sana crítica. El objeto de las declaraciones y la modalidad en que serán recibidas se determinan en la parte resolutiva de la presente Resolución (</w:t>
      </w:r>
      <w:r w:rsidRPr="00FC4E75">
        <w:rPr>
          <w:rFonts w:ascii="Verdana" w:hAnsi="Verdana" w:cs="Verdana"/>
          <w:i/>
          <w:sz w:val="20"/>
          <w:szCs w:val="20"/>
          <w:lang w:val="es-CR"/>
        </w:rPr>
        <w:t>infra</w:t>
      </w:r>
      <w:r w:rsidRPr="00FC4E75">
        <w:rPr>
          <w:rFonts w:ascii="Verdana" w:hAnsi="Verdana" w:cs="Verdana"/>
          <w:sz w:val="20"/>
          <w:szCs w:val="20"/>
          <w:lang w:val="es-CR"/>
        </w:rPr>
        <w:t xml:space="preserve"> puntos resolutivos 1 y 7).</w:t>
      </w:r>
    </w:p>
    <w:p w:rsidR="00332068" w:rsidRDefault="00332068" w:rsidP="00332068">
      <w:pPr>
        <w:jc w:val="both"/>
        <w:rPr>
          <w:rFonts w:ascii="Verdana" w:hAnsi="Verdana" w:cs="Verdana"/>
          <w:b/>
          <w:bCs/>
          <w:i/>
          <w:iCs/>
          <w:sz w:val="20"/>
          <w:szCs w:val="20"/>
        </w:rPr>
      </w:pPr>
    </w:p>
    <w:p w:rsidR="00332068" w:rsidRDefault="00332068" w:rsidP="00332068">
      <w:pPr>
        <w:pStyle w:val="ListParagraph"/>
        <w:numPr>
          <w:ilvl w:val="0"/>
          <w:numId w:val="2"/>
        </w:numPr>
        <w:jc w:val="both"/>
        <w:rPr>
          <w:rFonts w:ascii="Verdana" w:hAnsi="Verdana" w:cs="Verdana"/>
          <w:b/>
          <w:bCs/>
          <w:i/>
          <w:iCs/>
          <w:sz w:val="20"/>
          <w:szCs w:val="20"/>
        </w:rPr>
      </w:pPr>
      <w:r>
        <w:rPr>
          <w:rFonts w:ascii="Verdana" w:hAnsi="Verdana" w:cs="Verdana"/>
          <w:b/>
          <w:bCs/>
          <w:i/>
          <w:iCs/>
          <w:sz w:val="20"/>
          <w:szCs w:val="20"/>
        </w:rPr>
        <w:t xml:space="preserve">Recusaciones de peritos propuestos por las partes y la Comisión Interamericana, y objeciones a un perito propuesto por la Comisión y los representantes </w:t>
      </w:r>
    </w:p>
    <w:p w:rsidR="00332068" w:rsidRDefault="00332068" w:rsidP="00332068">
      <w:pPr>
        <w:jc w:val="both"/>
        <w:rPr>
          <w:rFonts w:ascii="Verdana" w:hAnsi="Verdana" w:cs="Verdana"/>
          <w:sz w:val="20"/>
          <w:szCs w:val="20"/>
          <w:lang w:val="es-CR"/>
        </w:rPr>
      </w:pPr>
    </w:p>
    <w:p w:rsidR="00332068" w:rsidRPr="0037136B" w:rsidRDefault="00332068" w:rsidP="00332068">
      <w:pPr>
        <w:pStyle w:val="ListParagraph"/>
        <w:numPr>
          <w:ilvl w:val="0"/>
          <w:numId w:val="41"/>
        </w:numPr>
        <w:ind w:left="0" w:hanging="11"/>
        <w:jc w:val="both"/>
        <w:rPr>
          <w:rFonts w:ascii="Verdana" w:hAnsi="Verdana" w:cs="Verdana"/>
          <w:sz w:val="20"/>
          <w:szCs w:val="20"/>
          <w:lang w:val="es-CR"/>
        </w:rPr>
      </w:pPr>
      <w:r w:rsidRPr="0037136B">
        <w:rPr>
          <w:rFonts w:ascii="Verdana" w:hAnsi="Verdana" w:cs="Verdana"/>
          <w:sz w:val="20"/>
          <w:szCs w:val="20"/>
          <w:lang w:val="es-CR"/>
        </w:rPr>
        <w:t>El artículo 48 del Reglamento</w:t>
      </w:r>
      <w:r>
        <w:rPr>
          <w:rFonts w:ascii="Verdana" w:hAnsi="Verdana" w:cs="Verdana"/>
          <w:sz w:val="20"/>
          <w:szCs w:val="20"/>
          <w:lang w:val="es-CR"/>
        </w:rPr>
        <w:t xml:space="preserve">, </w:t>
      </w:r>
      <w:r w:rsidRPr="0037136B">
        <w:rPr>
          <w:rFonts w:ascii="Verdana" w:hAnsi="Verdana" w:cs="Verdana"/>
          <w:sz w:val="20"/>
          <w:szCs w:val="20"/>
          <w:lang w:val="es-CR"/>
        </w:rPr>
        <w:t>regula lo relativo a la “Recusación de peritos”. En su inciso primero estipula las causales de recusación, en los siguientes términos:</w:t>
      </w:r>
    </w:p>
    <w:p w:rsidR="00332068" w:rsidRPr="0037136B" w:rsidRDefault="00332068" w:rsidP="00332068">
      <w:pPr>
        <w:pStyle w:val="ListParagraph"/>
        <w:jc w:val="both"/>
        <w:rPr>
          <w:rFonts w:ascii="Verdana" w:hAnsi="Verdana" w:cs="Verdana"/>
          <w:sz w:val="20"/>
          <w:szCs w:val="20"/>
          <w:lang w:val="es-CR"/>
        </w:rPr>
      </w:pPr>
    </w:p>
    <w:p w:rsidR="00332068" w:rsidRPr="00BA4BD2" w:rsidRDefault="00332068" w:rsidP="00332068">
      <w:pPr>
        <w:ind w:right="18" w:firstLine="720"/>
        <w:jc w:val="both"/>
        <w:rPr>
          <w:rFonts w:ascii="Verdana" w:hAnsi="Verdana" w:cs="Verdana"/>
          <w:sz w:val="22"/>
          <w:szCs w:val="22"/>
          <w:lang w:val="es-CR"/>
        </w:rPr>
      </w:pPr>
      <w:r w:rsidRPr="00BA4BD2">
        <w:rPr>
          <w:rFonts w:ascii="Verdana" w:hAnsi="Verdana"/>
          <w:sz w:val="16"/>
          <w:szCs w:val="16"/>
          <w:lang w:val="es-CR"/>
        </w:rPr>
        <w:t>1. Los peritos podrán ser recusados cuando incurran en alguna de las siguientes causales:</w:t>
      </w:r>
    </w:p>
    <w:p w:rsidR="00332068" w:rsidRPr="00BA4BD2" w:rsidRDefault="00332068" w:rsidP="00332068">
      <w:pPr>
        <w:pStyle w:val="ListParagraph"/>
        <w:autoSpaceDE w:val="0"/>
        <w:autoSpaceDN w:val="0"/>
        <w:adjustRightInd w:val="0"/>
        <w:ind w:left="1440" w:right="738"/>
        <w:jc w:val="both"/>
        <w:rPr>
          <w:rFonts w:ascii="Verdana" w:hAnsi="Verdana"/>
          <w:sz w:val="16"/>
          <w:szCs w:val="16"/>
          <w:lang w:val="es-CR"/>
        </w:rPr>
      </w:pPr>
      <w:r>
        <w:rPr>
          <w:rFonts w:ascii="Verdana" w:hAnsi="Verdana"/>
          <w:sz w:val="16"/>
          <w:szCs w:val="16"/>
          <w:lang w:val="es-CR"/>
        </w:rPr>
        <w:t xml:space="preserve">a. </w:t>
      </w:r>
      <w:r w:rsidRPr="00BA4BD2">
        <w:rPr>
          <w:rFonts w:ascii="Verdana" w:hAnsi="Verdana"/>
          <w:sz w:val="16"/>
          <w:szCs w:val="16"/>
          <w:lang w:val="es-CR"/>
        </w:rPr>
        <w:t>ser pariente por consanguinidad, afinidad o adopción, dentro del cuarto grado, de una de las presuntas víctimas;</w:t>
      </w:r>
    </w:p>
    <w:p w:rsidR="00332068" w:rsidRPr="00BA4BD2" w:rsidRDefault="00332068" w:rsidP="00332068">
      <w:pPr>
        <w:pStyle w:val="ListParagraph"/>
        <w:autoSpaceDE w:val="0"/>
        <w:autoSpaceDN w:val="0"/>
        <w:adjustRightInd w:val="0"/>
        <w:ind w:left="1440" w:right="738"/>
        <w:jc w:val="both"/>
        <w:rPr>
          <w:rFonts w:ascii="Verdana" w:hAnsi="Verdana"/>
          <w:sz w:val="16"/>
          <w:szCs w:val="16"/>
          <w:lang w:val="es-CR"/>
        </w:rPr>
      </w:pPr>
      <w:r w:rsidRPr="00BA4BD2">
        <w:rPr>
          <w:rFonts w:ascii="Verdana" w:hAnsi="Verdana"/>
          <w:sz w:val="16"/>
          <w:szCs w:val="16"/>
          <w:lang w:val="es-CR"/>
        </w:rPr>
        <w:t>b. ser o haber sido representante de alguna presunta víctima en el procedimiento a nivel interno o ante el sistema interamericano de promoción y protección de los derechos humanos por los hechos del caso en conocimiento de la Corte;</w:t>
      </w:r>
    </w:p>
    <w:p w:rsidR="00332068" w:rsidRPr="00BA4BD2" w:rsidRDefault="00332068" w:rsidP="00332068">
      <w:pPr>
        <w:pStyle w:val="ListParagraph"/>
        <w:autoSpaceDE w:val="0"/>
        <w:autoSpaceDN w:val="0"/>
        <w:adjustRightInd w:val="0"/>
        <w:ind w:left="1440" w:right="738"/>
        <w:jc w:val="both"/>
        <w:rPr>
          <w:rFonts w:ascii="Verdana" w:hAnsi="Verdana"/>
          <w:sz w:val="16"/>
          <w:szCs w:val="16"/>
          <w:lang w:val="es-CR"/>
        </w:rPr>
      </w:pPr>
      <w:r w:rsidRPr="00BA4BD2">
        <w:rPr>
          <w:rFonts w:ascii="Verdana" w:hAnsi="Verdana"/>
          <w:sz w:val="16"/>
          <w:szCs w:val="16"/>
          <w:lang w:val="es-CR"/>
        </w:rPr>
        <w:t>c. tener o haber tenido vínculos estrechos o relación de subordinación funcional con la parte que lo propone y que a juicio de la Corte pudiera afectar su imparcialidad;</w:t>
      </w:r>
    </w:p>
    <w:p w:rsidR="00332068" w:rsidRPr="00BA4BD2" w:rsidRDefault="00332068" w:rsidP="00332068">
      <w:pPr>
        <w:pStyle w:val="ListParagraph"/>
        <w:autoSpaceDE w:val="0"/>
        <w:autoSpaceDN w:val="0"/>
        <w:adjustRightInd w:val="0"/>
        <w:ind w:left="1440" w:right="738"/>
        <w:jc w:val="both"/>
        <w:rPr>
          <w:rFonts w:ascii="Verdana" w:hAnsi="Verdana"/>
          <w:sz w:val="16"/>
          <w:szCs w:val="16"/>
          <w:lang w:val="es-CR"/>
        </w:rPr>
      </w:pPr>
      <w:r w:rsidRPr="00BA4BD2">
        <w:rPr>
          <w:rFonts w:ascii="Verdana" w:hAnsi="Verdana"/>
          <w:sz w:val="16"/>
          <w:szCs w:val="16"/>
          <w:lang w:val="es-CR"/>
        </w:rPr>
        <w:t>d. ser o haber sido funcionario de la Comisión con conocimiento del caso en litigio en que se solicita su peritaje;</w:t>
      </w:r>
    </w:p>
    <w:p w:rsidR="00332068" w:rsidRPr="00BA4BD2" w:rsidRDefault="00332068" w:rsidP="00332068">
      <w:pPr>
        <w:pStyle w:val="ListParagraph"/>
        <w:autoSpaceDE w:val="0"/>
        <w:autoSpaceDN w:val="0"/>
        <w:adjustRightInd w:val="0"/>
        <w:ind w:left="1440" w:right="738"/>
        <w:jc w:val="both"/>
        <w:rPr>
          <w:rFonts w:ascii="Verdana" w:hAnsi="Verdana"/>
          <w:sz w:val="16"/>
          <w:szCs w:val="16"/>
          <w:lang w:val="es-CR"/>
        </w:rPr>
      </w:pPr>
      <w:r w:rsidRPr="00BA4BD2">
        <w:rPr>
          <w:rFonts w:ascii="Verdana" w:hAnsi="Verdana"/>
          <w:sz w:val="16"/>
          <w:szCs w:val="16"/>
          <w:lang w:val="es-CR"/>
        </w:rPr>
        <w:lastRenderedPageBreak/>
        <w:t>e. ser o haber sido Agente del Estado demandado en el caso en litigio en que se solicita su peritaje;</w:t>
      </w:r>
    </w:p>
    <w:p w:rsidR="00332068" w:rsidRDefault="00332068" w:rsidP="00332068">
      <w:pPr>
        <w:pStyle w:val="ListParagraph"/>
        <w:autoSpaceDE w:val="0"/>
        <w:autoSpaceDN w:val="0"/>
        <w:adjustRightInd w:val="0"/>
        <w:ind w:left="1440" w:right="738"/>
        <w:jc w:val="both"/>
        <w:rPr>
          <w:rFonts w:ascii="Verdana" w:hAnsi="Verdana"/>
          <w:sz w:val="16"/>
          <w:szCs w:val="16"/>
          <w:lang w:val="es-CR"/>
        </w:rPr>
      </w:pPr>
      <w:r>
        <w:rPr>
          <w:rFonts w:ascii="Verdana" w:hAnsi="Verdana"/>
          <w:sz w:val="16"/>
          <w:szCs w:val="16"/>
          <w:lang w:val="es-CR"/>
        </w:rPr>
        <w:t xml:space="preserve">f. </w:t>
      </w:r>
      <w:r w:rsidRPr="00BA4BD2">
        <w:rPr>
          <w:rFonts w:ascii="Verdana" w:hAnsi="Verdana"/>
          <w:bCs/>
          <w:sz w:val="16"/>
          <w:szCs w:val="16"/>
          <w:lang w:val="es-CR"/>
        </w:rPr>
        <w:t>haber intervenido con anterioridad, a cualquier título, y en cualquier instancia, nacional o internacional, en relación con la misma causa</w:t>
      </w:r>
      <w:r w:rsidRPr="00BA4BD2">
        <w:rPr>
          <w:rFonts w:ascii="Verdana" w:hAnsi="Verdana"/>
          <w:sz w:val="16"/>
          <w:szCs w:val="16"/>
          <w:lang w:val="es-CR"/>
        </w:rPr>
        <w:t xml:space="preserve">. </w:t>
      </w:r>
    </w:p>
    <w:p w:rsidR="00332068" w:rsidRPr="00BA4BD2" w:rsidRDefault="00332068" w:rsidP="00332068">
      <w:pPr>
        <w:ind w:left="360"/>
        <w:jc w:val="both"/>
        <w:rPr>
          <w:rFonts w:ascii="Verdana" w:hAnsi="Verdana" w:cs="Verdana"/>
          <w:b/>
          <w:bCs/>
          <w:i/>
          <w:iCs/>
          <w:sz w:val="20"/>
          <w:szCs w:val="20"/>
        </w:rPr>
      </w:pPr>
    </w:p>
    <w:p w:rsidR="00332068" w:rsidRPr="004D7271" w:rsidRDefault="00332068" w:rsidP="00332068">
      <w:pPr>
        <w:tabs>
          <w:tab w:val="left" w:pos="851"/>
        </w:tabs>
        <w:jc w:val="both"/>
        <w:rPr>
          <w:rFonts w:ascii="Verdana" w:hAnsi="Verdana" w:cs="Verdana"/>
          <w:b/>
          <w:bCs/>
          <w:i/>
          <w:iCs/>
          <w:sz w:val="20"/>
          <w:szCs w:val="20"/>
        </w:rPr>
      </w:pPr>
      <w:r>
        <w:rPr>
          <w:rFonts w:ascii="Verdana" w:hAnsi="Verdana" w:cs="Verdana"/>
          <w:b/>
          <w:bCs/>
          <w:i/>
          <w:iCs/>
          <w:sz w:val="20"/>
          <w:szCs w:val="20"/>
        </w:rPr>
        <w:tab/>
        <w:t xml:space="preserve">A.1) </w:t>
      </w:r>
      <w:r w:rsidRPr="004D7271">
        <w:rPr>
          <w:rFonts w:ascii="Verdana" w:hAnsi="Verdana" w:cs="Verdana"/>
          <w:b/>
          <w:bCs/>
          <w:i/>
          <w:iCs/>
          <w:sz w:val="20"/>
          <w:szCs w:val="20"/>
        </w:rPr>
        <w:t xml:space="preserve">Recusaciones </w:t>
      </w:r>
      <w:r>
        <w:rPr>
          <w:rFonts w:ascii="Verdana" w:hAnsi="Verdana" w:cs="Verdana"/>
          <w:b/>
          <w:bCs/>
          <w:i/>
          <w:iCs/>
          <w:sz w:val="20"/>
          <w:szCs w:val="20"/>
        </w:rPr>
        <w:t>a</w:t>
      </w:r>
      <w:r w:rsidRPr="004D7271">
        <w:rPr>
          <w:rFonts w:ascii="Verdana" w:hAnsi="Verdana" w:cs="Verdana"/>
          <w:b/>
          <w:bCs/>
          <w:i/>
          <w:iCs/>
          <w:sz w:val="20"/>
          <w:szCs w:val="20"/>
        </w:rPr>
        <w:t xml:space="preserve"> los peritos propuestos por el Estado </w:t>
      </w:r>
      <w:r w:rsidRPr="004D7271">
        <w:rPr>
          <w:rFonts w:ascii="Verdana" w:hAnsi="Verdana" w:cs="Verdana"/>
          <w:b/>
          <w:bCs/>
          <w:i/>
          <w:iCs/>
          <w:sz w:val="20"/>
          <w:szCs w:val="20"/>
        </w:rPr>
        <w:br/>
      </w:r>
    </w:p>
    <w:p w:rsidR="00332068" w:rsidRDefault="00332068" w:rsidP="00332068">
      <w:pPr>
        <w:pStyle w:val="ListParagraph"/>
        <w:numPr>
          <w:ilvl w:val="0"/>
          <w:numId w:val="41"/>
        </w:numPr>
        <w:ind w:left="0" w:right="10" w:hanging="11"/>
        <w:jc w:val="both"/>
        <w:rPr>
          <w:rFonts w:ascii="Verdana" w:hAnsi="Verdana" w:cs="Verdana"/>
          <w:sz w:val="20"/>
          <w:szCs w:val="20"/>
        </w:rPr>
      </w:pPr>
      <w:r w:rsidRPr="0037136B">
        <w:rPr>
          <w:rFonts w:ascii="Verdana" w:hAnsi="Verdana" w:cs="Verdana"/>
          <w:sz w:val="20"/>
          <w:szCs w:val="20"/>
        </w:rPr>
        <w:t>En su escrito de contestación el Estado ofreció la</w:t>
      </w:r>
      <w:r>
        <w:rPr>
          <w:rFonts w:ascii="Verdana" w:hAnsi="Verdana" w:cs="Verdana"/>
          <w:sz w:val="20"/>
          <w:szCs w:val="20"/>
        </w:rPr>
        <w:t>s</w:t>
      </w:r>
      <w:r w:rsidRPr="0037136B">
        <w:rPr>
          <w:rFonts w:ascii="Verdana" w:hAnsi="Verdana" w:cs="Verdana"/>
          <w:sz w:val="20"/>
          <w:szCs w:val="20"/>
        </w:rPr>
        <w:t xml:space="preserve"> declaraci</w:t>
      </w:r>
      <w:r>
        <w:rPr>
          <w:rFonts w:ascii="Verdana" w:hAnsi="Verdana" w:cs="Verdana"/>
          <w:sz w:val="20"/>
          <w:szCs w:val="20"/>
        </w:rPr>
        <w:t>o</w:t>
      </w:r>
      <w:r w:rsidRPr="0037136B">
        <w:rPr>
          <w:rFonts w:ascii="Verdana" w:hAnsi="Verdana" w:cs="Verdana"/>
          <w:sz w:val="20"/>
          <w:szCs w:val="20"/>
        </w:rPr>
        <w:t>n</w:t>
      </w:r>
      <w:r>
        <w:rPr>
          <w:rFonts w:ascii="Verdana" w:hAnsi="Verdana" w:cs="Verdana"/>
          <w:sz w:val="20"/>
          <w:szCs w:val="20"/>
        </w:rPr>
        <w:t>es</w:t>
      </w:r>
      <w:r w:rsidRPr="0037136B">
        <w:rPr>
          <w:rFonts w:ascii="Verdana" w:hAnsi="Verdana" w:cs="Verdana"/>
          <w:sz w:val="20"/>
          <w:szCs w:val="20"/>
        </w:rPr>
        <w:t xml:space="preserve"> pericial</w:t>
      </w:r>
      <w:r>
        <w:rPr>
          <w:rFonts w:ascii="Verdana" w:hAnsi="Verdana" w:cs="Verdana"/>
          <w:sz w:val="20"/>
          <w:szCs w:val="20"/>
        </w:rPr>
        <w:t>es</w:t>
      </w:r>
      <w:r w:rsidRPr="0037136B">
        <w:rPr>
          <w:rFonts w:ascii="Verdana" w:hAnsi="Verdana" w:cs="Verdana"/>
          <w:sz w:val="20"/>
          <w:szCs w:val="20"/>
        </w:rPr>
        <w:t xml:space="preserve"> de la señora </w:t>
      </w:r>
      <w:r w:rsidRPr="0037136B">
        <w:rPr>
          <w:rFonts w:ascii="Verdana" w:eastAsia="MS Mincho" w:hAnsi="Verdana" w:cs="Helvetica"/>
          <w:bCs/>
          <w:sz w:val="20"/>
          <w:szCs w:val="20"/>
        </w:rPr>
        <w:t xml:space="preserve">Brígida Sabino Pozo </w:t>
      </w:r>
      <w:r>
        <w:rPr>
          <w:rFonts w:ascii="Verdana" w:eastAsia="MS Mincho" w:hAnsi="Verdana" w:cs="Helvetica"/>
          <w:bCs/>
          <w:sz w:val="20"/>
          <w:szCs w:val="20"/>
        </w:rPr>
        <w:t xml:space="preserve">(en adelante también “señora Sabino Pozo”) </w:t>
      </w:r>
      <w:r w:rsidRPr="0037136B">
        <w:rPr>
          <w:rFonts w:ascii="Verdana" w:eastAsia="MS Mincho" w:hAnsi="Verdana" w:cs="Helvetica"/>
          <w:bCs/>
          <w:sz w:val="20"/>
          <w:szCs w:val="20"/>
        </w:rPr>
        <w:t xml:space="preserve">y </w:t>
      </w:r>
      <w:r>
        <w:rPr>
          <w:rFonts w:ascii="Verdana" w:eastAsia="MS Mincho" w:hAnsi="Verdana" w:cs="Helvetica"/>
          <w:bCs/>
          <w:sz w:val="20"/>
          <w:szCs w:val="20"/>
        </w:rPr>
        <w:t>d</w:t>
      </w:r>
      <w:r w:rsidRPr="0037136B">
        <w:rPr>
          <w:rFonts w:ascii="Verdana" w:eastAsia="MS Mincho" w:hAnsi="Verdana" w:cs="Helvetica"/>
          <w:bCs/>
          <w:sz w:val="20"/>
          <w:szCs w:val="20"/>
        </w:rPr>
        <w:t xml:space="preserve">el señor </w:t>
      </w:r>
      <w:r w:rsidRPr="0037136B">
        <w:rPr>
          <w:rFonts w:ascii="Verdana" w:eastAsia="MS Mincho" w:hAnsi="Verdana" w:cs="Arial"/>
          <w:sz w:val="20"/>
          <w:szCs w:val="20"/>
        </w:rPr>
        <w:t>Juan Bautista Tavares Gómez</w:t>
      </w:r>
      <w:r>
        <w:rPr>
          <w:rFonts w:ascii="Verdana" w:eastAsia="MS Mincho" w:hAnsi="Verdana" w:cs="Arial"/>
          <w:sz w:val="20"/>
          <w:szCs w:val="20"/>
        </w:rPr>
        <w:t xml:space="preserve"> (en adelante también “señor Tavares Gómez”), ambas</w:t>
      </w:r>
      <w:r w:rsidRPr="0037136B">
        <w:rPr>
          <w:rFonts w:ascii="Verdana" w:eastAsia="MS Mincho" w:hAnsi="Verdana" w:cs="Arial"/>
          <w:sz w:val="20"/>
          <w:szCs w:val="20"/>
        </w:rPr>
        <w:t xml:space="preserve"> para </w:t>
      </w:r>
      <w:r>
        <w:rPr>
          <w:rFonts w:ascii="Verdana" w:eastAsia="MS Mincho" w:hAnsi="Verdana" w:cs="Arial"/>
          <w:sz w:val="20"/>
          <w:szCs w:val="20"/>
        </w:rPr>
        <w:t>referirse</w:t>
      </w:r>
      <w:r w:rsidRPr="0037136B">
        <w:rPr>
          <w:rFonts w:ascii="Verdana" w:hAnsi="Verdana" w:cs="Verdana"/>
          <w:sz w:val="20"/>
          <w:szCs w:val="20"/>
          <w:lang w:val="es-CR"/>
        </w:rPr>
        <w:t xml:space="preserve"> “</w:t>
      </w:r>
      <w:r w:rsidRPr="0037136B">
        <w:rPr>
          <w:rFonts w:ascii="Verdana" w:eastAsia="MS Mincho" w:hAnsi="Verdana" w:cs="Arial"/>
          <w:sz w:val="20"/>
          <w:szCs w:val="20"/>
        </w:rPr>
        <w:t>al régimen legal interno relativo al funcionamiento del registro civil, las declaraciones oportunas y tardías, la rectificación de actas, la investigación de las irregularidades en las actas del estado civil y el procedimiento aplicable</w:t>
      </w:r>
      <w:r w:rsidRPr="0037136B">
        <w:rPr>
          <w:rFonts w:ascii="Verdana" w:hAnsi="Verdana" w:cs="Verdana"/>
          <w:sz w:val="20"/>
          <w:szCs w:val="20"/>
          <w:lang w:val="es-CR"/>
        </w:rPr>
        <w:t xml:space="preserve">”. El Estado </w:t>
      </w:r>
      <w:r w:rsidRPr="0037136B">
        <w:rPr>
          <w:rFonts w:ascii="Verdana" w:hAnsi="Verdana" w:cs="Verdana"/>
          <w:sz w:val="20"/>
          <w:szCs w:val="20"/>
        </w:rPr>
        <w:t xml:space="preserve">confirmó dicho ofrecimiento </w:t>
      </w:r>
      <w:r>
        <w:rPr>
          <w:rFonts w:ascii="Verdana" w:hAnsi="Verdana" w:cs="Verdana"/>
          <w:sz w:val="20"/>
          <w:szCs w:val="20"/>
        </w:rPr>
        <w:t xml:space="preserve">al presentar su lista definitiva de declarantes </w:t>
      </w:r>
      <w:r w:rsidRPr="0037136B">
        <w:rPr>
          <w:rFonts w:ascii="Verdana" w:hAnsi="Verdana" w:cs="Verdana"/>
          <w:sz w:val="20"/>
          <w:szCs w:val="20"/>
        </w:rPr>
        <w:t xml:space="preserve"> (</w:t>
      </w:r>
      <w:r w:rsidRPr="00721DD9">
        <w:rPr>
          <w:rFonts w:ascii="Verdana" w:hAnsi="Verdana" w:cs="Verdana"/>
          <w:i/>
          <w:sz w:val="20"/>
          <w:szCs w:val="20"/>
        </w:rPr>
        <w:t>supra</w:t>
      </w:r>
      <w:r w:rsidRPr="0037136B">
        <w:rPr>
          <w:rFonts w:ascii="Verdana" w:hAnsi="Verdana" w:cs="Verdana"/>
          <w:sz w:val="20"/>
          <w:szCs w:val="20"/>
        </w:rPr>
        <w:t xml:space="preserve"> Visto </w:t>
      </w:r>
      <w:r>
        <w:rPr>
          <w:rFonts w:ascii="Verdana" w:hAnsi="Verdana" w:cs="Verdana"/>
          <w:sz w:val="20"/>
          <w:szCs w:val="20"/>
        </w:rPr>
        <w:t>14</w:t>
      </w:r>
      <w:r w:rsidRPr="0037136B">
        <w:rPr>
          <w:rFonts w:ascii="Verdana" w:hAnsi="Verdana" w:cs="Verdana"/>
          <w:sz w:val="20"/>
          <w:szCs w:val="20"/>
        </w:rPr>
        <w:t xml:space="preserve">). </w:t>
      </w:r>
    </w:p>
    <w:p w:rsidR="00332068" w:rsidRPr="0037136B" w:rsidRDefault="00332068" w:rsidP="00332068">
      <w:pPr>
        <w:pStyle w:val="ListParagraph"/>
        <w:ind w:left="0" w:right="10"/>
        <w:jc w:val="both"/>
        <w:rPr>
          <w:rFonts w:ascii="Verdana" w:hAnsi="Verdana" w:cs="Verdana"/>
          <w:sz w:val="20"/>
          <w:szCs w:val="20"/>
        </w:rPr>
      </w:pPr>
    </w:p>
    <w:p w:rsidR="00332068" w:rsidRDefault="00332068" w:rsidP="00332068">
      <w:pPr>
        <w:pStyle w:val="ListParagraph"/>
        <w:numPr>
          <w:ilvl w:val="0"/>
          <w:numId w:val="41"/>
        </w:numPr>
        <w:ind w:left="0" w:right="10" w:hanging="11"/>
        <w:jc w:val="both"/>
        <w:rPr>
          <w:rFonts w:ascii="Verdana" w:hAnsi="Verdana" w:cs="Verdana"/>
          <w:sz w:val="20"/>
          <w:szCs w:val="20"/>
        </w:rPr>
      </w:pPr>
      <w:bookmarkStart w:id="1" w:name="_Ref314751023"/>
      <w:r w:rsidRPr="0037136B">
        <w:rPr>
          <w:rFonts w:ascii="Verdana" w:hAnsi="Verdana" w:cs="Verdana"/>
          <w:sz w:val="20"/>
          <w:szCs w:val="20"/>
        </w:rPr>
        <w:t>En su escrito de observaciones a la</w:t>
      </w:r>
      <w:r>
        <w:rPr>
          <w:rFonts w:ascii="Verdana" w:hAnsi="Verdana" w:cs="Verdana"/>
          <w:sz w:val="20"/>
          <w:szCs w:val="20"/>
        </w:rPr>
        <w:t>s</w:t>
      </w:r>
      <w:r w:rsidRPr="0037136B">
        <w:rPr>
          <w:rFonts w:ascii="Verdana" w:hAnsi="Verdana" w:cs="Verdana"/>
          <w:sz w:val="20"/>
          <w:szCs w:val="20"/>
        </w:rPr>
        <w:t xml:space="preserve"> lista</w:t>
      </w:r>
      <w:r>
        <w:rPr>
          <w:rFonts w:ascii="Verdana" w:hAnsi="Verdana" w:cs="Verdana"/>
          <w:sz w:val="20"/>
          <w:szCs w:val="20"/>
        </w:rPr>
        <w:t>s</w:t>
      </w:r>
      <w:r w:rsidRPr="0037136B">
        <w:rPr>
          <w:rFonts w:ascii="Verdana" w:hAnsi="Verdana" w:cs="Verdana"/>
          <w:sz w:val="20"/>
          <w:szCs w:val="20"/>
        </w:rPr>
        <w:t xml:space="preserve"> definitiva</w:t>
      </w:r>
      <w:r>
        <w:rPr>
          <w:rFonts w:ascii="Verdana" w:hAnsi="Verdana" w:cs="Verdana"/>
          <w:sz w:val="20"/>
          <w:szCs w:val="20"/>
        </w:rPr>
        <w:t>s</w:t>
      </w:r>
      <w:r w:rsidRPr="0037136B">
        <w:rPr>
          <w:rFonts w:ascii="Verdana" w:hAnsi="Verdana" w:cs="Verdana"/>
          <w:sz w:val="20"/>
          <w:szCs w:val="20"/>
        </w:rPr>
        <w:t xml:space="preserve"> de declarantes (</w:t>
      </w:r>
      <w:r w:rsidRPr="00721DD9">
        <w:rPr>
          <w:rFonts w:ascii="Verdana" w:hAnsi="Verdana" w:cs="Verdana"/>
          <w:i/>
          <w:sz w:val="20"/>
          <w:szCs w:val="20"/>
        </w:rPr>
        <w:t>supra</w:t>
      </w:r>
      <w:r w:rsidRPr="0037136B">
        <w:rPr>
          <w:rFonts w:ascii="Verdana" w:hAnsi="Verdana" w:cs="Verdana"/>
          <w:sz w:val="20"/>
          <w:szCs w:val="20"/>
        </w:rPr>
        <w:t xml:space="preserve"> Visto </w:t>
      </w:r>
      <w:r>
        <w:rPr>
          <w:rFonts w:ascii="Verdana" w:hAnsi="Verdana" w:cs="Verdana"/>
          <w:sz w:val="20"/>
          <w:szCs w:val="20"/>
        </w:rPr>
        <w:t>21</w:t>
      </w:r>
      <w:r w:rsidRPr="0037136B">
        <w:rPr>
          <w:rFonts w:ascii="Verdana" w:hAnsi="Verdana" w:cs="Verdana"/>
          <w:sz w:val="20"/>
          <w:szCs w:val="20"/>
        </w:rPr>
        <w:t xml:space="preserve">), los representantes </w:t>
      </w:r>
      <w:r>
        <w:rPr>
          <w:rFonts w:ascii="Verdana" w:hAnsi="Verdana" w:cs="Verdana"/>
          <w:sz w:val="20"/>
          <w:szCs w:val="20"/>
        </w:rPr>
        <w:t>presentaron</w:t>
      </w:r>
      <w:r w:rsidRPr="0037136B">
        <w:rPr>
          <w:rFonts w:ascii="Verdana" w:hAnsi="Verdana" w:cs="Verdana"/>
          <w:sz w:val="20"/>
          <w:szCs w:val="20"/>
        </w:rPr>
        <w:t xml:space="preserve"> recusaci</w:t>
      </w:r>
      <w:r>
        <w:rPr>
          <w:rFonts w:ascii="Verdana" w:hAnsi="Verdana" w:cs="Verdana"/>
          <w:sz w:val="20"/>
          <w:szCs w:val="20"/>
        </w:rPr>
        <w:t>o</w:t>
      </w:r>
      <w:r w:rsidRPr="0037136B">
        <w:rPr>
          <w:rFonts w:ascii="Verdana" w:hAnsi="Verdana" w:cs="Verdana"/>
          <w:sz w:val="20"/>
          <w:szCs w:val="20"/>
        </w:rPr>
        <w:t>n</w:t>
      </w:r>
      <w:r>
        <w:rPr>
          <w:rFonts w:ascii="Verdana" w:hAnsi="Verdana" w:cs="Verdana"/>
          <w:sz w:val="20"/>
          <w:szCs w:val="20"/>
        </w:rPr>
        <w:t>es</w:t>
      </w:r>
      <w:r w:rsidRPr="0037136B">
        <w:rPr>
          <w:rFonts w:ascii="Verdana" w:hAnsi="Verdana" w:cs="Verdana"/>
          <w:sz w:val="20"/>
          <w:szCs w:val="20"/>
        </w:rPr>
        <w:t xml:space="preserve"> contra de la señora Sabino Pozo y del señor Tavares Gómez, alegando como fundamento la causal dispuesta en el artículo 48.1.c del Reglamento. Los representantes </w:t>
      </w:r>
      <w:r>
        <w:rPr>
          <w:rFonts w:ascii="Verdana" w:hAnsi="Verdana" w:cs="Verdana"/>
          <w:sz w:val="20"/>
          <w:szCs w:val="20"/>
        </w:rPr>
        <w:t>manifestaron</w:t>
      </w:r>
      <w:r w:rsidRPr="0037136B">
        <w:rPr>
          <w:rFonts w:ascii="Verdana" w:hAnsi="Verdana" w:cs="Verdana"/>
          <w:sz w:val="20"/>
          <w:szCs w:val="20"/>
        </w:rPr>
        <w:t xml:space="preserve"> que la señora Sabino Pozo tiene una </w:t>
      </w:r>
      <w:r>
        <w:rPr>
          <w:rFonts w:ascii="Verdana" w:hAnsi="Verdana" w:cs="Verdana"/>
          <w:sz w:val="20"/>
          <w:szCs w:val="20"/>
        </w:rPr>
        <w:t>“</w:t>
      </w:r>
      <w:r w:rsidRPr="0037136B">
        <w:rPr>
          <w:rFonts w:ascii="Verdana" w:hAnsi="Verdana" w:cs="Verdana"/>
          <w:sz w:val="20"/>
          <w:szCs w:val="20"/>
        </w:rPr>
        <w:t>relación de subordinación funcional evidente</w:t>
      </w:r>
      <w:r>
        <w:rPr>
          <w:rFonts w:ascii="Verdana" w:hAnsi="Verdana" w:cs="Verdana"/>
          <w:sz w:val="20"/>
          <w:szCs w:val="20"/>
        </w:rPr>
        <w:t>”</w:t>
      </w:r>
      <w:r w:rsidRPr="0037136B">
        <w:rPr>
          <w:rFonts w:ascii="Verdana" w:hAnsi="Verdana" w:cs="Verdana"/>
          <w:sz w:val="20"/>
          <w:szCs w:val="20"/>
        </w:rPr>
        <w:t xml:space="preserve"> con el Estado debido a que es la encargada de la Unidad Central de Declaraciones Tardías de Nacimiento de la Junta Central Electoral. Además, los representantes observa</w:t>
      </w:r>
      <w:r>
        <w:rPr>
          <w:rFonts w:ascii="Verdana" w:hAnsi="Verdana" w:cs="Verdana"/>
          <w:sz w:val="20"/>
          <w:szCs w:val="20"/>
        </w:rPr>
        <w:t>ro</w:t>
      </w:r>
      <w:r w:rsidRPr="0037136B">
        <w:rPr>
          <w:rFonts w:ascii="Verdana" w:hAnsi="Verdana" w:cs="Verdana"/>
          <w:sz w:val="20"/>
          <w:szCs w:val="20"/>
        </w:rPr>
        <w:t xml:space="preserve">n que la señora Brígida Sabino Pozo </w:t>
      </w:r>
    </w:p>
    <w:p w:rsidR="00332068" w:rsidRDefault="00332068" w:rsidP="00332068">
      <w:pPr>
        <w:pStyle w:val="ListParagraph"/>
        <w:ind w:left="0" w:right="10"/>
        <w:jc w:val="both"/>
        <w:rPr>
          <w:rFonts w:ascii="Verdana" w:hAnsi="Verdana" w:cs="Verdana"/>
          <w:sz w:val="20"/>
          <w:szCs w:val="20"/>
        </w:rPr>
      </w:pPr>
    </w:p>
    <w:p w:rsidR="00332068" w:rsidRPr="00BF0B0D" w:rsidRDefault="00332068" w:rsidP="00332068">
      <w:pPr>
        <w:pStyle w:val="ListParagraph"/>
        <w:ind w:left="567" w:right="673"/>
        <w:jc w:val="both"/>
        <w:rPr>
          <w:rFonts w:ascii="Verdana" w:hAnsi="Verdana" w:cs="Verdana"/>
          <w:sz w:val="16"/>
          <w:szCs w:val="16"/>
        </w:rPr>
      </w:pPr>
      <w:proofErr w:type="gramStart"/>
      <w:r w:rsidRPr="00BF0B0D">
        <w:rPr>
          <w:rFonts w:ascii="Verdana" w:hAnsi="Verdana" w:cs="Verdana"/>
          <w:sz w:val="16"/>
          <w:szCs w:val="16"/>
        </w:rPr>
        <w:t>recientemente</w:t>
      </w:r>
      <w:proofErr w:type="gramEnd"/>
      <w:r w:rsidRPr="00BF0B0D">
        <w:rPr>
          <w:rFonts w:ascii="Verdana" w:hAnsi="Verdana" w:cs="Verdana"/>
          <w:sz w:val="16"/>
          <w:szCs w:val="16"/>
        </w:rPr>
        <w:t xml:space="preserve"> representó al Estado ante esta </w:t>
      </w:r>
      <w:r>
        <w:rPr>
          <w:rFonts w:ascii="Verdana" w:hAnsi="Verdana" w:cs="Verdana"/>
          <w:sz w:val="16"/>
          <w:szCs w:val="16"/>
        </w:rPr>
        <w:t>[…]</w:t>
      </w:r>
      <w:r w:rsidRPr="00BF0B0D">
        <w:rPr>
          <w:rFonts w:ascii="Verdana" w:hAnsi="Verdana" w:cs="Verdana"/>
          <w:sz w:val="16"/>
          <w:szCs w:val="16"/>
        </w:rPr>
        <w:t xml:space="preserve"> Corte en [una au</w:t>
      </w:r>
      <w:r>
        <w:rPr>
          <w:rFonts w:ascii="Verdana" w:hAnsi="Verdana" w:cs="Verdana"/>
          <w:sz w:val="16"/>
          <w:szCs w:val="16"/>
        </w:rPr>
        <w:t>d</w:t>
      </w:r>
      <w:r w:rsidRPr="00BF0B0D">
        <w:rPr>
          <w:rFonts w:ascii="Verdana" w:hAnsi="Verdana" w:cs="Verdana"/>
          <w:sz w:val="16"/>
          <w:szCs w:val="16"/>
        </w:rPr>
        <w:t>iencia sobre el caso</w:t>
      </w:r>
      <w:r>
        <w:rPr>
          <w:rFonts w:ascii="Verdana" w:hAnsi="Verdana" w:cs="Verdana"/>
          <w:sz w:val="16"/>
          <w:szCs w:val="16"/>
        </w:rPr>
        <w:t xml:space="preserve"> de las </w:t>
      </w:r>
      <w:r>
        <w:rPr>
          <w:rFonts w:ascii="Verdana" w:hAnsi="Verdana" w:cs="Verdana"/>
          <w:i/>
          <w:sz w:val="16"/>
          <w:szCs w:val="16"/>
        </w:rPr>
        <w:t>Niñas</w:t>
      </w:r>
      <w:r w:rsidRPr="00BF0B0D">
        <w:rPr>
          <w:rFonts w:ascii="Verdana" w:hAnsi="Verdana" w:cs="Verdana"/>
          <w:sz w:val="16"/>
          <w:szCs w:val="16"/>
        </w:rPr>
        <w:t xml:space="preserve">] </w:t>
      </w:r>
      <w:proofErr w:type="spellStart"/>
      <w:r w:rsidRPr="00721DD9">
        <w:rPr>
          <w:rFonts w:ascii="Verdana" w:hAnsi="Verdana" w:cs="Verdana"/>
          <w:i/>
          <w:sz w:val="16"/>
          <w:szCs w:val="16"/>
        </w:rPr>
        <w:t>Yean</w:t>
      </w:r>
      <w:proofErr w:type="spellEnd"/>
      <w:r w:rsidRPr="00721DD9">
        <w:rPr>
          <w:rFonts w:ascii="Verdana" w:hAnsi="Verdana" w:cs="Verdana"/>
          <w:i/>
          <w:sz w:val="16"/>
          <w:szCs w:val="16"/>
        </w:rPr>
        <w:t xml:space="preserve"> y </w:t>
      </w:r>
      <w:proofErr w:type="spellStart"/>
      <w:r w:rsidRPr="00721DD9">
        <w:rPr>
          <w:rFonts w:ascii="Verdana" w:hAnsi="Verdana" w:cs="Verdana"/>
          <w:i/>
          <w:sz w:val="16"/>
          <w:szCs w:val="16"/>
        </w:rPr>
        <w:t>Bosico</w:t>
      </w:r>
      <w:proofErr w:type="spellEnd"/>
      <w:r w:rsidRPr="00BF0B0D">
        <w:rPr>
          <w:rFonts w:ascii="Verdana" w:hAnsi="Verdana" w:cs="Verdana"/>
          <w:sz w:val="16"/>
          <w:szCs w:val="16"/>
        </w:rPr>
        <w:t xml:space="preserve">, […] íntimamente relacionado con el [caso </w:t>
      </w:r>
      <w:r w:rsidRPr="00BF0B0D">
        <w:rPr>
          <w:rFonts w:ascii="Verdana" w:hAnsi="Verdana" w:cs="Verdana"/>
          <w:i/>
          <w:sz w:val="16"/>
          <w:szCs w:val="16"/>
        </w:rPr>
        <w:t>sub judice</w:t>
      </w:r>
      <w:r w:rsidRPr="00BF0B0D">
        <w:rPr>
          <w:rFonts w:ascii="Verdana" w:hAnsi="Verdana" w:cs="Verdana"/>
          <w:sz w:val="16"/>
          <w:szCs w:val="16"/>
        </w:rPr>
        <w:t>], donde defendió la misma posición estatal respecto del registro civil que sería el objeto de su peritaje en el presente caso, lo cual pone de relieve su parcialidad manifiesta.</w:t>
      </w:r>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ind w:left="0" w:right="10"/>
        <w:jc w:val="both"/>
        <w:rPr>
          <w:rFonts w:ascii="Verdana" w:hAnsi="Verdana" w:cs="Verdana"/>
          <w:sz w:val="20"/>
          <w:szCs w:val="20"/>
        </w:rPr>
      </w:pPr>
      <w:r>
        <w:rPr>
          <w:rFonts w:ascii="Verdana" w:hAnsi="Verdana" w:cs="Verdana"/>
          <w:sz w:val="20"/>
          <w:szCs w:val="20"/>
        </w:rPr>
        <w:t>Asimismo los representantes</w:t>
      </w:r>
      <w:r w:rsidRPr="0037136B">
        <w:rPr>
          <w:rFonts w:ascii="Verdana" w:hAnsi="Verdana" w:cs="Verdana"/>
          <w:sz w:val="20"/>
          <w:szCs w:val="20"/>
        </w:rPr>
        <w:t xml:space="preserve"> aportaron documentos respecto de </w:t>
      </w:r>
      <w:r>
        <w:rPr>
          <w:rFonts w:ascii="Verdana" w:hAnsi="Verdana" w:cs="Verdana"/>
          <w:sz w:val="20"/>
          <w:szCs w:val="20"/>
        </w:rPr>
        <w:t xml:space="preserve">la </w:t>
      </w:r>
      <w:r w:rsidRPr="0037136B">
        <w:rPr>
          <w:rFonts w:ascii="Verdana" w:hAnsi="Verdana" w:cs="Verdana"/>
          <w:sz w:val="20"/>
          <w:szCs w:val="20"/>
        </w:rPr>
        <w:t xml:space="preserve">participación </w:t>
      </w:r>
      <w:r>
        <w:rPr>
          <w:rFonts w:ascii="Verdana" w:hAnsi="Verdana" w:cs="Verdana"/>
          <w:sz w:val="20"/>
          <w:szCs w:val="20"/>
        </w:rPr>
        <w:t xml:space="preserve">de la señora Sabino Pozo </w:t>
      </w:r>
      <w:r w:rsidRPr="0037136B">
        <w:rPr>
          <w:rFonts w:ascii="Verdana" w:hAnsi="Verdana" w:cs="Verdana"/>
          <w:sz w:val="20"/>
          <w:szCs w:val="20"/>
        </w:rPr>
        <w:t>en dicho caso</w:t>
      </w:r>
      <w:r>
        <w:rPr>
          <w:rFonts w:ascii="Verdana" w:hAnsi="Verdana" w:cs="Verdana"/>
          <w:sz w:val="20"/>
          <w:szCs w:val="20"/>
        </w:rPr>
        <w:t>,</w:t>
      </w:r>
      <w:r w:rsidRPr="0037136B">
        <w:rPr>
          <w:rFonts w:ascii="Verdana" w:hAnsi="Verdana" w:cs="Verdana"/>
          <w:sz w:val="20"/>
          <w:szCs w:val="20"/>
        </w:rPr>
        <w:t xml:space="preserve"> como representante del Estado en la audiencia privada de supervisión de sentencia de</w:t>
      </w:r>
      <w:r>
        <w:rPr>
          <w:rFonts w:ascii="Verdana" w:hAnsi="Verdana" w:cs="Verdana"/>
          <w:sz w:val="20"/>
          <w:szCs w:val="20"/>
        </w:rPr>
        <w:t xml:space="preserve"> </w:t>
      </w:r>
      <w:r w:rsidRPr="0037136B">
        <w:rPr>
          <w:rFonts w:ascii="Verdana" w:hAnsi="Verdana" w:cs="Verdana"/>
          <w:sz w:val="20"/>
          <w:szCs w:val="20"/>
        </w:rPr>
        <w:t>28 de mayo de 2013</w:t>
      </w:r>
      <w:r>
        <w:rPr>
          <w:rFonts w:ascii="Verdana" w:hAnsi="Verdana" w:cs="Verdana"/>
          <w:sz w:val="20"/>
          <w:szCs w:val="20"/>
        </w:rPr>
        <w:t xml:space="preserve"> en el caso </w:t>
      </w:r>
      <w:r w:rsidRPr="009A364B">
        <w:rPr>
          <w:rFonts w:ascii="Verdana" w:hAnsi="Verdana" w:cs="Verdana"/>
          <w:i/>
          <w:sz w:val="20"/>
          <w:szCs w:val="20"/>
        </w:rPr>
        <w:t xml:space="preserve">Niñas </w:t>
      </w:r>
      <w:proofErr w:type="spellStart"/>
      <w:r w:rsidRPr="009A364B">
        <w:rPr>
          <w:rFonts w:ascii="Verdana" w:hAnsi="Verdana" w:cs="Verdana"/>
          <w:i/>
          <w:sz w:val="20"/>
          <w:szCs w:val="20"/>
        </w:rPr>
        <w:t>Yean</w:t>
      </w:r>
      <w:proofErr w:type="spellEnd"/>
      <w:r w:rsidRPr="009A364B">
        <w:rPr>
          <w:rFonts w:ascii="Verdana" w:hAnsi="Verdana" w:cs="Verdana"/>
          <w:i/>
          <w:sz w:val="20"/>
          <w:szCs w:val="20"/>
        </w:rPr>
        <w:t xml:space="preserve"> y </w:t>
      </w:r>
      <w:proofErr w:type="spellStart"/>
      <w:r w:rsidRPr="009A364B">
        <w:rPr>
          <w:rFonts w:ascii="Verdana" w:hAnsi="Verdana" w:cs="Verdana"/>
          <w:i/>
          <w:sz w:val="20"/>
          <w:szCs w:val="20"/>
        </w:rPr>
        <w:t>Bosico</w:t>
      </w:r>
      <w:proofErr w:type="spellEnd"/>
      <w:r w:rsidRPr="0037136B">
        <w:rPr>
          <w:rFonts w:ascii="Verdana" w:hAnsi="Verdana" w:cs="Verdana"/>
          <w:sz w:val="20"/>
          <w:szCs w:val="20"/>
        </w:rPr>
        <w:t xml:space="preserve">. En lo referente al señor Juan Bautista Tavares Gómez, los representantes señalaron </w:t>
      </w:r>
      <w:proofErr w:type="gramStart"/>
      <w:r w:rsidRPr="0037136B">
        <w:rPr>
          <w:rFonts w:ascii="Verdana" w:hAnsi="Verdana" w:cs="Verdana"/>
          <w:sz w:val="20"/>
          <w:szCs w:val="20"/>
        </w:rPr>
        <w:t>que ”</w:t>
      </w:r>
      <w:proofErr w:type="gramEnd"/>
      <w:r w:rsidRPr="0037136B">
        <w:rPr>
          <w:rFonts w:ascii="Verdana" w:hAnsi="Verdana" w:cs="Verdana"/>
          <w:sz w:val="20"/>
          <w:szCs w:val="20"/>
        </w:rPr>
        <w:t>también se encuentra en una relación de subordinación con la parte que lo propone”</w:t>
      </w:r>
      <w:r>
        <w:rPr>
          <w:rFonts w:ascii="Verdana" w:hAnsi="Verdana" w:cs="Verdana"/>
          <w:sz w:val="20"/>
          <w:szCs w:val="20"/>
        </w:rPr>
        <w:t>,</w:t>
      </w:r>
      <w:r w:rsidRPr="0037136B">
        <w:rPr>
          <w:rFonts w:ascii="Verdana" w:hAnsi="Verdana" w:cs="Verdana"/>
          <w:sz w:val="20"/>
          <w:szCs w:val="20"/>
        </w:rPr>
        <w:t xml:space="preserve"> ya que desempeña las funciones de </w:t>
      </w:r>
      <w:r>
        <w:rPr>
          <w:rFonts w:ascii="Verdana" w:hAnsi="Verdana" w:cs="Verdana"/>
          <w:sz w:val="20"/>
          <w:szCs w:val="20"/>
        </w:rPr>
        <w:t>“</w:t>
      </w:r>
      <w:r w:rsidRPr="0037136B">
        <w:rPr>
          <w:rFonts w:ascii="Verdana" w:hAnsi="Verdana" w:cs="Verdana"/>
          <w:sz w:val="20"/>
          <w:szCs w:val="20"/>
        </w:rPr>
        <w:t xml:space="preserve">Director de la Dirección de </w:t>
      </w:r>
      <w:proofErr w:type="spellStart"/>
      <w:r w:rsidRPr="0037136B">
        <w:rPr>
          <w:rFonts w:ascii="Verdana" w:hAnsi="Verdana" w:cs="Verdana"/>
          <w:sz w:val="20"/>
          <w:szCs w:val="20"/>
        </w:rPr>
        <w:t>Inspectoría</w:t>
      </w:r>
      <w:proofErr w:type="spellEnd"/>
      <w:r w:rsidRPr="0037136B">
        <w:rPr>
          <w:rFonts w:ascii="Verdana" w:hAnsi="Verdana" w:cs="Verdana"/>
          <w:sz w:val="20"/>
          <w:szCs w:val="20"/>
        </w:rPr>
        <w:t xml:space="preserve"> de la Junta Central Electoral</w:t>
      </w:r>
      <w:r>
        <w:rPr>
          <w:rFonts w:ascii="Verdana" w:hAnsi="Verdana" w:cs="Verdana"/>
          <w:sz w:val="20"/>
          <w:szCs w:val="20"/>
        </w:rPr>
        <w:t>”</w:t>
      </w:r>
      <w:r w:rsidRPr="0037136B">
        <w:rPr>
          <w:rFonts w:ascii="Verdana" w:hAnsi="Verdana" w:cs="Verdana"/>
          <w:sz w:val="20"/>
          <w:szCs w:val="20"/>
        </w:rPr>
        <w:t xml:space="preserve"> desde </w:t>
      </w:r>
      <w:r>
        <w:rPr>
          <w:rFonts w:ascii="Verdana" w:hAnsi="Verdana" w:cs="Verdana"/>
          <w:sz w:val="20"/>
          <w:szCs w:val="20"/>
        </w:rPr>
        <w:t>“</w:t>
      </w:r>
      <w:r w:rsidRPr="0037136B">
        <w:rPr>
          <w:rFonts w:ascii="Verdana" w:hAnsi="Verdana" w:cs="Verdana"/>
          <w:sz w:val="20"/>
          <w:szCs w:val="20"/>
        </w:rPr>
        <w:t>el año 2007</w:t>
      </w:r>
      <w:r>
        <w:rPr>
          <w:rFonts w:ascii="Verdana" w:hAnsi="Verdana" w:cs="Verdana"/>
          <w:sz w:val="20"/>
          <w:szCs w:val="20"/>
        </w:rPr>
        <w:t xml:space="preserve">”, </w:t>
      </w:r>
      <w:r w:rsidRPr="0037136B">
        <w:rPr>
          <w:rFonts w:ascii="Verdana" w:hAnsi="Verdana" w:cs="Verdana"/>
          <w:sz w:val="20"/>
          <w:szCs w:val="20"/>
        </w:rPr>
        <w:t>donde “investiga las denuncias relativas</w:t>
      </w:r>
      <w:r>
        <w:rPr>
          <w:rFonts w:ascii="Verdana" w:hAnsi="Verdana" w:cs="Verdana"/>
          <w:sz w:val="20"/>
          <w:szCs w:val="20"/>
        </w:rPr>
        <w:t xml:space="preserve"> [a]</w:t>
      </w:r>
      <w:r w:rsidRPr="0037136B">
        <w:rPr>
          <w:rFonts w:ascii="Verdana" w:hAnsi="Verdana" w:cs="Verdana"/>
          <w:sz w:val="20"/>
          <w:szCs w:val="20"/>
        </w:rPr>
        <w:t xml:space="preserve"> faltas cometidas en el desempeño de sus funciones de los empleados y funcionarios de la Junta Central Electoral”</w:t>
      </w:r>
      <w:r>
        <w:rPr>
          <w:rFonts w:ascii="Verdana" w:hAnsi="Verdana" w:cs="Verdana"/>
          <w:sz w:val="20"/>
          <w:szCs w:val="20"/>
        </w:rPr>
        <w:t xml:space="preserve">. </w:t>
      </w:r>
      <w:bookmarkEnd w:id="1"/>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numPr>
          <w:ilvl w:val="0"/>
          <w:numId w:val="41"/>
        </w:numPr>
        <w:ind w:left="0" w:right="10" w:hanging="11"/>
        <w:jc w:val="both"/>
        <w:rPr>
          <w:rFonts w:ascii="Verdana" w:hAnsi="Verdana" w:cs="Verdana"/>
          <w:sz w:val="20"/>
          <w:szCs w:val="20"/>
        </w:rPr>
      </w:pPr>
      <w:r w:rsidRPr="0037136B">
        <w:rPr>
          <w:rFonts w:ascii="Verdana" w:hAnsi="Verdana" w:cs="Verdana"/>
          <w:sz w:val="20"/>
          <w:szCs w:val="20"/>
        </w:rPr>
        <w:t xml:space="preserve">De conformidad con el artículo 48.3 del Reglamento se trasladó </w:t>
      </w:r>
      <w:r>
        <w:rPr>
          <w:rFonts w:ascii="Verdana" w:hAnsi="Verdana" w:cs="Verdana"/>
          <w:sz w:val="20"/>
          <w:szCs w:val="20"/>
        </w:rPr>
        <w:t xml:space="preserve">a </w:t>
      </w:r>
      <w:r w:rsidRPr="0037136B">
        <w:rPr>
          <w:rFonts w:ascii="Verdana" w:hAnsi="Verdana" w:cs="Verdana"/>
          <w:sz w:val="20"/>
          <w:szCs w:val="20"/>
        </w:rPr>
        <w:t xml:space="preserve">la señora Sabino Pozo y </w:t>
      </w:r>
      <w:r>
        <w:rPr>
          <w:rFonts w:ascii="Verdana" w:hAnsi="Verdana" w:cs="Verdana"/>
          <w:sz w:val="20"/>
          <w:szCs w:val="20"/>
        </w:rPr>
        <w:t>a</w:t>
      </w:r>
      <w:r w:rsidRPr="0037136B">
        <w:rPr>
          <w:rFonts w:ascii="Verdana" w:hAnsi="Verdana" w:cs="Verdana"/>
          <w:sz w:val="20"/>
          <w:szCs w:val="20"/>
        </w:rPr>
        <w:t>l señor Tavares Gómez la</w:t>
      </w:r>
      <w:r>
        <w:rPr>
          <w:rFonts w:ascii="Verdana" w:hAnsi="Verdana" w:cs="Verdana"/>
          <w:sz w:val="20"/>
          <w:szCs w:val="20"/>
        </w:rPr>
        <w:t>s</w:t>
      </w:r>
      <w:r w:rsidRPr="0037136B">
        <w:rPr>
          <w:rFonts w:ascii="Verdana" w:hAnsi="Verdana" w:cs="Verdana"/>
          <w:sz w:val="20"/>
          <w:szCs w:val="20"/>
        </w:rPr>
        <w:t xml:space="preserve"> recusaci</w:t>
      </w:r>
      <w:r>
        <w:rPr>
          <w:rFonts w:ascii="Verdana" w:hAnsi="Verdana" w:cs="Verdana"/>
          <w:sz w:val="20"/>
          <w:szCs w:val="20"/>
        </w:rPr>
        <w:t>o</w:t>
      </w:r>
      <w:r w:rsidRPr="0037136B">
        <w:rPr>
          <w:rFonts w:ascii="Verdana" w:hAnsi="Verdana" w:cs="Verdana"/>
          <w:sz w:val="20"/>
          <w:szCs w:val="20"/>
        </w:rPr>
        <w:t>n</w:t>
      </w:r>
      <w:r>
        <w:rPr>
          <w:rFonts w:ascii="Verdana" w:hAnsi="Verdana" w:cs="Verdana"/>
          <w:sz w:val="20"/>
          <w:szCs w:val="20"/>
        </w:rPr>
        <w:t>es</w:t>
      </w:r>
      <w:r w:rsidRPr="0037136B">
        <w:rPr>
          <w:rFonts w:ascii="Verdana" w:hAnsi="Verdana" w:cs="Verdana"/>
          <w:sz w:val="20"/>
          <w:szCs w:val="20"/>
        </w:rPr>
        <w:t xml:space="preserve"> planteada</w:t>
      </w:r>
      <w:r>
        <w:rPr>
          <w:rFonts w:ascii="Verdana" w:hAnsi="Verdana" w:cs="Verdana"/>
          <w:sz w:val="20"/>
          <w:szCs w:val="20"/>
        </w:rPr>
        <w:t>s</w:t>
      </w:r>
      <w:r w:rsidRPr="0037136B">
        <w:rPr>
          <w:rFonts w:ascii="Verdana" w:hAnsi="Verdana" w:cs="Verdana"/>
          <w:sz w:val="20"/>
          <w:szCs w:val="20"/>
        </w:rPr>
        <w:t xml:space="preserve"> en su contra por los representantes</w:t>
      </w:r>
      <w:r>
        <w:rPr>
          <w:rFonts w:ascii="Verdana" w:hAnsi="Verdana" w:cs="Verdana"/>
          <w:sz w:val="20"/>
          <w:szCs w:val="20"/>
        </w:rPr>
        <w:t xml:space="preserve"> (</w:t>
      </w:r>
      <w:r>
        <w:rPr>
          <w:rFonts w:ascii="Verdana" w:hAnsi="Verdana" w:cs="Verdana"/>
          <w:i/>
          <w:sz w:val="20"/>
          <w:szCs w:val="20"/>
        </w:rPr>
        <w:t>supra</w:t>
      </w:r>
      <w:r>
        <w:rPr>
          <w:rFonts w:ascii="Verdana" w:hAnsi="Verdana" w:cs="Verdana"/>
          <w:sz w:val="20"/>
          <w:szCs w:val="20"/>
        </w:rPr>
        <w:t xml:space="preserve"> Visto 22)</w:t>
      </w:r>
      <w:r w:rsidRPr="0037136B">
        <w:rPr>
          <w:rFonts w:ascii="Verdana" w:hAnsi="Verdana" w:cs="Verdana"/>
          <w:sz w:val="20"/>
          <w:szCs w:val="20"/>
        </w:rPr>
        <w:t xml:space="preserve">. </w:t>
      </w:r>
    </w:p>
    <w:p w:rsidR="00332068" w:rsidRPr="0037136B" w:rsidRDefault="00332068" w:rsidP="00332068">
      <w:pPr>
        <w:ind w:right="10"/>
        <w:jc w:val="both"/>
        <w:rPr>
          <w:rFonts w:ascii="Verdana" w:hAnsi="Verdana" w:cs="Verdana"/>
          <w:sz w:val="20"/>
          <w:szCs w:val="20"/>
        </w:rPr>
      </w:pPr>
    </w:p>
    <w:p w:rsidR="00332068" w:rsidRDefault="00332068" w:rsidP="00332068">
      <w:pPr>
        <w:pStyle w:val="ListParagraph"/>
        <w:numPr>
          <w:ilvl w:val="0"/>
          <w:numId w:val="41"/>
        </w:numPr>
        <w:ind w:left="0" w:right="10" w:hanging="11"/>
        <w:jc w:val="both"/>
        <w:rPr>
          <w:rFonts w:ascii="Verdana" w:hAnsi="Verdana" w:cs="Verdana"/>
          <w:sz w:val="20"/>
          <w:szCs w:val="20"/>
        </w:rPr>
      </w:pPr>
      <w:r w:rsidRPr="0037136B">
        <w:rPr>
          <w:rFonts w:ascii="Verdana" w:hAnsi="Verdana" w:cs="Verdana"/>
          <w:sz w:val="20"/>
          <w:szCs w:val="20"/>
        </w:rPr>
        <w:t>En sus observaciones de 26 de agosto de 2013</w:t>
      </w:r>
      <w:r>
        <w:rPr>
          <w:rFonts w:ascii="Verdana" w:hAnsi="Verdana" w:cs="Verdana"/>
          <w:sz w:val="20"/>
          <w:szCs w:val="20"/>
        </w:rPr>
        <w:t xml:space="preserve"> (</w:t>
      </w:r>
      <w:r>
        <w:rPr>
          <w:rFonts w:ascii="Verdana" w:hAnsi="Verdana" w:cs="Verdana"/>
          <w:i/>
          <w:sz w:val="20"/>
          <w:szCs w:val="20"/>
        </w:rPr>
        <w:t xml:space="preserve">supra </w:t>
      </w:r>
      <w:r>
        <w:rPr>
          <w:rFonts w:ascii="Verdana" w:hAnsi="Verdana" w:cs="Verdana"/>
          <w:sz w:val="20"/>
          <w:szCs w:val="20"/>
        </w:rPr>
        <w:t>Visto 23)</w:t>
      </w:r>
      <w:r w:rsidRPr="0037136B">
        <w:rPr>
          <w:rFonts w:ascii="Verdana" w:hAnsi="Verdana" w:cs="Verdana"/>
          <w:sz w:val="20"/>
          <w:szCs w:val="20"/>
        </w:rPr>
        <w:t xml:space="preserve"> la señora Sabino Pozo indicó que desde </w:t>
      </w:r>
      <w:r>
        <w:rPr>
          <w:rFonts w:ascii="Verdana" w:hAnsi="Verdana" w:cs="Verdana"/>
          <w:sz w:val="20"/>
          <w:szCs w:val="20"/>
        </w:rPr>
        <w:t xml:space="preserve">el año </w:t>
      </w:r>
      <w:r w:rsidRPr="0037136B">
        <w:rPr>
          <w:rFonts w:ascii="Verdana" w:hAnsi="Verdana" w:cs="Verdana"/>
          <w:sz w:val="20"/>
          <w:szCs w:val="20"/>
        </w:rPr>
        <w:t>2007 se ha desempeñado como funcionari</w:t>
      </w:r>
      <w:r>
        <w:rPr>
          <w:rFonts w:ascii="Verdana" w:hAnsi="Verdana" w:cs="Verdana"/>
          <w:sz w:val="20"/>
          <w:szCs w:val="20"/>
        </w:rPr>
        <w:t>a</w:t>
      </w:r>
      <w:r w:rsidRPr="0037136B">
        <w:rPr>
          <w:rFonts w:ascii="Verdana" w:hAnsi="Verdana" w:cs="Verdana"/>
          <w:sz w:val="20"/>
          <w:szCs w:val="20"/>
        </w:rPr>
        <w:t xml:space="preserve"> públic</w:t>
      </w:r>
      <w:r>
        <w:rPr>
          <w:rFonts w:ascii="Verdana" w:hAnsi="Verdana" w:cs="Verdana"/>
          <w:sz w:val="20"/>
          <w:szCs w:val="20"/>
        </w:rPr>
        <w:t>a</w:t>
      </w:r>
      <w:r w:rsidRPr="0037136B">
        <w:rPr>
          <w:rFonts w:ascii="Verdana" w:hAnsi="Verdana" w:cs="Verdana"/>
          <w:sz w:val="20"/>
          <w:szCs w:val="20"/>
        </w:rPr>
        <w:t xml:space="preserve"> y “</w:t>
      </w:r>
      <w:proofErr w:type="spellStart"/>
      <w:r w:rsidRPr="0037136B">
        <w:rPr>
          <w:rFonts w:ascii="Verdana" w:hAnsi="Verdana" w:cs="Verdana"/>
          <w:sz w:val="20"/>
          <w:szCs w:val="20"/>
        </w:rPr>
        <w:t>ocup</w:t>
      </w:r>
      <w:proofErr w:type="spellEnd"/>
      <w:r>
        <w:rPr>
          <w:rFonts w:ascii="Verdana" w:hAnsi="Verdana" w:cs="Verdana"/>
          <w:sz w:val="20"/>
          <w:szCs w:val="20"/>
        </w:rPr>
        <w:t>[</w:t>
      </w:r>
      <w:r w:rsidRPr="0037136B">
        <w:rPr>
          <w:rFonts w:ascii="Verdana" w:hAnsi="Verdana" w:cs="Verdana"/>
          <w:sz w:val="20"/>
          <w:szCs w:val="20"/>
        </w:rPr>
        <w:t>a</w:t>
      </w:r>
      <w:r>
        <w:rPr>
          <w:rFonts w:ascii="Verdana" w:hAnsi="Verdana" w:cs="Verdana"/>
          <w:sz w:val="20"/>
          <w:szCs w:val="20"/>
        </w:rPr>
        <w:t>]</w:t>
      </w:r>
      <w:r w:rsidRPr="0037136B">
        <w:rPr>
          <w:rFonts w:ascii="Verdana" w:hAnsi="Verdana" w:cs="Verdana"/>
          <w:sz w:val="20"/>
          <w:szCs w:val="20"/>
        </w:rPr>
        <w:t xml:space="preserve"> la Dirección de la Unidad de Central de Declaraciones Tardías de Nacimiento</w:t>
      </w:r>
      <w:r>
        <w:rPr>
          <w:rFonts w:ascii="Verdana" w:hAnsi="Verdana" w:cs="Verdana"/>
          <w:sz w:val="20"/>
          <w:szCs w:val="20"/>
        </w:rPr>
        <w:t>”</w:t>
      </w:r>
      <w:r w:rsidRPr="0037136B">
        <w:rPr>
          <w:rFonts w:ascii="Verdana" w:hAnsi="Verdana" w:cs="Verdana"/>
          <w:sz w:val="20"/>
          <w:szCs w:val="20"/>
        </w:rPr>
        <w:t xml:space="preserve"> de la Junta Central Electoral (en adelante “JCE”). Al respecto la señora Brígida Sabino Pozo señaló que </w:t>
      </w:r>
    </w:p>
    <w:p w:rsidR="00332068" w:rsidRPr="007C37DA" w:rsidRDefault="00332068" w:rsidP="00332068">
      <w:pPr>
        <w:pStyle w:val="ListParagraph"/>
        <w:rPr>
          <w:rFonts w:ascii="Verdana" w:hAnsi="Verdana" w:cs="Verdana"/>
          <w:sz w:val="20"/>
          <w:szCs w:val="20"/>
        </w:rPr>
      </w:pPr>
    </w:p>
    <w:p w:rsidR="00332068" w:rsidRDefault="00332068" w:rsidP="00332068">
      <w:pPr>
        <w:pStyle w:val="ListParagraph"/>
        <w:ind w:left="567" w:right="673"/>
        <w:jc w:val="both"/>
        <w:rPr>
          <w:rFonts w:ascii="Verdana" w:hAnsi="Verdana" w:cs="Verdana"/>
          <w:sz w:val="16"/>
          <w:szCs w:val="16"/>
        </w:rPr>
      </w:pPr>
      <w:proofErr w:type="gramStart"/>
      <w:r w:rsidRPr="00721DD9">
        <w:rPr>
          <w:rFonts w:ascii="Verdana" w:hAnsi="Verdana" w:cs="Verdana"/>
          <w:sz w:val="16"/>
          <w:szCs w:val="16"/>
        </w:rPr>
        <w:t>como</w:t>
      </w:r>
      <w:proofErr w:type="gramEnd"/>
      <w:r w:rsidRPr="00721DD9">
        <w:rPr>
          <w:rFonts w:ascii="Verdana" w:hAnsi="Verdana" w:cs="Verdana"/>
          <w:sz w:val="16"/>
          <w:szCs w:val="16"/>
        </w:rPr>
        <w:t xml:space="preserve"> funcionaria de la [JCE], que es un organismo autónomo y descentralizado del Estado, con independencia té</w:t>
      </w:r>
      <w:r>
        <w:rPr>
          <w:rFonts w:ascii="Verdana" w:hAnsi="Verdana" w:cs="Verdana"/>
          <w:sz w:val="16"/>
          <w:szCs w:val="16"/>
        </w:rPr>
        <w:t>c</w:t>
      </w:r>
      <w:r w:rsidRPr="00721DD9">
        <w:rPr>
          <w:rFonts w:ascii="Verdana" w:hAnsi="Verdana" w:cs="Verdana"/>
          <w:sz w:val="16"/>
          <w:szCs w:val="16"/>
        </w:rPr>
        <w:t xml:space="preserve">nica, administrativa, presupuestaria financiera de las demás instituciones de la </w:t>
      </w:r>
      <w:r>
        <w:rPr>
          <w:rFonts w:ascii="Verdana" w:hAnsi="Verdana" w:cs="Verdana"/>
          <w:sz w:val="16"/>
          <w:szCs w:val="16"/>
        </w:rPr>
        <w:t>a</w:t>
      </w:r>
      <w:r w:rsidRPr="00721DD9">
        <w:rPr>
          <w:rFonts w:ascii="Verdana" w:hAnsi="Verdana" w:cs="Verdana"/>
          <w:sz w:val="16"/>
          <w:szCs w:val="16"/>
        </w:rPr>
        <w:t xml:space="preserve">dministración central del Estado </w:t>
      </w:r>
      <w:r>
        <w:rPr>
          <w:rFonts w:ascii="Verdana" w:hAnsi="Verdana" w:cs="Verdana"/>
          <w:sz w:val="16"/>
          <w:szCs w:val="16"/>
        </w:rPr>
        <w:t>[…]</w:t>
      </w:r>
      <w:r w:rsidRPr="00721DD9">
        <w:rPr>
          <w:rFonts w:ascii="Verdana" w:hAnsi="Verdana" w:cs="Verdana"/>
          <w:sz w:val="16"/>
          <w:szCs w:val="16"/>
        </w:rPr>
        <w:t xml:space="preserve">, legalmente solamente </w:t>
      </w:r>
      <w:proofErr w:type="spellStart"/>
      <w:r w:rsidRPr="00721DD9">
        <w:rPr>
          <w:rFonts w:ascii="Verdana" w:hAnsi="Verdana" w:cs="Verdana"/>
          <w:sz w:val="16"/>
          <w:szCs w:val="16"/>
        </w:rPr>
        <w:t>est</w:t>
      </w:r>
      <w:proofErr w:type="spellEnd"/>
      <w:r w:rsidRPr="00721DD9">
        <w:rPr>
          <w:rFonts w:ascii="Verdana" w:hAnsi="Verdana" w:cs="Verdana"/>
          <w:sz w:val="16"/>
          <w:szCs w:val="16"/>
        </w:rPr>
        <w:t xml:space="preserve">[á] subordinada a las normas internas de la institución, los requerimientos propios de [su] función, a la Dirección Nacional del Registro Civil y al Pleno de la [JCE], que son los organismos jerárquicamente superiores al puesto que </w:t>
      </w:r>
      <w:proofErr w:type="spellStart"/>
      <w:r w:rsidRPr="00721DD9">
        <w:rPr>
          <w:rFonts w:ascii="Verdana" w:hAnsi="Verdana" w:cs="Verdana"/>
          <w:sz w:val="16"/>
          <w:szCs w:val="16"/>
        </w:rPr>
        <w:t>ocup</w:t>
      </w:r>
      <w:proofErr w:type="spellEnd"/>
      <w:r w:rsidRPr="00721DD9">
        <w:rPr>
          <w:rFonts w:ascii="Verdana" w:hAnsi="Verdana" w:cs="Verdana"/>
          <w:sz w:val="16"/>
          <w:szCs w:val="16"/>
        </w:rPr>
        <w:t xml:space="preserve">[a]. </w:t>
      </w:r>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ind w:left="0" w:right="10"/>
        <w:jc w:val="both"/>
        <w:rPr>
          <w:rFonts w:ascii="Verdana" w:hAnsi="Verdana" w:cs="Verdana"/>
          <w:sz w:val="20"/>
          <w:szCs w:val="20"/>
        </w:rPr>
      </w:pPr>
      <w:r>
        <w:rPr>
          <w:rFonts w:ascii="Verdana" w:hAnsi="Verdana" w:cs="Verdana"/>
          <w:sz w:val="20"/>
          <w:szCs w:val="20"/>
        </w:rPr>
        <w:t>18.</w:t>
      </w:r>
      <w:r>
        <w:rPr>
          <w:rFonts w:ascii="Verdana" w:hAnsi="Verdana" w:cs="Verdana"/>
          <w:sz w:val="20"/>
          <w:szCs w:val="20"/>
        </w:rPr>
        <w:tab/>
      </w:r>
      <w:r w:rsidRPr="0037136B">
        <w:rPr>
          <w:rFonts w:ascii="Verdana" w:hAnsi="Verdana" w:cs="Verdana"/>
          <w:sz w:val="20"/>
          <w:szCs w:val="20"/>
        </w:rPr>
        <w:t xml:space="preserve">Asimismo, la señora Sabino Pozo puntualizó que </w:t>
      </w:r>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ind w:left="567" w:right="673"/>
        <w:jc w:val="both"/>
        <w:rPr>
          <w:rFonts w:ascii="Verdana" w:hAnsi="Verdana" w:cs="Verdana"/>
          <w:sz w:val="16"/>
          <w:szCs w:val="16"/>
        </w:rPr>
      </w:pPr>
      <w:r w:rsidRPr="00721DD9">
        <w:rPr>
          <w:rFonts w:ascii="Verdana" w:hAnsi="Verdana" w:cs="Verdana"/>
          <w:sz w:val="16"/>
          <w:szCs w:val="16"/>
        </w:rPr>
        <w:t xml:space="preserve">[n]i los miembros titulares de la [JCE], ni sus funcionarios se encuentran jerárquicamente sujetos al Poder </w:t>
      </w:r>
      <w:r w:rsidR="00293392" w:rsidRPr="00721DD9">
        <w:rPr>
          <w:rFonts w:ascii="Verdana" w:hAnsi="Verdana" w:cs="Verdana"/>
          <w:sz w:val="16"/>
          <w:szCs w:val="16"/>
        </w:rPr>
        <w:t>Ejecutivo</w:t>
      </w:r>
      <w:r w:rsidRPr="00721DD9">
        <w:rPr>
          <w:rFonts w:ascii="Verdana" w:hAnsi="Verdana" w:cs="Verdana"/>
          <w:sz w:val="16"/>
          <w:szCs w:val="16"/>
        </w:rPr>
        <w:t>, solamente pueden responder al Senado de la República, por lo que la subordinación con el Ministerio de Relaciones Exteriores y el Poder Ejecutivo que aducen los representantes de las presuntas v</w:t>
      </w:r>
      <w:r>
        <w:rPr>
          <w:rFonts w:ascii="Verdana" w:hAnsi="Verdana" w:cs="Verdana"/>
          <w:sz w:val="16"/>
          <w:szCs w:val="16"/>
        </w:rPr>
        <w:t>í</w:t>
      </w:r>
      <w:r w:rsidRPr="00721DD9">
        <w:rPr>
          <w:rFonts w:ascii="Verdana" w:hAnsi="Verdana" w:cs="Verdana"/>
          <w:sz w:val="16"/>
          <w:szCs w:val="16"/>
        </w:rPr>
        <w:t xml:space="preserve">ctimas es, en términos legales y reales, inexistente. </w:t>
      </w:r>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ind w:left="0" w:right="10"/>
        <w:jc w:val="both"/>
        <w:rPr>
          <w:rFonts w:ascii="Verdana" w:hAnsi="Verdana" w:cs="Verdana"/>
          <w:sz w:val="20"/>
          <w:szCs w:val="20"/>
        </w:rPr>
      </w:pPr>
      <w:r w:rsidRPr="0037136B">
        <w:rPr>
          <w:rFonts w:ascii="Verdana" w:hAnsi="Verdana" w:cs="Verdana"/>
          <w:sz w:val="20"/>
          <w:szCs w:val="20"/>
        </w:rPr>
        <w:t>También reconoció que participó en la delegación del Estado en la audiencia privada relativa a la supervisión de cumplimiento de la sentencia</w:t>
      </w:r>
      <w:r>
        <w:rPr>
          <w:rFonts w:ascii="Verdana" w:hAnsi="Verdana" w:cs="Verdana"/>
          <w:sz w:val="20"/>
          <w:szCs w:val="20"/>
        </w:rPr>
        <w:t xml:space="preserve"> sobre el caso</w:t>
      </w:r>
      <w:r w:rsidRPr="0037136B">
        <w:rPr>
          <w:rFonts w:ascii="Verdana" w:hAnsi="Verdana" w:cs="Verdana"/>
          <w:sz w:val="20"/>
          <w:szCs w:val="20"/>
        </w:rPr>
        <w:t xml:space="preserve"> </w:t>
      </w:r>
      <w:r>
        <w:rPr>
          <w:rFonts w:ascii="Verdana" w:hAnsi="Verdana" w:cs="Verdana"/>
          <w:i/>
          <w:sz w:val="20"/>
          <w:szCs w:val="20"/>
        </w:rPr>
        <w:t xml:space="preserve">Niñas </w:t>
      </w:r>
      <w:proofErr w:type="spellStart"/>
      <w:r w:rsidRPr="0037136B">
        <w:rPr>
          <w:rFonts w:ascii="Verdana" w:hAnsi="Verdana" w:cs="Verdana"/>
          <w:i/>
          <w:sz w:val="20"/>
          <w:szCs w:val="20"/>
        </w:rPr>
        <w:t>Yean</w:t>
      </w:r>
      <w:proofErr w:type="spellEnd"/>
      <w:r w:rsidRPr="0037136B">
        <w:rPr>
          <w:rFonts w:ascii="Verdana" w:hAnsi="Verdana" w:cs="Verdana"/>
          <w:i/>
          <w:sz w:val="20"/>
          <w:szCs w:val="20"/>
        </w:rPr>
        <w:t xml:space="preserve"> y </w:t>
      </w:r>
      <w:proofErr w:type="spellStart"/>
      <w:r w:rsidRPr="0037136B">
        <w:rPr>
          <w:rFonts w:ascii="Verdana" w:hAnsi="Verdana" w:cs="Verdana"/>
          <w:i/>
          <w:sz w:val="20"/>
          <w:szCs w:val="20"/>
        </w:rPr>
        <w:t>Bosico</w:t>
      </w:r>
      <w:proofErr w:type="spellEnd"/>
      <w:r w:rsidRPr="0037136B">
        <w:rPr>
          <w:rFonts w:ascii="Verdana" w:hAnsi="Verdana" w:cs="Verdana"/>
          <w:i/>
          <w:sz w:val="20"/>
          <w:szCs w:val="20"/>
        </w:rPr>
        <w:t xml:space="preserve"> Vs. República Dominicana</w:t>
      </w:r>
      <w:r>
        <w:rPr>
          <w:rFonts w:ascii="Verdana" w:hAnsi="Verdana" w:cs="Verdana"/>
          <w:sz w:val="20"/>
          <w:szCs w:val="20"/>
        </w:rPr>
        <w:t>,</w:t>
      </w:r>
      <w:r w:rsidRPr="0037136B">
        <w:rPr>
          <w:rFonts w:ascii="Verdana" w:hAnsi="Verdana" w:cs="Verdana"/>
          <w:sz w:val="20"/>
          <w:szCs w:val="20"/>
        </w:rPr>
        <w:t xml:space="preserve"> sin embargo</w:t>
      </w:r>
      <w:r>
        <w:rPr>
          <w:rFonts w:ascii="Verdana" w:hAnsi="Verdana" w:cs="Verdana"/>
          <w:sz w:val="20"/>
          <w:szCs w:val="20"/>
        </w:rPr>
        <w:t>,</w:t>
      </w:r>
      <w:r w:rsidRPr="0037136B">
        <w:rPr>
          <w:rFonts w:ascii="Verdana" w:hAnsi="Verdana" w:cs="Verdana"/>
          <w:sz w:val="20"/>
          <w:szCs w:val="20"/>
        </w:rPr>
        <w:t xml:space="preserve"> puntualizó que “fu</w:t>
      </w:r>
      <w:r>
        <w:rPr>
          <w:rFonts w:ascii="Verdana" w:hAnsi="Verdana" w:cs="Verdana"/>
          <w:sz w:val="20"/>
          <w:szCs w:val="20"/>
        </w:rPr>
        <w:t>[</w:t>
      </w:r>
      <w:r w:rsidRPr="0037136B">
        <w:rPr>
          <w:rFonts w:ascii="Verdana" w:hAnsi="Verdana" w:cs="Verdana"/>
          <w:sz w:val="20"/>
          <w:szCs w:val="20"/>
        </w:rPr>
        <w:t>e</w:t>
      </w:r>
      <w:r>
        <w:rPr>
          <w:rFonts w:ascii="Verdana" w:hAnsi="Verdana" w:cs="Verdana"/>
          <w:sz w:val="20"/>
          <w:szCs w:val="20"/>
        </w:rPr>
        <w:t>]</w:t>
      </w:r>
      <w:r w:rsidRPr="0037136B">
        <w:rPr>
          <w:rFonts w:ascii="Verdana" w:hAnsi="Verdana" w:cs="Verdana"/>
          <w:sz w:val="20"/>
          <w:szCs w:val="20"/>
        </w:rPr>
        <w:t xml:space="preserve"> invitada por el Ministerio de Relaciones Exteriores, en calidad de técnica, no para representar propiamente al Estado Dominicano, ya que esta es la labor exclusiva </w:t>
      </w:r>
      <w:proofErr w:type="gramStart"/>
      <w:r w:rsidRPr="0037136B">
        <w:rPr>
          <w:rFonts w:ascii="Verdana" w:hAnsi="Verdana" w:cs="Verdana"/>
          <w:sz w:val="20"/>
          <w:szCs w:val="20"/>
        </w:rPr>
        <w:t>de[</w:t>
      </w:r>
      <w:proofErr w:type="gramEnd"/>
      <w:r w:rsidRPr="0037136B">
        <w:rPr>
          <w:rFonts w:ascii="Verdana" w:hAnsi="Verdana" w:cs="Verdana"/>
          <w:sz w:val="20"/>
          <w:szCs w:val="20"/>
        </w:rPr>
        <w:t>l</w:t>
      </w:r>
      <w:r>
        <w:rPr>
          <w:rFonts w:ascii="Verdana" w:hAnsi="Verdana" w:cs="Verdana"/>
          <w:sz w:val="20"/>
          <w:szCs w:val="20"/>
        </w:rPr>
        <w:t>…</w:t>
      </w:r>
      <w:r w:rsidRPr="0037136B">
        <w:rPr>
          <w:rFonts w:ascii="Verdana" w:hAnsi="Verdana" w:cs="Verdana"/>
          <w:sz w:val="20"/>
          <w:szCs w:val="20"/>
        </w:rPr>
        <w:t xml:space="preserve">] Ministerio [de </w:t>
      </w:r>
      <w:r>
        <w:rPr>
          <w:rFonts w:ascii="Verdana" w:hAnsi="Verdana" w:cs="Verdana"/>
          <w:sz w:val="20"/>
          <w:szCs w:val="20"/>
        </w:rPr>
        <w:t>Relaciones</w:t>
      </w:r>
      <w:r w:rsidRPr="0037136B">
        <w:rPr>
          <w:rFonts w:ascii="Verdana" w:hAnsi="Verdana" w:cs="Verdana"/>
          <w:sz w:val="20"/>
          <w:szCs w:val="20"/>
        </w:rPr>
        <w:t xml:space="preserve"> Exteriores]</w:t>
      </w:r>
      <w:r>
        <w:rPr>
          <w:rFonts w:ascii="Verdana" w:hAnsi="Verdana" w:cs="Verdana"/>
          <w:sz w:val="20"/>
          <w:szCs w:val="20"/>
        </w:rPr>
        <w:t>”. Concluyó</w:t>
      </w:r>
      <w:r w:rsidRPr="0037136B">
        <w:rPr>
          <w:rFonts w:ascii="Verdana" w:hAnsi="Verdana" w:cs="Verdana"/>
          <w:sz w:val="20"/>
          <w:szCs w:val="20"/>
        </w:rPr>
        <w:t xml:space="preserve"> que</w:t>
      </w:r>
      <w:r>
        <w:rPr>
          <w:rFonts w:ascii="Verdana" w:hAnsi="Verdana" w:cs="Verdana"/>
          <w:sz w:val="20"/>
          <w:szCs w:val="20"/>
        </w:rPr>
        <w:t>,</w:t>
      </w:r>
      <w:r w:rsidRPr="0037136B">
        <w:rPr>
          <w:rFonts w:ascii="Verdana" w:hAnsi="Verdana" w:cs="Verdana"/>
          <w:sz w:val="20"/>
          <w:szCs w:val="20"/>
        </w:rPr>
        <w:t xml:space="preserve"> de ser admitida como perito en el caso </w:t>
      </w:r>
      <w:r w:rsidRPr="00721DD9">
        <w:rPr>
          <w:rFonts w:ascii="Verdana" w:hAnsi="Verdana" w:cs="Verdana"/>
          <w:i/>
          <w:sz w:val="20"/>
          <w:szCs w:val="20"/>
        </w:rPr>
        <w:t>sub judice</w:t>
      </w:r>
      <w:r w:rsidRPr="0037136B">
        <w:rPr>
          <w:rFonts w:ascii="Verdana" w:hAnsi="Verdana" w:cs="Verdana"/>
          <w:sz w:val="20"/>
          <w:szCs w:val="20"/>
        </w:rPr>
        <w:t xml:space="preserve">, “ofrecería a la Corte [su] opinión experta y especializada respecto del régimen legal interno </w:t>
      </w:r>
      <w:r>
        <w:rPr>
          <w:rFonts w:ascii="Verdana" w:hAnsi="Verdana" w:cs="Verdana"/>
          <w:sz w:val="20"/>
          <w:szCs w:val="20"/>
        </w:rPr>
        <w:t>y</w:t>
      </w:r>
      <w:r w:rsidRPr="0037136B">
        <w:rPr>
          <w:rFonts w:ascii="Verdana" w:hAnsi="Verdana" w:cs="Verdana"/>
          <w:sz w:val="20"/>
          <w:szCs w:val="20"/>
        </w:rPr>
        <w:t xml:space="preserve"> el funcionamiento del registro civil dominicano, que abarca cuestiones operativas a lo interno de la </w:t>
      </w:r>
      <w:r>
        <w:rPr>
          <w:rFonts w:ascii="Verdana" w:hAnsi="Verdana" w:cs="Verdana"/>
          <w:sz w:val="20"/>
          <w:szCs w:val="20"/>
        </w:rPr>
        <w:t>[</w:t>
      </w:r>
      <w:r w:rsidRPr="0037136B">
        <w:rPr>
          <w:rFonts w:ascii="Verdana" w:hAnsi="Verdana" w:cs="Verdana"/>
          <w:sz w:val="20"/>
          <w:szCs w:val="20"/>
        </w:rPr>
        <w:t>JCE</w:t>
      </w:r>
      <w:r>
        <w:rPr>
          <w:rFonts w:ascii="Verdana" w:hAnsi="Verdana" w:cs="Verdana"/>
          <w:sz w:val="20"/>
          <w:szCs w:val="20"/>
        </w:rPr>
        <w:t>]</w:t>
      </w:r>
      <w:r w:rsidRPr="0037136B">
        <w:rPr>
          <w:rFonts w:ascii="Verdana" w:hAnsi="Verdana" w:cs="Verdana"/>
          <w:sz w:val="20"/>
          <w:szCs w:val="20"/>
        </w:rPr>
        <w:t xml:space="preserve"> en el mantenimiento, manejo, control y fiscalización de los registros a su cargo”.</w:t>
      </w:r>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numPr>
          <w:ilvl w:val="0"/>
          <w:numId w:val="42"/>
        </w:numPr>
        <w:ind w:left="0" w:right="10" w:hanging="11"/>
        <w:jc w:val="both"/>
        <w:rPr>
          <w:rFonts w:ascii="Verdana" w:hAnsi="Verdana" w:cs="Verdana"/>
          <w:sz w:val="20"/>
          <w:szCs w:val="20"/>
        </w:rPr>
      </w:pPr>
      <w:r>
        <w:rPr>
          <w:rFonts w:ascii="Verdana" w:hAnsi="Verdana" w:cs="Verdana"/>
          <w:sz w:val="20"/>
          <w:szCs w:val="20"/>
        </w:rPr>
        <w:t>Por su parte</w:t>
      </w:r>
      <w:r w:rsidRPr="0037136B">
        <w:rPr>
          <w:rFonts w:ascii="Verdana" w:hAnsi="Verdana" w:cs="Verdana"/>
          <w:sz w:val="20"/>
          <w:szCs w:val="20"/>
        </w:rPr>
        <w:t xml:space="preserve">, el señor Tavares Gómez </w:t>
      </w:r>
      <w:r>
        <w:rPr>
          <w:rFonts w:ascii="Verdana" w:hAnsi="Verdana" w:cs="Verdana"/>
          <w:sz w:val="20"/>
          <w:szCs w:val="20"/>
        </w:rPr>
        <w:t>presentó su respuesta a la recusación</w:t>
      </w:r>
      <w:r w:rsidR="008B5007">
        <w:rPr>
          <w:rFonts w:ascii="Verdana" w:hAnsi="Verdana" w:cs="Verdana"/>
          <w:sz w:val="20"/>
          <w:szCs w:val="20"/>
        </w:rPr>
        <w:t xml:space="preserve"> el 26 de agosto de 2013 </w:t>
      </w:r>
      <w:r>
        <w:rPr>
          <w:rFonts w:ascii="Verdana" w:hAnsi="Verdana" w:cs="Verdana"/>
          <w:sz w:val="20"/>
          <w:szCs w:val="20"/>
        </w:rPr>
        <w:t>(</w:t>
      </w:r>
      <w:r>
        <w:rPr>
          <w:rFonts w:ascii="Verdana" w:hAnsi="Verdana" w:cs="Verdana"/>
          <w:i/>
          <w:sz w:val="20"/>
          <w:szCs w:val="20"/>
        </w:rPr>
        <w:t>supra</w:t>
      </w:r>
      <w:r>
        <w:rPr>
          <w:rFonts w:ascii="Verdana" w:hAnsi="Verdana" w:cs="Verdana"/>
          <w:sz w:val="20"/>
          <w:szCs w:val="20"/>
        </w:rPr>
        <w:t xml:space="preserve"> Visto 23)</w:t>
      </w:r>
      <w:r w:rsidRPr="0037136B">
        <w:rPr>
          <w:rFonts w:ascii="Verdana" w:hAnsi="Verdana" w:cs="Verdana"/>
          <w:sz w:val="20"/>
          <w:szCs w:val="20"/>
        </w:rPr>
        <w:t xml:space="preserve">. </w:t>
      </w:r>
      <w:r>
        <w:rPr>
          <w:rFonts w:ascii="Verdana" w:hAnsi="Verdana" w:cs="Verdana"/>
          <w:sz w:val="20"/>
          <w:szCs w:val="20"/>
        </w:rPr>
        <w:t>C</w:t>
      </w:r>
      <w:r w:rsidRPr="0037136B">
        <w:rPr>
          <w:rFonts w:ascii="Verdana" w:hAnsi="Verdana" w:cs="Verdana"/>
          <w:sz w:val="20"/>
          <w:szCs w:val="20"/>
        </w:rPr>
        <w:t>onfirmó que, como señalaron los representantes</w:t>
      </w:r>
      <w:r>
        <w:rPr>
          <w:rFonts w:ascii="Verdana" w:hAnsi="Verdana" w:cs="Verdana"/>
          <w:sz w:val="20"/>
          <w:szCs w:val="20"/>
        </w:rPr>
        <w:t>,</w:t>
      </w:r>
      <w:r w:rsidRPr="0037136B">
        <w:rPr>
          <w:rFonts w:ascii="Verdana" w:hAnsi="Verdana" w:cs="Verdana"/>
          <w:sz w:val="20"/>
          <w:szCs w:val="20"/>
        </w:rPr>
        <w:t xml:space="preserve"> ocupa desde el año 2007 el cargo de </w:t>
      </w:r>
      <w:r>
        <w:rPr>
          <w:rFonts w:ascii="Verdana" w:hAnsi="Verdana" w:cs="Verdana"/>
          <w:sz w:val="20"/>
          <w:szCs w:val="20"/>
        </w:rPr>
        <w:t>“</w:t>
      </w:r>
      <w:r w:rsidRPr="0037136B">
        <w:rPr>
          <w:rFonts w:ascii="Verdana" w:hAnsi="Verdana" w:cs="Verdana"/>
          <w:sz w:val="20"/>
          <w:szCs w:val="20"/>
        </w:rPr>
        <w:t>Director de la Direcci</w:t>
      </w:r>
      <w:r>
        <w:rPr>
          <w:rFonts w:ascii="Verdana" w:hAnsi="Verdana" w:cs="Verdana"/>
          <w:sz w:val="20"/>
          <w:szCs w:val="20"/>
        </w:rPr>
        <w:t>ó</w:t>
      </w:r>
      <w:r w:rsidRPr="0037136B">
        <w:rPr>
          <w:rFonts w:ascii="Verdana" w:hAnsi="Verdana" w:cs="Verdana"/>
          <w:sz w:val="20"/>
          <w:szCs w:val="20"/>
        </w:rPr>
        <w:t xml:space="preserve">n de </w:t>
      </w:r>
      <w:proofErr w:type="spellStart"/>
      <w:r w:rsidRPr="0037136B">
        <w:rPr>
          <w:rFonts w:ascii="Verdana" w:hAnsi="Verdana" w:cs="Verdana"/>
          <w:sz w:val="20"/>
          <w:szCs w:val="20"/>
        </w:rPr>
        <w:t>Inspectoría</w:t>
      </w:r>
      <w:proofErr w:type="spellEnd"/>
      <w:r>
        <w:rPr>
          <w:rFonts w:ascii="Verdana" w:hAnsi="Verdana" w:cs="Verdana"/>
          <w:sz w:val="20"/>
          <w:szCs w:val="20"/>
        </w:rPr>
        <w:t>”</w:t>
      </w:r>
      <w:r w:rsidRPr="0037136B">
        <w:rPr>
          <w:rFonts w:ascii="Verdana" w:hAnsi="Verdana" w:cs="Verdana"/>
          <w:sz w:val="20"/>
          <w:szCs w:val="20"/>
        </w:rPr>
        <w:t xml:space="preserve"> de la JCE. Sin embargo, al igual que la señora Brígida Sabino Pozo, señaló que ha sido ofrecido el peritaje por el Ministerio de Relaciones Exteriores, organismo al cual no se encuentra subordinado</w:t>
      </w:r>
      <w:r>
        <w:rPr>
          <w:rFonts w:ascii="Verdana" w:hAnsi="Verdana" w:cs="Verdana"/>
          <w:sz w:val="20"/>
          <w:szCs w:val="20"/>
        </w:rPr>
        <w:t>,</w:t>
      </w:r>
      <w:r w:rsidRPr="0037136B">
        <w:rPr>
          <w:rFonts w:ascii="Verdana" w:hAnsi="Verdana" w:cs="Verdana"/>
          <w:sz w:val="20"/>
          <w:szCs w:val="20"/>
        </w:rPr>
        <w:t xml:space="preserve"> ya que: </w:t>
      </w:r>
      <w:r>
        <w:rPr>
          <w:rFonts w:ascii="Verdana" w:hAnsi="Verdana" w:cs="Verdana"/>
          <w:sz w:val="20"/>
          <w:szCs w:val="20"/>
        </w:rPr>
        <w:t>a</w:t>
      </w:r>
      <w:r w:rsidRPr="0037136B">
        <w:rPr>
          <w:rFonts w:ascii="Verdana" w:hAnsi="Verdana" w:cs="Verdana"/>
          <w:sz w:val="20"/>
          <w:szCs w:val="20"/>
        </w:rPr>
        <w:t>) la JCE es “un órgano autónomo con personalidad jurídica e independencia técnica, administrativa, presupuestaria y financiera, que no depende ni est</w:t>
      </w:r>
      <w:r>
        <w:rPr>
          <w:rFonts w:ascii="Verdana" w:hAnsi="Verdana" w:cs="Verdana"/>
          <w:sz w:val="20"/>
          <w:szCs w:val="20"/>
        </w:rPr>
        <w:t>á</w:t>
      </w:r>
      <w:r w:rsidRPr="0037136B">
        <w:rPr>
          <w:rFonts w:ascii="Verdana" w:hAnsi="Verdana" w:cs="Verdana"/>
          <w:sz w:val="20"/>
          <w:szCs w:val="20"/>
        </w:rPr>
        <w:t xml:space="preserve"> sujeta en forma alguna al Poder Ejecutivo que dirige la administración central del Estado, como es el caso del Ministerio de Relaciones Exteriores”, y </w:t>
      </w:r>
      <w:r>
        <w:rPr>
          <w:rFonts w:ascii="Verdana" w:hAnsi="Verdana" w:cs="Verdana"/>
          <w:sz w:val="20"/>
          <w:szCs w:val="20"/>
        </w:rPr>
        <w:t>b</w:t>
      </w:r>
      <w:r w:rsidRPr="0037136B">
        <w:rPr>
          <w:rFonts w:ascii="Verdana" w:hAnsi="Verdana" w:cs="Verdana"/>
          <w:sz w:val="20"/>
          <w:szCs w:val="20"/>
        </w:rPr>
        <w:t xml:space="preserve">) como funcionario de la JCE ha sido designado por “el Pleno de esta institución para desempeñar funciones específicas y no </w:t>
      </w:r>
      <w:proofErr w:type="spellStart"/>
      <w:r w:rsidRPr="0037136B">
        <w:rPr>
          <w:rFonts w:ascii="Verdana" w:hAnsi="Verdana" w:cs="Verdana"/>
          <w:sz w:val="20"/>
          <w:szCs w:val="20"/>
        </w:rPr>
        <w:t>est</w:t>
      </w:r>
      <w:proofErr w:type="spellEnd"/>
      <w:r w:rsidRPr="0037136B">
        <w:rPr>
          <w:rFonts w:ascii="Verdana" w:hAnsi="Verdana" w:cs="Verdana"/>
          <w:sz w:val="20"/>
          <w:szCs w:val="20"/>
        </w:rPr>
        <w:t xml:space="preserve">[á] </w:t>
      </w:r>
      <w:r w:rsidR="00293392" w:rsidRPr="0037136B">
        <w:rPr>
          <w:rFonts w:ascii="Verdana" w:hAnsi="Verdana" w:cs="Verdana"/>
          <w:sz w:val="20"/>
          <w:szCs w:val="20"/>
        </w:rPr>
        <w:t>sujeto</w:t>
      </w:r>
      <w:r w:rsidRPr="0037136B">
        <w:rPr>
          <w:rFonts w:ascii="Verdana" w:hAnsi="Verdana" w:cs="Verdana"/>
          <w:sz w:val="20"/>
          <w:szCs w:val="20"/>
        </w:rPr>
        <w:t xml:space="preserve">[o] jerárquicamente, en forma alguna, a ninguna institución de la administración central del Estado, como el Ministerio de Relaciones Exteriores”. El señor Tavares Gómez hizo notar que su cargo en la JCE le ha dotado con “un amplio y especializado conocimiento de la normativa sobre el registro civil dominicano, que podría aportar a </w:t>
      </w:r>
      <w:r>
        <w:rPr>
          <w:rFonts w:ascii="Verdana" w:hAnsi="Verdana" w:cs="Verdana"/>
          <w:sz w:val="20"/>
          <w:szCs w:val="20"/>
        </w:rPr>
        <w:t>[la]</w:t>
      </w:r>
      <w:r w:rsidRPr="0037136B">
        <w:rPr>
          <w:rFonts w:ascii="Verdana" w:hAnsi="Verdana" w:cs="Verdana"/>
          <w:sz w:val="20"/>
          <w:szCs w:val="20"/>
        </w:rPr>
        <w:t xml:space="preserve"> Corte para contribuir a un mejor conocimiento de esta área de</w:t>
      </w:r>
      <w:r>
        <w:rPr>
          <w:rFonts w:ascii="Verdana" w:hAnsi="Verdana" w:cs="Verdana"/>
          <w:sz w:val="20"/>
          <w:szCs w:val="20"/>
        </w:rPr>
        <w:t>[l]</w:t>
      </w:r>
      <w:r w:rsidRPr="0037136B">
        <w:rPr>
          <w:rFonts w:ascii="Verdana" w:hAnsi="Verdana" w:cs="Verdana"/>
          <w:sz w:val="20"/>
          <w:szCs w:val="20"/>
        </w:rPr>
        <w:t xml:space="preserve"> derecho nacional</w:t>
      </w:r>
      <w:r>
        <w:rPr>
          <w:rFonts w:ascii="Verdana" w:hAnsi="Verdana" w:cs="Verdana"/>
          <w:sz w:val="20"/>
          <w:szCs w:val="20"/>
        </w:rPr>
        <w:t xml:space="preserve"> [dominicano]</w:t>
      </w:r>
      <w:r w:rsidRPr="0037136B">
        <w:rPr>
          <w:rFonts w:ascii="Verdana" w:hAnsi="Verdana" w:cs="Verdana"/>
          <w:sz w:val="20"/>
          <w:szCs w:val="20"/>
        </w:rPr>
        <w:t>, en aras de ayudarla a mejor resolver el caso de que se trata, pudiendo responder las preguntas de los magistrados, así como l</w:t>
      </w:r>
      <w:r>
        <w:rPr>
          <w:rFonts w:ascii="Verdana" w:hAnsi="Verdana" w:cs="Verdana"/>
          <w:sz w:val="20"/>
          <w:szCs w:val="20"/>
        </w:rPr>
        <w:t>[a]</w:t>
      </w:r>
      <w:r w:rsidRPr="0037136B">
        <w:rPr>
          <w:rFonts w:ascii="Verdana" w:hAnsi="Verdana" w:cs="Verdana"/>
          <w:sz w:val="20"/>
          <w:szCs w:val="20"/>
        </w:rPr>
        <w:t>s de los representantes de las presuntas víctimas”.</w:t>
      </w:r>
    </w:p>
    <w:p w:rsidR="00332068" w:rsidRDefault="00332068" w:rsidP="00332068">
      <w:pPr>
        <w:pStyle w:val="ListParagraph"/>
        <w:ind w:left="0" w:right="10"/>
        <w:jc w:val="both"/>
        <w:rPr>
          <w:rFonts w:ascii="Verdana" w:hAnsi="Verdana" w:cs="Verdana"/>
          <w:sz w:val="20"/>
          <w:szCs w:val="20"/>
        </w:rPr>
      </w:pPr>
    </w:p>
    <w:p w:rsidR="00332068" w:rsidRDefault="00332068" w:rsidP="00332068">
      <w:pPr>
        <w:pStyle w:val="ListParagraph"/>
        <w:numPr>
          <w:ilvl w:val="0"/>
          <w:numId w:val="42"/>
        </w:numPr>
        <w:ind w:left="0" w:right="10" w:hanging="11"/>
        <w:jc w:val="both"/>
        <w:rPr>
          <w:rFonts w:ascii="Verdana" w:hAnsi="Verdana" w:cs="Verdana"/>
          <w:sz w:val="20"/>
          <w:szCs w:val="20"/>
        </w:rPr>
      </w:pPr>
      <w:r w:rsidRPr="0037136B">
        <w:rPr>
          <w:rFonts w:ascii="Verdana" w:hAnsi="Verdana" w:cs="Verdana"/>
          <w:sz w:val="20"/>
          <w:szCs w:val="20"/>
        </w:rPr>
        <w:t>El Presidente recuerda que, de conformidad con el artículo 48.1.c del Reglamento</w:t>
      </w:r>
      <w:r>
        <w:rPr>
          <w:rFonts w:ascii="Verdana" w:hAnsi="Verdana" w:cs="Verdana"/>
          <w:sz w:val="20"/>
          <w:szCs w:val="20"/>
        </w:rPr>
        <w:t xml:space="preserve"> (</w:t>
      </w:r>
      <w:r>
        <w:rPr>
          <w:rFonts w:ascii="Verdana" w:hAnsi="Verdana" w:cs="Verdana"/>
          <w:i/>
          <w:sz w:val="20"/>
          <w:szCs w:val="20"/>
        </w:rPr>
        <w:t>supra</w:t>
      </w:r>
      <w:r>
        <w:rPr>
          <w:rFonts w:ascii="Verdana" w:hAnsi="Verdana" w:cs="Verdana"/>
          <w:sz w:val="20"/>
          <w:szCs w:val="20"/>
        </w:rPr>
        <w:t xml:space="preserve"> Considerando 13)</w:t>
      </w:r>
      <w:r w:rsidRPr="0037136B">
        <w:rPr>
          <w:rFonts w:ascii="Verdana" w:hAnsi="Verdana" w:cs="Verdana"/>
          <w:sz w:val="20"/>
          <w:szCs w:val="20"/>
        </w:rPr>
        <w:t>, para que la recusación de un</w:t>
      </w:r>
      <w:r>
        <w:rPr>
          <w:rFonts w:ascii="Verdana" w:hAnsi="Verdana" w:cs="Verdana"/>
          <w:sz w:val="20"/>
          <w:szCs w:val="20"/>
        </w:rPr>
        <w:t>a persona propuesta como</w:t>
      </w:r>
      <w:r w:rsidRPr="0037136B">
        <w:rPr>
          <w:rFonts w:ascii="Verdana" w:hAnsi="Verdana" w:cs="Verdana"/>
          <w:sz w:val="20"/>
          <w:szCs w:val="20"/>
        </w:rPr>
        <w:t xml:space="preserve"> perito sobre esa base resulte procedente </w:t>
      </w:r>
      <w:r>
        <w:rPr>
          <w:rFonts w:ascii="Verdana" w:hAnsi="Verdana" w:cs="Verdana"/>
          <w:sz w:val="20"/>
          <w:szCs w:val="20"/>
        </w:rPr>
        <w:t>deben</w:t>
      </w:r>
      <w:r w:rsidRPr="0037136B">
        <w:rPr>
          <w:rFonts w:ascii="Verdana" w:hAnsi="Verdana" w:cs="Verdana"/>
          <w:sz w:val="20"/>
          <w:szCs w:val="20"/>
        </w:rPr>
        <w:t xml:space="preserve"> concurr</w:t>
      </w:r>
      <w:r>
        <w:rPr>
          <w:rFonts w:ascii="Verdana" w:hAnsi="Verdana" w:cs="Verdana"/>
          <w:sz w:val="20"/>
          <w:szCs w:val="20"/>
        </w:rPr>
        <w:t>ir</w:t>
      </w:r>
      <w:r w:rsidRPr="0037136B">
        <w:rPr>
          <w:rFonts w:ascii="Verdana" w:hAnsi="Verdana" w:cs="Verdana"/>
          <w:sz w:val="20"/>
          <w:szCs w:val="20"/>
        </w:rPr>
        <w:t xml:space="preserve"> dos supuestos: </w:t>
      </w:r>
      <w:r w:rsidRPr="00854F59">
        <w:rPr>
          <w:rFonts w:ascii="Verdana" w:hAnsi="Verdana" w:cs="Verdana"/>
          <w:sz w:val="20"/>
          <w:szCs w:val="20"/>
        </w:rPr>
        <w:t>un vínculo determinado del perito con la parte proponente y que, adicionalmente, esa relación, a criterio del Tribunal, afecte su imparcialidad</w:t>
      </w:r>
      <w:r w:rsidRPr="00854F59">
        <w:rPr>
          <w:rStyle w:val="FootnoteReference"/>
          <w:rFonts w:ascii="Verdana" w:hAnsi="Verdana" w:cs="Verdana"/>
          <w:sz w:val="20"/>
          <w:szCs w:val="20"/>
        </w:rPr>
        <w:footnoteReference w:id="13"/>
      </w:r>
      <w:r w:rsidRPr="00854F59">
        <w:rPr>
          <w:rFonts w:ascii="Verdana" w:hAnsi="Verdana" w:cs="Verdana"/>
          <w:sz w:val="20"/>
          <w:szCs w:val="20"/>
        </w:rPr>
        <w:t>.</w:t>
      </w:r>
      <w:r w:rsidRPr="0037136B">
        <w:rPr>
          <w:rFonts w:ascii="Verdana" w:hAnsi="Verdana" w:cs="Verdana"/>
          <w:sz w:val="20"/>
          <w:szCs w:val="20"/>
        </w:rPr>
        <w:t xml:space="preserve"> En anteriores oportunidades, </w:t>
      </w:r>
      <w:r>
        <w:rPr>
          <w:rFonts w:ascii="Verdana" w:hAnsi="Verdana" w:cs="Verdana"/>
          <w:sz w:val="20"/>
          <w:szCs w:val="20"/>
        </w:rPr>
        <w:t>la Presidencia de la</w:t>
      </w:r>
      <w:r w:rsidRPr="0037136B">
        <w:rPr>
          <w:rFonts w:ascii="Verdana" w:hAnsi="Verdana" w:cs="Verdana"/>
          <w:sz w:val="20"/>
          <w:szCs w:val="20"/>
        </w:rPr>
        <w:t xml:space="preserve"> </w:t>
      </w:r>
      <w:r>
        <w:rPr>
          <w:rFonts w:ascii="Verdana" w:hAnsi="Verdana" w:cs="Verdana"/>
          <w:sz w:val="20"/>
          <w:szCs w:val="20"/>
        </w:rPr>
        <w:t>Corte</w:t>
      </w:r>
      <w:r w:rsidRPr="0037136B">
        <w:rPr>
          <w:rFonts w:ascii="Verdana" w:hAnsi="Verdana" w:cs="Verdana"/>
          <w:sz w:val="20"/>
          <w:szCs w:val="20"/>
        </w:rPr>
        <w:t xml:space="preserve"> ha señalado </w:t>
      </w:r>
      <w:r w:rsidRPr="0037136B">
        <w:rPr>
          <w:rFonts w:ascii="Verdana" w:hAnsi="Verdana" w:cs="Verdana"/>
          <w:sz w:val="20"/>
          <w:szCs w:val="20"/>
          <w:lang w:val="es-CR"/>
        </w:rPr>
        <w:t>que el ejercicio de una función pública no debe ser automáticamente entendido como una causal de impedimento para participar como perito en un proceso ante este Tribunal</w:t>
      </w:r>
      <w:r w:rsidRPr="00854F59">
        <w:rPr>
          <w:rStyle w:val="FootnoteReference"/>
          <w:rFonts w:ascii="Verdana" w:hAnsi="Verdana" w:cs="Verdana"/>
          <w:sz w:val="20"/>
          <w:szCs w:val="20"/>
          <w:lang w:val="es-CR"/>
        </w:rPr>
        <w:footnoteReference w:id="14"/>
      </w:r>
      <w:r w:rsidRPr="0037136B">
        <w:rPr>
          <w:rFonts w:ascii="Verdana" w:hAnsi="Verdana" w:cs="Verdana"/>
          <w:sz w:val="20"/>
          <w:szCs w:val="20"/>
          <w:lang w:val="es-CR"/>
        </w:rPr>
        <w:t xml:space="preserve">, ya que es necesario valorar si los cargos ocupados por el perito </w:t>
      </w:r>
      <w:r w:rsidRPr="0037136B">
        <w:rPr>
          <w:rFonts w:ascii="Verdana" w:hAnsi="Verdana" w:cs="Verdana"/>
          <w:sz w:val="20"/>
          <w:szCs w:val="20"/>
          <w:lang w:val="es-CR"/>
        </w:rPr>
        <w:lastRenderedPageBreak/>
        <w:t>ofrecido pudieran afectar su imparcialidad para rendir el dictamen pericial para el cual fue propuesto</w:t>
      </w:r>
      <w:r w:rsidRPr="00854F59">
        <w:rPr>
          <w:rStyle w:val="FootnoteReference"/>
          <w:rFonts w:ascii="Verdana" w:hAnsi="Verdana" w:cs="Verdana"/>
          <w:sz w:val="20"/>
          <w:szCs w:val="20"/>
          <w:lang w:val="es-CR"/>
        </w:rPr>
        <w:footnoteReference w:id="15"/>
      </w:r>
      <w:r w:rsidRPr="0037136B">
        <w:rPr>
          <w:rFonts w:ascii="Verdana" w:hAnsi="Verdana" w:cs="Verdana"/>
          <w:sz w:val="20"/>
          <w:szCs w:val="20"/>
          <w:lang w:val="es-CR"/>
        </w:rPr>
        <w:t>.</w:t>
      </w:r>
      <w:r w:rsidRPr="0037136B">
        <w:rPr>
          <w:rFonts w:ascii="Verdana" w:hAnsi="Verdana" w:cs="Verdana"/>
          <w:sz w:val="20"/>
          <w:szCs w:val="20"/>
        </w:rPr>
        <w:t xml:space="preserve"> </w:t>
      </w:r>
    </w:p>
    <w:p w:rsidR="00332068" w:rsidRPr="0037136B" w:rsidRDefault="00332068" w:rsidP="00332068">
      <w:pPr>
        <w:ind w:right="10"/>
        <w:jc w:val="both"/>
        <w:rPr>
          <w:rFonts w:ascii="Verdana" w:hAnsi="Verdana" w:cs="Verdana"/>
          <w:sz w:val="20"/>
          <w:szCs w:val="20"/>
        </w:rPr>
      </w:pPr>
    </w:p>
    <w:p w:rsidR="00332068" w:rsidRPr="005D4FF2" w:rsidRDefault="00332068" w:rsidP="00332068">
      <w:pPr>
        <w:pStyle w:val="ListParagraph"/>
        <w:numPr>
          <w:ilvl w:val="0"/>
          <w:numId w:val="42"/>
        </w:numPr>
        <w:ind w:left="0" w:right="10" w:hanging="11"/>
        <w:jc w:val="both"/>
        <w:rPr>
          <w:rFonts w:ascii="Verdana" w:hAnsi="Verdana" w:cs="Verdana"/>
          <w:sz w:val="20"/>
          <w:szCs w:val="20"/>
        </w:rPr>
      </w:pPr>
      <w:r w:rsidRPr="0037136B">
        <w:rPr>
          <w:rFonts w:ascii="Verdana" w:hAnsi="Verdana" w:cs="Verdana"/>
          <w:sz w:val="20"/>
          <w:szCs w:val="20"/>
        </w:rPr>
        <w:t xml:space="preserve">Ha sido constatado que tanto la señora Sabino Pozo </w:t>
      </w:r>
      <w:r>
        <w:rPr>
          <w:rFonts w:ascii="Verdana" w:hAnsi="Verdana" w:cs="Verdana"/>
          <w:sz w:val="20"/>
          <w:szCs w:val="20"/>
        </w:rPr>
        <w:t>como</w:t>
      </w:r>
      <w:r w:rsidRPr="0037136B">
        <w:rPr>
          <w:rFonts w:ascii="Verdana" w:hAnsi="Verdana" w:cs="Verdana"/>
          <w:sz w:val="20"/>
          <w:szCs w:val="20"/>
        </w:rPr>
        <w:t xml:space="preserve"> </w:t>
      </w:r>
      <w:r w:rsidRPr="00443ADE">
        <w:rPr>
          <w:rFonts w:ascii="Verdana" w:hAnsi="Verdana" w:cs="Verdana"/>
          <w:sz w:val="20"/>
          <w:szCs w:val="20"/>
        </w:rPr>
        <w:t xml:space="preserve">el señor </w:t>
      </w:r>
      <w:r w:rsidRPr="00443ADE">
        <w:rPr>
          <w:rFonts w:ascii="Verdana" w:hAnsi="Verdana" w:cs="Verdana"/>
          <w:sz w:val="20"/>
          <w:szCs w:val="20"/>
          <w:lang w:val="es-CR"/>
        </w:rPr>
        <w:t>Tavares Gómez</w:t>
      </w:r>
      <w:r w:rsidRPr="0037136B">
        <w:rPr>
          <w:rFonts w:ascii="Verdana" w:hAnsi="Verdana" w:cs="Verdana"/>
          <w:sz w:val="20"/>
          <w:szCs w:val="20"/>
          <w:lang w:val="es-CR"/>
        </w:rPr>
        <w:t xml:space="preserve"> </w:t>
      </w:r>
      <w:r w:rsidRPr="0037136B">
        <w:rPr>
          <w:rFonts w:ascii="Verdana" w:hAnsi="Verdana" w:cs="Verdana"/>
          <w:sz w:val="20"/>
          <w:szCs w:val="20"/>
        </w:rPr>
        <w:t xml:space="preserve">han desempeñado desde el </w:t>
      </w:r>
      <w:r>
        <w:rPr>
          <w:rFonts w:ascii="Verdana" w:hAnsi="Verdana" w:cs="Verdana"/>
          <w:sz w:val="20"/>
          <w:szCs w:val="20"/>
        </w:rPr>
        <w:t xml:space="preserve">año </w:t>
      </w:r>
      <w:r w:rsidRPr="0037136B">
        <w:rPr>
          <w:rFonts w:ascii="Verdana" w:hAnsi="Verdana" w:cs="Verdana"/>
          <w:sz w:val="20"/>
          <w:szCs w:val="20"/>
        </w:rPr>
        <w:t>2007 cargo</w:t>
      </w:r>
      <w:r>
        <w:rPr>
          <w:rFonts w:ascii="Verdana" w:hAnsi="Verdana" w:cs="Verdana"/>
          <w:sz w:val="20"/>
          <w:szCs w:val="20"/>
        </w:rPr>
        <w:t>s</w:t>
      </w:r>
      <w:r w:rsidRPr="0037136B">
        <w:rPr>
          <w:rFonts w:ascii="Verdana" w:hAnsi="Verdana" w:cs="Verdana"/>
          <w:sz w:val="20"/>
          <w:szCs w:val="20"/>
        </w:rPr>
        <w:t xml:space="preserve"> como funcionario</w:t>
      </w:r>
      <w:r>
        <w:rPr>
          <w:rFonts w:ascii="Verdana" w:hAnsi="Verdana" w:cs="Verdana"/>
          <w:sz w:val="20"/>
          <w:szCs w:val="20"/>
        </w:rPr>
        <w:t>s</w:t>
      </w:r>
      <w:r w:rsidRPr="0037136B">
        <w:rPr>
          <w:rFonts w:ascii="Verdana" w:hAnsi="Verdana" w:cs="Verdana"/>
          <w:sz w:val="20"/>
          <w:szCs w:val="20"/>
        </w:rPr>
        <w:t xml:space="preserve"> público</w:t>
      </w:r>
      <w:r>
        <w:rPr>
          <w:rFonts w:ascii="Verdana" w:hAnsi="Verdana" w:cs="Verdana"/>
          <w:sz w:val="20"/>
          <w:szCs w:val="20"/>
        </w:rPr>
        <w:t>s</w:t>
      </w:r>
      <w:r w:rsidRPr="0037136B">
        <w:rPr>
          <w:rFonts w:ascii="Verdana" w:hAnsi="Verdana" w:cs="Verdana"/>
          <w:sz w:val="20"/>
          <w:szCs w:val="20"/>
        </w:rPr>
        <w:t>, sin que conste que hayan emitido alguna opinión o asesoría en relación con este caso.</w:t>
      </w:r>
      <w:r w:rsidRPr="00F34B39">
        <w:rPr>
          <w:rFonts w:ascii="Verdana" w:hAnsi="Verdana" w:cs="Verdana"/>
          <w:b/>
          <w:sz w:val="20"/>
          <w:szCs w:val="20"/>
        </w:rPr>
        <w:t xml:space="preserve"> </w:t>
      </w:r>
      <w:r w:rsidRPr="005D4FF2">
        <w:rPr>
          <w:rFonts w:ascii="Verdana" w:hAnsi="Verdana" w:cs="Verdana"/>
          <w:sz w:val="20"/>
          <w:szCs w:val="20"/>
        </w:rPr>
        <w:t>En relación con el señor Tavares Gómez no se ha allegado información adicional a la referida. El Presidente considera que, dado el objeto de su peritaje (</w:t>
      </w:r>
      <w:r w:rsidRPr="005D4FF2">
        <w:rPr>
          <w:rFonts w:ascii="Verdana" w:hAnsi="Verdana" w:cs="Verdana"/>
          <w:i/>
          <w:iCs/>
          <w:sz w:val="20"/>
          <w:szCs w:val="20"/>
        </w:rPr>
        <w:t>supra</w:t>
      </w:r>
      <w:r w:rsidRPr="005D4FF2">
        <w:rPr>
          <w:rFonts w:ascii="Verdana" w:hAnsi="Verdana" w:cs="Verdana"/>
          <w:sz w:val="20"/>
          <w:szCs w:val="20"/>
        </w:rPr>
        <w:t xml:space="preserve"> Considerando 14 e </w:t>
      </w:r>
      <w:r w:rsidRPr="005D4FF2">
        <w:rPr>
          <w:rFonts w:ascii="Verdana" w:hAnsi="Verdana" w:cs="Verdana"/>
          <w:i/>
          <w:sz w:val="20"/>
          <w:szCs w:val="20"/>
        </w:rPr>
        <w:t>infra</w:t>
      </w:r>
      <w:r w:rsidRPr="005D4FF2">
        <w:rPr>
          <w:rFonts w:ascii="Verdana" w:hAnsi="Verdana" w:cs="Verdana"/>
          <w:sz w:val="20"/>
          <w:szCs w:val="20"/>
        </w:rPr>
        <w:t xml:space="preserve"> puntos resolutivos 1 y 7), por si solos esos no son fundamento para considerar, en el caso del señor Tavares Gómez, que dicho vínculo con el Estado tenga que afectar necesariamente su imparcialidad. </w:t>
      </w:r>
      <w:bookmarkStart w:id="2" w:name="_Ref314759630"/>
      <w:r w:rsidRPr="005D4FF2">
        <w:rPr>
          <w:rFonts w:ascii="Verdana" w:hAnsi="Verdana" w:cs="Verdana"/>
          <w:sz w:val="20"/>
          <w:szCs w:val="20"/>
        </w:rPr>
        <w:t xml:space="preserve">En consecuencia, el Presidente estima procedente rechazar la recusación interpuesta contra el señor Tavares Gómez y admitir su declaración. </w:t>
      </w:r>
    </w:p>
    <w:p w:rsidR="00332068" w:rsidRPr="005D4FF2" w:rsidRDefault="00332068" w:rsidP="00332068">
      <w:pPr>
        <w:ind w:right="10"/>
        <w:jc w:val="both"/>
        <w:rPr>
          <w:rFonts w:ascii="Verdana" w:hAnsi="Verdana" w:cs="Verdana"/>
          <w:sz w:val="20"/>
          <w:szCs w:val="20"/>
        </w:rPr>
      </w:pPr>
    </w:p>
    <w:p w:rsidR="00332068" w:rsidRPr="005D4FF2" w:rsidRDefault="00332068" w:rsidP="00332068">
      <w:pPr>
        <w:pStyle w:val="ListParagraph"/>
        <w:numPr>
          <w:ilvl w:val="0"/>
          <w:numId w:val="42"/>
        </w:numPr>
        <w:ind w:left="0" w:right="10" w:hanging="11"/>
        <w:jc w:val="both"/>
        <w:rPr>
          <w:rFonts w:ascii="Verdana" w:hAnsi="Verdana" w:cs="Verdana"/>
          <w:sz w:val="20"/>
          <w:szCs w:val="20"/>
        </w:rPr>
      </w:pPr>
      <w:r w:rsidRPr="005D4FF2">
        <w:rPr>
          <w:rFonts w:ascii="Verdana" w:hAnsi="Verdana" w:cs="Verdana"/>
          <w:sz w:val="20"/>
          <w:szCs w:val="20"/>
        </w:rPr>
        <w:t xml:space="preserve">Sin embargo, en cuanto a la señora Sabino Pozo, se presentan circunstancias adicionales, pues ella participó como parte de la delegación estatal en la audiencia privada de supervisión de cumplimiento de sentencia en relación con el caso </w:t>
      </w:r>
      <w:r w:rsidRPr="005D4FF2">
        <w:rPr>
          <w:rFonts w:ascii="Verdana" w:hAnsi="Verdana" w:cs="Verdana"/>
          <w:i/>
          <w:sz w:val="20"/>
          <w:szCs w:val="20"/>
        </w:rPr>
        <w:t xml:space="preserve">Niñas </w:t>
      </w:r>
      <w:proofErr w:type="spellStart"/>
      <w:r w:rsidRPr="005D4FF2">
        <w:rPr>
          <w:rFonts w:ascii="Verdana" w:hAnsi="Verdana" w:cs="Verdana"/>
          <w:i/>
          <w:sz w:val="20"/>
          <w:szCs w:val="20"/>
        </w:rPr>
        <w:t>Yean</w:t>
      </w:r>
      <w:proofErr w:type="spellEnd"/>
      <w:r w:rsidRPr="005D4FF2">
        <w:rPr>
          <w:rFonts w:ascii="Verdana" w:hAnsi="Verdana" w:cs="Verdana"/>
          <w:i/>
          <w:sz w:val="20"/>
          <w:szCs w:val="20"/>
        </w:rPr>
        <w:t xml:space="preserve"> y </w:t>
      </w:r>
      <w:proofErr w:type="spellStart"/>
      <w:r w:rsidRPr="005D4FF2">
        <w:rPr>
          <w:rFonts w:ascii="Verdana" w:hAnsi="Verdana" w:cs="Verdana"/>
          <w:i/>
          <w:sz w:val="20"/>
          <w:szCs w:val="20"/>
        </w:rPr>
        <w:t>Bosico</w:t>
      </w:r>
      <w:proofErr w:type="spellEnd"/>
      <w:r w:rsidRPr="005D4FF2">
        <w:rPr>
          <w:rFonts w:ascii="Verdana" w:hAnsi="Verdana" w:cs="Verdana"/>
          <w:i/>
          <w:sz w:val="20"/>
          <w:szCs w:val="20"/>
        </w:rPr>
        <w:t xml:space="preserve"> Vs. República Dominicana</w:t>
      </w:r>
      <w:r w:rsidRPr="005D4FF2">
        <w:rPr>
          <w:rFonts w:ascii="Verdana" w:hAnsi="Verdana" w:cs="Verdana"/>
          <w:sz w:val="20"/>
          <w:szCs w:val="20"/>
        </w:rPr>
        <w:t xml:space="preserve">  celebrada el 28 de mayo de 2013. Durante el desarrollo de la audiencia el Estado manifestó que la señora Brígida Sabino Pozo participaba “para darle soporte a [sus] planteamientos”,  como “</w:t>
      </w:r>
      <w:r w:rsidRPr="005D4FF2">
        <w:rPr>
          <w:rFonts w:ascii="Verdana" w:hAnsi="Verdana"/>
          <w:sz w:val="20"/>
        </w:rPr>
        <w:t xml:space="preserve">como parte técnica del Estado dominicano”. Además, el Presidente nota que en la intervención de la señora Sabino Pozo en el caso </w:t>
      </w:r>
      <w:r w:rsidRPr="005D4FF2">
        <w:rPr>
          <w:rFonts w:ascii="Verdana" w:hAnsi="Verdana"/>
          <w:i/>
          <w:sz w:val="20"/>
        </w:rPr>
        <w:t xml:space="preserve">Niñas </w:t>
      </w:r>
      <w:proofErr w:type="spellStart"/>
      <w:r w:rsidRPr="005D4FF2">
        <w:rPr>
          <w:rFonts w:ascii="Verdana" w:hAnsi="Verdana"/>
          <w:i/>
          <w:sz w:val="20"/>
        </w:rPr>
        <w:t>Yean</w:t>
      </w:r>
      <w:proofErr w:type="spellEnd"/>
      <w:r w:rsidRPr="005D4FF2">
        <w:rPr>
          <w:rFonts w:ascii="Verdana" w:hAnsi="Verdana"/>
          <w:i/>
          <w:sz w:val="20"/>
        </w:rPr>
        <w:t xml:space="preserve"> y </w:t>
      </w:r>
      <w:proofErr w:type="spellStart"/>
      <w:r w:rsidRPr="005D4FF2">
        <w:rPr>
          <w:rFonts w:ascii="Verdana" w:hAnsi="Verdana"/>
          <w:i/>
          <w:sz w:val="20"/>
        </w:rPr>
        <w:t>Bosico</w:t>
      </w:r>
      <w:proofErr w:type="spellEnd"/>
      <w:r w:rsidRPr="005D4FF2">
        <w:rPr>
          <w:rFonts w:ascii="Verdana" w:hAnsi="Verdana"/>
          <w:sz w:val="20"/>
        </w:rPr>
        <w:t>, expuso su criterio sobre la situación planteada en dicho caso en relación con el régimen relativo al registro civil, cuestión atinente también a este caso. A la luz de lo expuesto, el Presidente considera que, dadas las circunstancias expresadas, la vinculación de la señora Sabino Pozo con el Estado puede afectar su imparcialidad. Por lo tanto, decide aceptar la recusación interpuesta por los representantes e inadmitir su peritaje</w:t>
      </w:r>
      <w:r w:rsidRPr="005D4FF2">
        <w:rPr>
          <w:rFonts w:ascii="Verdana" w:hAnsi="Verdana" w:cs="Verdana"/>
          <w:sz w:val="20"/>
          <w:szCs w:val="20"/>
        </w:rPr>
        <w:t xml:space="preserve">. </w:t>
      </w:r>
    </w:p>
    <w:bookmarkEnd w:id="2"/>
    <w:p w:rsidR="00332068" w:rsidRPr="005D4FF2" w:rsidRDefault="00332068" w:rsidP="00332068">
      <w:pPr>
        <w:autoSpaceDE w:val="0"/>
        <w:autoSpaceDN w:val="0"/>
        <w:ind w:right="10"/>
        <w:jc w:val="both"/>
        <w:rPr>
          <w:rFonts w:ascii="Verdana" w:hAnsi="Verdana" w:cs="Verdana"/>
          <w:bCs/>
          <w:i/>
          <w:iCs/>
          <w:sz w:val="20"/>
          <w:szCs w:val="20"/>
          <w:lang w:val="es-CR"/>
        </w:rPr>
      </w:pPr>
    </w:p>
    <w:p w:rsidR="00332068" w:rsidRPr="00F41F38" w:rsidRDefault="00332068" w:rsidP="00332068">
      <w:pPr>
        <w:ind w:left="851"/>
        <w:jc w:val="both"/>
        <w:rPr>
          <w:rFonts w:ascii="Verdana" w:hAnsi="Verdana" w:cs="Verdana"/>
          <w:b/>
          <w:bCs/>
          <w:i/>
          <w:iCs/>
          <w:sz w:val="20"/>
          <w:szCs w:val="20"/>
        </w:rPr>
      </w:pPr>
      <w:r>
        <w:rPr>
          <w:rFonts w:ascii="Verdana" w:hAnsi="Verdana" w:cs="Verdana"/>
          <w:b/>
          <w:bCs/>
          <w:i/>
          <w:iCs/>
          <w:sz w:val="20"/>
          <w:szCs w:val="20"/>
          <w:lang w:val="es-CR"/>
        </w:rPr>
        <w:t xml:space="preserve">A.2) </w:t>
      </w:r>
      <w:r w:rsidRPr="00F41F38">
        <w:rPr>
          <w:rFonts w:ascii="Verdana" w:hAnsi="Verdana" w:cs="Verdana"/>
          <w:b/>
          <w:bCs/>
          <w:i/>
          <w:iCs/>
          <w:sz w:val="20"/>
          <w:szCs w:val="20"/>
          <w:lang w:val="es-CR"/>
        </w:rPr>
        <w:t>R</w:t>
      </w:r>
      <w:proofErr w:type="spellStart"/>
      <w:r w:rsidRPr="00F41F38">
        <w:rPr>
          <w:rFonts w:ascii="Verdana" w:hAnsi="Verdana" w:cs="Verdana"/>
          <w:b/>
          <w:bCs/>
          <w:i/>
          <w:iCs/>
          <w:sz w:val="20"/>
          <w:szCs w:val="20"/>
        </w:rPr>
        <w:t>ecusaciones</w:t>
      </w:r>
      <w:proofErr w:type="spellEnd"/>
      <w:r w:rsidRPr="00F41F38">
        <w:rPr>
          <w:rFonts w:ascii="Verdana" w:hAnsi="Verdana" w:cs="Verdana"/>
          <w:b/>
          <w:bCs/>
          <w:i/>
          <w:iCs/>
          <w:sz w:val="20"/>
          <w:szCs w:val="20"/>
        </w:rPr>
        <w:t xml:space="preserve"> </w:t>
      </w:r>
      <w:r>
        <w:rPr>
          <w:rFonts w:ascii="Verdana" w:hAnsi="Verdana" w:cs="Verdana"/>
          <w:b/>
          <w:bCs/>
          <w:i/>
          <w:iCs/>
          <w:sz w:val="20"/>
          <w:szCs w:val="20"/>
        </w:rPr>
        <w:t>a</w:t>
      </w:r>
      <w:r w:rsidRPr="00F41F38">
        <w:rPr>
          <w:rFonts w:ascii="Verdana" w:hAnsi="Verdana" w:cs="Verdana"/>
          <w:b/>
          <w:bCs/>
          <w:i/>
          <w:iCs/>
          <w:sz w:val="20"/>
          <w:szCs w:val="20"/>
        </w:rPr>
        <w:t xml:space="preserve"> los peritos propuestos por los representantes y objeciones a un perito propuesto por la Comisión y los representantes</w:t>
      </w:r>
    </w:p>
    <w:p w:rsidR="00332068" w:rsidRPr="00503797" w:rsidRDefault="00332068" w:rsidP="00332068">
      <w:pPr>
        <w:jc w:val="both"/>
        <w:rPr>
          <w:rFonts w:ascii="Verdana" w:hAnsi="Verdana" w:cs="Verdana"/>
          <w:bCs/>
          <w:iCs/>
          <w:sz w:val="20"/>
          <w:szCs w:val="20"/>
        </w:rPr>
      </w:pPr>
    </w:p>
    <w:p w:rsidR="00332068" w:rsidRPr="00057A5F" w:rsidRDefault="00332068" w:rsidP="00332068">
      <w:pPr>
        <w:pStyle w:val="ListParagraph"/>
        <w:numPr>
          <w:ilvl w:val="0"/>
          <w:numId w:val="42"/>
        </w:numPr>
        <w:ind w:left="0" w:hanging="11"/>
        <w:jc w:val="both"/>
        <w:rPr>
          <w:rFonts w:ascii="Verdana" w:hAnsi="Verdana" w:cs="Verdana"/>
          <w:bCs/>
          <w:iCs/>
          <w:sz w:val="20"/>
          <w:szCs w:val="20"/>
        </w:rPr>
      </w:pPr>
      <w:r w:rsidRPr="00057A5F">
        <w:rPr>
          <w:rFonts w:ascii="Verdana" w:hAnsi="Verdana" w:cs="Verdana"/>
          <w:bCs/>
          <w:iCs/>
          <w:sz w:val="20"/>
          <w:szCs w:val="20"/>
        </w:rPr>
        <w:t>Los representantes propusieron</w:t>
      </w:r>
      <w:r>
        <w:rPr>
          <w:rFonts w:ascii="Verdana" w:hAnsi="Verdana" w:cs="Verdana"/>
          <w:bCs/>
          <w:iCs/>
          <w:sz w:val="20"/>
          <w:szCs w:val="20"/>
        </w:rPr>
        <w:t xml:space="preserve"> las declaraciones periciales de los señores</w:t>
      </w:r>
      <w:r w:rsidRPr="00057A5F">
        <w:rPr>
          <w:rFonts w:ascii="Verdana" w:hAnsi="Verdana" w:cs="Verdana"/>
          <w:bCs/>
          <w:iCs/>
          <w:sz w:val="20"/>
          <w:szCs w:val="20"/>
        </w:rPr>
        <w:t xml:space="preserve"> Cristóbal Rodríguez Gómez </w:t>
      </w:r>
      <w:r>
        <w:rPr>
          <w:rFonts w:ascii="Verdana" w:hAnsi="Verdana" w:cs="Verdana"/>
          <w:bCs/>
          <w:iCs/>
          <w:sz w:val="20"/>
          <w:szCs w:val="20"/>
        </w:rPr>
        <w:t xml:space="preserve">(en adelante también “señor Rodríguez Gómez”) </w:t>
      </w:r>
      <w:r w:rsidRPr="00057A5F">
        <w:rPr>
          <w:rFonts w:ascii="Verdana" w:hAnsi="Verdana" w:cs="Verdana"/>
          <w:bCs/>
          <w:iCs/>
          <w:sz w:val="20"/>
          <w:szCs w:val="20"/>
        </w:rPr>
        <w:t>y Carlos Quesada</w:t>
      </w:r>
      <w:r>
        <w:rPr>
          <w:rFonts w:ascii="Verdana" w:hAnsi="Verdana" w:cs="Verdana"/>
          <w:bCs/>
          <w:iCs/>
          <w:sz w:val="20"/>
          <w:szCs w:val="20"/>
        </w:rPr>
        <w:t xml:space="preserve"> (en adelante también “señor Quesada”)</w:t>
      </w:r>
      <w:r w:rsidRPr="00057A5F">
        <w:rPr>
          <w:rFonts w:ascii="Verdana" w:hAnsi="Verdana" w:cs="Verdana"/>
          <w:bCs/>
          <w:iCs/>
          <w:sz w:val="20"/>
          <w:szCs w:val="20"/>
        </w:rPr>
        <w:t xml:space="preserve">, habiendo sido este último también propuesto por la Comisión. </w:t>
      </w:r>
      <w:r>
        <w:rPr>
          <w:rFonts w:ascii="Verdana" w:hAnsi="Verdana" w:cs="Verdana"/>
          <w:bCs/>
          <w:iCs/>
          <w:sz w:val="20"/>
          <w:szCs w:val="20"/>
        </w:rPr>
        <w:t>Ambos fueron recusados por el Estado. En cuanto a Carlos Quesada,</w:t>
      </w:r>
      <w:r w:rsidRPr="00057A5F">
        <w:rPr>
          <w:rFonts w:ascii="Verdana" w:hAnsi="Verdana" w:cs="Verdana"/>
          <w:bCs/>
          <w:iCs/>
          <w:sz w:val="20"/>
          <w:szCs w:val="20"/>
        </w:rPr>
        <w:t xml:space="preserve"> </w:t>
      </w:r>
      <w:r>
        <w:rPr>
          <w:rFonts w:ascii="Verdana" w:hAnsi="Verdana" w:cs="Verdana"/>
          <w:bCs/>
          <w:iCs/>
          <w:sz w:val="20"/>
          <w:szCs w:val="20"/>
        </w:rPr>
        <w:t xml:space="preserve">además </w:t>
      </w:r>
      <w:r w:rsidRPr="00057A5F">
        <w:rPr>
          <w:rFonts w:ascii="Verdana" w:hAnsi="Verdana" w:cs="Verdana"/>
          <w:bCs/>
          <w:iCs/>
          <w:sz w:val="20"/>
          <w:szCs w:val="20"/>
        </w:rPr>
        <w:t>de su recusación, el Estado presentó otras objeciones</w:t>
      </w:r>
      <w:r>
        <w:rPr>
          <w:rFonts w:ascii="Verdana" w:hAnsi="Verdana" w:cs="Verdana"/>
          <w:bCs/>
          <w:iCs/>
          <w:sz w:val="20"/>
          <w:szCs w:val="20"/>
        </w:rPr>
        <w:t>.</w:t>
      </w:r>
      <w:r w:rsidRPr="00057A5F">
        <w:rPr>
          <w:rFonts w:ascii="Verdana" w:hAnsi="Verdana" w:cs="Verdana"/>
          <w:bCs/>
          <w:iCs/>
          <w:sz w:val="20"/>
          <w:szCs w:val="20"/>
        </w:rPr>
        <w:t xml:space="preserve"> A continuación se analizara la procedencia de las recusaciones y objeciones hechas por el Estado.</w:t>
      </w:r>
    </w:p>
    <w:p w:rsidR="00332068" w:rsidRPr="00503797" w:rsidRDefault="00332068" w:rsidP="00332068">
      <w:pPr>
        <w:jc w:val="both"/>
        <w:rPr>
          <w:rFonts w:ascii="Verdana" w:hAnsi="Verdana" w:cs="Verdana"/>
          <w:bCs/>
          <w:iCs/>
          <w:sz w:val="20"/>
          <w:szCs w:val="20"/>
        </w:rPr>
      </w:pPr>
    </w:p>
    <w:p w:rsidR="00332068" w:rsidRPr="00C94B44" w:rsidRDefault="00332068" w:rsidP="00332068">
      <w:pPr>
        <w:ind w:left="1418"/>
        <w:jc w:val="both"/>
        <w:rPr>
          <w:rFonts w:ascii="Verdana" w:hAnsi="Verdana" w:cs="Verdana"/>
          <w:b/>
          <w:bCs/>
          <w:i/>
          <w:iCs/>
          <w:sz w:val="20"/>
          <w:szCs w:val="20"/>
        </w:rPr>
      </w:pPr>
      <w:r>
        <w:rPr>
          <w:rFonts w:ascii="Verdana" w:hAnsi="Verdana" w:cs="Verdana"/>
          <w:b/>
          <w:bCs/>
          <w:i/>
          <w:iCs/>
          <w:sz w:val="20"/>
          <w:szCs w:val="20"/>
        </w:rPr>
        <w:t xml:space="preserve">A.2.1) </w:t>
      </w:r>
      <w:r w:rsidRPr="00C94B44">
        <w:rPr>
          <w:rFonts w:ascii="Verdana" w:hAnsi="Verdana" w:cs="Verdana"/>
          <w:b/>
          <w:bCs/>
          <w:i/>
          <w:iCs/>
          <w:sz w:val="20"/>
          <w:szCs w:val="20"/>
        </w:rPr>
        <w:t>Cristóbal Rodríguez Gómez</w:t>
      </w:r>
    </w:p>
    <w:p w:rsidR="00332068" w:rsidRPr="00503797" w:rsidRDefault="00332068" w:rsidP="00332068">
      <w:pPr>
        <w:jc w:val="both"/>
        <w:rPr>
          <w:rFonts w:ascii="Verdana" w:hAnsi="Verdana" w:cs="Verdana"/>
          <w:b/>
          <w:bCs/>
          <w:i/>
          <w:iCs/>
          <w:sz w:val="20"/>
          <w:szCs w:val="20"/>
        </w:rPr>
      </w:pPr>
    </w:p>
    <w:p w:rsidR="00332068" w:rsidRDefault="00332068" w:rsidP="00332068">
      <w:pPr>
        <w:pStyle w:val="ListParagraph"/>
        <w:numPr>
          <w:ilvl w:val="0"/>
          <w:numId w:val="42"/>
        </w:numPr>
        <w:tabs>
          <w:tab w:val="left" w:pos="709"/>
        </w:tabs>
        <w:ind w:left="0" w:firstLine="0"/>
        <w:jc w:val="both"/>
        <w:rPr>
          <w:rFonts w:ascii="Verdana" w:hAnsi="Verdana" w:cs="Verdana"/>
          <w:sz w:val="20"/>
          <w:szCs w:val="20"/>
          <w:lang w:val="es-CR"/>
        </w:rPr>
      </w:pPr>
      <w:r w:rsidRPr="00503797">
        <w:rPr>
          <w:rFonts w:ascii="Verdana" w:hAnsi="Verdana" w:cs="Verdana"/>
          <w:sz w:val="20"/>
          <w:szCs w:val="20"/>
          <w:lang w:val="es-CR"/>
        </w:rPr>
        <w:t xml:space="preserve">Los representantes propusieron </w:t>
      </w:r>
      <w:r>
        <w:rPr>
          <w:rFonts w:ascii="Verdana" w:hAnsi="Verdana" w:cs="Verdana"/>
          <w:sz w:val="20"/>
          <w:szCs w:val="20"/>
          <w:lang w:val="es-CR"/>
        </w:rPr>
        <w:t xml:space="preserve">al </w:t>
      </w:r>
      <w:r w:rsidRPr="00503797">
        <w:rPr>
          <w:rFonts w:ascii="Verdana" w:hAnsi="Verdana" w:cs="Verdana"/>
          <w:sz w:val="20"/>
          <w:szCs w:val="20"/>
          <w:lang w:val="es-CR"/>
        </w:rPr>
        <w:t xml:space="preserve">señor </w:t>
      </w:r>
      <w:r>
        <w:rPr>
          <w:rFonts w:ascii="Verdana" w:hAnsi="Verdana" w:cs="Verdana"/>
          <w:sz w:val="20"/>
          <w:szCs w:val="20"/>
          <w:lang w:val="es-CR"/>
        </w:rPr>
        <w:t xml:space="preserve">Cristóbal </w:t>
      </w:r>
      <w:r w:rsidRPr="00503797">
        <w:rPr>
          <w:rFonts w:ascii="Verdana" w:hAnsi="Verdana" w:cs="Verdana"/>
          <w:sz w:val="20"/>
          <w:szCs w:val="20"/>
          <w:lang w:val="es-CR"/>
        </w:rPr>
        <w:t xml:space="preserve">Rodríguez Gómez </w:t>
      </w:r>
      <w:r>
        <w:rPr>
          <w:rFonts w:ascii="Verdana" w:hAnsi="Verdana" w:cs="Verdana"/>
          <w:sz w:val="20"/>
          <w:szCs w:val="20"/>
          <w:lang w:val="es-CR"/>
        </w:rPr>
        <w:t xml:space="preserve">para que </w:t>
      </w:r>
      <w:r w:rsidRPr="00503797">
        <w:rPr>
          <w:rFonts w:ascii="Verdana" w:hAnsi="Verdana" w:cs="Verdana"/>
          <w:sz w:val="20"/>
          <w:szCs w:val="20"/>
          <w:lang w:val="es-CR"/>
        </w:rPr>
        <w:t>r</w:t>
      </w:r>
      <w:r>
        <w:rPr>
          <w:rFonts w:ascii="Verdana" w:hAnsi="Verdana" w:cs="Verdana"/>
          <w:sz w:val="20"/>
          <w:szCs w:val="20"/>
          <w:lang w:val="es-CR"/>
        </w:rPr>
        <w:t>indiera</w:t>
      </w:r>
      <w:r w:rsidRPr="00503797">
        <w:rPr>
          <w:rFonts w:ascii="Verdana" w:hAnsi="Verdana" w:cs="Verdana"/>
          <w:sz w:val="20"/>
          <w:szCs w:val="20"/>
          <w:lang w:val="es-CR"/>
        </w:rPr>
        <w:t xml:space="preserve"> peritaje</w:t>
      </w:r>
      <w:r>
        <w:rPr>
          <w:rFonts w:ascii="Verdana" w:hAnsi="Verdana" w:cs="Verdana"/>
          <w:sz w:val="20"/>
          <w:szCs w:val="20"/>
          <w:lang w:val="es-CR"/>
        </w:rPr>
        <w:t xml:space="preserve">, </w:t>
      </w:r>
      <w:r>
        <w:rPr>
          <w:rFonts w:ascii="Verdana" w:hAnsi="Verdana" w:cs="Verdana"/>
          <w:i/>
          <w:sz w:val="20"/>
          <w:szCs w:val="20"/>
          <w:lang w:val="es-CR"/>
        </w:rPr>
        <w:t xml:space="preserve">inter </w:t>
      </w:r>
      <w:proofErr w:type="spellStart"/>
      <w:r>
        <w:rPr>
          <w:rFonts w:ascii="Verdana" w:hAnsi="Verdana" w:cs="Verdana"/>
          <w:i/>
          <w:sz w:val="20"/>
          <w:szCs w:val="20"/>
          <w:lang w:val="es-CR"/>
        </w:rPr>
        <w:t>alia</w:t>
      </w:r>
      <w:r w:rsidR="00293392">
        <w:rPr>
          <w:rFonts w:ascii="Verdana" w:hAnsi="Verdana" w:cs="Verdana"/>
          <w:i/>
          <w:sz w:val="20"/>
          <w:szCs w:val="20"/>
          <w:lang w:val="es-CR"/>
        </w:rPr>
        <w:t>,”</w:t>
      </w:r>
      <w:r w:rsidRPr="00503797">
        <w:rPr>
          <w:rFonts w:ascii="Verdana" w:hAnsi="Verdana" w:cs="Verdana"/>
          <w:sz w:val="20"/>
          <w:szCs w:val="20"/>
          <w:lang w:val="es-CR"/>
        </w:rPr>
        <w:t>sobre</w:t>
      </w:r>
      <w:proofErr w:type="spellEnd"/>
      <w:r w:rsidRPr="00503797">
        <w:rPr>
          <w:rFonts w:ascii="Verdana" w:hAnsi="Verdana" w:cs="Verdana"/>
          <w:sz w:val="20"/>
          <w:szCs w:val="20"/>
          <w:lang w:val="es-CR"/>
        </w:rPr>
        <w:t xml:space="preserve"> la legislación vigente en materia de nacionalidad, las distintas interpretaciones que al respecto han hecho los órganos jurisdiccionales y la forma en la que ésta es aplicada a través de prácticas y directrices administrativas”. </w:t>
      </w:r>
    </w:p>
    <w:p w:rsidR="00332068" w:rsidRDefault="00332068" w:rsidP="00332068">
      <w:pPr>
        <w:pStyle w:val="ListParagraph"/>
        <w:tabs>
          <w:tab w:val="left" w:pos="709"/>
        </w:tabs>
        <w:ind w:left="0"/>
        <w:jc w:val="both"/>
        <w:rPr>
          <w:rFonts w:ascii="Verdana" w:hAnsi="Verdana" w:cs="Verdana"/>
          <w:sz w:val="20"/>
          <w:szCs w:val="20"/>
          <w:lang w:val="es-CR"/>
        </w:rPr>
      </w:pPr>
    </w:p>
    <w:p w:rsidR="00332068" w:rsidRDefault="00332068" w:rsidP="00332068">
      <w:pPr>
        <w:pStyle w:val="ListParagraph"/>
        <w:numPr>
          <w:ilvl w:val="0"/>
          <w:numId w:val="42"/>
        </w:numPr>
        <w:tabs>
          <w:tab w:val="left" w:pos="709"/>
        </w:tabs>
        <w:ind w:left="0" w:firstLine="0"/>
        <w:jc w:val="both"/>
        <w:rPr>
          <w:rFonts w:ascii="Verdana" w:hAnsi="Verdana" w:cs="Verdana"/>
          <w:sz w:val="20"/>
          <w:szCs w:val="20"/>
          <w:lang w:val="es-CR"/>
        </w:rPr>
      </w:pPr>
      <w:r w:rsidRPr="00503797">
        <w:rPr>
          <w:rFonts w:ascii="Verdana" w:hAnsi="Verdana" w:cs="Verdana"/>
          <w:sz w:val="20"/>
          <w:szCs w:val="20"/>
          <w:lang w:val="es-CR"/>
        </w:rPr>
        <w:t>El Estado “</w:t>
      </w:r>
      <w:r>
        <w:rPr>
          <w:rFonts w:ascii="Verdana" w:hAnsi="Verdana" w:cs="Verdana"/>
          <w:sz w:val="20"/>
          <w:szCs w:val="20"/>
          <w:lang w:val="es-CR"/>
        </w:rPr>
        <w:t>[</w:t>
      </w:r>
      <w:r w:rsidRPr="00503797">
        <w:rPr>
          <w:rFonts w:ascii="Verdana" w:hAnsi="Verdana" w:cs="Verdana"/>
          <w:sz w:val="20"/>
          <w:szCs w:val="20"/>
          <w:lang w:val="es-CR"/>
        </w:rPr>
        <w:t>o</w:t>
      </w:r>
      <w:r>
        <w:rPr>
          <w:rFonts w:ascii="Verdana" w:hAnsi="Verdana" w:cs="Verdana"/>
          <w:sz w:val="20"/>
          <w:szCs w:val="20"/>
          <w:lang w:val="es-CR"/>
        </w:rPr>
        <w:t>]</w:t>
      </w:r>
      <w:proofErr w:type="spellStart"/>
      <w:r w:rsidRPr="00503797">
        <w:rPr>
          <w:rFonts w:ascii="Verdana" w:hAnsi="Verdana" w:cs="Verdana"/>
          <w:sz w:val="20"/>
          <w:szCs w:val="20"/>
          <w:lang w:val="es-CR"/>
        </w:rPr>
        <w:t>bjet</w:t>
      </w:r>
      <w:proofErr w:type="spellEnd"/>
      <w:r>
        <w:rPr>
          <w:rFonts w:ascii="Verdana" w:hAnsi="Verdana" w:cs="Verdana"/>
          <w:sz w:val="20"/>
          <w:szCs w:val="20"/>
          <w:lang w:val="es-CR"/>
        </w:rPr>
        <w:t>[ó]</w:t>
      </w:r>
      <w:r w:rsidRPr="00503797">
        <w:rPr>
          <w:rFonts w:ascii="Verdana" w:hAnsi="Verdana" w:cs="Verdana"/>
          <w:sz w:val="20"/>
          <w:szCs w:val="20"/>
          <w:lang w:val="es-CR"/>
        </w:rPr>
        <w:t xml:space="preserve"> el peritaje </w:t>
      </w:r>
      <w:r>
        <w:rPr>
          <w:rFonts w:ascii="Verdana" w:hAnsi="Verdana" w:cs="Verdana"/>
          <w:sz w:val="20"/>
          <w:szCs w:val="20"/>
          <w:lang w:val="es-CR"/>
        </w:rPr>
        <w:t xml:space="preserve">del señor </w:t>
      </w:r>
      <w:r w:rsidRPr="00503797">
        <w:rPr>
          <w:rFonts w:ascii="Verdana" w:hAnsi="Verdana" w:cs="Verdana"/>
          <w:sz w:val="20"/>
          <w:szCs w:val="20"/>
          <w:lang w:val="es-CR"/>
        </w:rPr>
        <w:t>[…]</w:t>
      </w:r>
      <w:r>
        <w:rPr>
          <w:rFonts w:ascii="Verdana" w:hAnsi="Verdana" w:cs="Verdana"/>
          <w:sz w:val="20"/>
          <w:szCs w:val="20"/>
          <w:lang w:val="es-CR"/>
        </w:rPr>
        <w:t xml:space="preserve"> Rodríguez Gómez</w:t>
      </w:r>
      <w:r w:rsidRPr="00503797">
        <w:rPr>
          <w:rFonts w:ascii="Verdana" w:hAnsi="Verdana" w:cs="Verdana"/>
          <w:sz w:val="20"/>
          <w:szCs w:val="20"/>
          <w:lang w:val="es-CR"/>
        </w:rPr>
        <w:t xml:space="preserve"> en razón de su dudosa imparcialidad e independencia sobre el caso que nos ocupa”. Hizo notar que “</w:t>
      </w:r>
      <w:r>
        <w:rPr>
          <w:rFonts w:ascii="Verdana" w:hAnsi="Verdana" w:cs="Verdana"/>
          <w:sz w:val="20"/>
          <w:szCs w:val="20"/>
          <w:lang w:val="es-CR"/>
        </w:rPr>
        <w:t>él […]</w:t>
      </w:r>
      <w:r w:rsidRPr="00503797">
        <w:rPr>
          <w:rFonts w:ascii="Verdana" w:hAnsi="Verdana" w:cs="Verdana"/>
          <w:sz w:val="20"/>
          <w:szCs w:val="20"/>
          <w:lang w:val="es-CR"/>
        </w:rPr>
        <w:t xml:space="preserve"> ha sido el abogado en otros casos que cuestionan la capacidad legal de la [JCE] para denegar la inscripción en los registros civiles ordinarios de personas de origen haitiano cuyos padres se encontraban en situación migratoria irregular”. Además, el Estado </w:t>
      </w:r>
      <w:r>
        <w:rPr>
          <w:rFonts w:ascii="Verdana" w:hAnsi="Verdana" w:cs="Verdana"/>
          <w:sz w:val="20"/>
          <w:szCs w:val="20"/>
          <w:lang w:val="es-CR"/>
        </w:rPr>
        <w:t>indicó</w:t>
      </w:r>
      <w:r w:rsidRPr="00503797">
        <w:rPr>
          <w:rFonts w:ascii="Verdana" w:hAnsi="Verdana" w:cs="Verdana"/>
          <w:sz w:val="20"/>
          <w:szCs w:val="20"/>
          <w:lang w:val="es-CR"/>
        </w:rPr>
        <w:t xml:space="preserve"> que “ha participado en la solicitud de medidas cautelares </w:t>
      </w:r>
      <w:r>
        <w:rPr>
          <w:rFonts w:ascii="Verdana" w:hAnsi="Verdana" w:cs="Verdana"/>
          <w:sz w:val="20"/>
          <w:szCs w:val="20"/>
          <w:lang w:val="es-CR"/>
        </w:rPr>
        <w:t>[</w:t>
      </w:r>
      <w:r w:rsidRPr="00503797">
        <w:rPr>
          <w:rFonts w:ascii="Verdana" w:hAnsi="Verdana" w:cs="Verdana"/>
          <w:sz w:val="20"/>
          <w:szCs w:val="20"/>
          <w:lang w:val="es-CR"/>
        </w:rPr>
        <w:t>a</w:t>
      </w:r>
      <w:r>
        <w:rPr>
          <w:rFonts w:ascii="Verdana" w:hAnsi="Verdana" w:cs="Verdana"/>
          <w:sz w:val="20"/>
          <w:szCs w:val="20"/>
          <w:lang w:val="es-CR"/>
        </w:rPr>
        <w:t>nte]</w:t>
      </w:r>
      <w:r w:rsidRPr="00503797">
        <w:rPr>
          <w:rFonts w:ascii="Verdana" w:hAnsi="Verdana" w:cs="Verdana"/>
          <w:sz w:val="20"/>
          <w:szCs w:val="20"/>
          <w:lang w:val="es-CR"/>
        </w:rPr>
        <w:t xml:space="preserve"> la [Comisión] sobre estos </w:t>
      </w:r>
      <w:r w:rsidRPr="00503797">
        <w:rPr>
          <w:rFonts w:ascii="Verdana" w:hAnsi="Verdana" w:cs="Verdana"/>
          <w:sz w:val="20"/>
          <w:szCs w:val="20"/>
          <w:lang w:val="es-CR"/>
        </w:rPr>
        <w:lastRenderedPageBreak/>
        <w:t>casos”. Asimismo</w:t>
      </w:r>
      <w:r>
        <w:rPr>
          <w:rFonts w:ascii="Verdana" w:hAnsi="Verdana" w:cs="Verdana"/>
          <w:sz w:val="20"/>
          <w:szCs w:val="20"/>
          <w:lang w:val="es-CR"/>
        </w:rPr>
        <w:t>,</w:t>
      </w:r>
      <w:r w:rsidRPr="00503797">
        <w:rPr>
          <w:rFonts w:ascii="Verdana" w:hAnsi="Verdana" w:cs="Verdana"/>
          <w:sz w:val="20"/>
          <w:szCs w:val="20"/>
          <w:lang w:val="es-CR"/>
        </w:rPr>
        <w:t xml:space="preserve"> señaló que el señor  Rodríguez Gómez participa activamente junto con </w:t>
      </w:r>
      <w:r>
        <w:rPr>
          <w:rFonts w:ascii="Verdana" w:hAnsi="Verdana" w:cs="Verdana"/>
          <w:sz w:val="20"/>
          <w:szCs w:val="20"/>
          <w:lang w:val="es-CR"/>
        </w:rPr>
        <w:t>el Centro por la Justicia y el Derecho Internacional (en adelante “</w:t>
      </w:r>
      <w:r w:rsidRPr="00503797">
        <w:rPr>
          <w:rFonts w:ascii="Verdana" w:hAnsi="Verdana" w:cs="Verdana"/>
          <w:sz w:val="20"/>
          <w:szCs w:val="20"/>
          <w:lang w:val="es-CR"/>
        </w:rPr>
        <w:t>CEJIL</w:t>
      </w:r>
      <w:r>
        <w:rPr>
          <w:rFonts w:ascii="Verdana" w:hAnsi="Verdana" w:cs="Verdana"/>
          <w:sz w:val="20"/>
          <w:szCs w:val="20"/>
          <w:lang w:val="es-CR"/>
        </w:rPr>
        <w:t>”)</w:t>
      </w:r>
      <w:r w:rsidRPr="00503797">
        <w:rPr>
          <w:rFonts w:ascii="Verdana" w:hAnsi="Verdana" w:cs="Verdana"/>
          <w:sz w:val="20"/>
          <w:szCs w:val="20"/>
          <w:lang w:val="es-CR"/>
        </w:rPr>
        <w:t xml:space="preserve"> </w:t>
      </w:r>
      <w:r>
        <w:rPr>
          <w:rFonts w:ascii="Verdana" w:hAnsi="Verdana" w:cs="Verdana"/>
          <w:sz w:val="20"/>
          <w:szCs w:val="20"/>
          <w:lang w:val="es-CR"/>
        </w:rPr>
        <w:t>“</w:t>
      </w:r>
      <w:r w:rsidRPr="00503797">
        <w:rPr>
          <w:rFonts w:ascii="Verdana" w:hAnsi="Verdana" w:cs="Verdana"/>
          <w:sz w:val="20"/>
          <w:szCs w:val="20"/>
          <w:lang w:val="es-CR"/>
        </w:rPr>
        <w:t xml:space="preserve">en la representación legal del señor Bueno </w:t>
      </w:r>
      <w:proofErr w:type="spellStart"/>
      <w:r w:rsidRPr="00503797">
        <w:rPr>
          <w:rFonts w:ascii="Verdana" w:hAnsi="Verdana" w:cs="Verdana"/>
          <w:sz w:val="20"/>
          <w:szCs w:val="20"/>
          <w:lang w:val="es-CR"/>
        </w:rPr>
        <w:t>Oguis</w:t>
      </w:r>
      <w:proofErr w:type="spellEnd"/>
      <w:r>
        <w:rPr>
          <w:rFonts w:ascii="Verdana" w:hAnsi="Verdana" w:cs="Verdana"/>
          <w:sz w:val="20"/>
          <w:szCs w:val="20"/>
          <w:lang w:val="es-CR"/>
        </w:rPr>
        <w:t>”</w:t>
      </w:r>
      <w:r w:rsidRPr="00503797">
        <w:rPr>
          <w:rFonts w:ascii="Verdana" w:hAnsi="Verdana" w:cs="Verdana"/>
          <w:sz w:val="20"/>
          <w:szCs w:val="20"/>
          <w:lang w:val="es-CR"/>
        </w:rPr>
        <w:t xml:space="preserve"> siendo </w:t>
      </w:r>
      <w:r>
        <w:rPr>
          <w:rFonts w:ascii="Verdana" w:hAnsi="Verdana" w:cs="Verdana"/>
          <w:sz w:val="20"/>
          <w:szCs w:val="20"/>
          <w:lang w:val="es-CR"/>
        </w:rPr>
        <w:t>aquél</w:t>
      </w:r>
      <w:r w:rsidRPr="00503797">
        <w:rPr>
          <w:rFonts w:ascii="Verdana" w:hAnsi="Verdana" w:cs="Verdana"/>
          <w:sz w:val="20"/>
          <w:szCs w:val="20"/>
          <w:lang w:val="es-CR"/>
        </w:rPr>
        <w:t xml:space="preserve"> el </w:t>
      </w:r>
      <w:r>
        <w:rPr>
          <w:rFonts w:ascii="Verdana" w:hAnsi="Verdana" w:cs="Verdana"/>
          <w:sz w:val="20"/>
          <w:szCs w:val="20"/>
          <w:lang w:val="es-CR"/>
        </w:rPr>
        <w:t>“</w:t>
      </w:r>
      <w:r w:rsidRPr="00503797">
        <w:rPr>
          <w:rFonts w:ascii="Verdana" w:hAnsi="Verdana" w:cs="Verdana"/>
          <w:sz w:val="20"/>
          <w:szCs w:val="20"/>
          <w:lang w:val="es-CR"/>
        </w:rPr>
        <w:t>representante local del peticionario</w:t>
      </w:r>
      <w:r>
        <w:rPr>
          <w:rFonts w:ascii="Verdana" w:hAnsi="Verdana" w:cs="Verdana"/>
          <w:sz w:val="20"/>
          <w:szCs w:val="20"/>
          <w:lang w:val="es-CR"/>
        </w:rPr>
        <w:t>” y,</w:t>
      </w:r>
      <w:r w:rsidRPr="00503797">
        <w:rPr>
          <w:rFonts w:ascii="Verdana" w:hAnsi="Verdana" w:cs="Verdana"/>
          <w:sz w:val="20"/>
          <w:szCs w:val="20"/>
          <w:lang w:val="es-CR"/>
        </w:rPr>
        <w:t xml:space="preserve"> por ende, el Estado concluyó que su participación v</w:t>
      </w:r>
      <w:r>
        <w:rPr>
          <w:rFonts w:ascii="Verdana" w:hAnsi="Verdana" w:cs="Verdana"/>
          <w:sz w:val="20"/>
          <w:szCs w:val="20"/>
          <w:lang w:val="es-CR"/>
        </w:rPr>
        <w:t>a en contra de los literales c)</w:t>
      </w:r>
      <w:r w:rsidRPr="00503797">
        <w:rPr>
          <w:rFonts w:ascii="Verdana" w:hAnsi="Verdana" w:cs="Verdana"/>
          <w:sz w:val="20"/>
          <w:szCs w:val="20"/>
          <w:lang w:val="es-CR"/>
        </w:rPr>
        <w:t xml:space="preserve"> y f) del artículo 48 del Reglamento </w:t>
      </w:r>
      <w:r>
        <w:rPr>
          <w:rFonts w:ascii="Verdana" w:hAnsi="Verdana" w:cs="Verdana"/>
          <w:sz w:val="20"/>
          <w:szCs w:val="20"/>
          <w:lang w:val="es-CR"/>
        </w:rPr>
        <w:t>(</w:t>
      </w:r>
      <w:r w:rsidRPr="00AB4AD8">
        <w:rPr>
          <w:rFonts w:ascii="Verdana" w:hAnsi="Verdana" w:cs="Verdana"/>
          <w:i/>
          <w:sz w:val="20"/>
          <w:szCs w:val="20"/>
          <w:lang w:val="es-CR"/>
        </w:rPr>
        <w:t>supra</w:t>
      </w:r>
      <w:r>
        <w:rPr>
          <w:rFonts w:ascii="Verdana" w:hAnsi="Verdana" w:cs="Verdana"/>
          <w:sz w:val="20"/>
          <w:szCs w:val="20"/>
          <w:lang w:val="es-CR"/>
        </w:rPr>
        <w:t xml:space="preserve"> Considerando 13) </w:t>
      </w:r>
      <w:r w:rsidRPr="00503797">
        <w:rPr>
          <w:rFonts w:ascii="Verdana" w:hAnsi="Verdana" w:cs="Verdana"/>
          <w:sz w:val="20"/>
          <w:szCs w:val="20"/>
          <w:lang w:val="es-CR"/>
        </w:rPr>
        <w:t xml:space="preserve">porque: a) </w:t>
      </w:r>
      <w:r>
        <w:rPr>
          <w:rFonts w:ascii="Verdana" w:hAnsi="Verdana" w:cs="Verdana"/>
          <w:sz w:val="20"/>
          <w:szCs w:val="20"/>
          <w:lang w:val="es-CR"/>
        </w:rPr>
        <w:t>“</w:t>
      </w:r>
      <w:r w:rsidRPr="00503797">
        <w:rPr>
          <w:rFonts w:ascii="Verdana" w:hAnsi="Verdana" w:cs="Verdana"/>
          <w:sz w:val="20"/>
          <w:szCs w:val="20"/>
          <w:lang w:val="es-CR"/>
        </w:rPr>
        <w:t>ha asumido</w:t>
      </w:r>
      <w:r>
        <w:rPr>
          <w:rFonts w:ascii="Verdana" w:hAnsi="Verdana" w:cs="Verdana"/>
          <w:sz w:val="20"/>
          <w:szCs w:val="20"/>
          <w:lang w:val="es-CR"/>
        </w:rPr>
        <w:t xml:space="preserve"> una</w:t>
      </w:r>
      <w:r w:rsidRPr="00503797">
        <w:rPr>
          <w:rFonts w:ascii="Verdana" w:hAnsi="Verdana" w:cs="Verdana"/>
          <w:sz w:val="20"/>
          <w:szCs w:val="20"/>
          <w:lang w:val="es-CR"/>
        </w:rPr>
        <w:t xml:space="preserve"> posición pública al respecto en casos similares</w:t>
      </w:r>
      <w:r>
        <w:rPr>
          <w:rFonts w:ascii="Verdana" w:hAnsi="Verdana" w:cs="Verdana"/>
          <w:sz w:val="20"/>
          <w:szCs w:val="20"/>
          <w:lang w:val="es-CR"/>
        </w:rPr>
        <w:t>”</w:t>
      </w:r>
      <w:r w:rsidRPr="00503797">
        <w:rPr>
          <w:rFonts w:ascii="Verdana" w:hAnsi="Verdana" w:cs="Verdana"/>
          <w:sz w:val="20"/>
          <w:szCs w:val="20"/>
          <w:lang w:val="es-CR"/>
        </w:rPr>
        <w:t xml:space="preserve">; b) </w:t>
      </w:r>
      <w:r>
        <w:rPr>
          <w:rFonts w:ascii="Verdana" w:hAnsi="Verdana" w:cs="Verdana"/>
          <w:sz w:val="20"/>
          <w:szCs w:val="20"/>
          <w:lang w:val="es-CR"/>
        </w:rPr>
        <w:t>“</w:t>
      </w:r>
      <w:r w:rsidRPr="00503797">
        <w:rPr>
          <w:rFonts w:ascii="Verdana" w:hAnsi="Verdana" w:cs="Verdana"/>
          <w:sz w:val="20"/>
          <w:szCs w:val="20"/>
          <w:lang w:val="es-CR"/>
        </w:rPr>
        <w:t>tiene actualmente vínculos sumamente estrechos</w:t>
      </w:r>
      <w:r>
        <w:rPr>
          <w:rFonts w:ascii="Verdana" w:hAnsi="Verdana" w:cs="Verdana"/>
          <w:sz w:val="20"/>
          <w:szCs w:val="20"/>
          <w:lang w:val="es-CR"/>
        </w:rPr>
        <w:t xml:space="preserve"> e inclusive</w:t>
      </w:r>
      <w:r w:rsidRPr="00503797">
        <w:rPr>
          <w:rFonts w:ascii="Verdana" w:hAnsi="Verdana" w:cs="Verdana"/>
          <w:sz w:val="20"/>
          <w:szCs w:val="20"/>
          <w:lang w:val="es-CR"/>
        </w:rPr>
        <w:t xml:space="preserve"> de subordinación funcional</w:t>
      </w:r>
      <w:r>
        <w:rPr>
          <w:rFonts w:ascii="Verdana" w:hAnsi="Verdana" w:cs="Verdana"/>
          <w:sz w:val="20"/>
          <w:szCs w:val="20"/>
          <w:lang w:val="es-CR"/>
        </w:rPr>
        <w:t>”</w:t>
      </w:r>
      <w:r w:rsidRPr="00503797">
        <w:rPr>
          <w:rFonts w:ascii="Verdana" w:hAnsi="Verdana" w:cs="Verdana"/>
          <w:sz w:val="20"/>
          <w:szCs w:val="20"/>
          <w:lang w:val="es-CR"/>
        </w:rPr>
        <w:t xml:space="preserve"> en casos ante el sistema con CEJIL</w:t>
      </w:r>
      <w:r>
        <w:rPr>
          <w:rFonts w:ascii="Verdana" w:hAnsi="Verdana" w:cs="Verdana"/>
          <w:sz w:val="20"/>
          <w:szCs w:val="20"/>
          <w:lang w:val="es-CR"/>
        </w:rPr>
        <w:t>,</w:t>
      </w:r>
      <w:r w:rsidRPr="00503797">
        <w:rPr>
          <w:rFonts w:ascii="Verdana" w:hAnsi="Verdana" w:cs="Verdana"/>
          <w:sz w:val="20"/>
          <w:szCs w:val="20"/>
          <w:lang w:val="es-CR"/>
        </w:rPr>
        <w:t xml:space="preserve"> y por tanto, c) “su imparcialidad e independencia está gravemente comprometida”</w:t>
      </w:r>
      <w:r>
        <w:rPr>
          <w:rFonts w:ascii="Verdana" w:hAnsi="Verdana" w:cs="Verdana"/>
          <w:sz w:val="20"/>
          <w:szCs w:val="20"/>
          <w:lang w:val="es-CR"/>
        </w:rPr>
        <w:t>.</w:t>
      </w:r>
    </w:p>
    <w:p w:rsidR="00332068" w:rsidRDefault="00332068" w:rsidP="00332068">
      <w:pPr>
        <w:pStyle w:val="ListParagraph"/>
        <w:tabs>
          <w:tab w:val="left" w:pos="709"/>
        </w:tabs>
        <w:ind w:left="0"/>
        <w:jc w:val="both"/>
        <w:rPr>
          <w:rFonts w:ascii="Verdana" w:hAnsi="Verdana" w:cs="Verdana"/>
          <w:sz w:val="20"/>
          <w:szCs w:val="20"/>
          <w:lang w:val="es-CR"/>
        </w:rPr>
      </w:pPr>
    </w:p>
    <w:p w:rsidR="00332068" w:rsidRDefault="00332068" w:rsidP="00332068">
      <w:pPr>
        <w:pStyle w:val="ListParagraph"/>
        <w:numPr>
          <w:ilvl w:val="0"/>
          <w:numId w:val="42"/>
        </w:numPr>
        <w:tabs>
          <w:tab w:val="left" w:pos="709"/>
        </w:tabs>
        <w:ind w:left="0" w:firstLine="0"/>
        <w:jc w:val="both"/>
        <w:rPr>
          <w:rFonts w:ascii="Verdana" w:hAnsi="Verdana" w:cs="Verdana"/>
          <w:sz w:val="20"/>
          <w:szCs w:val="20"/>
          <w:lang w:val="es-CR"/>
        </w:rPr>
      </w:pPr>
      <w:r w:rsidRPr="0051303D">
        <w:rPr>
          <w:rFonts w:ascii="Verdana" w:hAnsi="Verdana" w:cs="Verdana"/>
          <w:sz w:val="20"/>
          <w:szCs w:val="20"/>
        </w:rPr>
        <w:t>De conformidad con el artículo 48.3 del Reglamento de la Corte se trasladó al señor</w:t>
      </w:r>
      <w:r>
        <w:rPr>
          <w:rFonts w:ascii="Verdana" w:hAnsi="Verdana" w:cs="Verdana"/>
          <w:sz w:val="20"/>
          <w:szCs w:val="20"/>
        </w:rPr>
        <w:t xml:space="preserve"> Rodríguez Gómez </w:t>
      </w:r>
      <w:r w:rsidRPr="0051303D">
        <w:rPr>
          <w:rFonts w:ascii="Verdana" w:hAnsi="Verdana" w:cs="Verdana"/>
          <w:sz w:val="20"/>
          <w:szCs w:val="20"/>
        </w:rPr>
        <w:t xml:space="preserve">la recusación planteada en su contra por </w:t>
      </w:r>
      <w:r>
        <w:rPr>
          <w:rFonts w:ascii="Verdana" w:hAnsi="Verdana" w:cs="Verdana"/>
          <w:sz w:val="20"/>
          <w:szCs w:val="20"/>
        </w:rPr>
        <w:t xml:space="preserve">el Estado </w:t>
      </w:r>
      <w:r w:rsidRPr="00E27281">
        <w:rPr>
          <w:rFonts w:ascii="Verdana" w:hAnsi="Verdana" w:cs="Verdana"/>
          <w:sz w:val="20"/>
          <w:szCs w:val="20"/>
        </w:rPr>
        <w:t>(</w:t>
      </w:r>
      <w:r w:rsidRPr="00E27281">
        <w:rPr>
          <w:rFonts w:ascii="Verdana" w:hAnsi="Verdana" w:cs="Verdana"/>
          <w:i/>
          <w:sz w:val="20"/>
          <w:szCs w:val="20"/>
        </w:rPr>
        <w:t>supra</w:t>
      </w:r>
      <w:r w:rsidRPr="00E27281">
        <w:rPr>
          <w:rFonts w:ascii="Verdana" w:hAnsi="Verdana"/>
          <w:i/>
          <w:sz w:val="20"/>
          <w:szCs w:val="20"/>
        </w:rPr>
        <w:t xml:space="preserve"> </w:t>
      </w:r>
      <w:r w:rsidRPr="00E27281">
        <w:rPr>
          <w:rFonts w:ascii="Verdana" w:hAnsi="Verdana"/>
          <w:sz w:val="20"/>
          <w:szCs w:val="20"/>
        </w:rPr>
        <w:t>Visto</w:t>
      </w:r>
      <w:r w:rsidRPr="00E27281">
        <w:rPr>
          <w:rFonts w:ascii="Verdana" w:hAnsi="Verdana"/>
          <w:i/>
          <w:sz w:val="20"/>
          <w:szCs w:val="20"/>
        </w:rPr>
        <w:t xml:space="preserve"> </w:t>
      </w:r>
      <w:r w:rsidRPr="00E27281">
        <w:rPr>
          <w:rFonts w:ascii="Verdana" w:hAnsi="Verdana"/>
          <w:sz w:val="20"/>
          <w:szCs w:val="20"/>
        </w:rPr>
        <w:t>22</w:t>
      </w:r>
      <w:r w:rsidRPr="00E27281">
        <w:rPr>
          <w:rFonts w:ascii="Verdana" w:hAnsi="Verdana"/>
          <w:i/>
          <w:sz w:val="20"/>
          <w:szCs w:val="20"/>
        </w:rPr>
        <w:t>)</w:t>
      </w:r>
      <w:r w:rsidRPr="0051303D">
        <w:rPr>
          <w:rFonts w:ascii="Verdana" w:hAnsi="Verdana" w:cs="Verdana"/>
          <w:sz w:val="20"/>
          <w:szCs w:val="20"/>
        </w:rPr>
        <w:t xml:space="preserve">. </w:t>
      </w:r>
      <w:r w:rsidRPr="00503797">
        <w:rPr>
          <w:rFonts w:ascii="Verdana" w:hAnsi="Verdana" w:cs="Verdana"/>
          <w:sz w:val="20"/>
          <w:szCs w:val="20"/>
          <w:lang w:val="es-CR"/>
        </w:rPr>
        <w:t>En sus observaciones, el señor Rodríguez Gómez solicitó que no se haga lugar a la recusaci</w:t>
      </w:r>
      <w:r>
        <w:rPr>
          <w:rFonts w:ascii="Verdana" w:hAnsi="Verdana" w:cs="Verdana"/>
          <w:sz w:val="20"/>
          <w:szCs w:val="20"/>
          <w:lang w:val="es-CR"/>
        </w:rPr>
        <w:t>ó</w:t>
      </w:r>
      <w:r w:rsidRPr="00503797">
        <w:rPr>
          <w:rFonts w:ascii="Verdana" w:hAnsi="Verdana" w:cs="Verdana"/>
          <w:sz w:val="20"/>
          <w:szCs w:val="20"/>
          <w:lang w:val="es-CR"/>
        </w:rPr>
        <w:t>n interpuesta y manifestó que su imparcialidad y objetividad no se encontraba</w:t>
      </w:r>
      <w:r>
        <w:rPr>
          <w:rFonts w:ascii="Verdana" w:hAnsi="Verdana" w:cs="Verdana"/>
          <w:sz w:val="20"/>
          <w:szCs w:val="20"/>
          <w:lang w:val="es-CR"/>
        </w:rPr>
        <w:t>n</w:t>
      </w:r>
      <w:r w:rsidRPr="00503797">
        <w:rPr>
          <w:rFonts w:ascii="Verdana" w:hAnsi="Verdana" w:cs="Verdana"/>
          <w:sz w:val="20"/>
          <w:szCs w:val="20"/>
          <w:lang w:val="es-CR"/>
        </w:rPr>
        <w:t xml:space="preserve"> afectada</w:t>
      </w:r>
      <w:r>
        <w:rPr>
          <w:rFonts w:ascii="Verdana" w:hAnsi="Verdana" w:cs="Verdana"/>
          <w:sz w:val="20"/>
          <w:szCs w:val="20"/>
          <w:lang w:val="es-CR"/>
        </w:rPr>
        <w:t>s</w:t>
      </w:r>
      <w:r w:rsidRPr="00503797">
        <w:rPr>
          <w:rFonts w:ascii="Verdana" w:hAnsi="Verdana" w:cs="Verdana"/>
          <w:sz w:val="20"/>
          <w:szCs w:val="20"/>
          <w:lang w:val="es-CR"/>
        </w:rPr>
        <w:t xml:space="preserve">. </w:t>
      </w:r>
      <w:r>
        <w:rPr>
          <w:rFonts w:ascii="Verdana" w:hAnsi="Verdana" w:cs="Verdana"/>
          <w:sz w:val="20"/>
          <w:szCs w:val="20"/>
          <w:lang w:val="es-CR"/>
        </w:rPr>
        <w:t>C</w:t>
      </w:r>
      <w:r w:rsidRPr="00503797">
        <w:rPr>
          <w:rFonts w:ascii="Verdana" w:hAnsi="Verdana" w:cs="Verdana"/>
          <w:sz w:val="20"/>
          <w:szCs w:val="20"/>
          <w:lang w:val="es-CR"/>
        </w:rPr>
        <w:t xml:space="preserve">onfirmó </w:t>
      </w:r>
      <w:r>
        <w:rPr>
          <w:rFonts w:ascii="Verdana" w:hAnsi="Verdana" w:cs="Verdana"/>
          <w:sz w:val="20"/>
          <w:szCs w:val="20"/>
          <w:lang w:val="es-CR"/>
        </w:rPr>
        <w:t>que</w:t>
      </w:r>
      <w:r w:rsidRPr="00503797">
        <w:rPr>
          <w:rFonts w:ascii="Verdana" w:hAnsi="Verdana" w:cs="Verdana"/>
          <w:sz w:val="20"/>
          <w:szCs w:val="20"/>
          <w:lang w:val="es-CR"/>
        </w:rPr>
        <w:t xml:space="preserve"> litigó “en el caso </w:t>
      </w:r>
      <w:r w:rsidRPr="00503797">
        <w:rPr>
          <w:rFonts w:ascii="Verdana" w:hAnsi="Verdana" w:cs="Verdana"/>
          <w:i/>
          <w:sz w:val="20"/>
          <w:szCs w:val="20"/>
          <w:lang w:val="es-CR"/>
        </w:rPr>
        <w:t xml:space="preserve">Emilio Bueno </w:t>
      </w:r>
      <w:proofErr w:type="spellStart"/>
      <w:r w:rsidRPr="00503797">
        <w:rPr>
          <w:rFonts w:ascii="Verdana" w:hAnsi="Verdana" w:cs="Verdana"/>
          <w:i/>
          <w:sz w:val="20"/>
          <w:szCs w:val="20"/>
          <w:lang w:val="es-CR"/>
        </w:rPr>
        <w:t>Oguis</w:t>
      </w:r>
      <w:proofErr w:type="spellEnd"/>
      <w:r w:rsidRPr="00503797">
        <w:rPr>
          <w:rFonts w:ascii="Verdana" w:hAnsi="Verdana" w:cs="Verdana"/>
          <w:i/>
          <w:sz w:val="20"/>
          <w:szCs w:val="20"/>
          <w:lang w:val="es-CR"/>
        </w:rPr>
        <w:t xml:space="preserve"> </w:t>
      </w:r>
      <w:r>
        <w:rPr>
          <w:rFonts w:ascii="Verdana" w:hAnsi="Verdana" w:cs="Verdana"/>
          <w:i/>
          <w:sz w:val="20"/>
          <w:szCs w:val="20"/>
          <w:lang w:val="es-CR"/>
        </w:rPr>
        <w:t>[Vs.]</w:t>
      </w:r>
      <w:r w:rsidRPr="00503797">
        <w:rPr>
          <w:rFonts w:ascii="Verdana" w:hAnsi="Verdana" w:cs="Verdana"/>
          <w:i/>
          <w:sz w:val="20"/>
          <w:szCs w:val="20"/>
          <w:lang w:val="es-CR"/>
        </w:rPr>
        <w:t xml:space="preserve"> Junta Cen</w:t>
      </w:r>
      <w:r>
        <w:rPr>
          <w:rFonts w:ascii="Verdana" w:hAnsi="Verdana" w:cs="Verdana"/>
          <w:i/>
          <w:sz w:val="20"/>
          <w:szCs w:val="20"/>
          <w:lang w:val="es-CR"/>
        </w:rPr>
        <w:t>t</w:t>
      </w:r>
      <w:r w:rsidRPr="00503797">
        <w:rPr>
          <w:rFonts w:ascii="Verdana" w:hAnsi="Verdana" w:cs="Verdana"/>
          <w:i/>
          <w:sz w:val="20"/>
          <w:szCs w:val="20"/>
          <w:lang w:val="es-CR"/>
        </w:rPr>
        <w:t xml:space="preserve">ral Electoral, </w:t>
      </w:r>
      <w:r w:rsidRPr="00503797">
        <w:rPr>
          <w:rFonts w:ascii="Verdana" w:hAnsi="Verdana" w:cs="Verdana"/>
          <w:sz w:val="20"/>
          <w:szCs w:val="20"/>
          <w:lang w:val="es-CR"/>
        </w:rPr>
        <w:t>tanto ante el Tribunal Contencioso, Administrativo y Tributario (hoy Tribunal Superior Administrativo), así como ante la Suprema Corte de Justicia en 2011, [pero a</w:t>
      </w:r>
      <w:proofErr w:type="gramStart"/>
      <w:r>
        <w:rPr>
          <w:rFonts w:ascii="Verdana" w:hAnsi="Verdana" w:cs="Verdana"/>
          <w:sz w:val="20"/>
          <w:szCs w:val="20"/>
          <w:lang w:val="es-CR"/>
        </w:rPr>
        <w:t>]</w:t>
      </w:r>
      <w:proofErr w:type="spellStart"/>
      <w:r w:rsidRPr="00503797">
        <w:rPr>
          <w:rFonts w:ascii="Verdana" w:hAnsi="Verdana" w:cs="Verdana"/>
          <w:sz w:val="20"/>
          <w:szCs w:val="20"/>
          <w:lang w:val="es-CR"/>
        </w:rPr>
        <w:t>clar</w:t>
      </w:r>
      <w:proofErr w:type="spellEnd"/>
      <w:proofErr w:type="gramEnd"/>
      <w:r w:rsidRPr="00503797">
        <w:rPr>
          <w:rFonts w:ascii="Verdana" w:hAnsi="Verdana" w:cs="Verdana"/>
          <w:sz w:val="20"/>
          <w:szCs w:val="20"/>
          <w:lang w:val="es-CR"/>
        </w:rPr>
        <w:t xml:space="preserve">[ó] que no [es] parte en el litigio internacional </w:t>
      </w:r>
      <w:r>
        <w:rPr>
          <w:rFonts w:ascii="Verdana" w:hAnsi="Verdana" w:cs="Verdana"/>
          <w:sz w:val="20"/>
          <w:szCs w:val="20"/>
          <w:lang w:val="es-CR"/>
        </w:rPr>
        <w:t xml:space="preserve">[…] </w:t>
      </w:r>
      <w:r w:rsidRPr="00503797">
        <w:rPr>
          <w:rFonts w:ascii="Verdana" w:hAnsi="Verdana" w:cs="Verdana"/>
          <w:sz w:val="20"/>
          <w:szCs w:val="20"/>
          <w:lang w:val="es-CR"/>
        </w:rPr>
        <w:t xml:space="preserve">ante la Comisión Interamericana”. Asimismo, hizo notar que “nunca h[a] participado en el presente caso […] en ninguna calidad, ni a nivel interno, ni a nivel internacional” puntualizando que “no h[a] recibido remuneración de los representantes de las </w:t>
      </w:r>
      <w:r>
        <w:rPr>
          <w:rFonts w:ascii="Verdana" w:hAnsi="Verdana" w:cs="Verdana"/>
          <w:sz w:val="20"/>
          <w:szCs w:val="20"/>
          <w:lang w:val="es-CR"/>
        </w:rPr>
        <w:t xml:space="preserve">presuntas </w:t>
      </w:r>
      <w:r w:rsidRPr="00503797">
        <w:rPr>
          <w:rFonts w:ascii="Verdana" w:hAnsi="Verdana" w:cs="Verdana"/>
          <w:sz w:val="20"/>
          <w:szCs w:val="20"/>
          <w:lang w:val="es-CR"/>
        </w:rPr>
        <w:t xml:space="preserve">víctimas en el caso </w:t>
      </w:r>
      <w:r w:rsidRPr="00503797">
        <w:rPr>
          <w:rFonts w:ascii="Verdana" w:hAnsi="Verdana" w:cs="Verdana"/>
          <w:i/>
          <w:sz w:val="20"/>
          <w:szCs w:val="20"/>
          <w:lang w:val="es-CR"/>
        </w:rPr>
        <w:t xml:space="preserve">Benito </w:t>
      </w:r>
      <w:proofErr w:type="spellStart"/>
      <w:r w:rsidRPr="00503797">
        <w:rPr>
          <w:rFonts w:ascii="Verdana" w:hAnsi="Verdana" w:cs="Verdana"/>
          <w:i/>
          <w:sz w:val="20"/>
          <w:szCs w:val="20"/>
          <w:lang w:val="es-CR"/>
        </w:rPr>
        <w:t>Tide</w:t>
      </w:r>
      <w:proofErr w:type="spellEnd"/>
      <w:r w:rsidRPr="00503797">
        <w:rPr>
          <w:rFonts w:ascii="Verdana" w:hAnsi="Verdana" w:cs="Verdana"/>
          <w:i/>
          <w:sz w:val="20"/>
          <w:szCs w:val="20"/>
          <w:lang w:val="es-CR"/>
        </w:rPr>
        <w:t xml:space="preserve"> Méndez</w:t>
      </w:r>
      <w:r>
        <w:rPr>
          <w:rFonts w:ascii="Verdana" w:hAnsi="Verdana" w:cs="Verdana"/>
          <w:i/>
          <w:sz w:val="20"/>
          <w:szCs w:val="20"/>
          <w:lang w:val="es-CR"/>
        </w:rPr>
        <w:t xml:space="preserve"> </w:t>
      </w:r>
      <w:r>
        <w:rPr>
          <w:rFonts w:ascii="Verdana" w:hAnsi="Verdana" w:cs="Verdana"/>
          <w:sz w:val="20"/>
          <w:szCs w:val="20"/>
          <w:lang w:val="es-CR"/>
        </w:rPr>
        <w:t>[</w:t>
      </w:r>
      <w:r>
        <w:rPr>
          <w:rFonts w:ascii="Verdana" w:hAnsi="Verdana" w:cs="Verdana"/>
          <w:i/>
          <w:sz w:val="20"/>
          <w:szCs w:val="20"/>
          <w:lang w:val="es-CR"/>
        </w:rPr>
        <w:t>y otros</w:t>
      </w:r>
      <w:r w:rsidRPr="00E27281">
        <w:rPr>
          <w:rFonts w:ascii="Verdana" w:hAnsi="Verdana" w:cs="Verdana"/>
          <w:sz w:val="20"/>
          <w:szCs w:val="20"/>
          <w:lang w:val="es-CR"/>
        </w:rPr>
        <w:t>]</w:t>
      </w:r>
      <w:r w:rsidRPr="00503797">
        <w:rPr>
          <w:rFonts w:ascii="Verdana" w:hAnsi="Verdana" w:cs="Verdana"/>
          <w:i/>
          <w:sz w:val="20"/>
          <w:szCs w:val="20"/>
          <w:lang w:val="es-CR"/>
        </w:rPr>
        <w:t xml:space="preserve"> </w:t>
      </w:r>
      <w:r w:rsidRPr="00503797">
        <w:rPr>
          <w:rFonts w:ascii="Verdana" w:hAnsi="Verdana" w:cs="Verdana"/>
          <w:sz w:val="20"/>
          <w:szCs w:val="20"/>
          <w:lang w:val="es-CR"/>
        </w:rPr>
        <w:t xml:space="preserve">y no h[a] recibido instrucciones de ellos en ninguna de </w:t>
      </w:r>
      <w:r>
        <w:rPr>
          <w:rFonts w:ascii="Verdana" w:hAnsi="Verdana" w:cs="Verdana"/>
          <w:sz w:val="20"/>
          <w:szCs w:val="20"/>
          <w:lang w:val="es-CR"/>
        </w:rPr>
        <w:t>[sus]</w:t>
      </w:r>
      <w:r w:rsidRPr="00503797">
        <w:rPr>
          <w:rFonts w:ascii="Verdana" w:hAnsi="Verdana" w:cs="Verdana"/>
          <w:sz w:val="20"/>
          <w:szCs w:val="20"/>
          <w:lang w:val="es-CR"/>
        </w:rPr>
        <w:t xml:space="preserve"> labores de litigante”. Para conclu</w:t>
      </w:r>
      <w:r>
        <w:rPr>
          <w:rFonts w:ascii="Verdana" w:hAnsi="Verdana" w:cs="Verdana"/>
          <w:sz w:val="20"/>
          <w:szCs w:val="20"/>
          <w:lang w:val="es-CR"/>
        </w:rPr>
        <w:t>i</w:t>
      </w:r>
      <w:r w:rsidRPr="00503797">
        <w:rPr>
          <w:rFonts w:ascii="Verdana" w:hAnsi="Verdana" w:cs="Verdana"/>
          <w:sz w:val="20"/>
          <w:szCs w:val="20"/>
          <w:lang w:val="es-CR"/>
        </w:rPr>
        <w:t>r, rechaz</w:t>
      </w:r>
      <w:r>
        <w:rPr>
          <w:rFonts w:ascii="Verdana" w:hAnsi="Verdana" w:cs="Verdana"/>
          <w:sz w:val="20"/>
          <w:szCs w:val="20"/>
          <w:lang w:val="es-CR"/>
        </w:rPr>
        <w:t>ó</w:t>
      </w:r>
      <w:r w:rsidRPr="00503797">
        <w:rPr>
          <w:rFonts w:ascii="Verdana" w:hAnsi="Verdana" w:cs="Verdana"/>
          <w:sz w:val="20"/>
          <w:szCs w:val="20"/>
          <w:lang w:val="es-CR"/>
        </w:rPr>
        <w:t xml:space="preserve"> que su peritaje vaya a ser parcial </w:t>
      </w:r>
      <w:r>
        <w:rPr>
          <w:rFonts w:ascii="Verdana" w:hAnsi="Verdana" w:cs="Verdana"/>
          <w:sz w:val="20"/>
          <w:szCs w:val="20"/>
          <w:lang w:val="es-CR"/>
        </w:rPr>
        <w:t>y manifestó</w:t>
      </w:r>
      <w:r w:rsidRPr="00503797">
        <w:rPr>
          <w:rFonts w:ascii="Verdana" w:hAnsi="Verdana" w:cs="Verdana"/>
          <w:sz w:val="20"/>
          <w:szCs w:val="20"/>
          <w:lang w:val="es-CR"/>
        </w:rPr>
        <w:t xml:space="preserve"> que “[su] experiencia en litigio constitucional en </w:t>
      </w:r>
      <w:r>
        <w:rPr>
          <w:rFonts w:ascii="Verdana" w:hAnsi="Verdana" w:cs="Verdana"/>
          <w:sz w:val="20"/>
          <w:szCs w:val="20"/>
          <w:lang w:val="es-CR"/>
        </w:rPr>
        <w:t>[…]</w:t>
      </w:r>
      <w:r w:rsidRPr="00503797">
        <w:rPr>
          <w:rFonts w:ascii="Verdana" w:hAnsi="Verdana" w:cs="Verdana"/>
          <w:sz w:val="20"/>
          <w:szCs w:val="20"/>
          <w:lang w:val="es-CR"/>
        </w:rPr>
        <w:t xml:space="preserve"> República Dominicana […] fortalece [su] conocimiento académico y teórico del objeto de </w:t>
      </w:r>
      <w:r>
        <w:rPr>
          <w:rFonts w:ascii="Verdana" w:hAnsi="Verdana" w:cs="Verdana"/>
          <w:sz w:val="20"/>
          <w:szCs w:val="20"/>
          <w:lang w:val="es-CR"/>
        </w:rPr>
        <w:t>[su]</w:t>
      </w:r>
      <w:r w:rsidRPr="00503797">
        <w:rPr>
          <w:rFonts w:ascii="Verdana" w:hAnsi="Verdana" w:cs="Verdana"/>
          <w:sz w:val="20"/>
          <w:szCs w:val="20"/>
          <w:lang w:val="es-CR"/>
        </w:rPr>
        <w:t xml:space="preserve"> peritaje”.</w:t>
      </w:r>
    </w:p>
    <w:p w:rsidR="00332068" w:rsidRDefault="00332068" w:rsidP="00332068">
      <w:pPr>
        <w:pStyle w:val="ListParagraph"/>
        <w:tabs>
          <w:tab w:val="left" w:pos="709"/>
        </w:tabs>
        <w:ind w:left="0"/>
        <w:jc w:val="both"/>
        <w:rPr>
          <w:rFonts w:ascii="Verdana" w:hAnsi="Verdana" w:cs="Verdana"/>
          <w:sz w:val="20"/>
          <w:szCs w:val="20"/>
          <w:lang w:val="es-CR"/>
        </w:rPr>
      </w:pPr>
    </w:p>
    <w:p w:rsidR="00332068" w:rsidRPr="00503797" w:rsidRDefault="00332068" w:rsidP="00332068">
      <w:pPr>
        <w:pStyle w:val="ListParagraph"/>
        <w:numPr>
          <w:ilvl w:val="0"/>
          <w:numId w:val="42"/>
        </w:numPr>
        <w:tabs>
          <w:tab w:val="left" w:pos="709"/>
        </w:tabs>
        <w:ind w:left="0" w:firstLine="0"/>
        <w:jc w:val="both"/>
        <w:rPr>
          <w:rFonts w:ascii="Verdana" w:hAnsi="Verdana" w:cs="Verdana"/>
          <w:sz w:val="20"/>
          <w:szCs w:val="20"/>
          <w:lang w:val="es-CR"/>
        </w:rPr>
      </w:pPr>
      <w:r w:rsidRPr="00503797">
        <w:rPr>
          <w:rFonts w:ascii="Verdana" w:hAnsi="Verdana" w:cs="Verdana"/>
          <w:sz w:val="20"/>
          <w:szCs w:val="20"/>
        </w:rPr>
        <w:t>El Presidente toma nota de lo expresado por el señor</w:t>
      </w:r>
      <w:r w:rsidRPr="00503797">
        <w:rPr>
          <w:rFonts w:ascii="Verdana" w:hAnsi="Verdana" w:cs="Verdana"/>
          <w:sz w:val="20"/>
          <w:szCs w:val="20"/>
          <w:lang w:val="es-CR"/>
        </w:rPr>
        <w:t xml:space="preserve"> Rodríguez Gómez en sus observaciones, en el sentido de que </w:t>
      </w:r>
      <w:r w:rsidRPr="005D4FF2">
        <w:rPr>
          <w:rFonts w:ascii="Verdana" w:hAnsi="Verdana" w:cs="Verdana"/>
          <w:sz w:val="20"/>
          <w:szCs w:val="20"/>
          <w:lang w:val="es-CR"/>
        </w:rPr>
        <w:t xml:space="preserve">litigó el caso </w:t>
      </w:r>
      <w:proofErr w:type="spellStart"/>
      <w:r w:rsidRPr="005D4FF2">
        <w:rPr>
          <w:rFonts w:ascii="Verdana" w:hAnsi="Verdana" w:cs="Verdana"/>
          <w:i/>
          <w:sz w:val="20"/>
          <w:szCs w:val="20"/>
          <w:lang w:val="es-CR"/>
        </w:rPr>
        <w:t>Emildo</w:t>
      </w:r>
      <w:proofErr w:type="spellEnd"/>
      <w:r w:rsidRPr="005D4FF2">
        <w:rPr>
          <w:rFonts w:ascii="Verdana" w:hAnsi="Verdana" w:cs="Verdana"/>
          <w:i/>
          <w:sz w:val="20"/>
          <w:szCs w:val="20"/>
          <w:lang w:val="es-CR"/>
        </w:rPr>
        <w:t xml:space="preserve"> Bueno </w:t>
      </w:r>
      <w:proofErr w:type="spellStart"/>
      <w:r w:rsidRPr="005D4FF2">
        <w:rPr>
          <w:rFonts w:ascii="Verdana" w:hAnsi="Verdana" w:cs="Verdana"/>
          <w:i/>
          <w:sz w:val="20"/>
          <w:szCs w:val="20"/>
          <w:lang w:val="es-CR"/>
        </w:rPr>
        <w:t>Oguis</w:t>
      </w:r>
      <w:proofErr w:type="spellEnd"/>
      <w:r w:rsidRPr="005D4FF2">
        <w:rPr>
          <w:rFonts w:ascii="Verdana" w:hAnsi="Verdana" w:cs="Verdana"/>
          <w:i/>
          <w:sz w:val="20"/>
          <w:szCs w:val="20"/>
          <w:lang w:val="es-CR"/>
        </w:rPr>
        <w:t xml:space="preserve"> Vs. Junta Central Electoral </w:t>
      </w:r>
      <w:r w:rsidRPr="005D4FF2">
        <w:rPr>
          <w:rFonts w:ascii="Verdana" w:hAnsi="Verdana" w:cs="Verdana"/>
          <w:sz w:val="20"/>
          <w:szCs w:val="20"/>
          <w:lang w:val="es-CR"/>
        </w:rPr>
        <w:t>ante el Tribunal Superior Ad</w:t>
      </w:r>
      <w:r w:rsidRPr="00503797">
        <w:rPr>
          <w:rFonts w:ascii="Verdana" w:hAnsi="Verdana" w:cs="Verdana"/>
          <w:sz w:val="20"/>
          <w:szCs w:val="20"/>
          <w:lang w:val="es-CR"/>
        </w:rPr>
        <w:t>ministrativo y la Suprema Corte de Justicia</w:t>
      </w:r>
      <w:r>
        <w:rPr>
          <w:rFonts w:ascii="Verdana" w:hAnsi="Verdana" w:cs="Verdana"/>
          <w:sz w:val="20"/>
          <w:szCs w:val="20"/>
          <w:lang w:val="es-CR"/>
        </w:rPr>
        <w:t xml:space="preserve"> de República Dominicana,</w:t>
      </w:r>
      <w:r w:rsidRPr="00503797">
        <w:rPr>
          <w:rFonts w:ascii="Verdana" w:hAnsi="Verdana" w:cs="Verdana"/>
          <w:sz w:val="20"/>
          <w:szCs w:val="20"/>
          <w:lang w:val="es-CR"/>
        </w:rPr>
        <w:t xml:space="preserve"> pero que no participó de manera alguna a nivel interno o a nivel internacional en el caso </w:t>
      </w:r>
      <w:r w:rsidRPr="00721DD9">
        <w:rPr>
          <w:rFonts w:ascii="Verdana" w:hAnsi="Verdana" w:cs="Verdana"/>
          <w:i/>
          <w:sz w:val="20"/>
          <w:szCs w:val="20"/>
          <w:lang w:val="es-CR"/>
        </w:rPr>
        <w:t xml:space="preserve">Benito </w:t>
      </w:r>
      <w:proofErr w:type="spellStart"/>
      <w:r>
        <w:rPr>
          <w:rFonts w:ascii="Verdana" w:hAnsi="Verdana" w:cs="Verdana"/>
          <w:i/>
          <w:sz w:val="20"/>
          <w:szCs w:val="20"/>
          <w:lang w:val="es-CR"/>
        </w:rPr>
        <w:t>Tide</w:t>
      </w:r>
      <w:proofErr w:type="spellEnd"/>
      <w:r>
        <w:rPr>
          <w:rFonts w:ascii="Verdana" w:hAnsi="Verdana" w:cs="Verdana"/>
          <w:i/>
          <w:sz w:val="20"/>
          <w:szCs w:val="20"/>
          <w:lang w:val="es-CR"/>
        </w:rPr>
        <w:t xml:space="preserve"> Mé</w:t>
      </w:r>
      <w:r w:rsidRPr="00503797">
        <w:rPr>
          <w:rFonts w:ascii="Verdana" w:hAnsi="Verdana" w:cs="Verdana"/>
          <w:i/>
          <w:sz w:val="20"/>
          <w:szCs w:val="20"/>
          <w:lang w:val="es-CR"/>
        </w:rPr>
        <w:t xml:space="preserve">ndez y otros Vs. República </w:t>
      </w:r>
      <w:r>
        <w:rPr>
          <w:rFonts w:ascii="Verdana" w:hAnsi="Verdana" w:cs="Verdana"/>
          <w:i/>
          <w:sz w:val="20"/>
          <w:szCs w:val="20"/>
          <w:lang w:val="es-CR"/>
        </w:rPr>
        <w:t>Dominicana</w:t>
      </w:r>
      <w:r w:rsidRPr="00503797">
        <w:rPr>
          <w:rFonts w:ascii="Verdana" w:hAnsi="Verdana" w:cs="Verdana"/>
          <w:i/>
          <w:sz w:val="20"/>
          <w:szCs w:val="20"/>
          <w:lang w:val="es-CR"/>
        </w:rPr>
        <w:t>.</w:t>
      </w:r>
      <w:r>
        <w:rPr>
          <w:rFonts w:ascii="Verdana" w:hAnsi="Verdana" w:cs="Verdana"/>
          <w:i/>
          <w:sz w:val="20"/>
          <w:szCs w:val="20"/>
          <w:lang w:val="es-CR"/>
        </w:rPr>
        <w:t xml:space="preserve"> </w:t>
      </w:r>
      <w:r>
        <w:rPr>
          <w:rFonts w:ascii="Verdana" w:hAnsi="Verdana" w:cs="Verdana"/>
          <w:sz w:val="20"/>
          <w:szCs w:val="20"/>
          <w:lang w:val="es-CR"/>
        </w:rPr>
        <w:t xml:space="preserve">Por lo tanto, no se configura la causal prevista en el literal f) del artículo 48 del Reglamento. </w:t>
      </w:r>
    </w:p>
    <w:p w:rsidR="00332068" w:rsidRPr="00503797" w:rsidRDefault="00332068" w:rsidP="00332068">
      <w:pPr>
        <w:tabs>
          <w:tab w:val="left" w:pos="709"/>
        </w:tabs>
        <w:jc w:val="both"/>
        <w:rPr>
          <w:rFonts w:ascii="Verdana" w:hAnsi="Verdana" w:cs="Verdana"/>
          <w:sz w:val="20"/>
          <w:szCs w:val="20"/>
          <w:lang w:val="es-CR"/>
        </w:rPr>
      </w:pPr>
    </w:p>
    <w:p w:rsidR="00332068" w:rsidRDefault="00332068" w:rsidP="00332068">
      <w:pPr>
        <w:pStyle w:val="ListParagraph"/>
        <w:numPr>
          <w:ilvl w:val="0"/>
          <w:numId w:val="42"/>
        </w:numPr>
        <w:tabs>
          <w:tab w:val="left" w:pos="709"/>
        </w:tabs>
        <w:ind w:left="0" w:firstLine="0"/>
        <w:jc w:val="both"/>
        <w:rPr>
          <w:rFonts w:ascii="Verdana" w:hAnsi="Verdana" w:cs="Verdana"/>
          <w:sz w:val="20"/>
          <w:szCs w:val="20"/>
          <w:lang w:val="es-CR"/>
        </w:rPr>
      </w:pPr>
      <w:r w:rsidRPr="00503797">
        <w:rPr>
          <w:rFonts w:ascii="Verdana" w:hAnsi="Verdana" w:cs="Verdana"/>
          <w:sz w:val="20"/>
          <w:szCs w:val="20"/>
          <w:lang w:val="es-CR"/>
        </w:rPr>
        <w:t>Asimismo, el Presidente observa que el Estado argument</w:t>
      </w:r>
      <w:r>
        <w:rPr>
          <w:rFonts w:ascii="Verdana" w:hAnsi="Verdana" w:cs="Verdana"/>
          <w:sz w:val="20"/>
          <w:szCs w:val="20"/>
          <w:lang w:val="es-CR"/>
        </w:rPr>
        <w:t>ó</w:t>
      </w:r>
      <w:r w:rsidRPr="00503797">
        <w:rPr>
          <w:rFonts w:ascii="Verdana" w:hAnsi="Verdana" w:cs="Verdana"/>
          <w:sz w:val="20"/>
          <w:szCs w:val="20"/>
          <w:lang w:val="es-CR"/>
        </w:rPr>
        <w:t xml:space="preserve"> que el señor Rodríguez Gómez mantiene “vínculos </w:t>
      </w:r>
      <w:r>
        <w:rPr>
          <w:rFonts w:ascii="Verdana" w:hAnsi="Verdana" w:cs="Verdana"/>
          <w:sz w:val="20"/>
          <w:szCs w:val="20"/>
          <w:lang w:val="es-CR"/>
        </w:rPr>
        <w:t xml:space="preserve">[…] </w:t>
      </w:r>
      <w:r w:rsidRPr="00503797">
        <w:rPr>
          <w:rFonts w:ascii="Verdana" w:hAnsi="Verdana" w:cs="Verdana"/>
          <w:sz w:val="20"/>
          <w:szCs w:val="20"/>
          <w:lang w:val="es-CR"/>
        </w:rPr>
        <w:t xml:space="preserve">estrechos </w:t>
      </w:r>
      <w:r>
        <w:rPr>
          <w:rFonts w:ascii="Verdana" w:hAnsi="Verdana" w:cs="Verdana"/>
          <w:sz w:val="20"/>
          <w:szCs w:val="20"/>
          <w:lang w:val="es-CR"/>
        </w:rPr>
        <w:t>[</w:t>
      </w:r>
      <w:r w:rsidRPr="00503797">
        <w:rPr>
          <w:rFonts w:ascii="Verdana" w:hAnsi="Verdana" w:cs="Verdana"/>
          <w:sz w:val="20"/>
          <w:szCs w:val="20"/>
          <w:lang w:val="es-CR"/>
        </w:rPr>
        <w:t>o</w:t>
      </w:r>
      <w:r>
        <w:rPr>
          <w:rFonts w:ascii="Verdana" w:hAnsi="Verdana" w:cs="Verdana"/>
          <w:sz w:val="20"/>
          <w:szCs w:val="20"/>
          <w:lang w:val="es-CR"/>
        </w:rPr>
        <w:t>]</w:t>
      </w:r>
      <w:r w:rsidRPr="00503797">
        <w:rPr>
          <w:rFonts w:ascii="Verdana" w:hAnsi="Verdana" w:cs="Verdana"/>
          <w:sz w:val="20"/>
          <w:szCs w:val="20"/>
          <w:lang w:val="es-CR"/>
        </w:rPr>
        <w:t xml:space="preserve"> de subordinación funcional” con los re</w:t>
      </w:r>
      <w:r>
        <w:rPr>
          <w:rFonts w:ascii="Verdana" w:hAnsi="Verdana" w:cs="Verdana"/>
          <w:sz w:val="20"/>
          <w:szCs w:val="20"/>
          <w:lang w:val="es-CR"/>
        </w:rPr>
        <w:t>p</w:t>
      </w:r>
      <w:r w:rsidRPr="00503797">
        <w:rPr>
          <w:rFonts w:ascii="Verdana" w:hAnsi="Verdana" w:cs="Verdana"/>
          <w:sz w:val="20"/>
          <w:szCs w:val="20"/>
          <w:lang w:val="es-CR"/>
        </w:rPr>
        <w:t>resentantes de las presuntas víctimas</w:t>
      </w:r>
      <w:r>
        <w:rPr>
          <w:rFonts w:ascii="Verdana" w:hAnsi="Verdana" w:cs="Verdana"/>
          <w:sz w:val="20"/>
          <w:szCs w:val="20"/>
          <w:lang w:val="es-CR"/>
        </w:rPr>
        <w:t>,</w:t>
      </w:r>
      <w:r w:rsidRPr="00503797">
        <w:rPr>
          <w:rFonts w:ascii="Verdana" w:hAnsi="Verdana" w:cs="Verdana"/>
          <w:sz w:val="20"/>
          <w:szCs w:val="20"/>
          <w:lang w:val="es-CR"/>
        </w:rPr>
        <w:t xml:space="preserve"> al haber participado a nivel interno en uno de los casos que CEJIL</w:t>
      </w:r>
      <w:r>
        <w:rPr>
          <w:rFonts w:ascii="Verdana" w:hAnsi="Verdana" w:cs="Verdana"/>
          <w:sz w:val="20"/>
          <w:szCs w:val="20"/>
          <w:lang w:val="es-CR"/>
        </w:rPr>
        <w:t>,</w:t>
      </w:r>
      <w:r w:rsidRPr="00503797">
        <w:rPr>
          <w:rFonts w:ascii="Verdana" w:hAnsi="Verdana" w:cs="Verdana"/>
          <w:sz w:val="20"/>
          <w:szCs w:val="20"/>
          <w:lang w:val="es-CR"/>
        </w:rPr>
        <w:t xml:space="preserve"> junto con</w:t>
      </w:r>
      <w:r>
        <w:rPr>
          <w:rFonts w:ascii="Verdana" w:hAnsi="Verdana" w:cs="Verdana"/>
          <w:sz w:val="20"/>
          <w:szCs w:val="20"/>
          <w:lang w:val="es-CR"/>
        </w:rPr>
        <w:t xml:space="preserve"> </w:t>
      </w:r>
      <w:r w:rsidRPr="00503797">
        <w:rPr>
          <w:rFonts w:ascii="Verdana" w:hAnsi="Verdana" w:cs="Verdana"/>
          <w:sz w:val="20"/>
          <w:szCs w:val="20"/>
          <w:lang w:val="es-CR"/>
        </w:rPr>
        <w:t>otras cuatro organizaciones, litiga a</w:t>
      </w:r>
      <w:r>
        <w:rPr>
          <w:rFonts w:ascii="Verdana" w:hAnsi="Verdana" w:cs="Verdana"/>
          <w:sz w:val="20"/>
          <w:szCs w:val="20"/>
          <w:lang w:val="es-CR"/>
        </w:rPr>
        <w:t>l</w:t>
      </w:r>
      <w:r w:rsidRPr="00503797">
        <w:rPr>
          <w:rFonts w:ascii="Verdana" w:hAnsi="Verdana" w:cs="Verdana"/>
          <w:sz w:val="20"/>
          <w:szCs w:val="20"/>
          <w:lang w:val="es-CR"/>
        </w:rPr>
        <w:t xml:space="preserve"> día de hoy ante l</w:t>
      </w:r>
      <w:r>
        <w:rPr>
          <w:rFonts w:ascii="Verdana" w:hAnsi="Verdana" w:cs="Verdana"/>
          <w:sz w:val="20"/>
          <w:szCs w:val="20"/>
          <w:lang w:val="es-CR"/>
        </w:rPr>
        <w:t>a Comisión Interamericana</w:t>
      </w:r>
      <w:r w:rsidRPr="00503797">
        <w:rPr>
          <w:rFonts w:ascii="Verdana" w:hAnsi="Verdana" w:cs="Verdana"/>
          <w:sz w:val="20"/>
          <w:szCs w:val="20"/>
          <w:lang w:val="es-CR"/>
        </w:rPr>
        <w:t>. El Presidente recuerda que el artículo 48.1.c del Reglamento requi</w:t>
      </w:r>
      <w:r>
        <w:rPr>
          <w:rFonts w:ascii="Verdana" w:hAnsi="Verdana" w:cs="Verdana"/>
          <w:sz w:val="20"/>
          <w:szCs w:val="20"/>
          <w:lang w:val="es-CR"/>
        </w:rPr>
        <w:t>e</w:t>
      </w:r>
      <w:r w:rsidRPr="00503797">
        <w:rPr>
          <w:rFonts w:ascii="Verdana" w:hAnsi="Verdana" w:cs="Verdana"/>
          <w:sz w:val="20"/>
          <w:szCs w:val="20"/>
          <w:lang w:val="es-CR"/>
        </w:rPr>
        <w:t>re dos supuestos: 1</w:t>
      </w:r>
      <w:r>
        <w:rPr>
          <w:rFonts w:ascii="Verdana" w:hAnsi="Verdana" w:cs="Verdana"/>
          <w:sz w:val="20"/>
          <w:szCs w:val="20"/>
          <w:lang w:val="es-CR"/>
        </w:rPr>
        <w:t>)</w:t>
      </w:r>
      <w:r w:rsidRPr="00503797">
        <w:rPr>
          <w:rFonts w:ascii="Verdana" w:hAnsi="Verdana" w:cs="Verdana"/>
          <w:sz w:val="20"/>
          <w:szCs w:val="20"/>
          <w:lang w:val="es-CR"/>
        </w:rPr>
        <w:t xml:space="preserve"> un vínculo determinado del perito con la parte proponente y 2</w:t>
      </w:r>
      <w:r>
        <w:rPr>
          <w:rFonts w:ascii="Verdana" w:hAnsi="Verdana" w:cs="Verdana"/>
          <w:sz w:val="20"/>
          <w:szCs w:val="20"/>
          <w:lang w:val="es-CR"/>
        </w:rPr>
        <w:t>)</w:t>
      </w:r>
      <w:r w:rsidRPr="00503797">
        <w:rPr>
          <w:rFonts w:ascii="Verdana" w:hAnsi="Verdana" w:cs="Verdana"/>
          <w:sz w:val="20"/>
          <w:szCs w:val="20"/>
          <w:lang w:val="es-CR"/>
        </w:rPr>
        <w:t xml:space="preserve"> que esa relación</w:t>
      </w:r>
      <w:r>
        <w:rPr>
          <w:rFonts w:ascii="Verdana" w:hAnsi="Verdana" w:cs="Verdana"/>
          <w:sz w:val="20"/>
          <w:szCs w:val="20"/>
          <w:lang w:val="es-CR"/>
        </w:rPr>
        <w:t>,</w:t>
      </w:r>
      <w:r w:rsidRPr="00503797">
        <w:rPr>
          <w:rFonts w:ascii="Verdana" w:hAnsi="Verdana" w:cs="Verdana"/>
          <w:sz w:val="20"/>
          <w:szCs w:val="20"/>
          <w:lang w:val="es-CR"/>
        </w:rPr>
        <w:t xml:space="preserve"> a criterio del Tribunal, afecte su imparcialidad. El Presidente nota que el Estado</w:t>
      </w:r>
      <w:r>
        <w:rPr>
          <w:rFonts w:ascii="Verdana" w:hAnsi="Verdana" w:cs="Verdana"/>
          <w:sz w:val="20"/>
          <w:szCs w:val="20"/>
          <w:lang w:val="es-CR"/>
        </w:rPr>
        <w:t xml:space="preserve"> </w:t>
      </w:r>
      <w:r w:rsidRPr="00503797">
        <w:rPr>
          <w:rFonts w:ascii="Verdana" w:hAnsi="Verdana" w:cs="Verdana"/>
          <w:sz w:val="20"/>
          <w:szCs w:val="20"/>
          <w:lang w:val="es-CR"/>
        </w:rPr>
        <w:t xml:space="preserve">no ha especificado cómo la participación del  señor Cristóbal Rodríguez Gómez en el caso </w:t>
      </w:r>
      <w:r w:rsidRPr="00503797">
        <w:rPr>
          <w:rFonts w:ascii="Verdana" w:hAnsi="Verdana" w:cs="Verdana"/>
          <w:i/>
          <w:sz w:val="20"/>
          <w:szCs w:val="20"/>
          <w:lang w:val="es-CR"/>
        </w:rPr>
        <w:t xml:space="preserve">Bueno </w:t>
      </w:r>
      <w:proofErr w:type="spellStart"/>
      <w:r w:rsidRPr="00503797">
        <w:rPr>
          <w:rFonts w:ascii="Verdana" w:hAnsi="Verdana" w:cs="Verdana"/>
          <w:i/>
          <w:sz w:val="20"/>
          <w:szCs w:val="20"/>
          <w:lang w:val="es-CR"/>
        </w:rPr>
        <w:t>Oguis</w:t>
      </w:r>
      <w:proofErr w:type="spellEnd"/>
      <w:r w:rsidRPr="00503797">
        <w:rPr>
          <w:rFonts w:ascii="Verdana" w:hAnsi="Verdana" w:cs="Verdana"/>
          <w:i/>
          <w:sz w:val="20"/>
          <w:szCs w:val="20"/>
          <w:lang w:val="es-CR"/>
        </w:rPr>
        <w:t xml:space="preserve"> Vs. República Dominicana </w:t>
      </w:r>
      <w:r w:rsidRPr="00503797">
        <w:rPr>
          <w:rFonts w:ascii="Verdana" w:hAnsi="Verdana" w:cs="Verdana"/>
          <w:sz w:val="20"/>
          <w:szCs w:val="20"/>
          <w:lang w:val="es-CR"/>
        </w:rPr>
        <w:t>co</w:t>
      </w:r>
      <w:r>
        <w:rPr>
          <w:rFonts w:ascii="Verdana" w:hAnsi="Verdana" w:cs="Verdana"/>
          <w:sz w:val="20"/>
          <w:szCs w:val="20"/>
          <w:lang w:val="es-CR"/>
        </w:rPr>
        <w:t>nlleva un vínculo con la parte proponente que afecte su imparcialidad</w:t>
      </w:r>
      <w:r w:rsidRPr="00503797">
        <w:rPr>
          <w:rFonts w:ascii="Verdana" w:hAnsi="Verdana" w:cs="Verdana"/>
          <w:sz w:val="20"/>
          <w:szCs w:val="20"/>
          <w:lang w:val="es-CR"/>
        </w:rPr>
        <w:t xml:space="preserve">. </w:t>
      </w:r>
      <w:r>
        <w:rPr>
          <w:rFonts w:ascii="Verdana" w:hAnsi="Verdana" w:cs="Verdana"/>
          <w:sz w:val="20"/>
          <w:szCs w:val="20"/>
          <w:lang w:val="es-CR"/>
        </w:rPr>
        <w:t xml:space="preserve">En tal sentido, el vínculo de CEJIL con el señor Cristóbal Rodríguez Gómez se presenta en un litigio distinto al presente, y ello no genera, por si mismo, una afectación a su imparcialidad en relación con el </w:t>
      </w:r>
      <w:r w:rsidRPr="00721DD9">
        <w:rPr>
          <w:rFonts w:ascii="Verdana" w:hAnsi="Verdana" w:cs="Verdana"/>
          <w:sz w:val="20"/>
          <w:szCs w:val="20"/>
          <w:lang w:val="es-CR"/>
        </w:rPr>
        <w:t>caso</w:t>
      </w:r>
      <w:r>
        <w:rPr>
          <w:rFonts w:ascii="Verdana" w:hAnsi="Verdana" w:cs="Verdana"/>
          <w:i/>
          <w:sz w:val="20"/>
          <w:szCs w:val="20"/>
          <w:lang w:val="es-CR"/>
        </w:rPr>
        <w:t xml:space="preserve"> sub judice.</w:t>
      </w:r>
      <w:r>
        <w:rPr>
          <w:rFonts w:ascii="Verdana" w:hAnsi="Verdana" w:cs="Verdana"/>
          <w:sz w:val="20"/>
          <w:szCs w:val="20"/>
          <w:lang w:val="es-CR"/>
        </w:rPr>
        <w:t xml:space="preserve"> Además, e</w:t>
      </w:r>
      <w:r w:rsidRPr="00503797">
        <w:rPr>
          <w:rFonts w:ascii="Verdana" w:hAnsi="Verdana" w:cs="Verdana"/>
          <w:sz w:val="20"/>
          <w:szCs w:val="20"/>
          <w:lang w:val="es-CR"/>
        </w:rPr>
        <w:t xml:space="preserve">l señor Rodríguez Gómez ha explicado que no se encuentra en una posición de subordinación con CEJIL, </w:t>
      </w:r>
      <w:r>
        <w:rPr>
          <w:rFonts w:ascii="Verdana" w:hAnsi="Verdana" w:cs="Verdana"/>
          <w:sz w:val="20"/>
          <w:szCs w:val="20"/>
          <w:lang w:val="es-CR"/>
        </w:rPr>
        <w:t xml:space="preserve">que </w:t>
      </w:r>
      <w:r w:rsidRPr="00503797">
        <w:rPr>
          <w:rFonts w:ascii="Verdana" w:hAnsi="Verdana" w:cs="Verdana"/>
          <w:sz w:val="20"/>
          <w:szCs w:val="20"/>
          <w:lang w:val="es-CR"/>
        </w:rPr>
        <w:t>no ha sido remune</w:t>
      </w:r>
      <w:r>
        <w:rPr>
          <w:rFonts w:ascii="Verdana" w:hAnsi="Verdana" w:cs="Verdana"/>
          <w:sz w:val="20"/>
          <w:szCs w:val="20"/>
          <w:lang w:val="es-CR"/>
        </w:rPr>
        <w:t>r</w:t>
      </w:r>
      <w:r w:rsidRPr="00503797">
        <w:rPr>
          <w:rFonts w:ascii="Verdana" w:hAnsi="Verdana" w:cs="Verdana"/>
          <w:sz w:val="20"/>
          <w:szCs w:val="20"/>
          <w:lang w:val="es-CR"/>
        </w:rPr>
        <w:t xml:space="preserve">ado por dicha institución y </w:t>
      </w:r>
      <w:r>
        <w:rPr>
          <w:rFonts w:ascii="Verdana" w:hAnsi="Verdana" w:cs="Verdana"/>
          <w:sz w:val="20"/>
          <w:szCs w:val="20"/>
          <w:lang w:val="es-CR"/>
        </w:rPr>
        <w:t xml:space="preserve">que </w:t>
      </w:r>
      <w:r w:rsidRPr="00503797">
        <w:rPr>
          <w:rFonts w:ascii="Verdana" w:hAnsi="Verdana" w:cs="Verdana"/>
          <w:sz w:val="20"/>
          <w:szCs w:val="20"/>
          <w:lang w:val="es-CR"/>
        </w:rPr>
        <w:t xml:space="preserve">no ha recibido instrucciones de </w:t>
      </w:r>
      <w:r>
        <w:rPr>
          <w:rFonts w:ascii="Verdana" w:hAnsi="Verdana" w:cs="Verdana"/>
          <w:sz w:val="20"/>
          <w:szCs w:val="20"/>
          <w:lang w:val="es-CR"/>
        </w:rPr>
        <w:t>la misma</w:t>
      </w:r>
      <w:r w:rsidRPr="00503797">
        <w:rPr>
          <w:rFonts w:ascii="Verdana" w:hAnsi="Verdana" w:cs="Verdana"/>
          <w:sz w:val="20"/>
          <w:szCs w:val="20"/>
          <w:lang w:val="es-CR"/>
        </w:rPr>
        <w:t xml:space="preserve"> en su </w:t>
      </w:r>
      <w:r>
        <w:rPr>
          <w:rFonts w:ascii="Verdana" w:hAnsi="Verdana" w:cs="Verdana"/>
          <w:sz w:val="20"/>
          <w:szCs w:val="20"/>
          <w:lang w:val="es-CR"/>
        </w:rPr>
        <w:t>desempeño como</w:t>
      </w:r>
      <w:r w:rsidRPr="00503797">
        <w:rPr>
          <w:rFonts w:ascii="Verdana" w:hAnsi="Verdana" w:cs="Verdana"/>
          <w:sz w:val="20"/>
          <w:szCs w:val="20"/>
          <w:lang w:val="es-CR"/>
        </w:rPr>
        <w:t xml:space="preserve"> litigante</w:t>
      </w:r>
      <w:r w:rsidRPr="00184162">
        <w:rPr>
          <w:rFonts w:ascii="Verdana" w:hAnsi="Verdana" w:cs="Verdana"/>
          <w:sz w:val="20"/>
          <w:szCs w:val="20"/>
          <w:lang w:val="es-CR"/>
        </w:rPr>
        <w:t>.</w:t>
      </w:r>
      <w:r w:rsidRPr="004D7271">
        <w:rPr>
          <w:rFonts w:ascii="Verdana" w:hAnsi="Verdana" w:cs="Verdana"/>
          <w:b/>
          <w:sz w:val="20"/>
          <w:szCs w:val="20"/>
          <w:lang w:val="es-CR"/>
        </w:rPr>
        <w:t xml:space="preserve">  </w:t>
      </w:r>
      <w:r w:rsidRPr="00443ADE">
        <w:rPr>
          <w:rFonts w:ascii="Verdana" w:hAnsi="Verdana" w:cs="Verdana"/>
          <w:sz w:val="20"/>
          <w:szCs w:val="20"/>
          <w:lang w:val="es-CR"/>
        </w:rPr>
        <w:t>Esta Presidencia advierte que el hecho de que el señor Rodríguez Gómez haya rendido declaraciones</w:t>
      </w:r>
      <w:r w:rsidRPr="00503797">
        <w:rPr>
          <w:rFonts w:ascii="Verdana" w:hAnsi="Verdana" w:cs="Verdana"/>
          <w:sz w:val="20"/>
          <w:szCs w:val="20"/>
          <w:lang w:val="es-CR"/>
        </w:rPr>
        <w:t xml:space="preserve"> públicas sobre el objeto de su peritaje en casos </w:t>
      </w:r>
      <w:r>
        <w:rPr>
          <w:rFonts w:ascii="Verdana" w:hAnsi="Verdana" w:cs="Verdana"/>
          <w:sz w:val="20"/>
          <w:szCs w:val="20"/>
          <w:lang w:val="es-CR"/>
        </w:rPr>
        <w:t xml:space="preserve">supuestamente </w:t>
      </w:r>
      <w:r w:rsidRPr="00503797">
        <w:rPr>
          <w:rFonts w:ascii="Verdana" w:hAnsi="Verdana" w:cs="Verdana"/>
          <w:sz w:val="20"/>
          <w:szCs w:val="20"/>
          <w:lang w:val="es-CR"/>
        </w:rPr>
        <w:t xml:space="preserve">similares no afecta </w:t>
      </w:r>
      <w:r>
        <w:rPr>
          <w:rFonts w:ascii="Verdana" w:hAnsi="Verdana" w:cs="Verdana"/>
          <w:i/>
          <w:sz w:val="20"/>
          <w:szCs w:val="20"/>
          <w:lang w:val="es-CR"/>
        </w:rPr>
        <w:t>per se</w:t>
      </w:r>
      <w:r w:rsidRPr="00503797">
        <w:rPr>
          <w:rFonts w:ascii="Verdana" w:hAnsi="Verdana" w:cs="Verdana"/>
          <w:sz w:val="20"/>
          <w:szCs w:val="20"/>
          <w:lang w:val="es-CR"/>
        </w:rPr>
        <w:t xml:space="preserve"> su imparcialidad para rendir declaración pericial en el presente caso</w:t>
      </w:r>
      <w:r>
        <w:rPr>
          <w:rFonts w:ascii="Verdana" w:hAnsi="Verdana" w:cs="Verdana"/>
          <w:sz w:val="20"/>
          <w:szCs w:val="20"/>
          <w:lang w:val="es-CR"/>
        </w:rPr>
        <w:t xml:space="preserve"> y el</w:t>
      </w:r>
      <w:r w:rsidRPr="00503797">
        <w:rPr>
          <w:rFonts w:ascii="Verdana" w:hAnsi="Verdana" w:cs="Verdana"/>
          <w:sz w:val="20"/>
          <w:szCs w:val="20"/>
          <w:lang w:val="es-CR"/>
        </w:rPr>
        <w:t xml:space="preserve"> “</w:t>
      </w:r>
      <w:proofErr w:type="gramStart"/>
      <w:r w:rsidRPr="00503797">
        <w:rPr>
          <w:rFonts w:ascii="Verdana" w:hAnsi="Verdana" w:cs="Verdana"/>
          <w:sz w:val="20"/>
          <w:szCs w:val="20"/>
          <w:lang w:val="es-CR"/>
        </w:rPr>
        <w:t>ha[</w:t>
      </w:r>
      <w:proofErr w:type="spellStart"/>
      <w:proofErr w:type="gramEnd"/>
      <w:r w:rsidRPr="00503797">
        <w:rPr>
          <w:rFonts w:ascii="Verdana" w:hAnsi="Verdana" w:cs="Verdana"/>
          <w:sz w:val="20"/>
          <w:szCs w:val="20"/>
          <w:lang w:val="es-CR"/>
        </w:rPr>
        <w:t>ber</w:t>
      </w:r>
      <w:proofErr w:type="spellEnd"/>
      <w:r w:rsidRPr="00503797">
        <w:rPr>
          <w:rFonts w:ascii="Verdana" w:hAnsi="Verdana" w:cs="Verdana"/>
          <w:sz w:val="20"/>
          <w:szCs w:val="20"/>
          <w:lang w:val="es-CR"/>
        </w:rPr>
        <w:t xml:space="preserve">] asumido posición pública [sobre el objeto del peritaje] en casos similares al de la especie” no se </w:t>
      </w:r>
      <w:r w:rsidRPr="00503797">
        <w:rPr>
          <w:rFonts w:ascii="Verdana" w:hAnsi="Verdana" w:cs="Verdana"/>
          <w:sz w:val="20"/>
          <w:szCs w:val="20"/>
          <w:lang w:val="es-CR"/>
        </w:rPr>
        <w:lastRenderedPageBreak/>
        <w:t xml:space="preserve">relaciona con ninguna </w:t>
      </w:r>
      <w:proofErr w:type="spellStart"/>
      <w:r w:rsidRPr="00503797">
        <w:rPr>
          <w:rFonts w:ascii="Verdana" w:hAnsi="Verdana" w:cs="Verdana"/>
          <w:sz w:val="20"/>
          <w:szCs w:val="20"/>
          <w:lang w:val="es-CR"/>
        </w:rPr>
        <w:t>causal</w:t>
      </w:r>
      <w:proofErr w:type="spellEnd"/>
      <w:r w:rsidRPr="00503797">
        <w:rPr>
          <w:rFonts w:ascii="Verdana" w:hAnsi="Verdana" w:cs="Verdana"/>
          <w:sz w:val="20"/>
          <w:szCs w:val="20"/>
          <w:lang w:val="es-CR"/>
        </w:rPr>
        <w:t xml:space="preserve"> de recusación contemplada en el Reglamento</w:t>
      </w:r>
      <w:r w:rsidRPr="00B83426">
        <w:rPr>
          <w:rStyle w:val="FootnoteReference"/>
          <w:rFonts w:ascii="Verdana" w:hAnsi="Verdana" w:cs="Verdana"/>
          <w:sz w:val="20"/>
          <w:szCs w:val="20"/>
          <w:lang w:val="es-CR"/>
        </w:rPr>
        <w:footnoteReference w:id="16"/>
      </w:r>
      <w:r w:rsidRPr="00503797">
        <w:rPr>
          <w:rFonts w:ascii="Verdana" w:hAnsi="Verdana" w:cs="Verdana"/>
          <w:sz w:val="20"/>
          <w:szCs w:val="20"/>
          <w:lang w:val="es-CR"/>
        </w:rPr>
        <w:t xml:space="preserve">. Asimismo, es pertinente recordar que </w:t>
      </w:r>
      <w:r>
        <w:rPr>
          <w:rFonts w:ascii="Verdana" w:hAnsi="Verdana" w:cs="Verdana"/>
          <w:sz w:val="20"/>
          <w:szCs w:val="20"/>
          <w:lang w:val="es-CR"/>
        </w:rPr>
        <w:t xml:space="preserve">esta Presidencia </w:t>
      </w:r>
      <w:r w:rsidRPr="00503797">
        <w:rPr>
          <w:rFonts w:ascii="Verdana" w:hAnsi="Verdana" w:cs="Verdana"/>
          <w:sz w:val="20"/>
          <w:szCs w:val="20"/>
          <w:lang w:val="es-CR"/>
        </w:rPr>
        <w:t xml:space="preserve">ha establecido que aún cuando la declaración de un perito contuviera elementos que apoyan los argumentos de una de las partes, ello </w:t>
      </w:r>
      <w:r w:rsidRPr="00503797">
        <w:rPr>
          <w:rFonts w:ascii="Verdana" w:hAnsi="Verdana" w:cs="Verdana"/>
          <w:i/>
          <w:iCs/>
          <w:sz w:val="20"/>
          <w:szCs w:val="20"/>
          <w:lang w:val="es-CR"/>
        </w:rPr>
        <w:t>per se</w:t>
      </w:r>
      <w:r w:rsidRPr="00503797">
        <w:rPr>
          <w:rFonts w:ascii="Verdana" w:hAnsi="Verdana" w:cs="Verdana"/>
          <w:sz w:val="20"/>
          <w:szCs w:val="20"/>
          <w:lang w:val="es-CR"/>
        </w:rPr>
        <w:t xml:space="preserve"> no descalifica al perito</w:t>
      </w:r>
      <w:r>
        <w:rPr>
          <w:rStyle w:val="FootnoteReference"/>
          <w:rFonts w:ascii="Verdana" w:hAnsi="Verdana" w:cs="Verdana"/>
          <w:sz w:val="20"/>
          <w:szCs w:val="20"/>
          <w:lang w:val="es-CR"/>
        </w:rPr>
        <w:footnoteReference w:id="17"/>
      </w:r>
      <w:r w:rsidRPr="00503797">
        <w:rPr>
          <w:rFonts w:ascii="Verdana" w:hAnsi="Verdana" w:cs="Verdana"/>
          <w:sz w:val="20"/>
          <w:szCs w:val="20"/>
          <w:lang w:val="es-CR"/>
        </w:rPr>
        <w:t xml:space="preserve">. </w:t>
      </w:r>
    </w:p>
    <w:p w:rsidR="00332068" w:rsidRDefault="00332068" w:rsidP="00332068">
      <w:pPr>
        <w:pStyle w:val="ListParagraph"/>
        <w:tabs>
          <w:tab w:val="left" w:pos="709"/>
        </w:tabs>
        <w:ind w:left="0"/>
        <w:jc w:val="both"/>
        <w:rPr>
          <w:rFonts w:ascii="Verdana" w:hAnsi="Verdana" w:cs="Verdana"/>
          <w:sz w:val="20"/>
          <w:szCs w:val="20"/>
          <w:lang w:val="es-CR"/>
        </w:rPr>
      </w:pPr>
    </w:p>
    <w:p w:rsidR="00332068" w:rsidRPr="00804CD2" w:rsidRDefault="00332068" w:rsidP="00332068">
      <w:pPr>
        <w:pStyle w:val="ListParagraph"/>
        <w:numPr>
          <w:ilvl w:val="0"/>
          <w:numId w:val="42"/>
        </w:numPr>
        <w:tabs>
          <w:tab w:val="left" w:pos="709"/>
        </w:tabs>
        <w:ind w:left="0" w:firstLine="0"/>
        <w:jc w:val="both"/>
        <w:rPr>
          <w:rFonts w:ascii="Verdana" w:hAnsi="Verdana" w:cs="Verdana"/>
          <w:sz w:val="20"/>
          <w:szCs w:val="20"/>
          <w:lang w:val="es-CR"/>
        </w:rPr>
      </w:pPr>
      <w:r w:rsidRPr="00503797">
        <w:rPr>
          <w:rFonts w:ascii="Verdana" w:hAnsi="Verdana" w:cs="Verdana"/>
          <w:sz w:val="20"/>
          <w:szCs w:val="20"/>
          <w:lang w:val="es-CR"/>
        </w:rPr>
        <w:t xml:space="preserve">Con base en las anteriores consideraciones, la Presidencia </w:t>
      </w:r>
      <w:r>
        <w:rPr>
          <w:rFonts w:ascii="Verdana" w:hAnsi="Verdana" w:cs="Verdana"/>
          <w:sz w:val="20"/>
          <w:szCs w:val="20"/>
          <w:lang w:val="es-CR"/>
        </w:rPr>
        <w:t>rechaza</w:t>
      </w:r>
      <w:r w:rsidRPr="00503797">
        <w:rPr>
          <w:rFonts w:ascii="Verdana" w:hAnsi="Verdana" w:cs="Verdana"/>
          <w:sz w:val="20"/>
          <w:szCs w:val="20"/>
          <w:lang w:val="es-CR"/>
        </w:rPr>
        <w:t xml:space="preserve"> la recusaci</w:t>
      </w:r>
      <w:r>
        <w:rPr>
          <w:rFonts w:ascii="Verdana" w:hAnsi="Verdana" w:cs="Verdana"/>
          <w:sz w:val="20"/>
          <w:szCs w:val="20"/>
          <w:lang w:val="es-CR"/>
        </w:rPr>
        <w:t>ó</w:t>
      </w:r>
      <w:r w:rsidRPr="00503797">
        <w:rPr>
          <w:rFonts w:ascii="Verdana" w:hAnsi="Verdana" w:cs="Verdana"/>
          <w:sz w:val="20"/>
          <w:szCs w:val="20"/>
          <w:lang w:val="es-CR"/>
        </w:rPr>
        <w:t>n interpuesta por República Dominicana contra el señor Cristóbal Rodríguez Gómez, propuesto como perito por los representantes</w:t>
      </w:r>
      <w:r>
        <w:rPr>
          <w:rFonts w:ascii="Verdana" w:hAnsi="Verdana" w:cs="Verdana"/>
          <w:sz w:val="20"/>
          <w:szCs w:val="20"/>
          <w:lang w:val="es-CR"/>
        </w:rPr>
        <w:t>, y estima procedente admitir su peritaje</w:t>
      </w:r>
      <w:r w:rsidRPr="00503797">
        <w:rPr>
          <w:rFonts w:ascii="Verdana" w:hAnsi="Verdana" w:cs="Verdana"/>
          <w:sz w:val="20"/>
          <w:szCs w:val="20"/>
          <w:lang w:val="es-CR"/>
        </w:rPr>
        <w:t>.</w:t>
      </w:r>
      <w:r>
        <w:rPr>
          <w:rFonts w:ascii="Verdana" w:hAnsi="Verdana" w:cs="Verdana"/>
          <w:sz w:val="20"/>
          <w:szCs w:val="20"/>
          <w:lang w:val="es-CR"/>
        </w:rPr>
        <w:t xml:space="preserve"> </w:t>
      </w:r>
    </w:p>
    <w:p w:rsidR="00332068" w:rsidRPr="00671F92" w:rsidRDefault="00332068" w:rsidP="00332068">
      <w:pPr>
        <w:jc w:val="both"/>
        <w:rPr>
          <w:rFonts w:ascii="Verdana" w:hAnsi="Verdana" w:cs="Verdana"/>
          <w:sz w:val="20"/>
          <w:szCs w:val="20"/>
        </w:rPr>
      </w:pPr>
    </w:p>
    <w:p w:rsidR="00332068" w:rsidRPr="002F7A99" w:rsidRDefault="00332068" w:rsidP="00332068">
      <w:pPr>
        <w:pStyle w:val="ListParagraph"/>
        <w:ind w:left="1418"/>
        <w:jc w:val="both"/>
        <w:rPr>
          <w:rFonts w:ascii="Verdana" w:hAnsi="Verdana" w:cs="Verdana"/>
          <w:b/>
          <w:bCs/>
          <w:sz w:val="20"/>
          <w:szCs w:val="20"/>
        </w:rPr>
      </w:pPr>
      <w:r>
        <w:rPr>
          <w:rFonts w:ascii="Verdana" w:hAnsi="Verdana" w:cs="Verdana"/>
          <w:b/>
          <w:bCs/>
          <w:i/>
          <w:sz w:val="20"/>
          <w:szCs w:val="20"/>
        </w:rPr>
        <w:t>A.2.2) Carlos Quesada</w:t>
      </w:r>
    </w:p>
    <w:p w:rsidR="00332068" w:rsidRPr="002F7A99" w:rsidRDefault="00332068" w:rsidP="00332068">
      <w:pPr>
        <w:pStyle w:val="ListParagraph"/>
        <w:jc w:val="both"/>
        <w:rPr>
          <w:rFonts w:ascii="Verdana" w:hAnsi="Verdana" w:cs="Verdana"/>
          <w:b/>
          <w:bCs/>
          <w:sz w:val="20"/>
          <w:szCs w:val="20"/>
        </w:rPr>
      </w:pPr>
    </w:p>
    <w:p w:rsidR="00332068" w:rsidRDefault="00332068" w:rsidP="00332068">
      <w:pPr>
        <w:pStyle w:val="ListParagraph"/>
        <w:numPr>
          <w:ilvl w:val="0"/>
          <w:numId w:val="42"/>
        </w:numPr>
        <w:ind w:left="0" w:hanging="11"/>
        <w:jc w:val="both"/>
        <w:rPr>
          <w:rFonts w:ascii="Verdana" w:hAnsi="Verdana" w:cs="Verdana"/>
          <w:sz w:val="20"/>
          <w:szCs w:val="20"/>
          <w:lang w:val="es-CR"/>
        </w:rPr>
      </w:pPr>
      <w:r w:rsidRPr="0042304C">
        <w:rPr>
          <w:rFonts w:ascii="Verdana" w:hAnsi="Verdana" w:cs="Verdana"/>
          <w:sz w:val="20"/>
          <w:szCs w:val="20"/>
          <w:lang w:val="es-CR"/>
        </w:rPr>
        <w:t xml:space="preserve">El señor </w:t>
      </w:r>
      <w:r>
        <w:rPr>
          <w:rFonts w:ascii="Verdana" w:hAnsi="Verdana" w:cs="Verdana"/>
          <w:sz w:val="20"/>
          <w:szCs w:val="20"/>
          <w:lang w:val="es-CR"/>
        </w:rPr>
        <w:t xml:space="preserve">Carlos </w:t>
      </w:r>
      <w:r w:rsidRPr="0042304C">
        <w:rPr>
          <w:rFonts w:ascii="Verdana" w:hAnsi="Verdana" w:cs="Verdana"/>
          <w:sz w:val="20"/>
          <w:szCs w:val="20"/>
          <w:lang w:val="es-CR"/>
        </w:rPr>
        <w:t xml:space="preserve">Quesada ha sido propuesto como perito por la Comisión así como por los representantes. La Comisión </w:t>
      </w:r>
      <w:r>
        <w:rPr>
          <w:rFonts w:ascii="Verdana" w:hAnsi="Verdana" w:cs="Verdana"/>
          <w:sz w:val="20"/>
          <w:szCs w:val="20"/>
          <w:lang w:val="es-CR"/>
        </w:rPr>
        <w:t>propuso que el</w:t>
      </w:r>
      <w:r w:rsidRPr="0042304C">
        <w:rPr>
          <w:rFonts w:ascii="Verdana" w:hAnsi="Verdana" w:cs="Verdana"/>
          <w:sz w:val="20"/>
          <w:szCs w:val="20"/>
          <w:lang w:val="es-CR"/>
        </w:rPr>
        <w:t xml:space="preserve"> peritaje</w:t>
      </w:r>
      <w:r>
        <w:rPr>
          <w:rFonts w:ascii="Verdana" w:hAnsi="Verdana" w:cs="Verdana"/>
          <w:sz w:val="20"/>
          <w:szCs w:val="20"/>
          <w:lang w:val="es-CR"/>
        </w:rPr>
        <w:t xml:space="preserve"> se referirá</w:t>
      </w:r>
      <w:r w:rsidRPr="0042304C">
        <w:rPr>
          <w:rFonts w:ascii="Verdana" w:hAnsi="Verdana" w:cs="Verdana"/>
          <w:sz w:val="20"/>
          <w:szCs w:val="20"/>
          <w:lang w:val="es-CR"/>
        </w:rPr>
        <w:t xml:space="preserve"> “a la discriminación racial, estructural e institucional respecto de un grupo determinado en el territorio de un Estado y en la respuesta de las autoridades estatales y judiciales frente a situaciones como las del presente caso”. Los representantes</w:t>
      </w:r>
      <w:r>
        <w:rPr>
          <w:rFonts w:ascii="Verdana" w:hAnsi="Verdana" w:cs="Verdana"/>
          <w:sz w:val="20"/>
          <w:szCs w:val="20"/>
          <w:lang w:val="es-CR"/>
        </w:rPr>
        <w:t xml:space="preserve"> indicaron que el</w:t>
      </w:r>
      <w:r w:rsidRPr="0042304C">
        <w:rPr>
          <w:rFonts w:ascii="Verdana" w:hAnsi="Verdana" w:cs="Verdana"/>
          <w:sz w:val="20"/>
          <w:szCs w:val="20"/>
          <w:lang w:val="es-CR"/>
        </w:rPr>
        <w:t xml:space="preserve"> señor Quesada “</w:t>
      </w:r>
      <w:proofErr w:type="gramStart"/>
      <w:r w:rsidRPr="0042304C">
        <w:rPr>
          <w:rFonts w:ascii="Verdana" w:hAnsi="Verdana" w:cs="Verdana"/>
          <w:sz w:val="20"/>
          <w:szCs w:val="20"/>
          <w:lang w:val="es-CR"/>
        </w:rPr>
        <w:t>rendir</w:t>
      </w:r>
      <w:r>
        <w:rPr>
          <w:rFonts w:ascii="Verdana" w:hAnsi="Verdana" w:cs="Verdana"/>
          <w:sz w:val="20"/>
          <w:szCs w:val="20"/>
          <w:lang w:val="es-CR"/>
        </w:rPr>
        <w:t>[</w:t>
      </w:r>
      <w:proofErr w:type="spellStart"/>
      <w:proofErr w:type="gramEnd"/>
      <w:r>
        <w:rPr>
          <w:rFonts w:ascii="Verdana" w:hAnsi="Verdana" w:cs="Verdana"/>
          <w:sz w:val="20"/>
          <w:szCs w:val="20"/>
          <w:lang w:val="es-CR"/>
        </w:rPr>
        <w:t>ía</w:t>
      </w:r>
      <w:proofErr w:type="spellEnd"/>
      <w:r>
        <w:rPr>
          <w:rFonts w:ascii="Verdana" w:hAnsi="Verdana" w:cs="Verdana"/>
          <w:sz w:val="20"/>
          <w:szCs w:val="20"/>
          <w:lang w:val="es-CR"/>
        </w:rPr>
        <w:t>]</w:t>
      </w:r>
      <w:r w:rsidRPr="0042304C">
        <w:rPr>
          <w:rFonts w:ascii="Verdana" w:hAnsi="Verdana" w:cs="Verdana"/>
          <w:sz w:val="20"/>
          <w:szCs w:val="20"/>
          <w:lang w:val="es-CR"/>
        </w:rPr>
        <w:t xml:space="preserve"> peritaje sobre la discriminación racial, estructural e institucional respecto de la población haitiana y de ascendencia haitiana en el territorio de la República Dominicana”,</w:t>
      </w:r>
      <w:r>
        <w:rPr>
          <w:rFonts w:ascii="Verdana" w:hAnsi="Verdana" w:cs="Verdana"/>
          <w:sz w:val="20"/>
          <w:szCs w:val="20"/>
          <w:lang w:val="es-CR"/>
        </w:rPr>
        <w:t xml:space="preserve"> y hará referencia a los estándares internacionales en materia de no discriminación e igualdad ante la ley aplicables a situaciones como las del presente caso.</w:t>
      </w:r>
      <w:r w:rsidRPr="0042304C">
        <w:rPr>
          <w:rFonts w:ascii="Verdana" w:hAnsi="Verdana" w:cs="Verdana"/>
          <w:sz w:val="20"/>
          <w:szCs w:val="20"/>
          <w:lang w:val="es-CR"/>
        </w:rPr>
        <w:t xml:space="preserve"> </w:t>
      </w:r>
    </w:p>
    <w:p w:rsidR="00332068" w:rsidRDefault="00332068" w:rsidP="00332068">
      <w:pPr>
        <w:pStyle w:val="ListParagraph"/>
        <w:ind w:left="0"/>
        <w:jc w:val="both"/>
        <w:rPr>
          <w:rFonts w:ascii="Verdana" w:hAnsi="Verdana" w:cs="Verdana"/>
          <w:sz w:val="20"/>
          <w:szCs w:val="20"/>
          <w:lang w:val="es-CR"/>
        </w:rPr>
      </w:pPr>
    </w:p>
    <w:p w:rsidR="00332068" w:rsidRPr="00F609B8" w:rsidRDefault="00332068" w:rsidP="00332068">
      <w:pPr>
        <w:pStyle w:val="ListParagraph"/>
        <w:numPr>
          <w:ilvl w:val="0"/>
          <w:numId w:val="42"/>
        </w:numPr>
        <w:ind w:left="0" w:hanging="11"/>
        <w:jc w:val="both"/>
        <w:rPr>
          <w:rFonts w:ascii="Verdana" w:hAnsi="Verdana" w:cs="Verdana"/>
          <w:sz w:val="20"/>
          <w:szCs w:val="20"/>
          <w:lang w:val="es-CR"/>
        </w:rPr>
      </w:pPr>
      <w:r w:rsidRPr="00F609B8">
        <w:rPr>
          <w:rFonts w:ascii="Verdana" w:hAnsi="Verdana" w:cs="Verdana"/>
          <w:sz w:val="20"/>
          <w:szCs w:val="20"/>
          <w:lang w:val="es-CR"/>
        </w:rPr>
        <w:t xml:space="preserve">El Estado </w:t>
      </w:r>
      <w:r w:rsidRPr="00443ADE">
        <w:rPr>
          <w:rFonts w:ascii="Verdana" w:hAnsi="Verdana" w:cs="Verdana"/>
          <w:sz w:val="20"/>
          <w:szCs w:val="20"/>
          <w:lang w:val="es-CR"/>
        </w:rPr>
        <w:t xml:space="preserve">se limitó a señalar </w:t>
      </w:r>
      <w:r w:rsidRPr="00A701E3">
        <w:rPr>
          <w:rFonts w:ascii="Verdana" w:hAnsi="Verdana" w:cs="Verdana"/>
          <w:sz w:val="20"/>
          <w:szCs w:val="20"/>
          <w:lang w:val="es-CR"/>
        </w:rPr>
        <w:t>que</w:t>
      </w:r>
      <w:r w:rsidRPr="00F609B8">
        <w:rPr>
          <w:rFonts w:ascii="Verdana" w:hAnsi="Verdana" w:cs="Verdana"/>
          <w:sz w:val="20"/>
          <w:szCs w:val="20"/>
          <w:lang w:val="es-CR"/>
        </w:rPr>
        <w:t xml:space="preserve"> “[la]</w:t>
      </w:r>
      <w:r>
        <w:rPr>
          <w:rFonts w:ascii="Verdana" w:hAnsi="Verdana" w:cs="Verdana"/>
          <w:sz w:val="20"/>
          <w:szCs w:val="20"/>
          <w:lang w:val="es-CR"/>
        </w:rPr>
        <w:t xml:space="preserve"> expresada relación [del señor Quesada] con los representantes de las presuntas víctimas afecta su imparcialidad para rendir un peritaje objetivo en los términos propuestos”. </w:t>
      </w:r>
    </w:p>
    <w:p w:rsidR="00332068" w:rsidRPr="00025470" w:rsidRDefault="00332068" w:rsidP="00332068">
      <w:pPr>
        <w:pStyle w:val="ListParagraph"/>
        <w:ind w:left="0"/>
        <w:jc w:val="both"/>
        <w:rPr>
          <w:rFonts w:ascii="Verdana" w:hAnsi="Verdana" w:cs="Verdana"/>
          <w:sz w:val="20"/>
          <w:szCs w:val="20"/>
          <w:lang w:val="es-CR"/>
        </w:rPr>
      </w:pPr>
    </w:p>
    <w:p w:rsidR="00332068" w:rsidRDefault="00332068" w:rsidP="00332068">
      <w:pPr>
        <w:pStyle w:val="ListParagraph"/>
        <w:numPr>
          <w:ilvl w:val="0"/>
          <w:numId w:val="42"/>
        </w:numPr>
        <w:ind w:left="0" w:hanging="11"/>
        <w:jc w:val="both"/>
        <w:rPr>
          <w:rFonts w:ascii="Verdana" w:hAnsi="Verdana" w:cs="Verdana"/>
          <w:sz w:val="20"/>
          <w:szCs w:val="20"/>
          <w:lang w:val="es-CR"/>
        </w:rPr>
      </w:pPr>
      <w:r w:rsidRPr="0042304C">
        <w:rPr>
          <w:rFonts w:ascii="Verdana" w:hAnsi="Verdana" w:cs="Verdana"/>
          <w:sz w:val="20"/>
          <w:szCs w:val="20"/>
          <w:lang w:val="es-CR"/>
        </w:rPr>
        <w:t>El Estado</w:t>
      </w:r>
      <w:r>
        <w:rPr>
          <w:rFonts w:ascii="Verdana" w:hAnsi="Verdana" w:cs="Verdana"/>
          <w:sz w:val="20"/>
          <w:szCs w:val="20"/>
          <w:lang w:val="es-CR"/>
        </w:rPr>
        <w:t xml:space="preserve"> presentó además objeciones al peritaje,</w:t>
      </w:r>
      <w:r w:rsidRPr="0042304C">
        <w:rPr>
          <w:rFonts w:ascii="Verdana" w:hAnsi="Verdana" w:cs="Verdana"/>
          <w:sz w:val="20"/>
          <w:szCs w:val="20"/>
          <w:lang w:val="es-CR"/>
        </w:rPr>
        <w:t xml:space="preserve"> </w:t>
      </w:r>
      <w:r>
        <w:rPr>
          <w:rFonts w:ascii="Verdana" w:hAnsi="Verdana" w:cs="Verdana"/>
          <w:sz w:val="20"/>
          <w:szCs w:val="20"/>
          <w:lang w:val="es-CR"/>
        </w:rPr>
        <w:t>afirmando</w:t>
      </w:r>
      <w:r w:rsidRPr="0042304C">
        <w:rPr>
          <w:rFonts w:ascii="Verdana" w:hAnsi="Verdana" w:cs="Verdana"/>
          <w:sz w:val="20"/>
          <w:szCs w:val="20"/>
          <w:lang w:val="es-CR"/>
        </w:rPr>
        <w:t xml:space="preserve"> que “hay una duplicidad insalvable de objeto en relación con la propuesta de prueba pericial a cargo del señor</w:t>
      </w:r>
      <w:r>
        <w:rPr>
          <w:rFonts w:ascii="Verdana" w:hAnsi="Verdana" w:cs="Verdana"/>
          <w:sz w:val="20"/>
          <w:szCs w:val="20"/>
          <w:lang w:val="es-CR"/>
        </w:rPr>
        <w:t xml:space="preserve"> </w:t>
      </w:r>
      <w:r w:rsidRPr="0042304C">
        <w:rPr>
          <w:rFonts w:ascii="Verdana" w:hAnsi="Verdana" w:cs="Verdana"/>
          <w:sz w:val="20"/>
          <w:szCs w:val="20"/>
          <w:lang w:val="es-CR"/>
        </w:rPr>
        <w:t>Quesada</w:t>
      </w:r>
      <w:r>
        <w:rPr>
          <w:rFonts w:ascii="Verdana" w:hAnsi="Verdana" w:cs="Verdana"/>
          <w:sz w:val="20"/>
          <w:szCs w:val="20"/>
          <w:lang w:val="es-CR"/>
        </w:rPr>
        <w:t>”</w:t>
      </w:r>
      <w:r w:rsidRPr="0042304C">
        <w:rPr>
          <w:rFonts w:ascii="Verdana" w:hAnsi="Verdana" w:cs="Verdana"/>
          <w:sz w:val="20"/>
          <w:szCs w:val="20"/>
          <w:lang w:val="es-CR"/>
        </w:rPr>
        <w:t xml:space="preserve">. </w:t>
      </w:r>
      <w:r>
        <w:rPr>
          <w:rFonts w:ascii="Verdana" w:hAnsi="Verdana" w:cs="Verdana"/>
          <w:sz w:val="20"/>
          <w:szCs w:val="20"/>
          <w:lang w:val="es-CR"/>
        </w:rPr>
        <w:t>A su entender, la declaración pericial se ha propuesto “</w:t>
      </w:r>
      <w:r w:rsidRPr="0042304C">
        <w:rPr>
          <w:rFonts w:ascii="Verdana" w:hAnsi="Verdana" w:cs="Verdana"/>
          <w:sz w:val="20"/>
          <w:szCs w:val="20"/>
          <w:lang w:val="es-CR"/>
        </w:rPr>
        <w:t>a favor del orden público intera</w:t>
      </w:r>
      <w:r>
        <w:rPr>
          <w:rFonts w:ascii="Verdana" w:hAnsi="Verdana" w:cs="Verdana"/>
          <w:sz w:val="20"/>
          <w:szCs w:val="20"/>
          <w:lang w:val="es-CR"/>
        </w:rPr>
        <w:t>m</w:t>
      </w:r>
      <w:r w:rsidRPr="0042304C">
        <w:rPr>
          <w:rFonts w:ascii="Verdana" w:hAnsi="Verdana" w:cs="Verdana"/>
          <w:sz w:val="20"/>
          <w:szCs w:val="20"/>
          <w:lang w:val="es-CR"/>
        </w:rPr>
        <w:t>ericano</w:t>
      </w:r>
      <w:r>
        <w:rPr>
          <w:rFonts w:ascii="Verdana" w:hAnsi="Verdana" w:cs="Verdana"/>
          <w:sz w:val="20"/>
          <w:szCs w:val="20"/>
          <w:lang w:val="es-CR"/>
        </w:rPr>
        <w:t xml:space="preserve"> [y también]</w:t>
      </w:r>
      <w:r w:rsidRPr="0042304C">
        <w:rPr>
          <w:rFonts w:ascii="Verdana" w:hAnsi="Verdana" w:cs="Verdana"/>
          <w:sz w:val="20"/>
          <w:szCs w:val="20"/>
          <w:lang w:val="es-CR"/>
        </w:rPr>
        <w:t xml:space="preserve"> con el propósito de sustentar la presunta responsabilidad internacional del Estado</w:t>
      </w:r>
      <w:r>
        <w:rPr>
          <w:rFonts w:ascii="Verdana" w:hAnsi="Verdana" w:cs="Verdana"/>
          <w:sz w:val="20"/>
          <w:szCs w:val="20"/>
          <w:lang w:val="es-CR"/>
        </w:rPr>
        <w:t>”.</w:t>
      </w:r>
      <w:r w:rsidRPr="0042304C">
        <w:rPr>
          <w:rFonts w:ascii="Verdana" w:hAnsi="Verdana" w:cs="Verdana"/>
          <w:sz w:val="20"/>
          <w:szCs w:val="20"/>
          <w:lang w:val="es-CR"/>
        </w:rPr>
        <w:t xml:space="preserve"> </w:t>
      </w:r>
      <w:r>
        <w:rPr>
          <w:rFonts w:ascii="Verdana" w:hAnsi="Verdana" w:cs="Verdana"/>
          <w:sz w:val="20"/>
          <w:szCs w:val="20"/>
          <w:lang w:val="es-CR"/>
        </w:rPr>
        <w:t>S</w:t>
      </w:r>
      <w:r w:rsidRPr="0042304C">
        <w:rPr>
          <w:rFonts w:ascii="Verdana" w:hAnsi="Verdana" w:cs="Verdana"/>
          <w:sz w:val="20"/>
          <w:szCs w:val="20"/>
          <w:lang w:val="es-CR"/>
        </w:rPr>
        <w:t>eñal</w:t>
      </w:r>
      <w:r>
        <w:rPr>
          <w:rFonts w:ascii="Verdana" w:hAnsi="Verdana" w:cs="Verdana"/>
          <w:sz w:val="20"/>
          <w:szCs w:val="20"/>
          <w:lang w:val="es-CR"/>
        </w:rPr>
        <w:t>ó</w:t>
      </w:r>
      <w:r w:rsidRPr="0042304C">
        <w:rPr>
          <w:rFonts w:ascii="Verdana" w:hAnsi="Verdana" w:cs="Verdana"/>
          <w:sz w:val="20"/>
          <w:szCs w:val="20"/>
          <w:lang w:val="es-CR"/>
        </w:rPr>
        <w:t xml:space="preserve"> que “el peritaje planteado no puede tener ambos fines al mismo tiempo, ya que el rol de la Comisión</w:t>
      </w:r>
      <w:r>
        <w:rPr>
          <w:rFonts w:ascii="Verdana" w:hAnsi="Verdana" w:cs="Verdana"/>
          <w:sz w:val="20"/>
          <w:szCs w:val="20"/>
          <w:lang w:val="es-CR"/>
        </w:rPr>
        <w:t xml:space="preserve"> […]</w:t>
      </w:r>
      <w:r w:rsidRPr="0042304C">
        <w:rPr>
          <w:rFonts w:ascii="Verdana" w:hAnsi="Verdana" w:cs="Verdana"/>
          <w:sz w:val="20"/>
          <w:szCs w:val="20"/>
          <w:lang w:val="es-CR"/>
        </w:rPr>
        <w:t xml:space="preserve"> y los representantes de las </w:t>
      </w:r>
      <w:r>
        <w:rPr>
          <w:rFonts w:ascii="Verdana" w:hAnsi="Verdana" w:cs="Verdana"/>
          <w:sz w:val="20"/>
          <w:szCs w:val="20"/>
          <w:lang w:val="es-CR"/>
        </w:rPr>
        <w:t xml:space="preserve">[presuntas] </w:t>
      </w:r>
      <w:r w:rsidRPr="0042304C">
        <w:rPr>
          <w:rFonts w:ascii="Verdana" w:hAnsi="Verdana" w:cs="Verdana"/>
          <w:sz w:val="20"/>
          <w:szCs w:val="20"/>
          <w:lang w:val="es-CR"/>
        </w:rPr>
        <w:t>víctimas</w:t>
      </w:r>
      <w:r>
        <w:rPr>
          <w:rFonts w:ascii="Verdana" w:hAnsi="Verdana" w:cs="Verdana"/>
          <w:sz w:val="20"/>
          <w:szCs w:val="20"/>
          <w:lang w:val="es-CR"/>
        </w:rPr>
        <w:t xml:space="preserve"> […] </w:t>
      </w:r>
      <w:r w:rsidRPr="0042304C">
        <w:rPr>
          <w:rFonts w:ascii="Verdana" w:hAnsi="Verdana" w:cs="Verdana"/>
          <w:sz w:val="20"/>
          <w:szCs w:val="20"/>
          <w:lang w:val="es-CR"/>
        </w:rPr>
        <w:t>es distinto en el proceso”</w:t>
      </w:r>
      <w:r>
        <w:rPr>
          <w:rFonts w:ascii="Verdana" w:hAnsi="Verdana" w:cs="Verdana"/>
          <w:sz w:val="20"/>
          <w:szCs w:val="20"/>
          <w:lang w:val="es-CR"/>
        </w:rPr>
        <w:t>.</w:t>
      </w:r>
      <w:r w:rsidRPr="0042304C">
        <w:rPr>
          <w:rFonts w:ascii="Verdana" w:hAnsi="Verdana" w:cs="Verdana"/>
          <w:sz w:val="20"/>
          <w:szCs w:val="20"/>
          <w:lang w:val="es-CR"/>
        </w:rPr>
        <w:t xml:space="preserve"> Asimismo, resalt</w:t>
      </w:r>
      <w:r>
        <w:rPr>
          <w:rFonts w:ascii="Verdana" w:hAnsi="Verdana" w:cs="Verdana"/>
          <w:sz w:val="20"/>
          <w:szCs w:val="20"/>
          <w:lang w:val="es-CR"/>
        </w:rPr>
        <w:t>ó</w:t>
      </w:r>
      <w:r w:rsidRPr="0042304C">
        <w:rPr>
          <w:rFonts w:ascii="Verdana" w:hAnsi="Verdana" w:cs="Verdana"/>
          <w:sz w:val="20"/>
          <w:szCs w:val="20"/>
          <w:lang w:val="es-CR"/>
        </w:rPr>
        <w:t xml:space="preserve"> que la Comisión “no motivó la función que jugaría el señor Quesada con su peritaje a favor del orden público interamericano”</w:t>
      </w:r>
      <w:r>
        <w:rPr>
          <w:rFonts w:ascii="Verdana" w:hAnsi="Verdana" w:cs="Verdana"/>
          <w:sz w:val="20"/>
          <w:szCs w:val="20"/>
          <w:lang w:val="es-CR"/>
        </w:rPr>
        <w:t xml:space="preserve">. </w:t>
      </w:r>
      <w:r w:rsidRPr="0042304C">
        <w:rPr>
          <w:rFonts w:ascii="Verdana" w:hAnsi="Verdana" w:cs="Verdana"/>
          <w:sz w:val="20"/>
          <w:szCs w:val="20"/>
          <w:lang w:val="es-CR"/>
        </w:rPr>
        <w:t>Para conclu</w:t>
      </w:r>
      <w:r>
        <w:rPr>
          <w:rFonts w:ascii="Verdana" w:hAnsi="Verdana" w:cs="Verdana"/>
          <w:sz w:val="20"/>
          <w:szCs w:val="20"/>
          <w:lang w:val="es-CR"/>
        </w:rPr>
        <w:t>i</w:t>
      </w:r>
      <w:r w:rsidRPr="0042304C">
        <w:rPr>
          <w:rFonts w:ascii="Verdana" w:hAnsi="Verdana" w:cs="Verdana"/>
          <w:sz w:val="20"/>
          <w:szCs w:val="20"/>
          <w:lang w:val="es-CR"/>
        </w:rPr>
        <w:t xml:space="preserve">r, el Estado </w:t>
      </w:r>
      <w:r>
        <w:rPr>
          <w:rFonts w:ascii="Verdana" w:hAnsi="Verdana" w:cs="Verdana"/>
          <w:sz w:val="20"/>
          <w:szCs w:val="20"/>
          <w:lang w:val="es-CR"/>
        </w:rPr>
        <w:t>solicitó</w:t>
      </w:r>
      <w:r w:rsidRPr="0042304C">
        <w:rPr>
          <w:rFonts w:ascii="Verdana" w:hAnsi="Verdana" w:cs="Verdana"/>
          <w:sz w:val="20"/>
          <w:szCs w:val="20"/>
          <w:lang w:val="es-CR"/>
        </w:rPr>
        <w:t xml:space="preserve"> que</w:t>
      </w:r>
      <w:r>
        <w:rPr>
          <w:rFonts w:ascii="Verdana" w:hAnsi="Verdana" w:cs="Verdana"/>
          <w:sz w:val="20"/>
          <w:szCs w:val="20"/>
          <w:lang w:val="es-CR"/>
        </w:rPr>
        <w:t>,</w:t>
      </w:r>
      <w:r w:rsidRPr="0042304C">
        <w:rPr>
          <w:rFonts w:ascii="Verdana" w:hAnsi="Verdana" w:cs="Verdana"/>
          <w:sz w:val="20"/>
          <w:szCs w:val="20"/>
          <w:lang w:val="es-CR"/>
        </w:rPr>
        <w:t xml:space="preserve"> de admitir</w:t>
      </w:r>
      <w:r>
        <w:rPr>
          <w:rFonts w:ascii="Verdana" w:hAnsi="Verdana" w:cs="Verdana"/>
          <w:sz w:val="20"/>
          <w:szCs w:val="20"/>
          <w:lang w:val="es-CR"/>
        </w:rPr>
        <w:t>se</w:t>
      </w:r>
      <w:r w:rsidRPr="0042304C">
        <w:rPr>
          <w:rFonts w:ascii="Verdana" w:hAnsi="Verdana" w:cs="Verdana"/>
          <w:sz w:val="20"/>
          <w:szCs w:val="20"/>
          <w:lang w:val="es-CR"/>
        </w:rPr>
        <w:t xml:space="preserve"> la prueba pericial del señor Carlos Quesada, </w:t>
      </w:r>
      <w:r>
        <w:rPr>
          <w:rFonts w:ascii="Verdana" w:hAnsi="Verdana" w:cs="Verdana"/>
          <w:sz w:val="20"/>
          <w:szCs w:val="20"/>
          <w:lang w:val="es-CR"/>
        </w:rPr>
        <w:t xml:space="preserve">se </w:t>
      </w:r>
      <w:r w:rsidRPr="0042304C">
        <w:rPr>
          <w:rFonts w:ascii="Verdana" w:hAnsi="Verdana" w:cs="Verdana"/>
          <w:sz w:val="20"/>
          <w:szCs w:val="20"/>
          <w:lang w:val="es-CR"/>
        </w:rPr>
        <w:t xml:space="preserve">“haga a cargo de los representantes […] exclusivamente, </w:t>
      </w:r>
      <w:r>
        <w:rPr>
          <w:rFonts w:ascii="Verdana" w:hAnsi="Verdana" w:cs="Verdana"/>
          <w:sz w:val="20"/>
          <w:szCs w:val="20"/>
          <w:lang w:val="es-CR"/>
        </w:rPr>
        <w:t>[y s</w:t>
      </w:r>
      <w:r w:rsidRPr="0042304C">
        <w:rPr>
          <w:rFonts w:ascii="Verdana" w:hAnsi="Verdana" w:cs="Verdana"/>
          <w:sz w:val="20"/>
          <w:szCs w:val="20"/>
          <w:lang w:val="es-CR"/>
        </w:rPr>
        <w:t>e</w:t>
      </w:r>
      <w:r>
        <w:rPr>
          <w:rFonts w:ascii="Verdana" w:hAnsi="Verdana" w:cs="Verdana"/>
          <w:sz w:val="20"/>
          <w:szCs w:val="20"/>
          <w:lang w:val="es-CR"/>
        </w:rPr>
        <w:t>]</w:t>
      </w:r>
      <w:r w:rsidRPr="0042304C">
        <w:rPr>
          <w:rFonts w:ascii="Verdana" w:hAnsi="Verdana" w:cs="Verdana"/>
          <w:sz w:val="20"/>
          <w:szCs w:val="20"/>
          <w:lang w:val="es-CR"/>
        </w:rPr>
        <w:t xml:space="preserve"> indique con precisión </w:t>
      </w:r>
      <w:r>
        <w:rPr>
          <w:rFonts w:ascii="Verdana" w:hAnsi="Verdana" w:cs="Verdana"/>
          <w:sz w:val="20"/>
          <w:szCs w:val="20"/>
          <w:lang w:val="es-CR"/>
        </w:rPr>
        <w:t>[el]</w:t>
      </w:r>
      <w:r w:rsidRPr="0042304C">
        <w:rPr>
          <w:rFonts w:ascii="Verdana" w:hAnsi="Verdana" w:cs="Verdana"/>
          <w:sz w:val="20"/>
          <w:szCs w:val="20"/>
          <w:lang w:val="es-CR"/>
        </w:rPr>
        <w:t xml:space="preserve"> objeto de </w:t>
      </w:r>
      <w:r>
        <w:rPr>
          <w:rFonts w:ascii="Verdana" w:hAnsi="Verdana" w:cs="Verdana"/>
          <w:sz w:val="20"/>
          <w:szCs w:val="20"/>
          <w:lang w:val="es-CR"/>
        </w:rPr>
        <w:t xml:space="preserve">[la] </w:t>
      </w:r>
      <w:r w:rsidRPr="0042304C">
        <w:rPr>
          <w:rFonts w:ascii="Verdana" w:hAnsi="Verdana" w:cs="Verdana"/>
          <w:sz w:val="20"/>
          <w:szCs w:val="20"/>
          <w:lang w:val="es-CR"/>
        </w:rPr>
        <w:t>declaración en la resolución correspondiente”</w:t>
      </w:r>
      <w:r>
        <w:rPr>
          <w:rFonts w:ascii="Verdana" w:hAnsi="Verdana" w:cs="Verdana"/>
          <w:sz w:val="20"/>
          <w:szCs w:val="20"/>
          <w:lang w:val="es-CR"/>
        </w:rPr>
        <w:t>.</w:t>
      </w:r>
    </w:p>
    <w:p w:rsidR="00332068" w:rsidRPr="00A701E3" w:rsidRDefault="00332068" w:rsidP="00332068">
      <w:pPr>
        <w:pStyle w:val="ListParagraph"/>
        <w:rPr>
          <w:rFonts w:ascii="Verdana" w:hAnsi="Verdana" w:cs="Verdana"/>
          <w:sz w:val="20"/>
          <w:szCs w:val="20"/>
          <w:lang w:val="es-CR"/>
        </w:rPr>
      </w:pPr>
    </w:p>
    <w:p w:rsidR="00332068" w:rsidRDefault="00332068" w:rsidP="00332068">
      <w:pPr>
        <w:pStyle w:val="ListParagraph"/>
        <w:numPr>
          <w:ilvl w:val="0"/>
          <w:numId w:val="42"/>
        </w:numPr>
        <w:ind w:left="0" w:hanging="11"/>
        <w:jc w:val="both"/>
        <w:rPr>
          <w:rFonts w:ascii="Verdana" w:hAnsi="Verdana" w:cs="Verdana"/>
          <w:sz w:val="20"/>
          <w:szCs w:val="20"/>
          <w:lang w:val="es-CR"/>
        </w:rPr>
      </w:pPr>
      <w:r>
        <w:rPr>
          <w:rFonts w:ascii="Verdana" w:hAnsi="Verdana" w:cs="Verdana"/>
          <w:sz w:val="20"/>
          <w:szCs w:val="20"/>
        </w:rPr>
        <w:t>Dado que las objeciones referidas por el Estado se ref</w:t>
      </w:r>
      <w:r w:rsidRPr="00A72F01">
        <w:rPr>
          <w:rFonts w:ascii="Verdana" w:hAnsi="Verdana" w:cs="Verdana"/>
          <w:sz w:val="20"/>
          <w:szCs w:val="20"/>
        </w:rPr>
        <w:t>e</w:t>
      </w:r>
      <w:r w:rsidRPr="00F609B8">
        <w:rPr>
          <w:rFonts w:ascii="Verdana" w:hAnsi="Verdana" w:cs="Verdana"/>
          <w:sz w:val="20"/>
          <w:szCs w:val="20"/>
        </w:rPr>
        <w:t>rían</w:t>
      </w:r>
      <w:r>
        <w:rPr>
          <w:rFonts w:ascii="Verdana" w:hAnsi="Verdana" w:cs="Verdana"/>
          <w:sz w:val="20"/>
          <w:szCs w:val="20"/>
        </w:rPr>
        <w:t xml:space="preserve"> a una supuesta causal de impedimento, de conformidad con el artículo 48.3 del Reglamento, se trasladó al señor Quesada, en lo pertinente, </w:t>
      </w:r>
      <w:r w:rsidRPr="00A72F01">
        <w:rPr>
          <w:rFonts w:ascii="Verdana" w:hAnsi="Verdana" w:cs="Verdana"/>
          <w:sz w:val="20"/>
          <w:szCs w:val="20"/>
        </w:rPr>
        <w:t>lo</w:t>
      </w:r>
      <w:r>
        <w:rPr>
          <w:rFonts w:ascii="Verdana" w:hAnsi="Verdana" w:cs="Verdana"/>
          <w:sz w:val="20"/>
          <w:szCs w:val="20"/>
        </w:rPr>
        <w:t xml:space="preserve"> planteado</w:t>
      </w:r>
      <w:r w:rsidRPr="0051303D">
        <w:rPr>
          <w:rFonts w:ascii="Verdana" w:hAnsi="Verdana" w:cs="Verdana"/>
          <w:sz w:val="20"/>
          <w:szCs w:val="20"/>
        </w:rPr>
        <w:t xml:space="preserve"> en su contra por </w:t>
      </w:r>
      <w:r>
        <w:rPr>
          <w:rFonts w:ascii="Verdana" w:hAnsi="Verdana" w:cs="Verdana"/>
          <w:sz w:val="20"/>
          <w:szCs w:val="20"/>
        </w:rPr>
        <w:t>el Estado</w:t>
      </w:r>
      <w:r w:rsidRPr="0051303D">
        <w:rPr>
          <w:rFonts w:ascii="Verdana" w:hAnsi="Verdana" w:cs="Verdana"/>
          <w:sz w:val="20"/>
          <w:szCs w:val="20"/>
        </w:rPr>
        <w:t xml:space="preserve">. </w:t>
      </w:r>
      <w:r w:rsidRPr="0042304C">
        <w:rPr>
          <w:rFonts w:ascii="Verdana" w:hAnsi="Verdana" w:cs="Verdana"/>
          <w:sz w:val="20"/>
          <w:szCs w:val="20"/>
          <w:lang w:val="es-CR"/>
        </w:rPr>
        <w:t>En sus observaciones, el señor Quesada solicitó que se inadmita la recusación debido a la falta de argumentación del Estado y solicit</w:t>
      </w:r>
      <w:r>
        <w:rPr>
          <w:rFonts w:ascii="Verdana" w:hAnsi="Verdana" w:cs="Verdana"/>
          <w:sz w:val="20"/>
          <w:szCs w:val="20"/>
          <w:lang w:val="es-CR"/>
        </w:rPr>
        <w:t>ó</w:t>
      </w:r>
      <w:r w:rsidRPr="0042304C">
        <w:rPr>
          <w:rFonts w:ascii="Verdana" w:hAnsi="Verdana" w:cs="Verdana"/>
          <w:sz w:val="20"/>
          <w:szCs w:val="20"/>
          <w:lang w:val="es-CR"/>
        </w:rPr>
        <w:t xml:space="preserve"> a este Tribunal aceptar su peritaje. El señor Quesada a</w:t>
      </w:r>
      <w:r>
        <w:rPr>
          <w:rFonts w:ascii="Verdana" w:hAnsi="Verdana" w:cs="Verdana"/>
          <w:sz w:val="20"/>
          <w:szCs w:val="20"/>
          <w:lang w:val="es-CR"/>
        </w:rPr>
        <w:t>dujo</w:t>
      </w:r>
      <w:r w:rsidRPr="0042304C">
        <w:rPr>
          <w:rFonts w:ascii="Verdana" w:hAnsi="Verdana" w:cs="Verdana"/>
          <w:sz w:val="20"/>
          <w:szCs w:val="20"/>
          <w:lang w:val="es-CR"/>
        </w:rPr>
        <w:t xml:space="preserve"> que el Estado “no </w:t>
      </w:r>
      <w:proofErr w:type="spellStart"/>
      <w:r w:rsidRPr="0042304C">
        <w:rPr>
          <w:rFonts w:ascii="Verdana" w:hAnsi="Verdana" w:cs="Verdana"/>
          <w:sz w:val="20"/>
          <w:szCs w:val="20"/>
          <w:lang w:val="es-CR"/>
        </w:rPr>
        <w:t>especific</w:t>
      </w:r>
      <w:proofErr w:type="spellEnd"/>
      <w:r>
        <w:rPr>
          <w:rFonts w:ascii="Verdana" w:hAnsi="Verdana" w:cs="Verdana"/>
          <w:sz w:val="20"/>
          <w:szCs w:val="20"/>
          <w:lang w:val="es-CR"/>
        </w:rPr>
        <w:t>[ó]</w:t>
      </w:r>
      <w:r w:rsidRPr="0042304C">
        <w:rPr>
          <w:rFonts w:ascii="Verdana" w:hAnsi="Verdana" w:cs="Verdana"/>
          <w:sz w:val="20"/>
          <w:szCs w:val="20"/>
          <w:lang w:val="es-CR"/>
        </w:rPr>
        <w:t xml:space="preserve"> por qué considera que su derecho de defensa se vería afectado”. Asimismo, respondiendo a los alegatos sobre su</w:t>
      </w:r>
      <w:r>
        <w:rPr>
          <w:rFonts w:ascii="Verdana" w:hAnsi="Verdana" w:cs="Verdana"/>
          <w:sz w:val="20"/>
          <w:szCs w:val="20"/>
          <w:lang w:val="es-CR"/>
        </w:rPr>
        <w:t xml:space="preserve"> aducida falta de</w:t>
      </w:r>
      <w:r w:rsidRPr="0042304C">
        <w:rPr>
          <w:rFonts w:ascii="Verdana" w:hAnsi="Verdana" w:cs="Verdana"/>
          <w:sz w:val="20"/>
          <w:szCs w:val="20"/>
          <w:lang w:val="es-CR"/>
        </w:rPr>
        <w:t xml:space="preserve"> imparcialidad, h</w:t>
      </w:r>
      <w:r>
        <w:rPr>
          <w:rFonts w:ascii="Verdana" w:hAnsi="Verdana" w:cs="Verdana"/>
          <w:sz w:val="20"/>
          <w:szCs w:val="20"/>
          <w:lang w:val="es-CR"/>
        </w:rPr>
        <w:t>izo</w:t>
      </w:r>
      <w:r w:rsidRPr="0042304C">
        <w:rPr>
          <w:rFonts w:ascii="Verdana" w:hAnsi="Verdana" w:cs="Verdana"/>
          <w:sz w:val="20"/>
          <w:szCs w:val="20"/>
          <w:lang w:val="es-CR"/>
        </w:rPr>
        <w:t xml:space="preserve"> notar que “el Estado no </w:t>
      </w:r>
      <w:proofErr w:type="spellStart"/>
      <w:r w:rsidRPr="0042304C">
        <w:rPr>
          <w:rFonts w:ascii="Verdana" w:hAnsi="Verdana" w:cs="Verdana"/>
          <w:sz w:val="20"/>
          <w:szCs w:val="20"/>
          <w:lang w:val="es-CR"/>
        </w:rPr>
        <w:t>invoc</w:t>
      </w:r>
      <w:proofErr w:type="spellEnd"/>
      <w:r>
        <w:rPr>
          <w:rFonts w:ascii="Verdana" w:hAnsi="Verdana" w:cs="Verdana"/>
          <w:sz w:val="20"/>
          <w:szCs w:val="20"/>
          <w:lang w:val="es-CR"/>
        </w:rPr>
        <w:t>[ó]</w:t>
      </w:r>
      <w:r w:rsidRPr="0042304C">
        <w:rPr>
          <w:rFonts w:ascii="Verdana" w:hAnsi="Verdana" w:cs="Verdana"/>
          <w:sz w:val="20"/>
          <w:szCs w:val="20"/>
          <w:lang w:val="es-CR"/>
        </w:rPr>
        <w:t xml:space="preserve"> ningún artículo del Reglamento de esta Corte y no </w:t>
      </w:r>
      <w:proofErr w:type="spellStart"/>
      <w:r w:rsidRPr="0042304C">
        <w:rPr>
          <w:rFonts w:ascii="Verdana" w:hAnsi="Verdana" w:cs="Verdana"/>
          <w:sz w:val="20"/>
          <w:szCs w:val="20"/>
          <w:lang w:val="es-CR"/>
        </w:rPr>
        <w:t>especific</w:t>
      </w:r>
      <w:proofErr w:type="spellEnd"/>
      <w:r>
        <w:rPr>
          <w:rFonts w:ascii="Verdana" w:hAnsi="Verdana" w:cs="Verdana"/>
          <w:sz w:val="20"/>
          <w:szCs w:val="20"/>
          <w:lang w:val="es-CR"/>
        </w:rPr>
        <w:t>[ó]</w:t>
      </w:r>
      <w:r w:rsidRPr="0042304C">
        <w:rPr>
          <w:rFonts w:ascii="Verdana" w:hAnsi="Verdana" w:cs="Verdana"/>
          <w:sz w:val="20"/>
          <w:szCs w:val="20"/>
          <w:lang w:val="es-CR"/>
        </w:rPr>
        <w:t xml:space="preserve"> cuál sería la supuesta relación [con los representantes] a la que se refiere”. </w:t>
      </w:r>
    </w:p>
    <w:p w:rsidR="00332068" w:rsidRPr="009C34EF" w:rsidRDefault="00332068" w:rsidP="00332068">
      <w:pPr>
        <w:pStyle w:val="ListParagraph"/>
        <w:rPr>
          <w:rFonts w:ascii="Verdana" w:hAnsi="Verdana" w:cs="Verdana"/>
          <w:sz w:val="20"/>
          <w:szCs w:val="20"/>
          <w:lang w:val="es-CR"/>
        </w:rPr>
      </w:pPr>
    </w:p>
    <w:p w:rsidR="00332068" w:rsidRPr="005D4FF2" w:rsidRDefault="00332068" w:rsidP="00332068">
      <w:pPr>
        <w:pStyle w:val="ListParagraph"/>
        <w:numPr>
          <w:ilvl w:val="0"/>
          <w:numId w:val="42"/>
        </w:numPr>
        <w:ind w:left="0" w:hanging="11"/>
        <w:jc w:val="both"/>
        <w:rPr>
          <w:rFonts w:ascii="Verdana" w:hAnsi="Verdana" w:cs="Verdana"/>
          <w:sz w:val="20"/>
          <w:szCs w:val="20"/>
          <w:lang w:val="es-CR"/>
        </w:rPr>
      </w:pPr>
      <w:r w:rsidRPr="00443ADE">
        <w:rPr>
          <w:rFonts w:ascii="Verdana" w:hAnsi="Verdana" w:cs="Verdana"/>
          <w:sz w:val="20"/>
          <w:szCs w:val="20"/>
          <w:lang w:val="es-CR"/>
        </w:rPr>
        <w:lastRenderedPageBreak/>
        <w:t xml:space="preserve">El Presidente nota que el Estado no fundamentó debidamente su afirmación sobre la pretendida afectación de la imparcialidad del señor Carlos Quesada por su supuesta relación con los representantes. Por lo tanto, corresponde desestimar la recusación interpuesta por el Estado. </w:t>
      </w:r>
      <w:r w:rsidRPr="00443ADE">
        <w:rPr>
          <w:rFonts w:ascii="Verdana" w:hAnsi="Verdana"/>
          <w:sz w:val="20"/>
          <w:szCs w:val="20"/>
        </w:rPr>
        <w:t>En cuanto a las demás objeciones planteadas por República Dominicana, los fundamentos de las mismas no subsisten, dado que con base en las facultades previstas en el artículo 50.1 del Reglamento, el objeto de la declaración pericial del señor Quesada se determina por esta Presidencia en la presente Resolución. Al respecto, el Presidente considera que</w:t>
      </w:r>
      <w:r w:rsidRPr="00443ADE">
        <w:rPr>
          <w:rFonts w:ascii="Verdana" w:hAnsi="Verdana"/>
          <w:bCs/>
          <w:sz w:val="20"/>
          <w:szCs w:val="20"/>
        </w:rPr>
        <w:t xml:space="preserve"> el objeto del peritaje como fue ofrecido por los representantes </w:t>
      </w:r>
      <w:r w:rsidRPr="005D4FF2">
        <w:rPr>
          <w:rFonts w:ascii="Verdana" w:hAnsi="Verdana"/>
          <w:bCs/>
          <w:sz w:val="20"/>
          <w:szCs w:val="20"/>
        </w:rPr>
        <w:t>presenta una</w:t>
      </w:r>
      <w:r w:rsidRPr="005D4FF2">
        <w:rPr>
          <w:rFonts w:ascii="Verdana" w:hAnsi="Verdana"/>
          <w:sz w:val="20"/>
          <w:szCs w:val="20"/>
        </w:rPr>
        <w:t xml:space="preserve"> vinculación más directa con la materia que es objeto del presente caso</w:t>
      </w:r>
      <w:r w:rsidRPr="005D4FF2">
        <w:rPr>
          <w:rFonts w:ascii="Verdana" w:hAnsi="Verdana"/>
          <w:bCs/>
          <w:sz w:val="20"/>
          <w:szCs w:val="20"/>
        </w:rPr>
        <w:t>. El objeto del peritaje, como fue propuesto por la Comisión, se vincularía en forma genérica a aspectos relativos a “la discriminación” de “un grupo determinado” y a la “respuesta de las autoridades”, aplicados a “situaciones como las del presente caso”. En este sentido, resulta más conveniente posibilitar que el perito se refiera en forma directa a la aludida “discriminación” en relación con “la población haitiana y de ascendencia haitiana”, como proponen los representantes. Por otra parte, frente a la utilidad que podrían presentar referencias más generales, de acuerdo a la propuesta de la Comisión, se destaca que la propuesta de los representantes no excluye tal tipo de referencias. Así, el objeto del peritaje como queda determinado (</w:t>
      </w:r>
      <w:r w:rsidRPr="005D4FF2">
        <w:rPr>
          <w:rFonts w:ascii="Verdana" w:hAnsi="Verdana"/>
          <w:bCs/>
          <w:i/>
          <w:iCs/>
          <w:sz w:val="20"/>
          <w:szCs w:val="20"/>
        </w:rPr>
        <w:t>infra</w:t>
      </w:r>
      <w:r w:rsidRPr="005D4FF2">
        <w:rPr>
          <w:rFonts w:ascii="Verdana" w:hAnsi="Verdana"/>
          <w:bCs/>
          <w:sz w:val="20"/>
          <w:szCs w:val="20"/>
        </w:rPr>
        <w:t xml:space="preserve"> punto resolutivo 7) incluye la referencia, en tanto esté vinculada a situaciones como las que se aducen en el presente caso, a “estándares internacionales aplicables”. En consecuencia</w:t>
      </w:r>
      <w:r w:rsidRPr="005D4FF2">
        <w:rPr>
          <w:rFonts w:ascii="Verdana" w:hAnsi="Verdana"/>
          <w:sz w:val="20"/>
          <w:szCs w:val="20"/>
        </w:rPr>
        <w:t xml:space="preserve">, </w:t>
      </w:r>
      <w:r w:rsidRPr="005D4FF2">
        <w:rPr>
          <w:rFonts w:ascii="Verdana" w:hAnsi="Verdana"/>
          <w:bCs/>
          <w:sz w:val="20"/>
          <w:szCs w:val="20"/>
        </w:rPr>
        <w:t xml:space="preserve">dada </w:t>
      </w:r>
      <w:r w:rsidRPr="005D4FF2">
        <w:rPr>
          <w:rFonts w:ascii="Verdana" w:hAnsi="Verdana"/>
          <w:sz w:val="20"/>
          <w:szCs w:val="20"/>
        </w:rPr>
        <w:t xml:space="preserve">su mayor utilidad para la resolución del presente </w:t>
      </w:r>
      <w:r w:rsidRPr="005D4FF2">
        <w:rPr>
          <w:rFonts w:ascii="Verdana" w:hAnsi="Verdana"/>
          <w:bCs/>
          <w:sz w:val="20"/>
          <w:szCs w:val="20"/>
        </w:rPr>
        <w:t>caso</w:t>
      </w:r>
      <w:r w:rsidRPr="005D4FF2">
        <w:rPr>
          <w:rFonts w:ascii="Verdana" w:hAnsi="Verdana"/>
          <w:sz w:val="20"/>
          <w:szCs w:val="20"/>
        </w:rPr>
        <w:t>, resulta conveniente admitir el peritaje del señor Carlos Quesada conforme al objeto propuesto por los representantes. </w:t>
      </w:r>
      <w:r w:rsidRPr="005D4FF2">
        <w:rPr>
          <w:rFonts w:ascii="Verdana" w:hAnsi="Verdana" w:cs="Verdana"/>
          <w:sz w:val="20"/>
          <w:szCs w:val="20"/>
          <w:lang w:val="es-CR"/>
        </w:rPr>
        <w:t xml:space="preserve"> </w:t>
      </w:r>
    </w:p>
    <w:p w:rsidR="00332068" w:rsidRPr="00804CD2" w:rsidRDefault="00332068" w:rsidP="00332068">
      <w:pPr>
        <w:rPr>
          <w:rFonts w:ascii="Verdana" w:hAnsi="Verdana" w:cs="Verdana"/>
          <w:color w:val="FF0000"/>
          <w:sz w:val="20"/>
          <w:szCs w:val="20"/>
          <w:lang w:val="es-CR"/>
        </w:rPr>
      </w:pPr>
    </w:p>
    <w:p w:rsidR="00332068" w:rsidRDefault="00332068" w:rsidP="00332068">
      <w:pPr>
        <w:pStyle w:val="ListParagraph"/>
        <w:numPr>
          <w:ilvl w:val="0"/>
          <w:numId w:val="2"/>
        </w:numPr>
        <w:jc w:val="both"/>
        <w:rPr>
          <w:rFonts w:ascii="Verdana" w:hAnsi="Verdana" w:cs="Verdana"/>
          <w:b/>
          <w:bCs/>
          <w:sz w:val="20"/>
          <w:szCs w:val="20"/>
        </w:rPr>
      </w:pPr>
      <w:r>
        <w:rPr>
          <w:rFonts w:ascii="Verdana" w:hAnsi="Verdana" w:cs="Verdana"/>
          <w:b/>
          <w:bCs/>
          <w:i/>
          <w:sz w:val="20"/>
          <w:szCs w:val="20"/>
        </w:rPr>
        <w:t xml:space="preserve">Objeciones a peritos ofrecidos por el Estado </w:t>
      </w:r>
    </w:p>
    <w:p w:rsidR="00332068" w:rsidRPr="00025470" w:rsidRDefault="00332068" w:rsidP="00332068">
      <w:pPr>
        <w:pStyle w:val="ListParagraph"/>
        <w:rPr>
          <w:rFonts w:ascii="Verdana" w:hAnsi="Verdana" w:cs="Verdana"/>
          <w:color w:val="FF0000"/>
          <w:sz w:val="20"/>
          <w:szCs w:val="20"/>
          <w:lang w:val="es-CR"/>
        </w:rPr>
      </w:pPr>
    </w:p>
    <w:p w:rsidR="00332068" w:rsidRPr="00541937" w:rsidRDefault="00332068" w:rsidP="00332068">
      <w:pPr>
        <w:pStyle w:val="ListParagraph"/>
        <w:numPr>
          <w:ilvl w:val="0"/>
          <w:numId w:val="42"/>
        </w:numPr>
        <w:ind w:left="0" w:hanging="11"/>
        <w:jc w:val="both"/>
        <w:rPr>
          <w:rFonts w:ascii="Verdana" w:hAnsi="Verdana" w:cs="Verdana"/>
          <w:sz w:val="20"/>
          <w:szCs w:val="20"/>
          <w:lang w:val="es-CR"/>
        </w:rPr>
      </w:pPr>
      <w:r w:rsidRPr="00541937">
        <w:rPr>
          <w:rFonts w:ascii="Verdana" w:hAnsi="Verdana" w:cs="Verdana"/>
          <w:sz w:val="20"/>
          <w:szCs w:val="20"/>
          <w:lang w:val="es-CR"/>
        </w:rPr>
        <w:t xml:space="preserve">Los representantes objetaron dos de los peritos ofrecidos por el Estado, el señor Fernando I. Ferrán </w:t>
      </w:r>
      <w:proofErr w:type="spellStart"/>
      <w:r w:rsidRPr="00541937">
        <w:rPr>
          <w:rFonts w:ascii="Verdana" w:hAnsi="Verdana" w:cs="Verdana"/>
          <w:sz w:val="20"/>
          <w:szCs w:val="20"/>
          <w:lang w:val="es-CR"/>
        </w:rPr>
        <w:t>Br</w:t>
      </w:r>
      <w:r>
        <w:rPr>
          <w:rFonts w:ascii="Verdana" w:hAnsi="Verdana" w:cs="Verdana"/>
          <w:sz w:val="20"/>
          <w:szCs w:val="20"/>
          <w:lang w:val="es-CR"/>
        </w:rPr>
        <w:t>ú</w:t>
      </w:r>
      <w:proofErr w:type="spellEnd"/>
      <w:r w:rsidRPr="00541937">
        <w:rPr>
          <w:rFonts w:ascii="Verdana" w:hAnsi="Verdana" w:cs="Verdana"/>
          <w:sz w:val="20"/>
          <w:szCs w:val="20"/>
          <w:lang w:val="es-CR"/>
        </w:rPr>
        <w:t xml:space="preserve"> </w:t>
      </w:r>
      <w:r>
        <w:rPr>
          <w:rFonts w:ascii="Verdana" w:hAnsi="Verdana" w:cs="Verdana"/>
          <w:sz w:val="20"/>
          <w:szCs w:val="20"/>
          <w:lang w:val="es-CR"/>
        </w:rPr>
        <w:t xml:space="preserve">(en adelante también “señor Ferrán </w:t>
      </w:r>
      <w:proofErr w:type="spellStart"/>
      <w:r>
        <w:rPr>
          <w:rFonts w:ascii="Verdana" w:hAnsi="Verdana" w:cs="Verdana"/>
          <w:sz w:val="20"/>
          <w:szCs w:val="20"/>
          <w:lang w:val="es-CR"/>
        </w:rPr>
        <w:t>Brú</w:t>
      </w:r>
      <w:proofErr w:type="spellEnd"/>
      <w:r>
        <w:rPr>
          <w:rFonts w:ascii="Verdana" w:hAnsi="Verdana" w:cs="Verdana"/>
          <w:sz w:val="20"/>
          <w:szCs w:val="20"/>
          <w:lang w:val="es-CR"/>
        </w:rPr>
        <w:t xml:space="preserve">”) </w:t>
      </w:r>
      <w:r w:rsidRPr="00541937">
        <w:rPr>
          <w:rFonts w:ascii="Verdana" w:hAnsi="Verdana" w:cs="Verdana"/>
          <w:sz w:val="20"/>
          <w:szCs w:val="20"/>
          <w:lang w:val="es-CR"/>
        </w:rPr>
        <w:t xml:space="preserve">y la señora Sara </w:t>
      </w:r>
      <w:proofErr w:type="spellStart"/>
      <w:r w:rsidRPr="00541937">
        <w:rPr>
          <w:rFonts w:ascii="Verdana" w:hAnsi="Verdana" w:cs="Verdana"/>
          <w:sz w:val="20"/>
          <w:szCs w:val="20"/>
          <w:lang w:val="es-CR"/>
        </w:rPr>
        <w:t>Patnella</w:t>
      </w:r>
      <w:proofErr w:type="spellEnd"/>
      <w:r>
        <w:rPr>
          <w:rFonts w:ascii="Verdana" w:hAnsi="Verdana" w:cs="Verdana"/>
          <w:sz w:val="20"/>
          <w:szCs w:val="20"/>
          <w:lang w:val="es-CR"/>
        </w:rPr>
        <w:t xml:space="preserve"> (en adelante también “señora </w:t>
      </w:r>
      <w:proofErr w:type="spellStart"/>
      <w:r>
        <w:rPr>
          <w:rFonts w:ascii="Verdana" w:hAnsi="Verdana" w:cs="Verdana"/>
          <w:sz w:val="20"/>
          <w:szCs w:val="20"/>
          <w:lang w:val="es-CR"/>
        </w:rPr>
        <w:t>Patnella</w:t>
      </w:r>
      <w:proofErr w:type="spellEnd"/>
      <w:r>
        <w:rPr>
          <w:rFonts w:ascii="Verdana" w:hAnsi="Verdana" w:cs="Verdana"/>
          <w:sz w:val="20"/>
          <w:szCs w:val="20"/>
          <w:lang w:val="es-CR"/>
        </w:rPr>
        <w:t xml:space="preserve"> García”)</w:t>
      </w:r>
      <w:r w:rsidRPr="00541937">
        <w:rPr>
          <w:rFonts w:ascii="Verdana" w:hAnsi="Verdana" w:cs="Verdana"/>
          <w:sz w:val="20"/>
          <w:szCs w:val="20"/>
          <w:lang w:val="es-CR"/>
        </w:rPr>
        <w:t xml:space="preserve">, por no tener ellos, a juicio de los representantes, la idoneidad necesaria para realizar los peritajes propuestos. </w:t>
      </w:r>
    </w:p>
    <w:p w:rsidR="00332068" w:rsidRPr="00F75063" w:rsidRDefault="00332068" w:rsidP="00332068">
      <w:pPr>
        <w:ind w:firstLine="720"/>
        <w:jc w:val="both"/>
        <w:rPr>
          <w:rFonts w:ascii="Verdana" w:hAnsi="Verdana" w:cs="Verdana"/>
          <w:b/>
          <w:bCs/>
          <w:color w:val="FF0000"/>
          <w:sz w:val="20"/>
          <w:szCs w:val="20"/>
        </w:rPr>
      </w:pPr>
    </w:p>
    <w:p w:rsidR="00332068" w:rsidRPr="004469EA" w:rsidRDefault="00332068" w:rsidP="00332068">
      <w:pPr>
        <w:pStyle w:val="ListParagraph"/>
        <w:widowControl w:val="0"/>
        <w:numPr>
          <w:ilvl w:val="0"/>
          <w:numId w:val="42"/>
        </w:numPr>
        <w:autoSpaceDE w:val="0"/>
        <w:autoSpaceDN w:val="0"/>
        <w:adjustRightInd w:val="0"/>
        <w:ind w:left="0" w:firstLine="0"/>
        <w:jc w:val="both"/>
        <w:rPr>
          <w:rFonts w:ascii="Verdana" w:eastAsiaTheme="minorEastAsia" w:hAnsi="Verdana" w:cs="Arial"/>
          <w:sz w:val="20"/>
          <w:szCs w:val="20"/>
        </w:rPr>
      </w:pPr>
      <w:r w:rsidRPr="004469EA">
        <w:rPr>
          <w:rFonts w:ascii="Verdana" w:eastAsiaTheme="minorEastAsia" w:hAnsi="Verdana" w:cs="Arial"/>
          <w:sz w:val="20"/>
          <w:szCs w:val="20"/>
        </w:rPr>
        <w:t xml:space="preserve">El Estado propuso al señor Ferrán </w:t>
      </w:r>
      <w:proofErr w:type="spellStart"/>
      <w:r w:rsidRPr="004469EA">
        <w:rPr>
          <w:rFonts w:ascii="Verdana" w:eastAsiaTheme="minorEastAsia" w:hAnsi="Verdana" w:cs="Arial"/>
          <w:sz w:val="20"/>
          <w:szCs w:val="20"/>
        </w:rPr>
        <w:t>Br</w:t>
      </w:r>
      <w:r>
        <w:rPr>
          <w:rFonts w:ascii="Verdana" w:eastAsiaTheme="minorEastAsia" w:hAnsi="Verdana" w:cs="Arial"/>
          <w:sz w:val="20"/>
          <w:szCs w:val="20"/>
        </w:rPr>
        <w:t>ú</w:t>
      </w:r>
      <w:proofErr w:type="spellEnd"/>
      <w:r w:rsidRPr="004469EA">
        <w:rPr>
          <w:rFonts w:ascii="Verdana" w:eastAsiaTheme="minorEastAsia" w:hAnsi="Verdana" w:cs="Arial"/>
          <w:sz w:val="20"/>
          <w:szCs w:val="20"/>
        </w:rPr>
        <w:t xml:space="preserve"> para rendir peritaje sociológico-histórico, </w:t>
      </w:r>
      <w:r>
        <w:rPr>
          <w:rFonts w:ascii="Verdana" w:eastAsiaTheme="minorEastAsia" w:hAnsi="Verdana" w:cs="Arial"/>
          <w:sz w:val="20"/>
          <w:szCs w:val="20"/>
        </w:rPr>
        <w:t xml:space="preserve">cuyo objeto </w:t>
      </w:r>
      <w:r w:rsidRPr="004469EA">
        <w:rPr>
          <w:rFonts w:ascii="Verdana" w:eastAsiaTheme="minorEastAsia" w:hAnsi="Verdana" w:cs="Arial"/>
          <w:sz w:val="20"/>
          <w:szCs w:val="20"/>
        </w:rPr>
        <w:t xml:space="preserve">se centraría en demostrar “la inexistencia del presunto contexto de discriminación institucional por razones de origen, racial y/o color de </w:t>
      </w:r>
      <w:bookmarkStart w:id="3" w:name="_GoBack"/>
      <w:bookmarkEnd w:id="3"/>
      <w:r w:rsidRPr="004469EA">
        <w:rPr>
          <w:rFonts w:ascii="Verdana" w:eastAsiaTheme="minorEastAsia" w:hAnsi="Verdana" w:cs="Arial"/>
          <w:sz w:val="20"/>
          <w:szCs w:val="20"/>
        </w:rPr>
        <w:t>piel en perjuicio de personas de nacionalidad haitiana o dominicanos de origen haitiano en República Dominicana”. Además, el Estado propuso a la señora</w:t>
      </w:r>
      <w:r>
        <w:rPr>
          <w:rFonts w:ascii="Verdana" w:eastAsiaTheme="minorEastAsia" w:hAnsi="Verdana" w:cs="Arial"/>
          <w:sz w:val="20"/>
          <w:szCs w:val="20"/>
        </w:rPr>
        <w:t xml:space="preserve"> </w:t>
      </w:r>
      <w:proofErr w:type="spellStart"/>
      <w:r w:rsidRPr="004469EA">
        <w:rPr>
          <w:rFonts w:ascii="Verdana" w:eastAsiaTheme="minorEastAsia" w:hAnsi="Verdana" w:cs="Arial"/>
          <w:sz w:val="20"/>
          <w:szCs w:val="20"/>
        </w:rPr>
        <w:t>Patnella</w:t>
      </w:r>
      <w:proofErr w:type="spellEnd"/>
      <w:r w:rsidRPr="004469EA">
        <w:rPr>
          <w:rFonts w:ascii="Verdana" w:eastAsiaTheme="minorEastAsia" w:hAnsi="Verdana" w:cs="Arial"/>
          <w:sz w:val="20"/>
          <w:szCs w:val="20"/>
        </w:rPr>
        <w:t xml:space="preserve"> como “especialista en legislación migratoria dominicana y comparada” para rendir peritaje “sobre legislación migratoria”. De acuerdo con lo propuesto por el Estado, ésta rendiría declaración sobre</w:t>
      </w:r>
      <w:r w:rsidRPr="004469EA">
        <w:rPr>
          <w:rFonts w:ascii="Verdana" w:eastAsiaTheme="minorEastAsia" w:hAnsi="Verdana" w:cs="Times"/>
          <w:sz w:val="20"/>
          <w:szCs w:val="20"/>
        </w:rPr>
        <w:t xml:space="preserve"> </w:t>
      </w:r>
    </w:p>
    <w:p w:rsidR="00332068" w:rsidRPr="004469EA" w:rsidRDefault="00332068" w:rsidP="00332068">
      <w:pPr>
        <w:pStyle w:val="ListParagraph"/>
        <w:rPr>
          <w:rFonts w:ascii="Verdana" w:eastAsiaTheme="minorEastAsia" w:hAnsi="Verdana" w:cs="Times"/>
          <w:sz w:val="20"/>
          <w:szCs w:val="20"/>
        </w:rPr>
      </w:pPr>
    </w:p>
    <w:p w:rsidR="00332068" w:rsidRDefault="00332068" w:rsidP="00332068">
      <w:pPr>
        <w:pStyle w:val="ListParagraph"/>
        <w:widowControl w:val="0"/>
        <w:autoSpaceDE w:val="0"/>
        <w:autoSpaceDN w:val="0"/>
        <w:adjustRightInd w:val="0"/>
        <w:ind w:left="567" w:right="673"/>
        <w:jc w:val="both"/>
        <w:rPr>
          <w:rFonts w:ascii="Verdana" w:eastAsiaTheme="minorEastAsia" w:hAnsi="Verdana" w:cs="Arial"/>
          <w:sz w:val="16"/>
          <w:szCs w:val="16"/>
        </w:rPr>
      </w:pPr>
      <w:proofErr w:type="gramStart"/>
      <w:r w:rsidRPr="004469EA">
        <w:rPr>
          <w:rFonts w:ascii="Verdana" w:eastAsiaTheme="minorEastAsia" w:hAnsi="Verdana" w:cs="Arial"/>
          <w:sz w:val="16"/>
          <w:szCs w:val="16"/>
        </w:rPr>
        <w:t>la</w:t>
      </w:r>
      <w:proofErr w:type="gramEnd"/>
      <w:r w:rsidRPr="004469EA">
        <w:rPr>
          <w:rFonts w:ascii="Verdana" w:eastAsiaTheme="minorEastAsia" w:hAnsi="Verdana" w:cs="Arial"/>
          <w:sz w:val="16"/>
          <w:szCs w:val="16"/>
        </w:rPr>
        <w:t xml:space="preserve"> aplicación del régimen migratorio vigente al momento de los hechos (Ley de Inmigración No. 95,</w:t>
      </w:r>
      <w:r>
        <w:rPr>
          <w:rFonts w:ascii="Verdana" w:eastAsiaTheme="minorEastAsia" w:hAnsi="Verdana" w:cs="Arial"/>
          <w:sz w:val="16"/>
          <w:szCs w:val="16"/>
        </w:rPr>
        <w:t xml:space="preserve"> </w:t>
      </w:r>
      <w:r w:rsidRPr="004469EA">
        <w:rPr>
          <w:rFonts w:ascii="Verdana" w:eastAsiaTheme="minorEastAsia" w:hAnsi="Verdana" w:cs="Arial"/>
          <w:sz w:val="16"/>
          <w:szCs w:val="16"/>
        </w:rPr>
        <w:t xml:space="preserve">del 14 de abril de 1939, y su Reglamento de Aplicación; Ley No. 4658, del 24 de marzo de 1957); así como su modificación (Ley No. 285-04 y su Reglamento de Aplicación). Igualmente, analizará subsidiariamente el Protocolo de Entendimiento entre la </w:t>
      </w:r>
      <w:proofErr w:type="spellStart"/>
      <w:proofErr w:type="gramStart"/>
      <w:r w:rsidRPr="004469EA">
        <w:rPr>
          <w:rFonts w:ascii="Verdana" w:eastAsiaTheme="minorEastAsia" w:hAnsi="Verdana" w:cs="Arial"/>
          <w:sz w:val="16"/>
          <w:szCs w:val="16"/>
        </w:rPr>
        <w:t>Rep</w:t>
      </w:r>
      <w:proofErr w:type="spellEnd"/>
      <w:r>
        <w:rPr>
          <w:rFonts w:ascii="Verdana" w:eastAsiaTheme="minorEastAsia" w:hAnsi="Verdana" w:cs="Arial"/>
          <w:sz w:val="16"/>
          <w:szCs w:val="16"/>
        </w:rPr>
        <w:t>[</w:t>
      </w:r>
      <w:proofErr w:type="spellStart"/>
      <w:proofErr w:type="gramEnd"/>
      <w:r w:rsidRPr="004469EA">
        <w:rPr>
          <w:rFonts w:ascii="Verdana" w:eastAsiaTheme="minorEastAsia" w:hAnsi="Verdana" w:cs="Arial"/>
          <w:sz w:val="16"/>
          <w:szCs w:val="16"/>
        </w:rPr>
        <w:t>ública</w:t>
      </w:r>
      <w:proofErr w:type="spellEnd"/>
      <w:r>
        <w:rPr>
          <w:rFonts w:ascii="Verdana" w:eastAsiaTheme="minorEastAsia" w:hAnsi="Verdana" w:cs="Arial"/>
          <w:sz w:val="16"/>
          <w:szCs w:val="16"/>
        </w:rPr>
        <w:t>]</w:t>
      </w:r>
      <w:r w:rsidRPr="004469EA">
        <w:rPr>
          <w:rFonts w:ascii="Verdana" w:eastAsiaTheme="minorEastAsia" w:hAnsi="Verdana" w:cs="Arial"/>
          <w:sz w:val="16"/>
          <w:szCs w:val="16"/>
        </w:rPr>
        <w:t xml:space="preserve"> Dominicana y Haití, así como otros acuerdos bilaterales relevantes.</w:t>
      </w:r>
    </w:p>
    <w:p w:rsidR="00332068" w:rsidRPr="004469EA" w:rsidRDefault="00332068" w:rsidP="00332068">
      <w:pPr>
        <w:pStyle w:val="ListParagraph"/>
        <w:widowControl w:val="0"/>
        <w:autoSpaceDE w:val="0"/>
        <w:autoSpaceDN w:val="0"/>
        <w:adjustRightInd w:val="0"/>
        <w:ind w:left="567" w:right="673"/>
        <w:jc w:val="both"/>
        <w:rPr>
          <w:rFonts w:ascii="Verdana" w:eastAsiaTheme="minorEastAsia" w:hAnsi="Verdana" w:cs="Arial"/>
          <w:sz w:val="16"/>
          <w:szCs w:val="16"/>
        </w:rPr>
      </w:pPr>
    </w:p>
    <w:p w:rsidR="00332068" w:rsidRPr="004469EA" w:rsidRDefault="00332068" w:rsidP="00332068">
      <w:pPr>
        <w:pStyle w:val="ListParagraph"/>
        <w:widowControl w:val="0"/>
        <w:numPr>
          <w:ilvl w:val="0"/>
          <w:numId w:val="42"/>
        </w:numPr>
        <w:autoSpaceDE w:val="0"/>
        <w:autoSpaceDN w:val="0"/>
        <w:adjustRightInd w:val="0"/>
        <w:ind w:left="0" w:firstLine="0"/>
        <w:jc w:val="both"/>
        <w:rPr>
          <w:rFonts w:ascii="Verdana" w:eastAsiaTheme="minorEastAsia" w:hAnsi="Verdana" w:cs="Arial"/>
          <w:sz w:val="20"/>
          <w:szCs w:val="20"/>
        </w:rPr>
      </w:pPr>
      <w:r w:rsidRPr="004469EA">
        <w:rPr>
          <w:rFonts w:ascii="Verdana" w:eastAsiaTheme="minorEastAsia" w:hAnsi="Verdana" w:cs="Arial"/>
          <w:sz w:val="20"/>
          <w:szCs w:val="20"/>
        </w:rPr>
        <w:t>Los representantes h</w:t>
      </w:r>
      <w:r>
        <w:rPr>
          <w:rFonts w:ascii="Verdana" w:eastAsiaTheme="minorEastAsia" w:hAnsi="Verdana" w:cs="Arial"/>
          <w:sz w:val="20"/>
          <w:szCs w:val="20"/>
        </w:rPr>
        <w:t xml:space="preserve">icieron </w:t>
      </w:r>
      <w:r w:rsidRPr="004469EA">
        <w:rPr>
          <w:rFonts w:ascii="Verdana" w:eastAsiaTheme="minorEastAsia" w:hAnsi="Verdana" w:cs="Arial"/>
          <w:sz w:val="20"/>
          <w:szCs w:val="20"/>
        </w:rPr>
        <w:t xml:space="preserve">notar que </w:t>
      </w:r>
      <w:r w:rsidRPr="004469EA">
        <w:rPr>
          <w:rFonts w:ascii="Verdana" w:eastAsiaTheme="minorEastAsia" w:hAnsi="Verdana" w:cs="Times"/>
          <w:sz w:val="20"/>
          <w:szCs w:val="20"/>
        </w:rPr>
        <w:t xml:space="preserve">si bien el señor  Fernando I. Ferrán </w:t>
      </w:r>
      <w:proofErr w:type="spellStart"/>
      <w:r w:rsidRPr="004469EA">
        <w:rPr>
          <w:rFonts w:ascii="Verdana" w:eastAsiaTheme="minorEastAsia" w:hAnsi="Verdana" w:cs="Times"/>
          <w:sz w:val="20"/>
          <w:szCs w:val="20"/>
        </w:rPr>
        <w:t>Br</w:t>
      </w:r>
      <w:r>
        <w:rPr>
          <w:rFonts w:ascii="Verdana" w:eastAsiaTheme="minorEastAsia" w:hAnsi="Verdana" w:cs="Times"/>
          <w:sz w:val="20"/>
          <w:szCs w:val="20"/>
        </w:rPr>
        <w:t>ú</w:t>
      </w:r>
      <w:proofErr w:type="spellEnd"/>
      <w:r w:rsidRPr="004469EA">
        <w:rPr>
          <w:rFonts w:ascii="Verdana" w:eastAsiaTheme="minorEastAsia" w:hAnsi="Verdana" w:cs="Times"/>
          <w:sz w:val="20"/>
          <w:szCs w:val="20"/>
        </w:rPr>
        <w:t xml:space="preserve"> tiene formación en antropología y sociología </w:t>
      </w:r>
      <w:r>
        <w:rPr>
          <w:rFonts w:ascii="Verdana" w:eastAsiaTheme="minorEastAsia" w:hAnsi="Verdana" w:cs="Times"/>
          <w:sz w:val="20"/>
          <w:szCs w:val="20"/>
        </w:rPr>
        <w:t>e inicialmente</w:t>
      </w:r>
      <w:r w:rsidRPr="004469EA">
        <w:rPr>
          <w:rFonts w:ascii="Verdana" w:eastAsiaTheme="minorEastAsia" w:hAnsi="Verdana" w:cs="Times"/>
          <w:sz w:val="20"/>
          <w:szCs w:val="20"/>
        </w:rPr>
        <w:t xml:space="preserve"> trabajó </w:t>
      </w:r>
      <w:r>
        <w:rPr>
          <w:rFonts w:ascii="Verdana" w:eastAsiaTheme="minorEastAsia" w:hAnsi="Verdana" w:cs="Times"/>
          <w:sz w:val="20"/>
          <w:szCs w:val="20"/>
        </w:rPr>
        <w:t xml:space="preserve">cinco </w:t>
      </w:r>
      <w:r w:rsidRPr="004469EA">
        <w:rPr>
          <w:rFonts w:ascii="Verdana" w:eastAsiaTheme="minorEastAsia" w:hAnsi="Verdana" w:cs="Times"/>
          <w:sz w:val="20"/>
          <w:szCs w:val="20"/>
        </w:rPr>
        <w:t xml:space="preserve"> años para VICINI –una empresa </w:t>
      </w:r>
      <w:r w:rsidRPr="004469EA">
        <w:rPr>
          <w:rFonts w:ascii="Verdana" w:eastAsiaTheme="minorEastAsia" w:hAnsi="Verdana" w:cs="Arial"/>
          <w:sz w:val="20"/>
          <w:szCs w:val="20"/>
        </w:rPr>
        <w:t>“con énfasis particular en los trabajadores del campo de la industria azu</w:t>
      </w:r>
      <w:r>
        <w:rPr>
          <w:rFonts w:ascii="Verdana" w:eastAsiaTheme="minorEastAsia" w:hAnsi="Verdana" w:cs="Arial"/>
          <w:sz w:val="20"/>
          <w:szCs w:val="20"/>
        </w:rPr>
        <w:t>carera y migratoria en general”,</w:t>
      </w:r>
      <w:r w:rsidRPr="004469EA">
        <w:rPr>
          <w:rFonts w:ascii="Verdana" w:eastAsiaTheme="minorEastAsia" w:hAnsi="Verdana" w:cs="Arial"/>
          <w:sz w:val="20"/>
          <w:szCs w:val="20"/>
        </w:rPr>
        <w:t xml:space="preserve"> actualmente “sus labores estaban centradas en temas de índole laboral, que no se encuentran en discusión en este caso” y por lo que se desprende de su </w:t>
      </w:r>
      <w:r>
        <w:rPr>
          <w:rFonts w:ascii="Verdana" w:eastAsiaTheme="minorEastAsia" w:hAnsi="Verdana" w:cs="Arial"/>
          <w:sz w:val="20"/>
          <w:szCs w:val="20"/>
        </w:rPr>
        <w:t>hoja de vida</w:t>
      </w:r>
      <w:r w:rsidRPr="004469EA">
        <w:rPr>
          <w:rFonts w:ascii="Verdana" w:eastAsiaTheme="minorEastAsia" w:hAnsi="Verdana" w:cs="Arial"/>
          <w:sz w:val="20"/>
          <w:szCs w:val="20"/>
        </w:rPr>
        <w:t xml:space="preserve"> </w:t>
      </w:r>
      <w:r>
        <w:rPr>
          <w:rFonts w:ascii="Verdana" w:eastAsiaTheme="minorEastAsia" w:hAnsi="Verdana" w:cs="Arial"/>
          <w:sz w:val="20"/>
          <w:szCs w:val="20"/>
        </w:rPr>
        <w:t xml:space="preserve">que </w:t>
      </w:r>
      <w:r w:rsidRPr="004469EA">
        <w:rPr>
          <w:rFonts w:ascii="Verdana" w:eastAsiaTheme="minorEastAsia" w:hAnsi="Verdana" w:cs="Arial"/>
          <w:sz w:val="20"/>
          <w:szCs w:val="20"/>
        </w:rPr>
        <w:t>no ha realizado ”investigación o publicación alguna relacionada con el tema en cuestión”. En lo referente a la señora</w:t>
      </w:r>
      <w:r>
        <w:rPr>
          <w:rFonts w:ascii="Verdana" w:eastAsiaTheme="minorEastAsia" w:hAnsi="Verdana" w:cs="Arial"/>
          <w:sz w:val="20"/>
          <w:szCs w:val="20"/>
        </w:rPr>
        <w:t xml:space="preserve"> </w:t>
      </w:r>
      <w:proofErr w:type="spellStart"/>
      <w:r w:rsidRPr="004469EA">
        <w:rPr>
          <w:rFonts w:ascii="Verdana" w:eastAsiaTheme="minorEastAsia" w:hAnsi="Verdana" w:cs="Arial"/>
          <w:sz w:val="20"/>
          <w:szCs w:val="20"/>
        </w:rPr>
        <w:t>Patnella</w:t>
      </w:r>
      <w:proofErr w:type="spellEnd"/>
      <w:r>
        <w:rPr>
          <w:rFonts w:ascii="Verdana" w:eastAsiaTheme="minorEastAsia" w:hAnsi="Verdana" w:cs="Arial"/>
          <w:sz w:val="20"/>
          <w:szCs w:val="20"/>
        </w:rPr>
        <w:t xml:space="preserve"> García</w:t>
      </w:r>
      <w:r w:rsidRPr="004469EA">
        <w:rPr>
          <w:rFonts w:ascii="Verdana" w:eastAsiaTheme="minorEastAsia" w:hAnsi="Verdana" w:cs="Arial"/>
          <w:sz w:val="20"/>
          <w:szCs w:val="20"/>
        </w:rPr>
        <w:t>, los representantes alega</w:t>
      </w:r>
      <w:r>
        <w:rPr>
          <w:rFonts w:ascii="Verdana" w:eastAsiaTheme="minorEastAsia" w:hAnsi="Verdana" w:cs="Arial"/>
          <w:sz w:val="20"/>
          <w:szCs w:val="20"/>
        </w:rPr>
        <w:t>ro</w:t>
      </w:r>
      <w:r w:rsidRPr="004469EA">
        <w:rPr>
          <w:rFonts w:ascii="Verdana" w:eastAsiaTheme="minorEastAsia" w:hAnsi="Verdana" w:cs="Arial"/>
          <w:sz w:val="20"/>
          <w:szCs w:val="20"/>
        </w:rPr>
        <w:t xml:space="preserve">n que “del </w:t>
      </w:r>
      <w:r w:rsidRPr="004469EA">
        <w:rPr>
          <w:rFonts w:ascii="Verdana" w:eastAsiaTheme="minorEastAsia" w:hAnsi="Verdana" w:cs="Helvetica"/>
          <w:i/>
          <w:iCs/>
          <w:sz w:val="20"/>
          <w:szCs w:val="20"/>
        </w:rPr>
        <w:t xml:space="preserve">currículum vitae </w:t>
      </w:r>
      <w:r w:rsidRPr="004469EA">
        <w:rPr>
          <w:rFonts w:ascii="Verdana" w:eastAsiaTheme="minorEastAsia" w:hAnsi="Verdana" w:cs="Arial"/>
          <w:sz w:val="20"/>
          <w:szCs w:val="20"/>
        </w:rPr>
        <w:t xml:space="preserve">aportado por el Estado no se desprende que la misma tenga ningún tipo de formación académica, ni experiencia laboral en la materia. Su formación ha estado centrada en derechos fundamentales y su experiencia laboral en materia legal ha </w:t>
      </w:r>
      <w:r w:rsidRPr="004469EA">
        <w:rPr>
          <w:rFonts w:ascii="Verdana" w:eastAsiaTheme="minorEastAsia" w:hAnsi="Verdana" w:cs="Arial"/>
          <w:sz w:val="20"/>
          <w:szCs w:val="20"/>
        </w:rPr>
        <w:lastRenderedPageBreak/>
        <w:t xml:space="preserve">estado centrada en la docencia y la práctica privada, en materias ajenas al objeto del peritaje”. </w:t>
      </w:r>
    </w:p>
    <w:p w:rsidR="00332068" w:rsidRPr="004469EA" w:rsidRDefault="00332068" w:rsidP="00332068">
      <w:pPr>
        <w:pStyle w:val="ListParagraph"/>
        <w:widowControl w:val="0"/>
        <w:autoSpaceDE w:val="0"/>
        <w:autoSpaceDN w:val="0"/>
        <w:adjustRightInd w:val="0"/>
        <w:ind w:left="0"/>
        <w:jc w:val="both"/>
        <w:rPr>
          <w:rFonts w:ascii="Verdana" w:eastAsiaTheme="minorEastAsia" w:hAnsi="Verdana" w:cs="Arial"/>
          <w:sz w:val="20"/>
          <w:szCs w:val="20"/>
        </w:rPr>
      </w:pPr>
    </w:p>
    <w:p w:rsidR="00332068" w:rsidRPr="00E123D4" w:rsidRDefault="00332068" w:rsidP="00332068">
      <w:pPr>
        <w:pStyle w:val="ListParagraph"/>
        <w:widowControl w:val="0"/>
        <w:numPr>
          <w:ilvl w:val="0"/>
          <w:numId w:val="42"/>
        </w:numPr>
        <w:autoSpaceDE w:val="0"/>
        <w:autoSpaceDN w:val="0"/>
        <w:adjustRightInd w:val="0"/>
        <w:ind w:left="0" w:firstLine="0"/>
        <w:jc w:val="both"/>
        <w:rPr>
          <w:rFonts w:ascii="Verdana" w:eastAsiaTheme="minorEastAsia" w:hAnsi="Verdana" w:cs="Arial"/>
          <w:b/>
          <w:sz w:val="20"/>
          <w:szCs w:val="20"/>
        </w:rPr>
      </w:pPr>
      <w:r w:rsidRPr="00E123D4">
        <w:rPr>
          <w:rFonts w:ascii="Verdana" w:eastAsiaTheme="minorEastAsia" w:hAnsi="Verdana" w:cs="Arial"/>
          <w:sz w:val="20"/>
          <w:szCs w:val="20"/>
        </w:rPr>
        <w:t xml:space="preserve">En relación con el señor Ferrán </w:t>
      </w:r>
      <w:proofErr w:type="spellStart"/>
      <w:r w:rsidRPr="00E123D4">
        <w:rPr>
          <w:rFonts w:ascii="Verdana" w:eastAsiaTheme="minorEastAsia" w:hAnsi="Verdana" w:cs="Arial"/>
          <w:sz w:val="20"/>
          <w:szCs w:val="20"/>
        </w:rPr>
        <w:t>Br</w:t>
      </w:r>
      <w:r>
        <w:rPr>
          <w:rFonts w:ascii="Verdana" w:eastAsiaTheme="minorEastAsia" w:hAnsi="Verdana" w:cs="Arial"/>
          <w:sz w:val="20"/>
          <w:szCs w:val="20"/>
        </w:rPr>
        <w:t>ú</w:t>
      </w:r>
      <w:proofErr w:type="spellEnd"/>
      <w:r w:rsidRPr="00E123D4">
        <w:rPr>
          <w:rFonts w:ascii="Verdana" w:eastAsiaTheme="minorEastAsia" w:hAnsi="Verdana" w:cs="Arial"/>
          <w:sz w:val="20"/>
          <w:szCs w:val="20"/>
        </w:rPr>
        <w:t xml:space="preserve">, </w:t>
      </w:r>
      <w:r>
        <w:rPr>
          <w:rFonts w:ascii="Verdana" w:eastAsiaTheme="minorEastAsia" w:hAnsi="Verdana" w:cs="Arial"/>
          <w:sz w:val="20"/>
          <w:szCs w:val="20"/>
        </w:rPr>
        <w:t>esta Presidencia</w:t>
      </w:r>
      <w:r w:rsidRPr="00E123D4">
        <w:rPr>
          <w:rFonts w:ascii="Verdana" w:eastAsiaTheme="minorEastAsia" w:hAnsi="Verdana" w:cs="Arial"/>
          <w:sz w:val="20"/>
          <w:szCs w:val="20"/>
        </w:rPr>
        <w:t xml:space="preserve"> advierte que su peritaje fue propuesto para que desde un enfoque “sociológico-histórico”</w:t>
      </w:r>
      <w:r>
        <w:rPr>
          <w:rFonts w:ascii="Verdana" w:eastAsiaTheme="minorEastAsia" w:hAnsi="Verdana" w:cs="Arial"/>
          <w:sz w:val="20"/>
          <w:szCs w:val="20"/>
        </w:rPr>
        <w:t xml:space="preserve"> </w:t>
      </w:r>
      <w:r w:rsidRPr="00E123D4">
        <w:rPr>
          <w:rFonts w:ascii="Verdana" w:eastAsiaTheme="minorEastAsia" w:hAnsi="Verdana" w:cs="Arial"/>
          <w:sz w:val="20"/>
          <w:szCs w:val="20"/>
        </w:rPr>
        <w:t>aborde el “presunto contexto de discriminación institucional”, en los términos referidos (</w:t>
      </w:r>
      <w:r w:rsidRPr="00E123D4">
        <w:rPr>
          <w:rFonts w:ascii="Verdana" w:eastAsiaTheme="minorEastAsia" w:hAnsi="Verdana" w:cs="Arial"/>
          <w:i/>
          <w:sz w:val="20"/>
          <w:szCs w:val="20"/>
        </w:rPr>
        <w:t>supra</w:t>
      </w:r>
      <w:r w:rsidRPr="00E123D4">
        <w:rPr>
          <w:rFonts w:ascii="Verdana" w:eastAsiaTheme="minorEastAsia" w:hAnsi="Verdana" w:cs="Arial"/>
          <w:sz w:val="20"/>
          <w:szCs w:val="20"/>
        </w:rPr>
        <w:t xml:space="preserve"> Considerando </w:t>
      </w:r>
      <w:r>
        <w:rPr>
          <w:rFonts w:ascii="Verdana" w:eastAsiaTheme="minorEastAsia" w:hAnsi="Verdana" w:cs="Arial"/>
          <w:sz w:val="20"/>
          <w:szCs w:val="20"/>
        </w:rPr>
        <w:t>36</w:t>
      </w:r>
      <w:r w:rsidRPr="00E123D4">
        <w:rPr>
          <w:rFonts w:ascii="Verdana" w:eastAsiaTheme="minorEastAsia" w:hAnsi="Verdana" w:cs="Arial"/>
          <w:sz w:val="20"/>
          <w:szCs w:val="20"/>
        </w:rPr>
        <w:t xml:space="preserve">). De su hoja de vida se advierte que el señor Ferrán </w:t>
      </w:r>
      <w:proofErr w:type="spellStart"/>
      <w:r w:rsidRPr="00E123D4">
        <w:rPr>
          <w:rFonts w:ascii="Verdana" w:eastAsiaTheme="minorEastAsia" w:hAnsi="Verdana" w:cs="Arial"/>
          <w:sz w:val="20"/>
          <w:szCs w:val="20"/>
        </w:rPr>
        <w:t>Br</w:t>
      </w:r>
      <w:r>
        <w:rPr>
          <w:rFonts w:ascii="Verdana" w:eastAsiaTheme="minorEastAsia" w:hAnsi="Verdana" w:cs="Arial"/>
          <w:sz w:val="20"/>
          <w:szCs w:val="20"/>
        </w:rPr>
        <w:t>ú</w:t>
      </w:r>
      <w:proofErr w:type="spellEnd"/>
      <w:r w:rsidRPr="00E123D4">
        <w:rPr>
          <w:rFonts w:ascii="Verdana" w:eastAsiaTheme="minorEastAsia" w:hAnsi="Verdana" w:cs="Arial"/>
          <w:sz w:val="20"/>
          <w:szCs w:val="20"/>
        </w:rPr>
        <w:t xml:space="preserve"> tiene formación en sociología, antropología y filosofía. El Presidente toma nota de las consideraciones expresadas por los representantes, mas considera pertinente posibilitar la más amplia producción de prueba y, por ende, decide admitir su peritaje en los términos propuestos por el Estado. </w:t>
      </w:r>
    </w:p>
    <w:p w:rsidR="00332068" w:rsidRPr="00E123D4" w:rsidRDefault="00332068" w:rsidP="00332068">
      <w:pPr>
        <w:pStyle w:val="ListParagraph"/>
        <w:rPr>
          <w:rFonts w:ascii="Verdana" w:eastAsiaTheme="minorEastAsia" w:hAnsi="Verdana" w:cs="Arial"/>
          <w:b/>
          <w:sz w:val="20"/>
          <w:szCs w:val="20"/>
        </w:rPr>
      </w:pPr>
    </w:p>
    <w:p w:rsidR="00332068" w:rsidRPr="00025470" w:rsidRDefault="00332068" w:rsidP="00332068">
      <w:pPr>
        <w:pStyle w:val="ListParagraph"/>
        <w:widowControl w:val="0"/>
        <w:numPr>
          <w:ilvl w:val="0"/>
          <w:numId w:val="42"/>
        </w:numPr>
        <w:autoSpaceDE w:val="0"/>
        <w:autoSpaceDN w:val="0"/>
        <w:adjustRightInd w:val="0"/>
        <w:ind w:left="0" w:firstLine="0"/>
        <w:jc w:val="both"/>
        <w:rPr>
          <w:rFonts w:ascii="Verdana" w:eastAsiaTheme="minorEastAsia" w:hAnsi="Verdana" w:cs="Arial"/>
          <w:color w:val="FF0000"/>
          <w:sz w:val="20"/>
          <w:szCs w:val="20"/>
        </w:rPr>
      </w:pPr>
      <w:r>
        <w:rPr>
          <w:rFonts w:ascii="Verdana" w:eastAsiaTheme="minorEastAsia" w:hAnsi="Verdana" w:cs="Arial"/>
          <w:sz w:val="20"/>
          <w:szCs w:val="20"/>
        </w:rPr>
        <w:t xml:space="preserve">En cuanto a la señora </w:t>
      </w:r>
      <w:proofErr w:type="spellStart"/>
      <w:r>
        <w:rPr>
          <w:rFonts w:ascii="Verdana" w:eastAsiaTheme="minorEastAsia" w:hAnsi="Verdana" w:cs="Arial"/>
          <w:sz w:val="20"/>
          <w:szCs w:val="20"/>
        </w:rPr>
        <w:t>Patnella</w:t>
      </w:r>
      <w:proofErr w:type="spellEnd"/>
      <w:r>
        <w:rPr>
          <w:rFonts w:ascii="Verdana" w:eastAsiaTheme="minorEastAsia" w:hAnsi="Verdana" w:cs="Arial"/>
          <w:sz w:val="20"/>
          <w:szCs w:val="20"/>
        </w:rPr>
        <w:t xml:space="preserve"> García, e</w:t>
      </w:r>
      <w:r w:rsidRPr="00025470">
        <w:rPr>
          <w:rFonts w:ascii="Verdana" w:eastAsiaTheme="minorEastAsia" w:hAnsi="Verdana" w:cs="Arial"/>
          <w:sz w:val="20"/>
          <w:szCs w:val="20"/>
        </w:rPr>
        <w:t xml:space="preserve">l Presidente advierte que </w:t>
      </w:r>
      <w:r>
        <w:rPr>
          <w:rFonts w:ascii="Verdana" w:eastAsiaTheme="minorEastAsia" w:hAnsi="Verdana" w:cs="Arial"/>
          <w:sz w:val="20"/>
          <w:szCs w:val="20"/>
        </w:rPr>
        <w:t>su</w:t>
      </w:r>
      <w:r w:rsidRPr="00025470">
        <w:rPr>
          <w:rFonts w:ascii="Verdana" w:eastAsiaTheme="minorEastAsia" w:hAnsi="Verdana" w:cs="Arial"/>
          <w:sz w:val="20"/>
          <w:szCs w:val="20"/>
        </w:rPr>
        <w:t xml:space="preserve"> peritaje fue ofrecido para que verse sobre “legislación migratoria”, y el Estado adujo su carácter de especialista en la materia. No obstante, de la hoja de vida de la señora </w:t>
      </w:r>
      <w:proofErr w:type="spellStart"/>
      <w:r w:rsidRPr="00025470">
        <w:rPr>
          <w:rFonts w:ascii="Verdana" w:eastAsiaTheme="minorEastAsia" w:hAnsi="Verdana" w:cs="Arial"/>
          <w:sz w:val="20"/>
          <w:szCs w:val="20"/>
        </w:rPr>
        <w:t>Patnella</w:t>
      </w:r>
      <w:proofErr w:type="spellEnd"/>
      <w:r w:rsidRPr="00025470">
        <w:rPr>
          <w:rFonts w:ascii="Verdana" w:eastAsiaTheme="minorEastAsia" w:hAnsi="Verdana" w:cs="Arial"/>
          <w:sz w:val="20"/>
          <w:szCs w:val="20"/>
        </w:rPr>
        <w:t xml:space="preserve"> </w:t>
      </w:r>
      <w:r>
        <w:rPr>
          <w:rFonts w:ascii="Verdana" w:eastAsiaTheme="minorEastAsia" w:hAnsi="Verdana" w:cs="Arial"/>
          <w:sz w:val="20"/>
          <w:szCs w:val="20"/>
        </w:rPr>
        <w:t xml:space="preserve">García </w:t>
      </w:r>
      <w:r w:rsidRPr="00025470">
        <w:rPr>
          <w:rFonts w:ascii="Verdana" w:eastAsiaTheme="minorEastAsia" w:hAnsi="Verdana" w:cs="Arial"/>
          <w:sz w:val="20"/>
          <w:szCs w:val="20"/>
        </w:rPr>
        <w:t xml:space="preserve">no se </w:t>
      </w:r>
      <w:r>
        <w:rPr>
          <w:rFonts w:ascii="Verdana" w:eastAsiaTheme="minorEastAsia" w:hAnsi="Verdana" w:cs="Arial"/>
          <w:sz w:val="20"/>
          <w:szCs w:val="20"/>
        </w:rPr>
        <w:t>evidencia que ella cuente con experiencia profesional específica sobre migración o legislación migratoria pues sus antecedentes</w:t>
      </w:r>
      <w:r w:rsidRPr="00025470">
        <w:rPr>
          <w:rFonts w:ascii="Verdana" w:eastAsiaTheme="minorEastAsia" w:hAnsi="Verdana" w:cs="Arial"/>
          <w:sz w:val="20"/>
          <w:szCs w:val="20"/>
        </w:rPr>
        <w:t xml:space="preserve"> académico</w:t>
      </w:r>
      <w:r>
        <w:rPr>
          <w:rFonts w:ascii="Verdana" w:eastAsiaTheme="minorEastAsia" w:hAnsi="Verdana" w:cs="Arial"/>
          <w:sz w:val="20"/>
          <w:szCs w:val="20"/>
        </w:rPr>
        <w:t>s</w:t>
      </w:r>
      <w:r w:rsidRPr="00025470">
        <w:rPr>
          <w:rFonts w:ascii="Verdana" w:eastAsiaTheme="minorEastAsia" w:hAnsi="Verdana" w:cs="Arial"/>
          <w:sz w:val="20"/>
          <w:szCs w:val="20"/>
        </w:rPr>
        <w:t xml:space="preserve"> </w:t>
      </w:r>
      <w:r>
        <w:rPr>
          <w:rFonts w:ascii="Verdana" w:eastAsiaTheme="minorEastAsia" w:hAnsi="Verdana" w:cs="Arial"/>
          <w:sz w:val="20"/>
          <w:szCs w:val="20"/>
        </w:rPr>
        <w:t>y</w:t>
      </w:r>
      <w:r w:rsidRPr="00025470">
        <w:rPr>
          <w:rFonts w:ascii="Verdana" w:eastAsiaTheme="minorEastAsia" w:hAnsi="Verdana" w:cs="Arial"/>
          <w:sz w:val="20"/>
          <w:szCs w:val="20"/>
        </w:rPr>
        <w:t xml:space="preserve"> laboral</w:t>
      </w:r>
      <w:r>
        <w:rPr>
          <w:rFonts w:ascii="Verdana" w:eastAsiaTheme="minorEastAsia" w:hAnsi="Verdana" w:cs="Arial"/>
          <w:sz w:val="20"/>
          <w:szCs w:val="20"/>
        </w:rPr>
        <w:t>es, tal como constan en su hoja de vida, no permiten apreciar conocimientos especializados relativos</w:t>
      </w:r>
      <w:r w:rsidRPr="00025470">
        <w:rPr>
          <w:rFonts w:ascii="Verdana" w:eastAsiaTheme="minorEastAsia" w:hAnsi="Verdana" w:cs="Arial"/>
          <w:sz w:val="20"/>
          <w:szCs w:val="20"/>
        </w:rPr>
        <w:t xml:space="preserve"> a la legislación migratoria, ni tampoco a otros aspectos o temas vinculados a la materia de la migración. Por lo anterior, el Presidente considera procedente la objeción planteada por los representantes y, en uso de las atribuciones establecidas en el artículo 50 del Reglamento de la Corte, decide inadmitir el peritaje de la señora Sara </w:t>
      </w:r>
      <w:proofErr w:type="spellStart"/>
      <w:r w:rsidRPr="00025470">
        <w:rPr>
          <w:rFonts w:ascii="Verdana" w:eastAsiaTheme="minorEastAsia" w:hAnsi="Verdana" w:cs="Arial"/>
          <w:sz w:val="20"/>
          <w:szCs w:val="20"/>
        </w:rPr>
        <w:t>Patnella</w:t>
      </w:r>
      <w:proofErr w:type="spellEnd"/>
      <w:r>
        <w:rPr>
          <w:rFonts w:ascii="Verdana" w:eastAsiaTheme="minorEastAsia" w:hAnsi="Verdana" w:cs="Arial"/>
          <w:sz w:val="20"/>
          <w:szCs w:val="20"/>
        </w:rPr>
        <w:t xml:space="preserve"> García</w:t>
      </w:r>
      <w:r w:rsidRPr="00025470">
        <w:rPr>
          <w:rFonts w:ascii="Verdana" w:eastAsiaTheme="minorEastAsia" w:hAnsi="Verdana" w:cs="Arial"/>
          <w:sz w:val="20"/>
          <w:szCs w:val="20"/>
        </w:rPr>
        <w:t>, propuesto por el Estado.</w:t>
      </w:r>
    </w:p>
    <w:p w:rsidR="00332068" w:rsidRPr="0068160F" w:rsidRDefault="00332068" w:rsidP="00332068">
      <w:pPr>
        <w:jc w:val="both"/>
        <w:rPr>
          <w:rFonts w:ascii="Verdana" w:hAnsi="Verdana" w:cs="Verdana"/>
          <w:b/>
          <w:bCs/>
          <w:sz w:val="20"/>
          <w:szCs w:val="20"/>
        </w:rPr>
      </w:pPr>
    </w:p>
    <w:p w:rsidR="00332068" w:rsidRPr="00C94B44" w:rsidRDefault="00332068" w:rsidP="00332068">
      <w:pPr>
        <w:pStyle w:val="ListParagraph"/>
        <w:numPr>
          <w:ilvl w:val="0"/>
          <w:numId w:val="2"/>
        </w:numPr>
        <w:jc w:val="both"/>
        <w:rPr>
          <w:rFonts w:ascii="Verdana" w:hAnsi="Verdana" w:cs="Verdana"/>
          <w:b/>
          <w:bCs/>
          <w:sz w:val="20"/>
          <w:szCs w:val="20"/>
        </w:rPr>
      </w:pPr>
      <w:r w:rsidRPr="00C94B44">
        <w:rPr>
          <w:rFonts w:ascii="Verdana" w:hAnsi="Verdana" w:cs="Verdana"/>
          <w:b/>
          <w:bCs/>
          <w:i/>
          <w:iCs/>
          <w:sz w:val="20"/>
          <w:szCs w:val="20"/>
        </w:rPr>
        <w:t xml:space="preserve">Objeciones a declarantes ofrecidos por las partes </w:t>
      </w:r>
    </w:p>
    <w:p w:rsidR="00332068" w:rsidRPr="0061037A" w:rsidRDefault="00332068" w:rsidP="00332068">
      <w:pPr>
        <w:pStyle w:val="ListParagraph"/>
        <w:jc w:val="both"/>
        <w:rPr>
          <w:rFonts w:ascii="Verdana" w:hAnsi="Verdana" w:cs="Verdana"/>
          <w:b/>
          <w:bCs/>
          <w:sz w:val="20"/>
          <w:szCs w:val="20"/>
        </w:rPr>
      </w:pPr>
    </w:p>
    <w:p w:rsidR="00332068" w:rsidRPr="00804CD2" w:rsidRDefault="00332068" w:rsidP="00332068">
      <w:pPr>
        <w:pStyle w:val="ListParagraph"/>
        <w:ind w:left="851"/>
        <w:jc w:val="both"/>
        <w:rPr>
          <w:rFonts w:ascii="Verdana" w:hAnsi="Verdana" w:cs="Verdana"/>
          <w:b/>
          <w:bCs/>
          <w:sz w:val="20"/>
          <w:szCs w:val="20"/>
        </w:rPr>
      </w:pPr>
      <w:r>
        <w:rPr>
          <w:rFonts w:ascii="Verdana" w:hAnsi="Verdana" w:cs="Verdana"/>
          <w:b/>
          <w:bCs/>
          <w:i/>
          <w:iCs/>
          <w:sz w:val="20"/>
          <w:szCs w:val="20"/>
        </w:rPr>
        <w:t xml:space="preserve">C.1) </w:t>
      </w:r>
      <w:r w:rsidRPr="00804CD2">
        <w:rPr>
          <w:rFonts w:ascii="Verdana" w:hAnsi="Verdana" w:cs="Verdana"/>
          <w:b/>
          <w:bCs/>
          <w:i/>
          <w:iCs/>
          <w:sz w:val="20"/>
          <w:szCs w:val="20"/>
        </w:rPr>
        <w:t>Objeciones a una declaración testimonial ofrecida por el Estado</w:t>
      </w:r>
    </w:p>
    <w:p w:rsidR="00332068" w:rsidRPr="00F41F38" w:rsidRDefault="00332068" w:rsidP="00332068">
      <w:pPr>
        <w:rPr>
          <w:rFonts w:ascii="Verdana" w:hAnsi="Verdana"/>
          <w:sz w:val="20"/>
          <w:szCs w:val="20"/>
        </w:rPr>
      </w:pPr>
    </w:p>
    <w:p w:rsidR="00332068" w:rsidRDefault="00332068" w:rsidP="00332068">
      <w:pPr>
        <w:pStyle w:val="ListParagraph"/>
        <w:numPr>
          <w:ilvl w:val="0"/>
          <w:numId w:val="42"/>
        </w:numPr>
        <w:ind w:left="0" w:hanging="11"/>
        <w:jc w:val="both"/>
        <w:rPr>
          <w:rFonts w:ascii="Verdana" w:hAnsi="Verdana"/>
          <w:sz w:val="20"/>
          <w:szCs w:val="20"/>
        </w:rPr>
      </w:pPr>
      <w:r w:rsidRPr="00E123D4">
        <w:rPr>
          <w:rFonts w:ascii="Verdana" w:hAnsi="Verdana"/>
          <w:sz w:val="20"/>
          <w:szCs w:val="20"/>
        </w:rPr>
        <w:t xml:space="preserve">El Estado propuso la declaración testimonial del General de Brigada Santo Domingo Guerrero Clase (en adelante “señor Guerrero Clase”), quién fue objetado por los representantes. </w:t>
      </w:r>
    </w:p>
    <w:p w:rsidR="00332068" w:rsidRDefault="00332068" w:rsidP="00332068">
      <w:pPr>
        <w:pStyle w:val="ListParagraph"/>
        <w:ind w:left="0"/>
        <w:jc w:val="both"/>
        <w:rPr>
          <w:rFonts w:ascii="Verdana" w:hAnsi="Verdana"/>
          <w:sz w:val="20"/>
          <w:szCs w:val="20"/>
        </w:rPr>
      </w:pPr>
    </w:p>
    <w:p w:rsidR="00332068" w:rsidRPr="00E123D4" w:rsidRDefault="00332068" w:rsidP="00332068">
      <w:pPr>
        <w:pStyle w:val="ListParagraph"/>
        <w:numPr>
          <w:ilvl w:val="0"/>
          <w:numId w:val="42"/>
        </w:numPr>
        <w:ind w:left="0" w:hanging="11"/>
        <w:jc w:val="both"/>
        <w:rPr>
          <w:rFonts w:ascii="Verdana" w:hAnsi="Verdana"/>
          <w:sz w:val="20"/>
          <w:szCs w:val="20"/>
        </w:rPr>
      </w:pPr>
      <w:r w:rsidRPr="00E123D4">
        <w:rPr>
          <w:rFonts w:ascii="Verdana" w:hAnsi="Verdana" w:cs="Arial"/>
          <w:sz w:val="20"/>
          <w:szCs w:val="20"/>
        </w:rPr>
        <w:t xml:space="preserve">Los representantes notaron que el Estado propuso en su escrito de contestación, sin identificar el testigo propuesto, el testimonio de “[u]n funcionario </w:t>
      </w:r>
      <w:proofErr w:type="gramStart"/>
      <w:r w:rsidRPr="00E123D4">
        <w:rPr>
          <w:rFonts w:ascii="Verdana" w:hAnsi="Verdana" w:cs="Arial"/>
          <w:sz w:val="20"/>
          <w:szCs w:val="20"/>
        </w:rPr>
        <w:t>de[</w:t>
      </w:r>
      <w:proofErr w:type="gramEnd"/>
      <w:r w:rsidRPr="00E123D4">
        <w:rPr>
          <w:rFonts w:ascii="Verdana" w:hAnsi="Verdana" w:cs="Arial"/>
          <w:sz w:val="20"/>
          <w:szCs w:val="20"/>
        </w:rPr>
        <w:t>l Cuerpo Especializado de Seguridad Fronteriza Terrestre (en adelante “CESFRONT”)] que haya estado vinculado a la institución en la época de los presuntos hechos y actos” (</w:t>
      </w:r>
      <w:r w:rsidRPr="00E123D4">
        <w:rPr>
          <w:rFonts w:ascii="Verdana" w:hAnsi="Verdana" w:cs="Arial"/>
          <w:i/>
          <w:sz w:val="20"/>
          <w:szCs w:val="20"/>
        </w:rPr>
        <w:t xml:space="preserve">supra </w:t>
      </w:r>
      <w:r w:rsidRPr="00E123D4">
        <w:rPr>
          <w:rFonts w:ascii="Verdana" w:hAnsi="Verdana" w:cs="Arial"/>
          <w:sz w:val="20"/>
          <w:szCs w:val="20"/>
        </w:rPr>
        <w:t xml:space="preserve">Visto </w:t>
      </w:r>
      <w:r>
        <w:rPr>
          <w:rFonts w:ascii="Verdana" w:hAnsi="Verdana" w:cs="Arial"/>
          <w:sz w:val="20"/>
          <w:szCs w:val="20"/>
        </w:rPr>
        <w:t>5</w:t>
      </w:r>
      <w:r w:rsidRPr="00E123D4">
        <w:rPr>
          <w:rFonts w:ascii="Verdana" w:hAnsi="Verdana" w:cs="Arial"/>
          <w:sz w:val="20"/>
          <w:szCs w:val="20"/>
        </w:rPr>
        <w:t>).  Con posterioridad el Estado identificó como el testigo propuesto al señor Guerrero Clase, quien es Director de CESFRONT</w:t>
      </w:r>
      <w:r>
        <w:rPr>
          <w:rFonts w:ascii="Verdana" w:hAnsi="Verdana" w:cs="Arial"/>
          <w:sz w:val="20"/>
          <w:szCs w:val="20"/>
        </w:rPr>
        <w:t>,</w:t>
      </w:r>
      <w:r w:rsidRPr="00E123D4">
        <w:rPr>
          <w:rFonts w:ascii="Verdana" w:hAnsi="Verdana" w:cs="Arial"/>
          <w:sz w:val="20"/>
          <w:szCs w:val="20"/>
        </w:rPr>
        <w:t xml:space="preserve"> para declarar sobre “la función que </w:t>
      </w:r>
      <w:proofErr w:type="spellStart"/>
      <w:r w:rsidRPr="00E123D4">
        <w:rPr>
          <w:rFonts w:ascii="Verdana" w:hAnsi="Verdana" w:cs="Arial"/>
          <w:sz w:val="20"/>
          <w:szCs w:val="20"/>
        </w:rPr>
        <w:t>desempeñ</w:t>
      </w:r>
      <w:proofErr w:type="spellEnd"/>
      <w:r w:rsidRPr="00E123D4">
        <w:rPr>
          <w:rFonts w:ascii="Verdana" w:hAnsi="Verdana" w:cs="Arial"/>
          <w:sz w:val="20"/>
          <w:szCs w:val="20"/>
        </w:rPr>
        <w:t>[a], su entrenamiento en derechos humanos y su conocimiento acerca de las prácticas de control migratorio en la frontera dominico-haitiana en la época de los presuntos hechos” (</w:t>
      </w:r>
      <w:r w:rsidRPr="00E123D4">
        <w:rPr>
          <w:rFonts w:ascii="Verdana" w:hAnsi="Verdana" w:cs="Arial"/>
          <w:i/>
          <w:sz w:val="20"/>
          <w:szCs w:val="20"/>
        </w:rPr>
        <w:t>supra</w:t>
      </w:r>
      <w:r w:rsidRPr="00E123D4">
        <w:rPr>
          <w:rFonts w:ascii="Verdana" w:hAnsi="Verdana" w:cs="Arial"/>
          <w:sz w:val="20"/>
          <w:szCs w:val="20"/>
        </w:rPr>
        <w:t xml:space="preserve"> Visto </w:t>
      </w:r>
      <w:r>
        <w:rPr>
          <w:rFonts w:ascii="Verdana" w:hAnsi="Verdana" w:cs="Arial"/>
          <w:sz w:val="20"/>
          <w:szCs w:val="20"/>
        </w:rPr>
        <w:t>6</w:t>
      </w:r>
      <w:r w:rsidRPr="00E123D4">
        <w:rPr>
          <w:rFonts w:ascii="Verdana" w:hAnsi="Verdana" w:cs="Arial"/>
          <w:sz w:val="20"/>
          <w:szCs w:val="20"/>
        </w:rPr>
        <w:t>). Al respecto, los representantes señalaron que el señor Guerrero Clase “no presenció ninguno de los hechos a los que se refiere este caso, por lo tanto no puede ser considerado como testigo”. En ese sentido, indicaron que de acuerdo a información encontrada en la página web oficial de CESFRONT, esta institución empezó a operar “años después de los hechos del presente caso”. Por tanto, los representantes solicitaron que la declaración testimonial del señor Guerrero Clase “se[a] declarada inadmisible por irrelevante para este caso, en la medida en que la institución a cuyo funcionamiento se refiere no existía al momento de los hechos”.</w:t>
      </w:r>
    </w:p>
    <w:p w:rsidR="00332068" w:rsidRDefault="00332068" w:rsidP="00332068">
      <w:pPr>
        <w:pStyle w:val="ListParagraph"/>
        <w:ind w:left="0"/>
        <w:jc w:val="both"/>
        <w:rPr>
          <w:rFonts w:ascii="Verdana" w:hAnsi="Verdana"/>
          <w:sz w:val="20"/>
          <w:szCs w:val="20"/>
        </w:rPr>
      </w:pPr>
    </w:p>
    <w:p w:rsidR="00332068" w:rsidRPr="00E123D4" w:rsidRDefault="00332068" w:rsidP="00332068">
      <w:pPr>
        <w:pStyle w:val="ListParagraph"/>
        <w:numPr>
          <w:ilvl w:val="0"/>
          <w:numId w:val="42"/>
        </w:numPr>
        <w:ind w:left="0" w:hanging="11"/>
        <w:jc w:val="both"/>
        <w:rPr>
          <w:rFonts w:ascii="Verdana" w:hAnsi="Verdana"/>
          <w:sz w:val="20"/>
          <w:szCs w:val="20"/>
        </w:rPr>
      </w:pPr>
      <w:r w:rsidRPr="00E123D4">
        <w:rPr>
          <w:rFonts w:ascii="Verdana" w:hAnsi="Verdana"/>
          <w:sz w:val="20"/>
          <w:szCs w:val="20"/>
        </w:rPr>
        <w:t xml:space="preserve">El Presidente constata que, de acuerdo a información disponible en su sitio web oficial,  CESFRONT comenzó a operar luego de que se produjeron los hechos del presente caso. De acuerdo a lo anterior, y considerando el objeto del testimonio como fue propuesto por el Estado, que refiere a “la época de los presuntos hechos y actos”, </w:t>
      </w:r>
      <w:r>
        <w:rPr>
          <w:rFonts w:ascii="Verdana" w:hAnsi="Verdana" w:cs="Calibri"/>
          <w:sz w:val="20"/>
          <w:szCs w:val="20"/>
        </w:rPr>
        <w:t>no se colige có</w:t>
      </w:r>
      <w:r w:rsidRPr="00E123D4">
        <w:rPr>
          <w:rFonts w:ascii="Verdana" w:hAnsi="Verdana" w:cs="Calibri"/>
          <w:sz w:val="20"/>
          <w:szCs w:val="20"/>
        </w:rPr>
        <w:t>mo la experiencia del señor Guerrero Clase a cargo de CESFRON</w:t>
      </w:r>
      <w:r>
        <w:rPr>
          <w:rFonts w:ascii="Verdana" w:hAnsi="Verdana" w:cs="Calibri"/>
          <w:sz w:val="20"/>
          <w:szCs w:val="20"/>
        </w:rPr>
        <w:t>T</w:t>
      </w:r>
      <w:r w:rsidRPr="00E123D4">
        <w:rPr>
          <w:rFonts w:ascii="Verdana" w:hAnsi="Verdana" w:cs="Calibri"/>
          <w:i/>
          <w:sz w:val="20"/>
          <w:szCs w:val="20"/>
        </w:rPr>
        <w:t xml:space="preserve"> </w:t>
      </w:r>
      <w:r w:rsidRPr="00E123D4">
        <w:rPr>
          <w:rFonts w:ascii="Verdana" w:hAnsi="Verdana" w:cs="Calibri"/>
          <w:sz w:val="20"/>
          <w:szCs w:val="20"/>
        </w:rPr>
        <w:t xml:space="preserve">se relaciona </w:t>
      </w:r>
      <w:r w:rsidRPr="00E123D4">
        <w:rPr>
          <w:rFonts w:ascii="Verdana" w:hAnsi="Verdana" w:cs="Calibri"/>
          <w:sz w:val="20"/>
          <w:szCs w:val="20"/>
        </w:rPr>
        <w:lastRenderedPageBreak/>
        <w:t xml:space="preserve">con dicho objeto. En consecuencia, </w:t>
      </w:r>
      <w:r>
        <w:rPr>
          <w:rFonts w:ascii="Verdana" w:hAnsi="Verdana" w:cs="Calibri"/>
          <w:sz w:val="20"/>
          <w:szCs w:val="20"/>
        </w:rPr>
        <w:t xml:space="preserve">esta </w:t>
      </w:r>
      <w:r w:rsidRPr="00E123D4">
        <w:rPr>
          <w:rFonts w:ascii="Verdana" w:hAnsi="Verdana" w:cs="Calibri"/>
          <w:sz w:val="20"/>
          <w:szCs w:val="20"/>
        </w:rPr>
        <w:t xml:space="preserve">Presidencia decide no admitir la declaración testimonial del señor Guerrero Clase. </w:t>
      </w:r>
    </w:p>
    <w:p w:rsidR="00332068" w:rsidRPr="000F2383" w:rsidRDefault="00332068" w:rsidP="00332068">
      <w:pPr>
        <w:jc w:val="both"/>
        <w:rPr>
          <w:rFonts w:ascii="Verdana" w:hAnsi="Verdana" w:cs="Verdana"/>
          <w:b/>
          <w:bCs/>
          <w:color w:val="FF0000"/>
          <w:sz w:val="20"/>
          <w:szCs w:val="20"/>
        </w:rPr>
      </w:pPr>
    </w:p>
    <w:p w:rsidR="00332068" w:rsidRPr="00804CD2" w:rsidRDefault="00332068" w:rsidP="00332068">
      <w:pPr>
        <w:pStyle w:val="ListParagraph"/>
        <w:ind w:left="851"/>
        <w:jc w:val="both"/>
        <w:rPr>
          <w:rFonts w:ascii="Verdana" w:hAnsi="Verdana" w:cs="Verdana"/>
          <w:b/>
          <w:bCs/>
          <w:sz w:val="20"/>
          <w:szCs w:val="20"/>
        </w:rPr>
      </w:pPr>
      <w:r>
        <w:rPr>
          <w:rFonts w:ascii="Verdana" w:hAnsi="Verdana" w:cs="Verdana"/>
          <w:b/>
          <w:bCs/>
          <w:i/>
          <w:iCs/>
          <w:sz w:val="20"/>
          <w:szCs w:val="20"/>
        </w:rPr>
        <w:t>C.2)</w:t>
      </w:r>
      <w:r>
        <w:rPr>
          <w:rFonts w:ascii="Verdana" w:hAnsi="Verdana" w:cs="Verdana"/>
          <w:b/>
          <w:bCs/>
          <w:i/>
          <w:iCs/>
          <w:sz w:val="20"/>
          <w:szCs w:val="20"/>
        </w:rPr>
        <w:tab/>
      </w:r>
      <w:r w:rsidRPr="00804CD2">
        <w:rPr>
          <w:rFonts w:ascii="Verdana" w:hAnsi="Verdana" w:cs="Verdana"/>
          <w:b/>
          <w:bCs/>
          <w:i/>
          <w:iCs/>
          <w:sz w:val="20"/>
          <w:szCs w:val="20"/>
        </w:rPr>
        <w:t>Objeciones a declaraciones de presuntas víctimas ofrecidas por los representantes</w:t>
      </w:r>
    </w:p>
    <w:p w:rsidR="00332068" w:rsidRPr="00E123D4" w:rsidRDefault="00332068" w:rsidP="00332068">
      <w:pPr>
        <w:pStyle w:val="ListParagraph"/>
        <w:ind w:left="1440"/>
        <w:jc w:val="both"/>
        <w:rPr>
          <w:rFonts w:ascii="Verdana" w:hAnsi="Verdana" w:cs="Verdana"/>
          <w:b/>
          <w:bCs/>
          <w:sz w:val="20"/>
          <w:szCs w:val="20"/>
        </w:rPr>
      </w:pPr>
    </w:p>
    <w:p w:rsidR="00332068" w:rsidRDefault="00332068" w:rsidP="00332068">
      <w:pPr>
        <w:pStyle w:val="ListParagraph"/>
        <w:numPr>
          <w:ilvl w:val="0"/>
          <w:numId w:val="42"/>
        </w:numPr>
        <w:tabs>
          <w:tab w:val="left" w:pos="709"/>
          <w:tab w:val="left" w:pos="9178"/>
        </w:tabs>
        <w:autoSpaceDE w:val="0"/>
        <w:autoSpaceDN w:val="0"/>
        <w:adjustRightInd w:val="0"/>
        <w:ind w:left="0" w:right="-36" w:hanging="11"/>
        <w:jc w:val="both"/>
        <w:rPr>
          <w:rFonts w:ascii="Verdana" w:hAnsi="Verdana"/>
          <w:sz w:val="20"/>
          <w:szCs w:val="20"/>
          <w:lang w:val="es-CR"/>
        </w:rPr>
      </w:pPr>
      <w:r w:rsidRPr="00B33B1E">
        <w:rPr>
          <w:rFonts w:ascii="Verdana" w:hAnsi="Verdana"/>
          <w:sz w:val="20"/>
          <w:szCs w:val="20"/>
          <w:lang w:val="es-CR"/>
        </w:rPr>
        <w:t xml:space="preserve">Los representantes propusieron como declarantes al señor Antonio </w:t>
      </w:r>
      <w:proofErr w:type="spellStart"/>
      <w:r w:rsidRPr="00B33B1E">
        <w:rPr>
          <w:rFonts w:ascii="Verdana" w:hAnsi="Verdana"/>
          <w:sz w:val="20"/>
          <w:szCs w:val="20"/>
          <w:lang w:val="es-CR"/>
        </w:rPr>
        <w:t>Sensión</w:t>
      </w:r>
      <w:proofErr w:type="spellEnd"/>
      <w:r w:rsidRPr="00B33B1E">
        <w:rPr>
          <w:rFonts w:ascii="Verdana" w:hAnsi="Verdana"/>
          <w:sz w:val="20"/>
          <w:szCs w:val="20"/>
          <w:lang w:val="es-CR"/>
        </w:rPr>
        <w:t xml:space="preserve"> (en adelante también “señor </w:t>
      </w:r>
      <w:proofErr w:type="spellStart"/>
      <w:r w:rsidRPr="00B33B1E">
        <w:rPr>
          <w:rFonts w:ascii="Verdana" w:hAnsi="Verdana"/>
          <w:sz w:val="20"/>
          <w:szCs w:val="20"/>
          <w:lang w:val="es-CR"/>
        </w:rPr>
        <w:t>Sensión</w:t>
      </w:r>
      <w:proofErr w:type="spellEnd"/>
      <w:r w:rsidRPr="00B33B1E">
        <w:rPr>
          <w:rFonts w:ascii="Verdana" w:hAnsi="Verdana"/>
          <w:sz w:val="20"/>
          <w:szCs w:val="20"/>
          <w:lang w:val="es-CR"/>
        </w:rPr>
        <w:t xml:space="preserve">”); a su compañera, la señora Ana Lidia </w:t>
      </w:r>
      <w:proofErr w:type="spellStart"/>
      <w:r w:rsidRPr="00B33B1E">
        <w:rPr>
          <w:rFonts w:ascii="Verdana" w:hAnsi="Verdana"/>
          <w:sz w:val="20"/>
          <w:szCs w:val="20"/>
          <w:lang w:val="es-CR"/>
        </w:rPr>
        <w:t>Sensión</w:t>
      </w:r>
      <w:proofErr w:type="spellEnd"/>
      <w:r w:rsidRPr="00B33B1E">
        <w:rPr>
          <w:rFonts w:ascii="Verdana" w:hAnsi="Verdana"/>
          <w:sz w:val="20"/>
          <w:szCs w:val="20"/>
          <w:lang w:val="es-CR"/>
        </w:rPr>
        <w:t xml:space="preserve"> (en adelante también “señora </w:t>
      </w:r>
      <w:proofErr w:type="spellStart"/>
      <w:r w:rsidRPr="00B33B1E">
        <w:rPr>
          <w:rFonts w:ascii="Verdana" w:hAnsi="Verdana"/>
          <w:sz w:val="20"/>
          <w:szCs w:val="20"/>
          <w:lang w:val="es-CR"/>
        </w:rPr>
        <w:t>Sensión</w:t>
      </w:r>
      <w:proofErr w:type="spellEnd"/>
      <w:r w:rsidRPr="00B33B1E">
        <w:rPr>
          <w:rFonts w:ascii="Verdana" w:hAnsi="Verdana"/>
          <w:sz w:val="20"/>
          <w:szCs w:val="20"/>
          <w:lang w:val="es-CR"/>
        </w:rPr>
        <w:t xml:space="preserve">”); al señor </w:t>
      </w:r>
      <w:proofErr w:type="spellStart"/>
      <w:r w:rsidRPr="00B33B1E">
        <w:rPr>
          <w:rFonts w:ascii="Verdana" w:hAnsi="Verdana"/>
          <w:sz w:val="20"/>
          <w:szCs w:val="20"/>
          <w:lang w:val="es-CR"/>
        </w:rPr>
        <w:t>Markenson</w:t>
      </w:r>
      <w:proofErr w:type="spellEnd"/>
      <w:r w:rsidRPr="00B33B1E">
        <w:rPr>
          <w:rFonts w:ascii="Verdana" w:hAnsi="Verdana"/>
          <w:sz w:val="20"/>
          <w:szCs w:val="20"/>
          <w:lang w:val="es-CR"/>
        </w:rPr>
        <w:t xml:space="preserve"> Jean (en a</w:t>
      </w:r>
      <w:r>
        <w:rPr>
          <w:rFonts w:ascii="Verdana" w:hAnsi="Verdana"/>
          <w:sz w:val="20"/>
          <w:szCs w:val="20"/>
          <w:lang w:val="es-CR"/>
        </w:rPr>
        <w:t xml:space="preserve">delante también “señor Jean”); </w:t>
      </w:r>
      <w:r w:rsidRPr="00B33B1E">
        <w:rPr>
          <w:rFonts w:ascii="Verdana" w:hAnsi="Verdana"/>
          <w:sz w:val="20"/>
          <w:szCs w:val="20"/>
          <w:lang w:val="es-CR"/>
        </w:rPr>
        <w:t xml:space="preserve">a la señora Marlene Mesidor (en adelante también “señora Mesidor”), y a la señora </w:t>
      </w:r>
      <w:proofErr w:type="spellStart"/>
      <w:r w:rsidRPr="00B33B1E">
        <w:rPr>
          <w:rFonts w:ascii="Verdana" w:hAnsi="Verdana"/>
          <w:sz w:val="20"/>
          <w:szCs w:val="20"/>
          <w:lang w:val="es-CR"/>
        </w:rPr>
        <w:t>Wilda</w:t>
      </w:r>
      <w:proofErr w:type="spellEnd"/>
      <w:r w:rsidRPr="00B33B1E">
        <w:rPr>
          <w:rFonts w:ascii="Verdana" w:hAnsi="Verdana"/>
          <w:sz w:val="20"/>
          <w:szCs w:val="20"/>
          <w:lang w:val="es-CR"/>
        </w:rPr>
        <w:t xml:space="preserve"> Medina (en adelante también “señora Medina”)</w:t>
      </w:r>
      <w:r>
        <w:rPr>
          <w:rFonts w:ascii="Verdana" w:hAnsi="Verdana"/>
          <w:sz w:val="20"/>
          <w:szCs w:val="20"/>
          <w:lang w:val="es-CR"/>
        </w:rPr>
        <w:t>.</w:t>
      </w:r>
    </w:p>
    <w:p w:rsidR="00332068" w:rsidRDefault="00332068" w:rsidP="00332068">
      <w:pPr>
        <w:pStyle w:val="ListParagraph"/>
        <w:tabs>
          <w:tab w:val="left" w:pos="709"/>
          <w:tab w:val="left" w:pos="9178"/>
        </w:tabs>
        <w:autoSpaceDE w:val="0"/>
        <w:autoSpaceDN w:val="0"/>
        <w:adjustRightInd w:val="0"/>
        <w:ind w:left="0" w:right="-36"/>
        <w:jc w:val="both"/>
        <w:rPr>
          <w:rFonts w:ascii="Verdana" w:hAnsi="Verdana"/>
          <w:sz w:val="20"/>
          <w:szCs w:val="20"/>
          <w:lang w:val="es-CR"/>
        </w:rPr>
      </w:pPr>
    </w:p>
    <w:p w:rsidR="00332068" w:rsidRPr="00847D40" w:rsidRDefault="00332068" w:rsidP="00332068">
      <w:pPr>
        <w:pStyle w:val="ListParagraph"/>
        <w:numPr>
          <w:ilvl w:val="0"/>
          <w:numId w:val="42"/>
        </w:numPr>
        <w:tabs>
          <w:tab w:val="left" w:pos="709"/>
          <w:tab w:val="left" w:pos="9178"/>
        </w:tabs>
        <w:autoSpaceDE w:val="0"/>
        <w:autoSpaceDN w:val="0"/>
        <w:adjustRightInd w:val="0"/>
        <w:ind w:left="0" w:right="-36" w:hanging="11"/>
        <w:jc w:val="both"/>
        <w:rPr>
          <w:rFonts w:ascii="Verdana" w:hAnsi="Verdana"/>
          <w:sz w:val="20"/>
          <w:szCs w:val="20"/>
          <w:lang w:val="es-CR"/>
        </w:rPr>
      </w:pPr>
      <w:r w:rsidRPr="00847D40">
        <w:rPr>
          <w:rFonts w:ascii="Verdana" w:hAnsi="Verdana"/>
          <w:sz w:val="20"/>
          <w:szCs w:val="20"/>
          <w:lang w:val="es-CR"/>
        </w:rPr>
        <w:t>Los representantes informaron que todos ellos declararían</w:t>
      </w:r>
      <w:r>
        <w:rPr>
          <w:rFonts w:ascii="Verdana" w:hAnsi="Verdana"/>
          <w:sz w:val="20"/>
          <w:szCs w:val="20"/>
          <w:lang w:val="es-CR"/>
        </w:rPr>
        <w:t>,</w:t>
      </w:r>
      <w:r w:rsidRPr="00847D40">
        <w:rPr>
          <w:rFonts w:ascii="Verdana" w:hAnsi="Verdana"/>
          <w:sz w:val="20"/>
          <w:szCs w:val="20"/>
          <w:lang w:val="es-CR"/>
        </w:rPr>
        <w:t xml:space="preserve"> “entre otros aspectos relevantes para el caso”, sobre </w:t>
      </w:r>
      <w:r w:rsidRPr="00847D40">
        <w:rPr>
          <w:rFonts w:ascii="Verdana" w:hAnsi="Verdana" w:cs="Verdana"/>
          <w:sz w:val="20"/>
          <w:szCs w:val="20"/>
          <w:lang w:val="es-CR"/>
        </w:rPr>
        <w:t>los alegados “hechos relativos a su detención y posterior expulsión de República Dominicana” y, según sea el caso, a la situación de la familia</w:t>
      </w:r>
      <w:r>
        <w:rPr>
          <w:rFonts w:ascii="Verdana" w:hAnsi="Verdana" w:cs="Verdana"/>
          <w:sz w:val="20"/>
          <w:szCs w:val="20"/>
          <w:lang w:val="es-CR"/>
        </w:rPr>
        <w:t xml:space="preserve"> o</w:t>
      </w:r>
      <w:r w:rsidRPr="00847D40">
        <w:rPr>
          <w:rFonts w:ascii="Verdana" w:hAnsi="Verdana" w:cs="Verdana"/>
          <w:sz w:val="20"/>
          <w:szCs w:val="20"/>
          <w:lang w:val="es-CR"/>
        </w:rPr>
        <w:t xml:space="preserve"> esposa</w:t>
      </w:r>
      <w:r>
        <w:rPr>
          <w:rFonts w:ascii="Verdana" w:hAnsi="Verdana" w:cs="Verdana"/>
          <w:sz w:val="20"/>
          <w:szCs w:val="20"/>
          <w:lang w:val="es-CR"/>
        </w:rPr>
        <w:t xml:space="preserve"> o</w:t>
      </w:r>
      <w:r w:rsidRPr="00847D40">
        <w:rPr>
          <w:rFonts w:ascii="Verdana" w:hAnsi="Verdana" w:cs="Verdana"/>
          <w:sz w:val="20"/>
          <w:szCs w:val="20"/>
          <w:lang w:val="es-CR"/>
        </w:rPr>
        <w:t xml:space="preserve"> hijos</w:t>
      </w:r>
      <w:r>
        <w:rPr>
          <w:rFonts w:ascii="Verdana" w:hAnsi="Verdana" w:cs="Verdana"/>
          <w:sz w:val="20"/>
          <w:szCs w:val="20"/>
          <w:lang w:val="es-CR"/>
        </w:rPr>
        <w:t xml:space="preserve"> o</w:t>
      </w:r>
      <w:r w:rsidRPr="00847D40">
        <w:rPr>
          <w:rFonts w:ascii="Verdana" w:hAnsi="Verdana" w:cs="Verdana"/>
          <w:sz w:val="20"/>
          <w:szCs w:val="20"/>
          <w:lang w:val="es-CR"/>
        </w:rPr>
        <w:t xml:space="preserve"> hermanos</w:t>
      </w:r>
      <w:r>
        <w:rPr>
          <w:rFonts w:ascii="Verdana" w:hAnsi="Verdana" w:cs="Verdana"/>
          <w:sz w:val="20"/>
          <w:szCs w:val="20"/>
          <w:lang w:val="es-CR"/>
        </w:rPr>
        <w:t xml:space="preserve"> o</w:t>
      </w:r>
      <w:r w:rsidRPr="00847D40">
        <w:rPr>
          <w:rFonts w:ascii="Verdana" w:hAnsi="Verdana" w:cs="Verdana"/>
          <w:sz w:val="20"/>
          <w:szCs w:val="20"/>
          <w:lang w:val="es-CR"/>
        </w:rPr>
        <w:t xml:space="preserve"> padres y sus consecuencias; las supuestas dificultades que el declarante y su familia o miembros de la familia nacidos en República Dominicana, según sea el caso, han enfrentado para la obtención de documentos de identidad dominicanos; la forma en que los presuntos hechos han afectado al declarante y a los miembros su familia, y las medidas que el Estado debería adoptar para reparar el alegado daño causado. E</w:t>
      </w:r>
      <w:r>
        <w:rPr>
          <w:rFonts w:ascii="Verdana" w:hAnsi="Verdana" w:cs="Verdana"/>
          <w:sz w:val="20"/>
          <w:szCs w:val="20"/>
          <w:lang w:val="es-CR"/>
        </w:rPr>
        <w:t>l señor</w:t>
      </w:r>
      <w:r w:rsidRPr="00847D40">
        <w:rPr>
          <w:rFonts w:ascii="Verdana" w:hAnsi="Verdana" w:cs="Verdana"/>
          <w:sz w:val="20"/>
          <w:szCs w:val="20"/>
          <w:lang w:val="es-CR"/>
        </w:rPr>
        <w:t xml:space="preserve"> </w:t>
      </w:r>
      <w:r w:rsidRPr="00E600A1">
        <w:rPr>
          <w:rFonts w:ascii="Verdana" w:hAnsi="Verdana" w:cs="Verdana"/>
          <w:sz w:val="20"/>
          <w:szCs w:val="20"/>
          <w:lang w:val="es-CR"/>
        </w:rPr>
        <w:t>Antonio Sesión</w:t>
      </w:r>
      <w:r w:rsidRPr="00847D40">
        <w:rPr>
          <w:rFonts w:ascii="Verdana" w:hAnsi="Verdana" w:cs="Verdana"/>
          <w:i/>
          <w:sz w:val="20"/>
          <w:szCs w:val="20"/>
          <w:lang w:val="es-CR"/>
        </w:rPr>
        <w:t xml:space="preserve"> </w:t>
      </w:r>
      <w:r w:rsidRPr="00847D40">
        <w:rPr>
          <w:rFonts w:ascii="Verdana" w:hAnsi="Verdana" w:cs="Verdana"/>
          <w:sz w:val="20"/>
          <w:szCs w:val="20"/>
          <w:lang w:val="es-CR"/>
        </w:rPr>
        <w:t>declararía además sobre las alegadas gestiones realizadas por él para dar con el paradero de su esposa y sus hijas y lo que significó encontrarlas.</w:t>
      </w:r>
    </w:p>
    <w:p w:rsidR="00332068" w:rsidRDefault="00332068" w:rsidP="00332068">
      <w:pPr>
        <w:pStyle w:val="ListParagraph"/>
        <w:tabs>
          <w:tab w:val="left" w:pos="709"/>
        </w:tabs>
        <w:autoSpaceDE w:val="0"/>
        <w:autoSpaceDN w:val="0"/>
        <w:adjustRightInd w:val="0"/>
        <w:ind w:left="0" w:right="-36"/>
        <w:jc w:val="both"/>
        <w:rPr>
          <w:rFonts w:ascii="Verdana" w:hAnsi="Verdana"/>
          <w:sz w:val="20"/>
          <w:szCs w:val="20"/>
          <w:lang w:val="es-CR"/>
        </w:rPr>
      </w:pPr>
    </w:p>
    <w:p w:rsidR="00332068" w:rsidRPr="00E123D4" w:rsidRDefault="00332068" w:rsidP="00332068">
      <w:pPr>
        <w:pStyle w:val="ListParagraph"/>
        <w:numPr>
          <w:ilvl w:val="0"/>
          <w:numId w:val="42"/>
        </w:numPr>
        <w:tabs>
          <w:tab w:val="left" w:pos="709"/>
        </w:tabs>
        <w:autoSpaceDE w:val="0"/>
        <w:autoSpaceDN w:val="0"/>
        <w:adjustRightInd w:val="0"/>
        <w:ind w:left="0" w:right="-36" w:hanging="11"/>
        <w:jc w:val="both"/>
        <w:rPr>
          <w:rFonts w:ascii="Verdana" w:hAnsi="Verdana"/>
          <w:sz w:val="20"/>
          <w:szCs w:val="20"/>
          <w:lang w:val="es-CR"/>
        </w:rPr>
      </w:pPr>
      <w:r w:rsidRPr="00E123D4">
        <w:rPr>
          <w:rFonts w:ascii="Verdana" w:hAnsi="Verdana"/>
          <w:sz w:val="20"/>
          <w:szCs w:val="20"/>
          <w:lang w:val="es-CR"/>
        </w:rPr>
        <w:t xml:space="preserve">El Estado se opuso a la admisión de las declaraciones del señor </w:t>
      </w:r>
      <w:proofErr w:type="spellStart"/>
      <w:r w:rsidRPr="00E123D4">
        <w:rPr>
          <w:rFonts w:ascii="Verdana" w:hAnsi="Verdana"/>
          <w:sz w:val="20"/>
          <w:szCs w:val="20"/>
          <w:lang w:val="es-CR"/>
        </w:rPr>
        <w:t>Sensión</w:t>
      </w:r>
      <w:proofErr w:type="spellEnd"/>
      <w:r w:rsidRPr="00E123D4">
        <w:rPr>
          <w:rFonts w:ascii="Verdana" w:hAnsi="Verdana"/>
          <w:sz w:val="20"/>
          <w:szCs w:val="20"/>
          <w:lang w:val="es-CR"/>
        </w:rPr>
        <w:t xml:space="preserve"> y de la señora </w:t>
      </w:r>
      <w:proofErr w:type="spellStart"/>
      <w:r w:rsidRPr="00E123D4">
        <w:rPr>
          <w:rFonts w:ascii="Verdana" w:hAnsi="Verdana"/>
          <w:sz w:val="20"/>
          <w:szCs w:val="20"/>
          <w:lang w:val="es-CR"/>
        </w:rPr>
        <w:t>Sensión</w:t>
      </w:r>
      <w:proofErr w:type="spellEnd"/>
      <w:r>
        <w:rPr>
          <w:rFonts w:ascii="Verdana" w:hAnsi="Verdana"/>
          <w:sz w:val="20"/>
          <w:szCs w:val="20"/>
          <w:lang w:val="es-CR"/>
        </w:rPr>
        <w:t>,</w:t>
      </w:r>
      <w:r w:rsidRPr="00E123D4">
        <w:rPr>
          <w:rFonts w:ascii="Verdana" w:hAnsi="Verdana"/>
          <w:sz w:val="20"/>
          <w:szCs w:val="20"/>
          <w:lang w:val="es-CR"/>
        </w:rPr>
        <w:t xml:space="preserve"> con base en que se refieren a </w:t>
      </w:r>
      <w:r>
        <w:rPr>
          <w:rFonts w:ascii="Verdana" w:hAnsi="Verdana"/>
          <w:sz w:val="20"/>
          <w:szCs w:val="20"/>
          <w:lang w:val="es-CR"/>
        </w:rPr>
        <w:t xml:space="preserve">que </w:t>
      </w:r>
      <w:r w:rsidRPr="00E123D4">
        <w:rPr>
          <w:rFonts w:ascii="Verdana" w:hAnsi="Verdana"/>
          <w:sz w:val="20"/>
          <w:szCs w:val="20"/>
          <w:lang w:val="es-CR"/>
        </w:rPr>
        <w:t>“</w:t>
      </w:r>
      <w:r>
        <w:rPr>
          <w:rFonts w:ascii="Verdana" w:hAnsi="Verdana"/>
          <w:sz w:val="20"/>
          <w:szCs w:val="20"/>
          <w:lang w:val="es-CR"/>
        </w:rPr>
        <w:t xml:space="preserve">los alegados </w:t>
      </w:r>
      <w:r w:rsidRPr="00E123D4">
        <w:rPr>
          <w:rFonts w:ascii="Verdana" w:hAnsi="Verdana"/>
          <w:sz w:val="20"/>
          <w:szCs w:val="20"/>
          <w:lang w:val="es-CR"/>
        </w:rPr>
        <w:t>hechos y actos supuestamente cometidos en su perjuicio por agentes del Estado habrían ocurrido antes de la aceptación de la competencia contenciosa del Tribunal</w:t>
      </w:r>
      <w:r>
        <w:rPr>
          <w:rFonts w:ascii="Verdana" w:hAnsi="Verdana"/>
          <w:sz w:val="20"/>
          <w:szCs w:val="20"/>
          <w:lang w:val="es-CR"/>
        </w:rPr>
        <w:t>,</w:t>
      </w:r>
      <w:r w:rsidRPr="00E123D4">
        <w:rPr>
          <w:rFonts w:ascii="Verdana" w:hAnsi="Verdana"/>
          <w:sz w:val="20"/>
          <w:szCs w:val="20"/>
          <w:lang w:val="es-CR"/>
        </w:rPr>
        <w:t xml:space="preserve"> por lo que este carece de competencia </w:t>
      </w:r>
      <w:proofErr w:type="spellStart"/>
      <w:r w:rsidRPr="00E123D4">
        <w:rPr>
          <w:rFonts w:ascii="Verdana" w:hAnsi="Verdana"/>
          <w:i/>
          <w:sz w:val="20"/>
          <w:szCs w:val="20"/>
          <w:lang w:val="es-CR"/>
        </w:rPr>
        <w:t>ratione</w:t>
      </w:r>
      <w:proofErr w:type="spellEnd"/>
      <w:r w:rsidRPr="00E123D4">
        <w:rPr>
          <w:rFonts w:ascii="Verdana" w:hAnsi="Verdana"/>
          <w:i/>
          <w:sz w:val="20"/>
          <w:szCs w:val="20"/>
          <w:lang w:val="es-CR"/>
        </w:rPr>
        <w:t xml:space="preserve"> </w:t>
      </w:r>
      <w:proofErr w:type="spellStart"/>
      <w:r w:rsidRPr="00E123D4">
        <w:rPr>
          <w:rFonts w:ascii="Verdana" w:hAnsi="Verdana"/>
          <w:i/>
          <w:sz w:val="20"/>
          <w:szCs w:val="20"/>
          <w:lang w:val="es-CR"/>
        </w:rPr>
        <w:t>temporis</w:t>
      </w:r>
      <w:proofErr w:type="spellEnd"/>
      <w:r w:rsidRPr="00E123D4">
        <w:rPr>
          <w:rFonts w:ascii="Verdana" w:hAnsi="Verdana"/>
          <w:sz w:val="20"/>
          <w:szCs w:val="20"/>
          <w:lang w:val="es-CR"/>
        </w:rPr>
        <w:t xml:space="preserve"> para conocerlos”</w:t>
      </w:r>
      <w:r>
        <w:rPr>
          <w:rFonts w:ascii="Verdana" w:hAnsi="Verdana"/>
          <w:sz w:val="20"/>
          <w:szCs w:val="20"/>
          <w:lang w:val="es-CR"/>
        </w:rPr>
        <w:t>.</w:t>
      </w:r>
      <w:r w:rsidRPr="00E123D4">
        <w:rPr>
          <w:rFonts w:ascii="Verdana" w:hAnsi="Verdana"/>
          <w:sz w:val="20"/>
          <w:szCs w:val="20"/>
          <w:lang w:val="es-CR"/>
        </w:rPr>
        <w:t xml:space="preserve"> Objetó también </w:t>
      </w:r>
      <w:r w:rsidRPr="00E123D4">
        <w:rPr>
          <w:rFonts w:ascii="Verdana" w:hAnsi="Verdana" w:cs="Verdana"/>
          <w:sz w:val="20"/>
          <w:szCs w:val="20"/>
          <w:lang w:val="es-CR"/>
        </w:rPr>
        <w:t xml:space="preserve">la declaración del señor Jean y de la señora Mesidor </w:t>
      </w:r>
      <w:r>
        <w:rPr>
          <w:rFonts w:ascii="Verdana" w:hAnsi="Verdana" w:cs="Verdana"/>
          <w:sz w:val="20"/>
          <w:szCs w:val="20"/>
          <w:lang w:val="es-CR"/>
        </w:rPr>
        <w:t>“</w:t>
      </w:r>
      <w:r w:rsidRPr="00E123D4">
        <w:rPr>
          <w:rFonts w:ascii="Verdana" w:hAnsi="Verdana" w:cs="Verdana"/>
          <w:sz w:val="20"/>
          <w:szCs w:val="20"/>
          <w:lang w:val="es-CR"/>
        </w:rPr>
        <w:t>porque</w:t>
      </w:r>
      <w:r>
        <w:rPr>
          <w:rFonts w:ascii="Verdana" w:hAnsi="Verdana" w:cs="Verdana"/>
          <w:sz w:val="20"/>
          <w:szCs w:val="20"/>
          <w:lang w:val="es-CR"/>
        </w:rPr>
        <w:t xml:space="preserve"> […]</w:t>
      </w:r>
      <w:r w:rsidRPr="00E123D4">
        <w:rPr>
          <w:rFonts w:ascii="Verdana" w:hAnsi="Verdana" w:cs="Verdana"/>
          <w:sz w:val="20"/>
          <w:szCs w:val="20"/>
          <w:lang w:val="es-CR"/>
        </w:rPr>
        <w:t xml:space="preserve"> no fueron identificados por la Comisión Interamericana en su Informe de Admisibilidad No. 68/05, por lo cual </w:t>
      </w:r>
      <w:proofErr w:type="spellStart"/>
      <w:r w:rsidRPr="00E123D4">
        <w:rPr>
          <w:rFonts w:ascii="Verdana" w:hAnsi="Verdana" w:cs="Verdana"/>
          <w:sz w:val="20"/>
          <w:szCs w:val="20"/>
          <w:lang w:val="es-CR"/>
        </w:rPr>
        <w:t>present</w:t>
      </w:r>
      <w:proofErr w:type="spellEnd"/>
      <w:r w:rsidRPr="00E123D4">
        <w:rPr>
          <w:rFonts w:ascii="Verdana" w:hAnsi="Verdana" w:cs="Verdana"/>
          <w:sz w:val="20"/>
          <w:szCs w:val="20"/>
          <w:lang w:val="es-CR"/>
        </w:rPr>
        <w:t xml:space="preserve">[ó] una excepción preliminar tendente a que el Tribunal declare inadmisible parcialmente </w:t>
      </w:r>
      <w:r>
        <w:rPr>
          <w:rFonts w:ascii="Verdana" w:hAnsi="Verdana" w:cs="Verdana"/>
          <w:sz w:val="20"/>
          <w:szCs w:val="20"/>
          <w:lang w:val="es-CR"/>
        </w:rPr>
        <w:t xml:space="preserve">[el caso] </w:t>
      </w:r>
      <w:r w:rsidRPr="00E123D4">
        <w:rPr>
          <w:rFonts w:ascii="Verdana" w:hAnsi="Verdana" w:cs="Verdana"/>
          <w:sz w:val="20"/>
          <w:szCs w:val="20"/>
          <w:lang w:val="es-CR"/>
        </w:rPr>
        <w:t xml:space="preserve">en relación con esa familia”. De igual manera, respecto al señor Jean y a la señora Mesidor, el Estado indicó que objetó su calidad de presuntas víctimas, por lo que sus declaraciones </w:t>
      </w:r>
      <w:r>
        <w:rPr>
          <w:rFonts w:ascii="Verdana" w:hAnsi="Verdana" w:cs="Verdana"/>
          <w:sz w:val="20"/>
          <w:szCs w:val="20"/>
          <w:lang w:val="es-CR"/>
        </w:rPr>
        <w:t>“</w:t>
      </w:r>
      <w:r w:rsidRPr="00E123D4">
        <w:rPr>
          <w:rFonts w:ascii="Verdana" w:hAnsi="Verdana" w:cs="Verdana"/>
          <w:sz w:val="20"/>
          <w:szCs w:val="20"/>
          <w:lang w:val="es-CR"/>
        </w:rPr>
        <w:t>carecen de objeto en el presente litigio”.</w:t>
      </w:r>
      <w:r>
        <w:rPr>
          <w:rFonts w:ascii="Verdana" w:hAnsi="Verdana" w:cs="Verdana"/>
          <w:sz w:val="20"/>
          <w:szCs w:val="20"/>
          <w:lang w:val="es-CR"/>
        </w:rPr>
        <w:t xml:space="preserve"> </w:t>
      </w:r>
      <w:r w:rsidRPr="00E123D4">
        <w:rPr>
          <w:rFonts w:ascii="Verdana" w:hAnsi="Verdana"/>
          <w:sz w:val="20"/>
          <w:szCs w:val="20"/>
          <w:lang w:val="es-CR"/>
        </w:rPr>
        <w:t xml:space="preserve">Indicó además que </w:t>
      </w:r>
      <w:r>
        <w:rPr>
          <w:rFonts w:ascii="Verdana" w:hAnsi="Verdana"/>
          <w:sz w:val="20"/>
          <w:szCs w:val="20"/>
          <w:lang w:val="es-CR"/>
        </w:rPr>
        <w:t xml:space="preserve">el objeto de </w:t>
      </w:r>
      <w:r w:rsidRPr="00E123D4">
        <w:rPr>
          <w:rFonts w:ascii="Verdana" w:hAnsi="Verdana"/>
          <w:sz w:val="20"/>
          <w:szCs w:val="20"/>
          <w:lang w:val="es-CR"/>
        </w:rPr>
        <w:t>la declaración de la señora</w:t>
      </w:r>
      <w:r>
        <w:rPr>
          <w:rFonts w:ascii="Verdana" w:hAnsi="Verdana"/>
          <w:sz w:val="20"/>
          <w:szCs w:val="20"/>
          <w:lang w:val="es-CR"/>
        </w:rPr>
        <w:t xml:space="preserve"> Antonia</w:t>
      </w:r>
      <w:r w:rsidRPr="00E123D4">
        <w:rPr>
          <w:rFonts w:ascii="Verdana" w:hAnsi="Verdana"/>
          <w:sz w:val="20"/>
          <w:szCs w:val="20"/>
          <w:lang w:val="es-CR"/>
        </w:rPr>
        <w:t xml:space="preserve"> </w:t>
      </w:r>
      <w:proofErr w:type="spellStart"/>
      <w:r w:rsidRPr="00E123D4">
        <w:rPr>
          <w:rFonts w:ascii="Verdana" w:hAnsi="Verdana"/>
          <w:sz w:val="20"/>
          <w:szCs w:val="20"/>
          <w:lang w:val="es-CR"/>
        </w:rPr>
        <w:t>Sensión</w:t>
      </w:r>
      <w:proofErr w:type="spellEnd"/>
      <w:r w:rsidRPr="00E123D4">
        <w:rPr>
          <w:rFonts w:ascii="Verdana" w:hAnsi="Verdana"/>
          <w:sz w:val="20"/>
          <w:szCs w:val="20"/>
          <w:lang w:val="es-CR"/>
        </w:rPr>
        <w:t xml:space="preserve"> y </w:t>
      </w:r>
      <w:r>
        <w:rPr>
          <w:rFonts w:ascii="Verdana" w:hAnsi="Verdana"/>
          <w:sz w:val="20"/>
          <w:szCs w:val="20"/>
          <w:lang w:val="es-CR"/>
        </w:rPr>
        <w:t xml:space="preserve">del </w:t>
      </w:r>
      <w:r w:rsidRPr="00E123D4">
        <w:rPr>
          <w:rFonts w:ascii="Verdana" w:hAnsi="Verdana"/>
          <w:sz w:val="20"/>
          <w:szCs w:val="20"/>
          <w:lang w:val="es-CR"/>
        </w:rPr>
        <w:t>señor</w:t>
      </w:r>
      <w:r>
        <w:rPr>
          <w:rFonts w:ascii="Verdana" w:hAnsi="Verdana"/>
          <w:sz w:val="20"/>
          <w:szCs w:val="20"/>
          <w:lang w:val="es-CR"/>
        </w:rPr>
        <w:t xml:space="preserve"> William</w:t>
      </w:r>
      <w:r w:rsidRPr="00E123D4">
        <w:rPr>
          <w:rFonts w:ascii="Verdana" w:hAnsi="Verdana"/>
          <w:sz w:val="20"/>
          <w:szCs w:val="20"/>
          <w:lang w:val="es-CR"/>
        </w:rPr>
        <w:t xml:space="preserve"> Medina</w:t>
      </w:r>
      <w:r>
        <w:rPr>
          <w:rFonts w:ascii="Verdana" w:hAnsi="Verdana"/>
          <w:sz w:val="20"/>
          <w:szCs w:val="20"/>
          <w:lang w:val="es-CR"/>
        </w:rPr>
        <w:t xml:space="preserve"> Ferreras (</w:t>
      </w:r>
      <w:r>
        <w:rPr>
          <w:rFonts w:ascii="Verdana" w:hAnsi="Verdana"/>
          <w:i/>
          <w:sz w:val="20"/>
          <w:szCs w:val="20"/>
          <w:lang w:val="es-CR"/>
        </w:rPr>
        <w:t>supra</w:t>
      </w:r>
      <w:r>
        <w:rPr>
          <w:rFonts w:ascii="Verdana" w:hAnsi="Verdana"/>
          <w:sz w:val="20"/>
          <w:szCs w:val="20"/>
          <w:lang w:val="es-CR"/>
        </w:rPr>
        <w:t xml:space="preserve"> Considerando 10) es el mismo, por lo que lo objetó la primera “por ser </w:t>
      </w:r>
      <w:proofErr w:type="spellStart"/>
      <w:r>
        <w:rPr>
          <w:rFonts w:ascii="Verdana" w:hAnsi="Verdana"/>
          <w:sz w:val="20"/>
          <w:szCs w:val="20"/>
          <w:lang w:val="es-CR"/>
        </w:rPr>
        <w:t>repetitiv</w:t>
      </w:r>
      <w:proofErr w:type="spellEnd"/>
      <w:r>
        <w:rPr>
          <w:rFonts w:ascii="Verdana" w:hAnsi="Verdana"/>
          <w:sz w:val="20"/>
          <w:szCs w:val="20"/>
          <w:lang w:val="es-CR"/>
        </w:rPr>
        <w:t>[a] y [porque] su aceptación […]</w:t>
      </w:r>
      <w:r w:rsidRPr="00E123D4">
        <w:rPr>
          <w:rFonts w:ascii="Verdana" w:hAnsi="Verdana"/>
          <w:sz w:val="20"/>
          <w:szCs w:val="20"/>
          <w:lang w:val="es-CR"/>
        </w:rPr>
        <w:t xml:space="preserve"> violarí</w:t>
      </w:r>
      <w:r>
        <w:rPr>
          <w:rFonts w:ascii="Verdana" w:hAnsi="Verdana"/>
          <w:sz w:val="20"/>
          <w:szCs w:val="20"/>
          <w:lang w:val="es-CR"/>
        </w:rPr>
        <w:t>a</w:t>
      </w:r>
      <w:r w:rsidRPr="00E123D4">
        <w:rPr>
          <w:rFonts w:ascii="Verdana" w:hAnsi="Verdana"/>
          <w:sz w:val="20"/>
          <w:szCs w:val="20"/>
          <w:lang w:val="es-CR"/>
        </w:rPr>
        <w:t xml:space="preserve"> el principio de economía procesal reflejado </w:t>
      </w:r>
      <w:r w:rsidRPr="00E123D4">
        <w:rPr>
          <w:rFonts w:ascii="Verdana" w:hAnsi="Verdana"/>
          <w:i/>
          <w:sz w:val="20"/>
          <w:szCs w:val="20"/>
          <w:lang w:val="es-CR"/>
        </w:rPr>
        <w:t xml:space="preserve">inter </w:t>
      </w:r>
      <w:proofErr w:type="spellStart"/>
      <w:r w:rsidRPr="00E123D4">
        <w:rPr>
          <w:rFonts w:ascii="Verdana" w:hAnsi="Verdana"/>
          <w:i/>
          <w:sz w:val="20"/>
          <w:szCs w:val="20"/>
          <w:lang w:val="es-CR"/>
        </w:rPr>
        <w:t>alia</w:t>
      </w:r>
      <w:proofErr w:type="spellEnd"/>
      <w:r w:rsidRPr="00E123D4">
        <w:rPr>
          <w:rFonts w:ascii="Verdana" w:hAnsi="Verdana"/>
          <w:i/>
          <w:sz w:val="20"/>
          <w:szCs w:val="20"/>
          <w:lang w:val="es-CR"/>
        </w:rPr>
        <w:t xml:space="preserve"> </w:t>
      </w:r>
      <w:r w:rsidRPr="00E123D4">
        <w:rPr>
          <w:rFonts w:ascii="Verdana" w:hAnsi="Verdana"/>
          <w:sz w:val="20"/>
          <w:szCs w:val="20"/>
          <w:lang w:val="es-CR"/>
        </w:rPr>
        <w:t>en los numerales 5) y 6) del artículo 42 del Reglamento”</w:t>
      </w:r>
      <w:r>
        <w:rPr>
          <w:rFonts w:ascii="Verdana" w:hAnsi="Verdana"/>
          <w:sz w:val="20"/>
          <w:szCs w:val="20"/>
          <w:lang w:val="es-CR"/>
        </w:rPr>
        <w:t xml:space="preserve">. Igualmente, objetó la declaración de la señora </w:t>
      </w:r>
      <w:proofErr w:type="spellStart"/>
      <w:r>
        <w:rPr>
          <w:rFonts w:ascii="Verdana" w:hAnsi="Verdana"/>
          <w:sz w:val="20"/>
          <w:szCs w:val="20"/>
          <w:lang w:val="es-CR"/>
        </w:rPr>
        <w:t>Wilda</w:t>
      </w:r>
      <w:proofErr w:type="spellEnd"/>
      <w:r>
        <w:rPr>
          <w:rFonts w:ascii="Verdana" w:hAnsi="Verdana"/>
          <w:sz w:val="20"/>
          <w:szCs w:val="20"/>
          <w:lang w:val="es-CR"/>
        </w:rPr>
        <w:t xml:space="preserve"> Medina, </w:t>
      </w:r>
      <w:r w:rsidRPr="00E123D4">
        <w:rPr>
          <w:rFonts w:ascii="Verdana" w:hAnsi="Verdana"/>
          <w:sz w:val="20"/>
          <w:szCs w:val="20"/>
          <w:lang w:val="es-CR"/>
        </w:rPr>
        <w:t xml:space="preserve"> pues </w:t>
      </w:r>
      <w:r>
        <w:rPr>
          <w:rFonts w:ascii="Verdana" w:hAnsi="Verdana"/>
          <w:sz w:val="20"/>
          <w:szCs w:val="20"/>
          <w:lang w:val="es-CR"/>
        </w:rPr>
        <w:t xml:space="preserve">su objeto es el mismo que el indicado para el señor Medina, por lo que </w:t>
      </w:r>
      <w:r w:rsidRPr="00E123D4">
        <w:rPr>
          <w:rFonts w:ascii="Verdana" w:hAnsi="Verdana"/>
          <w:sz w:val="20"/>
          <w:szCs w:val="20"/>
          <w:lang w:val="es-CR"/>
        </w:rPr>
        <w:t>sería repetitivo,</w:t>
      </w:r>
      <w:r>
        <w:rPr>
          <w:rFonts w:ascii="Verdana" w:hAnsi="Verdana"/>
          <w:sz w:val="20"/>
          <w:szCs w:val="20"/>
          <w:lang w:val="es-CR"/>
        </w:rPr>
        <w:t xml:space="preserve"> y su aceptación igualmente violaría el principio de economía procesal.</w:t>
      </w:r>
      <w:r w:rsidRPr="00E123D4">
        <w:rPr>
          <w:rFonts w:ascii="Verdana" w:hAnsi="Verdana"/>
          <w:sz w:val="20"/>
          <w:szCs w:val="20"/>
          <w:lang w:val="es-CR"/>
        </w:rPr>
        <w:t xml:space="preserve"> </w:t>
      </w:r>
    </w:p>
    <w:p w:rsidR="00332068" w:rsidRDefault="00332068" w:rsidP="00332068">
      <w:pPr>
        <w:pStyle w:val="Default"/>
        <w:jc w:val="both"/>
        <w:rPr>
          <w:sz w:val="20"/>
          <w:szCs w:val="20"/>
          <w:lang w:val="es-ES_tradnl"/>
        </w:rPr>
      </w:pPr>
    </w:p>
    <w:p w:rsidR="00332068" w:rsidRPr="00BE610A" w:rsidRDefault="00332068" w:rsidP="00332068">
      <w:pPr>
        <w:pStyle w:val="ListParagraph"/>
        <w:widowControl w:val="0"/>
        <w:numPr>
          <w:ilvl w:val="0"/>
          <w:numId w:val="42"/>
        </w:numPr>
        <w:autoSpaceDE w:val="0"/>
        <w:autoSpaceDN w:val="0"/>
        <w:adjustRightInd w:val="0"/>
        <w:spacing w:after="240"/>
        <w:ind w:left="0" w:firstLine="0"/>
        <w:jc w:val="both"/>
        <w:rPr>
          <w:rFonts w:ascii="Verdana" w:eastAsiaTheme="minorEastAsia" w:hAnsi="Verdana" w:cs="Verdana"/>
          <w:b/>
          <w:sz w:val="20"/>
          <w:szCs w:val="20"/>
        </w:rPr>
      </w:pPr>
      <w:r>
        <w:rPr>
          <w:rFonts w:ascii="Verdana" w:eastAsiaTheme="minorEastAsia" w:hAnsi="Verdana" w:cs="Verdana"/>
          <w:sz w:val="20"/>
          <w:szCs w:val="20"/>
        </w:rPr>
        <w:t xml:space="preserve">En cuanto a </w:t>
      </w:r>
      <w:r w:rsidRPr="00E123D4">
        <w:rPr>
          <w:rFonts w:ascii="Verdana" w:eastAsiaTheme="minorEastAsia" w:hAnsi="Verdana" w:cs="Verdana"/>
          <w:sz w:val="20"/>
          <w:szCs w:val="20"/>
        </w:rPr>
        <w:t xml:space="preserve">las objeciones presentadas por el Estado sobre la admisibilidad de algunos declarantes propuestos por los representantes porque </w:t>
      </w:r>
      <w:r w:rsidRPr="00E123D4">
        <w:rPr>
          <w:rFonts w:ascii="Verdana" w:hAnsi="Verdana"/>
          <w:sz w:val="20"/>
          <w:szCs w:val="20"/>
          <w:lang w:val="es-CR"/>
        </w:rPr>
        <w:t>“los alegados hechos y actos supuestamente cometidos en su perjuicio por agentes del Estado habrían ocurrido antes de la aceptación de la competencia contenciosa del Tribunal” o por sus objeciones sobre su</w:t>
      </w:r>
      <w:r>
        <w:rPr>
          <w:rFonts w:ascii="Verdana" w:hAnsi="Verdana"/>
          <w:sz w:val="20"/>
          <w:szCs w:val="20"/>
          <w:lang w:val="es-CR"/>
        </w:rPr>
        <w:t xml:space="preserve"> falta de</w:t>
      </w:r>
      <w:r w:rsidRPr="00E123D4">
        <w:rPr>
          <w:rFonts w:ascii="Verdana" w:hAnsi="Verdana"/>
          <w:sz w:val="20"/>
          <w:szCs w:val="20"/>
          <w:lang w:val="es-CR"/>
        </w:rPr>
        <w:t xml:space="preserve"> “calidad de </w:t>
      </w:r>
      <w:r>
        <w:rPr>
          <w:rFonts w:ascii="Verdana" w:hAnsi="Verdana"/>
          <w:sz w:val="20"/>
          <w:szCs w:val="20"/>
          <w:lang w:val="es-CR"/>
        </w:rPr>
        <w:t xml:space="preserve">presunta </w:t>
      </w:r>
      <w:r w:rsidRPr="00E123D4">
        <w:rPr>
          <w:rFonts w:ascii="Verdana" w:hAnsi="Verdana"/>
          <w:sz w:val="20"/>
          <w:szCs w:val="20"/>
          <w:lang w:val="es-CR"/>
        </w:rPr>
        <w:t>víctima”</w:t>
      </w:r>
      <w:r w:rsidRPr="00E123D4">
        <w:rPr>
          <w:rFonts w:ascii="Verdana" w:eastAsiaTheme="minorEastAsia" w:hAnsi="Verdana" w:cs="Verdana"/>
          <w:sz w:val="20"/>
          <w:szCs w:val="20"/>
        </w:rPr>
        <w:t xml:space="preserve">, </w:t>
      </w:r>
      <w:r>
        <w:rPr>
          <w:rFonts w:ascii="Verdana" w:eastAsiaTheme="minorEastAsia" w:hAnsi="Verdana" w:cs="Verdana"/>
          <w:sz w:val="20"/>
          <w:szCs w:val="20"/>
        </w:rPr>
        <w:t>esta</w:t>
      </w:r>
      <w:r w:rsidRPr="00E123D4">
        <w:rPr>
          <w:rFonts w:ascii="Verdana" w:eastAsiaTheme="minorEastAsia" w:hAnsi="Verdana" w:cs="Verdana"/>
          <w:sz w:val="20"/>
          <w:szCs w:val="20"/>
        </w:rPr>
        <w:t xml:space="preserve"> Presidencia considera necesario recordar que </w:t>
      </w:r>
      <w:r w:rsidRPr="00B472C0">
        <w:rPr>
          <w:rFonts w:ascii="Verdana" w:eastAsiaTheme="minorEastAsia" w:hAnsi="Verdana" w:cs="Verdana"/>
          <w:sz w:val="20"/>
          <w:szCs w:val="20"/>
        </w:rPr>
        <w:t>corresponderá al Tribunal en su conjunto, en</w:t>
      </w:r>
      <w:r w:rsidRPr="00E123D4">
        <w:rPr>
          <w:rFonts w:ascii="Verdana" w:eastAsiaTheme="minorEastAsia" w:hAnsi="Verdana" w:cs="Verdana"/>
          <w:sz w:val="20"/>
          <w:szCs w:val="20"/>
        </w:rPr>
        <w:t xml:space="preserve"> el momento procesal oportuno, determinar los hechos del presente caso, así como las consecuencias jurídicas que se deriven de los mismos, luego de considerar los argumentos de las partes y en base a la evaluación de </w:t>
      </w:r>
      <w:r w:rsidRPr="005D4FF2">
        <w:rPr>
          <w:rFonts w:ascii="Verdana" w:eastAsiaTheme="minorEastAsia" w:hAnsi="Verdana" w:cs="Verdana"/>
          <w:sz w:val="20"/>
          <w:szCs w:val="20"/>
        </w:rPr>
        <w:t xml:space="preserve">la prueba presentada, según las reglas de la sana crítica. Las observaciones y objeciones del Estado en relación con determinadas pruebas ofrecidas por los representantes, vinculados a argumentos estatales sobre la competencia temporal del </w:t>
      </w:r>
      <w:r w:rsidRPr="005D4FF2">
        <w:rPr>
          <w:rFonts w:ascii="Verdana" w:eastAsiaTheme="minorEastAsia" w:hAnsi="Verdana" w:cs="Verdana"/>
          <w:sz w:val="20"/>
          <w:szCs w:val="20"/>
        </w:rPr>
        <w:lastRenderedPageBreak/>
        <w:t>Tribunal y el carácter de presunta víctima de ciertos declarantes, serán evaluadas por la Corte en la oportunidad procesal respectiva. En consecuencia, el Presidente considera que en el presente momento procesal no corresponde tomar la decisión de excluir esta prueba ofrecida por los representantes, sin que ello implique una decisión o un prejuzgamiento en cuanto al fondo del caso.</w:t>
      </w:r>
      <w:r w:rsidRPr="00BE610A">
        <w:rPr>
          <w:rFonts w:ascii="Verdana" w:eastAsiaTheme="minorEastAsia" w:hAnsi="Verdana" w:cs="Verdana"/>
          <w:b/>
          <w:sz w:val="20"/>
          <w:szCs w:val="20"/>
          <w:u w:val="single"/>
        </w:rPr>
        <w:t xml:space="preserve"> </w:t>
      </w:r>
    </w:p>
    <w:p w:rsidR="00332068" w:rsidRDefault="00332068" w:rsidP="00332068">
      <w:pPr>
        <w:pStyle w:val="ListParagraph"/>
        <w:widowControl w:val="0"/>
        <w:numPr>
          <w:ilvl w:val="0"/>
          <w:numId w:val="42"/>
        </w:numPr>
        <w:autoSpaceDE w:val="0"/>
        <w:autoSpaceDN w:val="0"/>
        <w:adjustRightInd w:val="0"/>
        <w:spacing w:after="240"/>
        <w:ind w:left="0" w:firstLine="0"/>
        <w:jc w:val="both"/>
        <w:rPr>
          <w:rFonts w:ascii="Verdana" w:eastAsiaTheme="minorEastAsia" w:hAnsi="Verdana" w:cs="Verdana"/>
          <w:sz w:val="20"/>
          <w:szCs w:val="20"/>
        </w:rPr>
      </w:pPr>
      <w:r>
        <w:rPr>
          <w:rFonts w:ascii="Verdana" w:eastAsiaTheme="minorEastAsia" w:hAnsi="Verdana" w:cs="Verdana"/>
          <w:sz w:val="20"/>
          <w:szCs w:val="20"/>
          <w:lang w:val="es-ES_tradnl"/>
        </w:rPr>
        <w:t xml:space="preserve">Por otra parte, </w:t>
      </w:r>
      <w:r>
        <w:rPr>
          <w:rFonts w:ascii="Verdana" w:eastAsiaTheme="minorEastAsia" w:hAnsi="Verdana" w:cs="Verdana"/>
          <w:sz w:val="20"/>
          <w:szCs w:val="20"/>
        </w:rPr>
        <w:t>e</w:t>
      </w:r>
      <w:r w:rsidRPr="00721DD9">
        <w:rPr>
          <w:rFonts w:ascii="Verdana" w:eastAsiaTheme="minorEastAsia" w:hAnsi="Verdana" w:cs="Verdana"/>
          <w:sz w:val="20"/>
          <w:szCs w:val="20"/>
        </w:rPr>
        <w:t>n tanto lo alegado por el Estado podría implicar una reducción en la prueba que corresponda evacuar, el Presidente considera que corresponde a cada parte determinar la estrategia de su litigio</w:t>
      </w:r>
      <w:r w:rsidRPr="00721DD9">
        <w:rPr>
          <w:rFonts w:ascii="Verdana" w:eastAsiaTheme="minorEastAsia" w:hAnsi="Verdana" w:cs="Verdana"/>
          <w:position w:val="12"/>
          <w:sz w:val="20"/>
          <w:szCs w:val="20"/>
        </w:rPr>
        <w:t xml:space="preserve"> </w:t>
      </w:r>
      <w:r w:rsidRPr="00721DD9">
        <w:rPr>
          <w:rFonts w:ascii="Verdana" w:eastAsiaTheme="minorEastAsia" w:hAnsi="Verdana" w:cs="Verdana"/>
          <w:sz w:val="20"/>
          <w:szCs w:val="20"/>
        </w:rPr>
        <w:t xml:space="preserve">y, por ende, las partes tienen la potestad de ofrecer la prueba que estimen pertinente y relevante en el marco del procedimiento ante la Corte, siempre que se respeten las reglas de admisibilidad, contradictorio y economía procesal. De tal manera, la relevancia y pertinencia de la prueba ofrecida por las partes en el trámite del proceso, así como una eventual superabundancia o inutilidad de la misma, hace parte de su respectiva estrategia de litigio. En este caso, el Estado también ha tenido oportunidad de ofrecer la prueba que ha estimado pertinente que el Tribunal reciba. Por lo anterior, el número de </w:t>
      </w:r>
      <w:r>
        <w:rPr>
          <w:rFonts w:ascii="Verdana" w:eastAsiaTheme="minorEastAsia" w:hAnsi="Verdana" w:cs="Verdana"/>
          <w:sz w:val="20"/>
          <w:szCs w:val="20"/>
        </w:rPr>
        <w:t>declarantes</w:t>
      </w:r>
      <w:r w:rsidRPr="00721DD9">
        <w:rPr>
          <w:rFonts w:ascii="Verdana" w:eastAsiaTheme="minorEastAsia" w:hAnsi="Verdana" w:cs="Verdana"/>
          <w:sz w:val="20"/>
          <w:szCs w:val="20"/>
        </w:rPr>
        <w:t xml:space="preserve"> ofrecidos por los representantes</w:t>
      </w:r>
      <w:r>
        <w:rPr>
          <w:rFonts w:ascii="Verdana" w:eastAsiaTheme="minorEastAsia" w:hAnsi="Verdana" w:cs="Verdana"/>
          <w:sz w:val="20"/>
          <w:szCs w:val="20"/>
        </w:rPr>
        <w:t>, así como el aducido carácter “repetitivo” de algunas declaraciones,</w:t>
      </w:r>
      <w:r w:rsidRPr="00721DD9">
        <w:rPr>
          <w:rFonts w:ascii="Verdana" w:eastAsiaTheme="minorEastAsia" w:hAnsi="Verdana" w:cs="Verdana"/>
          <w:sz w:val="20"/>
          <w:szCs w:val="20"/>
        </w:rPr>
        <w:t xml:space="preserve"> no puede ser interpretado como un acto en detrimento de los principios del contradictorio e igualdad procesal, por lo que no afecta </w:t>
      </w:r>
      <w:r w:rsidRPr="00721DD9">
        <w:rPr>
          <w:rFonts w:ascii="Verdana" w:eastAsiaTheme="minorEastAsia" w:hAnsi="Verdana" w:cs="Times"/>
          <w:i/>
          <w:sz w:val="20"/>
          <w:szCs w:val="20"/>
        </w:rPr>
        <w:t>per se</w:t>
      </w:r>
      <w:r w:rsidRPr="00721DD9">
        <w:rPr>
          <w:rFonts w:ascii="Verdana" w:eastAsiaTheme="minorEastAsia" w:hAnsi="Verdana" w:cs="Times"/>
          <w:sz w:val="20"/>
          <w:szCs w:val="20"/>
        </w:rPr>
        <w:t xml:space="preserve"> </w:t>
      </w:r>
      <w:r w:rsidRPr="00721DD9">
        <w:rPr>
          <w:rFonts w:ascii="Verdana" w:eastAsiaTheme="minorEastAsia" w:hAnsi="Verdana" w:cs="Verdana"/>
          <w:sz w:val="20"/>
          <w:szCs w:val="20"/>
        </w:rPr>
        <w:t>la admisibilidad de la prueba ofrecida</w:t>
      </w:r>
      <w:r w:rsidRPr="00721DD9">
        <w:rPr>
          <w:rStyle w:val="FootnoteReference"/>
          <w:rFonts w:ascii="Verdana" w:eastAsiaTheme="minorEastAsia" w:hAnsi="Verdana" w:cs="Verdana"/>
          <w:sz w:val="20"/>
          <w:szCs w:val="20"/>
        </w:rPr>
        <w:footnoteReference w:id="18"/>
      </w:r>
      <w:r w:rsidRPr="00721DD9">
        <w:rPr>
          <w:rFonts w:ascii="Verdana" w:eastAsiaTheme="minorEastAsia" w:hAnsi="Verdana" w:cs="Verdana"/>
          <w:sz w:val="20"/>
          <w:szCs w:val="20"/>
        </w:rPr>
        <w:t xml:space="preserve">. </w:t>
      </w:r>
    </w:p>
    <w:p w:rsidR="00332068" w:rsidRPr="000D6BB7" w:rsidRDefault="00332068" w:rsidP="00332068">
      <w:pPr>
        <w:pStyle w:val="ListParagraph"/>
        <w:widowControl w:val="0"/>
        <w:numPr>
          <w:ilvl w:val="0"/>
          <w:numId w:val="42"/>
        </w:numPr>
        <w:tabs>
          <w:tab w:val="left" w:pos="709"/>
          <w:tab w:val="left" w:pos="9178"/>
        </w:tabs>
        <w:autoSpaceDE w:val="0"/>
        <w:autoSpaceDN w:val="0"/>
        <w:adjustRightInd w:val="0"/>
        <w:spacing w:after="240"/>
        <w:ind w:left="0" w:right="-36" w:firstLine="0"/>
        <w:jc w:val="both"/>
        <w:rPr>
          <w:rFonts w:ascii="Verdana" w:eastAsiaTheme="minorEastAsia" w:hAnsi="Verdana" w:cs="Verdana"/>
          <w:sz w:val="20"/>
          <w:szCs w:val="20"/>
        </w:rPr>
      </w:pPr>
      <w:r w:rsidRPr="00E123D4">
        <w:rPr>
          <w:rFonts w:ascii="Verdana" w:eastAsiaTheme="minorEastAsia" w:hAnsi="Verdana" w:cs="Verdana"/>
          <w:sz w:val="20"/>
          <w:szCs w:val="20"/>
        </w:rPr>
        <w:t xml:space="preserve"> Por lo expuesto, el Presidente considera pertinente admitir las declaraciones de </w:t>
      </w:r>
      <w:r w:rsidRPr="00E123D4">
        <w:rPr>
          <w:rFonts w:ascii="Verdana" w:hAnsi="Verdana"/>
          <w:sz w:val="20"/>
          <w:szCs w:val="20"/>
          <w:lang w:val="es-CR"/>
        </w:rPr>
        <w:t xml:space="preserve">los  señores Antonio </w:t>
      </w:r>
      <w:proofErr w:type="spellStart"/>
      <w:r w:rsidRPr="00E123D4">
        <w:rPr>
          <w:rFonts w:ascii="Verdana" w:hAnsi="Verdana"/>
          <w:sz w:val="20"/>
          <w:szCs w:val="20"/>
          <w:lang w:val="es-CR"/>
        </w:rPr>
        <w:t>Sensión</w:t>
      </w:r>
      <w:proofErr w:type="spellEnd"/>
      <w:r>
        <w:rPr>
          <w:rFonts w:ascii="Verdana" w:hAnsi="Verdana"/>
          <w:sz w:val="20"/>
          <w:szCs w:val="20"/>
          <w:lang w:val="es-CR"/>
        </w:rPr>
        <w:t xml:space="preserve"> y</w:t>
      </w:r>
      <w:r w:rsidRPr="00E123D4">
        <w:rPr>
          <w:rFonts w:ascii="Verdana" w:hAnsi="Verdana"/>
          <w:sz w:val="20"/>
          <w:szCs w:val="20"/>
          <w:lang w:val="es-CR"/>
        </w:rPr>
        <w:t xml:space="preserve"> </w:t>
      </w:r>
      <w:proofErr w:type="spellStart"/>
      <w:r w:rsidRPr="00E123D4">
        <w:rPr>
          <w:rFonts w:ascii="Verdana" w:hAnsi="Verdana"/>
          <w:sz w:val="20"/>
          <w:szCs w:val="20"/>
          <w:lang w:val="es-CR"/>
        </w:rPr>
        <w:t>Markenson</w:t>
      </w:r>
      <w:proofErr w:type="spellEnd"/>
      <w:r w:rsidRPr="00E123D4">
        <w:rPr>
          <w:rFonts w:ascii="Verdana" w:hAnsi="Verdana"/>
          <w:sz w:val="20"/>
          <w:szCs w:val="20"/>
          <w:lang w:val="es-CR"/>
        </w:rPr>
        <w:t xml:space="preserve"> Jean, y</w:t>
      </w:r>
      <w:r>
        <w:rPr>
          <w:rFonts w:ascii="Verdana" w:hAnsi="Verdana"/>
          <w:sz w:val="20"/>
          <w:szCs w:val="20"/>
          <w:lang w:val="es-CR"/>
        </w:rPr>
        <w:t xml:space="preserve"> de</w:t>
      </w:r>
      <w:r w:rsidRPr="00E123D4">
        <w:rPr>
          <w:rFonts w:ascii="Verdana" w:hAnsi="Verdana"/>
          <w:sz w:val="20"/>
          <w:szCs w:val="20"/>
          <w:lang w:val="es-CR"/>
        </w:rPr>
        <w:t xml:space="preserve"> las señoras Ana Lidia </w:t>
      </w:r>
      <w:proofErr w:type="spellStart"/>
      <w:r w:rsidRPr="00E123D4">
        <w:rPr>
          <w:rFonts w:ascii="Verdana" w:hAnsi="Verdana"/>
          <w:sz w:val="20"/>
          <w:szCs w:val="20"/>
          <w:lang w:val="es-CR"/>
        </w:rPr>
        <w:t>Sensión</w:t>
      </w:r>
      <w:proofErr w:type="spellEnd"/>
      <w:r w:rsidRPr="00E123D4">
        <w:rPr>
          <w:rFonts w:ascii="Verdana" w:hAnsi="Verdana"/>
          <w:sz w:val="20"/>
          <w:szCs w:val="20"/>
          <w:lang w:val="es-CR"/>
        </w:rPr>
        <w:t xml:space="preserve">, Marlene Mesidor y </w:t>
      </w:r>
      <w:proofErr w:type="spellStart"/>
      <w:r w:rsidRPr="00E123D4">
        <w:rPr>
          <w:rFonts w:ascii="Verdana" w:hAnsi="Verdana"/>
          <w:sz w:val="20"/>
          <w:szCs w:val="20"/>
          <w:lang w:val="es-CR"/>
        </w:rPr>
        <w:t>Wilda</w:t>
      </w:r>
      <w:proofErr w:type="spellEnd"/>
      <w:r w:rsidRPr="00E123D4">
        <w:rPr>
          <w:rFonts w:ascii="Verdana" w:hAnsi="Verdana"/>
          <w:sz w:val="20"/>
          <w:szCs w:val="20"/>
          <w:lang w:val="es-CR"/>
        </w:rPr>
        <w:t xml:space="preserve"> Medin</w:t>
      </w:r>
      <w:r w:rsidRPr="004C3FDB">
        <w:rPr>
          <w:rFonts w:ascii="Verdana" w:hAnsi="Verdana"/>
          <w:sz w:val="20"/>
          <w:szCs w:val="20"/>
          <w:lang w:val="es-CR"/>
        </w:rPr>
        <w:t>a.</w:t>
      </w:r>
    </w:p>
    <w:p w:rsidR="00332068" w:rsidRPr="00DB6035" w:rsidRDefault="00332068" w:rsidP="00332068">
      <w:pPr>
        <w:pStyle w:val="ListParagraph"/>
        <w:numPr>
          <w:ilvl w:val="0"/>
          <w:numId w:val="2"/>
        </w:numPr>
        <w:jc w:val="both"/>
        <w:rPr>
          <w:rFonts w:ascii="Verdana" w:hAnsi="Verdana" w:cs="Verdana"/>
          <w:b/>
          <w:bCs/>
          <w:i/>
          <w:iCs/>
          <w:sz w:val="20"/>
          <w:szCs w:val="20"/>
        </w:rPr>
      </w:pPr>
      <w:r w:rsidRPr="00DB6035">
        <w:rPr>
          <w:rFonts w:ascii="Verdana" w:hAnsi="Verdana" w:cs="Verdana"/>
          <w:b/>
          <w:bCs/>
          <w:i/>
          <w:iCs/>
          <w:sz w:val="20"/>
          <w:szCs w:val="20"/>
        </w:rPr>
        <w:t>Admisibilidad de prueba pericial ofrecida por la Comisión</w:t>
      </w:r>
    </w:p>
    <w:p w:rsidR="00332068" w:rsidRPr="002347C6" w:rsidRDefault="00332068" w:rsidP="00332068">
      <w:pPr>
        <w:pStyle w:val="BodyTextIndent"/>
        <w:tabs>
          <w:tab w:val="left" w:pos="0"/>
          <w:tab w:val="left" w:pos="810"/>
        </w:tabs>
        <w:spacing w:after="0"/>
        <w:ind w:left="0"/>
        <w:jc w:val="both"/>
        <w:rPr>
          <w:rFonts w:ascii="Verdana" w:hAnsi="Verdana" w:cs="Verdana"/>
          <w:sz w:val="20"/>
          <w:szCs w:val="20"/>
          <w:lang w:val="es-ES"/>
        </w:rPr>
      </w:pPr>
    </w:p>
    <w:p w:rsidR="00332068" w:rsidRPr="002347C6" w:rsidRDefault="00332068" w:rsidP="00332068">
      <w:pPr>
        <w:pStyle w:val="BodyTextIndent"/>
        <w:numPr>
          <w:ilvl w:val="0"/>
          <w:numId w:val="42"/>
        </w:numPr>
        <w:tabs>
          <w:tab w:val="left" w:pos="709"/>
        </w:tabs>
        <w:spacing w:after="0" w:line="240" w:lineRule="auto"/>
        <w:ind w:left="0" w:firstLine="0"/>
        <w:jc w:val="both"/>
        <w:rPr>
          <w:rFonts w:ascii="Verdana" w:hAnsi="Verdana" w:cs="Verdana"/>
          <w:sz w:val="20"/>
          <w:szCs w:val="20"/>
          <w:u w:val="single"/>
        </w:rPr>
      </w:pPr>
      <w:r w:rsidRPr="00F66643">
        <w:rPr>
          <w:rFonts w:ascii="Verdana" w:hAnsi="Verdana" w:cs="Verdana"/>
          <w:sz w:val="20"/>
          <w:szCs w:val="20"/>
        </w:rPr>
        <w:t>De acuerdo con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 El sentido de esta disposición hace de la designación de peritos por parte de la Comisión un hecho excepcional sujet</w:t>
      </w:r>
      <w:r>
        <w:rPr>
          <w:rFonts w:ascii="Verdana" w:hAnsi="Verdana" w:cs="Verdana"/>
          <w:sz w:val="20"/>
          <w:szCs w:val="20"/>
        </w:rPr>
        <w:t>o</w:t>
      </w:r>
      <w:r w:rsidRPr="00F66643">
        <w:rPr>
          <w:rFonts w:ascii="Verdana" w:hAnsi="Verdana" w:cs="Verdana"/>
          <w:sz w:val="20"/>
          <w:szCs w:val="20"/>
        </w:rPr>
        <w:t xml:space="preserve"> a ese requisito</w:t>
      </w:r>
      <w:r>
        <w:rPr>
          <w:rFonts w:ascii="Verdana" w:hAnsi="Verdana" w:cs="Verdana"/>
          <w:sz w:val="20"/>
          <w:szCs w:val="20"/>
        </w:rPr>
        <w:t>,</w:t>
      </w:r>
      <w:r w:rsidRPr="00F66643">
        <w:rPr>
          <w:rFonts w:ascii="Verdana" w:hAnsi="Verdana" w:cs="Verdana"/>
          <w:sz w:val="20"/>
          <w:szCs w:val="20"/>
        </w:rPr>
        <w:t xml:space="preserve"> que no se cumple por el sólo hecho de que la prueba que se procura producir tenga relación con una alegada violación de derechos humanos. Tiene que estar afectado de “manera relevante el orden público interamericano de los derechos humanos”, correspondiendo a la Comisión sustentar tal situación</w:t>
      </w:r>
      <w:r w:rsidRPr="00F66643">
        <w:rPr>
          <w:rStyle w:val="FootnoteReference"/>
          <w:rFonts w:ascii="Verdana" w:hAnsi="Verdana" w:cs="Verdana"/>
          <w:sz w:val="20"/>
          <w:szCs w:val="20"/>
          <w:lang w:val="es-CL"/>
        </w:rPr>
        <w:footnoteReference w:id="19"/>
      </w:r>
      <w:r w:rsidRPr="00F66643">
        <w:rPr>
          <w:rFonts w:ascii="Verdana" w:hAnsi="Verdana" w:cs="Verdana"/>
          <w:sz w:val="20"/>
          <w:szCs w:val="20"/>
        </w:rPr>
        <w:t>.</w:t>
      </w:r>
      <w:r>
        <w:rPr>
          <w:rFonts w:ascii="Verdana" w:hAnsi="Verdana" w:cs="Verdana"/>
          <w:sz w:val="20"/>
          <w:szCs w:val="20"/>
        </w:rPr>
        <w:t xml:space="preserve"> </w:t>
      </w:r>
      <w:r w:rsidRPr="00F66643">
        <w:rPr>
          <w:rFonts w:ascii="Verdana" w:hAnsi="Verdana" w:cs="Verdana"/>
          <w:sz w:val="20"/>
          <w:szCs w:val="20"/>
          <w:lang w:val="es-CR"/>
        </w:rPr>
        <w:t xml:space="preserve">Esta Presidencia ha entendido que, </w:t>
      </w:r>
      <w:r w:rsidRPr="00F66643">
        <w:rPr>
          <w:rFonts w:ascii="Verdana" w:hAnsi="Verdana" w:cs="Verdana"/>
          <w:sz w:val="20"/>
          <w:szCs w:val="20"/>
        </w:rPr>
        <w:t>para cumplir con dicha exigencia reglamentaria,</w:t>
      </w:r>
      <w:r w:rsidRPr="00F66643">
        <w:rPr>
          <w:rFonts w:ascii="Verdana" w:hAnsi="Verdana" w:cs="Verdana"/>
          <w:sz w:val="20"/>
          <w:szCs w:val="20"/>
          <w:lang w:val="es-CR"/>
        </w:rPr>
        <w:t xml:space="preserve"> </w:t>
      </w:r>
      <w:r w:rsidRPr="00F66643">
        <w:rPr>
          <w:rFonts w:ascii="Verdana" w:hAnsi="Verdana" w:cs="Verdana"/>
          <w:sz w:val="20"/>
          <w:szCs w:val="20"/>
        </w:rPr>
        <w:t xml:space="preserve">el objeto del peritaje propuesto por la Comisión no debe estar circunscrito a la situación u ordenamiento jurídico del país en cuestión y debe trascender los hechos específicos del </w:t>
      </w:r>
      <w:r w:rsidRPr="002347C6">
        <w:rPr>
          <w:rFonts w:ascii="Verdana" w:hAnsi="Verdana" w:cs="Verdana"/>
          <w:sz w:val="20"/>
          <w:szCs w:val="20"/>
        </w:rPr>
        <w:t>caso en conocimiento de la Corte, así como el interés concreto de las partes en litigio</w:t>
      </w:r>
      <w:r w:rsidRPr="002347C6">
        <w:rPr>
          <w:rStyle w:val="FootnoteReference"/>
          <w:rFonts w:ascii="Verdana" w:hAnsi="Verdana" w:cs="Verdana"/>
          <w:sz w:val="20"/>
          <w:szCs w:val="20"/>
        </w:rPr>
        <w:footnoteReference w:id="20"/>
      </w:r>
      <w:r w:rsidRPr="002347C6">
        <w:rPr>
          <w:rFonts w:ascii="Verdana" w:hAnsi="Verdana" w:cs="Verdana"/>
          <w:sz w:val="20"/>
          <w:szCs w:val="20"/>
        </w:rPr>
        <w:t>.</w:t>
      </w:r>
      <w:r w:rsidRPr="002347C6">
        <w:rPr>
          <w:rFonts w:ascii="Verdana" w:hAnsi="Verdana" w:cs="Verdana"/>
          <w:sz w:val="20"/>
          <w:szCs w:val="20"/>
          <w:u w:val="single"/>
        </w:rPr>
        <w:t xml:space="preserve"> </w:t>
      </w:r>
      <w:bookmarkStart w:id="4" w:name="_Ref292892961"/>
    </w:p>
    <w:p w:rsidR="00332068" w:rsidRPr="002347C6" w:rsidRDefault="00332068" w:rsidP="00332068">
      <w:pPr>
        <w:pStyle w:val="BodyTextIndent"/>
        <w:tabs>
          <w:tab w:val="left" w:pos="709"/>
        </w:tabs>
        <w:spacing w:after="0" w:line="240" w:lineRule="auto"/>
        <w:ind w:left="0"/>
        <w:jc w:val="both"/>
        <w:rPr>
          <w:rFonts w:ascii="Verdana" w:hAnsi="Verdana" w:cs="Verdana"/>
          <w:sz w:val="20"/>
          <w:szCs w:val="20"/>
          <w:u w:val="single"/>
        </w:rPr>
      </w:pPr>
    </w:p>
    <w:p w:rsidR="00332068" w:rsidRPr="002347C6" w:rsidRDefault="00332068" w:rsidP="00332068">
      <w:pPr>
        <w:pStyle w:val="BodyTextIndent"/>
        <w:numPr>
          <w:ilvl w:val="0"/>
          <w:numId w:val="42"/>
        </w:numPr>
        <w:tabs>
          <w:tab w:val="left" w:pos="709"/>
        </w:tabs>
        <w:spacing w:after="0" w:line="240" w:lineRule="auto"/>
        <w:ind w:left="0" w:firstLine="0"/>
        <w:jc w:val="both"/>
        <w:rPr>
          <w:rFonts w:ascii="Verdana" w:hAnsi="Verdana" w:cs="Verdana"/>
          <w:sz w:val="20"/>
          <w:szCs w:val="20"/>
          <w:u w:val="single"/>
        </w:rPr>
      </w:pPr>
      <w:r w:rsidRPr="002347C6">
        <w:rPr>
          <w:rFonts w:ascii="Verdana" w:hAnsi="Verdana" w:cs="Verdana"/>
          <w:sz w:val="20"/>
          <w:szCs w:val="20"/>
          <w:lang w:val="es-ES"/>
        </w:rPr>
        <w:t>La Comisión Interamericana ofreció el peritaje del señor Carlos Quesada, en los términos antes referidos (</w:t>
      </w:r>
      <w:r w:rsidRPr="002347C6">
        <w:rPr>
          <w:rFonts w:ascii="Verdana" w:hAnsi="Verdana" w:cs="Verdana"/>
          <w:i/>
          <w:sz w:val="20"/>
          <w:szCs w:val="20"/>
          <w:lang w:val="es-ES"/>
        </w:rPr>
        <w:t>supra</w:t>
      </w:r>
      <w:r w:rsidRPr="002347C6">
        <w:rPr>
          <w:rFonts w:ascii="Verdana" w:hAnsi="Verdana" w:cs="Verdana"/>
          <w:sz w:val="20"/>
          <w:szCs w:val="20"/>
          <w:lang w:val="es-ES"/>
        </w:rPr>
        <w:t xml:space="preserve"> Considerando </w:t>
      </w:r>
      <w:r>
        <w:rPr>
          <w:rFonts w:ascii="Verdana" w:hAnsi="Verdana" w:cs="Verdana"/>
          <w:sz w:val="20"/>
          <w:szCs w:val="20"/>
          <w:lang w:val="es-ES"/>
        </w:rPr>
        <w:t>30</w:t>
      </w:r>
      <w:r w:rsidRPr="002347C6">
        <w:rPr>
          <w:rFonts w:ascii="Verdana" w:hAnsi="Verdana" w:cs="Verdana"/>
          <w:sz w:val="20"/>
          <w:szCs w:val="20"/>
          <w:lang w:val="es-ES"/>
        </w:rPr>
        <w:t xml:space="preserve">). Además, ofreció las declaraciones </w:t>
      </w:r>
      <w:r w:rsidRPr="002347C6">
        <w:rPr>
          <w:rFonts w:ascii="Verdana" w:hAnsi="Verdana" w:cs="Verdana"/>
          <w:sz w:val="20"/>
          <w:szCs w:val="20"/>
          <w:lang w:val="es-ES"/>
        </w:rPr>
        <w:lastRenderedPageBreak/>
        <w:t xml:space="preserve">periciales del señor Pablo </w:t>
      </w:r>
      <w:proofErr w:type="spellStart"/>
      <w:r w:rsidRPr="002347C6">
        <w:rPr>
          <w:rFonts w:ascii="Verdana" w:hAnsi="Verdana" w:cs="Verdana"/>
          <w:sz w:val="20"/>
          <w:szCs w:val="20"/>
          <w:lang w:val="es-ES"/>
        </w:rPr>
        <w:t>Ceriani</w:t>
      </w:r>
      <w:proofErr w:type="spellEnd"/>
      <w:r w:rsidRPr="002347C6">
        <w:rPr>
          <w:rFonts w:ascii="Verdana" w:hAnsi="Verdana" w:cs="Verdana"/>
          <w:sz w:val="20"/>
          <w:szCs w:val="20"/>
          <w:lang w:val="es-ES"/>
        </w:rPr>
        <w:t xml:space="preserve"> y de la señora Julia </w:t>
      </w:r>
      <w:proofErr w:type="spellStart"/>
      <w:r w:rsidRPr="002347C6">
        <w:rPr>
          <w:rFonts w:ascii="Verdana" w:hAnsi="Verdana" w:cs="Verdana"/>
          <w:sz w:val="20"/>
          <w:szCs w:val="20"/>
          <w:lang w:val="es-ES"/>
        </w:rPr>
        <w:t>Harrington</w:t>
      </w:r>
      <w:proofErr w:type="spellEnd"/>
      <w:r w:rsidRPr="002347C6">
        <w:rPr>
          <w:rFonts w:ascii="Verdana" w:hAnsi="Verdana" w:cs="Verdana"/>
          <w:sz w:val="20"/>
          <w:szCs w:val="20"/>
          <w:lang w:val="es-ES"/>
        </w:rPr>
        <w:t xml:space="preserve">. El señor Pablo </w:t>
      </w:r>
      <w:proofErr w:type="spellStart"/>
      <w:r w:rsidRPr="002347C6">
        <w:rPr>
          <w:rFonts w:ascii="Verdana" w:hAnsi="Verdana" w:cs="Verdana"/>
          <w:sz w:val="20"/>
          <w:szCs w:val="20"/>
          <w:lang w:val="es-ES"/>
        </w:rPr>
        <w:t>Ceriani</w:t>
      </w:r>
      <w:proofErr w:type="spellEnd"/>
      <w:r w:rsidRPr="002347C6">
        <w:rPr>
          <w:rFonts w:ascii="Verdana" w:hAnsi="Verdana" w:cs="Verdana"/>
          <w:sz w:val="20"/>
          <w:szCs w:val="20"/>
          <w:lang w:val="es-ES"/>
        </w:rPr>
        <w:t>, de acuerdo al objeto propuesto por la Comisión, declararía sobre</w:t>
      </w:r>
    </w:p>
    <w:p w:rsidR="00332068" w:rsidRPr="002347C6" w:rsidRDefault="00332068" w:rsidP="00332068">
      <w:pPr>
        <w:pStyle w:val="ListParagraph"/>
        <w:rPr>
          <w:rFonts w:ascii="Verdana" w:hAnsi="Verdana" w:cs="Verdana"/>
          <w:sz w:val="20"/>
          <w:szCs w:val="20"/>
        </w:rPr>
      </w:pPr>
    </w:p>
    <w:p w:rsidR="00332068" w:rsidRDefault="00332068" w:rsidP="00332068">
      <w:pPr>
        <w:pStyle w:val="BodyTextIndent"/>
        <w:tabs>
          <w:tab w:val="left" w:pos="709"/>
        </w:tabs>
        <w:spacing w:after="0" w:line="240" w:lineRule="auto"/>
        <w:ind w:left="567" w:right="673"/>
        <w:jc w:val="both"/>
        <w:rPr>
          <w:rFonts w:ascii="Verdana" w:hAnsi="Verdana" w:cs="Verdana"/>
          <w:sz w:val="16"/>
          <w:szCs w:val="16"/>
          <w:lang w:val="es-ES"/>
        </w:rPr>
      </w:pPr>
      <w:proofErr w:type="gramStart"/>
      <w:r w:rsidRPr="002347C6">
        <w:rPr>
          <w:rFonts w:ascii="Verdana" w:hAnsi="Verdana" w:cs="Verdana"/>
          <w:sz w:val="16"/>
          <w:szCs w:val="16"/>
          <w:lang w:val="es-ES"/>
        </w:rPr>
        <w:t>los</w:t>
      </w:r>
      <w:proofErr w:type="gramEnd"/>
      <w:r w:rsidRPr="002347C6">
        <w:rPr>
          <w:rFonts w:ascii="Verdana" w:hAnsi="Verdana" w:cs="Verdana"/>
          <w:sz w:val="16"/>
          <w:szCs w:val="16"/>
          <w:lang w:val="es-ES"/>
        </w:rPr>
        <w:t xml:space="preserve"> parámetros que deben respetar las políticas migratorias y</w:t>
      </w:r>
      <w:r>
        <w:rPr>
          <w:rFonts w:ascii="Verdana" w:hAnsi="Verdana" w:cs="Verdana"/>
          <w:sz w:val="16"/>
          <w:szCs w:val="16"/>
          <w:lang w:val="es-ES"/>
        </w:rPr>
        <w:t>,</w:t>
      </w:r>
      <w:r w:rsidRPr="002347C6">
        <w:rPr>
          <w:rFonts w:ascii="Verdana" w:hAnsi="Verdana" w:cs="Verdana"/>
          <w:sz w:val="16"/>
          <w:szCs w:val="16"/>
          <w:lang w:val="es-ES"/>
        </w:rPr>
        <w:t xml:space="preserve"> en particular</w:t>
      </w:r>
      <w:r>
        <w:rPr>
          <w:rFonts w:ascii="Verdana" w:hAnsi="Verdana" w:cs="Verdana"/>
          <w:sz w:val="16"/>
          <w:szCs w:val="16"/>
          <w:lang w:val="es-ES"/>
        </w:rPr>
        <w:t>,</w:t>
      </w:r>
      <w:r w:rsidRPr="002347C6">
        <w:rPr>
          <w:rFonts w:ascii="Verdana" w:hAnsi="Verdana" w:cs="Verdana"/>
          <w:sz w:val="16"/>
          <w:szCs w:val="16"/>
          <w:lang w:val="es-ES"/>
        </w:rPr>
        <w:t xml:space="preserve"> la articulación de los procesos de repatriación con la garantía y protección de los derechos humanos, adoptando una perspectiva diferenciada que tenga en cuenta un enfoque de género y las necesidades específicas de niños y niñas. </w:t>
      </w:r>
    </w:p>
    <w:p w:rsidR="00332068" w:rsidRPr="002347C6" w:rsidRDefault="00332068" w:rsidP="00332068">
      <w:pPr>
        <w:pStyle w:val="BodyTextIndent"/>
        <w:tabs>
          <w:tab w:val="left" w:pos="709"/>
        </w:tabs>
        <w:spacing w:after="0" w:line="240" w:lineRule="auto"/>
        <w:ind w:left="567" w:right="673"/>
        <w:jc w:val="both"/>
        <w:rPr>
          <w:rFonts w:ascii="Verdana" w:hAnsi="Verdana" w:cs="Verdana"/>
          <w:sz w:val="20"/>
          <w:szCs w:val="20"/>
          <w:u w:val="single"/>
        </w:rPr>
      </w:pPr>
    </w:p>
    <w:p w:rsidR="00332068" w:rsidRPr="002347C6" w:rsidRDefault="00332068" w:rsidP="00332068">
      <w:pPr>
        <w:pStyle w:val="BodyTextIndent"/>
        <w:tabs>
          <w:tab w:val="left" w:pos="709"/>
        </w:tabs>
        <w:spacing w:after="0" w:line="240" w:lineRule="auto"/>
        <w:ind w:left="0" w:right="-36"/>
        <w:jc w:val="both"/>
        <w:rPr>
          <w:rFonts w:ascii="Verdana" w:hAnsi="Verdana" w:cs="Verdana"/>
          <w:sz w:val="16"/>
          <w:szCs w:val="16"/>
          <w:lang w:val="es-ES"/>
        </w:rPr>
      </w:pPr>
      <w:r>
        <w:rPr>
          <w:rFonts w:ascii="Verdana" w:hAnsi="Verdana" w:cs="Verdana"/>
          <w:sz w:val="20"/>
          <w:szCs w:val="20"/>
        </w:rPr>
        <w:t xml:space="preserve">El </w:t>
      </w:r>
      <w:r>
        <w:rPr>
          <w:rFonts w:ascii="Verdana" w:hAnsi="Verdana" w:cs="Verdana"/>
          <w:sz w:val="20"/>
          <w:szCs w:val="20"/>
          <w:lang w:val="es-ES"/>
        </w:rPr>
        <w:t>perito,</w:t>
      </w:r>
      <w:r w:rsidRPr="002347C6">
        <w:rPr>
          <w:rFonts w:ascii="Verdana" w:hAnsi="Verdana" w:cs="Verdana"/>
          <w:sz w:val="20"/>
          <w:szCs w:val="20"/>
          <w:lang w:val="es-ES"/>
        </w:rPr>
        <w:t xml:space="preserve"> </w:t>
      </w:r>
      <w:r>
        <w:rPr>
          <w:rFonts w:ascii="Verdana" w:hAnsi="Verdana" w:cs="Verdana"/>
          <w:sz w:val="20"/>
          <w:szCs w:val="20"/>
          <w:lang w:val="es-ES"/>
        </w:rPr>
        <w:t xml:space="preserve">según fue ofrecido, </w:t>
      </w:r>
      <w:r w:rsidRPr="002347C6">
        <w:rPr>
          <w:rFonts w:ascii="Verdana" w:hAnsi="Verdana" w:cs="Verdana"/>
          <w:sz w:val="20"/>
          <w:szCs w:val="20"/>
          <w:lang w:val="es-ES"/>
        </w:rPr>
        <w:t>“presentará una per</w:t>
      </w:r>
      <w:r>
        <w:rPr>
          <w:rFonts w:ascii="Verdana" w:hAnsi="Verdana" w:cs="Verdana"/>
          <w:sz w:val="20"/>
          <w:szCs w:val="20"/>
          <w:lang w:val="es-ES"/>
        </w:rPr>
        <w:t>s</w:t>
      </w:r>
      <w:r w:rsidRPr="002347C6">
        <w:rPr>
          <w:rFonts w:ascii="Verdana" w:hAnsi="Verdana" w:cs="Verdana"/>
          <w:sz w:val="20"/>
          <w:szCs w:val="20"/>
          <w:lang w:val="es-ES"/>
        </w:rPr>
        <w:t xml:space="preserve">pectiva comparada de la regulación de los procesos de repatriación, ilustrando buenas prácticas y desafíos en su implementación”. Por su parte, la señora Julia </w:t>
      </w:r>
      <w:proofErr w:type="spellStart"/>
      <w:r w:rsidRPr="002347C6">
        <w:rPr>
          <w:rFonts w:ascii="Verdana" w:hAnsi="Verdana" w:cs="Verdana"/>
          <w:sz w:val="20"/>
          <w:szCs w:val="20"/>
          <w:lang w:val="es-ES"/>
        </w:rPr>
        <w:t>Harring</w:t>
      </w:r>
      <w:r>
        <w:rPr>
          <w:rFonts w:ascii="Verdana" w:hAnsi="Verdana" w:cs="Verdana"/>
          <w:sz w:val="20"/>
          <w:szCs w:val="20"/>
          <w:lang w:val="es-ES"/>
        </w:rPr>
        <w:t>ton</w:t>
      </w:r>
      <w:proofErr w:type="spellEnd"/>
      <w:r>
        <w:rPr>
          <w:rFonts w:ascii="Verdana" w:hAnsi="Verdana" w:cs="Verdana"/>
          <w:sz w:val="20"/>
          <w:szCs w:val="20"/>
          <w:lang w:val="es-ES"/>
        </w:rPr>
        <w:t xml:space="preserve"> declararía, de conformidad con</w:t>
      </w:r>
      <w:r w:rsidRPr="002347C6">
        <w:rPr>
          <w:rFonts w:ascii="Verdana" w:hAnsi="Verdana" w:cs="Verdana"/>
          <w:sz w:val="20"/>
          <w:szCs w:val="20"/>
          <w:lang w:val="es-ES"/>
        </w:rPr>
        <w:t xml:space="preserve"> la propuesta de la Comisión, sobre “estándares internacionales en materia de regulación del derecho a la nacionalidad y su compatibilidad con el derecho internacional de los derechos </w:t>
      </w:r>
      <w:proofErr w:type="gramStart"/>
      <w:r w:rsidRPr="002347C6">
        <w:rPr>
          <w:rFonts w:ascii="Verdana" w:hAnsi="Verdana" w:cs="Verdana"/>
          <w:sz w:val="20"/>
          <w:szCs w:val="20"/>
          <w:lang w:val="es-ES"/>
        </w:rPr>
        <w:t>humanos[</w:t>
      </w:r>
      <w:proofErr w:type="gramEnd"/>
      <w:r w:rsidRPr="002347C6">
        <w:rPr>
          <w:rFonts w:ascii="Verdana" w:hAnsi="Verdana" w:cs="Verdana"/>
          <w:sz w:val="20"/>
          <w:szCs w:val="20"/>
          <w:lang w:val="es-ES"/>
        </w:rPr>
        <w:t xml:space="preserve">,] y […] el contenido de la prohibición de expulsión de nacionales, de acuerdo con el derecho internacional”. </w:t>
      </w:r>
    </w:p>
    <w:p w:rsidR="00332068" w:rsidRPr="002347C6" w:rsidRDefault="00332068" w:rsidP="00332068">
      <w:pPr>
        <w:pStyle w:val="BodyTextIndent"/>
        <w:tabs>
          <w:tab w:val="left" w:pos="709"/>
        </w:tabs>
        <w:spacing w:after="0" w:line="240" w:lineRule="auto"/>
        <w:ind w:left="0" w:right="673"/>
        <w:jc w:val="both"/>
        <w:rPr>
          <w:rFonts w:ascii="Verdana" w:hAnsi="Verdana" w:cs="Verdana"/>
          <w:sz w:val="16"/>
          <w:szCs w:val="16"/>
          <w:lang w:val="es-ES"/>
        </w:rPr>
      </w:pPr>
    </w:p>
    <w:p w:rsidR="00332068" w:rsidRPr="00BE7135" w:rsidRDefault="00332068" w:rsidP="00332068">
      <w:pPr>
        <w:pStyle w:val="BodyTextIndent"/>
        <w:numPr>
          <w:ilvl w:val="0"/>
          <w:numId w:val="42"/>
        </w:numPr>
        <w:tabs>
          <w:tab w:val="left" w:pos="0"/>
        </w:tabs>
        <w:spacing w:after="0" w:line="240" w:lineRule="auto"/>
        <w:ind w:left="0" w:right="-36" w:hanging="11"/>
        <w:jc w:val="both"/>
        <w:rPr>
          <w:rFonts w:ascii="Verdana" w:hAnsi="Verdana" w:cs="Verdana"/>
          <w:color w:val="FF0000"/>
          <w:sz w:val="20"/>
          <w:szCs w:val="20"/>
          <w:u w:val="single"/>
          <w:lang w:val="es-ES"/>
        </w:rPr>
      </w:pPr>
      <w:r w:rsidRPr="002315FD">
        <w:rPr>
          <w:rFonts w:ascii="Verdana" w:hAnsi="Verdana" w:cs="Verdana"/>
          <w:sz w:val="20"/>
          <w:szCs w:val="20"/>
          <w:lang w:val="es-ES"/>
        </w:rPr>
        <w:t>Respecto al ofrecimiento de la pericia del señor Carlos Quesada, ya se ha indicado la determinación de aceptarla de acuerdo a la propuesta efectuada por los representantes y, por lo tanto, se desestimó su declaración de acuerdo al ofrecimiento de la Comisión</w:t>
      </w:r>
      <w:r>
        <w:rPr>
          <w:rFonts w:ascii="Verdana" w:hAnsi="Verdana" w:cs="Verdana"/>
          <w:sz w:val="20"/>
          <w:szCs w:val="20"/>
          <w:lang w:val="es-ES"/>
        </w:rPr>
        <w:t xml:space="preserve"> (</w:t>
      </w:r>
      <w:r w:rsidRPr="002315FD">
        <w:rPr>
          <w:rFonts w:ascii="Verdana" w:hAnsi="Verdana" w:cs="Verdana"/>
          <w:i/>
          <w:sz w:val="20"/>
          <w:szCs w:val="20"/>
          <w:lang w:val="es-ES"/>
        </w:rPr>
        <w:t>supra</w:t>
      </w:r>
      <w:r w:rsidR="008F004E">
        <w:rPr>
          <w:rFonts w:ascii="Verdana" w:hAnsi="Verdana" w:cs="Verdana"/>
          <w:sz w:val="20"/>
          <w:szCs w:val="20"/>
          <w:lang w:val="es-ES"/>
        </w:rPr>
        <w:t xml:space="preserve"> Considerand</w:t>
      </w:r>
      <w:r>
        <w:rPr>
          <w:rFonts w:ascii="Verdana" w:hAnsi="Verdana" w:cs="Verdana"/>
          <w:sz w:val="20"/>
          <w:szCs w:val="20"/>
          <w:lang w:val="es-ES"/>
        </w:rPr>
        <w:t>o 34)</w:t>
      </w:r>
      <w:r w:rsidRPr="00B472C0">
        <w:rPr>
          <w:rFonts w:ascii="Verdana" w:hAnsi="Verdana" w:cs="Verdana"/>
          <w:sz w:val="20"/>
          <w:szCs w:val="20"/>
          <w:lang w:val="es-ES"/>
        </w:rPr>
        <w:t>.</w:t>
      </w:r>
      <w:r w:rsidRPr="00BE7135">
        <w:rPr>
          <w:rFonts w:ascii="Verdana" w:hAnsi="Verdana" w:cs="Verdana"/>
          <w:sz w:val="20"/>
          <w:szCs w:val="20"/>
          <w:lang w:val="es-ES"/>
        </w:rPr>
        <w:t xml:space="preserve"> En cuanto a las declaraciones periciales del señor Pablo </w:t>
      </w:r>
      <w:proofErr w:type="spellStart"/>
      <w:r w:rsidRPr="00BE7135">
        <w:rPr>
          <w:rFonts w:ascii="Verdana" w:hAnsi="Verdana" w:cs="Verdana"/>
          <w:sz w:val="20"/>
          <w:szCs w:val="20"/>
          <w:lang w:val="es-ES"/>
        </w:rPr>
        <w:t>Ceriani</w:t>
      </w:r>
      <w:proofErr w:type="spellEnd"/>
      <w:r w:rsidRPr="00BE7135">
        <w:rPr>
          <w:rFonts w:ascii="Verdana" w:hAnsi="Verdana" w:cs="Verdana"/>
          <w:sz w:val="20"/>
          <w:szCs w:val="20"/>
          <w:lang w:val="es-ES"/>
        </w:rPr>
        <w:t xml:space="preserve"> y </w:t>
      </w:r>
      <w:r>
        <w:rPr>
          <w:rFonts w:ascii="Verdana" w:hAnsi="Verdana" w:cs="Verdana"/>
          <w:sz w:val="20"/>
          <w:szCs w:val="20"/>
          <w:lang w:val="es-ES"/>
        </w:rPr>
        <w:t xml:space="preserve">de </w:t>
      </w:r>
      <w:r w:rsidRPr="00BE7135">
        <w:rPr>
          <w:rFonts w:ascii="Verdana" w:hAnsi="Verdana" w:cs="Verdana"/>
          <w:sz w:val="20"/>
          <w:szCs w:val="20"/>
          <w:lang w:val="es-ES"/>
        </w:rPr>
        <w:t xml:space="preserve">la señora Julia </w:t>
      </w:r>
      <w:proofErr w:type="spellStart"/>
      <w:r w:rsidRPr="00BE7135">
        <w:rPr>
          <w:rFonts w:ascii="Verdana" w:hAnsi="Verdana" w:cs="Verdana"/>
          <w:sz w:val="20"/>
          <w:szCs w:val="20"/>
          <w:lang w:val="es-ES"/>
        </w:rPr>
        <w:t>Harrington</w:t>
      </w:r>
      <w:proofErr w:type="spellEnd"/>
      <w:r w:rsidRPr="00BE7135">
        <w:rPr>
          <w:rFonts w:ascii="Verdana" w:hAnsi="Verdana" w:cs="Verdana"/>
          <w:sz w:val="20"/>
          <w:szCs w:val="20"/>
          <w:lang w:val="es-ES"/>
        </w:rPr>
        <w:t>, esta Presidencia considera que los objetos de dichos peritajes resultan relevantes al orden público interamericano. Esto, debido a que implican un análisis de estándares internacionales sobre las materias respectivas, que trascienden el interés de las partes en el litigio y la situación específica relativa a República Dominicana</w:t>
      </w:r>
      <w:r>
        <w:rPr>
          <w:rFonts w:ascii="Verdana" w:hAnsi="Verdana" w:cs="Verdana"/>
          <w:sz w:val="20"/>
          <w:szCs w:val="20"/>
          <w:lang w:val="es-ES"/>
        </w:rPr>
        <w:t>.</w:t>
      </w:r>
      <w:r w:rsidRPr="00BE7135">
        <w:rPr>
          <w:rFonts w:ascii="Verdana" w:hAnsi="Verdana" w:cs="Verdana"/>
          <w:sz w:val="20"/>
          <w:szCs w:val="20"/>
          <w:lang w:val="es-ES"/>
        </w:rPr>
        <w:t xml:space="preserve"> En tal sentido, trascienden la controversia del presente caso y se refieren a conceptos relevantes para otros Estados Parte en la Convención. Por ello, el Presidente admit</w:t>
      </w:r>
      <w:r>
        <w:rPr>
          <w:rFonts w:ascii="Verdana" w:hAnsi="Verdana" w:cs="Verdana"/>
          <w:sz w:val="20"/>
          <w:szCs w:val="20"/>
          <w:lang w:val="es-ES"/>
        </w:rPr>
        <w:t>e</w:t>
      </w:r>
      <w:r w:rsidRPr="00BE7135">
        <w:rPr>
          <w:rFonts w:ascii="Verdana" w:hAnsi="Verdana" w:cs="Verdana"/>
          <w:sz w:val="20"/>
          <w:szCs w:val="20"/>
          <w:lang w:val="es-ES"/>
        </w:rPr>
        <w:t xml:space="preserve"> las declaraciones periciales de Pablo </w:t>
      </w:r>
      <w:proofErr w:type="spellStart"/>
      <w:r w:rsidRPr="00BE7135">
        <w:rPr>
          <w:rFonts w:ascii="Verdana" w:hAnsi="Verdana" w:cs="Verdana"/>
          <w:sz w:val="20"/>
          <w:szCs w:val="20"/>
          <w:lang w:val="es-ES"/>
        </w:rPr>
        <w:t>Ceriani</w:t>
      </w:r>
      <w:proofErr w:type="spellEnd"/>
      <w:r w:rsidRPr="00BE7135">
        <w:rPr>
          <w:rFonts w:ascii="Verdana" w:hAnsi="Verdana" w:cs="Verdana"/>
          <w:sz w:val="20"/>
          <w:szCs w:val="20"/>
          <w:lang w:val="es-ES"/>
        </w:rPr>
        <w:t xml:space="preserve"> y Julia </w:t>
      </w:r>
      <w:proofErr w:type="spellStart"/>
      <w:r w:rsidRPr="00BE7135">
        <w:rPr>
          <w:rFonts w:ascii="Verdana" w:hAnsi="Verdana" w:cs="Verdana"/>
          <w:sz w:val="20"/>
          <w:szCs w:val="20"/>
          <w:lang w:val="es-ES"/>
        </w:rPr>
        <w:t>Harrington</w:t>
      </w:r>
      <w:proofErr w:type="spellEnd"/>
      <w:r w:rsidRPr="00BE7135">
        <w:rPr>
          <w:rFonts w:ascii="Verdana" w:hAnsi="Verdana" w:cs="Verdana"/>
          <w:sz w:val="20"/>
          <w:szCs w:val="20"/>
          <w:lang w:val="es-ES"/>
        </w:rPr>
        <w:t>.</w:t>
      </w:r>
      <w:r w:rsidRPr="00BE7135">
        <w:rPr>
          <w:rFonts w:ascii="Verdana" w:eastAsiaTheme="minorEastAsia" w:hAnsi="Verdana" w:cs="Arial"/>
          <w:sz w:val="20"/>
          <w:szCs w:val="20"/>
        </w:rPr>
        <w:t xml:space="preserve"> </w:t>
      </w:r>
    </w:p>
    <w:p w:rsidR="00332068" w:rsidRPr="00BE7135" w:rsidRDefault="00332068" w:rsidP="00332068">
      <w:pPr>
        <w:pStyle w:val="BodyTextIndent"/>
        <w:tabs>
          <w:tab w:val="left" w:pos="0"/>
        </w:tabs>
        <w:spacing w:after="0" w:line="240" w:lineRule="auto"/>
        <w:ind w:left="0" w:right="-36"/>
        <w:jc w:val="both"/>
        <w:rPr>
          <w:rFonts w:ascii="Verdana" w:hAnsi="Verdana" w:cs="Verdana"/>
          <w:color w:val="FF0000"/>
          <w:sz w:val="20"/>
          <w:szCs w:val="20"/>
          <w:u w:val="single"/>
          <w:lang w:val="es-ES"/>
        </w:rPr>
      </w:pPr>
    </w:p>
    <w:bookmarkEnd w:id="4"/>
    <w:p w:rsidR="00332068" w:rsidRDefault="00332068" w:rsidP="00332068">
      <w:pPr>
        <w:pStyle w:val="ListParagraph"/>
        <w:numPr>
          <w:ilvl w:val="0"/>
          <w:numId w:val="2"/>
        </w:numPr>
        <w:rPr>
          <w:rFonts w:ascii="Verdana" w:hAnsi="Verdana" w:cs="Verdana"/>
          <w:b/>
          <w:bCs/>
          <w:i/>
          <w:iCs/>
          <w:sz w:val="20"/>
          <w:szCs w:val="20"/>
        </w:rPr>
      </w:pPr>
      <w:r w:rsidRPr="00BE7135">
        <w:rPr>
          <w:rFonts w:ascii="Verdana" w:hAnsi="Verdana" w:cs="Verdana"/>
          <w:b/>
          <w:bCs/>
          <w:i/>
          <w:iCs/>
          <w:sz w:val="20"/>
          <w:szCs w:val="20"/>
        </w:rPr>
        <w:t xml:space="preserve">Solicitud de la Comisión para trasladar al presente caso declaraciones periciales rendidas en el marco de otros casos </w:t>
      </w:r>
    </w:p>
    <w:p w:rsidR="00332068" w:rsidRPr="006659B7" w:rsidRDefault="00332068" w:rsidP="00332068">
      <w:pPr>
        <w:pStyle w:val="ListParagraph"/>
        <w:jc w:val="both"/>
        <w:rPr>
          <w:rFonts w:ascii="Verdana" w:hAnsi="Verdana" w:cs="Verdana"/>
          <w:b/>
          <w:bCs/>
          <w:i/>
          <w:iCs/>
          <w:sz w:val="20"/>
          <w:szCs w:val="20"/>
        </w:rPr>
      </w:pPr>
    </w:p>
    <w:p w:rsidR="00332068" w:rsidRPr="000A65D1" w:rsidRDefault="00332068" w:rsidP="00332068">
      <w:pPr>
        <w:pStyle w:val="ListParagraph"/>
        <w:numPr>
          <w:ilvl w:val="0"/>
          <w:numId w:val="42"/>
        </w:numPr>
        <w:ind w:left="0" w:firstLine="0"/>
        <w:jc w:val="both"/>
        <w:rPr>
          <w:rFonts w:ascii="Verdana" w:eastAsiaTheme="minorEastAsia" w:hAnsi="Verdana" w:cs="Helvetica"/>
          <w:iCs/>
          <w:sz w:val="20"/>
          <w:szCs w:val="20"/>
        </w:rPr>
      </w:pPr>
      <w:r w:rsidRPr="000A65D1">
        <w:rPr>
          <w:rFonts w:ascii="Verdana" w:hAnsi="Verdana" w:cs="Verdana"/>
          <w:sz w:val="20"/>
          <w:szCs w:val="20"/>
        </w:rPr>
        <w:t>En su escrito de sometimiento del caso (</w:t>
      </w:r>
      <w:r w:rsidRPr="000A65D1">
        <w:rPr>
          <w:rFonts w:ascii="Verdana" w:hAnsi="Verdana" w:cs="Verdana"/>
          <w:i/>
          <w:iCs/>
          <w:sz w:val="20"/>
          <w:szCs w:val="20"/>
        </w:rPr>
        <w:t>supra</w:t>
      </w:r>
      <w:r w:rsidRPr="000A65D1">
        <w:rPr>
          <w:rFonts w:ascii="Verdana" w:hAnsi="Verdana" w:cs="Verdana"/>
          <w:sz w:val="20"/>
          <w:szCs w:val="20"/>
        </w:rPr>
        <w:t xml:space="preserve"> Visto </w:t>
      </w:r>
      <w:r>
        <w:rPr>
          <w:rFonts w:ascii="Verdana" w:hAnsi="Verdana" w:cs="Verdana"/>
          <w:sz w:val="20"/>
          <w:szCs w:val="20"/>
        </w:rPr>
        <w:t>1)</w:t>
      </w:r>
      <w:r w:rsidRPr="000A65D1">
        <w:rPr>
          <w:rFonts w:ascii="Verdana" w:hAnsi="Verdana" w:cs="Verdana"/>
          <w:sz w:val="20"/>
          <w:szCs w:val="20"/>
        </w:rPr>
        <w:t xml:space="preserve"> la Comisión solicitó, en </w:t>
      </w:r>
      <w:r w:rsidRPr="000A65D1">
        <w:rPr>
          <w:rFonts w:ascii="Verdana" w:eastAsiaTheme="minorEastAsia" w:hAnsi="Verdana" w:cs="Helvetica"/>
          <w:sz w:val="20"/>
          <w:szCs w:val="20"/>
        </w:rPr>
        <w:t>cuanto afecta de manera relevante el orden público interamericano, que se trasladara</w:t>
      </w:r>
      <w:r>
        <w:rPr>
          <w:rFonts w:ascii="Verdana" w:eastAsiaTheme="minorEastAsia" w:hAnsi="Verdana" w:cs="Helvetica"/>
          <w:sz w:val="20"/>
          <w:szCs w:val="20"/>
        </w:rPr>
        <w:t xml:space="preserve">, </w:t>
      </w:r>
      <w:r w:rsidRPr="000A65D1">
        <w:rPr>
          <w:rFonts w:ascii="Verdana" w:eastAsiaTheme="minorEastAsia" w:hAnsi="Verdana" w:cs="Helvetica"/>
          <w:sz w:val="20"/>
          <w:szCs w:val="20"/>
        </w:rPr>
        <w:t xml:space="preserve"> “en lo pertinente, […] las declaraciones periciales de Samuel Martínez y Carol </w:t>
      </w:r>
      <w:proofErr w:type="spellStart"/>
      <w:r w:rsidRPr="000A65D1">
        <w:rPr>
          <w:rFonts w:ascii="Verdana" w:eastAsiaTheme="minorEastAsia" w:hAnsi="Verdana" w:cs="Helvetica"/>
          <w:sz w:val="20"/>
          <w:szCs w:val="20"/>
        </w:rPr>
        <w:t>Batchelor</w:t>
      </w:r>
      <w:proofErr w:type="spellEnd"/>
      <w:r w:rsidRPr="000A65D1">
        <w:rPr>
          <w:rFonts w:ascii="Verdana" w:eastAsiaTheme="minorEastAsia" w:hAnsi="Verdana" w:cs="Helvetica"/>
          <w:sz w:val="20"/>
          <w:szCs w:val="20"/>
        </w:rPr>
        <w:t xml:space="preserve"> [rendidas en</w:t>
      </w:r>
      <w:r>
        <w:rPr>
          <w:rFonts w:ascii="Verdana" w:eastAsiaTheme="minorEastAsia" w:hAnsi="Verdana" w:cs="Helvetica"/>
          <w:sz w:val="20"/>
          <w:szCs w:val="20"/>
        </w:rPr>
        <w:t xml:space="preserve"> el</w:t>
      </w:r>
      <w:r w:rsidRPr="000A65D1">
        <w:rPr>
          <w:rFonts w:ascii="Verdana" w:eastAsiaTheme="minorEastAsia" w:hAnsi="Verdana" w:cs="Helvetica"/>
          <w:sz w:val="20"/>
          <w:szCs w:val="20"/>
        </w:rPr>
        <w:t xml:space="preserve"> caso </w:t>
      </w:r>
      <w:r w:rsidRPr="000A65D1">
        <w:rPr>
          <w:rFonts w:ascii="Verdana" w:eastAsiaTheme="minorEastAsia" w:hAnsi="Verdana" w:cs="Helvetica"/>
          <w:i/>
          <w:sz w:val="20"/>
          <w:szCs w:val="20"/>
        </w:rPr>
        <w:t xml:space="preserve">Niñas] </w:t>
      </w:r>
      <w:proofErr w:type="spellStart"/>
      <w:r w:rsidRPr="000A65D1">
        <w:rPr>
          <w:rFonts w:ascii="Verdana" w:eastAsiaTheme="minorEastAsia" w:hAnsi="Verdana" w:cs="Helvetica"/>
          <w:i/>
          <w:iCs/>
          <w:sz w:val="20"/>
          <w:szCs w:val="20"/>
        </w:rPr>
        <w:t>Yean</w:t>
      </w:r>
      <w:proofErr w:type="spellEnd"/>
      <w:r w:rsidRPr="000A65D1">
        <w:rPr>
          <w:rFonts w:ascii="Verdana" w:eastAsiaTheme="minorEastAsia" w:hAnsi="Verdana" w:cs="Helvetica"/>
          <w:i/>
          <w:iCs/>
          <w:sz w:val="20"/>
          <w:szCs w:val="20"/>
        </w:rPr>
        <w:t xml:space="preserve"> y </w:t>
      </w:r>
      <w:proofErr w:type="spellStart"/>
      <w:r w:rsidRPr="000A65D1">
        <w:rPr>
          <w:rFonts w:ascii="Verdana" w:eastAsiaTheme="minorEastAsia" w:hAnsi="Verdana" w:cs="Helvetica"/>
          <w:i/>
          <w:iCs/>
          <w:sz w:val="20"/>
          <w:szCs w:val="20"/>
        </w:rPr>
        <w:t>Bosico</w:t>
      </w:r>
      <w:proofErr w:type="spellEnd"/>
      <w:r w:rsidRPr="000A65D1">
        <w:rPr>
          <w:rFonts w:ascii="Verdana" w:eastAsiaTheme="minorEastAsia" w:hAnsi="Verdana" w:cs="Helvetica"/>
          <w:i/>
          <w:iCs/>
          <w:sz w:val="20"/>
          <w:szCs w:val="20"/>
        </w:rPr>
        <w:t xml:space="preserve"> vs. República Dominicana</w:t>
      </w:r>
      <w:r w:rsidRPr="000A65D1">
        <w:rPr>
          <w:rFonts w:ascii="Verdana" w:eastAsiaTheme="minorEastAsia" w:hAnsi="Verdana" w:cs="Helvetica"/>
          <w:iCs/>
          <w:sz w:val="20"/>
          <w:szCs w:val="20"/>
        </w:rPr>
        <w:t xml:space="preserve">, </w:t>
      </w:r>
      <w:r w:rsidRPr="000A65D1">
        <w:rPr>
          <w:rFonts w:ascii="Verdana" w:eastAsiaTheme="minorEastAsia" w:hAnsi="Verdana" w:cs="Helvetica"/>
          <w:sz w:val="20"/>
          <w:szCs w:val="20"/>
        </w:rPr>
        <w:t xml:space="preserve">y Gabriela Rodríguez </w:t>
      </w:r>
      <w:proofErr w:type="spellStart"/>
      <w:r w:rsidRPr="000A65D1">
        <w:rPr>
          <w:rFonts w:ascii="Verdana" w:eastAsiaTheme="minorEastAsia" w:hAnsi="Verdana" w:cs="Helvetica"/>
          <w:sz w:val="20"/>
          <w:szCs w:val="20"/>
        </w:rPr>
        <w:t>Pizzaro</w:t>
      </w:r>
      <w:proofErr w:type="spellEnd"/>
      <w:r w:rsidRPr="000A65D1">
        <w:rPr>
          <w:rFonts w:ascii="Verdana" w:eastAsiaTheme="minorEastAsia" w:hAnsi="Verdana" w:cs="Helvetica"/>
          <w:sz w:val="20"/>
          <w:szCs w:val="20"/>
        </w:rPr>
        <w:t xml:space="preserve"> [rendida] en el caso </w:t>
      </w:r>
      <w:r w:rsidRPr="000A65D1">
        <w:rPr>
          <w:rFonts w:ascii="Verdana" w:eastAsiaTheme="minorEastAsia" w:hAnsi="Verdana" w:cs="Helvetica"/>
          <w:i/>
          <w:iCs/>
          <w:sz w:val="20"/>
          <w:szCs w:val="20"/>
        </w:rPr>
        <w:t xml:space="preserve">Vélez Loor </w:t>
      </w:r>
      <w:r w:rsidRPr="000A65D1">
        <w:rPr>
          <w:rFonts w:ascii="Verdana" w:eastAsiaTheme="minorEastAsia" w:hAnsi="Verdana" w:cs="Helvetica"/>
          <w:i/>
          <w:sz w:val="20"/>
          <w:szCs w:val="20"/>
        </w:rPr>
        <w:t xml:space="preserve">vs. </w:t>
      </w:r>
      <w:r w:rsidRPr="000A65D1">
        <w:rPr>
          <w:rFonts w:ascii="Verdana" w:eastAsiaTheme="minorEastAsia" w:hAnsi="Verdana" w:cs="Helvetica"/>
          <w:i/>
          <w:iCs/>
          <w:sz w:val="20"/>
          <w:szCs w:val="20"/>
        </w:rPr>
        <w:t>Panamá</w:t>
      </w:r>
      <w:r w:rsidRPr="000A65D1">
        <w:rPr>
          <w:rFonts w:ascii="Verdana" w:eastAsiaTheme="minorEastAsia" w:hAnsi="Verdana" w:cs="Helvetica"/>
          <w:iCs/>
          <w:sz w:val="20"/>
          <w:szCs w:val="20"/>
        </w:rPr>
        <w:t>”.</w:t>
      </w:r>
    </w:p>
    <w:p w:rsidR="00332068" w:rsidRPr="000A65D1" w:rsidRDefault="00332068" w:rsidP="00332068">
      <w:pPr>
        <w:pStyle w:val="ListParagraph"/>
        <w:ind w:left="0"/>
        <w:jc w:val="both"/>
        <w:rPr>
          <w:rFonts w:ascii="Verdana" w:eastAsiaTheme="minorEastAsia" w:hAnsi="Verdana" w:cs="Helvetica"/>
          <w:iCs/>
          <w:sz w:val="20"/>
          <w:szCs w:val="20"/>
        </w:rPr>
      </w:pPr>
    </w:p>
    <w:p w:rsidR="00332068" w:rsidRPr="000A65D1" w:rsidRDefault="00332068" w:rsidP="00332068">
      <w:pPr>
        <w:pStyle w:val="ListParagraph"/>
        <w:numPr>
          <w:ilvl w:val="0"/>
          <w:numId w:val="42"/>
        </w:numPr>
        <w:ind w:left="0" w:firstLine="0"/>
        <w:jc w:val="both"/>
        <w:rPr>
          <w:rFonts w:ascii="Verdana" w:eastAsiaTheme="minorEastAsia" w:hAnsi="Verdana" w:cs="Helvetica"/>
          <w:iCs/>
          <w:sz w:val="20"/>
          <w:szCs w:val="20"/>
        </w:rPr>
      </w:pPr>
      <w:r w:rsidRPr="000A65D1">
        <w:rPr>
          <w:rFonts w:ascii="Verdana" w:hAnsi="Verdana" w:cs="Verdana"/>
          <w:sz w:val="20"/>
          <w:szCs w:val="20"/>
        </w:rPr>
        <w:t>En sus escritos de solicitudes y argumentos, contestación del sometimiento del caso y en las observaciones a las listas definitivas de declarantes, ni los representantes ni el Estado objetaron el traslado de dichas declaraciones periciales</w:t>
      </w:r>
      <w:r>
        <w:rPr>
          <w:rFonts w:ascii="Verdana" w:hAnsi="Verdana" w:cs="Verdana"/>
          <w:sz w:val="20"/>
          <w:szCs w:val="20"/>
        </w:rPr>
        <w:t>, ni se refirieron de otro modo a lo pedido por la Comisión</w:t>
      </w:r>
      <w:r w:rsidRPr="000A65D1">
        <w:rPr>
          <w:rFonts w:ascii="Verdana" w:hAnsi="Verdana" w:cs="Verdana"/>
          <w:sz w:val="20"/>
          <w:szCs w:val="20"/>
        </w:rPr>
        <w:t xml:space="preserve">. </w:t>
      </w:r>
    </w:p>
    <w:p w:rsidR="00332068" w:rsidRPr="000A65D1" w:rsidRDefault="00332068" w:rsidP="00332068">
      <w:pPr>
        <w:jc w:val="both"/>
        <w:rPr>
          <w:rFonts w:ascii="Verdana" w:eastAsia="Calibri" w:hAnsi="Verdana" w:cs="Calibri"/>
          <w:sz w:val="20"/>
          <w:szCs w:val="20"/>
        </w:rPr>
      </w:pPr>
    </w:p>
    <w:p w:rsidR="00332068" w:rsidRPr="000A65D1" w:rsidRDefault="00332068" w:rsidP="00332068">
      <w:pPr>
        <w:pStyle w:val="ListParagraph"/>
        <w:numPr>
          <w:ilvl w:val="0"/>
          <w:numId w:val="42"/>
        </w:numPr>
        <w:ind w:left="0" w:firstLine="0"/>
        <w:jc w:val="both"/>
        <w:rPr>
          <w:rFonts w:ascii="Verdana" w:eastAsiaTheme="minorEastAsia" w:hAnsi="Verdana" w:cs="Helvetica"/>
          <w:iCs/>
          <w:sz w:val="20"/>
          <w:szCs w:val="20"/>
        </w:rPr>
      </w:pPr>
      <w:r>
        <w:rPr>
          <w:rFonts w:ascii="Verdana" w:hAnsi="Verdana"/>
          <w:sz w:val="20"/>
        </w:rPr>
        <w:t xml:space="preserve">En lo que se refiere a la solicitud de la Comisión Interamericana de que en el presente caso se incorpore la declaración pericial de Carol </w:t>
      </w:r>
      <w:proofErr w:type="spellStart"/>
      <w:r>
        <w:rPr>
          <w:rFonts w:ascii="Verdana" w:hAnsi="Verdana"/>
          <w:sz w:val="20"/>
        </w:rPr>
        <w:t>Batchelor</w:t>
      </w:r>
      <w:proofErr w:type="spellEnd"/>
      <w:r>
        <w:rPr>
          <w:rFonts w:ascii="Verdana" w:hAnsi="Verdana"/>
          <w:sz w:val="20"/>
        </w:rPr>
        <w:t>, esta Pr</w:t>
      </w:r>
      <w:r w:rsidR="00A358B6">
        <w:rPr>
          <w:rFonts w:ascii="Verdana" w:hAnsi="Verdana"/>
          <w:sz w:val="20"/>
        </w:rPr>
        <w:t>esidencia hace notar que en el C</w:t>
      </w:r>
      <w:r>
        <w:rPr>
          <w:rFonts w:ascii="Verdana" w:hAnsi="Verdana"/>
          <w:sz w:val="20"/>
        </w:rPr>
        <w:t xml:space="preserve">onsiderando 4 de la Resolución de Convocatoria del caso </w:t>
      </w:r>
      <w:r>
        <w:rPr>
          <w:rFonts w:ascii="Verdana" w:hAnsi="Verdana"/>
          <w:i/>
          <w:sz w:val="20"/>
        </w:rPr>
        <w:t xml:space="preserve">Niñas </w:t>
      </w:r>
      <w:proofErr w:type="spellStart"/>
      <w:r>
        <w:rPr>
          <w:rFonts w:ascii="Verdana" w:hAnsi="Verdana"/>
          <w:i/>
          <w:sz w:val="20"/>
        </w:rPr>
        <w:t>Yean</w:t>
      </w:r>
      <w:proofErr w:type="spellEnd"/>
      <w:r>
        <w:rPr>
          <w:rFonts w:ascii="Verdana" w:hAnsi="Verdana"/>
          <w:i/>
          <w:sz w:val="20"/>
        </w:rPr>
        <w:t xml:space="preserve"> y </w:t>
      </w:r>
      <w:proofErr w:type="spellStart"/>
      <w:r>
        <w:rPr>
          <w:rFonts w:ascii="Verdana" w:hAnsi="Verdana"/>
          <w:i/>
          <w:sz w:val="20"/>
        </w:rPr>
        <w:t>Bosico</w:t>
      </w:r>
      <w:proofErr w:type="spellEnd"/>
      <w:r>
        <w:rPr>
          <w:rFonts w:ascii="Verdana" w:hAnsi="Verdana"/>
          <w:i/>
          <w:sz w:val="20"/>
        </w:rPr>
        <w:t xml:space="preserve"> Vs. República </w:t>
      </w:r>
      <w:r w:rsidRPr="002347C6">
        <w:rPr>
          <w:rFonts w:ascii="Verdana" w:hAnsi="Verdana"/>
          <w:i/>
          <w:sz w:val="20"/>
        </w:rPr>
        <w:t>Dominicana</w:t>
      </w:r>
      <w:r>
        <w:rPr>
          <w:rFonts w:ascii="Verdana" w:hAnsi="Verdana"/>
          <w:sz w:val="20"/>
        </w:rPr>
        <w:t xml:space="preserve">, </w:t>
      </w:r>
      <w:r w:rsidRPr="002347C6">
        <w:rPr>
          <w:rFonts w:ascii="Verdana" w:hAnsi="Verdana"/>
          <w:sz w:val="20"/>
        </w:rPr>
        <w:t>dictada</w:t>
      </w:r>
      <w:r>
        <w:rPr>
          <w:rFonts w:ascii="Verdana" w:hAnsi="Verdana"/>
          <w:sz w:val="20"/>
        </w:rPr>
        <w:t xml:space="preserve"> por el Presidente el 31 de enero de 2005, se señala que la Comisión y los representantes</w:t>
      </w:r>
      <w:r w:rsidRPr="000A65D1">
        <w:rPr>
          <w:rFonts w:ascii="Verdana" w:hAnsi="Verdana"/>
          <w:sz w:val="20"/>
        </w:rPr>
        <w:t xml:space="preserve"> </w:t>
      </w:r>
      <w:r>
        <w:rPr>
          <w:rFonts w:ascii="Verdana" w:hAnsi="Verdana"/>
          <w:sz w:val="20"/>
        </w:rPr>
        <w:t xml:space="preserve">solicitaron </w:t>
      </w:r>
      <w:r w:rsidRPr="000A65D1">
        <w:rPr>
          <w:rFonts w:ascii="Verdana" w:hAnsi="Verdana"/>
          <w:sz w:val="20"/>
        </w:rPr>
        <w:t xml:space="preserve">con posterioridad a la presentación </w:t>
      </w:r>
      <w:r>
        <w:rPr>
          <w:rFonts w:ascii="Verdana" w:hAnsi="Verdana"/>
          <w:sz w:val="20"/>
        </w:rPr>
        <w:t>“</w:t>
      </w:r>
      <w:r w:rsidRPr="000A65D1">
        <w:rPr>
          <w:rFonts w:ascii="Verdana" w:hAnsi="Verdana"/>
          <w:sz w:val="20"/>
        </w:rPr>
        <w:t>de la demanda</w:t>
      </w:r>
      <w:r>
        <w:rPr>
          <w:rFonts w:ascii="Verdana" w:hAnsi="Verdana"/>
          <w:sz w:val="20"/>
        </w:rPr>
        <w:t>”</w:t>
      </w:r>
      <w:r w:rsidRPr="000A65D1">
        <w:rPr>
          <w:rFonts w:ascii="Verdana" w:hAnsi="Verdana"/>
          <w:sz w:val="20"/>
        </w:rPr>
        <w:t xml:space="preserve"> y del escrito de solicitudes y argumentos</w:t>
      </w:r>
      <w:r>
        <w:rPr>
          <w:rFonts w:ascii="Verdana" w:hAnsi="Verdana"/>
          <w:sz w:val="20"/>
        </w:rPr>
        <w:t xml:space="preserve">, </w:t>
      </w:r>
      <w:r w:rsidRPr="000A65D1">
        <w:rPr>
          <w:rFonts w:ascii="Verdana" w:hAnsi="Verdana"/>
          <w:sz w:val="20"/>
        </w:rPr>
        <w:t xml:space="preserve">que se convoque a rendir dictamen al señor Frederick John </w:t>
      </w:r>
      <w:proofErr w:type="spellStart"/>
      <w:r w:rsidRPr="000A65D1">
        <w:rPr>
          <w:rFonts w:ascii="Verdana" w:hAnsi="Verdana"/>
          <w:sz w:val="20"/>
        </w:rPr>
        <w:t>Packer</w:t>
      </w:r>
      <w:proofErr w:type="spellEnd"/>
      <w:r w:rsidRPr="000A65D1">
        <w:rPr>
          <w:rFonts w:ascii="Verdana" w:hAnsi="Verdana"/>
          <w:sz w:val="20"/>
        </w:rPr>
        <w:t>,</w:t>
      </w:r>
      <w:r>
        <w:rPr>
          <w:rFonts w:ascii="Verdana" w:hAnsi="Verdana"/>
          <w:sz w:val="20"/>
        </w:rPr>
        <w:t xml:space="preserve"> en lugar de la señora </w:t>
      </w:r>
      <w:proofErr w:type="spellStart"/>
      <w:r>
        <w:rPr>
          <w:rFonts w:ascii="Verdana" w:hAnsi="Verdana"/>
          <w:sz w:val="20"/>
        </w:rPr>
        <w:t>Batchelor</w:t>
      </w:r>
      <w:proofErr w:type="spellEnd"/>
      <w:r>
        <w:rPr>
          <w:rFonts w:ascii="Verdana" w:hAnsi="Verdana"/>
          <w:sz w:val="20"/>
        </w:rPr>
        <w:t xml:space="preserve">, debido a </w:t>
      </w:r>
      <w:r w:rsidRPr="000A65D1">
        <w:rPr>
          <w:rFonts w:ascii="Verdana" w:hAnsi="Verdana"/>
          <w:sz w:val="20"/>
        </w:rPr>
        <w:t>un cambio en el puesto de trabajo</w:t>
      </w:r>
      <w:r>
        <w:rPr>
          <w:rFonts w:ascii="Verdana" w:hAnsi="Verdana"/>
          <w:sz w:val="20"/>
        </w:rPr>
        <w:t xml:space="preserve"> de ésta última. En</w:t>
      </w:r>
      <w:r w:rsidRPr="000A65D1">
        <w:rPr>
          <w:rFonts w:ascii="Verdana" w:hAnsi="Verdana"/>
          <w:sz w:val="20"/>
        </w:rPr>
        <w:t xml:space="preserve"> aplicación del artículo 44.3 del</w:t>
      </w:r>
      <w:r>
        <w:rPr>
          <w:rFonts w:ascii="Verdana" w:hAnsi="Verdana"/>
          <w:sz w:val="20"/>
        </w:rPr>
        <w:t xml:space="preserve"> entonces</w:t>
      </w:r>
      <w:r w:rsidRPr="000A65D1">
        <w:rPr>
          <w:rFonts w:ascii="Verdana" w:hAnsi="Verdana"/>
          <w:sz w:val="20"/>
        </w:rPr>
        <w:t xml:space="preserve"> Reglamento</w:t>
      </w:r>
      <w:r>
        <w:rPr>
          <w:rFonts w:ascii="Verdana" w:hAnsi="Verdana"/>
          <w:sz w:val="20"/>
        </w:rPr>
        <w:t xml:space="preserve"> vigente, se admitió tal sustitución.  En razón de lo anterior, debido a la inexistencia de la referida declaración, esta Presidencia considera improcedente la solicitud de la Comisión.</w:t>
      </w:r>
    </w:p>
    <w:p w:rsidR="00332068" w:rsidRPr="000A65D1" w:rsidRDefault="00332068" w:rsidP="00332068">
      <w:pPr>
        <w:pStyle w:val="ListParagraph"/>
        <w:rPr>
          <w:rFonts w:ascii="Verdana" w:eastAsia="Calibri" w:hAnsi="Verdana" w:cs="Calibri"/>
          <w:sz w:val="20"/>
          <w:szCs w:val="20"/>
        </w:rPr>
      </w:pPr>
    </w:p>
    <w:p w:rsidR="00332068" w:rsidRPr="00F609B8" w:rsidRDefault="00332068" w:rsidP="00332068">
      <w:pPr>
        <w:pStyle w:val="ListParagraph"/>
        <w:numPr>
          <w:ilvl w:val="0"/>
          <w:numId w:val="42"/>
        </w:numPr>
        <w:ind w:left="0" w:firstLine="0"/>
        <w:jc w:val="both"/>
        <w:rPr>
          <w:rFonts w:ascii="Verdana" w:eastAsiaTheme="minorEastAsia" w:hAnsi="Verdana" w:cs="Helvetica"/>
          <w:iCs/>
          <w:sz w:val="20"/>
          <w:szCs w:val="20"/>
        </w:rPr>
      </w:pPr>
      <w:r>
        <w:rPr>
          <w:rFonts w:ascii="Verdana" w:eastAsia="Calibri" w:hAnsi="Verdana" w:cs="Calibri"/>
          <w:sz w:val="20"/>
          <w:szCs w:val="20"/>
        </w:rPr>
        <w:lastRenderedPageBreak/>
        <w:t>En consecuencia</w:t>
      </w:r>
      <w:r w:rsidRPr="000A65D1">
        <w:rPr>
          <w:rFonts w:ascii="Verdana" w:eastAsia="Calibri" w:hAnsi="Verdana" w:cs="Calibri"/>
          <w:sz w:val="20"/>
          <w:szCs w:val="20"/>
        </w:rPr>
        <w:t xml:space="preserve">, el Presidente estima oportuno incorporar los referidos dictámenes </w:t>
      </w:r>
      <w:r>
        <w:rPr>
          <w:rFonts w:ascii="Verdana" w:eastAsia="Calibri" w:hAnsi="Verdana" w:cs="Calibri"/>
          <w:sz w:val="20"/>
          <w:szCs w:val="20"/>
        </w:rPr>
        <w:t xml:space="preserve">de </w:t>
      </w:r>
      <w:r w:rsidRPr="000A65D1">
        <w:rPr>
          <w:rFonts w:ascii="Verdana" w:eastAsiaTheme="minorEastAsia" w:hAnsi="Verdana" w:cs="Helvetica"/>
          <w:sz w:val="20"/>
          <w:szCs w:val="20"/>
        </w:rPr>
        <w:t xml:space="preserve">Samuel Martínez </w:t>
      </w:r>
      <w:r>
        <w:rPr>
          <w:rFonts w:ascii="Verdana" w:eastAsia="Calibri" w:hAnsi="Verdana" w:cs="Calibri"/>
          <w:sz w:val="20"/>
          <w:szCs w:val="20"/>
        </w:rPr>
        <w:t xml:space="preserve">rendido mediante </w:t>
      </w:r>
      <w:proofErr w:type="spellStart"/>
      <w:r w:rsidRPr="00A72F01">
        <w:rPr>
          <w:rFonts w:ascii="Verdana" w:eastAsia="Calibri" w:hAnsi="Verdana" w:cs="Calibri"/>
          <w:i/>
          <w:sz w:val="20"/>
          <w:szCs w:val="20"/>
        </w:rPr>
        <w:t>affidávit</w:t>
      </w:r>
      <w:proofErr w:type="spellEnd"/>
      <w:r w:rsidRPr="000A65D1">
        <w:rPr>
          <w:rFonts w:ascii="Verdana" w:eastAsia="Calibri" w:hAnsi="Verdana" w:cs="Calibri"/>
          <w:sz w:val="20"/>
          <w:szCs w:val="20"/>
        </w:rPr>
        <w:t xml:space="preserve"> en </w:t>
      </w:r>
      <w:r>
        <w:rPr>
          <w:rFonts w:ascii="Verdana" w:eastAsia="Calibri" w:hAnsi="Verdana" w:cs="Calibri"/>
          <w:sz w:val="20"/>
          <w:szCs w:val="20"/>
        </w:rPr>
        <w:t xml:space="preserve">el caso </w:t>
      </w:r>
      <w:r w:rsidRPr="00685FA4">
        <w:rPr>
          <w:rFonts w:ascii="Verdana" w:eastAsia="Calibri" w:hAnsi="Verdana" w:cs="Calibri"/>
          <w:i/>
          <w:sz w:val="20"/>
          <w:szCs w:val="20"/>
        </w:rPr>
        <w:t xml:space="preserve">Niñas </w:t>
      </w:r>
      <w:proofErr w:type="spellStart"/>
      <w:r w:rsidRPr="00685FA4">
        <w:rPr>
          <w:rFonts w:ascii="Verdana" w:eastAsiaTheme="minorEastAsia" w:hAnsi="Verdana" w:cs="Helvetica"/>
          <w:i/>
          <w:iCs/>
          <w:sz w:val="20"/>
          <w:szCs w:val="20"/>
        </w:rPr>
        <w:t>Yean</w:t>
      </w:r>
      <w:proofErr w:type="spellEnd"/>
      <w:r w:rsidRPr="00685FA4">
        <w:rPr>
          <w:rFonts w:ascii="Verdana" w:eastAsiaTheme="minorEastAsia" w:hAnsi="Verdana" w:cs="Helvetica"/>
          <w:i/>
          <w:iCs/>
          <w:sz w:val="20"/>
          <w:szCs w:val="20"/>
        </w:rPr>
        <w:t xml:space="preserve"> y </w:t>
      </w:r>
      <w:proofErr w:type="spellStart"/>
      <w:r w:rsidRPr="00685FA4">
        <w:rPr>
          <w:rFonts w:ascii="Verdana" w:eastAsiaTheme="minorEastAsia" w:hAnsi="Verdana" w:cs="Helvetica"/>
          <w:i/>
          <w:iCs/>
          <w:sz w:val="20"/>
          <w:szCs w:val="20"/>
        </w:rPr>
        <w:t>Bosico</w:t>
      </w:r>
      <w:proofErr w:type="spellEnd"/>
      <w:r w:rsidRPr="00685FA4">
        <w:rPr>
          <w:rFonts w:ascii="Verdana" w:eastAsiaTheme="minorEastAsia" w:hAnsi="Verdana" w:cs="Helvetica"/>
          <w:i/>
          <w:iCs/>
          <w:sz w:val="20"/>
          <w:szCs w:val="20"/>
        </w:rPr>
        <w:t xml:space="preserve"> Vs. República Dominicana </w:t>
      </w:r>
      <w:r w:rsidRPr="000A65D1">
        <w:rPr>
          <w:rFonts w:ascii="Verdana" w:eastAsiaTheme="minorEastAsia" w:hAnsi="Verdana" w:cs="Helvetica"/>
          <w:sz w:val="20"/>
          <w:szCs w:val="20"/>
        </w:rPr>
        <w:t>y</w:t>
      </w:r>
      <w:r>
        <w:rPr>
          <w:rFonts w:ascii="Verdana" w:eastAsiaTheme="minorEastAsia" w:hAnsi="Verdana" w:cs="Helvetica"/>
          <w:sz w:val="20"/>
          <w:szCs w:val="20"/>
        </w:rPr>
        <w:t xml:space="preserve"> de</w:t>
      </w:r>
      <w:r w:rsidRPr="000A65D1">
        <w:rPr>
          <w:rFonts w:ascii="Verdana" w:eastAsiaTheme="minorEastAsia" w:hAnsi="Verdana" w:cs="Helvetica"/>
          <w:sz w:val="20"/>
          <w:szCs w:val="20"/>
        </w:rPr>
        <w:t xml:space="preserve"> Gabriela Rodríguez </w:t>
      </w:r>
      <w:proofErr w:type="spellStart"/>
      <w:r w:rsidRPr="000A65D1">
        <w:rPr>
          <w:rFonts w:ascii="Verdana" w:eastAsiaTheme="minorEastAsia" w:hAnsi="Verdana" w:cs="Helvetica"/>
          <w:sz w:val="20"/>
          <w:szCs w:val="20"/>
        </w:rPr>
        <w:t>Pizzaro</w:t>
      </w:r>
      <w:proofErr w:type="spellEnd"/>
      <w:r>
        <w:rPr>
          <w:rFonts w:ascii="Verdana" w:eastAsiaTheme="minorEastAsia" w:hAnsi="Verdana" w:cs="Helvetica"/>
          <w:sz w:val="20"/>
          <w:szCs w:val="20"/>
        </w:rPr>
        <w:t xml:space="preserve"> rendido en la audiencia pública del caso</w:t>
      </w:r>
      <w:r w:rsidRPr="000A65D1">
        <w:rPr>
          <w:rFonts w:ascii="Verdana" w:eastAsiaTheme="minorEastAsia" w:hAnsi="Verdana" w:cs="Helvetica"/>
          <w:sz w:val="20"/>
          <w:szCs w:val="20"/>
        </w:rPr>
        <w:t xml:space="preserve"> </w:t>
      </w:r>
      <w:r w:rsidRPr="00685FA4">
        <w:rPr>
          <w:rFonts w:ascii="Verdana" w:eastAsiaTheme="minorEastAsia" w:hAnsi="Verdana" w:cs="Helvetica"/>
          <w:i/>
          <w:iCs/>
          <w:sz w:val="20"/>
          <w:szCs w:val="20"/>
        </w:rPr>
        <w:t xml:space="preserve">Vélez Loor </w:t>
      </w:r>
      <w:r w:rsidRPr="00685FA4">
        <w:rPr>
          <w:rFonts w:ascii="Verdana" w:eastAsiaTheme="minorEastAsia" w:hAnsi="Verdana" w:cs="Helvetica"/>
          <w:i/>
          <w:sz w:val="20"/>
          <w:szCs w:val="20"/>
        </w:rPr>
        <w:t xml:space="preserve">Vs. </w:t>
      </w:r>
      <w:r w:rsidRPr="00685FA4">
        <w:rPr>
          <w:rFonts w:ascii="Verdana" w:eastAsiaTheme="minorEastAsia" w:hAnsi="Verdana" w:cs="Helvetica"/>
          <w:i/>
          <w:iCs/>
          <w:sz w:val="20"/>
          <w:szCs w:val="20"/>
        </w:rPr>
        <w:t>Panamá</w:t>
      </w:r>
      <w:r>
        <w:rPr>
          <w:rFonts w:ascii="Verdana" w:eastAsiaTheme="minorEastAsia" w:hAnsi="Verdana" w:cs="Helvetica"/>
          <w:i/>
          <w:iCs/>
          <w:sz w:val="20"/>
          <w:szCs w:val="20"/>
        </w:rPr>
        <w:t>,</w:t>
      </w:r>
      <w:r w:rsidRPr="000A65D1">
        <w:rPr>
          <w:rFonts w:ascii="Verdana" w:eastAsia="Calibri" w:hAnsi="Verdana" w:cs="Calibri"/>
          <w:sz w:val="20"/>
          <w:szCs w:val="20"/>
        </w:rPr>
        <w:t xml:space="preserve"> al expediente del </w:t>
      </w:r>
      <w:r>
        <w:rPr>
          <w:rFonts w:ascii="Verdana" w:eastAsia="Calibri" w:hAnsi="Verdana" w:cs="Calibri"/>
          <w:sz w:val="20"/>
          <w:szCs w:val="20"/>
        </w:rPr>
        <w:t xml:space="preserve">presente </w:t>
      </w:r>
      <w:r w:rsidRPr="000A65D1">
        <w:rPr>
          <w:rFonts w:ascii="Verdana" w:eastAsia="Calibri" w:hAnsi="Verdana" w:cs="Calibri"/>
          <w:sz w:val="20"/>
          <w:szCs w:val="20"/>
        </w:rPr>
        <w:t xml:space="preserve">caso en esta oportunidad, como elementos documentales, por lo cual serán transmitidos a </w:t>
      </w:r>
      <w:r w:rsidRPr="00BB5174">
        <w:rPr>
          <w:rFonts w:ascii="Verdana" w:eastAsia="Calibri" w:hAnsi="Verdana" w:cs="Calibri"/>
          <w:sz w:val="20"/>
          <w:szCs w:val="20"/>
        </w:rPr>
        <w:t xml:space="preserve">las </w:t>
      </w:r>
      <w:r w:rsidRPr="00761FDC">
        <w:rPr>
          <w:rFonts w:ascii="Verdana" w:eastAsia="Calibri" w:hAnsi="Verdana" w:cs="Calibri"/>
          <w:sz w:val="20"/>
          <w:szCs w:val="20"/>
        </w:rPr>
        <w:t xml:space="preserve">partes </w:t>
      </w:r>
      <w:r w:rsidRPr="00184162">
        <w:rPr>
          <w:rFonts w:ascii="Verdana" w:eastAsia="Calibri" w:hAnsi="Verdana" w:cs="Calibri"/>
          <w:sz w:val="20"/>
          <w:szCs w:val="20"/>
        </w:rPr>
        <w:t>y a la Comisión</w:t>
      </w:r>
      <w:r>
        <w:rPr>
          <w:rFonts w:ascii="Verdana" w:eastAsia="Calibri" w:hAnsi="Verdana" w:cs="Calibri"/>
          <w:sz w:val="20"/>
          <w:szCs w:val="20"/>
        </w:rPr>
        <w:t xml:space="preserve"> </w:t>
      </w:r>
      <w:r w:rsidRPr="00F609B8">
        <w:rPr>
          <w:rFonts w:ascii="Verdana" w:eastAsia="Calibri" w:hAnsi="Verdana" w:cs="Calibri"/>
          <w:sz w:val="20"/>
          <w:szCs w:val="20"/>
        </w:rPr>
        <w:t xml:space="preserve">al notificarse </w:t>
      </w:r>
      <w:r>
        <w:rPr>
          <w:rFonts w:ascii="Verdana" w:eastAsia="Calibri" w:hAnsi="Verdana" w:cs="Calibri"/>
          <w:sz w:val="20"/>
          <w:szCs w:val="20"/>
        </w:rPr>
        <w:t>la presente Resolución. En este sentido, es pertinente resaltar que la incorporación de dictámenes periciales rendidos en otro caso al expediente de un caso en trámite, no significa que tales elementos tengan el valor o peso probatorio de un dictamen pericial evacuado bajo los principios de contradictorio y derecho de defensa por lo que dichos dictámenes son incorporados en esta oportunidad, únicamente como elementos documentales y para que la Corte determine su admisibilidad y valor probatorio en el momento procesal oportuno, tomando en consideración las observaciones que presenten las partes</w:t>
      </w:r>
      <w:r w:rsidRPr="00F609B8">
        <w:rPr>
          <w:rFonts w:ascii="Verdana" w:eastAsia="Calibri" w:hAnsi="Verdana" w:cs="Calibri"/>
          <w:sz w:val="20"/>
          <w:szCs w:val="20"/>
        </w:rPr>
        <w:t xml:space="preserve"> </w:t>
      </w:r>
      <w:r w:rsidRPr="00F609B8">
        <w:rPr>
          <w:rFonts w:ascii="Verdana" w:hAnsi="Verdana" w:cs="Verdana"/>
          <w:sz w:val="20"/>
          <w:szCs w:val="20"/>
        </w:rPr>
        <w:t>a más tardar con sus alegatos finales escritos</w:t>
      </w:r>
      <w:r>
        <w:rPr>
          <w:rFonts w:ascii="Verdana" w:eastAsia="Calibri" w:hAnsi="Verdana" w:cs="Calibri"/>
          <w:sz w:val="20"/>
          <w:szCs w:val="20"/>
        </w:rPr>
        <w:t>, en ejercicio de su derecho de defensa.</w:t>
      </w:r>
    </w:p>
    <w:p w:rsidR="00332068" w:rsidRDefault="00332068" w:rsidP="00332068">
      <w:pPr>
        <w:pStyle w:val="ListParagraph"/>
        <w:rPr>
          <w:rFonts w:ascii="Verdana" w:eastAsiaTheme="minorEastAsia" w:hAnsi="Verdana" w:cs="Helvetica"/>
          <w:i/>
          <w:iCs/>
          <w:sz w:val="20"/>
          <w:szCs w:val="20"/>
        </w:rPr>
      </w:pPr>
    </w:p>
    <w:p w:rsidR="00332068" w:rsidRDefault="00332068" w:rsidP="00332068">
      <w:pPr>
        <w:pStyle w:val="ListParagraph"/>
        <w:numPr>
          <w:ilvl w:val="0"/>
          <w:numId w:val="2"/>
        </w:numPr>
        <w:tabs>
          <w:tab w:val="left" w:pos="708"/>
        </w:tabs>
        <w:autoSpaceDE w:val="0"/>
        <w:autoSpaceDN w:val="0"/>
        <w:ind w:right="22" w:hanging="294"/>
        <w:jc w:val="both"/>
        <w:rPr>
          <w:rFonts w:ascii="Verdana" w:hAnsi="Verdana"/>
          <w:b/>
          <w:bCs/>
          <w:i/>
          <w:iCs/>
          <w:sz w:val="20"/>
          <w:szCs w:val="20"/>
        </w:rPr>
      </w:pPr>
      <w:r w:rsidRPr="00721DD9">
        <w:rPr>
          <w:rFonts w:ascii="Verdana" w:hAnsi="Verdana"/>
          <w:b/>
          <w:bCs/>
          <w:i/>
          <w:iCs/>
          <w:sz w:val="20"/>
          <w:szCs w:val="20"/>
        </w:rPr>
        <w:t>Solicitud de la Comisión para formular preguntas a los peritos ofrecidos por el Estado</w:t>
      </w:r>
    </w:p>
    <w:p w:rsidR="00332068" w:rsidRPr="001D735C" w:rsidRDefault="00332068" w:rsidP="00332068">
      <w:pPr>
        <w:pStyle w:val="ListParagraph"/>
        <w:tabs>
          <w:tab w:val="left" w:pos="708"/>
        </w:tabs>
        <w:ind w:left="1080"/>
        <w:rPr>
          <w:rFonts w:ascii="Verdana" w:hAnsi="Verdana"/>
          <w:b/>
          <w:bCs/>
          <w:i/>
          <w:iCs/>
          <w:sz w:val="20"/>
          <w:szCs w:val="20"/>
        </w:rPr>
      </w:pPr>
    </w:p>
    <w:p w:rsidR="00332068" w:rsidRDefault="00332068" w:rsidP="00332068">
      <w:pPr>
        <w:pStyle w:val="ListParagraph"/>
        <w:numPr>
          <w:ilvl w:val="0"/>
          <w:numId w:val="43"/>
        </w:numPr>
        <w:tabs>
          <w:tab w:val="left" w:pos="708"/>
        </w:tabs>
        <w:autoSpaceDE w:val="0"/>
        <w:autoSpaceDN w:val="0"/>
        <w:ind w:left="0" w:right="22" w:firstLine="0"/>
        <w:jc w:val="both"/>
        <w:rPr>
          <w:rFonts w:ascii="Verdana" w:hAnsi="Verdana"/>
          <w:sz w:val="20"/>
          <w:szCs w:val="20"/>
        </w:rPr>
      </w:pPr>
      <w:r w:rsidRPr="00721DD9">
        <w:rPr>
          <w:rFonts w:ascii="Verdana" w:hAnsi="Verdana"/>
          <w:sz w:val="20"/>
          <w:szCs w:val="20"/>
        </w:rPr>
        <w:t>En sus observaciones a las listas definitivas, la Comisión solicitó “la oportunidad verbal o escrita de formular preguntas, en la medida de lo relevante y razonable, a quienes rendir</w:t>
      </w:r>
      <w:r>
        <w:rPr>
          <w:rFonts w:ascii="Verdana" w:hAnsi="Verdana"/>
          <w:sz w:val="20"/>
          <w:szCs w:val="20"/>
        </w:rPr>
        <w:t>á</w:t>
      </w:r>
      <w:r w:rsidRPr="00721DD9">
        <w:rPr>
          <w:rFonts w:ascii="Verdana" w:hAnsi="Verdana"/>
          <w:sz w:val="20"/>
          <w:szCs w:val="20"/>
        </w:rPr>
        <w:t xml:space="preserve">n [cuatro] de los peritajes ofrecidos por el Estado </w:t>
      </w:r>
      <w:r>
        <w:rPr>
          <w:rFonts w:ascii="Verdana" w:hAnsi="Verdana"/>
          <w:sz w:val="20"/>
          <w:szCs w:val="20"/>
        </w:rPr>
        <w:t>[…]</w:t>
      </w:r>
      <w:r w:rsidRPr="00721DD9">
        <w:rPr>
          <w:rFonts w:ascii="Verdana" w:hAnsi="Verdana"/>
          <w:sz w:val="20"/>
          <w:szCs w:val="20"/>
        </w:rPr>
        <w:t xml:space="preserve">, cuyas declaraciones se relacionan tanto con el orden público interamericano como con la materia sobre la cual versan los peritajes ofrecidos por la Comisión Interamericana”. Al respecto, indicó que los peritajes ofrecidos por el Estado de los señores Cecilio Gómez Pérez y Juan Bautista Tavares Gómez y las señoras Sara </w:t>
      </w:r>
      <w:proofErr w:type="spellStart"/>
      <w:r w:rsidRPr="00721DD9">
        <w:rPr>
          <w:rFonts w:ascii="Verdana" w:hAnsi="Verdana"/>
          <w:sz w:val="20"/>
          <w:szCs w:val="20"/>
        </w:rPr>
        <w:t>Patnella</w:t>
      </w:r>
      <w:proofErr w:type="spellEnd"/>
      <w:r w:rsidRPr="00721DD9">
        <w:rPr>
          <w:rFonts w:ascii="Verdana" w:hAnsi="Verdana"/>
          <w:sz w:val="20"/>
          <w:szCs w:val="20"/>
        </w:rPr>
        <w:t xml:space="preserve"> y Brígida Sabino Pozo “se relacionan con el marco legal aplicable y las prácticas estatales respecto de ambas cuestiones”.</w:t>
      </w:r>
    </w:p>
    <w:p w:rsidR="00332068" w:rsidRPr="001D735C" w:rsidRDefault="00332068" w:rsidP="00332068">
      <w:pPr>
        <w:pStyle w:val="ListParagraph"/>
        <w:tabs>
          <w:tab w:val="left" w:pos="708"/>
        </w:tabs>
        <w:ind w:left="0"/>
        <w:rPr>
          <w:rFonts w:ascii="Verdana" w:hAnsi="Verdana"/>
          <w:sz w:val="20"/>
          <w:szCs w:val="20"/>
        </w:rPr>
      </w:pPr>
    </w:p>
    <w:p w:rsidR="00332068" w:rsidRDefault="00332068" w:rsidP="00332068">
      <w:pPr>
        <w:pStyle w:val="ListParagraph"/>
        <w:numPr>
          <w:ilvl w:val="0"/>
          <w:numId w:val="43"/>
        </w:numPr>
        <w:tabs>
          <w:tab w:val="left" w:pos="708"/>
        </w:tabs>
        <w:autoSpaceDE w:val="0"/>
        <w:autoSpaceDN w:val="0"/>
        <w:ind w:left="0" w:right="22" w:firstLine="0"/>
        <w:jc w:val="both"/>
        <w:rPr>
          <w:rFonts w:ascii="Verdana" w:hAnsi="Verdana"/>
          <w:sz w:val="20"/>
          <w:szCs w:val="20"/>
        </w:rPr>
      </w:pPr>
      <w:r w:rsidRPr="00721DD9">
        <w:rPr>
          <w:rFonts w:ascii="Verdana" w:hAnsi="Verdana"/>
          <w:sz w:val="20"/>
          <w:szCs w:val="20"/>
        </w:rPr>
        <w:t>Respecto a la referida solicitud de la Comisión, el Presidente recuerda las normas del Reglamento en cuanto a la recepción de declaraciones propuestas por la Comisión, así como en relación con la facultad de la misma para interrogar a los declarantes ofrecidos por las demás partes</w:t>
      </w:r>
      <w:r>
        <w:rPr>
          <w:rStyle w:val="FootnoteReference"/>
          <w:rFonts w:ascii="Verdana" w:hAnsi="Verdana"/>
          <w:sz w:val="20"/>
          <w:szCs w:val="20"/>
        </w:rPr>
        <w:footnoteReference w:id="21"/>
      </w:r>
      <w:r w:rsidRPr="00721DD9">
        <w:rPr>
          <w:rFonts w:ascii="Verdana" w:hAnsi="Verdana"/>
          <w:sz w:val="20"/>
          <w:szCs w:val="20"/>
        </w:rPr>
        <w:t>. En particular, es pertinente recordar lo establecido en el artículo 50.5 del Reglamento, el cual establece que “las presuntas víctimas o sus representantes, el Estado demandado y</w:t>
      </w:r>
      <w:r>
        <w:rPr>
          <w:rFonts w:ascii="Verdana" w:hAnsi="Verdana"/>
          <w:sz w:val="20"/>
          <w:szCs w:val="20"/>
        </w:rPr>
        <w:t>,</w:t>
      </w:r>
      <w:r w:rsidRPr="00721DD9">
        <w:rPr>
          <w:rFonts w:ascii="Verdana" w:hAnsi="Verdana"/>
          <w:sz w:val="20"/>
          <w:szCs w:val="20"/>
        </w:rPr>
        <w:t xml:space="preserve"> en su caso, el Estado demandante podrán formular preguntas por escrito a los declarantes ofrecidos por la contraparte y en su caso, por la Comisión, que hayan sido llamados a prestar declaración ante fedatario público (</w:t>
      </w:r>
      <w:proofErr w:type="spellStart"/>
      <w:r w:rsidRPr="00721DD9">
        <w:rPr>
          <w:rFonts w:ascii="Verdana" w:hAnsi="Verdana"/>
          <w:i/>
          <w:iCs/>
          <w:sz w:val="20"/>
          <w:szCs w:val="20"/>
        </w:rPr>
        <w:t>affidávit</w:t>
      </w:r>
      <w:proofErr w:type="spellEnd"/>
      <w:r w:rsidRPr="00721DD9">
        <w:rPr>
          <w:rFonts w:ascii="Verdana" w:hAnsi="Verdana"/>
          <w:sz w:val="20"/>
          <w:szCs w:val="20"/>
        </w:rPr>
        <w:t>)”, el cual debe ser leído en conjunto con el artículo 52.3 del Reglamento, que prevé la posibilidad de que la Comisión interrogue a los peritos declarantes presentados por las demás partes, al estipular que “si la Corte lo autoriza a solicitud fundada de la Comisión, cuando se afecte de manera relevante el orden público interamericano de los derechos humanos y su declaración verse sobre alguna materia contenida en un peritaje ofrecido por la Comisión”. De modo tal que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Pr>
          <w:rStyle w:val="FootnoteReference"/>
          <w:rFonts w:ascii="Verdana" w:hAnsi="Verdana"/>
          <w:sz w:val="20"/>
          <w:szCs w:val="20"/>
        </w:rPr>
        <w:footnoteReference w:id="22"/>
      </w:r>
      <w:r w:rsidRPr="00721DD9">
        <w:rPr>
          <w:rFonts w:ascii="Verdana" w:hAnsi="Verdana"/>
          <w:sz w:val="20"/>
          <w:szCs w:val="20"/>
        </w:rPr>
        <w:t>.</w:t>
      </w:r>
    </w:p>
    <w:p w:rsidR="00332068" w:rsidRPr="001D735C" w:rsidRDefault="00332068" w:rsidP="00332068">
      <w:pPr>
        <w:pStyle w:val="ListParagraph"/>
        <w:tabs>
          <w:tab w:val="left" w:pos="708"/>
        </w:tabs>
        <w:ind w:left="0"/>
        <w:rPr>
          <w:rFonts w:ascii="Verdana" w:hAnsi="Verdana"/>
          <w:sz w:val="20"/>
          <w:szCs w:val="20"/>
        </w:rPr>
      </w:pPr>
    </w:p>
    <w:p w:rsidR="00332068" w:rsidRPr="000D6BB7" w:rsidRDefault="00332068" w:rsidP="00332068">
      <w:pPr>
        <w:pStyle w:val="ListParagraph"/>
        <w:numPr>
          <w:ilvl w:val="0"/>
          <w:numId w:val="43"/>
        </w:numPr>
        <w:tabs>
          <w:tab w:val="left" w:pos="708"/>
        </w:tabs>
        <w:autoSpaceDE w:val="0"/>
        <w:autoSpaceDN w:val="0"/>
        <w:ind w:left="0" w:right="22" w:firstLine="0"/>
        <w:jc w:val="both"/>
      </w:pPr>
      <w:r w:rsidRPr="00721DD9">
        <w:rPr>
          <w:rFonts w:ascii="Verdana" w:hAnsi="Verdana"/>
          <w:sz w:val="20"/>
          <w:szCs w:val="20"/>
        </w:rPr>
        <w:t xml:space="preserve">El Presidente </w:t>
      </w:r>
      <w:r>
        <w:rPr>
          <w:rFonts w:ascii="Verdana" w:hAnsi="Verdana"/>
          <w:sz w:val="20"/>
          <w:szCs w:val="20"/>
        </w:rPr>
        <w:t xml:space="preserve">ha inadmitido los peritajes de las señoras Sabino Pozo y </w:t>
      </w:r>
      <w:proofErr w:type="spellStart"/>
      <w:r>
        <w:rPr>
          <w:rFonts w:ascii="Verdana" w:hAnsi="Verdana"/>
          <w:sz w:val="20"/>
          <w:szCs w:val="20"/>
        </w:rPr>
        <w:t>Patnella</w:t>
      </w:r>
      <w:proofErr w:type="spellEnd"/>
      <w:r>
        <w:rPr>
          <w:rFonts w:ascii="Verdana" w:hAnsi="Verdana"/>
          <w:sz w:val="20"/>
          <w:szCs w:val="20"/>
        </w:rPr>
        <w:t xml:space="preserve"> (</w:t>
      </w:r>
      <w:r>
        <w:rPr>
          <w:rFonts w:ascii="Verdana" w:hAnsi="Verdana"/>
          <w:i/>
          <w:sz w:val="20"/>
          <w:szCs w:val="20"/>
        </w:rPr>
        <w:t>supra</w:t>
      </w:r>
      <w:r>
        <w:rPr>
          <w:rFonts w:ascii="Verdana" w:hAnsi="Verdana"/>
          <w:sz w:val="20"/>
          <w:szCs w:val="20"/>
        </w:rPr>
        <w:t xml:space="preserve"> Considerandos 22 y 39). Por otra parte, </w:t>
      </w:r>
      <w:r w:rsidRPr="00721DD9">
        <w:rPr>
          <w:rFonts w:ascii="Verdana" w:hAnsi="Verdana"/>
          <w:sz w:val="20"/>
          <w:szCs w:val="20"/>
        </w:rPr>
        <w:t xml:space="preserve">constata que el objeto de las declaraciones </w:t>
      </w:r>
      <w:r w:rsidRPr="00721DD9">
        <w:rPr>
          <w:rFonts w:ascii="Verdana" w:hAnsi="Verdana"/>
          <w:sz w:val="20"/>
          <w:szCs w:val="20"/>
        </w:rPr>
        <w:lastRenderedPageBreak/>
        <w:t>periciales de los señores Cecilio Gómez Pérez</w:t>
      </w:r>
      <w:r>
        <w:rPr>
          <w:rFonts w:ascii="Verdana" w:hAnsi="Verdana"/>
          <w:sz w:val="20"/>
          <w:szCs w:val="20"/>
        </w:rPr>
        <w:t xml:space="preserve"> y</w:t>
      </w:r>
      <w:r w:rsidRPr="00721DD9">
        <w:rPr>
          <w:rFonts w:ascii="Verdana" w:hAnsi="Verdana"/>
          <w:sz w:val="20"/>
          <w:szCs w:val="20"/>
        </w:rPr>
        <w:t xml:space="preserve"> Juan Bautista Tavares Gómez versarán, como la misma Comisión lo indica</w:t>
      </w:r>
      <w:r>
        <w:rPr>
          <w:rFonts w:ascii="Verdana" w:hAnsi="Verdana"/>
          <w:sz w:val="20"/>
          <w:szCs w:val="20"/>
        </w:rPr>
        <w:t>,</w:t>
      </w:r>
      <w:r w:rsidRPr="00721DD9">
        <w:rPr>
          <w:rFonts w:ascii="Verdana" w:hAnsi="Verdana"/>
          <w:sz w:val="20"/>
          <w:szCs w:val="20"/>
        </w:rPr>
        <w:t xml:space="preserve"> sobre aspectos que “se relacionan con el marco legal aplicable y las prácticas estatales” en la República Dominicana, por lo que no es posible vincularlos con los dictámenes periciales de Pablo </w:t>
      </w:r>
      <w:proofErr w:type="spellStart"/>
      <w:r w:rsidRPr="00721DD9">
        <w:rPr>
          <w:rFonts w:ascii="Verdana" w:hAnsi="Verdana"/>
          <w:sz w:val="20"/>
          <w:szCs w:val="20"/>
        </w:rPr>
        <w:t>Ceriani</w:t>
      </w:r>
      <w:proofErr w:type="spellEnd"/>
      <w:r w:rsidRPr="00721DD9">
        <w:rPr>
          <w:rFonts w:ascii="Verdana" w:hAnsi="Verdana"/>
          <w:sz w:val="20"/>
          <w:szCs w:val="20"/>
        </w:rPr>
        <w:t xml:space="preserve"> y Julia </w:t>
      </w:r>
      <w:proofErr w:type="spellStart"/>
      <w:r w:rsidRPr="00721DD9">
        <w:rPr>
          <w:rFonts w:ascii="Verdana" w:hAnsi="Verdana"/>
          <w:sz w:val="20"/>
          <w:szCs w:val="20"/>
        </w:rPr>
        <w:t>Harrington</w:t>
      </w:r>
      <w:proofErr w:type="spellEnd"/>
      <w:r w:rsidRPr="00721DD9">
        <w:rPr>
          <w:rFonts w:ascii="Verdana" w:hAnsi="Verdana"/>
          <w:sz w:val="20"/>
          <w:szCs w:val="20"/>
        </w:rPr>
        <w:t xml:space="preserve"> ofrecidos por la Comisión, ya que no tienen implicación en el orden público interamericano</w:t>
      </w:r>
      <w:r>
        <w:rPr>
          <w:rFonts w:ascii="Verdana" w:hAnsi="Verdana"/>
          <w:sz w:val="20"/>
          <w:szCs w:val="20"/>
        </w:rPr>
        <w:t>.</w:t>
      </w:r>
      <w:r w:rsidRPr="00721DD9">
        <w:rPr>
          <w:rFonts w:ascii="Verdana" w:hAnsi="Verdana"/>
          <w:sz w:val="20"/>
          <w:szCs w:val="20"/>
        </w:rPr>
        <w:t xml:space="preserve"> En consecuencia, al no configurarse el segundo requisito establecido en el artículo 52.3 del Reglamento</w:t>
      </w:r>
      <w:r>
        <w:rPr>
          <w:rFonts w:ascii="Verdana" w:hAnsi="Verdana"/>
          <w:sz w:val="20"/>
          <w:szCs w:val="20"/>
        </w:rPr>
        <w:t>,</w:t>
      </w:r>
      <w:r w:rsidRPr="00721DD9">
        <w:rPr>
          <w:rFonts w:ascii="Verdana" w:hAnsi="Verdana"/>
          <w:sz w:val="20"/>
          <w:szCs w:val="20"/>
        </w:rPr>
        <w:t xml:space="preserve"> se desestima dicha solicitud. </w:t>
      </w:r>
    </w:p>
    <w:p w:rsidR="00332068" w:rsidRPr="0019160C" w:rsidRDefault="00332068" w:rsidP="00332068">
      <w:pPr>
        <w:widowControl w:val="0"/>
        <w:autoSpaceDE w:val="0"/>
        <w:autoSpaceDN w:val="0"/>
        <w:adjustRightInd w:val="0"/>
        <w:jc w:val="both"/>
        <w:rPr>
          <w:rFonts w:ascii="Verdana" w:hAnsi="Verdana"/>
          <w:sz w:val="20"/>
          <w:szCs w:val="20"/>
        </w:rPr>
      </w:pPr>
    </w:p>
    <w:p w:rsidR="00332068" w:rsidRDefault="00332068" w:rsidP="00332068">
      <w:pPr>
        <w:pStyle w:val="ListParagraph"/>
        <w:numPr>
          <w:ilvl w:val="0"/>
          <w:numId w:val="6"/>
        </w:numPr>
        <w:jc w:val="both"/>
        <w:rPr>
          <w:rFonts w:ascii="Verdana" w:hAnsi="Verdana"/>
          <w:b/>
          <w:bCs/>
          <w:i/>
          <w:iCs/>
          <w:sz w:val="20"/>
          <w:szCs w:val="20"/>
        </w:rPr>
      </w:pPr>
      <w:r w:rsidRPr="006659B7">
        <w:rPr>
          <w:rFonts w:ascii="Verdana" w:hAnsi="Verdana" w:cs="Verdana"/>
          <w:b/>
          <w:bCs/>
          <w:i/>
          <w:iCs/>
          <w:sz w:val="20"/>
          <w:szCs w:val="20"/>
        </w:rPr>
        <w:t xml:space="preserve">Modalidad de las declaraciones </w:t>
      </w:r>
      <w:r w:rsidRPr="006659B7">
        <w:rPr>
          <w:rFonts w:ascii="Verdana" w:hAnsi="Verdana"/>
          <w:b/>
          <w:bCs/>
          <w:i/>
          <w:iCs/>
          <w:sz w:val="20"/>
          <w:szCs w:val="20"/>
        </w:rPr>
        <w:t>y dictámenes periciales por recibir</w:t>
      </w:r>
    </w:p>
    <w:p w:rsidR="00332068" w:rsidRPr="00F75063" w:rsidRDefault="00332068" w:rsidP="00332068">
      <w:pPr>
        <w:ind w:left="709" w:hanging="283"/>
        <w:jc w:val="both"/>
        <w:rPr>
          <w:rFonts w:ascii="Verdana" w:hAnsi="Verdana"/>
          <w:b/>
          <w:bCs/>
          <w:i/>
          <w:iCs/>
          <w:sz w:val="20"/>
          <w:szCs w:val="20"/>
        </w:rPr>
      </w:pPr>
    </w:p>
    <w:p w:rsidR="00332068" w:rsidRPr="00F75063" w:rsidRDefault="00332068" w:rsidP="00332068">
      <w:pPr>
        <w:pStyle w:val="ListParagraph"/>
        <w:numPr>
          <w:ilvl w:val="0"/>
          <w:numId w:val="44"/>
        </w:numPr>
        <w:ind w:left="0" w:hanging="11"/>
        <w:jc w:val="both"/>
        <w:rPr>
          <w:rFonts w:ascii="Verdana" w:hAnsi="Verdana" w:cs="Verdana"/>
          <w:sz w:val="20"/>
          <w:szCs w:val="20"/>
        </w:rPr>
      </w:pPr>
      <w:r w:rsidRPr="00F75063">
        <w:rPr>
          <w:rFonts w:ascii="Verdana" w:hAnsi="Verdana" w:cs="Verdana"/>
          <w:sz w:val="20"/>
          <w:szCs w:val="20"/>
        </w:rPr>
        <w:t>Es necesario asegurar la más amplia presentación de hechos y argumentos por las partes en todo lo que sea pertinente para la solución de las cuestiones controvertidas, garantizando a éstas tanto el derecho a la defensa de sus respectivas posiciones como la posibilidad de atender adecuadamente los casos sujetos a consideración de la Corte, teniendo en cuenta que su número ha crecido considerablemente y se incrementa de manera constante. Asimismo, es necesario que se garantice un plazo razonable en la duración del proceso, como lo requiere el efectivo acceso a la justicia. En razón de lo anterior, es preciso recibir por declaración rendida ante fedatario público el mayor número posible de</w:t>
      </w:r>
      <w:r>
        <w:rPr>
          <w:rFonts w:ascii="Verdana" w:hAnsi="Verdana" w:cs="Verdana"/>
          <w:sz w:val="20"/>
          <w:szCs w:val="20"/>
        </w:rPr>
        <w:t xml:space="preserve"> declaraciones</w:t>
      </w:r>
      <w:r w:rsidRPr="00F75063">
        <w:rPr>
          <w:rFonts w:ascii="Verdana" w:hAnsi="Verdana" w:cs="Verdana"/>
          <w:sz w:val="20"/>
          <w:szCs w:val="20"/>
        </w:rPr>
        <w:t xml:space="preserve"> y dictámenes periciales, y escuchar en audiencia pública a las presuntas víctimas, testigos y peritos cuya declaración directa resulte verdaderamente indispensable, tomando en consideración las circunstancias del caso y el objeto de las declaraciones y dictámenes.</w:t>
      </w:r>
    </w:p>
    <w:p w:rsidR="00332068" w:rsidRPr="00E123D4" w:rsidRDefault="00332068" w:rsidP="00332068">
      <w:pPr>
        <w:jc w:val="both"/>
        <w:rPr>
          <w:rFonts w:ascii="Verdana" w:hAnsi="Verdana"/>
          <w:b/>
          <w:bCs/>
          <w:i/>
          <w:iCs/>
          <w:sz w:val="20"/>
          <w:szCs w:val="20"/>
        </w:rPr>
      </w:pPr>
    </w:p>
    <w:p w:rsidR="00332068" w:rsidRPr="00E123D4" w:rsidRDefault="00332068" w:rsidP="00332068">
      <w:pPr>
        <w:pStyle w:val="ListParagraph"/>
        <w:ind w:left="851"/>
        <w:jc w:val="both"/>
        <w:rPr>
          <w:rFonts w:ascii="Verdana" w:hAnsi="Verdana"/>
          <w:b/>
          <w:bCs/>
          <w:i/>
          <w:iCs/>
          <w:sz w:val="20"/>
          <w:szCs w:val="20"/>
        </w:rPr>
      </w:pPr>
      <w:r>
        <w:rPr>
          <w:rFonts w:ascii="Verdana" w:hAnsi="Verdana" w:cs="Verdana"/>
          <w:b/>
          <w:i/>
          <w:iCs/>
          <w:sz w:val="20"/>
          <w:szCs w:val="20"/>
        </w:rPr>
        <w:t xml:space="preserve">G.1) </w:t>
      </w:r>
      <w:r w:rsidRPr="00E123D4">
        <w:rPr>
          <w:rFonts w:ascii="Verdana" w:hAnsi="Verdana" w:cs="Verdana"/>
          <w:b/>
          <w:i/>
          <w:iCs/>
          <w:sz w:val="20"/>
          <w:szCs w:val="20"/>
          <w:lang w:val="es-CR"/>
        </w:rPr>
        <w:t>Declaraciones y dictámenes periciales a ser rendidos ante fedatario público</w:t>
      </w:r>
    </w:p>
    <w:p w:rsidR="00332068" w:rsidRDefault="00332068" w:rsidP="00332068">
      <w:pPr>
        <w:jc w:val="both"/>
        <w:rPr>
          <w:rFonts w:ascii="Verdana" w:hAnsi="Verdana" w:cs="Verdana"/>
          <w:sz w:val="20"/>
          <w:szCs w:val="20"/>
        </w:rPr>
      </w:pPr>
    </w:p>
    <w:p w:rsidR="00332068" w:rsidRPr="00E40BB5" w:rsidRDefault="00332068" w:rsidP="00332068">
      <w:pPr>
        <w:pStyle w:val="ListParagraph"/>
        <w:widowControl w:val="0"/>
        <w:numPr>
          <w:ilvl w:val="0"/>
          <w:numId w:val="44"/>
        </w:numPr>
        <w:autoSpaceDE w:val="0"/>
        <w:autoSpaceDN w:val="0"/>
        <w:adjustRightInd w:val="0"/>
        <w:ind w:left="0" w:right="22" w:firstLine="0"/>
        <w:jc w:val="both"/>
        <w:rPr>
          <w:rFonts w:ascii="Verdana" w:hAnsi="Verdana" w:cs="Verdana"/>
          <w:sz w:val="20"/>
          <w:szCs w:val="20"/>
          <w:lang w:val="es-CR"/>
        </w:rPr>
      </w:pPr>
      <w:bookmarkStart w:id="5" w:name="_Ref315177774"/>
      <w:r w:rsidRPr="00E40BB5">
        <w:rPr>
          <w:rFonts w:ascii="Verdana" w:hAnsi="Verdana" w:cs="Verdana"/>
          <w:sz w:val="20"/>
          <w:szCs w:val="20"/>
        </w:rPr>
        <w:t xml:space="preserve"> </w:t>
      </w:r>
      <w:r w:rsidRPr="00E40BB5">
        <w:rPr>
          <w:rFonts w:ascii="Verdana" w:hAnsi="Verdana" w:cs="Verdana"/>
          <w:sz w:val="20"/>
          <w:szCs w:val="20"/>
          <w:lang w:val="es-CR"/>
        </w:rPr>
        <w:t>Teniendo en cuenta lo estipulado en el artículo 50.1 del Reglamento, lo indicado por la Comisión, los representantes y el Estado en sus listas definitivas de declarantes y en los escritos complementarios a éstas (</w:t>
      </w:r>
      <w:r w:rsidRPr="00E40BB5">
        <w:rPr>
          <w:rFonts w:ascii="Verdana" w:hAnsi="Verdana" w:cs="Verdana"/>
          <w:i/>
          <w:iCs/>
          <w:sz w:val="20"/>
          <w:szCs w:val="20"/>
          <w:lang w:val="es-CR"/>
        </w:rPr>
        <w:t>supra</w:t>
      </w:r>
      <w:r w:rsidRPr="00E40BB5">
        <w:rPr>
          <w:rFonts w:ascii="Verdana" w:hAnsi="Verdana" w:cs="Verdana"/>
          <w:sz w:val="20"/>
          <w:szCs w:val="20"/>
          <w:lang w:val="es-CR"/>
        </w:rPr>
        <w:t xml:space="preserve"> Vistos 14</w:t>
      </w:r>
      <w:r>
        <w:rPr>
          <w:rFonts w:ascii="Verdana" w:hAnsi="Verdana" w:cs="Verdana"/>
          <w:sz w:val="20"/>
          <w:szCs w:val="20"/>
          <w:lang w:val="es-CR"/>
        </w:rPr>
        <w:t xml:space="preserve"> </w:t>
      </w:r>
      <w:r w:rsidRPr="00E40BB5">
        <w:rPr>
          <w:rFonts w:ascii="Verdana" w:hAnsi="Verdana" w:cs="Verdana"/>
          <w:sz w:val="20"/>
          <w:szCs w:val="20"/>
          <w:lang w:val="es-CR"/>
        </w:rPr>
        <w:t xml:space="preserve">a 16 y 19 a 21), el objeto de las declaraciones ofrecidas, así como el principio de economía procesal, el Presidente estima conveniente recibir, por medio de declaración rendida ante fedatario público, las declaraciones descritas en el punto resolutivo primero de esta decisión. </w:t>
      </w:r>
      <w:bookmarkStart w:id="6" w:name="_Ref314764554"/>
      <w:bookmarkEnd w:id="5"/>
    </w:p>
    <w:p w:rsidR="00332068" w:rsidRDefault="00332068" w:rsidP="00332068">
      <w:pPr>
        <w:pStyle w:val="ListParagraph"/>
        <w:widowControl w:val="0"/>
        <w:autoSpaceDE w:val="0"/>
        <w:autoSpaceDN w:val="0"/>
        <w:adjustRightInd w:val="0"/>
        <w:ind w:left="0" w:right="22"/>
        <w:jc w:val="both"/>
        <w:rPr>
          <w:rFonts w:ascii="Verdana" w:hAnsi="Verdana" w:cs="Verdana"/>
          <w:sz w:val="20"/>
          <w:szCs w:val="20"/>
          <w:lang w:val="es-CR"/>
        </w:rPr>
      </w:pPr>
    </w:p>
    <w:p w:rsidR="00332068" w:rsidRPr="00F75063" w:rsidRDefault="00332068" w:rsidP="00332068">
      <w:pPr>
        <w:pStyle w:val="ListParagraph"/>
        <w:widowControl w:val="0"/>
        <w:numPr>
          <w:ilvl w:val="0"/>
          <w:numId w:val="44"/>
        </w:numPr>
        <w:autoSpaceDE w:val="0"/>
        <w:autoSpaceDN w:val="0"/>
        <w:adjustRightInd w:val="0"/>
        <w:ind w:left="0" w:right="22" w:firstLine="0"/>
        <w:jc w:val="both"/>
        <w:rPr>
          <w:rFonts w:ascii="Verdana" w:hAnsi="Verdana" w:cs="Verdana"/>
          <w:sz w:val="20"/>
          <w:szCs w:val="20"/>
          <w:lang w:val="es-CR"/>
        </w:rPr>
      </w:pPr>
      <w:r w:rsidRPr="00364204">
        <w:rPr>
          <w:rFonts w:ascii="Verdana" w:hAnsi="Verdana" w:cs="Verdana"/>
          <w:sz w:val="20"/>
          <w:szCs w:val="20"/>
        </w:rPr>
        <w:t>El Presidente recuerda que el artículo 50.5 del Reglamento de la Corte contempla la posibilidad de que las presuntas víctimas o sus representantes y el Estado aporten un listado de preguntas para realizar a aquellas personas citadas a rendir declaraciones ante fedatario público. En aplicación de lo dispuesto en esta norma, se otorga una oportunidad para que los representantes de la</w:t>
      </w:r>
      <w:r>
        <w:rPr>
          <w:rFonts w:ascii="Verdana" w:hAnsi="Verdana" w:cs="Verdana"/>
          <w:sz w:val="20"/>
          <w:szCs w:val="20"/>
        </w:rPr>
        <w:t>s</w:t>
      </w:r>
      <w:r w:rsidRPr="00364204">
        <w:rPr>
          <w:rFonts w:ascii="Verdana" w:hAnsi="Verdana" w:cs="Verdana"/>
          <w:sz w:val="20"/>
          <w:szCs w:val="20"/>
        </w:rPr>
        <w:t xml:space="preserve"> presunta</w:t>
      </w:r>
      <w:r>
        <w:rPr>
          <w:rFonts w:ascii="Verdana" w:hAnsi="Verdana" w:cs="Verdana"/>
          <w:sz w:val="20"/>
          <w:szCs w:val="20"/>
        </w:rPr>
        <w:t>s</w:t>
      </w:r>
      <w:r w:rsidRPr="00364204">
        <w:rPr>
          <w:rFonts w:ascii="Verdana" w:hAnsi="Verdana" w:cs="Verdana"/>
          <w:sz w:val="20"/>
          <w:szCs w:val="20"/>
        </w:rPr>
        <w:t xml:space="preserve"> víctima</w:t>
      </w:r>
      <w:r>
        <w:rPr>
          <w:rFonts w:ascii="Verdana" w:hAnsi="Verdana" w:cs="Verdana"/>
          <w:sz w:val="20"/>
          <w:szCs w:val="20"/>
        </w:rPr>
        <w:t>s</w:t>
      </w:r>
      <w:r w:rsidRPr="00364204">
        <w:rPr>
          <w:rFonts w:ascii="Verdana" w:hAnsi="Verdana" w:cs="Verdana"/>
          <w:sz w:val="20"/>
          <w:szCs w:val="20"/>
        </w:rPr>
        <w:t xml:space="preserve"> y el Estado, presenten, si así lo desean, las preguntas que estimen pertinentes a los declarantes y los peritos referidos en el punto resolutivo primero de esta Resolución. Al rendir su declaración ante fedatario público, los declarantes deberán responder a dichas preguntas, salvo que el Presidente disponga lo contrario. Las declaraciones y peritajes serán transmitidos a la Comisión, al Estado y a los representantes. A su vez, el Estado y los representantes, podrán presentar las observaciones que estimen pertinentes en el plazo respectivo. Los plazos correspondientes serán precisados </w:t>
      </w:r>
      <w:r w:rsidRPr="00364204">
        <w:rPr>
          <w:rFonts w:ascii="Verdana" w:hAnsi="Verdana" w:cs="Verdana"/>
          <w:i/>
          <w:iCs/>
          <w:sz w:val="20"/>
          <w:szCs w:val="20"/>
        </w:rPr>
        <w:t>infra</w:t>
      </w:r>
      <w:r w:rsidRPr="00364204">
        <w:rPr>
          <w:rFonts w:ascii="Verdana" w:hAnsi="Verdana" w:cs="Verdana"/>
          <w:sz w:val="20"/>
          <w:szCs w:val="20"/>
        </w:rPr>
        <w:t xml:space="preserve">, en los puntos resolutivos </w:t>
      </w:r>
      <w:r w:rsidRPr="00A701E3">
        <w:rPr>
          <w:rFonts w:ascii="Verdana" w:hAnsi="Verdana" w:cs="Verdana"/>
          <w:sz w:val="20"/>
          <w:szCs w:val="20"/>
        </w:rPr>
        <w:t>2, 3</w:t>
      </w:r>
      <w:r>
        <w:rPr>
          <w:rFonts w:ascii="Verdana" w:hAnsi="Verdana" w:cs="Verdana"/>
          <w:sz w:val="20"/>
          <w:szCs w:val="20"/>
        </w:rPr>
        <w:t xml:space="preserve"> </w:t>
      </w:r>
      <w:r w:rsidRPr="00A701E3">
        <w:rPr>
          <w:rFonts w:ascii="Verdana" w:hAnsi="Verdana" w:cs="Verdana"/>
          <w:sz w:val="20"/>
          <w:szCs w:val="20"/>
        </w:rPr>
        <w:t>y 4</w:t>
      </w:r>
      <w:r w:rsidRPr="00364204">
        <w:rPr>
          <w:rFonts w:ascii="Verdana" w:hAnsi="Verdana" w:cs="Verdana"/>
          <w:sz w:val="20"/>
          <w:szCs w:val="20"/>
        </w:rPr>
        <w:t xml:space="preserve"> de la presente Resolución. El valor probatorio de dichas declaraciones será determinado en su oportunidad por el Tribunal, el cual tomará en cuenta, en su caso, los puntos de vista expresados por el Estado y los representantes en ejercicio de su derecho a la defensa.</w:t>
      </w:r>
    </w:p>
    <w:bookmarkEnd w:id="6"/>
    <w:p w:rsidR="00332068" w:rsidRDefault="00332068" w:rsidP="00332068">
      <w:pPr>
        <w:jc w:val="both"/>
        <w:rPr>
          <w:rFonts w:ascii="Verdana" w:hAnsi="Verdana" w:cs="Verdana"/>
          <w:sz w:val="20"/>
          <w:szCs w:val="20"/>
          <w:lang w:val="es-CR"/>
        </w:rPr>
      </w:pPr>
    </w:p>
    <w:p w:rsidR="00332068" w:rsidRPr="00E123D4" w:rsidRDefault="00332068" w:rsidP="00332068">
      <w:pPr>
        <w:pStyle w:val="ListParagraph"/>
        <w:ind w:left="851"/>
        <w:jc w:val="both"/>
        <w:rPr>
          <w:rFonts w:ascii="Verdana" w:hAnsi="Verdana" w:cs="Verdana"/>
          <w:b/>
          <w:i/>
          <w:iCs/>
          <w:sz w:val="20"/>
          <w:szCs w:val="20"/>
          <w:lang w:val="es-CR"/>
        </w:rPr>
      </w:pPr>
      <w:r>
        <w:rPr>
          <w:rFonts w:ascii="Verdana" w:hAnsi="Verdana" w:cs="Verdana"/>
          <w:b/>
          <w:i/>
          <w:iCs/>
          <w:sz w:val="20"/>
          <w:szCs w:val="20"/>
          <w:lang w:val="es-CR"/>
        </w:rPr>
        <w:t xml:space="preserve">G.2) </w:t>
      </w:r>
      <w:r w:rsidRPr="00E123D4">
        <w:rPr>
          <w:rFonts w:ascii="Verdana" w:hAnsi="Verdana" w:cs="Verdana"/>
          <w:b/>
          <w:i/>
          <w:iCs/>
          <w:sz w:val="20"/>
          <w:szCs w:val="20"/>
          <w:lang w:val="es-CR"/>
        </w:rPr>
        <w:t>Declaraciones y dictámenes periciales a ser rendidos en audiencia pública</w:t>
      </w:r>
    </w:p>
    <w:p w:rsidR="00332068" w:rsidRDefault="00332068" w:rsidP="00332068">
      <w:pPr>
        <w:pStyle w:val="ListParagraph"/>
        <w:widowControl w:val="0"/>
        <w:autoSpaceDE w:val="0"/>
        <w:autoSpaceDN w:val="0"/>
        <w:adjustRightInd w:val="0"/>
        <w:ind w:left="0" w:right="22"/>
        <w:jc w:val="both"/>
        <w:rPr>
          <w:rFonts w:ascii="Verdana" w:hAnsi="Verdana" w:cs="Verdana"/>
          <w:sz w:val="20"/>
          <w:szCs w:val="20"/>
          <w:lang w:val="es-CR"/>
        </w:rPr>
      </w:pPr>
    </w:p>
    <w:p w:rsidR="00332068" w:rsidRPr="00F47583" w:rsidRDefault="00332068" w:rsidP="00332068">
      <w:pPr>
        <w:pStyle w:val="ListParagraph"/>
        <w:widowControl w:val="0"/>
        <w:numPr>
          <w:ilvl w:val="0"/>
          <w:numId w:val="44"/>
        </w:numPr>
        <w:tabs>
          <w:tab w:val="left" w:pos="0"/>
        </w:tabs>
        <w:autoSpaceDE w:val="0"/>
        <w:autoSpaceDN w:val="0"/>
        <w:adjustRightInd w:val="0"/>
        <w:ind w:left="0" w:hanging="11"/>
        <w:jc w:val="both"/>
        <w:rPr>
          <w:rFonts w:ascii="Verdana" w:hAnsi="Verdana" w:cs="Verdana"/>
          <w:sz w:val="20"/>
          <w:szCs w:val="20"/>
        </w:rPr>
      </w:pPr>
      <w:r w:rsidRPr="00F47583">
        <w:rPr>
          <w:rFonts w:ascii="Verdana" w:hAnsi="Verdana" w:cs="Verdana"/>
          <w:sz w:val="20"/>
          <w:szCs w:val="20"/>
          <w:lang w:val="es-CR"/>
        </w:rPr>
        <w:t xml:space="preserve">Los autos en el presente caso se encuentran listos para la apertura del </w:t>
      </w:r>
      <w:r w:rsidRPr="00F47583">
        <w:rPr>
          <w:rFonts w:ascii="Verdana" w:hAnsi="Verdana" w:cs="Verdana"/>
          <w:sz w:val="20"/>
          <w:szCs w:val="20"/>
          <w:lang w:val="es-CR"/>
        </w:rPr>
        <w:lastRenderedPageBreak/>
        <w:t>procedimiento oral en cuanto a la</w:t>
      </w:r>
      <w:r>
        <w:rPr>
          <w:rFonts w:ascii="Verdana" w:hAnsi="Verdana" w:cs="Verdana"/>
          <w:sz w:val="20"/>
          <w:szCs w:val="20"/>
          <w:lang w:val="es-CR"/>
        </w:rPr>
        <w:t>s</w:t>
      </w:r>
      <w:r w:rsidRPr="00F47583">
        <w:rPr>
          <w:rFonts w:ascii="Verdana" w:hAnsi="Verdana" w:cs="Verdana"/>
          <w:sz w:val="20"/>
          <w:szCs w:val="20"/>
          <w:lang w:val="es-CR"/>
        </w:rPr>
        <w:t xml:space="preserve"> excepci</w:t>
      </w:r>
      <w:r>
        <w:rPr>
          <w:rFonts w:ascii="Verdana" w:hAnsi="Verdana" w:cs="Verdana"/>
          <w:sz w:val="20"/>
          <w:szCs w:val="20"/>
          <w:lang w:val="es-CR"/>
        </w:rPr>
        <w:t>ones</w:t>
      </w:r>
      <w:r w:rsidRPr="00F47583">
        <w:rPr>
          <w:rFonts w:ascii="Verdana" w:hAnsi="Verdana" w:cs="Verdana"/>
          <w:sz w:val="20"/>
          <w:szCs w:val="20"/>
          <w:lang w:val="es-CR"/>
        </w:rPr>
        <w:t xml:space="preserve"> preliminar</w:t>
      </w:r>
      <w:r>
        <w:rPr>
          <w:rFonts w:ascii="Verdana" w:hAnsi="Verdana" w:cs="Verdana"/>
          <w:sz w:val="20"/>
          <w:szCs w:val="20"/>
          <w:lang w:val="es-CR"/>
        </w:rPr>
        <w:t>es</w:t>
      </w:r>
      <w:r w:rsidRPr="00F47583">
        <w:rPr>
          <w:rFonts w:ascii="Verdana" w:hAnsi="Verdana" w:cs="Verdana"/>
          <w:sz w:val="20"/>
          <w:szCs w:val="20"/>
          <w:lang w:val="es-CR"/>
        </w:rPr>
        <w:t xml:space="preserve"> y eventuales fondo, reparaciones y costas, por lo que el Presidente estima pertinente convocar </w:t>
      </w:r>
      <w:r>
        <w:rPr>
          <w:rFonts w:ascii="Verdana" w:hAnsi="Verdana" w:cs="Verdana"/>
          <w:sz w:val="20"/>
          <w:szCs w:val="20"/>
          <w:lang w:val="es-CR"/>
        </w:rPr>
        <w:t xml:space="preserve">a </w:t>
      </w:r>
      <w:r w:rsidRPr="00F47583">
        <w:rPr>
          <w:rFonts w:ascii="Verdana" w:hAnsi="Verdana" w:cs="Verdana"/>
          <w:sz w:val="20"/>
          <w:szCs w:val="20"/>
          <w:lang w:val="es-CR"/>
        </w:rPr>
        <w:t>una audiencia pública para recibir las declaraciones de:</w:t>
      </w:r>
      <w:r w:rsidRPr="00F47583">
        <w:rPr>
          <w:rFonts w:ascii="Verdana" w:hAnsi="Verdana" w:cs="Verdana"/>
          <w:sz w:val="20"/>
          <w:szCs w:val="20"/>
        </w:rPr>
        <w:t xml:space="preserve"> la presunta víctima </w:t>
      </w:r>
      <w:r w:rsidRPr="00F47583">
        <w:rPr>
          <w:rFonts w:ascii="Verdana" w:hAnsi="Verdana" w:cs="Verdana"/>
          <w:i/>
          <w:sz w:val="20"/>
          <w:szCs w:val="20"/>
        </w:rPr>
        <w:t>William Medina Ferreras</w:t>
      </w:r>
      <w:r w:rsidRPr="00F47583">
        <w:rPr>
          <w:rFonts w:ascii="Verdana" w:hAnsi="Verdana" w:cs="Verdana"/>
          <w:sz w:val="20"/>
          <w:szCs w:val="20"/>
        </w:rPr>
        <w:t>, propuest</w:t>
      </w:r>
      <w:r>
        <w:rPr>
          <w:rFonts w:ascii="Verdana" w:hAnsi="Verdana" w:cs="Verdana"/>
          <w:sz w:val="20"/>
          <w:szCs w:val="20"/>
        </w:rPr>
        <w:t>o</w:t>
      </w:r>
      <w:r w:rsidRPr="00F47583">
        <w:rPr>
          <w:rFonts w:ascii="Verdana" w:hAnsi="Verdana" w:cs="Verdana"/>
          <w:sz w:val="20"/>
          <w:szCs w:val="20"/>
        </w:rPr>
        <w:t xml:space="preserve"> por los representantes; los peritos </w:t>
      </w:r>
      <w:r w:rsidRPr="00F47583">
        <w:rPr>
          <w:rFonts w:ascii="Verdana" w:hAnsi="Verdana" w:cs="Verdana"/>
          <w:i/>
          <w:sz w:val="20"/>
          <w:szCs w:val="20"/>
        </w:rPr>
        <w:t xml:space="preserve">Pablo </w:t>
      </w:r>
      <w:proofErr w:type="spellStart"/>
      <w:r w:rsidRPr="00F47583">
        <w:rPr>
          <w:rFonts w:ascii="Verdana" w:hAnsi="Verdana" w:cs="Verdana"/>
          <w:i/>
          <w:sz w:val="20"/>
          <w:szCs w:val="20"/>
        </w:rPr>
        <w:t>Ceriani</w:t>
      </w:r>
      <w:proofErr w:type="spellEnd"/>
      <w:r w:rsidRPr="00F47583">
        <w:rPr>
          <w:rFonts w:ascii="Verdana" w:hAnsi="Verdana" w:cs="Verdana"/>
          <w:sz w:val="20"/>
          <w:szCs w:val="20"/>
        </w:rPr>
        <w:t xml:space="preserve">, propuesto por la Comisión Interamericana; </w:t>
      </w:r>
      <w:proofErr w:type="spellStart"/>
      <w:r w:rsidRPr="00F47583">
        <w:rPr>
          <w:rFonts w:ascii="Verdana" w:hAnsi="Verdana" w:cs="Verdana"/>
          <w:i/>
          <w:sz w:val="20"/>
          <w:szCs w:val="20"/>
        </w:rPr>
        <w:t>Briget</w:t>
      </w:r>
      <w:proofErr w:type="spellEnd"/>
      <w:r w:rsidRPr="00F47583">
        <w:rPr>
          <w:rFonts w:ascii="Verdana" w:hAnsi="Verdana" w:cs="Verdana"/>
          <w:i/>
          <w:sz w:val="20"/>
          <w:szCs w:val="20"/>
        </w:rPr>
        <w:t xml:space="preserve"> </w:t>
      </w:r>
      <w:proofErr w:type="spellStart"/>
      <w:r w:rsidRPr="00F47583">
        <w:rPr>
          <w:rFonts w:ascii="Verdana" w:hAnsi="Verdana" w:cs="Verdana"/>
          <w:i/>
          <w:sz w:val="20"/>
          <w:szCs w:val="20"/>
        </w:rPr>
        <w:t>Wodding</w:t>
      </w:r>
      <w:proofErr w:type="spellEnd"/>
      <w:r w:rsidRPr="00F47583">
        <w:rPr>
          <w:rFonts w:ascii="Verdana" w:hAnsi="Verdana" w:cs="Verdana"/>
          <w:sz w:val="20"/>
          <w:szCs w:val="20"/>
        </w:rPr>
        <w:t xml:space="preserve"> y </w:t>
      </w:r>
      <w:r w:rsidRPr="00F47583">
        <w:rPr>
          <w:rFonts w:ascii="Verdana" w:hAnsi="Verdana" w:cs="Verdana"/>
          <w:i/>
          <w:sz w:val="20"/>
          <w:szCs w:val="20"/>
        </w:rPr>
        <w:t>Carlos Quesada</w:t>
      </w:r>
      <w:r w:rsidRPr="00F47583">
        <w:rPr>
          <w:rFonts w:ascii="Verdana" w:hAnsi="Verdana" w:cs="Verdana"/>
          <w:sz w:val="20"/>
          <w:szCs w:val="20"/>
        </w:rPr>
        <w:t xml:space="preserve">, propuestos por los representantes, </w:t>
      </w:r>
      <w:r>
        <w:rPr>
          <w:rFonts w:ascii="Verdana" w:hAnsi="Verdana" w:cs="Verdana"/>
          <w:sz w:val="20"/>
          <w:szCs w:val="20"/>
        </w:rPr>
        <w:t xml:space="preserve">y </w:t>
      </w:r>
      <w:r w:rsidRPr="007C2D71">
        <w:rPr>
          <w:rFonts w:ascii="Verdana" w:hAnsi="Verdana" w:cs="Verdana"/>
          <w:i/>
          <w:sz w:val="20"/>
          <w:szCs w:val="20"/>
        </w:rPr>
        <w:t>Juan Bautista Tavares Gómez</w:t>
      </w:r>
      <w:r w:rsidRPr="00F47583">
        <w:rPr>
          <w:rFonts w:ascii="Verdana" w:hAnsi="Verdana" w:cs="Verdana"/>
          <w:i/>
          <w:sz w:val="20"/>
          <w:szCs w:val="20"/>
        </w:rPr>
        <w:t xml:space="preserve"> </w:t>
      </w:r>
      <w:r w:rsidRPr="00F47583">
        <w:rPr>
          <w:rFonts w:ascii="Verdana" w:hAnsi="Verdana" w:cs="Verdana"/>
          <w:sz w:val="20"/>
          <w:szCs w:val="20"/>
        </w:rPr>
        <w:t xml:space="preserve">y </w:t>
      </w:r>
      <w:r w:rsidRPr="00F47583">
        <w:rPr>
          <w:rFonts w:ascii="Verdana" w:hAnsi="Verdana" w:cs="Verdana"/>
          <w:i/>
          <w:sz w:val="20"/>
          <w:szCs w:val="20"/>
        </w:rPr>
        <w:t>Cecilio Gómez Pérez</w:t>
      </w:r>
      <w:r w:rsidRPr="00F47583">
        <w:rPr>
          <w:rFonts w:ascii="Verdana" w:hAnsi="Verdana" w:cs="Verdana"/>
          <w:sz w:val="20"/>
          <w:szCs w:val="20"/>
        </w:rPr>
        <w:t>, propuestos por el Estado.</w:t>
      </w:r>
    </w:p>
    <w:p w:rsidR="00332068" w:rsidRDefault="00332068" w:rsidP="00332068">
      <w:pPr>
        <w:pStyle w:val="ListParagraph"/>
        <w:widowControl w:val="0"/>
        <w:autoSpaceDE w:val="0"/>
        <w:autoSpaceDN w:val="0"/>
        <w:adjustRightInd w:val="0"/>
        <w:ind w:right="22"/>
        <w:jc w:val="both"/>
        <w:rPr>
          <w:rFonts w:ascii="Verdana" w:hAnsi="Verdana" w:cs="Verdana"/>
          <w:sz w:val="20"/>
          <w:szCs w:val="20"/>
        </w:rPr>
      </w:pPr>
    </w:p>
    <w:p w:rsidR="00332068" w:rsidRPr="00CF1F0E" w:rsidRDefault="00332068" w:rsidP="00332068">
      <w:pPr>
        <w:widowControl w:val="0"/>
        <w:autoSpaceDE w:val="0"/>
        <w:autoSpaceDN w:val="0"/>
        <w:adjustRightInd w:val="0"/>
        <w:ind w:right="22"/>
        <w:jc w:val="both"/>
        <w:rPr>
          <w:rFonts w:ascii="Verdana" w:hAnsi="Verdana" w:cs="Verdana"/>
          <w:sz w:val="20"/>
          <w:szCs w:val="20"/>
        </w:rPr>
      </w:pPr>
    </w:p>
    <w:p w:rsidR="00332068" w:rsidRDefault="00332068" w:rsidP="00332068">
      <w:pPr>
        <w:pStyle w:val="ListParagraph"/>
        <w:widowControl w:val="0"/>
        <w:numPr>
          <w:ilvl w:val="0"/>
          <w:numId w:val="6"/>
        </w:numPr>
        <w:tabs>
          <w:tab w:val="left" w:pos="1134"/>
        </w:tabs>
        <w:autoSpaceDE w:val="0"/>
        <w:autoSpaceDN w:val="0"/>
        <w:adjustRightInd w:val="0"/>
        <w:ind w:right="22"/>
        <w:jc w:val="both"/>
        <w:rPr>
          <w:rFonts w:ascii="Verdana" w:hAnsi="Verdana"/>
          <w:b/>
          <w:i/>
          <w:sz w:val="20"/>
          <w:szCs w:val="20"/>
          <w:lang w:val="es-CR"/>
        </w:rPr>
      </w:pPr>
      <w:r w:rsidRPr="00721DD9">
        <w:rPr>
          <w:rFonts w:ascii="Verdana" w:hAnsi="Verdana"/>
          <w:b/>
          <w:i/>
          <w:sz w:val="20"/>
          <w:szCs w:val="20"/>
          <w:lang w:val="es-CR"/>
        </w:rPr>
        <w:t xml:space="preserve">Aplicación del Fondo de Asistencia </w:t>
      </w:r>
      <w:r>
        <w:rPr>
          <w:rFonts w:ascii="Verdana" w:hAnsi="Verdana"/>
          <w:b/>
          <w:i/>
          <w:sz w:val="20"/>
          <w:szCs w:val="20"/>
          <w:lang w:val="es-CR"/>
        </w:rPr>
        <w:t xml:space="preserve">Legal </w:t>
      </w:r>
      <w:r w:rsidRPr="00721DD9">
        <w:rPr>
          <w:rFonts w:ascii="Verdana" w:hAnsi="Verdana"/>
          <w:b/>
          <w:i/>
          <w:sz w:val="20"/>
          <w:szCs w:val="20"/>
          <w:lang w:val="es-CR"/>
        </w:rPr>
        <w:t>a Víctimas</w:t>
      </w:r>
    </w:p>
    <w:p w:rsidR="00332068" w:rsidRPr="00ED74F9" w:rsidRDefault="00332068" w:rsidP="00332068">
      <w:pPr>
        <w:pStyle w:val="ListParagraph"/>
        <w:ind w:left="0"/>
        <w:rPr>
          <w:rFonts w:ascii="Verdana" w:hAnsi="Verdana"/>
          <w:sz w:val="20"/>
          <w:szCs w:val="20"/>
          <w:lang w:val="es-CR"/>
        </w:rPr>
      </w:pPr>
    </w:p>
    <w:p w:rsidR="00332068"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lang w:val="es-CR"/>
        </w:rPr>
      </w:pPr>
      <w:r w:rsidRPr="00721DD9">
        <w:rPr>
          <w:rFonts w:ascii="Verdana" w:hAnsi="Verdana"/>
          <w:sz w:val="20"/>
          <w:szCs w:val="20"/>
          <w:lang w:val="es-CR"/>
        </w:rPr>
        <w:t>En la Resolución adoptada por esta Presidencia el 1 de marzo de 2013 (</w:t>
      </w:r>
      <w:r w:rsidRPr="00721DD9">
        <w:rPr>
          <w:rFonts w:ascii="Verdana" w:hAnsi="Verdana"/>
          <w:i/>
          <w:sz w:val="20"/>
          <w:szCs w:val="20"/>
          <w:lang w:val="es-CR"/>
        </w:rPr>
        <w:t xml:space="preserve">supra </w:t>
      </w:r>
      <w:r w:rsidRPr="00721DD9">
        <w:rPr>
          <w:rFonts w:ascii="Verdana" w:hAnsi="Verdana"/>
          <w:sz w:val="20"/>
          <w:szCs w:val="20"/>
          <w:lang w:val="es-CR"/>
        </w:rPr>
        <w:t xml:space="preserve">Visto </w:t>
      </w:r>
      <w:r>
        <w:rPr>
          <w:rFonts w:ascii="Verdana" w:hAnsi="Verdana"/>
          <w:sz w:val="20"/>
          <w:szCs w:val="20"/>
          <w:lang w:val="es-CR"/>
        </w:rPr>
        <w:t>8</w:t>
      </w:r>
      <w:r w:rsidRPr="00721DD9">
        <w:rPr>
          <w:rFonts w:ascii="Verdana" w:hAnsi="Verdana"/>
          <w:sz w:val="20"/>
          <w:szCs w:val="20"/>
          <w:lang w:val="es-CR"/>
        </w:rPr>
        <w:t>) se resolvió declarar procedente la solicitud interpuesta por la</w:t>
      </w:r>
      <w:r>
        <w:rPr>
          <w:rFonts w:ascii="Verdana" w:hAnsi="Verdana"/>
          <w:sz w:val="20"/>
          <w:szCs w:val="20"/>
          <w:lang w:val="es-CR"/>
        </w:rPr>
        <w:t>s</w:t>
      </w:r>
      <w:r w:rsidRPr="00721DD9">
        <w:rPr>
          <w:rFonts w:ascii="Verdana" w:hAnsi="Verdana"/>
          <w:sz w:val="20"/>
          <w:szCs w:val="20"/>
          <w:lang w:val="es-CR"/>
        </w:rPr>
        <w:t xml:space="preserve"> presunta</w:t>
      </w:r>
      <w:r>
        <w:rPr>
          <w:rFonts w:ascii="Verdana" w:hAnsi="Verdana"/>
          <w:sz w:val="20"/>
          <w:szCs w:val="20"/>
          <w:lang w:val="es-CR"/>
        </w:rPr>
        <w:t>s</w:t>
      </w:r>
      <w:r w:rsidRPr="00721DD9">
        <w:rPr>
          <w:rFonts w:ascii="Verdana" w:hAnsi="Verdana"/>
          <w:sz w:val="20"/>
          <w:szCs w:val="20"/>
          <w:lang w:val="es-CR"/>
        </w:rPr>
        <w:t xml:space="preserve"> víctima</w:t>
      </w:r>
      <w:r>
        <w:rPr>
          <w:rFonts w:ascii="Verdana" w:hAnsi="Verdana"/>
          <w:sz w:val="20"/>
          <w:szCs w:val="20"/>
          <w:lang w:val="es-CR"/>
        </w:rPr>
        <w:t>s</w:t>
      </w:r>
      <w:r w:rsidRPr="00721DD9">
        <w:rPr>
          <w:rFonts w:ascii="Verdana" w:hAnsi="Verdana"/>
          <w:sz w:val="20"/>
          <w:szCs w:val="20"/>
          <w:lang w:val="es-CR"/>
        </w:rPr>
        <w:t xml:space="preserve"> </w:t>
      </w:r>
      <w:r>
        <w:rPr>
          <w:rFonts w:ascii="Verdana" w:hAnsi="Verdana"/>
          <w:sz w:val="20"/>
          <w:szCs w:val="20"/>
          <w:lang w:val="es-CR"/>
        </w:rPr>
        <w:t xml:space="preserve">para </w:t>
      </w:r>
      <w:r w:rsidRPr="00721DD9">
        <w:rPr>
          <w:rFonts w:ascii="Verdana" w:hAnsi="Verdana"/>
          <w:sz w:val="20"/>
          <w:szCs w:val="20"/>
          <w:lang w:val="es-CR"/>
        </w:rPr>
        <w:t xml:space="preserve">acogerse al Fondo de Asistencia, de modo que se otorgaría la asistencia económica necesaria para la presentación de un máximo de cuatro declaraciones, sea por </w:t>
      </w:r>
      <w:proofErr w:type="spellStart"/>
      <w:r w:rsidRPr="00721DD9">
        <w:rPr>
          <w:rFonts w:ascii="Verdana" w:hAnsi="Verdana"/>
          <w:i/>
          <w:iCs/>
          <w:sz w:val="20"/>
          <w:szCs w:val="20"/>
          <w:lang w:val="es-CR"/>
        </w:rPr>
        <w:t>affidávit</w:t>
      </w:r>
      <w:proofErr w:type="spellEnd"/>
      <w:r w:rsidRPr="00721DD9">
        <w:rPr>
          <w:rFonts w:ascii="Verdana" w:hAnsi="Verdana"/>
          <w:i/>
          <w:iCs/>
          <w:sz w:val="20"/>
          <w:szCs w:val="20"/>
          <w:lang w:val="es-CR"/>
        </w:rPr>
        <w:t xml:space="preserve"> </w:t>
      </w:r>
      <w:r w:rsidRPr="00721DD9">
        <w:rPr>
          <w:rFonts w:ascii="Verdana" w:hAnsi="Verdana"/>
          <w:sz w:val="20"/>
          <w:szCs w:val="20"/>
          <w:lang w:val="es-CR"/>
        </w:rPr>
        <w:t>o en audiencia pública.</w:t>
      </w:r>
    </w:p>
    <w:p w:rsidR="00332068" w:rsidRPr="00ED74F9" w:rsidRDefault="00332068" w:rsidP="00332068">
      <w:pPr>
        <w:pStyle w:val="ListParagraph"/>
        <w:ind w:left="0"/>
        <w:rPr>
          <w:rFonts w:ascii="Verdana" w:hAnsi="Verdana"/>
          <w:sz w:val="20"/>
          <w:szCs w:val="20"/>
          <w:lang w:val="es-CR"/>
        </w:rPr>
      </w:pPr>
    </w:p>
    <w:p w:rsidR="00332068"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lang w:val="es-CR"/>
        </w:rPr>
      </w:pPr>
      <w:r w:rsidRPr="00721DD9">
        <w:rPr>
          <w:rFonts w:ascii="Verdana" w:hAnsi="Verdana"/>
          <w:sz w:val="20"/>
          <w:szCs w:val="20"/>
          <w:lang w:val="es-CR"/>
        </w:rPr>
        <w:t>Habiéndose determinado que las declaraciones ofrecidas por l</w:t>
      </w:r>
      <w:r>
        <w:rPr>
          <w:rFonts w:ascii="Verdana" w:hAnsi="Verdana"/>
          <w:sz w:val="20"/>
          <w:szCs w:val="20"/>
          <w:lang w:val="es-CR"/>
        </w:rPr>
        <w:t>os</w:t>
      </w:r>
      <w:r w:rsidRPr="00721DD9">
        <w:rPr>
          <w:rFonts w:ascii="Verdana" w:hAnsi="Verdana"/>
          <w:sz w:val="20"/>
          <w:szCs w:val="20"/>
          <w:lang w:val="es-CR"/>
        </w:rPr>
        <w:t xml:space="preserve"> representante</w:t>
      </w:r>
      <w:r>
        <w:rPr>
          <w:rFonts w:ascii="Verdana" w:hAnsi="Verdana"/>
          <w:sz w:val="20"/>
          <w:szCs w:val="20"/>
          <w:lang w:val="es-CR"/>
        </w:rPr>
        <w:t>s</w:t>
      </w:r>
      <w:r w:rsidRPr="00721DD9">
        <w:rPr>
          <w:rFonts w:ascii="Verdana" w:hAnsi="Verdana"/>
          <w:sz w:val="20"/>
          <w:szCs w:val="20"/>
          <w:lang w:val="es-CR"/>
        </w:rPr>
        <w:t xml:space="preserve"> serán recibidas por el Tribunal y el medio por el cual se realizarán, corresponde en este momento precisar el monto, destino y objeto específicos de dicha asistencia. </w:t>
      </w:r>
    </w:p>
    <w:p w:rsidR="00332068" w:rsidRPr="00ED74F9" w:rsidRDefault="00332068" w:rsidP="00332068">
      <w:pPr>
        <w:pStyle w:val="ListParagraph"/>
        <w:ind w:left="0"/>
        <w:rPr>
          <w:rFonts w:ascii="Verdana" w:hAnsi="Verdana"/>
          <w:sz w:val="20"/>
          <w:szCs w:val="20"/>
          <w:lang w:val="es-CR"/>
        </w:rPr>
      </w:pPr>
    </w:p>
    <w:p w:rsidR="00332068"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rPr>
      </w:pPr>
      <w:bookmarkStart w:id="7" w:name="_Ref353890373"/>
      <w:r w:rsidRPr="00721DD9">
        <w:rPr>
          <w:rFonts w:ascii="Verdana" w:hAnsi="Verdana"/>
          <w:sz w:val="20"/>
          <w:szCs w:val="20"/>
          <w:lang w:val="es-CR"/>
        </w:rPr>
        <w:t>Al respecto, el Presidente dispone que la asistencia económica estará asignada para cubrir los gastos de viaje y estadía necesarios para recibir en audiencia la declaración de la</w:t>
      </w:r>
      <w:r>
        <w:rPr>
          <w:rFonts w:ascii="Verdana" w:hAnsi="Verdana"/>
          <w:sz w:val="20"/>
          <w:szCs w:val="20"/>
          <w:lang w:val="es-CR"/>
        </w:rPr>
        <w:t xml:space="preserve"> </w:t>
      </w:r>
      <w:r w:rsidRPr="00721DD9">
        <w:rPr>
          <w:rFonts w:ascii="Verdana" w:hAnsi="Verdana"/>
          <w:sz w:val="20"/>
          <w:szCs w:val="20"/>
          <w:lang w:val="es-CR"/>
        </w:rPr>
        <w:t xml:space="preserve">presunta víctima señor William Medina Ferreras y la declaración pericial de la señora </w:t>
      </w:r>
      <w:proofErr w:type="spellStart"/>
      <w:r w:rsidRPr="00721DD9">
        <w:rPr>
          <w:rFonts w:ascii="Verdana" w:hAnsi="Verdana"/>
          <w:sz w:val="20"/>
          <w:szCs w:val="20"/>
          <w:lang w:val="es-CR"/>
        </w:rPr>
        <w:t>Briget</w:t>
      </w:r>
      <w:proofErr w:type="spellEnd"/>
      <w:r w:rsidRPr="00721DD9">
        <w:rPr>
          <w:rFonts w:ascii="Verdana" w:hAnsi="Verdana"/>
          <w:sz w:val="20"/>
          <w:szCs w:val="20"/>
          <w:lang w:val="es-CR"/>
        </w:rPr>
        <w:t xml:space="preserve"> </w:t>
      </w:r>
      <w:proofErr w:type="spellStart"/>
      <w:r w:rsidRPr="00721DD9">
        <w:rPr>
          <w:rFonts w:ascii="Verdana" w:hAnsi="Verdana"/>
          <w:sz w:val="20"/>
          <w:szCs w:val="20"/>
          <w:lang w:val="es-CR"/>
        </w:rPr>
        <w:t>Wooding</w:t>
      </w:r>
      <w:proofErr w:type="spellEnd"/>
      <w:r w:rsidRPr="0092009C">
        <w:rPr>
          <w:rFonts w:ascii="Verdana" w:hAnsi="Verdana"/>
          <w:sz w:val="20"/>
          <w:szCs w:val="20"/>
          <w:lang w:val="es-CR"/>
        </w:rPr>
        <w:t xml:space="preserve">. </w:t>
      </w:r>
      <w:r w:rsidRPr="0092009C">
        <w:rPr>
          <w:rFonts w:ascii="Verdana" w:hAnsi="Verdana"/>
          <w:sz w:val="20"/>
          <w:szCs w:val="20"/>
        </w:rPr>
        <w:t>Asimismo</w:t>
      </w:r>
      <w:r w:rsidRPr="00721DD9">
        <w:rPr>
          <w:rFonts w:ascii="Verdana" w:hAnsi="Verdana"/>
          <w:sz w:val="20"/>
          <w:szCs w:val="20"/>
        </w:rPr>
        <w:t xml:space="preserve">, se brindará asistencia económica para cubrir los gastos de formalización y envío de dos declaraciones presentadas mediante </w:t>
      </w:r>
      <w:proofErr w:type="spellStart"/>
      <w:r w:rsidRPr="00721DD9">
        <w:rPr>
          <w:rFonts w:ascii="Verdana" w:hAnsi="Verdana"/>
          <w:i/>
          <w:iCs/>
          <w:sz w:val="20"/>
          <w:szCs w:val="20"/>
        </w:rPr>
        <w:t>affidávit</w:t>
      </w:r>
      <w:proofErr w:type="spellEnd"/>
      <w:r w:rsidRPr="00721DD9">
        <w:rPr>
          <w:rFonts w:ascii="Verdana" w:hAnsi="Verdana"/>
          <w:i/>
          <w:iCs/>
          <w:sz w:val="20"/>
          <w:szCs w:val="20"/>
        </w:rPr>
        <w:t xml:space="preserve">, </w:t>
      </w:r>
      <w:r w:rsidRPr="00721DD9">
        <w:rPr>
          <w:rFonts w:ascii="Verdana" w:hAnsi="Verdana"/>
          <w:sz w:val="20"/>
          <w:szCs w:val="20"/>
        </w:rPr>
        <w:t xml:space="preserve">según lo determinen las presuntas víctimas o sus representantes, de acuerdo a lo dispuesto en el punto resolutivo primero de esta Resolución. Los representantes deberán comunicar a la Corte el nombre de los dos declarantes cuyos </w:t>
      </w:r>
      <w:proofErr w:type="spellStart"/>
      <w:r w:rsidRPr="00721DD9">
        <w:rPr>
          <w:rFonts w:ascii="Verdana" w:hAnsi="Verdana"/>
          <w:i/>
          <w:iCs/>
          <w:sz w:val="20"/>
          <w:szCs w:val="20"/>
        </w:rPr>
        <w:t>affidávits</w:t>
      </w:r>
      <w:proofErr w:type="spellEnd"/>
      <w:r w:rsidRPr="00721DD9">
        <w:rPr>
          <w:rFonts w:ascii="Verdana" w:hAnsi="Verdana"/>
          <w:i/>
          <w:iCs/>
          <w:sz w:val="20"/>
          <w:szCs w:val="20"/>
        </w:rPr>
        <w:t xml:space="preserve"> </w:t>
      </w:r>
      <w:r w:rsidRPr="00721DD9">
        <w:rPr>
          <w:rFonts w:ascii="Verdana" w:hAnsi="Verdana"/>
          <w:sz w:val="20"/>
          <w:szCs w:val="20"/>
        </w:rPr>
        <w:t>serán cubiertos por el Fondo de Asistencia, así como remitir una cotización del costo de la formalización de una declaración jurada</w:t>
      </w:r>
      <w:r>
        <w:rPr>
          <w:rFonts w:ascii="Verdana" w:hAnsi="Verdana"/>
          <w:sz w:val="20"/>
          <w:szCs w:val="20"/>
        </w:rPr>
        <w:t xml:space="preserve"> en su país de residencia, según corresponda,</w:t>
      </w:r>
      <w:r w:rsidRPr="00721DD9">
        <w:rPr>
          <w:rFonts w:ascii="Verdana" w:hAnsi="Verdana"/>
          <w:sz w:val="20"/>
          <w:szCs w:val="20"/>
        </w:rPr>
        <w:t xml:space="preserve"> y de su envío, en el plazo establecido en la parte resolutiva de la presente Resolución. En cuanto a los comparecientes en audiencia pública, el Tribunal realizará las gestiones pertinentes y necesarias para cubrir los costos de traslado, alojamiento y manutención de dichos comparecientes con recursos provenientes del Fondo de Asistencia.</w:t>
      </w:r>
    </w:p>
    <w:bookmarkEnd w:id="7"/>
    <w:p w:rsidR="00332068" w:rsidRPr="00ED74F9" w:rsidRDefault="00332068" w:rsidP="00332068">
      <w:pPr>
        <w:pStyle w:val="ListParagraph"/>
        <w:ind w:left="0"/>
        <w:rPr>
          <w:rFonts w:ascii="Verdana" w:hAnsi="Verdana"/>
          <w:sz w:val="20"/>
          <w:szCs w:val="20"/>
          <w:lang w:val="es-CR"/>
        </w:rPr>
      </w:pPr>
    </w:p>
    <w:p w:rsidR="00332068"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lang w:val="es-CR"/>
        </w:rPr>
      </w:pPr>
      <w:r w:rsidRPr="00721DD9">
        <w:rPr>
          <w:rFonts w:ascii="Verdana" w:hAnsi="Verdana"/>
          <w:sz w:val="20"/>
          <w:szCs w:val="20"/>
          <w:lang w:val="es-CR"/>
        </w:rPr>
        <w:t xml:space="preserve">Según lo requerido por el artículo 4 del Reglamento de la Corte sobre el Funcionamiento del Fondo de Asistencia (en adelante el “Reglamento del Fondo de Asistencia”), se dispone que la Secretaría de la Corte abra un expediente de gastos con el fin de llevar la contabilidad y en el cual se documentará cada una de las erogaciones que se realice con el referido fondo. </w:t>
      </w:r>
    </w:p>
    <w:p w:rsidR="00332068" w:rsidRPr="00ED74F9" w:rsidRDefault="00332068" w:rsidP="00332068">
      <w:pPr>
        <w:pStyle w:val="ListParagraph"/>
        <w:ind w:left="0"/>
        <w:rPr>
          <w:rFonts w:ascii="Verdana" w:hAnsi="Verdana"/>
          <w:sz w:val="20"/>
          <w:szCs w:val="20"/>
          <w:lang w:val="es-CR"/>
        </w:rPr>
      </w:pPr>
    </w:p>
    <w:p w:rsidR="00332068"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lang w:val="es-CR"/>
        </w:rPr>
      </w:pPr>
      <w:bookmarkStart w:id="8" w:name="_Ref352172008"/>
      <w:r w:rsidRPr="00721DD9">
        <w:rPr>
          <w:rFonts w:ascii="Verdana" w:hAnsi="Verdana"/>
          <w:sz w:val="20"/>
          <w:szCs w:val="20"/>
          <w:lang w:val="es-CR"/>
        </w:rPr>
        <w:t>Finalmente, el Presidente recuerda que, según el artículo 5 del Reglamento del Fondo de Asistencia, se informará oportunamente al Estado demandado las erogaciones realizadas en aplicación del Fondo, para que presente sus observaciones, si así lo desea, dentro del plazo que se establezca al efecto.</w:t>
      </w:r>
      <w:bookmarkEnd w:id="8"/>
    </w:p>
    <w:p w:rsidR="00332068" w:rsidRPr="00DB6035" w:rsidRDefault="00332068" w:rsidP="00332068">
      <w:pPr>
        <w:rPr>
          <w:rFonts w:ascii="Verdana" w:hAnsi="Verdana" w:cs="Verdana"/>
          <w:sz w:val="20"/>
          <w:szCs w:val="20"/>
        </w:rPr>
      </w:pPr>
    </w:p>
    <w:p w:rsidR="00332068" w:rsidRPr="00DB6035" w:rsidRDefault="00332068" w:rsidP="00332068">
      <w:pPr>
        <w:pStyle w:val="ListParagraph"/>
        <w:numPr>
          <w:ilvl w:val="0"/>
          <w:numId w:val="6"/>
        </w:numPr>
        <w:jc w:val="both"/>
        <w:rPr>
          <w:rFonts w:ascii="Verdana" w:hAnsi="Verdana" w:cs="Verdana"/>
          <w:b/>
          <w:bCs/>
          <w:i/>
          <w:iCs/>
          <w:sz w:val="20"/>
          <w:szCs w:val="20"/>
        </w:rPr>
      </w:pPr>
      <w:r w:rsidRPr="00DB6035">
        <w:rPr>
          <w:rFonts w:ascii="Verdana" w:hAnsi="Verdana" w:cs="Verdana"/>
          <w:b/>
          <w:bCs/>
          <w:i/>
          <w:iCs/>
          <w:sz w:val="20"/>
          <w:szCs w:val="20"/>
        </w:rPr>
        <w:t>Alegatos y observaciones finales orales y escritos</w:t>
      </w:r>
    </w:p>
    <w:p w:rsidR="00332068" w:rsidRPr="00DB6035" w:rsidRDefault="00332068" w:rsidP="00332068">
      <w:pPr>
        <w:rPr>
          <w:rFonts w:ascii="Verdana" w:hAnsi="Verdana" w:cs="Verdana"/>
          <w:sz w:val="20"/>
          <w:szCs w:val="20"/>
        </w:rPr>
      </w:pPr>
    </w:p>
    <w:p w:rsidR="00332068" w:rsidRPr="00025470"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lang w:val="es-CR"/>
        </w:rPr>
      </w:pPr>
      <w:r w:rsidRPr="00025470">
        <w:rPr>
          <w:rFonts w:ascii="Verdana" w:hAnsi="Verdana" w:cs="Verdana"/>
          <w:sz w:val="20"/>
          <w:szCs w:val="20"/>
        </w:rPr>
        <w:t xml:space="preserve">Los representantes y el Estado podrán presentar ante el Tribunal sus alegatos finales orales sobre las excepciones preliminares y eventuales fondo, reparaciones y costas en este caso, respectivamente, al término de las declaraciones y peritajes. Según se establece en el artículo 51.8 del Reglamento, concluidos los alegatos la Comisión </w:t>
      </w:r>
      <w:r w:rsidRPr="00025470">
        <w:rPr>
          <w:rFonts w:ascii="Verdana" w:hAnsi="Verdana" w:cs="Verdana"/>
          <w:sz w:val="20"/>
          <w:szCs w:val="20"/>
        </w:rPr>
        <w:lastRenderedPageBreak/>
        <w:t xml:space="preserve">Interamericana presentará sus observaciones finales orales. </w:t>
      </w:r>
    </w:p>
    <w:p w:rsidR="00332068" w:rsidRPr="00025470" w:rsidRDefault="00332068" w:rsidP="00332068">
      <w:pPr>
        <w:pStyle w:val="ListParagraph"/>
        <w:widowControl w:val="0"/>
        <w:autoSpaceDE w:val="0"/>
        <w:autoSpaceDN w:val="0"/>
        <w:adjustRightInd w:val="0"/>
        <w:ind w:left="0" w:right="22"/>
        <w:jc w:val="both"/>
        <w:rPr>
          <w:rFonts w:ascii="Verdana" w:hAnsi="Verdana"/>
          <w:sz w:val="20"/>
          <w:szCs w:val="20"/>
          <w:lang w:val="es-CR"/>
        </w:rPr>
      </w:pPr>
    </w:p>
    <w:p w:rsidR="00332068" w:rsidRPr="00025470" w:rsidRDefault="00332068" w:rsidP="00332068">
      <w:pPr>
        <w:pStyle w:val="ListParagraph"/>
        <w:widowControl w:val="0"/>
        <w:numPr>
          <w:ilvl w:val="0"/>
          <w:numId w:val="45"/>
        </w:numPr>
        <w:autoSpaceDE w:val="0"/>
        <w:autoSpaceDN w:val="0"/>
        <w:adjustRightInd w:val="0"/>
        <w:ind w:left="0" w:right="22" w:firstLine="0"/>
        <w:jc w:val="both"/>
        <w:rPr>
          <w:rFonts w:ascii="Verdana" w:hAnsi="Verdana"/>
          <w:sz w:val="20"/>
          <w:szCs w:val="20"/>
          <w:lang w:val="es-CR"/>
        </w:rPr>
      </w:pPr>
      <w:r w:rsidRPr="00025470">
        <w:rPr>
          <w:rFonts w:ascii="Verdana" w:hAnsi="Verdana" w:cs="Verdana"/>
          <w:sz w:val="20"/>
          <w:szCs w:val="20"/>
        </w:rPr>
        <w:t>De acuerdo con el artículo 56 del Reglamento, las presuntas víctimas o sus representantes, el Estado y la Comisión podrán presentar sus alegatos finales escritos y observaciones finales escritas, respectivamente, en relación con la</w:t>
      </w:r>
      <w:r>
        <w:rPr>
          <w:rFonts w:ascii="Verdana" w:hAnsi="Verdana" w:cs="Verdana"/>
          <w:sz w:val="20"/>
          <w:szCs w:val="20"/>
        </w:rPr>
        <w:t>s</w:t>
      </w:r>
      <w:r w:rsidRPr="00025470">
        <w:rPr>
          <w:rFonts w:ascii="Verdana" w:hAnsi="Verdana" w:cs="Verdana"/>
          <w:sz w:val="20"/>
          <w:szCs w:val="20"/>
        </w:rPr>
        <w:t xml:space="preserve"> excepc</w:t>
      </w:r>
      <w:r>
        <w:rPr>
          <w:rFonts w:ascii="Verdana" w:hAnsi="Verdana" w:cs="Verdana"/>
          <w:sz w:val="20"/>
          <w:szCs w:val="20"/>
        </w:rPr>
        <w:t xml:space="preserve">iones </w:t>
      </w:r>
      <w:r w:rsidRPr="00025470">
        <w:rPr>
          <w:rFonts w:ascii="Verdana" w:hAnsi="Verdana" w:cs="Verdana"/>
          <w:sz w:val="20"/>
          <w:szCs w:val="20"/>
        </w:rPr>
        <w:t>preliminar</w:t>
      </w:r>
      <w:r>
        <w:rPr>
          <w:rFonts w:ascii="Verdana" w:hAnsi="Verdana" w:cs="Verdana"/>
          <w:sz w:val="20"/>
          <w:szCs w:val="20"/>
        </w:rPr>
        <w:t>es</w:t>
      </w:r>
      <w:r w:rsidRPr="00025470">
        <w:rPr>
          <w:rFonts w:ascii="Verdana" w:hAnsi="Verdana" w:cs="Verdana"/>
          <w:sz w:val="20"/>
          <w:szCs w:val="20"/>
        </w:rPr>
        <w:t xml:space="preserve"> y los eventuales fondo, reparaciones y costas, en el plazo fijado en el punto resolutivo décimo segundo de esta Resolución. </w:t>
      </w:r>
    </w:p>
    <w:p w:rsidR="00332068" w:rsidRDefault="00332068" w:rsidP="00332068">
      <w:pPr>
        <w:pStyle w:val="Prrafodelista1"/>
        <w:jc w:val="both"/>
        <w:rPr>
          <w:rFonts w:ascii="Verdana" w:hAnsi="Verdana" w:cs="Verdana"/>
          <w:sz w:val="20"/>
          <w:szCs w:val="20"/>
        </w:rPr>
      </w:pPr>
    </w:p>
    <w:p w:rsidR="00332068" w:rsidRDefault="00332068" w:rsidP="00332068">
      <w:pPr>
        <w:jc w:val="both"/>
        <w:rPr>
          <w:rFonts w:ascii="Verdana" w:hAnsi="Verdana" w:cs="Verdana"/>
          <w:b/>
          <w:bCs/>
          <w:sz w:val="20"/>
          <w:szCs w:val="20"/>
        </w:rPr>
      </w:pPr>
    </w:p>
    <w:p w:rsidR="00332068" w:rsidRPr="00542BD5" w:rsidRDefault="00332068" w:rsidP="00332068">
      <w:pPr>
        <w:jc w:val="both"/>
        <w:rPr>
          <w:rFonts w:ascii="Verdana" w:hAnsi="Verdana" w:cs="Verdana"/>
          <w:b/>
          <w:bCs/>
          <w:sz w:val="20"/>
          <w:szCs w:val="20"/>
        </w:rPr>
      </w:pPr>
      <w:r w:rsidRPr="00542BD5">
        <w:rPr>
          <w:rFonts w:ascii="Verdana" w:hAnsi="Verdana" w:cs="Verdana"/>
          <w:b/>
          <w:bCs/>
          <w:sz w:val="20"/>
          <w:szCs w:val="20"/>
        </w:rPr>
        <w:t>POR TANTO:</w:t>
      </w:r>
    </w:p>
    <w:p w:rsidR="00332068" w:rsidRPr="00AB4811"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Pr="00542BD5"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r w:rsidRPr="00BA612D">
        <w:rPr>
          <w:rFonts w:ascii="Verdana" w:hAnsi="Verdana" w:cs="Verdana"/>
          <w:b/>
          <w:bCs/>
          <w:sz w:val="20"/>
          <w:szCs w:val="20"/>
        </w:rPr>
        <w:t>EL PRESIDENTE</w:t>
      </w:r>
      <w:r>
        <w:rPr>
          <w:rFonts w:ascii="Verdana" w:hAnsi="Verdana" w:cs="Verdana"/>
          <w:b/>
          <w:bCs/>
          <w:sz w:val="20"/>
          <w:szCs w:val="20"/>
        </w:rPr>
        <w:t xml:space="preserve"> DE LA CORTE </w:t>
      </w:r>
      <w:r w:rsidRPr="00542BD5">
        <w:rPr>
          <w:rFonts w:ascii="Verdana" w:hAnsi="Verdana" w:cs="Verdana"/>
          <w:b/>
          <w:bCs/>
          <w:sz w:val="20"/>
          <w:szCs w:val="20"/>
        </w:rPr>
        <w:t>INTERAMERICANA DE DERECHOS HUMANOS,</w:t>
      </w:r>
    </w:p>
    <w:p w:rsidR="00332068" w:rsidRPr="00542BD5"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r>
        <w:rPr>
          <w:rFonts w:ascii="Verdana" w:hAnsi="Verdana" w:cs="Verdana"/>
          <w:sz w:val="20"/>
          <w:szCs w:val="20"/>
        </w:rPr>
        <w:t xml:space="preserve">De conformidad con los artículos 24.1 y 25.2 del Estatuto de la Corte y con los artículos 4, 15.1, 26, 31.2, 35.1, 40.2, 41.1. 45, 46 a 48, 50 a 56 y 60 del Reglamento del Tribunal, </w:t>
      </w: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b/>
          <w:bCs/>
          <w:sz w:val="20"/>
          <w:szCs w:val="20"/>
        </w:rPr>
      </w:pPr>
      <w:r>
        <w:rPr>
          <w:rFonts w:ascii="Verdana" w:hAnsi="Verdana" w:cs="Verdana"/>
          <w:b/>
          <w:bCs/>
          <w:sz w:val="20"/>
          <w:szCs w:val="20"/>
        </w:rPr>
        <w:t>RESUELVE</w:t>
      </w:r>
      <w:r w:rsidRPr="0025650B">
        <w:rPr>
          <w:rFonts w:ascii="Verdana" w:hAnsi="Verdana" w:cs="Verdana"/>
          <w:b/>
          <w:bCs/>
          <w:sz w:val="20"/>
          <w:szCs w:val="20"/>
        </w:rPr>
        <w:t>:</w:t>
      </w:r>
    </w:p>
    <w:p w:rsidR="00332068" w:rsidRPr="0025650B" w:rsidRDefault="00332068" w:rsidP="00332068">
      <w:pPr>
        <w:widowControl w:val="0"/>
        <w:tabs>
          <w:tab w:val="left" w:pos="720"/>
        </w:tabs>
        <w:autoSpaceDE w:val="0"/>
        <w:autoSpaceDN w:val="0"/>
        <w:adjustRightInd w:val="0"/>
        <w:jc w:val="both"/>
        <w:rPr>
          <w:rFonts w:ascii="Verdana" w:hAnsi="Verdana" w:cs="Verdana"/>
          <w:b/>
          <w:bCs/>
          <w:sz w:val="20"/>
          <w:szCs w:val="20"/>
        </w:rPr>
      </w:pPr>
    </w:p>
    <w:p w:rsidR="00332068" w:rsidRPr="004D4E41" w:rsidRDefault="00332068" w:rsidP="00332068">
      <w:pPr>
        <w:pStyle w:val="ListParagraph"/>
        <w:numPr>
          <w:ilvl w:val="3"/>
          <w:numId w:val="2"/>
        </w:num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Verdana" w:hAnsi="Verdana" w:cs="Verdana"/>
          <w:sz w:val="20"/>
          <w:szCs w:val="20"/>
        </w:rPr>
      </w:pPr>
      <w:r w:rsidRPr="004D4E41">
        <w:rPr>
          <w:rFonts w:ascii="Verdana" w:hAnsi="Verdana" w:cs="Verdana"/>
          <w:sz w:val="20"/>
          <w:szCs w:val="20"/>
        </w:rPr>
        <w:t>Requerir, por las razones expuestas en la presente Resolución (</w:t>
      </w:r>
      <w:r w:rsidRPr="004D4E41">
        <w:rPr>
          <w:rFonts w:ascii="Verdana" w:hAnsi="Verdana" w:cs="Verdana"/>
          <w:i/>
          <w:iCs/>
          <w:sz w:val="20"/>
          <w:szCs w:val="20"/>
        </w:rPr>
        <w:t>supra</w:t>
      </w:r>
      <w:r w:rsidRPr="004D4E41">
        <w:rPr>
          <w:rFonts w:ascii="Verdana" w:hAnsi="Verdana" w:cs="Verdana"/>
          <w:sz w:val="20"/>
          <w:szCs w:val="20"/>
        </w:rPr>
        <w:t xml:space="preserve"> Considerandos </w:t>
      </w:r>
      <w:r>
        <w:rPr>
          <w:rFonts w:ascii="Verdana" w:hAnsi="Verdana" w:cs="Verdana"/>
          <w:sz w:val="20"/>
          <w:szCs w:val="20"/>
        </w:rPr>
        <w:t>60</w:t>
      </w:r>
      <w:r w:rsidRPr="004D4E41">
        <w:rPr>
          <w:rFonts w:ascii="Verdana" w:hAnsi="Verdana" w:cs="Verdana"/>
          <w:sz w:val="20"/>
          <w:szCs w:val="20"/>
        </w:rPr>
        <w:t xml:space="preserve"> y </w:t>
      </w:r>
      <w:r>
        <w:rPr>
          <w:rFonts w:ascii="Verdana" w:hAnsi="Verdana" w:cs="Verdana"/>
          <w:sz w:val="20"/>
          <w:szCs w:val="20"/>
        </w:rPr>
        <w:t>61</w:t>
      </w:r>
      <w:r w:rsidRPr="004D4E41">
        <w:rPr>
          <w:rFonts w:ascii="Verdana" w:hAnsi="Verdana" w:cs="Verdana"/>
          <w:sz w:val="20"/>
          <w:szCs w:val="20"/>
        </w:rPr>
        <w:t>), de conformidad con el principio de economía procesal y en ejercicio de la facultad que le otorga el artículo 50.1 del Reglamento de la Corte, que las siguientes personas presten sus declaraciones ante fedatario público (</w:t>
      </w:r>
      <w:proofErr w:type="spellStart"/>
      <w:r w:rsidRPr="004D4E41">
        <w:rPr>
          <w:rFonts w:ascii="Verdana" w:hAnsi="Verdana" w:cs="Verdana"/>
          <w:i/>
          <w:iCs/>
          <w:sz w:val="20"/>
          <w:szCs w:val="20"/>
        </w:rPr>
        <w:t>affidávit</w:t>
      </w:r>
      <w:proofErr w:type="spellEnd"/>
      <w:r w:rsidRPr="004D4E41">
        <w:rPr>
          <w:rFonts w:ascii="Verdana" w:hAnsi="Verdana" w:cs="Verdana"/>
          <w:sz w:val="20"/>
          <w:szCs w:val="20"/>
        </w:rPr>
        <w:t>):</w:t>
      </w:r>
    </w:p>
    <w:p w:rsidR="00332068" w:rsidRPr="004B7619"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bCs/>
          <w:smallCaps/>
          <w:sz w:val="20"/>
          <w:szCs w:val="20"/>
        </w:rPr>
      </w:pPr>
    </w:p>
    <w:p w:rsidR="00332068" w:rsidRPr="00E26022" w:rsidRDefault="00332068" w:rsidP="003320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i/>
          <w:sz w:val="20"/>
          <w:szCs w:val="20"/>
        </w:rPr>
      </w:pPr>
      <w:r w:rsidRPr="001C7BDD">
        <w:rPr>
          <w:rFonts w:ascii="Verdana" w:hAnsi="Verdana" w:cs="Verdana"/>
          <w:b/>
          <w:sz w:val="20"/>
          <w:szCs w:val="20"/>
        </w:rPr>
        <w:t xml:space="preserve">PRESUNTAS VÍCTIMAS </w:t>
      </w:r>
      <w:r w:rsidRPr="00E26022">
        <w:rPr>
          <w:rFonts w:ascii="Verdana" w:hAnsi="Verdana" w:cs="Verdana"/>
          <w:i/>
          <w:sz w:val="20"/>
          <w:szCs w:val="20"/>
        </w:rPr>
        <w:t>(propuestas por los representantes)</w:t>
      </w:r>
    </w:p>
    <w:p w:rsidR="00332068"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Default="00332068" w:rsidP="00332068">
      <w:pPr>
        <w:pStyle w:val="ListParagraph"/>
        <w:numPr>
          <w:ilvl w:val="0"/>
          <w:numId w:val="17"/>
        </w:numPr>
        <w:ind w:left="1080" w:firstLine="0"/>
        <w:jc w:val="both"/>
        <w:rPr>
          <w:rFonts w:ascii="Verdana" w:hAnsi="Verdana" w:cs="Verdana"/>
          <w:sz w:val="20"/>
          <w:szCs w:val="20"/>
        </w:rPr>
      </w:pPr>
      <w:proofErr w:type="spellStart"/>
      <w:r w:rsidRPr="001C7BDD">
        <w:rPr>
          <w:rFonts w:ascii="Verdana" w:hAnsi="Verdana" w:cs="Verdana"/>
          <w:i/>
          <w:sz w:val="20"/>
          <w:szCs w:val="20"/>
        </w:rPr>
        <w:t>Wilda</w:t>
      </w:r>
      <w:proofErr w:type="spellEnd"/>
      <w:r w:rsidRPr="001C7BDD">
        <w:rPr>
          <w:rFonts w:ascii="Verdana" w:hAnsi="Verdana" w:cs="Verdana"/>
          <w:i/>
          <w:sz w:val="20"/>
          <w:szCs w:val="20"/>
        </w:rPr>
        <w:t xml:space="preserve"> Medina</w:t>
      </w:r>
      <w:r>
        <w:rPr>
          <w:rFonts w:ascii="Verdana" w:hAnsi="Verdana" w:cs="Verdana"/>
          <w:i/>
          <w:sz w:val="20"/>
          <w:szCs w:val="20"/>
        </w:rPr>
        <w:t>,</w:t>
      </w:r>
      <w:r>
        <w:rPr>
          <w:rFonts w:ascii="Verdana" w:hAnsi="Verdana" w:cs="Verdana"/>
          <w:sz w:val="20"/>
          <w:szCs w:val="20"/>
        </w:rPr>
        <w:t xml:space="preserve">  </w:t>
      </w:r>
      <w:r w:rsidRPr="004222C8">
        <w:rPr>
          <w:rFonts w:ascii="Verdana" w:hAnsi="Verdana" w:cs="Verdana"/>
          <w:b/>
          <w:sz w:val="20"/>
          <w:szCs w:val="20"/>
        </w:rPr>
        <w:t>2)</w:t>
      </w:r>
      <w:r>
        <w:rPr>
          <w:rFonts w:ascii="Verdana" w:hAnsi="Verdana" w:cs="Verdana"/>
          <w:sz w:val="20"/>
          <w:szCs w:val="20"/>
        </w:rPr>
        <w:t xml:space="preserve"> </w:t>
      </w:r>
      <w:proofErr w:type="spellStart"/>
      <w:r w:rsidRPr="001C7BDD">
        <w:rPr>
          <w:rFonts w:ascii="Verdana" w:hAnsi="Verdana" w:cs="Verdana"/>
          <w:i/>
          <w:sz w:val="20"/>
          <w:szCs w:val="20"/>
        </w:rPr>
        <w:t>Markenson</w:t>
      </w:r>
      <w:proofErr w:type="spellEnd"/>
      <w:r w:rsidRPr="001C7BDD">
        <w:rPr>
          <w:rFonts w:ascii="Verdana" w:hAnsi="Verdana" w:cs="Verdana"/>
          <w:i/>
          <w:sz w:val="20"/>
          <w:szCs w:val="20"/>
        </w:rPr>
        <w:t xml:space="preserve"> Jean</w:t>
      </w:r>
      <w:r>
        <w:rPr>
          <w:rFonts w:ascii="Verdana" w:hAnsi="Verdana" w:cs="Verdana"/>
          <w:sz w:val="20"/>
          <w:szCs w:val="20"/>
        </w:rPr>
        <w:t xml:space="preserve">, </w:t>
      </w:r>
      <w:r w:rsidRPr="004222C8">
        <w:rPr>
          <w:rFonts w:ascii="Verdana" w:hAnsi="Verdana" w:cs="Verdana"/>
          <w:b/>
          <w:sz w:val="20"/>
          <w:szCs w:val="20"/>
        </w:rPr>
        <w:t>3)</w:t>
      </w:r>
      <w:r>
        <w:rPr>
          <w:rFonts w:ascii="Verdana" w:hAnsi="Verdana" w:cs="Verdana"/>
          <w:sz w:val="20"/>
          <w:szCs w:val="20"/>
        </w:rPr>
        <w:t xml:space="preserve"> </w:t>
      </w:r>
      <w:r w:rsidRPr="003D67CF">
        <w:rPr>
          <w:rFonts w:ascii="Verdana" w:hAnsi="Verdana" w:cs="Verdana"/>
          <w:i/>
          <w:sz w:val="20"/>
          <w:szCs w:val="20"/>
        </w:rPr>
        <w:t>Marlene Mesidor</w:t>
      </w:r>
      <w:r>
        <w:rPr>
          <w:rFonts w:ascii="Verdana" w:hAnsi="Verdana" w:cs="Verdana"/>
          <w:sz w:val="20"/>
          <w:szCs w:val="20"/>
        </w:rPr>
        <w:t xml:space="preserve">, </w:t>
      </w:r>
      <w:r w:rsidRPr="004222C8">
        <w:rPr>
          <w:rFonts w:ascii="Verdana" w:hAnsi="Verdana" w:cs="Verdana"/>
          <w:b/>
          <w:sz w:val="20"/>
          <w:szCs w:val="20"/>
        </w:rPr>
        <w:t>4)</w:t>
      </w:r>
      <w:r>
        <w:rPr>
          <w:rFonts w:ascii="Verdana" w:hAnsi="Verdana" w:cs="Verdana"/>
          <w:sz w:val="20"/>
          <w:szCs w:val="20"/>
        </w:rPr>
        <w:t xml:space="preserve"> </w:t>
      </w:r>
      <w:r w:rsidRPr="001C7BDD">
        <w:rPr>
          <w:rFonts w:ascii="Verdana" w:hAnsi="Verdana" w:cs="Verdana"/>
          <w:i/>
          <w:sz w:val="20"/>
          <w:szCs w:val="20"/>
        </w:rPr>
        <w:t xml:space="preserve">Antonio </w:t>
      </w:r>
      <w:proofErr w:type="spellStart"/>
      <w:r w:rsidRPr="001C7BDD">
        <w:rPr>
          <w:rFonts w:ascii="Verdana" w:hAnsi="Verdana" w:cs="Verdana"/>
          <w:i/>
          <w:sz w:val="20"/>
          <w:szCs w:val="20"/>
        </w:rPr>
        <w:t>Sensión</w:t>
      </w:r>
      <w:proofErr w:type="spellEnd"/>
      <w:r>
        <w:rPr>
          <w:rFonts w:ascii="Verdana" w:hAnsi="Verdana" w:cs="Verdana"/>
          <w:i/>
          <w:sz w:val="20"/>
          <w:szCs w:val="20"/>
        </w:rPr>
        <w:t xml:space="preserve">, </w:t>
      </w:r>
      <w:r w:rsidRPr="004222C8">
        <w:rPr>
          <w:rFonts w:ascii="Verdana" w:hAnsi="Verdana" w:cs="Verdana"/>
          <w:b/>
          <w:i/>
          <w:sz w:val="20"/>
          <w:szCs w:val="20"/>
        </w:rPr>
        <w:t>5)</w:t>
      </w:r>
      <w:r w:rsidRPr="004222C8">
        <w:rPr>
          <w:rFonts w:ascii="Verdana" w:hAnsi="Verdana" w:cs="Verdana"/>
          <w:i/>
          <w:sz w:val="20"/>
          <w:szCs w:val="20"/>
        </w:rPr>
        <w:t xml:space="preserve"> </w:t>
      </w:r>
      <w:r w:rsidRPr="001C7BDD">
        <w:rPr>
          <w:rFonts w:ascii="Verdana" w:hAnsi="Verdana" w:cs="Verdana"/>
          <w:i/>
          <w:sz w:val="20"/>
          <w:szCs w:val="20"/>
        </w:rPr>
        <w:t xml:space="preserve">Ana Lidia </w:t>
      </w:r>
      <w:proofErr w:type="spellStart"/>
      <w:r w:rsidRPr="001C7BDD">
        <w:rPr>
          <w:rFonts w:ascii="Verdana" w:hAnsi="Verdana" w:cs="Verdana"/>
          <w:i/>
          <w:sz w:val="20"/>
          <w:szCs w:val="20"/>
        </w:rPr>
        <w:t>Sensión</w:t>
      </w:r>
      <w:proofErr w:type="spellEnd"/>
      <w:r>
        <w:rPr>
          <w:rFonts w:ascii="Verdana" w:hAnsi="Verdana" w:cs="Verdana"/>
          <w:i/>
          <w:sz w:val="20"/>
          <w:szCs w:val="20"/>
        </w:rPr>
        <w:t xml:space="preserve">, </w:t>
      </w:r>
      <w:r w:rsidRPr="004222C8">
        <w:rPr>
          <w:rFonts w:ascii="Verdana" w:hAnsi="Verdana" w:cs="Verdana"/>
          <w:b/>
          <w:i/>
          <w:sz w:val="20"/>
          <w:szCs w:val="20"/>
        </w:rPr>
        <w:t>6)</w:t>
      </w:r>
      <w:r w:rsidRPr="004222C8">
        <w:rPr>
          <w:rFonts w:ascii="Verdana" w:hAnsi="Verdana" w:cs="Verdana"/>
          <w:i/>
          <w:sz w:val="20"/>
          <w:szCs w:val="20"/>
        </w:rPr>
        <w:t xml:space="preserve"> </w:t>
      </w:r>
      <w:r w:rsidRPr="001C7BDD">
        <w:rPr>
          <w:rFonts w:ascii="Verdana" w:hAnsi="Verdana" w:cs="Verdana"/>
          <w:i/>
          <w:sz w:val="20"/>
          <w:szCs w:val="20"/>
        </w:rPr>
        <w:t>Rafaelito Pérez Charles</w:t>
      </w:r>
      <w:r>
        <w:rPr>
          <w:rFonts w:ascii="Verdana" w:hAnsi="Verdana" w:cs="Verdana"/>
          <w:i/>
          <w:sz w:val="20"/>
          <w:szCs w:val="20"/>
        </w:rPr>
        <w:t xml:space="preserve">, </w:t>
      </w:r>
      <w:r w:rsidRPr="004222C8">
        <w:rPr>
          <w:rFonts w:ascii="Verdana" w:hAnsi="Verdana" w:cs="Verdana"/>
          <w:b/>
          <w:i/>
          <w:sz w:val="20"/>
          <w:szCs w:val="20"/>
        </w:rPr>
        <w:t>7)</w:t>
      </w:r>
      <w:r w:rsidRPr="004222C8">
        <w:rPr>
          <w:rFonts w:ascii="Verdana" w:hAnsi="Verdana" w:cs="Verdana"/>
          <w:i/>
          <w:sz w:val="20"/>
          <w:szCs w:val="20"/>
        </w:rPr>
        <w:t xml:space="preserve"> </w:t>
      </w:r>
      <w:proofErr w:type="spellStart"/>
      <w:r w:rsidRPr="004B7619">
        <w:rPr>
          <w:rFonts w:ascii="Verdana" w:hAnsi="Verdana" w:cs="Verdana"/>
          <w:i/>
          <w:sz w:val="20"/>
          <w:szCs w:val="20"/>
        </w:rPr>
        <w:t>Janise</w:t>
      </w:r>
      <w:proofErr w:type="spellEnd"/>
      <w:r w:rsidRPr="004B7619">
        <w:rPr>
          <w:rFonts w:ascii="Verdana" w:hAnsi="Verdana" w:cs="Verdana"/>
          <w:i/>
          <w:sz w:val="20"/>
          <w:szCs w:val="20"/>
        </w:rPr>
        <w:t xml:space="preserve"> </w:t>
      </w:r>
      <w:proofErr w:type="spellStart"/>
      <w:r w:rsidRPr="004B7619">
        <w:rPr>
          <w:rFonts w:ascii="Verdana" w:hAnsi="Verdana" w:cs="Verdana"/>
          <w:i/>
          <w:sz w:val="20"/>
          <w:szCs w:val="20"/>
        </w:rPr>
        <w:t>Midi</w:t>
      </w:r>
      <w:proofErr w:type="spellEnd"/>
      <w:r>
        <w:rPr>
          <w:rFonts w:ascii="Verdana" w:hAnsi="Verdana" w:cs="Verdana"/>
          <w:i/>
          <w:sz w:val="20"/>
          <w:szCs w:val="20"/>
        </w:rPr>
        <w:t xml:space="preserve">, y </w:t>
      </w:r>
      <w:r w:rsidRPr="00BA7D5C">
        <w:rPr>
          <w:rFonts w:ascii="Verdana" w:hAnsi="Verdana" w:cs="Verdana"/>
          <w:b/>
          <w:i/>
          <w:sz w:val="20"/>
          <w:szCs w:val="20"/>
        </w:rPr>
        <w:t>8)</w:t>
      </w:r>
      <w:r>
        <w:rPr>
          <w:rFonts w:ascii="Verdana" w:hAnsi="Verdana" w:cs="Verdana"/>
          <w:i/>
          <w:sz w:val="20"/>
          <w:szCs w:val="20"/>
        </w:rPr>
        <w:t xml:space="preserve"> </w:t>
      </w:r>
      <w:proofErr w:type="spellStart"/>
      <w:r w:rsidRPr="00BA7D5C">
        <w:rPr>
          <w:rFonts w:ascii="Verdana" w:hAnsi="Verdana" w:cs="Verdana"/>
          <w:i/>
          <w:sz w:val="20"/>
          <w:szCs w:val="20"/>
        </w:rPr>
        <w:t>Berson</w:t>
      </w:r>
      <w:proofErr w:type="spellEnd"/>
      <w:r w:rsidRPr="00BA7D5C">
        <w:rPr>
          <w:rFonts w:ascii="Verdana" w:hAnsi="Verdana" w:cs="Verdana"/>
          <w:i/>
          <w:sz w:val="20"/>
          <w:szCs w:val="20"/>
        </w:rPr>
        <w:t xml:space="preserve"> </w:t>
      </w:r>
      <w:proofErr w:type="spellStart"/>
      <w:r w:rsidRPr="00BA7D5C">
        <w:rPr>
          <w:rFonts w:ascii="Verdana" w:hAnsi="Verdana" w:cs="Verdana"/>
          <w:i/>
          <w:sz w:val="20"/>
          <w:szCs w:val="20"/>
        </w:rPr>
        <w:t>Gelin</w:t>
      </w:r>
      <w:proofErr w:type="spellEnd"/>
      <w:r w:rsidRPr="00BA7D5C">
        <w:rPr>
          <w:rFonts w:ascii="Verdana" w:hAnsi="Verdana" w:cs="Verdana"/>
          <w:i/>
          <w:sz w:val="20"/>
          <w:szCs w:val="20"/>
        </w:rPr>
        <w:t xml:space="preserve">, </w:t>
      </w:r>
      <w:r w:rsidRPr="00F34B39">
        <w:rPr>
          <w:rFonts w:ascii="Verdana" w:hAnsi="Verdana" w:cs="Verdana"/>
          <w:sz w:val="20"/>
          <w:szCs w:val="20"/>
        </w:rPr>
        <w:t>qui</w:t>
      </w:r>
      <w:r>
        <w:rPr>
          <w:rFonts w:ascii="Verdana" w:hAnsi="Verdana" w:cs="Verdana"/>
          <w:sz w:val="20"/>
          <w:szCs w:val="20"/>
        </w:rPr>
        <w:t>é</w:t>
      </w:r>
      <w:r w:rsidRPr="00F34B39">
        <w:rPr>
          <w:rFonts w:ascii="Verdana" w:hAnsi="Verdana" w:cs="Verdana"/>
          <w:sz w:val="20"/>
          <w:szCs w:val="20"/>
        </w:rPr>
        <w:t>nes declararán</w:t>
      </w:r>
      <w:r>
        <w:rPr>
          <w:rFonts w:ascii="Verdana" w:hAnsi="Verdana" w:cs="Verdana"/>
          <w:i/>
          <w:sz w:val="20"/>
          <w:szCs w:val="20"/>
        </w:rPr>
        <w:t xml:space="preserve"> </w:t>
      </w:r>
      <w:r w:rsidRPr="003D67CF">
        <w:rPr>
          <w:rFonts w:ascii="Verdana" w:hAnsi="Verdana" w:cs="Verdana"/>
          <w:sz w:val="20"/>
          <w:szCs w:val="20"/>
        </w:rPr>
        <w:t>sobre:</w:t>
      </w:r>
    </w:p>
    <w:p w:rsidR="00332068" w:rsidRPr="003D67CF" w:rsidRDefault="00332068" w:rsidP="00332068">
      <w:pPr>
        <w:pStyle w:val="ListParagraph"/>
        <w:ind w:left="1080"/>
        <w:jc w:val="both"/>
        <w:rPr>
          <w:rFonts w:ascii="Verdana" w:hAnsi="Verdana" w:cs="Verdana"/>
          <w:sz w:val="20"/>
          <w:szCs w:val="20"/>
        </w:rPr>
      </w:pPr>
    </w:p>
    <w:p w:rsidR="00332068" w:rsidRDefault="00332068" w:rsidP="00332068">
      <w:pPr>
        <w:pStyle w:val="ListParagraph"/>
        <w:numPr>
          <w:ilvl w:val="0"/>
          <w:numId w:val="10"/>
        </w:numPr>
        <w:ind w:left="1440" w:hanging="22"/>
        <w:jc w:val="both"/>
        <w:rPr>
          <w:rFonts w:ascii="Verdana" w:hAnsi="Verdana" w:cs="Verdana"/>
          <w:sz w:val="20"/>
          <w:szCs w:val="20"/>
        </w:rPr>
      </w:pPr>
      <w:r>
        <w:rPr>
          <w:rFonts w:ascii="Verdana" w:hAnsi="Verdana" w:cs="Verdana"/>
          <w:sz w:val="20"/>
          <w:szCs w:val="20"/>
        </w:rPr>
        <w:t>los alegados hechos relativos a su detención y posterior expulsión de República Dominicana y la de su familia, según sea el caso, de  la esposa o hijos o hermanos o padres, y sus consecuencias;</w:t>
      </w:r>
    </w:p>
    <w:p w:rsidR="00332068" w:rsidRDefault="00332068" w:rsidP="00332068">
      <w:pPr>
        <w:pStyle w:val="ListParagraph"/>
        <w:numPr>
          <w:ilvl w:val="0"/>
          <w:numId w:val="10"/>
        </w:numPr>
        <w:ind w:left="1440" w:hanging="22"/>
        <w:jc w:val="both"/>
        <w:rPr>
          <w:rFonts w:ascii="Verdana" w:hAnsi="Verdana" w:cs="Verdana"/>
          <w:sz w:val="20"/>
          <w:szCs w:val="20"/>
        </w:rPr>
      </w:pPr>
      <w:r>
        <w:rPr>
          <w:rFonts w:ascii="Verdana" w:hAnsi="Verdana" w:cs="Verdana"/>
          <w:sz w:val="20"/>
          <w:szCs w:val="20"/>
        </w:rPr>
        <w:t xml:space="preserve">las supuestas dificultades que </w:t>
      </w:r>
      <w:proofErr w:type="spellStart"/>
      <w:r>
        <w:rPr>
          <w:rFonts w:ascii="Verdana" w:hAnsi="Verdana" w:cs="Verdana"/>
          <w:sz w:val="20"/>
          <w:szCs w:val="20"/>
        </w:rPr>
        <w:t>el</w:t>
      </w:r>
      <w:proofErr w:type="spellEnd"/>
      <w:r>
        <w:rPr>
          <w:rFonts w:ascii="Verdana" w:hAnsi="Verdana" w:cs="Verdana"/>
          <w:sz w:val="20"/>
          <w:szCs w:val="20"/>
        </w:rPr>
        <w:t xml:space="preserve"> o la declarante y su familia o miembros de la familia nacidos en República Dominicana, según sea el caso, han enfrentado para la obtención de documentos de identidad dominicanos;</w:t>
      </w:r>
    </w:p>
    <w:p w:rsidR="00332068" w:rsidRDefault="00332068" w:rsidP="00332068">
      <w:pPr>
        <w:pStyle w:val="ListParagraph"/>
        <w:numPr>
          <w:ilvl w:val="0"/>
          <w:numId w:val="10"/>
        </w:numPr>
        <w:ind w:left="1440" w:firstLine="0"/>
        <w:jc w:val="both"/>
        <w:rPr>
          <w:rFonts w:ascii="Verdana" w:hAnsi="Verdana" w:cs="Verdana"/>
          <w:sz w:val="20"/>
          <w:szCs w:val="20"/>
        </w:rPr>
      </w:pPr>
      <w:r>
        <w:rPr>
          <w:rFonts w:ascii="Verdana" w:hAnsi="Verdana" w:cs="Verdana"/>
          <w:sz w:val="20"/>
          <w:szCs w:val="20"/>
        </w:rPr>
        <w:t xml:space="preserve">la forma en que los presuntos hechos los han afectado a </w:t>
      </w:r>
      <w:proofErr w:type="spellStart"/>
      <w:r>
        <w:rPr>
          <w:rFonts w:ascii="Verdana" w:hAnsi="Verdana" w:cs="Verdana"/>
          <w:sz w:val="20"/>
          <w:szCs w:val="20"/>
        </w:rPr>
        <w:t>el</w:t>
      </w:r>
      <w:proofErr w:type="spellEnd"/>
      <w:r>
        <w:rPr>
          <w:rFonts w:ascii="Verdana" w:hAnsi="Verdana" w:cs="Verdana"/>
          <w:sz w:val="20"/>
          <w:szCs w:val="20"/>
        </w:rPr>
        <w:t xml:space="preserve"> o la declarante y a los miembros su familia, y </w:t>
      </w:r>
    </w:p>
    <w:p w:rsidR="00332068" w:rsidRDefault="00332068" w:rsidP="00332068">
      <w:pPr>
        <w:pStyle w:val="ListParagraph"/>
        <w:numPr>
          <w:ilvl w:val="0"/>
          <w:numId w:val="10"/>
        </w:numPr>
        <w:ind w:left="1440" w:firstLine="0"/>
        <w:jc w:val="both"/>
        <w:rPr>
          <w:rFonts w:ascii="Verdana" w:hAnsi="Verdana" w:cs="Verdana"/>
          <w:sz w:val="20"/>
          <w:szCs w:val="20"/>
        </w:rPr>
      </w:pPr>
      <w:r>
        <w:rPr>
          <w:rFonts w:ascii="Verdana" w:hAnsi="Verdana" w:cs="Verdana"/>
          <w:sz w:val="20"/>
          <w:szCs w:val="20"/>
        </w:rPr>
        <w:t>las medidas que el Estado debería adoptar para reparar el alegado daño causado.</w:t>
      </w:r>
    </w:p>
    <w:p w:rsidR="00332068" w:rsidRDefault="00332068" w:rsidP="00332068">
      <w:pPr>
        <w:pStyle w:val="ListParagraph"/>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sz w:val="20"/>
          <w:szCs w:val="20"/>
        </w:rPr>
      </w:pPr>
    </w:p>
    <w:p w:rsidR="00332068" w:rsidRPr="001E15BA" w:rsidRDefault="00332068" w:rsidP="00332068">
      <w:pPr>
        <w:pStyle w:val="ListParagraph"/>
        <w:ind w:left="1440"/>
        <w:jc w:val="both"/>
        <w:rPr>
          <w:rFonts w:ascii="Verdana" w:hAnsi="Verdana" w:cs="Verdana"/>
          <w:sz w:val="20"/>
          <w:szCs w:val="20"/>
        </w:rPr>
      </w:pPr>
      <w:r>
        <w:rPr>
          <w:rFonts w:ascii="Verdana" w:hAnsi="Verdana" w:cs="Verdana"/>
          <w:sz w:val="20"/>
          <w:szCs w:val="20"/>
        </w:rPr>
        <w:t xml:space="preserve">Adicionalmente, el señor </w:t>
      </w:r>
      <w:r w:rsidRPr="0059522E">
        <w:rPr>
          <w:rFonts w:ascii="Verdana" w:hAnsi="Verdana" w:cs="Verdana"/>
          <w:i/>
          <w:sz w:val="20"/>
          <w:szCs w:val="20"/>
        </w:rPr>
        <w:t>Antonio Sesión</w:t>
      </w:r>
      <w:r>
        <w:rPr>
          <w:rFonts w:ascii="Verdana" w:hAnsi="Verdana" w:cs="Verdana"/>
          <w:i/>
          <w:sz w:val="20"/>
          <w:szCs w:val="20"/>
        </w:rPr>
        <w:t xml:space="preserve"> </w:t>
      </w:r>
      <w:r w:rsidRPr="0059522E">
        <w:rPr>
          <w:rFonts w:ascii="Verdana" w:hAnsi="Verdana" w:cs="Verdana"/>
          <w:sz w:val="20"/>
          <w:szCs w:val="20"/>
        </w:rPr>
        <w:t>declarará sobre las alegadas gestiones realizadas por él para dar con el paradero de su esposa y sus hijas y lo que significó encontrarlas.</w:t>
      </w:r>
    </w:p>
    <w:p w:rsidR="00332068" w:rsidRDefault="00332068" w:rsidP="00332068">
      <w:pPr>
        <w:tabs>
          <w:tab w:val="left" w:pos="1276"/>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Pr="00E26022" w:rsidRDefault="00332068" w:rsidP="003320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i/>
          <w:sz w:val="20"/>
          <w:szCs w:val="20"/>
        </w:rPr>
      </w:pPr>
      <w:r w:rsidRPr="00767278">
        <w:rPr>
          <w:rFonts w:ascii="Verdana" w:hAnsi="Verdana" w:cs="Verdana"/>
          <w:b/>
          <w:sz w:val="20"/>
          <w:szCs w:val="20"/>
        </w:rPr>
        <w:t xml:space="preserve">TESTIGO </w:t>
      </w:r>
      <w:r w:rsidRPr="00E26022">
        <w:rPr>
          <w:rFonts w:ascii="Verdana" w:hAnsi="Verdana" w:cs="Verdana"/>
          <w:i/>
          <w:sz w:val="20"/>
          <w:szCs w:val="20"/>
        </w:rPr>
        <w:t>(propuesta por el Estado)</w:t>
      </w:r>
    </w:p>
    <w:p w:rsidR="00332068"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sz w:val="20"/>
          <w:szCs w:val="20"/>
        </w:rPr>
      </w:pPr>
    </w:p>
    <w:p w:rsidR="00332068" w:rsidRDefault="00332068" w:rsidP="00332068">
      <w:pPr>
        <w:pStyle w:val="ListParagraph"/>
        <w:tabs>
          <w:tab w:val="left" w:pos="1276"/>
          <w:tab w:val="left" w:pos="1985"/>
          <w:tab w:val="left" w:pos="2880"/>
          <w:tab w:val="left" w:pos="3600"/>
          <w:tab w:val="left" w:pos="4320"/>
          <w:tab w:val="left" w:pos="5040"/>
          <w:tab w:val="left" w:pos="5760"/>
          <w:tab w:val="left" w:pos="6480"/>
          <w:tab w:val="left" w:pos="7200"/>
          <w:tab w:val="left" w:pos="7920"/>
          <w:tab w:val="left" w:pos="8640"/>
        </w:tabs>
        <w:ind w:left="1418"/>
        <w:jc w:val="both"/>
        <w:rPr>
          <w:rFonts w:ascii="Verdana" w:hAnsi="Verdana" w:cs="Verdana"/>
          <w:sz w:val="20"/>
          <w:szCs w:val="20"/>
        </w:rPr>
      </w:pPr>
      <w:r w:rsidRPr="00667B7C">
        <w:rPr>
          <w:rFonts w:ascii="Verdana" w:hAnsi="Verdana" w:cs="Verdana"/>
          <w:i/>
          <w:sz w:val="20"/>
          <w:szCs w:val="20"/>
        </w:rPr>
        <w:t xml:space="preserve">Carmen Maribel Ferreras Mella, </w:t>
      </w:r>
      <w:r>
        <w:rPr>
          <w:rFonts w:ascii="Verdana" w:hAnsi="Verdana" w:cs="Verdana"/>
          <w:sz w:val="20"/>
          <w:szCs w:val="20"/>
        </w:rPr>
        <w:t>antigua Directora Regional de Migración en la provincia Pedernales al momento de los alegados hechos del caso, quién declarará sobre:</w:t>
      </w:r>
    </w:p>
    <w:p w:rsidR="00332068" w:rsidRDefault="00332068" w:rsidP="00332068">
      <w:pPr>
        <w:pStyle w:val="ListParagraph"/>
        <w:numPr>
          <w:ilvl w:val="0"/>
          <w:numId w:val="19"/>
        </w:numPr>
        <w:ind w:left="1440" w:firstLine="0"/>
        <w:jc w:val="both"/>
        <w:rPr>
          <w:rFonts w:ascii="Verdana" w:hAnsi="Verdana" w:cs="Verdana"/>
          <w:sz w:val="20"/>
          <w:szCs w:val="20"/>
        </w:rPr>
      </w:pPr>
      <w:r>
        <w:rPr>
          <w:rFonts w:ascii="Verdana" w:hAnsi="Verdana" w:cs="Verdana"/>
          <w:sz w:val="20"/>
          <w:szCs w:val="20"/>
        </w:rPr>
        <w:t>su desempeño en el cargo durante la época de los hechos;</w:t>
      </w:r>
    </w:p>
    <w:p w:rsidR="00332068" w:rsidRDefault="00332068" w:rsidP="00332068">
      <w:pPr>
        <w:pStyle w:val="ListParagraph"/>
        <w:numPr>
          <w:ilvl w:val="0"/>
          <w:numId w:val="19"/>
        </w:numPr>
        <w:ind w:left="1440" w:firstLine="0"/>
        <w:jc w:val="both"/>
        <w:rPr>
          <w:rFonts w:ascii="Verdana" w:hAnsi="Verdana" w:cs="Verdana"/>
          <w:sz w:val="20"/>
          <w:szCs w:val="20"/>
        </w:rPr>
      </w:pPr>
      <w:r w:rsidRPr="00D33311">
        <w:rPr>
          <w:rFonts w:ascii="Verdana" w:hAnsi="Verdana" w:cs="Verdana"/>
          <w:sz w:val="20"/>
          <w:szCs w:val="20"/>
        </w:rPr>
        <w:t>su experiencia en relación con el control del flujo migratorio de hai</w:t>
      </w:r>
      <w:r>
        <w:rPr>
          <w:rFonts w:ascii="Verdana" w:hAnsi="Verdana" w:cs="Verdana"/>
          <w:sz w:val="20"/>
          <w:szCs w:val="20"/>
        </w:rPr>
        <w:t>tianos al territorio dominicano,</w:t>
      </w:r>
      <w:r w:rsidRPr="00D33311">
        <w:rPr>
          <w:rFonts w:ascii="Verdana" w:hAnsi="Verdana" w:cs="Verdana"/>
          <w:sz w:val="20"/>
          <w:szCs w:val="20"/>
        </w:rPr>
        <w:t xml:space="preserve"> y</w:t>
      </w:r>
    </w:p>
    <w:p w:rsidR="00332068" w:rsidRPr="00DB6035" w:rsidRDefault="00332068" w:rsidP="00332068">
      <w:pPr>
        <w:pStyle w:val="ListParagraph"/>
        <w:numPr>
          <w:ilvl w:val="0"/>
          <w:numId w:val="19"/>
        </w:numPr>
        <w:ind w:left="1440" w:firstLine="0"/>
        <w:jc w:val="both"/>
        <w:rPr>
          <w:rFonts w:ascii="Verdana" w:hAnsi="Verdana" w:cs="Verdana"/>
          <w:sz w:val="20"/>
          <w:szCs w:val="20"/>
        </w:rPr>
      </w:pPr>
      <w:r w:rsidRPr="00D33311">
        <w:rPr>
          <w:rFonts w:ascii="Verdana" w:hAnsi="Verdana" w:cs="Verdana"/>
          <w:sz w:val="20"/>
          <w:szCs w:val="20"/>
        </w:rPr>
        <w:t xml:space="preserve">las prácticas de deportaciones realizadas. </w:t>
      </w:r>
    </w:p>
    <w:p w:rsidR="00332068" w:rsidRPr="004C3E44" w:rsidRDefault="00332068" w:rsidP="00332068">
      <w:pPr>
        <w:tabs>
          <w:tab w:val="left" w:pos="1276"/>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Default="00332068" w:rsidP="003320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sz w:val="20"/>
          <w:szCs w:val="20"/>
        </w:rPr>
      </w:pPr>
      <w:r w:rsidRPr="001C7BDD">
        <w:rPr>
          <w:rFonts w:ascii="Verdana" w:hAnsi="Verdana" w:cs="Verdana"/>
          <w:b/>
          <w:sz w:val="20"/>
          <w:szCs w:val="20"/>
        </w:rPr>
        <w:t>PERITOS</w:t>
      </w:r>
    </w:p>
    <w:p w:rsidR="00332068" w:rsidRPr="0087583C"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sz w:val="20"/>
          <w:szCs w:val="20"/>
        </w:rPr>
      </w:pPr>
    </w:p>
    <w:p w:rsidR="00332068" w:rsidRPr="000830A1"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r w:rsidRPr="000830A1">
        <w:rPr>
          <w:rFonts w:ascii="Verdana" w:hAnsi="Verdana" w:cs="Verdana"/>
          <w:bCs/>
          <w:i/>
          <w:iCs/>
          <w:sz w:val="20"/>
          <w:szCs w:val="20"/>
        </w:rPr>
        <w:tab/>
        <w:t xml:space="preserve">Propuesta por la Comisión: </w:t>
      </w:r>
    </w:p>
    <w:p w:rsidR="00332068" w:rsidRPr="0087583C"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sz w:val="20"/>
          <w:szCs w:val="20"/>
        </w:rPr>
      </w:pPr>
    </w:p>
    <w:p w:rsidR="00332068" w:rsidRDefault="00332068" w:rsidP="00332068">
      <w:pPr>
        <w:pStyle w:val="ListParagraph"/>
        <w:numPr>
          <w:ilvl w:val="0"/>
          <w:numId w:val="8"/>
        </w:numPr>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sz w:val="20"/>
          <w:szCs w:val="20"/>
        </w:rPr>
      </w:pPr>
      <w:r w:rsidRPr="0025505D">
        <w:rPr>
          <w:rFonts w:ascii="Verdana" w:hAnsi="Verdana" w:cs="Verdana"/>
          <w:i/>
          <w:sz w:val="20"/>
          <w:szCs w:val="20"/>
        </w:rPr>
        <w:t xml:space="preserve">Julia </w:t>
      </w:r>
      <w:proofErr w:type="spellStart"/>
      <w:r w:rsidRPr="0025505D">
        <w:rPr>
          <w:rFonts w:ascii="Verdana" w:hAnsi="Verdana" w:cs="Verdana"/>
          <w:i/>
          <w:sz w:val="20"/>
          <w:szCs w:val="20"/>
        </w:rPr>
        <w:t>Harrington</w:t>
      </w:r>
      <w:proofErr w:type="spellEnd"/>
      <w:r w:rsidRPr="0025505D">
        <w:rPr>
          <w:rFonts w:ascii="Verdana" w:hAnsi="Verdana" w:cs="Verdana"/>
          <w:i/>
          <w:sz w:val="20"/>
          <w:szCs w:val="20"/>
        </w:rPr>
        <w:t xml:space="preserve">, </w:t>
      </w:r>
      <w:r w:rsidRPr="0025505D">
        <w:rPr>
          <w:rFonts w:ascii="Verdana" w:hAnsi="Verdana" w:cs="Verdana"/>
          <w:sz w:val="20"/>
          <w:szCs w:val="20"/>
        </w:rPr>
        <w:t xml:space="preserve">abogada especialista en derechos humanos, quién </w:t>
      </w:r>
      <w:r>
        <w:rPr>
          <w:rFonts w:ascii="Verdana" w:hAnsi="Verdana" w:cs="Verdana"/>
          <w:sz w:val="20"/>
          <w:szCs w:val="20"/>
        </w:rPr>
        <w:t xml:space="preserve">rendirá </w:t>
      </w:r>
      <w:r>
        <w:rPr>
          <w:rFonts w:ascii="Verdana" w:hAnsi="Verdana" w:cs="Verdana"/>
          <w:bCs/>
          <w:iCs/>
          <w:sz w:val="20"/>
          <w:szCs w:val="20"/>
        </w:rPr>
        <w:t>dictamen pericial</w:t>
      </w:r>
      <w:r>
        <w:rPr>
          <w:rFonts w:ascii="Verdana" w:hAnsi="Verdana" w:cs="Verdana"/>
          <w:sz w:val="20"/>
          <w:szCs w:val="20"/>
        </w:rPr>
        <w:t xml:space="preserve"> </w:t>
      </w:r>
      <w:r w:rsidRPr="0025505D">
        <w:rPr>
          <w:rFonts w:ascii="Verdana" w:hAnsi="Verdana" w:cs="Verdana"/>
          <w:sz w:val="20"/>
          <w:szCs w:val="20"/>
        </w:rPr>
        <w:t>sobre:</w:t>
      </w:r>
    </w:p>
    <w:p w:rsidR="00332068" w:rsidRDefault="00332068" w:rsidP="00332068">
      <w:pPr>
        <w:pStyle w:val="ListParagraph"/>
        <w:tabs>
          <w:tab w:val="left" w:pos="720"/>
          <w:tab w:val="left" w:pos="1418"/>
          <w:tab w:val="left" w:pos="2880"/>
          <w:tab w:val="left" w:pos="3600"/>
          <w:tab w:val="left" w:pos="4320"/>
          <w:tab w:val="left" w:pos="5040"/>
          <w:tab w:val="left" w:pos="5760"/>
          <w:tab w:val="left" w:pos="6480"/>
          <w:tab w:val="left" w:pos="7200"/>
          <w:tab w:val="left" w:pos="7920"/>
          <w:tab w:val="left" w:pos="8640"/>
        </w:tabs>
        <w:ind w:left="1418"/>
        <w:jc w:val="both"/>
        <w:rPr>
          <w:rFonts w:ascii="Verdana" w:hAnsi="Verdana" w:cs="Verdana"/>
          <w:sz w:val="20"/>
          <w:szCs w:val="20"/>
        </w:rPr>
      </w:pPr>
    </w:p>
    <w:p w:rsidR="00332068" w:rsidRPr="00F26C8C" w:rsidRDefault="00332068" w:rsidP="00332068">
      <w:pPr>
        <w:pStyle w:val="ListParagraph"/>
        <w:numPr>
          <w:ilvl w:val="0"/>
          <w:numId w:val="11"/>
        </w:numPr>
        <w:ind w:left="1440" w:firstLine="0"/>
        <w:jc w:val="both"/>
        <w:rPr>
          <w:rFonts w:ascii="Verdana" w:hAnsi="Verdana" w:cs="Verdana"/>
          <w:sz w:val="20"/>
          <w:szCs w:val="20"/>
        </w:rPr>
      </w:pPr>
      <w:r w:rsidRPr="00F26C8C">
        <w:rPr>
          <w:rFonts w:ascii="Verdana" w:hAnsi="Verdana" w:cs="Verdana"/>
          <w:sz w:val="20"/>
          <w:szCs w:val="20"/>
        </w:rPr>
        <w:t xml:space="preserve">los estándares internacionales en materia de regulación del derecho a la nacionalidad y su compatibilidad con el derecho internacional de los derechos humanos, y </w:t>
      </w:r>
    </w:p>
    <w:p w:rsidR="00332068" w:rsidRPr="00F26C8C" w:rsidRDefault="00332068" w:rsidP="00332068">
      <w:pPr>
        <w:pStyle w:val="ListParagraph"/>
        <w:numPr>
          <w:ilvl w:val="0"/>
          <w:numId w:val="11"/>
        </w:numPr>
        <w:ind w:left="1440" w:hanging="22"/>
        <w:jc w:val="both"/>
        <w:rPr>
          <w:rFonts w:ascii="Verdana" w:hAnsi="Verdana" w:cs="Verdana"/>
          <w:sz w:val="20"/>
          <w:szCs w:val="20"/>
        </w:rPr>
      </w:pPr>
      <w:r w:rsidRPr="00F26C8C">
        <w:rPr>
          <w:rFonts w:ascii="Verdana" w:hAnsi="Verdana" w:cs="Verdana"/>
          <w:sz w:val="20"/>
          <w:szCs w:val="20"/>
        </w:rPr>
        <w:t>el contenido de la prohibición de expulsión de nacionales, de acuerdo con el derecho internacional.</w:t>
      </w:r>
    </w:p>
    <w:p w:rsidR="00332068" w:rsidRPr="001E15BA"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Pr="000830A1"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r>
        <w:rPr>
          <w:rFonts w:ascii="Verdana" w:hAnsi="Verdana" w:cs="Verdana"/>
          <w:bCs/>
          <w:i/>
          <w:iCs/>
          <w:sz w:val="20"/>
          <w:szCs w:val="20"/>
        </w:rPr>
        <w:tab/>
      </w:r>
      <w:r w:rsidRPr="000830A1">
        <w:rPr>
          <w:rFonts w:ascii="Verdana" w:hAnsi="Verdana" w:cs="Verdana"/>
          <w:bCs/>
          <w:i/>
          <w:iCs/>
          <w:sz w:val="20"/>
          <w:szCs w:val="20"/>
        </w:rPr>
        <w:t>Propuestos por los representantes:</w:t>
      </w:r>
    </w:p>
    <w:p w:rsidR="00332068"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b/>
          <w:bCs/>
          <w:i/>
          <w:iCs/>
          <w:sz w:val="20"/>
          <w:szCs w:val="20"/>
        </w:rPr>
      </w:pPr>
    </w:p>
    <w:p w:rsidR="00332068" w:rsidRDefault="00332068" w:rsidP="00332068">
      <w:pPr>
        <w:pStyle w:val="ListParagraph"/>
        <w:numPr>
          <w:ilvl w:val="0"/>
          <w:numId w:val="8"/>
        </w:numPr>
        <w:tabs>
          <w:tab w:val="left" w:pos="1418"/>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bCs/>
          <w:iCs/>
          <w:sz w:val="20"/>
          <w:szCs w:val="20"/>
        </w:rPr>
      </w:pPr>
      <w:proofErr w:type="spellStart"/>
      <w:r w:rsidRPr="00F71025">
        <w:rPr>
          <w:rFonts w:ascii="Verdana" w:hAnsi="Verdana" w:cs="Verdana"/>
          <w:bCs/>
          <w:i/>
          <w:iCs/>
          <w:sz w:val="20"/>
          <w:szCs w:val="20"/>
        </w:rPr>
        <w:t>Tahira</w:t>
      </w:r>
      <w:proofErr w:type="spellEnd"/>
      <w:r w:rsidRPr="00F71025">
        <w:rPr>
          <w:rFonts w:ascii="Verdana" w:hAnsi="Verdana" w:cs="Verdana"/>
          <w:bCs/>
          <w:i/>
          <w:iCs/>
          <w:sz w:val="20"/>
          <w:szCs w:val="20"/>
        </w:rPr>
        <w:t xml:space="preserve"> Vargas, </w:t>
      </w:r>
      <w:r>
        <w:rPr>
          <w:rFonts w:ascii="Verdana" w:hAnsi="Verdana" w:cs="Verdana"/>
          <w:bCs/>
          <w:iCs/>
          <w:sz w:val="20"/>
          <w:szCs w:val="20"/>
        </w:rPr>
        <w:t>d</w:t>
      </w:r>
      <w:r w:rsidRPr="00F71025">
        <w:rPr>
          <w:rFonts w:ascii="Verdana" w:hAnsi="Verdana" w:cs="Verdana"/>
          <w:bCs/>
          <w:iCs/>
          <w:sz w:val="20"/>
          <w:szCs w:val="20"/>
        </w:rPr>
        <w:t xml:space="preserve">octora en Antropología Social y Desarrollo Actuales, quién rendirá </w:t>
      </w:r>
      <w:r>
        <w:rPr>
          <w:rFonts w:ascii="Verdana" w:hAnsi="Verdana" w:cs="Verdana"/>
          <w:bCs/>
          <w:iCs/>
          <w:sz w:val="20"/>
          <w:szCs w:val="20"/>
        </w:rPr>
        <w:t xml:space="preserve">dictamen pericial </w:t>
      </w:r>
      <w:r w:rsidRPr="00F71025">
        <w:rPr>
          <w:rFonts w:ascii="Verdana" w:hAnsi="Verdana" w:cs="Verdana"/>
          <w:bCs/>
          <w:iCs/>
          <w:sz w:val="20"/>
          <w:szCs w:val="20"/>
        </w:rPr>
        <w:t>sobre:</w:t>
      </w:r>
    </w:p>
    <w:p w:rsidR="00332068" w:rsidRDefault="00332068" w:rsidP="00332068">
      <w:pPr>
        <w:pStyle w:val="ListParagraph"/>
        <w:tabs>
          <w:tab w:val="left" w:pos="1418"/>
          <w:tab w:val="left" w:pos="3600"/>
          <w:tab w:val="left" w:pos="4320"/>
          <w:tab w:val="left" w:pos="5040"/>
          <w:tab w:val="left" w:pos="5760"/>
          <w:tab w:val="left" w:pos="6480"/>
          <w:tab w:val="left" w:pos="7200"/>
          <w:tab w:val="left" w:pos="7920"/>
          <w:tab w:val="left" w:pos="8640"/>
        </w:tabs>
        <w:ind w:left="1418"/>
        <w:jc w:val="both"/>
        <w:rPr>
          <w:rFonts w:ascii="Verdana" w:hAnsi="Verdana" w:cs="Verdana"/>
          <w:bCs/>
          <w:iCs/>
          <w:sz w:val="20"/>
          <w:szCs w:val="20"/>
        </w:rPr>
      </w:pPr>
    </w:p>
    <w:p w:rsidR="00332068" w:rsidRDefault="00332068" w:rsidP="00332068">
      <w:pPr>
        <w:pStyle w:val="ListParagraph"/>
        <w:numPr>
          <w:ilvl w:val="0"/>
          <w:numId w:val="12"/>
        </w:numPr>
        <w:ind w:left="1440" w:firstLine="0"/>
        <w:jc w:val="both"/>
        <w:rPr>
          <w:rFonts w:ascii="Verdana" w:hAnsi="Verdana" w:cs="Verdana"/>
          <w:bCs/>
          <w:iCs/>
          <w:sz w:val="20"/>
          <w:szCs w:val="20"/>
        </w:rPr>
      </w:pPr>
      <w:r w:rsidRPr="00F71025">
        <w:rPr>
          <w:rFonts w:ascii="Verdana" w:hAnsi="Verdana" w:cs="Verdana"/>
          <w:bCs/>
          <w:iCs/>
          <w:sz w:val="20"/>
          <w:szCs w:val="20"/>
        </w:rPr>
        <w:t xml:space="preserve">el impacto que la </w:t>
      </w:r>
      <w:r>
        <w:rPr>
          <w:rFonts w:ascii="Verdana" w:hAnsi="Verdana" w:cs="Verdana"/>
          <w:bCs/>
          <w:iCs/>
          <w:sz w:val="20"/>
          <w:szCs w:val="20"/>
        </w:rPr>
        <w:t xml:space="preserve">alegada </w:t>
      </w:r>
      <w:r w:rsidRPr="00F71025">
        <w:rPr>
          <w:rFonts w:ascii="Verdana" w:hAnsi="Verdana" w:cs="Verdana"/>
          <w:bCs/>
          <w:iCs/>
          <w:sz w:val="20"/>
          <w:szCs w:val="20"/>
        </w:rPr>
        <w:t xml:space="preserve">discriminación estructural contra la población haitiana y de ascendencia haitiana tiene a nivel familiar e individual de los miembros de este grupo; </w:t>
      </w:r>
    </w:p>
    <w:p w:rsidR="00332068" w:rsidRDefault="00332068" w:rsidP="00332068">
      <w:pPr>
        <w:pStyle w:val="ListParagraph"/>
        <w:numPr>
          <w:ilvl w:val="0"/>
          <w:numId w:val="12"/>
        </w:numPr>
        <w:tabs>
          <w:tab w:val="left" w:pos="1418"/>
        </w:tabs>
        <w:ind w:left="1440" w:hanging="22"/>
        <w:jc w:val="both"/>
        <w:rPr>
          <w:rFonts w:ascii="Verdana" w:hAnsi="Verdana" w:cs="Verdana"/>
          <w:bCs/>
          <w:iCs/>
          <w:sz w:val="20"/>
          <w:szCs w:val="20"/>
        </w:rPr>
      </w:pPr>
      <w:r w:rsidRPr="00F71025">
        <w:rPr>
          <w:rFonts w:ascii="Verdana" w:hAnsi="Verdana" w:cs="Verdana"/>
          <w:bCs/>
          <w:iCs/>
          <w:sz w:val="20"/>
          <w:szCs w:val="20"/>
        </w:rPr>
        <w:t xml:space="preserve">la </w:t>
      </w:r>
      <w:r>
        <w:rPr>
          <w:rFonts w:ascii="Verdana" w:hAnsi="Verdana" w:cs="Verdana"/>
          <w:bCs/>
          <w:iCs/>
          <w:sz w:val="20"/>
          <w:szCs w:val="20"/>
        </w:rPr>
        <w:t xml:space="preserve">alegada </w:t>
      </w:r>
      <w:r w:rsidRPr="00F71025">
        <w:rPr>
          <w:rFonts w:ascii="Verdana" w:hAnsi="Verdana" w:cs="Verdana"/>
          <w:bCs/>
          <w:iCs/>
          <w:sz w:val="20"/>
          <w:szCs w:val="20"/>
        </w:rPr>
        <w:t>afectación producida por</w:t>
      </w:r>
      <w:r>
        <w:rPr>
          <w:rFonts w:ascii="Verdana" w:hAnsi="Verdana" w:cs="Verdana"/>
          <w:bCs/>
          <w:iCs/>
          <w:sz w:val="20"/>
          <w:szCs w:val="20"/>
        </w:rPr>
        <w:t xml:space="preserve"> la </w:t>
      </w:r>
      <w:r w:rsidRPr="00F71025">
        <w:rPr>
          <w:rFonts w:ascii="Verdana" w:hAnsi="Verdana" w:cs="Verdana"/>
          <w:bCs/>
          <w:iCs/>
          <w:sz w:val="20"/>
          <w:szCs w:val="20"/>
        </w:rPr>
        <w:t>falta de una identidad, nacionalidad, documentación y hasta de un nombre único derivado de las prácticas y políticas adoptadas por el Estado</w:t>
      </w:r>
      <w:r>
        <w:rPr>
          <w:rFonts w:ascii="Verdana" w:hAnsi="Verdana" w:cs="Verdana"/>
          <w:bCs/>
          <w:iCs/>
          <w:sz w:val="20"/>
          <w:szCs w:val="20"/>
        </w:rPr>
        <w:t>,</w:t>
      </w:r>
      <w:r w:rsidRPr="00F71025">
        <w:rPr>
          <w:rFonts w:ascii="Verdana" w:hAnsi="Verdana" w:cs="Verdana"/>
          <w:bCs/>
          <w:iCs/>
          <w:sz w:val="20"/>
          <w:szCs w:val="20"/>
        </w:rPr>
        <w:t xml:space="preserve"> en relación con </w:t>
      </w:r>
      <w:r>
        <w:rPr>
          <w:rFonts w:ascii="Verdana" w:hAnsi="Verdana" w:cs="Verdana"/>
          <w:bCs/>
          <w:iCs/>
          <w:sz w:val="20"/>
          <w:szCs w:val="20"/>
        </w:rPr>
        <w:t xml:space="preserve">dicha </w:t>
      </w:r>
      <w:r w:rsidRPr="00F71025">
        <w:rPr>
          <w:rFonts w:ascii="Verdana" w:hAnsi="Verdana" w:cs="Verdana"/>
          <w:bCs/>
          <w:iCs/>
          <w:sz w:val="20"/>
          <w:szCs w:val="20"/>
        </w:rPr>
        <w:t>población</w:t>
      </w:r>
      <w:r>
        <w:rPr>
          <w:rFonts w:ascii="Verdana" w:hAnsi="Verdana" w:cs="Verdana"/>
          <w:bCs/>
          <w:iCs/>
          <w:sz w:val="20"/>
          <w:szCs w:val="20"/>
        </w:rPr>
        <w:t>,</w:t>
      </w:r>
      <w:r w:rsidRPr="00F71025">
        <w:rPr>
          <w:rFonts w:ascii="Verdana" w:hAnsi="Verdana" w:cs="Verdana"/>
          <w:bCs/>
          <w:iCs/>
          <w:sz w:val="20"/>
          <w:szCs w:val="20"/>
        </w:rPr>
        <w:t xml:space="preserve"> y</w:t>
      </w:r>
    </w:p>
    <w:p w:rsidR="00332068" w:rsidRDefault="00332068" w:rsidP="00332068">
      <w:pPr>
        <w:pStyle w:val="ListParagraph"/>
        <w:numPr>
          <w:ilvl w:val="0"/>
          <w:numId w:val="12"/>
        </w:numPr>
        <w:ind w:left="1440" w:firstLine="0"/>
        <w:jc w:val="both"/>
        <w:rPr>
          <w:rFonts w:ascii="Verdana" w:hAnsi="Verdana" w:cs="Verdana"/>
          <w:bCs/>
          <w:iCs/>
          <w:sz w:val="20"/>
          <w:szCs w:val="20"/>
        </w:rPr>
      </w:pPr>
      <w:r w:rsidRPr="00F71025">
        <w:rPr>
          <w:rFonts w:ascii="Verdana" w:hAnsi="Verdana" w:cs="Verdana"/>
          <w:bCs/>
          <w:iCs/>
          <w:sz w:val="20"/>
          <w:szCs w:val="20"/>
        </w:rPr>
        <w:t>las medidas de reparación necesarias par</w:t>
      </w:r>
      <w:r>
        <w:rPr>
          <w:rFonts w:ascii="Verdana" w:hAnsi="Verdana" w:cs="Verdana"/>
          <w:bCs/>
          <w:iCs/>
          <w:sz w:val="20"/>
          <w:szCs w:val="20"/>
        </w:rPr>
        <w:t>a hacer frente a esta realidad.</w:t>
      </w:r>
    </w:p>
    <w:p w:rsidR="00332068" w:rsidRPr="00F71025" w:rsidRDefault="00332068" w:rsidP="00332068">
      <w:pPr>
        <w:pStyle w:val="ListParagraph"/>
        <w:tabs>
          <w:tab w:val="left" w:pos="1418"/>
          <w:tab w:val="left" w:pos="3600"/>
          <w:tab w:val="left" w:pos="4320"/>
          <w:tab w:val="left" w:pos="5040"/>
          <w:tab w:val="left" w:pos="5760"/>
          <w:tab w:val="left" w:pos="6480"/>
          <w:tab w:val="left" w:pos="7200"/>
          <w:tab w:val="left" w:pos="7920"/>
          <w:tab w:val="left" w:pos="8640"/>
        </w:tabs>
        <w:ind w:left="1418"/>
        <w:jc w:val="both"/>
        <w:rPr>
          <w:rFonts w:ascii="Verdana" w:hAnsi="Verdana" w:cs="Verdana"/>
          <w:bCs/>
          <w:iCs/>
          <w:sz w:val="20"/>
          <w:szCs w:val="20"/>
        </w:rPr>
      </w:pPr>
    </w:p>
    <w:p w:rsidR="00332068" w:rsidRPr="00482404" w:rsidRDefault="00332068" w:rsidP="00332068">
      <w:pPr>
        <w:pStyle w:val="ListParagraph"/>
        <w:numPr>
          <w:ilvl w:val="0"/>
          <w:numId w:val="8"/>
        </w:numPr>
        <w:tabs>
          <w:tab w:val="left" w:pos="1418"/>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bCs/>
          <w:iCs/>
          <w:sz w:val="20"/>
          <w:szCs w:val="20"/>
        </w:rPr>
      </w:pPr>
      <w:r w:rsidRPr="008128B0">
        <w:rPr>
          <w:rFonts w:ascii="Verdana" w:hAnsi="Verdana" w:cs="Verdana"/>
          <w:i/>
          <w:sz w:val="20"/>
          <w:szCs w:val="20"/>
        </w:rPr>
        <w:t xml:space="preserve">Cristóbal Rodríguez Gómez, </w:t>
      </w:r>
      <w:r w:rsidRPr="008128B0">
        <w:rPr>
          <w:rFonts w:ascii="Verdana" w:hAnsi="Verdana" w:cs="Verdana"/>
          <w:sz w:val="20"/>
          <w:szCs w:val="20"/>
        </w:rPr>
        <w:t xml:space="preserve">abogado constitucionalista, quién </w:t>
      </w:r>
      <w:r w:rsidRPr="008128B0">
        <w:rPr>
          <w:rFonts w:ascii="Verdana" w:hAnsi="Verdana" w:cs="Verdana"/>
          <w:bCs/>
          <w:iCs/>
          <w:sz w:val="20"/>
          <w:szCs w:val="20"/>
        </w:rPr>
        <w:t xml:space="preserve">rendirá </w:t>
      </w:r>
      <w:r>
        <w:rPr>
          <w:rFonts w:ascii="Verdana" w:hAnsi="Verdana" w:cs="Verdana"/>
          <w:bCs/>
          <w:iCs/>
          <w:sz w:val="20"/>
          <w:szCs w:val="20"/>
        </w:rPr>
        <w:t>dictamen pericial</w:t>
      </w:r>
      <w:r w:rsidRPr="008128B0">
        <w:rPr>
          <w:rFonts w:ascii="Verdana" w:hAnsi="Verdana" w:cs="Verdana"/>
          <w:bCs/>
          <w:iCs/>
          <w:sz w:val="20"/>
          <w:szCs w:val="20"/>
        </w:rPr>
        <w:t xml:space="preserve"> </w:t>
      </w:r>
      <w:r w:rsidRPr="008128B0">
        <w:rPr>
          <w:rFonts w:ascii="Verdana" w:hAnsi="Verdana" w:cs="Verdana"/>
          <w:sz w:val="20"/>
          <w:szCs w:val="20"/>
        </w:rPr>
        <w:t>sobre:</w:t>
      </w:r>
    </w:p>
    <w:p w:rsidR="00332068" w:rsidRPr="008128B0" w:rsidRDefault="00332068" w:rsidP="00332068">
      <w:pPr>
        <w:pStyle w:val="ListParagraph"/>
        <w:tabs>
          <w:tab w:val="left" w:pos="1418"/>
          <w:tab w:val="left" w:pos="3600"/>
          <w:tab w:val="left" w:pos="4320"/>
          <w:tab w:val="left" w:pos="5040"/>
          <w:tab w:val="left" w:pos="5760"/>
          <w:tab w:val="left" w:pos="6480"/>
          <w:tab w:val="left" w:pos="7200"/>
          <w:tab w:val="left" w:pos="7920"/>
          <w:tab w:val="left" w:pos="8640"/>
        </w:tabs>
        <w:ind w:left="1418"/>
        <w:jc w:val="both"/>
        <w:rPr>
          <w:rFonts w:ascii="Verdana" w:hAnsi="Verdana" w:cs="Verdana"/>
          <w:bCs/>
          <w:iCs/>
          <w:sz w:val="20"/>
          <w:szCs w:val="20"/>
        </w:rPr>
      </w:pPr>
    </w:p>
    <w:p w:rsidR="00332068" w:rsidRDefault="00332068" w:rsidP="00332068">
      <w:pPr>
        <w:pStyle w:val="ListParagraph"/>
        <w:numPr>
          <w:ilvl w:val="0"/>
          <w:numId w:val="13"/>
        </w:numPr>
        <w:ind w:left="1440" w:firstLine="0"/>
        <w:jc w:val="both"/>
        <w:rPr>
          <w:rFonts w:ascii="Verdana" w:hAnsi="Verdana" w:cs="Verdana"/>
          <w:sz w:val="20"/>
          <w:szCs w:val="20"/>
        </w:rPr>
      </w:pPr>
      <w:r w:rsidRPr="00626EC4">
        <w:rPr>
          <w:rFonts w:ascii="Verdana" w:hAnsi="Verdana" w:cs="Verdana"/>
          <w:sz w:val="20"/>
          <w:szCs w:val="20"/>
        </w:rPr>
        <w:t xml:space="preserve">la legislación vigente </w:t>
      </w:r>
      <w:r>
        <w:rPr>
          <w:rFonts w:ascii="Verdana" w:hAnsi="Verdana" w:cs="Verdana"/>
          <w:sz w:val="20"/>
          <w:szCs w:val="20"/>
        </w:rPr>
        <w:t xml:space="preserve">en República Dominicana </w:t>
      </w:r>
      <w:r w:rsidRPr="00626EC4">
        <w:rPr>
          <w:rFonts w:ascii="Verdana" w:hAnsi="Verdana" w:cs="Verdana"/>
          <w:sz w:val="20"/>
          <w:szCs w:val="20"/>
        </w:rPr>
        <w:t>en materia de nacionalidad, al momento de los hechos y en la actualidad;</w:t>
      </w:r>
    </w:p>
    <w:p w:rsidR="00332068" w:rsidRDefault="00332068" w:rsidP="00332068">
      <w:pPr>
        <w:pStyle w:val="ListParagraph"/>
        <w:numPr>
          <w:ilvl w:val="0"/>
          <w:numId w:val="13"/>
        </w:numPr>
        <w:ind w:left="1440" w:hanging="22"/>
        <w:jc w:val="both"/>
        <w:rPr>
          <w:rFonts w:ascii="Verdana" w:hAnsi="Verdana" w:cs="Verdana"/>
          <w:bCs/>
          <w:iCs/>
          <w:sz w:val="20"/>
          <w:szCs w:val="20"/>
        </w:rPr>
      </w:pPr>
      <w:r w:rsidRPr="00A72F01">
        <w:rPr>
          <w:rFonts w:ascii="Verdana" w:hAnsi="Verdana" w:cs="Verdana"/>
          <w:sz w:val="20"/>
          <w:szCs w:val="20"/>
        </w:rPr>
        <w:t>las distintas interpretaciones que al respecto han hecho los órganos jurisdiccionales dominicanos; la forma en que la legislación de República Dominicana es aplicada a través de prácticas y directrices administrativas, y cómo ha afectado a las personas dominicanas de ascendencia haitiana</w:t>
      </w:r>
      <w:r>
        <w:rPr>
          <w:rFonts w:ascii="Verdana" w:hAnsi="Verdana" w:cs="Verdana"/>
          <w:sz w:val="20"/>
          <w:szCs w:val="20"/>
        </w:rPr>
        <w:t>;</w:t>
      </w:r>
      <w:r w:rsidRPr="00A72F01">
        <w:rPr>
          <w:rFonts w:ascii="Verdana" w:hAnsi="Verdana" w:cs="Verdana"/>
          <w:sz w:val="20"/>
          <w:szCs w:val="20"/>
        </w:rPr>
        <w:t xml:space="preserve"> </w:t>
      </w:r>
    </w:p>
    <w:p w:rsidR="00332068" w:rsidRDefault="00332068" w:rsidP="00332068">
      <w:pPr>
        <w:pStyle w:val="ListParagraph"/>
        <w:numPr>
          <w:ilvl w:val="0"/>
          <w:numId w:val="13"/>
        </w:numPr>
        <w:ind w:left="1440" w:firstLine="0"/>
        <w:jc w:val="both"/>
        <w:rPr>
          <w:rFonts w:ascii="Verdana" w:hAnsi="Verdana" w:cs="Verdana"/>
          <w:sz w:val="20"/>
          <w:szCs w:val="20"/>
        </w:rPr>
      </w:pPr>
      <w:r>
        <w:rPr>
          <w:rFonts w:ascii="Verdana" w:hAnsi="Verdana" w:cs="Verdana"/>
          <w:sz w:val="20"/>
          <w:szCs w:val="20"/>
        </w:rPr>
        <w:t xml:space="preserve">la legislación vigente en República Dominicana en materia de migración, al momento de los hechos y en la actualidad, y cómo afecta los </w:t>
      </w:r>
      <w:r w:rsidRPr="008128B0">
        <w:rPr>
          <w:rFonts w:ascii="Verdana" w:hAnsi="Verdana" w:cs="Verdana"/>
          <w:sz w:val="20"/>
          <w:szCs w:val="20"/>
        </w:rPr>
        <w:t>derechos de las personas sometidas a procesos de deportación</w:t>
      </w:r>
      <w:r>
        <w:rPr>
          <w:rFonts w:ascii="Verdana" w:hAnsi="Verdana" w:cs="Verdana"/>
          <w:sz w:val="20"/>
          <w:szCs w:val="20"/>
        </w:rPr>
        <w:t>, y</w:t>
      </w:r>
    </w:p>
    <w:p w:rsidR="00332068" w:rsidRDefault="00332068" w:rsidP="00332068">
      <w:pPr>
        <w:pStyle w:val="ListParagraph"/>
        <w:numPr>
          <w:ilvl w:val="0"/>
          <w:numId w:val="13"/>
        </w:numPr>
        <w:ind w:left="1440" w:firstLine="0"/>
        <w:jc w:val="both"/>
        <w:rPr>
          <w:rFonts w:ascii="Verdana" w:hAnsi="Verdana" w:cs="Verdana"/>
          <w:bCs/>
          <w:iCs/>
          <w:sz w:val="20"/>
          <w:szCs w:val="20"/>
        </w:rPr>
      </w:pPr>
      <w:r w:rsidRPr="008128B0">
        <w:rPr>
          <w:rFonts w:ascii="Verdana" w:hAnsi="Verdana" w:cs="Verdana"/>
          <w:sz w:val="20"/>
          <w:szCs w:val="20"/>
        </w:rPr>
        <w:t xml:space="preserve">las medidas que </w:t>
      </w:r>
      <w:r>
        <w:rPr>
          <w:rFonts w:ascii="Verdana" w:hAnsi="Verdana" w:cs="Verdana"/>
          <w:sz w:val="20"/>
          <w:szCs w:val="20"/>
        </w:rPr>
        <w:t xml:space="preserve">República Dominicana </w:t>
      </w:r>
      <w:r w:rsidRPr="008128B0">
        <w:rPr>
          <w:rFonts w:ascii="Verdana" w:hAnsi="Verdana" w:cs="Verdana"/>
          <w:sz w:val="20"/>
          <w:szCs w:val="20"/>
        </w:rPr>
        <w:t xml:space="preserve">debe adoptar para evitar la </w:t>
      </w:r>
      <w:r w:rsidRPr="00FB4695">
        <w:rPr>
          <w:rFonts w:ascii="Verdana" w:hAnsi="Verdana" w:cs="Verdana"/>
          <w:sz w:val="20"/>
          <w:szCs w:val="20"/>
        </w:rPr>
        <w:t>repetición de hechos a los que se refiere este caso.</w:t>
      </w:r>
    </w:p>
    <w:p w:rsidR="00332068" w:rsidRDefault="00332068" w:rsidP="00332068">
      <w:pPr>
        <w:tabs>
          <w:tab w:val="left" w:pos="1418"/>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strike/>
          <w:sz w:val="20"/>
          <w:szCs w:val="20"/>
        </w:rPr>
      </w:pPr>
      <w:r w:rsidRPr="00FB4695">
        <w:rPr>
          <w:rFonts w:ascii="Verdana" w:hAnsi="Verdana" w:cs="Verdana"/>
          <w:sz w:val="20"/>
          <w:szCs w:val="20"/>
        </w:rPr>
        <w:tab/>
      </w:r>
    </w:p>
    <w:p w:rsidR="00332068" w:rsidRPr="00FB4695" w:rsidRDefault="00332068" w:rsidP="00332068">
      <w:pPr>
        <w:tabs>
          <w:tab w:val="left" w:pos="1418"/>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i/>
          <w:strike/>
          <w:sz w:val="20"/>
          <w:szCs w:val="20"/>
        </w:rPr>
      </w:pPr>
    </w:p>
    <w:p w:rsidR="00332068" w:rsidRDefault="00332068" w:rsidP="00332068">
      <w:pPr>
        <w:pStyle w:val="ListParagraph"/>
        <w:numPr>
          <w:ilvl w:val="0"/>
          <w:numId w:val="8"/>
        </w:numPr>
        <w:tabs>
          <w:tab w:val="left" w:pos="1440"/>
          <w:tab w:val="left" w:pos="3600"/>
          <w:tab w:val="left" w:pos="4320"/>
          <w:tab w:val="left" w:pos="5040"/>
          <w:tab w:val="left" w:pos="5760"/>
          <w:tab w:val="left" w:pos="6480"/>
          <w:tab w:val="left" w:pos="7200"/>
          <w:tab w:val="left" w:pos="7920"/>
          <w:tab w:val="left" w:pos="8640"/>
        </w:tabs>
        <w:ind w:left="1440" w:hanging="425"/>
        <w:jc w:val="both"/>
        <w:rPr>
          <w:rFonts w:ascii="Verdana" w:hAnsi="Verdana" w:cs="Verdana"/>
          <w:sz w:val="20"/>
          <w:szCs w:val="20"/>
        </w:rPr>
      </w:pPr>
      <w:r w:rsidRPr="0025505D">
        <w:rPr>
          <w:rFonts w:ascii="Verdana" w:hAnsi="Verdana" w:cs="Verdana"/>
          <w:i/>
          <w:sz w:val="20"/>
          <w:szCs w:val="20"/>
        </w:rPr>
        <w:t xml:space="preserve">Rosa del Rosario Lara, </w:t>
      </w:r>
      <w:r>
        <w:rPr>
          <w:rFonts w:ascii="Verdana" w:hAnsi="Verdana" w:cs="Verdana"/>
          <w:sz w:val="20"/>
          <w:szCs w:val="20"/>
        </w:rPr>
        <w:t xml:space="preserve">psicóloga, </w:t>
      </w:r>
      <w:r w:rsidRPr="0025505D">
        <w:rPr>
          <w:rFonts w:ascii="Verdana" w:hAnsi="Verdana" w:cs="Verdana"/>
          <w:sz w:val="20"/>
          <w:szCs w:val="20"/>
        </w:rPr>
        <w:t xml:space="preserve">quién </w:t>
      </w:r>
      <w:r w:rsidRPr="0025505D">
        <w:rPr>
          <w:rFonts w:ascii="Verdana" w:hAnsi="Verdana" w:cs="Verdana"/>
          <w:bCs/>
          <w:iCs/>
          <w:sz w:val="20"/>
          <w:szCs w:val="20"/>
        </w:rPr>
        <w:t xml:space="preserve">rendirá </w:t>
      </w:r>
      <w:r>
        <w:rPr>
          <w:rFonts w:ascii="Verdana" w:hAnsi="Verdana" w:cs="Verdana"/>
          <w:bCs/>
          <w:iCs/>
          <w:sz w:val="20"/>
          <w:szCs w:val="20"/>
        </w:rPr>
        <w:t xml:space="preserve">dictamen pericial </w:t>
      </w:r>
      <w:r w:rsidRPr="0025505D">
        <w:rPr>
          <w:rFonts w:ascii="Verdana" w:hAnsi="Verdana" w:cs="Verdana"/>
          <w:sz w:val="20"/>
          <w:szCs w:val="20"/>
        </w:rPr>
        <w:t xml:space="preserve">sobre: </w:t>
      </w:r>
    </w:p>
    <w:p w:rsidR="00332068" w:rsidRDefault="00332068" w:rsidP="00332068">
      <w:pPr>
        <w:pStyle w:val="ListParagraph"/>
        <w:tabs>
          <w:tab w:val="left" w:pos="1440"/>
          <w:tab w:val="left" w:pos="3600"/>
          <w:tab w:val="left" w:pos="4320"/>
          <w:tab w:val="left" w:pos="5040"/>
          <w:tab w:val="left" w:pos="5760"/>
          <w:tab w:val="left" w:pos="6480"/>
          <w:tab w:val="left" w:pos="7200"/>
          <w:tab w:val="left" w:pos="7920"/>
          <w:tab w:val="left" w:pos="8640"/>
        </w:tabs>
        <w:ind w:left="1440"/>
        <w:jc w:val="both"/>
        <w:rPr>
          <w:rFonts w:ascii="Verdana" w:hAnsi="Verdana" w:cs="Verdana"/>
          <w:sz w:val="20"/>
          <w:szCs w:val="20"/>
        </w:rPr>
      </w:pPr>
    </w:p>
    <w:p w:rsidR="00332068" w:rsidRPr="00626EC4" w:rsidRDefault="00332068" w:rsidP="00332068">
      <w:pPr>
        <w:pStyle w:val="ListParagraph"/>
        <w:numPr>
          <w:ilvl w:val="0"/>
          <w:numId w:val="14"/>
        </w:numPr>
        <w:tabs>
          <w:tab w:val="left" w:pos="1440"/>
        </w:tabs>
        <w:ind w:left="1440" w:firstLine="0"/>
        <w:jc w:val="both"/>
        <w:rPr>
          <w:rFonts w:ascii="Verdana" w:hAnsi="Verdana" w:cs="Verdana"/>
          <w:sz w:val="20"/>
          <w:szCs w:val="20"/>
        </w:rPr>
      </w:pPr>
      <w:r w:rsidRPr="00626EC4">
        <w:rPr>
          <w:rFonts w:ascii="Verdana" w:hAnsi="Verdana" w:cs="Verdana"/>
          <w:sz w:val="20"/>
          <w:szCs w:val="20"/>
        </w:rPr>
        <w:t xml:space="preserve">los efectos psicosociales que la alegada detención y expulsión y la consecuente separación </w:t>
      </w:r>
      <w:r w:rsidRPr="00DB6035">
        <w:rPr>
          <w:rFonts w:ascii="Verdana" w:hAnsi="Verdana" w:cs="Verdana"/>
          <w:sz w:val="20"/>
          <w:szCs w:val="20"/>
        </w:rPr>
        <w:t>de sus familias y comunidades tuvieron</w:t>
      </w:r>
      <w:r w:rsidRPr="00626EC4">
        <w:rPr>
          <w:rFonts w:ascii="Verdana" w:hAnsi="Verdana" w:cs="Verdana"/>
          <w:sz w:val="20"/>
          <w:szCs w:val="20"/>
        </w:rPr>
        <w:t xml:space="preserve"> sobre las </w:t>
      </w:r>
      <w:r>
        <w:rPr>
          <w:rFonts w:ascii="Verdana" w:hAnsi="Verdana" w:cs="Verdana"/>
          <w:sz w:val="20"/>
          <w:szCs w:val="20"/>
        </w:rPr>
        <w:t xml:space="preserve">presuntas </w:t>
      </w:r>
      <w:r w:rsidRPr="00626EC4">
        <w:rPr>
          <w:rFonts w:ascii="Verdana" w:hAnsi="Verdana" w:cs="Verdana"/>
          <w:sz w:val="20"/>
          <w:szCs w:val="20"/>
        </w:rPr>
        <w:t>víctimas y sus familiares;</w:t>
      </w:r>
    </w:p>
    <w:p w:rsidR="00332068" w:rsidRDefault="00332068" w:rsidP="00332068">
      <w:pPr>
        <w:pStyle w:val="ListParagraph"/>
        <w:numPr>
          <w:ilvl w:val="0"/>
          <w:numId w:val="14"/>
        </w:numPr>
        <w:ind w:left="1440" w:firstLine="0"/>
        <w:jc w:val="both"/>
        <w:rPr>
          <w:rFonts w:ascii="Verdana" w:hAnsi="Verdana" w:cs="Verdana"/>
          <w:sz w:val="20"/>
          <w:szCs w:val="20"/>
        </w:rPr>
      </w:pPr>
      <w:r w:rsidRPr="00626EC4">
        <w:rPr>
          <w:rFonts w:ascii="Verdana" w:hAnsi="Verdana" w:cs="Verdana"/>
          <w:sz w:val="20"/>
          <w:szCs w:val="20"/>
        </w:rPr>
        <w:t xml:space="preserve">el alegado daño causado en las </w:t>
      </w:r>
      <w:r>
        <w:rPr>
          <w:rFonts w:ascii="Verdana" w:hAnsi="Verdana" w:cs="Verdana"/>
          <w:sz w:val="20"/>
          <w:szCs w:val="20"/>
        </w:rPr>
        <w:t xml:space="preserve">presuntas </w:t>
      </w:r>
      <w:r w:rsidRPr="00626EC4">
        <w:rPr>
          <w:rFonts w:ascii="Verdana" w:hAnsi="Verdana" w:cs="Verdana"/>
          <w:sz w:val="20"/>
          <w:szCs w:val="20"/>
        </w:rPr>
        <w:t xml:space="preserve">víctimas y sus familiares ante la ausencia de recursos para reclamar por las violaciones cometidas en su contra y a raíz </w:t>
      </w:r>
      <w:r>
        <w:rPr>
          <w:rFonts w:ascii="Verdana" w:hAnsi="Verdana" w:cs="Verdana"/>
          <w:sz w:val="20"/>
          <w:szCs w:val="20"/>
        </w:rPr>
        <w:t>de la alegada impunidad vigente,</w:t>
      </w:r>
      <w:r w:rsidRPr="00626EC4">
        <w:rPr>
          <w:rFonts w:ascii="Verdana" w:hAnsi="Verdana" w:cs="Verdana"/>
          <w:sz w:val="20"/>
          <w:szCs w:val="20"/>
        </w:rPr>
        <w:t xml:space="preserve"> y </w:t>
      </w:r>
    </w:p>
    <w:p w:rsidR="00332068" w:rsidRPr="00626EC4" w:rsidRDefault="00332068" w:rsidP="00332068">
      <w:pPr>
        <w:pStyle w:val="ListParagraph"/>
        <w:numPr>
          <w:ilvl w:val="0"/>
          <w:numId w:val="14"/>
        </w:numPr>
        <w:tabs>
          <w:tab w:val="left" w:pos="1440"/>
        </w:tabs>
        <w:ind w:left="1440" w:firstLine="0"/>
        <w:jc w:val="both"/>
        <w:rPr>
          <w:rFonts w:ascii="Verdana" w:hAnsi="Verdana" w:cs="Verdana"/>
          <w:sz w:val="20"/>
          <w:szCs w:val="20"/>
        </w:rPr>
      </w:pPr>
      <w:r w:rsidRPr="00626EC4">
        <w:rPr>
          <w:rFonts w:ascii="Verdana" w:hAnsi="Verdana" w:cs="Verdana"/>
          <w:sz w:val="20"/>
          <w:szCs w:val="20"/>
        </w:rPr>
        <w:lastRenderedPageBreak/>
        <w:t xml:space="preserve">las medidas que </w:t>
      </w:r>
      <w:r>
        <w:rPr>
          <w:rFonts w:ascii="Verdana" w:hAnsi="Verdana" w:cs="Verdana"/>
          <w:sz w:val="20"/>
          <w:szCs w:val="20"/>
        </w:rPr>
        <w:t xml:space="preserve">República Dominicana </w:t>
      </w:r>
      <w:r w:rsidRPr="00626EC4">
        <w:rPr>
          <w:rFonts w:ascii="Verdana" w:hAnsi="Verdana" w:cs="Verdana"/>
          <w:sz w:val="20"/>
          <w:szCs w:val="20"/>
        </w:rPr>
        <w:t xml:space="preserve">debe adoptar para reparar el alegado daño causado a las </w:t>
      </w:r>
      <w:r>
        <w:rPr>
          <w:rFonts w:ascii="Verdana" w:hAnsi="Verdana" w:cs="Verdana"/>
          <w:sz w:val="20"/>
          <w:szCs w:val="20"/>
        </w:rPr>
        <w:t xml:space="preserve">presuntas </w:t>
      </w:r>
      <w:r w:rsidRPr="00626EC4">
        <w:rPr>
          <w:rFonts w:ascii="Verdana" w:hAnsi="Verdana" w:cs="Verdana"/>
          <w:sz w:val="20"/>
          <w:szCs w:val="20"/>
        </w:rPr>
        <w:t>víctimas y a sus familiares.</w:t>
      </w:r>
    </w:p>
    <w:p w:rsidR="00332068" w:rsidRPr="00F71025" w:rsidRDefault="00332068" w:rsidP="00332068">
      <w:pPr>
        <w:tabs>
          <w:tab w:val="left" w:pos="144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p>
    <w:p w:rsidR="00332068" w:rsidRPr="00E26022"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i/>
          <w:sz w:val="20"/>
          <w:szCs w:val="20"/>
        </w:rPr>
      </w:pPr>
      <w:r w:rsidRPr="00F71025">
        <w:rPr>
          <w:rFonts w:ascii="Verdana" w:hAnsi="Verdana" w:cs="Verdana"/>
          <w:bCs/>
          <w:iCs/>
          <w:sz w:val="20"/>
          <w:szCs w:val="20"/>
        </w:rPr>
        <w:tab/>
      </w:r>
      <w:r w:rsidRPr="00E26022">
        <w:rPr>
          <w:rFonts w:ascii="Verdana" w:hAnsi="Verdana" w:cs="Verdana"/>
          <w:bCs/>
          <w:i/>
          <w:iCs/>
          <w:sz w:val="20"/>
          <w:szCs w:val="20"/>
        </w:rPr>
        <w:t>Propuestos por el Estado:</w:t>
      </w:r>
    </w:p>
    <w:p w:rsidR="00332068" w:rsidRDefault="00332068" w:rsidP="00332068">
      <w:pPr>
        <w:widowControl w:val="0"/>
        <w:tabs>
          <w:tab w:val="left" w:pos="1560"/>
        </w:tabs>
        <w:autoSpaceDE w:val="0"/>
        <w:autoSpaceDN w:val="0"/>
        <w:adjustRightInd w:val="0"/>
        <w:jc w:val="both"/>
        <w:rPr>
          <w:rFonts w:ascii="Verdana" w:hAnsi="Verdana" w:cs="Verdana"/>
          <w:bCs/>
          <w:iCs/>
          <w:sz w:val="20"/>
          <w:szCs w:val="20"/>
        </w:rPr>
      </w:pPr>
    </w:p>
    <w:p w:rsidR="00332068" w:rsidRDefault="00332068" w:rsidP="00332068">
      <w:pPr>
        <w:pStyle w:val="ListParagraph"/>
        <w:widowControl w:val="0"/>
        <w:numPr>
          <w:ilvl w:val="0"/>
          <w:numId w:val="8"/>
        </w:numPr>
        <w:tabs>
          <w:tab w:val="left" w:pos="1560"/>
        </w:tabs>
        <w:autoSpaceDE w:val="0"/>
        <w:autoSpaceDN w:val="0"/>
        <w:adjustRightInd w:val="0"/>
        <w:ind w:left="1418" w:hanging="425"/>
        <w:jc w:val="both"/>
        <w:rPr>
          <w:rFonts w:ascii="Verdana" w:hAnsi="Verdana" w:cs="Verdana"/>
          <w:bCs/>
          <w:iCs/>
          <w:sz w:val="20"/>
          <w:szCs w:val="20"/>
        </w:rPr>
      </w:pPr>
      <w:r w:rsidRPr="000B7342">
        <w:rPr>
          <w:rFonts w:ascii="Verdana" w:hAnsi="Verdana" w:cs="Verdana"/>
          <w:bCs/>
          <w:i/>
          <w:iCs/>
          <w:sz w:val="20"/>
          <w:szCs w:val="20"/>
        </w:rPr>
        <w:t xml:space="preserve">Fernando I. Ferrán </w:t>
      </w:r>
      <w:proofErr w:type="spellStart"/>
      <w:r w:rsidRPr="000B7342">
        <w:rPr>
          <w:rFonts w:ascii="Verdana" w:hAnsi="Verdana" w:cs="Verdana"/>
          <w:bCs/>
          <w:i/>
          <w:iCs/>
          <w:sz w:val="20"/>
          <w:szCs w:val="20"/>
        </w:rPr>
        <w:t>Brú</w:t>
      </w:r>
      <w:proofErr w:type="spellEnd"/>
      <w:r w:rsidRPr="000B7342">
        <w:rPr>
          <w:rFonts w:ascii="Verdana" w:hAnsi="Verdana" w:cs="Verdana"/>
          <w:bCs/>
          <w:i/>
          <w:iCs/>
          <w:sz w:val="20"/>
          <w:szCs w:val="20"/>
        </w:rPr>
        <w:t>,</w:t>
      </w:r>
      <w:r>
        <w:rPr>
          <w:rFonts w:ascii="Verdana" w:hAnsi="Verdana" w:cs="Verdana"/>
          <w:bCs/>
          <w:iCs/>
          <w:sz w:val="20"/>
          <w:szCs w:val="20"/>
        </w:rPr>
        <w:t xml:space="preserve"> antropólogo y sociólogo, quién rendirá peritaje sobre la inexistencia del presunto contexto de discriminación institucional por razones de origen, racial y/o color de la piel en perjuicio de personas de nacionalidad haitiana o dominicanos de origen haitiano en República Dominicana.</w:t>
      </w:r>
    </w:p>
    <w:p w:rsidR="00332068" w:rsidRPr="000B7342" w:rsidRDefault="00332068" w:rsidP="00332068">
      <w:pPr>
        <w:pStyle w:val="ListParagraph"/>
        <w:widowControl w:val="0"/>
        <w:tabs>
          <w:tab w:val="left" w:pos="1560"/>
        </w:tabs>
        <w:autoSpaceDE w:val="0"/>
        <w:autoSpaceDN w:val="0"/>
        <w:adjustRightInd w:val="0"/>
        <w:ind w:left="1418"/>
        <w:jc w:val="both"/>
        <w:rPr>
          <w:rFonts w:ascii="Verdana" w:hAnsi="Verdana" w:cs="Verdana"/>
          <w:bCs/>
          <w:iCs/>
          <w:sz w:val="20"/>
          <w:szCs w:val="20"/>
        </w:rPr>
      </w:pPr>
    </w:p>
    <w:p w:rsidR="00332068" w:rsidRPr="001662E7" w:rsidRDefault="00332068" w:rsidP="00332068">
      <w:pPr>
        <w:pStyle w:val="ListParagraph"/>
        <w:widowControl w:val="0"/>
        <w:numPr>
          <w:ilvl w:val="0"/>
          <w:numId w:val="8"/>
        </w:numPr>
        <w:tabs>
          <w:tab w:val="left" w:pos="1560"/>
        </w:tabs>
        <w:autoSpaceDE w:val="0"/>
        <w:autoSpaceDN w:val="0"/>
        <w:adjustRightInd w:val="0"/>
        <w:ind w:left="1418" w:hanging="425"/>
        <w:jc w:val="both"/>
        <w:rPr>
          <w:rFonts w:ascii="Verdana" w:hAnsi="Verdana" w:cs="Verdana"/>
          <w:bCs/>
          <w:iCs/>
          <w:sz w:val="20"/>
          <w:szCs w:val="20"/>
        </w:rPr>
      </w:pPr>
      <w:r w:rsidRPr="000830A1">
        <w:rPr>
          <w:rFonts w:ascii="Verdana" w:hAnsi="Verdana" w:cs="Verdana"/>
          <w:bCs/>
          <w:i/>
          <w:iCs/>
          <w:sz w:val="20"/>
          <w:szCs w:val="20"/>
        </w:rPr>
        <w:t>Manuel Núñez Asencio</w:t>
      </w:r>
      <w:r w:rsidRPr="000830A1">
        <w:rPr>
          <w:rFonts w:ascii="Verdana" w:hAnsi="Verdana" w:cs="Verdana"/>
          <w:bCs/>
          <w:iCs/>
          <w:sz w:val="20"/>
          <w:szCs w:val="20"/>
        </w:rPr>
        <w:t>, hist</w:t>
      </w:r>
      <w:r>
        <w:rPr>
          <w:rFonts w:ascii="Verdana" w:hAnsi="Verdana" w:cs="Verdana"/>
          <w:bCs/>
          <w:iCs/>
          <w:sz w:val="20"/>
          <w:szCs w:val="20"/>
        </w:rPr>
        <w:t xml:space="preserve">oriador, quién rendirá dictamen pericial sobre </w:t>
      </w:r>
      <w:r w:rsidRPr="000830A1">
        <w:rPr>
          <w:rFonts w:ascii="Verdana" w:hAnsi="Verdana" w:cs="Verdana"/>
          <w:bCs/>
          <w:iCs/>
          <w:sz w:val="20"/>
          <w:szCs w:val="20"/>
        </w:rPr>
        <w:t>la situación</w:t>
      </w:r>
      <w:r>
        <w:rPr>
          <w:rFonts w:ascii="Verdana" w:hAnsi="Verdana" w:cs="Verdana"/>
          <w:bCs/>
          <w:iCs/>
          <w:sz w:val="20"/>
          <w:szCs w:val="20"/>
        </w:rPr>
        <w:t xml:space="preserve"> histórica socio-económica d</w:t>
      </w:r>
      <w:r w:rsidRPr="000830A1">
        <w:rPr>
          <w:rFonts w:ascii="Verdana" w:hAnsi="Verdana" w:cs="Verdana"/>
          <w:bCs/>
          <w:iCs/>
          <w:sz w:val="20"/>
          <w:szCs w:val="20"/>
        </w:rPr>
        <w:t>e</w:t>
      </w:r>
      <w:r>
        <w:rPr>
          <w:rFonts w:ascii="Verdana" w:hAnsi="Verdana" w:cs="Verdana"/>
          <w:bCs/>
          <w:iCs/>
          <w:sz w:val="20"/>
          <w:szCs w:val="20"/>
        </w:rPr>
        <w:t xml:space="preserve"> </w:t>
      </w:r>
      <w:r w:rsidRPr="000830A1">
        <w:rPr>
          <w:rFonts w:ascii="Verdana" w:hAnsi="Verdana" w:cs="Verdana"/>
          <w:bCs/>
          <w:iCs/>
          <w:sz w:val="20"/>
          <w:szCs w:val="20"/>
        </w:rPr>
        <w:t>los intercambios comerciales y los flujos migratorios en la frontera dominico-haitiana, particularmente en la época de los hechos alegados</w:t>
      </w:r>
      <w:r>
        <w:rPr>
          <w:rFonts w:ascii="Verdana" w:hAnsi="Verdana" w:cs="Verdana"/>
          <w:bCs/>
          <w:iCs/>
          <w:sz w:val="20"/>
          <w:szCs w:val="20"/>
        </w:rPr>
        <w:t>.</w:t>
      </w:r>
    </w:p>
    <w:p w:rsidR="00332068" w:rsidRDefault="00332068" w:rsidP="00332068">
      <w:pPr>
        <w:pStyle w:val="ListParagraph"/>
        <w:ind w:left="0"/>
        <w:jc w:val="both"/>
        <w:rPr>
          <w:rFonts w:ascii="Verdana" w:eastAsia="Calibri" w:hAnsi="Verdana" w:cs="Calibri"/>
          <w:sz w:val="20"/>
          <w:szCs w:val="20"/>
        </w:rPr>
      </w:pPr>
    </w:p>
    <w:p w:rsidR="00332068" w:rsidRPr="004B7619" w:rsidRDefault="00332068" w:rsidP="00332068">
      <w:pPr>
        <w:pStyle w:val="ListParagraph"/>
        <w:numPr>
          <w:ilvl w:val="3"/>
          <w:numId w:val="2"/>
        </w:numPr>
        <w:ind w:left="0" w:firstLine="0"/>
        <w:jc w:val="both"/>
        <w:rPr>
          <w:rFonts w:ascii="Verdana" w:eastAsia="Calibri" w:hAnsi="Verdana" w:cs="Calibri"/>
          <w:sz w:val="20"/>
          <w:szCs w:val="20"/>
        </w:rPr>
      </w:pPr>
      <w:r w:rsidRPr="004B7619">
        <w:rPr>
          <w:rFonts w:ascii="Verdana" w:hAnsi="Verdana" w:cs="Verdana"/>
          <w:sz w:val="20"/>
          <w:szCs w:val="20"/>
        </w:rPr>
        <w:t xml:space="preserve">Requerir a los representantes y al Estado que remitan, de considerarlo pertinente y en un plazo improrrogable que vence el </w:t>
      </w:r>
      <w:r w:rsidRPr="005D4FF2">
        <w:rPr>
          <w:rFonts w:ascii="Verdana" w:hAnsi="Verdana" w:cs="Verdana"/>
          <w:sz w:val="20"/>
          <w:szCs w:val="20"/>
        </w:rPr>
        <w:t>16 de septiembre de 2013, las preguntas que estimen pertinente formular a través de la Corte Interamericana a los declarantes indicados en el punto resolutivo 1 de la presente Resolución. Las declaraciones y peritajes requeridos en el punto resolutivo anterior deberán ser presentados a más tardar el 25 de</w:t>
      </w:r>
      <w:r w:rsidRPr="004B7619">
        <w:rPr>
          <w:rFonts w:ascii="Verdana" w:hAnsi="Verdana" w:cs="Verdana"/>
          <w:sz w:val="20"/>
          <w:szCs w:val="20"/>
        </w:rPr>
        <w:t xml:space="preserve"> </w:t>
      </w:r>
      <w:r>
        <w:rPr>
          <w:rFonts w:ascii="Verdana" w:hAnsi="Verdana" w:cs="Verdana"/>
          <w:sz w:val="20"/>
          <w:szCs w:val="20"/>
        </w:rPr>
        <w:t>septiembre</w:t>
      </w:r>
      <w:r w:rsidRPr="004B7619">
        <w:rPr>
          <w:rFonts w:ascii="Verdana" w:hAnsi="Verdana" w:cs="Verdana"/>
          <w:sz w:val="20"/>
          <w:szCs w:val="20"/>
        </w:rPr>
        <w:t xml:space="preserve"> de 2013.</w:t>
      </w:r>
      <w:r w:rsidRPr="004B7619">
        <w:rPr>
          <w:rFonts w:ascii="Verdana" w:hAnsi="Verdana" w:cs="Verdana"/>
          <w:b/>
          <w:sz w:val="20"/>
          <w:szCs w:val="20"/>
        </w:rPr>
        <w:t xml:space="preserve"> </w:t>
      </w:r>
    </w:p>
    <w:p w:rsidR="00332068" w:rsidRPr="004B7619" w:rsidRDefault="00332068" w:rsidP="00332068">
      <w:pPr>
        <w:jc w:val="both"/>
        <w:rPr>
          <w:rFonts w:ascii="Verdana" w:hAnsi="Verdana" w:cs="Verdana"/>
          <w:sz w:val="20"/>
          <w:szCs w:val="20"/>
        </w:rPr>
      </w:pPr>
    </w:p>
    <w:p w:rsidR="00332068" w:rsidRPr="004B7619" w:rsidRDefault="00332068" w:rsidP="00332068">
      <w:pPr>
        <w:pStyle w:val="ListParagraph"/>
        <w:numPr>
          <w:ilvl w:val="3"/>
          <w:numId w:val="2"/>
        </w:numPr>
        <w:ind w:left="0" w:firstLine="0"/>
        <w:jc w:val="both"/>
        <w:rPr>
          <w:rFonts w:ascii="Verdana" w:eastAsia="Calibri" w:hAnsi="Verdana" w:cs="Calibri"/>
          <w:sz w:val="20"/>
          <w:szCs w:val="20"/>
        </w:rPr>
      </w:pPr>
      <w:r w:rsidRPr="004B7619">
        <w:rPr>
          <w:rFonts w:ascii="Verdana" w:hAnsi="Verdana" w:cs="Verdana"/>
          <w:sz w:val="20"/>
          <w:szCs w:val="20"/>
        </w:rPr>
        <w:t xml:space="preserve">Requerir a los representantes y al Estado que coordinen y realicen las diligencias necesarias para que, una vez recibidas las respectivas preguntas indicadas en el punto resolutivo segundo, los declarantes y los peritos incluyan, en lo pertinente, las respuestas respectivas en sus declaraciones y dictámenes rendidos ante fedatario público, de conformidad con el Considerando </w:t>
      </w:r>
      <w:r>
        <w:rPr>
          <w:rFonts w:ascii="Verdana" w:hAnsi="Verdana" w:cs="Verdana"/>
          <w:sz w:val="20"/>
          <w:szCs w:val="20"/>
        </w:rPr>
        <w:t>61</w:t>
      </w:r>
      <w:r w:rsidRPr="004B7619">
        <w:rPr>
          <w:rFonts w:ascii="Verdana" w:hAnsi="Verdana" w:cs="Verdana"/>
          <w:sz w:val="20"/>
          <w:szCs w:val="20"/>
        </w:rPr>
        <w:t xml:space="preserve"> de la presente Resolución. </w:t>
      </w:r>
    </w:p>
    <w:p w:rsidR="00332068" w:rsidRPr="004B7619" w:rsidRDefault="00332068" w:rsidP="00332068">
      <w:pPr>
        <w:jc w:val="both"/>
        <w:rPr>
          <w:rFonts w:ascii="Verdana" w:hAnsi="Verdana" w:cs="Verdana"/>
          <w:sz w:val="20"/>
          <w:szCs w:val="20"/>
        </w:rPr>
      </w:pPr>
    </w:p>
    <w:p w:rsidR="00332068" w:rsidRPr="001A0357" w:rsidRDefault="00332068" w:rsidP="00332068">
      <w:pPr>
        <w:pStyle w:val="ListParagraph"/>
        <w:numPr>
          <w:ilvl w:val="3"/>
          <w:numId w:val="2"/>
        </w:numPr>
        <w:ind w:left="0" w:firstLine="0"/>
        <w:jc w:val="both"/>
        <w:rPr>
          <w:rFonts w:ascii="Verdana" w:eastAsia="Calibri" w:hAnsi="Verdana" w:cs="Calibri"/>
          <w:sz w:val="20"/>
          <w:szCs w:val="20"/>
        </w:rPr>
      </w:pPr>
      <w:r w:rsidRPr="004B7619">
        <w:rPr>
          <w:rFonts w:ascii="Verdana" w:hAnsi="Verdana" w:cs="Verdana"/>
          <w:sz w:val="20"/>
          <w:szCs w:val="20"/>
        </w:rPr>
        <w:t xml:space="preserve">Disponer que, una vez recibidas las declaraciones y peritajes requeridos en el punto resolutivo primero, la Secretaría de la Corte los trasmita a las </w:t>
      </w:r>
      <w:r>
        <w:rPr>
          <w:rFonts w:ascii="Verdana" w:hAnsi="Verdana" w:cs="Verdana"/>
          <w:sz w:val="20"/>
          <w:szCs w:val="20"/>
        </w:rPr>
        <w:t xml:space="preserve">otras </w:t>
      </w:r>
      <w:r w:rsidRPr="004B7619">
        <w:rPr>
          <w:rFonts w:ascii="Verdana" w:hAnsi="Verdana" w:cs="Verdana"/>
          <w:sz w:val="20"/>
          <w:szCs w:val="20"/>
        </w:rPr>
        <w:t>partes para que</w:t>
      </w:r>
      <w:r>
        <w:rPr>
          <w:rFonts w:ascii="Verdana" w:hAnsi="Verdana" w:cs="Verdana"/>
          <w:sz w:val="20"/>
          <w:szCs w:val="20"/>
        </w:rPr>
        <w:t>, si lo estiman necesario, los representantes y el Estado</w:t>
      </w:r>
      <w:r w:rsidRPr="004B7619">
        <w:rPr>
          <w:rFonts w:ascii="Verdana" w:hAnsi="Verdana" w:cs="Verdana"/>
          <w:sz w:val="20"/>
          <w:szCs w:val="20"/>
        </w:rPr>
        <w:t xml:space="preserve"> presenten sus observaciones, de conformidad con lo dispuesto en el Considerando </w:t>
      </w:r>
      <w:r>
        <w:rPr>
          <w:rFonts w:ascii="Verdana" w:hAnsi="Verdana" w:cs="Verdana"/>
          <w:sz w:val="20"/>
          <w:szCs w:val="20"/>
        </w:rPr>
        <w:t>61</w:t>
      </w:r>
      <w:r w:rsidRPr="004B7619">
        <w:rPr>
          <w:rFonts w:ascii="Verdana" w:hAnsi="Verdana" w:cs="Verdana"/>
          <w:sz w:val="20"/>
          <w:szCs w:val="20"/>
        </w:rPr>
        <w:t>, a más tardar con sus alegatos u observaciones finales escritos.</w:t>
      </w:r>
    </w:p>
    <w:p w:rsidR="00332068" w:rsidRPr="001A0357" w:rsidRDefault="00332068" w:rsidP="00332068">
      <w:pPr>
        <w:jc w:val="both"/>
        <w:rPr>
          <w:rFonts w:ascii="Verdana" w:eastAsia="Calibri" w:hAnsi="Verdana" w:cs="Calibri"/>
          <w:sz w:val="20"/>
          <w:szCs w:val="20"/>
          <w:highlight w:val="yellow"/>
        </w:rPr>
      </w:pPr>
    </w:p>
    <w:p w:rsidR="00332068" w:rsidRPr="004D72BB" w:rsidRDefault="00332068" w:rsidP="00332068">
      <w:pPr>
        <w:pStyle w:val="ListParagraph"/>
        <w:numPr>
          <w:ilvl w:val="3"/>
          <w:numId w:val="2"/>
        </w:numPr>
        <w:ind w:left="0" w:firstLine="0"/>
        <w:jc w:val="both"/>
        <w:rPr>
          <w:rFonts w:ascii="Verdana" w:eastAsia="Calibri" w:hAnsi="Verdana" w:cs="Calibri"/>
          <w:sz w:val="20"/>
          <w:szCs w:val="20"/>
        </w:rPr>
      </w:pPr>
      <w:r>
        <w:rPr>
          <w:rFonts w:ascii="Verdana" w:hAnsi="Verdana" w:cs="Verdana"/>
          <w:sz w:val="20"/>
          <w:szCs w:val="20"/>
        </w:rPr>
        <w:t>Incorporar al acervo probatorio de este caso, en los términos del Considerando 55 de la presente Resolución,</w:t>
      </w:r>
      <w:r w:rsidRPr="004D72BB">
        <w:rPr>
          <w:rFonts w:ascii="Verdana" w:eastAsia="Calibri" w:hAnsi="Verdana" w:cs="Calibri"/>
          <w:sz w:val="20"/>
          <w:szCs w:val="20"/>
        </w:rPr>
        <w:t xml:space="preserve"> </w:t>
      </w:r>
      <w:r>
        <w:rPr>
          <w:rFonts w:ascii="Verdana" w:eastAsia="Calibri" w:hAnsi="Verdana" w:cs="Calibri"/>
          <w:sz w:val="20"/>
          <w:szCs w:val="20"/>
        </w:rPr>
        <w:t xml:space="preserve">el peritaje rendido mediante </w:t>
      </w:r>
      <w:proofErr w:type="spellStart"/>
      <w:r w:rsidRPr="00E600A1">
        <w:rPr>
          <w:rFonts w:ascii="Verdana" w:eastAsia="Calibri" w:hAnsi="Verdana" w:cs="Calibri"/>
          <w:i/>
          <w:sz w:val="20"/>
          <w:szCs w:val="20"/>
        </w:rPr>
        <w:t>affidávit</w:t>
      </w:r>
      <w:proofErr w:type="spellEnd"/>
      <w:r w:rsidRPr="00BC6B89">
        <w:rPr>
          <w:rFonts w:ascii="Verdana" w:eastAsia="Calibri" w:hAnsi="Verdana" w:cs="Calibri"/>
          <w:sz w:val="20"/>
          <w:szCs w:val="20"/>
        </w:rPr>
        <w:t xml:space="preserve"> por </w:t>
      </w:r>
      <w:r w:rsidRPr="00BC6B89">
        <w:rPr>
          <w:rFonts w:ascii="Verdana" w:eastAsiaTheme="minorEastAsia" w:hAnsi="Verdana" w:cs="Helvetica"/>
          <w:sz w:val="20"/>
          <w:szCs w:val="20"/>
        </w:rPr>
        <w:t xml:space="preserve">Samuel Martínez en el caso </w:t>
      </w:r>
      <w:proofErr w:type="spellStart"/>
      <w:r w:rsidRPr="00BC6B89">
        <w:rPr>
          <w:rFonts w:ascii="Verdana" w:eastAsiaTheme="minorEastAsia" w:hAnsi="Verdana" w:cs="Helvetica"/>
          <w:i/>
          <w:iCs/>
          <w:sz w:val="20"/>
          <w:szCs w:val="20"/>
        </w:rPr>
        <w:t>Yean</w:t>
      </w:r>
      <w:proofErr w:type="spellEnd"/>
      <w:r w:rsidRPr="00BC6B89">
        <w:rPr>
          <w:rFonts w:ascii="Verdana" w:eastAsiaTheme="minorEastAsia" w:hAnsi="Verdana" w:cs="Helvetica"/>
          <w:i/>
          <w:iCs/>
          <w:sz w:val="20"/>
          <w:szCs w:val="20"/>
        </w:rPr>
        <w:t xml:space="preserve"> y </w:t>
      </w:r>
      <w:proofErr w:type="spellStart"/>
      <w:r w:rsidRPr="00BC6B89">
        <w:rPr>
          <w:rFonts w:ascii="Verdana" w:eastAsiaTheme="minorEastAsia" w:hAnsi="Verdana" w:cs="Helvetica"/>
          <w:i/>
          <w:iCs/>
          <w:sz w:val="20"/>
          <w:szCs w:val="20"/>
        </w:rPr>
        <w:t>Bosico</w:t>
      </w:r>
      <w:proofErr w:type="spellEnd"/>
      <w:r w:rsidRPr="00BC6B89">
        <w:rPr>
          <w:rFonts w:ascii="Verdana" w:eastAsiaTheme="minorEastAsia" w:hAnsi="Verdana" w:cs="Helvetica"/>
          <w:i/>
          <w:iCs/>
          <w:sz w:val="20"/>
          <w:szCs w:val="20"/>
        </w:rPr>
        <w:t xml:space="preserve"> vs. República Dominicana</w:t>
      </w:r>
      <w:r>
        <w:rPr>
          <w:rFonts w:ascii="Verdana" w:eastAsiaTheme="minorEastAsia" w:hAnsi="Verdana" w:cs="Helvetica"/>
          <w:i/>
          <w:iCs/>
          <w:sz w:val="20"/>
          <w:szCs w:val="20"/>
        </w:rPr>
        <w:t>,</w:t>
      </w:r>
      <w:r w:rsidRPr="00BC6B89">
        <w:rPr>
          <w:rFonts w:ascii="Verdana" w:eastAsiaTheme="minorEastAsia" w:hAnsi="Verdana" w:cs="Helvetica"/>
          <w:i/>
          <w:iCs/>
          <w:sz w:val="20"/>
          <w:szCs w:val="20"/>
        </w:rPr>
        <w:t xml:space="preserve"> </w:t>
      </w:r>
      <w:r w:rsidRPr="00BC6B89">
        <w:rPr>
          <w:rFonts w:ascii="Verdana" w:eastAsiaTheme="minorEastAsia" w:hAnsi="Verdana" w:cs="Helvetica"/>
          <w:sz w:val="20"/>
          <w:szCs w:val="20"/>
        </w:rPr>
        <w:t xml:space="preserve">y </w:t>
      </w:r>
      <w:r>
        <w:rPr>
          <w:rFonts w:ascii="Verdana" w:eastAsiaTheme="minorEastAsia" w:hAnsi="Verdana" w:cs="Helvetica"/>
          <w:sz w:val="20"/>
          <w:szCs w:val="20"/>
        </w:rPr>
        <w:t xml:space="preserve">el peritaje rendido por </w:t>
      </w:r>
      <w:r w:rsidRPr="00BC6B89">
        <w:rPr>
          <w:rFonts w:ascii="Verdana" w:eastAsiaTheme="minorEastAsia" w:hAnsi="Verdana" w:cs="Helvetica"/>
          <w:sz w:val="20"/>
          <w:szCs w:val="20"/>
        </w:rPr>
        <w:t xml:space="preserve">Gabriela Rodríguez </w:t>
      </w:r>
      <w:proofErr w:type="spellStart"/>
      <w:r w:rsidRPr="00BC6B89">
        <w:rPr>
          <w:rFonts w:ascii="Verdana" w:eastAsiaTheme="minorEastAsia" w:hAnsi="Verdana" w:cs="Helvetica"/>
          <w:sz w:val="20"/>
          <w:szCs w:val="20"/>
        </w:rPr>
        <w:t>Pizzaro</w:t>
      </w:r>
      <w:proofErr w:type="spellEnd"/>
      <w:r>
        <w:rPr>
          <w:rFonts w:ascii="Verdana" w:eastAsiaTheme="minorEastAsia" w:hAnsi="Verdana" w:cs="Helvetica"/>
          <w:sz w:val="20"/>
          <w:szCs w:val="20"/>
        </w:rPr>
        <w:t xml:space="preserve"> durante la audiencia pública</w:t>
      </w:r>
      <w:r w:rsidRPr="00BC6B89">
        <w:rPr>
          <w:rFonts w:ascii="Verdana" w:eastAsiaTheme="minorEastAsia" w:hAnsi="Verdana" w:cs="Helvetica"/>
          <w:sz w:val="20"/>
          <w:szCs w:val="20"/>
        </w:rPr>
        <w:t xml:space="preserve"> en el caso </w:t>
      </w:r>
      <w:r w:rsidRPr="00BC6B89">
        <w:rPr>
          <w:rFonts w:ascii="Verdana" w:eastAsiaTheme="minorEastAsia" w:hAnsi="Verdana" w:cs="Helvetica"/>
          <w:i/>
          <w:iCs/>
          <w:sz w:val="20"/>
          <w:szCs w:val="20"/>
        </w:rPr>
        <w:t xml:space="preserve">Vélez Loor </w:t>
      </w:r>
      <w:r w:rsidRPr="00BC6B89">
        <w:rPr>
          <w:rFonts w:ascii="Verdana" w:eastAsiaTheme="minorEastAsia" w:hAnsi="Verdana" w:cs="Helvetica"/>
          <w:sz w:val="20"/>
          <w:szCs w:val="20"/>
        </w:rPr>
        <w:t xml:space="preserve">vs. </w:t>
      </w:r>
      <w:r w:rsidRPr="00BC6B89">
        <w:rPr>
          <w:rFonts w:ascii="Verdana" w:eastAsiaTheme="minorEastAsia" w:hAnsi="Verdana" w:cs="Helvetica"/>
          <w:i/>
          <w:iCs/>
          <w:sz w:val="20"/>
          <w:szCs w:val="20"/>
        </w:rPr>
        <w:t>Panamá</w:t>
      </w:r>
      <w:r>
        <w:rPr>
          <w:rFonts w:ascii="Verdana" w:eastAsiaTheme="minorEastAsia" w:hAnsi="Verdana" w:cs="Helvetica"/>
          <w:i/>
          <w:iCs/>
          <w:sz w:val="20"/>
          <w:szCs w:val="20"/>
        </w:rPr>
        <w:t>.</w:t>
      </w:r>
    </w:p>
    <w:p w:rsidR="00332068" w:rsidRPr="004D72BB" w:rsidRDefault="00332068" w:rsidP="00332068">
      <w:pPr>
        <w:pStyle w:val="ListParagraph"/>
        <w:rPr>
          <w:rFonts w:ascii="Verdana" w:hAnsi="Verdana" w:cs="Verdana"/>
          <w:sz w:val="20"/>
          <w:szCs w:val="20"/>
        </w:rPr>
      </w:pPr>
    </w:p>
    <w:p w:rsidR="00332068" w:rsidRPr="001A0357" w:rsidRDefault="00332068" w:rsidP="00332068">
      <w:pPr>
        <w:pStyle w:val="ListParagraph"/>
        <w:numPr>
          <w:ilvl w:val="3"/>
          <w:numId w:val="2"/>
        </w:numPr>
        <w:ind w:left="0" w:firstLine="0"/>
        <w:jc w:val="both"/>
        <w:rPr>
          <w:rFonts w:ascii="Verdana" w:eastAsia="Calibri" w:hAnsi="Verdana" w:cs="Calibri"/>
          <w:sz w:val="20"/>
          <w:szCs w:val="20"/>
        </w:rPr>
      </w:pPr>
      <w:r w:rsidRPr="00BC6B89">
        <w:rPr>
          <w:rFonts w:ascii="Verdana" w:eastAsia="Calibri" w:hAnsi="Verdana" w:cs="Calibri"/>
          <w:sz w:val="20"/>
          <w:szCs w:val="20"/>
        </w:rPr>
        <w:t>Trans</w:t>
      </w:r>
      <w:r>
        <w:rPr>
          <w:rFonts w:ascii="Verdana" w:eastAsia="Calibri" w:hAnsi="Verdana" w:cs="Calibri"/>
          <w:sz w:val="20"/>
          <w:szCs w:val="20"/>
        </w:rPr>
        <w:t xml:space="preserve">mitir los referidos dictámenes periciales, en su carácter de prueba documental, </w:t>
      </w:r>
      <w:r w:rsidRPr="00BC6B89">
        <w:rPr>
          <w:rFonts w:ascii="Verdana" w:eastAsia="Calibri" w:hAnsi="Verdana" w:cs="Calibri"/>
          <w:sz w:val="20"/>
          <w:szCs w:val="20"/>
        </w:rPr>
        <w:t xml:space="preserve">rendidos por </w:t>
      </w:r>
      <w:r w:rsidRPr="00BC6B89">
        <w:rPr>
          <w:rFonts w:ascii="Verdana" w:eastAsiaTheme="minorEastAsia" w:hAnsi="Verdana" w:cs="Helvetica"/>
          <w:sz w:val="20"/>
          <w:szCs w:val="20"/>
        </w:rPr>
        <w:t xml:space="preserve">Samuel Martínez en el caso </w:t>
      </w:r>
      <w:proofErr w:type="spellStart"/>
      <w:r w:rsidRPr="00BC6B89">
        <w:rPr>
          <w:rFonts w:ascii="Verdana" w:eastAsiaTheme="minorEastAsia" w:hAnsi="Verdana" w:cs="Helvetica"/>
          <w:i/>
          <w:iCs/>
          <w:sz w:val="20"/>
          <w:szCs w:val="20"/>
        </w:rPr>
        <w:t>Ye</w:t>
      </w:r>
      <w:r>
        <w:rPr>
          <w:rFonts w:ascii="Verdana" w:eastAsiaTheme="minorEastAsia" w:hAnsi="Verdana" w:cs="Helvetica"/>
          <w:i/>
          <w:iCs/>
          <w:sz w:val="20"/>
          <w:szCs w:val="20"/>
        </w:rPr>
        <w:t>an</w:t>
      </w:r>
      <w:proofErr w:type="spellEnd"/>
      <w:r>
        <w:rPr>
          <w:rFonts w:ascii="Verdana" w:eastAsiaTheme="minorEastAsia" w:hAnsi="Verdana" w:cs="Helvetica"/>
          <w:i/>
          <w:iCs/>
          <w:sz w:val="20"/>
          <w:szCs w:val="20"/>
        </w:rPr>
        <w:t xml:space="preserve"> y </w:t>
      </w:r>
      <w:proofErr w:type="spellStart"/>
      <w:r>
        <w:rPr>
          <w:rFonts w:ascii="Verdana" w:eastAsiaTheme="minorEastAsia" w:hAnsi="Verdana" w:cs="Helvetica"/>
          <w:i/>
          <w:iCs/>
          <w:sz w:val="20"/>
          <w:szCs w:val="20"/>
        </w:rPr>
        <w:t>Bosico</w:t>
      </w:r>
      <w:proofErr w:type="spellEnd"/>
      <w:r>
        <w:rPr>
          <w:rFonts w:ascii="Verdana" w:eastAsiaTheme="minorEastAsia" w:hAnsi="Verdana" w:cs="Helvetica"/>
          <w:i/>
          <w:iCs/>
          <w:sz w:val="20"/>
          <w:szCs w:val="20"/>
        </w:rPr>
        <w:t xml:space="preserve"> V</w:t>
      </w:r>
      <w:r w:rsidRPr="00BC6B89">
        <w:rPr>
          <w:rFonts w:ascii="Verdana" w:eastAsiaTheme="minorEastAsia" w:hAnsi="Verdana" w:cs="Helvetica"/>
          <w:i/>
          <w:iCs/>
          <w:sz w:val="20"/>
          <w:szCs w:val="20"/>
        </w:rPr>
        <w:t xml:space="preserve">s. República Dominicana </w:t>
      </w:r>
      <w:r w:rsidRPr="00BC6B89">
        <w:rPr>
          <w:rFonts w:ascii="Verdana" w:eastAsiaTheme="minorEastAsia" w:hAnsi="Verdana" w:cs="Helvetica"/>
          <w:sz w:val="20"/>
          <w:szCs w:val="20"/>
        </w:rPr>
        <w:t xml:space="preserve">y Gabriela Rodríguez </w:t>
      </w:r>
      <w:proofErr w:type="spellStart"/>
      <w:r w:rsidRPr="00BC6B89">
        <w:rPr>
          <w:rFonts w:ascii="Verdana" w:eastAsiaTheme="minorEastAsia" w:hAnsi="Verdana" w:cs="Helvetica"/>
          <w:sz w:val="20"/>
          <w:szCs w:val="20"/>
        </w:rPr>
        <w:t>Pizzaro</w:t>
      </w:r>
      <w:proofErr w:type="spellEnd"/>
      <w:r w:rsidRPr="00BC6B89">
        <w:rPr>
          <w:rFonts w:ascii="Verdana" w:eastAsiaTheme="minorEastAsia" w:hAnsi="Verdana" w:cs="Helvetica"/>
          <w:sz w:val="20"/>
          <w:szCs w:val="20"/>
        </w:rPr>
        <w:t xml:space="preserve"> en el caso </w:t>
      </w:r>
      <w:r w:rsidRPr="00BC6B89">
        <w:rPr>
          <w:rFonts w:ascii="Verdana" w:eastAsiaTheme="minorEastAsia" w:hAnsi="Verdana" w:cs="Helvetica"/>
          <w:i/>
          <w:iCs/>
          <w:sz w:val="20"/>
          <w:szCs w:val="20"/>
        </w:rPr>
        <w:t xml:space="preserve">Vélez Loor </w:t>
      </w:r>
      <w:r w:rsidRPr="001C1D8A">
        <w:rPr>
          <w:rFonts w:ascii="Verdana" w:eastAsiaTheme="minorEastAsia" w:hAnsi="Verdana" w:cs="Helvetica"/>
          <w:i/>
          <w:sz w:val="20"/>
          <w:szCs w:val="20"/>
        </w:rPr>
        <w:t>Vs.</w:t>
      </w:r>
      <w:r w:rsidRPr="00BC6B89">
        <w:rPr>
          <w:rFonts w:ascii="Verdana" w:eastAsiaTheme="minorEastAsia" w:hAnsi="Verdana" w:cs="Helvetica"/>
          <w:sz w:val="20"/>
          <w:szCs w:val="20"/>
        </w:rPr>
        <w:t xml:space="preserve"> </w:t>
      </w:r>
      <w:r w:rsidRPr="00BC6B89">
        <w:rPr>
          <w:rFonts w:ascii="Verdana" w:eastAsiaTheme="minorEastAsia" w:hAnsi="Verdana" w:cs="Helvetica"/>
          <w:i/>
          <w:iCs/>
          <w:sz w:val="20"/>
          <w:szCs w:val="20"/>
        </w:rPr>
        <w:t>Panamá</w:t>
      </w:r>
      <w:r>
        <w:rPr>
          <w:rFonts w:ascii="Verdana" w:eastAsiaTheme="minorEastAsia" w:hAnsi="Verdana" w:cs="Helvetica"/>
          <w:i/>
          <w:iCs/>
          <w:sz w:val="20"/>
          <w:szCs w:val="20"/>
        </w:rPr>
        <w:t>,</w:t>
      </w:r>
      <w:r w:rsidRPr="00BC6B89">
        <w:rPr>
          <w:rFonts w:ascii="Verdana" w:hAnsi="Verdana" w:cs="Verdana"/>
          <w:sz w:val="20"/>
          <w:szCs w:val="20"/>
        </w:rPr>
        <w:t xml:space="preserve"> </w:t>
      </w:r>
      <w:r w:rsidRPr="00BC6B89">
        <w:rPr>
          <w:rFonts w:ascii="Verdana" w:eastAsia="Calibri" w:hAnsi="Verdana" w:cs="Calibri"/>
          <w:sz w:val="20"/>
          <w:szCs w:val="20"/>
        </w:rPr>
        <w:t xml:space="preserve">a las </w:t>
      </w:r>
      <w:r w:rsidRPr="00761FDC">
        <w:rPr>
          <w:rFonts w:ascii="Verdana" w:eastAsia="Calibri" w:hAnsi="Verdana" w:cs="Calibri"/>
          <w:sz w:val="20"/>
          <w:szCs w:val="20"/>
        </w:rPr>
        <w:t xml:space="preserve">partes </w:t>
      </w:r>
      <w:r w:rsidRPr="00184162">
        <w:rPr>
          <w:rFonts w:ascii="Verdana" w:eastAsia="Calibri" w:hAnsi="Verdana" w:cs="Calibri"/>
          <w:sz w:val="20"/>
          <w:szCs w:val="20"/>
        </w:rPr>
        <w:t>y a la Comisión, en los términos señalados en el Considerando 55 de esta Resolución.</w:t>
      </w:r>
      <w:r w:rsidRPr="00BC6B89">
        <w:rPr>
          <w:rFonts w:ascii="Verdana" w:eastAsia="Calibri" w:hAnsi="Verdana" w:cs="Calibri"/>
          <w:sz w:val="20"/>
          <w:szCs w:val="20"/>
        </w:rPr>
        <w:t xml:space="preserve">  Igualmente, una vez transmitidos las declaraciones periciales a las partes, si lo estiman pertinente, </w:t>
      </w:r>
      <w:r>
        <w:rPr>
          <w:rFonts w:ascii="Verdana" w:hAnsi="Verdana" w:cs="Verdana"/>
          <w:sz w:val="20"/>
          <w:szCs w:val="20"/>
        </w:rPr>
        <w:t>los representantes y el Estado</w:t>
      </w:r>
      <w:r w:rsidRPr="004B7619">
        <w:rPr>
          <w:rFonts w:ascii="Verdana" w:hAnsi="Verdana" w:cs="Verdana"/>
          <w:sz w:val="20"/>
          <w:szCs w:val="20"/>
        </w:rPr>
        <w:t xml:space="preserve"> presenten sus observaciones, de conformidad con lo dispuesto en el </w:t>
      </w:r>
      <w:r>
        <w:rPr>
          <w:rFonts w:ascii="Verdana" w:hAnsi="Verdana" w:cs="Verdana"/>
          <w:sz w:val="20"/>
          <w:szCs w:val="20"/>
        </w:rPr>
        <w:t>referido Considerando</w:t>
      </w:r>
      <w:r w:rsidRPr="004B7619">
        <w:rPr>
          <w:rFonts w:ascii="Verdana" w:hAnsi="Verdana" w:cs="Verdana"/>
          <w:sz w:val="20"/>
          <w:szCs w:val="20"/>
        </w:rPr>
        <w:t>, a más tardar con sus alegatos finales escritos.</w:t>
      </w:r>
    </w:p>
    <w:p w:rsidR="00332068" w:rsidRPr="00BC6B89" w:rsidRDefault="00332068" w:rsidP="00332068">
      <w:pPr>
        <w:pStyle w:val="ListParagraph"/>
        <w:ind w:left="0"/>
        <w:jc w:val="both"/>
        <w:rPr>
          <w:rFonts w:ascii="Verdana" w:eastAsia="Calibri" w:hAnsi="Verdana" w:cs="Calibri"/>
          <w:sz w:val="20"/>
          <w:szCs w:val="20"/>
        </w:rPr>
      </w:pPr>
    </w:p>
    <w:p w:rsidR="00332068" w:rsidRPr="004B7619" w:rsidRDefault="00332068" w:rsidP="00332068">
      <w:pPr>
        <w:pStyle w:val="ListParagraph"/>
        <w:numPr>
          <w:ilvl w:val="3"/>
          <w:numId w:val="2"/>
        </w:numPr>
        <w:ind w:left="0" w:firstLine="0"/>
        <w:jc w:val="both"/>
        <w:rPr>
          <w:rFonts w:ascii="Verdana" w:eastAsia="Calibri" w:hAnsi="Verdana" w:cs="Calibri"/>
          <w:sz w:val="20"/>
          <w:szCs w:val="20"/>
        </w:rPr>
      </w:pPr>
      <w:r w:rsidRPr="004B7619">
        <w:rPr>
          <w:rFonts w:ascii="Verdana" w:hAnsi="Verdana" w:cs="Verdana"/>
          <w:sz w:val="20"/>
          <w:szCs w:val="20"/>
        </w:rPr>
        <w:t>Convocar a los representantes</w:t>
      </w:r>
      <w:r>
        <w:rPr>
          <w:rFonts w:ascii="Verdana" w:hAnsi="Verdana" w:cs="Verdana"/>
          <w:sz w:val="20"/>
          <w:szCs w:val="20"/>
        </w:rPr>
        <w:t xml:space="preserve"> de las presuntas víctimas</w:t>
      </w:r>
      <w:r w:rsidRPr="004B7619">
        <w:rPr>
          <w:rFonts w:ascii="Verdana" w:hAnsi="Verdana" w:cs="Verdana"/>
          <w:sz w:val="20"/>
          <w:szCs w:val="20"/>
        </w:rPr>
        <w:t>,</w:t>
      </w:r>
      <w:r>
        <w:rPr>
          <w:rFonts w:ascii="Verdana" w:hAnsi="Verdana" w:cs="Verdana"/>
          <w:sz w:val="20"/>
          <w:szCs w:val="20"/>
        </w:rPr>
        <w:t xml:space="preserve"> </w:t>
      </w:r>
      <w:r w:rsidRPr="004B7619">
        <w:rPr>
          <w:rFonts w:ascii="Verdana" w:hAnsi="Verdana" w:cs="Verdana"/>
          <w:sz w:val="20"/>
          <w:szCs w:val="20"/>
        </w:rPr>
        <w:t xml:space="preserve">a la República Dominicana y a la Comisión Interamericana de Derechos Humanos a una audiencia pública que se celebrará durante el </w:t>
      </w:r>
      <w:r>
        <w:rPr>
          <w:rFonts w:ascii="Verdana" w:hAnsi="Verdana" w:cs="Verdana"/>
          <w:sz w:val="20"/>
          <w:szCs w:val="20"/>
        </w:rPr>
        <w:t>48</w:t>
      </w:r>
      <w:r w:rsidRPr="00D37038">
        <w:rPr>
          <w:rFonts w:ascii="Garamond" w:hAnsi="Garamond"/>
          <w:sz w:val="22"/>
          <w:szCs w:val="22"/>
        </w:rPr>
        <w:t>º</w:t>
      </w:r>
      <w:r>
        <w:rPr>
          <w:rFonts w:ascii="Verdana" w:hAnsi="Verdana" w:cs="Verdana"/>
          <w:sz w:val="20"/>
          <w:szCs w:val="20"/>
        </w:rPr>
        <w:t xml:space="preserve"> </w:t>
      </w:r>
      <w:r w:rsidRPr="004B7619">
        <w:rPr>
          <w:rFonts w:ascii="Verdana" w:hAnsi="Verdana" w:cs="Verdana"/>
          <w:sz w:val="20"/>
          <w:szCs w:val="20"/>
        </w:rPr>
        <w:t>Período Extraordinario de Sesiones, que se realizará en</w:t>
      </w:r>
      <w:r>
        <w:rPr>
          <w:rFonts w:ascii="Verdana" w:hAnsi="Verdana" w:cs="Verdana"/>
          <w:sz w:val="20"/>
          <w:szCs w:val="20"/>
        </w:rPr>
        <w:t xml:space="preserve"> la Ciudad de México,</w:t>
      </w:r>
      <w:r w:rsidRPr="004B7619">
        <w:rPr>
          <w:rFonts w:ascii="Verdana" w:hAnsi="Verdana" w:cs="Verdana"/>
          <w:sz w:val="20"/>
          <w:szCs w:val="20"/>
        </w:rPr>
        <w:t xml:space="preserve"> México, </w:t>
      </w:r>
      <w:r>
        <w:rPr>
          <w:rFonts w:ascii="Verdana" w:hAnsi="Verdana" w:cs="Verdana"/>
          <w:sz w:val="20"/>
          <w:szCs w:val="20"/>
        </w:rPr>
        <w:t xml:space="preserve">los días </w:t>
      </w:r>
      <w:r w:rsidRPr="00184162">
        <w:rPr>
          <w:rFonts w:ascii="Verdana" w:hAnsi="Verdana" w:cs="Verdana"/>
          <w:sz w:val="20"/>
          <w:szCs w:val="20"/>
        </w:rPr>
        <w:t>8 y 9</w:t>
      </w:r>
      <w:r>
        <w:rPr>
          <w:rFonts w:ascii="Verdana" w:hAnsi="Verdana" w:cs="Verdana"/>
          <w:sz w:val="20"/>
          <w:szCs w:val="20"/>
        </w:rPr>
        <w:t xml:space="preserve"> </w:t>
      </w:r>
      <w:r w:rsidRPr="004B7619">
        <w:rPr>
          <w:rFonts w:ascii="Verdana" w:hAnsi="Verdana" w:cs="Verdana"/>
          <w:sz w:val="20"/>
          <w:szCs w:val="20"/>
        </w:rPr>
        <w:t xml:space="preserve">de octubre de 2013, a partir de las </w:t>
      </w:r>
      <w:r>
        <w:rPr>
          <w:rFonts w:ascii="Verdana" w:hAnsi="Verdana" w:cs="Verdana"/>
          <w:sz w:val="20"/>
          <w:szCs w:val="20"/>
        </w:rPr>
        <w:t xml:space="preserve">8:30 </w:t>
      </w:r>
      <w:r w:rsidRPr="004B7619">
        <w:rPr>
          <w:rFonts w:ascii="Verdana" w:hAnsi="Verdana" w:cs="Verdana"/>
          <w:sz w:val="20"/>
          <w:szCs w:val="20"/>
        </w:rPr>
        <w:t xml:space="preserve">horas, </w:t>
      </w:r>
      <w:r w:rsidRPr="004B7619">
        <w:rPr>
          <w:rFonts w:ascii="Verdana" w:hAnsi="Verdana" w:cs="Verdana"/>
          <w:sz w:val="20"/>
          <w:szCs w:val="20"/>
        </w:rPr>
        <w:lastRenderedPageBreak/>
        <w:t>para recibir sus alegatos finales orales y observaciones finales orales, respectivamente, sobre la</w:t>
      </w:r>
      <w:r>
        <w:rPr>
          <w:rFonts w:ascii="Verdana" w:hAnsi="Verdana" w:cs="Verdana"/>
          <w:sz w:val="20"/>
          <w:szCs w:val="20"/>
        </w:rPr>
        <w:t>s excepciones</w:t>
      </w:r>
      <w:r w:rsidRPr="004B7619">
        <w:rPr>
          <w:rFonts w:ascii="Verdana" w:hAnsi="Verdana" w:cs="Verdana"/>
          <w:sz w:val="20"/>
          <w:szCs w:val="20"/>
        </w:rPr>
        <w:t xml:space="preserve"> preliminar</w:t>
      </w:r>
      <w:r>
        <w:rPr>
          <w:rFonts w:ascii="Verdana" w:hAnsi="Verdana" w:cs="Verdana"/>
          <w:sz w:val="20"/>
          <w:szCs w:val="20"/>
        </w:rPr>
        <w:t>es</w:t>
      </w:r>
      <w:r w:rsidRPr="004B7619">
        <w:rPr>
          <w:rFonts w:ascii="Verdana" w:hAnsi="Verdana" w:cs="Verdana"/>
          <w:sz w:val="20"/>
          <w:szCs w:val="20"/>
        </w:rPr>
        <w:t xml:space="preserve"> y eventuales fondo, reparaciones y costas, así como para recibir las declaraciones de las siguientes personas:</w:t>
      </w:r>
    </w:p>
    <w:p w:rsidR="00332068" w:rsidRDefault="00332068" w:rsidP="00332068">
      <w:pPr>
        <w:widowControl w:val="0"/>
        <w:tabs>
          <w:tab w:val="left" w:pos="2127"/>
        </w:tabs>
        <w:autoSpaceDE w:val="0"/>
        <w:autoSpaceDN w:val="0"/>
        <w:adjustRightInd w:val="0"/>
        <w:jc w:val="both"/>
        <w:rPr>
          <w:rFonts w:ascii="Verdana" w:hAnsi="Verdana" w:cs="Verdana"/>
          <w:sz w:val="20"/>
          <w:szCs w:val="20"/>
        </w:rPr>
      </w:pPr>
    </w:p>
    <w:p w:rsidR="00332068" w:rsidRPr="00667B7C" w:rsidRDefault="00332068" w:rsidP="00332068">
      <w:pPr>
        <w:pStyle w:val="ListParagraph"/>
        <w:numPr>
          <w:ilvl w:val="0"/>
          <w:numId w:val="1"/>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sz w:val="20"/>
          <w:szCs w:val="20"/>
        </w:rPr>
      </w:pPr>
      <w:r>
        <w:rPr>
          <w:rFonts w:ascii="Verdana" w:hAnsi="Verdana" w:cs="Verdana"/>
          <w:b/>
          <w:sz w:val="20"/>
          <w:szCs w:val="20"/>
        </w:rPr>
        <w:t>PRESUNTA VÍCTIMA</w:t>
      </w:r>
      <w:r w:rsidRPr="00667B7C">
        <w:rPr>
          <w:rFonts w:ascii="Verdana" w:hAnsi="Verdana" w:cs="Verdana"/>
          <w:b/>
          <w:sz w:val="20"/>
          <w:szCs w:val="20"/>
        </w:rPr>
        <w:t xml:space="preserve"> </w:t>
      </w:r>
      <w:r w:rsidRPr="00E26022">
        <w:rPr>
          <w:rFonts w:ascii="Verdana" w:hAnsi="Verdana" w:cs="Verdana"/>
          <w:i/>
          <w:sz w:val="20"/>
          <w:szCs w:val="20"/>
        </w:rPr>
        <w:t>(propuesta por los representantes)</w:t>
      </w:r>
    </w:p>
    <w:p w:rsidR="00332068"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i/>
          <w:sz w:val="20"/>
          <w:szCs w:val="20"/>
        </w:rPr>
      </w:pPr>
    </w:p>
    <w:p w:rsidR="00332068" w:rsidRDefault="00332068" w:rsidP="00332068">
      <w:pPr>
        <w:pStyle w:val="ListParagraph"/>
        <w:numPr>
          <w:ilvl w:val="0"/>
          <w:numId w:val="9"/>
        </w:numPr>
        <w:tabs>
          <w:tab w:val="left" w:pos="2127"/>
          <w:tab w:val="left" w:pos="2880"/>
          <w:tab w:val="left" w:pos="3600"/>
          <w:tab w:val="left" w:pos="4320"/>
          <w:tab w:val="left" w:pos="5040"/>
          <w:tab w:val="left" w:pos="5760"/>
          <w:tab w:val="left" w:pos="6480"/>
          <w:tab w:val="left" w:pos="7200"/>
          <w:tab w:val="left" w:pos="7920"/>
          <w:tab w:val="left" w:pos="8640"/>
        </w:tabs>
        <w:ind w:left="1418" w:hanging="425"/>
        <w:jc w:val="both"/>
        <w:rPr>
          <w:rFonts w:ascii="Verdana" w:hAnsi="Verdana" w:cs="Verdana"/>
          <w:sz w:val="20"/>
          <w:szCs w:val="20"/>
        </w:rPr>
      </w:pPr>
      <w:r w:rsidRPr="001C7BDD">
        <w:rPr>
          <w:rFonts w:ascii="Verdana" w:hAnsi="Verdana" w:cs="Verdana"/>
          <w:i/>
          <w:sz w:val="20"/>
          <w:szCs w:val="20"/>
        </w:rPr>
        <w:t>William Medina Ferreras</w:t>
      </w:r>
      <w:r>
        <w:rPr>
          <w:rFonts w:ascii="Verdana" w:hAnsi="Verdana" w:cs="Verdana"/>
          <w:sz w:val="20"/>
          <w:szCs w:val="20"/>
        </w:rPr>
        <w:t>,</w:t>
      </w:r>
      <w:r w:rsidRPr="004B7619">
        <w:rPr>
          <w:rFonts w:ascii="Verdana" w:hAnsi="Verdana" w:cs="Verdana"/>
          <w:sz w:val="20"/>
          <w:szCs w:val="20"/>
        </w:rPr>
        <w:t xml:space="preserve"> </w:t>
      </w:r>
      <w:r>
        <w:rPr>
          <w:rFonts w:ascii="Verdana" w:hAnsi="Verdana" w:cs="Verdana"/>
          <w:sz w:val="20"/>
          <w:szCs w:val="20"/>
        </w:rPr>
        <w:t>quién declarará sobre:</w:t>
      </w:r>
    </w:p>
    <w:p w:rsidR="00332068" w:rsidRDefault="00332068" w:rsidP="00332068">
      <w:pPr>
        <w:pStyle w:val="ListParagraph"/>
        <w:tabs>
          <w:tab w:val="left" w:pos="2127"/>
          <w:tab w:val="left" w:pos="2880"/>
          <w:tab w:val="left" w:pos="3600"/>
          <w:tab w:val="left" w:pos="4320"/>
          <w:tab w:val="left" w:pos="5040"/>
          <w:tab w:val="left" w:pos="5760"/>
          <w:tab w:val="left" w:pos="6480"/>
          <w:tab w:val="left" w:pos="7200"/>
          <w:tab w:val="left" w:pos="7920"/>
          <w:tab w:val="left" w:pos="8640"/>
        </w:tabs>
        <w:ind w:left="1418"/>
        <w:jc w:val="both"/>
        <w:rPr>
          <w:rFonts w:ascii="Verdana" w:hAnsi="Verdana" w:cs="Verdana"/>
          <w:sz w:val="20"/>
          <w:szCs w:val="20"/>
        </w:rPr>
      </w:pPr>
    </w:p>
    <w:p w:rsidR="00332068" w:rsidRDefault="00332068" w:rsidP="00332068">
      <w:pPr>
        <w:pStyle w:val="ListParagraph"/>
        <w:numPr>
          <w:ilvl w:val="0"/>
          <w:numId w:val="18"/>
        </w:numPr>
        <w:tabs>
          <w:tab w:val="left" w:pos="2127"/>
          <w:tab w:val="left" w:pos="2880"/>
          <w:tab w:val="left" w:pos="3600"/>
          <w:tab w:val="left" w:pos="4320"/>
          <w:tab w:val="left" w:pos="5040"/>
          <w:tab w:val="left" w:pos="5760"/>
          <w:tab w:val="left" w:pos="6480"/>
          <w:tab w:val="left" w:pos="7200"/>
          <w:tab w:val="left" w:pos="7920"/>
          <w:tab w:val="left" w:pos="8640"/>
        </w:tabs>
        <w:ind w:left="1440" w:firstLine="0"/>
        <w:jc w:val="both"/>
        <w:rPr>
          <w:rFonts w:ascii="Verdana" w:hAnsi="Verdana" w:cs="Verdana"/>
          <w:sz w:val="20"/>
          <w:szCs w:val="20"/>
        </w:rPr>
      </w:pPr>
      <w:r>
        <w:rPr>
          <w:rFonts w:ascii="Verdana" w:hAnsi="Verdana" w:cs="Verdana"/>
          <w:sz w:val="20"/>
          <w:szCs w:val="20"/>
        </w:rPr>
        <w:t>los alegados hechos relativos a su detención y posterior expulsión de República Dominicana y la de su familia y sus consecuencias;</w:t>
      </w:r>
    </w:p>
    <w:p w:rsidR="00332068" w:rsidRDefault="00332068" w:rsidP="00332068">
      <w:pPr>
        <w:pStyle w:val="ListParagraph"/>
        <w:numPr>
          <w:ilvl w:val="0"/>
          <w:numId w:val="18"/>
        </w:numPr>
        <w:ind w:left="1440" w:firstLine="0"/>
        <w:jc w:val="both"/>
        <w:rPr>
          <w:rFonts w:ascii="Verdana" w:hAnsi="Verdana" w:cs="Verdana"/>
          <w:sz w:val="20"/>
          <w:szCs w:val="20"/>
        </w:rPr>
      </w:pPr>
      <w:r>
        <w:rPr>
          <w:rFonts w:ascii="Verdana" w:hAnsi="Verdana" w:cs="Verdana"/>
          <w:sz w:val="20"/>
          <w:szCs w:val="20"/>
        </w:rPr>
        <w:t xml:space="preserve"> las supuestas dificultades que él y su familia han enfrentado para la obtención de documentos de identidad dominicanos;</w:t>
      </w:r>
    </w:p>
    <w:p w:rsidR="00332068" w:rsidRPr="00D33311" w:rsidRDefault="00332068" w:rsidP="00332068">
      <w:pPr>
        <w:pStyle w:val="ListParagraph"/>
        <w:numPr>
          <w:ilvl w:val="0"/>
          <w:numId w:val="18"/>
        </w:numPr>
        <w:ind w:left="1440" w:firstLine="0"/>
        <w:jc w:val="both"/>
        <w:rPr>
          <w:rFonts w:ascii="Verdana" w:hAnsi="Verdana" w:cs="Verdana"/>
          <w:sz w:val="20"/>
          <w:szCs w:val="20"/>
        </w:rPr>
      </w:pPr>
      <w:r>
        <w:rPr>
          <w:rFonts w:ascii="Verdana" w:hAnsi="Verdana" w:cs="Verdana"/>
          <w:sz w:val="20"/>
          <w:szCs w:val="20"/>
        </w:rPr>
        <w:t>la forma en que los presuntos hechos los han afectado a él y a su familia,</w:t>
      </w:r>
      <w:r w:rsidRPr="00D33311">
        <w:rPr>
          <w:rFonts w:ascii="Verdana" w:hAnsi="Verdana" w:cs="Verdana"/>
          <w:sz w:val="20"/>
          <w:szCs w:val="20"/>
        </w:rPr>
        <w:t xml:space="preserve"> y</w:t>
      </w:r>
    </w:p>
    <w:p w:rsidR="00332068" w:rsidRDefault="00332068" w:rsidP="00332068">
      <w:pPr>
        <w:pStyle w:val="ListParagraph"/>
        <w:numPr>
          <w:ilvl w:val="0"/>
          <w:numId w:val="18"/>
        </w:numPr>
        <w:ind w:left="1440" w:firstLine="0"/>
        <w:jc w:val="both"/>
        <w:rPr>
          <w:rFonts w:ascii="Verdana" w:hAnsi="Verdana" w:cs="Verdana"/>
          <w:sz w:val="20"/>
          <w:szCs w:val="20"/>
        </w:rPr>
      </w:pPr>
      <w:r>
        <w:rPr>
          <w:rFonts w:ascii="Verdana" w:hAnsi="Verdana" w:cs="Verdana"/>
          <w:sz w:val="20"/>
          <w:szCs w:val="20"/>
        </w:rPr>
        <w:t xml:space="preserve"> acerca de las medidas que el Estado debería adoptar para reparar el daño causado.</w:t>
      </w:r>
      <w:r w:rsidRPr="004B7619">
        <w:rPr>
          <w:rFonts w:ascii="Verdana" w:hAnsi="Verdana" w:cs="Verdana"/>
          <w:i/>
          <w:sz w:val="20"/>
          <w:szCs w:val="20"/>
        </w:rPr>
        <w:t xml:space="preserve"> </w:t>
      </w:r>
      <w:r>
        <w:rPr>
          <w:rFonts w:ascii="Verdana" w:hAnsi="Verdana" w:cs="Verdana"/>
          <w:sz w:val="20"/>
          <w:szCs w:val="20"/>
        </w:rPr>
        <w:t xml:space="preserve"> </w:t>
      </w:r>
    </w:p>
    <w:p w:rsidR="00332068" w:rsidRPr="00767278"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sz w:val="20"/>
          <w:szCs w:val="20"/>
        </w:rPr>
      </w:pPr>
    </w:p>
    <w:p w:rsidR="00332068" w:rsidRPr="00667B7C" w:rsidRDefault="00332068" w:rsidP="003320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b/>
          <w:sz w:val="20"/>
          <w:szCs w:val="20"/>
        </w:rPr>
      </w:pPr>
      <w:r w:rsidRPr="00667B7C">
        <w:rPr>
          <w:rFonts w:ascii="Verdana" w:hAnsi="Verdana" w:cs="Verdana"/>
          <w:b/>
          <w:sz w:val="20"/>
          <w:szCs w:val="20"/>
        </w:rPr>
        <w:t>PERITOS</w:t>
      </w:r>
    </w:p>
    <w:p w:rsidR="00332068"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Verdana" w:hAnsi="Verdana" w:cs="Verdana"/>
          <w:bCs/>
          <w:i/>
          <w:iCs/>
          <w:sz w:val="20"/>
          <w:szCs w:val="20"/>
        </w:rPr>
      </w:pPr>
    </w:p>
    <w:p w:rsidR="00332068" w:rsidRPr="000830A1" w:rsidRDefault="00332068" w:rsidP="00332068">
      <w:pPr>
        <w:jc w:val="both"/>
        <w:rPr>
          <w:rFonts w:ascii="Verdana" w:hAnsi="Verdana" w:cs="Verdana"/>
          <w:sz w:val="20"/>
          <w:szCs w:val="20"/>
        </w:rPr>
      </w:pPr>
      <w:r>
        <w:rPr>
          <w:rFonts w:ascii="Verdana" w:hAnsi="Verdana" w:cs="Verdana"/>
          <w:bCs/>
          <w:i/>
          <w:iCs/>
          <w:sz w:val="20"/>
          <w:szCs w:val="20"/>
        </w:rPr>
        <w:tab/>
        <w:t>Propuesto</w:t>
      </w:r>
      <w:r w:rsidRPr="000830A1">
        <w:rPr>
          <w:rFonts w:ascii="Verdana" w:hAnsi="Verdana" w:cs="Verdana"/>
          <w:bCs/>
          <w:i/>
          <w:iCs/>
          <w:sz w:val="20"/>
          <w:szCs w:val="20"/>
        </w:rPr>
        <w:t xml:space="preserve"> por la Comisión:</w:t>
      </w:r>
    </w:p>
    <w:p w:rsidR="00332068"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b/>
          <w:bCs/>
          <w:i/>
          <w:iCs/>
          <w:sz w:val="20"/>
          <w:szCs w:val="20"/>
        </w:rPr>
      </w:pPr>
    </w:p>
    <w:p w:rsidR="00332068" w:rsidRDefault="00332068" w:rsidP="00332068">
      <w:pPr>
        <w:pStyle w:val="ListParagraph"/>
        <w:numPr>
          <w:ilvl w:val="0"/>
          <w:numId w:val="9"/>
        </w:numPr>
        <w:tabs>
          <w:tab w:val="left" w:pos="1701"/>
          <w:tab w:val="left" w:pos="2880"/>
          <w:tab w:val="left" w:pos="3600"/>
          <w:tab w:val="left" w:pos="4320"/>
          <w:tab w:val="left" w:pos="5040"/>
          <w:tab w:val="left" w:pos="5760"/>
          <w:tab w:val="left" w:pos="6480"/>
          <w:tab w:val="left" w:pos="7200"/>
          <w:tab w:val="left" w:pos="7920"/>
          <w:tab w:val="left" w:pos="8640"/>
        </w:tabs>
        <w:ind w:left="1170" w:firstLine="0"/>
        <w:jc w:val="both"/>
        <w:rPr>
          <w:rFonts w:ascii="Verdana" w:hAnsi="Verdana" w:cs="Verdana"/>
          <w:bCs/>
          <w:iCs/>
          <w:sz w:val="20"/>
          <w:szCs w:val="20"/>
        </w:rPr>
      </w:pPr>
      <w:r w:rsidRPr="0025505D">
        <w:rPr>
          <w:rFonts w:ascii="Verdana" w:hAnsi="Verdana" w:cs="Verdana"/>
          <w:bCs/>
          <w:i/>
          <w:iCs/>
          <w:sz w:val="20"/>
          <w:szCs w:val="20"/>
        </w:rPr>
        <w:t xml:space="preserve">Pablo </w:t>
      </w:r>
      <w:proofErr w:type="spellStart"/>
      <w:r w:rsidRPr="0025505D">
        <w:rPr>
          <w:rFonts w:ascii="Verdana" w:hAnsi="Verdana" w:cs="Verdana"/>
          <w:bCs/>
          <w:i/>
          <w:iCs/>
          <w:sz w:val="20"/>
          <w:szCs w:val="20"/>
        </w:rPr>
        <w:t>Ceriani</w:t>
      </w:r>
      <w:proofErr w:type="spellEnd"/>
      <w:r w:rsidRPr="0025505D">
        <w:rPr>
          <w:rFonts w:ascii="Verdana" w:hAnsi="Verdana" w:cs="Verdana"/>
          <w:bCs/>
          <w:i/>
          <w:iCs/>
          <w:sz w:val="20"/>
          <w:szCs w:val="20"/>
        </w:rPr>
        <w:t xml:space="preserve">, </w:t>
      </w:r>
      <w:r w:rsidRPr="0025505D">
        <w:rPr>
          <w:rFonts w:ascii="Verdana" w:hAnsi="Verdana" w:cs="Verdana"/>
          <w:bCs/>
          <w:iCs/>
          <w:sz w:val="20"/>
          <w:szCs w:val="20"/>
        </w:rPr>
        <w:t xml:space="preserve">abogado especialista en el área de inmigración, quién rendirá </w:t>
      </w:r>
      <w:r>
        <w:rPr>
          <w:rFonts w:ascii="Verdana" w:hAnsi="Verdana" w:cs="Verdana"/>
          <w:bCs/>
          <w:iCs/>
          <w:sz w:val="20"/>
          <w:szCs w:val="20"/>
        </w:rPr>
        <w:t xml:space="preserve">dictamen pericial </w:t>
      </w:r>
      <w:r w:rsidRPr="0025505D">
        <w:rPr>
          <w:rFonts w:ascii="Verdana" w:hAnsi="Verdana" w:cs="Verdana"/>
          <w:bCs/>
          <w:iCs/>
          <w:sz w:val="20"/>
          <w:szCs w:val="20"/>
        </w:rPr>
        <w:t xml:space="preserve">sobre: </w:t>
      </w:r>
    </w:p>
    <w:p w:rsidR="00332068" w:rsidRDefault="00332068" w:rsidP="00332068">
      <w:pPr>
        <w:pStyle w:val="ListParagraph"/>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s>
        <w:ind w:left="1418"/>
        <w:jc w:val="both"/>
        <w:rPr>
          <w:rFonts w:ascii="Verdana" w:hAnsi="Verdana" w:cs="Verdana"/>
          <w:bCs/>
          <w:iCs/>
          <w:sz w:val="20"/>
          <w:szCs w:val="20"/>
        </w:rPr>
      </w:pPr>
    </w:p>
    <w:p w:rsidR="00332068" w:rsidRPr="0091189E" w:rsidRDefault="00332068" w:rsidP="00332068">
      <w:pPr>
        <w:pStyle w:val="ListParagraph"/>
        <w:numPr>
          <w:ilvl w:val="0"/>
          <w:numId w:val="20"/>
        </w:numPr>
        <w:ind w:left="1260" w:firstLine="0"/>
        <w:jc w:val="both"/>
        <w:rPr>
          <w:rFonts w:ascii="Verdana" w:hAnsi="Verdana" w:cs="Verdana"/>
          <w:bCs/>
          <w:iCs/>
          <w:sz w:val="20"/>
          <w:szCs w:val="20"/>
        </w:rPr>
      </w:pPr>
      <w:r>
        <w:rPr>
          <w:rFonts w:ascii="Verdana" w:hAnsi="Verdana"/>
          <w:sz w:val="20"/>
          <w:szCs w:val="20"/>
        </w:rPr>
        <w:t xml:space="preserve">   </w:t>
      </w:r>
      <w:r w:rsidRPr="0091189E">
        <w:rPr>
          <w:rFonts w:ascii="Verdana" w:hAnsi="Verdana"/>
          <w:sz w:val="20"/>
          <w:szCs w:val="20"/>
        </w:rPr>
        <w:t>los parámetros que deben respetar las políticas migratorias y</w:t>
      </w:r>
      <w:r>
        <w:rPr>
          <w:rFonts w:ascii="Verdana" w:hAnsi="Verdana"/>
          <w:sz w:val="20"/>
          <w:szCs w:val="20"/>
        </w:rPr>
        <w:t>,</w:t>
      </w:r>
      <w:r w:rsidRPr="0091189E">
        <w:rPr>
          <w:rFonts w:ascii="Verdana" w:hAnsi="Verdana"/>
          <w:sz w:val="20"/>
          <w:szCs w:val="20"/>
        </w:rPr>
        <w:t xml:space="preserve"> en particular</w:t>
      </w:r>
      <w:r>
        <w:rPr>
          <w:rFonts w:ascii="Verdana" w:hAnsi="Verdana"/>
          <w:sz w:val="20"/>
          <w:szCs w:val="20"/>
        </w:rPr>
        <w:t>,</w:t>
      </w:r>
      <w:r w:rsidRPr="0091189E">
        <w:rPr>
          <w:rFonts w:ascii="Verdana" w:hAnsi="Verdana"/>
          <w:sz w:val="20"/>
          <w:szCs w:val="20"/>
        </w:rPr>
        <w:t xml:space="preserve"> la articulación de los procesos de repatriación con la garantía y protección de los derechos humanos, adoptando una perspectiva diferenciada que tenga en cuenta un enfoque de género y las necesidad</w:t>
      </w:r>
      <w:r>
        <w:rPr>
          <w:rFonts w:ascii="Verdana" w:hAnsi="Verdana"/>
          <w:sz w:val="20"/>
          <w:szCs w:val="20"/>
        </w:rPr>
        <w:t>es específicas de niños y niñas, y</w:t>
      </w:r>
    </w:p>
    <w:p w:rsidR="00332068" w:rsidRDefault="00332068" w:rsidP="00332068">
      <w:pPr>
        <w:pStyle w:val="ListParagraph"/>
        <w:numPr>
          <w:ilvl w:val="0"/>
          <w:numId w:val="20"/>
        </w:numPr>
        <w:ind w:left="1260" w:firstLine="0"/>
        <w:jc w:val="both"/>
        <w:rPr>
          <w:rFonts w:ascii="Verdana" w:hAnsi="Verdana" w:cs="Verdana"/>
          <w:bCs/>
          <w:iCs/>
          <w:sz w:val="20"/>
          <w:szCs w:val="20"/>
        </w:rPr>
      </w:pPr>
      <w:r>
        <w:rPr>
          <w:rFonts w:ascii="Verdana" w:hAnsi="Verdana"/>
          <w:sz w:val="20"/>
          <w:szCs w:val="20"/>
        </w:rPr>
        <w:t xml:space="preserve"> </w:t>
      </w:r>
      <w:r w:rsidRPr="0091189E">
        <w:rPr>
          <w:rFonts w:ascii="Verdana" w:hAnsi="Verdana"/>
          <w:sz w:val="20"/>
          <w:szCs w:val="20"/>
        </w:rPr>
        <w:t>la regulación de los procesos de repatriación desde una perspectiva comparada, ilustrando buenas prácticas y desafíos en su implementación</w:t>
      </w:r>
      <w:r w:rsidRPr="0091189E">
        <w:rPr>
          <w:rFonts w:ascii="Verdana" w:hAnsi="Verdana" w:cs="Verdana"/>
          <w:bCs/>
          <w:iCs/>
          <w:sz w:val="20"/>
          <w:szCs w:val="20"/>
        </w:rPr>
        <w:t>.</w:t>
      </w:r>
    </w:p>
    <w:p w:rsidR="00332068" w:rsidRPr="0091189E"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sz w:val="20"/>
          <w:szCs w:val="20"/>
        </w:rPr>
      </w:pPr>
    </w:p>
    <w:p w:rsidR="00332068" w:rsidRPr="00E26022" w:rsidRDefault="00332068" w:rsidP="00332068">
      <w:pPr>
        <w:ind w:firstLine="708"/>
        <w:jc w:val="both"/>
        <w:rPr>
          <w:rFonts w:ascii="Verdana" w:hAnsi="Verdana" w:cs="Verdana"/>
          <w:sz w:val="20"/>
          <w:szCs w:val="20"/>
        </w:rPr>
      </w:pPr>
      <w:r w:rsidRPr="00E26022">
        <w:rPr>
          <w:rFonts w:ascii="Verdana" w:hAnsi="Verdana" w:cs="Verdana"/>
          <w:bCs/>
          <w:i/>
          <w:iCs/>
          <w:sz w:val="20"/>
          <w:szCs w:val="20"/>
        </w:rPr>
        <w:t xml:space="preserve">Propuestos por los representantes: </w:t>
      </w:r>
    </w:p>
    <w:p w:rsidR="00332068" w:rsidRPr="0091189E" w:rsidRDefault="00332068" w:rsidP="00332068">
      <w:pPr>
        <w:pStyle w:val="ListParagraph"/>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bCs/>
          <w:iCs/>
          <w:sz w:val="20"/>
          <w:szCs w:val="20"/>
        </w:rPr>
      </w:pPr>
    </w:p>
    <w:p w:rsidR="00332068" w:rsidRPr="00315960" w:rsidRDefault="00332068" w:rsidP="00332068">
      <w:pPr>
        <w:pStyle w:val="ListParagraph"/>
        <w:numPr>
          <w:ilvl w:val="0"/>
          <w:numId w:val="9"/>
        </w:numPr>
        <w:ind w:left="1350" w:firstLine="0"/>
        <w:jc w:val="both"/>
        <w:rPr>
          <w:rFonts w:ascii="Verdana" w:hAnsi="Verdana" w:cs="Verdana"/>
          <w:bCs/>
          <w:iCs/>
          <w:sz w:val="20"/>
          <w:szCs w:val="20"/>
        </w:rPr>
      </w:pPr>
      <w:proofErr w:type="spellStart"/>
      <w:r w:rsidRPr="005F3D44">
        <w:rPr>
          <w:rFonts w:ascii="Verdana" w:hAnsi="Verdana" w:cs="Verdana"/>
          <w:bCs/>
          <w:i/>
          <w:iCs/>
          <w:sz w:val="20"/>
          <w:szCs w:val="20"/>
        </w:rPr>
        <w:t>Briget</w:t>
      </w:r>
      <w:proofErr w:type="spellEnd"/>
      <w:r w:rsidRPr="005F3D44">
        <w:rPr>
          <w:rFonts w:ascii="Verdana" w:hAnsi="Verdana" w:cs="Verdana"/>
          <w:bCs/>
          <w:i/>
          <w:iCs/>
          <w:sz w:val="20"/>
          <w:szCs w:val="20"/>
        </w:rPr>
        <w:t xml:space="preserve"> </w:t>
      </w:r>
      <w:proofErr w:type="spellStart"/>
      <w:r w:rsidRPr="005F3D44">
        <w:rPr>
          <w:rFonts w:ascii="Verdana" w:hAnsi="Verdana" w:cs="Verdana"/>
          <w:bCs/>
          <w:i/>
          <w:iCs/>
          <w:sz w:val="20"/>
          <w:szCs w:val="20"/>
        </w:rPr>
        <w:t>Wodding</w:t>
      </w:r>
      <w:proofErr w:type="spellEnd"/>
      <w:r w:rsidRPr="005F3D44">
        <w:rPr>
          <w:rFonts w:ascii="Verdana" w:hAnsi="Verdana" w:cs="Verdana"/>
          <w:bCs/>
          <w:i/>
          <w:iCs/>
          <w:sz w:val="20"/>
          <w:szCs w:val="20"/>
        </w:rPr>
        <w:t>,</w:t>
      </w:r>
      <w:r w:rsidRPr="00315960">
        <w:rPr>
          <w:rFonts w:ascii="Verdana" w:hAnsi="Verdana" w:cs="Verdana"/>
          <w:bCs/>
          <w:i/>
          <w:iCs/>
          <w:sz w:val="20"/>
          <w:szCs w:val="20"/>
        </w:rPr>
        <w:t xml:space="preserve"> </w:t>
      </w:r>
      <w:r w:rsidRPr="00315960">
        <w:rPr>
          <w:rFonts w:ascii="Verdana" w:eastAsia="Arial" w:hAnsi="Verdana" w:cs="Arial"/>
          <w:spacing w:val="1"/>
          <w:sz w:val="20"/>
          <w:szCs w:val="20"/>
        </w:rPr>
        <w:t>e</w:t>
      </w:r>
      <w:r w:rsidRPr="00315960">
        <w:rPr>
          <w:rFonts w:ascii="Verdana" w:eastAsia="Arial" w:hAnsi="Verdana" w:cs="Arial"/>
          <w:sz w:val="20"/>
          <w:szCs w:val="20"/>
        </w:rPr>
        <w:t>s</w:t>
      </w:r>
      <w:r w:rsidRPr="00315960">
        <w:rPr>
          <w:rFonts w:ascii="Verdana" w:eastAsia="Arial" w:hAnsi="Verdana" w:cs="Arial"/>
          <w:spacing w:val="1"/>
          <w:sz w:val="20"/>
          <w:szCs w:val="20"/>
        </w:rPr>
        <w:t>pe</w:t>
      </w:r>
      <w:r w:rsidRPr="00315960">
        <w:rPr>
          <w:rFonts w:ascii="Verdana" w:eastAsia="Arial" w:hAnsi="Verdana" w:cs="Arial"/>
          <w:sz w:val="20"/>
          <w:szCs w:val="20"/>
        </w:rPr>
        <w:t>c</w:t>
      </w:r>
      <w:r w:rsidRPr="00315960">
        <w:rPr>
          <w:rFonts w:ascii="Verdana" w:eastAsia="Arial" w:hAnsi="Verdana" w:cs="Arial"/>
          <w:spacing w:val="4"/>
          <w:sz w:val="20"/>
          <w:szCs w:val="20"/>
        </w:rPr>
        <w:t>i</w:t>
      </w:r>
      <w:r w:rsidRPr="00315960">
        <w:rPr>
          <w:rFonts w:ascii="Verdana" w:eastAsia="Arial" w:hAnsi="Verdana" w:cs="Arial"/>
          <w:spacing w:val="-4"/>
          <w:sz w:val="20"/>
          <w:szCs w:val="20"/>
        </w:rPr>
        <w:t>a</w:t>
      </w:r>
      <w:r w:rsidRPr="00315960">
        <w:rPr>
          <w:rFonts w:ascii="Verdana" w:eastAsia="Arial" w:hAnsi="Verdana" w:cs="Arial"/>
          <w:sz w:val="20"/>
          <w:szCs w:val="20"/>
        </w:rPr>
        <w:t>l</w:t>
      </w:r>
      <w:r w:rsidRPr="00315960">
        <w:rPr>
          <w:rFonts w:ascii="Verdana" w:eastAsia="Arial" w:hAnsi="Verdana" w:cs="Arial"/>
          <w:spacing w:val="4"/>
          <w:sz w:val="20"/>
          <w:szCs w:val="20"/>
        </w:rPr>
        <w:t>i</w:t>
      </w:r>
      <w:r w:rsidRPr="00315960">
        <w:rPr>
          <w:rFonts w:ascii="Verdana" w:eastAsia="Arial" w:hAnsi="Verdana" w:cs="Arial"/>
          <w:sz w:val="20"/>
          <w:szCs w:val="20"/>
        </w:rPr>
        <w:t>sta</w:t>
      </w:r>
      <w:r>
        <w:rPr>
          <w:rFonts w:ascii="Verdana" w:eastAsia="Arial" w:hAnsi="Verdana" w:cs="Arial"/>
          <w:sz w:val="20"/>
          <w:szCs w:val="20"/>
        </w:rPr>
        <w:t xml:space="preserve"> </w:t>
      </w:r>
      <w:r w:rsidRPr="00315960">
        <w:rPr>
          <w:rFonts w:ascii="Verdana" w:eastAsia="Arial" w:hAnsi="Verdana" w:cs="Arial"/>
          <w:spacing w:val="1"/>
          <w:sz w:val="20"/>
          <w:szCs w:val="20"/>
        </w:rPr>
        <w:t>e</w:t>
      </w:r>
      <w:r w:rsidRPr="00315960">
        <w:rPr>
          <w:rFonts w:ascii="Verdana" w:eastAsia="Arial" w:hAnsi="Verdana" w:cs="Arial"/>
          <w:sz w:val="20"/>
          <w:szCs w:val="20"/>
        </w:rPr>
        <w:t>n</w:t>
      </w:r>
      <w:r>
        <w:rPr>
          <w:rFonts w:ascii="Verdana" w:eastAsia="Arial" w:hAnsi="Verdana" w:cs="Arial"/>
          <w:sz w:val="20"/>
          <w:szCs w:val="20"/>
        </w:rPr>
        <w:t xml:space="preserve"> </w:t>
      </w:r>
      <w:r w:rsidRPr="00315960">
        <w:rPr>
          <w:rFonts w:ascii="Verdana" w:eastAsia="Arial" w:hAnsi="Verdana" w:cs="Arial"/>
          <w:spacing w:val="-4"/>
          <w:sz w:val="20"/>
          <w:szCs w:val="20"/>
        </w:rPr>
        <w:t>d</w:t>
      </w:r>
      <w:r w:rsidRPr="00315960">
        <w:rPr>
          <w:rFonts w:ascii="Verdana" w:eastAsia="Arial" w:hAnsi="Verdana" w:cs="Arial"/>
          <w:spacing w:val="1"/>
          <w:sz w:val="20"/>
          <w:szCs w:val="20"/>
        </w:rPr>
        <w:t>e</w:t>
      </w:r>
      <w:r w:rsidRPr="00315960">
        <w:rPr>
          <w:rFonts w:ascii="Verdana" w:eastAsia="Arial" w:hAnsi="Verdana" w:cs="Arial"/>
          <w:sz w:val="20"/>
          <w:szCs w:val="20"/>
        </w:rPr>
        <w:t>s</w:t>
      </w:r>
      <w:r w:rsidRPr="00315960">
        <w:rPr>
          <w:rFonts w:ascii="Verdana" w:eastAsia="Arial" w:hAnsi="Verdana" w:cs="Arial"/>
          <w:spacing w:val="1"/>
          <w:sz w:val="20"/>
          <w:szCs w:val="20"/>
        </w:rPr>
        <w:t>arr</w:t>
      </w:r>
      <w:r w:rsidRPr="00315960">
        <w:rPr>
          <w:rFonts w:ascii="Verdana" w:eastAsia="Arial" w:hAnsi="Verdana" w:cs="Arial"/>
          <w:spacing w:val="-4"/>
          <w:sz w:val="20"/>
          <w:szCs w:val="20"/>
        </w:rPr>
        <w:t>o</w:t>
      </w:r>
      <w:r w:rsidRPr="00315960">
        <w:rPr>
          <w:rFonts w:ascii="Verdana" w:eastAsia="Arial" w:hAnsi="Verdana" w:cs="Arial"/>
          <w:sz w:val="20"/>
          <w:szCs w:val="20"/>
        </w:rPr>
        <w:t>l</w:t>
      </w:r>
      <w:r w:rsidRPr="00315960">
        <w:rPr>
          <w:rFonts w:ascii="Verdana" w:eastAsia="Arial" w:hAnsi="Verdana" w:cs="Arial"/>
          <w:spacing w:val="4"/>
          <w:sz w:val="20"/>
          <w:szCs w:val="20"/>
        </w:rPr>
        <w:t>l</w:t>
      </w:r>
      <w:r>
        <w:rPr>
          <w:rFonts w:ascii="Verdana" w:eastAsia="Arial" w:hAnsi="Verdana" w:cs="Arial"/>
          <w:sz w:val="20"/>
          <w:szCs w:val="20"/>
        </w:rPr>
        <w:t>o</w:t>
      </w:r>
      <w:r w:rsidRPr="00315960">
        <w:rPr>
          <w:rFonts w:ascii="Verdana" w:eastAsia="Arial" w:hAnsi="Verdana" w:cs="Arial"/>
          <w:spacing w:val="1"/>
          <w:sz w:val="20"/>
          <w:szCs w:val="20"/>
        </w:rPr>
        <w:t xml:space="preserve"> </w:t>
      </w:r>
      <w:r w:rsidRPr="00315960">
        <w:rPr>
          <w:rFonts w:ascii="Verdana" w:eastAsia="Arial" w:hAnsi="Verdana" w:cs="Arial"/>
          <w:spacing w:val="4"/>
          <w:sz w:val="20"/>
          <w:szCs w:val="20"/>
        </w:rPr>
        <w:t>i</w:t>
      </w:r>
      <w:r w:rsidRPr="00315960">
        <w:rPr>
          <w:rFonts w:ascii="Verdana" w:eastAsia="Arial" w:hAnsi="Verdana" w:cs="Arial"/>
          <w:spacing w:val="1"/>
          <w:sz w:val="20"/>
          <w:szCs w:val="20"/>
        </w:rPr>
        <w:t>n</w:t>
      </w:r>
      <w:r w:rsidRPr="00315960">
        <w:rPr>
          <w:rFonts w:ascii="Verdana" w:eastAsia="Arial" w:hAnsi="Verdana" w:cs="Arial"/>
          <w:sz w:val="20"/>
          <w:szCs w:val="20"/>
        </w:rPr>
        <w:t>t</w:t>
      </w:r>
      <w:r w:rsidRPr="00315960">
        <w:rPr>
          <w:rFonts w:ascii="Verdana" w:eastAsia="Arial" w:hAnsi="Verdana" w:cs="Arial"/>
          <w:spacing w:val="-3"/>
          <w:sz w:val="20"/>
          <w:szCs w:val="20"/>
        </w:rPr>
        <w:t>e</w:t>
      </w:r>
      <w:r w:rsidRPr="00315960">
        <w:rPr>
          <w:rFonts w:ascii="Verdana" w:eastAsia="Arial" w:hAnsi="Verdana" w:cs="Arial"/>
          <w:spacing w:val="1"/>
          <w:sz w:val="20"/>
          <w:szCs w:val="20"/>
        </w:rPr>
        <w:t>rna</w:t>
      </w:r>
      <w:r w:rsidRPr="00315960">
        <w:rPr>
          <w:rFonts w:ascii="Verdana" w:eastAsia="Arial" w:hAnsi="Verdana" w:cs="Arial"/>
          <w:spacing w:val="-5"/>
          <w:sz w:val="20"/>
          <w:szCs w:val="20"/>
        </w:rPr>
        <w:t>c</w:t>
      </w:r>
      <w:r w:rsidRPr="00315960">
        <w:rPr>
          <w:rFonts w:ascii="Verdana" w:eastAsia="Arial" w:hAnsi="Verdana" w:cs="Arial"/>
          <w:spacing w:val="4"/>
          <w:sz w:val="20"/>
          <w:szCs w:val="20"/>
        </w:rPr>
        <w:t>i</w:t>
      </w:r>
      <w:r w:rsidRPr="00315960">
        <w:rPr>
          <w:rFonts w:ascii="Verdana" w:eastAsia="Arial" w:hAnsi="Verdana" w:cs="Arial"/>
          <w:spacing w:val="1"/>
          <w:sz w:val="20"/>
          <w:szCs w:val="20"/>
        </w:rPr>
        <w:t>o</w:t>
      </w:r>
      <w:r w:rsidRPr="00315960">
        <w:rPr>
          <w:rFonts w:ascii="Verdana" w:eastAsia="Arial" w:hAnsi="Verdana" w:cs="Arial"/>
          <w:spacing w:val="-4"/>
          <w:sz w:val="20"/>
          <w:szCs w:val="20"/>
        </w:rPr>
        <w:t>n</w:t>
      </w:r>
      <w:r w:rsidRPr="00315960">
        <w:rPr>
          <w:rFonts w:ascii="Verdana" w:eastAsia="Arial" w:hAnsi="Verdana" w:cs="Arial"/>
          <w:spacing w:val="1"/>
          <w:sz w:val="20"/>
          <w:szCs w:val="20"/>
        </w:rPr>
        <w:t>a</w:t>
      </w:r>
      <w:r w:rsidRPr="00315960">
        <w:rPr>
          <w:rFonts w:ascii="Verdana" w:eastAsia="Arial" w:hAnsi="Verdana" w:cs="Arial"/>
          <w:sz w:val="20"/>
          <w:szCs w:val="20"/>
        </w:rPr>
        <w:t>l,</w:t>
      </w:r>
      <w:r>
        <w:rPr>
          <w:rFonts w:ascii="Verdana" w:eastAsia="Arial" w:hAnsi="Verdana" w:cs="Arial"/>
          <w:spacing w:val="18"/>
          <w:sz w:val="20"/>
          <w:szCs w:val="20"/>
        </w:rPr>
        <w:t xml:space="preserve"> </w:t>
      </w:r>
      <w:r w:rsidRPr="00315960">
        <w:rPr>
          <w:rFonts w:ascii="Verdana" w:eastAsia="Arial" w:hAnsi="Verdana" w:cs="Arial"/>
          <w:spacing w:val="-8"/>
          <w:sz w:val="20"/>
          <w:szCs w:val="20"/>
        </w:rPr>
        <w:t>m</w:t>
      </w:r>
      <w:r w:rsidRPr="00315960">
        <w:rPr>
          <w:rFonts w:ascii="Verdana" w:eastAsia="Arial" w:hAnsi="Verdana" w:cs="Arial"/>
          <w:spacing w:val="4"/>
          <w:sz w:val="20"/>
          <w:szCs w:val="20"/>
        </w:rPr>
        <w:t>i</w:t>
      </w:r>
      <w:r w:rsidRPr="00315960">
        <w:rPr>
          <w:rFonts w:ascii="Verdana" w:eastAsia="Arial" w:hAnsi="Verdana" w:cs="Arial"/>
          <w:spacing w:val="1"/>
          <w:sz w:val="20"/>
          <w:szCs w:val="20"/>
        </w:rPr>
        <w:t>gra</w:t>
      </w:r>
      <w:r w:rsidRPr="00315960">
        <w:rPr>
          <w:rFonts w:ascii="Verdana" w:eastAsia="Arial" w:hAnsi="Verdana" w:cs="Arial"/>
          <w:spacing w:val="-5"/>
          <w:sz w:val="20"/>
          <w:szCs w:val="20"/>
        </w:rPr>
        <w:t>c</w:t>
      </w:r>
      <w:r w:rsidRPr="00315960">
        <w:rPr>
          <w:rFonts w:ascii="Verdana" w:eastAsia="Arial" w:hAnsi="Verdana" w:cs="Arial"/>
          <w:spacing w:val="4"/>
          <w:sz w:val="20"/>
          <w:szCs w:val="20"/>
        </w:rPr>
        <w:t>i</w:t>
      </w:r>
      <w:r w:rsidRPr="00315960">
        <w:rPr>
          <w:rFonts w:ascii="Verdana" w:eastAsia="Arial" w:hAnsi="Verdana" w:cs="Arial"/>
          <w:spacing w:val="1"/>
          <w:sz w:val="20"/>
          <w:szCs w:val="20"/>
        </w:rPr>
        <w:t>o</w:t>
      </w:r>
      <w:r w:rsidRPr="00315960">
        <w:rPr>
          <w:rFonts w:ascii="Verdana" w:eastAsia="Arial" w:hAnsi="Verdana" w:cs="Arial"/>
          <w:spacing w:val="-4"/>
          <w:sz w:val="20"/>
          <w:szCs w:val="20"/>
        </w:rPr>
        <w:t>n</w:t>
      </w:r>
      <w:r w:rsidRPr="00315960">
        <w:rPr>
          <w:rFonts w:ascii="Verdana" w:eastAsia="Arial" w:hAnsi="Verdana" w:cs="Arial"/>
          <w:spacing w:val="1"/>
          <w:sz w:val="20"/>
          <w:szCs w:val="20"/>
        </w:rPr>
        <w:t>e</w:t>
      </w:r>
      <w:r w:rsidRPr="00315960">
        <w:rPr>
          <w:rFonts w:ascii="Verdana" w:eastAsia="Arial" w:hAnsi="Verdana" w:cs="Arial"/>
          <w:sz w:val="20"/>
          <w:szCs w:val="20"/>
        </w:rPr>
        <w:t xml:space="preserve">s, </w:t>
      </w:r>
      <w:r w:rsidRPr="00315960">
        <w:rPr>
          <w:rFonts w:ascii="Verdana" w:eastAsia="Arial" w:hAnsi="Verdana" w:cs="Arial"/>
          <w:spacing w:val="5"/>
          <w:sz w:val="20"/>
          <w:szCs w:val="20"/>
        </w:rPr>
        <w:t>i</w:t>
      </w:r>
      <w:r w:rsidRPr="00315960">
        <w:rPr>
          <w:rFonts w:ascii="Verdana" w:eastAsia="Arial" w:hAnsi="Verdana" w:cs="Arial"/>
          <w:spacing w:val="1"/>
          <w:sz w:val="20"/>
          <w:szCs w:val="20"/>
        </w:rPr>
        <w:t>n</w:t>
      </w:r>
      <w:r w:rsidRPr="00315960">
        <w:rPr>
          <w:rFonts w:ascii="Verdana" w:eastAsia="Arial" w:hAnsi="Verdana" w:cs="Arial"/>
          <w:sz w:val="20"/>
          <w:szCs w:val="20"/>
        </w:rPr>
        <w:t>t</w:t>
      </w:r>
      <w:r w:rsidRPr="00315960">
        <w:rPr>
          <w:rFonts w:ascii="Verdana" w:eastAsia="Arial" w:hAnsi="Verdana" w:cs="Arial"/>
          <w:spacing w:val="-3"/>
          <w:sz w:val="20"/>
          <w:szCs w:val="20"/>
        </w:rPr>
        <w:t>e</w:t>
      </w:r>
      <w:r w:rsidRPr="00315960">
        <w:rPr>
          <w:rFonts w:ascii="Verdana" w:eastAsia="Arial" w:hAnsi="Verdana" w:cs="Arial"/>
          <w:spacing w:val="1"/>
          <w:sz w:val="20"/>
          <w:szCs w:val="20"/>
        </w:rPr>
        <w:t>r</w:t>
      </w:r>
      <w:r w:rsidRPr="00315960">
        <w:rPr>
          <w:rFonts w:ascii="Verdana" w:eastAsia="Arial" w:hAnsi="Verdana" w:cs="Arial"/>
          <w:sz w:val="20"/>
          <w:szCs w:val="20"/>
        </w:rPr>
        <w:t>c</w:t>
      </w:r>
      <w:r w:rsidRPr="00315960">
        <w:rPr>
          <w:rFonts w:ascii="Verdana" w:eastAsia="Arial" w:hAnsi="Verdana" w:cs="Arial"/>
          <w:spacing w:val="-4"/>
          <w:sz w:val="20"/>
          <w:szCs w:val="20"/>
        </w:rPr>
        <w:t>u</w:t>
      </w:r>
      <w:r w:rsidRPr="00315960">
        <w:rPr>
          <w:rFonts w:ascii="Verdana" w:eastAsia="Arial" w:hAnsi="Verdana" w:cs="Arial"/>
          <w:spacing w:val="4"/>
          <w:sz w:val="20"/>
          <w:szCs w:val="20"/>
        </w:rPr>
        <w:t>l</w:t>
      </w:r>
      <w:r w:rsidRPr="00315960">
        <w:rPr>
          <w:rFonts w:ascii="Verdana" w:eastAsia="Arial" w:hAnsi="Verdana" w:cs="Arial"/>
          <w:sz w:val="20"/>
          <w:szCs w:val="20"/>
        </w:rPr>
        <w:t>t</w:t>
      </w:r>
      <w:r w:rsidRPr="00315960">
        <w:rPr>
          <w:rFonts w:ascii="Verdana" w:eastAsia="Arial" w:hAnsi="Verdana" w:cs="Arial"/>
          <w:spacing w:val="-3"/>
          <w:sz w:val="20"/>
          <w:szCs w:val="20"/>
        </w:rPr>
        <w:t>u</w:t>
      </w:r>
      <w:r w:rsidRPr="00315960">
        <w:rPr>
          <w:rFonts w:ascii="Verdana" w:eastAsia="Arial" w:hAnsi="Verdana" w:cs="Arial"/>
          <w:spacing w:val="1"/>
          <w:sz w:val="20"/>
          <w:szCs w:val="20"/>
        </w:rPr>
        <w:t>r</w:t>
      </w:r>
      <w:r w:rsidRPr="00315960">
        <w:rPr>
          <w:rFonts w:ascii="Verdana" w:eastAsia="Arial" w:hAnsi="Verdana" w:cs="Arial"/>
          <w:spacing w:val="-4"/>
          <w:sz w:val="20"/>
          <w:szCs w:val="20"/>
        </w:rPr>
        <w:t>a</w:t>
      </w:r>
      <w:r w:rsidRPr="00315960">
        <w:rPr>
          <w:rFonts w:ascii="Verdana" w:eastAsia="Arial" w:hAnsi="Verdana" w:cs="Arial"/>
          <w:spacing w:val="4"/>
          <w:sz w:val="20"/>
          <w:szCs w:val="20"/>
        </w:rPr>
        <w:t>l</w:t>
      </w:r>
      <w:r w:rsidRPr="00315960">
        <w:rPr>
          <w:rFonts w:ascii="Verdana" w:eastAsia="Arial" w:hAnsi="Verdana" w:cs="Arial"/>
          <w:sz w:val="20"/>
          <w:szCs w:val="20"/>
        </w:rPr>
        <w:t>id</w:t>
      </w:r>
      <w:r w:rsidRPr="00315960">
        <w:rPr>
          <w:rFonts w:ascii="Verdana" w:eastAsia="Arial" w:hAnsi="Verdana" w:cs="Arial"/>
          <w:spacing w:val="1"/>
          <w:sz w:val="20"/>
          <w:szCs w:val="20"/>
        </w:rPr>
        <w:t>a</w:t>
      </w:r>
      <w:r w:rsidRPr="00315960">
        <w:rPr>
          <w:rFonts w:ascii="Verdana" w:eastAsia="Arial" w:hAnsi="Verdana" w:cs="Arial"/>
          <w:sz w:val="20"/>
          <w:szCs w:val="20"/>
        </w:rPr>
        <w:t>d</w:t>
      </w:r>
      <w:r w:rsidRPr="00315960">
        <w:rPr>
          <w:rFonts w:ascii="Verdana" w:eastAsia="Arial" w:hAnsi="Verdana" w:cs="Arial"/>
          <w:spacing w:val="1"/>
          <w:sz w:val="20"/>
          <w:szCs w:val="20"/>
        </w:rPr>
        <w:t xml:space="preserve"> </w:t>
      </w:r>
      <w:r w:rsidRPr="00315960">
        <w:rPr>
          <w:rFonts w:ascii="Verdana" w:eastAsia="Arial" w:hAnsi="Verdana" w:cs="Arial"/>
          <w:sz w:val="20"/>
          <w:szCs w:val="20"/>
        </w:rPr>
        <w:t>y</w:t>
      </w:r>
      <w:r w:rsidRPr="00315960">
        <w:rPr>
          <w:rFonts w:ascii="Verdana" w:eastAsia="Arial" w:hAnsi="Verdana" w:cs="Arial"/>
          <w:spacing w:val="3"/>
          <w:sz w:val="20"/>
          <w:szCs w:val="20"/>
        </w:rPr>
        <w:t xml:space="preserve"> </w:t>
      </w:r>
      <w:r w:rsidRPr="00315960">
        <w:rPr>
          <w:rFonts w:ascii="Verdana" w:eastAsia="Arial" w:hAnsi="Verdana" w:cs="Arial"/>
          <w:spacing w:val="1"/>
          <w:sz w:val="20"/>
          <w:szCs w:val="20"/>
        </w:rPr>
        <w:t>de</w:t>
      </w:r>
      <w:r w:rsidRPr="00315960">
        <w:rPr>
          <w:rFonts w:ascii="Verdana" w:eastAsia="Arial" w:hAnsi="Verdana" w:cs="Arial"/>
          <w:spacing w:val="-5"/>
          <w:sz w:val="20"/>
          <w:szCs w:val="20"/>
        </w:rPr>
        <w:t>s</w:t>
      </w:r>
      <w:r w:rsidRPr="00315960">
        <w:rPr>
          <w:rFonts w:ascii="Verdana" w:eastAsia="Arial" w:hAnsi="Verdana" w:cs="Arial"/>
          <w:spacing w:val="1"/>
          <w:sz w:val="20"/>
          <w:szCs w:val="20"/>
        </w:rPr>
        <w:t>arr</w:t>
      </w:r>
      <w:r w:rsidRPr="00315960">
        <w:rPr>
          <w:rFonts w:ascii="Verdana" w:eastAsia="Arial" w:hAnsi="Verdana" w:cs="Arial"/>
          <w:spacing w:val="-4"/>
          <w:sz w:val="20"/>
          <w:szCs w:val="20"/>
        </w:rPr>
        <w:t>o</w:t>
      </w:r>
      <w:r w:rsidRPr="00315960">
        <w:rPr>
          <w:rFonts w:ascii="Verdana" w:eastAsia="Arial" w:hAnsi="Verdana" w:cs="Arial"/>
          <w:sz w:val="20"/>
          <w:szCs w:val="20"/>
        </w:rPr>
        <w:t>l</w:t>
      </w:r>
      <w:r w:rsidRPr="00315960">
        <w:rPr>
          <w:rFonts w:ascii="Verdana" w:eastAsia="Arial" w:hAnsi="Verdana" w:cs="Arial"/>
          <w:spacing w:val="4"/>
          <w:sz w:val="20"/>
          <w:szCs w:val="20"/>
        </w:rPr>
        <w:t>l</w:t>
      </w:r>
      <w:r w:rsidRPr="00315960">
        <w:rPr>
          <w:rFonts w:ascii="Verdana" w:eastAsia="Arial" w:hAnsi="Verdana" w:cs="Arial"/>
          <w:sz w:val="20"/>
          <w:szCs w:val="20"/>
        </w:rPr>
        <w:t>o</w:t>
      </w:r>
      <w:r w:rsidRPr="00315960">
        <w:rPr>
          <w:rFonts w:ascii="Verdana" w:eastAsia="Arial" w:hAnsi="Verdana" w:cs="Arial"/>
          <w:spacing w:val="-2"/>
          <w:sz w:val="20"/>
          <w:szCs w:val="20"/>
        </w:rPr>
        <w:t xml:space="preserve"> </w:t>
      </w:r>
      <w:r w:rsidRPr="00315960">
        <w:rPr>
          <w:rFonts w:ascii="Verdana" w:eastAsia="Arial" w:hAnsi="Verdana" w:cs="Arial"/>
          <w:spacing w:val="1"/>
          <w:sz w:val="20"/>
          <w:szCs w:val="20"/>
        </w:rPr>
        <w:t>hu</w:t>
      </w:r>
      <w:r w:rsidRPr="00315960">
        <w:rPr>
          <w:rFonts w:ascii="Verdana" w:eastAsia="Arial" w:hAnsi="Verdana" w:cs="Arial"/>
          <w:spacing w:val="-8"/>
          <w:sz w:val="20"/>
          <w:szCs w:val="20"/>
        </w:rPr>
        <w:t>m</w:t>
      </w:r>
      <w:r w:rsidRPr="00315960">
        <w:rPr>
          <w:rFonts w:ascii="Verdana" w:eastAsia="Arial" w:hAnsi="Verdana" w:cs="Arial"/>
          <w:spacing w:val="1"/>
          <w:sz w:val="20"/>
          <w:szCs w:val="20"/>
        </w:rPr>
        <w:t>an</w:t>
      </w:r>
      <w:r w:rsidRPr="00315960">
        <w:rPr>
          <w:rFonts w:ascii="Verdana" w:eastAsia="Arial" w:hAnsi="Verdana" w:cs="Arial"/>
          <w:spacing w:val="2"/>
          <w:sz w:val="20"/>
          <w:szCs w:val="20"/>
        </w:rPr>
        <w:t>o</w:t>
      </w:r>
      <w:r w:rsidRPr="00315960">
        <w:rPr>
          <w:rFonts w:ascii="Verdana" w:eastAsia="Arial" w:hAnsi="Verdana" w:cs="Arial"/>
          <w:sz w:val="20"/>
          <w:szCs w:val="20"/>
        </w:rPr>
        <w:t>, quién</w:t>
      </w:r>
      <w:r>
        <w:rPr>
          <w:rFonts w:ascii="Verdana" w:eastAsia="Arial" w:hAnsi="Verdana" w:cs="Arial"/>
          <w:sz w:val="20"/>
          <w:szCs w:val="20"/>
        </w:rPr>
        <w:t xml:space="preserve"> rendirá </w:t>
      </w:r>
      <w:r>
        <w:rPr>
          <w:rFonts w:ascii="Verdana" w:hAnsi="Verdana" w:cs="Verdana"/>
          <w:bCs/>
          <w:iCs/>
          <w:sz w:val="20"/>
          <w:szCs w:val="20"/>
        </w:rPr>
        <w:t>dictamen pericial</w:t>
      </w:r>
      <w:r w:rsidRPr="00315960">
        <w:rPr>
          <w:rFonts w:ascii="Verdana" w:eastAsia="Arial" w:hAnsi="Verdana" w:cs="Arial"/>
          <w:sz w:val="20"/>
          <w:szCs w:val="20"/>
        </w:rPr>
        <w:t xml:space="preserve"> s</w:t>
      </w:r>
      <w:r w:rsidRPr="00315960">
        <w:rPr>
          <w:rFonts w:ascii="Verdana" w:eastAsia="Arial" w:hAnsi="Verdana" w:cs="Arial"/>
          <w:spacing w:val="1"/>
          <w:sz w:val="20"/>
          <w:szCs w:val="20"/>
        </w:rPr>
        <w:t>obr</w:t>
      </w:r>
      <w:r w:rsidRPr="00315960">
        <w:rPr>
          <w:rFonts w:ascii="Verdana" w:eastAsia="Arial" w:hAnsi="Verdana" w:cs="Arial"/>
          <w:sz w:val="20"/>
          <w:szCs w:val="20"/>
        </w:rPr>
        <w:t>e:</w:t>
      </w:r>
    </w:p>
    <w:p w:rsidR="00332068" w:rsidRPr="00315960" w:rsidRDefault="00332068" w:rsidP="00332068">
      <w:pPr>
        <w:pStyle w:val="ListParagraph"/>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s>
        <w:ind w:left="1418"/>
        <w:jc w:val="both"/>
        <w:rPr>
          <w:rFonts w:ascii="Verdana" w:hAnsi="Verdana" w:cs="Verdana"/>
          <w:bCs/>
          <w:iCs/>
          <w:sz w:val="20"/>
          <w:szCs w:val="20"/>
        </w:rPr>
      </w:pPr>
    </w:p>
    <w:p w:rsidR="00332068" w:rsidRPr="00315960" w:rsidRDefault="00332068" w:rsidP="00332068">
      <w:pPr>
        <w:pStyle w:val="ListParagraph"/>
        <w:numPr>
          <w:ilvl w:val="0"/>
          <w:numId w:val="21"/>
        </w:numPr>
        <w:ind w:left="1440" w:hanging="22"/>
        <w:jc w:val="both"/>
        <w:rPr>
          <w:rFonts w:ascii="Verdana" w:hAnsi="Verdana" w:cs="Verdana"/>
          <w:bCs/>
          <w:iCs/>
          <w:sz w:val="20"/>
          <w:szCs w:val="20"/>
        </w:rPr>
      </w:pPr>
      <w:r w:rsidRPr="00315960">
        <w:rPr>
          <w:rFonts w:ascii="Verdana" w:eastAsia="Arial" w:hAnsi="Verdana" w:cs="Arial"/>
          <w:spacing w:val="4"/>
          <w:sz w:val="20"/>
          <w:szCs w:val="20"/>
        </w:rPr>
        <w:t>l</w:t>
      </w:r>
      <w:r w:rsidRPr="00315960">
        <w:rPr>
          <w:rFonts w:ascii="Verdana" w:eastAsia="Arial" w:hAnsi="Verdana" w:cs="Arial"/>
          <w:spacing w:val="1"/>
          <w:sz w:val="20"/>
          <w:szCs w:val="20"/>
        </w:rPr>
        <w:t>a</w:t>
      </w:r>
      <w:r w:rsidRPr="00315960">
        <w:rPr>
          <w:rFonts w:ascii="Verdana" w:eastAsia="Arial" w:hAnsi="Verdana" w:cs="Arial"/>
          <w:sz w:val="20"/>
          <w:szCs w:val="20"/>
        </w:rPr>
        <w:t xml:space="preserve">s </w:t>
      </w:r>
      <w:r w:rsidRPr="00315960">
        <w:rPr>
          <w:rFonts w:ascii="Verdana" w:eastAsia="Arial" w:hAnsi="Verdana" w:cs="Arial"/>
          <w:spacing w:val="1"/>
          <w:sz w:val="20"/>
          <w:szCs w:val="20"/>
        </w:rPr>
        <w:t>p</w:t>
      </w:r>
      <w:r w:rsidRPr="00315960">
        <w:rPr>
          <w:rFonts w:ascii="Verdana" w:eastAsia="Arial" w:hAnsi="Verdana" w:cs="Arial"/>
          <w:spacing w:val="-4"/>
          <w:sz w:val="20"/>
          <w:szCs w:val="20"/>
        </w:rPr>
        <w:t>o</w:t>
      </w:r>
      <w:r w:rsidRPr="00315960">
        <w:rPr>
          <w:rFonts w:ascii="Verdana" w:eastAsia="Arial" w:hAnsi="Verdana" w:cs="Arial"/>
          <w:spacing w:val="9"/>
          <w:sz w:val="20"/>
          <w:szCs w:val="20"/>
        </w:rPr>
        <w:t>l</w:t>
      </w:r>
      <w:r w:rsidRPr="00315960">
        <w:rPr>
          <w:rFonts w:ascii="Verdana" w:eastAsia="Arial" w:hAnsi="Verdana" w:cs="Arial"/>
          <w:sz w:val="20"/>
          <w:szCs w:val="20"/>
        </w:rPr>
        <w:t>í</w:t>
      </w:r>
      <w:r w:rsidRPr="00315960">
        <w:rPr>
          <w:rFonts w:ascii="Verdana" w:eastAsia="Arial" w:hAnsi="Verdana" w:cs="Arial"/>
          <w:spacing w:val="-4"/>
          <w:sz w:val="20"/>
          <w:szCs w:val="20"/>
        </w:rPr>
        <w:t>t</w:t>
      </w:r>
      <w:r w:rsidRPr="00315960">
        <w:rPr>
          <w:rFonts w:ascii="Verdana" w:eastAsia="Arial" w:hAnsi="Verdana" w:cs="Arial"/>
          <w:spacing w:val="4"/>
          <w:sz w:val="20"/>
          <w:szCs w:val="20"/>
        </w:rPr>
        <w:t>i</w:t>
      </w:r>
      <w:r w:rsidRPr="00315960">
        <w:rPr>
          <w:rFonts w:ascii="Verdana" w:eastAsia="Arial" w:hAnsi="Verdana" w:cs="Arial"/>
          <w:sz w:val="20"/>
          <w:szCs w:val="20"/>
        </w:rPr>
        <w:t>c</w:t>
      </w:r>
      <w:r w:rsidRPr="00315960">
        <w:rPr>
          <w:rFonts w:ascii="Verdana" w:eastAsia="Arial" w:hAnsi="Verdana" w:cs="Arial"/>
          <w:spacing w:val="1"/>
          <w:sz w:val="20"/>
          <w:szCs w:val="20"/>
        </w:rPr>
        <w:t>a</w:t>
      </w:r>
      <w:r w:rsidRPr="00315960">
        <w:rPr>
          <w:rFonts w:ascii="Verdana" w:eastAsia="Arial" w:hAnsi="Verdana" w:cs="Arial"/>
          <w:sz w:val="20"/>
          <w:szCs w:val="20"/>
        </w:rPr>
        <w:t>s</w:t>
      </w:r>
      <w:r w:rsidRPr="00315960">
        <w:rPr>
          <w:rFonts w:ascii="Verdana" w:eastAsia="Arial" w:hAnsi="Verdana" w:cs="Arial"/>
          <w:spacing w:val="-4"/>
          <w:sz w:val="20"/>
          <w:szCs w:val="20"/>
        </w:rPr>
        <w:t xml:space="preserve"> </w:t>
      </w:r>
      <w:r w:rsidRPr="00315960">
        <w:rPr>
          <w:rFonts w:ascii="Verdana" w:eastAsia="Arial" w:hAnsi="Verdana" w:cs="Arial"/>
          <w:spacing w:val="1"/>
          <w:sz w:val="20"/>
          <w:szCs w:val="20"/>
        </w:rPr>
        <w:t>adop</w:t>
      </w:r>
      <w:r w:rsidRPr="00315960">
        <w:rPr>
          <w:rFonts w:ascii="Verdana" w:eastAsia="Arial" w:hAnsi="Verdana" w:cs="Arial"/>
          <w:spacing w:val="-4"/>
          <w:sz w:val="20"/>
          <w:szCs w:val="20"/>
        </w:rPr>
        <w:t>t</w:t>
      </w:r>
      <w:r w:rsidRPr="00315960">
        <w:rPr>
          <w:rFonts w:ascii="Verdana" w:eastAsia="Arial" w:hAnsi="Verdana" w:cs="Arial"/>
          <w:spacing w:val="1"/>
          <w:sz w:val="20"/>
          <w:szCs w:val="20"/>
        </w:rPr>
        <w:t>ada</w:t>
      </w:r>
      <w:r w:rsidRPr="00315960">
        <w:rPr>
          <w:rFonts w:ascii="Verdana" w:eastAsia="Arial" w:hAnsi="Verdana" w:cs="Arial"/>
          <w:sz w:val="20"/>
          <w:szCs w:val="20"/>
        </w:rPr>
        <w:t xml:space="preserve">s </w:t>
      </w:r>
      <w:r w:rsidRPr="00315960">
        <w:rPr>
          <w:rFonts w:ascii="Verdana" w:eastAsia="Arial" w:hAnsi="Verdana" w:cs="Arial"/>
          <w:spacing w:val="1"/>
          <w:sz w:val="20"/>
          <w:szCs w:val="20"/>
        </w:rPr>
        <w:t>p</w:t>
      </w:r>
      <w:r w:rsidRPr="00315960">
        <w:rPr>
          <w:rFonts w:ascii="Verdana" w:eastAsia="Arial" w:hAnsi="Verdana" w:cs="Arial"/>
          <w:spacing w:val="-4"/>
          <w:sz w:val="20"/>
          <w:szCs w:val="20"/>
        </w:rPr>
        <w:t>o</w:t>
      </w:r>
      <w:r w:rsidRPr="00315960">
        <w:rPr>
          <w:rFonts w:ascii="Verdana" w:eastAsia="Arial" w:hAnsi="Verdana" w:cs="Arial"/>
          <w:sz w:val="20"/>
          <w:szCs w:val="20"/>
        </w:rPr>
        <w:t xml:space="preserve">r </w:t>
      </w:r>
      <w:r w:rsidRPr="00315960">
        <w:rPr>
          <w:rFonts w:ascii="Verdana" w:eastAsia="Arial" w:hAnsi="Verdana" w:cs="Arial"/>
          <w:spacing w:val="1"/>
          <w:sz w:val="20"/>
          <w:szCs w:val="20"/>
        </w:rPr>
        <w:t>e</w:t>
      </w:r>
      <w:r w:rsidRPr="00315960">
        <w:rPr>
          <w:rFonts w:ascii="Verdana" w:eastAsia="Arial" w:hAnsi="Verdana" w:cs="Arial"/>
          <w:sz w:val="20"/>
          <w:szCs w:val="20"/>
        </w:rPr>
        <w:t>l</w:t>
      </w:r>
      <w:r w:rsidRPr="00315960">
        <w:rPr>
          <w:rFonts w:ascii="Verdana" w:eastAsia="Arial" w:hAnsi="Verdana" w:cs="Arial"/>
          <w:spacing w:val="9"/>
          <w:sz w:val="20"/>
          <w:szCs w:val="20"/>
        </w:rPr>
        <w:t xml:space="preserve"> </w:t>
      </w:r>
      <w:r w:rsidRPr="00315960">
        <w:rPr>
          <w:rFonts w:ascii="Verdana" w:eastAsia="Arial" w:hAnsi="Verdana" w:cs="Arial"/>
          <w:spacing w:val="-2"/>
          <w:sz w:val="20"/>
          <w:szCs w:val="20"/>
        </w:rPr>
        <w:t>E</w:t>
      </w:r>
      <w:r w:rsidRPr="00315960">
        <w:rPr>
          <w:rFonts w:ascii="Verdana" w:eastAsia="Arial" w:hAnsi="Verdana" w:cs="Arial"/>
          <w:sz w:val="20"/>
          <w:szCs w:val="20"/>
        </w:rPr>
        <w:t>st</w:t>
      </w:r>
      <w:r w:rsidRPr="00315960">
        <w:rPr>
          <w:rFonts w:ascii="Verdana" w:eastAsia="Arial" w:hAnsi="Verdana" w:cs="Arial"/>
          <w:spacing w:val="-3"/>
          <w:sz w:val="20"/>
          <w:szCs w:val="20"/>
        </w:rPr>
        <w:t>a</w:t>
      </w:r>
      <w:r w:rsidRPr="00315960">
        <w:rPr>
          <w:rFonts w:ascii="Verdana" w:eastAsia="Arial" w:hAnsi="Verdana" w:cs="Arial"/>
          <w:spacing w:val="1"/>
          <w:sz w:val="20"/>
          <w:szCs w:val="20"/>
        </w:rPr>
        <w:t>d</w:t>
      </w:r>
      <w:r w:rsidRPr="00315960">
        <w:rPr>
          <w:rFonts w:ascii="Verdana" w:eastAsia="Arial" w:hAnsi="Verdana" w:cs="Arial"/>
          <w:sz w:val="20"/>
          <w:szCs w:val="20"/>
        </w:rPr>
        <w:t>o</w:t>
      </w:r>
      <w:r w:rsidRPr="00315960">
        <w:rPr>
          <w:rFonts w:ascii="Verdana" w:eastAsia="Arial" w:hAnsi="Verdana" w:cs="Arial"/>
          <w:spacing w:val="6"/>
          <w:sz w:val="20"/>
          <w:szCs w:val="20"/>
        </w:rPr>
        <w:t xml:space="preserve"> </w:t>
      </w:r>
      <w:r w:rsidRPr="00315960">
        <w:rPr>
          <w:rFonts w:ascii="Verdana" w:eastAsia="Arial" w:hAnsi="Verdana" w:cs="Arial"/>
          <w:spacing w:val="1"/>
          <w:sz w:val="20"/>
          <w:szCs w:val="20"/>
        </w:rPr>
        <w:t>do</w:t>
      </w:r>
      <w:r w:rsidRPr="00315960">
        <w:rPr>
          <w:rFonts w:ascii="Verdana" w:eastAsia="Arial" w:hAnsi="Verdana" w:cs="Arial"/>
          <w:spacing w:val="-8"/>
          <w:sz w:val="20"/>
          <w:szCs w:val="20"/>
        </w:rPr>
        <w:t>m</w:t>
      </w:r>
      <w:r w:rsidRPr="00315960">
        <w:rPr>
          <w:rFonts w:ascii="Verdana" w:eastAsia="Arial" w:hAnsi="Verdana" w:cs="Arial"/>
          <w:spacing w:val="4"/>
          <w:sz w:val="20"/>
          <w:szCs w:val="20"/>
        </w:rPr>
        <w:t>i</w:t>
      </w:r>
      <w:r w:rsidRPr="00315960">
        <w:rPr>
          <w:rFonts w:ascii="Verdana" w:eastAsia="Arial" w:hAnsi="Verdana" w:cs="Arial"/>
          <w:spacing w:val="-4"/>
          <w:sz w:val="20"/>
          <w:szCs w:val="20"/>
        </w:rPr>
        <w:t>n</w:t>
      </w:r>
      <w:r w:rsidRPr="00315960">
        <w:rPr>
          <w:rFonts w:ascii="Verdana" w:eastAsia="Arial" w:hAnsi="Verdana" w:cs="Arial"/>
          <w:spacing w:val="4"/>
          <w:sz w:val="20"/>
          <w:szCs w:val="20"/>
        </w:rPr>
        <w:t>i</w:t>
      </w:r>
      <w:r w:rsidRPr="00315960">
        <w:rPr>
          <w:rFonts w:ascii="Verdana" w:eastAsia="Arial" w:hAnsi="Verdana" w:cs="Arial"/>
          <w:sz w:val="20"/>
          <w:szCs w:val="20"/>
        </w:rPr>
        <w:t>c</w:t>
      </w:r>
      <w:r w:rsidRPr="00315960">
        <w:rPr>
          <w:rFonts w:ascii="Verdana" w:eastAsia="Arial" w:hAnsi="Verdana" w:cs="Arial"/>
          <w:spacing w:val="1"/>
          <w:sz w:val="20"/>
          <w:szCs w:val="20"/>
        </w:rPr>
        <w:t>an</w:t>
      </w:r>
      <w:r w:rsidRPr="00315960">
        <w:rPr>
          <w:rFonts w:ascii="Verdana" w:eastAsia="Arial" w:hAnsi="Verdana" w:cs="Arial"/>
          <w:sz w:val="20"/>
          <w:szCs w:val="20"/>
        </w:rPr>
        <w:t>o</w:t>
      </w:r>
      <w:r w:rsidRPr="00315960">
        <w:rPr>
          <w:rFonts w:ascii="Verdana" w:eastAsia="Arial" w:hAnsi="Verdana" w:cs="Arial"/>
          <w:spacing w:val="1"/>
          <w:sz w:val="20"/>
          <w:szCs w:val="20"/>
        </w:rPr>
        <w:t xml:space="preserve"> par</w:t>
      </w:r>
      <w:r w:rsidRPr="00315960">
        <w:rPr>
          <w:rFonts w:ascii="Verdana" w:eastAsia="Arial" w:hAnsi="Verdana" w:cs="Arial"/>
          <w:sz w:val="20"/>
          <w:szCs w:val="20"/>
        </w:rPr>
        <w:t>a</w:t>
      </w:r>
      <w:r w:rsidRPr="00315960">
        <w:rPr>
          <w:rFonts w:ascii="Verdana" w:eastAsia="Arial" w:hAnsi="Verdana" w:cs="Arial"/>
          <w:spacing w:val="1"/>
          <w:sz w:val="20"/>
          <w:szCs w:val="20"/>
        </w:rPr>
        <w:t xml:space="preserve"> ha</w:t>
      </w:r>
      <w:r w:rsidRPr="00315960">
        <w:rPr>
          <w:rFonts w:ascii="Verdana" w:eastAsia="Arial" w:hAnsi="Verdana" w:cs="Arial"/>
          <w:sz w:val="20"/>
          <w:szCs w:val="20"/>
        </w:rPr>
        <w:t>c</w:t>
      </w:r>
      <w:r w:rsidRPr="00315960">
        <w:rPr>
          <w:rFonts w:ascii="Verdana" w:eastAsia="Arial" w:hAnsi="Verdana" w:cs="Arial"/>
          <w:spacing w:val="-4"/>
          <w:sz w:val="20"/>
          <w:szCs w:val="20"/>
        </w:rPr>
        <w:t>e</w:t>
      </w:r>
      <w:r w:rsidRPr="00315960">
        <w:rPr>
          <w:rFonts w:ascii="Verdana" w:eastAsia="Arial" w:hAnsi="Verdana" w:cs="Arial"/>
          <w:sz w:val="20"/>
          <w:szCs w:val="20"/>
        </w:rPr>
        <w:t>r</w:t>
      </w:r>
      <w:r w:rsidRPr="00315960">
        <w:rPr>
          <w:rFonts w:ascii="Verdana" w:eastAsia="Arial" w:hAnsi="Verdana" w:cs="Arial"/>
          <w:spacing w:val="6"/>
          <w:sz w:val="20"/>
          <w:szCs w:val="20"/>
        </w:rPr>
        <w:t xml:space="preserve"> </w:t>
      </w:r>
      <w:r w:rsidRPr="00315960">
        <w:rPr>
          <w:rFonts w:ascii="Verdana" w:eastAsia="Arial" w:hAnsi="Verdana" w:cs="Arial"/>
          <w:sz w:val="20"/>
          <w:szCs w:val="20"/>
        </w:rPr>
        <w:t>f</w:t>
      </w:r>
      <w:r w:rsidRPr="00315960">
        <w:rPr>
          <w:rFonts w:ascii="Verdana" w:eastAsia="Arial" w:hAnsi="Verdana" w:cs="Arial"/>
          <w:spacing w:val="-3"/>
          <w:sz w:val="20"/>
          <w:szCs w:val="20"/>
        </w:rPr>
        <w:t>r</w:t>
      </w:r>
      <w:r w:rsidRPr="00315960">
        <w:rPr>
          <w:rFonts w:ascii="Verdana" w:eastAsia="Arial" w:hAnsi="Verdana" w:cs="Arial"/>
          <w:spacing w:val="1"/>
          <w:sz w:val="20"/>
          <w:szCs w:val="20"/>
        </w:rPr>
        <w:t>en</w:t>
      </w:r>
      <w:r w:rsidRPr="00315960">
        <w:rPr>
          <w:rFonts w:ascii="Verdana" w:eastAsia="Arial" w:hAnsi="Verdana" w:cs="Arial"/>
          <w:sz w:val="20"/>
          <w:szCs w:val="20"/>
        </w:rPr>
        <w:t>te</w:t>
      </w:r>
      <w:r w:rsidRPr="00315960">
        <w:rPr>
          <w:rFonts w:ascii="Verdana" w:eastAsia="Arial" w:hAnsi="Verdana" w:cs="Arial"/>
          <w:spacing w:val="1"/>
          <w:sz w:val="20"/>
          <w:szCs w:val="20"/>
        </w:rPr>
        <w:t xml:space="preserve"> </w:t>
      </w:r>
      <w:r w:rsidRPr="00315960">
        <w:rPr>
          <w:rFonts w:ascii="Verdana" w:eastAsia="Arial" w:hAnsi="Verdana" w:cs="Arial"/>
          <w:sz w:val="20"/>
          <w:szCs w:val="20"/>
        </w:rPr>
        <w:t>a</w:t>
      </w:r>
      <w:r w:rsidRPr="00315960">
        <w:rPr>
          <w:rFonts w:ascii="Verdana" w:eastAsia="Arial" w:hAnsi="Verdana" w:cs="Arial"/>
          <w:spacing w:val="1"/>
          <w:sz w:val="20"/>
          <w:szCs w:val="20"/>
        </w:rPr>
        <w:t xml:space="preserve"> </w:t>
      </w:r>
      <w:r w:rsidRPr="00315960">
        <w:rPr>
          <w:rFonts w:ascii="Verdana" w:eastAsia="Arial" w:hAnsi="Verdana" w:cs="Arial"/>
          <w:spacing w:val="4"/>
          <w:sz w:val="20"/>
          <w:szCs w:val="20"/>
        </w:rPr>
        <w:t>l</w:t>
      </w:r>
      <w:r w:rsidRPr="00315960">
        <w:rPr>
          <w:rFonts w:ascii="Verdana" w:eastAsia="Arial" w:hAnsi="Verdana" w:cs="Arial"/>
          <w:sz w:val="20"/>
          <w:szCs w:val="20"/>
        </w:rPr>
        <w:t>a</w:t>
      </w:r>
      <w:r w:rsidRPr="00315960">
        <w:rPr>
          <w:rFonts w:ascii="Verdana" w:eastAsia="Arial" w:hAnsi="Verdana" w:cs="Arial"/>
          <w:spacing w:val="1"/>
          <w:sz w:val="20"/>
          <w:szCs w:val="20"/>
        </w:rPr>
        <w:t xml:space="preserve"> </w:t>
      </w:r>
      <w:r w:rsidRPr="00315960">
        <w:rPr>
          <w:rFonts w:ascii="Verdana" w:eastAsia="Arial" w:hAnsi="Verdana" w:cs="Arial"/>
          <w:spacing w:val="-8"/>
          <w:sz w:val="20"/>
          <w:szCs w:val="20"/>
        </w:rPr>
        <w:t>m</w:t>
      </w:r>
      <w:r w:rsidRPr="00315960">
        <w:rPr>
          <w:rFonts w:ascii="Verdana" w:eastAsia="Arial" w:hAnsi="Verdana" w:cs="Arial"/>
          <w:spacing w:val="4"/>
          <w:sz w:val="20"/>
          <w:szCs w:val="20"/>
        </w:rPr>
        <w:t>i</w:t>
      </w:r>
      <w:r w:rsidRPr="00315960">
        <w:rPr>
          <w:rFonts w:ascii="Verdana" w:eastAsia="Arial" w:hAnsi="Verdana" w:cs="Arial"/>
          <w:spacing w:val="1"/>
          <w:sz w:val="20"/>
          <w:szCs w:val="20"/>
        </w:rPr>
        <w:t>gra</w:t>
      </w:r>
      <w:r w:rsidRPr="00315960">
        <w:rPr>
          <w:rFonts w:ascii="Verdana" w:eastAsia="Arial" w:hAnsi="Verdana" w:cs="Arial"/>
          <w:sz w:val="20"/>
          <w:szCs w:val="20"/>
        </w:rPr>
        <w:t>c</w:t>
      </w:r>
      <w:r w:rsidRPr="00315960">
        <w:rPr>
          <w:rFonts w:ascii="Verdana" w:eastAsia="Arial" w:hAnsi="Verdana" w:cs="Arial"/>
          <w:spacing w:val="4"/>
          <w:sz w:val="20"/>
          <w:szCs w:val="20"/>
        </w:rPr>
        <w:t>i</w:t>
      </w:r>
      <w:r w:rsidRPr="00315960">
        <w:rPr>
          <w:rFonts w:ascii="Verdana" w:eastAsia="Arial" w:hAnsi="Verdana" w:cs="Arial"/>
          <w:spacing w:val="-4"/>
          <w:sz w:val="20"/>
          <w:szCs w:val="20"/>
        </w:rPr>
        <w:t>ó</w:t>
      </w:r>
      <w:r w:rsidRPr="00315960">
        <w:rPr>
          <w:rFonts w:ascii="Verdana" w:eastAsia="Arial" w:hAnsi="Verdana" w:cs="Arial"/>
          <w:sz w:val="20"/>
          <w:szCs w:val="20"/>
        </w:rPr>
        <w:t>n</w:t>
      </w:r>
      <w:r w:rsidRPr="00315960">
        <w:rPr>
          <w:rFonts w:ascii="Verdana" w:eastAsia="Arial" w:hAnsi="Verdana" w:cs="Arial"/>
          <w:spacing w:val="6"/>
          <w:sz w:val="20"/>
          <w:szCs w:val="20"/>
        </w:rPr>
        <w:t xml:space="preserve"> </w:t>
      </w:r>
      <w:r w:rsidRPr="00315960">
        <w:rPr>
          <w:rFonts w:ascii="Verdana" w:eastAsia="Arial" w:hAnsi="Verdana" w:cs="Arial"/>
          <w:spacing w:val="1"/>
          <w:sz w:val="20"/>
          <w:szCs w:val="20"/>
        </w:rPr>
        <w:t>h</w:t>
      </w:r>
      <w:r w:rsidRPr="00315960">
        <w:rPr>
          <w:rFonts w:ascii="Verdana" w:eastAsia="Arial" w:hAnsi="Verdana" w:cs="Arial"/>
          <w:spacing w:val="-4"/>
          <w:sz w:val="20"/>
          <w:szCs w:val="20"/>
        </w:rPr>
        <w:t>a</w:t>
      </w:r>
      <w:r w:rsidRPr="00315960">
        <w:rPr>
          <w:rFonts w:ascii="Verdana" w:eastAsia="Arial" w:hAnsi="Verdana" w:cs="Arial"/>
          <w:spacing w:val="4"/>
          <w:sz w:val="20"/>
          <w:szCs w:val="20"/>
        </w:rPr>
        <w:t>i</w:t>
      </w:r>
      <w:r w:rsidRPr="00315960">
        <w:rPr>
          <w:rFonts w:ascii="Verdana" w:eastAsia="Arial" w:hAnsi="Verdana" w:cs="Arial"/>
          <w:spacing w:val="-4"/>
          <w:sz w:val="20"/>
          <w:szCs w:val="20"/>
        </w:rPr>
        <w:t>t</w:t>
      </w:r>
      <w:r w:rsidRPr="00315960">
        <w:rPr>
          <w:rFonts w:ascii="Verdana" w:eastAsia="Arial" w:hAnsi="Verdana" w:cs="Arial"/>
          <w:spacing w:val="4"/>
          <w:sz w:val="20"/>
          <w:szCs w:val="20"/>
        </w:rPr>
        <w:t>i</w:t>
      </w:r>
      <w:r w:rsidRPr="00315960">
        <w:rPr>
          <w:rFonts w:ascii="Verdana" w:eastAsia="Arial" w:hAnsi="Verdana" w:cs="Arial"/>
          <w:spacing w:val="1"/>
          <w:sz w:val="20"/>
          <w:szCs w:val="20"/>
        </w:rPr>
        <w:t>a</w:t>
      </w:r>
      <w:r w:rsidRPr="00315960">
        <w:rPr>
          <w:rFonts w:ascii="Verdana" w:eastAsia="Arial" w:hAnsi="Verdana" w:cs="Arial"/>
          <w:spacing w:val="-4"/>
          <w:sz w:val="20"/>
          <w:szCs w:val="20"/>
        </w:rPr>
        <w:t>n</w:t>
      </w:r>
      <w:r w:rsidRPr="00315960">
        <w:rPr>
          <w:rFonts w:ascii="Verdana" w:eastAsia="Arial" w:hAnsi="Verdana" w:cs="Arial"/>
          <w:sz w:val="20"/>
          <w:szCs w:val="20"/>
        </w:rPr>
        <w:t>a</w:t>
      </w:r>
      <w:r w:rsidRPr="00315960">
        <w:rPr>
          <w:rFonts w:ascii="Verdana" w:eastAsia="Arial" w:hAnsi="Verdana" w:cs="Arial"/>
          <w:spacing w:val="6"/>
          <w:sz w:val="20"/>
          <w:szCs w:val="20"/>
        </w:rPr>
        <w:t xml:space="preserve"> </w:t>
      </w:r>
      <w:r w:rsidRPr="00315960">
        <w:rPr>
          <w:rFonts w:ascii="Verdana" w:eastAsia="Arial" w:hAnsi="Verdana" w:cs="Arial"/>
          <w:sz w:val="20"/>
          <w:szCs w:val="20"/>
        </w:rPr>
        <w:t>y</w:t>
      </w:r>
      <w:r w:rsidRPr="00315960">
        <w:rPr>
          <w:rFonts w:ascii="Verdana" w:eastAsia="Arial" w:hAnsi="Verdana" w:cs="Arial"/>
          <w:spacing w:val="5"/>
          <w:sz w:val="20"/>
          <w:szCs w:val="20"/>
        </w:rPr>
        <w:t xml:space="preserve"> </w:t>
      </w:r>
      <w:r w:rsidRPr="00315960">
        <w:rPr>
          <w:rFonts w:ascii="Verdana" w:eastAsia="Arial" w:hAnsi="Verdana" w:cs="Arial"/>
          <w:sz w:val="20"/>
          <w:szCs w:val="20"/>
        </w:rPr>
        <w:t>s</w:t>
      </w:r>
      <w:r w:rsidRPr="00315960">
        <w:rPr>
          <w:rFonts w:ascii="Verdana" w:eastAsia="Arial" w:hAnsi="Verdana" w:cs="Arial"/>
          <w:spacing w:val="1"/>
          <w:sz w:val="20"/>
          <w:szCs w:val="20"/>
        </w:rPr>
        <w:t>u</w:t>
      </w:r>
      <w:r w:rsidRPr="00315960">
        <w:rPr>
          <w:rFonts w:ascii="Verdana" w:eastAsia="Arial" w:hAnsi="Verdana" w:cs="Arial"/>
          <w:sz w:val="20"/>
          <w:szCs w:val="20"/>
        </w:rPr>
        <w:t xml:space="preserve">s </w:t>
      </w:r>
      <w:r w:rsidRPr="00315960">
        <w:rPr>
          <w:rFonts w:ascii="Verdana" w:eastAsia="Arial" w:hAnsi="Verdana" w:cs="Arial"/>
          <w:spacing w:val="1"/>
          <w:sz w:val="20"/>
          <w:szCs w:val="20"/>
        </w:rPr>
        <w:t>e</w:t>
      </w:r>
      <w:r w:rsidRPr="00315960">
        <w:rPr>
          <w:rFonts w:ascii="Verdana" w:eastAsia="Arial" w:hAnsi="Verdana" w:cs="Arial"/>
          <w:sz w:val="20"/>
          <w:szCs w:val="20"/>
        </w:rPr>
        <w:t>f</w:t>
      </w:r>
      <w:r w:rsidRPr="00315960">
        <w:rPr>
          <w:rFonts w:ascii="Verdana" w:eastAsia="Arial" w:hAnsi="Verdana" w:cs="Arial"/>
          <w:spacing w:val="1"/>
          <w:sz w:val="20"/>
          <w:szCs w:val="20"/>
        </w:rPr>
        <w:t>e</w:t>
      </w:r>
      <w:r w:rsidRPr="00315960">
        <w:rPr>
          <w:rFonts w:ascii="Verdana" w:eastAsia="Arial" w:hAnsi="Verdana" w:cs="Arial"/>
          <w:sz w:val="20"/>
          <w:szCs w:val="20"/>
        </w:rPr>
        <w:t>ct</w:t>
      </w:r>
      <w:r w:rsidRPr="00315960">
        <w:rPr>
          <w:rFonts w:ascii="Verdana" w:eastAsia="Arial" w:hAnsi="Verdana" w:cs="Arial"/>
          <w:spacing w:val="1"/>
          <w:sz w:val="20"/>
          <w:szCs w:val="20"/>
        </w:rPr>
        <w:t>o</w:t>
      </w:r>
      <w:r w:rsidRPr="00315960">
        <w:rPr>
          <w:rFonts w:ascii="Verdana" w:eastAsia="Arial" w:hAnsi="Verdana" w:cs="Arial"/>
          <w:sz w:val="20"/>
          <w:szCs w:val="20"/>
        </w:rPr>
        <w:t xml:space="preserve">s </w:t>
      </w:r>
      <w:r w:rsidRPr="00315960">
        <w:rPr>
          <w:rFonts w:ascii="Verdana" w:eastAsia="Arial" w:hAnsi="Verdana" w:cs="Arial"/>
          <w:spacing w:val="1"/>
          <w:sz w:val="20"/>
          <w:szCs w:val="20"/>
        </w:rPr>
        <w:t>e</w:t>
      </w:r>
      <w:r w:rsidRPr="00315960">
        <w:rPr>
          <w:rFonts w:ascii="Verdana" w:eastAsia="Arial" w:hAnsi="Verdana" w:cs="Arial"/>
          <w:sz w:val="20"/>
          <w:szCs w:val="20"/>
        </w:rPr>
        <w:t>n</w:t>
      </w:r>
      <w:r w:rsidRPr="00315960">
        <w:rPr>
          <w:rFonts w:ascii="Verdana" w:eastAsia="Arial" w:hAnsi="Verdana" w:cs="Arial"/>
          <w:spacing w:val="1"/>
          <w:sz w:val="20"/>
          <w:szCs w:val="20"/>
        </w:rPr>
        <w:t xml:space="preserve"> </w:t>
      </w:r>
      <w:r w:rsidRPr="00315960">
        <w:rPr>
          <w:rFonts w:ascii="Verdana" w:eastAsia="Arial" w:hAnsi="Verdana" w:cs="Arial"/>
          <w:spacing w:val="4"/>
          <w:sz w:val="20"/>
          <w:szCs w:val="20"/>
        </w:rPr>
        <w:t>l</w:t>
      </w:r>
      <w:r w:rsidRPr="00315960">
        <w:rPr>
          <w:rFonts w:ascii="Verdana" w:eastAsia="Arial" w:hAnsi="Verdana" w:cs="Arial"/>
          <w:spacing w:val="1"/>
          <w:sz w:val="20"/>
          <w:szCs w:val="20"/>
        </w:rPr>
        <w:t>o</w:t>
      </w:r>
      <w:r w:rsidRPr="00315960">
        <w:rPr>
          <w:rFonts w:ascii="Verdana" w:eastAsia="Arial" w:hAnsi="Verdana" w:cs="Arial"/>
          <w:sz w:val="20"/>
          <w:szCs w:val="20"/>
        </w:rPr>
        <w:t xml:space="preserve">s </w:t>
      </w:r>
      <w:r w:rsidRPr="00315960">
        <w:rPr>
          <w:rFonts w:ascii="Verdana" w:eastAsia="Arial" w:hAnsi="Verdana" w:cs="Arial"/>
          <w:spacing w:val="1"/>
          <w:sz w:val="20"/>
          <w:szCs w:val="20"/>
        </w:rPr>
        <w:t>dere</w:t>
      </w:r>
      <w:r w:rsidRPr="00315960">
        <w:rPr>
          <w:rFonts w:ascii="Verdana" w:eastAsia="Arial" w:hAnsi="Verdana" w:cs="Arial"/>
          <w:sz w:val="20"/>
          <w:szCs w:val="20"/>
        </w:rPr>
        <w:t>c</w:t>
      </w:r>
      <w:r w:rsidRPr="00315960">
        <w:rPr>
          <w:rFonts w:ascii="Verdana" w:eastAsia="Arial" w:hAnsi="Verdana" w:cs="Arial"/>
          <w:spacing w:val="1"/>
          <w:sz w:val="20"/>
          <w:szCs w:val="20"/>
        </w:rPr>
        <w:t>ho</w:t>
      </w:r>
      <w:r w:rsidRPr="00315960">
        <w:rPr>
          <w:rFonts w:ascii="Verdana" w:eastAsia="Arial" w:hAnsi="Verdana" w:cs="Arial"/>
          <w:sz w:val="20"/>
          <w:szCs w:val="20"/>
        </w:rPr>
        <w:t xml:space="preserve">s </w:t>
      </w:r>
      <w:r w:rsidRPr="00315960">
        <w:rPr>
          <w:rFonts w:ascii="Verdana" w:eastAsia="Arial" w:hAnsi="Verdana" w:cs="Arial"/>
          <w:spacing w:val="1"/>
          <w:sz w:val="20"/>
          <w:szCs w:val="20"/>
        </w:rPr>
        <w:t>d</w:t>
      </w:r>
      <w:r w:rsidRPr="00315960">
        <w:rPr>
          <w:rFonts w:ascii="Verdana" w:eastAsia="Arial" w:hAnsi="Verdana" w:cs="Arial"/>
          <w:sz w:val="20"/>
          <w:szCs w:val="20"/>
        </w:rPr>
        <w:t xml:space="preserve">e </w:t>
      </w:r>
      <w:r w:rsidRPr="00315960">
        <w:rPr>
          <w:rFonts w:ascii="Verdana" w:eastAsia="Arial" w:hAnsi="Verdana" w:cs="Arial"/>
          <w:spacing w:val="4"/>
          <w:sz w:val="20"/>
          <w:szCs w:val="20"/>
        </w:rPr>
        <w:t>l</w:t>
      </w:r>
      <w:r w:rsidRPr="00315960">
        <w:rPr>
          <w:rFonts w:ascii="Verdana" w:eastAsia="Arial" w:hAnsi="Verdana" w:cs="Arial"/>
          <w:spacing w:val="1"/>
          <w:sz w:val="20"/>
          <w:szCs w:val="20"/>
        </w:rPr>
        <w:t>a</w:t>
      </w:r>
      <w:r w:rsidRPr="00315960">
        <w:rPr>
          <w:rFonts w:ascii="Verdana" w:eastAsia="Arial" w:hAnsi="Verdana" w:cs="Arial"/>
          <w:sz w:val="20"/>
          <w:szCs w:val="20"/>
        </w:rPr>
        <w:t>s</w:t>
      </w:r>
      <w:r w:rsidRPr="00315960">
        <w:rPr>
          <w:rFonts w:ascii="Verdana" w:eastAsia="Arial" w:hAnsi="Verdana" w:cs="Arial"/>
          <w:spacing w:val="5"/>
          <w:sz w:val="20"/>
          <w:szCs w:val="20"/>
        </w:rPr>
        <w:t xml:space="preserve"> </w:t>
      </w:r>
      <w:r w:rsidRPr="00315960">
        <w:rPr>
          <w:rFonts w:ascii="Verdana" w:eastAsia="Arial" w:hAnsi="Verdana" w:cs="Arial"/>
          <w:spacing w:val="-4"/>
          <w:sz w:val="20"/>
          <w:szCs w:val="20"/>
        </w:rPr>
        <w:t>p</w:t>
      </w:r>
      <w:r w:rsidRPr="00315960">
        <w:rPr>
          <w:rFonts w:ascii="Verdana" w:eastAsia="Arial" w:hAnsi="Verdana" w:cs="Arial"/>
          <w:spacing w:val="1"/>
          <w:sz w:val="20"/>
          <w:szCs w:val="20"/>
        </w:rPr>
        <w:t>er</w:t>
      </w:r>
      <w:r w:rsidRPr="00315960">
        <w:rPr>
          <w:rFonts w:ascii="Verdana" w:eastAsia="Arial" w:hAnsi="Verdana" w:cs="Arial"/>
          <w:sz w:val="20"/>
          <w:szCs w:val="20"/>
        </w:rPr>
        <w:t>s</w:t>
      </w:r>
      <w:r w:rsidRPr="00315960">
        <w:rPr>
          <w:rFonts w:ascii="Verdana" w:eastAsia="Arial" w:hAnsi="Verdana" w:cs="Arial"/>
          <w:spacing w:val="1"/>
          <w:sz w:val="20"/>
          <w:szCs w:val="20"/>
        </w:rPr>
        <w:t>ona</w:t>
      </w:r>
      <w:r w:rsidRPr="00315960">
        <w:rPr>
          <w:rFonts w:ascii="Verdana" w:eastAsia="Arial" w:hAnsi="Verdana" w:cs="Arial"/>
          <w:sz w:val="20"/>
          <w:szCs w:val="20"/>
        </w:rPr>
        <w:t xml:space="preserve">s </w:t>
      </w:r>
      <w:r w:rsidRPr="00315960">
        <w:rPr>
          <w:rFonts w:ascii="Verdana" w:eastAsia="Arial" w:hAnsi="Verdana" w:cs="Arial"/>
          <w:spacing w:val="1"/>
          <w:sz w:val="20"/>
          <w:szCs w:val="20"/>
        </w:rPr>
        <w:t>a</w:t>
      </w:r>
      <w:r w:rsidRPr="00315960">
        <w:rPr>
          <w:rFonts w:ascii="Verdana" w:eastAsia="Arial" w:hAnsi="Verdana" w:cs="Arial"/>
          <w:sz w:val="20"/>
          <w:szCs w:val="20"/>
        </w:rPr>
        <w:t>f</w:t>
      </w:r>
      <w:r w:rsidRPr="00315960">
        <w:rPr>
          <w:rFonts w:ascii="Verdana" w:eastAsia="Arial" w:hAnsi="Verdana" w:cs="Arial"/>
          <w:spacing w:val="1"/>
          <w:sz w:val="20"/>
          <w:szCs w:val="20"/>
        </w:rPr>
        <w:t>e</w:t>
      </w:r>
      <w:r w:rsidRPr="00315960">
        <w:rPr>
          <w:rFonts w:ascii="Verdana" w:eastAsia="Arial" w:hAnsi="Verdana" w:cs="Arial"/>
          <w:sz w:val="20"/>
          <w:szCs w:val="20"/>
        </w:rPr>
        <w:t>ct</w:t>
      </w:r>
      <w:r w:rsidRPr="00315960">
        <w:rPr>
          <w:rFonts w:ascii="Verdana" w:eastAsia="Arial" w:hAnsi="Verdana" w:cs="Arial"/>
          <w:spacing w:val="-3"/>
          <w:sz w:val="20"/>
          <w:szCs w:val="20"/>
        </w:rPr>
        <w:t>a</w:t>
      </w:r>
      <w:r w:rsidRPr="00315960">
        <w:rPr>
          <w:rFonts w:ascii="Verdana" w:eastAsia="Arial" w:hAnsi="Verdana" w:cs="Arial"/>
          <w:spacing w:val="1"/>
          <w:sz w:val="20"/>
          <w:szCs w:val="20"/>
        </w:rPr>
        <w:t>da</w:t>
      </w:r>
      <w:r>
        <w:rPr>
          <w:rFonts w:ascii="Verdana" w:eastAsia="Arial" w:hAnsi="Verdana" w:cs="Arial"/>
          <w:sz w:val="20"/>
          <w:szCs w:val="20"/>
        </w:rPr>
        <w:t>s, y</w:t>
      </w:r>
    </w:p>
    <w:p w:rsidR="00332068" w:rsidRPr="00315960" w:rsidRDefault="00332068" w:rsidP="00332068">
      <w:pPr>
        <w:pStyle w:val="ListParagraph"/>
        <w:numPr>
          <w:ilvl w:val="0"/>
          <w:numId w:val="21"/>
        </w:numPr>
        <w:ind w:left="1440" w:firstLine="0"/>
        <w:jc w:val="both"/>
        <w:rPr>
          <w:rFonts w:ascii="Verdana" w:hAnsi="Verdana" w:cs="Verdana"/>
          <w:bCs/>
          <w:iCs/>
          <w:sz w:val="20"/>
          <w:szCs w:val="20"/>
        </w:rPr>
      </w:pPr>
      <w:r w:rsidRPr="00315960">
        <w:rPr>
          <w:rFonts w:ascii="Verdana" w:eastAsia="Arial" w:hAnsi="Verdana" w:cs="Arial"/>
          <w:spacing w:val="4"/>
          <w:sz w:val="20"/>
          <w:szCs w:val="20"/>
        </w:rPr>
        <w:t>l</w:t>
      </w:r>
      <w:r w:rsidRPr="00315960">
        <w:rPr>
          <w:rFonts w:ascii="Verdana" w:eastAsia="Arial" w:hAnsi="Verdana" w:cs="Arial"/>
          <w:spacing w:val="1"/>
          <w:sz w:val="20"/>
          <w:szCs w:val="20"/>
        </w:rPr>
        <w:t>a</w:t>
      </w:r>
      <w:r w:rsidRPr="00315960">
        <w:rPr>
          <w:rFonts w:ascii="Verdana" w:eastAsia="Arial" w:hAnsi="Verdana" w:cs="Arial"/>
          <w:sz w:val="20"/>
          <w:szCs w:val="20"/>
        </w:rPr>
        <w:t xml:space="preserve">s </w:t>
      </w:r>
      <w:r w:rsidRPr="00315960">
        <w:rPr>
          <w:rFonts w:ascii="Verdana" w:eastAsia="Arial" w:hAnsi="Verdana" w:cs="Arial"/>
          <w:spacing w:val="-8"/>
          <w:sz w:val="20"/>
          <w:szCs w:val="20"/>
        </w:rPr>
        <w:t>m</w:t>
      </w:r>
      <w:r w:rsidRPr="00315960">
        <w:rPr>
          <w:rFonts w:ascii="Verdana" w:eastAsia="Arial" w:hAnsi="Verdana" w:cs="Arial"/>
          <w:spacing w:val="1"/>
          <w:sz w:val="20"/>
          <w:szCs w:val="20"/>
        </w:rPr>
        <w:t>ed</w:t>
      </w:r>
      <w:r w:rsidRPr="00315960">
        <w:rPr>
          <w:rFonts w:ascii="Verdana" w:eastAsia="Arial" w:hAnsi="Verdana" w:cs="Arial"/>
          <w:spacing w:val="4"/>
          <w:sz w:val="20"/>
          <w:szCs w:val="20"/>
        </w:rPr>
        <w:t>i</w:t>
      </w:r>
      <w:r w:rsidRPr="00315960">
        <w:rPr>
          <w:rFonts w:ascii="Verdana" w:eastAsia="Arial" w:hAnsi="Verdana" w:cs="Arial"/>
          <w:spacing w:val="1"/>
          <w:sz w:val="20"/>
          <w:szCs w:val="20"/>
        </w:rPr>
        <w:t>da</w:t>
      </w:r>
      <w:r w:rsidRPr="00315960">
        <w:rPr>
          <w:rFonts w:ascii="Verdana" w:eastAsia="Arial" w:hAnsi="Verdana" w:cs="Arial"/>
          <w:sz w:val="20"/>
          <w:szCs w:val="20"/>
        </w:rPr>
        <w:t>s</w:t>
      </w:r>
      <w:r w:rsidRPr="00315960">
        <w:rPr>
          <w:rFonts w:ascii="Verdana" w:eastAsia="Arial" w:hAnsi="Verdana" w:cs="Arial"/>
          <w:spacing w:val="5"/>
          <w:sz w:val="20"/>
          <w:szCs w:val="20"/>
        </w:rPr>
        <w:t xml:space="preserve"> </w:t>
      </w:r>
      <w:r w:rsidRPr="00315960">
        <w:rPr>
          <w:rFonts w:ascii="Verdana" w:eastAsia="Arial" w:hAnsi="Verdana" w:cs="Arial"/>
          <w:spacing w:val="1"/>
          <w:sz w:val="20"/>
          <w:szCs w:val="20"/>
        </w:rPr>
        <w:t>qu</w:t>
      </w:r>
      <w:r w:rsidRPr="00315960">
        <w:rPr>
          <w:rFonts w:ascii="Verdana" w:eastAsia="Arial" w:hAnsi="Verdana" w:cs="Arial"/>
          <w:sz w:val="20"/>
          <w:szCs w:val="20"/>
        </w:rPr>
        <w:t xml:space="preserve">e </w:t>
      </w:r>
      <w:r w:rsidRPr="00315960">
        <w:rPr>
          <w:rFonts w:ascii="Verdana" w:eastAsia="Arial" w:hAnsi="Verdana" w:cs="Arial"/>
          <w:spacing w:val="-4"/>
          <w:sz w:val="20"/>
          <w:szCs w:val="20"/>
        </w:rPr>
        <w:t>e</w:t>
      </w:r>
      <w:r w:rsidRPr="00315960">
        <w:rPr>
          <w:rFonts w:ascii="Verdana" w:eastAsia="Arial" w:hAnsi="Verdana" w:cs="Arial"/>
          <w:sz w:val="20"/>
          <w:szCs w:val="20"/>
        </w:rPr>
        <w:t xml:space="preserve">l </w:t>
      </w:r>
      <w:r w:rsidRPr="00315960">
        <w:rPr>
          <w:rFonts w:ascii="Verdana" w:eastAsia="Arial" w:hAnsi="Verdana" w:cs="Arial"/>
          <w:spacing w:val="-2"/>
          <w:sz w:val="20"/>
          <w:szCs w:val="20"/>
        </w:rPr>
        <w:t>E</w:t>
      </w:r>
      <w:r w:rsidRPr="00315960">
        <w:rPr>
          <w:rFonts w:ascii="Verdana" w:eastAsia="Arial" w:hAnsi="Verdana" w:cs="Arial"/>
          <w:sz w:val="20"/>
          <w:szCs w:val="20"/>
        </w:rPr>
        <w:t>st</w:t>
      </w:r>
      <w:r w:rsidRPr="00315960">
        <w:rPr>
          <w:rFonts w:ascii="Verdana" w:eastAsia="Arial" w:hAnsi="Verdana" w:cs="Arial"/>
          <w:spacing w:val="1"/>
          <w:sz w:val="20"/>
          <w:szCs w:val="20"/>
        </w:rPr>
        <w:t>ad</w:t>
      </w:r>
      <w:r w:rsidRPr="00315960">
        <w:rPr>
          <w:rFonts w:ascii="Verdana" w:eastAsia="Arial" w:hAnsi="Verdana" w:cs="Arial"/>
          <w:sz w:val="20"/>
          <w:szCs w:val="20"/>
        </w:rPr>
        <w:t>o</w:t>
      </w:r>
      <w:r w:rsidRPr="00315960">
        <w:rPr>
          <w:rFonts w:ascii="Verdana" w:eastAsia="Arial" w:hAnsi="Verdana" w:cs="Arial"/>
          <w:spacing w:val="30"/>
          <w:sz w:val="20"/>
          <w:szCs w:val="20"/>
        </w:rPr>
        <w:t xml:space="preserve"> </w:t>
      </w:r>
      <w:r w:rsidRPr="00315960">
        <w:rPr>
          <w:rFonts w:ascii="Verdana" w:eastAsia="Arial" w:hAnsi="Verdana" w:cs="Arial"/>
          <w:spacing w:val="1"/>
          <w:sz w:val="20"/>
          <w:szCs w:val="20"/>
        </w:rPr>
        <w:t>deb</w:t>
      </w:r>
      <w:r w:rsidRPr="00315960">
        <w:rPr>
          <w:rFonts w:ascii="Verdana" w:eastAsia="Arial" w:hAnsi="Verdana" w:cs="Arial"/>
          <w:sz w:val="20"/>
          <w:szCs w:val="20"/>
        </w:rPr>
        <w:t>e</w:t>
      </w:r>
      <w:r w:rsidRPr="00315960">
        <w:rPr>
          <w:rFonts w:ascii="Verdana" w:eastAsia="Arial" w:hAnsi="Verdana" w:cs="Arial"/>
          <w:spacing w:val="30"/>
          <w:sz w:val="20"/>
          <w:szCs w:val="20"/>
        </w:rPr>
        <w:t xml:space="preserve"> </w:t>
      </w:r>
      <w:r w:rsidRPr="00315960">
        <w:rPr>
          <w:rFonts w:ascii="Verdana" w:eastAsia="Arial" w:hAnsi="Verdana" w:cs="Arial"/>
          <w:spacing w:val="1"/>
          <w:sz w:val="20"/>
          <w:szCs w:val="20"/>
        </w:rPr>
        <w:t>ad</w:t>
      </w:r>
      <w:r w:rsidRPr="00315960">
        <w:rPr>
          <w:rFonts w:ascii="Verdana" w:eastAsia="Arial" w:hAnsi="Verdana" w:cs="Arial"/>
          <w:spacing w:val="-4"/>
          <w:sz w:val="20"/>
          <w:szCs w:val="20"/>
        </w:rPr>
        <w:t>o</w:t>
      </w:r>
      <w:r w:rsidRPr="00315960">
        <w:rPr>
          <w:rFonts w:ascii="Verdana" w:eastAsia="Arial" w:hAnsi="Verdana" w:cs="Arial"/>
          <w:spacing w:val="1"/>
          <w:sz w:val="20"/>
          <w:szCs w:val="20"/>
        </w:rPr>
        <w:t>p</w:t>
      </w:r>
      <w:r w:rsidRPr="00315960">
        <w:rPr>
          <w:rFonts w:ascii="Verdana" w:eastAsia="Arial" w:hAnsi="Verdana" w:cs="Arial"/>
          <w:sz w:val="20"/>
          <w:szCs w:val="20"/>
        </w:rPr>
        <w:t>t</w:t>
      </w:r>
      <w:r w:rsidRPr="00315960">
        <w:rPr>
          <w:rFonts w:ascii="Verdana" w:eastAsia="Arial" w:hAnsi="Verdana" w:cs="Arial"/>
          <w:spacing w:val="1"/>
          <w:sz w:val="20"/>
          <w:szCs w:val="20"/>
        </w:rPr>
        <w:t>a</w:t>
      </w:r>
      <w:r w:rsidRPr="00315960">
        <w:rPr>
          <w:rFonts w:ascii="Verdana" w:eastAsia="Arial" w:hAnsi="Verdana" w:cs="Arial"/>
          <w:sz w:val="20"/>
          <w:szCs w:val="20"/>
        </w:rPr>
        <w:t>r</w:t>
      </w:r>
      <w:r w:rsidRPr="00315960">
        <w:rPr>
          <w:rFonts w:ascii="Verdana" w:eastAsia="Arial" w:hAnsi="Verdana" w:cs="Arial"/>
          <w:spacing w:val="30"/>
          <w:sz w:val="20"/>
          <w:szCs w:val="20"/>
        </w:rPr>
        <w:t xml:space="preserve"> </w:t>
      </w:r>
      <w:r w:rsidRPr="00315960">
        <w:rPr>
          <w:rFonts w:ascii="Verdana" w:eastAsia="Arial" w:hAnsi="Verdana" w:cs="Arial"/>
          <w:spacing w:val="-4"/>
          <w:sz w:val="20"/>
          <w:szCs w:val="20"/>
        </w:rPr>
        <w:t>p</w:t>
      </w:r>
      <w:r w:rsidRPr="00315960">
        <w:rPr>
          <w:rFonts w:ascii="Verdana" w:eastAsia="Arial" w:hAnsi="Verdana" w:cs="Arial"/>
          <w:spacing w:val="1"/>
          <w:sz w:val="20"/>
          <w:szCs w:val="20"/>
        </w:rPr>
        <w:t>ar</w:t>
      </w:r>
      <w:r w:rsidRPr="00315960">
        <w:rPr>
          <w:rFonts w:ascii="Verdana" w:eastAsia="Arial" w:hAnsi="Verdana" w:cs="Arial"/>
          <w:sz w:val="20"/>
          <w:szCs w:val="20"/>
        </w:rPr>
        <w:t>a</w:t>
      </w:r>
      <w:r w:rsidRPr="00315960">
        <w:rPr>
          <w:rFonts w:ascii="Verdana" w:eastAsia="Arial" w:hAnsi="Verdana" w:cs="Arial"/>
          <w:spacing w:val="30"/>
          <w:sz w:val="20"/>
          <w:szCs w:val="20"/>
        </w:rPr>
        <w:t xml:space="preserve"> </w:t>
      </w:r>
      <w:r w:rsidRPr="00315960">
        <w:rPr>
          <w:rFonts w:ascii="Verdana" w:eastAsia="Arial" w:hAnsi="Verdana" w:cs="Arial"/>
          <w:spacing w:val="1"/>
          <w:sz w:val="20"/>
          <w:szCs w:val="20"/>
        </w:rPr>
        <w:t>e</w:t>
      </w:r>
      <w:r w:rsidRPr="00315960">
        <w:rPr>
          <w:rFonts w:ascii="Verdana" w:eastAsia="Arial" w:hAnsi="Verdana" w:cs="Arial"/>
          <w:spacing w:val="-5"/>
          <w:sz w:val="20"/>
          <w:szCs w:val="20"/>
        </w:rPr>
        <w:t>v</w:t>
      </w:r>
      <w:r w:rsidRPr="00315960">
        <w:rPr>
          <w:rFonts w:ascii="Verdana" w:eastAsia="Arial" w:hAnsi="Verdana" w:cs="Arial"/>
          <w:spacing w:val="4"/>
          <w:sz w:val="20"/>
          <w:szCs w:val="20"/>
        </w:rPr>
        <w:t>i</w:t>
      </w:r>
      <w:r w:rsidRPr="00315960">
        <w:rPr>
          <w:rFonts w:ascii="Verdana" w:eastAsia="Arial" w:hAnsi="Verdana" w:cs="Arial"/>
          <w:sz w:val="20"/>
          <w:szCs w:val="20"/>
        </w:rPr>
        <w:t>t</w:t>
      </w:r>
      <w:r w:rsidRPr="00315960">
        <w:rPr>
          <w:rFonts w:ascii="Verdana" w:eastAsia="Arial" w:hAnsi="Verdana" w:cs="Arial"/>
          <w:spacing w:val="-3"/>
          <w:sz w:val="20"/>
          <w:szCs w:val="20"/>
        </w:rPr>
        <w:t>a</w:t>
      </w:r>
      <w:r w:rsidRPr="00315960">
        <w:rPr>
          <w:rFonts w:ascii="Verdana" w:eastAsia="Arial" w:hAnsi="Verdana" w:cs="Arial"/>
          <w:sz w:val="20"/>
          <w:szCs w:val="20"/>
        </w:rPr>
        <w:t>r</w:t>
      </w:r>
      <w:r w:rsidRPr="00315960">
        <w:rPr>
          <w:rFonts w:ascii="Verdana" w:eastAsia="Arial" w:hAnsi="Verdana" w:cs="Arial"/>
          <w:spacing w:val="30"/>
          <w:sz w:val="20"/>
          <w:szCs w:val="20"/>
        </w:rPr>
        <w:t xml:space="preserve"> </w:t>
      </w:r>
      <w:r w:rsidRPr="00315960">
        <w:rPr>
          <w:rFonts w:ascii="Verdana" w:eastAsia="Arial" w:hAnsi="Verdana" w:cs="Arial"/>
          <w:sz w:val="20"/>
          <w:szCs w:val="20"/>
        </w:rPr>
        <w:t>la</w:t>
      </w:r>
      <w:r w:rsidRPr="00315960">
        <w:rPr>
          <w:rFonts w:ascii="Verdana" w:eastAsia="Arial" w:hAnsi="Verdana" w:cs="Arial"/>
          <w:spacing w:val="30"/>
          <w:sz w:val="20"/>
          <w:szCs w:val="20"/>
        </w:rPr>
        <w:t xml:space="preserve"> </w:t>
      </w:r>
      <w:r w:rsidRPr="00315960">
        <w:rPr>
          <w:rFonts w:ascii="Verdana" w:eastAsia="Arial" w:hAnsi="Verdana" w:cs="Arial"/>
          <w:spacing w:val="1"/>
          <w:sz w:val="20"/>
          <w:szCs w:val="20"/>
        </w:rPr>
        <w:t>rep</w:t>
      </w:r>
      <w:r w:rsidRPr="00315960">
        <w:rPr>
          <w:rFonts w:ascii="Verdana" w:eastAsia="Arial" w:hAnsi="Verdana" w:cs="Arial"/>
          <w:spacing w:val="-4"/>
          <w:sz w:val="20"/>
          <w:szCs w:val="20"/>
        </w:rPr>
        <w:t>e</w:t>
      </w:r>
      <w:r w:rsidRPr="00315960">
        <w:rPr>
          <w:rFonts w:ascii="Verdana" w:eastAsia="Arial" w:hAnsi="Verdana" w:cs="Arial"/>
          <w:sz w:val="20"/>
          <w:szCs w:val="20"/>
        </w:rPr>
        <w:t>t</w:t>
      </w:r>
      <w:r w:rsidRPr="00315960">
        <w:rPr>
          <w:rFonts w:ascii="Verdana" w:eastAsia="Arial" w:hAnsi="Verdana" w:cs="Arial"/>
          <w:spacing w:val="5"/>
          <w:sz w:val="20"/>
          <w:szCs w:val="20"/>
        </w:rPr>
        <w:t>i</w:t>
      </w:r>
      <w:r w:rsidRPr="00315960">
        <w:rPr>
          <w:rFonts w:ascii="Verdana" w:eastAsia="Arial" w:hAnsi="Verdana" w:cs="Arial"/>
          <w:spacing w:val="-5"/>
          <w:sz w:val="20"/>
          <w:szCs w:val="20"/>
        </w:rPr>
        <w:t>c</w:t>
      </w:r>
      <w:r w:rsidRPr="00315960">
        <w:rPr>
          <w:rFonts w:ascii="Verdana" w:eastAsia="Arial" w:hAnsi="Verdana" w:cs="Arial"/>
          <w:sz w:val="20"/>
          <w:szCs w:val="20"/>
        </w:rPr>
        <w:t>i</w:t>
      </w:r>
      <w:r w:rsidRPr="00315960">
        <w:rPr>
          <w:rFonts w:ascii="Verdana" w:eastAsia="Arial" w:hAnsi="Verdana" w:cs="Arial"/>
          <w:spacing w:val="-4"/>
          <w:sz w:val="20"/>
          <w:szCs w:val="20"/>
        </w:rPr>
        <w:t>ó</w:t>
      </w:r>
      <w:r w:rsidRPr="00315960">
        <w:rPr>
          <w:rFonts w:ascii="Verdana" w:eastAsia="Arial" w:hAnsi="Verdana" w:cs="Arial"/>
          <w:sz w:val="20"/>
          <w:szCs w:val="20"/>
        </w:rPr>
        <w:t>n</w:t>
      </w:r>
      <w:r w:rsidRPr="00315960">
        <w:rPr>
          <w:rFonts w:ascii="Verdana" w:eastAsia="Arial" w:hAnsi="Verdana" w:cs="Arial"/>
          <w:spacing w:val="30"/>
          <w:sz w:val="20"/>
          <w:szCs w:val="20"/>
        </w:rPr>
        <w:t xml:space="preserve"> </w:t>
      </w:r>
      <w:r w:rsidRPr="00315960">
        <w:rPr>
          <w:rFonts w:ascii="Verdana" w:hAnsi="Verdana" w:cs="Verdana"/>
          <w:sz w:val="20"/>
          <w:szCs w:val="20"/>
        </w:rPr>
        <w:t xml:space="preserve">de los alegados hechos del caso </w:t>
      </w:r>
      <w:r w:rsidRPr="00315960">
        <w:rPr>
          <w:rFonts w:ascii="Verdana" w:hAnsi="Verdana" w:cs="Verdana"/>
          <w:i/>
          <w:sz w:val="20"/>
          <w:szCs w:val="20"/>
        </w:rPr>
        <w:t>sub judice</w:t>
      </w:r>
      <w:r w:rsidRPr="00315960">
        <w:rPr>
          <w:rFonts w:ascii="Verdana" w:hAnsi="Verdana" w:cs="Verdana"/>
          <w:sz w:val="20"/>
          <w:szCs w:val="20"/>
        </w:rPr>
        <w:t>.</w:t>
      </w:r>
    </w:p>
    <w:p w:rsidR="00332068" w:rsidRPr="001662E7" w:rsidRDefault="00332068" w:rsidP="00332068">
      <w:pPr>
        <w:pStyle w:val="ListParagraph"/>
        <w:ind w:left="1418"/>
        <w:jc w:val="both"/>
        <w:rPr>
          <w:rFonts w:ascii="Verdana" w:eastAsia="Arial" w:hAnsi="Verdana" w:cs="Arial"/>
          <w:sz w:val="20"/>
          <w:szCs w:val="20"/>
        </w:rPr>
      </w:pPr>
    </w:p>
    <w:p w:rsidR="00332068" w:rsidRDefault="00332068" w:rsidP="00332068">
      <w:pPr>
        <w:pStyle w:val="ListParagraph"/>
        <w:numPr>
          <w:ilvl w:val="0"/>
          <w:numId w:val="9"/>
        </w:numPr>
        <w:tabs>
          <w:tab w:val="left" w:pos="720"/>
          <w:tab w:val="left" w:pos="1701"/>
          <w:tab w:val="left" w:pos="1985"/>
          <w:tab w:val="left" w:pos="2880"/>
          <w:tab w:val="left" w:pos="3600"/>
          <w:tab w:val="left" w:pos="4320"/>
          <w:tab w:val="left" w:pos="5040"/>
          <w:tab w:val="left" w:pos="5760"/>
          <w:tab w:val="left" w:pos="6480"/>
          <w:tab w:val="left" w:pos="7200"/>
          <w:tab w:val="left" w:pos="7920"/>
          <w:tab w:val="left" w:pos="8640"/>
        </w:tabs>
        <w:ind w:left="1440" w:hanging="22"/>
        <w:jc w:val="both"/>
        <w:rPr>
          <w:rFonts w:ascii="Verdana" w:hAnsi="Verdana" w:cs="Verdana"/>
          <w:sz w:val="20"/>
          <w:szCs w:val="20"/>
        </w:rPr>
      </w:pPr>
      <w:r>
        <w:rPr>
          <w:rFonts w:ascii="Verdana" w:hAnsi="Verdana" w:cs="Verdana"/>
          <w:i/>
          <w:sz w:val="20"/>
          <w:szCs w:val="20"/>
        </w:rPr>
        <w:t xml:space="preserve"> </w:t>
      </w:r>
      <w:r>
        <w:rPr>
          <w:rFonts w:ascii="Verdana" w:hAnsi="Verdana" w:cs="Verdana"/>
          <w:i/>
          <w:sz w:val="20"/>
          <w:szCs w:val="20"/>
        </w:rPr>
        <w:tab/>
      </w:r>
      <w:r w:rsidRPr="0025505D">
        <w:rPr>
          <w:rFonts w:ascii="Verdana" w:hAnsi="Verdana" w:cs="Verdana"/>
          <w:i/>
          <w:sz w:val="20"/>
          <w:szCs w:val="20"/>
        </w:rPr>
        <w:t xml:space="preserve">Carlos Quesada, </w:t>
      </w:r>
      <w:r>
        <w:rPr>
          <w:rFonts w:ascii="Verdana" w:hAnsi="Verdana" w:cs="Verdana"/>
          <w:sz w:val="20"/>
          <w:szCs w:val="20"/>
        </w:rPr>
        <w:t xml:space="preserve">abogado, quién rendirá </w:t>
      </w:r>
      <w:r>
        <w:rPr>
          <w:rFonts w:ascii="Verdana" w:hAnsi="Verdana" w:cs="Verdana"/>
          <w:bCs/>
          <w:iCs/>
          <w:sz w:val="20"/>
          <w:szCs w:val="20"/>
        </w:rPr>
        <w:t>dictamen pericial</w:t>
      </w:r>
      <w:r w:rsidRPr="0025505D">
        <w:rPr>
          <w:rFonts w:ascii="Verdana" w:hAnsi="Verdana" w:cs="Verdana"/>
          <w:sz w:val="20"/>
          <w:szCs w:val="20"/>
        </w:rPr>
        <w:t xml:space="preserve"> sobre:</w:t>
      </w:r>
    </w:p>
    <w:p w:rsidR="00332068" w:rsidRDefault="00332068" w:rsidP="00332068">
      <w:pPr>
        <w:pStyle w:val="ListParagraph"/>
        <w:tabs>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sz w:val="20"/>
          <w:szCs w:val="20"/>
        </w:rPr>
      </w:pPr>
    </w:p>
    <w:p w:rsidR="00332068" w:rsidRDefault="00332068" w:rsidP="00332068">
      <w:pPr>
        <w:pStyle w:val="ListParagraph"/>
        <w:numPr>
          <w:ilvl w:val="0"/>
          <w:numId w:val="22"/>
        </w:numPr>
        <w:ind w:left="1440" w:firstLine="0"/>
        <w:jc w:val="both"/>
        <w:rPr>
          <w:rFonts w:ascii="Verdana" w:hAnsi="Verdana" w:cs="Verdana"/>
          <w:sz w:val="20"/>
          <w:szCs w:val="20"/>
        </w:rPr>
      </w:pPr>
      <w:r w:rsidRPr="0025505D">
        <w:rPr>
          <w:rFonts w:ascii="Verdana" w:hAnsi="Verdana" w:cs="Verdana"/>
          <w:sz w:val="20"/>
          <w:szCs w:val="20"/>
        </w:rPr>
        <w:t>la discriminación racial, estructural e institucional respecto de la población haitiana y de ascendencia haitiana en el territorio de la República Dominicana;</w:t>
      </w:r>
    </w:p>
    <w:p w:rsidR="00332068" w:rsidRDefault="00332068" w:rsidP="00332068">
      <w:pPr>
        <w:pStyle w:val="ListParagraph"/>
        <w:numPr>
          <w:ilvl w:val="0"/>
          <w:numId w:val="22"/>
        </w:numPr>
        <w:ind w:left="1440" w:firstLine="0"/>
        <w:jc w:val="both"/>
        <w:rPr>
          <w:rFonts w:ascii="Verdana" w:hAnsi="Verdana" w:cs="Verdana"/>
          <w:sz w:val="20"/>
          <w:szCs w:val="20"/>
        </w:rPr>
      </w:pPr>
      <w:r>
        <w:rPr>
          <w:rFonts w:ascii="Verdana" w:hAnsi="Verdana" w:cs="Verdana"/>
          <w:sz w:val="20"/>
          <w:szCs w:val="20"/>
        </w:rPr>
        <w:t xml:space="preserve"> </w:t>
      </w:r>
      <w:r w:rsidRPr="0025505D">
        <w:rPr>
          <w:rFonts w:ascii="Verdana" w:hAnsi="Verdana" w:cs="Verdana"/>
          <w:sz w:val="20"/>
          <w:szCs w:val="20"/>
        </w:rPr>
        <w:t>los estándares internacionales en materia de no discriminación e igualdad ante la ley aplicables a situaci</w:t>
      </w:r>
      <w:r>
        <w:rPr>
          <w:rFonts w:ascii="Verdana" w:hAnsi="Verdana" w:cs="Verdana"/>
          <w:sz w:val="20"/>
          <w:szCs w:val="20"/>
        </w:rPr>
        <w:t>ones como las del presente caso,</w:t>
      </w:r>
      <w:r w:rsidRPr="0025505D">
        <w:rPr>
          <w:rFonts w:ascii="Verdana" w:hAnsi="Verdana" w:cs="Verdana"/>
          <w:sz w:val="20"/>
          <w:szCs w:val="20"/>
        </w:rPr>
        <w:t xml:space="preserve"> y</w:t>
      </w:r>
    </w:p>
    <w:p w:rsidR="00332068" w:rsidRPr="0025505D" w:rsidRDefault="00332068" w:rsidP="00332068">
      <w:pPr>
        <w:pStyle w:val="ListParagraph"/>
        <w:numPr>
          <w:ilvl w:val="0"/>
          <w:numId w:val="22"/>
        </w:numPr>
        <w:ind w:left="1440" w:firstLine="0"/>
        <w:jc w:val="both"/>
        <w:rPr>
          <w:rFonts w:ascii="Verdana" w:hAnsi="Verdana" w:cs="Verdana"/>
          <w:sz w:val="20"/>
          <w:szCs w:val="20"/>
        </w:rPr>
      </w:pPr>
      <w:r w:rsidRPr="0025505D">
        <w:rPr>
          <w:rFonts w:ascii="Verdana" w:hAnsi="Verdana" w:cs="Verdana"/>
          <w:sz w:val="20"/>
          <w:szCs w:val="20"/>
        </w:rPr>
        <w:t xml:space="preserve"> las medidas que el Estado dominicano debe adoptar para evitar la repetición de los alegados hechos del caso </w:t>
      </w:r>
      <w:r w:rsidRPr="0025505D">
        <w:rPr>
          <w:rFonts w:ascii="Verdana" w:hAnsi="Verdana" w:cs="Verdana"/>
          <w:i/>
          <w:sz w:val="20"/>
          <w:szCs w:val="20"/>
        </w:rPr>
        <w:t>sub judice</w:t>
      </w:r>
      <w:r w:rsidRPr="0025505D">
        <w:rPr>
          <w:rFonts w:ascii="Verdana" w:hAnsi="Verdana" w:cs="Verdana"/>
          <w:sz w:val="20"/>
          <w:szCs w:val="20"/>
        </w:rPr>
        <w:t>.</w:t>
      </w:r>
    </w:p>
    <w:p w:rsidR="00332068" w:rsidRPr="004C3E44"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b/>
          <w:sz w:val="20"/>
          <w:szCs w:val="20"/>
        </w:rPr>
      </w:pPr>
    </w:p>
    <w:p w:rsidR="00332068" w:rsidRPr="000830A1" w:rsidRDefault="00332068" w:rsidP="00332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Verdana"/>
          <w:sz w:val="20"/>
          <w:szCs w:val="20"/>
        </w:rPr>
      </w:pPr>
      <w:r>
        <w:rPr>
          <w:rFonts w:ascii="Verdana" w:hAnsi="Verdana" w:cs="Verdana"/>
          <w:bCs/>
          <w:i/>
          <w:iCs/>
          <w:sz w:val="20"/>
          <w:szCs w:val="20"/>
        </w:rPr>
        <w:lastRenderedPageBreak/>
        <w:tab/>
        <w:t>Propuestos</w:t>
      </w:r>
      <w:r w:rsidRPr="000830A1">
        <w:rPr>
          <w:rFonts w:ascii="Verdana" w:hAnsi="Verdana" w:cs="Verdana"/>
          <w:bCs/>
          <w:i/>
          <w:iCs/>
          <w:sz w:val="20"/>
          <w:szCs w:val="20"/>
        </w:rPr>
        <w:t xml:space="preserve"> por el Estado:</w:t>
      </w:r>
    </w:p>
    <w:p w:rsidR="00332068" w:rsidRPr="00667B7C" w:rsidRDefault="00332068" w:rsidP="00332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Verdana" w:hAnsi="Verdana" w:cs="Verdana"/>
          <w:sz w:val="20"/>
          <w:szCs w:val="20"/>
        </w:rPr>
      </w:pPr>
    </w:p>
    <w:p w:rsidR="00332068" w:rsidRDefault="00332068" w:rsidP="00332068">
      <w:pPr>
        <w:pStyle w:val="ListParagraph"/>
        <w:widowControl w:val="0"/>
        <w:numPr>
          <w:ilvl w:val="0"/>
          <w:numId w:val="9"/>
        </w:numPr>
        <w:autoSpaceDE w:val="0"/>
        <w:autoSpaceDN w:val="0"/>
        <w:adjustRightInd w:val="0"/>
        <w:ind w:left="1170" w:firstLine="0"/>
        <w:jc w:val="both"/>
        <w:rPr>
          <w:rFonts w:ascii="Verdana" w:hAnsi="Verdana" w:cs="Verdana"/>
          <w:bCs/>
          <w:iCs/>
          <w:sz w:val="20"/>
          <w:szCs w:val="20"/>
        </w:rPr>
      </w:pPr>
      <w:r>
        <w:rPr>
          <w:rFonts w:ascii="Verdana" w:hAnsi="Verdana" w:cs="Verdana"/>
          <w:bCs/>
          <w:i/>
          <w:iCs/>
          <w:sz w:val="20"/>
          <w:szCs w:val="20"/>
        </w:rPr>
        <w:t>Juan Bautista Tavares Gómez</w:t>
      </w:r>
      <w:r w:rsidRPr="00667B7C">
        <w:rPr>
          <w:rFonts w:ascii="Verdana" w:hAnsi="Verdana" w:cs="Verdana"/>
          <w:bCs/>
          <w:i/>
          <w:iCs/>
          <w:sz w:val="20"/>
          <w:szCs w:val="20"/>
        </w:rPr>
        <w:t xml:space="preserve">, </w:t>
      </w:r>
      <w:r>
        <w:rPr>
          <w:rFonts w:ascii="Verdana" w:hAnsi="Verdana" w:cs="Verdana"/>
          <w:bCs/>
          <w:iCs/>
          <w:sz w:val="20"/>
          <w:szCs w:val="20"/>
        </w:rPr>
        <w:t>abogado</w:t>
      </w:r>
      <w:r w:rsidRPr="00667B7C">
        <w:rPr>
          <w:rFonts w:ascii="Verdana" w:hAnsi="Verdana" w:cs="Verdana"/>
          <w:bCs/>
          <w:iCs/>
          <w:sz w:val="20"/>
          <w:szCs w:val="20"/>
        </w:rPr>
        <w:t xml:space="preserve"> especialista en registro civil dom</w:t>
      </w:r>
      <w:r>
        <w:rPr>
          <w:rFonts w:ascii="Verdana" w:hAnsi="Verdana" w:cs="Verdana"/>
          <w:bCs/>
          <w:iCs/>
          <w:sz w:val="20"/>
          <w:szCs w:val="20"/>
        </w:rPr>
        <w:t>inicano, quién rendirá dictamen pericial sobre:</w:t>
      </w:r>
    </w:p>
    <w:p w:rsidR="00332068" w:rsidRDefault="00332068" w:rsidP="00332068">
      <w:pPr>
        <w:pStyle w:val="ListParagraph"/>
        <w:widowControl w:val="0"/>
        <w:autoSpaceDE w:val="0"/>
        <w:autoSpaceDN w:val="0"/>
        <w:adjustRightInd w:val="0"/>
        <w:ind w:left="1418"/>
        <w:jc w:val="both"/>
        <w:rPr>
          <w:rFonts w:ascii="Verdana" w:hAnsi="Verdana" w:cs="Verdana"/>
          <w:bCs/>
          <w:iCs/>
          <w:sz w:val="20"/>
          <w:szCs w:val="20"/>
        </w:rPr>
      </w:pPr>
    </w:p>
    <w:p w:rsidR="00332068" w:rsidRDefault="00332068" w:rsidP="00332068">
      <w:pPr>
        <w:pStyle w:val="ListParagraph"/>
        <w:widowControl w:val="0"/>
        <w:numPr>
          <w:ilvl w:val="0"/>
          <w:numId w:val="23"/>
        </w:numPr>
        <w:autoSpaceDE w:val="0"/>
        <w:autoSpaceDN w:val="0"/>
        <w:adjustRightInd w:val="0"/>
        <w:jc w:val="both"/>
        <w:rPr>
          <w:rFonts w:ascii="Verdana" w:hAnsi="Verdana" w:cs="Verdana"/>
          <w:bCs/>
          <w:iCs/>
          <w:sz w:val="20"/>
          <w:szCs w:val="20"/>
        </w:rPr>
      </w:pPr>
      <w:r w:rsidRPr="00667B7C">
        <w:rPr>
          <w:rFonts w:ascii="Verdana" w:hAnsi="Verdana" w:cs="Verdana"/>
          <w:bCs/>
          <w:iCs/>
          <w:sz w:val="20"/>
          <w:szCs w:val="20"/>
        </w:rPr>
        <w:t>el régimen legal interno relativo al fu</w:t>
      </w:r>
      <w:r>
        <w:rPr>
          <w:rFonts w:ascii="Verdana" w:hAnsi="Verdana" w:cs="Verdana"/>
          <w:bCs/>
          <w:iCs/>
          <w:sz w:val="20"/>
          <w:szCs w:val="20"/>
        </w:rPr>
        <w:t>ncionamiento del registro civil;</w:t>
      </w:r>
    </w:p>
    <w:p w:rsidR="00332068" w:rsidRDefault="00332068" w:rsidP="00332068">
      <w:pPr>
        <w:pStyle w:val="ListParagraph"/>
        <w:widowControl w:val="0"/>
        <w:numPr>
          <w:ilvl w:val="0"/>
          <w:numId w:val="23"/>
        </w:numPr>
        <w:autoSpaceDE w:val="0"/>
        <w:autoSpaceDN w:val="0"/>
        <w:adjustRightInd w:val="0"/>
        <w:jc w:val="both"/>
        <w:rPr>
          <w:rFonts w:ascii="Verdana" w:hAnsi="Verdana" w:cs="Verdana"/>
          <w:bCs/>
          <w:iCs/>
          <w:sz w:val="20"/>
          <w:szCs w:val="20"/>
        </w:rPr>
      </w:pPr>
      <w:r w:rsidRPr="00667B7C">
        <w:rPr>
          <w:rFonts w:ascii="Verdana" w:hAnsi="Verdana" w:cs="Verdana"/>
          <w:bCs/>
          <w:iCs/>
          <w:sz w:val="20"/>
          <w:szCs w:val="20"/>
        </w:rPr>
        <w:t>las dec</w:t>
      </w:r>
      <w:r>
        <w:rPr>
          <w:rFonts w:ascii="Verdana" w:hAnsi="Verdana" w:cs="Verdana"/>
          <w:bCs/>
          <w:iCs/>
          <w:sz w:val="20"/>
          <w:szCs w:val="20"/>
        </w:rPr>
        <w:t>laraciones oportunas y tardías;</w:t>
      </w:r>
    </w:p>
    <w:p w:rsidR="00332068" w:rsidRDefault="00332068" w:rsidP="00332068">
      <w:pPr>
        <w:pStyle w:val="ListParagraph"/>
        <w:widowControl w:val="0"/>
        <w:numPr>
          <w:ilvl w:val="0"/>
          <w:numId w:val="23"/>
        </w:numPr>
        <w:autoSpaceDE w:val="0"/>
        <w:autoSpaceDN w:val="0"/>
        <w:adjustRightInd w:val="0"/>
        <w:ind w:left="1440" w:hanging="22"/>
        <w:jc w:val="both"/>
        <w:rPr>
          <w:rFonts w:ascii="Verdana" w:hAnsi="Verdana" w:cs="Verdana"/>
          <w:bCs/>
          <w:iCs/>
          <w:sz w:val="20"/>
          <w:szCs w:val="20"/>
        </w:rPr>
      </w:pPr>
      <w:r w:rsidRPr="00667B7C">
        <w:rPr>
          <w:rFonts w:ascii="Verdana" w:hAnsi="Verdana" w:cs="Verdana"/>
          <w:bCs/>
          <w:iCs/>
          <w:sz w:val="20"/>
          <w:szCs w:val="20"/>
        </w:rPr>
        <w:t>la rectificación de actas, la investigación de las irregularidades en las actas del estado civil</w:t>
      </w:r>
      <w:r>
        <w:rPr>
          <w:rFonts w:ascii="Verdana" w:hAnsi="Verdana" w:cs="Verdana"/>
          <w:bCs/>
          <w:iCs/>
          <w:sz w:val="20"/>
          <w:szCs w:val="20"/>
        </w:rPr>
        <w:t xml:space="preserve">, </w:t>
      </w:r>
      <w:r w:rsidRPr="00667B7C">
        <w:rPr>
          <w:rFonts w:ascii="Verdana" w:hAnsi="Verdana" w:cs="Verdana"/>
          <w:bCs/>
          <w:iCs/>
          <w:sz w:val="20"/>
          <w:szCs w:val="20"/>
        </w:rPr>
        <w:t xml:space="preserve"> y</w:t>
      </w:r>
    </w:p>
    <w:p w:rsidR="00332068" w:rsidRPr="001E15BA" w:rsidRDefault="00332068" w:rsidP="00332068">
      <w:pPr>
        <w:pStyle w:val="ListParagraph"/>
        <w:widowControl w:val="0"/>
        <w:numPr>
          <w:ilvl w:val="0"/>
          <w:numId w:val="23"/>
        </w:numPr>
        <w:autoSpaceDE w:val="0"/>
        <w:autoSpaceDN w:val="0"/>
        <w:adjustRightInd w:val="0"/>
        <w:jc w:val="both"/>
        <w:rPr>
          <w:rFonts w:ascii="Verdana" w:hAnsi="Verdana" w:cs="Verdana"/>
          <w:bCs/>
          <w:iCs/>
          <w:sz w:val="20"/>
          <w:szCs w:val="20"/>
        </w:rPr>
      </w:pPr>
      <w:r w:rsidRPr="00667B7C">
        <w:rPr>
          <w:rFonts w:ascii="Verdana" w:hAnsi="Verdana" w:cs="Verdana"/>
          <w:bCs/>
          <w:iCs/>
          <w:sz w:val="20"/>
          <w:szCs w:val="20"/>
        </w:rPr>
        <w:t>el procedimiento aplicable”.</w:t>
      </w:r>
    </w:p>
    <w:p w:rsidR="00332068" w:rsidRDefault="00332068" w:rsidP="00332068">
      <w:pPr>
        <w:pStyle w:val="ListParagraph"/>
        <w:widowControl w:val="0"/>
        <w:autoSpaceDE w:val="0"/>
        <w:autoSpaceDN w:val="0"/>
        <w:adjustRightInd w:val="0"/>
        <w:ind w:left="1418"/>
        <w:jc w:val="both"/>
        <w:rPr>
          <w:rFonts w:ascii="Verdana" w:hAnsi="Verdana" w:cs="Verdana"/>
          <w:bCs/>
          <w:iCs/>
          <w:sz w:val="20"/>
          <w:szCs w:val="20"/>
        </w:rPr>
      </w:pPr>
    </w:p>
    <w:p w:rsidR="00332068" w:rsidRPr="000830A1" w:rsidRDefault="00332068" w:rsidP="00332068">
      <w:pPr>
        <w:pStyle w:val="ListParagraph"/>
        <w:widowControl w:val="0"/>
        <w:autoSpaceDE w:val="0"/>
        <w:autoSpaceDN w:val="0"/>
        <w:adjustRightInd w:val="0"/>
        <w:ind w:left="1418"/>
        <w:jc w:val="both"/>
        <w:rPr>
          <w:rFonts w:ascii="Verdana" w:hAnsi="Verdana" w:cs="Verdana"/>
          <w:bCs/>
          <w:iCs/>
          <w:sz w:val="20"/>
          <w:szCs w:val="20"/>
        </w:rPr>
      </w:pPr>
    </w:p>
    <w:p w:rsidR="00332068" w:rsidRDefault="00332068" w:rsidP="00332068">
      <w:pPr>
        <w:pStyle w:val="ListParagraph"/>
        <w:widowControl w:val="0"/>
        <w:numPr>
          <w:ilvl w:val="0"/>
          <w:numId w:val="9"/>
        </w:numPr>
        <w:autoSpaceDE w:val="0"/>
        <w:autoSpaceDN w:val="0"/>
        <w:adjustRightInd w:val="0"/>
        <w:ind w:left="1260" w:firstLine="0"/>
        <w:jc w:val="both"/>
        <w:rPr>
          <w:rFonts w:ascii="Verdana" w:hAnsi="Verdana" w:cs="Verdana"/>
          <w:bCs/>
          <w:iCs/>
          <w:sz w:val="20"/>
          <w:szCs w:val="20"/>
        </w:rPr>
      </w:pPr>
      <w:r w:rsidRPr="000830A1">
        <w:rPr>
          <w:rFonts w:ascii="Verdana" w:hAnsi="Verdana" w:cs="Verdana"/>
          <w:bCs/>
          <w:i/>
          <w:iCs/>
          <w:sz w:val="20"/>
          <w:szCs w:val="20"/>
        </w:rPr>
        <w:t xml:space="preserve">Cecilio Gómez Pérez, </w:t>
      </w:r>
      <w:r w:rsidRPr="000830A1">
        <w:rPr>
          <w:rFonts w:ascii="Verdana" w:hAnsi="Verdana" w:cs="Verdana"/>
          <w:bCs/>
          <w:iCs/>
          <w:sz w:val="20"/>
          <w:szCs w:val="20"/>
        </w:rPr>
        <w:t xml:space="preserve">abogado constitucionalista, quién </w:t>
      </w:r>
      <w:r>
        <w:rPr>
          <w:rFonts w:ascii="Verdana" w:hAnsi="Verdana" w:cs="Verdana"/>
          <w:bCs/>
          <w:iCs/>
          <w:sz w:val="20"/>
          <w:szCs w:val="20"/>
        </w:rPr>
        <w:t xml:space="preserve">rendirá dictamen pericial en relación con </w:t>
      </w:r>
      <w:r w:rsidRPr="000830A1">
        <w:rPr>
          <w:rFonts w:ascii="Verdana" w:hAnsi="Verdana" w:cs="Verdana"/>
          <w:bCs/>
          <w:iCs/>
          <w:sz w:val="20"/>
          <w:szCs w:val="20"/>
        </w:rPr>
        <w:t>la situación histórico-constitucional relativa al otorgamiento de la nacionalidad dominicana</w:t>
      </w:r>
      <w:r>
        <w:rPr>
          <w:rFonts w:ascii="Verdana" w:hAnsi="Verdana" w:cs="Verdana"/>
          <w:bCs/>
          <w:iCs/>
          <w:sz w:val="20"/>
          <w:szCs w:val="20"/>
        </w:rPr>
        <w:t>, más específicamente sobre:</w:t>
      </w:r>
    </w:p>
    <w:p w:rsidR="00332068" w:rsidRDefault="00332068" w:rsidP="00332068">
      <w:pPr>
        <w:pStyle w:val="ListParagraph"/>
        <w:widowControl w:val="0"/>
        <w:autoSpaceDE w:val="0"/>
        <w:autoSpaceDN w:val="0"/>
        <w:adjustRightInd w:val="0"/>
        <w:ind w:left="1260"/>
        <w:jc w:val="both"/>
        <w:rPr>
          <w:rFonts w:ascii="Verdana" w:hAnsi="Verdana" w:cs="Verdana"/>
          <w:bCs/>
          <w:iCs/>
          <w:sz w:val="20"/>
          <w:szCs w:val="20"/>
        </w:rPr>
      </w:pPr>
    </w:p>
    <w:p w:rsidR="00332068" w:rsidRDefault="00332068" w:rsidP="00332068">
      <w:pPr>
        <w:pStyle w:val="ListParagraph"/>
        <w:widowControl w:val="0"/>
        <w:numPr>
          <w:ilvl w:val="0"/>
          <w:numId w:val="24"/>
        </w:numPr>
        <w:autoSpaceDE w:val="0"/>
        <w:autoSpaceDN w:val="0"/>
        <w:adjustRightInd w:val="0"/>
        <w:ind w:left="1440" w:firstLine="0"/>
        <w:jc w:val="both"/>
        <w:rPr>
          <w:rFonts w:ascii="Verdana" w:hAnsi="Verdana" w:cs="Verdana"/>
          <w:bCs/>
          <w:iCs/>
          <w:sz w:val="20"/>
          <w:szCs w:val="20"/>
        </w:rPr>
      </w:pPr>
      <w:r>
        <w:rPr>
          <w:rFonts w:ascii="Verdana" w:hAnsi="Verdana" w:cs="Verdana"/>
          <w:bCs/>
          <w:iCs/>
          <w:sz w:val="20"/>
          <w:szCs w:val="20"/>
        </w:rPr>
        <w:t>el</w:t>
      </w:r>
      <w:r w:rsidRPr="000830A1">
        <w:rPr>
          <w:rFonts w:ascii="Verdana" w:hAnsi="Verdana" w:cs="Verdana"/>
          <w:bCs/>
          <w:iCs/>
          <w:sz w:val="20"/>
          <w:szCs w:val="20"/>
        </w:rPr>
        <w:t xml:space="preserve"> Régimen constitucional </w:t>
      </w:r>
      <w:r>
        <w:rPr>
          <w:rFonts w:ascii="Verdana" w:hAnsi="Verdana" w:cs="Verdana"/>
          <w:bCs/>
          <w:iCs/>
          <w:sz w:val="20"/>
          <w:szCs w:val="20"/>
        </w:rPr>
        <w:t xml:space="preserve">vigente </w:t>
      </w:r>
      <w:r w:rsidRPr="000830A1">
        <w:rPr>
          <w:rFonts w:ascii="Verdana" w:hAnsi="Verdana" w:cs="Verdana"/>
          <w:bCs/>
          <w:iCs/>
          <w:sz w:val="20"/>
          <w:szCs w:val="20"/>
        </w:rPr>
        <w:t>al momento de los hechos, es decir</w:t>
      </w:r>
      <w:r>
        <w:rPr>
          <w:rFonts w:ascii="Verdana" w:hAnsi="Verdana" w:cs="Verdana"/>
          <w:bCs/>
          <w:iCs/>
          <w:sz w:val="20"/>
          <w:szCs w:val="20"/>
        </w:rPr>
        <w:t>,</w:t>
      </w:r>
      <w:r w:rsidRPr="000830A1">
        <w:rPr>
          <w:rFonts w:ascii="Verdana" w:hAnsi="Verdana" w:cs="Verdana"/>
          <w:bCs/>
          <w:iCs/>
          <w:sz w:val="20"/>
          <w:szCs w:val="20"/>
        </w:rPr>
        <w:t xml:space="preserve"> los presuntamente ocurridos después de la aceptación de la competencia contenciosa del Tribunal</w:t>
      </w:r>
      <w:r>
        <w:rPr>
          <w:rFonts w:ascii="Verdana" w:hAnsi="Verdana" w:cs="Verdana"/>
          <w:bCs/>
          <w:iCs/>
          <w:sz w:val="20"/>
          <w:szCs w:val="20"/>
        </w:rPr>
        <w:t xml:space="preserve">; </w:t>
      </w:r>
    </w:p>
    <w:p w:rsidR="00332068" w:rsidRDefault="00332068" w:rsidP="00332068">
      <w:pPr>
        <w:pStyle w:val="ListParagraph"/>
        <w:widowControl w:val="0"/>
        <w:numPr>
          <w:ilvl w:val="0"/>
          <w:numId w:val="24"/>
        </w:numPr>
        <w:autoSpaceDE w:val="0"/>
        <w:autoSpaceDN w:val="0"/>
        <w:adjustRightInd w:val="0"/>
        <w:ind w:left="1440" w:firstLine="0"/>
        <w:jc w:val="both"/>
        <w:rPr>
          <w:rFonts w:ascii="Verdana" w:hAnsi="Verdana" w:cs="Verdana"/>
          <w:bCs/>
          <w:iCs/>
          <w:sz w:val="20"/>
          <w:szCs w:val="20"/>
        </w:rPr>
      </w:pPr>
      <w:r>
        <w:rPr>
          <w:rFonts w:ascii="Verdana" w:hAnsi="Verdana" w:cs="Verdana"/>
          <w:bCs/>
          <w:iCs/>
          <w:sz w:val="20"/>
          <w:szCs w:val="20"/>
        </w:rPr>
        <w:t xml:space="preserve"> la s</w:t>
      </w:r>
      <w:r w:rsidRPr="000830A1">
        <w:rPr>
          <w:rFonts w:ascii="Verdana" w:hAnsi="Verdana" w:cs="Verdana"/>
          <w:bCs/>
          <w:iCs/>
          <w:sz w:val="20"/>
          <w:szCs w:val="20"/>
        </w:rPr>
        <w:t>entencia de la Suprema Corte de Justicia como Corte Constitucional de 2005, relativ</w:t>
      </w:r>
      <w:r>
        <w:rPr>
          <w:rFonts w:ascii="Verdana" w:hAnsi="Verdana" w:cs="Verdana"/>
          <w:bCs/>
          <w:iCs/>
          <w:sz w:val="20"/>
          <w:szCs w:val="20"/>
        </w:rPr>
        <w:t>a</w:t>
      </w:r>
      <w:r w:rsidRPr="000830A1">
        <w:rPr>
          <w:rFonts w:ascii="Verdana" w:hAnsi="Verdana" w:cs="Verdana"/>
          <w:bCs/>
          <w:iCs/>
          <w:sz w:val="20"/>
          <w:szCs w:val="20"/>
        </w:rPr>
        <w:t xml:space="preserve"> a la acción directa de inconstitucionalidad contra la Ley de Migración No. 265-04;</w:t>
      </w:r>
    </w:p>
    <w:p w:rsidR="00332068" w:rsidRDefault="00332068" w:rsidP="00332068">
      <w:pPr>
        <w:pStyle w:val="ListParagraph"/>
        <w:widowControl w:val="0"/>
        <w:numPr>
          <w:ilvl w:val="0"/>
          <w:numId w:val="24"/>
        </w:numPr>
        <w:autoSpaceDE w:val="0"/>
        <w:autoSpaceDN w:val="0"/>
        <w:adjustRightInd w:val="0"/>
        <w:ind w:left="1440" w:firstLine="0"/>
        <w:jc w:val="both"/>
        <w:rPr>
          <w:rFonts w:ascii="Verdana" w:hAnsi="Verdana" w:cs="Verdana"/>
          <w:bCs/>
          <w:iCs/>
          <w:sz w:val="20"/>
          <w:szCs w:val="20"/>
        </w:rPr>
      </w:pPr>
      <w:r>
        <w:rPr>
          <w:rFonts w:ascii="Verdana" w:hAnsi="Verdana" w:cs="Verdana"/>
          <w:bCs/>
          <w:iCs/>
          <w:sz w:val="20"/>
          <w:szCs w:val="20"/>
        </w:rPr>
        <w:t>la a</w:t>
      </w:r>
      <w:r w:rsidRPr="000830A1">
        <w:rPr>
          <w:rFonts w:ascii="Verdana" w:hAnsi="Verdana" w:cs="Verdana"/>
          <w:bCs/>
          <w:iCs/>
          <w:sz w:val="20"/>
          <w:szCs w:val="20"/>
        </w:rPr>
        <w:t xml:space="preserve">plicación del principio </w:t>
      </w:r>
      <w:proofErr w:type="spellStart"/>
      <w:r w:rsidRPr="000830A1">
        <w:rPr>
          <w:rFonts w:ascii="Verdana" w:hAnsi="Verdana" w:cs="Verdana"/>
          <w:bCs/>
          <w:i/>
          <w:iCs/>
          <w:sz w:val="20"/>
          <w:szCs w:val="20"/>
        </w:rPr>
        <w:t>ius</w:t>
      </w:r>
      <w:proofErr w:type="spellEnd"/>
      <w:r w:rsidRPr="000830A1">
        <w:rPr>
          <w:rFonts w:ascii="Verdana" w:hAnsi="Verdana" w:cs="Verdana"/>
          <w:bCs/>
          <w:i/>
          <w:iCs/>
          <w:sz w:val="20"/>
          <w:szCs w:val="20"/>
        </w:rPr>
        <w:t xml:space="preserve"> </w:t>
      </w:r>
      <w:proofErr w:type="spellStart"/>
      <w:r w:rsidRPr="000830A1">
        <w:rPr>
          <w:rFonts w:ascii="Verdana" w:hAnsi="Verdana" w:cs="Verdana"/>
          <w:bCs/>
          <w:i/>
          <w:iCs/>
          <w:sz w:val="20"/>
          <w:szCs w:val="20"/>
        </w:rPr>
        <w:t>solis</w:t>
      </w:r>
      <w:proofErr w:type="spellEnd"/>
      <w:r w:rsidRPr="000830A1">
        <w:rPr>
          <w:rFonts w:ascii="Verdana" w:hAnsi="Verdana" w:cs="Verdana"/>
          <w:bCs/>
          <w:i/>
          <w:iCs/>
          <w:sz w:val="20"/>
          <w:szCs w:val="20"/>
        </w:rPr>
        <w:t xml:space="preserve"> </w:t>
      </w:r>
      <w:r w:rsidRPr="000830A1">
        <w:rPr>
          <w:rFonts w:ascii="Verdana" w:hAnsi="Verdana" w:cs="Verdana"/>
          <w:bCs/>
          <w:iCs/>
          <w:sz w:val="20"/>
          <w:szCs w:val="20"/>
        </w:rPr>
        <w:t>en relación a los hijos de personas indocumentadas y con estatus migratorio irregular en territorio dominicano nacidas antes de</w:t>
      </w:r>
      <w:r>
        <w:rPr>
          <w:rFonts w:ascii="Verdana" w:hAnsi="Verdana" w:cs="Verdana"/>
          <w:bCs/>
          <w:iCs/>
          <w:sz w:val="20"/>
          <w:szCs w:val="20"/>
        </w:rPr>
        <w:t>l año</w:t>
      </w:r>
      <w:r w:rsidRPr="000830A1">
        <w:rPr>
          <w:rFonts w:ascii="Verdana" w:hAnsi="Verdana" w:cs="Verdana"/>
          <w:bCs/>
          <w:iCs/>
          <w:sz w:val="20"/>
          <w:szCs w:val="20"/>
        </w:rPr>
        <w:t xml:space="preserve"> 2010; </w:t>
      </w:r>
    </w:p>
    <w:p w:rsidR="00332068" w:rsidRDefault="00332068" w:rsidP="00332068">
      <w:pPr>
        <w:pStyle w:val="ListParagraph"/>
        <w:widowControl w:val="0"/>
        <w:numPr>
          <w:ilvl w:val="0"/>
          <w:numId w:val="24"/>
        </w:numPr>
        <w:autoSpaceDE w:val="0"/>
        <w:autoSpaceDN w:val="0"/>
        <w:adjustRightInd w:val="0"/>
        <w:ind w:left="1440" w:firstLine="0"/>
        <w:jc w:val="both"/>
        <w:rPr>
          <w:rFonts w:ascii="Verdana" w:hAnsi="Verdana" w:cs="Verdana"/>
          <w:bCs/>
          <w:iCs/>
          <w:sz w:val="20"/>
          <w:szCs w:val="20"/>
        </w:rPr>
      </w:pPr>
      <w:r w:rsidRPr="00701D50">
        <w:rPr>
          <w:rFonts w:ascii="Verdana" w:hAnsi="Verdana" w:cs="Verdana"/>
          <w:bCs/>
          <w:iCs/>
          <w:sz w:val="20"/>
          <w:szCs w:val="20"/>
        </w:rPr>
        <w:t xml:space="preserve">la interpretación del término tránsito al aplicarse la excepción para el otorgamiento de la nacionalidad dominicana por el </w:t>
      </w:r>
      <w:proofErr w:type="spellStart"/>
      <w:r w:rsidRPr="00701D50">
        <w:rPr>
          <w:rFonts w:ascii="Verdana" w:hAnsi="Verdana" w:cs="Verdana"/>
          <w:bCs/>
          <w:i/>
          <w:iCs/>
          <w:sz w:val="20"/>
          <w:szCs w:val="20"/>
        </w:rPr>
        <w:t>ius</w:t>
      </w:r>
      <w:proofErr w:type="spellEnd"/>
      <w:r w:rsidRPr="00701D50">
        <w:rPr>
          <w:rFonts w:ascii="Verdana" w:hAnsi="Verdana" w:cs="Verdana"/>
          <w:bCs/>
          <w:i/>
          <w:iCs/>
          <w:sz w:val="20"/>
          <w:szCs w:val="20"/>
        </w:rPr>
        <w:t xml:space="preserve"> </w:t>
      </w:r>
      <w:proofErr w:type="spellStart"/>
      <w:r w:rsidRPr="00701D50">
        <w:rPr>
          <w:rFonts w:ascii="Verdana" w:hAnsi="Verdana" w:cs="Verdana"/>
          <w:bCs/>
          <w:i/>
          <w:iCs/>
          <w:sz w:val="20"/>
          <w:szCs w:val="20"/>
        </w:rPr>
        <w:t>solis</w:t>
      </w:r>
      <w:proofErr w:type="spellEnd"/>
      <w:r w:rsidRPr="00701D50">
        <w:rPr>
          <w:rFonts w:ascii="Verdana" w:hAnsi="Verdana" w:cs="Verdana"/>
          <w:bCs/>
          <w:i/>
          <w:iCs/>
          <w:sz w:val="20"/>
          <w:szCs w:val="20"/>
        </w:rPr>
        <w:t xml:space="preserve"> </w:t>
      </w:r>
      <w:r w:rsidRPr="00701D50">
        <w:rPr>
          <w:rFonts w:ascii="Verdana" w:hAnsi="Verdana" w:cs="Verdana"/>
          <w:bCs/>
          <w:iCs/>
          <w:sz w:val="20"/>
          <w:szCs w:val="20"/>
        </w:rPr>
        <w:t>antes de la Constitución de</w:t>
      </w:r>
      <w:r>
        <w:rPr>
          <w:rFonts w:ascii="Verdana" w:hAnsi="Verdana" w:cs="Verdana"/>
          <w:bCs/>
          <w:iCs/>
          <w:sz w:val="20"/>
          <w:szCs w:val="20"/>
        </w:rPr>
        <w:t>l año</w:t>
      </w:r>
      <w:r w:rsidRPr="00701D50">
        <w:rPr>
          <w:rFonts w:ascii="Verdana" w:hAnsi="Verdana" w:cs="Verdana"/>
          <w:bCs/>
          <w:iCs/>
          <w:sz w:val="20"/>
          <w:szCs w:val="20"/>
        </w:rPr>
        <w:t xml:space="preserve"> 2010;</w:t>
      </w:r>
    </w:p>
    <w:p w:rsidR="00332068" w:rsidRDefault="00332068" w:rsidP="00332068">
      <w:pPr>
        <w:pStyle w:val="ListParagraph"/>
        <w:widowControl w:val="0"/>
        <w:numPr>
          <w:ilvl w:val="0"/>
          <w:numId w:val="24"/>
        </w:numPr>
        <w:autoSpaceDE w:val="0"/>
        <w:autoSpaceDN w:val="0"/>
        <w:adjustRightInd w:val="0"/>
        <w:ind w:left="1440" w:firstLine="0"/>
        <w:jc w:val="both"/>
        <w:rPr>
          <w:rFonts w:ascii="Verdana" w:hAnsi="Verdana" w:cs="Verdana"/>
          <w:bCs/>
          <w:iCs/>
          <w:sz w:val="20"/>
          <w:szCs w:val="20"/>
        </w:rPr>
      </w:pPr>
      <w:r w:rsidRPr="00701D50">
        <w:rPr>
          <w:rFonts w:ascii="Verdana" w:hAnsi="Verdana" w:cs="Verdana"/>
          <w:bCs/>
          <w:iCs/>
          <w:sz w:val="20"/>
          <w:szCs w:val="20"/>
        </w:rPr>
        <w:t>el análisis complementario de la Ley No. 1683 sobre Naturalizaci</w:t>
      </w:r>
      <w:r>
        <w:rPr>
          <w:rFonts w:ascii="Verdana" w:hAnsi="Verdana" w:cs="Verdana"/>
          <w:bCs/>
          <w:iCs/>
          <w:sz w:val="20"/>
          <w:szCs w:val="20"/>
        </w:rPr>
        <w:t>ón, del 16 de abril de 1948,</w:t>
      </w:r>
      <w:r w:rsidRPr="00701D50">
        <w:rPr>
          <w:rFonts w:ascii="Verdana" w:hAnsi="Verdana" w:cs="Verdana"/>
          <w:bCs/>
          <w:iCs/>
          <w:sz w:val="20"/>
          <w:szCs w:val="20"/>
        </w:rPr>
        <w:t xml:space="preserve"> y</w:t>
      </w:r>
    </w:p>
    <w:p w:rsidR="00332068" w:rsidRPr="00701D50" w:rsidRDefault="00332068" w:rsidP="00332068">
      <w:pPr>
        <w:pStyle w:val="ListParagraph"/>
        <w:widowControl w:val="0"/>
        <w:numPr>
          <w:ilvl w:val="0"/>
          <w:numId w:val="24"/>
        </w:numPr>
        <w:autoSpaceDE w:val="0"/>
        <w:autoSpaceDN w:val="0"/>
        <w:adjustRightInd w:val="0"/>
        <w:ind w:left="1440" w:firstLine="0"/>
        <w:jc w:val="both"/>
        <w:rPr>
          <w:rFonts w:ascii="Verdana" w:hAnsi="Verdana" w:cs="Verdana"/>
          <w:bCs/>
          <w:iCs/>
          <w:sz w:val="20"/>
          <w:szCs w:val="20"/>
        </w:rPr>
      </w:pPr>
      <w:r w:rsidRPr="00701D50">
        <w:rPr>
          <w:rFonts w:ascii="Verdana" w:hAnsi="Verdana" w:cs="Verdana"/>
          <w:bCs/>
          <w:iCs/>
          <w:sz w:val="20"/>
          <w:szCs w:val="20"/>
        </w:rPr>
        <w:t>la aplicación de la Resolución de la J</w:t>
      </w:r>
      <w:r>
        <w:rPr>
          <w:rFonts w:ascii="Verdana" w:hAnsi="Verdana" w:cs="Verdana"/>
          <w:bCs/>
          <w:iCs/>
          <w:sz w:val="20"/>
          <w:szCs w:val="20"/>
        </w:rPr>
        <w:t xml:space="preserve">unta </w:t>
      </w:r>
      <w:r w:rsidRPr="00701D50">
        <w:rPr>
          <w:rFonts w:ascii="Verdana" w:hAnsi="Verdana" w:cs="Verdana"/>
          <w:bCs/>
          <w:iCs/>
          <w:sz w:val="20"/>
          <w:szCs w:val="20"/>
        </w:rPr>
        <w:t>C</w:t>
      </w:r>
      <w:r>
        <w:rPr>
          <w:rFonts w:ascii="Verdana" w:hAnsi="Verdana" w:cs="Verdana"/>
          <w:bCs/>
          <w:iCs/>
          <w:sz w:val="20"/>
          <w:szCs w:val="20"/>
        </w:rPr>
        <w:t xml:space="preserve">entral </w:t>
      </w:r>
      <w:r w:rsidRPr="00701D50">
        <w:rPr>
          <w:rFonts w:ascii="Verdana" w:hAnsi="Verdana" w:cs="Verdana"/>
          <w:bCs/>
          <w:iCs/>
          <w:sz w:val="20"/>
          <w:szCs w:val="20"/>
        </w:rPr>
        <w:t>E</w:t>
      </w:r>
      <w:r>
        <w:rPr>
          <w:rFonts w:ascii="Verdana" w:hAnsi="Verdana" w:cs="Verdana"/>
          <w:bCs/>
          <w:iCs/>
          <w:sz w:val="20"/>
          <w:szCs w:val="20"/>
        </w:rPr>
        <w:t>lectoral</w:t>
      </w:r>
      <w:r w:rsidRPr="00701D50">
        <w:rPr>
          <w:rFonts w:ascii="Verdana" w:hAnsi="Verdana" w:cs="Verdana"/>
          <w:bCs/>
          <w:iCs/>
          <w:sz w:val="20"/>
          <w:szCs w:val="20"/>
        </w:rPr>
        <w:t xml:space="preserve"> No. 12/2007, así como su reciente revocación.</w:t>
      </w:r>
    </w:p>
    <w:p w:rsidR="00332068" w:rsidRPr="007308FA" w:rsidRDefault="00332068" w:rsidP="00332068">
      <w:pPr>
        <w:widowControl w:val="0"/>
        <w:autoSpaceDE w:val="0"/>
        <w:autoSpaceDN w:val="0"/>
        <w:adjustRightInd w:val="0"/>
        <w:jc w:val="both"/>
        <w:rPr>
          <w:rFonts w:ascii="Verdana" w:hAnsi="Verdana"/>
          <w:sz w:val="20"/>
          <w:szCs w:val="20"/>
        </w:rPr>
      </w:pPr>
    </w:p>
    <w:p w:rsidR="00332068" w:rsidRDefault="00332068" w:rsidP="00332068">
      <w:pPr>
        <w:pStyle w:val="ListParagraph"/>
        <w:numPr>
          <w:ilvl w:val="0"/>
          <w:numId w:val="30"/>
        </w:numPr>
        <w:spacing w:after="80"/>
        <w:ind w:left="0" w:firstLine="0"/>
        <w:jc w:val="both"/>
        <w:rPr>
          <w:rFonts w:ascii="Verdana" w:hAnsi="Verdana"/>
          <w:sz w:val="20"/>
        </w:rPr>
      </w:pPr>
      <w:r w:rsidRPr="00BB6FC0">
        <w:rPr>
          <w:rFonts w:ascii="Verdana" w:hAnsi="Verdana"/>
          <w:sz w:val="20"/>
          <w:lang w:val="es-CR"/>
        </w:rPr>
        <w:t xml:space="preserve">Requerir al Estado que facilite la salida y entrada de su territorio de </w:t>
      </w:r>
      <w:r w:rsidRPr="00AD10AA">
        <w:rPr>
          <w:rFonts w:ascii="Verdana" w:hAnsi="Verdana"/>
          <w:sz w:val="20"/>
          <w:lang w:val="es-CR"/>
        </w:rPr>
        <w:t>las personas declarantes, si residen o se encuentran en él, quienes han sido citada</w:t>
      </w:r>
      <w:r w:rsidRPr="00BB6FC0">
        <w:rPr>
          <w:rFonts w:ascii="Verdana" w:hAnsi="Verdana"/>
          <w:sz w:val="20"/>
          <w:lang w:val="es-CR"/>
        </w:rPr>
        <w:t>s en la presente Resolución a rendir declaración en la audiencia pública sobre la</w:t>
      </w:r>
      <w:r>
        <w:rPr>
          <w:rFonts w:ascii="Verdana" w:hAnsi="Verdana"/>
          <w:sz w:val="20"/>
          <w:lang w:val="es-CR"/>
        </w:rPr>
        <w:t>s</w:t>
      </w:r>
      <w:r w:rsidRPr="00BB6FC0">
        <w:rPr>
          <w:rFonts w:ascii="Verdana" w:hAnsi="Verdana"/>
          <w:sz w:val="20"/>
          <w:lang w:val="es-CR"/>
        </w:rPr>
        <w:t xml:space="preserve"> excepci</w:t>
      </w:r>
      <w:r>
        <w:rPr>
          <w:rFonts w:ascii="Verdana" w:hAnsi="Verdana"/>
          <w:sz w:val="20"/>
          <w:lang w:val="es-CR"/>
        </w:rPr>
        <w:t>ones</w:t>
      </w:r>
      <w:r w:rsidRPr="00BB6FC0">
        <w:rPr>
          <w:rFonts w:ascii="Verdana" w:hAnsi="Verdana"/>
          <w:sz w:val="20"/>
          <w:lang w:val="es-CR"/>
        </w:rPr>
        <w:t xml:space="preserve"> preliminar</w:t>
      </w:r>
      <w:r>
        <w:rPr>
          <w:rFonts w:ascii="Verdana" w:hAnsi="Verdana"/>
          <w:sz w:val="20"/>
          <w:lang w:val="es-CR"/>
        </w:rPr>
        <w:t>es</w:t>
      </w:r>
      <w:r w:rsidRPr="00BB6FC0">
        <w:rPr>
          <w:rFonts w:ascii="Verdana" w:hAnsi="Verdana"/>
          <w:sz w:val="20"/>
          <w:lang w:val="es-CR"/>
        </w:rPr>
        <w:t xml:space="preserve"> y eventuales fondo, reparaciones y costas en este caso, de conformidad con lo dispuesto en el artículo </w:t>
      </w:r>
      <w:r w:rsidRPr="00BB6FC0">
        <w:rPr>
          <w:rFonts w:ascii="Verdana" w:hAnsi="Verdana"/>
          <w:sz w:val="20"/>
        </w:rPr>
        <w:t>26.1 del Reglamento de la Corte.</w:t>
      </w:r>
    </w:p>
    <w:p w:rsidR="00332068" w:rsidRPr="001E15BA" w:rsidRDefault="00332068" w:rsidP="00332068">
      <w:pPr>
        <w:pStyle w:val="ListParagraph"/>
        <w:spacing w:after="80"/>
        <w:ind w:left="0"/>
        <w:jc w:val="both"/>
        <w:rPr>
          <w:rFonts w:ascii="Verdana" w:hAnsi="Verdana"/>
          <w:sz w:val="20"/>
        </w:rPr>
      </w:pPr>
    </w:p>
    <w:p w:rsidR="00332068" w:rsidRDefault="00332068" w:rsidP="00332068">
      <w:pPr>
        <w:pStyle w:val="ListParagraph"/>
        <w:numPr>
          <w:ilvl w:val="0"/>
          <w:numId w:val="30"/>
        </w:numPr>
        <w:spacing w:after="80"/>
        <w:ind w:left="0" w:firstLine="0"/>
        <w:jc w:val="both"/>
        <w:rPr>
          <w:rFonts w:ascii="Verdana" w:hAnsi="Verdana"/>
          <w:sz w:val="20"/>
        </w:rPr>
      </w:pPr>
      <w:r>
        <w:rPr>
          <w:rFonts w:ascii="Verdana" w:hAnsi="Verdana"/>
          <w:sz w:val="20"/>
        </w:rPr>
        <w:t>Solicitar</w:t>
      </w:r>
      <w:r w:rsidRPr="004D4E41">
        <w:rPr>
          <w:rFonts w:ascii="Verdana" w:hAnsi="Verdana"/>
          <w:sz w:val="20"/>
        </w:rPr>
        <w:t xml:space="preserve"> a</w:t>
      </w:r>
      <w:r>
        <w:rPr>
          <w:rFonts w:ascii="Verdana" w:hAnsi="Verdana"/>
          <w:sz w:val="20"/>
        </w:rPr>
        <w:t xml:space="preserve"> México</w:t>
      </w:r>
      <w:r w:rsidRPr="004D4E41">
        <w:rPr>
          <w:rFonts w:ascii="Verdana" w:hAnsi="Verdana"/>
          <w:sz w:val="20"/>
        </w:rPr>
        <w:t>, de conformidad con lo dispuesto en el artículo 26 incisos 1 y 3 del Reglamento, su cooperación para llevar a cabo la a</w:t>
      </w:r>
      <w:r>
        <w:rPr>
          <w:rFonts w:ascii="Verdana" w:hAnsi="Verdana"/>
          <w:sz w:val="20"/>
        </w:rPr>
        <w:t>udiencia pública sobre excepciones</w:t>
      </w:r>
      <w:r w:rsidRPr="004D4E41">
        <w:rPr>
          <w:rFonts w:ascii="Verdana" w:hAnsi="Verdana"/>
          <w:sz w:val="20"/>
        </w:rPr>
        <w:t xml:space="preserve"> preliminar</w:t>
      </w:r>
      <w:r>
        <w:rPr>
          <w:rFonts w:ascii="Verdana" w:hAnsi="Verdana"/>
          <w:sz w:val="20"/>
        </w:rPr>
        <w:t>es</w:t>
      </w:r>
      <w:r w:rsidRPr="004D4E41">
        <w:rPr>
          <w:rFonts w:ascii="Verdana" w:hAnsi="Verdana"/>
          <w:sz w:val="20"/>
        </w:rPr>
        <w:t xml:space="preserve"> y eventuales fondo, reparaciones y costas, por celebrarse en ese país, convocada mediante la presente Resolución, así como para facilitar la entrada y salida de su territorio de las personas que fueron citadas a rendir su declaración de presunta víctima, </w:t>
      </w:r>
      <w:r>
        <w:rPr>
          <w:rFonts w:ascii="Verdana" w:hAnsi="Verdana"/>
          <w:sz w:val="20"/>
        </w:rPr>
        <w:t xml:space="preserve">y </w:t>
      </w:r>
      <w:r w:rsidRPr="004D4E41">
        <w:rPr>
          <w:rFonts w:ascii="Verdana" w:hAnsi="Verdana"/>
          <w:sz w:val="20"/>
        </w:rPr>
        <w:t>pericial ante la Corte Interamericana de Derechos Humanos en dicha audiencia y de quienes representarán a la Comisión Interamericana de Derechos Humanos, a República Dominicana y a los representantes de las presuntas víctimas durante la misma. Para tal efecto se dispone que la Secretaría notifique la presente Resolución a</w:t>
      </w:r>
      <w:r>
        <w:rPr>
          <w:rFonts w:ascii="Verdana" w:hAnsi="Verdana"/>
          <w:sz w:val="20"/>
        </w:rPr>
        <w:t xml:space="preserve"> México. </w:t>
      </w:r>
    </w:p>
    <w:p w:rsidR="00332068" w:rsidRDefault="00332068" w:rsidP="00332068">
      <w:pPr>
        <w:pStyle w:val="ListParagraph"/>
        <w:spacing w:after="80"/>
        <w:ind w:left="0"/>
        <w:jc w:val="both"/>
        <w:rPr>
          <w:rFonts w:ascii="Verdana" w:hAnsi="Verdana"/>
          <w:sz w:val="20"/>
        </w:rPr>
      </w:pPr>
    </w:p>
    <w:p w:rsidR="00332068" w:rsidRPr="00BE7135" w:rsidRDefault="00332068" w:rsidP="00332068">
      <w:pPr>
        <w:pStyle w:val="ListParagraph"/>
        <w:numPr>
          <w:ilvl w:val="0"/>
          <w:numId w:val="30"/>
        </w:numPr>
        <w:spacing w:after="80"/>
        <w:ind w:left="0" w:firstLine="0"/>
        <w:jc w:val="both"/>
        <w:rPr>
          <w:rFonts w:ascii="Verdana" w:hAnsi="Verdana"/>
          <w:sz w:val="20"/>
        </w:rPr>
      </w:pPr>
      <w:r w:rsidRPr="004D4E41">
        <w:rPr>
          <w:rFonts w:ascii="Verdana" w:hAnsi="Verdana"/>
          <w:sz w:val="20"/>
          <w:szCs w:val="20"/>
        </w:rPr>
        <w:t>Requerir a los representantes, al Estado y a la Comisión</w:t>
      </w:r>
      <w:r>
        <w:rPr>
          <w:rFonts w:ascii="Verdana" w:hAnsi="Verdana"/>
          <w:sz w:val="20"/>
          <w:szCs w:val="20"/>
        </w:rPr>
        <w:t xml:space="preserve"> Interamericana</w:t>
      </w:r>
      <w:r w:rsidRPr="004D4E41">
        <w:rPr>
          <w:rFonts w:ascii="Verdana" w:hAnsi="Verdana"/>
          <w:sz w:val="20"/>
          <w:szCs w:val="20"/>
        </w:rPr>
        <w:t xml:space="preserve"> que notifiquen la presente Resolución a las personas por ellos propuestas, que han sido </w:t>
      </w:r>
      <w:r w:rsidRPr="004D4E41">
        <w:rPr>
          <w:rFonts w:ascii="Verdana" w:hAnsi="Verdana"/>
          <w:sz w:val="20"/>
          <w:szCs w:val="20"/>
        </w:rPr>
        <w:lastRenderedPageBreak/>
        <w:t>convocadas a rendir declaración, de conformidad con lo dispuesto en el artículo 50.2 y 50.4 del Reglamento.</w:t>
      </w:r>
    </w:p>
    <w:p w:rsidR="00332068" w:rsidRPr="007E6237" w:rsidRDefault="00332068" w:rsidP="00332068">
      <w:pPr>
        <w:pStyle w:val="ListParagraph"/>
        <w:spacing w:after="80"/>
        <w:ind w:left="0"/>
        <w:jc w:val="both"/>
        <w:rPr>
          <w:rFonts w:ascii="Verdana" w:hAnsi="Verdana"/>
          <w:sz w:val="20"/>
        </w:rPr>
      </w:pPr>
    </w:p>
    <w:p w:rsidR="00332068" w:rsidRPr="007E6237" w:rsidRDefault="00332068" w:rsidP="00332068">
      <w:pPr>
        <w:pStyle w:val="ListParagraph"/>
        <w:numPr>
          <w:ilvl w:val="0"/>
          <w:numId w:val="30"/>
        </w:numPr>
        <w:spacing w:after="80"/>
        <w:ind w:left="0" w:firstLine="0"/>
        <w:jc w:val="both"/>
        <w:rPr>
          <w:rFonts w:ascii="Verdana" w:hAnsi="Verdana"/>
          <w:sz w:val="20"/>
        </w:rPr>
      </w:pPr>
      <w:r w:rsidRPr="007E6237">
        <w:rPr>
          <w:rFonts w:ascii="Verdana" w:hAnsi="Verdana" w:cs="Verdana"/>
          <w:color w:val="000000"/>
          <w:sz w:val="20"/>
          <w:szCs w:val="20"/>
          <w:lang w:val="es-CR"/>
        </w:rPr>
        <w:t xml:space="preserve">Informar a </w:t>
      </w:r>
      <w:r w:rsidRPr="007D5D6B">
        <w:rPr>
          <w:rFonts w:ascii="Verdana" w:hAnsi="Verdana"/>
          <w:sz w:val="20"/>
          <w:szCs w:val="20"/>
        </w:rPr>
        <w:t>a los representantes, al Estado y a la Comisión Interamericana</w:t>
      </w:r>
      <w:r w:rsidRPr="007E6237" w:rsidDel="000A3920">
        <w:rPr>
          <w:rFonts w:ascii="Verdana" w:hAnsi="Verdana" w:cs="Verdana"/>
          <w:color w:val="000000"/>
          <w:sz w:val="20"/>
          <w:szCs w:val="20"/>
          <w:lang w:val="es-CR"/>
        </w:rPr>
        <w:t xml:space="preserve"> </w:t>
      </w:r>
      <w:r w:rsidRPr="007E6237">
        <w:rPr>
          <w:rFonts w:ascii="Verdana" w:hAnsi="Verdana" w:cs="Verdana"/>
          <w:color w:val="000000"/>
          <w:sz w:val="20"/>
          <w:szCs w:val="20"/>
          <w:lang w:val="es-CR"/>
        </w:rPr>
        <w:t xml:space="preserve">que deben cubrir los gastos que ocasione la aportación o rendición de la prueba propuesta por ellos, de conformidad con lo dispuesto en el artículo 60 del Reglamento, </w:t>
      </w:r>
      <w:r w:rsidRPr="007E6237">
        <w:rPr>
          <w:rFonts w:ascii="Verdana" w:hAnsi="Verdana"/>
          <w:sz w:val="20"/>
          <w:szCs w:val="20"/>
          <w:lang w:val="es-CR"/>
        </w:rPr>
        <w:t xml:space="preserve">sin perjuicio de lo dispuesto en </w:t>
      </w:r>
      <w:r>
        <w:rPr>
          <w:rFonts w:ascii="Verdana" w:hAnsi="Verdana"/>
          <w:sz w:val="20"/>
          <w:szCs w:val="20"/>
          <w:lang w:val="es-CR"/>
        </w:rPr>
        <w:t xml:space="preserve">el Considerando 65 </w:t>
      </w:r>
      <w:r w:rsidRPr="007E6237">
        <w:rPr>
          <w:rFonts w:ascii="Verdana" w:hAnsi="Verdana"/>
          <w:sz w:val="20"/>
          <w:szCs w:val="20"/>
          <w:lang w:val="es-CR"/>
        </w:rPr>
        <w:t>de la presente Resolución.</w:t>
      </w:r>
    </w:p>
    <w:p w:rsidR="00332068" w:rsidRPr="007E6237" w:rsidRDefault="00332068" w:rsidP="00332068">
      <w:pPr>
        <w:spacing w:after="80"/>
        <w:jc w:val="both"/>
        <w:rPr>
          <w:rFonts w:ascii="Verdana" w:hAnsi="Verdana"/>
          <w:color w:val="000000"/>
          <w:sz w:val="20"/>
          <w:szCs w:val="20"/>
          <w:lang w:val="es-CR"/>
        </w:rPr>
      </w:pPr>
    </w:p>
    <w:p w:rsidR="00332068" w:rsidRPr="0025505D" w:rsidRDefault="00332068" w:rsidP="00332068">
      <w:pPr>
        <w:pStyle w:val="ListParagraph"/>
        <w:numPr>
          <w:ilvl w:val="0"/>
          <w:numId w:val="30"/>
        </w:numPr>
        <w:spacing w:after="80"/>
        <w:ind w:left="0" w:firstLine="0"/>
        <w:jc w:val="both"/>
        <w:rPr>
          <w:rFonts w:ascii="Verdana" w:hAnsi="Verdana"/>
          <w:sz w:val="20"/>
        </w:rPr>
      </w:pPr>
      <w:r>
        <w:rPr>
          <w:rFonts w:ascii="Verdana" w:hAnsi="Verdana"/>
          <w:sz w:val="20"/>
          <w:szCs w:val="20"/>
          <w:lang w:val="es-CR"/>
        </w:rPr>
        <w:t>Requerir a los</w:t>
      </w:r>
      <w:r w:rsidRPr="0025505D">
        <w:rPr>
          <w:rFonts w:ascii="Verdana" w:hAnsi="Verdana"/>
          <w:sz w:val="20"/>
          <w:szCs w:val="20"/>
          <w:lang w:val="es-CR"/>
        </w:rPr>
        <w:t xml:space="preserve"> representante</w:t>
      </w:r>
      <w:r>
        <w:rPr>
          <w:rFonts w:ascii="Verdana" w:hAnsi="Verdana"/>
          <w:sz w:val="20"/>
          <w:szCs w:val="20"/>
          <w:lang w:val="es-CR"/>
        </w:rPr>
        <w:t>s</w:t>
      </w:r>
      <w:r w:rsidRPr="0025505D">
        <w:rPr>
          <w:rFonts w:ascii="Verdana" w:hAnsi="Verdana"/>
          <w:sz w:val="20"/>
          <w:szCs w:val="20"/>
          <w:lang w:val="es-CR"/>
        </w:rPr>
        <w:t xml:space="preserve"> que comunique</w:t>
      </w:r>
      <w:r>
        <w:rPr>
          <w:rFonts w:ascii="Verdana" w:hAnsi="Verdana"/>
          <w:sz w:val="20"/>
          <w:szCs w:val="20"/>
          <w:lang w:val="es-CR"/>
        </w:rPr>
        <w:t>n</w:t>
      </w:r>
      <w:r w:rsidRPr="0025505D">
        <w:rPr>
          <w:rFonts w:ascii="Verdana" w:hAnsi="Verdana"/>
          <w:sz w:val="20"/>
          <w:szCs w:val="20"/>
          <w:lang w:val="es-CR"/>
        </w:rPr>
        <w:t xml:space="preserve"> a la Corte el nombre </w:t>
      </w:r>
      <w:r>
        <w:rPr>
          <w:rFonts w:ascii="Verdana" w:hAnsi="Verdana"/>
          <w:sz w:val="20"/>
          <w:szCs w:val="20"/>
          <w:lang w:val="es-CR"/>
        </w:rPr>
        <w:t xml:space="preserve">de los </w:t>
      </w:r>
      <w:r w:rsidRPr="0025505D">
        <w:rPr>
          <w:rFonts w:ascii="Verdana" w:hAnsi="Verdana"/>
          <w:sz w:val="20"/>
          <w:szCs w:val="20"/>
          <w:lang w:val="es-CR"/>
        </w:rPr>
        <w:t>declarante</w:t>
      </w:r>
      <w:r>
        <w:rPr>
          <w:rFonts w:ascii="Verdana" w:hAnsi="Verdana"/>
          <w:sz w:val="20"/>
          <w:szCs w:val="20"/>
          <w:lang w:val="es-CR"/>
        </w:rPr>
        <w:t>s</w:t>
      </w:r>
      <w:r w:rsidRPr="0025505D">
        <w:rPr>
          <w:rFonts w:ascii="Verdana" w:hAnsi="Verdana"/>
          <w:sz w:val="20"/>
          <w:szCs w:val="20"/>
          <w:lang w:val="es-CR"/>
        </w:rPr>
        <w:t xml:space="preserve"> cuyo </w:t>
      </w:r>
      <w:proofErr w:type="spellStart"/>
      <w:r w:rsidRPr="0025505D">
        <w:rPr>
          <w:rFonts w:ascii="Verdana" w:hAnsi="Verdana"/>
          <w:i/>
          <w:iCs/>
          <w:sz w:val="20"/>
          <w:szCs w:val="20"/>
          <w:lang w:val="es-CR"/>
        </w:rPr>
        <w:t>affidávit</w:t>
      </w:r>
      <w:proofErr w:type="spellEnd"/>
      <w:r w:rsidRPr="0025505D">
        <w:rPr>
          <w:rFonts w:ascii="Verdana" w:hAnsi="Verdana"/>
          <w:i/>
          <w:iCs/>
          <w:sz w:val="20"/>
          <w:szCs w:val="20"/>
          <w:lang w:val="es-CR"/>
        </w:rPr>
        <w:t xml:space="preserve"> </w:t>
      </w:r>
      <w:r w:rsidRPr="0025505D">
        <w:rPr>
          <w:rFonts w:ascii="Verdana" w:hAnsi="Verdana"/>
          <w:sz w:val="20"/>
          <w:szCs w:val="20"/>
          <w:lang w:val="es-CR"/>
        </w:rPr>
        <w:t>será</w:t>
      </w:r>
      <w:r>
        <w:rPr>
          <w:rFonts w:ascii="Verdana" w:hAnsi="Verdana"/>
          <w:sz w:val="20"/>
          <w:szCs w:val="20"/>
          <w:lang w:val="es-CR"/>
        </w:rPr>
        <w:t>n</w:t>
      </w:r>
      <w:r w:rsidRPr="0025505D">
        <w:rPr>
          <w:rFonts w:ascii="Verdana" w:hAnsi="Verdana"/>
          <w:sz w:val="20"/>
          <w:szCs w:val="20"/>
          <w:lang w:val="es-CR"/>
        </w:rPr>
        <w:t xml:space="preserve"> cubierto</w:t>
      </w:r>
      <w:r>
        <w:rPr>
          <w:rFonts w:ascii="Verdana" w:hAnsi="Verdana"/>
          <w:sz w:val="20"/>
          <w:szCs w:val="20"/>
          <w:lang w:val="es-CR"/>
        </w:rPr>
        <w:t>s</w:t>
      </w:r>
      <w:r w:rsidRPr="0025505D">
        <w:rPr>
          <w:rFonts w:ascii="Verdana" w:hAnsi="Verdana"/>
          <w:sz w:val="20"/>
          <w:szCs w:val="20"/>
          <w:lang w:val="es-CR"/>
        </w:rPr>
        <w:t xml:space="preserve"> por el Fondo de Asistencia, y que remita una cotización del costo de la formalización </w:t>
      </w:r>
      <w:r w:rsidRPr="0025505D">
        <w:rPr>
          <w:rFonts w:ascii="Verdana" w:hAnsi="Verdana"/>
          <w:iCs/>
          <w:sz w:val="20"/>
          <w:szCs w:val="20"/>
          <w:lang w:val="es-CR"/>
        </w:rPr>
        <w:t>de una declaración jurada en el país de residencia de</w:t>
      </w:r>
      <w:r>
        <w:rPr>
          <w:rFonts w:ascii="Verdana" w:hAnsi="Verdana"/>
          <w:iCs/>
          <w:sz w:val="20"/>
          <w:szCs w:val="20"/>
          <w:lang w:val="es-CR"/>
        </w:rPr>
        <w:t xml:space="preserve"> </w:t>
      </w:r>
      <w:r w:rsidRPr="0025505D">
        <w:rPr>
          <w:rFonts w:ascii="Verdana" w:hAnsi="Verdana"/>
          <w:iCs/>
          <w:sz w:val="20"/>
          <w:szCs w:val="20"/>
          <w:lang w:val="es-CR"/>
        </w:rPr>
        <w:t>l</w:t>
      </w:r>
      <w:r>
        <w:rPr>
          <w:rFonts w:ascii="Verdana" w:hAnsi="Verdana"/>
          <w:iCs/>
          <w:sz w:val="20"/>
          <w:szCs w:val="20"/>
          <w:lang w:val="es-CR"/>
        </w:rPr>
        <w:t>os</w:t>
      </w:r>
      <w:r w:rsidRPr="0025505D">
        <w:rPr>
          <w:rFonts w:ascii="Verdana" w:hAnsi="Verdana"/>
          <w:iCs/>
          <w:sz w:val="20"/>
          <w:szCs w:val="20"/>
          <w:lang w:val="es-CR"/>
        </w:rPr>
        <w:t xml:space="preserve"> declarante</w:t>
      </w:r>
      <w:r>
        <w:rPr>
          <w:rFonts w:ascii="Verdana" w:hAnsi="Verdana"/>
          <w:iCs/>
          <w:sz w:val="20"/>
          <w:szCs w:val="20"/>
          <w:lang w:val="es-CR"/>
        </w:rPr>
        <w:t>s</w:t>
      </w:r>
      <w:r w:rsidRPr="0025505D">
        <w:rPr>
          <w:rFonts w:ascii="Verdana" w:hAnsi="Verdana"/>
          <w:iCs/>
          <w:sz w:val="20"/>
          <w:szCs w:val="20"/>
          <w:lang w:val="es-CR"/>
        </w:rPr>
        <w:t xml:space="preserve"> y de su envío</w:t>
      </w:r>
      <w:r w:rsidRPr="0025505D">
        <w:rPr>
          <w:rFonts w:ascii="Verdana" w:hAnsi="Verdana"/>
          <w:sz w:val="20"/>
          <w:szCs w:val="20"/>
          <w:lang w:val="es-CR"/>
        </w:rPr>
        <w:t xml:space="preserve">, a más tardar el </w:t>
      </w:r>
      <w:r w:rsidRPr="005D4FF2">
        <w:rPr>
          <w:rFonts w:ascii="Verdana" w:hAnsi="Verdana"/>
          <w:sz w:val="20"/>
          <w:szCs w:val="20"/>
          <w:lang w:val="es-CR"/>
        </w:rPr>
        <w:t>16</w:t>
      </w:r>
      <w:r w:rsidRPr="0025505D">
        <w:rPr>
          <w:rFonts w:ascii="Verdana" w:hAnsi="Verdana"/>
          <w:sz w:val="20"/>
          <w:szCs w:val="20"/>
          <w:lang w:val="es-CR"/>
        </w:rPr>
        <w:t xml:space="preserve"> de </w:t>
      </w:r>
      <w:r>
        <w:rPr>
          <w:rFonts w:ascii="Verdana" w:hAnsi="Verdana"/>
          <w:sz w:val="20"/>
          <w:szCs w:val="20"/>
          <w:lang w:val="es-CR"/>
        </w:rPr>
        <w:t>septiembre</w:t>
      </w:r>
      <w:r w:rsidRPr="0025505D">
        <w:rPr>
          <w:rFonts w:ascii="Verdana" w:hAnsi="Verdana"/>
          <w:sz w:val="20"/>
          <w:szCs w:val="20"/>
          <w:lang w:val="es-CR"/>
        </w:rPr>
        <w:t xml:space="preserve"> de 2013, de conformidad con lo establecido en el Considerando </w:t>
      </w:r>
      <w:r>
        <w:rPr>
          <w:rFonts w:ascii="Verdana" w:hAnsi="Verdana"/>
          <w:sz w:val="20"/>
          <w:szCs w:val="20"/>
          <w:lang w:val="es-CR"/>
        </w:rPr>
        <w:t>65</w:t>
      </w:r>
      <w:r w:rsidRPr="0025505D">
        <w:rPr>
          <w:rFonts w:ascii="Verdana" w:hAnsi="Verdana"/>
          <w:sz w:val="20"/>
          <w:szCs w:val="20"/>
          <w:lang w:val="es-CR"/>
        </w:rPr>
        <w:t xml:space="preserve"> de la presente Resolución. </w:t>
      </w:r>
    </w:p>
    <w:p w:rsidR="00332068" w:rsidRPr="004D4E41" w:rsidRDefault="00332068" w:rsidP="00332068">
      <w:pPr>
        <w:spacing w:after="80"/>
        <w:jc w:val="both"/>
        <w:rPr>
          <w:rFonts w:ascii="Verdana" w:hAnsi="Verdana" w:cs="Verdana"/>
          <w:sz w:val="20"/>
          <w:szCs w:val="20"/>
        </w:rPr>
      </w:pPr>
    </w:p>
    <w:p w:rsidR="00332068" w:rsidRPr="00BE7135" w:rsidRDefault="00332068" w:rsidP="00332068">
      <w:pPr>
        <w:pStyle w:val="ListParagraph"/>
        <w:numPr>
          <w:ilvl w:val="0"/>
          <w:numId w:val="30"/>
        </w:numPr>
        <w:spacing w:after="80"/>
        <w:ind w:left="0" w:firstLine="0"/>
        <w:jc w:val="both"/>
        <w:rPr>
          <w:rFonts w:ascii="Verdana" w:hAnsi="Verdana"/>
          <w:sz w:val="20"/>
        </w:rPr>
      </w:pPr>
      <w:r w:rsidRPr="004D4E41">
        <w:rPr>
          <w:rFonts w:ascii="Verdana" w:hAnsi="Verdana" w:cs="Verdana"/>
          <w:sz w:val="20"/>
          <w:szCs w:val="20"/>
        </w:rPr>
        <w:t>Requerir a los representantes, al Estado y a la Comisión Interamericana que informen a las personas convocadas para declarar y rendir dictamen pericial que, según lo dispuesto en el artículo 54 del Reglamento, el Tribunal pondrá en conocimiento del Estado</w:t>
      </w:r>
      <w:r w:rsidRPr="004D4E41">
        <w:rPr>
          <w:rFonts w:ascii="Verdana" w:hAnsi="Verdana"/>
          <w:sz w:val="20"/>
          <w:szCs w:val="20"/>
        </w:rPr>
        <w:t xml:space="preserve">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332068" w:rsidRPr="00BE7135" w:rsidRDefault="00332068" w:rsidP="00332068">
      <w:pPr>
        <w:pStyle w:val="ListParagraph"/>
        <w:rPr>
          <w:rFonts w:ascii="Verdana" w:hAnsi="Verdana"/>
          <w:sz w:val="20"/>
          <w:szCs w:val="20"/>
        </w:rPr>
      </w:pPr>
    </w:p>
    <w:p w:rsidR="00332068" w:rsidRPr="00B33B1E" w:rsidRDefault="00332068" w:rsidP="00332068">
      <w:pPr>
        <w:pStyle w:val="ListParagraph"/>
        <w:numPr>
          <w:ilvl w:val="0"/>
          <w:numId w:val="30"/>
        </w:numPr>
        <w:spacing w:after="80"/>
        <w:ind w:left="0" w:firstLine="0"/>
        <w:jc w:val="both"/>
        <w:rPr>
          <w:rFonts w:ascii="Verdana" w:hAnsi="Verdana"/>
          <w:sz w:val="20"/>
        </w:rPr>
      </w:pPr>
      <w:r w:rsidRPr="00B33B1E">
        <w:rPr>
          <w:rFonts w:ascii="Verdana" w:hAnsi="Verdana"/>
          <w:sz w:val="20"/>
          <w:szCs w:val="20"/>
        </w:rPr>
        <w:t>Inadmitir la</w:t>
      </w:r>
      <w:r>
        <w:rPr>
          <w:rFonts w:ascii="Verdana" w:hAnsi="Verdana"/>
          <w:sz w:val="20"/>
          <w:szCs w:val="20"/>
        </w:rPr>
        <w:t>s declaraciones periciales</w:t>
      </w:r>
      <w:r w:rsidRPr="00B33B1E">
        <w:rPr>
          <w:rFonts w:ascii="Verdana" w:hAnsi="Verdana"/>
          <w:sz w:val="20"/>
          <w:szCs w:val="20"/>
        </w:rPr>
        <w:t xml:space="preserve"> de la</w:t>
      </w:r>
      <w:r>
        <w:rPr>
          <w:rFonts w:ascii="Verdana" w:hAnsi="Verdana"/>
          <w:sz w:val="20"/>
          <w:szCs w:val="20"/>
        </w:rPr>
        <w:t>s</w:t>
      </w:r>
      <w:r w:rsidRPr="00B33B1E">
        <w:rPr>
          <w:rFonts w:ascii="Verdana" w:hAnsi="Verdana"/>
          <w:sz w:val="20"/>
          <w:szCs w:val="20"/>
        </w:rPr>
        <w:t xml:space="preserve"> señora</w:t>
      </w:r>
      <w:r>
        <w:rPr>
          <w:rFonts w:ascii="Verdana" w:hAnsi="Verdana"/>
          <w:sz w:val="20"/>
          <w:szCs w:val="20"/>
        </w:rPr>
        <w:t>s</w:t>
      </w:r>
      <w:r w:rsidRPr="00B33B1E">
        <w:rPr>
          <w:rFonts w:ascii="Verdana" w:hAnsi="Verdana"/>
          <w:sz w:val="20"/>
          <w:szCs w:val="20"/>
        </w:rPr>
        <w:t xml:space="preserve"> </w:t>
      </w:r>
      <w:r>
        <w:rPr>
          <w:rFonts w:ascii="Verdana" w:hAnsi="Verdana"/>
          <w:sz w:val="20"/>
          <w:szCs w:val="20"/>
        </w:rPr>
        <w:t xml:space="preserve">Brígida Sabino Pozo y </w:t>
      </w:r>
      <w:r w:rsidRPr="00B33B1E">
        <w:rPr>
          <w:rFonts w:ascii="Verdana" w:hAnsi="Verdana"/>
          <w:sz w:val="20"/>
          <w:szCs w:val="20"/>
        </w:rPr>
        <w:t xml:space="preserve">Sara </w:t>
      </w:r>
      <w:proofErr w:type="spellStart"/>
      <w:r w:rsidRPr="00B33B1E">
        <w:rPr>
          <w:rFonts w:ascii="Verdana" w:hAnsi="Verdana"/>
          <w:sz w:val="20"/>
          <w:szCs w:val="20"/>
        </w:rPr>
        <w:t>Patnella</w:t>
      </w:r>
      <w:proofErr w:type="spellEnd"/>
      <w:r>
        <w:rPr>
          <w:rFonts w:ascii="Verdana" w:hAnsi="Verdana"/>
          <w:sz w:val="20"/>
          <w:szCs w:val="20"/>
        </w:rPr>
        <w:t xml:space="preserve"> García</w:t>
      </w:r>
      <w:r w:rsidRPr="00B33B1E">
        <w:rPr>
          <w:rFonts w:ascii="Verdana" w:hAnsi="Verdana"/>
          <w:sz w:val="20"/>
          <w:szCs w:val="20"/>
        </w:rPr>
        <w:t xml:space="preserve"> y la declaración testimonial del señor </w:t>
      </w:r>
      <w:r w:rsidRPr="00F609B8">
        <w:rPr>
          <w:rFonts w:ascii="Verdana" w:hAnsi="Verdana"/>
          <w:sz w:val="20"/>
          <w:szCs w:val="20"/>
        </w:rPr>
        <w:t>Santo Domingo Guerrero Clase,</w:t>
      </w:r>
      <w:r w:rsidRPr="00B33B1E">
        <w:rPr>
          <w:rFonts w:ascii="Verdana" w:hAnsi="Verdana"/>
          <w:sz w:val="20"/>
          <w:szCs w:val="20"/>
        </w:rPr>
        <w:t xml:space="preserve"> de conformidad a lo establecido en los Considerandos </w:t>
      </w:r>
      <w:r>
        <w:rPr>
          <w:rFonts w:ascii="Verdana" w:hAnsi="Verdana"/>
          <w:sz w:val="20"/>
          <w:szCs w:val="20"/>
        </w:rPr>
        <w:t>22, 39</w:t>
      </w:r>
      <w:r w:rsidRPr="00A701E3">
        <w:rPr>
          <w:rFonts w:ascii="Verdana" w:hAnsi="Verdana"/>
          <w:sz w:val="20"/>
          <w:szCs w:val="20"/>
        </w:rPr>
        <w:t xml:space="preserve"> y </w:t>
      </w:r>
      <w:r>
        <w:rPr>
          <w:rFonts w:ascii="Verdana" w:hAnsi="Verdana"/>
          <w:sz w:val="20"/>
          <w:szCs w:val="20"/>
        </w:rPr>
        <w:t xml:space="preserve">42 </w:t>
      </w:r>
      <w:r w:rsidRPr="00B33B1E">
        <w:rPr>
          <w:rFonts w:ascii="Verdana" w:hAnsi="Verdana"/>
          <w:sz w:val="20"/>
          <w:szCs w:val="20"/>
        </w:rPr>
        <w:t>de la presente Resolución.</w:t>
      </w:r>
    </w:p>
    <w:p w:rsidR="00332068" w:rsidRPr="004D4E41" w:rsidRDefault="00332068" w:rsidP="00332068">
      <w:pPr>
        <w:spacing w:after="80"/>
        <w:jc w:val="both"/>
        <w:rPr>
          <w:rFonts w:ascii="Verdana" w:hAnsi="Verdana"/>
          <w:sz w:val="20"/>
          <w:szCs w:val="20"/>
        </w:rPr>
      </w:pPr>
    </w:p>
    <w:p w:rsidR="00332068" w:rsidRPr="00BC6B89" w:rsidRDefault="00332068" w:rsidP="00332068">
      <w:pPr>
        <w:pStyle w:val="ListParagraph"/>
        <w:numPr>
          <w:ilvl w:val="0"/>
          <w:numId w:val="30"/>
        </w:numPr>
        <w:spacing w:after="80"/>
        <w:ind w:left="0" w:firstLine="0"/>
        <w:jc w:val="both"/>
        <w:rPr>
          <w:rFonts w:ascii="Verdana" w:hAnsi="Verdana"/>
          <w:sz w:val="20"/>
        </w:rPr>
      </w:pPr>
      <w:r w:rsidRPr="004D4E41">
        <w:rPr>
          <w:rFonts w:ascii="Verdana" w:hAnsi="Verdana"/>
          <w:sz w:val="20"/>
          <w:szCs w:val="20"/>
        </w:rPr>
        <w:t>Informar a los representantes, al Estado y a la Comisión Interamericana que, al término de las declaraciones y los dictámenes periciales rendidos durante la audiencia pública, podrán presentar ante el Tribunal sus alegatos finales orales y observaciones finales orales, respectivamente, sobre la</w:t>
      </w:r>
      <w:r>
        <w:rPr>
          <w:rFonts w:ascii="Verdana" w:hAnsi="Verdana"/>
          <w:sz w:val="20"/>
          <w:szCs w:val="20"/>
        </w:rPr>
        <w:t>s excepciones</w:t>
      </w:r>
      <w:r w:rsidRPr="004D4E41">
        <w:rPr>
          <w:rFonts w:ascii="Verdana" w:hAnsi="Verdana"/>
          <w:sz w:val="20"/>
          <w:szCs w:val="20"/>
        </w:rPr>
        <w:t xml:space="preserve"> preliminar</w:t>
      </w:r>
      <w:r>
        <w:rPr>
          <w:rFonts w:ascii="Verdana" w:hAnsi="Verdana"/>
          <w:sz w:val="20"/>
          <w:szCs w:val="20"/>
        </w:rPr>
        <w:t xml:space="preserve">es y </w:t>
      </w:r>
      <w:r w:rsidRPr="004D4E41">
        <w:rPr>
          <w:rFonts w:ascii="Verdana" w:hAnsi="Verdana"/>
          <w:sz w:val="20"/>
          <w:szCs w:val="20"/>
        </w:rPr>
        <w:t>eventuales fondo, reparaciones y costas en el presente caso.</w:t>
      </w:r>
    </w:p>
    <w:p w:rsidR="00332068" w:rsidRPr="00BC6B89" w:rsidRDefault="00332068" w:rsidP="00332068">
      <w:pPr>
        <w:pStyle w:val="ListParagraph"/>
        <w:rPr>
          <w:rFonts w:ascii="Verdana" w:hAnsi="Verdana"/>
          <w:sz w:val="20"/>
        </w:rPr>
      </w:pPr>
    </w:p>
    <w:p w:rsidR="00332068" w:rsidRPr="00BC6B89" w:rsidRDefault="00332068" w:rsidP="00332068">
      <w:pPr>
        <w:pStyle w:val="ListParagraph"/>
        <w:numPr>
          <w:ilvl w:val="0"/>
          <w:numId w:val="30"/>
        </w:numPr>
        <w:spacing w:after="80"/>
        <w:ind w:left="0" w:firstLine="0"/>
        <w:jc w:val="both"/>
        <w:rPr>
          <w:rFonts w:ascii="Verdana" w:hAnsi="Verdana"/>
          <w:sz w:val="20"/>
        </w:rPr>
      </w:pPr>
      <w:r w:rsidRPr="00BC6B89">
        <w:rPr>
          <w:rFonts w:ascii="Verdana" w:hAnsi="Verdana"/>
          <w:sz w:val="20"/>
          <w:szCs w:val="20"/>
        </w:rPr>
        <w:t xml:space="preserve">Disponer que, con posterioridad a la audiencia pública y de conformidad con lo dispuesto en el artículo 55.3 del Reglamento, la Secretaría de la Corte indique a la Comisión Interamericana, a los representantes y al Estado, a la brevedad posible, el enlace en el que se encontrará disponible la grabación de la audiencia pública del presente caso. </w:t>
      </w:r>
    </w:p>
    <w:p w:rsidR="00332068" w:rsidRDefault="00332068" w:rsidP="00332068">
      <w:pPr>
        <w:widowControl w:val="0"/>
        <w:autoSpaceDE w:val="0"/>
        <w:autoSpaceDN w:val="0"/>
        <w:adjustRightInd w:val="0"/>
        <w:jc w:val="both"/>
        <w:rPr>
          <w:rFonts w:ascii="Verdana" w:hAnsi="Verdana"/>
          <w:sz w:val="20"/>
          <w:szCs w:val="20"/>
        </w:rPr>
      </w:pPr>
    </w:p>
    <w:p w:rsidR="00332068" w:rsidRPr="007D5D6B" w:rsidRDefault="00332068" w:rsidP="00332068">
      <w:pPr>
        <w:pStyle w:val="ListParagraph"/>
        <w:widowControl w:val="0"/>
        <w:numPr>
          <w:ilvl w:val="0"/>
          <w:numId w:val="30"/>
        </w:numPr>
        <w:autoSpaceDE w:val="0"/>
        <w:autoSpaceDN w:val="0"/>
        <w:adjustRightInd w:val="0"/>
        <w:ind w:left="0" w:firstLine="0"/>
        <w:jc w:val="both"/>
        <w:rPr>
          <w:rFonts w:ascii="Verdana" w:hAnsi="Verdana"/>
          <w:sz w:val="20"/>
          <w:szCs w:val="20"/>
        </w:rPr>
      </w:pPr>
      <w:r w:rsidRPr="007D5D6B">
        <w:rPr>
          <w:rFonts w:ascii="Verdana" w:hAnsi="Verdana"/>
          <w:sz w:val="20"/>
          <w:szCs w:val="20"/>
        </w:rPr>
        <w:t xml:space="preserve">Informar a los representantes, al Estado y a la Comisión Interamericana, que cuentan con un plazo hasta </w:t>
      </w:r>
      <w:r w:rsidRPr="00184162">
        <w:rPr>
          <w:rFonts w:ascii="Verdana" w:hAnsi="Verdana"/>
          <w:sz w:val="20"/>
          <w:szCs w:val="20"/>
        </w:rPr>
        <w:t>9</w:t>
      </w:r>
      <w:r>
        <w:rPr>
          <w:rFonts w:ascii="Verdana" w:hAnsi="Verdana"/>
          <w:sz w:val="20"/>
          <w:szCs w:val="20"/>
        </w:rPr>
        <w:t xml:space="preserve"> de noviembre</w:t>
      </w:r>
      <w:r w:rsidRPr="007D5D6B">
        <w:rPr>
          <w:rFonts w:ascii="Verdana" w:hAnsi="Verdana"/>
          <w:sz w:val="20"/>
          <w:szCs w:val="20"/>
        </w:rPr>
        <w:t xml:space="preserve"> de 2013 para presentar sus alegatos finales escritos y observaciones finales escritas, respectivamente, en relación con la</w:t>
      </w:r>
      <w:r>
        <w:rPr>
          <w:rFonts w:ascii="Verdana" w:hAnsi="Verdana"/>
          <w:sz w:val="20"/>
          <w:szCs w:val="20"/>
        </w:rPr>
        <w:t>s excepciones</w:t>
      </w:r>
      <w:r w:rsidRPr="007D5D6B">
        <w:rPr>
          <w:rFonts w:ascii="Verdana" w:hAnsi="Verdana"/>
          <w:sz w:val="20"/>
          <w:szCs w:val="20"/>
        </w:rPr>
        <w:t xml:space="preserve"> preliminar</w:t>
      </w:r>
      <w:r>
        <w:rPr>
          <w:rFonts w:ascii="Verdana" w:hAnsi="Verdana"/>
          <w:sz w:val="20"/>
          <w:szCs w:val="20"/>
        </w:rPr>
        <w:t>es</w:t>
      </w:r>
      <w:r w:rsidRPr="007D5D6B">
        <w:rPr>
          <w:rFonts w:ascii="Verdana" w:hAnsi="Verdana"/>
          <w:sz w:val="20"/>
          <w:szCs w:val="20"/>
        </w:rPr>
        <w:t xml:space="preserve"> y eventuales fondo, reparaciones y costas en el presente caso. Este plazo es improrrogable.</w:t>
      </w:r>
    </w:p>
    <w:p w:rsidR="00332068" w:rsidRDefault="00332068" w:rsidP="00332068">
      <w:pPr>
        <w:pStyle w:val="ListParagraph"/>
        <w:widowControl w:val="0"/>
        <w:autoSpaceDE w:val="0"/>
        <w:autoSpaceDN w:val="0"/>
        <w:adjustRightInd w:val="0"/>
        <w:ind w:left="0"/>
        <w:jc w:val="both"/>
        <w:rPr>
          <w:rFonts w:ascii="Verdana" w:hAnsi="Verdana"/>
          <w:sz w:val="20"/>
          <w:szCs w:val="20"/>
        </w:rPr>
      </w:pPr>
    </w:p>
    <w:p w:rsidR="00332068" w:rsidRPr="007E6237" w:rsidRDefault="00332068" w:rsidP="00332068">
      <w:pPr>
        <w:pStyle w:val="ListParagraph"/>
        <w:widowControl w:val="0"/>
        <w:numPr>
          <w:ilvl w:val="0"/>
          <w:numId w:val="30"/>
        </w:numPr>
        <w:autoSpaceDE w:val="0"/>
        <w:autoSpaceDN w:val="0"/>
        <w:adjustRightInd w:val="0"/>
        <w:ind w:left="0" w:firstLine="0"/>
        <w:jc w:val="both"/>
        <w:rPr>
          <w:rFonts w:ascii="Verdana" w:hAnsi="Verdana"/>
          <w:sz w:val="20"/>
          <w:szCs w:val="20"/>
        </w:rPr>
      </w:pPr>
      <w:r w:rsidRPr="007E6237">
        <w:rPr>
          <w:rFonts w:ascii="Verdana" w:hAnsi="Verdana" w:cs="Verdana"/>
          <w:color w:val="000000"/>
          <w:sz w:val="20"/>
          <w:lang w:val="es-CR"/>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332068" w:rsidRDefault="00332068" w:rsidP="00332068">
      <w:pPr>
        <w:pStyle w:val="ListParagraph"/>
        <w:widowControl w:val="0"/>
        <w:autoSpaceDE w:val="0"/>
        <w:autoSpaceDN w:val="0"/>
        <w:adjustRightInd w:val="0"/>
        <w:ind w:left="0"/>
        <w:jc w:val="both"/>
        <w:rPr>
          <w:rFonts w:ascii="Verdana" w:hAnsi="Verdana"/>
          <w:sz w:val="20"/>
          <w:szCs w:val="20"/>
        </w:rPr>
      </w:pPr>
    </w:p>
    <w:p w:rsidR="00332068" w:rsidRDefault="00332068" w:rsidP="00332068">
      <w:pPr>
        <w:pStyle w:val="ListParagraph"/>
        <w:widowControl w:val="0"/>
        <w:numPr>
          <w:ilvl w:val="0"/>
          <w:numId w:val="30"/>
        </w:numPr>
        <w:autoSpaceDE w:val="0"/>
        <w:autoSpaceDN w:val="0"/>
        <w:adjustRightInd w:val="0"/>
        <w:ind w:left="0" w:firstLine="0"/>
        <w:jc w:val="both"/>
        <w:rPr>
          <w:rFonts w:ascii="Verdana" w:hAnsi="Verdana"/>
          <w:sz w:val="20"/>
          <w:szCs w:val="20"/>
        </w:rPr>
      </w:pPr>
      <w:r w:rsidRPr="004D4E41">
        <w:rPr>
          <w:rFonts w:ascii="Verdana" w:hAnsi="Verdana"/>
          <w:sz w:val="20"/>
          <w:szCs w:val="20"/>
        </w:rPr>
        <w:lastRenderedPageBreak/>
        <w:t>Disponer que la Secretaría de la Corte Interamericana notifique la presente Resolución a los representantes</w:t>
      </w:r>
      <w:r>
        <w:rPr>
          <w:rFonts w:ascii="Verdana" w:hAnsi="Verdana"/>
          <w:sz w:val="20"/>
          <w:szCs w:val="20"/>
        </w:rPr>
        <w:t xml:space="preserve"> de las presuntas víctimas</w:t>
      </w:r>
      <w:r w:rsidRPr="004D4E41">
        <w:rPr>
          <w:rFonts w:ascii="Verdana" w:hAnsi="Verdana"/>
          <w:sz w:val="20"/>
          <w:szCs w:val="20"/>
        </w:rPr>
        <w:t>, a la República Dominicana y a la Comisión Interamericana de Derechos Humanos.</w:t>
      </w:r>
    </w:p>
    <w:p w:rsidR="00332068" w:rsidRPr="007D6802" w:rsidRDefault="00332068" w:rsidP="00332068">
      <w:pPr>
        <w:pStyle w:val="ListParagraph"/>
        <w:rPr>
          <w:rFonts w:ascii="Verdana" w:hAnsi="Verdana"/>
          <w:sz w:val="20"/>
          <w:szCs w:val="20"/>
        </w:rPr>
      </w:pPr>
    </w:p>
    <w:p w:rsidR="00332068" w:rsidRDefault="00332068" w:rsidP="00332068">
      <w:pPr>
        <w:pStyle w:val="ListParagraph"/>
        <w:widowControl w:val="0"/>
        <w:autoSpaceDE w:val="0"/>
        <w:autoSpaceDN w:val="0"/>
        <w:adjustRightInd w:val="0"/>
        <w:ind w:left="0"/>
        <w:jc w:val="both"/>
        <w:rPr>
          <w:rFonts w:ascii="Verdana" w:hAnsi="Verdana"/>
          <w:sz w:val="20"/>
          <w:szCs w:val="20"/>
        </w:rPr>
      </w:pPr>
    </w:p>
    <w:p w:rsidR="00293392" w:rsidRDefault="00293392" w:rsidP="00332068">
      <w:pPr>
        <w:pStyle w:val="ListParagraph"/>
        <w:widowControl w:val="0"/>
        <w:autoSpaceDE w:val="0"/>
        <w:autoSpaceDN w:val="0"/>
        <w:adjustRightInd w:val="0"/>
        <w:ind w:left="0"/>
        <w:jc w:val="both"/>
        <w:rPr>
          <w:rFonts w:ascii="Verdana" w:hAnsi="Verdana"/>
          <w:sz w:val="20"/>
          <w:szCs w:val="20"/>
        </w:rPr>
      </w:pPr>
    </w:p>
    <w:p w:rsidR="00332068" w:rsidRDefault="00332068" w:rsidP="00332068">
      <w:pPr>
        <w:pStyle w:val="ListParagraph"/>
        <w:widowControl w:val="0"/>
        <w:autoSpaceDE w:val="0"/>
        <w:autoSpaceDN w:val="0"/>
        <w:adjustRightInd w:val="0"/>
        <w:ind w:left="0"/>
        <w:jc w:val="both"/>
        <w:rPr>
          <w:rFonts w:ascii="Verdana" w:hAnsi="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right"/>
        <w:rPr>
          <w:rFonts w:ascii="Verdana" w:hAnsi="Verdana" w:cs="Verdana"/>
          <w:sz w:val="20"/>
          <w:szCs w:val="20"/>
        </w:rPr>
      </w:pPr>
      <w:r>
        <w:rPr>
          <w:rFonts w:ascii="Verdana" w:hAnsi="Verdana" w:cs="Verdana"/>
          <w:sz w:val="20"/>
          <w:szCs w:val="20"/>
        </w:rPr>
        <w:t>Diego García-Sayán</w:t>
      </w:r>
    </w:p>
    <w:p w:rsidR="00332068" w:rsidRDefault="00332068" w:rsidP="00332068">
      <w:pPr>
        <w:widowControl w:val="0"/>
        <w:tabs>
          <w:tab w:val="left" w:pos="720"/>
        </w:tabs>
        <w:autoSpaceDE w:val="0"/>
        <w:autoSpaceDN w:val="0"/>
        <w:adjustRightInd w:val="0"/>
        <w:ind w:right="540"/>
        <w:jc w:val="right"/>
        <w:rPr>
          <w:rFonts w:ascii="Verdana" w:hAnsi="Verdana" w:cs="Verdana"/>
          <w:sz w:val="20"/>
          <w:szCs w:val="20"/>
        </w:rPr>
      </w:pPr>
      <w:r>
        <w:rPr>
          <w:rFonts w:ascii="Verdana" w:hAnsi="Verdana" w:cs="Verdana"/>
          <w:sz w:val="20"/>
          <w:szCs w:val="20"/>
        </w:rPr>
        <w:t>Presidente</w:t>
      </w: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r>
        <w:rPr>
          <w:rFonts w:ascii="Verdana" w:hAnsi="Verdana" w:cs="Verdana"/>
          <w:sz w:val="20"/>
          <w:szCs w:val="20"/>
        </w:rPr>
        <w:t>Pablo Saavedra Alessandri</w:t>
      </w:r>
    </w:p>
    <w:p w:rsidR="00332068" w:rsidRDefault="00332068" w:rsidP="00332068">
      <w:pPr>
        <w:widowControl w:val="0"/>
        <w:tabs>
          <w:tab w:val="left" w:pos="720"/>
        </w:tabs>
        <w:autoSpaceDE w:val="0"/>
        <w:autoSpaceDN w:val="0"/>
        <w:adjustRightInd w:val="0"/>
        <w:jc w:val="both"/>
        <w:rPr>
          <w:rFonts w:ascii="Verdana" w:hAnsi="Verdana" w:cs="Verdana"/>
          <w:sz w:val="20"/>
          <w:szCs w:val="20"/>
        </w:rPr>
      </w:pPr>
      <w:r>
        <w:rPr>
          <w:rFonts w:ascii="Verdana" w:hAnsi="Verdana" w:cs="Verdana"/>
          <w:sz w:val="20"/>
          <w:szCs w:val="20"/>
        </w:rPr>
        <w:tab/>
        <w:t xml:space="preserve">  Secretario</w:t>
      </w: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both"/>
        <w:rPr>
          <w:rFonts w:ascii="Verdana" w:hAnsi="Verdana" w:cs="Verdana"/>
          <w:sz w:val="20"/>
          <w:szCs w:val="20"/>
        </w:rPr>
      </w:pPr>
      <w:r>
        <w:rPr>
          <w:rFonts w:ascii="Verdana" w:hAnsi="Verdana" w:cs="Verdana"/>
          <w:sz w:val="20"/>
          <w:szCs w:val="20"/>
        </w:rPr>
        <w:t>Comuníquese y ejecútese,</w:t>
      </w: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293392" w:rsidRDefault="00293392" w:rsidP="00332068">
      <w:pPr>
        <w:widowControl w:val="0"/>
        <w:tabs>
          <w:tab w:val="left" w:pos="720"/>
        </w:tabs>
        <w:autoSpaceDE w:val="0"/>
        <w:autoSpaceDN w:val="0"/>
        <w:adjustRightInd w:val="0"/>
        <w:jc w:val="both"/>
        <w:rPr>
          <w:rFonts w:ascii="Verdana" w:hAnsi="Verdana" w:cs="Verdana"/>
          <w:sz w:val="20"/>
          <w:szCs w:val="20"/>
        </w:rPr>
      </w:pPr>
    </w:p>
    <w:p w:rsidR="00332068" w:rsidRDefault="00332068" w:rsidP="00332068">
      <w:pPr>
        <w:widowControl w:val="0"/>
        <w:tabs>
          <w:tab w:val="left" w:pos="720"/>
        </w:tabs>
        <w:autoSpaceDE w:val="0"/>
        <w:autoSpaceDN w:val="0"/>
        <w:adjustRightInd w:val="0"/>
        <w:jc w:val="right"/>
        <w:rPr>
          <w:rFonts w:ascii="Verdana" w:hAnsi="Verdana" w:cs="Verdana"/>
          <w:sz w:val="20"/>
          <w:szCs w:val="20"/>
        </w:rPr>
      </w:pPr>
      <w:r>
        <w:rPr>
          <w:rFonts w:ascii="Verdana" w:hAnsi="Verdana" w:cs="Verdana"/>
          <w:sz w:val="20"/>
          <w:szCs w:val="20"/>
        </w:rPr>
        <w:t>Diego García-Sayán</w:t>
      </w:r>
    </w:p>
    <w:p w:rsidR="00332068" w:rsidRDefault="00332068" w:rsidP="00332068">
      <w:pPr>
        <w:widowControl w:val="0"/>
        <w:tabs>
          <w:tab w:val="left" w:pos="720"/>
        </w:tabs>
        <w:autoSpaceDE w:val="0"/>
        <w:autoSpaceDN w:val="0"/>
        <w:adjustRightInd w:val="0"/>
        <w:ind w:right="540"/>
        <w:jc w:val="right"/>
        <w:rPr>
          <w:rFonts w:ascii="Verdana" w:hAnsi="Verdana" w:cs="Verdana"/>
          <w:sz w:val="20"/>
          <w:szCs w:val="20"/>
        </w:rPr>
      </w:pPr>
      <w:r>
        <w:rPr>
          <w:rFonts w:ascii="Verdana" w:hAnsi="Verdana" w:cs="Verdana"/>
          <w:sz w:val="20"/>
          <w:szCs w:val="20"/>
        </w:rPr>
        <w:t>Presidente</w:t>
      </w:r>
    </w:p>
    <w:p w:rsidR="00332068" w:rsidRDefault="00332068" w:rsidP="00332068"/>
    <w:p w:rsidR="00293392" w:rsidRDefault="00293392" w:rsidP="00332068"/>
    <w:p w:rsidR="00293392" w:rsidRDefault="00293392" w:rsidP="00332068"/>
    <w:p w:rsidR="00293392" w:rsidRDefault="00293392" w:rsidP="00332068"/>
    <w:p w:rsidR="00332068" w:rsidRDefault="00332068" w:rsidP="00332068"/>
    <w:p w:rsidR="00293392" w:rsidRDefault="00293392" w:rsidP="00293392">
      <w:pPr>
        <w:widowControl w:val="0"/>
        <w:tabs>
          <w:tab w:val="left" w:pos="720"/>
        </w:tabs>
        <w:autoSpaceDE w:val="0"/>
        <w:autoSpaceDN w:val="0"/>
        <w:adjustRightInd w:val="0"/>
        <w:jc w:val="both"/>
        <w:rPr>
          <w:rFonts w:ascii="Verdana" w:hAnsi="Verdana" w:cs="Verdana"/>
          <w:sz w:val="20"/>
          <w:szCs w:val="20"/>
        </w:rPr>
      </w:pPr>
    </w:p>
    <w:p w:rsidR="00293392" w:rsidRDefault="00293392" w:rsidP="00293392">
      <w:pPr>
        <w:widowControl w:val="0"/>
        <w:tabs>
          <w:tab w:val="left" w:pos="720"/>
        </w:tabs>
        <w:autoSpaceDE w:val="0"/>
        <w:autoSpaceDN w:val="0"/>
        <w:adjustRightInd w:val="0"/>
        <w:jc w:val="both"/>
        <w:rPr>
          <w:rFonts w:ascii="Verdana" w:hAnsi="Verdana" w:cs="Verdana"/>
          <w:sz w:val="20"/>
          <w:szCs w:val="20"/>
        </w:rPr>
      </w:pPr>
      <w:r>
        <w:rPr>
          <w:rFonts w:ascii="Verdana" w:hAnsi="Verdana" w:cs="Verdana"/>
          <w:sz w:val="20"/>
          <w:szCs w:val="20"/>
        </w:rPr>
        <w:t>Pablo Saavedra Alessandri</w:t>
      </w:r>
    </w:p>
    <w:p w:rsidR="00293392" w:rsidRDefault="00293392" w:rsidP="00293392">
      <w:pPr>
        <w:widowControl w:val="0"/>
        <w:tabs>
          <w:tab w:val="left" w:pos="720"/>
        </w:tabs>
        <w:autoSpaceDE w:val="0"/>
        <w:autoSpaceDN w:val="0"/>
        <w:adjustRightInd w:val="0"/>
        <w:jc w:val="both"/>
        <w:rPr>
          <w:rFonts w:ascii="Verdana" w:hAnsi="Verdana" w:cs="Verdana"/>
          <w:sz w:val="20"/>
          <w:szCs w:val="20"/>
        </w:rPr>
      </w:pPr>
      <w:r>
        <w:rPr>
          <w:rFonts w:ascii="Verdana" w:hAnsi="Verdana" w:cs="Verdana"/>
          <w:sz w:val="20"/>
          <w:szCs w:val="20"/>
        </w:rPr>
        <w:tab/>
        <w:t xml:space="preserve">  Secretario</w:t>
      </w:r>
    </w:p>
    <w:p w:rsidR="00332068" w:rsidRDefault="00332068" w:rsidP="00332068"/>
    <w:p w:rsidR="00E60F76" w:rsidRDefault="00E60F76"/>
    <w:sectPr w:rsidR="00E60F76" w:rsidSect="00E60F76">
      <w:headerReference w:type="default" r:id="rId8"/>
      <w:footerReference w:type="default" r:id="rId9"/>
      <w:pgSz w:w="12240" w:h="15840"/>
      <w:pgMar w:top="1417" w:right="1531" w:bottom="141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77" w:rsidRDefault="00A07677" w:rsidP="00332068">
      <w:r>
        <w:separator/>
      </w:r>
    </w:p>
  </w:endnote>
  <w:endnote w:type="continuationSeparator" w:id="0">
    <w:p w:rsidR="00A07677" w:rsidRDefault="00A07677" w:rsidP="00332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4E" w:rsidRDefault="008F004E" w:rsidP="00E60F76">
    <w:pPr>
      <w:pStyle w:val="Footer"/>
    </w:pPr>
  </w:p>
  <w:p w:rsidR="008F004E" w:rsidRDefault="008F0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77" w:rsidRDefault="00A07677" w:rsidP="00332068">
      <w:r>
        <w:separator/>
      </w:r>
    </w:p>
  </w:footnote>
  <w:footnote w:type="continuationSeparator" w:id="0">
    <w:p w:rsidR="00A07677" w:rsidRDefault="00A07677" w:rsidP="00332068">
      <w:r>
        <w:continuationSeparator/>
      </w:r>
    </w:p>
  </w:footnote>
  <w:footnote w:id="1">
    <w:p w:rsidR="008F004E" w:rsidRDefault="008F004E" w:rsidP="00332068">
      <w:pPr>
        <w:pStyle w:val="FootnoteText"/>
        <w:jc w:val="both"/>
        <w:rPr>
          <w:rFonts w:ascii="Verdana" w:hAnsi="Verdana" w:cs="Verdana"/>
          <w:sz w:val="16"/>
          <w:szCs w:val="16"/>
          <w:lang w:val="es-CR"/>
        </w:rPr>
      </w:pPr>
      <w:r w:rsidRPr="00A72F01">
        <w:rPr>
          <w:rStyle w:val="FootnoteReference"/>
          <w:rFonts w:ascii="Verdana" w:hAnsi="Verdana"/>
          <w:sz w:val="16"/>
          <w:szCs w:val="16"/>
        </w:rPr>
        <w:footnoteRef/>
      </w:r>
      <w:r w:rsidRPr="00A72F01">
        <w:rPr>
          <w:rFonts w:ascii="Verdana" w:hAnsi="Verdana"/>
          <w:sz w:val="16"/>
          <w:szCs w:val="16"/>
        </w:rPr>
        <w:t xml:space="preserve"> </w:t>
      </w:r>
      <w:r>
        <w:rPr>
          <w:rFonts w:ascii="Verdana" w:hAnsi="Verdana"/>
          <w:sz w:val="16"/>
          <w:szCs w:val="16"/>
        </w:rPr>
        <w:tab/>
      </w:r>
      <w:r w:rsidRPr="00A72F01">
        <w:rPr>
          <w:rFonts w:ascii="Verdana" w:hAnsi="Verdana" w:cs="Verdana"/>
          <w:sz w:val="16"/>
          <w:szCs w:val="16"/>
          <w:lang w:val="es-CR"/>
        </w:rPr>
        <w:t>Mediante la comunicación de 21 de agosto de 2012 los representantes informaron a este Tribunal que el Movimiento de Mujeres Dominico-Haitian</w:t>
      </w:r>
      <w:r>
        <w:rPr>
          <w:rFonts w:ascii="Verdana" w:hAnsi="Verdana" w:cs="Verdana"/>
          <w:sz w:val="16"/>
          <w:szCs w:val="16"/>
          <w:lang w:val="es-CR"/>
        </w:rPr>
        <w:t>as (</w:t>
      </w:r>
      <w:r w:rsidRPr="00A72F01">
        <w:rPr>
          <w:rFonts w:ascii="Verdana" w:hAnsi="Verdana" w:cs="Verdana"/>
          <w:sz w:val="16"/>
          <w:szCs w:val="16"/>
          <w:lang w:val="es-CR"/>
        </w:rPr>
        <w:t>MUDHA</w:t>
      </w:r>
      <w:r>
        <w:rPr>
          <w:rFonts w:ascii="Verdana" w:hAnsi="Verdana" w:cs="Verdana"/>
          <w:sz w:val="16"/>
          <w:szCs w:val="16"/>
          <w:lang w:val="es-CR"/>
        </w:rPr>
        <w:t>),</w:t>
      </w:r>
      <w:r w:rsidRPr="00A72F01">
        <w:rPr>
          <w:rFonts w:ascii="Verdana" w:hAnsi="Verdana" w:cs="Verdana"/>
          <w:sz w:val="16"/>
          <w:szCs w:val="16"/>
          <w:lang w:val="es-CR"/>
        </w:rPr>
        <w:t xml:space="preserve"> la Clínica de Derechos Humanos de la Facultad de Derech</w:t>
      </w:r>
      <w:r>
        <w:rPr>
          <w:rFonts w:ascii="Verdana" w:hAnsi="Verdana" w:cs="Verdana"/>
          <w:sz w:val="16"/>
          <w:szCs w:val="16"/>
          <w:lang w:val="es-CR"/>
        </w:rPr>
        <w:t>o de la Universidad de Columbia (</w:t>
      </w:r>
      <w:r w:rsidRPr="000A1F9F">
        <w:rPr>
          <w:rFonts w:ascii="Verdana" w:hAnsi="Verdana" w:cs="Verdana"/>
          <w:i/>
          <w:sz w:val="16"/>
          <w:szCs w:val="16"/>
          <w:lang w:val="es-CR"/>
        </w:rPr>
        <w:t xml:space="preserve">Columbia </w:t>
      </w:r>
      <w:proofErr w:type="spellStart"/>
      <w:r w:rsidRPr="000A1F9F">
        <w:rPr>
          <w:rFonts w:ascii="Verdana" w:hAnsi="Verdana" w:cs="Verdana"/>
          <w:i/>
          <w:sz w:val="16"/>
          <w:szCs w:val="16"/>
          <w:lang w:val="es-CR"/>
        </w:rPr>
        <w:t>Law</w:t>
      </w:r>
      <w:proofErr w:type="spellEnd"/>
      <w:r w:rsidRPr="000A1F9F">
        <w:rPr>
          <w:rFonts w:ascii="Verdana" w:hAnsi="Verdana" w:cs="Verdana"/>
          <w:i/>
          <w:sz w:val="16"/>
          <w:szCs w:val="16"/>
          <w:lang w:val="es-CR"/>
        </w:rPr>
        <w:t xml:space="preserve"> </w:t>
      </w:r>
      <w:proofErr w:type="spellStart"/>
      <w:r w:rsidRPr="000A1F9F">
        <w:rPr>
          <w:rFonts w:ascii="Verdana" w:hAnsi="Verdana" w:cs="Verdana"/>
          <w:i/>
          <w:sz w:val="16"/>
          <w:szCs w:val="16"/>
          <w:lang w:val="es-CR"/>
        </w:rPr>
        <w:t>Schoo</w:t>
      </w:r>
      <w:r>
        <w:rPr>
          <w:rFonts w:ascii="Verdana" w:hAnsi="Verdana" w:cs="Verdana"/>
          <w:i/>
          <w:sz w:val="16"/>
          <w:szCs w:val="16"/>
          <w:lang w:val="es-CR"/>
        </w:rPr>
        <w:t>l</w:t>
      </w:r>
      <w:proofErr w:type="spellEnd"/>
      <w:r w:rsidRPr="00A72F01">
        <w:rPr>
          <w:rFonts w:ascii="Verdana" w:hAnsi="Verdana" w:cs="Verdana"/>
          <w:sz w:val="16"/>
          <w:szCs w:val="16"/>
          <w:lang w:val="es-CR"/>
        </w:rPr>
        <w:t xml:space="preserve">), el Grupo de Apoyo a los Refugiados y Repatriados </w:t>
      </w:r>
      <w:r>
        <w:rPr>
          <w:rFonts w:ascii="Verdana" w:hAnsi="Verdana" w:cs="Verdana"/>
          <w:sz w:val="16"/>
          <w:szCs w:val="16"/>
          <w:lang w:val="es-CR"/>
        </w:rPr>
        <w:t>(</w:t>
      </w:r>
      <w:r w:rsidRPr="00A72F01">
        <w:rPr>
          <w:rFonts w:ascii="Verdana" w:hAnsi="Verdana" w:cs="Verdana"/>
          <w:sz w:val="16"/>
          <w:szCs w:val="16"/>
          <w:lang w:val="es-CR"/>
        </w:rPr>
        <w:t>GARR</w:t>
      </w:r>
      <w:r>
        <w:rPr>
          <w:rFonts w:ascii="Verdana" w:hAnsi="Verdana" w:cs="Verdana"/>
          <w:sz w:val="16"/>
          <w:szCs w:val="16"/>
          <w:lang w:val="es-CR"/>
        </w:rPr>
        <w:t>),</w:t>
      </w:r>
      <w:r w:rsidRPr="00A72F01">
        <w:rPr>
          <w:rFonts w:ascii="Verdana" w:hAnsi="Verdana" w:cs="Verdana"/>
          <w:sz w:val="16"/>
          <w:szCs w:val="16"/>
          <w:lang w:val="es-CR"/>
        </w:rPr>
        <w:t xml:space="preserve"> y el Centro por la Justicia y el Derecho Internacional </w:t>
      </w:r>
      <w:r>
        <w:rPr>
          <w:rFonts w:ascii="Verdana" w:hAnsi="Verdana" w:cs="Verdana"/>
          <w:sz w:val="16"/>
          <w:szCs w:val="16"/>
          <w:lang w:val="es-CR"/>
        </w:rPr>
        <w:t>(</w:t>
      </w:r>
      <w:r w:rsidRPr="00A72F01">
        <w:rPr>
          <w:rFonts w:ascii="Verdana" w:hAnsi="Verdana" w:cs="Verdana"/>
          <w:sz w:val="16"/>
          <w:szCs w:val="16"/>
          <w:lang w:val="es-CR"/>
        </w:rPr>
        <w:t>CEJIL)</w:t>
      </w:r>
      <w:r>
        <w:rPr>
          <w:rFonts w:ascii="Verdana" w:hAnsi="Verdana" w:cs="Verdana"/>
          <w:sz w:val="16"/>
          <w:szCs w:val="16"/>
          <w:lang w:val="es-CR"/>
        </w:rPr>
        <w:t xml:space="preserve"> </w:t>
      </w:r>
      <w:r w:rsidRPr="00A72F01">
        <w:rPr>
          <w:rFonts w:ascii="Verdana" w:hAnsi="Verdana" w:cs="Verdana"/>
          <w:sz w:val="16"/>
          <w:szCs w:val="16"/>
          <w:lang w:val="es-CR"/>
        </w:rPr>
        <w:t xml:space="preserve">actuaran ante este Tribunal en “calidad de representantes en el caso de la referencia. </w:t>
      </w:r>
    </w:p>
    <w:p w:rsidR="008F004E" w:rsidRPr="00775050" w:rsidRDefault="008F004E" w:rsidP="00332068">
      <w:pPr>
        <w:pStyle w:val="FootnoteText"/>
        <w:jc w:val="both"/>
        <w:rPr>
          <w:rFonts w:ascii="Verdana" w:hAnsi="Verdana"/>
          <w:sz w:val="16"/>
          <w:szCs w:val="16"/>
          <w:lang w:val="es-ES_tradnl"/>
        </w:rPr>
      </w:pPr>
    </w:p>
  </w:footnote>
  <w:footnote w:id="2">
    <w:p w:rsidR="008F004E" w:rsidRDefault="008F004E" w:rsidP="00332068">
      <w:pPr>
        <w:pStyle w:val="FootnoteText"/>
        <w:rPr>
          <w:rFonts w:ascii="Verdana" w:hAnsi="Verdana"/>
          <w:sz w:val="16"/>
          <w:szCs w:val="16"/>
        </w:rPr>
      </w:pPr>
      <w:r w:rsidRPr="0081463A">
        <w:rPr>
          <w:rStyle w:val="FootnoteReference"/>
          <w:rFonts w:ascii="Verdana" w:hAnsi="Verdana"/>
          <w:sz w:val="16"/>
          <w:szCs w:val="16"/>
        </w:rPr>
        <w:footnoteRef/>
      </w:r>
      <w:r w:rsidRPr="0081463A">
        <w:rPr>
          <w:rFonts w:ascii="Verdana" w:hAnsi="Verdana"/>
          <w:sz w:val="16"/>
          <w:szCs w:val="16"/>
        </w:rPr>
        <w:t xml:space="preserve">  </w:t>
      </w:r>
      <w:r w:rsidRPr="0081463A">
        <w:rPr>
          <w:rFonts w:ascii="Verdana" w:hAnsi="Verdana"/>
          <w:sz w:val="16"/>
          <w:szCs w:val="16"/>
        </w:rPr>
        <w:tab/>
        <w:t>Los representantes no remitieron la hoja de vida de un perito que también fue ofrecido por la Comisión.</w:t>
      </w:r>
    </w:p>
    <w:p w:rsidR="008F004E" w:rsidRDefault="008F004E" w:rsidP="00332068">
      <w:pPr>
        <w:pStyle w:val="FootnoteText"/>
        <w:rPr>
          <w:rFonts w:ascii="Verdana" w:hAnsi="Verdana"/>
          <w:sz w:val="16"/>
          <w:szCs w:val="16"/>
        </w:rPr>
      </w:pPr>
      <w:r w:rsidRPr="0081463A">
        <w:rPr>
          <w:rFonts w:ascii="Verdana" w:hAnsi="Verdana"/>
          <w:sz w:val="16"/>
          <w:szCs w:val="16"/>
        </w:rPr>
        <w:t xml:space="preserve"> La Comisión había presentado, el 26 de julio de 2012 (</w:t>
      </w:r>
      <w:r w:rsidRPr="0081463A">
        <w:rPr>
          <w:rFonts w:ascii="Verdana" w:hAnsi="Verdana"/>
          <w:i/>
          <w:sz w:val="16"/>
          <w:szCs w:val="16"/>
        </w:rPr>
        <w:t>supra</w:t>
      </w:r>
      <w:r w:rsidRPr="0081463A">
        <w:rPr>
          <w:rFonts w:ascii="Verdana" w:hAnsi="Verdana"/>
          <w:sz w:val="16"/>
          <w:szCs w:val="16"/>
        </w:rPr>
        <w:t xml:space="preserve"> Visto 2), l</w:t>
      </w:r>
      <w:r>
        <w:rPr>
          <w:rFonts w:ascii="Verdana" w:hAnsi="Verdana"/>
          <w:sz w:val="16"/>
          <w:szCs w:val="16"/>
        </w:rPr>
        <w:t>a hoja de vida correspondiente.</w:t>
      </w:r>
    </w:p>
    <w:p w:rsidR="008F004E" w:rsidRPr="00115242" w:rsidRDefault="008F004E" w:rsidP="00332068">
      <w:pPr>
        <w:pStyle w:val="FootnoteText"/>
        <w:rPr>
          <w:rFonts w:ascii="Verdana" w:hAnsi="Verdana"/>
          <w:sz w:val="16"/>
          <w:szCs w:val="16"/>
        </w:rPr>
      </w:pPr>
    </w:p>
  </w:footnote>
  <w:footnote w:id="3">
    <w:p w:rsidR="008F004E" w:rsidRPr="00775050" w:rsidRDefault="008F004E" w:rsidP="00332068">
      <w:pPr>
        <w:pStyle w:val="ListParagraph"/>
        <w:ind w:left="0"/>
        <w:jc w:val="both"/>
        <w:rPr>
          <w:rFonts w:ascii="Verdana" w:hAnsi="Verdana" w:cs="Verdana"/>
          <w:sz w:val="16"/>
          <w:szCs w:val="16"/>
          <w:lang w:val="es-CR"/>
        </w:rPr>
      </w:pPr>
      <w:r w:rsidRPr="00A72F01">
        <w:rPr>
          <w:rStyle w:val="FootnoteReference"/>
          <w:rFonts w:ascii="Verdana" w:hAnsi="Verdana"/>
          <w:sz w:val="16"/>
          <w:szCs w:val="16"/>
        </w:rPr>
        <w:footnoteRef/>
      </w:r>
      <w:r w:rsidRPr="00A72F01">
        <w:rPr>
          <w:rFonts w:ascii="Verdana" w:hAnsi="Verdana" w:cs="Verdana"/>
          <w:sz w:val="16"/>
          <w:szCs w:val="16"/>
          <w:lang w:val="es-CR"/>
        </w:rPr>
        <w:t xml:space="preserve"> </w:t>
      </w:r>
      <w:r>
        <w:rPr>
          <w:rFonts w:ascii="Verdana" w:hAnsi="Verdana" w:cs="Verdana"/>
          <w:sz w:val="16"/>
          <w:szCs w:val="16"/>
          <w:lang w:val="es-CR"/>
        </w:rPr>
        <w:tab/>
      </w:r>
      <w:r w:rsidRPr="00A72F01">
        <w:rPr>
          <w:rFonts w:ascii="Verdana" w:hAnsi="Verdana" w:cs="Verdana"/>
          <w:sz w:val="16"/>
          <w:szCs w:val="16"/>
          <w:lang w:val="es-CR"/>
        </w:rPr>
        <w:t xml:space="preserve">Mediante </w:t>
      </w:r>
      <w:r>
        <w:rPr>
          <w:rFonts w:ascii="Verdana" w:hAnsi="Verdana" w:cs="Verdana"/>
          <w:sz w:val="16"/>
          <w:szCs w:val="16"/>
          <w:lang w:val="es-CR"/>
        </w:rPr>
        <w:t>una</w:t>
      </w:r>
      <w:r w:rsidRPr="00A72F01">
        <w:rPr>
          <w:rFonts w:ascii="Verdana" w:hAnsi="Verdana" w:cs="Verdana"/>
          <w:sz w:val="16"/>
          <w:szCs w:val="16"/>
          <w:lang w:val="es-CR"/>
        </w:rPr>
        <w:t xml:space="preserve"> comunicación </w:t>
      </w:r>
      <w:r>
        <w:rPr>
          <w:rFonts w:ascii="Verdana" w:hAnsi="Verdana" w:cs="Verdana"/>
          <w:sz w:val="16"/>
          <w:szCs w:val="16"/>
          <w:lang w:val="es-CR"/>
        </w:rPr>
        <w:t>recibida el</w:t>
      </w:r>
      <w:r w:rsidRPr="00A72F01">
        <w:rPr>
          <w:rFonts w:ascii="Verdana" w:hAnsi="Verdana" w:cs="Verdana"/>
          <w:sz w:val="16"/>
          <w:szCs w:val="16"/>
          <w:lang w:val="es-CR"/>
        </w:rPr>
        <w:t xml:space="preserve"> 1 de octubre de 2012 el Estado informó sobre </w:t>
      </w:r>
      <w:r>
        <w:rPr>
          <w:rFonts w:ascii="Verdana" w:hAnsi="Verdana" w:cs="Verdana"/>
          <w:sz w:val="16"/>
          <w:szCs w:val="16"/>
          <w:lang w:val="es-CR"/>
        </w:rPr>
        <w:t>la</w:t>
      </w:r>
      <w:r w:rsidRPr="00A72F01">
        <w:rPr>
          <w:rFonts w:ascii="Verdana" w:hAnsi="Verdana" w:cs="Verdana"/>
          <w:sz w:val="16"/>
          <w:szCs w:val="16"/>
          <w:lang w:val="es-CR"/>
        </w:rPr>
        <w:t xml:space="preserve"> designación del señor Néstor Cerón Suero como agente y del señor Santo Miguel Román</w:t>
      </w:r>
      <w:r>
        <w:rPr>
          <w:rFonts w:ascii="Verdana" w:hAnsi="Verdana" w:cs="Verdana"/>
          <w:sz w:val="16"/>
          <w:szCs w:val="16"/>
          <w:lang w:val="es-CR"/>
        </w:rPr>
        <w:t xml:space="preserve"> como</w:t>
      </w:r>
      <w:r w:rsidRPr="00A72F01">
        <w:rPr>
          <w:rFonts w:ascii="Verdana" w:hAnsi="Verdana" w:cs="Verdana"/>
          <w:sz w:val="16"/>
          <w:szCs w:val="16"/>
          <w:lang w:val="es-CR"/>
        </w:rPr>
        <w:t xml:space="preserve"> agente alterno, así como</w:t>
      </w:r>
      <w:r>
        <w:rPr>
          <w:rFonts w:ascii="Verdana" w:hAnsi="Verdana" w:cs="Verdana"/>
          <w:sz w:val="16"/>
          <w:szCs w:val="16"/>
          <w:lang w:val="es-CR"/>
        </w:rPr>
        <w:t xml:space="preserve"> la</w:t>
      </w:r>
      <w:r w:rsidRPr="00A72F01">
        <w:rPr>
          <w:rFonts w:ascii="Verdana" w:hAnsi="Verdana" w:cs="Verdana"/>
          <w:sz w:val="16"/>
          <w:szCs w:val="16"/>
          <w:lang w:val="es-CR"/>
        </w:rPr>
        <w:t xml:space="preserve"> designación de tres asesores legales: el señor José Marcos Iglesi</w:t>
      </w:r>
      <w:r>
        <w:rPr>
          <w:rFonts w:ascii="Verdana" w:hAnsi="Verdana" w:cs="Verdana"/>
          <w:sz w:val="16"/>
          <w:szCs w:val="16"/>
          <w:lang w:val="es-CR"/>
        </w:rPr>
        <w:t>a</w:t>
      </w:r>
      <w:r w:rsidRPr="00A72F01">
        <w:rPr>
          <w:rFonts w:ascii="Verdana" w:hAnsi="Verdana" w:cs="Verdana"/>
          <w:sz w:val="16"/>
          <w:szCs w:val="16"/>
          <w:lang w:val="es-CR"/>
        </w:rPr>
        <w:t xml:space="preserve">s Iñigo, la señora Gina </w:t>
      </w:r>
      <w:proofErr w:type="spellStart"/>
      <w:r w:rsidRPr="00A72F01">
        <w:rPr>
          <w:rFonts w:ascii="Verdana" w:hAnsi="Verdana" w:cs="Verdana"/>
          <w:sz w:val="16"/>
          <w:szCs w:val="16"/>
          <w:lang w:val="es-CR"/>
        </w:rPr>
        <w:t>Salime</w:t>
      </w:r>
      <w:proofErr w:type="spellEnd"/>
      <w:r w:rsidRPr="00A72F01">
        <w:rPr>
          <w:rFonts w:ascii="Verdana" w:hAnsi="Verdana" w:cs="Verdana"/>
          <w:sz w:val="16"/>
          <w:szCs w:val="16"/>
          <w:lang w:val="es-CR"/>
        </w:rPr>
        <w:t xml:space="preserve"> Frías Pichardo y el señor Marino Vinicio Castillo Hernández. </w:t>
      </w:r>
    </w:p>
    <w:p w:rsidR="008F004E" w:rsidRPr="00775050" w:rsidRDefault="008F004E" w:rsidP="00332068">
      <w:pPr>
        <w:pStyle w:val="FootnoteText"/>
        <w:rPr>
          <w:rFonts w:ascii="Verdana" w:hAnsi="Verdana"/>
          <w:sz w:val="16"/>
          <w:szCs w:val="16"/>
          <w:lang w:val="es-ES_tradnl"/>
        </w:rPr>
      </w:pPr>
    </w:p>
  </w:footnote>
  <w:footnote w:id="4">
    <w:p w:rsidR="008F004E" w:rsidRPr="008B2072" w:rsidRDefault="008F004E" w:rsidP="00332068">
      <w:pPr>
        <w:pStyle w:val="FootnoteText"/>
        <w:jc w:val="both"/>
        <w:rPr>
          <w:rFonts w:ascii="Verdana" w:hAnsi="Verdana"/>
          <w:sz w:val="16"/>
          <w:szCs w:val="16"/>
        </w:rPr>
      </w:pPr>
      <w:r w:rsidRPr="008B2072">
        <w:rPr>
          <w:rStyle w:val="FootnoteReference"/>
          <w:rFonts w:ascii="Verdana" w:hAnsi="Verdana"/>
          <w:sz w:val="16"/>
          <w:szCs w:val="16"/>
        </w:rPr>
        <w:footnoteRef/>
      </w:r>
      <w:r w:rsidRPr="008B2072">
        <w:rPr>
          <w:rFonts w:ascii="Verdana" w:hAnsi="Verdana"/>
          <w:sz w:val="16"/>
          <w:szCs w:val="16"/>
        </w:rPr>
        <w:t xml:space="preserve"> </w:t>
      </w:r>
      <w:r w:rsidRPr="008B2072">
        <w:rPr>
          <w:rFonts w:ascii="Verdana" w:hAnsi="Verdana"/>
          <w:sz w:val="16"/>
          <w:szCs w:val="16"/>
        </w:rPr>
        <w:tab/>
        <w:t xml:space="preserve">El Estado alegó que “nunca ha renunciado, ni expresa ni tácitamente, a la posibilidad convencional de interponer esta excepción preliminar”. Solicitó que la Corte declare “inadmisible la demanda” por falta de agotamientos de los recursos internos previstos por el Estado en la época de los presuntos hechos y actos para salvaguardar los derechos humanos de las presuntas víctimas y, subsidiariamente, </w:t>
      </w:r>
      <w:proofErr w:type="spellStart"/>
      <w:r w:rsidRPr="008B2072">
        <w:rPr>
          <w:rFonts w:ascii="Verdana" w:hAnsi="Verdana"/>
          <w:sz w:val="16"/>
          <w:szCs w:val="16"/>
        </w:rPr>
        <w:t>declar</w:t>
      </w:r>
      <w:proofErr w:type="spellEnd"/>
      <w:r w:rsidRPr="008B2072">
        <w:rPr>
          <w:rFonts w:ascii="Verdana" w:hAnsi="Verdana"/>
          <w:sz w:val="16"/>
          <w:szCs w:val="16"/>
        </w:rPr>
        <w:t>[e] que el Informe de Admisibilidad No. 68/05, el Informe de Fondo No. 64/12 y el acto de sometimiento del caso carecen de efecto jurídico”.</w:t>
      </w:r>
    </w:p>
    <w:p w:rsidR="008F004E" w:rsidRPr="008B2072" w:rsidRDefault="008F004E" w:rsidP="00332068">
      <w:pPr>
        <w:pStyle w:val="FootnoteText"/>
        <w:jc w:val="both"/>
        <w:rPr>
          <w:rFonts w:ascii="Verdana" w:hAnsi="Verdana"/>
          <w:sz w:val="16"/>
          <w:szCs w:val="16"/>
        </w:rPr>
      </w:pPr>
    </w:p>
  </w:footnote>
  <w:footnote w:id="5">
    <w:p w:rsidR="008F004E" w:rsidRPr="008B2072" w:rsidRDefault="008F004E" w:rsidP="00332068">
      <w:pPr>
        <w:pStyle w:val="FootnoteText"/>
        <w:jc w:val="both"/>
        <w:rPr>
          <w:rFonts w:ascii="Verdana" w:hAnsi="Verdana"/>
          <w:sz w:val="16"/>
          <w:szCs w:val="16"/>
        </w:rPr>
      </w:pPr>
      <w:r w:rsidRPr="008B2072">
        <w:rPr>
          <w:rStyle w:val="FootnoteReference"/>
          <w:rFonts w:ascii="Verdana" w:hAnsi="Verdana"/>
          <w:sz w:val="16"/>
          <w:szCs w:val="16"/>
        </w:rPr>
        <w:footnoteRef/>
      </w:r>
      <w:r w:rsidRPr="008B2072">
        <w:rPr>
          <w:rFonts w:ascii="Verdana" w:hAnsi="Verdana"/>
          <w:sz w:val="16"/>
          <w:szCs w:val="16"/>
        </w:rPr>
        <w:t xml:space="preserve"> </w:t>
      </w:r>
      <w:r w:rsidRPr="008B2072">
        <w:rPr>
          <w:rFonts w:ascii="Verdana" w:hAnsi="Verdana"/>
          <w:sz w:val="16"/>
          <w:szCs w:val="16"/>
        </w:rPr>
        <w:tab/>
        <w:t xml:space="preserve">Respecto a la alegada ocurrencia de los hechos y actos que habrían configurado presuntas violaciones a la Convención Americana en perjuicio de Benito </w:t>
      </w:r>
      <w:proofErr w:type="spellStart"/>
      <w:r w:rsidRPr="008B2072">
        <w:rPr>
          <w:rFonts w:ascii="Verdana" w:hAnsi="Verdana"/>
          <w:sz w:val="16"/>
          <w:szCs w:val="16"/>
        </w:rPr>
        <w:t>Tide</w:t>
      </w:r>
      <w:proofErr w:type="spellEnd"/>
      <w:r w:rsidRPr="008B2072">
        <w:rPr>
          <w:rFonts w:ascii="Verdana" w:hAnsi="Verdana"/>
          <w:sz w:val="16"/>
          <w:szCs w:val="16"/>
        </w:rPr>
        <w:t xml:space="preserve"> Méndez, Ana Virginia Nolasco, Ana Lidia Sesión, </w:t>
      </w:r>
      <w:proofErr w:type="spellStart"/>
      <w:r w:rsidRPr="008B2072">
        <w:rPr>
          <w:rFonts w:ascii="Verdana" w:hAnsi="Verdana"/>
          <w:sz w:val="16"/>
          <w:szCs w:val="16"/>
        </w:rPr>
        <w:t>Reyita</w:t>
      </w:r>
      <w:proofErr w:type="spellEnd"/>
      <w:r w:rsidRPr="008B2072">
        <w:rPr>
          <w:rFonts w:ascii="Verdana" w:hAnsi="Verdana"/>
          <w:sz w:val="16"/>
          <w:szCs w:val="16"/>
        </w:rPr>
        <w:t xml:space="preserve"> Antonia Sesión, </w:t>
      </w:r>
      <w:proofErr w:type="spellStart"/>
      <w:r w:rsidRPr="008B2072">
        <w:rPr>
          <w:rFonts w:ascii="Verdana" w:hAnsi="Verdana"/>
          <w:sz w:val="16"/>
          <w:szCs w:val="16"/>
        </w:rPr>
        <w:t>Berson</w:t>
      </w:r>
      <w:proofErr w:type="spellEnd"/>
      <w:r w:rsidRPr="008B2072">
        <w:rPr>
          <w:rFonts w:ascii="Verdana" w:hAnsi="Verdana"/>
          <w:sz w:val="16"/>
          <w:szCs w:val="16"/>
        </w:rPr>
        <w:t xml:space="preserve"> </w:t>
      </w:r>
      <w:proofErr w:type="spellStart"/>
      <w:r w:rsidRPr="008B2072">
        <w:rPr>
          <w:rFonts w:ascii="Verdana" w:hAnsi="Verdana"/>
          <w:sz w:val="16"/>
          <w:szCs w:val="16"/>
        </w:rPr>
        <w:t>Gelin</w:t>
      </w:r>
      <w:proofErr w:type="spellEnd"/>
      <w:r w:rsidRPr="008B2072">
        <w:rPr>
          <w:rFonts w:ascii="Verdana" w:hAnsi="Verdana"/>
          <w:sz w:val="16"/>
          <w:szCs w:val="16"/>
        </w:rPr>
        <w:t xml:space="preserve"> y Víctor Jean, respecto a este último, sin perjuicio a lo señalado en virtud de que la familia </w:t>
      </w:r>
      <w:r>
        <w:rPr>
          <w:rFonts w:ascii="Verdana" w:hAnsi="Verdana"/>
          <w:sz w:val="16"/>
          <w:szCs w:val="16"/>
        </w:rPr>
        <w:t>Jean no fue identificada en el I</w:t>
      </w:r>
      <w:r w:rsidRPr="008B2072">
        <w:rPr>
          <w:rFonts w:ascii="Verdana" w:hAnsi="Verdana"/>
          <w:sz w:val="16"/>
          <w:szCs w:val="16"/>
        </w:rPr>
        <w:t>nforme de Admisibilidad, ya que tales hechos y actos alegados habrían ocurrido y consumado antes del 25 de marzo de 1999, fecha en la cual la República Dominicana aceptó la competencia contenciosa del Tribunal.</w:t>
      </w:r>
    </w:p>
    <w:p w:rsidR="008F004E" w:rsidRPr="008B2072" w:rsidRDefault="008F004E" w:rsidP="00332068">
      <w:pPr>
        <w:pStyle w:val="FootnoteText"/>
        <w:jc w:val="both"/>
        <w:rPr>
          <w:rFonts w:ascii="Verdana" w:hAnsi="Verdana"/>
          <w:sz w:val="16"/>
          <w:szCs w:val="16"/>
        </w:rPr>
      </w:pPr>
    </w:p>
  </w:footnote>
  <w:footnote w:id="6">
    <w:p w:rsidR="008F004E" w:rsidRPr="008B2072" w:rsidRDefault="008F004E" w:rsidP="00332068">
      <w:pPr>
        <w:pStyle w:val="FootnoteText"/>
        <w:jc w:val="both"/>
        <w:rPr>
          <w:rFonts w:ascii="Verdana" w:hAnsi="Verdana"/>
          <w:sz w:val="16"/>
          <w:szCs w:val="16"/>
        </w:rPr>
      </w:pPr>
      <w:r w:rsidRPr="008B2072">
        <w:rPr>
          <w:rStyle w:val="FootnoteReference"/>
          <w:rFonts w:ascii="Verdana" w:hAnsi="Verdana"/>
          <w:sz w:val="16"/>
          <w:szCs w:val="16"/>
        </w:rPr>
        <w:footnoteRef/>
      </w:r>
      <w:r w:rsidRPr="008B2072">
        <w:rPr>
          <w:rFonts w:ascii="Verdana" w:hAnsi="Verdana"/>
          <w:sz w:val="16"/>
          <w:szCs w:val="16"/>
        </w:rPr>
        <w:t xml:space="preserve"> </w:t>
      </w:r>
      <w:r w:rsidRPr="008B2072">
        <w:rPr>
          <w:rFonts w:ascii="Verdana" w:hAnsi="Verdana"/>
          <w:sz w:val="16"/>
          <w:szCs w:val="16"/>
        </w:rPr>
        <w:tab/>
        <w:t xml:space="preserve">El Estado alegó que </w:t>
      </w:r>
      <w:r>
        <w:rPr>
          <w:rFonts w:ascii="Verdana" w:hAnsi="Verdana"/>
          <w:sz w:val="16"/>
          <w:szCs w:val="16"/>
        </w:rPr>
        <w:t>los</w:t>
      </w:r>
      <w:r w:rsidRPr="008B2072">
        <w:rPr>
          <w:rFonts w:ascii="Verdana" w:hAnsi="Verdana"/>
          <w:sz w:val="16"/>
          <w:szCs w:val="16"/>
        </w:rPr>
        <w:t xml:space="preserve"> miembros de la familia Jean carecen de calidad de presuntas víctimas porque no fueron acreditados por la Comisión en su Informe de Admisibilidad No. 68/05.</w:t>
      </w:r>
    </w:p>
    <w:p w:rsidR="008F004E" w:rsidRPr="008B2072" w:rsidRDefault="008F004E" w:rsidP="00332068">
      <w:pPr>
        <w:pStyle w:val="FootnoteText"/>
        <w:jc w:val="both"/>
        <w:rPr>
          <w:rFonts w:ascii="Verdana" w:hAnsi="Verdana"/>
          <w:sz w:val="16"/>
          <w:szCs w:val="16"/>
        </w:rPr>
      </w:pPr>
    </w:p>
  </w:footnote>
  <w:footnote w:id="7">
    <w:p w:rsidR="008F004E" w:rsidRPr="008B2072" w:rsidRDefault="008F004E" w:rsidP="00332068">
      <w:pPr>
        <w:spacing w:after="200"/>
        <w:contextualSpacing/>
        <w:jc w:val="both"/>
        <w:rPr>
          <w:rFonts w:ascii="Verdana" w:hAnsi="Verdana"/>
          <w:sz w:val="16"/>
          <w:szCs w:val="16"/>
        </w:rPr>
      </w:pPr>
      <w:r w:rsidRPr="008B2072">
        <w:rPr>
          <w:rStyle w:val="FootnoteReference"/>
          <w:rFonts w:ascii="Verdana" w:hAnsi="Verdana"/>
          <w:sz w:val="16"/>
          <w:szCs w:val="16"/>
        </w:rPr>
        <w:footnoteRef/>
      </w:r>
      <w:r w:rsidRPr="008B2072">
        <w:rPr>
          <w:rFonts w:ascii="Verdana" w:hAnsi="Verdana"/>
          <w:sz w:val="16"/>
          <w:szCs w:val="16"/>
        </w:rPr>
        <w:t xml:space="preserve"> </w:t>
      </w:r>
      <w:r w:rsidRPr="008B2072">
        <w:rPr>
          <w:rFonts w:ascii="Verdana" w:hAnsi="Verdana"/>
          <w:sz w:val="16"/>
          <w:szCs w:val="16"/>
        </w:rPr>
        <w:tab/>
        <w:t xml:space="preserve">El Estado alegó que las siguientes personas no tienen la calidad de presuntas víctimas:  Benito </w:t>
      </w:r>
      <w:proofErr w:type="spellStart"/>
      <w:r w:rsidRPr="008B2072">
        <w:rPr>
          <w:rFonts w:ascii="Verdana" w:hAnsi="Verdana"/>
          <w:sz w:val="16"/>
          <w:szCs w:val="16"/>
        </w:rPr>
        <w:t>Tide</w:t>
      </w:r>
      <w:proofErr w:type="spellEnd"/>
      <w:r w:rsidRPr="008B2072">
        <w:rPr>
          <w:rFonts w:ascii="Verdana" w:hAnsi="Verdana"/>
          <w:sz w:val="16"/>
          <w:szCs w:val="16"/>
        </w:rPr>
        <w:t xml:space="preserve">, Lilia Jean Pierre, </w:t>
      </w:r>
      <w:proofErr w:type="spellStart"/>
      <w:r w:rsidRPr="008B2072">
        <w:rPr>
          <w:rFonts w:ascii="Verdana" w:hAnsi="Verdana"/>
          <w:sz w:val="16"/>
          <w:szCs w:val="16"/>
        </w:rPr>
        <w:t>Kimberly</w:t>
      </w:r>
      <w:proofErr w:type="spellEnd"/>
      <w:r w:rsidRPr="008B2072">
        <w:rPr>
          <w:rFonts w:ascii="Verdana" w:hAnsi="Verdana"/>
          <w:sz w:val="16"/>
          <w:szCs w:val="16"/>
        </w:rPr>
        <w:t xml:space="preserve"> Pérez Medina, Juan </w:t>
      </w:r>
      <w:proofErr w:type="spellStart"/>
      <w:r w:rsidRPr="008B2072">
        <w:rPr>
          <w:rFonts w:ascii="Verdana" w:hAnsi="Verdana"/>
          <w:sz w:val="16"/>
          <w:szCs w:val="16"/>
        </w:rPr>
        <w:t>Fils</w:t>
      </w:r>
      <w:proofErr w:type="spellEnd"/>
      <w:r w:rsidRPr="008B2072">
        <w:rPr>
          <w:rFonts w:ascii="Verdana" w:hAnsi="Verdana"/>
          <w:sz w:val="16"/>
          <w:szCs w:val="16"/>
        </w:rPr>
        <w:t>-Aim</w:t>
      </w:r>
      <w:r>
        <w:rPr>
          <w:rFonts w:ascii="Verdana" w:hAnsi="Verdana"/>
          <w:sz w:val="16"/>
          <w:szCs w:val="16"/>
        </w:rPr>
        <w:t>é</w:t>
      </w:r>
      <w:r w:rsidRPr="008B2072">
        <w:rPr>
          <w:rFonts w:ascii="Verdana" w:hAnsi="Verdana"/>
          <w:sz w:val="16"/>
          <w:szCs w:val="16"/>
        </w:rPr>
        <w:t xml:space="preserve">, </w:t>
      </w:r>
      <w:proofErr w:type="spellStart"/>
      <w:r w:rsidRPr="008B2072">
        <w:rPr>
          <w:rFonts w:ascii="Verdana" w:hAnsi="Verdana"/>
          <w:sz w:val="16"/>
          <w:szCs w:val="16"/>
        </w:rPr>
        <w:t>Nené</w:t>
      </w:r>
      <w:proofErr w:type="spellEnd"/>
      <w:r w:rsidRPr="008B2072">
        <w:rPr>
          <w:rFonts w:ascii="Verdana" w:hAnsi="Verdana"/>
          <w:sz w:val="16"/>
          <w:szCs w:val="16"/>
        </w:rPr>
        <w:t xml:space="preserve"> </w:t>
      </w:r>
      <w:proofErr w:type="spellStart"/>
      <w:r w:rsidRPr="008B2072">
        <w:rPr>
          <w:rFonts w:ascii="Verdana" w:hAnsi="Verdana"/>
          <w:sz w:val="16"/>
          <w:szCs w:val="16"/>
        </w:rPr>
        <w:t>Fils</w:t>
      </w:r>
      <w:proofErr w:type="spellEnd"/>
      <w:r w:rsidRPr="008B2072">
        <w:rPr>
          <w:rFonts w:ascii="Verdana" w:hAnsi="Verdana"/>
          <w:sz w:val="16"/>
          <w:szCs w:val="16"/>
        </w:rPr>
        <w:t>-Aim</w:t>
      </w:r>
      <w:r>
        <w:rPr>
          <w:rFonts w:ascii="Verdana" w:hAnsi="Verdana"/>
          <w:sz w:val="16"/>
          <w:szCs w:val="16"/>
        </w:rPr>
        <w:t>é</w:t>
      </w:r>
      <w:r w:rsidRPr="008B2072">
        <w:rPr>
          <w:rFonts w:ascii="Verdana" w:hAnsi="Verdana"/>
          <w:sz w:val="16"/>
          <w:szCs w:val="16"/>
        </w:rPr>
        <w:t xml:space="preserve"> Gili </w:t>
      </w:r>
      <w:proofErr w:type="spellStart"/>
      <w:r w:rsidRPr="008B2072">
        <w:rPr>
          <w:rFonts w:ascii="Verdana" w:hAnsi="Verdana"/>
          <w:sz w:val="16"/>
          <w:szCs w:val="16"/>
        </w:rPr>
        <w:t>Sainlis</w:t>
      </w:r>
      <w:proofErr w:type="spellEnd"/>
      <w:r w:rsidRPr="008B2072">
        <w:rPr>
          <w:rFonts w:ascii="Verdana" w:hAnsi="Verdana"/>
          <w:sz w:val="16"/>
          <w:szCs w:val="16"/>
        </w:rPr>
        <w:t xml:space="preserve">, </w:t>
      </w:r>
      <w:proofErr w:type="spellStart"/>
      <w:r w:rsidRPr="008B2072">
        <w:rPr>
          <w:rFonts w:ascii="Verdana" w:hAnsi="Verdana"/>
          <w:sz w:val="16"/>
          <w:szCs w:val="16"/>
        </w:rPr>
        <w:t>Jamson</w:t>
      </w:r>
      <w:proofErr w:type="spellEnd"/>
      <w:r w:rsidRPr="008B2072">
        <w:rPr>
          <w:rFonts w:ascii="Verdana" w:hAnsi="Verdana"/>
          <w:sz w:val="16"/>
          <w:szCs w:val="16"/>
        </w:rPr>
        <w:t xml:space="preserve"> </w:t>
      </w:r>
      <w:proofErr w:type="spellStart"/>
      <w:r w:rsidRPr="008B2072">
        <w:rPr>
          <w:rFonts w:ascii="Verdana" w:hAnsi="Verdana"/>
          <w:sz w:val="16"/>
          <w:szCs w:val="16"/>
        </w:rPr>
        <w:t>Gelin</w:t>
      </w:r>
      <w:proofErr w:type="spellEnd"/>
      <w:r w:rsidRPr="008B2072">
        <w:rPr>
          <w:rFonts w:ascii="Verdana" w:hAnsi="Verdana"/>
          <w:sz w:val="16"/>
          <w:szCs w:val="16"/>
        </w:rPr>
        <w:t xml:space="preserve">, </w:t>
      </w:r>
      <w:proofErr w:type="spellStart"/>
      <w:r w:rsidRPr="008B2072">
        <w:rPr>
          <w:rFonts w:ascii="Verdana" w:hAnsi="Verdana"/>
          <w:sz w:val="16"/>
          <w:szCs w:val="16"/>
        </w:rPr>
        <w:t>Faica</w:t>
      </w:r>
      <w:proofErr w:type="spellEnd"/>
      <w:r w:rsidRPr="008B2072">
        <w:rPr>
          <w:rFonts w:ascii="Verdana" w:hAnsi="Verdana"/>
          <w:sz w:val="16"/>
          <w:szCs w:val="16"/>
        </w:rPr>
        <w:t xml:space="preserve"> </w:t>
      </w:r>
      <w:proofErr w:type="spellStart"/>
      <w:r w:rsidRPr="008B2072">
        <w:rPr>
          <w:rFonts w:ascii="Verdana" w:hAnsi="Verdana"/>
          <w:sz w:val="16"/>
          <w:szCs w:val="16"/>
        </w:rPr>
        <w:t>Gelin</w:t>
      </w:r>
      <w:proofErr w:type="spellEnd"/>
      <w:r w:rsidRPr="008B2072">
        <w:rPr>
          <w:rFonts w:ascii="Verdana" w:hAnsi="Verdana"/>
          <w:sz w:val="16"/>
          <w:szCs w:val="16"/>
        </w:rPr>
        <w:t xml:space="preserve">, </w:t>
      </w:r>
      <w:proofErr w:type="spellStart"/>
      <w:r w:rsidRPr="008B2072">
        <w:rPr>
          <w:rFonts w:ascii="Verdana" w:hAnsi="Verdana"/>
          <w:sz w:val="16"/>
          <w:szCs w:val="16"/>
        </w:rPr>
        <w:t>Kenson</w:t>
      </w:r>
      <w:proofErr w:type="spellEnd"/>
      <w:r w:rsidRPr="008B2072">
        <w:rPr>
          <w:rFonts w:ascii="Verdana" w:hAnsi="Verdana"/>
          <w:sz w:val="16"/>
          <w:szCs w:val="16"/>
        </w:rPr>
        <w:t xml:space="preserve"> </w:t>
      </w:r>
      <w:proofErr w:type="spellStart"/>
      <w:r w:rsidRPr="008B2072">
        <w:rPr>
          <w:rFonts w:ascii="Verdana" w:hAnsi="Verdana"/>
          <w:sz w:val="16"/>
          <w:szCs w:val="16"/>
        </w:rPr>
        <w:t>Gelin</w:t>
      </w:r>
      <w:proofErr w:type="spellEnd"/>
      <w:r w:rsidRPr="008B2072">
        <w:rPr>
          <w:rFonts w:ascii="Verdana" w:hAnsi="Verdana"/>
          <w:sz w:val="16"/>
          <w:szCs w:val="16"/>
        </w:rPr>
        <w:t xml:space="preserve">, William </w:t>
      </w:r>
      <w:proofErr w:type="spellStart"/>
      <w:r w:rsidRPr="008B2072">
        <w:rPr>
          <w:rFonts w:ascii="Verdana" w:hAnsi="Verdana"/>
          <w:sz w:val="16"/>
          <w:szCs w:val="16"/>
        </w:rPr>
        <w:t>Gelin</w:t>
      </w:r>
      <w:proofErr w:type="spellEnd"/>
      <w:r w:rsidRPr="008B2072">
        <w:rPr>
          <w:rFonts w:ascii="Verdana" w:hAnsi="Verdana"/>
          <w:sz w:val="16"/>
          <w:szCs w:val="16"/>
        </w:rPr>
        <w:t xml:space="preserve">, Ana Virginia Nolasco, Antonio Sesión, Ana </w:t>
      </w:r>
      <w:proofErr w:type="spellStart"/>
      <w:r w:rsidRPr="008B2072">
        <w:rPr>
          <w:rFonts w:ascii="Verdana" w:hAnsi="Verdana"/>
          <w:sz w:val="16"/>
          <w:szCs w:val="16"/>
        </w:rPr>
        <w:t>Dileidy</w:t>
      </w:r>
      <w:proofErr w:type="spellEnd"/>
      <w:r w:rsidRPr="008B2072">
        <w:rPr>
          <w:rFonts w:ascii="Verdana" w:hAnsi="Verdana"/>
          <w:sz w:val="16"/>
          <w:szCs w:val="16"/>
        </w:rPr>
        <w:t xml:space="preserve"> </w:t>
      </w:r>
      <w:proofErr w:type="spellStart"/>
      <w:r w:rsidRPr="008B2072">
        <w:rPr>
          <w:rFonts w:ascii="Verdana" w:hAnsi="Verdana"/>
          <w:sz w:val="16"/>
          <w:szCs w:val="16"/>
        </w:rPr>
        <w:t>Sensión</w:t>
      </w:r>
      <w:proofErr w:type="spellEnd"/>
      <w:r w:rsidRPr="008B2072">
        <w:rPr>
          <w:rFonts w:ascii="Verdana" w:hAnsi="Verdana"/>
          <w:sz w:val="16"/>
          <w:szCs w:val="16"/>
        </w:rPr>
        <w:t>, Maximiliano</w:t>
      </w:r>
      <w:r>
        <w:rPr>
          <w:rFonts w:ascii="Verdana" w:hAnsi="Verdana"/>
          <w:sz w:val="16"/>
          <w:szCs w:val="16"/>
        </w:rPr>
        <w:t xml:space="preserve"> </w:t>
      </w:r>
      <w:proofErr w:type="spellStart"/>
      <w:r>
        <w:rPr>
          <w:rFonts w:ascii="Verdana" w:hAnsi="Verdana"/>
          <w:sz w:val="16"/>
          <w:szCs w:val="16"/>
        </w:rPr>
        <w:t>Sensión</w:t>
      </w:r>
      <w:proofErr w:type="spellEnd"/>
      <w:r w:rsidRPr="008B2072">
        <w:rPr>
          <w:rFonts w:ascii="Verdana" w:hAnsi="Verdana"/>
          <w:sz w:val="16"/>
          <w:szCs w:val="16"/>
        </w:rPr>
        <w:t>, Emiliano</w:t>
      </w:r>
      <w:r>
        <w:rPr>
          <w:rFonts w:ascii="Verdana" w:hAnsi="Verdana"/>
          <w:sz w:val="16"/>
          <w:szCs w:val="16"/>
        </w:rPr>
        <w:t xml:space="preserve"> Maché</w:t>
      </w:r>
      <w:r w:rsidRPr="008B2072">
        <w:rPr>
          <w:rFonts w:ascii="Verdana" w:hAnsi="Verdana"/>
          <w:sz w:val="16"/>
          <w:szCs w:val="16"/>
        </w:rPr>
        <w:t xml:space="preserve"> </w:t>
      </w:r>
      <w:proofErr w:type="spellStart"/>
      <w:r w:rsidRPr="008B2072">
        <w:rPr>
          <w:rFonts w:ascii="Verdana" w:hAnsi="Verdana"/>
          <w:sz w:val="16"/>
          <w:szCs w:val="16"/>
        </w:rPr>
        <w:t>Sensión</w:t>
      </w:r>
      <w:proofErr w:type="spellEnd"/>
      <w:r w:rsidRPr="008B2072">
        <w:rPr>
          <w:rFonts w:ascii="Verdana" w:hAnsi="Verdana"/>
          <w:sz w:val="16"/>
          <w:szCs w:val="16"/>
        </w:rPr>
        <w:t xml:space="preserve">, </w:t>
      </w:r>
      <w:proofErr w:type="spellStart"/>
      <w:r w:rsidRPr="008B2072">
        <w:rPr>
          <w:rFonts w:ascii="Verdana" w:hAnsi="Verdana"/>
          <w:sz w:val="16"/>
          <w:szCs w:val="16"/>
        </w:rPr>
        <w:t>Analideire</w:t>
      </w:r>
      <w:proofErr w:type="spellEnd"/>
      <w:r w:rsidRPr="008B2072">
        <w:rPr>
          <w:rFonts w:ascii="Verdana" w:hAnsi="Verdana"/>
          <w:sz w:val="16"/>
          <w:szCs w:val="16"/>
        </w:rPr>
        <w:t xml:space="preserve"> </w:t>
      </w:r>
      <w:proofErr w:type="spellStart"/>
      <w:r w:rsidRPr="008B2072">
        <w:rPr>
          <w:rFonts w:ascii="Verdana" w:hAnsi="Verdana"/>
          <w:sz w:val="16"/>
          <w:szCs w:val="16"/>
        </w:rPr>
        <w:t>Sensión</w:t>
      </w:r>
      <w:proofErr w:type="spellEnd"/>
      <w:r w:rsidRPr="008B2072">
        <w:rPr>
          <w:rFonts w:ascii="Verdana" w:hAnsi="Verdana"/>
          <w:sz w:val="16"/>
          <w:szCs w:val="16"/>
        </w:rPr>
        <w:t xml:space="preserve">, </w:t>
      </w:r>
      <w:r>
        <w:rPr>
          <w:rFonts w:ascii="Verdana" w:hAnsi="Verdana"/>
          <w:sz w:val="16"/>
          <w:szCs w:val="16"/>
        </w:rPr>
        <w:t xml:space="preserve">Ana </w:t>
      </w:r>
      <w:proofErr w:type="spellStart"/>
      <w:r>
        <w:rPr>
          <w:rFonts w:ascii="Verdana" w:hAnsi="Verdana"/>
          <w:sz w:val="16"/>
          <w:szCs w:val="16"/>
        </w:rPr>
        <w:t>Dileidy</w:t>
      </w:r>
      <w:proofErr w:type="spellEnd"/>
      <w:r>
        <w:rPr>
          <w:rFonts w:ascii="Verdana" w:hAnsi="Verdana"/>
          <w:sz w:val="16"/>
          <w:szCs w:val="16"/>
        </w:rPr>
        <w:t xml:space="preserve"> Sesión</w:t>
      </w:r>
      <w:r w:rsidRPr="008B2072">
        <w:rPr>
          <w:rFonts w:ascii="Verdana" w:hAnsi="Verdana"/>
          <w:sz w:val="16"/>
          <w:szCs w:val="16"/>
        </w:rPr>
        <w:t xml:space="preserve">, </w:t>
      </w:r>
      <w:r w:rsidRPr="00B472C0">
        <w:rPr>
          <w:rFonts w:ascii="Verdana" w:hAnsi="Verdana"/>
          <w:sz w:val="16"/>
          <w:szCs w:val="16"/>
        </w:rPr>
        <w:t xml:space="preserve">Andrea </w:t>
      </w:r>
      <w:proofErr w:type="spellStart"/>
      <w:r w:rsidRPr="00B472C0">
        <w:rPr>
          <w:rFonts w:ascii="Verdana" w:hAnsi="Verdana"/>
          <w:sz w:val="16"/>
          <w:szCs w:val="16"/>
        </w:rPr>
        <w:t>Alezy</w:t>
      </w:r>
      <w:proofErr w:type="spellEnd"/>
      <w:r w:rsidRPr="008B2072">
        <w:rPr>
          <w:rFonts w:ascii="Verdana" w:hAnsi="Verdana"/>
          <w:i/>
          <w:sz w:val="16"/>
          <w:szCs w:val="16"/>
        </w:rPr>
        <w:t xml:space="preserve">, </w:t>
      </w:r>
      <w:r w:rsidRPr="008B2072">
        <w:rPr>
          <w:rFonts w:ascii="Verdana" w:hAnsi="Verdana"/>
          <w:sz w:val="16"/>
          <w:szCs w:val="16"/>
        </w:rPr>
        <w:t>María Esther Medina Matos, Jairo Pérez Medina</w:t>
      </w:r>
      <w:r>
        <w:rPr>
          <w:rFonts w:ascii="Verdana" w:hAnsi="Verdana"/>
          <w:sz w:val="16"/>
          <w:szCs w:val="16"/>
        </w:rPr>
        <w:t>,</w:t>
      </w:r>
      <w:r w:rsidRPr="008B2072">
        <w:rPr>
          <w:rFonts w:ascii="Verdana" w:hAnsi="Verdana"/>
          <w:sz w:val="16"/>
          <w:szCs w:val="16"/>
        </w:rPr>
        <w:t xml:space="preserve"> </w:t>
      </w:r>
      <w:proofErr w:type="spellStart"/>
      <w:r w:rsidRPr="008B2072">
        <w:rPr>
          <w:rFonts w:ascii="Verdana" w:hAnsi="Verdana"/>
          <w:sz w:val="16"/>
          <w:szCs w:val="16"/>
        </w:rPr>
        <w:t>Gimena</w:t>
      </w:r>
      <w:proofErr w:type="spellEnd"/>
      <w:r w:rsidRPr="008B2072">
        <w:rPr>
          <w:rFonts w:ascii="Verdana" w:hAnsi="Verdana"/>
          <w:sz w:val="16"/>
          <w:szCs w:val="16"/>
        </w:rPr>
        <w:t xml:space="preserve"> Pérez</w:t>
      </w:r>
      <w:r>
        <w:rPr>
          <w:rFonts w:ascii="Verdana" w:hAnsi="Verdana"/>
          <w:sz w:val="16"/>
          <w:szCs w:val="16"/>
        </w:rPr>
        <w:t xml:space="preserve">, Víctor Jean, Marlene Mesidor, </w:t>
      </w:r>
      <w:proofErr w:type="spellStart"/>
      <w:r>
        <w:rPr>
          <w:rFonts w:ascii="Verdana" w:hAnsi="Verdana"/>
          <w:sz w:val="16"/>
          <w:szCs w:val="16"/>
        </w:rPr>
        <w:t>McKenson</w:t>
      </w:r>
      <w:proofErr w:type="spellEnd"/>
      <w:r>
        <w:rPr>
          <w:rFonts w:ascii="Verdana" w:hAnsi="Verdana"/>
          <w:sz w:val="16"/>
          <w:szCs w:val="16"/>
        </w:rPr>
        <w:t xml:space="preserve"> Jean, Victoria Jean, Miguel Jean, </w:t>
      </w:r>
      <w:proofErr w:type="spellStart"/>
      <w:r>
        <w:rPr>
          <w:rFonts w:ascii="Verdana" w:hAnsi="Verdana"/>
          <w:sz w:val="16"/>
          <w:szCs w:val="16"/>
        </w:rPr>
        <w:t>Nathalie</w:t>
      </w:r>
      <w:proofErr w:type="spellEnd"/>
      <w:r>
        <w:rPr>
          <w:rFonts w:ascii="Verdana" w:hAnsi="Verdana"/>
          <w:sz w:val="16"/>
          <w:szCs w:val="16"/>
        </w:rPr>
        <w:t xml:space="preserve"> Jean, Jessica Jean y Víctor Manuel Jean</w:t>
      </w:r>
      <w:r w:rsidRPr="008B2072">
        <w:rPr>
          <w:rFonts w:ascii="Verdana" w:hAnsi="Verdana"/>
          <w:sz w:val="16"/>
          <w:szCs w:val="16"/>
        </w:rPr>
        <w:t>.</w:t>
      </w:r>
    </w:p>
    <w:p w:rsidR="008F004E" w:rsidRPr="008B2072" w:rsidRDefault="008F004E" w:rsidP="00332068">
      <w:pPr>
        <w:spacing w:after="200"/>
        <w:contextualSpacing/>
        <w:jc w:val="both"/>
        <w:rPr>
          <w:rFonts w:ascii="Verdana" w:hAnsi="Verdana"/>
          <w:sz w:val="16"/>
          <w:szCs w:val="16"/>
        </w:rPr>
      </w:pPr>
    </w:p>
  </w:footnote>
  <w:footnote w:id="8">
    <w:p w:rsidR="008F004E" w:rsidRPr="008539FC" w:rsidRDefault="008F004E" w:rsidP="00332068">
      <w:pPr>
        <w:jc w:val="both"/>
        <w:rPr>
          <w:sz w:val="16"/>
          <w:szCs w:val="16"/>
        </w:rPr>
      </w:pPr>
      <w:r w:rsidRPr="008B2072">
        <w:rPr>
          <w:rStyle w:val="FootnoteReference"/>
          <w:rFonts w:ascii="Verdana" w:hAnsi="Verdana"/>
          <w:sz w:val="16"/>
          <w:szCs w:val="16"/>
        </w:rPr>
        <w:footnoteRef/>
      </w:r>
      <w:r w:rsidRPr="008B2072">
        <w:rPr>
          <w:rFonts w:ascii="Verdana" w:hAnsi="Verdana"/>
          <w:sz w:val="16"/>
          <w:szCs w:val="16"/>
        </w:rPr>
        <w:t xml:space="preserve"> </w:t>
      </w:r>
      <w:r w:rsidRPr="008B2072">
        <w:rPr>
          <w:rFonts w:ascii="Verdana" w:hAnsi="Verdana"/>
          <w:sz w:val="16"/>
          <w:szCs w:val="16"/>
        </w:rPr>
        <w:tab/>
        <w:t xml:space="preserve">El Estado observó que los representantes en su escrito de solicitudes y argumentos </w:t>
      </w:r>
      <w:r>
        <w:rPr>
          <w:rFonts w:ascii="Verdana" w:hAnsi="Verdana"/>
          <w:sz w:val="16"/>
          <w:szCs w:val="16"/>
        </w:rPr>
        <w:t>“</w:t>
      </w:r>
      <w:r w:rsidRPr="008B2072">
        <w:rPr>
          <w:rFonts w:ascii="Verdana" w:hAnsi="Verdana"/>
          <w:sz w:val="16"/>
          <w:szCs w:val="16"/>
        </w:rPr>
        <w:t>tratan de introducir en el proceso nuevos actos y hechos al marco fáctico acreditado por la Comisión, respecto a las presuntas víctimas identificadas</w:t>
      </w:r>
      <w:r>
        <w:rPr>
          <w:rFonts w:ascii="Verdana" w:hAnsi="Verdana"/>
          <w:sz w:val="16"/>
          <w:szCs w:val="16"/>
        </w:rPr>
        <w:t>”</w:t>
      </w:r>
      <w:r w:rsidRPr="008B2072">
        <w:rPr>
          <w:rFonts w:ascii="Verdana" w:hAnsi="Verdana"/>
          <w:sz w:val="16"/>
          <w:szCs w:val="16"/>
        </w:rPr>
        <w:t>.</w:t>
      </w:r>
      <w:r w:rsidRPr="008B2072">
        <w:rPr>
          <w:rFonts w:ascii="Verdana" w:hAnsi="Verdana"/>
          <w:b/>
          <w:sz w:val="16"/>
          <w:szCs w:val="16"/>
        </w:rPr>
        <w:t xml:space="preserve"> </w:t>
      </w:r>
      <w:r w:rsidRPr="008B2072">
        <w:rPr>
          <w:rFonts w:ascii="Verdana" w:hAnsi="Verdana"/>
          <w:sz w:val="16"/>
          <w:szCs w:val="16"/>
        </w:rPr>
        <w:t xml:space="preserve">El Estado alegó que </w:t>
      </w:r>
      <w:r>
        <w:rPr>
          <w:rFonts w:ascii="Verdana" w:hAnsi="Verdana"/>
          <w:sz w:val="16"/>
          <w:szCs w:val="16"/>
        </w:rPr>
        <w:t>“</w:t>
      </w:r>
      <w:r w:rsidRPr="008B2072">
        <w:rPr>
          <w:rFonts w:ascii="Verdana" w:hAnsi="Verdana"/>
          <w:sz w:val="16"/>
          <w:szCs w:val="16"/>
        </w:rPr>
        <w:t>ninguno de los presuntos hechos y actos fueron acreditados por la Comisión en su informe Nº 64/12, ni en el escrito de sometimiento por lo que constituyen hechos y actos nuevos al litigio</w:t>
      </w:r>
      <w:r>
        <w:rPr>
          <w:rFonts w:ascii="Verdana" w:hAnsi="Verdana"/>
          <w:sz w:val="16"/>
          <w:szCs w:val="16"/>
        </w:rPr>
        <w:t>”</w:t>
      </w:r>
      <w:r w:rsidRPr="008B2072">
        <w:rPr>
          <w:rFonts w:ascii="Verdana" w:hAnsi="Verdana"/>
          <w:sz w:val="16"/>
          <w:szCs w:val="16"/>
        </w:rPr>
        <w:t>, y por ende, el Estado solicitó que los excluya sin excepción del conocimiento del presente caso, ya que no componen parte del marco fáctico de la “demanda”.</w:t>
      </w:r>
    </w:p>
  </w:footnote>
  <w:footnote w:id="9">
    <w:p w:rsidR="008F004E" w:rsidRPr="008B2072" w:rsidRDefault="008F004E" w:rsidP="00332068">
      <w:pPr>
        <w:pStyle w:val="FootnoteText"/>
        <w:jc w:val="both"/>
        <w:rPr>
          <w:rFonts w:ascii="Verdana" w:hAnsi="Verdana"/>
          <w:sz w:val="16"/>
          <w:szCs w:val="16"/>
          <w:lang w:val="es-CR"/>
        </w:rPr>
      </w:pPr>
      <w:r w:rsidRPr="008B2072">
        <w:rPr>
          <w:rStyle w:val="FootnoteReference"/>
          <w:rFonts w:ascii="Verdana" w:hAnsi="Verdana" w:cs="Times"/>
          <w:sz w:val="16"/>
          <w:szCs w:val="16"/>
        </w:rPr>
        <w:footnoteRef/>
      </w:r>
      <w:r w:rsidRPr="008B2072">
        <w:rPr>
          <w:rFonts w:ascii="Verdana" w:hAnsi="Verdana"/>
          <w:sz w:val="16"/>
          <w:szCs w:val="16"/>
        </w:rPr>
        <w:t xml:space="preserve"> </w:t>
      </w:r>
      <w:r w:rsidRPr="008B2072">
        <w:rPr>
          <w:rFonts w:ascii="Verdana" w:hAnsi="Verdana"/>
          <w:sz w:val="16"/>
          <w:szCs w:val="16"/>
        </w:rPr>
        <w:tab/>
      </w:r>
      <w:r w:rsidRPr="008B2072">
        <w:rPr>
          <w:rFonts w:ascii="Verdana" w:hAnsi="Verdana"/>
          <w:i/>
          <w:iCs/>
          <w:sz w:val="16"/>
          <w:szCs w:val="16"/>
        </w:rPr>
        <w:t>Cfr. Caso Cepeda Vargas Vs. Colombia.</w:t>
      </w:r>
      <w:r w:rsidRPr="008B2072">
        <w:rPr>
          <w:rFonts w:ascii="Verdana" w:hAnsi="Verdana"/>
          <w:sz w:val="16"/>
          <w:szCs w:val="16"/>
        </w:rPr>
        <w:t xml:space="preserve"> </w:t>
      </w:r>
      <w:r w:rsidRPr="008B2072">
        <w:rPr>
          <w:rFonts w:ascii="Verdana" w:hAnsi="Verdana"/>
          <w:sz w:val="16"/>
          <w:szCs w:val="16"/>
          <w:lang w:val="es-CR"/>
        </w:rPr>
        <w:t xml:space="preserve">Resolución de la Presidenta de la Corte de 22 de diciembre de 2009, </w:t>
      </w:r>
      <w:r>
        <w:rPr>
          <w:rFonts w:ascii="Verdana" w:hAnsi="Verdana"/>
          <w:sz w:val="16"/>
          <w:szCs w:val="16"/>
          <w:lang w:val="es-CR"/>
        </w:rPr>
        <w:t>C</w:t>
      </w:r>
      <w:r w:rsidRPr="008B2072">
        <w:rPr>
          <w:rFonts w:ascii="Verdana" w:hAnsi="Verdana"/>
          <w:sz w:val="16"/>
          <w:szCs w:val="16"/>
          <w:lang w:val="es-CR"/>
        </w:rPr>
        <w:t>onsiderandos 9 a 14, y</w:t>
      </w:r>
      <w:r w:rsidRPr="008B2072">
        <w:rPr>
          <w:rFonts w:ascii="Verdana" w:hAnsi="Verdana"/>
          <w:i/>
          <w:iCs/>
          <w:sz w:val="16"/>
          <w:szCs w:val="16"/>
        </w:rPr>
        <w:t xml:space="preserve"> Caso Familia Pacheco </w:t>
      </w:r>
      <w:proofErr w:type="spellStart"/>
      <w:r w:rsidRPr="008B2072">
        <w:rPr>
          <w:rFonts w:ascii="Verdana" w:hAnsi="Verdana"/>
          <w:i/>
          <w:iCs/>
          <w:sz w:val="16"/>
          <w:szCs w:val="16"/>
        </w:rPr>
        <w:t>Tineo</w:t>
      </w:r>
      <w:proofErr w:type="spellEnd"/>
      <w:r w:rsidRPr="008B2072">
        <w:rPr>
          <w:rFonts w:ascii="Verdana" w:hAnsi="Verdana"/>
          <w:i/>
          <w:iCs/>
          <w:sz w:val="16"/>
          <w:szCs w:val="16"/>
        </w:rPr>
        <w:t xml:space="preserve"> Vs. Bolivia.</w:t>
      </w:r>
      <w:r w:rsidRPr="008B2072">
        <w:rPr>
          <w:rFonts w:ascii="Verdana" w:hAnsi="Verdana"/>
          <w:sz w:val="16"/>
          <w:szCs w:val="16"/>
        </w:rPr>
        <w:t xml:space="preserve"> </w:t>
      </w:r>
      <w:r w:rsidRPr="008B2072">
        <w:rPr>
          <w:rFonts w:ascii="Verdana" w:hAnsi="Verdana"/>
          <w:sz w:val="16"/>
          <w:szCs w:val="16"/>
          <w:lang w:val="es-CR"/>
        </w:rPr>
        <w:t xml:space="preserve">Resolución del Presidente de la Corte de 19 de febrero de 2013, </w:t>
      </w:r>
      <w:r>
        <w:rPr>
          <w:rFonts w:ascii="Verdana" w:hAnsi="Verdana"/>
          <w:sz w:val="16"/>
          <w:szCs w:val="16"/>
          <w:lang w:val="es-CR"/>
        </w:rPr>
        <w:t>C</w:t>
      </w:r>
      <w:r w:rsidRPr="008B2072">
        <w:rPr>
          <w:rFonts w:ascii="Verdana" w:hAnsi="Verdana"/>
          <w:sz w:val="16"/>
          <w:szCs w:val="16"/>
          <w:lang w:val="es-CR"/>
        </w:rPr>
        <w:t>onsiderando 19.</w:t>
      </w:r>
    </w:p>
    <w:p w:rsidR="008F004E" w:rsidRPr="008B2072" w:rsidRDefault="008F004E" w:rsidP="00332068">
      <w:pPr>
        <w:pStyle w:val="FootnoteText"/>
        <w:jc w:val="both"/>
        <w:rPr>
          <w:rFonts w:ascii="Verdana" w:hAnsi="Verdana"/>
          <w:sz w:val="16"/>
          <w:szCs w:val="16"/>
        </w:rPr>
      </w:pPr>
    </w:p>
  </w:footnote>
  <w:footnote w:id="10">
    <w:p w:rsidR="008F004E" w:rsidRPr="008B2072" w:rsidRDefault="008F004E" w:rsidP="00332068">
      <w:pPr>
        <w:pStyle w:val="FootnoteText"/>
        <w:jc w:val="both"/>
        <w:rPr>
          <w:rFonts w:ascii="Verdana" w:hAnsi="Verdana"/>
          <w:sz w:val="16"/>
          <w:szCs w:val="16"/>
          <w:lang w:val="es-CR"/>
        </w:rPr>
      </w:pPr>
      <w:r w:rsidRPr="008B2072">
        <w:rPr>
          <w:rStyle w:val="FootnoteReference"/>
          <w:rFonts w:ascii="Verdana" w:hAnsi="Verdana"/>
          <w:sz w:val="16"/>
          <w:szCs w:val="16"/>
        </w:rPr>
        <w:footnoteRef/>
      </w:r>
      <w:r w:rsidRPr="008B2072">
        <w:rPr>
          <w:rFonts w:ascii="Verdana" w:hAnsi="Verdana"/>
          <w:sz w:val="16"/>
          <w:szCs w:val="16"/>
        </w:rPr>
        <w:tab/>
      </w:r>
      <w:r w:rsidRPr="008B2072">
        <w:rPr>
          <w:rFonts w:ascii="Verdana" w:hAnsi="Verdana"/>
          <w:i/>
          <w:noProof/>
          <w:sz w:val="16"/>
          <w:szCs w:val="16"/>
        </w:rPr>
        <w:t>Cfr</w:t>
      </w:r>
      <w:r w:rsidRPr="008B2072">
        <w:rPr>
          <w:rFonts w:ascii="Verdana" w:hAnsi="Verdana"/>
          <w:noProof/>
          <w:sz w:val="16"/>
          <w:szCs w:val="16"/>
        </w:rPr>
        <w:t xml:space="preserve">. </w:t>
      </w:r>
      <w:r w:rsidRPr="008B2072">
        <w:rPr>
          <w:rFonts w:ascii="Verdana" w:hAnsi="Verdana"/>
          <w:i/>
          <w:noProof/>
          <w:sz w:val="16"/>
          <w:szCs w:val="16"/>
        </w:rPr>
        <w:t>Caso “Cinco Pensionistas” Vs. Perú. Fondo, Reparaciones y Costas</w:t>
      </w:r>
      <w:r w:rsidRPr="008B2072">
        <w:rPr>
          <w:rFonts w:ascii="Verdana" w:hAnsi="Verdana"/>
          <w:noProof/>
          <w:sz w:val="16"/>
          <w:szCs w:val="16"/>
        </w:rPr>
        <w:t xml:space="preserve">. Sentencia de 28 de febrero de 2003. Serie C No. 98, párr. 153, y </w:t>
      </w:r>
      <w:r w:rsidRPr="008B2072">
        <w:rPr>
          <w:rFonts w:ascii="Verdana" w:hAnsi="Verdana"/>
          <w:i/>
          <w:iCs/>
          <w:sz w:val="16"/>
          <w:szCs w:val="16"/>
        </w:rPr>
        <w:t xml:space="preserve">Caso Familia Pacheco </w:t>
      </w:r>
      <w:proofErr w:type="spellStart"/>
      <w:r w:rsidRPr="008B2072">
        <w:rPr>
          <w:rFonts w:ascii="Verdana" w:hAnsi="Verdana"/>
          <w:i/>
          <w:iCs/>
          <w:sz w:val="16"/>
          <w:szCs w:val="16"/>
        </w:rPr>
        <w:t>Tineo</w:t>
      </w:r>
      <w:proofErr w:type="spellEnd"/>
      <w:r w:rsidRPr="008B2072">
        <w:rPr>
          <w:rFonts w:ascii="Verdana" w:hAnsi="Verdana"/>
          <w:i/>
          <w:iCs/>
          <w:sz w:val="16"/>
          <w:szCs w:val="16"/>
        </w:rPr>
        <w:t xml:space="preserve"> Vs. Bolivia</w:t>
      </w:r>
      <w:r>
        <w:rPr>
          <w:rFonts w:ascii="Verdana" w:hAnsi="Verdana"/>
          <w:iCs/>
          <w:sz w:val="16"/>
          <w:szCs w:val="16"/>
        </w:rPr>
        <w:t xml:space="preserve">, </w:t>
      </w:r>
      <w:r w:rsidRPr="003E2BAB">
        <w:rPr>
          <w:rFonts w:ascii="Verdana" w:hAnsi="Verdana"/>
          <w:i/>
          <w:iCs/>
          <w:sz w:val="16"/>
          <w:szCs w:val="16"/>
        </w:rPr>
        <w:t>supra</w:t>
      </w:r>
      <w:r w:rsidRPr="008B2072">
        <w:rPr>
          <w:rFonts w:ascii="Verdana" w:hAnsi="Verdana"/>
          <w:sz w:val="16"/>
          <w:szCs w:val="16"/>
          <w:lang w:val="es-CR"/>
        </w:rPr>
        <w:t xml:space="preserve">, </w:t>
      </w:r>
      <w:r>
        <w:rPr>
          <w:rFonts w:ascii="Verdana" w:hAnsi="Verdana"/>
          <w:sz w:val="16"/>
          <w:szCs w:val="16"/>
          <w:lang w:val="es-CR"/>
        </w:rPr>
        <w:t>C</w:t>
      </w:r>
      <w:r w:rsidRPr="008B2072">
        <w:rPr>
          <w:rFonts w:ascii="Verdana" w:hAnsi="Verdana"/>
          <w:sz w:val="16"/>
          <w:szCs w:val="16"/>
          <w:lang w:val="es-CR"/>
        </w:rPr>
        <w:t>onsiderando 19.</w:t>
      </w:r>
    </w:p>
    <w:p w:rsidR="008F004E" w:rsidRPr="008B2072" w:rsidRDefault="008F004E" w:rsidP="00332068">
      <w:pPr>
        <w:pStyle w:val="FootnoteText"/>
        <w:jc w:val="both"/>
        <w:rPr>
          <w:rFonts w:ascii="Verdana" w:hAnsi="Verdana"/>
          <w:sz w:val="16"/>
          <w:szCs w:val="16"/>
          <w:lang w:val="es-CR"/>
        </w:rPr>
      </w:pPr>
    </w:p>
  </w:footnote>
  <w:footnote w:id="11">
    <w:p w:rsidR="008F004E" w:rsidRPr="008B2072" w:rsidRDefault="008F004E" w:rsidP="00332068">
      <w:pPr>
        <w:pStyle w:val="FootnoteText"/>
        <w:jc w:val="both"/>
        <w:rPr>
          <w:rFonts w:ascii="Verdana" w:hAnsi="Verdana"/>
          <w:sz w:val="16"/>
          <w:szCs w:val="16"/>
          <w:lang w:val="es-CR"/>
        </w:rPr>
      </w:pPr>
      <w:r w:rsidRPr="008B2072">
        <w:rPr>
          <w:rStyle w:val="FootnoteReference"/>
          <w:rFonts w:ascii="Verdana" w:hAnsi="Verdana" w:cs="Times"/>
          <w:sz w:val="16"/>
          <w:szCs w:val="16"/>
        </w:rPr>
        <w:footnoteRef/>
      </w:r>
      <w:r w:rsidRPr="008B2072">
        <w:rPr>
          <w:rFonts w:ascii="Verdana" w:hAnsi="Verdana"/>
          <w:sz w:val="16"/>
          <w:szCs w:val="16"/>
        </w:rPr>
        <w:t xml:space="preserve"> </w:t>
      </w:r>
      <w:r w:rsidRPr="008B2072">
        <w:rPr>
          <w:rFonts w:ascii="Verdana" w:hAnsi="Verdana"/>
          <w:sz w:val="16"/>
          <w:szCs w:val="16"/>
        </w:rPr>
        <w:tab/>
      </w:r>
      <w:r w:rsidRPr="008B2072">
        <w:rPr>
          <w:rFonts w:ascii="Verdana" w:hAnsi="Verdana"/>
          <w:i/>
          <w:iCs/>
          <w:sz w:val="16"/>
          <w:szCs w:val="16"/>
        </w:rPr>
        <w:t xml:space="preserve">Cfr. Caso de las Hermanas Serrano Cruz Vs. El Salvador. Excepciones Preliminares. </w:t>
      </w:r>
      <w:r w:rsidRPr="008B2072">
        <w:rPr>
          <w:rFonts w:ascii="Verdana" w:hAnsi="Verdana"/>
          <w:sz w:val="16"/>
          <w:szCs w:val="16"/>
        </w:rPr>
        <w:t xml:space="preserve">Sentencia de 23 de noviembre de 2004. Serie C. No. 118, párr. 30, y </w:t>
      </w:r>
      <w:r w:rsidRPr="008B2072">
        <w:rPr>
          <w:rFonts w:ascii="Verdana" w:hAnsi="Verdana"/>
          <w:i/>
          <w:iCs/>
          <w:sz w:val="16"/>
          <w:szCs w:val="16"/>
        </w:rPr>
        <w:t xml:space="preserve">Caso Familia Pacheco </w:t>
      </w:r>
      <w:proofErr w:type="spellStart"/>
      <w:r w:rsidRPr="008B2072">
        <w:rPr>
          <w:rFonts w:ascii="Verdana" w:hAnsi="Verdana"/>
          <w:i/>
          <w:iCs/>
          <w:sz w:val="16"/>
          <w:szCs w:val="16"/>
        </w:rPr>
        <w:t>Tineo</w:t>
      </w:r>
      <w:proofErr w:type="spellEnd"/>
      <w:r w:rsidRPr="008B2072">
        <w:rPr>
          <w:rFonts w:ascii="Verdana" w:hAnsi="Verdana"/>
          <w:i/>
          <w:iCs/>
          <w:sz w:val="16"/>
          <w:szCs w:val="16"/>
        </w:rPr>
        <w:t xml:space="preserve"> Vs. Bolivia</w:t>
      </w:r>
      <w:r>
        <w:rPr>
          <w:rFonts w:ascii="Verdana" w:hAnsi="Verdana"/>
          <w:iCs/>
          <w:sz w:val="16"/>
          <w:szCs w:val="16"/>
        </w:rPr>
        <w:t xml:space="preserve">, </w:t>
      </w:r>
      <w:r w:rsidRPr="003E2BAB">
        <w:rPr>
          <w:rFonts w:ascii="Verdana" w:hAnsi="Verdana"/>
          <w:i/>
          <w:iCs/>
          <w:sz w:val="16"/>
          <w:szCs w:val="16"/>
        </w:rPr>
        <w:t>supra</w:t>
      </w:r>
      <w:r w:rsidRPr="008B2072">
        <w:rPr>
          <w:rFonts w:ascii="Verdana" w:hAnsi="Verdana"/>
          <w:sz w:val="16"/>
          <w:szCs w:val="16"/>
          <w:lang w:val="es-CR"/>
        </w:rPr>
        <w:t xml:space="preserve">, </w:t>
      </w:r>
      <w:r>
        <w:rPr>
          <w:rFonts w:ascii="Verdana" w:hAnsi="Verdana"/>
          <w:sz w:val="16"/>
          <w:szCs w:val="16"/>
          <w:lang w:val="es-CR"/>
        </w:rPr>
        <w:t>C</w:t>
      </w:r>
      <w:r w:rsidRPr="008B2072">
        <w:rPr>
          <w:rFonts w:ascii="Verdana" w:hAnsi="Verdana"/>
          <w:sz w:val="16"/>
          <w:szCs w:val="16"/>
          <w:lang w:val="es-CR"/>
        </w:rPr>
        <w:t>onsiderando 20.</w:t>
      </w:r>
    </w:p>
    <w:p w:rsidR="008F004E" w:rsidRPr="008B2072" w:rsidRDefault="008F004E" w:rsidP="00332068">
      <w:pPr>
        <w:pStyle w:val="FootnoteText"/>
        <w:jc w:val="both"/>
        <w:rPr>
          <w:rFonts w:ascii="Verdana" w:hAnsi="Verdana"/>
          <w:sz w:val="16"/>
          <w:szCs w:val="16"/>
          <w:lang w:val="es-CR"/>
        </w:rPr>
      </w:pPr>
    </w:p>
  </w:footnote>
  <w:footnote w:id="12">
    <w:p w:rsidR="008F004E" w:rsidRPr="005D1518" w:rsidRDefault="008F004E" w:rsidP="00332068">
      <w:pPr>
        <w:pStyle w:val="FootnoteText"/>
        <w:jc w:val="both"/>
        <w:rPr>
          <w:highlight w:val="yellow"/>
          <w:lang w:val="es-CR"/>
        </w:rPr>
      </w:pPr>
      <w:r w:rsidRPr="008B2072">
        <w:rPr>
          <w:rStyle w:val="FootnoteReference"/>
          <w:rFonts w:ascii="Verdana" w:hAnsi="Verdana" w:cs="Times"/>
          <w:sz w:val="16"/>
          <w:szCs w:val="16"/>
        </w:rPr>
        <w:footnoteRef/>
      </w:r>
      <w:r w:rsidRPr="008B2072">
        <w:rPr>
          <w:rFonts w:ascii="Verdana" w:hAnsi="Verdana"/>
          <w:sz w:val="16"/>
          <w:szCs w:val="16"/>
        </w:rPr>
        <w:t xml:space="preserve"> </w:t>
      </w:r>
      <w:r w:rsidRPr="008B2072">
        <w:rPr>
          <w:rFonts w:ascii="Verdana" w:hAnsi="Verdana"/>
          <w:sz w:val="16"/>
          <w:szCs w:val="16"/>
        </w:rPr>
        <w:tab/>
      </w:r>
      <w:r w:rsidRPr="008B2072">
        <w:rPr>
          <w:rFonts w:ascii="Verdana" w:hAnsi="Verdana"/>
          <w:i/>
          <w:iCs/>
          <w:sz w:val="16"/>
          <w:szCs w:val="16"/>
        </w:rPr>
        <w:t>Cfr</w:t>
      </w:r>
      <w:r w:rsidRPr="008B2072">
        <w:rPr>
          <w:rFonts w:ascii="Verdana" w:hAnsi="Verdana"/>
          <w:sz w:val="16"/>
          <w:szCs w:val="16"/>
        </w:rPr>
        <w:t xml:space="preserve">. </w:t>
      </w:r>
      <w:r w:rsidRPr="008B2072">
        <w:rPr>
          <w:rFonts w:ascii="Verdana" w:hAnsi="Verdana"/>
          <w:i/>
          <w:iCs/>
          <w:sz w:val="16"/>
          <w:szCs w:val="16"/>
        </w:rPr>
        <w:t xml:space="preserve">Caso del Pueblo de </w:t>
      </w:r>
      <w:proofErr w:type="spellStart"/>
      <w:r w:rsidRPr="008B2072">
        <w:rPr>
          <w:rFonts w:ascii="Verdana" w:hAnsi="Verdana"/>
          <w:i/>
          <w:iCs/>
          <w:sz w:val="16"/>
          <w:szCs w:val="16"/>
        </w:rPr>
        <w:t>Saramaka</w:t>
      </w:r>
      <w:proofErr w:type="spellEnd"/>
      <w:r w:rsidRPr="008B2072">
        <w:rPr>
          <w:rFonts w:ascii="Verdana" w:hAnsi="Verdana"/>
          <w:i/>
          <w:iCs/>
          <w:sz w:val="16"/>
          <w:szCs w:val="16"/>
        </w:rPr>
        <w:t xml:space="preserve"> Vs. </w:t>
      </w:r>
      <w:proofErr w:type="spellStart"/>
      <w:r w:rsidRPr="008B2072">
        <w:rPr>
          <w:rFonts w:ascii="Verdana" w:hAnsi="Verdana"/>
          <w:i/>
          <w:iCs/>
          <w:sz w:val="16"/>
          <w:szCs w:val="16"/>
        </w:rPr>
        <w:t>Suriname</w:t>
      </w:r>
      <w:proofErr w:type="spellEnd"/>
      <w:r w:rsidRPr="008B2072">
        <w:rPr>
          <w:rFonts w:ascii="Verdana" w:hAnsi="Verdana"/>
          <w:sz w:val="16"/>
          <w:szCs w:val="16"/>
        </w:rPr>
        <w:t xml:space="preserve">. Resolución del Presidente de la Corte de 30 de marzo de 2007, </w:t>
      </w:r>
      <w:r>
        <w:rPr>
          <w:rFonts w:ascii="Verdana" w:hAnsi="Verdana"/>
          <w:sz w:val="16"/>
          <w:szCs w:val="16"/>
        </w:rPr>
        <w:t>C</w:t>
      </w:r>
      <w:r w:rsidRPr="008B2072">
        <w:rPr>
          <w:rFonts w:ascii="Verdana" w:hAnsi="Verdana"/>
          <w:sz w:val="16"/>
          <w:szCs w:val="16"/>
        </w:rPr>
        <w:t xml:space="preserve">onsiderando </w:t>
      </w:r>
      <w:r>
        <w:rPr>
          <w:rFonts w:ascii="Verdana" w:hAnsi="Verdana"/>
          <w:sz w:val="16"/>
          <w:szCs w:val="16"/>
        </w:rPr>
        <w:t>2</w:t>
      </w:r>
      <w:r w:rsidRPr="008B2072">
        <w:rPr>
          <w:rFonts w:ascii="Verdana" w:hAnsi="Verdana"/>
          <w:sz w:val="16"/>
          <w:szCs w:val="16"/>
        </w:rPr>
        <w:t xml:space="preserve">; </w:t>
      </w:r>
      <w:r w:rsidRPr="008B2072">
        <w:rPr>
          <w:rFonts w:ascii="Verdana" w:hAnsi="Verdana"/>
          <w:i/>
          <w:iCs/>
          <w:sz w:val="16"/>
          <w:szCs w:val="16"/>
        </w:rPr>
        <w:t xml:space="preserve">Caso </w:t>
      </w:r>
      <w:proofErr w:type="spellStart"/>
      <w:r w:rsidRPr="008B2072">
        <w:rPr>
          <w:rFonts w:ascii="Verdana" w:hAnsi="Verdana"/>
          <w:i/>
          <w:iCs/>
          <w:sz w:val="16"/>
          <w:szCs w:val="16"/>
        </w:rPr>
        <w:t>Escher</w:t>
      </w:r>
      <w:proofErr w:type="spellEnd"/>
      <w:r w:rsidRPr="008B2072">
        <w:rPr>
          <w:rFonts w:ascii="Verdana" w:hAnsi="Verdana"/>
          <w:i/>
          <w:iCs/>
          <w:sz w:val="16"/>
          <w:szCs w:val="16"/>
        </w:rPr>
        <w:t xml:space="preserve"> y otros Vs. Brasil</w:t>
      </w:r>
      <w:r w:rsidRPr="008B2072">
        <w:rPr>
          <w:rFonts w:ascii="Verdana" w:hAnsi="Verdana"/>
          <w:sz w:val="16"/>
          <w:szCs w:val="16"/>
        </w:rPr>
        <w:t xml:space="preserve">. Resolución de la Presidenta de la Corte de 8 de octubre de 2008, </w:t>
      </w:r>
      <w:r>
        <w:rPr>
          <w:rFonts w:ascii="Verdana" w:hAnsi="Verdana"/>
          <w:sz w:val="16"/>
          <w:szCs w:val="16"/>
        </w:rPr>
        <w:t>C</w:t>
      </w:r>
      <w:r w:rsidRPr="008B2072">
        <w:rPr>
          <w:rFonts w:ascii="Verdana" w:hAnsi="Verdana"/>
          <w:sz w:val="16"/>
          <w:szCs w:val="16"/>
        </w:rPr>
        <w:t xml:space="preserve">onsiderando </w:t>
      </w:r>
      <w:r>
        <w:rPr>
          <w:rFonts w:ascii="Verdana" w:hAnsi="Verdana"/>
          <w:sz w:val="16"/>
          <w:szCs w:val="16"/>
        </w:rPr>
        <w:t>15</w:t>
      </w:r>
      <w:r w:rsidRPr="008B2072">
        <w:rPr>
          <w:rFonts w:ascii="Verdana" w:hAnsi="Verdana"/>
          <w:i/>
          <w:iCs/>
          <w:sz w:val="16"/>
          <w:szCs w:val="16"/>
        </w:rPr>
        <w:t>; Caso Sétimo Garibaldi Vs. Brasil</w:t>
      </w:r>
      <w:r w:rsidRPr="008B2072">
        <w:rPr>
          <w:rFonts w:ascii="Verdana" w:hAnsi="Verdana"/>
          <w:sz w:val="16"/>
          <w:szCs w:val="16"/>
        </w:rPr>
        <w:t>.</w:t>
      </w:r>
      <w:r w:rsidRPr="008B2072">
        <w:rPr>
          <w:rFonts w:ascii="Verdana" w:hAnsi="Verdana"/>
          <w:i/>
          <w:iCs/>
          <w:sz w:val="16"/>
          <w:szCs w:val="16"/>
        </w:rPr>
        <w:t xml:space="preserve"> </w:t>
      </w:r>
      <w:r w:rsidRPr="008B2072">
        <w:rPr>
          <w:rFonts w:ascii="Verdana" w:hAnsi="Verdana"/>
          <w:sz w:val="16"/>
          <w:szCs w:val="16"/>
        </w:rPr>
        <w:t xml:space="preserve">Resolución de la Presidenta de la Corte de 20 de noviembre de 2008, </w:t>
      </w:r>
      <w:r>
        <w:rPr>
          <w:rFonts w:ascii="Verdana" w:hAnsi="Verdana"/>
          <w:sz w:val="16"/>
          <w:szCs w:val="16"/>
        </w:rPr>
        <w:t>C</w:t>
      </w:r>
      <w:r w:rsidRPr="008B2072">
        <w:rPr>
          <w:rFonts w:ascii="Verdana" w:hAnsi="Verdana"/>
          <w:sz w:val="16"/>
          <w:szCs w:val="16"/>
        </w:rPr>
        <w:t xml:space="preserve">onsiderando </w:t>
      </w:r>
      <w:r>
        <w:rPr>
          <w:rFonts w:ascii="Verdana" w:hAnsi="Verdana"/>
          <w:sz w:val="16"/>
          <w:szCs w:val="16"/>
        </w:rPr>
        <w:t>12</w:t>
      </w:r>
      <w:r w:rsidRPr="008B2072">
        <w:rPr>
          <w:rFonts w:ascii="Verdana" w:hAnsi="Verdana"/>
          <w:sz w:val="16"/>
          <w:szCs w:val="16"/>
        </w:rPr>
        <w:t xml:space="preserve">; </w:t>
      </w:r>
      <w:r w:rsidRPr="008B2072">
        <w:rPr>
          <w:rFonts w:ascii="Verdana" w:hAnsi="Verdana"/>
          <w:i/>
          <w:iCs/>
          <w:sz w:val="16"/>
          <w:szCs w:val="16"/>
        </w:rPr>
        <w:t>Caso Cepeda Vargas Vs. Colombia</w:t>
      </w:r>
      <w:r>
        <w:rPr>
          <w:rFonts w:ascii="Verdana" w:hAnsi="Verdana"/>
          <w:i/>
          <w:iCs/>
          <w:sz w:val="16"/>
          <w:szCs w:val="16"/>
        </w:rPr>
        <w:t>, supra</w:t>
      </w:r>
      <w:r w:rsidRPr="008B2072">
        <w:rPr>
          <w:rFonts w:ascii="Verdana" w:hAnsi="Verdana"/>
          <w:sz w:val="16"/>
          <w:szCs w:val="16"/>
          <w:lang w:val="es-CR"/>
        </w:rPr>
        <w:t xml:space="preserve">, </w:t>
      </w:r>
      <w:r>
        <w:rPr>
          <w:rFonts w:ascii="Verdana" w:hAnsi="Verdana"/>
          <w:sz w:val="16"/>
          <w:szCs w:val="16"/>
          <w:lang w:val="es-CR"/>
        </w:rPr>
        <w:t>C</w:t>
      </w:r>
      <w:r w:rsidRPr="008B2072">
        <w:rPr>
          <w:rFonts w:ascii="Verdana" w:hAnsi="Verdana"/>
          <w:sz w:val="16"/>
          <w:szCs w:val="16"/>
          <w:lang w:val="es-CR"/>
        </w:rPr>
        <w:t xml:space="preserve">onsiderando </w:t>
      </w:r>
      <w:r>
        <w:rPr>
          <w:rFonts w:ascii="Verdana" w:hAnsi="Verdana"/>
          <w:sz w:val="16"/>
          <w:szCs w:val="16"/>
          <w:lang w:val="es-CR"/>
        </w:rPr>
        <w:t>44</w:t>
      </w:r>
      <w:r w:rsidRPr="008B2072">
        <w:rPr>
          <w:rFonts w:ascii="Verdana" w:hAnsi="Verdana"/>
          <w:sz w:val="16"/>
          <w:szCs w:val="16"/>
          <w:lang w:val="es-CR"/>
        </w:rPr>
        <w:t xml:space="preserve">, </w:t>
      </w:r>
      <w:r w:rsidRPr="008B2072">
        <w:rPr>
          <w:rFonts w:ascii="Verdana" w:hAnsi="Verdana"/>
          <w:i/>
          <w:sz w:val="16"/>
          <w:szCs w:val="16"/>
          <w:lang w:val="es-CR"/>
        </w:rPr>
        <w:t>Caso Cabrera García y Montiel Flores Vs. México</w:t>
      </w:r>
      <w:r w:rsidRPr="008B2072">
        <w:rPr>
          <w:rFonts w:ascii="Verdana" w:hAnsi="Verdana"/>
          <w:sz w:val="16"/>
          <w:szCs w:val="16"/>
          <w:lang w:val="es-CR"/>
        </w:rPr>
        <w:t xml:space="preserve">. Resolución del Presidente de la Corte de 2 julio de 2010, </w:t>
      </w:r>
      <w:r>
        <w:rPr>
          <w:rFonts w:ascii="Verdana" w:hAnsi="Verdana"/>
          <w:sz w:val="16"/>
          <w:szCs w:val="16"/>
          <w:lang w:val="es-CR"/>
        </w:rPr>
        <w:t>C</w:t>
      </w:r>
      <w:r w:rsidRPr="008B2072">
        <w:rPr>
          <w:rFonts w:ascii="Verdana" w:hAnsi="Verdana"/>
          <w:sz w:val="16"/>
          <w:szCs w:val="16"/>
          <w:lang w:val="es-CR"/>
        </w:rPr>
        <w:t xml:space="preserve">onsiderando </w:t>
      </w:r>
      <w:r>
        <w:rPr>
          <w:rFonts w:ascii="Verdana" w:hAnsi="Verdana"/>
          <w:sz w:val="16"/>
          <w:szCs w:val="16"/>
          <w:lang w:val="es-CR"/>
        </w:rPr>
        <w:t>11</w:t>
      </w:r>
      <w:r w:rsidRPr="008B2072">
        <w:rPr>
          <w:rFonts w:ascii="Verdana" w:hAnsi="Verdana"/>
          <w:sz w:val="16"/>
          <w:szCs w:val="16"/>
          <w:lang w:val="es-CR"/>
        </w:rPr>
        <w:t xml:space="preserve">, y </w:t>
      </w:r>
      <w:r w:rsidRPr="008B2072">
        <w:rPr>
          <w:rFonts w:ascii="Verdana" w:hAnsi="Verdana"/>
          <w:i/>
          <w:iCs/>
          <w:sz w:val="16"/>
          <w:szCs w:val="16"/>
        </w:rPr>
        <w:t xml:space="preserve">Caso Familia Pacheco </w:t>
      </w:r>
      <w:proofErr w:type="spellStart"/>
      <w:r w:rsidRPr="008B2072">
        <w:rPr>
          <w:rFonts w:ascii="Verdana" w:hAnsi="Verdana"/>
          <w:i/>
          <w:iCs/>
          <w:sz w:val="16"/>
          <w:szCs w:val="16"/>
        </w:rPr>
        <w:t>Tineo</w:t>
      </w:r>
      <w:proofErr w:type="spellEnd"/>
      <w:r w:rsidRPr="008B2072">
        <w:rPr>
          <w:rFonts w:ascii="Verdana" w:hAnsi="Verdana"/>
          <w:i/>
          <w:iCs/>
          <w:sz w:val="16"/>
          <w:szCs w:val="16"/>
        </w:rPr>
        <w:t xml:space="preserve"> Vs. Bolivia</w:t>
      </w:r>
      <w:r>
        <w:rPr>
          <w:rFonts w:ascii="Verdana" w:hAnsi="Verdana"/>
          <w:i/>
          <w:iCs/>
          <w:sz w:val="16"/>
          <w:szCs w:val="16"/>
        </w:rPr>
        <w:t>, supra</w:t>
      </w:r>
      <w:r w:rsidRPr="008B2072">
        <w:rPr>
          <w:rFonts w:ascii="Verdana" w:hAnsi="Verdana"/>
          <w:sz w:val="16"/>
          <w:szCs w:val="16"/>
          <w:lang w:val="es-CR"/>
        </w:rPr>
        <w:t xml:space="preserve">, </w:t>
      </w:r>
      <w:r>
        <w:rPr>
          <w:rFonts w:ascii="Verdana" w:hAnsi="Verdana"/>
          <w:sz w:val="16"/>
          <w:szCs w:val="16"/>
          <w:lang w:val="es-CR"/>
        </w:rPr>
        <w:t>C</w:t>
      </w:r>
      <w:r w:rsidRPr="008B2072">
        <w:rPr>
          <w:rFonts w:ascii="Verdana" w:hAnsi="Verdana"/>
          <w:sz w:val="16"/>
          <w:szCs w:val="16"/>
          <w:lang w:val="es-CR"/>
        </w:rPr>
        <w:t>onsiderando 20.</w:t>
      </w:r>
    </w:p>
  </w:footnote>
  <w:footnote w:id="13">
    <w:p w:rsidR="008F004E" w:rsidRPr="007B66D4" w:rsidRDefault="008F004E" w:rsidP="00332068">
      <w:pPr>
        <w:pStyle w:val="FootnoteText"/>
        <w:spacing w:after="120"/>
        <w:jc w:val="both"/>
        <w:rPr>
          <w:rFonts w:ascii="Verdana" w:hAnsi="Verdana" w:cs="Verdana"/>
          <w:sz w:val="16"/>
          <w:szCs w:val="16"/>
        </w:rPr>
      </w:pPr>
      <w:r w:rsidRPr="007B66D4">
        <w:rPr>
          <w:rStyle w:val="FootnoteReference"/>
          <w:rFonts w:ascii="Verdana" w:hAnsi="Verdana" w:cs="Verdana"/>
          <w:sz w:val="16"/>
          <w:szCs w:val="16"/>
        </w:rPr>
        <w:footnoteRef/>
      </w:r>
      <w:r w:rsidRPr="007B66D4">
        <w:rPr>
          <w:rStyle w:val="FootnoteReference"/>
          <w:rFonts w:ascii="Verdana" w:hAnsi="Verdana" w:cs="Verdana"/>
          <w:sz w:val="16"/>
          <w:szCs w:val="16"/>
        </w:rPr>
        <w:t xml:space="preserve"> </w:t>
      </w:r>
      <w:r w:rsidRPr="007B66D4">
        <w:rPr>
          <w:rFonts w:ascii="Verdana" w:hAnsi="Verdana" w:cs="Verdana"/>
          <w:sz w:val="16"/>
          <w:szCs w:val="16"/>
        </w:rPr>
        <w:tab/>
      </w:r>
      <w:r w:rsidRPr="007B66D4">
        <w:rPr>
          <w:rFonts w:ascii="Verdana" w:hAnsi="Verdana"/>
          <w:i/>
          <w:sz w:val="16"/>
          <w:szCs w:val="16"/>
        </w:rPr>
        <w:t xml:space="preserve">Caso </w:t>
      </w:r>
      <w:proofErr w:type="spellStart"/>
      <w:r w:rsidRPr="007B66D4">
        <w:rPr>
          <w:rFonts w:ascii="Verdana" w:hAnsi="Verdana"/>
          <w:i/>
          <w:sz w:val="16"/>
          <w:szCs w:val="16"/>
        </w:rPr>
        <w:t>Fornerón</w:t>
      </w:r>
      <w:proofErr w:type="spellEnd"/>
      <w:r w:rsidRPr="007B66D4">
        <w:rPr>
          <w:rFonts w:ascii="Verdana" w:hAnsi="Verdana"/>
          <w:i/>
          <w:sz w:val="16"/>
          <w:szCs w:val="16"/>
        </w:rPr>
        <w:t xml:space="preserve"> e hija Vs. Argentina</w:t>
      </w:r>
      <w:r w:rsidRPr="007B66D4">
        <w:rPr>
          <w:rFonts w:ascii="Verdana" w:hAnsi="Verdana"/>
          <w:sz w:val="16"/>
          <w:szCs w:val="16"/>
        </w:rPr>
        <w:t>. Resolución del Presidente de la Corte de 13 de septiembre de 2011, Considerando 14</w:t>
      </w:r>
      <w:r>
        <w:rPr>
          <w:rFonts w:ascii="Verdana" w:hAnsi="Verdana"/>
          <w:sz w:val="16"/>
          <w:szCs w:val="16"/>
        </w:rPr>
        <w:t xml:space="preserve">, y </w:t>
      </w:r>
      <w:r w:rsidRPr="009C7337">
        <w:rPr>
          <w:rFonts w:ascii="Verdana" w:hAnsi="Verdana" w:cs="Verdana"/>
          <w:i/>
          <w:sz w:val="16"/>
          <w:szCs w:val="16"/>
        </w:rPr>
        <w:t xml:space="preserve">Caso </w:t>
      </w:r>
      <w:proofErr w:type="spellStart"/>
      <w:r w:rsidRPr="009C7337">
        <w:rPr>
          <w:rFonts w:ascii="Verdana" w:hAnsi="Verdana" w:cs="Verdana"/>
          <w:i/>
          <w:sz w:val="16"/>
          <w:szCs w:val="16"/>
        </w:rPr>
        <w:t>Brewer</w:t>
      </w:r>
      <w:proofErr w:type="spellEnd"/>
      <w:r w:rsidRPr="009C7337">
        <w:rPr>
          <w:rFonts w:ascii="Verdana" w:hAnsi="Verdana" w:cs="Verdana"/>
          <w:i/>
          <w:sz w:val="16"/>
          <w:szCs w:val="16"/>
        </w:rPr>
        <w:t xml:space="preserve"> Carías Vs. Venezuela.</w:t>
      </w:r>
      <w:r w:rsidRPr="009C7337">
        <w:rPr>
          <w:rFonts w:ascii="Verdana" w:hAnsi="Verdana" w:cs="Verdana"/>
          <w:sz w:val="16"/>
          <w:szCs w:val="16"/>
        </w:rPr>
        <w:t xml:space="preserve"> Resolución del Presidente de</w:t>
      </w:r>
      <w:r>
        <w:rPr>
          <w:rFonts w:ascii="Verdana" w:hAnsi="Verdana" w:cs="Verdana"/>
          <w:sz w:val="16"/>
          <w:szCs w:val="16"/>
        </w:rPr>
        <w:t xml:space="preserve"> la Corte de</w:t>
      </w:r>
      <w:r w:rsidRPr="009C7337">
        <w:rPr>
          <w:rFonts w:ascii="Verdana" w:hAnsi="Verdana" w:cs="Verdana"/>
          <w:sz w:val="16"/>
          <w:szCs w:val="16"/>
        </w:rPr>
        <w:t xml:space="preserve"> 31 de julio de 2013</w:t>
      </w:r>
      <w:r>
        <w:rPr>
          <w:rFonts w:ascii="Verdana" w:hAnsi="Verdana" w:cs="Verdana"/>
          <w:sz w:val="16"/>
          <w:szCs w:val="16"/>
        </w:rPr>
        <w:t>, Considerando 31.</w:t>
      </w:r>
    </w:p>
  </w:footnote>
  <w:footnote w:id="14">
    <w:p w:rsidR="008F004E" w:rsidRPr="00775050" w:rsidRDefault="008F004E" w:rsidP="0033206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sz w:val="16"/>
          <w:szCs w:val="16"/>
          <w:lang w:val="es-ES_tradnl"/>
        </w:rPr>
      </w:pPr>
      <w:r>
        <w:rPr>
          <w:rStyle w:val="FootnoteReference"/>
          <w:rFonts w:ascii="Verdana" w:hAnsi="Verdana" w:cs="Verdana"/>
          <w:sz w:val="16"/>
          <w:szCs w:val="16"/>
        </w:rPr>
        <w:footnoteRef/>
      </w:r>
      <w:r w:rsidRPr="00A72F01">
        <w:rPr>
          <w:rFonts w:ascii="Verdana" w:hAnsi="Verdana" w:cs="Verdana"/>
          <w:sz w:val="16"/>
          <w:szCs w:val="16"/>
          <w:lang w:val="es-ES_tradnl"/>
        </w:rPr>
        <w:t xml:space="preserve"> </w:t>
      </w:r>
      <w:r w:rsidRPr="00A72F01">
        <w:rPr>
          <w:rFonts w:ascii="Verdana" w:hAnsi="Verdana" w:cs="Verdana"/>
          <w:sz w:val="16"/>
          <w:szCs w:val="16"/>
          <w:lang w:val="es-ES_tradnl"/>
        </w:rPr>
        <w:tab/>
      </w:r>
      <w:r w:rsidRPr="00A72F01">
        <w:rPr>
          <w:rFonts w:ascii="Verdana" w:hAnsi="Verdana"/>
          <w:i/>
          <w:sz w:val="16"/>
          <w:szCs w:val="16"/>
        </w:rPr>
        <w:t xml:space="preserve">Cfr. </w:t>
      </w:r>
      <w:r w:rsidRPr="00A72F01">
        <w:rPr>
          <w:rFonts w:ascii="Verdana" w:hAnsi="Verdana" w:cs="Verdana"/>
          <w:i/>
          <w:iCs/>
          <w:sz w:val="16"/>
          <w:szCs w:val="16"/>
          <w:lang w:bidi="en-US"/>
        </w:rPr>
        <w:t>Caso González y otras (“Campo Algodonero”) Vs. México</w:t>
      </w:r>
      <w:r w:rsidRPr="00A72F01">
        <w:rPr>
          <w:rFonts w:ascii="Verdana" w:hAnsi="Verdana" w:cs="Verdana"/>
          <w:i/>
          <w:sz w:val="16"/>
          <w:szCs w:val="16"/>
          <w:lang w:bidi="en-US"/>
        </w:rPr>
        <w:t>.</w:t>
      </w:r>
      <w:r w:rsidRPr="00A72F01">
        <w:rPr>
          <w:rFonts w:ascii="Verdana" w:hAnsi="Verdana" w:cs="Verdana"/>
          <w:sz w:val="16"/>
          <w:szCs w:val="16"/>
          <w:lang w:bidi="en-US"/>
        </w:rPr>
        <w:t xml:space="preserve"> Resolución de la Presidenta de la Corte de 18 de marzo de 2009, Considerando 88</w:t>
      </w:r>
      <w:r>
        <w:rPr>
          <w:rFonts w:ascii="Verdana" w:hAnsi="Verdana" w:cs="Verdana"/>
          <w:sz w:val="16"/>
          <w:szCs w:val="16"/>
          <w:lang w:bidi="en-US"/>
        </w:rPr>
        <w:t xml:space="preserve">, y </w:t>
      </w:r>
      <w:r w:rsidRPr="009C7337">
        <w:rPr>
          <w:rFonts w:ascii="Verdana" w:hAnsi="Verdana" w:cs="Verdana"/>
          <w:i/>
          <w:sz w:val="16"/>
          <w:szCs w:val="16"/>
        </w:rPr>
        <w:t>C</w:t>
      </w:r>
      <w:r>
        <w:rPr>
          <w:rFonts w:ascii="Verdana" w:hAnsi="Verdana" w:cs="Verdana"/>
          <w:i/>
          <w:sz w:val="16"/>
          <w:szCs w:val="16"/>
        </w:rPr>
        <w:t xml:space="preserve">aso </w:t>
      </w:r>
      <w:proofErr w:type="spellStart"/>
      <w:r>
        <w:rPr>
          <w:rFonts w:ascii="Verdana" w:hAnsi="Verdana" w:cs="Verdana"/>
          <w:i/>
          <w:sz w:val="16"/>
          <w:szCs w:val="16"/>
        </w:rPr>
        <w:t>Brewer</w:t>
      </w:r>
      <w:proofErr w:type="spellEnd"/>
      <w:r>
        <w:rPr>
          <w:rFonts w:ascii="Verdana" w:hAnsi="Verdana" w:cs="Verdana"/>
          <w:i/>
          <w:sz w:val="16"/>
          <w:szCs w:val="16"/>
        </w:rPr>
        <w:t xml:space="preserve"> Carías Vs. Venezuela, supra</w:t>
      </w:r>
      <w:r>
        <w:rPr>
          <w:rFonts w:ascii="Verdana" w:hAnsi="Verdana" w:cs="Verdana"/>
          <w:sz w:val="16"/>
          <w:szCs w:val="16"/>
        </w:rPr>
        <w:t>, Considerando 31</w:t>
      </w:r>
      <w:r w:rsidRPr="00A72F01">
        <w:rPr>
          <w:rFonts w:ascii="Verdana" w:hAnsi="Verdana"/>
          <w:sz w:val="16"/>
          <w:szCs w:val="16"/>
        </w:rPr>
        <w:t>.</w:t>
      </w:r>
    </w:p>
  </w:footnote>
  <w:footnote w:id="15">
    <w:p w:rsidR="008F004E" w:rsidRPr="00775050" w:rsidRDefault="008F004E" w:rsidP="00332068">
      <w:pPr>
        <w:pStyle w:val="FootnoteText"/>
        <w:tabs>
          <w:tab w:val="left" w:pos="567"/>
        </w:tabs>
        <w:spacing w:after="120"/>
        <w:jc w:val="both"/>
        <w:rPr>
          <w:rFonts w:ascii="Verdana" w:hAnsi="Verdana" w:cs="Verdana"/>
          <w:i/>
          <w:iCs/>
          <w:sz w:val="16"/>
          <w:szCs w:val="16"/>
        </w:rPr>
      </w:pPr>
      <w:r>
        <w:rPr>
          <w:rStyle w:val="FootnoteReference"/>
          <w:rFonts w:ascii="Verdana" w:hAnsi="Verdana" w:cs="Verdana"/>
          <w:sz w:val="16"/>
          <w:szCs w:val="16"/>
        </w:rPr>
        <w:footnoteRef/>
      </w:r>
      <w:r w:rsidRPr="00A72F01">
        <w:rPr>
          <w:rFonts w:ascii="Verdana" w:hAnsi="Verdana" w:cs="Verdana"/>
          <w:sz w:val="16"/>
          <w:szCs w:val="16"/>
        </w:rPr>
        <w:t xml:space="preserve"> </w:t>
      </w:r>
      <w:r w:rsidRPr="00A72F01">
        <w:rPr>
          <w:rFonts w:ascii="Verdana" w:hAnsi="Verdana" w:cs="Verdana"/>
          <w:i/>
          <w:iCs/>
          <w:sz w:val="16"/>
          <w:szCs w:val="16"/>
        </w:rPr>
        <w:tab/>
      </w:r>
      <w:r>
        <w:rPr>
          <w:rFonts w:ascii="Verdana" w:hAnsi="Verdana"/>
          <w:i/>
          <w:sz w:val="16"/>
          <w:szCs w:val="16"/>
        </w:rPr>
        <w:t>Cfr.</w:t>
      </w:r>
      <w:r w:rsidRPr="007B66D4">
        <w:rPr>
          <w:rFonts w:ascii="Verdana" w:hAnsi="Verdana"/>
          <w:i/>
          <w:sz w:val="16"/>
          <w:szCs w:val="16"/>
        </w:rPr>
        <w:t xml:space="preserve"> Caso González Medina y Familiares Vs. República Dominicana</w:t>
      </w:r>
      <w:r w:rsidRPr="007B66D4">
        <w:rPr>
          <w:rFonts w:ascii="Verdana" w:hAnsi="Verdana"/>
          <w:sz w:val="16"/>
          <w:szCs w:val="16"/>
        </w:rPr>
        <w:t>.</w:t>
      </w:r>
      <w:r w:rsidRPr="007B66D4">
        <w:rPr>
          <w:rFonts w:ascii="Verdana" w:hAnsi="Verdana"/>
          <w:i/>
          <w:sz w:val="16"/>
          <w:szCs w:val="16"/>
        </w:rPr>
        <w:t xml:space="preserve"> </w:t>
      </w:r>
      <w:r w:rsidRPr="007B66D4">
        <w:rPr>
          <w:rFonts w:ascii="Verdana" w:hAnsi="Verdana"/>
          <w:iCs/>
          <w:sz w:val="16"/>
          <w:szCs w:val="16"/>
        </w:rPr>
        <w:t>Resolución del Presidente de la Corte de 3 de junio de 2011</w:t>
      </w:r>
      <w:r w:rsidRPr="00A72F01">
        <w:rPr>
          <w:rFonts w:ascii="Verdana" w:hAnsi="Verdana"/>
          <w:sz w:val="16"/>
          <w:szCs w:val="16"/>
        </w:rPr>
        <w:t>, Considerando 24,</w:t>
      </w:r>
      <w:r>
        <w:rPr>
          <w:rFonts w:ascii="Verdana" w:hAnsi="Verdana"/>
          <w:sz w:val="16"/>
          <w:szCs w:val="16"/>
        </w:rPr>
        <w:t xml:space="preserve"> </w:t>
      </w:r>
      <w:r w:rsidRPr="00775050">
        <w:rPr>
          <w:rFonts w:ascii="Verdana" w:hAnsi="Verdana"/>
          <w:sz w:val="16"/>
          <w:szCs w:val="16"/>
        </w:rPr>
        <w:t xml:space="preserve">y </w:t>
      </w:r>
      <w:r w:rsidRPr="009C7337">
        <w:rPr>
          <w:rFonts w:ascii="Verdana" w:hAnsi="Verdana" w:cs="Verdana"/>
          <w:i/>
          <w:sz w:val="16"/>
          <w:szCs w:val="16"/>
        </w:rPr>
        <w:t>C</w:t>
      </w:r>
      <w:r>
        <w:rPr>
          <w:rFonts w:ascii="Verdana" w:hAnsi="Verdana" w:cs="Verdana"/>
          <w:i/>
          <w:sz w:val="16"/>
          <w:szCs w:val="16"/>
        </w:rPr>
        <w:t xml:space="preserve">aso </w:t>
      </w:r>
      <w:proofErr w:type="spellStart"/>
      <w:r>
        <w:rPr>
          <w:rFonts w:ascii="Verdana" w:hAnsi="Verdana" w:cs="Verdana"/>
          <w:i/>
          <w:sz w:val="16"/>
          <w:szCs w:val="16"/>
        </w:rPr>
        <w:t>Brewer</w:t>
      </w:r>
      <w:proofErr w:type="spellEnd"/>
      <w:r>
        <w:rPr>
          <w:rFonts w:ascii="Verdana" w:hAnsi="Verdana" w:cs="Verdana"/>
          <w:i/>
          <w:sz w:val="16"/>
          <w:szCs w:val="16"/>
        </w:rPr>
        <w:t xml:space="preserve"> Carías Vs. Venezuela, supra</w:t>
      </w:r>
      <w:r>
        <w:rPr>
          <w:rFonts w:ascii="Verdana" w:hAnsi="Verdana" w:cs="Verdana"/>
          <w:sz w:val="16"/>
          <w:szCs w:val="16"/>
        </w:rPr>
        <w:t>, Considerando 31</w:t>
      </w:r>
      <w:r w:rsidRPr="00A72F01">
        <w:rPr>
          <w:rFonts w:ascii="Verdana" w:hAnsi="Verdana"/>
          <w:sz w:val="16"/>
          <w:szCs w:val="16"/>
        </w:rPr>
        <w:t>.</w:t>
      </w:r>
    </w:p>
  </w:footnote>
  <w:footnote w:id="16">
    <w:p w:rsidR="008F004E" w:rsidRPr="00775050" w:rsidRDefault="008F004E" w:rsidP="00332068">
      <w:pPr>
        <w:spacing w:after="120"/>
        <w:jc w:val="both"/>
        <w:rPr>
          <w:rFonts w:ascii="Verdana" w:hAnsi="Verdana"/>
          <w:sz w:val="16"/>
          <w:szCs w:val="16"/>
        </w:rPr>
      </w:pPr>
      <w:r w:rsidRPr="00A72F01">
        <w:rPr>
          <w:rStyle w:val="FootnoteReference"/>
          <w:rFonts w:ascii="Verdana" w:hAnsi="Verdana"/>
          <w:sz w:val="16"/>
          <w:szCs w:val="16"/>
        </w:rPr>
        <w:footnoteRef/>
      </w:r>
      <w:r w:rsidRPr="00A72F01">
        <w:rPr>
          <w:rFonts w:ascii="Verdana" w:hAnsi="Verdana"/>
          <w:sz w:val="16"/>
          <w:szCs w:val="16"/>
          <w:lang w:val="es-CR"/>
        </w:rPr>
        <w:t xml:space="preserve"> </w:t>
      </w:r>
      <w:r w:rsidRPr="00A72F01">
        <w:rPr>
          <w:rFonts w:ascii="Verdana" w:hAnsi="Verdana"/>
          <w:sz w:val="16"/>
          <w:szCs w:val="16"/>
          <w:lang w:val="es-CR"/>
        </w:rPr>
        <w:tab/>
      </w:r>
      <w:r w:rsidRPr="00775050">
        <w:rPr>
          <w:rFonts w:ascii="Verdana" w:hAnsi="Verdana"/>
          <w:i/>
          <w:sz w:val="16"/>
          <w:szCs w:val="16"/>
        </w:rPr>
        <w:t>Cfr. Mutatis mutandis</w:t>
      </w:r>
      <w:r>
        <w:rPr>
          <w:rFonts w:ascii="Verdana" w:hAnsi="Verdana"/>
          <w:i/>
          <w:sz w:val="16"/>
          <w:szCs w:val="16"/>
        </w:rPr>
        <w:t>,</w:t>
      </w:r>
      <w:r w:rsidRPr="00775050">
        <w:rPr>
          <w:rFonts w:ascii="Verdana" w:hAnsi="Verdana"/>
          <w:i/>
          <w:sz w:val="16"/>
          <w:szCs w:val="16"/>
        </w:rPr>
        <w:t xml:space="preserve"> Caso Néstor José y Luis </w:t>
      </w:r>
      <w:proofErr w:type="spellStart"/>
      <w:r w:rsidRPr="00775050">
        <w:rPr>
          <w:rFonts w:ascii="Verdana" w:hAnsi="Verdana"/>
          <w:i/>
          <w:sz w:val="16"/>
          <w:szCs w:val="16"/>
        </w:rPr>
        <w:t>Uzcátegui</w:t>
      </w:r>
      <w:proofErr w:type="spellEnd"/>
      <w:r w:rsidRPr="00775050">
        <w:rPr>
          <w:rFonts w:ascii="Verdana" w:hAnsi="Verdana"/>
          <w:i/>
          <w:sz w:val="16"/>
          <w:szCs w:val="16"/>
        </w:rPr>
        <w:t xml:space="preserve"> y otros Vs. Venezuela. </w:t>
      </w:r>
      <w:r w:rsidRPr="00775050">
        <w:rPr>
          <w:rFonts w:ascii="Verdana" w:hAnsi="Verdana"/>
          <w:sz w:val="16"/>
          <w:szCs w:val="16"/>
        </w:rPr>
        <w:t>Resolución del Presidente de la Corte</w:t>
      </w:r>
      <w:r w:rsidRPr="00A72F01">
        <w:rPr>
          <w:rFonts w:ascii="Verdana" w:hAnsi="Verdana"/>
          <w:sz w:val="16"/>
          <w:szCs w:val="16"/>
        </w:rPr>
        <w:t xml:space="preserve"> de 3 de noviembre de 2011, Considerando 23. </w:t>
      </w:r>
    </w:p>
  </w:footnote>
  <w:footnote w:id="17">
    <w:p w:rsidR="008F004E" w:rsidRPr="00775050" w:rsidRDefault="008F004E" w:rsidP="00332068">
      <w:pPr>
        <w:pStyle w:val="FootnoteText"/>
        <w:spacing w:after="120"/>
        <w:jc w:val="both"/>
        <w:rPr>
          <w:rFonts w:ascii="Verdana" w:hAnsi="Verdana" w:cs="Verdana"/>
          <w:iCs/>
          <w:sz w:val="16"/>
          <w:szCs w:val="16"/>
          <w:lang w:bidi="en-US"/>
        </w:rPr>
      </w:pPr>
      <w:r>
        <w:rPr>
          <w:rStyle w:val="FootnoteReference"/>
          <w:rFonts w:ascii="Verdana" w:hAnsi="Verdana" w:cs="Verdana"/>
          <w:sz w:val="16"/>
          <w:szCs w:val="16"/>
        </w:rPr>
        <w:footnoteRef/>
      </w:r>
      <w:r w:rsidRPr="00A72F01">
        <w:rPr>
          <w:rFonts w:ascii="Verdana" w:hAnsi="Verdana" w:cs="Verdana"/>
          <w:sz w:val="16"/>
          <w:szCs w:val="16"/>
        </w:rPr>
        <w:t xml:space="preserve"> </w:t>
      </w:r>
      <w:r w:rsidRPr="00A72F01">
        <w:rPr>
          <w:rFonts w:ascii="Verdana" w:hAnsi="Verdana" w:cs="Verdana"/>
          <w:sz w:val="16"/>
          <w:szCs w:val="16"/>
        </w:rPr>
        <w:tab/>
      </w:r>
      <w:r w:rsidRPr="00A72F01">
        <w:rPr>
          <w:rFonts w:ascii="Verdana" w:hAnsi="Verdana" w:cs="Times"/>
          <w:i/>
          <w:sz w:val="16"/>
          <w:szCs w:val="16"/>
        </w:rPr>
        <w:t xml:space="preserve">Cfr. Caso </w:t>
      </w:r>
      <w:proofErr w:type="spellStart"/>
      <w:r w:rsidRPr="00A72F01">
        <w:rPr>
          <w:rFonts w:ascii="Verdana" w:hAnsi="Verdana" w:cs="Times"/>
          <w:i/>
          <w:sz w:val="16"/>
          <w:szCs w:val="16"/>
        </w:rPr>
        <w:t>Boyce</w:t>
      </w:r>
      <w:proofErr w:type="spellEnd"/>
      <w:r w:rsidRPr="00A72F01">
        <w:rPr>
          <w:rFonts w:ascii="Verdana" w:hAnsi="Verdana" w:cs="Times"/>
          <w:i/>
          <w:sz w:val="16"/>
          <w:szCs w:val="16"/>
        </w:rPr>
        <w:t xml:space="preserve"> y otros Vs. Barbados.</w:t>
      </w:r>
      <w:r w:rsidRPr="00A72F01">
        <w:rPr>
          <w:rFonts w:ascii="Verdana" w:hAnsi="Verdana" w:cs="Times"/>
          <w:sz w:val="16"/>
          <w:szCs w:val="16"/>
        </w:rPr>
        <w:t xml:space="preserve"> </w:t>
      </w:r>
      <w:r w:rsidRPr="00A72F01">
        <w:rPr>
          <w:rFonts w:ascii="Verdana" w:hAnsi="Verdana" w:cs="Verdana"/>
          <w:sz w:val="16"/>
          <w:szCs w:val="16"/>
        </w:rPr>
        <w:t xml:space="preserve">Resolución del Presidente de la Corte de 29 de mayo de 2007, Considerando 22, y </w:t>
      </w:r>
      <w:r w:rsidRPr="009C7337">
        <w:rPr>
          <w:rFonts w:ascii="Verdana" w:hAnsi="Verdana" w:cs="Verdana"/>
          <w:i/>
          <w:sz w:val="16"/>
          <w:szCs w:val="16"/>
        </w:rPr>
        <w:t>C</w:t>
      </w:r>
      <w:r>
        <w:rPr>
          <w:rFonts w:ascii="Verdana" w:hAnsi="Verdana" w:cs="Verdana"/>
          <w:i/>
          <w:sz w:val="16"/>
          <w:szCs w:val="16"/>
        </w:rPr>
        <w:t xml:space="preserve">aso </w:t>
      </w:r>
      <w:proofErr w:type="spellStart"/>
      <w:r>
        <w:rPr>
          <w:rFonts w:ascii="Verdana" w:hAnsi="Verdana" w:cs="Verdana"/>
          <w:i/>
          <w:sz w:val="16"/>
          <w:szCs w:val="16"/>
        </w:rPr>
        <w:t>Brewer</w:t>
      </w:r>
      <w:proofErr w:type="spellEnd"/>
      <w:r>
        <w:rPr>
          <w:rFonts w:ascii="Verdana" w:hAnsi="Verdana" w:cs="Verdana"/>
          <w:i/>
          <w:sz w:val="16"/>
          <w:szCs w:val="16"/>
        </w:rPr>
        <w:t xml:space="preserve"> Carías Vs. Venezuela, supra</w:t>
      </w:r>
      <w:r>
        <w:rPr>
          <w:rFonts w:ascii="Verdana" w:hAnsi="Verdana" w:cs="Verdana"/>
          <w:sz w:val="16"/>
          <w:szCs w:val="16"/>
        </w:rPr>
        <w:t>, Considerando 31</w:t>
      </w:r>
      <w:r w:rsidRPr="00A72F01">
        <w:rPr>
          <w:rFonts w:ascii="Verdana" w:hAnsi="Verdana" w:cs="Verdana"/>
          <w:iCs/>
          <w:sz w:val="16"/>
          <w:szCs w:val="16"/>
          <w:lang w:bidi="en-US"/>
        </w:rPr>
        <w:t>.</w:t>
      </w:r>
      <w:r w:rsidRPr="00A72F01">
        <w:rPr>
          <w:rFonts w:ascii="Verdana" w:hAnsi="Verdana" w:cs="Verdana"/>
          <w:sz w:val="16"/>
          <w:szCs w:val="16"/>
        </w:rPr>
        <w:t xml:space="preserve"> </w:t>
      </w:r>
    </w:p>
  </w:footnote>
  <w:footnote w:id="18">
    <w:p w:rsidR="008F004E" w:rsidRPr="0048104E" w:rsidRDefault="008F004E" w:rsidP="00332068">
      <w:pPr>
        <w:pStyle w:val="FootnoteText"/>
        <w:rPr>
          <w:rFonts w:ascii="Verdana" w:hAnsi="Verdana"/>
          <w:sz w:val="16"/>
          <w:szCs w:val="16"/>
        </w:rPr>
      </w:pPr>
      <w:r w:rsidRPr="00A72F01">
        <w:rPr>
          <w:rStyle w:val="FootnoteReference"/>
          <w:rFonts w:ascii="Verdana" w:hAnsi="Verdana"/>
          <w:sz w:val="16"/>
          <w:szCs w:val="16"/>
        </w:rPr>
        <w:footnoteRef/>
      </w:r>
      <w:r w:rsidRPr="00A72F01">
        <w:rPr>
          <w:rFonts w:ascii="Verdana" w:hAnsi="Verdana"/>
          <w:sz w:val="16"/>
          <w:szCs w:val="16"/>
        </w:rPr>
        <w:t xml:space="preserve">  </w:t>
      </w:r>
      <w:r w:rsidRPr="00A72F01">
        <w:rPr>
          <w:rFonts w:ascii="Verdana" w:hAnsi="Verdana"/>
          <w:sz w:val="16"/>
          <w:szCs w:val="16"/>
        </w:rPr>
        <w:tab/>
      </w:r>
      <w:r w:rsidRPr="0048104E">
        <w:rPr>
          <w:rFonts w:ascii="Verdana" w:hAnsi="Verdana"/>
          <w:i/>
          <w:sz w:val="16"/>
          <w:szCs w:val="16"/>
        </w:rPr>
        <w:t xml:space="preserve">Caso Néstor José y Luis </w:t>
      </w:r>
      <w:proofErr w:type="spellStart"/>
      <w:r w:rsidRPr="0048104E">
        <w:rPr>
          <w:rFonts w:ascii="Verdana" w:hAnsi="Verdana"/>
          <w:i/>
          <w:sz w:val="16"/>
          <w:szCs w:val="16"/>
        </w:rPr>
        <w:t>Uzcátegui</w:t>
      </w:r>
      <w:proofErr w:type="spellEnd"/>
      <w:r w:rsidRPr="0048104E">
        <w:rPr>
          <w:rFonts w:ascii="Verdana" w:hAnsi="Verdana"/>
          <w:i/>
          <w:sz w:val="16"/>
          <w:szCs w:val="16"/>
        </w:rPr>
        <w:t xml:space="preserve"> y otros Vs. Venezuela</w:t>
      </w:r>
      <w:r>
        <w:rPr>
          <w:rFonts w:ascii="Verdana" w:hAnsi="Verdana"/>
          <w:i/>
          <w:sz w:val="16"/>
          <w:szCs w:val="16"/>
        </w:rPr>
        <w:t>, supra</w:t>
      </w:r>
      <w:r w:rsidRPr="0048104E">
        <w:rPr>
          <w:rFonts w:ascii="Verdana" w:hAnsi="Verdana"/>
          <w:sz w:val="16"/>
          <w:szCs w:val="16"/>
        </w:rPr>
        <w:t xml:space="preserve">, Considerando 6. </w:t>
      </w:r>
    </w:p>
    <w:p w:rsidR="008F004E" w:rsidRPr="0048104E" w:rsidRDefault="008F004E" w:rsidP="00332068">
      <w:pPr>
        <w:pStyle w:val="FootnoteText"/>
        <w:rPr>
          <w:rFonts w:ascii="Verdana" w:hAnsi="Verdana"/>
          <w:sz w:val="16"/>
          <w:szCs w:val="16"/>
          <w:lang w:val="es-ES_tradnl"/>
        </w:rPr>
      </w:pPr>
    </w:p>
  </w:footnote>
  <w:footnote w:id="19">
    <w:p w:rsidR="008F004E" w:rsidRPr="0048104E" w:rsidRDefault="008F004E" w:rsidP="00332068">
      <w:pPr>
        <w:pStyle w:val="FootnoteText"/>
        <w:spacing w:after="120"/>
        <w:jc w:val="both"/>
        <w:rPr>
          <w:rFonts w:ascii="Verdana" w:hAnsi="Verdana" w:cs="Verdana"/>
          <w:sz w:val="16"/>
          <w:szCs w:val="16"/>
          <w:lang w:val="es-CL"/>
        </w:rPr>
      </w:pPr>
      <w:r w:rsidRPr="0048104E">
        <w:rPr>
          <w:rStyle w:val="FootnoteReference"/>
          <w:rFonts w:ascii="Verdana" w:hAnsi="Verdana" w:cs="Verdana"/>
          <w:sz w:val="16"/>
          <w:szCs w:val="16"/>
        </w:rPr>
        <w:footnoteRef/>
      </w:r>
      <w:r w:rsidRPr="0048104E">
        <w:rPr>
          <w:rFonts w:ascii="Verdana" w:hAnsi="Verdana" w:cs="Verdana"/>
          <w:sz w:val="16"/>
          <w:szCs w:val="16"/>
          <w:lang w:val="es-MX"/>
        </w:rPr>
        <w:t xml:space="preserve"> </w:t>
      </w:r>
      <w:r w:rsidRPr="0048104E">
        <w:rPr>
          <w:rFonts w:ascii="Verdana" w:hAnsi="Verdana" w:cs="Verdana"/>
          <w:sz w:val="16"/>
          <w:szCs w:val="16"/>
          <w:lang w:val="es-MX"/>
        </w:rPr>
        <w:tab/>
      </w:r>
      <w:r w:rsidRPr="0048104E">
        <w:rPr>
          <w:rFonts w:ascii="Verdana" w:hAnsi="Verdana" w:cs="Verdana"/>
          <w:i/>
          <w:sz w:val="16"/>
          <w:szCs w:val="16"/>
          <w:lang w:val="es-MX"/>
        </w:rPr>
        <w:t>Cfr</w:t>
      </w:r>
      <w:r w:rsidRPr="0048104E">
        <w:rPr>
          <w:rFonts w:ascii="Verdana" w:hAnsi="Verdana" w:cs="Verdana"/>
          <w:sz w:val="16"/>
          <w:szCs w:val="16"/>
          <w:lang w:val="es-MX"/>
        </w:rPr>
        <w:t xml:space="preserve">. </w:t>
      </w:r>
      <w:r w:rsidRPr="0048104E">
        <w:rPr>
          <w:rFonts w:ascii="Verdana" w:hAnsi="Verdana" w:cs="Verdana"/>
          <w:i/>
          <w:iCs/>
          <w:sz w:val="16"/>
          <w:szCs w:val="16"/>
        </w:rPr>
        <w:t xml:space="preserve">Caso Vera </w:t>
      </w:r>
      <w:proofErr w:type="spellStart"/>
      <w:r w:rsidRPr="0048104E">
        <w:rPr>
          <w:rFonts w:ascii="Verdana" w:hAnsi="Verdana" w:cs="Verdana"/>
          <w:i/>
          <w:iCs/>
          <w:sz w:val="16"/>
          <w:szCs w:val="16"/>
        </w:rPr>
        <w:t>Vera</w:t>
      </w:r>
      <w:proofErr w:type="spellEnd"/>
      <w:r w:rsidRPr="0048104E">
        <w:rPr>
          <w:rFonts w:ascii="Verdana" w:hAnsi="Verdana" w:cs="Verdana"/>
          <w:sz w:val="16"/>
          <w:szCs w:val="16"/>
        </w:rPr>
        <w:t xml:space="preserve"> y otros </w:t>
      </w:r>
      <w:r w:rsidRPr="0048104E">
        <w:rPr>
          <w:rFonts w:ascii="Verdana" w:hAnsi="Verdana" w:cs="Verdana"/>
          <w:i/>
          <w:iCs/>
          <w:sz w:val="16"/>
          <w:szCs w:val="16"/>
        </w:rPr>
        <w:t>Vs. Ecuador</w:t>
      </w:r>
      <w:r w:rsidRPr="0048104E">
        <w:rPr>
          <w:rFonts w:ascii="Verdana" w:hAnsi="Verdana" w:cs="Verdana"/>
          <w:sz w:val="16"/>
          <w:szCs w:val="16"/>
        </w:rPr>
        <w:t>. Resolución del Presidente de la Corte de 23 de diciembre de 2010,</w:t>
      </w:r>
      <w:r w:rsidRPr="0048104E">
        <w:rPr>
          <w:rFonts w:ascii="Verdana" w:hAnsi="Verdana" w:cs="Verdana"/>
          <w:sz w:val="16"/>
          <w:szCs w:val="16"/>
          <w:lang w:val="es-CL"/>
        </w:rPr>
        <w:t xml:space="preserve"> Considerando 9, y</w:t>
      </w:r>
      <w:r w:rsidRPr="0048104E">
        <w:rPr>
          <w:rFonts w:ascii="Verdana" w:hAnsi="Verdana" w:cs="Verdana"/>
          <w:i/>
          <w:iCs/>
          <w:sz w:val="16"/>
          <w:szCs w:val="16"/>
          <w:lang w:val="es-CL"/>
        </w:rPr>
        <w:t xml:space="preserve"> Caso Camba Campos y otros Vs. Ecuador.</w:t>
      </w:r>
      <w:r w:rsidRPr="0048104E">
        <w:rPr>
          <w:rFonts w:ascii="Verdana" w:hAnsi="Verdana" w:cs="Verdana"/>
          <w:sz w:val="16"/>
          <w:szCs w:val="16"/>
        </w:rPr>
        <w:t xml:space="preserve"> Resolución del Presidente de la Corte de 15 de febrero de 2013,</w:t>
      </w:r>
      <w:r w:rsidRPr="0048104E">
        <w:rPr>
          <w:rFonts w:ascii="Verdana" w:hAnsi="Verdana" w:cs="Verdana"/>
          <w:sz w:val="16"/>
          <w:szCs w:val="16"/>
          <w:lang w:val="es-CL"/>
        </w:rPr>
        <w:t xml:space="preserve"> Considerando 11.</w:t>
      </w:r>
    </w:p>
  </w:footnote>
  <w:footnote w:id="20">
    <w:p w:rsidR="008F004E" w:rsidRPr="0048104E" w:rsidRDefault="008F004E" w:rsidP="00332068">
      <w:pPr>
        <w:pStyle w:val="FootnoteText"/>
        <w:spacing w:after="120"/>
        <w:jc w:val="both"/>
        <w:rPr>
          <w:rFonts w:ascii="Verdana" w:hAnsi="Verdana" w:cs="Verdana"/>
          <w:sz w:val="16"/>
          <w:szCs w:val="16"/>
        </w:rPr>
      </w:pPr>
      <w:r w:rsidRPr="0048104E">
        <w:rPr>
          <w:rStyle w:val="FootnoteReference"/>
          <w:rFonts w:ascii="Verdana" w:hAnsi="Verdana" w:cs="Verdana"/>
          <w:sz w:val="16"/>
          <w:szCs w:val="16"/>
        </w:rPr>
        <w:footnoteRef/>
      </w:r>
      <w:r w:rsidRPr="0048104E">
        <w:rPr>
          <w:rFonts w:ascii="Verdana" w:hAnsi="Verdana" w:cs="Verdana"/>
          <w:sz w:val="16"/>
          <w:szCs w:val="16"/>
        </w:rPr>
        <w:t xml:space="preserve"> </w:t>
      </w:r>
      <w:r w:rsidRPr="0048104E">
        <w:rPr>
          <w:rFonts w:ascii="Verdana" w:hAnsi="Verdana" w:cs="Verdana"/>
          <w:sz w:val="16"/>
          <w:szCs w:val="16"/>
        </w:rPr>
        <w:tab/>
      </w:r>
      <w:r w:rsidRPr="0048104E">
        <w:rPr>
          <w:rFonts w:ascii="Verdana" w:hAnsi="Verdana" w:cs="Verdana"/>
          <w:i/>
          <w:iCs/>
          <w:sz w:val="16"/>
          <w:szCs w:val="16"/>
        </w:rPr>
        <w:t>Cfr.</w:t>
      </w:r>
      <w:r w:rsidRPr="0048104E">
        <w:rPr>
          <w:rFonts w:ascii="Verdana" w:hAnsi="Verdana" w:cs="Verdana"/>
          <w:sz w:val="16"/>
          <w:szCs w:val="16"/>
        </w:rPr>
        <w:t xml:space="preserve"> </w:t>
      </w:r>
      <w:r w:rsidRPr="0048104E">
        <w:rPr>
          <w:rFonts w:ascii="Verdana" w:hAnsi="Verdana" w:cs="Verdana"/>
          <w:i/>
          <w:iCs/>
          <w:sz w:val="16"/>
          <w:szCs w:val="16"/>
        </w:rPr>
        <w:t xml:space="preserve">Caso Mohamed Vs. Argentina. </w:t>
      </w:r>
      <w:r w:rsidRPr="0048104E">
        <w:rPr>
          <w:rFonts w:ascii="Verdana" w:hAnsi="Verdana" w:cs="Verdana"/>
          <w:sz w:val="16"/>
          <w:szCs w:val="16"/>
        </w:rPr>
        <w:t>Resolución del Presidente de la Corte de 4 de junio de 2012, Considerando 37, y</w:t>
      </w:r>
      <w:r w:rsidRPr="0048104E">
        <w:rPr>
          <w:rFonts w:ascii="Verdana" w:hAnsi="Verdana" w:cs="Verdana"/>
          <w:i/>
          <w:iCs/>
          <w:sz w:val="16"/>
          <w:szCs w:val="16"/>
        </w:rPr>
        <w:t xml:space="preserve"> Caso </w:t>
      </w:r>
      <w:proofErr w:type="spellStart"/>
      <w:r w:rsidRPr="0048104E">
        <w:rPr>
          <w:rFonts w:ascii="Verdana" w:hAnsi="Verdana" w:cs="Verdana"/>
          <w:i/>
          <w:iCs/>
          <w:sz w:val="16"/>
          <w:szCs w:val="16"/>
        </w:rPr>
        <w:t>Norín</w:t>
      </w:r>
      <w:proofErr w:type="spellEnd"/>
      <w:r w:rsidRPr="0048104E">
        <w:rPr>
          <w:rFonts w:ascii="Verdana" w:hAnsi="Verdana" w:cs="Verdana"/>
          <w:i/>
          <w:iCs/>
          <w:sz w:val="16"/>
          <w:szCs w:val="16"/>
        </w:rPr>
        <w:t xml:space="preserve"> </w:t>
      </w:r>
      <w:proofErr w:type="spellStart"/>
      <w:r w:rsidRPr="0048104E">
        <w:rPr>
          <w:rFonts w:ascii="Verdana" w:hAnsi="Verdana" w:cs="Verdana"/>
          <w:i/>
          <w:iCs/>
          <w:sz w:val="16"/>
          <w:szCs w:val="16"/>
        </w:rPr>
        <w:t>Catrimán</w:t>
      </w:r>
      <w:proofErr w:type="spellEnd"/>
      <w:r w:rsidRPr="0048104E">
        <w:rPr>
          <w:rFonts w:ascii="Verdana" w:hAnsi="Verdana" w:cs="Verdana"/>
          <w:i/>
          <w:iCs/>
          <w:sz w:val="16"/>
          <w:szCs w:val="16"/>
        </w:rPr>
        <w:t xml:space="preserve"> y otros (</w:t>
      </w:r>
      <w:proofErr w:type="spellStart"/>
      <w:r w:rsidRPr="0048104E">
        <w:rPr>
          <w:rFonts w:ascii="Verdana" w:hAnsi="Verdana" w:cs="Verdana"/>
          <w:i/>
          <w:iCs/>
          <w:sz w:val="16"/>
          <w:szCs w:val="16"/>
        </w:rPr>
        <w:t>Lonkos</w:t>
      </w:r>
      <w:proofErr w:type="spellEnd"/>
      <w:r w:rsidRPr="0048104E">
        <w:rPr>
          <w:rFonts w:ascii="Verdana" w:hAnsi="Verdana" w:cs="Verdana"/>
          <w:i/>
          <w:iCs/>
          <w:sz w:val="16"/>
          <w:szCs w:val="16"/>
        </w:rPr>
        <w:t>, dirigentes y activistas del pueblo indígena Mapuche) Vs. Chile</w:t>
      </w:r>
      <w:r w:rsidRPr="0048104E">
        <w:rPr>
          <w:rFonts w:ascii="Verdana" w:hAnsi="Verdana" w:cs="Verdana"/>
          <w:sz w:val="16"/>
          <w:szCs w:val="16"/>
        </w:rPr>
        <w:t>. Resolución del Presidente de la Corte de 30 de abril de 2013, Considerando 26.</w:t>
      </w:r>
    </w:p>
    <w:p w:rsidR="008F004E" w:rsidRPr="0048104E" w:rsidRDefault="008F004E" w:rsidP="00332068">
      <w:pPr>
        <w:pStyle w:val="FootnoteText"/>
        <w:spacing w:after="120"/>
        <w:jc w:val="both"/>
        <w:rPr>
          <w:rFonts w:ascii="Verdana" w:hAnsi="Verdana"/>
          <w:sz w:val="16"/>
          <w:szCs w:val="16"/>
        </w:rPr>
      </w:pPr>
    </w:p>
  </w:footnote>
  <w:footnote w:id="21">
    <w:p w:rsidR="008F004E" w:rsidRPr="0048104E" w:rsidRDefault="008F004E" w:rsidP="00332068">
      <w:pPr>
        <w:pStyle w:val="FootnoteText"/>
        <w:jc w:val="both"/>
        <w:rPr>
          <w:rFonts w:ascii="Verdana" w:hAnsi="Verdana"/>
          <w:sz w:val="16"/>
          <w:szCs w:val="16"/>
        </w:rPr>
      </w:pPr>
      <w:r w:rsidRPr="0048104E">
        <w:rPr>
          <w:rStyle w:val="FootnoteReference"/>
          <w:rFonts w:ascii="Verdana" w:hAnsi="Verdana"/>
          <w:sz w:val="16"/>
          <w:szCs w:val="16"/>
        </w:rPr>
        <w:footnoteRef/>
      </w:r>
      <w:r w:rsidRPr="0048104E">
        <w:rPr>
          <w:rFonts w:ascii="Verdana" w:hAnsi="Verdana"/>
          <w:sz w:val="16"/>
          <w:szCs w:val="16"/>
        </w:rPr>
        <w:t xml:space="preserve">  </w:t>
      </w:r>
      <w:r w:rsidRPr="0048104E">
        <w:rPr>
          <w:rFonts w:ascii="Verdana" w:hAnsi="Verdana"/>
          <w:sz w:val="16"/>
          <w:szCs w:val="16"/>
        </w:rPr>
        <w:tab/>
      </w:r>
      <w:r w:rsidRPr="0048104E">
        <w:rPr>
          <w:rFonts w:ascii="Verdana" w:hAnsi="Verdana"/>
          <w:i/>
          <w:iCs/>
          <w:sz w:val="16"/>
          <w:szCs w:val="16"/>
        </w:rPr>
        <w:t>Cfr.</w:t>
      </w:r>
      <w:r w:rsidRPr="0048104E">
        <w:rPr>
          <w:rFonts w:ascii="Verdana" w:hAnsi="Verdana"/>
          <w:sz w:val="16"/>
          <w:szCs w:val="16"/>
        </w:rPr>
        <w:t xml:space="preserve"> </w:t>
      </w:r>
      <w:r w:rsidRPr="0048104E">
        <w:rPr>
          <w:rFonts w:ascii="Verdana" w:hAnsi="Verdana"/>
          <w:i/>
          <w:iCs/>
          <w:sz w:val="16"/>
          <w:szCs w:val="16"/>
        </w:rPr>
        <w:t>Caso González Medina y Familiares vs. República Dominicana</w:t>
      </w:r>
      <w:r>
        <w:rPr>
          <w:rFonts w:ascii="Verdana" w:hAnsi="Verdana"/>
          <w:sz w:val="16"/>
          <w:szCs w:val="16"/>
        </w:rPr>
        <w:t xml:space="preserve">, </w:t>
      </w:r>
      <w:r w:rsidRPr="00E264AD">
        <w:rPr>
          <w:rFonts w:ascii="Verdana" w:hAnsi="Verdana"/>
          <w:i/>
          <w:sz w:val="16"/>
          <w:szCs w:val="16"/>
        </w:rPr>
        <w:t>supra</w:t>
      </w:r>
      <w:r w:rsidRPr="0048104E">
        <w:rPr>
          <w:rFonts w:ascii="Verdana" w:hAnsi="Verdana"/>
          <w:sz w:val="16"/>
          <w:szCs w:val="16"/>
        </w:rPr>
        <w:t xml:space="preserve">, Considerando </w:t>
      </w:r>
      <w:r>
        <w:rPr>
          <w:rFonts w:ascii="Verdana" w:hAnsi="Verdana"/>
          <w:sz w:val="16"/>
          <w:szCs w:val="16"/>
        </w:rPr>
        <w:t>48</w:t>
      </w:r>
      <w:r w:rsidRPr="0048104E">
        <w:rPr>
          <w:rFonts w:ascii="Verdana" w:hAnsi="Verdana"/>
          <w:sz w:val="16"/>
          <w:szCs w:val="16"/>
        </w:rPr>
        <w:t xml:space="preserve">, y </w:t>
      </w:r>
      <w:r w:rsidRPr="0048104E">
        <w:rPr>
          <w:rFonts w:ascii="Verdana" w:hAnsi="Verdana"/>
          <w:i/>
          <w:iCs/>
          <w:sz w:val="16"/>
          <w:szCs w:val="16"/>
        </w:rPr>
        <w:t xml:space="preserve">Caso Familia Pacheco </w:t>
      </w:r>
      <w:proofErr w:type="spellStart"/>
      <w:r w:rsidRPr="0048104E">
        <w:rPr>
          <w:rFonts w:ascii="Verdana" w:hAnsi="Verdana"/>
          <w:i/>
          <w:iCs/>
          <w:sz w:val="16"/>
          <w:szCs w:val="16"/>
        </w:rPr>
        <w:t>Tineo</w:t>
      </w:r>
      <w:proofErr w:type="spellEnd"/>
      <w:r w:rsidRPr="0048104E">
        <w:rPr>
          <w:rFonts w:ascii="Verdana" w:hAnsi="Verdana"/>
          <w:i/>
          <w:iCs/>
          <w:sz w:val="16"/>
          <w:szCs w:val="16"/>
        </w:rPr>
        <w:t xml:space="preserve"> Vs. Bolivia</w:t>
      </w:r>
      <w:r>
        <w:rPr>
          <w:rFonts w:ascii="Verdana" w:hAnsi="Verdana"/>
          <w:i/>
          <w:iCs/>
          <w:sz w:val="16"/>
          <w:szCs w:val="16"/>
        </w:rPr>
        <w:t>, supra</w:t>
      </w:r>
      <w:r w:rsidRPr="0048104E">
        <w:rPr>
          <w:rFonts w:ascii="Verdana" w:hAnsi="Verdana"/>
          <w:sz w:val="16"/>
          <w:szCs w:val="16"/>
        </w:rPr>
        <w:t>, Considerando</w:t>
      </w:r>
      <w:r>
        <w:rPr>
          <w:rFonts w:ascii="Verdana" w:hAnsi="Verdana"/>
          <w:sz w:val="16"/>
          <w:szCs w:val="16"/>
        </w:rPr>
        <w:t xml:space="preserve"> 38</w:t>
      </w:r>
      <w:r w:rsidRPr="0048104E">
        <w:rPr>
          <w:rFonts w:ascii="Verdana" w:hAnsi="Verdana"/>
          <w:sz w:val="16"/>
          <w:szCs w:val="16"/>
        </w:rPr>
        <w:t>.</w:t>
      </w:r>
    </w:p>
    <w:p w:rsidR="008F004E" w:rsidRPr="0048104E" w:rsidRDefault="008F004E" w:rsidP="00332068">
      <w:pPr>
        <w:pStyle w:val="FootnoteText"/>
        <w:jc w:val="both"/>
        <w:rPr>
          <w:rFonts w:ascii="Verdana" w:hAnsi="Verdana"/>
          <w:sz w:val="16"/>
          <w:szCs w:val="16"/>
        </w:rPr>
      </w:pPr>
    </w:p>
  </w:footnote>
  <w:footnote w:id="22">
    <w:p w:rsidR="008F004E" w:rsidRPr="001769FA" w:rsidRDefault="008F004E" w:rsidP="00332068">
      <w:pPr>
        <w:pStyle w:val="FootnoteText"/>
        <w:jc w:val="both"/>
        <w:rPr>
          <w:rFonts w:ascii="Verdana" w:hAnsi="Verdana"/>
          <w:sz w:val="16"/>
          <w:szCs w:val="16"/>
        </w:rPr>
      </w:pPr>
      <w:r w:rsidRPr="0048104E">
        <w:rPr>
          <w:rStyle w:val="FootnoteReference"/>
          <w:rFonts w:ascii="Verdana" w:hAnsi="Verdana"/>
          <w:sz w:val="16"/>
          <w:szCs w:val="16"/>
        </w:rPr>
        <w:footnoteRef/>
      </w:r>
      <w:r w:rsidRPr="0048104E">
        <w:rPr>
          <w:rFonts w:ascii="Verdana" w:hAnsi="Verdana"/>
          <w:sz w:val="16"/>
          <w:szCs w:val="16"/>
        </w:rPr>
        <w:t xml:space="preserve">  </w:t>
      </w:r>
      <w:r w:rsidRPr="0048104E">
        <w:rPr>
          <w:rFonts w:ascii="Verdana" w:hAnsi="Verdana"/>
          <w:sz w:val="16"/>
          <w:szCs w:val="16"/>
        </w:rPr>
        <w:tab/>
      </w:r>
      <w:r w:rsidRPr="0048104E">
        <w:rPr>
          <w:rFonts w:ascii="Verdana" w:hAnsi="Verdana"/>
          <w:i/>
          <w:iCs/>
          <w:sz w:val="16"/>
          <w:szCs w:val="16"/>
          <w:lang w:val="es-MX"/>
        </w:rPr>
        <w:t>Cfr.</w:t>
      </w:r>
      <w:r w:rsidRPr="0048104E">
        <w:rPr>
          <w:rFonts w:ascii="Verdana" w:hAnsi="Verdana"/>
          <w:sz w:val="16"/>
          <w:szCs w:val="16"/>
          <w:lang w:val="es-MX"/>
        </w:rPr>
        <w:t xml:space="preserve"> </w:t>
      </w:r>
      <w:r w:rsidRPr="0048104E">
        <w:rPr>
          <w:rFonts w:ascii="Verdana" w:hAnsi="Verdana"/>
          <w:i/>
          <w:iCs/>
          <w:sz w:val="16"/>
          <w:szCs w:val="16"/>
          <w:lang w:val="es-MX"/>
        </w:rPr>
        <w:t>Caso Contreras y otros Vs. El Salvador</w:t>
      </w:r>
      <w:r w:rsidRPr="0048104E">
        <w:rPr>
          <w:rFonts w:ascii="Verdana" w:hAnsi="Verdana"/>
          <w:sz w:val="16"/>
          <w:szCs w:val="16"/>
          <w:lang w:val="es-MX"/>
        </w:rPr>
        <w:t xml:space="preserve">. Resolución del Presidente de la Corte de 14 de abril de 2011, Considerando vigésimo quinto, y </w:t>
      </w:r>
      <w:r w:rsidRPr="0048104E">
        <w:rPr>
          <w:rFonts w:ascii="Verdana" w:hAnsi="Verdana"/>
          <w:i/>
          <w:iCs/>
          <w:sz w:val="16"/>
          <w:szCs w:val="16"/>
          <w:lang w:val="es-MX"/>
        </w:rPr>
        <w:t>Caso Fa</w:t>
      </w:r>
      <w:r>
        <w:rPr>
          <w:rFonts w:ascii="Verdana" w:hAnsi="Verdana"/>
          <w:i/>
          <w:iCs/>
          <w:sz w:val="16"/>
          <w:szCs w:val="16"/>
          <w:lang w:val="es-MX"/>
        </w:rPr>
        <w:t xml:space="preserve">milia Pacheco </w:t>
      </w:r>
      <w:proofErr w:type="spellStart"/>
      <w:r>
        <w:rPr>
          <w:rFonts w:ascii="Verdana" w:hAnsi="Verdana"/>
          <w:i/>
          <w:iCs/>
          <w:sz w:val="16"/>
          <w:szCs w:val="16"/>
          <w:lang w:val="es-MX"/>
        </w:rPr>
        <w:t>Tineo</w:t>
      </w:r>
      <w:proofErr w:type="spellEnd"/>
      <w:r>
        <w:rPr>
          <w:rFonts w:ascii="Verdana" w:hAnsi="Verdana"/>
          <w:i/>
          <w:iCs/>
          <w:sz w:val="16"/>
          <w:szCs w:val="16"/>
          <w:lang w:val="es-MX"/>
        </w:rPr>
        <w:t xml:space="preserve"> Vs. Bolivia, supra</w:t>
      </w:r>
      <w:r w:rsidRPr="00E264AD">
        <w:rPr>
          <w:rFonts w:ascii="Verdana" w:hAnsi="Verdana"/>
          <w:iCs/>
          <w:sz w:val="16"/>
          <w:szCs w:val="16"/>
          <w:lang w:val="es-MX"/>
        </w:rPr>
        <w:t>,</w:t>
      </w:r>
      <w:r w:rsidRPr="0048104E">
        <w:rPr>
          <w:rFonts w:ascii="Verdana" w:hAnsi="Verdana"/>
          <w:sz w:val="16"/>
          <w:szCs w:val="16"/>
          <w:lang w:val="es-MX"/>
        </w:rPr>
        <w:t xml:space="preserve"> Considerando </w:t>
      </w:r>
      <w:r>
        <w:rPr>
          <w:rFonts w:ascii="Verdana" w:hAnsi="Verdana"/>
          <w:sz w:val="16"/>
          <w:szCs w:val="16"/>
          <w:lang w:val="es-MX"/>
        </w:rPr>
        <w:t>38</w:t>
      </w:r>
      <w:r w:rsidRPr="0048104E">
        <w:rPr>
          <w:rFonts w:ascii="Verdana" w:hAnsi="Verdana"/>
          <w:sz w:val="16"/>
          <w:szCs w:val="16"/>
          <w:lang w:val="es-MX"/>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4E" w:rsidRDefault="00CD30CD">
    <w:pPr>
      <w:pStyle w:val="Header"/>
      <w:jc w:val="center"/>
    </w:pPr>
    <w:fldSimple w:instr=" PAGE   \* MERGEFORMAT ">
      <w:r w:rsidR="00E97834">
        <w:rPr>
          <w:noProof/>
        </w:rPr>
        <w:t>27</w:t>
      </w:r>
    </w:fldSimple>
  </w:p>
  <w:p w:rsidR="008F004E" w:rsidRDefault="008F0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C64"/>
    <w:multiLevelType w:val="hybridMultilevel"/>
    <w:tmpl w:val="A1666C60"/>
    <w:lvl w:ilvl="0" w:tplc="4312704E">
      <w:start w:val="8"/>
      <w:numFmt w:val="upperLetter"/>
      <w:lvlText w:val="%1)"/>
      <w:lvlJc w:val="left"/>
      <w:pPr>
        <w:ind w:left="720" w:hanging="360"/>
      </w:pPr>
      <w:rPr>
        <w:rFonts w:hint="default"/>
        <w:b/>
        <w:bCs/>
        <w:i/>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6F6D58"/>
    <w:multiLevelType w:val="hybridMultilevel"/>
    <w:tmpl w:val="F800D518"/>
    <w:lvl w:ilvl="0" w:tplc="80D28050">
      <w:start w:val="1"/>
      <w:numFmt w:val="decimal"/>
      <w:lvlText w:val="%1."/>
      <w:lvlJc w:val="left"/>
      <w:pPr>
        <w:ind w:left="720" w:hanging="360"/>
      </w:pPr>
      <w:rPr>
        <w:rFonts w:hint="default"/>
        <w:b w:val="0"/>
        <w:i w:val="0"/>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C37A4B"/>
    <w:multiLevelType w:val="hybridMultilevel"/>
    <w:tmpl w:val="DC02E8F6"/>
    <w:lvl w:ilvl="0" w:tplc="7284C7DE">
      <w:start w:val="56"/>
      <w:numFmt w:val="decimal"/>
      <w:lvlText w:val="%1."/>
      <w:lvlJc w:val="left"/>
      <w:pPr>
        <w:ind w:left="1080" w:hanging="720"/>
      </w:pPr>
      <w:rPr>
        <w:rFonts w:ascii="Verdana" w:hAnsi="Verdana" w:hint="default"/>
        <w:b w:val="0"/>
        <w:bCs w:val="0"/>
        <w:i w:val="0"/>
        <w:iCs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9A4947"/>
    <w:multiLevelType w:val="hybridMultilevel"/>
    <w:tmpl w:val="BAF83402"/>
    <w:lvl w:ilvl="0" w:tplc="BBC27078">
      <w:start w:val="14"/>
      <w:numFmt w:val="decimal"/>
      <w:lvlText w:val="%1."/>
      <w:lvlJc w:val="left"/>
      <w:pPr>
        <w:ind w:left="720" w:hanging="360"/>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843B65"/>
    <w:multiLevelType w:val="hybridMultilevel"/>
    <w:tmpl w:val="4AF642CC"/>
    <w:lvl w:ilvl="0" w:tplc="ED82293C">
      <w:start w:val="1"/>
      <w:numFmt w:val="decimal"/>
      <w:lvlText w:val="%1)"/>
      <w:lvlJc w:val="left"/>
      <w:pPr>
        <w:ind w:left="1353" w:hanging="360"/>
      </w:pPr>
      <w:rPr>
        <w:rFonts w:hint="default"/>
        <w:b/>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8BE5F04"/>
    <w:multiLevelType w:val="hybridMultilevel"/>
    <w:tmpl w:val="C572362E"/>
    <w:lvl w:ilvl="0" w:tplc="949483FC">
      <w:start w:val="1"/>
      <w:numFmt w:val="upperLetter"/>
      <w:lvlText w:val="%1)"/>
      <w:lvlJc w:val="left"/>
      <w:pPr>
        <w:ind w:left="720" w:hanging="360"/>
      </w:pPr>
      <w:rPr>
        <w:rFonts w:hint="default"/>
        <w:b/>
        <w:bCs/>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BDC7671"/>
    <w:multiLevelType w:val="hybridMultilevel"/>
    <w:tmpl w:val="C92E9182"/>
    <w:lvl w:ilvl="0" w:tplc="F626930C">
      <w:start w:val="1"/>
      <w:numFmt w:val="lowerLetter"/>
      <w:lvlText w:val="%1)"/>
      <w:lvlJc w:val="left"/>
      <w:pPr>
        <w:ind w:left="1800" w:hanging="360"/>
      </w:pPr>
      <w:rPr>
        <w:rFonts w:cs="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007241"/>
    <w:multiLevelType w:val="hybridMultilevel"/>
    <w:tmpl w:val="08169CF6"/>
    <w:lvl w:ilvl="0" w:tplc="3FD891A0">
      <w:start w:val="8"/>
      <w:numFmt w:val="decimal"/>
      <w:lvlText w:val="%1."/>
      <w:lvlJc w:val="left"/>
      <w:pPr>
        <w:ind w:left="1440" w:hanging="360"/>
      </w:pPr>
      <w:rPr>
        <w:rFonts w:cs="Tahom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CD55AE7"/>
    <w:multiLevelType w:val="hybridMultilevel"/>
    <w:tmpl w:val="5F2CAC7E"/>
    <w:lvl w:ilvl="0" w:tplc="FB48B9D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DC67A5A"/>
    <w:multiLevelType w:val="hybridMultilevel"/>
    <w:tmpl w:val="57DC29FC"/>
    <w:lvl w:ilvl="0" w:tplc="4502D46E">
      <w:start w:val="52"/>
      <w:numFmt w:val="decimal"/>
      <w:lvlText w:val="%1."/>
      <w:lvlJc w:val="left"/>
      <w:pPr>
        <w:ind w:left="1080" w:hanging="720"/>
      </w:pPr>
      <w:rPr>
        <w:rFonts w:ascii="Verdana" w:hAnsi="Verdana" w:hint="default"/>
        <w:b w:val="0"/>
        <w:bCs w:val="0"/>
        <w:i w:val="0"/>
        <w:iCs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E380264"/>
    <w:multiLevelType w:val="hybridMultilevel"/>
    <w:tmpl w:val="C37A9D6C"/>
    <w:lvl w:ilvl="0" w:tplc="E2AA1306">
      <w:start w:val="2"/>
      <w:numFmt w:val="decimal"/>
      <w:lvlText w:val="%1."/>
      <w:lvlJc w:val="left"/>
      <w:pPr>
        <w:tabs>
          <w:tab w:val="num" w:pos="1080"/>
        </w:tabs>
        <w:ind w:left="360" w:firstLine="0"/>
      </w:pPr>
      <w:rPr>
        <w:rFonts w:ascii="Verdana" w:hAnsi="Verdana" w:cs="Times New Roman" w:hint="default"/>
        <w:b w:val="0"/>
        <w:i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1F55A89"/>
    <w:multiLevelType w:val="hybridMultilevel"/>
    <w:tmpl w:val="14CC1ECC"/>
    <w:lvl w:ilvl="0" w:tplc="BB2868E2">
      <w:start w:val="1"/>
      <w:numFmt w:val="lowerLetter"/>
      <w:lvlText w:val="%1)"/>
      <w:lvlJc w:val="left"/>
      <w:pPr>
        <w:ind w:left="1068" w:hanging="360"/>
      </w:pPr>
      <w:rPr>
        <w:rFonts w:hint="default"/>
        <w:i/>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4AC02C4"/>
    <w:multiLevelType w:val="hybridMultilevel"/>
    <w:tmpl w:val="23F6E7AC"/>
    <w:lvl w:ilvl="0" w:tplc="93EEA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C54736"/>
    <w:multiLevelType w:val="hybridMultilevel"/>
    <w:tmpl w:val="6240A57C"/>
    <w:lvl w:ilvl="0" w:tplc="7390B9C4">
      <w:start w:val="7"/>
      <w:numFmt w:val="upperLetter"/>
      <w:lvlText w:val="%1)"/>
      <w:lvlJc w:val="left"/>
      <w:pPr>
        <w:ind w:left="720" w:hanging="360"/>
      </w:pPr>
      <w:rPr>
        <w:rFonts w:hint="default"/>
        <w:b/>
        <w:bCs/>
        <w:i/>
        <w:i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A780770"/>
    <w:multiLevelType w:val="hybridMultilevel"/>
    <w:tmpl w:val="3DC8A7FE"/>
    <w:lvl w:ilvl="0" w:tplc="67E07D4A">
      <w:start w:val="1"/>
      <w:numFmt w:val="decimal"/>
      <w:lvlText w:val="%1."/>
      <w:lvlJc w:val="left"/>
      <w:pPr>
        <w:ind w:left="108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C0450E"/>
    <w:multiLevelType w:val="hybridMultilevel"/>
    <w:tmpl w:val="C264F708"/>
    <w:lvl w:ilvl="0" w:tplc="0066C976">
      <w:start w:val="6"/>
      <w:numFmt w:val="decimal"/>
      <w:lvlText w:val="%1."/>
      <w:lvlJc w:val="left"/>
      <w:pPr>
        <w:ind w:left="720" w:hanging="360"/>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DB3768D"/>
    <w:multiLevelType w:val="hybridMultilevel"/>
    <w:tmpl w:val="8F703888"/>
    <w:lvl w:ilvl="0" w:tplc="A1A84F3E">
      <w:start w:val="19"/>
      <w:numFmt w:val="decimal"/>
      <w:lvlText w:val="%1."/>
      <w:lvlJc w:val="left"/>
      <w:pPr>
        <w:ind w:left="720" w:hanging="360"/>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17751D6"/>
    <w:multiLevelType w:val="hybridMultilevel"/>
    <w:tmpl w:val="2038625E"/>
    <w:lvl w:ilvl="0" w:tplc="B44A0AAE">
      <w:start w:val="1"/>
      <w:numFmt w:val="lowerRoman"/>
      <w:lvlText w:val="%1)"/>
      <w:lvlJc w:val="left"/>
      <w:pPr>
        <w:ind w:left="2138" w:hanging="720"/>
      </w:pPr>
      <w:rPr>
        <w:rFonts w:eastAsia="Arial" w:cs="Aria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387220F6"/>
    <w:multiLevelType w:val="hybridMultilevel"/>
    <w:tmpl w:val="EC5C2754"/>
    <w:lvl w:ilvl="0" w:tplc="F8F68A3E">
      <w:start w:val="1"/>
      <w:numFmt w:val="upperRoman"/>
      <w:lvlText w:val="%1."/>
      <w:lvlJc w:val="left"/>
      <w:pPr>
        <w:ind w:left="1926" w:hanging="720"/>
      </w:pPr>
      <w:rPr>
        <w:rFonts w:ascii="Verdana" w:hAnsi="Verdana" w:hint="default"/>
        <w:sz w:val="20"/>
      </w:rPr>
    </w:lvl>
    <w:lvl w:ilvl="1" w:tplc="140A0019" w:tentative="1">
      <w:start w:val="1"/>
      <w:numFmt w:val="lowerLetter"/>
      <w:lvlText w:val="%2."/>
      <w:lvlJc w:val="left"/>
      <w:pPr>
        <w:ind w:left="2286" w:hanging="360"/>
      </w:pPr>
    </w:lvl>
    <w:lvl w:ilvl="2" w:tplc="140A001B" w:tentative="1">
      <w:start w:val="1"/>
      <w:numFmt w:val="lowerRoman"/>
      <w:lvlText w:val="%3."/>
      <w:lvlJc w:val="right"/>
      <w:pPr>
        <w:ind w:left="3006" w:hanging="180"/>
      </w:pPr>
    </w:lvl>
    <w:lvl w:ilvl="3" w:tplc="140A000F" w:tentative="1">
      <w:start w:val="1"/>
      <w:numFmt w:val="decimal"/>
      <w:lvlText w:val="%4."/>
      <w:lvlJc w:val="left"/>
      <w:pPr>
        <w:ind w:left="3726" w:hanging="360"/>
      </w:pPr>
    </w:lvl>
    <w:lvl w:ilvl="4" w:tplc="140A0019" w:tentative="1">
      <w:start w:val="1"/>
      <w:numFmt w:val="lowerLetter"/>
      <w:lvlText w:val="%5."/>
      <w:lvlJc w:val="left"/>
      <w:pPr>
        <w:ind w:left="4446" w:hanging="360"/>
      </w:pPr>
    </w:lvl>
    <w:lvl w:ilvl="5" w:tplc="140A001B" w:tentative="1">
      <w:start w:val="1"/>
      <w:numFmt w:val="lowerRoman"/>
      <w:lvlText w:val="%6."/>
      <w:lvlJc w:val="right"/>
      <w:pPr>
        <w:ind w:left="5166" w:hanging="180"/>
      </w:pPr>
    </w:lvl>
    <w:lvl w:ilvl="6" w:tplc="140A000F" w:tentative="1">
      <w:start w:val="1"/>
      <w:numFmt w:val="decimal"/>
      <w:lvlText w:val="%7."/>
      <w:lvlJc w:val="left"/>
      <w:pPr>
        <w:ind w:left="5886" w:hanging="360"/>
      </w:pPr>
    </w:lvl>
    <w:lvl w:ilvl="7" w:tplc="140A0019" w:tentative="1">
      <w:start w:val="1"/>
      <w:numFmt w:val="lowerLetter"/>
      <w:lvlText w:val="%8."/>
      <w:lvlJc w:val="left"/>
      <w:pPr>
        <w:ind w:left="6606" w:hanging="360"/>
      </w:pPr>
    </w:lvl>
    <w:lvl w:ilvl="8" w:tplc="140A001B" w:tentative="1">
      <w:start w:val="1"/>
      <w:numFmt w:val="lowerRoman"/>
      <w:lvlText w:val="%9."/>
      <w:lvlJc w:val="right"/>
      <w:pPr>
        <w:ind w:left="7326" w:hanging="180"/>
      </w:pPr>
    </w:lvl>
  </w:abstractNum>
  <w:abstractNum w:abstractNumId="19">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nsid w:val="3B1F5360"/>
    <w:multiLevelType w:val="hybridMultilevel"/>
    <w:tmpl w:val="BB1E2494"/>
    <w:lvl w:ilvl="0" w:tplc="B688F542">
      <w:start w:val="3"/>
      <w:numFmt w:val="upperLetter"/>
      <w:lvlText w:val="%1)"/>
      <w:lvlJc w:val="left"/>
      <w:pPr>
        <w:ind w:left="720" w:hanging="360"/>
      </w:pPr>
      <w:rPr>
        <w:rFonts w:hint="default"/>
        <w:b/>
        <w:bCs/>
        <w:i/>
        <w:i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D094FCD"/>
    <w:multiLevelType w:val="hybridMultilevel"/>
    <w:tmpl w:val="B2ACDF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E172E50"/>
    <w:multiLevelType w:val="hybridMultilevel"/>
    <w:tmpl w:val="CA6405A6"/>
    <w:lvl w:ilvl="0" w:tplc="10829750">
      <w:start w:val="1"/>
      <w:numFmt w:val="decimal"/>
      <w:lvlText w:val="%1)"/>
      <w:lvlJc w:val="left"/>
      <w:pPr>
        <w:ind w:left="2138" w:hanging="360"/>
      </w:pPr>
      <w:rPr>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3">
    <w:nsid w:val="436C5108"/>
    <w:multiLevelType w:val="hybridMultilevel"/>
    <w:tmpl w:val="4C2EE87E"/>
    <w:lvl w:ilvl="0" w:tplc="78F48F9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46642BDC"/>
    <w:multiLevelType w:val="hybridMultilevel"/>
    <w:tmpl w:val="EDBAA036"/>
    <w:lvl w:ilvl="0" w:tplc="EA0693B4">
      <w:start w:val="1"/>
      <w:numFmt w:val="decimal"/>
      <w:lvlText w:val="%1)"/>
      <w:lvlJc w:val="left"/>
      <w:pPr>
        <w:ind w:left="2138" w:hanging="360"/>
      </w:pPr>
      <w:rPr>
        <w:b/>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5">
    <w:nsid w:val="48A06217"/>
    <w:multiLevelType w:val="hybridMultilevel"/>
    <w:tmpl w:val="BC06A1D6"/>
    <w:lvl w:ilvl="0" w:tplc="9DA420CC">
      <w:start w:val="55"/>
      <w:numFmt w:val="decimal"/>
      <w:lvlText w:val="%1."/>
      <w:lvlJc w:val="left"/>
      <w:pPr>
        <w:ind w:left="720" w:hanging="360"/>
      </w:pPr>
      <w:rPr>
        <w:rFonts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8D43750"/>
    <w:multiLevelType w:val="hybridMultilevel"/>
    <w:tmpl w:val="BA4C9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DA7112"/>
    <w:multiLevelType w:val="hybridMultilevel"/>
    <w:tmpl w:val="ECB0CAB4"/>
    <w:lvl w:ilvl="0" w:tplc="FB48B9D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5D8D22E7"/>
    <w:multiLevelType w:val="hybridMultilevel"/>
    <w:tmpl w:val="3E3CF5B4"/>
    <w:lvl w:ilvl="0" w:tplc="4DB8DCC0">
      <w:start w:val="1"/>
      <w:numFmt w:val="lowerRoman"/>
      <w:lvlText w:val="%1)"/>
      <w:lvlJc w:val="left"/>
      <w:pPr>
        <w:ind w:left="2498" w:hanging="72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9">
    <w:nsid w:val="5EEC4662"/>
    <w:multiLevelType w:val="hybridMultilevel"/>
    <w:tmpl w:val="60E4808E"/>
    <w:lvl w:ilvl="0" w:tplc="F8F8EA7E">
      <w:start w:val="1"/>
      <w:numFmt w:val="lowerRoman"/>
      <w:lvlText w:val="%1)"/>
      <w:lvlJc w:val="left"/>
      <w:pPr>
        <w:ind w:left="2213" w:hanging="72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30">
    <w:nsid w:val="5F353BD7"/>
    <w:multiLevelType w:val="hybridMultilevel"/>
    <w:tmpl w:val="AC92FCAC"/>
    <w:lvl w:ilvl="0" w:tplc="1B6C55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23028C2"/>
    <w:multiLevelType w:val="hybridMultilevel"/>
    <w:tmpl w:val="9FF4BC8C"/>
    <w:lvl w:ilvl="0" w:tplc="82B49B3C">
      <w:start w:val="59"/>
      <w:numFmt w:val="decimal"/>
      <w:lvlText w:val="%1."/>
      <w:lvlJc w:val="left"/>
      <w:pPr>
        <w:ind w:left="720" w:hanging="360"/>
      </w:pPr>
      <w:rPr>
        <w:rFonts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4415942"/>
    <w:multiLevelType w:val="hybridMultilevel"/>
    <w:tmpl w:val="311C6506"/>
    <w:lvl w:ilvl="0" w:tplc="ACACEEC8">
      <w:start w:val="1"/>
      <w:numFmt w:val="lowerRoman"/>
      <w:lvlText w:val="%1)"/>
      <w:lvlJc w:val="left"/>
      <w:pPr>
        <w:ind w:left="2094" w:hanging="720"/>
      </w:pPr>
      <w:rPr>
        <w:rFonts w:cs="Times New Roman"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33">
    <w:nsid w:val="66C3073A"/>
    <w:multiLevelType w:val="hybridMultilevel"/>
    <w:tmpl w:val="EE586FD2"/>
    <w:lvl w:ilvl="0" w:tplc="F474AF3A">
      <w:start w:val="1"/>
      <w:numFmt w:val="upperLetter"/>
      <w:lvlText w:val="%1)"/>
      <w:lvlJc w:val="left"/>
      <w:pPr>
        <w:ind w:left="720" w:hanging="360"/>
      </w:pPr>
      <w:rPr>
        <w:rFonts w:hint="default"/>
        <w:b/>
        <w:bCs/>
        <w:i/>
        <w:iCs/>
      </w:rPr>
    </w:lvl>
    <w:lvl w:ilvl="1" w:tplc="323EEAAC">
      <w:start w:val="1"/>
      <w:numFmt w:val="lowerLetter"/>
      <w:lvlText w:val="%2."/>
      <w:lvlJc w:val="left"/>
      <w:pPr>
        <w:ind w:left="1440" w:hanging="360"/>
      </w:pPr>
    </w:lvl>
    <w:lvl w:ilvl="2" w:tplc="B96C1A40">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nsid w:val="67CB1ADE"/>
    <w:multiLevelType w:val="hybridMultilevel"/>
    <w:tmpl w:val="1E0ADB74"/>
    <w:lvl w:ilvl="0" w:tplc="EB94509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31756"/>
    <w:multiLevelType w:val="hybridMultilevel"/>
    <w:tmpl w:val="EA8EC7C2"/>
    <w:lvl w:ilvl="0" w:tplc="8A708968">
      <w:start w:val="2"/>
      <w:numFmt w:val="upperRoman"/>
      <w:lvlText w:val="%1."/>
      <w:lvlJc w:val="left"/>
      <w:pPr>
        <w:ind w:left="1080" w:hanging="72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F9C7300"/>
    <w:multiLevelType w:val="hybridMultilevel"/>
    <w:tmpl w:val="A6B023E4"/>
    <w:lvl w:ilvl="0" w:tplc="21D06DB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72697422"/>
    <w:multiLevelType w:val="hybridMultilevel"/>
    <w:tmpl w:val="5F2CAC7E"/>
    <w:lvl w:ilvl="0" w:tplc="FB48B9D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731544C6"/>
    <w:multiLevelType w:val="hybridMultilevel"/>
    <w:tmpl w:val="FD983824"/>
    <w:lvl w:ilvl="0" w:tplc="F360437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3BA7889"/>
    <w:multiLevelType w:val="hybridMultilevel"/>
    <w:tmpl w:val="2E225536"/>
    <w:lvl w:ilvl="0" w:tplc="E5DE3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5A046A"/>
    <w:multiLevelType w:val="hybridMultilevel"/>
    <w:tmpl w:val="1AFEFE96"/>
    <w:lvl w:ilvl="0" w:tplc="308AA5D2">
      <w:start w:val="59"/>
      <w:numFmt w:val="decimal"/>
      <w:lvlText w:val="%1."/>
      <w:lvlJc w:val="left"/>
      <w:pPr>
        <w:ind w:left="1080" w:hanging="720"/>
      </w:pPr>
      <w:rPr>
        <w:rFonts w:hint="default"/>
        <w:b w:val="0"/>
        <w:bCs w:val="0"/>
        <w:i w:val="0"/>
        <w:i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7857731"/>
    <w:multiLevelType w:val="hybridMultilevel"/>
    <w:tmpl w:val="B1E4E8B8"/>
    <w:lvl w:ilvl="0" w:tplc="5DF4F65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CE81764"/>
    <w:multiLevelType w:val="hybridMultilevel"/>
    <w:tmpl w:val="2A7E705E"/>
    <w:lvl w:ilvl="0" w:tplc="31306A00">
      <w:start w:val="63"/>
      <w:numFmt w:val="decimal"/>
      <w:lvlText w:val="%1."/>
      <w:lvlJc w:val="left"/>
      <w:pPr>
        <w:ind w:left="1080" w:hanging="720"/>
      </w:pPr>
      <w:rPr>
        <w:rFonts w:hint="default"/>
        <w:b w:val="0"/>
        <w:bCs w:val="0"/>
        <w:i w:val="0"/>
        <w:i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DBF636F"/>
    <w:multiLevelType w:val="hybridMultilevel"/>
    <w:tmpl w:val="3724A778"/>
    <w:lvl w:ilvl="0" w:tplc="05B689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683451"/>
    <w:multiLevelType w:val="hybridMultilevel"/>
    <w:tmpl w:val="88300D9C"/>
    <w:lvl w:ilvl="0" w:tplc="ED0459E8">
      <w:start w:val="8"/>
      <w:numFmt w:val="upperLetter"/>
      <w:lvlText w:val="%1."/>
      <w:lvlJc w:val="left"/>
      <w:pPr>
        <w:ind w:left="720" w:hanging="360"/>
      </w:pPr>
      <w:rPr>
        <w:rFonts w:hint="default"/>
      </w:rPr>
    </w:lvl>
    <w:lvl w:ilvl="1" w:tplc="323EEAAC" w:tentative="1">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33"/>
  </w:num>
  <w:num w:numId="3">
    <w:abstractNumId w:val="26"/>
  </w:num>
  <w:num w:numId="4">
    <w:abstractNumId w:val="1"/>
  </w:num>
  <w:num w:numId="5">
    <w:abstractNumId w:val="0"/>
  </w:num>
  <w:num w:numId="6">
    <w:abstractNumId w:val="13"/>
  </w:num>
  <w:num w:numId="7">
    <w:abstractNumId w:val="44"/>
  </w:num>
  <w:num w:numId="8">
    <w:abstractNumId w:val="22"/>
  </w:num>
  <w:num w:numId="9">
    <w:abstractNumId w:val="24"/>
  </w:num>
  <w:num w:numId="10">
    <w:abstractNumId w:val="23"/>
  </w:num>
  <w:num w:numId="11">
    <w:abstractNumId w:val="36"/>
  </w:num>
  <w:num w:numId="12">
    <w:abstractNumId w:val="38"/>
  </w:num>
  <w:num w:numId="13">
    <w:abstractNumId w:val="8"/>
  </w:num>
  <w:num w:numId="14">
    <w:abstractNumId w:val="30"/>
  </w:num>
  <w:num w:numId="15">
    <w:abstractNumId w:val="41"/>
  </w:num>
  <w:num w:numId="16">
    <w:abstractNumId w:val="37"/>
  </w:num>
  <w:num w:numId="17">
    <w:abstractNumId w:val="4"/>
  </w:num>
  <w:num w:numId="18">
    <w:abstractNumId w:val="29"/>
  </w:num>
  <w:num w:numId="19">
    <w:abstractNumId w:val="28"/>
  </w:num>
  <w:num w:numId="20">
    <w:abstractNumId w:val="32"/>
  </w:num>
  <w:num w:numId="21">
    <w:abstractNumId w:val="17"/>
  </w:num>
  <w:num w:numId="22">
    <w:abstractNumId w:val="12"/>
  </w:num>
  <w:num w:numId="23">
    <w:abstractNumId w:val="27"/>
  </w:num>
  <w:num w:numId="24">
    <w:abstractNumId w:val="39"/>
  </w:num>
  <w:num w:numId="25">
    <w:abstractNumId w:val="20"/>
  </w:num>
  <w:num w:numId="26">
    <w:abstractNumId w:val="3"/>
  </w:num>
  <w:num w:numId="27">
    <w:abstractNumId w:val="9"/>
  </w:num>
  <w:num w:numId="28">
    <w:abstractNumId w:val="25"/>
  </w:num>
  <w:num w:numId="29">
    <w:abstractNumId w:val="40"/>
  </w:num>
  <w:num w:numId="30">
    <w:abstractNumId w:val="7"/>
  </w:num>
  <w:num w:numId="31">
    <w:abstractNumId w:val="21"/>
  </w:num>
  <w:num w:numId="32">
    <w:abstractNumId w:val="11"/>
  </w:num>
  <w:num w:numId="33">
    <w:abstractNumId w:val="6"/>
  </w:num>
  <w:num w:numId="34">
    <w:abstractNumId w:val="3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3"/>
  </w:num>
  <w:num w:numId="38">
    <w:abstractNumId w:val="10"/>
  </w:num>
  <w:num w:numId="39">
    <w:abstractNumId w:val="18"/>
  </w:num>
  <w:num w:numId="40">
    <w:abstractNumId w:val="35"/>
  </w:num>
  <w:num w:numId="41">
    <w:abstractNumId w:val="15"/>
  </w:num>
  <w:num w:numId="42">
    <w:abstractNumId w:val="16"/>
  </w:num>
  <w:num w:numId="43">
    <w:abstractNumId w:val="2"/>
  </w:num>
  <w:num w:numId="44">
    <w:abstractNumId w:val="31"/>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068"/>
    <w:rsid w:val="00185F13"/>
    <w:rsid w:val="001D120A"/>
    <w:rsid w:val="001F1052"/>
    <w:rsid w:val="00236A65"/>
    <w:rsid w:val="00293392"/>
    <w:rsid w:val="00332068"/>
    <w:rsid w:val="004076C6"/>
    <w:rsid w:val="004136F7"/>
    <w:rsid w:val="004702BE"/>
    <w:rsid w:val="00481A5A"/>
    <w:rsid w:val="004C3FDB"/>
    <w:rsid w:val="004D75CF"/>
    <w:rsid w:val="00524282"/>
    <w:rsid w:val="005D1B74"/>
    <w:rsid w:val="00605DAC"/>
    <w:rsid w:val="00672D3A"/>
    <w:rsid w:val="006E465E"/>
    <w:rsid w:val="0078186A"/>
    <w:rsid w:val="007A0755"/>
    <w:rsid w:val="008B5007"/>
    <w:rsid w:val="008F004E"/>
    <w:rsid w:val="00980792"/>
    <w:rsid w:val="009D2651"/>
    <w:rsid w:val="00A07677"/>
    <w:rsid w:val="00A358B6"/>
    <w:rsid w:val="00B84DA5"/>
    <w:rsid w:val="00BF5A9F"/>
    <w:rsid w:val="00CD2B17"/>
    <w:rsid w:val="00CD30CD"/>
    <w:rsid w:val="00E60F76"/>
    <w:rsid w:val="00E97834"/>
    <w:rsid w:val="00F85836"/>
    <w:rsid w:val="00FA2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68"/>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aliases w:val="Footnote"/>
    <w:basedOn w:val="Normal"/>
    <w:uiPriority w:val="99"/>
    <w:rsid w:val="00332068"/>
    <w:rPr>
      <w:sz w:val="16"/>
      <w:szCs w:val="16"/>
    </w:rPr>
  </w:style>
  <w:style w:type="paragraph" w:styleId="Title">
    <w:name w:val="Title"/>
    <w:basedOn w:val="Normal"/>
    <w:link w:val="TitleChar"/>
    <w:uiPriority w:val="99"/>
    <w:qFormat/>
    <w:rsid w:val="00332068"/>
    <w:pPr>
      <w:jc w:val="center"/>
    </w:pPr>
    <w:rPr>
      <w:rFonts w:ascii="Verdana" w:hAnsi="Verdana" w:cs="Verdana"/>
      <w:b/>
      <w:bCs/>
      <w:smallCaps/>
      <w:sz w:val="20"/>
      <w:szCs w:val="20"/>
    </w:rPr>
  </w:style>
  <w:style w:type="character" w:customStyle="1" w:styleId="TitleChar">
    <w:name w:val="Title Char"/>
    <w:basedOn w:val="DefaultParagraphFont"/>
    <w:link w:val="Title"/>
    <w:uiPriority w:val="99"/>
    <w:rsid w:val="00332068"/>
    <w:rPr>
      <w:rFonts w:ascii="Verdana" w:eastAsia="Times New Roman" w:hAnsi="Verdana" w:cs="Verdana"/>
      <w:b/>
      <w:bCs/>
      <w:smallCaps/>
      <w:sz w:val="20"/>
      <w:szCs w:val="20"/>
      <w:lang w:val="es-ES"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FA Fu Car"/>
    <w:basedOn w:val="Normal"/>
    <w:link w:val="FootnoteTextChar"/>
    <w:qFormat/>
    <w:rsid w:val="00332068"/>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332068"/>
    <w:rPr>
      <w:rFonts w:ascii="Times New Roman" w:eastAsia="Times New Roman" w:hAnsi="Times New Roman" w:cs="Times New Roman"/>
      <w:sz w:val="24"/>
      <w:szCs w:val="24"/>
      <w:lang w:val="es-ES" w:eastAsia="es-ES"/>
    </w:rPr>
  </w:style>
  <w:style w:type="character" w:customStyle="1" w:styleId="TextonotapieCar">
    <w:name w:val="Texto nota pie Car"/>
    <w:uiPriority w:val="99"/>
    <w:rsid w:val="00332068"/>
    <w:rPr>
      <w:rFonts w:ascii="Times New Roman" w:hAnsi="Times New Roman" w:cs="Times New Roman"/>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332068"/>
    <w:rPr>
      <w:vertAlign w:val="superscript"/>
    </w:rPr>
  </w:style>
  <w:style w:type="paragraph" w:styleId="ListParagraph">
    <w:name w:val="List Paragraph"/>
    <w:basedOn w:val="Normal"/>
    <w:uiPriority w:val="99"/>
    <w:qFormat/>
    <w:rsid w:val="00332068"/>
    <w:pPr>
      <w:ind w:left="720"/>
    </w:pPr>
  </w:style>
  <w:style w:type="paragraph" w:styleId="BodyText">
    <w:name w:val="Body Text"/>
    <w:basedOn w:val="Normal"/>
    <w:link w:val="BodyTextChar"/>
    <w:uiPriority w:val="99"/>
    <w:rsid w:val="00332068"/>
    <w:pPr>
      <w:widowControl w:val="0"/>
      <w:tabs>
        <w:tab w:val="left" w:pos="360"/>
      </w:tabs>
      <w:ind w:right="720"/>
      <w:jc w:val="both"/>
    </w:pPr>
    <w:rPr>
      <w:rFonts w:ascii="Garamond" w:hAnsi="Garamond" w:cs="Garamond"/>
      <w:lang w:val="es-ES_tradnl" w:eastAsia="en-US"/>
    </w:rPr>
  </w:style>
  <w:style w:type="character" w:customStyle="1" w:styleId="BodyTextChar">
    <w:name w:val="Body Text Char"/>
    <w:basedOn w:val="DefaultParagraphFont"/>
    <w:link w:val="BodyText"/>
    <w:uiPriority w:val="99"/>
    <w:rsid w:val="00332068"/>
    <w:rPr>
      <w:rFonts w:ascii="Garamond" w:eastAsia="Times New Roman" w:hAnsi="Garamond" w:cs="Garamond"/>
      <w:sz w:val="24"/>
      <w:szCs w:val="24"/>
      <w:lang w:val="es-ES_tradnl"/>
    </w:rPr>
  </w:style>
  <w:style w:type="paragraph" w:customStyle="1" w:styleId="Default">
    <w:name w:val="Default"/>
    <w:rsid w:val="00332068"/>
    <w:pPr>
      <w:autoSpaceDE w:val="0"/>
      <w:autoSpaceDN w:val="0"/>
      <w:adjustRightInd w:val="0"/>
      <w:spacing w:after="0" w:line="240" w:lineRule="auto"/>
    </w:pPr>
    <w:rPr>
      <w:rFonts w:ascii="Verdana" w:eastAsia="Calibri" w:hAnsi="Verdana" w:cs="Verdana"/>
      <w:color w:val="000000"/>
      <w:sz w:val="24"/>
      <w:szCs w:val="24"/>
      <w:lang w:val="en-US"/>
    </w:rPr>
  </w:style>
  <w:style w:type="character" w:styleId="CommentReference">
    <w:name w:val="annotation reference"/>
    <w:uiPriority w:val="99"/>
    <w:semiHidden/>
    <w:rsid w:val="00332068"/>
    <w:rPr>
      <w:sz w:val="18"/>
      <w:szCs w:val="18"/>
    </w:rPr>
  </w:style>
  <w:style w:type="paragraph" w:styleId="CommentText">
    <w:name w:val="annotation text"/>
    <w:basedOn w:val="Normal"/>
    <w:link w:val="CommentTextChar"/>
    <w:uiPriority w:val="99"/>
    <w:semiHidden/>
    <w:rsid w:val="00332068"/>
    <w:rPr>
      <w:rFonts w:ascii="Calibri" w:hAnsi="Calibri" w:cs="Calibri"/>
      <w:lang w:val="es-ES_tradnl"/>
    </w:rPr>
  </w:style>
  <w:style w:type="character" w:customStyle="1" w:styleId="CommentTextChar">
    <w:name w:val="Comment Text Char"/>
    <w:basedOn w:val="DefaultParagraphFont"/>
    <w:link w:val="CommentText"/>
    <w:uiPriority w:val="99"/>
    <w:semiHidden/>
    <w:rsid w:val="00332068"/>
    <w:rPr>
      <w:rFonts w:ascii="Calibri" w:eastAsia="Times New Roman" w:hAnsi="Calibri" w:cs="Calibri"/>
      <w:sz w:val="24"/>
      <w:szCs w:val="24"/>
      <w:lang w:val="es-ES_tradnl" w:eastAsia="es-ES"/>
    </w:rPr>
  </w:style>
  <w:style w:type="paragraph" w:styleId="BalloonText">
    <w:name w:val="Balloon Text"/>
    <w:basedOn w:val="Normal"/>
    <w:link w:val="BalloonTextChar"/>
    <w:uiPriority w:val="99"/>
    <w:semiHidden/>
    <w:rsid w:val="00332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068"/>
    <w:rPr>
      <w:rFonts w:ascii="Lucida Grande" w:eastAsia="Times New Roman" w:hAnsi="Lucida Grande" w:cs="Lucida Grande"/>
      <w:sz w:val="18"/>
      <w:szCs w:val="18"/>
      <w:lang w:val="es-ES" w:eastAsia="es-ES"/>
    </w:rPr>
  </w:style>
  <w:style w:type="paragraph" w:styleId="CommentSubject">
    <w:name w:val="annotation subject"/>
    <w:basedOn w:val="CommentText"/>
    <w:next w:val="CommentText"/>
    <w:link w:val="CommentSubjectChar"/>
    <w:uiPriority w:val="99"/>
    <w:semiHidden/>
    <w:rsid w:val="00332068"/>
    <w:rPr>
      <w:rFonts w:ascii="Times New Roman" w:hAnsi="Times New Roman" w:cs="Times New Roman"/>
      <w:b/>
      <w:bCs/>
      <w:sz w:val="20"/>
      <w:szCs w:val="20"/>
      <w:lang w:val="es-ES"/>
    </w:rPr>
  </w:style>
  <w:style w:type="character" w:customStyle="1" w:styleId="CommentSubjectChar">
    <w:name w:val="Comment Subject Char"/>
    <w:basedOn w:val="CommentTextChar"/>
    <w:link w:val="CommentSubject"/>
    <w:uiPriority w:val="99"/>
    <w:semiHidden/>
    <w:rsid w:val="00332068"/>
    <w:rPr>
      <w:rFonts w:ascii="Times New Roman" w:hAnsi="Times New Roman" w:cs="Times New Roman"/>
      <w:b/>
      <w:bCs/>
      <w:sz w:val="20"/>
      <w:szCs w:val="20"/>
      <w:lang w:val="es-ES"/>
    </w:rPr>
  </w:style>
  <w:style w:type="paragraph" w:styleId="Footer">
    <w:name w:val="footer"/>
    <w:basedOn w:val="Normal"/>
    <w:link w:val="FooterChar"/>
    <w:uiPriority w:val="99"/>
    <w:rsid w:val="00332068"/>
    <w:pPr>
      <w:tabs>
        <w:tab w:val="center" w:pos="4252"/>
        <w:tab w:val="right" w:pos="8504"/>
      </w:tabs>
    </w:pPr>
  </w:style>
  <w:style w:type="character" w:customStyle="1" w:styleId="FooterChar">
    <w:name w:val="Footer Char"/>
    <w:basedOn w:val="DefaultParagraphFont"/>
    <w:link w:val="Footer"/>
    <w:uiPriority w:val="99"/>
    <w:rsid w:val="00332068"/>
    <w:rPr>
      <w:rFonts w:ascii="Times New Roman" w:eastAsia="Times New Roman" w:hAnsi="Times New Roman" w:cs="Times New Roman"/>
      <w:sz w:val="24"/>
      <w:szCs w:val="24"/>
      <w:lang w:val="es-ES" w:eastAsia="es-ES"/>
    </w:rPr>
  </w:style>
  <w:style w:type="paragraph" w:styleId="BodyText2">
    <w:name w:val="Body Text 2"/>
    <w:basedOn w:val="Normal"/>
    <w:link w:val="BodyText2Char"/>
    <w:uiPriority w:val="99"/>
    <w:semiHidden/>
    <w:rsid w:val="00332068"/>
    <w:pPr>
      <w:spacing w:after="120" w:line="480" w:lineRule="auto"/>
    </w:pPr>
  </w:style>
  <w:style w:type="character" w:customStyle="1" w:styleId="BodyText2Char">
    <w:name w:val="Body Text 2 Char"/>
    <w:basedOn w:val="DefaultParagraphFont"/>
    <w:link w:val="BodyText2"/>
    <w:uiPriority w:val="99"/>
    <w:semiHidden/>
    <w:rsid w:val="00332068"/>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uiPriority w:val="99"/>
    <w:rsid w:val="00332068"/>
    <w:pPr>
      <w:spacing w:after="120" w:line="276" w:lineRule="auto"/>
      <w:ind w:left="360"/>
    </w:pPr>
    <w:rPr>
      <w:rFonts w:ascii="Calibri" w:eastAsia="Calibri" w:hAnsi="Calibri" w:cs="Calibri"/>
      <w:sz w:val="22"/>
      <w:szCs w:val="22"/>
      <w:lang w:val="es-MX" w:eastAsia="en-US"/>
    </w:rPr>
  </w:style>
  <w:style w:type="character" w:customStyle="1" w:styleId="BodyTextIndentChar">
    <w:name w:val="Body Text Indent Char"/>
    <w:basedOn w:val="DefaultParagraphFont"/>
    <w:link w:val="BodyTextIndent"/>
    <w:uiPriority w:val="99"/>
    <w:rsid w:val="00332068"/>
    <w:rPr>
      <w:rFonts w:ascii="Calibri" w:eastAsia="Calibri" w:hAnsi="Calibri" w:cs="Calibri"/>
      <w:lang w:val="es-MX"/>
    </w:rPr>
  </w:style>
  <w:style w:type="paragraph" w:customStyle="1" w:styleId="style2">
    <w:name w:val="style2"/>
    <w:basedOn w:val="Normal"/>
    <w:uiPriority w:val="99"/>
    <w:rsid w:val="00332068"/>
    <w:pPr>
      <w:spacing w:before="100" w:beforeAutospacing="1" w:after="100" w:afterAutospacing="1" w:line="155" w:lineRule="atLeast"/>
      <w:jc w:val="both"/>
    </w:pPr>
    <w:rPr>
      <w:rFonts w:ascii="Verdana" w:hAnsi="Verdana" w:cs="Verdana"/>
      <w:color w:val="000000"/>
      <w:sz w:val="11"/>
      <w:szCs w:val="11"/>
      <w:lang w:val="en-US" w:eastAsia="en-US"/>
    </w:rPr>
  </w:style>
  <w:style w:type="paragraph" w:customStyle="1" w:styleId="ColorfulList-Accent11">
    <w:name w:val="Colorful List - Accent 11"/>
    <w:basedOn w:val="Normal"/>
    <w:uiPriority w:val="99"/>
    <w:rsid w:val="00332068"/>
    <w:pPr>
      <w:ind w:left="720"/>
    </w:pPr>
    <w:rPr>
      <w:rFonts w:ascii="Times" w:eastAsia="MS Mincho" w:hAnsi="Times" w:cs="Times"/>
      <w:lang w:val="es-ES_tradnl" w:eastAsia="en-US"/>
    </w:rPr>
  </w:style>
  <w:style w:type="paragraph" w:styleId="BodyTextIndent2">
    <w:name w:val="Body Text Indent 2"/>
    <w:basedOn w:val="Normal"/>
    <w:link w:val="BodyTextIndent2Char"/>
    <w:uiPriority w:val="99"/>
    <w:semiHidden/>
    <w:rsid w:val="00332068"/>
    <w:pPr>
      <w:spacing w:after="120" w:line="480" w:lineRule="auto"/>
      <w:ind w:left="283"/>
    </w:pPr>
  </w:style>
  <w:style w:type="character" w:customStyle="1" w:styleId="BodyTextIndent2Char">
    <w:name w:val="Body Text Indent 2 Char"/>
    <w:basedOn w:val="DefaultParagraphFont"/>
    <w:link w:val="BodyTextIndent2"/>
    <w:uiPriority w:val="99"/>
    <w:semiHidden/>
    <w:rsid w:val="00332068"/>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rsid w:val="00332068"/>
    <w:pPr>
      <w:tabs>
        <w:tab w:val="center" w:pos="4419"/>
        <w:tab w:val="right" w:pos="8838"/>
      </w:tabs>
    </w:pPr>
  </w:style>
  <w:style w:type="character" w:customStyle="1" w:styleId="HeaderChar">
    <w:name w:val="Header Char"/>
    <w:basedOn w:val="DefaultParagraphFont"/>
    <w:link w:val="Header"/>
    <w:uiPriority w:val="99"/>
    <w:rsid w:val="00332068"/>
    <w:rPr>
      <w:rFonts w:ascii="Times New Roman" w:eastAsia="Times New Roman" w:hAnsi="Times New Roman" w:cs="Times New Roman"/>
      <w:sz w:val="24"/>
      <w:szCs w:val="24"/>
      <w:lang w:val="es-ES" w:eastAsia="es-ES"/>
    </w:rPr>
  </w:style>
  <w:style w:type="paragraph" w:styleId="Revision">
    <w:name w:val="Revision"/>
    <w:hidden/>
    <w:uiPriority w:val="99"/>
    <w:semiHidden/>
    <w:rsid w:val="00332068"/>
    <w:pPr>
      <w:spacing w:after="0" w:line="240" w:lineRule="auto"/>
    </w:pPr>
    <w:rPr>
      <w:rFonts w:ascii="Times New Roman" w:eastAsia="Times New Roman" w:hAnsi="Times New Roman" w:cs="Times New Roman"/>
      <w:sz w:val="24"/>
      <w:szCs w:val="24"/>
      <w:lang w:val="es-ES" w:eastAsia="es-ES"/>
    </w:rPr>
  </w:style>
  <w:style w:type="character" w:customStyle="1" w:styleId="Smbolodenotaalpie">
    <w:name w:val="Símbolo de nota al pie"/>
    <w:uiPriority w:val="99"/>
    <w:rsid w:val="00332068"/>
    <w:rPr>
      <w:vertAlign w:val="superscript"/>
    </w:rPr>
  </w:style>
  <w:style w:type="paragraph" w:styleId="Subtitle">
    <w:name w:val="Subtitle"/>
    <w:basedOn w:val="Normal"/>
    <w:link w:val="SubtitleChar"/>
    <w:uiPriority w:val="99"/>
    <w:qFormat/>
    <w:rsid w:val="00332068"/>
    <w:pPr>
      <w:spacing w:after="60"/>
      <w:ind w:right="746"/>
      <w:jc w:val="center"/>
    </w:pPr>
    <w:rPr>
      <w:rFonts w:ascii="Garamond" w:eastAsia="Calibri" w:hAnsi="Garamond" w:cs="Garamond"/>
      <w:b/>
      <w:bCs/>
      <w:smallCaps/>
      <w:lang w:val="es-ES_tradnl"/>
    </w:rPr>
  </w:style>
  <w:style w:type="character" w:customStyle="1" w:styleId="SubtitleChar">
    <w:name w:val="Subtitle Char"/>
    <w:basedOn w:val="DefaultParagraphFont"/>
    <w:link w:val="Subtitle"/>
    <w:uiPriority w:val="99"/>
    <w:rsid w:val="00332068"/>
    <w:rPr>
      <w:rFonts w:ascii="Garamond" w:eastAsia="Calibri" w:hAnsi="Garamond" w:cs="Garamond"/>
      <w:b/>
      <w:bCs/>
      <w:smallCaps/>
      <w:sz w:val="24"/>
      <w:szCs w:val="24"/>
      <w:lang w:val="es-ES_tradnl" w:eastAsia="es-ES"/>
    </w:rPr>
  </w:style>
  <w:style w:type="character" w:styleId="Hyperlink">
    <w:name w:val="Hyperlink"/>
    <w:uiPriority w:val="99"/>
    <w:unhideWhenUsed/>
    <w:rsid w:val="0033206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FCE4E-63FC-4F10-AE3A-3376C066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12502</Words>
  <Characters>71266</Characters>
  <Application>Microsoft Office Word</Application>
  <DocSecurity>0</DocSecurity>
  <Lines>593</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Martin</dc:creator>
  <cp:lastModifiedBy>Gabriel Alfaro</cp:lastModifiedBy>
  <cp:revision>2</cp:revision>
  <cp:lastPrinted>2013-09-09T21:29:00Z</cp:lastPrinted>
  <dcterms:created xsi:type="dcterms:W3CDTF">2013-09-09T21:29:00Z</dcterms:created>
  <dcterms:modified xsi:type="dcterms:W3CDTF">2013-09-09T21:29:00Z</dcterms:modified>
</cp:coreProperties>
</file>