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FD872" w14:textId="77777777" w:rsidR="00135570" w:rsidRPr="00BF4DBB" w:rsidRDefault="00135570" w:rsidP="00BF4DBB">
      <w:pPr>
        <w:tabs>
          <w:tab w:val="left" w:pos="567"/>
        </w:tabs>
        <w:spacing w:after="0"/>
        <w:jc w:val="center"/>
        <w:rPr>
          <w:rFonts w:ascii="Verdana" w:hAnsi="Verdana"/>
          <w:b/>
          <w:sz w:val="20"/>
          <w:szCs w:val="20"/>
          <w:lang w:val="es-CR"/>
        </w:rPr>
      </w:pPr>
    </w:p>
    <w:p w14:paraId="6DCF7B7B" w14:textId="77777777" w:rsidR="00135570" w:rsidRPr="00BF4DBB" w:rsidRDefault="00135570" w:rsidP="00135570">
      <w:pPr>
        <w:spacing w:after="0"/>
        <w:jc w:val="center"/>
        <w:rPr>
          <w:rFonts w:ascii="Verdana" w:hAnsi="Verdana"/>
          <w:b/>
          <w:sz w:val="20"/>
          <w:szCs w:val="20"/>
          <w:lang w:val="es-CR"/>
        </w:rPr>
      </w:pPr>
    </w:p>
    <w:p w14:paraId="4BC1175E" w14:textId="77777777" w:rsidR="00135570" w:rsidRPr="00BF4DBB" w:rsidRDefault="00135570" w:rsidP="00135570">
      <w:pPr>
        <w:spacing w:after="0"/>
        <w:jc w:val="center"/>
        <w:rPr>
          <w:rFonts w:ascii="Verdana" w:hAnsi="Verdana"/>
          <w:b/>
          <w:sz w:val="20"/>
          <w:szCs w:val="20"/>
          <w:lang w:val="es-CR"/>
        </w:rPr>
      </w:pPr>
    </w:p>
    <w:p w14:paraId="49AA4A63" w14:textId="77777777" w:rsidR="00135570" w:rsidRPr="00BF4DBB" w:rsidRDefault="00135570" w:rsidP="00135570">
      <w:pPr>
        <w:spacing w:after="0"/>
        <w:rPr>
          <w:rFonts w:ascii="Verdana" w:hAnsi="Verdana"/>
          <w:b/>
          <w:sz w:val="20"/>
          <w:szCs w:val="20"/>
          <w:lang w:val="es-CR"/>
        </w:rPr>
      </w:pPr>
    </w:p>
    <w:p w14:paraId="5775E764" w14:textId="37522D1F" w:rsidR="00135570" w:rsidRPr="00BF4DBB" w:rsidRDefault="00BF4DBB" w:rsidP="00BF4DBB">
      <w:pPr>
        <w:spacing w:after="0"/>
        <w:jc w:val="center"/>
        <w:rPr>
          <w:rFonts w:ascii="Verdana" w:hAnsi="Verdana"/>
          <w:b/>
          <w:sz w:val="20"/>
          <w:szCs w:val="20"/>
          <w:lang w:val="es-CR"/>
        </w:rPr>
      </w:pPr>
      <w:r w:rsidRPr="00BF4DBB">
        <w:rPr>
          <w:rFonts w:ascii="Verdana" w:hAnsi="Verdana"/>
          <w:b/>
          <w:sz w:val="20"/>
          <w:szCs w:val="20"/>
          <w:lang w:val="es-CR"/>
        </w:rPr>
        <w:t>RESOLUCIÓN DEL PRESIDENTE DE</w:t>
      </w:r>
      <w:r w:rsidR="00135570" w:rsidRPr="00BF4DBB">
        <w:rPr>
          <w:rFonts w:ascii="Verdana" w:hAnsi="Verdana"/>
          <w:b/>
          <w:sz w:val="20"/>
          <w:szCs w:val="20"/>
          <w:lang w:val="es-CR"/>
        </w:rPr>
        <w:t xml:space="preserve"> LA </w:t>
      </w:r>
      <w:r w:rsidR="00135570" w:rsidRPr="00BF4DBB">
        <w:rPr>
          <w:rFonts w:ascii="Verdana" w:hAnsi="Verdana"/>
          <w:b/>
          <w:sz w:val="20"/>
          <w:szCs w:val="20"/>
          <w:lang w:val="es-CR"/>
        </w:rPr>
        <w:br/>
        <w:t xml:space="preserve">CORTE INTERAMERICANA DE DERECHOS HUMANOS </w:t>
      </w:r>
      <w:r w:rsidR="00135570" w:rsidRPr="00BF4DBB">
        <w:rPr>
          <w:rFonts w:ascii="Verdana" w:hAnsi="Verdana"/>
          <w:b/>
          <w:sz w:val="20"/>
          <w:szCs w:val="20"/>
          <w:lang w:val="es-CR"/>
        </w:rPr>
        <w:br/>
      </w:r>
    </w:p>
    <w:p w14:paraId="613AD8EB" w14:textId="1BF171AA" w:rsidR="00135570" w:rsidRPr="00BF4DBB" w:rsidRDefault="00135570" w:rsidP="00135570">
      <w:pPr>
        <w:spacing w:after="0"/>
        <w:jc w:val="center"/>
        <w:rPr>
          <w:rFonts w:ascii="Verdana" w:hAnsi="Verdana"/>
          <w:b/>
          <w:sz w:val="20"/>
          <w:szCs w:val="20"/>
          <w:lang w:val="es-CR"/>
        </w:rPr>
      </w:pPr>
      <w:r w:rsidRPr="00BF4DBB">
        <w:rPr>
          <w:rFonts w:ascii="Verdana" w:hAnsi="Verdana"/>
          <w:b/>
          <w:sz w:val="20"/>
          <w:szCs w:val="20"/>
          <w:lang w:val="es-CR"/>
        </w:rPr>
        <w:t>DE</w:t>
      </w:r>
      <w:r w:rsidR="00F75DF2">
        <w:rPr>
          <w:rFonts w:ascii="Verdana" w:hAnsi="Verdana"/>
          <w:b/>
          <w:sz w:val="20"/>
          <w:szCs w:val="20"/>
          <w:lang w:val="es-CR"/>
        </w:rPr>
        <w:t xml:space="preserve"> 20</w:t>
      </w:r>
      <w:r w:rsidRPr="00BF4DBB">
        <w:rPr>
          <w:rFonts w:ascii="Verdana" w:hAnsi="Verdana"/>
          <w:b/>
          <w:sz w:val="20"/>
          <w:szCs w:val="20"/>
          <w:lang w:val="es-CR"/>
        </w:rPr>
        <w:t xml:space="preserve"> DE </w:t>
      </w:r>
      <w:r w:rsidR="00316264">
        <w:rPr>
          <w:rFonts w:ascii="Verdana" w:hAnsi="Verdana"/>
          <w:b/>
          <w:sz w:val="20"/>
          <w:szCs w:val="20"/>
          <w:lang w:val="es-CR"/>
        </w:rPr>
        <w:t>DICIEMBRE</w:t>
      </w:r>
      <w:r w:rsidR="00316264" w:rsidRPr="00BF4DBB">
        <w:rPr>
          <w:rFonts w:ascii="Verdana" w:hAnsi="Verdana"/>
          <w:b/>
          <w:sz w:val="20"/>
          <w:szCs w:val="20"/>
          <w:lang w:val="es-CR"/>
        </w:rPr>
        <w:t xml:space="preserve"> </w:t>
      </w:r>
      <w:r w:rsidRPr="00BF4DBB">
        <w:rPr>
          <w:rFonts w:ascii="Verdana" w:hAnsi="Verdana"/>
          <w:b/>
          <w:sz w:val="20"/>
          <w:szCs w:val="20"/>
          <w:lang w:val="es-CR"/>
        </w:rPr>
        <w:t>DE 2019</w:t>
      </w:r>
    </w:p>
    <w:p w14:paraId="10D915FB" w14:textId="77777777" w:rsidR="00135570" w:rsidRPr="00BF4DBB" w:rsidRDefault="00135570" w:rsidP="00BF4DBB">
      <w:pPr>
        <w:spacing w:after="0"/>
        <w:rPr>
          <w:rFonts w:ascii="Verdana" w:hAnsi="Verdana"/>
          <w:b/>
          <w:sz w:val="20"/>
          <w:szCs w:val="20"/>
          <w:lang w:val="es-CR"/>
        </w:rPr>
      </w:pPr>
    </w:p>
    <w:p w14:paraId="732CE9B7" w14:textId="5CDCDA78" w:rsidR="00135570" w:rsidRPr="00BF4DBB" w:rsidRDefault="00135570" w:rsidP="00135570">
      <w:pPr>
        <w:spacing w:after="0"/>
        <w:jc w:val="center"/>
        <w:rPr>
          <w:rFonts w:ascii="Verdana" w:hAnsi="Verdana"/>
          <w:b/>
          <w:sz w:val="20"/>
          <w:szCs w:val="20"/>
          <w:lang w:val="es-CR"/>
        </w:rPr>
      </w:pPr>
      <w:r w:rsidRPr="00BF4DBB">
        <w:rPr>
          <w:rFonts w:ascii="Verdana" w:hAnsi="Verdana"/>
          <w:b/>
          <w:sz w:val="20"/>
          <w:szCs w:val="20"/>
          <w:lang w:val="es-CR"/>
        </w:rPr>
        <w:t xml:space="preserve"> CASO </w:t>
      </w:r>
      <w:r w:rsidR="008A27B3">
        <w:rPr>
          <w:rFonts w:ascii="Verdana" w:hAnsi="Verdana"/>
          <w:b/>
          <w:sz w:val="20"/>
          <w:szCs w:val="20"/>
          <w:lang w:val="es-CR"/>
        </w:rPr>
        <w:t>URRUTIA LAUBREAUX VS. CHILE</w:t>
      </w:r>
    </w:p>
    <w:p w14:paraId="1D0EFFC7" w14:textId="77777777" w:rsidR="00135570" w:rsidRDefault="00135570" w:rsidP="00135570">
      <w:pPr>
        <w:spacing w:after="0"/>
        <w:jc w:val="both"/>
        <w:rPr>
          <w:rFonts w:ascii="Verdana" w:hAnsi="Verdana"/>
          <w:b/>
          <w:sz w:val="20"/>
          <w:szCs w:val="20"/>
          <w:lang w:val="es-CR"/>
        </w:rPr>
      </w:pPr>
    </w:p>
    <w:p w14:paraId="67CE3E38" w14:textId="77777777" w:rsidR="003D0828" w:rsidRDefault="003D0828" w:rsidP="00135570">
      <w:pPr>
        <w:spacing w:after="0"/>
        <w:jc w:val="both"/>
        <w:rPr>
          <w:rFonts w:ascii="Verdana" w:hAnsi="Verdana"/>
          <w:b/>
          <w:sz w:val="20"/>
          <w:szCs w:val="20"/>
          <w:lang w:val="es-CR"/>
        </w:rPr>
      </w:pPr>
    </w:p>
    <w:p w14:paraId="6E35CB73" w14:textId="77777777" w:rsidR="003D0828" w:rsidRDefault="003D0828" w:rsidP="00135570">
      <w:pPr>
        <w:spacing w:after="0"/>
        <w:jc w:val="both"/>
        <w:rPr>
          <w:rFonts w:ascii="Verdana" w:hAnsi="Verdana"/>
          <w:b/>
          <w:sz w:val="20"/>
          <w:szCs w:val="20"/>
          <w:lang w:val="es-CR"/>
        </w:rPr>
      </w:pPr>
    </w:p>
    <w:p w14:paraId="20CAE434" w14:textId="77777777" w:rsidR="003D0828" w:rsidRPr="00BF4DBB" w:rsidRDefault="003D0828" w:rsidP="00135570">
      <w:pPr>
        <w:spacing w:after="0"/>
        <w:jc w:val="both"/>
        <w:rPr>
          <w:rFonts w:ascii="Verdana" w:hAnsi="Verdana"/>
          <w:b/>
          <w:sz w:val="20"/>
          <w:szCs w:val="20"/>
          <w:lang w:val="es-CR"/>
        </w:rPr>
      </w:pPr>
    </w:p>
    <w:p w14:paraId="63773727" w14:textId="77777777" w:rsidR="00135570" w:rsidRPr="00BF4DBB" w:rsidRDefault="00135570" w:rsidP="00135570">
      <w:pPr>
        <w:jc w:val="both"/>
        <w:rPr>
          <w:rFonts w:ascii="Verdana" w:hAnsi="Verdana"/>
          <w:b/>
          <w:sz w:val="20"/>
          <w:szCs w:val="20"/>
          <w:lang w:val="es-CR"/>
        </w:rPr>
      </w:pPr>
      <w:r w:rsidRPr="00BF4DBB">
        <w:rPr>
          <w:rFonts w:ascii="Verdana" w:hAnsi="Verdana"/>
          <w:b/>
          <w:sz w:val="20"/>
          <w:szCs w:val="20"/>
          <w:lang w:val="es-CR"/>
        </w:rPr>
        <w:t>VISTO:</w:t>
      </w:r>
    </w:p>
    <w:p w14:paraId="60476B8E" w14:textId="48C5C668" w:rsidR="001D5A5F" w:rsidRPr="000106CC" w:rsidRDefault="00135570" w:rsidP="000106CC">
      <w:pPr>
        <w:pStyle w:val="Normal1"/>
        <w:widowControl/>
        <w:numPr>
          <w:ilvl w:val="0"/>
          <w:numId w:val="1"/>
        </w:numPr>
        <w:tabs>
          <w:tab w:val="left" w:pos="567"/>
        </w:tabs>
        <w:spacing w:before="120" w:after="120"/>
        <w:ind w:left="0" w:firstLine="0"/>
        <w:jc w:val="both"/>
        <w:rPr>
          <w:rFonts w:ascii="Verdana" w:eastAsia="Verdana" w:hAnsi="Verdana" w:cs="Verdana"/>
          <w:color w:val="000000"/>
          <w:sz w:val="20"/>
          <w:szCs w:val="20"/>
        </w:rPr>
      </w:pPr>
      <w:r w:rsidRPr="00BF4DBB">
        <w:rPr>
          <w:rFonts w:ascii="Verdana" w:hAnsi="Verdana"/>
          <w:sz w:val="20"/>
          <w:szCs w:val="20"/>
        </w:rPr>
        <w:t>El escrito de sometimiento del caso y el Informe de Fondo de la Comisión Interamericana de Derechos Humanos (en adelante “la Comisión Interamericana” o “la Comisión”); el escrito de solicitudes, argumentos y pruebas (en adelante el “escrito de solicitudes y argumentos”) de los representantes</w:t>
      </w:r>
      <w:r w:rsidR="002378A9">
        <w:rPr>
          <w:rFonts w:ascii="Verdana" w:hAnsi="Verdana"/>
          <w:sz w:val="20"/>
          <w:szCs w:val="20"/>
        </w:rPr>
        <w:t xml:space="preserve"> de la presunta víctima</w:t>
      </w:r>
      <w:r w:rsidRPr="00BF4DBB">
        <w:rPr>
          <w:rFonts w:ascii="Verdana" w:hAnsi="Verdana"/>
          <w:sz w:val="20"/>
          <w:szCs w:val="20"/>
        </w:rPr>
        <w:t xml:space="preserve"> (en adelante “los representantes”</w:t>
      </w:r>
      <w:r w:rsidR="00BF4DBB">
        <w:rPr>
          <w:rFonts w:ascii="Verdana" w:hAnsi="Verdana"/>
          <w:sz w:val="20"/>
          <w:szCs w:val="20"/>
        </w:rPr>
        <w:t>), y</w:t>
      </w:r>
      <w:r w:rsidRPr="00BF4DBB">
        <w:rPr>
          <w:rFonts w:ascii="Verdana" w:hAnsi="Verdana"/>
          <w:sz w:val="20"/>
          <w:szCs w:val="20"/>
        </w:rPr>
        <w:t xml:space="preserve"> </w:t>
      </w:r>
      <w:r w:rsidR="00BF4DBB" w:rsidRPr="00BF4DBB">
        <w:rPr>
          <w:rFonts w:ascii="Verdana" w:hAnsi="Verdana"/>
          <w:sz w:val="20"/>
          <w:szCs w:val="20"/>
        </w:rPr>
        <w:t>el escrito de excepci</w:t>
      </w:r>
      <w:r w:rsidR="00402B7A">
        <w:rPr>
          <w:rFonts w:ascii="Verdana" w:hAnsi="Verdana"/>
          <w:sz w:val="20"/>
          <w:szCs w:val="20"/>
        </w:rPr>
        <w:t>o</w:t>
      </w:r>
      <w:r w:rsidR="00BF4DBB">
        <w:rPr>
          <w:rFonts w:ascii="Verdana" w:hAnsi="Verdana"/>
          <w:sz w:val="20"/>
          <w:szCs w:val="20"/>
        </w:rPr>
        <w:t>n</w:t>
      </w:r>
      <w:r w:rsidR="00402B7A">
        <w:rPr>
          <w:rFonts w:ascii="Verdana" w:hAnsi="Verdana"/>
          <w:sz w:val="20"/>
          <w:szCs w:val="20"/>
        </w:rPr>
        <w:t>es</w:t>
      </w:r>
      <w:r w:rsidR="00BF4DBB">
        <w:rPr>
          <w:rFonts w:ascii="Verdana" w:hAnsi="Verdana"/>
          <w:sz w:val="20"/>
          <w:szCs w:val="20"/>
        </w:rPr>
        <w:t xml:space="preserve"> preliminar</w:t>
      </w:r>
      <w:r w:rsidR="00402B7A">
        <w:rPr>
          <w:rFonts w:ascii="Verdana" w:hAnsi="Verdana"/>
          <w:sz w:val="20"/>
          <w:szCs w:val="20"/>
        </w:rPr>
        <w:t>es</w:t>
      </w:r>
      <w:r w:rsidR="00BF4DBB" w:rsidRPr="00BF4DBB">
        <w:rPr>
          <w:rFonts w:ascii="Verdana" w:hAnsi="Verdana"/>
          <w:sz w:val="20"/>
          <w:szCs w:val="20"/>
        </w:rPr>
        <w:t xml:space="preserve"> y contestación al sometimiento del caso y al escrito de solicitudes y argumentos (en adelante “escrito de contestación”) </w:t>
      </w:r>
      <w:r w:rsidR="00402B7A">
        <w:rPr>
          <w:rFonts w:ascii="Verdana" w:hAnsi="Verdana"/>
          <w:sz w:val="20"/>
          <w:szCs w:val="20"/>
        </w:rPr>
        <w:t xml:space="preserve">del Estado de Chile </w:t>
      </w:r>
      <w:r w:rsidRPr="00BF4DBB">
        <w:rPr>
          <w:rFonts w:ascii="Verdana" w:hAnsi="Verdana"/>
          <w:sz w:val="20"/>
          <w:szCs w:val="20"/>
        </w:rPr>
        <w:t>(en adelante “</w:t>
      </w:r>
      <w:r w:rsidR="00402B7A">
        <w:rPr>
          <w:rFonts w:ascii="Verdana" w:hAnsi="Verdana"/>
          <w:sz w:val="20"/>
          <w:szCs w:val="20"/>
        </w:rPr>
        <w:t>Chile</w:t>
      </w:r>
      <w:r w:rsidR="00BF4DBB">
        <w:rPr>
          <w:rFonts w:ascii="Verdana" w:hAnsi="Verdana"/>
          <w:sz w:val="20"/>
          <w:szCs w:val="20"/>
        </w:rPr>
        <w:t>” o “el Estado”)</w:t>
      </w:r>
      <w:r w:rsidR="00BF4DBB" w:rsidRPr="00BF4DBB">
        <w:rPr>
          <w:rFonts w:ascii="Verdana" w:hAnsi="Verdana"/>
          <w:sz w:val="20"/>
          <w:szCs w:val="20"/>
        </w:rPr>
        <w:t>, así como los escrit</w:t>
      </w:r>
      <w:r w:rsidR="00BF4DBB">
        <w:rPr>
          <w:rFonts w:ascii="Verdana" w:hAnsi="Verdana"/>
          <w:sz w:val="20"/>
          <w:szCs w:val="20"/>
        </w:rPr>
        <w:t>os de observaciones a la</w:t>
      </w:r>
      <w:r w:rsidR="00402B7A">
        <w:rPr>
          <w:rFonts w:ascii="Verdana" w:hAnsi="Verdana"/>
          <w:sz w:val="20"/>
          <w:szCs w:val="20"/>
        </w:rPr>
        <w:t>s</w:t>
      </w:r>
      <w:r w:rsidR="00BF4DBB" w:rsidRPr="00BF4DBB">
        <w:rPr>
          <w:rFonts w:ascii="Verdana" w:hAnsi="Verdana"/>
          <w:sz w:val="20"/>
          <w:szCs w:val="20"/>
        </w:rPr>
        <w:t xml:space="preserve"> excepci</w:t>
      </w:r>
      <w:r w:rsidR="00402B7A">
        <w:rPr>
          <w:rFonts w:ascii="Verdana" w:hAnsi="Verdana"/>
          <w:sz w:val="20"/>
          <w:szCs w:val="20"/>
        </w:rPr>
        <w:t>ones</w:t>
      </w:r>
      <w:r w:rsidR="00BF4DBB">
        <w:rPr>
          <w:rFonts w:ascii="Verdana" w:hAnsi="Verdana"/>
          <w:sz w:val="20"/>
          <w:szCs w:val="20"/>
        </w:rPr>
        <w:t xml:space="preserve"> preliminar</w:t>
      </w:r>
      <w:r w:rsidR="00402B7A">
        <w:rPr>
          <w:rFonts w:ascii="Verdana" w:hAnsi="Verdana"/>
          <w:sz w:val="20"/>
          <w:szCs w:val="20"/>
        </w:rPr>
        <w:t>es</w:t>
      </w:r>
      <w:r w:rsidR="00BF4DBB" w:rsidRPr="00BF4DBB">
        <w:rPr>
          <w:rFonts w:ascii="Verdana" w:hAnsi="Verdana"/>
          <w:sz w:val="20"/>
          <w:szCs w:val="20"/>
        </w:rPr>
        <w:t xml:space="preserve"> interpuestas por el Estado presentad</w:t>
      </w:r>
      <w:r w:rsidR="00A246C0">
        <w:rPr>
          <w:rFonts w:ascii="Verdana" w:hAnsi="Verdana"/>
          <w:sz w:val="20"/>
          <w:szCs w:val="20"/>
        </w:rPr>
        <w:t>a</w:t>
      </w:r>
      <w:r w:rsidR="00BF4DBB" w:rsidRPr="00BF4DBB">
        <w:rPr>
          <w:rFonts w:ascii="Verdana" w:hAnsi="Verdana"/>
          <w:sz w:val="20"/>
          <w:szCs w:val="20"/>
        </w:rPr>
        <w:t>s por la Comisión Interamericana y l</w:t>
      </w:r>
      <w:r w:rsidR="00E732D7">
        <w:rPr>
          <w:rFonts w:ascii="Verdana" w:hAnsi="Verdana"/>
          <w:sz w:val="20"/>
          <w:szCs w:val="20"/>
        </w:rPr>
        <w:t>o</w:t>
      </w:r>
      <w:r w:rsidR="00BF4DBB" w:rsidRPr="00BF4DBB">
        <w:rPr>
          <w:rFonts w:ascii="Verdana" w:hAnsi="Verdana"/>
          <w:sz w:val="20"/>
          <w:szCs w:val="20"/>
        </w:rPr>
        <w:t>s representantes.</w:t>
      </w:r>
    </w:p>
    <w:p w14:paraId="7F39FC64" w14:textId="6FFA2280" w:rsidR="00062046" w:rsidRDefault="001D5A5F" w:rsidP="000106CC">
      <w:pPr>
        <w:pStyle w:val="Normal1"/>
        <w:widowControl/>
        <w:numPr>
          <w:ilvl w:val="0"/>
          <w:numId w:val="1"/>
        </w:numPr>
        <w:tabs>
          <w:tab w:val="left" w:pos="567"/>
        </w:tabs>
        <w:spacing w:before="120" w:after="120"/>
        <w:ind w:left="0" w:firstLine="0"/>
        <w:jc w:val="both"/>
        <w:rPr>
          <w:rFonts w:ascii="Verdana" w:hAnsi="Verdana"/>
          <w:sz w:val="20"/>
          <w:szCs w:val="20"/>
        </w:rPr>
      </w:pPr>
      <w:r w:rsidRPr="00BF4DBB">
        <w:rPr>
          <w:rFonts w:ascii="Verdana" w:hAnsi="Verdana"/>
          <w:sz w:val="20"/>
          <w:szCs w:val="20"/>
        </w:rPr>
        <w:t>La</w:t>
      </w:r>
      <w:r w:rsidR="00402B7A">
        <w:rPr>
          <w:rFonts w:ascii="Verdana" w:hAnsi="Verdana"/>
          <w:sz w:val="20"/>
          <w:szCs w:val="20"/>
        </w:rPr>
        <w:t>s</w:t>
      </w:r>
      <w:r w:rsidR="002C5449" w:rsidRPr="00BF4DBB">
        <w:rPr>
          <w:rFonts w:ascii="Verdana" w:hAnsi="Verdana"/>
          <w:sz w:val="20"/>
          <w:szCs w:val="20"/>
        </w:rPr>
        <w:t xml:space="preserve"> </w:t>
      </w:r>
      <w:r w:rsidR="002C5449" w:rsidRPr="001A46EB">
        <w:rPr>
          <w:rFonts w:ascii="Verdana" w:hAnsi="Verdana"/>
          <w:sz w:val="20"/>
          <w:szCs w:val="20"/>
        </w:rPr>
        <w:t>lista</w:t>
      </w:r>
      <w:r w:rsidR="00402B7A" w:rsidRPr="001A46EB">
        <w:rPr>
          <w:rFonts w:ascii="Verdana" w:hAnsi="Verdana"/>
          <w:sz w:val="20"/>
          <w:szCs w:val="20"/>
        </w:rPr>
        <w:t>s</w:t>
      </w:r>
      <w:r w:rsidR="002C5449" w:rsidRPr="001A46EB">
        <w:rPr>
          <w:rFonts w:ascii="Verdana" w:hAnsi="Verdana"/>
          <w:sz w:val="20"/>
          <w:szCs w:val="20"/>
        </w:rPr>
        <w:t xml:space="preserve"> definitiva</w:t>
      </w:r>
      <w:r w:rsidR="00402B7A" w:rsidRPr="001A46EB">
        <w:rPr>
          <w:rFonts w:ascii="Verdana" w:hAnsi="Verdana"/>
          <w:sz w:val="20"/>
          <w:szCs w:val="20"/>
        </w:rPr>
        <w:t>s</w:t>
      </w:r>
      <w:r w:rsidR="002C5449" w:rsidRPr="001A46EB">
        <w:rPr>
          <w:rFonts w:ascii="Verdana" w:hAnsi="Verdana"/>
          <w:sz w:val="20"/>
          <w:szCs w:val="20"/>
        </w:rPr>
        <w:t xml:space="preserve"> de declarantes presentada</w:t>
      </w:r>
      <w:r w:rsidR="00402B7A" w:rsidRPr="001A46EB">
        <w:rPr>
          <w:rFonts w:ascii="Verdana" w:hAnsi="Verdana"/>
          <w:sz w:val="20"/>
          <w:szCs w:val="20"/>
        </w:rPr>
        <w:t>s</w:t>
      </w:r>
      <w:r w:rsidR="002C5449" w:rsidRPr="001A46EB">
        <w:rPr>
          <w:rFonts w:ascii="Verdana" w:hAnsi="Verdana"/>
          <w:sz w:val="20"/>
          <w:szCs w:val="20"/>
        </w:rPr>
        <w:t xml:space="preserve"> por los representantes</w:t>
      </w:r>
      <w:r w:rsidR="00402B7A" w:rsidRPr="001A46EB">
        <w:rPr>
          <w:rFonts w:ascii="Verdana" w:hAnsi="Verdana"/>
          <w:sz w:val="20"/>
          <w:szCs w:val="20"/>
        </w:rPr>
        <w:t>, el Estado y la Comisión</w:t>
      </w:r>
      <w:r w:rsidR="00390A3D" w:rsidRPr="001A46EB">
        <w:rPr>
          <w:rFonts w:ascii="Verdana" w:hAnsi="Verdana"/>
          <w:sz w:val="20"/>
          <w:szCs w:val="20"/>
        </w:rPr>
        <w:t xml:space="preserve"> y las correspondientes observaciones a dichas listas presentadas por las partes, la Comisión y </w:t>
      </w:r>
      <w:r w:rsidR="0042657D" w:rsidRPr="001A46EB">
        <w:rPr>
          <w:rFonts w:ascii="Verdana" w:hAnsi="Verdana"/>
          <w:sz w:val="20"/>
          <w:szCs w:val="20"/>
        </w:rPr>
        <w:t>el perito recusado</w:t>
      </w:r>
      <w:r w:rsidR="00390A3D" w:rsidRPr="001A46EB">
        <w:rPr>
          <w:rFonts w:ascii="Verdana" w:hAnsi="Verdana"/>
          <w:sz w:val="20"/>
          <w:szCs w:val="20"/>
        </w:rPr>
        <w:t>.</w:t>
      </w:r>
    </w:p>
    <w:p w14:paraId="7BBC2FDD" w14:textId="31024E9B" w:rsidR="006D07E5" w:rsidRDefault="006D07E5" w:rsidP="006D07E5">
      <w:pPr>
        <w:pStyle w:val="Normal1"/>
        <w:widowControl/>
        <w:numPr>
          <w:ilvl w:val="0"/>
          <w:numId w:val="1"/>
        </w:numPr>
        <w:tabs>
          <w:tab w:val="left" w:pos="567"/>
        </w:tabs>
        <w:spacing w:before="120" w:after="120"/>
        <w:ind w:left="0" w:firstLine="0"/>
        <w:jc w:val="both"/>
        <w:rPr>
          <w:rFonts w:ascii="Verdana" w:hAnsi="Verdana"/>
          <w:sz w:val="20"/>
          <w:szCs w:val="20"/>
        </w:rPr>
      </w:pPr>
      <w:r>
        <w:rPr>
          <w:rFonts w:ascii="Verdana" w:hAnsi="Verdana"/>
          <w:sz w:val="20"/>
          <w:szCs w:val="20"/>
        </w:rPr>
        <w:t xml:space="preserve">El escrito de 10 de diciembre de 2019 mediante el cual el Estado solicitó a la Corte una prórroga para la presentación de sus observaciones a las listas definitivas de declarantes, y la nota de Secretaría que concedió al Estado una prórroga hasta el 13 de diciembre de 2019. </w:t>
      </w:r>
    </w:p>
    <w:p w14:paraId="1BF13C69" w14:textId="49FEF877" w:rsidR="00135570" w:rsidRPr="000106CC" w:rsidRDefault="00135570" w:rsidP="000106CC">
      <w:pPr>
        <w:pStyle w:val="Normal1"/>
        <w:widowControl/>
        <w:spacing w:before="120" w:after="120"/>
        <w:jc w:val="both"/>
        <w:rPr>
          <w:rFonts w:ascii="Verdana" w:hAnsi="Verdana"/>
          <w:b/>
          <w:sz w:val="20"/>
          <w:szCs w:val="20"/>
        </w:rPr>
      </w:pPr>
      <w:r w:rsidRPr="00BF4DBB">
        <w:rPr>
          <w:rFonts w:ascii="Verdana" w:hAnsi="Verdana"/>
          <w:b/>
          <w:sz w:val="20"/>
          <w:szCs w:val="20"/>
        </w:rPr>
        <w:t>CONSIDERANDO QUE:</w:t>
      </w:r>
    </w:p>
    <w:p w14:paraId="7DC070BC" w14:textId="775FAC7E" w:rsidR="00135570" w:rsidRPr="00DB00E7" w:rsidRDefault="00135570" w:rsidP="000106CC">
      <w:pPr>
        <w:pStyle w:val="Normal1"/>
        <w:widowControl/>
        <w:numPr>
          <w:ilvl w:val="0"/>
          <w:numId w:val="2"/>
        </w:numPr>
        <w:tabs>
          <w:tab w:val="left" w:pos="567"/>
        </w:tabs>
        <w:spacing w:before="120" w:after="120"/>
        <w:ind w:left="0" w:firstLine="0"/>
        <w:jc w:val="both"/>
        <w:rPr>
          <w:rFonts w:ascii="Verdana" w:eastAsia="Verdana" w:hAnsi="Verdana" w:cs="Verdana"/>
          <w:color w:val="000000"/>
          <w:sz w:val="20"/>
          <w:szCs w:val="20"/>
        </w:rPr>
      </w:pPr>
      <w:r w:rsidRPr="00BF4DBB">
        <w:rPr>
          <w:rFonts w:ascii="Verdana" w:hAnsi="Verdana"/>
          <w:sz w:val="20"/>
          <w:szCs w:val="20"/>
        </w:rPr>
        <w:t>El ofrecimiento y la admisión de la prueba, así como la citación de declarantes se encuentran regulados en los artíc</w:t>
      </w:r>
      <w:r w:rsidR="006D07E5">
        <w:rPr>
          <w:rFonts w:ascii="Verdana" w:hAnsi="Verdana"/>
          <w:sz w:val="20"/>
          <w:szCs w:val="20"/>
        </w:rPr>
        <w:t>ulos 35.1.f, 40.2.c, 41.1.c, 46,</w:t>
      </w:r>
      <w:r w:rsidRPr="00BF4DBB">
        <w:rPr>
          <w:rFonts w:ascii="Verdana" w:hAnsi="Verdana"/>
          <w:sz w:val="20"/>
          <w:szCs w:val="20"/>
        </w:rPr>
        <w:t xml:space="preserve"> 4</w:t>
      </w:r>
      <w:r w:rsidR="006D07E5">
        <w:rPr>
          <w:rFonts w:ascii="Verdana" w:hAnsi="Verdana"/>
          <w:sz w:val="20"/>
          <w:szCs w:val="20"/>
        </w:rPr>
        <w:t>7, 48</w:t>
      </w:r>
      <w:r w:rsidRPr="00BF4DBB">
        <w:rPr>
          <w:rFonts w:ascii="Verdana" w:hAnsi="Verdana"/>
          <w:sz w:val="20"/>
          <w:szCs w:val="20"/>
        </w:rPr>
        <w:t xml:space="preserve"> y 50 del Reglamento </w:t>
      </w:r>
      <w:r w:rsidRPr="00DB00E7">
        <w:rPr>
          <w:rFonts w:ascii="Verdana" w:hAnsi="Verdana"/>
          <w:sz w:val="20"/>
          <w:szCs w:val="20"/>
        </w:rPr>
        <w:t>de la Corte Interamericana de Derechos Humanos (en adelante “la Corte” o “el Tribunal”).</w:t>
      </w:r>
    </w:p>
    <w:p w14:paraId="19A00FD7" w14:textId="24523857" w:rsidR="00995027" w:rsidRPr="00DB00E7" w:rsidRDefault="003E2DED" w:rsidP="00390A3D">
      <w:pPr>
        <w:pStyle w:val="Normal1"/>
        <w:widowControl/>
        <w:numPr>
          <w:ilvl w:val="0"/>
          <w:numId w:val="2"/>
        </w:numPr>
        <w:tabs>
          <w:tab w:val="left" w:pos="567"/>
        </w:tabs>
        <w:spacing w:before="120" w:after="120"/>
        <w:ind w:left="0" w:firstLine="0"/>
        <w:jc w:val="both"/>
        <w:rPr>
          <w:rFonts w:ascii="Verdana" w:eastAsia="Verdana" w:hAnsi="Verdana" w:cs="Verdana"/>
          <w:color w:val="000000"/>
          <w:sz w:val="20"/>
          <w:szCs w:val="20"/>
        </w:rPr>
      </w:pPr>
      <w:r w:rsidRPr="00DB00E7">
        <w:rPr>
          <w:rFonts w:ascii="Verdana" w:hAnsi="Verdana"/>
          <w:sz w:val="20"/>
          <w:szCs w:val="20"/>
        </w:rPr>
        <w:t xml:space="preserve">La Comisión ofreció </w:t>
      </w:r>
      <w:r w:rsidR="00F22787" w:rsidRPr="00DB00E7">
        <w:rPr>
          <w:rFonts w:ascii="Verdana" w:hAnsi="Verdana"/>
          <w:sz w:val="20"/>
          <w:szCs w:val="20"/>
        </w:rPr>
        <w:t xml:space="preserve">una declaración pericial. </w:t>
      </w:r>
      <w:r w:rsidRPr="00DB00E7">
        <w:rPr>
          <w:rFonts w:ascii="Verdana" w:hAnsi="Verdana"/>
          <w:sz w:val="20"/>
          <w:szCs w:val="20"/>
        </w:rPr>
        <w:t>Los representantes ofrecieron</w:t>
      </w:r>
      <w:r w:rsidR="00F22787" w:rsidRPr="00DB00E7">
        <w:rPr>
          <w:rFonts w:ascii="Verdana" w:hAnsi="Verdana"/>
          <w:sz w:val="20"/>
          <w:szCs w:val="20"/>
        </w:rPr>
        <w:t xml:space="preserve"> la declaración de la presunta víctima, de un testigo y solicitaron a la Corte que requiriera de oficio la declaración de otro testigo. </w:t>
      </w:r>
      <w:r w:rsidRPr="00DB00E7">
        <w:rPr>
          <w:rFonts w:ascii="Verdana" w:hAnsi="Verdana"/>
          <w:sz w:val="20"/>
          <w:szCs w:val="20"/>
        </w:rPr>
        <w:t xml:space="preserve">El Estado ofreció </w:t>
      </w:r>
      <w:r w:rsidR="00F22787" w:rsidRPr="00DB00E7">
        <w:rPr>
          <w:rFonts w:ascii="Verdana" w:hAnsi="Verdana"/>
          <w:sz w:val="20"/>
          <w:szCs w:val="20"/>
        </w:rPr>
        <w:t>la declaración de un perito</w:t>
      </w:r>
      <w:r w:rsidR="001D5A5F" w:rsidRPr="00DB00E7">
        <w:rPr>
          <w:rFonts w:ascii="Verdana" w:hAnsi="Verdana"/>
          <w:sz w:val="20"/>
          <w:szCs w:val="20"/>
        </w:rPr>
        <w:t xml:space="preserve">. </w:t>
      </w:r>
    </w:p>
    <w:p w14:paraId="60EF1D92" w14:textId="455D984D" w:rsidR="00390A3D" w:rsidRPr="00DB00E7" w:rsidRDefault="00135570" w:rsidP="00DB00E7">
      <w:pPr>
        <w:pStyle w:val="Normal1"/>
        <w:widowControl/>
        <w:numPr>
          <w:ilvl w:val="0"/>
          <w:numId w:val="2"/>
        </w:numPr>
        <w:tabs>
          <w:tab w:val="left" w:pos="567"/>
        </w:tabs>
        <w:spacing w:before="120" w:after="120"/>
        <w:ind w:left="0" w:firstLine="0"/>
        <w:jc w:val="both"/>
        <w:rPr>
          <w:rFonts w:ascii="Verdana" w:eastAsia="Verdana" w:hAnsi="Verdana" w:cs="Verdana"/>
          <w:color w:val="000000"/>
          <w:sz w:val="20"/>
          <w:szCs w:val="20"/>
        </w:rPr>
      </w:pPr>
      <w:r w:rsidRPr="00DB00E7">
        <w:rPr>
          <w:rFonts w:ascii="Verdana" w:eastAsia="Verdana" w:hAnsi="Verdana" w:cs="Verdana"/>
          <w:color w:val="000000"/>
          <w:sz w:val="20"/>
          <w:szCs w:val="20"/>
        </w:rPr>
        <w:t xml:space="preserve">La Corte garantizó a las partes y a la Comisión el derecho de defensa respecto de los ofrecimientos probatorios oportunamente </w:t>
      </w:r>
      <w:r w:rsidRPr="00DB00E7">
        <w:rPr>
          <w:rFonts w:ascii="Verdana" w:eastAsia="Verdana" w:hAnsi="Verdana" w:cs="Verdana"/>
          <w:sz w:val="20"/>
          <w:szCs w:val="20"/>
        </w:rPr>
        <w:t>realizados</w:t>
      </w:r>
      <w:r w:rsidR="00E06066" w:rsidRPr="00DB00E7">
        <w:rPr>
          <w:rFonts w:ascii="Verdana" w:eastAsia="Verdana" w:hAnsi="Verdana" w:cs="Verdana"/>
          <w:sz w:val="20"/>
          <w:szCs w:val="20"/>
        </w:rPr>
        <w:t xml:space="preserve">. </w:t>
      </w:r>
      <w:r w:rsidR="0076146A" w:rsidRPr="00DB00E7">
        <w:rPr>
          <w:rFonts w:ascii="Verdana" w:hAnsi="Verdana"/>
          <w:sz w:val="20"/>
          <w:szCs w:val="20"/>
        </w:rPr>
        <w:t>El</w:t>
      </w:r>
      <w:r w:rsidRPr="00DB00E7">
        <w:rPr>
          <w:rFonts w:ascii="Verdana" w:hAnsi="Verdana"/>
          <w:sz w:val="20"/>
          <w:szCs w:val="20"/>
        </w:rPr>
        <w:t xml:space="preserve"> Estado </w:t>
      </w:r>
      <w:r w:rsidR="00DB00E7" w:rsidRPr="00DB00E7">
        <w:rPr>
          <w:rFonts w:ascii="Verdana" w:hAnsi="Verdana"/>
          <w:sz w:val="20"/>
          <w:szCs w:val="20"/>
        </w:rPr>
        <w:t xml:space="preserve">presentó diversas objeciones respecto a las declaraciones ofrecidas por los representantes y el peritaje ofrecido por la Comisión. </w:t>
      </w:r>
      <w:r w:rsidR="006D07E5" w:rsidRPr="00DB00E7">
        <w:rPr>
          <w:rFonts w:ascii="Verdana" w:hAnsi="Verdana"/>
          <w:sz w:val="20"/>
          <w:szCs w:val="20"/>
        </w:rPr>
        <w:t>Los representantes presentaron una recusación contra el perito Álvaro Paúl Díaz</w:t>
      </w:r>
      <w:r w:rsidR="00993836" w:rsidRPr="00DB00E7">
        <w:rPr>
          <w:rFonts w:ascii="Verdana" w:hAnsi="Verdana"/>
          <w:sz w:val="20"/>
          <w:szCs w:val="20"/>
        </w:rPr>
        <w:t xml:space="preserve">, ofrecido por </w:t>
      </w:r>
      <w:r w:rsidR="00370C11">
        <w:rPr>
          <w:rFonts w:ascii="Verdana" w:hAnsi="Verdana"/>
          <w:sz w:val="20"/>
          <w:szCs w:val="20"/>
        </w:rPr>
        <w:t>el Estado</w:t>
      </w:r>
      <w:r w:rsidR="00993836" w:rsidRPr="00DB00E7">
        <w:rPr>
          <w:rFonts w:ascii="Verdana" w:hAnsi="Verdana"/>
          <w:sz w:val="20"/>
          <w:szCs w:val="20"/>
        </w:rPr>
        <w:t xml:space="preserve">. </w:t>
      </w:r>
    </w:p>
    <w:p w14:paraId="5EA16F15" w14:textId="542ABA6F" w:rsidR="00390A3D" w:rsidRPr="00DB00E7" w:rsidRDefault="00135570" w:rsidP="00390A3D">
      <w:pPr>
        <w:pStyle w:val="Normal1"/>
        <w:widowControl/>
        <w:numPr>
          <w:ilvl w:val="0"/>
          <w:numId w:val="2"/>
        </w:numPr>
        <w:tabs>
          <w:tab w:val="left" w:pos="567"/>
        </w:tabs>
        <w:spacing w:before="120" w:after="120"/>
        <w:ind w:left="0" w:firstLine="0"/>
        <w:jc w:val="both"/>
        <w:rPr>
          <w:rFonts w:ascii="Verdana" w:eastAsia="Verdana" w:hAnsi="Verdana" w:cs="Verdana"/>
          <w:color w:val="000000"/>
          <w:sz w:val="20"/>
          <w:szCs w:val="20"/>
        </w:rPr>
      </w:pPr>
      <w:r w:rsidRPr="00DB00E7">
        <w:rPr>
          <w:rFonts w:ascii="Verdana" w:hAnsi="Verdana"/>
          <w:sz w:val="20"/>
          <w:szCs w:val="20"/>
        </w:rPr>
        <w:t xml:space="preserve">A continuación, el </w:t>
      </w:r>
      <w:proofErr w:type="gramStart"/>
      <w:r w:rsidRPr="00DB00E7">
        <w:rPr>
          <w:rFonts w:ascii="Verdana" w:hAnsi="Verdana"/>
          <w:sz w:val="20"/>
          <w:szCs w:val="20"/>
        </w:rPr>
        <w:t>Presidente</w:t>
      </w:r>
      <w:proofErr w:type="gramEnd"/>
      <w:r w:rsidRPr="00DB00E7">
        <w:rPr>
          <w:rFonts w:ascii="Verdana" w:hAnsi="Verdana"/>
          <w:sz w:val="20"/>
          <w:szCs w:val="20"/>
        </w:rPr>
        <w:t xml:space="preserve"> anali</w:t>
      </w:r>
      <w:r w:rsidR="00E11F2D" w:rsidRPr="00DB00E7">
        <w:rPr>
          <w:rFonts w:ascii="Verdana" w:hAnsi="Verdana"/>
          <w:sz w:val="20"/>
          <w:szCs w:val="20"/>
        </w:rPr>
        <w:t>zará en forma particular:</w:t>
      </w:r>
      <w:r w:rsidR="00420DA3" w:rsidRPr="00DB00E7">
        <w:rPr>
          <w:rFonts w:ascii="Verdana" w:hAnsi="Verdana"/>
          <w:sz w:val="20"/>
          <w:szCs w:val="20"/>
        </w:rPr>
        <w:t xml:space="preserve"> a</w:t>
      </w:r>
      <w:r w:rsidR="00062046" w:rsidRPr="00DB00E7">
        <w:rPr>
          <w:rFonts w:ascii="Verdana" w:hAnsi="Verdana"/>
          <w:sz w:val="20"/>
          <w:szCs w:val="20"/>
        </w:rPr>
        <w:t>)</w:t>
      </w:r>
      <w:r w:rsidR="00911316" w:rsidRPr="00DB00E7">
        <w:rPr>
          <w:rFonts w:ascii="Verdana" w:hAnsi="Verdana"/>
          <w:sz w:val="20"/>
          <w:szCs w:val="20"/>
        </w:rPr>
        <w:t xml:space="preserve"> la solicitud de audiencia de conciliación realizada por el Estado; b)</w:t>
      </w:r>
      <w:r w:rsidR="00062046" w:rsidRPr="00DB00E7">
        <w:rPr>
          <w:rFonts w:ascii="Verdana" w:hAnsi="Verdana"/>
          <w:sz w:val="20"/>
          <w:szCs w:val="20"/>
        </w:rPr>
        <w:t xml:space="preserve"> </w:t>
      </w:r>
      <w:r w:rsidR="00AF3FE0">
        <w:rPr>
          <w:rFonts w:ascii="Verdana" w:hAnsi="Verdana"/>
          <w:sz w:val="20"/>
          <w:szCs w:val="20"/>
        </w:rPr>
        <w:t>objeciones a</w:t>
      </w:r>
      <w:r w:rsidR="00390A3D" w:rsidRPr="00DB00E7">
        <w:rPr>
          <w:rFonts w:ascii="Verdana" w:hAnsi="Verdana"/>
          <w:sz w:val="20"/>
          <w:szCs w:val="20"/>
        </w:rPr>
        <w:t xml:space="preserve"> la</w:t>
      </w:r>
      <w:r w:rsidR="00DB00E7" w:rsidRPr="00DB00E7">
        <w:rPr>
          <w:rFonts w:ascii="Verdana" w:hAnsi="Verdana"/>
          <w:sz w:val="20"/>
          <w:szCs w:val="20"/>
        </w:rPr>
        <w:t>s</w:t>
      </w:r>
      <w:r w:rsidR="00995027" w:rsidRPr="00DB00E7">
        <w:rPr>
          <w:rFonts w:ascii="Verdana" w:hAnsi="Verdana"/>
          <w:sz w:val="20"/>
          <w:szCs w:val="20"/>
        </w:rPr>
        <w:t xml:space="preserve"> declaraci</w:t>
      </w:r>
      <w:r w:rsidR="00DB00E7" w:rsidRPr="00DB00E7">
        <w:rPr>
          <w:rFonts w:ascii="Verdana" w:hAnsi="Verdana"/>
          <w:sz w:val="20"/>
          <w:szCs w:val="20"/>
        </w:rPr>
        <w:t>o</w:t>
      </w:r>
      <w:r w:rsidR="00390A3D" w:rsidRPr="00DB00E7">
        <w:rPr>
          <w:rFonts w:ascii="Verdana" w:hAnsi="Verdana"/>
          <w:sz w:val="20"/>
          <w:szCs w:val="20"/>
        </w:rPr>
        <w:t>n</w:t>
      </w:r>
      <w:r w:rsidR="00DB00E7" w:rsidRPr="00DB00E7">
        <w:rPr>
          <w:rFonts w:ascii="Verdana" w:hAnsi="Verdana"/>
          <w:sz w:val="20"/>
          <w:szCs w:val="20"/>
        </w:rPr>
        <w:t>es</w:t>
      </w:r>
      <w:r w:rsidR="00390A3D" w:rsidRPr="00DB00E7">
        <w:rPr>
          <w:rFonts w:ascii="Verdana" w:hAnsi="Verdana"/>
          <w:sz w:val="20"/>
          <w:szCs w:val="20"/>
        </w:rPr>
        <w:t xml:space="preserve"> ofrecida</w:t>
      </w:r>
      <w:r w:rsidR="00DB00E7" w:rsidRPr="00DB00E7">
        <w:rPr>
          <w:rFonts w:ascii="Verdana" w:hAnsi="Verdana"/>
          <w:sz w:val="20"/>
          <w:szCs w:val="20"/>
        </w:rPr>
        <w:t>s</w:t>
      </w:r>
      <w:r w:rsidR="00995027" w:rsidRPr="00DB00E7">
        <w:rPr>
          <w:rFonts w:ascii="Verdana" w:hAnsi="Verdana"/>
          <w:sz w:val="20"/>
          <w:szCs w:val="20"/>
        </w:rPr>
        <w:t xml:space="preserve"> por los representantes; </w:t>
      </w:r>
      <w:r w:rsidR="00911316" w:rsidRPr="00DB00E7">
        <w:rPr>
          <w:rFonts w:ascii="Verdana" w:hAnsi="Verdana"/>
          <w:sz w:val="20"/>
          <w:szCs w:val="20"/>
        </w:rPr>
        <w:t>c</w:t>
      </w:r>
      <w:r w:rsidR="00062046" w:rsidRPr="00DB00E7">
        <w:rPr>
          <w:rFonts w:ascii="Verdana" w:hAnsi="Verdana"/>
          <w:sz w:val="20"/>
          <w:szCs w:val="20"/>
        </w:rPr>
        <w:t xml:space="preserve">) </w:t>
      </w:r>
      <w:r w:rsidR="00390A3D" w:rsidRPr="00DB00E7">
        <w:rPr>
          <w:rFonts w:ascii="Verdana" w:hAnsi="Verdana"/>
          <w:sz w:val="20"/>
          <w:szCs w:val="20"/>
        </w:rPr>
        <w:t xml:space="preserve">la admisibilidad de la </w:t>
      </w:r>
      <w:r w:rsidR="00685704" w:rsidRPr="00DB00E7">
        <w:rPr>
          <w:rFonts w:ascii="Verdana" w:hAnsi="Verdana"/>
          <w:sz w:val="20"/>
          <w:szCs w:val="20"/>
        </w:rPr>
        <w:t>declaración pericial ofrecida</w:t>
      </w:r>
      <w:r w:rsidR="006D07E5" w:rsidRPr="00DB00E7">
        <w:rPr>
          <w:rFonts w:ascii="Verdana" w:hAnsi="Verdana"/>
          <w:sz w:val="20"/>
          <w:szCs w:val="20"/>
        </w:rPr>
        <w:t xml:space="preserve"> por la Comisión; d) la recusación de los representantes respecto del perito ofrecido por el Estado, y </w:t>
      </w:r>
      <w:proofErr w:type="spellStart"/>
      <w:r w:rsidR="006D07E5" w:rsidRPr="00DB00E7">
        <w:rPr>
          <w:rFonts w:ascii="Verdana" w:hAnsi="Verdana"/>
          <w:sz w:val="20"/>
          <w:szCs w:val="20"/>
        </w:rPr>
        <w:t>e</w:t>
      </w:r>
      <w:proofErr w:type="spellEnd"/>
      <w:r w:rsidR="00390A3D" w:rsidRPr="00DB00E7">
        <w:rPr>
          <w:rFonts w:ascii="Verdana" w:hAnsi="Verdana"/>
          <w:sz w:val="20"/>
          <w:szCs w:val="20"/>
        </w:rPr>
        <w:t xml:space="preserve">) </w:t>
      </w:r>
      <w:r w:rsidR="00062046" w:rsidRPr="00DB00E7">
        <w:rPr>
          <w:rFonts w:ascii="Verdana" w:hAnsi="Verdana"/>
          <w:sz w:val="20"/>
          <w:szCs w:val="20"/>
        </w:rPr>
        <w:t xml:space="preserve">la solicitud de </w:t>
      </w:r>
      <w:r w:rsidR="00B018EC" w:rsidRPr="00DB00E7">
        <w:rPr>
          <w:rFonts w:ascii="Verdana" w:hAnsi="Verdana"/>
          <w:sz w:val="20"/>
          <w:szCs w:val="20"/>
        </w:rPr>
        <w:t xml:space="preserve">prueba realizada por </w:t>
      </w:r>
      <w:r w:rsidR="00062046" w:rsidRPr="00DB00E7">
        <w:rPr>
          <w:rFonts w:ascii="Verdana" w:hAnsi="Verdana"/>
          <w:sz w:val="20"/>
          <w:szCs w:val="20"/>
        </w:rPr>
        <w:t>los representantes</w:t>
      </w:r>
      <w:r w:rsidR="00390A3D" w:rsidRPr="00DB00E7">
        <w:rPr>
          <w:rFonts w:ascii="Verdana" w:hAnsi="Verdana"/>
          <w:sz w:val="20"/>
          <w:szCs w:val="20"/>
        </w:rPr>
        <w:t xml:space="preserve">. </w:t>
      </w:r>
    </w:p>
    <w:p w14:paraId="2B241B6A" w14:textId="5A9D0990" w:rsidR="003D5FA3" w:rsidRDefault="003D5FA3" w:rsidP="00BD16D8">
      <w:pPr>
        <w:pStyle w:val="Ttulo"/>
        <w:ind w:left="1134" w:hanging="567"/>
      </w:pPr>
      <w:r>
        <w:lastRenderedPageBreak/>
        <w:t>Solicitud de audiencia de conciliación realizada por el Estado</w:t>
      </w:r>
    </w:p>
    <w:p w14:paraId="25E6A448" w14:textId="095D187A" w:rsidR="001D2D5A" w:rsidRPr="00993836" w:rsidRDefault="003D5FA3" w:rsidP="001D2D5A">
      <w:pPr>
        <w:pStyle w:val="Sinespaciado"/>
        <w:tabs>
          <w:tab w:val="left" w:pos="567"/>
        </w:tabs>
        <w:spacing w:before="120" w:after="120"/>
        <w:contextualSpacing w:val="0"/>
      </w:pPr>
      <w:r w:rsidRPr="00993836">
        <w:t xml:space="preserve">El </w:t>
      </w:r>
      <w:r w:rsidRPr="00993836">
        <w:rPr>
          <w:b/>
          <w:i/>
        </w:rPr>
        <w:t xml:space="preserve">Estado </w:t>
      </w:r>
      <w:r w:rsidRPr="00993836">
        <w:t xml:space="preserve">solicitó a la Corte en su escrito de contestación que antes de conocer el “fondo de la presente causa, llame a una audiencia de conciliación para que el peticionario comparezca personalmente ante este Tribunal junto a los representantes del Estado para lograr, en audiencia convocada por la Corte para tal efecto, un acuerdo que ponga término al presente litigio”. </w:t>
      </w:r>
      <w:r w:rsidR="001D2D5A" w:rsidRPr="00993836">
        <w:t xml:space="preserve">El Estado señaló que “a) ha reparado debidamente la infracción de derechos cuyo daño fue </w:t>
      </w:r>
      <w:r w:rsidR="001D2D5A" w:rsidRPr="00993836">
        <w:rPr>
          <w:rFonts w:cs="Arial"/>
        </w:rPr>
        <w:t xml:space="preserve">el </w:t>
      </w:r>
      <w:r w:rsidR="001D2D5A" w:rsidRPr="00993836">
        <w:t xml:space="preserve">origen del presente caso; y </w:t>
      </w:r>
      <w:r w:rsidR="001D2D5A" w:rsidRPr="00993836">
        <w:rPr>
          <w:rFonts w:cs="Arial"/>
        </w:rPr>
        <w:t xml:space="preserve">(b) </w:t>
      </w:r>
      <w:r w:rsidR="001D2D5A" w:rsidRPr="00993836">
        <w:t>se muestra completamente abierto a consensuar con el peticionario todas aquellas medidas que sean requeridas para dar un cabal cumplimiento a las recomendaciones emitidas por la Comisión Interamericano de Derechos Humanos en el informe de fondo correspondiente”.</w:t>
      </w:r>
      <w:r w:rsidR="001D2D5A" w:rsidRPr="00993836">
        <w:rPr>
          <w:b/>
        </w:rPr>
        <w:t xml:space="preserve"> </w:t>
      </w:r>
    </w:p>
    <w:p w14:paraId="32089782" w14:textId="0DEE2EB9" w:rsidR="001D2D5A" w:rsidRPr="00993836" w:rsidRDefault="001D2D5A" w:rsidP="007F60B2">
      <w:pPr>
        <w:pStyle w:val="Sinespaciado"/>
        <w:tabs>
          <w:tab w:val="left" w:pos="567"/>
        </w:tabs>
        <w:spacing w:before="120" w:after="120"/>
        <w:contextualSpacing w:val="0"/>
      </w:pPr>
      <w:r w:rsidRPr="00993836">
        <w:t xml:space="preserve">Los </w:t>
      </w:r>
      <w:r w:rsidRPr="00993836">
        <w:rPr>
          <w:b/>
          <w:i/>
        </w:rPr>
        <w:t xml:space="preserve">representantes </w:t>
      </w:r>
      <w:r w:rsidRPr="00993836">
        <w:t xml:space="preserve">señalaron que la solicitud de realizar una “audiencia de conciliación no debe ser aceptada por la Corte. Esencialmente porque el Estado no puede pretender “solucionar” el caso, cuando ha desconocido, en su escrito de contestación, todas las violaciones y efectos producidos por su actuar durante 14 años”. </w:t>
      </w:r>
      <w:proofErr w:type="gramStart"/>
      <w:r w:rsidR="008A65CB">
        <w:t>Además</w:t>
      </w:r>
      <w:proofErr w:type="gramEnd"/>
      <w:r w:rsidR="008A65CB">
        <w:t xml:space="preserve"> indicó que la solicitud </w:t>
      </w:r>
      <w:r w:rsidR="000735D7">
        <w:t>“</w:t>
      </w:r>
      <w:r w:rsidRPr="00993836">
        <w:t xml:space="preserve">no tiene fundamento legal alguno en el Reglamento de la Corte”, ya que el artículo 63 del Reglamento de la Corte “lo que prevé es el supuesto de que alguna de las partes comunique “la existencia de una solución amistosa, de un avenimiento o de otro hecho idóneo para la solución del litigio”, a fin de que la Corte resuelva sobre su procedencia y efectos jurídicos. Tal solución amistosa, en el presente caso, </w:t>
      </w:r>
      <w:r w:rsidRPr="00993836">
        <w:rPr>
          <w:bCs/>
        </w:rPr>
        <w:t>no existe ni es del interés de</w:t>
      </w:r>
      <w:r w:rsidRPr="00993836">
        <w:t xml:space="preserve"> </w:t>
      </w:r>
      <w:r w:rsidRPr="00993836">
        <w:rPr>
          <w:bCs/>
        </w:rPr>
        <w:t>la víctima y sus representantes”</w:t>
      </w:r>
      <w:r w:rsidRPr="00993836">
        <w:t xml:space="preserve">. </w:t>
      </w:r>
    </w:p>
    <w:p w14:paraId="504E64CC" w14:textId="52C79BE3" w:rsidR="007F60B2" w:rsidRDefault="00EF533F" w:rsidP="007F60B2">
      <w:pPr>
        <w:pStyle w:val="Sinespaciado"/>
      </w:pPr>
      <w:r>
        <w:t>E</w:t>
      </w:r>
      <w:r w:rsidR="007F60B2">
        <w:t>l artículo 63 del Reglamento establece que “[c]</w:t>
      </w:r>
      <w:proofErr w:type="spellStart"/>
      <w:r w:rsidR="007F60B2">
        <w:t>uando</w:t>
      </w:r>
      <w:proofErr w:type="spellEnd"/>
      <w:r w:rsidR="007F60B2">
        <w:t xml:space="preserve"> la Comisión, las víctimas o presuntas víctimas o sus representantes, el Estado demandando y, en su caso, el Estado demandante, en un caso ante la Corte comunicaren a ésta la existencia de una solución amistosa, de un avenimiento o de otro hecho idóneo para la solución del litigio, la Corte resolverá en el momento procesal oportuno sobre su procedencia y sus efectos jurídicos”.</w:t>
      </w:r>
      <w:r>
        <w:t xml:space="preserve"> Esta Presidencia advierte que las partes en cualquier momento pueden llegar a un acuerdo de solución amistosa y comunicárselo a la Corte. </w:t>
      </w:r>
      <w:r w:rsidR="00FB33C3">
        <w:t>Sin embargo, no corresponde a esta Corte convocar una audiencia de conciliación, especialmente considerando que los representantes indicaron no tener interés en llegar a una solución amistosa. Por tanto, se rechaza la solitud del Estado de convocar una audiencia de conciliación.</w:t>
      </w:r>
    </w:p>
    <w:p w14:paraId="6262EB0E" w14:textId="77777777" w:rsidR="007F60B2" w:rsidRPr="003D5FA3" w:rsidRDefault="007F60B2" w:rsidP="00FB33C3">
      <w:pPr>
        <w:pStyle w:val="Sinespaciado"/>
        <w:numPr>
          <w:ilvl w:val="0"/>
          <w:numId w:val="0"/>
        </w:numPr>
      </w:pPr>
    </w:p>
    <w:p w14:paraId="20F87372" w14:textId="2639C35C" w:rsidR="00E11F2D" w:rsidRPr="00685704" w:rsidRDefault="00AF3FE0" w:rsidP="00BD16D8">
      <w:pPr>
        <w:pStyle w:val="Ttulo"/>
        <w:ind w:left="1134" w:hanging="567"/>
      </w:pPr>
      <w:r>
        <w:t xml:space="preserve">Objeciones a </w:t>
      </w:r>
      <w:r w:rsidR="00E11F2D" w:rsidRPr="00685704">
        <w:t>l</w:t>
      </w:r>
      <w:r w:rsidR="00E11F2D" w:rsidRPr="00DB00E7">
        <w:t>a</w:t>
      </w:r>
      <w:r w:rsidR="00DB00E7">
        <w:t>s</w:t>
      </w:r>
      <w:r w:rsidR="00995027" w:rsidRPr="00685704">
        <w:t xml:space="preserve"> declaraci</w:t>
      </w:r>
      <w:r w:rsidR="00DB00E7">
        <w:t>o</w:t>
      </w:r>
      <w:r w:rsidR="00390A3D" w:rsidRPr="00685704">
        <w:t>n</w:t>
      </w:r>
      <w:r w:rsidR="00DB00E7">
        <w:t>es</w:t>
      </w:r>
      <w:r w:rsidR="00390A3D" w:rsidRPr="00685704">
        <w:t xml:space="preserve"> ofrecida</w:t>
      </w:r>
      <w:r w:rsidR="00DB00E7">
        <w:t>s</w:t>
      </w:r>
      <w:r w:rsidR="00995027" w:rsidRPr="00685704">
        <w:t xml:space="preserve"> por los </w:t>
      </w:r>
      <w:r w:rsidR="00E11F2D" w:rsidRPr="00685704">
        <w:t>representantes</w:t>
      </w:r>
    </w:p>
    <w:p w14:paraId="308A65B4" w14:textId="3294BB51" w:rsidR="009B42E2" w:rsidRPr="00685704" w:rsidRDefault="00E11F2D" w:rsidP="00AF3FE0">
      <w:pPr>
        <w:pStyle w:val="Sinespaciado"/>
        <w:tabs>
          <w:tab w:val="left" w:pos="567"/>
        </w:tabs>
        <w:spacing w:before="120" w:after="120"/>
        <w:contextualSpacing w:val="0"/>
      </w:pPr>
      <w:r w:rsidRPr="00BF4DBB">
        <w:t xml:space="preserve">En su escrito de solicitudes y argumentos, los </w:t>
      </w:r>
      <w:r w:rsidRPr="00BF4DBB">
        <w:rPr>
          <w:b/>
          <w:i/>
        </w:rPr>
        <w:t>representantes</w:t>
      </w:r>
      <w:r w:rsidR="00390A3D">
        <w:t xml:space="preserve"> ofrecieron la</w:t>
      </w:r>
      <w:r w:rsidRPr="00BF4DBB">
        <w:t xml:space="preserve"> declaraci</w:t>
      </w:r>
      <w:r w:rsidR="00390A3D">
        <w:t xml:space="preserve">ón de </w:t>
      </w:r>
      <w:r w:rsidR="00775703">
        <w:t xml:space="preserve">Daniel David Urrutia </w:t>
      </w:r>
      <w:proofErr w:type="spellStart"/>
      <w:r w:rsidR="00775703">
        <w:t>Laubreaux</w:t>
      </w:r>
      <w:proofErr w:type="spellEnd"/>
      <w:r w:rsidR="00775703">
        <w:t xml:space="preserve"> y de </w:t>
      </w:r>
      <w:r w:rsidR="00390A3D">
        <w:t>Álvaro Flores Monardes</w:t>
      </w:r>
      <w:r w:rsidR="00937248" w:rsidRPr="00BF4DBB">
        <w:t xml:space="preserve">. </w:t>
      </w:r>
      <w:r w:rsidR="0034532C">
        <w:t>La</w:t>
      </w:r>
      <w:r w:rsidR="00937248" w:rsidRPr="00BF4DBB">
        <w:t xml:space="preserve"> declaraci</w:t>
      </w:r>
      <w:r w:rsidR="0034532C">
        <w:t>ón</w:t>
      </w:r>
      <w:r w:rsidR="00937248" w:rsidRPr="00BF4DBB">
        <w:t xml:space="preserve"> </w:t>
      </w:r>
      <w:r w:rsidR="00775703">
        <w:t xml:space="preserve">del señor Urrutia </w:t>
      </w:r>
      <w:proofErr w:type="spellStart"/>
      <w:r w:rsidR="00775703">
        <w:t>Laubreaux</w:t>
      </w:r>
      <w:proofErr w:type="spellEnd"/>
      <w:r w:rsidR="00775703">
        <w:t xml:space="preserve"> versaría sobre “la situación que ha experimentado del 2005 a la fecha, con motivo de los diversos procesos disciplinarios instruidos en su contra, y como los mismos han obstaculizado su autonomía e independencia, y labor judicial en Chile”. </w:t>
      </w:r>
      <w:r w:rsidR="00AF3FE0">
        <w:t xml:space="preserve">Por otro lado, la declaración del señor Flores Monardes </w:t>
      </w:r>
      <w:r w:rsidR="0034532C">
        <w:t>versaría</w:t>
      </w:r>
      <w:r w:rsidR="00937248" w:rsidRPr="00BF4DBB">
        <w:t xml:space="preserve"> sobre “</w:t>
      </w:r>
      <w:r w:rsidR="0034532C">
        <w:t xml:space="preserve">el contexto de hostigamiento al interior del Poder Judicial en Chile, a través del régimen disciplinario, en contra de juezas y jueces, y los obstáculos que ello supone para la autonomía e independencia judicial. En particular, se referirá a los procesos disciplinarios de los que ha sido objeto el juez Urrutia </w:t>
      </w:r>
      <w:proofErr w:type="spellStart"/>
      <w:r w:rsidR="0034532C">
        <w:t>Laubreaux</w:t>
      </w:r>
      <w:proofErr w:type="spellEnd"/>
      <w:r w:rsidR="00937248" w:rsidRPr="00BF4DBB">
        <w:t>”.</w:t>
      </w:r>
      <w:r w:rsidR="00937248" w:rsidRPr="00AF3FE0">
        <w:rPr>
          <w:b/>
        </w:rPr>
        <w:t xml:space="preserve"> </w:t>
      </w:r>
      <w:r w:rsidR="00937248" w:rsidRPr="00BF4DBB">
        <w:t xml:space="preserve">El </w:t>
      </w:r>
      <w:r w:rsidR="00937248" w:rsidRPr="00AF3FE0">
        <w:rPr>
          <w:b/>
          <w:i/>
        </w:rPr>
        <w:t>Estado</w:t>
      </w:r>
      <w:r w:rsidR="00AF3FE0">
        <w:t xml:space="preserve"> objetó las declaraciones</w:t>
      </w:r>
      <w:r w:rsidR="00937248" w:rsidRPr="00BF4DBB">
        <w:t xml:space="preserve"> </w:t>
      </w:r>
      <w:r w:rsidR="00390A3D">
        <w:t xml:space="preserve">indicando que “exceden el marco fáctico del caso”. </w:t>
      </w:r>
      <w:r w:rsidR="00AF3FE0">
        <w:t xml:space="preserve">El Estado </w:t>
      </w:r>
      <w:r w:rsidR="00AF4BA4">
        <w:t xml:space="preserve">indicó que “acepta que el juez Urrutia comparezca y declare como testigo en la audiencia pública sólo en cuanto sus declaraciones se refieran únicamente al objeto litis del caso, esto es al “proceso disciplinario que culminó con una sanción de censura, después reducida a </w:t>
      </w:r>
      <w:r w:rsidR="000735D7">
        <w:t>amonestación</w:t>
      </w:r>
      <w:r w:rsidR="00AF4BA4">
        <w:t xml:space="preserve"> privada [en su contra] por remitir un trabajo académico a la Corte Suprema de Justicia, criticando sus actuaciones durante el régimen militar chileno”. Por otra parte, el Estado solicitó que se rechace la declaración del señor Álvaro Flores Monardes</w:t>
      </w:r>
      <w:r w:rsidR="00AF4BA4" w:rsidRPr="00BF4DBB">
        <w:t>.</w:t>
      </w:r>
    </w:p>
    <w:p w14:paraId="02B43BA5" w14:textId="70B597D3" w:rsidR="00685704" w:rsidRPr="006C57FA" w:rsidRDefault="00A255AE" w:rsidP="006C57FA">
      <w:pPr>
        <w:pStyle w:val="Sinespaciado"/>
        <w:tabs>
          <w:tab w:val="left" w:pos="567"/>
        </w:tabs>
        <w:spacing w:before="120" w:after="120"/>
        <w:contextualSpacing w:val="0"/>
        <w:rPr>
          <w:bCs/>
          <w:iCs/>
        </w:rPr>
      </w:pPr>
      <w:r>
        <w:rPr>
          <w:bCs/>
          <w:iCs/>
        </w:rPr>
        <w:t xml:space="preserve">Esta Presidencia advierte que el Estado no objeta la admisión de la declaración de la presunta víctima. </w:t>
      </w:r>
      <w:r w:rsidR="000735D7">
        <w:rPr>
          <w:bCs/>
          <w:iCs/>
        </w:rPr>
        <w:t xml:space="preserve">Las objeciones del Estado se refieren a que los objetos de las declaraciones </w:t>
      </w:r>
      <w:r>
        <w:rPr>
          <w:bCs/>
          <w:iCs/>
        </w:rPr>
        <w:lastRenderedPageBreak/>
        <w:t xml:space="preserve">de la presunta víctima y del señor Flores Monardes </w:t>
      </w:r>
      <w:r w:rsidR="000735D7">
        <w:rPr>
          <w:bCs/>
          <w:iCs/>
        </w:rPr>
        <w:t>excederían al marco fáctico del caso. L</w:t>
      </w:r>
      <w:r w:rsidR="00AF4BA4">
        <w:rPr>
          <w:bCs/>
          <w:iCs/>
        </w:rPr>
        <w:t xml:space="preserve">a Corte se pronunciará sobre </w:t>
      </w:r>
      <w:r w:rsidR="000735D7">
        <w:rPr>
          <w:bCs/>
          <w:iCs/>
        </w:rPr>
        <w:t>e</w:t>
      </w:r>
      <w:r w:rsidR="00AF4BA4">
        <w:rPr>
          <w:bCs/>
          <w:iCs/>
        </w:rPr>
        <w:t>l marco fáctico en el momento procesal oportuno.</w:t>
      </w:r>
      <w:r w:rsidR="002D6EE6">
        <w:rPr>
          <w:bCs/>
          <w:iCs/>
        </w:rPr>
        <w:t xml:space="preserve"> </w:t>
      </w:r>
      <w:r w:rsidR="00002421">
        <w:rPr>
          <w:bCs/>
          <w:iCs/>
        </w:rPr>
        <w:t>Por tanto,</w:t>
      </w:r>
      <w:r w:rsidR="00370C11">
        <w:rPr>
          <w:bCs/>
          <w:iCs/>
        </w:rPr>
        <w:t xml:space="preserve"> el </w:t>
      </w:r>
      <w:proofErr w:type="gramStart"/>
      <w:r w:rsidR="00370C11">
        <w:rPr>
          <w:bCs/>
          <w:iCs/>
        </w:rPr>
        <w:t>Presidente</w:t>
      </w:r>
      <w:proofErr w:type="gramEnd"/>
      <w:r w:rsidR="00370C11">
        <w:rPr>
          <w:bCs/>
          <w:iCs/>
        </w:rPr>
        <w:t xml:space="preserve"> considera</w:t>
      </w:r>
      <w:r w:rsidR="00103FA6">
        <w:rPr>
          <w:bCs/>
          <w:iCs/>
        </w:rPr>
        <w:t xml:space="preserve"> </w:t>
      </w:r>
      <w:r w:rsidR="006C57FA">
        <w:rPr>
          <w:bCs/>
          <w:iCs/>
        </w:rPr>
        <w:t xml:space="preserve">útil recibir </w:t>
      </w:r>
      <w:r w:rsidR="00002421">
        <w:rPr>
          <w:bCs/>
          <w:iCs/>
        </w:rPr>
        <w:t>las declaraciones de la presunta víctima y del señor Flores Monardes</w:t>
      </w:r>
      <w:r w:rsidR="006C57FA">
        <w:rPr>
          <w:bCs/>
          <w:iCs/>
        </w:rPr>
        <w:t xml:space="preserve">. </w:t>
      </w:r>
      <w:r w:rsidR="00685704" w:rsidRPr="006C57FA">
        <w:rPr>
          <w:bCs/>
          <w:iCs/>
        </w:rPr>
        <w:t>Los objetos y modalidades</w:t>
      </w:r>
      <w:r>
        <w:rPr>
          <w:bCs/>
          <w:iCs/>
        </w:rPr>
        <w:t xml:space="preserve"> de dichas declaraciones</w:t>
      </w:r>
      <w:r w:rsidR="00685704" w:rsidRPr="006C57FA">
        <w:rPr>
          <w:bCs/>
          <w:iCs/>
        </w:rPr>
        <w:t xml:space="preserve"> serán determinados en la parte resolutiva de la presente Resolución.   </w:t>
      </w:r>
    </w:p>
    <w:p w14:paraId="3852B4BE" w14:textId="5CB5C9AE" w:rsidR="006D07E5" w:rsidRDefault="006D07E5" w:rsidP="005E7FC9">
      <w:pPr>
        <w:pStyle w:val="Ttulo1"/>
        <w:jc w:val="both"/>
      </w:pPr>
      <w:r>
        <w:t>Recusación de los representantes respecto del perito ofrecido por el Estado</w:t>
      </w:r>
    </w:p>
    <w:p w14:paraId="27DD8F6D" w14:textId="0EE2EF91" w:rsidR="00661706" w:rsidRDefault="0089335C" w:rsidP="00370C11">
      <w:pPr>
        <w:pStyle w:val="Sinespaciado"/>
        <w:tabs>
          <w:tab w:val="left" w:pos="567"/>
        </w:tabs>
        <w:spacing w:before="120" w:after="120"/>
        <w:contextualSpacing w:val="0"/>
      </w:pPr>
      <w:r>
        <w:t xml:space="preserve">El </w:t>
      </w:r>
      <w:r w:rsidRPr="00085015">
        <w:rPr>
          <w:b/>
          <w:i/>
        </w:rPr>
        <w:t>Estado</w:t>
      </w:r>
      <w:r>
        <w:t xml:space="preserve"> ofreció</w:t>
      </w:r>
      <w:r w:rsidR="00085015">
        <w:t xml:space="preserve"> el dictamen pericial </w:t>
      </w:r>
      <w:r>
        <w:t>de Álvaro Paúl Díaz, el cual versaría sobre “</w:t>
      </w:r>
      <w:r w:rsidR="00AF0D00">
        <w:t>las normas reglamentarias y la jurisprudencia de la Corte IDH en relación con la determinación del marco fáctico de un caso contencioso”.</w:t>
      </w:r>
      <w:r w:rsidR="00085015">
        <w:t xml:space="preserve"> </w:t>
      </w:r>
    </w:p>
    <w:p w14:paraId="1CEF0C16" w14:textId="24628BC3" w:rsidR="009B641D" w:rsidRDefault="00AF0D00" w:rsidP="00370C11">
      <w:pPr>
        <w:pStyle w:val="Sinespaciado"/>
        <w:tabs>
          <w:tab w:val="left" w:pos="567"/>
        </w:tabs>
        <w:spacing w:before="120" w:after="120"/>
        <w:contextualSpacing w:val="0"/>
      </w:pPr>
      <w:r w:rsidRPr="00534567">
        <w:t xml:space="preserve">Los </w:t>
      </w:r>
      <w:r w:rsidRPr="00534567">
        <w:rPr>
          <w:b/>
          <w:i/>
        </w:rPr>
        <w:t>representantes</w:t>
      </w:r>
      <w:r w:rsidRPr="00534567">
        <w:t xml:space="preserve"> </w:t>
      </w:r>
      <w:r w:rsidR="009B641D">
        <w:t xml:space="preserve">indicaron que el </w:t>
      </w:r>
      <w:r w:rsidR="00661706" w:rsidRPr="00534567">
        <w:t xml:space="preserve">perito </w:t>
      </w:r>
      <w:r w:rsidR="000D522D">
        <w:t>carece de conocimientos</w:t>
      </w:r>
      <w:r w:rsidR="0072239A">
        <w:t xml:space="preserve"> científicos o prácticos </w:t>
      </w:r>
      <w:r w:rsidR="005C538A">
        <w:t>pues</w:t>
      </w:r>
      <w:r w:rsidR="0072239A">
        <w:t xml:space="preserve"> en su hoja de vida “no se acreditan los conocimientos o experiencia que se requieren, de acuerdo al Reglamento”</w:t>
      </w:r>
      <w:r w:rsidR="005E7FC9">
        <w:t>,</w:t>
      </w:r>
      <w:r w:rsidR="009B641D">
        <w:t xml:space="preserve"> sobre el objeto de su peritaje. Al respecto</w:t>
      </w:r>
      <w:r w:rsidR="005E7FC9">
        <w:t>,</w:t>
      </w:r>
      <w:r w:rsidR="009B641D">
        <w:t xml:space="preserve"> solicitaron a la Corte que</w:t>
      </w:r>
      <w:r w:rsidR="009B641D" w:rsidRPr="009B641D">
        <w:t xml:space="preserve"> informara las labores realizadas por el señor Paúl </w:t>
      </w:r>
      <w:r w:rsidR="009B641D">
        <w:t xml:space="preserve">cuando </w:t>
      </w:r>
      <w:r w:rsidR="009B641D" w:rsidRPr="009B641D">
        <w:t>fue visitante pro</w:t>
      </w:r>
      <w:r w:rsidR="00F75DF2">
        <w:t>f</w:t>
      </w:r>
      <w:r w:rsidR="009B641D" w:rsidRPr="009B641D">
        <w:t>esional</w:t>
      </w:r>
      <w:r w:rsidR="009B641D">
        <w:t xml:space="preserve"> en la Secretaría de la Corte, y que solicitara a la Comisión un informe sobre las </w:t>
      </w:r>
      <w:r w:rsidR="009B641D" w:rsidRPr="009B641D">
        <w:t xml:space="preserve">labores realizadas por el señor Paúl </w:t>
      </w:r>
      <w:r w:rsidR="009B641D">
        <w:t xml:space="preserve">cuando </w:t>
      </w:r>
      <w:r w:rsidR="009B641D" w:rsidRPr="009B641D">
        <w:t>fue visitante pro</w:t>
      </w:r>
      <w:r w:rsidR="00A255AE">
        <w:t>f</w:t>
      </w:r>
      <w:r w:rsidR="009B641D" w:rsidRPr="009B641D">
        <w:t>esional</w:t>
      </w:r>
      <w:r w:rsidR="009B641D">
        <w:t xml:space="preserve"> en la Secretaría de la Comisión. Esto con el objetivo de determinar si durante estas estadías trabajó en temas relacionados con el objeto de la </w:t>
      </w:r>
      <w:r w:rsidR="009B641D" w:rsidRPr="002F4B17">
        <w:t>declaración.</w:t>
      </w:r>
      <w:r w:rsidR="002F4B17" w:rsidRPr="002F4B17">
        <w:t xml:space="preserve"> Por otra parte, requirieron a la Corte que solicitara un informe sobre si el señor Paúl Díaz </w:t>
      </w:r>
      <w:r w:rsidR="002F4B17" w:rsidRPr="002F4B17">
        <w:rPr>
          <w:rFonts w:cs="Garamond"/>
        </w:rPr>
        <w:t>intervino o estuvo involucrado con el presente caso mientras fue visitante profesional en la Secretaría de la Comisión.</w:t>
      </w:r>
    </w:p>
    <w:p w14:paraId="7F585A07" w14:textId="395F93D7" w:rsidR="00FE4043" w:rsidRPr="00FE4043" w:rsidRDefault="002F4B17" w:rsidP="00370C11">
      <w:pPr>
        <w:pStyle w:val="Sinespaciado"/>
        <w:tabs>
          <w:tab w:val="left" w:pos="567"/>
        </w:tabs>
        <w:spacing w:before="120" w:after="120"/>
        <w:contextualSpacing w:val="0"/>
      </w:pPr>
      <w:r>
        <w:t xml:space="preserve">Adicionalmente, los representantes indicaron que existe </w:t>
      </w:r>
      <w:r w:rsidRPr="00534567">
        <w:t xml:space="preserve">una “vinculación estrecha” entre el Estado y el señor </w:t>
      </w:r>
      <w:r>
        <w:t xml:space="preserve">Paúl </w:t>
      </w:r>
      <w:r w:rsidRPr="00534567">
        <w:t>Díaz</w:t>
      </w:r>
      <w:r>
        <w:t>. Al respecto, destacaron que el señor Paúl Díaz</w:t>
      </w:r>
      <w:r w:rsidR="003E7CEF">
        <w:t xml:space="preserve"> </w:t>
      </w:r>
      <w:r w:rsidR="00534567" w:rsidRPr="00534567">
        <w:t>labora como profesor en la misma universidad que un</w:t>
      </w:r>
      <w:r w:rsidR="00C10F86" w:rsidRPr="00534567">
        <w:t xml:space="preserve"> agente</w:t>
      </w:r>
      <w:r w:rsidR="00534567" w:rsidRPr="00534567">
        <w:t xml:space="preserve"> del Estado designado para el caso y que</w:t>
      </w:r>
      <w:r w:rsidR="00C10F86">
        <w:t xml:space="preserve"> ambos</w:t>
      </w:r>
      <w:r w:rsidR="00534567" w:rsidRPr="00534567">
        <w:t xml:space="preserve"> “han </w:t>
      </w:r>
      <w:r w:rsidR="00534567" w:rsidRPr="003E7CEF">
        <w:rPr>
          <w:rFonts w:cs="Arial"/>
        </w:rPr>
        <w:t>participado en actividades conjuntas, comparten creencias religiosa</w:t>
      </w:r>
      <w:r w:rsidR="003E7CEF">
        <w:rPr>
          <w:rFonts w:cs="Arial"/>
        </w:rPr>
        <w:t>s y firman opiniones conjuntas.</w:t>
      </w:r>
      <w:r w:rsidR="00534567" w:rsidRPr="003E7CEF">
        <w:rPr>
          <w:rFonts w:cs="Arial"/>
        </w:rPr>
        <w:t xml:space="preserve"> </w:t>
      </w:r>
      <w:r w:rsidR="003E7CEF" w:rsidRPr="003E7CEF">
        <w:rPr>
          <w:rFonts w:cs="Arial"/>
        </w:rPr>
        <w:t>Indicaron que “</w:t>
      </w:r>
      <w:r w:rsidR="003E7CEF" w:rsidRPr="003E7CEF">
        <w:rPr>
          <w:rFonts w:cs="Garamond"/>
        </w:rPr>
        <w:t xml:space="preserve">son de público conocimiento las opiniones del señor Paúl respecto de las limitaciones que debieran imponerse tanto a la Comisión como a la Corte, a través del principio de subsidiariedad. En este sentido, el Estado, en la página 28 de su escrito de contestación, ha citado las opiniones del señor Paúl sobre el tema. Esto nos hace pensar que, justo por el vínculo entre los señores Paúl y </w:t>
      </w:r>
      <w:r w:rsidR="00FE4043">
        <w:rPr>
          <w:rFonts w:cs="Garamond"/>
        </w:rPr>
        <w:t xml:space="preserve">[Gonzalo </w:t>
      </w:r>
      <w:r w:rsidR="003E7CEF" w:rsidRPr="003E7CEF">
        <w:rPr>
          <w:rFonts w:cs="Garamond"/>
        </w:rPr>
        <w:t>Candia</w:t>
      </w:r>
      <w:r w:rsidR="00FE4043">
        <w:rPr>
          <w:rFonts w:cs="Garamond"/>
        </w:rPr>
        <w:t xml:space="preserve"> Falcón]</w:t>
      </w:r>
      <w:r w:rsidR="003E7CEF" w:rsidRPr="003E7CEF">
        <w:rPr>
          <w:rFonts w:cs="Garamond"/>
        </w:rPr>
        <w:t>, pudiera comprometerse la imparcialidad requerida en el Reglamento de la Corte, a quienes actúan como peritos en un caso contencioso”.</w:t>
      </w:r>
      <w:r w:rsidR="00FE4043">
        <w:rPr>
          <w:rFonts w:cs="Garamond"/>
        </w:rPr>
        <w:t xml:space="preserve"> </w:t>
      </w:r>
      <w:r w:rsidR="005E7FC9">
        <w:rPr>
          <w:rFonts w:cs="Garamond"/>
        </w:rPr>
        <w:t>S</w:t>
      </w:r>
      <w:r w:rsidR="00FE4043">
        <w:rPr>
          <w:rFonts w:cs="Garamond"/>
        </w:rPr>
        <w:t xml:space="preserve">olicitaron a la Corte que solicite al Estado </w:t>
      </w:r>
      <w:r w:rsidR="00FE4043">
        <w:t xml:space="preserve">“la presentación de una declaración jurada por parte de la Pontificia Universidad Católica de Chile, en la cual se establezca que el señor Paúl no ha participado ni participa, de forma directa o indirecta, en algún proyecto con el Estado, en particular con los Ministerios de Justicia y Derechos Humanos y de Relaciones Exteriores, a fin de verificar la posible afectación a su </w:t>
      </w:r>
      <w:r w:rsidR="00FE4043" w:rsidRPr="00FE4043">
        <w:t>imparcialidad mediante una subordinación funcional”.</w:t>
      </w:r>
    </w:p>
    <w:p w14:paraId="750C6338" w14:textId="68C85EDE" w:rsidR="00085015" w:rsidRPr="004764DA" w:rsidRDefault="00FE4043" w:rsidP="00370C11">
      <w:pPr>
        <w:pStyle w:val="Sinespaciado"/>
        <w:tabs>
          <w:tab w:val="left" w:pos="567"/>
        </w:tabs>
        <w:spacing w:before="120" w:after="120"/>
        <w:contextualSpacing w:val="0"/>
      </w:pPr>
      <w:r w:rsidRPr="00FE4043">
        <w:t xml:space="preserve">Por último, indicaron que es </w:t>
      </w:r>
      <w:r>
        <w:t>“</w:t>
      </w:r>
      <w:r w:rsidRPr="00FE4043">
        <w:rPr>
          <w:rFonts w:cs="Garamond"/>
        </w:rPr>
        <w:t>de público conocimiento que el señor Paúl considera que la Corte comete “excesos” en sus funciones</w:t>
      </w:r>
      <w:r>
        <w:rPr>
          <w:rFonts w:cs="Garamond"/>
        </w:rPr>
        <w:t>”</w:t>
      </w:r>
      <w:r w:rsidR="004764DA">
        <w:rPr>
          <w:rFonts w:cs="Garamond"/>
        </w:rPr>
        <w:t xml:space="preserve"> y que ha cuestionado a la Comisión Interamericana. </w:t>
      </w:r>
      <w:r w:rsidR="004764DA">
        <w:t>“Lo anterior, hace suponer a esta representación una parcialidad en su peritaje, respecto de los órganos del sistema, en clara afectación al presente caso, por lo que no debiera aceptarse el mismo”.</w:t>
      </w:r>
    </w:p>
    <w:p w14:paraId="579F1813" w14:textId="38D2AD5B" w:rsidR="00F86FF5" w:rsidRDefault="004764DA" w:rsidP="00370C11">
      <w:pPr>
        <w:pStyle w:val="Sinespaciado"/>
        <w:tabs>
          <w:tab w:val="left" w:pos="567"/>
        </w:tabs>
        <w:spacing w:before="120" w:after="120"/>
        <w:contextualSpacing w:val="0"/>
      </w:pPr>
      <w:r>
        <w:t>El</w:t>
      </w:r>
      <w:r w:rsidR="00085015" w:rsidRPr="00085015">
        <w:t xml:space="preserve"> </w:t>
      </w:r>
      <w:r>
        <w:t xml:space="preserve">señor Paúl Díaz indicó que su hoja de vida y publicaciones “muestran [su] experticia sobre la normativa y jurisprudencia en relación cuestiones procesales del sistema interamericano”, lo cual incluye conocimiento sobre la determinación del marco fáctico de un caso contencioso. </w:t>
      </w:r>
      <w:proofErr w:type="gramStart"/>
      <w:r>
        <w:t>Además</w:t>
      </w:r>
      <w:proofErr w:type="gramEnd"/>
      <w:r>
        <w:t xml:space="preserve"> indicó que “ni el reglamento ni la jurisprudencia de la Corte exigen que la experticia de los peritos sea de naturaleza práctica y no teórica”. Por otro lado, señaló que los representantes no prueban su vínculo estrecho con el Estado. Señaló que los representantes no logran “probar que el referido agente del Estado y [el] </w:t>
      </w:r>
      <w:proofErr w:type="spellStart"/>
      <w:r>
        <w:t>teng</w:t>
      </w:r>
      <w:proofErr w:type="spellEnd"/>
      <w:r>
        <w:t>[</w:t>
      </w:r>
      <w:proofErr w:type="spellStart"/>
      <w:r>
        <w:t>an</w:t>
      </w:r>
      <w:proofErr w:type="spellEnd"/>
      <w:r>
        <w:t xml:space="preserve">] una relación que va más allá de la de simples ex compañeros de trabajo”. Indicó que “incluso aunque se </w:t>
      </w:r>
      <w:r>
        <w:lastRenderedPageBreak/>
        <w:t>probara una relación estrecha entre el perito y la parte –cosa que no se hace-, no bastaría ello para recusar al perito”</w:t>
      </w:r>
      <w:r w:rsidR="00B41F2A">
        <w:t xml:space="preserve">. Por último, señaló que el alegato sobre que </w:t>
      </w:r>
      <w:proofErr w:type="gramStart"/>
      <w:r w:rsidR="00B41F2A">
        <w:t>sus críticas al actuar de diversos órganos podría</w:t>
      </w:r>
      <w:proofErr w:type="gramEnd"/>
      <w:r w:rsidR="00B41F2A">
        <w:t xml:space="preserve"> afectar su imparcialidad “padece de un error de concepto, pues la </w:t>
      </w:r>
      <w:r w:rsidR="00897F72">
        <w:t>parcialidad</w:t>
      </w:r>
      <w:r w:rsidR="00B41F2A">
        <w:t xml:space="preserve"> o falta de ella se debe dirigir hacia una de las partes, no al tribunal que falla”.</w:t>
      </w:r>
    </w:p>
    <w:p w14:paraId="38DED430" w14:textId="691AE312" w:rsidR="00A246C0" w:rsidRDefault="0015312E" w:rsidP="00A246C0">
      <w:pPr>
        <w:pStyle w:val="Sinespaciado"/>
        <w:spacing w:before="120" w:after="120"/>
        <w:contextualSpacing w:val="0"/>
      </w:pPr>
      <w:r>
        <w:t>En primer lugar, e</w:t>
      </w:r>
      <w:r w:rsidR="00C21AAF">
        <w:t>n cuanto a los alegatos de los representantes sobre la alegada parcialidad del perito, el</w:t>
      </w:r>
      <w:r w:rsidR="00993836">
        <w:t xml:space="preserve"> </w:t>
      </w:r>
      <w:proofErr w:type="gramStart"/>
      <w:r w:rsidR="00993836">
        <w:t>Presiden</w:t>
      </w:r>
      <w:r w:rsidR="00C21AAF">
        <w:t>te</w:t>
      </w:r>
      <w:proofErr w:type="gramEnd"/>
      <w:r w:rsidR="00993836">
        <w:t xml:space="preserve"> recuerda que</w:t>
      </w:r>
      <w:r w:rsidR="00534567" w:rsidRPr="00534567">
        <w:t xml:space="preserve"> para que la recusación de un perito con base en </w:t>
      </w:r>
      <w:r w:rsidR="001E410B">
        <w:t>el artículo 48.1.c</w:t>
      </w:r>
      <w:r w:rsidR="00534567" w:rsidRPr="00534567">
        <w:t xml:space="preserve"> del</w:t>
      </w:r>
      <w:r w:rsidR="00993836">
        <w:t xml:space="preserve"> Reglamento resulte procedente</w:t>
      </w:r>
      <w:r w:rsidR="00C21AAF">
        <w:t>,</w:t>
      </w:r>
      <w:r w:rsidR="00534567">
        <w:t xml:space="preserve"> </w:t>
      </w:r>
      <w:r w:rsidR="00534567" w:rsidRPr="00534567">
        <w:t xml:space="preserve">la misma está condicionada a que concurran dos supuestos: </w:t>
      </w:r>
      <w:r w:rsidR="00993836">
        <w:t xml:space="preserve">i) </w:t>
      </w:r>
      <w:r w:rsidR="00534567" w:rsidRPr="00534567">
        <w:t>la existencia de un vínculo determinado del perito con la parte proponente</w:t>
      </w:r>
      <w:r w:rsidR="00C21AAF">
        <w:t>,</w:t>
      </w:r>
      <w:r w:rsidR="00534567" w:rsidRPr="00534567">
        <w:t xml:space="preserve"> y que</w:t>
      </w:r>
      <w:r w:rsidR="00993836">
        <w:t xml:space="preserve"> </w:t>
      </w:r>
      <w:proofErr w:type="spellStart"/>
      <w:r w:rsidR="00993836">
        <w:t>ii</w:t>
      </w:r>
      <w:proofErr w:type="spellEnd"/>
      <w:r w:rsidR="00993836">
        <w:t>)</w:t>
      </w:r>
      <w:r w:rsidR="00534567" w:rsidRPr="00534567">
        <w:t xml:space="preserve"> esa relación, a criterio del Tribunal, afecte su</w:t>
      </w:r>
      <w:r w:rsidR="00534567">
        <w:t xml:space="preserve"> imparcialidad</w:t>
      </w:r>
      <w:r w:rsidR="00993836">
        <w:rPr>
          <w:rStyle w:val="Refdenotaalpie"/>
        </w:rPr>
        <w:footnoteReference w:id="1"/>
      </w:r>
      <w:r w:rsidR="00534567">
        <w:t xml:space="preserve">. </w:t>
      </w:r>
      <w:r w:rsidR="00407256">
        <w:t xml:space="preserve">El </w:t>
      </w:r>
      <w:proofErr w:type="gramStart"/>
      <w:r w:rsidR="00407256">
        <w:t>Presidente</w:t>
      </w:r>
      <w:proofErr w:type="gramEnd"/>
      <w:r w:rsidR="00407256">
        <w:t xml:space="preserve"> considera que </w:t>
      </w:r>
      <w:r w:rsidR="006D2AED">
        <w:t>el</w:t>
      </w:r>
      <w:r w:rsidR="00407256">
        <w:t xml:space="preserve"> hecho de que el</w:t>
      </w:r>
      <w:r w:rsidR="006D2AED">
        <w:t xml:space="preserve"> perito propuesto labore en la misma universidad que un agente estatal designado para el caso</w:t>
      </w:r>
      <w:r w:rsidR="001E410B">
        <w:t xml:space="preserve"> no revela, en ausencia </w:t>
      </w:r>
      <w:r w:rsidR="006D2AED">
        <w:t>de otros elementos adicionales</w:t>
      </w:r>
      <w:r w:rsidR="00AB2E23">
        <w:t xml:space="preserve"> relevantes</w:t>
      </w:r>
      <w:r w:rsidR="006D2AED">
        <w:t xml:space="preserve">, </w:t>
      </w:r>
      <w:r w:rsidR="0067246B">
        <w:t xml:space="preserve">que dicha relación en el ámbito profesional </w:t>
      </w:r>
      <w:r w:rsidR="0067246B" w:rsidRPr="0015312E">
        <w:rPr>
          <w:rFonts w:cs="Verdana"/>
        </w:rPr>
        <w:t xml:space="preserve">entrañe vínculos estrechos o </w:t>
      </w:r>
      <w:r w:rsidR="0067246B" w:rsidRPr="00AB2E23">
        <w:rPr>
          <w:rFonts w:cs="Verdana"/>
        </w:rPr>
        <w:t>relación de subordinación funcional con la parte proponente</w:t>
      </w:r>
      <w:r w:rsidR="00C21AAF" w:rsidRPr="00AB2E23">
        <w:rPr>
          <w:rFonts w:cs="Verdana"/>
        </w:rPr>
        <w:t xml:space="preserve"> que comprometa su imparcialidad</w:t>
      </w:r>
      <w:r w:rsidR="0067246B" w:rsidRPr="00AB2E23">
        <w:t>.</w:t>
      </w:r>
      <w:r w:rsidR="00FF7743" w:rsidRPr="00AB2E23">
        <w:t xml:space="preserve"> De tal forma, no existen elementos suficientes para concluir que el perito tenga un vínculo con la parte</w:t>
      </w:r>
      <w:r w:rsidR="00FF7743" w:rsidRPr="00A246C0">
        <w:t xml:space="preserve"> proponente que afecte su imparcialidad</w:t>
      </w:r>
      <w:r w:rsidR="00C21AAF" w:rsidRPr="00A246C0">
        <w:t xml:space="preserve"> de conformidad con el artículo 48.1.c del Reglamento</w:t>
      </w:r>
      <w:r w:rsidR="00FF7743" w:rsidRPr="00A246C0">
        <w:t>.</w:t>
      </w:r>
      <w:r w:rsidR="0072239A" w:rsidRPr="00A246C0">
        <w:rPr>
          <w:rFonts w:cs="Verdana"/>
        </w:rPr>
        <w:t xml:space="preserve"> </w:t>
      </w:r>
    </w:p>
    <w:p w14:paraId="515F1C8A" w14:textId="2098450A" w:rsidR="00A246C0" w:rsidRDefault="008F7689" w:rsidP="00A246C0">
      <w:pPr>
        <w:pStyle w:val="Sinespaciado"/>
        <w:spacing w:before="120" w:after="120"/>
        <w:contextualSpacing w:val="0"/>
      </w:pPr>
      <w:r w:rsidRPr="00A246C0">
        <w:t>En segundo</w:t>
      </w:r>
      <w:r w:rsidR="00A246C0" w:rsidRPr="00A246C0">
        <w:t xml:space="preserve"> lugar</w:t>
      </w:r>
      <w:r w:rsidR="001E410B" w:rsidRPr="00A246C0">
        <w:t>, e</w:t>
      </w:r>
      <w:r w:rsidR="00574E2E" w:rsidRPr="00A246C0">
        <w:t>l artículo 48.1.d</w:t>
      </w:r>
      <w:r w:rsidR="009D7203" w:rsidRPr="00A246C0">
        <w:t xml:space="preserve"> y f</w:t>
      </w:r>
      <w:r w:rsidR="00574E2E" w:rsidRPr="00A246C0">
        <w:t xml:space="preserve"> del Reglamento dispone</w:t>
      </w:r>
      <w:r w:rsidR="009D7203" w:rsidRPr="00A246C0">
        <w:t>n</w:t>
      </w:r>
      <w:r w:rsidR="00574E2E" w:rsidRPr="00A246C0">
        <w:t xml:space="preserve"> que los peritos podrán ser recusados por “ser o haber sido funcionario de la Comisión con conocimiento del caso en litigio en que se solicita su peritaje”</w:t>
      </w:r>
      <w:r w:rsidR="009D7203" w:rsidRPr="00A246C0">
        <w:t xml:space="preserve"> o por “haber intervenido con anterioridad, a cualquier título, y</w:t>
      </w:r>
      <w:r w:rsidR="009D7203">
        <w:t xml:space="preserve"> en cualquier instancia, nacional o internacional, en relación con la misma causa</w:t>
      </w:r>
      <w:r w:rsidR="00A255AE">
        <w:t>”</w:t>
      </w:r>
      <w:r w:rsidR="00574E2E">
        <w:t xml:space="preserve">. </w:t>
      </w:r>
      <w:r w:rsidR="00230275" w:rsidRPr="00230275">
        <w:t>Esta Presidencia ha constatado que de la hoja de vida del perito se</w:t>
      </w:r>
      <w:r w:rsidR="00230275">
        <w:t xml:space="preserve"> desprende que </w:t>
      </w:r>
      <w:r w:rsidR="00AB2E23">
        <w:t xml:space="preserve">su trabajo en </w:t>
      </w:r>
      <w:r w:rsidR="00230275">
        <w:t xml:space="preserve">la </w:t>
      </w:r>
      <w:r>
        <w:t xml:space="preserve">Secretaría de la </w:t>
      </w:r>
      <w:r w:rsidR="00230275">
        <w:t>Comisión Interamericana en el año 2012</w:t>
      </w:r>
      <w:r w:rsidR="00AB2E23">
        <w:t xml:space="preserve"> fue como pasante</w:t>
      </w:r>
      <w:r>
        <w:t xml:space="preserve">, por lo que no se advierte una afectación a su capacidad para rendir un peritaje. </w:t>
      </w:r>
    </w:p>
    <w:p w14:paraId="6F95DFFE" w14:textId="161AA0CF" w:rsidR="00370C11" w:rsidRDefault="00370C11" w:rsidP="00A246C0">
      <w:pPr>
        <w:pStyle w:val="Sinespaciado"/>
        <w:spacing w:before="120" w:after="120"/>
        <w:contextualSpacing w:val="0"/>
      </w:pPr>
      <w:r>
        <w:t xml:space="preserve">En tercer lugar, la Presidencia advierte que el alegato de los representantes sobre que las declaraciones críticas al sistema interamericano afectarían la imparcialidad del perito no se encuentra en ninguna de las causales de recusación establecidas por el Reglamento de la Corte. </w:t>
      </w:r>
    </w:p>
    <w:p w14:paraId="05D3210D" w14:textId="0C9D5FC3" w:rsidR="00F86FF5" w:rsidRDefault="00A246C0" w:rsidP="00A246C0">
      <w:pPr>
        <w:pStyle w:val="Sinespaciado"/>
        <w:spacing w:before="120" w:after="120"/>
        <w:contextualSpacing w:val="0"/>
      </w:pPr>
      <w:r w:rsidRPr="00A246C0">
        <w:t>P</w:t>
      </w:r>
      <w:r w:rsidR="00425F53" w:rsidRPr="00A246C0">
        <w:t>or lo anterior</w:t>
      </w:r>
      <w:r w:rsidR="0096068D" w:rsidRPr="00A246C0">
        <w:t>,</w:t>
      </w:r>
      <w:r w:rsidR="00425F53" w:rsidRPr="00A246C0">
        <w:t xml:space="preserve"> la Presidencia admite el ofrecimiento de la d</w:t>
      </w:r>
      <w:r w:rsidR="00AF1A7E" w:rsidRPr="00A246C0">
        <w:t>eclaración pericial del señor Álvaro Paúl Díaz</w:t>
      </w:r>
      <w:r w:rsidR="00425F53" w:rsidRPr="00A246C0">
        <w:t>. El objeto y su modalidad será</w:t>
      </w:r>
      <w:r w:rsidR="007F4126" w:rsidRPr="00A246C0">
        <w:t>n</w:t>
      </w:r>
      <w:r w:rsidR="00425F53" w:rsidRPr="00A246C0">
        <w:t xml:space="preserve"> </w:t>
      </w:r>
      <w:r w:rsidR="007F4126" w:rsidRPr="00A246C0">
        <w:t xml:space="preserve">determinados </w:t>
      </w:r>
      <w:r w:rsidR="00425F53" w:rsidRPr="00A246C0">
        <w:t>en la parte resolutiva de la presente Resolución.</w:t>
      </w:r>
    </w:p>
    <w:p w14:paraId="55C674F6" w14:textId="3EED7FF5" w:rsidR="00685704" w:rsidRPr="00685704" w:rsidRDefault="00685704" w:rsidP="00685704">
      <w:pPr>
        <w:pStyle w:val="Ttulo1"/>
      </w:pPr>
      <w:r>
        <w:t>Admisibilidad de la declaración pericial ofrecida por la Comisión</w:t>
      </w:r>
    </w:p>
    <w:p w14:paraId="5D0C2D6C" w14:textId="793A8649" w:rsidR="00685704" w:rsidRDefault="00685704" w:rsidP="00685704">
      <w:pPr>
        <w:pStyle w:val="Sinespaciado"/>
        <w:tabs>
          <w:tab w:val="left" w:pos="567"/>
        </w:tabs>
        <w:spacing w:before="120" w:after="120"/>
        <w:contextualSpacing w:val="0"/>
      </w:pPr>
      <w:r>
        <w:t xml:space="preserve">La </w:t>
      </w:r>
      <w:r w:rsidRPr="00685704">
        <w:rPr>
          <w:b/>
          <w:i/>
        </w:rPr>
        <w:t>Comisión</w:t>
      </w:r>
      <w:r>
        <w:t xml:space="preserve"> ofreció el dictamen pericial de Hernán Víctor </w:t>
      </w:r>
      <w:proofErr w:type="spellStart"/>
      <w:r>
        <w:t>Gullco</w:t>
      </w:r>
      <w:proofErr w:type="spellEnd"/>
      <w:r>
        <w:t xml:space="preserve"> para declarar sobre:</w:t>
      </w:r>
    </w:p>
    <w:p w14:paraId="37377AA7" w14:textId="2C79E2E8" w:rsidR="00685704" w:rsidRPr="00685704" w:rsidRDefault="00685704" w:rsidP="00685704">
      <w:pPr>
        <w:autoSpaceDE w:val="0"/>
        <w:autoSpaceDN w:val="0"/>
        <w:adjustRightInd w:val="0"/>
        <w:spacing w:after="0" w:line="240" w:lineRule="auto"/>
        <w:ind w:left="567" w:right="615"/>
        <w:jc w:val="both"/>
        <w:rPr>
          <w:rFonts w:ascii="Verdana" w:hAnsi="Verdana" w:cs="Arial"/>
          <w:color w:val="131313"/>
          <w:sz w:val="18"/>
          <w:szCs w:val="18"/>
          <w:lang w:val="es-CR"/>
        </w:rPr>
      </w:pPr>
      <w:r w:rsidRPr="00685704">
        <w:rPr>
          <w:rFonts w:ascii="Verdana" w:hAnsi="Verdana" w:cs="Arial"/>
          <w:color w:val="353535"/>
          <w:sz w:val="18"/>
          <w:szCs w:val="18"/>
          <w:lang w:val="es-CR"/>
        </w:rPr>
        <w:t>l</w:t>
      </w:r>
      <w:r w:rsidRPr="00685704">
        <w:rPr>
          <w:rFonts w:ascii="Verdana" w:hAnsi="Verdana" w:cs="Arial"/>
          <w:color w:val="131313"/>
          <w:sz w:val="18"/>
          <w:szCs w:val="18"/>
          <w:lang w:val="es-CR"/>
        </w:rPr>
        <w:t xml:space="preserve">as restricciones permisibles al derecho a la libertad de expresión de jueces, incluyendo los requisitos a ser tomados en cuenta al momento </w:t>
      </w:r>
      <w:r w:rsidRPr="00685704">
        <w:rPr>
          <w:rFonts w:ascii="Verdana" w:hAnsi="Verdana" w:cs="Arial"/>
          <w:color w:val="242424"/>
          <w:sz w:val="18"/>
          <w:szCs w:val="18"/>
          <w:lang w:val="es-CR"/>
        </w:rPr>
        <w:t xml:space="preserve">de </w:t>
      </w:r>
      <w:r w:rsidRPr="00685704">
        <w:rPr>
          <w:rFonts w:ascii="Verdana" w:hAnsi="Verdana" w:cs="Arial"/>
          <w:color w:val="131313"/>
          <w:sz w:val="18"/>
          <w:szCs w:val="18"/>
          <w:lang w:val="es-CR"/>
        </w:rPr>
        <w:t>analizar una responsab</w:t>
      </w:r>
      <w:r w:rsidRPr="00685704">
        <w:rPr>
          <w:rFonts w:ascii="Verdana" w:hAnsi="Verdana" w:cs="Arial"/>
          <w:color w:val="353535"/>
          <w:sz w:val="18"/>
          <w:szCs w:val="18"/>
          <w:lang w:val="es-CR"/>
        </w:rPr>
        <w:t>i</w:t>
      </w:r>
      <w:r w:rsidRPr="00685704">
        <w:rPr>
          <w:rFonts w:ascii="Verdana" w:hAnsi="Verdana" w:cs="Arial"/>
          <w:color w:val="131313"/>
          <w:sz w:val="18"/>
          <w:szCs w:val="18"/>
          <w:lang w:val="es-CR"/>
        </w:rPr>
        <w:t>lidad ulterior en un proceso sancionatorio como el seguido en el presente caso en el que se realizan críticas académicas al funcionamiento del Poder Judicial. Podrá aplicar su análisis a los hechos del presente caso.</w:t>
      </w:r>
    </w:p>
    <w:p w14:paraId="5583E7F9" w14:textId="1D447575" w:rsidR="00685704" w:rsidRDefault="00685704" w:rsidP="00685704">
      <w:pPr>
        <w:pStyle w:val="Sinespaciado"/>
        <w:tabs>
          <w:tab w:val="left" w:pos="567"/>
        </w:tabs>
        <w:spacing w:before="120" w:after="120"/>
        <w:contextualSpacing w:val="0"/>
      </w:pPr>
      <w:r>
        <w:t>La Comisión fundamentó el ofrecimiento de la pericia, estimando que el caso presenta cuestiones que afectan gravemente el orden público interamericano. Concretamente indicó que la Corte “podrá desarrollar y consolida</w:t>
      </w:r>
      <w:r w:rsidRPr="00685704">
        <w:rPr>
          <w:color w:val="333333"/>
        </w:rPr>
        <w:t xml:space="preserve">r </w:t>
      </w:r>
      <w:r>
        <w:t xml:space="preserve">su jurisprudencia respecto del derecho a la libertad de expresión de jueces en supuestos particulares en los que se hacen críticas al Poder Judicial con contenido de interés público. Asimismo, el caso permitirá a la Corte profundizar su jurisprudencia sobre las garantías reforzadas de legalidad y debido proceso en el marco de procesos sancionatorios contra jueces y juezas a la luz del principio de independencia judicial”. </w:t>
      </w:r>
    </w:p>
    <w:p w14:paraId="598318A5" w14:textId="4B670367" w:rsidR="00685704" w:rsidRDefault="00685704" w:rsidP="009B42E2">
      <w:pPr>
        <w:pStyle w:val="Sinespaciado"/>
        <w:tabs>
          <w:tab w:val="left" w:pos="567"/>
        </w:tabs>
        <w:spacing w:before="120" w:after="120"/>
        <w:contextualSpacing w:val="0"/>
      </w:pPr>
      <w:r>
        <w:lastRenderedPageBreak/>
        <w:t xml:space="preserve">El </w:t>
      </w:r>
      <w:r>
        <w:rPr>
          <w:b/>
          <w:i/>
        </w:rPr>
        <w:t xml:space="preserve">Estado </w:t>
      </w:r>
      <w:r w:rsidR="00A255AE">
        <w:t>indic</w:t>
      </w:r>
      <w:r w:rsidR="00103FA6">
        <w:t xml:space="preserve">ó que del “argumento expuesto por la [Comisión] no se deduce la existencia de una afectación relevante al orden público interamericano de los derechos humanos”. En particular alegó que el peritaje debe ser rechazado ya que su ofrecimiento “se funda en la necesidad de incrementar la jurisprudencia existente sobre la materia, no en la circunstancia de que el presente caso afectaría de </w:t>
      </w:r>
      <w:proofErr w:type="gramStart"/>
      <w:r w:rsidR="00103FA6">
        <w:t>forma  ̀</w:t>
      </w:r>
      <w:proofErr w:type="gramEnd"/>
      <w:r w:rsidR="00103FA6">
        <w:t xml:space="preserve">relevante ́ el orden público interamericano. Adicionalmente, en el presente caso no existen evidencias suficientes que den cuenta que el supuesto daño, originado por la infracción de derechos denunciada por los representantes […] y reparado por los tribunales nacionales, ocasione, de </w:t>
      </w:r>
      <w:proofErr w:type="gramStart"/>
      <w:r w:rsidR="00103FA6">
        <w:t>forma  ̀</w:t>
      </w:r>
      <w:proofErr w:type="gramEnd"/>
      <w:r w:rsidR="00103FA6">
        <w:t>relevante ́ una afectación del orden público interamericano de los derechos humanos”. De forma alternativa, indicó que la declaración del perit</w:t>
      </w:r>
      <w:r w:rsidR="00A255AE">
        <w:t>o resulta innecesaria, ya que sí</w:t>
      </w:r>
      <w:r w:rsidR="00103FA6">
        <w:t xml:space="preserve"> existe jurisprudencia sobre los temas discutidos en el presente caso. </w:t>
      </w:r>
    </w:p>
    <w:p w14:paraId="13956ABE" w14:textId="1D011DF7" w:rsidR="00085015" w:rsidRDefault="00685704" w:rsidP="00920702">
      <w:pPr>
        <w:pStyle w:val="Sinespaciado"/>
        <w:tabs>
          <w:tab w:val="left" w:pos="567"/>
        </w:tabs>
        <w:spacing w:before="120" w:after="120"/>
        <w:contextualSpacing w:val="0"/>
      </w:pPr>
      <w:r>
        <w:t xml:space="preserve">El </w:t>
      </w:r>
      <w:proofErr w:type="gramStart"/>
      <w:r>
        <w:t>Presidente</w:t>
      </w:r>
      <w:proofErr w:type="gramEnd"/>
      <w:r>
        <w:t xml:space="preserve"> considera que el objeto de la pericia resulta relevante para el orden público interamericano, particularmente por referirse a la libertad de expresión de jueces y la posibilidad de realizar críticas al Poder Judicial. En este sentido, trasciende a los intereses específicos de las partes en el proceso y puede, eventualmente, tener impacto sobre situaciones que se presentan en otros Estados Parte de la Convención. En consecuencia, el </w:t>
      </w:r>
      <w:proofErr w:type="gramStart"/>
      <w:r>
        <w:t>Presidente</w:t>
      </w:r>
      <w:proofErr w:type="gramEnd"/>
      <w:r>
        <w:t xml:space="preserve"> estima pertinente admitir el dictamen pericial de Hernán Víctor </w:t>
      </w:r>
      <w:proofErr w:type="spellStart"/>
      <w:r>
        <w:t>Gullco</w:t>
      </w:r>
      <w:proofErr w:type="spellEnd"/>
      <w:r>
        <w:t xml:space="preserve"> ofrecido por la Comisión, según el objeto y modalidad determinados en la parte resolutiva de la presente decisión.</w:t>
      </w:r>
    </w:p>
    <w:p w14:paraId="1C247D57" w14:textId="186C8E5B" w:rsidR="006569EB" w:rsidRDefault="006569EB" w:rsidP="006569EB">
      <w:pPr>
        <w:pStyle w:val="Ttulo"/>
        <w:ind w:hanging="501"/>
      </w:pPr>
      <w:r>
        <w:t xml:space="preserve">Solicitud de prueba realizada por los representantes </w:t>
      </w:r>
    </w:p>
    <w:p w14:paraId="4DD6E732" w14:textId="4EE75928" w:rsidR="00285346" w:rsidRPr="00285346" w:rsidRDefault="006569EB" w:rsidP="00285346">
      <w:pPr>
        <w:pStyle w:val="Sinespaciado"/>
        <w:tabs>
          <w:tab w:val="left" w:pos="567"/>
        </w:tabs>
        <w:spacing w:before="120" w:after="120"/>
        <w:contextualSpacing w:val="0"/>
      </w:pPr>
      <w:r>
        <w:t xml:space="preserve">Los </w:t>
      </w:r>
      <w:r>
        <w:rPr>
          <w:b/>
          <w:i/>
        </w:rPr>
        <w:t>representantes</w:t>
      </w:r>
      <w:r>
        <w:t xml:space="preserve"> solicitaron a la Corte</w:t>
      </w:r>
      <w:r w:rsidR="00285346">
        <w:t xml:space="preserve"> que requirie</w:t>
      </w:r>
      <w:r w:rsidR="00285346" w:rsidRPr="00285346">
        <w:t>ra de oficio la declaración testimonial de María Soledad Piñeiro Fuenzalida, Ministra de la C</w:t>
      </w:r>
      <w:r w:rsidR="00285346">
        <w:t xml:space="preserve">orte de Apelaciones de Valdivia </w:t>
      </w:r>
      <w:r w:rsidR="00285346" w:rsidRPr="00285346">
        <w:t>y actual Presidenta de la Asociación Nacional de Magistrados de Chile (2018 a la fecha), para declarar sobre “</w:t>
      </w:r>
      <w:r w:rsidR="00285346" w:rsidRPr="00285346">
        <w:rPr>
          <w:rFonts w:cs="Garamond"/>
        </w:rPr>
        <w:t>el contexto durante su período como Presidenta de la Asociación, de hostigamiento al interior del Poder Judicial en Chile, a través del régimen disciplinario, en contra de juezas y jueces y los obstáculos que ello supone para la autonomía e independencia judicial, en particular, se referirá a los procesos disciplinarios de los que ha sido objeto el juez Urrutia durante el período de su presidencia, hasta la fecha en</w:t>
      </w:r>
      <w:r w:rsidR="00285346" w:rsidRPr="00285346">
        <w:t xml:space="preserve"> </w:t>
      </w:r>
      <w:r w:rsidR="00285346" w:rsidRPr="00285346">
        <w:rPr>
          <w:rFonts w:cs="Garamond"/>
        </w:rPr>
        <w:t>que se lleve a cabo la audiencia pública en el presente caso”.</w:t>
      </w:r>
      <w:r w:rsidR="00285346">
        <w:t xml:space="preserve"> </w:t>
      </w:r>
    </w:p>
    <w:p w14:paraId="17FCAD07" w14:textId="3496B11E" w:rsidR="00285346" w:rsidRDefault="00285346" w:rsidP="00285346">
      <w:pPr>
        <w:pStyle w:val="Sinespaciado"/>
        <w:tabs>
          <w:tab w:val="left" w:pos="567"/>
        </w:tabs>
        <w:spacing w:before="120" w:after="120"/>
        <w:contextualSpacing w:val="0"/>
      </w:pPr>
      <w:r>
        <w:t>E</w:t>
      </w:r>
      <w:r w:rsidRPr="00BF4DBB">
        <w:t xml:space="preserve">l artículo 58 del Reglamento </w:t>
      </w:r>
      <w:r w:rsidR="00085015">
        <w:t xml:space="preserve">faculta a la Corte </w:t>
      </w:r>
      <w:r w:rsidRPr="00BF4DBB">
        <w:t>a “procurar de oficio toda prueba que considere útil y necesaria”.</w:t>
      </w:r>
      <w:r>
        <w:t xml:space="preserve"> Esta Presidencia no considera que sea necesario en el presente caso r</w:t>
      </w:r>
      <w:r w:rsidR="00085015">
        <w:t>ecibir la declaración testimonial</w:t>
      </w:r>
      <w:r>
        <w:t xml:space="preserve"> de María Soledad Piñeiro Fuenzalida. Por tanto, se rechaza la solicitud de los representantes. </w:t>
      </w:r>
    </w:p>
    <w:p w14:paraId="6AC0EED2" w14:textId="77777777" w:rsidR="006569EB" w:rsidRDefault="006569EB" w:rsidP="006569EB">
      <w:pPr>
        <w:pStyle w:val="Normal1"/>
        <w:widowControl/>
        <w:autoSpaceDE w:val="0"/>
        <w:autoSpaceDN w:val="0"/>
        <w:adjustRightInd w:val="0"/>
        <w:jc w:val="both"/>
        <w:rPr>
          <w:rFonts w:ascii="Verdana" w:hAnsi="Verdana"/>
          <w:sz w:val="20"/>
          <w:szCs w:val="20"/>
        </w:rPr>
      </w:pPr>
    </w:p>
    <w:p w14:paraId="0EC16071" w14:textId="77777777" w:rsidR="00135570" w:rsidRPr="00BF4DBB" w:rsidRDefault="00135570" w:rsidP="00135570">
      <w:pPr>
        <w:rPr>
          <w:rFonts w:ascii="Verdana" w:hAnsi="Verdana"/>
          <w:b/>
          <w:sz w:val="20"/>
          <w:szCs w:val="20"/>
          <w:lang w:val="es-CR"/>
        </w:rPr>
      </w:pPr>
      <w:r w:rsidRPr="00BF4DBB">
        <w:rPr>
          <w:rFonts w:ascii="Verdana" w:hAnsi="Verdana"/>
          <w:b/>
          <w:sz w:val="20"/>
          <w:szCs w:val="20"/>
          <w:lang w:val="es-CR"/>
        </w:rPr>
        <w:t>POR TANTO:</w:t>
      </w:r>
    </w:p>
    <w:p w14:paraId="2B9D7A70" w14:textId="77777777" w:rsidR="00135570" w:rsidRPr="00BF4DBB" w:rsidRDefault="00135570" w:rsidP="00135570">
      <w:pPr>
        <w:spacing w:line="240" w:lineRule="auto"/>
        <w:jc w:val="both"/>
        <w:rPr>
          <w:rFonts w:ascii="Verdana" w:hAnsi="Verdana"/>
          <w:b/>
          <w:sz w:val="20"/>
          <w:szCs w:val="20"/>
          <w:lang w:val="es-CR"/>
        </w:rPr>
      </w:pPr>
      <w:r w:rsidRPr="00BF4DBB">
        <w:rPr>
          <w:rFonts w:ascii="Verdana" w:hAnsi="Verdana"/>
          <w:b/>
          <w:sz w:val="20"/>
          <w:szCs w:val="20"/>
          <w:lang w:val="es-CR"/>
        </w:rPr>
        <w:t>EL PRESIDENTE DE LA CORTE INTERAMERICANA DE DERECHOS HUMANOS,</w:t>
      </w:r>
    </w:p>
    <w:p w14:paraId="536ED4AE" w14:textId="37303A28" w:rsidR="00135570" w:rsidRPr="00BF4DBB" w:rsidRDefault="00135570" w:rsidP="00135570">
      <w:pPr>
        <w:spacing w:line="240" w:lineRule="auto"/>
        <w:jc w:val="both"/>
        <w:rPr>
          <w:rFonts w:ascii="Verdana" w:hAnsi="Verdana"/>
          <w:sz w:val="20"/>
          <w:szCs w:val="20"/>
          <w:lang w:val="es-CR"/>
        </w:rPr>
      </w:pPr>
      <w:r w:rsidRPr="00BF4DBB">
        <w:rPr>
          <w:rFonts w:ascii="Verdana" w:hAnsi="Verdana"/>
          <w:sz w:val="20"/>
          <w:szCs w:val="20"/>
          <w:lang w:val="es-CR"/>
        </w:rPr>
        <w:t>de conformidad con el artículo 25.2 del Estatuto de la Corte y con los artículos 4, 15.1, 26.1, 31.2, 35.1, 40.2, 41.1, 46, 47,</w:t>
      </w:r>
      <w:r w:rsidR="00085015">
        <w:rPr>
          <w:rFonts w:ascii="Verdana" w:hAnsi="Verdana"/>
          <w:sz w:val="20"/>
          <w:szCs w:val="20"/>
          <w:lang w:val="es-CR"/>
        </w:rPr>
        <w:t xml:space="preserve"> 48,</w:t>
      </w:r>
      <w:r w:rsidRPr="00BF4DBB">
        <w:rPr>
          <w:rFonts w:ascii="Verdana" w:hAnsi="Verdana"/>
          <w:sz w:val="20"/>
          <w:szCs w:val="20"/>
          <w:lang w:val="es-CR"/>
        </w:rPr>
        <w:t xml:space="preserve"> 50, 53, 54, 56</w:t>
      </w:r>
      <w:r w:rsidR="00D00000" w:rsidRPr="00BF4DBB">
        <w:rPr>
          <w:rFonts w:ascii="Verdana" w:hAnsi="Verdana"/>
          <w:sz w:val="20"/>
          <w:szCs w:val="20"/>
          <w:lang w:val="es-CR"/>
        </w:rPr>
        <w:t xml:space="preserve">, </w:t>
      </w:r>
      <w:r w:rsidRPr="00BF4DBB">
        <w:rPr>
          <w:rFonts w:ascii="Verdana" w:hAnsi="Verdana"/>
          <w:sz w:val="20"/>
          <w:szCs w:val="20"/>
          <w:lang w:val="es-CR"/>
        </w:rPr>
        <w:t>y 60 del Reglamento,</w:t>
      </w:r>
    </w:p>
    <w:p w14:paraId="43D06D3F" w14:textId="0024B41D" w:rsidR="000D5AA5" w:rsidRPr="00BF4DBB" w:rsidRDefault="00135570" w:rsidP="00135570">
      <w:pPr>
        <w:spacing w:line="240" w:lineRule="auto"/>
        <w:jc w:val="both"/>
        <w:rPr>
          <w:rFonts w:ascii="Verdana" w:hAnsi="Verdana"/>
          <w:b/>
          <w:sz w:val="20"/>
          <w:szCs w:val="20"/>
          <w:lang w:val="es-CR"/>
        </w:rPr>
      </w:pPr>
      <w:r w:rsidRPr="00BF4DBB">
        <w:rPr>
          <w:rFonts w:ascii="Verdana" w:hAnsi="Verdana"/>
          <w:b/>
          <w:sz w:val="20"/>
          <w:szCs w:val="20"/>
          <w:lang w:val="es-CR"/>
        </w:rPr>
        <w:t>RESUELVE:</w:t>
      </w:r>
    </w:p>
    <w:p w14:paraId="23110F86" w14:textId="6E341EC0" w:rsidR="000D5AA5" w:rsidRPr="00BF4DBB" w:rsidRDefault="000D5AA5" w:rsidP="00A27175">
      <w:pPr>
        <w:pStyle w:val="Sinespaciado"/>
        <w:numPr>
          <w:ilvl w:val="0"/>
          <w:numId w:val="16"/>
        </w:numPr>
        <w:tabs>
          <w:tab w:val="left" w:pos="567"/>
        </w:tabs>
        <w:ind w:left="0" w:firstLine="0"/>
      </w:pPr>
      <w:r w:rsidRPr="00BF4DBB">
        <w:t xml:space="preserve">Convocar al Estado de </w:t>
      </w:r>
      <w:r w:rsidR="0034532C">
        <w:t>Chile</w:t>
      </w:r>
      <w:r w:rsidRPr="00BF4DBB">
        <w:t>, a los representantes y a la Comisión Interamericana</w:t>
      </w:r>
      <w:r w:rsidR="00A27175">
        <w:t xml:space="preserve"> </w:t>
      </w:r>
      <w:r w:rsidRPr="00BF4DBB">
        <w:t xml:space="preserve">de Derechos Humanos a una audiencia </w:t>
      </w:r>
      <w:r w:rsidRPr="00A27175">
        <w:t>pública sobre la</w:t>
      </w:r>
      <w:r w:rsidR="00A255AE">
        <w:t>s excepcio</w:t>
      </w:r>
      <w:r w:rsidRPr="00A27175">
        <w:t>n</w:t>
      </w:r>
      <w:r w:rsidR="00A255AE">
        <w:t>es</w:t>
      </w:r>
      <w:r w:rsidRPr="00A27175">
        <w:t xml:space="preserve"> preliminar</w:t>
      </w:r>
      <w:r w:rsidR="00A255AE">
        <w:t>es,</w:t>
      </w:r>
      <w:r w:rsidRPr="00A27175">
        <w:t xml:space="preserve"> y </w:t>
      </w:r>
      <w:r w:rsidRPr="00CA11FD">
        <w:t>eventuales fondo, reparaciones y costas que se celebrará el día</w:t>
      </w:r>
      <w:r w:rsidR="00CA11FD" w:rsidRPr="00CA11FD">
        <w:t xml:space="preserve"> 30 de enero </w:t>
      </w:r>
      <w:r w:rsidR="002B7552" w:rsidRPr="00CA11FD">
        <w:t>de</w:t>
      </w:r>
      <w:r w:rsidRPr="00CA11FD">
        <w:t xml:space="preserve"> 2020 a partir de las </w:t>
      </w:r>
      <w:r w:rsidR="00CA11FD" w:rsidRPr="00CA11FD">
        <w:t>15</w:t>
      </w:r>
      <w:r w:rsidRPr="00CA11FD">
        <w:t xml:space="preserve"> horas,</w:t>
      </w:r>
      <w:r w:rsidRPr="00BF4DBB">
        <w:t xml:space="preserve"> </w:t>
      </w:r>
      <w:r w:rsidRPr="00A27175">
        <w:t xml:space="preserve">durante el </w:t>
      </w:r>
      <w:r w:rsidR="002B7552" w:rsidRPr="00A27175">
        <w:t>133</w:t>
      </w:r>
      <w:r w:rsidRPr="00A27175">
        <w:t xml:space="preserve"> Período Ordinario de Sesiones, que se llevará a cabo en la sede de la Corte en la ciudad de San José, Costa Rica para recibir</w:t>
      </w:r>
      <w:r w:rsidRPr="00BF4DBB">
        <w:t xml:space="preserve"> sus alegatos y observaciones finales or</w:t>
      </w:r>
      <w:r w:rsidR="00A27175">
        <w:t>ales, respectivamente, sobre la</w:t>
      </w:r>
      <w:r w:rsidR="0034532C">
        <w:t>s</w:t>
      </w:r>
      <w:r w:rsidRPr="00BF4DBB">
        <w:t xml:space="preserve"> excepci</w:t>
      </w:r>
      <w:r w:rsidR="0034532C">
        <w:t>o</w:t>
      </w:r>
      <w:r w:rsidR="00A27175">
        <w:t>n</w:t>
      </w:r>
      <w:r w:rsidR="0034532C">
        <w:t>es</w:t>
      </w:r>
      <w:r w:rsidR="00A27175">
        <w:t xml:space="preserve"> preliminar</w:t>
      </w:r>
      <w:r w:rsidR="0034532C">
        <w:t>es</w:t>
      </w:r>
      <w:r w:rsidRPr="00BF4DBB">
        <w:t xml:space="preserve">, </w:t>
      </w:r>
      <w:r w:rsidR="00A255AE">
        <w:t xml:space="preserve">y </w:t>
      </w:r>
      <w:r w:rsidRPr="00BF4DBB">
        <w:t>eventuales fondo, rep</w:t>
      </w:r>
      <w:r w:rsidR="00A27175">
        <w:t>araciones y costas, así como la</w:t>
      </w:r>
      <w:r w:rsidRPr="00BF4DBB">
        <w:t xml:space="preserve"> declaraci</w:t>
      </w:r>
      <w:r w:rsidR="00A27175">
        <w:t>ón</w:t>
      </w:r>
      <w:r w:rsidRPr="00BF4DBB">
        <w:t xml:space="preserve"> de:</w:t>
      </w:r>
    </w:p>
    <w:p w14:paraId="343CA207" w14:textId="77777777" w:rsidR="00F50301" w:rsidRPr="00BF4DBB" w:rsidRDefault="00F50301" w:rsidP="000D5AA5">
      <w:pPr>
        <w:pStyle w:val="Sinespaciado"/>
        <w:numPr>
          <w:ilvl w:val="0"/>
          <w:numId w:val="0"/>
        </w:numPr>
      </w:pPr>
    </w:p>
    <w:p w14:paraId="16447EB4" w14:textId="69D88CBC" w:rsidR="0034532C" w:rsidRDefault="0034532C" w:rsidP="00A27175">
      <w:pPr>
        <w:pStyle w:val="Ttulo"/>
        <w:numPr>
          <w:ilvl w:val="0"/>
          <w:numId w:val="13"/>
        </w:numPr>
        <w:ind w:left="1134" w:hanging="567"/>
      </w:pPr>
      <w:r>
        <w:lastRenderedPageBreak/>
        <w:t>Presunta Víctima</w:t>
      </w:r>
    </w:p>
    <w:p w14:paraId="65F4EC4B" w14:textId="19409B6D" w:rsidR="0034532C" w:rsidRDefault="0034532C" w:rsidP="0034532C">
      <w:pPr>
        <w:autoSpaceDE w:val="0"/>
        <w:autoSpaceDN w:val="0"/>
        <w:adjustRightInd w:val="0"/>
        <w:spacing w:after="0" w:line="240" w:lineRule="auto"/>
        <w:ind w:left="567"/>
        <w:jc w:val="both"/>
        <w:rPr>
          <w:rFonts w:ascii="Verdana" w:hAnsi="Verdana" w:cs="Garamond"/>
          <w:sz w:val="20"/>
          <w:szCs w:val="20"/>
          <w:lang w:val="es-CR"/>
        </w:rPr>
      </w:pPr>
      <w:r w:rsidRPr="0034532C">
        <w:rPr>
          <w:rFonts w:ascii="Verdana" w:hAnsi="Verdana" w:cs="Garamond-Bold"/>
          <w:bCs/>
          <w:i/>
          <w:sz w:val="20"/>
          <w:szCs w:val="20"/>
          <w:lang w:val="es-CR"/>
        </w:rPr>
        <w:t xml:space="preserve">Daniel David Urrutia </w:t>
      </w:r>
      <w:proofErr w:type="spellStart"/>
      <w:r w:rsidRPr="0034532C">
        <w:rPr>
          <w:rFonts w:ascii="Verdana" w:hAnsi="Verdana" w:cs="Garamond-Bold"/>
          <w:bCs/>
          <w:i/>
          <w:sz w:val="20"/>
          <w:szCs w:val="20"/>
          <w:lang w:val="es-CR"/>
        </w:rPr>
        <w:t>Laubreaux</w:t>
      </w:r>
      <w:proofErr w:type="spellEnd"/>
      <w:r w:rsidRPr="0034532C">
        <w:rPr>
          <w:rFonts w:ascii="Verdana" w:hAnsi="Verdana" w:cs="Garamond"/>
          <w:i/>
          <w:sz w:val="20"/>
          <w:szCs w:val="20"/>
          <w:lang w:val="es-CR"/>
        </w:rPr>
        <w:t>,</w:t>
      </w:r>
      <w:r w:rsidRPr="0034532C">
        <w:rPr>
          <w:rFonts w:ascii="Verdana" w:hAnsi="Verdana" w:cs="Garamond"/>
          <w:sz w:val="20"/>
          <w:szCs w:val="20"/>
          <w:lang w:val="es-CR"/>
        </w:rPr>
        <w:t xml:space="preserve"> </w:t>
      </w:r>
      <w:r>
        <w:rPr>
          <w:rFonts w:ascii="Verdana" w:hAnsi="Verdana" w:cs="Garamond"/>
          <w:sz w:val="20"/>
          <w:szCs w:val="20"/>
          <w:lang w:val="es-CR"/>
        </w:rPr>
        <w:t xml:space="preserve">quien declarará sobre </w:t>
      </w:r>
      <w:r w:rsidRPr="0034532C">
        <w:rPr>
          <w:rFonts w:ascii="Verdana" w:hAnsi="Verdana" w:cs="Garamond"/>
          <w:sz w:val="20"/>
          <w:szCs w:val="20"/>
          <w:lang w:val="es-CR"/>
        </w:rPr>
        <w:t xml:space="preserve">la situación que ha experimentado desde el </w:t>
      </w:r>
      <w:r>
        <w:rPr>
          <w:rFonts w:ascii="Verdana" w:hAnsi="Verdana" w:cs="Garamond"/>
          <w:sz w:val="20"/>
          <w:szCs w:val="20"/>
          <w:lang w:val="es-CR"/>
        </w:rPr>
        <w:t xml:space="preserve">2005 a la fecha, con motivo de </w:t>
      </w:r>
      <w:r w:rsidRPr="0034532C">
        <w:rPr>
          <w:rFonts w:ascii="Verdana" w:hAnsi="Verdana" w:cs="Garamond"/>
          <w:sz w:val="20"/>
          <w:szCs w:val="20"/>
          <w:lang w:val="es-CR"/>
        </w:rPr>
        <w:t>los diversos procesos disciplinarios instruidos en s</w:t>
      </w:r>
      <w:r>
        <w:rPr>
          <w:rFonts w:ascii="Verdana" w:hAnsi="Verdana" w:cs="Garamond"/>
          <w:sz w:val="20"/>
          <w:szCs w:val="20"/>
          <w:lang w:val="es-CR"/>
        </w:rPr>
        <w:t xml:space="preserve">u contra, y como los mismos presuntamente han </w:t>
      </w:r>
      <w:r w:rsidRPr="0034532C">
        <w:rPr>
          <w:rFonts w:ascii="Verdana" w:hAnsi="Verdana" w:cs="Garamond"/>
          <w:sz w:val="20"/>
          <w:szCs w:val="20"/>
          <w:lang w:val="es-CR"/>
        </w:rPr>
        <w:t>obstaculizado su autonomía e independencia, y labor judicial en Chile.</w:t>
      </w:r>
    </w:p>
    <w:p w14:paraId="26F9E4AA" w14:textId="77777777" w:rsidR="00A27175" w:rsidRPr="00685704" w:rsidRDefault="00A27175" w:rsidP="00685704">
      <w:pPr>
        <w:spacing w:after="0" w:line="240" w:lineRule="auto"/>
        <w:jc w:val="both"/>
        <w:rPr>
          <w:rFonts w:ascii="Verdana" w:hAnsi="Verdana"/>
          <w:i/>
          <w:sz w:val="20"/>
          <w:szCs w:val="20"/>
          <w:lang w:val="es-CR"/>
        </w:rPr>
      </w:pPr>
    </w:p>
    <w:p w14:paraId="434D6A57" w14:textId="3D6211AA" w:rsidR="00135570" w:rsidRPr="00BF4DBB" w:rsidRDefault="00135570" w:rsidP="00253D5D">
      <w:pPr>
        <w:pStyle w:val="Sinespaciado"/>
        <w:tabs>
          <w:tab w:val="left" w:pos="567"/>
        </w:tabs>
      </w:pPr>
      <w:r w:rsidRPr="00BF4DBB">
        <w:t xml:space="preserve">Requerir, </w:t>
      </w:r>
      <w:r w:rsidR="00253D5D">
        <w:t xml:space="preserve">de conformidad con el principio de economía procesal y de la facultad que le otorga el artículo 50.1 del Reglamento de la Corte, </w:t>
      </w:r>
      <w:r w:rsidRPr="00BF4DBB">
        <w:t>que las siguientes personas presenten sus declaraciones ante fedatario público:</w:t>
      </w:r>
    </w:p>
    <w:p w14:paraId="7CC863B6" w14:textId="77777777" w:rsidR="00F65A57" w:rsidRPr="00BF4DBB" w:rsidRDefault="00F65A57" w:rsidP="000D5AA5">
      <w:pPr>
        <w:pStyle w:val="Sinespaciado"/>
        <w:numPr>
          <w:ilvl w:val="0"/>
          <w:numId w:val="0"/>
        </w:numPr>
      </w:pPr>
    </w:p>
    <w:p w14:paraId="0BF55411" w14:textId="47F4BB35" w:rsidR="00135570" w:rsidRPr="00BF4DBB" w:rsidRDefault="00253D5D" w:rsidP="00253D5D">
      <w:pPr>
        <w:pStyle w:val="Ttulo"/>
        <w:numPr>
          <w:ilvl w:val="0"/>
          <w:numId w:val="17"/>
        </w:numPr>
        <w:ind w:hanging="501"/>
      </w:pPr>
      <w:r>
        <w:t>Testigo</w:t>
      </w:r>
    </w:p>
    <w:p w14:paraId="410697C9" w14:textId="1FBF948C" w:rsidR="00135570" w:rsidRDefault="00A255AE" w:rsidP="00253D5D">
      <w:pPr>
        <w:spacing w:line="240" w:lineRule="auto"/>
        <w:ind w:firstLine="567"/>
        <w:jc w:val="both"/>
        <w:rPr>
          <w:rFonts w:ascii="Verdana" w:hAnsi="Verdana"/>
          <w:i/>
          <w:sz w:val="20"/>
          <w:szCs w:val="20"/>
          <w:lang w:val="es-CR"/>
        </w:rPr>
      </w:pPr>
      <w:r>
        <w:rPr>
          <w:rFonts w:ascii="Verdana" w:hAnsi="Verdana"/>
          <w:i/>
          <w:sz w:val="20"/>
          <w:szCs w:val="20"/>
          <w:lang w:val="es-CR"/>
        </w:rPr>
        <w:t>Propuesto por lo</w:t>
      </w:r>
      <w:r w:rsidR="00135570" w:rsidRPr="00BF4DBB">
        <w:rPr>
          <w:rFonts w:ascii="Verdana" w:hAnsi="Verdana"/>
          <w:i/>
          <w:sz w:val="20"/>
          <w:szCs w:val="20"/>
          <w:lang w:val="es-CR"/>
        </w:rPr>
        <w:t>s representantes</w:t>
      </w:r>
    </w:p>
    <w:p w14:paraId="2C4F2714" w14:textId="6F782CAE" w:rsidR="00685704" w:rsidRPr="00685704" w:rsidRDefault="00685704" w:rsidP="006569EB">
      <w:pPr>
        <w:spacing w:line="240" w:lineRule="auto"/>
        <w:ind w:left="567"/>
        <w:jc w:val="both"/>
        <w:rPr>
          <w:rFonts w:ascii="Verdana" w:hAnsi="Verdana"/>
          <w:i/>
          <w:sz w:val="20"/>
          <w:szCs w:val="20"/>
          <w:lang w:val="es-CR"/>
        </w:rPr>
      </w:pPr>
      <w:r w:rsidRPr="00685704">
        <w:rPr>
          <w:rFonts w:ascii="Verdana" w:hAnsi="Verdana"/>
          <w:i/>
          <w:sz w:val="20"/>
          <w:szCs w:val="20"/>
          <w:lang w:val="es-CR"/>
        </w:rPr>
        <w:t>Álvaro Flores Monardes,</w:t>
      </w:r>
      <w:r w:rsidRPr="00685704">
        <w:rPr>
          <w:rFonts w:ascii="Verdana" w:hAnsi="Verdana"/>
          <w:sz w:val="20"/>
          <w:szCs w:val="20"/>
          <w:lang w:val="es-CR"/>
        </w:rPr>
        <w:t xml:space="preserve"> quien declarará sobre el contexto de hostigamiento al interior del Poder Judicial en Chile, a través del régimen disciplinario, en contra de juezas y jueces, y los obstáculos que ello supone para la autonomía e independencia judicial. En particular, se referirá a los procesos disciplinarios de los que ha sido objeto el juez Urrutia </w:t>
      </w:r>
      <w:proofErr w:type="spellStart"/>
      <w:r w:rsidRPr="00685704">
        <w:rPr>
          <w:rFonts w:ascii="Verdana" w:hAnsi="Verdana"/>
          <w:sz w:val="20"/>
          <w:szCs w:val="20"/>
          <w:lang w:val="es-CR"/>
        </w:rPr>
        <w:t>Laubreaux</w:t>
      </w:r>
      <w:proofErr w:type="spellEnd"/>
      <w:r>
        <w:rPr>
          <w:rFonts w:ascii="Verdana" w:hAnsi="Verdana"/>
          <w:sz w:val="20"/>
          <w:szCs w:val="20"/>
          <w:lang w:val="es-CR"/>
        </w:rPr>
        <w:t>.</w:t>
      </w:r>
    </w:p>
    <w:p w14:paraId="6A08C372" w14:textId="47698A91" w:rsidR="00135570" w:rsidRPr="00BF4DBB" w:rsidRDefault="00BA340A" w:rsidP="00253D5D">
      <w:pPr>
        <w:pStyle w:val="Prrafodelista"/>
        <w:numPr>
          <w:ilvl w:val="0"/>
          <w:numId w:val="12"/>
        </w:numPr>
        <w:spacing w:after="0" w:line="240" w:lineRule="auto"/>
        <w:ind w:hanging="501"/>
        <w:jc w:val="both"/>
        <w:rPr>
          <w:rFonts w:ascii="Verdana" w:hAnsi="Verdana"/>
          <w:b/>
          <w:i/>
          <w:sz w:val="20"/>
          <w:szCs w:val="20"/>
          <w:lang w:val="es-CR"/>
        </w:rPr>
      </w:pPr>
      <w:r w:rsidRPr="00BF4DBB">
        <w:rPr>
          <w:rFonts w:ascii="Verdana" w:hAnsi="Verdana"/>
          <w:b/>
          <w:i/>
          <w:sz w:val="20"/>
          <w:szCs w:val="20"/>
          <w:lang w:val="es-CR"/>
        </w:rPr>
        <w:t>Perito</w:t>
      </w:r>
      <w:r w:rsidR="00685704">
        <w:rPr>
          <w:rFonts w:ascii="Verdana" w:hAnsi="Verdana"/>
          <w:b/>
          <w:i/>
          <w:sz w:val="20"/>
          <w:szCs w:val="20"/>
          <w:lang w:val="es-CR"/>
        </w:rPr>
        <w:t>s</w:t>
      </w:r>
    </w:p>
    <w:p w14:paraId="6D3ED888" w14:textId="77777777" w:rsidR="00135570" w:rsidRPr="00BF4DBB" w:rsidRDefault="00135570" w:rsidP="00135570">
      <w:pPr>
        <w:spacing w:after="0" w:line="240" w:lineRule="auto"/>
        <w:ind w:left="360"/>
        <w:jc w:val="both"/>
        <w:rPr>
          <w:rFonts w:ascii="Verdana" w:hAnsi="Verdana"/>
          <w:b/>
          <w:i/>
          <w:sz w:val="20"/>
          <w:szCs w:val="20"/>
          <w:lang w:val="es-CR"/>
        </w:rPr>
      </w:pPr>
    </w:p>
    <w:p w14:paraId="1F05DDBB" w14:textId="15299C79" w:rsidR="00135570" w:rsidRPr="00BF4DBB" w:rsidRDefault="004E649F" w:rsidP="00253D5D">
      <w:pPr>
        <w:spacing w:line="240" w:lineRule="auto"/>
        <w:ind w:left="567"/>
        <w:jc w:val="both"/>
        <w:rPr>
          <w:rFonts w:ascii="Verdana" w:hAnsi="Verdana"/>
          <w:b/>
          <w:i/>
          <w:sz w:val="20"/>
          <w:szCs w:val="20"/>
          <w:lang w:val="es-CR"/>
        </w:rPr>
      </w:pPr>
      <w:r w:rsidRPr="00BF4DBB">
        <w:rPr>
          <w:rFonts w:ascii="Verdana" w:hAnsi="Verdana"/>
          <w:i/>
          <w:sz w:val="20"/>
          <w:szCs w:val="20"/>
          <w:lang w:val="es-CR"/>
        </w:rPr>
        <w:t>Propuesto</w:t>
      </w:r>
      <w:r w:rsidR="00135570" w:rsidRPr="00BF4DBB">
        <w:rPr>
          <w:rFonts w:ascii="Verdana" w:hAnsi="Verdana"/>
          <w:i/>
          <w:sz w:val="20"/>
          <w:szCs w:val="20"/>
          <w:lang w:val="es-CR"/>
        </w:rPr>
        <w:t xml:space="preserve"> por </w:t>
      </w:r>
      <w:r w:rsidR="00685704">
        <w:rPr>
          <w:rFonts w:ascii="Verdana" w:hAnsi="Verdana"/>
          <w:i/>
          <w:sz w:val="20"/>
          <w:szCs w:val="20"/>
          <w:lang w:val="es-CR"/>
        </w:rPr>
        <w:t>el Estado</w:t>
      </w:r>
      <w:r w:rsidR="00135570" w:rsidRPr="00BF4DBB">
        <w:rPr>
          <w:rFonts w:ascii="Verdana" w:hAnsi="Verdana"/>
          <w:i/>
          <w:sz w:val="20"/>
          <w:szCs w:val="20"/>
          <w:lang w:val="es-CR"/>
        </w:rPr>
        <w:t xml:space="preserve"> </w:t>
      </w:r>
      <w:r w:rsidR="00135570" w:rsidRPr="00BF4DBB">
        <w:rPr>
          <w:rFonts w:ascii="Verdana" w:hAnsi="Verdana"/>
          <w:b/>
          <w:i/>
          <w:sz w:val="20"/>
          <w:szCs w:val="20"/>
          <w:lang w:val="es-CR"/>
        </w:rPr>
        <w:t xml:space="preserve"> </w:t>
      </w:r>
    </w:p>
    <w:p w14:paraId="6EAEE063" w14:textId="5B0321CF" w:rsidR="00685704" w:rsidRPr="00085015" w:rsidRDefault="00A255AE" w:rsidP="00161946">
      <w:pPr>
        <w:autoSpaceDE w:val="0"/>
        <w:autoSpaceDN w:val="0"/>
        <w:adjustRightInd w:val="0"/>
        <w:spacing w:after="0" w:line="240" w:lineRule="auto"/>
        <w:ind w:left="567"/>
        <w:jc w:val="both"/>
        <w:rPr>
          <w:rFonts w:ascii="Verdana" w:hAnsi="Verdana" w:cs="Arial"/>
          <w:sz w:val="20"/>
          <w:szCs w:val="20"/>
          <w:lang w:val="es-CR"/>
        </w:rPr>
      </w:pPr>
      <w:r>
        <w:rPr>
          <w:rFonts w:ascii="Verdana" w:hAnsi="Verdana"/>
          <w:i/>
          <w:sz w:val="20"/>
          <w:szCs w:val="20"/>
          <w:lang w:val="es-CR"/>
        </w:rPr>
        <w:t>Álvaro Paú</w:t>
      </w:r>
      <w:r w:rsidR="00685704" w:rsidRPr="00085015">
        <w:rPr>
          <w:rFonts w:ascii="Verdana" w:hAnsi="Verdana"/>
          <w:i/>
          <w:sz w:val="20"/>
          <w:szCs w:val="20"/>
          <w:lang w:val="es-CR"/>
        </w:rPr>
        <w:t>l</w:t>
      </w:r>
      <w:r>
        <w:rPr>
          <w:rFonts w:ascii="Verdana" w:hAnsi="Verdana"/>
          <w:i/>
          <w:sz w:val="20"/>
          <w:szCs w:val="20"/>
          <w:lang w:val="es-CR"/>
        </w:rPr>
        <w:t xml:space="preserve"> Díaz</w:t>
      </w:r>
      <w:r w:rsidR="00685704" w:rsidRPr="00085015">
        <w:rPr>
          <w:rFonts w:ascii="Verdana" w:hAnsi="Verdana"/>
          <w:i/>
          <w:sz w:val="20"/>
          <w:szCs w:val="20"/>
          <w:lang w:val="es-CR"/>
        </w:rPr>
        <w:t xml:space="preserve">, </w:t>
      </w:r>
      <w:r w:rsidR="006569EB" w:rsidRPr="00085015">
        <w:rPr>
          <w:rFonts w:ascii="Verdana" w:hAnsi="Verdana"/>
          <w:sz w:val="20"/>
          <w:szCs w:val="20"/>
          <w:lang w:val="es-CR"/>
        </w:rPr>
        <w:t xml:space="preserve">quien declarará sobre </w:t>
      </w:r>
      <w:r w:rsidR="006569EB" w:rsidRPr="00085015">
        <w:rPr>
          <w:rFonts w:ascii="Verdana" w:hAnsi="Verdana" w:cs="Arial"/>
          <w:sz w:val="20"/>
          <w:szCs w:val="20"/>
          <w:lang w:val="es-CR"/>
        </w:rPr>
        <w:t xml:space="preserve">las normas reglamentarias </w:t>
      </w:r>
      <w:r w:rsidR="006569EB" w:rsidRPr="00085015">
        <w:rPr>
          <w:rFonts w:ascii="Verdana" w:hAnsi="Verdana" w:cs="Times New Roman"/>
          <w:sz w:val="20"/>
          <w:szCs w:val="20"/>
          <w:lang w:val="es-CR"/>
        </w:rPr>
        <w:t xml:space="preserve">y </w:t>
      </w:r>
      <w:r w:rsidR="006569EB" w:rsidRPr="00085015">
        <w:rPr>
          <w:rFonts w:ascii="Verdana" w:hAnsi="Verdana" w:cs="Arial"/>
          <w:sz w:val="20"/>
          <w:szCs w:val="20"/>
          <w:lang w:val="es-CR"/>
        </w:rPr>
        <w:t>la jurisprudencia de la Corte IDH en relación con la determinación del marco fáctico de un caso contencioso.</w:t>
      </w:r>
    </w:p>
    <w:p w14:paraId="4C81F452" w14:textId="77777777" w:rsidR="006569EB" w:rsidRPr="006569EB" w:rsidRDefault="006569EB" w:rsidP="006569EB">
      <w:pPr>
        <w:autoSpaceDE w:val="0"/>
        <w:autoSpaceDN w:val="0"/>
        <w:adjustRightInd w:val="0"/>
        <w:spacing w:after="0" w:line="240" w:lineRule="auto"/>
        <w:ind w:left="567"/>
        <w:rPr>
          <w:rFonts w:ascii="Verdana" w:hAnsi="Verdana" w:cs="Arial"/>
          <w:color w:val="040404"/>
          <w:sz w:val="20"/>
          <w:szCs w:val="20"/>
          <w:lang w:val="es-CR"/>
        </w:rPr>
      </w:pPr>
    </w:p>
    <w:p w14:paraId="6B7666AF" w14:textId="77777777" w:rsidR="00685704" w:rsidRDefault="00685704" w:rsidP="00685704">
      <w:pPr>
        <w:pStyle w:val="Sinespaciado"/>
        <w:numPr>
          <w:ilvl w:val="0"/>
          <w:numId w:val="0"/>
        </w:numPr>
        <w:tabs>
          <w:tab w:val="left" w:pos="567"/>
        </w:tabs>
        <w:spacing w:before="120" w:after="120"/>
        <w:contextualSpacing w:val="0"/>
        <w:rPr>
          <w:i/>
        </w:rPr>
      </w:pPr>
      <w:r>
        <w:tab/>
      </w:r>
      <w:r>
        <w:rPr>
          <w:i/>
        </w:rPr>
        <w:t>Propuesto por la Comisión</w:t>
      </w:r>
    </w:p>
    <w:p w14:paraId="3C51092C" w14:textId="70E8D053" w:rsidR="006569EB" w:rsidRPr="00085015" w:rsidRDefault="00685704" w:rsidP="002C389E">
      <w:pPr>
        <w:pStyle w:val="Sinespaciado"/>
        <w:numPr>
          <w:ilvl w:val="0"/>
          <w:numId w:val="0"/>
        </w:numPr>
        <w:tabs>
          <w:tab w:val="left" w:pos="567"/>
        </w:tabs>
        <w:spacing w:before="120" w:after="120"/>
        <w:ind w:left="567" w:hanging="567"/>
        <w:contextualSpacing w:val="0"/>
        <w:rPr>
          <w:rFonts w:cs="Arial"/>
        </w:rPr>
      </w:pPr>
      <w:r w:rsidRPr="00085015">
        <w:rPr>
          <w:i/>
        </w:rPr>
        <w:tab/>
        <w:t xml:space="preserve">Hernán Víctor </w:t>
      </w:r>
      <w:proofErr w:type="spellStart"/>
      <w:r w:rsidRPr="00085015">
        <w:rPr>
          <w:i/>
        </w:rPr>
        <w:t>Gullco</w:t>
      </w:r>
      <w:proofErr w:type="spellEnd"/>
      <w:r w:rsidR="006569EB" w:rsidRPr="00085015">
        <w:rPr>
          <w:i/>
        </w:rPr>
        <w:t xml:space="preserve">, </w:t>
      </w:r>
      <w:r w:rsidR="006569EB" w:rsidRPr="00085015">
        <w:t xml:space="preserve">quien declarará sobre </w:t>
      </w:r>
      <w:r w:rsidRPr="00085015">
        <w:rPr>
          <w:rFonts w:cs="Arial"/>
        </w:rPr>
        <w:t>las restricciones permisibles al derecho a la libertad de expresión de jueces, incluyendo los requisitos a ser tomados en cuenta al momento de analizar una responsabilidad ulterior en un proceso sancionatorio como el seguido en el presente caso en el que se realizan críticas académicas al funcionamiento del Poder Judicial. Podrá aplicar su análisis a los hechos del presente caso</w:t>
      </w:r>
      <w:r w:rsidR="006569EB" w:rsidRPr="00085015">
        <w:rPr>
          <w:rFonts w:cs="Arial"/>
        </w:rPr>
        <w:t>.</w:t>
      </w:r>
    </w:p>
    <w:p w14:paraId="40D26A95" w14:textId="3BA88D05" w:rsidR="00135570" w:rsidRPr="00253D5D" w:rsidRDefault="000663DD" w:rsidP="00253D5D">
      <w:pPr>
        <w:pStyle w:val="Sinespaciado"/>
        <w:tabs>
          <w:tab w:val="left" w:pos="567"/>
        </w:tabs>
        <w:spacing w:before="120" w:after="120"/>
        <w:contextualSpacing w:val="0"/>
      </w:pPr>
      <w:r w:rsidRPr="00BF4DBB">
        <w:t>Requerir</w:t>
      </w:r>
      <w:r w:rsidR="00135570" w:rsidRPr="00BF4DBB">
        <w:t xml:space="preserve"> a </w:t>
      </w:r>
      <w:r w:rsidR="002C389E">
        <w:t>las partes y a la Comisión</w:t>
      </w:r>
      <w:r w:rsidR="00135570" w:rsidRPr="00BF4DBB">
        <w:t xml:space="preserve"> que notifiquen la presente Resolución a las personas por ellos propuestas, respectivamente, que han sido convocados a rendir declaración, de conformidad con lo dispuesto en los artículos 50.2 y 50.4 del Reglamento.</w:t>
      </w:r>
    </w:p>
    <w:p w14:paraId="7499957D" w14:textId="64BE7134" w:rsidR="002B7552" w:rsidRPr="00253D5D" w:rsidRDefault="00135570" w:rsidP="00253D5D">
      <w:pPr>
        <w:pStyle w:val="Sinespaciado"/>
        <w:tabs>
          <w:tab w:val="left" w:pos="567"/>
        </w:tabs>
        <w:spacing w:before="120" w:after="120"/>
        <w:contextualSpacing w:val="0"/>
      </w:pPr>
      <w:r w:rsidRPr="00BF4DBB">
        <w:t xml:space="preserve">Requerir al Estado </w:t>
      </w:r>
      <w:r w:rsidR="002C389E">
        <w:t xml:space="preserve">y a los representantes </w:t>
      </w:r>
      <w:r w:rsidRPr="00BF4DBB">
        <w:t>que remita</w:t>
      </w:r>
      <w:r w:rsidR="002C389E">
        <w:t>n</w:t>
      </w:r>
      <w:r w:rsidRPr="00BF4DBB">
        <w:t>, en los términos del artículo 50.5 del Reglament</w:t>
      </w:r>
      <w:r w:rsidR="00AC2000" w:rsidRPr="00BF4DBB">
        <w:t>o y de considerarlo pertinente</w:t>
      </w:r>
      <w:r w:rsidRPr="00BF4DBB">
        <w:t>,</w:t>
      </w:r>
      <w:r w:rsidR="00253D5D" w:rsidRPr="00253D5D">
        <w:t xml:space="preserve"> </w:t>
      </w:r>
      <w:r w:rsidR="00253D5D">
        <w:t>en el plazo improrrogable que vence el</w:t>
      </w:r>
      <w:r w:rsidR="00A255AE">
        <w:t xml:space="preserve"> 7 de enero de 2020</w:t>
      </w:r>
      <w:r w:rsidR="00253D5D">
        <w:t>,</w:t>
      </w:r>
      <w:r w:rsidRPr="00BF4DBB">
        <w:t xml:space="preserve"> las preguntas que estime pertinente formular, a través de la Corte Interamericana, a los declarantes indicados en el punto resolutivo </w:t>
      </w:r>
      <w:r w:rsidR="000D5AA5" w:rsidRPr="00BF4DBB">
        <w:t xml:space="preserve">2 </w:t>
      </w:r>
      <w:r w:rsidRPr="00BF4DBB">
        <w:t>de la presente Resolución.</w:t>
      </w:r>
    </w:p>
    <w:p w14:paraId="6967A295" w14:textId="1C82D9C4" w:rsidR="002B7552" w:rsidRPr="00253D5D" w:rsidRDefault="002B7552" w:rsidP="00253D5D">
      <w:pPr>
        <w:pStyle w:val="Sinespaciado"/>
        <w:tabs>
          <w:tab w:val="left" w:pos="567"/>
        </w:tabs>
        <w:spacing w:before="120" w:after="120"/>
        <w:contextualSpacing w:val="0"/>
      </w:pPr>
      <w:r w:rsidRPr="00BF4DBB">
        <w:t xml:space="preserve">Requerir a </w:t>
      </w:r>
      <w:r w:rsidR="002C389E">
        <w:t xml:space="preserve">las partes y a la Comisión </w:t>
      </w:r>
      <w:r w:rsidRPr="00BF4DBB">
        <w:t xml:space="preserve">que realicen las diligencias necesarias para que, una vez recibidas las preguntas de la contraparte, los declarantes y </w:t>
      </w:r>
      <w:r w:rsidR="002C389E">
        <w:t xml:space="preserve">los </w:t>
      </w:r>
      <w:r w:rsidR="00253D5D">
        <w:t>perito</w:t>
      </w:r>
      <w:r w:rsidR="002C389E">
        <w:t>s</w:t>
      </w:r>
      <w:r w:rsidRPr="00BF4DBB">
        <w:t xml:space="preserve"> incluyan las respuestas en sus respectivas declaraciones y dictámenes rendidos ante fedatario público, salvo que el </w:t>
      </w:r>
      <w:proofErr w:type="gramStart"/>
      <w:r w:rsidRPr="00BF4DBB">
        <w:t>Presidente</w:t>
      </w:r>
      <w:proofErr w:type="gramEnd"/>
      <w:r w:rsidRPr="00BF4DBB">
        <w:t xml:space="preserve"> disponga lo contrario cuando la Secretaría de la Corte las transmita. Las declaraciones y los peritajes requeridos en el referido punto resolutivo 2 de la presente Resolución deberán ser presentadas a más tardar el </w:t>
      </w:r>
      <w:r w:rsidR="00A255AE" w:rsidRPr="00A255AE">
        <w:t>17 de enero</w:t>
      </w:r>
      <w:r w:rsidRPr="00BF4DBB">
        <w:t xml:space="preserve"> del 2020.</w:t>
      </w:r>
    </w:p>
    <w:p w14:paraId="00D70906" w14:textId="3729EBC8" w:rsidR="00135570" w:rsidRPr="00253D5D" w:rsidRDefault="002B7552" w:rsidP="00253D5D">
      <w:pPr>
        <w:pStyle w:val="Sinespaciado"/>
        <w:tabs>
          <w:tab w:val="left" w:pos="567"/>
        </w:tabs>
        <w:spacing w:before="120" w:after="120"/>
        <w:contextualSpacing w:val="0"/>
      </w:pPr>
      <w:r w:rsidRPr="00BF4DBB">
        <w:t xml:space="preserve">Disponer, conforme al artículo 50.6 del Reglamento que, una vez recibidas las declaraciones </w:t>
      </w:r>
      <w:r w:rsidR="00BB7551">
        <w:t>requeridas</w:t>
      </w:r>
      <w:r w:rsidRPr="00BF4DBB">
        <w:t xml:space="preserve"> en el punto resolutivo 2, la Secretaría de la Corte In</w:t>
      </w:r>
      <w:r w:rsidR="00BB7551">
        <w:t>teramericana las transmita a las partes</w:t>
      </w:r>
      <w:r w:rsidRPr="00BF4DBB">
        <w:t xml:space="preserve"> y a la Comisión para que, si lo estima necesario, </w:t>
      </w:r>
      <w:r w:rsidR="00BB7551">
        <w:t>presenten</w:t>
      </w:r>
      <w:r w:rsidR="00BB7551" w:rsidRPr="00BF4DBB">
        <w:t xml:space="preserve"> </w:t>
      </w:r>
      <w:r w:rsidRPr="00BF4DBB">
        <w:t xml:space="preserve">sus </w:t>
      </w:r>
      <w:r w:rsidRPr="00BF4DBB">
        <w:lastRenderedPageBreak/>
        <w:t>observaciones a dichas declaraciones y peritaje, a más tardar</w:t>
      </w:r>
      <w:r w:rsidR="00253D5D">
        <w:t xml:space="preserve"> con sus alegatos u observaciones finales escritos, respectivamente.</w:t>
      </w:r>
    </w:p>
    <w:p w14:paraId="24ACE95E" w14:textId="16F3AF5B" w:rsidR="00253D5D" w:rsidRDefault="00253D5D" w:rsidP="00253D5D">
      <w:pPr>
        <w:pStyle w:val="Sinespaciado"/>
        <w:tabs>
          <w:tab w:val="left" w:pos="567"/>
        </w:tabs>
        <w:spacing w:before="120" w:after="120"/>
        <w:contextualSpacing w:val="0"/>
      </w:pPr>
      <w:r>
        <w:t xml:space="preserve">Informar </w:t>
      </w:r>
      <w:r w:rsidR="00BB7551">
        <w:t>a las partes</w:t>
      </w:r>
      <w:r w:rsidR="00BB7551" w:rsidRPr="00BF4DBB">
        <w:t xml:space="preserve"> y a la Comisión </w:t>
      </w:r>
      <w:r>
        <w:t>que deben cubrir los gastos que ocasione la aportación o rendición de la prueba propuesta por ellos, de conformidad con lo dispuesto e</w:t>
      </w:r>
      <w:r w:rsidR="00BB7551">
        <w:t>n el artículo 60 del Reglamento</w:t>
      </w:r>
      <w:r>
        <w:t>.</w:t>
      </w:r>
    </w:p>
    <w:p w14:paraId="2ABA91BB" w14:textId="25AD77C2" w:rsidR="002B7552" w:rsidRPr="00BF4DBB" w:rsidRDefault="00135570" w:rsidP="00161946">
      <w:pPr>
        <w:pStyle w:val="Sinespaciado"/>
        <w:tabs>
          <w:tab w:val="left" w:pos="567"/>
        </w:tabs>
        <w:spacing w:before="120" w:after="120"/>
        <w:contextualSpacing w:val="0"/>
      </w:pPr>
      <w:r w:rsidRPr="00BF4DBB">
        <w:t xml:space="preserve">Requerir </w:t>
      </w:r>
      <w:r w:rsidR="00BB7551">
        <w:t>a las partes</w:t>
      </w:r>
      <w:r w:rsidR="00BB7551" w:rsidRPr="00BF4DBB">
        <w:t xml:space="preserve"> y a la Comisión </w:t>
      </w:r>
      <w:r w:rsidRPr="00BF4DBB">
        <w:t>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14:paraId="59B05803" w14:textId="0ABAA68B" w:rsidR="002B7552" w:rsidRPr="00253D5D" w:rsidRDefault="002B7552" w:rsidP="00161946">
      <w:pPr>
        <w:pStyle w:val="Sinespaciado"/>
        <w:tabs>
          <w:tab w:val="left" w:pos="567"/>
        </w:tabs>
        <w:spacing w:before="120" w:after="120"/>
        <w:contextualSpacing w:val="0"/>
      </w:pPr>
      <w:r w:rsidRPr="00BF4DBB">
        <w:t>Informar a los representantes, al Estado y a la Comisión Interamericana que, al término de la declaración rendida en la audiencia pública, podrán presentar ante el Tribunal sus alegatos finales orales y observaciones finales orales, respectivamente, sobre la</w:t>
      </w:r>
      <w:r w:rsidR="00BB7551">
        <w:t>s</w:t>
      </w:r>
      <w:r w:rsidRPr="00BF4DBB">
        <w:t xml:space="preserve"> excepci</w:t>
      </w:r>
      <w:r w:rsidR="00BB7551">
        <w:t>ones</w:t>
      </w:r>
      <w:r w:rsidRPr="00BF4DBB">
        <w:t xml:space="preserve"> preliminar</w:t>
      </w:r>
      <w:r w:rsidR="00BB7551">
        <w:t xml:space="preserve">es </w:t>
      </w:r>
      <w:r w:rsidRPr="00BF4DBB">
        <w:t xml:space="preserve">y eventuales fondo, reparaciones y costas en el presente caso. </w:t>
      </w:r>
    </w:p>
    <w:p w14:paraId="21B18FB1" w14:textId="350FC7FD" w:rsidR="00135570" w:rsidRPr="002800F8" w:rsidRDefault="002B7552" w:rsidP="002800F8">
      <w:pPr>
        <w:pStyle w:val="Sinespaciado"/>
        <w:tabs>
          <w:tab w:val="left" w:pos="567"/>
        </w:tabs>
        <w:spacing w:before="120" w:after="120"/>
        <w:contextualSpacing w:val="0"/>
      </w:pPr>
      <w:r w:rsidRPr="00BF4DBB">
        <w:t>Disponer que la Secretaría de la Corte, de conformidad con lo dispuesto en el artículo 55.3 del Reglamento, indique a la Comisión Interamericana, a los representantes y al Estado el enlace donde se encontrará disponible la grabación de la audiencia pública, a la brevedad posible luego de la celebración de la misma.</w:t>
      </w:r>
    </w:p>
    <w:p w14:paraId="4ACADB5B" w14:textId="11BBAA6F" w:rsidR="00135570" w:rsidRPr="002800F8" w:rsidRDefault="00135570" w:rsidP="00BB7551">
      <w:pPr>
        <w:pStyle w:val="Sinespaciado"/>
        <w:tabs>
          <w:tab w:val="left" w:pos="567"/>
        </w:tabs>
        <w:spacing w:before="120" w:after="120"/>
        <w:contextualSpacing w:val="0"/>
      </w:pPr>
      <w:r w:rsidRPr="00BF4DBB">
        <w:t xml:space="preserve">Informar </w:t>
      </w:r>
      <w:r w:rsidRPr="00A255AE">
        <w:t xml:space="preserve">a los representantes, al Estado </w:t>
      </w:r>
      <w:r w:rsidR="002B7552" w:rsidRPr="00A255AE">
        <w:t xml:space="preserve">y a la Comisión Interamericana que, en los términos del artículo 56 del Reglamento, </w:t>
      </w:r>
      <w:r w:rsidRPr="00A255AE">
        <w:t xml:space="preserve">cuentan con un plazo improrrogable hasta el </w:t>
      </w:r>
      <w:r w:rsidR="00A255AE" w:rsidRPr="00A255AE">
        <w:t xml:space="preserve">2 de </w:t>
      </w:r>
      <w:proofErr w:type="spellStart"/>
      <w:r w:rsidR="002800F8" w:rsidRPr="00A255AE">
        <w:t>de</w:t>
      </w:r>
      <w:proofErr w:type="spellEnd"/>
      <w:r w:rsidR="002800F8" w:rsidRPr="00A255AE">
        <w:t xml:space="preserve"> marzo</w:t>
      </w:r>
      <w:r w:rsidR="006B0C30" w:rsidRPr="00A255AE">
        <w:t xml:space="preserve"> </w:t>
      </w:r>
      <w:r w:rsidRPr="00A255AE">
        <w:t>de 20</w:t>
      </w:r>
      <w:r w:rsidR="006B0C30" w:rsidRPr="00A255AE">
        <w:t>20</w:t>
      </w:r>
      <w:r w:rsidRPr="00A255AE">
        <w:t xml:space="preserve"> para presentar sus alegatos finales escritos y observaciones finales escritas, respectivamente, en</w:t>
      </w:r>
      <w:r w:rsidRPr="00BF4DBB">
        <w:t xml:space="preserve"> relación con</w:t>
      </w:r>
      <w:r w:rsidR="002800F8">
        <w:t xml:space="preserve"> la</w:t>
      </w:r>
      <w:r w:rsidR="00161946">
        <w:t>s excepcio</w:t>
      </w:r>
      <w:r w:rsidR="002800F8">
        <w:t>n</w:t>
      </w:r>
      <w:r w:rsidR="00161946">
        <w:t>es</w:t>
      </w:r>
      <w:r w:rsidR="002800F8">
        <w:t xml:space="preserve"> preliminar</w:t>
      </w:r>
      <w:r w:rsidR="00161946">
        <w:t>es</w:t>
      </w:r>
      <w:r w:rsidR="002800F8">
        <w:t xml:space="preserve"> y eventuales</w:t>
      </w:r>
      <w:r w:rsidRPr="00BF4DBB">
        <w:t xml:space="preserve"> fondo, reparacione</w:t>
      </w:r>
      <w:r w:rsidR="00A255AE">
        <w:t>s y costas en el presente caso.</w:t>
      </w:r>
    </w:p>
    <w:p w14:paraId="634E1317" w14:textId="373B61EA" w:rsidR="00135570" w:rsidRPr="00BF4DBB" w:rsidRDefault="00135570" w:rsidP="000D5AA5">
      <w:pPr>
        <w:pStyle w:val="Sinespaciado"/>
      </w:pPr>
      <w:r w:rsidRPr="00BF4DBB">
        <w:t xml:space="preserve">Disponer que la Secretaría de la Corte Interamericana notifique la presente Resolución a la Comisión Interamericana de Derechos Humanos, a los representantes y al Estado de </w:t>
      </w:r>
      <w:r w:rsidR="00A255AE">
        <w:t>Chile</w:t>
      </w:r>
      <w:r w:rsidRPr="00BF4DBB">
        <w:t>.</w:t>
      </w:r>
    </w:p>
    <w:p w14:paraId="5F1719E7" w14:textId="77777777" w:rsidR="00F26599" w:rsidRDefault="00F26599" w:rsidP="00F26599">
      <w:pPr>
        <w:rPr>
          <w:rFonts w:ascii="Verdana" w:hAnsi="Verdana"/>
          <w:sz w:val="20"/>
          <w:szCs w:val="20"/>
          <w:lang w:val="es-CR"/>
        </w:rPr>
      </w:pPr>
    </w:p>
    <w:p w14:paraId="0222175D" w14:textId="77777777" w:rsidR="00A72668" w:rsidRDefault="00A72668" w:rsidP="00F26599">
      <w:pPr>
        <w:rPr>
          <w:rFonts w:ascii="Verdana" w:hAnsi="Verdana"/>
          <w:sz w:val="20"/>
          <w:szCs w:val="20"/>
          <w:lang w:val="es-CR"/>
        </w:rPr>
      </w:pPr>
    </w:p>
    <w:p w14:paraId="667EDB7D" w14:textId="77777777" w:rsidR="00A72668" w:rsidRDefault="00A72668" w:rsidP="00F26599">
      <w:pPr>
        <w:rPr>
          <w:rFonts w:ascii="Verdana" w:hAnsi="Verdana"/>
          <w:sz w:val="20"/>
          <w:szCs w:val="20"/>
          <w:lang w:val="es-CR"/>
        </w:rPr>
      </w:pPr>
    </w:p>
    <w:p w14:paraId="2BB74106" w14:textId="77777777" w:rsidR="00A72668" w:rsidRDefault="00A72668" w:rsidP="00F26599">
      <w:pPr>
        <w:rPr>
          <w:rFonts w:ascii="Verdana" w:hAnsi="Verdana"/>
          <w:sz w:val="20"/>
          <w:szCs w:val="20"/>
          <w:lang w:val="es-CR"/>
        </w:rPr>
      </w:pPr>
    </w:p>
    <w:p w14:paraId="30464B43" w14:textId="77777777" w:rsidR="00A72668" w:rsidRDefault="00A72668" w:rsidP="00F26599">
      <w:pPr>
        <w:rPr>
          <w:rFonts w:ascii="Verdana" w:hAnsi="Verdana"/>
          <w:sz w:val="20"/>
          <w:szCs w:val="20"/>
          <w:lang w:val="es-CR"/>
        </w:rPr>
      </w:pPr>
    </w:p>
    <w:p w14:paraId="13C21924" w14:textId="77777777" w:rsidR="00A72668" w:rsidRDefault="00A72668" w:rsidP="00F26599">
      <w:pPr>
        <w:rPr>
          <w:rFonts w:ascii="Verdana" w:hAnsi="Verdana"/>
          <w:sz w:val="20"/>
          <w:szCs w:val="20"/>
          <w:lang w:val="es-CR"/>
        </w:rPr>
      </w:pPr>
    </w:p>
    <w:p w14:paraId="184B3EB7" w14:textId="77777777" w:rsidR="00A72668" w:rsidRDefault="00A72668" w:rsidP="00F26599">
      <w:pPr>
        <w:rPr>
          <w:rFonts w:ascii="Verdana" w:hAnsi="Verdana"/>
          <w:sz w:val="20"/>
          <w:szCs w:val="20"/>
          <w:lang w:val="es-CR"/>
        </w:rPr>
      </w:pPr>
    </w:p>
    <w:p w14:paraId="19B1B4A5" w14:textId="4CBA06B0" w:rsidR="00A72668" w:rsidRDefault="00A72668" w:rsidP="00A72668">
      <w:pPr>
        <w:spacing w:after="0" w:line="240" w:lineRule="auto"/>
        <w:rPr>
          <w:rFonts w:ascii="Verdana" w:hAnsi="Verdana"/>
          <w:sz w:val="20"/>
          <w:szCs w:val="20"/>
          <w:lang w:val="es-CR"/>
        </w:rPr>
      </w:pPr>
    </w:p>
    <w:p w14:paraId="516BE054" w14:textId="77777777" w:rsidR="00A72668" w:rsidRDefault="00A72668" w:rsidP="00A72668">
      <w:pPr>
        <w:spacing w:after="0" w:line="240" w:lineRule="auto"/>
        <w:rPr>
          <w:rFonts w:ascii="Verdana" w:hAnsi="Verdana"/>
          <w:sz w:val="20"/>
          <w:szCs w:val="20"/>
          <w:lang w:val="es-CR"/>
        </w:rPr>
      </w:pPr>
    </w:p>
    <w:p w14:paraId="02641C16" w14:textId="563B1B73" w:rsidR="00A72668" w:rsidRDefault="00A72668" w:rsidP="00A72668">
      <w:pPr>
        <w:spacing w:after="0" w:line="240" w:lineRule="auto"/>
        <w:rPr>
          <w:rFonts w:ascii="Verdana" w:hAnsi="Verdana"/>
          <w:sz w:val="20"/>
          <w:szCs w:val="20"/>
          <w:lang w:val="es-CR"/>
        </w:rPr>
      </w:pPr>
    </w:p>
    <w:p w14:paraId="3498F0AE" w14:textId="6A561E3F" w:rsidR="00B9663F" w:rsidRDefault="00B9663F" w:rsidP="00A72668">
      <w:pPr>
        <w:spacing w:after="0" w:line="240" w:lineRule="auto"/>
        <w:rPr>
          <w:rFonts w:ascii="Verdana" w:hAnsi="Verdana"/>
          <w:sz w:val="20"/>
          <w:szCs w:val="20"/>
          <w:lang w:val="es-CR"/>
        </w:rPr>
      </w:pPr>
    </w:p>
    <w:p w14:paraId="04D34B54" w14:textId="38FD9355" w:rsidR="00B9663F" w:rsidRDefault="00B9663F" w:rsidP="00A72668">
      <w:pPr>
        <w:spacing w:after="0" w:line="240" w:lineRule="auto"/>
        <w:rPr>
          <w:rFonts w:ascii="Verdana" w:hAnsi="Verdana"/>
          <w:sz w:val="20"/>
          <w:szCs w:val="20"/>
          <w:lang w:val="es-CR"/>
        </w:rPr>
      </w:pPr>
    </w:p>
    <w:p w14:paraId="7309F818" w14:textId="607FB737" w:rsidR="00B9663F" w:rsidRDefault="00B9663F" w:rsidP="00A72668">
      <w:pPr>
        <w:spacing w:after="0" w:line="240" w:lineRule="auto"/>
        <w:rPr>
          <w:rFonts w:ascii="Verdana" w:hAnsi="Verdana"/>
          <w:sz w:val="20"/>
          <w:szCs w:val="20"/>
          <w:lang w:val="es-CR"/>
        </w:rPr>
      </w:pPr>
    </w:p>
    <w:p w14:paraId="1EA4949F" w14:textId="2AE650DC" w:rsidR="00B9663F" w:rsidRDefault="00B9663F" w:rsidP="00A72668">
      <w:pPr>
        <w:spacing w:after="0" w:line="240" w:lineRule="auto"/>
        <w:rPr>
          <w:rFonts w:ascii="Verdana" w:hAnsi="Verdana"/>
          <w:sz w:val="20"/>
          <w:szCs w:val="20"/>
          <w:lang w:val="es-CR"/>
        </w:rPr>
      </w:pPr>
    </w:p>
    <w:p w14:paraId="60B8CB22" w14:textId="77777777" w:rsidR="00B9663F" w:rsidRDefault="00B9663F" w:rsidP="00A72668">
      <w:pPr>
        <w:spacing w:after="0" w:line="240" w:lineRule="auto"/>
        <w:rPr>
          <w:rFonts w:ascii="Verdana" w:hAnsi="Verdana"/>
          <w:sz w:val="20"/>
          <w:szCs w:val="20"/>
          <w:lang w:val="es-CR"/>
        </w:rPr>
      </w:pPr>
      <w:bookmarkStart w:id="0" w:name="_GoBack"/>
      <w:bookmarkEnd w:id="0"/>
    </w:p>
    <w:p w14:paraId="559639DA" w14:textId="179F76B1" w:rsidR="00A72668" w:rsidRDefault="00A72668" w:rsidP="00A72668">
      <w:pPr>
        <w:spacing w:after="0" w:line="240" w:lineRule="auto"/>
        <w:rPr>
          <w:rFonts w:ascii="Verdana" w:hAnsi="Verdana"/>
          <w:sz w:val="20"/>
          <w:szCs w:val="20"/>
          <w:lang w:val="es-CR"/>
        </w:rPr>
      </w:pPr>
    </w:p>
    <w:p w14:paraId="3289CDCF" w14:textId="63C3C7BA" w:rsidR="00A72668" w:rsidRDefault="00A72668" w:rsidP="00A72668">
      <w:pPr>
        <w:spacing w:after="0" w:line="240" w:lineRule="auto"/>
        <w:rPr>
          <w:rFonts w:ascii="Verdana" w:hAnsi="Verdana"/>
          <w:sz w:val="20"/>
          <w:szCs w:val="20"/>
          <w:lang w:val="es-CR"/>
        </w:rPr>
      </w:pPr>
    </w:p>
    <w:p w14:paraId="45202A4F" w14:textId="77777777" w:rsidR="00F26599" w:rsidRPr="00F26599" w:rsidRDefault="00F26599" w:rsidP="00A72668">
      <w:pPr>
        <w:spacing w:after="0" w:line="240" w:lineRule="auto"/>
        <w:ind w:left="5664"/>
        <w:jc w:val="center"/>
        <w:rPr>
          <w:rFonts w:ascii="Verdana" w:hAnsi="Verdana"/>
          <w:sz w:val="20"/>
          <w:szCs w:val="20"/>
          <w:lang w:val="es-CR"/>
        </w:rPr>
      </w:pPr>
      <w:r w:rsidRPr="00F26599">
        <w:rPr>
          <w:rFonts w:ascii="Verdana" w:hAnsi="Verdana"/>
          <w:sz w:val="20"/>
          <w:szCs w:val="20"/>
          <w:lang w:val="es-CR"/>
        </w:rPr>
        <w:lastRenderedPageBreak/>
        <w:t>Eduardo Ferrer Mac-</w:t>
      </w:r>
      <w:proofErr w:type="spellStart"/>
      <w:r w:rsidRPr="00F26599">
        <w:rPr>
          <w:rFonts w:ascii="Verdana" w:hAnsi="Verdana"/>
          <w:sz w:val="20"/>
          <w:szCs w:val="20"/>
          <w:lang w:val="es-CR"/>
        </w:rPr>
        <w:t>Gregor</w:t>
      </w:r>
      <w:proofErr w:type="spellEnd"/>
      <w:r w:rsidRPr="00F26599">
        <w:rPr>
          <w:rFonts w:ascii="Verdana" w:hAnsi="Verdana"/>
          <w:sz w:val="20"/>
          <w:szCs w:val="20"/>
          <w:lang w:val="es-CR"/>
        </w:rPr>
        <w:t xml:space="preserve"> </w:t>
      </w:r>
      <w:proofErr w:type="spellStart"/>
      <w:r w:rsidRPr="00F26599">
        <w:rPr>
          <w:rFonts w:ascii="Verdana" w:hAnsi="Verdana"/>
          <w:sz w:val="20"/>
          <w:szCs w:val="20"/>
          <w:lang w:val="es-CR"/>
        </w:rPr>
        <w:t>Poisot</w:t>
      </w:r>
      <w:proofErr w:type="spellEnd"/>
    </w:p>
    <w:p w14:paraId="7E03F156" w14:textId="17E9DF24" w:rsidR="00F26599" w:rsidRPr="00F26599" w:rsidRDefault="00F26599" w:rsidP="00A72668">
      <w:pPr>
        <w:spacing w:after="0" w:line="240" w:lineRule="auto"/>
        <w:ind w:left="4248"/>
        <w:rPr>
          <w:rFonts w:ascii="Verdana" w:hAnsi="Verdana"/>
          <w:sz w:val="20"/>
          <w:szCs w:val="20"/>
          <w:lang w:val="es-CR"/>
        </w:rPr>
      </w:pPr>
      <w:r w:rsidRPr="00F26599">
        <w:rPr>
          <w:rFonts w:ascii="Verdana" w:hAnsi="Verdana"/>
          <w:sz w:val="20"/>
          <w:szCs w:val="20"/>
          <w:lang w:val="es-CR"/>
        </w:rPr>
        <w:t xml:space="preserve">                </w:t>
      </w:r>
      <w:r w:rsidR="00A72668">
        <w:rPr>
          <w:rFonts w:ascii="Verdana" w:hAnsi="Verdana"/>
          <w:sz w:val="20"/>
          <w:szCs w:val="20"/>
          <w:lang w:val="es-CR"/>
        </w:rPr>
        <w:t xml:space="preserve">                      </w:t>
      </w:r>
      <w:r w:rsidRPr="00F26599">
        <w:rPr>
          <w:rFonts w:ascii="Verdana" w:hAnsi="Verdana"/>
          <w:sz w:val="20"/>
          <w:szCs w:val="20"/>
          <w:lang w:val="es-CR"/>
        </w:rPr>
        <w:t>Presidente</w:t>
      </w:r>
    </w:p>
    <w:p w14:paraId="784E6BDF" w14:textId="77777777" w:rsidR="00F26599" w:rsidRPr="00F26599" w:rsidRDefault="00F26599" w:rsidP="00F26599">
      <w:pPr>
        <w:spacing w:after="0" w:line="240" w:lineRule="auto"/>
        <w:rPr>
          <w:rFonts w:ascii="Verdana" w:hAnsi="Verdana"/>
          <w:sz w:val="20"/>
          <w:szCs w:val="20"/>
          <w:lang w:val="es-CR"/>
        </w:rPr>
      </w:pPr>
    </w:p>
    <w:p w14:paraId="738D3EF9" w14:textId="77777777" w:rsidR="00F26599" w:rsidRPr="00F26599" w:rsidRDefault="00F26599" w:rsidP="00F26599">
      <w:pPr>
        <w:spacing w:after="0" w:line="240" w:lineRule="auto"/>
        <w:rPr>
          <w:rFonts w:ascii="Verdana" w:hAnsi="Verdana"/>
          <w:sz w:val="20"/>
          <w:szCs w:val="20"/>
          <w:lang w:val="es-CR"/>
        </w:rPr>
      </w:pPr>
    </w:p>
    <w:p w14:paraId="38D1F206" w14:textId="77777777" w:rsidR="00F26599" w:rsidRPr="00F26599" w:rsidRDefault="00F26599" w:rsidP="00F26599">
      <w:pPr>
        <w:spacing w:after="0" w:line="240" w:lineRule="auto"/>
        <w:rPr>
          <w:rFonts w:ascii="Verdana" w:hAnsi="Verdana"/>
          <w:sz w:val="20"/>
          <w:szCs w:val="20"/>
          <w:lang w:val="es-CR"/>
        </w:rPr>
      </w:pPr>
    </w:p>
    <w:p w14:paraId="693E8F58" w14:textId="77777777" w:rsidR="00F26599" w:rsidRPr="00F26599" w:rsidRDefault="00F26599" w:rsidP="00F26599">
      <w:pPr>
        <w:spacing w:after="0" w:line="240" w:lineRule="auto"/>
        <w:rPr>
          <w:rFonts w:ascii="Verdana" w:hAnsi="Verdana"/>
          <w:sz w:val="20"/>
          <w:szCs w:val="20"/>
          <w:lang w:val="es-CR"/>
        </w:rPr>
      </w:pPr>
    </w:p>
    <w:p w14:paraId="200E0188" w14:textId="7C4055FF" w:rsidR="00F26599" w:rsidRPr="00F26599" w:rsidRDefault="00F26599" w:rsidP="00F26599">
      <w:pPr>
        <w:spacing w:after="0" w:line="240" w:lineRule="auto"/>
        <w:rPr>
          <w:rFonts w:ascii="Verdana" w:hAnsi="Verdana"/>
          <w:sz w:val="20"/>
          <w:szCs w:val="20"/>
          <w:lang w:val="es-CR"/>
        </w:rPr>
      </w:pPr>
    </w:p>
    <w:p w14:paraId="545D7AB9" w14:textId="77777777" w:rsidR="00F26599" w:rsidRPr="00F26599" w:rsidRDefault="00F26599" w:rsidP="00F26599">
      <w:pPr>
        <w:spacing w:after="0" w:line="240" w:lineRule="auto"/>
        <w:rPr>
          <w:rFonts w:ascii="Verdana" w:hAnsi="Verdana"/>
          <w:sz w:val="20"/>
          <w:szCs w:val="20"/>
          <w:lang w:val="es-CR"/>
        </w:rPr>
      </w:pPr>
      <w:r w:rsidRPr="00F26599">
        <w:rPr>
          <w:rFonts w:ascii="Verdana" w:hAnsi="Verdana"/>
          <w:sz w:val="20"/>
          <w:szCs w:val="20"/>
          <w:lang w:val="es-CR"/>
        </w:rPr>
        <w:t xml:space="preserve">Pablo Saavedra Alessandri </w:t>
      </w:r>
    </w:p>
    <w:p w14:paraId="2139ED84" w14:textId="77777777" w:rsidR="00F26599" w:rsidRPr="00F26599" w:rsidRDefault="00F26599" w:rsidP="00F26599">
      <w:pPr>
        <w:spacing w:after="0" w:line="240" w:lineRule="auto"/>
        <w:rPr>
          <w:rFonts w:ascii="Verdana" w:hAnsi="Verdana"/>
          <w:sz w:val="20"/>
          <w:szCs w:val="20"/>
          <w:lang w:val="es-CR"/>
        </w:rPr>
      </w:pPr>
      <w:r w:rsidRPr="00F26599">
        <w:rPr>
          <w:rFonts w:ascii="Verdana" w:hAnsi="Verdana"/>
          <w:sz w:val="20"/>
          <w:szCs w:val="20"/>
          <w:lang w:val="es-CR"/>
        </w:rPr>
        <w:t xml:space="preserve">           Secretario </w:t>
      </w:r>
    </w:p>
    <w:p w14:paraId="4659A06B" w14:textId="77777777" w:rsidR="00F26599" w:rsidRPr="00F26599" w:rsidRDefault="00F26599" w:rsidP="00F26599">
      <w:pPr>
        <w:spacing w:after="0" w:line="240" w:lineRule="auto"/>
        <w:rPr>
          <w:rFonts w:ascii="Verdana" w:hAnsi="Verdana"/>
          <w:sz w:val="20"/>
          <w:szCs w:val="20"/>
          <w:lang w:val="es-CR"/>
        </w:rPr>
      </w:pPr>
    </w:p>
    <w:p w14:paraId="776BFCF0" w14:textId="77777777" w:rsidR="00F26599" w:rsidRPr="00F26599" w:rsidRDefault="00F26599" w:rsidP="00F26599">
      <w:pPr>
        <w:spacing w:after="0" w:line="240" w:lineRule="auto"/>
        <w:rPr>
          <w:rFonts w:ascii="Verdana" w:hAnsi="Verdana"/>
          <w:sz w:val="20"/>
          <w:szCs w:val="20"/>
          <w:lang w:val="es-CR"/>
        </w:rPr>
      </w:pPr>
    </w:p>
    <w:p w14:paraId="04D37BC0" w14:textId="77777777" w:rsidR="00F26599" w:rsidRDefault="00F26599" w:rsidP="00F26599">
      <w:pPr>
        <w:spacing w:after="0" w:line="240" w:lineRule="auto"/>
        <w:rPr>
          <w:rFonts w:ascii="Verdana" w:hAnsi="Verdana"/>
          <w:sz w:val="20"/>
          <w:szCs w:val="20"/>
          <w:lang w:val="es-CR"/>
        </w:rPr>
      </w:pPr>
    </w:p>
    <w:p w14:paraId="6BA94920" w14:textId="5B99153A" w:rsidR="00A72668" w:rsidRPr="00F26599" w:rsidRDefault="00A72668" w:rsidP="00F26599">
      <w:pPr>
        <w:spacing w:after="0" w:line="240" w:lineRule="auto"/>
        <w:rPr>
          <w:rFonts w:ascii="Verdana" w:hAnsi="Verdana"/>
          <w:sz w:val="20"/>
          <w:szCs w:val="20"/>
          <w:lang w:val="es-CR"/>
        </w:rPr>
      </w:pPr>
    </w:p>
    <w:p w14:paraId="403F3244" w14:textId="77777777" w:rsidR="00F26599" w:rsidRPr="00F26599" w:rsidRDefault="00F26599" w:rsidP="00F26599">
      <w:pPr>
        <w:spacing w:after="0" w:line="240" w:lineRule="auto"/>
        <w:rPr>
          <w:rFonts w:ascii="Verdana" w:hAnsi="Verdana"/>
          <w:sz w:val="20"/>
          <w:szCs w:val="20"/>
          <w:lang w:val="es-CR"/>
        </w:rPr>
      </w:pPr>
    </w:p>
    <w:p w14:paraId="53783969" w14:textId="77777777" w:rsidR="00F26599" w:rsidRPr="00F26599" w:rsidRDefault="00F26599" w:rsidP="00F26599">
      <w:pPr>
        <w:spacing w:after="0" w:line="240" w:lineRule="auto"/>
        <w:rPr>
          <w:rFonts w:ascii="Verdana" w:hAnsi="Verdana"/>
          <w:sz w:val="20"/>
          <w:szCs w:val="20"/>
          <w:lang w:val="es-CR"/>
        </w:rPr>
      </w:pPr>
      <w:r w:rsidRPr="00F26599">
        <w:rPr>
          <w:rFonts w:ascii="Verdana" w:hAnsi="Verdana"/>
          <w:sz w:val="20"/>
          <w:szCs w:val="20"/>
          <w:lang w:val="es-CR"/>
        </w:rPr>
        <w:t xml:space="preserve">Comuníquese y ejecútese, </w:t>
      </w:r>
    </w:p>
    <w:p w14:paraId="463F61C3" w14:textId="77777777" w:rsidR="00F26599" w:rsidRPr="00F26599" w:rsidRDefault="00F26599" w:rsidP="00F26599">
      <w:pPr>
        <w:spacing w:after="0" w:line="240" w:lineRule="auto"/>
        <w:rPr>
          <w:rFonts w:ascii="Verdana" w:hAnsi="Verdana"/>
          <w:sz w:val="20"/>
          <w:szCs w:val="20"/>
          <w:lang w:val="es-CR"/>
        </w:rPr>
      </w:pPr>
    </w:p>
    <w:p w14:paraId="08964FE8" w14:textId="77777777" w:rsidR="00F26599" w:rsidRPr="00F26599" w:rsidRDefault="00F26599" w:rsidP="00F26599">
      <w:pPr>
        <w:spacing w:after="0" w:line="240" w:lineRule="auto"/>
        <w:rPr>
          <w:rFonts w:ascii="Verdana" w:hAnsi="Verdana"/>
          <w:sz w:val="20"/>
          <w:szCs w:val="20"/>
          <w:lang w:val="es-CR"/>
        </w:rPr>
      </w:pPr>
    </w:p>
    <w:p w14:paraId="4DABAA9B" w14:textId="77777777" w:rsidR="00F26599" w:rsidRPr="00F26599" w:rsidRDefault="00F26599" w:rsidP="00F26599">
      <w:pPr>
        <w:spacing w:after="0" w:line="240" w:lineRule="auto"/>
        <w:rPr>
          <w:rFonts w:ascii="Verdana" w:hAnsi="Verdana"/>
          <w:sz w:val="20"/>
          <w:szCs w:val="20"/>
          <w:lang w:val="es-CR"/>
        </w:rPr>
      </w:pPr>
    </w:p>
    <w:p w14:paraId="4DBCE3DC" w14:textId="1AD0435D" w:rsidR="00F26599" w:rsidRPr="00F26599" w:rsidRDefault="00F26599" w:rsidP="00F26599">
      <w:pPr>
        <w:spacing w:after="0" w:line="240" w:lineRule="auto"/>
        <w:rPr>
          <w:rFonts w:ascii="Verdana" w:hAnsi="Verdana"/>
          <w:sz w:val="20"/>
          <w:szCs w:val="20"/>
          <w:lang w:val="es-CR"/>
        </w:rPr>
      </w:pPr>
    </w:p>
    <w:p w14:paraId="627E49CF" w14:textId="43E62987" w:rsidR="00F26599" w:rsidRPr="00F26599" w:rsidRDefault="00F26599" w:rsidP="00F26599">
      <w:pPr>
        <w:spacing w:after="0" w:line="240" w:lineRule="auto"/>
        <w:rPr>
          <w:rFonts w:ascii="Verdana" w:hAnsi="Verdana"/>
          <w:sz w:val="20"/>
          <w:szCs w:val="20"/>
          <w:lang w:val="es-CR"/>
        </w:rPr>
      </w:pPr>
    </w:p>
    <w:p w14:paraId="21E270B4" w14:textId="77777777" w:rsidR="00F26599" w:rsidRPr="00F26599" w:rsidRDefault="00F26599" w:rsidP="00A72668">
      <w:pPr>
        <w:spacing w:after="0" w:line="240" w:lineRule="auto"/>
        <w:ind w:left="5664"/>
        <w:rPr>
          <w:rFonts w:ascii="Verdana" w:hAnsi="Verdana"/>
          <w:sz w:val="20"/>
          <w:szCs w:val="20"/>
          <w:lang w:val="es-CR"/>
        </w:rPr>
      </w:pPr>
      <w:r w:rsidRPr="00F26599">
        <w:rPr>
          <w:rFonts w:ascii="Verdana" w:hAnsi="Verdana"/>
          <w:sz w:val="20"/>
          <w:szCs w:val="20"/>
          <w:lang w:val="es-CR"/>
        </w:rPr>
        <w:t>Eduardo Ferrer Mac-</w:t>
      </w:r>
      <w:proofErr w:type="spellStart"/>
      <w:r w:rsidRPr="00F26599">
        <w:rPr>
          <w:rFonts w:ascii="Verdana" w:hAnsi="Verdana"/>
          <w:sz w:val="20"/>
          <w:szCs w:val="20"/>
          <w:lang w:val="es-CR"/>
        </w:rPr>
        <w:t>Gregor</w:t>
      </w:r>
      <w:proofErr w:type="spellEnd"/>
      <w:r w:rsidRPr="00F26599">
        <w:rPr>
          <w:rFonts w:ascii="Verdana" w:hAnsi="Verdana"/>
          <w:sz w:val="20"/>
          <w:szCs w:val="20"/>
          <w:lang w:val="es-CR"/>
        </w:rPr>
        <w:t xml:space="preserve"> </w:t>
      </w:r>
      <w:proofErr w:type="spellStart"/>
      <w:r w:rsidRPr="00F26599">
        <w:rPr>
          <w:rFonts w:ascii="Verdana" w:hAnsi="Verdana"/>
          <w:sz w:val="20"/>
          <w:szCs w:val="20"/>
          <w:lang w:val="es-CR"/>
        </w:rPr>
        <w:t>Poisot</w:t>
      </w:r>
      <w:proofErr w:type="spellEnd"/>
    </w:p>
    <w:p w14:paraId="070A6F74" w14:textId="59B755B0" w:rsidR="00F26599" w:rsidRPr="00F26599" w:rsidRDefault="00F26599" w:rsidP="00A72668">
      <w:pPr>
        <w:spacing w:after="0" w:line="240" w:lineRule="auto"/>
        <w:ind w:left="5664"/>
        <w:rPr>
          <w:rFonts w:ascii="Verdana" w:hAnsi="Verdana"/>
          <w:sz w:val="20"/>
          <w:szCs w:val="20"/>
          <w:lang w:val="es-CR"/>
        </w:rPr>
      </w:pPr>
      <w:r w:rsidRPr="00F26599">
        <w:rPr>
          <w:rFonts w:ascii="Verdana" w:hAnsi="Verdana"/>
          <w:sz w:val="20"/>
          <w:szCs w:val="20"/>
          <w:lang w:val="es-CR"/>
        </w:rPr>
        <w:t xml:space="preserve">             </w:t>
      </w:r>
      <w:r w:rsidR="00B66887">
        <w:rPr>
          <w:rFonts w:ascii="Verdana" w:hAnsi="Verdana"/>
          <w:sz w:val="20"/>
          <w:szCs w:val="20"/>
          <w:lang w:val="es-CR"/>
        </w:rPr>
        <w:t xml:space="preserve">    </w:t>
      </w:r>
      <w:r w:rsidRPr="00F26599">
        <w:rPr>
          <w:rFonts w:ascii="Verdana" w:hAnsi="Verdana"/>
          <w:sz w:val="20"/>
          <w:szCs w:val="20"/>
          <w:lang w:val="es-CR"/>
        </w:rPr>
        <w:t>Presidente</w:t>
      </w:r>
    </w:p>
    <w:p w14:paraId="36626240" w14:textId="77777777" w:rsidR="00F26599" w:rsidRPr="00F26599" w:rsidRDefault="00F26599" w:rsidP="00F26599">
      <w:pPr>
        <w:spacing w:after="0" w:line="240" w:lineRule="auto"/>
        <w:rPr>
          <w:rFonts w:ascii="Verdana" w:hAnsi="Verdana"/>
          <w:sz w:val="20"/>
          <w:szCs w:val="20"/>
          <w:lang w:val="es-CR"/>
        </w:rPr>
      </w:pPr>
    </w:p>
    <w:p w14:paraId="775FF20F" w14:textId="77777777" w:rsidR="00F26599" w:rsidRPr="00F26599" w:rsidRDefault="00F26599" w:rsidP="00F26599">
      <w:pPr>
        <w:spacing w:after="0" w:line="240" w:lineRule="auto"/>
        <w:rPr>
          <w:rFonts w:ascii="Verdana" w:hAnsi="Verdana"/>
          <w:sz w:val="20"/>
          <w:szCs w:val="20"/>
          <w:lang w:val="es-CR"/>
        </w:rPr>
      </w:pPr>
    </w:p>
    <w:p w14:paraId="36D62E39" w14:textId="77777777" w:rsidR="00F26599" w:rsidRPr="00F26599" w:rsidRDefault="00F26599" w:rsidP="00F26599">
      <w:pPr>
        <w:spacing w:after="0" w:line="240" w:lineRule="auto"/>
        <w:rPr>
          <w:rFonts w:ascii="Verdana" w:hAnsi="Verdana"/>
          <w:sz w:val="20"/>
          <w:szCs w:val="20"/>
          <w:lang w:val="es-CR"/>
        </w:rPr>
      </w:pPr>
    </w:p>
    <w:p w14:paraId="51B81573" w14:textId="50C676A9" w:rsidR="00F26599" w:rsidRPr="00F26599" w:rsidRDefault="00F26599" w:rsidP="00F26599">
      <w:pPr>
        <w:spacing w:after="0" w:line="240" w:lineRule="auto"/>
        <w:rPr>
          <w:rFonts w:ascii="Verdana" w:hAnsi="Verdana"/>
          <w:sz w:val="20"/>
          <w:szCs w:val="20"/>
          <w:lang w:val="es-CR"/>
        </w:rPr>
      </w:pPr>
    </w:p>
    <w:p w14:paraId="1E1BC754" w14:textId="77777777" w:rsidR="00F26599" w:rsidRPr="00F26599" w:rsidRDefault="00F26599" w:rsidP="00F26599">
      <w:pPr>
        <w:spacing w:after="0" w:line="240" w:lineRule="auto"/>
        <w:rPr>
          <w:rFonts w:ascii="Verdana" w:hAnsi="Verdana"/>
          <w:sz w:val="20"/>
          <w:szCs w:val="20"/>
          <w:lang w:val="es-CR"/>
        </w:rPr>
      </w:pPr>
    </w:p>
    <w:p w14:paraId="2ABAA03B" w14:textId="77777777" w:rsidR="00F26599" w:rsidRPr="00F26599" w:rsidRDefault="00F26599" w:rsidP="00F26599">
      <w:pPr>
        <w:spacing w:after="0" w:line="240" w:lineRule="auto"/>
        <w:rPr>
          <w:rFonts w:ascii="Verdana" w:hAnsi="Verdana"/>
          <w:sz w:val="20"/>
          <w:szCs w:val="20"/>
          <w:lang w:val="es-CR"/>
        </w:rPr>
      </w:pPr>
      <w:r w:rsidRPr="00F26599">
        <w:rPr>
          <w:rFonts w:ascii="Verdana" w:hAnsi="Verdana"/>
          <w:sz w:val="20"/>
          <w:szCs w:val="20"/>
          <w:lang w:val="es-CR"/>
        </w:rPr>
        <w:t xml:space="preserve">Pablo Saavedra Alessandri </w:t>
      </w:r>
    </w:p>
    <w:p w14:paraId="453F52D0" w14:textId="54A1D28C" w:rsidR="00135570" w:rsidRPr="00BF4DBB" w:rsidRDefault="00F26599" w:rsidP="00F26599">
      <w:pPr>
        <w:spacing w:after="0" w:line="240" w:lineRule="auto"/>
        <w:rPr>
          <w:rFonts w:ascii="Verdana" w:hAnsi="Verdana"/>
          <w:sz w:val="20"/>
          <w:szCs w:val="20"/>
          <w:lang w:val="es-CR"/>
        </w:rPr>
      </w:pPr>
      <w:r w:rsidRPr="00F26599">
        <w:rPr>
          <w:rFonts w:ascii="Verdana" w:hAnsi="Verdana"/>
          <w:sz w:val="20"/>
          <w:szCs w:val="20"/>
          <w:lang w:val="es-CR"/>
        </w:rPr>
        <w:t xml:space="preserve">          Secretario</w:t>
      </w:r>
    </w:p>
    <w:p w14:paraId="42D6D8D0" w14:textId="77777777" w:rsidR="000F4155" w:rsidRPr="00037B5A" w:rsidRDefault="000F4155" w:rsidP="00F26599">
      <w:pPr>
        <w:spacing w:after="0" w:line="240" w:lineRule="auto"/>
        <w:rPr>
          <w:rFonts w:ascii="Verdana" w:hAnsi="Verdana"/>
          <w:sz w:val="20"/>
          <w:szCs w:val="20"/>
          <w:lang w:val="es-ES"/>
        </w:rPr>
      </w:pPr>
    </w:p>
    <w:sectPr w:rsidR="000F4155" w:rsidRPr="00037B5A" w:rsidSect="00F26599">
      <w:headerReference w:type="default" r:id="rId8"/>
      <w:footerReference w:type="default" r:id="rId9"/>
      <w:footerReference w:type="first" r:id="rId10"/>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DE49" w14:textId="77777777" w:rsidR="003E3C19" w:rsidRDefault="003E3C19" w:rsidP="00135570">
      <w:pPr>
        <w:spacing w:after="0" w:line="240" w:lineRule="auto"/>
      </w:pPr>
      <w:r>
        <w:separator/>
      </w:r>
    </w:p>
  </w:endnote>
  <w:endnote w:type="continuationSeparator" w:id="0">
    <w:p w14:paraId="0F9723BA" w14:textId="77777777" w:rsidR="003E3C19" w:rsidRDefault="003E3C19" w:rsidP="0013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Italic">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46137"/>
      <w:docPartObj>
        <w:docPartGallery w:val="Page Numbers (Bottom of Page)"/>
        <w:docPartUnique/>
      </w:docPartObj>
    </w:sdtPr>
    <w:sdtEndPr>
      <w:rPr>
        <w:rFonts w:ascii="Verdana" w:hAnsi="Verdana"/>
        <w:noProof/>
        <w:sz w:val="20"/>
        <w:szCs w:val="20"/>
      </w:rPr>
    </w:sdtEndPr>
    <w:sdtContent>
      <w:p w14:paraId="42546F4A" w14:textId="539E8B4F" w:rsidR="00253D5D" w:rsidRPr="00253D5D" w:rsidRDefault="00253D5D">
        <w:pPr>
          <w:pStyle w:val="Piedepgina"/>
          <w:jc w:val="center"/>
          <w:rPr>
            <w:rFonts w:ascii="Verdana" w:hAnsi="Verdana"/>
            <w:sz w:val="20"/>
            <w:szCs w:val="20"/>
          </w:rPr>
        </w:pPr>
        <w:r w:rsidRPr="00253D5D">
          <w:rPr>
            <w:rFonts w:ascii="Verdana" w:hAnsi="Verdana"/>
            <w:sz w:val="20"/>
            <w:szCs w:val="20"/>
          </w:rPr>
          <w:fldChar w:fldCharType="begin"/>
        </w:r>
        <w:r w:rsidRPr="00253D5D">
          <w:rPr>
            <w:rFonts w:ascii="Verdana" w:hAnsi="Verdana"/>
            <w:sz w:val="20"/>
            <w:szCs w:val="20"/>
          </w:rPr>
          <w:instrText xml:space="preserve"> PAGE   \* MERGEFORMAT </w:instrText>
        </w:r>
        <w:r w:rsidRPr="00253D5D">
          <w:rPr>
            <w:rFonts w:ascii="Verdana" w:hAnsi="Verdana"/>
            <w:sz w:val="20"/>
            <w:szCs w:val="20"/>
          </w:rPr>
          <w:fldChar w:fldCharType="separate"/>
        </w:r>
        <w:r w:rsidR="00B66887">
          <w:rPr>
            <w:rFonts w:ascii="Verdana" w:hAnsi="Verdana"/>
            <w:noProof/>
            <w:sz w:val="20"/>
            <w:szCs w:val="20"/>
          </w:rPr>
          <w:t>8</w:t>
        </w:r>
        <w:r w:rsidRPr="00253D5D">
          <w:rPr>
            <w:rFonts w:ascii="Verdana" w:hAnsi="Verdana"/>
            <w:noProof/>
            <w:sz w:val="20"/>
            <w:szCs w:val="20"/>
          </w:rPr>
          <w:fldChar w:fldCharType="end"/>
        </w:r>
      </w:p>
    </w:sdtContent>
  </w:sdt>
  <w:p w14:paraId="6FFB6920" w14:textId="77777777" w:rsidR="00253D5D" w:rsidRDefault="00253D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320C" w14:textId="68594136" w:rsidR="00BF4DBB" w:rsidRDefault="00BF4DBB">
    <w:pPr>
      <w:pStyle w:val="Piedepgina"/>
      <w:jc w:val="center"/>
    </w:pPr>
  </w:p>
  <w:p w14:paraId="06CD7AB5" w14:textId="77777777" w:rsidR="00BF4DBB" w:rsidRDefault="00BF4D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D4BD" w14:textId="77777777" w:rsidR="003E3C19" w:rsidRDefault="003E3C19" w:rsidP="00135570">
      <w:pPr>
        <w:spacing w:after="0" w:line="240" w:lineRule="auto"/>
      </w:pPr>
      <w:r>
        <w:separator/>
      </w:r>
    </w:p>
  </w:footnote>
  <w:footnote w:type="continuationSeparator" w:id="0">
    <w:p w14:paraId="7D547B9B" w14:textId="77777777" w:rsidR="003E3C19" w:rsidRDefault="003E3C19" w:rsidP="00135570">
      <w:pPr>
        <w:spacing w:after="0" w:line="240" w:lineRule="auto"/>
      </w:pPr>
      <w:r>
        <w:continuationSeparator/>
      </w:r>
    </w:p>
  </w:footnote>
  <w:footnote w:id="1">
    <w:p w14:paraId="62B4201F" w14:textId="351EB6C2" w:rsidR="00993836" w:rsidRPr="00CA42F3" w:rsidRDefault="00993836" w:rsidP="0015312E">
      <w:pPr>
        <w:tabs>
          <w:tab w:val="left" w:pos="567"/>
        </w:tabs>
        <w:autoSpaceDE w:val="0"/>
        <w:autoSpaceDN w:val="0"/>
        <w:adjustRightInd w:val="0"/>
        <w:spacing w:after="0" w:line="240" w:lineRule="auto"/>
        <w:jc w:val="both"/>
        <w:rPr>
          <w:rFonts w:ascii="Verdana" w:hAnsi="Verdana" w:cs="Verdana"/>
          <w:sz w:val="16"/>
          <w:szCs w:val="16"/>
          <w:lang w:val="es-CR"/>
        </w:rPr>
      </w:pPr>
      <w:r w:rsidRPr="00CA42F3">
        <w:rPr>
          <w:rStyle w:val="Refdenotaalpie"/>
          <w:rFonts w:ascii="Verdana" w:hAnsi="Verdana"/>
          <w:sz w:val="16"/>
          <w:szCs w:val="16"/>
        </w:rPr>
        <w:footnoteRef/>
      </w:r>
      <w:r w:rsidRPr="00CA11FD">
        <w:rPr>
          <w:rFonts w:ascii="Verdana" w:hAnsi="Verdana"/>
          <w:sz w:val="16"/>
          <w:szCs w:val="16"/>
          <w:lang w:val="es-CR"/>
        </w:rPr>
        <w:t xml:space="preserve"> </w:t>
      </w:r>
      <w:r w:rsidR="008A65CB" w:rsidRPr="00CA11FD">
        <w:rPr>
          <w:rFonts w:ascii="Verdana" w:hAnsi="Verdana"/>
          <w:sz w:val="16"/>
          <w:szCs w:val="16"/>
          <w:lang w:val="es-CR"/>
        </w:rPr>
        <w:tab/>
      </w:r>
      <w:r w:rsidR="000D522D" w:rsidRPr="00CA42F3">
        <w:rPr>
          <w:rFonts w:ascii="Verdana" w:hAnsi="Verdana" w:cs="Verdana,Italic"/>
          <w:i/>
          <w:iCs/>
          <w:sz w:val="16"/>
          <w:szCs w:val="16"/>
          <w:lang w:val="es-CR"/>
        </w:rPr>
        <w:t xml:space="preserve">Cfr. Caso Boyce y otros Vs. Barbados. </w:t>
      </w:r>
      <w:r w:rsidR="000D522D" w:rsidRPr="00CA42F3">
        <w:rPr>
          <w:rFonts w:ascii="Verdana" w:hAnsi="Verdana" w:cs="Verdana"/>
          <w:sz w:val="16"/>
          <w:szCs w:val="16"/>
          <w:lang w:val="es-CR"/>
        </w:rPr>
        <w:t xml:space="preserve">Convocatoria a audiencia. Resolución del </w:t>
      </w:r>
      <w:proofErr w:type="gramStart"/>
      <w:r w:rsidR="000D522D" w:rsidRPr="00CA42F3">
        <w:rPr>
          <w:rFonts w:ascii="Verdana" w:hAnsi="Verdana" w:cs="Verdana"/>
          <w:sz w:val="16"/>
          <w:szCs w:val="16"/>
          <w:lang w:val="es-CR"/>
        </w:rPr>
        <w:t>Presidente</w:t>
      </w:r>
      <w:proofErr w:type="gramEnd"/>
      <w:r w:rsidR="000D522D" w:rsidRPr="00CA42F3">
        <w:rPr>
          <w:rFonts w:ascii="Verdana" w:hAnsi="Verdana" w:cs="Verdana"/>
          <w:sz w:val="16"/>
          <w:szCs w:val="16"/>
          <w:lang w:val="es-CR"/>
        </w:rPr>
        <w:t xml:space="preserve"> de la Corte</w:t>
      </w:r>
      <w:r w:rsidR="00CA42F3">
        <w:rPr>
          <w:rFonts w:ascii="Verdana" w:hAnsi="Verdana" w:cs="Verdana"/>
          <w:sz w:val="16"/>
          <w:szCs w:val="16"/>
          <w:lang w:val="es-CR"/>
        </w:rPr>
        <w:t xml:space="preserve"> </w:t>
      </w:r>
      <w:r w:rsidR="000D522D" w:rsidRPr="00CA42F3">
        <w:rPr>
          <w:rFonts w:ascii="Verdana" w:hAnsi="Verdana" w:cs="Verdana"/>
          <w:sz w:val="16"/>
          <w:szCs w:val="16"/>
          <w:lang w:val="es-CR"/>
        </w:rPr>
        <w:t>Interamericana de Derechos Humanos de 29 de mayo de 2007, considerando 22,</w:t>
      </w:r>
      <w:r w:rsidR="00CA42F3">
        <w:rPr>
          <w:rFonts w:ascii="Verdana" w:hAnsi="Verdana" w:cs="Verdana"/>
          <w:sz w:val="16"/>
          <w:szCs w:val="16"/>
          <w:lang w:val="es-CR"/>
        </w:rPr>
        <w:t xml:space="preserve"> y</w:t>
      </w:r>
      <w:r w:rsidR="000D522D" w:rsidRPr="00CA42F3">
        <w:rPr>
          <w:rFonts w:ascii="Verdana" w:hAnsi="Verdana" w:cs="Verdana"/>
          <w:sz w:val="16"/>
          <w:szCs w:val="16"/>
          <w:lang w:val="es-CR"/>
        </w:rPr>
        <w:t xml:space="preserve"> </w:t>
      </w:r>
      <w:r w:rsidR="00CA42F3" w:rsidRPr="00CA42F3">
        <w:rPr>
          <w:rFonts w:ascii="Verdana" w:hAnsi="Verdana" w:cs="Verdana"/>
          <w:i/>
          <w:sz w:val="16"/>
          <w:szCs w:val="16"/>
          <w:lang w:val="es-CR"/>
        </w:rPr>
        <w:t xml:space="preserve">Caso Arrom </w:t>
      </w:r>
      <w:proofErr w:type="spellStart"/>
      <w:r w:rsidR="00CA42F3" w:rsidRPr="00CA42F3">
        <w:rPr>
          <w:rFonts w:ascii="Verdana" w:hAnsi="Verdana" w:cs="Verdana"/>
          <w:i/>
          <w:sz w:val="16"/>
          <w:szCs w:val="16"/>
          <w:lang w:val="es-CR"/>
        </w:rPr>
        <w:t>Suhurt</w:t>
      </w:r>
      <w:proofErr w:type="spellEnd"/>
      <w:r w:rsidR="00CA42F3" w:rsidRPr="00CA42F3">
        <w:rPr>
          <w:rFonts w:ascii="Verdana" w:hAnsi="Verdana" w:cs="Verdana"/>
          <w:i/>
          <w:sz w:val="16"/>
          <w:szCs w:val="16"/>
          <w:lang w:val="es-CR"/>
        </w:rPr>
        <w:t xml:space="preserve"> y otros Vs. Paraguay</w:t>
      </w:r>
      <w:r w:rsidR="00CA42F3" w:rsidRPr="00CA42F3">
        <w:rPr>
          <w:rFonts w:ascii="Verdana" w:hAnsi="Verdana" w:cs="Verdana"/>
          <w:sz w:val="16"/>
          <w:szCs w:val="16"/>
          <w:lang w:val="es-CR"/>
        </w:rPr>
        <w:t xml:space="preserve">. Convocatoria a audiencia. Resolución del </w:t>
      </w:r>
      <w:proofErr w:type="gramStart"/>
      <w:r w:rsidR="00CA42F3" w:rsidRPr="00CA42F3">
        <w:rPr>
          <w:rFonts w:ascii="Verdana" w:hAnsi="Verdana" w:cs="Verdana"/>
          <w:sz w:val="16"/>
          <w:szCs w:val="16"/>
          <w:lang w:val="es-CR"/>
        </w:rPr>
        <w:t>Presidente</w:t>
      </w:r>
      <w:proofErr w:type="gramEnd"/>
      <w:r w:rsidR="00CA42F3" w:rsidRPr="00CA42F3">
        <w:rPr>
          <w:rFonts w:ascii="Verdana" w:hAnsi="Verdana" w:cs="Verdana"/>
          <w:sz w:val="16"/>
          <w:szCs w:val="16"/>
          <w:lang w:val="es-CR"/>
        </w:rPr>
        <w:t xml:space="preserve"> de la Corte Interamericana de Derechos Hum</w:t>
      </w:r>
      <w:r w:rsidR="00CA42F3">
        <w:rPr>
          <w:rFonts w:ascii="Verdana" w:hAnsi="Verdana" w:cs="Verdana"/>
          <w:sz w:val="16"/>
          <w:szCs w:val="16"/>
          <w:lang w:val="es-CR"/>
        </w:rPr>
        <w:t>anos de 17 de diciembre de 2018, considerando</w:t>
      </w:r>
      <w:r w:rsidR="00CA42F3" w:rsidRPr="00CA42F3">
        <w:rPr>
          <w:rFonts w:ascii="Verdana" w:hAnsi="Verdana" w:cs="Verdana"/>
          <w:sz w:val="16"/>
          <w:szCs w:val="16"/>
          <w:lang w:val="es-CR"/>
        </w:rPr>
        <w:t xml:space="preserve"> </w:t>
      </w:r>
      <w:r w:rsidR="000D522D" w:rsidRPr="00CA42F3">
        <w:rPr>
          <w:rFonts w:ascii="Verdana" w:hAnsi="Verdana" w:cs="Verdana"/>
          <w:sz w:val="16"/>
          <w:szCs w:val="16"/>
          <w:lang w:val="es-CR"/>
        </w:rPr>
        <w:t>17</w:t>
      </w:r>
      <w:r w:rsidR="00CA42F3">
        <w:rPr>
          <w:rFonts w:ascii="Verdana" w:hAnsi="Verdana" w:cs="Verdana"/>
          <w:sz w:val="16"/>
          <w:szCs w:val="16"/>
          <w:lang w:val="es-C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CD33" w14:textId="6E9293A3" w:rsidR="00E20646" w:rsidRPr="001153FC" w:rsidRDefault="00E20646" w:rsidP="00065D1F">
    <w:pPr>
      <w:pStyle w:val="Encabezado"/>
      <w:tabs>
        <w:tab w:val="left" w:pos="5310"/>
      </w:tabs>
      <w:rPr>
        <w:rFonts w:ascii="Verdana" w:eastAsiaTheme="majorEastAsia" w:hAnsi="Verdana" w:cstheme="majorBidi"/>
        <w:sz w:val="20"/>
        <w:szCs w:val="20"/>
      </w:rPr>
    </w:pPr>
    <w:r>
      <w:rPr>
        <w:rFonts w:asciiTheme="majorHAnsi" w:eastAsiaTheme="majorEastAsia" w:hAnsiTheme="majorHAnsi" w:cstheme="majorBidi"/>
        <w:sz w:val="28"/>
        <w:szCs w:val="28"/>
      </w:rPr>
      <w:tab/>
    </w:r>
  </w:p>
  <w:p w14:paraId="2C7814BD" w14:textId="77777777" w:rsidR="00E20646" w:rsidRDefault="00E206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B5A"/>
    <w:multiLevelType w:val="multilevel"/>
    <w:tmpl w:val="DD72E01A"/>
    <w:lvl w:ilvl="0">
      <w:start w:val="2"/>
      <w:numFmt w:val="decimal"/>
      <w:lvlText w:val="%1."/>
      <w:lvlJc w:val="left"/>
      <w:pPr>
        <w:ind w:left="45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A510D4F"/>
    <w:multiLevelType w:val="hybridMultilevel"/>
    <w:tmpl w:val="A2842F18"/>
    <w:lvl w:ilvl="0" w:tplc="13D4329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A7AE1"/>
    <w:multiLevelType w:val="multilevel"/>
    <w:tmpl w:val="17BAA38C"/>
    <w:lvl w:ilvl="0">
      <w:start w:val="1"/>
      <w:numFmt w:val="decimal"/>
      <w:lvlText w:val="%1."/>
      <w:lvlJc w:val="left"/>
      <w:pPr>
        <w:ind w:left="720" w:hanging="360"/>
      </w:pPr>
      <w:rPr>
        <w:b w:val="0"/>
        <w:i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38404A"/>
    <w:multiLevelType w:val="hybridMultilevel"/>
    <w:tmpl w:val="484625C4"/>
    <w:lvl w:ilvl="0" w:tplc="43D0D0D0">
      <w:start w:val="1"/>
      <w:numFmt w:val="decimal"/>
      <w:lvlText w:val="%1."/>
      <w:lvlJc w:val="left"/>
      <w:pPr>
        <w:tabs>
          <w:tab w:val="num" w:pos="720"/>
        </w:tabs>
        <w:ind w:left="0" w:firstLine="0"/>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 w15:restartNumberingAfterBreak="0">
    <w:nsid w:val="4AB014D1"/>
    <w:multiLevelType w:val="hybridMultilevel"/>
    <w:tmpl w:val="730291F0"/>
    <w:lvl w:ilvl="0" w:tplc="47A881D0">
      <w:start w:val="1"/>
      <w:numFmt w:val="upperLetter"/>
      <w:pStyle w:val="Ttulo"/>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 w15:restartNumberingAfterBreak="0">
    <w:nsid w:val="547846BE"/>
    <w:multiLevelType w:val="multilevel"/>
    <w:tmpl w:val="1FDCAC94"/>
    <w:lvl w:ilvl="0">
      <w:start w:val="1"/>
      <w:numFmt w:val="decimal"/>
      <w:pStyle w:val="Sinespaciado"/>
      <w:lvlText w:val="%1."/>
      <w:lvlJc w:val="left"/>
      <w:pPr>
        <w:ind w:left="360" w:hanging="360"/>
      </w:pPr>
      <w:rPr>
        <w:rFonts w:ascii="Verdana" w:hAnsi="Verdana" w:hint="default"/>
        <w:b w:val="0"/>
        <w:i w:val="0"/>
        <w:sz w:val="20"/>
        <w:szCs w:val="20"/>
      </w:rPr>
    </w:lvl>
    <w:lvl w:ilvl="1">
      <w:start w:val="1"/>
      <w:numFmt w:val="lowerLetter"/>
      <w:lvlText w:val="%2."/>
      <w:lvlJc w:val="left"/>
      <w:pPr>
        <w:ind w:left="-2672" w:hanging="360"/>
      </w:pPr>
      <w:rPr>
        <w:rFonts w:hint="default"/>
        <w:b w:val="0"/>
      </w:rPr>
    </w:lvl>
    <w:lvl w:ilvl="2">
      <w:start w:val="1"/>
      <w:numFmt w:val="lowerRoman"/>
      <w:lvlText w:val="%3."/>
      <w:lvlJc w:val="right"/>
      <w:pPr>
        <w:ind w:left="-1952" w:hanging="180"/>
      </w:pPr>
      <w:rPr>
        <w:rFonts w:hint="default"/>
      </w:rPr>
    </w:lvl>
    <w:lvl w:ilvl="3">
      <w:start w:val="1"/>
      <w:numFmt w:val="decimal"/>
      <w:lvlText w:val="%4."/>
      <w:lvlJc w:val="left"/>
      <w:pPr>
        <w:ind w:left="-1232" w:hanging="360"/>
      </w:pPr>
      <w:rPr>
        <w:rFonts w:hint="default"/>
      </w:rPr>
    </w:lvl>
    <w:lvl w:ilvl="4">
      <w:start w:val="1"/>
      <w:numFmt w:val="lowerLetter"/>
      <w:lvlText w:val="%5."/>
      <w:lvlJc w:val="left"/>
      <w:pPr>
        <w:ind w:left="-512" w:hanging="360"/>
      </w:pPr>
      <w:rPr>
        <w:rFonts w:hint="default"/>
      </w:rPr>
    </w:lvl>
    <w:lvl w:ilvl="5">
      <w:start w:val="1"/>
      <w:numFmt w:val="lowerRoman"/>
      <w:lvlText w:val="%6."/>
      <w:lvlJc w:val="right"/>
      <w:pPr>
        <w:ind w:left="208" w:hanging="180"/>
      </w:pPr>
      <w:rPr>
        <w:rFonts w:hint="default"/>
      </w:rPr>
    </w:lvl>
    <w:lvl w:ilvl="6">
      <w:start w:val="1"/>
      <w:numFmt w:val="decimal"/>
      <w:lvlText w:val="%7."/>
      <w:lvlJc w:val="left"/>
      <w:pPr>
        <w:ind w:left="928" w:hanging="360"/>
      </w:pPr>
      <w:rPr>
        <w:rFonts w:hint="default"/>
      </w:rPr>
    </w:lvl>
    <w:lvl w:ilvl="7">
      <w:start w:val="1"/>
      <w:numFmt w:val="lowerLetter"/>
      <w:lvlText w:val="%8."/>
      <w:lvlJc w:val="left"/>
      <w:pPr>
        <w:ind w:left="1648" w:hanging="360"/>
      </w:pPr>
      <w:rPr>
        <w:rFonts w:hint="default"/>
      </w:rPr>
    </w:lvl>
    <w:lvl w:ilvl="8">
      <w:start w:val="1"/>
      <w:numFmt w:val="lowerRoman"/>
      <w:lvlText w:val="%9."/>
      <w:lvlJc w:val="right"/>
      <w:pPr>
        <w:ind w:left="2368" w:hanging="180"/>
      </w:pPr>
      <w:rPr>
        <w:rFonts w:hint="default"/>
      </w:rPr>
    </w:lvl>
  </w:abstractNum>
  <w:abstractNum w:abstractNumId="6" w15:restartNumberingAfterBreak="0">
    <w:nsid w:val="5A303509"/>
    <w:multiLevelType w:val="hybridMultilevel"/>
    <w:tmpl w:val="82F694C2"/>
    <w:lvl w:ilvl="0" w:tplc="ED9C0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DB6DC6"/>
    <w:multiLevelType w:val="hybridMultilevel"/>
    <w:tmpl w:val="1C764FCC"/>
    <w:lvl w:ilvl="0" w:tplc="D6367428">
      <w:start w:val="1"/>
      <w:numFmt w:val="decimal"/>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8" w15:restartNumberingAfterBreak="0">
    <w:nsid w:val="5EC27779"/>
    <w:multiLevelType w:val="multilevel"/>
    <w:tmpl w:val="9516CFFA"/>
    <w:lvl w:ilvl="0">
      <w:start w:val="1"/>
      <w:numFmt w:val="decimal"/>
      <w:lvlText w:val="%1."/>
      <w:lvlJc w:val="left"/>
      <w:pPr>
        <w:tabs>
          <w:tab w:val="num" w:pos="360"/>
        </w:tabs>
        <w:ind w:left="360" w:hanging="360"/>
      </w:pPr>
      <w:rPr>
        <w:rFonts w:hint="default"/>
        <w:b w:val="0"/>
        <w:i w:val="0"/>
        <w:sz w:val="20"/>
        <w:szCs w:val="20"/>
        <w:lang w:val="es-CR"/>
      </w:rPr>
    </w:lvl>
    <w:lvl w:ilvl="1">
      <w:start w:val="1"/>
      <w:numFmt w:val="lowerLetter"/>
      <w:lvlText w:val="%2)"/>
      <w:lvlJc w:val="left"/>
      <w:pPr>
        <w:tabs>
          <w:tab w:val="num" w:pos="720"/>
        </w:tabs>
        <w:ind w:left="720" w:hanging="360"/>
      </w:pPr>
      <w:rPr>
        <w:rFonts w:ascii="Verdana" w:hAnsi="Verdana" w:hint="default"/>
        <w:b w:val="0"/>
        <w:i/>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54A6163"/>
    <w:multiLevelType w:val="hybridMultilevel"/>
    <w:tmpl w:val="F4F63860"/>
    <w:lvl w:ilvl="0" w:tplc="140A0015">
      <w:start w:val="2"/>
      <w:numFmt w:val="upp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6"/>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lvlOverride w:ilvl="0">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70"/>
    <w:rsid w:val="00002421"/>
    <w:rsid w:val="000106CC"/>
    <w:rsid w:val="00036AE6"/>
    <w:rsid w:val="00037B5A"/>
    <w:rsid w:val="00062046"/>
    <w:rsid w:val="00062766"/>
    <w:rsid w:val="000651BC"/>
    <w:rsid w:val="00065D1F"/>
    <w:rsid w:val="000663DD"/>
    <w:rsid w:val="00070426"/>
    <w:rsid w:val="000735D7"/>
    <w:rsid w:val="00085015"/>
    <w:rsid w:val="00097988"/>
    <w:rsid w:val="000A1504"/>
    <w:rsid w:val="000A3D01"/>
    <w:rsid w:val="000A4E24"/>
    <w:rsid w:val="000D522D"/>
    <w:rsid w:val="000D5AA5"/>
    <w:rsid w:val="000F1358"/>
    <w:rsid w:val="000F4155"/>
    <w:rsid w:val="000F73DD"/>
    <w:rsid w:val="001034D5"/>
    <w:rsid w:val="00103FA6"/>
    <w:rsid w:val="001101F1"/>
    <w:rsid w:val="00126300"/>
    <w:rsid w:val="001265CB"/>
    <w:rsid w:val="00135570"/>
    <w:rsid w:val="0015312E"/>
    <w:rsid w:val="00161946"/>
    <w:rsid w:val="00174A96"/>
    <w:rsid w:val="00177E9E"/>
    <w:rsid w:val="00192545"/>
    <w:rsid w:val="001A46EB"/>
    <w:rsid w:val="001D2D5A"/>
    <w:rsid w:val="001D5A5F"/>
    <w:rsid w:val="001D787E"/>
    <w:rsid w:val="001E410B"/>
    <w:rsid w:val="00214AAB"/>
    <w:rsid w:val="00230275"/>
    <w:rsid w:val="002378A9"/>
    <w:rsid w:val="00245360"/>
    <w:rsid w:val="00253D5D"/>
    <w:rsid w:val="00256F70"/>
    <w:rsid w:val="002800F8"/>
    <w:rsid w:val="00284397"/>
    <w:rsid w:val="00285346"/>
    <w:rsid w:val="002943C6"/>
    <w:rsid w:val="00297163"/>
    <w:rsid w:val="002B7552"/>
    <w:rsid w:val="002C31D9"/>
    <w:rsid w:val="002C389E"/>
    <w:rsid w:val="002C4A69"/>
    <w:rsid w:val="002C5449"/>
    <w:rsid w:val="002D6EE6"/>
    <w:rsid w:val="002F4B17"/>
    <w:rsid w:val="00307203"/>
    <w:rsid w:val="00310614"/>
    <w:rsid w:val="00316264"/>
    <w:rsid w:val="00327397"/>
    <w:rsid w:val="00331386"/>
    <w:rsid w:val="0034532C"/>
    <w:rsid w:val="00345882"/>
    <w:rsid w:val="00361F06"/>
    <w:rsid w:val="00366FFA"/>
    <w:rsid w:val="00370C11"/>
    <w:rsid w:val="00390A3D"/>
    <w:rsid w:val="003B04F7"/>
    <w:rsid w:val="003B35EA"/>
    <w:rsid w:val="003D0828"/>
    <w:rsid w:val="003D5FA3"/>
    <w:rsid w:val="003E2BF4"/>
    <w:rsid w:val="003E2DED"/>
    <w:rsid w:val="003E3C19"/>
    <w:rsid w:val="003E7CEF"/>
    <w:rsid w:val="004007C4"/>
    <w:rsid w:val="004025FB"/>
    <w:rsid w:val="00402B7A"/>
    <w:rsid w:val="004034EC"/>
    <w:rsid w:val="00407256"/>
    <w:rsid w:val="004178B5"/>
    <w:rsid w:val="00420DA3"/>
    <w:rsid w:val="00425F53"/>
    <w:rsid w:val="0042657D"/>
    <w:rsid w:val="004336D6"/>
    <w:rsid w:val="0043743A"/>
    <w:rsid w:val="004609BE"/>
    <w:rsid w:val="004764DA"/>
    <w:rsid w:val="004A725B"/>
    <w:rsid w:val="004C0997"/>
    <w:rsid w:val="004E649F"/>
    <w:rsid w:val="005028A0"/>
    <w:rsid w:val="00503C0F"/>
    <w:rsid w:val="0051438A"/>
    <w:rsid w:val="00527B08"/>
    <w:rsid w:val="00534567"/>
    <w:rsid w:val="0053729B"/>
    <w:rsid w:val="00546F19"/>
    <w:rsid w:val="00554B48"/>
    <w:rsid w:val="0055526F"/>
    <w:rsid w:val="00574E2E"/>
    <w:rsid w:val="00595BE7"/>
    <w:rsid w:val="005A4F8A"/>
    <w:rsid w:val="005C538A"/>
    <w:rsid w:val="005E7FC9"/>
    <w:rsid w:val="00601A65"/>
    <w:rsid w:val="006334EB"/>
    <w:rsid w:val="006379B1"/>
    <w:rsid w:val="00651DE0"/>
    <w:rsid w:val="006569EB"/>
    <w:rsid w:val="00661706"/>
    <w:rsid w:val="0067246B"/>
    <w:rsid w:val="0068453D"/>
    <w:rsid w:val="00685704"/>
    <w:rsid w:val="006B0C30"/>
    <w:rsid w:val="006B4FAF"/>
    <w:rsid w:val="006C57FA"/>
    <w:rsid w:val="006D0331"/>
    <w:rsid w:val="006D07E5"/>
    <w:rsid w:val="006D0FFB"/>
    <w:rsid w:val="006D2AED"/>
    <w:rsid w:val="006E4FBD"/>
    <w:rsid w:val="006F70B8"/>
    <w:rsid w:val="00701E4D"/>
    <w:rsid w:val="00712D31"/>
    <w:rsid w:val="0072239A"/>
    <w:rsid w:val="00724E09"/>
    <w:rsid w:val="007278BE"/>
    <w:rsid w:val="0073444A"/>
    <w:rsid w:val="007404B4"/>
    <w:rsid w:val="00746C17"/>
    <w:rsid w:val="00753862"/>
    <w:rsid w:val="0076146A"/>
    <w:rsid w:val="00767D85"/>
    <w:rsid w:val="00775703"/>
    <w:rsid w:val="0078105F"/>
    <w:rsid w:val="007A559C"/>
    <w:rsid w:val="007B7800"/>
    <w:rsid w:val="007C2810"/>
    <w:rsid w:val="007D0EA5"/>
    <w:rsid w:val="007D13BB"/>
    <w:rsid w:val="007D264B"/>
    <w:rsid w:val="007F4126"/>
    <w:rsid w:val="007F60B2"/>
    <w:rsid w:val="00803D9E"/>
    <w:rsid w:val="00863303"/>
    <w:rsid w:val="00872082"/>
    <w:rsid w:val="008924D6"/>
    <w:rsid w:val="0089335C"/>
    <w:rsid w:val="0089666B"/>
    <w:rsid w:val="00897F72"/>
    <w:rsid w:val="008A27B3"/>
    <w:rsid w:val="008A65CB"/>
    <w:rsid w:val="008D31F5"/>
    <w:rsid w:val="008F7689"/>
    <w:rsid w:val="00911316"/>
    <w:rsid w:val="00920702"/>
    <w:rsid w:val="00937248"/>
    <w:rsid w:val="00940AEF"/>
    <w:rsid w:val="0096068D"/>
    <w:rsid w:val="00993836"/>
    <w:rsid w:val="00995027"/>
    <w:rsid w:val="009A32D3"/>
    <w:rsid w:val="009B42E2"/>
    <w:rsid w:val="009B641D"/>
    <w:rsid w:val="009D7203"/>
    <w:rsid w:val="009F0896"/>
    <w:rsid w:val="00A039E3"/>
    <w:rsid w:val="00A1613C"/>
    <w:rsid w:val="00A17C8E"/>
    <w:rsid w:val="00A23C0C"/>
    <w:rsid w:val="00A246C0"/>
    <w:rsid w:val="00A24C95"/>
    <w:rsid w:val="00A255AE"/>
    <w:rsid w:val="00A27175"/>
    <w:rsid w:val="00A51FAC"/>
    <w:rsid w:val="00A72668"/>
    <w:rsid w:val="00A7654A"/>
    <w:rsid w:val="00A835C1"/>
    <w:rsid w:val="00A86ABC"/>
    <w:rsid w:val="00AB2E23"/>
    <w:rsid w:val="00AC2000"/>
    <w:rsid w:val="00AC6737"/>
    <w:rsid w:val="00AD38FA"/>
    <w:rsid w:val="00AD5653"/>
    <w:rsid w:val="00AF0D00"/>
    <w:rsid w:val="00AF0DED"/>
    <w:rsid w:val="00AF1A7E"/>
    <w:rsid w:val="00AF3FE0"/>
    <w:rsid w:val="00AF4BA4"/>
    <w:rsid w:val="00B018EC"/>
    <w:rsid w:val="00B02800"/>
    <w:rsid w:val="00B06127"/>
    <w:rsid w:val="00B07F7A"/>
    <w:rsid w:val="00B25682"/>
    <w:rsid w:val="00B41F2A"/>
    <w:rsid w:val="00B66887"/>
    <w:rsid w:val="00B84262"/>
    <w:rsid w:val="00B9663F"/>
    <w:rsid w:val="00BA340A"/>
    <w:rsid w:val="00BA5BB8"/>
    <w:rsid w:val="00BB7551"/>
    <w:rsid w:val="00BD16D8"/>
    <w:rsid w:val="00BD4C27"/>
    <w:rsid w:val="00BF0FC1"/>
    <w:rsid w:val="00BF4DBB"/>
    <w:rsid w:val="00C0514C"/>
    <w:rsid w:val="00C10F86"/>
    <w:rsid w:val="00C21AAF"/>
    <w:rsid w:val="00C56AF2"/>
    <w:rsid w:val="00C645D8"/>
    <w:rsid w:val="00CA11FD"/>
    <w:rsid w:val="00CA42F3"/>
    <w:rsid w:val="00CA7330"/>
    <w:rsid w:val="00CB1388"/>
    <w:rsid w:val="00CC06BF"/>
    <w:rsid w:val="00D00000"/>
    <w:rsid w:val="00D145AB"/>
    <w:rsid w:val="00D21584"/>
    <w:rsid w:val="00D4522A"/>
    <w:rsid w:val="00D455EB"/>
    <w:rsid w:val="00D567EF"/>
    <w:rsid w:val="00D67058"/>
    <w:rsid w:val="00D671F5"/>
    <w:rsid w:val="00D74A57"/>
    <w:rsid w:val="00D97B31"/>
    <w:rsid w:val="00DB00E7"/>
    <w:rsid w:val="00DC0447"/>
    <w:rsid w:val="00DD4161"/>
    <w:rsid w:val="00DE6A5F"/>
    <w:rsid w:val="00E06066"/>
    <w:rsid w:val="00E11F2D"/>
    <w:rsid w:val="00E20646"/>
    <w:rsid w:val="00E467E8"/>
    <w:rsid w:val="00E47C5C"/>
    <w:rsid w:val="00E54B22"/>
    <w:rsid w:val="00E731F9"/>
    <w:rsid w:val="00E732D7"/>
    <w:rsid w:val="00E84A73"/>
    <w:rsid w:val="00EA0522"/>
    <w:rsid w:val="00ED5E6F"/>
    <w:rsid w:val="00EE4153"/>
    <w:rsid w:val="00EF533F"/>
    <w:rsid w:val="00F22787"/>
    <w:rsid w:val="00F242F9"/>
    <w:rsid w:val="00F26599"/>
    <w:rsid w:val="00F50301"/>
    <w:rsid w:val="00F563AD"/>
    <w:rsid w:val="00F65A57"/>
    <w:rsid w:val="00F739EB"/>
    <w:rsid w:val="00F75DF2"/>
    <w:rsid w:val="00F86FF5"/>
    <w:rsid w:val="00F872F7"/>
    <w:rsid w:val="00F94817"/>
    <w:rsid w:val="00FB33C3"/>
    <w:rsid w:val="00FC6617"/>
    <w:rsid w:val="00FD15A2"/>
    <w:rsid w:val="00FD4B6F"/>
    <w:rsid w:val="00FE4043"/>
    <w:rsid w:val="00FE673C"/>
    <w:rsid w:val="00FF5A53"/>
    <w:rsid w:val="00FF7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1253"/>
  <w15:docId w15:val="{CA456741-D9D9-45A9-BC51-AC0B9DB6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70"/>
    <w:rPr>
      <w:lang w:val="en-US"/>
    </w:rPr>
  </w:style>
  <w:style w:type="paragraph" w:styleId="Ttulo1">
    <w:name w:val="heading 1"/>
    <w:basedOn w:val="Ttulo"/>
    <w:next w:val="Normal"/>
    <w:link w:val="Ttulo1Car"/>
    <w:uiPriority w:val="9"/>
    <w:qFormat/>
    <w:rsid w:val="00685704"/>
    <w:pPr>
      <w:spacing w:before="200"/>
      <w:ind w:left="1134" w:hanging="567"/>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55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35570"/>
    <w:rPr>
      <w:lang w:val="en-US"/>
    </w:rPr>
  </w:style>
  <w:style w:type="paragraph" w:styleId="Prrafodelista">
    <w:name w:val="List Paragraph"/>
    <w:aliases w:val="Footnote,List Paragraph2,Lista vistosa - Énfasis 11,Párrafo de lista1,List Paragraph1"/>
    <w:basedOn w:val="Normal"/>
    <w:link w:val="PrrafodelistaCar"/>
    <w:uiPriority w:val="99"/>
    <w:qFormat/>
    <w:rsid w:val="00135570"/>
    <w:pPr>
      <w:ind w:left="720"/>
      <w:contextualSpacing/>
    </w:pPr>
  </w:style>
  <w:style w:type="paragraph" w:customStyle="1" w:styleId="Normal1">
    <w:name w:val="Normal1"/>
    <w:rsid w:val="00135570"/>
    <w:pPr>
      <w:widowControl w:val="0"/>
      <w:spacing w:after="0" w:line="240" w:lineRule="auto"/>
    </w:pPr>
    <w:rPr>
      <w:rFonts w:ascii="Times New Roman" w:eastAsia="Times New Roman" w:hAnsi="Times New Roman" w:cs="Times New Roman"/>
      <w:sz w:val="24"/>
      <w:szCs w:val="24"/>
      <w:lang w:val="es-CR"/>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FA Fu Car Car"/>
    <w:basedOn w:val="Normal"/>
    <w:link w:val="TextonotapieCar"/>
    <w:uiPriority w:val="99"/>
    <w:unhideWhenUsed/>
    <w:qFormat/>
    <w:rsid w:val="00135570"/>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qFormat/>
    <w:rsid w:val="00135570"/>
    <w:rPr>
      <w:sz w:val="20"/>
      <w:szCs w:val="20"/>
      <w:lang w:val="en-US"/>
    </w:rPr>
  </w:style>
  <w:style w:type="character" w:styleId="Refdenotaalpie">
    <w:name w:val="footnote reference"/>
    <w:aliases w:val="Texto de nota al pie,Footnotes refss,Appel note de bas de page,Footnote number,referencia nota al pie,BVI fnr,f,4_G,16 Point,Superscript 6 Point,Footnote Reference Char3,Footnote Reference Char1 Char,Footnote Reference Char Char Char"/>
    <w:basedOn w:val="Fuentedeprrafopredeter"/>
    <w:link w:val="4GChar"/>
    <w:uiPriority w:val="99"/>
    <w:unhideWhenUsed/>
    <w:qFormat/>
    <w:rsid w:val="00135570"/>
    <w:rPr>
      <w:vertAlign w:val="superscript"/>
    </w:rPr>
  </w:style>
  <w:style w:type="character" w:customStyle="1" w:styleId="PrrafodelistaCar">
    <w:name w:val="Párrafo de lista Car"/>
    <w:aliases w:val="Footnote Car,List Paragraph2 Car,Lista vistosa - Énfasis 11 Car,Párrafo de lista1 Car,List Paragraph1 Car"/>
    <w:link w:val="Prrafodelista"/>
    <w:uiPriority w:val="99"/>
    <w:locked/>
    <w:rsid w:val="00135570"/>
    <w:rPr>
      <w:lang w:val="en-US"/>
    </w:rPr>
  </w:style>
  <w:style w:type="paragraph" w:styleId="Sinespaciado">
    <w:name w:val="No Spacing"/>
    <w:basedOn w:val="Normal1"/>
    <w:uiPriority w:val="1"/>
    <w:qFormat/>
    <w:rsid w:val="000D5AA5"/>
    <w:pPr>
      <w:widowControl/>
      <w:numPr>
        <w:numId w:val="2"/>
      </w:numPr>
      <w:ind w:left="0" w:firstLine="0"/>
      <w:contextualSpacing/>
      <w:jc w:val="both"/>
    </w:pPr>
    <w:rPr>
      <w:rFonts w:ascii="Verdana" w:hAnsi="Verdana"/>
      <w:sz w:val="20"/>
      <w:szCs w:val="20"/>
    </w:rPr>
  </w:style>
  <w:style w:type="character" w:styleId="Textoennegrita">
    <w:name w:val="Strong"/>
    <w:basedOn w:val="Fuentedeprrafopredeter"/>
    <w:uiPriority w:val="22"/>
    <w:qFormat/>
    <w:rsid w:val="00B06127"/>
    <w:rPr>
      <w:b/>
      <w:bCs/>
    </w:rPr>
  </w:style>
  <w:style w:type="paragraph" w:styleId="Ttulo">
    <w:name w:val="Title"/>
    <w:basedOn w:val="Prrafodelista"/>
    <w:next w:val="Normal"/>
    <w:link w:val="TtuloCar"/>
    <w:uiPriority w:val="10"/>
    <w:qFormat/>
    <w:rsid w:val="00E11F2D"/>
    <w:pPr>
      <w:numPr>
        <w:numId w:val="9"/>
      </w:numPr>
    </w:pPr>
    <w:rPr>
      <w:rFonts w:ascii="Verdana" w:hAnsi="Verdana"/>
      <w:b/>
      <w:i/>
      <w:sz w:val="20"/>
      <w:szCs w:val="20"/>
      <w:lang w:val="es-CR"/>
    </w:rPr>
  </w:style>
  <w:style w:type="character" w:customStyle="1" w:styleId="TtuloCar">
    <w:name w:val="Título Car"/>
    <w:basedOn w:val="Fuentedeprrafopredeter"/>
    <w:link w:val="Ttulo"/>
    <w:uiPriority w:val="10"/>
    <w:rsid w:val="00E11F2D"/>
    <w:rPr>
      <w:rFonts w:ascii="Verdana" w:hAnsi="Verdana"/>
      <w:b/>
      <w:i/>
      <w:sz w:val="20"/>
      <w:szCs w:val="20"/>
      <w:lang w:val="es-CR"/>
    </w:rPr>
  </w:style>
  <w:style w:type="character" w:styleId="Refdecomentario">
    <w:name w:val="annotation reference"/>
    <w:basedOn w:val="Fuentedeprrafopredeter"/>
    <w:uiPriority w:val="99"/>
    <w:semiHidden/>
    <w:unhideWhenUsed/>
    <w:rsid w:val="00D00000"/>
    <w:rPr>
      <w:sz w:val="16"/>
      <w:szCs w:val="16"/>
    </w:rPr>
  </w:style>
  <w:style w:type="paragraph" w:styleId="Textocomentario">
    <w:name w:val="annotation text"/>
    <w:basedOn w:val="Normal"/>
    <w:link w:val="TextocomentarioCar"/>
    <w:uiPriority w:val="99"/>
    <w:semiHidden/>
    <w:unhideWhenUsed/>
    <w:rsid w:val="00D000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000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D00000"/>
    <w:rPr>
      <w:b/>
      <w:bCs/>
    </w:rPr>
  </w:style>
  <w:style w:type="character" w:customStyle="1" w:styleId="AsuntodelcomentarioCar">
    <w:name w:val="Asunto del comentario Car"/>
    <w:basedOn w:val="TextocomentarioCar"/>
    <w:link w:val="Asuntodelcomentario"/>
    <w:uiPriority w:val="99"/>
    <w:semiHidden/>
    <w:rsid w:val="00D00000"/>
    <w:rPr>
      <w:b/>
      <w:bCs/>
      <w:sz w:val="20"/>
      <w:szCs w:val="20"/>
      <w:lang w:val="en-US"/>
    </w:rPr>
  </w:style>
  <w:style w:type="paragraph" w:styleId="Textodeglobo">
    <w:name w:val="Balloon Text"/>
    <w:basedOn w:val="Normal"/>
    <w:link w:val="TextodegloboCar"/>
    <w:uiPriority w:val="99"/>
    <w:semiHidden/>
    <w:unhideWhenUsed/>
    <w:rsid w:val="00D000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0000"/>
    <w:rPr>
      <w:rFonts w:ascii="Segoe UI" w:hAnsi="Segoe UI" w:cs="Segoe UI"/>
      <w:sz w:val="18"/>
      <w:szCs w:val="18"/>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567EF"/>
    <w:pPr>
      <w:spacing w:after="0" w:line="240" w:lineRule="auto"/>
      <w:jc w:val="both"/>
    </w:pPr>
    <w:rPr>
      <w:vertAlign w:val="superscript"/>
      <w:lang w:val="es-MX"/>
    </w:rPr>
  </w:style>
  <w:style w:type="paragraph" w:styleId="Piedepgina">
    <w:name w:val="footer"/>
    <w:basedOn w:val="Normal"/>
    <w:link w:val="PiedepginaCar"/>
    <w:uiPriority w:val="99"/>
    <w:unhideWhenUsed/>
    <w:rsid w:val="00BF4D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DBB"/>
    <w:rPr>
      <w:lang w:val="en-US"/>
    </w:rPr>
  </w:style>
  <w:style w:type="character" w:customStyle="1" w:styleId="Ttulo1Car">
    <w:name w:val="Título 1 Car"/>
    <w:basedOn w:val="Fuentedeprrafopredeter"/>
    <w:link w:val="Ttulo1"/>
    <w:uiPriority w:val="9"/>
    <w:rsid w:val="00685704"/>
    <w:rPr>
      <w:rFonts w:ascii="Verdana" w:hAnsi="Verdana"/>
      <w:b/>
      <w:i/>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771468">
      <w:bodyDiv w:val="1"/>
      <w:marLeft w:val="0"/>
      <w:marRight w:val="0"/>
      <w:marTop w:val="0"/>
      <w:marBottom w:val="0"/>
      <w:divBdr>
        <w:top w:val="none" w:sz="0" w:space="0" w:color="auto"/>
        <w:left w:val="none" w:sz="0" w:space="0" w:color="auto"/>
        <w:bottom w:val="none" w:sz="0" w:space="0" w:color="auto"/>
        <w:right w:val="none" w:sz="0" w:space="0" w:color="auto"/>
      </w:divBdr>
    </w:div>
    <w:div w:id="980187552">
      <w:bodyDiv w:val="1"/>
      <w:marLeft w:val="0"/>
      <w:marRight w:val="0"/>
      <w:marTop w:val="0"/>
      <w:marBottom w:val="0"/>
      <w:divBdr>
        <w:top w:val="none" w:sz="0" w:space="0" w:color="auto"/>
        <w:left w:val="none" w:sz="0" w:space="0" w:color="auto"/>
        <w:bottom w:val="none" w:sz="0" w:space="0" w:color="auto"/>
        <w:right w:val="none" w:sz="0" w:space="0" w:color="auto"/>
      </w:divBdr>
    </w:div>
    <w:div w:id="1271817200">
      <w:bodyDiv w:val="1"/>
      <w:marLeft w:val="0"/>
      <w:marRight w:val="0"/>
      <w:marTop w:val="0"/>
      <w:marBottom w:val="0"/>
      <w:divBdr>
        <w:top w:val="none" w:sz="0" w:space="0" w:color="auto"/>
        <w:left w:val="none" w:sz="0" w:space="0" w:color="auto"/>
        <w:bottom w:val="none" w:sz="0" w:space="0" w:color="auto"/>
        <w:right w:val="none" w:sz="0" w:space="0" w:color="auto"/>
      </w:divBdr>
    </w:div>
    <w:div w:id="1704672269">
      <w:bodyDiv w:val="1"/>
      <w:marLeft w:val="0"/>
      <w:marRight w:val="0"/>
      <w:marTop w:val="0"/>
      <w:marBottom w:val="0"/>
      <w:divBdr>
        <w:top w:val="none" w:sz="0" w:space="0" w:color="auto"/>
        <w:left w:val="none" w:sz="0" w:space="0" w:color="auto"/>
        <w:bottom w:val="none" w:sz="0" w:space="0" w:color="auto"/>
        <w:right w:val="none" w:sz="0" w:space="0" w:color="auto"/>
      </w:divBdr>
    </w:div>
    <w:div w:id="20464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B417A-781D-47E6-B008-CAA90171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3647</Words>
  <Characters>20060</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2019-12-20T22:46:00Z</cp:lastPrinted>
  <dcterms:created xsi:type="dcterms:W3CDTF">2019-12-20T23:30:00Z</dcterms:created>
  <dcterms:modified xsi:type="dcterms:W3CDTF">2019-12-20T23:30:00Z</dcterms:modified>
</cp:coreProperties>
</file>